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B81C8" w14:textId="3BF8DD79" w:rsidR="004547CD" w:rsidRPr="001B4F11" w:rsidRDefault="004547CD" w:rsidP="004547CD">
      <w:pPr>
        <w:jc w:val="both"/>
        <w:rPr>
          <w:rFonts w:ascii="Verdana" w:hAnsi="Verdana" w:cs="Arial"/>
          <w:b/>
          <w:bCs/>
          <w:spacing w:val="1"/>
        </w:rPr>
      </w:pPr>
      <w:bookmarkStart w:id="0" w:name="_Hlk132364592"/>
      <w:bookmarkStart w:id="1" w:name="_Hlk181166130"/>
      <w:bookmarkStart w:id="2" w:name="_Hlk143780582"/>
      <w:r w:rsidRPr="001B4F11">
        <w:rPr>
          <w:rFonts w:ascii="Verdana" w:hAnsi="Verdana" w:cs="Arial"/>
          <w:b/>
          <w:bCs/>
        </w:rPr>
        <w:t>CONDICIÓN</w:t>
      </w:r>
      <w:r w:rsidRPr="001B4F11">
        <w:rPr>
          <w:rFonts w:ascii="Verdana" w:hAnsi="Verdana" w:cs="Arial"/>
          <w:b/>
          <w:bCs/>
          <w:spacing w:val="-11"/>
        </w:rPr>
        <w:t xml:space="preserve"> </w:t>
      </w:r>
      <w:r w:rsidRPr="001B4F11">
        <w:rPr>
          <w:rFonts w:ascii="Verdana" w:hAnsi="Verdana" w:cs="Arial"/>
          <w:b/>
          <w:bCs/>
        </w:rPr>
        <w:t>RESOLUTORIA</w:t>
      </w:r>
      <w:r w:rsidRPr="001B4F11">
        <w:rPr>
          <w:rFonts w:ascii="Verdana" w:hAnsi="Verdana" w:cs="Arial"/>
          <w:b/>
          <w:bCs/>
          <w:spacing w:val="-11"/>
        </w:rPr>
        <w:t xml:space="preserve"> </w:t>
      </w:r>
      <w:r w:rsidRPr="001B4F11">
        <w:rPr>
          <w:rFonts w:ascii="Verdana" w:hAnsi="Verdana" w:cs="Arial"/>
          <w:b/>
          <w:bCs/>
        </w:rPr>
        <w:t>–</w:t>
      </w:r>
      <w:r w:rsidRPr="001B4F11">
        <w:rPr>
          <w:rFonts w:ascii="Verdana" w:hAnsi="Verdana" w:cs="Arial"/>
          <w:b/>
          <w:bCs/>
          <w:spacing w:val="-12"/>
        </w:rPr>
        <w:t xml:space="preserve"> </w:t>
      </w:r>
      <w:r w:rsidRPr="001B4F11">
        <w:rPr>
          <w:rFonts w:ascii="Verdana" w:hAnsi="Verdana" w:cs="Arial"/>
          <w:b/>
          <w:bCs/>
        </w:rPr>
        <w:t>Se</w:t>
      </w:r>
      <w:r w:rsidRPr="001B4F11">
        <w:rPr>
          <w:rFonts w:ascii="Verdana" w:hAnsi="Verdana" w:cs="Arial"/>
          <w:b/>
          <w:bCs/>
          <w:spacing w:val="-59"/>
        </w:rPr>
        <w:t xml:space="preserve"> </w:t>
      </w:r>
      <w:r w:rsidRPr="001B4F11">
        <w:rPr>
          <w:rFonts w:ascii="Verdana" w:hAnsi="Verdana" w:cs="Arial"/>
          <w:b/>
          <w:bCs/>
        </w:rPr>
        <w:t>entiende</w:t>
      </w:r>
      <w:r w:rsidRPr="001B4F11">
        <w:rPr>
          <w:rFonts w:ascii="Verdana" w:hAnsi="Verdana" w:cs="Arial"/>
          <w:b/>
          <w:bCs/>
          <w:spacing w:val="1"/>
        </w:rPr>
        <w:t xml:space="preserve"> </w:t>
      </w:r>
      <w:r w:rsidRPr="001B4F11">
        <w:rPr>
          <w:rFonts w:ascii="Verdana" w:hAnsi="Verdana" w:cs="Arial"/>
          <w:b/>
          <w:bCs/>
        </w:rPr>
        <w:t>incorporada</w:t>
      </w:r>
      <w:r w:rsidRPr="001B4F11">
        <w:rPr>
          <w:rFonts w:ascii="Verdana" w:hAnsi="Verdana" w:cs="Arial"/>
          <w:b/>
          <w:bCs/>
          <w:spacing w:val="1"/>
        </w:rPr>
        <w:t xml:space="preserve"> </w:t>
      </w:r>
      <w:r w:rsidRPr="001B4F11">
        <w:rPr>
          <w:rFonts w:ascii="Verdana" w:hAnsi="Verdana" w:cs="Arial"/>
          <w:b/>
          <w:bCs/>
        </w:rPr>
        <w:t>en</w:t>
      </w:r>
      <w:r w:rsidRPr="001B4F11">
        <w:rPr>
          <w:rFonts w:ascii="Verdana" w:hAnsi="Verdana" w:cs="Arial"/>
          <w:b/>
          <w:bCs/>
          <w:spacing w:val="1"/>
        </w:rPr>
        <w:t xml:space="preserve"> </w:t>
      </w:r>
      <w:r w:rsidRPr="001B4F11">
        <w:rPr>
          <w:rFonts w:ascii="Verdana" w:hAnsi="Verdana" w:cs="Arial"/>
          <w:b/>
          <w:bCs/>
        </w:rPr>
        <w:t>toda</w:t>
      </w:r>
      <w:r w:rsidRPr="001B4F11">
        <w:rPr>
          <w:rFonts w:ascii="Verdana" w:hAnsi="Verdana" w:cs="Arial"/>
          <w:b/>
          <w:bCs/>
          <w:spacing w:val="1"/>
        </w:rPr>
        <w:t xml:space="preserve"> </w:t>
      </w:r>
      <w:r w:rsidRPr="001B4F11">
        <w:rPr>
          <w:rFonts w:ascii="Verdana" w:hAnsi="Verdana" w:cs="Arial"/>
          <w:b/>
          <w:bCs/>
        </w:rPr>
        <w:t>relación</w:t>
      </w:r>
      <w:r w:rsidRPr="001B4F11">
        <w:rPr>
          <w:rFonts w:ascii="Verdana" w:hAnsi="Verdana"/>
          <w:b/>
          <w:bCs/>
        </w:rPr>
        <w:t xml:space="preserve"> </w:t>
      </w:r>
      <w:r w:rsidRPr="001B4F11">
        <w:rPr>
          <w:rFonts w:ascii="Verdana" w:hAnsi="Verdana" w:cs="Arial"/>
          <w:b/>
          <w:bCs/>
        </w:rPr>
        <w:t>jurídica</w:t>
      </w:r>
      <w:r w:rsidRPr="001B4F11">
        <w:rPr>
          <w:rFonts w:ascii="Verdana" w:hAnsi="Verdana" w:cs="Arial"/>
          <w:b/>
          <w:bCs/>
          <w:spacing w:val="1"/>
        </w:rPr>
        <w:t xml:space="preserve"> </w:t>
      </w:r>
      <w:r w:rsidRPr="001B4F11">
        <w:rPr>
          <w:rFonts w:ascii="Verdana" w:hAnsi="Verdana" w:cs="Arial"/>
          <w:b/>
          <w:bCs/>
        </w:rPr>
        <w:t>bilateral</w:t>
      </w:r>
      <w:r w:rsidR="001B4F11" w:rsidRPr="001B4F11">
        <w:rPr>
          <w:rFonts w:ascii="Verdana" w:hAnsi="Verdana" w:cs="Arial"/>
          <w:b/>
          <w:bCs/>
        </w:rPr>
        <w:t>.</w:t>
      </w:r>
      <w:r w:rsidRPr="001B4F11">
        <w:rPr>
          <w:rFonts w:ascii="Verdana" w:hAnsi="Verdana" w:cs="Arial"/>
          <w:b/>
          <w:bCs/>
          <w:spacing w:val="1"/>
        </w:rPr>
        <w:t xml:space="preserve"> </w:t>
      </w:r>
      <w:bookmarkStart w:id="3" w:name="_Hlk132364806"/>
      <w:bookmarkEnd w:id="0"/>
    </w:p>
    <w:p w14:paraId="29E82390" w14:textId="4D17D6E2" w:rsidR="004547CD" w:rsidRPr="004547CD" w:rsidRDefault="004547CD" w:rsidP="004547CD">
      <w:pPr>
        <w:jc w:val="both"/>
        <w:rPr>
          <w:rFonts w:ascii="Verdana" w:hAnsi="Verdana" w:cs="Arial"/>
          <w:sz w:val="20"/>
          <w:szCs w:val="20"/>
        </w:rPr>
      </w:pPr>
      <w:r w:rsidRPr="004547CD">
        <w:rPr>
          <w:rFonts w:ascii="Verdana" w:hAnsi="Verdana" w:cs="Arial"/>
          <w:sz w:val="20"/>
          <w:szCs w:val="20"/>
        </w:rPr>
        <w:t>La condición resolutoria referida parte de la premisa de su presunción como cláusula natural de todo negocio jurídico bilateral, dentro del que se cuentan, por supuesto, los convenios interadministrativos, sin perjuicio de que las partes, en ejercicio de la autonomía de la voluntad y haciendo uso de la figura de las cláusulas accidentales, puedan acordar aspectos especiales para la procedencia de su configuración, a partir de la identificación precisa de hechos inciertos y futuros que pueden desencadenar la terminación inmediata de la relación jurídica, en aplicación de la definición general de obligaciones condicionales que se encuentra en el artículo 1530 del mismo Código Civil, junto con los tipos de condiciones potestativas, causales o mixtas de que trata el artículo 1534 siguiente.</w:t>
      </w:r>
      <w:r w:rsidRPr="004547CD">
        <w:rPr>
          <w:rFonts w:ascii="Verdana" w:hAnsi="Verdana" w:cs="Arial"/>
          <w:sz w:val="20"/>
          <w:szCs w:val="20"/>
        </w:rPr>
        <w:tab/>
      </w:r>
      <w:bookmarkEnd w:id="3"/>
    </w:p>
    <w:p w14:paraId="1E1BD1DD" w14:textId="44D5CB9E" w:rsidR="004547CD" w:rsidRPr="004547CD" w:rsidRDefault="004547CD" w:rsidP="004547CD">
      <w:pPr>
        <w:pStyle w:val="Textoindependiente"/>
        <w:spacing w:before="93"/>
        <w:jc w:val="both"/>
        <w:rPr>
          <w:rFonts w:ascii="Verdana" w:hAnsi="Verdana"/>
          <w:b/>
          <w:bCs/>
          <w:sz w:val="20"/>
          <w:szCs w:val="20"/>
        </w:rPr>
      </w:pPr>
      <w:r w:rsidRPr="001B4F11">
        <w:rPr>
          <w:rFonts w:ascii="Verdana" w:hAnsi="Verdana"/>
          <w:b/>
          <w:bCs/>
        </w:rPr>
        <w:t>SANCIONES</w:t>
      </w:r>
      <w:r w:rsidRPr="001B4F11">
        <w:rPr>
          <w:rFonts w:ascii="Verdana" w:hAnsi="Verdana"/>
          <w:b/>
          <w:bCs/>
          <w:spacing w:val="-9"/>
        </w:rPr>
        <w:t xml:space="preserve"> </w:t>
      </w:r>
      <w:r w:rsidRPr="001B4F11">
        <w:rPr>
          <w:rFonts w:ascii="Verdana" w:hAnsi="Verdana"/>
          <w:b/>
          <w:bCs/>
        </w:rPr>
        <w:t>POR</w:t>
      </w:r>
      <w:r w:rsidRPr="001B4F11">
        <w:rPr>
          <w:rFonts w:ascii="Verdana" w:hAnsi="Verdana"/>
          <w:b/>
          <w:bCs/>
          <w:spacing w:val="-9"/>
        </w:rPr>
        <w:t xml:space="preserve"> </w:t>
      </w:r>
      <w:r w:rsidRPr="001B4F11">
        <w:rPr>
          <w:rFonts w:ascii="Verdana" w:hAnsi="Verdana"/>
          <w:b/>
          <w:bCs/>
        </w:rPr>
        <w:t>INCUMPLIMIENTO</w:t>
      </w:r>
      <w:r w:rsidRPr="001B4F11">
        <w:rPr>
          <w:rFonts w:ascii="Verdana" w:hAnsi="Verdana"/>
          <w:b/>
          <w:bCs/>
          <w:spacing w:val="-8"/>
        </w:rPr>
        <w:t xml:space="preserve"> </w:t>
      </w:r>
      <w:r w:rsidRPr="001B4F11">
        <w:rPr>
          <w:rFonts w:ascii="Verdana" w:hAnsi="Verdana"/>
          <w:b/>
          <w:bCs/>
        </w:rPr>
        <w:t>-</w:t>
      </w:r>
      <w:r w:rsidRPr="001B4F11">
        <w:rPr>
          <w:rFonts w:ascii="Verdana" w:hAnsi="Verdana"/>
          <w:b/>
          <w:bCs/>
          <w:spacing w:val="-9"/>
        </w:rPr>
        <w:t xml:space="preserve"> </w:t>
      </w:r>
      <w:r w:rsidRPr="001B4F11">
        <w:rPr>
          <w:rFonts w:ascii="Verdana" w:hAnsi="Verdana"/>
          <w:b/>
          <w:bCs/>
        </w:rPr>
        <w:t>Pueden</w:t>
      </w:r>
      <w:r w:rsidRPr="001B4F11">
        <w:rPr>
          <w:rFonts w:ascii="Verdana" w:hAnsi="Verdana"/>
          <w:b/>
          <w:bCs/>
          <w:spacing w:val="-8"/>
        </w:rPr>
        <w:t xml:space="preserve"> </w:t>
      </w:r>
      <w:r w:rsidRPr="001B4F11">
        <w:rPr>
          <w:rFonts w:ascii="Verdana" w:hAnsi="Verdana"/>
          <w:b/>
          <w:bCs/>
        </w:rPr>
        <w:t>pactarse</w:t>
      </w:r>
      <w:r w:rsidRPr="001B4F11">
        <w:rPr>
          <w:rFonts w:ascii="Verdana" w:hAnsi="Verdana"/>
          <w:b/>
          <w:bCs/>
          <w:spacing w:val="-9"/>
        </w:rPr>
        <w:t xml:space="preserve"> </w:t>
      </w:r>
      <w:r w:rsidRPr="001B4F11">
        <w:rPr>
          <w:rFonts w:ascii="Verdana" w:hAnsi="Verdana"/>
          <w:b/>
          <w:bCs/>
        </w:rPr>
        <w:t>como</w:t>
      </w:r>
      <w:r w:rsidRPr="001B4F11">
        <w:rPr>
          <w:rFonts w:ascii="Verdana" w:hAnsi="Verdana"/>
          <w:b/>
          <w:bCs/>
          <w:spacing w:val="-59"/>
        </w:rPr>
        <w:t xml:space="preserve"> </w:t>
      </w:r>
      <w:r w:rsidRPr="001B4F11">
        <w:rPr>
          <w:rFonts w:ascii="Verdana" w:hAnsi="Verdana"/>
          <w:b/>
          <w:bCs/>
        </w:rPr>
        <w:t>potestad</w:t>
      </w:r>
      <w:r w:rsidRPr="001B4F11">
        <w:rPr>
          <w:rFonts w:ascii="Verdana" w:hAnsi="Verdana"/>
          <w:b/>
          <w:bCs/>
          <w:spacing w:val="-3"/>
        </w:rPr>
        <w:t xml:space="preserve"> </w:t>
      </w:r>
      <w:r w:rsidRPr="001B4F11">
        <w:rPr>
          <w:rFonts w:ascii="Verdana" w:hAnsi="Verdana"/>
          <w:b/>
          <w:bCs/>
        </w:rPr>
        <w:t>unilateral</w:t>
      </w:r>
      <w:r w:rsidRPr="001B4F11">
        <w:rPr>
          <w:rFonts w:ascii="Verdana" w:hAnsi="Verdana"/>
          <w:b/>
          <w:bCs/>
          <w:spacing w:val="-2"/>
        </w:rPr>
        <w:t xml:space="preserve"> </w:t>
      </w:r>
      <w:r w:rsidRPr="001B4F11">
        <w:rPr>
          <w:rFonts w:ascii="Verdana" w:hAnsi="Verdana"/>
          <w:b/>
          <w:bCs/>
        </w:rPr>
        <w:t>y</w:t>
      </w:r>
      <w:r w:rsidRPr="001B4F11">
        <w:rPr>
          <w:rFonts w:ascii="Verdana" w:hAnsi="Verdana"/>
          <w:b/>
          <w:bCs/>
          <w:spacing w:val="-2"/>
        </w:rPr>
        <w:t xml:space="preserve"> </w:t>
      </w:r>
      <w:r w:rsidRPr="001B4F11">
        <w:rPr>
          <w:rFonts w:ascii="Verdana" w:hAnsi="Verdana"/>
          <w:b/>
          <w:bCs/>
        </w:rPr>
        <w:t>en</w:t>
      </w:r>
      <w:r w:rsidRPr="001B4F11">
        <w:rPr>
          <w:rFonts w:ascii="Verdana" w:hAnsi="Verdana"/>
          <w:b/>
          <w:bCs/>
          <w:spacing w:val="-2"/>
        </w:rPr>
        <w:t xml:space="preserve"> </w:t>
      </w:r>
      <w:r w:rsidRPr="001B4F11">
        <w:rPr>
          <w:rFonts w:ascii="Verdana" w:hAnsi="Verdana"/>
          <w:b/>
          <w:bCs/>
        </w:rPr>
        <w:t>ejercicio</w:t>
      </w:r>
      <w:r w:rsidRPr="001B4F11">
        <w:rPr>
          <w:rFonts w:ascii="Verdana" w:hAnsi="Verdana"/>
          <w:b/>
          <w:bCs/>
          <w:spacing w:val="-2"/>
        </w:rPr>
        <w:t xml:space="preserve"> </w:t>
      </w:r>
      <w:r w:rsidRPr="001B4F11">
        <w:rPr>
          <w:rFonts w:ascii="Verdana" w:hAnsi="Verdana"/>
          <w:b/>
          <w:bCs/>
        </w:rPr>
        <w:t>de</w:t>
      </w:r>
      <w:r w:rsidRPr="001B4F11">
        <w:rPr>
          <w:rFonts w:ascii="Verdana" w:hAnsi="Verdana"/>
          <w:b/>
          <w:bCs/>
          <w:spacing w:val="-2"/>
        </w:rPr>
        <w:t xml:space="preserve"> </w:t>
      </w:r>
      <w:r w:rsidRPr="001B4F11">
        <w:rPr>
          <w:rFonts w:ascii="Verdana" w:hAnsi="Verdana"/>
          <w:b/>
          <w:bCs/>
        </w:rPr>
        <w:t>acto</w:t>
      </w:r>
      <w:r w:rsidRPr="001B4F11">
        <w:rPr>
          <w:rFonts w:ascii="Verdana" w:hAnsi="Verdana"/>
          <w:b/>
          <w:bCs/>
          <w:spacing w:val="-2"/>
        </w:rPr>
        <w:t xml:space="preserve"> </w:t>
      </w:r>
      <w:r w:rsidRPr="001B4F11">
        <w:rPr>
          <w:rFonts w:ascii="Verdana" w:hAnsi="Verdana"/>
          <w:b/>
          <w:bCs/>
        </w:rPr>
        <w:t>contractual</w:t>
      </w:r>
      <w:r w:rsidRPr="004547CD">
        <w:rPr>
          <w:rFonts w:ascii="Verdana" w:hAnsi="Verdana"/>
          <w:b/>
          <w:bCs/>
          <w:sz w:val="20"/>
          <w:szCs w:val="20"/>
        </w:rPr>
        <w:t xml:space="preserve">. </w:t>
      </w:r>
    </w:p>
    <w:p w14:paraId="2F3B6ED3" w14:textId="77777777" w:rsidR="004547CD" w:rsidRDefault="004547CD" w:rsidP="004547CD">
      <w:pPr>
        <w:spacing w:after="0"/>
        <w:jc w:val="both"/>
        <w:rPr>
          <w:rFonts w:ascii="Verdana" w:hAnsi="Verdana" w:cs="Arial"/>
          <w:sz w:val="20"/>
          <w:szCs w:val="20"/>
        </w:rPr>
      </w:pPr>
    </w:p>
    <w:p w14:paraId="76AAFA52" w14:textId="008C8F8C" w:rsidR="008378C3" w:rsidRDefault="004547CD" w:rsidP="004547CD">
      <w:pPr>
        <w:spacing w:after="0"/>
        <w:jc w:val="both"/>
        <w:rPr>
          <w:rFonts w:ascii="Verdana" w:hAnsi="Verdana" w:cs="Arial"/>
          <w:sz w:val="20"/>
          <w:szCs w:val="20"/>
        </w:rPr>
      </w:pPr>
      <w:r w:rsidRPr="004547CD">
        <w:rPr>
          <w:rFonts w:ascii="Verdana" w:hAnsi="Verdana" w:cs="Arial"/>
          <w:sz w:val="20"/>
          <w:szCs w:val="20"/>
        </w:rPr>
        <w:t>En los negocios jurídicos bilaterales es posible el pacto de potestades unilaterales para alguna de las partes del contrato, como aquellas que permiten una declaración de incumplimiento y el consecuente desencadenamiento de sanciones específicas, siempre que haya claridad sobre las condiciones de procedencia  y el procedimiento que será aplicado para llegar a su utilización, teniendo su materialización la naturaleza de acto contractual; y si quien ejerce dicha potestad unilateral es una entidad estatal, y la relación negocial no se encuentra cobijada por el Estatuto General de Contratación de la Administración Pública o una norma de derecho público que establezca dicha prerrogativa como ejercicio de poder público, tendrá también esta naturaleza y no la de un acto administrativo, al no existir competencia atribuido para el uso de dicho instrumento</w:t>
      </w:r>
      <w:r w:rsidR="007256D5">
        <w:rPr>
          <w:rFonts w:ascii="Verdana" w:hAnsi="Verdana" w:cs="Arial"/>
          <w:sz w:val="20"/>
          <w:szCs w:val="20"/>
        </w:rPr>
        <w:t>.</w:t>
      </w:r>
    </w:p>
    <w:p w14:paraId="5C77E223" w14:textId="77777777" w:rsidR="007256D5" w:rsidRDefault="007256D5" w:rsidP="004547CD">
      <w:pPr>
        <w:spacing w:after="0"/>
        <w:jc w:val="both"/>
        <w:rPr>
          <w:rFonts w:ascii="Verdana" w:hAnsi="Verdana" w:cs="Arial"/>
          <w:sz w:val="20"/>
          <w:szCs w:val="20"/>
        </w:rPr>
      </w:pPr>
    </w:p>
    <w:p w14:paraId="0EBD313B" w14:textId="77777777" w:rsidR="007256D5" w:rsidRPr="001B4F11" w:rsidRDefault="007256D5" w:rsidP="007256D5">
      <w:pPr>
        <w:spacing w:after="0" w:line="240" w:lineRule="auto"/>
        <w:rPr>
          <w:rFonts w:ascii="Verdana" w:eastAsia="Calibri" w:hAnsi="Verdana" w:cs="Arial"/>
          <w:b/>
          <w:lang w:eastAsia="es-ES"/>
        </w:rPr>
      </w:pPr>
      <w:r w:rsidRPr="001B4F11">
        <w:rPr>
          <w:rFonts w:ascii="Verdana" w:eastAsia="Calibri" w:hAnsi="Verdana" w:cs="Arial"/>
          <w:b/>
          <w:lang w:eastAsia="es-ES"/>
        </w:rPr>
        <w:t xml:space="preserve">CÓMPUTO DE TERMINOS – Meses </w:t>
      </w:r>
      <w:r w:rsidRPr="001B4F11">
        <w:rPr>
          <w:rFonts w:ascii="Verdana" w:eastAsia="Calibri" w:hAnsi="Verdana" w:cs="Arial"/>
          <w:b/>
          <w:bCs/>
          <w:lang w:val="es-ES" w:eastAsia="es-ES"/>
        </w:rPr>
        <w:t>–</w:t>
      </w:r>
      <w:r w:rsidRPr="001B4F11">
        <w:rPr>
          <w:rFonts w:ascii="Verdana" w:eastAsia="Calibri" w:hAnsi="Verdana" w:cs="Arial"/>
          <w:b/>
          <w:lang w:eastAsia="es-ES"/>
        </w:rPr>
        <w:t xml:space="preserve"> Regla interpretativa </w:t>
      </w:r>
    </w:p>
    <w:p w14:paraId="0B166806" w14:textId="77777777" w:rsidR="007256D5" w:rsidRDefault="007256D5" w:rsidP="007256D5">
      <w:pPr>
        <w:spacing w:after="0" w:line="240" w:lineRule="auto"/>
        <w:rPr>
          <w:rFonts w:ascii="Verdana" w:eastAsia="Calibri" w:hAnsi="Verdana" w:cs="Arial"/>
          <w:bCs/>
          <w:lang w:eastAsia="es-ES"/>
        </w:rPr>
      </w:pPr>
    </w:p>
    <w:p w14:paraId="75A15B82" w14:textId="77777777" w:rsidR="007256D5" w:rsidRPr="00B53A71" w:rsidRDefault="007256D5" w:rsidP="007256D5">
      <w:pPr>
        <w:spacing w:after="0" w:line="240" w:lineRule="auto"/>
        <w:jc w:val="both"/>
        <w:rPr>
          <w:rFonts w:ascii="Verdana" w:eastAsia="Geomanist Light" w:hAnsi="Verdana" w:cs="Arial"/>
          <w:sz w:val="20"/>
          <w:szCs w:val="20"/>
          <w:lang w:val="es-MX"/>
        </w:rPr>
      </w:pPr>
      <w:bookmarkStart w:id="4" w:name="_Hlk193397962"/>
      <w:r w:rsidRPr="00B53A71">
        <w:rPr>
          <w:rFonts w:ascii="Verdana" w:eastAsia="Geomanist Light" w:hAnsi="Verdana" w:cs="Arial"/>
          <w:sz w:val="20"/>
          <w:szCs w:val="20"/>
          <w:lang w:val="es-MX"/>
        </w:rPr>
        <w:t>[…]</w:t>
      </w:r>
      <w:bookmarkEnd w:id="4"/>
      <w:r w:rsidRPr="00B53A71">
        <w:rPr>
          <w:rFonts w:ascii="Verdana" w:eastAsia="Geomanist Light" w:hAnsi="Verdana" w:cs="Arial"/>
          <w:sz w:val="20"/>
          <w:szCs w:val="20"/>
          <w:lang w:val="es-MX"/>
        </w:rPr>
        <w:t xml:space="preserve"> de acuerdo con lo establecido en el artículo 59 de la Ley 4 de 1913, los plazos de días que se establezcan en la ley terminan a la medianoche, y que por día se entiende el espacio de veinticuatro (24) horas. Cuando el plazo se haya fijado en días, estos se entienden hábiles, para lo cual se suprimen los feriados. En el evento de que se trate de días calendario, tal circunstancia deberá ser expresa.</w:t>
      </w:r>
      <w:r>
        <w:rPr>
          <w:rFonts w:ascii="Verdana" w:eastAsia="Geomanist Light" w:hAnsi="Verdana" w:cs="Arial"/>
          <w:sz w:val="20"/>
          <w:szCs w:val="20"/>
          <w:lang w:val="es-MX"/>
        </w:rPr>
        <w:t xml:space="preserve"> </w:t>
      </w:r>
      <w:r w:rsidRPr="00B53A71">
        <w:rPr>
          <w:rFonts w:ascii="Verdana" w:eastAsia="Geomanist Light" w:hAnsi="Verdana" w:cs="Arial"/>
          <w:sz w:val="20"/>
          <w:szCs w:val="20"/>
          <w:lang w:val="es-MX"/>
        </w:rPr>
        <w:t>[…]</w:t>
      </w:r>
    </w:p>
    <w:p w14:paraId="4A40864F" w14:textId="77777777" w:rsidR="007256D5" w:rsidRDefault="007256D5" w:rsidP="007256D5">
      <w:pPr>
        <w:spacing w:after="0" w:line="240" w:lineRule="auto"/>
        <w:rPr>
          <w:rFonts w:ascii="Verdana" w:eastAsia="Geomanist Light" w:hAnsi="Verdana" w:cs="Arial"/>
          <w:lang w:val="es-MX"/>
        </w:rPr>
      </w:pPr>
    </w:p>
    <w:p w14:paraId="286D56BF" w14:textId="77777777" w:rsidR="007256D5" w:rsidRPr="00D6735B" w:rsidRDefault="007256D5" w:rsidP="007256D5">
      <w:pPr>
        <w:spacing w:after="0" w:line="240" w:lineRule="auto"/>
        <w:rPr>
          <w:rFonts w:ascii="Verdana" w:eastAsia="Geomanist Light" w:hAnsi="Verdana" w:cs="Arial"/>
          <w:b/>
          <w:lang w:val="es-MX"/>
        </w:rPr>
      </w:pPr>
      <w:r w:rsidRPr="00D6735B">
        <w:rPr>
          <w:rFonts w:ascii="Verdana" w:eastAsia="Calibri" w:hAnsi="Verdana" w:cs="Arial"/>
          <w:b/>
          <w:lang w:eastAsia="es-ES"/>
        </w:rPr>
        <w:t xml:space="preserve">CÓMPUTO DE TERMINOS – Meses </w:t>
      </w:r>
      <w:r w:rsidRPr="00333C2F">
        <w:rPr>
          <w:rFonts w:ascii="Verdana" w:eastAsia="Calibri" w:hAnsi="Verdana" w:cs="Arial"/>
          <w:b/>
          <w:bCs/>
          <w:lang w:val="es-ES" w:eastAsia="es-ES"/>
        </w:rPr>
        <w:t>–</w:t>
      </w:r>
      <w:r w:rsidRPr="00D6735B">
        <w:rPr>
          <w:rFonts w:ascii="Verdana" w:eastAsia="Calibri" w:hAnsi="Verdana" w:cs="Arial"/>
          <w:b/>
          <w:lang w:eastAsia="es-ES"/>
        </w:rPr>
        <w:t xml:space="preserve"> Acuerdo de voluntades</w:t>
      </w:r>
    </w:p>
    <w:p w14:paraId="05A5B342" w14:textId="77777777" w:rsidR="007256D5" w:rsidRPr="00D6735B" w:rsidRDefault="007256D5" w:rsidP="007256D5">
      <w:pPr>
        <w:spacing w:after="0" w:line="240" w:lineRule="auto"/>
        <w:rPr>
          <w:rFonts w:ascii="Verdana" w:eastAsia="Geomanist Light" w:hAnsi="Verdana" w:cs="Arial"/>
          <w:b/>
          <w:sz w:val="20"/>
          <w:szCs w:val="20"/>
          <w:lang w:val="es-MX"/>
        </w:rPr>
      </w:pPr>
    </w:p>
    <w:p w14:paraId="40DAA499" w14:textId="77777777" w:rsidR="007256D5" w:rsidRPr="00986E0C" w:rsidRDefault="007256D5" w:rsidP="007256D5">
      <w:pPr>
        <w:spacing w:after="0" w:line="276" w:lineRule="auto"/>
        <w:jc w:val="both"/>
        <w:rPr>
          <w:rFonts w:ascii="Verdana" w:hAnsi="Verdana"/>
          <w:sz w:val="20"/>
          <w:szCs w:val="20"/>
        </w:rPr>
      </w:pPr>
      <w:r w:rsidRPr="00B53A71">
        <w:rPr>
          <w:rFonts w:ascii="Verdana" w:eastAsia="Geomanist Light" w:hAnsi="Verdana" w:cs="Arial"/>
          <w:sz w:val="20"/>
          <w:szCs w:val="20"/>
          <w:lang w:val="es-MX"/>
        </w:rPr>
        <w:lastRenderedPageBreak/>
        <w:t>[…]</w:t>
      </w:r>
      <w:r>
        <w:rPr>
          <w:rFonts w:ascii="Verdana" w:eastAsia="Geomanist Light" w:hAnsi="Verdana" w:cs="Arial"/>
          <w:sz w:val="20"/>
          <w:szCs w:val="20"/>
          <w:lang w:val="es-MX"/>
        </w:rPr>
        <w:t xml:space="preserve"> </w:t>
      </w:r>
      <w:r w:rsidRPr="00986E0C">
        <w:rPr>
          <w:rFonts w:ascii="Verdana" w:hAnsi="Verdana"/>
          <w:sz w:val="20"/>
          <w:szCs w:val="20"/>
        </w:rPr>
        <w:t xml:space="preserve">para determinar el plazo de ejecución del contrato la voluntad de las partes y, en consecuencia, las estipulaciones fijadas en los documentos del proceso y las cláusulas contenidas en el mismo contrato. En ese sentido, es importante resaltar lo dispuesto en los artículos 13, inciso 1º; y 32 de la Ley 80 de 1993, que señalan: </w:t>
      </w:r>
    </w:p>
    <w:p w14:paraId="1EE94F36" w14:textId="77777777" w:rsidR="007256D5" w:rsidRPr="00986E0C" w:rsidRDefault="007256D5" w:rsidP="007256D5">
      <w:pPr>
        <w:pStyle w:val="Prrafodelista"/>
        <w:shd w:val="clear" w:color="auto" w:fill="FFFFFF" w:themeFill="background1"/>
        <w:spacing w:after="0" w:line="276" w:lineRule="auto"/>
        <w:jc w:val="both"/>
        <w:textAlignment w:val="baseline"/>
        <w:rPr>
          <w:rFonts w:ascii="Verdana" w:eastAsia="Calibri" w:hAnsi="Verdana" w:cs="Arial"/>
          <w:bCs/>
          <w:color w:val="000000" w:themeColor="text1"/>
          <w:sz w:val="20"/>
          <w:szCs w:val="20"/>
          <w:lang w:val="es-CO"/>
        </w:rPr>
      </w:pPr>
    </w:p>
    <w:p w14:paraId="779084FC" w14:textId="77777777" w:rsidR="007256D5" w:rsidRPr="00986E0C" w:rsidRDefault="007256D5" w:rsidP="007256D5">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sidRPr="00986E0C">
        <w:rPr>
          <w:rFonts w:ascii="Verdana" w:eastAsia="Calibri" w:hAnsi="Verdana" w:cs="Arial"/>
          <w:bCs/>
          <w:color w:val="000000" w:themeColor="text1"/>
          <w:sz w:val="20"/>
          <w:szCs w:val="20"/>
          <w:lang w:val="es-CO"/>
        </w:rPr>
        <w:t xml:space="preserve">“ARTÍCULO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7E4AA47D" w14:textId="77777777" w:rsidR="007256D5" w:rsidRPr="00986E0C" w:rsidRDefault="007256D5" w:rsidP="007256D5">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p>
    <w:p w14:paraId="109553D0" w14:textId="77777777" w:rsidR="007256D5" w:rsidRPr="00986E0C" w:rsidRDefault="007256D5" w:rsidP="007256D5">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sidRPr="00986E0C">
        <w:rPr>
          <w:rFonts w:ascii="Verdana" w:eastAsia="Calibri" w:hAnsi="Verdana" w:cs="Arial"/>
          <w:bCs/>
          <w:color w:val="000000" w:themeColor="text1"/>
          <w:sz w:val="20"/>
          <w:szCs w:val="20"/>
          <w:lang w:val="es-CO"/>
        </w:rPr>
        <w:t xml:space="preserve">“ARTÍCULO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w:t>
      </w:r>
    </w:p>
    <w:p w14:paraId="4BBD048A" w14:textId="77777777" w:rsidR="007256D5" w:rsidRPr="00986E0C" w:rsidRDefault="007256D5" w:rsidP="007256D5">
      <w:pPr>
        <w:pStyle w:val="Prrafodelista"/>
        <w:shd w:val="clear" w:color="auto" w:fill="FFFFFF" w:themeFill="background1"/>
        <w:spacing w:after="0" w:line="240" w:lineRule="auto"/>
        <w:ind w:right="758"/>
        <w:jc w:val="both"/>
        <w:textAlignment w:val="baseline"/>
        <w:rPr>
          <w:rFonts w:ascii="Verdana" w:eastAsia="Calibri" w:hAnsi="Verdana" w:cs="Arial"/>
          <w:bCs/>
          <w:color w:val="000000" w:themeColor="text1"/>
          <w:sz w:val="20"/>
          <w:szCs w:val="20"/>
        </w:rPr>
      </w:pPr>
    </w:p>
    <w:p w14:paraId="2D6401E5" w14:textId="77777777" w:rsidR="007256D5" w:rsidRPr="007A0E81" w:rsidRDefault="007256D5" w:rsidP="007256D5">
      <w:pPr>
        <w:spacing w:after="120" w:line="276" w:lineRule="auto"/>
        <w:ind w:firstLine="708"/>
        <w:jc w:val="both"/>
        <w:rPr>
          <w:rFonts w:ascii="Verdana" w:eastAsia="Calibri" w:hAnsi="Verdana" w:cs="Arial"/>
          <w:i/>
          <w:iCs/>
          <w:lang w:val="es-ES"/>
        </w:rPr>
      </w:pPr>
      <w:r w:rsidRPr="00986E0C">
        <w:rPr>
          <w:rFonts w:ascii="Verdana" w:eastAsia="Calibri" w:hAnsi="Verdana" w:cs="Arial"/>
          <w:sz w:val="20"/>
          <w:szCs w:val="20"/>
          <w:lang w:val="es-ES"/>
        </w:rPr>
        <w:t>El contrato estatal, como acuerdo de voluntades entre una entidad estatal y un particular u otra entidad, establece, modifica o extingue obligaciones para las partes involucradas y está regido por un marco normativo mixto, que incluye normas tanto de naturaleza privada como comercial. Partiendo del principio de la autonomía de la voluntad que caracteriza los contratos estatales, y considerando específicamente los plazos a tener en cuenta en la actividad contractual para asegurar el cumplimiento de las obligaciones dentro del tiempo acordado, se considera una buena práctica que la entidad determine y señale la fecha de finalización del contrato, con el fin de que las partes tengan claridad y certeza sobre el momento exacto en que se cumple. Así mismo, la elaboración de un acta de inicio resulta una herramienta clave para definir los plazos de inicio y fin del contrato, fijándolos en fechas ciertas y determinadas.</w:t>
      </w:r>
      <w:r w:rsidRPr="00D6735B">
        <w:rPr>
          <w:rFonts w:ascii="Verdana" w:eastAsia="Geomanist Light" w:hAnsi="Verdana" w:cs="Arial"/>
          <w:sz w:val="20"/>
          <w:szCs w:val="20"/>
          <w:lang w:val="es-MX"/>
        </w:rPr>
        <w:t xml:space="preserve"> </w:t>
      </w:r>
      <w:r w:rsidRPr="00B53A71">
        <w:rPr>
          <w:rFonts w:ascii="Verdana" w:eastAsia="Geomanist Light" w:hAnsi="Verdana" w:cs="Arial"/>
          <w:sz w:val="20"/>
          <w:szCs w:val="20"/>
          <w:lang w:val="es-MX"/>
        </w:rPr>
        <w:t>[…]</w:t>
      </w:r>
      <w:r w:rsidRPr="007A0E81">
        <w:rPr>
          <w:rFonts w:ascii="Verdana" w:eastAsia="Calibri" w:hAnsi="Verdana" w:cs="Arial"/>
          <w:lang w:val="es-ES"/>
        </w:rPr>
        <w:tab/>
      </w:r>
    </w:p>
    <w:p w14:paraId="2B526177" w14:textId="284DCF97" w:rsidR="001A661F" w:rsidRPr="006849F1" w:rsidRDefault="001A661F" w:rsidP="001A661F">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DET</w:t>
      </w:r>
      <w:r>
        <w:rPr>
          <w:rFonts w:ascii="Verdana" w:eastAsia="Calibri" w:hAnsi="Verdana" w:cs="Arial"/>
          <w:b/>
          <w:bCs/>
          <w:lang w:val="es-MX" w:eastAsia="es-ES_tradnl"/>
          <w14:ligatures w14:val="standardContextual"/>
        </w:rPr>
        <w:t>E</w:t>
      </w:r>
      <w:r w:rsidRPr="006849F1">
        <w:rPr>
          <w:rFonts w:ascii="Verdana" w:eastAsia="Calibri" w:hAnsi="Verdana" w:cs="Arial"/>
          <w:b/>
          <w:bCs/>
          <w:lang w:val="es-MX" w:eastAsia="es-ES_tradnl"/>
          <w14:ligatures w14:val="standardContextual"/>
        </w:rPr>
        <w:t xml:space="preserve">RMINACIÓN DEL VALOR DEL CONTRATO – Etapa de planeación – Metodologías – </w:t>
      </w:r>
      <w:r>
        <w:rPr>
          <w:rFonts w:ascii="Verdana" w:eastAsia="Calibri" w:hAnsi="Verdana" w:cs="Arial"/>
          <w:b/>
          <w:bCs/>
          <w:lang w:val="es-MX" w:eastAsia="es-ES_tradnl"/>
          <w14:ligatures w14:val="standardContextual"/>
        </w:rPr>
        <w:t>Precios Unitarios , Precios Globales.</w:t>
      </w:r>
    </w:p>
    <w:p w14:paraId="1271CA5B" w14:textId="77777777" w:rsidR="001A661F" w:rsidRPr="006849F1" w:rsidRDefault="001A661F" w:rsidP="001A661F">
      <w:pPr>
        <w:spacing w:after="0" w:line="240" w:lineRule="auto"/>
        <w:contextualSpacing/>
        <w:jc w:val="both"/>
        <w:rPr>
          <w:rFonts w:ascii="Verdana" w:eastAsia="Calibri" w:hAnsi="Verdana" w:cs="Arial"/>
          <w:b/>
          <w:bCs/>
          <w:lang w:val="es-MX" w:eastAsia="es-ES_tradnl"/>
          <w14:ligatures w14:val="standardContextual"/>
        </w:rPr>
      </w:pPr>
    </w:p>
    <w:p w14:paraId="545F9C1A" w14:textId="77777777" w:rsidR="001A661F" w:rsidRDefault="001A661F" w:rsidP="001A661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E3325C">
        <w:rPr>
          <w:rFonts w:ascii="Verdana" w:eastAsia="Times New Roman" w:hAnsi="Verdana" w:cs="Arial"/>
          <w:noProof/>
          <w:sz w:val="20"/>
          <w:szCs w:val="20"/>
          <w:lang w:val="es-ES_tradnl" w:eastAsia="es-ES_tradnl"/>
          <w14:ligatures w14:val="standardContextua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w:t>
      </w:r>
      <w:r w:rsidRPr="00E3325C">
        <w:rPr>
          <w:rFonts w:ascii="Verdana" w:eastAsia="Times New Roman" w:hAnsi="Verdana" w:cs="Arial"/>
          <w:noProof/>
          <w:sz w:val="20"/>
          <w:szCs w:val="20"/>
          <w:lang w:val="es-ES_tradnl" w:eastAsia="es-ES_tradnl"/>
          <w14:ligatures w14:val="standardContextual"/>
        </w:rPr>
        <w:lastRenderedPageBreak/>
        <w:t xml:space="preserve">comunes en los de obra pública; otras más utilizadas en los de prestación de servicios y otras más indicadas </w:t>
      </w:r>
      <w:r>
        <w:rPr>
          <w:rFonts w:ascii="Verdana" w:eastAsia="Times New Roman" w:hAnsi="Verdana" w:cs="Arial"/>
          <w:noProof/>
          <w:sz w:val="20"/>
          <w:szCs w:val="20"/>
          <w:lang w:val="es-ES_tradnl" w:eastAsia="es-ES_tradnl"/>
          <w14:ligatures w14:val="standardContextual"/>
        </w:rPr>
        <w:t>e</w:t>
      </w:r>
      <w:r w:rsidRPr="00E3325C">
        <w:rPr>
          <w:rFonts w:ascii="Verdana" w:eastAsia="Times New Roman" w:hAnsi="Verdana" w:cs="Arial"/>
          <w:noProof/>
          <w:sz w:val="20"/>
          <w:szCs w:val="20"/>
          <w:lang w:val="es-ES_tradnl" w:eastAsia="es-ES_tradnl"/>
          <w14:ligatures w14:val="standardContextual"/>
        </w:rPr>
        <w:t xml:space="preserve">para los de concesión, por mencionar algunos ejemplos. </w:t>
      </w:r>
    </w:p>
    <w:p w14:paraId="28AD1FB3" w14:textId="77777777" w:rsidR="001A661F" w:rsidRDefault="001A661F" w:rsidP="001A661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326CBA69" w14:textId="72F47EB0" w:rsidR="001A661F" w:rsidRDefault="001A661F" w:rsidP="001A661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E3325C">
        <w:rPr>
          <w:rFonts w:ascii="Verdana" w:eastAsia="Times New Roman" w:hAnsi="Verdana" w:cs="Arial"/>
          <w:noProof/>
          <w:sz w:val="20"/>
          <w:szCs w:val="20"/>
          <w:lang w:val="es-ES_tradnl" w:eastAsia="es-ES_tradnl"/>
          <w14:ligatures w14:val="standardContextual"/>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70A966E9" w14:textId="77777777" w:rsidR="007256D5" w:rsidRPr="00986E0C" w:rsidRDefault="007256D5" w:rsidP="007256D5">
      <w:pPr>
        <w:spacing w:after="0" w:line="240" w:lineRule="auto"/>
        <w:rPr>
          <w:rFonts w:ascii="Verdana" w:eastAsia="Geomanist Light" w:hAnsi="Verdana" w:cs="Arial"/>
          <w:lang w:val="es-ES"/>
        </w:rPr>
      </w:pPr>
    </w:p>
    <w:p w14:paraId="5B4C0734" w14:textId="77777777" w:rsidR="007256D5" w:rsidRPr="004547CD" w:rsidRDefault="007256D5" w:rsidP="004547CD">
      <w:pPr>
        <w:spacing w:after="0"/>
        <w:jc w:val="both"/>
        <w:rPr>
          <w:rFonts w:ascii="Verdana" w:eastAsia="Geomanist Light" w:hAnsi="Verdana" w:cs="Arial"/>
          <w:color w:val="201F1E"/>
          <w:sz w:val="20"/>
          <w:szCs w:val="20"/>
          <w:lang w:val="es-MX"/>
        </w:rPr>
      </w:pPr>
    </w:p>
    <w:p w14:paraId="185216F9" w14:textId="77777777" w:rsidR="008378C3" w:rsidRPr="002A37DA" w:rsidRDefault="008378C3" w:rsidP="004547CD">
      <w:pPr>
        <w:spacing w:after="0"/>
        <w:jc w:val="both"/>
        <w:rPr>
          <w:rFonts w:ascii="Verdana" w:eastAsia="Geomanist Light" w:hAnsi="Verdana" w:cs="Arial"/>
          <w:color w:val="201F1E"/>
          <w:lang w:val="es-MX"/>
        </w:rPr>
      </w:pPr>
    </w:p>
    <w:p w14:paraId="77B0D3F1" w14:textId="77777777" w:rsidR="00C11F4C" w:rsidRPr="00C11F4C" w:rsidRDefault="00C11F4C" w:rsidP="004547CD">
      <w:pPr>
        <w:spacing w:line="276" w:lineRule="auto"/>
        <w:jc w:val="both"/>
        <w:rPr>
          <w:rFonts w:ascii="Arial" w:hAnsi="Arial" w:cs="Arial"/>
          <w:noProof/>
          <w:sz w:val="20"/>
          <w:szCs w:val="20"/>
          <w:lang w:val="es-ES_tradnl"/>
        </w:rPr>
      </w:pPr>
    </w:p>
    <w:p w14:paraId="1EE16402" w14:textId="77777777" w:rsidR="00C11F4C" w:rsidRDefault="00C11F4C" w:rsidP="00D261F9">
      <w:pPr>
        <w:spacing w:line="276" w:lineRule="auto"/>
        <w:jc w:val="both"/>
        <w:rPr>
          <w:rFonts w:ascii="Arial" w:hAnsi="Arial" w:cs="Arial"/>
          <w:noProof/>
          <w:sz w:val="20"/>
          <w:szCs w:val="20"/>
          <w:lang w:val="es-ES_tradnl"/>
        </w:rPr>
      </w:pPr>
    </w:p>
    <w:p w14:paraId="0188B061" w14:textId="77777777" w:rsidR="00D95A26" w:rsidRDefault="00D95A26" w:rsidP="00D261F9">
      <w:pPr>
        <w:spacing w:line="276" w:lineRule="auto"/>
        <w:jc w:val="both"/>
        <w:rPr>
          <w:rFonts w:ascii="Arial" w:hAnsi="Arial" w:cs="Arial"/>
          <w:noProof/>
          <w:sz w:val="20"/>
          <w:szCs w:val="20"/>
          <w:lang w:val="es-ES_tradnl"/>
        </w:rPr>
      </w:pPr>
    </w:p>
    <w:p w14:paraId="2C3DBBD6" w14:textId="77777777" w:rsidR="00D95A26" w:rsidRDefault="00D95A26" w:rsidP="00D261F9">
      <w:pPr>
        <w:spacing w:line="276" w:lineRule="auto"/>
        <w:jc w:val="both"/>
        <w:rPr>
          <w:rFonts w:ascii="Arial" w:hAnsi="Arial" w:cs="Arial"/>
          <w:noProof/>
          <w:sz w:val="20"/>
          <w:szCs w:val="20"/>
          <w:lang w:val="es-ES_tradnl"/>
        </w:rPr>
      </w:pPr>
    </w:p>
    <w:p w14:paraId="79FA1681" w14:textId="77777777" w:rsidR="00D95A26" w:rsidRDefault="00D95A26" w:rsidP="00D261F9">
      <w:pPr>
        <w:spacing w:line="276" w:lineRule="auto"/>
        <w:jc w:val="both"/>
        <w:rPr>
          <w:rFonts w:ascii="Arial" w:hAnsi="Arial" w:cs="Arial"/>
          <w:noProof/>
          <w:sz w:val="20"/>
          <w:szCs w:val="20"/>
          <w:lang w:val="es-ES_tradnl"/>
        </w:rPr>
      </w:pPr>
    </w:p>
    <w:p w14:paraId="13870A9E" w14:textId="77777777" w:rsidR="00D95A26" w:rsidRDefault="00D95A26" w:rsidP="00D261F9">
      <w:pPr>
        <w:spacing w:line="276" w:lineRule="auto"/>
        <w:jc w:val="both"/>
        <w:rPr>
          <w:rFonts w:ascii="Arial" w:hAnsi="Arial" w:cs="Arial"/>
          <w:noProof/>
          <w:sz w:val="20"/>
          <w:szCs w:val="20"/>
          <w:lang w:val="es-ES_tradnl"/>
        </w:rPr>
      </w:pPr>
    </w:p>
    <w:p w14:paraId="5A75C3E6" w14:textId="77777777" w:rsidR="00D95A26" w:rsidRDefault="00D95A26" w:rsidP="00D261F9">
      <w:pPr>
        <w:spacing w:line="276" w:lineRule="auto"/>
        <w:jc w:val="both"/>
        <w:rPr>
          <w:rFonts w:ascii="Arial" w:hAnsi="Arial" w:cs="Arial"/>
          <w:noProof/>
          <w:sz w:val="20"/>
          <w:szCs w:val="20"/>
          <w:lang w:val="es-ES_tradnl"/>
        </w:rPr>
      </w:pPr>
    </w:p>
    <w:p w14:paraId="79AAAF3A" w14:textId="77777777" w:rsidR="00D95A26" w:rsidRDefault="00D95A26" w:rsidP="00D261F9">
      <w:pPr>
        <w:spacing w:line="276" w:lineRule="auto"/>
        <w:jc w:val="both"/>
        <w:rPr>
          <w:rFonts w:ascii="Arial" w:hAnsi="Arial" w:cs="Arial"/>
          <w:noProof/>
          <w:sz w:val="20"/>
          <w:szCs w:val="20"/>
          <w:lang w:val="es-ES_tradnl"/>
        </w:rPr>
      </w:pPr>
    </w:p>
    <w:p w14:paraId="42952449" w14:textId="77777777" w:rsidR="00D95A26" w:rsidRDefault="00D95A26" w:rsidP="00D261F9">
      <w:pPr>
        <w:spacing w:line="276" w:lineRule="auto"/>
        <w:jc w:val="both"/>
        <w:rPr>
          <w:rFonts w:ascii="Arial" w:hAnsi="Arial" w:cs="Arial"/>
          <w:noProof/>
          <w:sz w:val="20"/>
          <w:szCs w:val="20"/>
          <w:lang w:val="es-ES_tradnl"/>
        </w:rPr>
      </w:pPr>
    </w:p>
    <w:p w14:paraId="378276F3" w14:textId="77777777" w:rsidR="00D95A26" w:rsidRDefault="00D95A26" w:rsidP="00D261F9">
      <w:pPr>
        <w:spacing w:line="276" w:lineRule="auto"/>
        <w:jc w:val="both"/>
        <w:rPr>
          <w:rFonts w:ascii="Arial" w:hAnsi="Arial" w:cs="Arial"/>
          <w:noProof/>
          <w:sz w:val="20"/>
          <w:szCs w:val="20"/>
          <w:lang w:val="es-ES_tradnl"/>
        </w:rPr>
      </w:pPr>
    </w:p>
    <w:p w14:paraId="3D706100" w14:textId="77777777" w:rsidR="00D95A26" w:rsidRDefault="00D95A26" w:rsidP="00D261F9">
      <w:pPr>
        <w:spacing w:line="276" w:lineRule="auto"/>
        <w:jc w:val="both"/>
        <w:rPr>
          <w:rFonts w:ascii="Arial" w:hAnsi="Arial" w:cs="Arial"/>
          <w:noProof/>
          <w:sz w:val="20"/>
          <w:szCs w:val="20"/>
          <w:lang w:val="es-ES_tradnl"/>
        </w:rPr>
      </w:pPr>
    </w:p>
    <w:p w14:paraId="17987BC1" w14:textId="77777777" w:rsidR="004547CD" w:rsidRDefault="004547CD" w:rsidP="00D261F9">
      <w:pPr>
        <w:spacing w:line="276" w:lineRule="auto"/>
        <w:jc w:val="both"/>
        <w:rPr>
          <w:rFonts w:ascii="Arial" w:hAnsi="Arial" w:cs="Arial"/>
          <w:noProof/>
          <w:sz w:val="20"/>
          <w:szCs w:val="20"/>
          <w:lang w:val="es-ES_tradnl"/>
        </w:rPr>
      </w:pPr>
    </w:p>
    <w:p w14:paraId="09D8F530" w14:textId="77777777" w:rsidR="004547CD" w:rsidRDefault="004547CD" w:rsidP="00D261F9">
      <w:pPr>
        <w:spacing w:line="276" w:lineRule="auto"/>
        <w:jc w:val="both"/>
        <w:rPr>
          <w:rFonts w:ascii="Arial" w:hAnsi="Arial" w:cs="Arial"/>
          <w:noProof/>
          <w:sz w:val="20"/>
          <w:szCs w:val="20"/>
          <w:lang w:val="es-ES_tradnl"/>
        </w:rPr>
      </w:pPr>
    </w:p>
    <w:p w14:paraId="1A721D0D" w14:textId="77777777" w:rsidR="004547CD" w:rsidRDefault="004547CD" w:rsidP="00D261F9">
      <w:pPr>
        <w:spacing w:line="276" w:lineRule="auto"/>
        <w:jc w:val="both"/>
        <w:rPr>
          <w:rFonts w:ascii="Arial" w:hAnsi="Arial" w:cs="Arial"/>
          <w:noProof/>
          <w:sz w:val="20"/>
          <w:szCs w:val="20"/>
          <w:lang w:val="es-ES_tradnl"/>
        </w:rPr>
      </w:pPr>
    </w:p>
    <w:p w14:paraId="43235CA8" w14:textId="77777777" w:rsidR="004547CD" w:rsidRDefault="004547CD" w:rsidP="00D261F9">
      <w:pPr>
        <w:spacing w:line="276" w:lineRule="auto"/>
        <w:jc w:val="both"/>
        <w:rPr>
          <w:rFonts w:ascii="Arial" w:hAnsi="Arial" w:cs="Arial"/>
          <w:noProof/>
          <w:sz w:val="20"/>
          <w:szCs w:val="20"/>
          <w:lang w:val="es-ES_tradnl"/>
        </w:rPr>
      </w:pPr>
    </w:p>
    <w:p w14:paraId="10166345" w14:textId="77777777" w:rsidR="004547CD" w:rsidRDefault="004547CD" w:rsidP="00D261F9">
      <w:pPr>
        <w:spacing w:line="276" w:lineRule="auto"/>
        <w:jc w:val="both"/>
        <w:rPr>
          <w:rFonts w:ascii="Arial" w:hAnsi="Arial" w:cs="Arial"/>
          <w:noProof/>
          <w:sz w:val="20"/>
          <w:szCs w:val="20"/>
          <w:lang w:val="es-ES_tradnl"/>
        </w:rPr>
      </w:pPr>
    </w:p>
    <w:p w14:paraId="7F384CCC" w14:textId="4077DABF" w:rsidR="007D5768" w:rsidRDefault="00E5566A" w:rsidP="007D5768">
      <w:pPr>
        <w:spacing w:after="0"/>
        <w:rPr>
          <w:rFonts w:ascii="Verdana" w:hAnsi="Verdana"/>
        </w:rPr>
      </w:pPr>
      <w:r>
        <w:rPr>
          <w:rFonts w:ascii="Verdana" w:hAnsi="Verdana"/>
        </w:rPr>
        <w:lastRenderedPageBreak/>
        <w:t>B</w:t>
      </w:r>
      <w:r w:rsidR="007D5768" w:rsidRPr="0044528D">
        <w:rPr>
          <w:rFonts w:ascii="Verdana" w:hAnsi="Verdana"/>
        </w:rPr>
        <w:t xml:space="preserve">ogotá D.C., </w:t>
      </w:r>
      <w:r w:rsidR="000224B0">
        <w:rPr>
          <w:rFonts w:ascii="Verdana" w:hAnsi="Verdana"/>
        </w:rPr>
        <w:t>09 de mayo de 2025</w:t>
      </w:r>
    </w:p>
    <w:p w14:paraId="1673010F" w14:textId="77777777" w:rsidR="007D5768" w:rsidRDefault="007D5768" w:rsidP="007D5768">
      <w:pPr>
        <w:spacing w:after="0"/>
        <w:rPr>
          <w:rFonts w:ascii="Verdana" w:hAnsi="Verdana"/>
        </w:rPr>
      </w:pPr>
      <w:bookmarkStart w:id="5" w:name="_Hlk180638295"/>
      <w:bookmarkEnd w:id="1"/>
    </w:p>
    <w:p w14:paraId="2B7159AF" w14:textId="534BFF0C" w:rsidR="00C03274" w:rsidRDefault="000224B0" w:rsidP="000224B0">
      <w:pPr>
        <w:spacing w:after="0"/>
        <w:jc w:val="right"/>
        <w:rPr>
          <w:rFonts w:ascii="Verdana" w:hAnsi="Verdana"/>
        </w:rPr>
      </w:pPr>
      <w:r>
        <w:rPr>
          <w:rFonts w:ascii="Verdana" w:hAnsi="Verdana"/>
          <w:noProof/>
        </w:rPr>
        <w:drawing>
          <wp:inline distT="0" distB="0" distL="0" distR="0" wp14:anchorId="77F4373B" wp14:editId="0CC09620">
            <wp:extent cx="2438400" cy="704850"/>
            <wp:effectExtent l="0" t="0" r="0" b="0"/>
            <wp:docPr id="16893060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704850"/>
                    </a:xfrm>
                    <a:prstGeom prst="rect">
                      <a:avLst/>
                    </a:prstGeom>
                    <a:noFill/>
                    <a:ln>
                      <a:noFill/>
                    </a:ln>
                  </pic:spPr>
                </pic:pic>
              </a:graphicData>
            </a:graphic>
          </wp:inline>
        </w:drawing>
      </w:r>
    </w:p>
    <w:p w14:paraId="6F066908" w14:textId="77777777" w:rsidR="000224B0" w:rsidRDefault="000224B0" w:rsidP="007D5768">
      <w:pPr>
        <w:spacing w:after="0"/>
        <w:rPr>
          <w:rFonts w:ascii="Verdana" w:hAnsi="Verdana"/>
        </w:rPr>
      </w:pPr>
    </w:p>
    <w:p w14:paraId="54FC63A1" w14:textId="710CA4A2" w:rsidR="007D5768" w:rsidRPr="005E62E2" w:rsidRDefault="007D5768" w:rsidP="007D5768">
      <w:pPr>
        <w:spacing w:after="0" w:line="240" w:lineRule="auto"/>
        <w:jc w:val="both"/>
        <w:rPr>
          <w:rFonts w:ascii="Verdana" w:eastAsia="Calibri" w:hAnsi="Verdana" w:cs="Arial"/>
          <w:lang w:eastAsia="es-ES"/>
        </w:rPr>
      </w:pPr>
      <w:bookmarkStart w:id="6" w:name="_Hlk181166167"/>
      <w:r w:rsidRPr="005E62E2">
        <w:rPr>
          <w:rFonts w:ascii="Verdana" w:eastAsia="Calibri" w:hAnsi="Verdana" w:cs="Arial"/>
          <w:lang w:eastAsia="es-ES"/>
        </w:rPr>
        <w:t>Señor</w:t>
      </w:r>
      <w:r w:rsidR="00C57C83">
        <w:rPr>
          <w:rFonts w:ascii="Verdana" w:eastAsia="Calibri" w:hAnsi="Verdana" w:cs="Arial"/>
          <w:lang w:eastAsia="es-ES"/>
        </w:rPr>
        <w:t>es</w:t>
      </w:r>
      <w:r w:rsidR="003A2ECF" w:rsidRPr="005E62E2">
        <w:rPr>
          <w:rFonts w:ascii="Verdana" w:eastAsia="Calibri" w:hAnsi="Verdana" w:cs="Arial"/>
          <w:lang w:eastAsia="es-ES"/>
        </w:rPr>
        <w:tab/>
      </w:r>
    </w:p>
    <w:p w14:paraId="27398075" w14:textId="0BE62D3C" w:rsidR="00022742" w:rsidRPr="00C57C83" w:rsidRDefault="00C57C83" w:rsidP="007D5768">
      <w:pPr>
        <w:spacing w:after="0" w:line="240" w:lineRule="auto"/>
        <w:rPr>
          <w:rFonts w:ascii="Verdana" w:eastAsia="Calibri" w:hAnsi="Verdana" w:cs="Arial"/>
          <w:b/>
          <w:bCs/>
          <w:color w:val="000000"/>
          <w:lang w:eastAsia="es-ES_tradnl"/>
        </w:rPr>
      </w:pPr>
      <w:r w:rsidRPr="00C57C83">
        <w:rPr>
          <w:rFonts w:ascii="Verdana" w:eastAsia="Calibri" w:hAnsi="Verdana" w:cs="Arial"/>
          <w:b/>
          <w:bCs/>
          <w:color w:val="000000"/>
          <w:lang w:eastAsia="es-ES_tradnl"/>
        </w:rPr>
        <w:t>procesosrj@hotmail.com</w:t>
      </w:r>
    </w:p>
    <w:p w14:paraId="533445DC" w14:textId="77777777" w:rsidR="00C57C83" w:rsidRDefault="00C57C83" w:rsidP="007D5768">
      <w:pPr>
        <w:spacing w:after="0" w:line="240" w:lineRule="auto"/>
        <w:rPr>
          <w:rFonts w:ascii="Verdana" w:eastAsia="Calibri" w:hAnsi="Verdana" w:cs="Arial"/>
          <w:b/>
          <w:bCs/>
          <w:color w:val="000000"/>
          <w:lang w:val="es-ES_tradnl" w:eastAsia="es-ES_tradnl"/>
        </w:rPr>
      </w:pPr>
    </w:p>
    <w:p w14:paraId="02314820" w14:textId="77777777" w:rsidR="00C57C83" w:rsidRDefault="00C57C83"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310C58C7"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57C83">
              <w:rPr>
                <w:rFonts w:ascii="Verdana" w:eastAsia="Calibri" w:hAnsi="Verdana" w:cs="Arial"/>
                <w:b/>
                <w:bCs/>
                <w:lang w:val="es-ES" w:eastAsia="es-ES"/>
              </w:rPr>
              <w:t>404</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A52DE7"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68F8A78" w14:textId="496AA211" w:rsidR="008378C3" w:rsidRPr="00724B22" w:rsidRDefault="001B4F11" w:rsidP="008378C3">
            <w:pPr>
              <w:jc w:val="both"/>
              <w:rPr>
                <w:rFonts w:ascii="Verdana" w:eastAsia="Calibri" w:hAnsi="Verdana" w:cs="Arial"/>
                <w:color w:val="000000"/>
                <w:lang w:val="es-ES_tradnl"/>
              </w:rPr>
            </w:pPr>
            <w:r w:rsidRPr="001B4F11">
              <w:rPr>
                <w:rFonts w:ascii="Verdana" w:eastAsia="Calibri" w:hAnsi="Verdana" w:cs="Arial"/>
                <w:color w:val="000000"/>
                <w:lang w:val="es-ES_tradnl"/>
              </w:rPr>
              <w:t>CONDICIÓN RESOLUTORIA – Se entiende incorporada en toda relación jurídica bilateral</w:t>
            </w:r>
            <w:r>
              <w:rPr>
                <w:rFonts w:ascii="Verdana" w:eastAsia="Calibri" w:hAnsi="Verdana" w:cs="Arial"/>
                <w:color w:val="000000"/>
                <w:lang w:val="es-ES_tradnl"/>
              </w:rPr>
              <w:t xml:space="preserve"> - </w:t>
            </w:r>
            <w:r w:rsidRPr="001B4F11">
              <w:rPr>
                <w:rFonts w:ascii="Verdana" w:eastAsia="Calibri" w:hAnsi="Verdana" w:cs="Arial"/>
                <w:color w:val="000000"/>
                <w:lang w:val="es-ES_tradnl"/>
              </w:rPr>
              <w:t>SANCIONES POR INCUMPLIMIENTO - Pueden pactarse como potestad unilateral y en ejercicio de acto contractua</w:t>
            </w:r>
            <w:r>
              <w:rPr>
                <w:rFonts w:ascii="Verdana" w:eastAsia="Calibri" w:hAnsi="Verdana" w:cs="Arial"/>
                <w:color w:val="000000"/>
                <w:lang w:val="es-ES_tradnl"/>
              </w:rPr>
              <w:t xml:space="preserve">l - </w:t>
            </w:r>
            <w:r w:rsidRPr="001B4F11">
              <w:rPr>
                <w:rFonts w:ascii="Verdana" w:eastAsia="Calibri" w:hAnsi="Verdana" w:cs="Arial"/>
                <w:color w:val="000000"/>
                <w:lang w:val="es-ES_tradnl"/>
              </w:rPr>
              <w:t>CÓMPUTO DE TERMINOS – Meses – Regla interpretativa</w:t>
            </w:r>
            <w:r>
              <w:rPr>
                <w:rFonts w:ascii="Verdana" w:eastAsia="Calibri" w:hAnsi="Verdana" w:cs="Arial"/>
                <w:color w:val="000000"/>
                <w:lang w:val="es-ES_tradnl"/>
              </w:rPr>
              <w:t xml:space="preserve"> - </w:t>
            </w:r>
            <w:r w:rsidRPr="001B4F11">
              <w:rPr>
                <w:rFonts w:ascii="Verdana" w:eastAsia="Calibri" w:hAnsi="Verdana" w:cs="Arial"/>
                <w:color w:val="000000"/>
                <w:lang w:val="es-ES_tradnl"/>
              </w:rPr>
              <w:t>DETERMINACIÓN DEL VALOR DEL CONTRATO – Etapa de planeación – Metodologías – Precios Unitarios , Precios Globales.</w:t>
            </w:r>
          </w:p>
          <w:p w14:paraId="6D1E6393" w14:textId="0D809102" w:rsidR="0008049C" w:rsidRPr="00A52DE7" w:rsidRDefault="0008049C" w:rsidP="0008049C">
            <w:pPr>
              <w:jc w:val="both"/>
              <w:rPr>
                <w:rFonts w:ascii="Verdana" w:hAnsi="Verdana" w:cs="Arial"/>
                <w:bCs/>
                <w:highlight w:val="yellow"/>
              </w:rPr>
            </w:pPr>
          </w:p>
          <w:p w14:paraId="62C72EB8" w14:textId="0103DA13" w:rsidR="00D261F9" w:rsidRPr="00A52DE7" w:rsidRDefault="00D261F9" w:rsidP="00E5035C">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5D96D2C2"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C57C83" w:rsidRPr="00C57C83">
              <w:rPr>
                <w:rFonts w:ascii="Verdana" w:eastAsia="Calibri" w:hAnsi="Verdana" w:cs="Arial"/>
                <w:lang w:val="es-ES_tradnl" w:eastAsia="es-ES_tradnl"/>
              </w:rPr>
              <w:t>P20250402003151</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78EF095F"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57C83">
        <w:rPr>
          <w:rFonts w:ascii="Verdana" w:eastAsia="Calibri" w:hAnsi="Verdana" w:cs="Arial"/>
          <w:lang w:val="es-ES" w:eastAsia="es-ES"/>
        </w:rPr>
        <w:t>os</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C57C83">
        <w:rPr>
          <w:rFonts w:ascii="Verdana" w:eastAsia="Calibri" w:hAnsi="Verdana" w:cs="Arial"/>
          <w:lang w:val="es-ES" w:eastAsia="es-ES"/>
        </w:rPr>
        <w:t>es</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6DC96C7F"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9B36E7">
        <w:rPr>
          <w:rFonts w:ascii="Verdana" w:eastAsia="Calibri" w:hAnsi="Verdana" w:cs="Arial"/>
          <w:lang w:val="es-ES" w:eastAsia="es-ES"/>
        </w:rPr>
        <w:t>20</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DA0B2B">
        <w:rPr>
          <w:rFonts w:ascii="Verdana" w:eastAsia="Calibri" w:hAnsi="Verdana" w:cs="Arial"/>
          <w:lang w:val="es-ES" w:eastAsia="es-ES"/>
        </w:rPr>
        <w:t>marzo</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7" w:name="_Hlk95313578"/>
    </w:p>
    <w:bookmarkEnd w:id="7"/>
    <w:p w14:paraId="755A614E" w14:textId="77159B6C" w:rsidR="009D7B43" w:rsidRDefault="00022742" w:rsidP="009D7B43">
      <w:pPr>
        <w:pStyle w:val="Prrafodelista"/>
        <w:tabs>
          <w:tab w:val="left" w:pos="142"/>
          <w:tab w:val="left" w:pos="567"/>
        </w:tabs>
        <w:ind w:left="567" w:right="709"/>
        <w:jc w:val="both"/>
        <w:rPr>
          <w:rFonts w:ascii="Verdana" w:eastAsia="Century Gothic" w:hAnsi="Verdana" w:cs="Century Gothic"/>
          <w:i/>
          <w:iCs/>
          <w:lang w:val="es-CO"/>
        </w:rPr>
      </w:pPr>
      <w:r>
        <w:rPr>
          <w:rFonts w:ascii="Verdana" w:eastAsia="Century Gothic" w:hAnsi="Verdana" w:cs="Century Gothic"/>
          <w:i/>
          <w:iCs/>
          <w:lang w:val="es-CO"/>
        </w:rPr>
        <w:t xml:space="preserve">   </w:t>
      </w:r>
      <w:r w:rsidR="00E6781E" w:rsidRPr="009D04B0">
        <w:rPr>
          <w:rFonts w:ascii="Verdana" w:eastAsia="Century Gothic" w:hAnsi="Verdana" w:cs="Century Gothic"/>
          <w:i/>
          <w:iCs/>
          <w:lang w:val="es-CO"/>
        </w:rPr>
        <w:t>“</w:t>
      </w:r>
      <w:r w:rsidR="00FB76D0" w:rsidRPr="009D04B0">
        <w:rPr>
          <w:rFonts w:ascii="Verdana" w:eastAsia="Century Gothic" w:hAnsi="Verdana" w:cs="Century Gothic"/>
          <w:i/>
          <w:iCs/>
          <w:lang w:val="es-CO"/>
        </w:rPr>
        <w:t>(…)</w:t>
      </w:r>
      <w:r w:rsidR="009D7B43">
        <w:rPr>
          <w:rFonts w:ascii="Verdana" w:eastAsia="Century Gothic" w:hAnsi="Verdana" w:cs="Century Gothic"/>
          <w:i/>
          <w:iCs/>
          <w:lang w:val="es-CO"/>
        </w:rPr>
        <w:t xml:space="preserve"> </w:t>
      </w:r>
    </w:p>
    <w:p w14:paraId="621A403A" w14:textId="77777777" w:rsidR="0025065B" w:rsidRDefault="0025065B" w:rsidP="009D7B43">
      <w:pPr>
        <w:pStyle w:val="Prrafodelista"/>
        <w:tabs>
          <w:tab w:val="left" w:pos="142"/>
          <w:tab w:val="left" w:pos="567"/>
        </w:tabs>
        <w:ind w:left="567" w:right="709"/>
        <w:jc w:val="both"/>
        <w:rPr>
          <w:rFonts w:ascii="Verdana" w:eastAsia="Century Gothic" w:hAnsi="Verdana" w:cs="Century Gothic"/>
          <w:i/>
          <w:iCs/>
          <w:lang w:val="es-CO"/>
        </w:rPr>
      </w:pPr>
    </w:p>
    <w:p w14:paraId="6AC16EEE" w14:textId="364236C8" w:rsidR="0025065B" w:rsidRPr="0025065B" w:rsidRDefault="0025065B" w:rsidP="0025065B">
      <w:pPr>
        <w:pStyle w:val="Prrafodelista"/>
        <w:tabs>
          <w:tab w:val="left" w:pos="142"/>
        </w:tabs>
        <w:ind w:left="851" w:right="709"/>
        <w:jc w:val="both"/>
        <w:rPr>
          <w:rFonts w:ascii="Verdana" w:eastAsia="Century Gothic" w:hAnsi="Verdana" w:cs="Century Gothic"/>
          <w:i/>
          <w:iCs/>
        </w:rPr>
      </w:pPr>
      <w:r w:rsidRPr="0025065B">
        <w:rPr>
          <w:rFonts w:ascii="Verdana" w:eastAsia="Century Gothic" w:hAnsi="Verdana" w:cs="Century Gothic"/>
          <w:i/>
          <w:iCs/>
        </w:rPr>
        <w:lastRenderedPageBreak/>
        <w:t>En los contratos estatales, bajo la autonomía de la voluntad, ¿es posible el pacto de condiciones resolutorias que den por terminado el contrato ante la ocurrencia de causales especificas?</w:t>
      </w:r>
    </w:p>
    <w:p w14:paraId="510F4A7C" w14:textId="7EAB2A85" w:rsidR="0025065B" w:rsidRPr="0025065B" w:rsidRDefault="0025065B" w:rsidP="0025065B">
      <w:pPr>
        <w:pStyle w:val="Prrafodelista"/>
        <w:tabs>
          <w:tab w:val="left" w:pos="142"/>
        </w:tabs>
        <w:ind w:left="851" w:right="709"/>
        <w:jc w:val="both"/>
        <w:rPr>
          <w:rFonts w:ascii="Verdana" w:eastAsia="Century Gothic" w:hAnsi="Verdana" w:cs="Century Gothic"/>
          <w:i/>
          <w:iCs/>
        </w:rPr>
      </w:pPr>
      <w:r w:rsidRPr="0025065B">
        <w:rPr>
          <w:rFonts w:ascii="Verdana" w:eastAsia="Century Gothic" w:hAnsi="Verdana" w:cs="Century Gothic"/>
          <w:i/>
          <w:iCs/>
        </w:rPr>
        <w:t>En contratación estatal los meses son de 28, ¿30 o 31 días? como efectuar el conteo</w:t>
      </w:r>
      <w:r>
        <w:rPr>
          <w:rFonts w:ascii="Verdana" w:eastAsia="Century Gothic" w:hAnsi="Verdana" w:cs="Century Gothic"/>
          <w:i/>
          <w:iCs/>
        </w:rPr>
        <w:t xml:space="preserve"> </w:t>
      </w:r>
      <w:r w:rsidRPr="0025065B">
        <w:rPr>
          <w:rFonts w:ascii="Verdana" w:eastAsia="Century Gothic" w:hAnsi="Verdana" w:cs="Century Gothic"/>
          <w:i/>
          <w:iCs/>
        </w:rPr>
        <w:t>cuando inician a mediados de un mes que tiene 28, ¿30 o 31 días? cuáles son las</w:t>
      </w:r>
      <w:r>
        <w:rPr>
          <w:rFonts w:ascii="Verdana" w:eastAsia="Century Gothic" w:hAnsi="Verdana" w:cs="Century Gothic"/>
          <w:i/>
          <w:iCs/>
        </w:rPr>
        <w:t xml:space="preserve"> </w:t>
      </w:r>
      <w:r w:rsidRPr="0025065B">
        <w:rPr>
          <w:rFonts w:ascii="Verdana" w:eastAsia="Century Gothic" w:hAnsi="Verdana" w:cs="Century Gothic"/>
          <w:i/>
          <w:iCs/>
        </w:rPr>
        <w:t>reglas para efectuar un conteo correcto.</w:t>
      </w:r>
    </w:p>
    <w:p w14:paraId="516B83FD" w14:textId="52A9686A" w:rsidR="0025065B" w:rsidRDefault="0025065B" w:rsidP="0025065B">
      <w:pPr>
        <w:pStyle w:val="Prrafodelista"/>
        <w:tabs>
          <w:tab w:val="left" w:pos="142"/>
        </w:tabs>
        <w:ind w:left="851" w:right="709"/>
        <w:jc w:val="both"/>
        <w:rPr>
          <w:rFonts w:ascii="Verdana" w:eastAsia="Century Gothic" w:hAnsi="Verdana" w:cs="Century Gothic"/>
          <w:i/>
          <w:iCs/>
          <w:lang w:val="es-CO"/>
        </w:rPr>
      </w:pPr>
      <w:r w:rsidRPr="0025065B">
        <w:rPr>
          <w:rFonts w:ascii="Verdana" w:eastAsia="Century Gothic" w:hAnsi="Verdana" w:cs="Century Gothic"/>
          <w:i/>
          <w:iCs/>
          <w:lang w:val="es-CO"/>
        </w:rPr>
        <w:t>en una licitación de obra puede ser viable incluir precios unitarios y precio global?</w:t>
      </w:r>
    </w:p>
    <w:p w14:paraId="4A1949FF" w14:textId="53325DD6" w:rsidR="00955D18" w:rsidRPr="00022742" w:rsidRDefault="0025065B" w:rsidP="00B115DB">
      <w:pPr>
        <w:tabs>
          <w:tab w:val="left" w:pos="142"/>
          <w:tab w:val="left" w:pos="567"/>
        </w:tabs>
        <w:ind w:left="567" w:right="709"/>
        <w:jc w:val="both"/>
        <w:rPr>
          <w:rFonts w:ascii="Verdana" w:eastAsia="Century Gothic" w:hAnsi="Verdana" w:cs="Century Gothic"/>
          <w:i/>
          <w:iCs/>
        </w:rPr>
      </w:pPr>
      <w:r>
        <w:rPr>
          <w:rFonts w:ascii="Verdana" w:eastAsia="Century Gothic" w:hAnsi="Verdana" w:cs="Century Gothic"/>
          <w:i/>
          <w:iCs/>
        </w:rPr>
        <w:t xml:space="preserve">    </w:t>
      </w:r>
      <w:r w:rsidR="009D04B0" w:rsidRPr="00022742">
        <w:rPr>
          <w:rFonts w:ascii="Verdana" w:eastAsia="Century Gothic" w:hAnsi="Verdana" w:cs="Century Gothic"/>
          <w:i/>
          <w:iCs/>
        </w:rPr>
        <w:t>(…)</w:t>
      </w:r>
      <w:r w:rsidR="008A772E" w:rsidRPr="00022742">
        <w:rPr>
          <w:rFonts w:ascii="Verdana" w:eastAsia="Century Gothic" w:hAnsi="Verdana" w:cs="Century Gothic"/>
          <w:i/>
          <w:iCs/>
        </w:rPr>
        <w:t>”</w:t>
      </w:r>
      <w:r w:rsidR="00955D18" w:rsidRPr="00022742">
        <w:rPr>
          <w:rFonts w:ascii="Verdana" w:eastAsia="Century Gothic" w:hAnsi="Verdana" w:cs="Century Gothic"/>
          <w:i/>
          <w:iCs/>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2857582B"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E21BD1" w:rsidRPr="00E21BD1">
        <w:t xml:space="preserve"> </w:t>
      </w:r>
    </w:p>
    <w:p w14:paraId="1CE7668C" w14:textId="77777777" w:rsidR="000F4D98" w:rsidRDefault="000F4D9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632E0F47" w:rsidR="007D5768"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E136A2">
        <w:rPr>
          <w:rFonts w:ascii="Verdana" w:eastAsia="Century Gothic" w:hAnsi="Verdana" w:cs="Century Gothic"/>
          <w:b/>
          <w:bCs/>
        </w:rPr>
        <w:t xml:space="preserve">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CBB0F77" w14:textId="77777777" w:rsidR="00E21BD1" w:rsidRDefault="00E21BD1" w:rsidP="00E21BD1">
      <w:pPr>
        <w:pStyle w:val="Prrafodelista"/>
        <w:tabs>
          <w:tab w:val="left" w:pos="142"/>
          <w:tab w:val="left" w:pos="284"/>
        </w:tabs>
        <w:spacing w:after="0" w:line="276" w:lineRule="auto"/>
        <w:ind w:left="0"/>
        <w:jc w:val="both"/>
        <w:rPr>
          <w:rFonts w:ascii="Verdana" w:eastAsia="Century Gothic" w:hAnsi="Verdana" w:cs="Century Gothic"/>
          <w:b/>
          <w:bCs/>
        </w:rPr>
      </w:pPr>
    </w:p>
    <w:p w14:paraId="681D2C35" w14:textId="77777777" w:rsidR="000446BC" w:rsidRDefault="00E21BD1" w:rsidP="00E21BD1">
      <w:pPr>
        <w:pStyle w:val="Prrafodelista"/>
        <w:tabs>
          <w:tab w:val="left" w:pos="142"/>
          <w:tab w:val="left" w:pos="284"/>
        </w:tabs>
        <w:spacing w:after="0" w:line="276" w:lineRule="auto"/>
        <w:ind w:left="0"/>
        <w:jc w:val="both"/>
        <w:rPr>
          <w:rFonts w:ascii="Verdana" w:eastAsia="Calibri" w:hAnsi="Verdana" w:cs="Arial"/>
          <w:lang w:eastAsia="es-ES"/>
        </w:rPr>
      </w:pPr>
      <w:r>
        <w:rPr>
          <w:rFonts w:ascii="Verdana" w:eastAsia="Calibri" w:hAnsi="Verdana" w:cs="Arial"/>
          <w:lang w:eastAsia="es-ES"/>
        </w:rPr>
        <w:tab/>
      </w:r>
      <w:r>
        <w:rPr>
          <w:rFonts w:ascii="Verdana" w:eastAsia="Calibri" w:hAnsi="Verdana" w:cs="Arial"/>
          <w:lang w:eastAsia="es-ES"/>
        </w:rPr>
        <w:tab/>
      </w:r>
      <w:r w:rsidR="004E2AB9">
        <w:rPr>
          <w:rFonts w:ascii="Verdana" w:eastAsia="Calibri" w:hAnsi="Verdana" w:cs="Arial"/>
          <w:lang w:eastAsia="es-ES"/>
        </w:rPr>
        <w:t xml:space="preserve">    </w:t>
      </w:r>
      <w:r w:rsidRPr="00E21BD1">
        <w:rPr>
          <w:rFonts w:ascii="Verdana" w:eastAsia="Calibri" w:hAnsi="Verdana" w:cs="Arial"/>
          <w:lang w:eastAsia="es-ES"/>
        </w:rPr>
        <w:t xml:space="preserve">De acuerdo con el contenido de su solicitud, esta Agencia resolverá </w:t>
      </w:r>
      <w:r w:rsidR="0025065B">
        <w:rPr>
          <w:rFonts w:ascii="Verdana" w:eastAsia="Calibri" w:hAnsi="Verdana" w:cs="Arial"/>
          <w:lang w:eastAsia="es-ES"/>
        </w:rPr>
        <w:t>los</w:t>
      </w:r>
      <w:r w:rsidRPr="00E21BD1">
        <w:rPr>
          <w:rFonts w:ascii="Verdana" w:eastAsia="Calibri" w:hAnsi="Verdana" w:cs="Arial"/>
          <w:lang w:eastAsia="es-ES"/>
        </w:rPr>
        <w:t xml:space="preserve"> siguiente</w:t>
      </w:r>
      <w:r w:rsidR="0025065B">
        <w:rPr>
          <w:rFonts w:ascii="Verdana" w:eastAsia="Calibri" w:hAnsi="Verdana" w:cs="Arial"/>
          <w:lang w:eastAsia="es-ES"/>
        </w:rPr>
        <w:t>s</w:t>
      </w:r>
      <w:r w:rsidRPr="00E21BD1">
        <w:rPr>
          <w:rFonts w:ascii="Verdana" w:eastAsia="Calibri" w:hAnsi="Verdana" w:cs="Arial"/>
          <w:lang w:eastAsia="es-ES"/>
        </w:rPr>
        <w:t xml:space="preserve"> problema</w:t>
      </w:r>
      <w:r w:rsidR="0025065B">
        <w:rPr>
          <w:rFonts w:ascii="Verdana" w:eastAsia="Calibri" w:hAnsi="Verdana" w:cs="Arial"/>
          <w:lang w:eastAsia="es-ES"/>
        </w:rPr>
        <w:t>s</w:t>
      </w:r>
      <w:r w:rsidRPr="00E21BD1">
        <w:rPr>
          <w:rFonts w:ascii="Verdana" w:eastAsia="Calibri" w:hAnsi="Verdana" w:cs="Arial"/>
          <w:lang w:eastAsia="es-ES"/>
        </w:rPr>
        <w:t xml:space="preserve"> jurídico</w:t>
      </w:r>
      <w:r w:rsidR="0025065B">
        <w:rPr>
          <w:rFonts w:ascii="Verdana" w:eastAsia="Calibri" w:hAnsi="Verdana" w:cs="Arial"/>
          <w:lang w:eastAsia="es-ES"/>
        </w:rPr>
        <w:t>s</w:t>
      </w:r>
      <w:r w:rsidRPr="00E21BD1">
        <w:rPr>
          <w:rFonts w:ascii="Verdana" w:eastAsia="Calibri" w:hAnsi="Verdana" w:cs="Arial"/>
          <w:lang w:eastAsia="es-ES"/>
        </w:rPr>
        <w:t>:</w:t>
      </w:r>
    </w:p>
    <w:p w14:paraId="2870A3DC" w14:textId="77777777" w:rsidR="000446BC" w:rsidRDefault="000446BC" w:rsidP="00E21BD1">
      <w:pPr>
        <w:pStyle w:val="Prrafodelista"/>
        <w:tabs>
          <w:tab w:val="left" w:pos="142"/>
          <w:tab w:val="left" w:pos="284"/>
        </w:tabs>
        <w:spacing w:after="0" w:line="276" w:lineRule="auto"/>
        <w:ind w:left="0"/>
        <w:jc w:val="both"/>
        <w:rPr>
          <w:rFonts w:ascii="Verdana" w:eastAsia="Calibri" w:hAnsi="Verdana" w:cs="Arial"/>
          <w:lang w:eastAsia="es-ES"/>
        </w:rPr>
      </w:pPr>
    </w:p>
    <w:p w14:paraId="5C5A4F80" w14:textId="50BDE447" w:rsidR="0025065B" w:rsidRDefault="000446BC" w:rsidP="000446BC">
      <w:pPr>
        <w:pStyle w:val="Prrafodelista"/>
        <w:numPr>
          <w:ilvl w:val="0"/>
          <w:numId w:val="49"/>
        </w:numPr>
        <w:tabs>
          <w:tab w:val="left" w:pos="142"/>
          <w:tab w:val="left" w:pos="284"/>
        </w:tabs>
        <w:spacing w:after="0" w:line="276" w:lineRule="auto"/>
        <w:jc w:val="both"/>
        <w:rPr>
          <w:rFonts w:ascii="Verdana" w:eastAsia="Calibri" w:hAnsi="Verdana" w:cs="Arial"/>
          <w:lang w:val="es-CO" w:eastAsia="es-ES"/>
        </w:rPr>
      </w:pPr>
      <w:bookmarkStart w:id="8" w:name="_Hlk196737317"/>
      <w:r w:rsidRPr="000446BC">
        <w:rPr>
          <w:rFonts w:ascii="Verdana" w:eastAsia="Calibri" w:hAnsi="Verdana" w:cs="Arial"/>
          <w:lang w:val="es-CO" w:eastAsia="es-ES"/>
        </w:rPr>
        <w:t>¿Es posible pactar condiciones resolutorias en contratos estatales bajo la autonomía de la voluntad?</w:t>
      </w:r>
    </w:p>
    <w:p w14:paraId="3DB57132" w14:textId="411D3935" w:rsidR="000446BC" w:rsidRDefault="000446BC" w:rsidP="000446BC">
      <w:pPr>
        <w:pStyle w:val="Prrafodelista"/>
        <w:numPr>
          <w:ilvl w:val="0"/>
          <w:numId w:val="49"/>
        </w:numPr>
        <w:tabs>
          <w:tab w:val="left" w:pos="142"/>
          <w:tab w:val="left" w:pos="284"/>
        </w:tabs>
        <w:spacing w:after="0" w:line="276" w:lineRule="auto"/>
        <w:jc w:val="both"/>
        <w:rPr>
          <w:rFonts w:ascii="Verdana" w:eastAsia="Calibri" w:hAnsi="Verdana" w:cs="Arial"/>
          <w:lang w:val="es-CO" w:eastAsia="es-ES"/>
        </w:rPr>
      </w:pPr>
      <w:r w:rsidRPr="000446BC">
        <w:rPr>
          <w:rFonts w:ascii="Verdana" w:eastAsia="Calibri" w:hAnsi="Verdana" w:cs="Arial"/>
          <w:lang w:val="es-CO" w:eastAsia="es-ES"/>
        </w:rPr>
        <w:t>¿Cómo se realiza el conteo de meses en los contratos estatales cuando inician a mediados de un mes?</w:t>
      </w:r>
    </w:p>
    <w:p w14:paraId="604B15AF" w14:textId="47A0A62C" w:rsidR="000446BC" w:rsidRDefault="000446BC" w:rsidP="000446BC">
      <w:pPr>
        <w:pStyle w:val="Prrafodelista"/>
        <w:numPr>
          <w:ilvl w:val="0"/>
          <w:numId w:val="49"/>
        </w:numPr>
        <w:tabs>
          <w:tab w:val="left" w:pos="142"/>
          <w:tab w:val="left" w:pos="284"/>
        </w:tabs>
        <w:spacing w:after="0" w:line="276" w:lineRule="auto"/>
        <w:jc w:val="both"/>
        <w:rPr>
          <w:rFonts w:ascii="Verdana" w:eastAsia="Calibri" w:hAnsi="Verdana" w:cs="Arial"/>
          <w:lang w:val="es-CO" w:eastAsia="es-ES"/>
        </w:rPr>
      </w:pPr>
      <w:r w:rsidRPr="000446BC">
        <w:rPr>
          <w:rFonts w:ascii="Verdana" w:eastAsia="Calibri" w:hAnsi="Verdana" w:cs="Arial"/>
          <w:lang w:val="es-CO" w:eastAsia="es-ES"/>
        </w:rPr>
        <w:t>¿Es viable incluir precios unitarios y precio global en una licitación de obra?</w:t>
      </w:r>
    </w:p>
    <w:p w14:paraId="2F3A121A" w14:textId="77777777" w:rsidR="00B115DB" w:rsidRDefault="00B115DB" w:rsidP="00E21BD1">
      <w:pPr>
        <w:pStyle w:val="Prrafodelista"/>
        <w:tabs>
          <w:tab w:val="left" w:pos="142"/>
          <w:tab w:val="left" w:pos="284"/>
        </w:tabs>
        <w:spacing w:after="0" w:line="276" w:lineRule="auto"/>
        <w:ind w:left="0"/>
        <w:jc w:val="both"/>
        <w:rPr>
          <w:rFonts w:ascii="Verdana" w:eastAsia="Calibri" w:hAnsi="Verdana" w:cs="Arial"/>
          <w:lang w:val="es-CO" w:eastAsia="es-ES"/>
        </w:rPr>
      </w:pPr>
    </w:p>
    <w:bookmarkEnd w:id="8"/>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6561B3A9" w14:textId="77777777" w:rsidR="00642AA4" w:rsidRDefault="007F5013" w:rsidP="00642AA4">
            <w:pPr>
              <w:spacing w:line="276" w:lineRule="auto"/>
              <w:ind w:firstLine="360"/>
              <w:contextualSpacing/>
              <w:jc w:val="both"/>
              <w:rPr>
                <w:rFonts w:ascii="Verdana" w:eastAsia="Calibri" w:hAnsi="Verdana" w:cs="Arial"/>
                <w:bCs/>
                <w:lang w:val="es-ES_tradnl"/>
              </w:rPr>
            </w:pPr>
            <w:r>
              <w:rPr>
                <w:rFonts w:ascii="Verdana" w:eastAsia="Calibri" w:hAnsi="Verdana" w:cs="Arial"/>
                <w:bCs/>
                <w:lang w:val="es-ES_tradnl"/>
              </w:rPr>
              <w:t xml:space="preserve">      </w:t>
            </w:r>
          </w:p>
          <w:p w14:paraId="749BF1C1" w14:textId="3642F22B" w:rsidR="00237F82" w:rsidRDefault="004547CD" w:rsidP="00BF7F57">
            <w:pPr>
              <w:spacing w:line="276" w:lineRule="auto"/>
              <w:ind w:firstLine="360"/>
              <w:contextualSpacing/>
              <w:jc w:val="both"/>
              <w:rPr>
                <w:rFonts w:ascii="Verdana" w:eastAsia="Calibri" w:hAnsi="Verdana" w:cs="Arial"/>
                <w:bCs/>
              </w:rPr>
            </w:pPr>
            <w:r>
              <w:rPr>
                <w:rFonts w:ascii="Verdana" w:eastAsia="Calibri" w:hAnsi="Verdana" w:cs="Times New Roman"/>
                <w:lang w:val="es-ES"/>
              </w:rPr>
              <w:t xml:space="preserve">1. </w:t>
            </w:r>
            <w:r w:rsidR="00FE27F2">
              <w:rPr>
                <w:rFonts w:ascii="Verdana" w:eastAsia="Calibri" w:hAnsi="Verdana" w:cs="Arial"/>
                <w:bCs/>
                <w:lang w:val="es-ES_tradnl"/>
              </w:rPr>
              <w:t>En virtud del principio de la</w:t>
            </w:r>
            <w:r w:rsidR="00BF7F57" w:rsidRPr="00BF7F57">
              <w:rPr>
                <w:rFonts w:ascii="Verdana" w:eastAsia="Calibri" w:hAnsi="Verdana" w:cs="Arial"/>
                <w:bCs/>
                <w:lang w:val="es-ES_tradnl"/>
              </w:rPr>
              <w:t xml:space="preserve"> </w:t>
            </w:r>
            <w:r w:rsidR="00FE27F2" w:rsidRPr="00FE27F2">
              <w:rPr>
                <w:rFonts w:ascii="Verdana" w:eastAsia="Calibri" w:hAnsi="Verdana" w:cs="Arial"/>
                <w:bCs/>
              </w:rPr>
              <w:t>autonomía de la voluntad contractual</w:t>
            </w:r>
            <w:r w:rsidR="00FE27F2">
              <w:rPr>
                <w:rFonts w:ascii="Verdana" w:eastAsia="Calibri" w:hAnsi="Verdana" w:cs="Arial"/>
                <w:bCs/>
              </w:rPr>
              <w:t xml:space="preserve"> las entidades estatales </w:t>
            </w:r>
            <w:r w:rsidR="00FE27F2" w:rsidRPr="00FE27F2">
              <w:rPr>
                <w:rFonts w:ascii="Verdana" w:eastAsia="Calibri" w:hAnsi="Verdana" w:cs="Arial"/>
                <w:bCs/>
              </w:rPr>
              <w:t>pueden incluir cláusulas resolutorias</w:t>
            </w:r>
            <w:r w:rsidR="00FE27F2">
              <w:rPr>
                <w:rFonts w:ascii="Verdana" w:eastAsia="Calibri" w:hAnsi="Verdana" w:cs="Arial"/>
                <w:bCs/>
              </w:rPr>
              <w:t xml:space="preserve"> </w:t>
            </w:r>
            <w:r w:rsidR="00FE27F2" w:rsidRPr="00FE27F2">
              <w:rPr>
                <w:rFonts w:ascii="Verdana" w:eastAsia="Calibri" w:hAnsi="Verdana" w:cs="Arial"/>
                <w:bCs/>
              </w:rPr>
              <w:t>siempre que estas cláusulas no contravengan normas de orden público y respeten los principios que rigen la contratación pública.</w:t>
            </w:r>
          </w:p>
          <w:p w14:paraId="165C6E08" w14:textId="77777777" w:rsidR="00FE27F2" w:rsidRDefault="00FE27F2" w:rsidP="00BF7F57">
            <w:pPr>
              <w:spacing w:line="276" w:lineRule="auto"/>
              <w:ind w:firstLine="360"/>
              <w:contextualSpacing/>
              <w:jc w:val="both"/>
              <w:rPr>
                <w:rFonts w:ascii="Verdana" w:eastAsia="Calibri" w:hAnsi="Verdana" w:cs="Times New Roman"/>
                <w:bCs/>
                <w:lang w:val="es-ES"/>
              </w:rPr>
            </w:pPr>
          </w:p>
          <w:p w14:paraId="5D2E4C1C" w14:textId="459B2BA7" w:rsidR="00FE27F2" w:rsidRDefault="00FE27F2" w:rsidP="00BF7F57">
            <w:pPr>
              <w:spacing w:line="276" w:lineRule="auto"/>
              <w:ind w:firstLine="360"/>
              <w:contextualSpacing/>
              <w:jc w:val="both"/>
              <w:rPr>
                <w:rFonts w:ascii="Verdana" w:eastAsia="Calibri" w:hAnsi="Verdana" w:cs="Times New Roman"/>
                <w:bCs/>
                <w:lang w:val="es-ES"/>
              </w:rPr>
            </w:pPr>
            <w:r>
              <w:rPr>
                <w:rFonts w:ascii="Verdana" w:eastAsia="Calibri" w:hAnsi="Verdana" w:cs="Times New Roman"/>
                <w:bCs/>
                <w:lang w:val="es-ES"/>
              </w:rPr>
              <w:t xml:space="preserve">En este orden de ideas las partes </w:t>
            </w:r>
            <w:r w:rsidRPr="00FE27F2">
              <w:rPr>
                <w:rFonts w:ascii="Verdana" w:eastAsia="Calibri" w:hAnsi="Verdana" w:cs="Times New Roman"/>
                <w:bCs/>
                <w:lang w:val="es-ES"/>
              </w:rPr>
              <w:t xml:space="preserve">puedan acordar aspectos especiales para </w:t>
            </w:r>
            <w:r>
              <w:rPr>
                <w:rFonts w:ascii="Verdana" w:eastAsia="Calibri" w:hAnsi="Verdana" w:cs="Times New Roman"/>
                <w:bCs/>
                <w:lang w:val="es-ES"/>
              </w:rPr>
              <w:t xml:space="preserve">en la </w:t>
            </w:r>
            <w:r w:rsidRPr="00FE27F2">
              <w:rPr>
                <w:rFonts w:ascii="Verdana" w:eastAsia="Calibri" w:hAnsi="Verdana" w:cs="Times New Roman"/>
                <w:bCs/>
                <w:lang w:val="es-ES"/>
              </w:rPr>
              <w:t>configuración</w:t>
            </w:r>
            <w:r>
              <w:rPr>
                <w:rFonts w:ascii="Verdana" w:eastAsia="Calibri" w:hAnsi="Verdana" w:cs="Times New Roman"/>
                <w:bCs/>
                <w:lang w:val="es-ES"/>
              </w:rPr>
              <w:t xml:space="preserve"> de cláusulas </w:t>
            </w:r>
            <w:r w:rsidR="00D95A26">
              <w:rPr>
                <w:rFonts w:ascii="Verdana" w:eastAsia="Calibri" w:hAnsi="Verdana" w:cs="Times New Roman"/>
                <w:bCs/>
                <w:lang w:val="es-ES"/>
              </w:rPr>
              <w:t>resolutorias</w:t>
            </w:r>
            <w:r w:rsidRPr="00FE27F2">
              <w:rPr>
                <w:rFonts w:ascii="Verdana" w:eastAsia="Calibri" w:hAnsi="Verdana" w:cs="Times New Roman"/>
                <w:bCs/>
                <w:lang w:val="es-ES"/>
              </w:rPr>
              <w:t xml:space="preserve"> a partir de la identificación precisa de hechos inciertos y futuros que pueden desencadenar la terminación inmediata de la relación jurídica, en aplicación de la definición general de obligaciones condicionales que se encuentra en el artículo 1530 del mismo Código Civil, junto con los tipos de condiciones potestativas, causales o mixtas de que trata el artículo 1534 siguiente.</w:t>
            </w:r>
            <w:r w:rsidRPr="00FE27F2">
              <w:rPr>
                <w:rFonts w:ascii="Verdana" w:eastAsia="Calibri" w:hAnsi="Verdana" w:cs="Times New Roman"/>
                <w:bCs/>
                <w:lang w:val="es-ES"/>
              </w:rPr>
              <w:tab/>
            </w:r>
          </w:p>
          <w:p w14:paraId="609722E7" w14:textId="77777777" w:rsidR="004547CD" w:rsidRDefault="004547CD" w:rsidP="00BF7F57">
            <w:pPr>
              <w:spacing w:line="276" w:lineRule="auto"/>
              <w:ind w:firstLine="360"/>
              <w:contextualSpacing/>
              <w:jc w:val="both"/>
              <w:rPr>
                <w:rFonts w:ascii="Verdana" w:eastAsia="Calibri" w:hAnsi="Verdana" w:cs="Times New Roman"/>
                <w:lang w:val="es-ES"/>
              </w:rPr>
            </w:pPr>
          </w:p>
          <w:p w14:paraId="4D9AD2CE" w14:textId="11D470F5" w:rsidR="00E915FA" w:rsidRDefault="004547CD" w:rsidP="00E915FA">
            <w:pPr>
              <w:spacing w:line="276" w:lineRule="auto"/>
              <w:ind w:firstLine="360"/>
              <w:contextualSpacing/>
              <w:jc w:val="both"/>
              <w:rPr>
                <w:rFonts w:ascii="Verdana" w:eastAsia="Calibri" w:hAnsi="Verdana" w:cs="Arial"/>
                <w:lang w:val="es-ES"/>
              </w:rPr>
            </w:pPr>
            <w:r>
              <w:rPr>
                <w:rFonts w:ascii="Verdana" w:eastAsia="Calibri" w:hAnsi="Verdana" w:cs="Times New Roman"/>
                <w:lang w:val="es-ES"/>
              </w:rPr>
              <w:t>2.</w:t>
            </w:r>
            <w:r w:rsidR="00E915FA">
              <w:rPr>
                <w:rFonts w:ascii="Verdana" w:eastAsia="Calibri" w:hAnsi="Verdana" w:cs="Times New Roman"/>
                <w:lang w:val="es-ES"/>
              </w:rPr>
              <w:t xml:space="preserve"> </w:t>
            </w:r>
            <w:r w:rsidR="00E915FA" w:rsidRPr="007A0E81">
              <w:rPr>
                <w:rFonts w:ascii="Verdana" w:eastAsia="Calibri" w:hAnsi="Verdana" w:cs="Arial"/>
                <w:lang w:val="es-ES"/>
              </w:rPr>
              <w:t xml:space="preserve">Las reglas establecidas en el Código de Régimen Político y Municipal - </w:t>
            </w:r>
            <w:bookmarkStart w:id="9" w:name="_Hlk196820226"/>
            <w:r w:rsidR="00E915FA" w:rsidRPr="0070786B">
              <w:rPr>
                <w:rFonts w:ascii="Verdana" w:eastAsia="Calibri" w:hAnsi="Verdana"/>
                <w:bCs/>
                <w:color w:val="000000" w:themeColor="text1"/>
              </w:rPr>
              <w:t xml:space="preserve">Ley 4 de 1913 </w:t>
            </w:r>
            <w:bookmarkEnd w:id="9"/>
            <w:r w:rsidR="00E915FA" w:rsidRPr="0070786B">
              <w:rPr>
                <w:rFonts w:ascii="Verdana" w:eastAsia="Calibri" w:hAnsi="Verdana"/>
                <w:bCs/>
                <w:color w:val="000000" w:themeColor="text1"/>
              </w:rPr>
              <w:t>-</w:t>
            </w:r>
            <w:r w:rsidR="00E915FA" w:rsidRPr="007A0E81">
              <w:rPr>
                <w:rFonts w:ascii="Verdana" w:eastAsia="Calibri" w:hAnsi="Verdana" w:cs="Arial"/>
                <w:lang w:val="es-ES"/>
              </w:rPr>
              <w:t xml:space="preserve">, se aplican "en general a cualesquiera plazos o términos prescritos en las leyes o en los actos de las autoridades nacionales, salvo que en las mismas leyes o actos se disponga expresamente otra cosa" (art. 59). </w:t>
            </w:r>
            <w:r w:rsidR="00E915FA">
              <w:rPr>
                <w:rFonts w:ascii="Verdana" w:eastAsia="Calibri" w:hAnsi="Verdana" w:cs="Arial"/>
                <w:lang w:val="es-ES"/>
              </w:rPr>
              <w:t>Así, l</w:t>
            </w:r>
            <w:r w:rsidR="00E915FA" w:rsidRPr="007A0E81">
              <w:rPr>
                <w:rFonts w:ascii="Verdana" w:eastAsia="Calibri" w:hAnsi="Verdana" w:cs="Arial"/>
                <w:lang w:val="es-ES"/>
              </w:rPr>
              <w:t xml:space="preserve">os </w:t>
            </w:r>
            <w:bookmarkStart w:id="10" w:name="_Hlk196820237"/>
            <w:r w:rsidR="00E915FA" w:rsidRPr="007A0E81">
              <w:rPr>
                <w:rFonts w:ascii="Verdana" w:eastAsia="Calibri" w:hAnsi="Verdana" w:cs="Arial"/>
                <w:lang w:val="es-ES"/>
              </w:rPr>
              <w:t xml:space="preserve">artículos 59 y siguientes del Código de Régimen Político y Municipal </w:t>
            </w:r>
            <w:bookmarkEnd w:id="10"/>
            <w:r w:rsidR="00E915FA" w:rsidRPr="007A0E81">
              <w:rPr>
                <w:rFonts w:ascii="Verdana" w:eastAsia="Calibri" w:hAnsi="Verdana" w:cs="Arial"/>
                <w:lang w:val="es-ES"/>
              </w:rPr>
              <w:t xml:space="preserve">contienen normas generales sobre la forma de contabilizar los términos establecidos en las leyes y demás actos oficiales. Se tiene entonces, como primera conclusión, que es una norma de carácter general y, por tanto, no se trata de una norma directamente relacionada con los contratos estatales, </w:t>
            </w:r>
            <w:r w:rsidR="00E915FA" w:rsidRPr="007A0E81">
              <w:rPr>
                <w:rFonts w:ascii="Verdana" w:eastAsia="Calibri" w:hAnsi="Verdana" w:cs="Arial"/>
                <w:lang w:val="es-ES"/>
              </w:rPr>
              <w:lastRenderedPageBreak/>
              <w:t>aunque puede aplicarse de manera supletiva</w:t>
            </w:r>
            <w:r w:rsidR="00E915FA">
              <w:rPr>
                <w:rFonts w:ascii="Verdana" w:eastAsia="Calibri" w:hAnsi="Verdana" w:cs="Arial"/>
                <w:lang w:val="es-ES"/>
              </w:rPr>
              <w:t xml:space="preserve"> a ellos</w:t>
            </w:r>
            <w:r w:rsidR="00E915FA" w:rsidRPr="007A0E81">
              <w:rPr>
                <w:rFonts w:ascii="Verdana" w:eastAsia="Calibri" w:hAnsi="Verdana" w:cs="Arial"/>
                <w:lang w:val="es-ES"/>
              </w:rPr>
              <w:t xml:space="preserve">. </w:t>
            </w:r>
            <w:r w:rsidR="00E915FA">
              <w:rPr>
                <w:rFonts w:ascii="Verdana" w:eastAsia="Calibri" w:hAnsi="Verdana" w:cs="Arial"/>
                <w:lang w:val="es-ES"/>
              </w:rPr>
              <w:t>Así mismo, e</w:t>
            </w:r>
            <w:r w:rsidR="00E915FA" w:rsidRPr="007A0E81">
              <w:rPr>
                <w:rFonts w:ascii="Verdana" w:eastAsia="Calibri" w:hAnsi="Verdana" w:cs="Arial"/>
                <w:lang w:val="es-ES"/>
              </w:rPr>
              <w:t xml:space="preserve">sta disposición no limita su aplicación a ciertos sujetos, lo que permite que cualquiera pueda acogerse a dicha excepción. </w:t>
            </w:r>
          </w:p>
          <w:p w14:paraId="0C4490F8" w14:textId="77777777" w:rsidR="00E915FA" w:rsidRPr="007A0E81" w:rsidRDefault="00E915FA" w:rsidP="00E915FA">
            <w:pPr>
              <w:spacing w:line="276" w:lineRule="auto"/>
              <w:ind w:firstLine="360"/>
              <w:contextualSpacing/>
              <w:jc w:val="both"/>
              <w:rPr>
                <w:rFonts w:ascii="Verdana" w:eastAsia="Calibri" w:hAnsi="Verdana" w:cs="Arial"/>
                <w:lang w:val="es-ES"/>
              </w:rPr>
            </w:pPr>
          </w:p>
          <w:p w14:paraId="479618EE" w14:textId="3B5CC55B" w:rsidR="00E915FA" w:rsidRPr="007A0E81" w:rsidRDefault="00955A30" w:rsidP="00955A30">
            <w:pPr>
              <w:spacing w:after="120" w:line="276" w:lineRule="auto"/>
              <w:jc w:val="both"/>
              <w:rPr>
                <w:rFonts w:ascii="Verdana" w:eastAsia="Calibri" w:hAnsi="Verdana" w:cs="Arial"/>
                <w:lang w:val="es-ES"/>
              </w:rPr>
            </w:pPr>
            <w:r>
              <w:rPr>
                <w:rFonts w:ascii="Verdana" w:eastAsia="Calibri" w:hAnsi="Verdana" w:cs="Arial"/>
                <w:lang w:val="es-ES"/>
              </w:rPr>
              <w:t xml:space="preserve">       </w:t>
            </w:r>
            <w:r w:rsidR="00E915FA">
              <w:rPr>
                <w:rFonts w:ascii="Verdana" w:eastAsia="Calibri" w:hAnsi="Verdana" w:cs="Arial"/>
                <w:lang w:val="es-ES"/>
              </w:rPr>
              <w:t>Ahora bien</w:t>
            </w:r>
            <w:r w:rsidR="00E915FA" w:rsidRPr="007A0E81">
              <w:rPr>
                <w:rFonts w:ascii="Verdana" w:eastAsia="Calibri" w:hAnsi="Verdana" w:cs="Arial"/>
                <w:lang w:val="es-ES"/>
              </w:rPr>
              <w:t xml:space="preserve">, </w:t>
            </w:r>
            <w:r w:rsidR="00E915FA">
              <w:rPr>
                <w:rFonts w:ascii="Verdana" w:eastAsia="Calibri" w:hAnsi="Verdana" w:cs="Arial"/>
                <w:lang w:val="es-ES"/>
              </w:rPr>
              <w:t xml:space="preserve">respecto al problema jurídico planteado, debe señalarse que, </w:t>
            </w:r>
            <w:r w:rsidR="00E915FA" w:rsidRPr="007A0E81">
              <w:rPr>
                <w:rFonts w:ascii="Verdana" w:eastAsia="Calibri" w:hAnsi="Verdana" w:cs="Arial"/>
                <w:lang w:val="es-ES"/>
              </w:rPr>
              <w:t xml:space="preserve">el cálculo de los términos podrá realizarse con base en las siguientes </w:t>
            </w:r>
            <w:r w:rsidR="00E915FA">
              <w:rPr>
                <w:rFonts w:ascii="Verdana" w:eastAsia="Calibri" w:hAnsi="Verdana" w:cs="Arial"/>
                <w:lang w:val="es-ES"/>
              </w:rPr>
              <w:t xml:space="preserve">consideraciones: </w:t>
            </w:r>
            <w:r w:rsidR="00E915FA" w:rsidRPr="007A0E81">
              <w:rPr>
                <w:rFonts w:ascii="Verdana" w:eastAsia="Calibri" w:hAnsi="Verdana" w:cs="Arial"/>
                <w:lang w:val="es-ES"/>
              </w:rPr>
              <w:t>i) L</w:t>
            </w:r>
            <w:r w:rsidR="00E915FA">
              <w:rPr>
                <w:rFonts w:ascii="Verdana" w:eastAsia="Calibri" w:hAnsi="Verdana" w:cs="Arial"/>
                <w:lang w:val="es-ES"/>
              </w:rPr>
              <w:t>a forma de contabilizar l</w:t>
            </w:r>
            <w:r w:rsidR="00E915FA" w:rsidRPr="007A0E81">
              <w:rPr>
                <w:rFonts w:ascii="Verdana" w:eastAsia="Calibri" w:hAnsi="Verdana" w:cs="Arial"/>
                <w:lang w:val="es-ES"/>
              </w:rPr>
              <w:t>os términos contenid</w:t>
            </w:r>
            <w:r w:rsidR="00E915FA">
              <w:rPr>
                <w:rFonts w:ascii="Verdana" w:eastAsia="Calibri" w:hAnsi="Verdana" w:cs="Arial"/>
                <w:lang w:val="es-ES"/>
              </w:rPr>
              <w:t>a</w:t>
            </w:r>
            <w:r w:rsidR="00E915FA" w:rsidRPr="007A0E81">
              <w:rPr>
                <w:rFonts w:ascii="Verdana" w:eastAsia="Calibri" w:hAnsi="Verdana" w:cs="Arial"/>
                <w:lang w:val="es-ES"/>
              </w:rPr>
              <w:t xml:space="preserve"> en los </w:t>
            </w:r>
            <w:bookmarkStart w:id="11" w:name="_Hlk196820246"/>
            <w:r w:rsidR="00E915FA" w:rsidRPr="007A0E81">
              <w:rPr>
                <w:rFonts w:ascii="Verdana" w:eastAsia="Calibri" w:hAnsi="Verdana" w:cs="Arial"/>
                <w:lang w:val="es-ES"/>
              </w:rPr>
              <w:t xml:space="preserve">artículos 59 y 62 de la </w:t>
            </w:r>
            <w:r w:rsidR="00E915FA">
              <w:rPr>
                <w:rFonts w:ascii="Verdana" w:eastAsia="Calibri" w:hAnsi="Verdana" w:cs="Arial"/>
                <w:lang w:val="es-ES"/>
              </w:rPr>
              <w:t>L</w:t>
            </w:r>
            <w:r w:rsidR="00E915FA" w:rsidRPr="007A0E81">
              <w:rPr>
                <w:rFonts w:ascii="Verdana" w:eastAsia="Calibri" w:hAnsi="Verdana" w:cs="Arial"/>
                <w:lang w:val="es-ES"/>
              </w:rPr>
              <w:t xml:space="preserve">ey 4 de 1913 </w:t>
            </w:r>
            <w:bookmarkEnd w:id="11"/>
            <w:r w:rsidR="00E915FA">
              <w:rPr>
                <w:rFonts w:ascii="Verdana" w:eastAsia="Calibri" w:hAnsi="Verdana" w:cs="Arial"/>
                <w:lang w:val="es-ES"/>
              </w:rPr>
              <w:t xml:space="preserve">y; </w:t>
            </w:r>
            <w:r w:rsidR="00E915FA" w:rsidRPr="007A0E81">
              <w:rPr>
                <w:rFonts w:ascii="Verdana" w:eastAsia="Calibri" w:hAnsi="Verdana" w:cs="Arial"/>
                <w:lang w:val="es-ES"/>
              </w:rPr>
              <w:t>ii) El plazo será el acordado por las partes contratantes</w:t>
            </w:r>
            <w:r w:rsidR="00E915FA">
              <w:rPr>
                <w:rFonts w:ascii="Verdana" w:eastAsia="Calibri" w:hAnsi="Verdana" w:cs="Arial"/>
                <w:lang w:val="es-ES"/>
              </w:rPr>
              <w:t xml:space="preserve">, y </w:t>
            </w:r>
            <w:r w:rsidR="00E915FA" w:rsidRPr="007A0E81">
              <w:rPr>
                <w:rFonts w:ascii="Verdana" w:eastAsia="Calibri" w:hAnsi="Verdana" w:cs="Arial"/>
                <w:lang w:val="es-ES"/>
              </w:rPr>
              <w:t>a</w:t>
            </w:r>
            <w:r w:rsidR="00E915FA" w:rsidRPr="007A0E81">
              <w:rPr>
                <w:rFonts w:ascii="Verdana" w:eastAsia="Calibri" w:hAnsi="Verdana" w:cs="Arial"/>
              </w:rPr>
              <w:t>tendiendo al principio de autonomía de la voluntad</w:t>
            </w:r>
            <w:r w:rsidR="00E915FA">
              <w:rPr>
                <w:rFonts w:ascii="Verdana" w:eastAsia="Calibri" w:hAnsi="Verdana" w:cs="Arial"/>
              </w:rPr>
              <w:t xml:space="preserve">, la contabilización del mismo deberá efectuarse de acuerdo con la voluntad de las partes expresada en las cláusulas del contrato o con las estipulaciones contenidas en los documentos del proceso. </w:t>
            </w:r>
          </w:p>
          <w:p w14:paraId="2FDF3899" w14:textId="77777777" w:rsidR="00722741" w:rsidRDefault="00955A30" w:rsidP="00722741">
            <w:pPr>
              <w:spacing w:line="276" w:lineRule="auto"/>
              <w:ind w:firstLine="360"/>
              <w:contextualSpacing/>
              <w:jc w:val="both"/>
              <w:rPr>
                <w:rFonts w:ascii="Verdana" w:eastAsia="Calibri" w:hAnsi="Verdana"/>
                <w:bCs/>
                <w:color w:val="000000" w:themeColor="text1"/>
              </w:rPr>
            </w:pPr>
            <w:r>
              <w:rPr>
                <w:rFonts w:ascii="Verdana" w:eastAsia="Calibri" w:hAnsi="Verdana" w:cs="Arial"/>
                <w:lang w:val="es-ES"/>
              </w:rPr>
              <w:t xml:space="preserve">    </w:t>
            </w:r>
            <w:r w:rsidR="00E915FA" w:rsidRPr="007A0E81">
              <w:rPr>
                <w:rFonts w:ascii="Verdana" w:eastAsia="Calibri" w:hAnsi="Verdana" w:cs="Arial"/>
                <w:lang w:val="es-ES"/>
              </w:rPr>
              <w:t xml:space="preserve">Para la primera </w:t>
            </w:r>
            <w:r w:rsidR="00E915FA">
              <w:rPr>
                <w:rFonts w:ascii="Verdana" w:eastAsia="Calibri" w:hAnsi="Verdana" w:cs="Arial"/>
                <w:lang w:val="es-ES"/>
              </w:rPr>
              <w:t>consideración</w:t>
            </w:r>
            <w:r w:rsidR="00E915FA" w:rsidRPr="007A0E81">
              <w:rPr>
                <w:rFonts w:ascii="Verdana" w:eastAsia="Calibri" w:hAnsi="Verdana" w:cs="Arial"/>
                <w:lang w:val="es-ES"/>
              </w:rPr>
              <w:t xml:space="preserve">, </w:t>
            </w:r>
            <w:r w:rsidR="00E915FA">
              <w:rPr>
                <w:rFonts w:ascii="Verdana" w:eastAsia="Calibri" w:hAnsi="Verdana" w:cs="Arial"/>
                <w:lang w:val="es-ES"/>
              </w:rPr>
              <w:t>de conformidad con</w:t>
            </w:r>
            <w:r w:rsidR="00E915FA" w:rsidRPr="007A0E81">
              <w:rPr>
                <w:rFonts w:ascii="Verdana" w:eastAsia="Calibri" w:hAnsi="Verdana" w:cs="Arial"/>
                <w:lang w:val="es-ES"/>
              </w:rPr>
              <w:t xml:space="preserve"> lo señalado en</w:t>
            </w:r>
            <w:r w:rsidR="00E915FA">
              <w:rPr>
                <w:rFonts w:ascii="Verdana" w:eastAsia="Calibri" w:hAnsi="Verdana" w:cs="Arial"/>
                <w:lang w:val="es-ES"/>
              </w:rPr>
              <w:t xml:space="preserve"> el artículo 62</w:t>
            </w:r>
            <w:r w:rsidR="00E915FA" w:rsidRPr="007A0E81">
              <w:rPr>
                <w:rFonts w:ascii="Verdana" w:eastAsia="Calibri" w:hAnsi="Verdana" w:cs="Arial"/>
                <w:lang w:val="es-ES"/>
              </w:rPr>
              <w:t xml:space="preserve"> la </w:t>
            </w:r>
            <w:r w:rsidR="00E915FA">
              <w:rPr>
                <w:rFonts w:ascii="Verdana" w:eastAsia="Calibri" w:hAnsi="Verdana" w:cs="Arial"/>
                <w:lang w:val="es-ES"/>
              </w:rPr>
              <w:t>L</w:t>
            </w:r>
            <w:r w:rsidR="00E915FA" w:rsidRPr="007A0E81">
              <w:rPr>
                <w:rFonts w:ascii="Verdana" w:eastAsia="Calibri" w:hAnsi="Verdana" w:cs="Arial"/>
                <w:lang w:val="es-ES"/>
              </w:rPr>
              <w:t>ey 4 de 1913</w:t>
            </w:r>
            <w:r w:rsidR="00E915FA">
              <w:rPr>
                <w:rFonts w:ascii="Verdana" w:eastAsia="Calibri" w:hAnsi="Verdana" w:cs="Arial"/>
                <w:lang w:val="es-ES"/>
              </w:rPr>
              <w:t xml:space="preserve">, tratándose de un plazo fijado en meses, </w:t>
            </w:r>
            <w:r w:rsidR="00E915FA" w:rsidRPr="007A0E81">
              <w:rPr>
                <w:rFonts w:ascii="Verdana" w:eastAsia="Calibri" w:hAnsi="Verdana" w:cs="Arial"/>
                <w:lang w:val="es-ES"/>
              </w:rPr>
              <w:t xml:space="preserve">este se computa conforme al calendario, </w:t>
            </w:r>
            <w:r w:rsidR="00E915FA" w:rsidRPr="00846853">
              <w:rPr>
                <w:rFonts w:ascii="Verdana" w:eastAsia="Calibri" w:hAnsi="Verdana"/>
                <w:bCs/>
                <w:color w:val="000000" w:themeColor="text1"/>
              </w:rPr>
              <w:t>extendiéndose hasta el día hábil siguiente si el mes termina en un día feriado o vacante</w:t>
            </w:r>
            <w:r w:rsidR="00E915FA">
              <w:rPr>
                <w:rFonts w:ascii="Verdana" w:eastAsia="Calibri" w:hAnsi="Verdana"/>
                <w:bCs/>
                <w:color w:val="000000" w:themeColor="text1"/>
              </w:rPr>
              <w:t>, e</w:t>
            </w:r>
            <w:r w:rsidR="00E915FA" w:rsidRPr="00E915FA">
              <w:rPr>
                <w:rFonts w:ascii="Verdana" w:eastAsia="Calibri" w:hAnsi="Verdana"/>
                <w:bCs/>
                <w:color w:val="000000" w:themeColor="text1"/>
              </w:rPr>
              <w:t>s decir, si el contrato inicia el 15 de un mes, el mes siguiente se contará hasta el 15 del mes siguiente, independientemente de si el mes tiene 28, 30 o 31 días</w:t>
            </w:r>
            <w:r w:rsidR="00E915FA">
              <w:rPr>
                <w:rFonts w:ascii="Verdana" w:eastAsia="Calibri" w:hAnsi="Verdana"/>
                <w:bCs/>
                <w:color w:val="000000" w:themeColor="text1"/>
              </w:rPr>
              <w:t>.</w:t>
            </w:r>
          </w:p>
          <w:p w14:paraId="6FBD355D" w14:textId="77777777" w:rsidR="00722741" w:rsidRDefault="00722741" w:rsidP="00722741">
            <w:pPr>
              <w:spacing w:line="276" w:lineRule="auto"/>
              <w:ind w:firstLine="360"/>
              <w:contextualSpacing/>
              <w:jc w:val="both"/>
              <w:rPr>
                <w:rFonts w:ascii="Verdana" w:eastAsia="Calibri" w:hAnsi="Verdana" w:cs="Arial"/>
              </w:rPr>
            </w:pPr>
          </w:p>
          <w:p w14:paraId="1A4F0528" w14:textId="7DB42558" w:rsidR="00E915FA" w:rsidRDefault="00722741" w:rsidP="00722741">
            <w:pPr>
              <w:spacing w:line="276" w:lineRule="auto"/>
              <w:ind w:firstLine="360"/>
              <w:contextualSpacing/>
              <w:jc w:val="both"/>
              <w:rPr>
                <w:rFonts w:ascii="Verdana" w:eastAsia="Calibri" w:hAnsi="Verdana" w:cs="Arial"/>
              </w:rPr>
            </w:pPr>
            <w:r>
              <w:rPr>
                <w:rFonts w:ascii="Verdana" w:eastAsia="Calibri" w:hAnsi="Verdana" w:cs="Arial"/>
              </w:rPr>
              <w:t xml:space="preserve">   </w:t>
            </w:r>
            <w:r w:rsidR="00E915FA">
              <w:rPr>
                <w:rFonts w:ascii="Verdana" w:eastAsia="Calibri" w:hAnsi="Verdana" w:cs="Arial"/>
              </w:rPr>
              <w:t xml:space="preserve">De igual manera, </w:t>
            </w:r>
            <w:r w:rsidR="00E915FA" w:rsidRPr="007A0E81">
              <w:rPr>
                <w:rFonts w:ascii="Verdana" w:eastAsia="Calibri" w:hAnsi="Verdana" w:cs="Arial"/>
              </w:rPr>
              <w:t>cabe señalar que el contrato estatal es un acuerdo de voluntades celebrado entre una entidad estatal y un particular o entre dos entidades estatales, que tiene como finalidad crear, modificar o extinguir obligaciones para las partes que lo suscriben. Este tipo de contrato se rige por un régimen jurídico mixto, compuesto tanto por normas de carácter privado como por disposiciones de naturaleza comercial.</w:t>
            </w:r>
          </w:p>
          <w:p w14:paraId="2167FE87" w14:textId="77777777" w:rsidR="00722741" w:rsidRPr="00722741" w:rsidRDefault="00722741" w:rsidP="00722741">
            <w:pPr>
              <w:spacing w:line="276" w:lineRule="auto"/>
              <w:ind w:firstLine="360"/>
              <w:contextualSpacing/>
              <w:jc w:val="both"/>
              <w:rPr>
                <w:rFonts w:ascii="Verdana" w:eastAsia="Calibri" w:hAnsi="Verdana"/>
                <w:bCs/>
                <w:color w:val="000000" w:themeColor="text1"/>
              </w:rPr>
            </w:pPr>
          </w:p>
          <w:p w14:paraId="64859A28" w14:textId="77777777" w:rsidR="00E915FA" w:rsidRPr="007A0E81" w:rsidRDefault="00E915FA" w:rsidP="00E915FA">
            <w:pPr>
              <w:spacing w:after="120" w:line="276" w:lineRule="auto"/>
              <w:ind w:firstLine="709"/>
              <w:jc w:val="both"/>
              <w:rPr>
                <w:rFonts w:ascii="Verdana" w:eastAsia="Calibri" w:hAnsi="Verdana" w:cs="Arial"/>
                <w:lang w:val="es-ES"/>
              </w:rPr>
            </w:pPr>
            <w:r w:rsidRPr="007A0E81">
              <w:rPr>
                <w:rFonts w:ascii="Verdana" w:eastAsia="Calibri" w:hAnsi="Verdana" w:cs="Arial"/>
              </w:rPr>
              <w:t>En este sentido, teniendo en cuenta el principio de autonomía de la voluntad que caracteriza los contratos estatales, la determinación de los plazos dentro de la actividad contractual adquiere especial relevancia. Esto con el propósito de garantizar el cumplimiento de las obligaciones asumidas en el marco del contrato, dejando en manos de las partes la facultad de fijar dichos plazos conforme a lo pactado.</w:t>
            </w:r>
          </w:p>
          <w:p w14:paraId="7477ED6F" w14:textId="77777777" w:rsidR="00E915FA" w:rsidRPr="007A0E81" w:rsidRDefault="00E915FA" w:rsidP="00E915FA">
            <w:pPr>
              <w:spacing w:after="120" w:line="276" w:lineRule="auto"/>
              <w:ind w:firstLine="709"/>
              <w:jc w:val="both"/>
              <w:rPr>
                <w:rFonts w:ascii="Verdana" w:eastAsia="Calibri" w:hAnsi="Verdana" w:cs="Arial"/>
              </w:rPr>
            </w:pPr>
            <w:r w:rsidRPr="007A0E81">
              <w:rPr>
                <w:rFonts w:ascii="Verdana" w:eastAsia="Calibri" w:hAnsi="Verdana" w:cs="Arial"/>
              </w:rPr>
              <w:lastRenderedPageBreak/>
              <w:t xml:space="preserve">Atendiendo al principio de autonomía de la voluntad que rige la contratación estatal y que está contemplado en el artículo 40 de la Ley 80 de 1993, las partes pueden pactar cláusulas que contemplen mecanismos que permitan el establecimiento del plazo en el que se han de ejecutar las actividades u obligaciones contenidas en el contrato. </w:t>
            </w:r>
          </w:p>
          <w:p w14:paraId="5582E9C5" w14:textId="7336A7FD" w:rsidR="00E915FA" w:rsidRPr="00BF7F57" w:rsidRDefault="00955A30" w:rsidP="00E915FA">
            <w:pPr>
              <w:spacing w:line="276" w:lineRule="auto"/>
              <w:ind w:firstLine="360"/>
              <w:contextualSpacing/>
              <w:jc w:val="both"/>
              <w:rPr>
                <w:rFonts w:ascii="Verdana" w:eastAsia="Calibri" w:hAnsi="Verdana" w:cs="Times New Roman"/>
                <w:lang w:val="es-ES"/>
              </w:rPr>
            </w:pPr>
            <w:r>
              <w:rPr>
                <w:rFonts w:ascii="Verdana" w:eastAsia="Calibri" w:hAnsi="Verdana" w:cs="Arial"/>
                <w:lang w:val="es-ES"/>
              </w:rPr>
              <w:t xml:space="preserve">     </w:t>
            </w:r>
            <w:r w:rsidR="00E915FA" w:rsidRPr="007A0E81">
              <w:rPr>
                <w:rFonts w:ascii="Verdana" w:eastAsia="Calibri" w:hAnsi="Verdana" w:cs="Arial"/>
                <w:lang w:val="es-ES"/>
              </w:rPr>
              <w:t>De conformidad con lo anterior corresponderá a la entidad determinar la fecha de finalización del contrato, por lo que, en esta instancia, realizar una adecuada planeación del contrato, así como la elaboración de cláusulas claras y la sujeción a un acta de inicio sería una herramienta muy útil a fin de definir los plazos del contrato, sujetándolos a fechas ciertas y determinadas</w:t>
            </w:r>
            <w:r>
              <w:rPr>
                <w:rFonts w:ascii="Verdana" w:eastAsia="Calibri" w:hAnsi="Verdana" w:cs="Arial"/>
                <w:lang w:val="es-ES"/>
              </w:rPr>
              <w:t>.</w:t>
            </w:r>
          </w:p>
          <w:p w14:paraId="5581C2FE" w14:textId="77777777" w:rsidR="00237F82" w:rsidRDefault="00237F82" w:rsidP="007C4B5D">
            <w:pPr>
              <w:widowControl w:val="0"/>
              <w:autoSpaceDE w:val="0"/>
              <w:autoSpaceDN w:val="0"/>
              <w:spacing w:line="276" w:lineRule="auto"/>
              <w:jc w:val="both"/>
              <w:rPr>
                <w:rFonts w:ascii="Verdana" w:eastAsia="Calibri" w:hAnsi="Verdana" w:cs="Arial"/>
                <w:bCs/>
                <w:lang w:val="es-ES_tradnl"/>
              </w:rPr>
            </w:pPr>
          </w:p>
          <w:p w14:paraId="0B4C33E6" w14:textId="69562717" w:rsidR="00722741" w:rsidRDefault="001B4F11" w:rsidP="007C4B5D">
            <w:pPr>
              <w:widowControl w:val="0"/>
              <w:autoSpaceDE w:val="0"/>
              <w:autoSpaceDN w:val="0"/>
              <w:spacing w:line="276" w:lineRule="auto"/>
              <w:jc w:val="both"/>
              <w:rPr>
                <w:rFonts w:ascii="Verdana" w:eastAsia="Calibri" w:hAnsi="Verdana" w:cs="Arial"/>
                <w:bCs/>
              </w:rPr>
            </w:pPr>
            <w:r>
              <w:rPr>
                <w:rFonts w:ascii="Verdana" w:eastAsia="Calibri" w:hAnsi="Verdana" w:cs="Arial"/>
                <w:bCs/>
                <w:lang w:val="es-ES_tradnl"/>
              </w:rPr>
              <w:t xml:space="preserve">         </w:t>
            </w:r>
            <w:r w:rsidR="00955A30">
              <w:rPr>
                <w:rFonts w:ascii="Verdana" w:eastAsia="Calibri" w:hAnsi="Verdana" w:cs="Arial"/>
                <w:bCs/>
                <w:lang w:val="es-ES_tradnl"/>
              </w:rPr>
              <w:t>3.</w:t>
            </w:r>
            <w:r w:rsidR="00722741">
              <w:rPr>
                <w:rFonts w:ascii="Verdana" w:eastAsia="Calibri" w:hAnsi="Verdana" w:cs="Arial"/>
                <w:bCs/>
                <w:lang w:val="es-ES_tradnl"/>
              </w:rPr>
              <w:t xml:space="preserve"> L</w:t>
            </w:r>
            <w:r w:rsidR="00722741" w:rsidRPr="00722741">
              <w:rPr>
                <w:rFonts w:ascii="Verdana" w:eastAsia="Calibri" w:hAnsi="Verdana" w:cs="Arial"/>
                <w:bCs/>
              </w:rPr>
              <w:t xml:space="preserve">a elección entre precios unitarios, precio global o una combinación de ambos debe basarse en las características del objeto a contratar y en la naturaleza de las actividades a ejecutar. </w:t>
            </w:r>
            <w:r w:rsidR="00722741">
              <w:rPr>
                <w:rFonts w:ascii="Verdana" w:eastAsia="Calibri" w:hAnsi="Verdana" w:cs="Arial"/>
                <w:bCs/>
              </w:rPr>
              <w:t>Por lo que corresponde a l</w:t>
            </w:r>
            <w:r w:rsidR="00722741" w:rsidRPr="00722741">
              <w:rPr>
                <w:rFonts w:ascii="Verdana" w:eastAsia="Calibri" w:hAnsi="Verdana" w:cs="Arial"/>
                <w:bCs/>
              </w:rPr>
              <w:t>a entidad</w:t>
            </w:r>
          </w:p>
          <w:p w14:paraId="27F11B62" w14:textId="2D4B7212" w:rsidR="00722741" w:rsidRDefault="00722741" w:rsidP="007C4B5D">
            <w:pPr>
              <w:widowControl w:val="0"/>
              <w:autoSpaceDE w:val="0"/>
              <w:autoSpaceDN w:val="0"/>
              <w:spacing w:line="276" w:lineRule="auto"/>
              <w:jc w:val="both"/>
              <w:rPr>
                <w:rFonts w:ascii="Verdana" w:eastAsia="Calibri" w:hAnsi="Verdana" w:cs="Arial"/>
                <w:bCs/>
              </w:rPr>
            </w:pPr>
            <w:r>
              <w:rPr>
                <w:rFonts w:ascii="Verdana" w:eastAsia="Calibri" w:hAnsi="Verdana" w:cs="Arial"/>
                <w:bCs/>
              </w:rPr>
              <w:t xml:space="preserve">estatal evaluar </w:t>
            </w:r>
            <w:r w:rsidRPr="00722741">
              <w:rPr>
                <w:rFonts w:ascii="Verdana" w:eastAsia="Calibri" w:hAnsi="Verdana" w:cs="Arial"/>
                <w:bCs/>
              </w:rPr>
              <w:t>la posibilidad de utilizar precios unitarios, precio global o una combinación de ambos en la contratación de obras públicas, siempre que esta decisión esté debidamente sustentada y se garantice la transparencia y eficiencia del proceso contractual</w:t>
            </w:r>
            <w:r>
              <w:rPr>
                <w:rFonts w:ascii="Verdana" w:eastAsia="Calibri" w:hAnsi="Verdana" w:cs="Arial"/>
                <w:bCs/>
              </w:rPr>
              <w:t>.</w:t>
            </w:r>
          </w:p>
          <w:p w14:paraId="7B4B2426" w14:textId="77777777" w:rsidR="00955A30" w:rsidRDefault="00955A30" w:rsidP="007C4B5D">
            <w:pPr>
              <w:widowControl w:val="0"/>
              <w:autoSpaceDE w:val="0"/>
              <w:autoSpaceDN w:val="0"/>
              <w:spacing w:line="276" w:lineRule="auto"/>
              <w:jc w:val="both"/>
              <w:rPr>
                <w:rFonts w:ascii="Verdana" w:eastAsia="Calibri" w:hAnsi="Verdana" w:cs="Arial"/>
                <w:bCs/>
                <w:lang w:val="es-ES_tradnl"/>
              </w:rPr>
            </w:pPr>
          </w:p>
          <w:p w14:paraId="282FF45C" w14:textId="64C9E0F2" w:rsidR="00B115DB" w:rsidRPr="00DB4737" w:rsidRDefault="00FD1A7E" w:rsidP="007A663E">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FE27F2">
              <w:rPr>
                <w:rFonts w:ascii="Verdana" w:eastAsia="Calibri" w:hAnsi="Verdana" w:cs="Arial"/>
                <w:bCs/>
                <w:color w:val="000000" w:themeColor="text1"/>
              </w:rPr>
              <w:t>Finalmente</w:t>
            </w:r>
            <w:r w:rsidR="00BF7F57">
              <w:rPr>
                <w:rFonts w:ascii="Verdana" w:eastAsia="Calibri" w:hAnsi="Verdana" w:cs="Times New Roman"/>
                <w:lang w:val="es-ES"/>
              </w:rPr>
              <w:t>,</w:t>
            </w:r>
            <w:r w:rsidR="00B115DB" w:rsidRPr="00DB4737">
              <w:rPr>
                <w:rFonts w:ascii="Verdana" w:eastAsia="Calibri" w:hAnsi="Verdana" w:cs="Times New Roman"/>
                <w:lang w:val="es-ES"/>
              </w:rPr>
              <w:t xml:space="preserve"> debe advertirse que el análisis para resolver problemas específicos en torno a </w:t>
            </w:r>
            <w:r w:rsidR="0012388D">
              <w:rPr>
                <w:rFonts w:ascii="Verdana" w:eastAsia="Calibri" w:hAnsi="Verdana" w:cs="Times New Roman"/>
                <w:lang w:val="es-ES"/>
              </w:rPr>
              <w:t>procedimientos contractuales</w:t>
            </w:r>
            <w:r w:rsidR="007A663E">
              <w:rPr>
                <w:rFonts w:ascii="Verdana" w:eastAsia="Calibri" w:hAnsi="Verdana" w:cs="Times New Roman"/>
                <w:lang w:val="es-ES"/>
              </w:rPr>
              <w:t xml:space="preserve"> </w:t>
            </w:r>
            <w:r w:rsidR="0012388D">
              <w:rPr>
                <w:rFonts w:ascii="Verdana" w:eastAsia="Calibri" w:hAnsi="Verdana" w:cs="Times New Roman"/>
                <w:lang w:val="es-ES"/>
              </w:rPr>
              <w:t>debe</w:t>
            </w:r>
            <w:r w:rsidR="00B115DB" w:rsidRPr="0012388D">
              <w:rPr>
                <w:rFonts w:ascii="Verdana" w:eastAsia="Calibri" w:hAnsi="Verdana" w:cs="Times New Roman"/>
                <w:lang w:val="es-ES"/>
              </w:rPr>
              <w:t xml:space="preserve"> ser realizado por quienes tengan interés en ello.</w:t>
            </w:r>
            <w:r w:rsidR="00B115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w:t>
            </w:r>
            <w:r w:rsidR="0012388D" w:rsidRPr="00DB4737">
              <w:rPr>
                <w:rFonts w:ascii="Verdana" w:eastAsia="Calibri" w:hAnsi="Verdana" w:cs="Times New Roman"/>
                <w:lang w:val="es-ES"/>
              </w:rPr>
              <w:t>particulares</w:t>
            </w:r>
            <w:r w:rsidR="00B115DB" w:rsidRPr="00DB4737">
              <w:rPr>
                <w:rFonts w:ascii="Verdana" w:eastAsia="Calibri" w:hAnsi="Verdana" w:cs="Times New Roman"/>
                <w:lang w:val="es-ES"/>
              </w:rPr>
              <w:t xml:space="preserve"> corresponderá a los interesados de adoptar la decisión y, en caso de conflicto, a las autoridades judiciales, fiscales y disciplinarias.</w:t>
            </w:r>
            <w:r w:rsidR="00642AA4">
              <w:t xml:space="preserve"> </w:t>
            </w:r>
          </w:p>
          <w:p w14:paraId="52BE4875" w14:textId="77777777" w:rsidR="00B115DB" w:rsidRPr="00DB4737" w:rsidRDefault="00B115DB" w:rsidP="00B115DB">
            <w:pPr>
              <w:ind w:left="720"/>
              <w:contextualSpacing/>
              <w:rPr>
                <w:rFonts w:ascii="Verdana" w:eastAsia="Calibri" w:hAnsi="Verdana" w:cs="Times New Roman"/>
                <w:lang w:val="es-ES"/>
              </w:rPr>
            </w:pPr>
          </w:p>
          <w:p w14:paraId="47EEB54F" w14:textId="2D9C586A" w:rsidR="00CC277F" w:rsidRPr="00831CDD" w:rsidRDefault="00CD4A54" w:rsidP="00722741">
            <w:pPr>
              <w:spacing w:line="276" w:lineRule="auto"/>
              <w:ind w:firstLine="360"/>
              <w:contextualSpacing/>
              <w:jc w:val="both"/>
              <w:rPr>
                <w:rFonts w:ascii="Verdana" w:hAnsi="Verdana" w:cs="Arial"/>
                <w:bCs/>
                <w:color w:val="000000" w:themeColor="text1"/>
              </w:rPr>
            </w:pPr>
            <w:r>
              <w:rPr>
                <w:rFonts w:ascii="Verdana" w:eastAsia="Calibri" w:hAnsi="Verdana" w:cs="Times New Roman"/>
                <w:lang w:val="es-ES"/>
              </w:rPr>
              <w:t xml:space="preserve">     </w:t>
            </w:r>
            <w:r w:rsidR="00B115DB"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w:t>
            </w:r>
            <w:r w:rsidR="00B115DB" w:rsidRPr="00DB4737">
              <w:rPr>
                <w:rFonts w:ascii="Verdana" w:eastAsia="Calibri" w:hAnsi="Verdana" w:cs="Times New Roman"/>
                <w:lang w:val="es-ES"/>
              </w:rPr>
              <w:lastRenderedPageBreak/>
              <w:t>juridicidad. Así cada entidad definirá la forma de adelantar su gestión contractual, sin que sea atribución de la Agencia Nacional de Contratación Pública – Colombia Compra Eficiente, validar sus actuaciones.</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74A7B37" w14:textId="0FAFDBB3" w:rsidR="00FB4874" w:rsidRDefault="008A68DE" w:rsidP="00B00188">
      <w:pPr>
        <w:pStyle w:val="Textoindependiente"/>
        <w:spacing w:before="156" w:after="160" w:line="276" w:lineRule="auto"/>
        <w:ind w:right="176" w:firstLine="708"/>
        <w:contextualSpacing/>
        <w:jc w:val="both"/>
        <w:rPr>
          <w:rFonts w:ascii="Verdana" w:hAnsi="Verdana"/>
        </w:rPr>
      </w:pPr>
      <w:r>
        <w:rPr>
          <w:rFonts w:ascii="Verdana" w:eastAsia="MS Mincho" w:hAnsi="Verdana"/>
          <w:lang w:eastAsia="es-CO"/>
        </w:rPr>
        <w:t>Frente al primer problema jurídico planteado</w:t>
      </w:r>
      <w:r w:rsidR="001A661F">
        <w:rPr>
          <w:rFonts w:ascii="Verdana" w:eastAsia="MS Mincho" w:hAnsi="Verdana"/>
          <w:lang w:eastAsia="es-CO"/>
        </w:rPr>
        <w:t xml:space="preserve"> es pertinente indicar que </w:t>
      </w:r>
      <w:r w:rsidR="00FB4874" w:rsidRPr="00FB4874">
        <w:rPr>
          <w:rFonts w:ascii="Verdana" w:hAnsi="Verdana"/>
        </w:rPr>
        <w:t>toda relación negocial de carácter bilateral, sin perjuicio de, y salvo normas especiales que se consagren al respecto, se rige en sus componentes básicos por las normas del Código Civil y del Código de Comercio,</w:t>
      </w:r>
      <w:r w:rsidR="00FB4874" w:rsidRPr="00FB4874">
        <w:rPr>
          <w:rFonts w:ascii="Verdana" w:hAnsi="Verdana"/>
          <w:spacing w:val="1"/>
        </w:rPr>
        <w:t xml:space="preserve"> </w:t>
      </w:r>
      <w:r w:rsidR="00FB4874" w:rsidRPr="00FB4874">
        <w:rPr>
          <w:rFonts w:ascii="Verdana" w:hAnsi="Verdana"/>
        </w:rPr>
        <w:t xml:space="preserve">teniendo especial relevancia para el objeto de la consulta que se resuelve, que el </w:t>
      </w:r>
      <w:bookmarkStart w:id="12" w:name="_Hlk196820283"/>
      <w:r w:rsidR="00FB4874" w:rsidRPr="00FB4874">
        <w:rPr>
          <w:rFonts w:ascii="Verdana" w:hAnsi="Verdana"/>
        </w:rPr>
        <w:t>artículo 1501</w:t>
      </w:r>
      <w:r w:rsidR="00FB4874" w:rsidRPr="00FB4874">
        <w:rPr>
          <w:rFonts w:ascii="Verdana" w:hAnsi="Verdana"/>
          <w:spacing w:val="1"/>
        </w:rPr>
        <w:t xml:space="preserve"> </w:t>
      </w:r>
      <w:r w:rsidR="00FB4874" w:rsidRPr="00FB4874">
        <w:rPr>
          <w:rFonts w:ascii="Verdana" w:hAnsi="Verdana"/>
        </w:rPr>
        <w:t xml:space="preserve">del Código Civil </w:t>
      </w:r>
      <w:bookmarkEnd w:id="12"/>
      <w:r w:rsidR="00FB4874" w:rsidRPr="00FB4874">
        <w:rPr>
          <w:rFonts w:ascii="Verdana" w:hAnsi="Verdana"/>
        </w:rPr>
        <w:t>consagra la figura de las cláusulas naturales, que son aquellas que no siendo</w:t>
      </w:r>
      <w:r w:rsidR="00FB4874" w:rsidRPr="00FB4874">
        <w:rPr>
          <w:rFonts w:ascii="Verdana" w:hAnsi="Verdana"/>
          <w:spacing w:val="1"/>
        </w:rPr>
        <w:t xml:space="preserve"> </w:t>
      </w:r>
      <w:r w:rsidR="00FB4874" w:rsidRPr="00FB4874">
        <w:rPr>
          <w:rFonts w:ascii="Verdana" w:hAnsi="Verdana"/>
        </w:rPr>
        <w:t>esenciales en el negocio jurídico, se entienden pertenecerle sin necesidad de una cláusula</w:t>
      </w:r>
      <w:r w:rsidR="00FB4874" w:rsidRPr="00FB4874">
        <w:rPr>
          <w:rFonts w:ascii="Verdana" w:hAnsi="Verdana"/>
          <w:spacing w:val="1"/>
        </w:rPr>
        <w:t xml:space="preserve"> </w:t>
      </w:r>
      <w:r w:rsidR="00FB4874" w:rsidRPr="00FB4874">
        <w:rPr>
          <w:rFonts w:ascii="Verdana" w:hAnsi="Verdana"/>
        </w:rPr>
        <w:t>especial, y de las cláusulas accidentales, que son las que</w:t>
      </w:r>
      <w:r w:rsidR="00FB4874" w:rsidRPr="00FB4874">
        <w:rPr>
          <w:rFonts w:ascii="Verdana" w:hAnsi="Verdana"/>
          <w:spacing w:val="1"/>
        </w:rPr>
        <w:t xml:space="preserve"> </w:t>
      </w:r>
      <w:r w:rsidR="00FB4874" w:rsidRPr="00FB4874">
        <w:rPr>
          <w:rFonts w:ascii="Verdana" w:hAnsi="Verdana"/>
        </w:rPr>
        <w:t>ni esencial ni naturalmente le</w:t>
      </w:r>
      <w:r w:rsidR="00FB4874" w:rsidRPr="00FB4874">
        <w:rPr>
          <w:rFonts w:ascii="Verdana" w:hAnsi="Verdana"/>
          <w:spacing w:val="1"/>
        </w:rPr>
        <w:t xml:space="preserve"> </w:t>
      </w:r>
      <w:r w:rsidR="00FB4874" w:rsidRPr="00FB4874">
        <w:rPr>
          <w:rFonts w:ascii="Verdana" w:hAnsi="Verdana"/>
        </w:rPr>
        <w:t>pertenecen,</w:t>
      </w:r>
      <w:r w:rsidR="00FB4874" w:rsidRPr="00FB4874">
        <w:rPr>
          <w:rFonts w:ascii="Verdana" w:hAnsi="Verdana"/>
          <w:spacing w:val="-2"/>
        </w:rPr>
        <w:t xml:space="preserve"> </w:t>
      </w:r>
      <w:r w:rsidR="00FB4874" w:rsidRPr="00FB4874">
        <w:rPr>
          <w:rFonts w:ascii="Verdana" w:hAnsi="Verdana"/>
        </w:rPr>
        <w:t>y</w:t>
      </w:r>
      <w:r w:rsidR="00FB4874" w:rsidRPr="00FB4874">
        <w:rPr>
          <w:rFonts w:ascii="Verdana" w:hAnsi="Verdana"/>
          <w:spacing w:val="-2"/>
        </w:rPr>
        <w:t xml:space="preserve"> </w:t>
      </w:r>
      <w:r w:rsidR="00FB4874" w:rsidRPr="00FB4874">
        <w:rPr>
          <w:rFonts w:ascii="Verdana" w:hAnsi="Verdana"/>
        </w:rPr>
        <w:t>que</w:t>
      </w:r>
      <w:r w:rsidR="00FB4874" w:rsidRPr="00FB4874">
        <w:rPr>
          <w:rFonts w:ascii="Verdana" w:hAnsi="Verdana"/>
          <w:spacing w:val="-1"/>
        </w:rPr>
        <w:t xml:space="preserve"> </w:t>
      </w:r>
      <w:r w:rsidR="00FB4874" w:rsidRPr="00FB4874">
        <w:rPr>
          <w:rFonts w:ascii="Verdana" w:hAnsi="Verdana"/>
        </w:rPr>
        <w:t>se</w:t>
      </w:r>
      <w:r w:rsidR="00FB4874" w:rsidRPr="00FB4874">
        <w:rPr>
          <w:rFonts w:ascii="Verdana" w:hAnsi="Verdana"/>
          <w:spacing w:val="-2"/>
        </w:rPr>
        <w:t xml:space="preserve"> </w:t>
      </w:r>
      <w:r w:rsidR="00FB4874" w:rsidRPr="00FB4874">
        <w:rPr>
          <w:rFonts w:ascii="Verdana" w:hAnsi="Verdana"/>
        </w:rPr>
        <w:t>le</w:t>
      </w:r>
      <w:r w:rsidR="00FB4874" w:rsidRPr="00FB4874">
        <w:rPr>
          <w:rFonts w:ascii="Verdana" w:hAnsi="Verdana"/>
          <w:spacing w:val="-1"/>
        </w:rPr>
        <w:t xml:space="preserve"> </w:t>
      </w:r>
      <w:r w:rsidR="00FB4874" w:rsidRPr="00FB4874">
        <w:rPr>
          <w:rFonts w:ascii="Verdana" w:hAnsi="Verdana"/>
        </w:rPr>
        <w:t>agregan</w:t>
      </w:r>
      <w:r w:rsidR="00FB4874" w:rsidRPr="00FB4874">
        <w:rPr>
          <w:rFonts w:ascii="Verdana" w:hAnsi="Verdana"/>
          <w:spacing w:val="-2"/>
        </w:rPr>
        <w:t xml:space="preserve"> </w:t>
      </w:r>
      <w:r w:rsidR="00FB4874" w:rsidRPr="00FB4874">
        <w:rPr>
          <w:rFonts w:ascii="Verdana" w:hAnsi="Verdana"/>
        </w:rPr>
        <w:t>por</w:t>
      </w:r>
      <w:r w:rsidR="00FB4874" w:rsidRPr="00FB4874">
        <w:rPr>
          <w:rFonts w:ascii="Verdana" w:hAnsi="Verdana"/>
          <w:spacing w:val="-2"/>
        </w:rPr>
        <w:t xml:space="preserve"> </w:t>
      </w:r>
      <w:r w:rsidR="00FB4874" w:rsidRPr="00FB4874">
        <w:rPr>
          <w:rFonts w:ascii="Verdana" w:hAnsi="Verdana"/>
        </w:rPr>
        <w:t>medio</w:t>
      </w:r>
      <w:r w:rsidR="00FB4874" w:rsidRPr="00FB4874">
        <w:rPr>
          <w:rFonts w:ascii="Verdana" w:hAnsi="Verdana"/>
          <w:spacing w:val="-1"/>
        </w:rPr>
        <w:t xml:space="preserve"> </w:t>
      </w:r>
      <w:r w:rsidR="00FB4874" w:rsidRPr="00FB4874">
        <w:rPr>
          <w:rFonts w:ascii="Verdana" w:hAnsi="Verdana"/>
        </w:rPr>
        <w:t>de</w:t>
      </w:r>
      <w:r w:rsidR="00FB4874" w:rsidRPr="00FB4874">
        <w:rPr>
          <w:rFonts w:ascii="Verdana" w:hAnsi="Verdana"/>
          <w:spacing w:val="-2"/>
        </w:rPr>
        <w:t xml:space="preserve"> </w:t>
      </w:r>
      <w:r w:rsidR="00FB4874" w:rsidRPr="00FB4874">
        <w:rPr>
          <w:rFonts w:ascii="Verdana" w:hAnsi="Verdana"/>
        </w:rPr>
        <w:t>cláusulas</w:t>
      </w:r>
      <w:r w:rsidR="00FB4874" w:rsidRPr="00FB4874">
        <w:rPr>
          <w:rFonts w:ascii="Verdana" w:hAnsi="Verdana"/>
          <w:spacing w:val="-1"/>
        </w:rPr>
        <w:t xml:space="preserve"> </w:t>
      </w:r>
      <w:r w:rsidR="00FB4874" w:rsidRPr="00FB4874">
        <w:rPr>
          <w:rFonts w:ascii="Verdana" w:hAnsi="Verdana"/>
        </w:rPr>
        <w:t>especiales.</w:t>
      </w:r>
    </w:p>
    <w:p w14:paraId="59123029" w14:textId="77777777" w:rsidR="008A68DE" w:rsidRPr="00FB4874" w:rsidRDefault="008A68DE" w:rsidP="008A68DE">
      <w:pPr>
        <w:pStyle w:val="Textoindependiente"/>
        <w:spacing w:before="93" w:after="160" w:line="276" w:lineRule="auto"/>
        <w:ind w:left="118" w:right="177" w:firstLine="590"/>
        <w:contextualSpacing/>
        <w:jc w:val="both"/>
        <w:rPr>
          <w:rFonts w:ascii="Verdana" w:hAnsi="Verdana"/>
        </w:rPr>
      </w:pPr>
    </w:p>
    <w:p w14:paraId="5F4CAF2A" w14:textId="147E550B" w:rsidR="00FB4874" w:rsidRDefault="00FB4874" w:rsidP="008A68DE">
      <w:pPr>
        <w:pStyle w:val="Textoindependiente"/>
        <w:spacing w:before="159" w:after="160" w:line="276" w:lineRule="auto"/>
        <w:ind w:left="118" w:right="176" w:firstLine="720"/>
        <w:contextualSpacing/>
        <w:jc w:val="both"/>
        <w:rPr>
          <w:rFonts w:ascii="Verdana" w:hAnsi="Verdana"/>
        </w:rPr>
      </w:pPr>
      <w:r w:rsidRPr="00FB4874">
        <w:rPr>
          <w:rFonts w:ascii="Verdana" w:hAnsi="Verdana"/>
        </w:rPr>
        <w:t xml:space="preserve">Dicho lo anterior, se tiene que los artículos </w:t>
      </w:r>
      <w:bookmarkStart w:id="13" w:name="_Hlk196820301"/>
      <w:r w:rsidRPr="00FB4874">
        <w:rPr>
          <w:rFonts w:ascii="Verdana" w:hAnsi="Verdana"/>
        </w:rPr>
        <w:t xml:space="preserve">1544 a 1546 </w:t>
      </w:r>
      <w:bookmarkEnd w:id="13"/>
      <w:r w:rsidRPr="00FB4874">
        <w:rPr>
          <w:rFonts w:ascii="Verdana" w:hAnsi="Verdana"/>
        </w:rPr>
        <w:t>del Código Civil consagran la</w:t>
      </w:r>
      <w:r w:rsidRPr="00FB4874">
        <w:rPr>
          <w:rFonts w:ascii="Verdana" w:hAnsi="Verdana"/>
          <w:spacing w:val="1"/>
        </w:rPr>
        <w:t xml:space="preserve"> </w:t>
      </w:r>
      <w:r w:rsidRPr="00FB4874">
        <w:rPr>
          <w:rFonts w:ascii="Verdana" w:hAnsi="Verdana"/>
        </w:rPr>
        <w:t xml:space="preserve">figura de la condición resolutoria, estableciendo, en primer lugar, que </w:t>
      </w:r>
      <w:r w:rsidR="008A68DE">
        <w:rPr>
          <w:rFonts w:ascii="Verdana" w:hAnsi="Verdana"/>
        </w:rPr>
        <w:t>“c</w:t>
      </w:r>
      <w:r w:rsidRPr="00FB4874">
        <w:rPr>
          <w:rFonts w:ascii="Verdana" w:hAnsi="Verdana"/>
        </w:rPr>
        <w:t>umplida la condición</w:t>
      </w:r>
      <w:r w:rsidRPr="00FB4874">
        <w:rPr>
          <w:rFonts w:ascii="Verdana" w:hAnsi="Verdana"/>
          <w:spacing w:val="1"/>
        </w:rPr>
        <w:t xml:space="preserve"> </w:t>
      </w:r>
      <w:r w:rsidRPr="00FB4874">
        <w:rPr>
          <w:rFonts w:ascii="Verdana" w:hAnsi="Verdana"/>
          <w:spacing w:val="-1"/>
        </w:rPr>
        <w:t>resolutoria,</w:t>
      </w:r>
      <w:r w:rsidRPr="00FB4874">
        <w:rPr>
          <w:rFonts w:ascii="Verdana" w:hAnsi="Verdana"/>
          <w:spacing w:val="-14"/>
        </w:rPr>
        <w:t xml:space="preserve"> </w:t>
      </w:r>
      <w:r w:rsidRPr="00FB4874">
        <w:rPr>
          <w:rFonts w:ascii="Verdana" w:hAnsi="Verdana"/>
          <w:spacing w:val="-1"/>
        </w:rPr>
        <w:t>deberá</w:t>
      </w:r>
      <w:r w:rsidRPr="00FB4874">
        <w:rPr>
          <w:rFonts w:ascii="Verdana" w:hAnsi="Verdana"/>
          <w:spacing w:val="-13"/>
        </w:rPr>
        <w:t xml:space="preserve"> </w:t>
      </w:r>
      <w:r w:rsidRPr="00FB4874">
        <w:rPr>
          <w:rFonts w:ascii="Verdana" w:hAnsi="Verdana"/>
          <w:spacing w:val="-1"/>
        </w:rPr>
        <w:t>restituirse</w:t>
      </w:r>
      <w:r w:rsidRPr="00FB4874">
        <w:rPr>
          <w:rFonts w:ascii="Verdana" w:hAnsi="Verdana"/>
          <w:spacing w:val="-14"/>
        </w:rPr>
        <w:t xml:space="preserve"> </w:t>
      </w:r>
      <w:r w:rsidRPr="00FB4874">
        <w:rPr>
          <w:rFonts w:ascii="Verdana" w:hAnsi="Verdana"/>
        </w:rPr>
        <w:t>lo</w:t>
      </w:r>
      <w:r w:rsidRPr="00FB4874">
        <w:rPr>
          <w:rFonts w:ascii="Verdana" w:hAnsi="Verdana"/>
          <w:spacing w:val="-14"/>
        </w:rPr>
        <w:t xml:space="preserve"> </w:t>
      </w:r>
      <w:r w:rsidRPr="00FB4874">
        <w:rPr>
          <w:rFonts w:ascii="Verdana" w:hAnsi="Verdana"/>
        </w:rPr>
        <w:t>que</w:t>
      </w:r>
      <w:r w:rsidRPr="00FB4874">
        <w:rPr>
          <w:rFonts w:ascii="Verdana" w:hAnsi="Verdana"/>
          <w:spacing w:val="-14"/>
        </w:rPr>
        <w:t xml:space="preserve"> </w:t>
      </w:r>
      <w:r w:rsidRPr="00FB4874">
        <w:rPr>
          <w:rFonts w:ascii="Verdana" w:hAnsi="Verdana"/>
        </w:rPr>
        <w:t>se</w:t>
      </w:r>
      <w:r w:rsidRPr="00FB4874">
        <w:rPr>
          <w:rFonts w:ascii="Verdana" w:hAnsi="Verdana"/>
          <w:spacing w:val="-14"/>
        </w:rPr>
        <w:t xml:space="preserve"> </w:t>
      </w:r>
      <w:r w:rsidRPr="00FB4874">
        <w:rPr>
          <w:rFonts w:ascii="Verdana" w:hAnsi="Verdana"/>
        </w:rPr>
        <w:t>hubiere</w:t>
      </w:r>
      <w:r w:rsidRPr="00FB4874">
        <w:rPr>
          <w:rFonts w:ascii="Verdana" w:hAnsi="Verdana"/>
          <w:spacing w:val="-13"/>
        </w:rPr>
        <w:t xml:space="preserve"> </w:t>
      </w:r>
      <w:r w:rsidRPr="00FB4874">
        <w:rPr>
          <w:rFonts w:ascii="Verdana" w:hAnsi="Verdana"/>
        </w:rPr>
        <w:t>recibido</w:t>
      </w:r>
      <w:r w:rsidRPr="00FB4874">
        <w:rPr>
          <w:rFonts w:ascii="Verdana" w:hAnsi="Verdana"/>
          <w:spacing w:val="-14"/>
        </w:rPr>
        <w:t xml:space="preserve"> </w:t>
      </w:r>
      <w:r w:rsidRPr="00FB4874">
        <w:rPr>
          <w:rFonts w:ascii="Verdana" w:hAnsi="Verdana"/>
        </w:rPr>
        <w:t>bajo</w:t>
      </w:r>
      <w:r w:rsidRPr="00FB4874">
        <w:rPr>
          <w:rFonts w:ascii="Verdana" w:hAnsi="Verdana"/>
          <w:spacing w:val="-13"/>
        </w:rPr>
        <w:t xml:space="preserve"> </w:t>
      </w:r>
      <w:r w:rsidRPr="00FB4874">
        <w:rPr>
          <w:rFonts w:ascii="Verdana" w:hAnsi="Verdana"/>
        </w:rPr>
        <w:t>tal</w:t>
      </w:r>
      <w:r w:rsidRPr="00FB4874">
        <w:rPr>
          <w:rFonts w:ascii="Verdana" w:hAnsi="Verdana"/>
          <w:spacing w:val="-13"/>
        </w:rPr>
        <w:t xml:space="preserve"> </w:t>
      </w:r>
      <w:r w:rsidRPr="00FB4874">
        <w:rPr>
          <w:rFonts w:ascii="Verdana" w:hAnsi="Verdana"/>
        </w:rPr>
        <w:t>condición,</w:t>
      </w:r>
      <w:r w:rsidRPr="00FB4874">
        <w:rPr>
          <w:rFonts w:ascii="Verdana" w:hAnsi="Verdana"/>
          <w:spacing w:val="-14"/>
        </w:rPr>
        <w:t xml:space="preserve"> </w:t>
      </w:r>
      <w:r w:rsidRPr="00FB4874">
        <w:rPr>
          <w:rFonts w:ascii="Verdana" w:hAnsi="Verdana"/>
        </w:rPr>
        <w:t>a</w:t>
      </w:r>
      <w:r w:rsidRPr="00FB4874">
        <w:rPr>
          <w:rFonts w:ascii="Verdana" w:hAnsi="Verdana"/>
          <w:spacing w:val="-14"/>
        </w:rPr>
        <w:t xml:space="preserve"> </w:t>
      </w:r>
      <w:r w:rsidRPr="00FB4874">
        <w:rPr>
          <w:rFonts w:ascii="Verdana" w:hAnsi="Verdana"/>
        </w:rPr>
        <w:t>menos</w:t>
      </w:r>
      <w:r w:rsidRPr="00FB4874">
        <w:rPr>
          <w:rFonts w:ascii="Verdana" w:hAnsi="Verdana"/>
          <w:spacing w:val="-14"/>
        </w:rPr>
        <w:t xml:space="preserve"> </w:t>
      </w:r>
      <w:r w:rsidRPr="00FB4874">
        <w:rPr>
          <w:rFonts w:ascii="Verdana" w:hAnsi="Verdana"/>
        </w:rPr>
        <w:t>que</w:t>
      </w:r>
      <w:r w:rsidRPr="00FB4874">
        <w:rPr>
          <w:rFonts w:ascii="Verdana" w:hAnsi="Verdana"/>
          <w:spacing w:val="-14"/>
        </w:rPr>
        <w:t xml:space="preserve"> </w:t>
      </w:r>
      <w:r w:rsidRPr="00FB4874">
        <w:rPr>
          <w:rFonts w:ascii="Verdana" w:hAnsi="Verdana"/>
        </w:rPr>
        <w:t>ésta</w:t>
      </w:r>
      <w:r w:rsidRPr="00FB4874">
        <w:rPr>
          <w:rFonts w:ascii="Verdana" w:hAnsi="Verdana"/>
          <w:spacing w:val="-13"/>
        </w:rPr>
        <w:t xml:space="preserve"> </w:t>
      </w:r>
      <w:r w:rsidRPr="00FB4874">
        <w:rPr>
          <w:rFonts w:ascii="Verdana" w:hAnsi="Verdana"/>
        </w:rPr>
        <w:t>haya</w:t>
      </w:r>
      <w:r w:rsidRPr="00FB4874">
        <w:rPr>
          <w:rFonts w:ascii="Verdana" w:hAnsi="Verdana"/>
          <w:spacing w:val="-58"/>
        </w:rPr>
        <w:t xml:space="preserve"> </w:t>
      </w:r>
      <w:r w:rsidRPr="00FB4874">
        <w:rPr>
          <w:rFonts w:ascii="Verdana" w:hAnsi="Verdana"/>
          <w:spacing w:val="-1"/>
        </w:rPr>
        <w:t>sido</w:t>
      </w:r>
      <w:r w:rsidRPr="00FB4874">
        <w:rPr>
          <w:rFonts w:ascii="Verdana" w:hAnsi="Verdana"/>
          <w:spacing w:val="-15"/>
        </w:rPr>
        <w:t xml:space="preserve"> </w:t>
      </w:r>
      <w:r w:rsidRPr="00FB4874">
        <w:rPr>
          <w:rFonts w:ascii="Verdana" w:hAnsi="Verdana"/>
          <w:spacing w:val="-1"/>
        </w:rPr>
        <w:t>puesta</w:t>
      </w:r>
      <w:r w:rsidRPr="00FB4874">
        <w:rPr>
          <w:rFonts w:ascii="Verdana" w:hAnsi="Verdana"/>
          <w:spacing w:val="-13"/>
        </w:rPr>
        <w:t xml:space="preserve"> </w:t>
      </w:r>
      <w:r w:rsidRPr="00FB4874">
        <w:rPr>
          <w:rFonts w:ascii="Verdana" w:hAnsi="Verdana"/>
          <w:spacing w:val="-1"/>
        </w:rPr>
        <w:t>en</w:t>
      </w:r>
      <w:r w:rsidRPr="00FB4874">
        <w:rPr>
          <w:rFonts w:ascii="Verdana" w:hAnsi="Verdana"/>
          <w:spacing w:val="-14"/>
        </w:rPr>
        <w:t xml:space="preserve"> </w:t>
      </w:r>
      <w:r w:rsidRPr="00FB4874">
        <w:rPr>
          <w:rFonts w:ascii="Verdana" w:hAnsi="Verdana"/>
          <w:spacing w:val="-1"/>
        </w:rPr>
        <w:t>favor</w:t>
      </w:r>
      <w:r w:rsidRPr="00FB4874">
        <w:rPr>
          <w:rFonts w:ascii="Verdana" w:hAnsi="Verdana"/>
          <w:spacing w:val="-13"/>
        </w:rPr>
        <w:t xml:space="preserve"> </w:t>
      </w:r>
      <w:r w:rsidRPr="00FB4874">
        <w:rPr>
          <w:rFonts w:ascii="Verdana" w:hAnsi="Verdana"/>
          <w:spacing w:val="-1"/>
        </w:rPr>
        <w:t>del</w:t>
      </w:r>
      <w:r w:rsidRPr="00FB4874">
        <w:rPr>
          <w:rFonts w:ascii="Verdana" w:hAnsi="Verdana"/>
          <w:spacing w:val="-14"/>
        </w:rPr>
        <w:t xml:space="preserve"> </w:t>
      </w:r>
      <w:r w:rsidRPr="00FB4874">
        <w:rPr>
          <w:rFonts w:ascii="Verdana" w:hAnsi="Verdana"/>
          <w:spacing w:val="-1"/>
        </w:rPr>
        <w:t>acreedor</w:t>
      </w:r>
      <w:r w:rsidRPr="00FB4874">
        <w:rPr>
          <w:rFonts w:ascii="Verdana" w:hAnsi="Verdana"/>
          <w:spacing w:val="-14"/>
        </w:rPr>
        <w:t xml:space="preserve"> </w:t>
      </w:r>
      <w:r w:rsidRPr="00FB4874">
        <w:rPr>
          <w:rFonts w:ascii="Verdana" w:hAnsi="Verdana"/>
          <w:spacing w:val="-1"/>
        </w:rPr>
        <w:t>exclusivamente,</w:t>
      </w:r>
      <w:r w:rsidRPr="00FB4874">
        <w:rPr>
          <w:rFonts w:ascii="Verdana" w:hAnsi="Verdana"/>
          <w:spacing w:val="-13"/>
        </w:rPr>
        <w:t xml:space="preserve"> </w:t>
      </w:r>
      <w:r w:rsidRPr="00FB4874">
        <w:rPr>
          <w:rFonts w:ascii="Verdana" w:hAnsi="Verdana"/>
          <w:spacing w:val="-1"/>
        </w:rPr>
        <w:t>en</w:t>
      </w:r>
      <w:r w:rsidRPr="00FB4874">
        <w:rPr>
          <w:rFonts w:ascii="Verdana" w:hAnsi="Verdana"/>
          <w:spacing w:val="-14"/>
        </w:rPr>
        <w:t xml:space="preserve"> </w:t>
      </w:r>
      <w:r w:rsidRPr="00FB4874">
        <w:rPr>
          <w:rFonts w:ascii="Verdana" w:hAnsi="Verdana"/>
        </w:rPr>
        <w:t>cuyo</w:t>
      </w:r>
      <w:r w:rsidRPr="00FB4874">
        <w:rPr>
          <w:rFonts w:ascii="Verdana" w:hAnsi="Verdana"/>
          <w:spacing w:val="-14"/>
        </w:rPr>
        <w:t xml:space="preserve"> </w:t>
      </w:r>
      <w:r w:rsidRPr="00FB4874">
        <w:rPr>
          <w:rFonts w:ascii="Verdana" w:hAnsi="Verdana"/>
        </w:rPr>
        <w:t>caso</w:t>
      </w:r>
      <w:r w:rsidRPr="00FB4874">
        <w:rPr>
          <w:rFonts w:ascii="Verdana" w:hAnsi="Verdana"/>
          <w:spacing w:val="-14"/>
        </w:rPr>
        <w:t xml:space="preserve"> </w:t>
      </w:r>
      <w:r w:rsidRPr="00FB4874">
        <w:rPr>
          <w:rFonts w:ascii="Verdana" w:hAnsi="Verdana"/>
        </w:rPr>
        <w:t>podrá</w:t>
      </w:r>
      <w:r w:rsidRPr="00FB4874">
        <w:rPr>
          <w:rFonts w:ascii="Verdana" w:hAnsi="Verdana"/>
          <w:spacing w:val="-14"/>
        </w:rPr>
        <w:t xml:space="preserve"> </w:t>
      </w:r>
      <w:r w:rsidRPr="00FB4874">
        <w:rPr>
          <w:rFonts w:ascii="Verdana" w:hAnsi="Verdana"/>
        </w:rPr>
        <w:t>éste,</w:t>
      </w:r>
      <w:r w:rsidRPr="00FB4874">
        <w:rPr>
          <w:rFonts w:ascii="Verdana" w:hAnsi="Verdana"/>
          <w:spacing w:val="-13"/>
        </w:rPr>
        <w:t xml:space="preserve"> </w:t>
      </w:r>
      <w:r w:rsidRPr="00FB4874">
        <w:rPr>
          <w:rFonts w:ascii="Verdana" w:hAnsi="Verdana"/>
        </w:rPr>
        <w:t>si</w:t>
      </w:r>
      <w:r w:rsidRPr="00FB4874">
        <w:rPr>
          <w:rFonts w:ascii="Verdana" w:hAnsi="Verdana"/>
          <w:spacing w:val="-14"/>
        </w:rPr>
        <w:t xml:space="preserve"> </w:t>
      </w:r>
      <w:r w:rsidRPr="00FB4874">
        <w:rPr>
          <w:rFonts w:ascii="Verdana" w:hAnsi="Verdana"/>
        </w:rPr>
        <w:t>quiere,</w:t>
      </w:r>
      <w:r w:rsidRPr="00FB4874">
        <w:rPr>
          <w:rFonts w:ascii="Verdana" w:hAnsi="Verdana"/>
          <w:spacing w:val="-13"/>
        </w:rPr>
        <w:t xml:space="preserve"> </w:t>
      </w:r>
      <w:r w:rsidRPr="00FB4874">
        <w:rPr>
          <w:rFonts w:ascii="Verdana" w:hAnsi="Verdana"/>
        </w:rPr>
        <w:t>renunciarla;</w:t>
      </w:r>
      <w:r w:rsidRPr="00FB4874">
        <w:rPr>
          <w:rFonts w:ascii="Verdana" w:hAnsi="Verdana"/>
          <w:spacing w:val="-59"/>
        </w:rPr>
        <w:t xml:space="preserve"> </w:t>
      </w:r>
      <w:r w:rsidRPr="00FB4874">
        <w:rPr>
          <w:rFonts w:ascii="Verdana" w:hAnsi="Verdana"/>
        </w:rPr>
        <w:t>pero</w:t>
      </w:r>
      <w:r w:rsidRPr="00FB4874">
        <w:rPr>
          <w:rFonts w:ascii="Verdana" w:hAnsi="Verdana"/>
          <w:spacing w:val="5"/>
        </w:rPr>
        <w:t xml:space="preserve"> </w:t>
      </w:r>
      <w:r w:rsidRPr="00FB4874">
        <w:rPr>
          <w:rFonts w:ascii="Verdana" w:hAnsi="Verdana"/>
        </w:rPr>
        <w:t>será</w:t>
      </w:r>
      <w:r w:rsidRPr="00FB4874">
        <w:rPr>
          <w:rFonts w:ascii="Verdana" w:hAnsi="Verdana"/>
          <w:spacing w:val="5"/>
        </w:rPr>
        <w:t xml:space="preserve"> </w:t>
      </w:r>
      <w:r w:rsidRPr="00FB4874">
        <w:rPr>
          <w:rFonts w:ascii="Verdana" w:hAnsi="Verdana"/>
        </w:rPr>
        <w:t>obligado</w:t>
      </w:r>
      <w:r w:rsidRPr="00FB4874">
        <w:rPr>
          <w:rFonts w:ascii="Verdana" w:hAnsi="Verdana"/>
          <w:spacing w:val="5"/>
        </w:rPr>
        <w:t xml:space="preserve"> </w:t>
      </w:r>
      <w:r w:rsidRPr="00FB4874">
        <w:rPr>
          <w:rFonts w:ascii="Verdana" w:hAnsi="Verdana"/>
        </w:rPr>
        <w:t>a</w:t>
      </w:r>
      <w:r w:rsidRPr="00FB4874">
        <w:rPr>
          <w:rFonts w:ascii="Verdana" w:hAnsi="Verdana"/>
          <w:spacing w:val="5"/>
        </w:rPr>
        <w:t xml:space="preserve"> </w:t>
      </w:r>
      <w:r w:rsidRPr="00FB4874">
        <w:rPr>
          <w:rFonts w:ascii="Verdana" w:hAnsi="Verdana"/>
        </w:rPr>
        <w:t>declarar</w:t>
      </w:r>
      <w:r w:rsidRPr="00FB4874">
        <w:rPr>
          <w:rFonts w:ascii="Verdana" w:hAnsi="Verdana"/>
          <w:spacing w:val="5"/>
        </w:rPr>
        <w:t xml:space="preserve"> </w:t>
      </w:r>
      <w:r w:rsidRPr="00FB4874">
        <w:rPr>
          <w:rFonts w:ascii="Verdana" w:hAnsi="Verdana"/>
        </w:rPr>
        <w:t>su</w:t>
      </w:r>
      <w:r w:rsidRPr="00FB4874">
        <w:rPr>
          <w:rFonts w:ascii="Verdana" w:hAnsi="Verdana"/>
          <w:spacing w:val="5"/>
        </w:rPr>
        <w:t xml:space="preserve"> </w:t>
      </w:r>
      <w:r w:rsidRPr="00FB4874">
        <w:rPr>
          <w:rFonts w:ascii="Verdana" w:hAnsi="Verdana"/>
        </w:rPr>
        <w:t>determinación,</w:t>
      </w:r>
      <w:r w:rsidRPr="00FB4874">
        <w:rPr>
          <w:rFonts w:ascii="Verdana" w:hAnsi="Verdana"/>
          <w:spacing w:val="5"/>
        </w:rPr>
        <w:t xml:space="preserve"> </w:t>
      </w:r>
      <w:r w:rsidRPr="00FB4874">
        <w:rPr>
          <w:rFonts w:ascii="Verdana" w:hAnsi="Verdana"/>
        </w:rPr>
        <w:t>si</w:t>
      </w:r>
      <w:r w:rsidRPr="00FB4874">
        <w:rPr>
          <w:rFonts w:ascii="Verdana" w:hAnsi="Verdana"/>
          <w:spacing w:val="5"/>
        </w:rPr>
        <w:t xml:space="preserve"> </w:t>
      </w:r>
      <w:r w:rsidRPr="00FB4874">
        <w:rPr>
          <w:rFonts w:ascii="Verdana" w:hAnsi="Verdana"/>
        </w:rPr>
        <w:t>el</w:t>
      </w:r>
      <w:r w:rsidRPr="00FB4874">
        <w:rPr>
          <w:rFonts w:ascii="Verdana" w:hAnsi="Verdana"/>
          <w:spacing w:val="5"/>
        </w:rPr>
        <w:t xml:space="preserve"> </w:t>
      </w:r>
      <w:r w:rsidRPr="00FB4874">
        <w:rPr>
          <w:rFonts w:ascii="Verdana" w:hAnsi="Verdana"/>
        </w:rPr>
        <w:t>deudor</w:t>
      </w:r>
      <w:r w:rsidRPr="00FB4874">
        <w:rPr>
          <w:rFonts w:ascii="Verdana" w:hAnsi="Verdana"/>
          <w:spacing w:val="5"/>
        </w:rPr>
        <w:t xml:space="preserve"> </w:t>
      </w:r>
      <w:r w:rsidRPr="00FB4874">
        <w:rPr>
          <w:rFonts w:ascii="Verdana" w:hAnsi="Verdana"/>
        </w:rPr>
        <w:t>lo</w:t>
      </w:r>
      <w:r w:rsidRPr="00FB4874">
        <w:rPr>
          <w:rFonts w:ascii="Verdana" w:hAnsi="Verdana"/>
          <w:spacing w:val="5"/>
        </w:rPr>
        <w:t xml:space="preserve"> </w:t>
      </w:r>
      <w:r w:rsidRPr="00FB4874">
        <w:rPr>
          <w:rFonts w:ascii="Verdana" w:hAnsi="Verdana"/>
        </w:rPr>
        <w:t>exigiere</w:t>
      </w:r>
      <w:r w:rsidR="008A68DE">
        <w:rPr>
          <w:rFonts w:ascii="Verdana" w:hAnsi="Verdana"/>
        </w:rPr>
        <w:t>”</w:t>
      </w:r>
      <w:r w:rsidRPr="00FB4874">
        <w:rPr>
          <w:rFonts w:ascii="Verdana" w:hAnsi="Verdana"/>
        </w:rPr>
        <w:t>;</w:t>
      </w:r>
      <w:r w:rsidRPr="00FB4874">
        <w:rPr>
          <w:rFonts w:ascii="Verdana" w:hAnsi="Verdana"/>
          <w:spacing w:val="5"/>
        </w:rPr>
        <w:t xml:space="preserve"> </w:t>
      </w:r>
      <w:r w:rsidRPr="00FB4874">
        <w:rPr>
          <w:rFonts w:ascii="Verdana" w:hAnsi="Verdana"/>
        </w:rPr>
        <w:t>segundo,</w:t>
      </w:r>
      <w:r w:rsidRPr="00FB4874">
        <w:rPr>
          <w:rFonts w:ascii="Verdana" w:hAnsi="Verdana"/>
          <w:spacing w:val="5"/>
        </w:rPr>
        <w:t xml:space="preserve"> </w:t>
      </w:r>
      <w:r w:rsidRPr="00FB4874">
        <w:rPr>
          <w:rFonts w:ascii="Verdana" w:hAnsi="Verdana"/>
        </w:rPr>
        <w:t>que</w:t>
      </w:r>
      <w:r w:rsidR="008A68DE">
        <w:rPr>
          <w:rFonts w:ascii="Verdana" w:hAnsi="Verdana"/>
        </w:rPr>
        <w:t xml:space="preserve"> “v</w:t>
      </w:r>
      <w:r w:rsidRPr="00FB4874">
        <w:rPr>
          <w:rFonts w:ascii="Verdana" w:hAnsi="Verdana"/>
        </w:rPr>
        <w:t>erificada</w:t>
      </w:r>
      <w:r w:rsidRPr="00FB4874">
        <w:rPr>
          <w:rFonts w:ascii="Verdana" w:hAnsi="Verdana"/>
          <w:spacing w:val="-10"/>
        </w:rPr>
        <w:t xml:space="preserve"> </w:t>
      </w:r>
      <w:r w:rsidRPr="00FB4874">
        <w:rPr>
          <w:rFonts w:ascii="Verdana" w:hAnsi="Verdana"/>
        </w:rPr>
        <w:t>una</w:t>
      </w:r>
      <w:r w:rsidRPr="00FB4874">
        <w:rPr>
          <w:rFonts w:ascii="Verdana" w:hAnsi="Verdana"/>
          <w:spacing w:val="-12"/>
        </w:rPr>
        <w:t xml:space="preserve"> </w:t>
      </w:r>
      <w:r w:rsidRPr="00FB4874">
        <w:rPr>
          <w:rFonts w:ascii="Verdana" w:hAnsi="Verdana"/>
        </w:rPr>
        <w:t>condición</w:t>
      </w:r>
      <w:r w:rsidRPr="00FB4874">
        <w:rPr>
          <w:rFonts w:ascii="Verdana" w:hAnsi="Verdana"/>
          <w:spacing w:val="-12"/>
        </w:rPr>
        <w:t xml:space="preserve"> </w:t>
      </w:r>
      <w:r w:rsidRPr="00FB4874">
        <w:rPr>
          <w:rFonts w:ascii="Verdana" w:hAnsi="Verdana"/>
        </w:rPr>
        <w:t>resolutoria</w:t>
      </w:r>
      <w:r w:rsidRPr="00FB4874">
        <w:rPr>
          <w:rFonts w:ascii="Verdana" w:hAnsi="Verdana"/>
          <w:spacing w:val="-11"/>
        </w:rPr>
        <w:t xml:space="preserve"> </w:t>
      </w:r>
      <w:r w:rsidRPr="00FB4874">
        <w:rPr>
          <w:rFonts w:ascii="Verdana" w:hAnsi="Verdana"/>
        </w:rPr>
        <w:t>no</w:t>
      </w:r>
      <w:r w:rsidRPr="00FB4874">
        <w:rPr>
          <w:rFonts w:ascii="Verdana" w:hAnsi="Verdana"/>
          <w:spacing w:val="-12"/>
        </w:rPr>
        <w:t xml:space="preserve"> </w:t>
      </w:r>
      <w:r w:rsidRPr="00FB4874">
        <w:rPr>
          <w:rFonts w:ascii="Verdana" w:hAnsi="Verdana"/>
        </w:rPr>
        <w:t>se</w:t>
      </w:r>
      <w:r w:rsidRPr="00FB4874">
        <w:rPr>
          <w:rFonts w:ascii="Verdana" w:hAnsi="Verdana"/>
          <w:spacing w:val="-12"/>
        </w:rPr>
        <w:t xml:space="preserve"> </w:t>
      </w:r>
      <w:r w:rsidRPr="00FB4874">
        <w:rPr>
          <w:rFonts w:ascii="Verdana" w:hAnsi="Verdana"/>
        </w:rPr>
        <w:t>deberán</w:t>
      </w:r>
      <w:r w:rsidRPr="00FB4874">
        <w:rPr>
          <w:rFonts w:ascii="Verdana" w:hAnsi="Verdana"/>
          <w:spacing w:val="-11"/>
        </w:rPr>
        <w:t xml:space="preserve"> </w:t>
      </w:r>
      <w:r w:rsidRPr="00FB4874">
        <w:rPr>
          <w:rFonts w:ascii="Verdana" w:hAnsi="Verdana"/>
        </w:rPr>
        <w:t>los</w:t>
      </w:r>
      <w:r w:rsidRPr="00FB4874">
        <w:rPr>
          <w:rFonts w:ascii="Verdana" w:hAnsi="Verdana"/>
          <w:spacing w:val="-12"/>
        </w:rPr>
        <w:t xml:space="preserve"> </w:t>
      </w:r>
      <w:r w:rsidRPr="00FB4874">
        <w:rPr>
          <w:rFonts w:ascii="Verdana" w:hAnsi="Verdana"/>
        </w:rPr>
        <w:t>frutos</w:t>
      </w:r>
      <w:r w:rsidRPr="00FB4874">
        <w:rPr>
          <w:rFonts w:ascii="Verdana" w:hAnsi="Verdana"/>
          <w:spacing w:val="-11"/>
        </w:rPr>
        <w:t xml:space="preserve"> </w:t>
      </w:r>
      <w:r w:rsidRPr="00FB4874">
        <w:rPr>
          <w:rFonts w:ascii="Verdana" w:hAnsi="Verdana"/>
        </w:rPr>
        <w:t>percibidos</w:t>
      </w:r>
      <w:r w:rsidRPr="00FB4874">
        <w:rPr>
          <w:rFonts w:ascii="Verdana" w:hAnsi="Verdana"/>
          <w:spacing w:val="-12"/>
        </w:rPr>
        <w:t xml:space="preserve"> </w:t>
      </w:r>
      <w:r w:rsidRPr="00FB4874">
        <w:rPr>
          <w:rFonts w:ascii="Verdana" w:hAnsi="Verdana"/>
        </w:rPr>
        <w:t>en</w:t>
      </w:r>
      <w:r w:rsidRPr="00FB4874">
        <w:rPr>
          <w:rFonts w:ascii="Verdana" w:hAnsi="Verdana"/>
          <w:spacing w:val="-11"/>
        </w:rPr>
        <w:t xml:space="preserve"> </w:t>
      </w:r>
      <w:r w:rsidRPr="00FB4874">
        <w:rPr>
          <w:rFonts w:ascii="Verdana" w:hAnsi="Verdana"/>
        </w:rPr>
        <w:t>el</w:t>
      </w:r>
      <w:r w:rsidRPr="00FB4874">
        <w:rPr>
          <w:rFonts w:ascii="Verdana" w:hAnsi="Verdana"/>
          <w:spacing w:val="-12"/>
        </w:rPr>
        <w:t xml:space="preserve"> </w:t>
      </w:r>
      <w:r w:rsidRPr="00FB4874">
        <w:rPr>
          <w:rFonts w:ascii="Verdana" w:hAnsi="Verdana"/>
        </w:rPr>
        <w:t>tiempo</w:t>
      </w:r>
      <w:r w:rsidRPr="00FB4874">
        <w:rPr>
          <w:rFonts w:ascii="Verdana" w:hAnsi="Verdana"/>
          <w:spacing w:val="-11"/>
        </w:rPr>
        <w:t xml:space="preserve"> </w:t>
      </w:r>
      <w:r w:rsidRPr="00FB4874">
        <w:rPr>
          <w:rFonts w:ascii="Verdana" w:hAnsi="Verdana"/>
        </w:rPr>
        <w:t>intermedio,</w:t>
      </w:r>
      <w:r w:rsidRPr="00FB4874">
        <w:rPr>
          <w:rFonts w:ascii="Verdana" w:hAnsi="Verdana"/>
          <w:spacing w:val="-58"/>
        </w:rPr>
        <w:t xml:space="preserve"> </w:t>
      </w:r>
      <w:r w:rsidRPr="00FB4874">
        <w:rPr>
          <w:rFonts w:ascii="Verdana" w:hAnsi="Verdana"/>
        </w:rPr>
        <w:t>salvo que la ley, el testador, el donante o los contratantes, según los varios casos, hayan</w:t>
      </w:r>
      <w:r w:rsidRPr="00FB4874">
        <w:rPr>
          <w:rFonts w:ascii="Verdana" w:hAnsi="Verdana"/>
          <w:spacing w:val="1"/>
        </w:rPr>
        <w:t xml:space="preserve"> </w:t>
      </w:r>
      <w:r w:rsidRPr="00FB4874">
        <w:rPr>
          <w:rFonts w:ascii="Verdana" w:hAnsi="Verdana"/>
        </w:rPr>
        <w:t xml:space="preserve">dispuesto lo contrario»; y, por último, que </w:t>
      </w:r>
      <w:r w:rsidR="008A68DE">
        <w:rPr>
          <w:rFonts w:ascii="Verdana" w:hAnsi="Verdana"/>
        </w:rPr>
        <w:t>“E</w:t>
      </w:r>
      <w:r w:rsidRPr="00FB4874">
        <w:rPr>
          <w:rFonts w:ascii="Verdana" w:hAnsi="Verdana"/>
        </w:rPr>
        <w:t>n los contratos bilaterales va envuelta la condición</w:t>
      </w:r>
      <w:r w:rsidRPr="00FB4874">
        <w:rPr>
          <w:rFonts w:ascii="Verdana" w:hAnsi="Verdana"/>
          <w:spacing w:val="1"/>
        </w:rPr>
        <w:t xml:space="preserve"> </w:t>
      </w:r>
      <w:r w:rsidRPr="00FB4874">
        <w:rPr>
          <w:rFonts w:ascii="Verdana" w:hAnsi="Verdana"/>
        </w:rPr>
        <w:t>resolutoria</w:t>
      </w:r>
      <w:r w:rsidRPr="00FB4874">
        <w:rPr>
          <w:rFonts w:ascii="Verdana" w:hAnsi="Verdana"/>
          <w:spacing w:val="-15"/>
        </w:rPr>
        <w:t xml:space="preserve"> </w:t>
      </w:r>
      <w:r w:rsidRPr="00FB4874">
        <w:rPr>
          <w:rFonts w:ascii="Verdana" w:hAnsi="Verdana"/>
        </w:rPr>
        <w:t>en</w:t>
      </w:r>
      <w:r w:rsidRPr="00FB4874">
        <w:rPr>
          <w:rFonts w:ascii="Verdana" w:hAnsi="Verdana"/>
          <w:spacing w:val="-15"/>
        </w:rPr>
        <w:t xml:space="preserve"> </w:t>
      </w:r>
      <w:r w:rsidRPr="00FB4874">
        <w:rPr>
          <w:rFonts w:ascii="Verdana" w:hAnsi="Verdana"/>
        </w:rPr>
        <w:t>caso</w:t>
      </w:r>
      <w:r w:rsidRPr="00FB4874">
        <w:rPr>
          <w:rFonts w:ascii="Verdana" w:hAnsi="Verdana"/>
          <w:spacing w:val="-14"/>
        </w:rPr>
        <w:t xml:space="preserve"> </w:t>
      </w:r>
      <w:r w:rsidRPr="00FB4874">
        <w:rPr>
          <w:rFonts w:ascii="Verdana" w:hAnsi="Verdana"/>
        </w:rPr>
        <w:t>de</w:t>
      </w:r>
      <w:r w:rsidRPr="00FB4874">
        <w:rPr>
          <w:rFonts w:ascii="Verdana" w:hAnsi="Verdana"/>
          <w:spacing w:val="-15"/>
        </w:rPr>
        <w:t xml:space="preserve"> </w:t>
      </w:r>
      <w:r w:rsidRPr="00FB4874">
        <w:rPr>
          <w:rFonts w:ascii="Verdana" w:hAnsi="Verdana"/>
        </w:rPr>
        <w:t>no</w:t>
      </w:r>
      <w:r w:rsidRPr="00FB4874">
        <w:rPr>
          <w:rFonts w:ascii="Verdana" w:hAnsi="Verdana"/>
          <w:spacing w:val="-15"/>
        </w:rPr>
        <w:t xml:space="preserve"> </w:t>
      </w:r>
      <w:r w:rsidRPr="00FB4874">
        <w:rPr>
          <w:rFonts w:ascii="Verdana" w:hAnsi="Verdana"/>
        </w:rPr>
        <w:t>cumplirse</w:t>
      </w:r>
      <w:r w:rsidRPr="00FB4874">
        <w:rPr>
          <w:rFonts w:ascii="Verdana" w:hAnsi="Verdana"/>
          <w:spacing w:val="-14"/>
        </w:rPr>
        <w:t xml:space="preserve"> </w:t>
      </w:r>
      <w:r w:rsidRPr="00FB4874">
        <w:rPr>
          <w:rFonts w:ascii="Verdana" w:hAnsi="Verdana"/>
        </w:rPr>
        <w:t>por</w:t>
      </w:r>
      <w:r w:rsidRPr="00FB4874">
        <w:rPr>
          <w:rFonts w:ascii="Verdana" w:hAnsi="Verdana"/>
          <w:spacing w:val="-15"/>
        </w:rPr>
        <w:t xml:space="preserve"> </w:t>
      </w:r>
      <w:r w:rsidRPr="00FB4874">
        <w:rPr>
          <w:rFonts w:ascii="Verdana" w:hAnsi="Verdana"/>
        </w:rPr>
        <w:t>uno</w:t>
      </w:r>
      <w:r w:rsidRPr="00FB4874">
        <w:rPr>
          <w:rFonts w:ascii="Verdana" w:hAnsi="Verdana"/>
          <w:spacing w:val="-14"/>
        </w:rPr>
        <w:t xml:space="preserve"> </w:t>
      </w:r>
      <w:r w:rsidRPr="00FB4874">
        <w:rPr>
          <w:rFonts w:ascii="Verdana" w:hAnsi="Verdana"/>
        </w:rPr>
        <w:t>de</w:t>
      </w:r>
      <w:r w:rsidRPr="00FB4874">
        <w:rPr>
          <w:rFonts w:ascii="Verdana" w:hAnsi="Verdana"/>
          <w:spacing w:val="-15"/>
        </w:rPr>
        <w:t xml:space="preserve"> </w:t>
      </w:r>
      <w:r w:rsidRPr="00FB4874">
        <w:rPr>
          <w:rFonts w:ascii="Verdana" w:hAnsi="Verdana"/>
        </w:rPr>
        <w:t>los</w:t>
      </w:r>
      <w:r w:rsidRPr="00FB4874">
        <w:rPr>
          <w:rFonts w:ascii="Verdana" w:hAnsi="Verdana"/>
          <w:spacing w:val="-15"/>
        </w:rPr>
        <w:t xml:space="preserve"> </w:t>
      </w:r>
      <w:r w:rsidRPr="00FB4874">
        <w:rPr>
          <w:rFonts w:ascii="Verdana" w:hAnsi="Verdana"/>
        </w:rPr>
        <w:t>contratantes</w:t>
      </w:r>
      <w:r w:rsidRPr="00FB4874">
        <w:rPr>
          <w:rFonts w:ascii="Verdana" w:hAnsi="Verdana"/>
          <w:spacing w:val="-14"/>
        </w:rPr>
        <w:t xml:space="preserve"> </w:t>
      </w:r>
      <w:r w:rsidRPr="00FB4874">
        <w:rPr>
          <w:rFonts w:ascii="Verdana" w:hAnsi="Verdana"/>
        </w:rPr>
        <w:t>lo</w:t>
      </w:r>
      <w:r w:rsidRPr="00FB4874">
        <w:rPr>
          <w:rFonts w:ascii="Verdana" w:hAnsi="Verdana"/>
          <w:spacing w:val="-15"/>
        </w:rPr>
        <w:t xml:space="preserve"> </w:t>
      </w:r>
      <w:r w:rsidRPr="00FB4874">
        <w:rPr>
          <w:rFonts w:ascii="Verdana" w:hAnsi="Verdana"/>
        </w:rPr>
        <w:t>pactado.</w:t>
      </w:r>
      <w:r w:rsidRPr="00FB4874">
        <w:rPr>
          <w:rFonts w:ascii="Verdana" w:hAnsi="Verdana"/>
          <w:spacing w:val="-15"/>
        </w:rPr>
        <w:t xml:space="preserve"> </w:t>
      </w:r>
      <w:r w:rsidRPr="00FB4874">
        <w:rPr>
          <w:rFonts w:ascii="Verdana" w:hAnsi="Verdana"/>
        </w:rPr>
        <w:t>Pero</w:t>
      </w:r>
      <w:r w:rsidRPr="00FB4874">
        <w:rPr>
          <w:rFonts w:ascii="Verdana" w:hAnsi="Verdana"/>
          <w:spacing w:val="-13"/>
        </w:rPr>
        <w:t xml:space="preserve"> </w:t>
      </w:r>
      <w:r w:rsidRPr="00FB4874">
        <w:rPr>
          <w:rFonts w:ascii="Verdana" w:hAnsi="Verdana"/>
        </w:rPr>
        <w:t>en</w:t>
      </w:r>
      <w:r w:rsidRPr="00FB4874">
        <w:rPr>
          <w:rFonts w:ascii="Verdana" w:hAnsi="Verdana"/>
          <w:spacing w:val="-15"/>
        </w:rPr>
        <w:t xml:space="preserve"> </w:t>
      </w:r>
      <w:r w:rsidRPr="00FB4874">
        <w:rPr>
          <w:rFonts w:ascii="Verdana" w:hAnsi="Verdana"/>
        </w:rPr>
        <w:t>tal</w:t>
      </w:r>
      <w:r w:rsidRPr="00FB4874">
        <w:rPr>
          <w:rFonts w:ascii="Verdana" w:hAnsi="Verdana"/>
          <w:spacing w:val="-13"/>
        </w:rPr>
        <w:t xml:space="preserve"> </w:t>
      </w:r>
      <w:r w:rsidRPr="00FB4874">
        <w:rPr>
          <w:rFonts w:ascii="Verdana" w:hAnsi="Verdana"/>
        </w:rPr>
        <w:t>caso</w:t>
      </w:r>
      <w:r w:rsidRPr="00FB4874">
        <w:rPr>
          <w:rFonts w:ascii="Verdana" w:hAnsi="Verdana"/>
          <w:spacing w:val="-15"/>
        </w:rPr>
        <w:t xml:space="preserve"> </w:t>
      </w:r>
      <w:r w:rsidRPr="00FB4874">
        <w:rPr>
          <w:rFonts w:ascii="Verdana" w:hAnsi="Verdana"/>
        </w:rPr>
        <w:t>podrá</w:t>
      </w:r>
      <w:r w:rsidRPr="00FB4874">
        <w:rPr>
          <w:rFonts w:ascii="Verdana" w:hAnsi="Verdana"/>
          <w:spacing w:val="-59"/>
        </w:rPr>
        <w:t xml:space="preserve"> </w:t>
      </w:r>
      <w:r w:rsidRPr="00FB4874">
        <w:rPr>
          <w:rFonts w:ascii="Verdana" w:hAnsi="Verdana"/>
        </w:rPr>
        <w:t>el</w:t>
      </w:r>
      <w:r w:rsidRPr="00FB4874">
        <w:rPr>
          <w:rFonts w:ascii="Verdana" w:hAnsi="Verdana"/>
          <w:spacing w:val="1"/>
        </w:rPr>
        <w:t xml:space="preserve"> </w:t>
      </w:r>
      <w:r w:rsidRPr="00FB4874">
        <w:rPr>
          <w:rFonts w:ascii="Verdana" w:hAnsi="Verdana"/>
        </w:rPr>
        <w:t>otro</w:t>
      </w:r>
      <w:r w:rsidRPr="00FB4874">
        <w:rPr>
          <w:rFonts w:ascii="Verdana" w:hAnsi="Verdana"/>
          <w:spacing w:val="1"/>
        </w:rPr>
        <w:t xml:space="preserve"> </w:t>
      </w:r>
      <w:r w:rsidRPr="00FB4874">
        <w:rPr>
          <w:rFonts w:ascii="Verdana" w:hAnsi="Verdana"/>
        </w:rPr>
        <w:t>contratante</w:t>
      </w:r>
      <w:r w:rsidRPr="00FB4874">
        <w:rPr>
          <w:rFonts w:ascii="Verdana" w:hAnsi="Verdana"/>
          <w:spacing w:val="1"/>
        </w:rPr>
        <w:t xml:space="preserve"> </w:t>
      </w:r>
      <w:r w:rsidRPr="00FB4874">
        <w:rPr>
          <w:rFonts w:ascii="Verdana" w:hAnsi="Verdana"/>
        </w:rPr>
        <w:t>pedir</w:t>
      </w:r>
      <w:r w:rsidRPr="00FB4874">
        <w:rPr>
          <w:rFonts w:ascii="Verdana" w:hAnsi="Verdana"/>
          <w:spacing w:val="1"/>
        </w:rPr>
        <w:t xml:space="preserve"> </w:t>
      </w:r>
      <w:r w:rsidRPr="00FB4874">
        <w:rPr>
          <w:rFonts w:ascii="Verdana" w:hAnsi="Verdana"/>
        </w:rPr>
        <w:t>a</w:t>
      </w:r>
      <w:r w:rsidRPr="00FB4874">
        <w:rPr>
          <w:rFonts w:ascii="Verdana" w:hAnsi="Verdana"/>
          <w:spacing w:val="1"/>
        </w:rPr>
        <w:t xml:space="preserve"> </w:t>
      </w:r>
      <w:r w:rsidRPr="00FB4874">
        <w:rPr>
          <w:rFonts w:ascii="Verdana" w:hAnsi="Verdana"/>
        </w:rPr>
        <w:t>su</w:t>
      </w:r>
      <w:r w:rsidRPr="00FB4874">
        <w:rPr>
          <w:rFonts w:ascii="Verdana" w:hAnsi="Verdana"/>
          <w:spacing w:val="1"/>
        </w:rPr>
        <w:t xml:space="preserve"> </w:t>
      </w:r>
      <w:r w:rsidRPr="00FB4874">
        <w:rPr>
          <w:rFonts w:ascii="Verdana" w:hAnsi="Verdana"/>
        </w:rPr>
        <w:t>arbitrio,</w:t>
      </w:r>
      <w:r w:rsidRPr="00FB4874">
        <w:rPr>
          <w:rFonts w:ascii="Verdana" w:hAnsi="Verdana"/>
          <w:spacing w:val="1"/>
        </w:rPr>
        <w:t xml:space="preserve"> </w:t>
      </w:r>
      <w:r w:rsidRPr="00FB4874">
        <w:rPr>
          <w:rFonts w:ascii="Verdana" w:hAnsi="Verdana"/>
        </w:rPr>
        <w:t>o</w:t>
      </w:r>
      <w:r w:rsidRPr="00FB4874">
        <w:rPr>
          <w:rFonts w:ascii="Verdana" w:hAnsi="Verdana"/>
          <w:spacing w:val="1"/>
        </w:rPr>
        <w:t xml:space="preserve"> </w:t>
      </w:r>
      <w:r w:rsidRPr="00FB4874">
        <w:rPr>
          <w:rFonts w:ascii="Verdana" w:hAnsi="Verdana"/>
        </w:rPr>
        <w:t>la</w:t>
      </w:r>
      <w:r w:rsidRPr="00FB4874">
        <w:rPr>
          <w:rFonts w:ascii="Verdana" w:hAnsi="Verdana"/>
          <w:spacing w:val="1"/>
        </w:rPr>
        <w:t xml:space="preserve"> </w:t>
      </w:r>
      <w:r w:rsidRPr="00FB4874">
        <w:rPr>
          <w:rFonts w:ascii="Verdana" w:hAnsi="Verdana"/>
        </w:rPr>
        <w:t>resolución</w:t>
      </w:r>
      <w:r w:rsidRPr="00FB4874">
        <w:rPr>
          <w:rFonts w:ascii="Verdana" w:hAnsi="Verdana"/>
          <w:spacing w:val="1"/>
        </w:rPr>
        <w:t xml:space="preserve"> </w:t>
      </w:r>
      <w:r w:rsidRPr="00FB4874">
        <w:rPr>
          <w:rFonts w:ascii="Verdana" w:hAnsi="Verdana"/>
        </w:rPr>
        <w:t>o</w:t>
      </w:r>
      <w:r w:rsidRPr="00FB4874">
        <w:rPr>
          <w:rFonts w:ascii="Verdana" w:hAnsi="Verdana"/>
          <w:spacing w:val="1"/>
        </w:rPr>
        <w:t xml:space="preserve"> </w:t>
      </w:r>
      <w:r w:rsidRPr="00FB4874">
        <w:rPr>
          <w:rFonts w:ascii="Verdana" w:hAnsi="Verdana"/>
        </w:rPr>
        <w:t>el</w:t>
      </w:r>
      <w:r w:rsidRPr="00FB4874">
        <w:rPr>
          <w:rFonts w:ascii="Verdana" w:hAnsi="Verdana"/>
          <w:spacing w:val="1"/>
        </w:rPr>
        <w:t xml:space="preserve"> </w:t>
      </w:r>
      <w:r w:rsidRPr="00FB4874">
        <w:rPr>
          <w:rFonts w:ascii="Verdana" w:hAnsi="Verdana"/>
        </w:rPr>
        <w:t>cumplimiento</w:t>
      </w:r>
      <w:r w:rsidRPr="00FB4874">
        <w:rPr>
          <w:rFonts w:ascii="Verdana" w:hAnsi="Verdana"/>
          <w:spacing w:val="1"/>
        </w:rPr>
        <w:t xml:space="preserve"> </w:t>
      </w:r>
      <w:r w:rsidRPr="00FB4874">
        <w:rPr>
          <w:rFonts w:ascii="Verdana" w:hAnsi="Verdana"/>
        </w:rPr>
        <w:t>del</w:t>
      </w:r>
      <w:r w:rsidRPr="00FB4874">
        <w:rPr>
          <w:rFonts w:ascii="Verdana" w:hAnsi="Verdana"/>
          <w:spacing w:val="1"/>
        </w:rPr>
        <w:t xml:space="preserve"> </w:t>
      </w:r>
      <w:r w:rsidRPr="00FB4874">
        <w:rPr>
          <w:rFonts w:ascii="Verdana" w:hAnsi="Verdana"/>
        </w:rPr>
        <w:t>contrato</w:t>
      </w:r>
      <w:r w:rsidRPr="00FB4874">
        <w:rPr>
          <w:rFonts w:ascii="Verdana" w:hAnsi="Verdana"/>
          <w:spacing w:val="1"/>
        </w:rPr>
        <w:t xml:space="preserve"> </w:t>
      </w:r>
      <w:r w:rsidRPr="00FB4874">
        <w:rPr>
          <w:rFonts w:ascii="Verdana" w:hAnsi="Verdana"/>
        </w:rPr>
        <w:t>con</w:t>
      </w:r>
      <w:r w:rsidRPr="00FB4874">
        <w:rPr>
          <w:rFonts w:ascii="Verdana" w:hAnsi="Verdana"/>
          <w:spacing w:val="-59"/>
        </w:rPr>
        <w:t xml:space="preserve"> </w:t>
      </w:r>
      <w:r w:rsidRPr="00FB4874">
        <w:rPr>
          <w:rFonts w:ascii="Verdana" w:hAnsi="Verdana"/>
        </w:rPr>
        <w:t>indemnización</w:t>
      </w:r>
      <w:r w:rsidRPr="00FB4874">
        <w:rPr>
          <w:rFonts w:ascii="Verdana" w:hAnsi="Verdana"/>
          <w:spacing w:val="-2"/>
        </w:rPr>
        <w:t xml:space="preserve"> </w:t>
      </w:r>
      <w:r w:rsidRPr="00FB4874">
        <w:rPr>
          <w:rFonts w:ascii="Verdana" w:hAnsi="Verdana"/>
        </w:rPr>
        <w:t>de</w:t>
      </w:r>
      <w:r w:rsidRPr="00FB4874">
        <w:rPr>
          <w:rFonts w:ascii="Verdana" w:hAnsi="Verdana"/>
          <w:spacing w:val="-1"/>
        </w:rPr>
        <w:t xml:space="preserve"> </w:t>
      </w:r>
      <w:r w:rsidRPr="00FB4874">
        <w:rPr>
          <w:rFonts w:ascii="Verdana" w:hAnsi="Verdana"/>
        </w:rPr>
        <w:t>perjuicios</w:t>
      </w:r>
      <w:r w:rsidR="008A68DE">
        <w:rPr>
          <w:rFonts w:ascii="Verdana" w:hAnsi="Verdana"/>
        </w:rPr>
        <w:t>”</w:t>
      </w:r>
      <w:r w:rsidRPr="00FB4874">
        <w:rPr>
          <w:rFonts w:ascii="Verdana" w:hAnsi="Verdana"/>
        </w:rPr>
        <w:t>.</w:t>
      </w:r>
    </w:p>
    <w:p w14:paraId="3089DF84" w14:textId="77777777" w:rsidR="008A68DE" w:rsidRPr="00FB4874" w:rsidRDefault="008A68DE" w:rsidP="008A68DE">
      <w:pPr>
        <w:pStyle w:val="Textoindependiente"/>
        <w:spacing w:before="159" w:after="160" w:line="276" w:lineRule="auto"/>
        <w:ind w:left="118" w:right="176" w:firstLine="720"/>
        <w:contextualSpacing/>
        <w:jc w:val="both"/>
        <w:rPr>
          <w:rFonts w:ascii="Verdana" w:hAnsi="Verdana"/>
        </w:rPr>
      </w:pPr>
    </w:p>
    <w:p w14:paraId="1BE8D253" w14:textId="36D54343" w:rsidR="00FB4874" w:rsidRPr="00FB4874" w:rsidRDefault="00FB4874" w:rsidP="00722741">
      <w:pPr>
        <w:pStyle w:val="Textoindependiente"/>
        <w:spacing w:before="156" w:after="160" w:line="276" w:lineRule="auto"/>
        <w:ind w:right="176" w:firstLine="826"/>
        <w:contextualSpacing/>
        <w:jc w:val="both"/>
        <w:rPr>
          <w:rFonts w:ascii="Verdana" w:hAnsi="Verdana"/>
        </w:rPr>
      </w:pPr>
      <w:r w:rsidRPr="00FB4874">
        <w:rPr>
          <w:rFonts w:ascii="Verdana" w:hAnsi="Verdana"/>
        </w:rPr>
        <w:t>Entonces,</w:t>
      </w:r>
      <w:r w:rsidRPr="00FB4874">
        <w:rPr>
          <w:rFonts w:ascii="Verdana" w:hAnsi="Verdana"/>
          <w:spacing w:val="1"/>
        </w:rPr>
        <w:t xml:space="preserve"> </w:t>
      </w:r>
      <w:r w:rsidRPr="00FB4874">
        <w:rPr>
          <w:rFonts w:ascii="Verdana" w:hAnsi="Verdana"/>
        </w:rPr>
        <w:t>la</w:t>
      </w:r>
      <w:r w:rsidRPr="00FB4874">
        <w:rPr>
          <w:rFonts w:ascii="Verdana" w:hAnsi="Verdana"/>
          <w:spacing w:val="1"/>
        </w:rPr>
        <w:t xml:space="preserve"> </w:t>
      </w:r>
      <w:r w:rsidRPr="00FB4874">
        <w:rPr>
          <w:rFonts w:ascii="Verdana" w:hAnsi="Verdana"/>
        </w:rPr>
        <w:t>figura</w:t>
      </w:r>
      <w:r w:rsidRPr="00FB4874">
        <w:rPr>
          <w:rFonts w:ascii="Verdana" w:hAnsi="Verdana"/>
          <w:spacing w:val="1"/>
        </w:rPr>
        <w:t xml:space="preserve"> </w:t>
      </w:r>
      <w:r w:rsidRPr="00FB4874">
        <w:rPr>
          <w:rFonts w:ascii="Verdana" w:hAnsi="Verdana"/>
        </w:rPr>
        <w:t>de</w:t>
      </w:r>
      <w:r w:rsidRPr="00FB4874">
        <w:rPr>
          <w:rFonts w:ascii="Verdana" w:hAnsi="Verdana"/>
          <w:spacing w:val="1"/>
        </w:rPr>
        <w:t xml:space="preserve"> </w:t>
      </w:r>
      <w:r w:rsidRPr="00FB4874">
        <w:rPr>
          <w:rFonts w:ascii="Verdana" w:hAnsi="Verdana"/>
        </w:rPr>
        <w:t>la</w:t>
      </w:r>
      <w:r w:rsidRPr="00FB4874">
        <w:rPr>
          <w:rFonts w:ascii="Verdana" w:hAnsi="Verdana"/>
          <w:spacing w:val="1"/>
        </w:rPr>
        <w:t xml:space="preserve"> </w:t>
      </w:r>
      <w:r w:rsidRPr="00FB4874">
        <w:rPr>
          <w:rFonts w:ascii="Verdana" w:hAnsi="Verdana"/>
        </w:rPr>
        <w:t>condición</w:t>
      </w:r>
      <w:r w:rsidRPr="00FB4874">
        <w:rPr>
          <w:rFonts w:ascii="Verdana" w:hAnsi="Verdana"/>
          <w:spacing w:val="1"/>
        </w:rPr>
        <w:t xml:space="preserve"> </w:t>
      </w:r>
      <w:r w:rsidRPr="00FB4874">
        <w:rPr>
          <w:rFonts w:ascii="Verdana" w:hAnsi="Verdana"/>
        </w:rPr>
        <w:t>resolutoria</w:t>
      </w:r>
      <w:r w:rsidRPr="00FB4874">
        <w:rPr>
          <w:rFonts w:ascii="Verdana" w:hAnsi="Verdana"/>
          <w:spacing w:val="1"/>
        </w:rPr>
        <w:t xml:space="preserve"> </w:t>
      </w:r>
      <w:r w:rsidRPr="00FB4874">
        <w:rPr>
          <w:rFonts w:ascii="Verdana" w:hAnsi="Verdana"/>
        </w:rPr>
        <w:t>referida</w:t>
      </w:r>
      <w:r w:rsidRPr="00FB4874">
        <w:rPr>
          <w:rFonts w:ascii="Verdana" w:hAnsi="Verdana"/>
          <w:spacing w:val="1"/>
        </w:rPr>
        <w:t xml:space="preserve"> </w:t>
      </w:r>
      <w:r w:rsidRPr="00FB4874">
        <w:rPr>
          <w:rFonts w:ascii="Verdana" w:hAnsi="Verdana"/>
        </w:rPr>
        <w:t>parte</w:t>
      </w:r>
      <w:r w:rsidRPr="00FB4874">
        <w:rPr>
          <w:rFonts w:ascii="Verdana" w:hAnsi="Verdana"/>
          <w:spacing w:val="1"/>
        </w:rPr>
        <w:t xml:space="preserve"> </w:t>
      </w:r>
      <w:r w:rsidRPr="00FB4874">
        <w:rPr>
          <w:rFonts w:ascii="Verdana" w:hAnsi="Verdana"/>
        </w:rPr>
        <w:t>de</w:t>
      </w:r>
      <w:r w:rsidRPr="00FB4874">
        <w:rPr>
          <w:rFonts w:ascii="Verdana" w:hAnsi="Verdana"/>
          <w:spacing w:val="1"/>
        </w:rPr>
        <w:t xml:space="preserve"> </w:t>
      </w:r>
      <w:r w:rsidRPr="00FB4874">
        <w:rPr>
          <w:rFonts w:ascii="Verdana" w:hAnsi="Verdana"/>
        </w:rPr>
        <w:t>la</w:t>
      </w:r>
      <w:r w:rsidRPr="00FB4874">
        <w:rPr>
          <w:rFonts w:ascii="Verdana" w:hAnsi="Verdana"/>
          <w:spacing w:val="1"/>
        </w:rPr>
        <w:t xml:space="preserve"> </w:t>
      </w:r>
      <w:r w:rsidRPr="00FB4874">
        <w:rPr>
          <w:rFonts w:ascii="Verdana" w:hAnsi="Verdana"/>
        </w:rPr>
        <w:t>premisa</w:t>
      </w:r>
      <w:r w:rsidRPr="00FB4874">
        <w:rPr>
          <w:rFonts w:ascii="Verdana" w:hAnsi="Verdana"/>
          <w:spacing w:val="1"/>
        </w:rPr>
        <w:t xml:space="preserve"> </w:t>
      </w:r>
      <w:r w:rsidRPr="00FB4874">
        <w:rPr>
          <w:rFonts w:ascii="Verdana" w:hAnsi="Verdana"/>
        </w:rPr>
        <w:t>de</w:t>
      </w:r>
      <w:r w:rsidRPr="00FB4874">
        <w:rPr>
          <w:rFonts w:ascii="Verdana" w:hAnsi="Verdana"/>
          <w:spacing w:val="1"/>
        </w:rPr>
        <w:t xml:space="preserve"> </w:t>
      </w:r>
      <w:r w:rsidRPr="00FB4874">
        <w:rPr>
          <w:rFonts w:ascii="Verdana" w:hAnsi="Verdana"/>
        </w:rPr>
        <w:t>su</w:t>
      </w:r>
      <w:r w:rsidRPr="00FB4874">
        <w:rPr>
          <w:rFonts w:ascii="Verdana" w:hAnsi="Verdana"/>
          <w:spacing w:val="1"/>
        </w:rPr>
        <w:t xml:space="preserve"> </w:t>
      </w:r>
      <w:r w:rsidRPr="00FB4874">
        <w:rPr>
          <w:rFonts w:ascii="Verdana" w:hAnsi="Verdana"/>
        </w:rPr>
        <w:t xml:space="preserve">presunción como cláusula natural de todo negocio jurídico </w:t>
      </w:r>
      <w:r w:rsidRPr="00FB4874">
        <w:rPr>
          <w:rFonts w:ascii="Verdana" w:hAnsi="Verdana"/>
        </w:rPr>
        <w:lastRenderedPageBreak/>
        <w:t>bilateral, dentro del que se cuentan,</w:t>
      </w:r>
      <w:r w:rsidRPr="00FB4874">
        <w:rPr>
          <w:rFonts w:ascii="Verdana" w:hAnsi="Verdana"/>
          <w:spacing w:val="1"/>
        </w:rPr>
        <w:t xml:space="preserve"> </w:t>
      </w:r>
      <w:r w:rsidRPr="00FB4874">
        <w:rPr>
          <w:rFonts w:ascii="Verdana" w:hAnsi="Verdana"/>
        </w:rPr>
        <w:t>por</w:t>
      </w:r>
      <w:r w:rsidRPr="00FB4874">
        <w:rPr>
          <w:rFonts w:ascii="Verdana" w:hAnsi="Verdana"/>
          <w:spacing w:val="-11"/>
        </w:rPr>
        <w:t xml:space="preserve"> </w:t>
      </w:r>
      <w:r w:rsidRPr="00FB4874">
        <w:rPr>
          <w:rFonts w:ascii="Verdana" w:hAnsi="Verdana"/>
        </w:rPr>
        <w:t>supuesto,</w:t>
      </w:r>
      <w:r w:rsidRPr="00FB4874">
        <w:rPr>
          <w:rFonts w:ascii="Verdana" w:hAnsi="Verdana"/>
          <w:spacing w:val="-11"/>
        </w:rPr>
        <w:t xml:space="preserve"> </w:t>
      </w:r>
      <w:r w:rsidRPr="00FB4874">
        <w:rPr>
          <w:rFonts w:ascii="Verdana" w:hAnsi="Verdana"/>
        </w:rPr>
        <w:t>los</w:t>
      </w:r>
      <w:r w:rsidRPr="00FB4874">
        <w:rPr>
          <w:rFonts w:ascii="Verdana" w:hAnsi="Verdana"/>
          <w:spacing w:val="-10"/>
        </w:rPr>
        <w:t xml:space="preserve"> </w:t>
      </w:r>
      <w:r w:rsidR="008A68DE">
        <w:rPr>
          <w:rFonts w:ascii="Verdana" w:hAnsi="Verdana"/>
        </w:rPr>
        <w:t>contratos estatales</w:t>
      </w:r>
      <w:r w:rsidRPr="00FB4874">
        <w:rPr>
          <w:rFonts w:ascii="Verdana" w:hAnsi="Verdana"/>
        </w:rPr>
        <w:t>,</w:t>
      </w:r>
      <w:r w:rsidRPr="00FB4874">
        <w:rPr>
          <w:rFonts w:ascii="Verdana" w:hAnsi="Verdana"/>
          <w:spacing w:val="-10"/>
        </w:rPr>
        <w:t xml:space="preserve"> </w:t>
      </w:r>
      <w:r w:rsidRPr="00FB4874">
        <w:rPr>
          <w:rFonts w:ascii="Verdana" w:hAnsi="Verdana"/>
        </w:rPr>
        <w:t>sin</w:t>
      </w:r>
      <w:r w:rsidRPr="00FB4874">
        <w:rPr>
          <w:rFonts w:ascii="Verdana" w:hAnsi="Verdana"/>
          <w:spacing w:val="-10"/>
        </w:rPr>
        <w:t xml:space="preserve"> </w:t>
      </w:r>
      <w:r w:rsidRPr="00FB4874">
        <w:rPr>
          <w:rFonts w:ascii="Verdana" w:hAnsi="Verdana"/>
        </w:rPr>
        <w:t>perjuicio</w:t>
      </w:r>
      <w:r w:rsidRPr="00FB4874">
        <w:rPr>
          <w:rFonts w:ascii="Verdana" w:hAnsi="Verdana"/>
          <w:spacing w:val="-10"/>
        </w:rPr>
        <w:t xml:space="preserve"> </w:t>
      </w:r>
      <w:r w:rsidRPr="00FB4874">
        <w:rPr>
          <w:rFonts w:ascii="Verdana" w:hAnsi="Verdana"/>
        </w:rPr>
        <w:t>de</w:t>
      </w:r>
      <w:r w:rsidRPr="00FB4874">
        <w:rPr>
          <w:rFonts w:ascii="Verdana" w:hAnsi="Verdana"/>
          <w:spacing w:val="-10"/>
        </w:rPr>
        <w:t xml:space="preserve"> </w:t>
      </w:r>
      <w:r w:rsidRPr="00FB4874">
        <w:rPr>
          <w:rFonts w:ascii="Verdana" w:hAnsi="Verdana"/>
        </w:rPr>
        <w:t>que</w:t>
      </w:r>
      <w:r w:rsidRPr="00FB4874">
        <w:rPr>
          <w:rFonts w:ascii="Verdana" w:hAnsi="Verdana"/>
          <w:spacing w:val="-11"/>
        </w:rPr>
        <w:t xml:space="preserve"> </w:t>
      </w:r>
      <w:r w:rsidRPr="00FB4874">
        <w:rPr>
          <w:rFonts w:ascii="Verdana" w:hAnsi="Verdana"/>
        </w:rPr>
        <w:t>las</w:t>
      </w:r>
      <w:r w:rsidRPr="00FB4874">
        <w:rPr>
          <w:rFonts w:ascii="Verdana" w:hAnsi="Verdana"/>
          <w:spacing w:val="-11"/>
        </w:rPr>
        <w:t xml:space="preserve"> </w:t>
      </w:r>
      <w:r w:rsidRPr="00FB4874">
        <w:rPr>
          <w:rFonts w:ascii="Verdana" w:hAnsi="Verdana"/>
        </w:rPr>
        <w:t>partes,</w:t>
      </w:r>
      <w:r w:rsidRPr="00FB4874">
        <w:rPr>
          <w:rFonts w:ascii="Verdana" w:hAnsi="Verdana"/>
          <w:spacing w:val="-9"/>
        </w:rPr>
        <w:t xml:space="preserve"> </w:t>
      </w:r>
      <w:r w:rsidRPr="00FB4874">
        <w:rPr>
          <w:rFonts w:ascii="Verdana" w:hAnsi="Verdana"/>
        </w:rPr>
        <w:t>en</w:t>
      </w:r>
      <w:r w:rsidRPr="00FB4874">
        <w:rPr>
          <w:rFonts w:ascii="Verdana" w:hAnsi="Verdana"/>
          <w:spacing w:val="-11"/>
        </w:rPr>
        <w:t xml:space="preserve"> </w:t>
      </w:r>
      <w:r w:rsidRPr="00FB4874">
        <w:rPr>
          <w:rFonts w:ascii="Verdana" w:hAnsi="Verdana"/>
        </w:rPr>
        <w:t>ejercicio</w:t>
      </w:r>
      <w:r w:rsidRPr="00FB4874">
        <w:rPr>
          <w:rFonts w:ascii="Verdana" w:hAnsi="Verdana"/>
          <w:spacing w:val="-10"/>
        </w:rPr>
        <w:t xml:space="preserve"> </w:t>
      </w:r>
      <w:r w:rsidRPr="00FB4874">
        <w:rPr>
          <w:rFonts w:ascii="Verdana" w:hAnsi="Verdana"/>
        </w:rPr>
        <w:t>de</w:t>
      </w:r>
      <w:r w:rsidRPr="00FB4874">
        <w:rPr>
          <w:rFonts w:ascii="Verdana" w:hAnsi="Verdana"/>
          <w:spacing w:val="-10"/>
        </w:rPr>
        <w:t xml:space="preserve"> </w:t>
      </w:r>
      <w:r w:rsidRPr="00FB4874">
        <w:rPr>
          <w:rFonts w:ascii="Verdana" w:hAnsi="Verdana"/>
        </w:rPr>
        <w:t>la</w:t>
      </w:r>
      <w:r w:rsidRPr="00FB4874">
        <w:rPr>
          <w:rFonts w:ascii="Verdana" w:hAnsi="Verdana"/>
          <w:spacing w:val="-59"/>
        </w:rPr>
        <w:t xml:space="preserve"> </w:t>
      </w:r>
      <w:r w:rsidRPr="00FB4874">
        <w:rPr>
          <w:rFonts w:ascii="Verdana" w:hAnsi="Verdana"/>
        </w:rPr>
        <w:t>autonomía de la voluntad y haciendo uso de la figura de las cláusulas accidentales, puedan</w:t>
      </w:r>
      <w:r w:rsidRPr="00FB4874">
        <w:rPr>
          <w:rFonts w:ascii="Verdana" w:hAnsi="Verdana"/>
          <w:spacing w:val="1"/>
        </w:rPr>
        <w:t xml:space="preserve"> </w:t>
      </w:r>
      <w:r w:rsidRPr="00FB4874">
        <w:rPr>
          <w:rFonts w:ascii="Verdana" w:hAnsi="Verdana"/>
        </w:rPr>
        <w:t>acordar</w:t>
      </w:r>
      <w:r w:rsidRPr="00FB4874">
        <w:rPr>
          <w:rFonts w:ascii="Verdana" w:hAnsi="Verdana"/>
          <w:spacing w:val="-7"/>
        </w:rPr>
        <w:t xml:space="preserve"> </w:t>
      </w:r>
      <w:r w:rsidRPr="00FB4874">
        <w:rPr>
          <w:rFonts w:ascii="Verdana" w:hAnsi="Verdana"/>
        </w:rPr>
        <w:t>aspectos</w:t>
      </w:r>
      <w:r w:rsidRPr="00FB4874">
        <w:rPr>
          <w:rFonts w:ascii="Verdana" w:hAnsi="Verdana"/>
          <w:spacing w:val="-6"/>
        </w:rPr>
        <w:t xml:space="preserve"> </w:t>
      </w:r>
      <w:r w:rsidRPr="00FB4874">
        <w:rPr>
          <w:rFonts w:ascii="Verdana" w:hAnsi="Verdana"/>
        </w:rPr>
        <w:t>especiales</w:t>
      </w:r>
      <w:r w:rsidRPr="00FB4874">
        <w:rPr>
          <w:rFonts w:ascii="Verdana" w:hAnsi="Verdana"/>
          <w:spacing w:val="-6"/>
        </w:rPr>
        <w:t xml:space="preserve"> </w:t>
      </w:r>
      <w:r w:rsidRPr="00FB4874">
        <w:rPr>
          <w:rFonts w:ascii="Verdana" w:hAnsi="Verdana"/>
        </w:rPr>
        <w:t>para</w:t>
      </w:r>
      <w:r w:rsidRPr="00FB4874">
        <w:rPr>
          <w:rFonts w:ascii="Verdana" w:hAnsi="Verdana"/>
          <w:spacing w:val="-6"/>
        </w:rPr>
        <w:t xml:space="preserve"> </w:t>
      </w:r>
      <w:r w:rsidRPr="00FB4874">
        <w:rPr>
          <w:rFonts w:ascii="Verdana" w:hAnsi="Verdana"/>
        </w:rPr>
        <w:t>la</w:t>
      </w:r>
      <w:r w:rsidRPr="00FB4874">
        <w:rPr>
          <w:rFonts w:ascii="Verdana" w:hAnsi="Verdana"/>
          <w:spacing w:val="-6"/>
        </w:rPr>
        <w:t xml:space="preserve"> </w:t>
      </w:r>
      <w:r w:rsidRPr="00FB4874">
        <w:rPr>
          <w:rFonts w:ascii="Verdana" w:hAnsi="Verdana"/>
        </w:rPr>
        <w:t>procedencia</w:t>
      </w:r>
      <w:r w:rsidRPr="00FB4874">
        <w:rPr>
          <w:rFonts w:ascii="Verdana" w:hAnsi="Verdana"/>
          <w:spacing w:val="-6"/>
        </w:rPr>
        <w:t xml:space="preserve"> </w:t>
      </w:r>
      <w:r w:rsidRPr="00FB4874">
        <w:rPr>
          <w:rFonts w:ascii="Verdana" w:hAnsi="Verdana"/>
        </w:rPr>
        <w:t>de</w:t>
      </w:r>
      <w:r w:rsidRPr="00FB4874">
        <w:rPr>
          <w:rFonts w:ascii="Verdana" w:hAnsi="Verdana"/>
          <w:spacing w:val="-6"/>
        </w:rPr>
        <w:t xml:space="preserve"> </w:t>
      </w:r>
      <w:r w:rsidRPr="00FB4874">
        <w:rPr>
          <w:rFonts w:ascii="Verdana" w:hAnsi="Verdana"/>
        </w:rPr>
        <w:t>su</w:t>
      </w:r>
      <w:r w:rsidRPr="00FB4874">
        <w:rPr>
          <w:rFonts w:ascii="Verdana" w:hAnsi="Verdana"/>
          <w:spacing w:val="-7"/>
        </w:rPr>
        <w:t xml:space="preserve"> </w:t>
      </w:r>
      <w:r w:rsidRPr="00FB4874">
        <w:rPr>
          <w:rFonts w:ascii="Verdana" w:hAnsi="Verdana"/>
        </w:rPr>
        <w:t>configuración,</w:t>
      </w:r>
      <w:r w:rsidRPr="00FB4874">
        <w:rPr>
          <w:rFonts w:ascii="Verdana" w:hAnsi="Verdana"/>
          <w:spacing w:val="-6"/>
        </w:rPr>
        <w:t xml:space="preserve"> </w:t>
      </w:r>
      <w:r w:rsidRPr="00FB4874">
        <w:rPr>
          <w:rFonts w:ascii="Verdana" w:hAnsi="Verdana"/>
        </w:rPr>
        <w:t>a</w:t>
      </w:r>
      <w:r w:rsidRPr="00FB4874">
        <w:rPr>
          <w:rFonts w:ascii="Verdana" w:hAnsi="Verdana"/>
          <w:spacing w:val="-6"/>
        </w:rPr>
        <w:t xml:space="preserve"> </w:t>
      </w:r>
      <w:r w:rsidRPr="00FB4874">
        <w:rPr>
          <w:rFonts w:ascii="Verdana" w:hAnsi="Verdana"/>
        </w:rPr>
        <w:t>partir</w:t>
      </w:r>
      <w:r w:rsidRPr="00FB4874">
        <w:rPr>
          <w:rFonts w:ascii="Verdana" w:hAnsi="Verdana"/>
          <w:spacing w:val="-6"/>
        </w:rPr>
        <w:t xml:space="preserve"> </w:t>
      </w:r>
      <w:r w:rsidRPr="00FB4874">
        <w:rPr>
          <w:rFonts w:ascii="Verdana" w:hAnsi="Verdana"/>
        </w:rPr>
        <w:t>de</w:t>
      </w:r>
      <w:r w:rsidRPr="00FB4874">
        <w:rPr>
          <w:rFonts w:ascii="Verdana" w:hAnsi="Verdana"/>
          <w:spacing w:val="-6"/>
        </w:rPr>
        <w:t xml:space="preserve"> </w:t>
      </w:r>
      <w:r w:rsidRPr="00FB4874">
        <w:rPr>
          <w:rFonts w:ascii="Verdana" w:hAnsi="Verdana"/>
        </w:rPr>
        <w:t>la</w:t>
      </w:r>
      <w:r w:rsidRPr="00FB4874">
        <w:rPr>
          <w:rFonts w:ascii="Verdana" w:hAnsi="Verdana"/>
          <w:spacing w:val="-6"/>
        </w:rPr>
        <w:t xml:space="preserve"> </w:t>
      </w:r>
      <w:r w:rsidRPr="00FB4874">
        <w:rPr>
          <w:rFonts w:ascii="Verdana" w:hAnsi="Verdana"/>
        </w:rPr>
        <w:t>identificación</w:t>
      </w:r>
      <w:r w:rsidRPr="00FB4874">
        <w:rPr>
          <w:rFonts w:ascii="Verdana" w:hAnsi="Verdana"/>
          <w:spacing w:val="-59"/>
        </w:rPr>
        <w:t xml:space="preserve"> </w:t>
      </w:r>
      <w:r w:rsidRPr="00FB4874">
        <w:rPr>
          <w:rFonts w:ascii="Verdana" w:hAnsi="Verdana"/>
        </w:rPr>
        <w:t>precisa de hechos inciertos y futuros que pueden desencadenar la terminación inmediata de la</w:t>
      </w:r>
      <w:r w:rsidRPr="00FB4874">
        <w:rPr>
          <w:rFonts w:ascii="Verdana" w:hAnsi="Verdana"/>
          <w:spacing w:val="1"/>
        </w:rPr>
        <w:t xml:space="preserve"> </w:t>
      </w:r>
      <w:r w:rsidRPr="00FB4874">
        <w:rPr>
          <w:rFonts w:ascii="Verdana" w:hAnsi="Verdana"/>
        </w:rPr>
        <w:t>relación jurídica, en aplicación de la definición general de obligaciones condicionales que se</w:t>
      </w:r>
      <w:r w:rsidRPr="00FB4874">
        <w:rPr>
          <w:rFonts w:ascii="Verdana" w:hAnsi="Verdana"/>
          <w:spacing w:val="1"/>
        </w:rPr>
        <w:t xml:space="preserve"> </w:t>
      </w:r>
      <w:r w:rsidRPr="00FB4874">
        <w:rPr>
          <w:rFonts w:ascii="Verdana" w:hAnsi="Verdana"/>
        </w:rPr>
        <w:t>encuentra</w:t>
      </w:r>
      <w:r w:rsidRPr="00FB4874">
        <w:rPr>
          <w:rFonts w:ascii="Verdana" w:hAnsi="Verdana"/>
          <w:spacing w:val="57"/>
        </w:rPr>
        <w:t xml:space="preserve"> </w:t>
      </w:r>
      <w:r w:rsidRPr="00FB4874">
        <w:rPr>
          <w:rFonts w:ascii="Verdana" w:hAnsi="Verdana"/>
        </w:rPr>
        <w:t>en</w:t>
      </w:r>
      <w:r w:rsidRPr="00FB4874">
        <w:rPr>
          <w:rFonts w:ascii="Verdana" w:hAnsi="Verdana"/>
          <w:spacing w:val="57"/>
        </w:rPr>
        <w:t xml:space="preserve"> </w:t>
      </w:r>
      <w:r w:rsidRPr="00FB4874">
        <w:rPr>
          <w:rFonts w:ascii="Verdana" w:hAnsi="Verdana"/>
        </w:rPr>
        <w:t>el</w:t>
      </w:r>
      <w:r w:rsidRPr="00FB4874">
        <w:rPr>
          <w:rFonts w:ascii="Verdana" w:hAnsi="Verdana"/>
          <w:spacing w:val="57"/>
        </w:rPr>
        <w:t xml:space="preserve"> </w:t>
      </w:r>
      <w:r w:rsidRPr="00FB4874">
        <w:rPr>
          <w:rFonts w:ascii="Verdana" w:hAnsi="Verdana"/>
        </w:rPr>
        <w:t>artículo</w:t>
      </w:r>
      <w:r w:rsidRPr="00FB4874">
        <w:rPr>
          <w:rFonts w:ascii="Verdana" w:hAnsi="Verdana"/>
          <w:spacing w:val="57"/>
        </w:rPr>
        <w:t xml:space="preserve"> </w:t>
      </w:r>
      <w:r w:rsidRPr="00FB4874">
        <w:rPr>
          <w:rFonts w:ascii="Verdana" w:hAnsi="Verdana"/>
        </w:rPr>
        <w:t>1530</w:t>
      </w:r>
      <w:r w:rsidRPr="00FB4874">
        <w:rPr>
          <w:rFonts w:ascii="Verdana" w:hAnsi="Verdana"/>
          <w:spacing w:val="57"/>
        </w:rPr>
        <w:t xml:space="preserve"> </w:t>
      </w:r>
      <w:r w:rsidRPr="00FB4874">
        <w:rPr>
          <w:rFonts w:ascii="Verdana" w:hAnsi="Verdana"/>
        </w:rPr>
        <w:t>del</w:t>
      </w:r>
      <w:r w:rsidRPr="00FB4874">
        <w:rPr>
          <w:rFonts w:ascii="Verdana" w:hAnsi="Verdana"/>
          <w:spacing w:val="57"/>
        </w:rPr>
        <w:t xml:space="preserve"> </w:t>
      </w:r>
      <w:r w:rsidRPr="00FB4874">
        <w:rPr>
          <w:rFonts w:ascii="Verdana" w:hAnsi="Verdana"/>
        </w:rPr>
        <w:t>mismo</w:t>
      </w:r>
      <w:r w:rsidRPr="00FB4874">
        <w:rPr>
          <w:rFonts w:ascii="Verdana" w:hAnsi="Verdana"/>
          <w:spacing w:val="57"/>
        </w:rPr>
        <w:t xml:space="preserve"> </w:t>
      </w:r>
      <w:r w:rsidRPr="00FB4874">
        <w:rPr>
          <w:rFonts w:ascii="Verdana" w:hAnsi="Verdana"/>
        </w:rPr>
        <w:t>Código</w:t>
      </w:r>
      <w:r w:rsidRPr="00FB4874">
        <w:rPr>
          <w:rFonts w:ascii="Verdana" w:hAnsi="Verdana"/>
          <w:spacing w:val="58"/>
        </w:rPr>
        <w:t xml:space="preserve"> </w:t>
      </w:r>
      <w:r w:rsidRPr="00FB4874">
        <w:rPr>
          <w:rFonts w:ascii="Verdana" w:hAnsi="Verdana"/>
        </w:rPr>
        <w:t>Civil,</w:t>
      </w:r>
      <w:r w:rsidRPr="00FB4874">
        <w:rPr>
          <w:rFonts w:ascii="Verdana" w:hAnsi="Verdana"/>
          <w:spacing w:val="57"/>
        </w:rPr>
        <w:t xml:space="preserve"> </w:t>
      </w:r>
      <w:r w:rsidRPr="00FB4874">
        <w:rPr>
          <w:rFonts w:ascii="Verdana" w:hAnsi="Verdana"/>
        </w:rPr>
        <w:t>junto</w:t>
      </w:r>
      <w:r w:rsidRPr="00FB4874">
        <w:rPr>
          <w:rFonts w:ascii="Verdana" w:hAnsi="Verdana"/>
          <w:spacing w:val="57"/>
        </w:rPr>
        <w:t xml:space="preserve"> </w:t>
      </w:r>
      <w:r w:rsidRPr="00FB4874">
        <w:rPr>
          <w:rFonts w:ascii="Verdana" w:hAnsi="Verdana"/>
        </w:rPr>
        <w:t>con</w:t>
      </w:r>
      <w:r w:rsidRPr="00FB4874">
        <w:rPr>
          <w:rFonts w:ascii="Verdana" w:hAnsi="Verdana"/>
          <w:spacing w:val="57"/>
        </w:rPr>
        <w:t xml:space="preserve"> </w:t>
      </w:r>
      <w:r w:rsidRPr="00FB4874">
        <w:rPr>
          <w:rFonts w:ascii="Verdana" w:hAnsi="Verdana"/>
        </w:rPr>
        <w:t>los</w:t>
      </w:r>
      <w:r w:rsidRPr="00FB4874">
        <w:rPr>
          <w:rFonts w:ascii="Verdana" w:hAnsi="Verdana"/>
          <w:spacing w:val="57"/>
        </w:rPr>
        <w:t xml:space="preserve"> </w:t>
      </w:r>
      <w:r w:rsidRPr="00FB4874">
        <w:rPr>
          <w:rFonts w:ascii="Verdana" w:hAnsi="Verdana"/>
        </w:rPr>
        <w:t>tipos</w:t>
      </w:r>
      <w:r w:rsidRPr="00FB4874">
        <w:rPr>
          <w:rFonts w:ascii="Verdana" w:hAnsi="Verdana"/>
          <w:spacing w:val="57"/>
        </w:rPr>
        <w:t xml:space="preserve"> </w:t>
      </w:r>
      <w:r w:rsidRPr="008A68DE">
        <w:rPr>
          <w:rFonts w:ascii="Verdana" w:hAnsi="Verdana"/>
        </w:rPr>
        <w:t>de</w:t>
      </w:r>
      <w:r w:rsidRPr="008A68DE">
        <w:rPr>
          <w:rFonts w:ascii="Verdana" w:hAnsi="Verdana"/>
          <w:spacing w:val="57"/>
        </w:rPr>
        <w:t xml:space="preserve"> </w:t>
      </w:r>
      <w:r w:rsidRPr="008A68DE">
        <w:rPr>
          <w:rFonts w:ascii="Verdana" w:hAnsi="Verdana"/>
        </w:rPr>
        <w:t>condiciones</w:t>
      </w:r>
      <w:r w:rsidRPr="008A68DE">
        <w:rPr>
          <w:rFonts w:ascii="Verdana" w:hAnsi="Verdana"/>
          <w:spacing w:val="-58"/>
        </w:rPr>
        <w:t xml:space="preserve"> </w:t>
      </w:r>
      <w:r w:rsidRPr="008A68DE">
        <w:rPr>
          <w:rFonts w:ascii="Verdana" w:hAnsi="Verdana"/>
        </w:rPr>
        <w:t>potestativas,</w:t>
      </w:r>
      <w:r w:rsidRPr="008A68DE">
        <w:rPr>
          <w:rFonts w:ascii="Verdana" w:hAnsi="Verdana"/>
          <w:spacing w:val="-2"/>
        </w:rPr>
        <w:t xml:space="preserve"> </w:t>
      </w:r>
      <w:r w:rsidRPr="008A68DE">
        <w:rPr>
          <w:rFonts w:ascii="Verdana" w:hAnsi="Verdana"/>
        </w:rPr>
        <w:t>causales</w:t>
      </w:r>
      <w:r w:rsidRPr="008A68DE">
        <w:rPr>
          <w:rFonts w:ascii="Verdana" w:hAnsi="Verdana"/>
          <w:spacing w:val="-1"/>
        </w:rPr>
        <w:t xml:space="preserve"> </w:t>
      </w:r>
      <w:r w:rsidRPr="008A68DE">
        <w:rPr>
          <w:rFonts w:ascii="Verdana" w:hAnsi="Verdana"/>
        </w:rPr>
        <w:t>o</w:t>
      </w:r>
      <w:r w:rsidRPr="008A68DE">
        <w:rPr>
          <w:rFonts w:ascii="Verdana" w:hAnsi="Verdana"/>
          <w:spacing w:val="-2"/>
        </w:rPr>
        <w:t xml:space="preserve"> </w:t>
      </w:r>
      <w:r w:rsidRPr="008A68DE">
        <w:rPr>
          <w:rFonts w:ascii="Verdana" w:hAnsi="Verdana"/>
        </w:rPr>
        <w:t>mixtas</w:t>
      </w:r>
      <w:r w:rsidRPr="008A68DE">
        <w:rPr>
          <w:rFonts w:ascii="Verdana" w:hAnsi="Verdana"/>
          <w:spacing w:val="-1"/>
        </w:rPr>
        <w:t xml:space="preserve"> </w:t>
      </w:r>
      <w:r w:rsidRPr="008A68DE">
        <w:rPr>
          <w:rFonts w:ascii="Verdana" w:hAnsi="Verdana"/>
        </w:rPr>
        <w:t>de</w:t>
      </w:r>
      <w:r w:rsidRPr="008A68DE">
        <w:rPr>
          <w:rFonts w:ascii="Verdana" w:hAnsi="Verdana"/>
          <w:spacing w:val="-1"/>
        </w:rPr>
        <w:t xml:space="preserve"> </w:t>
      </w:r>
      <w:r w:rsidRPr="008A68DE">
        <w:rPr>
          <w:rFonts w:ascii="Verdana" w:hAnsi="Verdana"/>
        </w:rPr>
        <w:t>que</w:t>
      </w:r>
      <w:r w:rsidRPr="008A68DE">
        <w:rPr>
          <w:rFonts w:ascii="Verdana" w:hAnsi="Verdana"/>
          <w:spacing w:val="-2"/>
        </w:rPr>
        <w:t xml:space="preserve"> </w:t>
      </w:r>
      <w:r w:rsidRPr="008A68DE">
        <w:rPr>
          <w:rFonts w:ascii="Verdana" w:hAnsi="Verdana"/>
        </w:rPr>
        <w:t>trata</w:t>
      </w:r>
      <w:r w:rsidRPr="008A68DE">
        <w:rPr>
          <w:rFonts w:ascii="Verdana" w:hAnsi="Verdana"/>
          <w:spacing w:val="-1"/>
        </w:rPr>
        <w:t xml:space="preserve"> </w:t>
      </w:r>
      <w:r w:rsidRPr="008A68DE">
        <w:rPr>
          <w:rFonts w:ascii="Verdana" w:hAnsi="Verdana"/>
        </w:rPr>
        <w:t>el</w:t>
      </w:r>
      <w:r w:rsidRPr="008A68DE">
        <w:rPr>
          <w:rFonts w:ascii="Verdana" w:hAnsi="Verdana"/>
          <w:spacing w:val="-1"/>
        </w:rPr>
        <w:t xml:space="preserve"> </w:t>
      </w:r>
      <w:r w:rsidRPr="008A68DE">
        <w:rPr>
          <w:rFonts w:ascii="Verdana" w:hAnsi="Verdana"/>
        </w:rPr>
        <w:t>artículo</w:t>
      </w:r>
      <w:r w:rsidRPr="008A68DE">
        <w:rPr>
          <w:rFonts w:ascii="Verdana" w:hAnsi="Verdana"/>
          <w:spacing w:val="-2"/>
        </w:rPr>
        <w:t xml:space="preserve"> </w:t>
      </w:r>
      <w:bookmarkStart w:id="14" w:name="_Hlk196820320"/>
      <w:r w:rsidRPr="008A68DE">
        <w:rPr>
          <w:rFonts w:ascii="Verdana" w:hAnsi="Verdana"/>
        </w:rPr>
        <w:t>1534</w:t>
      </w:r>
      <w:bookmarkEnd w:id="14"/>
      <w:r w:rsidRPr="008A68DE">
        <w:rPr>
          <w:rFonts w:ascii="Verdana" w:hAnsi="Verdana"/>
          <w:spacing w:val="-1"/>
        </w:rPr>
        <w:t xml:space="preserve"> </w:t>
      </w:r>
      <w:r w:rsidRPr="008A68DE">
        <w:rPr>
          <w:rFonts w:ascii="Verdana" w:hAnsi="Verdana"/>
        </w:rPr>
        <w:t>siguiente</w:t>
      </w:r>
      <w:r w:rsidRPr="008A68DE">
        <w:rPr>
          <w:rStyle w:val="Refdenotaalpie"/>
          <w:rFonts w:ascii="Verdana" w:hAnsi="Verdana"/>
        </w:rPr>
        <w:footnoteReference w:id="1"/>
      </w:r>
      <w:r w:rsidRPr="008A68DE">
        <w:rPr>
          <w:rFonts w:ascii="Verdana" w:hAnsi="Verdana"/>
        </w:rPr>
        <w:t>.</w:t>
      </w:r>
    </w:p>
    <w:p w14:paraId="62D1EF09" w14:textId="3D4597E3" w:rsidR="00C63528" w:rsidRPr="007A0E81" w:rsidRDefault="007630C8" w:rsidP="00C63528">
      <w:pPr>
        <w:spacing w:line="276" w:lineRule="auto"/>
        <w:ind w:firstLine="708"/>
        <w:contextualSpacing/>
        <w:jc w:val="both"/>
        <w:rPr>
          <w:rFonts w:ascii="Verdana" w:eastAsia="Calibri" w:hAnsi="Verdana" w:cs="Arial"/>
          <w:lang w:val="es-ES"/>
        </w:rPr>
      </w:pPr>
      <w:r w:rsidRPr="00FB4874">
        <w:rPr>
          <w:rFonts w:ascii="Verdana" w:eastAsia="MS Mincho" w:hAnsi="Verdana" w:cs="Arial"/>
          <w:lang w:val="es-ES" w:eastAsia="es-CO"/>
        </w:rPr>
        <w:t xml:space="preserve"> </w:t>
      </w:r>
      <w:r w:rsidR="008A68DE">
        <w:rPr>
          <w:rFonts w:ascii="Verdana" w:eastAsia="MS Mincho" w:hAnsi="Verdana"/>
          <w:lang w:eastAsia="es-CO"/>
        </w:rPr>
        <w:t>Frente al segundo problema jurídico planteado</w:t>
      </w:r>
      <w:r w:rsidR="00C63528">
        <w:rPr>
          <w:rFonts w:ascii="Verdana" w:eastAsia="MS Mincho" w:hAnsi="Verdana"/>
          <w:lang w:eastAsia="es-CO"/>
        </w:rPr>
        <w:t xml:space="preserve"> en contratación estatal </w:t>
      </w:r>
    </w:p>
    <w:p w14:paraId="34806CC5" w14:textId="03B6F4C5" w:rsidR="00E915FA" w:rsidRPr="007A0E81" w:rsidRDefault="00E915FA" w:rsidP="00722741">
      <w:pPr>
        <w:spacing w:line="276" w:lineRule="auto"/>
        <w:ind w:firstLine="708"/>
        <w:contextualSpacing/>
        <w:jc w:val="both"/>
        <w:rPr>
          <w:rFonts w:ascii="Verdana" w:eastAsia="Calibri" w:hAnsi="Verdana" w:cs="Arial"/>
          <w:lang w:val="es-ES"/>
        </w:rPr>
      </w:pPr>
      <w:r w:rsidRPr="007A0E81">
        <w:rPr>
          <w:rFonts w:ascii="Verdana" w:eastAsia="Calibri" w:hAnsi="Verdana" w:cs="Arial"/>
          <w:lang w:val="es-ES"/>
        </w:rPr>
        <w:t xml:space="preserve">el cálculo de los términos podrá realizarse con base en las siguientes </w:t>
      </w:r>
      <w:r>
        <w:rPr>
          <w:rFonts w:ascii="Verdana" w:eastAsia="Calibri" w:hAnsi="Verdana" w:cs="Arial"/>
          <w:lang w:val="es-ES"/>
        </w:rPr>
        <w:t xml:space="preserve">consideraciones: </w:t>
      </w:r>
      <w:r w:rsidRPr="007A0E81">
        <w:rPr>
          <w:rFonts w:ascii="Verdana" w:eastAsia="Calibri" w:hAnsi="Verdana" w:cs="Arial"/>
          <w:lang w:val="es-ES"/>
        </w:rPr>
        <w:t>i) L</w:t>
      </w:r>
      <w:r>
        <w:rPr>
          <w:rFonts w:ascii="Verdana" w:eastAsia="Calibri" w:hAnsi="Verdana" w:cs="Arial"/>
          <w:lang w:val="es-ES"/>
        </w:rPr>
        <w:t>a forma de contabilizar l</w:t>
      </w:r>
      <w:r w:rsidRPr="007A0E81">
        <w:rPr>
          <w:rFonts w:ascii="Verdana" w:eastAsia="Calibri" w:hAnsi="Verdana" w:cs="Arial"/>
          <w:lang w:val="es-ES"/>
        </w:rPr>
        <w:t>os términos contenid</w:t>
      </w:r>
      <w:r>
        <w:rPr>
          <w:rFonts w:ascii="Verdana" w:eastAsia="Calibri" w:hAnsi="Verdana" w:cs="Arial"/>
          <w:lang w:val="es-ES"/>
        </w:rPr>
        <w:t>a</w:t>
      </w:r>
      <w:r w:rsidRPr="007A0E81">
        <w:rPr>
          <w:rFonts w:ascii="Verdana" w:eastAsia="Calibri" w:hAnsi="Verdana" w:cs="Arial"/>
          <w:lang w:val="es-ES"/>
        </w:rPr>
        <w:t xml:space="preserve"> en los artículos 59 y 62 de la </w:t>
      </w:r>
      <w:r>
        <w:rPr>
          <w:rFonts w:ascii="Verdana" w:eastAsia="Calibri" w:hAnsi="Verdana" w:cs="Arial"/>
          <w:lang w:val="es-ES"/>
        </w:rPr>
        <w:t>L</w:t>
      </w:r>
      <w:r w:rsidRPr="007A0E81">
        <w:rPr>
          <w:rFonts w:ascii="Verdana" w:eastAsia="Calibri" w:hAnsi="Verdana" w:cs="Arial"/>
          <w:lang w:val="es-ES"/>
        </w:rPr>
        <w:t xml:space="preserve">ey 4 de 1913 </w:t>
      </w:r>
      <w:r>
        <w:rPr>
          <w:rFonts w:ascii="Verdana" w:eastAsia="Calibri" w:hAnsi="Verdana" w:cs="Arial"/>
          <w:lang w:val="es-ES"/>
        </w:rPr>
        <w:t xml:space="preserve">y; </w:t>
      </w:r>
      <w:r w:rsidRPr="007A0E81">
        <w:rPr>
          <w:rFonts w:ascii="Verdana" w:eastAsia="Calibri" w:hAnsi="Verdana" w:cs="Arial"/>
          <w:lang w:val="es-ES"/>
        </w:rPr>
        <w:t xml:space="preserve">ii) </w:t>
      </w:r>
      <w:r>
        <w:rPr>
          <w:rFonts w:ascii="Verdana" w:eastAsia="Calibri" w:hAnsi="Verdana" w:cs="Arial"/>
        </w:rPr>
        <w:t xml:space="preserve">de acuerdo con la voluntad de las partes expresada en las cláusulas del contrato o con las estipulaciones contenidas en los documentos del proceso. </w:t>
      </w:r>
    </w:p>
    <w:p w14:paraId="089EEB11" w14:textId="77777777" w:rsidR="00E915FA" w:rsidRPr="0070786B" w:rsidRDefault="00E915FA" w:rsidP="00722741">
      <w:pPr>
        <w:pStyle w:val="Textoindependiente"/>
        <w:spacing w:after="160" w:line="276" w:lineRule="auto"/>
        <w:ind w:firstLine="709"/>
        <w:contextualSpacing/>
        <w:jc w:val="both"/>
        <w:rPr>
          <w:rFonts w:ascii="Verdana" w:eastAsia="Calibri" w:hAnsi="Verdana"/>
          <w:bCs/>
          <w:color w:val="000000" w:themeColor="text1"/>
        </w:rPr>
      </w:pPr>
      <w:r>
        <w:rPr>
          <w:rFonts w:ascii="Verdana" w:hAnsi="Verdana"/>
        </w:rPr>
        <w:t xml:space="preserve">Frente al </w:t>
      </w:r>
      <w:r w:rsidRPr="0070786B">
        <w:rPr>
          <w:rFonts w:ascii="Verdana" w:hAnsi="Verdana"/>
          <w:i/>
          <w:iCs/>
        </w:rPr>
        <w:t>primer supuesto</w:t>
      </w:r>
      <w:r>
        <w:rPr>
          <w:rFonts w:ascii="Verdana" w:hAnsi="Verdana"/>
        </w:rPr>
        <w:t xml:space="preserve">, </w:t>
      </w:r>
      <w:r w:rsidRPr="0070786B">
        <w:rPr>
          <w:rFonts w:ascii="Verdana" w:hAnsi="Verdana"/>
        </w:rPr>
        <w:t>en el ordenamiento jurídico</w:t>
      </w:r>
      <w:r w:rsidRPr="0070786B">
        <w:rPr>
          <w:rFonts w:ascii="Verdana" w:eastAsia="Calibri" w:hAnsi="Verdana"/>
          <w:bCs/>
          <w:color w:val="000000" w:themeColor="text1"/>
        </w:rPr>
        <w:t xml:space="preserve"> existen normas supletivas que tienen como función servir de pautas para el cómputo de términos previstos en la ley, cuando no ha sido regulado de forma específica por las disposiciones – de orden legal o convencional – que consagran dichos plazos. Así, los artículos 59 y 62 de la Ley 4 de 1913 determinan:</w:t>
      </w:r>
    </w:p>
    <w:p w14:paraId="53ACB2BB" w14:textId="77777777" w:rsidR="00E915FA" w:rsidRPr="0070786B" w:rsidRDefault="00E915FA" w:rsidP="00722741">
      <w:pPr>
        <w:pStyle w:val="Prrafodelista"/>
        <w:shd w:val="clear" w:color="auto" w:fill="FFFFFF" w:themeFill="background1"/>
        <w:spacing w:line="276" w:lineRule="auto"/>
        <w:jc w:val="both"/>
        <w:textAlignment w:val="baseline"/>
        <w:rPr>
          <w:rFonts w:ascii="Verdana" w:eastAsia="Calibri" w:hAnsi="Verdana" w:cs="Arial"/>
          <w:bCs/>
          <w:color w:val="000000" w:themeColor="text1"/>
        </w:rPr>
      </w:pPr>
    </w:p>
    <w:p w14:paraId="23519BAF"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MX"/>
        </w:rPr>
      </w:pPr>
      <w:r w:rsidRPr="007A0E81">
        <w:rPr>
          <w:rFonts w:ascii="Verdana" w:eastAsia="Calibri" w:hAnsi="Verdana" w:cs="Arial"/>
          <w:bCs/>
          <w:color w:val="000000" w:themeColor="text1"/>
          <w:sz w:val="20"/>
          <w:szCs w:val="20"/>
          <w:lang w:val="es-MX"/>
        </w:rPr>
        <w:t>“Artículo 59.</w:t>
      </w:r>
      <w:r w:rsidRPr="007A0E81">
        <w:rPr>
          <w:rFonts w:ascii="Verdana" w:eastAsia="Calibri" w:hAnsi="Verdana" w:cs="Arial"/>
          <w:b/>
          <w:bCs/>
          <w:color w:val="000000" w:themeColor="text1"/>
          <w:sz w:val="20"/>
          <w:szCs w:val="20"/>
          <w:lang w:val="es-MX"/>
        </w:rPr>
        <w:t> </w:t>
      </w:r>
      <w:r w:rsidRPr="007A0E81">
        <w:rPr>
          <w:rFonts w:ascii="Verdana" w:eastAsia="Calibri" w:hAnsi="Verdana" w:cs="Arial"/>
          <w:bCs/>
          <w:color w:val="000000" w:themeColor="text1"/>
          <w:sz w:val="20"/>
          <w:szCs w:val="20"/>
          <w:lang w:val="es-MX"/>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0CCE43B2" w14:textId="77777777" w:rsidR="00E915FA" w:rsidRPr="0070786B"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1"/>
          <w:szCs w:val="21"/>
          <w:lang w:val="es-MX"/>
        </w:rPr>
      </w:pPr>
    </w:p>
    <w:p w14:paraId="6007C334" w14:textId="77777777" w:rsidR="00E915FA" w:rsidRPr="0070786B"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1"/>
          <w:szCs w:val="21"/>
          <w:lang w:val="es-MX"/>
        </w:rPr>
      </w:pPr>
      <w:r w:rsidRPr="0070786B">
        <w:rPr>
          <w:rFonts w:ascii="Verdana" w:eastAsia="Calibri" w:hAnsi="Verdana" w:cs="Arial"/>
          <w:bCs/>
          <w:color w:val="000000" w:themeColor="text1"/>
          <w:sz w:val="21"/>
          <w:szCs w:val="21"/>
          <w:lang w:val="es-MX"/>
        </w:rPr>
        <w:t>[…]</w:t>
      </w:r>
    </w:p>
    <w:p w14:paraId="24D87CEE"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MX"/>
        </w:rPr>
      </w:pPr>
    </w:p>
    <w:p w14:paraId="203D848A"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MX"/>
        </w:rPr>
      </w:pPr>
      <w:r w:rsidRPr="007A0E81">
        <w:rPr>
          <w:rFonts w:ascii="Verdana" w:eastAsia="Calibri" w:hAnsi="Verdana" w:cs="Arial"/>
          <w:bCs/>
          <w:color w:val="000000" w:themeColor="text1"/>
          <w:sz w:val="20"/>
          <w:szCs w:val="20"/>
          <w:lang w:val="es-MX"/>
        </w:rPr>
        <w:lastRenderedPageBreak/>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73125FF2" w14:textId="77777777" w:rsidR="00E915FA" w:rsidRPr="007A0E81" w:rsidRDefault="00E915FA" w:rsidP="00722741">
      <w:pPr>
        <w:pStyle w:val="Prrafodelista"/>
        <w:shd w:val="clear" w:color="auto" w:fill="FFFFFF" w:themeFill="background1"/>
        <w:spacing w:line="276" w:lineRule="auto"/>
        <w:ind w:left="0"/>
        <w:jc w:val="both"/>
        <w:textAlignment w:val="baseline"/>
        <w:rPr>
          <w:rFonts w:ascii="Verdana" w:eastAsia="Calibri" w:hAnsi="Verdana" w:cs="Arial"/>
          <w:bCs/>
          <w:color w:val="000000" w:themeColor="text1"/>
          <w:sz w:val="20"/>
          <w:szCs w:val="20"/>
          <w:lang w:val="es-MX"/>
        </w:rPr>
      </w:pPr>
    </w:p>
    <w:p w14:paraId="22F7C180" w14:textId="77777777" w:rsidR="00E915FA" w:rsidRPr="0056603B" w:rsidRDefault="00E915FA" w:rsidP="00722741">
      <w:pPr>
        <w:pStyle w:val="Prrafodelista"/>
        <w:shd w:val="clear" w:color="auto" w:fill="FFFFFF" w:themeFill="background1"/>
        <w:spacing w:line="276" w:lineRule="auto"/>
        <w:ind w:left="0" w:firstLine="708"/>
        <w:jc w:val="both"/>
        <w:textAlignment w:val="baseline"/>
        <w:rPr>
          <w:rFonts w:ascii="Verdana" w:eastAsia="Calibri" w:hAnsi="Verdana" w:cs="Arial"/>
          <w:bCs/>
          <w:color w:val="000000" w:themeColor="text1"/>
        </w:rPr>
      </w:pPr>
      <w:r w:rsidRPr="0056603B">
        <w:rPr>
          <w:rFonts w:ascii="Verdana" w:eastAsia="Calibri" w:hAnsi="Verdana" w:cs="Arial"/>
          <w:bCs/>
          <w:color w:val="000000" w:themeColor="text1"/>
        </w:rPr>
        <w:t xml:space="preserve">Conforme se deduce de las disposiciones citadas, por un lado, el artículo 59 </w:t>
      </w:r>
      <w:r w:rsidRPr="0070786B">
        <w:rPr>
          <w:rFonts w:ascii="Verdana" w:eastAsia="Calibri" w:hAnsi="Verdana" w:cs="Arial"/>
          <w:bCs/>
          <w:i/>
          <w:iCs/>
          <w:color w:val="000000" w:themeColor="text1"/>
        </w:rPr>
        <w:t>ibidem</w:t>
      </w:r>
      <w:r>
        <w:rPr>
          <w:rFonts w:ascii="Verdana" w:eastAsia="Calibri" w:hAnsi="Verdana" w:cs="Arial"/>
          <w:bCs/>
          <w:color w:val="000000" w:themeColor="text1"/>
        </w:rPr>
        <w:t xml:space="preserve"> </w:t>
      </w:r>
      <w:r w:rsidRPr="0056603B">
        <w:rPr>
          <w:rFonts w:ascii="Verdana" w:eastAsia="Calibri" w:hAnsi="Verdana" w:cs="Arial"/>
          <w:bCs/>
          <w:color w:val="000000" w:themeColor="text1"/>
        </w:rPr>
        <w:t>establece que los plazos a los que se haga mención en la ley terminan a la medianoche y que por día se entiende el espacio de veinticuatro</w:t>
      </w:r>
      <w:r>
        <w:rPr>
          <w:rFonts w:ascii="Verdana" w:eastAsia="Calibri" w:hAnsi="Verdana" w:cs="Arial"/>
          <w:bCs/>
          <w:color w:val="000000" w:themeColor="text1"/>
        </w:rPr>
        <w:t xml:space="preserve"> (24)</w:t>
      </w:r>
      <w:r w:rsidRPr="0056603B">
        <w:rPr>
          <w:rFonts w:ascii="Verdana" w:eastAsia="Calibri" w:hAnsi="Verdana" w:cs="Arial"/>
          <w:bCs/>
          <w:color w:val="000000" w:themeColor="text1"/>
        </w:rPr>
        <w:t xml:space="preserve"> horas. Por otro lado, el artículo 62 dispone que de los plazos de días señalados en la ley se entienden suprimidos los feriados, y que cuando se aluda a meses se computarán conforme al calendario, extendiéndose hasta el día hábil siguiente si el mes termina en un día feriado o vacante. </w:t>
      </w:r>
    </w:p>
    <w:p w14:paraId="6598E3C6" w14:textId="06660253" w:rsidR="00E915FA" w:rsidRPr="0070786B" w:rsidRDefault="00E915FA" w:rsidP="00722741">
      <w:pPr>
        <w:spacing w:line="276" w:lineRule="auto"/>
        <w:contextualSpacing/>
        <w:jc w:val="both"/>
        <w:rPr>
          <w:rFonts w:ascii="Verdana" w:hAnsi="Verdana"/>
        </w:rPr>
      </w:pPr>
      <w:r w:rsidRPr="0070786B">
        <w:rPr>
          <w:rFonts w:ascii="Verdana" w:eastAsia="Calibri" w:hAnsi="Verdana" w:cs="Arial"/>
          <w:bCs/>
          <w:color w:val="000000" w:themeColor="text1"/>
        </w:rPr>
        <w:tab/>
      </w:r>
      <w:r w:rsidR="007F0C82">
        <w:rPr>
          <w:rFonts w:ascii="Verdana" w:eastAsia="Calibri" w:hAnsi="Verdana" w:cs="Arial"/>
        </w:rPr>
        <w:t>Por otra parte,</w:t>
      </w:r>
      <w:r>
        <w:rPr>
          <w:rFonts w:ascii="Verdana" w:eastAsia="Calibri" w:hAnsi="Verdana" w:cs="Arial"/>
        </w:rPr>
        <w:t xml:space="preserve"> </w:t>
      </w:r>
      <w:r w:rsidRPr="0070786B">
        <w:rPr>
          <w:rFonts w:ascii="Verdana" w:hAnsi="Verdana"/>
        </w:rPr>
        <w:t xml:space="preserve">resulta necesario para determinar el plazo de ejecución del contrato la voluntad de las partes y, en consecuencia, las estipulaciones fijadas en los documentos del proceso y </w:t>
      </w:r>
      <w:r>
        <w:rPr>
          <w:rFonts w:ascii="Verdana" w:hAnsi="Verdana"/>
        </w:rPr>
        <w:t xml:space="preserve">las cláusulas contenidas </w:t>
      </w:r>
      <w:r w:rsidRPr="0070786B">
        <w:rPr>
          <w:rFonts w:ascii="Verdana" w:hAnsi="Verdana"/>
        </w:rPr>
        <w:t xml:space="preserve">en el mismo contrato. En ese sentido, es importante resaltar lo dispuesto en los </w:t>
      </w:r>
      <w:bookmarkStart w:id="15" w:name="_Hlk196820371"/>
      <w:r w:rsidRPr="0070786B">
        <w:rPr>
          <w:rFonts w:ascii="Verdana" w:hAnsi="Verdana"/>
        </w:rPr>
        <w:t>artículos 13, inciso 1º; y 32 de la Ley 80 de 1993</w:t>
      </w:r>
      <w:bookmarkEnd w:id="15"/>
      <w:r w:rsidRPr="0070786B">
        <w:rPr>
          <w:rFonts w:ascii="Verdana" w:hAnsi="Verdana"/>
        </w:rPr>
        <w:t xml:space="preserve">, que señalan: </w:t>
      </w:r>
    </w:p>
    <w:p w14:paraId="3566FE45" w14:textId="77777777" w:rsidR="00E915FA" w:rsidRPr="0070786B" w:rsidRDefault="00E915FA" w:rsidP="00722741">
      <w:pPr>
        <w:pStyle w:val="Prrafodelista"/>
        <w:shd w:val="clear" w:color="auto" w:fill="FFFFFF" w:themeFill="background1"/>
        <w:spacing w:line="276" w:lineRule="auto"/>
        <w:jc w:val="both"/>
        <w:textAlignment w:val="baseline"/>
        <w:rPr>
          <w:rFonts w:ascii="Verdana" w:eastAsia="Calibri" w:hAnsi="Verdana" w:cs="Arial"/>
          <w:bCs/>
          <w:color w:val="000000" w:themeColor="text1"/>
          <w:lang w:val="es-CO"/>
        </w:rPr>
      </w:pPr>
    </w:p>
    <w:p w14:paraId="4B3560A7"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w:t>
      </w:r>
      <w:r w:rsidRPr="007A0E81">
        <w:rPr>
          <w:rFonts w:ascii="Verdana" w:eastAsia="Calibri" w:hAnsi="Verdana" w:cs="Arial"/>
          <w:bCs/>
          <w:color w:val="000000" w:themeColor="text1"/>
          <w:sz w:val="20"/>
          <w:szCs w:val="20"/>
          <w:lang w:val="es-CO"/>
        </w:rPr>
        <w:t>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r>
        <w:rPr>
          <w:rFonts w:ascii="Verdana" w:eastAsia="Calibri" w:hAnsi="Verdana" w:cs="Arial"/>
          <w:bCs/>
          <w:color w:val="000000" w:themeColor="text1"/>
          <w:sz w:val="20"/>
          <w:szCs w:val="20"/>
          <w:lang w:val="es-CO"/>
        </w:rPr>
        <w:t>”</w:t>
      </w:r>
      <w:r w:rsidRPr="007A0E81">
        <w:rPr>
          <w:rFonts w:ascii="Verdana" w:eastAsia="Calibri" w:hAnsi="Verdana" w:cs="Arial"/>
          <w:bCs/>
          <w:color w:val="000000" w:themeColor="text1"/>
          <w:sz w:val="20"/>
          <w:szCs w:val="20"/>
          <w:lang w:val="es-CO"/>
        </w:rPr>
        <w:t xml:space="preserve">. </w:t>
      </w:r>
    </w:p>
    <w:p w14:paraId="59C9BA5D"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CO"/>
        </w:rPr>
      </w:pPr>
    </w:p>
    <w:p w14:paraId="2AFF5781" w14:textId="77777777" w:rsidR="00E915FA" w:rsidRPr="007A0E81" w:rsidRDefault="00E915FA" w:rsidP="00722741">
      <w:pPr>
        <w:pStyle w:val="Prrafodelista"/>
        <w:shd w:val="clear" w:color="auto" w:fill="FFFFFF" w:themeFill="background1"/>
        <w:spacing w:line="276" w:lineRule="auto"/>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w:t>
      </w:r>
      <w:r w:rsidRPr="007A0E81">
        <w:rPr>
          <w:rFonts w:ascii="Verdana" w:eastAsia="Calibri" w:hAnsi="Verdana" w:cs="Arial"/>
          <w:bCs/>
          <w:color w:val="000000" w:themeColor="text1"/>
          <w:sz w:val="20"/>
          <w:szCs w:val="20"/>
          <w:lang w:val="es-CO"/>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eastAsia="Calibri" w:hAnsi="Verdana" w:cs="Arial"/>
          <w:bCs/>
          <w:color w:val="000000" w:themeColor="text1"/>
          <w:sz w:val="20"/>
          <w:szCs w:val="20"/>
          <w:lang w:val="es-CO"/>
        </w:rPr>
        <w:t>”.</w:t>
      </w:r>
      <w:r w:rsidRPr="007A0E81">
        <w:rPr>
          <w:rFonts w:ascii="Verdana" w:eastAsia="Calibri" w:hAnsi="Verdana" w:cs="Arial"/>
          <w:bCs/>
          <w:color w:val="000000" w:themeColor="text1"/>
          <w:sz w:val="20"/>
          <w:szCs w:val="20"/>
          <w:lang w:val="es-CO"/>
        </w:rPr>
        <w:t xml:space="preserve"> </w:t>
      </w:r>
    </w:p>
    <w:p w14:paraId="20CCC1E9" w14:textId="77777777" w:rsidR="00E915FA" w:rsidRPr="007A0E81" w:rsidRDefault="00E915FA" w:rsidP="00722741">
      <w:pPr>
        <w:pStyle w:val="Prrafodelista"/>
        <w:shd w:val="clear" w:color="auto" w:fill="FFFFFF" w:themeFill="background1"/>
        <w:spacing w:line="276" w:lineRule="auto"/>
        <w:ind w:right="758"/>
        <w:jc w:val="both"/>
        <w:textAlignment w:val="baseline"/>
        <w:rPr>
          <w:rFonts w:ascii="Verdana" w:eastAsia="Calibri" w:hAnsi="Verdana" w:cs="Arial"/>
          <w:bCs/>
          <w:color w:val="000000" w:themeColor="text1"/>
          <w:sz w:val="20"/>
          <w:szCs w:val="20"/>
        </w:rPr>
      </w:pPr>
    </w:p>
    <w:p w14:paraId="6A37DD83" w14:textId="77777777" w:rsidR="00E915FA" w:rsidRDefault="00E915FA" w:rsidP="00722741">
      <w:pPr>
        <w:spacing w:line="276" w:lineRule="auto"/>
        <w:ind w:firstLine="708"/>
        <w:contextualSpacing/>
        <w:jc w:val="both"/>
        <w:rPr>
          <w:rFonts w:ascii="Verdana" w:eastAsia="Calibri" w:hAnsi="Verdana" w:cs="Arial"/>
          <w:lang w:val="es-ES"/>
        </w:rPr>
      </w:pPr>
      <w:r w:rsidRPr="007A0E81">
        <w:rPr>
          <w:rFonts w:ascii="Verdana" w:eastAsia="Calibri" w:hAnsi="Verdana" w:cs="Arial"/>
          <w:lang w:val="es-ES"/>
        </w:rPr>
        <w:t xml:space="preserve">El contrato estatal, como acuerdo de voluntades entre una entidad estatal y un particular u otra entidad, establece, modifica o extingue obligaciones para </w:t>
      </w:r>
      <w:r w:rsidRPr="007A0E81">
        <w:rPr>
          <w:rFonts w:ascii="Verdana" w:eastAsia="Calibri" w:hAnsi="Verdana" w:cs="Arial"/>
          <w:lang w:val="es-ES"/>
        </w:rPr>
        <w:lastRenderedPageBreak/>
        <w:t>las partes involucradas y está regido por un marco normativo mixto, que incluye normas tanto de naturaleza privada como comercial. Partiendo del principio de la autonomía de la voluntad que caracteriza los contratos estatales, y considerando específicamente los plazos a tener en cuenta en la actividad contractual para asegurar el cumplimiento de las obligaciones dentro del tiempo acordado, se considera una buena práctica que la entidad determine y señale la fecha de finalización del contrato, con el fin de que las partes tengan claridad y certeza sobre el momento exacto en que se cumple. Así mismo, la elaboración de un acta de inicio resulta una herramienta clave para definir los plazos de inicio y fin del contrato, fijándolos en fechas ciertas y determinadas.</w:t>
      </w:r>
      <w:r w:rsidRPr="007A0E81">
        <w:rPr>
          <w:rFonts w:ascii="Verdana" w:eastAsia="Calibri" w:hAnsi="Verdana" w:cs="Arial"/>
          <w:lang w:val="es-ES"/>
        </w:rPr>
        <w:tab/>
      </w:r>
    </w:p>
    <w:p w14:paraId="27914488" w14:textId="77777777" w:rsidR="007F0C82" w:rsidRPr="007A0E81" w:rsidRDefault="007F0C82" w:rsidP="00722741">
      <w:pPr>
        <w:spacing w:line="276" w:lineRule="auto"/>
        <w:ind w:firstLine="708"/>
        <w:contextualSpacing/>
        <w:jc w:val="both"/>
        <w:rPr>
          <w:rFonts w:ascii="Verdana" w:eastAsia="Calibri" w:hAnsi="Verdana" w:cs="Arial"/>
          <w:i/>
          <w:iCs/>
          <w:lang w:val="es-ES"/>
        </w:rPr>
      </w:pPr>
    </w:p>
    <w:p w14:paraId="7C39CA92" w14:textId="77777777" w:rsidR="00E915FA" w:rsidRDefault="00E915FA" w:rsidP="00722741">
      <w:pPr>
        <w:spacing w:line="276" w:lineRule="auto"/>
        <w:contextualSpacing/>
        <w:jc w:val="both"/>
        <w:rPr>
          <w:rFonts w:ascii="Verdana" w:eastAsia="Calibri" w:hAnsi="Verdana" w:cs="Arial"/>
        </w:rPr>
      </w:pPr>
      <w:bookmarkStart w:id="16" w:name="nu59"/>
      <w:bookmarkStart w:id="17" w:name="_Hlk191630637"/>
      <w:bookmarkEnd w:id="16"/>
      <w:r w:rsidRPr="007A0E81">
        <w:rPr>
          <w:rFonts w:ascii="Verdana" w:eastAsia="Calibri" w:hAnsi="Verdana" w:cs="Arial"/>
        </w:rPr>
        <w:tab/>
      </w:r>
      <w:bookmarkEnd w:id="17"/>
      <w:r w:rsidRPr="007A0E81">
        <w:rPr>
          <w:rFonts w:ascii="Verdana" w:eastAsia="Calibri" w:hAnsi="Verdana" w:cs="Arial"/>
          <w:bCs/>
          <w:color w:val="000000" w:themeColor="text1"/>
          <w:lang w:val="es-ES"/>
        </w:rPr>
        <w:t>L</w:t>
      </w:r>
      <w:r w:rsidRPr="007A0E81">
        <w:rPr>
          <w:rFonts w:ascii="Verdana" w:eastAsia="Calibri" w:hAnsi="Verdana" w:cs="Arial"/>
          <w:bCs/>
          <w:color w:val="000000" w:themeColor="text1"/>
        </w:rPr>
        <w:t xml:space="preserve">o explicado hasta ahora, pone de manifiesto que la definición y las características generales del plazo, derivadas de las normas del Código Civil, deben complementarse con los preceptos especiales que en esta materia contiene la Ley 80 de 1993. En todos caso, </w:t>
      </w:r>
      <w:r w:rsidRPr="007A0E81">
        <w:rPr>
          <w:rFonts w:ascii="Verdana" w:eastAsia="Calibri" w:hAnsi="Verdana" w:cs="Arial"/>
        </w:rPr>
        <w:t>corresponderá a la entidad estatal decidir</w:t>
      </w:r>
      <w:r>
        <w:rPr>
          <w:rFonts w:ascii="Verdana" w:eastAsia="Calibri" w:hAnsi="Verdana" w:cs="Arial"/>
        </w:rPr>
        <w:t xml:space="preserve"> la forma de</w:t>
      </w:r>
      <w:r w:rsidRPr="007A0E81">
        <w:rPr>
          <w:rFonts w:ascii="Verdana" w:eastAsia="Calibri" w:hAnsi="Verdana" w:cs="Arial"/>
        </w:rPr>
        <w:t xml:space="preserve"> compatibilizar las reglas civiles de cómputo de plazos con la lógica del contrato estatal; luego, deben aplicarse con el cuidado de no confundir al contratista al momento de la contabilización de los términos para cumplir las obligaciones derivadas del contrato, o de violar el principio de anualidad, o que el cómputo de los plazos afecte presupuestalmente el contrato y generen una mayor erogación.</w:t>
      </w:r>
    </w:p>
    <w:p w14:paraId="70FC13C1" w14:textId="77777777" w:rsidR="007F0C82" w:rsidRPr="007A0E81" w:rsidRDefault="007F0C82" w:rsidP="00722741">
      <w:pPr>
        <w:spacing w:line="276" w:lineRule="auto"/>
        <w:contextualSpacing/>
        <w:jc w:val="both"/>
        <w:rPr>
          <w:rFonts w:ascii="Verdana" w:eastAsia="Calibri" w:hAnsi="Verdana" w:cs="Arial"/>
        </w:rPr>
      </w:pPr>
    </w:p>
    <w:p w14:paraId="501D3707" w14:textId="397B044A" w:rsidR="00E915FA" w:rsidRPr="007A0E81" w:rsidRDefault="00E915FA" w:rsidP="00722741">
      <w:pPr>
        <w:spacing w:line="276" w:lineRule="auto"/>
        <w:ind w:firstLine="708"/>
        <w:contextualSpacing/>
        <w:jc w:val="both"/>
        <w:rPr>
          <w:rFonts w:ascii="Verdana" w:eastAsia="Calibri" w:hAnsi="Verdana" w:cs="Arial"/>
        </w:rPr>
      </w:pPr>
      <w:r w:rsidRPr="007A0E81">
        <w:rPr>
          <w:rFonts w:ascii="Verdana" w:eastAsia="Calibri" w:hAnsi="Verdana" w:cs="Arial"/>
        </w:rPr>
        <w:t xml:space="preserve">Sin perjuicio de lo anterior debe advertirse que el análisis requerido para establecer el plazo contractual debe ser realizado por la entidad contratante en consideración a las particularidades y especificaciones del respectivo objeto contractual, de acuerdo con lo explicado supra, así como las cláusulas fijadas en los documentos del proceso. </w:t>
      </w:r>
    </w:p>
    <w:p w14:paraId="708ECC48" w14:textId="77777777" w:rsidR="00526E69" w:rsidRDefault="00526E69" w:rsidP="00722741">
      <w:pPr>
        <w:spacing w:line="276" w:lineRule="auto"/>
        <w:ind w:firstLine="708"/>
        <w:contextualSpacing/>
        <w:jc w:val="both"/>
        <w:rPr>
          <w:rFonts w:ascii="Verdana" w:eastAsia="Calibri" w:hAnsi="Verdana" w:cs="Times New Roman"/>
          <w:highlight w:val="yellow"/>
          <w:lang w:val="es-ES"/>
        </w:rPr>
      </w:pPr>
    </w:p>
    <w:p w14:paraId="77FE6EA2" w14:textId="77777777" w:rsidR="007F0C82" w:rsidRPr="006C0D6B" w:rsidRDefault="007F0C82" w:rsidP="007F0C82">
      <w:pPr>
        <w:spacing w:after="120" w:line="276" w:lineRule="auto"/>
        <w:ind w:firstLine="708"/>
        <w:jc w:val="both"/>
        <w:rPr>
          <w:rFonts w:ascii="Verdana" w:eastAsia="Calibri" w:hAnsi="Verdana" w:cs="Arial"/>
          <w:color w:val="000000" w:themeColor="text1"/>
          <w:lang w:val="es-ES"/>
        </w:rPr>
      </w:pPr>
      <w:r w:rsidRPr="006C0D6B">
        <w:rPr>
          <w:rFonts w:ascii="Verdana" w:eastAsia="Calibri" w:hAnsi="Verdana" w:cs="Arial"/>
          <w:color w:val="000000" w:themeColor="text1"/>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w:t>
      </w:r>
      <w:r w:rsidRPr="006C0D6B">
        <w:rPr>
          <w:rFonts w:ascii="Verdana" w:eastAsia="Calibri" w:hAnsi="Verdana" w:cs="Arial"/>
          <w:color w:val="000000" w:themeColor="text1"/>
          <w:lang w:val="es-ES"/>
        </w:rPr>
        <w:lastRenderedPageBreak/>
        <w:t>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76E73D93" w14:textId="77777777" w:rsidR="007F0C82" w:rsidRPr="00BE3090" w:rsidRDefault="007F0C82" w:rsidP="007F0C82">
      <w:pPr>
        <w:spacing w:after="120" w:line="276" w:lineRule="auto"/>
        <w:ind w:firstLine="709"/>
        <w:jc w:val="both"/>
        <w:rPr>
          <w:rFonts w:ascii="Verdana" w:eastAsia="Calibri" w:hAnsi="Verdana" w:cs="Arial"/>
          <w:lang w:val="es-ES"/>
        </w:rPr>
      </w:pPr>
      <w:r w:rsidRPr="00BE3090">
        <w:rPr>
          <w:rFonts w:ascii="Verdana" w:eastAsia="Calibri" w:hAnsi="Verdana" w:cs="Arial"/>
          <w:lang w:val="es-ES"/>
        </w:rPr>
        <w:t>Por ello, como se indicó, las Entidades Estatales en la etapa previa a la contratación, es decir en la fase de planeación y, dependiendo de la tipología contractual, determinarán la metodología mediante la cual realizarán el cálculo del valor o precio del contrato, apoyándose entre otros aspectos, en la costumbre mercantil o el conocimiento impartido en ciertas ciencias como la ingeniería, de las que son propias los sistemas de precios unitarios y el del factor multiplicador. Sin embargo, es preciso aclarar que ni el sistema de precios unitarios ni el factor multiplicador son asuntos expresamente regulados en el conjunto de las disposiciones legales o reglamentarias que integran la normativa contractual del Estado, pues la justificación de estas formas de establecer o cotizar el precio, se itera, procede incluso, de la formación universitaria que reciben los ingenieros, a quienes se les enseña esta metodología para elaborar las ofertas. En ese sentido, estas metodologías para la configuración del precio de contrato, determinantes para la elaboración de la propuesta económica, no proceden de la ley ni del reglamento, sino de la costumbre</w:t>
      </w:r>
      <w:r w:rsidRPr="00BE3090">
        <w:rPr>
          <w:rFonts w:ascii="Verdana" w:eastAsia="Times New Roman" w:hAnsi="Verdana" w:cs="Arial"/>
          <w:vertAlign w:val="superscript"/>
          <w:lang w:val="es-ES_tradnl" w:eastAsia="es-CO"/>
        </w:rPr>
        <w:footnoteReference w:id="2"/>
      </w:r>
      <w:r w:rsidRPr="00BE3090">
        <w:rPr>
          <w:rFonts w:ascii="Verdana" w:eastAsia="Times New Roman" w:hAnsi="Verdana" w:cs="Arial"/>
          <w:bCs/>
          <w:lang w:val="es-ES_tradnl" w:eastAsia="es-CO"/>
        </w:rPr>
        <w:t>.</w:t>
      </w:r>
    </w:p>
    <w:p w14:paraId="5AF4AF85" w14:textId="20323301" w:rsidR="007F0C82" w:rsidRDefault="007F0C82" w:rsidP="007F0C82">
      <w:pPr>
        <w:spacing w:line="276" w:lineRule="auto"/>
        <w:ind w:firstLine="708"/>
        <w:contextualSpacing/>
        <w:jc w:val="both"/>
        <w:rPr>
          <w:rFonts w:ascii="Verdana" w:eastAsia="Calibri" w:hAnsi="Verdana"/>
          <w:lang w:val="es-ES"/>
        </w:rPr>
      </w:pPr>
      <w:r w:rsidRPr="00BE3090">
        <w:rPr>
          <w:rFonts w:ascii="Verdana" w:eastAsia="Calibri" w:hAnsi="Verdana"/>
          <w:lang w:val="es-ES"/>
        </w:rPr>
        <w:t>En ese sentido, pese a que el Estatuto General de Contratación de la Administración Pública</w:t>
      </w:r>
      <w:r>
        <w:rPr>
          <w:rFonts w:ascii="Verdana" w:eastAsia="Calibri" w:hAnsi="Verdana"/>
          <w:lang w:val="es-ES"/>
        </w:rPr>
        <w:t>–</w:t>
      </w:r>
      <w:r w:rsidRPr="00BE3090">
        <w:rPr>
          <w:rFonts w:ascii="Verdana" w:eastAsia="Calibri" w:hAnsi="Verdana"/>
          <w:lang w:val="es-ES"/>
        </w:rPr>
        <w:t xml:space="preserve"> en adelante EGCAP</w:t>
      </w:r>
      <w:r>
        <w:rPr>
          <w:rFonts w:ascii="Verdana" w:eastAsia="Calibri" w:hAnsi="Verdana"/>
          <w:lang w:val="es-ES"/>
        </w:rPr>
        <w:t>–</w:t>
      </w:r>
      <w:r w:rsidRPr="00BE3090">
        <w:rPr>
          <w:rFonts w:ascii="Verdana" w:eastAsia="Calibri" w:hAnsi="Verdana"/>
          <w:lang w:val="es-ES"/>
        </w:rPr>
        <w:t xml:space="preserve"> no establece una regulación </w:t>
      </w:r>
      <w:r w:rsidRPr="00BE3090">
        <w:rPr>
          <w:rFonts w:ascii="Verdana" w:eastAsia="Calibri" w:hAnsi="Verdana"/>
          <w:lang w:val="es-ES"/>
        </w:rPr>
        <w:lastRenderedPageBreak/>
        <w:t xml:space="preserve">integral o detallada conforme a la cual se deba dar la estructuración del valor del contrato cuando se usa el sistema de precios unitarios, el </w:t>
      </w:r>
      <w:bookmarkStart w:id="18" w:name="_Hlk196820392"/>
      <w:r w:rsidRPr="00BE3090">
        <w:rPr>
          <w:rFonts w:ascii="Verdana" w:eastAsia="Calibri" w:hAnsi="Verdana"/>
          <w:lang w:val="es-ES"/>
        </w:rPr>
        <w:t xml:space="preserve">Decreto 1082 de 2015 </w:t>
      </w:r>
      <w:bookmarkEnd w:id="18"/>
      <w:r w:rsidRPr="00BE3090">
        <w:rPr>
          <w:rFonts w:ascii="Verdana" w:eastAsia="Calibri" w:hAnsi="Verdana"/>
          <w:lang w:val="es-ES"/>
        </w:rPr>
        <w:t xml:space="preserve">impone taxativamente una carga justificativa para las entidades que utilicen dicho sistema. Al respeto, el </w:t>
      </w:r>
      <w:bookmarkStart w:id="19" w:name="_Hlk196820401"/>
      <w:r w:rsidRPr="00BE3090">
        <w:rPr>
          <w:rFonts w:ascii="Verdana" w:eastAsia="Calibri" w:hAnsi="Verdana"/>
          <w:lang w:val="es-ES"/>
        </w:rPr>
        <w:t xml:space="preserve">artículo 2.2.1.1.2.1.1 </w:t>
      </w:r>
      <w:bookmarkEnd w:id="19"/>
      <w:r w:rsidRPr="00BE3090">
        <w:rPr>
          <w:rFonts w:ascii="Verdana" w:eastAsia="Calibri" w:hAnsi="Verdana"/>
          <w:i/>
          <w:iCs/>
          <w:lang w:val="es-ES"/>
        </w:rPr>
        <w:t xml:space="preserve">ibidem </w:t>
      </w:r>
      <w:r w:rsidRPr="00BE3090">
        <w:rPr>
          <w:rFonts w:ascii="Verdana" w:eastAsia="Calibri" w:hAnsi="Verdana"/>
          <w:lang w:val="es-ES"/>
        </w:rPr>
        <w:t xml:space="preserve">que regula el contenido del estudio del sector, indica en su numeral 4 que: </w:t>
      </w:r>
      <w:r w:rsidRPr="00167C84">
        <w:rPr>
          <w:rFonts w:ascii="Verdana" w:eastAsia="Calibri" w:hAnsi="Verdana"/>
          <w:i/>
          <w:iCs/>
          <w:lang w:val="es-ES"/>
        </w:rPr>
        <w:t>“Cuando el valor del contrato esté determinado por precios unitarios, la Entidad Estatal debe incluir la forma como los calculó y soportar sus cálculos presupuestales en la estimación de aquello”</w:t>
      </w:r>
      <w:r w:rsidRPr="00BE3090">
        <w:rPr>
          <w:rFonts w:ascii="Verdana" w:eastAsia="Calibri" w:hAnsi="Verdana"/>
          <w:lang w:val="es-ES"/>
        </w:rPr>
        <w:t>.</w:t>
      </w:r>
    </w:p>
    <w:p w14:paraId="55C34443" w14:textId="77777777" w:rsidR="007F0C82" w:rsidRDefault="007F0C82" w:rsidP="007F0C82">
      <w:pPr>
        <w:spacing w:line="276" w:lineRule="auto"/>
        <w:ind w:firstLine="708"/>
        <w:contextualSpacing/>
        <w:jc w:val="both"/>
        <w:rPr>
          <w:rFonts w:ascii="Verdana" w:eastAsia="Calibri" w:hAnsi="Verdana"/>
          <w:lang w:val="es-ES"/>
        </w:rPr>
      </w:pPr>
    </w:p>
    <w:p w14:paraId="3F9F7E42" w14:textId="77777777" w:rsidR="007F0C82" w:rsidRPr="00167C84" w:rsidRDefault="007F0C82" w:rsidP="007F0C82">
      <w:pPr>
        <w:spacing w:after="120" w:line="276" w:lineRule="auto"/>
        <w:ind w:firstLine="708"/>
        <w:jc w:val="both"/>
        <w:rPr>
          <w:rFonts w:ascii="Verdana" w:hAnsi="Verdana" w:cs="Arial"/>
          <w:lang w:val="es-ES_tradnl"/>
        </w:rPr>
      </w:pPr>
      <w:r w:rsidRPr="00167C84">
        <w:rPr>
          <w:rFonts w:ascii="Verdana" w:hAnsi="Verdana" w:cs="Arial"/>
          <w:lang w:val="es-ES_tradnl" w:eastAsia="es-MX"/>
        </w:rPr>
        <w:t xml:space="preserve">Ahora bien, el sistema de precios unitarios es un método en el marco del cual la entidad contratante, al momento de estimar valor del contrato separa 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solicitando a los proponentes que discriminen los últimos al momento de presentar la propuesta. </w:t>
      </w:r>
      <w:r w:rsidRPr="00167C84">
        <w:rPr>
          <w:rFonts w:ascii="Verdana" w:hAnsi="Verdana" w:cs="Arial"/>
          <w:lang w:val="es-ES_tradnl"/>
        </w:rPr>
        <w:t xml:space="preserve">En tal sentido, mientras que los costos directos se evidencian en el análisis de precios unitarios –APU–, como la sumatoria de los valores de los </w:t>
      </w:r>
      <w:r w:rsidRPr="00167C84">
        <w:rPr>
          <w:rFonts w:ascii="Verdana" w:hAnsi="Verdana" w:cs="Arial"/>
          <w:i/>
          <w:iCs/>
          <w:lang w:val="es-ES_tradnl"/>
        </w:rPr>
        <w:t>ítems</w:t>
      </w:r>
      <w:r w:rsidRPr="00167C84">
        <w:rPr>
          <w:rFonts w:ascii="Verdana" w:hAnsi="Verdana" w:cs="Arial"/>
          <w:lang w:val="es-ES_tradnl"/>
        </w:rPr>
        <w:t xml:space="preserve"> según su unidad de medida, los cuales se suman a los costos indirectos los cuales deben ser establecidos aplicando la metodología que la Entidad Estatal estime más adecuada para contrato, de acuerdo con su objeto. </w:t>
      </w:r>
    </w:p>
    <w:p w14:paraId="64BB8A42" w14:textId="77777777" w:rsidR="007F0C82" w:rsidRPr="00167C84" w:rsidRDefault="007F0C82" w:rsidP="007F0C82">
      <w:pPr>
        <w:spacing w:after="120" w:line="276" w:lineRule="auto"/>
        <w:ind w:firstLine="709"/>
        <w:jc w:val="both"/>
        <w:rPr>
          <w:rFonts w:ascii="Verdana" w:eastAsia="Calibri" w:hAnsi="Verdana" w:cs="Arial"/>
          <w:bCs/>
          <w:szCs w:val="24"/>
          <w:lang w:eastAsia="es-ES_tradnl"/>
        </w:rPr>
      </w:pPr>
      <w:r w:rsidRPr="00167C84">
        <w:rPr>
          <w:rFonts w:ascii="Verdana" w:eastAsia="Calibri" w:hAnsi="Verdana" w:cs="Arial"/>
          <w:bCs/>
          <w:szCs w:val="24"/>
          <w:lang w:val="es-ES_tradnl" w:eastAsia="es-ES_tradnl"/>
        </w:rPr>
        <w:t>En relación con los precios unitarios ha señalado la jurisprudencia que “</w:t>
      </w:r>
      <w:r w:rsidRPr="00167C84">
        <w:rPr>
          <w:rFonts w:ascii="Verdana" w:eastAsia="Calibri"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w:t>
      </w:r>
      <w:r w:rsidRPr="00167C84">
        <w:rPr>
          <w:rFonts w:ascii="Verdana" w:eastAsia="Calibri" w:hAnsi="Verdana" w:cs="Arial"/>
          <w:bCs/>
          <w:szCs w:val="24"/>
          <w:lang w:eastAsia="es-ES_tradnl"/>
        </w:rPr>
        <w:lastRenderedPageBreak/>
        <w:t>cuenta el costo hora-hombre, y cuántas personas se requieren para la ejecución de esa unidad de medida; la cantidad de los materiales necesarios, etc.</w:t>
      </w:r>
      <w:r w:rsidRPr="00167C84">
        <w:rPr>
          <w:rFonts w:ascii="Verdana" w:eastAsia="Calibri" w:hAnsi="Verdana" w:cs="Arial"/>
          <w:bCs/>
          <w:szCs w:val="24"/>
          <w:lang w:val="es-ES_tradnl" w:eastAsia="es-ES_tradnl"/>
        </w:rPr>
        <w:t>”</w:t>
      </w:r>
      <w:r w:rsidRPr="00167C84">
        <w:rPr>
          <w:rFonts w:ascii="Verdana" w:eastAsia="Calibri" w:hAnsi="Verdana" w:cs="Arial"/>
          <w:bCs/>
          <w:szCs w:val="24"/>
          <w:vertAlign w:val="superscript"/>
          <w:lang w:val="es-ES_tradnl" w:eastAsia="es-ES_tradnl"/>
        </w:rPr>
        <w:footnoteReference w:id="3"/>
      </w:r>
      <w:r w:rsidRPr="00167C84">
        <w:rPr>
          <w:rFonts w:ascii="Verdana" w:eastAsia="Calibri" w:hAnsi="Verdana" w:cs="Arial"/>
          <w:bCs/>
          <w:szCs w:val="24"/>
          <w:lang w:eastAsia="es-ES_tradnl"/>
        </w:rPr>
        <w:t xml:space="preserve">. </w:t>
      </w:r>
    </w:p>
    <w:p w14:paraId="14453F71" w14:textId="5A3BF401" w:rsidR="007F0C82" w:rsidRDefault="00CD211E" w:rsidP="007F0C82">
      <w:pPr>
        <w:spacing w:line="276" w:lineRule="auto"/>
        <w:ind w:firstLine="708"/>
        <w:contextualSpacing/>
        <w:jc w:val="both"/>
        <w:rPr>
          <w:rFonts w:ascii="Verdana" w:eastAsia="Calibri" w:hAnsi="Verdana" w:cs="Times New Roman"/>
          <w:highlight w:val="yellow"/>
          <w:lang w:val="es-ES"/>
        </w:rPr>
      </w:pPr>
      <w:r>
        <w:rPr>
          <w:rFonts w:ascii="Verdana" w:eastAsia="Calibri" w:hAnsi="Verdana" w:cs="Arial"/>
        </w:rPr>
        <w:t>Por su parte, l</w:t>
      </w:r>
      <w:r w:rsidRPr="00FF772E">
        <w:rPr>
          <w:rFonts w:ascii="Verdana" w:eastAsia="Calibri" w:hAnsi="Verdana" w:cs="Arial"/>
        </w:rPr>
        <w:t>os contratos de obra por precio global son aquellos en los que el contratista, a cambio de las prestaciones a que se compromete, obtiene como remuneración una suma fija, siendo el único responsable de la vinculación de personal, de la elaboración de subcontratos y de la obtención de materiales. El pacto de un precio global fijo implica el acuerdo de un precio cerrado, cierto e inalterable, cuya única remuneración será el objeto contratado. En dicho precio quedan incluidos todos los costos en que deba incurrir el contratista para la ejecución de la obra.</w:t>
      </w:r>
    </w:p>
    <w:p w14:paraId="7788134D" w14:textId="77777777" w:rsidR="00E915FA" w:rsidRDefault="00E915FA" w:rsidP="00CD211E">
      <w:pPr>
        <w:spacing w:line="276" w:lineRule="auto"/>
        <w:ind w:firstLine="708"/>
        <w:contextualSpacing/>
        <w:jc w:val="both"/>
        <w:rPr>
          <w:rFonts w:ascii="Verdana" w:eastAsia="Calibri" w:hAnsi="Verdana" w:cs="Times New Roman"/>
          <w:highlight w:val="yellow"/>
          <w:lang w:val="es-ES"/>
        </w:rPr>
      </w:pPr>
    </w:p>
    <w:p w14:paraId="09E3468A" w14:textId="77777777" w:rsidR="00CD211E" w:rsidRPr="00FF772E" w:rsidRDefault="00CD211E" w:rsidP="00CD211E">
      <w:pPr>
        <w:spacing w:line="276" w:lineRule="auto"/>
        <w:ind w:firstLine="708"/>
        <w:contextualSpacing/>
        <w:jc w:val="both"/>
        <w:rPr>
          <w:rFonts w:ascii="Verdana" w:eastAsia="Calibri" w:hAnsi="Verdana" w:cs="Arial"/>
        </w:rPr>
      </w:pPr>
      <w:r w:rsidRPr="00FF772E">
        <w:rPr>
          <w:rFonts w:ascii="Verdana" w:eastAsia="Calibri" w:hAnsi="Verdana" w:cs="Arial"/>
        </w:rPr>
        <w:t>Sobre el contrato de obra por precio global, el Consejo de Estado ha considerado lo siguiente:</w:t>
      </w:r>
    </w:p>
    <w:p w14:paraId="6F15E0FD" w14:textId="77777777" w:rsidR="00CD211E" w:rsidRPr="00CD211E" w:rsidRDefault="00CD211E" w:rsidP="00CD211E">
      <w:pPr>
        <w:spacing w:line="276" w:lineRule="auto"/>
        <w:ind w:left="720"/>
        <w:contextualSpacing/>
        <w:jc w:val="both"/>
        <w:rPr>
          <w:rFonts w:ascii="Verdana" w:eastAsia="Calibri" w:hAnsi="Verdana" w:cs="Arial"/>
          <w:sz w:val="20"/>
          <w:szCs w:val="20"/>
        </w:rPr>
      </w:pPr>
    </w:p>
    <w:p w14:paraId="35654757" w14:textId="77777777" w:rsidR="00CD211E" w:rsidRPr="00CD211E" w:rsidRDefault="00CD211E" w:rsidP="00CD211E">
      <w:pPr>
        <w:spacing w:line="276" w:lineRule="auto"/>
        <w:ind w:left="720" w:right="709"/>
        <w:contextualSpacing/>
        <w:jc w:val="both"/>
        <w:rPr>
          <w:rFonts w:ascii="Verdana" w:eastAsia="Calibri" w:hAnsi="Verdana" w:cs="Arial"/>
          <w:sz w:val="20"/>
          <w:szCs w:val="20"/>
        </w:rPr>
      </w:pPr>
      <w:r w:rsidRPr="00CD211E">
        <w:rPr>
          <w:rFonts w:ascii="Verdana" w:eastAsia="Calibri" w:hAnsi="Verdana" w:cs="Arial"/>
          <w:sz w:val="20"/>
          <w:szCs w:val="20"/>
        </w:rPr>
        <w:t>“Los contratos de obra por precio global son aquellos en los que el contratista, a cambio de las prestaciones a que se compromete, obtiene como remuneración una suma fija siendo el único responsable de la vinculación de personal, de la elaboración de subcontratos y de la obtención de materiales, mientras que en el contrato a precios unitarios la forma de pago es por unidades o cantidades de obra y el valor total corresponde al que resulta de multiplicar las cantidades de obras ejecutadas por el precio de cada una de ellas comprometiéndose el contratista a realizar las obras especificadas en el contrato.</w:t>
      </w:r>
    </w:p>
    <w:p w14:paraId="096EB125" w14:textId="77777777" w:rsidR="00CD211E" w:rsidRPr="00CD211E" w:rsidRDefault="00CD211E" w:rsidP="00CD211E">
      <w:pPr>
        <w:spacing w:line="276" w:lineRule="auto"/>
        <w:ind w:left="720" w:right="709"/>
        <w:contextualSpacing/>
        <w:jc w:val="both"/>
        <w:rPr>
          <w:rFonts w:ascii="Verdana" w:eastAsia="Calibri" w:hAnsi="Verdana" w:cs="Arial"/>
          <w:sz w:val="20"/>
          <w:szCs w:val="20"/>
        </w:rPr>
      </w:pPr>
    </w:p>
    <w:p w14:paraId="768E986D" w14:textId="77777777" w:rsidR="00CD211E" w:rsidRPr="00CD211E" w:rsidRDefault="00CD211E" w:rsidP="00CD211E">
      <w:pPr>
        <w:spacing w:line="276" w:lineRule="auto"/>
        <w:ind w:left="720" w:right="709"/>
        <w:contextualSpacing/>
        <w:jc w:val="both"/>
        <w:rPr>
          <w:rFonts w:ascii="Verdana" w:eastAsia="Calibri" w:hAnsi="Verdana" w:cs="Arial"/>
          <w:sz w:val="20"/>
          <w:szCs w:val="20"/>
        </w:rPr>
      </w:pPr>
      <w:r w:rsidRPr="00CD211E">
        <w:rPr>
          <w:rFonts w:ascii="Verdana" w:eastAsia="Calibri" w:hAnsi="Verdana" w:cs="Arial"/>
          <w:sz w:val="20"/>
          <w:szCs w:val="20"/>
        </w:rPr>
        <w:t xml:space="preserve">Esta distinción resulta fundamental, porque, como lo ha señalado la jurisprudencia, en el contrato a precio global se incluyen todos los costos directos e indirectos en que incurrirá el contratista para la ejecución de la obra y, en principio, no origina el reconocimiento de obras adicionales o mayores cantidades de obra no previstas, en tanto en el contrato a precios unitarios, toda cantidad mayor o adicional ordenada y autorizada por la entidad contratante debe ser reconocida, aunque, de todos modos, en uno y otro caso, el contratista tiene el derecho a reclamar en </w:t>
      </w:r>
      <w:r w:rsidRPr="00CD211E">
        <w:rPr>
          <w:rFonts w:ascii="Verdana" w:eastAsia="Calibri" w:hAnsi="Verdana" w:cs="Arial"/>
          <w:sz w:val="20"/>
          <w:szCs w:val="20"/>
        </w:rPr>
        <w:lastRenderedPageBreak/>
        <w:t>oportunidad por las falencias atribuibles a la entidad sobre imprevistos en el proceso de selección o en el contrato, o por hechos que la administración debe conocer, que desequilibran la ecuación financiera y que están por fuera del control del contratista, cuando quiera que no se hayan adoptado las medidas encaminadas a restituir el contrato a sus condiciones económicas iniciales.”</w:t>
      </w:r>
      <w:r w:rsidRPr="00CD211E">
        <w:rPr>
          <w:rFonts w:ascii="Verdana" w:eastAsia="Calibri" w:hAnsi="Verdana" w:cs="Arial"/>
          <w:sz w:val="20"/>
          <w:szCs w:val="20"/>
          <w:vertAlign w:val="superscript"/>
        </w:rPr>
        <w:footnoteReference w:id="4"/>
      </w:r>
    </w:p>
    <w:p w14:paraId="1138810D" w14:textId="77777777" w:rsidR="00E915FA" w:rsidRDefault="00E915FA" w:rsidP="00CD211E">
      <w:pPr>
        <w:spacing w:line="276" w:lineRule="auto"/>
        <w:ind w:firstLine="708"/>
        <w:contextualSpacing/>
        <w:jc w:val="both"/>
        <w:rPr>
          <w:rFonts w:ascii="Verdana" w:eastAsia="Calibri" w:hAnsi="Verdana" w:cs="Times New Roman"/>
          <w:highlight w:val="yellow"/>
          <w:lang w:val="es-ES"/>
        </w:rPr>
      </w:pPr>
    </w:p>
    <w:p w14:paraId="11C3DF3E" w14:textId="4FAC5D9E" w:rsidR="00CD211E" w:rsidRDefault="00CD211E" w:rsidP="00A95A1A">
      <w:pPr>
        <w:widowControl w:val="0"/>
        <w:autoSpaceDE w:val="0"/>
        <w:autoSpaceDN w:val="0"/>
        <w:spacing w:line="276" w:lineRule="auto"/>
        <w:ind w:firstLine="708"/>
        <w:jc w:val="both"/>
        <w:rPr>
          <w:rFonts w:ascii="Verdana" w:eastAsia="Calibri" w:hAnsi="Verdana" w:cs="Arial"/>
          <w:bCs/>
        </w:rPr>
      </w:pPr>
      <w:r>
        <w:rPr>
          <w:rFonts w:ascii="Verdana" w:eastAsia="Calibri" w:hAnsi="Verdana" w:cs="Arial"/>
          <w:bCs/>
          <w:lang w:val="es-ES_tradnl"/>
        </w:rPr>
        <w:t>Así las cosas, l</w:t>
      </w:r>
      <w:r w:rsidRPr="00722741">
        <w:rPr>
          <w:rFonts w:ascii="Verdana" w:eastAsia="Calibri" w:hAnsi="Verdana" w:cs="Arial"/>
          <w:bCs/>
        </w:rPr>
        <w:t xml:space="preserve">a elección entre precios unitarios, precio global o una combinación de ambos debe basarse en las características del objeto a contratar y en la naturaleza de las actividades a ejecutar. </w:t>
      </w:r>
      <w:r>
        <w:rPr>
          <w:rFonts w:ascii="Verdana" w:eastAsia="Calibri" w:hAnsi="Verdana" w:cs="Arial"/>
          <w:bCs/>
        </w:rPr>
        <w:t>Por lo que corresponde a l</w:t>
      </w:r>
      <w:r w:rsidRPr="00722741">
        <w:rPr>
          <w:rFonts w:ascii="Verdana" w:eastAsia="Calibri" w:hAnsi="Verdana" w:cs="Arial"/>
          <w:bCs/>
        </w:rPr>
        <w:t>a entidad</w:t>
      </w:r>
      <w:r>
        <w:rPr>
          <w:rFonts w:ascii="Verdana" w:eastAsia="Calibri" w:hAnsi="Verdana" w:cs="Arial"/>
          <w:bCs/>
        </w:rPr>
        <w:t xml:space="preserve"> estatal evaluar </w:t>
      </w:r>
      <w:r w:rsidRPr="00722741">
        <w:rPr>
          <w:rFonts w:ascii="Verdana" w:eastAsia="Calibri" w:hAnsi="Verdana" w:cs="Arial"/>
          <w:bCs/>
        </w:rPr>
        <w:t>la posibilidad de utilizar precios unitarios, precio global o una combinación de ambos en la contratación de obras públicas, siempre que esta decisión esté debidamente sustentada y se garantice la transparencia y eficiencia del proceso contractual</w:t>
      </w:r>
      <w:r>
        <w:rPr>
          <w:rFonts w:ascii="Verdana" w:eastAsia="Calibri" w:hAnsi="Verdana" w:cs="Arial"/>
          <w:bCs/>
        </w:rPr>
        <w:t>.</w:t>
      </w:r>
    </w:p>
    <w:p w14:paraId="20093897" w14:textId="35DEBC6D" w:rsidR="00601CDD" w:rsidRPr="00AE7E03" w:rsidRDefault="00601CDD" w:rsidP="001175E7">
      <w:pPr>
        <w:spacing w:line="276" w:lineRule="auto"/>
        <w:ind w:firstLine="708"/>
        <w:contextualSpacing/>
        <w:jc w:val="both"/>
        <w:rPr>
          <w:rFonts w:ascii="Verdana" w:eastAsia="Calibri" w:hAnsi="Verdana" w:cs="Times New Roman"/>
          <w:lang w:val="es-ES"/>
        </w:rPr>
      </w:pPr>
      <w:r w:rsidRPr="00CD211E">
        <w:rPr>
          <w:rFonts w:ascii="Verdana" w:eastAsia="Calibri" w:hAnsi="Verdana" w:cs="Times New Roman"/>
          <w:lang w:val="es-ES"/>
        </w:rPr>
        <w:t xml:space="preserve">Finalmente debe advertirse, que el análisis para resolver problemas específicos en torno </w:t>
      </w:r>
      <w:r w:rsidR="007630C8" w:rsidRPr="00CD211E">
        <w:rPr>
          <w:rFonts w:ascii="Verdana" w:eastAsia="Calibri" w:hAnsi="Verdana" w:cs="Times New Roman"/>
          <w:lang w:val="es-ES"/>
        </w:rPr>
        <w:t>en torno a procedimientos contractuales debe ser realizado por quienes tengan interés en ello</w:t>
      </w:r>
      <w:r w:rsidRPr="00CD211E">
        <w:rPr>
          <w:rFonts w:ascii="Verdana" w:eastAsia="Calibri" w:hAnsi="Verdana" w:cs="Times New Roman"/>
          <w:lang w:val="es-ES"/>
        </w:rPr>
        <w:t>. De esta forma, las afirmaciones aquí realizadas no pueden ser interpretadas como juicios de valor sobre circunstancias concretas relacionadas con los hechos que motivan la consulta. Así cada entidad definirá la forma de adelantar su gestión contractual, sin que sea atribución de la Agencia Nacional de Contratación Pública – Colombia Compra Eficiente, validar sus actuaciones.</w:t>
      </w:r>
    </w:p>
    <w:p w14:paraId="1CCCABCF" w14:textId="77777777" w:rsidR="00601CDD" w:rsidRPr="00AE7E03" w:rsidRDefault="00601CDD" w:rsidP="00601CDD">
      <w:pPr>
        <w:ind w:left="720"/>
        <w:contextualSpacing/>
        <w:rPr>
          <w:rFonts w:ascii="Verdana" w:eastAsia="Calibri" w:hAnsi="Verdana" w:cs="Times New Roman"/>
          <w:lang w:val="es-ES"/>
        </w:rPr>
      </w:pPr>
    </w:p>
    <w:p w14:paraId="50FEB559" w14:textId="4F0A0E1F" w:rsidR="00601CDD" w:rsidRPr="00601CDD" w:rsidRDefault="00601CDD" w:rsidP="00601CDD">
      <w:pPr>
        <w:spacing w:before="120" w:after="12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A753282" w14:textId="77777777" w:rsidR="009A7CC9" w:rsidRDefault="009A7CC9" w:rsidP="007D5768">
      <w:pPr>
        <w:spacing w:after="0" w:line="276" w:lineRule="auto"/>
        <w:jc w:val="both"/>
        <w:rPr>
          <w:rFonts w:ascii="Verdana" w:eastAsia="Calibri" w:hAnsi="Verdana" w:cs="Arial"/>
          <w:lang w:val="es-ES"/>
        </w:rPr>
      </w:pP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02791144" w14:textId="77777777" w:rsidR="000F4D98" w:rsidRPr="00E21BD1" w:rsidRDefault="000F4D98" w:rsidP="000F4D98">
            <w:pPr>
              <w:pStyle w:val="Textonotapie"/>
              <w:ind w:left="720"/>
              <w:rPr>
                <w:rFonts w:ascii="Verdana" w:hAnsi="Verdana"/>
                <w:sz w:val="22"/>
                <w:szCs w:val="22"/>
                <w:highlight w:val="yellow"/>
                <w:lang w:val="es-CO"/>
              </w:rPr>
            </w:pPr>
          </w:p>
          <w:p w14:paraId="5BFE8E6F" w14:textId="418C8036" w:rsidR="00BB7468" w:rsidRDefault="00BB7468"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eastAsia="Calibri" w:hAnsi="Verdana" w:cs="Arial"/>
                <w:lang w:val="es-ES"/>
              </w:rPr>
              <w:t>Código de Régimen Político y Municipal</w:t>
            </w:r>
            <w:r>
              <w:rPr>
                <w:rFonts w:ascii="Verdana" w:eastAsia="Calibri" w:hAnsi="Verdana" w:cs="Arial"/>
                <w:lang w:val="es-ES"/>
              </w:rPr>
              <w:t xml:space="preserve"> </w:t>
            </w:r>
            <w:r w:rsidRPr="007A0E81">
              <w:rPr>
                <w:rFonts w:ascii="Verdana" w:eastAsia="Calibri" w:hAnsi="Verdana" w:cs="Arial"/>
                <w:lang w:val="es-ES"/>
              </w:rPr>
              <w:t>artículos 59 y siguientes</w:t>
            </w:r>
          </w:p>
          <w:p w14:paraId="6EE3DAF0" w14:textId="77777777" w:rsidR="00EB51E4" w:rsidRDefault="00EB51E4"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hAnsi="Verdana" w:cs="Arial"/>
                <w:lang w:val="es-MX"/>
              </w:rPr>
              <w:t>Ley 4 de 1913; artículos 59 y 62.</w:t>
            </w:r>
          </w:p>
          <w:p w14:paraId="417ACEAD" w14:textId="77777777" w:rsidR="00BB7468" w:rsidRPr="007A0E81" w:rsidRDefault="00BB7468" w:rsidP="00BB7468">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hAnsi="Verdana" w:cs="Arial"/>
                <w:lang w:val="es-MX"/>
              </w:rPr>
              <w:t xml:space="preserve">Ley 80 de 1993; artículos 13, </w:t>
            </w:r>
            <w:r>
              <w:rPr>
                <w:rFonts w:ascii="Verdana" w:hAnsi="Verdana" w:cs="Arial"/>
                <w:lang w:val="es-MX"/>
              </w:rPr>
              <w:t xml:space="preserve">14, </w:t>
            </w:r>
            <w:r w:rsidRPr="007A0E81">
              <w:rPr>
                <w:rFonts w:ascii="Verdana" w:hAnsi="Verdana" w:cs="Arial"/>
                <w:lang w:val="es-MX"/>
              </w:rPr>
              <w:t>24 y 32.</w:t>
            </w:r>
          </w:p>
          <w:p w14:paraId="36532964" w14:textId="77777777" w:rsidR="00EB51E4" w:rsidRPr="007A0E81" w:rsidRDefault="00EB51E4"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hAnsi="Verdana" w:cs="Arial"/>
                <w:lang w:val="es-MX"/>
              </w:rPr>
              <w:t>Ley 1437 de 2011; articulo 7.</w:t>
            </w:r>
          </w:p>
          <w:p w14:paraId="2F67B314" w14:textId="7E16AD8E" w:rsidR="00EB51E4" w:rsidRPr="007A0E81" w:rsidRDefault="00EB51E4"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hAnsi="Verdana" w:cs="Arial"/>
              </w:rPr>
              <w:t>Decreto 1082 de 2015</w:t>
            </w:r>
            <w:r>
              <w:rPr>
                <w:rFonts w:ascii="Verdana" w:hAnsi="Verdana" w:cs="Arial"/>
              </w:rPr>
              <w:t xml:space="preserve">; </w:t>
            </w:r>
            <w:r w:rsidRPr="007A0E81">
              <w:rPr>
                <w:rFonts w:ascii="Verdana" w:hAnsi="Verdana" w:cs="Arial"/>
              </w:rPr>
              <w:t>artículo</w:t>
            </w:r>
            <w:r w:rsidR="00BB7468">
              <w:rPr>
                <w:rFonts w:ascii="Verdana" w:hAnsi="Verdana" w:cs="Arial"/>
              </w:rPr>
              <w:t xml:space="preserve">s </w:t>
            </w:r>
            <w:r w:rsidR="00BB7468" w:rsidRPr="00BE3090">
              <w:rPr>
                <w:rFonts w:ascii="Verdana" w:eastAsia="Calibri" w:hAnsi="Verdana"/>
                <w:lang w:val="es-ES"/>
              </w:rPr>
              <w:t>2.2.1.1.2.1.1</w:t>
            </w:r>
            <w:r w:rsidR="00BB7468">
              <w:rPr>
                <w:rFonts w:ascii="Verdana" w:eastAsia="Calibri" w:hAnsi="Verdana"/>
                <w:lang w:val="es-ES"/>
              </w:rPr>
              <w:t>,</w:t>
            </w:r>
            <w:r w:rsidRPr="007A0E81">
              <w:rPr>
                <w:rFonts w:ascii="Verdana" w:hAnsi="Verdana" w:cs="Arial"/>
              </w:rPr>
              <w:t xml:space="preserve"> 2.2.1.1.2.1.3. </w:t>
            </w:r>
          </w:p>
          <w:p w14:paraId="19D59472" w14:textId="77777777" w:rsidR="00EB51E4" w:rsidRPr="007A0E81" w:rsidRDefault="00EB51E4" w:rsidP="00EB51E4">
            <w:pPr>
              <w:widowControl w:val="0"/>
              <w:numPr>
                <w:ilvl w:val="0"/>
                <w:numId w:val="42"/>
              </w:numPr>
              <w:autoSpaceDE w:val="0"/>
              <w:autoSpaceDN w:val="0"/>
              <w:spacing w:after="120" w:line="276" w:lineRule="auto"/>
              <w:ind w:left="454" w:hanging="283"/>
              <w:contextualSpacing/>
              <w:jc w:val="both"/>
              <w:rPr>
                <w:rFonts w:ascii="Verdana" w:hAnsi="Verdana" w:cs="Arial"/>
                <w:lang w:val="es-MX"/>
              </w:rPr>
            </w:pPr>
            <w:r w:rsidRPr="007A0E81">
              <w:rPr>
                <w:rFonts w:ascii="Verdana" w:hAnsi="Verdana" w:cs="Arial"/>
              </w:rPr>
              <w:t>Sentencia del 12 de abril de 1978. Consejo de Estado. Sala Plena de lo Contencioso Administrativo C.P. Carlos Portocarrero Mutis. Exp. 355.</w:t>
            </w:r>
          </w:p>
          <w:p w14:paraId="2E3B0684" w14:textId="61461331" w:rsidR="001175E7" w:rsidRPr="000D446F" w:rsidRDefault="001175E7" w:rsidP="00EB51E4">
            <w:pPr>
              <w:pStyle w:val="Prrafodelista"/>
              <w:spacing w:line="276" w:lineRule="auto"/>
              <w:jc w:val="both"/>
              <w:rPr>
                <w:rFonts w:ascii="Verdana" w:hAnsi="Verdana" w:cs="Arial"/>
              </w:rPr>
            </w:pP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2F986AE0" w:rsidR="007E2389" w:rsidRPr="00AE7E03" w:rsidRDefault="001175E7" w:rsidP="007E2389">
      <w:pPr>
        <w:widowControl w:val="0"/>
        <w:autoSpaceDE w:val="0"/>
        <w:autoSpaceDN w:val="0"/>
        <w:spacing w:after="0" w:line="276" w:lineRule="auto"/>
        <w:jc w:val="both"/>
        <w:rPr>
          <w:rFonts w:ascii="Verdana" w:eastAsia="Arial" w:hAnsi="Verdana" w:cs="Arial"/>
          <w:lang w:val="es-MX" w:eastAsia="es-ES_tradnl"/>
        </w:rPr>
      </w:pPr>
      <w:r w:rsidRPr="00F4580E">
        <w:rPr>
          <w:rFonts w:ascii="Verdana" w:eastAsia="Calibri" w:hAnsi="Verdana" w:cs="Arial"/>
          <w:color w:val="000000" w:themeColor="text1"/>
          <w:lang w:eastAsia="es-ES_tradnl"/>
        </w:rPr>
        <w:t xml:space="preserve">La Agencia Nacional de Contratación Pública – Colombia Compra Eficiente </w:t>
      </w:r>
      <w:r w:rsidRPr="00F4580E">
        <w:rPr>
          <w:rFonts w:ascii="Verdana" w:eastAsia="Arial" w:hAnsi="Verdana" w:cs="Arial"/>
          <w:lang w:val="es-MX" w:eastAsia="es-ES_tradnl"/>
        </w:rPr>
        <w:t xml:space="preserve">se pronunció, en términos generales, sobre </w:t>
      </w:r>
      <w:r w:rsidR="00A95A1A">
        <w:rPr>
          <w:rFonts w:ascii="Verdana" w:eastAsia="Arial" w:hAnsi="Verdana" w:cs="Arial"/>
          <w:lang w:val="es-MX" w:eastAsia="es-ES_tradnl"/>
        </w:rPr>
        <w:t xml:space="preserve">el cómputo de términos en los conceptos </w:t>
      </w:r>
      <w:r w:rsidR="00A95A1A" w:rsidRPr="007A0E81">
        <w:rPr>
          <w:rFonts w:ascii="Verdana" w:hAnsi="Verdana" w:cs="Arial"/>
          <w:shd w:val="clear" w:color="auto" w:fill="FFFFFF"/>
        </w:rPr>
        <w:t xml:space="preserve">C - 734 de 2020 </w:t>
      </w:r>
      <w:r w:rsidR="00FC66D1">
        <w:rPr>
          <w:rFonts w:ascii="Verdana" w:hAnsi="Verdana" w:cs="Arial"/>
          <w:shd w:val="clear" w:color="auto" w:fill="FFFFFF"/>
        </w:rPr>
        <w:t xml:space="preserve">, </w:t>
      </w:r>
      <w:r w:rsidR="00A95A1A" w:rsidRPr="007A0E81">
        <w:rPr>
          <w:rFonts w:ascii="Verdana" w:hAnsi="Verdana" w:cs="Arial"/>
          <w:shd w:val="clear" w:color="auto" w:fill="FFFFFF"/>
        </w:rPr>
        <w:t>C-118 de 2021, C - 135 de 2022, C - 067 de 2023</w:t>
      </w:r>
      <w:r w:rsidR="00A95A1A">
        <w:rPr>
          <w:rFonts w:ascii="Verdana" w:hAnsi="Verdana" w:cs="Arial"/>
          <w:shd w:val="clear" w:color="auto" w:fill="FFFFFF"/>
        </w:rPr>
        <w:t xml:space="preserve">, C – 167 de 2024. </w:t>
      </w:r>
      <w:r w:rsidR="00A95A1A" w:rsidRPr="006849F1">
        <w:rPr>
          <w:rFonts w:ascii="Verdana" w:hAnsi="Verdana" w:cs="Arial"/>
          <w:shd w:val="clear" w:color="auto" w:fill="FFFFFF"/>
          <w:lang w:val="es-ES"/>
        </w:rPr>
        <w:t>Sobre la determinación del precio o valor en los contratos estatales se pronunció esta Subdirección en los conceptos</w:t>
      </w:r>
      <w:r w:rsidR="00A95A1A" w:rsidRPr="006849F1">
        <w:rPr>
          <w:rFonts w:ascii="Verdana" w:hAnsi="Verdana" w:cs="Calibri"/>
          <w:shd w:val="clear" w:color="auto" w:fill="FFFFFF"/>
        </w:rPr>
        <w:t xml:space="preserve"> </w:t>
      </w:r>
      <w:r w:rsidR="00A95A1A" w:rsidRPr="006849F1">
        <w:rPr>
          <w:rFonts w:ascii="Verdana" w:hAnsi="Verdana" w:cs="Arial"/>
          <w:shd w:val="clear" w:color="auto" w:fill="FFFFFF"/>
          <w:lang w:val="es-ES"/>
        </w:rPr>
        <w:t>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y C-288 del 14 de julio de 2023, entre otros</w:t>
      </w:r>
      <w:r w:rsidR="00F732FD">
        <w:rPr>
          <w:rFonts w:ascii="Verdana" w:eastAsia="Calibri" w:hAnsi="Verdana" w:cs="Arial"/>
          <w:lang w:val="es-ES" w:eastAsia="es-ES_tradnl"/>
        </w:rPr>
        <w:t>;</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lastRenderedPageBreak/>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672F9255" w:rsidR="00645CB7" w:rsidRDefault="00C47C2A" w:rsidP="00645CB7">
      <w:pPr>
        <w:spacing w:line="276" w:lineRule="auto"/>
        <w:jc w:val="center"/>
        <w:rPr>
          <w:rFonts w:ascii="Verdana" w:hAnsi="Verdana"/>
          <w:noProof/>
          <w:color w:val="000000"/>
        </w:rPr>
      </w:pPr>
      <w:r>
        <w:rPr>
          <w:noProof/>
        </w:rPr>
        <w:lastRenderedPageBreak/>
        <w:drawing>
          <wp:inline distT="0" distB="0" distL="0" distR="0" wp14:anchorId="4FE44779" wp14:editId="52F027D0">
            <wp:extent cx="3447415" cy="1479929"/>
            <wp:effectExtent l="0" t="0" r="635" b="6350"/>
            <wp:docPr id="3560607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3578" cy="14825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957146" w14:textId="2FF2A61A" w:rsidR="00E21BD1" w:rsidRPr="00E24803" w:rsidRDefault="0025065B" w:rsidP="00E21BD1">
            <w:pPr>
              <w:spacing w:line="276" w:lineRule="auto"/>
              <w:contextualSpacing/>
              <w:jc w:val="both"/>
              <w:rPr>
                <w:rFonts w:ascii="Verdana" w:hAnsi="Verdana"/>
                <w:sz w:val="16"/>
                <w:szCs w:val="16"/>
              </w:rPr>
            </w:pPr>
            <w:r>
              <w:rPr>
                <w:rFonts w:ascii="Verdana" w:hAnsi="Verdana"/>
                <w:sz w:val="16"/>
                <w:szCs w:val="16"/>
              </w:rPr>
              <w:t xml:space="preserve">Juan Carlos González </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2"/>
      <w:bookmarkEnd w:id="5"/>
      <w:bookmarkEnd w:id="6"/>
    </w:tbl>
    <w:p w14:paraId="0465BA6D" w14:textId="0795795F" w:rsidR="00E245AB" w:rsidRPr="0044528D" w:rsidRDefault="00E245AB" w:rsidP="00E245AB">
      <w:pPr>
        <w:spacing w:after="0"/>
        <w:rPr>
          <w:rFonts w:ascii="Verdana" w:hAnsi="Verdana"/>
        </w:rPr>
      </w:pPr>
    </w:p>
    <w:sectPr w:rsidR="00E245AB" w:rsidRPr="0044528D" w:rsidSect="00C03274">
      <w:headerReference w:type="even" r:id="rId17"/>
      <w:headerReference w:type="default" r:id="rId18"/>
      <w:footerReference w:type="even" r:id="rId19"/>
      <w:footerReference w:type="default" r:id="rId20"/>
      <w:pgSz w:w="12240" w:h="15840" w:code="1"/>
      <w:pgMar w:top="1417" w:right="1750" w:bottom="1417"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5BC15" w14:textId="77777777" w:rsidR="005839F6" w:rsidRDefault="005839F6" w:rsidP="004A1847">
      <w:pPr>
        <w:spacing w:after="0" w:line="240" w:lineRule="auto"/>
      </w:pPr>
      <w:r>
        <w:separator/>
      </w:r>
    </w:p>
  </w:endnote>
  <w:endnote w:type="continuationSeparator" w:id="0">
    <w:p w14:paraId="45EC30AA" w14:textId="77777777" w:rsidR="005839F6" w:rsidRDefault="005839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20787" w14:textId="77777777" w:rsidR="005839F6" w:rsidRDefault="005839F6" w:rsidP="004A1847">
      <w:pPr>
        <w:spacing w:after="0" w:line="240" w:lineRule="auto"/>
      </w:pPr>
      <w:r>
        <w:separator/>
      </w:r>
    </w:p>
  </w:footnote>
  <w:footnote w:type="continuationSeparator" w:id="0">
    <w:p w14:paraId="3315137A" w14:textId="77777777" w:rsidR="005839F6" w:rsidRDefault="005839F6" w:rsidP="004A1847">
      <w:pPr>
        <w:spacing w:after="0" w:line="240" w:lineRule="auto"/>
      </w:pPr>
      <w:r>
        <w:continuationSeparator/>
      </w:r>
    </w:p>
  </w:footnote>
  <w:footnote w:id="1">
    <w:p w14:paraId="2B63533D" w14:textId="77777777" w:rsidR="00FB4874" w:rsidRPr="00C63528" w:rsidRDefault="00FB4874" w:rsidP="00FB4874">
      <w:pPr>
        <w:pStyle w:val="Textonotapie"/>
        <w:rPr>
          <w:rFonts w:ascii="Verdana" w:hAnsi="Verdana"/>
          <w:sz w:val="16"/>
          <w:szCs w:val="16"/>
        </w:rPr>
      </w:pPr>
      <w:r w:rsidRPr="00C63528">
        <w:rPr>
          <w:rStyle w:val="Refdenotaalpie"/>
          <w:rFonts w:ascii="Verdana" w:hAnsi="Verdana"/>
          <w:sz w:val="16"/>
          <w:szCs w:val="16"/>
        </w:rPr>
        <w:footnoteRef/>
      </w:r>
      <w:r w:rsidRPr="00C63528">
        <w:rPr>
          <w:rFonts w:ascii="Verdana" w:hAnsi="Verdana"/>
          <w:sz w:val="16"/>
          <w:szCs w:val="16"/>
        </w:rPr>
        <w:t xml:space="preserve"> </w:t>
      </w:r>
      <w:r w:rsidRPr="00C63528">
        <w:rPr>
          <w:rFonts w:ascii="Verdana" w:hAnsi="Verdana" w:cs="Arial"/>
          <w:sz w:val="16"/>
          <w:szCs w:val="16"/>
        </w:rPr>
        <w:t>Cfr. Consejo de Estado, Sala de lo Contencioso Administrativo, Sección Tercera, sentencia de 3 de marzo de 2020,</w:t>
      </w:r>
      <w:r w:rsidRPr="00C63528">
        <w:rPr>
          <w:rFonts w:ascii="Verdana" w:hAnsi="Verdana" w:cs="Arial"/>
          <w:spacing w:val="1"/>
          <w:sz w:val="16"/>
          <w:szCs w:val="16"/>
        </w:rPr>
        <w:t xml:space="preserve"> </w:t>
      </w:r>
      <w:r w:rsidRPr="00C63528">
        <w:rPr>
          <w:rFonts w:ascii="Verdana" w:hAnsi="Verdana" w:cs="Arial"/>
          <w:sz w:val="16"/>
          <w:szCs w:val="16"/>
        </w:rPr>
        <w:t>exp.</w:t>
      </w:r>
      <w:r w:rsidRPr="00C63528">
        <w:rPr>
          <w:rFonts w:ascii="Verdana" w:hAnsi="Verdana" w:cs="Arial"/>
          <w:spacing w:val="-1"/>
          <w:sz w:val="16"/>
          <w:szCs w:val="16"/>
        </w:rPr>
        <w:t xml:space="preserve"> </w:t>
      </w:r>
      <w:r w:rsidRPr="00C63528">
        <w:rPr>
          <w:rFonts w:ascii="Verdana" w:hAnsi="Verdana" w:cs="Arial"/>
          <w:color w:val="333333"/>
          <w:sz w:val="16"/>
          <w:szCs w:val="16"/>
        </w:rPr>
        <w:t>5000-23-15-000-2004-02478-01(AG)REV</w:t>
      </w:r>
    </w:p>
  </w:footnote>
  <w:footnote w:id="2">
    <w:p w14:paraId="40DB77EB" w14:textId="77777777" w:rsidR="007F0C82" w:rsidRPr="00167C84" w:rsidRDefault="007F0C82" w:rsidP="007F0C82">
      <w:pPr>
        <w:pStyle w:val="Textonotapie"/>
        <w:ind w:firstLine="708"/>
        <w:jc w:val="both"/>
        <w:rPr>
          <w:rFonts w:ascii="Verdana" w:hAnsi="Verdana" w:cs="Arial"/>
          <w:color w:val="000000" w:themeColor="text1"/>
          <w:sz w:val="16"/>
          <w:szCs w:val="16"/>
          <w:lang w:val="es-ES"/>
        </w:rPr>
      </w:pPr>
      <w:r w:rsidRPr="00167C84">
        <w:rPr>
          <w:rStyle w:val="Refdenotaalpie"/>
          <w:rFonts w:ascii="Verdana" w:hAnsi="Verdana" w:cs="Arial"/>
          <w:color w:val="000000" w:themeColor="text1"/>
          <w:sz w:val="16"/>
          <w:szCs w:val="16"/>
        </w:rPr>
        <w:footnoteRef/>
      </w:r>
      <w:r w:rsidRPr="00167C84">
        <w:rPr>
          <w:rFonts w:ascii="Verdana" w:hAnsi="Verdana" w:cs="Arial"/>
          <w:color w:val="000000" w:themeColor="text1"/>
          <w:sz w:val="16"/>
          <w:szCs w:val="16"/>
        </w:rPr>
        <w:t xml:space="preserve"> </w:t>
      </w:r>
      <w:r w:rsidRPr="004779A0">
        <w:rPr>
          <w:rFonts w:ascii="Verdana" w:hAnsi="Verdana" w:cs="Arial"/>
          <w:color w:val="000000" w:themeColor="text1"/>
          <w:sz w:val="16"/>
          <w:szCs w:val="16"/>
        </w:rPr>
        <w:t xml:space="preserve">MARÍN CORTÉS, Fabian G., El precio. Serie: Las Cláusulas del Contrato Estatal, Ed. Jurídica Sánchez R. Bogotá, 2012. </w:t>
      </w:r>
      <w:r w:rsidRPr="00167C84">
        <w:rPr>
          <w:rFonts w:ascii="Verdana" w:hAnsi="Verdana" w:cs="Arial"/>
          <w:color w:val="000000" w:themeColor="text1"/>
          <w:sz w:val="16"/>
          <w:szCs w:val="16"/>
          <w:lang w:val="es-ES"/>
        </w:rPr>
        <w:t>pp. 64-65.</w:t>
      </w:r>
    </w:p>
  </w:footnote>
  <w:footnote w:id="3">
    <w:p w14:paraId="09B3EF7B" w14:textId="77777777" w:rsidR="007F0C82" w:rsidRPr="00167C84" w:rsidRDefault="007F0C82" w:rsidP="007F0C82">
      <w:pPr>
        <w:pStyle w:val="Textonotapie"/>
        <w:ind w:firstLine="708"/>
        <w:jc w:val="both"/>
        <w:rPr>
          <w:rFonts w:ascii="Verdana" w:hAnsi="Verdana" w:cs="Arial"/>
          <w:sz w:val="16"/>
          <w:szCs w:val="16"/>
          <w:lang w:val="es-CO"/>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4">
    <w:p w14:paraId="577A9272" w14:textId="77777777" w:rsidR="00CD211E" w:rsidRPr="00CD211E" w:rsidRDefault="00CD211E" w:rsidP="00CD211E">
      <w:pPr>
        <w:pStyle w:val="Textonotapie"/>
        <w:ind w:firstLine="709"/>
        <w:jc w:val="both"/>
        <w:rPr>
          <w:rFonts w:ascii="Verdana" w:hAnsi="Verdana"/>
          <w:sz w:val="16"/>
          <w:szCs w:val="16"/>
        </w:rPr>
      </w:pPr>
      <w:r w:rsidRPr="00CD211E">
        <w:rPr>
          <w:rStyle w:val="Refdenotaalpie"/>
          <w:rFonts w:ascii="Verdana" w:hAnsi="Verdana"/>
          <w:sz w:val="16"/>
          <w:szCs w:val="16"/>
        </w:rPr>
        <w:footnoteRef/>
      </w:r>
      <w:r w:rsidRPr="00CD211E">
        <w:rPr>
          <w:rFonts w:ascii="Verdana" w:hAnsi="Verdana"/>
          <w:sz w:val="16"/>
          <w:szCs w:val="16"/>
        </w:rPr>
        <w:t xml:space="preserve"> Consejo de Estado. Sección Tercera. Sentencia del 31 de agosto de 2011. Rad. No. 25000-23-26-000-1997-04390-01(18080),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56672276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63155480" name="Imagen 26315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098A5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67920820" o:spid="_x0000_i1025" type="#_x0000_t75" style="width:11.25pt;height:11.25pt;visibility:visible;mso-wrap-style:square">
            <v:imagedata r:id="rId1" o:title=""/>
          </v:shape>
        </w:pict>
      </mc:Choice>
      <mc:Fallback>
        <w:drawing>
          <wp:inline distT="0" distB="0" distL="0" distR="0" wp14:anchorId="7B852AAD" wp14:editId="3EC33A37">
            <wp:extent cx="142875" cy="142875"/>
            <wp:effectExtent l="0" t="0" r="0" b="0"/>
            <wp:docPr id="1967920820" name="Imagen 196792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6E3BA2"/>
    <w:multiLevelType w:val="hybridMultilevel"/>
    <w:tmpl w:val="45CAEB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10"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4"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6"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37A487D"/>
    <w:multiLevelType w:val="hybridMultilevel"/>
    <w:tmpl w:val="60CE2214"/>
    <w:lvl w:ilvl="0" w:tplc="ABECF95E">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521C5DE0">
      <w:numFmt w:val="bullet"/>
      <w:lvlText w:val="•"/>
      <w:lvlJc w:val="left"/>
      <w:pPr>
        <w:ind w:left="2050" w:hanging="360"/>
      </w:pPr>
      <w:rPr>
        <w:rFonts w:hint="default"/>
        <w:lang w:val="es-ES" w:eastAsia="en-US" w:bidi="ar-SA"/>
      </w:rPr>
    </w:lvl>
    <w:lvl w:ilvl="2" w:tplc="F8382576">
      <w:numFmt w:val="bullet"/>
      <w:lvlText w:val="•"/>
      <w:lvlJc w:val="left"/>
      <w:pPr>
        <w:ind w:left="2900" w:hanging="360"/>
      </w:pPr>
      <w:rPr>
        <w:rFonts w:hint="default"/>
        <w:lang w:val="es-ES" w:eastAsia="en-US" w:bidi="ar-SA"/>
      </w:rPr>
    </w:lvl>
    <w:lvl w:ilvl="3" w:tplc="622480D6">
      <w:numFmt w:val="bullet"/>
      <w:lvlText w:val="•"/>
      <w:lvlJc w:val="left"/>
      <w:pPr>
        <w:ind w:left="3750" w:hanging="360"/>
      </w:pPr>
      <w:rPr>
        <w:rFonts w:hint="default"/>
        <w:lang w:val="es-ES" w:eastAsia="en-US" w:bidi="ar-SA"/>
      </w:rPr>
    </w:lvl>
    <w:lvl w:ilvl="4" w:tplc="192E38FA">
      <w:numFmt w:val="bullet"/>
      <w:lvlText w:val="•"/>
      <w:lvlJc w:val="left"/>
      <w:pPr>
        <w:ind w:left="4600" w:hanging="360"/>
      </w:pPr>
      <w:rPr>
        <w:rFonts w:hint="default"/>
        <w:lang w:val="es-ES" w:eastAsia="en-US" w:bidi="ar-SA"/>
      </w:rPr>
    </w:lvl>
    <w:lvl w:ilvl="5" w:tplc="56F68ED2">
      <w:numFmt w:val="bullet"/>
      <w:lvlText w:val="•"/>
      <w:lvlJc w:val="left"/>
      <w:pPr>
        <w:ind w:left="5450" w:hanging="360"/>
      </w:pPr>
      <w:rPr>
        <w:rFonts w:hint="default"/>
        <w:lang w:val="es-ES" w:eastAsia="en-US" w:bidi="ar-SA"/>
      </w:rPr>
    </w:lvl>
    <w:lvl w:ilvl="6" w:tplc="A89044F6">
      <w:numFmt w:val="bullet"/>
      <w:lvlText w:val="•"/>
      <w:lvlJc w:val="left"/>
      <w:pPr>
        <w:ind w:left="6300" w:hanging="360"/>
      </w:pPr>
      <w:rPr>
        <w:rFonts w:hint="default"/>
        <w:lang w:val="es-ES" w:eastAsia="en-US" w:bidi="ar-SA"/>
      </w:rPr>
    </w:lvl>
    <w:lvl w:ilvl="7" w:tplc="06B0FF48">
      <w:numFmt w:val="bullet"/>
      <w:lvlText w:val="•"/>
      <w:lvlJc w:val="left"/>
      <w:pPr>
        <w:ind w:left="7150" w:hanging="360"/>
      </w:pPr>
      <w:rPr>
        <w:rFonts w:hint="default"/>
        <w:lang w:val="es-ES" w:eastAsia="en-US" w:bidi="ar-SA"/>
      </w:rPr>
    </w:lvl>
    <w:lvl w:ilvl="8" w:tplc="2B825FB2">
      <w:numFmt w:val="bullet"/>
      <w:lvlText w:val="•"/>
      <w:lvlJc w:val="left"/>
      <w:pPr>
        <w:ind w:left="8000" w:hanging="360"/>
      </w:pPr>
      <w:rPr>
        <w:rFonts w:hint="default"/>
        <w:lang w:val="es-ES" w:eastAsia="en-US" w:bidi="ar-SA"/>
      </w:rPr>
    </w:lvl>
  </w:abstractNum>
  <w:abstractNum w:abstractNumId="33"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7"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8"/>
  </w:num>
  <w:num w:numId="2" w16cid:durableId="19822139">
    <w:abstractNumId w:val="3"/>
  </w:num>
  <w:num w:numId="3" w16cid:durableId="876742304">
    <w:abstractNumId w:val="16"/>
  </w:num>
  <w:num w:numId="4" w16cid:durableId="2451864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42"/>
  </w:num>
  <w:num w:numId="7" w16cid:durableId="1946422806">
    <w:abstractNumId w:val="17"/>
  </w:num>
  <w:num w:numId="8" w16cid:durableId="152644682">
    <w:abstractNumId w:val="40"/>
  </w:num>
  <w:num w:numId="9" w16cid:durableId="1317221377">
    <w:abstractNumId w:val="20"/>
  </w:num>
  <w:num w:numId="10" w16cid:durableId="1471245386">
    <w:abstractNumId w:val="39"/>
  </w:num>
  <w:num w:numId="11" w16cid:durableId="289172385">
    <w:abstractNumId w:val="21"/>
  </w:num>
  <w:num w:numId="12" w16cid:durableId="1470781324">
    <w:abstractNumId w:val="1"/>
  </w:num>
  <w:num w:numId="13" w16cid:durableId="1512908409">
    <w:abstractNumId w:val="11"/>
  </w:num>
  <w:num w:numId="14" w16cid:durableId="895897244">
    <w:abstractNumId w:val="43"/>
  </w:num>
  <w:num w:numId="15" w16cid:durableId="390349800">
    <w:abstractNumId w:val="36"/>
  </w:num>
  <w:num w:numId="16" w16cid:durableId="1380713882">
    <w:abstractNumId w:val="0"/>
  </w:num>
  <w:num w:numId="17" w16cid:durableId="1528370592">
    <w:abstractNumId w:val="41"/>
  </w:num>
  <w:num w:numId="18" w16cid:durableId="1827160323">
    <w:abstractNumId w:val="30"/>
  </w:num>
  <w:num w:numId="19" w16cid:durableId="1341393406">
    <w:abstractNumId w:val="10"/>
  </w:num>
  <w:num w:numId="20" w16cid:durableId="14254217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4"/>
  </w:num>
  <w:num w:numId="23" w16cid:durableId="821585723">
    <w:abstractNumId w:val="48"/>
  </w:num>
  <w:num w:numId="24" w16cid:durableId="278218624">
    <w:abstractNumId w:val="28"/>
  </w:num>
  <w:num w:numId="25" w16cid:durableId="619844469">
    <w:abstractNumId w:val="4"/>
  </w:num>
  <w:num w:numId="26" w16cid:durableId="2032217959">
    <w:abstractNumId w:val="23"/>
  </w:num>
  <w:num w:numId="27" w16cid:durableId="1194152408">
    <w:abstractNumId w:val="6"/>
  </w:num>
  <w:num w:numId="28" w16cid:durableId="765926342">
    <w:abstractNumId w:val="9"/>
  </w:num>
  <w:num w:numId="29" w16cid:durableId="772895453">
    <w:abstractNumId w:val="37"/>
  </w:num>
  <w:num w:numId="30" w16cid:durableId="784039179">
    <w:abstractNumId w:val="44"/>
  </w:num>
  <w:num w:numId="31" w16cid:durableId="998077508">
    <w:abstractNumId w:val="26"/>
  </w:num>
  <w:num w:numId="32" w16cid:durableId="836310654">
    <w:abstractNumId w:val="5"/>
  </w:num>
  <w:num w:numId="33" w16cid:durableId="1178544198">
    <w:abstractNumId w:val="19"/>
  </w:num>
  <w:num w:numId="34" w16cid:durableId="449785796">
    <w:abstractNumId w:val="13"/>
  </w:num>
  <w:num w:numId="35" w16cid:durableId="558784917">
    <w:abstractNumId w:val="25"/>
  </w:num>
  <w:num w:numId="36" w16cid:durableId="679089576">
    <w:abstractNumId w:val="22"/>
  </w:num>
  <w:num w:numId="37" w16cid:durableId="1733503356">
    <w:abstractNumId w:val="38"/>
  </w:num>
  <w:num w:numId="38" w16cid:durableId="1982299905">
    <w:abstractNumId w:val="47"/>
  </w:num>
  <w:num w:numId="39" w16cid:durableId="718089256">
    <w:abstractNumId w:val="12"/>
  </w:num>
  <w:num w:numId="40" w16cid:durableId="1416318430">
    <w:abstractNumId w:val="46"/>
  </w:num>
  <w:num w:numId="41" w16cid:durableId="134764369">
    <w:abstractNumId w:val="45"/>
  </w:num>
  <w:num w:numId="42" w16cid:durableId="782461700">
    <w:abstractNumId w:val="29"/>
  </w:num>
  <w:num w:numId="43" w16cid:durableId="1726566718">
    <w:abstractNumId w:val="2"/>
  </w:num>
  <w:num w:numId="44" w16cid:durableId="1187794586">
    <w:abstractNumId w:val="24"/>
  </w:num>
  <w:num w:numId="45" w16cid:durableId="61874046">
    <w:abstractNumId w:val="35"/>
  </w:num>
  <w:num w:numId="46" w16cid:durableId="794831771">
    <w:abstractNumId w:val="8"/>
  </w:num>
  <w:num w:numId="47" w16cid:durableId="328875954">
    <w:abstractNumId w:val="33"/>
  </w:num>
  <w:num w:numId="48" w16cid:durableId="1942368513">
    <w:abstractNumId w:val="14"/>
  </w:num>
  <w:num w:numId="49" w16cid:durableId="1289359701">
    <w:abstractNumId w:val="7"/>
  </w:num>
  <w:num w:numId="50" w16cid:durableId="1511867854">
    <w:abstractNumId w:val="32"/>
  </w:num>
  <w:num w:numId="51" w16cid:durableId="2959864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4B0"/>
    <w:rsid w:val="00022742"/>
    <w:rsid w:val="00032690"/>
    <w:rsid w:val="00043043"/>
    <w:rsid w:val="0004364F"/>
    <w:rsid w:val="000446BC"/>
    <w:rsid w:val="0005032D"/>
    <w:rsid w:val="00052A7F"/>
    <w:rsid w:val="00061A32"/>
    <w:rsid w:val="00061B2A"/>
    <w:rsid w:val="00061DA5"/>
    <w:rsid w:val="00064D4C"/>
    <w:rsid w:val="00065774"/>
    <w:rsid w:val="00067974"/>
    <w:rsid w:val="000716C3"/>
    <w:rsid w:val="0008049C"/>
    <w:rsid w:val="000816DD"/>
    <w:rsid w:val="00082362"/>
    <w:rsid w:val="00083901"/>
    <w:rsid w:val="00087CE9"/>
    <w:rsid w:val="00091052"/>
    <w:rsid w:val="00097A44"/>
    <w:rsid w:val="000A683E"/>
    <w:rsid w:val="000B19B9"/>
    <w:rsid w:val="000B6628"/>
    <w:rsid w:val="000C3898"/>
    <w:rsid w:val="000D0334"/>
    <w:rsid w:val="000D5325"/>
    <w:rsid w:val="000D7C08"/>
    <w:rsid w:val="000E02CA"/>
    <w:rsid w:val="000F4D98"/>
    <w:rsid w:val="000F5B9C"/>
    <w:rsid w:val="000F6486"/>
    <w:rsid w:val="001175E7"/>
    <w:rsid w:val="00117E40"/>
    <w:rsid w:val="0012388D"/>
    <w:rsid w:val="00125105"/>
    <w:rsid w:val="001254C6"/>
    <w:rsid w:val="00127233"/>
    <w:rsid w:val="001318DA"/>
    <w:rsid w:val="0014445C"/>
    <w:rsid w:val="00145669"/>
    <w:rsid w:val="0015095D"/>
    <w:rsid w:val="00151862"/>
    <w:rsid w:val="00151D47"/>
    <w:rsid w:val="001561D6"/>
    <w:rsid w:val="001572FA"/>
    <w:rsid w:val="001643A7"/>
    <w:rsid w:val="001711B6"/>
    <w:rsid w:val="00171AE9"/>
    <w:rsid w:val="00174353"/>
    <w:rsid w:val="00185D70"/>
    <w:rsid w:val="001A13C1"/>
    <w:rsid w:val="001A661F"/>
    <w:rsid w:val="001A7C91"/>
    <w:rsid w:val="001B4F11"/>
    <w:rsid w:val="001B7AF4"/>
    <w:rsid w:val="001C4152"/>
    <w:rsid w:val="001C4F7E"/>
    <w:rsid w:val="001C5C4E"/>
    <w:rsid w:val="001C7BAE"/>
    <w:rsid w:val="001D4052"/>
    <w:rsid w:val="001D756C"/>
    <w:rsid w:val="001E1A15"/>
    <w:rsid w:val="001E4177"/>
    <w:rsid w:val="001E595E"/>
    <w:rsid w:val="001E5B16"/>
    <w:rsid w:val="001F0FB2"/>
    <w:rsid w:val="001F6D8D"/>
    <w:rsid w:val="001F7DC6"/>
    <w:rsid w:val="001F7E1D"/>
    <w:rsid w:val="00201766"/>
    <w:rsid w:val="0020467F"/>
    <w:rsid w:val="002121EB"/>
    <w:rsid w:val="002221DA"/>
    <w:rsid w:val="00232683"/>
    <w:rsid w:val="00237F82"/>
    <w:rsid w:val="002421BB"/>
    <w:rsid w:val="0025065B"/>
    <w:rsid w:val="00250743"/>
    <w:rsid w:val="002520F5"/>
    <w:rsid w:val="0025398C"/>
    <w:rsid w:val="0025796E"/>
    <w:rsid w:val="002707A2"/>
    <w:rsid w:val="00272513"/>
    <w:rsid w:val="00276797"/>
    <w:rsid w:val="002933DA"/>
    <w:rsid w:val="002951A0"/>
    <w:rsid w:val="002962BC"/>
    <w:rsid w:val="002A093D"/>
    <w:rsid w:val="002A0DD0"/>
    <w:rsid w:val="002A1B06"/>
    <w:rsid w:val="002A4677"/>
    <w:rsid w:val="002A49AC"/>
    <w:rsid w:val="002A64FD"/>
    <w:rsid w:val="002B0930"/>
    <w:rsid w:val="002C4A72"/>
    <w:rsid w:val="002C4D91"/>
    <w:rsid w:val="002C7A84"/>
    <w:rsid w:val="002E22F1"/>
    <w:rsid w:val="002E315F"/>
    <w:rsid w:val="002E4FD9"/>
    <w:rsid w:val="00306C5A"/>
    <w:rsid w:val="003071CA"/>
    <w:rsid w:val="003103F2"/>
    <w:rsid w:val="003149A7"/>
    <w:rsid w:val="00322A85"/>
    <w:rsid w:val="00324168"/>
    <w:rsid w:val="00335DDC"/>
    <w:rsid w:val="00340C01"/>
    <w:rsid w:val="003448F4"/>
    <w:rsid w:val="00355F0B"/>
    <w:rsid w:val="00362EC9"/>
    <w:rsid w:val="0036753A"/>
    <w:rsid w:val="00367C99"/>
    <w:rsid w:val="00374F5E"/>
    <w:rsid w:val="00376A90"/>
    <w:rsid w:val="00376CD8"/>
    <w:rsid w:val="00377C80"/>
    <w:rsid w:val="00377E3E"/>
    <w:rsid w:val="003838FF"/>
    <w:rsid w:val="0038437E"/>
    <w:rsid w:val="00385998"/>
    <w:rsid w:val="00391C8E"/>
    <w:rsid w:val="00391EB2"/>
    <w:rsid w:val="0039733E"/>
    <w:rsid w:val="003A26D1"/>
    <w:rsid w:val="003A2ECF"/>
    <w:rsid w:val="003A779E"/>
    <w:rsid w:val="003B3410"/>
    <w:rsid w:val="003C28D0"/>
    <w:rsid w:val="003C3A88"/>
    <w:rsid w:val="003C3E5C"/>
    <w:rsid w:val="003D0F4D"/>
    <w:rsid w:val="003D5B0D"/>
    <w:rsid w:val="003E0499"/>
    <w:rsid w:val="003E41C3"/>
    <w:rsid w:val="003E6F3F"/>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47CD"/>
    <w:rsid w:val="00456F45"/>
    <w:rsid w:val="00461E0F"/>
    <w:rsid w:val="004634BD"/>
    <w:rsid w:val="00471626"/>
    <w:rsid w:val="0047280E"/>
    <w:rsid w:val="004735E5"/>
    <w:rsid w:val="00481285"/>
    <w:rsid w:val="0048714C"/>
    <w:rsid w:val="00491ED8"/>
    <w:rsid w:val="004A1847"/>
    <w:rsid w:val="004A305D"/>
    <w:rsid w:val="004A7B64"/>
    <w:rsid w:val="004E0A42"/>
    <w:rsid w:val="004E2AB9"/>
    <w:rsid w:val="004F21C4"/>
    <w:rsid w:val="004F56BF"/>
    <w:rsid w:val="004F685F"/>
    <w:rsid w:val="005013A6"/>
    <w:rsid w:val="0051501A"/>
    <w:rsid w:val="00521153"/>
    <w:rsid w:val="00526E69"/>
    <w:rsid w:val="00540088"/>
    <w:rsid w:val="0055375E"/>
    <w:rsid w:val="005566E8"/>
    <w:rsid w:val="00566D40"/>
    <w:rsid w:val="00574867"/>
    <w:rsid w:val="00574CB1"/>
    <w:rsid w:val="0058374D"/>
    <w:rsid w:val="00583765"/>
    <w:rsid w:val="005839F6"/>
    <w:rsid w:val="00591460"/>
    <w:rsid w:val="00592628"/>
    <w:rsid w:val="005B55C4"/>
    <w:rsid w:val="005C1B4D"/>
    <w:rsid w:val="005C1E4D"/>
    <w:rsid w:val="005C3777"/>
    <w:rsid w:val="005C5CDC"/>
    <w:rsid w:val="005C5FD0"/>
    <w:rsid w:val="005C74BA"/>
    <w:rsid w:val="005D2DA6"/>
    <w:rsid w:val="005D476C"/>
    <w:rsid w:val="005D5319"/>
    <w:rsid w:val="005E62E2"/>
    <w:rsid w:val="005F7B58"/>
    <w:rsid w:val="00600FA2"/>
    <w:rsid w:val="00601B7E"/>
    <w:rsid w:val="00601CDD"/>
    <w:rsid w:val="00606078"/>
    <w:rsid w:val="00610812"/>
    <w:rsid w:val="006133A3"/>
    <w:rsid w:val="006173C6"/>
    <w:rsid w:val="006219F8"/>
    <w:rsid w:val="006221A8"/>
    <w:rsid w:val="00642AA4"/>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0B44"/>
    <w:rsid w:val="006D12F8"/>
    <w:rsid w:val="006D3648"/>
    <w:rsid w:val="006E790E"/>
    <w:rsid w:val="006F3640"/>
    <w:rsid w:val="00706C16"/>
    <w:rsid w:val="007118A7"/>
    <w:rsid w:val="00712B92"/>
    <w:rsid w:val="00722741"/>
    <w:rsid w:val="00724B22"/>
    <w:rsid w:val="007256D5"/>
    <w:rsid w:val="007271E0"/>
    <w:rsid w:val="00744E12"/>
    <w:rsid w:val="00756841"/>
    <w:rsid w:val="00757DEA"/>
    <w:rsid w:val="007630C8"/>
    <w:rsid w:val="007649AB"/>
    <w:rsid w:val="00770CA1"/>
    <w:rsid w:val="00770D74"/>
    <w:rsid w:val="00771D0C"/>
    <w:rsid w:val="00771EEC"/>
    <w:rsid w:val="00775EFA"/>
    <w:rsid w:val="007833AC"/>
    <w:rsid w:val="00783B11"/>
    <w:rsid w:val="007866A8"/>
    <w:rsid w:val="00791488"/>
    <w:rsid w:val="00793192"/>
    <w:rsid w:val="007937A8"/>
    <w:rsid w:val="00794660"/>
    <w:rsid w:val="007964E2"/>
    <w:rsid w:val="007A4461"/>
    <w:rsid w:val="007A663E"/>
    <w:rsid w:val="007B268C"/>
    <w:rsid w:val="007B61BA"/>
    <w:rsid w:val="007B7171"/>
    <w:rsid w:val="007B7897"/>
    <w:rsid w:val="007C0C0F"/>
    <w:rsid w:val="007C3DC2"/>
    <w:rsid w:val="007C4B5D"/>
    <w:rsid w:val="007D0253"/>
    <w:rsid w:val="007D1FA5"/>
    <w:rsid w:val="007D5768"/>
    <w:rsid w:val="007E2389"/>
    <w:rsid w:val="007E4150"/>
    <w:rsid w:val="007E5497"/>
    <w:rsid w:val="007F0C82"/>
    <w:rsid w:val="007F5013"/>
    <w:rsid w:val="007F56E0"/>
    <w:rsid w:val="0080518E"/>
    <w:rsid w:val="00806F5F"/>
    <w:rsid w:val="00811ADC"/>
    <w:rsid w:val="00820278"/>
    <w:rsid w:val="008245EB"/>
    <w:rsid w:val="008378C3"/>
    <w:rsid w:val="00842E01"/>
    <w:rsid w:val="00845A8D"/>
    <w:rsid w:val="00847CCC"/>
    <w:rsid w:val="00851635"/>
    <w:rsid w:val="0085720E"/>
    <w:rsid w:val="008677DE"/>
    <w:rsid w:val="008734E3"/>
    <w:rsid w:val="0088110E"/>
    <w:rsid w:val="008843B6"/>
    <w:rsid w:val="00887676"/>
    <w:rsid w:val="008915A6"/>
    <w:rsid w:val="00891928"/>
    <w:rsid w:val="008A446D"/>
    <w:rsid w:val="008A68DE"/>
    <w:rsid w:val="008A772E"/>
    <w:rsid w:val="008C0A2F"/>
    <w:rsid w:val="008C40EF"/>
    <w:rsid w:val="008D180B"/>
    <w:rsid w:val="008D1C73"/>
    <w:rsid w:val="008E712D"/>
    <w:rsid w:val="008F0EA7"/>
    <w:rsid w:val="008F4339"/>
    <w:rsid w:val="008F43BA"/>
    <w:rsid w:val="008F7D92"/>
    <w:rsid w:val="00901B56"/>
    <w:rsid w:val="00903114"/>
    <w:rsid w:val="009041A0"/>
    <w:rsid w:val="009143F1"/>
    <w:rsid w:val="00920710"/>
    <w:rsid w:val="00920D0D"/>
    <w:rsid w:val="00922211"/>
    <w:rsid w:val="00922EAB"/>
    <w:rsid w:val="00923EEF"/>
    <w:rsid w:val="00927F89"/>
    <w:rsid w:val="00936797"/>
    <w:rsid w:val="009419F9"/>
    <w:rsid w:val="00943A3B"/>
    <w:rsid w:val="00955A30"/>
    <w:rsid w:val="00955D18"/>
    <w:rsid w:val="0095685E"/>
    <w:rsid w:val="00957F2D"/>
    <w:rsid w:val="009608D9"/>
    <w:rsid w:val="00961B09"/>
    <w:rsid w:val="00965334"/>
    <w:rsid w:val="0097093E"/>
    <w:rsid w:val="00977B0C"/>
    <w:rsid w:val="00981DDD"/>
    <w:rsid w:val="009A0DFA"/>
    <w:rsid w:val="009A7CC9"/>
    <w:rsid w:val="009B2421"/>
    <w:rsid w:val="009B28FC"/>
    <w:rsid w:val="009B2D26"/>
    <w:rsid w:val="009B3357"/>
    <w:rsid w:val="009B36E7"/>
    <w:rsid w:val="009C547E"/>
    <w:rsid w:val="009C71FA"/>
    <w:rsid w:val="009C72E7"/>
    <w:rsid w:val="009D04B0"/>
    <w:rsid w:val="009D05E0"/>
    <w:rsid w:val="009D3058"/>
    <w:rsid w:val="009D4E8D"/>
    <w:rsid w:val="009D7B43"/>
    <w:rsid w:val="009F3A13"/>
    <w:rsid w:val="009F6593"/>
    <w:rsid w:val="00A122D3"/>
    <w:rsid w:val="00A17F13"/>
    <w:rsid w:val="00A20739"/>
    <w:rsid w:val="00A214DF"/>
    <w:rsid w:val="00A27867"/>
    <w:rsid w:val="00A33C78"/>
    <w:rsid w:val="00A3710E"/>
    <w:rsid w:val="00A42AAE"/>
    <w:rsid w:val="00A519A0"/>
    <w:rsid w:val="00A52DE7"/>
    <w:rsid w:val="00A61860"/>
    <w:rsid w:val="00A644E0"/>
    <w:rsid w:val="00A65B78"/>
    <w:rsid w:val="00A80320"/>
    <w:rsid w:val="00A80691"/>
    <w:rsid w:val="00A8229A"/>
    <w:rsid w:val="00A9310E"/>
    <w:rsid w:val="00A94103"/>
    <w:rsid w:val="00A95A1A"/>
    <w:rsid w:val="00AA2B1E"/>
    <w:rsid w:val="00AA6478"/>
    <w:rsid w:val="00AA7047"/>
    <w:rsid w:val="00AB0ADB"/>
    <w:rsid w:val="00AB2AC1"/>
    <w:rsid w:val="00AB5A54"/>
    <w:rsid w:val="00AC0B6D"/>
    <w:rsid w:val="00AC1F25"/>
    <w:rsid w:val="00AD1BDE"/>
    <w:rsid w:val="00AE7B20"/>
    <w:rsid w:val="00AE7D3D"/>
    <w:rsid w:val="00AE7E03"/>
    <w:rsid w:val="00AF4209"/>
    <w:rsid w:val="00AF79BC"/>
    <w:rsid w:val="00B00188"/>
    <w:rsid w:val="00B01B1A"/>
    <w:rsid w:val="00B05B83"/>
    <w:rsid w:val="00B07859"/>
    <w:rsid w:val="00B115DB"/>
    <w:rsid w:val="00B33517"/>
    <w:rsid w:val="00B37A90"/>
    <w:rsid w:val="00B405A3"/>
    <w:rsid w:val="00B41F49"/>
    <w:rsid w:val="00B44494"/>
    <w:rsid w:val="00B44EF8"/>
    <w:rsid w:val="00B539CD"/>
    <w:rsid w:val="00B5477C"/>
    <w:rsid w:val="00B62DDE"/>
    <w:rsid w:val="00B62FCA"/>
    <w:rsid w:val="00B72CD3"/>
    <w:rsid w:val="00B72FFF"/>
    <w:rsid w:val="00B75709"/>
    <w:rsid w:val="00B75E24"/>
    <w:rsid w:val="00B84717"/>
    <w:rsid w:val="00B96BEA"/>
    <w:rsid w:val="00BA0D07"/>
    <w:rsid w:val="00BB6888"/>
    <w:rsid w:val="00BB7468"/>
    <w:rsid w:val="00BC3D36"/>
    <w:rsid w:val="00BC4CD4"/>
    <w:rsid w:val="00BD77C4"/>
    <w:rsid w:val="00BD7F72"/>
    <w:rsid w:val="00BE6BAA"/>
    <w:rsid w:val="00BF099A"/>
    <w:rsid w:val="00BF3D94"/>
    <w:rsid w:val="00BF7F57"/>
    <w:rsid w:val="00C03274"/>
    <w:rsid w:val="00C04307"/>
    <w:rsid w:val="00C04FB3"/>
    <w:rsid w:val="00C11F4C"/>
    <w:rsid w:val="00C127E0"/>
    <w:rsid w:val="00C21782"/>
    <w:rsid w:val="00C259CE"/>
    <w:rsid w:val="00C26925"/>
    <w:rsid w:val="00C330EB"/>
    <w:rsid w:val="00C42100"/>
    <w:rsid w:val="00C45B33"/>
    <w:rsid w:val="00C47C2A"/>
    <w:rsid w:val="00C57C83"/>
    <w:rsid w:val="00C63528"/>
    <w:rsid w:val="00C63E0F"/>
    <w:rsid w:val="00C73838"/>
    <w:rsid w:val="00C741DC"/>
    <w:rsid w:val="00C754BE"/>
    <w:rsid w:val="00C76B1C"/>
    <w:rsid w:val="00C83C0F"/>
    <w:rsid w:val="00C8442F"/>
    <w:rsid w:val="00C903DE"/>
    <w:rsid w:val="00C90ADE"/>
    <w:rsid w:val="00CA2A7C"/>
    <w:rsid w:val="00CA31BC"/>
    <w:rsid w:val="00CB6357"/>
    <w:rsid w:val="00CC02E3"/>
    <w:rsid w:val="00CC1B26"/>
    <w:rsid w:val="00CC277F"/>
    <w:rsid w:val="00CC28C9"/>
    <w:rsid w:val="00CD1B6E"/>
    <w:rsid w:val="00CD211E"/>
    <w:rsid w:val="00CD4A54"/>
    <w:rsid w:val="00CD5214"/>
    <w:rsid w:val="00D16132"/>
    <w:rsid w:val="00D261F9"/>
    <w:rsid w:val="00D423A2"/>
    <w:rsid w:val="00D520D8"/>
    <w:rsid w:val="00D5776D"/>
    <w:rsid w:val="00D63AC2"/>
    <w:rsid w:val="00D71ACD"/>
    <w:rsid w:val="00D7383B"/>
    <w:rsid w:val="00D76D09"/>
    <w:rsid w:val="00D95A26"/>
    <w:rsid w:val="00DA022D"/>
    <w:rsid w:val="00DA0B2B"/>
    <w:rsid w:val="00DA0E60"/>
    <w:rsid w:val="00DA231B"/>
    <w:rsid w:val="00DA23A0"/>
    <w:rsid w:val="00DA2CA2"/>
    <w:rsid w:val="00DB29E1"/>
    <w:rsid w:val="00DB7D44"/>
    <w:rsid w:val="00DC1E19"/>
    <w:rsid w:val="00DC2958"/>
    <w:rsid w:val="00DC39FC"/>
    <w:rsid w:val="00DC6DE3"/>
    <w:rsid w:val="00DE2464"/>
    <w:rsid w:val="00DE3616"/>
    <w:rsid w:val="00DE3A63"/>
    <w:rsid w:val="00DF0103"/>
    <w:rsid w:val="00DF1B0E"/>
    <w:rsid w:val="00DF5254"/>
    <w:rsid w:val="00DF691D"/>
    <w:rsid w:val="00DF7F54"/>
    <w:rsid w:val="00E005E5"/>
    <w:rsid w:val="00E13277"/>
    <w:rsid w:val="00E136A2"/>
    <w:rsid w:val="00E16382"/>
    <w:rsid w:val="00E16408"/>
    <w:rsid w:val="00E20894"/>
    <w:rsid w:val="00E21BD1"/>
    <w:rsid w:val="00E245AB"/>
    <w:rsid w:val="00E2764C"/>
    <w:rsid w:val="00E27F2E"/>
    <w:rsid w:val="00E362C7"/>
    <w:rsid w:val="00E36FC5"/>
    <w:rsid w:val="00E413EA"/>
    <w:rsid w:val="00E41CC9"/>
    <w:rsid w:val="00E447AD"/>
    <w:rsid w:val="00E4598B"/>
    <w:rsid w:val="00E5035C"/>
    <w:rsid w:val="00E50AFE"/>
    <w:rsid w:val="00E52602"/>
    <w:rsid w:val="00E5566A"/>
    <w:rsid w:val="00E56422"/>
    <w:rsid w:val="00E6781E"/>
    <w:rsid w:val="00E70010"/>
    <w:rsid w:val="00E7019A"/>
    <w:rsid w:val="00E75C92"/>
    <w:rsid w:val="00E76DDA"/>
    <w:rsid w:val="00E771DC"/>
    <w:rsid w:val="00E810A0"/>
    <w:rsid w:val="00E845F4"/>
    <w:rsid w:val="00E8671A"/>
    <w:rsid w:val="00E8772A"/>
    <w:rsid w:val="00E90F6B"/>
    <w:rsid w:val="00E915FA"/>
    <w:rsid w:val="00E92C27"/>
    <w:rsid w:val="00EA0E3D"/>
    <w:rsid w:val="00EA7B0A"/>
    <w:rsid w:val="00EB08FB"/>
    <w:rsid w:val="00EB3CD8"/>
    <w:rsid w:val="00EB51E4"/>
    <w:rsid w:val="00EB7D13"/>
    <w:rsid w:val="00EC38A7"/>
    <w:rsid w:val="00EC4550"/>
    <w:rsid w:val="00ED291B"/>
    <w:rsid w:val="00ED58AB"/>
    <w:rsid w:val="00EE1AA8"/>
    <w:rsid w:val="00EF40D2"/>
    <w:rsid w:val="00EF4E84"/>
    <w:rsid w:val="00EF64BA"/>
    <w:rsid w:val="00F141D2"/>
    <w:rsid w:val="00F31EDC"/>
    <w:rsid w:val="00F45BF2"/>
    <w:rsid w:val="00F462B3"/>
    <w:rsid w:val="00F51BC1"/>
    <w:rsid w:val="00F5664F"/>
    <w:rsid w:val="00F6131B"/>
    <w:rsid w:val="00F621E3"/>
    <w:rsid w:val="00F666C4"/>
    <w:rsid w:val="00F732FD"/>
    <w:rsid w:val="00F73C01"/>
    <w:rsid w:val="00F76AFC"/>
    <w:rsid w:val="00F81493"/>
    <w:rsid w:val="00F84B83"/>
    <w:rsid w:val="00F85A79"/>
    <w:rsid w:val="00F912A0"/>
    <w:rsid w:val="00F930CF"/>
    <w:rsid w:val="00FA0CF8"/>
    <w:rsid w:val="00FA47C0"/>
    <w:rsid w:val="00FA738A"/>
    <w:rsid w:val="00FA7560"/>
    <w:rsid w:val="00FB4874"/>
    <w:rsid w:val="00FB5C6A"/>
    <w:rsid w:val="00FB5CB7"/>
    <w:rsid w:val="00FB5DD1"/>
    <w:rsid w:val="00FB67C7"/>
    <w:rsid w:val="00FB76D0"/>
    <w:rsid w:val="00FB7EA8"/>
    <w:rsid w:val="00FC2B5D"/>
    <w:rsid w:val="00FC569F"/>
    <w:rsid w:val="00FC66D1"/>
    <w:rsid w:val="00FD1A7E"/>
    <w:rsid w:val="00FE27F2"/>
    <w:rsid w:val="00FE5E06"/>
    <w:rsid w:val="00FE66BE"/>
    <w:rsid w:val="00FF1449"/>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 w:type="paragraph" w:customStyle="1" w:styleId="Car1">
    <w:name w:val="Car1"/>
    <w:basedOn w:val="Normal"/>
    <w:next w:val="Textonotapie"/>
    <w:uiPriority w:val="99"/>
    <w:unhideWhenUsed/>
    <w:qFormat/>
    <w:rsid w:val="00237F82"/>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0192BA4-D531-4862-BB50-07E4C3D749CA}"/>
</file>

<file path=docProps/app.xml><?xml version="1.0" encoding="utf-8"?>
<Properties xmlns="http://schemas.openxmlformats.org/officeDocument/2006/extended-properties" xmlns:vt="http://schemas.openxmlformats.org/officeDocument/2006/docPropsVTypes">
  <Template>Normal</Template>
  <TotalTime>5444</TotalTime>
  <Pages>19</Pages>
  <Words>5784</Words>
  <Characters>31812</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122</cp:revision>
  <cp:lastPrinted>2023-01-10T21:18:00Z</cp:lastPrinted>
  <dcterms:created xsi:type="dcterms:W3CDTF">2024-12-12T15:03:00Z</dcterms:created>
  <dcterms:modified xsi:type="dcterms:W3CDTF">2025-05-16T18:58:00Z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