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6153" w14:textId="77777777" w:rsidR="00293EEA" w:rsidRPr="004C0FC1" w:rsidRDefault="00293EEA" w:rsidP="00293EEA">
      <w:pPr>
        <w:spacing w:after="0" w:line="240" w:lineRule="auto"/>
        <w:rPr>
          <w:rFonts w:ascii="Verdana" w:eastAsia="Times New Roman" w:hAnsi="Verdana" w:cs="Arial"/>
          <w:b/>
        </w:rPr>
      </w:pPr>
      <w:bookmarkStart w:id="0" w:name="_Hlk143780582"/>
      <w:r w:rsidRPr="004C0FC1">
        <w:rPr>
          <w:rFonts w:ascii="Verdana" w:eastAsia="Times New Roman" w:hAnsi="Verdana" w:cs="Arial"/>
          <w:b/>
        </w:rPr>
        <w:t>DOCUMENTOS TIPO – Fundamento Normativo –Ley 2022 de 2020</w:t>
      </w:r>
    </w:p>
    <w:p w14:paraId="75F09F44" w14:textId="77777777" w:rsidR="00293EEA" w:rsidRPr="006C6672" w:rsidRDefault="00293EEA" w:rsidP="00293EEA">
      <w:pPr>
        <w:spacing w:after="0" w:line="240" w:lineRule="auto"/>
        <w:rPr>
          <w:rFonts w:ascii="Verdana" w:eastAsia="Times New Roman" w:hAnsi="Verdana" w:cs="Arial"/>
          <w:bCs/>
          <w:sz w:val="20"/>
          <w:szCs w:val="20"/>
        </w:rPr>
      </w:pPr>
    </w:p>
    <w:p w14:paraId="2B1AE60C" w14:textId="77777777" w:rsidR="00293EEA" w:rsidRPr="006C6672" w:rsidRDefault="00293EEA" w:rsidP="00293EEA">
      <w:pPr>
        <w:spacing w:after="0" w:line="276" w:lineRule="auto"/>
        <w:jc w:val="both"/>
        <w:rPr>
          <w:rFonts w:ascii="Verdana" w:eastAsia="Times New Roman" w:hAnsi="Verdana" w:cs="Arial"/>
          <w:bCs/>
          <w:sz w:val="20"/>
          <w:szCs w:val="20"/>
        </w:rPr>
      </w:pPr>
      <w:r w:rsidRPr="006C6672">
        <w:rPr>
          <w:rFonts w:ascii="Verdana" w:eastAsia="Times New Roman" w:hAnsi="Verdana" w:cs="Arial"/>
          <w:bCs/>
          <w:sz w:val="20"/>
          <w:szCs w:val="20"/>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41F81507" w14:textId="77777777" w:rsidR="00293EEA" w:rsidRDefault="00293EEA" w:rsidP="00293EEA">
      <w:pPr>
        <w:spacing w:after="0" w:line="240" w:lineRule="auto"/>
        <w:jc w:val="both"/>
        <w:rPr>
          <w:rFonts w:ascii="Verdana" w:eastAsia="Geomanist Light" w:hAnsi="Verdana" w:cs="Arial"/>
          <w:b/>
          <w:bCs/>
          <w:lang w:val="es-ES"/>
        </w:rPr>
      </w:pPr>
    </w:p>
    <w:p w14:paraId="654B8FFF" w14:textId="77777777" w:rsidR="00293EEA" w:rsidRDefault="00293EEA" w:rsidP="00293EEA">
      <w:pPr>
        <w:spacing w:after="0"/>
        <w:jc w:val="both"/>
        <w:rPr>
          <w:rFonts w:ascii="Verdana" w:eastAsia="Times New Roman" w:hAnsi="Verdana" w:cs="Arial"/>
          <w:bCs/>
          <w:sz w:val="20"/>
          <w:szCs w:val="20"/>
        </w:rPr>
      </w:pPr>
    </w:p>
    <w:p w14:paraId="1EE01D67" w14:textId="77777777" w:rsidR="00293EEA" w:rsidRPr="004C0FC1" w:rsidRDefault="00293EEA" w:rsidP="00293EEA">
      <w:pPr>
        <w:spacing w:after="0" w:line="276" w:lineRule="auto"/>
        <w:jc w:val="both"/>
        <w:rPr>
          <w:rFonts w:ascii="Verdana" w:eastAsia="Times New Roman" w:hAnsi="Verdana" w:cs="Arial"/>
          <w:b/>
          <w:bCs/>
        </w:rPr>
      </w:pPr>
      <w:r w:rsidRPr="004C0FC1">
        <w:rPr>
          <w:rFonts w:ascii="Verdana" w:eastAsia="Times New Roman" w:hAnsi="Verdana" w:cs="Arial"/>
          <w:b/>
          <w:lang w:val="es-MX"/>
        </w:rPr>
        <w:t xml:space="preserve">DOCUMENTOS TIPO – Infraestructura social </w:t>
      </w:r>
      <w:r w:rsidRPr="004C0FC1">
        <w:rPr>
          <w:rFonts w:ascii="Verdana" w:eastAsia="Times New Roman" w:hAnsi="Verdana" w:cs="Arial"/>
          <w:b/>
          <w:bCs/>
        </w:rPr>
        <w:t>– Sector educativo, salud y cultura, recreación y deporte.</w:t>
      </w:r>
    </w:p>
    <w:p w14:paraId="16D4C440" w14:textId="77777777" w:rsidR="00293EEA" w:rsidRPr="003F4D48" w:rsidRDefault="00293EEA" w:rsidP="00293EEA">
      <w:pPr>
        <w:spacing w:after="0" w:line="276" w:lineRule="auto"/>
        <w:jc w:val="both"/>
        <w:rPr>
          <w:rFonts w:ascii="Verdana" w:eastAsia="Times New Roman" w:hAnsi="Verdana" w:cs="Arial"/>
          <w:b/>
          <w:bCs/>
          <w:sz w:val="20"/>
          <w:szCs w:val="20"/>
        </w:rPr>
      </w:pPr>
    </w:p>
    <w:p w14:paraId="7B7977D4" w14:textId="77777777" w:rsidR="00293EEA" w:rsidRPr="003F4D48" w:rsidRDefault="00293EEA" w:rsidP="00293EEA">
      <w:pPr>
        <w:spacing w:after="0" w:line="276" w:lineRule="auto"/>
        <w:jc w:val="both"/>
        <w:rPr>
          <w:rFonts w:ascii="Verdana" w:eastAsia="Times New Roman" w:hAnsi="Verdana" w:cs="Arial"/>
          <w:bCs/>
          <w:sz w:val="20"/>
          <w:szCs w:val="20"/>
        </w:rPr>
      </w:pPr>
      <w:r w:rsidRPr="003F4D48">
        <w:rPr>
          <w:rFonts w:ascii="Verdana" w:eastAsia="Times New Roman" w:hAnsi="Verdana" w:cs="Arial"/>
          <w:bCs/>
          <w:sz w:val="20"/>
          <w:szCs w:val="20"/>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p>
    <w:p w14:paraId="7DF70323" w14:textId="77777777" w:rsidR="00293EEA" w:rsidRPr="003F4D48" w:rsidRDefault="00293EEA" w:rsidP="00293EEA">
      <w:pPr>
        <w:spacing w:after="0" w:line="276" w:lineRule="auto"/>
        <w:jc w:val="both"/>
        <w:rPr>
          <w:rFonts w:ascii="Verdana" w:eastAsia="Times New Roman" w:hAnsi="Verdana" w:cs="Arial"/>
          <w:bCs/>
          <w:sz w:val="20"/>
          <w:szCs w:val="20"/>
        </w:rPr>
      </w:pPr>
      <w:r w:rsidRPr="003F4D48">
        <w:rPr>
          <w:rFonts w:ascii="Verdana" w:eastAsia="Times New Roman" w:hAnsi="Verdana" w:cs="Arial"/>
          <w:bCs/>
          <w:sz w:val="20"/>
          <w:szCs w:val="20"/>
        </w:rPr>
        <w:tab/>
      </w:r>
    </w:p>
    <w:p w14:paraId="08405120" w14:textId="77777777" w:rsidR="00293EEA" w:rsidRPr="003F4D48" w:rsidRDefault="00293EEA" w:rsidP="00293EEA">
      <w:pPr>
        <w:spacing w:after="0" w:line="276" w:lineRule="auto"/>
        <w:jc w:val="both"/>
        <w:rPr>
          <w:rFonts w:ascii="Verdana" w:eastAsia="Times New Roman" w:hAnsi="Verdana" w:cs="Arial"/>
          <w:bCs/>
          <w:sz w:val="20"/>
          <w:szCs w:val="20"/>
        </w:rPr>
      </w:pPr>
      <w:r w:rsidRPr="003F4D48">
        <w:rPr>
          <w:rFonts w:ascii="Verdana" w:eastAsia="Times New Roman" w:hAnsi="Verdana" w:cs="Arial"/>
          <w:bCs/>
          <w:sz w:val="20"/>
          <w:szCs w:val="20"/>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2674F266" w14:textId="77777777" w:rsidR="00293EEA" w:rsidRPr="003F4D48" w:rsidRDefault="00293EEA" w:rsidP="00293EEA">
      <w:pPr>
        <w:spacing w:after="0" w:line="276" w:lineRule="auto"/>
        <w:jc w:val="both"/>
        <w:rPr>
          <w:rFonts w:ascii="Verdana" w:eastAsia="Times New Roman" w:hAnsi="Verdana" w:cs="Arial"/>
          <w:b/>
          <w:sz w:val="20"/>
          <w:szCs w:val="20"/>
        </w:rPr>
      </w:pPr>
    </w:p>
    <w:p w14:paraId="6F83E840" w14:textId="77777777" w:rsidR="00293EEA" w:rsidRPr="003F4D48" w:rsidRDefault="00293EEA" w:rsidP="00293EEA">
      <w:pPr>
        <w:spacing w:after="0" w:line="276" w:lineRule="auto"/>
        <w:jc w:val="both"/>
        <w:rPr>
          <w:rFonts w:ascii="Verdana" w:eastAsia="Calibri" w:hAnsi="Verdana" w:cs="Arial"/>
          <w:sz w:val="20"/>
          <w:szCs w:val="20"/>
          <w:lang w:eastAsia="es-ES"/>
        </w:rPr>
      </w:pPr>
    </w:p>
    <w:p w14:paraId="3271DE1B" w14:textId="77777777" w:rsidR="00293EEA" w:rsidRPr="00803796" w:rsidRDefault="00293EEA" w:rsidP="00293EEA">
      <w:pPr>
        <w:spacing w:after="0" w:line="240" w:lineRule="auto"/>
        <w:rPr>
          <w:rFonts w:ascii="Verdana" w:eastAsia="Geomanist Light" w:hAnsi="Verdana" w:cs="Arial"/>
          <w:color w:val="201F1E"/>
          <w:lang w:val="es-MX"/>
        </w:rPr>
      </w:pPr>
      <w:r w:rsidRPr="00803796">
        <w:rPr>
          <w:rFonts w:ascii="Verdana" w:eastAsia="Geomanist Light" w:hAnsi="Verdana" w:cs="Arial"/>
          <w:color w:val="000000" w:themeColor="text1"/>
          <w:lang w:val="es-MX"/>
        </w:rPr>
        <w:lastRenderedPageBreak/>
        <w:t>Bogotá D.C., </w:t>
      </w:r>
      <w:r w:rsidRPr="00803796">
        <w:rPr>
          <w:rFonts w:ascii="Verdana" w:eastAsia="Geomanist Light" w:hAnsi="Verdana" w:cs="Arial"/>
          <w:color w:val="201F1E"/>
          <w:lang w:val="es-MX"/>
        </w:rPr>
        <w:t>[Día] de [</w:t>
      </w:r>
      <w:proofErr w:type="spellStart"/>
      <w:r w:rsidRPr="00803796">
        <w:rPr>
          <w:rFonts w:ascii="Verdana" w:eastAsia="Geomanist Light" w:hAnsi="Verdana" w:cs="Arial"/>
          <w:color w:val="201F1E"/>
          <w:lang w:val="es-MX"/>
        </w:rPr>
        <w:t>Mes.NombreCapitalizado</w:t>
      </w:r>
      <w:proofErr w:type="spellEnd"/>
      <w:r w:rsidRPr="00803796">
        <w:rPr>
          <w:rFonts w:ascii="Verdana" w:eastAsia="Geomanist Light" w:hAnsi="Verdana" w:cs="Arial"/>
          <w:color w:val="201F1E"/>
          <w:lang w:val="es-MX"/>
        </w:rPr>
        <w:t>] de [Año]</w:t>
      </w:r>
    </w:p>
    <w:p w14:paraId="55627937" w14:textId="77777777" w:rsidR="00293EEA" w:rsidRPr="00803796" w:rsidRDefault="00293EEA" w:rsidP="00293EEA">
      <w:pPr>
        <w:spacing w:after="0" w:line="240" w:lineRule="auto"/>
        <w:jc w:val="both"/>
        <w:rPr>
          <w:rFonts w:ascii="Verdana" w:eastAsia="Calibri" w:hAnsi="Verdana" w:cs="Arial"/>
          <w:color w:val="000000"/>
          <w:lang w:val="es-ES"/>
        </w:rPr>
      </w:pPr>
    </w:p>
    <w:p w14:paraId="3DD110CB" w14:textId="77777777" w:rsidR="00293EEA" w:rsidRPr="00803796" w:rsidRDefault="00293EEA" w:rsidP="00293EEA">
      <w:pPr>
        <w:spacing w:after="0" w:line="240" w:lineRule="auto"/>
        <w:jc w:val="both"/>
        <w:rPr>
          <w:rFonts w:ascii="Verdana" w:eastAsia="Calibri" w:hAnsi="Verdana" w:cs="Arial"/>
          <w:color w:val="000000"/>
          <w:lang w:val="es-ES"/>
        </w:rPr>
      </w:pPr>
    </w:p>
    <w:p w14:paraId="187DFF1C" w14:textId="60FE2E8D" w:rsidR="00293EEA" w:rsidRPr="00803796" w:rsidRDefault="00803796" w:rsidP="00293EEA">
      <w:pPr>
        <w:spacing w:after="0" w:line="240" w:lineRule="auto"/>
        <w:jc w:val="both"/>
        <w:rPr>
          <w:rFonts w:ascii="Verdana" w:eastAsia="Times New Roman" w:hAnsi="Verdana" w:cs="Arial"/>
          <w:lang w:val="es-ES_tradnl" w:eastAsia="es-CO"/>
        </w:rPr>
      </w:pPr>
      <w:r w:rsidRPr="00803796">
        <w:rPr>
          <w:rFonts w:ascii="Verdana" w:eastAsia="Calibri" w:hAnsi="Verdana" w:cs="Arial"/>
          <w:b/>
          <w:bCs/>
          <w:noProof/>
          <w:color w:val="000000"/>
          <w:lang w:eastAsia="es-ES_tradnl"/>
        </w:rPr>
        <w:drawing>
          <wp:anchor distT="0" distB="0" distL="114300" distR="114300" simplePos="0" relativeHeight="251658752" behindDoc="0" locked="0" layoutInCell="1" allowOverlap="1" wp14:anchorId="2DE0EC37" wp14:editId="124CB4F6">
            <wp:simplePos x="0" y="0"/>
            <wp:positionH relativeFrom="margin">
              <wp:align>right</wp:align>
            </wp:positionH>
            <wp:positionV relativeFrom="paragraph">
              <wp:posOffset>9360</wp:posOffset>
            </wp:positionV>
            <wp:extent cx="3057525" cy="847725"/>
            <wp:effectExtent l="0" t="0" r="9525" b="9525"/>
            <wp:wrapSquare wrapText="bothSides"/>
            <wp:docPr id="7396101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610133" name=""/>
                    <pic:cNvPicPr/>
                  </pic:nvPicPr>
                  <pic:blipFill>
                    <a:blip r:embed="rId10">
                      <a:extLst>
                        <a:ext uri="{28A0092B-C50C-407E-A947-70E740481C1C}">
                          <a14:useLocalDpi xmlns:a14="http://schemas.microsoft.com/office/drawing/2010/main" val="0"/>
                        </a:ext>
                      </a:extLst>
                    </a:blip>
                    <a:stretch>
                      <a:fillRect/>
                    </a:stretch>
                  </pic:blipFill>
                  <pic:spPr>
                    <a:xfrm>
                      <a:off x="0" y="0"/>
                      <a:ext cx="3057525" cy="847725"/>
                    </a:xfrm>
                    <a:prstGeom prst="rect">
                      <a:avLst/>
                    </a:prstGeom>
                  </pic:spPr>
                </pic:pic>
              </a:graphicData>
            </a:graphic>
          </wp:anchor>
        </w:drawing>
      </w:r>
      <w:r w:rsidR="00293EEA" w:rsidRPr="00803796">
        <w:rPr>
          <w:rFonts w:ascii="Verdana" w:eastAsia="Times New Roman" w:hAnsi="Verdana" w:cs="Arial"/>
          <w:lang w:val="es-ES_tradnl" w:eastAsia="es-CO"/>
        </w:rPr>
        <w:t xml:space="preserve">Señor </w:t>
      </w:r>
    </w:p>
    <w:p w14:paraId="34B093F6" w14:textId="77777777" w:rsidR="00293EEA" w:rsidRPr="00803796" w:rsidRDefault="00293EEA" w:rsidP="138A6A2D">
      <w:pPr>
        <w:spacing w:after="0" w:line="240" w:lineRule="auto"/>
        <w:jc w:val="both"/>
        <w:rPr>
          <w:rFonts w:ascii="Verdana" w:eastAsia="Times New Roman" w:hAnsi="Verdana" w:cs="Arial"/>
          <w:b/>
          <w:bCs/>
          <w:lang w:val="es-ES" w:eastAsia="es-CO"/>
        </w:rPr>
      </w:pPr>
      <w:proofErr w:type="spellStart"/>
      <w:r w:rsidRPr="00803796">
        <w:rPr>
          <w:rFonts w:ascii="Verdana" w:eastAsia="Times New Roman" w:hAnsi="Verdana" w:cs="Arial"/>
          <w:b/>
          <w:bCs/>
          <w:lang w:val="es-ES" w:eastAsia="es-CO"/>
        </w:rPr>
        <w:t>Wilfer</w:t>
      </w:r>
      <w:proofErr w:type="spellEnd"/>
      <w:r w:rsidRPr="00803796">
        <w:rPr>
          <w:rFonts w:ascii="Verdana" w:eastAsia="Times New Roman" w:hAnsi="Verdana" w:cs="Arial"/>
          <w:b/>
          <w:bCs/>
          <w:lang w:val="es-ES" w:eastAsia="es-CO"/>
        </w:rPr>
        <w:t xml:space="preserve"> Javier Cuellar Gómez</w:t>
      </w:r>
    </w:p>
    <w:p w14:paraId="75292672" w14:textId="0E176B94" w:rsidR="00293EEA" w:rsidRPr="00803796" w:rsidRDefault="00293EEA" w:rsidP="00293EEA">
      <w:pPr>
        <w:spacing w:after="0" w:line="240" w:lineRule="auto"/>
        <w:jc w:val="both"/>
        <w:rPr>
          <w:rFonts w:ascii="Verdana" w:eastAsia="Calibri" w:hAnsi="Verdana" w:cs="Arial"/>
          <w:color w:val="000000"/>
        </w:rPr>
      </w:pPr>
      <w:hyperlink r:id="rId11" w:history="1">
        <w:r w:rsidRPr="00803796">
          <w:rPr>
            <w:rStyle w:val="Hipervnculo"/>
            <w:rFonts w:ascii="Verdana" w:eastAsia="Calibri" w:hAnsi="Verdana" w:cs="Arial"/>
          </w:rPr>
          <w:t>javiercuellarg@gmail.com</w:t>
        </w:r>
      </w:hyperlink>
      <w:r w:rsidRPr="00803796">
        <w:rPr>
          <w:rFonts w:ascii="Verdana" w:eastAsia="Calibri" w:hAnsi="Verdana" w:cs="Arial"/>
          <w:color w:val="000000"/>
        </w:rPr>
        <w:t xml:space="preserve"> </w:t>
      </w:r>
    </w:p>
    <w:p w14:paraId="46B4DAB3" w14:textId="1D2E7B6D" w:rsidR="00293EEA" w:rsidRPr="00803796" w:rsidRDefault="00293EEA" w:rsidP="00293EEA">
      <w:pPr>
        <w:spacing w:after="0" w:line="240" w:lineRule="auto"/>
        <w:jc w:val="both"/>
        <w:rPr>
          <w:rFonts w:ascii="Verdana" w:eastAsia="Times New Roman" w:hAnsi="Verdana" w:cs="Arial"/>
          <w:lang w:val="es-ES_tradnl" w:eastAsia="es-CO"/>
        </w:rPr>
      </w:pPr>
      <w:r w:rsidRPr="00803796">
        <w:rPr>
          <w:rFonts w:ascii="Verdana" w:eastAsia="Times New Roman" w:hAnsi="Verdana" w:cs="Arial"/>
          <w:lang w:val="es-ES_tradnl" w:eastAsia="es-CO"/>
        </w:rPr>
        <w:t>Neiva, Huila</w:t>
      </w:r>
    </w:p>
    <w:p w14:paraId="2336E576" w14:textId="5002D3FE" w:rsidR="00293EEA" w:rsidRDefault="00293EEA" w:rsidP="00293EEA">
      <w:pPr>
        <w:spacing w:after="0" w:line="240" w:lineRule="auto"/>
        <w:rPr>
          <w:rFonts w:ascii="Century Gothic" w:eastAsia="Calibri" w:hAnsi="Century Gothic" w:cs="Arial"/>
          <w:b/>
          <w:bCs/>
          <w:color w:val="000000"/>
          <w:lang w:eastAsia="es-ES_tradnl"/>
        </w:rPr>
      </w:pPr>
    </w:p>
    <w:p w14:paraId="05F052C5" w14:textId="77777777" w:rsidR="0038528A" w:rsidRDefault="0038528A" w:rsidP="00293EEA">
      <w:pPr>
        <w:spacing w:after="0" w:line="240" w:lineRule="auto"/>
        <w:rPr>
          <w:rFonts w:ascii="Century Gothic" w:eastAsia="Calibri" w:hAnsi="Century Gothic" w:cs="Arial"/>
          <w:b/>
          <w:bCs/>
          <w:color w:val="000000"/>
          <w:lang w:eastAsia="es-ES_tradnl"/>
        </w:rPr>
      </w:pPr>
    </w:p>
    <w:p w14:paraId="28647FF1" w14:textId="596DB679" w:rsidR="0038528A" w:rsidRPr="009C5A97" w:rsidRDefault="0038528A" w:rsidP="0038528A">
      <w:pPr>
        <w:spacing w:after="0" w:line="240" w:lineRule="auto"/>
        <w:jc w:val="right"/>
        <w:rPr>
          <w:rFonts w:ascii="Century Gothic" w:eastAsia="Calibri" w:hAnsi="Century Gothic" w:cs="Arial"/>
          <w:b/>
          <w:bCs/>
          <w:color w:val="000000"/>
          <w:lang w:eastAsia="es-ES_tradnl"/>
        </w:rPr>
      </w:pPr>
    </w:p>
    <w:p w14:paraId="0C0DB0F1" w14:textId="77777777" w:rsidR="00293EEA" w:rsidRPr="009C5A97" w:rsidRDefault="00293EEA" w:rsidP="00293EEA">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9"/>
      </w:tblGrid>
      <w:tr w:rsidR="00293EEA" w:rsidRPr="009C5A97" w14:paraId="55D59C69" w14:textId="77777777" w:rsidTr="00EF0CD4">
        <w:trPr>
          <w:trHeight w:val="884"/>
        </w:trPr>
        <w:tc>
          <w:tcPr>
            <w:tcW w:w="2552" w:type="dxa"/>
          </w:tcPr>
          <w:p w14:paraId="0449D590" w14:textId="77777777" w:rsidR="00293EEA" w:rsidRPr="009C5A97" w:rsidRDefault="00293EEA" w:rsidP="00EF0CD4">
            <w:pPr>
              <w:jc w:val="both"/>
              <w:rPr>
                <w:rFonts w:ascii="Century Gothic" w:eastAsia="Calibri" w:hAnsi="Century Gothic" w:cs="Arial"/>
                <w:b/>
                <w:bCs/>
                <w:color w:val="7030A0"/>
                <w:lang w:val="es-ES_tradnl" w:eastAsia="es-ES_tradnl"/>
              </w:rPr>
            </w:pPr>
          </w:p>
        </w:tc>
        <w:tc>
          <w:tcPr>
            <w:tcW w:w="6379" w:type="dxa"/>
          </w:tcPr>
          <w:p w14:paraId="1F9297C8" w14:textId="77777777" w:rsidR="00293EEA" w:rsidRPr="00C56A6D" w:rsidRDefault="00293EEA" w:rsidP="00EF0CD4">
            <w:pPr>
              <w:jc w:val="both"/>
              <w:rPr>
                <w:rFonts w:ascii="Verdana" w:eastAsia="Calibri" w:hAnsi="Verdana" w:cs="Arial"/>
                <w:b/>
                <w:lang w:val="es-MX" w:eastAsia="es-ES_tradnl"/>
              </w:rPr>
            </w:pPr>
            <w:r w:rsidRPr="00C56A6D">
              <w:rPr>
                <w:rFonts w:ascii="Verdana" w:eastAsia="Calibri" w:hAnsi="Verdana" w:cs="Arial"/>
                <w:b/>
                <w:lang w:val="es-MX" w:eastAsia="es-ES_tradnl"/>
              </w:rPr>
              <w:t>Concepto C</w:t>
            </w:r>
            <w:r>
              <w:rPr>
                <w:rFonts w:ascii="Verdana" w:eastAsia="Calibri" w:hAnsi="Verdana" w:cs="Arial"/>
                <w:b/>
                <w:lang w:val="es-MX" w:eastAsia="es-ES_tradnl"/>
              </w:rPr>
              <w:t xml:space="preserve"> - 405 </w:t>
            </w:r>
            <w:r w:rsidRPr="00C56A6D">
              <w:rPr>
                <w:rFonts w:ascii="Verdana" w:eastAsia="Calibri" w:hAnsi="Verdana" w:cs="Arial"/>
                <w:b/>
                <w:lang w:val="es-MX" w:eastAsia="es-ES_tradnl"/>
              </w:rPr>
              <w:t>de 202</w:t>
            </w:r>
            <w:r>
              <w:rPr>
                <w:rFonts w:ascii="Verdana" w:eastAsia="Calibri" w:hAnsi="Verdana" w:cs="Arial"/>
                <w:b/>
                <w:lang w:val="es-MX" w:eastAsia="es-ES_tradnl"/>
              </w:rPr>
              <w:t>5</w:t>
            </w:r>
          </w:p>
        </w:tc>
      </w:tr>
      <w:tr w:rsidR="00293EEA" w:rsidRPr="009C5A97" w14:paraId="5E1BAACD" w14:textId="77777777" w:rsidTr="00EF0CD4">
        <w:trPr>
          <w:trHeight w:val="884"/>
        </w:trPr>
        <w:tc>
          <w:tcPr>
            <w:tcW w:w="2552" w:type="dxa"/>
          </w:tcPr>
          <w:p w14:paraId="7EDE504B" w14:textId="77777777" w:rsidR="00293EEA" w:rsidRPr="005A64DD" w:rsidRDefault="00293EEA" w:rsidP="00EF0CD4">
            <w:pPr>
              <w:jc w:val="both"/>
              <w:rPr>
                <w:rFonts w:ascii="Verdana" w:eastAsia="Calibri" w:hAnsi="Verdana" w:cs="Arial"/>
                <w:b/>
                <w:lang w:val="es-MX" w:eastAsia="es-ES_tradnl"/>
              </w:rPr>
            </w:pPr>
            <w:r w:rsidRPr="005A64DD">
              <w:rPr>
                <w:rFonts w:ascii="Verdana" w:eastAsia="Calibri" w:hAnsi="Verdana" w:cs="Arial"/>
                <w:b/>
                <w:lang w:val="es-MX" w:eastAsia="es-ES_tradnl"/>
              </w:rPr>
              <w:t xml:space="preserve">Temas:                   </w:t>
            </w:r>
          </w:p>
        </w:tc>
        <w:tc>
          <w:tcPr>
            <w:tcW w:w="6379" w:type="dxa"/>
          </w:tcPr>
          <w:p w14:paraId="1CB81C20" w14:textId="42A7EE4D" w:rsidR="00293EEA" w:rsidRPr="00803796" w:rsidRDefault="00293EEA" w:rsidP="00EF0CD4">
            <w:pPr>
              <w:spacing w:line="276" w:lineRule="auto"/>
              <w:jc w:val="both"/>
              <w:rPr>
                <w:rFonts w:ascii="Verdana" w:eastAsia="Times New Roman" w:hAnsi="Verdana" w:cs="Arial"/>
                <w:bCs/>
                <w:color w:val="000000"/>
                <w:szCs w:val="24"/>
                <w:lang w:eastAsia="es-MX"/>
              </w:rPr>
            </w:pPr>
            <w:r w:rsidRPr="00325794">
              <w:rPr>
                <w:rFonts w:ascii="Verdana" w:eastAsia="Times New Roman" w:hAnsi="Verdana" w:cs="Arial"/>
                <w:bCs/>
                <w:color w:val="000000"/>
                <w:szCs w:val="24"/>
                <w:lang w:eastAsia="es-MX"/>
              </w:rPr>
              <w:t xml:space="preserve">DOCUMENTOS TIPO – Fundamento </w:t>
            </w:r>
            <w:r>
              <w:rPr>
                <w:rFonts w:ascii="Verdana" w:eastAsia="Times New Roman" w:hAnsi="Verdana" w:cs="Arial"/>
                <w:bCs/>
                <w:color w:val="000000"/>
                <w:szCs w:val="24"/>
                <w:lang w:eastAsia="es-MX"/>
              </w:rPr>
              <w:t xml:space="preserve">Normativo – Ley 2022 de 2020 </w:t>
            </w:r>
            <w:r w:rsidR="00CD5E09">
              <w:rPr>
                <w:rFonts w:ascii="Verdana" w:eastAsia="Times New Roman" w:hAnsi="Verdana" w:cs="Arial"/>
                <w:bCs/>
                <w:color w:val="000000"/>
                <w:szCs w:val="24"/>
                <w:lang w:eastAsia="es-MX"/>
              </w:rPr>
              <w:t>/</w:t>
            </w:r>
            <w:r>
              <w:rPr>
                <w:rFonts w:ascii="Verdana" w:eastAsia="Times New Roman" w:hAnsi="Verdana" w:cs="Arial"/>
                <w:bCs/>
                <w:color w:val="000000"/>
                <w:szCs w:val="24"/>
                <w:lang w:eastAsia="es-MX"/>
              </w:rPr>
              <w:t xml:space="preserve"> </w:t>
            </w:r>
            <w:r w:rsidRPr="008E59B0">
              <w:rPr>
                <w:rFonts w:ascii="Verdana" w:eastAsia="Times New Roman" w:hAnsi="Verdana" w:cs="Arial"/>
                <w:bCs/>
                <w:color w:val="000000"/>
                <w:szCs w:val="24"/>
                <w:lang w:eastAsia="es-MX"/>
              </w:rPr>
              <w:t>DOCUMENTOS TIPO</w:t>
            </w:r>
            <w:r w:rsidR="00CD5E09">
              <w:rPr>
                <w:rFonts w:ascii="Verdana" w:eastAsia="Times New Roman" w:hAnsi="Verdana" w:cs="Arial"/>
                <w:bCs/>
                <w:color w:val="000000"/>
                <w:szCs w:val="24"/>
                <w:lang w:eastAsia="es-MX"/>
              </w:rPr>
              <w:t>- Infraestructura social</w:t>
            </w:r>
            <w:r w:rsidR="00FE51FD">
              <w:rPr>
                <w:rFonts w:ascii="Verdana" w:eastAsia="Times New Roman" w:hAnsi="Verdana" w:cs="Arial"/>
                <w:bCs/>
                <w:color w:val="000000"/>
                <w:szCs w:val="24"/>
                <w:lang w:eastAsia="es-MX"/>
              </w:rPr>
              <w:t xml:space="preserve">- Sector educativo, </w:t>
            </w:r>
            <w:r w:rsidR="00DE4EBE">
              <w:rPr>
                <w:rFonts w:ascii="Verdana" w:eastAsia="Times New Roman" w:hAnsi="Verdana" w:cs="Arial"/>
                <w:bCs/>
                <w:color w:val="000000"/>
                <w:szCs w:val="24"/>
                <w:lang w:eastAsia="es-MX"/>
              </w:rPr>
              <w:t>salud y</w:t>
            </w:r>
            <w:r w:rsidR="00FE51FD">
              <w:rPr>
                <w:rFonts w:ascii="Verdana" w:eastAsia="Times New Roman" w:hAnsi="Verdana" w:cs="Arial"/>
                <w:bCs/>
                <w:color w:val="000000"/>
                <w:szCs w:val="24"/>
                <w:lang w:eastAsia="es-MX"/>
              </w:rPr>
              <w:t xml:space="preserve"> cultura</w:t>
            </w:r>
            <w:r w:rsidR="00E267D5">
              <w:rPr>
                <w:rFonts w:ascii="Verdana" w:eastAsia="Times New Roman" w:hAnsi="Verdana" w:cs="Arial"/>
                <w:bCs/>
                <w:color w:val="000000"/>
                <w:szCs w:val="24"/>
                <w:lang w:eastAsia="es-MX"/>
              </w:rPr>
              <w:t>, recreación y deporte</w:t>
            </w:r>
          </w:p>
        </w:tc>
      </w:tr>
      <w:tr w:rsidR="00293EEA" w:rsidRPr="009C5A97" w14:paraId="7BA0A24B" w14:textId="77777777" w:rsidTr="00EF0CD4">
        <w:tc>
          <w:tcPr>
            <w:tcW w:w="2552" w:type="dxa"/>
          </w:tcPr>
          <w:p w14:paraId="667456A2" w14:textId="77777777" w:rsidR="00293EEA" w:rsidRPr="00803796" w:rsidRDefault="00293EEA" w:rsidP="00EF0CD4">
            <w:pPr>
              <w:jc w:val="both"/>
              <w:rPr>
                <w:rFonts w:ascii="Verdana" w:eastAsia="Calibri" w:hAnsi="Verdana" w:cs="Arial"/>
                <w:b/>
                <w:lang w:val="es-MX" w:eastAsia="es-ES_tradnl"/>
              </w:rPr>
            </w:pPr>
            <w:r w:rsidRPr="00803796">
              <w:rPr>
                <w:rFonts w:ascii="Verdana" w:eastAsia="Calibri" w:hAnsi="Verdana" w:cs="Arial"/>
                <w:b/>
                <w:lang w:val="es-MX" w:eastAsia="es-ES_tradnl"/>
              </w:rPr>
              <w:t>Radicación:</w:t>
            </w:r>
          </w:p>
        </w:tc>
        <w:tc>
          <w:tcPr>
            <w:tcW w:w="6379" w:type="dxa"/>
          </w:tcPr>
          <w:p w14:paraId="182C6EBA" w14:textId="77777777" w:rsidR="00293EEA" w:rsidRPr="009C5A97" w:rsidRDefault="00293EEA" w:rsidP="00EF0CD4">
            <w:pPr>
              <w:jc w:val="both"/>
              <w:rPr>
                <w:rFonts w:ascii="Verdana" w:eastAsia="Calibri" w:hAnsi="Verdana" w:cs="Arial"/>
                <w:bCs/>
                <w:lang w:val="es-MX" w:eastAsia="es-ES_tradnl"/>
              </w:rPr>
            </w:pPr>
            <w:r w:rsidRPr="009C5A97">
              <w:rPr>
                <w:rFonts w:ascii="Verdana" w:eastAsia="Calibri" w:hAnsi="Verdana" w:cs="Arial"/>
                <w:bCs/>
                <w:lang w:val="es-MX" w:eastAsia="es-ES_tradnl"/>
              </w:rPr>
              <w:t xml:space="preserve">Respuesta a consulta con radicado No. </w:t>
            </w:r>
            <w:r>
              <w:rPr>
                <w:rFonts w:ascii="Verdana" w:eastAsia="Calibri" w:hAnsi="Verdana" w:cs="Arial"/>
                <w:bCs/>
                <w:lang w:val="es-MX" w:eastAsia="es-ES_tradnl"/>
              </w:rPr>
              <w:t>P20250402003156</w:t>
            </w:r>
          </w:p>
        </w:tc>
      </w:tr>
    </w:tbl>
    <w:p w14:paraId="5C7F1772" w14:textId="77777777" w:rsidR="00293EEA" w:rsidRPr="009C5A97" w:rsidRDefault="00293EEA" w:rsidP="00293EEA">
      <w:pPr>
        <w:spacing w:after="0" w:line="240" w:lineRule="auto"/>
        <w:jc w:val="both"/>
        <w:rPr>
          <w:rFonts w:ascii="Century Gothic" w:eastAsia="Calibri" w:hAnsi="Century Gothic" w:cs="Arial"/>
          <w:color w:val="000000"/>
          <w:lang w:val="es-ES_tradnl" w:eastAsia="es-ES_tradnl"/>
        </w:rPr>
      </w:pPr>
    </w:p>
    <w:p w14:paraId="12B36887" w14:textId="77777777" w:rsidR="00293EEA" w:rsidRPr="009C5A97" w:rsidRDefault="00293EEA" w:rsidP="00293EEA">
      <w:pPr>
        <w:spacing w:after="0" w:line="276" w:lineRule="auto"/>
        <w:jc w:val="both"/>
        <w:rPr>
          <w:rFonts w:ascii="Century Gothic" w:eastAsia="Calibri" w:hAnsi="Century Gothic" w:cs="Arial"/>
          <w:color w:val="000000"/>
          <w:lang w:val="es-ES_tradnl" w:eastAsia="es-ES_tradnl"/>
        </w:rPr>
      </w:pPr>
    </w:p>
    <w:p w14:paraId="07BDBD0B" w14:textId="77777777" w:rsidR="00293EEA" w:rsidRDefault="00293EEA" w:rsidP="00293EEA">
      <w:pPr>
        <w:spacing w:after="0" w:line="276" w:lineRule="auto"/>
        <w:jc w:val="both"/>
        <w:textAlignment w:val="baseline"/>
        <w:rPr>
          <w:rFonts w:ascii="Verdana" w:eastAsia="Calibri" w:hAnsi="Verdana" w:cs="Arial"/>
        </w:rPr>
      </w:pPr>
    </w:p>
    <w:p w14:paraId="1509F2BD" w14:textId="77777777" w:rsidR="00293EEA" w:rsidRPr="009C5A97" w:rsidRDefault="00293EEA" w:rsidP="00293EEA">
      <w:pPr>
        <w:spacing w:after="0" w:line="276" w:lineRule="auto"/>
        <w:jc w:val="both"/>
        <w:textAlignment w:val="baseline"/>
        <w:rPr>
          <w:rFonts w:ascii="Verdana" w:eastAsia="Calibri" w:hAnsi="Verdana" w:cs="Arial"/>
        </w:rPr>
      </w:pPr>
      <w:r w:rsidRPr="009C5A97">
        <w:rPr>
          <w:rFonts w:ascii="Verdana" w:eastAsia="Calibri" w:hAnsi="Verdana" w:cs="Arial"/>
        </w:rPr>
        <w:t>Estimad</w:t>
      </w:r>
      <w:r>
        <w:rPr>
          <w:rFonts w:ascii="Verdana" w:eastAsia="Calibri" w:hAnsi="Verdana" w:cs="Arial"/>
        </w:rPr>
        <w:t>o señor Cuellar</w:t>
      </w:r>
      <w:r w:rsidRPr="009C5A97">
        <w:rPr>
          <w:rFonts w:ascii="Verdana" w:eastAsia="Calibri" w:hAnsi="Verdana" w:cs="Arial"/>
        </w:rPr>
        <w:t>:</w:t>
      </w:r>
    </w:p>
    <w:p w14:paraId="39B208CA" w14:textId="77777777" w:rsidR="00293EEA" w:rsidRPr="009C5A97" w:rsidRDefault="00293EEA" w:rsidP="00293EEA">
      <w:pPr>
        <w:tabs>
          <w:tab w:val="left" w:pos="3768"/>
        </w:tabs>
        <w:spacing w:after="0" w:line="276" w:lineRule="auto"/>
        <w:jc w:val="both"/>
        <w:rPr>
          <w:rFonts w:ascii="Century Gothic" w:eastAsia="Calibri" w:hAnsi="Century Gothic" w:cs="Arial"/>
          <w:color w:val="000000" w:themeColor="text1"/>
          <w:lang w:val="es-ES" w:eastAsia="es-ES"/>
        </w:rPr>
      </w:pPr>
      <w:r w:rsidRPr="009C5A97">
        <w:rPr>
          <w:rFonts w:ascii="Century Gothic" w:eastAsia="Calibri" w:hAnsi="Century Gothic" w:cs="Arial"/>
          <w:color w:val="000000" w:themeColor="text1"/>
          <w:lang w:val="es-ES" w:eastAsia="es-ES"/>
        </w:rPr>
        <w:tab/>
      </w:r>
    </w:p>
    <w:p w14:paraId="7E07F5D6" w14:textId="77777777" w:rsidR="00293EEA" w:rsidRDefault="00293EEA" w:rsidP="00293EEA">
      <w:pPr>
        <w:spacing w:after="0" w:line="276" w:lineRule="auto"/>
        <w:jc w:val="both"/>
        <w:rPr>
          <w:rFonts w:ascii="Verdana" w:eastAsia="Calibri" w:hAnsi="Verdana" w:cs="Arial"/>
          <w:lang w:val="es-ES" w:eastAsia="es-ES"/>
        </w:rPr>
      </w:pPr>
      <w:r w:rsidRPr="009C5A97">
        <w:rPr>
          <w:rFonts w:ascii="Verdana" w:eastAsia="Calibri" w:hAnsi="Verdana" w:cs="Arial"/>
          <w:color w:val="000000" w:themeColor="text1"/>
          <w:lang w:val="es-ES" w:eastAsia="es-ES"/>
        </w:rPr>
        <w:t>En ejercicio de la competencia otorgada por los artículos 3, numeral 5º, y 11, numeral 8º, del Decreto Ley 4170 de 2011,</w:t>
      </w:r>
      <w:r w:rsidRPr="009C5A97">
        <w:rPr>
          <w:rFonts w:ascii="Verdana" w:eastAsia="Arial MT" w:hAnsi="Verdana" w:cs="Arial MT"/>
          <w:lang w:val="es-ES" w:eastAsia="es-ES"/>
        </w:rPr>
        <w:t xml:space="preserve"> </w:t>
      </w:r>
      <w:r w:rsidRPr="009C5A97">
        <w:rPr>
          <w:rFonts w:ascii="Verdana" w:hAnsi="Verdana" w:cs="Arial"/>
        </w:rPr>
        <w:t xml:space="preserve">así como lo establecido en el artículo 4 de la Resolución 1707 de 2018 expedida por esta Entidad, </w:t>
      </w:r>
      <w:r w:rsidRPr="009C5A97">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02</w:t>
      </w:r>
      <w:r w:rsidRPr="009C5A97">
        <w:rPr>
          <w:rFonts w:ascii="Verdana" w:eastAsia="Calibri" w:hAnsi="Verdana" w:cs="Arial"/>
          <w:lang w:val="es-ES" w:eastAsia="es-ES"/>
        </w:rPr>
        <w:t xml:space="preserve"> de</w:t>
      </w:r>
      <w:r>
        <w:rPr>
          <w:rFonts w:ascii="Verdana" w:eastAsia="Calibri" w:hAnsi="Verdana" w:cs="Arial"/>
          <w:lang w:val="es-ES" w:eastAsia="es-ES"/>
        </w:rPr>
        <w:t xml:space="preserve"> abril de</w:t>
      </w:r>
      <w:r w:rsidRPr="009C5A97">
        <w:rPr>
          <w:rFonts w:ascii="Verdana" w:eastAsia="Calibri" w:hAnsi="Verdana" w:cs="Arial"/>
          <w:lang w:val="es-ES" w:eastAsia="es-ES"/>
        </w:rPr>
        <w:t xml:space="preserve"> 202</w:t>
      </w:r>
      <w:r>
        <w:rPr>
          <w:rFonts w:ascii="Verdana" w:eastAsia="Calibri" w:hAnsi="Verdana" w:cs="Arial"/>
          <w:lang w:val="es-ES" w:eastAsia="es-ES"/>
        </w:rPr>
        <w:t>5</w:t>
      </w:r>
      <w:r w:rsidRPr="009C5A97">
        <w:rPr>
          <w:rFonts w:ascii="Verdana" w:eastAsia="Calibri" w:hAnsi="Verdana" w:cs="Arial"/>
          <w:lang w:val="es-ES" w:eastAsia="es-ES"/>
        </w:rPr>
        <w:t>, en la cual manifiesta lo siguiente</w:t>
      </w:r>
      <w:r w:rsidRPr="00C56A6D">
        <w:rPr>
          <w:rFonts w:ascii="Verdana" w:eastAsia="Calibri" w:hAnsi="Verdana" w:cs="Arial"/>
          <w:lang w:val="es-ES" w:eastAsia="es-ES"/>
        </w:rPr>
        <w:t xml:space="preserve">: </w:t>
      </w:r>
    </w:p>
    <w:p w14:paraId="126F0563" w14:textId="77777777" w:rsidR="00293EEA" w:rsidRDefault="00293EEA" w:rsidP="00293EEA">
      <w:pPr>
        <w:spacing w:after="0" w:line="276" w:lineRule="auto"/>
        <w:jc w:val="both"/>
        <w:rPr>
          <w:rFonts w:ascii="Verdana" w:eastAsia="Calibri" w:hAnsi="Verdana" w:cs="Arial"/>
          <w:lang w:val="es-ES" w:eastAsia="es-ES"/>
        </w:rPr>
      </w:pPr>
    </w:p>
    <w:p w14:paraId="482E5725" w14:textId="77777777" w:rsidR="00293EEA" w:rsidRDefault="00293EEA" w:rsidP="00293EEA">
      <w:pPr>
        <w:spacing w:after="0" w:line="276" w:lineRule="auto"/>
        <w:ind w:left="709" w:right="758"/>
        <w:jc w:val="both"/>
        <w:rPr>
          <w:rFonts w:ascii="Verdana" w:eastAsia="Calibri" w:hAnsi="Verdana" w:cs="Arial"/>
          <w:lang w:val="es-ES" w:eastAsia="es-ES"/>
        </w:rPr>
      </w:pPr>
    </w:p>
    <w:p w14:paraId="34D1F86A" w14:textId="77777777" w:rsidR="00293EEA" w:rsidRPr="00263783" w:rsidRDefault="00293EEA" w:rsidP="00293EEA">
      <w:pPr>
        <w:spacing w:after="0" w:line="276" w:lineRule="auto"/>
        <w:ind w:left="709" w:right="758"/>
        <w:jc w:val="both"/>
        <w:rPr>
          <w:rFonts w:ascii="Verdana" w:hAnsi="Verdana" w:cs="Calibri Light"/>
          <w:sz w:val="20"/>
          <w:szCs w:val="20"/>
        </w:rPr>
      </w:pPr>
      <w:r w:rsidRPr="00477AAD">
        <w:rPr>
          <w:rFonts w:ascii="Verdana" w:eastAsia="Calibri" w:hAnsi="Verdana" w:cs="Arial"/>
          <w:sz w:val="20"/>
          <w:szCs w:val="20"/>
          <w:lang w:val="es-ES" w:eastAsia="es-ES"/>
        </w:rPr>
        <w:t>“</w:t>
      </w:r>
      <w:r>
        <w:rPr>
          <w:rFonts w:ascii="Verdana" w:eastAsia="Calibri" w:hAnsi="Verdana" w:cs="Arial"/>
          <w:sz w:val="20"/>
          <w:szCs w:val="20"/>
          <w:lang w:val="es-ES" w:eastAsia="es-ES"/>
        </w:rPr>
        <w:t>(…) En un proceso contractual bajo la modalidad de licitación pública cuyo objeto es la construcción y/o adecuación de casetas comunales, ¿le son aplicables los documentos tipo de licitación de obra de infraestructura social?</w:t>
      </w:r>
      <w:r w:rsidRPr="00477AAD">
        <w:rPr>
          <w:rFonts w:ascii="Verdana" w:eastAsia="Calibri" w:hAnsi="Verdana" w:cs="Arial"/>
          <w:sz w:val="20"/>
          <w:szCs w:val="20"/>
          <w:lang w:val="es-ES" w:eastAsia="es-ES"/>
        </w:rPr>
        <w:t>”.</w:t>
      </w:r>
    </w:p>
    <w:p w14:paraId="7633C968" w14:textId="77777777" w:rsidR="00293EEA" w:rsidRPr="00016D36" w:rsidRDefault="00293EEA" w:rsidP="00293EEA">
      <w:pPr>
        <w:jc w:val="both"/>
        <w:rPr>
          <w:rFonts w:eastAsia="Calibri" w:cs="Arial"/>
          <w:lang w:eastAsia="es-ES"/>
        </w:rPr>
      </w:pPr>
      <w:r w:rsidRPr="005D701E">
        <w:rPr>
          <w:rFonts w:ascii="Verdana" w:hAnsi="Verdana" w:cs="Calibri Light"/>
          <w:sz w:val="20"/>
          <w:szCs w:val="20"/>
        </w:rPr>
        <w:t xml:space="preserve"> </w:t>
      </w:r>
    </w:p>
    <w:p w14:paraId="3BC27EE3" w14:textId="77777777" w:rsidR="00293EEA" w:rsidRPr="009C5A97" w:rsidRDefault="00293EEA" w:rsidP="00293EEA">
      <w:pPr>
        <w:spacing w:after="120" w:line="276" w:lineRule="auto"/>
        <w:ind w:firstLine="709"/>
        <w:jc w:val="both"/>
        <w:rPr>
          <w:rFonts w:ascii="Verdana" w:eastAsia="Calibri" w:hAnsi="Verdana" w:cs="Arial"/>
          <w:color w:val="000000"/>
          <w:lang w:val="es-ES_tradnl" w:eastAsia="es-ES_tradnl"/>
        </w:rPr>
      </w:pPr>
      <w:r w:rsidRPr="009C5A9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9C5A97">
        <w:rPr>
          <w:rFonts w:ascii="Verdana" w:eastAsia="Calibri" w:hAnsi="Verdana" w:cs="Arial"/>
          <w:color w:val="000000"/>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5A97">
        <w:rPr>
          <w:rFonts w:ascii="Verdana" w:eastAsia="Calibri" w:hAnsi="Verdana" w:cs="Arial"/>
          <w:color w:val="000000"/>
          <w:lang w:val="es-ES_tradnl" w:eastAsia="es-ES_tradnl"/>
        </w:rPr>
        <w:tab/>
      </w:r>
    </w:p>
    <w:p w14:paraId="2F8A97B8" w14:textId="77777777" w:rsidR="00293EEA" w:rsidRPr="009C5A97" w:rsidRDefault="00293EEA" w:rsidP="00293EEA">
      <w:pPr>
        <w:spacing w:after="0" w:line="276" w:lineRule="auto"/>
        <w:ind w:firstLine="709"/>
        <w:jc w:val="both"/>
        <w:rPr>
          <w:rFonts w:ascii="Verdana" w:eastAsia="Calibri" w:hAnsi="Verdana" w:cs="Arial"/>
          <w:color w:val="000000"/>
          <w:lang w:val="es-ES" w:eastAsia="es-ES"/>
        </w:rPr>
      </w:pPr>
      <w:r w:rsidRPr="009C5A9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problema</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jurídico</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 xml:space="preserve">de su consulta. </w:t>
      </w:r>
    </w:p>
    <w:p w14:paraId="72EB2BBB" w14:textId="77777777" w:rsidR="00293EEA" w:rsidRPr="009C5A97" w:rsidRDefault="00293EEA" w:rsidP="00293EEA">
      <w:pPr>
        <w:spacing w:after="0" w:line="276" w:lineRule="auto"/>
        <w:ind w:firstLine="709"/>
        <w:jc w:val="both"/>
        <w:rPr>
          <w:rFonts w:ascii="Verdana" w:eastAsia="Calibri" w:hAnsi="Verdana" w:cs="Arial"/>
          <w:color w:val="000000"/>
          <w:lang w:val="es-ES" w:eastAsia="es-ES"/>
        </w:rPr>
      </w:pPr>
    </w:p>
    <w:p w14:paraId="42F9A67C" w14:textId="77777777" w:rsidR="00293EEA" w:rsidRPr="00C56A6D" w:rsidRDefault="00293EEA" w:rsidP="00293EEA">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lang w:val="es-ES"/>
        </w:rPr>
      </w:pPr>
      <w:r w:rsidRPr="009C5A97">
        <w:rPr>
          <w:rFonts w:ascii="Verdana" w:eastAsia="Century Gothic" w:hAnsi="Verdana" w:cs="Century Gothic"/>
          <w:b/>
          <w:bCs/>
          <w:lang w:val="es-ES"/>
        </w:rPr>
        <w:t>Problema planteado</w:t>
      </w:r>
      <w:r w:rsidRPr="00C56A6D">
        <w:rPr>
          <w:rFonts w:ascii="Verdana" w:eastAsia="Century Gothic" w:hAnsi="Verdana" w:cs="Century Gothic"/>
          <w:b/>
          <w:lang w:val="es-ES"/>
        </w:rPr>
        <w:t>:</w:t>
      </w:r>
    </w:p>
    <w:p w14:paraId="7E74BF21" w14:textId="77777777" w:rsidR="00293EEA" w:rsidRPr="009C5A97" w:rsidRDefault="00293EEA" w:rsidP="00293EEA">
      <w:pPr>
        <w:tabs>
          <w:tab w:val="left" w:pos="426"/>
        </w:tabs>
        <w:spacing w:after="0" w:line="276" w:lineRule="auto"/>
        <w:jc w:val="both"/>
        <w:rPr>
          <w:rFonts w:ascii="Century Gothic" w:eastAsia="Century Gothic" w:hAnsi="Century Gothic" w:cs="Century Gothic"/>
          <w:lang w:val="es-ES"/>
        </w:rPr>
      </w:pPr>
    </w:p>
    <w:p w14:paraId="5FD55E41" w14:textId="13DAC57E" w:rsidR="00293EEA" w:rsidRPr="009C5A97" w:rsidRDefault="00293EEA" w:rsidP="00293EEA">
      <w:pPr>
        <w:spacing w:before="1" w:after="120" w:line="276" w:lineRule="auto"/>
        <w:ind w:right="306"/>
        <w:jc w:val="both"/>
        <w:rPr>
          <w:rFonts w:ascii="Century Gothic" w:eastAsia="Century Gothic" w:hAnsi="Century Gothic" w:cs="Century Gothic"/>
        </w:rPr>
      </w:pPr>
      <w:r w:rsidRPr="59BF43AD">
        <w:rPr>
          <w:rFonts w:ascii="Verdana" w:eastAsia="Century Gothic" w:hAnsi="Verdana" w:cs="Century Gothic"/>
        </w:rPr>
        <w:t>De acuerdo con el contenido de su solicitud, esta Agencia resolverá el siguiente problema jurídico: ¿</w:t>
      </w:r>
      <w:r w:rsidR="34BBCB11" w:rsidRPr="59BF43AD">
        <w:rPr>
          <w:rFonts w:ascii="Verdana" w:eastAsia="Century Gothic" w:hAnsi="Verdana" w:cs="Century Gothic"/>
        </w:rPr>
        <w:t>L</w:t>
      </w:r>
      <w:r w:rsidR="00980491" w:rsidRPr="59BF43AD">
        <w:rPr>
          <w:rFonts w:ascii="Verdana" w:eastAsia="Century Gothic" w:hAnsi="Verdana" w:cs="Century Gothic"/>
        </w:rPr>
        <w:t>a</w:t>
      </w:r>
      <w:r w:rsidR="0786B97F" w:rsidRPr="59BF43AD">
        <w:rPr>
          <w:rFonts w:ascii="Verdana" w:eastAsia="Century Gothic" w:hAnsi="Verdana" w:cs="Century Gothic"/>
        </w:rPr>
        <w:t xml:space="preserve"> </w:t>
      </w:r>
      <w:r w:rsidR="00980491" w:rsidRPr="59BF43AD">
        <w:rPr>
          <w:rFonts w:ascii="Verdana" w:eastAsia="Century Gothic" w:hAnsi="Verdana" w:cs="Century Gothic"/>
        </w:rPr>
        <w:t xml:space="preserve">actividad </w:t>
      </w:r>
      <w:r w:rsidR="00DE4EBE" w:rsidRPr="59BF43AD">
        <w:rPr>
          <w:rFonts w:ascii="Verdana" w:eastAsia="Century Gothic" w:hAnsi="Verdana" w:cs="Century Gothic"/>
        </w:rPr>
        <w:t>de construcción</w:t>
      </w:r>
      <w:r w:rsidRPr="59BF43AD">
        <w:rPr>
          <w:rFonts w:ascii="Verdana" w:eastAsia="Century Gothic" w:hAnsi="Verdana" w:cs="Century Gothic"/>
        </w:rPr>
        <w:t xml:space="preserve"> y/o adecuación de casetas comunales</w:t>
      </w:r>
      <w:r w:rsidR="308ACB4A" w:rsidRPr="59BF43AD">
        <w:rPr>
          <w:rFonts w:ascii="Verdana" w:eastAsia="Century Gothic" w:hAnsi="Verdana" w:cs="Century Gothic"/>
        </w:rPr>
        <w:t xml:space="preserve"> se encuentra enmarcada en la Matriz 1- Experiencia de los Documentos Tipo de infraestructura social</w:t>
      </w:r>
      <w:r w:rsidRPr="59BF43AD">
        <w:rPr>
          <w:rFonts w:ascii="Verdana" w:eastAsia="Century Gothic" w:hAnsi="Verdana" w:cs="Century Gothic"/>
        </w:rPr>
        <w:t>?</w:t>
      </w:r>
    </w:p>
    <w:p w14:paraId="178DDAD4" w14:textId="77777777" w:rsidR="00293EEA" w:rsidRPr="009C5A97" w:rsidRDefault="00293EEA" w:rsidP="00293EEA">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C5A97">
        <w:rPr>
          <w:rFonts w:ascii="Verdana" w:eastAsia="Century Gothic" w:hAnsi="Verdana" w:cs="Century Gothic"/>
          <w:b/>
          <w:bCs/>
          <w:lang w:val="es-ES"/>
        </w:rPr>
        <w:t>Respuesta:</w:t>
      </w:r>
    </w:p>
    <w:p w14:paraId="3810AA1E" w14:textId="77777777" w:rsidR="00293EEA" w:rsidRDefault="00293EEA" w:rsidP="00293EEA">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93EEA" w:rsidRPr="009C5A97" w14:paraId="4E5DD0AD" w14:textId="77777777" w:rsidTr="59BF43AD">
        <w:tc>
          <w:tcPr>
            <w:tcW w:w="8828" w:type="dxa"/>
            <w:shd w:val="clear" w:color="auto" w:fill="auto"/>
          </w:tcPr>
          <w:p w14:paraId="3699E53E" w14:textId="3C8EBDEA" w:rsidR="004A0768" w:rsidRDefault="594F8C55">
            <w:pPr>
              <w:spacing w:line="276" w:lineRule="auto"/>
              <w:jc w:val="both"/>
              <w:rPr>
                <w:rFonts w:ascii="Verdana" w:eastAsia="Times New Roman" w:hAnsi="Verdana" w:cs="Arial"/>
              </w:rPr>
            </w:pPr>
            <w:r w:rsidRPr="59BF43AD">
              <w:rPr>
                <w:rFonts w:ascii="Verdana" w:eastAsia="Times New Roman" w:hAnsi="Verdana" w:cs="Arial"/>
              </w:rPr>
              <w:t xml:space="preserve">En respuesta puntual al problema jurídico planteado, se informa que en ninguna de las matrices de experiencia de los documentos tipo vigentes se incluye la actividad de </w:t>
            </w:r>
            <w:r w:rsidRPr="59BF43AD">
              <w:rPr>
                <w:rFonts w:ascii="Verdana" w:eastAsia="Century Gothic" w:hAnsi="Verdana" w:cs="Century Gothic"/>
              </w:rPr>
              <w:t>construcción y/o adecuación de casetas comunales</w:t>
            </w:r>
            <w:r w:rsidRPr="59BF43AD">
              <w:rPr>
                <w:rFonts w:ascii="Verdana" w:eastAsia="Times New Roman" w:hAnsi="Verdana" w:cs="Arial"/>
              </w:rPr>
              <w:t xml:space="preserve">. </w:t>
            </w:r>
            <w:r w:rsidR="4FD32420" w:rsidRPr="59BF43AD">
              <w:rPr>
                <w:rFonts w:ascii="Verdana" w:eastAsia="Times New Roman" w:hAnsi="Verdana" w:cs="Arial"/>
              </w:rPr>
              <w:t>Sin embargo</w:t>
            </w:r>
            <w:r w:rsidRPr="59BF43AD">
              <w:rPr>
                <w:rFonts w:ascii="Verdana" w:eastAsia="Times New Roman" w:hAnsi="Verdana" w:cs="Arial"/>
              </w:rPr>
              <w:t>, se sugiere que, como una buena práctica contractual, se utilicen a modo de ejemplo.</w:t>
            </w:r>
          </w:p>
          <w:p w14:paraId="69989F60" w14:textId="2E78608F" w:rsidR="009D70F0" w:rsidRDefault="009D70F0" w:rsidP="00EF0CD4">
            <w:pPr>
              <w:spacing w:before="120" w:after="120" w:line="276" w:lineRule="auto"/>
              <w:jc w:val="both"/>
              <w:rPr>
                <w:rFonts w:ascii="Verdana" w:eastAsia="Times New Roman" w:hAnsi="Verdana" w:cs="Arial"/>
              </w:rPr>
            </w:pPr>
          </w:p>
          <w:p w14:paraId="4C906CA1" w14:textId="54950893" w:rsidR="009D70F0" w:rsidRDefault="255B8E3C" w:rsidP="006403F4">
            <w:pPr>
              <w:spacing w:before="120" w:after="120" w:line="276" w:lineRule="auto"/>
              <w:jc w:val="both"/>
              <w:rPr>
                <w:rFonts w:ascii="Verdana" w:eastAsia="Times New Roman" w:hAnsi="Verdana" w:cs="Arial"/>
              </w:rPr>
            </w:pPr>
            <w:r w:rsidRPr="59BF43AD">
              <w:rPr>
                <w:rFonts w:ascii="Verdana" w:eastAsia="Verdana" w:hAnsi="Verdana" w:cs="Verdana"/>
              </w:rPr>
              <w:t xml:space="preserve">Asimismo, se recuerda que corresponde a la entidad contratante determinar si un determinado objeto contractual está o no cobijado por los Documentos Tipo, o si </w:t>
            </w:r>
            <w:r w:rsidR="00DE4EBE" w:rsidRPr="59BF43AD">
              <w:rPr>
                <w:rFonts w:ascii="Verdana" w:eastAsia="Verdana" w:hAnsi="Verdana" w:cs="Verdana"/>
              </w:rPr>
              <w:t>se enmarca en</w:t>
            </w:r>
            <w:r w:rsidRPr="59BF43AD">
              <w:rPr>
                <w:rFonts w:ascii="Verdana" w:eastAsia="Verdana" w:hAnsi="Verdana" w:cs="Verdana"/>
              </w:rPr>
              <w:t xml:space="preserve"> los tipos de infraestructura, modalidades de selección y clases de obra o consultoría estandarizadas en las respectivas matrices de experiencia de dichos documentos. En consecuencia, la aplicación de un Documento Tipo específico solo será obligatoria cuando se haya establecido que tanto el objeto contractual como la modalidad de contratación se </w:t>
            </w:r>
            <w:r w:rsidRPr="59BF43AD">
              <w:rPr>
                <w:rFonts w:ascii="Verdana" w:eastAsia="Verdana" w:hAnsi="Verdana" w:cs="Verdana"/>
              </w:rPr>
              <w:lastRenderedPageBreak/>
              <w:t xml:space="preserve">encuentran dentro del ámbito de aplicación de las resoluciones expedidas para los sectores de infraestructura de transporte, agua potable y saneamiento básico, y social. </w:t>
            </w:r>
          </w:p>
          <w:p w14:paraId="0D9CAB21" w14:textId="4C3CC5C6" w:rsidR="00293EEA" w:rsidRPr="00D06F11" w:rsidRDefault="00293EEA" w:rsidP="00EF0CD4">
            <w:pPr>
              <w:jc w:val="both"/>
              <w:rPr>
                <w:rFonts w:ascii="Verdana" w:eastAsia="Times New Roman" w:hAnsi="Verdana" w:cs="Arial"/>
                <w:bCs/>
              </w:rPr>
            </w:pPr>
          </w:p>
        </w:tc>
      </w:tr>
    </w:tbl>
    <w:p w14:paraId="001B65D4" w14:textId="77777777" w:rsidR="00293EEA" w:rsidRDefault="00293EEA" w:rsidP="00293EEA">
      <w:pPr>
        <w:tabs>
          <w:tab w:val="left" w:pos="142"/>
          <w:tab w:val="left" w:pos="284"/>
        </w:tabs>
        <w:spacing w:after="0" w:line="276" w:lineRule="auto"/>
        <w:jc w:val="both"/>
        <w:rPr>
          <w:rFonts w:ascii="Century Gothic" w:eastAsia="Century Gothic" w:hAnsi="Century Gothic" w:cs="Century Gothic"/>
          <w:b/>
          <w:bCs/>
          <w:lang w:val="es-ES"/>
        </w:rPr>
      </w:pPr>
    </w:p>
    <w:p w14:paraId="361E157D" w14:textId="77777777" w:rsidR="00293EEA" w:rsidRPr="009C5A97" w:rsidRDefault="00293EEA" w:rsidP="00293EEA">
      <w:pPr>
        <w:tabs>
          <w:tab w:val="left" w:pos="142"/>
          <w:tab w:val="left" w:pos="284"/>
        </w:tabs>
        <w:spacing w:after="0" w:line="276" w:lineRule="auto"/>
        <w:jc w:val="both"/>
        <w:rPr>
          <w:rFonts w:ascii="Century Gothic" w:eastAsia="Century Gothic" w:hAnsi="Century Gothic" w:cs="Century Gothic"/>
          <w:b/>
          <w:bCs/>
          <w:lang w:val="es-ES"/>
        </w:rPr>
      </w:pPr>
    </w:p>
    <w:p w14:paraId="3B2B1AFA" w14:textId="77777777" w:rsidR="00293EEA" w:rsidRPr="00C56A6D" w:rsidRDefault="00293EEA" w:rsidP="00293EEA">
      <w:pPr>
        <w:numPr>
          <w:ilvl w:val="0"/>
          <w:numId w:val="16"/>
        </w:numPr>
        <w:tabs>
          <w:tab w:val="left" w:pos="142"/>
          <w:tab w:val="left" w:pos="284"/>
        </w:tabs>
        <w:spacing w:after="0" w:line="276" w:lineRule="auto"/>
        <w:ind w:left="0" w:firstLine="0"/>
        <w:jc w:val="both"/>
        <w:rPr>
          <w:rFonts w:ascii="Verdana" w:eastAsia="Century Gothic" w:hAnsi="Verdana" w:cs="Century Gothic"/>
          <w:b/>
          <w:lang w:val="es-ES"/>
        </w:rPr>
      </w:pPr>
      <w:r w:rsidRPr="00C56A6D">
        <w:rPr>
          <w:rFonts w:ascii="Verdana" w:eastAsia="Century Gothic" w:hAnsi="Verdana" w:cs="Century Gothic"/>
          <w:b/>
          <w:lang w:val="es-ES"/>
        </w:rPr>
        <w:t>Razones de la respuesta:</w:t>
      </w:r>
    </w:p>
    <w:p w14:paraId="7FB6C461" w14:textId="77777777" w:rsidR="00293EEA" w:rsidRPr="00C56A6D" w:rsidRDefault="00293EEA" w:rsidP="00293EEA">
      <w:pPr>
        <w:spacing w:after="0" w:line="276" w:lineRule="auto"/>
        <w:jc w:val="both"/>
        <w:rPr>
          <w:rFonts w:ascii="Verdana" w:eastAsia="Calibri" w:hAnsi="Verdana" w:cs="Arial"/>
          <w:color w:val="7030A0"/>
          <w:lang w:val="es-ES"/>
        </w:rPr>
      </w:pPr>
    </w:p>
    <w:p w14:paraId="2198BC18" w14:textId="77777777" w:rsidR="00293EEA" w:rsidRDefault="00293EEA" w:rsidP="00293EEA">
      <w:pPr>
        <w:spacing w:after="0" w:line="276" w:lineRule="auto"/>
        <w:jc w:val="both"/>
        <w:rPr>
          <w:rFonts w:ascii="Verdana" w:eastAsia="Calibri" w:hAnsi="Verdana" w:cs="Arial"/>
          <w:lang w:val="es-ES"/>
        </w:rPr>
      </w:pPr>
      <w:r w:rsidRPr="009C5A97">
        <w:rPr>
          <w:rFonts w:ascii="Verdana" w:eastAsia="Calibri" w:hAnsi="Verdana" w:cs="Arial"/>
          <w:lang w:val="es-ES"/>
        </w:rPr>
        <w:t>Lo anterior se sustenta en las siguientes consideraciones:</w:t>
      </w:r>
    </w:p>
    <w:p w14:paraId="7B74AC1F" w14:textId="77777777" w:rsidR="00293EEA" w:rsidRDefault="00293EEA" w:rsidP="00293EEA">
      <w:pPr>
        <w:spacing w:after="0" w:line="276" w:lineRule="auto"/>
        <w:jc w:val="both"/>
        <w:rPr>
          <w:rFonts w:ascii="Verdana" w:eastAsia="Calibri" w:hAnsi="Verdana" w:cs="Arial"/>
          <w:lang w:val="es-ES"/>
        </w:rPr>
      </w:pPr>
    </w:p>
    <w:p w14:paraId="45FC256F" w14:textId="77777777" w:rsidR="00293EEA" w:rsidRPr="00AB3A5C" w:rsidRDefault="00293EEA" w:rsidP="00293EEA">
      <w:pPr>
        <w:spacing w:after="0" w:line="240" w:lineRule="auto"/>
        <w:ind w:firstLine="708"/>
        <w:jc w:val="both"/>
        <w:rPr>
          <w:rFonts w:ascii="Verdana" w:eastAsia="Times New Roman" w:hAnsi="Verdana" w:cs="Arial"/>
        </w:rPr>
      </w:pPr>
      <w:r w:rsidRPr="00AB3A5C">
        <w:rPr>
          <w:rFonts w:ascii="Verdana" w:eastAsia="Times New Roman" w:hAnsi="Verdana" w:cs="Arial"/>
        </w:rPr>
        <w:t>El artículo 1 de la Ley 2022 de 2020 otorgó a la Agencia Nacional de Contratación Pública – Colombia Compra Eficiente la competencia para adoptar los documentos tipo. Asimismo, reiteró la obligatoriedad de su uso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7534FD0C" w14:textId="77777777" w:rsidR="00293EEA" w:rsidRPr="00AB3A5C" w:rsidRDefault="00293EEA" w:rsidP="00293EEA">
      <w:pPr>
        <w:spacing w:after="0" w:line="240" w:lineRule="auto"/>
        <w:ind w:firstLine="708"/>
        <w:jc w:val="both"/>
        <w:rPr>
          <w:rFonts w:ascii="Verdana" w:eastAsia="Times New Roman" w:hAnsi="Verdana" w:cs="Arial"/>
        </w:rPr>
      </w:pPr>
    </w:p>
    <w:p w14:paraId="0CDC9A84" w14:textId="77777777" w:rsidR="00293EEA" w:rsidRPr="00AB3A5C" w:rsidRDefault="00293EEA" w:rsidP="00293EEA">
      <w:pPr>
        <w:spacing w:after="0" w:line="240" w:lineRule="auto"/>
        <w:ind w:firstLine="708"/>
        <w:jc w:val="both"/>
        <w:rPr>
          <w:rFonts w:ascii="Verdana" w:eastAsia="Times New Roman" w:hAnsi="Verdana" w:cs="Arial"/>
          <w:lang w:val="es-ES"/>
        </w:rPr>
      </w:pPr>
      <w:r w:rsidRPr="00AB3A5C">
        <w:rPr>
          <w:rFonts w:ascii="Verdana" w:eastAsia="Times New Roman" w:hAnsi="Verdana" w:cs="Arial"/>
          <w:lang w:val="es-ES"/>
        </w:rPr>
        <w:t xml:space="preserve">Así, en desarrollo de la Ley 2022 de 2020, la Agencia Nacional de Contratación Pública – Colombia Compra Eficiente expidió la Resolución 219 del 6 de agosto de 2021, </w:t>
      </w:r>
      <w:r w:rsidRPr="00AB3A5C">
        <w:rPr>
          <w:rFonts w:ascii="Verdana" w:eastAsia="Times New Roman" w:hAnsi="Verdana" w:cs="Arial"/>
        </w:rPr>
        <w:t>"</w:t>
      </w:r>
      <w:r w:rsidRPr="00AB3A5C">
        <w:rPr>
          <w:rFonts w:ascii="Verdana" w:eastAsia="Times New Roman" w:hAnsi="Verdana" w:cs="Arial"/>
          <w:lang w:val="es-ES"/>
        </w:rPr>
        <w:t>Por la cual se adoptan los documentos tipo para los procesos de licitación de obra pública de infraestructura social</w:t>
      </w:r>
      <w:r w:rsidRPr="00AB3A5C">
        <w:rPr>
          <w:rFonts w:ascii="Verdana" w:eastAsia="Times New Roman" w:hAnsi="Verdana" w:cs="Arial"/>
        </w:rPr>
        <w:t>"</w:t>
      </w:r>
      <w:r w:rsidRPr="00AB3A5C">
        <w:rPr>
          <w:rFonts w:ascii="Verdana" w:eastAsia="Times New Roman" w:hAnsi="Verdana" w:cs="Arial"/>
          <w:lang w:val="es-ES"/>
        </w:rPr>
        <w:t xml:space="preserve">. Dentro de esta categoría fue incluida la infraestructura asociada a los sectores de la salud, el educativo y el de cultura, recreación y deporte, tal como lo establece el parágrafo 2 del artículo 2 de la resolución indicada, de la siguiente manera: </w:t>
      </w:r>
    </w:p>
    <w:p w14:paraId="062075D3" w14:textId="77777777" w:rsidR="00293EEA" w:rsidRPr="00AB3A5C" w:rsidRDefault="00293EEA" w:rsidP="00293EEA">
      <w:pPr>
        <w:spacing w:after="0" w:line="240" w:lineRule="auto"/>
        <w:ind w:firstLine="708"/>
        <w:jc w:val="both"/>
        <w:rPr>
          <w:rFonts w:ascii="Verdana" w:eastAsia="Times New Roman" w:hAnsi="Verdana" w:cs="Arial"/>
          <w:lang w:val="es-ES"/>
        </w:rPr>
      </w:pPr>
    </w:p>
    <w:p w14:paraId="2654D826" w14:textId="77777777" w:rsidR="00293EEA" w:rsidRPr="007B60CC" w:rsidRDefault="00293EEA" w:rsidP="00293EEA">
      <w:pPr>
        <w:spacing w:after="0" w:line="240" w:lineRule="auto"/>
        <w:ind w:left="708" w:right="709"/>
        <w:jc w:val="both"/>
        <w:rPr>
          <w:rFonts w:ascii="Verdana" w:eastAsia="Times New Roman" w:hAnsi="Verdana" w:cs="Arial"/>
          <w:sz w:val="20"/>
          <w:szCs w:val="20"/>
          <w:lang w:val="es-ES"/>
        </w:rPr>
      </w:pPr>
      <w:r w:rsidRPr="007B60CC">
        <w:rPr>
          <w:rFonts w:ascii="Verdana" w:eastAsia="Times New Roman" w:hAnsi="Verdana" w:cs="Arial"/>
          <w:sz w:val="20"/>
          <w:szCs w:val="20"/>
        </w:rPr>
        <w:t>"</w:t>
      </w:r>
      <w:r w:rsidRPr="007B60CC">
        <w:rPr>
          <w:rFonts w:ascii="Verdana" w:eastAsia="Times New Roman" w:hAnsi="Verdana" w:cs="Arial"/>
          <w:sz w:val="20"/>
          <w:szCs w:val="20"/>
          <w:lang w:val="es-ES"/>
        </w:rPr>
        <w:t>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r w:rsidRPr="007B60CC">
        <w:rPr>
          <w:rFonts w:ascii="Verdana" w:eastAsia="Times New Roman" w:hAnsi="Verdana" w:cs="Arial"/>
          <w:sz w:val="20"/>
          <w:szCs w:val="20"/>
        </w:rPr>
        <w:t>"</w:t>
      </w:r>
      <w:r w:rsidRPr="007B60CC">
        <w:rPr>
          <w:rFonts w:ascii="Verdana" w:eastAsia="Times New Roman" w:hAnsi="Verdana" w:cs="Arial"/>
          <w:sz w:val="20"/>
          <w:szCs w:val="20"/>
          <w:lang w:val="es-ES"/>
        </w:rPr>
        <w:t xml:space="preserve">. </w:t>
      </w:r>
    </w:p>
    <w:p w14:paraId="1FF501FF" w14:textId="77777777" w:rsidR="00293EEA" w:rsidRPr="00AB3A5C" w:rsidRDefault="00293EEA" w:rsidP="00293EEA">
      <w:pPr>
        <w:spacing w:after="0"/>
        <w:jc w:val="both"/>
        <w:rPr>
          <w:rFonts w:ascii="Verdana" w:eastAsia="Times New Roman" w:hAnsi="Verdana" w:cs="Arial"/>
          <w:lang w:val="es-ES"/>
        </w:rPr>
      </w:pPr>
      <w:r w:rsidRPr="00AB3A5C">
        <w:rPr>
          <w:rFonts w:ascii="Verdana" w:eastAsia="Times New Roman" w:hAnsi="Verdana" w:cs="Arial"/>
          <w:lang w:val="es-ES"/>
        </w:rPr>
        <w:tab/>
      </w:r>
    </w:p>
    <w:p w14:paraId="155A6576"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w:t>
      </w:r>
      <w:r w:rsidRPr="00AB3A5C">
        <w:rPr>
          <w:rFonts w:ascii="Verdana" w:eastAsia="Times New Roman" w:hAnsi="Verdana" w:cs="Arial"/>
          <w:lang w:val="es-ES"/>
        </w:rPr>
        <w:lastRenderedPageBreak/>
        <w:t xml:space="preserve">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47F320D4" w14:textId="77777777" w:rsidR="00293EEA" w:rsidRPr="00AB3A5C" w:rsidRDefault="00293EEA" w:rsidP="00293EEA">
      <w:pPr>
        <w:spacing w:after="0" w:line="240" w:lineRule="auto"/>
        <w:ind w:firstLine="708"/>
        <w:jc w:val="both"/>
        <w:rPr>
          <w:rFonts w:ascii="Verdana" w:eastAsia="Times New Roman" w:hAnsi="Verdana" w:cs="Arial"/>
          <w:lang w:val="es-ES"/>
        </w:rPr>
      </w:pPr>
    </w:p>
    <w:p w14:paraId="553F515C"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bCs/>
          <w:lang w:val="es-ES"/>
        </w:rPr>
        <w:t xml:space="preserve">El 16 de diciembre de 2021, se adoptaron los documentos tipo complementarios para los procesos de licitación de obra pública de infraestructura social relacionados con el </w:t>
      </w:r>
      <w:r w:rsidRPr="00AB3A5C">
        <w:rPr>
          <w:rFonts w:ascii="Verdana" w:eastAsia="Times New Roman" w:hAnsi="Verdana" w:cs="Arial"/>
          <w:bCs/>
          <w:i/>
          <w:iCs/>
          <w:lang w:val="es-ES"/>
        </w:rPr>
        <w:t>sector de cultura, recreación y deporte</w:t>
      </w:r>
      <w:r w:rsidRPr="00AB3A5C">
        <w:rPr>
          <w:rFonts w:ascii="Verdana" w:eastAsia="Times New Roman" w:hAnsi="Verdana" w:cs="Arial"/>
          <w:bCs/>
          <w:i/>
          <w:lang w:val="es-ES"/>
        </w:rPr>
        <w:t xml:space="preserve">, </w:t>
      </w:r>
      <w:r w:rsidRPr="00AB3A5C">
        <w:rPr>
          <w:rFonts w:ascii="Verdana" w:eastAsia="Times New Roman" w:hAnsi="Verdana" w:cs="Arial"/>
          <w:bCs/>
          <w:lang w:val="es-ES"/>
        </w:rPr>
        <w:t xml:space="preserve">mediante la </w:t>
      </w:r>
      <w:r w:rsidRPr="00AB3A5C">
        <w:rPr>
          <w:rFonts w:ascii="Verdana" w:eastAsia="Times New Roman" w:hAnsi="Verdana" w:cs="Arial"/>
          <w:lang w:val="es-ES"/>
        </w:rPr>
        <w:t xml:space="preserve">Resolución No. 454 de 2021. </w:t>
      </w:r>
    </w:p>
    <w:p w14:paraId="79212949" w14:textId="77777777" w:rsidR="00293EEA" w:rsidRPr="00AB3A5C" w:rsidRDefault="00293EEA" w:rsidP="00293EEA">
      <w:pPr>
        <w:spacing w:after="0"/>
        <w:ind w:firstLine="708"/>
        <w:jc w:val="both"/>
        <w:rPr>
          <w:rFonts w:ascii="Verdana" w:eastAsia="Times New Roman" w:hAnsi="Verdana" w:cs="Arial"/>
          <w:lang w:val="es-ES"/>
        </w:rPr>
      </w:pPr>
    </w:p>
    <w:p w14:paraId="0839C0D2"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Esta </w:t>
      </w:r>
      <w:proofErr w:type="spellStart"/>
      <w:r w:rsidRPr="00AB3A5C">
        <w:rPr>
          <w:rFonts w:ascii="Verdana" w:eastAsia="Times New Roman" w:hAnsi="Verdana" w:cs="Arial"/>
          <w:lang w:val="es-ES"/>
        </w:rPr>
        <w:t>Resoluci</w:t>
      </w:r>
      <w:r w:rsidRPr="00AB3A5C">
        <w:rPr>
          <w:rFonts w:ascii="Verdana" w:eastAsia="Times New Roman" w:hAnsi="Verdana" w:cs="Arial"/>
        </w:rPr>
        <w:t>ón</w:t>
      </w:r>
      <w:proofErr w:type="spellEnd"/>
      <w:r w:rsidRPr="00AB3A5C">
        <w:rPr>
          <w:rFonts w:ascii="Verdana" w:eastAsia="Times New Roman" w:hAnsi="Verdana" w:cs="Arial"/>
          <w:lang w:val="es-ES"/>
        </w:rPr>
        <w:t xml:space="preserve">, en su artículo 2, desarrolla el </w:t>
      </w:r>
      <w:r w:rsidRPr="00C17E06">
        <w:rPr>
          <w:rFonts w:ascii="Verdana" w:eastAsia="Times New Roman" w:hAnsi="Verdana" w:cs="Arial"/>
        </w:rPr>
        <w:t>"</w:t>
      </w:r>
      <w:r w:rsidRPr="00C17E06">
        <w:rPr>
          <w:rFonts w:ascii="Verdana" w:eastAsia="Times New Roman" w:hAnsi="Verdana" w:cs="Arial"/>
          <w:sz w:val="21"/>
          <w:szCs w:val="21"/>
          <w:lang w:val="es-ES"/>
        </w:rPr>
        <w:t xml:space="preserve">Anexo -Glosario Sector de </w:t>
      </w:r>
      <w:r w:rsidRPr="00C17E06">
        <w:rPr>
          <w:rFonts w:ascii="Verdana" w:eastAsia="Times New Roman" w:hAnsi="Verdana" w:cs="Arial"/>
          <w:bCs/>
          <w:lang w:val="es-ES"/>
        </w:rPr>
        <w:t>cultura, recreación y deporte</w:t>
      </w:r>
      <w:r w:rsidRPr="00C17E06">
        <w:rPr>
          <w:rFonts w:ascii="Verdana" w:eastAsia="Times New Roman" w:hAnsi="Verdana" w:cs="Arial"/>
          <w:sz w:val="21"/>
          <w:szCs w:val="21"/>
        </w:rPr>
        <w:t xml:space="preserve"> "</w:t>
      </w:r>
      <w:r w:rsidRPr="00C17E06">
        <w:rPr>
          <w:rFonts w:ascii="Verdana" w:eastAsia="Times New Roman" w:hAnsi="Verdana" w:cs="Arial"/>
          <w:sz w:val="21"/>
          <w:szCs w:val="21"/>
          <w:lang w:val="es-ES"/>
        </w:rPr>
        <w:t xml:space="preserve"> y la </w:t>
      </w:r>
      <w:r w:rsidRPr="00C17E06">
        <w:rPr>
          <w:rFonts w:ascii="Verdana" w:eastAsia="Times New Roman" w:hAnsi="Verdana" w:cs="Arial"/>
          <w:sz w:val="21"/>
          <w:szCs w:val="21"/>
        </w:rPr>
        <w:t>"Matriz – Experiencia</w:t>
      </w:r>
      <w:r w:rsidRPr="00C17E06">
        <w:rPr>
          <w:rFonts w:ascii="Verdana" w:eastAsia="Times New Roman" w:hAnsi="Verdana" w:cs="Arial"/>
          <w:sz w:val="21"/>
          <w:szCs w:val="21"/>
          <w:lang w:val="es-ES"/>
        </w:rPr>
        <w:t xml:space="preserve"> para proyectos de infraestructura social para el sector de </w:t>
      </w:r>
      <w:r w:rsidRPr="00C17E06">
        <w:rPr>
          <w:rFonts w:ascii="Verdana" w:eastAsia="Times New Roman" w:hAnsi="Verdana" w:cs="Arial"/>
          <w:bCs/>
          <w:lang w:val="es-ES"/>
        </w:rPr>
        <w:t>cultura, recreación y deporte</w:t>
      </w:r>
      <w:r w:rsidRPr="00AB3A5C">
        <w:rPr>
          <w:rFonts w:ascii="Verdana" w:eastAsia="Times New Roman" w:hAnsi="Verdana" w:cs="Arial"/>
        </w:rPr>
        <w:t xml:space="preserve"> "</w:t>
      </w:r>
      <w:r w:rsidRPr="00AB3A5C">
        <w:rPr>
          <w:rFonts w:ascii="Verdana" w:eastAsia="Times New Roman" w:hAnsi="Verdana" w:cs="Arial"/>
          <w:lang w:val="es-ES"/>
        </w:rPr>
        <w:t xml:space="preserve"> lo que significa que estos documentos definen el alcance para ese sector específicamente. </w:t>
      </w:r>
    </w:p>
    <w:p w14:paraId="2AA6EFF6" w14:textId="77777777" w:rsidR="00293EEA" w:rsidRPr="00AB3A5C" w:rsidRDefault="00293EEA" w:rsidP="00293EEA">
      <w:pPr>
        <w:spacing w:after="0"/>
        <w:ind w:firstLine="708"/>
        <w:jc w:val="both"/>
        <w:rPr>
          <w:rFonts w:ascii="Verdana" w:eastAsia="Times New Roman" w:hAnsi="Verdana" w:cs="Arial"/>
          <w:lang w:val="es-ES"/>
        </w:rPr>
      </w:pPr>
    </w:p>
    <w:p w14:paraId="615088A2"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Del mismo modo, la Matriz de experiencia del sector de cultura, recreación y deporte, además de estandarizar el requisito habilitante de experiencia, señala los proyectos o contratos concretos a los cuales aplican los documentos tipo, en el entendido que aplicarán a los procesos contractuales cuyo objeto se relacione con alguna de las actividades establecidas de forma detallada en la Matriz de experiencia respectiva.</w:t>
      </w:r>
    </w:p>
    <w:p w14:paraId="699687A4" w14:textId="77777777" w:rsidR="00293EEA" w:rsidRPr="00AB3A5C" w:rsidRDefault="00293EEA" w:rsidP="00293EEA">
      <w:pPr>
        <w:spacing w:after="0"/>
        <w:jc w:val="both"/>
        <w:rPr>
          <w:rFonts w:ascii="Verdana" w:eastAsia="Times New Roman" w:hAnsi="Verdana" w:cs="Arial"/>
          <w:lang w:val="es-ES"/>
        </w:rPr>
      </w:pPr>
    </w:p>
    <w:p w14:paraId="4EDE81C8"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La matriz de experiencia de los documentos tipo complementarios que se adoptaron con la Resolución 454 del 16 de diciembre de 2021 aplica en </w:t>
      </w:r>
      <w:r w:rsidRPr="00AB3A5C">
        <w:rPr>
          <w:rFonts w:ascii="Verdana" w:eastAsia="Times New Roman" w:hAnsi="Verdana" w:cs="Arial"/>
        </w:rPr>
        <w:t>e</w:t>
      </w:r>
      <w:r w:rsidRPr="00AB3A5C">
        <w:rPr>
          <w:rFonts w:ascii="Verdana" w:eastAsia="Times New Roman" w:hAnsi="Verdana" w:cs="Arial"/>
          <w:lang w:val="es-ES"/>
        </w:rPr>
        <w:t xml:space="preserve">l sector de </w:t>
      </w:r>
      <w:r w:rsidRPr="00AB3A5C">
        <w:rPr>
          <w:rFonts w:ascii="Verdana" w:eastAsia="Times New Roman" w:hAnsi="Verdana" w:cs="Arial"/>
          <w:bCs/>
          <w:lang w:val="es-ES"/>
        </w:rPr>
        <w:t>cultura, recreación y deporte</w:t>
      </w:r>
      <w:r w:rsidRPr="00AB3A5C">
        <w:rPr>
          <w:rFonts w:ascii="Verdana" w:eastAsia="Times New Roman" w:hAnsi="Verdana" w:cs="Arial"/>
          <w:lang w:val="es-ES"/>
        </w:rPr>
        <w:t xml:space="preserve"> a dos (2) tipos de obras: i) Obras en infraestructura cultural y </w:t>
      </w:r>
      <w:proofErr w:type="spellStart"/>
      <w:r w:rsidRPr="00AB3A5C">
        <w:rPr>
          <w:rFonts w:ascii="Verdana" w:eastAsia="Times New Roman" w:hAnsi="Verdana" w:cs="Arial"/>
          <w:lang w:val="es-ES"/>
        </w:rPr>
        <w:t>ii</w:t>
      </w:r>
      <w:proofErr w:type="spellEnd"/>
      <w:r w:rsidRPr="00AB3A5C">
        <w:rPr>
          <w:rFonts w:ascii="Verdana" w:eastAsia="Times New Roman" w:hAnsi="Verdana" w:cs="Arial"/>
          <w:lang w:val="es-ES"/>
        </w:rPr>
        <w:t xml:space="preserve">) Obras en infraestructura recreo deportiva. A su vez, en la </w:t>
      </w:r>
      <w:r w:rsidRPr="00AB3A5C">
        <w:rPr>
          <w:rFonts w:ascii="Verdana" w:eastAsia="Times New Roman" w:hAnsi="Verdana" w:cs="Arial"/>
        </w:rPr>
        <w:t>"Matriz – Experiencia</w:t>
      </w:r>
      <w:r w:rsidRPr="00AB3A5C">
        <w:rPr>
          <w:rFonts w:ascii="Verdana" w:eastAsia="Times New Roman" w:hAnsi="Verdana" w:cs="Arial"/>
          <w:lang w:val="es-ES"/>
        </w:rPr>
        <w:t xml:space="preserve"> para proyectos de infraestructura social para el sector de </w:t>
      </w:r>
      <w:r w:rsidRPr="00AB3A5C">
        <w:rPr>
          <w:rFonts w:ascii="Verdana" w:eastAsia="Times New Roman" w:hAnsi="Verdana" w:cs="Arial"/>
          <w:bCs/>
          <w:lang w:val="es-ES"/>
        </w:rPr>
        <w:t>cultura, recreación y deporte</w:t>
      </w:r>
      <w:r w:rsidRPr="00AB3A5C">
        <w:rPr>
          <w:rFonts w:ascii="Verdana" w:eastAsia="Times New Roman" w:hAnsi="Verdana" w:cs="Arial"/>
        </w:rPr>
        <w:t>"</w:t>
      </w:r>
      <w:r w:rsidRPr="00AB3A5C">
        <w:rPr>
          <w:rFonts w:ascii="Verdana" w:eastAsia="Times New Roman" w:hAnsi="Verdana" w:cs="Arial"/>
          <w:lang w:val="es-ES"/>
        </w:rPr>
        <w:t xml:space="preserve"> se establece cada una de las actividades a contratar que hacen parte de un tipo o grupo de infraestructura, los cuales contemplan las condiciones y requerimientos de experiencia general y específica. </w:t>
      </w:r>
    </w:p>
    <w:p w14:paraId="4925C261" w14:textId="77777777" w:rsidR="00293EEA" w:rsidRPr="00AB3A5C" w:rsidRDefault="00293EEA" w:rsidP="00293EEA">
      <w:pPr>
        <w:spacing w:after="0"/>
        <w:jc w:val="both"/>
        <w:rPr>
          <w:rFonts w:ascii="Verdana" w:eastAsia="Times New Roman" w:hAnsi="Verdana" w:cs="Arial"/>
          <w:lang w:val="es-ES"/>
        </w:rPr>
      </w:pPr>
    </w:p>
    <w:p w14:paraId="489ECC38"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La experiencia específica, dependiendo del tipo de </w:t>
      </w:r>
      <w:r w:rsidRPr="00AB3A5C">
        <w:rPr>
          <w:rFonts w:ascii="Verdana" w:eastAsia="Times New Roman" w:hAnsi="Verdana" w:cs="Arial"/>
        </w:rPr>
        <w:t>"</w:t>
      </w:r>
      <w:r w:rsidRPr="00AB3A5C">
        <w:rPr>
          <w:rFonts w:ascii="Verdana" w:eastAsia="Times New Roman" w:hAnsi="Verdana" w:cs="Arial"/>
          <w:lang w:val="es-ES"/>
        </w:rPr>
        <w:t>actividad a contratar</w:t>
      </w:r>
      <w:r w:rsidRPr="00AB3A5C">
        <w:rPr>
          <w:rFonts w:ascii="Verdana" w:eastAsia="Times New Roman" w:hAnsi="Verdana" w:cs="Arial"/>
        </w:rPr>
        <w:t>"</w:t>
      </w:r>
      <w:r w:rsidRPr="00AB3A5C">
        <w:rPr>
          <w:rFonts w:ascii="Verdana" w:eastAsia="Times New Roman" w:hAnsi="Verdana" w:cs="Arial"/>
          <w:lang w:val="es-ES"/>
        </w:rPr>
        <w:t xml:space="preserve"> puede contener un </w:t>
      </w:r>
      <w:r w:rsidRPr="00AB3A5C">
        <w:rPr>
          <w:rFonts w:ascii="Verdana" w:eastAsia="Times New Roman" w:hAnsi="Verdana" w:cs="Arial"/>
        </w:rPr>
        <w:t>"</w:t>
      </w:r>
      <w:r w:rsidRPr="00AB3A5C">
        <w:rPr>
          <w:rFonts w:ascii="Verdana" w:eastAsia="Times New Roman" w:hAnsi="Verdana" w:cs="Arial"/>
          <w:lang w:val="es-ES"/>
        </w:rPr>
        <w:t>% de dimensionamiento</w:t>
      </w:r>
      <w:r w:rsidRPr="00AB3A5C">
        <w:rPr>
          <w:rFonts w:ascii="Verdana" w:eastAsia="Times New Roman" w:hAnsi="Verdana" w:cs="Arial"/>
        </w:rPr>
        <w:t>"</w:t>
      </w:r>
      <w:r w:rsidRPr="00AB3A5C">
        <w:rPr>
          <w:rFonts w:ascii="Verdana" w:eastAsia="Times New Roman" w:hAnsi="Verdana" w:cs="Arial"/>
          <w:lang w:val="es-ES"/>
        </w:rPr>
        <w:t xml:space="preserve"> con la implementación de un factor (F%), el cual es definido por el rango de SMMLV, en el cual se encuentre el presupuesto oficial para el proceso de contratación. Así mismo, en la parte inferior de la matriz se establecen los lineamientos para su aplicación, incluyendo aspectos asociados con la forma en la cual se establecen las reglas de combinaciones entre las diferentes </w:t>
      </w:r>
      <w:r w:rsidRPr="00AB3A5C">
        <w:rPr>
          <w:rFonts w:ascii="Verdana" w:eastAsia="Times New Roman" w:hAnsi="Verdana" w:cs="Arial"/>
        </w:rPr>
        <w:t>"</w:t>
      </w:r>
      <w:r w:rsidRPr="00AB3A5C">
        <w:rPr>
          <w:rFonts w:ascii="Verdana" w:eastAsia="Times New Roman" w:hAnsi="Verdana" w:cs="Arial"/>
          <w:lang w:val="es-ES"/>
        </w:rPr>
        <w:t>actividades a contratar</w:t>
      </w:r>
      <w:r w:rsidRPr="00AB3A5C">
        <w:rPr>
          <w:rFonts w:ascii="Verdana" w:eastAsia="Times New Roman" w:hAnsi="Verdana" w:cs="Arial"/>
        </w:rPr>
        <w:t>"</w:t>
      </w:r>
      <w:r w:rsidRPr="00AB3A5C">
        <w:rPr>
          <w:rFonts w:ascii="Verdana" w:eastAsia="Times New Roman" w:hAnsi="Verdana" w:cs="Arial"/>
          <w:lang w:val="es-ES"/>
        </w:rPr>
        <w:t>, y aspectos generales de la “Matriz 1- Experiencia”.</w:t>
      </w:r>
    </w:p>
    <w:p w14:paraId="0F0D570A" w14:textId="77777777" w:rsidR="00293EEA" w:rsidRPr="00AB3A5C" w:rsidRDefault="00293EEA" w:rsidP="00293EEA">
      <w:pPr>
        <w:spacing w:after="0"/>
        <w:ind w:firstLine="708"/>
        <w:jc w:val="both"/>
        <w:rPr>
          <w:rFonts w:ascii="Verdana" w:eastAsia="Times New Roman" w:hAnsi="Verdana" w:cs="Arial"/>
          <w:lang w:val="es-ES"/>
        </w:rPr>
      </w:pPr>
    </w:p>
    <w:p w14:paraId="0DD0D42E"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AB3A5C">
        <w:rPr>
          <w:rFonts w:ascii="Verdana" w:eastAsia="Times New Roman" w:hAnsi="Verdana" w:cs="Arial"/>
          <w:lang w:val="es-ES"/>
        </w:rPr>
        <w:t>ii</w:t>
      </w:r>
      <w:proofErr w:type="spellEnd"/>
      <w:r w:rsidRPr="00AB3A5C">
        <w:rPr>
          <w:rFonts w:ascii="Verdana" w:eastAsia="Times New Roman" w:hAnsi="Verdana" w:cs="Arial"/>
          <w:lang w:val="es-ES"/>
        </w:rPr>
        <w:t xml:space="preserve">) la actividad a contratar y </w:t>
      </w:r>
      <w:proofErr w:type="spellStart"/>
      <w:r w:rsidRPr="00AB3A5C">
        <w:rPr>
          <w:rFonts w:ascii="Verdana" w:eastAsia="Times New Roman" w:hAnsi="Verdana" w:cs="Arial"/>
          <w:lang w:val="es-ES"/>
        </w:rPr>
        <w:t>iii</w:t>
      </w:r>
      <w:proofErr w:type="spellEnd"/>
      <w:r w:rsidRPr="00AB3A5C">
        <w:rPr>
          <w:rFonts w:ascii="Verdana" w:eastAsia="Times New Roman" w:hAnsi="Verdana" w:cs="Arial"/>
          <w:lang w:val="es-ES"/>
        </w:rPr>
        <w:t>) la cuantía del proceso de contratación.</w:t>
      </w:r>
    </w:p>
    <w:p w14:paraId="1F68AF5F" w14:textId="77777777" w:rsidR="00293EEA" w:rsidRPr="00AB3A5C" w:rsidRDefault="00293EEA" w:rsidP="00293EEA">
      <w:pPr>
        <w:spacing w:after="0" w:line="240" w:lineRule="auto"/>
        <w:jc w:val="both"/>
        <w:rPr>
          <w:rFonts w:ascii="Verdana" w:eastAsia="Times New Roman" w:hAnsi="Verdana" w:cs="Arial"/>
        </w:rPr>
      </w:pPr>
    </w:p>
    <w:p w14:paraId="0E1C8E01" w14:textId="77777777" w:rsidR="00293EEA" w:rsidRPr="00AB3A5C" w:rsidRDefault="00293EEA" w:rsidP="00293EEA">
      <w:pPr>
        <w:spacing w:after="0"/>
        <w:ind w:firstLine="708"/>
        <w:jc w:val="both"/>
        <w:rPr>
          <w:rFonts w:ascii="Verdana" w:eastAsia="Times New Roman" w:hAnsi="Verdana" w:cs="Arial"/>
          <w:i/>
          <w:iCs/>
          <w:sz w:val="21"/>
          <w:szCs w:val="21"/>
        </w:rPr>
      </w:pPr>
      <w:r w:rsidRPr="00AB3A5C">
        <w:rPr>
          <w:rFonts w:ascii="Verdana" w:eastAsia="Times New Roman" w:hAnsi="Verdana" w:cs="Arial"/>
        </w:rPr>
        <w:t>Concretamente, para dar respuesta a su consulta relacionada a conocer si un proceso contractual bajo la modalidad licitación pública cuyo objeto es la construcción y/o adecuación de casetas comunales le son aplicables los documentos tipo de licitación de obra de infraestructura social.</w:t>
      </w:r>
    </w:p>
    <w:p w14:paraId="78808291" w14:textId="77777777" w:rsidR="00293EEA" w:rsidRPr="00AB3A5C" w:rsidRDefault="00293EEA" w:rsidP="00293EEA">
      <w:pPr>
        <w:spacing w:after="0"/>
        <w:ind w:firstLine="708"/>
        <w:jc w:val="both"/>
        <w:rPr>
          <w:rFonts w:ascii="Verdana" w:eastAsia="Times New Roman" w:hAnsi="Verdana" w:cs="Arial"/>
          <w:i/>
          <w:iCs/>
          <w:sz w:val="21"/>
          <w:szCs w:val="21"/>
        </w:rPr>
      </w:pPr>
    </w:p>
    <w:p w14:paraId="751DFC71" w14:textId="77777777" w:rsidR="00293EEA" w:rsidRPr="00AB3A5C" w:rsidRDefault="00293EEA" w:rsidP="00293EEA">
      <w:pPr>
        <w:spacing w:after="0"/>
        <w:jc w:val="both"/>
        <w:rPr>
          <w:rFonts w:ascii="Verdana" w:eastAsia="Times New Roman" w:hAnsi="Verdana" w:cs="Arial"/>
          <w:lang w:val="es-ES"/>
        </w:rPr>
      </w:pPr>
      <w:r w:rsidRPr="00AB3A5C">
        <w:rPr>
          <w:rFonts w:ascii="Verdana" w:eastAsia="Times New Roman" w:hAnsi="Verdana" w:cs="Arial"/>
          <w:lang w:val="es-ES"/>
        </w:rPr>
        <w:t xml:space="preserve">Al respecto, se deben tener en cuenta las siguientes consideraciones: </w:t>
      </w:r>
    </w:p>
    <w:p w14:paraId="1A6A805A" w14:textId="77777777" w:rsidR="00293EEA" w:rsidRPr="00AB3A5C" w:rsidRDefault="00293EEA" w:rsidP="00293EEA">
      <w:pPr>
        <w:spacing w:after="0"/>
        <w:jc w:val="both"/>
        <w:rPr>
          <w:rFonts w:ascii="Verdana" w:eastAsia="Times New Roman" w:hAnsi="Verdana" w:cs="Arial"/>
          <w:lang w:val="es-ES"/>
        </w:rPr>
      </w:pPr>
    </w:p>
    <w:p w14:paraId="02CAB592"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w:t>
      </w:r>
    </w:p>
    <w:p w14:paraId="35A45059" w14:textId="77777777" w:rsidR="00293EEA" w:rsidRPr="00AB3A5C" w:rsidRDefault="00293EEA" w:rsidP="00293EEA">
      <w:pPr>
        <w:spacing w:after="0"/>
        <w:jc w:val="both"/>
        <w:rPr>
          <w:rFonts w:ascii="Verdana" w:eastAsia="Times New Roman" w:hAnsi="Verdana" w:cs="Arial"/>
          <w:lang w:val="es-ES"/>
        </w:rPr>
      </w:pPr>
    </w:p>
    <w:p w14:paraId="7BAB238C"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w:t>
      </w:r>
    </w:p>
    <w:p w14:paraId="6F7FB20F" w14:textId="77777777" w:rsidR="00293EEA" w:rsidRPr="00AB3A5C" w:rsidRDefault="00293EEA" w:rsidP="00293EEA">
      <w:pPr>
        <w:spacing w:after="0"/>
        <w:jc w:val="both"/>
        <w:rPr>
          <w:rFonts w:ascii="Verdana" w:eastAsia="Times New Roman" w:hAnsi="Verdana" w:cs="Arial"/>
          <w:lang w:val="es-ES"/>
        </w:rPr>
      </w:pPr>
    </w:p>
    <w:p w14:paraId="10DEE190"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De esta manera solo resulta obligatoria la aplicación de un documento tipo </w:t>
      </w:r>
    </w:p>
    <w:p w14:paraId="51800B62" w14:textId="77777777" w:rsidR="00293EEA" w:rsidRPr="00AB3A5C" w:rsidRDefault="00293EEA" w:rsidP="00293EEA">
      <w:pPr>
        <w:spacing w:after="0"/>
        <w:jc w:val="both"/>
        <w:rPr>
          <w:rFonts w:ascii="Verdana" w:eastAsia="Times New Roman" w:hAnsi="Verdana" w:cs="Arial"/>
          <w:lang w:val="es-ES"/>
        </w:rPr>
      </w:pPr>
      <w:r w:rsidRPr="00AB3A5C">
        <w:rPr>
          <w:rFonts w:ascii="Verdana" w:eastAsia="Times New Roman" w:hAnsi="Verdana" w:cs="Arial"/>
          <w:lang w:val="es-ES"/>
        </w:rPr>
        <w:t>en particular cuando se ha establecido que en el objeto contractual y la modalidad en la que debe contratarse están dentro del ámbito de aplicación de las resoluciones expedidas para los sectores de infraestructura de transporte, infraestructura de agua potable</w:t>
      </w:r>
      <w:r>
        <w:rPr>
          <w:rFonts w:ascii="Verdana" w:eastAsia="Times New Roman" w:hAnsi="Verdana" w:cs="Arial"/>
          <w:lang w:val="es-ES"/>
        </w:rPr>
        <w:t xml:space="preserve">, </w:t>
      </w:r>
      <w:r w:rsidRPr="00AB3A5C">
        <w:rPr>
          <w:rFonts w:ascii="Verdana" w:eastAsia="Times New Roman" w:hAnsi="Verdana" w:cs="Arial"/>
          <w:lang w:val="es-ES"/>
        </w:rPr>
        <w:t>saneamiento básico</w:t>
      </w:r>
      <w:r>
        <w:rPr>
          <w:rFonts w:ascii="Verdana" w:eastAsia="Times New Roman" w:hAnsi="Verdana" w:cs="Arial"/>
          <w:lang w:val="es-ES"/>
        </w:rPr>
        <w:t xml:space="preserve"> e </w:t>
      </w:r>
      <w:r w:rsidRPr="00AB3A5C">
        <w:rPr>
          <w:rFonts w:ascii="Verdana" w:eastAsia="Times New Roman" w:hAnsi="Verdana" w:cs="Arial"/>
          <w:lang w:val="es-ES"/>
        </w:rPr>
        <w:t>infraestructura social.</w:t>
      </w:r>
    </w:p>
    <w:p w14:paraId="38417FAD" w14:textId="77777777" w:rsidR="00293EEA" w:rsidRPr="00AB3A5C" w:rsidRDefault="00293EEA" w:rsidP="00293EEA">
      <w:pPr>
        <w:spacing w:after="0"/>
        <w:jc w:val="both"/>
        <w:rPr>
          <w:rFonts w:ascii="Verdana" w:eastAsia="Times New Roman" w:hAnsi="Verdana" w:cs="Arial"/>
          <w:lang w:val="es-ES"/>
        </w:rPr>
      </w:pPr>
    </w:p>
    <w:p w14:paraId="43CBD7DB"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t xml:space="preserve">Sin perjuicio de lo anterior debe advertirse que el análisis requerido para </w:t>
      </w:r>
    </w:p>
    <w:p w14:paraId="7E24B563" w14:textId="77777777" w:rsidR="00293EEA" w:rsidRPr="00AB3A5C" w:rsidRDefault="00293EEA" w:rsidP="00293EEA">
      <w:pPr>
        <w:spacing w:after="0"/>
        <w:jc w:val="both"/>
        <w:rPr>
          <w:rFonts w:ascii="Verdana" w:eastAsia="Times New Roman" w:hAnsi="Verdana" w:cs="Arial"/>
          <w:lang w:val="es-ES"/>
        </w:rPr>
      </w:pPr>
      <w:r w:rsidRPr="00AB3A5C">
        <w:rPr>
          <w:rFonts w:ascii="Verdana" w:eastAsia="Times New Roman" w:hAnsi="Verdana" w:cs="Arial"/>
          <w:lang w:val="es-ES"/>
        </w:rPr>
        <w:t xml:space="preserve">establecer si a determinado objeto contractual le aplica o no un documento tipo debe ser realizado por la entidad contratante en consideración a las particularidades y especificaciones del respectivo objeto contractual, de acuerdo con lo explicado supra. </w:t>
      </w:r>
    </w:p>
    <w:p w14:paraId="614F8615" w14:textId="77777777" w:rsidR="00293EEA" w:rsidRPr="00AB3A5C" w:rsidRDefault="00293EEA" w:rsidP="00293EEA">
      <w:pPr>
        <w:spacing w:after="0"/>
        <w:jc w:val="both"/>
        <w:rPr>
          <w:rFonts w:ascii="Verdana" w:eastAsia="Times New Roman" w:hAnsi="Verdana" w:cs="Arial"/>
          <w:lang w:val="es-ES"/>
        </w:rPr>
      </w:pPr>
    </w:p>
    <w:p w14:paraId="42D7BBDB" w14:textId="77777777" w:rsidR="00293EEA" w:rsidRPr="00AB3A5C" w:rsidRDefault="00293EEA" w:rsidP="00293EEA">
      <w:pPr>
        <w:spacing w:after="0"/>
        <w:ind w:firstLine="708"/>
        <w:jc w:val="both"/>
        <w:rPr>
          <w:rFonts w:ascii="Verdana" w:eastAsia="Times New Roman" w:hAnsi="Verdana" w:cs="Arial"/>
          <w:lang w:val="es-ES"/>
        </w:rPr>
      </w:pPr>
      <w:r w:rsidRPr="00AB3A5C">
        <w:rPr>
          <w:rFonts w:ascii="Verdana" w:eastAsia="Times New Roman" w:hAnsi="Verdana" w:cs="Arial"/>
          <w:lang w:val="es-ES"/>
        </w:rPr>
        <w:lastRenderedPageBreak/>
        <w:t>De esta manera, lo explicado en el presente concepto no puede ser interpretado como un pronunciamiento respecto del objeto contractual aludido en la petición, ni las afirmaciones aquí realizadas pueden ser interpretadas como juicios de valor sobre circunstancias relacionadas con los hechos que motivan la petición.</w:t>
      </w:r>
    </w:p>
    <w:p w14:paraId="694E8D6F" w14:textId="77777777" w:rsidR="00293EEA" w:rsidRPr="00AB3A5C" w:rsidRDefault="00293EEA" w:rsidP="00293EEA">
      <w:pPr>
        <w:spacing w:after="0"/>
        <w:jc w:val="both"/>
        <w:rPr>
          <w:rFonts w:ascii="Verdana" w:eastAsia="Times New Roman" w:hAnsi="Verdana" w:cs="Arial"/>
          <w:lang w:val="es-ES"/>
        </w:rPr>
      </w:pPr>
    </w:p>
    <w:p w14:paraId="0594C31B" w14:textId="77777777" w:rsidR="00293EEA" w:rsidRPr="00AB3A5C" w:rsidRDefault="00293EEA" w:rsidP="00293EEA">
      <w:pPr>
        <w:spacing w:after="0" w:line="240" w:lineRule="auto"/>
        <w:ind w:firstLine="708"/>
        <w:jc w:val="both"/>
        <w:rPr>
          <w:rFonts w:ascii="Verdana" w:eastAsia="Times New Roman" w:hAnsi="Verdana" w:cs="Arial"/>
        </w:rPr>
      </w:pPr>
      <w:r w:rsidRPr="00AB3A5C">
        <w:rPr>
          <w:rFonts w:ascii="Verdana" w:eastAsia="Times New Roman" w:hAnsi="Verdana" w:cs="Arial"/>
        </w:rPr>
        <w:t>En conclusión, la matriz de experiencia del sector de cultura, recreación y deporte no contempla actualmente una actividad a contratar específica para casetas comunales, es decir que en principio una caseta comunal como único objeto de un proceso de contratación, no hace parte del ámbito de aplicación de los Documentos Tipo expedidos por parte de la ANCP-CCE, así las cosas, la entidad no estaría obligada a implementar en su proceso de contratación en la modalidad de Licitación de Obra pública la construcción de una caseta comunal.</w:t>
      </w:r>
    </w:p>
    <w:p w14:paraId="370D85E0" w14:textId="77777777" w:rsidR="00293EEA" w:rsidRPr="00AB3A5C" w:rsidRDefault="00293EEA" w:rsidP="00293EEA">
      <w:pPr>
        <w:spacing w:after="0" w:line="240" w:lineRule="auto"/>
        <w:ind w:firstLine="708"/>
        <w:jc w:val="both"/>
        <w:rPr>
          <w:rFonts w:ascii="Verdana" w:eastAsia="Times New Roman" w:hAnsi="Verdana" w:cs="Arial"/>
        </w:rPr>
      </w:pPr>
    </w:p>
    <w:p w14:paraId="1CD5BC84" w14:textId="77777777" w:rsidR="00293EEA" w:rsidRPr="00AB3A5C" w:rsidRDefault="00293EEA" w:rsidP="00293EEA">
      <w:pPr>
        <w:spacing w:after="0" w:line="240" w:lineRule="auto"/>
        <w:ind w:firstLine="708"/>
        <w:jc w:val="both"/>
        <w:rPr>
          <w:rFonts w:ascii="Verdana" w:eastAsia="Times New Roman" w:hAnsi="Verdana" w:cs="Arial"/>
        </w:rPr>
      </w:pPr>
      <w:r w:rsidRPr="00AB3A5C">
        <w:rPr>
          <w:rFonts w:ascii="Verdana" w:eastAsia="Times New Roman" w:hAnsi="Verdana" w:cs="Arial"/>
        </w:rPr>
        <w:t xml:space="preserve">De igual manera, es importante para concluir, resaltar el principio de inalterabilidad, que es la regla general frente la aplicación del “Documento Base”, y que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de infraestructura social, caso en el que se podrá incluir experiencia adicional de manera excepcional; y, además, cuando el pliego tipo de forma expresa lo permita, es decir, en los aspectos incluidos en corchetes y resaltados en gris.  </w:t>
      </w:r>
    </w:p>
    <w:p w14:paraId="4EADDB22" w14:textId="77777777" w:rsidR="00293EEA" w:rsidRPr="00AB3A5C" w:rsidRDefault="00293EEA" w:rsidP="00293EEA">
      <w:pPr>
        <w:spacing w:after="0" w:line="240" w:lineRule="auto"/>
        <w:ind w:firstLine="708"/>
        <w:jc w:val="both"/>
        <w:rPr>
          <w:rFonts w:ascii="Verdana" w:eastAsia="Times New Roman" w:hAnsi="Verdana" w:cs="Arial"/>
        </w:rPr>
      </w:pPr>
    </w:p>
    <w:p w14:paraId="7EBC969E" w14:textId="77777777" w:rsidR="00293EEA" w:rsidRPr="00AB3A5C" w:rsidRDefault="00293EEA" w:rsidP="00293EEA">
      <w:pPr>
        <w:spacing w:after="0" w:line="240" w:lineRule="auto"/>
        <w:ind w:firstLine="708"/>
        <w:jc w:val="both"/>
        <w:rPr>
          <w:rFonts w:ascii="Verdana" w:eastAsia="Times New Roman" w:hAnsi="Verdana" w:cs="Arial"/>
        </w:rPr>
      </w:pPr>
      <w:r w:rsidRPr="00AB3A5C">
        <w:rPr>
          <w:rFonts w:ascii="Verdana" w:eastAsia="Times New Roman" w:hAnsi="Verdana" w:cs="Arial"/>
        </w:rPr>
        <w:t xml:space="preserve"> 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  </w:t>
      </w:r>
    </w:p>
    <w:p w14:paraId="0B6EA38D" w14:textId="77777777" w:rsidR="00293EEA" w:rsidRPr="004048E3" w:rsidRDefault="00293EEA" w:rsidP="00293EEA">
      <w:pPr>
        <w:spacing w:after="0" w:line="276" w:lineRule="auto"/>
        <w:jc w:val="both"/>
        <w:rPr>
          <w:rFonts w:ascii="Verdana" w:eastAsia="Calibri" w:hAnsi="Verdana" w:cs="Arial"/>
        </w:rPr>
      </w:pPr>
    </w:p>
    <w:p w14:paraId="2E851A3C" w14:textId="77777777" w:rsidR="00293EEA" w:rsidRPr="00C56A6D" w:rsidRDefault="00293EEA" w:rsidP="00293EEA">
      <w:pPr>
        <w:tabs>
          <w:tab w:val="left" w:pos="142"/>
          <w:tab w:val="left" w:pos="284"/>
        </w:tabs>
        <w:spacing w:after="0" w:line="276" w:lineRule="auto"/>
        <w:jc w:val="both"/>
        <w:rPr>
          <w:rFonts w:ascii="Verdana" w:eastAsia="Century Gothic" w:hAnsi="Verdana" w:cs="Century Gothic"/>
          <w:b/>
          <w:lang w:val="es-ES"/>
        </w:rPr>
      </w:pPr>
      <w:r>
        <w:rPr>
          <w:rFonts w:ascii="Century Gothic" w:eastAsia="Century Gothic" w:hAnsi="Century Gothic" w:cs="Century Gothic"/>
          <w:b/>
          <w:bCs/>
          <w:lang w:val="es-ES"/>
        </w:rPr>
        <w:t xml:space="preserve">4. </w:t>
      </w:r>
      <w:r w:rsidRPr="00C56A6D">
        <w:rPr>
          <w:rFonts w:ascii="Verdana" w:eastAsia="Century Gothic" w:hAnsi="Verdana" w:cs="Century Gothic"/>
          <w:b/>
          <w:lang w:val="es-ES"/>
        </w:rPr>
        <w:t>Referencias normativas, jurisprudenciales y otras fuentes:</w:t>
      </w:r>
    </w:p>
    <w:p w14:paraId="434C4A9C" w14:textId="77777777" w:rsidR="00293EEA" w:rsidRPr="00C56A6D" w:rsidRDefault="00293EEA" w:rsidP="00293EE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93EEA" w:rsidRPr="009C5A97" w14:paraId="6747F191" w14:textId="77777777" w:rsidTr="00EF0CD4">
        <w:trPr>
          <w:trHeight w:val="870"/>
        </w:trPr>
        <w:tc>
          <w:tcPr>
            <w:tcW w:w="8647" w:type="dxa"/>
          </w:tcPr>
          <w:p w14:paraId="60D72234" w14:textId="77777777" w:rsidR="00293EEA" w:rsidRPr="00930534" w:rsidRDefault="00293EEA" w:rsidP="00293EEA">
            <w:pPr>
              <w:pStyle w:val="Prrafodelista"/>
              <w:numPr>
                <w:ilvl w:val="0"/>
                <w:numId w:val="17"/>
              </w:numPr>
              <w:rPr>
                <w:rFonts w:ascii="Verdana" w:hAnsi="Verdana" w:cs="Arial"/>
                <w:lang w:val="es-MX"/>
              </w:rPr>
            </w:pPr>
            <w:r w:rsidRPr="00930534">
              <w:rPr>
                <w:rFonts w:ascii="Verdana" w:hAnsi="Verdana" w:cs="Arial"/>
                <w:lang w:val="es-MX"/>
              </w:rPr>
              <w:t xml:space="preserve">Ley 2022 de 2020, artículo 1. </w:t>
            </w:r>
          </w:p>
          <w:p w14:paraId="3848156F" w14:textId="77777777" w:rsidR="00293EEA" w:rsidRPr="00930534" w:rsidRDefault="00293EEA" w:rsidP="00293EEA">
            <w:pPr>
              <w:pStyle w:val="Prrafodelista"/>
              <w:numPr>
                <w:ilvl w:val="0"/>
                <w:numId w:val="17"/>
              </w:numPr>
              <w:rPr>
                <w:rFonts w:ascii="Verdana" w:hAnsi="Verdana" w:cs="Arial"/>
                <w:lang w:val="es-MX"/>
              </w:rPr>
            </w:pPr>
            <w:r w:rsidRPr="00930534">
              <w:rPr>
                <w:rFonts w:ascii="Verdana" w:hAnsi="Verdana" w:cs="Arial"/>
                <w:lang w:val="es-MX"/>
              </w:rPr>
              <w:t xml:space="preserve">Resolución </w:t>
            </w:r>
            <w:r w:rsidRPr="00930534">
              <w:rPr>
                <w:rFonts w:ascii="Verdana" w:hAnsi="Verdana" w:cs="Arial"/>
              </w:rPr>
              <w:t xml:space="preserve">219 y 454 de 2021 de la Agencia Nacional de Contratación Pública–Colombia Compra Eficiente–. Disponible en: </w:t>
            </w:r>
            <w:hyperlink r:id="rId12" w:history="1">
              <w:r w:rsidRPr="00930534">
                <w:rPr>
                  <w:rStyle w:val="Hipervnculo"/>
                  <w:rFonts w:ascii="Verdana" w:hAnsi="Verdana" w:cs="Arial"/>
                  <w:lang w:val="es-MX"/>
                </w:rPr>
                <w:t>https://www.colombiacompra.gov.co/content/documentos-tipo-infraestructura-social</w:t>
              </w:r>
            </w:hyperlink>
            <w:r w:rsidRPr="00930534">
              <w:rPr>
                <w:rFonts w:ascii="Verdana" w:hAnsi="Verdana" w:cs="Arial"/>
              </w:rPr>
              <w:t xml:space="preserve">  </w:t>
            </w:r>
          </w:p>
          <w:p w14:paraId="406B166C" w14:textId="77777777" w:rsidR="00293EEA" w:rsidRPr="00930534" w:rsidRDefault="00293EEA" w:rsidP="00293EEA">
            <w:pPr>
              <w:pStyle w:val="Prrafodelista"/>
              <w:numPr>
                <w:ilvl w:val="0"/>
                <w:numId w:val="17"/>
              </w:numPr>
              <w:rPr>
                <w:rFonts w:ascii="Verdana" w:hAnsi="Verdana" w:cs="Arial"/>
              </w:rPr>
            </w:pPr>
            <w:r w:rsidRPr="00930534">
              <w:rPr>
                <w:rFonts w:ascii="Verdana" w:hAnsi="Verdana" w:cs="Arial"/>
                <w:lang w:val="es-MX"/>
              </w:rPr>
              <w:lastRenderedPageBreak/>
              <w:t xml:space="preserve">Jurisprudencia del Consejo de Estado. Disponible en: </w:t>
            </w:r>
            <w:hyperlink r:id="rId13" w:history="1">
              <w:r w:rsidRPr="00930534">
                <w:rPr>
                  <w:rStyle w:val="Hipervnculo"/>
                  <w:rFonts w:ascii="Verdana" w:hAnsi="Verdana" w:cs="Arial"/>
                  <w:lang w:val="es-MX"/>
                </w:rPr>
                <w:t>https://relatoria.colombiacompra.gov.co/providencias-consejo-de-estado/</w:t>
              </w:r>
            </w:hyperlink>
          </w:p>
        </w:tc>
      </w:tr>
    </w:tbl>
    <w:p w14:paraId="5A97F727" w14:textId="77777777" w:rsidR="00980491" w:rsidRDefault="00980491" w:rsidP="00293EEA">
      <w:pPr>
        <w:tabs>
          <w:tab w:val="left" w:pos="142"/>
          <w:tab w:val="left" w:pos="284"/>
        </w:tabs>
        <w:spacing w:after="0" w:line="276" w:lineRule="auto"/>
        <w:jc w:val="both"/>
        <w:rPr>
          <w:rFonts w:ascii="Century Gothic" w:eastAsia="Century Gothic" w:hAnsi="Century Gothic" w:cs="Century Gothic"/>
          <w:b/>
          <w:bCs/>
          <w:lang w:val="es-ES"/>
        </w:rPr>
      </w:pPr>
    </w:p>
    <w:p w14:paraId="4E0B3AB1" w14:textId="54AF0139" w:rsidR="00293EEA" w:rsidRPr="006403F4" w:rsidRDefault="00293EEA" w:rsidP="00980491">
      <w:pPr>
        <w:tabs>
          <w:tab w:val="left" w:pos="142"/>
          <w:tab w:val="left" w:pos="284"/>
        </w:tabs>
        <w:spacing w:after="0" w:line="276" w:lineRule="auto"/>
        <w:jc w:val="both"/>
        <w:rPr>
          <w:rFonts w:ascii="Century Gothic" w:eastAsia="Century Gothic" w:hAnsi="Century Gothic" w:cs="Century Gothic"/>
          <w:b/>
          <w:bCs/>
          <w:lang w:val="es-ES"/>
        </w:rPr>
      </w:pPr>
      <w:r>
        <w:rPr>
          <w:rFonts w:ascii="Century Gothic" w:eastAsia="Century Gothic" w:hAnsi="Century Gothic" w:cs="Century Gothic"/>
          <w:b/>
          <w:bCs/>
          <w:lang w:val="es-ES"/>
        </w:rPr>
        <w:t xml:space="preserve">5. </w:t>
      </w:r>
      <w:r w:rsidRPr="00C56A6D">
        <w:rPr>
          <w:rFonts w:ascii="Verdana" w:eastAsia="Century Gothic" w:hAnsi="Verdana" w:cs="Century Gothic"/>
          <w:b/>
          <w:lang w:val="es-ES"/>
        </w:rPr>
        <w:t>Doctrina de la Agencia Nacional de Contratación Pública:</w:t>
      </w:r>
    </w:p>
    <w:p w14:paraId="1FD76B2C" w14:textId="77777777" w:rsidR="00293EEA" w:rsidRPr="00C56A6D" w:rsidRDefault="00293EEA" w:rsidP="00293EEA">
      <w:pPr>
        <w:widowControl w:val="0"/>
        <w:autoSpaceDE w:val="0"/>
        <w:autoSpaceDN w:val="0"/>
        <w:spacing w:after="0" w:line="276" w:lineRule="auto"/>
        <w:jc w:val="both"/>
        <w:rPr>
          <w:rFonts w:ascii="Verdana" w:hAnsi="Verdana" w:cs="Arial"/>
        </w:rPr>
      </w:pPr>
    </w:p>
    <w:p w14:paraId="26374CC7" w14:textId="77777777" w:rsidR="00293EEA" w:rsidRDefault="00293EEA" w:rsidP="00293EEA">
      <w:pPr>
        <w:widowControl w:val="0"/>
        <w:autoSpaceDE w:val="0"/>
        <w:autoSpaceDN w:val="0"/>
        <w:spacing w:after="0" w:line="276" w:lineRule="auto"/>
        <w:jc w:val="both"/>
        <w:rPr>
          <w:rFonts w:ascii="Verdana" w:hAnsi="Verdana" w:cs="Arial"/>
          <w:color w:val="FF0000"/>
          <w:shd w:val="clear" w:color="auto" w:fill="FFFFFF"/>
          <w:lang w:val="es-ES"/>
        </w:rPr>
      </w:pPr>
      <w:r>
        <w:rPr>
          <w:rFonts w:ascii="Verdana" w:hAnsi="Verdana" w:cs="Arial"/>
          <w:shd w:val="clear" w:color="auto" w:fill="FFFFFF"/>
          <w:lang w:val="es-ES"/>
        </w:rPr>
        <w:t xml:space="preserve">Sobre el ámbito de aplicación de los documentos tipo esta Subdirección se ha pronunciado en los conceptos </w:t>
      </w:r>
      <w:r w:rsidRPr="00C90D2B">
        <w:rPr>
          <w:rFonts w:ascii="Verdana" w:eastAsia="Calibri" w:hAnsi="Verdana" w:cs="Arial"/>
          <w:shd w:val="clear" w:color="auto" w:fill="FFFFFF"/>
        </w:rPr>
        <w:t>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w:t>
      </w:r>
      <w:r>
        <w:rPr>
          <w:rFonts w:ascii="Verdana" w:eastAsia="Calibri" w:hAnsi="Verdana" w:cs="Arial"/>
          <w:shd w:val="clear" w:color="auto" w:fill="FFFFFF"/>
        </w:rPr>
        <w:t xml:space="preserve">, </w:t>
      </w:r>
      <w:r w:rsidRPr="00C90D2B">
        <w:rPr>
          <w:rFonts w:ascii="Verdana" w:eastAsia="Calibri" w:hAnsi="Verdana" w:cs="Arial"/>
          <w:shd w:val="clear" w:color="auto" w:fill="FFFFFF"/>
        </w:rPr>
        <w:t>C-053 del 28 de marzo  de</w:t>
      </w:r>
      <w:r w:rsidRPr="00C90D2B">
        <w:rPr>
          <w:rFonts w:ascii="Verdana" w:eastAsia="Calibri" w:hAnsi="Verdana" w:cs="Arial"/>
          <w:shd w:val="clear" w:color="auto" w:fill="FFFFFF"/>
          <w:lang w:val="es-ES_tradnl"/>
        </w:rPr>
        <w:t xml:space="preserve"> 2023</w:t>
      </w:r>
      <w:r>
        <w:rPr>
          <w:rFonts w:ascii="Verdana" w:eastAsia="Calibri" w:hAnsi="Verdana" w:cs="Arial"/>
          <w:shd w:val="clear" w:color="auto" w:fill="FFFFFF"/>
          <w:lang w:val="es-ES_tradnl"/>
        </w:rPr>
        <w:t xml:space="preserve">, C-153 del 02 de junio de 2023 y C- 283 del 11 de julio de 2024. </w:t>
      </w:r>
      <w:r w:rsidRPr="00C465EB">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C56A6D">
        <w:rPr>
          <w:rFonts w:ascii="Verdana" w:hAnsi="Verdana" w:cs="Arial"/>
          <w:shd w:val="clear" w:color="auto" w:fill="FFFFFF"/>
          <w:lang w:val="es-ES"/>
        </w:rPr>
        <w:t xml:space="preserve"> </w:t>
      </w:r>
      <w:hyperlink r:id="rId14" w:history="1">
        <w:r w:rsidRPr="00C56A6D">
          <w:rPr>
            <w:rFonts w:ascii="Verdana" w:hAnsi="Verdana" w:cs="Arial"/>
            <w:color w:val="0563C1" w:themeColor="hyperlink"/>
            <w:u w:val="single"/>
            <w:shd w:val="clear" w:color="auto" w:fill="FFFFFF"/>
            <w:lang w:val="es-ES"/>
          </w:rPr>
          <w:t>https://relatoria.colombiacompra.gov.co/busqueda/conceptos</w:t>
        </w:r>
      </w:hyperlink>
      <w:r w:rsidRPr="00C56A6D">
        <w:rPr>
          <w:rFonts w:ascii="Verdana" w:hAnsi="Verdana" w:cs="Arial"/>
          <w:color w:val="FF0000"/>
          <w:shd w:val="clear" w:color="auto" w:fill="FFFFFF"/>
          <w:lang w:val="es-ES"/>
        </w:rPr>
        <w:t>.</w:t>
      </w:r>
    </w:p>
    <w:p w14:paraId="67434857" w14:textId="77777777" w:rsidR="00876B64" w:rsidRDefault="00876B64" w:rsidP="00293EEA">
      <w:pPr>
        <w:widowControl w:val="0"/>
        <w:autoSpaceDE w:val="0"/>
        <w:autoSpaceDN w:val="0"/>
        <w:spacing w:after="0" w:line="276" w:lineRule="auto"/>
        <w:jc w:val="both"/>
        <w:rPr>
          <w:rFonts w:ascii="Verdana" w:hAnsi="Verdana" w:cs="Arial"/>
          <w:color w:val="FF0000"/>
          <w:shd w:val="clear" w:color="auto" w:fill="FFFFFF"/>
          <w:lang w:val="es-ES"/>
        </w:rPr>
      </w:pPr>
    </w:p>
    <w:p w14:paraId="636CB17C" w14:textId="12262A09" w:rsidR="008A78AB" w:rsidRDefault="00876B64" w:rsidP="00293EEA">
      <w:pPr>
        <w:widowControl w:val="0"/>
        <w:autoSpaceDE w:val="0"/>
        <w:autoSpaceDN w:val="0"/>
        <w:spacing w:after="0" w:line="276" w:lineRule="auto"/>
        <w:jc w:val="both"/>
        <w:rPr>
          <w:rFonts w:ascii="Verdana" w:hAnsi="Verdana" w:cs="Arial"/>
          <w:shd w:val="clear" w:color="auto" w:fill="FFFFFF"/>
        </w:rPr>
      </w:pPr>
      <w:r w:rsidRPr="006403F4">
        <w:rPr>
          <w:rFonts w:ascii="Verdana" w:hAnsi="Verdana" w:cs="Arial"/>
          <w:shd w:val="clear" w:color="auto" w:fill="FFFFFF"/>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008A78AB" w:rsidRPr="008A78AB">
        <w:t xml:space="preserve"> </w:t>
      </w:r>
      <w:r w:rsidR="0081228B">
        <w:t xml:space="preserve"> </w:t>
      </w:r>
      <w:r w:rsidR="008A74DB" w:rsidRPr="008A74DB">
        <w:rPr>
          <w:rFonts w:ascii="Verdana" w:hAnsi="Verdana" w:cs="Arial"/>
          <w:shd w:val="clear" w:color="auto" w:fill="FFFFFF"/>
        </w:rPr>
        <w:t>https://www.colombiacompra.gov.co/normativa-y-relatoria/documentos-tipo</w:t>
      </w:r>
      <w:r w:rsidR="008A74DB">
        <w:rPr>
          <w:rFonts w:ascii="Verdana" w:hAnsi="Verdana" w:cs="Arial"/>
          <w:shd w:val="clear" w:color="auto" w:fill="FFFFFF"/>
        </w:rPr>
        <w:t>”.</w:t>
      </w:r>
    </w:p>
    <w:p w14:paraId="6D9C71DD" w14:textId="77777777" w:rsidR="00293EEA" w:rsidRPr="00235BE4" w:rsidRDefault="00293EEA" w:rsidP="00293EEA">
      <w:pPr>
        <w:widowControl w:val="0"/>
        <w:autoSpaceDE w:val="0"/>
        <w:autoSpaceDN w:val="0"/>
        <w:spacing w:after="0" w:line="276" w:lineRule="auto"/>
        <w:jc w:val="both"/>
        <w:rPr>
          <w:rFonts w:ascii="Verdana" w:hAnsi="Verdana" w:cs="Arial"/>
          <w:color w:val="7030A0"/>
          <w:shd w:val="clear" w:color="auto" w:fill="FFFFFF"/>
        </w:rPr>
      </w:pPr>
    </w:p>
    <w:p w14:paraId="25C9280B" w14:textId="77777777" w:rsidR="00293EEA" w:rsidRPr="00C56A6D" w:rsidRDefault="00293EEA" w:rsidP="00293EEA">
      <w:pPr>
        <w:spacing w:after="0" w:line="240" w:lineRule="auto"/>
        <w:jc w:val="both"/>
        <w:rPr>
          <w:rFonts w:ascii="Verdana" w:hAnsi="Verdana"/>
        </w:rPr>
      </w:pPr>
      <w:r w:rsidRPr="00C56A6D">
        <w:rPr>
          <w:rFonts w:ascii="Verdana" w:hAnsi="Verdana"/>
        </w:rPr>
        <w:t xml:space="preserve">Por último, lo invitamos a seguirnos en las redes sociales en las cuales se difunde información institucional: </w:t>
      </w:r>
    </w:p>
    <w:p w14:paraId="3111F21B" w14:textId="77777777" w:rsidR="00293EEA" w:rsidRPr="00C56A6D" w:rsidRDefault="00293EEA" w:rsidP="00293EEA">
      <w:pPr>
        <w:spacing w:after="0" w:line="240" w:lineRule="auto"/>
        <w:jc w:val="both"/>
        <w:rPr>
          <w:rFonts w:ascii="Verdana" w:hAnsi="Verdana"/>
        </w:rPr>
      </w:pPr>
    </w:p>
    <w:p w14:paraId="1881D3EC" w14:textId="77777777" w:rsidR="00293EEA" w:rsidRPr="00C56A6D" w:rsidRDefault="00293EEA" w:rsidP="00293EEA">
      <w:pPr>
        <w:spacing w:after="0" w:line="240" w:lineRule="auto"/>
        <w:jc w:val="both"/>
        <w:rPr>
          <w:rFonts w:ascii="Verdana" w:hAnsi="Verdana"/>
        </w:rPr>
      </w:pPr>
      <w:r w:rsidRPr="00C56A6D">
        <w:rPr>
          <w:rFonts w:ascii="Verdana" w:hAnsi="Verdana"/>
        </w:rPr>
        <w:t xml:space="preserve">Twitter: </w:t>
      </w:r>
      <w:r w:rsidRPr="00C56A6D">
        <w:rPr>
          <w:rFonts w:ascii="Verdana" w:hAnsi="Verdana"/>
          <w:color w:val="4472C4" w:themeColor="accent1"/>
          <w:u w:val="single"/>
        </w:rPr>
        <w:t>@colombiacompra</w:t>
      </w:r>
      <w:r w:rsidRPr="00C56A6D">
        <w:rPr>
          <w:rFonts w:ascii="Verdana" w:hAnsi="Verdana"/>
          <w:color w:val="4472C4" w:themeColor="accent1"/>
        </w:rPr>
        <w:t xml:space="preserve"> </w:t>
      </w:r>
    </w:p>
    <w:p w14:paraId="47ABBD9B" w14:textId="77777777" w:rsidR="00293EEA" w:rsidRPr="00C56A6D" w:rsidRDefault="00293EEA" w:rsidP="00293EEA">
      <w:pPr>
        <w:spacing w:after="0" w:line="240" w:lineRule="auto"/>
        <w:jc w:val="both"/>
        <w:rPr>
          <w:rFonts w:ascii="Verdana" w:hAnsi="Verdana"/>
        </w:rPr>
      </w:pPr>
      <w:r w:rsidRPr="00C56A6D">
        <w:rPr>
          <w:rFonts w:ascii="Verdana" w:hAnsi="Verdana"/>
        </w:rPr>
        <w:t xml:space="preserve">Facebook: </w:t>
      </w:r>
      <w:proofErr w:type="spellStart"/>
      <w:r w:rsidRPr="00C56A6D">
        <w:rPr>
          <w:rFonts w:ascii="Verdana" w:hAnsi="Verdana"/>
          <w:color w:val="4472C4" w:themeColor="accent1"/>
          <w:u w:val="single"/>
        </w:rPr>
        <w:t>ColombiaCompraEficiente</w:t>
      </w:r>
      <w:proofErr w:type="spellEnd"/>
    </w:p>
    <w:p w14:paraId="2295B7FB" w14:textId="77777777" w:rsidR="00293EEA" w:rsidRPr="00C56A6D" w:rsidRDefault="00293EEA" w:rsidP="00293EEA">
      <w:pPr>
        <w:spacing w:after="0" w:line="240" w:lineRule="auto"/>
        <w:jc w:val="both"/>
        <w:rPr>
          <w:rFonts w:ascii="Verdana" w:hAnsi="Verdana"/>
        </w:rPr>
      </w:pPr>
      <w:r w:rsidRPr="00C56A6D">
        <w:rPr>
          <w:rFonts w:ascii="Verdana" w:hAnsi="Verdana"/>
        </w:rPr>
        <w:t xml:space="preserve">LinkedIn: </w:t>
      </w:r>
      <w:r w:rsidRPr="00C56A6D">
        <w:rPr>
          <w:rFonts w:ascii="Verdana" w:hAnsi="Verdana"/>
          <w:color w:val="4472C4" w:themeColor="accent1"/>
          <w:u w:val="single"/>
        </w:rPr>
        <w:t>Agencia Nacional de Contratación Pública - Colombia Compra Eficiente</w:t>
      </w:r>
      <w:r w:rsidRPr="00C56A6D">
        <w:rPr>
          <w:rFonts w:ascii="Verdana" w:hAnsi="Verdana"/>
          <w:color w:val="4472C4" w:themeColor="accent1"/>
        </w:rPr>
        <w:t xml:space="preserve"> </w:t>
      </w:r>
      <w:r w:rsidRPr="00C56A6D">
        <w:rPr>
          <w:rFonts w:ascii="Verdana" w:hAnsi="Verdana"/>
        </w:rPr>
        <w:t xml:space="preserve">Instagram: </w:t>
      </w:r>
      <w:r w:rsidRPr="00C56A6D">
        <w:rPr>
          <w:rFonts w:ascii="Verdana" w:hAnsi="Verdana"/>
          <w:color w:val="4472C4" w:themeColor="accent1"/>
          <w:u w:val="single"/>
        </w:rPr>
        <w:t>@colombiacompraeficiente_cce</w:t>
      </w:r>
    </w:p>
    <w:p w14:paraId="64BFD566" w14:textId="77777777" w:rsidR="00293EEA" w:rsidRPr="00C56A6D" w:rsidRDefault="00293EEA" w:rsidP="00293EEA">
      <w:pPr>
        <w:widowControl w:val="0"/>
        <w:autoSpaceDE w:val="0"/>
        <w:autoSpaceDN w:val="0"/>
        <w:spacing w:after="0" w:line="276" w:lineRule="auto"/>
        <w:jc w:val="both"/>
        <w:rPr>
          <w:rFonts w:ascii="Verdana" w:hAnsi="Verdana" w:cs="Arial"/>
        </w:rPr>
      </w:pPr>
    </w:p>
    <w:p w14:paraId="2E6A9341" w14:textId="77777777" w:rsidR="00293EEA" w:rsidRPr="00C56A6D" w:rsidRDefault="00293EEA" w:rsidP="00293EEA">
      <w:pPr>
        <w:widowControl w:val="0"/>
        <w:autoSpaceDE w:val="0"/>
        <w:autoSpaceDN w:val="0"/>
        <w:spacing w:after="0" w:line="276" w:lineRule="auto"/>
        <w:jc w:val="both"/>
        <w:rPr>
          <w:rFonts w:ascii="Verdana" w:hAnsi="Verdana" w:cs="Arial"/>
          <w:lang w:val="es-ES_tradnl"/>
        </w:rPr>
      </w:pPr>
      <w:r w:rsidRPr="00C56A6D">
        <w:rPr>
          <w:rFonts w:ascii="Verdana" w:hAnsi="Verdana" w:cs="Arial"/>
        </w:rPr>
        <w:t xml:space="preserve">Este concepto tiene el alcance previsto en el artículo 28 del Código de </w:t>
      </w:r>
      <w:r w:rsidRPr="00C56A6D">
        <w:rPr>
          <w:rFonts w:ascii="Verdana" w:hAnsi="Verdana" w:cs="Arial"/>
        </w:rPr>
        <w:lastRenderedPageBreak/>
        <w:t xml:space="preserve">Procedimiento Administrativo y de lo Contencioso Administrativo </w:t>
      </w:r>
      <w:r w:rsidRPr="00C56A6D">
        <w:rPr>
          <w:rFonts w:ascii="Verdana" w:hAnsi="Verdana" w:cs="Arial"/>
          <w:lang w:val="es-ES_tradnl"/>
        </w:rPr>
        <w:t>y las expresiones aquí utilizadas con mayúscula inicial deben ser entendidas con el significado que les otorga el artículo 2.2.1.1.1.3.1. del Decreto 1082 de 2015.</w:t>
      </w:r>
    </w:p>
    <w:p w14:paraId="499FFF5A" w14:textId="77777777" w:rsidR="00293EEA" w:rsidRPr="00C56A6D" w:rsidRDefault="00293EEA" w:rsidP="00293EEA">
      <w:pPr>
        <w:widowControl w:val="0"/>
        <w:autoSpaceDE w:val="0"/>
        <w:autoSpaceDN w:val="0"/>
        <w:spacing w:after="0" w:line="276" w:lineRule="auto"/>
        <w:jc w:val="both"/>
        <w:rPr>
          <w:rFonts w:ascii="Verdana" w:hAnsi="Verdana" w:cs="Arial"/>
        </w:rPr>
      </w:pPr>
    </w:p>
    <w:p w14:paraId="1A13F843" w14:textId="77777777" w:rsidR="00293EEA" w:rsidRPr="00C56A6D" w:rsidRDefault="00293EEA" w:rsidP="00293EEA">
      <w:pPr>
        <w:spacing w:after="0" w:line="240" w:lineRule="auto"/>
        <w:rPr>
          <w:rFonts w:ascii="Verdana" w:hAnsi="Verdana" w:cs="Arial"/>
          <w:lang w:eastAsia="es-CO"/>
        </w:rPr>
      </w:pPr>
      <w:r w:rsidRPr="00C56A6D">
        <w:rPr>
          <w:rFonts w:ascii="Verdana" w:eastAsia="Times New Roman" w:hAnsi="Verdana" w:cs="Arial"/>
          <w:lang w:eastAsia="es-CO"/>
        </w:rPr>
        <w:t>Atentamente,</w:t>
      </w:r>
      <w:r w:rsidRPr="00C56A6D">
        <w:rPr>
          <w:rFonts w:ascii="Verdana" w:hAnsi="Verdana" w:cs="Arial"/>
          <w:lang w:eastAsia="es-CO"/>
        </w:rPr>
        <w:t xml:space="preserve"> </w:t>
      </w:r>
    </w:p>
    <w:p w14:paraId="0B27F0A5" w14:textId="77777777" w:rsidR="00293EEA" w:rsidRPr="00C56A6D" w:rsidRDefault="00293EEA" w:rsidP="00293EEA">
      <w:pPr>
        <w:spacing w:line="276" w:lineRule="auto"/>
        <w:jc w:val="center"/>
        <w:rPr>
          <w:rFonts w:ascii="Verdana" w:hAnsi="Verdana"/>
        </w:rPr>
      </w:pPr>
    </w:p>
    <w:p w14:paraId="1647964D" w14:textId="750AB52A" w:rsidR="00293EEA" w:rsidRPr="009C5A97" w:rsidRDefault="00A97E21" w:rsidP="00293EEA">
      <w:pPr>
        <w:spacing w:line="276" w:lineRule="auto"/>
        <w:jc w:val="center"/>
        <w:rPr>
          <w:rFonts w:ascii="Century Gothic" w:hAnsi="Century Gothic"/>
          <w:noProof/>
          <w:color w:val="000000"/>
          <w:lang w:val="es-ES_tradnl" w:eastAsia="es-CO"/>
        </w:rPr>
      </w:pPr>
      <w:r w:rsidRPr="00A97E21">
        <w:rPr>
          <w:rFonts w:ascii="Century Gothic" w:eastAsia="Aptos" w:hAnsi="Century Gothic" w:cs="Arial"/>
          <w:noProof/>
          <w:kern w:val="2"/>
          <w14:ligatures w14:val="standardContextual"/>
        </w:rPr>
        <w:drawing>
          <wp:inline distT="0" distB="0" distL="0" distR="0" wp14:anchorId="36D4F250" wp14:editId="2260A9D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535DCFD4" w14:textId="77777777" w:rsidR="00293EEA" w:rsidRPr="009C5A97" w:rsidRDefault="00293EEA" w:rsidP="00293EEA">
      <w:pPr>
        <w:spacing w:line="276" w:lineRule="auto"/>
        <w:jc w:val="center"/>
        <w:rPr>
          <w:rFonts w:ascii="Verdana" w:hAnsi="Verdana" w:cs="Arial"/>
          <w:color w:val="000000"/>
          <w:lang w:val="es-ES_tradnl" w:eastAsia="es-CO"/>
        </w:rPr>
      </w:pPr>
    </w:p>
    <w:tbl>
      <w:tblPr>
        <w:tblW w:w="56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2"/>
        <w:gridCol w:w="4806"/>
      </w:tblGrid>
      <w:tr w:rsidR="00293EEA" w:rsidRPr="009C5A97" w14:paraId="4512F07D" w14:textId="77777777" w:rsidTr="00EF0CD4">
        <w:trPr>
          <w:trHeight w:val="319"/>
        </w:trPr>
        <w:tc>
          <w:tcPr>
            <w:tcW w:w="882" w:type="dxa"/>
            <w:tcBorders>
              <w:top w:val="nil"/>
              <w:left w:val="nil"/>
              <w:bottom w:val="nil"/>
              <w:right w:val="nil"/>
            </w:tcBorders>
            <w:shd w:val="clear" w:color="auto" w:fill="auto"/>
            <w:vAlign w:val="center"/>
            <w:hideMark/>
          </w:tcPr>
          <w:p w14:paraId="50FAD946" w14:textId="77777777" w:rsidR="00293EEA" w:rsidRPr="009C5A97" w:rsidRDefault="00293EEA" w:rsidP="00EF0CD4">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Elaboró: </w:t>
            </w:r>
            <w:r w:rsidRPr="009C5A97">
              <w:rPr>
                <w:rFonts w:ascii="Verdana" w:eastAsia="Times New Roman" w:hAnsi="Verdana" w:cs="Century Gothic"/>
                <w:sz w:val="16"/>
                <w:szCs w:val="16"/>
                <w:lang w:eastAsia="es-CO"/>
              </w:rPr>
              <w:t> </w:t>
            </w:r>
          </w:p>
        </w:tc>
        <w:tc>
          <w:tcPr>
            <w:tcW w:w="4806" w:type="dxa"/>
            <w:tcBorders>
              <w:top w:val="nil"/>
              <w:left w:val="nil"/>
              <w:bottom w:val="dotted" w:sz="6" w:space="0" w:color="7F7F7F" w:themeColor="text1" w:themeTint="80"/>
              <w:right w:val="nil"/>
            </w:tcBorders>
            <w:shd w:val="clear" w:color="auto" w:fill="auto"/>
            <w:vAlign w:val="center"/>
            <w:hideMark/>
          </w:tcPr>
          <w:p w14:paraId="426E236D" w14:textId="77777777" w:rsidR="00293EEA" w:rsidRPr="009C5A97" w:rsidRDefault="00293EEA" w:rsidP="00EF0CD4">
            <w:pPr>
              <w:spacing w:after="0" w:line="240" w:lineRule="auto"/>
              <w:jc w:val="both"/>
              <w:rPr>
                <w:rFonts w:ascii="Verdana" w:eastAsia="Calibri" w:hAnsi="Verdana" w:cs="Arial"/>
                <w:sz w:val="16"/>
                <w:szCs w:val="16"/>
              </w:rPr>
            </w:pPr>
            <w:r w:rsidRPr="009C5A97">
              <w:rPr>
                <w:rFonts w:ascii="Verdana" w:eastAsia="Calibri" w:hAnsi="Verdana" w:cs="Arial"/>
                <w:sz w:val="16"/>
                <w:szCs w:val="16"/>
              </w:rPr>
              <w:t xml:space="preserve">Héctor Luis Quiñones </w:t>
            </w:r>
            <w:proofErr w:type="spellStart"/>
            <w:r w:rsidRPr="009C5A97">
              <w:rPr>
                <w:rFonts w:ascii="Verdana" w:eastAsia="Calibri" w:hAnsi="Verdana" w:cs="Arial"/>
                <w:sz w:val="16"/>
                <w:szCs w:val="16"/>
              </w:rPr>
              <w:t>Quiñones</w:t>
            </w:r>
            <w:proofErr w:type="spellEnd"/>
          </w:p>
          <w:p w14:paraId="1651F400" w14:textId="77777777" w:rsidR="00293EEA" w:rsidRDefault="00293EEA" w:rsidP="00EF0CD4">
            <w:pPr>
              <w:spacing w:after="0" w:line="240" w:lineRule="auto"/>
              <w:jc w:val="both"/>
              <w:rPr>
                <w:rFonts w:ascii="Verdana" w:eastAsia="Calibri" w:hAnsi="Verdana" w:cs="Arial"/>
                <w:sz w:val="16"/>
                <w:szCs w:val="16"/>
              </w:rPr>
            </w:pPr>
            <w:r w:rsidRPr="009C5A97">
              <w:rPr>
                <w:rFonts w:ascii="Verdana" w:eastAsia="Calibri" w:hAnsi="Verdana" w:cs="Arial"/>
                <w:sz w:val="16"/>
                <w:szCs w:val="16"/>
              </w:rPr>
              <w:t>Analista T2 – 02 de la Subdirección de Gestión Contractual</w:t>
            </w:r>
          </w:p>
          <w:p w14:paraId="610A70F3" w14:textId="77777777" w:rsidR="00293EEA" w:rsidRDefault="00293EEA" w:rsidP="00EF0CD4">
            <w:pPr>
              <w:spacing w:after="0" w:line="240" w:lineRule="auto"/>
              <w:jc w:val="both"/>
              <w:rPr>
                <w:rFonts w:ascii="Verdana" w:eastAsia="Calibri" w:hAnsi="Verdana" w:cs="Arial"/>
                <w:sz w:val="16"/>
                <w:szCs w:val="16"/>
              </w:rPr>
            </w:pPr>
            <w:r>
              <w:rPr>
                <w:rFonts w:ascii="Verdana" w:eastAsia="Calibri" w:hAnsi="Verdana" w:cs="Arial"/>
                <w:sz w:val="16"/>
                <w:szCs w:val="16"/>
              </w:rPr>
              <w:t>Alexandra Rodríguez Motta</w:t>
            </w:r>
          </w:p>
          <w:p w14:paraId="689C0905" w14:textId="77777777" w:rsidR="00293EEA" w:rsidRPr="009C5A97" w:rsidRDefault="00293EEA" w:rsidP="00EF0CD4">
            <w:pPr>
              <w:spacing w:after="0" w:line="240" w:lineRule="auto"/>
              <w:jc w:val="both"/>
              <w:rPr>
                <w:rFonts w:ascii="Verdana" w:eastAsia="Calibri" w:hAnsi="Verdana" w:cs="Arial"/>
                <w:sz w:val="16"/>
                <w:szCs w:val="16"/>
              </w:rPr>
            </w:pPr>
            <w:r>
              <w:rPr>
                <w:rFonts w:ascii="Verdana" w:eastAsia="Calibri" w:hAnsi="Verdana" w:cs="Arial"/>
                <w:sz w:val="16"/>
                <w:szCs w:val="16"/>
              </w:rPr>
              <w:t>Contratista de la Subdirección de Gestión Contractual</w:t>
            </w:r>
          </w:p>
        </w:tc>
      </w:tr>
      <w:tr w:rsidR="00293EEA" w:rsidRPr="009C5A97" w14:paraId="2ED9FEC1" w14:textId="77777777" w:rsidTr="00EF0CD4">
        <w:trPr>
          <w:trHeight w:val="319"/>
        </w:trPr>
        <w:tc>
          <w:tcPr>
            <w:tcW w:w="882" w:type="dxa"/>
            <w:tcBorders>
              <w:top w:val="nil"/>
              <w:left w:val="nil"/>
              <w:bottom w:val="nil"/>
              <w:right w:val="nil"/>
            </w:tcBorders>
            <w:shd w:val="clear" w:color="auto" w:fill="auto"/>
            <w:vAlign w:val="center"/>
            <w:hideMark/>
          </w:tcPr>
          <w:p w14:paraId="02A0C5ED" w14:textId="77777777" w:rsidR="00293EEA" w:rsidRPr="009C5A97" w:rsidRDefault="00293EEA" w:rsidP="00EF0CD4">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Revisó: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6CD5D8C1" w14:textId="77777777" w:rsidR="00293EEA" w:rsidRPr="009C5A97" w:rsidRDefault="00293EEA" w:rsidP="00EF0CD4">
            <w:pPr>
              <w:spacing w:after="0" w:line="240" w:lineRule="auto"/>
              <w:jc w:val="both"/>
              <w:rPr>
                <w:rFonts w:ascii="Verdana" w:eastAsia="Calibri" w:hAnsi="Verdana" w:cs="Arial"/>
                <w:sz w:val="16"/>
                <w:szCs w:val="16"/>
              </w:rPr>
            </w:pPr>
            <w:r w:rsidRPr="009C5A97">
              <w:rPr>
                <w:rFonts w:ascii="Verdana" w:eastAsia="Calibri" w:hAnsi="Verdana" w:cs="Arial"/>
                <w:sz w:val="16"/>
                <w:szCs w:val="16"/>
              </w:rPr>
              <w:t>Martha Alicia Romero Vargas</w:t>
            </w:r>
          </w:p>
          <w:p w14:paraId="62E96524" w14:textId="77777777" w:rsidR="00293EEA" w:rsidRPr="009C5A97" w:rsidRDefault="00293EEA" w:rsidP="00EF0CD4">
            <w:pPr>
              <w:spacing w:after="0" w:line="240" w:lineRule="auto"/>
              <w:jc w:val="both"/>
              <w:rPr>
                <w:rFonts w:ascii="Verdana" w:eastAsia="Calibri" w:hAnsi="Verdana" w:cs="Arial"/>
                <w:sz w:val="16"/>
                <w:szCs w:val="16"/>
              </w:rPr>
            </w:pPr>
            <w:r w:rsidRPr="009C5A97">
              <w:rPr>
                <w:rFonts w:ascii="Verdana" w:eastAsia="Calibri" w:hAnsi="Verdana" w:cs="Arial"/>
                <w:sz w:val="16"/>
                <w:szCs w:val="16"/>
              </w:rPr>
              <w:t>Gestor T1- 15 de la Subdirección de Gestión Contractual</w:t>
            </w:r>
          </w:p>
        </w:tc>
      </w:tr>
      <w:tr w:rsidR="00293EEA" w:rsidRPr="009C5A97" w14:paraId="2B122D7D" w14:textId="77777777" w:rsidTr="00EF0CD4">
        <w:trPr>
          <w:trHeight w:val="304"/>
        </w:trPr>
        <w:tc>
          <w:tcPr>
            <w:tcW w:w="882" w:type="dxa"/>
            <w:tcBorders>
              <w:top w:val="nil"/>
              <w:left w:val="nil"/>
              <w:bottom w:val="nil"/>
              <w:right w:val="nil"/>
            </w:tcBorders>
            <w:shd w:val="clear" w:color="auto" w:fill="auto"/>
            <w:vAlign w:val="center"/>
            <w:hideMark/>
          </w:tcPr>
          <w:p w14:paraId="7C0F026F" w14:textId="77777777" w:rsidR="00293EEA" w:rsidRPr="009C5A97" w:rsidRDefault="00293EEA" w:rsidP="00EF0CD4">
            <w:pPr>
              <w:spacing w:after="0" w:line="240" w:lineRule="auto"/>
              <w:jc w:val="both"/>
              <w:textAlignment w:val="baseline"/>
              <w:rPr>
                <w:rFonts w:ascii="Verdana" w:eastAsia="Times New Roman" w:hAnsi="Verdana" w:cs="Segoe UI"/>
                <w:sz w:val="18"/>
                <w:szCs w:val="18"/>
                <w:lang w:eastAsia="es-CO"/>
              </w:rPr>
            </w:pPr>
            <w:r w:rsidRPr="009C5A97">
              <w:rPr>
                <w:rFonts w:ascii="Verdana" w:eastAsia="Times New Roman" w:hAnsi="Verdana" w:cs="Arial"/>
                <w:sz w:val="16"/>
                <w:szCs w:val="16"/>
                <w:lang w:eastAsia="es-CO"/>
              </w:rPr>
              <w:t>Aprobó: </w:t>
            </w:r>
            <w:r w:rsidRPr="009C5A97">
              <w:rPr>
                <w:rFonts w:ascii="Verdana" w:eastAsia="Times New Roman" w:hAnsi="Verdana" w:cs="Century Gothic"/>
                <w:sz w:val="16"/>
                <w:szCs w:val="16"/>
                <w:lang w:eastAsia="es-CO"/>
              </w:rPr>
              <w:t> </w:t>
            </w:r>
          </w:p>
        </w:tc>
        <w:tc>
          <w:tcPr>
            <w:tcW w:w="4806"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66DD51BC" w14:textId="77777777" w:rsidR="00293EEA" w:rsidRPr="009C5A97" w:rsidRDefault="00293EEA" w:rsidP="00EF0CD4">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 xml:space="preserve">Carolina Quintero </w:t>
            </w:r>
            <w:proofErr w:type="spellStart"/>
            <w:r w:rsidRPr="009C5A97">
              <w:rPr>
                <w:rFonts w:ascii="Verdana" w:eastAsia="Calibri" w:hAnsi="Verdana" w:cs="Arial"/>
                <w:sz w:val="16"/>
                <w:szCs w:val="16"/>
              </w:rPr>
              <w:t>Gacharná</w:t>
            </w:r>
            <w:proofErr w:type="spellEnd"/>
          </w:p>
          <w:p w14:paraId="53958B69" w14:textId="77777777" w:rsidR="00293EEA" w:rsidRPr="009C5A97" w:rsidRDefault="00293EEA" w:rsidP="00EF0CD4">
            <w:pPr>
              <w:spacing w:after="0" w:line="240" w:lineRule="auto"/>
              <w:jc w:val="both"/>
              <w:textAlignment w:val="baseline"/>
              <w:rPr>
                <w:rFonts w:ascii="Verdana" w:eastAsia="Calibri" w:hAnsi="Verdana" w:cs="Arial"/>
                <w:sz w:val="16"/>
                <w:szCs w:val="16"/>
              </w:rPr>
            </w:pPr>
            <w:r w:rsidRPr="009C5A97">
              <w:rPr>
                <w:rFonts w:ascii="Verdana" w:eastAsia="Calibri" w:hAnsi="Verdana" w:cs="Arial"/>
                <w:sz w:val="16"/>
                <w:szCs w:val="16"/>
              </w:rPr>
              <w:t>Subdirectora de Gestión Contractual ANCP-CCE </w:t>
            </w:r>
          </w:p>
        </w:tc>
      </w:tr>
    </w:tbl>
    <w:p w14:paraId="7367CEED" w14:textId="77777777" w:rsidR="00293EEA" w:rsidRPr="009C5A97" w:rsidRDefault="00293EEA" w:rsidP="00293EEA">
      <w:pPr>
        <w:spacing w:after="0" w:line="240" w:lineRule="auto"/>
        <w:rPr>
          <w:rFonts w:ascii="Verdana" w:eastAsia="Times New Roman" w:hAnsi="Verdana" w:cs="Arial"/>
          <w:sz w:val="24"/>
          <w:szCs w:val="24"/>
          <w:lang w:eastAsia="es-ES"/>
        </w:rPr>
      </w:pPr>
    </w:p>
    <w:p w14:paraId="707A54FA" w14:textId="77777777" w:rsidR="00293EEA" w:rsidRPr="009C5A97" w:rsidRDefault="00293EEA" w:rsidP="00293EEA"/>
    <w:p w14:paraId="201AF6D4" w14:textId="77777777" w:rsidR="00293EEA" w:rsidRPr="0044528D" w:rsidRDefault="00293EEA" w:rsidP="00293EEA">
      <w:pPr>
        <w:spacing w:after="0"/>
        <w:rPr>
          <w:rFonts w:ascii="Verdana" w:hAnsi="Verdana"/>
        </w:rPr>
      </w:pPr>
    </w:p>
    <w:p w14:paraId="457BEE2B" w14:textId="77777777" w:rsidR="00293EEA" w:rsidRPr="006A77E6" w:rsidRDefault="00293EEA" w:rsidP="00293EEA"/>
    <w:p w14:paraId="3E6CC894" w14:textId="77777777" w:rsidR="00293EEA" w:rsidRPr="0044528D" w:rsidRDefault="00293EEA" w:rsidP="00293EEA">
      <w:pPr>
        <w:spacing w:after="0"/>
        <w:jc w:val="both"/>
        <w:rPr>
          <w:rStyle w:val="Hipervnculo"/>
          <w:rFonts w:ascii="Verdana" w:hAnsi="Verdana"/>
        </w:rPr>
      </w:pPr>
    </w:p>
    <w:p w14:paraId="6E57B140" w14:textId="77777777" w:rsidR="00293EEA" w:rsidRPr="0044528D" w:rsidRDefault="00293EEA" w:rsidP="00293EEA">
      <w:pPr>
        <w:spacing w:after="0"/>
        <w:jc w:val="both"/>
        <w:rPr>
          <w:rStyle w:val="Hipervnculo"/>
          <w:rFonts w:ascii="Verdana" w:hAnsi="Verdana"/>
        </w:rPr>
      </w:pPr>
    </w:p>
    <w:p w14:paraId="3537DC23" w14:textId="77777777" w:rsidR="00293EEA" w:rsidRPr="0044528D" w:rsidRDefault="00293EEA" w:rsidP="00293EEA">
      <w:pPr>
        <w:spacing w:after="0"/>
        <w:jc w:val="both"/>
        <w:rPr>
          <w:rStyle w:val="Hipervnculo"/>
          <w:rFonts w:ascii="Verdana" w:hAnsi="Verdana"/>
        </w:rPr>
      </w:pPr>
    </w:p>
    <w:p w14:paraId="3B04F62B" w14:textId="77777777" w:rsidR="00293EEA" w:rsidRPr="0044528D" w:rsidRDefault="00293EEA" w:rsidP="00293EEA">
      <w:pPr>
        <w:spacing w:after="0"/>
        <w:jc w:val="both"/>
        <w:rPr>
          <w:rStyle w:val="Hipervnculo"/>
          <w:rFonts w:ascii="Verdana" w:hAnsi="Verdana"/>
        </w:rPr>
      </w:pPr>
    </w:p>
    <w:bookmarkEnd w:id="0"/>
    <w:p w14:paraId="4864A617" w14:textId="77777777" w:rsidR="00293EEA" w:rsidRPr="0044528D" w:rsidRDefault="00293EEA" w:rsidP="00293EEA">
      <w:pPr>
        <w:spacing w:after="0" w:line="240" w:lineRule="auto"/>
        <w:textAlignment w:val="baseline"/>
        <w:rPr>
          <w:rFonts w:ascii="Verdana" w:eastAsia="Times New Roman" w:hAnsi="Verdana" w:cs="Segoe UI"/>
          <w:b/>
          <w:bCs/>
          <w:color w:val="46589C"/>
          <w:lang w:val="es-ES" w:eastAsia="es-CO"/>
        </w:rPr>
      </w:pPr>
    </w:p>
    <w:p w14:paraId="3900974D" w14:textId="77777777" w:rsidR="003D5B0D" w:rsidRPr="00293EEA" w:rsidRDefault="003D5B0D" w:rsidP="00007F62">
      <w:pPr>
        <w:rPr>
          <w:lang w:val="es-ES"/>
        </w:rPr>
      </w:pPr>
    </w:p>
    <w:sectPr w:rsidR="003D5B0D" w:rsidRPr="00293EE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AF073" w14:textId="77777777" w:rsidR="00FD1944" w:rsidRDefault="00FD1944" w:rsidP="004A1847">
      <w:pPr>
        <w:spacing w:after="0" w:line="240" w:lineRule="auto"/>
      </w:pPr>
      <w:r>
        <w:separator/>
      </w:r>
    </w:p>
  </w:endnote>
  <w:endnote w:type="continuationSeparator" w:id="0">
    <w:p w14:paraId="4586CC22" w14:textId="77777777" w:rsidR="00FD1944" w:rsidRDefault="00FD19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45EB4" w14:textId="77777777" w:rsidR="00FD1944" w:rsidRDefault="00FD1944" w:rsidP="004A1847">
      <w:pPr>
        <w:spacing w:after="0" w:line="240" w:lineRule="auto"/>
      </w:pPr>
      <w:r>
        <w:separator/>
      </w:r>
    </w:p>
  </w:footnote>
  <w:footnote w:type="continuationSeparator" w:id="0">
    <w:p w14:paraId="01EFAD0F" w14:textId="77777777" w:rsidR="00FD1944" w:rsidRDefault="00FD194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23209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20129572" o:spid="_x0000_i1025" type="#_x0000_t75" style="width:11.25pt;height:11.25pt;visibility:visible;mso-wrap-style:square">
            <v:imagedata r:id="rId1" o:title=""/>
          </v:shape>
        </w:pict>
      </mc:Choice>
      <mc:Fallback>
        <w:drawing>
          <wp:inline distT="0" distB="0" distL="0" distR="0" wp14:anchorId="25D597E0" wp14:editId="25D597E1">
            <wp:extent cx="142875" cy="142875"/>
            <wp:effectExtent l="0" t="0" r="0" b="0"/>
            <wp:docPr id="2020129572" name="Imagen 202012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AD0072"/>
    <w:multiLevelType w:val="hybridMultilevel"/>
    <w:tmpl w:val="1CC4D9C4"/>
    <w:lvl w:ilvl="0" w:tplc="18909776">
      <w:start w:val="4"/>
      <w:numFmt w:val="bullet"/>
      <w:lvlText w:val=""/>
      <w:lvlJc w:val="left"/>
      <w:pPr>
        <w:ind w:left="720" w:hanging="360"/>
      </w:pPr>
      <w:rPr>
        <w:rFonts w:ascii="Symbol" w:eastAsiaTheme="minorHAns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690911921">
    <w:abstractNumId w:val="0"/>
  </w:num>
  <w:num w:numId="17" w16cid:durableId="7510499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F62"/>
    <w:rsid w:val="00010D81"/>
    <w:rsid w:val="00016F78"/>
    <w:rsid w:val="00046945"/>
    <w:rsid w:val="00061B2A"/>
    <w:rsid w:val="00082362"/>
    <w:rsid w:val="000A683E"/>
    <w:rsid w:val="000B19B9"/>
    <w:rsid w:val="000D0334"/>
    <w:rsid w:val="000F6486"/>
    <w:rsid w:val="000F7073"/>
    <w:rsid w:val="00125105"/>
    <w:rsid w:val="00127233"/>
    <w:rsid w:val="001511A0"/>
    <w:rsid w:val="001E4177"/>
    <w:rsid w:val="001F7DC6"/>
    <w:rsid w:val="002421BB"/>
    <w:rsid w:val="0025796E"/>
    <w:rsid w:val="002707A2"/>
    <w:rsid w:val="00293EEA"/>
    <w:rsid w:val="002951A0"/>
    <w:rsid w:val="002962BC"/>
    <w:rsid w:val="002A093D"/>
    <w:rsid w:val="002A0DD0"/>
    <w:rsid w:val="002A49AC"/>
    <w:rsid w:val="002A64FD"/>
    <w:rsid w:val="002C7A84"/>
    <w:rsid w:val="002E4FD9"/>
    <w:rsid w:val="00322A85"/>
    <w:rsid w:val="00324168"/>
    <w:rsid w:val="003448F4"/>
    <w:rsid w:val="00374F5E"/>
    <w:rsid w:val="00377E3E"/>
    <w:rsid w:val="0038528A"/>
    <w:rsid w:val="00387388"/>
    <w:rsid w:val="003A779E"/>
    <w:rsid w:val="003D0F4D"/>
    <w:rsid w:val="003D5B0D"/>
    <w:rsid w:val="003E0499"/>
    <w:rsid w:val="003F3941"/>
    <w:rsid w:val="00406575"/>
    <w:rsid w:val="004106E3"/>
    <w:rsid w:val="00414C74"/>
    <w:rsid w:val="0042722E"/>
    <w:rsid w:val="0044528D"/>
    <w:rsid w:val="004A0768"/>
    <w:rsid w:val="004A1847"/>
    <w:rsid w:val="004A305D"/>
    <w:rsid w:val="004C0FC1"/>
    <w:rsid w:val="004D0B6C"/>
    <w:rsid w:val="004E1B14"/>
    <w:rsid w:val="004F21C4"/>
    <w:rsid w:val="004F685F"/>
    <w:rsid w:val="005566E8"/>
    <w:rsid w:val="00574867"/>
    <w:rsid w:val="00576685"/>
    <w:rsid w:val="00591460"/>
    <w:rsid w:val="005A05A3"/>
    <w:rsid w:val="005B3816"/>
    <w:rsid w:val="005C3777"/>
    <w:rsid w:val="005C5CDC"/>
    <w:rsid w:val="005D476C"/>
    <w:rsid w:val="005F0F62"/>
    <w:rsid w:val="005F2B20"/>
    <w:rsid w:val="006219F8"/>
    <w:rsid w:val="006403F4"/>
    <w:rsid w:val="00665D70"/>
    <w:rsid w:val="00674545"/>
    <w:rsid w:val="006900D9"/>
    <w:rsid w:val="006D3002"/>
    <w:rsid w:val="00706C16"/>
    <w:rsid w:val="00756841"/>
    <w:rsid w:val="007649AB"/>
    <w:rsid w:val="00771D0C"/>
    <w:rsid w:val="007833AC"/>
    <w:rsid w:val="007B268C"/>
    <w:rsid w:val="007B7171"/>
    <w:rsid w:val="007C0C0F"/>
    <w:rsid w:val="007C3DC2"/>
    <w:rsid w:val="007E5497"/>
    <w:rsid w:val="00803796"/>
    <w:rsid w:val="00806F5F"/>
    <w:rsid w:val="0081228B"/>
    <w:rsid w:val="00820278"/>
    <w:rsid w:val="00867F95"/>
    <w:rsid w:val="00876B64"/>
    <w:rsid w:val="008843B6"/>
    <w:rsid w:val="00891928"/>
    <w:rsid w:val="008A446D"/>
    <w:rsid w:val="008A74DB"/>
    <w:rsid w:val="008A78AB"/>
    <w:rsid w:val="008D180B"/>
    <w:rsid w:val="008F0EA7"/>
    <w:rsid w:val="00923EEF"/>
    <w:rsid w:val="009419F9"/>
    <w:rsid w:val="0095685E"/>
    <w:rsid w:val="00961B09"/>
    <w:rsid w:val="00965334"/>
    <w:rsid w:val="0097093E"/>
    <w:rsid w:val="00980491"/>
    <w:rsid w:val="0098538F"/>
    <w:rsid w:val="00986AC5"/>
    <w:rsid w:val="009A0DFA"/>
    <w:rsid w:val="009B2D26"/>
    <w:rsid w:val="009C71FA"/>
    <w:rsid w:val="009C72E7"/>
    <w:rsid w:val="009D3058"/>
    <w:rsid w:val="009D70F0"/>
    <w:rsid w:val="009F3A13"/>
    <w:rsid w:val="00A01932"/>
    <w:rsid w:val="00A122D3"/>
    <w:rsid w:val="00A17F13"/>
    <w:rsid w:val="00A20739"/>
    <w:rsid w:val="00A33C78"/>
    <w:rsid w:val="00A73944"/>
    <w:rsid w:val="00A97E21"/>
    <w:rsid w:val="00AB0ADB"/>
    <w:rsid w:val="00B01B1A"/>
    <w:rsid w:val="00B02BAF"/>
    <w:rsid w:val="00B66319"/>
    <w:rsid w:val="00B72CD3"/>
    <w:rsid w:val="00B72FFF"/>
    <w:rsid w:val="00BC3D36"/>
    <w:rsid w:val="00BD7F72"/>
    <w:rsid w:val="00C04FB3"/>
    <w:rsid w:val="00C134FD"/>
    <w:rsid w:val="00C2068D"/>
    <w:rsid w:val="00C330EB"/>
    <w:rsid w:val="00C41061"/>
    <w:rsid w:val="00C754BE"/>
    <w:rsid w:val="00C76B1C"/>
    <w:rsid w:val="00CB6357"/>
    <w:rsid w:val="00CC1B26"/>
    <w:rsid w:val="00CC6C6E"/>
    <w:rsid w:val="00CD5C7C"/>
    <w:rsid w:val="00CD5E09"/>
    <w:rsid w:val="00D423A2"/>
    <w:rsid w:val="00D520D8"/>
    <w:rsid w:val="00D63AC2"/>
    <w:rsid w:val="00D67F40"/>
    <w:rsid w:val="00D7383B"/>
    <w:rsid w:val="00DA231B"/>
    <w:rsid w:val="00DC39FC"/>
    <w:rsid w:val="00DE4EBE"/>
    <w:rsid w:val="00DF5254"/>
    <w:rsid w:val="00E16408"/>
    <w:rsid w:val="00E20894"/>
    <w:rsid w:val="00E245AB"/>
    <w:rsid w:val="00E267D5"/>
    <w:rsid w:val="00E2764C"/>
    <w:rsid w:val="00E27F2E"/>
    <w:rsid w:val="00E50AFE"/>
    <w:rsid w:val="00E73930"/>
    <w:rsid w:val="00E75C92"/>
    <w:rsid w:val="00E771DC"/>
    <w:rsid w:val="00E8772A"/>
    <w:rsid w:val="00E90F6B"/>
    <w:rsid w:val="00E90FBA"/>
    <w:rsid w:val="00E92C27"/>
    <w:rsid w:val="00EA0E3D"/>
    <w:rsid w:val="00EC38A7"/>
    <w:rsid w:val="00ED7384"/>
    <w:rsid w:val="00EE1AA8"/>
    <w:rsid w:val="00EE452C"/>
    <w:rsid w:val="00F0645F"/>
    <w:rsid w:val="00F31EDC"/>
    <w:rsid w:val="00F462B3"/>
    <w:rsid w:val="00F5664F"/>
    <w:rsid w:val="00F666C4"/>
    <w:rsid w:val="00F76AFC"/>
    <w:rsid w:val="00FA47C0"/>
    <w:rsid w:val="00FB47E5"/>
    <w:rsid w:val="00FB5DD1"/>
    <w:rsid w:val="00FC2B5D"/>
    <w:rsid w:val="00FD1944"/>
    <w:rsid w:val="00FE51FD"/>
    <w:rsid w:val="00FF1449"/>
    <w:rsid w:val="01E8B9EE"/>
    <w:rsid w:val="0786B97F"/>
    <w:rsid w:val="08A35FCC"/>
    <w:rsid w:val="09F0B054"/>
    <w:rsid w:val="0C2B48C3"/>
    <w:rsid w:val="0D40F5BB"/>
    <w:rsid w:val="138A6A2D"/>
    <w:rsid w:val="13B523A9"/>
    <w:rsid w:val="1E2286A4"/>
    <w:rsid w:val="255B8E3C"/>
    <w:rsid w:val="28426A15"/>
    <w:rsid w:val="308ACB4A"/>
    <w:rsid w:val="34BBCB11"/>
    <w:rsid w:val="3C40FBF4"/>
    <w:rsid w:val="3FB28694"/>
    <w:rsid w:val="4FD32420"/>
    <w:rsid w:val="594F8C55"/>
    <w:rsid w:val="59BF43AD"/>
    <w:rsid w:val="64D90709"/>
    <w:rsid w:val="76E7C0C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93EEA"/>
    <w:rPr>
      <w:rFonts w:ascii="Geomanist Light" w:hAnsi="Geomanist Light"/>
      <w:lang w:val="es-ES"/>
    </w:rPr>
  </w:style>
  <w:style w:type="character" w:styleId="Refdecomentario">
    <w:name w:val="annotation reference"/>
    <w:basedOn w:val="Fuentedeprrafopredeter"/>
    <w:uiPriority w:val="99"/>
    <w:semiHidden/>
    <w:unhideWhenUsed/>
    <w:rsid w:val="005F0F62"/>
    <w:rPr>
      <w:sz w:val="16"/>
      <w:szCs w:val="16"/>
    </w:rPr>
  </w:style>
  <w:style w:type="paragraph" w:styleId="Textocomentario">
    <w:name w:val="annotation text"/>
    <w:basedOn w:val="Normal"/>
    <w:link w:val="TextocomentarioCar"/>
    <w:uiPriority w:val="99"/>
    <w:unhideWhenUsed/>
    <w:rsid w:val="005F0F62"/>
    <w:pPr>
      <w:spacing w:line="240" w:lineRule="auto"/>
    </w:pPr>
    <w:rPr>
      <w:sz w:val="20"/>
      <w:szCs w:val="20"/>
    </w:rPr>
  </w:style>
  <w:style w:type="character" w:customStyle="1" w:styleId="TextocomentarioCar">
    <w:name w:val="Texto comentario Car"/>
    <w:basedOn w:val="Fuentedeprrafopredeter"/>
    <w:link w:val="Textocomentario"/>
    <w:uiPriority w:val="99"/>
    <w:rsid w:val="005F0F62"/>
    <w:rPr>
      <w:sz w:val="20"/>
      <w:szCs w:val="20"/>
    </w:rPr>
  </w:style>
  <w:style w:type="paragraph" w:styleId="Asuntodelcomentario">
    <w:name w:val="annotation subject"/>
    <w:basedOn w:val="Textocomentario"/>
    <w:next w:val="Textocomentario"/>
    <w:link w:val="AsuntodelcomentarioCar"/>
    <w:uiPriority w:val="99"/>
    <w:semiHidden/>
    <w:unhideWhenUsed/>
    <w:rsid w:val="005F0F62"/>
    <w:rPr>
      <w:b/>
      <w:bCs/>
    </w:rPr>
  </w:style>
  <w:style w:type="character" w:customStyle="1" w:styleId="AsuntodelcomentarioCar">
    <w:name w:val="Asunto del comentario Car"/>
    <w:basedOn w:val="TextocomentarioCar"/>
    <w:link w:val="Asuntodelcomentario"/>
    <w:uiPriority w:val="99"/>
    <w:semiHidden/>
    <w:rsid w:val="005F0F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infraestructura-socia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viercuellarg@gmail.com"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156BCD-3EE8-4601-986A-276955515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9d85dbaf-23eb-4e57-a637-93dcacc8b1a1"/>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2898</Words>
  <Characters>15943</Characters>
  <Application>Microsoft Office Word</Application>
  <DocSecurity>0</DocSecurity>
  <Lines>132</Lines>
  <Paragraphs>37</Paragraphs>
  <ScaleCrop>false</ScaleCrop>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2025-05-26T18:35:00Z</dcterms:created>
  <dcterms:modified xsi:type="dcterms:W3CDTF">2025-05-26T18:35:00Z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