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88B9D" w14:textId="1A7FF0F5" w:rsidR="00325DD3" w:rsidRPr="005D6C70" w:rsidRDefault="00325DD3" w:rsidP="00325DD3">
      <w:pPr>
        <w:jc w:val="right"/>
        <w:rPr>
          <w:rFonts w:ascii="Arial" w:hAnsi="Arial" w:cs="Arial"/>
          <w:b/>
          <w:sz w:val="16"/>
          <w:szCs w:val="16"/>
          <w:lang w:eastAsia="es-ES"/>
        </w:rPr>
      </w:pPr>
      <w:bookmarkStart w:id="0" w:name="_Hlk28946138"/>
      <w:bookmarkStart w:id="1" w:name="_Hlk29548183"/>
      <w:r w:rsidRPr="005D6C70">
        <w:rPr>
          <w:rFonts w:ascii="Arial" w:hAnsi="Arial" w:cs="Arial"/>
          <w:b/>
          <w:sz w:val="16"/>
          <w:szCs w:val="16"/>
          <w:lang w:eastAsia="es-ES"/>
        </w:rPr>
        <w:t>CCE-DES-FM-17</w:t>
      </w:r>
    </w:p>
    <w:p w14:paraId="394B9B14" w14:textId="77777777" w:rsidR="00325DD3" w:rsidRPr="00142CD5" w:rsidRDefault="00325DD3" w:rsidP="00325DD3">
      <w:pPr>
        <w:jc w:val="right"/>
        <w:rPr>
          <w:rFonts w:ascii="Arial" w:hAnsi="Arial" w:cs="Arial"/>
          <w:b/>
          <w:sz w:val="16"/>
          <w:szCs w:val="16"/>
        </w:rPr>
      </w:pPr>
    </w:p>
    <w:p w14:paraId="53C07C13" w14:textId="097566C5" w:rsidR="006B6454" w:rsidRPr="005D6C70" w:rsidRDefault="0060257A" w:rsidP="003349CA">
      <w:pPr>
        <w:jc w:val="both"/>
        <w:rPr>
          <w:rFonts w:ascii="Arial" w:hAnsi="Arial" w:cs="Arial"/>
          <w:sz w:val="22"/>
        </w:rPr>
      </w:pPr>
      <w:r w:rsidRPr="005D6C70">
        <w:rPr>
          <w:rFonts w:ascii="Arial" w:hAnsi="Arial" w:cs="Arial"/>
          <w:b/>
          <w:sz w:val="22"/>
        </w:rPr>
        <w:t xml:space="preserve">EXPERIENCIA </w:t>
      </w:r>
      <w:r w:rsidR="004724B8" w:rsidRPr="005D6C70">
        <w:rPr>
          <w:rFonts w:ascii="Arial" w:eastAsia="Calibri" w:hAnsi="Arial" w:cs="Arial"/>
          <w:b/>
          <w:sz w:val="22"/>
        </w:rPr>
        <w:t>–</w:t>
      </w:r>
      <w:r w:rsidRPr="005D6C70">
        <w:rPr>
          <w:rFonts w:ascii="Arial" w:eastAsia="Calibri" w:hAnsi="Arial" w:cs="Arial"/>
          <w:b/>
          <w:sz w:val="22"/>
        </w:rPr>
        <w:t xml:space="preserve"> </w:t>
      </w:r>
      <w:r w:rsidRPr="005D6C70">
        <w:rPr>
          <w:rFonts w:ascii="Arial" w:hAnsi="Arial" w:cs="Arial"/>
          <w:b/>
          <w:sz w:val="22"/>
        </w:rPr>
        <w:t>A</w:t>
      </w:r>
      <w:r w:rsidR="006B6454" w:rsidRPr="005D6C70">
        <w:rPr>
          <w:rFonts w:ascii="Arial" w:hAnsi="Arial" w:cs="Arial"/>
          <w:b/>
          <w:sz w:val="22"/>
        </w:rPr>
        <w:t>creditación</w:t>
      </w:r>
      <w:r w:rsidR="005C0B7B" w:rsidRPr="005D6C70">
        <w:rPr>
          <w:rFonts w:ascii="Arial" w:hAnsi="Arial" w:cs="Arial"/>
          <w:b/>
          <w:sz w:val="22"/>
        </w:rPr>
        <w:t xml:space="preserve"> </w:t>
      </w:r>
      <w:r w:rsidR="005C0B7B" w:rsidRPr="005D6C70">
        <w:rPr>
          <w:rFonts w:ascii="Arial" w:eastAsia="Calibri" w:hAnsi="Arial" w:cs="Arial"/>
          <w:b/>
          <w:sz w:val="22"/>
        </w:rPr>
        <w:t xml:space="preserve">– Sociedad </w:t>
      </w:r>
      <w:r w:rsidR="00B964C7">
        <w:rPr>
          <w:rFonts w:ascii="Arial" w:eastAsia="Calibri" w:hAnsi="Arial" w:cs="Arial"/>
          <w:b/>
          <w:sz w:val="22"/>
        </w:rPr>
        <w:t>con</w:t>
      </w:r>
      <w:r w:rsidR="005C0B7B" w:rsidRPr="005D6C70">
        <w:rPr>
          <w:rFonts w:ascii="Arial" w:eastAsia="Calibri" w:hAnsi="Arial" w:cs="Arial"/>
          <w:b/>
          <w:sz w:val="22"/>
        </w:rPr>
        <w:t xml:space="preserve"> menos </w:t>
      </w:r>
      <w:r w:rsidR="00B964C7">
        <w:rPr>
          <w:rFonts w:ascii="Arial" w:eastAsia="Calibri" w:hAnsi="Arial" w:cs="Arial"/>
          <w:b/>
          <w:sz w:val="22"/>
        </w:rPr>
        <w:t xml:space="preserve">de </w:t>
      </w:r>
      <w:r w:rsidR="005C0B7B" w:rsidRPr="005D6C70">
        <w:rPr>
          <w:rFonts w:ascii="Arial" w:eastAsia="Calibri" w:hAnsi="Arial" w:cs="Arial"/>
          <w:b/>
          <w:sz w:val="22"/>
        </w:rPr>
        <w:t xml:space="preserve">3 años – </w:t>
      </w:r>
      <w:r w:rsidR="00B964C7">
        <w:rPr>
          <w:rFonts w:ascii="Arial" w:eastAsia="Calibri" w:hAnsi="Arial" w:cs="Arial"/>
          <w:b/>
          <w:sz w:val="22"/>
        </w:rPr>
        <w:t>R</w:t>
      </w:r>
      <w:r w:rsidR="005C0B7B" w:rsidRPr="005D6C70">
        <w:rPr>
          <w:rFonts w:ascii="Arial" w:eastAsia="Calibri" w:hAnsi="Arial" w:cs="Arial"/>
          <w:b/>
          <w:sz w:val="22"/>
        </w:rPr>
        <w:t xml:space="preserve">UP – </w:t>
      </w:r>
      <w:r w:rsidR="00B964C7">
        <w:rPr>
          <w:rFonts w:ascii="Arial" w:eastAsia="Calibri" w:hAnsi="Arial" w:cs="Arial"/>
          <w:b/>
          <w:sz w:val="22"/>
        </w:rPr>
        <w:t>Experiencia socios</w:t>
      </w:r>
      <w:r w:rsidR="005C0B7B" w:rsidRPr="005D6C70">
        <w:rPr>
          <w:rFonts w:ascii="Arial" w:eastAsia="Calibri" w:hAnsi="Arial" w:cs="Arial"/>
          <w:b/>
          <w:sz w:val="22"/>
        </w:rPr>
        <w:t xml:space="preserve"> </w:t>
      </w:r>
      <w:r w:rsidR="00166AB4" w:rsidRPr="005D6C70">
        <w:rPr>
          <w:rFonts w:ascii="Arial" w:eastAsia="Calibri" w:hAnsi="Arial" w:cs="Arial"/>
          <w:b/>
          <w:sz w:val="22"/>
        </w:rPr>
        <w:t>– Deber de renovación</w:t>
      </w:r>
    </w:p>
    <w:p w14:paraId="282E62D7" w14:textId="77777777" w:rsidR="0060257A" w:rsidRPr="005D6C70" w:rsidRDefault="0060257A" w:rsidP="003349CA">
      <w:pPr>
        <w:jc w:val="both"/>
        <w:rPr>
          <w:rFonts w:ascii="Arial" w:hAnsi="Arial" w:cs="Arial"/>
          <w:sz w:val="21"/>
          <w:szCs w:val="21"/>
        </w:rPr>
      </w:pPr>
    </w:p>
    <w:p w14:paraId="62671DDB" w14:textId="1BE43F6F" w:rsidR="00BD6A7D" w:rsidRPr="005D6C70" w:rsidRDefault="00BD6A7D" w:rsidP="005A0AF8">
      <w:pPr>
        <w:spacing w:after="120"/>
        <w:jc w:val="both"/>
        <w:rPr>
          <w:rFonts w:ascii="Arial" w:hAnsi="Arial" w:cs="Arial"/>
          <w:sz w:val="20"/>
          <w:szCs w:val="20"/>
        </w:rPr>
      </w:pPr>
      <w:r w:rsidRPr="005D6C70">
        <w:rPr>
          <w:rFonts w:ascii="Arial" w:hAnsi="Arial" w:cs="Arial"/>
          <w:sz w:val="20"/>
          <w:szCs w:val="20"/>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44EDD46" w14:textId="27679E4A" w:rsidR="005A0AF8" w:rsidRPr="005D6C70" w:rsidRDefault="005A0AF8" w:rsidP="005A0AF8">
      <w:pPr>
        <w:jc w:val="both"/>
        <w:rPr>
          <w:rFonts w:ascii="Arial" w:hAnsi="Arial" w:cs="Arial"/>
          <w:sz w:val="20"/>
          <w:szCs w:val="20"/>
        </w:rPr>
      </w:pPr>
      <w:r w:rsidRPr="005D6C70">
        <w:rPr>
          <w:rFonts w:ascii="Arial" w:hAnsi="Arial" w:cs="Arial"/>
          <w:sz w:val="20"/>
          <w:szCs w:val="20"/>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9249CCB" w14:textId="065790FA" w:rsidR="00F74BFB" w:rsidRPr="005D6C70" w:rsidRDefault="00F74BFB" w:rsidP="003349CA">
      <w:pPr>
        <w:pStyle w:val="Prrafodelista"/>
        <w:ind w:left="0"/>
        <w:contextualSpacing w:val="0"/>
        <w:jc w:val="both"/>
        <w:rPr>
          <w:rFonts w:ascii="Arial" w:eastAsia="Calibri" w:hAnsi="Arial" w:cs="Arial"/>
          <w:sz w:val="20"/>
          <w:szCs w:val="20"/>
        </w:rPr>
      </w:pPr>
    </w:p>
    <w:p w14:paraId="6861781F" w14:textId="26A4B24D" w:rsidR="005A0AF8" w:rsidRPr="005D6C70" w:rsidRDefault="005A0AF8" w:rsidP="003349CA">
      <w:pPr>
        <w:pStyle w:val="Prrafodelista"/>
        <w:ind w:left="0"/>
        <w:contextualSpacing w:val="0"/>
        <w:jc w:val="both"/>
        <w:rPr>
          <w:rFonts w:ascii="Arial" w:eastAsia="Calibri" w:hAnsi="Arial" w:cs="Arial"/>
          <w:b/>
          <w:bCs/>
          <w:sz w:val="22"/>
        </w:rPr>
      </w:pPr>
      <w:r w:rsidRPr="005D6C70">
        <w:rPr>
          <w:rFonts w:ascii="Arial" w:eastAsia="Calibri" w:hAnsi="Arial" w:cs="Arial"/>
          <w:b/>
          <w:bCs/>
          <w:sz w:val="22"/>
        </w:rPr>
        <w:t xml:space="preserve">EXPERIENCIA – </w:t>
      </w:r>
      <w:r w:rsidR="00166AB4" w:rsidRPr="005D6C70">
        <w:rPr>
          <w:rFonts w:ascii="Arial" w:eastAsia="Calibri" w:hAnsi="Arial" w:cs="Arial"/>
          <w:b/>
          <w:bCs/>
          <w:sz w:val="22"/>
        </w:rPr>
        <w:t xml:space="preserve">Sociedad </w:t>
      </w:r>
      <w:r w:rsidR="00B964C7">
        <w:rPr>
          <w:rFonts w:ascii="Arial" w:eastAsia="Calibri" w:hAnsi="Arial" w:cs="Arial"/>
          <w:b/>
          <w:bCs/>
          <w:sz w:val="22"/>
        </w:rPr>
        <w:t>con</w:t>
      </w:r>
      <w:r w:rsidR="00166AB4" w:rsidRPr="005D6C70">
        <w:rPr>
          <w:rFonts w:ascii="Arial" w:eastAsia="Calibri" w:hAnsi="Arial" w:cs="Arial"/>
          <w:b/>
          <w:bCs/>
          <w:sz w:val="22"/>
        </w:rPr>
        <w:t xml:space="preserve"> menos </w:t>
      </w:r>
      <w:r w:rsidR="00B964C7">
        <w:rPr>
          <w:rFonts w:ascii="Arial" w:eastAsia="Calibri" w:hAnsi="Arial" w:cs="Arial"/>
          <w:b/>
          <w:bCs/>
          <w:sz w:val="22"/>
        </w:rPr>
        <w:t>de</w:t>
      </w:r>
      <w:r w:rsidR="00166AB4" w:rsidRPr="005D6C70">
        <w:rPr>
          <w:rFonts w:ascii="Arial" w:eastAsia="Calibri" w:hAnsi="Arial" w:cs="Arial"/>
          <w:b/>
          <w:bCs/>
          <w:sz w:val="22"/>
        </w:rPr>
        <w:t xml:space="preserve"> 3 años –</w:t>
      </w:r>
      <w:r w:rsidR="00B964C7">
        <w:rPr>
          <w:rFonts w:ascii="Arial" w:eastAsia="Calibri" w:hAnsi="Arial" w:cs="Arial"/>
          <w:b/>
          <w:bCs/>
          <w:sz w:val="22"/>
        </w:rPr>
        <w:t xml:space="preserve"> </w:t>
      </w:r>
      <w:r w:rsidR="00166AB4" w:rsidRPr="005D6C70">
        <w:rPr>
          <w:rFonts w:ascii="Arial" w:eastAsia="Calibri" w:hAnsi="Arial" w:cs="Arial"/>
          <w:b/>
          <w:bCs/>
          <w:sz w:val="22"/>
        </w:rPr>
        <w:t xml:space="preserve">Experiencia transferida por socios – </w:t>
      </w:r>
      <w:r w:rsidR="00B964C7">
        <w:rPr>
          <w:rFonts w:ascii="Arial" w:eastAsia="Calibri" w:hAnsi="Arial" w:cs="Arial"/>
          <w:b/>
          <w:bCs/>
          <w:sz w:val="22"/>
        </w:rPr>
        <w:t>Conservación</w:t>
      </w:r>
    </w:p>
    <w:p w14:paraId="7E61AFB7" w14:textId="77777777" w:rsidR="005A0AF8" w:rsidRPr="005D6C70" w:rsidRDefault="005A0AF8" w:rsidP="003349CA">
      <w:pPr>
        <w:pStyle w:val="Prrafodelista"/>
        <w:ind w:left="0"/>
        <w:contextualSpacing w:val="0"/>
        <w:jc w:val="both"/>
        <w:rPr>
          <w:rFonts w:ascii="Arial" w:eastAsia="Calibri" w:hAnsi="Arial" w:cs="Arial"/>
          <w:sz w:val="20"/>
          <w:szCs w:val="20"/>
        </w:rPr>
      </w:pPr>
    </w:p>
    <w:p w14:paraId="75743F40" w14:textId="35B7C86D" w:rsidR="005A0AF8" w:rsidRPr="005D6C70" w:rsidRDefault="00166AB4" w:rsidP="005A0AF8">
      <w:pPr>
        <w:spacing w:after="120"/>
        <w:jc w:val="both"/>
        <w:rPr>
          <w:rFonts w:ascii="Arial" w:eastAsia="Calibri" w:hAnsi="Arial" w:cs="Arial"/>
          <w:sz w:val="20"/>
          <w:szCs w:val="20"/>
        </w:rPr>
      </w:pPr>
      <w:r w:rsidRPr="005D6C70">
        <w:rPr>
          <w:rFonts w:ascii="Arial" w:eastAsia="Calibri" w:hAnsi="Arial" w:cs="Arial"/>
          <w:sz w:val="20"/>
          <w:szCs w:val="20"/>
        </w:rPr>
        <w:t xml:space="preserve">[…] </w:t>
      </w:r>
      <w:r w:rsidR="005A0AF8" w:rsidRPr="005D6C70">
        <w:rPr>
          <w:rFonts w:ascii="Arial" w:eastAsia="Calibri" w:hAnsi="Arial" w:cs="Arial"/>
          <w:sz w:val="20"/>
          <w:szCs w:val="20"/>
        </w:rPr>
        <w:t xml:space="preserve">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0B74F7F5" w14:textId="3FA0649D" w:rsidR="0034177C" w:rsidRPr="005D6C70" w:rsidRDefault="005A0AF8" w:rsidP="004724B8">
      <w:pPr>
        <w:jc w:val="both"/>
        <w:rPr>
          <w:rFonts w:ascii="Arial" w:hAnsi="Arial" w:cs="Arial"/>
          <w:sz w:val="22"/>
        </w:rPr>
      </w:pPr>
      <w:r w:rsidRPr="005D6C70">
        <w:rPr>
          <w:rFonts w:ascii="Arial" w:eastAsia="Calibri" w:hAnsi="Arial" w:cs="Arial"/>
          <w:sz w:val="20"/>
          <w:szCs w:val="20"/>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90DA44B" w14:textId="77777777" w:rsidR="00E7101A" w:rsidRPr="00930E03" w:rsidRDefault="00E7101A" w:rsidP="00E7101A">
      <w:pPr>
        <w:pStyle w:val="Default"/>
        <w:rPr>
          <w:color w:val="auto"/>
          <w:sz w:val="20"/>
          <w:szCs w:val="20"/>
        </w:rPr>
      </w:pPr>
    </w:p>
    <w:p w14:paraId="1C15EADC" w14:textId="77777777" w:rsidR="00793B3A" w:rsidRPr="00930E03" w:rsidRDefault="00793B3A" w:rsidP="00793B3A">
      <w:pPr>
        <w:autoSpaceDE w:val="0"/>
        <w:autoSpaceDN w:val="0"/>
        <w:adjustRightInd w:val="0"/>
        <w:rPr>
          <w:rFonts w:ascii="Arial" w:hAnsi="Arial" w:cs="Arial"/>
          <w:color w:val="000000"/>
          <w:sz w:val="20"/>
          <w:szCs w:val="20"/>
          <w:lang w:val="es-CO"/>
        </w:rPr>
      </w:pPr>
    </w:p>
    <w:p w14:paraId="0FDFCB99" w14:textId="0E26378E" w:rsidR="00793B3A" w:rsidRPr="00793B3A" w:rsidRDefault="00793B3A" w:rsidP="00793B3A">
      <w:pPr>
        <w:autoSpaceDE w:val="0"/>
        <w:autoSpaceDN w:val="0"/>
        <w:adjustRightInd w:val="0"/>
        <w:rPr>
          <w:rFonts w:ascii="Arial" w:hAnsi="Arial" w:cs="Arial"/>
          <w:color w:val="000000"/>
          <w:sz w:val="22"/>
          <w:lang w:val="es-CO"/>
        </w:rPr>
      </w:pPr>
      <w:r w:rsidRPr="00793B3A">
        <w:rPr>
          <w:rFonts w:ascii="Arial" w:hAnsi="Arial" w:cs="Arial"/>
          <w:color w:val="000000"/>
          <w:sz w:val="22"/>
          <w:lang w:val="es-CO"/>
        </w:rPr>
        <w:t xml:space="preserve">Bogotá D.C., </w:t>
      </w:r>
      <w:r w:rsidRPr="00793B3A">
        <w:rPr>
          <w:rFonts w:ascii="Arial" w:hAnsi="Arial" w:cs="Arial"/>
          <w:b/>
          <w:bCs/>
          <w:color w:val="000000"/>
          <w:sz w:val="22"/>
          <w:lang w:val="es-CO"/>
        </w:rPr>
        <w:t xml:space="preserve">12/06/2020 Hora 18:27:9s </w:t>
      </w:r>
    </w:p>
    <w:p w14:paraId="5669144D" w14:textId="17925F9C" w:rsidR="002A3182" w:rsidRPr="005D6C70" w:rsidRDefault="00793B3A" w:rsidP="00793B3A">
      <w:pPr>
        <w:jc w:val="right"/>
        <w:rPr>
          <w:rFonts w:ascii="Arial" w:hAnsi="Arial" w:cs="Arial"/>
          <w:b/>
          <w:sz w:val="22"/>
        </w:rPr>
      </w:pPr>
      <w:r w:rsidRPr="00793B3A">
        <w:rPr>
          <w:rFonts w:ascii="Arial" w:hAnsi="Arial" w:cs="Arial"/>
          <w:b/>
          <w:bCs/>
          <w:color w:val="000000"/>
          <w:sz w:val="22"/>
          <w:lang w:val="es-CO"/>
        </w:rPr>
        <w:t>N° Radicado: 2202013000004965</w:t>
      </w:r>
    </w:p>
    <w:p w14:paraId="7E80B7C1" w14:textId="3073541D" w:rsidR="00A37FB6" w:rsidRPr="005D6C70" w:rsidRDefault="00A37FB6" w:rsidP="00E7101A">
      <w:pPr>
        <w:tabs>
          <w:tab w:val="left" w:pos="3374"/>
        </w:tabs>
        <w:jc w:val="right"/>
        <w:rPr>
          <w:rFonts w:ascii="Arial" w:eastAsia="Calibri" w:hAnsi="Arial" w:cs="Arial"/>
          <w:sz w:val="22"/>
        </w:rPr>
      </w:pPr>
    </w:p>
    <w:p w14:paraId="2B166DFC" w14:textId="22C3DD74" w:rsidR="00A37FB6" w:rsidRPr="005D6C70" w:rsidRDefault="004141CB" w:rsidP="00D01760">
      <w:pPr>
        <w:rPr>
          <w:rFonts w:ascii="Arial" w:eastAsia="Calibri" w:hAnsi="Arial" w:cs="Arial"/>
          <w:sz w:val="22"/>
        </w:rPr>
      </w:pPr>
      <w:r w:rsidRPr="005D6C70">
        <w:rPr>
          <w:rFonts w:ascii="Arial" w:eastAsia="Calibri" w:hAnsi="Arial" w:cs="Arial"/>
          <w:sz w:val="22"/>
        </w:rPr>
        <w:t>Señor</w:t>
      </w:r>
    </w:p>
    <w:p w14:paraId="55090B92" w14:textId="77777777" w:rsidR="00814F91" w:rsidRPr="005D6C70" w:rsidRDefault="00814F91" w:rsidP="00814F91">
      <w:pPr>
        <w:autoSpaceDE w:val="0"/>
        <w:autoSpaceDN w:val="0"/>
        <w:adjustRightInd w:val="0"/>
        <w:rPr>
          <w:rFonts w:ascii="Arial" w:hAnsi="Arial" w:cs="Arial"/>
          <w:b/>
          <w:bCs/>
          <w:sz w:val="22"/>
          <w:lang w:val="es-CO"/>
        </w:rPr>
      </w:pPr>
      <w:r w:rsidRPr="005D6C70">
        <w:rPr>
          <w:rFonts w:ascii="Arial" w:hAnsi="Arial" w:cs="Arial"/>
          <w:b/>
          <w:bCs/>
          <w:sz w:val="22"/>
          <w:lang w:val="es-CO"/>
        </w:rPr>
        <w:t>Juan Diego Gómez Gracia</w:t>
      </w:r>
    </w:p>
    <w:p w14:paraId="570DC052" w14:textId="77777777" w:rsidR="00814F91" w:rsidRPr="005D6C70" w:rsidRDefault="00814F91" w:rsidP="00814F91">
      <w:pPr>
        <w:autoSpaceDE w:val="0"/>
        <w:autoSpaceDN w:val="0"/>
        <w:adjustRightInd w:val="0"/>
        <w:rPr>
          <w:rFonts w:ascii="Arial" w:hAnsi="Arial" w:cs="Arial"/>
          <w:b/>
          <w:bCs/>
          <w:sz w:val="22"/>
          <w:lang w:val="es-CO"/>
        </w:rPr>
      </w:pPr>
      <w:r w:rsidRPr="005D6C70">
        <w:rPr>
          <w:rFonts w:ascii="Arial" w:hAnsi="Arial" w:cs="Arial"/>
          <w:b/>
          <w:bCs/>
          <w:sz w:val="22"/>
          <w:lang w:val="es-CO"/>
        </w:rPr>
        <w:t>Representante Legal</w:t>
      </w:r>
    </w:p>
    <w:p w14:paraId="53E08000" w14:textId="77777777" w:rsidR="00814F91" w:rsidRPr="005D6C70" w:rsidRDefault="00814F91" w:rsidP="00814F91">
      <w:pPr>
        <w:rPr>
          <w:rFonts w:ascii="Arial" w:hAnsi="Arial" w:cs="Arial"/>
          <w:b/>
          <w:bCs/>
          <w:sz w:val="22"/>
          <w:lang w:val="es-CO"/>
        </w:rPr>
      </w:pPr>
      <w:r w:rsidRPr="005D6C70">
        <w:rPr>
          <w:rFonts w:ascii="Arial" w:hAnsi="Arial" w:cs="Arial"/>
          <w:b/>
          <w:bCs/>
          <w:sz w:val="22"/>
          <w:lang w:val="es-CO"/>
        </w:rPr>
        <w:t>Sinergia y asesoría integral S.A.S</w:t>
      </w:r>
    </w:p>
    <w:p w14:paraId="359C48BE" w14:textId="2DEFD2B5" w:rsidR="00A37FB6" w:rsidRPr="005D6C70" w:rsidRDefault="00814F91" w:rsidP="00814F91">
      <w:pPr>
        <w:rPr>
          <w:rFonts w:ascii="Arial" w:eastAsia="Calibri" w:hAnsi="Arial" w:cs="Arial"/>
          <w:sz w:val="22"/>
        </w:rPr>
      </w:pPr>
      <w:r w:rsidRPr="005D6C70">
        <w:rPr>
          <w:rFonts w:ascii="Arial" w:eastAsia="Calibri" w:hAnsi="Arial" w:cs="Arial"/>
          <w:sz w:val="22"/>
        </w:rPr>
        <w:t>Medellín, Antioquia</w:t>
      </w:r>
    </w:p>
    <w:p w14:paraId="7CCCE644" w14:textId="77777777" w:rsidR="006D742A" w:rsidRPr="005D6C70" w:rsidRDefault="006D742A" w:rsidP="00D01760">
      <w:pPr>
        <w:rPr>
          <w:rFonts w:ascii="Arial" w:eastAsia="Calibri" w:hAnsi="Arial" w:cs="Arial"/>
          <w:sz w:val="22"/>
        </w:rPr>
      </w:pPr>
    </w:p>
    <w:p w14:paraId="479F6A3A" w14:textId="1758FE3B" w:rsidR="00A37FB6" w:rsidRPr="005D6C70" w:rsidRDefault="004141CB" w:rsidP="00D01760">
      <w:pPr>
        <w:jc w:val="center"/>
        <w:rPr>
          <w:rFonts w:ascii="Arial" w:eastAsia="Calibri" w:hAnsi="Arial" w:cs="Arial"/>
          <w:b/>
          <w:sz w:val="22"/>
        </w:rPr>
      </w:pPr>
      <w:r w:rsidRPr="005622C5">
        <w:rPr>
          <w:rFonts w:ascii="Arial" w:eastAsia="Calibri" w:hAnsi="Arial" w:cs="Arial"/>
          <w:b/>
          <w:sz w:val="22"/>
        </w:rPr>
        <w:t xml:space="preserve">Concepto C </w:t>
      </w:r>
      <w:r w:rsidR="002A3182" w:rsidRPr="005622C5">
        <w:rPr>
          <w:rFonts w:ascii="Arial" w:eastAsia="Calibri" w:hAnsi="Arial" w:cs="Arial"/>
          <w:b/>
          <w:sz w:val="22"/>
        </w:rPr>
        <w:t xml:space="preserve">– </w:t>
      </w:r>
      <w:r w:rsidR="00F81EA2" w:rsidRPr="005622C5">
        <w:rPr>
          <w:rFonts w:ascii="Arial" w:eastAsia="Calibri" w:hAnsi="Arial" w:cs="Arial"/>
          <w:b/>
          <w:sz w:val="22"/>
        </w:rPr>
        <w:t>407</w:t>
      </w:r>
      <w:r w:rsidR="00A37FB6" w:rsidRPr="005622C5">
        <w:rPr>
          <w:rFonts w:ascii="Arial" w:eastAsia="Calibri" w:hAnsi="Arial" w:cs="Arial"/>
          <w:b/>
          <w:sz w:val="22"/>
        </w:rPr>
        <w:t xml:space="preserve"> de 2020</w:t>
      </w:r>
    </w:p>
    <w:p w14:paraId="127F86B3" w14:textId="77777777" w:rsidR="006D742A" w:rsidRPr="005D6C70" w:rsidRDefault="006D742A" w:rsidP="00D01760">
      <w:pPr>
        <w:jc w:val="center"/>
        <w:rPr>
          <w:rFonts w:ascii="Arial" w:eastAsia="Calibri" w:hAnsi="Arial" w:cs="Arial"/>
          <w:b/>
          <w:sz w:val="22"/>
        </w:rPr>
      </w:pPr>
    </w:p>
    <w:p w14:paraId="49BB1EAB" w14:textId="77777777" w:rsidR="00A37FB6" w:rsidRPr="005D6C70" w:rsidRDefault="00A37FB6" w:rsidP="00D01760">
      <w:pPr>
        <w:rPr>
          <w:rFonts w:ascii="Arial" w:eastAsia="Calibri" w:hAnsi="Arial" w:cs="Arial"/>
          <w:sz w:val="22"/>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5D6C70" w:rsidRPr="005D6C70" w14:paraId="20C2FA60" w14:textId="77777777" w:rsidTr="0054138E">
        <w:trPr>
          <w:trHeight w:val="802"/>
        </w:trPr>
        <w:tc>
          <w:tcPr>
            <w:tcW w:w="2618" w:type="dxa"/>
            <w:hideMark/>
          </w:tcPr>
          <w:p w14:paraId="2A9459AB" w14:textId="77777777" w:rsidR="00A37FB6" w:rsidRPr="005D6C70" w:rsidRDefault="00A37FB6" w:rsidP="00D01760">
            <w:pPr>
              <w:rPr>
                <w:rFonts w:ascii="Arial" w:eastAsia="Calibri" w:hAnsi="Arial" w:cs="Arial"/>
                <w:sz w:val="22"/>
              </w:rPr>
            </w:pPr>
            <w:r w:rsidRPr="005D6C70">
              <w:rPr>
                <w:rFonts w:ascii="Arial" w:eastAsia="Calibri" w:hAnsi="Arial" w:cs="Arial"/>
                <w:b/>
                <w:sz w:val="22"/>
              </w:rPr>
              <w:lastRenderedPageBreak/>
              <w:t>Temas:</w:t>
            </w:r>
            <w:r w:rsidRPr="005D6C70">
              <w:rPr>
                <w:rFonts w:ascii="Arial" w:eastAsia="Calibri" w:hAnsi="Arial" w:cs="Arial"/>
                <w:sz w:val="22"/>
              </w:rPr>
              <w:t xml:space="preserve">           </w:t>
            </w:r>
          </w:p>
          <w:p w14:paraId="1840BCE8" w14:textId="77777777" w:rsidR="00A37FB6" w:rsidRPr="005D6C70" w:rsidRDefault="00A37FB6" w:rsidP="00D01760">
            <w:pPr>
              <w:rPr>
                <w:rFonts w:ascii="Arial" w:eastAsia="Calibri" w:hAnsi="Arial" w:cs="Arial"/>
                <w:sz w:val="22"/>
              </w:rPr>
            </w:pPr>
            <w:r w:rsidRPr="005D6C70">
              <w:rPr>
                <w:rFonts w:ascii="Arial" w:eastAsia="Calibri" w:hAnsi="Arial" w:cs="Arial"/>
                <w:sz w:val="22"/>
              </w:rPr>
              <w:t xml:space="preserve">                           </w:t>
            </w:r>
          </w:p>
        </w:tc>
        <w:tc>
          <w:tcPr>
            <w:tcW w:w="6215" w:type="dxa"/>
            <w:hideMark/>
          </w:tcPr>
          <w:p w14:paraId="069BC436" w14:textId="0B5D49EC" w:rsidR="00A37FB6" w:rsidRPr="005D6C70" w:rsidRDefault="005622C5" w:rsidP="00F57741">
            <w:pPr>
              <w:jc w:val="both"/>
              <w:rPr>
                <w:rFonts w:ascii="Arial" w:eastAsia="Calibri" w:hAnsi="Arial" w:cs="Arial"/>
                <w:bCs/>
                <w:sz w:val="22"/>
              </w:rPr>
            </w:pPr>
            <w:r w:rsidRPr="005622C5">
              <w:rPr>
                <w:rFonts w:ascii="Arial" w:hAnsi="Arial" w:cs="Arial"/>
                <w:bCs/>
                <w:sz w:val="22"/>
              </w:rPr>
              <w:t>EXPERIENCIA – Acreditación – Sociedad con menos de 3 años – RUP – Experiencia socios – Deber de renovación</w:t>
            </w:r>
            <w:r>
              <w:rPr>
                <w:rFonts w:ascii="Arial" w:hAnsi="Arial" w:cs="Arial"/>
                <w:bCs/>
                <w:sz w:val="22"/>
              </w:rPr>
              <w:t xml:space="preserve"> / </w:t>
            </w:r>
            <w:r w:rsidRPr="005622C5">
              <w:rPr>
                <w:rFonts w:ascii="Arial" w:hAnsi="Arial" w:cs="Arial"/>
                <w:bCs/>
                <w:sz w:val="22"/>
              </w:rPr>
              <w:t>EXPERIENCIA – Sociedad con menos de 3 años – Experiencia transferida por socios – Conservación</w:t>
            </w:r>
          </w:p>
        </w:tc>
      </w:tr>
      <w:tr w:rsidR="005D6C70" w:rsidRPr="005D6C70" w14:paraId="62473A71" w14:textId="77777777" w:rsidTr="0054138E">
        <w:trPr>
          <w:trHeight w:val="262"/>
        </w:trPr>
        <w:tc>
          <w:tcPr>
            <w:tcW w:w="2618" w:type="dxa"/>
          </w:tcPr>
          <w:p w14:paraId="730BF589" w14:textId="77777777" w:rsidR="00A37FB6" w:rsidRPr="005D6C70" w:rsidRDefault="00A37FB6" w:rsidP="00D01760">
            <w:pPr>
              <w:rPr>
                <w:rFonts w:ascii="Arial" w:eastAsia="Calibri" w:hAnsi="Arial" w:cs="Arial"/>
                <w:b/>
                <w:sz w:val="22"/>
              </w:rPr>
            </w:pPr>
            <w:r w:rsidRPr="005D6C70">
              <w:rPr>
                <w:rFonts w:ascii="Arial" w:eastAsia="Calibri" w:hAnsi="Arial" w:cs="Arial"/>
                <w:b/>
                <w:sz w:val="22"/>
              </w:rPr>
              <w:t>Radicación:</w:t>
            </w:r>
            <w:r w:rsidRPr="005D6C70">
              <w:rPr>
                <w:rFonts w:ascii="Arial" w:eastAsia="Calibri" w:hAnsi="Arial" w:cs="Arial"/>
                <w:sz w:val="22"/>
              </w:rPr>
              <w:t xml:space="preserve">                              </w:t>
            </w:r>
          </w:p>
        </w:tc>
        <w:tc>
          <w:tcPr>
            <w:tcW w:w="6215" w:type="dxa"/>
          </w:tcPr>
          <w:p w14:paraId="2CD77F9B" w14:textId="420DBEF8" w:rsidR="00A37FB6" w:rsidRPr="005D6C70" w:rsidRDefault="00A37FB6" w:rsidP="004141CB">
            <w:pPr>
              <w:jc w:val="both"/>
              <w:rPr>
                <w:rFonts w:ascii="Arial" w:eastAsia="Calibri" w:hAnsi="Arial" w:cs="Arial"/>
                <w:sz w:val="22"/>
              </w:rPr>
            </w:pPr>
            <w:r w:rsidRPr="005D6C70">
              <w:rPr>
                <w:rFonts w:ascii="Arial" w:eastAsia="Calibri" w:hAnsi="Arial" w:cs="Arial"/>
                <w:sz w:val="22"/>
              </w:rPr>
              <w:t xml:space="preserve">Respuesta a consulta # </w:t>
            </w:r>
            <w:r w:rsidR="00814F91" w:rsidRPr="005D6C70">
              <w:rPr>
                <w:rFonts w:ascii="Arial" w:eastAsia="Calibri" w:hAnsi="Arial" w:cs="Arial"/>
                <w:sz w:val="22"/>
              </w:rPr>
              <w:t>4202013000004625</w:t>
            </w:r>
          </w:p>
        </w:tc>
      </w:tr>
    </w:tbl>
    <w:p w14:paraId="3971911F" w14:textId="54D91911" w:rsidR="00284288" w:rsidRPr="005D6C70" w:rsidRDefault="00284288" w:rsidP="00D01760">
      <w:pPr>
        <w:jc w:val="both"/>
        <w:rPr>
          <w:rFonts w:ascii="Arial" w:eastAsia="Calibri" w:hAnsi="Arial" w:cs="Arial"/>
          <w:sz w:val="22"/>
        </w:rPr>
      </w:pPr>
    </w:p>
    <w:p w14:paraId="27A393F8" w14:textId="77777777" w:rsidR="00284288" w:rsidRPr="005D6C70" w:rsidRDefault="00284288" w:rsidP="00D01760">
      <w:pPr>
        <w:jc w:val="both"/>
        <w:rPr>
          <w:rFonts w:ascii="Arial" w:eastAsia="Calibri" w:hAnsi="Arial" w:cs="Arial"/>
          <w:sz w:val="22"/>
        </w:rPr>
      </w:pPr>
    </w:p>
    <w:p w14:paraId="3216C844" w14:textId="26517406" w:rsidR="00A37FB6" w:rsidRPr="005D6C70" w:rsidRDefault="004141CB" w:rsidP="00D01760">
      <w:pPr>
        <w:rPr>
          <w:rFonts w:ascii="Arial" w:eastAsia="Calibri" w:hAnsi="Arial" w:cs="Arial"/>
          <w:sz w:val="22"/>
        </w:rPr>
      </w:pPr>
      <w:r w:rsidRPr="005D6C70">
        <w:rPr>
          <w:rFonts w:ascii="Arial" w:eastAsia="Calibri" w:hAnsi="Arial" w:cs="Arial"/>
          <w:sz w:val="22"/>
        </w:rPr>
        <w:t>Estimad</w:t>
      </w:r>
      <w:r w:rsidR="00653E29" w:rsidRPr="005D6C70">
        <w:rPr>
          <w:rFonts w:ascii="Arial" w:eastAsia="Calibri" w:hAnsi="Arial" w:cs="Arial"/>
          <w:sz w:val="22"/>
        </w:rPr>
        <w:t>o</w:t>
      </w:r>
      <w:r w:rsidRPr="005D6C70">
        <w:rPr>
          <w:rFonts w:ascii="Arial" w:eastAsia="Calibri" w:hAnsi="Arial" w:cs="Arial"/>
          <w:sz w:val="22"/>
        </w:rPr>
        <w:t xml:space="preserve"> señor</w:t>
      </w:r>
      <w:r w:rsidR="00714BEC" w:rsidRPr="005D6C70">
        <w:rPr>
          <w:rFonts w:ascii="Arial" w:eastAsia="Calibri" w:hAnsi="Arial" w:cs="Arial"/>
          <w:sz w:val="22"/>
        </w:rPr>
        <w:t xml:space="preserve"> </w:t>
      </w:r>
      <w:r w:rsidR="006F359D" w:rsidRPr="005D6C70">
        <w:rPr>
          <w:rFonts w:ascii="Arial" w:eastAsia="Calibri" w:hAnsi="Arial" w:cs="Arial"/>
          <w:sz w:val="22"/>
        </w:rPr>
        <w:t>Gómez</w:t>
      </w:r>
      <w:r w:rsidR="004A02BA" w:rsidRPr="005D6C70">
        <w:rPr>
          <w:rFonts w:ascii="Arial" w:eastAsia="Calibri" w:hAnsi="Arial" w:cs="Arial"/>
          <w:sz w:val="22"/>
        </w:rPr>
        <w:t>:</w:t>
      </w:r>
    </w:p>
    <w:p w14:paraId="33DABA2A" w14:textId="77777777" w:rsidR="00F74BFB" w:rsidRPr="005D6C70" w:rsidRDefault="00F74BFB" w:rsidP="00D01760">
      <w:pPr>
        <w:spacing w:line="276" w:lineRule="auto"/>
        <w:ind w:right="49"/>
        <w:jc w:val="both"/>
        <w:rPr>
          <w:rFonts w:ascii="Arial" w:eastAsia="Calibri" w:hAnsi="Arial" w:cs="Arial"/>
          <w:sz w:val="22"/>
        </w:rPr>
      </w:pPr>
    </w:p>
    <w:p w14:paraId="39316B12" w14:textId="70277069" w:rsidR="00A37FB6" w:rsidRPr="005D6C70" w:rsidRDefault="00A37FB6" w:rsidP="00D01760">
      <w:pPr>
        <w:spacing w:line="276" w:lineRule="auto"/>
        <w:ind w:right="49"/>
        <w:jc w:val="both"/>
        <w:rPr>
          <w:rFonts w:ascii="Arial" w:eastAsia="Calibri" w:hAnsi="Arial" w:cs="Arial"/>
          <w:sz w:val="22"/>
        </w:rPr>
      </w:pPr>
      <w:r w:rsidRPr="005D6C70">
        <w:rPr>
          <w:rFonts w:ascii="Arial" w:eastAsia="Calibri" w:hAnsi="Arial" w:cs="Arial"/>
          <w:sz w:val="22"/>
        </w:rPr>
        <w:t xml:space="preserve">La Agencia Nacional de Contratación Pública ―Colombia Compra Eficiente― responde su consulta </w:t>
      </w:r>
      <w:r w:rsidR="004141CB" w:rsidRPr="005D6C70">
        <w:rPr>
          <w:rFonts w:ascii="Arial" w:eastAsia="Calibri" w:hAnsi="Arial" w:cs="Arial"/>
          <w:sz w:val="22"/>
        </w:rPr>
        <w:t xml:space="preserve">del </w:t>
      </w:r>
      <w:r w:rsidR="006F359D" w:rsidRPr="005D6C70">
        <w:rPr>
          <w:rFonts w:ascii="Arial" w:eastAsia="Calibri" w:hAnsi="Arial" w:cs="Arial"/>
          <w:sz w:val="22"/>
        </w:rPr>
        <w:t xml:space="preserve">5 </w:t>
      </w:r>
      <w:r w:rsidR="004141CB" w:rsidRPr="005D6C70">
        <w:rPr>
          <w:rFonts w:ascii="Arial" w:eastAsia="Calibri" w:hAnsi="Arial" w:cs="Arial"/>
          <w:sz w:val="22"/>
        </w:rPr>
        <w:t xml:space="preserve">de </w:t>
      </w:r>
      <w:r w:rsidR="006F359D" w:rsidRPr="005D6C70">
        <w:rPr>
          <w:rFonts w:ascii="Arial" w:eastAsia="Calibri" w:hAnsi="Arial" w:cs="Arial"/>
          <w:sz w:val="22"/>
        </w:rPr>
        <w:t>juni</w:t>
      </w:r>
      <w:r w:rsidR="00653E29" w:rsidRPr="005D6C70">
        <w:rPr>
          <w:rFonts w:ascii="Arial" w:eastAsia="Calibri" w:hAnsi="Arial" w:cs="Arial"/>
          <w:sz w:val="22"/>
        </w:rPr>
        <w:t>o</w:t>
      </w:r>
      <w:r w:rsidR="004141CB" w:rsidRPr="005D6C70">
        <w:rPr>
          <w:rFonts w:ascii="Arial" w:eastAsia="Calibri" w:hAnsi="Arial" w:cs="Arial"/>
          <w:sz w:val="22"/>
        </w:rPr>
        <w:t xml:space="preserve"> de 2020</w:t>
      </w:r>
      <w:r w:rsidRPr="005D6C70">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5D6C70" w:rsidRDefault="00A37FB6" w:rsidP="00A51EC3">
      <w:pPr>
        <w:spacing w:line="276" w:lineRule="auto"/>
        <w:jc w:val="both"/>
        <w:rPr>
          <w:rFonts w:ascii="Arial" w:eastAsia="Calibri" w:hAnsi="Arial" w:cs="Arial"/>
          <w:sz w:val="22"/>
        </w:rPr>
      </w:pPr>
    </w:p>
    <w:p w14:paraId="737E2623" w14:textId="77777777" w:rsidR="00A37FB6" w:rsidRPr="005D6C70" w:rsidRDefault="00A37FB6" w:rsidP="00A51EC3">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5D6C70">
        <w:rPr>
          <w:rFonts w:ascii="Arial" w:eastAsia="Calibri" w:hAnsi="Arial" w:cs="Arial"/>
          <w:b/>
          <w:sz w:val="22"/>
        </w:rPr>
        <w:t xml:space="preserve">Problemas planteados </w:t>
      </w:r>
    </w:p>
    <w:p w14:paraId="498A026D" w14:textId="77777777" w:rsidR="00A37FB6" w:rsidRPr="005D6C70" w:rsidRDefault="00A37FB6" w:rsidP="00A51EC3">
      <w:pPr>
        <w:tabs>
          <w:tab w:val="left" w:pos="426"/>
        </w:tabs>
        <w:spacing w:line="276" w:lineRule="auto"/>
        <w:jc w:val="both"/>
        <w:rPr>
          <w:rFonts w:ascii="Arial" w:eastAsia="Calibri" w:hAnsi="Arial" w:cs="Arial"/>
          <w:b/>
          <w:sz w:val="22"/>
        </w:rPr>
      </w:pPr>
    </w:p>
    <w:p w14:paraId="4E8BF739" w14:textId="4C1DD122" w:rsidR="00A37FB6" w:rsidRPr="005D6C70" w:rsidRDefault="006F359D" w:rsidP="004C0C61">
      <w:pPr>
        <w:pStyle w:val="Default"/>
        <w:spacing w:after="120" w:line="276" w:lineRule="auto"/>
        <w:jc w:val="both"/>
        <w:rPr>
          <w:rFonts w:eastAsia="Calibri"/>
          <w:color w:val="auto"/>
          <w:sz w:val="22"/>
          <w:szCs w:val="22"/>
        </w:rPr>
      </w:pPr>
      <w:r w:rsidRPr="005D6C70">
        <w:rPr>
          <w:rFonts w:eastAsia="Calibri"/>
          <w:color w:val="auto"/>
          <w:sz w:val="22"/>
          <w:szCs w:val="22"/>
        </w:rPr>
        <w:t xml:space="preserve">En su petición se refiere a </w:t>
      </w:r>
      <w:bookmarkStart w:id="2" w:name="_Hlk42534871"/>
      <w:r w:rsidRPr="005D6C70">
        <w:rPr>
          <w:rFonts w:eastAsia="Calibri"/>
          <w:color w:val="auto"/>
          <w:sz w:val="22"/>
          <w:szCs w:val="22"/>
        </w:rPr>
        <w:t>la prerrogativa establecida en el numeral 2.5 del 2.2.1.1.1.5.2 del Decreto 1082 de 2015</w:t>
      </w:r>
      <w:bookmarkEnd w:id="2"/>
      <w:r w:rsidRPr="005D6C70">
        <w:rPr>
          <w:rFonts w:eastAsia="Calibri"/>
          <w:color w:val="auto"/>
          <w:sz w:val="22"/>
          <w:szCs w:val="22"/>
        </w:rPr>
        <w:t xml:space="preserve">, en virtud de la cual resulta posible que las sociedades con menos de tres años de </w:t>
      </w:r>
      <w:r w:rsidR="004C0C61" w:rsidRPr="005D6C70">
        <w:rPr>
          <w:rFonts w:eastAsia="Calibri"/>
          <w:color w:val="auto"/>
          <w:sz w:val="22"/>
          <w:szCs w:val="22"/>
        </w:rPr>
        <w:t xml:space="preserve">constitución </w:t>
      </w:r>
      <w:r w:rsidRPr="005D6C70">
        <w:rPr>
          <w:rFonts w:eastAsia="Calibri"/>
          <w:color w:val="auto"/>
          <w:sz w:val="22"/>
          <w:szCs w:val="22"/>
        </w:rPr>
        <w:t xml:space="preserve">acrediten en el RUP la experiencia de sus accionistas o constituyentes. </w:t>
      </w:r>
      <w:r w:rsidR="004C0C61" w:rsidRPr="005D6C70">
        <w:rPr>
          <w:rFonts w:eastAsia="Calibri"/>
          <w:color w:val="auto"/>
          <w:sz w:val="22"/>
          <w:szCs w:val="22"/>
        </w:rPr>
        <w:t xml:space="preserve"> </w:t>
      </w:r>
      <w:r w:rsidRPr="005D6C70">
        <w:rPr>
          <w:rFonts w:eastAsia="Calibri"/>
          <w:color w:val="auto"/>
          <w:sz w:val="22"/>
          <w:szCs w:val="22"/>
        </w:rPr>
        <w:t>Al respecto, solicita que se le d</w:t>
      </w:r>
      <w:r w:rsidR="00F81EA2">
        <w:rPr>
          <w:rFonts w:eastAsia="Calibri"/>
          <w:color w:val="auto"/>
          <w:sz w:val="22"/>
          <w:szCs w:val="22"/>
        </w:rPr>
        <w:t>é</w:t>
      </w:r>
      <w:r w:rsidRPr="005D6C70">
        <w:rPr>
          <w:rFonts w:eastAsia="Calibri"/>
          <w:color w:val="auto"/>
          <w:sz w:val="22"/>
          <w:szCs w:val="22"/>
        </w:rPr>
        <w:t xml:space="preserve"> claridad respecto de la posibilidad de que las sociedades sigan haciendo uso de dicha prerrogativa, aun después de vencido el referido plazo de 3 años</w:t>
      </w:r>
      <w:r w:rsidR="004C0C61" w:rsidRPr="005D6C70">
        <w:rPr>
          <w:rFonts w:eastAsia="Calibri"/>
          <w:color w:val="auto"/>
          <w:sz w:val="22"/>
          <w:szCs w:val="22"/>
        </w:rPr>
        <w:t>, la cual fue negada por esta Agencia en concepto de 18 de febrero de 2018 al que se refiere.</w:t>
      </w:r>
    </w:p>
    <w:p w14:paraId="744C08C2" w14:textId="5223D67D" w:rsidR="004C0C61" w:rsidRPr="005D6C70" w:rsidRDefault="004C0C61" w:rsidP="004C0C61">
      <w:pPr>
        <w:pStyle w:val="Default"/>
        <w:spacing w:line="276" w:lineRule="auto"/>
        <w:jc w:val="both"/>
        <w:rPr>
          <w:rFonts w:eastAsia="Calibri"/>
          <w:color w:val="auto"/>
          <w:sz w:val="22"/>
          <w:szCs w:val="22"/>
        </w:rPr>
      </w:pPr>
      <w:r w:rsidRPr="005D6C70">
        <w:rPr>
          <w:rFonts w:eastAsia="Calibri"/>
          <w:color w:val="auto"/>
          <w:sz w:val="22"/>
          <w:szCs w:val="22"/>
        </w:rPr>
        <w:tab/>
        <w:t xml:space="preserve">En ese orden de ideas, </w:t>
      </w:r>
      <w:r w:rsidR="004867E9">
        <w:rPr>
          <w:rFonts w:eastAsia="Calibri"/>
          <w:color w:val="auto"/>
          <w:sz w:val="22"/>
          <w:szCs w:val="22"/>
        </w:rPr>
        <w:t xml:space="preserve">en aras de dar claridad </w:t>
      </w:r>
      <w:r w:rsidR="00F81EA2">
        <w:rPr>
          <w:rFonts w:eastAsia="Calibri"/>
          <w:color w:val="auto"/>
          <w:sz w:val="22"/>
          <w:szCs w:val="22"/>
        </w:rPr>
        <w:t xml:space="preserve">respecto a </w:t>
      </w:r>
      <w:r w:rsidR="004867E9">
        <w:rPr>
          <w:rFonts w:eastAsia="Calibri"/>
          <w:color w:val="auto"/>
          <w:sz w:val="22"/>
          <w:szCs w:val="22"/>
        </w:rPr>
        <w:t xml:space="preserve">lo manifestado </w:t>
      </w:r>
      <w:r w:rsidR="00F81EA2">
        <w:rPr>
          <w:rFonts w:eastAsia="Calibri"/>
          <w:color w:val="auto"/>
          <w:sz w:val="22"/>
          <w:szCs w:val="22"/>
        </w:rPr>
        <w:t xml:space="preserve">en su solicitud, </w:t>
      </w:r>
      <w:r w:rsidRPr="005D6C70">
        <w:rPr>
          <w:rFonts w:eastAsia="Calibri"/>
          <w:color w:val="auto"/>
          <w:sz w:val="22"/>
          <w:szCs w:val="22"/>
        </w:rPr>
        <w:t xml:space="preserve">se responderá </w:t>
      </w:r>
      <w:r w:rsidR="00F81EA2">
        <w:rPr>
          <w:rFonts w:eastAsia="Calibri"/>
          <w:color w:val="auto"/>
          <w:sz w:val="22"/>
          <w:szCs w:val="22"/>
        </w:rPr>
        <w:t>el siguiente interrogante</w:t>
      </w:r>
      <w:r w:rsidRPr="005D6C70">
        <w:rPr>
          <w:rFonts w:eastAsia="Calibri"/>
          <w:color w:val="auto"/>
          <w:sz w:val="22"/>
          <w:szCs w:val="22"/>
        </w:rPr>
        <w:t xml:space="preserve">: ¿es posible </w:t>
      </w:r>
      <w:r w:rsidRPr="005D6C70">
        <w:rPr>
          <w:rFonts w:eastAsia="Calibri"/>
          <w:color w:val="auto"/>
          <w:sz w:val="22"/>
          <w:szCs w:val="22"/>
          <w:lang w:val="es-MX"/>
        </w:rPr>
        <w:t>que una sociedad siga acreditando la experiencia de sus accionistas en uso de la prerrogativa establecida en el numeral 2.5 del 2.2.1.1.1.5.2 del Decreto 1082 de 2015, aun después de trascurridos tres años desde su constitución?</w:t>
      </w:r>
    </w:p>
    <w:p w14:paraId="6A982790" w14:textId="77777777" w:rsidR="00A37FB6" w:rsidRPr="005D6C70" w:rsidRDefault="00A37FB6" w:rsidP="00A51EC3">
      <w:pPr>
        <w:tabs>
          <w:tab w:val="left" w:pos="426"/>
        </w:tabs>
        <w:spacing w:line="276" w:lineRule="auto"/>
        <w:jc w:val="both"/>
        <w:rPr>
          <w:rFonts w:ascii="Arial" w:eastAsia="Calibri" w:hAnsi="Arial" w:cs="Arial"/>
          <w:sz w:val="22"/>
          <w:lang w:val="es-CO"/>
        </w:rPr>
      </w:pPr>
    </w:p>
    <w:p w14:paraId="1463554F" w14:textId="7F31FD3C" w:rsidR="009F016F" w:rsidRPr="005D6C70" w:rsidRDefault="00A37FB6" w:rsidP="00A51EC3">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5D6C70">
        <w:rPr>
          <w:rFonts w:ascii="Arial" w:eastAsia="Calibri" w:hAnsi="Arial" w:cs="Arial"/>
          <w:b/>
          <w:sz w:val="22"/>
        </w:rPr>
        <w:t>Consideraciones</w:t>
      </w:r>
      <w:bookmarkEnd w:id="0"/>
      <w:bookmarkEnd w:id="1"/>
    </w:p>
    <w:p w14:paraId="1890890E" w14:textId="77777777" w:rsidR="004F3C32" w:rsidRPr="005D6C70" w:rsidRDefault="004F3C32" w:rsidP="00A51EC3">
      <w:pPr>
        <w:spacing w:line="276" w:lineRule="auto"/>
        <w:jc w:val="both"/>
        <w:rPr>
          <w:rFonts w:ascii="Arial" w:hAnsi="Arial" w:cs="Arial"/>
          <w:b/>
          <w:sz w:val="22"/>
        </w:rPr>
      </w:pPr>
    </w:p>
    <w:p w14:paraId="54A1DDFB" w14:textId="413C2207" w:rsidR="002A3182" w:rsidRPr="005D6C70" w:rsidRDefault="002A3182" w:rsidP="002A3182">
      <w:pPr>
        <w:spacing w:after="120" w:line="276" w:lineRule="auto"/>
        <w:jc w:val="both"/>
        <w:rPr>
          <w:rFonts w:ascii="Arial" w:eastAsia="Calibri" w:hAnsi="Arial" w:cs="Arial"/>
          <w:sz w:val="22"/>
        </w:rPr>
      </w:pPr>
      <w:r w:rsidRPr="005D6C70">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w:t>
      </w:r>
      <w:r w:rsidR="00F81EA2" w:rsidRPr="005D6C70">
        <w:rPr>
          <w:rFonts w:ascii="Arial" w:eastAsia="Calibri" w:hAnsi="Arial" w:cs="Arial"/>
          <w:sz w:val="22"/>
        </w:rPr>
        <w:t>4201912000004603 del 22 de agosto de 2019</w:t>
      </w:r>
      <w:r w:rsidR="00F81EA2">
        <w:rPr>
          <w:rFonts w:ascii="Arial" w:eastAsia="Calibri" w:hAnsi="Arial" w:cs="Arial"/>
          <w:sz w:val="22"/>
        </w:rPr>
        <w:t xml:space="preserve">, </w:t>
      </w:r>
      <w:r w:rsidRPr="005D6C70">
        <w:rPr>
          <w:rFonts w:ascii="Arial" w:eastAsia="Calibri" w:hAnsi="Arial" w:cs="Arial"/>
          <w:sz w:val="22"/>
        </w:rPr>
        <w:t xml:space="preserve">4201912000004380 del 27 de agosto de 2019, 4201912000004704 del 27 de agosto de 2019, 4201912000004743 del 28 de agosto de 2019, 4201913000005158 del 5 de septiembre de 2019, </w:t>
      </w:r>
      <w:r w:rsidRPr="005D6C70">
        <w:rPr>
          <w:rFonts w:ascii="Arial" w:hAnsi="Arial" w:cs="Arial"/>
          <w:sz w:val="22"/>
        </w:rPr>
        <w:t xml:space="preserve">4201913000006797 del 19 de noviembre de 2019, </w:t>
      </w:r>
      <w:r w:rsidRPr="005D6C70">
        <w:rPr>
          <w:rFonts w:ascii="Arial" w:eastAsia="Calibri" w:hAnsi="Arial" w:cs="Arial"/>
          <w:sz w:val="22"/>
        </w:rPr>
        <w:t xml:space="preserve">4201912000007182 del 3 de diciembre de 2019, 4201912000007512 del 16 de diciembre de 2019, 4201912000007607 del 9 de diciembre de 2019, C – 025 del 16 de marzo de 2020, C </w:t>
      </w:r>
      <w:r w:rsidR="00F81EA2">
        <w:rPr>
          <w:rFonts w:ascii="Arial" w:eastAsia="Calibri" w:hAnsi="Arial" w:cs="Arial"/>
          <w:sz w:val="22"/>
        </w:rPr>
        <w:t>–</w:t>
      </w:r>
      <w:r w:rsidRPr="005D6C70">
        <w:rPr>
          <w:rFonts w:ascii="Arial" w:eastAsia="Calibri" w:hAnsi="Arial" w:cs="Arial"/>
          <w:sz w:val="22"/>
        </w:rPr>
        <w:t xml:space="preserve"> 051 del 2 de marzo de 2020, C – 165 del 1 de abril de 2020 y C – 233 del 16 de abril </w:t>
      </w:r>
      <w:r w:rsidRPr="005D6C70">
        <w:rPr>
          <w:rFonts w:ascii="Arial" w:eastAsia="Calibri" w:hAnsi="Arial" w:cs="Arial"/>
          <w:sz w:val="22"/>
        </w:rPr>
        <w:lastRenderedPageBreak/>
        <w:t>de 2020</w:t>
      </w:r>
      <w:r w:rsidR="004C0C61" w:rsidRPr="005D6C70">
        <w:rPr>
          <w:rFonts w:ascii="Arial" w:eastAsia="Calibri" w:hAnsi="Arial" w:cs="Arial"/>
          <w:sz w:val="22"/>
        </w:rPr>
        <w:t>,</w:t>
      </w:r>
      <w:r w:rsidRPr="005D6C70">
        <w:rPr>
          <w:rFonts w:ascii="Arial" w:eastAsia="Calibri" w:hAnsi="Arial" w:cs="Arial"/>
          <w:sz w:val="22"/>
        </w:rPr>
        <w:t xml:space="preserve"> estudió la acreditación de la experiencia de los socios por una sociedad nueva con menos de 3 años de constitución. La tesis desarrollada se expone a continuación.</w:t>
      </w:r>
    </w:p>
    <w:p w14:paraId="2E48740E" w14:textId="796A2E12" w:rsidR="00126FEF" w:rsidRPr="005D6C70" w:rsidRDefault="00126FEF" w:rsidP="005622C5">
      <w:pPr>
        <w:spacing w:before="120" w:after="120" w:line="276" w:lineRule="auto"/>
        <w:ind w:firstLine="708"/>
        <w:jc w:val="both"/>
        <w:rPr>
          <w:rFonts w:ascii="Arial" w:hAnsi="Arial" w:cs="Arial"/>
          <w:sz w:val="22"/>
        </w:rPr>
      </w:pPr>
      <w:r w:rsidRPr="005D6C70">
        <w:rPr>
          <w:rFonts w:ascii="Arial" w:hAnsi="Arial" w:cs="Arial"/>
          <w:sz w:val="22"/>
        </w:rPr>
        <w:t>La Ley 1150 de 2007, en el artículo 5, establece que la capacidad jurídica y las condiciones de experiencia, capacidad financiera y de organización de los proponentes serán objeto de verificación por parte de las entidades como requisitos habilitantes para participa</w:t>
      </w:r>
      <w:r w:rsidR="006C510F">
        <w:rPr>
          <w:rFonts w:ascii="Arial" w:hAnsi="Arial" w:cs="Arial"/>
          <w:sz w:val="22"/>
        </w:rPr>
        <w:t>r</w:t>
      </w:r>
      <w:r w:rsidRPr="005D6C70">
        <w:rPr>
          <w:rFonts w:ascii="Arial" w:hAnsi="Arial" w:cs="Arial"/>
          <w:sz w:val="22"/>
        </w:rPr>
        <w:t xml:space="preserve"> en </w:t>
      </w:r>
      <w:r w:rsidR="006C510F">
        <w:rPr>
          <w:rFonts w:ascii="Arial" w:hAnsi="Arial" w:cs="Arial"/>
          <w:sz w:val="22"/>
        </w:rPr>
        <w:t>los</w:t>
      </w:r>
      <w:r w:rsidRPr="005D6C70">
        <w:rPr>
          <w:rFonts w:ascii="Arial" w:hAnsi="Arial" w:cs="Arial"/>
          <w:sz w:val="22"/>
        </w:rPr>
        <w:t xml:space="preserve"> proceso</w:t>
      </w:r>
      <w:r w:rsidR="006C510F">
        <w:rPr>
          <w:rFonts w:ascii="Arial" w:hAnsi="Arial" w:cs="Arial"/>
          <w:sz w:val="22"/>
        </w:rPr>
        <w:t>s</w:t>
      </w:r>
      <w:r w:rsidRPr="005D6C70">
        <w:rPr>
          <w:rFonts w:ascii="Arial" w:hAnsi="Arial" w:cs="Arial"/>
          <w:sz w:val="22"/>
        </w:rPr>
        <w:t xml:space="preserve"> de selección y no otorgarán puntaje; con excepción </w:t>
      </w:r>
      <w:r w:rsidR="006C510F">
        <w:rPr>
          <w:rFonts w:ascii="Arial" w:hAnsi="Arial" w:cs="Arial"/>
          <w:sz w:val="22"/>
        </w:rPr>
        <w:t>de la selección de consultores mediante un concurso de méritos</w:t>
      </w:r>
      <w:r w:rsidRPr="005D6C70">
        <w:rPr>
          <w:rFonts w:ascii="Arial" w:hAnsi="Arial" w:cs="Arial"/>
          <w:sz w:val="22"/>
        </w:rPr>
        <w:t xml:space="preserve">, donde es posible otorgar puntaje al criterio de experiencia. </w:t>
      </w:r>
    </w:p>
    <w:p w14:paraId="2C9907A4" w14:textId="77777777"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5C6EE28" w14:textId="39F7F3D1" w:rsidR="00126FEF" w:rsidRPr="005D6C70" w:rsidRDefault="00126FEF" w:rsidP="00A51EC3">
      <w:pPr>
        <w:spacing w:before="120" w:after="120" w:line="276" w:lineRule="auto"/>
        <w:ind w:firstLine="708"/>
        <w:jc w:val="both"/>
        <w:rPr>
          <w:rFonts w:ascii="Arial" w:hAnsi="Arial" w:cs="Arial"/>
          <w:sz w:val="22"/>
        </w:rPr>
      </w:pPr>
      <w:r w:rsidRPr="005D6C70">
        <w:rPr>
          <w:rFonts w:ascii="Arial" w:hAnsi="Arial" w:cs="Arial"/>
          <w:sz w:val="22"/>
        </w:rPr>
        <w:t xml:space="preserve">El Decreto 1082 de 2015, en el artículo 2.2.1.1.1.5.2, numeral 2.1, establece que </w:t>
      </w:r>
      <w:r w:rsidR="007478F8" w:rsidRPr="005D6C70">
        <w:rPr>
          <w:rFonts w:ascii="Arial" w:hAnsi="Arial" w:cs="Arial"/>
          <w:sz w:val="22"/>
        </w:rPr>
        <w:t xml:space="preserve">si una persona natural </w:t>
      </w:r>
      <w:r w:rsidR="00F52337" w:rsidRPr="005D6C70">
        <w:rPr>
          <w:rFonts w:ascii="Arial" w:hAnsi="Arial" w:cs="Arial"/>
          <w:sz w:val="22"/>
        </w:rPr>
        <w:t xml:space="preserve">se inscribe en el </w:t>
      </w:r>
      <w:r w:rsidR="009B3787" w:rsidRPr="005D6C70">
        <w:rPr>
          <w:rFonts w:ascii="Arial" w:hAnsi="Arial" w:cs="Arial"/>
          <w:sz w:val="22"/>
        </w:rPr>
        <w:t xml:space="preserve">RUP </w:t>
      </w:r>
      <w:r w:rsidRPr="005D6C70">
        <w:rPr>
          <w:rFonts w:ascii="Arial" w:hAnsi="Arial" w:cs="Arial"/>
          <w:sz w:val="22"/>
        </w:rPr>
        <w:t>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9B3787" w:rsidRPr="005D6C70">
        <w:rPr>
          <w:rStyle w:val="Refdenotaalpie"/>
          <w:rFonts w:ascii="Arial" w:hAnsi="Arial" w:cs="Arial"/>
          <w:sz w:val="22"/>
        </w:rPr>
        <w:footnoteReference w:id="2"/>
      </w:r>
      <w:r w:rsidRPr="005D6C70">
        <w:rPr>
          <w:rFonts w:ascii="Arial" w:hAnsi="Arial" w:cs="Arial"/>
          <w:sz w:val="22"/>
        </w:rPr>
        <w:t xml:space="preserve">.  </w:t>
      </w:r>
    </w:p>
    <w:p w14:paraId="59FFC067" w14:textId="4E5815E0" w:rsidR="00284288" w:rsidRPr="005D6C70" w:rsidRDefault="00126FEF" w:rsidP="009B3787">
      <w:pPr>
        <w:spacing w:before="120" w:after="120" w:line="276" w:lineRule="auto"/>
        <w:ind w:firstLine="708"/>
        <w:jc w:val="both"/>
        <w:rPr>
          <w:rFonts w:ascii="Arial" w:hAnsi="Arial" w:cs="Arial"/>
          <w:sz w:val="22"/>
        </w:rPr>
      </w:pPr>
      <w:r w:rsidRPr="005D6C70">
        <w:rPr>
          <w:rFonts w:ascii="Arial" w:hAnsi="Arial" w:cs="Arial"/>
          <w:sz w:val="22"/>
        </w:rPr>
        <w:t>El numeral 2.5</w:t>
      </w:r>
      <w:r w:rsidR="007478F8" w:rsidRPr="005D6C70">
        <w:rPr>
          <w:rStyle w:val="Refdenotaalpie"/>
          <w:rFonts w:ascii="Arial" w:hAnsi="Arial" w:cs="Arial"/>
          <w:sz w:val="22"/>
        </w:rPr>
        <w:footnoteReference w:id="3"/>
      </w:r>
      <w:r w:rsidRPr="005D6C70">
        <w:rPr>
          <w:rFonts w:ascii="Arial" w:hAnsi="Arial" w:cs="Arial"/>
          <w:sz w:val="22"/>
        </w:rPr>
        <w:t xml:space="preserve"> del mismo artículo señala que la persona jurídica se registrará aportando los certificados de la experiencia en la provisión de los bienes, obras y servicios </w:t>
      </w:r>
      <w:r w:rsidRPr="005D6C70">
        <w:rPr>
          <w:rFonts w:ascii="Arial" w:hAnsi="Arial" w:cs="Arial"/>
          <w:sz w:val="22"/>
        </w:rPr>
        <w:lastRenderedPageBreak/>
        <w:t xml:space="preserve">que ofrecerá a las </w:t>
      </w:r>
      <w:r w:rsidR="006C510F">
        <w:rPr>
          <w:rFonts w:ascii="Arial" w:hAnsi="Arial" w:cs="Arial"/>
          <w:sz w:val="22"/>
        </w:rPr>
        <w:t>e</w:t>
      </w:r>
      <w:r w:rsidRPr="005D6C70">
        <w:rPr>
          <w:rFonts w:ascii="Arial" w:hAnsi="Arial" w:cs="Arial"/>
          <w:sz w:val="22"/>
        </w:rPr>
        <w:t xml:space="preserve">ntidades </w:t>
      </w:r>
      <w:r w:rsidR="006C510F">
        <w:rPr>
          <w:rFonts w:ascii="Arial" w:hAnsi="Arial" w:cs="Arial"/>
          <w:sz w:val="22"/>
        </w:rPr>
        <w:t>e</w:t>
      </w:r>
      <w:r w:rsidRPr="005D6C70">
        <w:rPr>
          <w:rFonts w:ascii="Arial" w:hAnsi="Arial" w:cs="Arial"/>
          <w:sz w:val="22"/>
        </w:rPr>
        <w:t>statales, los cuales deben</w:t>
      </w:r>
      <w:r w:rsidR="009B3787" w:rsidRPr="005D6C70">
        <w:rPr>
          <w:rFonts w:ascii="Arial" w:hAnsi="Arial" w:cs="Arial"/>
          <w:sz w:val="22"/>
        </w:rPr>
        <w:t xml:space="preserve"> ser expedidos por terceros que </w:t>
      </w:r>
      <w:r w:rsidRPr="005D6C70">
        <w:rPr>
          <w:rFonts w:ascii="Arial" w:hAnsi="Arial" w:cs="Arial"/>
          <w:sz w:val="22"/>
        </w:rPr>
        <w:t xml:space="preserve">hayan recibido tales bienes, obras o servicios y deben corresponder a contratos ejecutados o copias de los contratos cuando el interesado no puede obtener tal certificado. </w:t>
      </w:r>
    </w:p>
    <w:p w14:paraId="3BAB2443" w14:textId="6B8813AE" w:rsidR="00126FEF" w:rsidRPr="005D6C70" w:rsidRDefault="00126FEF" w:rsidP="00A51EC3">
      <w:pPr>
        <w:spacing w:before="120" w:after="120" w:line="276" w:lineRule="auto"/>
        <w:ind w:firstLine="708"/>
        <w:jc w:val="both"/>
        <w:rPr>
          <w:rFonts w:ascii="Arial" w:hAnsi="Arial" w:cs="Arial"/>
          <w:sz w:val="22"/>
        </w:rPr>
      </w:pPr>
      <w:r w:rsidRPr="005D6C70">
        <w:rPr>
          <w:rFonts w:ascii="Arial" w:hAnsi="Arial" w:cs="Arial"/>
          <w:sz w:val="22"/>
        </w:rPr>
        <w:t>El interesado debe indicar en cada certificado</w:t>
      </w:r>
      <w:r w:rsidR="00F52337" w:rsidRPr="005D6C70">
        <w:rPr>
          <w:rFonts w:ascii="Arial" w:hAnsi="Arial" w:cs="Arial"/>
          <w:sz w:val="22"/>
        </w:rPr>
        <w:t>,</w:t>
      </w:r>
      <w:r w:rsidRPr="005D6C70">
        <w:rPr>
          <w:rFonts w:ascii="Arial" w:hAnsi="Arial" w:cs="Arial"/>
          <w:sz w:val="22"/>
        </w:rPr>
        <w:t xml:space="preserve"> o en cada copia de los contratos, los bienes, obras y servicios a los cuales corresponde la experiencia que pretende acreditar,</w:t>
      </w:r>
      <w:r w:rsidR="00F52337" w:rsidRPr="005D6C70">
        <w:rPr>
          <w:rFonts w:ascii="Arial" w:hAnsi="Arial" w:cs="Arial"/>
          <w:sz w:val="22"/>
        </w:rPr>
        <w:t xml:space="preserve"> identificándolos con el Clasif</w:t>
      </w:r>
      <w:r w:rsidRPr="005D6C70">
        <w:rPr>
          <w:rFonts w:ascii="Arial" w:hAnsi="Arial" w:cs="Arial"/>
          <w:sz w:val="22"/>
        </w:rPr>
        <w:t>icador de Bienes y Servicios, en el tercer nivel. Si la constitución de</w:t>
      </w:r>
      <w:r w:rsidR="009956B9" w:rsidRPr="005D6C70">
        <w:rPr>
          <w:rFonts w:ascii="Arial" w:hAnsi="Arial" w:cs="Arial"/>
          <w:sz w:val="22"/>
        </w:rPr>
        <w:t>l interesado es menor a 3</w:t>
      </w:r>
      <w:r w:rsidRPr="005D6C70">
        <w:rPr>
          <w:rFonts w:ascii="Arial" w:hAnsi="Arial" w:cs="Arial"/>
          <w:sz w:val="22"/>
        </w:rPr>
        <w:t xml:space="preserve"> años, puede acreditar la experiencia de sus accionistas, socios o constituyentes.</w:t>
      </w:r>
    </w:p>
    <w:p w14:paraId="2F9AECDE" w14:textId="29D73B59"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 xml:space="preserve">La parte final del numeral 2.5 del artículo citado incluye una medida diferenciada para las personas jurídicas cuya constitución sea menor a 3 años al momento del registro. Esta </w:t>
      </w:r>
      <w:r w:rsidR="00A67D3C" w:rsidRPr="005D6C70">
        <w:rPr>
          <w:rFonts w:ascii="Arial" w:hAnsi="Arial" w:cs="Arial"/>
          <w:sz w:val="22"/>
        </w:rPr>
        <w:t>prerrogativa</w:t>
      </w:r>
      <w:r w:rsidRPr="005D6C70">
        <w:rPr>
          <w:rFonts w:ascii="Arial" w:hAnsi="Arial" w:cs="Arial"/>
          <w:sz w:val="22"/>
        </w:rPr>
        <w:t>, que puede ser entendida como de fomento a la participación de pequeños oferentes en la contratación estatal, permite que las sociedades relativamente nue</w:t>
      </w:r>
      <w:r w:rsidR="00F52337" w:rsidRPr="005D6C70">
        <w:rPr>
          <w:rFonts w:ascii="Arial" w:hAnsi="Arial" w:cs="Arial"/>
          <w:sz w:val="22"/>
        </w:rPr>
        <w:t xml:space="preserve">vas </w:t>
      </w:r>
      <w:r w:rsidR="00F52337" w:rsidRPr="005D6C70">
        <w:rPr>
          <w:rFonts w:ascii="Arial" w:eastAsia="Calibri" w:hAnsi="Arial" w:cs="Arial"/>
          <w:sz w:val="22"/>
        </w:rPr>
        <w:t>─</w:t>
      </w:r>
      <w:r w:rsidRPr="005D6C70">
        <w:rPr>
          <w:rFonts w:ascii="Arial" w:hAnsi="Arial" w:cs="Arial"/>
          <w:sz w:val="22"/>
        </w:rPr>
        <w:t xml:space="preserve">con </w:t>
      </w:r>
      <w:r w:rsidR="00F52337" w:rsidRPr="005D6C70">
        <w:rPr>
          <w:rFonts w:ascii="Arial" w:hAnsi="Arial" w:cs="Arial"/>
          <w:sz w:val="22"/>
        </w:rPr>
        <w:t>menos de 3 años de constitución</w:t>
      </w:r>
      <w:r w:rsidR="00F52337" w:rsidRPr="005D6C70">
        <w:rPr>
          <w:rFonts w:ascii="Arial" w:eastAsia="Calibri" w:hAnsi="Arial" w:cs="Arial"/>
          <w:sz w:val="22"/>
        </w:rPr>
        <w:t>─</w:t>
      </w:r>
      <w:r w:rsidRPr="005D6C70">
        <w:rPr>
          <w:rFonts w:ascii="Arial" w:hAnsi="Arial" w:cs="Arial"/>
          <w:sz w:val="22"/>
        </w:rPr>
        <w:t xml:space="preserve"> puedan acreditar como experiencia en el RUP la de sus accionistas, socios o constituyentes. </w:t>
      </w:r>
    </w:p>
    <w:p w14:paraId="657DC1E9" w14:textId="77777777"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64233DF" w14:textId="41A6E7BE" w:rsidR="00BD6A7D" w:rsidRPr="005D6C70" w:rsidRDefault="00126FEF" w:rsidP="00A51EC3">
      <w:pPr>
        <w:spacing w:before="120" w:after="120" w:line="276" w:lineRule="auto"/>
        <w:ind w:firstLine="708"/>
        <w:jc w:val="both"/>
        <w:rPr>
          <w:rFonts w:ascii="Arial" w:hAnsi="Arial" w:cs="Arial"/>
          <w:sz w:val="22"/>
        </w:rPr>
      </w:pPr>
      <w:r w:rsidRPr="005D6C70">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w:t>
      </w:r>
      <w:r w:rsidR="009B3787" w:rsidRPr="005D6C70">
        <w:rPr>
          <w:rFonts w:ascii="Arial" w:hAnsi="Arial" w:cs="Arial"/>
          <w:sz w:val="22"/>
        </w:rPr>
        <w:t>d de la que es parte, para que e</w:t>
      </w:r>
      <w:r w:rsidRPr="005D6C70">
        <w:rPr>
          <w:rFonts w:ascii="Arial" w:hAnsi="Arial" w:cs="Arial"/>
          <w:sz w:val="22"/>
        </w:rPr>
        <w:t>sta, como persona jurídica independiente, pueda cumplir con los requisitos habilitantes o puntuables que establezcan las entidades estatales en sus procesos de contratación, y de esta forma promover el desarrollo de la empresa y la pluralidad de oferen</w:t>
      </w:r>
      <w:r w:rsidR="00BD6A7D" w:rsidRPr="005D6C70">
        <w:rPr>
          <w:rFonts w:ascii="Arial" w:hAnsi="Arial" w:cs="Arial"/>
          <w:sz w:val="22"/>
        </w:rPr>
        <w:t>tes en la contratación pública.</w:t>
      </w:r>
    </w:p>
    <w:p w14:paraId="19FEB5E2" w14:textId="7C08D879" w:rsidR="00126FEF" w:rsidRPr="005D6C70" w:rsidRDefault="009956B9" w:rsidP="009956B9">
      <w:pPr>
        <w:spacing w:before="120" w:after="120" w:line="276" w:lineRule="auto"/>
        <w:ind w:firstLine="708"/>
        <w:jc w:val="both"/>
        <w:rPr>
          <w:rFonts w:ascii="Arial" w:hAnsi="Arial" w:cs="Arial"/>
          <w:sz w:val="22"/>
        </w:rPr>
      </w:pPr>
      <w:r w:rsidRPr="005D6C70">
        <w:rPr>
          <w:rFonts w:ascii="Arial" w:hAnsi="Arial" w:cs="Arial"/>
          <w:sz w:val="22"/>
        </w:rPr>
        <w:t>E</w:t>
      </w:r>
      <w:r w:rsidR="00126FEF" w:rsidRPr="005D6C70">
        <w:rPr>
          <w:rFonts w:ascii="Arial" w:hAnsi="Arial" w:cs="Arial"/>
          <w:sz w:val="22"/>
        </w:rPr>
        <w:t xml:space="preserv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5B946588" w14:textId="244C02A0" w:rsidR="00126FEF" w:rsidRPr="005D6C70" w:rsidRDefault="00126FEF" w:rsidP="00884B83">
      <w:pPr>
        <w:spacing w:before="120" w:after="120" w:line="276" w:lineRule="auto"/>
        <w:ind w:firstLine="708"/>
        <w:jc w:val="both"/>
        <w:rPr>
          <w:rFonts w:ascii="Arial" w:hAnsi="Arial" w:cs="Arial"/>
          <w:sz w:val="22"/>
        </w:rPr>
      </w:pPr>
      <w:r w:rsidRPr="005D6C70">
        <w:rPr>
          <w:rFonts w:ascii="Arial" w:hAnsi="Arial" w:cs="Arial"/>
          <w:sz w:val="22"/>
        </w:rPr>
        <w:lastRenderedPageBreak/>
        <w:t>Estos interrogantes han sido planteados a la Subdirección d</w:t>
      </w:r>
      <w:r w:rsidR="009956B9" w:rsidRPr="005D6C70">
        <w:rPr>
          <w:rFonts w:ascii="Arial" w:hAnsi="Arial" w:cs="Arial"/>
          <w:sz w:val="22"/>
        </w:rPr>
        <w:t xml:space="preserve">e Gestión Contractual, y se ha </w:t>
      </w:r>
      <w:r w:rsidRPr="005D6C70">
        <w:rPr>
          <w:rFonts w:ascii="Arial" w:hAnsi="Arial" w:cs="Arial"/>
          <w:sz w:val="22"/>
        </w:rPr>
        <w:t xml:space="preserve">dado respuestas en uno y otro sentido. Así, en </w:t>
      </w:r>
      <w:r w:rsidR="009956B9" w:rsidRPr="005D6C70">
        <w:rPr>
          <w:rFonts w:ascii="Arial" w:hAnsi="Arial" w:cs="Arial"/>
          <w:sz w:val="22"/>
        </w:rPr>
        <w:t xml:space="preserve">el </w:t>
      </w:r>
      <w:r w:rsidR="00CD3FB3">
        <w:rPr>
          <w:rFonts w:ascii="Arial" w:hAnsi="Arial" w:cs="Arial"/>
          <w:sz w:val="22"/>
        </w:rPr>
        <w:t>c</w:t>
      </w:r>
      <w:r w:rsidRPr="005D6C70">
        <w:rPr>
          <w:rFonts w:ascii="Arial" w:hAnsi="Arial" w:cs="Arial"/>
          <w:sz w:val="22"/>
        </w:rPr>
        <w:t>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w:t>
      </w:r>
      <w:r w:rsidR="00405D38" w:rsidRPr="005D6C70">
        <w:rPr>
          <w:rFonts w:ascii="Arial" w:hAnsi="Arial" w:cs="Arial"/>
          <w:sz w:val="22"/>
        </w:rPr>
        <w:t xml:space="preserve">. </w:t>
      </w:r>
      <w:r w:rsidRPr="005D6C70">
        <w:rPr>
          <w:rFonts w:ascii="Arial" w:hAnsi="Arial" w:cs="Arial"/>
          <w:sz w:val="22"/>
        </w:rPr>
        <w:t xml:space="preserve"> </w:t>
      </w:r>
    </w:p>
    <w:p w14:paraId="670808B7" w14:textId="0762CD0E" w:rsidR="00126FEF" w:rsidRPr="005D6C70" w:rsidRDefault="00126FEF" w:rsidP="009B3787">
      <w:pPr>
        <w:spacing w:before="120" w:after="120" w:line="276" w:lineRule="auto"/>
        <w:ind w:firstLine="708"/>
        <w:jc w:val="both"/>
        <w:rPr>
          <w:rFonts w:ascii="Arial" w:hAnsi="Arial" w:cs="Arial"/>
          <w:sz w:val="22"/>
        </w:rPr>
      </w:pPr>
      <w:r w:rsidRPr="005D6C70">
        <w:rPr>
          <w:rFonts w:ascii="Arial" w:hAnsi="Arial" w:cs="Arial"/>
          <w:sz w:val="22"/>
        </w:rPr>
        <w:t>Teniendo en cuenta lo anterior, aunque la persona jurídica tenga más de tres años de constituida y haya registrado inicialmente la exper</w:t>
      </w:r>
      <w:r w:rsidR="009956B9" w:rsidRPr="005D6C70">
        <w:rPr>
          <w:rFonts w:ascii="Arial" w:hAnsi="Arial" w:cs="Arial"/>
          <w:sz w:val="22"/>
        </w:rPr>
        <w:t xml:space="preserve">iencia de sus socios en el RUP </w:t>
      </w:r>
      <w:r w:rsidR="009956B9" w:rsidRPr="005D6C70">
        <w:rPr>
          <w:rFonts w:ascii="Arial" w:eastAsia="Calibri" w:hAnsi="Arial" w:cs="Arial"/>
          <w:sz w:val="22"/>
        </w:rPr>
        <w:t>―</w:t>
      </w:r>
      <w:r w:rsidRPr="005D6C70">
        <w:rPr>
          <w:rFonts w:ascii="Arial" w:hAnsi="Arial" w:cs="Arial"/>
          <w:sz w:val="22"/>
        </w:rPr>
        <w:t>pues su consti</w:t>
      </w:r>
      <w:r w:rsidR="009956B9" w:rsidRPr="005D6C70">
        <w:rPr>
          <w:rFonts w:ascii="Arial" w:hAnsi="Arial" w:cs="Arial"/>
          <w:sz w:val="22"/>
        </w:rPr>
        <w:t>tución era inferior a tres años</w:t>
      </w:r>
      <w:r w:rsidR="009956B9" w:rsidRPr="005D6C70">
        <w:rPr>
          <w:rFonts w:ascii="Arial" w:eastAsia="Calibri" w:hAnsi="Arial" w:cs="Arial"/>
          <w:sz w:val="22"/>
        </w:rPr>
        <w:t>―</w:t>
      </w:r>
      <w:r w:rsidRPr="005D6C70">
        <w:rPr>
          <w:rFonts w:ascii="Arial" w:hAnsi="Arial" w:cs="Arial"/>
          <w:sz w:val="22"/>
        </w:rPr>
        <w:t xml:space="preserve"> </w:t>
      </w:r>
      <w:r w:rsidR="009B3787" w:rsidRPr="005D6C70">
        <w:rPr>
          <w:rFonts w:ascii="Arial" w:hAnsi="Arial" w:cs="Arial"/>
          <w:sz w:val="22"/>
        </w:rPr>
        <w:t>y e</w:t>
      </w:r>
      <w:r w:rsidRPr="005D6C70">
        <w:rPr>
          <w:rFonts w:ascii="Arial" w:hAnsi="Arial" w:cs="Arial"/>
          <w:sz w:val="22"/>
        </w:rPr>
        <w:t xml:space="preserv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w:t>
      </w:r>
      <w:r w:rsidR="00CD3FB3">
        <w:rPr>
          <w:rFonts w:ascii="Arial" w:hAnsi="Arial" w:cs="Arial"/>
          <w:sz w:val="22"/>
        </w:rPr>
        <w:t>c</w:t>
      </w:r>
      <w:r w:rsidRPr="005D6C70">
        <w:rPr>
          <w:rFonts w:ascii="Arial" w:hAnsi="Arial" w:cs="Arial"/>
          <w:sz w:val="22"/>
        </w:rPr>
        <w:t xml:space="preserve">ámara de </w:t>
      </w:r>
      <w:r w:rsidR="00CD3FB3">
        <w:rPr>
          <w:rFonts w:ascii="Arial" w:hAnsi="Arial" w:cs="Arial"/>
          <w:sz w:val="22"/>
        </w:rPr>
        <w:t>c</w:t>
      </w:r>
      <w:r w:rsidRPr="005D6C70">
        <w:rPr>
          <w:rFonts w:ascii="Arial" w:hAnsi="Arial" w:cs="Arial"/>
          <w:sz w:val="22"/>
        </w:rPr>
        <w:t xml:space="preserve">omercio tiene que hacer nuevamente la verificación documental de la información presentada al momento de inscribirse en el registro. </w:t>
      </w:r>
    </w:p>
    <w:p w14:paraId="3A434D6A" w14:textId="10C6BF80"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Posición contraria se adoptó en un concepto</w:t>
      </w:r>
      <w:r w:rsidR="000949CE" w:rsidRPr="005D6C70">
        <w:rPr>
          <w:rFonts w:ascii="Arial" w:hAnsi="Arial" w:cs="Arial"/>
          <w:sz w:val="22"/>
        </w:rPr>
        <w:t xml:space="preserve"> identificado con radicado No. </w:t>
      </w:r>
      <w:r w:rsidR="004E0A9F" w:rsidRPr="005D6C70">
        <w:rPr>
          <w:rFonts w:ascii="Arial" w:hAnsi="Arial" w:cs="Arial"/>
          <w:sz w:val="22"/>
        </w:rPr>
        <w:t>4201814000001418,</w:t>
      </w:r>
      <w:r w:rsidR="000949CE" w:rsidRPr="005D6C70">
        <w:rPr>
          <w:rFonts w:ascii="Arial" w:hAnsi="Arial" w:cs="Arial"/>
          <w:sz w:val="22"/>
        </w:rPr>
        <w:t xml:space="preserve"> </w:t>
      </w:r>
      <w:r w:rsidR="009956B9" w:rsidRPr="005D6C70">
        <w:rPr>
          <w:rFonts w:ascii="Arial" w:hAnsi="Arial" w:cs="Arial"/>
          <w:sz w:val="22"/>
        </w:rPr>
        <w:t>donde</w:t>
      </w:r>
      <w:r w:rsidRPr="005D6C70">
        <w:rPr>
          <w:rFonts w:ascii="Arial" w:hAnsi="Arial" w:cs="Arial"/>
          <w:sz w:val="22"/>
        </w:rPr>
        <w:t xml:space="preserve"> frente a la misma pregunta esta Subdirección respondió que después de cumplidos los 3 años </w:t>
      </w:r>
      <w:r w:rsidR="009956B9" w:rsidRPr="005D6C70">
        <w:rPr>
          <w:rFonts w:ascii="Arial" w:hAnsi="Arial" w:cs="Arial"/>
          <w:sz w:val="22"/>
        </w:rPr>
        <w:t xml:space="preserve">contados </w:t>
      </w:r>
      <w:r w:rsidRPr="005D6C70">
        <w:rPr>
          <w:rFonts w:ascii="Arial" w:hAnsi="Arial" w:cs="Arial"/>
          <w:sz w:val="22"/>
        </w:rPr>
        <w:t xml:space="preserve">desde la constitución de la sociedad, las entidades estatales no deberían tener como válida la experiencia acreditada por los socios, accionistas o constituyentes. Como fundamento de esta posición, la Subdirección consideró lo siguiente: </w:t>
      </w:r>
    </w:p>
    <w:p w14:paraId="42FDBBCA" w14:textId="62852D6E" w:rsidR="00126FEF" w:rsidRPr="005D6C70" w:rsidRDefault="009956B9" w:rsidP="004A02BA">
      <w:pPr>
        <w:spacing w:before="120" w:after="120" w:line="276" w:lineRule="auto"/>
        <w:ind w:firstLine="708"/>
        <w:jc w:val="both"/>
        <w:rPr>
          <w:rFonts w:ascii="Arial" w:hAnsi="Arial" w:cs="Arial"/>
          <w:sz w:val="22"/>
        </w:rPr>
      </w:pPr>
      <w:r w:rsidRPr="005D6C70">
        <w:rPr>
          <w:rFonts w:ascii="Arial" w:hAnsi="Arial" w:cs="Arial"/>
          <w:sz w:val="22"/>
        </w:rPr>
        <w:t>i)</w:t>
      </w:r>
      <w:r w:rsidR="00126FEF" w:rsidRPr="005D6C70">
        <w:rPr>
          <w:rFonts w:ascii="Arial" w:hAnsi="Arial" w:cs="Arial"/>
          <w:sz w:val="22"/>
        </w:rPr>
        <w:t xml:space="preserve"> La posición de Colombia Compra Eficiente respecto a la validez de la experiencia de los accionistas, socios o constituyentes, acreditada en el RUP por una sociedad nueva, cuando está ya superó los 3 años de constituida, ha variado. </w:t>
      </w:r>
    </w:p>
    <w:p w14:paraId="1B1A1DE2" w14:textId="2F79D921" w:rsidR="00126FEF" w:rsidRPr="005D6C70" w:rsidRDefault="009956B9" w:rsidP="004A02BA">
      <w:pPr>
        <w:spacing w:before="120" w:after="120" w:line="276" w:lineRule="auto"/>
        <w:ind w:firstLine="708"/>
        <w:jc w:val="both"/>
        <w:rPr>
          <w:rFonts w:ascii="Arial" w:hAnsi="Arial" w:cs="Arial"/>
          <w:sz w:val="22"/>
        </w:rPr>
      </w:pPr>
      <w:r w:rsidRPr="005D6C70">
        <w:rPr>
          <w:rFonts w:ascii="Arial" w:hAnsi="Arial" w:cs="Arial"/>
          <w:sz w:val="22"/>
        </w:rPr>
        <w:t>ii)</w:t>
      </w:r>
      <w:r w:rsidR="00126FEF" w:rsidRPr="005D6C70">
        <w:rPr>
          <w:rFonts w:ascii="Arial" w:hAnsi="Arial" w:cs="Arial"/>
          <w:sz w:val="22"/>
        </w:rPr>
        <w:t xml:space="preserve"> El Decreto 1082 de 2015 establece </w:t>
      </w:r>
      <w:proofErr w:type="gramStart"/>
      <w:r w:rsidR="00126FEF" w:rsidRPr="005D6C70">
        <w:rPr>
          <w:rFonts w:ascii="Arial" w:hAnsi="Arial" w:cs="Arial"/>
          <w:sz w:val="22"/>
        </w:rPr>
        <w:t>que</w:t>
      </w:r>
      <w:proofErr w:type="gramEnd"/>
      <w:r w:rsidR="00126FEF" w:rsidRPr="005D6C70">
        <w:rPr>
          <w:rFonts w:ascii="Arial" w:hAnsi="Arial" w:cs="Arial"/>
          <w:sz w:val="22"/>
        </w:rPr>
        <w:t xml:space="preserve"> para la inscripción en el RUP de una persona jurídica, si s</w:t>
      </w:r>
      <w:r w:rsidRPr="005D6C70">
        <w:rPr>
          <w:rFonts w:ascii="Arial" w:hAnsi="Arial" w:cs="Arial"/>
          <w:sz w:val="22"/>
        </w:rPr>
        <w:t>u constitución es menor a 3</w:t>
      </w:r>
      <w:r w:rsidR="00126FEF" w:rsidRPr="005D6C70">
        <w:rPr>
          <w:rFonts w:ascii="Arial" w:hAnsi="Arial" w:cs="Arial"/>
          <w:sz w:val="22"/>
        </w:rPr>
        <w:t xml:space="preserve"> años, puede acreditar la experiencia de sus accionistas, socios o constituyentes. </w:t>
      </w:r>
    </w:p>
    <w:p w14:paraId="53F93759" w14:textId="77E87AE2" w:rsidR="00126FEF" w:rsidRPr="005D6C70" w:rsidRDefault="009956B9" w:rsidP="00385FB2">
      <w:pPr>
        <w:spacing w:before="120" w:after="120" w:line="276" w:lineRule="auto"/>
        <w:ind w:firstLine="708"/>
        <w:jc w:val="both"/>
        <w:rPr>
          <w:rFonts w:ascii="Arial" w:hAnsi="Arial" w:cs="Arial"/>
          <w:sz w:val="22"/>
        </w:rPr>
      </w:pPr>
      <w:r w:rsidRPr="005D6C70">
        <w:rPr>
          <w:rFonts w:ascii="Arial" w:hAnsi="Arial" w:cs="Arial"/>
          <w:sz w:val="22"/>
        </w:rPr>
        <w:t>iii)</w:t>
      </w:r>
      <w:r w:rsidR="00126FEF" w:rsidRPr="005D6C70">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ACD3FC7" w14:textId="5548B95E" w:rsidR="00126FEF" w:rsidRPr="005D6C70" w:rsidRDefault="009956B9" w:rsidP="004A02BA">
      <w:pPr>
        <w:spacing w:before="120" w:after="120" w:line="276" w:lineRule="auto"/>
        <w:ind w:firstLine="708"/>
        <w:jc w:val="both"/>
        <w:rPr>
          <w:rFonts w:ascii="Arial" w:hAnsi="Arial" w:cs="Arial"/>
          <w:sz w:val="22"/>
        </w:rPr>
      </w:pPr>
      <w:r w:rsidRPr="005D6C70">
        <w:rPr>
          <w:rFonts w:ascii="Arial" w:hAnsi="Arial" w:cs="Arial"/>
          <w:sz w:val="22"/>
        </w:rPr>
        <w:t>iv)</w:t>
      </w:r>
      <w:r w:rsidR="00126FEF" w:rsidRPr="005D6C70">
        <w:rPr>
          <w:rFonts w:ascii="Arial" w:hAnsi="Arial" w:cs="Arial"/>
          <w:sz w:val="22"/>
        </w:rPr>
        <w:t xml:space="preserve"> En consecuencia, la persona jurídica cuy</w:t>
      </w:r>
      <w:r w:rsidRPr="005D6C70">
        <w:rPr>
          <w:rFonts w:ascii="Arial" w:hAnsi="Arial" w:cs="Arial"/>
          <w:sz w:val="22"/>
        </w:rPr>
        <w:t>a constitución es menor a 3</w:t>
      </w:r>
      <w:r w:rsidR="00126FEF" w:rsidRPr="005D6C70">
        <w:rPr>
          <w:rFonts w:ascii="Arial" w:hAnsi="Arial" w:cs="Arial"/>
          <w:sz w:val="22"/>
        </w:rPr>
        <w:t xml:space="preserve"> años puede registrar la experiencia de sus socios en el RUP, la cual no podrá ser tenida en cuenta por la </w:t>
      </w:r>
      <w:r w:rsidR="00CD3FB3">
        <w:rPr>
          <w:rFonts w:ascii="Arial" w:hAnsi="Arial" w:cs="Arial"/>
          <w:sz w:val="22"/>
        </w:rPr>
        <w:t>e</w:t>
      </w:r>
      <w:r w:rsidR="00126FEF" w:rsidRPr="005D6C70">
        <w:rPr>
          <w:rFonts w:ascii="Arial" w:hAnsi="Arial" w:cs="Arial"/>
          <w:sz w:val="22"/>
        </w:rPr>
        <w:t xml:space="preserve">ntidad </w:t>
      </w:r>
      <w:r w:rsidR="00CD3FB3">
        <w:rPr>
          <w:rFonts w:ascii="Arial" w:hAnsi="Arial" w:cs="Arial"/>
          <w:sz w:val="22"/>
        </w:rPr>
        <w:t>e</w:t>
      </w:r>
      <w:r w:rsidR="00126FEF" w:rsidRPr="005D6C70">
        <w:rPr>
          <w:rFonts w:ascii="Arial" w:hAnsi="Arial" w:cs="Arial"/>
          <w:sz w:val="22"/>
        </w:rPr>
        <w:t>statal como experiencia de la socie</w:t>
      </w:r>
      <w:r w:rsidRPr="005D6C70">
        <w:rPr>
          <w:rFonts w:ascii="Arial" w:hAnsi="Arial" w:cs="Arial"/>
          <w:sz w:val="22"/>
        </w:rPr>
        <w:t>dad una vez cumplidos los 3</w:t>
      </w:r>
      <w:r w:rsidR="00126FEF" w:rsidRPr="005D6C70">
        <w:rPr>
          <w:rFonts w:ascii="Arial" w:hAnsi="Arial" w:cs="Arial"/>
          <w:sz w:val="22"/>
        </w:rPr>
        <w:t xml:space="preserve"> años de constituida la persona jurídica a los que hace referencia la norma, pues no se cumple con el presupuesto normativo para acceder al beneficio que contempla el Decreto 1082. </w:t>
      </w:r>
    </w:p>
    <w:p w14:paraId="4F148517" w14:textId="12BE68DC" w:rsidR="00126FEF" w:rsidRPr="005D6C70" w:rsidRDefault="009956B9" w:rsidP="004A02BA">
      <w:pPr>
        <w:spacing w:before="120" w:after="120" w:line="276" w:lineRule="auto"/>
        <w:ind w:firstLine="708"/>
        <w:jc w:val="both"/>
        <w:rPr>
          <w:rFonts w:ascii="Arial" w:hAnsi="Arial" w:cs="Arial"/>
          <w:sz w:val="22"/>
        </w:rPr>
      </w:pPr>
      <w:r w:rsidRPr="005D6C70">
        <w:rPr>
          <w:rFonts w:ascii="Arial" w:hAnsi="Arial" w:cs="Arial"/>
          <w:sz w:val="22"/>
        </w:rPr>
        <w:t>v)</w:t>
      </w:r>
      <w:r w:rsidR="00126FEF" w:rsidRPr="005D6C70">
        <w:rPr>
          <w:rFonts w:ascii="Arial" w:hAnsi="Arial" w:cs="Arial"/>
          <w:sz w:val="22"/>
        </w:rPr>
        <w:t xml:space="preserve"> Las Cámaras de Comercio </w:t>
      </w:r>
      <w:r w:rsidRPr="005D6C70">
        <w:rPr>
          <w:rFonts w:ascii="Arial" w:hAnsi="Arial" w:cs="Arial"/>
          <w:sz w:val="22"/>
        </w:rPr>
        <w:t>hacen</w:t>
      </w:r>
      <w:r w:rsidR="00126FEF" w:rsidRPr="005D6C70">
        <w:rPr>
          <w:rFonts w:ascii="Arial" w:hAnsi="Arial" w:cs="Arial"/>
          <w:sz w:val="22"/>
        </w:rPr>
        <w:t xml:space="preserve"> la verificación documental de la información presentada por los interesados al momento de inscribir, renovar o actualizar su información en el RUP. De esa forma, a diferencia de la renovación, la actualización del RUP puede </w:t>
      </w:r>
      <w:r w:rsidR="00126FEF" w:rsidRPr="005D6C70">
        <w:rPr>
          <w:rFonts w:ascii="Arial" w:hAnsi="Arial" w:cs="Arial"/>
          <w:sz w:val="22"/>
        </w:rPr>
        <w:lastRenderedPageBreak/>
        <w:t>llevarse a cabo en c</w:t>
      </w:r>
      <w:r w:rsidRPr="005D6C70">
        <w:rPr>
          <w:rFonts w:ascii="Arial" w:hAnsi="Arial" w:cs="Arial"/>
          <w:sz w:val="22"/>
        </w:rPr>
        <w:t xml:space="preserve">ualquier momento </w:t>
      </w:r>
      <w:r w:rsidRPr="005D6C70">
        <w:rPr>
          <w:rFonts w:ascii="Arial" w:eastAsia="Calibri" w:hAnsi="Arial" w:cs="Arial"/>
          <w:sz w:val="22"/>
        </w:rPr>
        <w:t>―</w:t>
      </w:r>
      <w:r w:rsidR="00126FEF" w:rsidRPr="005D6C70">
        <w:rPr>
          <w:rFonts w:ascii="Arial" w:hAnsi="Arial" w:cs="Arial"/>
          <w:sz w:val="22"/>
        </w:rPr>
        <w:t>únicamente para la c</w:t>
      </w:r>
      <w:r w:rsidRPr="005D6C70">
        <w:rPr>
          <w:rFonts w:ascii="Arial" w:hAnsi="Arial" w:cs="Arial"/>
          <w:sz w:val="22"/>
        </w:rPr>
        <w:t>apacidad jurídica y experiencia</w:t>
      </w:r>
      <w:r w:rsidRPr="005D6C70">
        <w:rPr>
          <w:rFonts w:ascii="Arial" w:eastAsia="Calibri" w:hAnsi="Arial" w:cs="Arial"/>
          <w:sz w:val="22"/>
        </w:rPr>
        <w:t>―</w:t>
      </w:r>
      <w:r w:rsidR="00126FEF" w:rsidRPr="005D6C70">
        <w:rPr>
          <w:rFonts w:ascii="Arial" w:hAnsi="Arial" w:cs="Arial"/>
          <w:sz w:val="22"/>
        </w:rPr>
        <w:t xml:space="preserve"> y debe ser verificada junto con sus soportes por la Cámara de Comercio correspondiente. </w:t>
      </w:r>
    </w:p>
    <w:p w14:paraId="6142AE5A" w14:textId="61FC33F9" w:rsidR="00126FEF" w:rsidRPr="005D6C70" w:rsidRDefault="00126FEF" w:rsidP="009B3787">
      <w:pPr>
        <w:spacing w:before="120" w:after="120" w:line="276" w:lineRule="auto"/>
        <w:ind w:firstLine="708"/>
        <w:jc w:val="both"/>
        <w:rPr>
          <w:rFonts w:ascii="Arial" w:hAnsi="Arial" w:cs="Arial"/>
          <w:sz w:val="22"/>
        </w:rPr>
      </w:pPr>
      <w:r w:rsidRPr="005D6C70">
        <w:rPr>
          <w:rFonts w:ascii="Arial" w:hAnsi="Arial" w:cs="Arial"/>
          <w:sz w:val="22"/>
        </w:rPr>
        <w:t>Ante esta disparidad de criterios, la Subdirección de Gestión Contractual estimó necesario recoger estos pron</w:t>
      </w:r>
      <w:r w:rsidR="009956B9" w:rsidRPr="005D6C70">
        <w:rPr>
          <w:rFonts w:ascii="Arial" w:hAnsi="Arial" w:cs="Arial"/>
          <w:sz w:val="22"/>
        </w:rPr>
        <w:t xml:space="preserve">unciamientos y unificar la </w:t>
      </w:r>
      <w:r w:rsidRPr="005D6C70">
        <w:rPr>
          <w:rFonts w:ascii="Arial" w:hAnsi="Arial" w:cs="Arial"/>
          <w:sz w:val="22"/>
        </w:rPr>
        <w:t>posición en el concepto con radicado No. 4201913000006797 del 19 de noviembre de 2019, en tor</w:t>
      </w:r>
      <w:r w:rsidR="009B3787" w:rsidRPr="005D6C70">
        <w:rPr>
          <w:rFonts w:ascii="Arial" w:hAnsi="Arial" w:cs="Arial"/>
          <w:sz w:val="22"/>
        </w:rPr>
        <w:t xml:space="preserve">no a la posibilidad de que </w:t>
      </w:r>
      <w:r w:rsidRPr="005D6C70">
        <w:rPr>
          <w:rFonts w:ascii="Arial" w:hAnsi="Arial" w:cs="Arial"/>
          <w:sz w:val="22"/>
        </w:rPr>
        <w:t xml:space="preserve">las sociedades nuevas puedan seguir acreditando la experiencia de sus socios, accionistas o constituyentes, incluso después de cumplidos 3 años de constitución de la persona jurídica. </w:t>
      </w:r>
    </w:p>
    <w:p w14:paraId="487A9C18" w14:textId="2FCE4484" w:rsidR="00126FEF" w:rsidRPr="005D6C70" w:rsidRDefault="009956B9" w:rsidP="004A02BA">
      <w:pPr>
        <w:spacing w:before="120" w:after="120" w:line="276" w:lineRule="auto"/>
        <w:ind w:firstLine="708"/>
        <w:jc w:val="both"/>
        <w:rPr>
          <w:rFonts w:ascii="Arial" w:hAnsi="Arial" w:cs="Arial"/>
          <w:sz w:val="22"/>
        </w:rPr>
      </w:pPr>
      <w:r w:rsidRPr="005D6C70">
        <w:rPr>
          <w:rFonts w:ascii="Arial" w:hAnsi="Arial" w:cs="Arial"/>
          <w:sz w:val="22"/>
        </w:rPr>
        <w:t>El criterio que se adoptó fue</w:t>
      </w:r>
      <w:r w:rsidR="00126FEF" w:rsidRPr="005D6C70">
        <w:rPr>
          <w:rFonts w:ascii="Arial" w:hAnsi="Arial" w:cs="Arial"/>
          <w:sz w:val="22"/>
        </w:rPr>
        <w:t xml:space="preserve"> que la experiencia de los socios, accionistas o constituyentes</w:t>
      </w:r>
      <w:r w:rsidRPr="005D6C70">
        <w:rPr>
          <w:rFonts w:ascii="Arial" w:hAnsi="Arial" w:cs="Arial"/>
          <w:sz w:val="22"/>
        </w:rPr>
        <w:t xml:space="preserve">, para </w:t>
      </w:r>
      <w:r w:rsidR="00126FEF" w:rsidRPr="005D6C70">
        <w:rPr>
          <w:rFonts w:ascii="Arial" w:hAnsi="Arial" w:cs="Arial"/>
          <w:sz w:val="22"/>
        </w:rPr>
        <w:t>las sociedades que al momento de inscribirse en el RUP tenían menos de 3 años de constituidas</w:t>
      </w:r>
      <w:r w:rsidRPr="005D6C70">
        <w:rPr>
          <w:rFonts w:ascii="Arial" w:hAnsi="Arial" w:cs="Arial"/>
          <w:sz w:val="22"/>
        </w:rPr>
        <w:t>,</w:t>
      </w:r>
      <w:r w:rsidR="00126FEF" w:rsidRPr="005D6C70">
        <w:rPr>
          <w:rFonts w:ascii="Arial" w:hAnsi="Arial" w:cs="Arial"/>
          <w:sz w:val="22"/>
        </w:rPr>
        <w:t xml:space="preserve"> puede seguir siendo acreditada por la persona jurídica después de transcurridos los 3 años del acto d</w:t>
      </w:r>
      <w:r w:rsidRPr="005D6C70">
        <w:rPr>
          <w:rFonts w:ascii="Arial" w:hAnsi="Arial" w:cs="Arial"/>
          <w:sz w:val="22"/>
        </w:rPr>
        <w:t>e constitución. Esta posición había sido reiterad</w:t>
      </w:r>
      <w:r w:rsidR="00126FEF" w:rsidRPr="005D6C70">
        <w:rPr>
          <w:rFonts w:ascii="Arial" w:hAnsi="Arial" w:cs="Arial"/>
          <w:sz w:val="22"/>
        </w:rPr>
        <w:t>a por esta Subdirección en pronunciamientos</w:t>
      </w:r>
      <w:r w:rsidR="00CD3FB3">
        <w:rPr>
          <w:rFonts w:ascii="Arial" w:hAnsi="Arial" w:cs="Arial"/>
          <w:sz w:val="22"/>
        </w:rPr>
        <w:t xml:space="preserve"> </w:t>
      </w:r>
      <w:r w:rsidR="00126FEF" w:rsidRPr="005D6C70">
        <w:rPr>
          <w:rFonts w:ascii="Arial" w:hAnsi="Arial" w:cs="Arial"/>
          <w:sz w:val="22"/>
        </w:rPr>
        <w:t xml:space="preserve">posteriores a la acogida en el </w:t>
      </w:r>
      <w:r w:rsidR="00CD3FB3">
        <w:rPr>
          <w:rFonts w:ascii="Arial" w:hAnsi="Arial" w:cs="Arial"/>
          <w:sz w:val="22"/>
        </w:rPr>
        <w:t>c</w:t>
      </w:r>
      <w:r w:rsidR="00126FEF" w:rsidRPr="005D6C70">
        <w:rPr>
          <w:rFonts w:ascii="Arial" w:hAnsi="Arial" w:cs="Arial"/>
          <w:sz w:val="22"/>
        </w:rPr>
        <w:t xml:space="preserve">oncepto del 3 </w:t>
      </w:r>
      <w:r w:rsidR="00BD6A7D" w:rsidRPr="005D6C70">
        <w:rPr>
          <w:rFonts w:ascii="Arial" w:hAnsi="Arial" w:cs="Arial"/>
          <w:sz w:val="22"/>
        </w:rPr>
        <w:t>de abril de 2018 antes citado</w:t>
      </w:r>
      <w:r w:rsidR="00CD3FB3">
        <w:rPr>
          <w:rFonts w:ascii="Arial" w:hAnsi="Arial" w:cs="Arial"/>
          <w:sz w:val="22"/>
        </w:rPr>
        <w:t xml:space="preserve"> y previos a la postura definida en el concepto del 19 de noviembre de 2019</w:t>
      </w:r>
      <w:r w:rsidR="00CD3FB3" w:rsidRPr="005D6C70">
        <w:rPr>
          <w:rStyle w:val="Refdenotaalpie"/>
          <w:rFonts w:ascii="Arial" w:hAnsi="Arial" w:cs="Arial"/>
          <w:sz w:val="22"/>
        </w:rPr>
        <w:footnoteReference w:id="4"/>
      </w:r>
      <w:r w:rsidR="00BD6A7D" w:rsidRPr="005D6C70">
        <w:rPr>
          <w:rFonts w:ascii="Arial" w:hAnsi="Arial" w:cs="Arial"/>
          <w:sz w:val="22"/>
        </w:rPr>
        <w:t xml:space="preserve">. </w:t>
      </w:r>
    </w:p>
    <w:p w14:paraId="22C31C03" w14:textId="558026D5"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w:t>
      </w:r>
      <w:r w:rsidR="006644AF">
        <w:rPr>
          <w:rFonts w:ascii="Arial" w:hAnsi="Arial" w:cs="Arial"/>
          <w:sz w:val="22"/>
        </w:rPr>
        <w:t>c</w:t>
      </w:r>
      <w:r w:rsidRPr="005D6C70">
        <w:rPr>
          <w:rFonts w:ascii="Arial" w:hAnsi="Arial" w:cs="Arial"/>
          <w:sz w:val="22"/>
        </w:rPr>
        <w:t xml:space="preserve">ámaras de </w:t>
      </w:r>
      <w:r w:rsidR="006644AF">
        <w:rPr>
          <w:rFonts w:ascii="Arial" w:hAnsi="Arial" w:cs="Arial"/>
          <w:sz w:val="22"/>
        </w:rPr>
        <w:t>c</w:t>
      </w:r>
      <w:r w:rsidRPr="005D6C70">
        <w:rPr>
          <w:rFonts w:ascii="Arial" w:hAnsi="Arial" w:cs="Arial"/>
          <w:sz w:val="22"/>
        </w:rPr>
        <w:t>omercio s</w:t>
      </w:r>
      <w:r w:rsidR="006644AF">
        <w:rPr>
          <w:rFonts w:ascii="Arial" w:hAnsi="Arial" w:cs="Arial"/>
          <w:sz w:val="22"/>
        </w:rPr>
        <w:t>o</w:t>
      </w:r>
      <w:r w:rsidRPr="005D6C70">
        <w:rPr>
          <w:rFonts w:ascii="Arial" w:hAnsi="Arial" w:cs="Arial"/>
          <w:sz w:val="22"/>
        </w:rPr>
        <w:t>lo pueden eliminar la experiencia registrada en el RUP a solicitud del proponente, por tanto, le</w:t>
      </w:r>
      <w:r w:rsidR="004C0C61" w:rsidRPr="005D6C70">
        <w:rPr>
          <w:rFonts w:ascii="Arial" w:hAnsi="Arial" w:cs="Arial"/>
          <w:sz w:val="22"/>
        </w:rPr>
        <w:t>s</w:t>
      </w:r>
      <w:r w:rsidRPr="005D6C70">
        <w:rPr>
          <w:rFonts w:ascii="Arial" w:hAnsi="Arial" w:cs="Arial"/>
          <w:sz w:val="22"/>
        </w:rPr>
        <w:t xml:space="preserve"> corresponde a las personas jurídicas mantener su RUP actualizado y a las entidades estatales verificar</w:t>
      </w:r>
      <w:r w:rsidR="006644AF">
        <w:rPr>
          <w:rFonts w:ascii="Arial" w:hAnsi="Arial" w:cs="Arial"/>
          <w:sz w:val="22"/>
        </w:rPr>
        <w:t xml:space="preserve"> el RUP</w:t>
      </w:r>
      <w:r w:rsidRPr="005D6C70">
        <w:rPr>
          <w:rFonts w:ascii="Arial" w:hAnsi="Arial" w:cs="Arial"/>
          <w:sz w:val="22"/>
        </w:rPr>
        <w:t xml:space="preserve"> para efectos de </w:t>
      </w:r>
      <w:r w:rsidR="006644AF">
        <w:rPr>
          <w:rFonts w:ascii="Arial" w:hAnsi="Arial" w:cs="Arial"/>
          <w:sz w:val="22"/>
        </w:rPr>
        <w:t>evaluar</w:t>
      </w:r>
      <w:r w:rsidRPr="005D6C70">
        <w:rPr>
          <w:rFonts w:ascii="Arial" w:hAnsi="Arial" w:cs="Arial"/>
          <w:sz w:val="22"/>
        </w:rPr>
        <w:t xml:space="preserve"> la experiencia. </w:t>
      </w:r>
    </w:p>
    <w:p w14:paraId="32166A05" w14:textId="3ABAD50E" w:rsidR="00126FEF"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w:t>
      </w:r>
      <w:r w:rsidR="006644AF">
        <w:rPr>
          <w:rFonts w:ascii="Arial" w:hAnsi="Arial" w:cs="Arial"/>
          <w:sz w:val="22"/>
        </w:rPr>
        <w:t>c</w:t>
      </w:r>
      <w:r w:rsidRPr="005D6C70">
        <w:rPr>
          <w:rFonts w:ascii="Arial" w:hAnsi="Arial" w:cs="Arial"/>
          <w:sz w:val="22"/>
        </w:rPr>
        <w:t xml:space="preserve">ámara de </w:t>
      </w:r>
      <w:r w:rsidR="006644AF">
        <w:rPr>
          <w:rFonts w:ascii="Arial" w:hAnsi="Arial" w:cs="Arial"/>
          <w:sz w:val="22"/>
        </w:rPr>
        <w:t>c</w:t>
      </w:r>
      <w:r w:rsidRPr="005D6C70">
        <w:rPr>
          <w:rFonts w:ascii="Arial" w:hAnsi="Arial" w:cs="Arial"/>
          <w:sz w:val="22"/>
        </w:rPr>
        <w:t xml:space="preserve">omercio tiene que hacer nuevamente la verificación documental de la información presentada al momento de inscribirse en el registro.  </w:t>
      </w:r>
    </w:p>
    <w:p w14:paraId="20EE0DDF" w14:textId="77777777" w:rsidR="00126FEF" w:rsidRPr="005D6C70" w:rsidRDefault="00126FEF" w:rsidP="009B3787">
      <w:pPr>
        <w:spacing w:line="276" w:lineRule="auto"/>
        <w:ind w:firstLine="708"/>
        <w:jc w:val="both"/>
        <w:rPr>
          <w:rFonts w:ascii="Arial" w:hAnsi="Arial" w:cs="Arial"/>
          <w:sz w:val="22"/>
        </w:rPr>
      </w:pPr>
      <w:r w:rsidRPr="005D6C70">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6862C090" w14:textId="77777777" w:rsidR="005558EA" w:rsidRPr="005D6C70" w:rsidRDefault="005558EA" w:rsidP="009B3787">
      <w:pPr>
        <w:spacing w:line="276" w:lineRule="auto"/>
        <w:ind w:firstLine="708"/>
        <w:jc w:val="both"/>
        <w:rPr>
          <w:rFonts w:ascii="Arial" w:hAnsi="Arial" w:cs="Arial"/>
          <w:sz w:val="22"/>
        </w:rPr>
      </w:pPr>
    </w:p>
    <w:p w14:paraId="6796E57F" w14:textId="153263DB" w:rsidR="00126FEF" w:rsidRPr="005D6C70" w:rsidRDefault="00126FEF" w:rsidP="009B3787">
      <w:pPr>
        <w:ind w:left="709" w:right="709"/>
        <w:jc w:val="both"/>
        <w:rPr>
          <w:rFonts w:ascii="Arial" w:hAnsi="Arial" w:cs="Arial"/>
          <w:sz w:val="21"/>
          <w:szCs w:val="21"/>
        </w:rPr>
      </w:pPr>
      <w:r w:rsidRPr="005D6C70">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92D7EA8" w14:textId="77777777" w:rsidR="009B3787" w:rsidRPr="005D6C70" w:rsidRDefault="009B3787" w:rsidP="009B3787">
      <w:pPr>
        <w:ind w:left="709" w:right="709"/>
        <w:jc w:val="both"/>
        <w:rPr>
          <w:rFonts w:ascii="Arial" w:hAnsi="Arial" w:cs="Arial"/>
          <w:sz w:val="21"/>
          <w:szCs w:val="21"/>
        </w:rPr>
      </w:pPr>
    </w:p>
    <w:p w14:paraId="22EF2FE6" w14:textId="4817D05A" w:rsidR="00126FEF" w:rsidRPr="005D6C70" w:rsidRDefault="00126FEF" w:rsidP="009B3787">
      <w:pPr>
        <w:spacing w:line="276" w:lineRule="auto"/>
        <w:ind w:firstLine="708"/>
        <w:jc w:val="both"/>
        <w:rPr>
          <w:rFonts w:ascii="Arial" w:hAnsi="Arial" w:cs="Arial"/>
          <w:sz w:val="22"/>
        </w:rPr>
      </w:pPr>
      <w:r w:rsidRPr="005D6C70">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6031919F" w14:textId="2C8C4C0F" w:rsidR="004553EE" w:rsidRPr="005D6C70" w:rsidRDefault="00126FEF" w:rsidP="004A02BA">
      <w:pPr>
        <w:spacing w:before="120" w:after="120" w:line="276" w:lineRule="auto"/>
        <w:ind w:firstLine="708"/>
        <w:jc w:val="both"/>
        <w:rPr>
          <w:rFonts w:ascii="Arial" w:hAnsi="Arial" w:cs="Arial"/>
          <w:sz w:val="22"/>
        </w:rPr>
      </w:pPr>
      <w:r w:rsidRPr="005D6C70">
        <w:rPr>
          <w:rFonts w:ascii="Arial" w:hAnsi="Arial" w:cs="Arial"/>
          <w:sz w:val="22"/>
        </w:rPr>
        <w:t>En este sentido, si bien la norma n</w:t>
      </w:r>
      <w:r w:rsidR="009956B9" w:rsidRPr="005D6C70">
        <w:rPr>
          <w:rFonts w:ascii="Arial" w:hAnsi="Arial" w:cs="Arial"/>
          <w:sz w:val="22"/>
        </w:rPr>
        <w:t xml:space="preserve">o </w:t>
      </w:r>
      <w:r w:rsidR="00DA58FA" w:rsidRPr="005D6C70">
        <w:rPr>
          <w:rFonts w:ascii="Arial" w:hAnsi="Arial" w:cs="Arial"/>
          <w:sz w:val="22"/>
        </w:rPr>
        <w:t xml:space="preserve">dispone qué sucede con la experiencia aportada por los socios, accionistas o constituyentes, </w:t>
      </w:r>
      <w:r w:rsidR="009956B9" w:rsidRPr="005D6C70">
        <w:rPr>
          <w:rFonts w:ascii="Arial" w:hAnsi="Arial" w:cs="Arial"/>
          <w:sz w:val="22"/>
        </w:rPr>
        <w:t xml:space="preserve">después de </w:t>
      </w:r>
      <w:r w:rsidR="00DA58FA" w:rsidRPr="005D6C70">
        <w:rPr>
          <w:rFonts w:ascii="Arial" w:hAnsi="Arial" w:cs="Arial"/>
          <w:sz w:val="22"/>
        </w:rPr>
        <w:t xml:space="preserve">los </w:t>
      </w:r>
      <w:r w:rsidR="009956B9" w:rsidRPr="005D6C70">
        <w:rPr>
          <w:rFonts w:ascii="Arial" w:hAnsi="Arial" w:cs="Arial"/>
          <w:sz w:val="22"/>
        </w:rPr>
        <w:t>3</w:t>
      </w:r>
      <w:r w:rsidRPr="005D6C70">
        <w:rPr>
          <w:rFonts w:ascii="Arial" w:hAnsi="Arial" w:cs="Arial"/>
          <w:sz w:val="22"/>
        </w:rPr>
        <w:t xml:space="preserve"> años de </w:t>
      </w:r>
      <w:r w:rsidR="00DA58FA" w:rsidRPr="005D6C70">
        <w:rPr>
          <w:rFonts w:ascii="Arial" w:hAnsi="Arial" w:cs="Arial"/>
          <w:sz w:val="22"/>
        </w:rPr>
        <w:t>constituida la persona jurídica, para esta Subdirección sigue siendo válida</w:t>
      </w:r>
      <w:r w:rsidR="009B3787" w:rsidRPr="005D6C70">
        <w:rPr>
          <w:rFonts w:ascii="Arial" w:hAnsi="Arial" w:cs="Arial"/>
          <w:sz w:val="22"/>
        </w:rPr>
        <w:t>, por lo que</w:t>
      </w:r>
      <w:r w:rsidRPr="005D6C70">
        <w:rPr>
          <w:rFonts w:ascii="Arial" w:hAnsi="Arial" w:cs="Arial"/>
          <w:sz w:val="22"/>
        </w:rPr>
        <w:t xml:space="preserve"> la entidad </w:t>
      </w:r>
      <w:r w:rsidR="009B3787" w:rsidRPr="005D6C70">
        <w:rPr>
          <w:rFonts w:ascii="Arial" w:hAnsi="Arial" w:cs="Arial"/>
          <w:sz w:val="22"/>
        </w:rPr>
        <w:t>la debe tener en cuenta;</w:t>
      </w:r>
      <w:r w:rsidRPr="005D6C70">
        <w:rPr>
          <w:rFonts w:ascii="Arial" w:hAnsi="Arial" w:cs="Arial"/>
          <w:sz w:val="22"/>
        </w:rPr>
        <w:t xml:space="preserve"> de esta forma se garantiza la pluralidad de oferentes en</w:t>
      </w:r>
      <w:r w:rsidR="00D37C5A" w:rsidRPr="005D6C70">
        <w:rPr>
          <w:rFonts w:ascii="Arial" w:hAnsi="Arial" w:cs="Arial"/>
          <w:sz w:val="22"/>
        </w:rPr>
        <w:t xml:space="preserve"> los procesos de contratación. </w:t>
      </w:r>
    </w:p>
    <w:p w14:paraId="18910B63" w14:textId="77777777" w:rsidR="005A0AF8" w:rsidRPr="005D6C70" w:rsidRDefault="004553EE" w:rsidP="002069BE">
      <w:pPr>
        <w:spacing w:before="120" w:after="120" w:line="276" w:lineRule="auto"/>
        <w:ind w:firstLine="708"/>
        <w:jc w:val="both"/>
        <w:rPr>
          <w:rFonts w:ascii="Arial" w:hAnsi="Arial" w:cs="Arial"/>
          <w:sz w:val="22"/>
        </w:rPr>
      </w:pPr>
      <w:r w:rsidRPr="005D6C70">
        <w:rPr>
          <w:rFonts w:ascii="Arial" w:hAnsi="Arial" w:cs="Arial"/>
          <w:sz w:val="22"/>
        </w:rPr>
        <w:t>En línea con lo anterior, el numeral 2.5. del artículo 2.2.1.1.1.5.2. del De</w:t>
      </w:r>
      <w:r w:rsidR="00D37C5A" w:rsidRPr="005D6C70">
        <w:rPr>
          <w:rFonts w:ascii="Arial" w:hAnsi="Arial" w:cs="Arial"/>
          <w:sz w:val="22"/>
        </w:rPr>
        <w:t xml:space="preserve">creto 1082 de 2015 </w:t>
      </w:r>
      <w:r w:rsidR="005653CB" w:rsidRPr="005D6C70">
        <w:rPr>
          <w:rFonts w:ascii="Arial" w:hAnsi="Arial" w:cs="Arial"/>
          <w:sz w:val="22"/>
        </w:rPr>
        <w:t>consagra, como se dijo, una prerrogativa para las sociedades nuevas, que busca fomentar la competencia de las mismas en el campo de la contrataci</w:t>
      </w:r>
      <w:r w:rsidR="00D37C5A" w:rsidRPr="005D6C70">
        <w:rPr>
          <w:rFonts w:ascii="Arial" w:hAnsi="Arial" w:cs="Arial"/>
          <w:sz w:val="22"/>
        </w:rPr>
        <w:t xml:space="preserve">ón estatal, </w:t>
      </w:r>
      <w:r w:rsidR="00DA58FA" w:rsidRPr="005D6C70">
        <w:rPr>
          <w:rFonts w:ascii="Arial" w:hAnsi="Arial" w:cs="Arial"/>
          <w:sz w:val="22"/>
        </w:rPr>
        <w:t xml:space="preserve">sin establecer limitantes </w:t>
      </w:r>
      <w:r w:rsidR="002069BE" w:rsidRPr="005D6C70">
        <w:rPr>
          <w:rFonts w:ascii="Arial" w:hAnsi="Arial" w:cs="Arial"/>
          <w:sz w:val="22"/>
        </w:rPr>
        <w:t>en relación con las entidades o procesos de contratación en los que</w:t>
      </w:r>
      <w:r w:rsidR="00D37C5A" w:rsidRPr="005D6C70">
        <w:rPr>
          <w:rFonts w:ascii="Arial" w:hAnsi="Arial" w:cs="Arial"/>
          <w:sz w:val="22"/>
        </w:rPr>
        <w:t xml:space="preserve"> las personas jurídicas con menos de 3 años</w:t>
      </w:r>
      <w:r w:rsidR="009B3787" w:rsidRPr="005D6C70">
        <w:rPr>
          <w:rFonts w:ascii="Arial" w:hAnsi="Arial" w:cs="Arial"/>
          <w:sz w:val="22"/>
        </w:rPr>
        <w:t xml:space="preserve"> de constitución</w:t>
      </w:r>
      <w:r w:rsidR="002069BE" w:rsidRPr="005D6C70">
        <w:rPr>
          <w:rFonts w:ascii="Arial" w:hAnsi="Arial" w:cs="Arial"/>
          <w:sz w:val="22"/>
        </w:rPr>
        <w:t xml:space="preserve"> pueden acreditar la experiencia transferida por sus socios en virtud de la referida prerrogativa. </w:t>
      </w:r>
    </w:p>
    <w:p w14:paraId="482FB316" w14:textId="7A2776B8" w:rsidR="00037F54" w:rsidRPr="005D6C70" w:rsidRDefault="005A0AF8" w:rsidP="005A0AF8">
      <w:pPr>
        <w:spacing w:before="120" w:after="120" w:line="276" w:lineRule="auto"/>
        <w:ind w:firstLine="708"/>
        <w:jc w:val="both"/>
        <w:rPr>
          <w:rFonts w:ascii="Arial" w:hAnsi="Arial" w:cs="Arial"/>
          <w:sz w:val="22"/>
        </w:rPr>
      </w:pPr>
      <w:r w:rsidRPr="005D6C70">
        <w:rPr>
          <w:rFonts w:ascii="Arial" w:hAnsi="Arial" w:cs="Arial"/>
          <w:sz w:val="22"/>
        </w:rPr>
        <w:t>Por tanto, en atención al principio general de interpretación según el cual donde el legislador no distingue no le es dado hacerlo al interprete,</w:t>
      </w:r>
      <w:r w:rsidR="002069BE" w:rsidRPr="005D6C70">
        <w:rPr>
          <w:rFonts w:ascii="Arial" w:hAnsi="Arial" w:cs="Arial"/>
          <w:sz w:val="22"/>
        </w:rPr>
        <w:t xml:space="preserve"> el hecho de que una sociedad con menos de 3 años de constitución haya hecho uso de la referida prerrogativa</w:t>
      </w:r>
      <w:r w:rsidRPr="005D6C70">
        <w:rPr>
          <w:rFonts w:ascii="Arial" w:hAnsi="Arial" w:cs="Arial"/>
          <w:sz w:val="22"/>
        </w:rPr>
        <w:t xml:space="preserve">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10C3568E" w14:textId="77777777" w:rsidR="00385FB2" w:rsidRPr="005D6C70" w:rsidRDefault="00385FB2" w:rsidP="00385FB2">
      <w:pPr>
        <w:spacing w:line="276" w:lineRule="auto"/>
        <w:ind w:firstLine="709"/>
        <w:jc w:val="both"/>
        <w:rPr>
          <w:rFonts w:ascii="Arial" w:hAnsi="Arial" w:cs="Arial"/>
          <w:sz w:val="22"/>
        </w:rPr>
      </w:pPr>
    </w:p>
    <w:p w14:paraId="43453DE1" w14:textId="09CE2046" w:rsidR="00F16966" w:rsidRPr="005D6C70" w:rsidRDefault="00F972B1" w:rsidP="005622C5">
      <w:pPr>
        <w:spacing w:line="276" w:lineRule="auto"/>
        <w:jc w:val="both"/>
        <w:rPr>
          <w:rFonts w:ascii="Arial" w:hAnsi="Arial" w:cs="Arial"/>
          <w:b/>
          <w:sz w:val="22"/>
        </w:rPr>
      </w:pPr>
      <w:r w:rsidRPr="005D6C70">
        <w:rPr>
          <w:rFonts w:ascii="Arial" w:hAnsi="Arial" w:cs="Arial"/>
          <w:b/>
          <w:sz w:val="22"/>
        </w:rPr>
        <w:t>3. Respuestas</w:t>
      </w:r>
    </w:p>
    <w:p w14:paraId="43B8E12A" w14:textId="77777777" w:rsidR="00385FB2" w:rsidRPr="005D6C70" w:rsidRDefault="00385FB2" w:rsidP="00385FB2">
      <w:pPr>
        <w:spacing w:line="276" w:lineRule="auto"/>
        <w:ind w:firstLine="709"/>
        <w:jc w:val="both"/>
        <w:rPr>
          <w:rFonts w:ascii="Arial" w:hAnsi="Arial" w:cs="Arial"/>
          <w:b/>
          <w:sz w:val="22"/>
        </w:rPr>
      </w:pPr>
    </w:p>
    <w:p w14:paraId="6740ABC6" w14:textId="1D4EAA5A" w:rsidR="005A0AF8" w:rsidRPr="005D6C70" w:rsidRDefault="004C0C61" w:rsidP="005622C5">
      <w:pPr>
        <w:ind w:left="709" w:right="709"/>
        <w:jc w:val="both"/>
        <w:rPr>
          <w:rFonts w:ascii="Arial" w:eastAsia="Calibri" w:hAnsi="Arial" w:cs="Arial"/>
          <w:sz w:val="21"/>
          <w:szCs w:val="21"/>
        </w:rPr>
      </w:pPr>
      <w:proofErr w:type="gramStart"/>
      <w:r w:rsidRPr="005D6C70">
        <w:rPr>
          <w:rFonts w:ascii="Arial" w:eastAsia="Calibri" w:hAnsi="Arial" w:cs="Arial"/>
          <w:sz w:val="21"/>
          <w:szCs w:val="21"/>
        </w:rPr>
        <w:t>¿</w:t>
      </w:r>
      <w:r w:rsidR="00F81EA2">
        <w:rPr>
          <w:rFonts w:ascii="Arial" w:eastAsia="Calibri" w:hAnsi="Arial" w:cs="Arial"/>
          <w:sz w:val="21"/>
          <w:szCs w:val="21"/>
        </w:rPr>
        <w:t>E</w:t>
      </w:r>
      <w:r w:rsidRPr="005D6C70">
        <w:rPr>
          <w:rFonts w:ascii="Arial" w:eastAsia="Calibri" w:hAnsi="Arial" w:cs="Arial"/>
          <w:sz w:val="21"/>
          <w:szCs w:val="21"/>
        </w:rPr>
        <w:t>s posible que una sociedad siga acreditando la experiencia de sus accionistas en uso de la prerrogativa establecida en el numeral 2.</w:t>
      </w:r>
      <w:proofErr w:type="gramEnd"/>
      <w:r w:rsidRPr="005D6C70">
        <w:rPr>
          <w:rFonts w:ascii="Arial" w:eastAsia="Calibri" w:hAnsi="Arial" w:cs="Arial"/>
          <w:sz w:val="21"/>
          <w:szCs w:val="21"/>
        </w:rPr>
        <w:t>5 del 2.2.1.1.1.5.2 del Decreto 1082 de 2015, aun después de trascurridos tres años desde su constitución?</w:t>
      </w:r>
    </w:p>
    <w:p w14:paraId="5D30EC39" w14:textId="77777777" w:rsidR="004C0C61" w:rsidRPr="005D6C70" w:rsidRDefault="004C0C61" w:rsidP="00385FB2">
      <w:pPr>
        <w:spacing w:line="276" w:lineRule="auto"/>
        <w:ind w:left="709" w:right="709"/>
        <w:jc w:val="both"/>
        <w:rPr>
          <w:rFonts w:ascii="Arial" w:eastAsia="Calibri" w:hAnsi="Arial" w:cs="Arial"/>
          <w:sz w:val="22"/>
        </w:rPr>
      </w:pPr>
    </w:p>
    <w:p w14:paraId="397039B5" w14:textId="68D0D884" w:rsidR="005A0AF8" w:rsidRPr="005D6C70" w:rsidRDefault="005A0AF8" w:rsidP="005A0AF8">
      <w:pPr>
        <w:spacing w:after="120" w:line="276" w:lineRule="auto"/>
        <w:jc w:val="both"/>
        <w:rPr>
          <w:rFonts w:ascii="Arial" w:eastAsia="Calibri" w:hAnsi="Arial" w:cs="Arial"/>
          <w:sz w:val="22"/>
        </w:rPr>
      </w:pPr>
      <w:r w:rsidRPr="005D6C70">
        <w:rPr>
          <w:rFonts w:ascii="Arial" w:eastAsia="Calibri" w:hAnsi="Arial" w:cs="Arial"/>
          <w:sz w:val="22"/>
        </w:rPr>
        <w:lastRenderedPageBreak/>
        <w:t>De conformidad con la posición adoptada por la Agencia Nacional de Contratación Pública – Colombia Compra Eficiente a partir del concepto con radicado No. 4201913000006797 del 19 de noviembre de 2019, es posible que las sociedades de reciente creación que</w:t>
      </w:r>
      <w:r w:rsidR="006644AF">
        <w:rPr>
          <w:rFonts w:ascii="Arial" w:eastAsia="Calibri" w:hAnsi="Arial" w:cs="Arial"/>
          <w:sz w:val="22"/>
        </w:rPr>
        <w:t>,</w:t>
      </w:r>
      <w:r w:rsidRPr="005D6C70">
        <w:rPr>
          <w:rFonts w:ascii="Arial" w:eastAsia="Calibri" w:hAnsi="Arial" w:cs="Arial"/>
          <w:sz w:val="22"/>
        </w:rPr>
        <w:t xml:space="preserve"> en aplicación del beneficio establecido en el numeral 2.5 del artículo 2.2.1.1.1.5.2 del Decreto 1082 de 2015, hayan </w:t>
      </w:r>
      <w:r w:rsidR="006644AF">
        <w:rPr>
          <w:rFonts w:ascii="Arial" w:eastAsia="Calibri" w:hAnsi="Arial" w:cs="Arial"/>
          <w:sz w:val="22"/>
        </w:rPr>
        <w:t>inscrito</w:t>
      </w:r>
      <w:r w:rsidR="006644AF" w:rsidRPr="005D6C70">
        <w:rPr>
          <w:rFonts w:ascii="Arial" w:eastAsia="Calibri" w:hAnsi="Arial" w:cs="Arial"/>
          <w:sz w:val="22"/>
        </w:rPr>
        <w:t xml:space="preserve"> </w:t>
      </w:r>
      <w:r w:rsidRPr="005D6C70">
        <w:rPr>
          <w:rFonts w:ascii="Arial" w:eastAsia="Calibri" w:hAnsi="Arial" w:cs="Arial"/>
          <w:sz w:val="22"/>
        </w:rPr>
        <w:t>la experiencia de sus socios o accionistas</w:t>
      </w:r>
      <w:r w:rsidR="006644AF">
        <w:rPr>
          <w:rFonts w:ascii="Arial" w:eastAsia="Calibri" w:hAnsi="Arial" w:cs="Arial"/>
          <w:sz w:val="22"/>
        </w:rPr>
        <w:t xml:space="preserve"> en el RUP</w:t>
      </w:r>
      <w:r w:rsidRPr="005D6C70">
        <w:rPr>
          <w:rFonts w:ascii="Arial" w:eastAsia="Calibri" w:hAnsi="Arial" w:cs="Arial"/>
          <w:sz w:val="22"/>
        </w:rPr>
        <w:t xml:space="preserve">, puedan seguir </w:t>
      </w:r>
      <w:r w:rsidR="006644AF">
        <w:rPr>
          <w:rFonts w:ascii="Arial" w:eastAsia="Calibri" w:hAnsi="Arial" w:cs="Arial"/>
          <w:sz w:val="22"/>
        </w:rPr>
        <w:t>acreditando dicha experiencia en los procedimientos de selección</w:t>
      </w:r>
      <w:r w:rsidRPr="005D6C70">
        <w:rPr>
          <w:rFonts w:ascii="Arial" w:eastAsia="Calibri" w:hAnsi="Arial" w:cs="Arial"/>
          <w:sz w:val="22"/>
        </w:rPr>
        <w:t>, aun después de cumplidos los 3 años de constitución, siempre que no hayan cesado los efectos del RUP por el incumplimiento del deber de renovación.</w:t>
      </w:r>
    </w:p>
    <w:p w14:paraId="2B476883" w14:textId="77777777" w:rsidR="005558EA" w:rsidRPr="005D6C70" w:rsidRDefault="005558EA" w:rsidP="005558EA">
      <w:pPr>
        <w:spacing w:line="276" w:lineRule="auto"/>
        <w:ind w:firstLine="708"/>
        <w:jc w:val="both"/>
        <w:rPr>
          <w:rFonts w:ascii="Arial" w:hAnsi="Arial" w:cs="Arial"/>
          <w:sz w:val="22"/>
        </w:rPr>
      </w:pPr>
    </w:p>
    <w:p w14:paraId="0F8C901F" w14:textId="49B4DFF6" w:rsidR="00A37FB6" w:rsidRPr="005D6C70" w:rsidRDefault="004A21FA" w:rsidP="00385FB2">
      <w:pPr>
        <w:spacing w:before="120" w:after="120" w:line="276" w:lineRule="auto"/>
        <w:jc w:val="both"/>
        <w:rPr>
          <w:rFonts w:ascii="Arial" w:eastAsia="Calibri" w:hAnsi="Arial" w:cs="Arial"/>
          <w:sz w:val="22"/>
        </w:rPr>
      </w:pPr>
      <w:r w:rsidRPr="005D6C70">
        <w:rPr>
          <w:rFonts w:ascii="Arial" w:eastAsia="Calibri" w:hAnsi="Arial" w:cs="Arial"/>
          <w:sz w:val="22"/>
        </w:rPr>
        <w:t xml:space="preserve">Este </w:t>
      </w:r>
      <w:r w:rsidR="00A37FB6" w:rsidRPr="005D6C70">
        <w:rPr>
          <w:rFonts w:ascii="Arial" w:eastAsia="Calibri" w:hAnsi="Arial" w:cs="Arial"/>
          <w:sz w:val="22"/>
        </w:rPr>
        <w:t>concepto tiene el alcance previsto en el artículo 28 del Código de Procedimiento Administrativo y de lo Contencioso Administrativo.</w:t>
      </w:r>
      <w:r w:rsidR="00A37FB6" w:rsidRPr="005D6C70">
        <w:rPr>
          <w:rFonts w:ascii="Arial" w:hAnsi="Arial" w:cs="Arial"/>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E4DEF64"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5C941E68" w:rsidR="00A37FB6" w:rsidRPr="005D6C70" w:rsidRDefault="00A37FB6" w:rsidP="004A02BA">
      <w:pPr>
        <w:spacing w:line="276" w:lineRule="auto"/>
        <w:rPr>
          <w:rFonts w:ascii="Arial" w:eastAsia="Times New Roman" w:hAnsi="Arial" w:cs="Arial"/>
          <w:sz w:val="22"/>
          <w:lang w:eastAsia="es-CO"/>
        </w:rPr>
      </w:pPr>
      <w:r w:rsidRPr="005D6C70">
        <w:rPr>
          <w:rFonts w:ascii="Arial" w:eastAsia="Times New Roman" w:hAnsi="Arial" w:cs="Arial"/>
          <w:sz w:val="22"/>
          <w:lang w:eastAsia="es-CO"/>
        </w:rPr>
        <w:t>Atentamente</w:t>
      </w:r>
      <w:r w:rsidR="00385FB2" w:rsidRPr="005D6C70">
        <w:rPr>
          <w:rFonts w:ascii="Arial" w:eastAsia="Times New Roman" w:hAnsi="Arial" w:cs="Arial"/>
          <w:sz w:val="22"/>
          <w:lang w:eastAsia="es-CO"/>
        </w:rPr>
        <w:t>,</w:t>
      </w:r>
    </w:p>
    <w:p w14:paraId="57DD1EBD" w14:textId="3861CAC6" w:rsidR="00746E08" w:rsidRDefault="00CE19E9" w:rsidP="00344643">
      <w:pPr>
        <w:spacing w:line="276" w:lineRule="auto"/>
        <w:jc w:val="center"/>
        <w:rPr>
          <w:rFonts w:ascii="Arial" w:eastAsia="Times New Roman" w:hAnsi="Arial" w:cs="Arial"/>
          <w:sz w:val="18"/>
          <w:szCs w:val="20"/>
          <w:lang w:eastAsia="es-CO"/>
        </w:rPr>
      </w:pPr>
      <w:r>
        <w:rPr>
          <w:noProof/>
        </w:rPr>
        <w:drawing>
          <wp:inline distT="0" distB="0" distL="0" distR="0" wp14:anchorId="158B33B6" wp14:editId="184B90EE">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AACD963" w14:textId="77777777" w:rsidR="00CE19E9" w:rsidRPr="005D6C70" w:rsidRDefault="00CE19E9" w:rsidP="00344643">
      <w:pPr>
        <w:spacing w:line="276" w:lineRule="auto"/>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D6C70" w:rsidRPr="005D6C70" w14:paraId="469202AF" w14:textId="77777777" w:rsidTr="006B6454">
        <w:trPr>
          <w:trHeight w:val="315"/>
        </w:trPr>
        <w:tc>
          <w:tcPr>
            <w:tcW w:w="812" w:type="dxa"/>
            <w:vAlign w:val="center"/>
            <w:hideMark/>
          </w:tcPr>
          <w:p w14:paraId="3F62A0B3" w14:textId="77777777" w:rsidR="00746E08" w:rsidRPr="005D6C70" w:rsidRDefault="00746E08">
            <w:pPr>
              <w:rPr>
                <w:rFonts w:ascii="Arial" w:eastAsia="Times New Roman" w:hAnsi="Arial" w:cs="Arial"/>
                <w:sz w:val="16"/>
                <w:szCs w:val="16"/>
                <w:lang w:eastAsia="es-ES"/>
              </w:rPr>
            </w:pPr>
            <w:r w:rsidRPr="005D6C70">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0F9EEAB3" w:rsidR="00746E08" w:rsidRPr="005D6C70" w:rsidRDefault="005A0AF8">
            <w:pPr>
              <w:rPr>
                <w:rFonts w:ascii="Arial" w:eastAsia="Times New Roman" w:hAnsi="Arial" w:cs="Arial"/>
                <w:sz w:val="16"/>
                <w:szCs w:val="16"/>
                <w:lang w:eastAsia="es-ES"/>
              </w:rPr>
            </w:pPr>
            <w:r w:rsidRPr="005D6C70">
              <w:rPr>
                <w:rFonts w:ascii="Arial" w:eastAsia="Times New Roman" w:hAnsi="Arial" w:cs="Arial"/>
                <w:sz w:val="16"/>
                <w:szCs w:val="16"/>
                <w:lang w:eastAsia="es-ES"/>
              </w:rPr>
              <w:t>Alejandro Sarmiento Cantillo</w:t>
            </w:r>
          </w:p>
          <w:p w14:paraId="51C325E7" w14:textId="77A96E11" w:rsidR="00746E08" w:rsidRPr="005D6C70" w:rsidRDefault="006B6454">
            <w:pPr>
              <w:rPr>
                <w:rFonts w:ascii="Arial" w:eastAsia="Times New Roman" w:hAnsi="Arial" w:cs="Arial"/>
                <w:sz w:val="16"/>
                <w:szCs w:val="16"/>
                <w:lang w:eastAsia="es-ES"/>
              </w:rPr>
            </w:pPr>
            <w:r w:rsidRPr="005D6C70">
              <w:rPr>
                <w:rFonts w:ascii="Arial" w:eastAsia="Times New Roman" w:hAnsi="Arial" w:cs="Arial"/>
                <w:sz w:val="16"/>
                <w:szCs w:val="16"/>
                <w:lang w:eastAsia="es-ES"/>
              </w:rPr>
              <w:t xml:space="preserve">Contratista </w:t>
            </w:r>
            <w:r w:rsidR="005A0AF8" w:rsidRPr="005D6C70">
              <w:rPr>
                <w:rFonts w:ascii="Arial" w:eastAsia="Times New Roman" w:hAnsi="Arial" w:cs="Arial"/>
                <w:sz w:val="16"/>
                <w:szCs w:val="16"/>
                <w:lang w:eastAsia="es-ES"/>
              </w:rPr>
              <w:t xml:space="preserve">- </w:t>
            </w:r>
            <w:r w:rsidRPr="005D6C70">
              <w:rPr>
                <w:rFonts w:ascii="Arial" w:eastAsia="Times New Roman" w:hAnsi="Arial" w:cs="Arial"/>
                <w:sz w:val="16"/>
                <w:szCs w:val="16"/>
                <w:lang w:eastAsia="es-ES"/>
              </w:rPr>
              <w:t xml:space="preserve">Subdirección de Gestión Contractual </w:t>
            </w:r>
          </w:p>
        </w:tc>
      </w:tr>
      <w:tr w:rsidR="005D6C70" w:rsidRPr="005D6C70" w14:paraId="10BC78E8" w14:textId="77777777" w:rsidTr="006B6454">
        <w:trPr>
          <w:trHeight w:val="330"/>
        </w:trPr>
        <w:tc>
          <w:tcPr>
            <w:tcW w:w="812" w:type="dxa"/>
            <w:vAlign w:val="center"/>
            <w:hideMark/>
          </w:tcPr>
          <w:p w14:paraId="6A7DBF66" w14:textId="77777777" w:rsidR="00746E08" w:rsidRPr="005D6C70" w:rsidRDefault="00746E08">
            <w:pPr>
              <w:rPr>
                <w:rFonts w:ascii="Arial" w:eastAsia="Times New Roman" w:hAnsi="Arial" w:cs="Arial"/>
                <w:sz w:val="16"/>
                <w:szCs w:val="16"/>
                <w:lang w:eastAsia="es-ES"/>
              </w:rPr>
            </w:pPr>
            <w:r w:rsidRPr="005D6C70">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2F0F221C" w:rsidR="00746E08" w:rsidRPr="005D6C70" w:rsidRDefault="00F81EA2" w:rsidP="00746E08">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9E8BD8D" w14:textId="77777777" w:rsidR="00746E08" w:rsidRPr="005D6C70" w:rsidRDefault="00D0338C">
            <w:pPr>
              <w:rPr>
                <w:rFonts w:ascii="Arial" w:eastAsia="Times New Roman" w:hAnsi="Arial" w:cs="Arial"/>
                <w:sz w:val="16"/>
                <w:szCs w:val="16"/>
                <w:lang w:eastAsia="es-ES"/>
              </w:rPr>
            </w:pPr>
            <w:r w:rsidRPr="005D6C70">
              <w:rPr>
                <w:rFonts w:ascii="Arial" w:eastAsia="Times New Roman" w:hAnsi="Arial" w:cs="Arial"/>
                <w:sz w:val="16"/>
                <w:szCs w:val="16"/>
                <w:lang w:eastAsia="es-ES"/>
              </w:rPr>
              <w:t xml:space="preserve">Contratista </w:t>
            </w:r>
            <w:r w:rsidR="005A0AF8" w:rsidRPr="005D6C70">
              <w:rPr>
                <w:rFonts w:ascii="Arial" w:eastAsia="Times New Roman" w:hAnsi="Arial" w:cs="Arial"/>
                <w:sz w:val="16"/>
                <w:szCs w:val="16"/>
                <w:lang w:eastAsia="es-ES"/>
              </w:rPr>
              <w:t xml:space="preserve">- </w:t>
            </w:r>
            <w:r w:rsidRPr="005D6C70">
              <w:rPr>
                <w:rFonts w:ascii="Arial" w:eastAsia="Times New Roman" w:hAnsi="Arial" w:cs="Arial"/>
                <w:sz w:val="16"/>
                <w:szCs w:val="16"/>
                <w:lang w:eastAsia="es-ES"/>
              </w:rPr>
              <w:t xml:space="preserve">Subdirección </w:t>
            </w:r>
            <w:r w:rsidR="00746E08" w:rsidRPr="005D6C70">
              <w:rPr>
                <w:rFonts w:ascii="Arial" w:eastAsia="Times New Roman" w:hAnsi="Arial" w:cs="Arial"/>
                <w:sz w:val="16"/>
                <w:szCs w:val="16"/>
                <w:lang w:eastAsia="es-ES"/>
              </w:rPr>
              <w:t>de Gestión Contractual</w:t>
            </w:r>
          </w:p>
        </w:tc>
      </w:tr>
      <w:tr w:rsidR="005D6C70" w:rsidRPr="005D6C70" w14:paraId="50741B38" w14:textId="77777777" w:rsidTr="006B6454">
        <w:trPr>
          <w:trHeight w:val="300"/>
        </w:trPr>
        <w:tc>
          <w:tcPr>
            <w:tcW w:w="812" w:type="dxa"/>
            <w:vAlign w:val="center"/>
            <w:hideMark/>
          </w:tcPr>
          <w:p w14:paraId="297715FA" w14:textId="77777777" w:rsidR="00746E08" w:rsidRPr="005D6C70" w:rsidRDefault="00746E08">
            <w:pPr>
              <w:rPr>
                <w:rFonts w:ascii="Arial" w:eastAsia="Times New Roman" w:hAnsi="Arial" w:cs="Arial"/>
                <w:sz w:val="16"/>
                <w:szCs w:val="16"/>
                <w:lang w:eastAsia="es-ES"/>
              </w:rPr>
            </w:pPr>
            <w:r w:rsidRPr="005D6C70">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5D6C70" w:rsidRDefault="00746E08" w:rsidP="00746E08">
            <w:pPr>
              <w:rPr>
                <w:rFonts w:ascii="Arial" w:eastAsia="Times New Roman" w:hAnsi="Arial" w:cs="Arial"/>
                <w:sz w:val="16"/>
                <w:szCs w:val="16"/>
                <w:lang w:eastAsia="es-ES"/>
              </w:rPr>
            </w:pPr>
            <w:r w:rsidRPr="005D6C70">
              <w:rPr>
                <w:rFonts w:ascii="Arial" w:eastAsia="Times New Roman" w:hAnsi="Arial" w:cs="Arial"/>
                <w:sz w:val="16"/>
                <w:szCs w:val="16"/>
                <w:lang w:eastAsia="es-ES"/>
              </w:rPr>
              <w:t>Fabián Gonzalo Marín Cortés</w:t>
            </w:r>
          </w:p>
          <w:p w14:paraId="708FD876" w14:textId="77777777" w:rsidR="00746E08" w:rsidRPr="005D6C70" w:rsidRDefault="00746E08">
            <w:pPr>
              <w:rPr>
                <w:rFonts w:ascii="Arial" w:eastAsia="Times New Roman" w:hAnsi="Arial" w:cs="Arial"/>
                <w:sz w:val="16"/>
                <w:szCs w:val="16"/>
                <w:lang w:eastAsia="es-ES"/>
              </w:rPr>
            </w:pPr>
            <w:r w:rsidRPr="005D6C70">
              <w:rPr>
                <w:rFonts w:ascii="Arial" w:eastAsia="Times New Roman" w:hAnsi="Arial" w:cs="Arial"/>
                <w:sz w:val="16"/>
                <w:szCs w:val="16"/>
                <w:lang w:eastAsia="es-ES"/>
              </w:rPr>
              <w:t>Subdirector de Gestión Contractual</w:t>
            </w:r>
          </w:p>
          <w:p w14:paraId="17847B1F" w14:textId="1572CF85" w:rsidR="00E70CD4" w:rsidRPr="005D6C70" w:rsidRDefault="00E70CD4">
            <w:pPr>
              <w:rPr>
                <w:rFonts w:ascii="Arial" w:eastAsia="Times New Roman" w:hAnsi="Arial" w:cs="Arial"/>
                <w:sz w:val="16"/>
                <w:szCs w:val="16"/>
                <w:lang w:eastAsia="es-ES"/>
              </w:rPr>
            </w:pPr>
          </w:p>
        </w:tc>
      </w:tr>
    </w:tbl>
    <w:p w14:paraId="35B56F46" w14:textId="77777777" w:rsidR="00746E08" w:rsidRPr="005D6C70" w:rsidRDefault="00746E08" w:rsidP="00746E08">
      <w:pPr>
        <w:rPr>
          <w:rFonts w:ascii="Arial" w:eastAsia="Times New Roman" w:hAnsi="Arial" w:cs="Arial"/>
          <w:sz w:val="16"/>
          <w:szCs w:val="16"/>
          <w:lang w:eastAsia="es-ES"/>
        </w:rPr>
      </w:pPr>
    </w:p>
    <w:sectPr w:rsidR="00746E08" w:rsidRPr="005D6C7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61C62" w14:textId="77777777" w:rsidR="002C6196" w:rsidRDefault="002C6196">
      <w:r>
        <w:separator/>
      </w:r>
    </w:p>
  </w:endnote>
  <w:endnote w:type="continuationSeparator" w:id="0">
    <w:p w14:paraId="5ED0F1C2" w14:textId="77777777" w:rsidR="002C6196" w:rsidRDefault="002C6196">
      <w:r>
        <w:continuationSeparator/>
      </w:r>
    </w:p>
  </w:endnote>
  <w:endnote w:type="continuationNotice" w:id="1">
    <w:p w14:paraId="3A3851D7" w14:textId="77777777" w:rsidR="002C6196" w:rsidRDefault="002C61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3B12DB3" w:rsidR="008217B7" w:rsidRDefault="008217B7" w:rsidP="00322937">
    <w:pPr>
      <w:pStyle w:val="Sinespaciado"/>
      <w:jc w:val="right"/>
      <w:rPr>
        <w:rFonts w:ascii="Arial" w:hAnsi="Arial" w:cs="Arial"/>
        <w:sz w:val="18"/>
        <w:szCs w:val="18"/>
      </w:rPr>
    </w:pPr>
  </w:p>
  <w:p w14:paraId="2F32EBDE" w14:textId="77777777" w:rsidR="006D742A" w:rsidRDefault="006D742A" w:rsidP="00322937">
    <w:pPr>
      <w:pStyle w:val="Sinespaciado"/>
      <w:jc w:val="right"/>
      <w:rPr>
        <w:rFonts w:ascii="Arial" w:hAnsi="Arial" w:cs="Arial"/>
        <w:sz w:val="18"/>
        <w:szCs w:val="18"/>
      </w:rPr>
    </w:pPr>
  </w:p>
  <w:p w14:paraId="7A3785F3" w14:textId="08E54196"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6269C3">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6269C3">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1DC575" w14:textId="77777777" w:rsidR="002C6196" w:rsidRDefault="002C6196">
      <w:r>
        <w:separator/>
      </w:r>
    </w:p>
  </w:footnote>
  <w:footnote w:type="continuationSeparator" w:id="0">
    <w:p w14:paraId="1D62B089" w14:textId="77777777" w:rsidR="002C6196" w:rsidRDefault="002C6196">
      <w:r>
        <w:continuationSeparator/>
      </w:r>
    </w:p>
  </w:footnote>
  <w:footnote w:type="continuationNotice" w:id="1">
    <w:p w14:paraId="26EBD84E" w14:textId="77777777" w:rsidR="002C6196" w:rsidRDefault="002C6196"/>
  </w:footnote>
  <w:footnote w:id="2">
    <w:p w14:paraId="3DCF286B" w14:textId="77777777" w:rsidR="009B3787" w:rsidRPr="004F3C32" w:rsidRDefault="009B3787" w:rsidP="009B3787">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4E5DD2" w14:textId="77777777" w:rsidR="009B3787" w:rsidRPr="004F3C32" w:rsidRDefault="009B3787" w:rsidP="009B3787">
      <w:pPr>
        <w:pStyle w:val="Textonotapie"/>
        <w:ind w:firstLine="708"/>
        <w:jc w:val="both"/>
        <w:rPr>
          <w:rFonts w:ascii="Arial" w:hAnsi="Arial" w:cs="Arial"/>
          <w:sz w:val="19"/>
          <w:szCs w:val="19"/>
        </w:rPr>
      </w:pPr>
      <w:r w:rsidRPr="004F3C32">
        <w:rPr>
          <w:rFonts w:ascii="Arial" w:hAnsi="Arial" w:cs="Arial"/>
          <w:sz w:val="19"/>
          <w:szCs w:val="19"/>
        </w:rPr>
        <w:t>[…]</w:t>
      </w:r>
    </w:p>
    <w:p w14:paraId="0C723009" w14:textId="77777777" w:rsidR="009B3787" w:rsidRPr="004F3C32" w:rsidRDefault="009B3787" w:rsidP="009B3787">
      <w:pPr>
        <w:pStyle w:val="Textonotapie"/>
        <w:ind w:firstLine="708"/>
        <w:jc w:val="both"/>
        <w:rPr>
          <w:rFonts w:ascii="Arial" w:hAnsi="Arial" w:cs="Arial"/>
          <w:sz w:val="19"/>
          <w:szCs w:val="19"/>
        </w:rPr>
      </w:pPr>
      <w:r w:rsidRPr="004F3C32">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4F3C32">
        <w:rPr>
          <w:rFonts w:ascii="Arial" w:hAnsi="Arial" w:cs="Arial"/>
          <w:sz w:val="19"/>
          <w:szCs w:val="19"/>
        </w:rPr>
        <w:t>»</w:t>
      </w:r>
      <w:r w:rsidRPr="004F3C32">
        <w:rPr>
          <w:rFonts w:ascii="Arial" w:hAnsi="Arial" w:cs="Arial"/>
          <w:color w:val="333333"/>
          <w:sz w:val="19"/>
          <w:szCs w:val="19"/>
          <w:shd w:val="clear" w:color="auto" w:fill="FFFFFF"/>
        </w:rPr>
        <w:t>.</w:t>
      </w:r>
    </w:p>
    <w:p w14:paraId="13A98E95" w14:textId="77777777" w:rsidR="009B3787" w:rsidRPr="004F3C32" w:rsidRDefault="009B3787" w:rsidP="009B3787">
      <w:pPr>
        <w:pStyle w:val="Textonotapie"/>
        <w:ind w:firstLine="708"/>
        <w:jc w:val="both"/>
        <w:rPr>
          <w:rFonts w:ascii="Arial" w:hAnsi="Arial" w:cs="Arial"/>
          <w:sz w:val="19"/>
          <w:szCs w:val="19"/>
          <w:lang w:val="es-CO"/>
        </w:rPr>
      </w:pPr>
    </w:p>
  </w:footnote>
  <w:footnote w:id="3">
    <w:p w14:paraId="127C915B" w14:textId="66556BD6" w:rsidR="007478F8" w:rsidRPr="004F3C32" w:rsidRDefault="007478F8" w:rsidP="004F3C32">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E10136" w14:textId="77777777" w:rsidR="007478F8" w:rsidRPr="004F3C32" w:rsidRDefault="007478F8" w:rsidP="004F3C32">
      <w:pPr>
        <w:pStyle w:val="Textonotapie"/>
        <w:ind w:firstLine="708"/>
        <w:jc w:val="both"/>
        <w:rPr>
          <w:rFonts w:ascii="Arial" w:hAnsi="Arial" w:cs="Arial"/>
          <w:sz w:val="19"/>
          <w:szCs w:val="19"/>
        </w:rPr>
      </w:pPr>
      <w:r w:rsidRPr="004F3C32">
        <w:rPr>
          <w:rFonts w:ascii="Arial" w:hAnsi="Arial" w:cs="Arial"/>
          <w:sz w:val="19"/>
          <w:szCs w:val="19"/>
        </w:rPr>
        <w:t>[…]</w:t>
      </w:r>
    </w:p>
    <w:p w14:paraId="05F85474" w14:textId="40931B9A" w:rsidR="007478F8" w:rsidRPr="009B3787" w:rsidRDefault="007478F8" w:rsidP="009B3787">
      <w:pPr>
        <w:pStyle w:val="Textonotapie"/>
        <w:ind w:firstLine="708"/>
        <w:jc w:val="both"/>
        <w:rPr>
          <w:rFonts w:ascii="Arial" w:hAnsi="Arial" w:cs="Arial"/>
          <w:color w:val="333333"/>
          <w:sz w:val="19"/>
          <w:szCs w:val="19"/>
          <w:shd w:val="clear" w:color="auto" w:fill="FFFFFF"/>
        </w:rPr>
      </w:pPr>
      <w:r w:rsidRPr="004F3C32">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F3C32">
        <w:rPr>
          <w:rFonts w:ascii="Arial" w:hAnsi="Arial" w:cs="Arial"/>
          <w:color w:val="333333"/>
          <w:sz w:val="19"/>
          <w:szCs w:val="19"/>
          <w:shd w:val="clear" w:color="auto" w:fill="FFFFFF"/>
        </w:rPr>
        <w:softHyphen/>
        <w:t>ficador de Bienes y Servicios en el tercer nivel. Si la constitución de</w:t>
      </w:r>
      <w:r w:rsidR="009956B9" w:rsidRPr="004F3C32">
        <w:rPr>
          <w:rFonts w:ascii="Arial" w:hAnsi="Arial" w:cs="Arial"/>
          <w:color w:val="333333"/>
          <w:sz w:val="19"/>
          <w:szCs w:val="19"/>
          <w:shd w:val="clear" w:color="auto" w:fill="FFFFFF"/>
        </w:rPr>
        <w:t>l interesado es menor a 3</w:t>
      </w:r>
      <w:r w:rsidRPr="004F3C32">
        <w:rPr>
          <w:rFonts w:ascii="Arial" w:hAnsi="Arial" w:cs="Arial"/>
          <w:color w:val="333333"/>
          <w:sz w:val="19"/>
          <w:szCs w:val="19"/>
          <w:shd w:val="clear" w:color="auto" w:fill="FFFFFF"/>
        </w:rPr>
        <w:t xml:space="preserve"> años, puede acreditar la experiencia de sus accionistas, socios o constituyentes</w:t>
      </w:r>
      <w:r w:rsidRPr="004F3C32">
        <w:rPr>
          <w:rFonts w:ascii="Arial" w:hAnsi="Arial" w:cs="Arial"/>
          <w:sz w:val="19"/>
          <w:szCs w:val="19"/>
        </w:rPr>
        <w:t>».</w:t>
      </w:r>
    </w:p>
    <w:p w14:paraId="09219447" w14:textId="39412030" w:rsidR="007478F8" w:rsidRPr="004F3C32" w:rsidRDefault="007478F8" w:rsidP="004F3C32">
      <w:pPr>
        <w:pStyle w:val="Textonotapie"/>
        <w:ind w:firstLine="708"/>
        <w:jc w:val="both"/>
        <w:rPr>
          <w:rFonts w:ascii="Arial" w:hAnsi="Arial" w:cs="Arial"/>
          <w:sz w:val="19"/>
          <w:szCs w:val="19"/>
          <w:lang w:val="es-CO"/>
        </w:rPr>
      </w:pPr>
    </w:p>
  </w:footnote>
  <w:footnote w:id="4">
    <w:p w14:paraId="1785EC66" w14:textId="77777777" w:rsidR="00CD3FB3" w:rsidRPr="004F3C32" w:rsidRDefault="00CD3FB3" w:rsidP="00CD3FB3">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7F54"/>
    <w:rsid w:val="0007548F"/>
    <w:rsid w:val="00084B97"/>
    <w:rsid w:val="000942EB"/>
    <w:rsid w:val="000949CE"/>
    <w:rsid w:val="000A15FE"/>
    <w:rsid w:val="000B103F"/>
    <w:rsid w:val="000E412E"/>
    <w:rsid w:val="000F14E8"/>
    <w:rsid w:val="001022DA"/>
    <w:rsid w:val="00103915"/>
    <w:rsid w:val="00122B23"/>
    <w:rsid w:val="00126FEF"/>
    <w:rsid w:val="00137FFA"/>
    <w:rsid w:val="00142CD5"/>
    <w:rsid w:val="001543EB"/>
    <w:rsid w:val="00166AB4"/>
    <w:rsid w:val="00174552"/>
    <w:rsid w:val="00195275"/>
    <w:rsid w:val="001B0444"/>
    <w:rsid w:val="00200637"/>
    <w:rsid w:val="0020632A"/>
    <w:rsid w:val="002069BE"/>
    <w:rsid w:val="002110EB"/>
    <w:rsid w:val="00211338"/>
    <w:rsid w:val="00214A13"/>
    <w:rsid w:val="00234B84"/>
    <w:rsid w:val="00247B09"/>
    <w:rsid w:val="00284288"/>
    <w:rsid w:val="00285C4F"/>
    <w:rsid w:val="002A3182"/>
    <w:rsid w:val="002C4C0C"/>
    <w:rsid w:val="002C6196"/>
    <w:rsid w:val="003033BA"/>
    <w:rsid w:val="00322937"/>
    <w:rsid w:val="00325DD3"/>
    <w:rsid w:val="003349CA"/>
    <w:rsid w:val="0034177C"/>
    <w:rsid w:val="00344643"/>
    <w:rsid w:val="0034680A"/>
    <w:rsid w:val="00353DD5"/>
    <w:rsid w:val="00377559"/>
    <w:rsid w:val="00385FB2"/>
    <w:rsid w:val="00386456"/>
    <w:rsid w:val="003A0878"/>
    <w:rsid w:val="003A581E"/>
    <w:rsid w:val="00405D38"/>
    <w:rsid w:val="004141CB"/>
    <w:rsid w:val="00423F9F"/>
    <w:rsid w:val="004422D6"/>
    <w:rsid w:val="004434F7"/>
    <w:rsid w:val="004553EE"/>
    <w:rsid w:val="00463C60"/>
    <w:rsid w:val="004724B8"/>
    <w:rsid w:val="0047388B"/>
    <w:rsid w:val="004867E9"/>
    <w:rsid w:val="00486F92"/>
    <w:rsid w:val="0049241A"/>
    <w:rsid w:val="004A02BA"/>
    <w:rsid w:val="004A21FA"/>
    <w:rsid w:val="004A34D2"/>
    <w:rsid w:val="004C0C61"/>
    <w:rsid w:val="004D0BB7"/>
    <w:rsid w:val="004D5C0D"/>
    <w:rsid w:val="004E0A9F"/>
    <w:rsid w:val="004F3C32"/>
    <w:rsid w:val="00505532"/>
    <w:rsid w:val="0051074C"/>
    <w:rsid w:val="00513AF2"/>
    <w:rsid w:val="00527329"/>
    <w:rsid w:val="0054138E"/>
    <w:rsid w:val="0054413A"/>
    <w:rsid w:val="005515A1"/>
    <w:rsid w:val="005558EA"/>
    <w:rsid w:val="005564CA"/>
    <w:rsid w:val="0056182B"/>
    <w:rsid w:val="005622C5"/>
    <w:rsid w:val="005653CB"/>
    <w:rsid w:val="005756AA"/>
    <w:rsid w:val="00592FA5"/>
    <w:rsid w:val="005A0AF8"/>
    <w:rsid w:val="005B461E"/>
    <w:rsid w:val="005B5081"/>
    <w:rsid w:val="005C0B7B"/>
    <w:rsid w:val="005D3AD7"/>
    <w:rsid w:val="005D51FA"/>
    <w:rsid w:val="005D6C70"/>
    <w:rsid w:val="005D791B"/>
    <w:rsid w:val="005E19E3"/>
    <w:rsid w:val="005F64E5"/>
    <w:rsid w:val="00600D64"/>
    <w:rsid w:val="0060257A"/>
    <w:rsid w:val="00604055"/>
    <w:rsid w:val="00614817"/>
    <w:rsid w:val="00620EA9"/>
    <w:rsid w:val="006269C3"/>
    <w:rsid w:val="00633DBF"/>
    <w:rsid w:val="006456B1"/>
    <w:rsid w:val="00647144"/>
    <w:rsid w:val="00653E29"/>
    <w:rsid w:val="00655371"/>
    <w:rsid w:val="006644AF"/>
    <w:rsid w:val="00697665"/>
    <w:rsid w:val="006A7CB5"/>
    <w:rsid w:val="006A7FD0"/>
    <w:rsid w:val="006B6454"/>
    <w:rsid w:val="006C510F"/>
    <w:rsid w:val="006D742A"/>
    <w:rsid w:val="006D7687"/>
    <w:rsid w:val="006E0572"/>
    <w:rsid w:val="006F359D"/>
    <w:rsid w:val="007030FF"/>
    <w:rsid w:val="00705631"/>
    <w:rsid w:val="00714BEC"/>
    <w:rsid w:val="00715EAA"/>
    <w:rsid w:val="00742DD2"/>
    <w:rsid w:val="00744F72"/>
    <w:rsid w:val="00746E08"/>
    <w:rsid w:val="007478F8"/>
    <w:rsid w:val="00747C96"/>
    <w:rsid w:val="0075094E"/>
    <w:rsid w:val="007522E8"/>
    <w:rsid w:val="0075647A"/>
    <w:rsid w:val="007634AD"/>
    <w:rsid w:val="0078122E"/>
    <w:rsid w:val="00793B3A"/>
    <w:rsid w:val="00795647"/>
    <w:rsid w:val="007B0854"/>
    <w:rsid w:val="007B4371"/>
    <w:rsid w:val="007C4940"/>
    <w:rsid w:val="007D23CA"/>
    <w:rsid w:val="007D306C"/>
    <w:rsid w:val="007F6B46"/>
    <w:rsid w:val="007F72CB"/>
    <w:rsid w:val="00814F91"/>
    <w:rsid w:val="008217B7"/>
    <w:rsid w:val="0083119B"/>
    <w:rsid w:val="00833D32"/>
    <w:rsid w:val="00836EAB"/>
    <w:rsid w:val="0085092D"/>
    <w:rsid w:val="00850F79"/>
    <w:rsid w:val="008705C1"/>
    <w:rsid w:val="00884B83"/>
    <w:rsid w:val="0089774F"/>
    <w:rsid w:val="008E1C15"/>
    <w:rsid w:val="008F4305"/>
    <w:rsid w:val="008F538E"/>
    <w:rsid w:val="009047C5"/>
    <w:rsid w:val="00930E03"/>
    <w:rsid w:val="0095385A"/>
    <w:rsid w:val="009956B9"/>
    <w:rsid w:val="009B3787"/>
    <w:rsid w:val="009E15AC"/>
    <w:rsid w:val="009F016F"/>
    <w:rsid w:val="009F59C2"/>
    <w:rsid w:val="00A24560"/>
    <w:rsid w:val="00A25B36"/>
    <w:rsid w:val="00A34538"/>
    <w:rsid w:val="00A37FB6"/>
    <w:rsid w:val="00A40336"/>
    <w:rsid w:val="00A51EC3"/>
    <w:rsid w:val="00A67D3C"/>
    <w:rsid w:val="00A76BA4"/>
    <w:rsid w:val="00A97BDA"/>
    <w:rsid w:val="00AA08E7"/>
    <w:rsid w:val="00AA442B"/>
    <w:rsid w:val="00AA669D"/>
    <w:rsid w:val="00AE6488"/>
    <w:rsid w:val="00AF768B"/>
    <w:rsid w:val="00B13EC0"/>
    <w:rsid w:val="00B20344"/>
    <w:rsid w:val="00B22E22"/>
    <w:rsid w:val="00B525CB"/>
    <w:rsid w:val="00B63872"/>
    <w:rsid w:val="00B63CB2"/>
    <w:rsid w:val="00B64EDB"/>
    <w:rsid w:val="00B7315F"/>
    <w:rsid w:val="00B7778E"/>
    <w:rsid w:val="00B91B8E"/>
    <w:rsid w:val="00B964C7"/>
    <w:rsid w:val="00BC740A"/>
    <w:rsid w:val="00BD6A7D"/>
    <w:rsid w:val="00BD78FE"/>
    <w:rsid w:val="00C32FA6"/>
    <w:rsid w:val="00C84716"/>
    <w:rsid w:val="00CB04CC"/>
    <w:rsid w:val="00CB13DF"/>
    <w:rsid w:val="00CB70C3"/>
    <w:rsid w:val="00CB75BF"/>
    <w:rsid w:val="00CC00CD"/>
    <w:rsid w:val="00CD3FB3"/>
    <w:rsid w:val="00CE19E9"/>
    <w:rsid w:val="00CF6EC8"/>
    <w:rsid w:val="00D01760"/>
    <w:rsid w:val="00D018A9"/>
    <w:rsid w:val="00D02017"/>
    <w:rsid w:val="00D0338C"/>
    <w:rsid w:val="00D16E39"/>
    <w:rsid w:val="00D223B6"/>
    <w:rsid w:val="00D37C5A"/>
    <w:rsid w:val="00D5025B"/>
    <w:rsid w:val="00D60327"/>
    <w:rsid w:val="00D72E9D"/>
    <w:rsid w:val="00D732C6"/>
    <w:rsid w:val="00D82CE5"/>
    <w:rsid w:val="00DA58FA"/>
    <w:rsid w:val="00DA5AB1"/>
    <w:rsid w:val="00DC62E5"/>
    <w:rsid w:val="00DD735D"/>
    <w:rsid w:val="00DE3119"/>
    <w:rsid w:val="00DF236B"/>
    <w:rsid w:val="00DF59ED"/>
    <w:rsid w:val="00E13AB8"/>
    <w:rsid w:val="00E16999"/>
    <w:rsid w:val="00E25CB3"/>
    <w:rsid w:val="00E33B62"/>
    <w:rsid w:val="00E4143A"/>
    <w:rsid w:val="00E605C2"/>
    <w:rsid w:val="00E70CD4"/>
    <w:rsid w:val="00E7101A"/>
    <w:rsid w:val="00EB0F8F"/>
    <w:rsid w:val="00EC2450"/>
    <w:rsid w:val="00EE4533"/>
    <w:rsid w:val="00EE59B5"/>
    <w:rsid w:val="00F16966"/>
    <w:rsid w:val="00F45094"/>
    <w:rsid w:val="00F51932"/>
    <w:rsid w:val="00F52337"/>
    <w:rsid w:val="00F57741"/>
    <w:rsid w:val="00F74BFB"/>
    <w:rsid w:val="00F81EA2"/>
    <w:rsid w:val="00F84899"/>
    <w:rsid w:val="00F859F0"/>
    <w:rsid w:val="00F972B1"/>
    <w:rsid w:val="00FD098C"/>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323D22D3-DFE0-4C0F-97C7-E4639D36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620E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20E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620EA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20EA9"/>
    <w:rPr>
      <w:rFonts w:asciiTheme="majorHAnsi" w:eastAsiaTheme="majorEastAsia" w:hAnsiTheme="majorHAnsi" w:cstheme="majorBidi"/>
      <w:color w:val="365F91" w:themeColor="accent1" w:themeShade="BF"/>
      <w:sz w:val="32"/>
      <w:szCs w:val="32"/>
      <w:lang w:val="es-MX"/>
    </w:rPr>
  </w:style>
  <w:style w:type="character" w:customStyle="1" w:styleId="Ttulo2Car">
    <w:name w:val="Título 2 Car"/>
    <w:basedOn w:val="Fuentedeprrafopredeter"/>
    <w:link w:val="Ttulo2"/>
    <w:uiPriority w:val="9"/>
    <w:rsid w:val="00620EA9"/>
    <w:rPr>
      <w:rFonts w:asciiTheme="majorHAnsi" w:eastAsiaTheme="majorEastAsia" w:hAnsiTheme="majorHAnsi" w:cstheme="majorBidi"/>
      <w:color w:val="365F91" w:themeColor="accent1" w:themeShade="BF"/>
      <w:sz w:val="26"/>
      <w:szCs w:val="26"/>
      <w:lang w:val="es-MX"/>
    </w:rPr>
  </w:style>
  <w:style w:type="character" w:customStyle="1" w:styleId="Ttulo3Car">
    <w:name w:val="Título 3 Car"/>
    <w:basedOn w:val="Fuentedeprrafopredeter"/>
    <w:link w:val="Ttulo3"/>
    <w:uiPriority w:val="9"/>
    <w:rsid w:val="00620EA9"/>
    <w:rPr>
      <w:rFonts w:asciiTheme="majorHAnsi" w:eastAsiaTheme="majorEastAsia" w:hAnsiTheme="majorHAnsi" w:cstheme="majorBidi"/>
      <w:color w:val="243F60" w:themeColor="accent1" w:themeShade="7F"/>
      <w:sz w:val="24"/>
      <w:szCs w:val="24"/>
      <w:lang w:val="es-MX"/>
    </w:rPr>
  </w:style>
  <w:style w:type="paragraph" w:styleId="Lista2">
    <w:name w:val="List 2"/>
    <w:basedOn w:val="Normal"/>
    <w:uiPriority w:val="99"/>
    <w:unhideWhenUsed/>
    <w:rsid w:val="00620EA9"/>
    <w:pPr>
      <w:ind w:left="566" w:hanging="283"/>
      <w:contextualSpacing/>
    </w:pPr>
  </w:style>
  <w:style w:type="paragraph" w:styleId="Saludo">
    <w:name w:val="Salutation"/>
    <w:basedOn w:val="Normal"/>
    <w:next w:val="Normal"/>
    <w:link w:val="SaludoCar"/>
    <w:uiPriority w:val="99"/>
    <w:unhideWhenUsed/>
    <w:rsid w:val="00620EA9"/>
  </w:style>
  <w:style w:type="character" w:customStyle="1" w:styleId="SaludoCar">
    <w:name w:val="Saludo Car"/>
    <w:basedOn w:val="Fuentedeprrafopredeter"/>
    <w:link w:val="Saludo"/>
    <w:uiPriority w:val="99"/>
    <w:rsid w:val="00620EA9"/>
    <w:rPr>
      <w:sz w:val="24"/>
      <w:lang w:val="es-MX"/>
    </w:rPr>
  </w:style>
  <w:style w:type="paragraph" w:styleId="Cierre">
    <w:name w:val="Closing"/>
    <w:basedOn w:val="Normal"/>
    <w:link w:val="CierreCar"/>
    <w:uiPriority w:val="99"/>
    <w:unhideWhenUsed/>
    <w:rsid w:val="00620EA9"/>
    <w:pPr>
      <w:ind w:left="4252"/>
    </w:pPr>
  </w:style>
  <w:style w:type="character" w:customStyle="1" w:styleId="CierreCar">
    <w:name w:val="Cierre Car"/>
    <w:basedOn w:val="Fuentedeprrafopredeter"/>
    <w:link w:val="Cierre"/>
    <w:uiPriority w:val="99"/>
    <w:rsid w:val="00620EA9"/>
    <w:rPr>
      <w:sz w:val="24"/>
      <w:lang w:val="es-MX"/>
    </w:rPr>
  </w:style>
  <w:style w:type="paragraph" w:styleId="Continuarlista">
    <w:name w:val="List Continue"/>
    <w:basedOn w:val="Normal"/>
    <w:uiPriority w:val="99"/>
    <w:unhideWhenUsed/>
    <w:rsid w:val="00620EA9"/>
    <w:pPr>
      <w:spacing w:after="120"/>
      <w:ind w:left="283"/>
      <w:contextualSpacing/>
    </w:pPr>
  </w:style>
  <w:style w:type="paragraph" w:styleId="Textoindependiente">
    <w:name w:val="Body Text"/>
    <w:basedOn w:val="Normal"/>
    <w:link w:val="TextoindependienteCar"/>
    <w:uiPriority w:val="99"/>
    <w:unhideWhenUsed/>
    <w:rsid w:val="00620EA9"/>
    <w:pPr>
      <w:spacing w:after="120"/>
    </w:pPr>
  </w:style>
  <w:style w:type="character" w:customStyle="1" w:styleId="TextoindependienteCar">
    <w:name w:val="Texto independiente Car"/>
    <w:basedOn w:val="Fuentedeprrafopredeter"/>
    <w:link w:val="Textoindependiente"/>
    <w:uiPriority w:val="99"/>
    <w:rsid w:val="00620EA9"/>
    <w:rPr>
      <w:sz w:val="24"/>
      <w:lang w:val="es-MX"/>
    </w:rPr>
  </w:style>
  <w:style w:type="paragraph" w:styleId="Textoindependienteprimerasangra">
    <w:name w:val="Body Text First Indent"/>
    <w:basedOn w:val="Textoindependiente"/>
    <w:link w:val="TextoindependienteprimerasangraCar"/>
    <w:uiPriority w:val="99"/>
    <w:unhideWhenUsed/>
    <w:rsid w:val="00620EA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620EA9"/>
    <w:rPr>
      <w:sz w:val="24"/>
      <w:lang w:val="es-MX"/>
    </w:rPr>
  </w:style>
  <w:style w:type="paragraph" w:customStyle="1" w:styleId="Default">
    <w:name w:val="Default"/>
    <w:rsid w:val="00E7101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52421306">
      <w:bodyDiv w:val="1"/>
      <w:marLeft w:val="0"/>
      <w:marRight w:val="0"/>
      <w:marTop w:val="0"/>
      <w:marBottom w:val="0"/>
      <w:divBdr>
        <w:top w:val="none" w:sz="0" w:space="0" w:color="auto"/>
        <w:left w:val="none" w:sz="0" w:space="0" w:color="auto"/>
        <w:bottom w:val="none" w:sz="0" w:space="0" w:color="auto"/>
        <w:right w:val="none" w:sz="0" w:space="0" w:color="auto"/>
      </w:divBdr>
    </w:div>
    <w:div w:id="169426466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0938DC9-DB79-42CB-B9CB-209DF5B4CE33}">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6DB2B54-7BB0-4A79-9371-0C92F56F5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1FA106-E643-4530-B90A-8A8F2E9B672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8</Pages>
  <Words>2889</Words>
  <Characters>15894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8</cp:revision>
  <cp:lastPrinted>2020-03-03T16:20:00Z</cp:lastPrinted>
  <dcterms:created xsi:type="dcterms:W3CDTF">2020-06-12T23:32:00Z</dcterms:created>
  <dcterms:modified xsi:type="dcterms:W3CDTF">2020-08-06T19:42:00Z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