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7E7DD4B9" w14:textId="77777777" w:rsidR="00726273" w:rsidRDefault="00726273" w:rsidP="00CA4D48">
      <w:pPr>
        <w:jc w:val="both"/>
        <w:rPr>
          <w:rFonts w:ascii="Arial" w:eastAsia="Calibri" w:hAnsi="Arial" w:cs="Arial"/>
          <w:b/>
          <w:bCs/>
          <w:sz w:val="22"/>
        </w:rPr>
      </w:pPr>
    </w:p>
    <w:p w14:paraId="314E1B6B" w14:textId="77777777" w:rsidR="000C4CC7" w:rsidRDefault="000C4CC7" w:rsidP="000C4CC7">
      <w:pPr>
        <w:jc w:val="both"/>
        <w:rPr>
          <w:rFonts w:ascii="Arial" w:eastAsia="Calibri" w:hAnsi="Arial" w:cs="Arial"/>
          <w:b/>
          <w:bCs/>
          <w:sz w:val="22"/>
        </w:rPr>
      </w:pPr>
      <w:r w:rsidRPr="27F111B0">
        <w:rPr>
          <w:rFonts w:ascii="Arial" w:eastAsia="Calibri" w:hAnsi="Arial" w:cs="Arial"/>
          <w:b/>
          <w:bCs/>
          <w:sz w:val="22"/>
        </w:rPr>
        <w:t xml:space="preserve">REGISTRO ÚNICO DE PROPONENTES – </w:t>
      </w:r>
      <w:r>
        <w:rPr>
          <w:rFonts w:ascii="Arial" w:eastAsia="Calibri" w:hAnsi="Arial" w:cs="Arial"/>
          <w:b/>
          <w:bCs/>
          <w:sz w:val="22"/>
        </w:rPr>
        <w:t>Sujetos obligados</w:t>
      </w:r>
    </w:p>
    <w:p w14:paraId="1C7E9564" w14:textId="77777777" w:rsidR="000C4CC7" w:rsidRDefault="000C4CC7" w:rsidP="000C4CC7">
      <w:pPr>
        <w:jc w:val="both"/>
        <w:rPr>
          <w:rFonts w:ascii="Arial" w:eastAsia="Calibri" w:hAnsi="Arial" w:cs="Arial"/>
          <w:b/>
          <w:bCs/>
          <w:sz w:val="22"/>
        </w:rPr>
      </w:pPr>
    </w:p>
    <w:p w14:paraId="3F35D5AD" w14:textId="77777777" w:rsidR="000C4CC7" w:rsidRPr="0035369B" w:rsidRDefault="000C4CC7" w:rsidP="000C4CC7">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w:t>
      </w:r>
      <w:r w:rsidRPr="0035369B">
        <w:rPr>
          <w:rFonts w:ascii="Arial" w:hAnsi="Arial" w:cs="Arial"/>
          <w:color w:val="000000" w:themeColor="text1"/>
          <w:sz w:val="20"/>
          <w:szCs w:val="20"/>
          <w:lang w:val="es-ES_tradnl"/>
        </w:rPr>
        <w:t xml:space="preserve">l inciso 1 del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w:t>
      </w:r>
      <w:r>
        <w:rPr>
          <w:rFonts w:ascii="Arial" w:hAnsi="Arial" w:cs="Arial"/>
          <w:color w:val="000000" w:themeColor="text1"/>
          <w:sz w:val="20"/>
          <w:szCs w:val="20"/>
          <w:lang w:val="es-ES_tradnl"/>
        </w:rPr>
        <w:t xml:space="preserve"> </w:t>
      </w:r>
      <w:r w:rsidRPr="0035369B">
        <w:rPr>
          <w:rFonts w:ascii="Arial" w:hAnsi="Arial" w:cs="Arial"/>
          <w:color w:val="000000" w:themeColor="text1"/>
          <w:sz w:val="20"/>
          <w:szCs w:val="20"/>
          <w:lang w:val="es-ES_tradnl"/>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0F53181B" w14:textId="77777777" w:rsidR="000C4CC7" w:rsidRDefault="000C4CC7" w:rsidP="000C4CC7">
      <w:pPr>
        <w:jc w:val="both"/>
        <w:rPr>
          <w:rFonts w:ascii="Arial" w:eastAsia="Calibri" w:hAnsi="Arial" w:cs="Arial"/>
          <w:b/>
          <w:bCs/>
          <w:sz w:val="22"/>
        </w:rPr>
      </w:pPr>
    </w:p>
    <w:p w14:paraId="01D07783" w14:textId="77777777"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 xml:space="preserve">CAPACIDAD FINANCIERA </w:t>
      </w:r>
      <w:r>
        <w:rPr>
          <w:rFonts w:ascii="Arial" w:eastAsia="Calibri" w:hAnsi="Arial" w:cs="Arial"/>
          <w:b/>
          <w:sz w:val="22"/>
          <w:lang w:val="es-ES_tradnl"/>
        </w:rPr>
        <w:t xml:space="preserve">y CAPACIDAD ORGANIZACIONAL </w:t>
      </w:r>
      <w:r w:rsidRPr="00AC7A12">
        <w:rPr>
          <w:rFonts w:ascii="Arial" w:eastAsia="Calibri" w:hAnsi="Arial" w:cs="Arial"/>
          <w:b/>
          <w:sz w:val="22"/>
          <w:lang w:val="es-ES_tradnl"/>
        </w:rPr>
        <w:t>– Concepto</w:t>
      </w:r>
      <w:r>
        <w:rPr>
          <w:rFonts w:ascii="Arial" w:eastAsia="Calibri" w:hAnsi="Arial" w:cs="Arial"/>
          <w:b/>
          <w:sz w:val="22"/>
          <w:lang w:val="es-ES_tradnl"/>
        </w:rPr>
        <w:t>s</w:t>
      </w:r>
      <w:r w:rsidRPr="00AC7A12">
        <w:rPr>
          <w:rFonts w:ascii="Arial" w:eastAsia="Calibri" w:hAnsi="Arial" w:cs="Arial"/>
          <w:b/>
          <w:sz w:val="22"/>
          <w:lang w:val="es-ES_tradnl"/>
        </w:rPr>
        <w:t xml:space="preserve"> – Requisito</w:t>
      </w:r>
      <w:r>
        <w:rPr>
          <w:rFonts w:ascii="Arial" w:eastAsia="Calibri" w:hAnsi="Arial" w:cs="Arial"/>
          <w:b/>
          <w:sz w:val="22"/>
          <w:lang w:val="es-ES_tradnl"/>
        </w:rPr>
        <w:t>s</w:t>
      </w:r>
      <w:r w:rsidRPr="00AC7A12">
        <w:rPr>
          <w:rFonts w:ascii="Arial" w:eastAsia="Calibri" w:hAnsi="Arial" w:cs="Arial"/>
          <w:b/>
          <w:sz w:val="22"/>
          <w:lang w:val="es-ES_tradnl"/>
        </w:rPr>
        <w:t xml:space="preserve"> habilitante</w:t>
      </w:r>
      <w:r>
        <w:rPr>
          <w:rFonts w:ascii="Arial" w:eastAsia="Calibri" w:hAnsi="Arial" w:cs="Arial"/>
          <w:b/>
          <w:sz w:val="22"/>
          <w:lang w:val="es-ES_tradnl"/>
        </w:rPr>
        <w:t>s</w:t>
      </w:r>
    </w:p>
    <w:p w14:paraId="35859CCE" w14:textId="77777777" w:rsidR="000C4CC7" w:rsidRPr="00AC7A12" w:rsidRDefault="000C4CC7" w:rsidP="000C4CC7">
      <w:pPr>
        <w:jc w:val="both"/>
        <w:rPr>
          <w:rFonts w:ascii="Arial" w:eastAsia="Calibri" w:hAnsi="Arial" w:cs="Arial"/>
          <w:b/>
          <w:sz w:val="22"/>
          <w:lang w:val="es-ES_tradnl"/>
        </w:rPr>
      </w:pPr>
    </w:p>
    <w:p w14:paraId="61DD57DD" w14:textId="77777777" w:rsidR="000C4CC7" w:rsidRDefault="000C4CC7" w:rsidP="000C4CC7">
      <w:pPr>
        <w:jc w:val="both"/>
        <w:rPr>
          <w:rFonts w:ascii="Arial" w:hAnsi="Arial" w:cs="Arial"/>
          <w:color w:val="000000" w:themeColor="text1"/>
          <w:sz w:val="20"/>
          <w:szCs w:val="20"/>
          <w:lang w:val="es-ES_tradnl"/>
        </w:rPr>
      </w:pPr>
      <w:r w:rsidRPr="0035369B">
        <w:rPr>
          <w:rFonts w:ascii="Arial" w:hAnsi="Arial" w:cs="Arial"/>
          <w:color w:val="000000" w:themeColor="text1"/>
          <w:sz w:val="20"/>
          <w:szCs w:val="20"/>
          <w:lang w:val="es-ES_tradnl"/>
        </w:rPr>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Pr>
          <w:rFonts w:ascii="Arial" w:hAnsi="Arial" w:cs="Arial"/>
          <w:color w:val="000000" w:themeColor="text1"/>
          <w:sz w:val="20"/>
          <w:szCs w:val="20"/>
          <w:lang w:val="es-ES_tradnl"/>
        </w:rPr>
        <w:t xml:space="preserve">. </w:t>
      </w:r>
      <w:r w:rsidRPr="0035369B">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Pr>
          <w:rFonts w:ascii="Arial" w:hAnsi="Arial" w:cs="Arial"/>
          <w:color w:val="000000" w:themeColor="text1"/>
          <w:sz w:val="20"/>
          <w:szCs w:val="20"/>
          <w:lang w:val="es-ES_tradnl"/>
        </w:rPr>
        <w:t>.</w:t>
      </w:r>
    </w:p>
    <w:p w14:paraId="03809FA4" w14:textId="77777777" w:rsidR="000C4CC7" w:rsidRDefault="000C4CC7" w:rsidP="000C4CC7">
      <w:pPr>
        <w:jc w:val="both"/>
        <w:rPr>
          <w:rFonts w:ascii="Arial" w:hAnsi="Arial" w:cs="Arial"/>
          <w:color w:val="000000" w:themeColor="text1"/>
          <w:sz w:val="20"/>
          <w:szCs w:val="20"/>
          <w:lang w:val="es-ES_tradnl"/>
        </w:rPr>
      </w:pPr>
    </w:p>
    <w:p w14:paraId="78790EB2" w14:textId="77777777"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DECRETO 399 DE 2021 – Finalidad – Reactivación económica</w:t>
      </w:r>
    </w:p>
    <w:p w14:paraId="5735C4BD"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44C96D16" w14:textId="77777777" w:rsidR="000C4CC7" w:rsidRPr="00AC7A12" w:rsidRDefault="000C4CC7" w:rsidP="000C4CC7">
      <w:pPr>
        <w:jc w:val="both"/>
        <w:rPr>
          <w:rFonts w:ascii="Arial" w:hAnsi="Arial" w:cs="Arial"/>
          <w:noProof/>
          <w:color w:val="000000" w:themeColor="text1"/>
          <w:sz w:val="22"/>
          <w:lang w:val="es-ES_tradnl"/>
        </w:rPr>
      </w:pPr>
      <w:r w:rsidRPr="0035369B">
        <w:rPr>
          <w:rFonts w:ascii="Arial" w:hAnsi="Arial" w:cs="Arial"/>
          <w:color w:val="000000" w:themeColor="text1"/>
          <w:sz w:val="20"/>
          <w:szCs w:val="2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w:t>
      </w:r>
    </w:p>
    <w:p w14:paraId="7E6ACA71" w14:textId="77777777" w:rsidR="000C4CC7" w:rsidRDefault="000C4CC7" w:rsidP="000C4CC7">
      <w:pPr>
        <w:jc w:val="both"/>
        <w:rPr>
          <w:rFonts w:ascii="Arial" w:eastAsia="Calibri" w:hAnsi="Arial" w:cs="Arial"/>
          <w:b/>
          <w:sz w:val="22"/>
          <w:lang w:val="es-ES_tradnl"/>
        </w:rPr>
      </w:pPr>
    </w:p>
    <w:p w14:paraId="61E54F01" w14:textId="2EC2A377"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DECRETO</w:t>
      </w:r>
      <w:r w:rsidR="00694901">
        <w:rPr>
          <w:rFonts w:ascii="Arial" w:eastAsia="Calibri" w:hAnsi="Arial" w:cs="Arial"/>
          <w:b/>
          <w:sz w:val="22"/>
          <w:lang w:val="es-ES_tradnl"/>
        </w:rPr>
        <w:t>S</w:t>
      </w:r>
      <w:r w:rsidRPr="00AC7A12">
        <w:rPr>
          <w:rFonts w:ascii="Arial" w:eastAsia="Calibri" w:hAnsi="Arial" w:cs="Arial"/>
          <w:b/>
          <w:sz w:val="22"/>
          <w:lang w:val="es-ES_tradnl"/>
        </w:rPr>
        <w:t xml:space="preserve"> 399</w:t>
      </w:r>
      <w:r w:rsidR="00694901">
        <w:rPr>
          <w:rFonts w:ascii="Arial" w:eastAsia="Calibri" w:hAnsi="Arial" w:cs="Arial"/>
          <w:b/>
          <w:sz w:val="22"/>
          <w:lang w:val="es-ES_tradnl"/>
        </w:rPr>
        <w:t xml:space="preserve"> Y 579</w:t>
      </w:r>
      <w:r w:rsidRPr="00AC7A12">
        <w:rPr>
          <w:rFonts w:ascii="Arial" w:eastAsia="Calibri" w:hAnsi="Arial" w:cs="Arial"/>
          <w:b/>
          <w:sz w:val="22"/>
          <w:lang w:val="es-ES_tradnl"/>
        </w:rPr>
        <w:t xml:space="preserve"> DE 2021 – Información – Capacidad financiera – Capacidad organizacional – RUP</w:t>
      </w:r>
    </w:p>
    <w:p w14:paraId="3514C03E"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781FCD0F" w14:textId="77777777" w:rsidR="000C4CC7" w:rsidRPr="00AC7A12" w:rsidRDefault="000C4CC7" w:rsidP="000C4CC7">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 </w:t>
      </w:r>
      <w:r w:rsidRPr="0035369B">
        <w:rPr>
          <w:rFonts w:ascii="Arial" w:eastAsia="Calibri" w:hAnsi="Arial" w:cs="Arial"/>
          <w:color w:val="000000" w:themeColor="text1"/>
          <w:sz w:val="20"/>
          <w:szCs w:val="20"/>
          <w:lang w:val="es-ES_tradnl"/>
        </w:rPr>
        <w:t xml:space="preserve">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w:t>
      </w:r>
      <w:r w:rsidRPr="0035369B">
        <w:rPr>
          <w:rFonts w:ascii="Arial" w:eastAsia="Calibri" w:hAnsi="Arial" w:cs="Arial"/>
          <w:color w:val="000000" w:themeColor="text1"/>
          <w:sz w:val="20"/>
          <w:szCs w:val="20"/>
          <w:lang w:val="es-ES_tradnl"/>
        </w:rPr>
        <w:lastRenderedPageBreak/>
        <w:t xml:space="preserve">2018 y/o 2019, por no contar con los datos sobre la capacidad financiera y organizacional de estos años, de manera gratuita, durante el mes de junio, por una sola vez. En todo caso, aclara </w:t>
      </w:r>
      <w:proofErr w:type="gramStart"/>
      <w:r w:rsidRPr="0035369B">
        <w:rPr>
          <w:rFonts w:ascii="Arial" w:eastAsia="Calibri" w:hAnsi="Arial" w:cs="Arial"/>
          <w:color w:val="000000" w:themeColor="text1"/>
          <w:sz w:val="20"/>
          <w:szCs w:val="20"/>
          <w:lang w:val="es-ES_tradnl"/>
        </w:rPr>
        <w:t>que</w:t>
      </w:r>
      <w:proofErr w:type="gramEnd"/>
      <w:r w:rsidRPr="0035369B">
        <w:rPr>
          <w:rFonts w:ascii="Arial" w:eastAsia="Calibri" w:hAnsi="Arial" w:cs="Arial"/>
          <w:color w:val="000000" w:themeColor="text1"/>
          <w:sz w:val="20"/>
          <w:szCs w:val="20"/>
          <w:lang w:val="es-ES_tradnl"/>
        </w:rPr>
        <w:t xml:space="preserve"> si el proponente tiene registrada la información de dichos años en la cámara de comercio, no deberá presentar esta información.</w:t>
      </w:r>
    </w:p>
    <w:p w14:paraId="770A9DAD"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6D4FDEF8" w14:textId="053DDC3F"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DECRETO</w:t>
      </w:r>
      <w:r w:rsidR="00694901">
        <w:rPr>
          <w:rFonts w:ascii="Arial" w:eastAsia="Calibri" w:hAnsi="Arial" w:cs="Arial"/>
          <w:b/>
          <w:sz w:val="22"/>
          <w:lang w:val="es-ES_tradnl"/>
        </w:rPr>
        <w:t>S</w:t>
      </w:r>
      <w:r w:rsidRPr="00AC7A12">
        <w:rPr>
          <w:rFonts w:ascii="Arial" w:eastAsia="Calibri" w:hAnsi="Arial" w:cs="Arial"/>
          <w:b/>
          <w:sz w:val="22"/>
          <w:lang w:val="es-ES_tradnl"/>
        </w:rPr>
        <w:t xml:space="preserve"> 399</w:t>
      </w:r>
      <w:r w:rsidR="00694901">
        <w:rPr>
          <w:rFonts w:ascii="Arial" w:eastAsia="Calibri" w:hAnsi="Arial" w:cs="Arial"/>
          <w:b/>
          <w:sz w:val="22"/>
          <w:lang w:val="es-ES_tradnl"/>
        </w:rPr>
        <w:t xml:space="preserve"> Y 579</w:t>
      </w:r>
      <w:r w:rsidRPr="00AC7A12">
        <w:rPr>
          <w:rFonts w:ascii="Arial" w:eastAsia="Calibri" w:hAnsi="Arial" w:cs="Arial"/>
          <w:b/>
          <w:sz w:val="22"/>
          <w:lang w:val="es-ES_tradnl"/>
        </w:rPr>
        <w:t xml:space="preserve"> DE 2021 – Indicadores – Capacidad financiera – Capacidad organizacional – Período</w:t>
      </w:r>
    </w:p>
    <w:p w14:paraId="2C29CA4E"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5A42CFB3" w14:textId="77777777" w:rsidR="000C4CC7" w:rsidRPr="00AC7A12" w:rsidRDefault="000C4CC7" w:rsidP="000C4CC7">
      <w:pPr>
        <w:jc w:val="both"/>
        <w:rPr>
          <w:rFonts w:ascii="Arial" w:hAnsi="Arial" w:cs="Arial"/>
          <w:noProof/>
          <w:color w:val="000000" w:themeColor="text1"/>
          <w:sz w:val="22"/>
          <w:lang w:val="es-ES_tradnl"/>
        </w:rPr>
      </w:pPr>
      <w:r w:rsidRPr="0035369B">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«certificarán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5026FD2A" w14:textId="77777777" w:rsidR="000C4CC7" w:rsidRDefault="000C4CC7" w:rsidP="000C4CC7">
      <w:pPr>
        <w:jc w:val="both"/>
        <w:rPr>
          <w:rFonts w:ascii="Arial" w:eastAsia="Calibri" w:hAnsi="Arial" w:cs="Arial"/>
          <w:b/>
          <w:sz w:val="22"/>
          <w:lang w:val="es-ES_tradnl"/>
        </w:rPr>
      </w:pPr>
    </w:p>
    <w:p w14:paraId="02CB06C2" w14:textId="2B05BE95"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w:t>
      </w:r>
      <w:r w:rsidR="00694901">
        <w:rPr>
          <w:rFonts w:ascii="Arial" w:eastAsia="Calibri" w:hAnsi="Arial" w:cs="Arial"/>
          <w:b/>
          <w:sz w:val="22"/>
          <w:lang w:val="es-ES_tradnl"/>
        </w:rPr>
        <w:t>s</w:t>
      </w:r>
      <w:r w:rsidRPr="00AC7A12">
        <w:rPr>
          <w:rFonts w:ascii="Arial" w:eastAsia="Calibri" w:hAnsi="Arial" w:cs="Arial"/>
          <w:b/>
          <w:sz w:val="22"/>
          <w:lang w:val="es-ES_tradnl"/>
        </w:rPr>
        <w:t xml:space="preserve"> 399</w:t>
      </w:r>
      <w:r w:rsidR="00694901">
        <w:rPr>
          <w:rFonts w:ascii="Arial" w:eastAsia="Calibri" w:hAnsi="Arial" w:cs="Arial"/>
          <w:b/>
          <w:sz w:val="22"/>
          <w:lang w:val="es-ES_tradnl"/>
        </w:rPr>
        <w:t xml:space="preserve"> y 579 de 2021</w:t>
      </w:r>
      <w:r w:rsidRPr="00AC7A12">
        <w:rPr>
          <w:rFonts w:ascii="Arial" w:eastAsia="Calibri" w:hAnsi="Arial" w:cs="Arial"/>
          <w:b/>
          <w:sz w:val="22"/>
          <w:lang w:val="es-ES_tradnl"/>
        </w:rPr>
        <w:t xml:space="preserve"> – Capacidad financiera – Capacidad organizacional – Interpretación</w:t>
      </w:r>
    </w:p>
    <w:p w14:paraId="41CEF36E"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3B5D8A38" w14:textId="77777777" w:rsidR="000C4CC7" w:rsidRPr="00AC7A12" w:rsidRDefault="000C4CC7" w:rsidP="000C4CC7">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 </w:t>
      </w:r>
      <w:r w:rsidRPr="006E1E3F">
        <w:rPr>
          <w:rFonts w:ascii="Arial" w:hAnsi="Arial" w:cs="Arial"/>
          <w:color w:val="000000" w:themeColor="text1"/>
          <w:sz w:val="20"/>
          <w:szCs w:val="20"/>
          <w:lang w:val="es-ES_tradnl"/>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0E8C6D39" w14:textId="77777777" w:rsidR="000C4CC7" w:rsidRPr="00AC7A12" w:rsidRDefault="000C4CC7" w:rsidP="000C4CC7">
      <w:pPr>
        <w:jc w:val="both"/>
        <w:rPr>
          <w:rFonts w:ascii="Arial" w:hAnsi="Arial" w:cs="Arial"/>
          <w:color w:val="000000" w:themeColor="text1"/>
          <w:sz w:val="20"/>
          <w:szCs w:val="20"/>
          <w:lang w:val="es-ES_tradnl"/>
        </w:rPr>
      </w:pPr>
    </w:p>
    <w:p w14:paraId="3C46E63E" w14:textId="77777777" w:rsidR="000C4CC7" w:rsidRPr="00AC7A12" w:rsidRDefault="000C4CC7" w:rsidP="000C4CC7">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w:t>
      </w:r>
    </w:p>
    <w:p w14:paraId="06FBBDC1" w14:textId="77777777" w:rsidR="000C4CC7" w:rsidRPr="00AC7A12" w:rsidRDefault="000C4CC7" w:rsidP="000C4CC7">
      <w:pPr>
        <w:jc w:val="both"/>
        <w:rPr>
          <w:rFonts w:ascii="Arial" w:hAnsi="Arial" w:cs="Arial"/>
          <w:color w:val="000000" w:themeColor="text1"/>
          <w:sz w:val="20"/>
          <w:szCs w:val="20"/>
          <w:lang w:val="es-ES_tradnl"/>
        </w:rPr>
      </w:pPr>
    </w:p>
    <w:p w14:paraId="02AB57CE" w14:textId="77777777" w:rsidR="000C4CC7" w:rsidRPr="006E1E3F" w:rsidRDefault="000C4CC7" w:rsidP="000C4CC7">
      <w:pPr>
        <w:jc w:val="both"/>
        <w:rPr>
          <w:rFonts w:ascii="Arial" w:hAnsi="Arial" w:cs="Arial"/>
          <w:color w:val="000000" w:themeColor="text1"/>
          <w:sz w:val="20"/>
          <w:szCs w:val="20"/>
          <w:lang w:val="es-ES_tradnl"/>
        </w:rPr>
      </w:pPr>
      <w:r w:rsidRPr="006E1E3F">
        <w:rPr>
          <w:rFonts w:ascii="Arial" w:hAnsi="Arial" w:cs="Arial"/>
          <w:color w:val="000000" w:themeColor="text1"/>
          <w:sz w:val="20"/>
          <w:szCs w:val="20"/>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02542047" w14:textId="77777777" w:rsidR="000C4CC7" w:rsidRPr="00AC7A12" w:rsidRDefault="000C4CC7" w:rsidP="000C4CC7">
      <w:pPr>
        <w:jc w:val="both"/>
        <w:rPr>
          <w:rFonts w:ascii="Arial" w:hAnsi="Arial" w:cs="Arial"/>
          <w:noProof/>
          <w:color w:val="000000" w:themeColor="text1"/>
          <w:sz w:val="22"/>
          <w:lang w:val="es-ES_tradnl"/>
        </w:rPr>
      </w:pPr>
      <w:r w:rsidRPr="006E1E3F">
        <w:rPr>
          <w:rFonts w:ascii="Arial" w:hAnsi="Arial" w:cs="Arial"/>
          <w:color w:val="000000" w:themeColor="text1"/>
          <w:sz w:val="20"/>
          <w:szCs w:val="20"/>
          <w:lang w:val="es-ES_tradnl"/>
        </w:rPr>
        <w:lastRenderedPageBreak/>
        <w:t>Por lo tanto, 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7066FE3D" w14:textId="77777777" w:rsidR="000C4CC7" w:rsidRDefault="000C4CC7" w:rsidP="000C4CC7">
      <w:pPr>
        <w:jc w:val="both"/>
        <w:rPr>
          <w:rFonts w:ascii="Arial" w:eastAsia="Calibri" w:hAnsi="Arial" w:cs="Arial"/>
          <w:b/>
          <w:sz w:val="22"/>
          <w:lang w:val="es-ES_tradnl"/>
        </w:rPr>
      </w:pPr>
    </w:p>
    <w:p w14:paraId="3A344EB6" w14:textId="03FCDE9F" w:rsidR="000C4CC7" w:rsidRPr="00AC7A12" w:rsidRDefault="000C4CC7" w:rsidP="000C4CC7">
      <w:pPr>
        <w:jc w:val="both"/>
        <w:rPr>
          <w:rFonts w:ascii="Arial" w:eastAsia="Calibri" w:hAnsi="Arial" w:cs="Arial"/>
          <w:b/>
          <w:sz w:val="22"/>
          <w:lang w:val="es-ES_tradnl"/>
        </w:rPr>
      </w:pPr>
      <w:r w:rsidRPr="00AC7A12">
        <w:rPr>
          <w:rFonts w:ascii="Arial" w:eastAsia="Calibri" w:hAnsi="Arial" w:cs="Arial"/>
          <w:b/>
          <w:sz w:val="22"/>
          <w:lang w:val="es-ES_tradnl"/>
        </w:rPr>
        <w:t>CAPACIDAD RESIDUAL – Cálculo – Decreto 399</w:t>
      </w:r>
      <w:r w:rsidR="00694901">
        <w:rPr>
          <w:rFonts w:ascii="Arial" w:eastAsia="Calibri" w:hAnsi="Arial" w:cs="Arial"/>
          <w:b/>
          <w:sz w:val="22"/>
          <w:lang w:val="es-ES_tradnl"/>
        </w:rPr>
        <w:t xml:space="preserve"> y 579 de 2021</w:t>
      </w:r>
      <w:r w:rsidRPr="00AC7A12">
        <w:rPr>
          <w:rFonts w:ascii="Arial" w:eastAsia="Calibri" w:hAnsi="Arial" w:cs="Arial"/>
          <w:b/>
          <w:sz w:val="22"/>
          <w:lang w:val="es-ES_tradnl"/>
        </w:rPr>
        <w:t xml:space="preserve"> – Capacidad financiera – Incidencia</w:t>
      </w:r>
    </w:p>
    <w:p w14:paraId="03BC6553" w14:textId="77777777" w:rsidR="000C4CC7" w:rsidRPr="00AC7A12" w:rsidRDefault="000C4CC7" w:rsidP="000C4CC7">
      <w:pPr>
        <w:spacing w:line="276" w:lineRule="auto"/>
        <w:jc w:val="both"/>
        <w:rPr>
          <w:rFonts w:ascii="Arial" w:hAnsi="Arial" w:cs="Arial"/>
          <w:noProof/>
          <w:color w:val="000000" w:themeColor="text1"/>
          <w:sz w:val="22"/>
          <w:lang w:val="es-ES_tradnl"/>
        </w:rPr>
      </w:pPr>
    </w:p>
    <w:p w14:paraId="6D87E662" w14:textId="77777777" w:rsidR="000C4CC7" w:rsidRPr="00AC7A12" w:rsidRDefault="000C4CC7" w:rsidP="000C4CC7">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Por lo demás, lo establecido en el parágrafo transitorio adicionado por el artículo 6 del Decreto 399 de 2021 también incide en el cálculo de la </w:t>
      </w:r>
      <w:r w:rsidRPr="00AC7A12">
        <w:rPr>
          <w:rFonts w:ascii="Arial" w:eastAsia="Calibri" w:hAnsi="Arial" w:cs="Arial"/>
          <w:i/>
          <w:iCs/>
          <w:color w:val="000000" w:themeColor="text1"/>
          <w:sz w:val="20"/>
          <w:szCs w:val="20"/>
          <w:lang w:val="es-ES_tradnl"/>
        </w:rPr>
        <w:t xml:space="preserve">capacidad residual </w:t>
      </w:r>
      <w:r w:rsidRPr="00AC7A12">
        <w:rPr>
          <w:rFonts w:ascii="Arial" w:eastAsia="Calibri" w:hAnsi="Arial" w:cs="Arial"/>
          <w:color w:val="000000" w:themeColor="text1"/>
          <w:sz w:val="20"/>
          <w:szCs w:val="20"/>
          <w:lang w:val="es-ES_tradnl"/>
        </w:rPr>
        <w:t>o</w:t>
      </w:r>
      <w:r w:rsidRPr="00AC7A12">
        <w:rPr>
          <w:rFonts w:ascii="Arial" w:eastAsia="Calibri" w:hAnsi="Arial" w:cs="Arial"/>
          <w:i/>
          <w:iCs/>
          <w:color w:val="000000" w:themeColor="text1"/>
          <w:sz w:val="20"/>
          <w:szCs w:val="20"/>
          <w:lang w:val="es-ES_tradnl"/>
        </w:rPr>
        <w:t xml:space="preserve"> K de contratación</w:t>
      </w:r>
      <w:r w:rsidRPr="00AC7A12">
        <w:rPr>
          <w:rFonts w:ascii="Arial" w:eastAsia="Calibri" w:hAnsi="Arial" w:cs="Arial"/>
          <w:color w:val="000000" w:themeColor="text1"/>
          <w:sz w:val="20"/>
          <w:szCs w:val="20"/>
          <w:lang w:val="es-ES_tradnl"/>
        </w:rPr>
        <w:t xml:space="preserve"> –concepto que el Decreto 1082 de 2015 define en el artículo 2.2.1.1.1.3.1. como la «Aptitud de un oferente para cumplir oportuna y cabalmente con el objeto de un contrato de obra, sin que sus otros compromisos contractuales afecten su habilidad de cumplir con el contrato que está en proceso de selección»–. Lo anterior por cuanto la «capacidad financiera» es uno de los factores que deben tenerse en cuenta para definir la capacidad residual, según lo dispuesto en el artículo 2.2.1.1.1.6.4. del Decreto 1082 de 2015, […].</w:t>
      </w:r>
    </w:p>
    <w:p w14:paraId="119E3783" w14:textId="77777777" w:rsidR="000C4CC7" w:rsidRPr="00AC7A12" w:rsidRDefault="000C4CC7" w:rsidP="000C4CC7">
      <w:pPr>
        <w:jc w:val="both"/>
        <w:rPr>
          <w:rFonts w:ascii="Arial" w:eastAsia="Calibri" w:hAnsi="Arial" w:cs="Arial"/>
          <w:color w:val="000000" w:themeColor="text1"/>
          <w:sz w:val="20"/>
          <w:szCs w:val="20"/>
          <w:lang w:val="es-ES_tradnl"/>
        </w:rPr>
      </w:pPr>
    </w:p>
    <w:p w14:paraId="7DC46471" w14:textId="77777777" w:rsidR="000C4CC7" w:rsidRPr="00AC7A12" w:rsidRDefault="000C4CC7" w:rsidP="000C4CC7">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w:t>
      </w:r>
    </w:p>
    <w:p w14:paraId="724E4AAB" w14:textId="77777777" w:rsidR="000C4CC7" w:rsidRPr="00AC7A12" w:rsidRDefault="000C4CC7" w:rsidP="000C4CC7">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De manera que, si el artículo 6 del Decreto 399 de 2021 establece que «en relación con los indicadores de la </w:t>
      </w:r>
      <w:r w:rsidRPr="00AC7A12">
        <w:rPr>
          <w:rFonts w:ascii="Arial" w:eastAsia="Calibri" w:hAnsi="Arial" w:cs="Arial"/>
          <w:i/>
          <w:iCs/>
          <w:color w:val="000000" w:themeColor="text1"/>
          <w:sz w:val="20"/>
          <w:szCs w:val="20"/>
          <w:lang w:val="es-ES_tradnl"/>
        </w:rPr>
        <w:t>capacidad financiera</w:t>
      </w:r>
      <w:r w:rsidRPr="00AC7A12">
        <w:rPr>
          <w:rFonts w:ascii="Arial" w:eastAsia="Calibri" w:hAnsi="Arial" w:cs="Arial"/>
          <w:color w:val="000000" w:themeColor="text1"/>
          <w:sz w:val="20"/>
          <w:szCs w:val="20"/>
          <w:lang w:val="es-ES_tradnl"/>
        </w:rPr>
        <w:t xml:space="preserve">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(énfasis fuera de texto), es tal «capacidad financiera», determinada en el mejor año fiscal, la que a su vez se debe considerar para calcular la «capacidad residual». Esta interpretación se apoya en dos argumentos: i) en que la «capacidad financiera» se define en el numeral 3 del artículo 2.2.1.1.1.5.3. del Decreto 1082 de 2015 –artículo que regula los requisitos habilitantes que deben certificar las cámaras de comercio en el RUP– y ii) en que el parágrafo transitorio 1 adicionado al artículo 2.2.1.1.1.5.6. del Decreto 1082 de 2015 por el artículo 5 del Decreto 399 de 2021, dice que los requisitos e indicadores de «capacidad financiera» son aquellos a los que alude «[…] el literal (b) del artículo 2.2.1.1.1.5.6. del Decreto 1082 de 2015». Pues bien, este literal dispone que el certificado del RUP debe contener «los requisitos e indicadores a los que se refiere el artículo 2.2.1.1.1.5.3 del presente decreto», es decir que a su vez remite al artículo 2.2.1.1.1.5.3., única norma del Decreto 1082 de 2015 en la que se define la «capacidad financiera», […].</w:t>
      </w:r>
    </w:p>
    <w:p w14:paraId="409379A2" w14:textId="77777777" w:rsidR="000C4CC7" w:rsidRDefault="000C4CC7" w:rsidP="000C4CC7">
      <w:pPr>
        <w:jc w:val="both"/>
        <w:rPr>
          <w:rFonts w:ascii="Arial" w:eastAsia="Calibri" w:hAnsi="Arial" w:cs="Arial"/>
          <w:b/>
          <w:bCs/>
          <w:sz w:val="22"/>
        </w:rPr>
      </w:pPr>
    </w:p>
    <w:p w14:paraId="74AE0AE6" w14:textId="77777777" w:rsidR="000C4CC7" w:rsidRPr="00443D80" w:rsidRDefault="000C4CC7" w:rsidP="000C4CC7">
      <w:pPr>
        <w:jc w:val="both"/>
        <w:rPr>
          <w:rFonts w:ascii="Arial" w:eastAsia="Calibri" w:hAnsi="Arial" w:cs="Arial"/>
          <w:b/>
          <w:bCs/>
          <w:sz w:val="22"/>
        </w:rPr>
      </w:pPr>
      <w:r>
        <w:rPr>
          <w:rFonts w:ascii="Arial" w:eastAsia="Calibri" w:hAnsi="Arial" w:cs="Arial"/>
          <w:b/>
          <w:bCs/>
          <w:sz w:val="22"/>
        </w:rPr>
        <w:t xml:space="preserve">PROPONENTES PLURALES – Mejor año fiscal – Decretos 399 y 579 de 2021 </w:t>
      </w:r>
    </w:p>
    <w:p w14:paraId="53E50B98" w14:textId="77777777" w:rsidR="000C4CC7" w:rsidRPr="00443D80" w:rsidRDefault="000C4CC7" w:rsidP="000C4CC7">
      <w:pPr>
        <w:jc w:val="both"/>
        <w:rPr>
          <w:rFonts w:ascii="Arial" w:hAnsi="Arial" w:cs="Arial"/>
          <w:sz w:val="20"/>
          <w:szCs w:val="20"/>
        </w:rPr>
      </w:pPr>
    </w:p>
    <w:p w14:paraId="14FAB1BE" w14:textId="77777777" w:rsidR="000C4CC7" w:rsidRDefault="000C4CC7" w:rsidP="000C4CC7">
      <w:pPr>
        <w:jc w:val="both"/>
        <w:rPr>
          <w:rFonts w:ascii="Arial" w:hAnsi="Arial" w:cs="Arial"/>
          <w:color w:val="000000" w:themeColor="text1"/>
          <w:sz w:val="20"/>
          <w:szCs w:val="20"/>
          <w:lang w:val="es-ES_tradnl"/>
        </w:rPr>
      </w:pPr>
      <w:r w:rsidRPr="006E1E3F">
        <w:rPr>
          <w:rFonts w:ascii="Arial" w:hAnsi="Arial" w:cs="Arial"/>
          <w:color w:val="000000" w:themeColor="text1"/>
          <w:sz w:val="20"/>
          <w:szCs w:val="20"/>
          <w:lang w:val="es-ES_tradnl"/>
        </w:rPr>
        <w:t>Dado que los consorcios y las uniones temporales carecen de RUP, cuando la norma se refiere a que «[…] 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precedente.</w:t>
      </w:r>
    </w:p>
    <w:p w14:paraId="70819299" w14:textId="77777777" w:rsidR="000C4CC7" w:rsidRDefault="000C4CC7" w:rsidP="000C4CC7">
      <w:pPr>
        <w:jc w:val="both"/>
        <w:rPr>
          <w:rFonts w:ascii="Arial" w:hAnsi="Arial" w:cs="Arial"/>
          <w:color w:val="000000" w:themeColor="text1"/>
          <w:sz w:val="20"/>
          <w:szCs w:val="20"/>
          <w:lang w:val="es-ES_tradnl"/>
        </w:rPr>
      </w:pPr>
    </w:p>
    <w:p w14:paraId="35E1E9D9" w14:textId="77777777" w:rsidR="000C4CC7" w:rsidRDefault="000C4CC7" w:rsidP="000C4CC7">
      <w:pPr>
        <w:jc w:val="both"/>
        <w:rPr>
          <w:rFonts w:ascii="Arial" w:hAnsi="Arial" w:cs="Arial"/>
          <w:color w:val="000000" w:themeColor="text1"/>
          <w:sz w:val="20"/>
          <w:szCs w:val="20"/>
          <w:lang w:val="es-ES_tradnl"/>
        </w:rPr>
      </w:pPr>
      <w:r w:rsidRPr="00975901">
        <w:rPr>
          <w:rFonts w:ascii="Arial" w:hAnsi="Arial" w:cs="Arial"/>
          <w:color w:val="000000" w:themeColor="text1"/>
          <w:sz w:val="20"/>
          <w:szCs w:val="20"/>
          <w:lang w:val="es-ES_tradnl"/>
        </w:rPr>
        <w:t>Los Decretos 399 y 579 de 2021 son normas reglamentarias de la Ley 1150 de 2007, incorporadas al Decreto 1082 de 2015, que rigen desde su publicación. No obstante, los parágrafos transitorios delimitan su campo de acción temporalmente, pues serán aplicables para la inscripción de información financiera y contable en el RUP desde 1° de junio de 2021 y también se aplicarán para la inscripción o renovación del RUP en el año 2022, información que a su vez será certificada por las cámaras de comercio y evaluada por las entidades estatales según las reglas transitorias explicadas en el acápite anterior. Mientras el Gobierno Nacional no modifique la reglamentación transitoria, esta solo regirá en los años mencionados.</w:t>
      </w:r>
    </w:p>
    <w:p w14:paraId="31191EFA" w14:textId="77777777" w:rsidR="004273B9" w:rsidRPr="00AC7A12" w:rsidRDefault="004273B9" w:rsidP="004273B9">
      <w:pPr>
        <w:jc w:val="both"/>
        <w:rPr>
          <w:rFonts w:ascii="Arial" w:eastAsia="Calibri" w:hAnsi="Arial" w:cs="Arial"/>
          <w:color w:val="000000" w:themeColor="text1"/>
          <w:sz w:val="20"/>
          <w:szCs w:val="20"/>
          <w:lang w:val="es-ES_tradnl"/>
        </w:rPr>
      </w:pPr>
    </w:p>
    <w:p w14:paraId="0D07B736" w14:textId="41A6314F" w:rsidR="004273B9" w:rsidRPr="00AC7A12" w:rsidRDefault="004273B9" w:rsidP="00B95C30">
      <w:pPr>
        <w:spacing w:line="276" w:lineRule="auto"/>
        <w:jc w:val="both"/>
        <w:rPr>
          <w:rFonts w:ascii="Arial" w:hAnsi="Arial" w:cs="Arial"/>
          <w:noProof/>
          <w:color w:val="000000" w:themeColor="text1"/>
          <w:sz w:val="22"/>
          <w:lang w:val="es-ES_tradnl"/>
        </w:rPr>
      </w:pPr>
    </w:p>
    <w:p w14:paraId="1FBE7F6B" w14:textId="6A2ADC92" w:rsidR="00F101AF" w:rsidRPr="00AC7A12" w:rsidRDefault="00F101AF" w:rsidP="00B95C30">
      <w:pPr>
        <w:spacing w:line="276" w:lineRule="auto"/>
        <w:jc w:val="both"/>
        <w:rPr>
          <w:rFonts w:ascii="Arial" w:hAnsi="Arial" w:cs="Arial"/>
          <w:noProof/>
          <w:color w:val="000000" w:themeColor="text1"/>
          <w:sz w:val="22"/>
          <w:lang w:val="es-ES_tradnl"/>
        </w:rPr>
      </w:pPr>
    </w:p>
    <w:p w14:paraId="095CCFCB" w14:textId="489C50CC" w:rsidR="00F101AF" w:rsidRPr="00AC7A12" w:rsidRDefault="00F101AF" w:rsidP="00B95C30">
      <w:pPr>
        <w:spacing w:line="276" w:lineRule="auto"/>
        <w:jc w:val="both"/>
        <w:rPr>
          <w:rFonts w:ascii="Arial" w:hAnsi="Arial" w:cs="Arial"/>
          <w:noProof/>
          <w:color w:val="000000" w:themeColor="text1"/>
          <w:sz w:val="22"/>
          <w:lang w:val="es-ES_tradnl"/>
        </w:rPr>
      </w:pPr>
    </w:p>
    <w:p w14:paraId="2FD488D6" w14:textId="079254B5" w:rsidR="00F101AF" w:rsidRPr="00AC7A12" w:rsidRDefault="00F101AF" w:rsidP="00B95C30">
      <w:pPr>
        <w:spacing w:line="276" w:lineRule="auto"/>
        <w:jc w:val="both"/>
        <w:rPr>
          <w:rFonts w:ascii="Arial" w:hAnsi="Arial" w:cs="Arial"/>
          <w:noProof/>
          <w:color w:val="000000" w:themeColor="text1"/>
          <w:sz w:val="22"/>
          <w:lang w:val="es-ES_tradnl"/>
        </w:rPr>
      </w:pPr>
    </w:p>
    <w:p w14:paraId="13C86ADD" w14:textId="0AB8623A" w:rsidR="00F101AF" w:rsidRPr="00AC7A12" w:rsidRDefault="00F101AF" w:rsidP="00B95C30">
      <w:pPr>
        <w:spacing w:line="276" w:lineRule="auto"/>
        <w:jc w:val="both"/>
        <w:rPr>
          <w:rFonts w:ascii="Arial" w:hAnsi="Arial" w:cs="Arial"/>
          <w:noProof/>
          <w:color w:val="000000" w:themeColor="text1"/>
          <w:sz w:val="22"/>
          <w:lang w:val="es-ES_tradnl"/>
        </w:rPr>
      </w:pPr>
    </w:p>
    <w:p w14:paraId="5E9CF88D" w14:textId="46F81CE1" w:rsidR="00F101AF" w:rsidRPr="00AC7A12" w:rsidRDefault="00F101AF" w:rsidP="00B95C30">
      <w:pPr>
        <w:spacing w:line="276" w:lineRule="auto"/>
        <w:jc w:val="both"/>
        <w:rPr>
          <w:rFonts w:ascii="Arial" w:hAnsi="Arial" w:cs="Arial"/>
          <w:noProof/>
          <w:color w:val="000000" w:themeColor="text1"/>
          <w:sz w:val="22"/>
          <w:lang w:val="es-ES_tradnl"/>
        </w:rPr>
      </w:pPr>
    </w:p>
    <w:p w14:paraId="3778AD8B" w14:textId="2BA6841D" w:rsidR="00F101AF" w:rsidRPr="00AC7A12" w:rsidRDefault="00F101AF" w:rsidP="00B95C30">
      <w:pPr>
        <w:spacing w:line="276" w:lineRule="auto"/>
        <w:jc w:val="both"/>
        <w:rPr>
          <w:rFonts w:ascii="Arial" w:hAnsi="Arial" w:cs="Arial"/>
          <w:noProof/>
          <w:color w:val="000000" w:themeColor="text1"/>
          <w:sz w:val="22"/>
          <w:lang w:val="es-ES_tradnl"/>
        </w:rPr>
      </w:pPr>
    </w:p>
    <w:p w14:paraId="2E27257A" w14:textId="2ED5841A" w:rsidR="00F101AF" w:rsidRPr="00AC7A12" w:rsidRDefault="00F101AF" w:rsidP="00B95C30">
      <w:pPr>
        <w:spacing w:line="276" w:lineRule="auto"/>
        <w:jc w:val="both"/>
        <w:rPr>
          <w:rFonts w:ascii="Arial" w:hAnsi="Arial" w:cs="Arial"/>
          <w:noProof/>
          <w:color w:val="000000" w:themeColor="text1"/>
          <w:sz w:val="22"/>
          <w:lang w:val="es-ES_tradnl"/>
        </w:rPr>
      </w:pPr>
    </w:p>
    <w:p w14:paraId="5039978F" w14:textId="4C78390B" w:rsidR="00F101AF" w:rsidRPr="00AC7A12" w:rsidRDefault="00F101AF" w:rsidP="00B95C30">
      <w:pPr>
        <w:spacing w:line="276" w:lineRule="auto"/>
        <w:jc w:val="both"/>
        <w:rPr>
          <w:rFonts w:ascii="Arial" w:hAnsi="Arial" w:cs="Arial"/>
          <w:noProof/>
          <w:color w:val="000000" w:themeColor="text1"/>
          <w:sz w:val="22"/>
          <w:lang w:val="es-ES_tradnl"/>
        </w:rPr>
      </w:pPr>
    </w:p>
    <w:p w14:paraId="3B312AA5" w14:textId="683DD900" w:rsidR="00F101AF" w:rsidRPr="00AC7A12" w:rsidRDefault="00F101AF" w:rsidP="00B95C30">
      <w:pPr>
        <w:spacing w:line="276" w:lineRule="auto"/>
        <w:jc w:val="both"/>
        <w:rPr>
          <w:rFonts w:ascii="Arial" w:hAnsi="Arial" w:cs="Arial"/>
          <w:noProof/>
          <w:color w:val="000000" w:themeColor="text1"/>
          <w:sz w:val="22"/>
          <w:lang w:val="es-ES_tradnl"/>
        </w:rPr>
      </w:pPr>
    </w:p>
    <w:p w14:paraId="27BAC5C5" w14:textId="4341D834" w:rsidR="00F101AF" w:rsidRPr="00AC7A12" w:rsidRDefault="00F101AF" w:rsidP="00B95C30">
      <w:pPr>
        <w:spacing w:line="276" w:lineRule="auto"/>
        <w:jc w:val="both"/>
        <w:rPr>
          <w:rFonts w:ascii="Arial" w:hAnsi="Arial" w:cs="Arial"/>
          <w:noProof/>
          <w:color w:val="000000" w:themeColor="text1"/>
          <w:sz w:val="22"/>
          <w:lang w:val="es-ES_tradnl"/>
        </w:rPr>
      </w:pPr>
    </w:p>
    <w:p w14:paraId="5010213A" w14:textId="15D77BD9" w:rsidR="00F101AF" w:rsidRPr="00AC7A12" w:rsidRDefault="00F101AF" w:rsidP="00B95C30">
      <w:pPr>
        <w:spacing w:line="276" w:lineRule="auto"/>
        <w:jc w:val="both"/>
        <w:rPr>
          <w:rFonts w:ascii="Arial" w:hAnsi="Arial" w:cs="Arial"/>
          <w:noProof/>
          <w:color w:val="000000" w:themeColor="text1"/>
          <w:sz w:val="22"/>
          <w:lang w:val="es-ES_tradnl"/>
        </w:rPr>
      </w:pPr>
    </w:p>
    <w:p w14:paraId="06B6FC24" w14:textId="3C56B205" w:rsidR="00F101AF" w:rsidRDefault="00F101AF" w:rsidP="00B95C30">
      <w:pPr>
        <w:spacing w:line="276" w:lineRule="auto"/>
        <w:jc w:val="both"/>
        <w:rPr>
          <w:rFonts w:ascii="Arial" w:hAnsi="Arial" w:cs="Arial"/>
          <w:noProof/>
          <w:color w:val="000000" w:themeColor="text1"/>
          <w:sz w:val="22"/>
          <w:lang w:val="es-ES_tradnl"/>
        </w:rPr>
      </w:pPr>
    </w:p>
    <w:p w14:paraId="64F84A8C" w14:textId="77777777" w:rsidR="00726273" w:rsidRPr="00AC7A12" w:rsidRDefault="00726273" w:rsidP="00B95C30">
      <w:pPr>
        <w:spacing w:line="276" w:lineRule="auto"/>
        <w:jc w:val="both"/>
        <w:rPr>
          <w:rFonts w:ascii="Arial" w:hAnsi="Arial" w:cs="Arial"/>
          <w:noProof/>
          <w:color w:val="000000" w:themeColor="text1"/>
          <w:sz w:val="22"/>
          <w:lang w:val="es-ES_tradnl"/>
        </w:rPr>
      </w:pPr>
    </w:p>
    <w:p w14:paraId="276B0135" w14:textId="77777777" w:rsidR="000C4CC7" w:rsidRDefault="000C4CC7" w:rsidP="00B95C30">
      <w:pPr>
        <w:jc w:val="both"/>
        <w:rPr>
          <w:rFonts w:ascii="Arial" w:eastAsia="Calibri" w:hAnsi="Arial" w:cs="Arial"/>
          <w:color w:val="000000" w:themeColor="text1"/>
          <w:sz w:val="22"/>
          <w:lang w:val="es-ES_tradnl"/>
        </w:rPr>
      </w:pPr>
    </w:p>
    <w:p w14:paraId="35D21CCF" w14:textId="77777777" w:rsidR="000C4CC7" w:rsidRDefault="000C4CC7" w:rsidP="00B95C30">
      <w:pPr>
        <w:jc w:val="both"/>
        <w:rPr>
          <w:rFonts w:ascii="Arial" w:eastAsia="Calibri" w:hAnsi="Arial" w:cs="Arial"/>
          <w:color w:val="000000" w:themeColor="text1"/>
          <w:sz w:val="22"/>
          <w:lang w:val="es-ES_tradnl"/>
        </w:rPr>
      </w:pPr>
    </w:p>
    <w:p w14:paraId="43040190" w14:textId="77777777" w:rsidR="000C4CC7" w:rsidRDefault="000C4CC7" w:rsidP="00B95C30">
      <w:pPr>
        <w:jc w:val="both"/>
        <w:rPr>
          <w:rFonts w:ascii="Arial" w:eastAsia="Calibri" w:hAnsi="Arial" w:cs="Arial"/>
          <w:color w:val="000000" w:themeColor="text1"/>
          <w:sz w:val="22"/>
          <w:lang w:val="es-ES_tradnl"/>
        </w:rPr>
      </w:pPr>
    </w:p>
    <w:p w14:paraId="634EF9E9" w14:textId="77777777" w:rsidR="000C4CC7" w:rsidRDefault="000C4CC7" w:rsidP="00B95C30">
      <w:pPr>
        <w:jc w:val="both"/>
        <w:rPr>
          <w:rFonts w:ascii="Arial" w:eastAsia="Calibri" w:hAnsi="Arial" w:cs="Arial"/>
          <w:color w:val="000000" w:themeColor="text1"/>
          <w:sz w:val="22"/>
          <w:lang w:val="es-ES_tradnl"/>
        </w:rPr>
      </w:pPr>
    </w:p>
    <w:p w14:paraId="215F5099" w14:textId="77777777" w:rsidR="000C4CC7" w:rsidRDefault="000C4CC7" w:rsidP="00B95C30">
      <w:pPr>
        <w:jc w:val="both"/>
        <w:rPr>
          <w:rFonts w:ascii="Arial" w:eastAsia="Calibri" w:hAnsi="Arial" w:cs="Arial"/>
          <w:color w:val="000000" w:themeColor="text1"/>
          <w:sz w:val="22"/>
          <w:lang w:val="es-ES_tradnl"/>
        </w:rPr>
      </w:pPr>
    </w:p>
    <w:p w14:paraId="071C2C77" w14:textId="77777777" w:rsidR="000C4CC7" w:rsidRDefault="000C4CC7" w:rsidP="00B95C30">
      <w:pPr>
        <w:jc w:val="both"/>
        <w:rPr>
          <w:rFonts w:ascii="Arial" w:eastAsia="Calibri" w:hAnsi="Arial" w:cs="Arial"/>
          <w:color w:val="000000" w:themeColor="text1"/>
          <w:sz w:val="22"/>
          <w:lang w:val="es-ES_tradnl"/>
        </w:rPr>
      </w:pPr>
    </w:p>
    <w:p w14:paraId="3188B6C2" w14:textId="77777777" w:rsidR="000C4CC7" w:rsidRDefault="000C4CC7" w:rsidP="00B95C30">
      <w:pPr>
        <w:jc w:val="both"/>
        <w:rPr>
          <w:rFonts w:ascii="Arial" w:eastAsia="Calibri" w:hAnsi="Arial" w:cs="Arial"/>
          <w:color w:val="000000" w:themeColor="text1"/>
          <w:sz w:val="22"/>
          <w:lang w:val="es-ES_tradnl"/>
        </w:rPr>
      </w:pPr>
    </w:p>
    <w:p w14:paraId="4B843FF7" w14:textId="77777777" w:rsidR="000C4CC7" w:rsidRDefault="000C4CC7" w:rsidP="00B95C30">
      <w:pPr>
        <w:jc w:val="both"/>
        <w:rPr>
          <w:rFonts w:ascii="Arial" w:eastAsia="Calibri" w:hAnsi="Arial" w:cs="Arial"/>
          <w:color w:val="000000" w:themeColor="text1"/>
          <w:sz w:val="22"/>
          <w:lang w:val="es-ES_tradnl"/>
        </w:rPr>
      </w:pPr>
    </w:p>
    <w:p w14:paraId="5104B71B" w14:textId="77777777" w:rsidR="000C4CC7" w:rsidRDefault="000C4CC7" w:rsidP="00B95C30">
      <w:pPr>
        <w:jc w:val="both"/>
        <w:rPr>
          <w:rFonts w:ascii="Arial" w:eastAsia="Calibri" w:hAnsi="Arial" w:cs="Arial"/>
          <w:color w:val="000000" w:themeColor="text1"/>
          <w:sz w:val="22"/>
          <w:lang w:val="es-ES_tradnl"/>
        </w:rPr>
      </w:pPr>
    </w:p>
    <w:p w14:paraId="16C4678F" w14:textId="77777777" w:rsidR="000C4CC7" w:rsidRDefault="000C4CC7" w:rsidP="00B95C30">
      <w:pPr>
        <w:jc w:val="both"/>
        <w:rPr>
          <w:rFonts w:ascii="Arial" w:eastAsia="Calibri" w:hAnsi="Arial" w:cs="Arial"/>
          <w:color w:val="000000" w:themeColor="text1"/>
          <w:sz w:val="22"/>
          <w:lang w:val="es-ES_tradnl"/>
        </w:rPr>
      </w:pPr>
    </w:p>
    <w:p w14:paraId="44FE915A" w14:textId="77777777" w:rsidR="000C4CC7" w:rsidRDefault="000C4CC7" w:rsidP="00B95C30">
      <w:pPr>
        <w:jc w:val="both"/>
        <w:rPr>
          <w:rFonts w:ascii="Arial" w:eastAsia="Calibri" w:hAnsi="Arial" w:cs="Arial"/>
          <w:color w:val="000000" w:themeColor="text1"/>
          <w:sz w:val="22"/>
          <w:lang w:val="es-ES_tradnl"/>
        </w:rPr>
      </w:pPr>
    </w:p>
    <w:p w14:paraId="25A61000" w14:textId="77777777" w:rsidR="000C4CC7" w:rsidRDefault="000C4CC7" w:rsidP="00B95C30">
      <w:pPr>
        <w:jc w:val="both"/>
        <w:rPr>
          <w:rFonts w:ascii="Arial" w:eastAsia="Calibri" w:hAnsi="Arial" w:cs="Arial"/>
          <w:color w:val="000000" w:themeColor="text1"/>
          <w:sz w:val="22"/>
          <w:lang w:val="es-ES_tradnl"/>
        </w:rPr>
      </w:pPr>
    </w:p>
    <w:p w14:paraId="6BABA38A" w14:textId="77777777" w:rsidR="000C4CC7" w:rsidRDefault="000C4CC7" w:rsidP="00B95C30">
      <w:pPr>
        <w:jc w:val="both"/>
        <w:rPr>
          <w:rFonts w:ascii="Arial" w:eastAsia="Calibri" w:hAnsi="Arial" w:cs="Arial"/>
          <w:color w:val="000000" w:themeColor="text1"/>
          <w:sz w:val="22"/>
          <w:lang w:val="es-ES_tradnl"/>
        </w:rPr>
      </w:pPr>
    </w:p>
    <w:p w14:paraId="533B71E3" w14:textId="77777777" w:rsidR="000C4CC7" w:rsidRDefault="000C4CC7" w:rsidP="00B95C30">
      <w:pPr>
        <w:jc w:val="both"/>
        <w:rPr>
          <w:rFonts w:ascii="Arial" w:eastAsia="Calibri" w:hAnsi="Arial" w:cs="Arial"/>
          <w:color w:val="000000" w:themeColor="text1"/>
          <w:sz w:val="22"/>
          <w:lang w:val="es-ES_tradnl"/>
        </w:rPr>
      </w:pPr>
    </w:p>
    <w:p w14:paraId="7B797D83" w14:textId="77777777" w:rsidR="000C4CC7" w:rsidRDefault="000C4CC7" w:rsidP="00B95C30">
      <w:pPr>
        <w:jc w:val="both"/>
        <w:rPr>
          <w:rFonts w:ascii="Arial" w:eastAsia="Calibri" w:hAnsi="Arial" w:cs="Arial"/>
          <w:color w:val="000000" w:themeColor="text1"/>
          <w:sz w:val="22"/>
          <w:lang w:val="es-ES_tradnl"/>
        </w:rPr>
      </w:pPr>
    </w:p>
    <w:p w14:paraId="35193999" w14:textId="77777777" w:rsidR="000C4CC7" w:rsidRDefault="000C4CC7" w:rsidP="00B95C30">
      <w:pPr>
        <w:jc w:val="both"/>
        <w:rPr>
          <w:rFonts w:ascii="Arial" w:eastAsia="Calibri" w:hAnsi="Arial" w:cs="Arial"/>
          <w:color w:val="000000" w:themeColor="text1"/>
          <w:sz w:val="22"/>
          <w:lang w:val="es-ES_tradnl"/>
        </w:rPr>
      </w:pPr>
    </w:p>
    <w:p w14:paraId="1E6F0290" w14:textId="77777777" w:rsidR="000C4CC7" w:rsidRDefault="000C4CC7" w:rsidP="00B95C30">
      <w:pPr>
        <w:jc w:val="both"/>
        <w:rPr>
          <w:rFonts w:ascii="Arial" w:eastAsia="Calibri" w:hAnsi="Arial" w:cs="Arial"/>
          <w:color w:val="000000" w:themeColor="text1"/>
          <w:sz w:val="22"/>
          <w:lang w:val="es-ES_tradnl"/>
        </w:rPr>
      </w:pPr>
    </w:p>
    <w:p w14:paraId="671019EE" w14:textId="77777777" w:rsidR="000C4CC7" w:rsidRDefault="000C4CC7" w:rsidP="00B95C30">
      <w:pPr>
        <w:jc w:val="both"/>
        <w:rPr>
          <w:rFonts w:ascii="Arial" w:eastAsia="Calibri" w:hAnsi="Arial" w:cs="Arial"/>
          <w:color w:val="000000" w:themeColor="text1"/>
          <w:sz w:val="22"/>
          <w:lang w:val="es-ES_tradnl"/>
        </w:rPr>
      </w:pPr>
    </w:p>
    <w:p w14:paraId="26125D82" w14:textId="77777777" w:rsidR="000C4CC7" w:rsidRDefault="000C4CC7" w:rsidP="00B95C30">
      <w:pPr>
        <w:jc w:val="both"/>
        <w:rPr>
          <w:rFonts w:ascii="Arial" w:eastAsia="Calibri" w:hAnsi="Arial" w:cs="Arial"/>
          <w:color w:val="000000" w:themeColor="text1"/>
          <w:sz w:val="22"/>
          <w:lang w:val="es-ES_tradnl"/>
        </w:rPr>
      </w:pPr>
    </w:p>
    <w:p w14:paraId="134A7FDC" w14:textId="77777777" w:rsidR="000C4CC7" w:rsidRDefault="000C4CC7" w:rsidP="00B95C30">
      <w:pPr>
        <w:jc w:val="both"/>
        <w:rPr>
          <w:rFonts w:ascii="Arial" w:eastAsia="Calibri" w:hAnsi="Arial" w:cs="Arial"/>
          <w:color w:val="000000" w:themeColor="text1"/>
          <w:sz w:val="22"/>
          <w:lang w:val="es-ES_tradnl"/>
        </w:rPr>
      </w:pPr>
    </w:p>
    <w:p w14:paraId="275EBBDA" w14:textId="77777777" w:rsidR="000C4CC7" w:rsidRDefault="000C4CC7" w:rsidP="00B95C30">
      <w:pPr>
        <w:jc w:val="both"/>
        <w:rPr>
          <w:rFonts w:ascii="Arial" w:eastAsia="Calibri" w:hAnsi="Arial" w:cs="Arial"/>
          <w:color w:val="000000" w:themeColor="text1"/>
          <w:sz w:val="22"/>
          <w:lang w:val="es-ES_tradnl"/>
        </w:rPr>
      </w:pPr>
    </w:p>
    <w:p w14:paraId="16530228" w14:textId="3569FC37" w:rsidR="000C4CC7" w:rsidRDefault="00F00FF0"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Bogotá, 25 de agosto de 2021</w:t>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sidRPr="00F00FF0">
        <w:rPr>
          <w:rFonts w:ascii="Arial" w:eastAsia="Calibri" w:hAnsi="Arial" w:cs="Arial"/>
          <w:color w:val="000000" w:themeColor="text1"/>
          <w:sz w:val="22"/>
          <w:lang w:val="es-ES_tradnl"/>
        </w:rPr>
        <w:drawing>
          <wp:inline distT="0" distB="0" distL="0" distR="0" wp14:anchorId="288058BA" wp14:editId="5ED88D5E">
            <wp:extent cx="1714500" cy="4699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1714500" cy="469900"/>
                    </a:xfrm>
                    <a:prstGeom prst="rect">
                      <a:avLst/>
                    </a:prstGeom>
                  </pic:spPr>
                </pic:pic>
              </a:graphicData>
            </a:graphic>
          </wp:inline>
        </w:drawing>
      </w:r>
    </w:p>
    <w:p w14:paraId="3DFD9B34" w14:textId="77777777" w:rsidR="00F00FF0" w:rsidRDefault="00F00FF0" w:rsidP="00B95C30">
      <w:pPr>
        <w:jc w:val="both"/>
        <w:rPr>
          <w:rFonts w:ascii="Arial" w:eastAsia="Calibri" w:hAnsi="Arial" w:cs="Arial"/>
          <w:color w:val="000000" w:themeColor="text1"/>
          <w:sz w:val="22"/>
          <w:lang w:val="es-ES_tradnl"/>
        </w:rPr>
      </w:pPr>
    </w:p>
    <w:p w14:paraId="5F5AE9EF" w14:textId="7859565C" w:rsidR="00B95C30" w:rsidRPr="00AC7A12" w:rsidRDefault="00BE4FBF" w:rsidP="00B95C30">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Señor</w:t>
      </w:r>
    </w:p>
    <w:p w14:paraId="3DCD58CE" w14:textId="5AFA8487" w:rsidR="00B95C30" w:rsidRPr="00AC7A12" w:rsidRDefault="00F03E7A"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Hernán Roberto Guarín Valderrama </w:t>
      </w:r>
    </w:p>
    <w:p w14:paraId="09D4AEA8" w14:textId="658189A9" w:rsidR="00B95C30" w:rsidRPr="00AC7A12" w:rsidRDefault="00716BB0" w:rsidP="00B95C30">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Bogotá D.C.</w:t>
      </w:r>
    </w:p>
    <w:p w14:paraId="3B584A57" w14:textId="4528CA3D" w:rsidR="00F53F4F" w:rsidRPr="00AC7A12" w:rsidRDefault="00F53F4F" w:rsidP="00B95C30">
      <w:pPr>
        <w:jc w:val="both"/>
        <w:rPr>
          <w:rFonts w:ascii="Arial" w:eastAsia="Calibri" w:hAnsi="Arial" w:cs="Arial"/>
          <w:color w:val="000000" w:themeColor="text1"/>
          <w:sz w:val="22"/>
          <w:lang w:val="es-ES_tradnl"/>
        </w:rPr>
      </w:pPr>
    </w:p>
    <w:p w14:paraId="48E36FCF" w14:textId="77777777" w:rsidR="00F53F4F" w:rsidRPr="00AC7A12" w:rsidRDefault="00F53F4F" w:rsidP="00B95C30">
      <w:pPr>
        <w:jc w:val="both"/>
        <w:rPr>
          <w:rFonts w:ascii="Arial" w:eastAsia="Calibri" w:hAnsi="Arial" w:cs="Arial"/>
          <w:color w:val="000000" w:themeColor="text1"/>
          <w:sz w:val="22"/>
          <w:lang w:val="es-ES_tradnl"/>
        </w:rPr>
      </w:pPr>
    </w:p>
    <w:p w14:paraId="12E66182" w14:textId="12F5125E" w:rsidR="00B95C30" w:rsidRPr="00AC7A12" w:rsidRDefault="00F53F4F" w:rsidP="001D6CD2">
      <w:pPr>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 xml:space="preserve">Concepto C ‒ </w:t>
      </w:r>
      <w:r w:rsidR="00F03E7A">
        <w:rPr>
          <w:rFonts w:ascii="Arial" w:eastAsia="Calibri" w:hAnsi="Arial" w:cs="Arial"/>
          <w:b/>
          <w:bCs/>
          <w:color w:val="000000" w:themeColor="text1"/>
          <w:sz w:val="22"/>
          <w:lang w:val="es-ES_tradnl"/>
        </w:rPr>
        <w:t>4</w:t>
      </w:r>
      <w:r w:rsidR="003075A1">
        <w:rPr>
          <w:rFonts w:ascii="Arial" w:eastAsia="Calibri" w:hAnsi="Arial" w:cs="Arial"/>
          <w:b/>
          <w:bCs/>
          <w:color w:val="000000" w:themeColor="text1"/>
          <w:sz w:val="22"/>
          <w:lang w:val="es-ES_tradnl"/>
        </w:rPr>
        <w:t>07</w:t>
      </w:r>
      <w:r w:rsidR="00B95C30" w:rsidRPr="00AC7A12">
        <w:rPr>
          <w:rFonts w:ascii="Arial" w:eastAsia="Calibri" w:hAnsi="Arial" w:cs="Arial"/>
          <w:b/>
          <w:bCs/>
          <w:color w:val="000000" w:themeColor="text1"/>
          <w:sz w:val="22"/>
          <w:lang w:val="es-ES_tradnl"/>
        </w:rPr>
        <w:t xml:space="preserve"> de 202</w:t>
      </w:r>
      <w:r w:rsidR="005E781C" w:rsidRPr="00AC7A12">
        <w:rPr>
          <w:rFonts w:ascii="Arial" w:eastAsia="Calibri" w:hAnsi="Arial" w:cs="Arial"/>
          <w:b/>
          <w:bCs/>
          <w:color w:val="000000" w:themeColor="text1"/>
          <w:sz w:val="22"/>
          <w:lang w:val="es-ES_tradnl"/>
        </w:rPr>
        <w:t>1</w:t>
      </w:r>
    </w:p>
    <w:p w14:paraId="1BD594F9" w14:textId="77777777" w:rsidR="00B95C30" w:rsidRPr="00AC7A1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C7A12" w14:paraId="19DFC051" w14:textId="77777777" w:rsidTr="003D7F30">
        <w:tc>
          <w:tcPr>
            <w:tcW w:w="2689" w:type="dxa"/>
          </w:tcPr>
          <w:p w14:paraId="6BC0D1AC" w14:textId="77777777" w:rsidR="00B95C30" w:rsidRPr="00AC7A12" w:rsidRDefault="00B95C30" w:rsidP="008F4163">
            <w:pPr>
              <w:jc w:val="both"/>
              <w:rPr>
                <w:rFonts w:ascii="Arial" w:eastAsia="Calibri" w:hAnsi="Arial" w:cs="Arial"/>
                <w:color w:val="000000" w:themeColor="text1"/>
                <w:sz w:val="22"/>
                <w:lang w:val="es-ES_tradnl"/>
              </w:rPr>
            </w:pPr>
            <w:r w:rsidRPr="00AC7A12">
              <w:rPr>
                <w:rFonts w:ascii="Arial" w:eastAsia="Calibri" w:hAnsi="Arial" w:cs="Arial"/>
                <w:b/>
                <w:color w:val="000000" w:themeColor="text1"/>
                <w:sz w:val="22"/>
                <w:lang w:val="es-ES_tradnl"/>
              </w:rPr>
              <w:t>Temas:</w:t>
            </w:r>
            <w:r w:rsidRPr="00AC7A12">
              <w:rPr>
                <w:rFonts w:ascii="Arial" w:eastAsia="Calibri" w:hAnsi="Arial" w:cs="Arial"/>
                <w:color w:val="000000" w:themeColor="text1"/>
                <w:sz w:val="22"/>
                <w:lang w:val="es-ES_tradnl"/>
              </w:rPr>
              <w:t xml:space="preserve">                                      </w:t>
            </w:r>
          </w:p>
        </w:tc>
        <w:tc>
          <w:tcPr>
            <w:tcW w:w="6237" w:type="dxa"/>
          </w:tcPr>
          <w:p w14:paraId="5F389CAF" w14:textId="14CD9398" w:rsidR="00B95C30" w:rsidRPr="00CA4D48" w:rsidRDefault="00CA4D48" w:rsidP="0031475A">
            <w:pPr>
              <w:jc w:val="both"/>
              <w:rPr>
                <w:rFonts w:ascii="Arial" w:eastAsia="Calibri" w:hAnsi="Arial" w:cs="Arial"/>
                <w:bCs/>
                <w:sz w:val="22"/>
                <w:lang w:val="es-ES_tradnl"/>
              </w:rPr>
            </w:pPr>
            <w:r w:rsidRPr="00CA4D48">
              <w:rPr>
                <w:rFonts w:ascii="Arial" w:eastAsia="Calibri" w:hAnsi="Arial" w:cs="Arial"/>
                <w:bCs/>
                <w:sz w:val="22"/>
                <w:lang w:val="es-ES_tradnl"/>
              </w:rPr>
              <w:t xml:space="preserve">REGISTRO ÚNICO DE PROPONENTES – </w:t>
            </w:r>
            <w:r w:rsidR="000C4CC7" w:rsidRPr="000C4CC7">
              <w:rPr>
                <w:rFonts w:ascii="Arial" w:eastAsia="Calibri" w:hAnsi="Arial" w:cs="Arial"/>
                <w:bCs/>
                <w:sz w:val="22"/>
                <w:lang w:val="es-ES_tradnl"/>
              </w:rPr>
              <w:t>Sujetos obligados</w:t>
            </w:r>
            <w:r>
              <w:rPr>
                <w:rFonts w:ascii="Arial" w:eastAsia="Calibri" w:hAnsi="Arial" w:cs="Arial"/>
                <w:bCs/>
                <w:sz w:val="22"/>
                <w:lang w:val="es-ES_tradnl"/>
              </w:rPr>
              <w:t xml:space="preserve"> / </w:t>
            </w:r>
            <w:r w:rsidR="00EB610C" w:rsidRPr="00AC7A12">
              <w:rPr>
                <w:rFonts w:ascii="Arial" w:eastAsia="Calibri" w:hAnsi="Arial" w:cs="Arial"/>
                <w:bCs/>
                <w:sz w:val="22"/>
                <w:lang w:val="es-ES_tradnl"/>
              </w:rPr>
              <w:t>CAPACIDAD FINANCIERA</w:t>
            </w:r>
            <w:r w:rsidR="000C4CC7">
              <w:rPr>
                <w:rFonts w:ascii="Arial" w:eastAsia="Calibri" w:hAnsi="Arial" w:cs="Arial"/>
                <w:bCs/>
                <w:sz w:val="22"/>
                <w:lang w:val="es-ES_tradnl"/>
              </w:rPr>
              <w:t xml:space="preserve"> y CAPACIDAD ORGANIZACIONAL</w:t>
            </w:r>
            <w:r w:rsidR="00EB610C" w:rsidRPr="00AC7A12">
              <w:rPr>
                <w:rFonts w:ascii="Arial" w:eastAsia="Calibri" w:hAnsi="Arial" w:cs="Arial"/>
                <w:bCs/>
                <w:sz w:val="22"/>
                <w:lang w:val="es-ES_tradnl"/>
              </w:rPr>
              <w:t xml:space="preserve"> – Concepto</w:t>
            </w:r>
            <w:r w:rsidR="000C4CC7">
              <w:rPr>
                <w:rFonts w:ascii="Arial" w:eastAsia="Calibri" w:hAnsi="Arial" w:cs="Arial"/>
                <w:bCs/>
                <w:sz w:val="22"/>
                <w:lang w:val="es-ES_tradnl"/>
              </w:rPr>
              <w:t>s</w:t>
            </w:r>
            <w:r w:rsidR="00EB610C" w:rsidRPr="00AC7A12">
              <w:rPr>
                <w:rFonts w:ascii="Arial" w:eastAsia="Calibri" w:hAnsi="Arial" w:cs="Arial"/>
                <w:bCs/>
                <w:sz w:val="22"/>
                <w:lang w:val="es-ES_tradnl"/>
              </w:rPr>
              <w:t xml:space="preserve"> – Requisito</w:t>
            </w:r>
            <w:r w:rsidR="000C4CC7">
              <w:rPr>
                <w:rFonts w:ascii="Arial" w:eastAsia="Calibri" w:hAnsi="Arial" w:cs="Arial"/>
                <w:bCs/>
                <w:sz w:val="22"/>
                <w:lang w:val="es-ES_tradnl"/>
              </w:rPr>
              <w:t>s</w:t>
            </w:r>
            <w:r w:rsidR="00EB610C" w:rsidRPr="00AC7A12">
              <w:rPr>
                <w:rFonts w:ascii="Arial" w:eastAsia="Calibri" w:hAnsi="Arial" w:cs="Arial"/>
                <w:bCs/>
                <w:sz w:val="22"/>
                <w:lang w:val="es-ES_tradnl"/>
              </w:rPr>
              <w:t xml:space="preserve"> habilitante</w:t>
            </w:r>
            <w:r w:rsidR="000C4CC7">
              <w:rPr>
                <w:rFonts w:ascii="Arial" w:eastAsia="Calibri" w:hAnsi="Arial" w:cs="Arial"/>
                <w:bCs/>
                <w:sz w:val="22"/>
                <w:lang w:val="es-ES_tradnl"/>
              </w:rPr>
              <w:t>s</w:t>
            </w:r>
            <w:r w:rsidR="00EB610C" w:rsidRPr="00AC7A12">
              <w:rPr>
                <w:rFonts w:ascii="Arial" w:eastAsia="Calibri" w:hAnsi="Arial" w:cs="Arial"/>
                <w:bCs/>
                <w:sz w:val="22"/>
                <w:lang w:val="es-ES_tradnl"/>
              </w:rPr>
              <w:t xml:space="preserve"> / DECRETO 399 DE 2021 – Finalidad – Reactivación económica / DECRETO</w:t>
            </w:r>
            <w:r w:rsidR="00694901">
              <w:rPr>
                <w:rFonts w:ascii="Arial" w:eastAsia="Calibri" w:hAnsi="Arial" w:cs="Arial"/>
                <w:bCs/>
                <w:sz w:val="22"/>
                <w:lang w:val="es-ES_tradnl"/>
              </w:rPr>
              <w:t>S</w:t>
            </w:r>
            <w:r w:rsidR="00EB610C" w:rsidRPr="00AC7A12">
              <w:rPr>
                <w:rFonts w:ascii="Arial" w:eastAsia="Calibri" w:hAnsi="Arial" w:cs="Arial"/>
                <w:bCs/>
                <w:sz w:val="22"/>
                <w:lang w:val="es-ES_tradnl"/>
              </w:rPr>
              <w:t xml:space="preserve"> 399</w:t>
            </w:r>
            <w:r w:rsidR="00694901">
              <w:rPr>
                <w:rFonts w:ascii="Arial" w:eastAsia="Calibri" w:hAnsi="Arial" w:cs="Arial"/>
                <w:bCs/>
                <w:sz w:val="22"/>
                <w:lang w:val="es-ES_tradnl"/>
              </w:rPr>
              <w:t xml:space="preserve"> Y 579</w:t>
            </w:r>
            <w:r w:rsidR="00EB610C" w:rsidRPr="00AC7A12">
              <w:rPr>
                <w:rFonts w:ascii="Arial" w:eastAsia="Calibri" w:hAnsi="Arial" w:cs="Arial"/>
                <w:bCs/>
                <w:sz w:val="22"/>
                <w:lang w:val="es-ES_tradnl"/>
              </w:rPr>
              <w:t xml:space="preserve"> DE 2021 – Información – Capacidad financiera – Capacidad organizacional – RUP / DECRETO 399</w:t>
            </w:r>
            <w:r w:rsidR="00694901">
              <w:rPr>
                <w:rFonts w:ascii="Arial" w:eastAsia="Calibri" w:hAnsi="Arial" w:cs="Arial"/>
                <w:bCs/>
                <w:sz w:val="22"/>
                <w:lang w:val="es-ES_tradnl"/>
              </w:rPr>
              <w:t xml:space="preserve"> Y 579</w:t>
            </w:r>
            <w:r w:rsidR="00EB610C" w:rsidRPr="00AC7A12">
              <w:rPr>
                <w:rFonts w:ascii="Arial" w:eastAsia="Calibri" w:hAnsi="Arial" w:cs="Arial"/>
                <w:bCs/>
                <w:sz w:val="22"/>
                <w:lang w:val="es-ES_tradnl"/>
              </w:rPr>
              <w:t xml:space="preserve"> DE 2021 – Indicadores – Capacidad financiera – Capacidad organizacional – Período / MEJOR AÑO FISCAL – Decreto 399</w:t>
            </w:r>
            <w:r w:rsidR="00694901">
              <w:rPr>
                <w:rFonts w:ascii="Arial" w:eastAsia="Calibri" w:hAnsi="Arial" w:cs="Arial"/>
                <w:bCs/>
                <w:sz w:val="22"/>
                <w:lang w:val="es-ES_tradnl"/>
              </w:rPr>
              <w:t xml:space="preserve"> Y 579 DE 2021</w:t>
            </w:r>
            <w:r w:rsidR="00EB610C" w:rsidRPr="00AC7A12">
              <w:rPr>
                <w:rFonts w:ascii="Arial" w:eastAsia="Calibri" w:hAnsi="Arial" w:cs="Arial"/>
                <w:bCs/>
                <w:sz w:val="22"/>
                <w:lang w:val="es-ES_tradnl"/>
              </w:rPr>
              <w:t xml:space="preserve"> – Capacidad financiera – Capacidad organizacional – Interpretación / CAPACIDAD RESIDUAL – Cálculo – Decreto 399</w:t>
            </w:r>
            <w:r w:rsidR="00694901">
              <w:rPr>
                <w:rFonts w:ascii="Arial" w:eastAsia="Calibri" w:hAnsi="Arial" w:cs="Arial"/>
                <w:bCs/>
                <w:sz w:val="22"/>
                <w:lang w:val="es-ES_tradnl"/>
              </w:rPr>
              <w:t xml:space="preserve"> Y 579 DE 2021</w:t>
            </w:r>
            <w:r w:rsidR="00EB610C" w:rsidRPr="00AC7A12">
              <w:rPr>
                <w:rFonts w:ascii="Arial" w:eastAsia="Calibri" w:hAnsi="Arial" w:cs="Arial"/>
                <w:bCs/>
                <w:sz w:val="22"/>
                <w:lang w:val="es-ES_tradnl"/>
              </w:rPr>
              <w:t xml:space="preserve"> – Capacidad financiera – Incidencia</w:t>
            </w:r>
            <w:r w:rsidR="000C4CC7">
              <w:rPr>
                <w:rFonts w:ascii="Arial" w:eastAsia="Calibri" w:hAnsi="Arial" w:cs="Arial"/>
                <w:bCs/>
                <w:sz w:val="22"/>
                <w:lang w:val="es-ES_tradnl"/>
              </w:rPr>
              <w:t xml:space="preserve"> / </w:t>
            </w:r>
            <w:r w:rsidR="000C4CC7" w:rsidRPr="000C4CC7">
              <w:rPr>
                <w:rFonts w:ascii="Arial" w:eastAsia="Calibri" w:hAnsi="Arial" w:cs="Arial"/>
                <w:bCs/>
                <w:sz w:val="22"/>
                <w:lang w:val="es-ES_tradnl"/>
              </w:rPr>
              <w:t>PROPONENTES PLURALES – Mejor año fiscal – Decretos 399 y 579 de 2021</w:t>
            </w:r>
          </w:p>
        </w:tc>
      </w:tr>
      <w:tr w:rsidR="00B95C30" w:rsidRPr="00AC7A12" w14:paraId="27CD52AB" w14:textId="77777777" w:rsidTr="003D7F30">
        <w:tc>
          <w:tcPr>
            <w:tcW w:w="2689" w:type="dxa"/>
          </w:tcPr>
          <w:p w14:paraId="37E195A1" w14:textId="1BA218D5" w:rsidR="00B95C30" w:rsidRPr="00AC7A12" w:rsidRDefault="00B95C30" w:rsidP="008F4163">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09088B1B" w14:textId="2B5FCA75" w:rsidR="00B95C30" w:rsidRPr="00AC7A12" w:rsidRDefault="00B95C30" w:rsidP="008F4163">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Respuesta a consult</w:t>
            </w:r>
            <w:r w:rsidR="009977B1"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 xml:space="preserve"># </w:t>
            </w:r>
            <w:r w:rsidR="00A33CD0" w:rsidRPr="00AC7A12">
              <w:rPr>
                <w:rFonts w:ascii="Arial" w:eastAsia="Calibri" w:hAnsi="Arial" w:cs="Arial"/>
                <w:color w:val="000000" w:themeColor="text1"/>
                <w:sz w:val="22"/>
                <w:lang w:val="es-ES_tradnl"/>
              </w:rPr>
              <w:t>P2021</w:t>
            </w:r>
            <w:r w:rsidR="00F03E7A">
              <w:rPr>
                <w:rFonts w:ascii="Arial" w:eastAsia="Calibri" w:hAnsi="Arial" w:cs="Arial"/>
                <w:color w:val="000000" w:themeColor="text1"/>
                <w:sz w:val="22"/>
                <w:lang w:val="es-ES_tradnl"/>
              </w:rPr>
              <w:t>0712006116</w:t>
            </w:r>
          </w:p>
        </w:tc>
      </w:tr>
    </w:tbl>
    <w:p w14:paraId="61B55CA4" w14:textId="77777777" w:rsidR="00716BB0" w:rsidRPr="00AC7A12" w:rsidRDefault="00716BB0" w:rsidP="003C3339">
      <w:pPr>
        <w:jc w:val="both"/>
        <w:rPr>
          <w:rFonts w:ascii="Arial" w:eastAsia="Calibri" w:hAnsi="Arial" w:cs="Arial"/>
          <w:color w:val="000000" w:themeColor="text1"/>
          <w:sz w:val="22"/>
          <w:lang w:val="es-ES_tradnl"/>
        </w:rPr>
      </w:pPr>
    </w:p>
    <w:p w14:paraId="4B9B5156" w14:textId="77777777" w:rsidR="00716BB0" w:rsidRPr="00AC7A12" w:rsidRDefault="00716BB0" w:rsidP="003C3339">
      <w:pPr>
        <w:jc w:val="both"/>
        <w:rPr>
          <w:rFonts w:ascii="Arial" w:eastAsia="Calibri" w:hAnsi="Arial" w:cs="Arial"/>
          <w:color w:val="000000" w:themeColor="text1"/>
          <w:sz w:val="22"/>
          <w:lang w:val="es-ES_tradnl"/>
        </w:rPr>
      </w:pPr>
    </w:p>
    <w:p w14:paraId="1CF4AEA0" w14:textId="7DC2F01F" w:rsidR="003C3339" w:rsidRPr="00AC7A12" w:rsidRDefault="003C3339" w:rsidP="003C3339">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Estimad</w:t>
      </w:r>
      <w:r w:rsidR="00F03E7A">
        <w:rPr>
          <w:rFonts w:ascii="Arial" w:eastAsia="Calibri" w:hAnsi="Arial" w:cs="Arial"/>
          <w:color w:val="000000" w:themeColor="text1"/>
          <w:sz w:val="22"/>
          <w:lang w:val="es-ES_tradnl"/>
        </w:rPr>
        <w:t>o</w:t>
      </w:r>
      <w:r w:rsidRPr="00AC7A12">
        <w:rPr>
          <w:rFonts w:ascii="Arial" w:eastAsia="Calibri" w:hAnsi="Arial" w:cs="Arial"/>
          <w:color w:val="000000" w:themeColor="text1"/>
          <w:sz w:val="22"/>
          <w:lang w:val="es-ES_tradnl"/>
        </w:rPr>
        <w:t xml:space="preserve"> </w:t>
      </w:r>
      <w:r w:rsidR="0063732C" w:rsidRPr="00AC7A12">
        <w:rPr>
          <w:rFonts w:ascii="Arial" w:eastAsia="Calibri" w:hAnsi="Arial" w:cs="Arial"/>
          <w:color w:val="000000" w:themeColor="text1"/>
          <w:sz w:val="22"/>
          <w:lang w:val="es-ES_tradnl"/>
        </w:rPr>
        <w:t>señor</w:t>
      </w:r>
      <w:r w:rsidR="00BE4FBF" w:rsidRPr="00AC7A12">
        <w:rPr>
          <w:rFonts w:ascii="Arial" w:eastAsia="Calibri" w:hAnsi="Arial" w:cs="Arial"/>
          <w:color w:val="000000" w:themeColor="text1"/>
          <w:sz w:val="22"/>
          <w:lang w:val="es-ES_tradnl"/>
        </w:rPr>
        <w:t xml:space="preserve"> </w:t>
      </w:r>
      <w:r w:rsidR="00F03E7A">
        <w:rPr>
          <w:rFonts w:ascii="Arial" w:eastAsia="Calibri" w:hAnsi="Arial" w:cs="Arial"/>
          <w:color w:val="000000" w:themeColor="text1"/>
          <w:sz w:val="22"/>
          <w:lang w:val="es-ES_tradnl"/>
        </w:rPr>
        <w:t>Guarín</w:t>
      </w:r>
      <w:r w:rsidRPr="00AC7A12">
        <w:rPr>
          <w:rFonts w:ascii="Arial" w:eastAsia="Calibri" w:hAnsi="Arial" w:cs="Arial"/>
          <w:color w:val="000000" w:themeColor="text1"/>
          <w:sz w:val="22"/>
          <w:lang w:val="es-ES_tradnl"/>
        </w:rPr>
        <w:t>:</w:t>
      </w:r>
    </w:p>
    <w:p w14:paraId="1EAE5543" w14:textId="77777777" w:rsidR="00DD5B04" w:rsidRPr="00AC7A12" w:rsidRDefault="00DD5B04" w:rsidP="00DF76A2">
      <w:pPr>
        <w:jc w:val="both"/>
        <w:rPr>
          <w:rFonts w:ascii="Arial" w:eastAsia="Calibri" w:hAnsi="Arial" w:cs="Arial"/>
          <w:color w:val="000000" w:themeColor="text1"/>
          <w:sz w:val="22"/>
          <w:lang w:val="es-ES_tradnl"/>
        </w:rPr>
      </w:pPr>
    </w:p>
    <w:p w14:paraId="2109B2D3" w14:textId="14E6B3C9"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55562A">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Colombia Compra Eficiente</w:t>
      </w:r>
      <w:r w:rsidR="008C3C5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responde su consulta del</w:t>
      </w:r>
      <w:r w:rsidR="00F03E7A">
        <w:rPr>
          <w:rFonts w:ascii="Arial" w:eastAsia="Calibri" w:hAnsi="Arial" w:cs="Arial"/>
          <w:color w:val="000000" w:themeColor="text1"/>
          <w:sz w:val="22"/>
          <w:lang w:val="es-ES_tradnl"/>
        </w:rPr>
        <w:t xml:space="preserve"> 12</w:t>
      </w:r>
      <w:r w:rsidR="00FD4AF3" w:rsidRPr="00AC7A12">
        <w:rPr>
          <w:rFonts w:ascii="Arial" w:eastAsia="Calibri" w:hAnsi="Arial" w:cs="Arial"/>
          <w:color w:val="000000" w:themeColor="text1"/>
          <w:sz w:val="22"/>
          <w:lang w:val="es-ES_tradnl"/>
        </w:rPr>
        <w:t xml:space="preserve"> de </w:t>
      </w:r>
      <w:r w:rsidR="00F03E7A">
        <w:rPr>
          <w:rFonts w:ascii="Arial" w:eastAsia="Calibri" w:hAnsi="Arial" w:cs="Arial"/>
          <w:color w:val="000000" w:themeColor="text1"/>
          <w:sz w:val="22"/>
          <w:lang w:val="es-ES_tradnl"/>
        </w:rPr>
        <w:t>julio</w:t>
      </w:r>
      <w:r w:rsidRPr="00AC7A12">
        <w:rPr>
          <w:rFonts w:ascii="Arial" w:eastAsia="Calibri" w:hAnsi="Arial" w:cs="Arial"/>
          <w:color w:val="000000" w:themeColor="text1"/>
          <w:sz w:val="22"/>
          <w:lang w:val="es-ES_tradnl"/>
        </w:rPr>
        <w:t xml:space="preserve"> del</w:t>
      </w:r>
      <w:r w:rsidR="007E74BF"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202</w:t>
      </w:r>
      <w:r w:rsidR="00FB0880" w:rsidRPr="00AC7A12">
        <w:rPr>
          <w:rFonts w:ascii="Arial" w:eastAsia="Calibri" w:hAnsi="Arial" w:cs="Arial"/>
          <w:color w:val="000000" w:themeColor="text1"/>
          <w:sz w:val="22"/>
          <w:lang w:val="es-ES_tradnl"/>
        </w:rPr>
        <w:t>1</w:t>
      </w:r>
      <w:r w:rsidR="008C3C57" w:rsidRPr="00AC7A12">
        <w:rPr>
          <w:rFonts w:ascii="Arial" w:eastAsia="Calibri" w:hAnsi="Arial" w:cs="Arial"/>
          <w:color w:val="000000" w:themeColor="text1"/>
          <w:sz w:val="22"/>
          <w:lang w:val="es-ES_tradnl"/>
        </w:rPr>
        <w:t>.</w:t>
      </w:r>
    </w:p>
    <w:p w14:paraId="0C1E0712" w14:textId="77777777" w:rsidR="00DD5B04" w:rsidRPr="00AC7A1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5C47081D"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B422C0" w:rsidRPr="00AC7A12">
        <w:rPr>
          <w:rFonts w:ascii="Arial" w:hAnsi="Arial" w:cs="Arial"/>
          <w:color w:val="000000" w:themeColor="text1"/>
          <w:sz w:val="22"/>
          <w:lang w:val="es-ES_tradnl"/>
        </w:rPr>
        <w:t>formula</w:t>
      </w:r>
      <w:r w:rsidR="009A1B98"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w:t>
      </w:r>
      <w:r w:rsidR="00EF439F">
        <w:rPr>
          <w:rFonts w:ascii="Arial" w:hAnsi="Arial" w:cs="Arial"/>
          <w:color w:val="000000" w:themeColor="text1"/>
          <w:sz w:val="22"/>
          <w:lang w:val="es-ES_tradnl"/>
        </w:rPr>
        <w:t>s</w:t>
      </w:r>
      <w:r w:rsidR="006D46A3" w:rsidRPr="00AC7A12">
        <w:rPr>
          <w:rFonts w:ascii="Arial" w:hAnsi="Arial" w:cs="Arial"/>
          <w:color w:val="000000" w:themeColor="text1"/>
          <w:sz w:val="22"/>
          <w:lang w:val="es-ES_tradnl"/>
        </w:rPr>
        <w:t xml:space="preserve"> siguiente</w:t>
      </w:r>
      <w:r w:rsidR="00EF439F">
        <w:rPr>
          <w:rFonts w:ascii="Arial" w:hAnsi="Arial" w:cs="Arial"/>
          <w:color w:val="000000" w:themeColor="text1"/>
          <w:sz w:val="22"/>
          <w:lang w:val="es-ES_tradnl"/>
        </w:rPr>
        <w:t>s</w:t>
      </w:r>
      <w:r w:rsidR="00C028F5" w:rsidRPr="00AC7A12">
        <w:rPr>
          <w:rFonts w:ascii="Arial" w:hAnsi="Arial" w:cs="Arial"/>
          <w:color w:val="000000" w:themeColor="text1"/>
          <w:sz w:val="22"/>
          <w:lang w:val="es-ES_tradnl"/>
        </w:rPr>
        <w:t xml:space="preserve"> </w:t>
      </w:r>
      <w:r w:rsidR="00EF439F">
        <w:rPr>
          <w:rFonts w:ascii="Arial" w:hAnsi="Arial" w:cs="Arial"/>
          <w:color w:val="000000" w:themeColor="text1"/>
          <w:sz w:val="22"/>
          <w:lang w:val="es-ES_tradnl"/>
        </w:rPr>
        <w:t>preguntas</w:t>
      </w:r>
      <w:r w:rsidR="009A7D71">
        <w:rPr>
          <w:rFonts w:ascii="Arial" w:hAnsi="Arial" w:cs="Arial"/>
          <w:color w:val="000000" w:themeColor="text1"/>
          <w:sz w:val="22"/>
          <w:lang w:val="es-ES_tradnl"/>
        </w:rPr>
        <w:t xml:space="preserve"> sobre la aplicación de los Decretos 399 y 579 de 2021</w:t>
      </w:r>
      <w:r w:rsidR="00EF439F">
        <w:rPr>
          <w:rFonts w:ascii="Arial" w:hAnsi="Arial" w:cs="Arial"/>
          <w:color w:val="000000" w:themeColor="text1"/>
          <w:sz w:val="22"/>
          <w:lang w:val="es-ES_tradnl"/>
        </w:rPr>
        <w:t>, frente a la información financiera de los inscritos en el Registro Único de Proponentes – RUP</w:t>
      </w:r>
      <w:r w:rsidR="00637A68" w:rsidRPr="00AC7A12">
        <w:rPr>
          <w:rFonts w:ascii="Arial" w:hAnsi="Arial" w:cs="Arial"/>
          <w:color w:val="000000" w:themeColor="text1"/>
          <w:sz w:val="22"/>
          <w:lang w:val="es-ES_tradnl"/>
        </w:rPr>
        <w:t>:</w:t>
      </w:r>
      <w:r w:rsidR="007E18DF" w:rsidRPr="00AC7A12">
        <w:rPr>
          <w:rFonts w:ascii="Arial" w:hAnsi="Arial" w:cs="Arial"/>
          <w:color w:val="000000" w:themeColor="text1"/>
          <w:sz w:val="22"/>
          <w:lang w:val="es-ES_tradnl"/>
        </w:rPr>
        <w:t xml:space="preserve"> </w:t>
      </w:r>
    </w:p>
    <w:p w14:paraId="559EE20C" w14:textId="77777777" w:rsidR="00443B55" w:rsidRPr="00AC7A12" w:rsidRDefault="00443B55" w:rsidP="0099583D">
      <w:pPr>
        <w:spacing w:line="276" w:lineRule="auto"/>
        <w:jc w:val="both"/>
        <w:rPr>
          <w:rFonts w:ascii="Arial" w:hAnsi="Arial" w:cs="Arial"/>
          <w:color w:val="000000" w:themeColor="text1"/>
          <w:sz w:val="22"/>
          <w:lang w:val="es-ES_tradnl"/>
        </w:rPr>
      </w:pPr>
    </w:p>
    <w:p w14:paraId="51259634" w14:textId="7C839A53" w:rsidR="00EF439F"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«i. ¿Cuál sería entonces la vigencia de aplicación de estos decretos? </w:t>
      </w:r>
    </w:p>
    <w:p w14:paraId="32049C4C" w14:textId="5FC45DDB"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ii. ¿Solo se podrá aplicar hasta el año 2022, o la continuidad de la aplicación estará sujeta al comportamiento económico mundial? </w:t>
      </w:r>
    </w:p>
    <w:p w14:paraId="6DB85CF8" w14:textId="0B519692"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lastRenderedPageBreak/>
        <w:t xml:space="preserve">iii. </w:t>
      </w:r>
      <w:r w:rsidR="00AD6F0B">
        <w:rPr>
          <w:rFonts w:ascii="Arial" w:hAnsi="Arial" w:cs="Arial"/>
          <w:color w:val="000000" w:themeColor="text1"/>
          <w:sz w:val="21"/>
          <w:szCs w:val="21"/>
          <w:lang w:val="es-ES_tradnl"/>
        </w:rPr>
        <w:t>¿</w:t>
      </w:r>
      <w:r w:rsidRPr="00F03E7A">
        <w:rPr>
          <w:rFonts w:ascii="Arial" w:hAnsi="Arial" w:cs="Arial"/>
          <w:color w:val="000000" w:themeColor="text1"/>
          <w:sz w:val="21"/>
          <w:szCs w:val="21"/>
          <w:lang w:val="es-ES_tradnl"/>
        </w:rPr>
        <w:t xml:space="preserve">Las compañías extranjeras con o sin presencia nacional tendrán el mismo trato que una nacional respecto a los beneficios que trae la aplicación de estos decretos? </w:t>
      </w:r>
    </w:p>
    <w:p w14:paraId="553B4107" w14:textId="540A03C1"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iv. </w:t>
      </w:r>
      <w:r w:rsidR="00AD6F0B">
        <w:rPr>
          <w:rFonts w:ascii="Arial" w:hAnsi="Arial" w:cs="Arial"/>
          <w:color w:val="000000" w:themeColor="text1"/>
          <w:sz w:val="21"/>
          <w:szCs w:val="21"/>
          <w:lang w:val="es-ES_tradnl"/>
        </w:rPr>
        <w:t>¿</w:t>
      </w:r>
      <w:r w:rsidRPr="00F03E7A">
        <w:rPr>
          <w:rFonts w:ascii="Arial" w:hAnsi="Arial" w:cs="Arial"/>
          <w:color w:val="000000" w:themeColor="text1"/>
          <w:sz w:val="21"/>
          <w:szCs w:val="21"/>
          <w:lang w:val="es-ES_tradnl"/>
        </w:rPr>
        <w:t>El proponente es quien selecciona el año fiscal con el que desea ser</w:t>
      </w:r>
      <w:r w:rsidR="00EF439F">
        <w:rPr>
          <w:rFonts w:ascii="Arial" w:hAnsi="Arial" w:cs="Arial"/>
          <w:color w:val="000000" w:themeColor="text1"/>
          <w:sz w:val="21"/>
          <w:szCs w:val="21"/>
          <w:lang w:val="es-ES_tradnl"/>
        </w:rPr>
        <w:t xml:space="preserve"> </w:t>
      </w:r>
      <w:r w:rsidRPr="00F03E7A">
        <w:rPr>
          <w:rFonts w:ascii="Arial" w:hAnsi="Arial" w:cs="Arial"/>
          <w:color w:val="000000" w:themeColor="text1"/>
          <w:sz w:val="21"/>
          <w:szCs w:val="21"/>
          <w:lang w:val="es-ES_tradnl"/>
        </w:rPr>
        <w:t>evaluado?</w:t>
      </w:r>
    </w:p>
    <w:p w14:paraId="07B45FD6" w14:textId="718BF238"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v.  </w:t>
      </w:r>
      <w:r w:rsidR="00AD6F0B" w:rsidRPr="00F03E7A">
        <w:rPr>
          <w:rFonts w:ascii="Arial" w:hAnsi="Arial" w:cs="Arial"/>
          <w:color w:val="000000" w:themeColor="text1"/>
          <w:sz w:val="21"/>
          <w:szCs w:val="21"/>
          <w:lang w:val="es-ES_tradnl"/>
        </w:rPr>
        <w:t>¿La Entidad tendrá el libre albedrío de evaluar al proponente con el año que a su consideración sea el mejor?</w:t>
      </w:r>
    </w:p>
    <w:p w14:paraId="499C74EA" w14:textId="1F3EDD1B"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vi.  Quién selecciona el año fiscal de los tres años reportados, con el que</w:t>
      </w:r>
      <w:r w:rsidR="00EF439F">
        <w:rPr>
          <w:rFonts w:ascii="Arial" w:hAnsi="Arial" w:cs="Arial"/>
          <w:color w:val="000000" w:themeColor="text1"/>
          <w:sz w:val="21"/>
          <w:szCs w:val="21"/>
          <w:lang w:val="es-ES_tradnl"/>
        </w:rPr>
        <w:t xml:space="preserve"> </w:t>
      </w:r>
      <w:r w:rsidRPr="00F03E7A">
        <w:rPr>
          <w:rFonts w:ascii="Arial" w:hAnsi="Arial" w:cs="Arial"/>
          <w:color w:val="000000" w:themeColor="text1"/>
          <w:sz w:val="21"/>
          <w:szCs w:val="21"/>
          <w:lang w:val="es-ES_tradnl"/>
        </w:rPr>
        <w:t>se va a realizar la evaluación financiera y organizacional?</w:t>
      </w:r>
    </w:p>
    <w:p w14:paraId="7DF66BEB" w14:textId="20D84422"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vii.  Cómo se aplicarán estos decretos para el caso de figuras asociativas</w:t>
      </w:r>
      <w:r w:rsidR="00AD6F0B">
        <w:rPr>
          <w:rFonts w:ascii="Arial" w:hAnsi="Arial" w:cs="Arial"/>
          <w:color w:val="000000" w:themeColor="text1"/>
          <w:sz w:val="21"/>
          <w:szCs w:val="21"/>
          <w:lang w:val="es-ES_tradnl"/>
        </w:rPr>
        <w:t xml:space="preserve"> </w:t>
      </w:r>
      <w:r w:rsidR="0075750E">
        <w:rPr>
          <w:rFonts w:ascii="Arial" w:hAnsi="Arial" w:cs="Arial"/>
          <w:color w:val="000000" w:themeColor="text1"/>
          <w:sz w:val="21"/>
          <w:szCs w:val="21"/>
          <w:lang w:val="es-ES_tradnl"/>
        </w:rPr>
        <w:t>[…]</w:t>
      </w:r>
      <w:r w:rsidRPr="00F03E7A">
        <w:rPr>
          <w:rFonts w:ascii="Arial" w:hAnsi="Arial" w:cs="Arial"/>
          <w:color w:val="000000" w:themeColor="text1"/>
          <w:sz w:val="21"/>
          <w:szCs w:val="21"/>
          <w:lang w:val="es-ES_tradnl"/>
        </w:rPr>
        <w:t>?</w:t>
      </w:r>
    </w:p>
    <w:p w14:paraId="3FC2B35A" w14:textId="41E9003C"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viii. En el caso de figuras asociativas: </w:t>
      </w:r>
      <w:r w:rsidR="00AD6F0B" w:rsidRPr="00F03E7A">
        <w:rPr>
          <w:rFonts w:ascii="Arial" w:hAnsi="Arial" w:cs="Arial"/>
          <w:color w:val="000000" w:themeColor="text1"/>
          <w:sz w:val="21"/>
          <w:szCs w:val="21"/>
          <w:lang w:val="es-ES_tradnl"/>
        </w:rPr>
        <w:t>¿El proponente podrá elegir años fiscales distintos para cada integrante de la figura asociativa, o se deberán evaluar cada integrante con el mismo año fiscal?</w:t>
      </w:r>
    </w:p>
    <w:p w14:paraId="55F9A3E1" w14:textId="22BACCC6"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ix. </w:t>
      </w:r>
      <w:r w:rsidR="00AD6F0B" w:rsidRPr="00F03E7A">
        <w:rPr>
          <w:rFonts w:ascii="Arial" w:hAnsi="Arial" w:cs="Arial"/>
          <w:color w:val="000000" w:themeColor="text1"/>
          <w:sz w:val="21"/>
          <w:szCs w:val="21"/>
          <w:lang w:val="es-ES_tradnl"/>
        </w:rPr>
        <w:t>¿El Contratista podrá establecer en los documentos del proceso que la capacidad financiera y organizacional se evaluará de acuerdo con la información de los tres (3) años fiscales reportados, o siempre será evaluado el proponente respecto a uno solo de los a os fiscales reportados?</w:t>
      </w:r>
    </w:p>
    <w:p w14:paraId="708EFD69" w14:textId="734E8CA3" w:rsidR="00F03E7A" w:rsidRPr="00F03E7A" w:rsidRDefault="00F03E7A" w:rsidP="0031475A">
      <w:pPr>
        <w:spacing w:after="120"/>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x.  </w:t>
      </w:r>
      <w:r w:rsidR="00AD6F0B" w:rsidRPr="00F03E7A">
        <w:rPr>
          <w:rFonts w:ascii="Arial" w:hAnsi="Arial" w:cs="Arial"/>
          <w:color w:val="000000" w:themeColor="text1"/>
          <w:sz w:val="21"/>
          <w:szCs w:val="21"/>
          <w:lang w:val="es-ES_tradnl"/>
        </w:rPr>
        <w:t>¿La Entidad Estatal podrá habilitar a un proponente frente a la capacidad financiera y organizacional por los indicadores resultantes luego de promediar la información de los últimos tres (3) años reportados?</w:t>
      </w:r>
    </w:p>
    <w:p w14:paraId="017A3E5B" w14:textId="3A484870" w:rsidR="00C22D8D" w:rsidRPr="00AC7A12" w:rsidRDefault="00F03E7A" w:rsidP="00AD6F0B">
      <w:pPr>
        <w:ind w:left="709" w:right="709"/>
        <w:jc w:val="both"/>
        <w:rPr>
          <w:rFonts w:ascii="Arial" w:hAnsi="Arial" w:cs="Arial"/>
          <w:color w:val="000000" w:themeColor="text1"/>
          <w:sz w:val="21"/>
          <w:szCs w:val="21"/>
          <w:lang w:val="es-ES_tradnl"/>
        </w:rPr>
      </w:pPr>
      <w:r w:rsidRPr="00F03E7A">
        <w:rPr>
          <w:rFonts w:ascii="Arial" w:hAnsi="Arial" w:cs="Arial"/>
          <w:color w:val="000000" w:themeColor="text1"/>
          <w:sz w:val="21"/>
          <w:szCs w:val="21"/>
          <w:lang w:val="es-ES_tradnl"/>
        </w:rPr>
        <w:t xml:space="preserve">xi. </w:t>
      </w:r>
      <w:r w:rsidR="00AD6F0B">
        <w:rPr>
          <w:rFonts w:ascii="Arial" w:hAnsi="Arial" w:cs="Arial"/>
          <w:color w:val="000000" w:themeColor="text1"/>
          <w:sz w:val="21"/>
          <w:szCs w:val="21"/>
          <w:lang w:val="es-ES_tradnl"/>
        </w:rPr>
        <w:t>¿</w:t>
      </w:r>
      <w:r w:rsidR="00AD6F0B" w:rsidRPr="00F03E7A">
        <w:rPr>
          <w:rFonts w:ascii="Arial" w:hAnsi="Arial" w:cs="Arial"/>
          <w:color w:val="000000" w:themeColor="text1"/>
          <w:sz w:val="21"/>
          <w:szCs w:val="21"/>
          <w:lang w:val="es-ES_tradnl"/>
        </w:rPr>
        <w:t>Qué normatividad exige la obligatoriedad en el cumplimiento de lo</w:t>
      </w:r>
      <w:r w:rsidR="00AD6F0B">
        <w:rPr>
          <w:rFonts w:ascii="Arial" w:hAnsi="Arial" w:cs="Arial"/>
          <w:color w:val="000000" w:themeColor="text1"/>
          <w:sz w:val="21"/>
          <w:szCs w:val="21"/>
          <w:lang w:val="es-ES_tradnl"/>
        </w:rPr>
        <w:t xml:space="preserve"> </w:t>
      </w:r>
      <w:r w:rsidR="00AD6F0B" w:rsidRPr="00F03E7A">
        <w:rPr>
          <w:rFonts w:ascii="Arial" w:hAnsi="Arial" w:cs="Arial"/>
          <w:color w:val="000000" w:themeColor="text1"/>
          <w:sz w:val="21"/>
          <w:szCs w:val="21"/>
          <w:lang w:val="es-ES_tradnl"/>
        </w:rPr>
        <w:t>dispuesto en estos decretos, por parte de las entidades contratistas del</w:t>
      </w:r>
      <w:r w:rsidR="00AD6F0B">
        <w:rPr>
          <w:rFonts w:ascii="Arial" w:hAnsi="Arial" w:cs="Arial"/>
          <w:color w:val="000000" w:themeColor="text1"/>
          <w:sz w:val="21"/>
          <w:szCs w:val="21"/>
          <w:lang w:val="es-ES_tradnl"/>
        </w:rPr>
        <w:t xml:space="preserve"> </w:t>
      </w:r>
      <w:r w:rsidR="00AD6F0B" w:rsidRPr="00F03E7A">
        <w:rPr>
          <w:rFonts w:ascii="Arial" w:hAnsi="Arial" w:cs="Arial"/>
          <w:color w:val="000000" w:themeColor="text1"/>
          <w:sz w:val="21"/>
          <w:szCs w:val="21"/>
          <w:lang w:val="es-ES_tradnl"/>
        </w:rPr>
        <w:t>Estado Colombiano, ¿a partir de la fecha establecida la cual es 1 de julio de 2021?</w:t>
      </w:r>
      <w:r w:rsidR="00C22D8D" w:rsidRPr="00AC7A12">
        <w:rPr>
          <w:rFonts w:ascii="Arial" w:hAnsi="Arial" w:cs="Arial"/>
          <w:color w:val="000000" w:themeColor="text1"/>
          <w:sz w:val="21"/>
          <w:szCs w:val="21"/>
          <w:lang w:val="es-ES_tradnl"/>
        </w:rPr>
        <w:t>»</w:t>
      </w:r>
    </w:p>
    <w:p w14:paraId="3C80D1F4" w14:textId="77777777" w:rsidR="009A1B98" w:rsidRPr="00AC7A12" w:rsidRDefault="009A1B98" w:rsidP="009A1B98">
      <w:pPr>
        <w:ind w:left="709" w:right="709"/>
        <w:jc w:val="both"/>
        <w:rPr>
          <w:rFonts w:ascii="Arial" w:hAnsi="Arial" w:cs="Arial"/>
          <w:color w:val="000000" w:themeColor="text1"/>
          <w:sz w:val="21"/>
          <w:szCs w:val="21"/>
          <w:lang w:val="es-ES_tradnl"/>
        </w:rPr>
      </w:pPr>
    </w:p>
    <w:p w14:paraId="124D2DCA" w14:textId="77777777" w:rsidR="00DD5B04" w:rsidRPr="00AC7A1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7D050D2E" w14:textId="77777777" w:rsidR="00435703" w:rsidRPr="00AC7A12" w:rsidRDefault="00435703" w:rsidP="00DF76A2">
      <w:pPr>
        <w:spacing w:line="276" w:lineRule="auto"/>
        <w:jc w:val="both"/>
        <w:rPr>
          <w:rFonts w:ascii="Arial" w:eastAsia="Calibri" w:hAnsi="Arial" w:cs="Arial"/>
          <w:color w:val="000000" w:themeColor="text1"/>
          <w:sz w:val="22"/>
          <w:szCs w:val="22"/>
          <w:lang w:val="es-ES_tradnl"/>
        </w:rPr>
      </w:pPr>
    </w:p>
    <w:p w14:paraId="305BC2F1" w14:textId="16B1D2B5" w:rsidR="003C4317" w:rsidRPr="00AC7A12" w:rsidRDefault="008E30C4"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La Subdirección de Gestión Contractual responderá </w:t>
      </w:r>
      <w:r w:rsidR="00271230" w:rsidRPr="00AC7A12">
        <w:rPr>
          <w:rFonts w:ascii="Arial" w:eastAsia="Calibri" w:hAnsi="Arial" w:cs="Arial"/>
          <w:color w:val="000000" w:themeColor="text1"/>
          <w:sz w:val="22"/>
          <w:szCs w:val="22"/>
          <w:lang w:val="es-ES_tradnl"/>
        </w:rPr>
        <w:t>la consulta</w:t>
      </w:r>
      <w:r w:rsidRPr="00AC7A12">
        <w:rPr>
          <w:rFonts w:ascii="Arial" w:eastAsia="Calibri" w:hAnsi="Arial" w:cs="Arial"/>
          <w:color w:val="000000" w:themeColor="text1"/>
          <w:sz w:val="22"/>
          <w:szCs w:val="22"/>
          <w:lang w:val="es-ES_tradnl"/>
        </w:rPr>
        <w:t xml:space="preserve">, </w:t>
      </w:r>
      <w:r w:rsidR="00271230" w:rsidRPr="00AC7A12">
        <w:rPr>
          <w:rFonts w:ascii="Arial" w:eastAsia="Calibri" w:hAnsi="Arial" w:cs="Arial"/>
          <w:color w:val="000000" w:themeColor="text1"/>
          <w:sz w:val="22"/>
          <w:szCs w:val="22"/>
          <w:lang w:val="es-ES_tradnl"/>
        </w:rPr>
        <w:t>luego de analizar los</w:t>
      </w:r>
      <w:r w:rsidR="00822EC4" w:rsidRPr="00AC7A12">
        <w:rPr>
          <w:rFonts w:ascii="Arial" w:eastAsia="Calibri" w:hAnsi="Arial" w:cs="Arial"/>
          <w:color w:val="000000" w:themeColor="text1"/>
          <w:sz w:val="22"/>
          <w:szCs w:val="22"/>
          <w:lang w:val="es-ES_tradnl"/>
        </w:rPr>
        <w:t xml:space="preserve"> siguientes temas: </w:t>
      </w:r>
      <w:r w:rsidR="00D93049" w:rsidRPr="00AC7A12">
        <w:rPr>
          <w:rFonts w:ascii="Arial" w:eastAsia="Calibri" w:hAnsi="Arial" w:cs="Arial"/>
          <w:color w:val="000000" w:themeColor="text1"/>
          <w:sz w:val="22"/>
          <w:szCs w:val="22"/>
          <w:lang w:val="es-ES_tradnl"/>
        </w:rPr>
        <w:t xml:space="preserve">i) </w:t>
      </w:r>
      <w:r w:rsidR="0055562A">
        <w:rPr>
          <w:rFonts w:ascii="Arial" w:eastAsia="Calibri" w:hAnsi="Arial" w:cs="Arial"/>
          <w:color w:val="000000" w:themeColor="text1"/>
          <w:sz w:val="22"/>
          <w:szCs w:val="22"/>
          <w:lang w:val="es-ES_tradnl"/>
        </w:rPr>
        <w:t>alcance</w:t>
      </w:r>
      <w:r w:rsidR="00D40A0B">
        <w:rPr>
          <w:rFonts w:ascii="Arial" w:eastAsia="Calibri" w:hAnsi="Arial" w:cs="Arial"/>
          <w:color w:val="000000" w:themeColor="text1"/>
          <w:sz w:val="22"/>
          <w:szCs w:val="22"/>
          <w:lang w:val="es-ES_tradnl"/>
        </w:rPr>
        <w:t xml:space="preserve"> del Registro Único de Proponentes</w:t>
      </w:r>
      <w:r w:rsidR="0055562A">
        <w:rPr>
          <w:rFonts w:ascii="Arial" w:eastAsia="Calibri" w:hAnsi="Arial" w:cs="Arial"/>
          <w:color w:val="000000" w:themeColor="text1"/>
          <w:sz w:val="22"/>
          <w:szCs w:val="22"/>
          <w:lang w:val="es-ES_tradnl"/>
        </w:rPr>
        <w:t>,</w:t>
      </w:r>
      <w:r w:rsidR="00D40A0B">
        <w:rPr>
          <w:rFonts w:ascii="Arial" w:eastAsia="Calibri" w:hAnsi="Arial" w:cs="Arial"/>
          <w:color w:val="000000" w:themeColor="text1"/>
          <w:sz w:val="22"/>
          <w:szCs w:val="22"/>
          <w:lang w:val="es-ES_tradnl"/>
        </w:rPr>
        <w:t xml:space="preserve"> ii) </w:t>
      </w:r>
      <w:r w:rsidR="00AD07FD" w:rsidRPr="00AC7A12">
        <w:rPr>
          <w:rFonts w:ascii="Arial" w:eastAsia="Calibri" w:hAnsi="Arial" w:cs="Arial"/>
          <w:color w:val="000000" w:themeColor="text1"/>
          <w:sz w:val="22"/>
          <w:szCs w:val="22"/>
          <w:lang w:val="es-ES_tradnl"/>
        </w:rPr>
        <w:t xml:space="preserve">requisitos </w:t>
      </w:r>
      <w:r w:rsidR="00AD07FD" w:rsidRPr="00FC731B">
        <w:rPr>
          <w:rFonts w:ascii="Arial" w:eastAsia="Calibri" w:hAnsi="Arial" w:cs="Arial"/>
          <w:color w:val="000000" w:themeColor="text1"/>
          <w:sz w:val="22"/>
          <w:szCs w:val="22"/>
          <w:lang w:val="es-ES_tradnl"/>
        </w:rPr>
        <w:t>habilitantes de capacidad financiera y organizacional y ii</w:t>
      </w:r>
      <w:r w:rsidR="00D40A0B">
        <w:rPr>
          <w:rFonts w:ascii="Arial" w:eastAsia="Calibri" w:hAnsi="Arial" w:cs="Arial"/>
          <w:color w:val="000000" w:themeColor="text1"/>
          <w:sz w:val="22"/>
          <w:szCs w:val="22"/>
          <w:lang w:val="es-ES_tradnl"/>
        </w:rPr>
        <w:t>i</w:t>
      </w:r>
      <w:r w:rsidR="00AD07FD" w:rsidRPr="00FC731B">
        <w:rPr>
          <w:rFonts w:ascii="Arial" w:eastAsia="Calibri" w:hAnsi="Arial" w:cs="Arial"/>
          <w:color w:val="000000" w:themeColor="text1"/>
          <w:sz w:val="22"/>
          <w:szCs w:val="22"/>
          <w:lang w:val="es-ES_tradnl"/>
        </w:rPr>
        <w:t xml:space="preserve">) modificaciones introducidas </w:t>
      </w:r>
      <w:r w:rsidR="00FC731B">
        <w:rPr>
          <w:rFonts w:ascii="Arial" w:eastAsia="Calibri" w:hAnsi="Arial" w:cs="Arial"/>
          <w:color w:val="000000" w:themeColor="text1"/>
          <w:sz w:val="22"/>
          <w:szCs w:val="22"/>
          <w:lang w:val="es-ES_tradnl"/>
        </w:rPr>
        <w:t>por los</w:t>
      </w:r>
      <w:r w:rsidR="00AD07FD" w:rsidRPr="00FC731B">
        <w:rPr>
          <w:rFonts w:ascii="Arial" w:eastAsia="Calibri" w:hAnsi="Arial" w:cs="Arial"/>
          <w:color w:val="000000" w:themeColor="text1"/>
          <w:sz w:val="22"/>
          <w:szCs w:val="22"/>
          <w:lang w:val="es-ES_tradnl"/>
        </w:rPr>
        <w:t xml:space="preserve"> Decreto</w:t>
      </w:r>
      <w:r w:rsidR="00FC731B">
        <w:rPr>
          <w:rFonts w:ascii="Arial" w:eastAsia="Calibri" w:hAnsi="Arial" w:cs="Arial"/>
          <w:color w:val="000000" w:themeColor="text1"/>
          <w:sz w:val="22"/>
          <w:szCs w:val="22"/>
          <w:lang w:val="es-ES_tradnl"/>
        </w:rPr>
        <w:t>s</w:t>
      </w:r>
      <w:r w:rsidR="00AD07FD" w:rsidRPr="00FC731B">
        <w:rPr>
          <w:rFonts w:ascii="Arial" w:eastAsia="Calibri" w:hAnsi="Arial" w:cs="Arial"/>
          <w:color w:val="000000" w:themeColor="text1"/>
          <w:sz w:val="22"/>
          <w:szCs w:val="22"/>
          <w:lang w:val="es-ES_tradnl"/>
        </w:rPr>
        <w:t xml:space="preserve"> 399 de 2021</w:t>
      </w:r>
      <w:r w:rsidR="00FC731B" w:rsidRPr="00EA3C17">
        <w:rPr>
          <w:rFonts w:ascii="Arial" w:eastAsia="Calibri" w:hAnsi="Arial" w:cs="Arial"/>
          <w:color w:val="000000" w:themeColor="text1"/>
          <w:sz w:val="22"/>
          <w:szCs w:val="22"/>
          <w:lang w:val="es-ES_tradnl"/>
        </w:rPr>
        <w:t xml:space="preserve"> y </w:t>
      </w:r>
      <w:r w:rsidR="00FC731B" w:rsidRPr="00F374C8">
        <w:rPr>
          <w:rFonts w:ascii="Arial" w:eastAsia="Calibri" w:hAnsi="Arial" w:cs="Arial"/>
          <w:color w:val="000000" w:themeColor="text1"/>
          <w:sz w:val="22"/>
          <w:szCs w:val="22"/>
          <w:lang w:val="es-ES_tradnl"/>
        </w:rPr>
        <w:t>579 de 2021</w:t>
      </w:r>
      <w:r w:rsidR="00AD07FD" w:rsidRPr="0076313B">
        <w:rPr>
          <w:rFonts w:ascii="Arial" w:eastAsia="Calibri" w:hAnsi="Arial" w:cs="Arial"/>
          <w:color w:val="000000" w:themeColor="text1"/>
          <w:sz w:val="22"/>
          <w:szCs w:val="22"/>
          <w:lang w:val="es-ES_tradnl"/>
        </w:rPr>
        <w:t>, frente a la información del RU</w:t>
      </w:r>
      <w:r w:rsidR="001B50B2" w:rsidRPr="00FC731B">
        <w:rPr>
          <w:rFonts w:ascii="Arial" w:eastAsia="Calibri" w:hAnsi="Arial" w:cs="Arial"/>
          <w:color w:val="000000" w:themeColor="text1"/>
          <w:sz w:val="22"/>
          <w:szCs w:val="22"/>
          <w:lang w:val="es-ES_tradnl"/>
        </w:rPr>
        <w:t xml:space="preserve">P, así como </w:t>
      </w:r>
      <w:r w:rsidR="00AD07FD" w:rsidRPr="00FC731B">
        <w:rPr>
          <w:rFonts w:ascii="Arial" w:eastAsia="Calibri" w:hAnsi="Arial" w:cs="Arial"/>
          <w:color w:val="000000" w:themeColor="text1"/>
          <w:sz w:val="22"/>
          <w:szCs w:val="22"/>
          <w:lang w:val="es-ES_tradnl"/>
        </w:rPr>
        <w:t>a la verificación de la capacidad financiera y organizacional del proponente.</w:t>
      </w:r>
      <w:r w:rsidR="00AD07FD" w:rsidRPr="00AC7A12">
        <w:rPr>
          <w:rFonts w:ascii="Arial" w:eastAsia="Calibri" w:hAnsi="Arial" w:cs="Arial"/>
          <w:color w:val="000000" w:themeColor="text1"/>
          <w:sz w:val="22"/>
          <w:szCs w:val="22"/>
          <w:lang w:val="es-ES_tradnl"/>
        </w:rPr>
        <w:t xml:space="preserve"> </w:t>
      </w:r>
    </w:p>
    <w:p w14:paraId="515FBDD6" w14:textId="230BC8F5" w:rsidR="00703BA0" w:rsidRDefault="00D40A0B" w:rsidP="00D40A0B">
      <w:pPr>
        <w:spacing w:before="120" w:line="276" w:lineRule="auto"/>
        <w:ind w:firstLine="709"/>
        <w:jc w:val="both"/>
        <w:rPr>
          <w:rFonts w:ascii="Arial" w:hAnsi="Arial" w:cs="Arial"/>
          <w:color w:val="000000" w:themeColor="text1"/>
          <w:sz w:val="22"/>
          <w:lang w:val="es-ES_tradnl"/>
        </w:rPr>
      </w:pPr>
      <w:r>
        <w:rPr>
          <w:rFonts w:ascii="Arial" w:eastAsia="Calibri" w:hAnsi="Arial" w:cs="Arial"/>
          <w:sz w:val="22"/>
        </w:rPr>
        <w:t xml:space="preserve">La </w:t>
      </w:r>
      <w:r w:rsidRPr="00AC7A12">
        <w:rPr>
          <w:rFonts w:ascii="Arial" w:hAnsi="Arial" w:cs="Arial"/>
          <w:color w:val="000000" w:themeColor="text1"/>
          <w:sz w:val="22"/>
          <w:lang w:val="es-ES_tradnl"/>
        </w:rPr>
        <w:t>Agencia Nacional de Contratación Pública – Colombia Compra Eficiente</w:t>
      </w:r>
      <w:r>
        <w:rPr>
          <w:rFonts w:ascii="Arial" w:hAnsi="Arial" w:cs="Arial"/>
          <w:color w:val="000000" w:themeColor="text1"/>
          <w:sz w:val="22"/>
          <w:lang w:val="es-ES_tradnl"/>
        </w:rPr>
        <w:t xml:space="preserve"> se ha pronunciado sobre </w:t>
      </w:r>
      <w:r>
        <w:rPr>
          <w:rFonts w:ascii="Arial" w:eastAsia="Calibri" w:hAnsi="Arial" w:cs="Arial"/>
          <w:sz w:val="22"/>
        </w:rPr>
        <w:t xml:space="preserve"> el RUP en </w:t>
      </w:r>
      <w:r w:rsidRPr="00265C4F">
        <w:rPr>
          <w:rFonts w:ascii="Arial" w:eastAsia="Calibri" w:hAnsi="Arial" w:cs="Arial"/>
          <w:sz w:val="22"/>
        </w:rPr>
        <w:t>los siguientes conceptos: C–005  del 14 de febrero de 2020</w:t>
      </w:r>
      <w:r>
        <w:rPr>
          <w:rFonts w:ascii="Arial" w:eastAsia="Calibri" w:hAnsi="Arial" w:cs="Arial"/>
          <w:sz w:val="22"/>
        </w:rPr>
        <w:t>,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y C-329 de 8 de julio de 2021.</w:t>
      </w:r>
      <w:r w:rsidR="00BF2843">
        <w:rPr>
          <w:rFonts w:ascii="Arial" w:hAnsi="Arial" w:cs="Arial"/>
          <w:color w:val="000000" w:themeColor="text1"/>
          <w:sz w:val="22"/>
          <w:lang w:val="es-ES_tradnl"/>
        </w:rPr>
        <w:t xml:space="preserve"> </w:t>
      </w:r>
    </w:p>
    <w:p w14:paraId="745B47F2" w14:textId="3EDD45FB" w:rsidR="00EF063F" w:rsidRPr="00AC7A12" w:rsidRDefault="00D40A0B" w:rsidP="00906C6E">
      <w:pPr>
        <w:spacing w:before="120" w:line="276" w:lineRule="auto"/>
        <w:ind w:firstLine="709"/>
        <w:jc w:val="both"/>
        <w:rPr>
          <w:rFonts w:ascii="Arial" w:eastAsia="Calibri" w:hAnsi="Arial" w:cs="Arial"/>
          <w:color w:val="000000" w:themeColor="text1"/>
          <w:sz w:val="22"/>
          <w:szCs w:val="22"/>
          <w:lang w:val="es-ES_tradnl"/>
        </w:rPr>
      </w:pPr>
      <w:r>
        <w:rPr>
          <w:rFonts w:ascii="Arial" w:hAnsi="Arial" w:cs="Arial"/>
          <w:color w:val="000000" w:themeColor="text1"/>
          <w:sz w:val="22"/>
          <w:lang w:val="es-ES_tradnl"/>
        </w:rPr>
        <w:t>Así mismo</w:t>
      </w:r>
      <w:r w:rsidR="007C468F">
        <w:rPr>
          <w:rFonts w:ascii="Arial" w:hAnsi="Arial" w:cs="Arial"/>
          <w:color w:val="000000" w:themeColor="text1"/>
          <w:sz w:val="22"/>
          <w:lang w:val="es-ES_tradnl"/>
        </w:rPr>
        <w:t>,</w:t>
      </w:r>
      <w:r>
        <w:rPr>
          <w:rFonts w:ascii="Arial" w:hAnsi="Arial" w:cs="Arial"/>
          <w:color w:val="000000" w:themeColor="text1"/>
          <w:sz w:val="22"/>
          <w:lang w:val="es-ES_tradnl"/>
        </w:rPr>
        <w:t xml:space="preserve"> Colombia Compra Eficiente </w:t>
      </w:r>
      <w:r w:rsidR="00AE3F99" w:rsidRPr="00AC7A12">
        <w:rPr>
          <w:rFonts w:ascii="Arial" w:hAnsi="Arial" w:cs="Arial"/>
          <w:color w:val="000000" w:themeColor="text1"/>
          <w:sz w:val="22"/>
          <w:lang w:val="es-ES_tradnl"/>
        </w:rPr>
        <w:t>estudió la acreditación de los</w:t>
      </w:r>
      <w:r w:rsidR="009F6606" w:rsidRPr="00AC7A12">
        <w:rPr>
          <w:rFonts w:ascii="Arial" w:hAnsi="Arial" w:cs="Arial"/>
          <w:color w:val="000000" w:themeColor="text1"/>
          <w:sz w:val="22"/>
          <w:lang w:val="es-ES_tradnl"/>
        </w:rPr>
        <w:t xml:space="preserve"> indicadores de capacidad financiera y organizacional de los oferentes mediante el RUP</w:t>
      </w:r>
      <w:r w:rsidR="00AE375B" w:rsidRPr="00AC7A12">
        <w:rPr>
          <w:rFonts w:ascii="Arial" w:hAnsi="Arial" w:cs="Arial"/>
          <w:color w:val="000000" w:themeColor="text1"/>
          <w:sz w:val="22"/>
          <w:lang w:val="es-ES_tradnl"/>
        </w:rPr>
        <w:t xml:space="preserve">, así como el cálculo </w:t>
      </w:r>
      <w:r w:rsidR="00AE375B" w:rsidRPr="00AC7A12">
        <w:rPr>
          <w:rFonts w:ascii="Arial" w:hAnsi="Arial" w:cs="Arial"/>
          <w:color w:val="000000" w:themeColor="text1"/>
          <w:sz w:val="22"/>
          <w:lang w:val="es-ES_tradnl"/>
        </w:rPr>
        <w:lastRenderedPageBreak/>
        <w:t>de la capacidad resi</w:t>
      </w:r>
      <w:r w:rsidR="00001CD0" w:rsidRPr="00AC7A12">
        <w:rPr>
          <w:rFonts w:ascii="Arial" w:hAnsi="Arial" w:cs="Arial"/>
          <w:color w:val="000000" w:themeColor="text1"/>
          <w:sz w:val="22"/>
          <w:lang w:val="es-ES_tradnl"/>
        </w:rPr>
        <w:t>d</w:t>
      </w:r>
      <w:r w:rsidR="00AE375B" w:rsidRPr="00AC7A12">
        <w:rPr>
          <w:rFonts w:ascii="Arial" w:hAnsi="Arial" w:cs="Arial"/>
          <w:color w:val="000000" w:themeColor="text1"/>
          <w:sz w:val="22"/>
          <w:lang w:val="es-ES_tradnl"/>
        </w:rPr>
        <w:t>ual</w:t>
      </w:r>
      <w:r w:rsidR="00EF063F" w:rsidRPr="00AC7A12">
        <w:rPr>
          <w:rFonts w:ascii="Arial" w:hAnsi="Arial" w:cs="Arial"/>
          <w:color w:val="000000" w:themeColor="text1"/>
          <w:sz w:val="22"/>
          <w:lang w:val="es-ES_tradnl"/>
        </w:rPr>
        <w:t>,</w:t>
      </w:r>
      <w:r w:rsidR="009F6606" w:rsidRPr="00AC7A12">
        <w:rPr>
          <w:rFonts w:ascii="Arial" w:hAnsi="Arial" w:cs="Arial"/>
          <w:color w:val="000000" w:themeColor="text1"/>
          <w:sz w:val="22"/>
          <w:lang w:val="es-ES_tradnl"/>
        </w:rPr>
        <w:t xml:space="preserve"> entre otros, </w:t>
      </w:r>
      <w:r w:rsidR="00EF063F" w:rsidRPr="00AC7A12">
        <w:rPr>
          <w:rFonts w:ascii="Arial" w:eastAsia="Calibri" w:hAnsi="Arial" w:cs="Arial"/>
          <w:color w:val="000000" w:themeColor="text1"/>
          <w:sz w:val="22"/>
          <w:lang w:val="es-ES_tradnl"/>
        </w:rPr>
        <w:t>en los conceptos No. 4201912000006798 del 24 de octubre de 2019, C</w:t>
      </w:r>
      <w:r w:rsidR="009F6606" w:rsidRPr="00AC7A12">
        <w:rPr>
          <w:rFonts w:ascii="Arial" w:eastAsia="Calibri" w:hAnsi="Arial" w:cs="Arial"/>
          <w:color w:val="000000" w:themeColor="text1"/>
          <w:sz w:val="22"/>
          <w:lang w:val="es-ES_tradnl"/>
        </w:rPr>
        <w:t>-</w:t>
      </w:r>
      <w:r w:rsidR="00EF063F" w:rsidRPr="00AC7A12">
        <w:rPr>
          <w:rFonts w:ascii="Arial" w:eastAsia="Calibri" w:hAnsi="Arial" w:cs="Arial"/>
          <w:color w:val="000000" w:themeColor="text1"/>
          <w:sz w:val="22"/>
          <w:lang w:val="es-ES_tradnl"/>
        </w:rPr>
        <w:t>002 del 12 de febrero de 2020, C</w:t>
      </w:r>
      <w:r w:rsidR="009F6606" w:rsidRPr="00AC7A12">
        <w:rPr>
          <w:rFonts w:ascii="Arial" w:eastAsia="Calibri" w:hAnsi="Arial" w:cs="Arial"/>
          <w:color w:val="000000" w:themeColor="text1"/>
          <w:sz w:val="22"/>
          <w:lang w:val="es-ES_tradnl"/>
        </w:rPr>
        <w:t>-</w:t>
      </w:r>
      <w:r w:rsidR="00EF063F" w:rsidRPr="00AC7A12">
        <w:rPr>
          <w:rFonts w:ascii="Arial" w:eastAsia="Calibri" w:hAnsi="Arial" w:cs="Arial"/>
          <w:color w:val="000000" w:themeColor="text1"/>
          <w:sz w:val="22"/>
          <w:lang w:val="es-ES_tradnl"/>
        </w:rPr>
        <w:t>089 del 4 de marzo de 2020</w:t>
      </w:r>
      <w:r w:rsidR="009F6606" w:rsidRPr="00AC7A12">
        <w:rPr>
          <w:rFonts w:ascii="Arial" w:eastAsia="Calibri" w:hAnsi="Arial" w:cs="Arial"/>
          <w:color w:val="000000" w:themeColor="text1"/>
          <w:sz w:val="22"/>
          <w:lang w:val="es-ES_tradnl"/>
        </w:rPr>
        <w:t xml:space="preserve">, </w:t>
      </w:r>
      <w:r w:rsidR="00EF063F" w:rsidRPr="00AC7A12">
        <w:rPr>
          <w:rFonts w:ascii="Arial" w:eastAsia="Calibri" w:hAnsi="Arial" w:cs="Arial"/>
          <w:color w:val="000000" w:themeColor="text1"/>
          <w:sz w:val="22"/>
          <w:lang w:val="es-ES_tradnl"/>
        </w:rPr>
        <w:t>C</w:t>
      </w:r>
      <w:r w:rsidR="009F6606" w:rsidRPr="00AC7A12">
        <w:rPr>
          <w:rFonts w:ascii="Arial" w:eastAsia="Calibri" w:hAnsi="Arial" w:cs="Arial"/>
          <w:color w:val="000000" w:themeColor="text1"/>
          <w:sz w:val="22"/>
          <w:lang w:val="es-ES_tradnl"/>
        </w:rPr>
        <w:t>-</w:t>
      </w:r>
      <w:r w:rsidR="00EF063F" w:rsidRPr="00AC7A12">
        <w:rPr>
          <w:rFonts w:ascii="Arial" w:eastAsia="Calibri" w:hAnsi="Arial" w:cs="Arial"/>
          <w:color w:val="000000" w:themeColor="text1"/>
          <w:sz w:val="22"/>
          <w:lang w:val="es-ES_tradnl"/>
        </w:rPr>
        <w:t>099 del 06 de abril de 2020,</w:t>
      </w:r>
      <w:r w:rsidR="00080BF6" w:rsidRPr="00AC7A12">
        <w:rPr>
          <w:rFonts w:ascii="Arial" w:eastAsia="Calibri" w:hAnsi="Arial" w:cs="Arial"/>
          <w:color w:val="000000" w:themeColor="text1"/>
          <w:sz w:val="22"/>
          <w:lang w:val="es-ES_tradnl"/>
        </w:rPr>
        <w:t xml:space="preserve"> C-166 del 14 de abril de 2020</w:t>
      </w:r>
      <w:r w:rsidR="00187593" w:rsidRPr="00AC7A12">
        <w:rPr>
          <w:rFonts w:ascii="Arial" w:eastAsia="Calibri" w:hAnsi="Arial" w:cs="Arial"/>
          <w:color w:val="000000" w:themeColor="text1"/>
          <w:sz w:val="22"/>
          <w:lang w:val="es-ES_tradnl"/>
        </w:rPr>
        <w:t>,</w:t>
      </w:r>
      <w:r w:rsidR="00802E61" w:rsidRPr="00AC7A12">
        <w:rPr>
          <w:rFonts w:ascii="Arial" w:eastAsia="Calibri" w:hAnsi="Arial" w:cs="Arial"/>
          <w:color w:val="000000" w:themeColor="text1"/>
          <w:sz w:val="22"/>
          <w:lang w:val="es-ES_tradnl"/>
        </w:rPr>
        <w:t xml:space="preserve"> C-233 del 16 de abril de 2020, C-326 del 9 de junio de 2020</w:t>
      </w:r>
      <w:r w:rsidR="00703BA0">
        <w:rPr>
          <w:rFonts w:ascii="Arial" w:eastAsia="Calibri" w:hAnsi="Arial" w:cs="Arial"/>
          <w:color w:val="000000" w:themeColor="text1"/>
          <w:sz w:val="22"/>
          <w:lang w:val="es-ES_tradnl"/>
        </w:rPr>
        <w:t xml:space="preserve">, </w:t>
      </w:r>
      <w:r w:rsidR="00BB0A6F" w:rsidRPr="00AC7A12">
        <w:rPr>
          <w:rFonts w:ascii="Arial" w:eastAsia="Calibri" w:hAnsi="Arial" w:cs="Arial"/>
          <w:color w:val="000000" w:themeColor="text1"/>
          <w:sz w:val="22"/>
          <w:lang w:val="es-ES_tradnl"/>
        </w:rPr>
        <w:t>C-140 del 9 de abril de 2021</w:t>
      </w:r>
      <w:r w:rsidR="000028D0" w:rsidRPr="00AC7A12">
        <w:rPr>
          <w:rFonts w:ascii="Arial" w:eastAsia="Calibri" w:hAnsi="Arial" w:cs="Arial"/>
          <w:color w:val="000000" w:themeColor="text1"/>
          <w:sz w:val="22"/>
          <w:lang w:val="es-ES_tradnl"/>
        </w:rPr>
        <w:t>.</w:t>
      </w:r>
      <w:r w:rsidR="00EF063F" w:rsidRPr="00AC7A12">
        <w:rPr>
          <w:rFonts w:ascii="Arial" w:eastAsia="Calibri" w:hAnsi="Arial" w:cs="Arial"/>
          <w:color w:val="000000" w:themeColor="text1"/>
          <w:sz w:val="22"/>
          <w:lang w:val="es-ES_tradnl"/>
        </w:rPr>
        <w:t xml:space="preserve"> </w:t>
      </w:r>
      <w:r w:rsidR="002B78EF">
        <w:rPr>
          <w:rFonts w:ascii="Arial" w:eastAsia="Calibri" w:hAnsi="Arial" w:cs="Arial"/>
          <w:color w:val="000000" w:themeColor="text1"/>
          <w:sz w:val="22"/>
          <w:lang w:val="es-ES_tradnl"/>
        </w:rPr>
        <w:t xml:space="preserve">Respecto de la reciente reglamentación establecida en los Decretos 399 y 579 de 2021 se pronunció en </w:t>
      </w:r>
      <w:r w:rsidR="00D847AB">
        <w:rPr>
          <w:rFonts w:ascii="Arial" w:eastAsia="Calibri" w:hAnsi="Arial" w:cs="Arial"/>
          <w:color w:val="000000" w:themeColor="text1"/>
          <w:sz w:val="22"/>
          <w:lang w:val="es-ES_tradnl"/>
        </w:rPr>
        <w:t>los</w:t>
      </w:r>
      <w:r w:rsidR="002B78EF">
        <w:rPr>
          <w:rFonts w:ascii="Arial" w:eastAsia="Calibri" w:hAnsi="Arial" w:cs="Arial"/>
          <w:color w:val="000000" w:themeColor="text1"/>
          <w:sz w:val="22"/>
          <w:lang w:val="es-ES_tradnl"/>
        </w:rPr>
        <w:t xml:space="preserve"> Concepto</w:t>
      </w:r>
      <w:r w:rsidR="00D847AB">
        <w:rPr>
          <w:rFonts w:ascii="Arial" w:eastAsia="Calibri" w:hAnsi="Arial" w:cs="Arial"/>
          <w:color w:val="000000" w:themeColor="text1"/>
          <w:sz w:val="22"/>
          <w:lang w:val="es-ES_tradnl"/>
        </w:rPr>
        <w:t>s</w:t>
      </w:r>
      <w:r w:rsidR="002B78EF">
        <w:rPr>
          <w:rFonts w:ascii="Arial" w:eastAsia="Calibri" w:hAnsi="Arial" w:cs="Arial"/>
          <w:color w:val="000000" w:themeColor="text1"/>
          <w:sz w:val="22"/>
          <w:lang w:val="es-ES_tradnl"/>
        </w:rPr>
        <w:t xml:space="preserve"> C</w:t>
      </w:r>
      <w:r w:rsidR="005850F3">
        <w:rPr>
          <w:rFonts w:ascii="Arial" w:eastAsia="Calibri" w:hAnsi="Arial" w:cs="Arial"/>
          <w:color w:val="000000" w:themeColor="text1"/>
          <w:sz w:val="22"/>
          <w:lang w:val="es-ES_tradnl"/>
        </w:rPr>
        <w:t>-</w:t>
      </w:r>
      <w:r w:rsidR="002B78EF">
        <w:rPr>
          <w:rFonts w:ascii="Arial" w:eastAsia="Calibri" w:hAnsi="Arial" w:cs="Arial"/>
          <w:color w:val="000000" w:themeColor="text1"/>
          <w:sz w:val="22"/>
          <w:lang w:val="es-ES_tradnl"/>
        </w:rPr>
        <w:t>288 de 17 de junio de 2021</w:t>
      </w:r>
      <w:r w:rsidR="003C2CC9">
        <w:rPr>
          <w:rFonts w:ascii="Arial" w:eastAsia="Calibri" w:hAnsi="Arial" w:cs="Arial"/>
          <w:color w:val="000000" w:themeColor="text1"/>
          <w:sz w:val="22"/>
          <w:lang w:val="es-ES_tradnl"/>
        </w:rPr>
        <w:t>, C-353 del 19 de julio de 2021, C-366 del 26 de julio de 2021 y C-372 del 28 de julio de 2021</w:t>
      </w:r>
      <w:r w:rsidR="005850F3">
        <w:rPr>
          <w:rFonts w:ascii="Arial" w:eastAsia="Calibri" w:hAnsi="Arial" w:cs="Arial"/>
          <w:color w:val="000000" w:themeColor="text1"/>
          <w:sz w:val="22"/>
          <w:lang w:val="es-ES_tradnl"/>
        </w:rPr>
        <w:t xml:space="preserve"> y </w:t>
      </w:r>
      <w:r w:rsidR="005850F3">
        <w:rPr>
          <w:rFonts w:ascii="Arial" w:eastAsia="Calibri" w:hAnsi="Arial" w:cs="Arial"/>
          <w:sz w:val="22"/>
        </w:rPr>
        <w:t>C-406 del 8 de agosto de 2021</w:t>
      </w:r>
      <w:r w:rsidR="002B78EF">
        <w:rPr>
          <w:rFonts w:ascii="Arial" w:eastAsia="Calibri" w:hAnsi="Arial" w:cs="Arial"/>
          <w:color w:val="000000" w:themeColor="text1"/>
          <w:sz w:val="22"/>
          <w:lang w:val="es-ES_tradnl"/>
        </w:rPr>
        <w:t xml:space="preserve">. Las tesis de esos conceptos </w:t>
      </w:r>
      <w:r w:rsidR="000028D0" w:rsidRPr="00AC7A12">
        <w:rPr>
          <w:rFonts w:ascii="Arial" w:eastAsia="Calibri" w:hAnsi="Arial" w:cs="Arial"/>
          <w:color w:val="000000" w:themeColor="text1"/>
          <w:sz w:val="22"/>
          <w:lang w:val="es-ES_tradnl"/>
        </w:rPr>
        <w:t>se reiteran a continuación</w:t>
      </w:r>
      <w:r w:rsidR="003B03AD">
        <w:rPr>
          <w:rFonts w:ascii="Arial" w:eastAsia="Calibri" w:hAnsi="Arial" w:cs="Arial"/>
          <w:color w:val="000000" w:themeColor="text1"/>
          <w:sz w:val="22"/>
          <w:lang w:val="es-ES_tradnl"/>
        </w:rPr>
        <w:t>:</w:t>
      </w:r>
    </w:p>
    <w:p w14:paraId="5390C826" w14:textId="62FCD79F" w:rsidR="00EF063F" w:rsidRDefault="00EF063F" w:rsidP="00271230">
      <w:pPr>
        <w:spacing w:line="276" w:lineRule="auto"/>
        <w:jc w:val="both"/>
        <w:rPr>
          <w:rFonts w:ascii="Arial" w:eastAsia="Calibri" w:hAnsi="Arial" w:cs="Arial"/>
          <w:color w:val="000000" w:themeColor="text1"/>
          <w:sz w:val="22"/>
          <w:szCs w:val="22"/>
          <w:lang w:val="es-ES_tradnl"/>
        </w:rPr>
      </w:pPr>
    </w:p>
    <w:p w14:paraId="226271BC" w14:textId="77777777" w:rsidR="00906C6E" w:rsidRDefault="00906C6E" w:rsidP="00906C6E">
      <w:pPr>
        <w:spacing w:line="276" w:lineRule="auto"/>
        <w:jc w:val="both"/>
        <w:rPr>
          <w:rFonts w:ascii="Arial" w:hAnsi="Arial" w:cs="Arial"/>
          <w:b/>
          <w:bCs/>
          <w:color w:val="000000" w:themeColor="text1"/>
          <w:sz w:val="22"/>
          <w:lang w:val="es-ES_tradnl"/>
        </w:rPr>
      </w:pPr>
      <w:r>
        <w:rPr>
          <w:rFonts w:ascii="Arial" w:eastAsia="Calibri" w:hAnsi="Arial" w:cs="Arial"/>
          <w:b/>
          <w:bCs/>
          <w:sz w:val="22"/>
          <w:szCs w:val="22"/>
          <w:lang w:val="es-ES_tradnl"/>
        </w:rPr>
        <w:t xml:space="preserve">2.1. </w:t>
      </w:r>
      <w:r>
        <w:rPr>
          <w:rFonts w:ascii="Arial" w:hAnsi="Arial" w:cs="Arial"/>
          <w:b/>
          <w:bCs/>
          <w:color w:val="000000" w:themeColor="text1"/>
          <w:sz w:val="22"/>
          <w:lang w:val="es-ES_tradnl"/>
        </w:rPr>
        <w:t>El Registro Único de Proponentes –RUP–. Concepto y sujetos obligados</w:t>
      </w:r>
    </w:p>
    <w:p w14:paraId="35B1FBAF" w14:textId="77777777" w:rsidR="00906C6E" w:rsidRDefault="00906C6E" w:rsidP="00906C6E">
      <w:pPr>
        <w:spacing w:line="276" w:lineRule="auto"/>
        <w:jc w:val="both"/>
        <w:rPr>
          <w:rFonts w:ascii="Arial" w:eastAsia="Calibri" w:hAnsi="Arial" w:cs="Arial"/>
          <w:b/>
          <w:bCs/>
          <w:sz w:val="22"/>
          <w:szCs w:val="22"/>
          <w:lang w:val="es-ES_tradnl"/>
        </w:rPr>
      </w:pPr>
    </w:p>
    <w:p w14:paraId="08113FDF" w14:textId="77777777" w:rsidR="00906C6E" w:rsidRDefault="00906C6E" w:rsidP="00906C6E">
      <w:pPr>
        <w:spacing w:line="276" w:lineRule="auto"/>
        <w:jc w:val="both"/>
        <w:rPr>
          <w:rFonts w:ascii="Arial" w:hAnsi="Arial" w:cs="Arial"/>
          <w:color w:val="000000" w:themeColor="text1"/>
          <w:sz w:val="22"/>
          <w:lang w:val="es-ES"/>
        </w:rPr>
      </w:pPr>
      <w:r>
        <w:rPr>
          <w:rFonts w:ascii="Arial" w:hAnsi="Arial" w:cs="Arial"/>
          <w:color w:val="000000" w:themeColor="text1"/>
          <w:sz w:val="22"/>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18CBF294" w14:textId="77777777" w:rsidR="00906C6E" w:rsidRDefault="00906C6E" w:rsidP="00906C6E">
      <w:pPr>
        <w:spacing w:line="276" w:lineRule="auto"/>
        <w:ind w:right="426"/>
        <w:jc w:val="both"/>
        <w:rPr>
          <w:rFonts w:ascii="Arial" w:hAnsi="Arial" w:cs="Arial"/>
          <w:color w:val="000000" w:themeColor="text1"/>
          <w:sz w:val="22"/>
        </w:rPr>
      </w:pPr>
    </w:p>
    <w:p w14:paraId="6325E3D1" w14:textId="77777777" w:rsidR="00906C6E" w:rsidRDefault="00906C6E" w:rsidP="00906C6E">
      <w:pPr>
        <w:tabs>
          <w:tab w:val="left" w:pos="8505"/>
        </w:tabs>
        <w:ind w:left="709" w:right="709"/>
        <w:jc w:val="both"/>
        <w:rPr>
          <w:rFonts w:ascii="Arial" w:hAnsi="Arial" w:cs="Arial"/>
          <w:color w:val="000000" w:themeColor="text1"/>
          <w:sz w:val="21"/>
          <w:szCs w:val="21"/>
        </w:rPr>
      </w:pPr>
      <w:r>
        <w:rPr>
          <w:rFonts w:ascii="Arial" w:hAnsi="Arial"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Pr>
          <w:rStyle w:val="Refdenotaalpie"/>
          <w:rFonts w:ascii="Arial" w:hAnsi="Arial" w:cs="Arial"/>
          <w:color w:val="000000" w:themeColor="text1"/>
          <w:sz w:val="21"/>
          <w:szCs w:val="21"/>
        </w:rPr>
        <w:footnoteReference w:id="2"/>
      </w:r>
      <w:r>
        <w:rPr>
          <w:rFonts w:ascii="Arial" w:hAnsi="Arial" w:cs="Arial"/>
          <w:color w:val="000000" w:themeColor="text1"/>
          <w:sz w:val="21"/>
          <w:szCs w:val="21"/>
        </w:rPr>
        <w:t>.</w:t>
      </w:r>
    </w:p>
    <w:p w14:paraId="3FA1B0C7" w14:textId="77777777" w:rsidR="00906C6E" w:rsidRDefault="00906C6E" w:rsidP="00906C6E">
      <w:pPr>
        <w:spacing w:line="276" w:lineRule="auto"/>
        <w:jc w:val="both"/>
        <w:rPr>
          <w:rFonts w:ascii="Arial" w:hAnsi="Arial" w:cs="Arial"/>
          <w:color w:val="000000" w:themeColor="text1"/>
          <w:sz w:val="22"/>
        </w:rPr>
      </w:pPr>
    </w:p>
    <w:p w14:paraId="390792B1" w14:textId="77777777" w:rsidR="00906C6E" w:rsidRDefault="00906C6E" w:rsidP="00906C6E">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El artículo 6.1 de la Ley 1150 de 2007 dispone que el Registro Único de Proponentes es plena prueba de la información que contiene</w:t>
      </w:r>
      <w:r>
        <w:rPr>
          <w:rStyle w:val="Refdenotaalpie"/>
          <w:rFonts w:ascii="Arial" w:hAnsi="Arial" w:cs="Arial"/>
          <w:color w:val="000000" w:themeColor="text1"/>
          <w:sz w:val="22"/>
        </w:rPr>
        <w:footnoteReference w:id="3"/>
      </w:r>
      <w:r>
        <w:rPr>
          <w:rFonts w:ascii="Arial" w:hAnsi="Arial" w:cs="Arial"/>
          <w:color w:val="000000" w:themeColor="text1"/>
          <w:sz w:val="22"/>
        </w:rPr>
        <w:t xml:space="preserve">. Por su parte, el artículo 5.1, al fijar los </w:t>
      </w:r>
      <w:r>
        <w:rPr>
          <w:rFonts w:ascii="Arial" w:hAnsi="Arial" w:cs="Arial"/>
          <w:color w:val="000000" w:themeColor="text1"/>
          <w:sz w:val="22"/>
        </w:rPr>
        <w:lastRenderedPageBreak/>
        <w:t>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Pr>
          <w:rStyle w:val="Refdenotaalpie"/>
          <w:rFonts w:ascii="Arial" w:hAnsi="Arial" w:cs="Arial"/>
          <w:color w:val="000000" w:themeColor="text1"/>
          <w:sz w:val="22"/>
        </w:rPr>
        <w:footnoteReference w:id="4"/>
      </w:r>
      <w:r>
        <w:rPr>
          <w:rFonts w:ascii="Arial" w:hAnsi="Arial" w:cs="Arial"/>
          <w:color w:val="000000" w:themeColor="text1"/>
          <w:sz w:val="22"/>
        </w:rPr>
        <w:t>. 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w:t>
      </w:r>
      <w:r>
        <w:rPr>
          <w:rStyle w:val="Refdenotaalpie"/>
          <w:rFonts w:ascii="Arial" w:hAnsi="Arial" w:cs="Arial"/>
          <w:color w:val="000000" w:themeColor="text1"/>
          <w:sz w:val="22"/>
        </w:rPr>
        <w:footnoteReference w:id="5"/>
      </w:r>
      <w:r>
        <w:rPr>
          <w:rFonts w:ascii="Arial" w:hAnsi="Arial" w:cs="Arial"/>
          <w:color w:val="000000" w:themeColor="text1"/>
          <w:sz w:val="22"/>
        </w:rPr>
        <w:t xml:space="preserve">. </w:t>
      </w:r>
    </w:p>
    <w:p w14:paraId="72936651" w14:textId="77777777" w:rsidR="00906C6E" w:rsidRDefault="00906C6E" w:rsidP="00906C6E">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Pr>
          <w:rStyle w:val="Refdenotaalpie"/>
          <w:rFonts w:ascii="Arial" w:hAnsi="Arial" w:cs="Arial"/>
          <w:color w:val="000000" w:themeColor="text1"/>
          <w:sz w:val="22"/>
        </w:rPr>
        <w:footnoteReference w:id="6"/>
      </w:r>
      <w:r>
        <w:rPr>
          <w:rFonts w:ascii="Arial" w:hAnsi="Arial" w:cs="Arial"/>
          <w:color w:val="000000" w:themeColor="text1"/>
          <w:sz w:val="22"/>
        </w:rPr>
        <w:t xml:space="preserve">. </w:t>
      </w:r>
      <w:r>
        <w:rPr>
          <w:rFonts w:ascii="Arial" w:hAnsi="Arial" w:cs="Arial"/>
          <w:sz w:val="22"/>
          <w:lang w:val="es-ES_tradnl"/>
        </w:rPr>
        <w:t xml:space="preserve">Estas excepciones son </w:t>
      </w:r>
      <w:r>
        <w:rPr>
          <w:rFonts w:ascii="Arial" w:hAnsi="Arial" w:cs="Arial"/>
          <w:sz w:val="22"/>
          <w:lang w:val="es-ES_tradnl"/>
        </w:rPr>
        <w:lastRenderedPageBreak/>
        <w:t xml:space="preserve">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Pr>
          <w:rFonts w:ascii="Arial" w:hAnsi="Arial" w:cs="Arial"/>
          <w:color w:val="000000" w:themeColor="text1"/>
          <w:sz w:val="22"/>
        </w:rPr>
        <w:t>Adicionalmente, en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Pr>
          <w:rStyle w:val="Refdenotaalpie"/>
          <w:rFonts w:ascii="Arial" w:hAnsi="Arial" w:cs="Arial"/>
          <w:color w:val="000000" w:themeColor="text1"/>
          <w:sz w:val="22"/>
        </w:rPr>
        <w:footnoteReference w:id="7"/>
      </w:r>
      <w:r>
        <w:rPr>
          <w:rFonts w:ascii="Arial" w:hAnsi="Arial" w:cs="Arial"/>
          <w:color w:val="000000" w:themeColor="text1"/>
          <w:sz w:val="22"/>
        </w:rPr>
        <w:t>.</w:t>
      </w:r>
    </w:p>
    <w:p w14:paraId="1BC91F59" w14:textId="77777777" w:rsidR="00906C6E" w:rsidRDefault="00906C6E" w:rsidP="00906C6E">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la exposición de motivos de la Ley 1150 de 2007 se expresa la necesidad de establecer excepciones a la regla general de la exigencia del Registro Único de Proponentes a las 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Pr>
          <w:rStyle w:val="Refdenotaalpie"/>
          <w:rFonts w:ascii="Arial" w:hAnsi="Arial" w:cs="Arial"/>
          <w:color w:val="000000" w:themeColor="text1"/>
          <w:sz w:val="22"/>
        </w:rPr>
        <w:footnoteReference w:id="8"/>
      </w:r>
      <w:r>
        <w:rPr>
          <w:rFonts w:ascii="Arial" w:hAnsi="Arial" w:cs="Arial"/>
          <w:color w:val="000000" w:themeColor="text1"/>
          <w:sz w:val="22"/>
        </w:rPr>
        <w:t>.</w:t>
      </w:r>
    </w:p>
    <w:p w14:paraId="0DC45ECB" w14:textId="77777777" w:rsidR="00906C6E" w:rsidRDefault="00906C6E" w:rsidP="00906C6E">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Pr>
          <w:rStyle w:val="Refdenotaalpie"/>
          <w:rFonts w:ascii="Arial" w:hAnsi="Arial" w:cs="Arial"/>
          <w:color w:val="000000" w:themeColor="text1"/>
          <w:sz w:val="22"/>
        </w:rPr>
        <w:footnoteReference w:id="9"/>
      </w:r>
      <w:r>
        <w:rPr>
          <w:rFonts w:ascii="Arial" w:hAnsi="Arial" w:cs="Arial"/>
          <w:color w:val="000000" w:themeColor="text1"/>
          <w:sz w:val="22"/>
        </w:rPr>
        <w:t xml:space="preserve">.  </w:t>
      </w:r>
    </w:p>
    <w:p w14:paraId="417553D5" w14:textId="77777777" w:rsidR="00906C6E" w:rsidRDefault="00906C6E" w:rsidP="00906C6E">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Ahora bien, el inciso 1 del artículo 6 de la Ley 1150 de 2007</w:t>
      </w:r>
      <w:r>
        <w:rPr>
          <w:rStyle w:val="Refdenotaalpie"/>
          <w:rFonts w:ascii="Arial" w:hAnsi="Arial" w:cs="Arial"/>
          <w:color w:val="000000" w:themeColor="text1"/>
          <w:sz w:val="22"/>
        </w:rPr>
        <w:footnoteReference w:id="10"/>
      </w:r>
      <w:r>
        <w:rPr>
          <w:rFonts w:ascii="Arial" w:hAnsi="Arial" w:cs="Arial"/>
          <w:color w:val="000000" w:themeColor="text1"/>
          <w:sz w:val="22"/>
        </w:rPr>
        <w:t>,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Pr>
          <w:rStyle w:val="Refdenotaalpie"/>
          <w:rFonts w:ascii="Arial" w:hAnsi="Arial" w:cs="Arial"/>
          <w:color w:val="000000" w:themeColor="text1"/>
          <w:sz w:val="22"/>
        </w:rPr>
        <w:footnoteReference w:id="11"/>
      </w:r>
      <w:r>
        <w:rPr>
          <w:rFonts w:ascii="Arial" w:hAnsi="Arial" w:cs="Arial"/>
          <w:color w:val="000000" w:themeColor="text1"/>
          <w:sz w:val="22"/>
        </w:rPr>
        <w:t xml:space="preserve">. </w:t>
      </w:r>
    </w:p>
    <w:p w14:paraId="18E8E4C7" w14:textId="42BDBAC9" w:rsidR="00906C6E" w:rsidRPr="0031475A" w:rsidRDefault="00906C6E" w:rsidP="0031475A">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En el mismo sentido, el Decreto 1082 de 2015</w:t>
      </w:r>
      <w:r>
        <w:rPr>
          <w:rStyle w:val="Refdenotaalpie"/>
          <w:rFonts w:ascii="Arial" w:hAnsi="Arial" w:cs="Arial"/>
          <w:color w:val="000000" w:themeColor="text1"/>
          <w:sz w:val="22"/>
        </w:rPr>
        <w:footnoteReference w:id="12"/>
      </w:r>
      <w:r>
        <w:rPr>
          <w:rFonts w:ascii="Arial" w:hAnsi="Arial" w:cs="Arial"/>
          <w:color w:val="000000" w:themeColor="text1"/>
          <w:sz w:val="22"/>
        </w:rPr>
        <w:t xml:space="preserve"> dispone quiénes deben inscribirse en el RUP, el momento de la renovación del registro, la información que puede actualizarse, y la posibilidad de solicitar la cancelación de la inscripción, en cualquier momento ante la </w:t>
      </w:r>
      <w:r>
        <w:rPr>
          <w:rFonts w:ascii="Arial" w:hAnsi="Arial" w:cs="Arial"/>
          <w:color w:val="000000" w:themeColor="text1"/>
          <w:sz w:val="22"/>
        </w:rPr>
        <w:lastRenderedPageBreak/>
        <w:t>Cámara de Comercio correspondiente</w:t>
      </w:r>
      <w:r>
        <w:rPr>
          <w:rStyle w:val="Refdenotaalpie"/>
          <w:rFonts w:ascii="Arial" w:hAnsi="Arial" w:cs="Arial"/>
          <w:color w:val="000000" w:themeColor="text1"/>
          <w:sz w:val="22"/>
        </w:rPr>
        <w:footnoteReference w:id="13"/>
      </w:r>
      <w:r>
        <w:rPr>
          <w:rFonts w:ascii="Arial" w:hAnsi="Arial" w:cs="Arial"/>
          <w:color w:val="000000" w:themeColor="text1"/>
          <w:sz w:val="22"/>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0A00FD2A" w14:textId="77777777" w:rsidR="00906C6E" w:rsidRPr="00AC7A12" w:rsidRDefault="00906C6E" w:rsidP="00271230">
      <w:pPr>
        <w:spacing w:line="276" w:lineRule="auto"/>
        <w:jc w:val="both"/>
        <w:rPr>
          <w:rFonts w:ascii="Arial" w:eastAsia="Calibri" w:hAnsi="Arial" w:cs="Arial"/>
          <w:color w:val="000000" w:themeColor="text1"/>
          <w:sz w:val="22"/>
          <w:szCs w:val="22"/>
          <w:lang w:val="es-ES_tradnl"/>
        </w:rPr>
      </w:pPr>
    </w:p>
    <w:p w14:paraId="55DE877D" w14:textId="60A3EFBD" w:rsidR="009A6890" w:rsidRDefault="003E2F16" w:rsidP="009A6890">
      <w:pPr>
        <w:tabs>
          <w:tab w:val="left" w:pos="426"/>
          <w:tab w:val="left" w:pos="851"/>
        </w:tabs>
        <w:jc w:val="both"/>
        <w:rPr>
          <w:rFonts w:ascii="Arial" w:hAnsi="Arial" w:cs="Arial"/>
          <w:b/>
          <w:bCs/>
          <w:color w:val="000000" w:themeColor="text1"/>
          <w:sz w:val="22"/>
          <w:lang w:val="es-ES"/>
        </w:rPr>
      </w:pPr>
      <w:r w:rsidRPr="00AC7A12">
        <w:rPr>
          <w:rFonts w:ascii="Arial" w:eastAsia="Calibri" w:hAnsi="Arial" w:cs="Arial"/>
          <w:b/>
          <w:color w:val="000000" w:themeColor="text1"/>
          <w:sz w:val="22"/>
          <w:lang w:val="es-ES_tradnl"/>
        </w:rPr>
        <w:t>2.</w:t>
      </w:r>
      <w:r w:rsidR="00117E1B">
        <w:rPr>
          <w:rFonts w:ascii="Arial" w:eastAsia="Calibri" w:hAnsi="Arial" w:cs="Arial"/>
          <w:b/>
          <w:color w:val="000000" w:themeColor="text1"/>
          <w:sz w:val="22"/>
          <w:lang w:val="es-ES_tradnl"/>
        </w:rPr>
        <w:t>2</w:t>
      </w:r>
      <w:r w:rsidRPr="00AC7A12">
        <w:rPr>
          <w:rFonts w:ascii="Arial" w:eastAsia="Calibri" w:hAnsi="Arial" w:cs="Arial"/>
          <w:b/>
          <w:color w:val="000000" w:themeColor="text1"/>
          <w:sz w:val="22"/>
          <w:lang w:val="es-ES_tradnl"/>
        </w:rPr>
        <w:t>.</w:t>
      </w:r>
      <w:r w:rsidR="00E841EC" w:rsidRPr="00AC7A12">
        <w:rPr>
          <w:rFonts w:ascii="Arial" w:eastAsia="Calibri" w:hAnsi="Arial" w:cs="Arial"/>
          <w:b/>
          <w:color w:val="000000" w:themeColor="text1"/>
          <w:sz w:val="22"/>
          <w:lang w:val="es-ES_tradnl"/>
        </w:rPr>
        <w:t xml:space="preserve"> </w:t>
      </w:r>
      <w:r w:rsidR="009A6890" w:rsidRPr="00976D90">
        <w:rPr>
          <w:rFonts w:ascii="Arial" w:hAnsi="Arial" w:cs="Arial"/>
          <w:b/>
          <w:bCs/>
          <w:color w:val="000000" w:themeColor="text1"/>
          <w:sz w:val="22"/>
          <w:lang w:val="es-ES"/>
        </w:rPr>
        <w:t>Requisitos habilitantes</w:t>
      </w:r>
      <w:r w:rsidR="009A6890">
        <w:rPr>
          <w:rFonts w:ascii="Arial" w:hAnsi="Arial" w:cs="Arial"/>
          <w:b/>
          <w:bCs/>
          <w:color w:val="000000" w:themeColor="text1"/>
          <w:sz w:val="22"/>
          <w:lang w:val="es-ES"/>
        </w:rPr>
        <w:t xml:space="preserve"> como</w:t>
      </w:r>
      <w:r w:rsidR="009A6890" w:rsidRPr="00976D90">
        <w:rPr>
          <w:rFonts w:ascii="Arial" w:hAnsi="Arial" w:cs="Arial"/>
          <w:b/>
          <w:bCs/>
          <w:color w:val="000000" w:themeColor="text1"/>
          <w:sz w:val="22"/>
          <w:lang w:val="es-ES"/>
        </w:rPr>
        <w:t xml:space="preserve"> criterios obligatorios para participar en los procedimientos de selección</w:t>
      </w:r>
      <w:r w:rsidR="009A6890">
        <w:rPr>
          <w:rFonts w:ascii="Arial" w:hAnsi="Arial" w:cs="Arial"/>
          <w:b/>
          <w:bCs/>
          <w:color w:val="000000" w:themeColor="text1"/>
          <w:sz w:val="22"/>
          <w:lang w:val="es-ES"/>
        </w:rPr>
        <w:t>: especial referencia a la capacidad financiera y organizacional</w:t>
      </w:r>
    </w:p>
    <w:p w14:paraId="00873D56" w14:textId="7777777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374EFAEF" w14:textId="77777777" w:rsidR="00D30553" w:rsidRDefault="00D30553" w:rsidP="00D30553">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Los </w:t>
      </w:r>
      <w:r w:rsidRPr="00407ABC">
        <w:rPr>
          <w:rFonts w:ascii="Arial" w:eastAsia="Calibri" w:hAnsi="Arial" w:cs="Arial"/>
          <w:i/>
          <w:iCs/>
          <w:color w:val="000000" w:themeColor="text1"/>
          <w:sz w:val="22"/>
          <w:lang w:val="es-ES_tradnl"/>
        </w:rPr>
        <w:t>requisitos habilitantes</w:t>
      </w:r>
      <w:r>
        <w:rPr>
          <w:rFonts w:ascii="Arial" w:eastAsia="Calibri" w:hAnsi="Arial" w:cs="Arial"/>
          <w:color w:val="000000" w:themeColor="text1"/>
          <w:sz w:val="22"/>
          <w:lang w:val="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407ABC">
        <w:rPr>
          <w:rFonts w:ascii="Arial" w:eastAsia="Calibri" w:hAnsi="Arial" w:cs="Arial"/>
          <w:i/>
          <w:iCs/>
          <w:color w:val="000000" w:themeColor="text1"/>
          <w:sz w:val="22"/>
          <w:lang w:val="es-ES_tradnl"/>
        </w:rPr>
        <w:t>criterios de evaluación</w:t>
      </w:r>
      <w:r>
        <w:rPr>
          <w:rFonts w:ascii="Arial" w:eastAsia="Calibri" w:hAnsi="Arial" w:cs="Arial"/>
          <w:color w:val="000000" w:themeColor="text1"/>
          <w:sz w:val="22"/>
          <w:lang w:val="es-ES_tradnl"/>
        </w:rPr>
        <w:t xml:space="preserve"> –también conocidos como </w:t>
      </w:r>
      <w:r w:rsidRPr="00191E63">
        <w:rPr>
          <w:rFonts w:ascii="Arial" w:eastAsia="Calibri" w:hAnsi="Arial" w:cs="Arial"/>
          <w:i/>
          <w:iCs/>
          <w:color w:val="000000" w:themeColor="text1"/>
          <w:sz w:val="22"/>
          <w:lang w:val="es-ES_tradnl"/>
        </w:rPr>
        <w:t xml:space="preserve">criterios de </w:t>
      </w:r>
      <w:r>
        <w:rPr>
          <w:rFonts w:ascii="Arial" w:eastAsia="Calibri" w:hAnsi="Arial" w:cs="Arial"/>
          <w:i/>
          <w:iCs/>
          <w:color w:val="000000" w:themeColor="text1"/>
          <w:sz w:val="22"/>
          <w:lang w:val="es-ES_tradnl"/>
        </w:rPr>
        <w:t>calificación</w:t>
      </w:r>
      <w:r>
        <w:rPr>
          <w:rFonts w:ascii="Arial" w:eastAsia="Calibri" w:hAnsi="Arial" w:cs="Arial"/>
          <w:color w:val="000000" w:themeColor="text1"/>
          <w:sz w:val="22"/>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BFD838E" w14:textId="77777777" w:rsidR="00D30553" w:rsidRDefault="00D30553" w:rsidP="00D30553">
      <w:pPr>
        <w:spacing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7ACCB87" w14:textId="77777777" w:rsidR="00D30553" w:rsidRPr="004940E3" w:rsidRDefault="00D30553" w:rsidP="00D30553">
      <w:pPr>
        <w:spacing w:line="276" w:lineRule="auto"/>
        <w:ind w:firstLine="708"/>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El </w:t>
      </w:r>
      <w:r>
        <w:rPr>
          <w:rFonts w:ascii="Arial" w:eastAsia="Calibri" w:hAnsi="Arial" w:cs="Arial"/>
          <w:color w:val="000000" w:themeColor="text1"/>
          <w:sz w:val="22"/>
          <w:lang w:val="es-ES_tradnl"/>
        </w:rPr>
        <w:t>mencionado artículo dispone</w:t>
      </w:r>
      <w:r w:rsidRPr="004940E3">
        <w:rPr>
          <w:rFonts w:ascii="Arial" w:eastAsia="Calibri" w:hAnsi="Arial" w:cs="Arial"/>
          <w:color w:val="000000" w:themeColor="text1"/>
          <w:sz w:val="22"/>
          <w:lang w:val="es-ES_tradnl"/>
        </w:rPr>
        <w:t xml:space="preserv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w:t>
      </w:r>
      <w:r>
        <w:rPr>
          <w:rFonts w:ascii="Arial" w:eastAsia="Calibri" w:hAnsi="Arial" w:cs="Arial"/>
          <w:color w:val="000000" w:themeColor="text1"/>
          <w:sz w:val="22"/>
          <w:lang w:val="es-ES_tradnl"/>
        </w:rPr>
        <w:t xml:space="preserve">documentos </w:t>
      </w:r>
      <w:r w:rsidRPr="004940E3">
        <w:rPr>
          <w:rFonts w:ascii="Arial" w:eastAsia="Calibri" w:hAnsi="Arial" w:cs="Arial"/>
          <w:color w:val="000000" w:themeColor="text1"/>
          <w:sz w:val="22"/>
          <w:lang w:val="es-ES_tradnl"/>
        </w:rPr>
        <w:t>equivalentes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lastRenderedPageBreak/>
        <w:t xml:space="preserve">deberán tener en cuenta, entre otras cuestiones, los criterios establecidos en </w:t>
      </w:r>
      <w:r>
        <w:rPr>
          <w:rFonts w:ascii="Arial" w:eastAsia="Calibri" w:hAnsi="Arial" w:cs="Arial"/>
          <w:color w:val="000000" w:themeColor="text1"/>
          <w:sz w:val="22"/>
          <w:lang w:val="es-ES_tradnl"/>
        </w:rPr>
        <w:t>dicha disposición</w:t>
      </w:r>
      <w:r w:rsidRPr="004940E3">
        <w:rPr>
          <w:rFonts w:ascii="Arial" w:eastAsia="Calibri" w:hAnsi="Arial" w:cs="Arial"/>
          <w:color w:val="000000" w:themeColor="text1"/>
          <w:sz w:val="22"/>
          <w:lang w:val="es-ES_tradnl"/>
        </w:rPr>
        <w:t>. Específicamente, el numeral 1º de</w:t>
      </w:r>
      <w:r>
        <w:rPr>
          <w:rFonts w:ascii="Arial" w:eastAsia="Calibri" w:hAnsi="Arial" w:cs="Arial"/>
          <w:color w:val="000000" w:themeColor="text1"/>
          <w:sz w:val="22"/>
          <w:lang w:val="es-ES_tradnl"/>
        </w:rPr>
        <w:t xml:space="preserve">l artículo referido </w:t>
      </w:r>
      <w:r w:rsidRPr="004940E3">
        <w:rPr>
          <w:rFonts w:ascii="Arial" w:eastAsia="Calibri" w:hAnsi="Arial" w:cs="Arial"/>
          <w:color w:val="000000" w:themeColor="text1"/>
          <w:sz w:val="22"/>
          <w:lang w:val="es-ES_tradnl"/>
        </w:rPr>
        <w:t xml:space="preserve">establece que en los procesos de selección de contratistas serán objeto de verificación, como requisitos habilitantes, </w:t>
      </w:r>
      <w:r w:rsidRPr="00BF020D">
        <w:rPr>
          <w:rFonts w:ascii="Arial" w:eastAsia="Calibri" w:hAnsi="Arial" w:cs="Arial"/>
          <w:i/>
          <w:iCs/>
          <w:color w:val="000000" w:themeColor="text1"/>
          <w:sz w:val="22"/>
          <w:lang w:val="es-ES_tradnl"/>
        </w:rPr>
        <w:t>entre otros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los siguientes: i) la capacidad jurídica; ii) la experiencia; iii) la capacidad financiera y iv) la capacidad de organización. En efecto, la normativa </w:t>
      </w:r>
      <w:r w:rsidRPr="00395970">
        <w:rPr>
          <w:rFonts w:ascii="Arial" w:eastAsia="Calibri" w:hAnsi="Arial" w:cs="Arial"/>
          <w:color w:val="000000" w:themeColor="text1"/>
          <w:sz w:val="22"/>
          <w:lang w:val="es-ES_tradnl"/>
        </w:rPr>
        <w:t>citada</w:t>
      </w:r>
      <w:r w:rsidRPr="004940E3">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prescribe lo siguiente</w:t>
      </w:r>
      <w:r w:rsidRPr="004940E3">
        <w:rPr>
          <w:rFonts w:ascii="Arial" w:eastAsia="Calibri" w:hAnsi="Arial" w:cs="Arial"/>
          <w:color w:val="000000" w:themeColor="text1"/>
          <w:sz w:val="22"/>
          <w:lang w:val="es-ES_tradnl"/>
        </w:rPr>
        <w:t xml:space="preserve">: </w:t>
      </w:r>
    </w:p>
    <w:p w14:paraId="3B08FE71" w14:textId="77777777" w:rsidR="00D30553" w:rsidRPr="004940E3" w:rsidRDefault="00D30553" w:rsidP="00D30553">
      <w:pPr>
        <w:jc w:val="both"/>
        <w:rPr>
          <w:rFonts w:ascii="Arial" w:eastAsia="Calibri" w:hAnsi="Arial" w:cs="Arial"/>
          <w:color w:val="000000" w:themeColor="text1"/>
          <w:sz w:val="22"/>
          <w:lang w:val="es-ES_tradnl"/>
        </w:rPr>
      </w:pPr>
    </w:p>
    <w:p w14:paraId="63160D64" w14:textId="77777777" w:rsidR="00D30553" w:rsidRPr="004940E3" w:rsidRDefault="00D30553" w:rsidP="00D30553">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 xml:space="preserve">Artículo 5. De la Selección Objetiva. </w:t>
      </w:r>
    </w:p>
    <w:p w14:paraId="600C9516" w14:textId="77777777" w:rsidR="00D30553" w:rsidRPr="004940E3" w:rsidRDefault="00D30553" w:rsidP="00D30553">
      <w:pPr>
        <w:spacing w:after="120"/>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w:t>
      </w:r>
    </w:p>
    <w:p w14:paraId="5DC04C13" w14:textId="77777777" w:rsidR="00D30553" w:rsidRDefault="00D30553" w:rsidP="00D30553">
      <w:pPr>
        <w:pStyle w:val="Prrafodelista"/>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1. </w:t>
      </w:r>
      <w:r w:rsidRPr="0093085B">
        <w:rPr>
          <w:rFonts w:ascii="Arial" w:eastAsia="Calibri" w:hAnsi="Arial" w:cs="Arial"/>
          <w:color w:val="000000" w:themeColor="text1"/>
          <w:sz w:val="21"/>
          <w:szCs w:val="21"/>
          <w:lang w:val="es-ES_tradnl"/>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5336200" w14:textId="77777777" w:rsidR="00D30553" w:rsidRPr="00395970" w:rsidRDefault="00D30553" w:rsidP="00D30553">
      <w:pPr>
        <w:spacing w:line="276" w:lineRule="auto"/>
        <w:ind w:right="709"/>
        <w:jc w:val="both"/>
        <w:rPr>
          <w:rFonts w:ascii="Arial" w:eastAsia="Calibri" w:hAnsi="Arial" w:cs="Arial"/>
          <w:color w:val="000000" w:themeColor="text1"/>
          <w:sz w:val="22"/>
          <w:lang w:val="es-ES_tradnl"/>
        </w:rPr>
      </w:pPr>
    </w:p>
    <w:p w14:paraId="0F435F76" w14:textId="77777777" w:rsidR="00D30553" w:rsidRDefault="00D30553" w:rsidP="0031475A">
      <w:pPr>
        <w:spacing w:after="120" w:line="276" w:lineRule="auto"/>
        <w:ind w:firstLine="708"/>
        <w:jc w:val="both"/>
        <w:rPr>
          <w:rFonts w:ascii="Arial" w:hAnsi="Arial" w:cs="Arial"/>
          <w:b/>
          <w:bCs/>
          <w:color w:val="000000"/>
          <w:sz w:val="22"/>
          <w:bdr w:val="none" w:sz="0" w:space="0" w:color="auto" w:frame="1"/>
          <w:lang w:eastAsia="es-MX"/>
        </w:rPr>
      </w:pPr>
      <w:r w:rsidRPr="004940E3">
        <w:rPr>
          <w:rFonts w:ascii="Arial" w:hAnsi="Arial" w:cs="Arial"/>
          <w:color w:val="000000" w:themeColor="text1"/>
          <w:sz w:val="22"/>
          <w:lang w:val="es-ES_tradnl"/>
        </w:rPr>
        <w:t xml:space="preserve">Una vez fijados los requisitos </w:t>
      </w:r>
      <w:r>
        <w:rPr>
          <w:rFonts w:ascii="Arial" w:hAnsi="Arial" w:cs="Arial"/>
          <w:color w:val="000000" w:themeColor="text1"/>
          <w:sz w:val="22"/>
          <w:lang w:val="es-ES_tradnl"/>
        </w:rPr>
        <w:t>habilitantes</w:t>
      </w:r>
      <w:r w:rsidRPr="004940E3">
        <w:rPr>
          <w:rFonts w:ascii="Arial" w:hAnsi="Arial" w:cs="Arial"/>
          <w:color w:val="000000" w:themeColor="text1"/>
          <w:sz w:val="22"/>
          <w:lang w:val="es-ES_tradnl"/>
        </w:rPr>
        <w:t xml:space="preserve"> por la entidad estatal, quienes presenten ofertas deben </w:t>
      </w:r>
      <w:r w:rsidRPr="004940E3">
        <w:rPr>
          <w:rFonts w:ascii="Arial" w:hAnsi="Arial" w:cs="Arial"/>
          <w:bCs/>
          <w:i/>
          <w:iCs/>
          <w:color w:val="000000" w:themeColor="text1"/>
          <w:sz w:val="22"/>
          <w:lang w:val="es-ES_tradnl"/>
        </w:rPr>
        <w:t>acreditar</w:t>
      </w:r>
      <w:r w:rsidRPr="004940E3">
        <w:rPr>
          <w:rFonts w:ascii="Arial" w:hAnsi="Arial" w:cs="Arial"/>
          <w:color w:val="000000" w:themeColor="text1"/>
          <w:sz w:val="22"/>
          <w:lang w:val="es-ES_tradnl"/>
        </w:rPr>
        <w:t xml:space="preserve"> que cumplen con los mismos, </w:t>
      </w:r>
      <w:r>
        <w:rPr>
          <w:rFonts w:ascii="Arial" w:hAnsi="Arial" w:cs="Arial"/>
          <w:color w:val="000000" w:themeColor="text1"/>
          <w:sz w:val="22"/>
          <w:lang w:val="es-ES_tradnl"/>
        </w:rPr>
        <w:t>so pena de rechazo</w:t>
      </w:r>
      <w:r w:rsidRPr="004940E3">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Pr>
          <w:rFonts w:ascii="Arial" w:eastAsia="Calibri" w:hAnsi="Arial" w:cs="Arial"/>
          <w:color w:val="000000" w:themeColor="text1"/>
          <w:sz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Pr>
          <w:rStyle w:val="Refdenotaalpie"/>
          <w:rFonts w:ascii="Arial" w:eastAsia="Calibri" w:hAnsi="Arial" w:cs="Arial"/>
          <w:color w:val="000000" w:themeColor="text1"/>
          <w:sz w:val="22"/>
          <w:lang w:val="es-ES_tradnl"/>
        </w:rPr>
        <w:footnoteReference w:id="14"/>
      </w:r>
      <w:r>
        <w:rPr>
          <w:rFonts w:ascii="Arial" w:eastAsia="Calibri" w:hAnsi="Arial" w:cs="Arial"/>
          <w:color w:val="000000" w:themeColor="text1"/>
          <w:sz w:val="22"/>
          <w:lang w:val="es-ES_tradnl"/>
        </w:rPr>
        <w:t xml:space="preserve">. De la misma manera es pertinente mencionar que existen determinados procesos donde se excepciona el mencionado registro y la clasificación del proponente, siendo estos los siguientes: </w:t>
      </w:r>
      <w:r>
        <w:rPr>
          <w:rFonts w:ascii="Arial" w:eastAsia="Calibri" w:hAnsi="Arial" w:cs="Arial"/>
          <w:color w:val="000000" w:themeColor="text1"/>
          <w:sz w:val="22"/>
          <w:lang w:val="es-ES_tradnl"/>
        </w:rPr>
        <w:lastRenderedPageBreak/>
        <w:t>contratación directa, contratos para la prestación de servicios de salud, contratos de mínima cuantía, entre otros, conforme al artículo 6 de la Ley 1150 de 2007</w:t>
      </w:r>
      <w:r>
        <w:rPr>
          <w:rStyle w:val="Refdenotaalpie"/>
          <w:rFonts w:ascii="Arial" w:eastAsia="Calibri" w:hAnsi="Arial" w:cs="Arial"/>
          <w:color w:val="000000" w:themeColor="text1"/>
          <w:sz w:val="22"/>
          <w:lang w:val="es-ES_tradnl"/>
        </w:rPr>
        <w:footnoteReference w:id="15"/>
      </w:r>
      <w:r>
        <w:rPr>
          <w:rFonts w:ascii="Arial" w:eastAsia="Calibri" w:hAnsi="Arial" w:cs="Arial"/>
          <w:color w:val="000000" w:themeColor="text1"/>
          <w:sz w:val="22"/>
          <w:lang w:val="es-ES_tradnl"/>
        </w:rPr>
        <w:t xml:space="preserve">. </w:t>
      </w:r>
    </w:p>
    <w:p w14:paraId="26B1F3F5" w14:textId="77777777" w:rsidR="00D30553" w:rsidRPr="0017599F" w:rsidRDefault="00D30553" w:rsidP="00D30553">
      <w:pPr>
        <w:spacing w:before="120" w:after="120" w:line="276" w:lineRule="auto"/>
        <w:ind w:firstLine="567"/>
        <w:jc w:val="both"/>
        <w:rPr>
          <w:rFonts w:ascii="Arial" w:eastAsia="Calibri" w:hAnsi="Arial" w:cs="Arial"/>
          <w:color w:val="000000"/>
          <w:sz w:val="22"/>
          <w:highlight w:val="yellow"/>
        </w:rPr>
      </w:pPr>
      <w:r>
        <w:rPr>
          <w:rFonts w:ascii="Arial" w:eastAsia="Calibri" w:hAnsi="Arial" w:cs="Arial"/>
          <w:color w:val="000000"/>
          <w:sz w:val="22"/>
        </w:rPr>
        <w:t>Dentro de los requisitos habilitantes se destaca la capacidad financiera y organizacional del proponente. Al respecto, l</w:t>
      </w:r>
      <w:r w:rsidRPr="0017599F">
        <w:rPr>
          <w:rFonts w:ascii="Arial" w:eastAsia="Calibri" w:hAnsi="Arial" w:cs="Arial"/>
          <w:color w:val="000000"/>
          <w:sz w:val="22"/>
        </w:rPr>
        <w:t>a entidad, como responsable de la estructuración de su procedimiento de selección, es autónoma para requerir la capacidad financiera y la capacidad organizacional necesaria de acuerdo con el objeto contractual que se pretende satisfacer</w:t>
      </w:r>
      <w:r>
        <w:rPr>
          <w:rFonts w:ascii="Arial" w:eastAsia="Calibri" w:hAnsi="Arial" w:cs="Arial"/>
          <w:color w:val="000000"/>
          <w:sz w:val="22"/>
        </w:rPr>
        <w:t>. S</w:t>
      </w:r>
      <w:r w:rsidRPr="0017599F">
        <w:rPr>
          <w:rFonts w:ascii="Arial" w:eastAsia="Calibri" w:hAnsi="Arial" w:cs="Arial"/>
          <w:color w:val="000000"/>
          <w:sz w:val="22"/>
        </w:rPr>
        <w:t>egún el artículo 2.2.1.1.1.6.2 del Decreto 1082 de 2015</w:t>
      </w:r>
      <w:r>
        <w:rPr>
          <w:rFonts w:ascii="Arial" w:eastAsia="Calibri" w:hAnsi="Arial" w:cs="Arial"/>
          <w:color w:val="000000"/>
          <w:sz w:val="22"/>
        </w:rPr>
        <w:t xml:space="preserve">, la entidad debe tener en cuenta, para la determinación de la capacidad financiera y organizacional, </w:t>
      </w:r>
      <w:r w:rsidRPr="0017599F">
        <w:rPr>
          <w:rFonts w:ascii="Arial" w:eastAsia="Calibri" w:hAnsi="Arial" w:cs="Arial"/>
          <w:color w:val="000000"/>
          <w:sz w:val="22"/>
        </w:rPr>
        <w:t>el estudio del sector y sus componentes como la identificación de riesgos y el mercado y precio del bien, obra o servicio a contratar</w:t>
      </w:r>
      <w:r w:rsidRPr="0017599F">
        <w:rPr>
          <w:rFonts w:ascii="Arial" w:eastAsia="Calibri" w:hAnsi="Arial" w:cs="Arial"/>
          <w:color w:val="000000"/>
          <w:sz w:val="22"/>
          <w:vertAlign w:val="superscript"/>
        </w:rPr>
        <w:footnoteReference w:id="16"/>
      </w:r>
      <w:r w:rsidRPr="0017599F">
        <w:rPr>
          <w:rFonts w:ascii="Arial" w:eastAsia="Calibri" w:hAnsi="Arial" w:cs="Arial"/>
          <w:color w:val="000000"/>
          <w:sz w:val="22"/>
        </w:rPr>
        <w:t>.</w:t>
      </w:r>
    </w:p>
    <w:p w14:paraId="13E8B96D" w14:textId="77777777" w:rsidR="00D30553" w:rsidRPr="009240F5" w:rsidRDefault="00D30553" w:rsidP="00D30553">
      <w:pPr>
        <w:spacing w:before="120" w:after="120" w:line="276" w:lineRule="auto"/>
        <w:ind w:firstLine="708"/>
        <w:jc w:val="both"/>
        <w:rPr>
          <w:rFonts w:ascii="Arial" w:eastAsia="Calibri" w:hAnsi="Arial" w:cs="Arial"/>
          <w:color w:val="000000"/>
          <w:sz w:val="22"/>
          <w:lang w:val="es-ES_tradnl"/>
        </w:rPr>
      </w:pPr>
      <w:r w:rsidRPr="0017599F">
        <w:rPr>
          <w:rFonts w:ascii="Arial" w:eastAsia="Calibri" w:hAnsi="Arial" w:cs="Arial"/>
          <w:color w:val="000000"/>
          <w:sz w:val="22"/>
        </w:rPr>
        <w:t>La capacidad financiera se deriva del comportamiento contable de la empresa, su liquidez y endeudamiento, para determinar</w:t>
      </w:r>
      <w:r>
        <w:rPr>
          <w:rFonts w:ascii="Arial" w:eastAsia="Calibri" w:hAnsi="Arial" w:cs="Arial"/>
          <w:color w:val="000000"/>
          <w:sz w:val="22"/>
        </w:rPr>
        <w:t xml:space="preserve"> que</w:t>
      </w:r>
      <w:r w:rsidRPr="0017599F">
        <w:rPr>
          <w:rFonts w:ascii="Arial" w:eastAsia="Calibri" w:hAnsi="Arial" w:cs="Arial"/>
          <w:color w:val="000000"/>
          <w:sz w:val="22"/>
        </w:rPr>
        <w:t xml:space="preserve"> sus recursos y solidez financiera le permita cumplir los compromisos que adquiera</w:t>
      </w:r>
      <w:r>
        <w:rPr>
          <w:rFonts w:ascii="Arial" w:eastAsia="Calibri" w:hAnsi="Arial" w:cs="Arial"/>
          <w:color w:val="000000"/>
          <w:sz w:val="22"/>
        </w:rPr>
        <w:t xml:space="preserve">. </w:t>
      </w:r>
      <w:r w:rsidRPr="0017599F">
        <w:rPr>
          <w:rFonts w:ascii="Arial" w:eastAsia="Calibri" w:hAnsi="Arial" w:cs="Arial"/>
          <w:color w:val="000000"/>
          <w:sz w:val="22"/>
          <w:lang w:val="es-ES_tradnl"/>
        </w:rPr>
        <w:t>Como explic</w:t>
      </w:r>
      <w:r>
        <w:rPr>
          <w:rFonts w:ascii="Arial" w:eastAsia="Calibri" w:hAnsi="Arial" w:cs="Arial"/>
          <w:color w:val="000000"/>
          <w:sz w:val="22"/>
          <w:lang w:val="es-ES_tradnl"/>
        </w:rPr>
        <w:t>a</w:t>
      </w:r>
      <w:r w:rsidRPr="0017599F">
        <w:rPr>
          <w:rFonts w:ascii="Arial" w:eastAsia="Calibri" w:hAnsi="Arial" w:cs="Arial"/>
          <w:color w:val="000000"/>
          <w:sz w:val="22"/>
          <w:lang w:val="es-ES_tradnl"/>
        </w:rPr>
        <w:t xml:space="preserve">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17599F">
        <w:rPr>
          <w:rFonts w:ascii="Arial" w:eastAsia="Calibri" w:hAnsi="Arial" w:cs="Arial"/>
          <w:color w:val="000000"/>
          <w:sz w:val="22"/>
          <w:vertAlign w:val="superscript"/>
          <w:lang w:val="es-ES_tradnl"/>
        </w:rPr>
        <w:footnoteReference w:id="17"/>
      </w:r>
      <w:r w:rsidRPr="0017599F">
        <w:rPr>
          <w:rFonts w:ascii="Arial" w:eastAsia="Calibri" w:hAnsi="Arial" w:cs="Arial"/>
          <w:color w:val="000000"/>
          <w:sz w:val="22"/>
          <w:lang w:val="es-ES_tradnl"/>
        </w:rPr>
        <w:t xml:space="preserve">. </w:t>
      </w:r>
      <w:r w:rsidRPr="009240F5">
        <w:rPr>
          <w:rFonts w:ascii="Arial" w:eastAsia="Calibri" w:hAnsi="Arial" w:cs="Arial"/>
          <w:color w:val="000000"/>
          <w:sz w:val="22"/>
          <w:lang w:val="es-ES_tradnl"/>
        </w:rPr>
        <w:t xml:space="preserve">La capacidad organizacional, por su parte, «[…] es la aptitud de un proponente para cumplir oportuna y cabalmente el objeto del contrato en función de su organización interna. El Decreto 1082 de 2015 definió los indicadores de rentabilidad para medir la capacidad </w:t>
      </w:r>
      <w:r w:rsidRPr="009240F5">
        <w:rPr>
          <w:rFonts w:ascii="Arial" w:eastAsia="Calibri" w:hAnsi="Arial" w:cs="Arial"/>
          <w:color w:val="000000"/>
          <w:sz w:val="22"/>
          <w:lang w:val="es-ES_tradnl"/>
        </w:rPr>
        <w:lastRenderedPageBreak/>
        <w:t>organizacional de un proponente teniendo en cuenta que está bien organizado cuando es rentable»</w:t>
      </w:r>
      <w:r w:rsidRPr="009240F5">
        <w:rPr>
          <w:rFonts w:ascii="Arial" w:eastAsia="Calibri" w:hAnsi="Arial" w:cs="Arial"/>
          <w:color w:val="000000"/>
          <w:sz w:val="22"/>
          <w:vertAlign w:val="superscript"/>
          <w:lang w:val="es-ES_tradnl"/>
        </w:rPr>
        <w:footnoteReference w:id="18"/>
      </w:r>
      <w:r w:rsidRPr="009240F5">
        <w:rPr>
          <w:rFonts w:ascii="Arial" w:eastAsia="Calibri" w:hAnsi="Arial" w:cs="Arial"/>
          <w:color w:val="000000"/>
          <w:sz w:val="22"/>
          <w:lang w:val="es-ES_tradnl"/>
        </w:rPr>
        <w:t xml:space="preserve">. </w:t>
      </w:r>
    </w:p>
    <w:p w14:paraId="621E3FA5" w14:textId="77777777" w:rsidR="00D30553" w:rsidRPr="009240F5" w:rsidRDefault="00D30553" w:rsidP="00D30553">
      <w:pPr>
        <w:spacing w:before="120" w:after="120" w:line="276" w:lineRule="auto"/>
        <w:ind w:firstLine="709"/>
        <w:jc w:val="both"/>
        <w:rPr>
          <w:rFonts w:ascii="Arial" w:eastAsia="Calibri" w:hAnsi="Arial" w:cs="Arial"/>
          <w:color w:val="000000"/>
          <w:sz w:val="22"/>
          <w:lang w:val="es-ES_tradnl"/>
        </w:rPr>
      </w:pPr>
      <w:r w:rsidRPr="009240F5">
        <w:rPr>
          <w:rFonts w:ascii="Arial" w:eastAsia="Calibri" w:hAnsi="Arial" w:cs="Arial"/>
          <w:color w:val="000000"/>
          <w:sz w:val="22"/>
          <w:lang w:val="es-ES_tradnl"/>
        </w:rPr>
        <w:t xml:space="preserve">Respecto </w:t>
      </w:r>
      <w:r>
        <w:rPr>
          <w:rFonts w:ascii="Arial" w:eastAsia="Calibri" w:hAnsi="Arial" w:cs="Arial"/>
          <w:color w:val="000000"/>
          <w:sz w:val="22"/>
          <w:lang w:val="es-ES_tradnl"/>
        </w:rPr>
        <w:t>a</w:t>
      </w:r>
      <w:r w:rsidRPr="009240F5">
        <w:rPr>
          <w:rFonts w:ascii="Arial" w:eastAsia="Calibri" w:hAnsi="Arial" w:cs="Arial"/>
          <w:color w:val="000000"/>
          <w:sz w:val="22"/>
          <w:lang w:val="es-ES_tradnl"/>
        </w:rPr>
        <w:t xml:space="preserve"> la capacidad financiera, esta debe </w:t>
      </w:r>
      <w:r>
        <w:rPr>
          <w:rFonts w:ascii="Arial" w:eastAsia="Calibri" w:hAnsi="Arial" w:cs="Arial"/>
          <w:color w:val="000000"/>
          <w:sz w:val="22"/>
          <w:lang w:val="es-ES_tradnl"/>
        </w:rPr>
        <w:t>acreditarse</w:t>
      </w:r>
      <w:r w:rsidRPr="009240F5">
        <w:rPr>
          <w:rFonts w:ascii="Arial" w:eastAsia="Calibri" w:hAnsi="Arial" w:cs="Arial"/>
          <w:color w:val="000000"/>
          <w:sz w:val="22"/>
          <w:lang w:val="es-ES_tradnl"/>
        </w:rPr>
        <w:t xml:space="preserve"> en el RUP con los estados financieros del proponente, suscritos por el representante legal y el revisor fiscal, si cuenta con </w:t>
      </w:r>
      <w:r>
        <w:rPr>
          <w:rFonts w:ascii="Arial" w:eastAsia="Calibri" w:hAnsi="Arial" w:cs="Arial"/>
          <w:color w:val="000000"/>
          <w:sz w:val="22"/>
          <w:lang w:val="es-ES_tradnl"/>
        </w:rPr>
        <w:t>tales documentos</w:t>
      </w:r>
      <w:r w:rsidRPr="009240F5">
        <w:rPr>
          <w:rFonts w:ascii="Arial" w:eastAsia="Calibri" w:hAnsi="Arial" w:cs="Arial"/>
          <w:color w:val="000000"/>
          <w:sz w:val="22"/>
          <w:lang w:val="es-ES_tradnl"/>
        </w:rPr>
        <w:t>. De este modo, lo que se verifica con el</w:t>
      </w:r>
      <w:r>
        <w:rPr>
          <w:rFonts w:ascii="Arial" w:eastAsia="Calibri" w:hAnsi="Arial" w:cs="Arial"/>
          <w:color w:val="000000"/>
          <w:sz w:val="22"/>
          <w:lang w:val="es-ES_tradnl"/>
        </w:rPr>
        <w:t xml:space="preserve"> registro</w:t>
      </w:r>
      <w:r w:rsidRPr="009240F5">
        <w:rPr>
          <w:rFonts w:ascii="Arial" w:eastAsia="Calibri" w:hAnsi="Arial" w:cs="Arial"/>
          <w:color w:val="000000"/>
          <w:sz w:val="22"/>
          <w:lang w:val="es-ES_tradnl"/>
        </w:rPr>
        <w:t xml:space="preserve">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w:t>
      </w:r>
      <w:r>
        <w:rPr>
          <w:rFonts w:ascii="Arial" w:eastAsia="Calibri" w:hAnsi="Arial" w:cs="Arial"/>
          <w:color w:val="000000"/>
          <w:sz w:val="22"/>
          <w:lang w:val="es-ES_tradnl"/>
        </w:rPr>
        <w:t>d</w:t>
      </w:r>
      <w:r w:rsidRPr="009240F5">
        <w:rPr>
          <w:rFonts w:ascii="Arial" w:eastAsia="Calibri" w:hAnsi="Arial" w:cs="Arial"/>
          <w:color w:val="000000"/>
          <w:sz w:val="22"/>
          <w:lang w:val="es-ES_tradnl"/>
        </w:rPr>
        <w:t>el artículo 2.2.1.1.1.5.3 del Decreto 1082 de 2015.</w:t>
      </w:r>
    </w:p>
    <w:p w14:paraId="3D7C8DDC" w14:textId="77777777" w:rsidR="00D30553" w:rsidRPr="00976D90" w:rsidRDefault="00D30553" w:rsidP="00D30553">
      <w:pPr>
        <w:spacing w:before="120" w:after="120" w:line="276" w:lineRule="auto"/>
        <w:ind w:firstLine="708"/>
        <w:jc w:val="both"/>
        <w:rPr>
          <w:rFonts w:ascii="Arial" w:eastAsia="Calibri" w:hAnsi="Arial" w:cs="Arial"/>
          <w:color w:val="000000"/>
          <w:sz w:val="22"/>
          <w:lang w:val="es-ES_tradnl"/>
        </w:rPr>
      </w:pPr>
      <w:r w:rsidRPr="009240F5">
        <w:rPr>
          <w:rFonts w:ascii="Arial" w:eastAsia="Calibri" w:hAnsi="Arial" w:cs="Arial"/>
          <w:color w:val="000000"/>
          <w:sz w:val="22"/>
          <w:lang w:val="es-ES_tradnl"/>
        </w:rPr>
        <w:t xml:space="preserve">La Agencia Nacional de Contratación Pública – Colombia Compra Eficiente puso a disposición de los interesados el «Manual para determinar y verificar los requisitos habilitantes en los procesos de contratación». En </w:t>
      </w:r>
      <w:r>
        <w:rPr>
          <w:rFonts w:ascii="Arial" w:eastAsia="Calibri" w:hAnsi="Arial" w:cs="Arial"/>
          <w:color w:val="000000"/>
          <w:sz w:val="22"/>
          <w:lang w:val="es-ES_tradnl"/>
        </w:rPr>
        <w:t>dicho Manual</w:t>
      </w:r>
      <w:r w:rsidRPr="009240F5">
        <w:rPr>
          <w:rFonts w:ascii="Arial" w:eastAsia="Calibri" w:hAnsi="Arial" w:cs="Arial"/>
          <w:color w:val="000000"/>
          <w:sz w:val="22"/>
          <w:lang w:val="es-ES_tradnl"/>
        </w:rPr>
        <w:t xml:space="preserve"> se plantean definiciones para cada requisito habilitante y se indican lineamientos orientadores que las entidades pueden considerar para establecerlos, en este caso, para exigir la capacidad financiera y la capacidad organizacional. </w:t>
      </w:r>
      <w:r w:rsidRPr="00976D90">
        <w:rPr>
          <w:rFonts w:ascii="Arial" w:eastAsia="Calibri" w:hAnsi="Arial" w:cs="Arial"/>
          <w:color w:val="000000"/>
          <w:sz w:val="22"/>
          <w:lang w:val="es-ES_tradnl"/>
        </w:rPr>
        <w:t>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w:t>
      </w:r>
    </w:p>
    <w:p w14:paraId="6E5B007E" w14:textId="77777777" w:rsidR="00D30553" w:rsidRPr="00976D90" w:rsidRDefault="00D30553" w:rsidP="00D30553">
      <w:pPr>
        <w:spacing w:before="120" w:after="120" w:line="276" w:lineRule="auto"/>
        <w:ind w:firstLine="709"/>
        <w:jc w:val="both"/>
        <w:rPr>
          <w:rFonts w:ascii="Arial" w:eastAsia="Calibri" w:hAnsi="Arial" w:cs="Arial"/>
          <w:color w:val="000000"/>
          <w:sz w:val="22"/>
          <w:lang w:val="es-ES_tradnl"/>
        </w:rPr>
      </w:pPr>
      <w:r w:rsidRPr="00976D90">
        <w:rPr>
          <w:rFonts w:ascii="Arial" w:eastAsia="Calibri" w:hAnsi="Arial" w:cs="Arial"/>
          <w:color w:val="000000"/>
          <w:sz w:val="22"/>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976D90">
        <w:rPr>
          <w:rFonts w:ascii="Arial" w:eastAsia="Calibri" w:hAnsi="Arial" w:cs="Arial"/>
          <w:i/>
          <w:iCs/>
          <w:color w:val="000000"/>
          <w:sz w:val="22"/>
          <w:lang w:val="es-ES_tradnl"/>
        </w:rPr>
        <w:t>índice de liquidez</w:t>
      </w:r>
      <w:r w:rsidRPr="00976D90">
        <w:rPr>
          <w:rFonts w:ascii="Arial" w:eastAsia="Calibri" w:hAnsi="Arial" w:cs="Arial"/>
          <w:color w:val="000000"/>
          <w:sz w:val="22"/>
          <w:lang w:val="es-ES_tradnl"/>
        </w:rPr>
        <w:t xml:space="preserve">, que corresponde a la división entre el activo corriente y el pasivo corriente, y que determina la capacidad que tiene el proponente para cumplir con sus obligaciones de corto plazo; ii) el </w:t>
      </w:r>
      <w:r w:rsidRPr="00976D90">
        <w:rPr>
          <w:rFonts w:ascii="Arial" w:eastAsia="Calibri" w:hAnsi="Arial" w:cs="Arial"/>
          <w:i/>
          <w:iCs/>
          <w:color w:val="000000"/>
          <w:sz w:val="22"/>
          <w:lang w:val="es-ES_tradnl"/>
        </w:rPr>
        <w:t>índice de endeudamiento</w:t>
      </w:r>
      <w:r w:rsidRPr="00976D90">
        <w:rPr>
          <w:rFonts w:ascii="Arial" w:eastAsia="Calibri" w:hAnsi="Arial" w:cs="Arial"/>
          <w:color w:val="000000"/>
          <w:sz w:val="22"/>
          <w:lang w:val="es-ES_tradnl"/>
        </w:rPr>
        <w:t xml:space="preserve">, que se calcula dividiendo el pasivo total por el activo total, el cual determina el grado de endeudamiento en la estructura de financiación del proponente; y iii) la </w:t>
      </w:r>
      <w:r w:rsidRPr="00976D90">
        <w:rPr>
          <w:rFonts w:ascii="Arial" w:eastAsia="Calibri" w:hAnsi="Arial" w:cs="Arial"/>
          <w:i/>
          <w:iCs/>
          <w:color w:val="000000"/>
          <w:sz w:val="22"/>
          <w:lang w:val="es-ES_tradnl"/>
        </w:rPr>
        <w:t>razón de cobertura de intereses</w:t>
      </w:r>
      <w:r w:rsidRPr="00976D90">
        <w:rPr>
          <w:rFonts w:ascii="Arial" w:eastAsia="Calibri" w:hAnsi="Arial" w:cs="Arial"/>
          <w:color w:val="000000"/>
          <w:sz w:val="22"/>
          <w:lang w:val="es-ES_tradnl"/>
        </w:rPr>
        <w:t xml:space="preserve">, que es igual a la utilidad operacional, sobre los gastos de intereses, y que refleja la capacidad del proponente para cumplir con sus obligaciones financieras. Adicionalmente, </w:t>
      </w:r>
      <w:r>
        <w:rPr>
          <w:rFonts w:ascii="Arial" w:eastAsia="Calibri" w:hAnsi="Arial" w:cs="Arial"/>
          <w:color w:val="000000"/>
          <w:sz w:val="22"/>
          <w:lang w:val="es-ES_tradnl"/>
        </w:rPr>
        <w:t xml:space="preserve">la Agencia Nacional de Contratación Pública – </w:t>
      </w:r>
      <w:r w:rsidRPr="00976D90">
        <w:rPr>
          <w:rFonts w:ascii="Arial" w:eastAsia="Calibri" w:hAnsi="Arial" w:cs="Arial"/>
          <w:color w:val="000000"/>
          <w:sz w:val="22"/>
          <w:lang w:val="es-ES_tradnl"/>
        </w:rPr>
        <w:t xml:space="preserve">Colombia Compra Eficiente recomienda valorar otro tipo </w:t>
      </w:r>
      <w:r w:rsidRPr="00976D90">
        <w:rPr>
          <w:rFonts w:ascii="Arial" w:eastAsia="Calibri" w:hAnsi="Arial" w:cs="Arial"/>
          <w:color w:val="000000"/>
          <w:sz w:val="22"/>
          <w:lang w:val="es-ES_tradnl"/>
        </w:rPr>
        <w:lastRenderedPageBreak/>
        <w:t xml:space="preserve">de indicadores como el </w:t>
      </w:r>
      <w:r w:rsidRPr="00976D90">
        <w:rPr>
          <w:rFonts w:ascii="Arial" w:eastAsia="Calibri" w:hAnsi="Arial" w:cs="Arial"/>
          <w:i/>
          <w:iCs/>
          <w:color w:val="000000"/>
          <w:sz w:val="22"/>
          <w:lang w:val="es-ES_tradnl"/>
        </w:rPr>
        <w:t>capital de trabajo</w:t>
      </w:r>
      <w:r w:rsidRPr="00976D90">
        <w:rPr>
          <w:rFonts w:ascii="Arial" w:eastAsia="Calibri" w:hAnsi="Arial" w:cs="Arial"/>
          <w:color w:val="000000"/>
          <w:sz w:val="22"/>
          <w:lang w:val="es-ES_tradnl"/>
        </w:rPr>
        <w:t xml:space="preserve">, la </w:t>
      </w:r>
      <w:r w:rsidRPr="00976D90">
        <w:rPr>
          <w:rFonts w:ascii="Arial" w:eastAsia="Calibri" w:hAnsi="Arial" w:cs="Arial"/>
          <w:i/>
          <w:iCs/>
          <w:color w:val="000000"/>
          <w:sz w:val="22"/>
          <w:lang w:val="es-ES_tradnl"/>
        </w:rPr>
        <w:t>razón de efectivo</w:t>
      </w:r>
      <w:r w:rsidRPr="00976D90">
        <w:rPr>
          <w:rFonts w:ascii="Arial" w:eastAsia="Calibri" w:hAnsi="Arial" w:cs="Arial"/>
          <w:color w:val="000000"/>
          <w:sz w:val="22"/>
          <w:lang w:val="es-ES_tradnl"/>
        </w:rPr>
        <w:t xml:space="preserve">, la denominada </w:t>
      </w:r>
      <w:r w:rsidRPr="00976D90">
        <w:rPr>
          <w:rFonts w:ascii="Arial" w:eastAsia="Calibri" w:hAnsi="Arial" w:cs="Arial"/>
          <w:i/>
          <w:iCs/>
          <w:color w:val="000000"/>
          <w:sz w:val="22"/>
          <w:lang w:val="es-ES_tradnl"/>
        </w:rPr>
        <w:t>prueba ácida</w:t>
      </w:r>
      <w:r w:rsidRPr="00976D90">
        <w:rPr>
          <w:rFonts w:ascii="Arial" w:eastAsia="Calibri" w:hAnsi="Arial" w:cs="Arial"/>
          <w:color w:val="000000"/>
          <w:sz w:val="22"/>
          <w:vertAlign w:val="superscript"/>
          <w:lang w:val="es-ES_tradnl"/>
        </w:rPr>
        <w:footnoteReference w:id="19"/>
      </w:r>
      <w:r w:rsidRPr="00976D90">
        <w:rPr>
          <w:rFonts w:ascii="Arial" w:eastAsia="Calibri" w:hAnsi="Arial" w:cs="Arial"/>
          <w:color w:val="000000"/>
          <w:sz w:val="22"/>
          <w:lang w:val="es-ES_tradnl"/>
        </w:rPr>
        <w:t xml:space="preserve">, la </w:t>
      </w:r>
      <w:r w:rsidRPr="00976D90">
        <w:rPr>
          <w:rFonts w:ascii="Arial" w:eastAsia="Calibri" w:hAnsi="Arial" w:cs="Arial"/>
          <w:i/>
          <w:iCs/>
          <w:color w:val="000000"/>
          <w:sz w:val="22"/>
          <w:lang w:val="es-ES_tradnl"/>
        </w:rPr>
        <w:t xml:space="preserve">concentración de endeudamiento a corto </w:t>
      </w:r>
      <w:r w:rsidRPr="00976D90">
        <w:rPr>
          <w:rFonts w:ascii="Arial" w:eastAsia="Calibri" w:hAnsi="Arial" w:cs="Arial"/>
          <w:color w:val="000000"/>
          <w:sz w:val="22"/>
          <w:lang w:val="es-ES_tradnl"/>
        </w:rPr>
        <w:t>y</w:t>
      </w:r>
      <w:r w:rsidRPr="00976D90">
        <w:rPr>
          <w:rFonts w:ascii="Arial" w:eastAsia="Calibri" w:hAnsi="Arial" w:cs="Arial"/>
          <w:i/>
          <w:iCs/>
          <w:color w:val="000000"/>
          <w:sz w:val="22"/>
          <w:lang w:val="es-ES_tradnl"/>
        </w:rPr>
        <w:t xml:space="preserve"> a largo plazo</w:t>
      </w:r>
      <w:r w:rsidRPr="00976D90">
        <w:rPr>
          <w:rFonts w:ascii="Arial" w:eastAsia="Calibri" w:hAnsi="Arial" w:cs="Arial"/>
          <w:color w:val="000000"/>
          <w:sz w:val="22"/>
          <w:lang w:val="es-ES_tradnl"/>
        </w:rPr>
        <w:t xml:space="preserve"> y el </w:t>
      </w:r>
      <w:r w:rsidRPr="00976D90">
        <w:rPr>
          <w:rFonts w:ascii="Arial" w:eastAsia="Calibri" w:hAnsi="Arial" w:cs="Arial"/>
          <w:i/>
          <w:iCs/>
          <w:color w:val="000000"/>
          <w:sz w:val="22"/>
          <w:lang w:val="es-ES_tradnl"/>
        </w:rPr>
        <w:t>patrimonio</w:t>
      </w:r>
      <w:r>
        <w:rPr>
          <w:rStyle w:val="Refdenotaalpie"/>
          <w:rFonts w:ascii="Arial" w:eastAsia="Calibri" w:hAnsi="Arial" w:cs="Arial"/>
          <w:i/>
          <w:iCs/>
          <w:color w:val="000000"/>
          <w:sz w:val="22"/>
          <w:lang w:val="es-ES_tradnl"/>
        </w:rPr>
        <w:footnoteReference w:id="20"/>
      </w:r>
      <w:r w:rsidRPr="00976D90">
        <w:rPr>
          <w:rFonts w:ascii="Arial" w:eastAsia="Calibri" w:hAnsi="Arial" w:cs="Arial"/>
          <w:color w:val="000000"/>
          <w:sz w:val="22"/>
          <w:lang w:val="es-ES_tradnl"/>
        </w:rPr>
        <w:t>.</w:t>
      </w:r>
    </w:p>
    <w:p w14:paraId="342EDE3B" w14:textId="77777777" w:rsidR="00D30553" w:rsidRPr="00976D90" w:rsidRDefault="00D30553" w:rsidP="00D30553">
      <w:pPr>
        <w:spacing w:before="120" w:after="120" w:line="276" w:lineRule="auto"/>
        <w:ind w:firstLine="709"/>
        <w:jc w:val="both"/>
        <w:rPr>
          <w:rFonts w:ascii="Arial" w:eastAsia="Calibri" w:hAnsi="Arial" w:cs="Arial"/>
          <w:color w:val="000000"/>
          <w:sz w:val="22"/>
          <w:lang w:val="es-ES_tradnl"/>
        </w:rPr>
      </w:pPr>
      <w:r w:rsidRPr="00976D90">
        <w:rPr>
          <w:rFonts w:ascii="Arial" w:eastAsia="Calibri" w:hAnsi="Arial" w:cs="Arial"/>
          <w:color w:val="000000"/>
          <w:sz w:val="22"/>
          <w:lang w:val="es-ES_tradnl"/>
        </w:rPr>
        <w:t xml:space="preserve">La </w:t>
      </w:r>
      <w:r w:rsidRPr="00976D90">
        <w:rPr>
          <w:rFonts w:ascii="Arial" w:eastAsia="Calibri" w:hAnsi="Arial" w:cs="Arial"/>
          <w:bCs/>
          <w:i/>
          <w:iCs/>
          <w:color w:val="000000"/>
          <w:sz w:val="22"/>
          <w:lang w:val="es-ES_tradnl"/>
        </w:rPr>
        <w:t>capacidad de organización</w:t>
      </w:r>
      <w:r w:rsidRPr="00976D90">
        <w:rPr>
          <w:rFonts w:ascii="Arial" w:eastAsia="Calibri" w:hAnsi="Arial" w:cs="Arial"/>
          <w:color w:val="000000"/>
          <w:sz w:val="22"/>
          <w:lang w:val="es-ES_tradnl"/>
        </w:rPr>
        <w:t xml:space="preserve">, según el «Manual para determinar y verificar los requisitos habilitantes en los Procesos de Contratación», elaborado por </w:t>
      </w:r>
      <w:r>
        <w:rPr>
          <w:rFonts w:ascii="Arial" w:eastAsia="Calibri" w:hAnsi="Arial" w:cs="Arial"/>
          <w:color w:val="000000"/>
          <w:sz w:val="22"/>
          <w:lang w:val="es-ES_tradnl"/>
        </w:rPr>
        <w:t xml:space="preserve">esta </w:t>
      </w:r>
      <w:r w:rsidRPr="00976D90">
        <w:rPr>
          <w:rFonts w:ascii="Arial" w:eastAsia="Calibri" w:hAnsi="Arial" w:cs="Arial"/>
          <w:color w:val="000000"/>
          <w:sz w:val="22"/>
          <w:lang w:val="es-ES_tradnl"/>
        </w:rPr>
        <w:t xml:space="preserve">Agencia, 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976D90">
        <w:rPr>
          <w:rFonts w:ascii="Arial" w:eastAsia="Calibri" w:hAnsi="Arial" w:cs="Arial"/>
          <w:i/>
          <w:iCs/>
          <w:color w:val="000000"/>
          <w:sz w:val="22"/>
          <w:lang w:val="es-ES_tradnl"/>
        </w:rPr>
        <w:t>rentabilidad del patrimonio</w:t>
      </w:r>
      <w:r w:rsidRPr="00976D90">
        <w:rPr>
          <w:rFonts w:ascii="Arial" w:eastAsia="Calibri" w:hAnsi="Arial" w:cs="Arial"/>
          <w:color w:val="000000"/>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976D90">
        <w:rPr>
          <w:rFonts w:ascii="Arial" w:eastAsia="Calibri" w:hAnsi="Arial" w:cs="Arial"/>
          <w:i/>
          <w:iCs/>
          <w:color w:val="000000"/>
          <w:sz w:val="22"/>
          <w:lang w:val="es-ES_tradnl"/>
        </w:rPr>
        <w:t>rentabilidad del activo</w:t>
      </w:r>
      <w:r w:rsidRPr="00976D90">
        <w:rPr>
          <w:rFonts w:ascii="Arial" w:eastAsia="Calibri" w:hAnsi="Arial" w:cs="Arial"/>
          <w:color w:val="000000"/>
          <w:sz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05104C0A" w14:textId="77777777" w:rsidR="00D30553" w:rsidRDefault="00D30553" w:rsidP="00D30553">
      <w:pPr>
        <w:spacing w:before="120" w:after="120" w:line="276" w:lineRule="auto"/>
        <w:ind w:firstLine="709"/>
        <w:jc w:val="both"/>
        <w:rPr>
          <w:rFonts w:ascii="Arial" w:eastAsia="Calibri" w:hAnsi="Arial" w:cs="Arial"/>
          <w:color w:val="000000"/>
          <w:sz w:val="22"/>
          <w:lang w:val="es-ES_tradnl"/>
        </w:rPr>
      </w:pPr>
      <w:r w:rsidRPr="00976D90">
        <w:rPr>
          <w:rFonts w:ascii="Arial" w:eastAsia="Calibri" w:hAnsi="Arial" w:cs="Arial"/>
          <w:color w:val="000000"/>
          <w:sz w:val="22"/>
          <w:lang w:val="es-ES_tradnl"/>
        </w:rPr>
        <w:t>A juicio de esta Agencia, también son relevantes los siguientes indicadores, pero únicamente en aquellos casos en los que, por las características del objeto a contratar, la naturaleza o la complejidad del proceso de contratación, se requieran: i) margen bruto; ii) margen operacional; iii) margen neto; iv) retorno sobre capital invertido; v) rotación de activos totales; vi) rotación de activos fijos; y vii) rotación de inventarios</w:t>
      </w:r>
      <w:r>
        <w:rPr>
          <w:rStyle w:val="Refdenotaalpie"/>
          <w:rFonts w:ascii="Arial" w:eastAsia="Calibri" w:hAnsi="Arial" w:cs="Arial"/>
          <w:color w:val="000000"/>
          <w:sz w:val="22"/>
          <w:lang w:val="es-ES_tradnl"/>
        </w:rPr>
        <w:footnoteReference w:id="21"/>
      </w:r>
      <w:r w:rsidRPr="00976D90">
        <w:rPr>
          <w:rFonts w:ascii="Arial" w:eastAsia="Calibri" w:hAnsi="Arial" w:cs="Arial"/>
          <w:color w:val="000000"/>
          <w:sz w:val="22"/>
          <w:lang w:val="es-ES_tradnl"/>
        </w:rPr>
        <w:t>.</w:t>
      </w:r>
    </w:p>
    <w:p w14:paraId="5D41BD80" w14:textId="77777777" w:rsidR="00D30553" w:rsidRDefault="00D30553" w:rsidP="00D30553">
      <w:pPr>
        <w:spacing w:before="120" w:line="276" w:lineRule="auto"/>
        <w:ind w:firstLine="708"/>
        <w:jc w:val="both"/>
        <w:rPr>
          <w:rFonts w:ascii="Arial" w:eastAsia="Calibri" w:hAnsi="Arial" w:cs="Arial"/>
          <w:color w:val="000000"/>
          <w:sz w:val="22"/>
          <w:lang w:val="es-ES_tradnl"/>
        </w:rPr>
      </w:pPr>
      <w:r w:rsidRPr="009240F5">
        <w:rPr>
          <w:rFonts w:ascii="Arial" w:eastAsia="Calibri" w:hAnsi="Arial" w:cs="Arial"/>
          <w:color w:val="000000"/>
          <w:sz w:val="22"/>
          <w:lang w:val="es-ES_tradnl"/>
        </w:rPr>
        <w:t>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9240F5">
        <w:rPr>
          <w:rFonts w:ascii="Arial" w:eastAsia="Calibri" w:hAnsi="Arial" w:cs="Arial"/>
          <w:color w:val="000000"/>
          <w:sz w:val="22"/>
          <w:vertAlign w:val="superscript"/>
          <w:lang w:val="es-ES_tradnl"/>
        </w:rPr>
        <w:footnoteReference w:id="22"/>
      </w:r>
      <w:r w:rsidRPr="009240F5">
        <w:rPr>
          <w:rFonts w:ascii="Arial" w:eastAsia="Calibri" w:hAnsi="Arial" w:cs="Arial"/>
          <w:color w:val="000000"/>
          <w:sz w:val="22"/>
          <w:lang w:val="es-ES_tradnl"/>
        </w:rPr>
        <w:t>.</w:t>
      </w:r>
      <w:r>
        <w:rPr>
          <w:rFonts w:ascii="Arial" w:eastAsia="Calibri" w:hAnsi="Arial" w:cs="Arial"/>
          <w:color w:val="000000"/>
          <w:sz w:val="22"/>
          <w:lang w:val="es-ES_tradnl"/>
        </w:rPr>
        <w:t xml:space="preserve"> </w:t>
      </w:r>
      <w:r>
        <w:rPr>
          <w:rFonts w:ascii="Arial" w:eastAsia="Calibri" w:hAnsi="Arial" w:cs="Arial"/>
          <w:color w:val="000000"/>
          <w:sz w:val="22"/>
          <w:lang w:val="es-ES_tradnl"/>
        </w:rPr>
        <w:lastRenderedPageBreak/>
        <w:t>Igualmente</w:t>
      </w:r>
      <w:r w:rsidRPr="009240F5">
        <w:rPr>
          <w:rFonts w:ascii="Arial" w:eastAsia="Calibri" w:hAnsi="Arial" w:cs="Arial"/>
          <w:color w:val="000000"/>
          <w:sz w:val="22"/>
          <w:lang w:val="es-ES_tradnl"/>
        </w:rPr>
        <w:t xml:space="preserve">, la capacidad organizacional se mide </w:t>
      </w:r>
      <w:r>
        <w:rPr>
          <w:rFonts w:ascii="Arial" w:eastAsia="Calibri" w:hAnsi="Arial" w:cs="Arial"/>
          <w:color w:val="000000"/>
          <w:sz w:val="22"/>
          <w:lang w:val="es-ES_tradnl"/>
        </w:rPr>
        <w:t>mediante los siguientes</w:t>
      </w:r>
      <w:r w:rsidRPr="009240F5">
        <w:rPr>
          <w:rFonts w:ascii="Arial" w:eastAsia="Calibri" w:hAnsi="Arial" w:cs="Arial"/>
          <w:color w:val="000000"/>
          <w:sz w:val="22"/>
          <w:lang w:val="es-ES_tradnl"/>
        </w:rPr>
        <w:t xml:space="preserve"> indicadores: i) rentabilidad del patrimonio y ii)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9240F5">
        <w:rPr>
          <w:rFonts w:ascii="Arial" w:eastAsia="Calibri" w:hAnsi="Arial" w:cs="Arial"/>
          <w:color w:val="000000"/>
          <w:sz w:val="22"/>
          <w:vertAlign w:val="superscript"/>
          <w:lang w:val="es-ES_tradnl"/>
        </w:rPr>
        <w:footnoteReference w:id="23"/>
      </w:r>
      <w:r w:rsidRPr="009240F5">
        <w:rPr>
          <w:rFonts w:ascii="Arial" w:eastAsia="Calibri" w:hAnsi="Arial" w:cs="Arial"/>
          <w:color w:val="000000"/>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4AFFE9B6" w14:textId="77777777" w:rsidR="00D40A0B" w:rsidRDefault="00D40A0B" w:rsidP="00271230">
      <w:pPr>
        <w:spacing w:line="276" w:lineRule="auto"/>
        <w:jc w:val="both"/>
        <w:rPr>
          <w:rFonts w:ascii="Arial" w:eastAsia="Calibri" w:hAnsi="Arial" w:cs="Arial"/>
          <w:b/>
          <w:bCs/>
          <w:color w:val="000000" w:themeColor="text1"/>
          <w:sz w:val="22"/>
          <w:szCs w:val="22"/>
          <w:lang w:val="es-ES_tradnl"/>
        </w:rPr>
      </w:pPr>
    </w:p>
    <w:p w14:paraId="06715065" w14:textId="42D36C1E" w:rsidR="00C54A5A" w:rsidRPr="00AC7A12" w:rsidRDefault="00D40A0B" w:rsidP="00271230">
      <w:pPr>
        <w:spacing w:line="276" w:lineRule="auto"/>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2.3. </w:t>
      </w:r>
      <w:r w:rsidR="00A56B63" w:rsidRPr="00AC7A12">
        <w:rPr>
          <w:rFonts w:ascii="Arial" w:eastAsia="Calibri" w:hAnsi="Arial" w:cs="Arial"/>
          <w:b/>
          <w:bCs/>
          <w:color w:val="000000" w:themeColor="text1"/>
          <w:sz w:val="22"/>
          <w:szCs w:val="22"/>
          <w:lang w:val="es-ES_tradnl"/>
        </w:rPr>
        <w:t xml:space="preserve">Modificaciones introducidas </w:t>
      </w:r>
      <w:r w:rsidR="00A56B63" w:rsidRPr="00F374C8">
        <w:rPr>
          <w:rFonts w:ascii="Arial" w:eastAsia="Calibri" w:hAnsi="Arial" w:cs="Arial"/>
          <w:b/>
          <w:bCs/>
          <w:color w:val="000000" w:themeColor="text1"/>
          <w:sz w:val="22"/>
          <w:szCs w:val="22"/>
          <w:lang w:val="es-ES_tradnl"/>
        </w:rPr>
        <w:t xml:space="preserve">por </w:t>
      </w:r>
      <w:r w:rsidR="007B6008" w:rsidRPr="00EA3C17">
        <w:rPr>
          <w:rFonts w:ascii="Arial" w:eastAsia="Calibri" w:hAnsi="Arial" w:cs="Arial"/>
          <w:b/>
          <w:bCs/>
          <w:color w:val="000000" w:themeColor="text1"/>
          <w:sz w:val="22"/>
          <w:szCs w:val="22"/>
          <w:lang w:val="es-ES_tradnl"/>
        </w:rPr>
        <w:t>los Decretos 399 de 2021 y 579 de 2021</w:t>
      </w:r>
      <w:r w:rsidR="00A56B63" w:rsidRPr="007B6008">
        <w:rPr>
          <w:rFonts w:ascii="Arial" w:eastAsia="Calibri" w:hAnsi="Arial" w:cs="Arial"/>
          <w:b/>
          <w:bCs/>
          <w:color w:val="000000" w:themeColor="text1"/>
          <w:sz w:val="22"/>
          <w:szCs w:val="22"/>
          <w:lang w:val="es-ES_tradnl"/>
        </w:rPr>
        <w:t>,</w:t>
      </w:r>
      <w:r w:rsidR="00A56B63" w:rsidRPr="00AC7A12">
        <w:rPr>
          <w:rFonts w:ascii="Arial" w:eastAsia="Calibri" w:hAnsi="Arial" w:cs="Arial"/>
          <w:b/>
          <w:bCs/>
          <w:color w:val="000000" w:themeColor="text1"/>
          <w:sz w:val="22"/>
          <w:szCs w:val="22"/>
          <w:lang w:val="es-ES_tradnl"/>
        </w:rPr>
        <w:t xml:space="preserve"> frente a la información del RUP, así como a la verificación de la capacidad financiera y organizacional del proponente</w:t>
      </w:r>
    </w:p>
    <w:p w14:paraId="3CEF32AF" w14:textId="3F782B95" w:rsidR="00050D61" w:rsidRPr="00AC7A12" w:rsidRDefault="00050D61" w:rsidP="00271230">
      <w:pPr>
        <w:spacing w:line="276" w:lineRule="auto"/>
        <w:jc w:val="both"/>
        <w:rPr>
          <w:rFonts w:ascii="Arial" w:eastAsia="Calibri" w:hAnsi="Arial" w:cs="Arial"/>
          <w:color w:val="000000" w:themeColor="text1"/>
          <w:sz w:val="22"/>
          <w:szCs w:val="22"/>
          <w:lang w:val="es-ES_tradnl"/>
        </w:rPr>
      </w:pPr>
    </w:p>
    <w:p w14:paraId="002CBBF7" w14:textId="59BD3C2F" w:rsidR="00050D61" w:rsidRPr="00AC7A12" w:rsidRDefault="007C1C8E"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AC7A12">
        <w:rPr>
          <w:rFonts w:ascii="Arial" w:eastAsia="Calibri" w:hAnsi="Arial" w:cs="Arial"/>
          <w:color w:val="000000" w:themeColor="text1"/>
          <w:sz w:val="22"/>
          <w:szCs w:val="22"/>
          <w:lang w:val="es-ES_tradnl"/>
        </w:rPr>
        <w:t>, mediante el cual se establecen algunas modificaciones al Decreto 1082 de 2015</w:t>
      </w:r>
      <w:r w:rsidR="00B8093E" w:rsidRPr="00AC7A12">
        <w:rPr>
          <w:rFonts w:ascii="Arial" w:eastAsia="Calibri" w:hAnsi="Arial" w:cs="Arial"/>
          <w:color w:val="000000" w:themeColor="text1"/>
          <w:sz w:val="22"/>
          <w:szCs w:val="22"/>
          <w:lang w:val="es-ES_tradnl"/>
        </w:rPr>
        <w:t xml:space="preserve"> </w:t>
      </w:r>
      <w:r w:rsidR="005178FD" w:rsidRPr="00AC7A12">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sentido, se </w:t>
      </w:r>
      <w:r w:rsidR="00732734" w:rsidRPr="00AC7A12">
        <w:rPr>
          <w:rFonts w:ascii="Arial" w:eastAsia="Calibri" w:hAnsi="Arial" w:cs="Arial"/>
          <w:color w:val="000000" w:themeColor="text1"/>
          <w:sz w:val="22"/>
          <w:szCs w:val="22"/>
          <w:lang w:val="es-ES_tradnl"/>
        </w:rPr>
        <w:t>indic</w:t>
      </w:r>
      <w:r w:rsidR="00BC1519" w:rsidRPr="00AC7A12">
        <w:rPr>
          <w:rFonts w:ascii="Arial" w:eastAsia="Calibri" w:hAnsi="Arial" w:cs="Arial"/>
          <w:color w:val="000000" w:themeColor="text1"/>
          <w:sz w:val="22"/>
          <w:szCs w:val="22"/>
          <w:lang w:val="es-ES_tradnl"/>
        </w:rPr>
        <w:t>ó</w:t>
      </w:r>
      <w:r w:rsidR="005A553D">
        <w:rPr>
          <w:rFonts w:ascii="Arial" w:eastAsia="Calibri" w:hAnsi="Arial" w:cs="Arial"/>
          <w:color w:val="000000" w:themeColor="text1"/>
          <w:sz w:val="22"/>
          <w:szCs w:val="22"/>
          <w:lang w:val="es-ES_tradnl"/>
        </w:rPr>
        <w:t xml:space="preserve"> –</w:t>
      </w:r>
      <w:r w:rsidR="007E56AE">
        <w:rPr>
          <w:rFonts w:ascii="Arial" w:eastAsia="Calibri" w:hAnsi="Arial" w:cs="Arial"/>
          <w:color w:val="000000" w:themeColor="text1"/>
          <w:sz w:val="22"/>
          <w:szCs w:val="22"/>
          <w:lang w:val="es-ES_tradnl"/>
        </w:rPr>
        <w:t>a partir de la modificación posteriormente introducida por el Decreto 579 de 2021–</w:t>
      </w:r>
      <w:r w:rsidR="005178FD" w:rsidRPr="00AC7A12">
        <w:rPr>
          <w:rFonts w:ascii="Arial" w:eastAsia="Calibri" w:hAnsi="Arial" w:cs="Arial"/>
          <w:color w:val="000000" w:themeColor="text1"/>
          <w:sz w:val="22"/>
          <w:szCs w:val="22"/>
          <w:lang w:val="es-ES_tradnl"/>
        </w:rPr>
        <w:t xml:space="preserve"> que </w:t>
      </w:r>
      <w:r w:rsidR="007668B9" w:rsidRPr="00AC7A12">
        <w:rPr>
          <w:rFonts w:ascii="Arial" w:eastAsia="Calibri" w:hAnsi="Arial" w:cs="Arial"/>
          <w:color w:val="000000" w:themeColor="text1"/>
          <w:sz w:val="22"/>
          <w:szCs w:val="22"/>
          <w:lang w:val="es-ES_tradnl"/>
        </w:rPr>
        <w:t xml:space="preserve">a partir del 1 de </w:t>
      </w:r>
      <w:r w:rsidR="007E56AE">
        <w:rPr>
          <w:rFonts w:ascii="Arial" w:eastAsia="Calibri" w:hAnsi="Arial" w:cs="Arial"/>
          <w:i/>
          <w:iCs/>
          <w:color w:val="000000" w:themeColor="text1"/>
          <w:sz w:val="22"/>
          <w:szCs w:val="22"/>
          <w:lang w:val="es-ES_tradnl"/>
        </w:rPr>
        <w:t>julio</w:t>
      </w:r>
      <w:r w:rsidR="00471E7D" w:rsidRPr="00AC7A12">
        <w:rPr>
          <w:rFonts w:ascii="Arial" w:eastAsia="Calibri" w:hAnsi="Arial" w:cs="Arial"/>
          <w:color w:val="000000" w:themeColor="text1"/>
          <w:sz w:val="22"/>
          <w:szCs w:val="22"/>
          <w:lang w:val="es-ES_tradnl"/>
        </w:rPr>
        <w:t xml:space="preserve"> de 2021</w:t>
      </w:r>
      <w:r w:rsidR="00FF2EA5" w:rsidRPr="00AC7A12">
        <w:rPr>
          <w:rStyle w:val="Refdenotaalpie"/>
          <w:rFonts w:ascii="Arial" w:eastAsia="Calibri" w:hAnsi="Arial" w:cs="Arial"/>
          <w:color w:val="000000" w:themeColor="text1"/>
          <w:sz w:val="22"/>
          <w:szCs w:val="22"/>
          <w:lang w:val="es-ES_tradnl"/>
        </w:rPr>
        <w:footnoteReference w:id="24"/>
      </w:r>
      <w:r w:rsidR="00471E7D" w:rsidRPr="00AC7A12">
        <w:rPr>
          <w:rFonts w:ascii="Arial" w:eastAsia="Calibri" w:hAnsi="Arial" w:cs="Arial"/>
          <w:color w:val="000000" w:themeColor="text1"/>
          <w:sz w:val="22"/>
          <w:szCs w:val="22"/>
          <w:lang w:val="es-ES_tradnl"/>
        </w:rPr>
        <w:t xml:space="preserve"> las entidades estatales deberán tener en cuenta l</w:t>
      </w:r>
      <w:r w:rsidR="008A65AE" w:rsidRPr="00AC7A12">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AC7A12">
        <w:rPr>
          <w:rFonts w:ascii="Arial" w:eastAsia="Calibri" w:hAnsi="Arial" w:cs="Arial"/>
          <w:color w:val="000000" w:themeColor="text1"/>
          <w:sz w:val="22"/>
          <w:szCs w:val="22"/>
          <w:lang w:val="es-ES_tradnl"/>
        </w:rPr>
        <w:t xml:space="preserve"> Así lo justifica textualmente el reglamento</w:t>
      </w:r>
      <w:r w:rsidR="003A29C5">
        <w:rPr>
          <w:rFonts w:ascii="Arial" w:eastAsia="Calibri" w:hAnsi="Arial" w:cs="Arial"/>
          <w:color w:val="000000" w:themeColor="text1"/>
          <w:sz w:val="22"/>
          <w:szCs w:val="22"/>
          <w:lang w:val="es-ES_tradnl"/>
        </w:rPr>
        <w:t xml:space="preserve"> mencionado</w:t>
      </w:r>
      <w:r w:rsidR="00045D1A" w:rsidRPr="00AC7A12">
        <w:rPr>
          <w:rFonts w:ascii="Arial" w:eastAsia="Calibri" w:hAnsi="Arial" w:cs="Arial"/>
          <w:color w:val="000000" w:themeColor="text1"/>
          <w:sz w:val="22"/>
          <w:szCs w:val="22"/>
          <w:lang w:val="es-ES_tradnl"/>
        </w:rPr>
        <w:t>, en sus consideraciones:</w:t>
      </w:r>
    </w:p>
    <w:p w14:paraId="74C8D5EE" w14:textId="57C40452"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w:t>
      </w:r>
      <w:proofErr w:type="gramStart"/>
      <w:r w:rsidRPr="00AC7A12">
        <w:rPr>
          <w:rFonts w:ascii="Arial" w:eastAsia="Calibri" w:hAnsi="Arial" w:cs="Arial"/>
          <w:color w:val="000000" w:themeColor="text1"/>
          <w:sz w:val="21"/>
          <w:szCs w:val="21"/>
          <w:lang w:val="es-ES_tradnl"/>
        </w:rPr>
        <w:t>sectores</w:t>
      </w:r>
      <w:proofErr w:type="gramEnd"/>
      <w:r w:rsidRPr="00AC7A12">
        <w:rPr>
          <w:rFonts w:ascii="Arial" w:eastAsia="Calibri" w:hAnsi="Arial" w:cs="Arial"/>
          <w:color w:val="000000" w:themeColor="text1"/>
          <w:sz w:val="21"/>
          <w:szCs w:val="21"/>
          <w:lang w:val="es-ES_tradnl"/>
        </w:rPr>
        <w:t xml:space="preserve"> económicos han sufrido efectos negativos a causa de esta.</w:t>
      </w:r>
    </w:p>
    <w:p w14:paraId="3B43D050"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AC7A12" w:rsidRDefault="00045D1A" w:rsidP="00271230">
      <w:pPr>
        <w:spacing w:line="276" w:lineRule="auto"/>
        <w:jc w:val="both"/>
        <w:rPr>
          <w:rFonts w:ascii="Arial" w:eastAsia="Calibri" w:hAnsi="Arial" w:cs="Arial"/>
          <w:color w:val="000000" w:themeColor="text1"/>
          <w:sz w:val="22"/>
          <w:szCs w:val="22"/>
          <w:lang w:val="es-ES_tradnl"/>
        </w:rPr>
      </w:pPr>
    </w:p>
    <w:p w14:paraId="7AC0DA40" w14:textId="5D114AED" w:rsidR="003D266D" w:rsidRPr="00AC7A12" w:rsidRDefault="003D266D" w:rsidP="00EA3C1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w:t>
      </w:r>
      <w:r w:rsidR="00E669E5" w:rsidRPr="00AC7A12">
        <w:rPr>
          <w:rFonts w:ascii="Arial" w:eastAsia="Calibri" w:hAnsi="Arial" w:cs="Arial"/>
          <w:color w:val="000000" w:themeColor="text1"/>
          <w:sz w:val="22"/>
          <w:szCs w:val="22"/>
          <w:lang w:val="es-ES_tradnl"/>
        </w:rPr>
        <w:t xml:space="preserve"> adicion</w:t>
      </w:r>
      <w:r w:rsidR="00A44ADA" w:rsidRPr="00AC7A12">
        <w:rPr>
          <w:rFonts w:ascii="Arial" w:eastAsia="Calibri" w:hAnsi="Arial" w:cs="Arial"/>
          <w:color w:val="000000" w:themeColor="text1"/>
          <w:sz w:val="22"/>
          <w:szCs w:val="22"/>
          <w:lang w:val="es-ES_tradnl"/>
        </w:rPr>
        <w:t>ó</w:t>
      </w:r>
      <w:r w:rsidR="00E669E5" w:rsidRPr="00AC7A12">
        <w:rPr>
          <w:rFonts w:ascii="Arial" w:eastAsia="Calibri" w:hAnsi="Arial" w:cs="Arial"/>
          <w:color w:val="000000" w:themeColor="text1"/>
          <w:sz w:val="22"/>
          <w:szCs w:val="22"/>
          <w:lang w:val="es-ES_tradnl"/>
        </w:rPr>
        <w:t xml:space="preserve"> dos parágrafos transitorios al artículo </w:t>
      </w:r>
      <w:r w:rsidR="00C23B8A" w:rsidRPr="00AC7A12">
        <w:rPr>
          <w:rFonts w:ascii="Arial" w:eastAsia="Calibri" w:hAnsi="Arial" w:cs="Arial"/>
          <w:color w:val="000000" w:themeColor="text1"/>
          <w:sz w:val="22"/>
          <w:szCs w:val="22"/>
          <w:lang w:val="es-ES_tradnl"/>
        </w:rPr>
        <w:t>2.2.1.1.1.5.2.</w:t>
      </w:r>
      <w:r w:rsidR="004132AF" w:rsidRPr="00AC7A12">
        <w:rPr>
          <w:rFonts w:ascii="Arial" w:eastAsia="Calibri" w:hAnsi="Arial" w:cs="Arial"/>
          <w:color w:val="000000" w:themeColor="text1"/>
          <w:sz w:val="22"/>
          <w:szCs w:val="22"/>
          <w:lang w:val="es-ES_tradnl"/>
        </w:rPr>
        <w:t xml:space="preserve"> del Decreto 1082 de 2015</w:t>
      </w:r>
      <w:r w:rsidR="00170D4D" w:rsidRPr="00AC7A12">
        <w:rPr>
          <w:rFonts w:ascii="Arial" w:eastAsia="Calibri" w:hAnsi="Arial" w:cs="Arial"/>
          <w:color w:val="000000" w:themeColor="text1"/>
          <w:sz w:val="22"/>
          <w:szCs w:val="22"/>
          <w:lang w:val="es-ES_tradnl"/>
        </w:rPr>
        <w:t>, que a su vez fueron sustituidos</w:t>
      </w:r>
      <w:r w:rsidR="00A44ADA" w:rsidRPr="00AC7A12">
        <w:rPr>
          <w:rFonts w:ascii="Arial" w:eastAsia="Calibri" w:hAnsi="Arial" w:cs="Arial"/>
          <w:color w:val="000000" w:themeColor="text1"/>
          <w:sz w:val="22"/>
          <w:szCs w:val="22"/>
          <w:lang w:val="es-ES_tradnl"/>
        </w:rPr>
        <w:t xml:space="preserve"> posteriormente</w:t>
      </w:r>
      <w:r w:rsidR="00170D4D" w:rsidRPr="00AC7A12">
        <w:rPr>
          <w:rFonts w:ascii="Arial" w:eastAsia="Calibri" w:hAnsi="Arial" w:cs="Arial"/>
          <w:color w:val="000000" w:themeColor="text1"/>
          <w:sz w:val="22"/>
          <w:szCs w:val="22"/>
          <w:lang w:val="es-ES_tradnl"/>
        </w:rPr>
        <w:t xml:space="preserve"> </w:t>
      </w:r>
      <w:r w:rsidR="0090220E" w:rsidRPr="00AC7A12">
        <w:rPr>
          <w:rFonts w:ascii="Arial" w:eastAsia="Calibri" w:hAnsi="Arial" w:cs="Arial"/>
          <w:color w:val="000000" w:themeColor="text1"/>
          <w:sz w:val="22"/>
          <w:szCs w:val="22"/>
          <w:lang w:val="es-ES_tradnl"/>
        </w:rPr>
        <w:t>por el artículo 1 del Decreto 579 del 31 de mayo de 2021</w:t>
      </w:r>
      <w:r w:rsidR="008861E3" w:rsidRPr="00AC7A12">
        <w:rPr>
          <w:rStyle w:val="Refdenotaalpie"/>
          <w:rFonts w:ascii="Arial" w:eastAsia="Calibri" w:hAnsi="Arial" w:cs="Arial"/>
          <w:color w:val="000000" w:themeColor="text1"/>
          <w:sz w:val="22"/>
          <w:szCs w:val="22"/>
          <w:lang w:val="es-ES_tradnl"/>
        </w:rPr>
        <w:footnoteReference w:id="25"/>
      </w:r>
      <w:r w:rsidR="008861E3" w:rsidRPr="00AC7A12">
        <w:rPr>
          <w:rFonts w:ascii="Arial" w:eastAsia="Calibri" w:hAnsi="Arial" w:cs="Arial"/>
          <w:color w:val="000000" w:themeColor="text1"/>
          <w:sz w:val="22"/>
          <w:szCs w:val="22"/>
          <w:lang w:val="es-ES_tradnl"/>
        </w:rPr>
        <w:t xml:space="preserve">. </w:t>
      </w:r>
      <w:r w:rsidR="004212CC" w:rsidRPr="00AC7A12">
        <w:rPr>
          <w:rFonts w:ascii="Arial" w:eastAsia="Calibri" w:hAnsi="Arial" w:cs="Arial"/>
          <w:color w:val="000000" w:themeColor="text1"/>
          <w:sz w:val="22"/>
          <w:szCs w:val="22"/>
          <w:lang w:val="es-ES_tradnl"/>
        </w:rPr>
        <w:t>E</w:t>
      </w:r>
      <w:r w:rsidR="008861E3" w:rsidRPr="00AC7A12">
        <w:rPr>
          <w:rFonts w:ascii="Arial" w:eastAsia="Calibri" w:hAnsi="Arial" w:cs="Arial"/>
          <w:color w:val="000000" w:themeColor="text1"/>
          <w:sz w:val="22"/>
          <w:szCs w:val="22"/>
          <w:lang w:val="es-ES_tradnl"/>
        </w:rPr>
        <w:t xml:space="preserve">l </w:t>
      </w:r>
      <w:r w:rsidR="008861E3" w:rsidRPr="00AC7A12">
        <w:rPr>
          <w:rFonts w:ascii="Arial" w:eastAsia="Calibri" w:hAnsi="Arial" w:cs="Arial"/>
          <w:color w:val="000000" w:themeColor="text1"/>
          <w:sz w:val="22"/>
          <w:szCs w:val="22"/>
          <w:lang w:val="es-ES_tradnl"/>
        </w:rPr>
        <w:lastRenderedPageBreak/>
        <w:t>parágrafo transitorio 1</w:t>
      </w:r>
      <w:r w:rsidR="00632A06" w:rsidRPr="00AC7A12">
        <w:rPr>
          <w:rFonts w:ascii="Arial" w:eastAsia="Calibri" w:hAnsi="Arial" w:cs="Arial"/>
          <w:color w:val="000000" w:themeColor="text1"/>
          <w:sz w:val="22"/>
          <w:szCs w:val="22"/>
          <w:lang w:val="es-ES_tradnl"/>
        </w:rPr>
        <w:t xml:space="preserve"> establece que desde el 1 de </w:t>
      </w:r>
      <w:r w:rsidR="008B1778" w:rsidRPr="00AC7A12">
        <w:rPr>
          <w:rFonts w:ascii="Arial" w:eastAsia="Calibri" w:hAnsi="Arial" w:cs="Arial"/>
          <w:color w:val="000000" w:themeColor="text1"/>
          <w:sz w:val="22"/>
          <w:szCs w:val="22"/>
          <w:lang w:val="es-ES_tradnl"/>
        </w:rPr>
        <w:t>junio</w:t>
      </w:r>
      <w:r w:rsidR="00B7640D" w:rsidRPr="00AC7A12">
        <w:rPr>
          <w:rFonts w:ascii="Arial" w:eastAsia="Calibri" w:hAnsi="Arial" w:cs="Arial"/>
          <w:color w:val="000000" w:themeColor="text1"/>
          <w:sz w:val="22"/>
          <w:szCs w:val="22"/>
          <w:lang w:val="es-ES_tradnl"/>
        </w:rPr>
        <w:t xml:space="preserve"> de 2021 los interesados en inscribirse en el RUP</w:t>
      </w:r>
      <w:r w:rsidR="0077279E" w:rsidRPr="00AC7A12">
        <w:rPr>
          <w:rFonts w:ascii="Arial" w:eastAsia="Calibri" w:hAnsi="Arial" w:cs="Arial"/>
          <w:color w:val="000000" w:themeColor="text1"/>
          <w:sz w:val="22"/>
          <w:szCs w:val="22"/>
          <w:lang w:val="es-ES_tradnl"/>
        </w:rPr>
        <w:t xml:space="preserve"> deben reportar</w:t>
      </w:r>
      <w:r w:rsidR="00067064" w:rsidRPr="00AC7A12">
        <w:rPr>
          <w:rFonts w:ascii="Arial" w:eastAsia="Calibri" w:hAnsi="Arial" w:cs="Arial"/>
          <w:color w:val="000000" w:themeColor="text1"/>
          <w:sz w:val="22"/>
          <w:szCs w:val="22"/>
          <w:lang w:val="es-ES_tradnl"/>
        </w:rPr>
        <w:t xml:space="preserve"> la información contable</w:t>
      </w:r>
      <w:r w:rsidR="007C67F4" w:rsidRPr="00AC7A12">
        <w:rPr>
          <w:rFonts w:ascii="Arial" w:eastAsia="Calibri" w:hAnsi="Arial" w:cs="Arial"/>
          <w:color w:val="000000" w:themeColor="text1"/>
          <w:sz w:val="22"/>
          <w:szCs w:val="22"/>
          <w:lang w:val="es-ES_tradnl"/>
        </w:rPr>
        <w:t xml:space="preserve"> y los estados financieros</w:t>
      </w:r>
      <w:r w:rsidR="00B75D76" w:rsidRPr="00AC7A12">
        <w:rPr>
          <w:rFonts w:ascii="Arial" w:eastAsia="Calibri" w:hAnsi="Arial" w:cs="Arial"/>
          <w:color w:val="000000" w:themeColor="text1"/>
          <w:sz w:val="22"/>
          <w:szCs w:val="22"/>
          <w:lang w:val="es-ES_tradnl"/>
        </w:rPr>
        <w:t xml:space="preserve"> de los tres últimos años fiscales.</w:t>
      </w:r>
      <w:r w:rsidR="00820710" w:rsidRPr="00AC7A12">
        <w:rPr>
          <w:rFonts w:ascii="Arial" w:eastAsia="Calibri" w:hAnsi="Arial" w:cs="Arial"/>
          <w:color w:val="000000" w:themeColor="text1"/>
          <w:sz w:val="22"/>
          <w:szCs w:val="22"/>
          <w:lang w:val="es-ES_tradnl"/>
        </w:rPr>
        <w:t xml:space="preserve"> Pero, si el interesado no tiene una antigüedad de</w:t>
      </w:r>
      <w:r w:rsidR="001541AD" w:rsidRPr="00AC7A12">
        <w:rPr>
          <w:rFonts w:ascii="Arial" w:eastAsia="Calibri" w:hAnsi="Arial" w:cs="Arial"/>
          <w:color w:val="000000" w:themeColor="text1"/>
          <w:sz w:val="22"/>
          <w:szCs w:val="22"/>
          <w:lang w:val="es-ES_tradnl"/>
        </w:rPr>
        <w:t xml:space="preserve"> tres años, podrá acreditar dicha información desde el </w:t>
      </w:r>
      <w:r w:rsidR="00272AFB" w:rsidRPr="00AC7A12">
        <w:rPr>
          <w:rFonts w:ascii="Arial" w:eastAsia="Calibri" w:hAnsi="Arial" w:cs="Arial"/>
          <w:color w:val="000000" w:themeColor="text1"/>
          <w:sz w:val="22"/>
          <w:szCs w:val="22"/>
          <w:lang w:val="es-ES_tradnl"/>
        </w:rPr>
        <w:t>primer</w:t>
      </w:r>
      <w:r w:rsidR="001541AD" w:rsidRPr="00AC7A12">
        <w:rPr>
          <w:rFonts w:ascii="Arial" w:eastAsia="Calibri" w:hAnsi="Arial" w:cs="Arial"/>
          <w:color w:val="000000" w:themeColor="text1"/>
          <w:sz w:val="22"/>
          <w:szCs w:val="22"/>
          <w:lang w:val="es-ES_tradnl"/>
        </w:rPr>
        <w:t xml:space="preserve"> cierre fiscal</w:t>
      </w:r>
      <w:r w:rsidR="00272AFB" w:rsidRPr="00AC7A12">
        <w:rPr>
          <w:rFonts w:ascii="Arial" w:eastAsia="Calibri" w:hAnsi="Arial" w:cs="Arial"/>
          <w:color w:val="000000" w:themeColor="text1"/>
          <w:sz w:val="22"/>
          <w:szCs w:val="22"/>
          <w:lang w:val="es-ES_tradnl"/>
        </w:rPr>
        <w:t>.</w:t>
      </w:r>
      <w:r w:rsidR="00373B6E" w:rsidRPr="00AC7A12">
        <w:rPr>
          <w:rFonts w:ascii="Arial" w:eastAsia="Calibri" w:hAnsi="Arial" w:cs="Arial"/>
          <w:color w:val="000000" w:themeColor="text1"/>
          <w:sz w:val="22"/>
          <w:szCs w:val="22"/>
          <w:lang w:val="es-ES_tradnl"/>
        </w:rPr>
        <w:t xml:space="preserve"> </w:t>
      </w:r>
      <w:r w:rsidR="00CA4061">
        <w:rPr>
          <w:rFonts w:ascii="Arial" w:eastAsia="Calibri" w:hAnsi="Arial" w:cs="Arial"/>
          <w:color w:val="000000" w:themeColor="text1"/>
          <w:sz w:val="22"/>
          <w:szCs w:val="22"/>
          <w:lang w:val="es-ES_tradnl"/>
        </w:rPr>
        <w:t>Además</w:t>
      </w:r>
      <w:r w:rsidR="00F6786A">
        <w:rPr>
          <w:rFonts w:ascii="Arial" w:eastAsia="Calibri" w:hAnsi="Arial" w:cs="Arial"/>
          <w:color w:val="000000" w:themeColor="text1"/>
          <w:sz w:val="22"/>
          <w:szCs w:val="22"/>
          <w:lang w:val="es-ES_tradnl"/>
        </w:rPr>
        <w:t>, d</w:t>
      </w:r>
      <w:r w:rsidR="00373B6E" w:rsidRPr="00AC7A12">
        <w:rPr>
          <w:rFonts w:ascii="Arial" w:eastAsia="Calibri" w:hAnsi="Arial" w:cs="Arial"/>
          <w:color w:val="000000" w:themeColor="text1"/>
          <w:sz w:val="22"/>
          <w:szCs w:val="22"/>
          <w:lang w:val="es-ES_tradnl"/>
        </w:rPr>
        <w:t xml:space="preserve">icho parágrafo permite que el </w:t>
      </w:r>
      <w:r w:rsidR="00A057C6" w:rsidRPr="00AC7A12">
        <w:rPr>
          <w:rFonts w:ascii="Arial" w:eastAsia="Calibri" w:hAnsi="Arial" w:cs="Arial"/>
          <w:color w:val="000000" w:themeColor="text1"/>
          <w:sz w:val="22"/>
          <w:szCs w:val="22"/>
          <w:lang w:val="es-ES_tradnl"/>
        </w:rPr>
        <w:t>proponente con inscripción activa</w:t>
      </w:r>
      <w:r w:rsidR="002179DE" w:rsidRPr="00AC7A12">
        <w:rPr>
          <w:rFonts w:ascii="Arial" w:eastAsia="Calibri" w:hAnsi="Arial" w:cs="Arial"/>
          <w:color w:val="000000" w:themeColor="text1"/>
          <w:sz w:val="22"/>
          <w:szCs w:val="22"/>
          <w:lang w:val="es-ES_tradnl"/>
        </w:rPr>
        <w:t xml:space="preserve"> y vigente</w:t>
      </w:r>
      <w:r w:rsidR="00A057C6" w:rsidRPr="00AC7A12">
        <w:rPr>
          <w:rFonts w:ascii="Arial" w:eastAsia="Calibri" w:hAnsi="Arial" w:cs="Arial"/>
          <w:color w:val="000000" w:themeColor="text1"/>
          <w:sz w:val="22"/>
          <w:szCs w:val="22"/>
          <w:lang w:val="es-ES_tradnl"/>
        </w:rPr>
        <w:t xml:space="preserve"> en el RUP actualice la información </w:t>
      </w:r>
      <w:r w:rsidR="00260724" w:rsidRPr="00AC7A12">
        <w:rPr>
          <w:rFonts w:ascii="Arial" w:eastAsia="Calibri" w:hAnsi="Arial" w:cs="Arial"/>
          <w:color w:val="000000" w:themeColor="text1"/>
          <w:sz w:val="22"/>
          <w:szCs w:val="22"/>
          <w:lang w:val="es-ES_tradnl"/>
        </w:rPr>
        <w:t xml:space="preserve">del </w:t>
      </w:r>
      <w:r w:rsidR="00A057C6" w:rsidRPr="00AC7A12">
        <w:rPr>
          <w:rFonts w:ascii="Arial" w:eastAsia="Calibri" w:hAnsi="Arial" w:cs="Arial"/>
          <w:color w:val="000000" w:themeColor="text1"/>
          <w:sz w:val="22"/>
          <w:szCs w:val="22"/>
          <w:lang w:val="es-ES_tradnl"/>
        </w:rPr>
        <w:t>2018 y</w:t>
      </w:r>
      <w:r w:rsidR="004356CF" w:rsidRPr="00AC7A12">
        <w:rPr>
          <w:rFonts w:ascii="Arial" w:eastAsia="Calibri" w:hAnsi="Arial" w:cs="Arial"/>
          <w:color w:val="000000" w:themeColor="text1"/>
          <w:sz w:val="22"/>
          <w:szCs w:val="22"/>
          <w:lang w:val="es-ES_tradnl"/>
        </w:rPr>
        <w:t>/o</w:t>
      </w:r>
      <w:r w:rsidR="00A057C6" w:rsidRPr="00AC7A12">
        <w:rPr>
          <w:rFonts w:ascii="Arial" w:eastAsia="Calibri" w:hAnsi="Arial" w:cs="Arial"/>
          <w:color w:val="000000" w:themeColor="text1"/>
          <w:sz w:val="22"/>
          <w:szCs w:val="22"/>
          <w:lang w:val="es-ES_tradnl"/>
        </w:rPr>
        <w:t xml:space="preserve"> 2019</w:t>
      </w:r>
      <w:r w:rsidR="00AE5888" w:rsidRPr="00AC7A12">
        <w:rPr>
          <w:rFonts w:ascii="Arial" w:eastAsia="Calibri" w:hAnsi="Arial" w:cs="Arial"/>
          <w:color w:val="000000" w:themeColor="text1"/>
          <w:sz w:val="22"/>
          <w:szCs w:val="22"/>
          <w:lang w:val="es-ES_tradnl"/>
        </w:rPr>
        <w:t xml:space="preserve">, por no contar con </w:t>
      </w:r>
      <w:r w:rsidR="00260724" w:rsidRPr="00AC7A12">
        <w:rPr>
          <w:rFonts w:ascii="Arial" w:eastAsia="Calibri" w:hAnsi="Arial" w:cs="Arial"/>
          <w:color w:val="000000" w:themeColor="text1"/>
          <w:sz w:val="22"/>
          <w:szCs w:val="22"/>
          <w:lang w:val="es-ES_tradnl"/>
        </w:rPr>
        <w:t>los datos sobre</w:t>
      </w:r>
      <w:r w:rsidR="00AE5888" w:rsidRPr="00AC7A12">
        <w:rPr>
          <w:rFonts w:ascii="Arial" w:eastAsia="Calibri" w:hAnsi="Arial" w:cs="Arial"/>
          <w:color w:val="000000" w:themeColor="text1"/>
          <w:sz w:val="22"/>
          <w:szCs w:val="22"/>
          <w:lang w:val="es-ES_tradnl"/>
        </w:rPr>
        <w:t xml:space="preserve"> la capacidad financiera y organizacional de estos años,</w:t>
      </w:r>
      <w:r w:rsidR="00A057C6" w:rsidRPr="00AC7A12">
        <w:rPr>
          <w:rFonts w:ascii="Arial" w:eastAsia="Calibri" w:hAnsi="Arial" w:cs="Arial"/>
          <w:color w:val="000000" w:themeColor="text1"/>
          <w:sz w:val="22"/>
          <w:szCs w:val="22"/>
          <w:lang w:val="es-ES_tradnl"/>
        </w:rPr>
        <w:t xml:space="preserve"> de manera gratuita</w:t>
      </w:r>
      <w:r w:rsidR="00260724" w:rsidRPr="00AC7A12">
        <w:rPr>
          <w:rFonts w:ascii="Arial" w:eastAsia="Calibri" w:hAnsi="Arial" w:cs="Arial"/>
          <w:color w:val="000000" w:themeColor="text1"/>
          <w:sz w:val="22"/>
          <w:szCs w:val="22"/>
          <w:lang w:val="es-ES_tradnl"/>
        </w:rPr>
        <w:t>,</w:t>
      </w:r>
      <w:r w:rsidR="00AE5888" w:rsidRPr="00AC7A12">
        <w:rPr>
          <w:rFonts w:ascii="Arial" w:eastAsia="Calibri" w:hAnsi="Arial" w:cs="Arial"/>
          <w:color w:val="000000" w:themeColor="text1"/>
          <w:sz w:val="22"/>
          <w:szCs w:val="22"/>
          <w:lang w:val="es-ES_tradnl"/>
        </w:rPr>
        <w:t xml:space="preserve"> durante el mes de </w:t>
      </w:r>
      <w:r w:rsidR="00E04229" w:rsidRPr="00AC7A12">
        <w:rPr>
          <w:rFonts w:ascii="Arial" w:eastAsia="Calibri" w:hAnsi="Arial" w:cs="Arial"/>
          <w:color w:val="000000" w:themeColor="text1"/>
          <w:sz w:val="22"/>
          <w:szCs w:val="22"/>
          <w:lang w:val="es-ES_tradnl"/>
        </w:rPr>
        <w:t>junio</w:t>
      </w:r>
      <w:r w:rsidR="00AE5888" w:rsidRPr="00AC7A12">
        <w:rPr>
          <w:rFonts w:ascii="Arial" w:eastAsia="Calibri" w:hAnsi="Arial" w:cs="Arial"/>
          <w:color w:val="000000" w:themeColor="text1"/>
          <w:sz w:val="22"/>
          <w:szCs w:val="22"/>
          <w:lang w:val="es-ES_tradnl"/>
        </w:rPr>
        <w:t>, por una sola vez.</w:t>
      </w:r>
      <w:r w:rsidR="002179DE" w:rsidRPr="00AC7A12">
        <w:rPr>
          <w:rFonts w:ascii="Arial" w:eastAsia="Calibri" w:hAnsi="Arial" w:cs="Arial"/>
          <w:color w:val="000000" w:themeColor="text1"/>
          <w:sz w:val="22"/>
          <w:szCs w:val="22"/>
          <w:lang w:val="es-ES_tradnl"/>
        </w:rPr>
        <w:t xml:space="preserve"> </w:t>
      </w:r>
      <w:r w:rsidR="0068180C" w:rsidRPr="00AC7A12">
        <w:rPr>
          <w:rFonts w:ascii="Arial" w:eastAsia="Calibri" w:hAnsi="Arial" w:cs="Arial"/>
          <w:color w:val="000000" w:themeColor="text1"/>
          <w:sz w:val="22"/>
          <w:szCs w:val="22"/>
          <w:lang w:val="es-ES_tradnl"/>
        </w:rPr>
        <w:t xml:space="preserve">En todo caso, aclara </w:t>
      </w:r>
      <w:proofErr w:type="gramStart"/>
      <w:r w:rsidR="0068180C" w:rsidRPr="00AC7A12">
        <w:rPr>
          <w:rFonts w:ascii="Arial" w:eastAsia="Calibri" w:hAnsi="Arial" w:cs="Arial"/>
          <w:color w:val="000000" w:themeColor="text1"/>
          <w:sz w:val="22"/>
          <w:szCs w:val="22"/>
          <w:lang w:val="es-ES_tradnl"/>
        </w:rPr>
        <w:t>que</w:t>
      </w:r>
      <w:proofErr w:type="gramEnd"/>
      <w:r w:rsidR="0068180C" w:rsidRPr="00AC7A12">
        <w:rPr>
          <w:rFonts w:ascii="Arial" w:eastAsia="Calibri" w:hAnsi="Arial" w:cs="Arial"/>
          <w:color w:val="000000" w:themeColor="text1"/>
          <w:sz w:val="22"/>
          <w:szCs w:val="22"/>
          <w:lang w:val="es-ES_tradnl"/>
        </w:rPr>
        <w:t xml:space="preserve"> si el proponente tiene registrada la información de dichos años en la cámara de comercio, no </w:t>
      </w:r>
      <w:r w:rsidR="00E352B9" w:rsidRPr="00AC7A12">
        <w:rPr>
          <w:rFonts w:ascii="Arial" w:eastAsia="Calibri" w:hAnsi="Arial" w:cs="Arial"/>
          <w:color w:val="000000" w:themeColor="text1"/>
          <w:sz w:val="22"/>
          <w:szCs w:val="22"/>
          <w:lang w:val="es-ES_tradnl"/>
        </w:rPr>
        <w:t xml:space="preserve">deberá presentar </w:t>
      </w:r>
      <w:r w:rsidR="0088514D">
        <w:rPr>
          <w:rFonts w:ascii="Arial" w:eastAsia="Calibri" w:hAnsi="Arial" w:cs="Arial"/>
          <w:color w:val="000000" w:themeColor="text1"/>
          <w:sz w:val="22"/>
          <w:szCs w:val="22"/>
          <w:lang w:val="es-ES_tradnl"/>
        </w:rPr>
        <w:t>esta información</w:t>
      </w:r>
      <w:r w:rsidR="00E352B9" w:rsidRPr="00AC7A12">
        <w:rPr>
          <w:rFonts w:ascii="Arial" w:eastAsia="Calibri" w:hAnsi="Arial" w:cs="Arial"/>
          <w:color w:val="000000" w:themeColor="text1"/>
          <w:sz w:val="22"/>
          <w:szCs w:val="22"/>
          <w:lang w:val="es-ES_tradnl"/>
        </w:rPr>
        <w:t>.</w:t>
      </w:r>
    </w:p>
    <w:p w14:paraId="5A1A4A7F" w14:textId="17FCC0A2" w:rsidR="000C1FA3" w:rsidRPr="00AC7A12"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El parágrafo transitorio 2</w:t>
      </w:r>
      <w:r w:rsidR="00F86787" w:rsidRPr="00AC7A12">
        <w:rPr>
          <w:rFonts w:ascii="Arial" w:eastAsia="Calibri" w:hAnsi="Arial" w:cs="Arial"/>
          <w:color w:val="000000" w:themeColor="text1"/>
          <w:sz w:val="22"/>
          <w:szCs w:val="22"/>
          <w:lang w:val="es-ES_tradnl"/>
        </w:rPr>
        <w:t xml:space="preserve"> </w:t>
      </w:r>
      <w:r w:rsidR="003F4978">
        <w:rPr>
          <w:rFonts w:ascii="Arial" w:eastAsia="Calibri" w:hAnsi="Arial" w:cs="Arial"/>
          <w:color w:val="000000" w:themeColor="text1"/>
          <w:sz w:val="22"/>
          <w:szCs w:val="22"/>
          <w:lang w:val="es-ES_tradnl"/>
        </w:rPr>
        <w:t>establece</w:t>
      </w:r>
      <w:r w:rsidR="003F4978" w:rsidRPr="00AC7A12">
        <w:rPr>
          <w:rFonts w:ascii="Arial" w:eastAsia="Calibri" w:hAnsi="Arial" w:cs="Arial"/>
          <w:color w:val="000000" w:themeColor="text1"/>
          <w:sz w:val="22"/>
          <w:szCs w:val="22"/>
          <w:lang w:val="es-ES_tradnl"/>
        </w:rPr>
        <w:t xml:space="preserve"> </w:t>
      </w:r>
      <w:proofErr w:type="gramStart"/>
      <w:r w:rsidR="00F86787" w:rsidRPr="00AC7A12">
        <w:rPr>
          <w:rFonts w:ascii="Arial" w:eastAsia="Calibri" w:hAnsi="Arial" w:cs="Arial"/>
          <w:color w:val="000000" w:themeColor="text1"/>
          <w:sz w:val="22"/>
          <w:szCs w:val="22"/>
          <w:lang w:val="es-ES_tradnl"/>
        </w:rPr>
        <w:t>que</w:t>
      </w:r>
      <w:proofErr w:type="gramEnd"/>
      <w:r w:rsidR="00F86787" w:rsidRPr="00AC7A12">
        <w:rPr>
          <w:rFonts w:ascii="Arial" w:eastAsia="Calibri" w:hAnsi="Arial" w:cs="Arial"/>
          <w:color w:val="000000" w:themeColor="text1"/>
          <w:sz w:val="22"/>
          <w:szCs w:val="22"/>
          <w:lang w:val="es-ES_tradnl"/>
        </w:rPr>
        <w:t xml:space="preserve"> </w:t>
      </w:r>
      <w:r w:rsidR="004C496D" w:rsidRPr="00AC7A12">
        <w:rPr>
          <w:rFonts w:ascii="Arial" w:eastAsia="Calibri" w:hAnsi="Arial" w:cs="Arial"/>
          <w:color w:val="000000" w:themeColor="text1"/>
          <w:sz w:val="22"/>
          <w:szCs w:val="22"/>
          <w:lang w:val="es-ES_tradnl"/>
        </w:rPr>
        <w:t xml:space="preserve">en el año 2022, </w:t>
      </w:r>
      <w:r w:rsidR="00F86787" w:rsidRPr="00AC7A12">
        <w:rPr>
          <w:rFonts w:ascii="Arial" w:eastAsia="Calibri" w:hAnsi="Arial" w:cs="Arial"/>
          <w:color w:val="000000" w:themeColor="text1"/>
          <w:sz w:val="22"/>
          <w:szCs w:val="22"/>
          <w:lang w:val="es-ES_tradnl"/>
        </w:rPr>
        <w:t xml:space="preserve">para </w:t>
      </w:r>
      <w:r w:rsidR="00F35F49" w:rsidRPr="00AC7A12">
        <w:rPr>
          <w:rFonts w:ascii="Arial" w:eastAsia="Calibri" w:hAnsi="Arial" w:cs="Arial"/>
          <w:color w:val="000000" w:themeColor="text1"/>
          <w:sz w:val="22"/>
          <w:szCs w:val="22"/>
          <w:lang w:val="es-ES_tradnl"/>
        </w:rPr>
        <w:t xml:space="preserve">la inscripción en el RUP o para su renovación, </w:t>
      </w:r>
      <w:r w:rsidR="00697C25" w:rsidRPr="00AC7A12">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7A12">
        <w:rPr>
          <w:rFonts w:ascii="Arial" w:eastAsia="Calibri" w:hAnsi="Arial" w:cs="Arial"/>
          <w:color w:val="000000" w:themeColor="text1"/>
          <w:sz w:val="22"/>
          <w:szCs w:val="22"/>
          <w:lang w:val="es-ES_tradnl"/>
        </w:rPr>
        <w:t xml:space="preserve"> Además, reitera </w:t>
      </w:r>
      <w:proofErr w:type="gramStart"/>
      <w:r w:rsidR="008E1D7A" w:rsidRPr="00AC7A12">
        <w:rPr>
          <w:rFonts w:ascii="Arial" w:eastAsia="Calibri" w:hAnsi="Arial" w:cs="Arial"/>
          <w:color w:val="000000" w:themeColor="text1"/>
          <w:sz w:val="22"/>
          <w:szCs w:val="22"/>
          <w:lang w:val="es-ES_tradnl"/>
        </w:rPr>
        <w:t>que</w:t>
      </w:r>
      <w:proofErr w:type="gramEnd"/>
      <w:r w:rsidR="008E1D7A" w:rsidRPr="00AC7A12">
        <w:rPr>
          <w:rFonts w:ascii="Arial" w:eastAsia="Calibri" w:hAnsi="Arial" w:cs="Arial"/>
          <w:color w:val="000000" w:themeColor="text1"/>
          <w:sz w:val="22"/>
          <w:szCs w:val="22"/>
          <w:lang w:val="es-ES_tradnl"/>
        </w:rPr>
        <w:t xml:space="preserve"> si </w:t>
      </w:r>
      <w:r w:rsidR="00A17F59" w:rsidRPr="00AC7A12">
        <w:rPr>
          <w:rFonts w:ascii="Arial" w:eastAsia="Calibri" w:hAnsi="Arial" w:cs="Arial"/>
          <w:color w:val="000000" w:themeColor="text1"/>
          <w:sz w:val="22"/>
          <w:szCs w:val="22"/>
          <w:lang w:val="es-ES_tradnl"/>
        </w:rPr>
        <w:t>aquel no cuenta con la información financiera de dichos años</w:t>
      </w:r>
      <w:r w:rsidR="003F4978">
        <w:rPr>
          <w:rFonts w:ascii="Arial" w:eastAsia="Calibri" w:hAnsi="Arial" w:cs="Arial"/>
          <w:color w:val="000000" w:themeColor="text1"/>
          <w:sz w:val="22"/>
          <w:szCs w:val="22"/>
          <w:lang w:val="es-ES_tradnl"/>
        </w:rPr>
        <w:t>,</w:t>
      </w:r>
      <w:r w:rsidR="00A17F59" w:rsidRPr="00AC7A12">
        <w:rPr>
          <w:rFonts w:ascii="Arial" w:eastAsia="Calibri" w:hAnsi="Arial" w:cs="Arial"/>
          <w:color w:val="000000" w:themeColor="text1"/>
          <w:sz w:val="22"/>
          <w:szCs w:val="22"/>
          <w:lang w:val="es-ES_tradnl"/>
        </w:rPr>
        <w:t xml:space="preserve"> por no tener la antigüedad suficiente, </w:t>
      </w:r>
      <w:r w:rsidR="00FA1AB4" w:rsidRPr="00AC7A12">
        <w:rPr>
          <w:rFonts w:ascii="Arial" w:eastAsia="Calibri" w:hAnsi="Arial" w:cs="Arial"/>
          <w:color w:val="000000" w:themeColor="text1"/>
          <w:sz w:val="22"/>
          <w:szCs w:val="22"/>
          <w:lang w:val="es-ES_tradnl"/>
        </w:rPr>
        <w:t xml:space="preserve">podrá aportar la información de su primer cierre fiscal. Igualmente, señala </w:t>
      </w:r>
      <w:proofErr w:type="gramStart"/>
      <w:r w:rsidR="00FA1AB4" w:rsidRPr="00AC7A12">
        <w:rPr>
          <w:rFonts w:ascii="Arial" w:eastAsia="Calibri" w:hAnsi="Arial" w:cs="Arial"/>
          <w:color w:val="000000" w:themeColor="text1"/>
          <w:sz w:val="22"/>
          <w:szCs w:val="22"/>
          <w:lang w:val="es-ES_tradnl"/>
        </w:rPr>
        <w:t>que</w:t>
      </w:r>
      <w:proofErr w:type="gramEnd"/>
      <w:r w:rsidR="00FA1AB4" w:rsidRPr="00AC7A12">
        <w:rPr>
          <w:rFonts w:ascii="Arial" w:eastAsia="Calibri" w:hAnsi="Arial" w:cs="Arial"/>
          <w:color w:val="000000" w:themeColor="text1"/>
          <w:sz w:val="22"/>
          <w:szCs w:val="22"/>
          <w:lang w:val="es-ES_tradnl"/>
        </w:rPr>
        <w:t xml:space="preserve"> </w:t>
      </w:r>
      <w:r w:rsidR="002F0AC0" w:rsidRPr="00AC7A12">
        <w:rPr>
          <w:rFonts w:ascii="Arial" w:eastAsia="Calibri" w:hAnsi="Arial" w:cs="Arial"/>
          <w:color w:val="000000" w:themeColor="text1"/>
          <w:sz w:val="22"/>
          <w:szCs w:val="22"/>
          <w:lang w:val="es-ES_tradnl"/>
        </w:rPr>
        <w:t>si la información</w:t>
      </w:r>
      <w:r w:rsidR="003F4978">
        <w:rPr>
          <w:rFonts w:ascii="Arial" w:eastAsia="Calibri" w:hAnsi="Arial" w:cs="Arial"/>
          <w:color w:val="000000" w:themeColor="text1"/>
          <w:sz w:val="22"/>
          <w:szCs w:val="22"/>
          <w:lang w:val="es-ES_tradnl"/>
        </w:rPr>
        <w:t xml:space="preserve"> del interesado</w:t>
      </w:r>
      <w:r w:rsidR="002F0AC0" w:rsidRPr="00AC7A12">
        <w:rPr>
          <w:rFonts w:ascii="Arial" w:eastAsia="Calibri" w:hAnsi="Arial" w:cs="Arial"/>
          <w:color w:val="000000" w:themeColor="text1"/>
          <w:sz w:val="22"/>
          <w:szCs w:val="22"/>
          <w:lang w:val="es-ES_tradnl"/>
        </w:rPr>
        <w:t xml:space="preserve"> correspondiente a los años 2019 y/o</w:t>
      </w:r>
      <w:r w:rsidR="004356CF" w:rsidRPr="00AC7A12">
        <w:rPr>
          <w:rFonts w:ascii="Arial" w:eastAsia="Calibri" w:hAnsi="Arial" w:cs="Arial"/>
          <w:color w:val="000000" w:themeColor="text1"/>
          <w:sz w:val="22"/>
          <w:szCs w:val="22"/>
          <w:lang w:val="es-ES_tradnl"/>
        </w:rPr>
        <w:t xml:space="preserve"> 2020 reposa en la cámara de comercio, no se tendrá que presentar de nuevo, porque </w:t>
      </w:r>
      <w:r w:rsidR="003F4978">
        <w:rPr>
          <w:rFonts w:ascii="Arial" w:eastAsia="Calibri" w:hAnsi="Arial" w:cs="Arial"/>
          <w:color w:val="000000" w:themeColor="text1"/>
          <w:sz w:val="22"/>
          <w:szCs w:val="22"/>
          <w:lang w:val="es-ES_tradnl"/>
        </w:rPr>
        <w:t xml:space="preserve">conservará </w:t>
      </w:r>
      <w:r w:rsidR="004356CF" w:rsidRPr="00AC7A12">
        <w:rPr>
          <w:rFonts w:ascii="Arial" w:eastAsia="Calibri" w:hAnsi="Arial" w:cs="Arial"/>
          <w:color w:val="000000" w:themeColor="text1"/>
          <w:sz w:val="22"/>
          <w:szCs w:val="22"/>
          <w:lang w:val="es-ES_tradnl"/>
        </w:rPr>
        <w:t>firmeza</w:t>
      </w:r>
      <w:r w:rsidR="003F4978">
        <w:rPr>
          <w:rFonts w:ascii="Arial" w:eastAsia="Calibri" w:hAnsi="Arial" w:cs="Arial"/>
          <w:color w:val="000000" w:themeColor="text1"/>
          <w:sz w:val="22"/>
          <w:szCs w:val="22"/>
          <w:lang w:val="es-ES_tradnl"/>
        </w:rPr>
        <w:t xml:space="preserve"> para efectos de su certificación</w:t>
      </w:r>
      <w:r w:rsidR="004356CF" w:rsidRPr="00AC7A12">
        <w:rPr>
          <w:rFonts w:ascii="Arial" w:eastAsia="Calibri" w:hAnsi="Arial" w:cs="Arial"/>
          <w:color w:val="000000" w:themeColor="text1"/>
          <w:sz w:val="22"/>
          <w:szCs w:val="22"/>
          <w:lang w:val="es-ES_tradnl"/>
        </w:rPr>
        <w:t>.</w:t>
      </w:r>
    </w:p>
    <w:p w14:paraId="614A6BC9" w14:textId="0EB21039" w:rsidR="00AB2797" w:rsidRPr="00AC7A12"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otra parte, el artículo 5 del Decreto 399 de 2021</w:t>
      </w:r>
      <w:r w:rsidR="00C02CBF" w:rsidRPr="00AC7A12">
        <w:rPr>
          <w:rFonts w:ascii="Arial" w:eastAsia="Calibri" w:hAnsi="Arial" w:cs="Arial"/>
          <w:color w:val="000000" w:themeColor="text1"/>
          <w:sz w:val="22"/>
          <w:szCs w:val="22"/>
          <w:lang w:val="es-ES_tradnl"/>
        </w:rPr>
        <w:t xml:space="preserve"> adiciona dos parágrafos transitorios</w:t>
      </w:r>
      <w:r w:rsidR="008A3A70" w:rsidRPr="00AC7A12">
        <w:rPr>
          <w:rFonts w:ascii="Arial" w:eastAsia="Calibri" w:hAnsi="Arial" w:cs="Arial"/>
          <w:color w:val="000000" w:themeColor="text1"/>
          <w:sz w:val="22"/>
          <w:szCs w:val="22"/>
          <w:lang w:val="es-ES_tradnl"/>
        </w:rPr>
        <w:t xml:space="preserve"> al artículo </w:t>
      </w:r>
      <w:r w:rsidR="00E11C7B" w:rsidRPr="00AC7A12">
        <w:rPr>
          <w:rFonts w:ascii="Arial" w:eastAsia="Calibri" w:hAnsi="Arial" w:cs="Arial"/>
          <w:color w:val="000000" w:themeColor="text1"/>
          <w:sz w:val="22"/>
          <w:szCs w:val="22"/>
          <w:lang w:val="es-ES_tradnl"/>
        </w:rPr>
        <w:t>2.2.1.1.1.5.6.</w:t>
      </w:r>
      <w:r w:rsidR="00D27FFA" w:rsidRPr="00AC7A12">
        <w:rPr>
          <w:rFonts w:ascii="Arial" w:eastAsia="Calibri" w:hAnsi="Arial" w:cs="Arial"/>
          <w:color w:val="000000" w:themeColor="text1"/>
          <w:sz w:val="22"/>
          <w:szCs w:val="22"/>
          <w:lang w:val="es-ES_tradnl"/>
        </w:rPr>
        <w:t xml:space="preserve"> del Decreto 1082 de 2015</w:t>
      </w:r>
      <w:r w:rsidR="003564BA" w:rsidRPr="00AC7A12">
        <w:rPr>
          <w:rFonts w:ascii="Arial" w:eastAsia="Calibri" w:hAnsi="Arial" w:cs="Arial"/>
          <w:color w:val="000000" w:themeColor="text1"/>
          <w:sz w:val="22"/>
          <w:szCs w:val="22"/>
          <w:lang w:val="es-ES_tradnl"/>
        </w:rPr>
        <w:t>, que regula el contenido del certificado del RUP</w:t>
      </w:r>
      <w:r w:rsidR="00D27FFA" w:rsidRPr="00AC7A12">
        <w:rPr>
          <w:rFonts w:ascii="Arial" w:eastAsia="Calibri" w:hAnsi="Arial" w:cs="Arial"/>
          <w:color w:val="000000" w:themeColor="text1"/>
          <w:sz w:val="22"/>
          <w:szCs w:val="22"/>
          <w:lang w:val="es-ES_tradnl"/>
        </w:rPr>
        <w:t>.</w:t>
      </w:r>
      <w:r w:rsidR="002379E2" w:rsidRPr="00AC7A12">
        <w:rPr>
          <w:rFonts w:ascii="Arial" w:eastAsia="Calibri" w:hAnsi="Arial" w:cs="Arial"/>
          <w:color w:val="000000" w:themeColor="text1"/>
          <w:sz w:val="22"/>
          <w:szCs w:val="22"/>
          <w:lang w:val="es-ES_tradnl"/>
        </w:rPr>
        <w:t xml:space="preserve"> </w:t>
      </w:r>
      <w:r w:rsidR="0023777A" w:rsidRPr="00AC7A12">
        <w:rPr>
          <w:rFonts w:ascii="Arial" w:eastAsia="Calibri" w:hAnsi="Arial" w:cs="Arial"/>
          <w:color w:val="000000" w:themeColor="text1"/>
          <w:sz w:val="22"/>
          <w:szCs w:val="22"/>
          <w:lang w:val="es-ES_tradnl"/>
        </w:rPr>
        <w:t>E</w:t>
      </w:r>
      <w:r w:rsidR="00D27FFA" w:rsidRPr="00AC7A12">
        <w:rPr>
          <w:rFonts w:ascii="Arial" w:eastAsia="Calibri" w:hAnsi="Arial" w:cs="Arial"/>
          <w:color w:val="000000" w:themeColor="text1"/>
          <w:sz w:val="22"/>
          <w:szCs w:val="22"/>
          <w:lang w:val="es-ES_tradnl"/>
        </w:rPr>
        <w:t>l primer</w:t>
      </w:r>
      <w:r w:rsidR="003564BA" w:rsidRPr="00AC7A12">
        <w:rPr>
          <w:rFonts w:ascii="Arial" w:eastAsia="Calibri" w:hAnsi="Arial" w:cs="Arial"/>
          <w:color w:val="000000" w:themeColor="text1"/>
          <w:sz w:val="22"/>
          <w:szCs w:val="22"/>
          <w:lang w:val="es-ES_tradnl"/>
        </w:rPr>
        <w:t xml:space="preserve"> parágrafo transitorio</w:t>
      </w:r>
      <w:r w:rsidR="002379E2" w:rsidRPr="00AC7A12">
        <w:rPr>
          <w:rFonts w:ascii="Arial" w:eastAsia="Calibri" w:hAnsi="Arial" w:cs="Arial"/>
          <w:color w:val="000000" w:themeColor="text1"/>
          <w:sz w:val="22"/>
          <w:szCs w:val="22"/>
          <w:lang w:val="es-ES_tradnl"/>
        </w:rPr>
        <w:t xml:space="preserve">, que fue posteriormente sustituido por el artículo </w:t>
      </w:r>
      <w:r w:rsidR="00472333" w:rsidRPr="00AC7A12">
        <w:rPr>
          <w:rFonts w:ascii="Arial" w:eastAsia="Calibri" w:hAnsi="Arial" w:cs="Arial"/>
          <w:color w:val="000000" w:themeColor="text1"/>
          <w:sz w:val="22"/>
          <w:szCs w:val="22"/>
          <w:lang w:val="es-ES_tradnl"/>
        </w:rPr>
        <w:t xml:space="preserve">2 del Decreto 579 de 2021, </w:t>
      </w:r>
      <w:r w:rsidR="00A212E6" w:rsidRPr="00AC7A12">
        <w:rPr>
          <w:rFonts w:ascii="Arial" w:eastAsia="Calibri" w:hAnsi="Arial" w:cs="Arial"/>
          <w:color w:val="000000" w:themeColor="text1"/>
          <w:sz w:val="22"/>
          <w:szCs w:val="22"/>
          <w:lang w:val="es-ES_tradnl"/>
        </w:rPr>
        <w:t>establece que</w:t>
      </w:r>
      <w:r w:rsidR="000D5C7D" w:rsidRPr="00AC7A12">
        <w:rPr>
          <w:rFonts w:ascii="Arial" w:eastAsia="Calibri" w:hAnsi="Arial" w:cs="Arial"/>
          <w:color w:val="000000" w:themeColor="text1"/>
          <w:sz w:val="22"/>
          <w:szCs w:val="22"/>
          <w:lang w:val="es-ES_tradnl"/>
        </w:rPr>
        <w:t xml:space="preserve"> «</w:t>
      </w:r>
      <w:r w:rsidR="000D5C7D" w:rsidRPr="00AC7A12">
        <w:rPr>
          <w:rFonts w:ascii="Arial" w:hAnsi="Arial" w:cs="Arial"/>
          <w:sz w:val="22"/>
          <w:szCs w:val="22"/>
          <w:lang w:val="es-ES_tradnl"/>
        </w:rPr>
        <w:t xml:space="preserve">[…] </w:t>
      </w:r>
      <w:r w:rsidR="000D5C7D" w:rsidRPr="00AC7A12">
        <w:rPr>
          <w:rFonts w:ascii="Arial" w:eastAsia="Calibri" w:hAnsi="Arial" w:cs="Arial"/>
          <w:color w:val="000000" w:themeColor="text1"/>
          <w:sz w:val="22"/>
          <w:szCs w:val="22"/>
          <w:lang w:val="es-ES_tradnl"/>
        </w:rPr>
        <w:t xml:space="preserve">los requisitos e indicadores de la capacidad financiera y organizacional de que trata el literal (b) del artículo 2.2.1.1.1.5.6. del Decreto 1082 de 2015 corresponderán a los últimos tres (3) años fiscales anteriores a la </w:t>
      </w:r>
      <w:r w:rsidR="000D5C7D" w:rsidRPr="00AC7A12">
        <w:rPr>
          <w:rFonts w:ascii="Arial" w:eastAsia="Calibri" w:hAnsi="Arial" w:cs="Arial"/>
          <w:color w:val="000000" w:themeColor="text1"/>
          <w:sz w:val="22"/>
          <w:szCs w:val="22"/>
          <w:lang w:val="es-ES_tradnl"/>
        </w:rPr>
        <w:lastRenderedPageBreak/>
        <w:t>inscripción o renovación, dependiendo de la antigüedad del proponente</w:t>
      </w:r>
      <w:r w:rsidR="00CD6FFF" w:rsidRPr="00AC7A12">
        <w:rPr>
          <w:rFonts w:ascii="Arial" w:eastAsia="Calibri" w:hAnsi="Arial" w:cs="Arial"/>
          <w:color w:val="000000" w:themeColor="text1"/>
          <w:sz w:val="22"/>
          <w:szCs w:val="22"/>
          <w:lang w:val="es-ES_tradnl"/>
        </w:rPr>
        <w:t>». Para esto, las cámaras de comercio</w:t>
      </w:r>
      <w:r w:rsidR="002D1E04" w:rsidRPr="00AC7A12">
        <w:rPr>
          <w:rFonts w:ascii="Arial" w:eastAsia="Calibri" w:hAnsi="Arial" w:cs="Arial"/>
          <w:color w:val="000000" w:themeColor="text1"/>
          <w:sz w:val="22"/>
          <w:szCs w:val="22"/>
          <w:lang w:val="es-ES_tradnl"/>
        </w:rPr>
        <w:t xml:space="preserve">, a partir del 1 de </w:t>
      </w:r>
      <w:r w:rsidR="00244421" w:rsidRPr="00AC7A12">
        <w:rPr>
          <w:rFonts w:ascii="Arial" w:eastAsia="Calibri" w:hAnsi="Arial" w:cs="Arial"/>
          <w:color w:val="000000" w:themeColor="text1"/>
          <w:sz w:val="22"/>
          <w:szCs w:val="22"/>
          <w:lang w:val="es-ES_tradnl"/>
        </w:rPr>
        <w:t>julio</w:t>
      </w:r>
      <w:r w:rsidR="002D1E04" w:rsidRPr="00AC7A12">
        <w:rPr>
          <w:rFonts w:ascii="Arial" w:eastAsia="Calibri" w:hAnsi="Arial" w:cs="Arial"/>
          <w:color w:val="000000" w:themeColor="text1"/>
          <w:sz w:val="22"/>
          <w:szCs w:val="22"/>
          <w:lang w:val="es-ES_tradnl"/>
        </w:rPr>
        <w:t xml:space="preserve"> de 2021, «</w:t>
      </w:r>
      <w:r w:rsidR="00FE3F1F" w:rsidRPr="00AC7A12">
        <w:rPr>
          <w:rFonts w:ascii="Arial" w:hAnsi="Arial" w:cs="Arial"/>
          <w:sz w:val="22"/>
          <w:szCs w:val="22"/>
          <w:lang w:val="es-ES_tradnl"/>
        </w:rPr>
        <w:t>c</w:t>
      </w:r>
      <w:r w:rsidR="002D1E04" w:rsidRPr="00AC7A12">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7A12">
        <w:rPr>
          <w:rFonts w:ascii="Arial" w:eastAsia="Calibri" w:hAnsi="Arial" w:cs="Arial"/>
          <w:color w:val="000000" w:themeColor="text1"/>
          <w:sz w:val="22"/>
          <w:szCs w:val="22"/>
          <w:lang w:val="es-ES_tradnl"/>
        </w:rPr>
        <w:t xml:space="preserve"> </w:t>
      </w:r>
      <w:r w:rsidR="002D1E04" w:rsidRPr="00AC7A12">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7A12">
        <w:rPr>
          <w:rFonts w:ascii="Arial" w:eastAsia="Calibri" w:hAnsi="Arial" w:cs="Arial"/>
          <w:color w:val="000000" w:themeColor="text1"/>
          <w:sz w:val="22"/>
          <w:szCs w:val="22"/>
          <w:lang w:val="es-ES_tradnl"/>
        </w:rPr>
        <w:t>i) el índice de liquidez, ii) el índice de endeudamiento</w:t>
      </w:r>
      <w:r w:rsidR="00FF28E9" w:rsidRPr="00AC7A12">
        <w:rPr>
          <w:rFonts w:ascii="Arial" w:eastAsia="Calibri" w:hAnsi="Arial" w:cs="Arial"/>
          <w:color w:val="000000" w:themeColor="text1"/>
          <w:sz w:val="22"/>
          <w:szCs w:val="22"/>
          <w:lang w:val="es-ES_tradnl"/>
        </w:rPr>
        <w:t xml:space="preserve"> y </w:t>
      </w:r>
      <w:r w:rsidR="007B5462" w:rsidRPr="00AC7A12">
        <w:rPr>
          <w:rFonts w:ascii="Arial" w:eastAsia="Calibri" w:hAnsi="Arial" w:cs="Arial"/>
          <w:color w:val="000000" w:themeColor="text1"/>
          <w:sz w:val="22"/>
          <w:szCs w:val="22"/>
          <w:lang w:val="es-ES_tradnl"/>
        </w:rPr>
        <w:t>iii)</w:t>
      </w:r>
      <w:r w:rsidR="00FF28E9" w:rsidRPr="00AC7A12">
        <w:rPr>
          <w:rFonts w:ascii="Arial" w:eastAsia="Calibri" w:hAnsi="Arial" w:cs="Arial"/>
          <w:color w:val="000000" w:themeColor="text1"/>
          <w:sz w:val="22"/>
          <w:szCs w:val="22"/>
          <w:lang w:val="es-ES_tradnl"/>
        </w:rPr>
        <w:t xml:space="preserve"> la razón de cobertura de intereses. Los requisitos</w:t>
      </w:r>
      <w:r w:rsidR="00393FEC" w:rsidRPr="00AC7A12">
        <w:rPr>
          <w:rFonts w:ascii="Arial" w:eastAsia="Calibri" w:hAnsi="Arial" w:cs="Arial"/>
          <w:color w:val="000000" w:themeColor="text1"/>
          <w:sz w:val="22"/>
          <w:szCs w:val="22"/>
          <w:lang w:val="es-ES_tradnl"/>
        </w:rPr>
        <w:t xml:space="preserve"> e indica</w:t>
      </w:r>
      <w:r w:rsidR="00D520B6">
        <w:rPr>
          <w:rFonts w:ascii="Arial" w:eastAsia="Calibri" w:hAnsi="Arial" w:cs="Arial"/>
          <w:color w:val="000000" w:themeColor="text1"/>
          <w:sz w:val="22"/>
          <w:szCs w:val="22"/>
          <w:lang w:val="es-ES_tradnl"/>
        </w:rPr>
        <w:t>do</w:t>
      </w:r>
      <w:r w:rsidR="00393FEC" w:rsidRPr="00AC7A12">
        <w:rPr>
          <w:rFonts w:ascii="Arial" w:eastAsia="Calibri" w:hAnsi="Arial" w:cs="Arial"/>
          <w:color w:val="000000" w:themeColor="text1"/>
          <w:sz w:val="22"/>
          <w:szCs w:val="22"/>
          <w:lang w:val="es-ES_tradnl"/>
        </w:rPr>
        <w:t>res de capacidad organizacional son: i) la rentabilidad del patrimonio y ii) la rentabilidad del activo.</w:t>
      </w:r>
      <w:r w:rsidR="00BA58FC" w:rsidRPr="00AC7A12">
        <w:rPr>
          <w:rFonts w:ascii="Arial" w:eastAsia="Calibri" w:hAnsi="Arial" w:cs="Arial"/>
          <w:color w:val="000000" w:themeColor="text1"/>
          <w:sz w:val="22"/>
          <w:szCs w:val="22"/>
          <w:lang w:val="es-ES_tradnl"/>
        </w:rPr>
        <w:t xml:space="preserve"> El segundo parágrafo transitorio </w:t>
      </w:r>
      <w:r w:rsidR="00571403">
        <w:rPr>
          <w:rFonts w:ascii="Arial" w:eastAsia="Calibri" w:hAnsi="Arial" w:cs="Arial"/>
          <w:color w:val="000000" w:themeColor="text1"/>
          <w:sz w:val="22"/>
          <w:szCs w:val="22"/>
          <w:lang w:val="es-ES_tradnl"/>
        </w:rPr>
        <w:t>establece</w:t>
      </w:r>
      <w:r w:rsidR="00571403" w:rsidRPr="00AC7A12">
        <w:rPr>
          <w:rFonts w:ascii="Arial" w:eastAsia="Calibri" w:hAnsi="Arial" w:cs="Arial"/>
          <w:color w:val="000000" w:themeColor="text1"/>
          <w:sz w:val="22"/>
          <w:szCs w:val="22"/>
          <w:lang w:val="es-ES_tradnl"/>
        </w:rPr>
        <w:t xml:space="preserve"> </w:t>
      </w:r>
      <w:r w:rsidR="004923DB" w:rsidRPr="00AC7A12">
        <w:rPr>
          <w:rFonts w:ascii="Arial" w:eastAsia="Calibri" w:hAnsi="Arial" w:cs="Arial"/>
          <w:color w:val="000000" w:themeColor="text1"/>
          <w:sz w:val="22"/>
          <w:szCs w:val="22"/>
          <w:lang w:val="es-ES_tradnl"/>
        </w:rPr>
        <w:t>que «El</w:t>
      </w:r>
      <w:r w:rsidR="004923DB" w:rsidRPr="00AC7A12">
        <w:rPr>
          <w:rFonts w:ascii="Arial" w:hAnsi="Arial" w:cs="Arial"/>
          <w:sz w:val="22"/>
          <w:szCs w:val="22"/>
          <w:lang w:val="es-ES_tradnl"/>
        </w:rPr>
        <w:t xml:space="preserve"> </w:t>
      </w:r>
      <w:r w:rsidR="004923DB" w:rsidRPr="00AC7A12">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AC7A12">
        <w:rPr>
          <w:rFonts w:ascii="Arial" w:eastAsia="Calibri" w:hAnsi="Arial" w:cs="Arial"/>
          <w:color w:val="000000" w:themeColor="text1"/>
          <w:sz w:val="22"/>
          <w:szCs w:val="22"/>
          <w:lang w:val="es-ES_tradnl"/>
        </w:rPr>
        <w:t>»</w:t>
      </w:r>
      <w:r w:rsidR="004923DB" w:rsidRPr="00AC7A12">
        <w:rPr>
          <w:rFonts w:ascii="Arial" w:eastAsia="Calibri" w:hAnsi="Arial" w:cs="Arial"/>
          <w:color w:val="000000" w:themeColor="text1"/>
          <w:sz w:val="22"/>
          <w:szCs w:val="22"/>
          <w:lang w:val="es-ES_tradnl"/>
        </w:rPr>
        <w:t>.</w:t>
      </w:r>
    </w:p>
    <w:p w14:paraId="19B880CB" w14:textId="2366DF3C" w:rsidR="00CD576C" w:rsidRPr="00AC7A12" w:rsidRDefault="00571403" w:rsidP="00CD576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otro lado, e</w:t>
      </w:r>
      <w:r w:rsidR="00AB2797" w:rsidRPr="00AC7A12">
        <w:rPr>
          <w:rFonts w:ascii="Arial" w:eastAsia="Calibri" w:hAnsi="Arial" w:cs="Arial"/>
          <w:color w:val="000000" w:themeColor="text1"/>
          <w:sz w:val="22"/>
          <w:szCs w:val="22"/>
          <w:lang w:val="es-ES_tradnl"/>
        </w:rPr>
        <w:t>l artículo 6 del Decreto 399 de 2021</w:t>
      </w:r>
      <w:r w:rsidR="00672345" w:rsidRPr="00AC7A12">
        <w:rPr>
          <w:rFonts w:ascii="Arial" w:eastAsia="Calibri" w:hAnsi="Arial" w:cs="Arial"/>
          <w:color w:val="000000" w:themeColor="text1"/>
          <w:sz w:val="22"/>
          <w:szCs w:val="22"/>
          <w:lang w:val="es-ES_tradnl"/>
        </w:rPr>
        <w:t xml:space="preserve"> adiciona un parágrafo transitorio</w:t>
      </w:r>
      <w:r w:rsidR="000B578D" w:rsidRPr="00AC7A12">
        <w:rPr>
          <w:rFonts w:ascii="Arial" w:eastAsia="Calibri" w:hAnsi="Arial" w:cs="Arial"/>
          <w:color w:val="000000" w:themeColor="text1"/>
          <w:sz w:val="22"/>
          <w:szCs w:val="22"/>
          <w:lang w:val="es-ES_tradnl"/>
        </w:rPr>
        <w:t xml:space="preserve"> –sustituido después por el artículo 3 del Decreto</w:t>
      </w:r>
      <w:r w:rsidR="00526E48" w:rsidRPr="00AC7A12">
        <w:rPr>
          <w:rFonts w:ascii="Arial" w:eastAsia="Calibri" w:hAnsi="Arial" w:cs="Arial"/>
          <w:color w:val="000000" w:themeColor="text1"/>
          <w:sz w:val="22"/>
          <w:szCs w:val="22"/>
          <w:lang w:val="es-ES_tradnl"/>
        </w:rPr>
        <w:t xml:space="preserve"> 579 de 2021–</w:t>
      </w:r>
      <w:r w:rsidR="00672345" w:rsidRPr="00AC7A12">
        <w:rPr>
          <w:rFonts w:ascii="Arial" w:eastAsia="Calibri" w:hAnsi="Arial" w:cs="Arial"/>
          <w:color w:val="000000" w:themeColor="text1"/>
          <w:sz w:val="22"/>
          <w:szCs w:val="22"/>
          <w:lang w:val="es-ES_tradnl"/>
        </w:rPr>
        <w:t xml:space="preserve"> al artículo </w:t>
      </w:r>
      <w:r w:rsidR="0048155D" w:rsidRPr="00AC7A12">
        <w:rPr>
          <w:rFonts w:ascii="Arial" w:eastAsia="Calibri" w:hAnsi="Arial" w:cs="Arial"/>
          <w:color w:val="000000" w:themeColor="text1"/>
          <w:sz w:val="22"/>
          <w:szCs w:val="22"/>
          <w:lang w:val="es-ES_tradnl"/>
        </w:rPr>
        <w:t>2.2.1.1.1.6.2. del Decreto 1082 de 2015</w:t>
      </w:r>
      <w:r w:rsidR="00C44F26" w:rsidRPr="00AC7A12">
        <w:rPr>
          <w:rStyle w:val="Refdenotaalpie"/>
          <w:rFonts w:ascii="Arial" w:eastAsia="Calibri" w:hAnsi="Arial" w:cs="Arial"/>
          <w:color w:val="000000" w:themeColor="text1"/>
          <w:sz w:val="22"/>
          <w:szCs w:val="22"/>
          <w:lang w:val="es-ES_tradnl"/>
        </w:rPr>
        <w:footnoteReference w:id="26"/>
      </w:r>
      <w:r w:rsidR="00CD576C" w:rsidRPr="00AC7A12">
        <w:rPr>
          <w:rFonts w:ascii="Arial" w:eastAsia="Calibri" w:hAnsi="Arial" w:cs="Arial"/>
          <w:color w:val="000000" w:themeColor="text1"/>
          <w:sz w:val="22"/>
          <w:szCs w:val="22"/>
          <w:lang w:val="es-ES_tradnl"/>
        </w:rPr>
        <w:t>, con el siguiente contenido:</w:t>
      </w:r>
    </w:p>
    <w:p w14:paraId="38BF32AF"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AC7A12">
        <w:rPr>
          <w:rFonts w:ascii="Arial" w:eastAsia="Calibri" w:hAnsi="Arial" w:cs="Arial"/>
          <w:color w:val="000000" w:themeColor="text1"/>
          <w:sz w:val="21"/>
          <w:szCs w:val="21"/>
          <w:lang w:val="es-ES_tradnl"/>
        </w:rPr>
        <w:t>D</w:t>
      </w:r>
      <w:r w:rsidRPr="00AC7A12">
        <w:rPr>
          <w:rFonts w:ascii="Arial" w:eastAsia="Calibri" w:hAnsi="Arial" w:cs="Arial"/>
          <w:color w:val="000000" w:themeColor="text1"/>
          <w:sz w:val="21"/>
          <w:szCs w:val="21"/>
          <w:lang w:val="es-ES_tradnl"/>
        </w:rPr>
        <w:t xml:space="preserve">ecreto, a partir del 1° de </w:t>
      </w:r>
      <w:r w:rsidR="00C950AF"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las Entidades Estatales </w:t>
      </w:r>
      <w:r w:rsidR="00BD5D83" w:rsidRPr="00AC7A12">
        <w:rPr>
          <w:rFonts w:ascii="Arial" w:eastAsia="Calibri" w:hAnsi="Arial" w:cs="Arial"/>
          <w:color w:val="000000" w:themeColor="text1"/>
          <w:sz w:val="21"/>
          <w:szCs w:val="21"/>
          <w:lang w:val="es-ES_tradnl"/>
        </w:rPr>
        <w:t>establecerán y evaluarán</w:t>
      </w:r>
      <w:r w:rsidRPr="00AC7A12">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7A12"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AC7A12" w:rsidRDefault="00402E14" w:rsidP="008A43E4">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se observa, </w:t>
      </w:r>
      <w:r w:rsidR="009E2845" w:rsidRPr="00AC7A12">
        <w:rPr>
          <w:rFonts w:ascii="Arial" w:eastAsia="Calibri" w:hAnsi="Arial" w:cs="Arial"/>
          <w:color w:val="000000" w:themeColor="text1"/>
          <w:sz w:val="22"/>
          <w:szCs w:val="22"/>
          <w:lang w:val="es-ES_tradnl"/>
        </w:rPr>
        <w:t>el parágrafo transitorio</w:t>
      </w:r>
      <w:r w:rsidR="00EE2A68" w:rsidRPr="00AC7A12">
        <w:rPr>
          <w:rFonts w:ascii="Arial" w:eastAsia="Calibri" w:hAnsi="Arial" w:cs="Arial"/>
          <w:color w:val="000000" w:themeColor="text1"/>
          <w:sz w:val="22"/>
          <w:szCs w:val="22"/>
          <w:lang w:val="es-ES_tradnl"/>
        </w:rPr>
        <w:t>,</w:t>
      </w:r>
      <w:r w:rsidR="009E2845" w:rsidRPr="00AC7A12">
        <w:rPr>
          <w:rFonts w:ascii="Arial" w:eastAsia="Calibri" w:hAnsi="Arial" w:cs="Arial"/>
          <w:color w:val="000000" w:themeColor="text1"/>
          <w:sz w:val="22"/>
          <w:szCs w:val="22"/>
          <w:lang w:val="es-ES_tradnl"/>
        </w:rPr>
        <w:t xml:space="preserve"> agregado</w:t>
      </w:r>
      <w:r w:rsidR="00EE2A68" w:rsidRPr="00AC7A12">
        <w:rPr>
          <w:rFonts w:ascii="Arial" w:eastAsia="Calibri" w:hAnsi="Arial" w:cs="Arial"/>
          <w:color w:val="000000" w:themeColor="text1"/>
          <w:sz w:val="22"/>
          <w:szCs w:val="22"/>
          <w:lang w:val="es-ES_tradnl"/>
        </w:rPr>
        <w:t xml:space="preserve"> al artículo 2.2.1.1.1.6.2. del Decreto 1082 de 2015</w:t>
      </w:r>
      <w:r w:rsidR="009E2845" w:rsidRPr="00AC7A12">
        <w:rPr>
          <w:rFonts w:ascii="Arial" w:eastAsia="Calibri" w:hAnsi="Arial" w:cs="Arial"/>
          <w:color w:val="000000" w:themeColor="text1"/>
          <w:sz w:val="22"/>
          <w:szCs w:val="22"/>
          <w:lang w:val="es-ES_tradnl"/>
        </w:rPr>
        <w:t xml:space="preserve"> por el artículo 6 del Decreto 399 de </w:t>
      </w:r>
      <w:r w:rsidR="001E6F83" w:rsidRPr="00AC7A12">
        <w:rPr>
          <w:rFonts w:ascii="Arial" w:eastAsia="Calibri" w:hAnsi="Arial" w:cs="Arial"/>
          <w:color w:val="000000" w:themeColor="text1"/>
          <w:sz w:val="22"/>
          <w:szCs w:val="22"/>
          <w:lang w:val="es-ES_tradnl"/>
        </w:rPr>
        <w:t>2021</w:t>
      </w:r>
      <w:r w:rsidR="00107357" w:rsidRPr="00AC7A12">
        <w:rPr>
          <w:rFonts w:ascii="Arial" w:eastAsia="Calibri" w:hAnsi="Arial" w:cs="Arial"/>
          <w:color w:val="000000" w:themeColor="text1"/>
          <w:sz w:val="22"/>
          <w:szCs w:val="22"/>
          <w:lang w:val="es-ES_tradnl"/>
        </w:rPr>
        <w:t xml:space="preserve"> y sustituido por el artículo </w:t>
      </w:r>
      <w:r w:rsidR="00EB3399" w:rsidRPr="00AC7A12">
        <w:rPr>
          <w:rFonts w:ascii="Arial" w:eastAsia="Calibri" w:hAnsi="Arial" w:cs="Arial"/>
          <w:color w:val="000000" w:themeColor="text1"/>
          <w:sz w:val="22"/>
          <w:szCs w:val="22"/>
          <w:lang w:val="es-ES_tradnl"/>
        </w:rPr>
        <w:t>3 del Decreto 579 de 2021</w:t>
      </w:r>
      <w:r w:rsidR="00EE2A68" w:rsidRPr="00AC7A12">
        <w:rPr>
          <w:rFonts w:ascii="Arial" w:eastAsia="Calibri" w:hAnsi="Arial" w:cs="Arial"/>
          <w:color w:val="000000" w:themeColor="text1"/>
          <w:sz w:val="22"/>
          <w:szCs w:val="22"/>
          <w:lang w:val="es-ES_tradnl"/>
        </w:rPr>
        <w:t>,</w:t>
      </w:r>
      <w:r w:rsidR="001E6F83" w:rsidRPr="00AC7A12">
        <w:rPr>
          <w:rFonts w:ascii="Arial" w:eastAsia="Calibri" w:hAnsi="Arial" w:cs="Arial"/>
          <w:color w:val="000000" w:themeColor="text1"/>
          <w:sz w:val="22"/>
          <w:szCs w:val="22"/>
          <w:lang w:val="es-ES_tradnl"/>
        </w:rPr>
        <w:t xml:space="preserve"> establece que:</w:t>
      </w:r>
    </w:p>
    <w:p w14:paraId="667D5524" w14:textId="37971EA6" w:rsidR="006E2892" w:rsidRPr="00AC7A12"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w:t>
      </w:r>
      <w:r w:rsidR="001010E9" w:rsidRPr="00AC7A12">
        <w:rPr>
          <w:rFonts w:ascii="Arial" w:eastAsia="Calibri" w:hAnsi="Arial" w:cs="Arial"/>
          <w:color w:val="000000" w:themeColor="text1"/>
          <w:sz w:val="22"/>
          <w:szCs w:val="22"/>
          <w:lang w:val="es-ES_tradnl"/>
        </w:rPr>
        <w:t xml:space="preserve"> del 1 de </w:t>
      </w:r>
      <w:r w:rsidR="00776796" w:rsidRPr="00AC7A12">
        <w:rPr>
          <w:rFonts w:ascii="Arial" w:eastAsia="Calibri" w:hAnsi="Arial" w:cs="Arial"/>
          <w:color w:val="000000" w:themeColor="text1"/>
          <w:sz w:val="22"/>
          <w:szCs w:val="22"/>
          <w:lang w:val="es-ES_tradnl"/>
        </w:rPr>
        <w:t>julio</w:t>
      </w:r>
      <w:r w:rsidR="001010E9" w:rsidRPr="00AC7A12">
        <w:rPr>
          <w:rFonts w:ascii="Arial" w:eastAsia="Calibri" w:hAnsi="Arial" w:cs="Arial"/>
          <w:color w:val="000000" w:themeColor="text1"/>
          <w:sz w:val="22"/>
          <w:szCs w:val="22"/>
          <w:lang w:val="es-ES_tradnl"/>
        </w:rPr>
        <w:t xml:space="preserve"> de 2021</w:t>
      </w:r>
      <w:r w:rsidR="008324BC" w:rsidRPr="00AC7A12">
        <w:rPr>
          <w:rFonts w:ascii="Arial" w:eastAsia="Calibri" w:hAnsi="Arial" w:cs="Arial"/>
          <w:color w:val="000000" w:themeColor="text1"/>
          <w:sz w:val="22"/>
          <w:szCs w:val="22"/>
          <w:lang w:val="es-ES_tradnl"/>
        </w:rPr>
        <w:t xml:space="preserve"> </w:t>
      </w:r>
      <w:r w:rsidR="001010E9" w:rsidRPr="00AC7A12">
        <w:rPr>
          <w:rFonts w:ascii="Arial" w:eastAsia="Calibri" w:hAnsi="Arial" w:cs="Arial"/>
          <w:color w:val="000000" w:themeColor="text1"/>
          <w:sz w:val="22"/>
          <w:szCs w:val="22"/>
          <w:lang w:val="es-ES_tradnl"/>
        </w:rPr>
        <w:t xml:space="preserve">las entidades estatales «[…] </w:t>
      </w:r>
      <w:r w:rsidR="00776796" w:rsidRPr="00AC7A12">
        <w:rPr>
          <w:rFonts w:ascii="Arial" w:eastAsia="Calibri" w:hAnsi="Arial" w:cs="Arial"/>
          <w:color w:val="000000" w:themeColor="text1"/>
          <w:sz w:val="22"/>
          <w:szCs w:val="22"/>
          <w:lang w:val="es-ES_tradnl"/>
        </w:rPr>
        <w:t>establecerán y evaluarán</w:t>
      </w:r>
      <w:r w:rsidR="001010E9" w:rsidRPr="00AC7A12">
        <w:rPr>
          <w:rFonts w:ascii="Arial" w:eastAsia="Calibri" w:hAnsi="Arial" w:cs="Arial"/>
          <w:color w:val="000000" w:themeColor="text1"/>
          <w:sz w:val="22"/>
          <w:szCs w:val="22"/>
          <w:lang w:val="es-ES_tradnl"/>
        </w:rPr>
        <w:t xml:space="preserve"> los requisitos habilitantes de capacidad financiera y organizacional teniendo en </w:t>
      </w:r>
      <w:r w:rsidR="001010E9" w:rsidRPr="00AC7A12">
        <w:rPr>
          <w:rFonts w:ascii="Arial" w:eastAsia="Calibri" w:hAnsi="Arial" w:cs="Arial"/>
          <w:color w:val="000000" w:themeColor="text1"/>
          <w:sz w:val="22"/>
          <w:szCs w:val="22"/>
          <w:lang w:val="es-ES_tradnl"/>
        </w:rPr>
        <w:lastRenderedPageBreak/>
        <w:t>cuenta la información que conste en el Registro Único de Proponentes».</w:t>
      </w:r>
      <w:r w:rsidR="009C6A1D" w:rsidRPr="00AC7A12">
        <w:rPr>
          <w:rFonts w:ascii="Arial" w:eastAsia="Calibri" w:hAnsi="Arial" w:cs="Arial"/>
          <w:color w:val="000000" w:themeColor="text1"/>
          <w:sz w:val="22"/>
          <w:szCs w:val="22"/>
          <w:lang w:val="es-ES_tradnl"/>
        </w:rPr>
        <w:t xml:space="preserve"> Es decir</w:t>
      </w:r>
      <w:r w:rsidR="008B5E27" w:rsidRPr="00AC7A12">
        <w:rPr>
          <w:rFonts w:ascii="Arial" w:eastAsia="Calibri" w:hAnsi="Arial" w:cs="Arial"/>
          <w:color w:val="000000" w:themeColor="text1"/>
          <w:sz w:val="22"/>
          <w:szCs w:val="22"/>
          <w:lang w:val="es-ES_tradnl"/>
        </w:rPr>
        <w:t xml:space="preserve">, las entidades estatales deben tener en cuenta la información </w:t>
      </w:r>
      <w:r w:rsidR="004A5094" w:rsidRPr="00AC7A12">
        <w:rPr>
          <w:rFonts w:ascii="Arial" w:eastAsia="Calibri" w:hAnsi="Arial" w:cs="Arial"/>
          <w:color w:val="000000" w:themeColor="text1"/>
          <w:sz w:val="22"/>
          <w:szCs w:val="22"/>
          <w:lang w:val="es-ES_tradnl"/>
        </w:rPr>
        <w:t>sobre</w:t>
      </w:r>
      <w:r w:rsidR="00647FB1" w:rsidRPr="00AC7A12">
        <w:rPr>
          <w:rFonts w:ascii="Arial" w:eastAsia="Calibri" w:hAnsi="Arial" w:cs="Arial"/>
          <w:color w:val="000000" w:themeColor="text1"/>
          <w:sz w:val="22"/>
          <w:szCs w:val="22"/>
          <w:lang w:val="es-ES_tradnl"/>
        </w:rPr>
        <w:t xml:space="preserve"> la capacidad financiera y organizacional</w:t>
      </w:r>
      <w:r w:rsidR="008B5E27" w:rsidRPr="00AC7A12">
        <w:rPr>
          <w:rFonts w:ascii="Arial" w:eastAsia="Calibri" w:hAnsi="Arial" w:cs="Arial"/>
          <w:color w:val="000000" w:themeColor="text1"/>
          <w:sz w:val="22"/>
          <w:szCs w:val="22"/>
          <w:lang w:val="es-ES_tradnl"/>
        </w:rPr>
        <w:t xml:space="preserve"> </w:t>
      </w:r>
      <w:r w:rsidR="00A814B9" w:rsidRPr="00AC7A12">
        <w:rPr>
          <w:rFonts w:ascii="Arial" w:eastAsia="Calibri" w:hAnsi="Arial" w:cs="Arial"/>
          <w:color w:val="000000" w:themeColor="text1"/>
          <w:sz w:val="22"/>
          <w:szCs w:val="22"/>
          <w:lang w:val="es-ES_tradnl"/>
        </w:rPr>
        <w:t>«correspondiente a los últimos tres (3) años fiscales anteriores al respectivo acto»</w:t>
      </w:r>
      <w:r w:rsidR="00D41F88" w:rsidRPr="00AC7A12">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AC7A12" w:rsidRDefault="006E2892"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 </w:t>
      </w:r>
      <w:r w:rsidR="004B448D" w:rsidRPr="00AC7A12">
        <w:rPr>
          <w:rFonts w:ascii="Arial" w:eastAsia="Calibri" w:hAnsi="Arial" w:cs="Arial"/>
          <w:color w:val="000000" w:themeColor="text1"/>
          <w:sz w:val="22"/>
          <w:szCs w:val="22"/>
          <w:lang w:val="es-ES_tradnl"/>
        </w:rPr>
        <w:t xml:space="preserve">Las entidades estatales conservan </w:t>
      </w:r>
      <w:r w:rsidR="00686BB9" w:rsidRPr="00AC7A12">
        <w:rPr>
          <w:rFonts w:ascii="Arial" w:eastAsia="Calibri" w:hAnsi="Arial" w:cs="Arial"/>
          <w:color w:val="000000" w:themeColor="text1"/>
          <w:sz w:val="22"/>
          <w:szCs w:val="22"/>
          <w:lang w:val="es-ES_tradnl"/>
        </w:rPr>
        <w:t>su</w:t>
      </w:r>
      <w:r w:rsidR="00003661" w:rsidRPr="00AC7A12">
        <w:rPr>
          <w:rFonts w:ascii="Arial" w:eastAsia="Calibri" w:hAnsi="Arial" w:cs="Arial"/>
          <w:color w:val="000000" w:themeColor="text1"/>
          <w:sz w:val="22"/>
          <w:szCs w:val="22"/>
          <w:lang w:val="es-ES_tradnl"/>
        </w:rPr>
        <w:t xml:space="preserve"> discrecionalidad administrativa para </w:t>
      </w:r>
      <w:r w:rsidR="00E640D2" w:rsidRPr="00AC7A12">
        <w:rPr>
          <w:rFonts w:ascii="Arial" w:eastAsia="Calibri" w:hAnsi="Arial" w:cs="Arial"/>
          <w:color w:val="000000" w:themeColor="text1"/>
          <w:sz w:val="22"/>
          <w:szCs w:val="22"/>
          <w:lang w:val="es-ES_tradnl"/>
        </w:rPr>
        <w:t>determinar</w:t>
      </w:r>
      <w:r w:rsidR="00003661" w:rsidRPr="00AC7A12">
        <w:rPr>
          <w:rFonts w:ascii="Arial" w:eastAsia="Calibri" w:hAnsi="Arial" w:cs="Arial"/>
          <w:color w:val="000000" w:themeColor="text1"/>
          <w:sz w:val="22"/>
          <w:szCs w:val="22"/>
          <w:lang w:val="es-ES_tradnl"/>
        </w:rPr>
        <w:t xml:space="preserve"> los requisitos habilitantes </w:t>
      </w:r>
      <w:r w:rsidR="00E640D2" w:rsidRPr="00AC7A12">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AC7A12">
        <w:rPr>
          <w:rFonts w:ascii="Arial" w:eastAsia="Calibri" w:hAnsi="Arial" w:cs="Arial"/>
          <w:color w:val="000000" w:themeColor="text1"/>
          <w:sz w:val="22"/>
          <w:szCs w:val="22"/>
          <w:lang w:val="es-ES_tradnl"/>
        </w:rPr>
        <w:t>dichos indicadores sean razonables, o sea, que guarden congruencia con el objeto</w:t>
      </w:r>
      <w:r w:rsidR="00686BB9" w:rsidRPr="00AC7A12">
        <w:rPr>
          <w:rFonts w:ascii="Arial" w:eastAsia="Calibri" w:hAnsi="Arial" w:cs="Arial"/>
          <w:color w:val="000000" w:themeColor="text1"/>
          <w:sz w:val="22"/>
          <w:szCs w:val="22"/>
          <w:lang w:val="es-ES_tradnl"/>
        </w:rPr>
        <w:t xml:space="preserve">, </w:t>
      </w:r>
      <w:r w:rsidR="00F329D6" w:rsidRPr="00AC7A12">
        <w:rPr>
          <w:rFonts w:ascii="Arial" w:eastAsia="Calibri" w:hAnsi="Arial" w:cs="Arial"/>
          <w:color w:val="000000" w:themeColor="text1"/>
          <w:sz w:val="22"/>
          <w:szCs w:val="22"/>
          <w:lang w:val="es-ES_tradnl"/>
        </w:rPr>
        <w:t>alcance</w:t>
      </w:r>
      <w:r w:rsidR="00686BB9" w:rsidRPr="00AC7A12">
        <w:rPr>
          <w:rFonts w:ascii="Arial" w:eastAsia="Calibri" w:hAnsi="Arial" w:cs="Arial"/>
          <w:color w:val="000000" w:themeColor="text1"/>
          <w:sz w:val="22"/>
          <w:szCs w:val="22"/>
          <w:lang w:val="es-ES_tradnl"/>
        </w:rPr>
        <w:t>, valor y plazo</w:t>
      </w:r>
      <w:r w:rsidR="00F329D6" w:rsidRPr="00AC7A12">
        <w:rPr>
          <w:rFonts w:ascii="Arial" w:eastAsia="Calibri" w:hAnsi="Arial" w:cs="Arial"/>
          <w:color w:val="000000" w:themeColor="text1"/>
          <w:sz w:val="22"/>
          <w:szCs w:val="22"/>
          <w:lang w:val="es-ES_tradnl"/>
        </w:rPr>
        <w:t xml:space="preserve"> del contrato</w:t>
      </w:r>
      <w:r w:rsidR="00176188" w:rsidRPr="00AC7A12">
        <w:rPr>
          <w:rFonts w:ascii="Arial" w:eastAsia="Calibri" w:hAnsi="Arial" w:cs="Arial"/>
          <w:color w:val="000000" w:themeColor="text1"/>
          <w:sz w:val="22"/>
          <w:szCs w:val="22"/>
          <w:lang w:val="es-ES_tradnl"/>
        </w:rPr>
        <w:t>, que sean necesarios y no restrinjan injustificadamente la libre concurrencia.</w:t>
      </w:r>
    </w:p>
    <w:p w14:paraId="68D7571C" w14:textId="786D1FB6" w:rsidR="00C40791" w:rsidRPr="00AC7A12" w:rsidRDefault="00C344F6"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iii) </w:t>
      </w:r>
      <w:r w:rsidR="001E5AB2" w:rsidRPr="00AC7A12">
        <w:rPr>
          <w:rFonts w:ascii="Arial" w:eastAsia="Calibri" w:hAnsi="Arial" w:cs="Arial"/>
          <w:color w:val="000000" w:themeColor="text1"/>
          <w:sz w:val="22"/>
          <w:szCs w:val="22"/>
          <w:lang w:val="es-ES_tradnl"/>
        </w:rPr>
        <w:t>En los procesos de selección cuyo acto administrativo de apertura</w:t>
      </w:r>
      <w:r w:rsidR="007F3056" w:rsidRPr="00AC7A12">
        <w:rPr>
          <w:rFonts w:ascii="Arial" w:eastAsia="Calibri" w:hAnsi="Arial" w:cs="Arial"/>
          <w:color w:val="000000" w:themeColor="text1"/>
          <w:sz w:val="22"/>
          <w:szCs w:val="22"/>
          <w:lang w:val="es-ES_tradnl"/>
        </w:rPr>
        <w:t xml:space="preserve"> o invitación se publique a partir del 1 de </w:t>
      </w:r>
      <w:r w:rsidR="0067147C" w:rsidRPr="00AC7A12">
        <w:rPr>
          <w:rFonts w:ascii="Arial" w:eastAsia="Calibri" w:hAnsi="Arial" w:cs="Arial"/>
          <w:color w:val="000000" w:themeColor="text1"/>
          <w:sz w:val="22"/>
          <w:szCs w:val="22"/>
          <w:lang w:val="es-ES_tradnl"/>
        </w:rPr>
        <w:t>julio</w:t>
      </w:r>
      <w:r w:rsidR="007F3056" w:rsidRPr="00AC7A12">
        <w:rPr>
          <w:rFonts w:ascii="Arial" w:eastAsia="Calibri" w:hAnsi="Arial" w:cs="Arial"/>
          <w:color w:val="000000" w:themeColor="text1"/>
          <w:sz w:val="22"/>
          <w:szCs w:val="22"/>
          <w:lang w:val="es-ES_tradnl"/>
        </w:rPr>
        <w:t xml:space="preserve"> de 2021 las entidades estatales deberán</w:t>
      </w:r>
      <w:r w:rsidR="00275AD0" w:rsidRPr="00AC7A12">
        <w:rPr>
          <w:rFonts w:ascii="Arial" w:eastAsia="Calibri" w:hAnsi="Arial" w:cs="Arial"/>
          <w:color w:val="000000" w:themeColor="text1"/>
          <w:sz w:val="22"/>
          <w:szCs w:val="22"/>
          <w:lang w:val="es-ES_tradnl"/>
        </w:rPr>
        <w:t xml:space="preserve"> tener en cuenta la información financiera y </w:t>
      </w:r>
      <w:r w:rsidR="00626A11" w:rsidRPr="00AC7A12">
        <w:rPr>
          <w:rFonts w:ascii="Arial" w:eastAsia="Calibri" w:hAnsi="Arial" w:cs="Arial"/>
          <w:color w:val="000000" w:themeColor="text1"/>
          <w:sz w:val="22"/>
          <w:szCs w:val="22"/>
          <w:lang w:val="es-ES_tradnl"/>
        </w:rPr>
        <w:t>organizacional que esté vigente y en firme en el RUP.</w:t>
      </w:r>
    </w:p>
    <w:p w14:paraId="60518DA2" w14:textId="2EA9AF70" w:rsidR="00C344F6" w:rsidRPr="00AC7A12" w:rsidRDefault="00C40791"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w:t>
      </w:r>
      <w:r w:rsidR="009F2137" w:rsidRPr="00AC7A12">
        <w:rPr>
          <w:rFonts w:ascii="Arial" w:eastAsia="Calibri" w:hAnsi="Arial" w:cs="Arial"/>
          <w:color w:val="000000" w:themeColor="text1"/>
          <w:sz w:val="22"/>
          <w:szCs w:val="22"/>
          <w:lang w:val="es-ES_tradnl"/>
        </w:rPr>
        <w:t>A partir de la fecha establecida anteriormente, l</w:t>
      </w:r>
      <w:r w:rsidRPr="00AC7A12">
        <w:rPr>
          <w:rFonts w:ascii="Arial" w:eastAsia="Calibri" w:hAnsi="Arial" w:cs="Arial"/>
          <w:color w:val="000000" w:themeColor="text1"/>
          <w:sz w:val="22"/>
          <w:szCs w:val="22"/>
          <w:lang w:val="es-ES_tradnl"/>
        </w:rPr>
        <w:t xml:space="preserve">a evaluación de los </w:t>
      </w:r>
      <w:r w:rsidR="004C4772" w:rsidRPr="00AC7A12">
        <w:rPr>
          <w:rFonts w:ascii="Arial" w:eastAsia="Calibri" w:hAnsi="Arial" w:cs="Arial"/>
          <w:color w:val="000000" w:themeColor="text1"/>
          <w:sz w:val="22"/>
          <w:szCs w:val="22"/>
          <w:lang w:val="es-ES_tradnl"/>
        </w:rPr>
        <w:t xml:space="preserve">indicadores de capacidad </w:t>
      </w:r>
      <w:r w:rsidR="004C4772" w:rsidRPr="00AC7A12">
        <w:rPr>
          <w:rFonts w:ascii="Arial" w:eastAsia="Calibri" w:hAnsi="Arial" w:cs="Arial"/>
          <w:i/>
          <w:iCs/>
          <w:color w:val="000000" w:themeColor="text1"/>
          <w:sz w:val="22"/>
          <w:szCs w:val="22"/>
          <w:lang w:val="es-ES_tradnl"/>
        </w:rPr>
        <w:t>financiera</w:t>
      </w:r>
      <w:r w:rsidR="00515D66" w:rsidRPr="00AC7A12">
        <w:rPr>
          <w:rFonts w:ascii="Arial" w:eastAsia="Calibri" w:hAnsi="Arial" w:cs="Arial"/>
          <w:i/>
          <w:iCs/>
          <w:color w:val="000000" w:themeColor="text1"/>
          <w:sz w:val="22"/>
          <w:szCs w:val="22"/>
          <w:lang w:val="es-ES_tradnl"/>
        </w:rPr>
        <w:t xml:space="preserve"> –</w:t>
      </w:r>
      <w:r w:rsidR="00577276" w:rsidRPr="00AC7A12">
        <w:rPr>
          <w:rFonts w:ascii="Arial" w:eastAsia="Calibri" w:hAnsi="Arial" w:cs="Arial"/>
          <w:color w:val="000000" w:themeColor="text1"/>
          <w:sz w:val="22"/>
          <w:szCs w:val="22"/>
          <w:lang w:val="es-ES_tradnl"/>
        </w:rPr>
        <w:t>índice de liquidez, índice de endeudamiento</w:t>
      </w:r>
      <w:r w:rsidR="005F34DD" w:rsidRPr="00AC7A12">
        <w:rPr>
          <w:rFonts w:ascii="Arial" w:eastAsia="Calibri" w:hAnsi="Arial" w:cs="Arial"/>
          <w:color w:val="000000" w:themeColor="text1"/>
          <w:sz w:val="22"/>
          <w:szCs w:val="22"/>
          <w:lang w:val="es-ES_tradnl"/>
        </w:rPr>
        <w:t xml:space="preserve"> y razón de cobertura de intereses– y </w:t>
      </w:r>
      <w:r w:rsidR="005F34DD" w:rsidRPr="00AC7A12">
        <w:rPr>
          <w:rFonts w:ascii="Arial" w:eastAsia="Calibri" w:hAnsi="Arial" w:cs="Arial"/>
          <w:i/>
          <w:iCs/>
          <w:color w:val="000000" w:themeColor="text1"/>
          <w:sz w:val="22"/>
          <w:szCs w:val="22"/>
          <w:lang w:val="es-ES_tradnl"/>
        </w:rPr>
        <w:t>organizacional</w:t>
      </w:r>
      <w:r w:rsidR="005F34DD" w:rsidRPr="00AC7A12">
        <w:rPr>
          <w:rFonts w:ascii="Arial" w:eastAsia="Calibri" w:hAnsi="Arial" w:cs="Arial"/>
          <w:color w:val="000000" w:themeColor="text1"/>
          <w:sz w:val="22"/>
          <w:szCs w:val="22"/>
          <w:lang w:val="es-ES_tradnl"/>
        </w:rPr>
        <w:t xml:space="preserve"> –</w:t>
      </w:r>
      <w:r w:rsidR="00585F87" w:rsidRPr="00AC7A12">
        <w:rPr>
          <w:rFonts w:ascii="Arial" w:eastAsia="Calibri" w:hAnsi="Arial" w:cs="Arial"/>
          <w:color w:val="000000" w:themeColor="text1"/>
          <w:sz w:val="22"/>
          <w:szCs w:val="22"/>
          <w:lang w:val="es-ES_tradnl"/>
        </w:rPr>
        <w:t>rentabilidad del patrimonio y rentabilidad del activo–,</w:t>
      </w:r>
      <w:r w:rsidR="008A58BB" w:rsidRPr="00AC7A12">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AC7A12">
        <w:rPr>
          <w:rFonts w:ascii="Arial" w:eastAsia="Calibri" w:hAnsi="Arial" w:cs="Arial"/>
          <w:i/>
          <w:iCs/>
          <w:color w:val="000000" w:themeColor="text1"/>
          <w:sz w:val="22"/>
          <w:szCs w:val="22"/>
          <w:lang w:val="es-ES_tradnl"/>
        </w:rPr>
        <w:t>el mejor año fiscal que se refleje en el registro</w:t>
      </w:r>
      <w:r w:rsidR="008A58BB" w:rsidRPr="00AC7A12">
        <w:rPr>
          <w:rFonts w:ascii="Arial" w:eastAsia="Calibri" w:hAnsi="Arial" w:cs="Arial"/>
          <w:color w:val="000000" w:themeColor="text1"/>
          <w:sz w:val="22"/>
          <w:szCs w:val="22"/>
          <w:lang w:val="es-ES_tradnl"/>
        </w:rPr>
        <w:t xml:space="preserve"> de cada proponente»</w:t>
      </w:r>
      <w:r w:rsidR="001D16BE" w:rsidRPr="00AC7A12">
        <w:rPr>
          <w:rFonts w:ascii="Arial" w:eastAsia="Calibri" w:hAnsi="Arial" w:cs="Arial"/>
          <w:color w:val="000000" w:themeColor="text1"/>
          <w:sz w:val="22"/>
          <w:szCs w:val="22"/>
          <w:lang w:val="es-ES_tradnl"/>
        </w:rPr>
        <w:t xml:space="preserve"> (énfasis fuera de texto)</w:t>
      </w:r>
      <w:r w:rsidR="008A58BB" w:rsidRPr="00AC7A12">
        <w:rPr>
          <w:rFonts w:ascii="Arial" w:eastAsia="Calibri" w:hAnsi="Arial" w:cs="Arial"/>
          <w:color w:val="000000" w:themeColor="text1"/>
          <w:sz w:val="22"/>
          <w:szCs w:val="22"/>
          <w:lang w:val="es-ES_tradnl"/>
        </w:rPr>
        <w:t>.</w:t>
      </w:r>
      <w:r w:rsidR="00992321" w:rsidRPr="00AC7A12">
        <w:rPr>
          <w:rFonts w:ascii="Arial" w:eastAsia="Calibri" w:hAnsi="Arial" w:cs="Arial"/>
          <w:color w:val="000000" w:themeColor="text1"/>
          <w:sz w:val="22"/>
          <w:szCs w:val="22"/>
          <w:lang w:val="es-ES_tradnl"/>
        </w:rPr>
        <w:t xml:space="preserve"> </w:t>
      </w:r>
    </w:p>
    <w:p w14:paraId="42644EAB" w14:textId="2E2ACBD5" w:rsidR="00FB0A80" w:rsidRDefault="000A4629"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7A12">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AC7A12">
        <w:rPr>
          <w:rFonts w:ascii="Arial" w:eastAsia="Calibri" w:hAnsi="Arial" w:cs="Arial"/>
          <w:color w:val="000000" w:themeColor="text1"/>
          <w:sz w:val="22"/>
          <w:szCs w:val="22"/>
          <w:lang w:val="es-ES_tradnl"/>
        </w:rPr>
        <w:t xml:space="preserve">tales indicadores </w:t>
      </w:r>
      <w:r w:rsidR="008A21E8" w:rsidRPr="00AC7A12">
        <w:rPr>
          <w:rFonts w:ascii="Arial" w:eastAsia="Calibri" w:hAnsi="Arial" w:cs="Arial"/>
          <w:color w:val="000000" w:themeColor="text1"/>
          <w:sz w:val="22"/>
          <w:szCs w:val="22"/>
          <w:lang w:val="es-ES_tradnl"/>
        </w:rPr>
        <w:t>las entidades estatales</w:t>
      </w:r>
      <w:r w:rsidR="001671BA" w:rsidRPr="00AC7A12">
        <w:rPr>
          <w:rFonts w:ascii="Arial" w:eastAsia="Calibri" w:hAnsi="Arial" w:cs="Arial"/>
          <w:color w:val="000000" w:themeColor="text1"/>
          <w:sz w:val="22"/>
          <w:szCs w:val="22"/>
          <w:lang w:val="es-ES_tradnl"/>
        </w:rPr>
        <w:t xml:space="preserve"> deberán tener en cuenta </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el mejor año fiscal</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 xml:space="preserve"> que refleje</w:t>
      </w:r>
      <w:r w:rsidR="00CD5BF5" w:rsidRPr="00AC7A12">
        <w:rPr>
          <w:rFonts w:ascii="Arial" w:eastAsia="Calibri" w:hAnsi="Arial" w:cs="Arial"/>
          <w:color w:val="000000" w:themeColor="text1"/>
          <w:sz w:val="22"/>
          <w:szCs w:val="22"/>
          <w:lang w:val="es-ES_tradnl"/>
        </w:rPr>
        <w:t xml:space="preserve"> el registro.</w:t>
      </w:r>
      <w:r w:rsidR="00BF5E78" w:rsidRPr="00AC7A12">
        <w:rPr>
          <w:rFonts w:ascii="Arial" w:eastAsia="Calibri" w:hAnsi="Arial" w:cs="Arial"/>
          <w:color w:val="000000" w:themeColor="text1"/>
          <w:sz w:val="22"/>
          <w:szCs w:val="22"/>
          <w:lang w:val="es-ES_tradnl"/>
        </w:rPr>
        <w:t xml:space="preserve"> </w:t>
      </w:r>
      <w:r w:rsidR="00CA44ED" w:rsidRPr="00AC7A12">
        <w:rPr>
          <w:rFonts w:ascii="Arial" w:eastAsia="Calibri" w:hAnsi="Arial" w:cs="Arial"/>
          <w:color w:val="000000" w:themeColor="text1"/>
          <w:sz w:val="22"/>
          <w:szCs w:val="22"/>
          <w:lang w:val="es-ES_tradnl"/>
        </w:rPr>
        <w:t xml:space="preserve">Por «mejor año fiscal» se interpreta </w:t>
      </w:r>
      <w:r w:rsidR="0091251B" w:rsidRPr="00AC7A12">
        <w:rPr>
          <w:rFonts w:ascii="Arial" w:eastAsia="Calibri" w:hAnsi="Arial" w:cs="Arial"/>
          <w:color w:val="000000" w:themeColor="text1"/>
          <w:sz w:val="22"/>
          <w:szCs w:val="22"/>
          <w:lang w:val="es-ES_tradnl"/>
        </w:rPr>
        <w:t xml:space="preserve">la información relativa al año apreciada en su </w:t>
      </w:r>
      <w:r w:rsidR="00B208BB" w:rsidRPr="00AC7A12">
        <w:rPr>
          <w:rFonts w:ascii="Arial" w:eastAsia="Calibri" w:hAnsi="Arial" w:cs="Arial"/>
          <w:color w:val="000000" w:themeColor="text1"/>
          <w:sz w:val="22"/>
          <w:szCs w:val="22"/>
          <w:lang w:val="es-ES_tradnl"/>
        </w:rPr>
        <w:t>conjunto, o sea, de manera integral</w:t>
      </w:r>
      <w:r w:rsidR="000D1BFB" w:rsidRPr="00AC7A12">
        <w:rPr>
          <w:rFonts w:ascii="Arial" w:eastAsia="Calibri" w:hAnsi="Arial" w:cs="Arial"/>
          <w:color w:val="000000" w:themeColor="text1"/>
          <w:sz w:val="22"/>
          <w:szCs w:val="22"/>
          <w:lang w:val="es-ES_tradnl"/>
        </w:rPr>
        <w:t xml:space="preserve">, que permita al proponente cumplir los requisitos </w:t>
      </w:r>
      <w:r w:rsidR="00537420" w:rsidRPr="00AC7A12">
        <w:rPr>
          <w:rFonts w:ascii="Arial" w:eastAsia="Calibri" w:hAnsi="Arial" w:cs="Arial"/>
          <w:color w:val="000000" w:themeColor="text1"/>
          <w:sz w:val="22"/>
          <w:szCs w:val="22"/>
          <w:lang w:val="es-ES_tradnl"/>
        </w:rPr>
        <w:t>habilitantes de capacidad financiera y organizacional</w:t>
      </w:r>
      <w:r w:rsidR="00B208BB" w:rsidRPr="00AC7A12">
        <w:rPr>
          <w:rFonts w:ascii="Arial" w:eastAsia="Calibri" w:hAnsi="Arial" w:cs="Arial"/>
          <w:color w:val="000000" w:themeColor="text1"/>
          <w:sz w:val="22"/>
          <w:szCs w:val="22"/>
          <w:lang w:val="es-ES_tradnl"/>
        </w:rPr>
        <w:t>. Dicho de otr</w:t>
      </w:r>
      <w:r w:rsidR="00BD36D0" w:rsidRPr="00AC7A12">
        <w:rPr>
          <w:rFonts w:ascii="Arial" w:eastAsia="Calibri" w:hAnsi="Arial" w:cs="Arial"/>
          <w:color w:val="000000" w:themeColor="text1"/>
          <w:sz w:val="22"/>
          <w:szCs w:val="22"/>
          <w:lang w:val="es-ES_tradnl"/>
        </w:rPr>
        <w:t>o</w:t>
      </w:r>
      <w:r w:rsidR="00B208BB" w:rsidRPr="00AC7A12">
        <w:rPr>
          <w:rFonts w:ascii="Arial" w:eastAsia="Calibri" w:hAnsi="Arial" w:cs="Arial"/>
          <w:color w:val="000000" w:themeColor="text1"/>
          <w:sz w:val="22"/>
          <w:szCs w:val="22"/>
          <w:lang w:val="es-ES_tradnl"/>
        </w:rPr>
        <w:t xml:space="preserve"> </w:t>
      </w:r>
      <w:r w:rsidR="00BD36D0" w:rsidRPr="00AC7A12">
        <w:rPr>
          <w:rFonts w:ascii="Arial" w:eastAsia="Calibri" w:hAnsi="Arial" w:cs="Arial"/>
          <w:color w:val="000000" w:themeColor="text1"/>
          <w:sz w:val="22"/>
          <w:szCs w:val="22"/>
          <w:lang w:val="es-ES_tradnl"/>
        </w:rPr>
        <w:t>modo</w:t>
      </w:r>
      <w:r w:rsidR="00B208BB" w:rsidRPr="00AC7A12">
        <w:rPr>
          <w:rFonts w:ascii="Arial" w:eastAsia="Calibri" w:hAnsi="Arial" w:cs="Arial"/>
          <w:color w:val="000000" w:themeColor="text1"/>
          <w:sz w:val="22"/>
          <w:szCs w:val="22"/>
          <w:lang w:val="es-ES_tradnl"/>
        </w:rPr>
        <w:t>, cuando el parágrafo transitorio</w:t>
      </w:r>
      <w:r w:rsidR="00741562" w:rsidRPr="00AC7A12">
        <w:rPr>
          <w:rFonts w:ascii="Arial" w:eastAsia="Calibri" w:hAnsi="Arial" w:cs="Arial"/>
          <w:color w:val="000000" w:themeColor="text1"/>
          <w:sz w:val="22"/>
          <w:szCs w:val="22"/>
          <w:lang w:val="es-ES_tradnl"/>
        </w:rPr>
        <w:t xml:space="preserve"> del </w:t>
      </w:r>
      <w:r w:rsidR="00B208BB" w:rsidRPr="00AC7A12">
        <w:rPr>
          <w:rFonts w:ascii="Arial" w:eastAsia="Calibri" w:hAnsi="Arial" w:cs="Arial"/>
          <w:color w:val="000000" w:themeColor="text1"/>
          <w:sz w:val="22"/>
          <w:szCs w:val="22"/>
          <w:lang w:val="es-ES_tradnl"/>
        </w:rPr>
        <w:t xml:space="preserve">artículo </w:t>
      </w:r>
      <w:r w:rsidR="00741562" w:rsidRPr="00AC7A12">
        <w:rPr>
          <w:rFonts w:ascii="Arial" w:eastAsia="Calibri" w:hAnsi="Arial" w:cs="Arial"/>
          <w:color w:val="000000" w:themeColor="text1"/>
          <w:sz w:val="22"/>
          <w:szCs w:val="22"/>
          <w:lang w:val="es-ES_tradnl"/>
        </w:rPr>
        <w:t>2.2.1.1.1.6.2, adicionado por el artículo 6 del Decreto</w:t>
      </w:r>
      <w:r w:rsidR="00E72080" w:rsidRPr="00AC7A12">
        <w:rPr>
          <w:rFonts w:ascii="Arial" w:eastAsia="Calibri" w:hAnsi="Arial" w:cs="Arial"/>
          <w:color w:val="000000" w:themeColor="text1"/>
          <w:sz w:val="22"/>
          <w:szCs w:val="22"/>
          <w:lang w:val="es-ES_tradnl"/>
        </w:rPr>
        <w:t xml:space="preserve"> 399 de 2021</w:t>
      </w:r>
      <w:r w:rsidR="005A16F3" w:rsidRPr="00AC7A12">
        <w:rPr>
          <w:rFonts w:ascii="Arial" w:eastAsia="Calibri" w:hAnsi="Arial" w:cs="Arial"/>
          <w:color w:val="000000" w:themeColor="text1"/>
          <w:sz w:val="22"/>
          <w:szCs w:val="22"/>
          <w:lang w:val="es-ES_tradnl"/>
        </w:rPr>
        <w:t xml:space="preserve"> y sustituido por el artículo </w:t>
      </w:r>
      <w:r w:rsidR="005A771F" w:rsidRPr="00AC7A12">
        <w:rPr>
          <w:rFonts w:ascii="Arial" w:eastAsia="Calibri" w:hAnsi="Arial" w:cs="Arial"/>
          <w:color w:val="000000" w:themeColor="text1"/>
          <w:sz w:val="22"/>
          <w:szCs w:val="22"/>
          <w:lang w:val="es-ES_tradnl"/>
        </w:rPr>
        <w:t>3 del Decreto 579 de 2021</w:t>
      </w:r>
      <w:r w:rsidR="00E72080" w:rsidRPr="00AC7A12">
        <w:rPr>
          <w:rFonts w:ascii="Arial" w:eastAsia="Calibri" w:hAnsi="Arial" w:cs="Arial"/>
          <w:color w:val="000000" w:themeColor="text1"/>
          <w:sz w:val="22"/>
          <w:szCs w:val="22"/>
          <w:lang w:val="es-ES_tradnl"/>
        </w:rPr>
        <w:t>, establece que «</w:t>
      </w:r>
      <w:r w:rsidR="00E72080" w:rsidRPr="00AC7A12">
        <w:rPr>
          <w:rFonts w:ascii="Arial" w:hAnsi="Arial" w:cs="Arial"/>
          <w:sz w:val="22"/>
          <w:szCs w:val="22"/>
          <w:lang w:val="es-ES_tradnl"/>
        </w:rPr>
        <w:t xml:space="preserve">[…] </w:t>
      </w:r>
      <w:r w:rsidR="00E72080" w:rsidRPr="00AC7A12">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C7A12">
        <w:rPr>
          <w:rFonts w:ascii="Arial" w:eastAsia="Calibri" w:hAnsi="Arial" w:cs="Arial"/>
          <w:color w:val="000000" w:themeColor="text1"/>
          <w:sz w:val="22"/>
          <w:szCs w:val="22"/>
          <w:lang w:val="es-ES_tradnl"/>
        </w:rPr>
        <w:t xml:space="preserve">examinar los años </w:t>
      </w:r>
      <w:r w:rsidR="00826870" w:rsidRPr="00AC7A12">
        <w:rPr>
          <w:rFonts w:ascii="Arial" w:eastAsia="Calibri" w:hAnsi="Arial" w:cs="Arial"/>
          <w:color w:val="000000" w:themeColor="text1"/>
          <w:sz w:val="22"/>
          <w:szCs w:val="22"/>
          <w:lang w:val="es-ES_tradnl"/>
        </w:rPr>
        <w:t>certificados en el RUP y escoger</w:t>
      </w:r>
      <w:r w:rsidR="000F3E4C" w:rsidRPr="00AC7A12">
        <w:rPr>
          <w:rFonts w:ascii="Arial" w:eastAsia="Calibri" w:hAnsi="Arial" w:cs="Arial"/>
          <w:color w:val="000000" w:themeColor="text1"/>
          <w:sz w:val="22"/>
          <w:szCs w:val="22"/>
          <w:lang w:val="es-ES_tradnl"/>
        </w:rPr>
        <w:t xml:space="preserve"> para ser evaluado</w:t>
      </w:r>
      <w:r w:rsidR="00826870" w:rsidRPr="00AC7A12">
        <w:rPr>
          <w:rFonts w:ascii="Arial" w:eastAsia="Calibri" w:hAnsi="Arial" w:cs="Arial"/>
          <w:color w:val="000000" w:themeColor="text1"/>
          <w:sz w:val="22"/>
          <w:szCs w:val="22"/>
          <w:lang w:val="es-ES_tradnl"/>
        </w:rPr>
        <w:t xml:space="preserve"> el que</w:t>
      </w:r>
      <w:r w:rsidR="00A60500" w:rsidRPr="00AC7A12">
        <w:rPr>
          <w:rFonts w:ascii="Arial" w:eastAsia="Calibri" w:hAnsi="Arial" w:cs="Arial"/>
          <w:color w:val="000000" w:themeColor="text1"/>
          <w:sz w:val="22"/>
          <w:szCs w:val="22"/>
          <w:lang w:val="es-ES_tradnl"/>
        </w:rPr>
        <w:t xml:space="preserve"> refleje mejores indicadores de capacidad financiera y organizacional</w:t>
      </w:r>
      <w:r w:rsidR="007B6008">
        <w:rPr>
          <w:rFonts w:ascii="Arial" w:eastAsia="Calibri" w:hAnsi="Arial" w:cs="Arial"/>
          <w:color w:val="000000" w:themeColor="text1"/>
          <w:sz w:val="22"/>
          <w:szCs w:val="22"/>
          <w:lang w:val="es-ES_tradnl"/>
        </w:rPr>
        <w:t>,</w:t>
      </w:r>
      <w:r w:rsidR="00196292">
        <w:rPr>
          <w:rFonts w:ascii="Arial" w:eastAsia="Calibri" w:hAnsi="Arial" w:cs="Arial"/>
          <w:color w:val="000000" w:themeColor="text1"/>
          <w:sz w:val="22"/>
          <w:szCs w:val="22"/>
          <w:lang w:val="es-ES_tradnl"/>
        </w:rPr>
        <w:t xml:space="preserve"> </w:t>
      </w:r>
      <w:r w:rsidR="00196292"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sidR="00196292">
        <w:rPr>
          <w:rFonts w:ascii="Arial" w:eastAsia="Calibri" w:hAnsi="Arial" w:cs="Arial"/>
          <w:color w:val="000000" w:themeColor="text1"/>
          <w:sz w:val="22"/>
          <w:szCs w:val="22"/>
          <w:lang w:val="es-ES_tradnl"/>
        </w:rPr>
        <w:t>.</w:t>
      </w:r>
    </w:p>
    <w:p w14:paraId="124A7B85" w14:textId="6F2F87A2" w:rsidR="006466F2" w:rsidRPr="00AC7A12" w:rsidRDefault="00FB0A80"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w:t>
      </w:r>
      <w:r w:rsidR="004565C6" w:rsidRPr="00AC7A12">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7A12">
        <w:rPr>
          <w:rFonts w:ascii="Arial" w:eastAsia="Calibri" w:hAnsi="Arial" w:cs="Arial"/>
          <w:color w:val="000000" w:themeColor="text1"/>
          <w:sz w:val="22"/>
          <w:szCs w:val="22"/>
          <w:lang w:val="es-ES_tradnl"/>
        </w:rPr>
        <w:t xml:space="preserve"> y sustituido por el artículo 3 del Decreto 579 de 2021</w:t>
      </w:r>
      <w:r w:rsidR="004565C6" w:rsidRPr="00AC7A12">
        <w:rPr>
          <w:rFonts w:ascii="Arial" w:eastAsia="Calibri" w:hAnsi="Arial" w:cs="Arial"/>
          <w:color w:val="000000" w:themeColor="text1"/>
          <w:sz w:val="22"/>
          <w:szCs w:val="22"/>
          <w:lang w:val="es-ES_tradnl"/>
        </w:rPr>
        <w:t xml:space="preserve">, no exige que las entidades estatales </w:t>
      </w:r>
      <w:r w:rsidR="004E60CD" w:rsidRPr="00AC7A12">
        <w:rPr>
          <w:rFonts w:ascii="Arial" w:eastAsia="Calibri" w:hAnsi="Arial" w:cs="Arial"/>
          <w:color w:val="000000" w:themeColor="text1"/>
          <w:sz w:val="22"/>
          <w:szCs w:val="22"/>
          <w:lang w:val="es-ES_tradnl"/>
        </w:rPr>
        <w:t>tengan en cuenta</w:t>
      </w:r>
      <w:r w:rsidR="004565C6" w:rsidRPr="00AC7A12">
        <w:rPr>
          <w:rFonts w:ascii="Arial" w:eastAsia="Calibri" w:hAnsi="Arial" w:cs="Arial"/>
          <w:color w:val="000000" w:themeColor="text1"/>
          <w:sz w:val="22"/>
          <w:szCs w:val="22"/>
          <w:lang w:val="es-ES_tradnl"/>
        </w:rPr>
        <w:t xml:space="preserve"> el mejor año</w:t>
      </w:r>
      <w:r w:rsidR="00B53C98" w:rsidRPr="00AC7A12">
        <w:rPr>
          <w:rFonts w:ascii="Arial" w:eastAsia="Calibri" w:hAnsi="Arial" w:cs="Arial"/>
          <w:color w:val="000000" w:themeColor="text1"/>
          <w:sz w:val="22"/>
          <w:szCs w:val="22"/>
          <w:lang w:val="es-ES_tradnl"/>
        </w:rPr>
        <w:t xml:space="preserve"> </w:t>
      </w:r>
      <w:r w:rsidR="00B53C98" w:rsidRPr="00AC7A12">
        <w:rPr>
          <w:rFonts w:ascii="Arial" w:eastAsia="Calibri" w:hAnsi="Arial" w:cs="Arial"/>
          <w:i/>
          <w:iCs/>
          <w:color w:val="000000" w:themeColor="text1"/>
          <w:sz w:val="22"/>
          <w:szCs w:val="22"/>
          <w:lang w:val="es-ES_tradnl"/>
        </w:rPr>
        <w:t>por cada indicador</w:t>
      </w:r>
      <w:r w:rsidR="00851769" w:rsidRPr="00AC7A12">
        <w:rPr>
          <w:rFonts w:ascii="Arial" w:eastAsia="Calibri" w:hAnsi="Arial" w:cs="Arial"/>
          <w:color w:val="000000" w:themeColor="text1"/>
          <w:sz w:val="22"/>
          <w:szCs w:val="22"/>
          <w:lang w:val="es-ES_tradnl"/>
        </w:rPr>
        <w:t>; verbigracia, el mejor año para el índice de liquidez</w:t>
      </w:r>
      <w:r w:rsidR="00EC1E82" w:rsidRPr="00AC7A12">
        <w:rPr>
          <w:rFonts w:ascii="Arial" w:eastAsia="Calibri" w:hAnsi="Arial" w:cs="Arial"/>
          <w:color w:val="000000" w:themeColor="text1"/>
          <w:sz w:val="22"/>
          <w:szCs w:val="22"/>
          <w:lang w:val="es-ES_tradnl"/>
        </w:rPr>
        <w:t>, el mejor año</w:t>
      </w:r>
      <w:r w:rsidR="00A75278" w:rsidRPr="00AC7A12">
        <w:rPr>
          <w:rFonts w:ascii="Arial" w:eastAsia="Calibri" w:hAnsi="Arial" w:cs="Arial"/>
          <w:color w:val="000000" w:themeColor="text1"/>
          <w:sz w:val="22"/>
          <w:szCs w:val="22"/>
          <w:lang w:val="es-ES_tradnl"/>
        </w:rPr>
        <w:t xml:space="preserve"> para el índice de endeudamiento o el mejor año para </w:t>
      </w:r>
      <w:r w:rsidR="00C56A86" w:rsidRPr="00AC7A12">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AC7A12">
        <w:rPr>
          <w:rFonts w:ascii="Arial" w:eastAsia="Calibri" w:hAnsi="Arial" w:cs="Arial"/>
          <w:color w:val="000000" w:themeColor="text1"/>
          <w:sz w:val="22"/>
          <w:szCs w:val="22"/>
          <w:lang w:val="es-ES_tradnl"/>
        </w:rPr>
        <w:t xml:space="preserve">en el que, </w:t>
      </w:r>
      <w:r w:rsidR="00D036D4" w:rsidRPr="00AC7A12">
        <w:rPr>
          <w:rFonts w:ascii="Arial" w:eastAsia="Calibri" w:hAnsi="Arial" w:cs="Arial"/>
          <w:color w:val="000000" w:themeColor="text1"/>
          <w:sz w:val="22"/>
          <w:szCs w:val="22"/>
          <w:lang w:val="es-ES_tradnl"/>
        </w:rPr>
        <w:lastRenderedPageBreak/>
        <w:t xml:space="preserve">analizados conjuntamente todos los indicadores de capacidad financiera y organizacional, el proponente cumpla con dichos requisitos habilitantes. </w:t>
      </w:r>
    </w:p>
    <w:p w14:paraId="18265B7E" w14:textId="49C12817" w:rsidR="00D94C3E" w:rsidRPr="00AC7A12" w:rsidRDefault="00D94C3E"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la referida norma no establece que sean los oferentes los que deb</w:t>
      </w:r>
      <w:r w:rsidR="006F0174" w:rsidRPr="00AC7A12">
        <w:rPr>
          <w:rFonts w:ascii="Arial" w:eastAsia="Calibri" w:hAnsi="Arial" w:cs="Arial"/>
          <w:color w:val="000000" w:themeColor="text1"/>
          <w:sz w:val="22"/>
          <w:szCs w:val="22"/>
          <w:lang w:val="es-ES_tradnl"/>
        </w:rPr>
        <w:t>a</w:t>
      </w:r>
      <w:r w:rsidRPr="00AC7A12">
        <w:rPr>
          <w:rFonts w:ascii="Arial" w:eastAsia="Calibri" w:hAnsi="Arial" w:cs="Arial"/>
          <w:color w:val="000000" w:themeColor="text1"/>
          <w:sz w:val="22"/>
          <w:szCs w:val="22"/>
          <w:lang w:val="es-ES_tradnl"/>
        </w:rPr>
        <w:t xml:space="preserve">n determinar cuál año desean que se les tenga en cuenta como el </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mejor</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 xml:space="preserve"> </w:t>
      </w:r>
      <w:r w:rsidR="004D1208" w:rsidRPr="00AC7A12">
        <w:rPr>
          <w:rFonts w:ascii="Arial" w:eastAsia="Calibri" w:hAnsi="Arial" w:cs="Arial"/>
          <w:color w:val="000000" w:themeColor="text1"/>
          <w:sz w:val="22"/>
          <w:szCs w:val="22"/>
          <w:lang w:val="es-ES_tradnl"/>
        </w:rPr>
        <w:t>al momento de verificar el cumplimiento de los requisitos habilitantes</w:t>
      </w:r>
      <w:r w:rsidR="000B45A6" w:rsidRPr="00AC7A12">
        <w:rPr>
          <w:rFonts w:ascii="Arial" w:eastAsia="Calibri" w:hAnsi="Arial" w:cs="Arial"/>
          <w:color w:val="000000" w:themeColor="text1"/>
          <w:sz w:val="22"/>
          <w:szCs w:val="22"/>
          <w:lang w:val="es-ES_tradnl"/>
        </w:rPr>
        <w:t xml:space="preserve"> de</w:t>
      </w:r>
      <w:r w:rsidR="008C2226" w:rsidRPr="00AC7A12">
        <w:rPr>
          <w:rFonts w:ascii="Arial" w:eastAsia="Calibri" w:hAnsi="Arial" w:cs="Arial"/>
          <w:color w:val="000000" w:themeColor="text1"/>
          <w:sz w:val="22"/>
          <w:szCs w:val="22"/>
          <w:lang w:val="es-ES_tradnl"/>
        </w:rPr>
        <w:t xml:space="preserve"> </w:t>
      </w:r>
      <w:r w:rsidR="000B45A6" w:rsidRPr="00AC7A12">
        <w:rPr>
          <w:rFonts w:ascii="Arial" w:eastAsia="Calibri" w:hAnsi="Arial" w:cs="Arial"/>
          <w:color w:val="000000" w:themeColor="text1"/>
          <w:sz w:val="22"/>
          <w:szCs w:val="22"/>
          <w:lang w:val="es-ES_tradnl"/>
        </w:rPr>
        <w:t>capacidad financiera y organizacional</w:t>
      </w:r>
      <w:r w:rsidR="004D1208" w:rsidRPr="00AC7A12">
        <w:rPr>
          <w:rFonts w:ascii="Arial" w:eastAsia="Calibri" w:hAnsi="Arial" w:cs="Arial"/>
          <w:color w:val="000000" w:themeColor="text1"/>
          <w:sz w:val="22"/>
          <w:szCs w:val="22"/>
          <w:lang w:val="es-ES_tradnl"/>
        </w:rPr>
        <w:t>, nada obsta para que la entidad estatal en el pliego de condiciones o documento equivalente</w:t>
      </w:r>
      <w:r w:rsidR="000B45A6" w:rsidRPr="00AC7A12">
        <w:rPr>
          <w:rFonts w:ascii="Arial" w:eastAsia="Calibri" w:hAnsi="Arial" w:cs="Arial"/>
          <w:color w:val="000000" w:themeColor="text1"/>
          <w:sz w:val="22"/>
          <w:szCs w:val="22"/>
          <w:lang w:val="es-ES_tradnl"/>
        </w:rPr>
        <w:t>, en ejercicio de su libertad de confección de este acto administrativo,</w:t>
      </w:r>
      <w:r w:rsidR="004D1208" w:rsidRPr="00AC7A12">
        <w:rPr>
          <w:rFonts w:ascii="Arial" w:eastAsia="Calibri" w:hAnsi="Arial" w:cs="Arial"/>
          <w:color w:val="000000" w:themeColor="text1"/>
          <w:sz w:val="22"/>
          <w:szCs w:val="22"/>
          <w:lang w:val="es-ES_tradnl"/>
        </w:rPr>
        <w:t xml:space="preserve"> permita que los proponentes </w:t>
      </w:r>
      <w:r w:rsidR="000B45A6" w:rsidRPr="00AC7A12">
        <w:rPr>
          <w:rFonts w:ascii="Arial" w:eastAsia="Calibri" w:hAnsi="Arial" w:cs="Arial"/>
          <w:color w:val="000000" w:themeColor="text1"/>
          <w:sz w:val="22"/>
          <w:szCs w:val="22"/>
          <w:lang w:val="es-ES_tradnl"/>
        </w:rPr>
        <w:t xml:space="preserve">así lo señalen. Sin embargo, </w:t>
      </w:r>
      <w:r w:rsidR="0079799E" w:rsidRPr="00AC7A12">
        <w:rPr>
          <w:rFonts w:ascii="Arial" w:eastAsia="Calibri" w:hAnsi="Arial" w:cs="Arial"/>
          <w:color w:val="000000" w:themeColor="text1"/>
          <w:sz w:val="22"/>
          <w:szCs w:val="22"/>
          <w:lang w:val="es-ES_tradnl"/>
        </w:rPr>
        <w:t>en caso de que un oferente diga en la propuesta cuál, desde su perspectiva</w:t>
      </w:r>
      <w:r w:rsidR="00464121" w:rsidRPr="00AC7A12">
        <w:rPr>
          <w:rFonts w:ascii="Arial" w:eastAsia="Calibri" w:hAnsi="Arial" w:cs="Arial"/>
          <w:color w:val="000000" w:themeColor="text1"/>
          <w:sz w:val="22"/>
          <w:szCs w:val="22"/>
          <w:lang w:val="es-ES_tradnl"/>
        </w:rPr>
        <w:t>,</w:t>
      </w:r>
      <w:r w:rsidR="0079799E" w:rsidRPr="00AC7A12">
        <w:rPr>
          <w:rFonts w:ascii="Arial" w:eastAsia="Calibri" w:hAnsi="Arial" w:cs="Arial"/>
          <w:color w:val="000000" w:themeColor="text1"/>
          <w:sz w:val="22"/>
          <w:szCs w:val="22"/>
          <w:lang w:val="es-ES_tradnl"/>
        </w:rPr>
        <w:t xml:space="preserve"> es el mejor año, </w:t>
      </w:r>
      <w:r w:rsidR="00464121" w:rsidRPr="00AC7A12">
        <w:rPr>
          <w:rFonts w:ascii="Arial" w:eastAsia="Calibri" w:hAnsi="Arial" w:cs="Arial"/>
          <w:color w:val="000000" w:themeColor="text1"/>
          <w:sz w:val="22"/>
          <w:szCs w:val="22"/>
          <w:lang w:val="es-ES_tradnl"/>
        </w:rPr>
        <w:t>tal</w:t>
      </w:r>
      <w:r w:rsidR="0079799E" w:rsidRPr="00AC7A12">
        <w:rPr>
          <w:rFonts w:ascii="Arial" w:eastAsia="Calibri" w:hAnsi="Arial" w:cs="Arial"/>
          <w:color w:val="000000" w:themeColor="text1"/>
          <w:sz w:val="22"/>
          <w:szCs w:val="22"/>
          <w:lang w:val="es-ES_tradnl"/>
        </w:rPr>
        <w:t xml:space="preserve"> </w:t>
      </w:r>
      <w:r w:rsidR="00464121" w:rsidRPr="00AC7A12">
        <w:rPr>
          <w:rFonts w:ascii="Arial" w:eastAsia="Calibri" w:hAnsi="Arial" w:cs="Arial"/>
          <w:color w:val="000000" w:themeColor="text1"/>
          <w:sz w:val="22"/>
          <w:szCs w:val="22"/>
          <w:lang w:val="es-ES_tradnl"/>
        </w:rPr>
        <w:t xml:space="preserve">manifestación </w:t>
      </w:r>
      <w:r w:rsidR="0079799E" w:rsidRPr="00AC7A12">
        <w:rPr>
          <w:rFonts w:ascii="Arial" w:eastAsia="Calibri" w:hAnsi="Arial" w:cs="Arial"/>
          <w:color w:val="000000" w:themeColor="text1"/>
          <w:sz w:val="22"/>
          <w:szCs w:val="22"/>
          <w:lang w:val="es-ES_tradnl"/>
        </w:rPr>
        <w:t xml:space="preserve">tendría un carácter meramente indicativo para la entidad estatal, pues si </w:t>
      </w:r>
      <w:r w:rsidR="00464121" w:rsidRPr="00AC7A12">
        <w:rPr>
          <w:rFonts w:ascii="Arial" w:eastAsia="Calibri" w:hAnsi="Arial" w:cs="Arial"/>
          <w:color w:val="000000" w:themeColor="text1"/>
          <w:sz w:val="22"/>
          <w:szCs w:val="22"/>
          <w:lang w:val="es-ES_tradnl"/>
        </w:rPr>
        <w:t>esta</w:t>
      </w:r>
      <w:r w:rsidR="00616178" w:rsidRPr="00AC7A12">
        <w:rPr>
          <w:rFonts w:ascii="Arial" w:eastAsia="Calibri" w:hAnsi="Arial" w:cs="Arial"/>
          <w:color w:val="000000" w:themeColor="text1"/>
          <w:sz w:val="22"/>
          <w:szCs w:val="22"/>
          <w:lang w:val="es-ES_tradnl"/>
        </w:rPr>
        <w:t xml:space="preserve"> verifica que con ese año –indicado por el proponente– aquel no cumple los requisitos habilitantes de capacidad financiera y organizacional, debe analizar objetivamente </w:t>
      </w:r>
      <w:r w:rsidR="006F0174" w:rsidRPr="00AC7A12">
        <w:rPr>
          <w:rFonts w:ascii="Arial" w:eastAsia="Calibri" w:hAnsi="Arial" w:cs="Arial"/>
          <w:color w:val="000000" w:themeColor="text1"/>
          <w:sz w:val="22"/>
          <w:szCs w:val="22"/>
          <w:lang w:val="es-ES_tradnl"/>
        </w:rPr>
        <w:t>el mejor año en la información que consta en el certificado del RUP</w:t>
      </w:r>
      <w:r w:rsidR="002227AF" w:rsidRPr="00AC7A12">
        <w:rPr>
          <w:rFonts w:ascii="Arial" w:eastAsia="Calibri" w:hAnsi="Arial" w:cs="Arial"/>
          <w:color w:val="000000" w:themeColor="text1"/>
          <w:sz w:val="22"/>
          <w:szCs w:val="22"/>
          <w:lang w:val="es-ES_tradnl"/>
        </w:rPr>
        <w:t xml:space="preserve">. Lo anterior se infiere del </w:t>
      </w:r>
      <w:r w:rsidR="00C6071B" w:rsidRPr="00AC7A12">
        <w:rPr>
          <w:rFonts w:ascii="Arial" w:eastAsia="Calibri" w:hAnsi="Arial" w:cs="Arial"/>
          <w:color w:val="000000" w:themeColor="text1"/>
          <w:sz w:val="22"/>
          <w:szCs w:val="22"/>
          <w:lang w:val="es-ES_tradnl"/>
        </w:rPr>
        <w:t>último inciso del parágrafo transitorio agregado por el artículo 6 del Decreto 399 de 2021</w:t>
      </w:r>
      <w:r w:rsidR="00A86373" w:rsidRPr="00AC7A12">
        <w:rPr>
          <w:rFonts w:ascii="Arial" w:eastAsia="Calibri" w:hAnsi="Arial" w:cs="Arial"/>
          <w:color w:val="000000" w:themeColor="text1"/>
          <w:sz w:val="22"/>
          <w:szCs w:val="22"/>
          <w:lang w:val="es-ES_tradnl"/>
        </w:rPr>
        <w:t xml:space="preserve"> y sustituido por el artículo 3 del Decreto 579 de 2021,</w:t>
      </w:r>
      <w:r w:rsidR="00C6071B" w:rsidRPr="00AC7A12">
        <w:rPr>
          <w:rFonts w:ascii="Arial" w:eastAsia="Calibri" w:hAnsi="Arial" w:cs="Arial"/>
          <w:color w:val="000000" w:themeColor="text1"/>
          <w:sz w:val="22"/>
          <w:szCs w:val="22"/>
          <w:lang w:val="es-ES_tradnl"/>
        </w:rPr>
        <w:t xml:space="preserve"> que establece de manera imperativa que «[…] las Entidades Estatales evaluarán estos indicadores, teniendo en cuenta el mejor año fiscal que se refleje en el registro de cada proponente», independientemente de que el oferente lo haya indicado o no.</w:t>
      </w:r>
    </w:p>
    <w:p w14:paraId="3C0C9445" w14:textId="1A6D2AF8" w:rsidR="008C2226" w:rsidRDefault="008C2226" w:rsidP="006466F2">
      <w:pPr>
        <w:spacing w:before="120" w:line="276" w:lineRule="auto"/>
        <w:ind w:firstLine="709"/>
        <w:jc w:val="both"/>
        <w:rPr>
          <w:rFonts w:ascii="Arial" w:eastAsia="Calibri" w:hAnsi="Arial" w:cs="Arial"/>
          <w:color w:val="000000" w:themeColor="text1"/>
          <w:sz w:val="22"/>
          <w:szCs w:val="22"/>
          <w:lang w:val="es-ES_tradnl"/>
        </w:rPr>
      </w:pPr>
      <w:r w:rsidRPr="00C769AF">
        <w:rPr>
          <w:rFonts w:ascii="Arial" w:eastAsia="Calibri" w:hAnsi="Arial" w:cs="Arial"/>
          <w:color w:val="000000" w:themeColor="text1"/>
          <w:sz w:val="22"/>
          <w:szCs w:val="22"/>
          <w:lang w:val="es-ES_tradnl"/>
        </w:rPr>
        <w:t xml:space="preserve">Se concluye entonces que, según la finalidad </w:t>
      </w:r>
      <w:r w:rsidR="00B23D8C" w:rsidRPr="00C769AF">
        <w:rPr>
          <w:rFonts w:ascii="Arial" w:eastAsia="Calibri" w:hAnsi="Arial" w:cs="Arial"/>
          <w:color w:val="000000" w:themeColor="text1"/>
          <w:sz w:val="22"/>
          <w:szCs w:val="22"/>
          <w:lang w:val="es-ES_tradnl"/>
        </w:rPr>
        <w:t>de</w:t>
      </w:r>
      <w:r w:rsidR="00A25F39">
        <w:rPr>
          <w:rFonts w:ascii="Arial" w:eastAsia="Calibri" w:hAnsi="Arial" w:cs="Arial"/>
          <w:color w:val="000000" w:themeColor="text1"/>
          <w:sz w:val="22"/>
          <w:szCs w:val="22"/>
          <w:lang w:val="es-ES_tradnl"/>
        </w:rPr>
        <w:t xml:space="preserve"> </w:t>
      </w:r>
      <w:r w:rsidR="00B23D8C" w:rsidRPr="00C769AF">
        <w:rPr>
          <w:rFonts w:ascii="Arial" w:eastAsia="Calibri" w:hAnsi="Arial" w:cs="Arial"/>
          <w:color w:val="000000" w:themeColor="text1"/>
          <w:sz w:val="22"/>
          <w:szCs w:val="22"/>
          <w:lang w:val="es-ES_tradnl"/>
        </w:rPr>
        <w:t>l</w:t>
      </w:r>
      <w:r w:rsidR="00A25F39">
        <w:rPr>
          <w:rFonts w:ascii="Arial" w:eastAsia="Calibri" w:hAnsi="Arial" w:cs="Arial"/>
          <w:color w:val="000000" w:themeColor="text1"/>
          <w:sz w:val="22"/>
          <w:szCs w:val="22"/>
          <w:lang w:val="es-ES_tradnl"/>
        </w:rPr>
        <w:t>os</w:t>
      </w:r>
      <w:r w:rsidR="00B23D8C" w:rsidRPr="00C769AF">
        <w:rPr>
          <w:rFonts w:ascii="Arial" w:eastAsia="Calibri" w:hAnsi="Arial" w:cs="Arial"/>
          <w:color w:val="000000" w:themeColor="text1"/>
          <w:sz w:val="22"/>
          <w:szCs w:val="22"/>
          <w:lang w:val="es-ES_tradnl"/>
        </w:rPr>
        <w:t xml:space="preserve"> Decreto</w:t>
      </w:r>
      <w:r w:rsidR="00A25F39">
        <w:rPr>
          <w:rFonts w:ascii="Arial" w:eastAsia="Calibri" w:hAnsi="Arial" w:cs="Arial"/>
          <w:color w:val="000000" w:themeColor="text1"/>
          <w:sz w:val="22"/>
          <w:szCs w:val="22"/>
          <w:lang w:val="es-ES_tradnl"/>
        </w:rPr>
        <w:t>s</w:t>
      </w:r>
      <w:r w:rsidR="00B23D8C" w:rsidRPr="00C769AF">
        <w:rPr>
          <w:rFonts w:ascii="Arial" w:eastAsia="Calibri" w:hAnsi="Arial" w:cs="Arial"/>
          <w:color w:val="000000" w:themeColor="text1"/>
          <w:sz w:val="22"/>
          <w:szCs w:val="22"/>
          <w:lang w:val="es-ES_tradnl"/>
        </w:rPr>
        <w:t xml:space="preserve"> 399</w:t>
      </w:r>
      <w:r w:rsidR="003D7657">
        <w:rPr>
          <w:rFonts w:ascii="Arial" w:eastAsia="Calibri" w:hAnsi="Arial" w:cs="Arial"/>
          <w:color w:val="000000" w:themeColor="text1"/>
          <w:sz w:val="22"/>
          <w:szCs w:val="22"/>
          <w:lang w:val="es-ES_tradnl"/>
        </w:rPr>
        <w:t xml:space="preserve"> y 579</w:t>
      </w:r>
      <w:r w:rsidR="00B23D8C" w:rsidRPr="00C769AF">
        <w:rPr>
          <w:rFonts w:ascii="Arial" w:eastAsia="Calibri" w:hAnsi="Arial" w:cs="Arial"/>
          <w:color w:val="000000" w:themeColor="text1"/>
          <w:sz w:val="22"/>
          <w:szCs w:val="22"/>
          <w:lang w:val="es-ES_tradnl"/>
        </w:rPr>
        <w:t xml:space="preserve"> de 2021</w:t>
      </w:r>
      <w:r w:rsidR="00435CDE" w:rsidRPr="00C769AF">
        <w:rPr>
          <w:rFonts w:ascii="Arial" w:eastAsia="Calibri" w:hAnsi="Arial" w:cs="Arial"/>
          <w:color w:val="000000" w:themeColor="text1"/>
          <w:sz w:val="22"/>
          <w:szCs w:val="22"/>
          <w:lang w:val="es-ES_tradnl"/>
        </w:rPr>
        <w:t>, el «mejor año fiscal» es, objetivamente, aquel en el que</w:t>
      </w:r>
      <w:r w:rsidR="00FC26EA" w:rsidRPr="00C769AF">
        <w:rPr>
          <w:rFonts w:ascii="Arial" w:eastAsia="Calibri" w:hAnsi="Arial" w:cs="Arial"/>
          <w:color w:val="000000" w:themeColor="text1"/>
          <w:sz w:val="22"/>
          <w:szCs w:val="22"/>
          <w:lang w:val="es-ES_tradnl"/>
        </w:rPr>
        <w:t>,</w:t>
      </w:r>
      <w:r w:rsidR="00435CDE" w:rsidRPr="00C769AF">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C769AF">
        <w:rPr>
          <w:rFonts w:ascii="Arial" w:eastAsia="Calibri" w:hAnsi="Arial" w:cs="Arial"/>
          <w:color w:val="000000" w:themeColor="text1"/>
          <w:sz w:val="22"/>
          <w:szCs w:val="22"/>
          <w:lang w:val="es-ES_tradnl"/>
        </w:rPr>
        <w:t xml:space="preserve">el proponente </w:t>
      </w:r>
      <w:r w:rsidR="00A3039C" w:rsidRPr="00C769AF">
        <w:rPr>
          <w:rFonts w:ascii="Arial" w:eastAsia="Calibri" w:hAnsi="Arial" w:cs="Arial"/>
          <w:color w:val="000000" w:themeColor="text1"/>
          <w:sz w:val="22"/>
          <w:szCs w:val="22"/>
          <w:lang w:val="es-ES_tradnl"/>
        </w:rPr>
        <w:t xml:space="preserve">podría </w:t>
      </w:r>
      <w:r w:rsidR="00232C7A" w:rsidRPr="00C769AF">
        <w:rPr>
          <w:rFonts w:ascii="Arial" w:eastAsia="Calibri" w:hAnsi="Arial" w:cs="Arial"/>
          <w:color w:val="000000" w:themeColor="text1"/>
          <w:sz w:val="22"/>
          <w:szCs w:val="22"/>
          <w:lang w:val="es-ES_tradnl"/>
        </w:rPr>
        <w:t>cumpl</w:t>
      </w:r>
      <w:r w:rsidR="00A3039C" w:rsidRPr="00C769AF">
        <w:rPr>
          <w:rFonts w:ascii="Arial" w:eastAsia="Calibri" w:hAnsi="Arial" w:cs="Arial"/>
          <w:color w:val="000000" w:themeColor="text1"/>
          <w:sz w:val="22"/>
          <w:szCs w:val="22"/>
          <w:lang w:val="es-ES_tradnl"/>
        </w:rPr>
        <w:t>ir</w:t>
      </w:r>
      <w:r w:rsidR="00435CDE" w:rsidRPr="00C769AF">
        <w:rPr>
          <w:rFonts w:ascii="Arial" w:eastAsia="Calibri" w:hAnsi="Arial" w:cs="Arial"/>
          <w:color w:val="000000" w:themeColor="text1"/>
          <w:sz w:val="22"/>
          <w:szCs w:val="22"/>
          <w:lang w:val="es-ES_tradnl"/>
        </w:rPr>
        <w:t xml:space="preserve"> estos requisitos habilitantes en el proceso de selección.</w:t>
      </w:r>
      <w:r w:rsidR="00EA6B8C" w:rsidRPr="00C769AF">
        <w:rPr>
          <w:rFonts w:ascii="Arial" w:eastAsia="Calibri" w:hAnsi="Arial" w:cs="Arial"/>
          <w:color w:val="000000" w:themeColor="text1"/>
          <w:sz w:val="22"/>
          <w:szCs w:val="22"/>
          <w:lang w:val="es-ES_tradnl"/>
        </w:rPr>
        <w:t xml:space="preserve"> </w:t>
      </w:r>
      <w:r w:rsidR="001E2F9D" w:rsidRPr="00C769AF">
        <w:rPr>
          <w:rFonts w:ascii="Arial" w:eastAsia="Calibri" w:hAnsi="Arial" w:cs="Arial"/>
          <w:color w:val="000000" w:themeColor="text1"/>
          <w:sz w:val="22"/>
          <w:szCs w:val="22"/>
          <w:lang w:val="es-ES_tradnl"/>
        </w:rPr>
        <w:t>Tales</w:t>
      </w:r>
      <w:r w:rsidR="00EA6B8C" w:rsidRPr="00C769AF">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Pr>
          <w:rFonts w:ascii="Arial" w:eastAsia="Calibri" w:hAnsi="Arial" w:cs="Arial"/>
          <w:color w:val="000000" w:themeColor="text1"/>
          <w:sz w:val="22"/>
          <w:szCs w:val="22"/>
          <w:lang w:val="es-ES_tradnl"/>
        </w:rPr>
        <w:t>planeación</w:t>
      </w:r>
      <w:r w:rsidR="00EA6B8C" w:rsidRPr="00C769AF">
        <w:rPr>
          <w:rFonts w:ascii="Arial" w:eastAsia="Calibri" w:hAnsi="Arial" w:cs="Arial"/>
          <w:color w:val="000000" w:themeColor="text1"/>
          <w:sz w:val="22"/>
          <w:szCs w:val="22"/>
          <w:lang w:val="es-ES_tradnl"/>
        </w:rPr>
        <w:t xml:space="preserve">, que permita establecer índices de capacidad financiera y organizacional </w:t>
      </w:r>
      <w:r w:rsidR="00FC26EA" w:rsidRPr="00C769AF">
        <w:rPr>
          <w:rFonts w:ascii="Arial" w:eastAsia="Calibri" w:hAnsi="Arial" w:cs="Arial"/>
          <w:color w:val="000000" w:themeColor="text1"/>
          <w:sz w:val="22"/>
          <w:szCs w:val="22"/>
          <w:lang w:val="es-ES_tradnl"/>
        </w:rPr>
        <w:t>razonables.</w:t>
      </w:r>
      <w:r w:rsidR="00F864EC" w:rsidRPr="00C769AF">
        <w:rPr>
          <w:rFonts w:ascii="Arial" w:eastAsia="Calibri" w:hAnsi="Arial" w:cs="Arial"/>
          <w:color w:val="000000" w:themeColor="text1"/>
          <w:sz w:val="22"/>
          <w:szCs w:val="22"/>
          <w:lang w:val="es-ES_tradnl"/>
        </w:rPr>
        <w:t xml:space="preserve"> Ahora bien, del hecho de que la entidad estatal deba</w:t>
      </w:r>
      <w:r w:rsidR="006072F7" w:rsidRPr="00C769AF">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C769AF">
        <w:rPr>
          <w:rFonts w:ascii="Arial" w:eastAsia="Calibri" w:hAnsi="Arial" w:cs="Arial"/>
          <w:color w:val="000000" w:themeColor="text1"/>
          <w:sz w:val="22"/>
          <w:szCs w:val="22"/>
          <w:lang w:val="es-ES_tradnl"/>
        </w:rPr>
        <w:t>o se infiere que el proponente siempre cumplirá tales requisitos habilitantes, pues</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precisamente</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ese es el análisis que </w:t>
      </w:r>
      <w:r w:rsidR="00C769AF" w:rsidRPr="00C769AF">
        <w:rPr>
          <w:rFonts w:ascii="Arial" w:eastAsia="Calibri" w:hAnsi="Arial" w:cs="Arial"/>
          <w:color w:val="000000" w:themeColor="text1"/>
          <w:sz w:val="22"/>
          <w:szCs w:val="22"/>
          <w:lang w:val="es-ES_tradnl"/>
        </w:rPr>
        <w:t>deberá</w:t>
      </w:r>
      <w:r w:rsidR="0092660F" w:rsidRPr="00C769AF">
        <w:rPr>
          <w:rFonts w:ascii="Arial" w:eastAsia="Calibri" w:hAnsi="Arial" w:cs="Arial"/>
          <w:color w:val="000000" w:themeColor="text1"/>
          <w:sz w:val="22"/>
          <w:szCs w:val="22"/>
          <w:lang w:val="es-ES_tradnl"/>
        </w:rPr>
        <w:t xml:space="preserve"> hacer la entidad pública</w:t>
      </w:r>
      <w:r w:rsidR="00CE3B2D" w:rsidRPr="00C769AF">
        <w:rPr>
          <w:rFonts w:ascii="Arial" w:eastAsia="Calibri" w:hAnsi="Arial" w:cs="Arial"/>
          <w:color w:val="000000" w:themeColor="text1"/>
          <w:sz w:val="22"/>
          <w:szCs w:val="22"/>
          <w:lang w:val="es-ES_tradnl"/>
        </w:rPr>
        <w:t xml:space="preserve"> con la información disponible en el RUP</w:t>
      </w:r>
      <w:r w:rsidR="0092660F" w:rsidRPr="00C769AF">
        <w:rPr>
          <w:rFonts w:ascii="Arial" w:eastAsia="Calibri" w:hAnsi="Arial" w:cs="Arial"/>
          <w:color w:val="000000" w:themeColor="text1"/>
          <w:sz w:val="22"/>
          <w:szCs w:val="22"/>
          <w:lang w:val="es-ES_tradnl"/>
        </w:rPr>
        <w:t>.</w:t>
      </w:r>
    </w:p>
    <w:p w14:paraId="312742F1" w14:textId="6DDE93AE" w:rsidR="003D7657" w:rsidRPr="000C4CC7" w:rsidRDefault="003D7657" w:rsidP="003D7657">
      <w:pPr>
        <w:spacing w:before="120" w:line="276" w:lineRule="auto"/>
        <w:ind w:firstLine="709"/>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 xml:space="preserve">Ahora bien, la norma </w:t>
      </w:r>
      <w:r w:rsidR="00DE21B3" w:rsidRPr="000C4CC7">
        <w:rPr>
          <w:rFonts w:ascii="Arial" w:eastAsia="Calibri" w:hAnsi="Arial" w:cs="Arial"/>
          <w:color w:val="000000" w:themeColor="text1"/>
          <w:sz w:val="22"/>
          <w:szCs w:val="22"/>
          <w:lang w:val="es-ES_tradnl"/>
        </w:rPr>
        <w:t>analizada en el presente concepto</w:t>
      </w:r>
      <w:r w:rsidRPr="000C4CC7">
        <w:rPr>
          <w:rFonts w:ascii="Arial" w:eastAsia="Calibri" w:hAnsi="Arial" w:cs="Arial"/>
          <w:color w:val="000000" w:themeColor="text1"/>
          <w:sz w:val="22"/>
          <w:szCs w:val="22"/>
          <w:lang w:val="es-ES_tradnl"/>
        </w:rPr>
        <w:t xml:space="preserve">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w:t>
      </w:r>
      <w:r w:rsidRPr="000C4CC7">
        <w:rPr>
          <w:rFonts w:ascii="Arial" w:eastAsia="Calibri" w:hAnsi="Arial" w:cs="Arial"/>
          <w:color w:val="000000" w:themeColor="text1"/>
          <w:sz w:val="22"/>
          <w:szCs w:val="22"/>
          <w:lang w:val="es-ES_tradnl"/>
        </w:rPr>
        <w:lastRenderedPageBreak/>
        <w:t>circunscrita a un contrato estatal, que una vez liquidado, estas formas asociativas dejan de tener vigencia para el tráfico jurídico con la entidad estatal […]»</w:t>
      </w:r>
      <w:r w:rsidRPr="000C4CC7">
        <w:rPr>
          <w:rStyle w:val="Refdenotaalpie"/>
          <w:rFonts w:ascii="Arial" w:eastAsia="Calibri" w:hAnsi="Arial" w:cs="Arial"/>
          <w:color w:val="000000" w:themeColor="text1"/>
          <w:sz w:val="22"/>
          <w:szCs w:val="22"/>
          <w:lang w:val="es-ES_tradnl"/>
        </w:rPr>
        <w:footnoteReference w:id="27"/>
      </w:r>
      <w:r w:rsidRPr="000C4CC7">
        <w:rPr>
          <w:rFonts w:ascii="Arial" w:eastAsia="Calibri" w:hAnsi="Arial" w:cs="Arial"/>
          <w:color w:val="000000" w:themeColor="text1"/>
          <w:sz w:val="22"/>
          <w:szCs w:val="22"/>
          <w:lang w:val="es-ES_tradnl"/>
        </w:rPr>
        <w:t xml:space="preserve">.  </w:t>
      </w:r>
    </w:p>
    <w:p w14:paraId="108CCCFB" w14:textId="3D03F921" w:rsidR="003D7657" w:rsidRPr="000C4CC7" w:rsidRDefault="003D7657">
      <w:pPr>
        <w:spacing w:before="120" w:line="276" w:lineRule="auto"/>
        <w:ind w:firstLine="709"/>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Dado que los consorcios y las uniones temporales carecen de RUP, cuando la norma se refiere a que «</w:t>
      </w:r>
      <w:r w:rsidRPr="000C4CC7">
        <w:rPr>
          <w:rFonts w:ascii="Arial" w:hAnsi="Arial" w:cs="Arial"/>
          <w:sz w:val="22"/>
          <w:szCs w:val="22"/>
          <w:lang w:val="es-ES_tradnl"/>
        </w:rPr>
        <w:t xml:space="preserve">[…] </w:t>
      </w:r>
      <w:r w:rsidRPr="000C4CC7">
        <w:rPr>
          <w:rFonts w:ascii="Arial" w:eastAsia="Calibri" w:hAnsi="Arial" w:cs="Arial"/>
          <w:color w:val="000000" w:themeColor="text1"/>
          <w:sz w:val="22"/>
          <w:szCs w:val="22"/>
          <w:lang w:val="es-ES_tradnl"/>
        </w:rPr>
        <w:t>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w:t>
      </w:r>
      <w:r w:rsidR="00362E19" w:rsidRPr="000C4CC7">
        <w:rPr>
          <w:rFonts w:ascii="Arial" w:eastAsia="Calibri" w:hAnsi="Arial" w:cs="Arial"/>
          <w:color w:val="000000" w:themeColor="text1"/>
          <w:sz w:val="22"/>
          <w:szCs w:val="22"/>
          <w:lang w:val="es-ES_tradnl"/>
        </w:rPr>
        <w:t xml:space="preserve"> conforme a la explicación precedente</w:t>
      </w:r>
      <w:r w:rsidRPr="000C4CC7">
        <w:rPr>
          <w:rFonts w:ascii="Arial" w:eastAsia="Calibri" w:hAnsi="Arial" w:cs="Arial"/>
          <w:color w:val="000000" w:themeColor="text1"/>
          <w:sz w:val="22"/>
          <w:szCs w:val="22"/>
          <w:lang w:val="es-ES_tradnl"/>
        </w:rPr>
        <w:t xml:space="preserve">. </w:t>
      </w:r>
    </w:p>
    <w:p w14:paraId="1BA7D199" w14:textId="77777777" w:rsidR="00042C13" w:rsidRPr="000C4CC7"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0C4CC7" w:rsidRDefault="004177A6" w:rsidP="00510DE9">
      <w:pPr>
        <w:tabs>
          <w:tab w:val="left" w:pos="0"/>
        </w:tabs>
        <w:jc w:val="both"/>
        <w:rPr>
          <w:rFonts w:ascii="Arial" w:eastAsia="Calibri" w:hAnsi="Arial" w:cs="Arial"/>
          <w:b/>
          <w:color w:val="000000" w:themeColor="text1"/>
          <w:sz w:val="22"/>
          <w:lang w:val="es-ES_tradnl"/>
        </w:rPr>
      </w:pPr>
      <w:r w:rsidRPr="000C4CC7">
        <w:rPr>
          <w:rFonts w:ascii="Arial" w:eastAsia="Calibri" w:hAnsi="Arial" w:cs="Arial"/>
          <w:b/>
          <w:color w:val="000000" w:themeColor="text1"/>
          <w:sz w:val="22"/>
          <w:lang w:val="es-ES_tradnl"/>
        </w:rPr>
        <w:t>3</w:t>
      </w:r>
      <w:r w:rsidR="00B011A9" w:rsidRPr="000C4CC7">
        <w:rPr>
          <w:rFonts w:ascii="Arial" w:eastAsia="Calibri" w:hAnsi="Arial" w:cs="Arial"/>
          <w:b/>
          <w:color w:val="000000" w:themeColor="text1"/>
          <w:sz w:val="22"/>
          <w:lang w:val="es-ES_tradnl"/>
        </w:rPr>
        <w:t xml:space="preserve">. </w:t>
      </w:r>
      <w:r w:rsidR="00DD5B04" w:rsidRPr="000C4CC7">
        <w:rPr>
          <w:rFonts w:ascii="Arial" w:eastAsia="Calibri" w:hAnsi="Arial" w:cs="Arial"/>
          <w:b/>
          <w:color w:val="000000" w:themeColor="text1"/>
          <w:sz w:val="22"/>
          <w:lang w:val="es-ES_tradnl"/>
        </w:rPr>
        <w:t>Respuesta</w:t>
      </w:r>
    </w:p>
    <w:p w14:paraId="0B74D5B8" w14:textId="571E2881" w:rsidR="00C4581D" w:rsidRPr="000C4CC7" w:rsidRDefault="00C4581D" w:rsidP="00510DE9">
      <w:pPr>
        <w:tabs>
          <w:tab w:val="left" w:pos="0"/>
        </w:tabs>
        <w:jc w:val="both"/>
        <w:rPr>
          <w:rFonts w:ascii="Arial" w:eastAsia="Calibri" w:hAnsi="Arial" w:cs="Arial"/>
          <w:color w:val="000000" w:themeColor="text1"/>
          <w:sz w:val="22"/>
          <w:lang w:val="es-ES_tradnl"/>
        </w:rPr>
      </w:pPr>
    </w:p>
    <w:p w14:paraId="1017758B" w14:textId="5656EFF9" w:rsidR="00CA4D48" w:rsidRPr="000C4CC7" w:rsidRDefault="00746EAE" w:rsidP="0031475A">
      <w:pPr>
        <w:spacing w:after="120"/>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i. ¿Cuál sería entonces la vigencia de aplicación de estos decretos?</w:t>
      </w:r>
    </w:p>
    <w:p w14:paraId="4FDFE47C" w14:textId="5B4D3B3E" w:rsidR="00256C76" w:rsidRPr="000C4CC7" w:rsidRDefault="00256C76" w:rsidP="00746EAE">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ii. ¿Solo se podrá aplicar hasta el año 2022, o la continuidad de la aplicación estará sujeta al comportamiento económico mundial?</w:t>
      </w:r>
    </w:p>
    <w:p w14:paraId="31F64A72" w14:textId="77777777" w:rsidR="00CA4D48" w:rsidRPr="000C4CC7" w:rsidRDefault="00CA4D48">
      <w:pPr>
        <w:ind w:left="709" w:right="709"/>
        <w:jc w:val="both"/>
        <w:rPr>
          <w:rFonts w:ascii="Arial" w:hAnsi="Arial" w:cs="Arial"/>
          <w:color w:val="000000" w:themeColor="text1"/>
          <w:sz w:val="21"/>
          <w:szCs w:val="21"/>
          <w:lang w:val="es-ES_tradnl"/>
        </w:rPr>
      </w:pPr>
    </w:p>
    <w:p w14:paraId="70CB813C" w14:textId="0B0EF308" w:rsidR="00C174C6" w:rsidRPr="000C4CC7" w:rsidRDefault="00F41147" w:rsidP="0031475A">
      <w:pPr>
        <w:spacing w:before="120" w:line="276" w:lineRule="auto"/>
        <w:jc w:val="both"/>
        <w:rPr>
          <w:rFonts w:ascii="Arial" w:hAnsi="Arial" w:cs="Arial"/>
          <w:color w:val="000000" w:themeColor="text1"/>
          <w:sz w:val="21"/>
          <w:szCs w:val="21"/>
          <w:lang w:val="es-ES_tradnl"/>
        </w:rPr>
      </w:pPr>
      <w:r w:rsidRPr="000C4CC7">
        <w:rPr>
          <w:rFonts w:ascii="Arial" w:hAnsi="Arial" w:cs="Arial"/>
          <w:color w:val="000000" w:themeColor="text1"/>
          <w:sz w:val="22"/>
          <w:szCs w:val="22"/>
          <w:lang w:val="es-ES_tradnl"/>
        </w:rPr>
        <w:t>Los</w:t>
      </w:r>
      <w:r w:rsidR="006D6B4D" w:rsidRPr="000C4CC7">
        <w:rPr>
          <w:rFonts w:ascii="Arial" w:hAnsi="Arial" w:cs="Arial"/>
          <w:color w:val="000000" w:themeColor="text1"/>
          <w:sz w:val="22"/>
          <w:szCs w:val="22"/>
          <w:lang w:val="es-ES_tradnl"/>
        </w:rPr>
        <w:t xml:space="preserve"> Decreto</w:t>
      </w:r>
      <w:r w:rsidRPr="000C4CC7">
        <w:rPr>
          <w:rFonts w:ascii="Arial" w:hAnsi="Arial" w:cs="Arial"/>
          <w:color w:val="000000" w:themeColor="text1"/>
          <w:sz w:val="22"/>
          <w:szCs w:val="22"/>
          <w:lang w:val="es-ES_tradnl"/>
        </w:rPr>
        <w:t>s</w:t>
      </w:r>
      <w:r w:rsidR="006D6B4D" w:rsidRPr="000C4CC7">
        <w:rPr>
          <w:rFonts w:ascii="Arial" w:hAnsi="Arial" w:cs="Arial"/>
          <w:color w:val="000000" w:themeColor="text1"/>
          <w:sz w:val="22"/>
          <w:szCs w:val="22"/>
          <w:lang w:val="es-ES_tradnl"/>
        </w:rPr>
        <w:t xml:space="preserve"> 399 </w:t>
      </w:r>
      <w:r w:rsidRPr="000C4CC7">
        <w:rPr>
          <w:rFonts w:ascii="Arial" w:hAnsi="Arial" w:cs="Arial"/>
          <w:color w:val="000000" w:themeColor="text1"/>
          <w:sz w:val="22"/>
          <w:szCs w:val="22"/>
          <w:lang w:val="es-ES_tradnl"/>
        </w:rPr>
        <w:t>y</w:t>
      </w:r>
      <w:r w:rsidR="006D6B4D" w:rsidRPr="000C4CC7">
        <w:rPr>
          <w:rFonts w:ascii="Arial" w:hAnsi="Arial" w:cs="Arial"/>
          <w:color w:val="000000" w:themeColor="text1"/>
          <w:sz w:val="22"/>
          <w:szCs w:val="22"/>
          <w:lang w:val="es-ES_tradnl"/>
        </w:rPr>
        <w:t xml:space="preserve"> 579 de 2021 son normas reglamentarias de la Ley 1150 de 2007</w:t>
      </w:r>
      <w:r w:rsidR="00C174C6" w:rsidRPr="000C4CC7">
        <w:rPr>
          <w:rFonts w:ascii="Arial" w:hAnsi="Arial" w:cs="Arial"/>
          <w:color w:val="000000" w:themeColor="text1"/>
          <w:sz w:val="22"/>
          <w:szCs w:val="22"/>
          <w:lang w:val="es-ES_tradnl"/>
        </w:rPr>
        <w:t>, incorporadas al Decreto 1082 de 2015,</w:t>
      </w:r>
      <w:r w:rsidR="006D6B4D" w:rsidRPr="000C4CC7">
        <w:rPr>
          <w:rFonts w:ascii="Arial" w:hAnsi="Arial" w:cs="Arial"/>
          <w:color w:val="000000" w:themeColor="text1"/>
          <w:sz w:val="22"/>
          <w:szCs w:val="22"/>
          <w:lang w:val="es-ES_tradnl"/>
        </w:rPr>
        <w:t xml:space="preserve"> que rigen desde su publicación</w:t>
      </w:r>
      <w:r w:rsidR="00EA30E3" w:rsidRPr="000C4CC7">
        <w:rPr>
          <w:rFonts w:ascii="Arial" w:hAnsi="Arial" w:cs="Arial"/>
          <w:color w:val="000000" w:themeColor="text1"/>
          <w:sz w:val="22"/>
          <w:szCs w:val="22"/>
          <w:lang w:val="es-ES_tradnl"/>
        </w:rPr>
        <w:t>.</w:t>
      </w:r>
      <w:r w:rsidR="006D6B4D" w:rsidRPr="000C4CC7">
        <w:rPr>
          <w:rFonts w:ascii="Arial" w:hAnsi="Arial" w:cs="Arial"/>
          <w:color w:val="000000" w:themeColor="text1"/>
          <w:sz w:val="22"/>
          <w:szCs w:val="22"/>
          <w:lang w:val="es-ES_tradnl"/>
        </w:rPr>
        <w:t xml:space="preserve"> </w:t>
      </w:r>
      <w:r w:rsidR="00EA30E3" w:rsidRPr="000C4CC7">
        <w:rPr>
          <w:rFonts w:ascii="Arial" w:hAnsi="Arial" w:cs="Arial"/>
          <w:color w:val="000000" w:themeColor="text1"/>
          <w:sz w:val="22"/>
          <w:szCs w:val="22"/>
          <w:lang w:val="es-ES_tradnl"/>
        </w:rPr>
        <w:t>N</w:t>
      </w:r>
      <w:r w:rsidR="006D6B4D" w:rsidRPr="000C4CC7">
        <w:rPr>
          <w:rFonts w:ascii="Arial" w:hAnsi="Arial" w:cs="Arial"/>
          <w:color w:val="000000" w:themeColor="text1"/>
          <w:sz w:val="22"/>
          <w:szCs w:val="22"/>
          <w:lang w:val="es-ES_tradnl"/>
        </w:rPr>
        <w:t>o obstante, los parágrafos transitorios delimitan su campo de acción</w:t>
      </w:r>
      <w:r w:rsidR="00C174C6" w:rsidRPr="000C4CC7">
        <w:rPr>
          <w:rFonts w:ascii="Arial" w:hAnsi="Arial" w:cs="Arial"/>
          <w:color w:val="000000" w:themeColor="text1"/>
          <w:sz w:val="22"/>
          <w:szCs w:val="22"/>
          <w:lang w:val="es-ES_tradnl"/>
        </w:rPr>
        <w:t xml:space="preserve"> temporalmente</w:t>
      </w:r>
      <w:r w:rsidR="0046105E" w:rsidRPr="000C4CC7">
        <w:rPr>
          <w:rFonts w:ascii="Arial" w:hAnsi="Arial" w:cs="Arial"/>
          <w:color w:val="000000" w:themeColor="text1"/>
          <w:sz w:val="22"/>
          <w:szCs w:val="22"/>
          <w:lang w:val="es-ES_tradnl"/>
        </w:rPr>
        <w:t>,</w:t>
      </w:r>
      <w:r w:rsidR="00C174C6" w:rsidRPr="000C4CC7">
        <w:rPr>
          <w:rFonts w:ascii="Arial" w:hAnsi="Arial" w:cs="Arial"/>
          <w:color w:val="000000" w:themeColor="text1"/>
          <w:sz w:val="22"/>
          <w:szCs w:val="22"/>
          <w:lang w:val="es-ES_tradnl"/>
        </w:rPr>
        <w:t xml:space="preserve"> pues serán aplicables</w:t>
      </w:r>
      <w:r w:rsidR="006D6B4D" w:rsidRPr="000C4CC7">
        <w:rPr>
          <w:rFonts w:ascii="Arial" w:hAnsi="Arial" w:cs="Arial"/>
          <w:color w:val="000000" w:themeColor="text1"/>
          <w:sz w:val="22"/>
          <w:szCs w:val="22"/>
          <w:lang w:val="es-ES_tradnl"/>
        </w:rPr>
        <w:t xml:space="preserve"> para la inscripción de información </w:t>
      </w:r>
      <w:r w:rsidR="0046105E" w:rsidRPr="000C4CC7">
        <w:rPr>
          <w:rFonts w:ascii="Arial" w:hAnsi="Arial" w:cs="Arial"/>
          <w:color w:val="000000" w:themeColor="text1"/>
          <w:sz w:val="22"/>
          <w:szCs w:val="22"/>
          <w:lang w:val="es-ES_tradnl"/>
        </w:rPr>
        <w:t xml:space="preserve">financiera y </w:t>
      </w:r>
      <w:r w:rsidR="006D6B4D" w:rsidRPr="000C4CC7">
        <w:rPr>
          <w:rFonts w:ascii="Arial" w:hAnsi="Arial" w:cs="Arial"/>
          <w:color w:val="000000" w:themeColor="text1"/>
          <w:sz w:val="22"/>
          <w:szCs w:val="22"/>
          <w:lang w:val="es-ES_tradnl"/>
        </w:rPr>
        <w:t>contable en el RUP desde 1° de junio de 2021 y también se aplicarán para la inscripción o renovación del RUP en el año 2022,</w:t>
      </w:r>
      <w:r w:rsidR="00C174C6" w:rsidRPr="000C4CC7">
        <w:rPr>
          <w:rFonts w:ascii="Arial" w:hAnsi="Arial" w:cs="Arial"/>
          <w:color w:val="000000" w:themeColor="text1"/>
          <w:sz w:val="22"/>
          <w:szCs w:val="22"/>
          <w:lang w:val="es-ES_tradnl"/>
        </w:rPr>
        <w:t xml:space="preserve"> información que a su vez será certificada por las cámaras de comercio y evaluada por las entidades estatales según las reglas transitorias explicadas en el acápite</w:t>
      </w:r>
      <w:r w:rsidR="00AF4210" w:rsidRPr="000C4CC7">
        <w:rPr>
          <w:rFonts w:ascii="Arial" w:hAnsi="Arial" w:cs="Arial"/>
          <w:color w:val="000000" w:themeColor="text1"/>
          <w:sz w:val="22"/>
          <w:szCs w:val="22"/>
          <w:lang w:val="es-ES_tradnl"/>
        </w:rPr>
        <w:t xml:space="preserve"> anterior</w:t>
      </w:r>
      <w:r w:rsidR="00C174C6" w:rsidRPr="000C4CC7">
        <w:rPr>
          <w:rFonts w:ascii="Arial" w:hAnsi="Arial" w:cs="Arial"/>
          <w:color w:val="000000" w:themeColor="text1"/>
          <w:sz w:val="22"/>
          <w:szCs w:val="22"/>
          <w:lang w:val="es-ES_tradnl"/>
        </w:rPr>
        <w:t>.</w:t>
      </w:r>
      <w:r w:rsidR="00B72910" w:rsidRPr="000C4CC7">
        <w:rPr>
          <w:rFonts w:ascii="Arial" w:hAnsi="Arial" w:cs="Arial"/>
          <w:color w:val="000000" w:themeColor="text1"/>
          <w:sz w:val="22"/>
          <w:szCs w:val="22"/>
          <w:lang w:val="es-ES_tradnl"/>
        </w:rPr>
        <w:t xml:space="preserve"> Mientras el Gobierno Nacional no modifique la reglamentación transitoria</w:t>
      </w:r>
      <w:r w:rsidR="002F3899" w:rsidRPr="000C4CC7">
        <w:rPr>
          <w:rFonts w:ascii="Arial" w:hAnsi="Arial" w:cs="Arial"/>
          <w:color w:val="000000" w:themeColor="text1"/>
          <w:sz w:val="22"/>
          <w:szCs w:val="22"/>
          <w:lang w:val="es-ES_tradnl"/>
        </w:rPr>
        <w:t>, esta solo regirá en los años mencionados.</w:t>
      </w:r>
      <w:r w:rsidR="006D6B4D" w:rsidRPr="000C4CC7">
        <w:rPr>
          <w:rFonts w:ascii="Arial" w:hAnsi="Arial" w:cs="Arial"/>
          <w:color w:val="000000" w:themeColor="text1"/>
          <w:sz w:val="22"/>
          <w:szCs w:val="22"/>
          <w:lang w:val="es-ES_tradnl"/>
        </w:rPr>
        <w:t xml:space="preserve"> </w:t>
      </w:r>
    </w:p>
    <w:p w14:paraId="07789AC6" w14:textId="77777777" w:rsidR="00746EAE" w:rsidRPr="000C4CC7" w:rsidRDefault="00746EAE" w:rsidP="00746EAE">
      <w:pPr>
        <w:ind w:right="709"/>
        <w:jc w:val="both"/>
        <w:rPr>
          <w:rFonts w:ascii="Arial" w:hAnsi="Arial" w:cs="Arial"/>
          <w:color w:val="000000" w:themeColor="text1"/>
          <w:sz w:val="21"/>
          <w:szCs w:val="21"/>
          <w:lang w:val="es-ES_tradnl"/>
        </w:rPr>
      </w:pPr>
    </w:p>
    <w:p w14:paraId="38D6439F" w14:textId="255A8EDA" w:rsidR="00746EAE" w:rsidRPr="000C4CC7" w:rsidRDefault="00746EAE" w:rsidP="00746EAE">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 xml:space="preserve">iii. ¿Las compañías extranjeras con o sin presencia nacional tendrán el mismo trato que una nacional respecto a los beneficios que trae la aplicación de estos decretos? </w:t>
      </w:r>
    </w:p>
    <w:p w14:paraId="1E27102C" w14:textId="5BA42CB1" w:rsidR="0046105E" w:rsidRPr="000C4CC7" w:rsidRDefault="0046105E" w:rsidP="00746EAE">
      <w:pPr>
        <w:ind w:left="709" w:right="709"/>
        <w:jc w:val="both"/>
        <w:rPr>
          <w:rFonts w:ascii="Arial" w:hAnsi="Arial" w:cs="Arial"/>
          <w:color w:val="000000" w:themeColor="text1"/>
          <w:sz w:val="21"/>
          <w:szCs w:val="21"/>
          <w:lang w:val="es-ES_tradnl"/>
        </w:rPr>
      </w:pPr>
    </w:p>
    <w:p w14:paraId="445371CB" w14:textId="212C96CF" w:rsidR="0046105E" w:rsidRPr="000C4CC7" w:rsidRDefault="00530027" w:rsidP="0046105E">
      <w:pPr>
        <w:spacing w:line="276" w:lineRule="auto"/>
        <w:jc w:val="both"/>
        <w:rPr>
          <w:rFonts w:ascii="Arial" w:hAnsi="Arial" w:cs="Arial"/>
          <w:color w:val="000000" w:themeColor="text1"/>
          <w:sz w:val="22"/>
          <w:szCs w:val="22"/>
          <w:lang w:val="es-ES_tradnl"/>
        </w:rPr>
      </w:pPr>
      <w:r w:rsidRPr="000C4CC7">
        <w:rPr>
          <w:rFonts w:ascii="Arial" w:hAnsi="Arial" w:cs="Arial"/>
          <w:color w:val="000000" w:themeColor="text1"/>
          <w:sz w:val="22"/>
          <w:szCs w:val="22"/>
          <w:lang w:val="es-ES_tradnl"/>
        </w:rPr>
        <w:t xml:space="preserve">Según el </w:t>
      </w:r>
      <w:r w:rsidR="00F67DA8" w:rsidRPr="000C4CC7">
        <w:rPr>
          <w:rFonts w:ascii="Arial" w:hAnsi="Arial" w:cs="Arial"/>
          <w:color w:val="000000" w:themeColor="text1"/>
          <w:sz w:val="22"/>
          <w:szCs w:val="22"/>
          <w:lang w:val="es-ES_tradnl"/>
        </w:rPr>
        <w:t xml:space="preserve">inciso primero del </w:t>
      </w:r>
      <w:r w:rsidRPr="000C4CC7">
        <w:rPr>
          <w:rFonts w:ascii="Arial" w:hAnsi="Arial" w:cs="Arial"/>
          <w:color w:val="000000" w:themeColor="text1"/>
          <w:sz w:val="22"/>
          <w:szCs w:val="22"/>
          <w:lang w:val="es-ES_tradnl"/>
        </w:rPr>
        <w:t>artículo 6 de la Ley 1150 de 2007</w:t>
      </w:r>
      <w:r w:rsidR="00D11ED6" w:rsidRPr="000C4CC7">
        <w:rPr>
          <w:rFonts w:ascii="Arial" w:hAnsi="Arial" w:cs="Arial"/>
          <w:color w:val="000000" w:themeColor="text1"/>
          <w:sz w:val="22"/>
          <w:szCs w:val="22"/>
          <w:lang w:val="es-ES_tradnl"/>
        </w:rPr>
        <w:t xml:space="preserve">, el </w:t>
      </w:r>
      <w:r w:rsidR="00F67DA8" w:rsidRPr="000C4CC7">
        <w:rPr>
          <w:rFonts w:ascii="Arial" w:hAnsi="Arial" w:cs="Arial"/>
          <w:color w:val="000000" w:themeColor="text1"/>
          <w:sz w:val="22"/>
          <w:szCs w:val="22"/>
          <w:lang w:val="es-ES_tradnl"/>
        </w:rPr>
        <w:t>RUP es obligatorio para</w:t>
      </w:r>
      <w:r w:rsidR="00B20200" w:rsidRPr="000C4CC7">
        <w:rPr>
          <w:rFonts w:ascii="Arial" w:hAnsi="Arial" w:cs="Arial"/>
          <w:color w:val="000000" w:themeColor="text1"/>
          <w:sz w:val="22"/>
          <w:szCs w:val="22"/>
          <w:lang w:val="es-ES_tradnl"/>
        </w:rPr>
        <w:t xml:space="preserve"> las</w:t>
      </w:r>
      <w:r w:rsidR="007E1C90" w:rsidRPr="000C4CC7">
        <w:rPr>
          <w:rFonts w:ascii="Arial" w:hAnsi="Arial" w:cs="Arial"/>
          <w:color w:val="000000" w:themeColor="text1"/>
          <w:sz w:val="22"/>
          <w:szCs w:val="22"/>
          <w:lang w:val="es-ES_tradnl"/>
        </w:rPr>
        <w:t xml:space="preserve"> personas jurídicas</w:t>
      </w:r>
      <w:r w:rsidR="00B20200" w:rsidRPr="000C4CC7">
        <w:rPr>
          <w:rFonts w:ascii="Arial" w:hAnsi="Arial" w:cs="Arial"/>
          <w:color w:val="000000" w:themeColor="text1"/>
          <w:sz w:val="22"/>
          <w:szCs w:val="22"/>
          <w:lang w:val="es-ES_tradnl"/>
        </w:rPr>
        <w:t xml:space="preserve"> extranjeras domiciliadas o con sucursal</w:t>
      </w:r>
      <w:r w:rsidR="00BB2AEC" w:rsidRPr="000C4CC7">
        <w:rPr>
          <w:rFonts w:ascii="Arial" w:hAnsi="Arial" w:cs="Arial"/>
          <w:color w:val="000000" w:themeColor="text1"/>
          <w:sz w:val="22"/>
          <w:szCs w:val="22"/>
          <w:lang w:val="es-ES_tradnl"/>
        </w:rPr>
        <w:t xml:space="preserve"> en Colombia</w:t>
      </w:r>
      <w:r w:rsidR="009F2D06" w:rsidRPr="000C4CC7">
        <w:rPr>
          <w:rFonts w:ascii="Arial" w:hAnsi="Arial" w:cs="Arial"/>
          <w:color w:val="000000" w:themeColor="text1"/>
          <w:sz w:val="22"/>
          <w:szCs w:val="22"/>
          <w:lang w:val="es-ES_tradnl"/>
        </w:rPr>
        <w:t>, siendo destinatarias del contenido de los Decretos</w:t>
      </w:r>
      <w:r w:rsidR="00E66E67" w:rsidRPr="000C4CC7">
        <w:rPr>
          <w:rFonts w:ascii="Arial" w:hAnsi="Arial" w:cs="Arial"/>
          <w:color w:val="000000" w:themeColor="text1"/>
          <w:sz w:val="22"/>
          <w:szCs w:val="22"/>
          <w:lang w:val="es-ES_tradnl"/>
        </w:rPr>
        <w:t xml:space="preserve"> 399 y 579 de 2021</w:t>
      </w:r>
      <w:r w:rsidR="00CA057F" w:rsidRPr="000C4CC7">
        <w:rPr>
          <w:rFonts w:ascii="Arial" w:hAnsi="Arial" w:cs="Arial"/>
          <w:color w:val="000000" w:themeColor="text1"/>
          <w:sz w:val="22"/>
          <w:szCs w:val="22"/>
          <w:lang w:val="es-ES_tradnl"/>
        </w:rPr>
        <w:t xml:space="preserve">. </w:t>
      </w:r>
      <w:r w:rsidR="00AB09F9" w:rsidRPr="000C4CC7">
        <w:rPr>
          <w:rFonts w:ascii="Arial" w:hAnsi="Arial" w:cs="Arial"/>
          <w:i/>
          <w:iCs/>
          <w:color w:val="000000" w:themeColor="text1"/>
          <w:sz w:val="22"/>
          <w:szCs w:val="22"/>
          <w:lang w:val="es-ES_tradnl"/>
        </w:rPr>
        <w:t>Contrario sensu</w:t>
      </w:r>
      <w:r w:rsidR="00AB09F9" w:rsidRPr="000C4CC7">
        <w:rPr>
          <w:rFonts w:ascii="Arial" w:hAnsi="Arial" w:cs="Arial"/>
          <w:color w:val="000000" w:themeColor="text1"/>
          <w:sz w:val="22"/>
          <w:szCs w:val="22"/>
          <w:lang w:val="es-ES_tradnl"/>
        </w:rPr>
        <w:t xml:space="preserve">, </w:t>
      </w:r>
      <w:r w:rsidRPr="000C4CC7">
        <w:rPr>
          <w:rFonts w:ascii="Arial" w:hAnsi="Arial" w:cs="Arial"/>
          <w:color w:val="000000" w:themeColor="text1"/>
          <w:sz w:val="22"/>
          <w:szCs w:val="22"/>
          <w:lang w:val="es-ES_tradnl"/>
        </w:rPr>
        <w:t>l</w:t>
      </w:r>
      <w:r w:rsidR="0046105E" w:rsidRPr="000C4CC7">
        <w:rPr>
          <w:rFonts w:ascii="Arial" w:hAnsi="Arial" w:cs="Arial"/>
          <w:color w:val="000000" w:themeColor="text1"/>
          <w:sz w:val="22"/>
          <w:szCs w:val="22"/>
          <w:lang w:val="es-ES_tradnl"/>
        </w:rPr>
        <w:t xml:space="preserve">os </w:t>
      </w:r>
      <w:r w:rsidR="0046105E" w:rsidRPr="000C4CC7">
        <w:rPr>
          <w:rFonts w:ascii="Arial" w:hAnsi="Arial" w:cs="Arial"/>
          <w:color w:val="000000" w:themeColor="text1"/>
          <w:sz w:val="22"/>
          <w:szCs w:val="22"/>
          <w:lang w:val="es-ES_tradnl"/>
        </w:rPr>
        <w:lastRenderedPageBreak/>
        <w:t xml:space="preserve">proveedores extranjeros sin domicilio o sucursal en </w:t>
      </w:r>
      <w:r w:rsidR="00097B85" w:rsidRPr="000C4CC7">
        <w:rPr>
          <w:rFonts w:ascii="Arial" w:hAnsi="Arial" w:cs="Arial"/>
          <w:color w:val="000000" w:themeColor="text1"/>
          <w:sz w:val="22"/>
          <w:szCs w:val="22"/>
          <w:lang w:val="es-ES_tradnl"/>
        </w:rPr>
        <w:t xml:space="preserve">el territorio nacional </w:t>
      </w:r>
      <w:r w:rsidR="0046105E" w:rsidRPr="000C4CC7">
        <w:rPr>
          <w:rFonts w:ascii="Arial" w:hAnsi="Arial" w:cs="Arial"/>
          <w:color w:val="000000" w:themeColor="text1"/>
          <w:sz w:val="22"/>
          <w:szCs w:val="22"/>
          <w:lang w:val="es-ES_tradnl"/>
        </w:rPr>
        <w:t xml:space="preserve">no están obligados </w:t>
      </w:r>
      <w:r w:rsidR="0018149F" w:rsidRPr="000C4CC7">
        <w:rPr>
          <w:rFonts w:ascii="Arial" w:hAnsi="Arial" w:cs="Arial"/>
          <w:color w:val="000000" w:themeColor="text1"/>
          <w:sz w:val="22"/>
          <w:szCs w:val="22"/>
          <w:lang w:val="es-ES_tradnl"/>
        </w:rPr>
        <w:t>a la inscripción en el registro</w:t>
      </w:r>
      <w:r w:rsidR="00BB2AEC" w:rsidRPr="000C4CC7">
        <w:rPr>
          <w:rFonts w:ascii="Arial" w:hAnsi="Arial" w:cs="Arial"/>
          <w:color w:val="000000" w:themeColor="text1"/>
          <w:sz w:val="22"/>
          <w:szCs w:val="22"/>
          <w:lang w:val="es-ES_tradnl"/>
        </w:rPr>
        <w:t>,</w:t>
      </w:r>
      <w:r w:rsidR="0046105E" w:rsidRPr="000C4CC7">
        <w:rPr>
          <w:rFonts w:ascii="Arial" w:hAnsi="Arial" w:cs="Arial"/>
          <w:color w:val="000000" w:themeColor="text1"/>
          <w:sz w:val="22"/>
          <w:szCs w:val="22"/>
          <w:lang w:val="es-ES_tradnl"/>
        </w:rPr>
        <w:t xml:space="preserve"> por lo cual </w:t>
      </w:r>
      <w:r w:rsidR="00863FD6" w:rsidRPr="000C4CC7">
        <w:rPr>
          <w:rFonts w:ascii="Arial" w:hAnsi="Arial" w:cs="Arial"/>
          <w:color w:val="000000" w:themeColor="text1"/>
          <w:sz w:val="22"/>
          <w:szCs w:val="22"/>
          <w:lang w:val="es-ES_tradnl"/>
        </w:rPr>
        <w:t xml:space="preserve">los reglamentos citados </w:t>
      </w:r>
      <w:r w:rsidR="00C41642" w:rsidRPr="000C4CC7">
        <w:rPr>
          <w:rFonts w:ascii="Arial" w:hAnsi="Arial" w:cs="Arial"/>
          <w:color w:val="000000" w:themeColor="text1"/>
          <w:sz w:val="22"/>
          <w:szCs w:val="22"/>
          <w:lang w:val="es-ES_tradnl"/>
        </w:rPr>
        <w:t>son inaplicables por sustracción de materia</w:t>
      </w:r>
      <w:r w:rsidR="0046105E" w:rsidRPr="000C4CC7">
        <w:rPr>
          <w:rFonts w:ascii="Arial" w:hAnsi="Arial" w:cs="Arial"/>
          <w:color w:val="000000" w:themeColor="text1"/>
          <w:sz w:val="22"/>
          <w:szCs w:val="22"/>
          <w:lang w:val="es-ES_tradnl"/>
        </w:rPr>
        <w:t>.</w:t>
      </w:r>
    </w:p>
    <w:p w14:paraId="0EECEC41" w14:textId="77777777" w:rsidR="00746EAE" w:rsidRPr="000C4CC7" w:rsidRDefault="00746EAE" w:rsidP="00746EAE">
      <w:pPr>
        <w:ind w:right="709"/>
        <w:jc w:val="both"/>
        <w:rPr>
          <w:rFonts w:ascii="Arial" w:hAnsi="Arial" w:cs="Arial"/>
          <w:color w:val="000000" w:themeColor="text1"/>
          <w:sz w:val="21"/>
          <w:szCs w:val="21"/>
          <w:lang w:val="es-ES_tradnl"/>
        </w:rPr>
      </w:pPr>
    </w:p>
    <w:p w14:paraId="323023A6" w14:textId="1239D214" w:rsidR="00746EAE" w:rsidRPr="000C4CC7" w:rsidRDefault="00746EAE" w:rsidP="0031475A">
      <w:pPr>
        <w:spacing w:after="120"/>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iv. ¿El proponente es quien selecciona el año fiscal con el que desea ser evaluado?</w:t>
      </w:r>
    </w:p>
    <w:p w14:paraId="702C288A" w14:textId="79495F67" w:rsidR="0046105E" w:rsidRPr="000C4CC7" w:rsidRDefault="0046105E" w:rsidP="0031475A">
      <w:pPr>
        <w:spacing w:after="120"/>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v.  ¿La Entidad tendrá el libre albedrío de evaluar al proponente con el año que a su consideración sea el mejor?</w:t>
      </w:r>
    </w:p>
    <w:p w14:paraId="70B7D1DA" w14:textId="23686AA3" w:rsidR="0046105E" w:rsidRPr="000C4CC7" w:rsidRDefault="0046105E" w:rsidP="0046105E">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vi. ¿Quién selecciona el año fiscal de los tres años reportados, con el que se va a realizar la evaluación financiera y organizacional?</w:t>
      </w:r>
    </w:p>
    <w:p w14:paraId="4F3CF267" w14:textId="77777777" w:rsidR="0046105E" w:rsidRPr="000C4CC7" w:rsidRDefault="0046105E" w:rsidP="0031475A">
      <w:pPr>
        <w:spacing w:line="276" w:lineRule="auto"/>
        <w:ind w:right="709"/>
        <w:jc w:val="both"/>
        <w:rPr>
          <w:rFonts w:ascii="Arial" w:hAnsi="Arial" w:cs="Arial"/>
          <w:color w:val="000000" w:themeColor="text1"/>
          <w:sz w:val="21"/>
          <w:szCs w:val="21"/>
          <w:lang w:val="es-ES_tradnl"/>
        </w:rPr>
      </w:pPr>
    </w:p>
    <w:p w14:paraId="45238050" w14:textId="11EA336A" w:rsidR="00B63D58" w:rsidRPr="000C4CC7" w:rsidRDefault="000421AD" w:rsidP="0031475A">
      <w:pPr>
        <w:spacing w:after="120" w:line="276" w:lineRule="auto"/>
        <w:jc w:val="both"/>
        <w:rPr>
          <w:rFonts w:ascii="Arial" w:eastAsia="Calibri" w:hAnsi="Arial" w:cs="Arial"/>
          <w:color w:val="000000" w:themeColor="text1"/>
          <w:sz w:val="22"/>
          <w:szCs w:val="22"/>
          <w:lang w:val="es-ES_tradnl"/>
        </w:rPr>
      </w:pPr>
      <w:r w:rsidRPr="000C4CC7">
        <w:rPr>
          <w:rFonts w:ascii="Arial" w:hAnsi="Arial" w:cs="Arial"/>
          <w:color w:val="000000" w:themeColor="text1"/>
          <w:sz w:val="22"/>
          <w:szCs w:val="22"/>
          <w:lang w:val="es-ES_tradnl"/>
        </w:rPr>
        <w:t>Conforme a la explicación precedente</w:t>
      </w:r>
      <w:r w:rsidR="0046105E" w:rsidRPr="000C4CC7">
        <w:rPr>
          <w:rFonts w:ascii="Arial" w:hAnsi="Arial" w:cs="Arial"/>
          <w:color w:val="000000" w:themeColor="text1"/>
          <w:sz w:val="22"/>
          <w:szCs w:val="22"/>
          <w:lang w:val="es-ES_tradnl"/>
        </w:rPr>
        <w:t>,</w:t>
      </w:r>
      <w:r w:rsidR="0046105E" w:rsidRPr="000C4CC7">
        <w:rPr>
          <w:rFonts w:ascii="Arial" w:hAnsi="Arial" w:cs="Arial"/>
          <w:color w:val="000000" w:themeColor="text1"/>
          <w:sz w:val="21"/>
          <w:szCs w:val="21"/>
          <w:lang w:val="es-ES_tradnl"/>
        </w:rPr>
        <w:t xml:space="preserve"> </w:t>
      </w:r>
      <w:r w:rsidR="0046105E" w:rsidRPr="000C4CC7">
        <w:rPr>
          <w:rFonts w:ascii="Arial" w:eastAsia="Calibri" w:hAnsi="Arial" w:cs="Arial"/>
          <w:color w:val="000000" w:themeColor="text1"/>
          <w:sz w:val="22"/>
          <w:szCs w:val="22"/>
          <w:lang w:val="es-ES_tradnl"/>
        </w:rPr>
        <w:t xml:space="preserve">aunque el parágrafo transitorio, agregado al artículo 2.2.1.1.1.6.2. del Decreto 1082 de 2015 por el artículo 6 del Decreto 399 de 2021 y sustituido por el artículo 3 del Decreto 579 de 2021,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w:t>
      </w:r>
    </w:p>
    <w:p w14:paraId="7BD46D52" w14:textId="212FE2FB" w:rsidR="00746EAE" w:rsidRPr="000C4CC7" w:rsidRDefault="0046105E" w:rsidP="0031475A">
      <w:pPr>
        <w:spacing w:line="276" w:lineRule="auto"/>
        <w:ind w:firstLine="708"/>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7DA612F9" w14:textId="77777777" w:rsidR="00746EAE" w:rsidRPr="000C4CC7" w:rsidRDefault="00746EAE" w:rsidP="0031475A">
      <w:pPr>
        <w:ind w:right="709"/>
        <w:jc w:val="both"/>
        <w:rPr>
          <w:rFonts w:ascii="Arial" w:hAnsi="Arial" w:cs="Arial"/>
          <w:color w:val="000000" w:themeColor="text1"/>
          <w:sz w:val="21"/>
          <w:szCs w:val="21"/>
          <w:lang w:val="es-ES_tradnl"/>
        </w:rPr>
      </w:pPr>
    </w:p>
    <w:p w14:paraId="6732DC3B" w14:textId="60C3346F" w:rsidR="00746EAE" w:rsidRPr="000C4CC7" w:rsidRDefault="00746EAE" w:rsidP="0031475A">
      <w:pPr>
        <w:spacing w:after="120"/>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 xml:space="preserve">vii.  Cómo se aplicarán estos decretos para el caso de figuras asociativas </w:t>
      </w:r>
      <w:r w:rsidR="0075750E" w:rsidRPr="000C4CC7">
        <w:rPr>
          <w:rFonts w:ascii="Arial" w:hAnsi="Arial" w:cs="Arial"/>
          <w:color w:val="000000" w:themeColor="text1"/>
          <w:sz w:val="21"/>
          <w:szCs w:val="21"/>
          <w:lang w:val="es-ES_tradnl"/>
        </w:rPr>
        <w:t>[…]</w:t>
      </w:r>
      <w:r w:rsidRPr="000C4CC7">
        <w:rPr>
          <w:rFonts w:ascii="Arial" w:hAnsi="Arial" w:cs="Arial"/>
          <w:color w:val="000000" w:themeColor="text1"/>
          <w:sz w:val="21"/>
          <w:szCs w:val="21"/>
          <w:lang w:val="es-ES_tradnl"/>
        </w:rPr>
        <w:t>?</w:t>
      </w:r>
    </w:p>
    <w:p w14:paraId="5753B4C2" w14:textId="77777777" w:rsidR="00750625" w:rsidRPr="000C4CC7" w:rsidRDefault="00750625" w:rsidP="00750625">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 xml:space="preserve">viii. En el caso de figuras asociativas: ¿El proponente podrá elegir años fiscales distintos para cada integrante de la figura asociativa, o </w:t>
      </w:r>
      <w:bookmarkStart w:id="2" w:name="_Hlk80801975"/>
      <w:r w:rsidRPr="000C4CC7">
        <w:rPr>
          <w:rFonts w:ascii="Arial" w:hAnsi="Arial" w:cs="Arial"/>
          <w:color w:val="000000" w:themeColor="text1"/>
          <w:sz w:val="21"/>
          <w:szCs w:val="21"/>
          <w:lang w:val="es-ES_tradnl"/>
        </w:rPr>
        <w:t>se deberán evaluar cada integrante con el mismo año fiscal</w:t>
      </w:r>
      <w:bookmarkEnd w:id="2"/>
      <w:r w:rsidRPr="000C4CC7">
        <w:rPr>
          <w:rFonts w:ascii="Arial" w:hAnsi="Arial" w:cs="Arial"/>
          <w:color w:val="000000" w:themeColor="text1"/>
          <w:sz w:val="21"/>
          <w:szCs w:val="21"/>
          <w:lang w:val="es-ES_tradnl"/>
        </w:rPr>
        <w:t>?</w:t>
      </w:r>
    </w:p>
    <w:p w14:paraId="2ABFF2E9" w14:textId="20D6B0CF" w:rsidR="00750625" w:rsidRPr="000C4CC7" w:rsidRDefault="00750625" w:rsidP="0031475A">
      <w:pPr>
        <w:ind w:right="709"/>
        <w:jc w:val="both"/>
        <w:rPr>
          <w:rFonts w:ascii="Arial" w:hAnsi="Arial" w:cs="Arial"/>
          <w:color w:val="000000" w:themeColor="text1"/>
          <w:sz w:val="21"/>
          <w:szCs w:val="21"/>
          <w:lang w:val="es-ES_tradnl"/>
        </w:rPr>
      </w:pPr>
    </w:p>
    <w:p w14:paraId="6749B8B5" w14:textId="2D5998CC" w:rsidR="00750625" w:rsidRPr="000C4CC7" w:rsidRDefault="00DE21B3" w:rsidP="0031475A">
      <w:pPr>
        <w:spacing w:line="276" w:lineRule="auto"/>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Por las razones expuestas en el presente oficio, teniendo en cuenta que el parágrafo transitorio del artículo 2.2.1.1.1.6.2 del Decreto 1082 del 2015 no realiza distinciones entre el proponente individual y plural, cuando la norma se refiere a que «</w:t>
      </w:r>
      <w:r w:rsidRPr="000C4CC7">
        <w:rPr>
          <w:rFonts w:ascii="Arial" w:hAnsi="Arial" w:cs="Arial"/>
          <w:sz w:val="22"/>
          <w:szCs w:val="22"/>
          <w:lang w:val="es-ES_tradnl"/>
        </w:rPr>
        <w:t xml:space="preserve">[…] </w:t>
      </w:r>
      <w:r w:rsidRPr="000C4CC7">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w:t>
      </w:r>
      <w:r w:rsidRPr="000C4CC7">
        <w:rPr>
          <w:rFonts w:ascii="Arial" w:eastAsia="Calibri" w:hAnsi="Arial" w:cs="Arial"/>
          <w:color w:val="000000" w:themeColor="text1"/>
          <w:sz w:val="22"/>
          <w:szCs w:val="22"/>
          <w:lang w:val="es-ES_tradnl"/>
        </w:rPr>
        <w:lastRenderedPageBreak/>
        <w:t>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w:t>
      </w:r>
      <w:r w:rsidR="00EA0FED" w:rsidRPr="000C4CC7">
        <w:rPr>
          <w:rFonts w:ascii="Arial" w:eastAsia="Calibri" w:hAnsi="Arial" w:cs="Arial"/>
          <w:color w:val="000000" w:themeColor="text1"/>
          <w:sz w:val="22"/>
          <w:szCs w:val="22"/>
          <w:lang w:val="es-ES_tradnl"/>
        </w:rPr>
        <w:t xml:space="preserve"> conforme a lo explicado en el concepto</w:t>
      </w:r>
      <w:r w:rsidRPr="000C4CC7">
        <w:rPr>
          <w:rFonts w:ascii="Arial" w:eastAsia="Calibri" w:hAnsi="Arial" w:cs="Arial"/>
          <w:color w:val="000000" w:themeColor="text1"/>
          <w:sz w:val="22"/>
          <w:szCs w:val="22"/>
          <w:lang w:val="es-ES_tradnl"/>
        </w:rPr>
        <w:t xml:space="preserve">. </w:t>
      </w:r>
    </w:p>
    <w:p w14:paraId="7F8D1D28" w14:textId="77777777" w:rsidR="00746EAE" w:rsidRPr="000C4CC7" w:rsidRDefault="00746EAE" w:rsidP="0031475A">
      <w:pPr>
        <w:ind w:right="709"/>
        <w:jc w:val="both"/>
        <w:rPr>
          <w:rFonts w:ascii="Arial" w:hAnsi="Arial" w:cs="Arial"/>
          <w:color w:val="000000" w:themeColor="text1"/>
          <w:sz w:val="21"/>
          <w:szCs w:val="21"/>
          <w:lang w:val="es-ES_tradnl"/>
        </w:rPr>
      </w:pPr>
    </w:p>
    <w:p w14:paraId="63A47C6B" w14:textId="6DE689FD" w:rsidR="00746EAE" w:rsidRPr="000C4CC7" w:rsidRDefault="00746EAE" w:rsidP="0031475A">
      <w:pPr>
        <w:spacing w:after="120"/>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ix. ¿El Contratista podrá establecer en los documentos del proceso que la capacidad financiera y organizacional se evaluará de acuerdo con la información de los tres (3) años fiscales reportados, o siempre será evaluado el proponente respecto a uno solo de los a</w:t>
      </w:r>
      <w:r w:rsidR="0046105E" w:rsidRPr="000C4CC7">
        <w:rPr>
          <w:rFonts w:ascii="Arial" w:hAnsi="Arial" w:cs="Arial"/>
          <w:color w:val="000000" w:themeColor="text1"/>
          <w:sz w:val="21"/>
          <w:szCs w:val="21"/>
          <w:lang w:val="es-ES_tradnl"/>
        </w:rPr>
        <w:t>ñ</w:t>
      </w:r>
      <w:r w:rsidRPr="000C4CC7">
        <w:rPr>
          <w:rFonts w:ascii="Arial" w:hAnsi="Arial" w:cs="Arial"/>
          <w:color w:val="000000" w:themeColor="text1"/>
          <w:sz w:val="21"/>
          <w:szCs w:val="21"/>
          <w:lang w:val="es-ES_tradnl"/>
        </w:rPr>
        <w:t>os fiscales reportados?</w:t>
      </w:r>
    </w:p>
    <w:p w14:paraId="3EB7E5C3" w14:textId="77777777" w:rsidR="00435FB8" w:rsidRPr="000C4CC7" w:rsidRDefault="00435FB8" w:rsidP="00435FB8">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x.  ¿La Entidad Estatal podrá habilitar a un proponente frente a la capacidad financiera y organizacional por los indicadores resultantes luego de promediar la información de los últimos tres (3) años reportados?</w:t>
      </w:r>
    </w:p>
    <w:p w14:paraId="3845FC7F" w14:textId="267E2C77" w:rsidR="00746EAE" w:rsidRPr="000C4CC7" w:rsidRDefault="00746EAE" w:rsidP="0031475A">
      <w:pPr>
        <w:spacing w:line="276" w:lineRule="auto"/>
        <w:ind w:right="709"/>
        <w:jc w:val="both"/>
        <w:rPr>
          <w:rFonts w:ascii="Arial" w:hAnsi="Arial" w:cs="Arial"/>
          <w:color w:val="000000" w:themeColor="text1"/>
          <w:sz w:val="21"/>
          <w:szCs w:val="21"/>
          <w:lang w:val="es-ES_tradnl"/>
        </w:rPr>
      </w:pPr>
    </w:p>
    <w:p w14:paraId="6D159756" w14:textId="6147939D" w:rsidR="005B2291" w:rsidRPr="000C4CC7" w:rsidRDefault="0015121F" w:rsidP="0031475A">
      <w:pPr>
        <w:spacing w:after="120" w:line="276" w:lineRule="auto"/>
        <w:ind w:right="51"/>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 xml:space="preserve">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w:t>
      </w:r>
    </w:p>
    <w:p w14:paraId="6A577180" w14:textId="177B37BA" w:rsidR="0015121F" w:rsidRPr="000C4CC7" w:rsidRDefault="0015121F" w:rsidP="0031475A">
      <w:pPr>
        <w:spacing w:line="276" w:lineRule="auto"/>
        <w:ind w:right="51" w:firstLine="708"/>
        <w:jc w:val="both"/>
        <w:rPr>
          <w:rFonts w:ascii="Arial" w:eastAsia="Calibri" w:hAnsi="Arial" w:cs="Arial"/>
          <w:color w:val="000000" w:themeColor="text1"/>
          <w:sz w:val="22"/>
          <w:szCs w:val="22"/>
          <w:lang w:val="es-ES_tradnl"/>
        </w:rPr>
      </w:pPr>
      <w:r w:rsidRPr="000C4CC7">
        <w:rPr>
          <w:rFonts w:ascii="Arial" w:eastAsia="Calibri" w:hAnsi="Arial" w:cs="Arial"/>
          <w:color w:val="000000" w:themeColor="text1"/>
          <w:sz w:val="22"/>
          <w:szCs w:val="22"/>
          <w:lang w:val="es-ES_tradnl"/>
        </w:rPr>
        <w:t>Dicho de otro modo, cuando el parágrafo transitorio del artículo 2.2.1.1.1.6.2, adicionado por el artículo 6 del 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r w:rsidR="00A31621" w:rsidRPr="000C4CC7">
        <w:rPr>
          <w:rFonts w:ascii="Arial" w:eastAsia="Calibri" w:hAnsi="Arial" w:cs="Arial"/>
          <w:color w:val="000000" w:themeColor="text1"/>
          <w:sz w:val="22"/>
          <w:szCs w:val="22"/>
          <w:lang w:val="es-ES_tradnl"/>
        </w:rPr>
        <w:t>.</w:t>
      </w:r>
      <w:r w:rsidR="00395CC8" w:rsidRPr="000C4CC7">
        <w:rPr>
          <w:rFonts w:ascii="Arial" w:eastAsia="Calibri" w:hAnsi="Arial" w:cs="Arial"/>
          <w:color w:val="000000" w:themeColor="text1"/>
          <w:sz w:val="22"/>
          <w:szCs w:val="22"/>
          <w:lang w:val="es-ES_tradnl"/>
        </w:rPr>
        <w:t xml:space="preserve"> </w:t>
      </w:r>
      <w:r w:rsidRPr="000C4CC7">
        <w:rPr>
          <w:rFonts w:ascii="Arial" w:eastAsia="Calibri" w:hAnsi="Arial" w:cs="Arial"/>
          <w:color w:val="000000" w:themeColor="text1"/>
          <w:sz w:val="22"/>
          <w:szCs w:val="22"/>
          <w:lang w:val="es-ES_tradnl"/>
        </w:rPr>
        <w:t>Por lo tanto, el parágrafo transitorio, agregado al artículo 2.2.1.1.1.6.2. del Decreto 1082 de 2015 por el artículo 6 del Decreto 399 de 2021 y sustituido por el artículo 3 del Decreto 579 de 2021, no implica promediar los resultados de los tres años reportados en el RUP, sino escoger el mejor resultado de los indicadores de uno de los años reportados en el registro.</w:t>
      </w:r>
    </w:p>
    <w:p w14:paraId="6F4327A8" w14:textId="77777777" w:rsidR="00A31621" w:rsidRPr="000C4CC7" w:rsidRDefault="00A31621" w:rsidP="00746EAE">
      <w:pPr>
        <w:ind w:right="709"/>
        <w:jc w:val="both"/>
        <w:rPr>
          <w:rFonts w:ascii="Arial" w:hAnsi="Arial" w:cs="Arial"/>
          <w:color w:val="000000" w:themeColor="text1"/>
          <w:sz w:val="21"/>
          <w:szCs w:val="21"/>
          <w:lang w:val="es-ES_tradnl"/>
        </w:rPr>
      </w:pPr>
    </w:p>
    <w:p w14:paraId="769588B1" w14:textId="304E8A54" w:rsidR="00874F0A" w:rsidRPr="000C4CC7" w:rsidRDefault="00746EAE" w:rsidP="00746EAE">
      <w:pPr>
        <w:ind w:left="709" w:right="709"/>
        <w:jc w:val="both"/>
        <w:rPr>
          <w:rFonts w:ascii="Arial" w:hAnsi="Arial" w:cs="Arial"/>
          <w:color w:val="000000" w:themeColor="text1"/>
          <w:sz w:val="21"/>
          <w:szCs w:val="21"/>
          <w:lang w:val="es-ES_tradnl"/>
        </w:rPr>
      </w:pPr>
      <w:r w:rsidRPr="000C4CC7">
        <w:rPr>
          <w:rFonts w:ascii="Arial" w:hAnsi="Arial" w:cs="Arial"/>
          <w:color w:val="000000" w:themeColor="text1"/>
          <w:sz w:val="21"/>
          <w:szCs w:val="21"/>
          <w:lang w:val="es-ES_tradnl"/>
        </w:rPr>
        <w:t>xi. ¿Qué normatividad exige la obligatoriedad en el cumplimiento de lo dispuesto en estos decretos, por parte de las entidades contratistas del Estado Colombiano, ¿a partir de la fecha establecida la cual es 1 de julio de 2021?</w:t>
      </w:r>
    </w:p>
    <w:p w14:paraId="4D471066" w14:textId="77777777" w:rsidR="00230C83" w:rsidRPr="000C4CC7" w:rsidRDefault="00230C83" w:rsidP="00230C83">
      <w:pPr>
        <w:spacing w:line="276" w:lineRule="auto"/>
        <w:jc w:val="both"/>
        <w:rPr>
          <w:rFonts w:ascii="Arial" w:hAnsi="Arial" w:cs="Arial"/>
          <w:color w:val="000000" w:themeColor="text1"/>
          <w:sz w:val="22"/>
          <w:szCs w:val="22"/>
          <w:lang w:val="es-ES_tradnl"/>
        </w:rPr>
      </w:pPr>
    </w:p>
    <w:p w14:paraId="7A81CE72" w14:textId="399FEC9F" w:rsidR="00E454C2" w:rsidRPr="00AC7A12" w:rsidRDefault="00E64EF0" w:rsidP="0031475A">
      <w:pPr>
        <w:spacing w:line="276" w:lineRule="auto"/>
        <w:jc w:val="both"/>
        <w:rPr>
          <w:rFonts w:ascii="Arial" w:eastAsia="Calibri" w:hAnsi="Arial" w:cs="Arial"/>
          <w:color w:val="000000" w:themeColor="text1"/>
          <w:sz w:val="22"/>
          <w:szCs w:val="22"/>
          <w:lang w:val="es-ES_tradnl"/>
        </w:rPr>
      </w:pPr>
      <w:r w:rsidRPr="000C4CC7">
        <w:rPr>
          <w:rFonts w:ascii="Arial" w:hAnsi="Arial" w:cs="Arial"/>
          <w:color w:val="000000" w:themeColor="text1"/>
          <w:sz w:val="22"/>
          <w:szCs w:val="22"/>
          <w:lang w:val="es-ES_tradnl"/>
        </w:rPr>
        <w:t>El artículo 6 de la Ley 1150 de 2007 exige que</w:t>
      </w:r>
      <w:r w:rsidR="0015121F" w:rsidRPr="000C4CC7">
        <w:rPr>
          <w:rFonts w:ascii="Arial" w:hAnsi="Arial" w:cs="Arial"/>
          <w:color w:val="000000" w:themeColor="text1"/>
          <w:sz w:val="22"/>
          <w:szCs w:val="22"/>
          <w:lang w:val="es-ES_tradnl"/>
        </w:rPr>
        <w:t xml:space="preserve"> </w:t>
      </w:r>
      <w:r w:rsidRPr="000C4CC7">
        <w:rPr>
          <w:rFonts w:ascii="Arial" w:hAnsi="Arial" w:cs="Arial"/>
          <w:color w:val="000000" w:themeColor="text1"/>
          <w:sz w:val="22"/>
          <w:szCs w:val="22"/>
          <w:lang w:val="es-ES_tradnl"/>
        </w:rPr>
        <w:t xml:space="preserve">la verificación de las condiciones de los proponentes relativas a la experiencia, </w:t>
      </w:r>
      <w:r w:rsidR="000A6C2A" w:rsidRPr="000C4CC7">
        <w:rPr>
          <w:rFonts w:ascii="Arial" w:hAnsi="Arial" w:cs="Arial"/>
          <w:color w:val="000000" w:themeColor="text1"/>
          <w:sz w:val="22"/>
          <w:szCs w:val="22"/>
          <w:lang w:val="es-ES_tradnl"/>
        </w:rPr>
        <w:t xml:space="preserve">la </w:t>
      </w:r>
      <w:r w:rsidRPr="000C4CC7">
        <w:rPr>
          <w:rFonts w:ascii="Arial" w:hAnsi="Arial" w:cs="Arial"/>
          <w:color w:val="000000" w:themeColor="text1"/>
          <w:sz w:val="22"/>
          <w:szCs w:val="22"/>
          <w:lang w:val="es-ES_tradnl"/>
        </w:rPr>
        <w:t>capacidad jurídica</w:t>
      </w:r>
      <w:r w:rsidR="000A6C2A" w:rsidRPr="000C4CC7">
        <w:rPr>
          <w:rFonts w:ascii="Arial" w:hAnsi="Arial" w:cs="Arial"/>
          <w:color w:val="000000" w:themeColor="text1"/>
          <w:sz w:val="22"/>
          <w:szCs w:val="22"/>
          <w:lang w:val="es-ES_tradnl"/>
        </w:rPr>
        <w:t xml:space="preserve"> y la capacidad </w:t>
      </w:r>
      <w:r w:rsidRPr="000C4CC7">
        <w:rPr>
          <w:rFonts w:ascii="Arial" w:hAnsi="Arial" w:cs="Arial"/>
          <w:color w:val="000000" w:themeColor="text1"/>
          <w:sz w:val="22"/>
          <w:szCs w:val="22"/>
          <w:lang w:val="es-ES_tradnl"/>
        </w:rPr>
        <w:t xml:space="preserve">financiera y de </w:t>
      </w:r>
      <w:r w:rsidRPr="000C4CC7">
        <w:rPr>
          <w:rFonts w:ascii="Arial" w:hAnsi="Arial" w:cs="Arial"/>
          <w:color w:val="000000" w:themeColor="text1"/>
          <w:sz w:val="22"/>
          <w:szCs w:val="22"/>
          <w:lang w:val="es-ES_tradnl"/>
        </w:rPr>
        <w:lastRenderedPageBreak/>
        <w:t>organización se haga mediante la inscripción</w:t>
      </w:r>
      <w:r w:rsidR="000A6C2A" w:rsidRPr="000C4CC7">
        <w:rPr>
          <w:rFonts w:ascii="Arial" w:hAnsi="Arial" w:cs="Arial"/>
          <w:color w:val="000000" w:themeColor="text1"/>
          <w:sz w:val="22"/>
          <w:szCs w:val="22"/>
          <w:lang w:val="es-ES_tradnl"/>
        </w:rPr>
        <w:t xml:space="preserve"> y verificación de la información obrante</w:t>
      </w:r>
      <w:r w:rsidRPr="000C4CC7">
        <w:rPr>
          <w:rFonts w:ascii="Arial" w:hAnsi="Arial" w:cs="Arial"/>
          <w:color w:val="000000" w:themeColor="text1"/>
          <w:sz w:val="22"/>
          <w:szCs w:val="22"/>
          <w:lang w:val="es-ES_tradnl"/>
        </w:rPr>
        <w:t xml:space="preserve"> en el RUP, según como lo defina el reglamento</w:t>
      </w:r>
      <w:r w:rsidR="000A6C2A" w:rsidRPr="000C4CC7">
        <w:rPr>
          <w:rFonts w:ascii="Arial" w:hAnsi="Arial" w:cs="Arial"/>
          <w:color w:val="000000" w:themeColor="text1"/>
          <w:sz w:val="22"/>
          <w:szCs w:val="22"/>
          <w:lang w:val="es-ES_tradnl"/>
        </w:rPr>
        <w:t xml:space="preserve"> expedido por el Gobierno Nacional en ejercicio de la competencia prevista en el artículo 189.11 de la Constitución Política</w:t>
      </w:r>
      <w:r w:rsidRPr="000C4CC7">
        <w:rPr>
          <w:rFonts w:ascii="Arial" w:hAnsi="Arial" w:cs="Arial"/>
          <w:color w:val="000000" w:themeColor="text1"/>
          <w:sz w:val="22"/>
          <w:szCs w:val="22"/>
          <w:lang w:val="es-ES_tradnl"/>
        </w:rPr>
        <w:t>. Tanto las leyes</w:t>
      </w:r>
      <w:r w:rsidR="000A6C2A" w:rsidRPr="000C4CC7">
        <w:rPr>
          <w:rFonts w:ascii="Arial" w:hAnsi="Arial" w:cs="Arial"/>
          <w:color w:val="000000" w:themeColor="text1"/>
          <w:sz w:val="22"/>
          <w:szCs w:val="22"/>
          <w:lang w:val="es-ES_tradnl"/>
        </w:rPr>
        <w:t xml:space="preserve"> de la República</w:t>
      </w:r>
      <w:r w:rsidRPr="000C4CC7">
        <w:rPr>
          <w:rFonts w:ascii="Arial" w:hAnsi="Arial" w:cs="Arial"/>
          <w:color w:val="000000" w:themeColor="text1"/>
          <w:sz w:val="22"/>
          <w:szCs w:val="22"/>
          <w:lang w:val="es-ES_tradnl"/>
        </w:rPr>
        <w:t xml:space="preserve"> como las normas reglamentarias que </w:t>
      </w:r>
      <w:r w:rsidR="000A6C2A" w:rsidRPr="000C4CC7">
        <w:rPr>
          <w:rFonts w:ascii="Arial" w:hAnsi="Arial" w:cs="Arial"/>
          <w:color w:val="000000" w:themeColor="text1"/>
          <w:sz w:val="22"/>
          <w:szCs w:val="22"/>
          <w:lang w:val="es-ES_tradnl"/>
        </w:rPr>
        <w:t xml:space="preserve">definen y concretan su ejecución son de obligatorio cumplimiento para las entidades </w:t>
      </w:r>
      <w:r w:rsidR="0000598F" w:rsidRPr="000C4CC7">
        <w:rPr>
          <w:rFonts w:ascii="Arial" w:hAnsi="Arial" w:cs="Arial"/>
          <w:color w:val="000000" w:themeColor="text1"/>
          <w:sz w:val="22"/>
          <w:szCs w:val="22"/>
          <w:lang w:val="es-ES_tradnl"/>
        </w:rPr>
        <w:t>estatales</w:t>
      </w:r>
      <w:r w:rsidR="000A6C2A" w:rsidRPr="000C4CC7">
        <w:rPr>
          <w:rFonts w:ascii="Arial" w:hAnsi="Arial" w:cs="Arial"/>
          <w:color w:val="000000" w:themeColor="text1"/>
          <w:sz w:val="22"/>
          <w:szCs w:val="22"/>
          <w:lang w:val="es-ES_tradnl"/>
        </w:rPr>
        <w:t xml:space="preserve"> y los servidores públicos, en aplicación del principio de legalidad que rige el Estado de Derecho. </w:t>
      </w:r>
      <w:r w:rsidR="0055496B" w:rsidRPr="000C4CC7">
        <w:rPr>
          <w:rFonts w:ascii="Arial" w:hAnsi="Arial" w:cs="Arial"/>
          <w:color w:val="000000" w:themeColor="text1"/>
          <w:sz w:val="22"/>
          <w:szCs w:val="22"/>
          <w:lang w:val="es-ES_tradnl"/>
        </w:rPr>
        <w:t>En ejercicio de esta competencia reglamentaria, los artículos 2 y 3 del Decreto 579 del 31 de mayo de 2021 –al modificar los artículos 2.2.1.1.1.5.6 y 2.2.1.1.1.6.2 del Decreto 1082 de 2015, antes adicionado por Decreto 399 del 13 de abril de 2021– definieron que a partir del 1 de julio de 2021 las cámaras de comercio y las entidades certificaran y evaluaran los requisitos habilitantes conforme a lo explicado en el presente oficio.</w:t>
      </w:r>
      <w:r w:rsidR="0055496B">
        <w:rPr>
          <w:rFonts w:ascii="Arial" w:hAnsi="Arial" w:cs="Arial"/>
          <w:color w:val="000000" w:themeColor="text1"/>
          <w:sz w:val="22"/>
          <w:szCs w:val="22"/>
          <w:lang w:val="es-ES_tradnl"/>
        </w:rPr>
        <w:t xml:space="preserve">  </w:t>
      </w:r>
    </w:p>
    <w:p w14:paraId="62BDE0F1" w14:textId="77777777" w:rsidR="00522959" w:rsidRPr="00AC7A12" w:rsidRDefault="00522959" w:rsidP="0031475A">
      <w:pPr>
        <w:spacing w:after="120" w:line="276" w:lineRule="auto"/>
        <w:jc w:val="both"/>
        <w:rPr>
          <w:rFonts w:ascii="Arial" w:hAnsi="Arial" w:cs="Arial"/>
          <w:color w:val="000000" w:themeColor="text1"/>
          <w:sz w:val="22"/>
          <w:lang w:val="es-ES_tradnl"/>
        </w:rPr>
      </w:pPr>
    </w:p>
    <w:p w14:paraId="7B2C921D" w14:textId="0A225906" w:rsidR="00DD5B04" w:rsidRPr="00AC7A12" w:rsidRDefault="00DD5B04" w:rsidP="00DF76A2">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692FC307" w14:textId="210AA6B5" w:rsidR="00921304" w:rsidRPr="00AC7A1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3B2A6D4" w:rsidR="00921304" w:rsidRPr="00AC7A12" w:rsidRDefault="00113C09"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E97533">
        <w:rPr>
          <w:rFonts w:ascii="Arial" w:hAnsi="Arial" w:cs="Arial"/>
          <w:noProof/>
          <w:sz w:val="18"/>
          <w:szCs w:val="18"/>
          <w:lang w:val="es-ES" w:eastAsia="es-ES"/>
        </w:rPr>
        <w:drawing>
          <wp:inline distT="0" distB="0" distL="0" distR="0" wp14:anchorId="37B6EFDA" wp14:editId="001C5A10">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5CBAE239" w14:textId="77777777" w:rsidR="00425C43" w:rsidRPr="00AC7A12" w:rsidRDefault="00425C43" w:rsidP="00B37657">
      <w:pPr>
        <w:jc w:val="center"/>
        <w:rPr>
          <w:rFonts w:ascii="Arial" w:hAnsi="Arial" w:cs="Arial"/>
          <w:color w:val="000000" w:themeColor="text1"/>
          <w:sz w:val="18"/>
          <w:szCs w:val="20"/>
          <w:lang w:val="es-ES_tradnl" w:eastAsia="es-CO"/>
        </w:rPr>
      </w:pPr>
    </w:p>
    <w:p w14:paraId="49730030" w14:textId="217D35F3" w:rsidR="00DD5B04" w:rsidRPr="00AC7A1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C7A12" w14:paraId="0C7DC5F7" w14:textId="77777777" w:rsidTr="008F4163">
        <w:trPr>
          <w:trHeight w:val="315"/>
        </w:trPr>
        <w:tc>
          <w:tcPr>
            <w:tcW w:w="812" w:type="dxa"/>
            <w:vAlign w:val="center"/>
            <w:hideMark/>
          </w:tcPr>
          <w:p w14:paraId="5BDB1AC9"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664A64A" w:rsidR="00DD5B04" w:rsidRPr="00AC7A12" w:rsidRDefault="000A6C2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Contratista</w:t>
            </w:r>
            <w:r w:rsidR="00FF0050" w:rsidRPr="00AC7A12">
              <w:rPr>
                <w:rFonts w:ascii="Arial" w:hAnsi="Arial" w:cs="Arial"/>
                <w:color w:val="000000" w:themeColor="text1"/>
                <w:sz w:val="16"/>
                <w:szCs w:val="16"/>
                <w:lang w:val="es-ES_tradnl" w:eastAsia="es-ES"/>
              </w:rPr>
              <w:t xml:space="preserve"> de la </w:t>
            </w:r>
            <w:r w:rsidRPr="00AC7A12">
              <w:rPr>
                <w:rFonts w:ascii="Arial" w:hAnsi="Arial" w:cs="Arial"/>
                <w:color w:val="000000" w:themeColor="text1"/>
                <w:sz w:val="16"/>
                <w:szCs w:val="16"/>
                <w:lang w:val="es-ES_tradnl" w:eastAsia="es-ES"/>
              </w:rPr>
              <w:t>Subdirección de Gestión Contractual</w:t>
            </w:r>
          </w:p>
        </w:tc>
      </w:tr>
      <w:tr w:rsidR="00DD5B04" w:rsidRPr="00AC7A12" w14:paraId="2F8FD650" w14:textId="77777777" w:rsidTr="008F4163">
        <w:trPr>
          <w:trHeight w:val="330"/>
        </w:trPr>
        <w:tc>
          <w:tcPr>
            <w:tcW w:w="812" w:type="dxa"/>
            <w:vAlign w:val="center"/>
            <w:hideMark/>
          </w:tcPr>
          <w:p w14:paraId="50203A0B"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075C17" w14:textId="77777777" w:rsidR="000A6C2A" w:rsidRDefault="000A6C2A" w:rsidP="00F1085C">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p>
          <w:p w14:paraId="130B3228" w14:textId="2E238DE5" w:rsidR="00DD5B04" w:rsidRPr="00AC7A12" w:rsidRDefault="00F1085C" w:rsidP="00F1085C">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Gestor T1-15 de la Subdirección de Gestión Contractual</w:t>
            </w:r>
          </w:p>
        </w:tc>
      </w:tr>
      <w:tr w:rsidR="00DD5B04" w:rsidRPr="00CF3B38" w14:paraId="0FCBCA4A" w14:textId="77777777" w:rsidTr="008F4163">
        <w:trPr>
          <w:trHeight w:val="300"/>
        </w:trPr>
        <w:tc>
          <w:tcPr>
            <w:tcW w:w="812" w:type="dxa"/>
            <w:vAlign w:val="center"/>
            <w:hideMark/>
          </w:tcPr>
          <w:p w14:paraId="3C1D943A"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C7A12" w:rsidRDefault="00C05A61"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 xml:space="preserve">Jorge </w:t>
            </w:r>
            <w:r w:rsidR="00647A36" w:rsidRPr="00AC7A12">
              <w:rPr>
                <w:rFonts w:ascii="Arial" w:hAnsi="Arial" w:cs="Arial"/>
                <w:color w:val="000000" w:themeColor="text1"/>
                <w:sz w:val="16"/>
                <w:szCs w:val="16"/>
                <w:lang w:val="es-ES_tradnl" w:eastAsia="es-ES"/>
              </w:rPr>
              <w:t xml:space="preserve">Augusto </w:t>
            </w:r>
            <w:r w:rsidRPr="00AC7A12">
              <w:rPr>
                <w:rFonts w:ascii="Arial" w:hAnsi="Arial" w:cs="Arial"/>
                <w:color w:val="000000" w:themeColor="text1"/>
                <w:sz w:val="16"/>
                <w:szCs w:val="16"/>
                <w:lang w:val="es-ES_tradnl" w:eastAsia="es-ES"/>
              </w:rPr>
              <w:t>Tirado Navarro</w:t>
            </w:r>
          </w:p>
          <w:p w14:paraId="1ADC483B" w14:textId="2E3B66D0" w:rsidR="00DD5B04" w:rsidRPr="00CF3B38"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Subdirector de Gestión Contractual</w:t>
            </w:r>
            <w:r w:rsidR="008201DE" w:rsidRPr="00AC7A12">
              <w:rPr>
                <w:rFonts w:ascii="Arial" w:hAnsi="Arial" w:cs="Arial"/>
                <w:color w:val="000000" w:themeColor="text1"/>
                <w:sz w:val="16"/>
                <w:szCs w:val="16"/>
                <w:lang w:val="es-ES_tradnl" w:eastAsia="es-ES"/>
              </w:rPr>
              <w:t xml:space="preserve"> ANCP – CCE</w:t>
            </w:r>
          </w:p>
        </w:tc>
      </w:tr>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6BFEC" w14:textId="77777777" w:rsidR="00367AC4" w:rsidRDefault="00367AC4">
      <w:r>
        <w:separator/>
      </w:r>
    </w:p>
  </w:endnote>
  <w:endnote w:type="continuationSeparator" w:id="0">
    <w:p w14:paraId="5C1E667D" w14:textId="77777777" w:rsidR="00367AC4" w:rsidRDefault="00367AC4">
      <w:r>
        <w:continuationSeparator/>
      </w:r>
    </w:p>
  </w:endnote>
  <w:endnote w:type="continuationNotice" w:id="1">
    <w:p w14:paraId="093AAD7D" w14:textId="77777777" w:rsidR="00367AC4" w:rsidRDefault="00367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C57B5" w14:textId="77777777" w:rsidR="00367AC4" w:rsidRDefault="00367AC4">
      <w:r>
        <w:separator/>
      </w:r>
    </w:p>
  </w:footnote>
  <w:footnote w:type="continuationSeparator" w:id="0">
    <w:p w14:paraId="12780822" w14:textId="77777777" w:rsidR="00367AC4" w:rsidRDefault="00367AC4">
      <w:r>
        <w:continuationSeparator/>
      </w:r>
    </w:p>
  </w:footnote>
  <w:footnote w:type="continuationNotice" w:id="1">
    <w:p w14:paraId="2936B159" w14:textId="77777777" w:rsidR="00367AC4" w:rsidRDefault="00367AC4"/>
  </w:footnote>
  <w:footnote w:id="2">
    <w:p w14:paraId="112CA44F" w14:textId="77777777" w:rsidR="00906C6E" w:rsidRDefault="00906C6E" w:rsidP="00906C6E">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Consejo de Estado. Sección Tercera. Subsección B. Sentencia del 6 de junio de 2013. Exp. 25151. C.P. Stella Conto Díaz del Castillo.</w:t>
      </w:r>
    </w:p>
    <w:p w14:paraId="78A83540" w14:textId="77777777" w:rsidR="00906C6E" w:rsidRDefault="00906C6E" w:rsidP="00906C6E">
      <w:pPr>
        <w:pStyle w:val="Textonotapie"/>
        <w:ind w:firstLine="709"/>
        <w:jc w:val="both"/>
        <w:rPr>
          <w:rFonts w:ascii="Arial" w:hAnsi="Arial" w:cs="Arial"/>
          <w:color w:val="000000" w:themeColor="text1"/>
          <w:sz w:val="19"/>
          <w:szCs w:val="19"/>
        </w:rPr>
      </w:pPr>
    </w:p>
  </w:footnote>
  <w:footnote w:id="3">
    <w:p w14:paraId="680FCE2F" w14:textId="77777777" w:rsidR="00906C6E" w:rsidRDefault="00906C6E" w:rsidP="00906C6E">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rPr>
        <w:t>Ley 1150 de 2007: «Artículo 6. De la verificación de las condiciones de los proponentes.</w:t>
      </w:r>
    </w:p>
    <w:p w14:paraId="4165DDAE"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7BF638AB"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»6.1. […]</w:t>
      </w:r>
    </w:p>
    <w:p w14:paraId="2FE8FDDF"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8601055"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85F48D3"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3A79861E" w14:textId="77777777" w:rsidR="00906C6E" w:rsidRDefault="00906C6E" w:rsidP="00906C6E">
      <w:pPr>
        <w:pStyle w:val="Textonotapie"/>
        <w:ind w:firstLine="709"/>
        <w:jc w:val="both"/>
        <w:rPr>
          <w:rFonts w:ascii="Arial" w:hAnsi="Arial" w:cs="Arial"/>
          <w:color w:val="000000" w:themeColor="text1"/>
          <w:sz w:val="19"/>
          <w:szCs w:val="19"/>
          <w:lang w:val="es-ES"/>
        </w:rPr>
      </w:pPr>
    </w:p>
  </w:footnote>
  <w:footnote w:id="4">
    <w:p w14:paraId="631B00F7"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rPr>
        <w:t>Ley 1150 de 2007: «Artículo 5. De la selección objetiva.</w:t>
      </w:r>
      <w:r>
        <w:rPr>
          <w:rFonts w:ascii="Arial" w:hAnsi="Arial" w:cs="Arial"/>
          <w:color w:val="000000" w:themeColor="text1"/>
          <w:sz w:val="19"/>
          <w:szCs w:val="19"/>
          <w:lang w:eastAsia="es-CO"/>
        </w:rPr>
        <w:t xml:space="preserve"> </w:t>
      </w:r>
    </w:p>
    <w:p w14:paraId="1E00FC4B"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26DB86B0"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ECAE5AE"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w:t>
      </w:r>
    </w:p>
    <w:p w14:paraId="58DA1296" w14:textId="77777777" w:rsidR="00906C6E" w:rsidRDefault="00906C6E" w:rsidP="00906C6E">
      <w:pPr>
        <w:pStyle w:val="Textonotapie"/>
        <w:ind w:firstLine="709"/>
        <w:jc w:val="both"/>
        <w:rPr>
          <w:rFonts w:ascii="Arial" w:hAnsi="Arial" w:cs="Arial"/>
          <w:color w:val="000000" w:themeColor="text1"/>
          <w:sz w:val="19"/>
          <w:szCs w:val="19"/>
          <w:lang w:val="es-ES"/>
        </w:rPr>
      </w:pPr>
    </w:p>
  </w:footnote>
  <w:footnote w:id="5">
    <w:p w14:paraId="4107DE2E" w14:textId="77777777" w:rsidR="00906C6E" w:rsidRDefault="00906C6E" w:rsidP="00906C6E">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65E374CF" w14:textId="77777777" w:rsidR="00906C6E" w:rsidRDefault="00906C6E" w:rsidP="00906C6E">
      <w:pPr>
        <w:pStyle w:val="Textonotapie"/>
        <w:ind w:firstLine="709"/>
        <w:jc w:val="both"/>
        <w:rPr>
          <w:rFonts w:ascii="Arial" w:hAnsi="Arial" w:cs="Arial"/>
          <w:color w:val="000000" w:themeColor="text1"/>
          <w:sz w:val="19"/>
          <w:szCs w:val="19"/>
          <w:lang w:val="es-ES"/>
        </w:rPr>
      </w:pPr>
    </w:p>
  </w:footnote>
  <w:footnote w:id="6">
    <w:p w14:paraId="62050AD4"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Ley 1150 de 2007: «Artículo 6.  De la verificación de las condiciones de los proponentes. </w:t>
      </w:r>
    </w:p>
    <w:p w14:paraId="767D5ADA"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 xml:space="preserve">[...] </w:t>
      </w:r>
    </w:p>
    <w:p w14:paraId="4213565B"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AE4AFF4"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 xml:space="preserve">[...]». </w:t>
      </w:r>
    </w:p>
    <w:p w14:paraId="323F2E1C" w14:textId="77777777" w:rsidR="00906C6E" w:rsidRDefault="00906C6E" w:rsidP="00906C6E">
      <w:pPr>
        <w:pStyle w:val="Textonotapie"/>
        <w:ind w:firstLine="709"/>
        <w:jc w:val="both"/>
        <w:rPr>
          <w:rFonts w:ascii="Arial" w:hAnsi="Arial" w:cs="Arial"/>
          <w:color w:val="000000" w:themeColor="text1"/>
          <w:sz w:val="19"/>
          <w:szCs w:val="19"/>
        </w:rPr>
      </w:pPr>
    </w:p>
  </w:footnote>
  <w:footnote w:id="7">
    <w:p w14:paraId="3CD8B56C"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0B4D47D" w14:textId="77777777" w:rsidR="00906C6E" w:rsidRDefault="00906C6E" w:rsidP="00906C6E">
      <w:pPr>
        <w:pStyle w:val="Textonotapie"/>
        <w:ind w:firstLine="709"/>
        <w:jc w:val="both"/>
        <w:rPr>
          <w:rFonts w:ascii="Arial" w:hAnsi="Arial" w:cs="Arial"/>
          <w:color w:val="000000" w:themeColor="text1"/>
          <w:sz w:val="19"/>
          <w:szCs w:val="19"/>
          <w:lang w:eastAsia="es-CO"/>
        </w:rPr>
      </w:pPr>
    </w:p>
  </w:footnote>
  <w:footnote w:id="8">
    <w:p w14:paraId="14489A9A"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w:t>
      </w:r>
      <w:r>
        <w:rPr>
          <w:rFonts w:ascii="Arial" w:hAnsi="Arial" w:cs="Arial"/>
          <w:color w:val="000000" w:themeColor="text1"/>
          <w:sz w:val="19"/>
          <w:szCs w:val="19"/>
          <w:lang w:eastAsia="es-CO"/>
        </w:rPr>
        <w:t>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405FBB98"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rPr>
        <w:t>»</w:t>
      </w:r>
      <w:r>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9">
    <w:p w14:paraId="33AC9228" w14:textId="77777777" w:rsidR="00906C6E" w:rsidRDefault="00906C6E" w:rsidP="00906C6E">
      <w:pPr>
        <w:pStyle w:val="Textonotapie"/>
        <w:ind w:firstLine="709"/>
        <w:jc w:val="both"/>
        <w:rPr>
          <w:rFonts w:ascii="Arial" w:hAnsi="Arial" w:cs="Arial"/>
          <w:color w:val="000000" w:themeColor="text1"/>
          <w:sz w:val="19"/>
          <w:szCs w:val="19"/>
        </w:rPr>
      </w:pPr>
    </w:p>
    <w:p w14:paraId="7E6FDD7F" w14:textId="77777777" w:rsidR="00906C6E" w:rsidRDefault="00906C6E" w:rsidP="00906C6E">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Consejo de Estado. Sala de Consulta y Servicio Civil. Consulta del 20 de mayo de 2010. Exp.1992. C. P. Enrique José Arboleda Perdomo.</w:t>
      </w:r>
    </w:p>
    <w:p w14:paraId="24915097" w14:textId="77777777" w:rsidR="00906C6E" w:rsidRDefault="00906C6E" w:rsidP="00906C6E">
      <w:pPr>
        <w:pStyle w:val="Textonotapie"/>
        <w:ind w:firstLine="709"/>
        <w:jc w:val="both"/>
        <w:rPr>
          <w:rFonts w:ascii="Arial" w:hAnsi="Arial" w:cs="Arial"/>
          <w:color w:val="000000" w:themeColor="text1"/>
          <w:sz w:val="19"/>
          <w:szCs w:val="19"/>
        </w:rPr>
      </w:pPr>
    </w:p>
  </w:footnote>
  <w:footnote w:id="10">
    <w:p w14:paraId="75CD89A4"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9266225" w14:textId="77777777" w:rsidR="00906C6E" w:rsidRDefault="00906C6E" w:rsidP="00906C6E">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lang w:eastAsia="es-CO"/>
        </w:rPr>
        <w:t xml:space="preserve">[...]». </w:t>
      </w:r>
      <w:r>
        <w:rPr>
          <w:rFonts w:ascii="Arial" w:hAnsi="Arial" w:cs="Arial"/>
          <w:color w:val="000000" w:themeColor="text1"/>
          <w:sz w:val="19"/>
          <w:szCs w:val="19"/>
        </w:rPr>
        <w:t xml:space="preserve"> </w:t>
      </w:r>
    </w:p>
    <w:p w14:paraId="0090122B" w14:textId="77777777" w:rsidR="00906C6E" w:rsidRDefault="00906C6E" w:rsidP="00906C6E">
      <w:pPr>
        <w:pStyle w:val="Textonotapie"/>
        <w:ind w:firstLine="708"/>
        <w:jc w:val="both"/>
        <w:rPr>
          <w:rFonts w:ascii="Arial" w:hAnsi="Arial" w:cs="Arial"/>
          <w:color w:val="000000" w:themeColor="text1"/>
          <w:sz w:val="19"/>
          <w:szCs w:val="19"/>
          <w:lang w:val="es-CO"/>
        </w:rPr>
      </w:pPr>
    </w:p>
  </w:footnote>
  <w:footnote w:id="11">
    <w:p w14:paraId="32159E3D" w14:textId="77777777" w:rsidR="00906C6E" w:rsidRDefault="00906C6E" w:rsidP="00906C6E">
      <w:pPr>
        <w:pStyle w:val="Textonotapie"/>
        <w:ind w:firstLine="708"/>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w:t>
      </w:r>
      <w:r>
        <w:rPr>
          <w:rFonts w:ascii="Arial" w:hAnsi="Arial"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Pr>
          <w:rFonts w:ascii="Arial" w:hAnsi="Arial" w:cs="Arial"/>
          <w:color w:val="000000" w:themeColor="text1"/>
          <w:sz w:val="19"/>
          <w:szCs w:val="19"/>
          <w:lang w:eastAsia="es-CO"/>
        </w:rPr>
        <w:t xml:space="preserve">[...]». </w:t>
      </w:r>
      <w:r>
        <w:rPr>
          <w:rFonts w:ascii="Arial" w:hAnsi="Arial" w:cs="Arial"/>
          <w:color w:val="000000" w:themeColor="text1"/>
          <w:sz w:val="19"/>
          <w:szCs w:val="19"/>
        </w:rPr>
        <w:t xml:space="preserve"> </w:t>
      </w:r>
    </w:p>
    <w:p w14:paraId="026460DC" w14:textId="77777777" w:rsidR="00906C6E" w:rsidRDefault="00906C6E" w:rsidP="00906C6E">
      <w:pPr>
        <w:pStyle w:val="Textonotapie"/>
        <w:ind w:firstLine="709"/>
        <w:jc w:val="both"/>
        <w:rPr>
          <w:rFonts w:ascii="Arial" w:hAnsi="Arial" w:cs="Arial"/>
          <w:color w:val="000000" w:themeColor="text1"/>
          <w:sz w:val="19"/>
          <w:szCs w:val="19"/>
        </w:rPr>
      </w:pPr>
    </w:p>
  </w:footnote>
  <w:footnote w:id="12">
    <w:p w14:paraId="5FE4769A" w14:textId="77777777" w:rsidR="00906C6E" w:rsidRDefault="00906C6E" w:rsidP="00906C6E">
      <w:pPr>
        <w:pStyle w:val="Textonotapie"/>
        <w:ind w:firstLine="708"/>
        <w:jc w:val="both"/>
        <w:rPr>
          <w:rFonts w:ascii="Arial" w:hAnsi="Arial" w:cs="Arial"/>
          <w:color w:val="000000" w:themeColor="text1"/>
          <w:sz w:val="19"/>
          <w:szCs w:val="19"/>
          <w:shd w:val="clear" w:color="auto" w:fill="FFFFFF"/>
        </w:rPr>
      </w:pPr>
      <w:r>
        <w:rPr>
          <w:rStyle w:val="Refdenotaalpie"/>
          <w:rFonts w:ascii="Arial" w:hAnsi="Arial" w:cs="Arial"/>
          <w:color w:val="000000" w:themeColor="text1"/>
          <w:sz w:val="19"/>
          <w:szCs w:val="19"/>
        </w:rPr>
        <w:footnoteRef/>
      </w:r>
      <w:r>
        <w:rPr>
          <w:rFonts w:ascii="Arial" w:hAnsi="Arial" w:cs="Arial"/>
          <w:color w:val="000000" w:themeColor="text1"/>
          <w:sz w:val="19"/>
          <w:szCs w:val="19"/>
          <w:lang w:eastAsia="es-CO"/>
        </w:rPr>
        <w:t>«</w:t>
      </w:r>
      <w:r>
        <w:rPr>
          <w:rStyle w:val="Textoennegrita"/>
          <w:rFonts w:ascii="Arial" w:hAnsi="Arial" w:cs="Arial"/>
          <w:color w:val="000000" w:themeColor="text1"/>
          <w:sz w:val="19"/>
          <w:szCs w:val="19"/>
          <w:shd w:val="clear" w:color="auto" w:fill="FFFFFF"/>
        </w:rPr>
        <w:t>Artículo 2.2.1.1.1.5.1.</w:t>
      </w:r>
      <w:r>
        <w:rPr>
          <w:rStyle w:val="Textoennegrita"/>
          <w:rFonts w:ascii="Arial" w:hAnsi="Arial" w:cs="Arial"/>
          <w:i/>
          <w:color w:val="000000" w:themeColor="text1"/>
          <w:sz w:val="19"/>
          <w:szCs w:val="19"/>
          <w:shd w:val="clear" w:color="auto" w:fill="FFFFFF"/>
        </w:rPr>
        <w:t> </w:t>
      </w:r>
      <w:r>
        <w:rPr>
          <w:rStyle w:val="nfasis"/>
          <w:rFonts w:ascii="Arial" w:hAnsi="Arial" w:cs="Arial"/>
          <w:bCs/>
          <w:color w:val="000000" w:themeColor="text1"/>
          <w:sz w:val="19"/>
          <w:szCs w:val="19"/>
          <w:shd w:val="clear" w:color="auto" w:fill="FFFFFF"/>
        </w:rPr>
        <w:t>Inscripción, renovación, actualización y cancelación del RUP.</w:t>
      </w:r>
      <w:r>
        <w:rPr>
          <w:rStyle w:val="nfasis"/>
          <w:rFonts w:ascii="Arial" w:hAnsi="Arial" w:cs="Arial"/>
          <w:color w:val="000000" w:themeColor="text1"/>
          <w:sz w:val="19"/>
          <w:szCs w:val="19"/>
          <w:shd w:val="clear" w:color="auto" w:fill="FFFFFF"/>
        </w:rPr>
        <w:t> </w:t>
      </w:r>
      <w:r>
        <w:rPr>
          <w:rFonts w:ascii="Arial" w:hAnsi="Arial" w:cs="Arial"/>
          <w:color w:val="000000" w:themeColor="text1"/>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color w:val="000000" w:themeColor="text1"/>
          <w:sz w:val="19"/>
          <w:szCs w:val="19"/>
          <w:lang w:eastAsia="es-CO"/>
        </w:rPr>
        <w:t>»</w:t>
      </w:r>
      <w:r>
        <w:rPr>
          <w:rFonts w:ascii="Arial" w:hAnsi="Arial" w:cs="Arial"/>
          <w:color w:val="000000" w:themeColor="text1"/>
          <w:sz w:val="19"/>
          <w:szCs w:val="19"/>
          <w:shd w:val="clear" w:color="auto" w:fill="FFFFFF"/>
        </w:rPr>
        <w:t>.</w:t>
      </w:r>
    </w:p>
    <w:p w14:paraId="5AA6ED9E" w14:textId="77777777" w:rsidR="00906C6E" w:rsidRDefault="00906C6E" w:rsidP="00906C6E">
      <w:pPr>
        <w:pStyle w:val="Textonotapie"/>
        <w:ind w:firstLine="708"/>
        <w:jc w:val="both"/>
        <w:rPr>
          <w:rFonts w:ascii="Arial" w:hAnsi="Arial" w:cs="Arial"/>
          <w:color w:val="000000" w:themeColor="text1"/>
          <w:sz w:val="19"/>
          <w:szCs w:val="19"/>
          <w:lang w:val="es-CO"/>
        </w:rPr>
      </w:pPr>
    </w:p>
  </w:footnote>
  <w:footnote w:id="13">
    <w:p w14:paraId="50F69C44" w14:textId="77777777" w:rsidR="00906C6E" w:rsidRDefault="00906C6E" w:rsidP="00906C6E">
      <w:pPr>
        <w:pStyle w:val="Textonotapie"/>
        <w:ind w:firstLine="709"/>
        <w:jc w:val="both"/>
        <w:rPr>
          <w:rFonts w:ascii="Arial" w:hAnsi="Arial" w:cs="Arial"/>
          <w:color w:val="000000" w:themeColor="text1"/>
          <w:sz w:val="19"/>
          <w:szCs w:val="19"/>
          <w:lang w:eastAsia="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eastAsia="es-CO"/>
        </w:rPr>
        <w:t>Decreto 1082 de 2015:</w:t>
      </w:r>
      <w:r>
        <w:rPr>
          <w:rFonts w:ascii="Arial" w:hAnsi="Arial" w:cs="Arial"/>
          <w:color w:val="000000" w:themeColor="text1"/>
          <w:sz w:val="19"/>
          <w:szCs w:val="19"/>
        </w:rPr>
        <w:t xml:space="preserve"> </w:t>
      </w:r>
      <w:r>
        <w:rPr>
          <w:rFonts w:ascii="Arial" w:hAnsi="Arial"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FD5BCB0"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65B47990" w14:textId="77777777" w:rsidR="00906C6E" w:rsidRDefault="00906C6E" w:rsidP="00906C6E">
      <w:pPr>
        <w:pStyle w:val="Textonotapie"/>
        <w:ind w:firstLine="709"/>
        <w:jc w:val="both"/>
        <w:rPr>
          <w:rFonts w:ascii="Arial" w:hAnsi="Arial" w:cs="Arial"/>
          <w:color w:val="000000" w:themeColor="text1"/>
          <w:sz w:val="19"/>
          <w:szCs w:val="19"/>
          <w:lang w:eastAsia="es-CO"/>
        </w:rPr>
      </w:pPr>
      <w:r>
        <w:rPr>
          <w:rFonts w:ascii="Arial" w:hAnsi="Arial" w:cs="Arial"/>
          <w:color w:val="000000" w:themeColor="text1"/>
          <w:sz w:val="19"/>
          <w:szCs w:val="19"/>
          <w:lang w:eastAsia="es-CO"/>
        </w:rPr>
        <w:t>»Los inscritos en el RUP pueden en cualquier momento solicitar a la cámara de comercio cancelar su inscripción».</w:t>
      </w:r>
    </w:p>
    <w:p w14:paraId="57A86A0B" w14:textId="77777777" w:rsidR="00906C6E" w:rsidRDefault="00906C6E" w:rsidP="00906C6E">
      <w:pPr>
        <w:pStyle w:val="Textonotapie"/>
        <w:ind w:firstLine="709"/>
        <w:jc w:val="both"/>
        <w:rPr>
          <w:rFonts w:ascii="Arial" w:hAnsi="Arial" w:cs="Arial"/>
          <w:color w:val="000000" w:themeColor="text1"/>
          <w:sz w:val="19"/>
          <w:szCs w:val="19"/>
          <w:lang w:val="es-ES"/>
        </w:rPr>
      </w:pPr>
    </w:p>
  </w:footnote>
  <w:footnote w:id="14">
    <w:p w14:paraId="3E0FB53C" w14:textId="77777777" w:rsidR="00D30553" w:rsidRPr="0093085B" w:rsidRDefault="00D30553" w:rsidP="0031475A">
      <w:pPr>
        <w:pStyle w:val="NormalWeb"/>
        <w:spacing w:before="0" w:beforeAutospacing="0" w:after="0" w:afterAutospacing="0"/>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sidRPr="0093085B">
        <w:rPr>
          <w:rFonts w:ascii="Arial" w:hAnsi="Arial" w:cs="Arial"/>
          <w:color w:val="000000" w:themeColor="text1"/>
          <w:sz w:val="19"/>
          <w:szCs w:val="19"/>
          <w:lang w:val="es-ES"/>
        </w:rPr>
        <w:t>Art 6 Ley 1150 de 2007 “</w:t>
      </w:r>
      <w:r w:rsidRPr="0093085B">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BA8A18D" w14:textId="77777777" w:rsidR="00D30553" w:rsidRPr="0093085B" w:rsidRDefault="00D30553" w:rsidP="0031475A">
      <w:pPr>
        <w:pStyle w:val="NormalWeb"/>
        <w:spacing w:before="0" w:beforeAutospacing="0" w:after="0" w:afterAutospacing="0"/>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93CF4EB" w14:textId="274530B9" w:rsidR="00D30553" w:rsidRDefault="00D30553" w:rsidP="00F85DE0">
      <w:pPr>
        <w:pStyle w:val="NormalWeb"/>
        <w:spacing w:before="0" w:beforeAutospacing="0" w:after="0" w:afterAutospacing="0"/>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En dicho registro constará la información relacionada con la experiencia, capacidad jurídica, financiera y de organización del proponente y su clasificación</w:t>
      </w:r>
      <w:r>
        <w:rPr>
          <w:rFonts w:ascii="Arial" w:hAnsi="Arial" w:cs="Arial"/>
          <w:color w:val="000000" w:themeColor="text1"/>
          <w:sz w:val="19"/>
          <w:szCs w:val="19"/>
        </w:rPr>
        <w:t>”</w:t>
      </w:r>
      <w:r w:rsidRPr="0093085B">
        <w:rPr>
          <w:rFonts w:ascii="Arial" w:hAnsi="Arial" w:cs="Arial"/>
          <w:color w:val="000000" w:themeColor="text1"/>
          <w:sz w:val="19"/>
          <w:szCs w:val="19"/>
        </w:rPr>
        <w:t>.</w:t>
      </w:r>
    </w:p>
    <w:p w14:paraId="246AE5D3" w14:textId="77777777" w:rsidR="00F85DE0" w:rsidRPr="0093085B" w:rsidRDefault="00F85DE0" w:rsidP="0031475A">
      <w:pPr>
        <w:pStyle w:val="NormalWeb"/>
        <w:spacing w:before="0" w:beforeAutospacing="0" w:after="0" w:afterAutospacing="0"/>
        <w:ind w:firstLine="708"/>
        <w:jc w:val="both"/>
        <w:rPr>
          <w:rFonts w:ascii="Arial" w:hAnsi="Arial" w:cs="Arial"/>
          <w:color w:val="000000" w:themeColor="text1"/>
          <w:sz w:val="19"/>
          <w:szCs w:val="19"/>
        </w:rPr>
      </w:pPr>
    </w:p>
  </w:footnote>
  <w:footnote w:id="15">
    <w:p w14:paraId="728CB6C8" w14:textId="77777777" w:rsidR="00D30553" w:rsidRPr="0093085B" w:rsidRDefault="00D30553" w:rsidP="00906C6E">
      <w:pPr>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Pr>
          <w:rFonts w:ascii="Arial" w:hAnsi="Arial" w:cs="Arial"/>
          <w:color w:val="000000" w:themeColor="text1"/>
          <w:sz w:val="19"/>
          <w:szCs w:val="19"/>
        </w:rPr>
        <w:t>“</w:t>
      </w: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color w:val="000000" w:themeColor="text1"/>
          <w:sz w:val="19"/>
          <w:szCs w:val="19"/>
        </w:rPr>
        <w:t xml:space="preserve">”. </w:t>
      </w:r>
    </w:p>
    <w:p w14:paraId="1B4D0793" w14:textId="77777777" w:rsidR="00D30553" w:rsidRPr="0093085B" w:rsidRDefault="00D30553" w:rsidP="0055562A">
      <w:pPr>
        <w:pStyle w:val="Textonotapie"/>
        <w:rPr>
          <w:lang w:val="es-ES"/>
        </w:rPr>
      </w:pPr>
    </w:p>
  </w:footnote>
  <w:footnote w:id="16">
    <w:p w14:paraId="7528620C" w14:textId="77777777" w:rsidR="00D30553" w:rsidRPr="00230490" w:rsidRDefault="00D30553">
      <w:pPr>
        <w:pStyle w:val="Textonotapie"/>
        <w:ind w:firstLine="708"/>
        <w:jc w:val="both"/>
        <w:rPr>
          <w:rFonts w:ascii="Arial" w:hAnsi="Arial" w:cs="Arial"/>
          <w:sz w:val="19"/>
          <w:szCs w:val="19"/>
        </w:rPr>
      </w:pPr>
      <w:r w:rsidRPr="00230490">
        <w:rPr>
          <w:rStyle w:val="Refdenotaalpie"/>
          <w:rFonts w:ascii="Arial" w:hAnsi="Arial" w:cs="Arial"/>
          <w:sz w:val="19"/>
          <w:szCs w:val="19"/>
        </w:rPr>
        <w:footnoteRef/>
      </w:r>
      <w:r w:rsidRPr="00230490">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94669C9" w14:textId="77777777" w:rsidR="00D30553" w:rsidRPr="00230490" w:rsidRDefault="00D30553">
      <w:pPr>
        <w:pStyle w:val="Textonotapie"/>
        <w:ind w:firstLine="708"/>
        <w:jc w:val="both"/>
        <w:rPr>
          <w:rFonts w:ascii="Arial" w:hAnsi="Arial" w:cs="Arial"/>
          <w:sz w:val="19"/>
          <w:szCs w:val="19"/>
          <w:lang w:val="es-ES"/>
        </w:rPr>
      </w:pPr>
    </w:p>
  </w:footnote>
  <w:footnote w:id="17">
    <w:p w14:paraId="0D550E94" w14:textId="77777777" w:rsidR="00D30553" w:rsidRPr="00230490" w:rsidRDefault="00D30553">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lang w:val="es-ES"/>
        </w:rPr>
        <w:t>Disponible en:</w:t>
      </w:r>
    </w:p>
    <w:p w14:paraId="131CECFB" w14:textId="77777777" w:rsidR="00D30553" w:rsidRPr="00230490" w:rsidRDefault="00D30553">
      <w:pPr>
        <w:pStyle w:val="Textonotapie"/>
        <w:ind w:firstLine="709"/>
        <w:jc w:val="both"/>
        <w:rPr>
          <w:rFonts w:ascii="Arial" w:hAnsi="Arial" w:cs="Arial"/>
          <w:sz w:val="19"/>
          <w:szCs w:val="19"/>
          <w:lang w:val="es-ES"/>
        </w:rPr>
      </w:pPr>
      <w:hyperlink r:id="rId1" w:history="1">
        <w:r w:rsidRPr="0031475A">
          <w:rPr>
            <w:rStyle w:val="Hipervnculo"/>
            <w:rFonts w:ascii="Arial" w:hAnsi="Arial" w:cs="Arial"/>
            <w:color w:val="0070C0"/>
            <w:sz w:val="19"/>
            <w:szCs w:val="19"/>
            <w:lang w:val="es-ES"/>
          </w:rPr>
          <w:t>https://www.colombiacompra.gov.co/sites/cce_public/files/cce_documents/cce_manual_requisitos_habilitantes.pdf</w:t>
        </w:r>
      </w:hyperlink>
      <w:r>
        <w:rPr>
          <w:rFonts w:ascii="Arial" w:hAnsi="Arial" w:cs="Arial"/>
          <w:sz w:val="19"/>
          <w:szCs w:val="19"/>
          <w:lang w:val="es-ES"/>
        </w:rPr>
        <w:t xml:space="preserve">. </w:t>
      </w:r>
    </w:p>
  </w:footnote>
  <w:footnote w:id="18">
    <w:p w14:paraId="57BC08E9" w14:textId="77777777" w:rsidR="00D30553" w:rsidRPr="00230490" w:rsidRDefault="00D30553">
      <w:pPr>
        <w:pStyle w:val="Textonotapie"/>
        <w:ind w:firstLine="709"/>
        <w:jc w:val="both"/>
        <w:rPr>
          <w:rFonts w:ascii="Arial" w:hAnsi="Arial" w:cs="Arial"/>
          <w:sz w:val="19"/>
          <w:szCs w:val="19"/>
        </w:rPr>
      </w:pPr>
    </w:p>
    <w:p w14:paraId="63AEC788" w14:textId="77777777" w:rsidR="00D30553" w:rsidRPr="00230490" w:rsidRDefault="00D30553">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lang w:val="es-ES"/>
        </w:rPr>
        <w:t>Ibíd.</w:t>
      </w:r>
    </w:p>
  </w:footnote>
  <w:footnote w:id="19">
    <w:p w14:paraId="43299408" w14:textId="77777777" w:rsidR="00D30553" w:rsidRDefault="00D30553">
      <w:pPr>
        <w:pStyle w:val="Textonotapie"/>
        <w:ind w:firstLine="708"/>
        <w:jc w:val="both"/>
        <w:rPr>
          <w:rFonts w:ascii="Arial" w:hAnsi="Arial" w:cs="Arial"/>
          <w:sz w:val="19"/>
          <w:szCs w:val="19"/>
        </w:rPr>
      </w:pPr>
      <w:r w:rsidRPr="00230490">
        <w:rPr>
          <w:rStyle w:val="Refdenotaalpie"/>
          <w:rFonts w:ascii="Arial" w:hAnsi="Arial" w:cs="Arial"/>
          <w:sz w:val="19"/>
          <w:szCs w:val="19"/>
        </w:rPr>
        <w:footnoteRef/>
      </w:r>
      <w:r w:rsidRPr="00230490">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2D20D8C4" w14:textId="77777777" w:rsidR="00D30553" w:rsidRPr="00230490" w:rsidRDefault="00D30553">
      <w:pPr>
        <w:pStyle w:val="Textonotapie"/>
        <w:ind w:firstLine="708"/>
        <w:jc w:val="both"/>
        <w:rPr>
          <w:rFonts w:ascii="Arial" w:hAnsi="Arial" w:cs="Arial"/>
          <w:sz w:val="19"/>
          <w:szCs w:val="19"/>
          <w:lang w:val="es-ES"/>
        </w:rPr>
      </w:pPr>
    </w:p>
  </w:footnote>
  <w:footnote w:id="20">
    <w:p w14:paraId="60289338" w14:textId="77777777" w:rsidR="00D30553" w:rsidRDefault="00D30553" w:rsidP="0031475A">
      <w:pPr>
        <w:pStyle w:val="Textonotapie"/>
        <w:ind w:firstLine="708"/>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2" w:history="1">
        <w:r w:rsidRPr="0031475A">
          <w:rPr>
            <w:rStyle w:val="Hipervnculo"/>
            <w:rFonts w:ascii="Arial" w:hAnsi="Arial" w:cs="Arial"/>
            <w:color w:val="0070C0"/>
            <w:sz w:val="19"/>
            <w:szCs w:val="19"/>
            <w:lang w:val="es-ES"/>
          </w:rPr>
          <w:t>https://colombiacompra.gov.co/sites/default/files/manuales/20140901_manual_requisitos_habilitantes_4_web.pdf</w:t>
        </w:r>
      </w:hyperlink>
      <w:r>
        <w:rPr>
          <w:rFonts w:ascii="Arial" w:hAnsi="Arial" w:cs="Arial"/>
          <w:sz w:val="19"/>
          <w:szCs w:val="19"/>
          <w:lang w:val="es-ES"/>
        </w:rPr>
        <w:t xml:space="preserve">. </w:t>
      </w:r>
    </w:p>
    <w:p w14:paraId="0FA4B825" w14:textId="77777777" w:rsidR="00D30553" w:rsidRPr="00230490" w:rsidRDefault="00D30553" w:rsidP="00906C6E">
      <w:pPr>
        <w:pStyle w:val="Textonotapie"/>
        <w:ind w:firstLine="567"/>
        <w:jc w:val="both"/>
        <w:rPr>
          <w:rFonts w:ascii="Arial" w:hAnsi="Arial" w:cs="Arial"/>
          <w:sz w:val="19"/>
          <w:szCs w:val="19"/>
          <w:lang w:val="es-ES"/>
        </w:rPr>
      </w:pPr>
    </w:p>
  </w:footnote>
  <w:footnote w:id="21">
    <w:p w14:paraId="3D390D07" w14:textId="77777777" w:rsidR="00D30553" w:rsidRPr="00230490" w:rsidRDefault="00D30553" w:rsidP="00906C6E">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rPr>
        <w:t>Ibídem.</w:t>
      </w:r>
    </w:p>
  </w:footnote>
  <w:footnote w:id="22">
    <w:p w14:paraId="50B5981D" w14:textId="77777777" w:rsidR="00D30553" w:rsidRPr="00230490" w:rsidRDefault="00D30553" w:rsidP="0055562A">
      <w:pPr>
        <w:pStyle w:val="Textonotapie"/>
        <w:ind w:firstLine="709"/>
        <w:jc w:val="both"/>
        <w:rPr>
          <w:rFonts w:ascii="Arial" w:hAnsi="Arial" w:cs="Arial"/>
          <w:sz w:val="19"/>
          <w:szCs w:val="19"/>
        </w:rPr>
      </w:pPr>
    </w:p>
    <w:p w14:paraId="5689EB6C" w14:textId="33477BC2" w:rsidR="00D30553" w:rsidRDefault="00D30553">
      <w:pPr>
        <w:pStyle w:val="Textonotapie"/>
        <w:ind w:firstLine="709"/>
        <w:jc w:val="both"/>
        <w:rPr>
          <w:rFonts w:ascii="Arial" w:hAnsi="Arial" w:cs="Arial"/>
          <w:sz w:val="19"/>
          <w:szCs w:val="19"/>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rPr>
        <w:t>Dice el Manual que: «[...] En atención a la naturaleza del contrato a suscribir y de su valor, plazo y forma de pago, la Entidad Estatal debe hacer uso de los indicadores que considere adecuados respecto al objeto del Proceso de Contratación.</w:t>
      </w:r>
    </w:p>
    <w:p w14:paraId="041984DA" w14:textId="77777777" w:rsidR="00D30553" w:rsidRPr="00230490" w:rsidRDefault="00D30553">
      <w:pPr>
        <w:pStyle w:val="Textonotapie"/>
        <w:ind w:firstLine="709"/>
        <w:jc w:val="both"/>
        <w:rPr>
          <w:rFonts w:ascii="Arial" w:hAnsi="Arial" w:cs="Arial"/>
          <w:sz w:val="19"/>
          <w:szCs w:val="19"/>
        </w:rPr>
      </w:pPr>
      <w:r w:rsidRPr="00230490">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23">
    <w:p w14:paraId="620A40E9" w14:textId="77777777" w:rsidR="00D30553" w:rsidRPr="00230490" w:rsidRDefault="00D30553">
      <w:pPr>
        <w:pStyle w:val="Textonotapie"/>
        <w:ind w:firstLine="709"/>
        <w:jc w:val="both"/>
        <w:rPr>
          <w:rFonts w:ascii="Arial" w:hAnsi="Arial" w:cs="Arial"/>
          <w:sz w:val="19"/>
          <w:szCs w:val="19"/>
        </w:rPr>
      </w:pPr>
    </w:p>
    <w:p w14:paraId="3E6920CF" w14:textId="77777777" w:rsidR="00D30553" w:rsidRPr="00230490" w:rsidRDefault="00D30553">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rPr>
        <w:t>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24">
    <w:p w14:paraId="7F52B8B1" w14:textId="77777777" w:rsidR="009108BF" w:rsidRPr="00AC7A12" w:rsidRDefault="009108BF">
      <w:pPr>
        <w:pStyle w:val="Textonotapie"/>
        <w:ind w:firstLine="709"/>
        <w:jc w:val="both"/>
        <w:rPr>
          <w:rFonts w:ascii="Arial" w:hAnsi="Arial" w:cs="Arial"/>
          <w:sz w:val="19"/>
          <w:szCs w:val="19"/>
        </w:rPr>
      </w:pPr>
    </w:p>
    <w:p w14:paraId="6E2239C2" w14:textId="1609C16D" w:rsidR="00FF2EA5" w:rsidRPr="00AC7A12" w:rsidRDefault="00FF2EA5">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7E56AE">
        <w:rPr>
          <w:rFonts w:ascii="Arial" w:hAnsi="Arial" w:cs="Arial"/>
          <w:sz w:val="19"/>
          <w:szCs w:val="19"/>
        </w:rPr>
        <w:t>En efecto</w:t>
      </w:r>
      <w:r w:rsidRPr="00AC7A12">
        <w:rPr>
          <w:rFonts w:ascii="Arial" w:hAnsi="Arial" w:cs="Arial"/>
          <w:sz w:val="19"/>
          <w:szCs w:val="19"/>
          <w:lang w:val="es-ES"/>
        </w:rPr>
        <w:t xml:space="preserve">, es importante mencionar desde este momento que </w:t>
      </w:r>
      <w:r w:rsidR="009108BF" w:rsidRPr="00AC7A12">
        <w:rPr>
          <w:rFonts w:ascii="Arial" w:hAnsi="Arial" w:cs="Arial"/>
          <w:sz w:val="19"/>
          <w:szCs w:val="19"/>
          <w:lang w:val="es-ES"/>
        </w:rPr>
        <w:t xml:space="preserve">mediante </w:t>
      </w:r>
      <w:r w:rsidRPr="00AC7A12">
        <w:rPr>
          <w:rFonts w:ascii="Arial" w:hAnsi="Arial" w:cs="Arial"/>
          <w:sz w:val="19"/>
          <w:szCs w:val="19"/>
          <w:lang w:val="es-ES"/>
        </w:rPr>
        <w:t>el Decreto 579</w:t>
      </w:r>
      <w:r w:rsidR="009108BF" w:rsidRPr="00AC7A12">
        <w:rPr>
          <w:rFonts w:ascii="Arial" w:hAnsi="Arial" w:cs="Arial"/>
          <w:sz w:val="19"/>
          <w:szCs w:val="19"/>
          <w:lang w:val="es-ES"/>
        </w:rPr>
        <w:t xml:space="preserve"> </w:t>
      </w:r>
      <w:r w:rsidRPr="00AC7A12">
        <w:rPr>
          <w:rFonts w:ascii="Arial" w:hAnsi="Arial" w:cs="Arial"/>
          <w:sz w:val="19"/>
          <w:szCs w:val="19"/>
          <w:lang w:val="es-ES"/>
        </w:rPr>
        <w:t>de 2021,</w:t>
      </w:r>
      <w:r w:rsidR="009108BF" w:rsidRPr="00AC7A12">
        <w:rPr>
          <w:rFonts w:ascii="Arial" w:hAnsi="Arial" w:cs="Arial"/>
          <w:sz w:val="19"/>
          <w:szCs w:val="19"/>
          <w:lang w:val="es-ES"/>
        </w:rPr>
        <w:t xml:space="preserve"> </w:t>
      </w:r>
      <w:r w:rsidRPr="00AC7A12">
        <w:rPr>
          <w:rFonts w:ascii="Arial" w:hAnsi="Arial" w:cs="Arial"/>
          <w:sz w:val="19"/>
          <w:szCs w:val="19"/>
          <w:lang w:val="es-ES"/>
        </w:rPr>
        <w:t>expedido recientemente, el gobierno nacional anticipó estas medidas, sustituyendo algunos parágrafos</w:t>
      </w:r>
      <w:r w:rsidR="009108BF" w:rsidRPr="00AC7A12">
        <w:rPr>
          <w:rFonts w:ascii="Arial" w:hAnsi="Arial" w:cs="Arial"/>
          <w:sz w:val="19"/>
          <w:szCs w:val="19"/>
          <w:lang w:val="es-ES"/>
        </w:rPr>
        <w:t xml:space="preserve"> transitorios que había agregado el Decreto 399 de 2021, como se explicará más adelante.</w:t>
      </w:r>
      <w:r w:rsidR="00162311" w:rsidRPr="00AC7A12">
        <w:rPr>
          <w:rFonts w:ascii="Arial" w:hAnsi="Arial" w:cs="Arial"/>
          <w:sz w:val="19"/>
          <w:szCs w:val="19"/>
          <w:lang w:val="es-ES"/>
        </w:rPr>
        <w:t xml:space="preserve"> Concretamente, </w:t>
      </w:r>
      <w:r w:rsidR="00A642EA" w:rsidRPr="00AC7A12">
        <w:rPr>
          <w:rFonts w:ascii="Arial" w:hAnsi="Arial" w:cs="Arial"/>
          <w:sz w:val="19"/>
          <w:szCs w:val="19"/>
          <w:lang w:val="es-ES"/>
        </w:rPr>
        <w:t>el Decreto 579 de 2021</w:t>
      </w:r>
      <w:r w:rsidR="00162311" w:rsidRPr="00AC7A12">
        <w:rPr>
          <w:rFonts w:ascii="Arial" w:hAnsi="Arial" w:cs="Arial"/>
          <w:sz w:val="19"/>
          <w:szCs w:val="19"/>
          <w:lang w:val="es-ES"/>
        </w:rPr>
        <w:t xml:space="preserve"> </w:t>
      </w:r>
      <w:r w:rsidR="00A642EA" w:rsidRPr="00AC7A12">
        <w:rPr>
          <w:rFonts w:ascii="Arial" w:hAnsi="Arial" w:cs="Arial"/>
          <w:sz w:val="19"/>
          <w:szCs w:val="19"/>
          <w:lang w:val="es-ES"/>
        </w:rPr>
        <w:t xml:space="preserve">establece </w:t>
      </w:r>
      <w:r w:rsidR="00162311" w:rsidRPr="00AC7A12">
        <w:rPr>
          <w:rFonts w:ascii="Arial" w:hAnsi="Arial" w:cs="Arial"/>
          <w:sz w:val="19"/>
          <w:szCs w:val="19"/>
          <w:lang w:val="es-ES"/>
        </w:rPr>
        <w:t xml:space="preserve">que en los procesos de selección cuyo acto administrativo de apertura o invitación se publique a partir del 1 de </w:t>
      </w:r>
      <w:r w:rsidR="00162311" w:rsidRPr="00AC7A12">
        <w:rPr>
          <w:rFonts w:ascii="Arial" w:hAnsi="Arial" w:cs="Arial"/>
          <w:i/>
          <w:iCs/>
          <w:sz w:val="19"/>
          <w:szCs w:val="19"/>
          <w:lang w:val="es-ES"/>
        </w:rPr>
        <w:t>julio</w:t>
      </w:r>
      <w:r w:rsidR="00162311"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25">
    <w:p w14:paraId="71D9F08D" w14:textId="24DA22C4" w:rsidR="00FE7A8F" w:rsidRPr="00AC7A12" w:rsidRDefault="008861E3">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FE7A8F" w:rsidRPr="00AC7A12">
        <w:rPr>
          <w:rFonts w:ascii="Arial" w:hAnsi="Arial" w:cs="Arial"/>
          <w:sz w:val="19"/>
          <w:szCs w:val="19"/>
          <w:lang w:val="es-ES"/>
        </w:rPr>
        <w:t>«</w:t>
      </w:r>
      <w:proofErr w:type="gramStart"/>
      <w:r w:rsidR="00245B4D" w:rsidRPr="00AC7A12">
        <w:rPr>
          <w:rFonts w:ascii="Arial" w:hAnsi="Arial" w:cs="Arial"/>
          <w:sz w:val="19"/>
          <w:szCs w:val="19"/>
          <w:lang w:val="es-ES"/>
        </w:rPr>
        <w:t>Artículo  1</w:t>
      </w:r>
      <w:proofErr w:type="gramEnd"/>
      <w:r w:rsidR="00FE7A8F" w:rsidRPr="00AC7A12">
        <w:rPr>
          <w:rFonts w:ascii="Arial" w:hAnsi="Arial" w:cs="Arial"/>
          <w:sz w:val="19"/>
          <w:szCs w:val="19"/>
          <w:lang w:val="es-ES"/>
        </w:rPr>
        <w:t xml:space="preserve">. </w:t>
      </w:r>
      <w:r w:rsidR="00245B4D" w:rsidRPr="00AC7A12">
        <w:rPr>
          <w:rFonts w:ascii="Arial" w:hAnsi="Arial" w:cs="Arial"/>
          <w:sz w:val="19"/>
          <w:szCs w:val="19"/>
          <w:lang w:val="es-ES"/>
        </w:rPr>
        <w:t xml:space="preserve">Sustitución de los parágrafos transitorios del artículo </w:t>
      </w:r>
      <w:r w:rsidR="00FE7A8F" w:rsidRPr="00AC7A12">
        <w:rPr>
          <w:rFonts w:ascii="Arial" w:hAnsi="Arial" w:cs="Arial"/>
          <w:sz w:val="19"/>
          <w:szCs w:val="19"/>
          <w:lang w:val="es-ES"/>
        </w:rPr>
        <w:t xml:space="preserve">2.2.1.1.1.5.2. del Decreto 1082 de 2015, Único Reglamentario del Sector Administrativo de Planeación Nacional. </w:t>
      </w:r>
      <w:r w:rsidR="000305F1" w:rsidRPr="00AC7A12">
        <w:rPr>
          <w:rFonts w:ascii="Arial" w:hAnsi="Arial" w:cs="Arial"/>
          <w:sz w:val="19"/>
          <w:szCs w:val="19"/>
          <w:lang w:val="es-ES"/>
        </w:rPr>
        <w:t>Sustitúyase</w:t>
      </w:r>
      <w:r w:rsidR="00FE7A8F" w:rsidRPr="00AC7A12">
        <w:rPr>
          <w:rFonts w:ascii="Arial" w:hAnsi="Arial" w:cs="Arial"/>
          <w:sz w:val="19"/>
          <w:szCs w:val="19"/>
          <w:lang w:val="es-ES"/>
        </w:rPr>
        <w:t xml:space="preserve"> </w:t>
      </w:r>
      <w:r w:rsidR="000305F1" w:rsidRPr="00AC7A12">
        <w:rPr>
          <w:rFonts w:ascii="Arial" w:hAnsi="Arial" w:cs="Arial"/>
          <w:sz w:val="19"/>
          <w:szCs w:val="19"/>
          <w:lang w:val="es-ES"/>
        </w:rPr>
        <w:t xml:space="preserve">los parágrafos </w:t>
      </w:r>
      <w:r w:rsidR="00A42EF9" w:rsidRPr="00AC7A12">
        <w:rPr>
          <w:rFonts w:ascii="Arial" w:hAnsi="Arial" w:cs="Arial"/>
          <w:sz w:val="19"/>
          <w:szCs w:val="19"/>
          <w:lang w:val="es-ES"/>
        </w:rPr>
        <w:t xml:space="preserve">transitorios </w:t>
      </w:r>
      <w:r w:rsidR="000305F1" w:rsidRPr="00AC7A12">
        <w:rPr>
          <w:rFonts w:ascii="Arial" w:hAnsi="Arial" w:cs="Arial"/>
          <w:sz w:val="19"/>
          <w:szCs w:val="19"/>
          <w:lang w:val="es-ES"/>
        </w:rPr>
        <w:t>del</w:t>
      </w:r>
      <w:r w:rsidR="00FE7A8F" w:rsidRPr="00AC7A12">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AC7A12" w:rsidRDefault="00FE7A8F">
      <w:pPr>
        <w:pStyle w:val="Textonotapie"/>
        <w:ind w:firstLine="709"/>
        <w:jc w:val="both"/>
        <w:rPr>
          <w:rFonts w:ascii="Arial" w:hAnsi="Arial" w:cs="Arial"/>
          <w:sz w:val="19"/>
          <w:szCs w:val="19"/>
          <w:lang w:val="es-ES"/>
        </w:rPr>
      </w:pPr>
      <w:r w:rsidRPr="00AC7A12">
        <w:rPr>
          <w:rFonts w:ascii="Arial" w:hAnsi="Arial" w:cs="Arial"/>
          <w:sz w:val="19"/>
          <w:szCs w:val="19"/>
          <w:lang w:val="es-ES"/>
        </w:rPr>
        <w:t xml:space="preserve">»"PARÁGRAFO TRANSITORIO 1: A partir del 1 de </w:t>
      </w:r>
      <w:r w:rsidR="00AF43F6" w:rsidRPr="00AC7A12">
        <w:rPr>
          <w:rFonts w:ascii="Arial" w:hAnsi="Arial" w:cs="Arial"/>
          <w:sz w:val="19"/>
          <w:szCs w:val="19"/>
          <w:lang w:val="es-ES"/>
        </w:rPr>
        <w:t>junio</w:t>
      </w:r>
      <w:r w:rsidRPr="00AC7A12">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AC7A12" w:rsidRDefault="00FE7A8F">
      <w:pPr>
        <w:pStyle w:val="Textonotapie"/>
        <w:ind w:firstLine="709"/>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AC7A12" w:rsidRDefault="00FE7A8F">
      <w:pPr>
        <w:pStyle w:val="Textonotapie"/>
        <w:ind w:firstLine="709"/>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w:t>
      </w:r>
      <w:r w:rsidR="00511916" w:rsidRPr="00AC7A12">
        <w:rPr>
          <w:rFonts w:ascii="Arial" w:hAnsi="Arial" w:cs="Arial"/>
          <w:sz w:val="19"/>
          <w:szCs w:val="19"/>
          <w:lang w:val="es-ES"/>
        </w:rPr>
        <w:t>junio</w:t>
      </w:r>
      <w:r w:rsidRPr="00AC7A12">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AC7A12" w:rsidRDefault="00FE7A8F">
      <w:pPr>
        <w:pStyle w:val="Textonotapie"/>
        <w:ind w:firstLine="709"/>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AC7A12" w:rsidRDefault="00FE7A8F">
      <w:pPr>
        <w:pStyle w:val="Textonotapie"/>
        <w:ind w:firstLine="709"/>
        <w:jc w:val="both"/>
        <w:rPr>
          <w:rFonts w:ascii="Arial" w:hAnsi="Arial" w:cs="Arial"/>
          <w:sz w:val="19"/>
          <w:szCs w:val="19"/>
          <w:lang w:val="es-ES"/>
        </w:rPr>
      </w:pPr>
      <w:proofErr w:type="gramStart"/>
      <w:r w:rsidRPr="00AC7A12">
        <w:rPr>
          <w:rFonts w:ascii="Arial" w:hAnsi="Arial" w:cs="Arial"/>
          <w:sz w:val="19"/>
          <w:szCs w:val="19"/>
          <w:lang w:val="es-ES"/>
        </w:rPr>
        <w:t>»PARÁGRAFO</w:t>
      </w:r>
      <w:proofErr w:type="gramEnd"/>
      <w:r w:rsidRPr="00AC7A12">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AC7A12" w:rsidRDefault="00FE7A8F">
      <w:pPr>
        <w:pStyle w:val="Textonotapie"/>
        <w:ind w:firstLine="709"/>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AC7A12" w:rsidRDefault="00FE7A8F">
      <w:pPr>
        <w:pStyle w:val="Textonotapie"/>
        <w:ind w:firstLine="709"/>
        <w:jc w:val="both"/>
        <w:rPr>
          <w:rFonts w:ascii="Arial" w:hAnsi="Arial" w:cs="Arial"/>
          <w:sz w:val="19"/>
          <w:szCs w:val="19"/>
          <w:lang w:val="es-CO"/>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26">
    <w:p w14:paraId="687A4976" w14:textId="11D0EF3C" w:rsidR="00C44F26" w:rsidRPr="00AC7A12" w:rsidRDefault="00C44F26">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023D89" w:rsidRPr="00AC7A12">
        <w:rPr>
          <w:rFonts w:ascii="Arial" w:hAnsi="Arial" w:cs="Arial"/>
          <w:sz w:val="19"/>
          <w:szCs w:val="19"/>
          <w:lang w:val="es-ES"/>
        </w:rPr>
        <w:t xml:space="preserve">Debe recordarse que el artículo </w:t>
      </w:r>
      <w:r w:rsidR="00444ED8" w:rsidRPr="00AC7A12">
        <w:rPr>
          <w:rFonts w:ascii="Arial" w:hAnsi="Arial" w:cs="Arial"/>
          <w:sz w:val="19"/>
          <w:szCs w:val="19"/>
          <w:lang w:val="es-ES"/>
        </w:rPr>
        <w:t xml:space="preserve">2.2.1.1.1.6.2. del Decreto 1082 de 2015 prevé lo siguiente: </w:t>
      </w:r>
      <w:proofErr w:type="gramStart"/>
      <w:r w:rsidR="00444ED8" w:rsidRPr="00AC7A12">
        <w:rPr>
          <w:rFonts w:ascii="Arial" w:hAnsi="Arial" w:cs="Arial"/>
          <w:sz w:val="19"/>
          <w:szCs w:val="19"/>
          <w:lang w:val="es-ES"/>
        </w:rPr>
        <w:t>«</w:t>
      </w:r>
      <w:r w:rsidR="00444ED8" w:rsidRPr="00AC7A12">
        <w:rPr>
          <w:rFonts w:ascii="Arial" w:hAnsi="Arial" w:cs="Arial"/>
          <w:sz w:val="19"/>
          <w:szCs w:val="19"/>
        </w:rPr>
        <w:t xml:space="preserve"> </w:t>
      </w:r>
      <w:r w:rsidR="00444ED8" w:rsidRPr="00AC7A12">
        <w:rPr>
          <w:rFonts w:ascii="Arial" w:hAnsi="Arial" w:cs="Arial"/>
          <w:sz w:val="19"/>
          <w:szCs w:val="19"/>
          <w:lang w:val="es-ES"/>
        </w:rPr>
        <w:t>La</w:t>
      </w:r>
      <w:proofErr w:type="gramEnd"/>
      <w:r w:rsidR="00444ED8" w:rsidRPr="00AC7A12">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27">
    <w:p w14:paraId="18FF865F" w14:textId="77777777" w:rsidR="003D7657" w:rsidRPr="001067BF" w:rsidRDefault="003D7657" w:rsidP="003D7657">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w:t>
      </w:r>
      <w:r>
        <w:rPr>
          <w:rFonts w:ascii="Arial" w:hAnsi="Arial" w:cs="Arial"/>
          <w:sz w:val="19"/>
          <w:szCs w:val="19"/>
        </w:rPr>
        <w:t xml:space="preserve">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29C"/>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8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0FAD"/>
    <w:rsid w:val="00021A95"/>
    <w:rsid w:val="00021C8A"/>
    <w:rsid w:val="0002256F"/>
    <w:rsid w:val="00022FD5"/>
    <w:rsid w:val="00023D89"/>
    <w:rsid w:val="00023D9E"/>
    <w:rsid w:val="00023DAE"/>
    <w:rsid w:val="00023FC9"/>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1AD"/>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1E44"/>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97B85"/>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6C2A"/>
    <w:rsid w:val="000A7268"/>
    <w:rsid w:val="000A73BB"/>
    <w:rsid w:val="000A73E8"/>
    <w:rsid w:val="000A7EF4"/>
    <w:rsid w:val="000B0A15"/>
    <w:rsid w:val="000B103F"/>
    <w:rsid w:val="000B1437"/>
    <w:rsid w:val="000B1470"/>
    <w:rsid w:val="000B244D"/>
    <w:rsid w:val="000B2A1A"/>
    <w:rsid w:val="000B2B86"/>
    <w:rsid w:val="000B2CFF"/>
    <w:rsid w:val="000B3051"/>
    <w:rsid w:val="000B352F"/>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CC7"/>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669D"/>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09"/>
    <w:rsid w:val="00113CFC"/>
    <w:rsid w:val="00113E22"/>
    <w:rsid w:val="00113FEA"/>
    <w:rsid w:val="00114A22"/>
    <w:rsid w:val="00114E9D"/>
    <w:rsid w:val="0011507B"/>
    <w:rsid w:val="001156A7"/>
    <w:rsid w:val="00115C37"/>
    <w:rsid w:val="00116328"/>
    <w:rsid w:val="001163CF"/>
    <w:rsid w:val="00116EC5"/>
    <w:rsid w:val="001174C9"/>
    <w:rsid w:val="001176B8"/>
    <w:rsid w:val="001177FE"/>
    <w:rsid w:val="00117E1B"/>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6E"/>
    <w:rsid w:val="001453B0"/>
    <w:rsid w:val="00145422"/>
    <w:rsid w:val="001454D9"/>
    <w:rsid w:val="00145D8E"/>
    <w:rsid w:val="00146083"/>
    <w:rsid w:val="001462F7"/>
    <w:rsid w:val="001471AB"/>
    <w:rsid w:val="00147F35"/>
    <w:rsid w:val="00150005"/>
    <w:rsid w:val="0015117F"/>
    <w:rsid w:val="0015121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AF"/>
    <w:rsid w:val="0018149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36"/>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55D"/>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0FF"/>
    <w:rsid w:val="001F4773"/>
    <w:rsid w:val="001F4F91"/>
    <w:rsid w:val="001F5008"/>
    <w:rsid w:val="001F56AA"/>
    <w:rsid w:val="001F57AB"/>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5FAA"/>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0F6D"/>
    <w:rsid w:val="0022194E"/>
    <w:rsid w:val="00221CDE"/>
    <w:rsid w:val="002220B1"/>
    <w:rsid w:val="002221CE"/>
    <w:rsid w:val="002227AF"/>
    <w:rsid w:val="002228DE"/>
    <w:rsid w:val="00222B1D"/>
    <w:rsid w:val="00222BE8"/>
    <w:rsid w:val="00222DF6"/>
    <w:rsid w:val="00223102"/>
    <w:rsid w:val="002232CB"/>
    <w:rsid w:val="00223781"/>
    <w:rsid w:val="00223924"/>
    <w:rsid w:val="00224022"/>
    <w:rsid w:val="00226055"/>
    <w:rsid w:val="0022609C"/>
    <w:rsid w:val="0022613F"/>
    <w:rsid w:val="0022614F"/>
    <w:rsid w:val="00226236"/>
    <w:rsid w:val="002266AF"/>
    <w:rsid w:val="002270C9"/>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3FFC"/>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C76"/>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1CFC"/>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2CEA"/>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B78EF"/>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3899"/>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5A1"/>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475A"/>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2E19"/>
    <w:rsid w:val="00363348"/>
    <w:rsid w:val="003634D4"/>
    <w:rsid w:val="00363857"/>
    <w:rsid w:val="00363D59"/>
    <w:rsid w:val="00363F08"/>
    <w:rsid w:val="003640F7"/>
    <w:rsid w:val="003658F2"/>
    <w:rsid w:val="0036594A"/>
    <w:rsid w:val="00365D3A"/>
    <w:rsid w:val="003664FF"/>
    <w:rsid w:val="00366BD2"/>
    <w:rsid w:val="003670B8"/>
    <w:rsid w:val="00367AC4"/>
    <w:rsid w:val="003704A3"/>
    <w:rsid w:val="003706F2"/>
    <w:rsid w:val="003709E8"/>
    <w:rsid w:val="0037124F"/>
    <w:rsid w:val="0037234C"/>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5CC8"/>
    <w:rsid w:val="0039615F"/>
    <w:rsid w:val="003966A0"/>
    <w:rsid w:val="00396A29"/>
    <w:rsid w:val="00397FF0"/>
    <w:rsid w:val="003A0878"/>
    <w:rsid w:val="003A1561"/>
    <w:rsid w:val="003A1583"/>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03AD"/>
    <w:rsid w:val="003B0A2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0EAE"/>
    <w:rsid w:val="003C116A"/>
    <w:rsid w:val="003C1AF4"/>
    <w:rsid w:val="003C1CB8"/>
    <w:rsid w:val="003C22DA"/>
    <w:rsid w:val="003C2550"/>
    <w:rsid w:val="003C287F"/>
    <w:rsid w:val="003C2B2B"/>
    <w:rsid w:val="003C2CC9"/>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D7657"/>
    <w:rsid w:val="003D7F30"/>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0FE9"/>
    <w:rsid w:val="00411317"/>
    <w:rsid w:val="00411692"/>
    <w:rsid w:val="00411A9E"/>
    <w:rsid w:val="0041259F"/>
    <w:rsid w:val="00412B1B"/>
    <w:rsid w:val="00412B4D"/>
    <w:rsid w:val="00412C51"/>
    <w:rsid w:val="00413262"/>
    <w:rsid w:val="0041329C"/>
    <w:rsid w:val="004132AF"/>
    <w:rsid w:val="004139F4"/>
    <w:rsid w:val="00413FFA"/>
    <w:rsid w:val="00414246"/>
    <w:rsid w:val="004145B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5FB8"/>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05E"/>
    <w:rsid w:val="004614A9"/>
    <w:rsid w:val="00461E97"/>
    <w:rsid w:val="0046268F"/>
    <w:rsid w:val="0046284F"/>
    <w:rsid w:val="00462B10"/>
    <w:rsid w:val="00462C04"/>
    <w:rsid w:val="0046320A"/>
    <w:rsid w:val="00463347"/>
    <w:rsid w:val="0046343D"/>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B8"/>
    <w:rsid w:val="004B40E4"/>
    <w:rsid w:val="004B448D"/>
    <w:rsid w:val="004B50CB"/>
    <w:rsid w:val="004B578D"/>
    <w:rsid w:val="004B57F9"/>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027"/>
    <w:rsid w:val="00530405"/>
    <w:rsid w:val="00530458"/>
    <w:rsid w:val="00530522"/>
    <w:rsid w:val="005305E5"/>
    <w:rsid w:val="0053086F"/>
    <w:rsid w:val="00530CBA"/>
    <w:rsid w:val="00530F38"/>
    <w:rsid w:val="00531C1B"/>
    <w:rsid w:val="00531F26"/>
    <w:rsid w:val="00532501"/>
    <w:rsid w:val="0053251D"/>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96B"/>
    <w:rsid w:val="00554D57"/>
    <w:rsid w:val="0055518C"/>
    <w:rsid w:val="005551AA"/>
    <w:rsid w:val="0055562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5A20"/>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0F3"/>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0B49"/>
    <w:rsid w:val="005A16F3"/>
    <w:rsid w:val="005A1976"/>
    <w:rsid w:val="005A200E"/>
    <w:rsid w:val="005A2120"/>
    <w:rsid w:val="005A2501"/>
    <w:rsid w:val="005A2C80"/>
    <w:rsid w:val="005A3066"/>
    <w:rsid w:val="005A33BF"/>
    <w:rsid w:val="005A3457"/>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291"/>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89C"/>
    <w:rsid w:val="00667ED8"/>
    <w:rsid w:val="0067064C"/>
    <w:rsid w:val="00670B20"/>
    <w:rsid w:val="00670E12"/>
    <w:rsid w:val="00670F27"/>
    <w:rsid w:val="0067147C"/>
    <w:rsid w:val="00672345"/>
    <w:rsid w:val="00672E80"/>
    <w:rsid w:val="0067333F"/>
    <w:rsid w:val="006739E4"/>
    <w:rsid w:val="00673ECF"/>
    <w:rsid w:val="0067418B"/>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901"/>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B4D"/>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BA0"/>
    <w:rsid w:val="00703E11"/>
    <w:rsid w:val="00704102"/>
    <w:rsid w:val="0070437C"/>
    <w:rsid w:val="0070461C"/>
    <w:rsid w:val="00704D97"/>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1F3"/>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273"/>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6EAE"/>
    <w:rsid w:val="007473B9"/>
    <w:rsid w:val="00747C96"/>
    <w:rsid w:val="00750075"/>
    <w:rsid w:val="007502EC"/>
    <w:rsid w:val="00750382"/>
    <w:rsid w:val="00750625"/>
    <w:rsid w:val="0075094E"/>
    <w:rsid w:val="00750FA8"/>
    <w:rsid w:val="00750FB5"/>
    <w:rsid w:val="007520F0"/>
    <w:rsid w:val="007522E8"/>
    <w:rsid w:val="007529DB"/>
    <w:rsid w:val="0075315D"/>
    <w:rsid w:val="007534AD"/>
    <w:rsid w:val="00753BAC"/>
    <w:rsid w:val="00754A0B"/>
    <w:rsid w:val="00755229"/>
    <w:rsid w:val="007552DB"/>
    <w:rsid w:val="0075549F"/>
    <w:rsid w:val="00755B08"/>
    <w:rsid w:val="00755DD0"/>
    <w:rsid w:val="0075647A"/>
    <w:rsid w:val="00756A2F"/>
    <w:rsid w:val="007573E1"/>
    <w:rsid w:val="0075749E"/>
    <w:rsid w:val="0075750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882"/>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06E"/>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5AA7"/>
    <w:rsid w:val="007B6008"/>
    <w:rsid w:val="007B6C64"/>
    <w:rsid w:val="007B6EC8"/>
    <w:rsid w:val="007B6F81"/>
    <w:rsid w:val="007B7EA2"/>
    <w:rsid w:val="007C097D"/>
    <w:rsid w:val="007C0AF2"/>
    <w:rsid w:val="007C1672"/>
    <w:rsid w:val="007C17AE"/>
    <w:rsid w:val="007C1855"/>
    <w:rsid w:val="007C1C8E"/>
    <w:rsid w:val="007C1CFF"/>
    <w:rsid w:val="007C24EE"/>
    <w:rsid w:val="007C2EBF"/>
    <w:rsid w:val="007C312A"/>
    <w:rsid w:val="007C3538"/>
    <w:rsid w:val="007C3570"/>
    <w:rsid w:val="007C38E0"/>
    <w:rsid w:val="007C3F3B"/>
    <w:rsid w:val="007C4097"/>
    <w:rsid w:val="007C4241"/>
    <w:rsid w:val="007C425E"/>
    <w:rsid w:val="007C468F"/>
    <w:rsid w:val="007C5055"/>
    <w:rsid w:val="007C55FF"/>
    <w:rsid w:val="007C6339"/>
    <w:rsid w:val="007C67F4"/>
    <w:rsid w:val="007C753F"/>
    <w:rsid w:val="007C762C"/>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D4"/>
    <w:rsid w:val="007E1AE5"/>
    <w:rsid w:val="007E1C90"/>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69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4A4A"/>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D6"/>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A7E44"/>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654"/>
    <w:rsid w:val="008D3B36"/>
    <w:rsid w:val="008D3B85"/>
    <w:rsid w:val="008D3BF8"/>
    <w:rsid w:val="008D462D"/>
    <w:rsid w:val="008D6084"/>
    <w:rsid w:val="008D64AC"/>
    <w:rsid w:val="008D656F"/>
    <w:rsid w:val="008D66CA"/>
    <w:rsid w:val="008D69B1"/>
    <w:rsid w:val="008D7338"/>
    <w:rsid w:val="008D734D"/>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6C6E"/>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17DAA"/>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6963"/>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390C"/>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890"/>
    <w:rsid w:val="009A6FDF"/>
    <w:rsid w:val="009A715F"/>
    <w:rsid w:val="009A76D6"/>
    <w:rsid w:val="009A7D71"/>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2D06"/>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5F39"/>
    <w:rsid w:val="00A27FB6"/>
    <w:rsid w:val="00A30121"/>
    <w:rsid w:val="00A30368"/>
    <w:rsid w:val="00A3039C"/>
    <w:rsid w:val="00A3043A"/>
    <w:rsid w:val="00A30E02"/>
    <w:rsid w:val="00A30F6A"/>
    <w:rsid w:val="00A31060"/>
    <w:rsid w:val="00A31621"/>
    <w:rsid w:val="00A31C3E"/>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09F9"/>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066"/>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37DE"/>
    <w:rsid w:val="00AD455D"/>
    <w:rsid w:val="00AD463C"/>
    <w:rsid w:val="00AD47C9"/>
    <w:rsid w:val="00AD4F60"/>
    <w:rsid w:val="00AD5044"/>
    <w:rsid w:val="00AD5114"/>
    <w:rsid w:val="00AD6236"/>
    <w:rsid w:val="00AD69D5"/>
    <w:rsid w:val="00AD6D07"/>
    <w:rsid w:val="00AD6F0B"/>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210"/>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0"/>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4FF"/>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3D58"/>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910"/>
    <w:rsid w:val="00B72B91"/>
    <w:rsid w:val="00B73019"/>
    <w:rsid w:val="00B7315F"/>
    <w:rsid w:val="00B7323A"/>
    <w:rsid w:val="00B7353B"/>
    <w:rsid w:val="00B737FB"/>
    <w:rsid w:val="00B73E5D"/>
    <w:rsid w:val="00B73EF3"/>
    <w:rsid w:val="00B7423D"/>
    <w:rsid w:val="00B74D05"/>
    <w:rsid w:val="00B74EF8"/>
    <w:rsid w:val="00B75181"/>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2AEC"/>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843"/>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4C6"/>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642"/>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964"/>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1A9"/>
    <w:rsid w:val="00C6325B"/>
    <w:rsid w:val="00C63888"/>
    <w:rsid w:val="00C63DDD"/>
    <w:rsid w:val="00C63E99"/>
    <w:rsid w:val="00C649B8"/>
    <w:rsid w:val="00C64A64"/>
    <w:rsid w:val="00C65151"/>
    <w:rsid w:val="00C657F4"/>
    <w:rsid w:val="00C6598D"/>
    <w:rsid w:val="00C660FE"/>
    <w:rsid w:val="00C66119"/>
    <w:rsid w:val="00C66292"/>
    <w:rsid w:val="00C67111"/>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4D8"/>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57F"/>
    <w:rsid w:val="00CA0E51"/>
    <w:rsid w:val="00CA1691"/>
    <w:rsid w:val="00CA3EDE"/>
    <w:rsid w:val="00CA4061"/>
    <w:rsid w:val="00CA41E7"/>
    <w:rsid w:val="00CA44ED"/>
    <w:rsid w:val="00CA4A99"/>
    <w:rsid w:val="00CA4CCC"/>
    <w:rsid w:val="00CA4D48"/>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1ED6"/>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D90"/>
    <w:rsid w:val="00D2742F"/>
    <w:rsid w:val="00D2754F"/>
    <w:rsid w:val="00D277C5"/>
    <w:rsid w:val="00D279D9"/>
    <w:rsid w:val="00D27FFA"/>
    <w:rsid w:val="00D30553"/>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A0B"/>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0B6"/>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7AB"/>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6DD"/>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084"/>
    <w:rsid w:val="00DB3165"/>
    <w:rsid w:val="00DB4292"/>
    <w:rsid w:val="00DB5023"/>
    <w:rsid w:val="00DB52D2"/>
    <w:rsid w:val="00DB5DC5"/>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410"/>
    <w:rsid w:val="00DE1B18"/>
    <w:rsid w:val="00DE20C6"/>
    <w:rsid w:val="00DE21B3"/>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3A1"/>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6F2D"/>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4EF0"/>
    <w:rsid w:val="00E65074"/>
    <w:rsid w:val="00E65857"/>
    <w:rsid w:val="00E65E70"/>
    <w:rsid w:val="00E66087"/>
    <w:rsid w:val="00E669E5"/>
    <w:rsid w:val="00E66D79"/>
    <w:rsid w:val="00E66E67"/>
    <w:rsid w:val="00E66FF9"/>
    <w:rsid w:val="00E6706F"/>
    <w:rsid w:val="00E673A2"/>
    <w:rsid w:val="00E67856"/>
    <w:rsid w:val="00E679C8"/>
    <w:rsid w:val="00E67B5A"/>
    <w:rsid w:val="00E70314"/>
    <w:rsid w:val="00E70412"/>
    <w:rsid w:val="00E72080"/>
    <w:rsid w:val="00E724E7"/>
    <w:rsid w:val="00E72791"/>
    <w:rsid w:val="00E72B41"/>
    <w:rsid w:val="00E7347B"/>
    <w:rsid w:val="00E73520"/>
    <w:rsid w:val="00E73792"/>
    <w:rsid w:val="00E73D03"/>
    <w:rsid w:val="00E7471C"/>
    <w:rsid w:val="00E7498A"/>
    <w:rsid w:val="00E7514E"/>
    <w:rsid w:val="00E76537"/>
    <w:rsid w:val="00E77784"/>
    <w:rsid w:val="00E77AF5"/>
    <w:rsid w:val="00E8035B"/>
    <w:rsid w:val="00E806D9"/>
    <w:rsid w:val="00E80ADE"/>
    <w:rsid w:val="00E81AB3"/>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0FED"/>
    <w:rsid w:val="00EA10E4"/>
    <w:rsid w:val="00EA17BC"/>
    <w:rsid w:val="00EA2744"/>
    <w:rsid w:val="00EA27F1"/>
    <w:rsid w:val="00EA30E3"/>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61E"/>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0FA"/>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39F"/>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0FF0"/>
    <w:rsid w:val="00F01657"/>
    <w:rsid w:val="00F01E67"/>
    <w:rsid w:val="00F02744"/>
    <w:rsid w:val="00F02BFD"/>
    <w:rsid w:val="00F02D25"/>
    <w:rsid w:val="00F02FF4"/>
    <w:rsid w:val="00F03A9C"/>
    <w:rsid w:val="00F03C3D"/>
    <w:rsid w:val="00F03E7A"/>
    <w:rsid w:val="00F0435D"/>
    <w:rsid w:val="00F043FE"/>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103"/>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147"/>
    <w:rsid w:val="00F41596"/>
    <w:rsid w:val="00F41D70"/>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742"/>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43A"/>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86A"/>
    <w:rsid w:val="00F67AF1"/>
    <w:rsid w:val="00F67D8B"/>
    <w:rsid w:val="00F67DA8"/>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5DE0"/>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4432422">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7783560">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5116207">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default/files/manuales/20140901_manual_requisitos_habilitantes_4_web.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35</TotalTime>
  <Pages>25</Pages>
  <Words>9094</Words>
  <Characters>50017</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5</cp:revision>
  <cp:lastPrinted>2020-01-30T15:05:00Z</cp:lastPrinted>
  <dcterms:created xsi:type="dcterms:W3CDTF">2021-08-25T23:58:00Z</dcterms:created>
  <dcterms:modified xsi:type="dcterms:W3CDTF">2021-08-26T14:02:00Z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