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2C5F2" w14:textId="77777777" w:rsidR="004A6BA2" w:rsidRDefault="004A6BA2" w:rsidP="004A6BA2">
      <w:pPr>
        <w:spacing w:after="0" w:line="240" w:lineRule="auto"/>
        <w:jc w:val="both"/>
        <w:rPr>
          <w:rFonts w:ascii="Verdana" w:eastAsia="Calibri" w:hAnsi="Verdana" w:cs="Times New Roman"/>
          <w:b/>
          <w:bCs/>
          <w:color w:val="000000"/>
          <w:lang w:val="es-ES_tradnl" w:eastAsia="es-ES_tradnl"/>
        </w:rPr>
      </w:pPr>
      <w:bookmarkStart w:id="0" w:name="_Hlk186494164"/>
      <w:r>
        <w:rPr>
          <w:rFonts w:ascii="Verdana" w:eastAsia="Times New Roman" w:hAnsi="Verdana" w:cs="Times New Roman"/>
          <w:b/>
          <w:bCs/>
          <w:color w:val="000000"/>
          <w:lang w:val="es-ES_tradnl" w:eastAsia="es-ES_tradnl"/>
        </w:rPr>
        <w:t>CONTRATOS CON ESAL</w:t>
      </w:r>
      <w:r>
        <w:rPr>
          <w:rFonts w:ascii="Verdana" w:eastAsia="Calibri" w:hAnsi="Verdana" w:cs="Times New Roman"/>
          <w:b/>
          <w:bCs/>
          <w:color w:val="000000"/>
          <w:lang w:val="es-ES_tradnl" w:eastAsia="es-ES_tradnl"/>
        </w:rPr>
        <w:t>–</w:t>
      </w:r>
      <w:r>
        <w:rPr>
          <w:rFonts w:ascii="Verdana" w:eastAsia="Times New Roman" w:hAnsi="Verdana" w:cs="Times New Roman"/>
          <w:b/>
          <w:bCs/>
          <w:color w:val="000000"/>
          <w:lang w:val="es-ES_tradnl" w:eastAsia="es-ES_tradnl"/>
        </w:rPr>
        <w:t xml:space="preserve"> Constitución </w:t>
      </w:r>
      <w:r>
        <w:rPr>
          <w:rFonts w:ascii="Verdana" w:eastAsia="Calibri" w:hAnsi="Verdana" w:cs="Times New Roman"/>
          <w:b/>
          <w:bCs/>
          <w:color w:val="000000"/>
          <w:lang w:val="es-ES_tradnl" w:eastAsia="es-ES_tradnl"/>
        </w:rPr>
        <w:t>–</w:t>
      </w:r>
      <w:r>
        <w:rPr>
          <w:rFonts w:ascii="Verdana" w:eastAsia="Times New Roman" w:hAnsi="Verdana" w:cs="Times New Roman"/>
          <w:b/>
          <w:bCs/>
          <w:color w:val="000000"/>
          <w:lang w:val="es-ES_tradnl" w:eastAsia="es-ES_tradnl"/>
        </w:rPr>
        <w:t xml:space="preserve"> Artículo 355 –</w:t>
      </w:r>
      <w:r>
        <w:rPr>
          <w:rFonts w:ascii="Verdana" w:eastAsia="Calibri" w:hAnsi="Verdana" w:cs="Times New Roman"/>
          <w:b/>
          <w:bCs/>
          <w:color w:val="000000"/>
          <w:lang w:val="es-ES_tradnl" w:eastAsia="es-ES_tradnl"/>
        </w:rPr>
        <w:t xml:space="preserve"> Fundamento </w:t>
      </w:r>
    </w:p>
    <w:p w14:paraId="74D0BFE9" w14:textId="77777777" w:rsidR="004A6BA2" w:rsidRDefault="004A6BA2" w:rsidP="004A6BA2">
      <w:pPr>
        <w:spacing w:after="0" w:line="240" w:lineRule="auto"/>
        <w:jc w:val="both"/>
        <w:rPr>
          <w:rFonts w:ascii="Verdana" w:eastAsia="Calibri" w:hAnsi="Verdana" w:cs="Arial"/>
          <w:color w:val="000000"/>
          <w:sz w:val="20"/>
          <w:szCs w:val="20"/>
          <w:lang w:val="es-ES"/>
        </w:rPr>
      </w:pPr>
    </w:p>
    <w:p w14:paraId="075F362C" w14:textId="77777777" w:rsidR="004A6BA2" w:rsidRDefault="004A6BA2" w:rsidP="004A6BA2">
      <w:pPr>
        <w:spacing w:after="0" w:line="240" w:lineRule="auto"/>
        <w:jc w:val="both"/>
        <w:rPr>
          <w:rFonts w:ascii="Verdana" w:eastAsia="Aptos" w:hAnsi="Verdana" w:cs="Arial"/>
          <w:sz w:val="20"/>
          <w:szCs w:val="20"/>
        </w:rPr>
      </w:pPr>
      <w:r>
        <w:rPr>
          <w:rFonts w:ascii="Verdana" w:eastAsia="Aptos" w:hAnsi="Verdana" w:cs="Arial"/>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6AADF872" w14:textId="77777777" w:rsidR="004A6BA2" w:rsidRDefault="004A6BA2" w:rsidP="004A6BA2">
      <w:pPr>
        <w:spacing w:after="0" w:line="240" w:lineRule="auto"/>
        <w:jc w:val="both"/>
        <w:rPr>
          <w:rFonts w:ascii="Verdana" w:eastAsia="Calibri" w:hAnsi="Verdana" w:cs="Arial"/>
          <w:color w:val="000000"/>
          <w:sz w:val="20"/>
          <w:szCs w:val="20"/>
        </w:rPr>
      </w:pPr>
    </w:p>
    <w:p w14:paraId="2F210BAD" w14:textId="77777777" w:rsidR="004A6BA2" w:rsidRDefault="004A6BA2" w:rsidP="004A6BA2">
      <w:pPr>
        <w:spacing w:after="0" w:line="240" w:lineRule="auto"/>
        <w:jc w:val="both"/>
        <w:rPr>
          <w:rFonts w:ascii="Verdana" w:eastAsia="Calibri" w:hAnsi="Verdana" w:cs="Times New Roman"/>
          <w:b/>
          <w:bCs/>
          <w:color w:val="000000"/>
          <w:lang w:val="es-ES_tradnl" w:eastAsia="es-ES_tradnl"/>
        </w:rPr>
      </w:pPr>
      <w:r>
        <w:rPr>
          <w:rFonts w:ascii="Verdana" w:eastAsia="Times New Roman" w:hAnsi="Verdana" w:cs="Times New Roman"/>
          <w:b/>
          <w:bCs/>
          <w:color w:val="000000"/>
          <w:lang w:val="es-ES_tradnl" w:eastAsia="es-ES_tradnl"/>
        </w:rPr>
        <w:t xml:space="preserve">TIPOS DE CONTRATOS </w:t>
      </w:r>
      <w:r>
        <w:rPr>
          <w:rFonts w:ascii="Verdana" w:eastAsia="Calibri" w:hAnsi="Verdana" w:cs="Times New Roman"/>
          <w:b/>
          <w:bCs/>
          <w:color w:val="000000"/>
          <w:lang w:val="es-ES_tradnl" w:eastAsia="es-ES_tradnl"/>
        </w:rPr>
        <w:t xml:space="preserve">– ESAL – Constitución Política – </w:t>
      </w:r>
      <w:r>
        <w:rPr>
          <w:rFonts w:ascii="Verdana" w:eastAsia="Times New Roman" w:hAnsi="Verdana" w:cs="Times New Roman"/>
          <w:b/>
          <w:bCs/>
          <w:color w:val="000000"/>
          <w:lang w:val="es-ES_tradnl" w:eastAsia="es-ES_tradnl"/>
        </w:rPr>
        <w:t xml:space="preserve">Artículo 355 </w:t>
      </w:r>
      <w:r>
        <w:rPr>
          <w:rFonts w:ascii="Verdana" w:eastAsia="Calibri" w:hAnsi="Verdana" w:cs="Times New Roman"/>
          <w:b/>
          <w:bCs/>
          <w:color w:val="000000"/>
          <w:lang w:val="es-ES_tradnl" w:eastAsia="es-ES_tradnl"/>
        </w:rPr>
        <w:t>– Ley 489 – Artículo 96</w:t>
      </w:r>
    </w:p>
    <w:p w14:paraId="21C9B2A8" w14:textId="77777777" w:rsidR="004A6BA2" w:rsidRDefault="004A6BA2" w:rsidP="004A6BA2">
      <w:pPr>
        <w:spacing w:after="0" w:line="240" w:lineRule="auto"/>
        <w:jc w:val="both"/>
        <w:rPr>
          <w:rFonts w:ascii="Verdana" w:eastAsia="Calibri" w:hAnsi="Verdana" w:cs="Arial"/>
          <w:color w:val="000000"/>
          <w:sz w:val="20"/>
          <w:szCs w:val="20"/>
          <w:lang w:val="es-ES"/>
        </w:rPr>
      </w:pPr>
    </w:p>
    <w:p w14:paraId="51D7A375" w14:textId="77777777" w:rsidR="004A6BA2" w:rsidRDefault="004A6BA2" w:rsidP="004A6BA2">
      <w:pPr>
        <w:spacing w:after="0" w:line="240" w:lineRule="auto"/>
        <w:jc w:val="both"/>
        <w:rPr>
          <w:rFonts w:ascii="Verdana" w:eastAsia="Calibri" w:hAnsi="Verdana" w:cs="Arial"/>
          <w:sz w:val="20"/>
          <w:szCs w:val="20"/>
        </w:rPr>
      </w:pPr>
      <w:r>
        <w:rPr>
          <w:rFonts w:ascii="Verdana" w:eastAsia="Aptos" w:hAnsi="Verdana" w:cs="Arial"/>
          <w:sz w:val="20"/>
          <w:szCs w:val="20"/>
        </w:rPr>
        <w:t>El Gobierno Nacional, en desarrollo del artículo 355 de la Constitución Política, expidió el Decreto 092 de 2017, q</w:t>
      </w:r>
      <w:r>
        <w:rPr>
          <w:rFonts w:ascii="Verdana" w:eastAsia="Calibri" w:hAnsi="Verdana" w:cs="Arial"/>
          <w:sz w:val="20"/>
          <w:szCs w:val="20"/>
        </w:rPr>
        <w:t xml:space="preserve">ue dispone las reglas para las contrataciones que realicen las Entidades Estatales con las ESAL. El Decreto regula dos (2) eventos: i) </w:t>
      </w:r>
      <w:r>
        <w:rPr>
          <w:rFonts w:ascii="Verdana" w:eastAsia="Calibri" w:hAnsi="Verdana" w:cs="Arial"/>
          <w:sz w:val="20"/>
          <w:szCs w:val="20"/>
          <w:lang w:eastAsia="es-ES_tradnl"/>
        </w:rPr>
        <w:t xml:space="preserve">los </w:t>
      </w:r>
      <w:r>
        <w:rPr>
          <w:rFonts w:ascii="Verdana" w:eastAsia="Calibri" w:hAnsi="Verdana" w:cs="Arial"/>
          <w:i/>
          <w:iCs/>
          <w:sz w:val="20"/>
          <w:szCs w:val="20"/>
          <w:lang w:eastAsia="es-ES_tradnl"/>
        </w:rPr>
        <w:t>contratos de colaboración</w:t>
      </w:r>
      <w:r>
        <w:rPr>
          <w:rFonts w:ascii="Verdana" w:eastAsia="Calibri" w:hAnsi="Verdana" w:cs="Arial"/>
          <w:sz w:val="20"/>
          <w:szCs w:val="20"/>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Pr>
          <w:rFonts w:ascii="Verdana" w:eastAsia="Calibri" w:hAnsi="Verdana" w:cs="Arial"/>
          <w:sz w:val="20"/>
          <w:szCs w:val="20"/>
        </w:rPr>
        <w:t xml:space="preserve"> y; ii) los </w:t>
      </w:r>
      <w:r>
        <w:rPr>
          <w:rFonts w:ascii="Verdana" w:eastAsia="Calibri" w:hAnsi="Verdana" w:cs="Arial"/>
          <w:i/>
          <w:iCs/>
          <w:sz w:val="20"/>
          <w:szCs w:val="20"/>
        </w:rPr>
        <w:t>convenios de asociación</w:t>
      </w:r>
      <w:r>
        <w:rPr>
          <w:rFonts w:ascii="Verdana" w:eastAsia="Calibri" w:hAnsi="Verdana" w:cs="Arial"/>
          <w:sz w:val="20"/>
          <w:szCs w:val="20"/>
        </w:rPr>
        <w:t xml:space="preserve">, para el desarrollo conjunto de actividades relacionadas con las funciones de las Entidades Estatales, en desarrollo del artículo 96 de la Ley 489 de 1998. </w:t>
      </w:r>
      <w:r>
        <w:rPr>
          <w:rFonts w:ascii="Verdana" w:eastAsia="Calibri" w:hAnsi="Verdana" w:cs="Arial"/>
          <w:sz w:val="20"/>
          <w:szCs w:val="20"/>
          <w:lang w:eastAsia="es-ES_tradnl"/>
        </w:rPr>
        <w:t xml:space="preserve">Los primeros están regulados en el artículo 2 del Decreto 092 de 2017, mientras que los segundos en los artículos 5, 6, 7 y 8 </w:t>
      </w:r>
      <w:r>
        <w:rPr>
          <w:rFonts w:ascii="Verdana" w:eastAsia="Calibri" w:hAnsi="Verdana" w:cs="Arial"/>
          <w:i/>
          <w:iCs/>
          <w:sz w:val="20"/>
          <w:szCs w:val="20"/>
          <w:lang w:eastAsia="es-ES_tradnl"/>
        </w:rPr>
        <w:t>ibidem</w:t>
      </w:r>
      <w:r>
        <w:rPr>
          <w:rFonts w:ascii="Verdana" w:eastAsia="Calibri" w:hAnsi="Verdana" w:cs="Arial"/>
          <w:sz w:val="20"/>
          <w:szCs w:val="20"/>
          <w:lang w:eastAsia="es-ES_tradnl"/>
        </w:rPr>
        <w:t xml:space="preserve">. Es posible diferenciar, pues, los </w:t>
      </w:r>
      <w:r>
        <w:rPr>
          <w:rFonts w:ascii="Verdana" w:eastAsia="Calibri" w:hAnsi="Verdana" w:cs="Arial"/>
          <w:i/>
          <w:iCs/>
          <w:sz w:val="20"/>
          <w:szCs w:val="20"/>
          <w:lang w:eastAsia="es-ES_tradnl"/>
        </w:rPr>
        <w:t>convenios de asociación</w:t>
      </w:r>
      <w:r>
        <w:rPr>
          <w:rFonts w:ascii="Verdana" w:eastAsia="Calibri" w:hAnsi="Verdana" w:cs="Arial"/>
          <w:sz w:val="20"/>
          <w:szCs w:val="20"/>
          <w:lang w:eastAsia="es-ES_tradnl"/>
        </w:rPr>
        <w:t xml:space="preserve">, regulados en el artículo 5, de los </w:t>
      </w:r>
      <w:r>
        <w:rPr>
          <w:rFonts w:ascii="Verdana" w:eastAsia="Calibri" w:hAnsi="Verdana" w:cs="Arial"/>
          <w:i/>
          <w:iCs/>
          <w:sz w:val="20"/>
          <w:szCs w:val="20"/>
          <w:lang w:eastAsia="es-ES_tradnl"/>
        </w:rPr>
        <w:t>contratos de colaboración</w:t>
      </w:r>
      <w:r>
        <w:rPr>
          <w:rFonts w:ascii="Verdana" w:eastAsia="Calibri" w:hAnsi="Verdana" w:cs="Arial"/>
          <w:sz w:val="20"/>
          <w:szCs w:val="20"/>
          <w:lang w:eastAsia="es-ES_tradnl"/>
        </w:rPr>
        <w:t>, establecidos en el artículo 2 del Decreto 092 de 2017.</w:t>
      </w:r>
    </w:p>
    <w:p w14:paraId="58A6A3D5" w14:textId="77777777" w:rsidR="004A6BA2" w:rsidRDefault="004A6BA2" w:rsidP="004A6BA2">
      <w:pPr>
        <w:spacing w:after="0" w:line="240" w:lineRule="auto"/>
        <w:jc w:val="both"/>
        <w:rPr>
          <w:rFonts w:ascii="Verdana" w:eastAsia="Calibri" w:hAnsi="Verdana" w:cs="Arial"/>
          <w:sz w:val="20"/>
          <w:szCs w:val="20"/>
        </w:rPr>
      </w:pPr>
    </w:p>
    <w:p w14:paraId="0BE8048A" w14:textId="77777777" w:rsidR="004A6BA2" w:rsidRDefault="004A6BA2" w:rsidP="004A6BA2">
      <w:pPr>
        <w:spacing w:after="0" w:line="240" w:lineRule="auto"/>
        <w:jc w:val="both"/>
        <w:rPr>
          <w:rFonts w:ascii="Verdana" w:eastAsia="Calibri" w:hAnsi="Verdana" w:cs="Arial"/>
          <w:sz w:val="20"/>
          <w:szCs w:val="20"/>
        </w:rPr>
      </w:pPr>
      <w:r>
        <w:rPr>
          <w:rFonts w:ascii="Verdana" w:eastAsia="Calibri" w:hAnsi="Verdana" w:cs="Arial"/>
          <w:sz w:val="20"/>
          <w:szCs w:val="20"/>
        </w:rPr>
        <w:t xml:space="preserve">De un lado, los </w:t>
      </w:r>
      <w:r>
        <w:rPr>
          <w:rFonts w:ascii="Verdana" w:eastAsia="Calibri" w:hAnsi="Verdana" w:cs="Arial"/>
          <w:i/>
          <w:iCs/>
          <w:sz w:val="20"/>
          <w:szCs w:val="20"/>
        </w:rPr>
        <w:t>contratos del artículo 355 de la Constitución Política</w:t>
      </w:r>
      <w:r>
        <w:rPr>
          <w:rFonts w:ascii="Verdana" w:eastAsia="Calibri" w:hAnsi="Verdana" w:cs="Arial"/>
          <w:sz w:val="20"/>
          <w:szCs w:val="20"/>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5F02D3A9" w14:textId="77777777" w:rsidR="004A6BA2" w:rsidRDefault="004A6BA2" w:rsidP="004A6BA2">
      <w:pPr>
        <w:spacing w:after="0" w:line="240" w:lineRule="auto"/>
        <w:jc w:val="both"/>
        <w:rPr>
          <w:rFonts w:ascii="Verdana" w:eastAsia="Calibri" w:hAnsi="Verdana" w:cs="Arial"/>
          <w:sz w:val="20"/>
          <w:szCs w:val="20"/>
        </w:rPr>
      </w:pPr>
    </w:p>
    <w:p w14:paraId="0A7ED6B6" w14:textId="77777777" w:rsidR="004A6BA2" w:rsidRDefault="004A6BA2" w:rsidP="004A6BA2">
      <w:pPr>
        <w:spacing w:after="0" w:line="240" w:lineRule="auto"/>
        <w:jc w:val="both"/>
        <w:rPr>
          <w:rFonts w:ascii="Verdana" w:eastAsia="Calibri" w:hAnsi="Verdana" w:cs="Arial"/>
          <w:sz w:val="20"/>
          <w:szCs w:val="20"/>
        </w:rPr>
      </w:pPr>
      <w:r>
        <w:rPr>
          <w:rFonts w:ascii="Verdana" w:eastAsia="Calibri" w:hAnsi="Verdana" w:cs="Arial"/>
          <w:sz w:val="20"/>
          <w:szCs w:val="20"/>
        </w:rPr>
        <w:t xml:space="preserve">De otro lado, los </w:t>
      </w:r>
      <w:r>
        <w:rPr>
          <w:rFonts w:ascii="Verdana" w:eastAsia="Calibri" w:hAnsi="Verdana" w:cs="Arial"/>
          <w:i/>
          <w:iCs/>
          <w:sz w:val="20"/>
          <w:szCs w:val="20"/>
        </w:rPr>
        <w:t>convenios de asociación</w:t>
      </w:r>
      <w:r>
        <w:rPr>
          <w:rFonts w:ascii="Verdana" w:eastAsia="Calibri" w:hAnsi="Verdana" w:cs="Arial"/>
          <w:sz w:val="20"/>
          <w:szCs w:val="20"/>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r>
        <w:rPr>
          <w:rFonts w:ascii="Verdana" w:eastAsia="Calibri" w:hAnsi="Verdana" w:cs="Arial"/>
          <w:sz w:val="20"/>
          <w:szCs w:val="20"/>
          <w:lang w:eastAsia="es-ES_tradnl"/>
        </w:rPr>
        <w:t xml:space="preserve">De conformidad con el inciso segundo del artículo 96 de la Ley 489 de 1998, en estos convenios debe determinarse “con precisión su objeto, término, obligaciones de </w:t>
      </w:r>
      <w:r>
        <w:rPr>
          <w:rFonts w:ascii="Verdana" w:eastAsia="Calibri" w:hAnsi="Verdana" w:cs="Arial"/>
          <w:sz w:val="20"/>
          <w:szCs w:val="20"/>
          <w:lang w:eastAsia="es-ES_tradnl"/>
        </w:rPr>
        <w:lastRenderedPageBreak/>
        <w:t xml:space="preserve">las partes, aportes, coordinación y todos aquellos aspectos que se consideren pertinentes”. </w:t>
      </w:r>
      <w:r>
        <w:rPr>
          <w:rFonts w:ascii="Verdana" w:eastAsia="Calibri" w:hAnsi="Verdana" w:cs="Arial"/>
          <w:sz w:val="20"/>
          <w:szCs w:val="20"/>
        </w:rPr>
        <w:t xml:space="preserve">En estos convenios no existe contraprestación o pago, sino aportes, los cuales están dirigidos, exclusivamente, a lograr la ejecución del convenio no a remunerar la actividad o actuaciones del asociado. </w:t>
      </w:r>
    </w:p>
    <w:p w14:paraId="3EFFAF34" w14:textId="77777777" w:rsidR="004A6BA2" w:rsidRDefault="004A6BA2" w:rsidP="004A6BA2">
      <w:pPr>
        <w:spacing w:after="0" w:line="240" w:lineRule="auto"/>
        <w:jc w:val="both"/>
        <w:rPr>
          <w:rFonts w:ascii="Verdana" w:eastAsia="Calibri" w:hAnsi="Verdana" w:cs="Arial"/>
          <w:color w:val="000000"/>
          <w:sz w:val="20"/>
          <w:szCs w:val="20"/>
        </w:rPr>
      </w:pPr>
    </w:p>
    <w:p w14:paraId="71F1225F" w14:textId="77777777" w:rsidR="004A6BA2" w:rsidRDefault="004A6BA2" w:rsidP="004A6BA2">
      <w:pPr>
        <w:spacing w:after="0" w:line="240" w:lineRule="auto"/>
        <w:jc w:val="both"/>
        <w:rPr>
          <w:rFonts w:ascii="Verdana" w:eastAsia="Times New Roman" w:hAnsi="Verdana" w:cs="Times New Roman"/>
          <w:b/>
          <w:bCs/>
          <w:color w:val="000000"/>
          <w:lang w:val="es-ES_tradnl" w:eastAsia="es-ES_tradnl"/>
        </w:rPr>
      </w:pPr>
      <w:r>
        <w:rPr>
          <w:rFonts w:ascii="Verdana" w:eastAsia="Calibri" w:hAnsi="Verdana" w:cs="Times New Roman"/>
          <w:b/>
          <w:bCs/>
          <w:color w:val="000000"/>
          <w:lang w:val="es-ES_tradnl" w:eastAsia="es-ES_tradnl"/>
        </w:rPr>
        <w:t>CONTRATOS CON ESAL – Objeto – Actividades – Planes de Desarrollo</w:t>
      </w:r>
    </w:p>
    <w:p w14:paraId="4AC09777" w14:textId="77777777" w:rsidR="004A6BA2" w:rsidRDefault="004A6BA2" w:rsidP="004A6BA2">
      <w:pPr>
        <w:spacing w:after="0" w:line="240" w:lineRule="auto"/>
        <w:jc w:val="both"/>
        <w:rPr>
          <w:rFonts w:ascii="Verdana" w:eastAsia="Aptos" w:hAnsi="Verdana" w:cs="Times New Roman"/>
          <w:sz w:val="20"/>
          <w:szCs w:val="20"/>
          <w:lang w:val="es-ES_tradnl"/>
        </w:rPr>
      </w:pPr>
    </w:p>
    <w:p w14:paraId="597F7AEF" w14:textId="77777777" w:rsidR="004A6BA2" w:rsidRDefault="004A6BA2" w:rsidP="004A6BA2">
      <w:pPr>
        <w:spacing w:after="0" w:line="240" w:lineRule="auto"/>
        <w:jc w:val="both"/>
        <w:rPr>
          <w:rFonts w:ascii="Verdana" w:eastAsia="Calibri" w:hAnsi="Verdana" w:cs="Arial"/>
          <w:sz w:val="20"/>
          <w:szCs w:val="20"/>
          <w:lang w:val="es-ES_tradnl" w:eastAsia="es-ES_tradnl"/>
        </w:rPr>
      </w:pPr>
      <w:r>
        <w:rPr>
          <w:rFonts w:ascii="Verdana" w:eastAsia="Calibri" w:hAnsi="Verdana" w:cs="Arial"/>
          <w:sz w:val="20"/>
          <w:szCs w:val="20"/>
          <w:lang w:val="es-ES_tradnl" w:eastAsia="es-ES_tradnl"/>
        </w:rPr>
        <w:t xml:space="preserve">[…] </w:t>
      </w:r>
      <w:r>
        <w:rPr>
          <w:rFonts w:ascii="Verdana" w:eastAsia="Calibri" w:hAnsi="Verdana" w:cs="Arial"/>
          <w:sz w:val="20"/>
          <w:szCs w:val="20"/>
        </w:rPr>
        <w:t>una característica esencial de los convenios a los que se refiere el inciso segundo del artículo 355 Constitucional – contratos de colaboración – es que su objeto esté determinado por la realización de programas y actividades de interés público acordes con el Plan Nacional de Desarrollo y los planes seccionales de desarrollo, los cuales se encuentran regulados en los artículos 339 a 344 de la Constitución Política. Sobre este aspecto, la Corte Constitucional ha indicado que el objeto de estos convenios 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p>
    <w:p w14:paraId="0A9C0057" w14:textId="77777777" w:rsidR="004A6BA2" w:rsidRDefault="004A6BA2" w:rsidP="004A6BA2">
      <w:pPr>
        <w:spacing w:after="0" w:line="240" w:lineRule="auto"/>
        <w:jc w:val="both"/>
        <w:rPr>
          <w:rFonts w:ascii="Verdana" w:eastAsia="Aptos" w:hAnsi="Verdana" w:cs="Times New Roman"/>
          <w:sz w:val="20"/>
          <w:szCs w:val="20"/>
        </w:rPr>
      </w:pPr>
    </w:p>
    <w:p w14:paraId="1DC5B118" w14:textId="77777777" w:rsidR="004A6BA2" w:rsidRDefault="004A6BA2" w:rsidP="004A6BA2">
      <w:pPr>
        <w:spacing w:after="0" w:line="240" w:lineRule="auto"/>
        <w:jc w:val="both"/>
        <w:rPr>
          <w:rFonts w:ascii="Verdana" w:eastAsia="Calibri" w:hAnsi="Verdana" w:cs="Times New Roman"/>
          <w:b/>
          <w:bCs/>
          <w:lang w:val="es-ES_tradnl" w:eastAsia="es-ES_tradnl"/>
        </w:rPr>
      </w:pPr>
      <w:r>
        <w:rPr>
          <w:rFonts w:ascii="Verdana" w:eastAsia="Calibri" w:hAnsi="Verdana" w:cs="Times New Roman"/>
          <w:b/>
          <w:bCs/>
          <w:lang w:val="es-ES_tradnl" w:eastAsia="es-ES_tradnl"/>
        </w:rPr>
        <w:t xml:space="preserve">CONTRATOS CON ESAL – Objeto – Actividades – Funciones y cometidos </w:t>
      </w:r>
    </w:p>
    <w:p w14:paraId="4427B4FE" w14:textId="77777777" w:rsidR="004A6BA2" w:rsidRDefault="004A6BA2" w:rsidP="004A6BA2">
      <w:pPr>
        <w:spacing w:after="0" w:line="240" w:lineRule="auto"/>
        <w:jc w:val="both"/>
        <w:rPr>
          <w:rFonts w:ascii="Verdana" w:eastAsia="Calibri" w:hAnsi="Verdana" w:cs="Times New Roman"/>
          <w:b/>
          <w:bCs/>
          <w:sz w:val="20"/>
          <w:szCs w:val="20"/>
          <w:lang w:val="es-ES_tradnl" w:eastAsia="es-ES_tradnl"/>
        </w:rPr>
      </w:pPr>
    </w:p>
    <w:p w14:paraId="425754DB" w14:textId="77777777" w:rsidR="004A6BA2" w:rsidRDefault="004A6BA2" w:rsidP="004A6BA2">
      <w:pPr>
        <w:spacing w:after="0" w:line="240" w:lineRule="auto"/>
        <w:jc w:val="both"/>
        <w:rPr>
          <w:rFonts w:ascii="Verdana" w:eastAsia="Calibri" w:hAnsi="Verdana" w:cs="Arial"/>
          <w:sz w:val="20"/>
          <w:szCs w:val="20"/>
        </w:rPr>
      </w:pPr>
      <w:r>
        <w:rPr>
          <w:rFonts w:ascii="Verdana" w:eastAsia="Calibri" w:hAnsi="Verdana" w:cs="Arial"/>
          <w:sz w:val="20"/>
          <w:szCs w:val="20"/>
        </w:rPr>
        <w:t xml:space="preserve">[…] el objeto del convenio de asociación es el desarrollo de cometidos y/o funciones públicas propias de las Entidades Estatales. 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los mismos a través del convenio a celebrarse. </w:t>
      </w:r>
    </w:p>
    <w:p w14:paraId="2B5F3492" w14:textId="77777777" w:rsidR="004A6BA2" w:rsidRDefault="004A6BA2" w:rsidP="004A6BA2">
      <w:pPr>
        <w:spacing w:after="0" w:line="240" w:lineRule="auto"/>
        <w:jc w:val="both"/>
        <w:rPr>
          <w:rFonts w:ascii="Verdana" w:eastAsia="Aptos" w:hAnsi="Verdana" w:cs="Times New Roman"/>
          <w:sz w:val="20"/>
          <w:szCs w:val="20"/>
          <w:lang w:val="es-ES_tradnl"/>
        </w:rPr>
      </w:pPr>
    </w:p>
    <w:p w14:paraId="7E7084CD" w14:textId="77777777" w:rsidR="004A6BA2" w:rsidRDefault="004A6BA2" w:rsidP="004A6BA2">
      <w:pPr>
        <w:spacing w:after="0" w:line="240" w:lineRule="auto"/>
        <w:jc w:val="both"/>
        <w:rPr>
          <w:rFonts w:ascii="Verdana" w:eastAsia="Calibri" w:hAnsi="Verdana" w:cs="Times New Roman"/>
          <w:b/>
          <w:bCs/>
          <w:lang w:val="es-ES_tradnl" w:eastAsia="es-ES_tradnl"/>
        </w:rPr>
      </w:pPr>
      <w:r>
        <w:rPr>
          <w:rFonts w:ascii="Verdana" w:eastAsia="Calibri" w:hAnsi="Verdana" w:cs="Times New Roman"/>
          <w:b/>
          <w:bCs/>
          <w:lang w:val="es-ES_tradnl" w:eastAsia="es-ES_tradnl"/>
        </w:rPr>
        <w:t>CONTRATOS CON ESAL – Selección objetiva</w:t>
      </w:r>
    </w:p>
    <w:p w14:paraId="3DA39C6A" w14:textId="77777777" w:rsidR="004A6BA2" w:rsidRDefault="004A6BA2" w:rsidP="004A6BA2">
      <w:pPr>
        <w:spacing w:after="0" w:line="240" w:lineRule="auto"/>
        <w:jc w:val="both"/>
        <w:rPr>
          <w:rFonts w:ascii="Verdana" w:eastAsia="Calibri" w:hAnsi="Verdana" w:cs="Times New Roman"/>
          <w:sz w:val="20"/>
          <w:szCs w:val="20"/>
          <w:lang w:val="es-ES_tradnl" w:eastAsia="es-ES_tradnl"/>
        </w:rPr>
      </w:pPr>
    </w:p>
    <w:p w14:paraId="4D5B0BF0" w14:textId="0EE35EFD" w:rsidR="00B93538" w:rsidRDefault="004A6BA2" w:rsidP="004A6BA2">
      <w:pPr>
        <w:spacing w:after="0" w:line="240" w:lineRule="auto"/>
        <w:jc w:val="both"/>
        <w:rPr>
          <w:rFonts w:ascii="Verdana" w:eastAsia="Aptos" w:hAnsi="Verdana" w:cs="Times New Roman"/>
          <w:b/>
          <w:bCs/>
          <w:sz w:val="20"/>
          <w:szCs w:val="20"/>
          <w:lang w:val="es-ES_tradnl"/>
        </w:rPr>
      </w:pPr>
      <w:r>
        <w:rPr>
          <w:rFonts w:ascii="Verdana" w:eastAsia="Calibri" w:hAnsi="Verdana" w:cs="Times New Roman"/>
          <w:sz w:val="20"/>
          <w:szCs w:val="20"/>
          <w:lang w:val="es-ES_tradnl" w:eastAsia="es-ES_tradnl"/>
        </w:rPr>
        <w:t>[…]</w:t>
      </w:r>
      <w:r>
        <w:rPr>
          <w:rFonts w:ascii="Verdana" w:eastAsia="Calibri" w:hAnsi="Verdana" w:cs="Times New Roman"/>
          <w:b/>
          <w:bCs/>
          <w:sz w:val="20"/>
          <w:szCs w:val="20"/>
          <w:lang w:val="es-ES_tradnl" w:eastAsia="es-ES_tradnl"/>
        </w:rPr>
        <w:t xml:space="preserve"> </w:t>
      </w:r>
      <w:r>
        <w:rPr>
          <w:rFonts w:ascii="Verdana" w:eastAsia="Calibri" w:hAnsi="Verdana" w:cs="Arial"/>
          <w:sz w:val="20"/>
          <w:szCs w:val="20"/>
        </w:rPr>
        <w:t>las Entidades Estatales son autónomas en la configuración del proceso competitivo en desarrollo de los artículos 4 y 5 del Decreto 092 de 2017. En todo caso, el proceso competitivo que definan las Entidades Estatales para sus contratos de colaboración y sus convenios de asociación debe garantizar la libre concurrencia, la pluralidad de interesados y la comparación objetiva de las ofertas. Este procedimiento puede ser análogo a otros donde existe competencia, como la licitación pública.</w:t>
      </w:r>
    </w:p>
    <w:p w14:paraId="2D7E2CBC" w14:textId="77777777" w:rsidR="004A6BA2" w:rsidRDefault="004A6BA2" w:rsidP="004A6BA2">
      <w:pPr>
        <w:spacing w:after="0" w:line="240" w:lineRule="auto"/>
        <w:jc w:val="both"/>
        <w:rPr>
          <w:rFonts w:ascii="Verdana" w:eastAsia="Aptos" w:hAnsi="Verdana" w:cs="Times New Roman"/>
          <w:b/>
          <w:bCs/>
          <w:sz w:val="20"/>
          <w:szCs w:val="20"/>
          <w:lang w:val="es-ES_tradnl"/>
        </w:rPr>
      </w:pPr>
    </w:p>
    <w:p w14:paraId="40AC3E6F" w14:textId="77777777" w:rsidR="004A6BA2" w:rsidRPr="004A6BA2" w:rsidRDefault="004A6BA2" w:rsidP="004A6BA2">
      <w:pPr>
        <w:spacing w:after="0" w:line="240" w:lineRule="auto"/>
        <w:jc w:val="both"/>
        <w:rPr>
          <w:rFonts w:ascii="Verdana" w:eastAsia="Aptos" w:hAnsi="Verdana" w:cs="Times New Roman"/>
          <w:b/>
          <w:bCs/>
          <w:sz w:val="20"/>
          <w:szCs w:val="20"/>
          <w:lang w:val="es-ES_tradnl"/>
        </w:rPr>
      </w:pPr>
    </w:p>
    <w:p w14:paraId="645063DE" w14:textId="77777777" w:rsidR="00B93538" w:rsidRDefault="00B93538" w:rsidP="007524C4">
      <w:pPr>
        <w:spacing w:after="0" w:line="240" w:lineRule="auto"/>
        <w:rPr>
          <w:rFonts w:ascii="Verdana" w:eastAsia="Calibri" w:hAnsi="Verdana" w:cs="Arial"/>
          <w:b/>
          <w:bCs/>
          <w:lang w:val="es-ES" w:eastAsia="es-ES"/>
        </w:rPr>
      </w:pPr>
    </w:p>
    <w:p w14:paraId="4ECDD3F5" w14:textId="77777777" w:rsidR="00B93538" w:rsidRDefault="00B93538" w:rsidP="007524C4">
      <w:pPr>
        <w:spacing w:after="0" w:line="240" w:lineRule="auto"/>
        <w:rPr>
          <w:rFonts w:ascii="Verdana" w:eastAsia="Calibri" w:hAnsi="Verdana" w:cs="Arial"/>
          <w:b/>
          <w:bCs/>
          <w:lang w:val="es-ES" w:eastAsia="es-ES"/>
        </w:rPr>
      </w:pPr>
    </w:p>
    <w:p w14:paraId="1E8DA947" w14:textId="064EC906" w:rsidR="005A5095" w:rsidRDefault="005A5095" w:rsidP="005A5095">
      <w:pPr>
        <w:spacing w:after="0" w:line="240" w:lineRule="auto"/>
        <w:rPr>
          <w:rFonts w:ascii="Verdana" w:eastAsia="Geomanist Light" w:hAnsi="Verdana" w:cs="Arial"/>
          <w:color w:val="201F1E"/>
        </w:rPr>
      </w:pPr>
      <w:r w:rsidRPr="005A5095">
        <w:rPr>
          <w:rFonts w:ascii="Verdana" w:eastAsia="Geomanist Light" w:hAnsi="Verdana" w:cs="Arial"/>
          <w:color w:val="000000" w:themeColor="text1"/>
        </w:rPr>
        <w:lastRenderedPageBreak/>
        <w:t>Bogotá D.C., </w:t>
      </w:r>
      <w:r w:rsidR="0046648D">
        <w:rPr>
          <w:rFonts w:ascii="Verdana" w:eastAsia="Geomanist Light" w:hAnsi="Verdana" w:cs="Arial"/>
          <w:color w:val="201F1E"/>
        </w:rPr>
        <w:t>8 de mayo de 2025</w:t>
      </w:r>
    </w:p>
    <w:p w14:paraId="098BDF04" w14:textId="77777777" w:rsidR="0046648D" w:rsidRDefault="0046648D" w:rsidP="005A5095">
      <w:pPr>
        <w:spacing w:after="0" w:line="240" w:lineRule="auto"/>
        <w:rPr>
          <w:rFonts w:ascii="Verdana" w:eastAsia="Geomanist Light" w:hAnsi="Verdana" w:cs="Arial"/>
          <w:color w:val="201F1E"/>
        </w:rPr>
      </w:pPr>
    </w:p>
    <w:p w14:paraId="0D435DCE" w14:textId="5B1BB067" w:rsidR="0046648D" w:rsidRPr="005A5095" w:rsidRDefault="0046648D" w:rsidP="0046648D">
      <w:pPr>
        <w:spacing w:after="0" w:line="240" w:lineRule="auto"/>
        <w:jc w:val="right"/>
        <w:rPr>
          <w:rFonts w:ascii="Verdana" w:eastAsia="Geomanist Light" w:hAnsi="Verdana" w:cs="Arial"/>
          <w:color w:val="201F1E"/>
        </w:rPr>
      </w:pPr>
      <w:r w:rsidRPr="0046648D">
        <w:rPr>
          <w:rFonts w:ascii="Verdana" w:eastAsia="Geomanist Light" w:hAnsi="Verdana" w:cs="Arial"/>
          <w:noProof/>
          <w:color w:val="201F1E"/>
        </w:rPr>
        <w:drawing>
          <wp:inline distT="0" distB="0" distL="0" distR="0" wp14:anchorId="79FD7ED5" wp14:editId="31075B1A">
            <wp:extent cx="2750820" cy="1051560"/>
            <wp:effectExtent l="0" t="0" r="0" b="0"/>
            <wp:docPr id="605310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0820" cy="1051560"/>
                    </a:xfrm>
                    <a:prstGeom prst="rect">
                      <a:avLst/>
                    </a:prstGeom>
                    <a:noFill/>
                    <a:ln>
                      <a:noFill/>
                    </a:ln>
                  </pic:spPr>
                </pic:pic>
              </a:graphicData>
            </a:graphic>
          </wp:inline>
        </w:drawing>
      </w:r>
    </w:p>
    <w:p w14:paraId="3BA3CC74" w14:textId="77777777" w:rsidR="005A5095" w:rsidRPr="005A5095" w:rsidRDefault="005A5095" w:rsidP="005A5095">
      <w:pPr>
        <w:spacing w:after="0" w:line="240" w:lineRule="auto"/>
        <w:jc w:val="both"/>
        <w:rPr>
          <w:rFonts w:ascii="Verdana" w:eastAsia="Calibri" w:hAnsi="Verdana" w:cs="Arial"/>
          <w:color w:val="000000"/>
        </w:rPr>
      </w:pPr>
    </w:p>
    <w:p w14:paraId="15E758CF" w14:textId="77777777" w:rsidR="005A5095" w:rsidRPr="005A5095" w:rsidRDefault="005A5095" w:rsidP="005A5095">
      <w:pPr>
        <w:spacing w:after="0" w:line="240" w:lineRule="auto"/>
        <w:jc w:val="both"/>
        <w:rPr>
          <w:rFonts w:ascii="Verdana" w:eastAsia="Calibri" w:hAnsi="Verdana" w:cs="Arial"/>
          <w:color w:val="000000"/>
        </w:rPr>
      </w:pPr>
    </w:p>
    <w:p w14:paraId="6746A86E" w14:textId="77777777" w:rsidR="005A5095" w:rsidRPr="005A5095" w:rsidRDefault="005A5095" w:rsidP="005A5095">
      <w:pPr>
        <w:spacing w:after="0" w:line="240" w:lineRule="auto"/>
        <w:jc w:val="both"/>
        <w:rPr>
          <w:rFonts w:ascii="Verdana" w:eastAsia="Calibri" w:hAnsi="Verdana" w:cs="Arial"/>
          <w:lang w:eastAsia="es-ES"/>
        </w:rPr>
      </w:pPr>
      <w:r w:rsidRPr="005A5095">
        <w:rPr>
          <w:rFonts w:ascii="Verdana" w:eastAsia="Calibri" w:hAnsi="Verdana" w:cs="Arial"/>
          <w:lang w:eastAsia="es-ES"/>
        </w:rPr>
        <w:t>Señor</w:t>
      </w:r>
    </w:p>
    <w:p w14:paraId="1CB87CBF" w14:textId="77777777" w:rsidR="005A5095" w:rsidRPr="005A5095" w:rsidRDefault="005A5095" w:rsidP="005A5095">
      <w:pPr>
        <w:spacing w:after="0" w:line="240" w:lineRule="auto"/>
        <w:rPr>
          <w:rFonts w:ascii="Verdana" w:eastAsia="Calibri" w:hAnsi="Verdana" w:cs="Arial"/>
          <w:b/>
          <w:lang w:eastAsia="es-ES"/>
        </w:rPr>
      </w:pPr>
      <w:r w:rsidRPr="005A5095">
        <w:rPr>
          <w:rFonts w:ascii="Verdana" w:eastAsia="Calibri" w:hAnsi="Verdana" w:cs="Arial"/>
          <w:b/>
          <w:lang w:eastAsia="es-ES"/>
        </w:rPr>
        <w:t>Oscar Eduardo Pinilla Pinilla</w:t>
      </w:r>
    </w:p>
    <w:p w14:paraId="6C967DBB" w14:textId="77777777" w:rsidR="005A5095" w:rsidRPr="005A5095" w:rsidRDefault="005A5095" w:rsidP="005A5095">
      <w:pPr>
        <w:spacing w:after="0" w:line="240" w:lineRule="auto"/>
        <w:rPr>
          <w:rFonts w:ascii="Verdana" w:eastAsia="Calibri" w:hAnsi="Verdana" w:cs="Arial"/>
          <w:bCs/>
          <w:lang w:eastAsia="es-ES"/>
        </w:rPr>
      </w:pPr>
      <w:hyperlink r:id="rId12" w:history="1">
        <w:r w:rsidRPr="005A5095">
          <w:rPr>
            <w:rFonts w:ascii="Verdana" w:eastAsia="Calibri" w:hAnsi="Verdana" w:cs="Arial"/>
            <w:bCs/>
            <w:color w:val="0563C1" w:themeColor="hyperlink"/>
            <w:u w:val="single"/>
            <w:lang w:eastAsia="es-ES"/>
          </w:rPr>
          <w:t>oscarpinilla83@gmail.com</w:t>
        </w:r>
      </w:hyperlink>
      <w:r w:rsidRPr="005A5095">
        <w:rPr>
          <w:rFonts w:ascii="Verdana" w:eastAsia="Calibri" w:hAnsi="Verdana" w:cs="Arial"/>
          <w:bCs/>
          <w:lang w:eastAsia="es-ES"/>
        </w:rPr>
        <w:t xml:space="preserve"> </w:t>
      </w:r>
    </w:p>
    <w:p w14:paraId="646260AC" w14:textId="77777777" w:rsidR="005A5095" w:rsidRPr="005A5095" w:rsidRDefault="005A5095" w:rsidP="005A5095">
      <w:pPr>
        <w:spacing w:after="0" w:line="240" w:lineRule="auto"/>
        <w:rPr>
          <w:rFonts w:ascii="Verdana" w:hAnsi="Verdana"/>
        </w:rPr>
      </w:pPr>
      <w:r w:rsidRPr="005A5095">
        <w:rPr>
          <w:rFonts w:ascii="Verdana" w:hAnsi="Verdana"/>
        </w:rPr>
        <w:t>Bogotá D.C</w:t>
      </w:r>
    </w:p>
    <w:p w14:paraId="2D239C7F" w14:textId="77777777" w:rsidR="005A5095" w:rsidRPr="005A5095" w:rsidRDefault="005A5095" w:rsidP="005A5095">
      <w:pPr>
        <w:spacing w:after="0" w:line="240" w:lineRule="auto"/>
        <w:rPr>
          <w:rFonts w:ascii="Verdana" w:eastAsia="Calibri" w:hAnsi="Verdana" w:cs="Arial"/>
          <w:lang w:eastAsia="es-ES"/>
        </w:rPr>
      </w:pPr>
    </w:p>
    <w:p w14:paraId="4A379133" w14:textId="77777777" w:rsidR="005A5095" w:rsidRPr="005A5095" w:rsidRDefault="005A5095" w:rsidP="005A5095">
      <w:pPr>
        <w:spacing w:after="0" w:line="240" w:lineRule="auto"/>
        <w:rPr>
          <w:rFonts w:ascii="Verdana" w:eastAsia="Calibri" w:hAnsi="Verdana" w:cs="Arial"/>
          <w:b/>
          <w:bCs/>
          <w:color w:val="000000"/>
          <w:lang w:eastAsia="es-ES_tradnl"/>
        </w:rPr>
      </w:pPr>
    </w:p>
    <w:p w14:paraId="50CA1BEE" w14:textId="77777777" w:rsidR="005A5095" w:rsidRPr="005A5095" w:rsidRDefault="005A5095" w:rsidP="005A5095">
      <w:pPr>
        <w:spacing w:after="0" w:line="240" w:lineRule="auto"/>
        <w:jc w:val="center"/>
        <w:rPr>
          <w:rFonts w:ascii="Verdana" w:eastAsia="Calibri" w:hAnsi="Verdana" w:cs="Arial"/>
          <w:b/>
          <w:bCs/>
          <w:lang w:eastAsia="es-ES"/>
        </w:rPr>
      </w:pPr>
      <w:r w:rsidRPr="005A5095">
        <w:rPr>
          <w:rFonts w:ascii="Verdana" w:eastAsia="Calibri" w:hAnsi="Verdana" w:cs="Arial"/>
          <w:b/>
          <w:bCs/>
          <w:lang w:eastAsia="es-ES"/>
        </w:rPr>
        <w:t>Concepto C – 407 de 2025</w:t>
      </w:r>
    </w:p>
    <w:p w14:paraId="749E6175" w14:textId="77777777" w:rsidR="005A5095" w:rsidRPr="005A5095" w:rsidRDefault="005A5095" w:rsidP="005A5095">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A5095" w:rsidRPr="005A5095" w14:paraId="24429611" w14:textId="77777777" w:rsidTr="00D26B8F">
        <w:trPr>
          <w:trHeight w:val="884"/>
        </w:trPr>
        <w:tc>
          <w:tcPr>
            <w:tcW w:w="2689" w:type="dxa"/>
          </w:tcPr>
          <w:p w14:paraId="7B0DCA33" w14:textId="77777777" w:rsidR="005A5095" w:rsidRPr="005A5095" w:rsidRDefault="005A5095" w:rsidP="005A5095">
            <w:pPr>
              <w:jc w:val="both"/>
              <w:rPr>
                <w:rFonts w:ascii="Verdana" w:eastAsia="Calibri" w:hAnsi="Verdana" w:cs="Arial"/>
                <w:color w:val="000000"/>
                <w:lang w:eastAsia="es-ES_tradnl"/>
              </w:rPr>
            </w:pPr>
            <w:r w:rsidRPr="005A5095">
              <w:rPr>
                <w:rFonts w:ascii="Verdana" w:eastAsia="Calibri" w:hAnsi="Verdana" w:cs="Arial"/>
                <w:b/>
                <w:color w:val="000000"/>
                <w:lang w:eastAsia="es-ES_tradnl"/>
              </w:rPr>
              <w:t>Temas:</w:t>
            </w:r>
            <w:r w:rsidRPr="005A5095">
              <w:rPr>
                <w:rFonts w:ascii="Verdana" w:eastAsia="Calibri" w:hAnsi="Verdana" w:cs="Arial"/>
                <w:color w:val="000000"/>
                <w:lang w:eastAsia="es-ES_tradnl"/>
              </w:rPr>
              <w:t xml:space="preserve">                   </w:t>
            </w:r>
          </w:p>
        </w:tc>
        <w:tc>
          <w:tcPr>
            <w:tcW w:w="6100" w:type="dxa"/>
          </w:tcPr>
          <w:p w14:paraId="5B12FABD" w14:textId="77777777" w:rsidR="005A5095" w:rsidRPr="005A5095" w:rsidRDefault="005A5095" w:rsidP="005A5095">
            <w:pPr>
              <w:spacing w:line="276" w:lineRule="auto"/>
              <w:jc w:val="both"/>
              <w:rPr>
                <w:rFonts w:ascii="Verdana" w:eastAsia="Times New Roman" w:hAnsi="Verdana"/>
                <w:shd w:val="clear" w:color="auto" w:fill="FFFFFF"/>
                <w:lang w:eastAsia="es-ES_tradnl"/>
              </w:rPr>
            </w:pPr>
            <w:r w:rsidRPr="005A5095">
              <w:rPr>
                <w:rFonts w:ascii="Verdana" w:eastAsia="Times New Roman" w:hAnsi="Verdana"/>
                <w:lang w:val="es-ES_tradnl" w:eastAsia="es-ES_tradnl"/>
              </w:rPr>
              <w:t xml:space="preserve">CONTRATOS CON ESAL </w:t>
            </w:r>
            <w:r w:rsidRPr="005A5095">
              <w:rPr>
                <w:rFonts w:ascii="Verdana" w:eastAsia="Calibri" w:hAnsi="Verdana"/>
                <w:lang w:val="es-ES_tradnl" w:eastAsia="es-ES_tradnl"/>
              </w:rPr>
              <w:t>–</w:t>
            </w:r>
            <w:r w:rsidRPr="005A5095">
              <w:rPr>
                <w:rFonts w:ascii="Verdana" w:eastAsia="Times New Roman" w:hAnsi="Verdana"/>
                <w:lang w:val="es-ES_tradnl" w:eastAsia="es-ES_tradnl"/>
              </w:rPr>
              <w:t xml:space="preserve"> Constitución </w:t>
            </w:r>
            <w:r w:rsidRPr="005A5095">
              <w:rPr>
                <w:rFonts w:ascii="Verdana" w:eastAsia="Calibri" w:hAnsi="Verdana"/>
                <w:lang w:val="es-ES_tradnl" w:eastAsia="es-ES_tradnl"/>
              </w:rPr>
              <w:t xml:space="preserve">– </w:t>
            </w:r>
            <w:r w:rsidRPr="005A5095">
              <w:rPr>
                <w:rFonts w:ascii="Verdana" w:eastAsia="Times New Roman" w:hAnsi="Verdana"/>
                <w:lang w:val="es-ES_tradnl" w:eastAsia="es-ES_tradnl"/>
              </w:rPr>
              <w:t xml:space="preserve">Artículo 355 </w:t>
            </w:r>
            <w:r w:rsidRPr="005A5095">
              <w:rPr>
                <w:rFonts w:ascii="Verdana" w:eastAsia="Calibri" w:hAnsi="Verdana"/>
                <w:lang w:val="es-ES_tradnl" w:eastAsia="es-ES_tradnl"/>
              </w:rPr>
              <w:t xml:space="preserve">– Fundamento / </w:t>
            </w:r>
            <w:r w:rsidRPr="005A5095">
              <w:rPr>
                <w:rFonts w:ascii="Verdana" w:eastAsia="Times New Roman" w:hAnsi="Verdana"/>
                <w:lang w:val="es-ES_tradnl" w:eastAsia="es-ES_tradnl"/>
              </w:rPr>
              <w:t xml:space="preserve">TIPOS DE CONTRATOS </w:t>
            </w:r>
            <w:r w:rsidRPr="005A5095">
              <w:rPr>
                <w:rFonts w:ascii="Verdana" w:eastAsia="Calibri" w:hAnsi="Verdana"/>
                <w:lang w:val="es-ES_tradnl" w:eastAsia="es-ES_tradnl"/>
              </w:rPr>
              <w:t xml:space="preserve">– ESAL – Constitución Política – </w:t>
            </w:r>
            <w:r w:rsidRPr="005A5095">
              <w:rPr>
                <w:rFonts w:ascii="Verdana" w:eastAsia="Times New Roman" w:hAnsi="Verdana"/>
                <w:lang w:val="es-ES_tradnl" w:eastAsia="es-ES_tradnl"/>
              </w:rPr>
              <w:t xml:space="preserve">Artículo 355 </w:t>
            </w:r>
            <w:r w:rsidRPr="005A5095">
              <w:rPr>
                <w:rFonts w:ascii="Verdana" w:eastAsia="Calibri" w:hAnsi="Verdana"/>
                <w:lang w:val="es-ES_tradnl" w:eastAsia="es-ES_tradnl"/>
              </w:rPr>
              <w:t>– Ley 489 – Artículo 96 / CONTRATOS CON ESAL – Objeto – Actividades – Planes de Desarrollo / CONTRATOS CON ESAL – Objeto – Actividades – Funciones y cometidos / CONTRATOS CON ESAL – Selección objetiva</w:t>
            </w:r>
          </w:p>
          <w:p w14:paraId="022A1A60" w14:textId="77777777" w:rsidR="005A5095" w:rsidRPr="005A5095" w:rsidRDefault="005A5095" w:rsidP="005A5095">
            <w:pPr>
              <w:jc w:val="both"/>
              <w:rPr>
                <w:rFonts w:ascii="Verdana" w:eastAsia="Calibri" w:hAnsi="Verdana" w:cs="Arial"/>
                <w:lang w:eastAsia="es-ES"/>
              </w:rPr>
            </w:pPr>
          </w:p>
        </w:tc>
      </w:tr>
      <w:tr w:rsidR="005A5095" w:rsidRPr="005A5095" w14:paraId="7F2E02C2" w14:textId="77777777" w:rsidTr="00D26B8F">
        <w:tc>
          <w:tcPr>
            <w:tcW w:w="2689" w:type="dxa"/>
          </w:tcPr>
          <w:p w14:paraId="2983BEB4" w14:textId="77777777" w:rsidR="005A5095" w:rsidRPr="005A5095" w:rsidRDefault="005A5095" w:rsidP="005A5095">
            <w:pPr>
              <w:jc w:val="both"/>
              <w:rPr>
                <w:rFonts w:ascii="Verdana" w:eastAsia="Calibri" w:hAnsi="Verdana" w:cs="Arial"/>
                <w:b/>
                <w:lang w:eastAsia="es-ES_tradnl"/>
              </w:rPr>
            </w:pPr>
            <w:r w:rsidRPr="005A5095">
              <w:rPr>
                <w:rFonts w:ascii="Verdana" w:eastAsia="Calibri" w:hAnsi="Verdana" w:cs="Arial"/>
                <w:b/>
                <w:lang w:eastAsia="es-ES_tradnl"/>
              </w:rPr>
              <w:t>Radicación:</w:t>
            </w:r>
            <w:r w:rsidRPr="005A5095">
              <w:rPr>
                <w:rFonts w:ascii="Verdana" w:eastAsia="Calibri" w:hAnsi="Verdana" w:cs="Arial"/>
                <w:lang w:eastAsia="es-ES_tradnl"/>
              </w:rPr>
              <w:t xml:space="preserve">               </w:t>
            </w:r>
          </w:p>
        </w:tc>
        <w:tc>
          <w:tcPr>
            <w:tcW w:w="6100" w:type="dxa"/>
          </w:tcPr>
          <w:p w14:paraId="3E37D688" w14:textId="77777777" w:rsidR="005A5095" w:rsidRPr="005A5095" w:rsidRDefault="005A5095" w:rsidP="005A5095">
            <w:pPr>
              <w:jc w:val="both"/>
              <w:rPr>
                <w:rFonts w:ascii="Verdana" w:eastAsia="Calibri" w:hAnsi="Verdana" w:cs="Arial"/>
                <w:lang w:eastAsia="es-ES_tradnl"/>
              </w:rPr>
            </w:pPr>
            <w:r w:rsidRPr="005A5095">
              <w:rPr>
                <w:rFonts w:ascii="Verdana" w:eastAsia="Calibri" w:hAnsi="Verdana" w:cs="Arial"/>
                <w:lang w:eastAsia="es-ES_tradnl"/>
              </w:rPr>
              <w:t xml:space="preserve">Respuesta a la consulta con radicado No.  P20250403003173 </w:t>
            </w:r>
          </w:p>
        </w:tc>
      </w:tr>
    </w:tbl>
    <w:p w14:paraId="232CC723" w14:textId="77777777" w:rsidR="005A5095" w:rsidRPr="005A5095" w:rsidRDefault="005A5095" w:rsidP="005A5095">
      <w:pPr>
        <w:spacing w:after="0" w:line="240" w:lineRule="auto"/>
        <w:jc w:val="both"/>
        <w:rPr>
          <w:rFonts w:ascii="Verdana" w:eastAsia="Calibri" w:hAnsi="Verdana" w:cs="Arial"/>
          <w:color w:val="000000"/>
          <w:lang w:eastAsia="es-ES_tradnl"/>
        </w:rPr>
      </w:pPr>
    </w:p>
    <w:p w14:paraId="07E04A88" w14:textId="77777777" w:rsidR="005A5095" w:rsidRPr="005A5095" w:rsidRDefault="005A5095" w:rsidP="005A5095">
      <w:pPr>
        <w:spacing w:after="0" w:line="240" w:lineRule="auto"/>
        <w:jc w:val="both"/>
        <w:rPr>
          <w:rFonts w:ascii="Verdana" w:eastAsia="Calibri" w:hAnsi="Verdana" w:cs="Arial"/>
          <w:color w:val="000000"/>
          <w:lang w:eastAsia="es-ES_tradnl"/>
        </w:rPr>
      </w:pPr>
    </w:p>
    <w:p w14:paraId="4297FB74" w14:textId="77777777" w:rsidR="005A5095" w:rsidRPr="005A5095" w:rsidRDefault="005A5095" w:rsidP="005A5095">
      <w:pPr>
        <w:spacing w:after="0" w:line="276" w:lineRule="auto"/>
        <w:jc w:val="both"/>
        <w:rPr>
          <w:rFonts w:ascii="Verdana" w:eastAsia="Calibri" w:hAnsi="Verdana" w:cs="Arial"/>
          <w:lang w:eastAsia="es-ES"/>
        </w:rPr>
      </w:pPr>
      <w:r w:rsidRPr="005A5095">
        <w:rPr>
          <w:rFonts w:ascii="Verdana" w:eastAsia="Calibri" w:hAnsi="Verdana" w:cs="Arial"/>
          <w:lang w:eastAsia="es-ES"/>
        </w:rPr>
        <w:t xml:space="preserve">Estimado señor Pinilla Pinilla: </w:t>
      </w:r>
    </w:p>
    <w:p w14:paraId="5B9665E2" w14:textId="77777777" w:rsidR="005A5095" w:rsidRPr="005A5095" w:rsidRDefault="005A5095" w:rsidP="005A5095">
      <w:pPr>
        <w:tabs>
          <w:tab w:val="left" w:pos="3768"/>
        </w:tabs>
        <w:spacing w:after="0" w:line="276" w:lineRule="auto"/>
        <w:jc w:val="both"/>
        <w:rPr>
          <w:rFonts w:ascii="Verdana" w:eastAsia="Calibri" w:hAnsi="Verdana" w:cs="Arial"/>
          <w:color w:val="000000" w:themeColor="text1"/>
          <w:lang w:eastAsia="es-ES"/>
        </w:rPr>
      </w:pPr>
      <w:r w:rsidRPr="005A5095">
        <w:rPr>
          <w:rFonts w:ascii="Verdana" w:eastAsia="Calibri" w:hAnsi="Verdana" w:cs="Arial"/>
          <w:color w:val="000000" w:themeColor="text1"/>
          <w:lang w:eastAsia="es-ES"/>
        </w:rPr>
        <w:tab/>
      </w:r>
    </w:p>
    <w:p w14:paraId="33CF79A7" w14:textId="77777777" w:rsidR="005A5095" w:rsidRPr="005A5095" w:rsidRDefault="005A5095" w:rsidP="005A5095">
      <w:pPr>
        <w:spacing w:after="0" w:line="276" w:lineRule="auto"/>
        <w:jc w:val="both"/>
        <w:rPr>
          <w:rFonts w:ascii="Verdana" w:eastAsia="Calibri" w:hAnsi="Verdana" w:cs="Arial"/>
          <w:i/>
          <w:iCs/>
          <w:lang w:eastAsia="es-ES"/>
        </w:rPr>
      </w:pPr>
      <w:r w:rsidRPr="005A5095">
        <w:rPr>
          <w:rFonts w:ascii="Verdana" w:eastAsia="Calibri" w:hAnsi="Verdana" w:cs="Arial"/>
          <w:color w:val="000000" w:themeColor="text1"/>
          <w:lang w:eastAsia="es-ES"/>
        </w:rPr>
        <w:t>En ejercicio de la competencia otorgada por los artículos 3, numeral 5º, y 11, numeral 8º, del Decreto Ley 4170 de 2011,</w:t>
      </w:r>
      <w:r w:rsidRPr="005A5095">
        <w:rPr>
          <w:rFonts w:ascii="Verdana" w:eastAsia="Arial MT" w:hAnsi="Verdana" w:cs="Arial MT"/>
          <w:lang w:eastAsia="es-ES"/>
        </w:rPr>
        <w:t xml:space="preserve"> </w:t>
      </w:r>
      <w:r w:rsidRPr="005A5095">
        <w:rPr>
          <w:rFonts w:ascii="Verdana" w:hAnsi="Verdana" w:cs="Arial"/>
        </w:rPr>
        <w:t xml:space="preserve">así como lo establecido en el artículo 4 de la Resolución 1707 de 2018 expedida por esta Entidad, </w:t>
      </w:r>
      <w:r w:rsidRPr="005A5095">
        <w:rPr>
          <w:rFonts w:ascii="Verdana" w:eastAsia="Calibri" w:hAnsi="Verdana" w:cs="Arial"/>
          <w:color w:val="000000" w:themeColor="text1"/>
          <w:lang w:eastAsia="es-ES"/>
        </w:rPr>
        <w:t>la Agencia Nacional de Contratación Pública – Colombia Compra Eficiente responde su solicitud de concepto del 3 de abril de 2025,</w:t>
      </w:r>
      <w:r w:rsidRPr="005A5095">
        <w:rPr>
          <w:rFonts w:ascii="Verdana" w:eastAsia="Calibri" w:hAnsi="Verdana" w:cs="Arial"/>
          <w:lang w:eastAsia="es-ES"/>
        </w:rPr>
        <w:t xml:space="preserve"> en la cual consulta sobre lo siguiente:</w:t>
      </w:r>
      <w:r w:rsidRPr="005A5095">
        <w:rPr>
          <w:rFonts w:ascii="Verdana" w:eastAsia="Calibri" w:hAnsi="Verdana" w:cs="Arial"/>
          <w:i/>
          <w:iCs/>
          <w:lang w:eastAsia="es-ES"/>
        </w:rPr>
        <w:t xml:space="preserve"> </w:t>
      </w:r>
      <w:bookmarkStart w:id="1" w:name="_Hlk95313578"/>
    </w:p>
    <w:p w14:paraId="397ABA62" w14:textId="77777777" w:rsidR="005A5095" w:rsidRPr="005A5095" w:rsidRDefault="005A5095" w:rsidP="005A5095">
      <w:pPr>
        <w:spacing w:after="0" w:line="276" w:lineRule="auto"/>
        <w:jc w:val="both"/>
        <w:rPr>
          <w:rFonts w:ascii="Verdana" w:eastAsia="Calibri" w:hAnsi="Verdana" w:cs="Arial"/>
          <w:i/>
          <w:iCs/>
          <w:lang w:eastAsia="es-ES"/>
        </w:rPr>
      </w:pPr>
    </w:p>
    <w:p w14:paraId="344D1CB7" w14:textId="77777777" w:rsidR="005A5095" w:rsidRPr="005A5095" w:rsidRDefault="005A5095" w:rsidP="005A5095">
      <w:pPr>
        <w:spacing w:after="0" w:line="240" w:lineRule="auto"/>
        <w:ind w:left="709" w:right="709"/>
        <w:jc w:val="both"/>
        <w:rPr>
          <w:rFonts w:ascii="Verdana" w:hAnsi="Verdana"/>
          <w:sz w:val="20"/>
          <w:szCs w:val="20"/>
        </w:rPr>
      </w:pPr>
      <w:r w:rsidRPr="005A5095">
        <w:rPr>
          <w:rFonts w:ascii="Verdana" w:eastAsia="Arial" w:hAnsi="Verdana" w:cs="Arial"/>
          <w:i/>
          <w:color w:val="000000"/>
          <w:sz w:val="20"/>
          <w:szCs w:val="20"/>
        </w:rPr>
        <w:lastRenderedPageBreak/>
        <w:t>“</w:t>
      </w:r>
      <w:bookmarkEnd w:id="1"/>
      <w:r w:rsidRPr="005A5095">
        <w:rPr>
          <w:rFonts w:ascii="Verdana" w:hAnsi="Verdana"/>
          <w:sz w:val="20"/>
          <w:szCs w:val="20"/>
        </w:rPr>
        <w:t>con relación a los procesos competitivos con esal, me surgen las siguientes inquietudes: 1. existe algún plazo mínimo entre la publicación del proceso y la presentación de ofertas? puedo publicar y al día hábil siguiente establecer la presentación de oferta económico sin que implique violación al principio de publicidad y selección objetiva por no dar un término prudencial de revisión de condiciones y estructuración. 2. teniendo en cuenta las modalidades de contratación y el régimen especial de las esal, se puede combinar el en objeto u obligaciones contractuales productos de características técnicas uniformes que puedan ser adquiridos a través de subasta inversa o solo relación directa con programas y actividades de interés público previstos en el Plan Nacional o seccional de Desarrollo relacionados con la promoción de derechos de los menos favorecidos o con manifestaciones artísticas, culturales, deportivas y de promoción de la étnica?”</w:t>
      </w:r>
    </w:p>
    <w:p w14:paraId="0D536D87" w14:textId="77777777" w:rsidR="005A5095" w:rsidRPr="005A5095" w:rsidRDefault="005A5095" w:rsidP="005A5095">
      <w:pPr>
        <w:spacing w:after="0" w:line="240" w:lineRule="auto"/>
        <w:ind w:left="709" w:right="709"/>
        <w:jc w:val="both"/>
      </w:pPr>
    </w:p>
    <w:p w14:paraId="549D8DBD" w14:textId="77777777" w:rsidR="005A5095" w:rsidRPr="005A5095" w:rsidRDefault="005A5095" w:rsidP="005A5095">
      <w:pPr>
        <w:spacing w:after="120" w:line="276" w:lineRule="auto"/>
        <w:ind w:firstLine="709"/>
        <w:jc w:val="both"/>
        <w:rPr>
          <w:rFonts w:ascii="Verdana" w:eastAsia="Calibri" w:hAnsi="Verdana" w:cs="Arial"/>
          <w:color w:val="000000"/>
          <w:lang w:eastAsia="es-ES"/>
        </w:rPr>
      </w:pPr>
      <w:r w:rsidRPr="005A509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A5095">
        <w:rPr>
          <w:rFonts w:ascii="Verdana" w:eastAsia="Calibri" w:hAnsi="Verdana" w:cs="Arial"/>
          <w:color w:val="000000"/>
          <w:szCs w:val="24"/>
          <w:lang w:eastAsia="es-ES_tradnl"/>
        </w:rPr>
        <w:tab/>
      </w:r>
    </w:p>
    <w:p w14:paraId="3B536041" w14:textId="77777777" w:rsidR="005A5095" w:rsidRPr="005A5095" w:rsidRDefault="005A5095" w:rsidP="005A5095">
      <w:pPr>
        <w:spacing w:after="0" w:line="276" w:lineRule="auto"/>
        <w:ind w:firstLine="709"/>
        <w:jc w:val="both"/>
        <w:rPr>
          <w:rFonts w:ascii="Verdana" w:eastAsia="Calibri" w:hAnsi="Verdana" w:cs="Arial"/>
          <w:color w:val="000000"/>
          <w:lang w:eastAsia="es-ES"/>
        </w:rPr>
      </w:pPr>
      <w:r w:rsidRPr="005A5095">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5A5095">
        <w:rPr>
          <w:rFonts w:ascii="Verdana" w:eastAsia="Calibri" w:hAnsi="Verdana" w:cs="Arial"/>
          <w:color w:val="7030A0"/>
          <w:lang w:eastAsia="es-ES"/>
        </w:rPr>
        <w:t xml:space="preserve"> </w:t>
      </w:r>
      <w:r w:rsidRPr="005A5095">
        <w:rPr>
          <w:rFonts w:ascii="Verdana" w:eastAsia="Calibri" w:hAnsi="Verdana" w:cs="Arial"/>
          <w:color w:val="000000"/>
          <w:lang w:eastAsia="es-ES"/>
        </w:rPr>
        <w:t>problemas</w:t>
      </w:r>
      <w:r w:rsidRPr="005A5095">
        <w:rPr>
          <w:rFonts w:ascii="Verdana" w:eastAsia="Calibri" w:hAnsi="Verdana" w:cs="Arial"/>
          <w:color w:val="7030A0"/>
          <w:lang w:eastAsia="es-ES"/>
        </w:rPr>
        <w:t xml:space="preserve"> </w:t>
      </w:r>
      <w:r w:rsidRPr="005A5095">
        <w:rPr>
          <w:rFonts w:ascii="Verdana" w:eastAsia="Calibri" w:hAnsi="Verdana" w:cs="Arial"/>
          <w:color w:val="000000"/>
          <w:lang w:eastAsia="es-ES"/>
        </w:rPr>
        <w:t>jurídicos</w:t>
      </w:r>
      <w:r w:rsidRPr="005A5095">
        <w:rPr>
          <w:rFonts w:ascii="Verdana" w:eastAsia="Calibri" w:hAnsi="Verdana" w:cs="Arial"/>
          <w:color w:val="7030A0"/>
          <w:lang w:eastAsia="es-ES"/>
        </w:rPr>
        <w:t xml:space="preserve"> </w:t>
      </w:r>
      <w:r w:rsidRPr="005A5095">
        <w:rPr>
          <w:rFonts w:ascii="Verdana" w:eastAsia="Calibri" w:hAnsi="Verdana" w:cs="Arial"/>
          <w:color w:val="000000"/>
          <w:lang w:eastAsia="es-ES"/>
        </w:rPr>
        <w:t xml:space="preserve">de su consulta. </w:t>
      </w:r>
    </w:p>
    <w:p w14:paraId="08A07A3A" w14:textId="77777777" w:rsidR="005A5095" w:rsidRPr="005A5095" w:rsidRDefault="005A5095" w:rsidP="005A5095">
      <w:pPr>
        <w:spacing w:after="0" w:line="276" w:lineRule="auto"/>
        <w:ind w:firstLine="709"/>
        <w:jc w:val="both"/>
        <w:rPr>
          <w:rFonts w:ascii="Verdana" w:eastAsia="Calibri" w:hAnsi="Verdana" w:cs="Arial"/>
          <w:color w:val="000000"/>
          <w:lang w:eastAsia="es-ES"/>
        </w:rPr>
      </w:pPr>
    </w:p>
    <w:p w14:paraId="0F7DCA08" w14:textId="77777777" w:rsidR="005A5095" w:rsidRPr="005A5095" w:rsidRDefault="005A5095" w:rsidP="005A5095">
      <w:pPr>
        <w:numPr>
          <w:ilvl w:val="0"/>
          <w:numId w:val="1"/>
        </w:numPr>
        <w:tabs>
          <w:tab w:val="left" w:pos="142"/>
          <w:tab w:val="left" w:pos="284"/>
        </w:tabs>
        <w:spacing w:after="0" w:line="276" w:lineRule="auto"/>
        <w:jc w:val="both"/>
        <w:rPr>
          <w:rFonts w:ascii="Verdana" w:eastAsia="Century Gothic" w:hAnsi="Verdana" w:cs="Century Gothic"/>
          <w:b/>
          <w:bCs/>
        </w:rPr>
      </w:pPr>
      <w:r w:rsidRPr="005A5095">
        <w:rPr>
          <w:rFonts w:ascii="Verdana" w:eastAsia="Century Gothic" w:hAnsi="Verdana" w:cs="Century Gothic"/>
          <w:b/>
          <w:bCs/>
        </w:rPr>
        <w:t>Problemas planteados:</w:t>
      </w:r>
    </w:p>
    <w:p w14:paraId="67BC48E8" w14:textId="77777777" w:rsidR="005A5095" w:rsidRPr="005A5095" w:rsidRDefault="005A5095" w:rsidP="005A5095">
      <w:pPr>
        <w:tabs>
          <w:tab w:val="left" w:pos="426"/>
        </w:tabs>
        <w:spacing w:after="0" w:line="276" w:lineRule="auto"/>
        <w:jc w:val="both"/>
        <w:rPr>
          <w:rFonts w:ascii="Verdana" w:eastAsia="Century Gothic" w:hAnsi="Verdana" w:cs="Century Gothic"/>
        </w:rPr>
      </w:pPr>
    </w:p>
    <w:p w14:paraId="3D45C85E" w14:textId="77777777" w:rsidR="005A5095" w:rsidRPr="005A5095" w:rsidRDefault="005A5095" w:rsidP="005A5095">
      <w:pPr>
        <w:spacing w:after="0" w:line="276" w:lineRule="auto"/>
        <w:jc w:val="both"/>
        <w:rPr>
          <w:rFonts w:ascii="Verdana" w:eastAsia="Century Gothic" w:hAnsi="Verdana" w:cs="Century Gothic"/>
        </w:rPr>
      </w:pPr>
      <w:r w:rsidRPr="005A5095">
        <w:rPr>
          <w:rFonts w:ascii="Verdana" w:eastAsia="Century Gothic" w:hAnsi="Verdana" w:cs="Century Gothic"/>
        </w:rPr>
        <w:t xml:space="preserve">De acuerdo con el contenido de su solicitud, esta Agencia resolverá los siguientes problemas jurídicos: i) ¿Es posible celebrar contratos para la adquisición y aprovisionamiento de bienes en el marco del Decreto 092 de 2017?, y ii) ¿Cuáles </w:t>
      </w:r>
      <w:r w:rsidRPr="005A5095">
        <w:rPr>
          <w:rFonts w:ascii="Verdana" w:eastAsia="Century Gothic" w:hAnsi="Verdana" w:cs="Century Gothic"/>
        </w:rPr>
        <w:lastRenderedPageBreak/>
        <w:t>son los plazos mínimos para las etapas de los procesos competitivos del Decreto 092 de 2017?</w:t>
      </w:r>
    </w:p>
    <w:p w14:paraId="3924A10E" w14:textId="77777777" w:rsidR="005A5095" w:rsidRPr="005A5095" w:rsidRDefault="005A5095" w:rsidP="005A5095">
      <w:pPr>
        <w:spacing w:after="0" w:line="276" w:lineRule="auto"/>
        <w:jc w:val="both"/>
        <w:rPr>
          <w:rFonts w:ascii="Verdana" w:eastAsia="Calibri" w:hAnsi="Verdana" w:cs="Arial"/>
          <w:color w:val="7030A0"/>
        </w:rPr>
      </w:pPr>
    </w:p>
    <w:p w14:paraId="4D4366EF" w14:textId="77777777" w:rsidR="005A5095" w:rsidRPr="005A5095" w:rsidRDefault="005A5095" w:rsidP="005A5095">
      <w:pPr>
        <w:numPr>
          <w:ilvl w:val="0"/>
          <w:numId w:val="1"/>
        </w:numPr>
        <w:tabs>
          <w:tab w:val="left" w:pos="142"/>
          <w:tab w:val="left" w:pos="284"/>
        </w:tabs>
        <w:spacing w:after="0" w:line="276" w:lineRule="auto"/>
        <w:jc w:val="both"/>
        <w:rPr>
          <w:rFonts w:ascii="Verdana" w:eastAsia="Century Gothic" w:hAnsi="Verdana" w:cs="Century Gothic"/>
          <w:b/>
          <w:bCs/>
        </w:rPr>
      </w:pPr>
      <w:r w:rsidRPr="005A5095">
        <w:rPr>
          <w:rFonts w:ascii="Verdana" w:eastAsia="Century Gothic" w:hAnsi="Verdana" w:cs="Century Gothic"/>
          <w:b/>
          <w:bCs/>
        </w:rPr>
        <w:t>Respuestas:</w:t>
      </w:r>
    </w:p>
    <w:p w14:paraId="2DD0B84A" w14:textId="77777777" w:rsidR="005A5095" w:rsidRPr="005A5095" w:rsidRDefault="005A5095" w:rsidP="005A509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A5095" w:rsidRPr="005A5095" w14:paraId="3C297013" w14:textId="77777777" w:rsidTr="00D26B8F">
        <w:trPr>
          <w:jc w:val="center"/>
        </w:trPr>
        <w:tc>
          <w:tcPr>
            <w:tcW w:w="8828" w:type="dxa"/>
            <w:shd w:val="clear" w:color="auto" w:fill="auto"/>
          </w:tcPr>
          <w:p w14:paraId="3B3AC414" w14:textId="77777777" w:rsidR="005A5095" w:rsidRPr="005A5095" w:rsidRDefault="005A5095" w:rsidP="005A5095">
            <w:pPr>
              <w:spacing w:after="120" w:line="276" w:lineRule="auto"/>
              <w:jc w:val="both"/>
              <w:rPr>
                <w:rFonts w:ascii="Verdana" w:hAnsi="Verdana" w:cs="Arial"/>
              </w:rPr>
            </w:pPr>
            <w:bookmarkStart w:id="2" w:name="_Hlk171694685"/>
            <w:r w:rsidRPr="005A5095">
              <w:rPr>
                <w:rFonts w:ascii="Verdana" w:hAnsi="Verdana" w:cs="Arial"/>
              </w:rPr>
              <w:t xml:space="preserve">i. El Decreto 092 de 2017 regula dos (2)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w:t>
            </w:r>
          </w:p>
          <w:p w14:paraId="5880FAE5" w14:textId="77777777" w:rsidR="005A5095" w:rsidRPr="005A5095" w:rsidRDefault="005A5095" w:rsidP="005A5095">
            <w:pPr>
              <w:spacing w:line="276" w:lineRule="auto"/>
              <w:ind w:firstLine="743"/>
              <w:jc w:val="both"/>
              <w:rPr>
                <w:rFonts w:ascii="Verdana" w:hAnsi="Verdana" w:cs="Arial"/>
              </w:rPr>
            </w:pPr>
            <w:r w:rsidRPr="005A5095">
              <w:rPr>
                <w:rFonts w:ascii="Verdana" w:hAnsi="Verdana" w:cs="Arial"/>
              </w:rPr>
              <w:t>En este contexto, los negocios jurídicos que regula el Decreto 092 de 2017 son esencialmente distintos a los contratos para la adquisición y aprovisionamiento de bienes, obras o servicios regulados por el Estatuto General de Contratación de la Administración Pública – en adelante EGCAP. Por lo anterior, si la Entidad Estatal adquiere o se abastece de un bien, obra o servicio en un contrato conmutativo en el cual el proveedor es una ESAL, debe aplicar el régimen contenido en las Leyes 80 de 1993 y 1150 de 2007, y no el Decreto 092 de 2017. En consecuencia, la aplicación del Decreto 092 de 2017, además de ser aplicable para la contratación con ESAL – depende del objeto que se pretenda contratar, el cual debe ceñirse al desarrollo de programas o actividades de interés público que sean acordes con el Plan Nacional y los planes seccionales de desarrollo o al adelanto conjunto de funciones y cometidos de la Entidad Estatal que lo celebra. En consecuencia, no basta con que el extremo de la relación contractual sea una ESAL para que sea procedente la aplicación del Decreto referido.</w:t>
            </w:r>
          </w:p>
          <w:p w14:paraId="672615E8" w14:textId="77777777" w:rsidR="005A5095" w:rsidRPr="005A5095" w:rsidRDefault="005A5095" w:rsidP="005A5095">
            <w:pPr>
              <w:spacing w:line="276" w:lineRule="auto"/>
              <w:ind w:firstLine="743"/>
              <w:jc w:val="both"/>
              <w:rPr>
                <w:rFonts w:ascii="Verdana" w:hAnsi="Verdana" w:cs="Arial"/>
              </w:rPr>
            </w:pPr>
          </w:p>
          <w:p w14:paraId="3B2342A4" w14:textId="77777777" w:rsidR="005A5095" w:rsidRPr="005A5095" w:rsidRDefault="005A5095" w:rsidP="005A5095">
            <w:pPr>
              <w:spacing w:after="120" w:line="276" w:lineRule="auto"/>
              <w:jc w:val="both"/>
              <w:rPr>
                <w:rFonts w:ascii="Verdana" w:eastAsia="Calibri" w:hAnsi="Verdana" w:cs="Arial"/>
                <w:lang w:val="es-ES"/>
              </w:rPr>
            </w:pPr>
            <w:r w:rsidRPr="005A5095">
              <w:rPr>
                <w:rFonts w:ascii="Verdana" w:hAnsi="Verdana" w:cs="Arial"/>
              </w:rPr>
              <w:t xml:space="preserve">ii. </w:t>
            </w:r>
            <w:r w:rsidRPr="005A5095">
              <w:rPr>
                <w:rFonts w:ascii="Verdana" w:eastAsia="Calibri" w:hAnsi="Verdana" w:cs="Arial"/>
              </w:rPr>
              <w:t xml:space="preserve">Si bien el Decreto 092 de 2017 y la “Guía para la contratación con entidades sin ánimo de lucro y de reconocida idoneidad” expedida por esta Agencia, establecen las etapas en las que deberá adelantarse el proceso de selección de la Entidad Sin Ánimo de Lucro y de reconocida idoneidad, no se determinó en estos instrumentos normativos la forma en la que las Entidades Estatales deban desarrollarlo. Por ello, en virtud del principio de autonomía, las entidades están facultades para estructurar dicho proceso de forma tal, que garanticen </w:t>
            </w:r>
            <w:r w:rsidRPr="005A5095">
              <w:rPr>
                <w:rFonts w:ascii="Verdana" w:eastAsia="Calibri" w:hAnsi="Verdana" w:cs="Arial"/>
                <w:lang w:val="es-ES"/>
              </w:rPr>
              <w:t xml:space="preserve">la libre concurrencia, la pluralidad de interesados y la comparación </w:t>
            </w:r>
            <w:r w:rsidRPr="005A5095">
              <w:rPr>
                <w:rFonts w:ascii="Verdana" w:eastAsia="Calibri" w:hAnsi="Verdana" w:cs="Arial"/>
                <w:lang w:val="es-ES"/>
              </w:rPr>
              <w:lastRenderedPageBreak/>
              <w:t>objetiva de las ofertas. En ese sentido, las Entidades Estatales tendrán la obligación de diseñar herramientas que permitan una comparación objetiva de las Entidades Sin Ánimo de Lucro y de reconocida idoneidad, para así seleccionar objetivamente a aquella que tenga las mejores condiciones para alcanzar el resultado esperado con la suscripción del contrato de colaboración o el convenio de asociación, según el caso.</w:t>
            </w:r>
          </w:p>
          <w:p w14:paraId="52C073DB" w14:textId="77777777" w:rsidR="005A5095" w:rsidRPr="005A5095" w:rsidRDefault="005A5095" w:rsidP="005A5095">
            <w:pPr>
              <w:spacing w:before="120" w:line="276" w:lineRule="auto"/>
              <w:ind w:firstLine="708"/>
              <w:jc w:val="both"/>
              <w:rPr>
                <w:rFonts w:ascii="Verdana" w:eastAsia="Calibri" w:hAnsi="Verdana" w:cs="Arial"/>
              </w:rPr>
            </w:pPr>
            <w:r w:rsidRPr="005A5095">
              <w:rPr>
                <w:rFonts w:ascii="Verdana" w:eastAsia="Calibri" w:hAnsi="Verdana" w:cs="Arial"/>
              </w:rPr>
              <w:t xml:space="preserve">En relación con los plazos en los que deben adelantarse las etapas del proceso de selección de las Entidades Sin Ánimo de Lucro, se precisa que el artículo 4 del Decreto 092 de 2017 </w:t>
            </w:r>
            <w:r w:rsidRPr="005A5095">
              <w:rPr>
                <w:rFonts w:ascii="Verdana" w:eastAsia="Calibri" w:hAnsi="Verdana" w:cs="Arial"/>
                <w:lang w:val="es-ES_tradnl"/>
              </w:rPr>
              <w:t>se limita a establecer que la entidad deberá definir un plazo razonable para que las ESAL presenten sus ofertas y demás documentación requerida en el marco del procedimiento.</w:t>
            </w:r>
            <w:r w:rsidRPr="005A5095">
              <w:t xml:space="preserve"> </w:t>
            </w:r>
            <w:r w:rsidRPr="005A5095">
              <w:rPr>
                <w:rFonts w:ascii="Verdana" w:eastAsia="Calibri" w:hAnsi="Verdana" w:cs="Arial"/>
              </w:rPr>
              <w:t>En este sentido, las Entidades Estatales deberán determinar estos plazos en la convocatoria de manera razonable, es decir, de forma adecuada y proporcional al proceso que se adelanta, de tal suerte que se garantice la libre concurrencia y se asegure una selección objetiva. Para ello, y conforme a lo dispuesto en el artículo 8 del Decreto 092 de 2017, podrán fijar dichos plazos aplicando las normas generales de la contratación pública.</w:t>
            </w:r>
          </w:p>
        </w:tc>
      </w:tr>
    </w:tbl>
    <w:p w14:paraId="1CBD68BD" w14:textId="77777777" w:rsidR="005A5095" w:rsidRPr="005A5095" w:rsidRDefault="005A5095" w:rsidP="005A5095">
      <w:pPr>
        <w:tabs>
          <w:tab w:val="left" w:pos="142"/>
          <w:tab w:val="left" w:pos="284"/>
        </w:tabs>
        <w:spacing w:after="0" w:line="276" w:lineRule="auto"/>
        <w:jc w:val="both"/>
        <w:rPr>
          <w:rFonts w:ascii="Verdana" w:eastAsia="Century Gothic" w:hAnsi="Verdana" w:cs="Century Gothic"/>
          <w:b/>
          <w:bCs/>
        </w:rPr>
      </w:pPr>
    </w:p>
    <w:bookmarkEnd w:id="2"/>
    <w:p w14:paraId="2967DA5A" w14:textId="77777777" w:rsidR="005A5095" w:rsidRPr="005A5095" w:rsidRDefault="005A5095" w:rsidP="005A5095">
      <w:pPr>
        <w:numPr>
          <w:ilvl w:val="0"/>
          <w:numId w:val="1"/>
        </w:numPr>
        <w:tabs>
          <w:tab w:val="left" w:pos="142"/>
          <w:tab w:val="left" w:pos="284"/>
        </w:tabs>
        <w:spacing w:after="0" w:line="276" w:lineRule="auto"/>
        <w:jc w:val="both"/>
        <w:rPr>
          <w:rFonts w:ascii="Verdana" w:eastAsia="Century Gothic" w:hAnsi="Verdana" w:cs="Century Gothic"/>
          <w:b/>
          <w:bCs/>
        </w:rPr>
      </w:pPr>
      <w:r w:rsidRPr="005A5095">
        <w:rPr>
          <w:rFonts w:ascii="Verdana" w:eastAsia="Century Gothic" w:hAnsi="Verdana" w:cs="Century Gothic"/>
          <w:b/>
          <w:bCs/>
        </w:rPr>
        <w:t>Razones de las respuestas:</w:t>
      </w:r>
    </w:p>
    <w:p w14:paraId="1030714F" w14:textId="77777777" w:rsidR="005A5095" w:rsidRPr="005A5095" w:rsidRDefault="005A5095" w:rsidP="005A5095">
      <w:pPr>
        <w:spacing w:after="0" w:line="276" w:lineRule="auto"/>
        <w:jc w:val="both"/>
        <w:rPr>
          <w:rFonts w:ascii="Verdana" w:eastAsia="Calibri" w:hAnsi="Verdana" w:cs="Arial"/>
          <w:color w:val="7030A0"/>
        </w:rPr>
      </w:pPr>
    </w:p>
    <w:p w14:paraId="2D77A989" w14:textId="77777777" w:rsidR="005A5095" w:rsidRPr="005A5095" w:rsidRDefault="005A5095" w:rsidP="005A5095">
      <w:pPr>
        <w:spacing w:after="0" w:line="276" w:lineRule="auto"/>
        <w:jc w:val="both"/>
        <w:rPr>
          <w:rFonts w:ascii="Verdana" w:eastAsia="Calibri" w:hAnsi="Verdana" w:cs="Arial"/>
        </w:rPr>
      </w:pPr>
      <w:r w:rsidRPr="005A5095">
        <w:rPr>
          <w:rFonts w:ascii="Verdana" w:eastAsia="Calibri" w:hAnsi="Verdana" w:cs="Arial"/>
        </w:rPr>
        <w:t>Lo anterior se sustenta en las siguientes consideraciones:</w:t>
      </w:r>
    </w:p>
    <w:p w14:paraId="62AFAB55" w14:textId="77777777" w:rsidR="005A5095" w:rsidRPr="005A5095" w:rsidRDefault="005A5095" w:rsidP="005A5095">
      <w:pPr>
        <w:spacing w:after="0" w:line="276" w:lineRule="auto"/>
        <w:jc w:val="both"/>
        <w:rPr>
          <w:rFonts w:ascii="Verdana" w:eastAsia="Calibri" w:hAnsi="Verdana" w:cs="Arial"/>
        </w:rPr>
      </w:pPr>
    </w:p>
    <w:p w14:paraId="084CCF6C" w14:textId="77777777" w:rsidR="005A5095" w:rsidRPr="005A5095" w:rsidRDefault="005A5095" w:rsidP="005A5095">
      <w:pPr>
        <w:spacing w:after="120" w:line="276" w:lineRule="auto"/>
        <w:jc w:val="both"/>
        <w:rPr>
          <w:rFonts w:ascii="Verdana" w:eastAsia="Calibri" w:hAnsi="Verdana" w:cs="Arial"/>
        </w:rPr>
      </w:pPr>
      <w:r w:rsidRPr="005A5095">
        <w:rPr>
          <w:rFonts w:ascii="Verdana" w:hAnsi="Verdana" w:cs="Arial"/>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5A5095">
        <w:rPr>
          <w:rFonts w:ascii="Verdana" w:hAnsi="Verdana" w:cs="Arial"/>
          <w:vertAlign w:val="superscript"/>
          <w:lang w:val="es-ES"/>
        </w:rPr>
        <w:footnoteReference w:id="2"/>
      </w:r>
      <w:r w:rsidRPr="005A5095">
        <w:rPr>
          <w:rFonts w:ascii="Verdana" w:hAnsi="Verdana" w:cs="Arial"/>
          <w:lang w:val="es-ES"/>
        </w:rPr>
        <w:t xml:space="preserve">. </w:t>
      </w:r>
      <w:bookmarkStart w:id="3" w:name="_Hlk164688501"/>
      <w:r w:rsidRPr="005A5095">
        <w:rPr>
          <w:rFonts w:ascii="Verdana" w:hAnsi="Verdana" w:cs="Arial"/>
          <w:lang w:val="es-ES"/>
        </w:rPr>
        <w:t>Por otra parte, el artículo 96 de la Ley 489 de 1998</w:t>
      </w:r>
      <w:r w:rsidRPr="005A5095">
        <w:rPr>
          <w:rFonts w:ascii="Verdana" w:hAnsi="Verdana" w:cs="Arial"/>
          <w:vertAlign w:val="superscript"/>
          <w:lang w:val="es-ES"/>
        </w:rPr>
        <w:footnoteReference w:id="3"/>
      </w:r>
      <w:r w:rsidRPr="005A5095">
        <w:rPr>
          <w:rFonts w:ascii="Verdana" w:hAnsi="Verdana" w:cs="Arial"/>
          <w:lang w:val="es-ES"/>
        </w:rPr>
        <w:t xml:space="preserve"> permite a las Entidades Públicas en general, es decir, </w:t>
      </w:r>
      <w:r w:rsidRPr="005A5095">
        <w:rPr>
          <w:rFonts w:ascii="Verdana" w:hAnsi="Verdana" w:cs="Arial"/>
          <w:lang w:val="es-ES"/>
        </w:rPr>
        <w:lastRenderedPageBreak/>
        <w:t>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3"/>
      <w:r w:rsidRPr="005A5095">
        <w:rPr>
          <w:rFonts w:ascii="Verdana" w:hAnsi="Verdana" w:cs="Arial"/>
          <w:lang w:val="es-ES"/>
        </w:rPr>
        <w:t>.</w:t>
      </w:r>
      <w:bookmarkStart w:id="5" w:name="_Hlk171946092"/>
      <w:bookmarkStart w:id="6" w:name="_Hlk38819155"/>
    </w:p>
    <w:p w14:paraId="05BE1929" w14:textId="77777777" w:rsidR="005A5095" w:rsidRPr="005A5095" w:rsidRDefault="005A5095" w:rsidP="005A5095">
      <w:pPr>
        <w:spacing w:after="120" w:line="276" w:lineRule="auto"/>
        <w:ind w:firstLine="709"/>
        <w:jc w:val="both"/>
        <w:rPr>
          <w:rFonts w:ascii="Verdana" w:eastAsia="Calibri" w:hAnsi="Verdana" w:cs="Arial"/>
        </w:rPr>
      </w:pPr>
      <w:r w:rsidRPr="005A5095">
        <w:rPr>
          <w:rFonts w:ascii="Verdana" w:hAnsi="Verdana" w:cs="Arial"/>
          <w:lang w:val="es-ES"/>
        </w:rPr>
        <w:t xml:space="preserve">El Gobierno Nacional, en desarrollo del artículo 355 de la Constitución Política, expidió el Decreto 092 de 2017, que dispone las reglas para las contrataciones que realicen las Entidades Estatales con las ESAL. El Decreto regula dos (2) eventos: i) </w:t>
      </w:r>
      <w:r w:rsidRPr="005A5095">
        <w:rPr>
          <w:rFonts w:ascii="Verdana" w:hAnsi="Verdana" w:cs="Arial"/>
          <w:lang w:val="es-ES" w:eastAsia="es-ES_tradnl"/>
        </w:rPr>
        <w:t xml:space="preserve">los </w:t>
      </w:r>
      <w:r w:rsidRPr="005A5095">
        <w:rPr>
          <w:rFonts w:ascii="Verdana" w:hAnsi="Verdana" w:cs="Arial"/>
          <w:i/>
          <w:iCs/>
          <w:lang w:val="es-ES" w:eastAsia="es-ES_tradnl"/>
        </w:rPr>
        <w:t>contratos de colaboración</w:t>
      </w:r>
      <w:r w:rsidRPr="005A5095">
        <w:rPr>
          <w:rFonts w:ascii="Verdana" w:hAnsi="Verdana" w:cs="Arial"/>
          <w:lang w:val="es-ES"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5A5095">
        <w:rPr>
          <w:rFonts w:ascii="Verdana" w:hAnsi="Verdana" w:cs="Arial"/>
          <w:lang w:val="es-ES"/>
        </w:rPr>
        <w:t xml:space="preserve"> y; ii) los </w:t>
      </w:r>
      <w:r w:rsidRPr="005A5095">
        <w:rPr>
          <w:rFonts w:ascii="Verdana" w:hAnsi="Verdana" w:cs="Arial"/>
          <w:i/>
          <w:iCs/>
          <w:lang w:val="es-ES"/>
        </w:rPr>
        <w:t>convenios de asociación</w:t>
      </w:r>
      <w:r w:rsidRPr="005A5095">
        <w:rPr>
          <w:rFonts w:ascii="Verdana" w:hAnsi="Verdana" w:cs="Arial"/>
          <w:lang w:val="es-ES"/>
        </w:rPr>
        <w:t xml:space="preserve">, para el desarrollo conjunto de actividades relacionadas con las funciones de las Entidades Estatales, en desarrollo del artículo 96 de la Ley 489 de 1998. </w:t>
      </w:r>
      <w:r w:rsidRPr="005A5095">
        <w:rPr>
          <w:rFonts w:ascii="Verdana" w:hAnsi="Verdana" w:cs="Arial"/>
          <w:lang w:val="es-ES" w:eastAsia="es-ES_tradnl"/>
        </w:rPr>
        <w:t xml:space="preserve">Los primeros están regulados en el artículo 2 del Decreto 092 de 2017, mientras que los segundos en los artículos 5, 6, 7 y 8 </w:t>
      </w:r>
      <w:r w:rsidRPr="005A5095">
        <w:rPr>
          <w:rFonts w:ascii="Verdana" w:hAnsi="Verdana" w:cs="Arial"/>
          <w:i/>
          <w:iCs/>
          <w:lang w:val="es-ES" w:eastAsia="es-ES_tradnl"/>
        </w:rPr>
        <w:t>ibidem</w:t>
      </w:r>
      <w:r w:rsidRPr="005A5095">
        <w:rPr>
          <w:rFonts w:ascii="Verdana" w:hAnsi="Verdana" w:cs="Arial"/>
          <w:lang w:val="es-ES" w:eastAsia="es-ES_tradnl"/>
        </w:rPr>
        <w:t xml:space="preserve">. </w:t>
      </w:r>
      <w:bookmarkEnd w:id="5"/>
      <w:r w:rsidRPr="005A5095">
        <w:rPr>
          <w:rFonts w:ascii="Verdana" w:hAnsi="Verdana" w:cs="Arial"/>
          <w:lang w:val="es-ES" w:eastAsia="es-ES_tradnl"/>
        </w:rPr>
        <w:t xml:space="preserve">Es posible diferenciar, pues, los </w:t>
      </w:r>
      <w:r w:rsidRPr="005A5095">
        <w:rPr>
          <w:rFonts w:ascii="Verdana" w:hAnsi="Verdana" w:cs="Arial"/>
          <w:i/>
          <w:iCs/>
          <w:lang w:val="es-ES" w:eastAsia="es-ES_tradnl"/>
        </w:rPr>
        <w:t>convenios de asociación</w:t>
      </w:r>
      <w:r w:rsidRPr="005A5095">
        <w:rPr>
          <w:rFonts w:ascii="Verdana" w:hAnsi="Verdana" w:cs="Arial"/>
          <w:lang w:val="es-ES" w:eastAsia="es-ES_tradnl"/>
        </w:rPr>
        <w:t xml:space="preserve">, regulados en el artículo 5, de los </w:t>
      </w:r>
      <w:r w:rsidRPr="005A5095">
        <w:rPr>
          <w:rFonts w:ascii="Verdana" w:hAnsi="Verdana" w:cs="Arial"/>
          <w:i/>
          <w:iCs/>
          <w:lang w:val="es-ES" w:eastAsia="es-ES_tradnl"/>
        </w:rPr>
        <w:t>contratos de colaboración</w:t>
      </w:r>
      <w:r w:rsidRPr="005A5095">
        <w:rPr>
          <w:rFonts w:ascii="Verdana" w:hAnsi="Verdana" w:cs="Arial"/>
          <w:lang w:val="es-ES" w:eastAsia="es-ES_tradnl"/>
        </w:rPr>
        <w:t>, establecidos en el artículo 2 del Decreto 092 de 2017</w:t>
      </w:r>
      <w:r w:rsidRPr="005A5095">
        <w:rPr>
          <w:rFonts w:ascii="Verdana" w:hAnsi="Verdana"/>
          <w:vertAlign w:val="superscript"/>
          <w:lang w:val="es-ES" w:eastAsia="es-ES_tradnl"/>
        </w:rPr>
        <w:footnoteReference w:id="4"/>
      </w:r>
      <w:r w:rsidRPr="005A5095">
        <w:rPr>
          <w:rFonts w:ascii="Verdana" w:hAnsi="Verdana" w:cs="Arial"/>
          <w:lang w:val="es-ES" w:eastAsia="es-ES_tradnl"/>
        </w:rPr>
        <w:t>.</w:t>
      </w:r>
      <w:bookmarkStart w:id="7" w:name="_Hlk171946110"/>
      <w:bookmarkEnd w:id="6"/>
    </w:p>
    <w:p w14:paraId="68D7F2D6" w14:textId="77777777" w:rsidR="005A5095" w:rsidRPr="005A5095" w:rsidRDefault="005A5095" w:rsidP="005A5095">
      <w:pPr>
        <w:spacing w:after="120" w:line="276" w:lineRule="auto"/>
        <w:ind w:firstLine="709"/>
        <w:jc w:val="both"/>
        <w:rPr>
          <w:rFonts w:ascii="Verdana" w:eastAsia="Calibri" w:hAnsi="Verdana" w:cs="Arial"/>
        </w:rPr>
      </w:pPr>
      <w:r w:rsidRPr="005A5095">
        <w:rPr>
          <w:rFonts w:ascii="Verdana" w:hAnsi="Verdana" w:cs="Arial"/>
          <w:lang w:val="es-ES"/>
        </w:rPr>
        <w:t xml:space="preserve">De un lado, los </w:t>
      </w:r>
      <w:r w:rsidRPr="005A5095">
        <w:rPr>
          <w:rFonts w:ascii="Verdana" w:hAnsi="Verdana" w:cs="Arial"/>
          <w:i/>
          <w:iCs/>
          <w:lang w:val="es-ES"/>
        </w:rPr>
        <w:t>contratos del artículo 355 de la Constitución Política</w:t>
      </w:r>
      <w:r w:rsidRPr="005A5095">
        <w:rPr>
          <w:rFonts w:ascii="Verdana"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bookmarkStart w:id="8" w:name="_Hlk171946189"/>
      <w:bookmarkEnd w:id="7"/>
    </w:p>
    <w:p w14:paraId="3F8BFDBE" w14:textId="77777777" w:rsidR="005A5095" w:rsidRPr="005A5095" w:rsidRDefault="005A5095" w:rsidP="005A5095">
      <w:pPr>
        <w:spacing w:after="120" w:line="276" w:lineRule="auto"/>
        <w:ind w:firstLine="709"/>
        <w:jc w:val="both"/>
        <w:rPr>
          <w:rFonts w:ascii="Verdana" w:eastAsia="Calibri" w:hAnsi="Verdana" w:cs="Arial"/>
        </w:rPr>
      </w:pPr>
      <w:r w:rsidRPr="005A5095">
        <w:rPr>
          <w:rFonts w:ascii="Verdana" w:hAnsi="Verdana" w:cs="Arial"/>
          <w:lang w:val="es-ES"/>
        </w:rPr>
        <w:t xml:space="preserve">De otro lado, los </w:t>
      </w:r>
      <w:r w:rsidRPr="005A5095">
        <w:rPr>
          <w:rFonts w:ascii="Verdana" w:hAnsi="Verdana" w:cs="Arial"/>
          <w:i/>
          <w:iCs/>
          <w:lang w:val="es-ES"/>
        </w:rPr>
        <w:t>convenios de asociación</w:t>
      </w:r>
      <w:r w:rsidRPr="005A5095">
        <w:rPr>
          <w:rFonts w:ascii="Verdana" w:hAnsi="Verdana" w:cs="Arial"/>
          <w:lang w:val="es-ES"/>
        </w:rPr>
        <w:t xml:space="preserve"> “[…] [t]ienen como finalidad que la entidad estatal, cualquiera que sea su naturaleza y orden administrativo, se asocien con personas jurídicas particulares para el desarrollo conjunto de </w:t>
      </w:r>
      <w:r w:rsidRPr="005A5095">
        <w:rPr>
          <w:rFonts w:ascii="Verdana" w:hAnsi="Verdana" w:cs="Arial"/>
          <w:lang w:val="es-ES"/>
        </w:rPr>
        <w:lastRenderedPageBreak/>
        <w:t>actividades relacionadas con los cometidos y funciones asignadas a aquellas conforme a la Constitución y a la Ley”</w:t>
      </w:r>
      <w:r w:rsidRPr="005A5095">
        <w:rPr>
          <w:rFonts w:ascii="Verdana" w:hAnsi="Verdana"/>
          <w:vertAlign w:val="superscript"/>
          <w:lang w:val="es-ES"/>
        </w:rPr>
        <w:footnoteReference w:id="5"/>
      </w:r>
      <w:r w:rsidRPr="005A5095">
        <w:rPr>
          <w:rFonts w:ascii="Verdana" w:hAnsi="Verdana" w:cs="Arial"/>
          <w:lang w:val="es-ES"/>
        </w:rPr>
        <w:t xml:space="preserve">. </w:t>
      </w:r>
      <w:bookmarkEnd w:id="8"/>
      <w:r w:rsidRPr="005A5095">
        <w:rPr>
          <w:rFonts w:ascii="Verdana" w:hAnsi="Verdana" w:cs="Arial"/>
          <w:lang w:val="es-ES" w:eastAsia="es-ES_tradnl"/>
        </w:rPr>
        <w:t xml:space="preserve">De conformidad con el inciso segundo del </w:t>
      </w:r>
      <w:bookmarkStart w:id="9" w:name="_Hlk171946223"/>
      <w:r w:rsidRPr="005A5095">
        <w:rPr>
          <w:rFonts w:ascii="Verdana" w:hAnsi="Verdana" w:cs="Arial"/>
          <w:lang w:val="es-ES" w:eastAsia="es-ES_tradnl"/>
        </w:rPr>
        <w:t>artículo 96 de la Ley 489 de 1998</w:t>
      </w:r>
      <w:bookmarkEnd w:id="9"/>
      <w:r w:rsidRPr="005A5095">
        <w:rPr>
          <w:rFonts w:ascii="Verdana" w:hAnsi="Verdana" w:cs="Arial"/>
          <w:lang w:val="es-ES" w:eastAsia="es-ES_tradnl"/>
        </w:rPr>
        <w:t xml:space="preserve">, en estos convenios debe determinarse “con precisión su objeto, término, obligaciones de las partes, aportes, coordinación y todos aquellos aspectos que se consideren pertinentes”. </w:t>
      </w:r>
      <w:r w:rsidRPr="005A5095">
        <w:rPr>
          <w:rFonts w:ascii="Verdana" w:hAnsi="Verdana" w:cs="Arial"/>
          <w:lang w:val="es-ES"/>
        </w:rPr>
        <w:t xml:space="preserve">En estos convenios no existe contraprestación o pago, sino aportes, los cuales están dirigidos, exclusivamente, a lograr la ejecución del convenio no a remunerar la actividad o actuaciones del asociado. </w:t>
      </w:r>
    </w:p>
    <w:p w14:paraId="7892417B" w14:textId="77777777" w:rsidR="005A5095" w:rsidRPr="005A5095" w:rsidRDefault="005A5095" w:rsidP="005A5095">
      <w:pPr>
        <w:spacing w:after="0" w:line="276" w:lineRule="auto"/>
        <w:ind w:firstLine="709"/>
        <w:jc w:val="both"/>
        <w:rPr>
          <w:rFonts w:ascii="Verdana" w:eastAsia="Calibri" w:hAnsi="Verdana" w:cs="Arial"/>
        </w:rPr>
      </w:pPr>
      <w:r w:rsidRPr="005A5095">
        <w:rPr>
          <w:rFonts w:ascii="Verdana" w:hAnsi="Verdana" w:cs="Arial"/>
          <w:lang w:val="es-ES"/>
        </w:rPr>
        <w:t xml:space="preserve">Es importante señalar que, </w:t>
      </w:r>
      <w:bookmarkStart w:id="10" w:name="_Hlk171946202"/>
      <w:r w:rsidRPr="005A5095">
        <w:rPr>
          <w:rFonts w:ascii="Verdana" w:hAnsi="Verdana" w:cs="Arial"/>
          <w:lang w:val="es-ES"/>
        </w:rPr>
        <w:t>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bookmarkEnd w:id="10"/>
      <w:r w:rsidRPr="005A5095">
        <w:rPr>
          <w:rFonts w:ascii="Verdana" w:hAnsi="Verdana" w:cs="Arial"/>
          <w:lang w:val="es-ES"/>
        </w:rPr>
        <w:t>”</w:t>
      </w:r>
      <w:r w:rsidRPr="005A5095">
        <w:rPr>
          <w:rFonts w:ascii="Verdana" w:hAnsi="Verdana" w:cs="Arial"/>
          <w:vertAlign w:val="superscript"/>
          <w:lang w:val="es-ES"/>
        </w:rPr>
        <w:footnoteReference w:id="6"/>
      </w:r>
      <w:r w:rsidRPr="005A5095">
        <w:rPr>
          <w:rFonts w:ascii="Verdana" w:hAnsi="Verdana" w:cs="Arial"/>
          <w:lang w:val="es-ES"/>
        </w:rPr>
        <w:t xml:space="preserve">. Así lo consideró la </w:t>
      </w:r>
      <w:bookmarkStart w:id="11" w:name="_Hlk171946251"/>
      <w:r w:rsidRPr="005A5095">
        <w:rPr>
          <w:rFonts w:ascii="Verdana" w:hAnsi="Verdana" w:cs="Arial"/>
          <w:lang w:val="es-ES"/>
        </w:rPr>
        <w:t>Sala de Consulta y Servicio Civil del Consejo de Estado</w:t>
      </w:r>
      <w:bookmarkEnd w:id="11"/>
      <w:r w:rsidRPr="005A5095">
        <w:rPr>
          <w:rFonts w:ascii="Verdana" w:hAnsi="Verdana" w:cs="Arial"/>
          <w:vertAlign w:val="superscript"/>
          <w:lang w:val="es-ES"/>
        </w:rPr>
        <w:footnoteReference w:id="7"/>
      </w:r>
      <w:r w:rsidRPr="005A5095">
        <w:rPr>
          <w:rFonts w:ascii="Verdana" w:hAnsi="Verdana" w:cs="Arial"/>
          <w:lang w:val="es-ES"/>
        </w:rPr>
        <w:t>:</w:t>
      </w:r>
    </w:p>
    <w:p w14:paraId="1DE6F543" w14:textId="77777777" w:rsidR="005A5095" w:rsidRPr="005A5095" w:rsidRDefault="005A5095" w:rsidP="005A5095">
      <w:pPr>
        <w:spacing w:after="0" w:line="276" w:lineRule="auto"/>
        <w:jc w:val="both"/>
        <w:rPr>
          <w:rFonts w:ascii="Verdana" w:eastAsia="Calibri" w:hAnsi="Verdana" w:cs="Arial"/>
          <w:lang w:val="es-MX"/>
        </w:rPr>
      </w:pPr>
    </w:p>
    <w:p w14:paraId="405BBC45" w14:textId="77777777" w:rsidR="005A5095" w:rsidRPr="005A5095" w:rsidRDefault="005A5095" w:rsidP="005A5095">
      <w:pPr>
        <w:spacing w:after="0" w:line="240" w:lineRule="auto"/>
        <w:ind w:left="709" w:right="709"/>
        <w:jc w:val="both"/>
        <w:rPr>
          <w:rFonts w:ascii="Verdana" w:eastAsia="Calibri" w:hAnsi="Verdana" w:cs="Arial"/>
          <w:sz w:val="20"/>
          <w:szCs w:val="20"/>
        </w:rPr>
      </w:pPr>
      <w:r w:rsidRPr="005A5095">
        <w:rPr>
          <w:rFonts w:ascii="Verdana" w:eastAsia="Calibri" w:hAnsi="Verdana" w:cs="Arial"/>
          <w:sz w:val="20"/>
          <w:szCs w:val="20"/>
        </w:rPr>
        <w:t xml:space="preserve">“Como ya se indicó, </w:t>
      </w:r>
      <w:bookmarkStart w:id="13" w:name="_Hlk171946287"/>
      <w:r w:rsidRPr="005A5095">
        <w:rPr>
          <w:rFonts w:ascii="Verdana" w:eastAsia="Calibri" w:hAnsi="Verdana" w:cs="Arial"/>
          <w:sz w:val="20"/>
          <w:szCs w:val="20"/>
        </w:rPr>
        <w:t xml:space="preserve">el objeto de los contratos que autoriza el inciso segundo del artículo 355 Superior, se limita a la realización de actividades o programas de interés público que, conforme a los planes de desarrollo, adelanten instituciones privadas sin ánimo de lucro. </w:t>
      </w:r>
      <w:bookmarkEnd w:id="13"/>
      <w:r w:rsidRPr="005A5095">
        <w:rPr>
          <w:rFonts w:ascii="Verdana" w:eastAsia="Calibri" w:hAnsi="Verdana" w:cs="Arial"/>
          <w:sz w:val="20"/>
          <w:szCs w:val="20"/>
        </w:rPr>
        <w:t>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1A526DFF" w14:textId="77777777" w:rsidR="005A5095" w:rsidRPr="005A5095" w:rsidRDefault="005A5095" w:rsidP="005A5095">
      <w:pPr>
        <w:spacing w:after="0" w:line="240" w:lineRule="auto"/>
        <w:ind w:left="709" w:right="709"/>
        <w:jc w:val="both"/>
        <w:rPr>
          <w:rFonts w:ascii="Verdana" w:eastAsia="Calibri" w:hAnsi="Verdana" w:cs="Arial"/>
          <w:sz w:val="20"/>
          <w:szCs w:val="20"/>
        </w:rPr>
      </w:pPr>
    </w:p>
    <w:p w14:paraId="67529BB0" w14:textId="77777777" w:rsidR="005A5095" w:rsidRPr="005A5095" w:rsidRDefault="005A5095" w:rsidP="005A5095">
      <w:pPr>
        <w:spacing w:after="0" w:line="240" w:lineRule="auto"/>
        <w:ind w:left="709" w:right="709"/>
        <w:jc w:val="both"/>
        <w:rPr>
          <w:rFonts w:ascii="Verdana" w:eastAsia="Calibri" w:hAnsi="Verdana" w:cs="Arial"/>
          <w:sz w:val="20"/>
          <w:szCs w:val="20"/>
        </w:rPr>
      </w:pPr>
      <w:r w:rsidRPr="005A5095">
        <w:rPr>
          <w:rFonts w:ascii="Verdana" w:eastAsia="Calibri" w:hAnsi="Verdana" w:cs="Arial"/>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672B96C9" w14:textId="77777777" w:rsidR="005A5095" w:rsidRPr="005A5095" w:rsidRDefault="005A5095" w:rsidP="005A5095">
      <w:pPr>
        <w:spacing w:after="0" w:line="276" w:lineRule="auto"/>
        <w:jc w:val="both"/>
        <w:rPr>
          <w:rFonts w:ascii="Verdana" w:eastAsia="Calibri" w:hAnsi="Verdana" w:cs="Arial"/>
        </w:rPr>
      </w:pPr>
    </w:p>
    <w:p w14:paraId="0E4493C9" w14:textId="77777777" w:rsidR="005A5095" w:rsidRPr="005A5095" w:rsidRDefault="005A5095" w:rsidP="005A5095">
      <w:pPr>
        <w:spacing w:after="0" w:line="276" w:lineRule="auto"/>
        <w:ind w:firstLine="709"/>
        <w:jc w:val="both"/>
        <w:rPr>
          <w:rFonts w:ascii="Verdana" w:hAnsi="Verdana" w:cs="Arial"/>
          <w:lang w:val="es-ES"/>
        </w:rPr>
      </w:pPr>
      <w:bookmarkStart w:id="14" w:name="_Hlk95756200"/>
      <w:r w:rsidRPr="005A5095">
        <w:rPr>
          <w:rFonts w:ascii="Verdana" w:hAnsi="Verdana" w:cs="Arial"/>
          <w:lang w:val="es-ES"/>
        </w:rPr>
        <w:t xml:space="preserve">De acuerdo con lo anterior, </w:t>
      </w:r>
      <w:bookmarkStart w:id="15" w:name="_Hlk171937920"/>
      <w:r w:rsidRPr="005A5095">
        <w:rPr>
          <w:rFonts w:ascii="Verdana" w:hAnsi="Verdana" w:cs="Arial"/>
          <w:lang w:val="es-ES"/>
        </w:rPr>
        <w:t>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bookmarkEnd w:id="15"/>
      <w:r w:rsidRPr="005A5095">
        <w:rPr>
          <w:rFonts w:ascii="Verdana" w:hAnsi="Verdana" w:cs="Arial"/>
          <w:lang w:val="es-ES"/>
        </w:rPr>
        <w:t xml:space="preserve"> </w:t>
      </w:r>
      <w:bookmarkEnd w:id="14"/>
      <w:r w:rsidRPr="005A5095">
        <w:rPr>
          <w:rFonts w:ascii="Verdana" w:hAnsi="Verdana" w:cs="Arial"/>
          <w:lang w:val="es-ES"/>
        </w:rPr>
        <w:t xml:space="preserve">Así lo reconoció la </w:t>
      </w:r>
      <w:bookmarkStart w:id="16" w:name="_Hlk171946330"/>
      <w:r w:rsidRPr="005A5095">
        <w:rPr>
          <w:rFonts w:ascii="Verdana" w:hAnsi="Verdana" w:cs="Arial"/>
          <w:lang w:val="es-ES"/>
        </w:rPr>
        <w:t>Corte Constitucional en la sentencia C-287 del 18 de abril de 2012</w:t>
      </w:r>
      <w:bookmarkEnd w:id="16"/>
      <w:r w:rsidRPr="005A5095">
        <w:rPr>
          <w:rFonts w:ascii="Verdana" w:hAnsi="Verdana" w:cs="Arial"/>
          <w:lang w:val="es-ES"/>
        </w:rPr>
        <w:t>, en la que sostuvo lo siguiente:</w:t>
      </w:r>
    </w:p>
    <w:p w14:paraId="77E635AC" w14:textId="77777777" w:rsidR="005A5095" w:rsidRPr="005A5095" w:rsidRDefault="005A5095" w:rsidP="005A5095">
      <w:pPr>
        <w:spacing w:after="0" w:line="276" w:lineRule="auto"/>
        <w:ind w:firstLine="708"/>
        <w:jc w:val="both"/>
        <w:rPr>
          <w:rFonts w:ascii="Verdana" w:eastAsia="Calibri" w:hAnsi="Verdana" w:cs="Arial"/>
        </w:rPr>
      </w:pPr>
    </w:p>
    <w:p w14:paraId="55A5F567" w14:textId="77777777" w:rsidR="005A5095" w:rsidRPr="005A5095" w:rsidRDefault="005A5095" w:rsidP="005A5095">
      <w:pPr>
        <w:spacing w:after="0" w:line="240" w:lineRule="auto"/>
        <w:ind w:left="709" w:right="709"/>
        <w:jc w:val="both"/>
        <w:rPr>
          <w:rFonts w:ascii="Verdana" w:eastAsia="Calibri" w:hAnsi="Verdana" w:cs="Arial"/>
          <w:sz w:val="20"/>
          <w:szCs w:val="20"/>
        </w:rPr>
      </w:pPr>
      <w:r w:rsidRPr="005A5095">
        <w:rPr>
          <w:rFonts w:ascii="Verdana" w:eastAsia="Calibri" w:hAnsi="Verdana" w:cs="Arial"/>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5AC45C3D" w14:textId="77777777" w:rsidR="005A5095" w:rsidRPr="005A5095" w:rsidRDefault="005A5095" w:rsidP="005A5095">
      <w:pPr>
        <w:spacing w:after="0" w:line="240" w:lineRule="auto"/>
        <w:ind w:left="709" w:right="709"/>
        <w:jc w:val="both"/>
        <w:rPr>
          <w:rFonts w:ascii="Verdana" w:eastAsia="Calibri" w:hAnsi="Verdana" w:cs="Arial"/>
          <w:sz w:val="20"/>
          <w:szCs w:val="20"/>
        </w:rPr>
      </w:pPr>
    </w:p>
    <w:p w14:paraId="3A13789C" w14:textId="77777777" w:rsidR="005A5095" w:rsidRPr="005A5095" w:rsidRDefault="005A5095" w:rsidP="005A5095">
      <w:pPr>
        <w:spacing w:after="0" w:line="240" w:lineRule="auto"/>
        <w:ind w:left="709" w:right="709"/>
        <w:jc w:val="both"/>
        <w:rPr>
          <w:rFonts w:ascii="Verdana" w:eastAsia="Calibri" w:hAnsi="Verdana" w:cs="Arial"/>
          <w:sz w:val="20"/>
          <w:szCs w:val="20"/>
        </w:rPr>
      </w:pPr>
      <w:r w:rsidRPr="005A5095">
        <w:rPr>
          <w:rFonts w:ascii="Verdana" w:eastAsia="Calibri" w:hAnsi="Verdana" w:cs="Arial"/>
          <w:i/>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5A5095">
        <w:rPr>
          <w:rFonts w:ascii="Verdana" w:eastAsia="Calibri" w:hAnsi="Verdana" w:cs="Arial"/>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[Énfasis fuera del texto original]</w:t>
      </w:r>
    </w:p>
    <w:p w14:paraId="1806DA75" w14:textId="77777777" w:rsidR="005A5095" w:rsidRPr="005A5095" w:rsidRDefault="005A5095" w:rsidP="005A5095">
      <w:pPr>
        <w:spacing w:after="0" w:line="276" w:lineRule="auto"/>
        <w:ind w:firstLine="709"/>
        <w:jc w:val="both"/>
        <w:rPr>
          <w:rFonts w:ascii="Verdana" w:eastAsia="Calibri" w:hAnsi="Verdana" w:cs="Arial"/>
        </w:rPr>
      </w:pPr>
    </w:p>
    <w:p w14:paraId="59F76F8D"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hAnsi="Verdana" w:cs="Arial"/>
          <w:lang w:val="es-ES"/>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w:t>
      </w:r>
      <w:bookmarkStart w:id="17" w:name="_Hlk171937934"/>
      <w:r w:rsidRPr="005A5095">
        <w:rPr>
          <w:rFonts w:ascii="Verdana" w:eastAsia="Calibri" w:hAnsi="Verdana" w:cs="Arial"/>
          <w:color w:val="000000" w:themeColor="text1"/>
        </w:rPr>
        <w:t xml:space="preserve">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w:t>
      </w:r>
      <w:r w:rsidRPr="005A5095">
        <w:rPr>
          <w:rFonts w:ascii="Verdana" w:eastAsia="Calibri" w:hAnsi="Verdana" w:cs="Arial"/>
          <w:color w:val="000000" w:themeColor="text1"/>
        </w:rPr>
        <w:lastRenderedPageBreak/>
        <w:t>en el que se debe remunerar al contratista por los servicios prestados, el cual, por eso mismo, tiene un régimen legal distinto</w:t>
      </w:r>
      <w:bookmarkEnd w:id="17"/>
      <w:r w:rsidRPr="005A5095">
        <w:rPr>
          <w:rFonts w:ascii="Verdana" w:hAnsi="Verdana" w:cs="Arial"/>
          <w:lang w:val="es-ES"/>
        </w:rPr>
        <w:t>.</w:t>
      </w:r>
    </w:p>
    <w:p w14:paraId="047F6525" w14:textId="77777777" w:rsidR="005A5095" w:rsidRPr="005A5095" w:rsidRDefault="005A5095" w:rsidP="005A5095">
      <w:pPr>
        <w:spacing w:after="120" w:line="276" w:lineRule="auto"/>
        <w:ind w:firstLine="709"/>
        <w:jc w:val="both"/>
        <w:rPr>
          <w:rFonts w:ascii="Verdana" w:eastAsia="Calibri" w:hAnsi="Verdana" w:cs="Arial"/>
          <w:color w:val="000000" w:themeColor="text1"/>
          <w:lang w:val="es-ES_tradnl"/>
        </w:rPr>
      </w:pPr>
      <w:r w:rsidRPr="005A5095">
        <w:rPr>
          <w:rFonts w:ascii="Verdana" w:hAnsi="Verdana" w:cs="Arial"/>
          <w:lang w:val="es-ES"/>
        </w:rPr>
        <w:t xml:space="preserve">En este sentido, </w:t>
      </w:r>
      <w:r w:rsidRPr="005A5095">
        <w:rPr>
          <w:rFonts w:ascii="Verdana" w:eastAsia="Calibri" w:hAnsi="Verdana" w:cs="Arial"/>
          <w:color w:val="000000" w:themeColor="text1"/>
          <w:lang w:val="es-ES_tradnl"/>
        </w:rPr>
        <w:t xml:space="preserve">los contratos por colaboración y convenios de asociación, regidos por el Decreto 092 de 2017, no tienen un interés puramente económico, porque no se celebran con el fin de obtener una ganancia, sino con el propósito de ejecutar actividades que contribuyen directamente al fin previsto en la Constitución o la ley, sin que por esto se reciba por ninguna de ellas el pago de un precio o contraprestación. </w:t>
      </w:r>
    </w:p>
    <w:p w14:paraId="2657E5A7"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hAnsi="Verdana" w:cs="Arial"/>
          <w:lang w:val="es-ES"/>
        </w:rPr>
        <w:t>En relación con el objeto de los contratos de colaboración, es pertinente señalar que una característica esencial de estos es que su objeto esté determinado por la realización de programas y actividades de interés público acordes con el Plan Nacional de Desarrollo y los planes seccionales de desarrollo</w:t>
      </w:r>
      <w:r w:rsidRPr="005A5095">
        <w:rPr>
          <w:rFonts w:ascii="Verdana" w:hAnsi="Verdana" w:cs="Arial"/>
          <w:vertAlign w:val="superscript"/>
          <w:lang w:val="es-ES"/>
        </w:rPr>
        <w:footnoteReference w:id="8"/>
      </w:r>
      <w:r w:rsidRPr="005A5095">
        <w:rPr>
          <w:rFonts w:ascii="Verdana" w:hAnsi="Verdana" w:cs="Arial"/>
          <w:lang w:val="es-ES"/>
        </w:rPr>
        <w:t>, los cuales se encuentran regulados en los artículos 339 a 344 de la Constitución Política. Sobre este aspecto, la Corte Constitucional ha indicado que el objeto de estos convenios 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5A5095">
        <w:rPr>
          <w:rFonts w:ascii="Verdana" w:hAnsi="Verdana" w:cs="Arial"/>
          <w:vertAlign w:val="superscript"/>
          <w:lang w:val="es-ES"/>
        </w:rPr>
        <w:footnoteReference w:id="9"/>
      </w:r>
      <w:r w:rsidRPr="005A5095">
        <w:rPr>
          <w:rFonts w:ascii="Verdana" w:hAnsi="Verdana" w:cs="Arial"/>
          <w:lang w:val="es-ES"/>
        </w:rPr>
        <w:t>.</w:t>
      </w:r>
    </w:p>
    <w:p w14:paraId="15120DC3"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hAnsi="Verdana" w:cs="Arial"/>
          <w:lang w:val="es-ES"/>
        </w:rPr>
        <w:t>Al respecto, el Consejo de Estado, en el auto del 6 de agosto de 2019, estudió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5A5095">
        <w:rPr>
          <w:rFonts w:ascii="Verdana" w:hAnsi="Verdana" w:cs="Arial"/>
          <w:vertAlign w:val="superscript"/>
          <w:lang w:val="es-ES"/>
        </w:rPr>
        <w:footnoteReference w:id="10"/>
      </w:r>
      <w:r w:rsidRPr="005A5095">
        <w:rPr>
          <w:rFonts w:ascii="Verdana" w:hAnsi="Verdana" w:cs="Arial"/>
          <w:lang w:val="es-ES"/>
        </w:rPr>
        <w:t xml:space="preserve">. </w:t>
      </w:r>
      <w:bookmarkStart w:id="19" w:name="_Hlk95756502"/>
      <w:r w:rsidRPr="005A5095">
        <w:rPr>
          <w:rFonts w:ascii="Verdana" w:hAnsi="Verdana" w:cs="Arial"/>
          <w:lang w:val="es-ES"/>
        </w:rPr>
        <w:t xml:space="preserve"> </w:t>
      </w:r>
    </w:p>
    <w:p w14:paraId="70A6C05D" w14:textId="77777777" w:rsidR="005A5095" w:rsidRPr="005A5095" w:rsidRDefault="005A5095" w:rsidP="005A5095">
      <w:pPr>
        <w:spacing w:after="0" w:line="276" w:lineRule="auto"/>
        <w:ind w:firstLine="709"/>
        <w:jc w:val="both"/>
        <w:rPr>
          <w:rFonts w:ascii="Verdana" w:hAnsi="Verdana" w:cs="Arial"/>
          <w:lang w:val="es-ES"/>
        </w:rPr>
      </w:pPr>
      <w:r w:rsidRPr="005A5095">
        <w:rPr>
          <w:rFonts w:ascii="Verdana" w:hAnsi="Verdana" w:cs="Arial"/>
          <w:lang w:val="es-ES"/>
        </w:rPr>
        <w:lastRenderedPageBreak/>
        <w:t xml:space="preserve">En relación con esta norma, encontró que el literal a) del artículo 2 establece dos (2)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9"/>
      <w:r w:rsidRPr="005A5095">
        <w:rPr>
          <w:rFonts w:ascii="Verdana" w:hAnsi="Verdana" w:cs="Arial"/>
          <w:lang w:val="es-ES"/>
        </w:rPr>
        <w:t xml:space="preserve">En relación con lo anterior, el auto del Consejo de Estado explica que: </w:t>
      </w:r>
    </w:p>
    <w:p w14:paraId="482E9769" w14:textId="77777777" w:rsidR="005A5095" w:rsidRPr="005A5095" w:rsidRDefault="005A5095" w:rsidP="005A5095">
      <w:pPr>
        <w:spacing w:after="0" w:line="276" w:lineRule="auto"/>
        <w:ind w:left="360"/>
        <w:contextualSpacing/>
        <w:jc w:val="both"/>
        <w:rPr>
          <w:rFonts w:ascii="Verdana" w:hAnsi="Verdana" w:cs="Arial"/>
          <w:lang w:val="es-ES"/>
        </w:rPr>
      </w:pPr>
    </w:p>
    <w:p w14:paraId="3E737914" w14:textId="77777777" w:rsidR="005A5095" w:rsidRPr="005A5095" w:rsidRDefault="005A5095" w:rsidP="005A5095">
      <w:pPr>
        <w:spacing w:after="0" w:line="240" w:lineRule="auto"/>
        <w:ind w:left="709" w:right="709"/>
        <w:jc w:val="both"/>
        <w:rPr>
          <w:rFonts w:ascii="Verdana" w:eastAsia="Calibri" w:hAnsi="Verdana" w:cs="Arial"/>
          <w:sz w:val="20"/>
          <w:szCs w:val="20"/>
        </w:rPr>
      </w:pPr>
      <w:r w:rsidRPr="005A5095">
        <w:rPr>
          <w:rFonts w:ascii="Verdana" w:eastAsia="Calibri" w:hAnsi="Verdana" w:cs="Arial"/>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6EF8B740" w14:textId="77777777" w:rsidR="005A5095" w:rsidRPr="005A5095" w:rsidRDefault="005A5095" w:rsidP="005A5095">
      <w:pPr>
        <w:spacing w:after="0" w:line="276" w:lineRule="auto"/>
        <w:jc w:val="both"/>
        <w:rPr>
          <w:rFonts w:ascii="Verdana" w:eastAsia="Calibri" w:hAnsi="Verdana" w:cs="Arial"/>
        </w:rPr>
      </w:pPr>
    </w:p>
    <w:p w14:paraId="569AFAEC" w14:textId="77777777" w:rsidR="005A5095" w:rsidRPr="005A5095" w:rsidRDefault="005A5095" w:rsidP="005A5095">
      <w:pPr>
        <w:spacing w:after="120" w:line="276" w:lineRule="auto"/>
        <w:ind w:firstLine="709"/>
        <w:contextualSpacing/>
        <w:jc w:val="both"/>
        <w:rPr>
          <w:rFonts w:ascii="Verdana" w:hAnsi="Verdana" w:cs="Arial"/>
          <w:lang w:val="es-ES"/>
        </w:rPr>
      </w:pPr>
      <w:r w:rsidRPr="005A5095">
        <w:rPr>
          <w:rFonts w:ascii="Verdana" w:hAnsi="Verdana" w:cs="Arial"/>
          <w:lang w:val="es-ES"/>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12992680" w14:textId="77777777" w:rsidR="005A5095" w:rsidRPr="005A5095" w:rsidRDefault="005A5095" w:rsidP="005A5095">
      <w:pPr>
        <w:spacing w:after="0" w:line="276" w:lineRule="auto"/>
        <w:jc w:val="both"/>
        <w:rPr>
          <w:rFonts w:ascii="Verdana" w:eastAsia="Calibri" w:hAnsi="Verdana" w:cs="Arial"/>
        </w:rPr>
      </w:pPr>
    </w:p>
    <w:p w14:paraId="1866AC28" w14:textId="77777777" w:rsidR="005A5095" w:rsidRPr="005A5095" w:rsidRDefault="005A5095" w:rsidP="005A5095">
      <w:pPr>
        <w:tabs>
          <w:tab w:val="left" w:pos="8080"/>
        </w:tabs>
        <w:spacing w:after="0" w:line="240" w:lineRule="auto"/>
        <w:ind w:left="709" w:right="709"/>
        <w:jc w:val="both"/>
        <w:rPr>
          <w:rFonts w:ascii="Verdana" w:eastAsia="Calibri" w:hAnsi="Verdana" w:cs="Arial"/>
          <w:sz w:val="20"/>
          <w:szCs w:val="20"/>
        </w:rPr>
      </w:pPr>
      <w:r w:rsidRPr="005A5095">
        <w:rPr>
          <w:rFonts w:ascii="Verdana" w:eastAsia="Calibri" w:hAnsi="Verdana" w:cs="Arial"/>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w:t>
      </w:r>
      <w:r w:rsidRPr="005A5095">
        <w:rPr>
          <w:rFonts w:ascii="Verdana" w:eastAsia="Calibri" w:hAnsi="Verdana" w:cs="Arial"/>
          <w:sz w:val="20"/>
          <w:szCs w:val="20"/>
        </w:rPr>
        <w:lastRenderedPageBreak/>
        <w:t xml:space="preserve">puede celebrarse en cualquier modalidad, siempre y cuando –claro está– su causa sea “acorde” con los planes de desarrollo, que es, en últimas, el propósito de la norma constitucional”. </w:t>
      </w:r>
    </w:p>
    <w:p w14:paraId="35E74217" w14:textId="77777777" w:rsidR="005A5095" w:rsidRPr="005A5095" w:rsidRDefault="005A5095" w:rsidP="005A5095">
      <w:pPr>
        <w:spacing w:after="0" w:line="276" w:lineRule="auto"/>
        <w:jc w:val="both"/>
        <w:rPr>
          <w:rFonts w:ascii="Verdana" w:eastAsia="Calibri" w:hAnsi="Verdana" w:cs="Arial"/>
        </w:rPr>
      </w:pPr>
      <w:r w:rsidRPr="005A5095">
        <w:rPr>
          <w:rFonts w:ascii="Verdana" w:eastAsia="Calibri" w:hAnsi="Verdana" w:cs="Arial"/>
        </w:rPr>
        <w:t xml:space="preserve"> </w:t>
      </w:r>
    </w:p>
    <w:p w14:paraId="03DF31BE"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hAnsi="Verdana" w:cs="Arial"/>
          <w:lang w:val="es-ES"/>
        </w:rPr>
        <w:t xml:space="preserve">Por las anteriores razones, el Consejo de Estado suspendió provisionalmente el literal a), </w:t>
      </w:r>
      <w:r w:rsidRPr="005A5095">
        <w:rPr>
          <w:rFonts w:ascii="Verdana" w:hAnsi="Verdana" w:cs="Arial"/>
          <w:i/>
          <w:lang w:val="es-ES"/>
        </w:rPr>
        <w:t>por lo cual el objeto de los contratos debe ser acorde con los planes nacionales o seccionales de desarrollo</w:t>
      </w:r>
      <w:r w:rsidRPr="005A5095">
        <w:rPr>
          <w:rFonts w:ascii="Verdana" w:hAnsi="Verdana" w:cs="Arial"/>
          <w:lang w:val="es-ES"/>
        </w:rPr>
        <w:t>; y no necesariamente estar previstos directamente en ellos. Por lo demás, no solo se pueden celebrar contratos para los objetos específicos señalados en el Decreto 092 de 2017.</w:t>
      </w:r>
    </w:p>
    <w:p w14:paraId="24840125"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hAnsi="Verdana" w:cs="Arial"/>
          <w:lang w:val="es-ES"/>
        </w:rPr>
        <w:t>Por otro lado, el objeto del convenio de asociación es el desarrollo de cometidos y/o funciones públicas propias de las Entidades Estatales. 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los mismos a través del convenio a celebrarse</w:t>
      </w:r>
      <w:r w:rsidRPr="005A5095">
        <w:rPr>
          <w:rFonts w:ascii="Verdana" w:hAnsi="Verdana" w:cs="Arial"/>
          <w:vertAlign w:val="superscript"/>
          <w:lang w:val="es-ES"/>
        </w:rPr>
        <w:footnoteReference w:id="11"/>
      </w:r>
      <w:r w:rsidRPr="005A5095">
        <w:rPr>
          <w:rFonts w:ascii="Verdana" w:hAnsi="Verdana" w:cs="Arial"/>
          <w:lang w:val="es-ES"/>
        </w:rPr>
        <w:t>.</w:t>
      </w:r>
    </w:p>
    <w:p w14:paraId="772CA7FA" w14:textId="77777777" w:rsidR="005A5095" w:rsidRPr="005A5095" w:rsidRDefault="005A5095" w:rsidP="005A5095">
      <w:pPr>
        <w:spacing w:before="120" w:line="276" w:lineRule="auto"/>
        <w:ind w:firstLine="708"/>
        <w:jc w:val="both"/>
        <w:rPr>
          <w:rFonts w:ascii="Verdana" w:eastAsia="Calibri" w:hAnsi="Verdana" w:cs="Arial"/>
          <w:lang w:val="es-ES_tradnl"/>
        </w:rPr>
      </w:pPr>
      <w:r w:rsidRPr="005A5095">
        <w:rPr>
          <w:rFonts w:ascii="Verdana" w:hAnsi="Verdana" w:cs="Arial"/>
          <w:lang w:val="es-ES"/>
        </w:rPr>
        <w:t>Frente al segundo problema jurídico planteado, debe señalarse que, por un lado, el artículo 4 del Decreto 092 de 2027, dispone que la escogencia de la ESAL debe realizarse a través de proceso competitivo cuando haya pluralidad de ellas en condiciones de idoneidad para desarrollar un programa o una actividad de interés público</w:t>
      </w:r>
      <w:r w:rsidRPr="005A5095">
        <w:rPr>
          <w:rFonts w:ascii="Verdana" w:eastAsia="Calibri" w:hAnsi="Verdana" w:cs="Arial"/>
          <w:lang w:val="es-ES_tradnl"/>
        </w:rPr>
        <w:t xml:space="preserve">.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w:t>
      </w:r>
      <w:r w:rsidRPr="005A5095">
        <w:rPr>
          <w:rFonts w:ascii="Verdana" w:eastAsia="Calibri" w:hAnsi="Verdana" w:cs="Arial"/>
          <w:lang w:val="es-ES_tradnl"/>
        </w:rPr>
        <w:lastRenderedPageBreak/>
        <w:t xml:space="preserve">idoneidad presenten a la Entidad Estatal sus ofertas y los documentos que acrediten su idoneidad, y (iii) evaluación de las ofertas por parte de la Entidad Estatal teniendo en cuenta los criterios definidos para el efecto”. </w:t>
      </w:r>
    </w:p>
    <w:p w14:paraId="0735233A" w14:textId="77777777" w:rsidR="005A5095" w:rsidRPr="005A5095" w:rsidRDefault="005A5095" w:rsidP="005A5095">
      <w:pPr>
        <w:spacing w:before="120" w:line="276" w:lineRule="auto"/>
        <w:ind w:firstLine="708"/>
        <w:jc w:val="both"/>
        <w:rPr>
          <w:rFonts w:ascii="Verdana" w:eastAsia="Calibri" w:hAnsi="Verdana" w:cs="Arial"/>
          <w:lang w:val="es-ES_tradnl"/>
        </w:rPr>
      </w:pPr>
      <w:r w:rsidRPr="005A5095">
        <w:rPr>
          <w:rFonts w:ascii="Verdana" w:eastAsia="Calibri" w:hAnsi="Verdana" w:cs="Arial"/>
          <w:lang w:val="es-ES_tradnl"/>
        </w:rPr>
        <w:t>En la primera fase o de</w:t>
      </w:r>
      <w:r w:rsidRPr="005A5095">
        <w:rPr>
          <w:rFonts w:ascii="Verdana" w:eastAsia="Calibri" w:hAnsi="Verdana" w:cs="Arial"/>
          <w:i/>
          <w:lang w:val="es-ES_tradnl"/>
        </w:rPr>
        <w:t xml:space="preserve"> convocatoria, </w:t>
      </w:r>
      <w:r w:rsidRPr="005A5095">
        <w:rPr>
          <w:rFonts w:ascii="Verdana" w:eastAsia="Calibri" w:hAnsi="Verdana" w:cs="Arial"/>
          <w:lang w:val="es-ES_tradnl"/>
        </w:rPr>
        <w:t xml:space="preserve">la norma establece que las entidades deberán definir los indicadores de idoneidad, experiencia, eficacia, eficiencia, manejo de riesgo y los criterios de ponderación de las ofertas, no obstante “tales indicadores deben haberse </w:t>
      </w:r>
      <w:r w:rsidRPr="005A5095">
        <w:rPr>
          <w:rFonts w:ascii="Verdana" w:eastAsia="Calibri" w:hAnsi="Verdana" w:cs="Arial"/>
          <w:i/>
          <w:lang w:val="es-ES_tradnl"/>
        </w:rPr>
        <w:t xml:space="preserve">definido </w:t>
      </w:r>
      <w:r w:rsidRPr="005A5095">
        <w:rPr>
          <w:rFonts w:ascii="Verdana" w:eastAsia="Calibri" w:hAnsi="Verdana" w:cs="Arial"/>
          <w:lang w:val="es-ES_tradnl"/>
        </w:rPr>
        <w:t>o identificado en la etapa de planeación, mientras que lo que se hace esta etapa es publicarlos, llamando la atención a participar en la competencia a las EPSAL interesadas y que los cumplan”</w:t>
      </w:r>
      <w:r w:rsidRPr="005A5095">
        <w:rPr>
          <w:rFonts w:ascii="Verdana" w:eastAsia="Calibri" w:hAnsi="Verdana" w:cs="Arial"/>
          <w:vertAlign w:val="superscript"/>
          <w:lang w:val="es-ES_tradnl"/>
        </w:rPr>
        <w:footnoteReference w:id="12"/>
      </w:r>
      <w:r w:rsidRPr="005A5095">
        <w:rPr>
          <w:rFonts w:ascii="Verdana" w:eastAsia="Calibri" w:hAnsi="Verdana" w:cs="Arial"/>
          <w:lang w:val="es-ES_tradnl"/>
        </w:rPr>
        <w:t xml:space="preserve">. </w:t>
      </w:r>
    </w:p>
    <w:p w14:paraId="1C950FDC" w14:textId="77777777" w:rsidR="005A5095" w:rsidRPr="005A5095" w:rsidRDefault="005A5095" w:rsidP="005A5095">
      <w:pPr>
        <w:spacing w:before="120" w:line="276" w:lineRule="auto"/>
        <w:ind w:firstLine="708"/>
        <w:jc w:val="both"/>
        <w:rPr>
          <w:rFonts w:ascii="Verdana" w:eastAsia="Calibri" w:hAnsi="Verdana" w:cs="Arial"/>
        </w:rPr>
      </w:pPr>
      <w:r w:rsidRPr="005A5095">
        <w:rPr>
          <w:rFonts w:ascii="Verdana" w:eastAsia="Calibri" w:hAnsi="Verdana" w:cs="Arial"/>
          <w:lang w:val="es-ES_tradnl"/>
        </w:rPr>
        <w:t xml:space="preserve">En la segunda fase o </w:t>
      </w:r>
      <w:r w:rsidRPr="005A5095">
        <w:rPr>
          <w:rFonts w:ascii="Verdana" w:eastAsia="Calibri" w:hAnsi="Verdana" w:cs="Arial"/>
          <w:i/>
          <w:lang w:val="es-ES_tradnl"/>
        </w:rPr>
        <w:t xml:space="preserve">plazo para la presentación de ofertas, </w:t>
      </w:r>
      <w:r w:rsidRPr="005A5095">
        <w:rPr>
          <w:rFonts w:ascii="Verdana" w:eastAsia="Calibri" w:hAnsi="Verdana" w:cs="Arial"/>
          <w:lang w:val="es-ES_tradnl"/>
        </w:rPr>
        <w:t>la norma se limita a establecer que la entidad deberá definir un plazo razonable para que las ESAL presenten sus ofertas y demás documentación requerida en el marco del procedimiento.</w:t>
      </w:r>
      <w:r w:rsidRPr="005A5095">
        <w:t xml:space="preserve"> </w:t>
      </w:r>
      <w:r w:rsidRPr="005A5095">
        <w:rPr>
          <w:rFonts w:ascii="Verdana" w:eastAsia="Calibri" w:hAnsi="Verdana" w:cs="Arial"/>
        </w:rPr>
        <w:t>En este sentido, las Entidades Estatales deberán determinar estos plazos en la convocatoria de manera razonable, es decir, de forma adecuada y proporcional al proceso que se adelanta, de tal suerte que se garantice la libre concurrencia y se asegure una selección objetiva. Para ello, y conforme a lo dispuesto en el artículo 8 del Decreto 092 de 2017, podrán fijar dichos plazos aplicando las normas generales de la contratación pública.</w:t>
      </w:r>
    </w:p>
    <w:p w14:paraId="1D8E2FB5" w14:textId="77777777" w:rsidR="005A5095" w:rsidRPr="005A5095" w:rsidRDefault="005A5095" w:rsidP="005A5095">
      <w:pPr>
        <w:spacing w:after="120" w:line="276" w:lineRule="auto"/>
        <w:ind w:firstLine="709"/>
        <w:jc w:val="both"/>
        <w:rPr>
          <w:rFonts w:ascii="Verdana" w:eastAsia="Calibri" w:hAnsi="Verdana" w:cs="Arial"/>
          <w:lang w:val="es-ES"/>
        </w:rPr>
      </w:pPr>
      <w:r w:rsidRPr="005A5095">
        <w:rPr>
          <w:rFonts w:ascii="Verdana" w:eastAsia="Calibri" w:hAnsi="Verdana" w:cs="Arial"/>
          <w:lang w:val="es-ES"/>
        </w:rPr>
        <w:t xml:space="preserve">La tercera fase o de </w:t>
      </w:r>
      <w:r w:rsidRPr="005A5095">
        <w:rPr>
          <w:rFonts w:ascii="Verdana" w:eastAsia="Calibri" w:hAnsi="Verdana" w:cs="Arial"/>
          <w:i/>
          <w:lang w:val="es-ES"/>
        </w:rPr>
        <w:t>evaluación de ofertas</w:t>
      </w:r>
      <w:r w:rsidRPr="005A5095">
        <w:rPr>
          <w:rFonts w:ascii="Verdana" w:eastAsia="Calibri" w:hAnsi="Verdana" w:cs="Arial"/>
          <w:lang w:val="es-ES"/>
        </w:rPr>
        <w:t xml:space="preserve"> deberá cumplirse una vez vencido el plazo para la presentación de ofertas, de acuerdo a los métodos de ponderación y plazo definidos en la convocatoria.</w:t>
      </w:r>
    </w:p>
    <w:p w14:paraId="72C902D9" w14:textId="77777777" w:rsidR="005A5095" w:rsidRPr="005A5095" w:rsidRDefault="005A5095" w:rsidP="005A5095">
      <w:pPr>
        <w:spacing w:after="120" w:line="276" w:lineRule="auto"/>
        <w:ind w:firstLine="709"/>
        <w:jc w:val="both"/>
        <w:rPr>
          <w:rFonts w:ascii="Verdana" w:eastAsia="Calibri" w:hAnsi="Verdana" w:cs="Arial"/>
          <w:lang w:val="es-ES_tradnl"/>
        </w:rPr>
      </w:pPr>
      <w:r w:rsidRPr="005A5095">
        <w:rPr>
          <w:rFonts w:ascii="Verdana" w:eastAsia="Calibri" w:hAnsi="Verdana" w:cs="Arial"/>
          <w:lang w:val="es-ES_tradnl"/>
        </w:rPr>
        <w:t xml:space="preserve">La “Guía para la contratación con entidades privadas sin ánimo de lucro y de reconocida idoneidad” señala: "Documentos del Proceso son: (a) los estudios y documentos elaborados en la etapa de planeación; (b) los documentos en los cuales la Entidad Estatal establece los términos y condiciones para seleccionar la entidad privada sin ánimo de lucro cuando hay lugar a competencia de acuerdo con el artículo 4° del Decreto 092 de 2017; (c) la explicación que contenga la correspondencia entre las Entidades Estatales y las entidades privadas sin ánimo de lucro interesadas en el Proceso de Contratación sobre el mismo; (d) las ofertas presentadas por las entidades privadas sin ánimo de lucro cuando hay lugar a competencia de acuerdo con el artículo 4° del Decreto 092 de 2017,: (e) los informes de evaluación de las ofertas cuando hay lugar a competencia de </w:t>
      </w:r>
      <w:r w:rsidRPr="005A5095">
        <w:rPr>
          <w:rFonts w:ascii="Verdana" w:eastAsia="Calibri" w:hAnsi="Verdana" w:cs="Arial"/>
          <w:lang w:val="es-ES_tradnl"/>
        </w:rPr>
        <w:lastRenderedPageBreak/>
        <w:t>acuerdo con el artículo 4° del Decreto 092 de 2017; (f) el contrato y sus modificaciones”.</w:t>
      </w:r>
    </w:p>
    <w:p w14:paraId="247F45B4"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eastAsia="Calibri" w:hAnsi="Verdana" w:cs="Arial"/>
        </w:rPr>
        <w:t xml:space="preserve">En este contexto, si bien el Decreto 092 de 2017 y la “Guía para la contratación con entidades sin ánimo de lucro y de reconocida idoneidad” expedida por esta Agencia, establecen las etapas en las que deberá adelantarse el proceso de selección de la Entidad Sin Ánimo de Lucro y de reconocida idoneidad, no se determinó en estos instrumentos normativos la forma en la que las Entidades Estatales deban desarrollarlo. Por ello, en virtud del principio de autonomía, las entidades están facultades para estructurar dicho proceso de forma tal, que garanticen </w:t>
      </w:r>
      <w:r w:rsidRPr="005A5095">
        <w:rPr>
          <w:rFonts w:ascii="Verdana" w:eastAsia="Calibri" w:hAnsi="Verdana" w:cs="Arial"/>
          <w:lang w:val="es-ES"/>
        </w:rPr>
        <w:t>la libre concurrencia, la pluralidad de interesados y la comparación objetiva de las ofertas. En ese sentido, las Entidades Estatales tendrán la obligación de diseñar herramientas que permitan una comparación objetiva de las Entidades Sin Ánimo de Lucro y de reconocida idoneidad, para así seleccionar objetivamente a aquella que tenga las mejores condiciones para alcanzar el resultado esperado con la suscripción del contrato de colaboración o el convenio de asociación, según el caso.</w:t>
      </w:r>
    </w:p>
    <w:p w14:paraId="41A1E26E"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hAnsi="Verdana" w:cs="Arial"/>
          <w:lang w:val="es-ES"/>
        </w:rPr>
        <w:t>Por otro lado,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7A788035" w14:textId="77777777" w:rsidR="005A5095" w:rsidRPr="005A5095" w:rsidRDefault="005A5095" w:rsidP="005A5095">
      <w:pPr>
        <w:spacing w:after="120" w:line="276" w:lineRule="auto"/>
        <w:ind w:firstLine="709"/>
        <w:jc w:val="both"/>
        <w:rPr>
          <w:rFonts w:ascii="Verdana" w:hAnsi="Verdana" w:cs="Arial"/>
          <w:lang w:val="es-ES"/>
        </w:rPr>
      </w:pPr>
      <w:r w:rsidRPr="005A5095">
        <w:rPr>
          <w:rFonts w:ascii="Verdana" w:hAnsi="Verdana" w:cs="Arial"/>
          <w:lang w:val="es-ES"/>
        </w:rPr>
        <w:t xml:space="preserve">La noción “seleccionar de forma objetiva”, contenida en el artículo 5 del Decreto 092 de 2017 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w:t>
      </w:r>
      <w:r w:rsidRPr="005A5095">
        <w:rPr>
          <w:rFonts w:ascii="Verdana" w:hAnsi="Verdana" w:cs="Arial"/>
          <w:lang w:val="es-ES"/>
        </w:rPr>
        <w:lastRenderedPageBreak/>
        <w:t>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7BDB60D2" w14:textId="77777777" w:rsidR="005A5095" w:rsidRPr="005A5095" w:rsidRDefault="005A5095" w:rsidP="005A5095">
      <w:pPr>
        <w:spacing w:after="0" w:line="276" w:lineRule="auto"/>
        <w:ind w:firstLine="709"/>
        <w:jc w:val="both"/>
        <w:rPr>
          <w:rFonts w:ascii="Verdana" w:hAnsi="Verdana" w:cs="Arial"/>
          <w:lang w:val="es-ES"/>
        </w:rPr>
      </w:pPr>
      <w:r w:rsidRPr="005A5095">
        <w:rPr>
          <w:rFonts w:ascii="Verdana" w:hAnsi="Verdana" w:cs="Arial"/>
          <w:lang w:val="es-ES"/>
        </w:rPr>
        <w:t>En suma, las Entidades Estatales son autónomas en la configuración del proceso competitivo en desarrollo de los artículos 4 y 5 del Decreto 092 de 2017. En todo caso, el proceso competitivo que definan las Entidades Estatales para sus contratos de colaboración y sus convenios de asociación debe garantizar la libre concurrencia, la pluralidad de interesados y la comparación objetiva de las ofertas. Este procedimiento puede ser análogo a otros donde existe competencia, como la licitación pública.</w:t>
      </w:r>
    </w:p>
    <w:p w14:paraId="2A1E43F6" w14:textId="77777777" w:rsidR="005A5095" w:rsidRPr="005A5095" w:rsidRDefault="005A5095" w:rsidP="005A5095">
      <w:pPr>
        <w:widowControl w:val="0"/>
        <w:autoSpaceDE w:val="0"/>
        <w:autoSpaceDN w:val="0"/>
        <w:spacing w:after="0" w:line="276" w:lineRule="auto"/>
        <w:ind w:firstLine="709"/>
        <w:jc w:val="both"/>
        <w:rPr>
          <w:rFonts w:ascii="Verdana" w:eastAsia="Arial" w:hAnsi="Verdana" w:cs="Arial"/>
          <w:lang w:val="es-ES"/>
        </w:rPr>
      </w:pPr>
    </w:p>
    <w:p w14:paraId="66220EF4" w14:textId="77777777" w:rsidR="005A5095" w:rsidRPr="005A5095" w:rsidRDefault="005A5095" w:rsidP="005A5095">
      <w:pPr>
        <w:numPr>
          <w:ilvl w:val="0"/>
          <w:numId w:val="1"/>
        </w:numPr>
        <w:tabs>
          <w:tab w:val="left" w:pos="142"/>
          <w:tab w:val="left" w:pos="284"/>
        </w:tabs>
        <w:spacing w:after="0" w:line="276" w:lineRule="auto"/>
        <w:jc w:val="both"/>
        <w:rPr>
          <w:rFonts w:ascii="Verdana" w:eastAsia="Century Gothic" w:hAnsi="Verdana" w:cs="Century Gothic"/>
          <w:b/>
          <w:bCs/>
        </w:rPr>
      </w:pPr>
      <w:r w:rsidRPr="005A5095">
        <w:rPr>
          <w:rFonts w:ascii="Verdana" w:eastAsia="Century Gothic" w:hAnsi="Verdana" w:cs="Century Gothic"/>
          <w:b/>
          <w:bCs/>
        </w:rPr>
        <w:t>Referencias normativas y jurisprudenciales:</w:t>
      </w:r>
    </w:p>
    <w:p w14:paraId="43A497A2" w14:textId="77777777" w:rsidR="005A5095" w:rsidRPr="005A5095" w:rsidRDefault="005A5095" w:rsidP="005A509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A5095" w:rsidRPr="005A5095" w14:paraId="3CCBB94F" w14:textId="77777777" w:rsidTr="00D26B8F">
        <w:trPr>
          <w:trHeight w:val="410"/>
          <w:jc w:val="center"/>
        </w:trPr>
        <w:tc>
          <w:tcPr>
            <w:tcW w:w="8647" w:type="dxa"/>
          </w:tcPr>
          <w:p w14:paraId="1C59F865" w14:textId="77777777" w:rsidR="005A5095" w:rsidRPr="005A5095" w:rsidRDefault="005A5095" w:rsidP="005A5095">
            <w:pPr>
              <w:numPr>
                <w:ilvl w:val="0"/>
                <w:numId w:val="32"/>
              </w:numPr>
              <w:spacing w:after="120" w:line="276" w:lineRule="auto"/>
              <w:ind w:left="360"/>
              <w:contextualSpacing/>
              <w:jc w:val="both"/>
              <w:rPr>
                <w:rFonts w:ascii="Verdana" w:hAnsi="Verdana" w:cs="Arial"/>
                <w:lang w:val="es-ES"/>
              </w:rPr>
            </w:pPr>
            <w:r w:rsidRPr="005A5095">
              <w:rPr>
                <w:rFonts w:ascii="Verdana" w:hAnsi="Verdana" w:cs="Arial"/>
                <w:lang w:val="es-ES"/>
              </w:rPr>
              <w:t>Constitución Política: Artículo 355.</w:t>
            </w:r>
          </w:p>
          <w:p w14:paraId="429B0CAA" w14:textId="77777777" w:rsidR="005A5095" w:rsidRPr="005A5095" w:rsidRDefault="005A5095" w:rsidP="005A5095">
            <w:pPr>
              <w:numPr>
                <w:ilvl w:val="0"/>
                <w:numId w:val="32"/>
              </w:numPr>
              <w:spacing w:after="120" w:line="276" w:lineRule="auto"/>
              <w:ind w:left="360"/>
              <w:contextualSpacing/>
              <w:jc w:val="both"/>
              <w:rPr>
                <w:rFonts w:ascii="Verdana" w:eastAsia="Calibri" w:hAnsi="Verdana" w:cs="Arial"/>
                <w:lang w:val="es-ES" w:eastAsia="es-ES_tradnl"/>
              </w:rPr>
            </w:pPr>
            <w:r w:rsidRPr="005A5095">
              <w:rPr>
                <w:rFonts w:ascii="Verdana" w:eastAsia="Calibri" w:hAnsi="Verdana" w:cs="Arial"/>
                <w:lang w:val="es-ES" w:eastAsia="es-ES_tradnl"/>
              </w:rPr>
              <w:t xml:space="preserve">Ley 489 de 1998: Artículo 96. </w:t>
            </w:r>
          </w:p>
          <w:p w14:paraId="5141A4A8" w14:textId="77777777" w:rsidR="005A5095" w:rsidRPr="005A5095" w:rsidRDefault="005A5095" w:rsidP="005A5095">
            <w:pPr>
              <w:numPr>
                <w:ilvl w:val="0"/>
                <w:numId w:val="32"/>
              </w:numPr>
              <w:spacing w:after="120" w:line="276" w:lineRule="auto"/>
              <w:ind w:left="360"/>
              <w:contextualSpacing/>
              <w:jc w:val="both"/>
              <w:rPr>
                <w:rFonts w:ascii="Verdana" w:hAnsi="Verdana"/>
                <w:lang w:val="es-ES"/>
              </w:rPr>
            </w:pPr>
            <w:r w:rsidRPr="005A5095">
              <w:rPr>
                <w:rFonts w:ascii="Verdana" w:hAnsi="Verdana"/>
                <w:lang w:val="es-ES"/>
              </w:rPr>
              <w:t>Decreto 092 de 2017.</w:t>
            </w:r>
          </w:p>
          <w:p w14:paraId="5E56A522" w14:textId="77777777" w:rsidR="005A5095" w:rsidRPr="005A5095" w:rsidRDefault="005A5095" w:rsidP="005A5095">
            <w:pPr>
              <w:numPr>
                <w:ilvl w:val="0"/>
                <w:numId w:val="32"/>
              </w:numPr>
              <w:spacing w:after="120" w:line="276" w:lineRule="auto"/>
              <w:ind w:left="360"/>
              <w:contextualSpacing/>
              <w:jc w:val="both"/>
              <w:rPr>
                <w:rFonts w:ascii="Verdana" w:eastAsia="Calibri" w:hAnsi="Verdana" w:cs="Arial"/>
                <w:lang w:val="es-ES"/>
              </w:rPr>
            </w:pPr>
            <w:r w:rsidRPr="005A5095">
              <w:rPr>
                <w:rFonts w:ascii="Verdana" w:eastAsia="Times New Roman" w:hAnsi="Verdana" w:cs="Times New Roman"/>
                <w:shd w:val="clear" w:color="auto" w:fill="FFFFFF"/>
                <w:lang w:val="es-ES" w:eastAsia="es-ES_tradnl"/>
              </w:rPr>
              <w:t>Corte Constitucional. Sala Plena. Sentencia C-324 de 2009.</w:t>
            </w:r>
            <w:r w:rsidRPr="005A5095">
              <w:rPr>
                <w:rFonts w:ascii="Verdana" w:eastAsia="Calibri" w:hAnsi="Verdana" w:cs="Arial"/>
                <w:lang w:val="es-ES"/>
              </w:rPr>
              <w:t xml:space="preserve"> </w:t>
            </w:r>
          </w:p>
          <w:p w14:paraId="3D09FCF7" w14:textId="77777777" w:rsidR="005A5095" w:rsidRPr="005A5095" w:rsidRDefault="005A5095" w:rsidP="005A5095">
            <w:pPr>
              <w:numPr>
                <w:ilvl w:val="0"/>
                <w:numId w:val="32"/>
              </w:numPr>
              <w:spacing w:after="120" w:line="276" w:lineRule="auto"/>
              <w:ind w:left="360"/>
              <w:contextualSpacing/>
              <w:jc w:val="both"/>
              <w:rPr>
                <w:rFonts w:ascii="Verdana" w:eastAsia="Calibri" w:hAnsi="Verdana" w:cs="Arial"/>
                <w:lang w:val="es-ES"/>
              </w:rPr>
            </w:pPr>
            <w:r w:rsidRPr="005A5095">
              <w:rPr>
                <w:rFonts w:ascii="Verdana" w:eastAsia="Calibri" w:hAnsi="Verdana" w:cs="Arial"/>
                <w:lang w:val="es-ES"/>
              </w:rPr>
              <w:t xml:space="preserve">Corte Constitucional. </w:t>
            </w:r>
            <w:r w:rsidRPr="005A5095">
              <w:rPr>
                <w:rFonts w:ascii="Verdana" w:eastAsia="Times New Roman" w:hAnsi="Verdana" w:cs="Times New Roman"/>
                <w:shd w:val="clear" w:color="auto" w:fill="FFFFFF"/>
                <w:lang w:val="es-ES" w:eastAsia="es-ES_tradnl"/>
              </w:rPr>
              <w:t xml:space="preserve">Sala Plena. </w:t>
            </w:r>
            <w:r w:rsidRPr="005A5095">
              <w:rPr>
                <w:rFonts w:ascii="Verdana" w:eastAsia="Calibri" w:hAnsi="Verdana" w:cs="Arial"/>
                <w:lang w:val="es-ES"/>
              </w:rPr>
              <w:t xml:space="preserve">Sentencia C-287 de 2012. </w:t>
            </w:r>
          </w:p>
          <w:p w14:paraId="433A73FC" w14:textId="77777777" w:rsidR="005A5095" w:rsidRPr="005A5095" w:rsidRDefault="005A5095" w:rsidP="005A5095">
            <w:pPr>
              <w:numPr>
                <w:ilvl w:val="0"/>
                <w:numId w:val="32"/>
              </w:numPr>
              <w:spacing w:line="276" w:lineRule="auto"/>
              <w:ind w:left="360"/>
              <w:contextualSpacing/>
              <w:jc w:val="both"/>
              <w:rPr>
                <w:rFonts w:ascii="Verdana" w:hAnsi="Verdana" w:cs="Arial"/>
                <w:lang w:val="es-ES"/>
              </w:rPr>
            </w:pPr>
            <w:r w:rsidRPr="005A5095">
              <w:rPr>
                <w:rFonts w:ascii="Verdana" w:hAnsi="Verdana" w:cs="Arial"/>
                <w:lang w:val="es-ES"/>
              </w:rPr>
              <w:t xml:space="preserve">Consejo de Estado. Sala de Consulta y Servicio Civil. Concepto del 24 de febrero de 2005, con radicado No. 1626. </w:t>
            </w:r>
          </w:p>
          <w:p w14:paraId="348065BC" w14:textId="77777777" w:rsidR="005A5095" w:rsidRPr="005A5095" w:rsidRDefault="005A5095" w:rsidP="005A5095">
            <w:pPr>
              <w:widowControl w:val="0"/>
              <w:numPr>
                <w:ilvl w:val="0"/>
                <w:numId w:val="3"/>
              </w:numPr>
              <w:autoSpaceDE w:val="0"/>
              <w:autoSpaceDN w:val="0"/>
              <w:spacing w:line="276" w:lineRule="auto"/>
              <w:ind w:left="318" w:hanging="284"/>
              <w:jc w:val="both"/>
              <w:rPr>
                <w:rFonts w:ascii="Verdana" w:hAnsi="Verdana" w:cs="Arial"/>
                <w:sz w:val="24"/>
                <w:lang w:val="es-ES"/>
              </w:rPr>
            </w:pPr>
            <w:r w:rsidRPr="005A5095">
              <w:rPr>
                <w:rFonts w:ascii="Verdana" w:hAnsi="Verdana"/>
              </w:rPr>
              <w:t>Guía para la contratación con entidades privadas sin ánimo de lucro y de reconocida idoneidad, expedida por la Agencia Nacional de Contratación Pública – Colombia Compra Eficiente.</w:t>
            </w:r>
            <w:r w:rsidRPr="005A5095">
              <w:rPr>
                <w:rFonts w:ascii="Verdana" w:hAnsi="Verdana" w:cs="Arial"/>
              </w:rPr>
              <w:t xml:space="preserve"> Disponible en:</w:t>
            </w:r>
            <w:r w:rsidRPr="005A5095">
              <w:rPr>
                <w:rFonts w:ascii="Verdana" w:hAnsi="Verdana"/>
              </w:rPr>
              <w:t xml:space="preserve"> </w:t>
            </w:r>
            <w:hyperlink r:id="rId13" w:history="1">
              <w:r w:rsidRPr="005A5095">
                <w:rPr>
                  <w:rFonts w:ascii="Verdana" w:hAnsi="Verdana" w:cs="Arial"/>
                  <w:color w:val="0000FF"/>
                  <w:u w:val="single"/>
                </w:rPr>
                <w:t>https://www.colombiacompra.gov.co/manuales-guias-y-pliegos-tipo/manuales-y-guias</w:t>
              </w:r>
            </w:hyperlink>
            <w:r w:rsidRPr="005A5095">
              <w:rPr>
                <w:rFonts w:ascii="Verdana" w:hAnsi="Verdana" w:cs="Arial"/>
                <w:color w:val="0000FF"/>
                <w:u w:val="single"/>
              </w:rPr>
              <w:t xml:space="preserve">  </w:t>
            </w:r>
            <w:r w:rsidRPr="005A5095">
              <w:rPr>
                <w:rFonts w:ascii="Verdana" w:hAnsi="Verdana" w:cs="Arial"/>
              </w:rPr>
              <w:t xml:space="preserve">  </w:t>
            </w:r>
          </w:p>
        </w:tc>
      </w:tr>
    </w:tbl>
    <w:p w14:paraId="6E90E7A2" w14:textId="77777777" w:rsidR="005A5095" w:rsidRPr="005A5095" w:rsidRDefault="005A5095" w:rsidP="005A5095">
      <w:pPr>
        <w:widowControl w:val="0"/>
        <w:autoSpaceDE w:val="0"/>
        <w:autoSpaceDN w:val="0"/>
        <w:spacing w:after="0" w:line="276" w:lineRule="auto"/>
        <w:jc w:val="both"/>
        <w:rPr>
          <w:rFonts w:ascii="Verdana" w:hAnsi="Verdana" w:cs="Arial"/>
        </w:rPr>
      </w:pPr>
    </w:p>
    <w:p w14:paraId="48132D2F" w14:textId="77777777" w:rsidR="005A5095" w:rsidRPr="005A5095" w:rsidRDefault="005A5095" w:rsidP="005A5095">
      <w:pPr>
        <w:numPr>
          <w:ilvl w:val="0"/>
          <w:numId w:val="1"/>
        </w:numPr>
        <w:tabs>
          <w:tab w:val="left" w:pos="142"/>
          <w:tab w:val="left" w:pos="284"/>
        </w:tabs>
        <w:spacing w:after="0" w:line="276" w:lineRule="auto"/>
        <w:jc w:val="both"/>
        <w:rPr>
          <w:rFonts w:ascii="Verdana" w:eastAsia="Century Gothic" w:hAnsi="Verdana" w:cs="Century Gothic"/>
          <w:b/>
          <w:bCs/>
        </w:rPr>
      </w:pPr>
      <w:r w:rsidRPr="005A5095">
        <w:rPr>
          <w:rFonts w:ascii="Verdana" w:eastAsia="Century Gothic" w:hAnsi="Verdana" w:cs="Century Gothic"/>
          <w:b/>
          <w:bCs/>
        </w:rPr>
        <w:t>Doctrina de la Agencia Nacional de Contratación Pública:</w:t>
      </w:r>
    </w:p>
    <w:p w14:paraId="22B93D51" w14:textId="77777777" w:rsidR="005A5095" w:rsidRPr="005A5095" w:rsidRDefault="005A5095" w:rsidP="005A5095">
      <w:pPr>
        <w:widowControl w:val="0"/>
        <w:autoSpaceDE w:val="0"/>
        <w:autoSpaceDN w:val="0"/>
        <w:spacing w:after="0" w:line="276" w:lineRule="auto"/>
        <w:jc w:val="both"/>
        <w:rPr>
          <w:rFonts w:ascii="Verdana" w:hAnsi="Verdana" w:cs="Arial"/>
        </w:rPr>
      </w:pPr>
    </w:p>
    <w:p w14:paraId="37720CB7" w14:textId="77777777" w:rsidR="005A5095" w:rsidRPr="005A5095" w:rsidRDefault="005A5095" w:rsidP="005A5095">
      <w:pPr>
        <w:widowControl w:val="0"/>
        <w:autoSpaceDE w:val="0"/>
        <w:autoSpaceDN w:val="0"/>
        <w:spacing w:after="0" w:line="276" w:lineRule="auto"/>
        <w:jc w:val="both"/>
        <w:rPr>
          <w:rFonts w:ascii="Verdana" w:hAnsi="Verdana" w:cs="Arial"/>
          <w:shd w:val="clear" w:color="auto" w:fill="FFFFFF"/>
        </w:rPr>
      </w:pPr>
      <w:r w:rsidRPr="005A5095">
        <w:rPr>
          <w:rFonts w:ascii="Verdana" w:hAnsi="Verdana" w:cs="Arial"/>
          <w:shd w:val="clear" w:color="auto" w:fill="FFFFFF"/>
          <w:lang w:val="es-ES"/>
        </w:rPr>
        <w:t>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w:t>
      </w:r>
      <w:r w:rsidRPr="005A5095">
        <w:rPr>
          <w:rFonts w:ascii="Verdana" w:hAnsi="Verdana" w:cs="Arial"/>
          <w:shd w:val="clear" w:color="auto" w:fill="FFFFFF"/>
          <w:lang w:val="es-ES"/>
        </w:rPr>
        <w:lastRenderedPageBreak/>
        <w:t>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C-073 del 22 de julio ce 2024, C-281 del 29 de octubre de 2024, entre otros</w:t>
      </w:r>
      <w:r w:rsidRPr="005A5095">
        <w:rPr>
          <w:rFonts w:ascii="Verdana" w:eastAsia="Aptos" w:hAnsi="Verdana" w:cs="Arial"/>
          <w:shd w:val="clear" w:color="auto" w:fill="FFFFFF"/>
        </w:rPr>
        <w:t xml:space="preserve">. </w:t>
      </w:r>
      <w:r w:rsidRPr="005A5095">
        <w:rPr>
          <w:rFonts w:ascii="Verdana" w:hAnsi="Verdana" w:cs="Arial"/>
          <w:shd w:val="clear" w:color="auto" w:fill="FFFFFF"/>
        </w:rPr>
        <w:t>Es</w:t>
      </w:r>
      <w:r w:rsidRPr="005A5095">
        <w:rPr>
          <w:rFonts w:ascii="Verdana" w:hAnsi="Verdana"/>
        </w:rPr>
        <w:t>te y otros conceptos se encuentran disponibles para consulta en el Sistema de relatoría de la Agencia, al cual se puede acceder a través del siguiente enlace:</w:t>
      </w:r>
      <w:r w:rsidRPr="005A5095">
        <w:rPr>
          <w:rFonts w:ascii="Verdana" w:hAnsi="Verdana" w:cs="Arial"/>
          <w:shd w:val="clear" w:color="auto" w:fill="FFFFFF"/>
        </w:rPr>
        <w:t xml:space="preserve"> </w:t>
      </w:r>
      <w:hyperlink r:id="rId14" w:history="1">
        <w:r w:rsidRPr="005A5095">
          <w:rPr>
            <w:rFonts w:ascii="Verdana" w:hAnsi="Verdana" w:cs="Arial"/>
            <w:color w:val="0000FF"/>
            <w:u w:val="single"/>
            <w:shd w:val="clear" w:color="auto" w:fill="FFFFFF"/>
          </w:rPr>
          <w:t>https://relatoria.colombiacompra.gov.co/</w:t>
        </w:r>
      </w:hyperlink>
      <w:r w:rsidRPr="005A5095">
        <w:rPr>
          <w:rFonts w:ascii="Verdana" w:hAnsi="Verdana" w:cs="Arial"/>
          <w:shd w:val="clear" w:color="auto" w:fill="FFFFFF"/>
        </w:rPr>
        <w:t xml:space="preserve"> </w:t>
      </w:r>
    </w:p>
    <w:p w14:paraId="2D5E9C7A" w14:textId="77777777" w:rsidR="005A5095" w:rsidRPr="005A5095" w:rsidRDefault="005A5095" w:rsidP="005A5095">
      <w:pPr>
        <w:widowControl w:val="0"/>
        <w:autoSpaceDE w:val="0"/>
        <w:autoSpaceDN w:val="0"/>
        <w:spacing w:after="0" w:line="276" w:lineRule="auto"/>
        <w:jc w:val="both"/>
        <w:rPr>
          <w:rFonts w:ascii="Verdana" w:hAnsi="Verdana" w:cs="Arial"/>
          <w:shd w:val="clear" w:color="auto" w:fill="FFFFFF"/>
        </w:rPr>
      </w:pPr>
    </w:p>
    <w:p w14:paraId="21A5BF8D" w14:textId="77777777" w:rsidR="005A5095" w:rsidRPr="005A5095" w:rsidRDefault="005A5095" w:rsidP="005A5095">
      <w:pPr>
        <w:widowControl w:val="0"/>
        <w:autoSpaceDE w:val="0"/>
        <w:autoSpaceDN w:val="0"/>
        <w:spacing w:after="0" w:line="276" w:lineRule="auto"/>
        <w:jc w:val="both"/>
        <w:rPr>
          <w:rFonts w:ascii="Verdana" w:hAnsi="Verdana" w:cs="Arial"/>
          <w:shd w:val="clear" w:color="auto" w:fill="FFFFFF"/>
          <w:lang w:val="es-ES"/>
        </w:rPr>
      </w:pPr>
      <w:r w:rsidRPr="005A5095">
        <w:rPr>
          <w:rFonts w:ascii="Verdana" w:hAnsi="Verdana" w:cs="Arial"/>
          <w:shd w:val="clear" w:color="auto" w:fill="FFFFFF"/>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5A5095">
        <w:rPr>
          <w:rFonts w:ascii="Verdana" w:hAnsi="Verdana" w:cs="Arial"/>
          <w:b/>
          <w:bCs/>
          <w:shd w:val="clear" w:color="auto" w:fill="FFFFFF"/>
        </w:rPr>
        <w:t> </w:t>
      </w:r>
      <w:hyperlink r:id="rId15" w:tgtFrame="_blank" w:tooltip="Dirección URL original: https://www.colombiacompra.gov.co/normativa-y-relatoria/documentos-tipo. Haga clic o pulse si confía en este vínculo." w:history="1">
        <w:r w:rsidRPr="005A5095">
          <w:rPr>
            <w:rFonts w:ascii="Verdana" w:hAnsi="Verdana" w:cs="Arial"/>
            <w:b/>
            <w:bCs/>
            <w:color w:val="0000FF"/>
            <w:u w:val="single"/>
            <w:shd w:val="clear" w:color="auto" w:fill="FFFFFF"/>
          </w:rPr>
          <w:t>Documentos Tipo – ANCP Colombia Compra Eficiente</w:t>
        </w:r>
      </w:hyperlink>
      <w:r w:rsidRPr="005A5095">
        <w:rPr>
          <w:rFonts w:ascii="Verdana" w:hAnsi="Verdana" w:cs="Arial"/>
          <w:u w:val="single"/>
          <w:shd w:val="clear" w:color="auto" w:fill="FFFFFF"/>
        </w:rPr>
        <w:t> </w:t>
      </w:r>
    </w:p>
    <w:p w14:paraId="6EB245C8" w14:textId="77777777" w:rsidR="005A5095" w:rsidRPr="005A5095" w:rsidRDefault="005A5095" w:rsidP="005A5095">
      <w:pPr>
        <w:widowControl w:val="0"/>
        <w:autoSpaceDE w:val="0"/>
        <w:autoSpaceDN w:val="0"/>
        <w:spacing w:after="0" w:line="276" w:lineRule="auto"/>
        <w:jc w:val="both"/>
        <w:rPr>
          <w:rFonts w:ascii="Verdana" w:eastAsia="Calibri" w:hAnsi="Verdana" w:cs="Arial"/>
          <w:color w:val="000000" w:themeColor="text1"/>
        </w:rPr>
      </w:pPr>
    </w:p>
    <w:p w14:paraId="482C0763" w14:textId="77777777" w:rsidR="005A5095" w:rsidRPr="005A5095" w:rsidRDefault="005A5095" w:rsidP="005A5095">
      <w:pPr>
        <w:widowControl w:val="0"/>
        <w:autoSpaceDE w:val="0"/>
        <w:autoSpaceDN w:val="0"/>
        <w:spacing w:after="0" w:line="276" w:lineRule="auto"/>
        <w:jc w:val="both"/>
        <w:rPr>
          <w:rFonts w:ascii="Verdana" w:hAnsi="Verdana" w:cs="Arial"/>
        </w:rPr>
      </w:pPr>
      <w:r w:rsidRPr="005A5095">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C243303" w14:textId="77777777" w:rsidR="005A5095" w:rsidRPr="005A5095" w:rsidRDefault="005A5095" w:rsidP="005A5095">
      <w:pPr>
        <w:widowControl w:val="0"/>
        <w:autoSpaceDE w:val="0"/>
        <w:autoSpaceDN w:val="0"/>
        <w:spacing w:after="0" w:line="276" w:lineRule="auto"/>
        <w:jc w:val="both"/>
        <w:rPr>
          <w:rFonts w:ascii="Verdana" w:hAnsi="Verdana" w:cs="Arial"/>
        </w:rPr>
      </w:pPr>
    </w:p>
    <w:p w14:paraId="73C5CFF4" w14:textId="77777777" w:rsidR="005A5095" w:rsidRPr="005A5095" w:rsidRDefault="005A5095" w:rsidP="005A5095">
      <w:pPr>
        <w:spacing w:after="0" w:line="276" w:lineRule="auto"/>
        <w:rPr>
          <w:rFonts w:ascii="Verdana" w:hAnsi="Verdana" w:cs="Arial"/>
          <w:lang w:eastAsia="es-CO"/>
        </w:rPr>
      </w:pPr>
      <w:r w:rsidRPr="005A5095">
        <w:rPr>
          <w:rFonts w:ascii="Verdana" w:eastAsia="Times New Roman" w:hAnsi="Verdana" w:cs="Arial"/>
          <w:lang w:eastAsia="es-CO"/>
        </w:rPr>
        <w:t>Atentamente,</w:t>
      </w:r>
      <w:r w:rsidRPr="005A5095">
        <w:rPr>
          <w:rFonts w:ascii="Verdana" w:hAnsi="Verdana" w:cs="Arial"/>
          <w:lang w:eastAsia="es-CO"/>
        </w:rPr>
        <w:t xml:space="preserve"> </w:t>
      </w:r>
    </w:p>
    <w:p w14:paraId="06C7C9FE" w14:textId="302B9786" w:rsidR="005A5095" w:rsidRPr="005A5095" w:rsidRDefault="007A7D69" w:rsidP="005A5095">
      <w:pPr>
        <w:spacing w:line="276" w:lineRule="auto"/>
        <w:jc w:val="center"/>
        <w:rPr>
          <w:rFonts w:ascii="Verdana" w:hAnsi="Verdana" w:cs="Arial"/>
          <w:color w:val="000000"/>
          <w:lang w:eastAsia="es-CO"/>
        </w:rPr>
      </w:pPr>
      <w:r>
        <w:rPr>
          <w:noProof/>
        </w:rPr>
        <w:lastRenderedPageBreak/>
        <w:drawing>
          <wp:inline distT="0" distB="0" distL="0" distR="0" wp14:anchorId="1360CA15" wp14:editId="03355406">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A5095" w:rsidRPr="005A5095" w14:paraId="53086680" w14:textId="77777777" w:rsidTr="00D26B8F">
        <w:trPr>
          <w:trHeight w:val="315"/>
        </w:trPr>
        <w:tc>
          <w:tcPr>
            <w:tcW w:w="893" w:type="dxa"/>
            <w:vAlign w:val="center"/>
            <w:hideMark/>
          </w:tcPr>
          <w:p w14:paraId="399CBC9D" w14:textId="77777777" w:rsidR="005A5095" w:rsidRPr="005A5095" w:rsidRDefault="005A5095" w:rsidP="005A5095">
            <w:pPr>
              <w:contextualSpacing/>
              <w:rPr>
                <w:rFonts w:ascii="Verdana" w:hAnsi="Verdana" w:cs="Arial"/>
                <w:sz w:val="16"/>
                <w:szCs w:val="16"/>
                <w:lang w:eastAsia="es-ES"/>
              </w:rPr>
            </w:pPr>
            <w:r w:rsidRPr="005A5095">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CFC945F" w14:textId="77777777" w:rsidR="005A5095" w:rsidRPr="005A5095" w:rsidRDefault="005A5095" w:rsidP="005A5095">
            <w:pPr>
              <w:contextualSpacing/>
              <w:rPr>
                <w:rFonts w:ascii="Verdana" w:hAnsi="Verdana"/>
                <w:sz w:val="16"/>
                <w:szCs w:val="16"/>
              </w:rPr>
            </w:pPr>
            <w:r w:rsidRPr="005A5095">
              <w:rPr>
                <w:rFonts w:ascii="Verdana" w:hAnsi="Verdana"/>
                <w:sz w:val="16"/>
                <w:szCs w:val="16"/>
              </w:rPr>
              <w:t>Tatiana Baquero Iguarán</w:t>
            </w:r>
          </w:p>
          <w:p w14:paraId="10D4E957" w14:textId="77777777" w:rsidR="005A5095" w:rsidRPr="005A5095" w:rsidRDefault="005A5095" w:rsidP="005A5095">
            <w:pPr>
              <w:contextualSpacing/>
              <w:rPr>
                <w:rFonts w:ascii="Verdana" w:eastAsia="Arial" w:hAnsi="Verdana" w:cs="Arial"/>
                <w:sz w:val="16"/>
                <w:szCs w:val="16"/>
              </w:rPr>
            </w:pPr>
            <w:r w:rsidRPr="005A5095">
              <w:rPr>
                <w:rFonts w:ascii="Verdana" w:hAnsi="Verdana"/>
                <w:sz w:val="16"/>
                <w:szCs w:val="16"/>
              </w:rPr>
              <w:t>Contratista de la Subdirección de Gestión Contractual</w:t>
            </w:r>
          </w:p>
        </w:tc>
      </w:tr>
      <w:tr w:rsidR="005A5095" w:rsidRPr="005A5095" w14:paraId="15D4779E" w14:textId="77777777" w:rsidTr="00D26B8F">
        <w:trPr>
          <w:trHeight w:val="330"/>
        </w:trPr>
        <w:tc>
          <w:tcPr>
            <w:tcW w:w="893" w:type="dxa"/>
            <w:vAlign w:val="center"/>
            <w:hideMark/>
          </w:tcPr>
          <w:p w14:paraId="045129AD" w14:textId="77777777" w:rsidR="005A5095" w:rsidRPr="005A5095" w:rsidRDefault="005A5095" w:rsidP="005A5095">
            <w:pPr>
              <w:contextualSpacing/>
              <w:rPr>
                <w:rFonts w:ascii="Verdana" w:hAnsi="Verdana" w:cs="Arial"/>
                <w:sz w:val="16"/>
                <w:szCs w:val="16"/>
                <w:lang w:eastAsia="es-ES"/>
              </w:rPr>
            </w:pPr>
            <w:r w:rsidRPr="005A5095">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B877E9" w14:textId="77777777" w:rsidR="005A5095" w:rsidRPr="005A5095" w:rsidRDefault="005A5095" w:rsidP="005A5095">
            <w:pPr>
              <w:spacing w:before="100" w:beforeAutospacing="1" w:after="100" w:afterAutospacing="1"/>
              <w:contextualSpacing/>
              <w:textAlignment w:val="baseline"/>
              <w:rPr>
                <w:rFonts w:ascii="Verdana" w:eastAsia="Times New Roman" w:hAnsi="Verdana" w:cs="Arial"/>
                <w:sz w:val="16"/>
                <w:szCs w:val="16"/>
                <w:lang w:eastAsia="es-ES_tradnl"/>
              </w:rPr>
            </w:pPr>
            <w:r w:rsidRPr="005A5095">
              <w:rPr>
                <w:rFonts w:ascii="Verdana" w:eastAsia="Times New Roman" w:hAnsi="Verdana" w:cs="Arial"/>
                <w:sz w:val="16"/>
                <w:szCs w:val="16"/>
                <w:lang w:eastAsia="es-ES_tradnl"/>
              </w:rPr>
              <w:t>Diana Lucía Saavedra Castañeda</w:t>
            </w:r>
          </w:p>
          <w:p w14:paraId="17DD09FA" w14:textId="77777777" w:rsidR="005A5095" w:rsidRPr="005A5095" w:rsidRDefault="005A5095" w:rsidP="005A5095">
            <w:pPr>
              <w:contextualSpacing/>
              <w:textAlignment w:val="baseline"/>
              <w:rPr>
                <w:rFonts w:ascii="Verdana" w:eastAsia="Times New Roman" w:hAnsi="Verdana" w:cs="Segoe UI"/>
                <w:sz w:val="16"/>
                <w:szCs w:val="16"/>
                <w:lang w:eastAsia="es-ES_tradnl"/>
              </w:rPr>
            </w:pPr>
            <w:r w:rsidRPr="005A5095">
              <w:rPr>
                <w:rFonts w:ascii="Verdana" w:hAnsi="Verdana"/>
                <w:sz w:val="16"/>
                <w:szCs w:val="16"/>
              </w:rPr>
              <w:t>Contratista de la Subdirección de Gestión Contractual</w:t>
            </w:r>
          </w:p>
        </w:tc>
      </w:tr>
      <w:tr w:rsidR="005A5095" w:rsidRPr="005A5095" w14:paraId="7AC821B3" w14:textId="77777777" w:rsidTr="00D26B8F">
        <w:trPr>
          <w:trHeight w:val="300"/>
        </w:trPr>
        <w:tc>
          <w:tcPr>
            <w:tcW w:w="893" w:type="dxa"/>
            <w:vAlign w:val="center"/>
          </w:tcPr>
          <w:p w14:paraId="12FD99EE" w14:textId="77777777" w:rsidR="005A5095" w:rsidRPr="005A5095" w:rsidRDefault="005A5095" w:rsidP="005A5095">
            <w:pPr>
              <w:contextualSpacing/>
              <w:rPr>
                <w:rFonts w:ascii="Verdana" w:hAnsi="Verdana" w:cs="Arial"/>
                <w:sz w:val="16"/>
                <w:szCs w:val="16"/>
                <w:lang w:eastAsia="es-ES"/>
              </w:rPr>
            </w:pPr>
            <w:r w:rsidRPr="005A5095">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606F569" w14:textId="77777777" w:rsidR="005A5095" w:rsidRPr="005A5095" w:rsidRDefault="005A5095" w:rsidP="005A5095">
            <w:pPr>
              <w:contextualSpacing/>
              <w:rPr>
                <w:rFonts w:ascii="Verdana" w:eastAsia="Calibri" w:hAnsi="Verdana" w:cs="Arial"/>
                <w:sz w:val="16"/>
                <w:szCs w:val="16"/>
                <w:lang w:eastAsia="es-ES"/>
              </w:rPr>
            </w:pPr>
            <w:r w:rsidRPr="005A5095">
              <w:rPr>
                <w:rFonts w:ascii="Verdana" w:eastAsia="Calibri" w:hAnsi="Verdana" w:cs="Arial"/>
                <w:sz w:val="16"/>
                <w:szCs w:val="16"/>
                <w:lang w:eastAsia="es-ES"/>
              </w:rPr>
              <w:t>Carolina Quintero Gacharná</w:t>
            </w:r>
          </w:p>
          <w:p w14:paraId="74018E97" w14:textId="77777777" w:rsidR="005A5095" w:rsidRPr="005A5095" w:rsidRDefault="005A5095" w:rsidP="005A5095">
            <w:pPr>
              <w:contextualSpacing/>
              <w:rPr>
                <w:rFonts w:ascii="Verdana" w:eastAsia="Calibri" w:hAnsi="Verdana" w:cs="Arial"/>
                <w:sz w:val="16"/>
                <w:szCs w:val="16"/>
                <w:lang w:eastAsia="es-ES"/>
              </w:rPr>
            </w:pPr>
            <w:r w:rsidRPr="005A5095">
              <w:rPr>
                <w:rFonts w:ascii="Verdana" w:eastAsia="Calibri" w:hAnsi="Verdana" w:cs="Arial"/>
                <w:sz w:val="16"/>
                <w:szCs w:val="16"/>
                <w:lang w:eastAsia="es-ES"/>
              </w:rPr>
              <w:t>Subdirectora de Gestión Contractual ANCP – CCE</w:t>
            </w:r>
          </w:p>
        </w:tc>
      </w:tr>
    </w:tbl>
    <w:p w14:paraId="6AC1D120" w14:textId="77777777" w:rsidR="005A5095" w:rsidRPr="005A5095" w:rsidRDefault="005A5095" w:rsidP="005A5095"/>
    <w:p w14:paraId="2880B7A1" w14:textId="77777777" w:rsidR="005A5095" w:rsidRPr="005A5095" w:rsidRDefault="005A5095" w:rsidP="005A5095">
      <w:pPr>
        <w:spacing w:after="0" w:line="240" w:lineRule="auto"/>
        <w:rPr>
          <w:rFonts w:ascii="Verdana" w:eastAsia="Geomanist Light" w:hAnsi="Verdana" w:cs="Arial"/>
          <w:color w:val="000000" w:themeColor="text1"/>
        </w:rPr>
      </w:pPr>
    </w:p>
    <w:p w14:paraId="6D1170C1" w14:textId="77777777" w:rsidR="005A5095" w:rsidRPr="005A5095" w:rsidRDefault="005A5095" w:rsidP="005A5095"/>
    <w:p w14:paraId="511F9113" w14:textId="77777777" w:rsidR="005A5095" w:rsidRPr="005A5095" w:rsidRDefault="005A5095" w:rsidP="005A5095">
      <w:pPr>
        <w:widowControl w:val="0"/>
        <w:autoSpaceDE w:val="0"/>
        <w:autoSpaceDN w:val="0"/>
        <w:spacing w:after="0" w:line="240" w:lineRule="auto"/>
        <w:jc w:val="both"/>
        <w:rPr>
          <w:rFonts w:ascii="Verdana" w:hAnsi="Verdana" w:cs="Arial"/>
          <w:sz w:val="20"/>
          <w:szCs w:val="20"/>
        </w:rPr>
      </w:pPr>
    </w:p>
    <w:p w14:paraId="430D7492" w14:textId="77777777" w:rsidR="005A5095" w:rsidRPr="005A5095" w:rsidRDefault="005A5095" w:rsidP="005A5095"/>
    <w:p w14:paraId="4D213AC7" w14:textId="77777777" w:rsidR="007524C4" w:rsidRPr="007524C4" w:rsidRDefault="007524C4" w:rsidP="007524C4">
      <w:pPr>
        <w:spacing w:after="0" w:line="240" w:lineRule="auto"/>
        <w:rPr>
          <w:rFonts w:ascii="Verdana" w:eastAsia="Geomanist Light" w:hAnsi="Verdana" w:cs="Arial"/>
          <w:color w:val="000000" w:themeColor="text1"/>
        </w:rPr>
      </w:pPr>
    </w:p>
    <w:p w14:paraId="0ED8CA0D" w14:textId="77777777" w:rsidR="007524C4" w:rsidRPr="007524C4" w:rsidRDefault="007524C4" w:rsidP="007524C4"/>
    <w:bookmarkEnd w:id="0"/>
    <w:p w14:paraId="5A0EA480" w14:textId="77777777" w:rsidR="007524C4" w:rsidRPr="004C664D" w:rsidRDefault="007524C4" w:rsidP="004C664D">
      <w:pPr>
        <w:widowControl w:val="0"/>
        <w:autoSpaceDE w:val="0"/>
        <w:autoSpaceDN w:val="0"/>
        <w:spacing w:after="0" w:line="240" w:lineRule="auto"/>
        <w:jc w:val="both"/>
        <w:rPr>
          <w:rFonts w:ascii="Verdana" w:hAnsi="Verdana" w:cs="Arial"/>
          <w:sz w:val="20"/>
          <w:szCs w:val="20"/>
        </w:rPr>
      </w:pPr>
    </w:p>
    <w:sectPr w:rsidR="007524C4" w:rsidRPr="004C664D"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5341" w14:textId="77777777" w:rsidR="00797AF4" w:rsidRPr="009B7987" w:rsidRDefault="00797AF4" w:rsidP="00B30448">
      <w:pPr>
        <w:spacing w:after="0" w:line="240" w:lineRule="auto"/>
      </w:pPr>
      <w:r w:rsidRPr="009B7987">
        <w:separator/>
      </w:r>
    </w:p>
  </w:endnote>
  <w:endnote w:type="continuationSeparator" w:id="0">
    <w:p w14:paraId="1B375D29" w14:textId="77777777" w:rsidR="00797AF4" w:rsidRPr="009B7987" w:rsidRDefault="00797AF4" w:rsidP="00B30448">
      <w:pPr>
        <w:spacing w:after="0" w:line="240" w:lineRule="auto"/>
      </w:pPr>
      <w:r w:rsidRPr="009B7987">
        <w:continuationSeparator/>
      </w:r>
    </w:p>
  </w:endnote>
  <w:endnote w:type="continuationNotice" w:id="1">
    <w:p w14:paraId="61A282F6" w14:textId="77777777" w:rsidR="00797AF4" w:rsidRPr="009B7987" w:rsidRDefault="00797A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0643" w14:textId="77777777" w:rsidR="00797AF4" w:rsidRPr="009B7987" w:rsidRDefault="00797AF4" w:rsidP="00B30448">
      <w:pPr>
        <w:spacing w:after="0" w:line="240" w:lineRule="auto"/>
      </w:pPr>
      <w:r w:rsidRPr="009B7987">
        <w:separator/>
      </w:r>
    </w:p>
  </w:footnote>
  <w:footnote w:type="continuationSeparator" w:id="0">
    <w:p w14:paraId="780718F4" w14:textId="77777777" w:rsidR="00797AF4" w:rsidRPr="009B7987" w:rsidRDefault="00797AF4" w:rsidP="00B30448">
      <w:pPr>
        <w:spacing w:after="0" w:line="240" w:lineRule="auto"/>
      </w:pPr>
      <w:r w:rsidRPr="009B7987">
        <w:continuationSeparator/>
      </w:r>
    </w:p>
  </w:footnote>
  <w:footnote w:type="continuationNotice" w:id="1">
    <w:p w14:paraId="3663000C" w14:textId="77777777" w:rsidR="00797AF4" w:rsidRPr="009B7987" w:rsidRDefault="00797AF4">
      <w:pPr>
        <w:spacing w:after="0" w:line="240" w:lineRule="auto"/>
      </w:pPr>
    </w:p>
  </w:footnote>
  <w:footnote w:id="2">
    <w:p w14:paraId="7EB5A2C0" w14:textId="77777777" w:rsidR="005A5095" w:rsidRPr="00662B73" w:rsidRDefault="005A5095" w:rsidP="005A5095">
      <w:pPr>
        <w:pStyle w:val="Textonotapie"/>
        <w:ind w:firstLine="709"/>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 dictado por la Agencia Nacional de Contratación Pública – Colombia Compra Eficiente. </w:t>
      </w:r>
    </w:p>
  </w:footnote>
  <w:footnote w:id="3">
    <w:p w14:paraId="1931AB45" w14:textId="77777777" w:rsidR="005A5095" w:rsidRPr="00662B73" w:rsidRDefault="005A5095" w:rsidP="005A5095">
      <w:pPr>
        <w:pStyle w:val="Textonotapie"/>
        <w:ind w:firstLine="709"/>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18431F0" w14:textId="77777777" w:rsidR="005A5095" w:rsidRPr="00662B73" w:rsidRDefault="005A5095" w:rsidP="005A5095">
      <w:pPr>
        <w:pStyle w:val="Textonotapie"/>
        <w:ind w:firstLine="709"/>
        <w:jc w:val="both"/>
        <w:rPr>
          <w:rFonts w:ascii="Verdana" w:hAnsi="Verdana" w:cs="Arial"/>
          <w:color w:val="000000" w:themeColor="text1"/>
          <w:sz w:val="16"/>
          <w:szCs w:val="16"/>
        </w:rPr>
      </w:pPr>
      <w:r w:rsidRPr="00662B73">
        <w:rPr>
          <w:rFonts w:ascii="Verdana" w:hAnsi="Verdana" w:cs="Arial"/>
          <w:color w:val="000000" w:themeColor="text1"/>
          <w:sz w:val="16"/>
          <w:szCs w:val="16"/>
        </w:rPr>
        <w:t xml:space="preserve">Los convenios de asociación a que se refiere el presente artículo </w:t>
      </w:r>
      <w:bookmarkStart w:id="4" w:name="_Hlk36023315"/>
      <w:r w:rsidRPr="00662B73">
        <w:rPr>
          <w:rFonts w:ascii="Verdana" w:hAnsi="Verdana" w:cs="Arial"/>
          <w:color w:val="000000" w:themeColor="text1"/>
          <w:sz w:val="16"/>
          <w:szCs w:val="16"/>
        </w:rPr>
        <w:t>se celebrarán de conformidad con lo dispuesto en el artículo 355 de la Constitución Política</w:t>
      </w:r>
      <w:bookmarkEnd w:id="4"/>
      <w:r w:rsidRPr="00662B73">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footnote>
  <w:footnote w:id="4">
    <w:p w14:paraId="677C7CAE" w14:textId="77777777" w:rsidR="005A5095" w:rsidRPr="00662B73" w:rsidRDefault="005A5095" w:rsidP="005A5095">
      <w:pPr>
        <w:pStyle w:val="Textonotapie"/>
        <w:ind w:firstLine="708"/>
        <w:jc w:val="both"/>
        <w:rPr>
          <w:rFonts w:ascii="Verdana" w:hAnsi="Verdana" w:cs="Arial"/>
          <w:color w:val="000000"/>
          <w:sz w:val="16"/>
          <w:szCs w:val="16"/>
        </w:rPr>
      </w:pPr>
      <w:r w:rsidRPr="00662B73">
        <w:rPr>
          <w:rStyle w:val="Refdenotaalpie"/>
          <w:rFonts w:ascii="Verdana" w:hAnsi="Verdana" w:cs="Arial"/>
          <w:color w:val="000000"/>
          <w:sz w:val="16"/>
          <w:szCs w:val="16"/>
        </w:rPr>
        <w:footnoteRef/>
      </w:r>
      <w:r w:rsidRPr="00662B73">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
    <w:p w14:paraId="2DC81DC4" w14:textId="77777777" w:rsidR="005A5095" w:rsidRPr="00662B73" w:rsidRDefault="005A5095" w:rsidP="005A5095">
      <w:pPr>
        <w:pStyle w:val="Textonotapie"/>
        <w:ind w:firstLine="709"/>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Concepto del 3 de septiembre de 2019, con radicado No. 2201913000006512, dictado por la Agencia Nacional de Contratación Pública – Colombia Compra Eficiente.</w:t>
      </w:r>
    </w:p>
  </w:footnote>
  <w:footnote w:id="6">
    <w:p w14:paraId="712ABA06" w14:textId="77777777" w:rsidR="005A5095" w:rsidRPr="00662B73" w:rsidRDefault="005A5095" w:rsidP="005A5095">
      <w:pPr>
        <w:pStyle w:val="Textonotapie"/>
        <w:ind w:firstLine="708"/>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Cfr. Concepto del 21 de agosto de 2019, dictado dentro del radicado No. 2201913000006047.</w:t>
      </w:r>
    </w:p>
  </w:footnote>
  <w:footnote w:id="7">
    <w:p w14:paraId="0F2F5F82" w14:textId="77777777" w:rsidR="005A5095" w:rsidRPr="00662B73" w:rsidRDefault="005A5095" w:rsidP="005A5095">
      <w:pPr>
        <w:pStyle w:val="Textonotapie"/>
        <w:ind w:firstLine="708"/>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w:t>
      </w:r>
      <w:bookmarkStart w:id="12" w:name="_Hlk171946243"/>
      <w:r w:rsidRPr="00662B73">
        <w:rPr>
          <w:rFonts w:ascii="Verdana" w:hAnsi="Verdana" w:cs="Arial"/>
          <w:color w:val="000000" w:themeColor="text1"/>
          <w:sz w:val="16"/>
          <w:szCs w:val="16"/>
        </w:rPr>
        <w:t>Consejo de Estado. Sala de Consulta y del Servicio Civil. Concepto del 24 de febrero de 2005. Radicado No. 1626. Consejera Ponente: Dra. Gloria Duque Hernández</w:t>
      </w:r>
      <w:bookmarkEnd w:id="12"/>
      <w:r w:rsidRPr="00662B73">
        <w:rPr>
          <w:rFonts w:ascii="Verdana" w:hAnsi="Verdana" w:cs="Arial"/>
          <w:color w:val="000000" w:themeColor="text1"/>
          <w:sz w:val="16"/>
          <w:szCs w:val="16"/>
        </w:rPr>
        <w:t>.</w:t>
      </w:r>
    </w:p>
  </w:footnote>
  <w:footnote w:id="8">
    <w:p w14:paraId="276FC449" w14:textId="77777777" w:rsidR="005A5095" w:rsidRPr="00662B73" w:rsidRDefault="005A5095" w:rsidP="005A5095">
      <w:pPr>
        <w:spacing w:after="0" w:line="240" w:lineRule="auto"/>
        <w:ind w:firstLine="708"/>
        <w:jc w:val="both"/>
        <w:rPr>
          <w:rFonts w:ascii="Verdana" w:eastAsia="Times New Roman" w:hAnsi="Verdana" w:cs="Times New Roman"/>
          <w:color w:val="000000" w:themeColor="text1"/>
          <w:sz w:val="16"/>
          <w:szCs w:val="16"/>
          <w:shd w:val="clear" w:color="auto" w:fill="FFFFFF"/>
          <w:lang w:eastAsia="es-ES_tradnl"/>
        </w:rPr>
      </w:pPr>
      <w:r w:rsidRPr="00662B73">
        <w:rPr>
          <w:rStyle w:val="Refdenotaalpie"/>
          <w:rFonts w:ascii="Verdana" w:hAnsi="Verdana"/>
          <w:color w:val="000000" w:themeColor="text1"/>
          <w:sz w:val="16"/>
          <w:szCs w:val="16"/>
        </w:rPr>
        <w:footnoteRef/>
      </w:r>
      <w:r w:rsidRPr="00662B73">
        <w:rPr>
          <w:rFonts w:ascii="Verdana" w:hAnsi="Verdana"/>
          <w:color w:val="000000" w:themeColor="text1"/>
          <w:sz w:val="16"/>
          <w:szCs w:val="16"/>
        </w:rPr>
        <w:t xml:space="preserve"> </w:t>
      </w:r>
      <w:r w:rsidRPr="00662B73">
        <w:rPr>
          <w:rStyle w:val="author-name"/>
          <w:rFonts w:ascii="Verdana" w:hAnsi="Verdana"/>
          <w:color w:val="000000" w:themeColor="text1"/>
          <w:sz w:val="16"/>
          <w:szCs w:val="16"/>
        </w:rPr>
        <w:t xml:space="preserve">GÓMEZ Velásquez, Alejandro y DÍAZ Díez Cristian Andrés. </w:t>
      </w:r>
      <w:r w:rsidRPr="00662B73">
        <w:rPr>
          <w:rFonts w:ascii="Verdana" w:eastAsia="Times New Roman" w:hAnsi="Verdana"/>
          <w:i/>
          <w:iCs/>
          <w:color w:val="000000" w:themeColor="text1"/>
          <w:sz w:val="16"/>
          <w:szCs w:val="16"/>
          <w:shd w:val="clear" w:color="auto" w:fill="FFFFFF"/>
          <w:lang w:eastAsia="es-ES_tradnl"/>
        </w:rPr>
        <w:t>Los convenios de interés público y de asociación en el régimen de contratación pública colombiana.</w:t>
      </w:r>
      <w:r w:rsidRPr="00662B73">
        <w:rPr>
          <w:rFonts w:ascii="Verdana" w:eastAsia="Times New Roman" w:hAnsi="Verdana"/>
          <w:color w:val="000000" w:themeColor="text1"/>
          <w:sz w:val="16"/>
          <w:szCs w:val="16"/>
          <w:shd w:val="clear" w:color="auto" w:fill="FFFFFF"/>
          <w:lang w:eastAsia="es-ES_tradnl"/>
        </w:rPr>
        <w:t xml:space="preserve"> Revista Derecho del Estad</w:t>
      </w:r>
      <w:r>
        <w:rPr>
          <w:rFonts w:ascii="Verdana" w:eastAsia="Times New Roman" w:hAnsi="Verdana"/>
          <w:color w:val="000000" w:themeColor="text1"/>
          <w:sz w:val="16"/>
          <w:szCs w:val="16"/>
          <w:shd w:val="clear" w:color="auto" w:fill="FFFFFF"/>
          <w:lang w:eastAsia="es-ES_tradnl"/>
        </w:rPr>
        <w:t>o</w:t>
      </w:r>
      <w:r w:rsidRPr="00662B73">
        <w:rPr>
          <w:rFonts w:ascii="Verdana" w:eastAsia="Times New Roman" w:hAnsi="Verdana"/>
          <w:color w:val="000000" w:themeColor="text1"/>
          <w:sz w:val="16"/>
          <w:szCs w:val="16"/>
          <w:shd w:val="clear" w:color="auto" w:fill="FFFFFF"/>
          <w:lang w:eastAsia="es-ES_tradnl"/>
        </w:rPr>
        <w:t>. Universidad Externado de Colombia.</w:t>
      </w:r>
      <w:r w:rsidRPr="00662B73">
        <w:rPr>
          <w:rFonts w:ascii="Verdana" w:eastAsia="Times New Roman" w:hAnsi="Verdana"/>
          <w:i/>
          <w:iCs/>
          <w:color w:val="000000" w:themeColor="text1"/>
          <w:sz w:val="16"/>
          <w:szCs w:val="16"/>
          <w:shd w:val="clear" w:color="auto" w:fill="FFFFFF"/>
          <w:lang w:eastAsia="es-ES_tradnl"/>
        </w:rPr>
        <w:t xml:space="preserve"> </w:t>
      </w:r>
      <w:r w:rsidRPr="00662B73">
        <w:rPr>
          <w:rFonts w:ascii="Verdana" w:eastAsia="Times New Roman" w:hAnsi="Verdana"/>
          <w:color w:val="000000" w:themeColor="text1"/>
          <w:sz w:val="16"/>
          <w:szCs w:val="16"/>
          <w:shd w:val="clear" w:color="auto" w:fill="FFFFFF"/>
          <w:lang w:eastAsia="es-ES_tradnl"/>
        </w:rPr>
        <w:t xml:space="preserve">Se puede consultar en el siguiente enlace: </w:t>
      </w:r>
      <w:hyperlink r:id="rId1" w:anchor="figures" w:history="1">
        <w:r w:rsidRPr="00662B73">
          <w:rPr>
            <w:rStyle w:val="Hipervnculo"/>
            <w:rFonts w:ascii="Verdana" w:eastAsia="Times New Roman" w:hAnsi="Verdana"/>
            <w:color w:val="000000" w:themeColor="text1"/>
            <w:sz w:val="16"/>
            <w:szCs w:val="16"/>
            <w:shd w:val="clear" w:color="auto" w:fill="FFFFFF"/>
            <w:lang w:eastAsia="es-ES_tradnl"/>
          </w:rPr>
          <w:t>https://revistas.uexternado.edu.co/index.php/derest/article/view/6151/8606#figures</w:t>
        </w:r>
      </w:hyperlink>
      <w:r w:rsidRPr="00662B73">
        <w:rPr>
          <w:rFonts w:ascii="Verdana" w:eastAsia="Times New Roman" w:hAnsi="Verdana"/>
          <w:color w:val="000000" w:themeColor="text1"/>
          <w:sz w:val="16"/>
          <w:szCs w:val="16"/>
          <w:shd w:val="clear" w:color="auto" w:fill="FFFFFF"/>
          <w:lang w:eastAsia="es-ES_tradnl"/>
        </w:rPr>
        <w:t xml:space="preserve"> </w:t>
      </w:r>
    </w:p>
  </w:footnote>
  <w:footnote w:id="9">
    <w:p w14:paraId="05C9F7FE" w14:textId="77777777" w:rsidR="005A5095" w:rsidRPr="00662B73" w:rsidRDefault="005A5095" w:rsidP="005A5095">
      <w:pPr>
        <w:spacing w:after="0" w:line="240" w:lineRule="auto"/>
        <w:ind w:firstLine="708"/>
        <w:jc w:val="both"/>
        <w:rPr>
          <w:rFonts w:ascii="Verdana" w:eastAsia="Times New Roman" w:hAnsi="Verdana"/>
          <w:color w:val="000000"/>
          <w:sz w:val="16"/>
          <w:szCs w:val="16"/>
          <w:shd w:val="clear" w:color="auto" w:fill="FFFFFF"/>
          <w:lang w:eastAsia="es-ES_tradnl"/>
        </w:rPr>
      </w:pPr>
      <w:r w:rsidRPr="00662B73">
        <w:rPr>
          <w:rStyle w:val="Refdenotaalpie"/>
          <w:rFonts w:ascii="Verdana" w:hAnsi="Verdana"/>
          <w:sz w:val="16"/>
          <w:szCs w:val="16"/>
        </w:rPr>
        <w:footnoteRef/>
      </w:r>
      <w:r w:rsidRPr="00662B73">
        <w:rPr>
          <w:rFonts w:ascii="Verdana" w:hAnsi="Verdana"/>
          <w:sz w:val="16"/>
          <w:szCs w:val="16"/>
        </w:rPr>
        <w:t xml:space="preserve"> </w:t>
      </w:r>
      <w:bookmarkStart w:id="18" w:name="_Hlk171946540"/>
      <w:r w:rsidRPr="00662B73">
        <w:rPr>
          <w:rFonts w:ascii="Verdana" w:eastAsia="Times New Roman" w:hAnsi="Verdana"/>
          <w:color w:val="000000"/>
          <w:sz w:val="16"/>
          <w:szCs w:val="16"/>
          <w:shd w:val="clear" w:color="auto" w:fill="FFFFFF"/>
          <w:lang w:eastAsia="es-ES_tradnl"/>
        </w:rPr>
        <w:t>Corte Constitucional.  Sala Plena. Sentencia C-324 de 2009. M.P.: Juan Carlos Henao Pérez. En igual sentido, véase Corte Constitucional, Sala Plena. Sentencia C-027 de 2016.</w:t>
      </w:r>
      <w:bookmarkEnd w:id="18"/>
    </w:p>
  </w:footnote>
  <w:footnote w:id="10">
    <w:p w14:paraId="303B8C16" w14:textId="77777777" w:rsidR="005A5095" w:rsidRPr="00662B73" w:rsidRDefault="005A5095" w:rsidP="005A5095">
      <w:pPr>
        <w:spacing w:after="0" w:line="240" w:lineRule="auto"/>
        <w:ind w:firstLine="708"/>
        <w:jc w:val="both"/>
        <w:rPr>
          <w:rFonts w:ascii="Verdana" w:eastAsia="Calibri"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1">
    <w:p w14:paraId="777A0666" w14:textId="77777777" w:rsidR="005A5095" w:rsidRPr="00662B73" w:rsidRDefault="005A5095" w:rsidP="005A5095">
      <w:pPr>
        <w:pStyle w:val="Textonotapie"/>
        <w:ind w:firstLine="708"/>
        <w:jc w:val="both"/>
        <w:rPr>
          <w:rFonts w:ascii="Verdana" w:eastAsia="Times New Roman" w:hAnsi="Verdana" w:cs="Times New Roman"/>
          <w:color w:val="000000" w:themeColor="text1"/>
          <w:sz w:val="16"/>
          <w:szCs w:val="16"/>
          <w:u w:val="single"/>
          <w:shd w:val="clear" w:color="auto" w:fill="FFFFFF"/>
          <w:lang w:eastAsia="es-ES_tradnl"/>
        </w:rPr>
      </w:pPr>
      <w:r w:rsidRPr="00662B73">
        <w:rPr>
          <w:rStyle w:val="Refdenotaalpie"/>
          <w:rFonts w:ascii="Verdana" w:hAnsi="Verdana"/>
          <w:sz w:val="16"/>
          <w:szCs w:val="16"/>
        </w:rPr>
        <w:footnoteRef/>
      </w:r>
      <w:r w:rsidRPr="00662B73">
        <w:rPr>
          <w:rFonts w:ascii="Verdana" w:hAnsi="Verdana"/>
          <w:sz w:val="16"/>
          <w:szCs w:val="16"/>
        </w:rPr>
        <w:t xml:space="preserve"> </w:t>
      </w:r>
      <w:r w:rsidRPr="00662B73">
        <w:rPr>
          <w:rStyle w:val="author-name"/>
          <w:rFonts w:ascii="Verdana" w:hAnsi="Verdana"/>
          <w:color w:val="000000" w:themeColor="text1"/>
          <w:sz w:val="16"/>
          <w:szCs w:val="16"/>
        </w:rPr>
        <w:t xml:space="preserve">GÓMEZ Velásquez, Alejandro y DÍAZ Díez Cristian Andrés. </w:t>
      </w:r>
      <w:r w:rsidRPr="00662B73">
        <w:rPr>
          <w:rFonts w:ascii="Verdana" w:eastAsia="Times New Roman" w:hAnsi="Verdana"/>
          <w:i/>
          <w:iCs/>
          <w:color w:val="000000" w:themeColor="text1"/>
          <w:sz w:val="16"/>
          <w:szCs w:val="16"/>
          <w:shd w:val="clear" w:color="auto" w:fill="FFFFFF"/>
          <w:lang w:eastAsia="es-ES_tradnl"/>
        </w:rPr>
        <w:t>Los convenios de interés público y de asociación en el régimen de contratación pública colombiana.</w:t>
      </w:r>
      <w:r w:rsidRPr="00662B73">
        <w:rPr>
          <w:rFonts w:ascii="Verdana" w:eastAsia="Times New Roman" w:hAnsi="Verdana"/>
          <w:color w:val="000000" w:themeColor="text1"/>
          <w:sz w:val="16"/>
          <w:szCs w:val="16"/>
          <w:shd w:val="clear" w:color="auto" w:fill="FFFFFF"/>
          <w:lang w:eastAsia="es-ES_tradnl"/>
        </w:rPr>
        <w:t xml:space="preserve"> Revista Derecho del Estad. Universidad Externado de Colombia.</w:t>
      </w:r>
      <w:r w:rsidRPr="00662B73">
        <w:rPr>
          <w:rFonts w:ascii="Verdana" w:eastAsia="Times New Roman" w:hAnsi="Verdana"/>
          <w:i/>
          <w:iCs/>
          <w:color w:val="000000" w:themeColor="text1"/>
          <w:sz w:val="16"/>
          <w:szCs w:val="16"/>
          <w:shd w:val="clear" w:color="auto" w:fill="FFFFFF"/>
          <w:lang w:eastAsia="es-ES_tradnl"/>
        </w:rPr>
        <w:t xml:space="preserve"> </w:t>
      </w:r>
      <w:r w:rsidRPr="00662B73">
        <w:rPr>
          <w:rFonts w:ascii="Verdana" w:eastAsia="Times New Roman" w:hAnsi="Verdana"/>
          <w:color w:val="000000" w:themeColor="text1"/>
          <w:sz w:val="16"/>
          <w:szCs w:val="16"/>
          <w:shd w:val="clear" w:color="auto" w:fill="FFFFFF"/>
          <w:lang w:eastAsia="es-ES_tradnl"/>
        </w:rPr>
        <w:t xml:space="preserve">Se puede consultar en el siguiente enlace: </w:t>
      </w:r>
      <w:hyperlink r:id="rId2" w:anchor="figures" w:history="1">
        <w:r w:rsidRPr="00662B73">
          <w:rPr>
            <w:rStyle w:val="Hipervnculo"/>
            <w:rFonts w:ascii="Verdana" w:eastAsia="Times New Roman" w:hAnsi="Verdana"/>
            <w:color w:val="000000" w:themeColor="text1"/>
            <w:sz w:val="16"/>
            <w:szCs w:val="16"/>
            <w:shd w:val="clear" w:color="auto" w:fill="FFFFFF"/>
            <w:lang w:eastAsia="es-ES_tradnl"/>
          </w:rPr>
          <w:t>https://revistas.uexternado.edu.co/index.php/derest/article/view/6151/8606#figures</w:t>
        </w:r>
      </w:hyperlink>
    </w:p>
  </w:footnote>
  <w:footnote w:id="12">
    <w:p w14:paraId="1F54722A" w14:textId="77777777" w:rsidR="005A5095" w:rsidRPr="00662B73" w:rsidRDefault="005A5095" w:rsidP="005A5095">
      <w:pPr>
        <w:pStyle w:val="Textonotapie"/>
        <w:ind w:firstLine="708"/>
        <w:jc w:val="both"/>
        <w:rPr>
          <w:rFonts w:ascii="Verdana" w:hAnsi="Verdana" w:cs="Arial"/>
          <w:sz w:val="16"/>
          <w:szCs w:val="16"/>
        </w:rPr>
      </w:pPr>
      <w:r w:rsidRPr="00662B73">
        <w:rPr>
          <w:rStyle w:val="Refdenotaalpie"/>
          <w:rFonts w:ascii="Verdana" w:hAnsi="Verdana" w:cs="Arial"/>
          <w:sz w:val="16"/>
          <w:szCs w:val="16"/>
        </w:rPr>
        <w:footnoteRef/>
      </w:r>
      <w:r w:rsidRPr="00662B73">
        <w:rPr>
          <w:rFonts w:ascii="Verdana" w:hAnsi="Verdana" w:cs="Arial"/>
          <w:sz w:val="16"/>
          <w:szCs w:val="16"/>
        </w:rPr>
        <w:t xml:space="preserve"> CHÁVEZ MARÍN, Augusto Ramón, Los Convenios de la Administración. Entre la gestión pública y la actividad contractual. 4ta Ed. Bogotá, Temis. 2020, pp. 426-427.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5"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8"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9"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1"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5"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1"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1"/>
  </w:num>
  <w:num w:numId="3" w16cid:durableId="679089576">
    <w:abstractNumId w:val="15"/>
  </w:num>
  <w:num w:numId="4" w16cid:durableId="893472101">
    <w:abstractNumId w:val="7"/>
  </w:num>
  <w:num w:numId="5" w16cid:durableId="1982299905">
    <w:abstractNumId w:val="31"/>
  </w:num>
  <w:num w:numId="6" w16cid:durableId="130758360">
    <w:abstractNumId w:val="18"/>
  </w:num>
  <w:num w:numId="7" w16cid:durableId="262541512">
    <w:abstractNumId w:val="28"/>
  </w:num>
  <w:num w:numId="8" w16cid:durableId="1947226218">
    <w:abstractNumId w:val="14"/>
  </w:num>
  <w:num w:numId="9" w16cid:durableId="1180706126">
    <w:abstractNumId w:val="17"/>
  </w:num>
  <w:num w:numId="10" w16cid:durableId="2097506960">
    <w:abstractNumId w:val="23"/>
  </w:num>
  <w:num w:numId="11" w16cid:durableId="1977490869">
    <w:abstractNumId w:val="21"/>
  </w:num>
  <w:num w:numId="12" w16cid:durableId="158663248">
    <w:abstractNumId w:val="20"/>
  </w:num>
  <w:num w:numId="13" w16cid:durableId="2024085788">
    <w:abstractNumId w:val="2"/>
  </w:num>
  <w:num w:numId="14" w16cid:durableId="1885099950">
    <w:abstractNumId w:val="13"/>
  </w:num>
  <w:num w:numId="15" w16cid:durableId="32047459">
    <w:abstractNumId w:val="8"/>
  </w:num>
  <w:num w:numId="16" w16cid:durableId="1192261824">
    <w:abstractNumId w:val="9"/>
  </w:num>
  <w:num w:numId="17" w16cid:durableId="375933272">
    <w:abstractNumId w:val="16"/>
  </w:num>
  <w:num w:numId="18" w16cid:durableId="610939998">
    <w:abstractNumId w:val="24"/>
  </w:num>
  <w:num w:numId="19" w16cid:durableId="1910656144">
    <w:abstractNumId w:val="3"/>
  </w:num>
  <w:num w:numId="20" w16cid:durableId="947545103">
    <w:abstractNumId w:val="12"/>
  </w:num>
  <w:num w:numId="21" w16cid:durableId="1851335222">
    <w:abstractNumId w:val="30"/>
  </w:num>
  <w:num w:numId="22" w16cid:durableId="578707994">
    <w:abstractNumId w:val="4"/>
  </w:num>
  <w:num w:numId="23" w16cid:durableId="876742304">
    <w:abstractNumId w:val="10"/>
  </w:num>
  <w:num w:numId="24" w16cid:durableId="1994095851">
    <w:abstractNumId w:val="5"/>
  </w:num>
  <w:num w:numId="25" w16cid:durableId="1567109325">
    <w:abstractNumId w:val="25"/>
  </w:num>
  <w:num w:numId="26" w16cid:durableId="1116487847">
    <w:abstractNumId w:val="19"/>
  </w:num>
  <w:num w:numId="27" w16cid:durableId="611326471">
    <w:abstractNumId w:val="26"/>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29"/>
  </w:num>
  <w:num w:numId="30" w16cid:durableId="363991975">
    <w:abstractNumId w:val="27"/>
  </w:num>
  <w:num w:numId="31" w16cid:durableId="1509440290">
    <w:abstractNumId w:val="22"/>
  </w:num>
  <w:num w:numId="32" w16cid:durableId="1601723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62C0"/>
    <w:rsid w:val="00076737"/>
    <w:rsid w:val="00076C2B"/>
    <w:rsid w:val="00076C73"/>
    <w:rsid w:val="00076F81"/>
    <w:rsid w:val="000772B1"/>
    <w:rsid w:val="000779DE"/>
    <w:rsid w:val="000800B6"/>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5034"/>
    <w:rsid w:val="001F61DE"/>
    <w:rsid w:val="001F63AA"/>
    <w:rsid w:val="001F69C8"/>
    <w:rsid w:val="001F7054"/>
    <w:rsid w:val="001F77E5"/>
    <w:rsid w:val="001F7DB7"/>
    <w:rsid w:val="002000AA"/>
    <w:rsid w:val="00201502"/>
    <w:rsid w:val="0020302A"/>
    <w:rsid w:val="002032A0"/>
    <w:rsid w:val="00203532"/>
    <w:rsid w:val="00203AE0"/>
    <w:rsid w:val="00204106"/>
    <w:rsid w:val="00204109"/>
    <w:rsid w:val="00204AD3"/>
    <w:rsid w:val="0020503A"/>
    <w:rsid w:val="00205041"/>
    <w:rsid w:val="0020524C"/>
    <w:rsid w:val="002059E3"/>
    <w:rsid w:val="002100FF"/>
    <w:rsid w:val="00210543"/>
    <w:rsid w:val="00210B9B"/>
    <w:rsid w:val="002118D1"/>
    <w:rsid w:val="00211DCE"/>
    <w:rsid w:val="00212390"/>
    <w:rsid w:val="00212897"/>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3DC4"/>
    <w:rsid w:val="00304676"/>
    <w:rsid w:val="00306BE7"/>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6505"/>
    <w:rsid w:val="003D71A6"/>
    <w:rsid w:val="003D7709"/>
    <w:rsid w:val="003E004C"/>
    <w:rsid w:val="003E0BAF"/>
    <w:rsid w:val="003E0E25"/>
    <w:rsid w:val="003E1409"/>
    <w:rsid w:val="003E16F2"/>
    <w:rsid w:val="003E2195"/>
    <w:rsid w:val="003E36A5"/>
    <w:rsid w:val="003E4A52"/>
    <w:rsid w:val="003E5CBA"/>
    <w:rsid w:val="003E78A9"/>
    <w:rsid w:val="003E7912"/>
    <w:rsid w:val="003F04E6"/>
    <w:rsid w:val="003F2CDD"/>
    <w:rsid w:val="003F45D7"/>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625C"/>
    <w:rsid w:val="004069D2"/>
    <w:rsid w:val="004076FF"/>
    <w:rsid w:val="00411B17"/>
    <w:rsid w:val="00411FFF"/>
    <w:rsid w:val="0041222D"/>
    <w:rsid w:val="004124F2"/>
    <w:rsid w:val="00412E6F"/>
    <w:rsid w:val="00413C5C"/>
    <w:rsid w:val="0041413F"/>
    <w:rsid w:val="0041567A"/>
    <w:rsid w:val="00415BAB"/>
    <w:rsid w:val="00415BCF"/>
    <w:rsid w:val="00416297"/>
    <w:rsid w:val="00417083"/>
    <w:rsid w:val="00417E36"/>
    <w:rsid w:val="0042057C"/>
    <w:rsid w:val="00420BDF"/>
    <w:rsid w:val="00421608"/>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18D0"/>
    <w:rsid w:val="0045213A"/>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2A4"/>
    <w:rsid w:val="0046153C"/>
    <w:rsid w:val="004624D2"/>
    <w:rsid w:val="004625C8"/>
    <w:rsid w:val="00462DCE"/>
    <w:rsid w:val="0046442A"/>
    <w:rsid w:val="00464BF1"/>
    <w:rsid w:val="00465D73"/>
    <w:rsid w:val="00466078"/>
    <w:rsid w:val="0046626B"/>
    <w:rsid w:val="0046648D"/>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B58"/>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2092"/>
    <w:rsid w:val="00652472"/>
    <w:rsid w:val="00652F31"/>
    <w:rsid w:val="006535E5"/>
    <w:rsid w:val="0065394E"/>
    <w:rsid w:val="00653B38"/>
    <w:rsid w:val="00654D37"/>
    <w:rsid w:val="00656385"/>
    <w:rsid w:val="00656F19"/>
    <w:rsid w:val="00657BB7"/>
    <w:rsid w:val="00660299"/>
    <w:rsid w:val="00660552"/>
    <w:rsid w:val="00660DBE"/>
    <w:rsid w:val="00661113"/>
    <w:rsid w:val="0066127D"/>
    <w:rsid w:val="00661AB0"/>
    <w:rsid w:val="006623A4"/>
    <w:rsid w:val="006627B5"/>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477A"/>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D69"/>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B3C"/>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3654"/>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B9B"/>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707A3"/>
    <w:rsid w:val="00870A36"/>
    <w:rsid w:val="008711A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1DBB"/>
    <w:rsid w:val="009026CB"/>
    <w:rsid w:val="00902876"/>
    <w:rsid w:val="009036E9"/>
    <w:rsid w:val="009038F6"/>
    <w:rsid w:val="00903FB2"/>
    <w:rsid w:val="00904038"/>
    <w:rsid w:val="009041AF"/>
    <w:rsid w:val="009042AA"/>
    <w:rsid w:val="009049AB"/>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98F"/>
    <w:rsid w:val="00A9301E"/>
    <w:rsid w:val="00A93E3A"/>
    <w:rsid w:val="00A95186"/>
    <w:rsid w:val="00A951AD"/>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A7"/>
    <w:rsid w:val="00AF6AC5"/>
    <w:rsid w:val="00AF7809"/>
    <w:rsid w:val="00AF7CA7"/>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6F2"/>
    <w:rsid w:val="00B90D9B"/>
    <w:rsid w:val="00B91259"/>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365"/>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518"/>
    <w:rsid w:val="00CB3920"/>
    <w:rsid w:val="00CB4C4C"/>
    <w:rsid w:val="00CB6413"/>
    <w:rsid w:val="00CB696F"/>
    <w:rsid w:val="00CB6A00"/>
    <w:rsid w:val="00CB7097"/>
    <w:rsid w:val="00CB77F4"/>
    <w:rsid w:val="00CB780D"/>
    <w:rsid w:val="00CC0F1C"/>
    <w:rsid w:val="00CC1983"/>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64E"/>
    <w:rsid w:val="00D315CC"/>
    <w:rsid w:val="00D31DDA"/>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4E"/>
    <w:rsid w:val="00D6742A"/>
    <w:rsid w:val="00D67B9B"/>
    <w:rsid w:val="00D71733"/>
    <w:rsid w:val="00D718AC"/>
    <w:rsid w:val="00D719A3"/>
    <w:rsid w:val="00D71E7A"/>
    <w:rsid w:val="00D72DE7"/>
    <w:rsid w:val="00D7302F"/>
    <w:rsid w:val="00D73BB2"/>
    <w:rsid w:val="00D74575"/>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5A"/>
    <w:rsid w:val="00E043BB"/>
    <w:rsid w:val="00E047A0"/>
    <w:rsid w:val="00E04ECF"/>
    <w:rsid w:val="00E0502A"/>
    <w:rsid w:val="00E0584C"/>
    <w:rsid w:val="00E05902"/>
    <w:rsid w:val="00E067C4"/>
    <w:rsid w:val="00E06A36"/>
    <w:rsid w:val="00E074C9"/>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2A3F"/>
    <w:rsid w:val="00EC2E64"/>
    <w:rsid w:val="00EC3A35"/>
    <w:rsid w:val="00EC3C52"/>
    <w:rsid w:val="00EC3E5B"/>
    <w:rsid w:val="00EC3E69"/>
    <w:rsid w:val="00EC41A7"/>
    <w:rsid w:val="00EC4257"/>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60B"/>
    <w:rsid w:val="00EE07AC"/>
    <w:rsid w:val="00EE0891"/>
    <w:rsid w:val="00EE1062"/>
    <w:rsid w:val="00EE17F2"/>
    <w:rsid w:val="00EE188A"/>
    <w:rsid w:val="00EE1B01"/>
    <w:rsid w:val="00EE1C62"/>
    <w:rsid w:val="00EE1DB8"/>
    <w:rsid w:val="00EE2746"/>
    <w:rsid w:val="00EE325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154"/>
    <w:rsid w:val="00FA0288"/>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E0DAE"/>
    <w:rsid w:val="00FE1370"/>
    <w:rsid w:val="00FE1510"/>
    <w:rsid w:val="00FE2121"/>
    <w:rsid w:val="00FE254A"/>
    <w:rsid w:val="00FE321B"/>
    <w:rsid w:val="00FE3D07"/>
    <w:rsid w:val="00FE4411"/>
    <w:rsid w:val="00FE4B6F"/>
    <w:rsid w:val="00FE6818"/>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scarpinilla83@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normativa-y-relatoria%2Fdocumentos-tipo&amp;data=05%7C02%7Cdiana.saavedra%40colombiacompra.gov.co%7C603e1a9f513d4811571608dd8e333a73%7C7b09041e245149d08cb179d5e3d8c1be%7C0%7C0%7C638823072860963024%7CUnknown%7CTWFpbGZsb3d8eyJFbXB0eU1hcGkiOnRydWUsIlYiOiIwLjAuMDAwMCIsIlAiOiJXaW4zMiIsIkFOIjoiTWFpbCIsIldUIjoyfQ%3D%3D%7C0%7C%7C%7C&amp;sdata=fp9N4g%2BYBZY64k7jz1pO8bHDKeAbWSpXw7SadinZEB8%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vistas.uexternado.edu.co/index.php/derest/article/view/6151/8606" TargetMode="External"/><Relationship Id="rId1" Type="http://schemas.openxmlformats.org/officeDocument/2006/relationships/hyperlink" Target="https://revistas.uexternado.edu.co/index.php/derest/article/view/6151/860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5852</Words>
  <Characters>32192</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37969</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5</cp:revision>
  <dcterms:created xsi:type="dcterms:W3CDTF">2025-05-12T14:54:00Z</dcterms:created>
  <dcterms:modified xsi:type="dcterms:W3CDTF">2025-05-12T14:58:00Z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