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ADBF9" w14:textId="77777777" w:rsidR="00E245AB" w:rsidRPr="00DC4D52" w:rsidRDefault="00E245AB" w:rsidP="0004436C">
      <w:pPr>
        <w:spacing w:after="0"/>
        <w:jc w:val="both"/>
        <w:rPr>
          <w:rFonts w:ascii="Century Gothic" w:hAnsi="Century Gothic"/>
        </w:rPr>
      </w:pPr>
      <w:bookmarkStart w:id="0" w:name="_Hlk143780582"/>
    </w:p>
    <w:p w14:paraId="20BE9DB5" w14:textId="77777777" w:rsidR="00DC4D52" w:rsidRPr="00DC4D52" w:rsidRDefault="00DC4D52" w:rsidP="00DC4D52">
      <w:pPr>
        <w:jc w:val="both"/>
        <w:rPr>
          <w:rFonts w:ascii="Arial" w:hAnsi="Arial" w:cs="Arial"/>
          <w:b/>
        </w:rPr>
      </w:pPr>
      <w:bookmarkStart w:id="1" w:name="_Hlk96420693"/>
      <w:bookmarkStart w:id="2" w:name="_Hlk142132215"/>
      <w:r w:rsidRPr="00DC4D52">
        <w:rPr>
          <w:rFonts w:ascii="Arial" w:hAnsi="Arial" w:cs="Arial"/>
          <w:b/>
        </w:rPr>
        <w:t xml:space="preserve">PRINCIPIO DE SELECCIÓN OBJETIVA </w:t>
      </w:r>
    </w:p>
    <w:p w14:paraId="746BD55C" w14:textId="77777777" w:rsidR="00DC4D52" w:rsidRPr="00DC4D52" w:rsidRDefault="00DC4D52" w:rsidP="00DC4D52">
      <w:pPr>
        <w:spacing w:before="120"/>
        <w:jc w:val="both"/>
        <w:rPr>
          <w:rFonts w:ascii="Arial" w:hAnsi="Arial" w:cs="Arial"/>
          <w:bCs/>
        </w:rPr>
      </w:pPr>
      <w:r w:rsidRPr="00DC4D52">
        <w:rPr>
          <w:rFonts w:ascii="Arial" w:hAnsi="Arial" w:cs="Arial"/>
          <w:bCs/>
        </w:rPr>
        <w:t>[…] el deber de selección objetiva está ligado a la determinación del ofrecimiento más favorable, cuyo contenido debe ser precisado a partir de las diferentes alternativas del artículo 5 de la Ley 1150 de 2007, reglamentado por el artículo 2.2.1.1.2.2.2 del Decreto 1082 de 2015, que, en todo caso, deben reflejarse en el pliego de condiciones o documento equivalente para el respectivo proceso de selección. Estas disposiciones establecen que en los procesos de selección deben evaluarse, fuera de los requisitos habilitantes, los factores de calificación, valoración o evaluación. Estos pueden ponderarse mediante la asignación de puntaje, por lo que la norma se refiere a factores que no otorgan puntaje para diferenciar los requisitos habilitantes de los mencionados factores de calificación. Lo anterior, bajo el entendido que son estos últimos los que determinan la oferta más favorable para la entidad y la que, en consecuencia, debe elegirse.</w:t>
      </w:r>
    </w:p>
    <w:p w14:paraId="67E5326A" w14:textId="2F3D0572" w:rsidR="00DC4D52" w:rsidRPr="00DC4D52" w:rsidRDefault="00DC4D52" w:rsidP="00DC4D52">
      <w:pPr>
        <w:spacing w:before="120"/>
        <w:jc w:val="both"/>
        <w:rPr>
          <w:rFonts w:ascii="Arial" w:hAnsi="Arial" w:cs="Arial"/>
          <w:bCs/>
        </w:rPr>
      </w:pPr>
      <w:r w:rsidRPr="00DC4D52">
        <w:rPr>
          <w:rFonts w:ascii="Arial" w:hAnsi="Arial" w:cs="Arial"/>
          <w:bCs/>
        </w:rPr>
        <w:t xml:space="preserve">Además del artículo 5 de la Ley 1150 de 2007, el deber de selección objetiva y su carácter vinculante encuentre fundamento en varios apartados de la Ley 80 de 1993, como: i) el primer inciso del artículo 21, que obliga a las entidades estatales a tener en cuenta la selección objetiva, al garantizar la participación de los oferentes de bienes y servicios de origen nacional, ii) el artículo 24, numeral 5º, literal a), que manda que en los pliegos de condiciones se indiquen […] los requisitos objetivos necesarios para participar en el correspondiente proceso de selección», iii)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w:t>
      </w:r>
      <w:proofErr w:type="spellStart"/>
      <w:r w:rsidRPr="00DC4D52">
        <w:rPr>
          <w:rFonts w:ascii="Arial" w:hAnsi="Arial" w:cs="Arial"/>
          <w:bCs/>
        </w:rPr>
        <w:t>iv</w:t>
      </w:r>
      <w:proofErr w:type="spellEnd"/>
      <w:r w:rsidRPr="00DC4D52">
        <w:rPr>
          <w:rFonts w:ascii="Arial" w:hAnsi="Arial" w:cs="Arial"/>
          <w:bCs/>
        </w:rPr>
        <w:t xml:space="preserve">)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w:t>
      </w:r>
      <w:proofErr w:type="spellStart"/>
      <w:r w:rsidRPr="00DC4D52">
        <w:rPr>
          <w:rFonts w:ascii="Arial" w:hAnsi="Arial" w:cs="Arial"/>
          <w:bCs/>
        </w:rPr>
        <w:t>vii</w:t>
      </w:r>
      <w:proofErr w:type="spellEnd"/>
      <w:r w:rsidRPr="00DC4D52">
        <w:rPr>
          <w:rFonts w:ascii="Arial" w:hAnsi="Arial" w:cs="Arial"/>
          <w:bCs/>
        </w:rPr>
        <w:t xml:space="preserve">)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w:t>
      </w:r>
      <w:proofErr w:type="spellStart"/>
      <w:r w:rsidRPr="00DC4D52">
        <w:rPr>
          <w:rFonts w:ascii="Arial" w:hAnsi="Arial" w:cs="Arial"/>
          <w:bCs/>
        </w:rPr>
        <w:t>viii</w:t>
      </w:r>
      <w:proofErr w:type="spellEnd"/>
      <w:r w:rsidRPr="00DC4D52">
        <w:rPr>
          <w:rFonts w:ascii="Arial" w:hAnsi="Arial" w:cs="Arial"/>
          <w:bCs/>
        </w:rPr>
        <w:t xml:space="preserve">) el inciso final del artículo 38, que obliga a las entidades estatales que tengan como objeto la prestación de servicios y actividades de telecomunicaciones a respetar el principio de selección objetiva, y </w:t>
      </w:r>
      <w:proofErr w:type="spellStart"/>
      <w:r w:rsidRPr="00DC4D52">
        <w:rPr>
          <w:rFonts w:ascii="Arial" w:hAnsi="Arial" w:cs="Arial"/>
          <w:bCs/>
        </w:rPr>
        <w:t>ix</w:t>
      </w:r>
      <w:proofErr w:type="spellEnd"/>
      <w:r w:rsidRPr="00DC4D52">
        <w:rPr>
          <w:rFonts w:ascii="Arial" w:hAnsi="Arial" w:cs="Arial"/>
          <w:bCs/>
        </w:rPr>
        <w:t xml:space="preserve">) el segundo inciso del artículo 76, que ordena cumplir también con </w:t>
      </w:r>
      <w:r w:rsidRPr="00DC4D52">
        <w:rPr>
          <w:rFonts w:ascii="Arial" w:hAnsi="Arial" w:cs="Arial"/>
          <w:bCs/>
        </w:rPr>
        <w:lastRenderedPageBreak/>
        <w:t xml:space="preserve">dicho principio a las entidades que tengan por objeto la exploración, explotación y comercialización de recursos naturales renovables y no renovables. </w:t>
      </w:r>
    </w:p>
    <w:p w14:paraId="4E1B0FB4" w14:textId="77777777" w:rsidR="00DC4D52" w:rsidRPr="00DC4D52" w:rsidRDefault="00DC4D52" w:rsidP="00DC4D52">
      <w:pPr>
        <w:jc w:val="both"/>
        <w:rPr>
          <w:rFonts w:ascii="Arial" w:hAnsi="Arial" w:cs="Arial"/>
          <w:bCs/>
        </w:rPr>
      </w:pPr>
      <w:r w:rsidRPr="00DC4D52">
        <w:rPr>
          <w:rFonts w:ascii="Arial" w:hAnsi="Arial" w:cs="Arial"/>
          <w:bCs/>
        </w:rPr>
        <w:t>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la subsanación de los requisitos de participación, bajo las condiciones indicadas en la ley, antes de tomar la decisión de rechazar las propuestas que hayan omitido la observancia de los requisitos habilitantes. Esta decisión,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p>
    <w:p w14:paraId="0E5965E2" w14:textId="20C93CBE" w:rsidR="0004436C" w:rsidRPr="0004436C" w:rsidRDefault="0004436C" w:rsidP="0004436C">
      <w:pPr>
        <w:jc w:val="both"/>
        <w:textAlignment w:val="baseline"/>
        <w:rPr>
          <w:rFonts w:ascii="Arial" w:eastAsia="Calibri" w:hAnsi="Arial" w:cs="Arial"/>
          <w:b/>
          <w:color w:val="000000" w:themeColor="text1"/>
          <w:lang w:val="es-ES_tradnl"/>
        </w:rPr>
      </w:pPr>
      <w:r w:rsidRPr="0004436C">
        <w:rPr>
          <w:rFonts w:ascii="Arial" w:eastAsia="Calibri" w:hAnsi="Arial" w:cs="Arial"/>
          <w:b/>
          <w:color w:val="000000" w:themeColor="text1"/>
          <w:lang w:val="es-ES_tradnl"/>
        </w:rPr>
        <w:t>DECLARATORIA DE DESIERTA – Procesos de Contratación / Características de la Modalidad de Selección abreviada</w:t>
      </w:r>
    </w:p>
    <w:p w14:paraId="4F1571AA" w14:textId="77777777" w:rsidR="0004436C" w:rsidRPr="0004436C" w:rsidRDefault="0004436C" w:rsidP="0004436C">
      <w:pPr>
        <w:jc w:val="both"/>
        <w:textAlignment w:val="baseline"/>
        <w:rPr>
          <w:rFonts w:ascii="Arial" w:eastAsia="Calibri" w:hAnsi="Arial" w:cs="Arial"/>
          <w:color w:val="000000" w:themeColor="text1"/>
          <w:lang w:val="es-ES_tradnl"/>
        </w:rPr>
      </w:pPr>
      <w:r w:rsidRPr="0004436C">
        <w:rPr>
          <w:rFonts w:ascii="Arial" w:eastAsia="Calibri" w:hAnsi="Arial" w:cs="Arial"/>
          <w:color w:val="000000" w:themeColor="text1"/>
          <w:lang w:val="es-ES_tradnl"/>
        </w:rPr>
        <w:t xml:space="preserve">[…] este instrumento normativo se limita al caso específico de que la entidad se encuentre frente a un proceso de selección en que no sea posible la selección objetiva del contratista debido a las condiciones de las ofertas presentadas o no presentadas -en caso de que no se presente ninguna-. Se evalúan las ofertas con base en las directrices y criterios establecidos en la convocatoria pública y, al no cumplir con ellos ninguna de las ofertas, se declara desierta la convocatoria. </w:t>
      </w:r>
    </w:p>
    <w:p w14:paraId="21BF5D34" w14:textId="77777777" w:rsidR="0004436C" w:rsidRPr="0004436C" w:rsidRDefault="0004436C" w:rsidP="0004436C">
      <w:pPr>
        <w:spacing w:line="276" w:lineRule="auto"/>
        <w:jc w:val="both"/>
        <w:rPr>
          <w:rFonts w:ascii="Arial" w:hAnsi="Arial" w:cs="Arial"/>
          <w:b/>
          <w:color w:val="000000" w:themeColor="text1"/>
          <w:lang w:val="es-ES_tradnl" w:eastAsia="es-ES"/>
        </w:rPr>
      </w:pPr>
    </w:p>
    <w:p w14:paraId="41F9F4EA" w14:textId="77777777" w:rsidR="0004436C" w:rsidRDefault="0004436C" w:rsidP="0004436C">
      <w:pPr>
        <w:spacing w:line="276" w:lineRule="auto"/>
        <w:jc w:val="both"/>
        <w:rPr>
          <w:rFonts w:ascii="Arial" w:hAnsi="Arial" w:cs="Arial"/>
          <w:b/>
          <w:color w:val="000000" w:themeColor="text1"/>
          <w:highlight w:val="yellow"/>
          <w:lang w:val="es-ES_tradnl" w:eastAsia="es-ES"/>
        </w:rPr>
      </w:pPr>
    </w:p>
    <w:p w14:paraId="2D3590DF" w14:textId="77777777" w:rsidR="0004436C" w:rsidRDefault="0004436C" w:rsidP="0004436C">
      <w:pPr>
        <w:spacing w:line="276" w:lineRule="auto"/>
        <w:jc w:val="both"/>
        <w:rPr>
          <w:rFonts w:ascii="Arial" w:hAnsi="Arial" w:cs="Arial"/>
          <w:b/>
          <w:color w:val="000000" w:themeColor="text1"/>
          <w:highlight w:val="yellow"/>
          <w:lang w:val="es-ES_tradnl" w:eastAsia="es-ES"/>
        </w:rPr>
      </w:pPr>
    </w:p>
    <w:p w14:paraId="448920F0" w14:textId="77777777" w:rsidR="006F63AA" w:rsidRPr="00F80981" w:rsidRDefault="006F63AA" w:rsidP="006F63AA">
      <w:pPr>
        <w:spacing w:line="240" w:lineRule="auto"/>
        <w:contextualSpacing/>
        <w:jc w:val="both"/>
        <w:rPr>
          <w:rFonts w:ascii="Arial" w:eastAsia="Calibri" w:hAnsi="Arial" w:cs="Arial"/>
          <w:b/>
          <w:sz w:val="20"/>
          <w:szCs w:val="20"/>
          <w:lang w:val="es-ES_tradnl" w:eastAsia="es-ES_tradnl"/>
        </w:rPr>
      </w:pPr>
    </w:p>
    <w:p w14:paraId="5BC17239" w14:textId="77777777" w:rsidR="006F63AA" w:rsidRPr="007C50A9" w:rsidRDefault="006F63AA" w:rsidP="006F63AA">
      <w:pPr>
        <w:rPr>
          <w:rFonts w:ascii="Arial" w:eastAsia="Calibri" w:hAnsi="Arial" w:cs="Arial"/>
          <w:bCs/>
          <w:color w:val="000000" w:themeColor="text1"/>
          <w:lang w:val="es-ES_tradnl"/>
        </w:rPr>
      </w:pPr>
    </w:p>
    <w:p w14:paraId="2747E926" w14:textId="77777777" w:rsidR="006F63AA" w:rsidRDefault="006F63AA" w:rsidP="006F63AA">
      <w:pPr>
        <w:rPr>
          <w:rFonts w:ascii="Arial" w:eastAsia="Calibri" w:hAnsi="Arial" w:cs="Arial"/>
          <w:bCs/>
          <w:color w:val="000000" w:themeColor="text1"/>
          <w:lang w:val="es-ES_tradnl"/>
        </w:rPr>
      </w:pPr>
    </w:p>
    <w:p w14:paraId="0CC814A0" w14:textId="77777777" w:rsidR="006F63AA" w:rsidRDefault="006F63AA" w:rsidP="006F63AA">
      <w:pPr>
        <w:rPr>
          <w:rFonts w:ascii="Arial" w:eastAsia="Calibri" w:hAnsi="Arial" w:cs="Arial"/>
          <w:bCs/>
          <w:color w:val="000000" w:themeColor="text1"/>
          <w:lang w:val="es-ES_tradnl"/>
        </w:rPr>
      </w:pPr>
    </w:p>
    <w:p w14:paraId="72CBEBFA" w14:textId="77777777" w:rsidR="006F63AA" w:rsidRDefault="006F63AA" w:rsidP="006F63AA">
      <w:pPr>
        <w:rPr>
          <w:rFonts w:ascii="Arial" w:eastAsia="Calibri" w:hAnsi="Arial" w:cs="Arial"/>
          <w:bCs/>
          <w:color w:val="000000" w:themeColor="text1"/>
          <w:lang w:val="es-ES_tradnl"/>
        </w:rPr>
      </w:pPr>
    </w:p>
    <w:p w14:paraId="780F9CB1" w14:textId="77777777" w:rsidR="0004436C" w:rsidRDefault="0004436C" w:rsidP="006F63AA">
      <w:pPr>
        <w:rPr>
          <w:rFonts w:ascii="Arial" w:eastAsia="Calibri" w:hAnsi="Arial" w:cs="Arial"/>
          <w:bCs/>
          <w:color w:val="000000" w:themeColor="text1"/>
          <w:lang w:val="es-ES_tradnl"/>
        </w:rPr>
      </w:pPr>
    </w:p>
    <w:p w14:paraId="0406F99D" w14:textId="77777777" w:rsidR="0004436C" w:rsidRDefault="0004436C" w:rsidP="006F63AA">
      <w:pPr>
        <w:rPr>
          <w:rFonts w:ascii="Arial" w:eastAsia="Calibri" w:hAnsi="Arial" w:cs="Arial"/>
          <w:bCs/>
          <w:color w:val="000000" w:themeColor="text1"/>
          <w:lang w:val="es-ES_tradnl"/>
        </w:rPr>
      </w:pPr>
    </w:p>
    <w:p w14:paraId="6CD835E8" w14:textId="77777777" w:rsidR="0004436C" w:rsidRDefault="0004436C" w:rsidP="006F63AA">
      <w:pPr>
        <w:rPr>
          <w:rFonts w:ascii="Arial" w:eastAsia="Calibri" w:hAnsi="Arial" w:cs="Arial"/>
          <w:bCs/>
          <w:color w:val="000000" w:themeColor="text1"/>
          <w:lang w:val="es-ES_tradnl"/>
        </w:rPr>
      </w:pPr>
    </w:p>
    <w:p w14:paraId="281EC07D" w14:textId="77777777" w:rsidR="0004436C" w:rsidRPr="009777C6" w:rsidRDefault="0004436C" w:rsidP="0004436C">
      <w:pPr>
        <w:spacing w:after="0"/>
        <w:rPr>
          <w:rFonts w:ascii="Arial" w:hAnsi="Arial" w:cs="Arial"/>
        </w:rPr>
      </w:pPr>
      <w:r w:rsidRPr="009777C6">
        <w:rPr>
          <w:rFonts w:ascii="Arial" w:hAnsi="Arial" w:cs="Arial"/>
        </w:rPr>
        <w:lastRenderedPageBreak/>
        <w:t>Bogotá D.C., [Día] de [Mes.NombreCapitalizado] de [Año]</w:t>
      </w:r>
      <w:r w:rsidRPr="009777C6">
        <w:rPr>
          <w:rFonts w:ascii="Arial" w:hAnsi="Arial" w:cs="Arial"/>
        </w:rPr>
        <w:tab/>
      </w:r>
    </w:p>
    <w:p w14:paraId="6BFCF7AC" w14:textId="77777777" w:rsidR="006F63AA" w:rsidRPr="007C50A9" w:rsidRDefault="006F63AA" w:rsidP="006F63AA">
      <w:pPr>
        <w:jc w:val="both"/>
        <w:rPr>
          <w:rFonts w:ascii="Arial" w:eastAsia="Calibri" w:hAnsi="Arial" w:cs="Arial"/>
          <w:bCs/>
          <w:color w:val="000000" w:themeColor="text1"/>
          <w:lang w:val="es-ES_tradnl"/>
        </w:rPr>
      </w:pPr>
    </w:p>
    <w:p w14:paraId="62B6661C" w14:textId="1BFD0228" w:rsidR="006F63AA" w:rsidRPr="007C50A9" w:rsidRDefault="006F63AA" w:rsidP="006F63AA">
      <w:pPr>
        <w:spacing w:after="0" w:line="240" w:lineRule="auto"/>
        <w:jc w:val="both"/>
        <w:rPr>
          <w:rFonts w:ascii="Arial" w:eastAsia="Calibri" w:hAnsi="Arial" w:cs="Arial"/>
          <w:color w:val="000000" w:themeColor="text1"/>
        </w:rPr>
      </w:pPr>
      <w:r w:rsidRPr="007C50A9">
        <w:rPr>
          <w:rFonts w:ascii="Arial" w:eastAsia="Calibri" w:hAnsi="Arial" w:cs="Arial"/>
          <w:color w:val="000000" w:themeColor="text1"/>
        </w:rPr>
        <w:t>Señor</w:t>
      </w:r>
      <w:r w:rsidR="00053B47">
        <w:rPr>
          <w:rFonts w:ascii="Arial" w:eastAsia="Calibri" w:hAnsi="Arial" w:cs="Arial"/>
          <w:color w:val="000000" w:themeColor="text1"/>
        </w:rPr>
        <w:t>es</w:t>
      </w:r>
    </w:p>
    <w:p w14:paraId="0A783E48" w14:textId="79D437A0" w:rsidR="006F63AA" w:rsidRPr="00754226" w:rsidRDefault="00053B47" w:rsidP="006F63AA">
      <w:pPr>
        <w:spacing w:after="0" w:line="240" w:lineRule="auto"/>
        <w:jc w:val="both"/>
        <w:rPr>
          <w:rFonts w:ascii="Arial" w:eastAsia="Calibri" w:hAnsi="Arial" w:cs="Arial"/>
          <w:b/>
          <w:color w:val="000000" w:themeColor="text1"/>
        </w:rPr>
      </w:pPr>
      <w:r w:rsidRPr="00754226">
        <w:rPr>
          <w:rFonts w:ascii="Arial" w:eastAsia="Calibri" w:hAnsi="Arial" w:cs="Arial"/>
          <w:b/>
          <w:color w:val="000000" w:themeColor="text1"/>
        </w:rPr>
        <w:t>consultas.ciudadanas@yahoo.com</w:t>
      </w:r>
    </w:p>
    <w:p w14:paraId="41F9F82B" w14:textId="29D5B069" w:rsidR="006F63AA" w:rsidRPr="007C50A9" w:rsidRDefault="00053B47" w:rsidP="006F63AA">
      <w:pPr>
        <w:spacing w:after="0" w:line="240" w:lineRule="auto"/>
        <w:jc w:val="both"/>
        <w:rPr>
          <w:rFonts w:ascii="Arial" w:eastAsia="Calibri" w:hAnsi="Arial" w:cs="Arial"/>
          <w:bCs/>
          <w:color w:val="000000" w:themeColor="text1"/>
        </w:rPr>
      </w:pPr>
      <w:r>
        <w:rPr>
          <w:rFonts w:ascii="Arial" w:eastAsia="Calibri" w:hAnsi="Arial" w:cs="Arial"/>
          <w:bCs/>
          <w:color w:val="000000" w:themeColor="text1"/>
        </w:rPr>
        <w:t>Bogotá D.C</w:t>
      </w:r>
    </w:p>
    <w:p w14:paraId="2DB26350" w14:textId="77777777" w:rsidR="006F63AA" w:rsidRPr="007C50A9" w:rsidRDefault="006F63AA" w:rsidP="006F63AA">
      <w:pPr>
        <w:rPr>
          <w:rFonts w:ascii="Arial" w:eastAsia="Calibri" w:hAnsi="Arial" w:cs="Arial"/>
          <w:b/>
          <w:bCs/>
          <w:color w:val="000000" w:themeColor="text1"/>
        </w:rPr>
      </w:pPr>
    </w:p>
    <w:p w14:paraId="2F98B7CD" w14:textId="5D0DF1E8" w:rsidR="006F63AA" w:rsidRPr="007C50A9" w:rsidRDefault="006F63AA" w:rsidP="006F63AA">
      <w:pPr>
        <w:rPr>
          <w:rFonts w:ascii="Arial" w:eastAsia="Calibri" w:hAnsi="Arial" w:cs="Arial"/>
          <w:b/>
          <w:bCs/>
          <w:color w:val="000000" w:themeColor="text1"/>
          <w:lang w:val="pt-BR"/>
        </w:rPr>
      </w:pPr>
      <w:r w:rsidRPr="007C50A9">
        <w:rPr>
          <w:rFonts w:ascii="Arial" w:eastAsia="Calibri" w:hAnsi="Arial" w:cs="Arial"/>
          <w:b/>
          <w:bCs/>
          <w:color w:val="000000" w:themeColor="text1"/>
        </w:rPr>
        <w:t xml:space="preserve">                                            </w:t>
      </w:r>
      <w:r w:rsidRPr="007C50A9">
        <w:rPr>
          <w:rFonts w:ascii="Arial" w:eastAsia="Calibri" w:hAnsi="Arial" w:cs="Arial"/>
          <w:b/>
          <w:bCs/>
          <w:color w:val="000000" w:themeColor="text1"/>
          <w:lang w:val="pt-BR"/>
        </w:rPr>
        <w:t xml:space="preserve">Concepto C ‒ </w:t>
      </w:r>
      <w:r w:rsidR="0004436C">
        <w:rPr>
          <w:rFonts w:ascii="Arial" w:eastAsia="Calibri" w:hAnsi="Arial" w:cs="Arial"/>
          <w:b/>
          <w:bCs/>
          <w:color w:val="000000" w:themeColor="text1"/>
          <w:lang w:val="pt-BR"/>
        </w:rPr>
        <w:t>408</w:t>
      </w:r>
      <w:r w:rsidRPr="007C50A9">
        <w:rPr>
          <w:rFonts w:ascii="Arial" w:eastAsia="Calibri" w:hAnsi="Arial" w:cs="Arial"/>
          <w:b/>
          <w:bCs/>
          <w:color w:val="000000" w:themeColor="text1"/>
          <w:lang w:val="pt-BR"/>
        </w:rPr>
        <w:t xml:space="preserve"> 202</w:t>
      </w:r>
      <w:r>
        <w:rPr>
          <w:rFonts w:ascii="Arial" w:eastAsia="Calibri" w:hAnsi="Arial" w:cs="Arial"/>
          <w:b/>
          <w:bCs/>
          <w:color w:val="000000" w:themeColor="text1"/>
          <w:lang w:val="pt-BR"/>
        </w:rPr>
        <w:t>3</w:t>
      </w:r>
    </w:p>
    <w:p w14:paraId="10CFEEBF" w14:textId="77777777" w:rsidR="006F63AA" w:rsidRPr="007C50A9" w:rsidRDefault="006F63AA" w:rsidP="006F63AA">
      <w:pPr>
        <w:rPr>
          <w:rFonts w:ascii="Arial" w:eastAsia="Calibri" w:hAnsi="Arial" w:cs="Arial"/>
          <w:b/>
          <w:bCs/>
          <w:color w:val="000000" w:themeColor="text1"/>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F63AA" w:rsidRPr="007C50A9" w14:paraId="2BF42B6F" w14:textId="77777777" w:rsidTr="00B802FF">
        <w:tc>
          <w:tcPr>
            <w:tcW w:w="2689" w:type="dxa"/>
          </w:tcPr>
          <w:p w14:paraId="1406BC81" w14:textId="77777777" w:rsidR="006F63AA" w:rsidRPr="007C50A9" w:rsidRDefault="006F63AA" w:rsidP="00B802FF">
            <w:pPr>
              <w:jc w:val="both"/>
              <w:rPr>
                <w:rFonts w:ascii="Arial" w:eastAsia="Calibri" w:hAnsi="Arial" w:cs="Arial"/>
                <w:color w:val="000000" w:themeColor="text1"/>
                <w:lang w:val="es-ES_tradnl"/>
              </w:rPr>
            </w:pPr>
            <w:r w:rsidRPr="007C50A9">
              <w:rPr>
                <w:rFonts w:ascii="Arial" w:eastAsia="Calibri" w:hAnsi="Arial" w:cs="Arial"/>
                <w:b/>
                <w:color w:val="000000" w:themeColor="text1"/>
                <w:lang w:val="es-ES_tradnl"/>
              </w:rPr>
              <w:t>Temas:</w:t>
            </w:r>
            <w:r w:rsidRPr="007C50A9">
              <w:rPr>
                <w:rFonts w:ascii="Arial" w:eastAsia="Calibri" w:hAnsi="Arial" w:cs="Arial"/>
                <w:color w:val="000000" w:themeColor="text1"/>
                <w:lang w:val="es-ES_tradnl"/>
              </w:rPr>
              <w:t xml:space="preserve">                   </w:t>
            </w:r>
          </w:p>
        </w:tc>
        <w:tc>
          <w:tcPr>
            <w:tcW w:w="6237" w:type="dxa"/>
          </w:tcPr>
          <w:p w14:paraId="617A4D4B" w14:textId="6DD4CD75" w:rsidR="006F63AA" w:rsidRPr="007C50A9" w:rsidRDefault="000B6C17" w:rsidP="00B802FF">
            <w:pPr>
              <w:jc w:val="both"/>
              <w:rPr>
                <w:rFonts w:ascii="Arial" w:eastAsia="Calibri" w:hAnsi="Arial" w:cs="Arial"/>
                <w:bCs/>
                <w:color w:val="000000" w:themeColor="text1"/>
                <w:lang w:val="es-ES"/>
              </w:rPr>
            </w:pPr>
            <w:r w:rsidRPr="5D639E99">
              <w:rPr>
                <w:rFonts w:ascii="Arial" w:eastAsia="Calibri" w:hAnsi="Arial" w:cs="Arial"/>
                <w:lang w:val="es-MX"/>
              </w:rPr>
              <w:t xml:space="preserve">SELECCIÓN OBJETIVA </w:t>
            </w:r>
            <w:r>
              <w:rPr>
                <w:rFonts w:ascii="Arial" w:eastAsia="Calibri" w:hAnsi="Arial" w:cs="Arial"/>
                <w:lang w:val="es-MX"/>
              </w:rPr>
              <w:t xml:space="preserve">– principio de selección objetiva </w:t>
            </w:r>
            <w:r w:rsidRPr="00053B47">
              <w:rPr>
                <w:rFonts w:ascii="Arial" w:eastAsia="Calibri" w:hAnsi="Arial" w:cs="Arial"/>
                <w:bCs/>
                <w:color w:val="000000" w:themeColor="text1"/>
                <w:lang w:val="es-MX"/>
              </w:rPr>
              <w:t>DECLARATORIA DE DESIERTA –Procesos de Contratación</w:t>
            </w:r>
            <w:r>
              <w:rPr>
                <w:rFonts w:ascii="Arial" w:eastAsia="Calibri" w:hAnsi="Arial" w:cs="Arial"/>
                <w:bCs/>
                <w:color w:val="000000" w:themeColor="text1"/>
                <w:lang w:val="es-MX"/>
              </w:rPr>
              <w:t xml:space="preserve"> / Características </w:t>
            </w:r>
            <w:r w:rsidRPr="00053B47">
              <w:rPr>
                <w:rFonts w:ascii="Arial" w:eastAsia="Calibri" w:hAnsi="Arial" w:cs="Arial"/>
                <w:bCs/>
                <w:color w:val="000000" w:themeColor="text1"/>
                <w:lang w:val="es-MX"/>
              </w:rPr>
              <w:t>/</w:t>
            </w:r>
          </w:p>
        </w:tc>
      </w:tr>
      <w:tr w:rsidR="006F63AA" w:rsidRPr="007C50A9" w14:paraId="5C73160A" w14:textId="77777777" w:rsidTr="00B802FF">
        <w:tc>
          <w:tcPr>
            <w:tcW w:w="2689" w:type="dxa"/>
          </w:tcPr>
          <w:p w14:paraId="2324CFE1" w14:textId="77777777" w:rsidR="00995244" w:rsidRDefault="00995244" w:rsidP="00B802FF">
            <w:pPr>
              <w:spacing w:before="120"/>
              <w:jc w:val="both"/>
              <w:rPr>
                <w:rFonts w:ascii="Arial" w:eastAsia="Calibri" w:hAnsi="Arial" w:cs="Arial"/>
                <w:b/>
                <w:color w:val="000000" w:themeColor="text1"/>
                <w:lang w:val="es-ES_tradnl"/>
              </w:rPr>
            </w:pPr>
          </w:p>
          <w:p w14:paraId="51331E76" w14:textId="4C30C3C7" w:rsidR="006F63AA" w:rsidRPr="007C50A9" w:rsidRDefault="006F63AA" w:rsidP="00B802FF">
            <w:pPr>
              <w:spacing w:before="120"/>
              <w:jc w:val="both"/>
              <w:rPr>
                <w:rFonts w:ascii="Arial" w:eastAsia="Calibri" w:hAnsi="Arial" w:cs="Arial"/>
                <w:b/>
                <w:color w:val="000000" w:themeColor="text1"/>
                <w:lang w:val="es-ES_tradnl"/>
              </w:rPr>
            </w:pPr>
            <w:r w:rsidRPr="007C50A9">
              <w:rPr>
                <w:rFonts w:ascii="Arial" w:eastAsia="Calibri" w:hAnsi="Arial" w:cs="Arial"/>
                <w:b/>
                <w:color w:val="000000" w:themeColor="text1"/>
                <w:lang w:val="es-ES_tradnl"/>
              </w:rPr>
              <w:t>Radicación:</w:t>
            </w:r>
            <w:r w:rsidRPr="007C50A9">
              <w:rPr>
                <w:rFonts w:ascii="Arial" w:eastAsia="Calibri" w:hAnsi="Arial" w:cs="Arial"/>
                <w:color w:val="000000" w:themeColor="text1"/>
                <w:lang w:val="es-ES_tradnl"/>
              </w:rPr>
              <w:t xml:space="preserve">               </w:t>
            </w:r>
          </w:p>
        </w:tc>
        <w:tc>
          <w:tcPr>
            <w:tcW w:w="6237" w:type="dxa"/>
          </w:tcPr>
          <w:p w14:paraId="6117DC28" w14:textId="77777777" w:rsidR="00093619" w:rsidRDefault="00093619" w:rsidP="00B802FF">
            <w:pPr>
              <w:spacing w:before="120"/>
              <w:jc w:val="both"/>
              <w:rPr>
                <w:rFonts w:eastAsia="Calibri"/>
                <w:color w:val="000000" w:themeColor="text1"/>
                <w:lang w:val="es-ES_tradnl"/>
              </w:rPr>
            </w:pPr>
          </w:p>
          <w:p w14:paraId="3124663E" w14:textId="245884B3" w:rsidR="006F63AA" w:rsidRPr="007C50A9" w:rsidRDefault="006F63AA" w:rsidP="00B802FF">
            <w:pPr>
              <w:spacing w:before="120"/>
              <w:jc w:val="both"/>
              <w:rPr>
                <w:rFonts w:ascii="Arial" w:eastAsia="Calibri" w:hAnsi="Arial" w:cs="Arial"/>
                <w:color w:val="000000" w:themeColor="text1"/>
                <w:lang w:val="es-ES_tradnl"/>
              </w:rPr>
            </w:pPr>
            <w:r w:rsidRPr="007C50A9">
              <w:rPr>
                <w:rFonts w:ascii="Arial" w:eastAsia="Calibri" w:hAnsi="Arial" w:cs="Arial"/>
                <w:color w:val="000000" w:themeColor="text1"/>
                <w:lang w:val="es-ES_tradnl"/>
              </w:rPr>
              <w:t xml:space="preserve">Respuesta a consulta </w:t>
            </w:r>
            <w:r w:rsidRPr="00206B76">
              <w:rPr>
                <w:rFonts w:ascii="Arial" w:eastAsia="Calibri" w:hAnsi="Arial" w:cs="Arial"/>
                <w:color w:val="000000" w:themeColor="text1"/>
                <w:lang w:val="es-ES_tradnl"/>
              </w:rPr>
              <w:t>P2023</w:t>
            </w:r>
            <w:r w:rsidR="00053B47">
              <w:rPr>
                <w:rFonts w:ascii="Arial" w:eastAsia="Calibri" w:hAnsi="Arial" w:cs="Arial"/>
                <w:color w:val="000000" w:themeColor="text1"/>
                <w:lang w:val="es-ES_tradnl"/>
              </w:rPr>
              <w:t>0922015380</w:t>
            </w:r>
            <w:r w:rsidR="005314EB">
              <w:rPr>
                <w:rFonts w:ascii="Arial" w:eastAsia="Calibri" w:hAnsi="Arial" w:cs="Arial"/>
                <w:color w:val="000000" w:themeColor="text1"/>
                <w:lang w:val="es-ES_tradnl"/>
              </w:rPr>
              <w:t>.</w:t>
            </w:r>
          </w:p>
        </w:tc>
      </w:tr>
    </w:tbl>
    <w:p w14:paraId="46215C58" w14:textId="77777777" w:rsidR="006F63AA" w:rsidRPr="007C50A9" w:rsidRDefault="006F63AA" w:rsidP="006F63AA">
      <w:pPr>
        <w:jc w:val="both"/>
        <w:rPr>
          <w:rFonts w:ascii="Arial" w:eastAsia="Calibri" w:hAnsi="Arial" w:cs="Arial"/>
          <w:color w:val="000000" w:themeColor="text1"/>
        </w:rPr>
      </w:pPr>
    </w:p>
    <w:p w14:paraId="5C45D624" w14:textId="77777777" w:rsidR="006F63AA" w:rsidRPr="00504597" w:rsidRDefault="006F63AA" w:rsidP="006F63AA">
      <w:pPr>
        <w:spacing w:line="276" w:lineRule="auto"/>
        <w:jc w:val="both"/>
        <w:rPr>
          <w:rFonts w:ascii="Arial" w:eastAsia="Calibri" w:hAnsi="Arial" w:cs="Arial"/>
          <w:color w:val="000000" w:themeColor="text1"/>
          <w:lang w:val="es-ES_tradnl"/>
        </w:rPr>
      </w:pPr>
      <w:r w:rsidRPr="00504597">
        <w:rPr>
          <w:rFonts w:ascii="Arial" w:eastAsia="Calibri" w:hAnsi="Arial" w:cs="Arial"/>
          <w:color w:val="000000" w:themeColor="text1"/>
          <w:lang w:val="es-ES_tradnl"/>
        </w:rPr>
        <w:t xml:space="preserve">En ejercicio de la competencia otorgada por el numeral 8 del artículo 11 y el numeral 5 del artículo 3 del Decreto </w:t>
      </w:r>
      <w:r w:rsidRPr="00E87A11">
        <w:rPr>
          <w:rFonts w:ascii="Arial" w:eastAsia="Calibri" w:hAnsi="Arial" w:cs="Arial"/>
          <w:color w:val="000000" w:themeColor="text1"/>
          <w:lang w:val="es-ES_tradnl"/>
        </w:rPr>
        <w:t>Ley 4170 de 2011</w:t>
      </w:r>
      <w:r w:rsidRPr="00E87A11">
        <w:rPr>
          <w:rFonts w:ascii="Arial MT" w:eastAsia="Arial MT" w:hAnsi="Arial MT" w:cs="Arial MT"/>
          <w:lang w:val="es-ES"/>
        </w:rPr>
        <w:t xml:space="preserve">, </w:t>
      </w:r>
      <w:r w:rsidRPr="00E87A11">
        <w:rPr>
          <w:rFonts w:ascii="Arial" w:eastAsia="Calibri" w:hAnsi="Arial" w:cs="Arial"/>
          <w:color w:val="000000" w:themeColor="text1"/>
          <w:lang w:val="es-ES_tradnl"/>
        </w:rPr>
        <w:t>la</w:t>
      </w:r>
      <w:r w:rsidRPr="00504597">
        <w:rPr>
          <w:rFonts w:ascii="Arial" w:eastAsia="Calibri" w:hAnsi="Arial" w:cs="Arial"/>
          <w:color w:val="000000" w:themeColor="text1"/>
          <w:lang w:val="es-ES_tradnl"/>
        </w:rPr>
        <w:t xml:space="preserve"> Agencia Nacional de Contratación Pública </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 xml:space="preserve"> Colombia Compra Eficiente responde </w:t>
      </w:r>
      <w:r>
        <w:rPr>
          <w:rFonts w:ascii="Arial" w:eastAsia="Calibri" w:hAnsi="Arial" w:cs="Arial"/>
          <w:color w:val="000000" w:themeColor="text1"/>
          <w:lang w:val="es-ES_tradnl"/>
        </w:rPr>
        <w:t>la</w:t>
      </w:r>
      <w:r w:rsidRPr="00504597">
        <w:rPr>
          <w:rFonts w:ascii="Arial" w:eastAsia="Calibri" w:hAnsi="Arial" w:cs="Arial"/>
          <w:color w:val="000000" w:themeColor="text1"/>
          <w:lang w:val="es-ES_tradnl"/>
        </w:rPr>
        <w:t xml:space="preserve"> consulta </w:t>
      </w:r>
      <w:r>
        <w:rPr>
          <w:rFonts w:ascii="Arial" w:eastAsia="Calibri" w:hAnsi="Arial" w:cs="Arial"/>
          <w:color w:val="000000" w:themeColor="text1"/>
          <w:lang w:val="es-ES_tradnl"/>
        </w:rPr>
        <w:t xml:space="preserve">radicada </w:t>
      </w:r>
      <w:r w:rsidRPr="00504597">
        <w:rPr>
          <w:rFonts w:ascii="Arial" w:eastAsia="Calibri" w:hAnsi="Arial" w:cs="Arial"/>
          <w:color w:val="000000" w:themeColor="text1"/>
          <w:lang w:val="es-ES_tradnl"/>
        </w:rPr>
        <w:t xml:space="preserve">el </w:t>
      </w:r>
      <w:r>
        <w:rPr>
          <w:rFonts w:ascii="Arial" w:eastAsia="Calibri" w:hAnsi="Arial" w:cs="Arial"/>
          <w:color w:val="000000" w:themeColor="text1"/>
          <w:lang w:val="es-ES_tradnl"/>
        </w:rPr>
        <w:t>19 de julio de 2023</w:t>
      </w:r>
      <w:r w:rsidRPr="00504597">
        <w:rPr>
          <w:rFonts w:ascii="Arial" w:eastAsia="Calibri" w:hAnsi="Arial" w:cs="Arial"/>
          <w:color w:val="000000" w:themeColor="text1"/>
          <w:lang w:val="es-ES_tradnl"/>
        </w:rPr>
        <w:t>.</w:t>
      </w:r>
    </w:p>
    <w:p w14:paraId="7E351677" w14:textId="77777777" w:rsidR="006F63AA" w:rsidRPr="00504597" w:rsidRDefault="006F63AA" w:rsidP="006F63AA">
      <w:pPr>
        <w:pStyle w:val="Prrafodelista"/>
        <w:numPr>
          <w:ilvl w:val="0"/>
          <w:numId w:val="16"/>
        </w:numPr>
        <w:tabs>
          <w:tab w:val="left" w:pos="0"/>
          <w:tab w:val="left" w:pos="142"/>
          <w:tab w:val="left" w:pos="284"/>
        </w:tabs>
        <w:spacing w:line="276" w:lineRule="auto"/>
        <w:ind w:left="0" w:firstLine="0"/>
        <w:jc w:val="both"/>
        <w:rPr>
          <w:rFonts w:ascii="Arial" w:eastAsia="Calibri" w:hAnsi="Arial" w:cs="Arial"/>
          <w:b/>
          <w:color w:val="000000" w:themeColor="text1"/>
          <w:lang w:val="es-ES_tradnl"/>
        </w:rPr>
      </w:pPr>
      <w:r w:rsidRPr="00504597">
        <w:rPr>
          <w:rFonts w:ascii="Arial" w:eastAsia="Calibri" w:hAnsi="Arial" w:cs="Arial"/>
          <w:b/>
          <w:color w:val="000000" w:themeColor="text1"/>
          <w:lang w:val="es-ES_tradnl"/>
        </w:rPr>
        <w:t>Pro</w:t>
      </w:r>
      <w:r>
        <w:rPr>
          <w:rFonts w:ascii="Arial" w:eastAsia="Calibri" w:hAnsi="Arial" w:cs="Arial"/>
          <w:b/>
          <w:color w:val="000000" w:themeColor="text1"/>
          <w:lang w:val="es-ES_tradnl"/>
        </w:rPr>
        <w:t>blema planteado</w:t>
      </w:r>
    </w:p>
    <w:p w14:paraId="55ABC8F1" w14:textId="35E211DA" w:rsidR="006F63AA" w:rsidRDefault="006F63AA" w:rsidP="006F63AA">
      <w:pPr>
        <w:spacing w:line="276" w:lineRule="auto"/>
        <w:jc w:val="both"/>
        <w:rPr>
          <w:rFonts w:ascii="Arial" w:hAnsi="Arial" w:cs="Arial"/>
          <w:color w:val="000000" w:themeColor="text1"/>
          <w:lang w:val="es-ES"/>
        </w:rPr>
      </w:pPr>
      <w:r w:rsidRPr="594FA205">
        <w:rPr>
          <w:rFonts w:ascii="Arial" w:hAnsi="Arial" w:cs="Arial"/>
          <w:color w:val="000000" w:themeColor="text1"/>
          <w:lang w:val="es-ES"/>
        </w:rPr>
        <w:t xml:space="preserve">En su petición realiza </w:t>
      </w:r>
      <w:r w:rsidR="00DC4D52">
        <w:rPr>
          <w:rFonts w:ascii="Arial" w:hAnsi="Arial" w:cs="Arial"/>
          <w:color w:val="000000" w:themeColor="text1"/>
          <w:lang w:val="es-ES"/>
        </w:rPr>
        <w:t>las siguientes preguntas relacionadas</w:t>
      </w:r>
      <w:r w:rsidR="005314EB">
        <w:rPr>
          <w:rFonts w:ascii="Arial" w:hAnsi="Arial" w:cs="Arial"/>
          <w:color w:val="000000" w:themeColor="text1"/>
          <w:lang w:val="es-ES"/>
        </w:rPr>
        <w:t xml:space="preserve"> con la </w:t>
      </w:r>
      <w:r w:rsidR="00053B47">
        <w:rPr>
          <w:rFonts w:ascii="Arial" w:hAnsi="Arial" w:cs="Arial"/>
          <w:color w:val="000000" w:themeColor="text1"/>
          <w:lang w:val="es-ES"/>
        </w:rPr>
        <w:t>declar</w:t>
      </w:r>
      <w:r w:rsidR="005314EB">
        <w:rPr>
          <w:rFonts w:ascii="Arial" w:hAnsi="Arial" w:cs="Arial"/>
          <w:color w:val="000000" w:themeColor="text1"/>
          <w:lang w:val="es-ES"/>
        </w:rPr>
        <w:t>atoria de desierta en procesos</w:t>
      </w:r>
      <w:r w:rsidR="00DA4F2D">
        <w:rPr>
          <w:rFonts w:ascii="Arial" w:hAnsi="Arial" w:cs="Arial"/>
          <w:color w:val="000000" w:themeColor="text1"/>
          <w:lang w:val="es-ES"/>
        </w:rPr>
        <w:t xml:space="preserve"> de contratación pública:</w:t>
      </w:r>
    </w:p>
    <w:p w14:paraId="6651A2F8" w14:textId="77777777" w:rsidR="00053B47" w:rsidRPr="00053B47" w:rsidRDefault="00053B47" w:rsidP="00053B47">
      <w:pPr>
        <w:spacing w:line="20" w:lineRule="atLeast"/>
        <w:ind w:left="709" w:right="1043"/>
        <w:jc w:val="both"/>
        <w:rPr>
          <w:rFonts w:ascii="Arial" w:hAnsi="Arial" w:cs="Arial"/>
          <w:i/>
          <w:iCs/>
          <w:color w:val="000000" w:themeColor="text1"/>
          <w:sz w:val="21"/>
          <w:szCs w:val="21"/>
        </w:rPr>
      </w:pPr>
      <w:r w:rsidRPr="00053B47">
        <w:rPr>
          <w:rFonts w:ascii="Arial" w:hAnsi="Arial" w:cs="Arial"/>
          <w:i/>
          <w:iCs/>
          <w:color w:val="000000" w:themeColor="text1"/>
          <w:sz w:val="21"/>
          <w:szCs w:val="21"/>
        </w:rPr>
        <w:t xml:space="preserve">1. ¿En el marco del Estatuto General de la Contratación de la Administración Pública es posible que un proceso de selección de un contratista por convocatoria pública, (licitación pública, selección abreviada, concurso o mínima cuantía), sea declarado desierto porque sólo participa un oferente? </w:t>
      </w:r>
    </w:p>
    <w:p w14:paraId="666DD2B8" w14:textId="20909A0F" w:rsidR="00053B47" w:rsidRPr="00053B47" w:rsidRDefault="00053B47" w:rsidP="00053B47">
      <w:pPr>
        <w:spacing w:line="20" w:lineRule="atLeast"/>
        <w:ind w:left="709" w:right="1043"/>
        <w:jc w:val="both"/>
        <w:rPr>
          <w:rFonts w:ascii="Arial" w:hAnsi="Arial" w:cs="Arial"/>
          <w:i/>
          <w:iCs/>
          <w:color w:val="000000" w:themeColor="text1"/>
          <w:sz w:val="21"/>
          <w:szCs w:val="21"/>
        </w:rPr>
      </w:pPr>
      <w:r w:rsidRPr="00053B47">
        <w:rPr>
          <w:rFonts w:ascii="Arial" w:hAnsi="Arial" w:cs="Arial"/>
          <w:i/>
          <w:iCs/>
          <w:color w:val="000000" w:themeColor="text1"/>
          <w:sz w:val="21"/>
          <w:szCs w:val="21"/>
        </w:rPr>
        <w:t>2. ¿Si la anterior respuesta es negativa, ¿cómo se aplica el deber de selección objetiva para evaluar la única propuesta participante y poder adjudicar el proceso de selección?</w:t>
      </w:r>
    </w:p>
    <w:p w14:paraId="2BE7D249" w14:textId="4F2BA7EE" w:rsidR="00053B47" w:rsidRPr="00053B47" w:rsidRDefault="00053B47" w:rsidP="00053B47">
      <w:pPr>
        <w:spacing w:line="20" w:lineRule="atLeast"/>
        <w:ind w:left="709" w:right="1043"/>
        <w:jc w:val="both"/>
        <w:rPr>
          <w:rFonts w:ascii="Arial" w:hAnsi="Arial" w:cs="Arial"/>
          <w:i/>
          <w:iCs/>
          <w:color w:val="000000" w:themeColor="text1"/>
          <w:sz w:val="21"/>
          <w:szCs w:val="21"/>
        </w:rPr>
      </w:pPr>
      <w:r w:rsidRPr="00053B47">
        <w:rPr>
          <w:rFonts w:ascii="Arial" w:hAnsi="Arial" w:cs="Arial"/>
          <w:i/>
          <w:iCs/>
          <w:color w:val="000000" w:themeColor="text1"/>
          <w:sz w:val="21"/>
          <w:szCs w:val="21"/>
        </w:rPr>
        <w:t xml:space="preserve">3. ¿Existe alguna norma constitucional, legal, reglamentaria, circular, directriz, regla de documento tipo, manual, etc., que justifique la declaratoria de desierta de una licitación, o de cualquier proceso de selección por convocatoria pública, por el hecho de que sólo participe un solo oferente? En caso afirmativo por favor enviarnos copia del documento que contenga dicha justificación. </w:t>
      </w:r>
    </w:p>
    <w:p w14:paraId="43F4AB32" w14:textId="77777777" w:rsidR="00053B47" w:rsidRPr="00053B47" w:rsidRDefault="00053B47" w:rsidP="00053B47">
      <w:pPr>
        <w:spacing w:line="20" w:lineRule="atLeast"/>
        <w:ind w:left="709" w:right="1043"/>
        <w:jc w:val="both"/>
        <w:rPr>
          <w:rFonts w:ascii="Arial" w:hAnsi="Arial" w:cs="Arial"/>
          <w:i/>
          <w:iCs/>
          <w:color w:val="000000" w:themeColor="text1"/>
          <w:sz w:val="21"/>
          <w:szCs w:val="21"/>
        </w:rPr>
      </w:pPr>
      <w:r w:rsidRPr="00053B47">
        <w:rPr>
          <w:rFonts w:ascii="Arial" w:hAnsi="Arial" w:cs="Arial"/>
          <w:i/>
          <w:iCs/>
          <w:color w:val="000000" w:themeColor="text1"/>
          <w:sz w:val="21"/>
          <w:szCs w:val="21"/>
        </w:rPr>
        <w:t>Por favor, enviar la respuesta dentro del término legal (artículo 14 Ley 1755 de 2015).</w:t>
      </w:r>
    </w:p>
    <w:p w14:paraId="1C586878" w14:textId="77777777" w:rsidR="00053B47" w:rsidRPr="00053B47" w:rsidRDefault="00053B47" w:rsidP="00053B47">
      <w:pPr>
        <w:spacing w:line="20" w:lineRule="atLeast"/>
        <w:ind w:left="709" w:right="1043"/>
        <w:jc w:val="both"/>
        <w:rPr>
          <w:rFonts w:ascii="Arial" w:hAnsi="Arial" w:cs="Arial"/>
          <w:i/>
          <w:iCs/>
          <w:color w:val="000000" w:themeColor="text1"/>
          <w:sz w:val="21"/>
          <w:szCs w:val="21"/>
        </w:rPr>
      </w:pPr>
    </w:p>
    <w:p w14:paraId="64BF6CFC" w14:textId="06AC8C21" w:rsidR="006F63AA" w:rsidRDefault="00053B47" w:rsidP="00053B47">
      <w:pPr>
        <w:spacing w:line="20" w:lineRule="atLeast"/>
        <w:ind w:left="709" w:right="1043"/>
        <w:jc w:val="both"/>
        <w:rPr>
          <w:rFonts w:ascii="Arial" w:hAnsi="Arial" w:cs="Arial"/>
          <w:i/>
          <w:iCs/>
          <w:color w:val="000000" w:themeColor="text1"/>
          <w:sz w:val="21"/>
          <w:szCs w:val="21"/>
        </w:rPr>
      </w:pPr>
      <w:r w:rsidRPr="00053B47">
        <w:rPr>
          <w:rFonts w:ascii="Arial" w:hAnsi="Arial" w:cs="Arial"/>
          <w:i/>
          <w:iCs/>
          <w:color w:val="000000" w:themeColor="text1"/>
          <w:sz w:val="21"/>
          <w:szCs w:val="21"/>
        </w:rPr>
        <w:lastRenderedPageBreak/>
        <w:t>La presente petición se hace en ejercicio de derechos fundamentales ciudadanos para efectos de conocer información pública y con miras a ejercer el control social ciudadano.</w:t>
      </w:r>
    </w:p>
    <w:p w14:paraId="1EC4E9DF" w14:textId="77777777" w:rsidR="006F63AA" w:rsidRPr="007C50A9" w:rsidRDefault="006F63AA" w:rsidP="006F63AA">
      <w:pPr>
        <w:pStyle w:val="Prrafodelista"/>
        <w:numPr>
          <w:ilvl w:val="0"/>
          <w:numId w:val="16"/>
        </w:numPr>
        <w:tabs>
          <w:tab w:val="left" w:pos="0"/>
          <w:tab w:val="left" w:pos="284"/>
        </w:tabs>
        <w:spacing w:after="0" w:line="240" w:lineRule="auto"/>
        <w:ind w:left="0" w:firstLine="0"/>
        <w:jc w:val="both"/>
        <w:rPr>
          <w:rFonts w:ascii="Arial" w:eastAsia="Calibri" w:hAnsi="Arial" w:cs="Arial"/>
          <w:b/>
          <w:color w:val="000000" w:themeColor="text1"/>
          <w:lang w:val="es-ES_tradnl"/>
        </w:rPr>
      </w:pPr>
      <w:r w:rsidRPr="007C50A9">
        <w:rPr>
          <w:rFonts w:ascii="Arial" w:eastAsia="Calibri" w:hAnsi="Arial" w:cs="Arial"/>
          <w:b/>
          <w:color w:val="000000" w:themeColor="text1"/>
          <w:lang w:val="es-ES_tradnl"/>
        </w:rPr>
        <w:t>Consideraciones</w:t>
      </w:r>
    </w:p>
    <w:p w14:paraId="13133EFB" w14:textId="77777777" w:rsidR="0062342E" w:rsidRDefault="0062342E" w:rsidP="00B41E68">
      <w:pPr>
        <w:pStyle w:val="paragraph"/>
        <w:spacing w:before="0" w:beforeAutospacing="0" w:after="0" w:afterAutospacing="0"/>
        <w:jc w:val="both"/>
        <w:textAlignment w:val="baseline"/>
        <w:rPr>
          <w:rStyle w:val="normaltextrun"/>
          <w:rFonts w:ascii="Arial" w:hAnsi="Arial" w:cs="Arial"/>
          <w:sz w:val="22"/>
          <w:szCs w:val="22"/>
        </w:rPr>
      </w:pPr>
    </w:p>
    <w:p w14:paraId="452A7B26" w14:textId="06840DD4" w:rsidR="00B41E68" w:rsidRDefault="00B41E68" w:rsidP="00B41E68">
      <w:pPr>
        <w:pStyle w:val="paragraph"/>
        <w:spacing w:before="0" w:beforeAutospacing="0" w:after="0" w:afterAutospacing="0"/>
        <w:jc w:val="both"/>
        <w:textAlignment w:val="baseline"/>
        <w:rPr>
          <w:rStyle w:val="eop"/>
          <w:rFonts w:ascii="Arial" w:hAnsi="Arial" w:cs="Arial"/>
          <w:sz w:val="22"/>
          <w:szCs w:val="22"/>
        </w:rPr>
      </w:pPr>
      <w:r>
        <w:rPr>
          <w:rStyle w:val="normaltextrun"/>
          <w:rFonts w:ascii="Arial" w:hAnsi="Arial" w:cs="Arial"/>
          <w:sz w:val="22"/>
          <w:szCs w:val="22"/>
        </w:rPr>
        <w:t xml:space="preserve">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w:t>
      </w:r>
      <w:r>
        <w:rPr>
          <w:rStyle w:val="normaltextrun"/>
          <w:rFonts w:ascii="Arial" w:hAnsi="Arial" w:cs="Arial"/>
          <w:sz w:val="22"/>
          <w:szCs w:val="22"/>
          <w:lang w:val="es-ES"/>
        </w:rPr>
        <w:t>citados. Es necesario tener en cuenta que esta entidad solo tiene competencia para</w:t>
      </w:r>
      <w:r w:rsidR="006F63AA">
        <w:rPr>
          <w:rStyle w:val="normaltextrun"/>
          <w:rFonts w:ascii="Arial" w:eastAsia="Calibri" w:hAnsi="Arial" w:cs="Arial"/>
          <w:sz w:val="22"/>
          <w:szCs w:val="22"/>
          <w:lang w:val="es-ES"/>
        </w:rPr>
        <w:t xml:space="preserve"> responder </w:t>
      </w:r>
      <w:r>
        <w:rPr>
          <w:rStyle w:val="normaltextrun"/>
          <w:rFonts w:ascii="Arial" w:hAnsi="Arial" w:cs="Arial"/>
          <w:sz w:val="22"/>
          <w:szCs w:val="22"/>
          <w:lang w:val="es-ES"/>
        </w:rPr>
        <w:t>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Pr>
          <w:rStyle w:val="normaltextrun"/>
          <w:rFonts w:ascii="Arial" w:hAnsi="Arial" w:cs="Arial"/>
          <w:sz w:val="22"/>
          <w:szCs w:val="22"/>
        </w:rPr>
        <w:t xml:space="preserve"> de todos los partícipes de la contratación estatal.</w:t>
      </w:r>
      <w:r>
        <w:rPr>
          <w:rStyle w:val="eop"/>
          <w:rFonts w:ascii="Arial" w:hAnsi="Arial" w:cs="Arial"/>
          <w:sz w:val="22"/>
          <w:szCs w:val="22"/>
        </w:rPr>
        <w:t> </w:t>
      </w:r>
    </w:p>
    <w:p w14:paraId="246E81F2" w14:textId="77777777" w:rsidR="00B025A2" w:rsidRDefault="00B025A2" w:rsidP="00B41E68">
      <w:pPr>
        <w:pStyle w:val="paragraph"/>
        <w:spacing w:before="0" w:beforeAutospacing="0" w:after="0" w:afterAutospacing="0"/>
        <w:jc w:val="both"/>
        <w:textAlignment w:val="baseline"/>
        <w:rPr>
          <w:rFonts w:ascii="Segoe UI" w:hAnsi="Segoe UI" w:cs="Segoe UI"/>
          <w:sz w:val="18"/>
          <w:szCs w:val="18"/>
        </w:rPr>
      </w:pPr>
    </w:p>
    <w:p w14:paraId="09C32AEA" w14:textId="08E41853" w:rsidR="00B41E68" w:rsidRDefault="00B41E68" w:rsidP="00B41E68">
      <w:pPr>
        <w:pStyle w:val="paragraph"/>
        <w:spacing w:before="0" w:beforeAutospacing="0" w:after="0" w:afterAutospacing="0"/>
        <w:ind w:firstLine="705"/>
        <w:jc w:val="both"/>
        <w:textAlignment w:val="baseline"/>
        <w:rPr>
          <w:rStyle w:val="eop"/>
          <w:rFonts w:ascii="Arial" w:hAnsi="Arial" w:cs="Arial"/>
          <w:sz w:val="22"/>
          <w:szCs w:val="22"/>
        </w:rPr>
      </w:pPr>
      <w:r>
        <w:rPr>
          <w:rStyle w:val="normaltextrun"/>
          <w:rFonts w:ascii="Arial" w:hAnsi="Arial" w:cs="Arial"/>
          <w:sz w:val="22"/>
          <w:szCs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Pr>
          <w:rStyle w:val="superscript"/>
          <w:rFonts w:ascii="Arial" w:hAnsi="Arial" w:cs="Arial"/>
          <w:sz w:val="17"/>
          <w:szCs w:val="17"/>
          <w:vertAlign w:val="superscript"/>
          <w:lang w:val="es-ES"/>
        </w:rPr>
        <w:t>1</w:t>
      </w:r>
      <w:r>
        <w:rPr>
          <w:rStyle w:val="normaltextrun"/>
          <w:rFonts w:ascii="Arial" w:hAnsi="Arial" w:cs="Arial"/>
          <w:sz w:val="22"/>
          <w:szCs w:val="22"/>
          <w:lang w:val="es-ES"/>
        </w:rPr>
        <w:t xml:space="preserve">. Esta competencia de interpretación de normas generales, por definición, no puede extenderse a la resolución de controversias ni brindar asesorías sobre casos puntuales. Por lo anterior, previo concepto de </w:t>
      </w:r>
      <w:r w:rsidR="006F63AA">
        <w:rPr>
          <w:rStyle w:val="normaltextrun"/>
          <w:rFonts w:ascii="Arial" w:eastAsia="Calibri" w:hAnsi="Arial" w:cs="Arial"/>
          <w:sz w:val="22"/>
          <w:szCs w:val="22"/>
          <w:lang w:val="es-ES"/>
        </w:rPr>
        <w:t xml:space="preserve">sus </w:t>
      </w:r>
      <w:r>
        <w:rPr>
          <w:rStyle w:val="normaltextrun"/>
          <w:rFonts w:ascii="Arial" w:hAnsi="Arial" w:cs="Arial"/>
          <w:sz w:val="22"/>
          <w:szCs w:val="22"/>
          <w:lang w:val="es-ES"/>
        </w:rPr>
        <w:t xml:space="preserve">órganos asesores, la solución de estos temas corresponde a la entidad </w:t>
      </w:r>
      <w:r w:rsidR="00017E5B">
        <w:rPr>
          <w:rStyle w:val="normaltextrun"/>
          <w:rFonts w:ascii="Arial" w:hAnsi="Arial" w:cs="Arial"/>
          <w:sz w:val="22"/>
          <w:szCs w:val="22"/>
          <w:lang w:val="es-ES"/>
        </w:rPr>
        <w:t>a</w:t>
      </w:r>
      <w:r>
        <w:rPr>
          <w:rStyle w:val="normaltextrun"/>
          <w:rFonts w:ascii="Arial" w:hAnsi="Arial" w:cs="Arial"/>
          <w:sz w:val="22"/>
          <w:szCs w:val="22"/>
          <w:lang w:val="es-ES"/>
        </w:rPr>
        <w:t xml:space="preserve"> adoptar la decisión correspondiente y, en caso de conflicto, a las autoridades judiciales, fiscales y disciplinarias. De esta manera, le corresponderá a cada entidad definir la viabilidad técnica, jurídica y financiera de adelantar alguna gestión contractual en específico.</w:t>
      </w:r>
      <w:r>
        <w:rPr>
          <w:rStyle w:val="eop"/>
          <w:rFonts w:ascii="Arial" w:hAnsi="Arial" w:cs="Arial"/>
          <w:sz w:val="22"/>
          <w:szCs w:val="22"/>
        </w:rPr>
        <w:t> </w:t>
      </w:r>
    </w:p>
    <w:p w14:paraId="3E581044" w14:textId="77777777" w:rsidR="00B025A2" w:rsidRDefault="00B025A2" w:rsidP="00B41E68">
      <w:pPr>
        <w:pStyle w:val="paragraph"/>
        <w:spacing w:before="0" w:beforeAutospacing="0" w:after="0" w:afterAutospacing="0"/>
        <w:ind w:firstLine="705"/>
        <w:jc w:val="both"/>
        <w:textAlignment w:val="baseline"/>
        <w:rPr>
          <w:rFonts w:ascii="Segoe UI" w:hAnsi="Segoe UI" w:cs="Segoe UI"/>
          <w:sz w:val="18"/>
          <w:szCs w:val="18"/>
        </w:rPr>
      </w:pPr>
    </w:p>
    <w:p w14:paraId="3741528D" w14:textId="1A103D46" w:rsidR="006F63AA" w:rsidRPr="007C50A9" w:rsidRDefault="00B41E68" w:rsidP="00B025A2">
      <w:pPr>
        <w:pStyle w:val="paragraph"/>
        <w:spacing w:before="0" w:beforeAutospacing="0" w:after="0" w:afterAutospacing="0"/>
        <w:ind w:firstLine="705"/>
        <w:jc w:val="both"/>
        <w:textAlignment w:val="baseline"/>
        <w:rPr>
          <w:rFonts w:ascii="Arial" w:hAnsi="Arial" w:cs="Arial"/>
          <w:bCs/>
          <w:color w:val="000000" w:themeColor="text1"/>
          <w:lang w:val="es-ES"/>
        </w:rPr>
      </w:pPr>
      <w:r>
        <w:rPr>
          <w:rStyle w:val="normaltextrun"/>
          <w:rFonts w:ascii="Arial" w:hAnsi="Arial" w:cs="Arial"/>
          <w:sz w:val="22"/>
          <w:szCs w:val="22"/>
        </w:rPr>
        <w:t>Sin perjuicio de lo anterior, la Subdirección –dentro de los límites de sus atribuciones, esto es, haciendo abstracción del caso expuesto por el peticionario– resolverá la consulta conforme a las normas generales en materia de contratación estatal. Con este objetivo se abordarán</w:t>
      </w:r>
      <w:r w:rsidR="006F63AA">
        <w:rPr>
          <w:rStyle w:val="normaltextrun"/>
          <w:rFonts w:ascii="Arial" w:eastAsia="Calibri" w:hAnsi="Arial" w:cs="Arial"/>
          <w:sz w:val="22"/>
          <w:szCs w:val="22"/>
        </w:rPr>
        <w:t xml:space="preserve"> </w:t>
      </w:r>
      <w:r w:rsidR="006F63AA">
        <w:rPr>
          <w:rStyle w:val="normaltextrun"/>
          <w:rFonts w:ascii="Arial" w:eastAsia="Calibri" w:hAnsi="Arial" w:cs="Arial"/>
          <w:sz w:val="22"/>
          <w:szCs w:val="22"/>
          <w:lang w:val="es-ES"/>
        </w:rPr>
        <w:t>los siguientes temas</w:t>
      </w:r>
      <w:r w:rsidR="006F63AA" w:rsidRPr="000B6C17">
        <w:rPr>
          <w:rStyle w:val="normaltextrun"/>
          <w:rFonts w:ascii="Arial" w:hAnsi="Arial" w:cs="Arial"/>
          <w:color w:val="000000"/>
          <w:sz w:val="22"/>
          <w:szCs w:val="22"/>
          <w:lang w:val="es-ES"/>
        </w:rPr>
        <w:t xml:space="preserve">: </w:t>
      </w:r>
      <w:r w:rsidR="006F63AA" w:rsidRPr="000B6C17">
        <w:rPr>
          <w:rFonts w:ascii="Arial" w:hAnsi="Arial" w:cs="Arial"/>
          <w:color w:val="000000" w:themeColor="text1"/>
          <w:sz w:val="22"/>
          <w:szCs w:val="22"/>
          <w:lang w:val="es-ES"/>
        </w:rPr>
        <w:t xml:space="preserve"> </w:t>
      </w:r>
      <w:r w:rsidR="000B6C17" w:rsidRPr="000B6C17">
        <w:rPr>
          <w:rFonts w:ascii="Arial" w:hAnsi="Arial" w:cs="Arial"/>
          <w:color w:val="000000" w:themeColor="text1"/>
          <w:sz w:val="22"/>
          <w:szCs w:val="22"/>
          <w:lang w:val="es-ES"/>
        </w:rPr>
        <w:t>i) Principio de selección objetiva ii</w:t>
      </w:r>
      <w:r w:rsidR="0062342E" w:rsidRPr="000B6C17">
        <w:rPr>
          <w:rFonts w:ascii="Arial" w:hAnsi="Arial" w:cs="Arial"/>
          <w:color w:val="000000" w:themeColor="text1"/>
          <w:sz w:val="22"/>
          <w:szCs w:val="22"/>
          <w:lang w:val="es-ES"/>
        </w:rPr>
        <w:t xml:space="preserve">) </w:t>
      </w:r>
      <w:r w:rsidR="0062342E" w:rsidRPr="000B6C17">
        <w:rPr>
          <w:rFonts w:ascii="Arial" w:eastAsia="Calibri" w:hAnsi="Arial" w:cs="Arial"/>
          <w:sz w:val="22"/>
          <w:szCs w:val="22"/>
          <w:lang w:val="es-ES_tradnl"/>
        </w:rPr>
        <w:t>Declaratoria de desierta en los Procesos de Contratación</w:t>
      </w:r>
      <w:r w:rsidR="005314EB">
        <w:rPr>
          <w:rFonts w:ascii="Arial" w:eastAsia="Calibri" w:hAnsi="Arial" w:cs="Arial"/>
          <w:sz w:val="22"/>
          <w:szCs w:val="22"/>
          <w:lang w:val="es-ES_tradnl"/>
        </w:rPr>
        <w:t>.</w:t>
      </w:r>
    </w:p>
    <w:p w14:paraId="2E43548D" w14:textId="5598F15B" w:rsidR="005314EB" w:rsidRDefault="006F63AA" w:rsidP="0062342E">
      <w:pPr>
        <w:spacing w:before="120" w:line="276" w:lineRule="auto"/>
        <w:ind w:firstLine="708"/>
        <w:jc w:val="both"/>
        <w:rPr>
          <w:rFonts w:ascii="Arial" w:eastAsia="Arial" w:hAnsi="Arial" w:cs="Arial"/>
          <w:lang w:val="es-ES_tradnl"/>
        </w:rPr>
      </w:pPr>
      <w:r w:rsidRPr="00504597">
        <w:rPr>
          <w:rFonts w:ascii="Arial" w:eastAsia="Calibri" w:hAnsi="Arial" w:cs="Arial"/>
          <w:color w:val="000000" w:themeColor="text1"/>
          <w:lang w:val="es-ES"/>
        </w:rPr>
        <w:t xml:space="preserve">La Agencia Nacional de Contratación Pública </w:t>
      </w:r>
      <w:r>
        <w:rPr>
          <w:rFonts w:ascii="Arial" w:eastAsia="Calibri" w:hAnsi="Arial" w:cs="Arial"/>
          <w:color w:val="000000" w:themeColor="text1"/>
          <w:lang w:val="es-ES"/>
        </w:rPr>
        <w:t>–</w:t>
      </w:r>
      <w:r w:rsidRPr="00504597">
        <w:rPr>
          <w:rFonts w:ascii="Arial" w:eastAsia="Calibri" w:hAnsi="Arial" w:cs="Arial"/>
          <w:color w:val="000000" w:themeColor="text1"/>
          <w:lang w:val="es-ES"/>
        </w:rPr>
        <w:t xml:space="preserve"> Colombia Compra Eficiente,</w:t>
      </w:r>
      <w:r>
        <w:rPr>
          <w:rFonts w:ascii="Arial" w:eastAsia="Calibri" w:hAnsi="Arial" w:cs="Arial"/>
          <w:color w:val="000000" w:themeColor="text1"/>
          <w:lang w:val="es-ES"/>
        </w:rPr>
        <w:t xml:space="preserve"> en los</w:t>
      </w:r>
      <w:r w:rsidR="0062342E">
        <w:rPr>
          <w:rFonts w:ascii="Arial" w:eastAsia="Calibri" w:hAnsi="Arial" w:cs="Arial"/>
          <w:color w:val="000000" w:themeColor="text1"/>
          <w:lang w:val="es-ES"/>
        </w:rPr>
        <w:t xml:space="preserve"> </w:t>
      </w:r>
      <w:r w:rsidR="0062342E" w:rsidRPr="002C457E">
        <w:rPr>
          <w:rFonts w:ascii="Arial" w:eastAsia="Arial" w:hAnsi="Arial" w:cs="Arial"/>
          <w:lang w:val="es-ES_tradnl"/>
        </w:rPr>
        <w:t xml:space="preserve">conceptos: </w:t>
      </w:r>
      <w:r w:rsidR="005314EB" w:rsidRPr="008143FD">
        <w:rPr>
          <w:rStyle w:val="normaltextrun"/>
          <w:rFonts w:ascii="Arial" w:hAnsi="Arial" w:cs="Arial"/>
          <w:color w:val="000000"/>
          <w:shd w:val="clear" w:color="auto" w:fill="FFFFFF"/>
          <w:lang w:val="es-MX"/>
        </w:rPr>
        <w:t xml:space="preserve">con radicado No: 4201913000006471 del 28 de octubre de 2019, 4201912000006711 del 12 de noviembre de 2019 y 4201912000006496 del 15 de noviembre de 2019, las cuales se unificaron en el Concepto CU–060 del 24 de febrero de 2020, que se reitera, entre otros, en los conceptos: C-121 del 3 de marzo de 2020, C-160 del 3 de abril de 2020,  C-013 del 17 de abril de 2020,  C-465 del 27 de julio de 2020,  C-557 del 21 de agosto de 2020, C-573 del 27 de agosto de 2020, C-595 del 21 de septiembre de 2020, C-634 de 21 de noviembre de 2020, C–779 del 18 de enero de 2021, C–802 del 1 de febrero de 2021, C–010 del 16 de febrero de 2021, C–217 del 14 de mayo de 2021, C–250 del 2 de junio de 2021, C-728 de 26 de enero de 2022, C-285 del 20 de </w:t>
      </w:r>
      <w:r w:rsidR="005314EB" w:rsidRPr="008143FD">
        <w:rPr>
          <w:rStyle w:val="normaltextrun"/>
          <w:rFonts w:ascii="Arial" w:hAnsi="Arial" w:cs="Arial"/>
          <w:color w:val="000000"/>
          <w:shd w:val="clear" w:color="auto" w:fill="FFFFFF"/>
          <w:lang w:val="es-MX"/>
        </w:rPr>
        <w:lastRenderedPageBreak/>
        <w:t>mayo de 2022, C-751 del 17 de noviembre de 2022, C-785 del 21 de noviembre de 2022</w:t>
      </w:r>
      <w:r w:rsidR="005314EB" w:rsidRPr="008143FD">
        <w:rPr>
          <w:rFonts w:ascii="Arial" w:eastAsia="Calibri" w:hAnsi="Arial" w:cs="Arial"/>
          <w:vertAlign w:val="superscript"/>
          <w:lang w:val="es-ES_tradnl"/>
        </w:rPr>
        <w:footnoteReference w:id="2"/>
      </w:r>
      <w:r w:rsidR="005314EB">
        <w:rPr>
          <w:rStyle w:val="normaltextrun"/>
          <w:rFonts w:ascii="Arial" w:hAnsi="Arial" w:cs="Arial"/>
          <w:color w:val="000000"/>
          <w:shd w:val="clear" w:color="auto" w:fill="FFFFFF"/>
          <w:lang w:val="es-MX"/>
        </w:rPr>
        <w:t xml:space="preserve"> y conceptos C-032 de 2023 </w:t>
      </w:r>
      <w:r w:rsidR="005314EB" w:rsidRPr="008143FD">
        <w:rPr>
          <w:rStyle w:val="normaltextrun"/>
          <w:rFonts w:ascii="Arial" w:hAnsi="Arial" w:cs="Arial"/>
          <w:color w:val="000000"/>
          <w:shd w:val="clear" w:color="auto" w:fill="FFFFFF"/>
          <w:lang w:val="es-MX"/>
        </w:rPr>
        <w:t>se refirió sobre el principio de selección objetiva</w:t>
      </w:r>
      <w:r w:rsidR="005314EB">
        <w:rPr>
          <w:rStyle w:val="normaltextrun"/>
          <w:rFonts w:ascii="Arial" w:hAnsi="Arial" w:cs="Arial"/>
          <w:color w:val="000000"/>
          <w:shd w:val="clear" w:color="auto" w:fill="FFFFFF"/>
          <w:lang w:val="es-MX"/>
        </w:rPr>
        <w:t>.</w:t>
      </w:r>
    </w:p>
    <w:p w14:paraId="6008BF25" w14:textId="2A543433" w:rsidR="006F63AA" w:rsidRDefault="005314EB" w:rsidP="003E693C">
      <w:pPr>
        <w:spacing w:before="120" w:line="276" w:lineRule="auto"/>
        <w:ind w:firstLine="708"/>
        <w:contextualSpacing/>
        <w:jc w:val="both"/>
        <w:rPr>
          <w:rFonts w:ascii="Arial" w:eastAsia="Calibri" w:hAnsi="Arial" w:cs="Arial"/>
          <w:color w:val="000000" w:themeColor="text1"/>
          <w:lang w:val="es-ES_tradnl"/>
        </w:rPr>
      </w:pPr>
      <w:r>
        <w:rPr>
          <w:rFonts w:ascii="Arial" w:eastAsia="Arial" w:hAnsi="Arial" w:cs="Arial"/>
          <w:lang w:val="es-ES_tradnl"/>
        </w:rPr>
        <w:t xml:space="preserve">Por su parte en los conceptos </w:t>
      </w:r>
      <w:r w:rsidR="0062342E" w:rsidRPr="002C457E">
        <w:rPr>
          <w:rFonts w:ascii="Arial" w:eastAsia="Arial" w:hAnsi="Arial" w:cs="Arial"/>
          <w:lang w:val="es-ES_tradnl"/>
        </w:rPr>
        <w:t>C-237 del 26 de abril de 2022, C-250 del 4 de mayo de 2022, C-446 del 6 de julio de 2022</w:t>
      </w:r>
      <w:r w:rsidR="00630817">
        <w:rPr>
          <w:rFonts w:ascii="Arial" w:eastAsia="Arial" w:hAnsi="Arial" w:cs="Arial"/>
          <w:lang w:val="es-ES_tradnl"/>
        </w:rPr>
        <w:t>,</w:t>
      </w:r>
      <w:r w:rsidR="0062342E" w:rsidRPr="002C457E">
        <w:rPr>
          <w:rFonts w:ascii="Arial" w:eastAsia="Arial" w:hAnsi="Arial" w:cs="Arial"/>
          <w:lang w:val="es-ES_tradnl"/>
        </w:rPr>
        <w:t xml:space="preserve"> C-572 del 14 de septiembre </w:t>
      </w:r>
      <w:r w:rsidR="00630817">
        <w:rPr>
          <w:rFonts w:ascii="Arial" w:eastAsia="Arial" w:hAnsi="Arial" w:cs="Arial"/>
          <w:lang w:val="es-ES_tradnl"/>
        </w:rPr>
        <w:t>y C-687 del 20 de octubre de 2022</w:t>
      </w:r>
      <w:r w:rsidR="0062342E" w:rsidRPr="002C457E">
        <w:rPr>
          <w:rFonts w:ascii="Arial" w:eastAsia="Arial" w:hAnsi="Arial" w:cs="Arial"/>
          <w:lang w:val="es-ES_tradnl"/>
        </w:rPr>
        <w:t xml:space="preserve"> </w:t>
      </w:r>
      <w:r w:rsidR="0062342E" w:rsidRPr="002C457E">
        <w:rPr>
          <w:rFonts w:ascii="Arial" w:hAnsi="Arial" w:cs="Arial"/>
          <w:noProof/>
          <w:lang w:val="es-ES_tradnl"/>
        </w:rPr>
        <w:t>se ha pronunciado sobre la declaratoria de desierta en los procesos de contratación</w:t>
      </w:r>
      <w:r w:rsidR="0062342E">
        <w:rPr>
          <w:rFonts w:ascii="Arial" w:eastAsia="Calibri" w:hAnsi="Arial" w:cs="Arial"/>
          <w:color w:val="000000" w:themeColor="text1"/>
          <w:lang w:val="es-ES"/>
        </w:rPr>
        <w:t xml:space="preserve">. </w:t>
      </w:r>
      <w:r w:rsidR="006F63AA" w:rsidRPr="00504597">
        <w:rPr>
          <w:rFonts w:ascii="Arial" w:eastAsia="Calibri" w:hAnsi="Arial" w:cs="Arial"/>
          <w:color w:val="000000" w:themeColor="text1"/>
          <w:lang w:val="es-ES_tradnl"/>
        </w:rPr>
        <w:t xml:space="preserve">La tesis propuesta en estos conceptos se reitera a continuación y se complementa en lo pertinente. </w:t>
      </w:r>
    </w:p>
    <w:p w14:paraId="125FF8D2" w14:textId="212FD300" w:rsidR="005314EB" w:rsidRPr="005314EB" w:rsidRDefault="005314EB" w:rsidP="003E693C">
      <w:pPr>
        <w:pStyle w:val="Prrafodelista"/>
        <w:widowControl w:val="0"/>
        <w:numPr>
          <w:ilvl w:val="0"/>
          <w:numId w:val="17"/>
        </w:numPr>
        <w:autoSpaceDE w:val="0"/>
        <w:autoSpaceDN w:val="0"/>
        <w:spacing w:after="0" w:line="276" w:lineRule="auto"/>
        <w:ind w:left="284" w:hanging="283"/>
        <w:jc w:val="both"/>
        <w:rPr>
          <w:rFonts w:ascii="Arial" w:eastAsia="Times New Roman" w:hAnsi="Arial" w:cs="Arial"/>
          <w:b/>
          <w:bCs/>
          <w:shd w:val="clear" w:color="auto" w:fill="FFFFFF"/>
          <w:lang w:eastAsia="es-CO"/>
        </w:rPr>
      </w:pPr>
      <w:r w:rsidRPr="005314EB">
        <w:rPr>
          <w:rFonts w:ascii="Arial" w:eastAsia="Arial" w:hAnsi="Arial" w:cs="Arial"/>
          <w:b/>
          <w:bCs/>
          <w:lang w:val="es-MX"/>
        </w:rPr>
        <w:t>Principio de selección objetiva en la contratación estatal</w:t>
      </w:r>
    </w:p>
    <w:p w14:paraId="2AFBAD47" w14:textId="77777777" w:rsidR="003E693C" w:rsidRDefault="003E693C" w:rsidP="003E693C">
      <w:pPr>
        <w:spacing w:after="120" w:line="276" w:lineRule="auto"/>
        <w:contextualSpacing/>
        <w:jc w:val="both"/>
        <w:rPr>
          <w:rFonts w:ascii="Arial" w:eastAsia="Calibri" w:hAnsi="Arial" w:cs="Arial"/>
          <w:lang w:val="es-ES_tradnl"/>
        </w:rPr>
      </w:pPr>
    </w:p>
    <w:p w14:paraId="2BFD05B1" w14:textId="7B634930" w:rsidR="00ED6A9D" w:rsidRDefault="00ED6A9D" w:rsidP="003E693C">
      <w:pPr>
        <w:spacing w:after="120" w:line="276" w:lineRule="auto"/>
        <w:contextualSpacing/>
        <w:jc w:val="both"/>
        <w:rPr>
          <w:rFonts w:ascii="Arial" w:eastAsia="Calibri" w:hAnsi="Arial" w:cs="Arial"/>
          <w:lang w:val="es-ES_tradnl"/>
        </w:rPr>
      </w:pPr>
      <w:r w:rsidRPr="005E6CC0">
        <w:rPr>
          <w:rFonts w:ascii="Arial" w:eastAsia="Calibri" w:hAnsi="Arial" w:cs="Arial"/>
          <w:lang w:val="es-ES_tradnl"/>
        </w:rPr>
        <w:t xml:space="preserve">Uno de los principios transversales de los procedimientos de selección es el de selección objetiva.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24D02AEC" w14:textId="77777777" w:rsidR="00ED6A9D" w:rsidRDefault="00ED6A9D" w:rsidP="00ED6A9D">
      <w:pPr>
        <w:spacing w:after="0" w:line="276" w:lineRule="auto"/>
        <w:ind w:firstLine="708"/>
        <w:jc w:val="both"/>
        <w:rPr>
          <w:rFonts w:ascii="Arial" w:eastAsia="Calibri" w:hAnsi="Arial" w:cs="Arial"/>
          <w:lang w:val="es-ES_tradnl"/>
        </w:rPr>
      </w:pPr>
      <w:r w:rsidRPr="005E6CC0">
        <w:rPr>
          <w:rFonts w:ascii="Arial" w:eastAsia="Calibri" w:hAnsi="Arial" w:cs="Arial"/>
          <w:lang w:val="es-ES_tradnl"/>
        </w:rPr>
        <w:t>Si bien dentro de la historia de la contratación pública en Colombia, se vislumbran antecedentes normativos que consagraban dicho principio</w:t>
      </w:r>
      <w:r w:rsidRPr="005E6CC0">
        <w:rPr>
          <w:rFonts w:ascii="Arial" w:eastAsia="Calibri" w:hAnsi="Arial" w:cs="Arial"/>
          <w:lang w:val="es-ES_tradnl"/>
        </w:rPr>
        <w:footnoteReference w:id="3"/>
      </w:r>
      <w:r w:rsidRPr="005E6CC0">
        <w:rPr>
          <w:rFonts w:ascii="Arial" w:eastAsia="Calibri" w:hAnsi="Arial" w:cs="Arial"/>
          <w:lang w:val="es-ES_tradnl"/>
        </w:rPr>
        <w:t>, en la actualidad la disposición legal que lo prevé de manera más clara y contundente es el artículo 5 de la Ley 1150 de 2007, modificado por el artículo 88 de la Ley 1474 de 2011 y por el artículo 5 de la Ley 1882 de 2018; enunciado normativo en el que se lee:</w:t>
      </w:r>
    </w:p>
    <w:p w14:paraId="610B6E7B" w14:textId="77777777" w:rsidR="00ED6A9D" w:rsidRPr="005E6CC0" w:rsidRDefault="00ED6A9D" w:rsidP="00ED6A9D">
      <w:pPr>
        <w:spacing w:after="0" w:line="276" w:lineRule="auto"/>
        <w:ind w:firstLine="708"/>
        <w:jc w:val="both"/>
        <w:rPr>
          <w:rFonts w:ascii="Arial" w:eastAsia="Calibri" w:hAnsi="Arial" w:cs="Arial"/>
          <w:lang w:val="es-ES_tradnl"/>
        </w:rPr>
      </w:pPr>
    </w:p>
    <w:p w14:paraId="0E9A6138" w14:textId="77777777" w:rsidR="00ED6A9D" w:rsidRDefault="00ED6A9D" w:rsidP="00ED6A9D">
      <w:pPr>
        <w:spacing w:after="0" w:line="240" w:lineRule="auto"/>
        <w:ind w:left="709" w:right="709"/>
        <w:jc w:val="both"/>
        <w:rPr>
          <w:rFonts w:ascii="Arial" w:eastAsia="Calibri" w:hAnsi="Arial" w:cs="Arial"/>
          <w:sz w:val="21"/>
          <w:szCs w:val="21"/>
          <w:lang w:val="es-ES_tradnl"/>
        </w:rPr>
      </w:pPr>
      <w:r>
        <w:rPr>
          <w:rFonts w:ascii="Arial" w:eastAsia="Calibri" w:hAnsi="Arial" w:cs="Arial"/>
          <w:sz w:val="21"/>
          <w:szCs w:val="21"/>
          <w:lang w:val="es-ES_tradnl"/>
        </w:rPr>
        <w:t>“</w:t>
      </w:r>
      <w:r w:rsidRPr="008143FD">
        <w:rPr>
          <w:rFonts w:ascii="Arial" w:eastAsia="Calibri" w:hAnsi="Arial" w:cs="Arial"/>
          <w:sz w:val="21"/>
          <w:szCs w:val="21"/>
          <w:lang w:val="es-ES_tradnl"/>
        </w:rPr>
        <w:t xml:space="preserve">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w:t>
      </w:r>
      <w:r w:rsidRPr="008143FD">
        <w:rPr>
          <w:rFonts w:ascii="Arial" w:eastAsia="Calibri" w:hAnsi="Arial" w:cs="Arial"/>
          <w:sz w:val="21"/>
          <w:szCs w:val="21"/>
          <w:lang w:val="es-ES_tradnl"/>
        </w:rPr>
        <w:lastRenderedPageBreak/>
        <w:t xml:space="preserve">factores de escogencia y calificación que establezcan las entidades en los pliegos de condiciones o sus </w:t>
      </w:r>
      <w:proofErr w:type="gramStart"/>
      <w:r w:rsidRPr="008143FD">
        <w:rPr>
          <w:rFonts w:ascii="Arial" w:eastAsia="Calibri" w:hAnsi="Arial" w:cs="Arial"/>
          <w:sz w:val="21"/>
          <w:szCs w:val="21"/>
          <w:lang w:val="es-ES_tradnl"/>
        </w:rPr>
        <w:t>equivalentes,</w:t>
      </w:r>
      <w:proofErr w:type="gramEnd"/>
      <w:r w:rsidRPr="008143FD">
        <w:rPr>
          <w:rFonts w:ascii="Arial" w:eastAsia="Calibri" w:hAnsi="Arial" w:cs="Arial"/>
          <w:sz w:val="21"/>
          <w:szCs w:val="21"/>
          <w:lang w:val="es-ES_tradnl"/>
        </w:rPr>
        <w:t xml:space="preserve"> tendrán en cuenta los siguientes criterios:</w:t>
      </w:r>
    </w:p>
    <w:p w14:paraId="53905079" w14:textId="77777777" w:rsidR="00ED6A9D" w:rsidRPr="008143FD" w:rsidRDefault="00ED6A9D" w:rsidP="00ED6A9D">
      <w:pPr>
        <w:spacing w:after="0" w:line="240" w:lineRule="auto"/>
        <w:ind w:left="709" w:right="709"/>
        <w:jc w:val="both"/>
        <w:rPr>
          <w:rFonts w:ascii="Arial" w:eastAsia="Calibri" w:hAnsi="Arial" w:cs="Arial"/>
          <w:sz w:val="21"/>
          <w:szCs w:val="21"/>
          <w:lang w:val="es-ES_tradnl"/>
        </w:rPr>
      </w:pPr>
    </w:p>
    <w:p w14:paraId="626C1576" w14:textId="77777777" w:rsidR="00ED6A9D" w:rsidRPr="008143FD" w:rsidRDefault="00ED6A9D" w:rsidP="00ED6A9D">
      <w:pPr>
        <w:spacing w:after="0" w:line="240" w:lineRule="auto"/>
        <w:ind w:left="709" w:right="709"/>
        <w:jc w:val="both"/>
        <w:rPr>
          <w:rFonts w:ascii="Arial" w:eastAsia="Calibri" w:hAnsi="Arial" w:cs="Arial"/>
          <w:sz w:val="21"/>
          <w:szCs w:val="21"/>
          <w:lang w:val="es-ES_tradnl"/>
        </w:rPr>
      </w:pPr>
      <w:r w:rsidRPr="008143FD">
        <w:rPr>
          <w:rFonts w:ascii="Arial" w:eastAsia="Calibri" w:hAnsi="Arial" w:cs="Arial"/>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67803219" w14:textId="77777777" w:rsidR="00ED6A9D" w:rsidRPr="008143FD" w:rsidRDefault="00ED6A9D" w:rsidP="00ED6A9D">
      <w:pPr>
        <w:spacing w:after="0" w:line="240" w:lineRule="auto"/>
        <w:ind w:left="709" w:right="709" w:firstLine="708"/>
        <w:jc w:val="both"/>
        <w:rPr>
          <w:rFonts w:ascii="Arial" w:eastAsia="Calibri" w:hAnsi="Arial" w:cs="Arial"/>
          <w:sz w:val="21"/>
          <w:szCs w:val="21"/>
          <w:lang w:val="es-ES_tradnl"/>
        </w:rPr>
      </w:pPr>
    </w:p>
    <w:p w14:paraId="3C0EC7F1" w14:textId="77777777" w:rsidR="00ED6A9D" w:rsidRPr="008143FD" w:rsidRDefault="00ED6A9D" w:rsidP="00ED6A9D">
      <w:pPr>
        <w:spacing w:after="0" w:line="240" w:lineRule="auto"/>
        <w:ind w:left="709" w:right="709"/>
        <w:jc w:val="both"/>
        <w:rPr>
          <w:rFonts w:ascii="Arial" w:eastAsia="Calibri" w:hAnsi="Arial" w:cs="Arial"/>
          <w:sz w:val="21"/>
          <w:szCs w:val="21"/>
          <w:lang w:val="es-ES_tradnl"/>
        </w:rPr>
      </w:pPr>
      <w:r w:rsidRPr="008143FD">
        <w:rPr>
          <w:rFonts w:ascii="Arial" w:eastAsia="Calibri" w:hAnsi="Arial" w:cs="Arial"/>
          <w:sz w:val="21"/>
          <w:szCs w:val="21"/>
          <w:lang w:val="es-ES_tradnl"/>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1E1940BE" w14:textId="77777777" w:rsidR="00ED6A9D" w:rsidRPr="008143FD" w:rsidRDefault="00ED6A9D" w:rsidP="00ED6A9D">
      <w:pPr>
        <w:spacing w:after="0" w:line="240" w:lineRule="auto"/>
        <w:ind w:left="709" w:right="709" w:firstLine="708"/>
        <w:jc w:val="both"/>
        <w:rPr>
          <w:rFonts w:ascii="Arial" w:eastAsia="Calibri" w:hAnsi="Arial" w:cs="Arial"/>
          <w:sz w:val="21"/>
          <w:szCs w:val="21"/>
          <w:lang w:val="es-ES_tradnl"/>
        </w:rPr>
      </w:pPr>
    </w:p>
    <w:p w14:paraId="49D58AD8" w14:textId="77777777" w:rsidR="00ED6A9D" w:rsidRPr="008143FD" w:rsidRDefault="00ED6A9D" w:rsidP="00ED6A9D">
      <w:pPr>
        <w:spacing w:after="0" w:line="240" w:lineRule="auto"/>
        <w:ind w:left="709" w:right="709"/>
        <w:jc w:val="both"/>
        <w:rPr>
          <w:rFonts w:ascii="Arial" w:eastAsia="Calibri" w:hAnsi="Arial" w:cs="Arial"/>
          <w:sz w:val="21"/>
          <w:szCs w:val="21"/>
          <w:lang w:val="es-ES_tradnl"/>
        </w:rPr>
      </w:pPr>
      <w:r w:rsidRPr="008143FD">
        <w:rPr>
          <w:rFonts w:ascii="Arial" w:eastAsia="Calibri" w:hAnsi="Arial" w:cs="Arial"/>
          <w:sz w:val="21"/>
          <w:szCs w:val="21"/>
          <w:lang w:val="es-ES_tradnl"/>
        </w:rPr>
        <w:t>En los procesos de selección en los que se tenga en cuenta los factores técnicos y económicos, la oferta más ventajosa será la que resulte de aplicar alguna de las siguientes alternativas:</w:t>
      </w:r>
    </w:p>
    <w:p w14:paraId="203C67CC" w14:textId="77777777" w:rsidR="00ED6A9D" w:rsidRPr="008143FD" w:rsidRDefault="00ED6A9D" w:rsidP="00ED6A9D">
      <w:pPr>
        <w:spacing w:after="0" w:line="240" w:lineRule="auto"/>
        <w:ind w:left="709" w:right="709" w:firstLine="708"/>
        <w:jc w:val="both"/>
        <w:rPr>
          <w:rFonts w:ascii="Arial" w:eastAsia="Calibri" w:hAnsi="Arial" w:cs="Arial"/>
          <w:sz w:val="21"/>
          <w:szCs w:val="21"/>
          <w:lang w:val="es-ES_tradnl"/>
        </w:rPr>
      </w:pPr>
    </w:p>
    <w:p w14:paraId="4866C318" w14:textId="77777777" w:rsidR="00ED6A9D" w:rsidRPr="008143FD" w:rsidRDefault="00ED6A9D" w:rsidP="00ED6A9D">
      <w:pPr>
        <w:spacing w:after="120" w:line="240" w:lineRule="auto"/>
        <w:ind w:left="709" w:right="709"/>
        <w:jc w:val="both"/>
        <w:rPr>
          <w:rFonts w:ascii="Arial" w:eastAsia="Calibri" w:hAnsi="Arial" w:cs="Arial"/>
          <w:sz w:val="21"/>
          <w:szCs w:val="21"/>
          <w:lang w:val="es-ES_tradnl"/>
        </w:rPr>
      </w:pPr>
      <w:r w:rsidRPr="008143FD">
        <w:rPr>
          <w:rFonts w:ascii="Arial" w:eastAsia="Calibri" w:hAnsi="Arial" w:cs="Arial"/>
          <w:sz w:val="21"/>
          <w:szCs w:val="21"/>
          <w:lang w:val="es-ES_tradnl"/>
        </w:rPr>
        <w:t>a) La ponderación de los elementos de calidad y precio soportados en puntajes o fórmulas señaladas en el pliego de condiciones; o</w:t>
      </w:r>
    </w:p>
    <w:p w14:paraId="29573C39" w14:textId="77777777" w:rsidR="00ED6A9D" w:rsidRPr="008143FD" w:rsidRDefault="00ED6A9D" w:rsidP="00ED6A9D">
      <w:pPr>
        <w:spacing w:after="0" w:line="240" w:lineRule="auto"/>
        <w:ind w:left="709" w:right="709"/>
        <w:jc w:val="both"/>
        <w:rPr>
          <w:rFonts w:ascii="Arial" w:eastAsia="Calibri" w:hAnsi="Arial" w:cs="Arial"/>
          <w:sz w:val="21"/>
          <w:szCs w:val="21"/>
          <w:lang w:val="es-ES_tradnl"/>
        </w:rPr>
      </w:pPr>
      <w:r w:rsidRPr="008143FD">
        <w:rPr>
          <w:rFonts w:ascii="Arial" w:eastAsia="Calibri" w:hAnsi="Arial" w:cs="Arial"/>
          <w:sz w:val="21"/>
          <w:szCs w:val="21"/>
          <w:lang w:val="es-ES_tradnl"/>
        </w:rPr>
        <w:t>b) La ponderación de los elementos de calidad y precio que representen la mejor relación de costo-beneficio para la entidad.</w:t>
      </w:r>
    </w:p>
    <w:p w14:paraId="12AE1BA5" w14:textId="77777777" w:rsidR="00ED6A9D" w:rsidRPr="008143FD" w:rsidRDefault="00ED6A9D" w:rsidP="00ED6A9D">
      <w:pPr>
        <w:spacing w:after="0" w:line="240" w:lineRule="auto"/>
        <w:ind w:left="709" w:right="709" w:firstLine="708"/>
        <w:jc w:val="both"/>
        <w:rPr>
          <w:rFonts w:ascii="Arial" w:eastAsia="Calibri" w:hAnsi="Arial" w:cs="Arial"/>
          <w:sz w:val="21"/>
          <w:szCs w:val="21"/>
          <w:lang w:val="es-ES_tradnl"/>
        </w:rPr>
      </w:pPr>
    </w:p>
    <w:p w14:paraId="3C67409D" w14:textId="77777777" w:rsidR="00ED6A9D" w:rsidRPr="008143FD" w:rsidRDefault="00ED6A9D" w:rsidP="00ED6A9D">
      <w:pPr>
        <w:spacing w:after="0" w:line="240" w:lineRule="auto"/>
        <w:ind w:left="709" w:right="709"/>
        <w:jc w:val="both"/>
        <w:rPr>
          <w:rFonts w:ascii="Arial" w:eastAsia="Calibri" w:hAnsi="Arial" w:cs="Arial"/>
          <w:sz w:val="21"/>
          <w:szCs w:val="21"/>
          <w:lang w:val="es-ES_tradnl"/>
        </w:rPr>
      </w:pPr>
      <w:r w:rsidRPr="008143FD">
        <w:rPr>
          <w:rFonts w:ascii="Arial" w:eastAsia="Calibri" w:hAnsi="Arial" w:cs="Arial"/>
          <w:sz w:val="21"/>
          <w:szCs w:val="21"/>
          <w:lang w:val="es-ES_tradnl"/>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60269F4D" w14:textId="77777777" w:rsidR="00ED6A9D" w:rsidRPr="008143FD" w:rsidRDefault="00ED6A9D" w:rsidP="00ED6A9D">
      <w:pPr>
        <w:spacing w:after="0" w:line="240" w:lineRule="auto"/>
        <w:ind w:left="709" w:right="709" w:firstLine="708"/>
        <w:jc w:val="both"/>
        <w:rPr>
          <w:rFonts w:ascii="Arial" w:eastAsia="Calibri" w:hAnsi="Arial" w:cs="Arial"/>
          <w:sz w:val="21"/>
          <w:szCs w:val="21"/>
          <w:lang w:val="es-ES_tradnl"/>
        </w:rPr>
      </w:pPr>
    </w:p>
    <w:p w14:paraId="44BA25C3" w14:textId="77777777" w:rsidR="00ED6A9D" w:rsidRPr="008143FD" w:rsidRDefault="00ED6A9D" w:rsidP="00ED6A9D">
      <w:pPr>
        <w:spacing w:after="120" w:line="240" w:lineRule="auto"/>
        <w:ind w:left="709" w:right="709"/>
        <w:jc w:val="both"/>
        <w:rPr>
          <w:rFonts w:ascii="Arial" w:eastAsia="Calibri" w:hAnsi="Arial" w:cs="Arial"/>
          <w:sz w:val="21"/>
          <w:szCs w:val="21"/>
          <w:lang w:val="es-ES_tradnl"/>
        </w:rPr>
      </w:pPr>
      <w:r w:rsidRPr="008143FD">
        <w:rPr>
          <w:rFonts w:ascii="Arial" w:eastAsia="Calibri" w:hAnsi="Arial" w:cs="Arial"/>
          <w:sz w:val="21"/>
          <w:szCs w:val="21"/>
          <w:lang w:val="es-ES_tradnl"/>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34478D0C" w14:textId="77777777" w:rsidR="00ED6A9D" w:rsidRPr="008143FD" w:rsidRDefault="00ED6A9D" w:rsidP="00ED6A9D">
      <w:pPr>
        <w:spacing w:after="0" w:line="240" w:lineRule="auto"/>
        <w:ind w:left="709" w:right="709"/>
        <w:jc w:val="both"/>
        <w:rPr>
          <w:rFonts w:ascii="Arial" w:eastAsia="Calibri" w:hAnsi="Arial" w:cs="Arial"/>
          <w:sz w:val="21"/>
          <w:szCs w:val="21"/>
          <w:lang w:val="es-ES_tradnl"/>
        </w:rPr>
      </w:pPr>
      <w:r w:rsidRPr="008143FD">
        <w:rPr>
          <w:rFonts w:ascii="Arial" w:eastAsia="Calibri" w:hAnsi="Arial" w:cs="Arial"/>
          <w:sz w:val="21"/>
          <w:szCs w:val="21"/>
          <w:lang w:val="es-ES_tradnl"/>
        </w:rPr>
        <w:lastRenderedPageBreak/>
        <w:t>En ningún caso se podrá incluir el precio, como factor de escogencia para la selección de consultores.</w:t>
      </w:r>
    </w:p>
    <w:p w14:paraId="37FACBB8" w14:textId="77777777" w:rsidR="00ED6A9D" w:rsidRPr="008143FD" w:rsidRDefault="00ED6A9D" w:rsidP="00ED6A9D">
      <w:pPr>
        <w:spacing w:after="120" w:line="240" w:lineRule="auto"/>
        <w:ind w:left="709" w:right="709" w:firstLine="708"/>
        <w:jc w:val="both"/>
        <w:rPr>
          <w:rFonts w:ascii="Arial" w:eastAsia="Calibri" w:hAnsi="Arial" w:cs="Arial"/>
          <w:sz w:val="21"/>
          <w:szCs w:val="21"/>
          <w:lang w:val="es-ES_tradnl"/>
        </w:rPr>
      </w:pPr>
    </w:p>
    <w:p w14:paraId="2B661AD3" w14:textId="77777777" w:rsidR="00ED6A9D" w:rsidRDefault="00ED6A9D" w:rsidP="00ED6A9D">
      <w:pPr>
        <w:spacing w:after="0" w:line="240" w:lineRule="auto"/>
        <w:ind w:left="709" w:right="709"/>
        <w:jc w:val="both"/>
        <w:rPr>
          <w:rFonts w:ascii="Arial" w:eastAsia="Calibri" w:hAnsi="Arial" w:cs="Arial"/>
          <w:sz w:val="21"/>
          <w:szCs w:val="21"/>
          <w:lang w:val="es-ES_tradnl"/>
        </w:rPr>
      </w:pPr>
      <w:r w:rsidRPr="008143FD">
        <w:rPr>
          <w:rFonts w:ascii="Arial" w:eastAsia="Calibri" w:hAnsi="Arial" w:cs="Arial"/>
          <w:sz w:val="21"/>
          <w:szCs w:val="21"/>
          <w:lang w:val="es-ES_tradnl"/>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8143FD">
        <w:rPr>
          <w:rFonts w:ascii="Arial" w:eastAsia="Calibri" w:hAnsi="Arial" w:cs="Arial"/>
          <w:sz w:val="21"/>
          <w:szCs w:val="21"/>
          <w:lang w:val="es-ES_tradnl"/>
        </w:rPr>
        <w:t>puntaje,</w:t>
      </w:r>
      <w:proofErr w:type="gramEnd"/>
      <w:r w:rsidRPr="008143FD">
        <w:rPr>
          <w:rFonts w:ascii="Arial" w:eastAsia="Calibri" w:hAnsi="Arial" w:cs="Arial"/>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071FE759" w14:textId="77777777" w:rsidR="00ED6A9D" w:rsidRPr="008143FD" w:rsidRDefault="00ED6A9D" w:rsidP="00ED6A9D">
      <w:pPr>
        <w:spacing w:after="0" w:line="240" w:lineRule="auto"/>
        <w:ind w:left="709" w:right="709" w:firstLine="708"/>
        <w:jc w:val="both"/>
        <w:rPr>
          <w:rFonts w:ascii="Arial" w:eastAsia="Calibri" w:hAnsi="Arial" w:cs="Arial"/>
          <w:sz w:val="21"/>
          <w:szCs w:val="21"/>
          <w:lang w:val="es-ES_tradnl"/>
        </w:rPr>
      </w:pPr>
    </w:p>
    <w:p w14:paraId="6DFAFAE0" w14:textId="77777777" w:rsidR="00ED6A9D" w:rsidRPr="008143FD" w:rsidRDefault="00ED6A9D" w:rsidP="00ED6A9D">
      <w:pPr>
        <w:spacing w:after="0" w:line="240" w:lineRule="auto"/>
        <w:ind w:left="709" w:right="709"/>
        <w:jc w:val="both"/>
        <w:rPr>
          <w:rFonts w:ascii="Arial" w:eastAsia="Calibri" w:hAnsi="Arial" w:cs="Arial"/>
          <w:sz w:val="21"/>
          <w:szCs w:val="21"/>
          <w:lang w:val="es-ES_tradnl"/>
        </w:rPr>
      </w:pPr>
      <w:r w:rsidRPr="008143FD">
        <w:rPr>
          <w:rFonts w:ascii="Arial" w:eastAsia="Calibri" w:hAnsi="Arial" w:cs="Arial"/>
          <w:sz w:val="21"/>
          <w:szCs w:val="21"/>
          <w:lang w:val="es-ES_tradnl"/>
        </w:rPr>
        <w:t>Durante el término otorgado para subsanar las ofertas, los proponentes no podrán acreditar circunstancias ocurridas con posterioridad al cierre del proceso.</w:t>
      </w:r>
    </w:p>
    <w:p w14:paraId="50775065" w14:textId="77777777" w:rsidR="00ED6A9D" w:rsidRPr="008143FD" w:rsidRDefault="00ED6A9D" w:rsidP="00ED6A9D">
      <w:pPr>
        <w:spacing w:after="0" w:line="240" w:lineRule="auto"/>
        <w:ind w:left="709" w:right="709" w:firstLine="708"/>
        <w:jc w:val="both"/>
        <w:rPr>
          <w:rFonts w:ascii="Arial" w:eastAsia="Calibri" w:hAnsi="Arial" w:cs="Arial"/>
          <w:sz w:val="21"/>
          <w:szCs w:val="21"/>
          <w:lang w:val="es-ES_tradnl"/>
        </w:rPr>
      </w:pPr>
    </w:p>
    <w:p w14:paraId="0C5417A0" w14:textId="77777777" w:rsidR="00ED6A9D" w:rsidRPr="008143FD" w:rsidRDefault="00ED6A9D" w:rsidP="00ED6A9D">
      <w:pPr>
        <w:spacing w:after="0" w:line="240" w:lineRule="auto"/>
        <w:ind w:left="709" w:right="709"/>
        <w:jc w:val="both"/>
        <w:rPr>
          <w:rFonts w:ascii="Arial" w:eastAsia="Calibri" w:hAnsi="Arial" w:cs="Arial"/>
          <w:sz w:val="21"/>
          <w:szCs w:val="21"/>
          <w:lang w:val="es-ES_tradnl"/>
        </w:rPr>
      </w:pPr>
      <w:r w:rsidRPr="008143FD">
        <w:rPr>
          <w:rFonts w:ascii="Arial" w:eastAsia="Calibri" w:hAnsi="Arial" w:cs="Arial"/>
          <w:sz w:val="21"/>
          <w:szCs w:val="21"/>
          <w:lang w:val="es-ES_tradnl"/>
        </w:rPr>
        <w:t>PARÁGRAFO 2o. Las certificaciones de sistemas de gestión de calidad no serán objeto de calificación, ni podrán establecerse como documento habilitante para participar en licitaciones o concursos.</w:t>
      </w:r>
    </w:p>
    <w:p w14:paraId="111AFBF1" w14:textId="77777777" w:rsidR="00ED6A9D" w:rsidRPr="008143FD" w:rsidRDefault="00ED6A9D" w:rsidP="00ED6A9D">
      <w:pPr>
        <w:spacing w:after="0" w:line="240" w:lineRule="auto"/>
        <w:ind w:left="709" w:right="709" w:firstLine="708"/>
        <w:jc w:val="both"/>
        <w:rPr>
          <w:rFonts w:ascii="Arial" w:eastAsia="Calibri" w:hAnsi="Arial" w:cs="Arial"/>
          <w:sz w:val="21"/>
          <w:szCs w:val="21"/>
          <w:lang w:val="es-ES_tradnl"/>
        </w:rPr>
      </w:pPr>
    </w:p>
    <w:p w14:paraId="53400379" w14:textId="77777777" w:rsidR="00ED6A9D" w:rsidRPr="008143FD" w:rsidRDefault="00ED6A9D" w:rsidP="00ED6A9D">
      <w:pPr>
        <w:spacing w:after="0" w:line="240" w:lineRule="auto"/>
        <w:ind w:left="709" w:right="709"/>
        <w:jc w:val="both"/>
        <w:rPr>
          <w:rFonts w:ascii="Arial" w:eastAsia="Calibri" w:hAnsi="Arial" w:cs="Arial"/>
          <w:sz w:val="21"/>
          <w:szCs w:val="21"/>
          <w:lang w:val="es-ES_tradnl"/>
        </w:rPr>
      </w:pPr>
      <w:r w:rsidRPr="008143FD">
        <w:rPr>
          <w:rFonts w:ascii="Arial" w:eastAsia="Calibri" w:hAnsi="Arial" w:cs="Arial"/>
          <w:sz w:val="21"/>
          <w:szCs w:val="21"/>
          <w:lang w:val="es-ES_tradnl"/>
        </w:rPr>
        <w:t xml:space="preserve">PARÁGRAFO 3o. &lt;Parágrafo adicionado por el artículo 5 de la Ley 1882 de 2018. El nuevo texto es el siguiente:&gt; La no entrega de la garantía de seriedad junto con la propuesta no será subsanable y será causal de rechazo de </w:t>
      </w:r>
      <w:proofErr w:type="gramStart"/>
      <w:r w:rsidRPr="008143FD">
        <w:rPr>
          <w:rFonts w:ascii="Arial" w:eastAsia="Calibri" w:hAnsi="Arial" w:cs="Arial"/>
          <w:sz w:val="21"/>
          <w:szCs w:val="21"/>
          <w:lang w:val="es-ES_tradnl"/>
        </w:rPr>
        <w:t>la misma</w:t>
      </w:r>
      <w:proofErr w:type="gramEnd"/>
      <w:r w:rsidRPr="008143FD">
        <w:rPr>
          <w:rFonts w:ascii="Arial" w:eastAsia="Calibri" w:hAnsi="Arial" w:cs="Arial"/>
          <w:sz w:val="21"/>
          <w:szCs w:val="21"/>
          <w:lang w:val="es-ES_tradnl"/>
        </w:rPr>
        <w:t>.</w:t>
      </w:r>
    </w:p>
    <w:p w14:paraId="59D21844" w14:textId="77777777" w:rsidR="00ED6A9D" w:rsidRPr="008143FD" w:rsidRDefault="00ED6A9D" w:rsidP="00ED6A9D">
      <w:pPr>
        <w:spacing w:after="0" w:line="240" w:lineRule="auto"/>
        <w:ind w:left="709" w:right="709" w:firstLine="708"/>
        <w:jc w:val="both"/>
        <w:rPr>
          <w:rFonts w:ascii="Arial" w:eastAsia="Calibri" w:hAnsi="Arial" w:cs="Arial"/>
          <w:sz w:val="21"/>
          <w:szCs w:val="21"/>
          <w:lang w:val="es-ES_tradnl"/>
        </w:rPr>
      </w:pPr>
    </w:p>
    <w:p w14:paraId="6BF9C457" w14:textId="77777777" w:rsidR="00ED6A9D" w:rsidRPr="008143FD" w:rsidRDefault="00ED6A9D" w:rsidP="00ED6A9D">
      <w:pPr>
        <w:spacing w:after="0" w:line="240" w:lineRule="auto"/>
        <w:ind w:left="709" w:right="709"/>
        <w:jc w:val="both"/>
        <w:rPr>
          <w:rFonts w:ascii="Arial" w:eastAsia="Calibri" w:hAnsi="Arial" w:cs="Arial"/>
          <w:sz w:val="21"/>
          <w:szCs w:val="21"/>
          <w:lang w:val="es-ES_tradnl"/>
        </w:rPr>
      </w:pPr>
      <w:r w:rsidRPr="008143FD">
        <w:rPr>
          <w:rFonts w:ascii="Arial" w:eastAsia="Calibri" w:hAnsi="Arial" w:cs="Arial"/>
          <w:sz w:val="21"/>
          <w:szCs w:val="21"/>
          <w:lang w:val="es-ES_tradnl"/>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67EE1D10" w14:textId="77777777" w:rsidR="00ED6A9D" w:rsidRPr="008143FD" w:rsidRDefault="00ED6A9D" w:rsidP="00ED6A9D">
      <w:pPr>
        <w:spacing w:after="0" w:line="240" w:lineRule="auto"/>
        <w:ind w:left="709" w:right="709" w:firstLine="708"/>
        <w:jc w:val="both"/>
        <w:rPr>
          <w:rFonts w:ascii="Arial" w:eastAsia="Calibri" w:hAnsi="Arial" w:cs="Arial"/>
          <w:sz w:val="21"/>
          <w:szCs w:val="21"/>
          <w:lang w:val="es-ES_tradnl"/>
        </w:rPr>
      </w:pPr>
    </w:p>
    <w:p w14:paraId="34DDD88A" w14:textId="77777777" w:rsidR="00ED6A9D" w:rsidRPr="005E6CC0" w:rsidRDefault="00ED6A9D" w:rsidP="00ED6A9D">
      <w:pPr>
        <w:spacing w:after="0" w:line="240" w:lineRule="auto"/>
        <w:ind w:left="709" w:right="709"/>
        <w:jc w:val="both"/>
        <w:rPr>
          <w:rFonts w:ascii="Arial" w:eastAsia="Calibri" w:hAnsi="Arial" w:cs="Arial"/>
          <w:lang w:val="es-ES_tradnl"/>
        </w:rPr>
      </w:pPr>
      <w:r w:rsidRPr="008143FD">
        <w:rPr>
          <w:rFonts w:ascii="Arial" w:eastAsia="Calibri" w:hAnsi="Arial" w:cs="Arial"/>
          <w:sz w:val="21"/>
          <w:szCs w:val="21"/>
          <w:lang w:val="es-ES_tradnl"/>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Pr>
          <w:rFonts w:ascii="Arial" w:eastAsia="Calibri" w:hAnsi="Arial" w:cs="Arial"/>
          <w:sz w:val="21"/>
          <w:szCs w:val="21"/>
          <w:lang w:val="es-ES_tradnl"/>
        </w:rPr>
        <w:t>”</w:t>
      </w:r>
      <w:r w:rsidRPr="005E6CC0">
        <w:rPr>
          <w:rFonts w:ascii="Arial" w:eastAsia="Calibri" w:hAnsi="Arial" w:cs="Arial"/>
          <w:lang w:val="es-ES_tradnl"/>
        </w:rPr>
        <w:t xml:space="preserve"> </w:t>
      </w:r>
    </w:p>
    <w:p w14:paraId="3DC8E4EC" w14:textId="77777777" w:rsidR="00ED6A9D" w:rsidRPr="005E6CC0" w:rsidRDefault="00ED6A9D" w:rsidP="00ED6A9D">
      <w:pPr>
        <w:spacing w:after="0" w:line="276" w:lineRule="auto"/>
        <w:ind w:firstLine="708"/>
        <w:jc w:val="both"/>
        <w:rPr>
          <w:rFonts w:ascii="Arial" w:eastAsia="Calibri" w:hAnsi="Arial" w:cs="Arial"/>
          <w:lang w:val="es-ES_tradnl"/>
        </w:rPr>
      </w:pPr>
    </w:p>
    <w:p w14:paraId="5F0313D0" w14:textId="77777777" w:rsidR="00ED6A9D" w:rsidRPr="005E6CC0" w:rsidRDefault="00ED6A9D" w:rsidP="00ED6A9D">
      <w:pPr>
        <w:spacing w:after="120" w:line="276" w:lineRule="auto"/>
        <w:ind w:firstLine="708"/>
        <w:jc w:val="both"/>
        <w:rPr>
          <w:rFonts w:ascii="Arial" w:eastAsia="Calibri" w:hAnsi="Arial" w:cs="Arial"/>
          <w:lang w:val="es-ES_tradnl"/>
        </w:rPr>
      </w:pPr>
      <w:r w:rsidRPr="005E6CC0">
        <w:rPr>
          <w:rFonts w:ascii="Arial" w:eastAsia="Calibri" w:hAnsi="Arial" w:cs="Arial"/>
          <w:lang w:val="es-ES_tradnl"/>
        </w:rPr>
        <w:t xml:space="preserve">De acuerdo con el artículo 5 de la Ley 1150 de 2007, y conforme con lo expresado en el concepto C–166 del 23 de abril de 2021, para esta entidad el deber de selección objetiva supone que las entidades escojan en los procesos de selección el </w:t>
      </w:r>
      <w:r>
        <w:rPr>
          <w:rFonts w:ascii="Arial" w:eastAsia="Calibri" w:hAnsi="Arial" w:cs="Arial"/>
          <w:lang w:val="es-ES_tradnl"/>
        </w:rPr>
        <w:t>“</w:t>
      </w:r>
      <w:r w:rsidRPr="005E6CC0">
        <w:rPr>
          <w:rFonts w:ascii="Arial" w:eastAsia="Calibri" w:hAnsi="Arial" w:cs="Arial"/>
          <w:lang w:val="es-ES_tradnl"/>
        </w:rPr>
        <w:t>[…] ofrecimiento más favorable a la entidad y a los fines que ella busca […]</w:t>
      </w:r>
      <w:r>
        <w:rPr>
          <w:rFonts w:ascii="Arial" w:eastAsia="Calibri" w:hAnsi="Arial" w:cs="Arial"/>
          <w:lang w:val="es-ES_tradnl"/>
        </w:rPr>
        <w:t>”</w:t>
      </w:r>
      <w:r w:rsidRPr="005E6CC0">
        <w:rPr>
          <w:rFonts w:ascii="Arial" w:eastAsia="Calibri" w:hAnsi="Arial" w:cs="Arial"/>
          <w:lang w:val="es-ES_tradnl"/>
        </w:rPr>
        <w:t xml:space="preserve">. Tal favorabilidad debe determinarse a partir de criterios que pueden variar de acuerdo con el objeto </w:t>
      </w:r>
      <w:r w:rsidRPr="005E6CC0">
        <w:rPr>
          <w:rFonts w:ascii="Arial" w:eastAsia="Calibri" w:hAnsi="Arial" w:cs="Arial"/>
          <w:lang w:val="es-ES_tradnl"/>
        </w:rPr>
        <w:lastRenderedPageBreak/>
        <w:t xml:space="preserve">contractual o la modalidad de selección aplicable, los cuales, en todo caso, para que la selección sea objetiva, deben estar señalados en el pliego de condiciones o documento equivalente. </w:t>
      </w:r>
    </w:p>
    <w:p w14:paraId="141C09DA" w14:textId="77777777" w:rsidR="00ED6A9D" w:rsidRDefault="00ED6A9D" w:rsidP="00ED6A9D">
      <w:pPr>
        <w:spacing w:after="120" w:line="276" w:lineRule="auto"/>
        <w:ind w:firstLine="708"/>
        <w:jc w:val="both"/>
        <w:rPr>
          <w:rFonts w:ascii="Arial" w:eastAsia="Calibri" w:hAnsi="Arial" w:cs="Arial"/>
          <w:lang w:val="es-ES_tradnl"/>
        </w:rPr>
      </w:pPr>
      <w:r w:rsidRPr="005E6CC0">
        <w:rPr>
          <w:rFonts w:ascii="Arial" w:eastAsia="Calibri" w:hAnsi="Arial" w:cs="Arial"/>
          <w:lang w:val="es-ES_tradnl"/>
        </w:rPr>
        <w:t xml:space="preserve">Al respecto, </w:t>
      </w:r>
      <w:bookmarkStart w:id="3" w:name="_Hlk75296202"/>
      <w:r w:rsidRPr="005E6CC0">
        <w:rPr>
          <w:rFonts w:ascii="Arial" w:eastAsia="Calibri" w:hAnsi="Arial" w:cs="Arial"/>
          <w:lang w:val="es-ES_tradnl"/>
        </w:rPr>
        <w:t>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–por expresa disposición legal– no otorgan puntaje, salvo que excepcionalmente se permita lo contrario. Esto comoquiera dichos requisitos no se refieren a la oferta misma sino a la idoneidad del oferente para asumir adecuadamente la ejecución del contrato</w:t>
      </w:r>
      <w:r w:rsidRPr="005E6CC0">
        <w:rPr>
          <w:rFonts w:ascii="Arial" w:eastAsia="Calibri" w:hAnsi="Arial" w:cs="Arial"/>
          <w:lang w:val="es-ES_tradnl"/>
        </w:rPr>
        <w:footnoteReference w:id="4"/>
      </w:r>
      <w:r w:rsidRPr="005E6CC0">
        <w:rPr>
          <w:rFonts w:ascii="Arial" w:eastAsia="Calibri" w:hAnsi="Arial" w:cs="Arial"/>
          <w:lang w:val="es-ES_tradnl"/>
        </w:rPr>
        <w:t>.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habilitantes 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bookmarkEnd w:id="3"/>
    </w:p>
    <w:p w14:paraId="12B2AA45" w14:textId="77777777" w:rsidR="00ED6A9D" w:rsidRPr="005E6CC0" w:rsidRDefault="00ED6A9D" w:rsidP="00ED6A9D">
      <w:pPr>
        <w:spacing w:after="120" w:line="276" w:lineRule="auto"/>
        <w:ind w:firstLine="708"/>
        <w:jc w:val="both"/>
        <w:rPr>
          <w:rFonts w:ascii="Arial" w:eastAsia="Calibri" w:hAnsi="Arial" w:cs="Arial"/>
          <w:lang w:val="es-ES_tradnl"/>
        </w:rPr>
      </w:pPr>
      <w:r w:rsidRPr="005E6CC0">
        <w:rPr>
          <w:rFonts w:ascii="Arial" w:eastAsia="Calibri" w:hAnsi="Arial" w:cs="Arial"/>
          <w:lang w:val="es-ES_tradnl"/>
        </w:rPr>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El numeral segundo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 Este numeral segundo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 – beneficio para la entidad. </w:t>
      </w:r>
    </w:p>
    <w:p w14:paraId="6B3AC3C6" w14:textId="77777777" w:rsidR="00ED6A9D" w:rsidRPr="005E6CC0" w:rsidRDefault="00ED6A9D" w:rsidP="00ED6A9D">
      <w:pPr>
        <w:spacing w:after="120" w:line="276" w:lineRule="auto"/>
        <w:ind w:firstLine="708"/>
        <w:jc w:val="both"/>
        <w:rPr>
          <w:rFonts w:ascii="Arial" w:eastAsia="Calibri" w:hAnsi="Arial" w:cs="Arial"/>
          <w:lang w:val="es-ES_tradnl"/>
        </w:rPr>
      </w:pPr>
      <w:r w:rsidRPr="005E6CC0">
        <w:rPr>
          <w:rFonts w:ascii="Arial" w:eastAsia="Calibri" w:hAnsi="Arial" w:cs="Arial"/>
          <w:lang w:val="es-ES_tradnl"/>
        </w:rPr>
        <w:t xml:space="preserve">Por su parte, el numeral tercero establece que en los procesos de selección de bienes y servicios de características técnicas uniformes y de común utilización el único factor de evaluación consiste en el menor precio. Por último, el numeral cuarto, referente a procedimientos para selección de consultores, señala que debe hacerse uso de factores </w:t>
      </w:r>
      <w:r w:rsidRPr="005E6CC0">
        <w:rPr>
          <w:rFonts w:ascii="Arial" w:eastAsia="Calibri" w:hAnsi="Arial" w:cs="Arial"/>
          <w:lang w:val="es-ES_tradnl"/>
        </w:rPr>
        <w:lastRenderedPageBreak/>
        <w:t>de calificación, para valorar los aspectos técnicos de la oferta, permitiendo que entre ellos se pondere la experiencia.</w:t>
      </w:r>
    </w:p>
    <w:p w14:paraId="4875714D" w14:textId="77777777" w:rsidR="00ED6A9D" w:rsidRDefault="00ED6A9D" w:rsidP="00ED6A9D">
      <w:pPr>
        <w:spacing w:after="0" w:line="276" w:lineRule="auto"/>
        <w:ind w:firstLine="708"/>
        <w:jc w:val="both"/>
        <w:rPr>
          <w:rFonts w:ascii="Arial" w:eastAsia="Calibri" w:hAnsi="Arial" w:cs="Arial"/>
          <w:lang w:val="es-ES_tradnl"/>
        </w:rPr>
      </w:pPr>
      <w:r w:rsidRPr="005E6CC0">
        <w:rPr>
          <w:rFonts w:ascii="Arial" w:eastAsia="Calibri" w:hAnsi="Arial" w:cs="Arial"/>
          <w:lang w:val="es-ES_tradnl"/>
        </w:rPr>
        <w:t xml:space="preserve">Conforme a lo anterior, el artículo 5 de la Ley 1150 de 2007, alude a diferentes conceptos como factores de escogencia, de calificación, técnicos y económicos de escogencia, de evaluación y calificación. Además, el artículo alude a unos factores que no otorgan puntaje y de otros que inciden en la comparación de ofertas. Por ello, la doctrina define los requisitos o factores ponderables como </w:t>
      </w:r>
      <w:r>
        <w:rPr>
          <w:rFonts w:ascii="Arial" w:eastAsia="Calibri" w:hAnsi="Arial" w:cs="Arial"/>
          <w:lang w:val="es-ES_tradnl"/>
        </w:rPr>
        <w:t>“</w:t>
      </w:r>
      <w:r w:rsidRPr="005E6CC0">
        <w:rPr>
          <w:rFonts w:ascii="Arial" w:eastAsia="Calibri" w:hAnsi="Arial" w:cs="Arial"/>
          <w:lang w:val="es-ES_tradnl"/>
        </w:rPr>
        <w:t xml:space="preserve">[…] aquellas condiciones de la oferta y no de quien la presenta, que sí entrarán a ser evaluadas por la Administración y </w:t>
      </w:r>
      <w:proofErr w:type="gramStart"/>
      <w:r w:rsidRPr="005E6CC0">
        <w:rPr>
          <w:rFonts w:ascii="Arial" w:eastAsia="Calibri" w:hAnsi="Arial" w:cs="Arial"/>
          <w:lang w:val="es-ES_tradnl"/>
        </w:rPr>
        <w:t>que</w:t>
      </w:r>
      <w:proofErr w:type="gramEnd"/>
      <w:r>
        <w:rPr>
          <w:rFonts w:ascii="Arial" w:eastAsia="Calibri" w:hAnsi="Arial" w:cs="Arial"/>
          <w:lang w:val="es-ES_tradnl"/>
        </w:rPr>
        <w:t xml:space="preserve"> </w:t>
      </w:r>
      <w:r w:rsidRPr="005E6CC0">
        <w:rPr>
          <w:rFonts w:ascii="Arial" w:eastAsia="Calibri" w:hAnsi="Arial" w:cs="Arial"/>
          <w:lang w:val="es-ES_tradnl"/>
        </w:rPr>
        <w:t>en consecuencia, darán lugar a la escogencia objetiva de la mejor propuesta para la entidad</w:t>
      </w:r>
      <w:r>
        <w:rPr>
          <w:rFonts w:ascii="Arial" w:eastAsia="Calibri" w:hAnsi="Arial" w:cs="Arial"/>
          <w:lang w:val="es-ES_tradnl"/>
        </w:rPr>
        <w:t>”</w:t>
      </w:r>
      <w:r w:rsidRPr="00DB7219">
        <w:rPr>
          <w:rFonts w:ascii="Arial" w:eastAsia="Calibri" w:hAnsi="Arial" w:cs="Arial"/>
          <w:vertAlign w:val="superscript"/>
          <w:lang w:val="es-ES_tradnl"/>
        </w:rPr>
        <w:footnoteReference w:id="5"/>
      </w:r>
      <w:r w:rsidRPr="005E6CC0">
        <w:rPr>
          <w:rFonts w:ascii="Arial" w:eastAsia="Calibri" w:hAnsi="Arial" w:cs="Arial"/>
          <w:lang w:val="es-ES_tradnl"/>
        </w:rPr>
        <w:t xml:space="preserve">. Todas estas categorías designan los </w:t>
      </w:r>
      <w:r>
        <w:rPr>
          <w:rFonts w:ascii="Arial" w:eastAsia="Calibri" w:hAnsi="Arial" w:cs="Arial"/>
          <w:lang w:val="es-ES_tradnl"/>
        </w:rPr>
        <w:t>“</w:t>
      </w:r>
      <w:r w:rsidRPr="005E6CC0">
        <w:rPr>
          <w:rFonts w:ascii="Arial" w:eastAsia="Calibri" w:hAnsi="Arial" w:cs="Arial"/>
          <w:lang w:val="es-ES_tradnl"/>
        </w:rPr>
        <w:t>[…] factores a los cuales cabe otorgarles puntajes o que pueden ser ponderados, precisamente, pues estos son los factores que en últimas permiten una comparación de ofertas y una diferenciación entre ellas</w:t>
      </w:r>
      <w:r>
        <w:rPr>
          <w:rFonts w:ascii="Arial" w:eastAsia="Calibri" w:hAnsi="Arial" w:cs="Arial"/>
          <w:lang w:val="es-ES_tradnl"/>
        </w:rPr>
        <w:t>”</w:t>
      </w:r>
      <w:r w:rsidRPr="00DB7219">
        <w:rPr>
          <w:rFonts w:ascii="Arial" w:eastAsia="Calibri" w:hAnsi="Arial" w:cs="Arial"/>
          <w:vertAlign w:val="superscript"/>
          <w:lang w:val="es-ES_tradnl"/>
        </w:rPr>
        <w:footnoteReference w:id="6"/>
      </w:r>
      <w:r w:rsidRPr="005E6CC0">
        <w:rPr>
          <w:rFonts w:ascii="Arial" w:eastAsia="Calibri" w:hAnsi="Arial" w:cs="Arial"/>
          <w:lang w:val="es-ES_tradnl"/>
        </w:rPr>
        <w:t>. Conforme a esto, la doctrina explica que:</w:t>
      </w:r>
    </w:p>
    <w:p w14:paraId="5C885FE0" w14:textId="77777777" w:rsidR="00ED6A9D" w:rsidRPr="005E6CC0" w:rsidRDefault="00ED6A9D" w:rsidP="00ED6A9D">
      <w:pPr>
        <w:spacing w:after="0" w:line="276" w:lineRule="auto"/>
        <w:ind w:firstLine="708"/>
        <w:jc w:val="both"/>
        <w:rPr>
          <w:rFonts w:ascii="Arial" w:eastAsia="Calibri" w:hAnsi="Arial" w:cs="Arial"/>
          <w:lang w:val="es-ES_tradnl"/>
        </w:rPr>
      </w:pPr>
    </w:p>
    <w:p w14:paraId="76D30A75" w14:textId="77777777" w:rsidR="00ED6A9D" w:rsidRPr="00DB7219" w:rsidRDefault="00ED6A9D" w:rsidP="00ED6A9D">
      <w:pPr>
        <w:spacing w:after="0" w:line="240" w:lineRule="auto"/>
        <w:ind w:left="709" w:right="709"/>
        <w:jc w:val="both"/>
        <w:rPr>
          <w:rFonts w:ascii="Arial" w:eastAsia="Calibri" w:hAnsi="Arial" w:cs="Arial"/>
          <w:sz w:val="21"/>
          <w:szCs w:val="21"/>
          <w:lang w:val="es-ES_tradnl"/>
        </w:rPr>
      </w:pPr>
      <w:r w:rsidRPr="00DB7219">
        <w:rPr>
          <w:rFonts w:ascii="Arial" w:eastAsia="Calibri" w:hAnsi="Arial" w:cs="Arial"/>
          <w:sz w:val="21"/>
          <w:szCs w:val="21"/>
          <w:lang w:val="es-ES_tradnl"/>
        </w:rPr>
        <w:t xml:space="preserve">“De acuerdo con ese entendimiento, el numeral 2 del artículo 5.° de la Ley  1150 de 2007, modificado por el artículo 88 de la Ley 1474 de 2011, comienza por señalar que </w:t>
      </w:r>
      <w:r>
        <w:rPr>
          <w:rFonts w:ascii="Arial" w:eastAsia="Calibri" w:hAnsi="Arial" w:cs="Arial"/>
          <w:sz w:val="21"/>
          <w:szCs w:val="21"/>
          <w:lang w:val="es-ES_tradnl"/>
        </w:rPr>
        <w:t>“</w:t>
      </w:r>
      <w:r w:rsidRPr="00DB7219">
        <w:rPr>
          <w:rFonts w:ascii="Arial" w:eastAsia="Calibri" w:hAnsi="Arial" w:cs="Arial"/>
          <w:sz w:val="21"/>
          <w:szCs w:val="21"/>
          <w:lang w:val="es-ES_tradnl"/>
        </w:rPr>
        <w:t>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w:t>
      </w:r>
      <w:r>
        <w:rPr>
          <w:rFonts w:ascii="Arial" w:eastAsia="Calibri" w:hAnsi="Arial" w:cs="Arial"/>
          <w:sz w:val="21"/>
          <w:szCs w:val="21"/>
          <w:lang w:val="es-ES_tradnl"/>
        </w:rPr>
        <w:t>”</w:t>
      </w:r>
      <w:r w:rsidRPr="00DB7219">
        <w:rPr>
          <w:rFonts w:ascii="Arial" w:eastAsia="Calibri" w:hAnsi="Arial" w:cs="Arial"/>
          <w:sz w:val="21"/>
          <w:szCs w:val="21"/>
          <w:lang w:val="es-ES_tradnl"/>
        </w:rPr>
        <w:t xml:space="preserve">.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194534E6" w14:textId="77777777" w:rsidR="00ED6A9D" w:rsidRPr="00DB7219" w:rsidRDefault="00ED6A9D" w:rsidP="00ED6A9D">
      <w:pPr>
        <w:spacing w:after="0" w:line="240" w:lineRule="auto"/>
        <w:ind w:left="709" w:right="709" w:firstLine="708"/>
        <w:jc w:val="both"/>
        <w:rPr>
          <w:rFonts w:ascii="Arial" w:eastAsia="Calibri" w:hAnsi="Arial" w:cs="Arial"/>
          <w:sz w:val="21"/>
          <w:szCs w:val="21"/>
          <w:lang w:val="es-ES_tradnl"/>
        </w:rPr>
      </w:pPr>
    </w:p>
    <w:p w14:paraId="0F0B21EA" w14:textId="77777777" w:rsidR="00ED6A9D" w:rsidRPr="00DB7219" w:rsidRDefault="00ED6A9D" w:rsidP="00ED6A9D">
      <w:pPr>
        <w:spacing w:after="0" w:line="240" w:lineRule="auto"/>
        <w:ind w:left="709" w:right="709"/>
        <w:jc w:val="both"/>
        <w:rPr>
          <w:rFonts w:ascii="Arial" w:eastAsia="Calibri" w:hAnsi="Arial" w:cs="Arial"/>
          <w:sz w:val="21"/>
          <w:szCs w:val="21"/>
          <w:lang w:val="es-ES_tradnl"/>
        </w:rPr>
      </w:pPr>
      <w:r w:rsidRPr="00DB7219">
        <w:rPr>
          <w:rFonts w:ascii="Arial" w:eastAsia="Calibri" w:hAnsi="Arial" w:cs="Arial"/>
          <w:sz w:val="21"/>
          <w:szCs w:val="21"/>
          <w:lang w:val="es-ES_tradnl"/>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3920D6FD" w14:textId="77777777" w:rsidR="00ED6A9D" w:rsidRPr="00DB7219" w:rsidRDefault="00ED6A9D" w:rsidP="00ED6A9D">
      <w:pPr>
        <w:spacing w:after="0" w:line="240" w:lineRule="auto"/>
        <w:ind w:left="709" w:right="709" w:firstLine="708"/>
        <w:jc w:val="both"/>
        <w:rPr>
          <w:rFonts w:ascii="Arial" w:eastAsia="Calibri" w:hAnsi="Arial" w:cs="Arial"/>
          <w:sz w:val="21"/>
          <w:szCs w:val="21"/>
          <w:lang w:val="es-ES_tradnl"/>
        </w:rPr>
      </w:pPr>
    </w:p>
    <w:p w14:paraId="3BE47E9A" w14:textId="77777777" w:rsidR="00ED6A9D" w:rsidRPr="00DB7219" w:rsidRDefault="00ED6A9D" w:rsidP="00ED6A9D">
      <w:pPr>
        <w:spacing w:after="0" w:line="240" w:lineRule="auto"/>
        <w:ind w:right="709" w:firstLine="708"/>
        <w:jc w:val="both"/>
        <w:rPr>
          <w:rFonts w:ascii="Arial" w:eastAsia="Calibri" w:hAnsi="Arial" w:cs="Arial"/>
          <w:sz w:val="21"/>
          <w:szCs w:val="21"/>
          <w:lang w:val="es-ES_tradnl"/>
        </w:rPr>
      </w:pPr>
      <w:r w:rsidRPr="00DB7219">
        <w:rPr>
          <w:rFonts w:ascii="Arial" w:eastAsia="Calibri" w:hAnsi="Arial" w:cs="Arial"/>
          <w:sz w:val="21"/>
          <w:szCs w:val="21"/>
          <w:lang w:val="es-ES_tradnl"/>
        </w:rPr>
        <w:t>[…]</w:t>
      </w:r>
    </w:p>
    <w:p w14:paraId="47D9B9DA" w14:textId="77777777" w:rsidR="00ED6A9D" w:rsidRPr="00DB7219" w:rsidRDefault="00ED6A9D" w:rsidP="00ED6A9D">
      <w:pPr>
        <w:spacing w:after="0" w:line="240" w:lineRule="auto"/>
        <w:ind w:left="709" w:right="709" w:firstLine="708"/>
        <w:jc w:val="both"/>
        <w:rPr>
          <w:rFonts w:ascii="Arial" w:eastAsia="Calibri" w:hAnsi="Arial" w:cs="Arial"/>
          <w:sz w:val="21"/>
          <w:szCs w:val="21"/>
          <w:lang w:val="es-ES_tradnl"/>
        </w:rPr>
      </w:pPr>
    </w:p>
    <w:p w14:paraId="06BBCD38" w14:textId="77777777" w:rsidR="00ED6A9D" w:rsidRPr="00DB7219" w:rsidRDefault="00ED6A9D" w:rsidP="00ED6A9D">
      <w:pPr>
        <w:spacing w:after="0" w:line="240" w:lineRule="auto"/>
        <w:ind w:left="709" w:right="709"/>
        <w:jc w:val="both"/>
        <w:rPr>
          <w:rFonts w:ascii="Arial" w:eastAsia="Calibri" w:hAnsi="Arial" w:cs="Arial"/>
          <w:sz w:val="21"/>
          <w:szCs w:val="21"/>
          <w:lang w:val="es-ES_tradnl"/>
        </w:rPr>
      </w:pPr>
      <w:r w:rsidRPr="00DB7219">
        <w:rPr>
          <w:rFonts w:ascii="Arial" w:eastAsia="Calibri" w:hAnsi="Arial" w:cs="Arial"/>
          <w:sz w:val="21"/>
          <w:szCs w:val="21"/>
          <w:lang w:val="es-ES_tradnl"/>
        </w:rPr>
        <w:lastRenderedPageBreak/>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DB7219">
        <w:rPr>
          <w:rFonts w:ascii="Arial" w:eastAsia="Calibri" w:hAnsi="Arial" w:cs="Arial"/>
          <w:sz w:val="21"/>
          <w:szCs w:val="21"/>
          <w:vertAlign w:val="superscript"/>
          <w:lang w:val="es-ES_tradnl"/>
        </w:rPr>
        <w:footnoteReference w:id="7"/>
      </w:r>
      <w:r w:rsidRPr="00DB7219">
        <w:rPr>
          <w:rFonts w:ascii="Arial" w:eastAsia="Calibri" w:hAnsi="Arial" w:cs="Arial"/>
          <w:sz w:val="21"/>
          <w:szCs w:val="21"/>
          <w:lang w:val="es-ES_tradnl"/>
        </w:rPr>
        <w:t>.</w:t>
      </w:r>
      <w:r>
        <w:rPr>
          <w:rFonts w:ascii="Arial" w:eastAsia="Calibri" w:hAnsi="Arial" w:cs="Arial"/>
          <w:sz w:val="21"/>
          <w:szCs w:val="21"/>
          <w:lang w:val="es-ES_tradnl"/>
        </w:rPr>
        <w:t>”</w:t>
      </w:r>
    </w:p>
    <w:p w14:paraId="6DBC9BD5" w14:textId="77777777" w:rsidR="00ED6A9D" w:rsidRPr="005E6CC0" w:rsidRDefault="00ED6A9D" w:rsidP="00ED6A9D">
      <w:pPr>
        <w:spacing w:after="120" w:line="276" w:lineRule="auto"/>
        <w:ind w:firstLine="708"/>
        <w:jc w:val="both"/>
        <w:rPr>
          <w:rFonts w:ascii="Arial" w:eastAsia="Calibri" w:hAnsi="Arial" w:cs="Arial"/>
          <w:lang w:val="es-ES_tradnl"/>
        </w:rPr>
      </w:pPr>
    </w:p>
    <w:p w14:paraId="77B326F2" w14:textId="77777777" w:rsidR="00ED6A9D" w:rsidRPr="005E6CC0" w:rsidRDefault="00ED6A9D" w:rsidP="00ED6A9D">
      <w:pPr>
        <w:spacing w:after="120" w:line="276" w:lineRule="auto"/>
        <w:ind w:firstLine="708"/>
        <w:jc w:val="both"/>
        <w:rPr>
          <w:rFonts w:ascii="Arial" w:eastAsia="Calibri" w:hAnsi="Arial" w:cs="Arial"/>
          <w:lang w:val="es-ES_tradnl"/>
        </w:rPr>
      </w:pPr>
      <w:r w:rsidRPr="005E6CC0">
        <w:rPr>
          <w:rFonts w:ascii="Arial" w:eastAsia="Calibri" w:hAnsi="Arial" w:cs="Arial"/>
          <w:lang w:val="es-ES_tradnl"/>
        </w:rPr>
        <w:t xml:space="preserve">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2EEA19C3" w14:textId="77777777" w:rsidR="00ED6A9D" w:rsidRPr="005E6CC0" w:rsidRDefault="00ED6A9D" w:rsidP="00ED6A9D">
      <w:pPr>
        <w:spacing w:after="120" w:line="276" w:lineRule="auto"/>
        <w:ind w:firstLine="708"/>
        <w:jc w:val="both"/>
        <w:rPr>
          <w:rFonts w:ascii="Arial" w:eastAsia="Calibri" w:hAnsi="Arial" w:cs="Arial"/>
          <w:lang w:val="es-ES_tradnl"/>
        </w:rPr>
      </w:pPr>
      <w:r w:rsidRPr="005E6CC0">
        <w:rPr>
          <w:rFonts w:ascii="Arial" w:eastAsia="Calibri" w:hAnsi="Arial" w:cs="Arial"/>
          <w:lang w:val="es-ES_tradnl"/>
        </w:rPr>
        <w:t>En ese sentido, la asignación de puntaje es un mecanismo mediante el cual las entidades ponderan los factores de calificación ꟷv.g. técnicos y económicos, de calidad y precio</w:t>
      </w:r>
      <w:r w:rsidRPr="005E6CC0">
        <w:rPr>
          <w:rFonts w:ascii="Arial" w:eastAsia="Calibri" w:hAnsi="Arial" w:cs="Arial"/>
          <w:lang w:val="es-ES_tradnl"/>
        </w:rPr>
        <w:softHyphen/>
        <w:t>, etc.ꟷ en un determinado proceso de selección, como se desprende del literal a) del numeral 2 del artículo 5 de la Ley 1150 de 2007, en el que expresamente se alude al puntaje. Sin embargo, no es este el único mecanismo de ponderación que tienen a su alcance las entidades estatales para determinar el ofrecimiento más favorable, ya que el propio literal b) del artículo 5.2 posibilita que el ofrecimiento más favorable se determine con un análisis de la relación costo-beneficio, evento en el no habría necesidad de acudir obligatoriamente a sistemas de asignación de puntaje. A estos se suman, los procesos de selección de bienes y servicios de características técnicas uniformes y de común utilización, así como los de mínima cuantía, en los que –según los artículos 5.3 y 2.5 de la Ley 1150 de 2007– el único factor de selección es el menor precio ofertado, por lo que no hay lugar a ponderación mediante puntajes.</w:t>
      </w:r>
    </w:p>
    <w:p w14:paraId="65EB0D74" w14:textId="77777777" w:rsidR="00ED6A9D" w:rsidRPr="005E6CC0" w:rsidRDefault="00ED6A9D" w:rsidP="00ED6A9D">
      <w:pPr>
        <w:spacing w:after="120" w:line="276" w:lineRule="auto"/>
        <w:ind w:firstLine="708"/>
        <w:jc w:val="both"/>
        <w:rPr>
          <w:rFonts w:ascii="Arial" w:eastAsia="Calibri" w:hAnsi="Arial" w:cs="Arial"/>
          <w:lang w:val="es-ES_tradnl"/>
        </w:rPr>
      </w:pPr>
      <w:r w:rsidRPr="005E6CC0">
        <w:rPr>
          <w:rFonts w:ascii="Arial" w:eastAsia="Calibri" w:hAnsi="Arial" w:cs="Arial"/>
          <w:lang w:val="es-ES_tradnl"/>
        </w:rPr>
        <w:t>Es necesario destacar, que las reglas para establecer la oferta más favorable conforme al artículo 5 de la Ley 1150 de 2007, se encuentran reglamentadas en el artículo 2.2.1.1.2.2.2 del Decreto 1082 de 2015. Este artículo desarrolla los mecanismos de ponderación previstos en los literales a) y b) del artículo 5</w:t>
      </w:r>
      <w:r w:rsidRPr="005E6CC0">
        <w:rPr>
          <w:rFonts w:ascii="Arial" w:eastAsia="Calibri" w:hAnsi="Arial" w:cs="Arial"/>
          <w:lang w:val="es-ES_tradnl"/>
        </w:rPr>
        <w:softHyphen/>
        <w:t xml:space="preserve">.2 de la Ley 1150 de 2007, disponiendo unas pautas para la ponderación de los elementos de calidad y precio que representen la mejor relación de costo-beneficio. Conforme a este artículo, la oferta más </w:t>
      </w:r>
      <w:r w:rsidRPr="005E6CC0">
        <w:rPr>
          <w:rFonts w:ascii="Arial" w:eastAsia="Calibri" w:hAnsi="Arial" w:cs="Arial"/>
          <w:lang w:val="es-ES_tradnl"/>
        </w:rPr>
        <w:lastRenderedPageBreak/>
        <w:t xml:space="preserve">favorable en estos casos debe determinarse ponderando en las ofertas: i) las condiciones técnicas y económicas mínimas; ii) las condiciones técnicas adicionales que representan ventajas de calidad o de funcionamiento; iii) las condiciones económicas adicionales que representen ventajas en términos de economía, eficiencia y eficacia; y, </w:t>
      </w:r>
      <w:proofErr w:type="spellStart"/>
      <w:r w:rsidRPr="005E6CC0">
        <w:rPr>
          <w:rFonts w:ascii="Arial" w:eastAsia="Calibri" w:hAnsi="Arial" w:cs="Arial"/>
          <w:lang w:val="es-ES_tradnl"/>
        </w:rPr>
        <w:t>iv</w:t>
      </w:r>
      <w:proofErr w:type="spellEnd"/>
      <w:r w:rsidRPr="005E6CC0">
        <w:rPr>
          <w:rFonts w:ascii="Arial" w:eastAsia="Calibri" w:hAnsi="Arial" w:cs="Arial"/>
          <w:lang w:val="es-ES_tradnl"/>
        </w:rPr>
        <w:t xml:space="preserve">) el valor en dinero que la Entidad Estatal asigna a cada ofrecimiento técnico o económico adicional. Teniendo en cuenta estos elementos, la Entidad Estatal debe calcular la relación costo-beneficio de cada oferta </w:t>
      </w:r>
      <w:r>
        <w:rPr>
          <w:rFonts w:ascii="Arial" w:eastAsia="Calibri" w:hAnsi="Arial" w:cs="Arial"/>
          <w:lang w:val="es-ES_tradnl"/>
        </w:rPr>
        <w:t>“</w:t>
      </w:r>
      <w:r w:rsidRPr="005E6CC0">
        <w:rPr>
          <w:rFonts w:ascii="Arial" w:eastAsia="Calibri" w:hAnsi="Arial" w:cs="Arial"/>
          <w:lang w:val="es-ES_tradnl"/>
        </w:rPr>
        <w:t>[…]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r>
        <w:rPr>
          <w:rFonts w:ascii="Arial" w:eastAsia="Calibri" w:hAnsi="Arial" w:cs="Arial"/>
          <w:lang w:val="es-ES_tradnl"/>
        </w:rPr>
        <w:t>”</w:t>
      </w:r>
      <w:r w:rsidRPr="00C11BA5">
        <w:rPr>
          <w:rFonts w:ascii="Arial" w:eastAsia="Calibri" w:hAnsi="Arial" w:cs="Arial"/>
          <w:vertAlign w:val="superscript"/>
          <w:lang w:val="es-ES_tradnl"/>
        </w:rPr>
        <w:footnoteReference w:id="8"/>
      </w:r>
      <w:r w:rsidRPr="005E6CC0">
        <w:rPr>
          <w:rFonts w:ascii="Arial" w:eastAsia="Calibri" w:hAnsi="Arial" w:cs="Arial"/>
          <w:lang w:val="es-ES_tradnl"/>
        </w:rPr>
        <w:t>.</w:t>
      </w:r>
    </w:p>
    <w:p w14:paraId="056FFD27" w14:textId="77777777" w:rsidR="00ED6A9D" w:rsidRPr="005E6CC0" w:rsidRDefault="00ED6A9D" w:rsidP="00ED6A9D">
      <w:pPr>
        <w:spacing w:after="120" w:line="276" w:lineRule="auto"/>
        <w:ind w:firstLine="708"/>
        <w:jc w:val="both"/>
        <w:rPr>
          <w:rFonts w:ascii="Arial" w:eastAsia="Calibri" w:hAnsi="Arial" w:cs="Arial"/>
          <w:lang w:val="es-ES_tradnl"/>
        </w:rPr>
      </w:pPr>
      <w:r w:rsidRPr="005E6CC0">
        <w:rPr>
          <w:rFonts w:ascii="Arial" w:eastAsia="Calibri" w:hAnsi="Arial" w:cs="Arial"/>
          <w:lang w:val="es-ES_tradnl"/>
        </w:rPr>
        <w:t xml:space="preserve">Conforme a lo anterior, el deber de selección objetiva está ligado a la determinación del ofrecimiento más favorable, cuyo contenido debe ser precisado a partir de las diferentes alternativas del artículo 5 de la Ley 1150 de 2007, reglamentado por el </w:t>
      </w:r>
      <w:r w:rsidRPr="005E6CC0">
        <w:rPr>
          <w:rFonts w:ascii="Arial" w:eastAsia="Calibri" w:hAnsi="Arial" w:cs="Arial"/>
          <w:lang w:val="es-ES_tradnl"/>
        </w:rPr>
        <w:lastRenderedPageBreak/>
        <w:t>artículo 2.2.1.1.2.2.2 del Decreto 1082 de 2015, que en todo caso deben reflejarse en el pliego de condiciones o documento equivalente para el respectivo proceso de selección. Estas disposiciones establecen que en los procesos de selección deben evaluarse, fuera de los requisitos habilitantes, los factores de calificación, valoración o evaluación. Estos pueden ponderarse mediante la asignación de puntaje, por lo que la norma se refiere a factores que no otorgan puntaje para diferenciar los requisitos habilitantes de los mencionados factores de calificación. Lo anterior, bajo el entendido que son estos últimos los que determinan la oferta más favorable para la entidad y la que en consecuencia debe elegirse.</w:t>
      </w:r>
    </w:p>
    <w:p w14:paraId="344F64C3" w14:textId="77777777" w:rsidR="00ED6A9D" w:rsidRDefault="00ED6A9D" w:rsidP="00ED6A9D">
      <w:pPr>
        <w:spacing w:after="120" w:line="276" w:lineRule="auto"/>
        <w:ind w:firstLine="708"/>
        <w:jc w:val="both"/>
        <w:rPr>
          <w:rFonts w:ascii="Arial" w:eastAsia="Calibri" w:hAnsi="Arial" w:cs="Arial"/>
          <w:lang w:val="es-ES_tradnl"/>
        </w:rPr>
      </w:pPr>
      <w:r w:rsidRPr="005E6CC0">
        <w:rPr>
          <w:rFonts w:ascii="Arial" w:eastAsia="Calibri" w:hAnsi="Arial" w:cs="Arial"/>
          <w:lang w:val="es-ES_tradnl"/>
        </w:rPr>
        <w:t xml:space="preserve">Retomando otros fundamentos jurídicos del deber de </w:t>
      </w:r>
      <w:r>
        <w:rPr>
          <w:rFonts w:ascii="Arial" w:eastAsia="Calibri" w:hAnsi="Arial" w:cs="Arial"/>
          <w:lang w:val="es-ES_tradnl"/>
        </w:rPr>
        <w:t>“</w:t>
      </w:r>
      <w:r w:rsidRPr="005E6CC0">
        <w:rPr>
          <w:rFonts w:ascii="Arial" w:eastAsia="Calibri" w:hAnsi="Arial" w:cs="Arial"/>
          <w:lang w:val="es-ES_tradnl"/>
        </w:rPr>
        <w:t>selección objetiva</w:t>
      </w:r>
      <w:r>
        <w:rPr>
          <w:rFonts w:ascii="Arial" w:eastAsia="Calibri" w:hAnsi="Arial" w:cs="Arial"/>
          <w:lang w:val="es-ES_tradnl"/>
        </w:rPr>
        <w:t>”</w:t>
      </w:r>
      <w:r w:rsidRPr="005E6CC0">
        <w:rPr>
          <w:rFonts w:ascii="Arial" w:eastAsia="Calibri" w:hAnsi="Arial" w:cs="Arial"/>
          <w:lang w:val="es-ES_tradnl"/>
        </w:rPr>
        <w:t xml:space="preserve">, distintos al artículo 5 de la Ley 1150 de 2007, la Ley 80 de 1993 se refiere a ella en varios apartados, como: i) el primer inciso del artículo 21, que obliga a las entidades estatales a tener en cuenta la selección objetiva, al garantizar la participación de los oferentes de bienes y servicios de origen nacional; ii) el artículo 24, numeral 5º, literal a), que manda que en los pliegos de condiciones se indiquen </w:t>
      </w:r>
      <w:r>
        <w:rPr>
          <w:rFonts w:ascii="Arial" w:eastAsia="Calibri" w:hAnsi="Arial" w:cs="Arial"/>
          <w:lang w:val="es-ES_tradnl"/>
        </w:rPr>
        <w:t>“</w:t>
      </w:r>
      <w:r w:rsidRPr="005E6CC0">
        <w:rPr>
          <w:rFonts w:ascii="Arial" w:eastAsia="Calibri" w:hAnsi="Arial" w:cs="Arial"/>
          <w:lang w:val="es-ES_tradnl"/>
        </w:rPr>
        <w:t>[…] los requisitos objetivos necesarios para participar en el correspondiente proceso de selección</w:t>
      </w:r>
      <w:r>
        <w:rPr>
          <w:rFonts w:ascii="Arial" w:eastAsia="Calibri" w:hAnsi="Arial" w:cs="Arial"/>
          <w:lang w:val="es-ES_tradnl"/>
        </w:rPr>
        <w:t>”</w:t>
      </w:r>
      <w:r w:rsidRPr="005E6CC0">
        <w:rPr>
          <w:rFonts w:ascii="Arial" w:eastAsia="Calibri" w:hAnsi="Arial" w:cs="Arial"/>
          <w:lang w:val="es-ES_tradnl"/>
        </w:rPr>
        <w:t xml:space="preserve">; iii) el artículo 24, numeral 5º, literal b), que establece que en los pliegos de condiciones se deben definir </w:t>
      </w:r>
      <w:r>
        <w:rPr>
          <w:rFonts w:ascii="Arial" w:eastAsia="Calibri" w:hAnsi="Arial" w:cs="Arial"/>
          <w:lang w:val="es-ES_tradnl"/>
        </w:rPr>
        <w:t>“</w:t>
      </w:r>
      <w:r w:rsidRPr="005E6CC0">
        <w:rPr>
          <w:rFonts w:ascii="Arial" w:eastAsia="Calibri" w:hAnsi="Arial" w:cs="Arial"/>
          <w:lang w:val="es-ES_tradnl"/>
        </w:rPr>
        <w:t>[…] reglas objetivas, justas, claras y completas que permitan la confección de ofrecimientos de la misma índole, aseguren una escogencia objetiva y eviten la declaratoria de desierta de la licitación</w:t>
      </w:r>
      <w:r>
        <w:rPr>
          <w:rFonts w:ascii="Arial" w:eastAsia="Calibri" w:hAnsi="Arial" w:cs="Arial"/>
          <w:lang w:val="es-ES_tradnl"/>
        </w:rPr>
        <w:t>”</w:t>
      </w:r>
      <w:r w:rsidRPr="005E6CC0">
        <w:rPr>
          <w:rFonts w:ascii="Arial" w:eastAsia="Calibri" w:hAnsi="Arial" w:cs="Arial"/>
          <w:lang w:val="es-ES_tradnl"/>
        </w:rPr>
        <w:t xml:space="preserve">; </w:t>
      </w:r>
      <w:proofErr w:type="spellStart"/>
      <w:r w:rsidRPr="005E6CC0">
        <w:rPr>
          <w:rFonts w:ascii="Arial" w:eastAsia="Calibri" w:hAnsi="Arial" w:cs="Arial"/>
          <w:lang w:val="es-ES_tradnl"/>
        </w:rPr>
        <w:t>iv</w:t>
      </w:r>
      <w:proofErr w:type="spellEnd"/>
      <w:r w:rsidRPr="005E6CC0">
        <w:rPr>
          <w:rFonts w:ascii="Arial" w:eastAsia="Calibri" w:hAnsi="Arial" w:cs="Arial"/>
          <w:lang w:val="es-ES_tradnl"/>
        </w:rPr>
        <w:t>) el artículo 24, numeral 8º, según el cual</w:t>
      </w:r>
      <w:r>
        <w:rPr>
          <w:rFonts w:ascii="Arial" w:eastAsia="Calibri" w:hAnsi="Arial" w:cs="Arial"/>
          <w:lang w:val="es-ES_tradnl"/>
        </w:rPr>
        <w:t xml:space="preserve"> “</w:t>
      </w:r>
      <w:r w:rsidRPr="005E6CC0">
        <w:rPr>
          <w:rFonts w:ascii="Arial" w:eastAsia="Calibri" w:hAnsi="Arial" w:cs="Arial"/>
          <w:lang w:val="es-ES_tradnl"/>
        </w:rPr>
        <w:t>Las autoridades no actuarán con desviación o abuso de poder y ejercerán sus competencias exclusivamente para los fines previstos en la ley. Igualmente, les será prohibido eludir los procedimientos de selección objetiva y los demás requisitos previstos en el presente estatuto</w:t>
      </w:r>
      <w:r>
        <w:rPr>
          <w:rFonts w:ascii="Arial" w:eastAsia="Calibri" w:hAnsi="Arial" w:cs="Arial"/>
          <w:lang w:val="es-ES_tradnl"/>
        </w:rPr>
        <w:t>”</w:t>
      </w:r>
      <w:r w:rsidRPr="005E6CC0">
        <w:rPr>
          <w:rFonts w:ascii="Arial" w:eastAsia="Calibri" w:hAnsi="Arial" w:cs="Arial"/>
          <w:lang w:val="es-ES_tradnl"/>
        </w:rPr>
        <w:t xml:space="preserve">; v) el segundo inciso del parágrafo 3º del artículo 24, que exige tener en cuenta la selección objetiva de la entidad veedora para el procedimiento de venta de bienes de las entidades estatales por el sistema de martillo; vi) el numeral 18 del artículo 25, el cual señala que </w:t>
      </w:r>
      <w:r>
        <w:rPr>
          <w:rFonts w:ascii="Arial" w:eastAsia="Calibri" w:hAnsi="Arial" w:cs="Arial"/>
          <w:lang w:val="es-ES_tradnl"/>
        </w:rPr>
        <w:t>“</w:t>
      </w:r>
      <w:r w:rsidRPr="005E6CC0">
        <w:rPr>
          <w:rFonts w:ascii="Arial" w:eastAsia="Calibri" w:hAnsi="Arial" w:cs="Arial"/>
          <w:lang w:val="es-ES_tradnl"/>
        </w:rPr>
        <w:t>La declaratoria de desierta de la licitación únicamente procederá por motivos o causas que impidan la escogencia objetiva</w:t>
      </w:r>
      <w:r>
        <w:rPr>
          <w:rFonts w:ascii="Arial" w:eastAsia="Calibri" w:hAnsi="Arial" w:cs="Arial"/>
          <w:lang w:val="es-ES_tradnl"/>
        </w:rPr>
        <w:t>”</w:t>
      </w:r>
      <w:r w:rsidRPr="005E6CC0">
        <w:rPr>
          <w:rFonts w:ascii="Arial" w:eastAsia="Calibri" w:hAnsi="Arial" w:cs="Arial"/>
          <w:lang w:val="es-ES_tradnl"/>
        </w:rPr>
        <w:t xml:space="preserve">; </w:t>
      </w:r>
      <w:proofErr w:type="spellStart"/>
      <w:r w:rsidRPr="005E6CC0">
        <w:rPr>
          <w:rFonts w:ascii="Arial" w:eastAsia="Calibri" w:hAnsi="Arial" w:cs="Arial"/>
          <w:lang w:val="es-ES_tradnl"/>
        </w:rPr>
        <w:t>vii</w:t>
      </w:r>
      <w:proofErr w:type="spellEnd"/>
      <w:r w:rsidRPr="005E6CC0">
        <w:rPr>
          <w:rFonts w:ascii="Arial" w:eastAsia="Calibri" w:hAnsi="Arial" w:cs="Arial"/>
          <w:lang w:val="es-ES_tradnl"/>
        </w:rPr>
        <w:t xml:space="preserve">) el numeral 2 del artículo 30, que dispone que </w:t>
      </w:r>
      <w:r>
        <w:rPr>
          <w:rFonts w:ascii="Arial" w:eastAsia="Calibri" w:hAnsi="Arial" w:cs="Arial"/>
          <w:lang w:val="es-ES_tradnl"/>
        </w:rPr>
        <w:t>“</w:t>
      </w:r>
      <w:r w:rsidRPr="005E6CC0">
        <w:rPr>
          <w:rFonts w:ascii="Arial" w:eastAsia="Calibri" w:hAnsi="Arial" w:cs="Arial"/>
          <w:lang w:val="es-ES_tradnl"/>
        </w:rPr>
        <w:t>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w:t>
      </w:r>
      <w:r>
        <w:rPr>
          <w:rFonts w:ascii="Arial" w:eastAsia="Calibri" w:hAnsi="Arial" w:cs="Arial"/>
          <w:lang w:val="es-ES_tradnl"/>
        </w:rPr>
        <w:t>”</w:t>
      </w:r>
      <w:r w:rsidRPr="005E6CC0">
        <w:rPr>
          <w:rFonts w:ascii="Arial" w:eastAsia="Calibri" w:hAnsi="Arial" w:cs="Arial"/>
          <w:lang w:val="es-ES_tradnl"/>
        </w:rPr>
        <w:t xml:space="preserve">; </w:t>
      </w:r>
      <w:proofErr w:type="spellStart"/>
      <w:r w:rsidRPr="005E6CC0">
        <w:rPr>
          <w:rFonts w:ascii="Arial" w:eastAsia="Calibri" w:hAnsi="Arial" w:cs="Arial"/>
          <w:lang w:val="es-ES_tradnl"/>
        </w:rPr>
        <w:t>viii</w:t>
      </w:r>
      <w:proofErr w:type="spellEnd"/>
      <w:r w:rsidRPr="005E6CC0">
        <w:rPr>
          <w:rFonts w:ascii="Arial" w:eastAsia="Calibri" w:hAnsi="Arial" w:cs="Arial"/>
          <w:lang w:val="es-ES_tradnl"/>
        </w:rPr>
        <w:t xml:space="preserve">) el inciso final del artículo 38, que obliga a las entidades estatales que tengan como objeto la prestación de servicios y actividades de telecomunicaciones a respetar el principio de selección objetiva; y, </w:t>
      </w:r>
      <w:proofErr w:type="spellStart"/>
      <w:r w:rsidRPr="005E6CC0">
        <w:rPr>
          <w:rFonts w:ascii="Arial" w:eastAsia="Calibri" w:hAnsi="Arial" w:cs="Arial"/>
          <w:lang w:val="es-ES_tradnl"/>
        </w:rPr>
        <w:t>ix</w:t>
      </w:r>
      <w:proofErr w:type="spellEnd"/>
      <w:r w:rsidRPr="005E6CC0">
        <w:rPr>
          <w:rFonts w:ascii="Arial" w:eastAsia="Calibri" w:hAnsi="Arial" w:cs="Arial"/>
          <w:lang w:val="es-ES_tradnl"/>
        </w:rPr>
        <w:t xml:space="preserve">) el segundo inciso del artículo 76, que ordena cumplir también con dicho principio a las entidades que tengan por objeto la exploración, explotación y comercialización de recursos naturales renovables y no renovables. </w:t>
      </w:r>
    </w:p>
    <w:p w14:paraId="64D94B07" w14:textId="77777777" w:rsidR="00ED6A9D" w:rsidRPr="005E6CC0" w:rsidRDefault="00ED6A9D" w:rsidP="00ED6A9D">
      <w:pPr>
        <w:spacing w:after="120" w:line="276" w:lineRule="auto"/>
        <w:ind w:firstLine="708"/>
        <w:jc w:val="both"/>
        <w:rPr>
          <w:rFonts w:ascii="Arial" w:eastAsia="Calibri" w:hAnsi="Arial" w:cs="Arial"/>
          <w:lang w:val="es-ES_tradnl"/>
        </w:rPr>
      </w:pPr>
      <w:r w:rsidRPr="005E6CC0">
        <w:rPr>
          <w:rFonts w:ascii="Arial" w:eastAsia="Calibri" w:hAnsi="Arial" w:cs="Arial"/>
          <w:lang w:val="es-ES_tradnl"/>
        </w:rPr>
        <w:lastRenderedPageBreak/>
        <w:t xml:space="preserve">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w:t>
      </w:r>
      <w:r>
        <w:rPr>
          <w:rFonts w:ascii="Arial" w:eastAsia="Calibri" w:hAnsi="Arial" w:cs="Arial"/>
          <w:lang w:val="es-ES_tradnl"/>
        </w:rPr>
        <w:t>“</w:t>
      </w:r>
      <w:r w:rsidRPr="005E6CC0">
        <w:rPr>
          <w:rFonts w:ascii="Arial" w:eastAsia="Calibri" w:hAnsi="Arial" w:cs="Arial"/>
          <w:lang w:val="es-ES_tradnl"/>
        </w:rPr>
        <w:t>Las condiciones de costo y/o calidad que la Entidad Estatal debe tener en cuenta para la selección objetiva, de acuerdo con la modalidad de selección del contratista</w:t>
      </w:r>
      <w:r>
        <w:rPr>
          <w:rFonts w:ascii="Arial" w:eastAsia="Calibri" w:hAnsi="Arial" w:cs="Arial"/>
          <w:lang w:val="es-ES_tradnl"/>
        </w:rPr>
        <w:t>”</w:t>
      </w:r>
      <w:r w:rsidRPr="005E6CC0">
        <w:rPr>
          <w:rFonts w:ascii="Arial" w:eastAsia="Calibri" w:hAnsi="Arial" w:cs="Arial"/>
          <w:lang w:val="es-ES_tradnl"/>
        </w:rPr>
        <w:t xml:space="preserve">; o ii) el numeral 8º del artículo 2.2.1.2.1.3.13., que establece como obligación del jurado calificador en los concursos de méritos para la selección de consultores de diseño, planos, anteproyectos y proyectos arquitectónicos, </w:t>
      </w:r>
      <w:r>
        <w:rPr>
          <w:rFonts w:ascii="Arial" w:eastAsia="Calibri" w:hAnsi="Arial" w:cs="Arial"/>
          <w:lang w:val="es-ES_tradnl"/>
        </w:rPr>
        <w:t>“</w:t>
      </w:r>
      <w:r w:rsidRPr="005E6CC0">
        <w:rPr>
          <w:rFonts w:ascii="Arial" w:eastAsia="Calibri" w:hAnsi="Arial" w:cs="Arial"/>
          <w:lang w:val="es-ES_tradnl"/>
        </w:rPr>
        <w:t>Manifestar a la Entidad Estatal promotora la declaratoria de desierto el concurso de arquitectura, en caso que se presente el impedimento de la escogencia objetiva de que trata el numeral 18 del artículo 25 de la Ley 80 de 1993</w:t>
      </w:r>
      <w:r>
        <w:rPr>
          <w:rFonts w:ascii="Arial" w:eastAsia="Calibri" w:hAnsi="Arial" w:cs="Arial"/>
          <w:lang w:val="es-ES_tradnl"/>
        </w:rPr>
        <w:t>”</w:t>
      </w:r>
      <w:r w:rsidRPr="005E6CC0">
        <w:rPr>
          <w:rFonts w:ascii="Arial" w:eastAsia="Calibri" w:hAnsi="Arial" w:cs="Arial"/>
          <w:lang w:val="es-ES_tradnl"/>
        </w:rPr>
        <w:t>.</w:t>
      </w:r>
    </w:p>
    <w:p w14:paraId="7F20429A" w14:textId="77777777" w:rsidR="00ED6A9D" w:rsidRPr="005E6CC0" w:rsidRDefault="00ED6A9D" w:rsidP="00ED6A9D">
      <w:pPr>
        <w:spacing w:after="120" w:line="276" w:lineRule="auto"/>
        <w:ind w:firstLine="708"/>
        <w:jc w:val="both"/>
        <w:rPr>
          <w:rFonts w:ascii="Arial" w:eastAsia="Calibri" w:hAnsi="Arial" w:cs="Arial"/>
          <w:lang w:val="es-ES_tradnl"/>
        </w:rPr>
      </w:pPr>
      <w:r w:rsidRPr="005E6CC0">
        <w:rPr>
          <w:rFonts w:ascii="Arial" w:eastAsia="Calibri" w:hAnsi="Arial" w:cs="Arial"/>
          <w:lang w:val="es-ES_tradnl"/>
        </w:rPr>
        <w:t xml:space="preserve">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w:t>
      </w:r>
      <w:r>
        <w:rPr>
          <w:rFonts w:ascii="Arial" w:eastAsia="Calibri" w:hAnsi="Arial" w:cs="Arial"/>
          <w:lang w:val="es-ES_tradnl"/>
        </w:rPr>
        <w:t>“</w:t>
      </w:r>
      <w:r w:rsidRPr="005E6CC0">
        <w:rPr>
          <w:rFonts w:ascii="Arial" w:eastAsia="Calibri" w:hAnsi="Arial" w:cs="Arial"/>
          <w:lang w:val="es-ES_tradnl"/>
        </w:rPr>
        <w:t>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Pr>
          <w:rFonts w:ascii="Arial" w:eastAsia="Calibri" w:hAnsi="Arial" w:cs="Arial"/>
          <w:lang w:val="es-ES_tradnl"/>
        </w:rPr>
        <w:t>”</w:t>
      </w:r>
      <w:r w:rsidRPr="00C11BA5">
        <w:rPr>
          <w:rFonts w:ascii="Arial" w:eastAsia="Calibri" w:hAnsi="Arial" w:cs="Arial"/>
          <w:vertAlign w:val="superscript"/>
          <w:lang w:val="es-ES_tradnl"/>
        </w:rPr>
        <w:footnoteReference w:id="9"/>
      </w:r>
      <w:r w:rsidRPr="005E6CC0">
        <w:rPr>
          <w:rFonts w:ascii="Arial" w:eastAsia="Calibri" w:hAnsi="Arial" w:cs="Arial"/>
          <w:lang w:val="es-ES_tradnl"/>
        </w:rPr>
        <w:t xml:space="preserve">. Igualmente, ha señalado que </w:t>
      </w:r>
      <w:r>
        <w:rPr>
          <w:rFonts w:ascii="Arial" w:eastAsia="Calibri" w:hAnsi="Arial" w:cs="Arial"/>
          <w:lang w:val="es-ES_tradnl"/>
        </w:rPr>
        <w:t>“</w:t>
      </w:r>
      <w:r w:rsidRPr="005E6CC0">
        <w:rPr>
          <w:rFonts w:ascii="Arial" w:eastAsia="Calibri" w:hAnsi="Arial" w:cs="Arial"/>
          <w:lang w:val="es-ES_tradnl"/>
        </w:rPr>
        <w:t>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Pr>
          <w:rFonts w:ascii="Arial" w:eastAsia="Calibri" w:hAnsi="Arial" w:cs="Arial"/>
          <w:lang w:val="es-ES_tradnl"/>
        </w:rPr>
        <w:t>”</w:t>
      </w:r>
      <w:r w:rsidRPr="00C11BA5">
        <w:rPr>
          <w:rFonts w:ascii="Arial" w:eastAsia="Calibri" w:hAnsi="Arial" w:cs="Arial"/>
          <w:vertAlign w:val="superscript"/>
          <w:lang w:val="es-ES_tradnl"/>
        </w:rPr>
        <w:footnoteReference w:id="10"/>
      </w:r>
      <w:r w:rsidRPr="005E6CC0">
        <w:rPr>
          <w:rFonts w:ascii="Arial" w:eastAsia="Calibri" w:hAnsi="Arial" w:cs="Arial"/>
          <w:lang w:val="es-ES_tradnl"/>
        </w:rPr>
        <w:t>.</w:t>
      </w:r>
    </w:p>
    <w:p w14:paraId="13A7FFD7" w14:textId="77777777" w:rsidR="00ED6A9D" w:rsidRDefault="00ED6A9D" w:rsidP="003E693C">
      <w:pPr>
        <w:spacing w:after="0" w:line="276" w:lineRule="auto"/>
        <w:ind w:firstLine="708"/>
        <w:contextualSpacing/>
        <w:jc w:val="both"/>
        <w:rPr>
          <w:rFonts w:ascii="Arial" w:eastAsia="Calibri" w:hAnsi="Arial" w:cs="Arial"/>
          <w:lang w:val="es-ES_tradnl"/>
        </w:rPr>
      </w:pPr>
      <w:r w:rsidRPr="005E6CC0">
        <w:rPr>
          <w:rFonts w:ascii="Arial" w:eastAsia="Calibri" w:hAnsi="Arial" w:cs="Arial"/>
          <w:lang w:val="es-ES_tradnl"/>
        </w:rPr>
        <w:t xml:space="preserve">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w:t>
      </w:r>
      <w:r w:rsidRPr="005E6CC0">
        <w:rPr>
          <w:rFonts w:ascii="Arial" w:eastAsia="Calibri" w:hAnsi="Arial" w:cs="Arial"/>
          <w:lang w:val="es-ES_tradnl"/>
        </w:rPr>
        <w:lastRenderedPageBreak/>
        <w:t xml:space="preserve">es consustancial a la selección objetiva la obligación que tienen las entidades estatales de permitir la subsanación de los requisitos de participación, bajo las condiciones indicadas en la ley, antes de tomar la decisión de rechazar las propuestas que hayan omitido la observancia de los requisitos habilitantes. Esta decisión,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 </w:t>
      </w:r>
    </w:p>
    <w:p w14:paraId="27F6E002" w14:textId="77777777" w:rsidR="003E693C" w:rsidRPr="005E6CC0" w:rsidRDefault="003E693C" w:rsidP="003E693C">
      <w:pPr>
        <w:spacing w:after="0" w:line="276" w:lineRule="auto"/>
        <w:ind w:firstLine="708"/>
        <w:contextualSpacing/>
        <w:jc w:val="both"/>
        <w:rPr>
          <w:rFonts w:ascii="Arial" w:eastAsia="Calibri" w:hAnsi="Arial" w:cs="Arial"/>
          <w:lang w:val="es-ES_tradnl"/>
        </w:rPr>
      </w:pPr>
    </w:p>
    <w:p w14:paraId="23B55D87" w14:textId="77777777" w:rsidR="003E693C" w:rsidRDefault="008F5029" w:rsidP="003E693C">
      <w:pPr>
        <w:spacing w:before="120" w:after="0" w:line="276" w:lineRule="auto"/>
        <w:contextualSpacing/>
        <w:jc w:val="both"/>
        <w:rPr>
          <w:rFonts w:ascii="Arial" w:eastAsia="Calibri" w:hAnsi="Arial" w:cs="Arial"/>
          <w:b/>
          <w:bCs/>
          <w:color w:val="000000"/>
        </w:rPr>
      </w:pPr>
      <w:r>
        <w:rPr>
          <w:rFonts w:ascii="Arial" w:eastAsia="Calibri" w:hAnsi="Arial" w:cs="Arial"/>
          <w:b/>
          <w:bCs/>
          <w:color w:val="000000"/>
        </w:rPr>
        <w:t>I</w:t>
      </w:r>
      <w:r w:rsidR="000B6C17">
        <w:rPr>
          <w:rFonts w:ascii="Arial" w:eastAsia="Calibri" w:hAnsi="Arial" w:cs="Arial"/>
          <w:b/>
          <w:bCs/>
          <w:color w:val="000000"/>
        </w:rPr>
        <w:t>I</w:t>
      </w:r>
      <w:r>
        <w:rPr>
          <w:rFonts w:ascii="Arial" w:eastAsia="Calibri" w:hAnsi="Arial" w:cs="Arial"/>
          <w:b/>
          <w:bCs/>
          <w:color w:val="000000"/>
        </w:rPr>
        <w:t xml:space="preserve">. </w:t>
      </w:r>
      <w:r w:rsidRPr="002C457E">
        <w:rPr>
          <w:rFonts w:ascii="Arial" w:eastAsia="Calibri" w:hAnsi="Arial" w:cs="Arial"/>
          <w:b/>
          <w:bCs/>
          <w:color w:val="000000"/>
        </w:rPr>
        <w:t>Declaratoria de desiert</w:t>
      </w:r>
      <w:r>
        <w:rPr>
          <w:rFonts w:ascii="Arial" w:eastAsia="Calibri" w:hAnsi="Arial" w:cs="Arial"/>
          <w:b/>
          <w:bCs/>
          <w:color w:val="000000"/>
        </w:rPr>
        <w:t>a en los Procesos de Selección</w:t>
      </w:r>
      <w:r w:rsidRPr="002C457E">
        <w:rPr>
          <w:rFonts w:ascii="Arial" w:eastAsia="Calibri" w:hAnsi="Arial" w:cs="Arial"/>
          <w:b/>
          <w:bCs/>
          <w:color w:val="000000"/>
        </w:rPr>
        <w:t>.</w:t>
      </w:r>
    </w:p>
    <w:p w14:paraId="575CB3C8" w14:textId="44FC722F" w:rsidR="00682397" w:rsidRDefault="008F5029" w:rsidP="003E693C">
      <w:pPr>
        <w:spacing w:before="120" w:after="0" w:line="276" w:lineRule="auto"/>
        <w:contextualSpacing/>
        <w:jc w:val="both"/>
        <w:rPr>
          <w:rFonts w:ascii="Arial" w:eastAsia="Calibri" w:hAnsi="Arial" w:cs="Arial"/>
          <w:b/>
          <w:bCs/>
          <w:color w:val="000000"/>
        </w:rPr>
      </w:pPr>
      <w:r w:rsidRPr="002C457E">
        <w:rPr>
          <w:rFonts w:ascii="Arial" w:eastAsia="Calibri" w:hAnsi="Arial" w:cs="Arial"/>
          <w:b/>
          <w:bCs/>
          <w:color w:val="000000"/>
        </w:rPr>
        <w:t xml:space="preserve"> </w:t>
      </w:r>
    </w:p>
    <w:p w14:paraId="32C3BFB3" w14:textId="1951A3A6" w:rsidR="00682397" w:rsidRDefault="00682397" w:rsidP="003E693C">
      <w:pPr>
        <w:spacing w:before="120" w:after="0" w:line="276" w:lineRule="auto"/>
        <w:contextualSpacing/>
        <w:jc w:val="both"/>
        <w:rPr>
          <w:rFonts w:ascii="Arial" w:eastAsia="Calibri" w:hAnsi="Arial" w:cs="Arial"/>
          <w:color w:val="000000"/>
          <w:lang w:val="es-ES_tradnl"/>
        </w:rPr>
      </w:pPr>
      <w:r>
        <w:rPr>
          <w:rFonts w:ascii="Arial" w:eastAsia="Calibri" w:hAnsi="Arial" w:cs="Arial"/>
          <w:color w:val="000000"/>
          <w:lang w:val="es-ES_tradnl"/>
        </w:rPr>
        <w:t xml:space="preserve">La declaratoria de desierta de un procedimiento de selección consiste en la decisión de la entidad contratante de no adjudicar el contrato, esto es, de no seleccionar al futuro contratista originado en un procedimiento de selección, por presentarse los supuestos establecidos por el legislador para dicha declaratoria. </w:t>
      </w:r>
    </w:p>
    <w:p w14:paraId="23EF7C7A" w14:textId="77777777" w:rsidR="003E693C" w:rsidRDefault="003E693C" w:rsidP="00682397">
      <w:pPr>
        <w:spacing w:before="120" w:after="0" w:line="276" w:lineRule="auto"/>
        <w:jc w:val="both"/>
        <w:rPr>
          <w:rFonts w:ascii="Arial" w:eastAsia="Calibri" w:hAnsi="Arial" w:cs="Arial"/>
          <w:color w:val="000000"/>
          <w:lang w:val="es-ES_tradnl"/>
        </w:rPr>
      </w:pPr>
    </w:p>
    <w:p w14:paraId="1A9E01EF" w14:textId="77777777" w:rsidR="00682397" w:rsidRDefault="00682397" w:rsidP="00682397">
      <w:pPr>
        <w:spacing w:after="0" w:line="276" w:lineRule="auto"/>
        <w:ind w:firstLine="709"/>
        <w:jc w:val="both"/>
        <w:rPr>
          <w:rFonts w:ascii="Arial" w:eastAsia="Calibri" w:hAnsi="Arial" w:cs="Arial"/>
          <w:color w:val="000000"/>
          <w:lang w:val="es-ES_tradnl"/>
        </w:rPr>
      </w:pPr>
      <w:r>
        <w:rPr>
          <w:rFonts w:ascii="Arial" w:eastAsia="Calibri" w:hAnsi="Arial" w:cs="Arial"/>
          <w:color w:val="000000" w:themeColor="text1"/>
          <w:szCs w:val="24"/>
          <w:lang w:val="es-ES_tradnl" w:eastAsia="es-ES_tradnl"/>
        </w:rPr>
        <w:t xml:space="preserve">Ahora bien, las normas especiales que regulan el procedimiento de selección abreviada de menor cuantía no establecen una regulación especial respecto a esta actuación. Al no existir regulación especial de la declaratoria de desierta en los procesos de menor cuantía, el fundamento para esta actuación se encuentra consagrado en el numeral 18 del artículo 25 de la Ley 80 de 1993, el cual señala: </w:t>
      </w:r>
    </w:p>
    <w:p w14:paraId="3ABCE160" w14:textId="77777777" w:rsidR="00682397" w:rsidRDefault="00682397" w:rsidP="00682397">
      <w:pPr>
        <w:spacing w:after="0" w:line="276" w:lineRule="auto"/>
        <w:ind w:left="709" w:right="709"/>
        <w:rPr>
          <w:rFonts w:ascii="Arial" w:eastAsia="Calibri" w:hAnsi="Arial" w:cs="Arial"/>
          <w:color w:val="000000"/>
          <w:lang w:val="es-ES_tradnl"/>
        </w:rPr>
      </w:pPr>
    </w:p>
    <w:p w14:paraId="7B1EF883" w14:textId="77777777" w:rsidR="00682397" w:rsidRDefault="00682397" w:rsidP="00682397">
      <w:pPr>
        <w:spacing w:after="0" w:line="240" w:lineRule="auto"/>
        <w:ind w:left="709" w:right="709"/>
        <w:jc w:val="both"/>
        <w:rPr>
          <w:rFonts w:ascii="Arial" w:eastAsia="Times New Roman" w:hAnsi="Arial" w:cs="Arial"/>
          <w:color w:val="000000" w:themeColor="text1"/>
          <w:sz w:val="20"/>
          <w:szCs w:val="20"/>
          <w:lang w:val="es-ES_tradnl" w:eastAsia="es-ES_tradnl"/>
        </w:rPr>
      </w:pPr>
      <w:r>
        <w:rPr>
          <w:rFonts w:ascii="Arial" w:eastAsia="Calibri" w:hAnsi="Arial" w:cs="Arial"/>
          <w:color w:val="000000"/>
          <w:sz w:val="20"/>
          <w:szCs w:val="20"/>
          <w:lang w:val="es-ES_tradnl"/>
        </w:rPr>
        <w:t>“</w:t>
      </w:r>
      <w:bookmarkStart w:id="4" w:name="25"/>
      <w:r>
        <w:rPr>
          <w:rFonts w:ascii="Arial" w:eastAsia="Times New Roman" w:hAnsi="Arial" w:cs="Arial"/>
          <w:color w:val="000000" w:themeColor="text1"/>
          <w:sz w:val="20"/>
          <w:szCs w:val="20"/>
          <w:lang w:val="es-ES_tradnl" w:eastAsia="es-ES_tradnl"/>
        </w:rPr>
        <w:t>Artículo 25. Del principio de economía.</w:t>
      </w:r>
      <w:bookmarkEnd w:id="4"/>
      <w:r>
        <w:rPr>
          <w:rFonts w:ascii="Arial" w:eastAsia="Times New Roman" w:hAnsi="Arial" w:cs="Arial"/>
          <w:color w:val="000000" w:themeColor="text1"/>
          <w:sz w:val="20"/>
          <w:szCs w:val="20"/>
          <w:lang w:val="es-ES_tradnl" w:eastAsia="es-ES_tradnl"/>
        </w:rPr>
        <w:t> En virtud de este principio: […]</w:t>
      </w:r>
    </w:p>
    <w:p w14:paraId="6E30B538" w14:textId="77777777" w:rsidR="00682397" w:rsidRDefault="00682397" w:rsidP="00682397">
      <w:pPr>
        <w:spacing w:after="0" w:line="240" w:lineRule="auto"/>
        <w:ind w:left="709" w:right="709"/>
        <w:jc w:val="both"/>
        <w:rPr>
          <w:rFonts w:ascii="Arial" w:eastAsia="Times New Roman" w:hAnsi="Arial" w:cs="Arial"/>
          <w:color w:val="000000" w:themeColor="text1"/>
          <w:sz w:val="20"/>
          <w:szCs w:val="20"/>
          <w:lang w:val="es-ES_tradnl" w:eastAsia="es-ES_tradnl"/>
        </w:rPr>
      </w:pPr>
    </w:p>
    <w:p w14:paraId="5DA51A75" w14:textId="77777777" w:rsidR="00682397" w:rsidRDefault="00682397" w:rsidP="00682397">
      <w:pPr>
        <w:spacing w:after="0" w:line="240" w:lineRule="auto"/>
        <w:ind w:left="709" w:right="709"/>
        <w:jc w:val="both"/>
        <w:rPr>
          <w:rFonts w:ascii="Arial" w:eastAsia="Times New Roman" w:hAnsi="Arial" w:cs="Arial"/>
          <w:color w:val="000000" w:themeColor="text1"/>
          <w:sz w:val="20"/>
          <w:szCs w:val="20"/>
          <w:lang w:val="es-ES_tradnl" w:eastAsia="es-ES_tradnl"/>
        </w:rPr>
      </w:pPr>
      <w:r>
        <w:rPr>
          <w:rFonts w:ascii="Arial" w:eastAsia="Times New Roman" w:hAnsi="Arial" w:cs="Arial"/>
          <w:color w:val="000000" w:themeColor="text1"/>
          <w:sz w:val="20"/>
          <w:szCs w:val="20"/>
          <w:lang w:val="es-ES_tradnl" w:eastAsia="es-ES_tradnl"/>
        </w:rPr>
        <w:t>18. La declaratoria de desierta de la licitación únicamente procederá por motivos o causas que impidan la escogencia objetiva y se declarará en acto administrativo en el que se señalarán en forma expresa y detallada las razones que han conducido a esa decisión”.</w:t>
      </w:r>
    </w:p>
    <w:p w14:paraId="21F4D0C0" w14:textId="77777777" w:rsidR="00682397" w:rsidRDefault="00682397" w:rsidP="00682397">
      <w:pPr>
        <w:spacing w:after="0" w:line="276" w:lineRule="auto"/>
        <w:jc w:val="both"/>
        <w:rPr>
          <w:rFonts w:ascii="Arial" w:eastAsia="Calibri" w:hAnsi="Arial" w:cs="Arial"/>
          <w:i/>
          <w:iCs/>
          <w:color w:val="000000"/>
        </w:rPr>
      </w:pPr>
      <w:r>
        <w:rPr>
          <w:rFonts w:ascii="Arial" w:eastAsia="Calibri" w:hAnsi="Arial" w:cs="Arial"/>
          <w:i/>
          <w:iCs/>
          <w:color w:val="000000"/>
        </w:rPr>
        <w:tab/>
      </w:r>
    </w:p>
    <w:p w14:paraId="47F90BD9" w14:textId="77777777" w:rsidR="00682397" w:rsidRDefault="00682397" w:rsidP="00682397">
      <w:pPr>
        <w:spacing w:after="0" w:line="276" w:lineRule="auto"/>
        <w:jc w:val="both"/>
        <w:rPr>
          <w:rFonts w:ascii="Arial" w:eastAsia="Calibri" w:hAnsi="Arial" w:cs="Arial"/>
          <w:color w:val="000000"/>
        </w:rPr>
      </w:pPr>
      <w:r>
        <w:rPr>
          <w:rFonts w:ascii="Arial" w:eastAsia="Calibri" w:hAnsi="Arial" w:cs="Arial"/>
          <w:color w:val="000000"/>
        </w:rPr>
        <w:t>Al respecto, la jurisprudencia del Consejo de Estado ha señalado:</w:t>
      </w:r>
    </w:p>
    <w:p w14:paraId="38486337" w14:textId="77777777" w:rsidR="00682397" w:rsidRDefault="00682397" w:rsidP="00682397">
      <w:pPr>
        <w:spacing w:after="0" w:line="276" w:lineRule="auto"/>
        <w:ind w:left="709" w:right="709"/>
        <w:jc w:val="both"/>
        <w:rPr>
          <w:rFonts w:ascii="Arial" w:eastAsia="Calibri" w:hAnsi="Arial" w:cs="Arial"/>
          <w:i/>
          <w:iCs/>
          <w:color w:val="000000"/>
        </w:rPr>
      </w:pPr>
    </w:p>
    <w:p w14:paraId="4C131796" w14:textId="77777777" w:rsidR="00682397" w:rsidRDefault="00682397" w:rsidP="00682397">
      <w:pPr>
        <w:spacing w:after="0" w:line="240" w:lineRule="auto"/>
        <w:ind w:left="709" w:right="709"/>
        <w:jc w:val="both"/>
        <w:rPr>
          <w:rFonts w:ascii="Arial" w:eastAsia="Calibri" w:hAnsi="Arial" w:cs="Arial"/>
          <w:color w:val="000000"/>
          <w:sz w:val="20"/>
          <w:szCs w:val="20"/>
        </w:rPr>
      </w:pPr>
      <w:r>
        <w:rPr>
          <w:rFonts w:ascii="Arial" w:eastAsia="Calibri" w:hAnsi="Arial" w:cs="Arial"/>
          <w:color w:val="000000"/>
          <w:sz w:val="20"/>
          <w:szCs w:val="20"/>
        </w:rPr>
        <w:t>“L</w:t>
      </w:r>
      <w:r>
        <w:rPr>
          <w:rFonts w:ascii="Arial" w:eastAsia="Calibri" w:hAnsi="Arial" w:cs="Arial"/>
          <w:sz w:val="20"/>
          <w:szCs w:val="20"/>
        </w:rPr>
        <w:t>a declaratoria de desierta de la licitación o concurso procederá́ por motivos o causas que impidan la escogencia objetiva y, ante la existencia de un supuesto de hecho o motivo fáctico verdadero, ausencia de análisis jurídico, ajustado a la norma superior en cuanto conforme a ella implica la declaratoria de desierta de la licitación o concurso por impedir la escogencia objetiva”.</w:t>
      </w:r>
      <w:r>
        <w:rPr>
          <w:rFonts w:ascii="Arial" w:eastAsia="Calibri" w:hAnsi="Arial" w:cs="Arial"/>
          <w:sz w:val="20"/>
          <w:szCs w:val="20"/>
          <w:vertAlign w:val="superscript"/>
        </w:rPr>
        <w:footnoteReference w:id="11"/>
      </w:r>
      <w:r>
        <w:rPr>
          <w:rFonts w:ascii="Arial" w:eastAsia="Calibri" w:hAnsi="Arial" w:cs="Arial"/>
          <w:sz w:val="20"/>
          <w:szCs w:val="20"/>
        </w:rPr>
        <w:t xml:space="preserve"> </w:t>
      </w:r>
    </w:p>
    <w:p w14:paraId="137CB0D5" w14:textId="77777777" w:rsidR="00682397" w:rsidRDefault="00682397" w:rsidP="00682397">
      <w:pPr>
        <w:spacing w:after="0" w:line="276" w:lineRule="auto"/>
        <w:jc w:val="both"/>
        <w:rPr>
          <w:rFonts w:ascii="Arial" w:eastAsia="Calibri" w:hAnsi="Arial" w:cs="Arial"/>
          <w:color w:val="000000"/>
        </w:rPr>
      </w:pPr>
      <w:r>
        <w:rPr>
          <w:rFonts w:ascii="Arial" w:eastAsia="Calibri" w:hAnsi="Arial" w:cs="Arial"/>
          <w:color w:val="000000"/>
        </w:rPr>
        <w:tab/>
      </w:r>
    </w:p>
    <w:p w14:paraId="31989EF7" w14:textId="77777777" w:rsidR="00682397" w:rsidRDefault="00682397" w:rsidP="00682397">
      <w:pPr>
        <w:tabs>
          <w:tab w:val="left" w:pos="709"/>
        </w:tabs>
        <w:spacing w:after="120" w:line="276" w:lineRule="auto"/>
        <w:jc w:val="both"/>
        <w:rPr>
          <w:rFonts w:ascii="Arial" w:eastAsia="Calibri" w:hAnsi="Arial" w:cs="Arial"/>
          <w:color w:val="000000" w:themeColor="text1"/>
          <w:szCs w:val="24"/>
          <w:lang w:val="es-ES_tradnl" w:eastAsia="es-ES_tradnl"/>
        </w:rPr>
      </w:pPr>
      <w:r>
        <w:rPr>
          <w:rFonts w:ascii="Arial" w:eastAsia="Calibri" w:hAnsi="Arial" w:cs="Arial"/>
          <w:color w:val="000000" w:themeColor="text1"/>
          <w:szCs w:val="24"/>
          <w:lang w:val="es-ES_tradnl" w:eastAsia="es-ES_tradnl"/>
        </w:rPr>
        <w:lastRenderedPageBreak/>
        <w:tab/>
        <w:t>Si bien resulta problemático que la disposición solo aluda a la “licitación”, esta Agencia considera que su entendimiento debe ser amplio, para acoger a los demás procedimientos de selección adoptados en nuestro ordenamiento de forma posterior. Así, por ejemplo, la Ley 1150 de 2007 -posterior a la vigencia de la Ley 80 de 1993- creó nuevas modalidades de selección en su artículo 2 y, además de la licitación pública, incluyó la selección abreviada, el concurso de méritos y la mínima cuantía. De manera que estos procesos de selección también deben entenderse regidos bajo los principios de la contratación estatal consagrados en la Ley 80.</w:t>
      </w:r>
    </w:p>
    <w:p w14:paraId="47173D6D" w14:textId="77777777" w:rsidR="00682397" w:rsidRDefault="00682397" w:rsidP="00682397">
      <w:pPr>
        <w:tabs>
          <w:tab w:val="left" w:pos="709"/>
        </w:tabs>
        <w:spacing w:after="120" w:line="276" w:lineRule="auto"/>
        <w:jc w:val="both"/>
        <w:rPr>
          <w:rFonts w:ascii="Arial" w:eastAsia="Calibri" w:hAnsi="Arial" w:cs="Arial"/>
          <w:color w:val="000000" w:themeColor="text1"/>
          <w:szCs w:val="24"/>
          <w:lang w:val="es-ES_tradnl" w:eastAsia="es-ES_tradnl"/>
        </w:rPr>
      </w:pPr>
      <w:r>
        <w:rPr>
          <w:rFonts w:ascii="Arial" w:eastAsia="Calibri" w:hAnsi="Arial" w:cs="Arial"/>
          <w:color w:val="000000" w:themeColor="text1"/>
          <w:szCs w:val="24"/>
          <w:lang w:val="es-ES_tradnl" w:eastAsia="es-ES_tradnl"/>
        </w:rPr>
        <w:tab/>
        <w:t>Esta interpretación además encuentra fundamento en lo establecido en el artículo 23 de la Ley 80 de 1993, cuya redacción es más amplia, al prescribir que “</w:t>
      </w:r>
      <w:r>
        <w:rPr>
          <w:rFonts w:ascii="Arial" w:eastAsia="Calibri" w:hAnsi="Arial" w:cs="Arial"/>
          <w:i/>
          <w:iCs/>
          <w:color w:val="000000" w:themeColor="text1"/>
          <w:szCs w:val="24"/>
          <w:lang w:val="es-ES_tradnl" w:eastAsia="es-ES_tradnl"/>
        </w:rPr>
        <w:t>Las actuaciones de quienes intervengan en la contratación estatal se desarrollarán con arreglo a los principios de transparencia, economía y responsabilidad y de conformidad con los postulados que rigen la función administrativa</w:t>
      </w:r>
      <w:r>
        <w:rPr>
          <w:rFonts w:ascii="Arial" w:eastAsia="Calibri" w:hAnsi="Arial" w:cs="Arial"/>
          <w:color w:val="000000" w:themeColor="text1"/>
          <w:szCs w:val="24"/>
          <w:lang w:val="es-ES_tradnl" w:eastAsia="es-ES_tradnl"/>
        </w:rPr>
        <w:t>”. En este sentido, las actuaciones de las Entidades Estatales deben observar el principio de economía, en los términos establecidos por el legislador en el artículo 25, resultando compatible lo establecido en el numeral 18 en relación con la modalidad de selección abreviada de menor cuantía, al igual que frente a las demás modalidades de selección competitivas establecidas en el artículo 2 de la Ley 1150 de 2007.</w:t>
      </w:r>
    </w:p>
    <w:p w14:paraId="619C5450" w14:textId="77777777" w:rsidR="00682397" w:rsidRDefault="00682397" w:rsidP="00682397">
      <w:pPr>
        <w:spacing w:after="120" w:line="276" w:lineRule="auto"/>
        <w:ind w:firstLine="709"/>
        <w:jc w:val="both"/>
        <w:rPr>
          <w:rFonts w:ascii="Arial" w:eastAsia="Calibri" w:hAnsi="Arial" w:cs="Arial"/>
          <w:color w:val="000000"/>
        </w:rPr>
      </w:pPr>
      <w:r>
        <w:rPr>
          <w:rFonts w:ascii="Arial" w:eastAsia="Calibri" w:hAnsi="Arial" w:cs="Arial"/>
          <w:color w:val="000000"/>
        </w:rPr>
        <w:t>De acuerdo con lo anterior, es claro que nuestro ordenamiento jurídico habilita a las Entidades Estatales para declarar desierto un proceso de selección cuando en su desarrollo se determine que no es posible escoger un contratista objetivamente, esto es, cuando no compareció al proceso de selección proponente alguno o existiendo ofertas, ninguna de ellas cumple con los requisitos establecidos en el Pliego de Condiciones para su escogencia.</w:t>
      </w:r>
    </w:p>
    <w:p w14:paraId="455B7979" w14:textId="77777777" w:rsidR="00682397" w:rsidRDefault="00682397" w:rsidP="00682397">
      <w:pPr>
        <w:tabs>
          <w:tab w:val="left" w:pos="709"/>
        </w:tabs>
        <w:spacing w:after="120" w:line="276" w:lineRule="auto"/>
        <w:jc w:val="both"/>
        <w:rPr>
          <w:rFonts w:ascii="Arial" w:eastAsia="Times New Roman" w:hAnsi="Arial" w:cs="Arial"/>
          <w:color w:val="000000" w:themeColor="text1"/>
          <w:sz w:val="20"/>
          <w:szCs w:val="20"/>
          <w:lang w:val="es-ES_tradnl" w:eastAsia="es-ES_tradnl"/>
        </w:rPr>
      </w:pPr>
      <w:r>
        <w:rPr>
          <w:rFonts w:ascii="Arial" w:eastAsia="Calibri" w:hAnsi="Arial" w:cs="Arial"/>
          <w:color w:val="000000" w:themeColor="text1"/>
          <w:szCs w:val="24"/>
          <w:lang w:val="es-ES_tradnl" w:eastAsia="es-ES_tradnl"/>
        </w:rPr>
        <w:tab/>
        <w:t xml:space="preserve">Actualmente, cualquier declaratoria de desierta de un proceso contractual implica que en el acto administrativo mediante el cual se exprese las razones por las cuales considera que no es posible realizar una selección objetiva de la mejor oferta, y cómo esta circunstancia se presenta efectivamente en el procedimiento de selección. Por ejemplo, señalar que no se presentaron ofertas o que de las que se presentaron </w:t>
      </w:r>
      <w:proofErr w:type="gramStart"/>
      <w:r>
        <w:rPr>
          <w:rFonts w:ascii="Arial" w:eastAsia="Calibri" w:hAnsi="Arial" w:cs="Arial"/>
          <w:color w:val="000000" w:themeColor="text1"/>
          <w:szCs w:val="24"/>
          <w:lang w:val="es-ES_tradnl" w:eastAsia="es-ES_tradnl"/>
        </w:rPr>
        <w:t>ninguna cumple</w:t>
      </w:r>
      <w:proofErr w:type="gramEnd"/>
      <w:r>
        <w:rPr>
          <w:rFonts w:ascii="Arial" w:eastAsia="Calibri" w:hAnsi="Arial" w:cs="Arial"/>
          <w:color w:val="000000" w:themeColor="text1"/>
          <w:szCs w:val="24"/>
          <w:lang w:val="es-ES_tradnl" w:eastAsia="es-ES_tradnl"/>
        </w:rPr>
        <w:t xml:space="preserve"> con los requisitos mínimos establecidos por la entidad en los Pliegos de Condiciones o en la invitación. </w:t>
      </w:r>
    </w:p>
    <w:p w14:paraId="614FECD3" w14:textId="77777777" w:rsidR="00682397" w:rsidRDefault="00682397" w:rsidP="00682397">
      <w:pPr>
        <w:tabs>
          <w:tab w:val="left" w:pos="709"/>
        </w:tabs>
        <w:spacing w:after="120" w:line="276" w:lineRule="auto"/>
        <w:jc w:val="both"/>
        <w:rPr>
          <w:rFonts w:ascii="Arial" w:eastAsia="Calibri" w:hAnsi="Arial" w:cs="Arial"/>
          <w:color w:val="000000" w:themeColor="text1"/>
          <w:szCs w:val="24"/>
          <w:lang w:eastAsia="es-ES_tradnl"/>
        </w:rPr>
      </w:pPr>
      <w:r>
        <w:rPr>
          <w:rFonts w:ascii="Arial" w:eastAsia="Calibri" w:hAnsi="Arial" w:cs="Arial"/>
          <w:color w:val="000000" w:themeColor="text1"/>
          <w:szCs w:val="24"/>
          <w:lang w:eastAsia="es-ES_tradnl"/>
        </w:rPr>
        <w:tab/>
        <w:t>En efecto, este instrumento normativo se limita al caso específico de que la entidad se encuentre frente a un proceso de selección en que no sea posible la selección objetiva del contratista debido a las condiciones de las ofertas presentadas o no presentadas -en caso de que no se presente ninguna-. Se evalúan las ofertas con base en las directrices y criterios establecidos en la convocatoria pública y, al no cumplir con ellos ninguna de las ofertas, se declara desierta la convocatoria.</w:t>
      </w:r>
    </w:p>
    <w:p w14:paraId="523D3AA2" w14:textId="3E9372DF" w:rsidR="00682397" w:rsidRDefault="00682397" w:rsidP="00682397">
      <w:pPr>
        <w:spacing w:after="120" w:line="276" w:lineRule="auto"/>
        <w:ind w:firstLine="709"/>
        <w:jc w:val="both"/>
        <w:rPr>
          <w:rFonts w:ascii="Arial" w:eastAsia="Calibri" w:hAnsi="Arial" w:cs="Arial"/>
          <w:color w:val="000000"/>
        </w:rPr>
      </w:pPr>
      <w:r>
        <w:rPr>
          <w:rFonts w:ascii="Arial" w:eastAsia="Calibri" w:hAnsi="Arial" w:cs="Arial"/>
          <w:color w:val="000000"/>
        </w:rPr>
        <w:lastRenderedPageBreak/>
        <w:t xml:space="preserve">Ahora bien, debe señalarse que </w:t>
      </w:r>
      <w:r>
        <w:rPr>
          <w:rFonts w:ascii="Arial" w:eastAsia="Calibri" w:hAnsi="Arial" w:cs="Arial"/>
        </w:rPr>
        <w:t xml:space="preserve">las Entidades Estatales sometidas al Estatuto General de Contratación de la Administración Pública que hayan </w:t>
      </w:r>
      <w:r>
        <w:rPr>
          <w:rFonts w:ascii="Arial" w:eastAsia="Calibri" w:hAnsi="Arial" w:cs="Arial"/>
          <w:color w:val="000000"/>
          <w:lang w:val="es-ES_tradnl"/>
        </w:rPr>
        <w:t xml:space="preserve">declarado desierto un proceso de selección </w:t>
      </w:r>
      <w:r w:rsidR="00E50C75">
        <w:rPr>
          <w:rFonts w:ascii="Arial" w:eastAsia="Calibri" w:hAnsi="Arial" w:cs="Arial"/>
          <w:color w:val="000000"/>
          <w:lang w:val="es-ES_tradnl"/>
        </w:rPr>
        <w:t>mediante convocatoria pública</w:t>
      </w:r>
      <w:r>
        <w:rPr>
          <w:rFonts w:ascii="Arial" w:eastAsia="Calibri" w:hAnsi="Arial" w:cs="Arial"/>
          <w:color w:val="000000"/>
          <w:lang w:val="es-ES_tradnl"/>
        </w:rPr>
        <w:t xml:space="preserve"> </w:t>
      </w:r>
      <w:r w:rsidR="00B802FF">
        <w:rPr>
          <w:rFonts w:ascii="Arial" w:eastAsia="Calibri" w:hAnsi="Arial" w:cs="Arial"/>
        </w:rPr>
        <w:t xml:space="preserve">podrán </w:t>
      </w:r>
      <w:r>
        <w:rPr>
          <w:rFonts w:ascii="Arial" w:eastAsia="Calibri" w:hAnsi="Arial" w:cs="Arial"/>
        </w:rPr>
        <w:t xml:space="preserve">considerar, para satisfacer sus necesidades, la posibilidad de </w:t>
      </w:r>
      <w:r>
        <w:rPr>
          <w:rFonts w:ascii="Arial" w:eastAsia="Times New Roman" w:hAnsi="Arial" w:cs="Arial"/>
          <w:lang w:eastAsia="es-MX"/>
        </w:rPr>
        <w:t xml:space="preserve">adelantar un nuevo proceso de selección, teniendo en cuenta las cinco (5) modalidades de selección previstas en el artículo 2 de la Ley 1150 de 2007 y sus respectivas causales, respecto de las </w:t>
      </w:r>
      <w:r>
        <w:rPr>
          <w:rFonts w:ascii="Arial" w:eastAsia="Calibri" w:hAnsi="Arial" w:cs="Arial"/>
          <w:color w:val="000000"/>
        </w:rPr>
        <w:t>características particulares del objeto a contratar, las circunstancias de la contratación o la cuantía o destinación del bien, obra o servicio, que justifican la selección de una u otra modalidad de contratación especifica, que en todo caso debe estar siempre acorde a la Ley.</w:t>
      </w:r>
    </w:p>
    <w:p w14:paraId="49161EE2" w14:textId="77777777" w:rsidR="0091142F" w:rsidRDefault="0091142F" w:rsidP="006F63AA">
      <w:pPr>
        <w:tabs>
          <w:tab w:val="left" w:pos="0"/>
        </w:tabs>
        <w:jc w:val="both"/>
        <w:rPr>
          <w:rFonts w:ascii="Arial" w:eastAsia="Calibri" w:hAnsi="Arial" w:cs="Arial"/>
          <w:b/>
          <w:color w:val="000000" w:themeColor="text1"/>
          <w:lang w:val="es-ES_tradnl"/>
        </w:rPr>
      </w:pPr>
    </w:p>
    <w:p w14:paraId="67C50223" w14:textId="4A877165" w:rsidR="006F63AA" w:rsidRPr="007C50A9" w:rsidRDefault="006F63AA" w:rsidP="006F63AA">
      <w:pPr>
        <w:tabs>
          <w:tab w:val="left" w:pos="0"/>
        </w:tabs>
        <w:jc w:val="both"/>
        <w:rPr>
          <w:rFonts w:ascii="Arial" w:eastAsia="Calibri" w:hAnsi="Arial" w:cs="Arial"/>
          <w:b/>
          <w:color w:val="000000" w:themeColor="text1"/>
          <w:lang w:val="es-ES_tradnl"/>
        </w:rPr>
      </w:pPr>
      <w:r w:rsidRPr="007C50A9">
        <w:rPr>
          <w:rFonts w:ascii="Arial" w:eastAsia="Calibri" w:hAnsi="Arial" w:cs="Arial"/>
          <w:b/>
          <w:color w:val="000000" w:themeColor="text1"/>
          <w:lang w:val="es-ES_tradnl"/>
        </w:rPr>
        <w:t>3. Respuesta</w:t>
      </w:r>
    </w:p>
    <w:p w14:paraId="2E97F807" w14:textId="77777777" w:rsidR="0091142F" w:rsidRPr="00053B47" w:rsidRDefault="0091142F" w:rsidP="0091142F">
      <w:pPr>
        <w:spacing w:line="20" w:lineRule="atLeast"/>
        <w:ind w:left="709" w:right="1043"/>
        <w:jc w:val="both"/>
        <w:rPr>
          <w:rFonts w:ascii="Arial" w:hAnsi="Arial" w:cs="Arial"/>
          <w:i/>
          <w:iCs/>
          <w:color w:val="000000" w:themeColor="text1"/>
          <w:sz w:val="21"/>
          <w:szCs w:val="21"/>
        </w:rPr>
      </w:pPr>
      <w:r w:rsidRPr="00053B47">
        <w:rPr>
          <w:rFonts w:ascii="Arial" w:hAnsi="Arial" w:cs="Arial"/>
          <w:i/>
          <w:iCs/>
          <w:color w:val="000000" w:themeColor="text1"/>
          <w:sz w:val="21"/>
          <w:szCs w:val="21"/>
        </w:rPr>
        <w:t xml:space="preserve">1. ¿En el marco del Estatuto General de la Contratación de la Administración Pública es posible que un proceso de selección de un contratista por convocatoria pública, (licitación pública, selección abreviada, concurso o mínima cuantía), sea declarado desierto porque sólo participa un oferente? </w:t>
      </w:r>
    </w:p>
    <w:p w14:paraId="171302F5" w14:textId="77777777" w:rsidR="0091142F" w:rsidRPr="00053B47" w:rsidRDefault="0091142F" w:rsidP="0091142F">
      <w:pPr>
        <w:spacing w:line="20" w:lineRule="atLeast"/>
        <w:ind w:left="709" w:right="1043"/>
        <w:jc w:val="both"/>
        <w:rPr>
          <w:rFonts w:ascii="Arial" w:hAnsi="Arial" w:cs="Arial"/>
          <w:i/>
          <w:iCs/>
          <w:color w:val="000000" w:themeColor="text1"/>
          <w:sz w:val="21"/>
          <w:szCs w:val="21"/>
        </w:rPr>
      </w:pPr>
      <w:r w:rsidRPr="00053B47">
        <w:rPr>
          <w:rFonts w:ascii="Arial" w:hAnsi="Arial" w:cs="Arial"/>
          <w:i/>
          <w:iCs/>
          <w:color w:val="000000" w:themeColor="text1"/>
          <w:sz w:val="21"/>
          <w:szCs w:val="21"/>
        </w:rPr>
        <w:t>2. ¿Si la anterior respuesta es negativa, ¿cómo se aplica el deber de selección objetiva para evaluar la única propuesta participante y poder adjudicar el proceso de selección?</w:t>
      </w:r>
    </w:p>
    <w:p w14:paraId="4F651F62" w14:textId="77777777" w:rsidR="0091142F" w:rsidRPr="00053B47" w:rsidRDefault="0091142F" w:rsidP="0091142F">
      <w:pPr>
        <w:spacing w:line="20" w:lineRule="atLeast"/>
        <w:ind w:left="709" w:right="1043"/>
        <w:jc w:val="both"/>
        <w:rPr>
          <w:rFonts w:ascii="Arial" w:hAnsi="Arial" w:cs="Arial"/>
          <w:i/>
          <w:iCs/>
          <w:color w:val="000000" w:themeColor="text1"/>
          <w:sz w:val="21"/>
          <w:szCs w:val="21"/>
        </w:rPr>
      </w:pPr>
      <w:r w:rsidRPr="00053B47">
        <w:rPr>
          <w:rFonts w:ascii="Arial" w:hAnsi="Arial" w:cs="Arial"/>
          <w:i/>
          <w:iCs/>
          <w:color w:val="000000" w:themeColor="text1"/>
          <w:sz w:val="21"/>
          <w:szCs w:val="21"/>
        </w:rPr>
        <w:t xml:space="preserve">3. ¿Existe alguna norma constitucional, legal, reglamentaria, circular, directriz, regla de documento tipo, manual, etc., que justifique la declaratoria de desierta de una licitación, o de cualquier proceso de selección por convocatoria pública, por el hecho de que sólo participe un solo oferente? En caso afirmativo por favor enviarnos copia del documento que contenga dicha justificación. </w:t>
      </w:r>
    </w:p>
    <w:p w14:paraId="09296C48" w14:textId="71A2BE5B" w:rsidR="00682397" w:rsidRDefault="00682397" w:rsidP="00682397">
      <w:pPr>
        <w:spacing w:before="120" w:line="276" w:lineRule="auto"/>
        <w:ind w:firstLine="708"/>
        <w:jc w:val="both"/>
        <w:rPr>
          <w:rFonts w:ascii="Arial" w:eastAsia="Calibri" w:hAnsi="Arial" w:cs="Arial"/>
          <w:color w:val="000000"/>
        </w:rPr>
      </w:pPr>
      <w:r w:rsidRPr="00B85E47">
        <w:rPr>
          <w:rFonts w:ascii="Arial" w:eastAsia="Calibri" w:hAnsi="Arial" w:cs="Arial"/>
          <w:color w:val="000000"/>
        </w:rPr>
        <w:t xml:space="preserve">De acuerdo con lo </w:t>
      </w:r>
      <w:r w:rsidR="00B85E47" w:rsidRPr="00B85E47">
        <w:rPr>
          <w:rFonts w:ascii="Arial" w:eastAsia="Calibri" w:hAnsi="Arial" w:cs="Arial"/>
          <w:color w:val="000000"/>
        </w:rPr>
        <w:t>expuesto en la parte motiva de la presente respuesta</w:t>
      </w:r>
      <w:r w:rsidRPr="00B85E47">
        <w:rPr>
          <w:rFonts w:ascii="Arial" w:eastAsia="Calibri" w:hAnsi="Arial" w:cs="Arial"/>
          <w:color w:val="000000"/>
        </w:rPr>
        <w:t xml:space="preserve"> es claro que nuestro ordenamiento jurídico habilita a las Entidades Estatales para declarar desierto un Proceso de Selección cuando en su desarrollo se determine que no es posible escoger un contratista objetivamente, esto es, cuando no compareció al proceso de selección proponente alguno o existiendo ofertas, ninguna de ellas cumple con los requisitos establecidos en el pliego de condiciones para su escogencia.</w:t>
      </w:r>
    </w:p>
    <w:p w14:paraId="1F8FACB7" w14:textId="55C88EA5" w:rsidR="00B85E47" w:rsidRPr="002C457E" w:rsidRDefault="00B85E47" w:rsidP="00682397">
      <w:pPr>
        <w:spacing w:before="120" w:line="276" w:lineRule="auto"/>
        <w:ind w:firstLine="708"/>
        <w:jc w:val="both"/>
        <w:rPr>
          <w:rFonts w:ascii="Arial" w:eastAsia="Calibri" w:hAnsi="Arial" w:cs="Arial"/>
          <w:color w:val="000000"/>
        </w:rPr>
      </w:pPr>
      <w:r>
        <w:rPr>
          <w:rFonts w:ascii="Arial" w:eastAsia="Calibri" w:hAnsi="Arial" w:cs="Arial"/>
          <w:color w:val="000000"/>
        </w:rPr>
        <w:t xml:space="preserve">Ahora bien, por su parte </w:t>
      </w:r>
      <w:r w:rsidRPr="00DC4D52">
        <w:rPr>
          <w:rFonts w:ascii="Arial" w:hAnsi="Arial" w:cs="Arial"/>
          <w:bCs/>
        </w:rPr>
        <w:t>el deber de selección objetiva está ligado a la determinación del ofrecimiento más favorable, cuyo contenido debe ser precisado a partir de las diferentes alternativas del artículo 5 de la Ley 1150 de 2007, reglamentado por el artículo 2.2.1.1.2.2.2 del Decreto 1082 de 2015, que, en todo caso, deben reflejarse en el pliego de condiciones o documento equivalente para el respectivo proceso de selección. Estas disposiciones establecen que en los procesos de selección deben evaluarse, fuera de los requisitos habilitantes, los factores de calificación, valoración o evaluación.</w:t>
      </w:r>
    </w:p>
    <w:p w14:paraId="7C91DDAD" w14:textId="77777777" w:rsidR="006F63AA" w:rsidRPr="007C50A9" w:rsidRDefault="006F63AA" w:rsidP="006F63AA">
      <w:pPr>
        <w:spacing w:before="120" w:after="120" w:line="276" w:lineRule="auto"/>
        <w:ind w:firstLine="709"/>
        <w:jc w:val="both"/>
        <w:rPr>
          <w:rFonts w:ascii="Arial" w:eastAsia="Calibri" w:hAnsi="Arial" w:cs="Arial"/>
          <w:bCs/>
          <w:color w:val="000000"/>
          <w:lang w:eastAsia="es-CO"/>
        </w:rPr>
      </w:pPr>
    </w:p>
    <w:p w14:paraId="0A563E39" w14:textId="77777777" w:rsidR="00B85E47" w:rsidRDefault="00B85E47" w:rsidP="00B85E47">
      <w:pPr>
        <w:spacing w:after="0" w:line="276" w:lineRule="auto"/>
        <w:ind w:firstLine="708"/>
        <w:jc w:val="both"/>
        <w:rPr>
          <w:rFonts w:ascii="Arial" w:eastAsia="Calibri" w:hAnsi="Arial" w:cs="Arial"/>
          <w:color w:val="000000"/>
        </w:rPr>
      </w:pPr>
      <w:r>
        <w:rPr>
          <w:rFonts w:ascii="Arial" w:eastAsia="Calibri" w:hAnsi="Arial" w:cs="Arial"/>
          <w:color w:val="000000"/>
        </w:rPr>
        <w:t xml:space="preserve">Finalmente, se recomienda que las Entidades Estatales, en aquellos casos en los cuales declaran desiertos un Proceso de Contratación revisen los factores que pueden estar afectando la participación nula en el procedimiento o las causas por las cuales los oferentes no están cumpliendo con los requisitos señalados en los Pliegos de Condiciones, con el fin de corregir los posibles obstáculos que están conllevando a la declaratoria de desierta. </w:t>
      </w:r>
    </w:p>
    <w:p w14:paraId="4ADC8E91" w14:textId="77777777" w:rsidR="00B85E47" w:rsidRDefault="00B85E47" w:rsidP="006F63AA">
      <w:pPr>
        <w:ind w:firstLine="708"/>
        <w:jc w:val="both"/>
        <w:textAlignment w:val="baseline"/>
        <w:rPr>
          <w:rFonts w:ascii="Arial" w:hAnsi="Arial" w:cs="Arial"/>
          <w:lang w:val="es-MX" w:eastAsia="es-CO"/>
        </w:rPr>
      </w:pPr>
    </w:p>
    <w:p w14:paraId="02F23D3F" w14:textId="4F38A346" w:rsidR="006F63AA" w:rsidRPr="0041726D" w:rsidRDefault="006F63AA" w:rsidP="006F63AA">
      <w:pPr>
        <w:ind w:firstLine="708"/>
        <w:jc w:val="both"/>
        <w:textAlignment w:val="baseline"/>
        <w:rPr>
          <w:rFonts w:ascii="Segoe UI" w:hAnsi="Segoe UI" w:cs="Segoe UI"/>
          <w:sz w:val="18"/>
          <w:szCs w:val="18"/>
          <w:lang w:eastAsia="es-CO"/>
        </w:rPr>
      </w:pPr>
      <w:r w:rsidRPr="0041726D">
        <w:rPr>
          <w:rFonts w:ascii="Arial" w:hAnsi="Arial" w:cs="Arial"/>
          <w:lang w:val="es-MX" w:eastAsia="es-CO"/>
        </w:rPr>
        <w:t>Este concepto tiene el alcance previsto en el artículo 28 del Código de Procedimiento Administrativo y de lo Contencioso Administrativo.</w:t>
      </w:r>
    </w:p>
    <w:bookmarkEnd w:id="1"/>
    <w:p w14:paraId="2224560E" w14:textId="77777777" w:rsidR="006F63AA" w:rsidRDefault="006F63AA" w:rsidP="006F63AA">
      <w:pPr>
        <w:spacing w:after="120" w:line="276" w:lineRule="auto"/>
        <w:jc w:val="both"/>
        <w:rPr>
          <w:rFonts w:ascii="Arial" w:hAnsi="Arial" w:cs="Arial"/>
          <w:lang w:val="es-ES_tradnl"/>
        </w:rPr>
      </w:pPr>
    </w:p>
    <w:p w14:paraId="67062B75" w14:textId="77777777" w:rsidR="006F63AA" w:rsidRPr="00EC7BC2" w:rsidRDefault="006F63AA" w:rsidP="006F63AA">
      <w:pPr>
        <w:spacing w:after="120" w:line="276" w:lineRule="auto"/>
        <w:jc w:val="both"/>
        <w:rPr>
          <w:rFonts w:ascii="Arial" w:hAnsi="Arial" w:cs="Arial"/>
          <w:lang w:val="es-ES_tradnl"/>
        </w:rPr>
      </w:pPr>
      <w:r w:rsidRPr="00EC7BC2">
        <w:rPr>
          <w:rFonts w:ascii="Arial" w:hAnsi="Arial" w:cs="Arial"/>
          <w:lang w:val="es-ES_tradnl"/>
        </w:rPr>
        <w:t>Atentamente,</w:t>
      </w:r>
    </w:p>
    <w:p w14:paraId="72BE0636" w14:textId="77777777" w:rsidR="006F63AA" w:rsidRDefault="006F63AA" w:rsidP="006F63AA">
      <w:pPr>
        <w:spacing w:after="0" w:line="276" w:lineRule="auto"/>
        <w:jc w:val="center"/>
        <w:textAlignment w:val="baseline"/>
        <w:rPr>
          <w:rFonts w:ascii="Arial" w:hAnsi="Arial" w:cs="Arial"/>
          <w:noProof/>
          <w:lang w:val="es-ES_tradnl"/>
        </w:rPr>
      </w:pPr>
    </w:p>
    <w:p w14:paraId="7F01363B" w14:textId="77777777" w:rsidR="006F63AA" w:rsidRDefault="006F63AA" w:rsidP="006F63AA">
      <w:pPr>
        <w:spacing w:after="0" w:line="276" w:lineRule="auto"/>
        <w:jc w:val="center"/>
        <w:textAlignment w:val="baseline"/>
        <w:rPr>
          <w:rFonts w:ascii="Arial" w:hAnsi="Arial" w:cs="Arial"/>
          <w:noProof/>
          <w:lang w:val="es-ES_tradnl"/>
        </w:rPr>
      </w:pPr>
    </w:p>
    <w:p w14:paraId="6C8A75EF" w14:textId="08961C24" w:rsidR="006F63AA" w:rsidRDefault="00B72FE2" w:rsidP="006F63AA">
      <w:pPr>
        <w:spacing w:after="0" w:line="276" w:lineRule="auto"/>
        <w:jc w:val="center"/>
        <w:textAlignment w:val="baseline"/>
        <w:rPr>
          <w:rFonts w:ascii="Arial" w:hAnsi="Arial" w:cs="Arial"/>
          <w:noProof/>
          <w:lang w:val="es-ES_tradnl"/>
        </w:rPr>
      </w:pPr>
      <w:r>
        <w:rPr>
          <w:noProof/>
        </w:rPr>
        <w:drawing>
          <wp:inline distT="0" distB="0" distL="0" distR="0" wp14:anchorId="295D58C5" wp14:editId="7D234EA3">
            <wp:extent cx="3161905" cy="1209524"/>
            <wp:effectExtent l="0" t="0" r="635" b="0"/>
            <wp:docPr id="91372373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723736" name="Imagen 1" descr="Texto&#10;&#10;Descripción generada automáticamente"/>
                    <pic:cNvPicPr/>
                  </pic:nvPicPr>
                  <pic:blipFill>
                    <a:blip r:embed="rId10"/>
                    <a:stretch>
                      <a:fillRect/>
                    </a:stretch>
                  </pic:blipFill>
                  <pic:spPr>
                    <a:xfrm>
                      <a:off x="0" y="0"/>
                      <a:ext cx="3161905" cy="1209524"/>
                    </a:xfrm>
                    <a:prstGeom prst="rect">
                      <a:avLst/>
                    </a:prstGeom>
                  </pic:spPr>
                </pic:pic>
              </a:graphicData>
            </a:graphic>
          </wp:inline>
        </w:drawing>
      </w:r>
    </w:p>
    <w:p w14:paraId="16DB3F72" w14:textId="77777777" w:rsidR="006F63AA" w:rsidRDefault="006F63AA" w:rsidP="006F63AA">
      <w:pPr>
        <w:spacing w:after="0" w:line="276" w:lineRule="auto"/>
        <w:jc w:val="center"/>
        <w:textAlignment w:val="baseline"/>
        <w:rPr>
          <w:rFonts w:ascii="Arial" w:hAnsi="Arial" w:cs="Arial"/>
          <w:noProof/>
          <w:lang w:val="es-ES_tradnl"/>
        </w:rPr>
      </w:pPr>
    </w:p>
    <w:p w14:paraId="741DC85C" w14:textId="77777777" w:rsidR="006F63AA" w:rsidRPr="00EC7BC2" w:rsidRDefault="006F63AA" w:rsidP="006F63AA">
      <w:pPr>
        <w:spacing w:after="0" w:line="276" w:lineRule="auto"/>
        <w:jc w:val="center"/>
        <w:textAlignment w:val="baseline"/>
        <w:rPr>
          <w:rFonts w:ascii="Arial" w:eastAsia="Times New Roman" w:hAnsi="Arial" w:cs="Arial"/>
          <w:lang w:eastAsia="es-CO"/>
        </w:rPr>
      </w:pPr>
    </w:p>
    <w:tbl>
      <w:tblPr>
        <w:tblW w:w="694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6136"/>
      </w:tblGrid>
      <w:tr w:rsidR="006F63AA" w:rsidRPr="00EC7BC2" w14:paraId="5E82E3D6" w14:textId="77777777" w:rsidTr="00B802FF">
        <w:trPr>
          <w:trHeight w:val="315"/>
        </w:trPr>
        <w:tc>
          <w:tcPr>
            <w:tcW w:w="810" w:type="dxa"/>
            <w:tcBorders>
              <w:top w:val="nil"/>
              <w:left w:val="nil"/>
              <w:bottom w:val="nil"/>
              <w:right w:val="nil"/>
            </w:tcBorders>
            <w:vAlign w:val="center"/>
            <w:hideMark/>
          </w:tcPr>
          <w:p w14:paraId="359C6A5B" w14:textId="77777777" w:rsidR="006F63AA" w:rsidRPr="00EC7BC2" w:rsidRDefault="006F63AA" w:rsidP="00B802FF">
            <w:pPr>
              <w:spacing w:after="0" w:line="276"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MX" w:eastAsia="es-CO"/>
              </w:rPr>
              <w:t>Elaboró:</w:t>
            </w:r>
            <w:r w:rsidRPr="00EC7BC2">
              <w:rPr>
                <w:rFonts w:ascii="Arial" w:eastAsia="Times New Roman" w:hAnsi="Arial" w:cs="Arial"/>
                <w:sz w:val="16"/>
                <w:szCs w:val="16"/>
                <w:lang w:eastAsia="es-CO"/>
              </w:rPr>
              <w:t> </w:t>
            </w:r>
          </w:p>
        </w:tc>
        <w:tc>
          <w:tcPr>
            <w:tcW w:w="6136" w:type="dxa"/>
            <w:tcBorders>
              <w:top w:val="nil"/>
              <w:left w:val="nil"/>
              <w:bottom w:val="dotted" w:sz="6" w:space="0" w:color="7F7F7F" w:themeColor="text1" w:themeTint="80"/>
              <w:right w:val="nil"/>
            </w:tcBorders>
            <w:vAlign w:val="center"/>
            <w:hideMark/>
          </w:tcPr>
          <w:p w14:paraId="4CA9057E" w14:textId="77777777" w:rsidR="006F63AA" w:rsidRPr="00EC7BC2" w:rsidRDefault="006F63AA" w:rsidP="00B802FF">
            <w:pPr>
              <w:spacing w:after="0" w:line="240" w:lineRule="auto"/>
              <w:textAlignment w:val="baseline"/>
              <w:rPr>
                <w:rFonts w:ascii="Arial" w:eastAsia="Times New Roman" w:hAnsi="Arial" w:cs="Arial"/>
                <w:sz w:val="16"/>
                <w:szCs w:val="16"/>
                <w:lang w:val="es-MX" w:eastAsia="es-CO"/>
              </w:rPr>
            </w:pPr>
            <w:r>
              <w:rPr>
                <w:rFonts w:ascii="Arial" w:eastAsia="Times New Roman" w:hAnsi="Arial" w:cs="Arial"/>
                <w:sz w:val="16"/>
                <w:szCs w:val="16"/>
                <w:lang w:val="es-MX" w:eastAsia="es-CO"/>
              </w:rPr>
              <w:t>Christian Camilo Orjuela Galeano</w:t>
            </w:r>
          </w:p>
          <w:p w14:paraId="0B4483D9" w14:textId="77777777" w:rsidR="006F63AA" w:rsidRPr="00EC7BC2" w:rsidRDefault="006F63AA" w:rsidP="00B802FF">
            <w:pPr>
              <w:spacing w:after="0" w:line="240"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MX" w:eastAsia="es-CO"/>
              </w:rPr>
              <w:t xml:space="preserve">Contratista de la </w:t>
            </w:r>
            <w:r w:rsidRPr="00EC7BC2">
              <w:rPr>
                <w:rFonts w:ascii="Arial" w:eastAsia="Times New Roman" w:hAnsi="Arial" w:cs="Arial"/>
                <w:sz w:val="16"/>
                <w:szCs w:val="16"/>
                <w:lang w:eastAsia="es-CO"/>
              </w:rPr>
              <w:t>Subdirección de Gestión Contractual</w:t>
            </w:r>
          </w:p>
        </w:tc>
      </w:tr>
      <w:tr w:rsidR="006F63AA" w:rsidRPr="00EC7BC2" w14:paraId="7C0EDA4C" w14:textId="77777777" w:rsidTr="00B802FF">
        <w:trPr>
          <w:trHeight w:val="315"/>
        </w:trPr>
        <w:tc>
          <w:tcPr>
            <w:tcW w:w="810" w:type="dxa"/>
            <w:tcBorders>
              <w:top w:val="nil"/>
              <w:left w:val="nil"/>
              <w:bottom w:val="nil"/>
              <w:right w:val="nil"/>
            </w:tcBorders>
            <w:vAlign w:val="center"/>
            <w:hideMark/>
          </w:tcPr>
          <w:p w14:paraId="5E6B77EF" w14:textId="77777777" w:rsidR="006F63AA" w:rsidRPr="00EC7BC2" w:rsidRDefault="006F63AA" w:rsidP="00B802FF">
            <w:pPr>
              <w:spacing w:after="0" w:line="276"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MX" w:eastAsia="es-CO"/>
              </w:rPr>
              <w:t>Revisó:</w:t>
            </w:r>
            <w:r w:rsidRPr="00EC7BC2">
              <w:rPr>
                <w:rFonts w:ascii="Arial" w:eastAsia="Times New Roman" w:hAnsi="Arial" w:cs="Arial"/>
                <w:sz w:val="16"/>
                <w:szCs w:val="16"/>
                <w:lang w:eastAsia="es-CO"/>
              </w:rPr>
              <w:t> </w:t>
            </w:r>
          </w:p>
        </w:tc>
        <w:tc>
          <w:tcPr>
            <w:tcW w:w="6136" w:type="dxa"/>
            <w:tcBorders>
              <w:top w:val="dotted" w:sz="6" w:space="0" w:color="7F7F7F" w:themeColor="text1" w:themeTint="80"/>
              <w:left w:val="nil"/>
              <w:bottom w:val="dotted" w:sz="6" w:space="0" w:color="7F7F7F" w:themeColor="text1" w:themeTint="80"/>
              <w:right w:val="nil"/>
            </w:tcBorders>
            <w:vAlign w:val="center"/>
            <w:hideMark/>
          </w:tcPr>
          <w:p w14:paraId="5BE4FAF1" w14:textId="59DC4CF8" w:rsidR="006F63AA" w:rsidRPr="00EC7BC2" w:rsidRDefault="00630817" w:rsidP="00B802FF">
            <w:pPr>
              <w:spacing w:after="0" w:line="240" w:lineRule="auto"/>
              <w:textAlignment w:val="baseline"/>
              <w:rPr>
                <w:rFonts w:ascii="Arial" w:eastAsia="Times New Roman" w:hAnsi="Arial" w:cs="Arial"/>
                <w:sz w:val="16"/>
                <w:szCs w:val="16"/>
                <w:lang w:val="es-ES_tradnl" w:eastAsia="es-CO"/>
              </w:rPr>
            </w:pPr>
            <w:r>
              <w:rPr>
                <w:rFonts w:ascii="Arial" w:eastAsia="Times New Roman" w:hAnsi="Arial" w:cs="Arial"/>
                <w:sz w:val="16"/>
                <w:szCs w:val="16"/>
                <w:lang w:val="es-ES_tradnl" w:eastAsia="es-CO"/>
              </w:rPr>
              <w:t xml:space="preserve">Juan David Cárdenas </w:t>
            </w:r>
            <w:r w:rsidR="006F63AA">
              <w:rPr>
                <w:rFonts w:ascii="Arial" w:eastAsia="Times New Roman" w:hAnsi="Arial" w:cs="Arial"/>
                <w:sz w:val="16"/>
                <w:szCs w:val="16"/>
                <w:lang w:val="es-ES_tradnl" w:eastAsia="es-CO"/>
              </w:rPr>
              <w:t xml:space="preserve"> </w:t>
            </w:r>
          </w:p>
          <w:p w14:paraId="1606220A" w14:textId="5E27FD12" w:rsidR="006F63AA" w:rsidRPr="00EC7BC2" w:rsidRDefault="006F63AA" w:rsidP="34DA82C5">
            <w:pPr>
              <w:spacing w:after="0" w:line="240" w:lineRule="auto"/>
              <w:textAlignment w:val="baseline"/>
              <w:rPr>
                <w:rFonts w:ascii="Arial" w:eastAsia="Times New Roman" w:hAnsi="Arial" w:cs="Arial"/>
                <w:sz w:val="16"/>
                <w:szCs w:val="16"/>
                <w:lang w:eastAsia="es-CO"/>
              </w:rPr>
            </w:pPr>
            <w:r w:rsidRPr="34DA82C5">
              <w:rPr>
                <w:rFonts w:ascii="Arial" w:eastAsia="Times New Roman" w:hAnsi="Arial" w:cs="Arial"/>
                <w:sz w:val="16"/>
                <w:szCs w:val="16"/>
                <w:lang w:val="es-MX" w:eastAsia="es-CO"/>
              </w:rPr>
              <w:t xml:space="preserve">Contratista de la </w:t>
            </w:r>
            <w:r w:rsidRPr="34DA82C5">
              <w:rPr>
                <w:rFonts w:ascii="Arial" w:eastAsia="Times New Roman" w:hAnsi="Arial" w:cs="Arial"/>
                <w:sz w:val="16"/>
                <w:szCs w:val="16"/>
                <w:lang w:eastAsia="es-CO"/>
              </w:rPr>
              <w:t>Subdirección de Gestión Contractual</w:t>
            </w:r>
          </w:p>
          <w:p w14:paraId="4F69DBE5" w14:textId="739CCE93" w:rsidR="006F63AA" w:rsidRPr="00EC7BC2" w:rsidRDefault="5620BA2A" w:rsidP="34DA82C5">
            <w:pPr>
              <w:spacing w:after="0" w:line="240" w:lineRule="auto"/>
              <w:textAlignment w:val="baseline"/>
              <w:rPr>
                <w:rFonts w:ascii="Arial" w:eastAsia="Times New Roman" w:hAnsi="Arial" w:cs="Arial"/>
                <w:sz w:val="16"/>
                <w:szCs w:val="16"/>
                <w:lang w:eastAsia="es-CO"/>
              </w:rPr>
            </w:pPr>
            <w:r w:rsidRPr="34DA82C5">
              <w:rPr>
                <w:rFonts w:ascii="Arial" w:eastAsia="Times New Roman" w:hAnsi="Arial" w:cs="Arial"/>
                <w:sz w:val="16"/>
                <w:szCs w:val="16"/>
                <w:lang w:eastAsia="es-CO"/>
              </w:rPr>
              <w:t>Gabriel Mendoza</w:t>
            </w:r>
          </w:p>
          <w:p w14:paraId="7A7BD7B3" w14:textId="4A534F05" w:rsidR="006F63AA" w:rsidRPr="00EC7BC2" w:rsidRDefault="006F63AA" w:rsidP="00B802FF">
            <w:pPr>
              <w:spacing w:after="0" w:line="240" w:lineRule="auto"/>
              <w:textAlignment w:val="baseline"/>
              <w:rPr>
                <w:rFonts w:ascii="Arial" w:eastAsia="Times New Roman" w:hAnsi="Arial" w:cs="Arial"/>
                <w:sz w:val="16"/>
                <w:szCs w:val="16"/>
                <w:lang w:eastAsia="es-CO"/>
              </w:rPr>
            </w:pPr>
            <w:r w:rsidRPr="34DA82C5">
              <w:rPr>
                <w:rFonts w:ascii="Arial" w:eastAsia="Times New Roman" w:hAnsi="Arial" w:cs="Arial"/>
                <w:sz w:val="16"/>
                <w:szCs w:val="16"/>
                <w:lang w:eastAsia="es-CO"/>
              </w:rPr>
              <w:t xml:space="preserve">Contratista de la </w:t>
            </w:r>
            <w:r w:rsidRPr="26F7A1AA">
              <w:rPr>
                <w:rFonts w:ascii="Arial" w:eastAsia="Times New Roman" w:hAnsi="Arial" w:cs="Arial"/>
                <w:sz w:val="16"/>
                <w:szCs w:val="16"/>
                <w:lang w:eastAsia="es-CO"/>
              </w:rPr>
              <w:t>Subdirección de Gestión Contractual</w:t>
            </w:r>
          </w:p>
        </w:tc>
      </w:tr>
      <w:tr w:rsidR="006F63AA" w:rsidRPr="00EC7BC2" w14:paraId="65B17BCE" w14:textId="77777777" w:rsidTr="00B802FF">
        <w:trPr>
          <w:trHeight w:val="300"/>
        </w:trPr>
        <w:tc>
          <w:tcPr>
            <w:tcW w:w="810" w:type="dxa"/>
            <w:tcBorders>
              <w:top w:val="nil"/>
              <w:left w:val="nil"/>
              <w:bottom w:val="nil"/>
              <w:right w:val="nil"/>
            </w:tcBorders>
            <w:vAlign w:val="center"/>
            <w:hideMark/>
          </w:tcPr>
          <w:p w14:paraId="60D98194" w14:textId="77777777" w:rsidR="006F63AA" w:rsidRPr="00EC7BC2" w:rsidRDefault="006F63AA" w:rsidP="00B802FF">
            <w:pPr>
              <w:spacing w:after="0" w:line="276"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MX" w:eastAsia="es-CO"/>
              </w:rPr>
              <w:t>Aprobó:</w:t>
            </w:r>
            <w:r w:rsidRPr="00EC7BC2">
              <w:rPr>
                <w:rFonts w:ascii="Arial" w:eastAsia="Times New Roman" w:hAnsi="Arial" w:cs="Arial"/>
                <w:sz w:val="16"/>
                <w:szCs w:val="16"/>
                <w:lang w:eastAsia="es-CO"/>
              </w:rPr>
              <w:t> </w:t>
            </w:r>
          </w:p>
        </w:tc>
        <w:tc>
          <w:tcPr>
            <w:tcW w:w="6136" w:type="dxa"/>
            <w:tcBorders>
              <w:top w:val="dotted" w:sz="6" w:space="0" w:color="7F7F7F" w:themeColor="text1" w:themeTint="80"/>
              <w:left w:val="nil"/>
              <w:bottom w:val="dotted" w:sz="6" w:space="0" w:color="7F7F7F" w:themeColor="text1" w:themeTint="80"/>
              <w:right w:val="nil"/>
            </w:tcBorders>
            <w:vAlign w:val="center"/>
            <w:hideMark/>
          </w:tcPr>
          <w:p w14:paraId="134D013B" w14:textId="77777777" w:rsidR="006F63AA" w:rsidRPr="00EC7BC2" w:rsidRDefault="006F63AA" w:rsidP="00B802FF">
            <w:pPr>
              <w:spacing w:after="0" w:line="240" w:lineRule="auto"/>
              <w:textAlignment w:val="baseline"/>
              <w:rPr>
                <w:rFonts w:ascii="Arial" w:eastAsia="Times New Roman" w:hAnsi="Arial" w:cs="Arial"/>
                <w:sz w:val="16"/>
                <w:szCs w:val="16"/>
                <w:lang w:val="es-ES_tradnl" w:eastAsia="es-CO"/>
              </w:rPr>
            </w:pPr>
            <w:r w:rsidRPr="00EC7BC2">
              <w:rPr>
                <w:rFonts w:ascii="Arial" w:eastAsia="Times New Roman" w:hAnsi="Arial" w:cs="Arial"/>
                <w:sz w:val="16"/>
                <w:szCs w:val="16"/>
                <w:lang w:val="es-ES_tradnl" w:eastAsia="es-CO"/>
              </w:rPr>
              <w:t>Nohelia del Carmen Zawady Palacio</w:t>
            </w:r>
          </w:p>
          <w:p w14:paraId="0C34EE95" w14:textId="77777777" w:rsidR="006F63AA" w:rsidRPr="00EC7BC2" w:rsidRDefault="006F63AA" w:rsidP="00B802FF">
            <w:pPr>
              <w:spacing w:after="0" w:line="240" w:lineRule="auto"/>
              <w:textAlignment w:val="baseline"/>
              <w:rPr>
                <w:rFonts w:ascii="Arial" w:eastAsia="Times New Roman" w:hAnsi="Arial" w:cs="Arial"/>
                <w:sz w:val="16"/>
                <w:szCs w:val="16"/>
                <w:lang w:eastAsia="es-CO"/>
              </w:rPr>
            </w:pPr>
            <w:r w:rsidRPr="00EC7BC2">
              <w:rPr>
                <w:rFonts w:ascii="Arial" w:eastAsia="Times New Roman" w:hAnsi="Arial" w:cs="Arial"/>
                <w:sz w:val="16"/>
                <w:szCs w:val="16"/>
                <w:lang w:val="es-ES_tradnl" w:eastAsia="es-CO"/>
              </w:rPr>
              <w:t>Subdirectora de Gestión Contractual ANCP-CCE</w:t>
            </w:r>
          </w:p>
        </w:tc>
      </w:tr>
      <w:bookmarkEnd w:id="2"/>
    </w:tbl>
    <w:p w14:paraId="64E77815" w14:textId="77777777" w:rsidR="006F63AA" w:rsidRPr="00EC7BC2" w:rsidRDefault="006F63AA" w:rsidP="006F63AA">
      <w:pPr>
        <w:spacing w:after="0" w:line="276" w:lineRule="auto"/>
        <w:jc w:val="both"/>
        <w:rPr>
          <w:rFonts w:ascii="Arial" w:hAnsi="Arial" w:cs="Arial"/>
          <w:sz w:val="21"/>
          <w:szCs w:val="21"/>
          <w:lang w:val="es-ES_tradnl"/>
        </w:rPr>
      </w:pPr>
    </w:p>
    <w:bookmarkEnd w:id="0"/>
    <w:p w14:paraId="0465BA6D" w14:textId="32C15F75" w:rsidR="00E245AB" w:rsidRPr="00322A85" w:rsidRDefault="00E245AB" w:rsidP="00E245AB">
      <w:pPr>
        <w:spacing w:after="0"/>
        <w:rPr>
          <w:rFonts w:ascii="Century Gothic" w:hAnsi="Century Gothic"/>
        </w:rPr>
      </w:pPr>
    </w:p>
    <w:sectPr w:rsidR="00E245AB" w:rsidRPr="00322A85" w:rsidSect="002E4FD9">
      <w:headerReference w:type="default" r:id="rId11"/>
      <w:footerReference w:type="default" r:id="rId12"/>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D93C8" w14:textId="77777777" w:rsidR="00EC304F" w:rsidRDefault="00EC304F" w:rsidP="004A1847">
      <w:pPr>
        <w:spacing w:after="0" w:line="240" w:lineRule="auto"/>
      </w:pPr>
      <w:r>
        <w:separator/>
      </w:r>
    </w:p>
  </w:endnote>
  <w:endnote w:type="continuationSeparator" w:id="0">
    <w:p w14:paraId="7C3E1579" w14:textId="77777777" w:rsidR="00EC304F" w:rsidRDefault="00EC304F" w:rsidP="004A1847">
      <w:pPr>
        <w:spacing w:after="0" w:line="240" w:lineRule="auto"/>
      </w:pPr>
      <w:r>
        <w:continuationSeparator/>
      </w:r>
    </w:p>
  </w:endnote>
  <w:endnote w:type="continuationNotice" w:id="1">
    <w:p w14:paraId="224BE69B" w14:textId="77777777" w:rsidR="00EC304F" w:rsidRDefault="00EC30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87E87" w14:textId="77777777" w:rsidR="00EC304F" w:rsidRDefault="00EC304F" w:rsidP="004A1847">
      <w:pPr>
        <w:spacing w:after="0" w:line="240" w:lineRule="auto"/>
      </w:pPr>
      <w:r>
        <w:separator/>
      </w:r>
    </w:p>
  </w:footnote>
  <w:footnote w:type="continuationSeparator" w:id="0">
    <w:p w14:paraId="506720F1" w14:textId="77777777" w:rsidR="00EC304F" w:rsidRDefault="00EC304F" w:rsidP="004A1847">
      <w:pPr>
        <w:spacing w:after="0" w:line="240" w:lineRule="auto"/>
      </w:pPr>
      <w:r>
        <w:continuationSeparator/>
      </w:r>
    </w:p>
  </w:footnote>
  <w:footnote w:type="continuationNotice" w:id="1">
    <w:p w14:paraId="63729125" w14:textId="77777777" w:rsidR="00EC304F" w:rsidRDefault="00EC304F">
      <w:pPr>
        <w:spacing w:after="0" w:line="240" w:lineRule="auto"/>
      </w:pPr>
    </w:p>
  </w:footnote>
  <w:footnote w:id="2">
    <w:p w14:paraId="1B8DCE13" w14:textId="77777777" w:rsidR="005314EB" w:rsidRPr="008143FD" w:rsidRDefault="005314EB" w:rsidP="005314EB">
      <w:pPr>
        <w:pStyle w:val="Textonotapie"/>
        <w:ind w:firstLine="708"/>
        <w:contextualSpacing/>
        <w:jc w:val="both"/>
        <w:rPr>
          <w:rStyle w:val="Hipervnculo"/>
          <w:rFonts w:ascii="Arial" w:hAnsi="Arial" w:cs="Arial"/>
          <w:sz w:val="18"/>
          <w:szCs w:val="18"/>
          <w:lang w:val="es-CO"/>
        </w:rPr>
      </w:pPr>
      <w:r w:rsidRPr="008143FD">
        <w:rPr>
          <w:rStyle w:val="Refdenotaalpie"/>
          <w:rFonts w:ascii="Arial" w:hAnsi="Arial" w:cs="Arial"/>
          <w:sz w:val="18"/>
          <w:szCs w:val="18"/>
        </w:rPr>
        <w:footnoteRef/>
      </w:r>
      <w:r w:rsidRPr="008143FD">
        <w:rPr>
          <w:rFonts w:ascii="Arial" w:hAnsi="Arial" w:cs="Arial"/>
          <w:sz w:val="18"/>
          <w:szCs w:val="18"/>
        </w:rPr>
        <w:t xml:space="preserve"> </w:t>
      </w:r>
      <w:r w:rsidRPr="008143FD">
        <w:rPr>
          <w:rFonts w:ascii="Arial" w:hAnsi="Arial" w:cs="Arial"/>
          <w:sz w:val="18"/>
          <w:szCs w:val="18"/>
          <w:lang w:val="es-CO"/>
        </w:rPr>
        <w:t xml:space="preserve">Estos conceptos pueden ser consultados en: </w:t>
      </w:r>
      <w:hyperlink r:id="rId1" w:history="1">
        <w:r w:rsidRPr="008143FD">
          <w:rPr>
            <w:rStyle w:val="Hipervnculo"/>
            <w:rFonts w:ascii="Arial" w:hAnsi="Arial" w:cs="Arial"/>
            <w:sz w:val="18"/>
            <w:szCs w:val="18"/>
          </w:rPr>
          <w:t>https://relatoria.colombiacompra.gov.co/busqueda/conceptos#</w:t>
        </w:r>
      </w:hyperlink>
    </w:p>
    <w:p w14:paraId="2A276B25" w14:textId="77777777" w:rsidR="005314EB" w:rsidRPr="008143FD" w:rsidRDefault="005314EB" w:rsidP="005314EB">
      <w:pPr>
        <w:pStyle w:val="Textonotapie"/>
        <w:contextualSpacing/>
        <w:jc w:val="both"/>
        <w:rPr>
          <w:rFonts w:ascii="Arial" w:hAnsi="Arial" w:cs="Arial"/>
          <w:sz w:val="18"/>
          <w:szCs w:val="18"/>
          <w:lang w:val="es-CO"/>
        </w:rPr>
      </w:pPr>
    </w:p>
  </w:footnote>
  <w:footnote w:id="3">
    <w:p w14:paraId="2F0E922E" w14:textId="77777777" w:rsidR="00ED6A9D" w:rsidRPr="008143FD" w:rsidRDefault="00ED6A9D" w:rsidP="00ED6A9D">
      <w:pPr>
        <w:pStyle w:val="Textonotapie"/>
        <w:ind w:firstLine="709"/>
        <w:jc w:val="both"/>
        <w:rPr>
          <w:rFonts w:ascii="Arial" w:eastAsia="Calibri" w:hAnsi="Arial" w:cs="Arial"/>
          <w:color w:val="000000" w:themeColor="text1"/>
          <w:sz w:val="18"/>
          <w:szCs w:val="18"/>
          <w:lang w:val="es-ES"/>
        </w:rPr>
      </w:pPr>
      <w:r w:rsidRPr="008143FD">
        <w:rPr>
          <w:rStyle w:val="Refdenotaalpie"/>
          <w:rFonts w:ascii="Arial" w:hAnsi="Arial" w:cs="Arial"/>
          <w:color w:val="000000" w:themeColor="text1"/>
          <w:sz w:val="18"/>
          <w:szCs w:val="18"/>
        </w:rPr>
        <w:footnoteRef/>
      </w:r>
      <w:r w:rsidRPr="008143FD">
        <w:rPr>
          <w:rFonts w:ascii="Arial" w:hAnsi="Arial" w:cs="Arial"/>
          <w:color w:val="000000" w:themeColor="text1"/>
          <w:sz w:val="18"/>
          <w:szCs w:val="18"/>
        </w:rPr>
        <w:t xml:space="preserve"> </w:t>
      </w:r>
      <w:r w:rsidRPr="008143FD">
        <w:rPr>
          <w:rFonts w:ascii="Arial" w:hAnsi="Arial" w:cs="Arial"/>
          <w:color w:val="000000" w:themeColor="text1"/>
          <w:sz w:val="18"/>
          <w:szCs w:val="18"/>
          <w:lang w:val="es-ES"/>
        </w:rPr>
        <w:t xml:space="preserve">Al respecto, conviene recordar el artículo 29 de la Ley 80 de 1993, derogado por el artículo 32 de la Ley 1150 de 2007, que establecía: </w:t>
      </w:r>
      <w:r>
        <w:rPr>
          <w:rFonts w:ascii="Arial" w:hAnsi="Arial" w:cs="Arial"/>
          <w:color w:val="000000" w:themeColor="text1"/>
          <w:sz w:val="18"/>
          <w:szCs w:val="18"/>
          <w:lang w:val="es-ES"/>
        </w:rPr>
        <w:t>“</w:t>
      </w:r>
      <w:r w:rsidRPr="008143FD">
        <w:rPr>
          <w:rFonts w:ascii="Arial" w:hAnsi="Arial" w:cs="Arial"/>
          <w:color w:val="000000" w:themeColor="text1"/>
          <w:sz w:val="18"/>
          <w:szCs w:val="18"/>
          <w:lang w:val="es-ES"/>
        </w:rPr>
        <w:t>La selección de contratistas será objetiva.</w:t>
      </w:r>
    </w:p>
    <w:p w14:paraId="5D0AB597" w14:textId="77777777" w:rsidR="00ED6A9D" w:rsidRPr="008143FD" w:rsidRDefault="00ED6A9D" w:rsidP="00ED6A9D">
      <w:pPr>
        <w:pStyle w:val="Textonotapie"/>
        <w:ind w:firstLine="709"/>
        <w:jc w:val="both"/>
        <w:rPr>
          <w:rFonts w:ascii="Arial" w:hAnsi="Arial" w:cs="Arial"/>
          <w:color w:val="000000" w:themeColor="text1"/>
          <w:sz w:val="18"/>
          <w:szCs w:val="18"/>
          <w:lang w:val="es-ES"/>
        </w:rPr>
      </w:pPr>
      <w:r w:rsidRPr="008143FD">
        <w:rPr>
          <w:rFonts w:ascii="Arial" w:hAnsi="Arial" w:cs="Arial"/>
          <w:color w:val="000000" w:themeColor="text1"/>
          <w:sz w:val="18"/>
          <w:szCs w:val="18"/>
          <w:lang w:val="es-ES"/>
        </w:rPr>
        <w:t>Es objetiva la selección en la cual la escogencia se hace al ofrecimiento más favorable a la entidad y a los fines que ella busca, sin tener en consideración factores de afecto o de interés y, en general, cualquier clase de motivación subjetiva.</w:t>
      </w:r>
    </w:p>
    <w:p w14:paraId="7EE55B9C" w14:textId="77777777" w:rsidR="00ED6A9D" w:rsidRPr="008143FD" w:rsidRDefault="00ED6A9D" w:rsidP="00ED6A9D">
      <w:pPr>
        <w:pStyle w:val="Textonotapie"/>
        <w:ind w:firstLine="709"/>
        <w:jc w:val="both"/>
        <w:rPr>
          <w:rFonts w:ascii="Arial" w:hAnsi="Arial" w:cs="Arial"/>
          <w:color w:val="000000" w:themeColor="text1"/>
          <w:sz w:val="18"/>
          <w:szCs w:val="18"/>
          <w:lang w:val="es-ES"/>
        </w:rPr>
      </w:pPr>
      <w:r w:rsidRPr="008143FD">
        <w:rPr>
          <w:rFonts w:ascii="Arial" w:hAnsi="Arial" w:cs="Arial"/>
          <w:color w:val="000000" w:themeColor="text1"/>
          <w:sz w:val="18"/>
          <w:szCs w:val="18"/>
          <w:lang w:val="es-ES"/>
        </w:rPr>
        <w:t xml:space="preserve">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w:t>
      </w:r>
      <w:proofErr w:type="gramStart"/>
      <w:r w:rsidRPr="008143FD">
        <w:rPr>
          <w:rFonts w:ascii="Arial" w:hAnsi="Arial" w:cs="Arial"/>
          <w:color w:val="000000" w:themeColor="text1"/>
          <w:sz w:val="18"/>
          <w:szCs w:val="18"/>
          <w:lang w:val="es-ES"/>
        </w:rPr>
        <w:t>pliegos,</w:t>
      </w:r>
      <w:proofErr w:type="gramEnd"/>
      <w:r w:rsidRPr="008143FD">
        <w:rPr>
          <w:rFonts w:ascii="Arial" w:hAnsi="Arial" w:cs="Arial"/>
          <w:color w:val="000000" w:themeColor="text1"/>
          <w:sz w:val="18"/>
          <w:szCs w:val="18"/>
          <w:lang w:val="es-ES"/>
        </w:rPr>
        <w:t xml:space="preserve"> no será objeto de evaluación</w:t>
      </w:r>
      <w:r>
        <w:rPr>
          <w:rFonts w:ascii="Arial" w:hAnsi="Arial" w:cs="Arial"/>
          <w:color w:val="000000" w:themeColor="text1"/>
          <w:sz w:val="18"/>
          <w:szCs w:val="18"/>
          <w:lang w:val="es-ES"/>
        </w:rPr>
        <w:t>”</w:t>
      </w:r>
      <w:r w:rsidRPr="008143FD">
        <w:rPr>
          <w:rFonts w:ascii="Arial" w:hAnsi="Arial" w:cs="Arial"/>
          <w:color w:val="000000" w:themeColor="text1"/>
          <w:sz w:val="18"/>
          <w:szCs w:val="18"/>
          <w:lang w:val="es-ES"/>
        </w:rPr>
        <w:t>.</w:t>
      </w:r>
    </w:p>
    <w:p w14:paraId="3FF8763E" w14:textId="77777777" w:rsidR="00ED6A9D" w:rsidRPr="008143FD" w:rsidRDefault="00ED6A9D" w:rsidP="00ED6A9D">
      <w:pPr>
        <w:pStyle w:val="Textonotapie"/>
        <w:ind w:firstLine="709"/>
        <w:jc w:val="both"/>
        <w:rPr>
          <w:rFonts w:ascii="Arial" w:hAnsi="Arial" w:cs="Arial"/>
          <w:color w:val="000000" w:themeColor="text1"/>
          <w:sz w:val="18"/>
          <w:szCs w:val="18"/>
          <w:lang w:val="es-ES"/>
        </w:rPr>
      </w:pPr>
      <w:r>
        <w:rPr>
          <w:rFonts w:ascii="Arial" w:hAnsi="Arial" w:cs="Arial"/>
          <w:color w:val="000000" w:themeColor="text1"/>
          <w:sz w:val="18"/>
          <w:szCs w:val="18"/>
          <w:lang w:val="es-ES"/>
        </w:rPr>
        <w:t>“</w:t>
      </w:r>
      <w:r w:rsidRPr="008143FD">
        <w:rPr>
          <w:rFonts w:ascii="Arial" w:hAnsi="Arial" w:cs="Arial"/>
          <w:color w:val="000000" w:themeColor="text1"/>
          <w:sz w:val="18"/>
          <w:szCs w:val="18"/>
          <w:lang w:val="es-ES"/>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39DD0B0E" w14:textId="77777777" w:rsidR="00ED6A9D" w:rsidRPr="0088589E" w:rsidRDefault="00ED6A9D" w:rsidP="00ED6A9D">
      <w:pPr>
        <w:pStyle w:val="Textonotapie"/>
        <w:ind w:firstLine="709"/>
        <w:jc w:val="both"/>
        <w:rPr>
          <w:rFonts w:ascii="Geomanist Light" w:hAnsi="Geomanist Light" w:cs="Arial"/>
          <w:color w:val="000000" w:themeColor="text1"/>
          <w:sz w:val="18"/>
          <w:szCs w:val="18"/>
          <w:lang w:val="es-ES"/>
        </w:rPr>
      </w:pPr>
      <w:r w:rsidRPr="008143FD">
        <w:rPr>
          <w:rFonts w:ascii="Arial" w:hAnsi="Arial" w:cs="Arial"/>
          <w:color w:val="000000" w:themeColor="text1"/>
          <w:sz w:val="18"/>
          <w:szCs w:val="18"/>
          <w:lang w:val="es-ES"/>
        </w:rPr>
        <w:t>En caso de comparación de propuestas nacionales y extranjeras, se incluirán los costos necesarios para la entrega del producto terminado en el lugar de su utilización</w:t>
      </w:r>
      <w:r>
        <w:rPr>
          <w:rFonts w:ascii="Arial" w:hAnsi="Arial" w:cs="Arial"/>
          <w:color w:val="000000" w:themeColor="text1"/>
          <w:sz w:val="18"/>
          <w:szCs w:val="18"/>
          <w:lang w:val="es-ES"/>
        </w:rPr>
        <w:t>”</w:t>
      </w:r>
      <w:r w:rsidRPr="008143FD">
        <w:rPr>
          <w:rFonts w:ascii="Arial" w:hAnsi="Arial" w:cs="Arial"/>
          <w:color w:val="000000" w:themeColor="text1"/>
          <w:sz w:val="18"/>
          <w:szCs w:val="18"/>
          <w:lang w:val="es-ES"/>
        </w:rPr>
        <w:t>.</w:t>
      </w:r>
    </w:p>
  </w:footnote>
  <w:footnote w:id="4">
    <w:p w14:paraId="6FFDEC74" w14:textId="77777777" w:rsidR="00ED6A9D" w:rsidRPr="0088589E" w:rsidRDefault="00ED6A9D" w:rsidP="00ED6A9D">
      <w:pPr>
        <w:pStyle w:val="Textonotapie"/>
        <w:ind w:firstLine="708"/>
        <w:jc w:val="both"/>
        <w:rPr>
          <w:rFonts w:ascii="Geomanist Light" w:hAnsi="Geomanist Light" w:cs="Arial"/>
          <w:sz w:val="18"/>
          <w:szCs w:val="18"/>
          <w:lang w:val="es-CO"/>
        </w:rPr>
      </w:pPr>
      <w:r w:rsidRPr="0088589E">
        <w:rPr>
          <w:rStyle w:val="Refdenotaalpie"/>
          <w:rFonts w:ascii="Geomanist Light" w:hAnsi="Geomanist Light" w:cs="Arial"/>
          <w:sz w:val="18"/>
          <w:szCs w:val="18"/>
        </w:rPr>
        <w:footnoteRef/>
      </w:r>
      <w:r w:rsidRPr="0088589E">
        <w:rPr>
          <w:rFonts w:ascii="Geomanist Light" w:hAnsi="Geomanist Light" w:cs="Arial"/>
          <w:sz w:val="18"/>
          <w:szCs w:val="18"/>
        </w:rPr>
        <w:t xml:space="preserve"> </w:t>
      </w:r>
      <w:r w:rsidRPr="0088589E">
        <w:rPr>
          <w:rFonts w:ascii="Geomanist Light" w:hAnsi="Geomanist Light" w:cs="Arial"/>
          <w:sz w:val="18"/>
          <w:szCs w:val="18"/>
          <w:lang w:val="es-CO"/>
        </w:rPr>
        <w:t>DÁVILA VINUEZA, Luis Guillermo. Régimen jurídico de la contratación estatal. Tercera edición, Bogotá: Legis, 2016. p. 355.</w:t>
      </w:r>
    </w:p>
    <w:p w14:paraId="7B650C35" w14:textId="77777777" w:rsidR="00ED6A9D" w:rsidRPr="0088589E" w:rsidRDefault="00ED6A9D" w:rsidP="00ED6A9D">
      <w:pPr>
        <w:pStyle w:val="Textonotapie"/>
        <w:ind w:firstLine="708"/>
        <w:jc w:val="both"/>
        <w:rPr>
          <w:rFonts w:ascii="Geomanist Light" w:hAnsi="Geomanist Light" w:cs="Arial"/>
          <w:sz w:val="18"/>
          <w:szCs w:val="18"/>
          <w:lang w:val="es-CO"/>
        </w:rPr>
      </w:pPr>
    </w:p>
  </w:footnote>
  <w:footnote w:id="5">
    <w:p w14:paraId="6E924703" w14:textId="77777777" w:rsidR="00ED6A9D" w:rsidRPr="00DB7219" w:rsidRDefault="00ED6A9D" w:rsidP="00ED6A9D">
      <w:pPr>
        <w:pStyle w:val="Textonotapie"/>
        <w:ind w:firstLine="708"/>
        <w:jc w:val="both"/>
        <w:rPr>
          <w:rFonts w:ascii="Arial" w:hAnsi="Arial" w:cs="Arial"/>
          <w:sz w:val="18"/>
          <w:szCs w:val="18"/>
          <w:lang w:val="es-ES_tradnl"/>
        </w:rPr>
      </w:pPr>
      <w:r w:rsidRPr="00DB7219">
        <w:rPr>
          <w:rStyle w:val="Refdenotaalpie"/>
          <w:rFonts w:ascii="Arial" w:hAnsi="Arial" w:cs="Arial"/>
          <w:sz w:val="18"/>
          <w:szCs w:val="18"/>
        </w:rPr>
        <w:footnoteRef/>
      </w:r>
      <w:r w:rsidRPr="00DB7219">
        <w:rPr>
          <w:rFonts w:ascii="Arial" w:hAnsi="Arial" w:cs="Arial"/>
          <w:sz w:val="18"/>
          <w:szCs w:val="18"/>
        </w:rPr>
        <w:t xml:space="preserve"> </w:t>
      </w:r>
      <w:r w:rsidRPr="00DB7219">
        <w:rPr>
          <w:rFonts w:ascii="Arial" w:hAnsi="Arial" w:cs="Arial"/>
          <w:sz w:val="18"/>
          <w:szCs w:val="18"/>
          <w:lang w:val="es-ES_tradnl"/>
        </w:rPr>
        <w:t>RODRÍGUEZ TAMAYO, Mauricio F. Evaluación y rechazo de ofertas en la Ley 80 de 1993. Primera edición. Medellín: Librería Jurídica Sánchez, 2016. pp. 110-111.</w:t>
      </w:r>
    </w:p>
    <w:p w14:paraId="7CBB1E5F" w14:textId="77777777" w:rsidR="00ED6A9D" w:rsidRPr="00DB7219" w:rsidRDefault="00ED6A9D" w:rsidP="00ED6A9D">
      <w:pPr>
        <w:pStyle w:val="Textonotapie"/>
        <w:ind w:firstLine="708"/>
        <w:jc w:val="both"/>
        <w:rPr>
          <w:rFonts w:ascii="Arial" w:hAnsi="Arial" w:cs="Arial"/>
          <w:sz w:val="18"/>
          <w:szCs w:val="18"/>
          <w:lang w:val="es-CO"/>
        </w:rPr>
      </w:pPr>
    </w:p>
  </w:footnote>
  <w:footnote w:id="6">
    <w:p w14:paraId="31890C16" w14:textId="77777777" w:rsidR="00ED6A9D" w:rsidRPr="00DB7219" w:rsidRDefault="00ED6A9D" w:rsidP="00ED6A9D">
      <w:pPr>
        <w:pStyle w:val="Textonotapie"/>
        <w:ind w:firstLine="708"/>
        <w:jc w:val="both"/>
        <w:rPr>
          <w:rFonts w:ascii="Arial" w:hAnsi="Arial" w:cs="Arial"/>
          <w:sz w:val="18"/>
          <w:szCs w:val="18"/>
        </w:rPr>
      </w:pPr>
      <w:r w:rsidRPr="00DB7219">
        <w:rPr>
          <w:rStyle w:val="Refdenotaalpie"/>
          <w:rFonts w:ascii="Arial" w:hAnsi="Arial" w:cs="Arial"/>
          <w:sz w:val="18"/>
          <w:szCs w:val="18"/>
        </w:rPr>
        <w:footnoteRef/>
      </w:r>
      <w:r w:rsidRPr="00DB7219">
        <w:rPr>
          <w:rFonts w:ascii="Arial" w:hAnsi="Arial" w:cs="Arial"/>
          <w:sz w:val="18"/>
          <w:szCs w:val="18"/>
        </w:rPr>
        <w:t xml:space="preserve"> EXPÓSITO VELEZ, Juan C., El deber de selección objetiva, en: Del contrato estatal a los sistemas de compras públicas, por COVILLA MARTINEZ Juan C. y LOZANO VILLEGAS Germán (Eds.). Universidad Externado de Colombia, Bogotá, 2019. págs. 118-184.</w:t>
      </w:r>
    </w:p>
    <w:p w14:paraId="71A17F48" w14:textId="77777777" w:rsidR="00ED6A9D" w:rsidRPr="00DB7219" w:rsidRDefault="00ED6A9D" w:rsidP="00ED6A9D">
      <w:pPr>
        <w:pStyle w:val="Textonotapie"/>
        <w:ind w:firstLine="708"/>
        <w:jc w:val="both"/>
        <w:rPr>
          <w:rFonts w:ascii="Arial" w:hAnsi="Arial" w:cs="Arial"/>
          <w:sz w:val="18"/>
          <w:szCs w:val="18"/>
          <w:lang w:val="es-CO"/>
        </w:rPr>
      </w:pPr>
    </w:p>
  </w:footnote>
  <w:footnote w:id="7">
    <w:p w14:paraId="5B9CDE72" w14:textId="77777777" w:rsidR="00ED6A9D" w:rsidRPr="0088589E" w:rsidRDefault="00ED6A9D" w:rsidP="00ED6A9D">
      <w:pPr>
        <w:pStyle w:val="Textonotapie"/>
        <w:ind w:firstLine="708"/>
        <w:rPr>
          <w:rFonts w:ascii="Geomanist Light" w:hAnsi="Geomanist Light" w:cs="Arial"/>
          <w:sz w:val="18"/>
          <w:szCs w:val="18"/>
          <w:lang w:val="es-CO"/>
        </w:rPr>
      </w:pPr>
      <w:r w:rsidRPr="00DB7219">
        <w:rPr>
          <w:rStyle w:val="Refdenotaalpie"/>
          <w:rFonts w:ascii="Arial" w:hAnsi="Arial" w:cs="Arial"/>
          <w:sz w:val="18"/>
          <w:szCs w:val="18"/>
        </w:rPr>
        <w:footnoteRef/>
      </w:r>
      <w:r w:rsidRPr="00DB7219">
        <w:rPr>
          <w:rFonts w:ascii="Arial" w:hAnsi="Arial" w:cs="Arial"/>
          <w:i/>
          <w:iCs/>
          <w:sz w:val="18"/>
          <w:szCs w:val="18"/>
        </w:rPr>
        <w:t xml:space="preserve"> </w:t>
      </w:r>
      <w:r w:rsidRPr="00DB7219">
        <w:rPr>
          <w:rFonts w:ascii="Arial" w:hAnsi="Arial" w:cs="Arial"/>
          <w:i/>
          <w:iCs/>
          <w:sz w:val="18"/>
          <w:szCs w:val="18"/>
          <w:lang w:val="es-CO"/>
        </w:rPr>
        <w:t>Ibídem.</w:t>
      </w:r>
    </w:p>
  </w:footnote>
  <w:footnote w:id="8">
    <w:p w14:paraId="2C0EADD5" w14:textId="77777777" w:rsidR="00ED6A9D" w:rsidRPr="00C11BA5" w:rsidRDefault="00ED6A9D" w:rsidP="00ED6A9D">
      <w:pPr>
        <w:ind w:firstLine="708"/>
        <w:jc w:val="both"/>
        <w:rPr>
          <w:rFonts w:ascii="Arial" w:hAnsi="Arial" w:cs="Arial"/>
          <w:sz w:val="18"/>
          <w:szCs w:val="18"/>
          <w:lang w:eastAsia="es-CO"/>
        </w:rPr>
      </w:pPr>
      <w:r w:rsidRPr="00C11BA5">
        <w:rPr>
          <w:rStyle w:val="Refdenotaalpie"/>
          <w:rFonts w:ascii="Arial" w:hAnsi="Arial" w:cs="Arial"/>
          <w:sz w:val="18"/>
          <w:szCs w:val="18"/>
        </w:rPr>
        <w:footnoteRef/>
      </w:r>
      <w:r w:rsidRPr="00C11BA5">
        <w:rPr>
          <w:rFonts w:ascii="Arial" w:hAnsi="Arial" w:cs="Arial"/>
          <w:sz w:val="18"/>
          <w:szCs w:val="18"/>
        </w:rPr>
        <w:t xml:space="preserve"> Decreto 1082 de 2015 </w:t>
      </w:r>
      <w:r>
        <w:rPr>
          <w:rFonts w:ascii="Arial" w:hAnsi="Arial" w:cs="Arial"/>
          <w:sz w:val="18"/>
          <w:szCs w:val="18"/>
        </w:rPr>
        <w:t>“</w:t>
      </w:r>
      <w:r w:rsidRPr="00C11BA5">
        <w:rPr>
          <w:rFonts w:ascii="Arial" w:hAnsi="Arial" w:cs="Arial"/>
          <w:sz w:val="18"/>
          <w:szCs w:val="18"/>
          <w:lang w:eastAsia="es-CO"/>
        </w:rPr>
        <w:t>Artículo 2.2.1.1.2.2.2. Ofrecimiento más favorable. La Entidad Estatal debe determinar la oferta más favorable teniendo en cuenta las normas aplicables a cada modalidad de selección del contratista. </w:t>
      </w:r>
    </w:p>
    <w:p w14:paraId="4A2F85DE" w14:textId="77777777" w:rsidR="00ED6A9D" w:rsidRPr="00C11BA5" w:rsidRDefault="00ED6A9D" w:rsidP="00ED6A9D">
      <w:pPr>
        <w:jc w:val="both"/>
        <w:rPr>
          <w:rFonts w:ascii="Arial" w:hAnsi="Arial" w:cs="Arial"/>
          <w:sz w:val="18"/>
          <w:szCs w:val="18"/>
          <w:lang w:eastAsia="es-CO"/>
        </w:rPr>
      </w:pPr>
      <w:r w:rsidRPr="00C11BA5">
        <w:rPr>
          <w:rFonts w:ascii="Arial" w:hAnsi="Arial" w:cs="Arial"/>
          <w:sz w:val="18"/>
          <w:szCs w:val="18"/>
          <w:lang w:eastAsia="es-CO"/>
        </w:rPr>
        <w:t>  </w:t>
      </w:r>
      <w:r w:rsidRPr="00C11BA5">
        <w:rPr>
          <w:rFonts w:ascii="Arial" w:hAnsi="Arial" w:cs="Arial"/>
          <w:sz w:val="18"/>
          <w:szCs w:val="18"/>
          <w:lang w:eastAsia="es-CO"/>
        </w:rPr>
        <w:tab/>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 </w:t>
      </w:r>
    </w:p>
    <w:p w14:paraId="1C2F660D" w14:textId="77777777" w:rsidR="00ED6A9D" w:rsidRPr="00C11BA5" w:rsidRDefault="00ED6A9D" w:rsidP="00ED6A9D">
      <w:pPr>
        <w:jc w:val="both"/>
        <w:rPr>
          <w:rFonts w:ascii="Arial" w:hAnsi="Arial" w:cs="Arial"/>
          <w:sz w:val="18"/>
          <w:szCs w:val="18"/>
          <w:lang w:eastAsia="es-CO"/>
        </w:rPr>
      </w:pPr>
      <w:r w:rsidRPr="00C11BA5">
        <w:rPr>
          <w:rFonts w:ascii="Arial" w:hAnsi="Arial" w:cs="Arial"/>
          <w:sz w:val="18"/>
          <w:szCs w:val="18"/>
          <w:lang w:eastAsia="es-CO"/>
        </w:rPr>
        <w:t>  </w:t>
      </w:r>
      <w:r w:rsidRPr="00C11BA5">
        <w:rPr>
          <w:rFonts w:ascii="Arial" w:hAnsi="Arial" w:cs="Arial"/>
          <w:sz w:val="18"/>
          <w:szCs w:val="18"/>
          <w:lang w:eastAsia="es-CO"/>
        </w:rPr>
        <w:tab/>
        <w:t>1. Las condiciones técnicas y económicas mínimas de la oferta. </w:t>
      </w:r>
    </w:p>
    <w:p w14:paraId="616AB060" w14:textId="77777777" w:rsidR="00ED6A9D" w:rsidRPr="00C11BA5" w:rsidRDefault="00ED6A9D" w:rsidP="00ED6A9D">
      <w:pPr>
        <w:jc w:val="both"/>
        <w:rPr>
          <w:rFonts w:ascii="Arial" w:hAnsi="Arial" w:cs="Arial"/>
          <w:sz w:val="18"/>
          <w:szCs w:val="18"/>
          <w:lang w:eastAsia="es-CO"/>
        </w:rPr>
      </w:pPr>
      <w:r w:rsidRPr="00C11BA5">
        <w:rPr>
          <w:rFonts w:ascii="Arial" w:hAnsi="Arial" w:cs="Arial"/>
          <w:sz w:val="18"/>
          <w:szCs w:val="18"/>
          <w:lang w:eastAsia="es-CO"/>
        </w:rPr>
        <w:t>  </w:t>
      </w:r>
      <w:r w:rsidRPr="00C11BA5">
        <w:rPr>
          <w:rFonts w:ascii="Arial" w:hAnsi="Arial" w:cs="Arial"/>
          <w:sz w:val="18"/>
          <w:szCs w:val="18"/>
          <w:lang w:eastAsia="es-CO"/>
        </w:rPr>
        <w:tab/>
        <w:t>2. Las condiciones técnicas adicionales que representan ventajas de calidad o de funcionamiento, tales como el uso de tecnología o materiales que generen mayor eficiencia, rendimiento o duración del bien, obra o servicio. </w:t>
      </w:r>
    </w:p>
    <w:p w14:paraId="54FD40CB" w14:textId="77777777" w:rsidR="00ED6A9D" w:rsidRPr="00C11BA5" w:rsidRDefault="00ED6A9D" w:rsidP="00ED6A9D">
      <w:pPr>
        <w:jc w:val="both"/>
        <w:rPr>
          <w:rFonts w:ascii="Arial" w:hAnsi="Arial" w:cs="Arial"/>
          <w:sz w:val="18"/>
          <w:szCs w:val="18"/>
          <w:lang w:eastAsia="es-CO"/>
        </w:rPr>
      </w:pPr>
      <w:r w:rsidRPr="00C11BA5">
        <w:rPr>
          <w:rFonts w:ascii="Arial" w:hAnsi="Arial" w:cs="Arial"/>
          <w:sz w:val="18"/>
          <w:szCs w:val="18"/>
          <w:lang w:eastAsia="es-CO"/>
        </w:rPr>
        <w:t>  </w:t>
      </w:r>
      <w:r w:rsidRPr="00C11BA5">
        <w:rPr>
          <w:rFonts w:ascii="Arial" w:hAnsi="Arial" w:cs="Arial"/>
          <w:sz w:val="18"/>
          <w:szCs w:val="18"/>
          <w:lang w:eastAsia="es-CO"/>
        </w:rPr>
        <w:tab/>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 </w:t>
      </w:r>
    </w:p>
    <w:p w14:paraId="12AB977F" w14:textId="77777777" w:rsidR="00ED6A9D" w:rsidRPr="00C11BA5" w:rsidRDefault="00ED6A9D" w:rsidP="00ED6A9D">
      <w:pPr>
        <w:jc w:val="both"/>
        <w:rPr>
          <w:rFonts w:ascii="Arial" w:hAnsi="Arial" w:cs="Arial"/>
          <w:sz w:val="18"/>
          <w:szCs w:val="18"/>
          <w:lang w:eastAsia="es-CO"/>
        </w:rPr>
      </w:pPr>
      <w:r w:rsidRPr="00C11BA5">
        <w:rPr>
          <w:rFonts w:ascii="Arial" w:hAnsi="Arial" w:cs="Arial"/>
          <w:sz w:val="18"/>
          <w:szCs w:val="18"/>
          <w:lang w:eastAsia="es-CO"/>
        </w:rPr>
        <w:t>  </w:t>
      </w:r>
      <w:r w:rsidRPr="00C11BA5">
        <w:rPr>
          <w:rFonts w:ascii="Arial" w:hAnsi="Arial" w:cs="Arial"/>
          <w:sz w:val="18"/>
          <w:szCs w:val="18"/>
          <w:lang w:eastAsia="es-CO"/>
        </w:rPr>
        <w:tab/>
        <w:t>4. El valor en dinero que la Entidad Estatal asigna a cada ofrecimiento técnico o económico adicional, para permitir la ponderación de las ofertas presentadas. </w:t>
      </w:r>
    </w:p>
    <w:p w14:paraId="5BDF9E41" w14:textId="77777777" w:rsidR="00ED6A9D" w:rsidRPr="00C11BA5" w:rsidRDefault="00ED6A9D" w:rsidP="00ED6A9D">
      <w:pPr>
        <w:jc w:val="both"/>
        <w:rPr>
          <w:rFonts w:ascii="Arial" w:hAnsi="Arial" w:cs="Arial"/>
          <w:sz w:val="18"/>
          <w:szCs w:val="18"/>
          <w:lang w:eastAsia="es-CO"/>
        </w:rPr>
      </w:pPr>
      <w:r w:rsidRPr="00C11BA5">
        <w:rPr>
          <w:rFonts w:ascii="Arial" w:hAnsi="Arial" w:cs="Arial"/>
          <w:sz w:val="18"/>
          <w:szCs w:val="18"/>
          <w:lang w:eastAsia="es-CO"/>
        </w:rPr>
        <w:t>  </w:t>
      </w:r>
      <w:r w:rsidRPr="00C11BA5">
        <w:rPr>
          <w:rFonts w:ascii="Arial" w:hAnsi="Arial" w:cs="Arial"/>
          <w:sz w:val="18"/>
          <w:szCs w:val="18"/>
          <w:lang w:eastAsia="es-CO"/>
        </w:rPr>
        <w:tab/>
      </w:r>
      <w:r w:rsidRPr="00C11BA5">
        <w:rPr>
          <w:rFonts w:ascii="Arial" w:eastAsia="Calibri" w:hAnsi="Arial" w:cs="Arial"/>
          <w:bCs/>
          <w:sz w:val="18"/>
          <w:szCs w:val="18"/>
        </w:rPr>
        <w:t xml:space="preserve"> </w:t>
      </w:r>
      <w:r w:rsidRPr="00C11BA5">
        <w:rPr>
          <w:rFonts w:ascii="Arial" w:hAnsi="Arial" w:cs="Arial"/>
          <w:sz w:val="18"/>
          <w:szCs w:val="18"/>
          <w:lang w:eastAsia="es-CO"/>
        </w:rPr>
        <w:t>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p>
    <w:p w14:paraId="2CC70984" w14:textId="77777777" w:rsidR="00ED6A9D" w:rsidRPr="0088589E" w:rsidRDefault="00ED6A9D" w:rsidP="00ED6A9D">
      <w:pPr>
        <w:jc w:val="both"/>
        <w:rPr>
          <w:rFonts w:ascii="Geomanist Light" w:hAnsi="Geomanist Light" w:cs="Arial"/>
          <w:sz w:val="18"/>
          <w:szCs w:val="18"/>
        </w:rPr>
      </w:pPr>
      <w:r w:rsidRPr="00C11BA5">
        <w:rPr>
          <w:rFonts w:ascii="Arial" w:hAnsi="Arial" w:cs="Arial"/>
          <w:sz w:val="18"/>
          <w:szCs w:val="18"/>
          <w:lang w:eastAsia="es-CO"/>
        </w:rPr>
        <w:t>  </w:t>
      </w:r>
      <w:r w:rsidRPr="00C11BA5">
        <w:rPr>
          <w:rFonts w:ascii="Arial" w:hAnsi="Arial" w:cs="Arial"/>
          <w:sz w:val="18"/>
          <w:szCs w:val="18"/>
          <w:lang w:eastAsia="es-CO"/>
        </w:rPr>
        <w:tab/>
        <w:t>La Entidad Estatal debe adjudicar al oferente que presentó la oferta con la mejor relación costo-beneficio y suscribir el contrato por el precio total ofrecido</w:t>
      </w:r>
      <w:r>
        <w:rPr>
          <w:rFonts w:ascii="Arial" w:hAnsi="Arial" w:cs="Arial"/>
          <w:sz w:val="18"/>
          <w:szCs w:val="18"/>
          <w:lang w:eastAsia="es-CO"/>
        </w:rPr>
        <w:t>”</w:t>
      </w:r>
      <w:r w:rsidRPr="00C11BA5">
        <w:rPr>
          <w:rFonts w:ascii="Arial" w:hAnsi="Arial" w:cs="Arial"/>
          <w:sz w:val="18"/>
          <w:szCs w:val="18"/>
          <w:lang w:eastAsia="es-CO"/>
        </w:rPr>
        <w:t>. </w:t>
      </w:r>
    </w:p>
  </w:footnote>
  <w:footnote w:id="9">
    <w:p w14:paraId="6AC4E7FD" w14:textId="77777777" w:rsidR="00ED6A9D" w:rsidRDefault="00ED6A9D" w:rsidP="00ED6A9D">
      <w:pPr>
        <w:pStyle w:val="Textonotapie"/>
        <w:ind w:firstLine="709"/>
        <w:jc w:val="both"/>
        <w:rPr>
          <w:rFonts w:ascii="Arial" w:hAnsi="Arial" w:cs="Arial"/>
          <w:color w:val="000000" w:themeColor="text1"/>
          <w:sz w:val="18"/>
          <w:szCs w:val="18"/>
        </w:rPr>
      </w:pPr>
      <w:r w:rsidRPr="00C11BA5">
        <w:rPr>
          <w:rStyle w:val="Refdenotaalpie"/>
          <w:rFonts w:ascii="Arial" w:hAnsi="Arial" w:cs="Arial"/>
          <w:color w:val="000000" w:themeColor="text1"/>
          <w:sz w:val="18"/>
          <w:szCs w:val="18"/>
        </w:rPr>
        <w:footnoteRef/>
      </w:r>
      <w:r w:rsidRPr="00C11BA5">
        <w:rPr>
          <w:rFonts w:ascii="Arial" w:hAnsi="Arial" w:cs="Arial"/>
          <w:color w:val="000000" w:themeColor="text1"/>
          <w:sz w:val="18"/>
          <w:szCs w:val="18"/>
        </w:rPr>
        <w:t xml:space="preserve"> Consejo de Estado. Sección Tercera. Subsección A. Sentencia del 25 de octubre de 2019. </w:t>
      </w:r>
      <w:proofErr w:type="spellStart"/>
      <w:r w:rsidRPr="00C11BA5">
        <w:rPr>
          <w:rFonts w:ascii="Arial" w:hAnsi="Arial" w:cs="Arial"/>
          <w:color w:val="000000" w:themeColor="text1"/>
          <w:sz w:val="18"/>
          <w:szCs w:val="18"/>
        </w:rPr>
        <w:t>Exp</w:t>
      </w:r>
      <w:proofErr w:type="spellEnd"/>
      <w:r w:rsidRPr="00C11BA5">
        <w:rPr>
          <w:rFonts w:ascii="Arial" w:hAnsi="Arial" w:cs="Arial"/>
          <w:color w:val="000000" w:themeColor="text1"/>
          <w:sz w:val="18"/>
          <w:szCs w:val="18"/>
        </w:rPr>
        <w:t>. 39.945. Consejera Ponente: María Adriana Marín.</w:t>
      </w:r>
    </w:p>
    <w:p w14:paraId="1F04C95A" w14:textId="77777777" w:rsidR="00ED6A9D" w:rsidRPr="00C11BA5" w:rsidRDefault="00ED6A9D" w:rsidP="00ED6A9D">
      <w:pPr>
        <w:pStyle w:val="Textonotapie"/>
        <w:ind w:firstLine="709"/>
        <w:jc w:val="both"/>
        <w:rPr>
          <w:rFonts w:ascii="Arial" w:hAnsi="Arial" w:cs="Arial"/>
          <w:color w:val="000000" w:themeColor="text1"/>
          <w:sz w:val="18"/>
          <w:szCs w:val="18"/>
          <w:lang w:val="es-ES"/>
        </w:rPr>
      </w:pPr>
    </w:p>
  </w:footnote>
  <w:footnote w:id="10">
    <w:p w14:paraId="15AD3FAA" w14:textId="77777777" w:rsidR="00ED6A9D" w:rsidRDefault="00ED6A9D" w:rsidP="00ED6A9D">
      <w:pPr>
        <w:pStyle w:val="Textonotapie"/>
        <w:ind w:firstLine="709"/>
        <w:jc w:val="both"/>
        <w:rPr>
          <w:rFonts w:ascii="Arial" w:hAnsi="Arial" w:cs="Arial"/>
          <w:color w:val="000000" w:themeColor="text1"/>
          <w:sz w:val="18"/>
          <w:szCs w:val="18"/>
        </w:rPr>
      </w:pPr>
      <w:r w:rsidRPr="00C11BA5">
        <w:rPr>
          <w:rStyle w:val="Refdenotaalpie"/>
          <w:rFonts w:ascii="Arial" w:hAnsi="Arial" w:cs="Arial"/>
          <w:color w:val="000000" w:themeColor="text1"/>
          <w:sz w:val="18"/>
          <w:szCs w:val="18"/>
        </w:rPr>
        <w:footnoteRef/>
      </w:r>
      <w:r w:rsidRPr="00C11BA5">
        <w:rPr>
          <w:rStyle w:val="Refdenotaalpie"/>
          <w:rFonts w:ascii="Arial" w:hAnsi="Arial" w:cs="Arial"/>
          <w:color w:val="000000" w:themeColor="text1"/>
          <w:sz w:val="18"/>
          <w:szCs w:val="18"/>
        </w:rPr>
        <w:t xml:space="preserve"> </w:t>
      </w:r>
      <w:r w:rsidRPr="00C11BA5">
        <w:rPr>
          <w:rFonts w:ascii="Arial" w:hAnsi="Arial" w:cs="Arial"/>
          <w:color w:val="000000" w:themeColor="text1"/>
          <w:sz w:val="18"/>
          <w:szCs w:val="18"/>
        </w:rPr>
        <w:t xml:space="preserve">Consejo de Estado. Sección Tercera. Subsección A. Sentencia del 5 de julio de 2018. </w:t>
      </w:r>
      <w:proofErr w:type="spellStart"/>
      <w:r w:rsidRPr="00C11BA5">
        <w:rPr>
          <w:rFonts w:ascii="Arial" w:hAnsi="Arial" w:cs="Arial"/>
          <w:color w:val="000000" w:themeColor="text1"/>
          <w:sz w:val="18"/>
          <w:szCs w:val="18"/>
        </w:rPr>
        <w:t>Exp</w:t>
      </w:r>
      <w:proofErr w:type="spellEnd"/>
      <w:r w:rsidRPr="00C11BA5">
        <w:rPr>
          <w:rFonts w:ascii="Arial" w:hAnsi="Arial" w:cs="Arial"/>
          <w:color w:val="000000" w:themeColor="text1"/>
          <w:sz w:val="18"/>
          <w:szCs w:val="18"/>
        </w:rPr>
        <w:t>. 37.834. Consejero Ponente: Carlos Alberto Zambrano Barrera.</w:t>
      </w:r>
    </w:p>
    <w:p w14:paraId="3270188D" w14:textId="77777777" w:rsidR="00ED6A9D" w:rsidRPr="0088589E" w:rsidRDefault="00ED6A9D" w:rsidP="00ED6A9D">
      <w:pPr>
        <w:pStyle w:val="Textonotapie"/>
        <w:ind w:firstLine="709"/>
        <w:jc w:val="both"/>
        <w:rPr>
          <w:rFonts w:ascii="Geomanist Light" w:hAnsi="Geomanist Light" w:cs="Arial"/>
          <w:color w:val="000000" w:themeColor="text1"/>
          <w:sz w:val="18"/>
          <w:szCs w:val="18"/>
          <w:lang w:val="es-ES"/>
        </w:rPr>
      </w:pPr>
    </w:p>
  </w:footnote>
  <w:footnote w:id="11">
    <w:p w14:paraId="0A33B4D7" w14:textId="77777777" w:rsidR="00682397" w:rsidRDefault="00682397" w:rsidP="00682397">
      <w:pPr>
        <w:pStyle w:val="Textonotapie"/>
        <w:ind w:firstLine="707"/>
        <w:rPr>
          <w:rFonts w:ascii="Arial" w:hAnsi="Arial" w:cs="Arial"/>
          <w:sz w:val="14"/>
          <w:szCs w:val="14"/>
          <w:lang w:val="es-ES"/>
        </w:rPr>
      </w:pPr>
      <w:r>
        <w:rPr>
          <w:rStyle w:val="Refdenotaalpie"/>
          <w:rFonts w:ascii="Arial" w:hAnsi="Arial" w:cs="Arial"/>
          <w:sz w:val="14"/>
          <w:szCs w:val="14"/>
        </w:rPr>
        <w:footnoteRef/>
      </w:r>
      <w:r>
        <w:rPr>
          <w:rFonts w:ascii="Arial" w:hAnsi="Arial" w:cs="Arial"/>
          <w:sz w:val="14"/>
          <w:szCs w:val="14"/>
        </w:rPr>
        <w:t xml:space="preserve"> </w:t>
      </w:r>
      <w:r>
        <w:rPr>
          <w:rFonts w:ascii="Arial" w:hAnsi="Arial" w:cs="Arial"/>
          <w:sz w:val="14"/>
          <w:szCs w:val="14"/>
          <w:lang w:val="es-ES"/>
        </w:rPr>
        <w:t xml:space="preserve">Sala de lo contencioso Administrativo. Sección tercera. Subsección B. sentencia de 3 de mayo de 2013. </w:t>
      </w:r>
      <w:proofErr w:type="spellStart"/>
      <w:r>
        <w:rPr>
          <w:rFonts w:ascii="Arial" w:hAnsi="Arial" w:cs="Arial"/>
          <w:sz w:val="14"/>
          <w:szCs w:val="14"/>
          <w:lang w:val="es-ES"/>
        </w:rPr>
        <w:t>Exp</w:t>
      </w:r>
      <w:proofErr w:type="spellEnd"/>
      <w:r>
        <w:rPr>
          <w:rFonts w:ascii="Arial" w:hAnsi="Arial" w:cs="Arial"/>
          <w:sz w:val="14"/>
          <w:szCs w:val="14"/>
          <w:lang w:val="es-ES"/>
        </w:rPr>
        <w:t xml:space="preserve"> 23734. </w:t>
      </w:r>
    </w:p>
    <w:p w14:paraId="7CAD62AF" w14:textId="77777777" w:rsidR="00682397" w:rsidRDefault="00682397" w:rsidP="00682397">
      <w:pPr>
        <w:pStyle w:val="Textonotapie"/>
        <w:ind w:firstLine="707"/>
        <w:rPr>
          <w:rFonts w:ascii="Arial" w:hAnsi="Arial" w:cs="Arial"/>
          <w:sz w:val="14"/>
          <w:szCs w:val="14"/>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F296B80"/>
    <w:multiLevelType w:val="hybridMultilevel"/>
    <w:tmpl w:val="64E28918"/>
    <w:lvl w:ilvl="0" w:tplc="4E163AB4">
      <w:start w:val="1"/>
      <w:numFmt w:val="upperRoman"/>
      <w:lvlText w:val="%1."/>
      <w:lvlJc w:val="left"/>
      <w:pPr>
        <w:ind w:left="1080" w:hanging="720"/>
      </w:pPr>
      <w:rPr>
        <w:rFonts w:eastAsia="Aria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985312460">
    <w:abstractNumId w:val="0"/>
  </w:num>
  <w:num w:numId="17" w16cid:durableId="19205583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4A1847"/>
    <w:rsid w:val="00004E30"/>
    <w:rsid w:val="00016A7B"/>
    <w:rsid w:val="00017E5B"/>
    <w:rsid w:val="0004436C"/>
    <w:rsid w:val="00053B47"/>
    <w:rsid w:val="00055FAF"/>
    <w:rsid w:val="00061B2A"/>
    <w:rsid w:val="000705DC"/>
    <w:rsid w:val="00072D02"/>
    <w:rsid w:val="00082362"/>
    <w:rsid w:val="00093619"/>
    <w:rsid w:val="000958FF"/>
    <w:rsid w:val="000A683E"/>
    <w:rsid w:val="000B19B9"/>
    <w:rsid w:val="000B6C17"/>
    <w:rsid w:val="000D0334"/>
    <w:rsid w:val="000F6486"/>
    <w:rsid w:val="00125105"/>
    <w:rsid w:val="00127233"/>
    <w:rsid w:val="001B6F9E"/>
    <w:rsid w:val="001C1411"/>
    <w:rsid w:val="001E4177"/>
    <w:rsid w:val="001E458B"/>
    <w:rsid w:val="001E7337"/>
    <w:rsid w:val="001F64E4"/>
    <w:rsid w:val="001F7DC6"/>
    <w:rsid w:val="00214851"/>
    <w:rsid w:val="002421BB"/>
    <w:rsid w:val="002707A2"/>
    <w:rsid w:val="002951A0"/>
    <w:rsid w:val="002962BC"/>
    <w:rsid w:val="002A093D"/>
    <w:rsid w:val="002A0DD0"/>
    <w:rsid w:val="002A49AC"/>
    <w:rsid w:val="002A64FD"/>
    <w:rsid w:val="002C7A84"/>
    <w:rsid w:val="002D5D57"/>
    <w:rsid w:val="002E18B9"/>
    <w:rsid w:val="002E4FD9"/>
    <w:rsid w:val="00322A85"/>
    <w:rsid w:val="00334812"/>
    <w:rsid w:val="003448F4"/>
    <w:rsid w:val="00363B7A"/>
    <w:rsid w:val="00374F5E"/>
    <w:rsid w:val="00377E3E"/>
    <w:rsid w:val="00386528"/>
    <w:rsid w:val="003A2E6F"/>
    <w:rsid w:val="003A779E"/>
    <w:rsid w:val="003D0F4D"/>
    <w:rsid w:val="003D5B0D"/>
    <w:rsid w:val="003E0499"/>
    <w:rsid w:val="003E6508"/>
    <w:rsid w:val="003E693C"/>
    <w:rsid w:val="003F3941"/>
    <w:rsid w:val="00406575"/>
    <w:rsid w:val="0042722E"/>
    <w:rsid w:val="00486981"/>
    <w:rsid w:val="004A1847"/>
    <w:rsid w:val="004A305D"/>
    <w:rsid w:val="004E72BF"/>
    <w:rsid w:val="004F21C4"/>
    <w:rsid w:val="004F685F"/>
    <w:rsid w:val="005314EB"/>
    <w:rsid w:val="00541DC2"/>
    <w:rsid w:val="005566E8"/>
    <w:rsid w:val="00574867"/>
    <w:rsid w:val="00575D54"/>
    <w:rsid w:val="00591460"/>
    <w:rsid w:val="005A2340"/>
    <w:rsid w:val="005C3777"/>
    <w:rsid w:val="005C524A"/>
    <w:rsid w:val="005C5CDC"/>
    <w:rsid w:val="005D476C"/>
    <w:rsid w:val="00611989"/>
    <w:rsid w:val="006173F0"/>
    <w:rsid w:val="006219F8"/>
    <w:rsid w:val="0062342E"/>
    <w:rsid w:val="00630817"/>
    <w:rsid w:val="00642DC8"/>
    <w:rsid w:val="006579D9"/>
    <w:rsid w:val="00665D70"/>
    <w:rsid w:val="00682397"/>
    <w:rsid w:val="006900D9"/>
    <w:rsid w:val="006B3BBD"/>
    <w:rsid w:val="006D04FF"/>
    <w:rsid w:val="006F63AA"/>
    <w:rsid w:val="0070691A"/>
    <w:rsid w:val="00706BD2"/>
    <w:rsid w:val="00706C16"/>
    <w:rsid w:val="00734DBB"/>
    <w:rsid w:val="00754226"/>
    <w:rsid w:val="00756841"/>
    <w:rsid w:val="007649AB"/>
    <w:rsid w:val="00771D0C"/>
    <w:rsid w:val="007833AC"/>
    <w:rsid w:val="0079070E"/>
    <w:rsid w:val="007B268C"/>
    <w:rsid w:val="007B7171"/>
    <w:rsid w:val="007C3DC2"/>
    <w:rsid w:val="007D1D3E"/>
    <w:rsid w:val="007E5497"/>
    <w:rsid w:val="00806F5F"/>
    <w:rsid w:val="00820065"/>
    <w:rsid w:val="00820278"/>
    <w:rsid w:val="00847480"/>
    <w:rsid w:val="008843B6"/>
    <w:rsid w:val="00891928"/>
    <w:rsid w:val="00894893"/>
    <w:rsid w:val="00897A89"/>
    <w:rsid w:val="008A446D"/>
    <w:rsid w:val="008C2CD0"/>
    <w:rsid w:val="008D180B"/>
    <w:rsid w:val="008F0EA7"/>
    <w:rsid w:val="008F5029"/>
    <w:rsid w:val="00902AFF"/>
    <w:rsid w:val="0091142F"/>
    <w:rsid w:val="00923EEF"/>
    <w:rsid w:val="009419F9"/>
    <w:rsid w:val="009528F8"/>
    <w:rsid w:val="00961B09"/>
    <w:rsid w:val="00965334"/>
    <w:rsid w:val="0097093E"/>
    <w:rsid w:val="00991508"/>
    <w:rsid w:val="00995244"/>
    <w:rsid w:val="009C71FA"/>
    <w:rsid w:val="009C72E7"/>
    <w:rsid w:val="009F3A13"/>
    <w:rsid w:val="00A122D3"/>
    <w:rsid w:val="00A17F13"/>
    <w:rsid w:val="00A20739"/>
    <w:rsid w:val="00A33C78"/>
    <w:rsid w:val="00A360F1"/>
    <w:rsid w:val="00AB02C6"/>
    <w:rsid w:val="00AB0ADB"/>
    <w:rsid w:val="00B025A2"/>
    <w:rsid w:val="00B113A1"/>
    <w:rsid w:val="00B13A7A"/>
    <w:rsid w:val="00B41E68"/>
    <w:rsid w:val="00B72CD3"/>
    <w:rsid w:val="00B72FE2"/>
    <w:rsid w:val="00B72FFF"/>
    <w:rsid w:val="00B802FF"/>
    <w:rsid w:val="00B85C5F"/>
    <w:rsid w:val="00B85E47"/>
    <w:rsid w:val="00BC3D36"/>
    <w:rsid w:val="00BD7F72"/>
    <w:rsid w:val="00C04FB3"/>
    <w:rsid w:val="00C1165D"/>
    <w:rsid w:val="00C330EB"/>
    <w:rsid w:val="00C754BE"/>
    <w:rsid w:val="00C76B1C"/>
    <w:rsid w:val="00CA3E8E"/>
    <w:rsid w:val="00CB6357"/>
    <w:rsid w:val="00CC1B26"/>
    <w:rsid w:val="00CF3EB8"/>
    <w:rsid w:val="00D423A2"/>
    <w:rsid w:val="00D63AC2"/>
    <w:rsid w:val="00D70E94"/>
    <w:rsid w:val="00D720DE"/>
    <w:rsid w:val="00D7383B"/>
    <w:rsid w:val="00DA231B"/>
    <w:rsid w:val="00DA4F2D"/>
    <w:rsid w:val="00DC4D52"/>
    <w:rsid w:val="00DF5254"/>
    <w:rsid w:val="00E16408"/>
    <w:rsid w:val="00E20894"/>
    <w:rsid w:val="00E245AB"/>
    <w:rsid w:val="00E2764C"/>
    <w:rsid w:val="00E27F2E"/>
    <w:rsid w:val="00E50AFE"/>
    <w:rsid w:val="00E50C75"/>
    <w:rsid w:val="00E64D7A"/>
    <w:rsid w:val="00E771DC"/>
    <w:rsid w:val="00E8772A"/>
    <w:rsid w:val="00E90F6B"/>
    <w:rsid w:val="00E92C27"/>
    <w:rsid w:val="00E97D30"/>
    <w:rsid w:val="00EA0E3D"/>
    <w:rsid w:val="00EC304F"/>
    <w:rsid w:val="00EC43AD"/>
    <w:rsid w:val="00ED0124"/>
    <w:rsid w:val="00ED6A9D"/>
    <w:rsid w:val="00EE1AA8"/>
    <w:rsid w:val="00F31EDC"/>
    <w:rsid w:val="00F35F2C"/>
    <w:rsid w:val="00F462B3"/>
    <w:rsid w:val="00F5664F"/>
    <w:rsid w:val="00F666C4"/>
    <w:rsid w:val="00F76AFC"/>
    <w:rsid w:val="00FB5DD1"/>
    <w:rsid w:val="00FC2B5D"/>
    <w:rsid w:val="00FD7B0A"/>
    <w:rsid w:val="00FF1449"/>
    <w:rsid w:val="21621E97"/>
    <w:rsid w:val="34DA82C5"/>
    <w:rsid w:val="5620BA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docId w15:val="{F361537C-A83B-4A0C-AA01-D3FE7D6A2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6F63AA"/>
    <w:rPr>
      <w:rFonts w:ascii="Geomanist Light" w:hAnsi="Geomanist Light"/>
      <w:lang w:val="es-ES"/>
    </w:rPr>
  </w:style>
  <w:style w:type="paragraph" w:customStyle="1" w:styleId="Appelnotedebasde">
    <w:name w:val="Appel note de bas de..."/>
    <w:basedOn w:val="Normal"/>
    <w:link w:val="Refdenotaalpie"/>
    <w:uiPriority w:val="99"/>
    <w:rsid w:val="006F63AA"/>
    <w:pPr>
      <w:spacing w:line="240" w:lineRule="exact"/>
    </w:pPr>
    <w:rPr>
      <w:vertAlign w:val="superscript"/>
    </w:rPr>
  </w:style>
  <w:style w:type="paragraph" w:styleId="Textoindependiente">
    <w:name w:val="Body Text"/>
    <w:basedOn w:val="Normal"/>
    <w:link w:val="TextoindependienteCar"/>
    <w:uiPriority w:val="1"/>
    <w:qFormat/>
    <w:rsid w:val="006F63AA"/>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6F63AA"/>
    <w:rPr>
      <w:rFonts w:ascii="Arial MT" w:eastAsia="Arial MT" w:hAnsi="Arial MT" w:cs="Arial MT"/>
      <w:lang w:val="es-ES"/>
    </w:rPr>
  </w:style>
  <w:style w:type="character" w:customStyle="1" w:styleId="superscript">
    <w:name w:val="superscript"/>
    <w:basedOn w:val="Fuentedeprrafopredeter"/>
    <w:rsid w:val="000705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07132">
      <w:bodyDiv w:val="1"/>
      <w:marLeft w:val="0"/>
      <w:marRight w:val="0"/>
      <w:marTop w:val="0"/>
      <w:marBottom w:val="0"/>
      <w:divBdr>
        <w:top w:val="none" w:sz="0" w:space="0" w:color="auto"/>
        <w:left w:val="none" w:sz="0" w:space="0" w:color="auto"/>
        <w:bottom w:val="none" w:sz="0" w:space="0" w:color="auto"/>
        <w:right w:val="none" w:sz="0" w:space="0" w:color="auto"/>
      </w:divBdr>
    </w:div>
    <w:div w:id="134296444">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36760283">
      <w:bodyDiv w:val="1"/>
      <w:marLeft w:val="0"/>
      <w:marRight w:val="0"/>
      <w:marTop w:val="0"/>
      <w:marBottom w:val="0"/>
      <w:divBdr>
        <w:top w:val="none" w:sz="0" w:space="0" w:color="auto"/>
        <w:left w:val="none" w:sz="0" w:space="0" w:color="auto"/>
        <w:bottom w:val="none" w:sz="0" w:space="0" w:color="auto"/>
        <w:right w:val="none" w:sz="0" w:space="0" w:color="auto"/>
      </w:divBdr>
      <w:divsChild>
        <w:div w:id="22751405">
          <w:marLeft w:val="0"/>
          <w:marRight w:val="0"/>
          <w:marTop w:val="0"/>
          <w:marBottom w:val="0"/>
          <w:divBdr>
            <w:top w:val="none" w:sz="0" w:space="0" w:color="auto"/>
            <w:left w:val="none" w:sz="0" w:space="0" w:color="auto"/>
            <w:bottom w:val="none" w:sz="0" w:space="0" w:color="auto"/>
            <w:right w:val="none" w:sz="0" w:space="0" w:color="auto"/>
          </w:divBdr>
        </w:div>
        <w:div w:id="427122911">
          <w:marLeft w:val="0"/>
          <w:marRight w:val="0"/>
          <w:marTop w:val="0"/>
          <w:marBottom w:val="0"/>
          <w:divBdr>
            <w:top w:val="none" w:sz="0" w:space="0" w:color="auto"/>
            <w:left w:val="none" w:sz="0" w:space="0" w:color="auto"/>
            <w:bottom w:val="none" w:sz="0" w:space="0" w:color="auto"/>
            <w:right w:val="none" w:sz="0" w:space="0" w:color="auto"/>
          </w:divBdr>
        </w:div>
        <w:div w:id="1846362094">
          <w:marLeft w:val="0"/>
          <w:marRight w:val="0"/>
          <w:marTop w:val="0"/>
          <w:marBottom w:val="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056515856">
      <w:bodyDiv w:val="1"/>
      <w:marLeft w:val="0"/>
      <w:marRight w:val="0"/>
      <w:marTop w:val="0"/>
      <w:marBottom w:val="0"/>
      <w:divBdr>
        <w:top w:val="none" w:sz="0" w:space="0" w:color="auto"/>
        <w:left w:val="none" w:sz="0" w:space="0" w:color="auto"/>
        <w:bottom w:val="none" w:sz="0" w:space="0" w:color="auto"/>
        <w:right w:val="none" w:sz="0" w:space="0" w:color="auto"/>
      </w:divBdr>
      <w:divsChild>
        <w:div w:id="586302718">
          <w:marLeft w:val="0"/>
          <w:marRight w:val="0"/>
          <w:marTop w:val="0"/>
          <w:marBottom w:val="0"/>
          <w:divBdr>
            <w:top w:val="none" w:sz="0" w:space="0" w:color="auto"/>
            <w:left w:val="none" w:sz="0" w:space="0" w:color="auto"/>
            <w:bottom w:val="none" w:sz="0" w:space="0" w:color="auto"/>
            <w:right w:val="none" w:sz="0" w:space="0" w:color="auto"/>
          </w:divBdr>
        </w:div>
        <w:div w:id="826046958">
          <w:marLeft w:val="0"/>
          <w:marRight w:val="0"/>
          <w:marTop w:val="0"/>
          <w:marBottom w:val="0"/>
          <w:divBdr>
            <w:top w:val="none" w:sz="0" w:space="0" w:color="auto"/>
            <w:left w:val="none" w:sz="0" w:space="0" w:color="auto"/>
            <w:bottom w:val="none" w:sz="0" w:space="0" w:color="auto"/>
            <w:right w:val="none" w:sz="0" w:space="0" w:color="auto"/>
          </w:divBdr>
        </w:div>
        <w:div w:id="1130900584">
          <w:marLeft w:val="0"/>
          <w:marRight w:val="0"/>
          <w:marTop w:val="0"/>
          <w:marBottom w:val="0"/>
          <w:divBdr>
            <w:top w:val="none" w:sz="0" w:space="0" w:color="auto"/>
            <w:left w:val="none" w:sz="0" w:space="0" w:color="auto"/>
            <w:bottom w:val="none" w:sz="0" w:space="0" w:color="auto"/>
            <w:right w:val="none" w:sz="0" w:space="0" w:color="auto"/>
          </w:divBdr>
        </w:div>
        <w:div w:id="1446194815">
          <w:marLeft w:val="0"/>
          <w:marRight w:val="0"/>
          <w:marTop w:val="0"/>
          <w:marBottom w:val="0"/>
          <w:divBdr>
            <w:top w:val="none" w:sz="0" w:space="0" w:color="auto"/>
            <w:left w:val="none" w:sz="0" w:space="0" w:color="auto"/>
            <w:bottom w:val="none" w:sz="0" w:space="0" w:color="auto"/>
            <w:right w:val="none" w:sz="0" w:space="0" w:color="auto"/>
          </w:divBdr>
        </w:div>
        <w:div w:id="1561206455">
          <w:marLeft w:val="0"/>
          <w:marRight w:val="0"/>
          <w:marTop w:val="0"/>
          <w:marBottom w:val="0"/>
          <w:divBdr>
            <w:top w:val="none" w:sz="0" w:space="0" w:color="auto"/>
            <w:left w:val="none" w:sz="0" w:space="0" w:color="auto"/>
            <w:bottom w:val="none" w:sz="0" w:space="0" w:color="auto"/>
            <w:right w:val="none" w:sz="0" w:space="0" w:color="auto"/>
          </w:divBdr>
        </w:div>
        <w:div w:id="1572036896">
          <w:marLeft w:val="0"/>
          <w:marRight w:val="0"/>
          <w:marTop w:val="0"/>
          <w:marBottom w:val="0"/>
          <w:divBdr>
            <w:top w:val="none" w:sz="0" w:space="0" w:color="auto"/>
            <w:left w:val="none" w:sz="0" w:space="0" w:color="auto"/>
            <w:bottom w:val="none" w:sz="0" w:space="0" w:color="auto"/>
            <w:right w:val="none" w:sz="0" w:space="0" w:color="auto"/>
          </w:divBdr>
        </w:div>
        <w:div w:id="1857186306">
          <w:marLeft w:val="0"/>
          <w:marRight w:val="0"/>
          <w:marTop w:val="0"/>
          <w:marBottom w:val="0"/>
          <w:divBdr>
            <w:top w:val="none" w:sz="0" w:space="0" w:color="auto"/>
            <w:left w:val="none" w:sz="0" w:space="0" w:color="auto"/>
            <w:bottom w:val="none" w:sz="0" w:space="0" w:color="auto"/>
            <w:right w:val="none" w:sz="0" w:space="0" w:color="auto"/>
          </w:divBdr>
        </w:div>
        <w:div w:id="1870142301">
          <w:marLeft w:val="0"/>
          <w:marRight w:val="0"/>
          <w:marTop w:val="0"/>
          <w:marBottom w:val="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2691031">
      <w:bodyDiv w:val="1"/>
      <w:marLeft w:val="0"/>
      <w:marRight w:val="0"/>
      <w:marTop w:val="0"/>
      <w:marBottom w:val="0"/>
      <w:divBdr>
        <w:top w:val="none" w:sz="0" w:space="0" w:color="auto"/>
        <w:left w:val="none" w:sz="0" w:space="0" w:color="auto"/>
        <w:bottom w:val="none" w:sz="0" w:space="0" w:color="auto"/>
        <w:right w:val="none" w:sz="0" w:space="0" w:color="auto"/>
      </w:divBdr>
      <w:divsChild>
        <w:div w:id="60300729">
          <w:marLeft w:val="0"/>
          <w:marRight w:val="0"/>
          <w:marTop w:val="0"/>
          <w:marBottom w:val="0"/>
          <w:divBdr>
            <w:top w:val="none" w:sz="0" w:space="0" w:color="auto"/>
            <w:left w:val="none" w:sz="0" w:space="0" w:color="auto"/>
            <w:bottom w:val="none" w:sz="0" w:space="0" w:color="auto"/>
            <w:right w:val="none" w:sz="0" w:space="0" w:color="auto"/>
          </w:divBdr>
        </w:div>
        <w:div w:id="307900356">
          <w:marLeft w:val="0"/>
          <w:marRight w:val="0"/>
          <w:marTop w:val="0"/>
          <w:marBottom w:val="0"/>
          <w:divBdr>
            <w:top w:val="none" w:sz="0" w:space="0" w:color="auto"/>
            <w:left w:val="none" w:sz="0" w:space="0" w:color="auto"/>
            <w:bottom w:val="none" w:sz="0" w:space="0" w:color="auto"/>
            <w:right w:val="none" w:sz="0" w:space="0" w:color="auto"/>
          </w:divBdr>
        </w:div>
        <w:div w:id="1972663478">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994945354">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BBEBA83-993A-43F6-8D98-66E7BEDF45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purl.org/dc/elements/1.1/"/>
    <ds:schemaRef ds:uri="http://schemas.microsoft.com/office/2006/documentManagement/types"/>
    <ds:schemaRef ds:uri="http://purl.org/dc/dcmitype/"/>
    <ds:schemaRef ds:uri="http://purl.org/dc/terms/"/>
    <ds:schemaRef ds:uri="a6cb9e4b-f1d1-4245-83ec-6cad768d538a"/>
    <ds:schemaRef ds:uri="http://www.w3.org/XML/1998/namespace"/>
    <ds:schemaRef ds:uri="http://schemas.microsoft.com/office/infopath/2007/PartnerControls"/>
    <ds:schemaRef ds:uri="http://schemas.microsoft.com/office/2006/metadata/properties"/>
    <ds:schemaRef ds:uri="http://schemas.openxmlformats.org/package/2006/metadata/core-propertie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6405</Words>
  <Characters>35228</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3</cp:revision>
  <cp:lastPrinted>2023-01-10T21:18:00Z</cp:lastPrinted>
  <dcterms:created xsi:type="dcterms:W3CDTF">2024-01-15T20:46:00Z</dcterms:created>
  <dcterms:modified xsi:type="dcterms:W3CDTF">2024-03-15T19:56:00Z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