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03752D" w14:textId="77777777" w:rsidR="004529A7" w:rsidRDefault="004529A7" w:rsidP="004529A7">
      <w:pPr>
        <w:spacing w:after="0" w:line="240" w:lineRule="auto"/>
        <w:jc w:val="both"/>
        <w:rPr>
          <w:rFonts w:ascii="Verdana" w:eastAsia="Geomanist Light" w:hAnsi="Verdana" w:cs="Arial"/>
          <w:color w:val="000000" w:themeColor="text1"/>
          <w:sz w:val="20"/>
          <w:szCs w:val="20"/>
          <w:lang w:val="es-ES"/>
        </w:rPr>
      </w:pPr>
    </w:p>
    <w:p w14:paraId="357A6141" w14:textId="04B0BB06" w:rsidR="004529A7" w:rsidRPr="004529A7" w:rsidRDefault="004529A7" w:rsidP="004529A7">
      <w:pPr>
        <w:spacing w:after="0" w:line="240" w:lineRule="auto"/>
        <w:jc w:val="both"/>
        <w:rPr>
          <w:rFonts w:ascii="Verdana" w:eastAsia="Geomanist Light" w:hAnsi="Verdana" w:cs="Arial"/>
          <w:b/>
          <w:bCs/>
          <w:color w:val="000000" w:themeColor="text1"/>
          <w:lang w:val="es-ES"/>
        </w:rPr>
      </w:pPr>
      <w:r w:rsidRPr="004529A7">
        <w:rPr>
          <w:rFonts w:ascii="Verdana" w:eastAsia="Geomanist Light" w:hAnsi="Verdana" w:cs="Arial"/>
          <w:b/>
          <w:bCs/>
          <w:color w:val="000000" w:themeColor="text1"/>
          <w:lang w:val="es-ES"/>
        </w:rPr>
        <w:t>CAUSALES DE RECHAZO DE LAS PROPUESTAS ― Principio de imparcialidad y selección objetiva – Legalidad – Tipicidad</w:t>
      </w:r>
    </w:p>
    <w:p w14:paraId="7DE121E2" w14:textId="77777777"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p>
    <w:p w14:paraId="16B5193B" w14:textId="455C622C"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r>
        <w:rPr>
          <w:rFonts w:ascii="Verdana" w:eastAsia="Geomanist Light" w:hAnsi="Verdana" w:cs="Arial"/>
          <w:color w:val="000000" w:themeColor="text1"/>
          <w:sz w:val="20"/>
          <w:szCs w:val="20"/>
          <w:lang w:val="es-ES"/>
        </w:rPr>
        <w:t xml:space="preserve">[…] </w:t>
      </w:r>
      <w:r w:rsidRPr="004529A7">
        <w:rPr>
          <w:rFonts w:ascii="Verdana" w:eastAsia="Geomanist Light" w:hAnsi="Verdana" w:cs="Arial"/>
          <w:color w:val="000000" w:themeColor="text1"/>
          <w:sz w:val="20"/>
          <w:szCs w:val="20"/>
          <w:lang w:val="es-ES"/>
        </w:rPr>
        <w:t xml:space="preserve">las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En otras palabras, no pueden fundamentarse en consideraciones subjetivas, que conviertan dichas causales en inhabilidades para participar en los procesos de selección. Es por esto </w:t>
      </w:r>
      <w:proofErr w:type="gramStart"/>
      <w:r w:rsidRPr="004529A7">
        <w:rPr>
          <w:rFonts w:ascii="Verdana" w:eastAsia="Geomanist Light" w:hAnsi="Verdana" w:cs="Arial"/>
          <w:color w:val="000000" w:themeColor="text1"/>
          <w:sz w:val="20"/>
          <w:szCs w:val="20"/>
          <w:lang w:val="es-ES"/>
        </w:rPr>
        <w:t>que</w:t>
      </w:r>
      <w:proofErr w:type="gramEnd"/>
      <w:r w:rsidRPr="004529A7">
        <w:rPr>
          <w:rFonts w:ascii="Verdana" w:eastAsia="Geomanist Light" w:hAnsi="Verdana" w:cs="Arial"/>
          <w:color w:val="000000" w:themeColor="text1"/>
          <w:sz w:val="20"/>
          <w:szCs w:val="20"/>
          <w:lang w:val="es-ES"/>
        </w:rPr>
        <w:t xml:space="preserve"> </w:t>
      </w:r>
      <w:r w:rsidRPr="004529A7">
        <w:rPr>
          <w:rFonts w:ascii="Verdana" w:eastAsia="Geomanist Light" w:hAnsi="Verdana" w:cs="Arial"/>
          <w:color w:val="000000" w:themeColor="text1"/>
          <w:sz w:val="20"/>
          <w:szCs w:val="20"/>
        </w:rPr>
        <w:t>en ejercicio de esta facultad a las entidades no le es dable fijar causales de rechazo que soslayen o afecten la selección objetiva en la contratación</w:t>
      </w:r>
      <w:r>
        <w:rPr>
          <w:rFonts w:ascii="Verdana" w:eastAsia="Geomanist Light" w:hAnsi="Verdana" w:cs="Arial"/>
          <w:color w:val="000000" w:themeColor="text1"/>
          <w:sz w:val="20"/>
          <w:szCs w:val="20"/>
        </w:rPr>
        <w:t>.</w:t>
      </w:r>
    </w:p>
    <w:p w14:paraId="02DA9308" w14:textId="77777777"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p>
    <w:p w14:paraId="7AC3C9B8" w14:textId="77777777" w:rsidR="004529A7" w:rsidRPr="004529A7" w:rsidRDefault="004529A7" w:rsidP="004529A7">
      <w:pPr>
        <w:spacing w:after="0" w:line="240" w:lineRule="auto"/>
        <w:jc w:val="both"/>
        <w:rPr>
          <w:rFonts w:ascii="Verdana" w:eastAsia="Geomanist Light" w:hAnsi="Verdana" w:cs="Arial"/>
          <w:b/>
          <w:bCs/>
          <w:color w:val="000000" w:themeColor="text1"/>
          <w:lang w:val="es-ES"/>
        </w:rPr>
      </w:pPr>
      <w:r w:rsidRPr="004529A7">
        <w:rPr>
          <w:rFonts w:ascii="Verdana" w:eastAsia="Geomanist Light" w:hAnsi="Verdana" w:cs="Arial"/>
          <w:b/>
          <w:bCs/>
          <w:color w:val="000000" w:themeColor="text1"/>
          <w:lang w:val="es-ES"/>
        </w:rPr>
        <w:t>INHABILIDADES ― Reserva legal – Interpretación restrictiva</w:t>
      </w:r>
    </w:p>
    <w:p w14:paraId="556C0510" w14:textId="77777777"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p>
    <w:p w14:paraId="4095FC50" w14:textId="14989B8F"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r>
        <w:rPr>
          <w:rFonts w:ascii="Verdana" w:eastAsia="Geomanist Light" w:hAnsi="Verdana" w:cs="Arial"/>
          <w:color w:val="000000" w:themeColor="text1"/>
          <w:sz w:val="20"/>
          <w:szCs w:val="20"/>
          <w:lang w:val="es-ES"/>
        </w:rPr>
        <w:t xml:space="preserve">[…] </w:t>
      </w:r>
      <w:r w:rsidRPr="004529A7">
        <w:rPr>
          <w:rFonts w:ascii="Verdana" w:eastAsia="Geomanist Light" w:hAnsi="Verdana" w:cs="Arial"/>
          <w:color w:val="000000" w:themeColor="text1"/>
          <w:sz w:val="20"/>
          <w:szCs w:val="20"/>
          <w:lang w:val="es-ES_tradnl"/>
        </w:rPr>
        <w:t>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Bajo estas circunstancias, las entidades públicas no pueden establecer en el pliego de condiciones causales de inhabilidad no previstas en la Constitución o en la ley. En consecuencia, al tratarse de una materia que tiene reserva legal, no es posible que una entidad pública establezca nuevas causales que afecten la capacidad para contratar con el Estado, ni siquiera haciéndolas pasar como causa para rechazar los ofrecimientos realizados a la autoridad</w:t>
      </w:r>
    </w:p>
    <w:p w14:paraId="64099E1F" w14:textId="77777777"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p>
    <w:p w14:paraId="17C529B9" w14:textId="77777777" w:rsidR="004529A7" w:rsidRPr="004529A7" w:rsidRDefault="004529A7" w:rsidP="004529A7">
      <w:pPr>
        <w:spacing w:after="0" w:line="240" w:lineRule="auto"/>
        <w:jc w:val="both"/>
        <w:rPr>
          <w:rFonts w:ascii="Verdana" w:eastAsia="Geomanist Light" w:hAnsi="Verdana" w:cs="Arial"/>
          <w:b/>
          <w:bCs/>
          <w:color w:val="000000" w:themeColor="text1"/>
          <w:lang w:val="es-ES"/>
        </w:rPr>
      </w:pPr>
      <w:r w:rsidRPr="004529A7">
        <w:rPr>
          <w:rFonts w:ascii="Verdana" w:eastAsia="Geomanist Light" w:hAnsi="Verdana" w:cs="Arial"/>
          <w:b/>
          <w:bCs/>
          <w:color w:val="000000" w:themeColor="text1"/>
          <w:lang w:val="es-ES"/>
        </w:rPr>
        <w:t>INHABILIDADES ― Ley 80 de 1993 – Artículo 8, numeral 1– Literal D) – Destitución</w:t>
      </w:r>
    </w:p>
    <w:p w14:paraId="497D51E9" w14:textId="77777777"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p>
    <w:p w14:paraId="47E309D4" w14:textId="40F99E18" w:rsidR="004529A7" w:rsidRPr="004529A7" w:rsidRDefault="004529A7" w:rsidP="004529A7">
      <w:pPr>
        <w:spacing w:after="0" w:line="240" w:lineRule="auto"/>
        <w:jc w:val="both"/>
        <w:rPr>
          <w:rFonts w:ascii="Verdana" w:eastAsia="Geomanist Light" w:hAnsi="Verdana" w:cs="Arial"/>
          <w:color w:val="000000" w:themeColor="text1"/>
          <w:sz w:val="20"/>
          <w:szCs w:val="20"/>
          <w:lang w:val="es-ES"/>
        </w:rPr>
      </w:pPr>
      <w:r w:rsidRPr="004529A7">
        <w:rPr>
          <w:rFonts w:ascii="Verdana" w:eastAsia="Geomanist Light" w:hAnsi="Verdana" w:cs="Arial"/>
          <w:color w:val="000000" w:themeColor="text1"/>
          <w:sz w:val="20"/>
          <w:szCs w:val="20"/>
          <w:lang w:val="es-ES"/>
        </w:rPr>
        <w:t xml:space="preserve">Conforme al artículo 8, numeral 1 de la Ley 80 de 1993, las inhabilidades aplican a quienes –por restricción constitucional o legal– pretendan participar en procesos de selección o celebrar contratos con las entidades estatales. Especialmente, el literal d) señala que están inhabilitados “Quienes […] hayan sido sancionados disciplinariamente con destitución”. Sin perjuicio de la graduación dispuesta en los artículos 48 y 49 de la Ley 1952 de 2019, esta inhabilidad para contratar </w:t>
      </w:r>
      <w:r w:rsidRPr="004529A7">
        <w:rPr>
          <w:rFonts w:ascii="Verdana" w:eastAsia="Geomanist Light" w:hAnsi="Verdana" w:cs="Arial"/>
          <w:i/>
          <w:iCs/>
          <w:color w:val="000000" w:themeColor="text1"/>
          <w:sz w:val="20"/>
          <w:szCs w:val="20"/>
          <w:lang w:val="es-ES"/>
        </w:rPr>
        <w:t xml:space="preserve">“[…] se extenderán por un término de cinco (5) años contados a partir de la fecha de ejecutoria […] del acto que dispuso la destitución […]”. </w:t>
      </w:r>
      <w:r w:rsidRPr="004529A7">
        <w:rPr>
          <w:rFonts w:ascii="Verdana" w:eastAsia="Geomanist Light" w:hAnsi="Verdana" w:cs="Arial"/>
          <w:color w:val="000000" w:themeColor="text1"/>
          <w:sz w:val="20"/>
          <w:szCs w:val="20"/>
          <w:lang w:val="es-ES"/>
        </w:rPr>
        <w:t xml:space="preserve">Teniendo en cuenta lo anterior, la inhabilidad afecta a quien haya sido destituido por una sanción disciplinaria y asuma, posteriormente, la calidad de oferente o de contratista del Estado.   </w:t>
      </w:r>
    </w:p>
    <w:p w14:paraId="3D86583C" w14:textId="77777777" w:rsidR="004529A7" w:rsidRPr="004529A7" w:rsidRDefault="004529A7" w:rsidP="004529A7">
      <w:pPr>
        <w:spacing w:after="0" w:line="240" w:lineRule="auto"/>
        <w:rPr>
          <w:rFonts w:ascii="Verdana" w:eastAsia="Geomanist Light" w:hAnsi="Verdana" w:cs="Arial"/>
          <w:color w:val="000000" w:themeColor="text1"/>
          <w:sz w:val="20"/>
          <w:szCs w:val="20"/>
          <w:lang w:val="es-ES"/>
        </w:rPr>
      </w:pPr>
    </w:p>
    <w:p w14:paraId="529472DD" w14:textId="77777777" w:rsidR="004529A7" w:rsidRDefault="004529A7" w:rsidP="00EB1661">
      <w:pPr>
        <w:spacing w:after="0" w:line="240" w:lineRule="auto"/>
        <w:rPr>
          <w:rFonts w:ascii="Verdana" w:eastAsia="Geomanist Light" w:hAnsi="Verdana" w:cs="Arial"/>
          <w:color w:val="000000" w:themeColor="text1"/>
          <w:lang w:val="es-MX"/>
        </w:rPr>
      </w:pPr>
    </w:p>
    <w:p w14:paraId="4C7CBE14" w14:textId="77777777" w:rsidR="004529A7" w:rsidRDefault="004529A7" w:rsidP="00EB1661">
      <w:pPr>
        <w:spacing w:after="0" w:line="240" w:lineRule="auto"/>
        <w:rPr>
          <w:rFonts w:ascii="Verdana" w:eastAsia="Geomanist Light" w:hAnsi="Verdana" w:cs="Arial"/>
          <w:color w:val="000000" w:themeColor="text1"/>
          <w:lang w:val="es-MX"/>
        </w:rPr>
      </w:pPr>
    </w:p>
    <w:p w14:paraId="57C1FBBB" w14:textId="77777777" w:rsidR="004529A7" w:rsidRDefault="004529A7" w:rsidP="00EB1661">
      <w:pPr>
        <w:spacing w:after="0" w:line="240" w:lineRule="auto"/>
        <w:rPr>
          <w:rFonts w:ascii="Verdana" w:eastAsia="Geomanist Light" w:hAnsi="Verdana" w:cs="Arial"/>
          <w:color w:val="000000" w:themeColor="text1"/>
          <w:lang w:val="es-MX"/>
        </w:rPr>
      </w:pPr>
    </w:p>
    <w:p w14:paraId="31A6418C" w14:textId="77777777" w:rsidR="004529A7" w:rsidRDefault="004529A7" w:rsidP="00EB1661">
      <w:pPr>
        <w:spacing w:after="0" w:line="240" w:lineRule="auto"/>
        <w:rPr>
          <w:rFonts w:ascii="Verdana" w:eastAsia="Geomanist Light" w:hAnsi="Verdana" w:cs="Arial"/>
          <w:color w:val="000000" w:themeColor="text1"/>
          <w:lang w:val="es-MX"/>
        </w:rPr>
      </w:pPr>
    </w:p>
    <w:p w14:paraId="3383FC4E" w14:textId="77777777" w:rsidR="004529A7" w:rsidRDefault="004529A7" w:rsidP="00EB1661">
      <w:pPr>
        <w:spacing w:after="0" w:line="240" w:lineRule="auto"/>
        <w:rPr>
          <w:rFonts w:ascii="Verdana" w:eastAsia="Geomanist Light" w:hAnsi="Verdana" w:cs="Arial"/>
          <w:color w:val="000000" w:themeColor="text1"/>
          <w:lang w:val="es-MX"/>
        </w:rPr>
      </w:pPr>
    </w:p>
    <w:p w14:paraId="7DFB9B77" w14:textId="77777777" w:rsidR="004529A7" w:rsidRDefault="004529A7" w:rsidP="00EB1661">
      <w:pPr>
        <w:spacing w:after="0" w:line="240" w:lineRule="auto"/>
        <w:rPr>
          <w:rFonts w:ascii="Verdana" w:eastAsia="Geomanist Light" w:hAnsi="Verdana" w:cs="Arial"/>
          <w:color w:val="000000" w:themeColor="text1"/>
          <w:lang w:val="es-MX"/>
        </w:rPr>
      </w:pPr>
    </w:p>
    <w:p w14:paraId="43A654F0" w14:textId="69730E61" w:rsidR="00EB1661" w:rsidRPr="00593A5F" w:rsidRDefault="00EB1661" w:rsidP="00EB1661">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926918" w:rsidRPr="00926918">
        <w:rPr>
          <w:rFonts w:ascii="Verdana" w:eastAsia="Geomanist Light" w:hAnsi="Verdana" w:cs="Arial"/>
          <w:color w:val="201F1E"/>
          <w:lang w:val="es-MX"/>
        </w:rPr>
        <w:t>21 de Agosto de 2024</w:t>
      </w:r>
    </w:p>
    <w:p w14:paraId="5F1550E7" w14:textId="77777777" w:rsidR="00EB1661" w:rsidRDefault="00EB1661" w:rsidP="00EB1661">
      <w:pPr>
        <w:spacing w:after="0" w:line="240" w:lineRule="auto"/>
        <w:jc w:val="both"/>
        <w:rPr>
          <w:rFonts w:ascii="Verdana" w:eastAsia="Calibri" w:hAnsi="Verdana" w:cs="Arial"/>
          <w:color w:val="000000"/>
          <w:lang w:val="es-ES"/>
        </w:rPr>
      </w:pPr>
    </w:p>
    <w:p w14:paraId="7739B813" w14:textId="0D7A54E5" w:rsidR="00926918" w:rsidRDefault="00926918" w:rsidP="00926918">
      <w:pPr>
        <w:spacing w:after="0" w:line="240" w:lineRule="auto"/>
        <w:jc w:val="right"/>
        <w:rPr>
          <w:rFonts w:ascii="Verdana" w:eastAsia="Calibri" w:hAnsi="Verdana" w:cs="Arial"/>
          <w:color w:val="000000"/>
          <w:lang w:val="es-ES"/>
        </w:rPr>
      </w:pPr>
      <w:r w:rsidRPr="00926918">
        <w:rPr>
          <w:rFonts w:ascii="Verdana" w:eastAsia="Calibri" w:hAnsi="Verdana" w:cs="Arial"/>
          <w:noProof/>
          <w:color w:val="000000"/>
          <w:lang w:val="es-ES"/>
        </w:rPr>
        <w:drawing>
          <wp:inline distT="0" distB="0" distL="0" distR="0" wp14:anchorId="2917854C" wp14:editId="06617F9E">
            <wp:extent cx="3238500" cy="901700"/>
            <wp:effectExtent l="0" t="0" r="0" b="0"/>
            <wp:docPr id="12237561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56177" name=""/>
                    <pic:cNvPicPr/>
                  </pic:nvPicPr>
                  <pic:blipFill>
                    <a:blip r:embed="rId11"/>
                    <a:stretch>
                      <a:fillRect/>
                    </a:stretch>
                  </pic:blipFill>
                  <pic:spPr>
                    <a:xfrm>
                      <a:off x="0" y="0"/>
                      <a:ext cx="3238500" cy="901700"/>
                    </a:xfrm>
                    <a:prstGeom prst="rect">
                      <a:avLst/>
                    </a:prstGeom>
                  </pic:spPr>
                </pic:pic>
              </a:graphicData>
            </a:graphic>
          </wp:inline>
        </w:drawing>
      </w:r>
    </w:p>
    <w:p w14:paraId="4FCDA654" w14:textId="77777777" w:rsidR="00EB1661" w:rsidRPr="00593A5F" w:rsidRDefault="00EB1661" w:rsidP="00EB1661">
      <w:pPr>
        <w:spacing w:after="0" w:line="240" w:lineRule="auto"/>
        <w:jc w:val="both"/>
        <w:rPr>
          <w:rFonts w:ascii="Verdana" w:eastAsia="Calibri" w:hAnsi="Verdana" w:cs="Arial"/>
          <w:color w:val="000000"/>
          <w:lang w:val="es-ES"/>
        </w:rPr>
      </w:pPr>
    </w:p>
    <w:p w14:paraId="1F72BA63" w14:textId="77777777" w:rsidR="00EB1661" w:rsidRPr="00B96799" w:rsidRDefault="00EB1661" w:rsidP="00EB1661">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0F652197" w14:textId="77777777" w:rsidR="00EB1661" w:rsidRDefault="00EB1661" w:rsidP="00EB1661">
      <w:pPr>
        <w:spacing w:after="0" w:line="240" w:lineRule="auto"/>
        <w:rPr>
          <w:rFonts w:ascii="Verdana" w:eastAsia="Calibri" w:hAnsi="Verdana" w:cs="Arial"/>
          <w:b/>
          <w:lang w:val="es-ES_tradnl" w:eastAsia="es-ES_tradnl"/>
        </w:rPr>
      </w:pPr>
      <w:r w:rsidRPr="00A371EE">
        <w:rPr>
          <w:rFonts w:ascii="Verdana" w:eastAsia="Calibri" w:hAnsi="Verdana" w:cs="Arial"/>
          <w:b/>
          <w:lang w:val="es-ES_tradnl" w:eastAsia="es-ES_tradnl"/>
        </w:rPr>
        <w:t>Laura Alejandra Ríos Carrillo</w:t>
      </w:r>
    </w:p>
    <w:p w14:paraId="35C6451E" w14:textId="77777777" w:rsidR="00EB1661" w:rsidRPr="00A371EE" w:rsidRDefault="00000000" w:rsidP="00EB1661">
      <w:pPr>
        <w:spacing w:after="0" w:line="240" w:lineRule="auto"/>
        <w:rPr>
          <w:rFonts w:ascii="Verdana" w:eastAsia="Calibri" w:hAnsi="Verdana" w:cs="Arial"/>
          <w:lang w:val="es-ES" w:eastAsia="es-ES"/>
        </w:rPr>
      </w:pPr>
      <w:hyperlink r:id="rId12" w:history="1">
        <w:r w:rsidR="00EB1661" w:rsidRPr="00BE0970">
          <w:rPr>
            <w:rStyle w:val="Hipervnculo"/>
            <w:rFonts w:ascii="Verdana" w:hAnsi="Verdana"/>
          </w:rPr>
          <w:t>alejandrarioc0415@gmail.com</w:t>
        </w:r>
      </w:hyperlink>
      <w:r w:rsidR="00EB1661">
        <w:rPr>
          <w:rFonts w:ascii="Verdana" w:hAnsi="Verdana"/>
        </w:rPr>
        <w:t xml:space="preserve"> </w:t>
      </w:r>
      <w:r w:rsidR="00EB1661" w:rsidRPr="00A371EE">
        <w:rPr>
          <w:rFonts w:ascii="Verdana" w:eastAsia="Calibri" w:hAnsi="Verdana" w:cs="Arial"/>
          <w:lang w:val="es-ES" w:eastAsia="es-ES"/>
        </w:rPr>
        <w:t xml:space="preserve">   </w:t>
      </w:r>
    </w:p>
    <w:p w14:paraId="125670A2" w14:textId="77777777" w:rsidR="00EB1661" w:rsidRDefault="00EB1661" w:rsidP="00EB1661">
      <w:pPr>
        <w:spacing w:after="0" w:line="240" w:lineRule="auto"/>
        <w:rPr>
          <w:rFonts w:ascii="Verdana" w:eastAsia="Calibri" w:hAnsi="Verdana" w:cs="Arial"/>
          <w:lang w:val="es-ES" w:eastAsia="es-ES"/>
        </w:rPr>
      </w:pPr>
      <w:r>
        <w:rPr>
          <w:rFonts w:ascii="Verdana" w:eastAsia="Calibri" w:hAnsi="Verdana" w:cs="Arial"/>
          <w:lang w:val="es-ES" w:eastAsia="es-ES"/>
        </w:rPr>
        <w:t>Bucaramanga, Santander</w:t>
      </w:r>
    </w:p>
    <w:p w14:paraId="192BBD70" w14:textId="77777777" w:rsidR="00EB1661" w:rsidRPr="00593A5F" w:rsidRDefault="00EB1661" w:rsidP="00EB1661">
      <w:pPr>
        <w:spacing w:after="0" w:line="240" w:lineRule="auto"/>
        <w:rPr>
          <w:rFonts w:ascii="Verdana" w:eastAsia="Calibri" w:hAnsi="Verdana" w:cs="Arial"/>
          <w:b/>
          <w:bCs/>
          <w:color w:val="000000"/>
          <w:lang w:val="es-ES_tradnl" w:eastAsia="es-ES_tradnl"/>
        </w:rPr>
      </w:pPr>
    </w:p>
    <w:p w14:paraId="3E0F2936" w14:textId="77777777" w:rsidR="00EB1661" w:rsidRPr="00593A5F" w:rsidRDefault="00EB1661" w:rsidP="00EB166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387"/>
      </w:tblGrid>
      <w:tr w:rsidR="00EB1661" w:rsidRPr="00593A5F" w14:paraId="0B71E4D2" w14:textId="77777777" w:rsidTr="0040312D">
        <w:trPr>
          <w:trHeight w:val="884"/>
        </w:trPr>
        <w:tc>
          <w:tcPr>
            <w:tcW w:w="3402" w:type="dxa"/>
          </w:tcPr>
          <w:p w14:paraId="02EBA596" w14:textId="77777777" w:rsidR="00EB1661" w:rsidRPr="00C00976" w:rsidRDefault="00EB1661" w:rsidP="000E2BDB">
            <w:pPr>
              <w:jc w:val="both"/>
              <w:rPr>
                <w:rFonts w:ascii="Verdana" w:eastAsia="Calibri" w:hAnsi="Verdana" w:cs="Arial"/>
                <w:b/>
                <w:bCs/>
                <w:color w:val="7030A0"/>
                <w:lang w:val="es-ES_tradnl" w:eastAsia="es-ES_tradnl"/>
              </w:rPr>
            </w:pPr>
          </w:p>
        </w:tc>
        <w:tc>
          <w:tcPr>
            <w:tcW w:w="5387" w:type="dxa"/>
          </w:tcPr>
          <w:p w14:paraId="253C0AAA" w14:textId="77777777" w:rsidR="00EB1661" w:rsidRPr="00C00976" w:rsidRDefault="00EB1661" w:rsidP="000E2BD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408</w:t>
            </w:r>
            <w:r w:rsidRPr="008E6AD9">
              <w:rPr>
                <w:rFonts w:ascii="Verdana" w:eastAsia="Calibri" w:hAnsi="Verdana" w:cs="Arial"/>
                <w:b/>
                <w:bCs/>
                <w:lang w:val="es-ES" w:eastAsia="es-ES"/>
              </w:rPr>
              <w:t xml:space="preserve"> de 2024</w:t>
            </w:r>
          </w:p>
        </w:tc>
      </w:tr>
      <w:tr w:rsidR="00EB1661" w:rsidRPr="00F73E29" w14:paraId="51961B34" w14:textId="77777777" w:rsidTr="0040312D">
        <w:trPr>
          <w:trHeight w:val="884"/>
        </w:trPr>
        <w:tc>
          <w:tcPr>
            <w:tcW w:w="3402" w:type="dxa"/>
          </w:tcPr>
          <w:p w14:paraId="2B63F43A" w14:textId="77777777" w:rsidR="00EB1661" w:rsidRPr="00593A5F" w:rsidRDefault="00EB1661" w:rsidP="000E2BD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5387" w:type="dxa"/>
          </w:tcPr>
          <w:p w14:paraId="349D27CB" w14:textId="40307E1A" w:rsidR="00EB1661" w:rsidRPr="00A11406" w:rsidRDefault="00EB1661" w:rsidP="000E2BDB">
            <w:pPr>
              <w:spacing w:line="276" w:lineRule="auto"/>
              <w:jc w:val="both"/>
              <w:rPr>
                <w:rFonts w:ascii="Verdana" w:eastAsia="Calibri" w:hAnsi="Verdana" w:cs="Arial"/>
                <w:lang w:val="es-ES" w:eastAsia="es-ES"/>
              </w:rPr>
            </w:pPr>
            <w:r w:rsidRPr="00A3692E">
              <w:rPr>
                <w:rFonts w:ascii="Verdana" w:eastAsia="Calibri" w:hAnsi="Verdana" w:cs="Arial"/>
                <w:lang w:val="es-ES" w:eastAsia="es-ES"/>
              </w:rPr>
              <w:t>CAUSALES DE RECHAZO DE LAS PROPUESTAS ― Principio de imparcialidad y selección objetiva</w:t>
            </w:r>
            <w:r w:rsidR="006F2EFC">
              <w:rPr>
                <w:rFonts w:ascii="Verdana" w:eastAsia="Calibri" w:hAnsi="Verdana" w:cs="Arial"/>
                <w:lang w:val="es-ES" w:eastAsia="es-ES"/>
              </w:rPr>
              <w:t xml:space="preserve"> – Legalidad – Tipicidad</w:t>
            </w:r>
            <w:r w:rsidRPr="00A3692E">
              <w:rPr>
                <w:rFonts w:ascii="Verdana" w:eastAsia="Calibri" w:hAnsi="Verdana" w:cs="Arial"/>
                <w:lang w:val="es-ES" w:eastAsia="es-ES"/>
              </w:rPr>
              <w:t xml:space="preserve"> / INHABILIDADES ― Reserva legal</w:t>
            </w:r>
            <w:r w:rsidR="006F2EFC">
              <w:rPr>
                <w:rFonts w:ascii="Verdana" w:eastAsia="Calibri" w:hAnsi="Verdana" w:cs="Arial"/>
                <w:lang w:val="es-ES" w:eastAsia="es-ES"/>
              </w:rPr>
              <w:t xml:space="preserve"> – Interpretación restrictiva</w:t>
            </w:r>
            <w:r w:rsidRPr="00FA3A97">
              <w:rPr>
                <w:rFonts w:ascii="Verdana" w:eastAsia="Calibri" w:hAnsi="Verdana" w:cs="Arial"/>
                <w:lang w:val="es-ES" w:eastAsia="es-ES"/>
              </w:rPr>
              <w:t xml:space="preserve"> </w:t>
            </w:r>
            <w:r w:rsidR="006F2EFC">
              <w:rPr>
                <w:rFonts w:ascii="Verdana" w:eastAsia="Calibri" w:hAnsi="Verdana" w:cs="Arial"/>
                <w:lang w:val="es-ES" w:eastAsia="es-ES"/>
              </w:rPr>
              <w:t xml:space="preserve">/ </w:t>
            </w:r>
            <w:r w:rsidR="006F2EFC" w:rsidRPr="00A3692E">
              <w:rPr>
                <w:rFonts w:ascii="Verdana" w:eastAsia="Calibri" w:hAnsi="Verdana" w:cs="Arial"/>
                <w:lang w:val="es-ES" w:eastAsia="es-ES"/>
              </w:rPr>
              <w:t>INHABILIDADES ―</w:t>
            </w:r>
            <w:r w:rsidR="006F2EFC">
              <w:rPr>
                <w:rFonts w:ascii="Verdana" w:eastAsia="Calibri" w:hAnsi="Verdana" w:cs="Arial"/>
                <w:lang w:val="es-ES" w:eastAsia="es-ES"/>
              </w:rPr>
              <w:t xml:space="preserve"> Ley 80 de 1993 –</w:t>
            </w:r>
            <w:r w:rsidR="00F73E29">
              <w:rPr>
                <w:rFonts w:ascii="Verdana" w:eastAsia="Calibri" w:hAnsi="Verdana" w:cs="Arial"/>
                <w:lang w:val="es-ES" w:eastAsia="es-ES"/>
              </w:rPr>
              <w:t xml:space="preserve"> Artículo 8, numeral 1–</w:t>
            </w:r>
            <w:r w:rsidR="006F2EFC">
              <w:rPr>
                <w:rFonts w:ascii="Verdana" w:eastAsia="Calibri" w:hAnsi="Verdana" w:cs="Arial"/>
                <w:lang w:val="es-ES" w:eastAsia="es-ES"/>
              </w:rPr>
              <w:t xml:space="preserve"> </w:t>
            </w:r>
            <w:r w:rsidR="00F73E29">
              <w:rPr>
                <w:rFonts w:ascii="Verdana" w:eastAsia="Calibri" w:hAnsi="Verdana" w:cs="Arial"/>
                <w:lang w:val="es-ES" w:eastAsia="es-ES"/>
              </w:rPr>
              <w:t>L</w:t>
            </w:r>
            <w:r w:rsidR="006F2EFC">
              <w:rPr>
                <w:rFonts w:ascii="Verdana" w:eastAsia="Calibri" w:hAnsi="Verdana" w:cs="Arial"/>
                <w:lang w:val="es-ES" w:eastAsia="es-ES"/>
              </w:rPr>
              <w:t>iteral D</w:t>
            </w:r>
            <w:r w:rsidR="00F73E29">
              <w:rPr>
                <w:rFonts w:ascii="Verdana" w:eastAsia="Calibri" w:hAnsi="Verdana" w:cs="Arial"/>
                <w:lang w:val="es-ES" w:eastAsia="es-ES"/>
              </w:rPr>
              <w:t xml:space="preserve">) – Destitución  </w:t>
            </w:r>
          </w:p>
          <w:p w14:paraId="0C0C5E9B" w14:textId="77777777" w:rsidR="00EB1661" w:rsidRPr="00593A5F" w:rsidRDefault="00EB1661" w:rsidP="000E2BD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EB1661" w:rsidRPr="008E6AD9" w14:paraId="2EBEAA9A" w14:textId="77777777" w:rsidTr="0040312D">
        <w:tc>
          <w:tcPr>
            <w:tcW w:w="3402" w:type="dxa"/>
          </w:tcPr>
          <w:p w14:paraId="069E6AE4" w14:textId="77777777" w:rsidR="00EB1661" w:rsidRPr="008E6AD9" w:rsidRDefault="00EB1661" w:rsidP="000E2BD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5387" w:type="dxa"/>
          </w:tcPr>
          <w:p w14:paraId="06776DDF" w14:textId="77777777" w:rsidR="00EB1661" w:rsidRPr="008E6AD9" w:rsidRDefault="00EB1661" w:rsidP="000E2BDB">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A371EE">
              <w:rPr>
                <w:rFonts w:ascii="Verdana" w:eastAsia="Calibri" w:hAnsi="Verdana" w:cs="Arial"/>
                <w:lang w:val="es-ES_tradnl" w:eastAsia="es-ES_tradnl"/>
              </w:rPr>
              <w:t>P20240729007762</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F0B578E" w14:textId="77777777" w:rsidR="00EB1661" w:rsidRPr="00593A5F" w:rsidRDefault="00EB1661" w:rsidP="00EB1661">
      <w:pPr>
        <w:spacing w:after="0" w:line="240" w:lineRule="auto"/>
        <w:jc w:val="both"/>
        <w:rPr>
          <w:rFonts w:ascii="Verdana" w:eastAsia="Calibri" w:hAnsi="Verdana" w:cs="Arial"/>
          <w:color w:val="000000"/>
          <w:lang w:val="es-ES_tradnl" w:eastAsia="es-ES_tradnl"/>
        </w:rPr>
      </w:pPr>
    </w:p>
    <w:p w14:paraId="012AB097" w14:textId="77777777" w:rsidR="00EB1661" w:rsidRPr="00593A5F" w:rsidRDefault="00EB1661" w:rsidP="00EB1661">
      <w:pPr>
        <w:spacing w:after="0" w:line="240" w:lineRule="auto"/>
        <w:jc w:val="both"/>
        <w:rPr>
          <w:rFonts w:ascii="Verdana" w:eastAsia="Calibri" w:hAnsi="Verdana" w:cs="Arial"/>
          <w:color w:val="000000"/>
          <w:lang w:val="es-ES_tradnl" w:eastAsia="es-ES_tradnl"/>
        </w:rPr>
      </w:pPr>
    </w:p>
    <w:p w14:paraId="5DC547B4" w14:textId="77777777" w:rsidR="00EB1661" w:rsidRPr="008E6AD9" w:rsidRDefault="00EB1661" w:rsidP="00EB166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A371EE">
        <w:rPr>
          <w:rFonts w:ascii="Verdana" w:eastAsia="Calibri" w:hAnsi="Verdana" w:cs="Arial"/>
          <w:lang w:val="es-ES" w:eastAsia="es-ES"/>
        </w:rPr>
        <w:t>Ríos Carrillo</w:t>
      </w:r>
      <w:r w:rsidRPr="008E6AD9">
        <w:rPr>
          <w:rFonts w:ascii="Verdana" w:eastAsia="Calibri" w:hAnsi="Verdana" w:cs="Arial"/>
          <w:lang w:val="es-ES" w:eastAsia="es-ES"/>
        </w:rPr>
        <w:t xml:space="preserve">: </w:t>
      </w:r>
    </w:p>
    <w:p w14:paraId="745C9CBB" w14:textId="77777777" w:rsidR="00EB1661" w:rsidRDefault="00EB1661" w:rsidP="00EB166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FF59D29" w14:textId="77777777" w:rsidR="00EB1661" w:rsidRPr="00593A5F" w:rsidRDefault="00EB1661" w:rsidP="00EB166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realizada el </w:t>
      </w:r>
      <w:r>
        <w:rPr>
          <w:rFonts w:ascii="Verdana" w:eastAsia="Calibri" w:hAnsi="Verdana" w:cs="Arial"/>
          <w:lang w:val="es-ES" w:eastAsia="es-ES"/>
        </w:rPr>
        <w:t>9 de julio</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al Departamento Administrativo de la Función Pública</w:t>
      </w:r>
      <w:r w:rsidRPr="008E6AD9">
        <w:rPr>
          <w:rFonts w:ascii="Verdana" w:eastAsia="Calibri" w:hAnsi="Verdana" w:cs="Arial"/>
          <w:lang w:val="es-ES" w:eastAsia="es-ES"/>
        </w:rPr>
        <w:t>,</w:t>
      </w:r>
      <w:r>
        <w:rPr>
          <w:rFonts w:ascii="Verdana" w:eastAsia="Calibri" w:hAnsi="Verdana" w:cs="Arial"/>
          <w:lang w:val="es-ES" w:eastAsia="es-ES"/>
        </w:rPr>
        <w:t xml:space="preserve"> traslada por competencia a esta entidad –con fundamento en el artículo 21 de la Ley 1437 de 2011– mediante oficio </w:t>
      </w:r>
      <w:r w:rsidRPr="00237672">
        <w:rPr>
          <w:rFonts w:ascii="Verdana" w:eastAsia="Calibri" w:hAnsi="Verdana" w:cs="Arial"/>
          <w:lang w:val="es-ES" w:eastAsia="es-ES"/>
        </w:rPr>
        <w:t>20246000488511</w:t>
      </w:r>
      <w:r>
        <w:rPr>
          <w:rFonts w:ascii="Verdana" w:eastAsia="Calibri" w:hAnsi="Verdana" w:cs="Arial"/>
          <w:lang w:val="es-ES" w:eastAsia="es-ES"/>
        </w:rPr>
        <w:t xml:space="preserve"> del 29 de julio de 2024, </w:t>
      </w:r>
      <w:r w:rsidRPr="008E6AD9">
        <w:rPr>
          <w:rFonts w:ascii="Verdana" w:eastAsia="Calibri" w:hAnsi="Verdana" w:cs="Arial"/>
          <w:lang w:val="es-ES" w:eastAsia="es-ES"/>
        </w:rPr>
        <w:t xml:space="preserve">en </w:t>
      </w:r>
      <w:r>
        <w:rPr>
          <w:rFonts w:ascii="Verdana" w:eastAsia="Calibri" w:hAnsi="Verdana" w:cs="Arial"/>
          <w:lang w:val="es-ES" w:eastAsia="es-ES"/>
        </w:rPr>
        <w:t>el cual plantea las siguientes inquietudes</w:t>
      </w:r>
      <w:r w:rsidRPr="008E6AD9">
        <w:rPr>
          <w:rFonts w:ascii="Verdana" w:eastAsia="Calibri" w:hAnsi="Verdana" w:cs="Arial"/>
          <w:lang w:val="es-ES" w:eastAsia="es-ES"/>
        </w:rPr>
        <w:t xml:space="preserve">: </w:t>
      </w:r>
    </w:p>
    <w:p w14:paraId="2C9ADEAD" w14:textId="77777777" w:rsidR="00EB1661" w:rsidRPr="00272A7B" w:rsidRDefault="00EB1661" w:rsidP="00EB1661">
      <w:pPr>
        <w:pStyle w:val="Prrafodelista"/>
        <w:tabs>
          <w:tab w:val="left" w:pos="142"/>
          <w:tab w:val="left" w:pos="284"/>
        </w:tabs>
        <w:spacing w:after="0" w:line="276" w:lineRule="auto"/>
        <w:ind w:left="0"/>
        <w:jc w:val="both"/>
        <w:rPr>
          <w:rFonts w:ascii="Verdana" w:eastAsia="Century Gothic" w:hAnsi="Verdana" w:cs="Century Gothic"/>
          <w:b/>
          <w:bCs/>
        </w:rPr>
      </w:pPr>
    </w:p>
    <w:p w14:paraId="4C5D4FD7" w14:textId="77777777" w:rsidR="00EB1661" w:rsidRPr="00237672" w:rsidRDefault="00EB1661" w:rsidP="00EB1661">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Pr>
          <w:rFonts w:ascii="Verdana" w:eastAsia="Century Gothic" w:hAnsi="Verdana" w:cs="Century Gothic"/>
          <w:sz w:val="21"/>
          <w:szCs w:val="21"/>
          <w:lang w:val="es-ES"/>
        </w:rPr>
        <w:t xml:space="preserve">1. </w:t>
      </w:r>
      <w:r w:rsidRPr="00237672">
        <w:rPr>
          <w:rFonts w:ascii="Verdana" w:eastAsia="Century Gothic" w:hAnsi="Verdana" w:cs="Century Gothic"/>
          <w:sz w:val="21"/>
          <w:szCs w:val="21"/>
          <w:lang w:val="es-ES"/>
        </w:rPr>
        <w:t>Si un proponente de una licitación pública quien es una persona jurídica presenta su</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 xml:space="preserve">equipo de trabajo de 20 personas, pero una de las </w:t>
      </w:r>
      <w:r w:rsidRPr="00237672">
        <w:rPr>
          <w:rFonts w:ascii="Verdana" w:eastAsia="Century Gothic" w:hAnsi="Verdana" w:cs="Century Gothic"/>
          <w:sz w:val="21"/>
          <w:szCs w:val="21"/>
          <w:lang w:val="es-ES"/>
        </w:rPr>
        <w:lastRenderedPageBreak/>
        <w:t>20 personas tiene una destitución por</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parte de la Procuraduría General de la Nación ¿la inhabilidad solo aplica a la persona</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destituida quien tiene la prohibición de contratar con el Estado? ¿La persona destituida</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del equipo de trabajo del contratista proponente causaría una inhabilidad y/o el rechazo</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de la propuesta, pese a que esta persona no está contratando con el estado directamente?</w:t>
      </w:r>
    </w:p>
    <w:p w14:paraId="32CCBF67" w14:textId="77777777" w:rsidR="00EB1661" w:rsidRPr="00237672" w:rsidRDefault="00EB1661" w:rsidP="00EB1661">
      <w:pPr>
        <w:spacing w:after="0" w:line="240" w:lineRule="auto"/>
        <w:ind w:left="709" w:right="709"/>
        <w:jc w:val="both"/>
        <w:rPr>
          <w:rFonts w:ascii="Verdana" w:eastAsia="Century Gothic" w:hAnsi="Verdana" w:cs="Century Gothic"/>
          <w:sz w:val="21"/>
          <w:szCs w:val="21"/>
          <w:lang w:val="es-ES"/>
        </w:rPr>
      </w:pPr>
      <w:r>
        <w:rPr>
          <w:rFonts w:ascii="Verdana" w:eastAsia="Century Gothic" w:hAnsi="Verdana" w:cs="Century Gothic"/>
          <w:sz w:val="21"/>
          <w:szCs w:val="21"/>
          <w:lang w:val="es-ES"/>
        </w:rPr>
        <w:t>2. S</w:t>
      </w:r>
      <w:r w:rsidRPr="00237672">
        <w:rPr>
          <w:rFonts w:ascii="Verdana" w:eastAsia="Century Gothic" w:hAnsi="Verdana" w:cs="Century Gothic"/>
          <w:sz w:val="21"/>
          <w:szCs w:val="21"/>
          <w:lang w:val="es-ES"/>
        </w:rPr>
        <w:t>i un proponente presenta oferta dentro de un concurso de méritos para contratar un</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 xml:space="preserve">diseño, la persona jurídica quien presenta la propuesta con 20 diseñadores, sin </w:t>
      </w:r>
      <w:proofErr w:type="gramStart"/>
      <w:r w:rsidRPr="00237672">
        <w:rPr>
          <w:rFonts w:ascii="Verdana" w:eastAsia="Century Gothic" w:hAnsi="Verdana" w:cs="Century Gothic"/>
          <w:sz w:val="21"/>
          <w:szCs w:val="21"/>
          <w:lang w:val="es-ES"/>
        </w:rPr>
        <w:t>embargo</w:t>
      </w:r>
      <w:proofErr w:type="gramEnd"/>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uno de los 20 diseñadores tiene una destitución por parte de la Procuraduría General de</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la Nación. Aclarando que el diseñador destituido ni es representante legal, ni es accionista</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y ni es el contratista, solo forma parte del equipo de trabajo. Por tanto ¿existe una causal</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de rechazo de la propuesta según lo planteado? ¿Qué pasa sí un pliego de condiciones</w:t>
      </w:r>
      <w:r>
        <w:rPr>
          <w:rFonts w:ascii="Verdana" w:eastAsia="Century Gothic" w:hAnsi="Verdana" w:cs="Century Gothic"/>
          <w:sz w:val="21"/>
          <w:szCs w:val="21"/>
          <w:lang w:val="es-ES"/>
        </w:rPr>
        <w:t xml:space="preserve"> </w:t>
      </w:r>
      <w:r w:rsidRPr="00237672">
        <w:rPr>
          <w:rFonts w:ascii="Verdana" w:eastAsia="Century Gothic" w:hAnsi="Verdana" w:cs="Century Gothic"/>
          <w:sz w:val="21"/>
          <w:szCs w:val="21"/>
          <w:lang w:val="es-ES"/>
        </w:rPr>
        <w:t>de licitación o selección abreviada no se pacta?</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73D79327" w14:textId="77777777" w:rsidR="00EB1661" w:rsidRPr="008E6AD9" w:rsidRDefault="00EB1661" w:rsidP="00EB1661">
      <w:pPr>
        <w:pStyle w:val="Prrafodelista"/>
        <w:tabs>
          <w:tab w:val="left" w:pos="142"/>
          <w:tab w:val="left" w:pos="284"/>
        </w:tabs>
        <w:spacing w:line="276" w:lineRule="auto"/>
        <w:ind w:left="0"/>
        <w:jc w:val="both"/>
        <w:rPr>
          <w:rFonts w:ascii="Verdana" w:eastAsia="Century Gothic" w:hAnsi="Verdana" w:cs="Century Gothic"/>
          <w:b/>
          <w:bCs/>
        </w:rPr>
      </w:pPr>
    </w:p>
    <w:p w14:paraId="30353CF9" w14:textId="77777777" w:rsidR="00EB1661" w:rsidRPr="00A652FF" w:rsidRDefault="00EB1661" w:rsidP="00EB166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570F567" w14:textId="5C54F4AC" w:rsidR="00EB1661" w:rsidRDefault="00EB1661" w:rsidP="00EB166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en la solicitud</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98314D5" w14:textId="77777777" w:rsidR="00EB1661" w:rsidRPr="00593A5F" w:rsidRDefault="00EB1661" w:rsidP="00EB1661">
      <w:pPr>
        <w:spacing w:after="0" w:line="276" w:lineRule="auto"/>
        <w:ind w:firstLine="709"/>
        <w:jc w:val="both"/>
        <w:rPr>
          <w:rFonts w:ascii="Verdana" w:eastAsia="Calibri" w:hAnsi="Verdana" w:cs="Arial"/>
          <w:color w:val="000000"/>
          <w:lang w:val="es-ES" w:eastAsia="es-ES"/>
        </w:rPr>
      </w:pPr>
    </w:p>
    <w:p w14:paraId="14C313DC" w14:textId="77777777" w:rsidR="00EB1661" w:rsidRPr="00593A5F" w:rsidRDefault="00EB1661" w:rsidP="00EB166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ADDA8A7" w14:textId="77777777" w:rsidR="00EB1661" w:rsidRPr="00593A5F" w:rsidRDefault="00EB1661" w:rsidP="00EB1661">
      <w:pPr>
        <w:tabs>
          <w:tab w:val="left" w:pos="426"/>
        </w:tabs>
        <w:spacing w:after="0" w:line="276" w:lineRule="auto"/>
        <w:jc w:val="both"/>
        <w:rPr>
          <w:rFonts w:ascii="Verdana" w:eastAsia="Century Gothic" w:hAnsi="Verdana" w:cs="Century Gothic"/>
          <w:lang w:val="es-ES"/>
        </w:rPr>
      </w:pPr>
    </w:p>
    <w:p w14:paraId="449BDE51" w14:textId="7A6F6D59" w:rsidR="00EB1661" w:rsidRPr="00593A5F" w:rsidRDefault="00EB1661" w:rsidP="00EB1661">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w:t>
      </w:r>
      <w:r w:rsidR="00CD28EA">
        <w:rPr>
          <w:rFonts w:ascii="Verdana" w:eastAsia="Century Gothic" w:hAnsi="Verdana" w:cs="Century Gothic"/>
        </w:rPr>
        <w:t>El hecho de que uno de los miembro</w:t>
      </w:r>
      <w:r w:rsidR="00DD7AA6">
        <w:rPr>
          <w:rFonts w:ascii="Verdana" w:eastAsia="Century Gothic" w:hAnsi="Verdana" w:cs="Century Gothic"/>
        </w:rPr>
        <w:t>s</w:t>
      </w:r>
      <w:r w:rsidR="00CD28EA">
        <w:rPr>
          <w:rFonts w:ascii="Verdana" w:eastAsia="Century Gothic" w:hAnsi="Verdana" w:cs="Century Gothic"/>
        </w:rPr>
        <w:t xml:space="preserve"> del equipo de trabajo </w:t>
      </w:r>
      <w:r w:rsidR="00CD28EA">
        <w:rPr>
          <w:rFonts w:ascii="Verdana" w:eastAsia="Century Gothic" w:hAnsi="Verdana" w:cs="Century Gothic"/>
        </w:rPr>
        <w:lastRenderedPageBreak/>
        <w:t>del propo</w:t>
      </w:r>
      <w:r w:rsidR="004C23A1">
        <w:rPr>
          <w:rFonts w:ascii="Verdana" w:eastAsia="Century Gothic" w:hAnsi="Verdana" w:cs="Century Gothic"/>
        </w:rPr>
        <w:t>nente</w:t>
      </w:r>
      <w:r w:rsidR="00CD28EA">
        <w:rPr>
          <w:rFonts w:ascii="Verdana" w:eastAsia="Century Gothic" w:hAnsi="Verdana" w:cs="Century Gothic"/>
        </w:rPr>
        <w:t xml:space="preserve"> haya sido sancionado disciplinariamente con destitución  configura al</w:t>
      </w:r>
      <w:r w:rsidR="00DD7AA6">
        <w:rPr>
          <w:rFonts w:ascii="Verdana" w:eastAsia="Century Gothic" w:hAnsi="Verdana" w:cs="Century Gothic"/>
        </w:rPr>
        <w:t>guna</w:t>
      </w:r>
      <w:r w:rsidR="00CD28EA">
        <w:rPr>
          <w:rFonts w:ascii="Verdana" w:eastAsia="Century Gothic" w:hAnsi="Verdana" w:cs="Century Gothic"/>
        </w:rPr>
        <w:t xml:space="preserve"> </w:t>
      </w:r>
      <w:r>
        <w:rPr>
          <w:rFonts w:ascii="Verdana" w:eastAsia="Century Gothic" w:hAnsi="Verdana" w:cs="Century Gothic"/>
        </w:rPr>
        <w:t>causal de rechazo</w:t>
      </w:r>
      <w:r w:rsidR="00CD28EA">
        <w:rPr>
          <w:rFonts w:ascii="Verdana" w:eastAsia="Century Gothic" w:hAnsi="Verdana" w:cs="Century Gothic"/>
        </w:rPr>
        <w:t>,</w:t>
      </w:r>
      <w:r>
        <w:rPr>
          <w:rFonts w:ascii="Verdana" w:eastAsia="Century Gothic" w:hAnsi="Verdana" w:cs="Century Gothic"/>
        </w:rPr>
        <w:t xml:space="preserve"> inhabilidad</w:t>
      </w:r>
      <w:r w:rsidR="00CD28EA">
        <w:rPr>
          <w:rFonts w:ascii="Verdana" w:eastAsia="Century Gothic" w:hAnsi="Verdana" w:cs="Century Gothic"/>
        </w:rPr>
        <w:t xml:space="preserve"> o incompatibilidad</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2AACA67D" w14:textId="77777777" w:rsidR="00EB1661" w:rsidRPr="004B140F" w:rsidRDefault="00EB1661" w:rsidP="00EB1661">
      <w:pPr>
        <w:spacing w:after="0" w:line="276" w:lineRule="auto"/>
        <w:jc w:val="both"/>
        <w:rPr>
          <w:rFonts w:ascii="Verdana" w:eastAsia="Calibri" w:hAnsi="Verdana" w:cs="Arial"/>
          <w:color w:val="7030A0"/>
        </w:rPr>
      </w:pPr>
    </w:p>
    <w:p w14:paraId="3C7BD3D1" w14:textId="77777777" w:rsidR="00EB1661" w:rsidRPr="00593A5F" w:rsidRDefault="00EB1661" w:rsidP="00EB166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579BA8F" w14:textId="77777777" w:rsidR="00EB1661" w:rsidRPr="00593A5F" w:rsidRDefault="00EB1661" w:rsidP="00EB166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B1661" w:rsidRPr="00593A5F" w14:paraId="5F026EC9" w14:textId="77777777" w:rsidTr="000E2BDB">
        <w:trPr>
          <w:jc w:val="center"/>
        </w:trPr>
        <w:tc>
          <w:tcPr>
            <w:tcW w:w="8828" w:type="dxa"/>
            <w:shd w:val="clear" w:color="auto" w:fill="auto"/>
          </w:tcPr>
          <w:p w14:paraId="4EB31CA8" w14:textId="2A8BED03" w:rsidR="00EB1661" w:rsidRDefault="001939DC" w:rsidP="000E2BDB">
            <w:pPr>
              <w:spacing w:after="120" w:line="276" w:lineRule="auto"/>
              <w:jc w:val="both"/>
              <w:rPr>
                <w:rFonts w:ascii="Verdana" w:eastAsia="Calibri" w:hAnsi="Verdana" w:cs="Arial"/>
                <w:lang w:val="es-ES_tradnl"/>
              </w:rPr>
            </w:pPr>
            <w:bookmarkStart w:id="1" w:name="_Hlk171694685"/>
            <w:r>
              <w:rPr>
                <w:rFonts w:ascii="Verdana" w:eastAsia="Calibri" w:hAnsi="Verdana" w:cs="Arial"/>
                <w:lang w:val="es-ES_tradnl"/>
              </w:rPr>
              <w:t>L</w:t>
            </w:r>
            <w:r w:rsidR="00EB1661" w:rsidRPr="00F10389">
              <w:rPr>
                <w:rFonts w:ascii="Verdana" w:eastAsia="Calibri" w:hAnsi="Verdana" w:cs="Arial"/>
                <w:lang w:val="es-ES_tradnl"/>
              </w:rPr>
              <w:t>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r w:rsidR="008E269E" w:rsidRPr="009E161B">
              <w:rPr>
                <w:rFonts w:ascii="Verdana" w:eastAsia="Calibri" w:hAnsi="Verdana" w:cs="Arial"/>
                <w:szCs w:val="20"/>
              </w:rPr>
              <w:t>. Por esta razón</w:t>
            </w:r>
            <w:r w:rsidR="008E269E">
              <w:rPr>
                <w:rFonts w:ascii="Verdana" w:eastAsia="Calibri" w:hAnsi="Verdana" w:cs="Arial"/>
                <w:szCs w:val="20"/>
              </w:rPr>
              <w:t>,</w:t>
            </w:r>
            <w:r w:rsidR="008E269E" w:rsidRPr="009E161B">
              <w:rPr>
                <w:rFonts w:ascii="Verdana" w:eastAsia="Calibri" w:hAnsi="Verdana" w:cs="Arial"/>
                <w:szCs w:val="20"/>
              </w:rPr>
              <w:t xml:space="preserve"> si </w:t>
            </w:r>
            <w:r w:rsidR="008E269E">
              <w:rPr>
                <w:rFonts w:ascii="Verdana" w:eastAsia="Calibri" w:hAnsi="Verdana" w:cs="Arial"/>
                <w:szCs w:val="20"/>
              </w:rPr>
              <w:t xml:space="preserve">la ley </w:t>
            </w:r>
            <w:r w:rsidR="008E269E" w:rsidRPr="009E161B">
              <w:rPr>
                <w:rFonts w:ascii="Verdana" w:eastAsia="Calibri" w:hAnsi="Verdana" w:cs="Arial"/>
                <w:szCs w:val="20"/>
              </w:rPr>
              <w:t>o el pliego de condiciones no establece</w:t>
            </w:r>
            <w:r w:rsidR="008E269E">
              <w:rPr>
                <w:rFonts w:ascii="Verdana" w:eastAsia="Calibri" w:hAnsi="Verdana" w:cs="Arial"/>
                <w:szCs w:val="20"/>
              </w:rPr>
              <w:t>n</w:t>
            </w:r>
            <w:r w:rsidR="008E269E" w:rsidRPr="009E161B">
              <w:rPr>
                <w:rFonts w:ascii="Verdana" w:eastAsia="Calibri" w:hAnsi="Verdana" w:cs="Arial"/>
                <w:szCs w:val="20"/>
              </w:rPr>
              <w:t xml:space="preserve"> de manera </w:t>
            </w:r>
            <w:r w:rsidR="008E269E">
              <w:rPr>
                <w:rFonts w:ascii="Verdana" w:eastAsia="Calibri" w:hAnsi="Verdana" w:cs="Arial"/>
                <w:szCs w:val="20"/>
              </w:rPr>
              <w:t>expresa como causal de rechazo el hecho de que alguno de los miembros del equipo de trabajo haya sido sancionado con destitución, no se justifica excluir al proponente del proceso por dicha razón.</w:t>
            </w:r>
          </w:p>
          <w:p w14:paraId="0A8DBFE4" w14:textId="4797055A" w:rsidR="00EB1661" w:rsidRDefault="008E269E" w:rsidP="008E269E">
            <w:pPr>
              <w:spacing w:after="120" w:line="276" w:lineRule="auto"/>
              <w:ind w:firstLine="731"/>
              <w:jc w:val="both"/>
              <w:rPr>
                <w:rFonts w:ascii="Verdana" w:eastAsia="Calibri" w:hAnsi="Verdana" w:cs="Arial"/>
                <w:lang w:val="es-ES_tradnl"/>
              </w:rPr>
            </w:pPr>
            <w:r>
              <w:rPr>
                <w:rFonts w:ascii="Verdana" w:eastAsia="Calibri" w:hAnsi="Verdana" w:cs="Arial"/>
                <w:lang w:val="es-ES_tradnl"/>
              </w:rPr>
              <w:t xml:space="preserve">De otra parte, </w:t>
            </w:r>
            <w:r w:rsidR="00EB1661">
              <w:rPr>
                <w:rFonts w:ascii="Verdana" w:eastAsia="Times New Roman" w:hAnsi="Verdana" w:cs="Arial"/>
                <w:color w:val="000000" w:themeColor="text1"/>
              </w:rPr>
              <w:t>conforme a</w:t>
            </w:r>
            <w:r w:rsidR="00EB1661">
              <w:rPr>
                <w:rFonts w:ascii="Verdana" w:eastAsia="Calibri" w:hAnsi="Verdana" w:cs="Arial"/>
                <w:lang w:val="es-ES_tradnl"/>
              </w:rPr>
              <w:t>l artículo 8</w:t>
            </w:r>
            <w:r w:rsidR="002E30F6">
              <w:rPr>
                <w:rFonts w:ascii="Verdana" w:eastAsia="Calibri" w:hAnsi="Verdana" w:cs="Arial"/>
                <w:lang w:val="es-ES_tradnl"/>
              </w:rPr>
              <w:t xml:space="preserve">, numeral </w:t>
            </w:r>
            <w:r w:rsidR="00EB1661">
              <w:rPr>
                <w:rFonts w:ascii="Verdana" w:eastAsia="Calibri" w:hAnsi="Verdana" w:cs="Arial"/>
                <w:lang w:val="es-ES_tradnl"/>
              </w:rPr>
              <w:t>1 de la Ley 80 de 1993, las inhabilidades aplican a quienes –por restricción constitucional o legal– pretendan participar en procesos de selección o celebrar contratos con las entidades estatales. Especialmente, el literal d) señala que están inhabilitados “</w:t>
            </w:r>
            <w:r w:rsidR="00EB1661" w:rsidRPr="00175432">
              <w:rPr>
                <w:rFonts w:ascii="Verdana" w:eastAsia="Calibri" w:hAnsi="Verdana" w:cs="Arial"/>
                <w:lang w:val="es-ES_tradnl"/>
              </w:rPr>
              <w:t xml:space="preserve">Quienes </w:t>
            </w:r>
            <w:r w:rsidR="00EB1661">
              <w:rPr>
                <w:rFonts w:ascii="Verdana" w:eastAsia="Calibri" w:hAnsi="Verdana" w:cs="Arial"/>
                <w:lang w:val="es-ES_tradnl"/>
              </w:rPr>
              <w:t>[…]</w:t>
            </w:r>
            <w:r w:rsidR="00EB1661" w:rsidRPr="00175432">
              <w:rPr>
                <w:rFonts w:ascii="Verdana" w:eastAsia="Calibri" w:hAnsi="Verdana" w:cs="Arial"/>
                <w:lang w:val="es-ES_tradnl"/>
              </w:rPr>
              <w:t xml:space="preserve"> hayan sido sancionados disciplinariamente con destitución</w:t>
            </w:r>
            <w:r w:rsidR="00EB1661">
              <w:rPr>
                <w:rFonts w:ascii="Verdana" w:eastAsia="Calibri" w:hAnsi="Verdana" w:cs="Arial"/>
                <w:lang w:val="es-ES_tradnl"/>
              </w:rPr>
              <w:t>”</w:t>
            </w:r>
            <w:r w:rsidR="00EB1661" w:rsidRPr="00175432">
              <w:rPr>
                <w:rFonts w:ascii="Verdana" w:eastAsia="Calibri" w:hAnsi="Verdana" w:cs="Arial"/>
                <w:lang w:val="es-ES_tradnl"/>
              </w:rPr>
              <w:t>.</w:t>
            </w:r>
            <w:r w:rsidR="00EB1661">
              <w:rPr>
                <w:rFonts w:ascii="Verdana" w:eastAsia="Calibri" w:hAnsi="Verdana" w:cs="Arial"/>
                <w:lang w:val="es-ES_tradnl"/>
              </w:rPr>
              <w:t xml:space="preserve"> Sin perjuicio de la graduación dispuesta en los artículos 48 y 49 de la Ley 1952 de 2019,</w:t>
            </w:r>
            <w:r w:rsidR="002E30F6">
              <w:rPr>
                <w:rFonts w:ascii="Verdana" w:eastAsia="Calibri" w:hAnsi="Verdana" w:cs="Arial"/>
                <w:lang w:val="es-ES_tradnl"/>
              </w:rPr>
              <w:t xml:space="preserve"> los efectos de</w:t>
            </w:r>
            <w:r w:rsidR="00EB1661">
              <w:rPr>
                <w:rFonts w:ascii="Verdana" w:eastAsia="Calibri" w:hAnsi="Verdana" w:cs="Arial"/>
                <w:lang w:val="es-ES_tradnl"/>
              </w:rPr>
              <w:t xml:space="preserve"> esta inhabilidad para contratar “[…] </w:t>
            </w:r>
            <w:r w:rsidR="00EB1661" w:rsidRPr="00175432">
              <w:rPr>
                <w:rFonts w:ascii="Verdana" w:eastAsia="Calibri" w:hAnsi="Verdana" w:cs="Arial"/>
                <w:lang w:val="es-ES_tradnl"/>
              </w:rPr>
              <w:t xml:space="preserve">se extenderán por un término de cinco (5) años contados a partir de la fecha de ejecutoria </w:t>
            </w:r>
            <w:r w:rsidR="00EB1661">
              <w:rPr>
                <w:rFonts w:ascii="Verdana" w:eastAsia="Calibri" w:hAnsi="Verdana" w:cs="Arial"/>
                <w:lang w:val="es-ES_tradnl"/>
              </w:rPr>
              <w:t xml:space="preserve">[…] </w:t>
            </w:r>
            <w:r w:rsidR="00EB1661" w:rsidRPr="00175432">
              <w:rPr>
                <w:rFonts w:ascii="Verdana" w:eastAsia="Calibri" w:hAnsi="Verdana" w:cs="Arial"/>
                <w:lang w:val="es-ES_tradnl"/>
              </w:rPr>
              <w:t>del acto que dispuso la destitución</w:t>
            </w:r>
            <w:r w:rsidR="00EB1661">
              <w:rPr>
                <w:rFonts w:ascii="Verdana" w:eastAsia="Calibri" w:hAnsi="Verdana" w:cs="Arial"/>
                <w:lang w:val="es-ES_tradnl"/>
              </w:rPr>
              <w:t xml:space="preserve"> […]”. Teniendo en cuenta lo anterior, la inhabilidad afecta a quien haya sido destituido por una sanción disciplinaria y asuma, posteriormente, la calidad de oferente o de contratista del Estado.</w:t>
            </w:r>
          </w:p>
          <w:p w14:paraId="23CC5BF8" w14:textId="44124A0F" w:rsidR="008E269E" w:rsidRDefault="001E2C19" w:rsidP="008E269E">
            <w:pPr>
              <w:widowControl w:val="0"/>
              <w:autoSpaceDE w:val="0"/>
              <w:autoSpaceDN w:val="0"/>
              <w:spacing w:after="120" w:line="276" w:lineRule="auto"/>
              <w:ind w:firstLine="708"/>
              <w:jc w:val="both"/>
              <w:rPr>
                <w:rFonts w:ascii="Verdana" w:hAnsi="Verdana" w:cs="Arial"/>
                <w:iCs/>
                <w:color w:val="000000" w:themeColor="text1"/>
              </w:rPr>
            </w:pPr>
            <w:r>
              <w:rPr>
                <w:rFonts w:ascii="Verdana" w:hAnsi="Verdana" w:cs="Arial"/>
                <w:iCs/>
                <w:color w:val="000000" w:themeColor="text1"/>
                <w:lang w:val="es-ES_tradnl"/>
              </w:rPr>
              <w:t>De acuerdo con el criterio de aplicación res</w:t>
            </w:r>
            <w:r w:rsidR="00A111A3">
              <w:rPr>
                <w:rFonts w:ascii="Verdana" w:hAnsi="Verdana" w:cs="Arial"/>
                <w:iCs/>
                <w:color w:val="000000" w:themeColor="text1"/>
                <w:lang w:val="es-ES_tradnl"/>
              </w:rPr>
              <w:t>tri</w:t>
            </w:r>
            <w:r w:rsidR="008E269E">
              <w:rPr>
                <w:rFonts w:ascii="Verdana" w:hAnsi="Verdana" w:cs="Arial"/>
                <w:iCs/>
                <w:color w:val="000000" w:themeColor="text1"/>
              </w:rPr>
              <w:t>ctiv</w:t>
            </w:r>
            <w:r>
              <w:rPr>
                <w:rFonts w:ascii="Verdana" w:hAnsi="Verdana" w:cs="Arial"/>
                <w:iCs/>
                <w:color w:val="000000" w:themeColor="text1"/>
              </w:rPr>
              <w:t>a</w:t>
            </w:r>
            <w:r w:rsidR="008E269E">
              <w:rPr>
                <w:rFonts w:ascii="Verdana" w:hAnsi="Verdana" w:cs="Arial"/>
                <w:iCs/>
                <w:color w:val="000000" w:themeColor="text1"/>
              </w:rPr>
              <w:t xml:space="preserve"> del régimen de inhabilidades, </w:t>
            </w:r>
            <w:r>
              <w:rPr>
                <w:rFonts w:ascii="Verdana" w:hAnsi="Verdana" w:cs="Arial"/>
                <w:iCs/>
                <w:color w:val="000000" w:themeColor="text1"/>
              </w:rPr>
              <w:t xml:space="preserve">se advierte que </w:t>
            </w:r>
            <w:r w:rsidR="008E269E">
              <w:rPr>
                <w:rFonts w:ascii="Verdana" w:hAnsi="Verdana" w:cs="Arial"/>
                <w:iCs/>
                <w:color w:val="000000" w:themeColor="text1"/>
              </w:rPr>
              <w:t xml:space="preserve">la configuración de la causal </w:t>
            </w:r>
            <w:r>
              <w:rPr>
                <w:rFonts w:ascii="Verdana" w:hAnsi="Verdana" w:cs="Arial"/>
                <w:iCs/>
                <w:color w:val="000000" w:themeColor="text1"/>
              </w:rPr>
              <w:t>d</w:t>
            </w:r>
            <w:r w:rsidR="008E269E">
              <w:rPr>
                <w:rFonts w:ascii="Verdana" w:hAnsi="Verdana" w:cs="Arial"/>
                <w:iCs/>
                <w:color w:val="000000" w:themeColor="text1"/>
              </w:rPr>
              <w:t>el literal d) del numeral 1 del artículo 8 de la Ley 80 de 1993 afecta la capacidad jurídica de la persona sancionada disciplinariamente con destitución, sin que resulte posible extender sus efectos a otras personas. E</w:t>
            </w:r>
            <w:r>
              <w:rPr>
                <w:rFonts w:ascii="Verdana" w:hAnsi="Verdana" w:cs="Arial"/>
                <w:iCs/>
                <w:color w:val="000000" w:themeColor="text1"/>
              </w:rPr>
              <w:t>sto significa que</w:t>
            </w:r>
            <w:r w:rsidR="008E269E">
              <w:rPr>
                <w:rFonts w:ascii="Verdana" w:hAnsi="Verdana" w:cs="Arial"/>
                <w:iCs/>
                <w:color w:val="000000" w:themeColor="text1"/>
              </w:rPr>
              <w:t xml:space="preserve">, los efectos de esta inhabilidad no pueden aplicarse a los socios, empleados o contratistas de la persona sancionada con destitución, ya que ello </w:t>
            </w:r>
            <w:r>
              <w:rPr>
                <w:rFonts w:ascii="Verdana" w:hAnsi="Verdana" w:cs="Arial"/>
                <w:iCs/>
                <w:color w:val="000000" w:themeColor="text1"/>
              </w:rPr>
              <w:t>comportaría</w:t>
            </w:r>
            <w:r w:rsidR="008E269E">
              <w:rPr>
                <w:rFonts w:ascii="Verdana" w:hAnsi="Verdana" w:cs="Arial"/>
                <w:iCs/>
                <w:color w:val="000000" w:themeColor="text1"/>
              </w:rPr>
              <w:t xml:space="preserve"> una aplicación extensiva de la causal de inhabilidad. </w:t>
            </w:r>
          </w:p>
          <w:p w14:paraId="7B073829" w14:textId="0FB980CE" w:rsidR="00EB1661" w:rsidRPr="0053259A" w:rsidRDefault="00847C60" w:rsidP="000E2BDB">
            <w:pPr>
              <w:spacing w:line="276" w:lineRule="auto"/>
              <w:ind w:firstLine="731"/>
              <w:jc w:val="both"/>
              <w:rPr>
                <w:rFonts w:ascii="Verdana" w:hAnsi="Verdana" w:cs="Arial"/>
              </w:rPr>
            </w:pPr>
            <w:r>
              <w:rPr>
                <w:rFonts w:ascii="Verdana" w:hAnsi="Verdana" w:cs="Arial"/>
                <w:iCs/>
                <w:color w:val="000000" w:themeColor="text1"/>
              </w:rPr>
              <w:t>En todo caso</w:t>
            </w:r>
            <w:r w:rsidR="00EB1661">
              <w:rPr>
                <w:rFonts w:ascii="Verdana" w:hAnsi="Verdana" w:cs="Arial"/>
                <w:iCs/>
                <w:color w:val="000000" w:themeColor="text1"/>
              </w:rPr>
              <w:t xml:space="preserve">, </w:t>
            </w:r>
            <w:r w:rsidR="00EB1661" w:rsidRPr="006759B0">
              <w:rPr>
                <w:rFonts w:ascii="Verdana" w:hAnsi="Verdana" w:cs="Arial"/>
              </w:rPr>
              <w:t xml:space="preserve"> el análisis requerido para</w:t>
            </w:r>
            <w:r w:rsidR="00EB1661" w:rsidRPr="00016280">
              <w:rPr>
                <w:rFonts w:ascii="Verdana" w:hAnsi="Verdana" w:cs="Arial"/>
              </w:rPr>
              <w:t xml:space="preserve"> </w:t>
            </w:r>
            <w:r w:rsidR="00EB1661">
              <w:rPr>
                <w:rFonts w:ascii="Verdana" w:hAnsi="Verdana" w:cs="Arial"/>
              </w:rPr>
              <w:t xml:space="preserve">verificar la capacidad jurídica en </w:t>
            </w:r>
            <w:r>
              <w:rPr>
                <w:rFonts w:ascii="Verdana" w:hAnsi="Verdana" w:cs="Arial"/>
              </w:rPr>
              <w:t>los supuestos planteados en la solicitud</w:t>
            </w:r>
            <w:r w:rsidRPr="006759B0">
              <w:rPr>
                <w:rFonts w:ascii="Verdana" w:hAnsi="Verdana" w:cs="Arial"/>
              </w:rPr>
              <w:t xml:space="preserve"> </w:t>
            </w:r>
            <w:r>
              <w:rPr>
                <w:rFonts w:ascii="Verdana" w:hAnsi="Verdana" w:cs="Arial"/>
              </w:rPr>
              <w:t>deben</w:t>
            </w:r>
            <w:r w:rsidR="00EB1661">
              <w:rPr>
                <w:rFonts w:ascii="Verdana" w:hAnsi="Verdana" w:cs="Arial"/>
              </w:rPr>
              <w:t xml:space="preserve"> </w:t>
            </w:r>
            <w:r w:rsidR="00EB1661" w:rsidRPr="006759B0">
              <w:rPr>
                <w:rFonts w:ascii="Verdana" w:hAnsi="Verdana" w:cs="Arial"/>
              </w:rPr>
              <w:t xml:space="preserve">ser realizado por </w:t>
            </w:r>
            <w:r w:rsidR="00EB1661">
              <w:rPr>
                <w:rFonts w:ascii="Verdana" w:hAnsi="Verdana" w:cs="Arial"/>
              </w:rPr>
              <w:t>quienes tengan interés en ello</w:t>
            </w:r>
            <w:r w:rsidR="00EB1661" w:rsidRPr="006759B0">
              <w:rPr>
                <w:rFonts w:ascii="Verdana" w:hAnsi="Verdana" w:cs="Arial"/>
              </w:rPr>
              <w:t xml:space="preserve">, de acuerdo con lo explicado </w:t>
            </w:r>
            <w:r w:rsidR="00EB1661">
              <w:rPr>
                <w:rFonts w:ascii="Verdana" w:hAnsi="Verdana" w:cs="Arial"/>
              </w:rPr>
              <w:t>la aclaración preliminar del presente oficio. Por tanto</w:t>
            </w:r>
            <w:r w:rsidR="00EB1661" w:rsidRPr="001E3FCB">
              <w:rPr>
                <w:rFonts w:ascii="Verdana" w:hAnsi="Verdana" w:cs="Arial"/>
              </w:rPr>
              <w:t xml:space="preserve">, cada entidad definirá la forma de adelantar su </w:t>
            </w:r>
            <w:r w:rsidR="00EB1661" w:rsidRPr="001E3FCB">
              <w:rPr>
                <w:rFonts w:ascii="Verdana" w:hAnsi="Verdana" w:cs="Arial"/>
              </w:rPr>
              <w:lastRenderedPageBreak/>
              <w:t xml:space="preserve">gestión contractual, sin que sea atribución de Colombia Compra Eficiente validar </w:t>
            </w:r>
            <w:r w:rsidR="00EB1661">
              <w:rPr>
                <w:rFonts w:ascii="Verdana" w:hAnsi="Verdana" w:cs="Arial"/>
              </w:rPr>
              <w:t xml:space="preserve">si los participantes están o no incursos en causales de rechazo o de inhabilidad. </w:t>
            </w:r>
            <w:r>
              <w:rPr>
                <w:rFonts w:ascii="Verdana" w:eastAsia="Calibri" w:hAnsi="Verdana" w:cs="Arial"/>
                <w:color w:val="000000"/>
                <w:lang w:val="es-ES" w:eastAsia="es-ES"/>
              </w:rPr>
              <w:t>En ese sentido, nada de lo que aquí manifestado es susceptible de ser considerado como un pronunciamiento de la Agencia sobre procesos contractuales relacionados con el tema objeto de consulta.</w:t>
            </w:r>
          </w:p>
        </w:tc>
      </w:tr>
    </w:tbl>
    <w:p w14:paraId="456FA99F" w14:textId="77777777" w:rsidR="00EB1661" w:rsidRPr="00593A5F" w:rsidRDefault="00EB1661" w:rsidP="00EB1661">
      <w:pPr>
        <w:tabs>
          <w:tab w:val="left" w:pos="142"/>
          <w:tab w:val="left" w:pos="284"/>
        </w:tabs>
        <w:spacing w:after="0" w:line="276" w:lineRule="auto"/>
        <w:jc w:val="both"/>
        <w:rPr>
          <w:rFonts w:ascii="Verdana" w:eastAsia="Century Gothic" w:hAnsi="Verdana" w:cs="Century Gothic"/>
          <w:b/>
          <w:bCs/>
          <w:lang w:val="es-ES"/>
        </w:rPr>
      </w:pPr>
    </w:p>
    <w:bookmarkEnd w:id="1"/>
    <w:p w14:paraId="67CB16A5" w14:textId="77777777" w:rsidR="00EB1661" w:rsidRPr="00593A5F" w:rsidRDefault="00EB1661" w:rsidP="00EB166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530A8A1" w14:textId="77777777" w:rsidR="00EB1661" w:rsidRPr="00593A5F" w:rsidRDefault="00EB1661" w:rsidP="00EB1661">
      <w:pPr>
        <w:spacing w:after="0" w:line="276" w:lineRule="auto"/>
        <w:jc w:val="both"/>
        <w:rPr>
          <w:rFonts w:ascii="Verdana" w:eastAsia="Calibri" w:hAnsi="Verdana" w:cs="Arial"/>
          <w:color w:val="7030A0"/>
          <w:lang w:val="es-ES"/>
        </w:rPr>
      </w:pPr>
    </w:p>
    <w:p w14:paraId="66C22FE2" w14:textId="77777777" w:rsidR="00EB1661" w:rsidRDefault="00EB1661" w:rsidP="00EB166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2B3D3A2" w14:textId="77777777" w:rsidR="00EB1661" w:rsidRDefault="00EB1661" w:rsidP="00EB1661">
      <w:pPr>
        <w:spacing w:after="0" w:line="276" w:lineRule="auto"/>
        <w:jc w:val="both"/>
        <w:rPr>
          <w:rFonts w:ascii="Verdana" w:eastAsia="Calibri" w:hAnsi="Verdana" w:cs="Arial"/>
          <w:lang w:val="es-ES"/>
        </w:rPr>
      </w:pPr>
    </w:p>
    <w:p w14:paraId="07CAC239" w14:textId="77777777" w:rsidR="00EB1661" w:rsidRPr="00F10389" w:rsidRDefault="00EB1661" w:rsidP="00EB1661">
      <w:pPr>
        <w:spacing w:line="276" w:lineRule="auto"/>
        <w:jc w:val="both"/>
        <w:rPr>
          <w:rFonts w:ascii="Verdana" w:eastAsia="Calibri" w:hAnsi="Verdana" w:cs="Arial"/>
          <w:lang w:val="es-ES_tradnl"/>
        </w:rPr>
      </w:pPr>
      <w:r w:rsidRPr="00F10389">
        <w:rPr>
          <w:rFonts w:ascii="Verdana" w:eastAsia="Times New Roman" w:hAnsi="Verdana" w:cs="Arial"/>
          <w:lang w:val="es-ES" w:eastAsia="es-CO"/>
        </w:rPr>
        <w:t xml:space="preserve">i. </w:t>
      </w:r>
      <w:r w:rsidRPr="00F10389">
        <w:rPr>
          <w:rFonts w:ascii="Verdana" w:eastAsia="Calibri" w:hAnsi="Verdana" w:cs="Arial"/>
          <w:lang w:val="es-ES_tradnl"/>
        </w:rPr>
        <w:t xml:space="preserve">Conforme al inciso 1 del artículo 209 de la Constitución Política de Colombia, la función administrativa está al servicio de los intereses generales y se desarrolla, entre otros, con fundamento en el principio de imparcialidad. En este sentido, el numeral 3 del artículo 3 de la Ley 1437 de 2011 prescribe que </w:t>
      </w:r>
      <w:r>
        <w:rPr>
          <w:rFonts w:ascii="Verdana" w:eastAsia="Calibri" w:hAnsi="Verdana" w:cs="Arial"/>
          <w:lang w:val="es-ES_tradnl"/>
        </w:rPr>
        <w:t>“</w:t>
      </w:r>
      <w:r w:rsidRPr="00F10389">
        <w:rPr>
          <w:rFonts w:ascii="Verdana" w:eastAsia="Calibri" w:hAnsi="Verdana" w:cs="Arial"/>
          <w:lang w:val="es-ES_tradnl"/>
        </w:rPr>
        <w:t>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w:t>
      </w:r>
      <w:r>
        <w:rPr>
          <w:rFonts w:ascii="Verdana" w:eastAsia="Calibri" w:hAnsi="Verdana" w:cs="Arial"/>
          <w:lang w:val="es-ES_tradnl"/>
        </w:rPr>
        <w:t>”</w:t>
      </w:r>
      <w:r w:rsidRPr="00F10389">
        <w:rPr>
          <w:rFonts w:ascii="Verdana" w:eastAsia="Calibri" w:hAnsi="Verdana" w:cs="Arial"/>
          <w:lang w:val="es-ES_tradnl"/>
        </w:rPr>
        <w:t>.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0889CC6B" w14:textId="77777777" w:rsidR="00EB1661" w:rsidRPr="00F10389" w:rsidRDefault="00EB1661" w:rsidP="00EB1661">
      <w:pPr>
        <w:spacing w:before="120" w:after="0" w:line="276" w:lineRule="auto"/>
        <w:jc w:val="both"/>
        <w:rPr>
          <w:rFonts w:ascii="Verdana" w:eastAsia="Calibri" w:hAnsi="Verdana" w:cs="Arial"/>
          <w:lang w:val="es-ES_tradnl"/>
        </w:rPr>
      </w:pPr>
      <w:r w:rsidRPr="00F10389">
        <w:rPr>
          <w:rFonts w:ascii="Verdana" w:eastAsia="Calibri" w:hAnsi="Verdana" w:cs="Arial"/>
          <w:lang w:val="es-ES_tradnl"/>
        </w:rPr>
        <w:tab/>
      </w:r>
      <w:bookmarkStart w:id="2" w:name="_Hlk34855985"/>
      <w:r w:rsidRPr="00F10389">
        <w:rPr>
          <w:rFonts w:ascii="Verdana" w:eastAsia="Calibri" w:hAnsi="Verdana" w:cs="Arial"/>
          <w:lang w:val="es-ES_tradnl"/>
        </w:rPr>
        <w:t>Dichos principios tienen un papel relevante en la elaboración de los pliegos de condiciones, pues si bien las entidades tienen un margen de autonomía para definir algunos aspectos del futuro negocio, las causales de rechazo de las propuestas deben ser razonables, bien porque algunas de éstas se encuentren previstas en el ordenamiento o porque conducen a que se adjudique el contrato al proponente que cumple con los requisitos técnicos y económicos para su ejecución. En esta medida, dichas causales no deben fundamentarse en el simple capricho o el mero arbitrio, lo cual –además de contrariar los principios analizados– limita la participación</w:t>
      </w:r>
      <w:bookmarkEnd w:id="2"/>
      <w:r w:rsidRPr="00F10389">
        <w:rPr>
          <w:rFonts w:ascii="Verdana" w:eastAsia="Calibri" w:hAnsi="Verdana" w:cs="Arial"/>
          <w:lang w:val="es-ES_tradnl"/>
        </w:rPr>
        <w:t>. No en vano, la jurisprudencia ha sostenido que:</w:t>
      </w:r>
    </w:p>
    <w:p w14:paraId="2973D1D4" w14:textId="77777777" w:rsidR="00EB1661" w:rsidRPr="00F10389" w:rsidRDefault="00EB1661" w:rsidP="00EB1661">
      <w:pPr>
        <w:spacing w:after="0" w:line="276" w:lineRule="auto"/>
        <w:jc w:val="both"/>
        <w:rPr>
          <w:rFonts w:ascii="Verdana" w:eastAsia="Calibri" w:hAnsi="Verdana" w:cs="Arial"/>
          <w:lang w:val="es-ES_tradnl"/>
        </w:rPr>
      </w:pPr>
    </w:p>
    <w:p w14:paraId="5B458B41" w14:textId="77777777" w:rsidR="00EB1661" w:rsidRPr="00F10389" w:rsidRDefault="00EB1661" w:rsidP="00EB1661">
      <w:pPr>
        <w:spacing w:after="0" w:line="240" w:lineRule="auto"/>
        <w:ind w:left="709" w:right="709"/>
        <w:jc w:val="both"/>
        <w:rPr>
          <w:rFonts w:ascii="Verdana" w:eastAsia="Calibri" w:hAnsi="Verdana" w:cs="Arial"/>
          <w:sz w:val="21"/>
          <w:szCs w:val="21"/>
          <w:lang w:val="es-ES_tradnl"/>
        </w:rPr>
      </w:pPr>
      <w:r>
        <w:rPr>
          <w:rFonts w:ascii="Verdana" w:eastAsia="Calibri" w:hAnsi="Verdana" w:cs="Arial"/>
          <w:sz w:val="21"/>
          <w:szCs w:val="21"/>
          <w:lang w:val="es-ES_tradnl"/>
        </w:rPr>
        <w:t>“</w:t>
      </w:r>
      <w:r w:rsidRPr="00F10389">
        <w:rPr>
          <w:rFonts w:ascii="Verdana" w:eastAsia="Calibri" w:hAnsi="Verdana" w:cs="Arial"/>
          <w:sz w:val="21"/>
          <w:szCs w:val="21"/>
          <w:lang w:val="es-ES_tradnl"/>
        </w:rPr>
        <w:t xml:space="preserve">[…] la descalificación de ofertas no puede depender de la libre discrecionalidad de la Administración, en la medida en que el oferente adquiere el derecho de participar en el procedimiento de selección y se </w:t>
      </w:r>
      <w:r w:rsidRPr="00F10389">
        <w:rPr>
          <w:rFonts w:ascii="Verdana" w:eastAsia="Calibri" w:hAnsi="Verdana" w:cs="Arial"/>
          <w:sz w:val="21"/>
          <w:szCs w:val="21"/>
          <w:lang w:val="es-ES_tradnl"/>
        </w:rPr>
        <w:lastRenderedPageBreak/>
        <w:t>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Pr>
          <w:rFonts w:ascii="Verdana" w:eastAsia="Calibri" w:hAnsi="Verdana" w:cs="Arial"/>
          <w:sz w:val="21"/>
          <w:szCs w:val="21"/>
          <w:lang w:val="es-ES_tradnl"/>
        </w:rPr>
        <w:t>”</w:t>
      </w:r>
      <w:r w:rsidRPr="00F10389">
        <w:rPr>
          <w:rStyle w:val="Refdenotaalpie"/>
          <w:rFonts w:ascii="Verdana" w:eastAsia="Calibri" w:hAnsi="Verdana" w:cs="Arial"/>
          <w:sz w:val="21"/>
          <w:szCs w:val="21"/>
          <w:lang w:val="es-ES_tradnl"/>
        </w:rPr>
        <w:footnoteReference w:id="2"/>
      </w:r>
      <w:r w:rsidRPr="00F10389">
        <w:rPr>
          <w:rFonts w:ascii="Verdana" w:eastAsia="Calibri" w:hAnsi="Verdana" w:cs="Arial"/>
          <w:sz w:val="21"/>
          <w:szCs w:val="21"/>
          <w:lang w:val="es-ES_tradnl"/>
        </w:rPr>
        <w:t>.</w:t>
      </w:r>
    </w:p>
    <w:p w14:paraId="15FC2345" w14:textId="77777777" w:rsidR="00EB1661" w:rsidRPr="00F10389" w:rsidRDefault="00EB1661" w:rsidP="00EB1661">
      <w:pPr>
        <w:spacing w:after="0" w:line="276" w:lineRule="auto"/>
        <w:ind w:left="709" w:right="709"/>
        <w:jc w:val="both"/>
        <w:rPr>
          <w:rFonts w:ascii="Verdana" w:eastAsia="Calibri" w:hAnsi="Verdana" w:cs="Arial"/>
          <w:lang w:val="es-ES_tradnl"/>
        </w:rPr>
      </w:pPr>
    </w:p>
    <w:p w14:paraId="09A42EF1" w14:textId="2D7EF4BF" w:rsidR="006658D5" w:rsidRPr="005669A1" w:rsidRDefault="00EB1661" w:rsidP="007743CA">
      <w:pPr>
        <w:spacing w:after="0" w:line="276" w:lineRule="auto"/>
        <w:ind w:firstLine="708"/>
        <w:jc w:val="both"/>
        <w:rPr>
          <w:rFonts w:ascii="Verdana" w:eastAsia="Calibri" w:hAnsi="Verdana" w:cs="Arial"/>
        </w:rPr>
      </w:pPr>
      <w:r w:rsidRPr="007743CA">
        <w:rPr>
          <w:rFonts w:ascii="Verdana" w:eastAsia="Calibri" w:hAnsi="Verdana" w:cs="Arial"/>
          <w:lang w:val="es-ES"/>
        </w:rPr>
        <w:t xml:space="preserve">En este contexto, </w:t>
      </w:r>
      <w:bookmarkStart w:id="3" w:name="_Hlk34855896"/>
      <w:r w:rsidRPr="007743CA">
        <w:rPr>
          <w:rFonts w:ascii="Verdana" w:eastAsia="Calibri" w:hAnsi="Verdana" w:cs="Arial"/>
          <w:lang w:val="es-ES"/>
        </w:rPr>
        <w:t>las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En otras palabras, no pueden fundamentarse en consideraciones subjetivas, que conviertan dichas causales en inhabilidades para participar en los procesos de selección.</w:t>
      </w:r>
      <w:bookmarkEnd w:id="3"/>
      <w:r w:rsidR="007743CA" w:rsidRPr="007743CA">
        <w:rPr>
          <w:rFonts w:ascii="Verdana" w:eastAsia="Calibri" w:hAnsi="Verdana" w:cs="Arial"/>
          <w:lang w:val="es-ES"/>
        </w:rPr>
        <w:t xml:space="preserve"> Es por esto </w:t>
      </w:r>
      <w:proofErr w:type="gramStart"/>
      <w:r w:rsidR="007743CA" w:rsidRPr="007743CA">
        <w:rPr>
          <w:rFonts w:ascii="Verdana" w:eastAsia="Calibri" w:hAnsi="Verdana" w:cs="Arial"/>
          <w:lang w:val="es-ES"/>
        </w:rPr>
        <w:t>que</w:t>
      </w:r>
      <w:proofErr w:type="gramEnd"/>
      <w:r w:rsidR="007743CA" w:rsidRPr="007743CA">
        <w:rPr>
          <w:rFonts w:ascii="Verdana" w:eastAsia="Calibri" w:hAnsi="Verdana" w:cs="Arial"/>
          <w:lang w:val="es-ES"/>
        </w:rPr>
        <w:t xml:space="preserve"> </w:t>
      </w:r>
      <w:r w:rsidR="006658D5" w:rsidRPr="005669A1">
        <w:rPr>
          <w:rFonts w:ascii="Verdana" w:eastAsia="Calibri" w:hAnsi="Verdana" w:cs="Arial"/>
        </w:rPr>
        <w:t xml:space="preserve">en ejercicio de </w:t>
      </w:r>
      <w:r w:rsidR="007743CA" w:rsidRPr="005669A1">
        <w:rPr>
          <w:rFonts w:ascii="Verdana" w:eastAsia="Calibri" w:hAnsi="Verdana" w:cs="Arial"/>
        </w:rPr>
        <w:t>esta</w:t>
      </w:r>
      <w:r w:rsidR="006658D5" w:rsidRPr="005669A1">
        <w:rPr>
          <w:rFonts w:ascii="Verdana" w:eastAsia="Calibri" w:hAnsi="Verdana" w:cs="Arial"/>
        </w:rPr>
        <w:t xml:space="preserve"> facultad a las entidades no le es dable fijar causales de rechazo que soslayen o afecten la selección objetiva en la contratación. Sobre el particular, el Consejo de Estado señala:</w:t>
      </w:r>
    </w:p>
    <w:p w14:paraId="4B974CC5" w14:textId="77777777" w:rsidR="007743CA" w:rsidRPr="004A41E8" w:rsidRDefault="007743CA" w:rsidP="005669A1">
      <w:pPr>
        <w:spacing w:after="0" w:line="276" w:lineRule="auto"/>
        <w:ind w:firstLine="708"/>
        <w:jc w:val="both"/>
        <w:rPr>
          <w:rFonts w:ascii="Arial" w:eastAsia="Calibri" w:hAnsi="Arial" w:cs="Arial"/>
        </w:rPr>
      </w:pPr>
    </w:p>
    <w:p w14:paraId="7AA996C2" w14:textId="6B0A93D0" w:rsidR="006658D5" w:rsidRPr="005669A1" w:rsidRDefault="007743CA" w:rsidP="005669A1">
      <w:pPr>
        <w:tabs>
          <w:tab w:val="left" w:pos="709"/>
        </w:tabs>
        <w:spacing w:after="0" w:line="240" w:lineRule="auto"/>
        <w:ind w:left="709" w:right="709"/>
        <w:jc w:val="both"/>
        <w:rPr>
          <w:rFonts w:ascii="Verdana" w:eastAsia="Calibri" w:hAnsi="Verdana" w:cs="Arial"/>
          <w:sz w:val="20"/>
          <w:szCs w:val="20"/>
        </w:rPr>
      </w:pPr>
      <w:r w:rsidRPr="005669A1">
        <w:rPr>
          <w:rFonts w:ascii="Verdana" w:eastAsia="Calibri" w:hAnsi="Verdana" w:cs="Arial"/>
          <w:sz w:val="20"/>
          <w:szCs w:val="20"/>
        </w:rPr>
        <w:t>“</w:t>
      </w:r>
      <w:r w:rsidR="006658D5" w:rsidRPr="005669A1">
        <w:rPr>
          <w:rFonts w:ascii="Verdana" w:eastAsia="Calibri"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006658D5" w:rsidRPr="005669A1">
        <w:rPr>
          <w:rFonts w:ascii="Verdana" w:eastAsia="Calibri" w:hAnsi="Verdana" w:cs="Arial"/>
          <w:sz w:val="20"/>
          <w:szCs w:val="20"/>
        </w:rPr>
        <w:t>ope</w:t>
      </w:r>
      <w:proofErr w:type="spellEnd"/>
      <w:r w:rsidR="006658D5" w:rsidRPr="005669A1">
        <w:rPr>
          <w:rFonts w:ascii="Verdana" w:eastAsia="Calibri" w:hAnsi="Verdana" w:cs="Arial"/>
          <w:sz w:val="20"/>
          <w:szCs w:val="20"/>
        </w:rPr>
        <w:t xml:space="preserve"> </w:t>
      </w:r>
      <w:proofErr w:type="spellStart"/>
      <w:r w:rsidR="006658D5" w:rsidRPr="005669A1">
        <w:rPr>
          <w:rFonts w:ascii="Verdana" w:eastAsia="Calibri" w:hAnsi="Verdana" w:cs="Arial"/>
          <w:sz w:val="20"/>
          <w:szCs w:val="20"/>
        </w:rPr>
        <w:t>legis</w:t>
      </w:r>
      <w:proofErr w:type="spellEnd"/>
      <w:r w:rsidR="006658D5" w:rsidRPr="005669A1">
        <w:rPr>
          <w:rFonts w:ascii="Verdana" w:eastAsia="Calibri"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5669A1">
        <w:rPr>
          <w:rFonts w:ascii="Verdana" w:eastAsia="Calibri" w:hAnsi="Verdana" w:cs="Arial"/>
          <w:sz w:val="20"/>
          <w:szCs w:val="20"/>
        </w:rPr>
        <w:t>”</w:t>
      </w:r>
      <w:r w:rsidRPr="005669A1">
        <w:rPr>
          <w:rFonts w:ascii="Verdana" w:eastAsia="Calibri" w:hAnsi="Verdana" w:cs="Arial"/>
          <w:i/>
          <w:iCs/>
          <w:sz w:val="20"/>
          <w:szCs w:val="20"/>
          <w:vertAlign w:val="superscript"/>
        </w:rPr>
        <w:t xml:space="preserve"> </w:t>
      </w:r>
      <w:r w:rsidRPr="005669A1">
        <w:rPr>
          <w:rFonts w:ascii="Verdana" w:eastAsia="Calibri" w:hAnsi="Verdana" w:cs="Arial"/>
          <w:i/>
          <w:iCs/>
          <w:sz w:val="20"/>
          <w:szCs w:val="20"/>
          <w:vertAlign w:val="superscript"/>
        </w:rPr>
        <w:footnoteReference w:id="3"/>
      </w:r>
      <w:r w:rsidR="006658D5" w:rsidRPr="005669A1">
        <w:rPr>
          <w:rFonts w:ascii="Verdana" w:eastAsia="Calibri" w:hAnsi="Verdana" w:cs="Arial"/>
          <w:sz w:val="20"/>
          <w:szCs w:val="20"/>
        </w:rPr>
        <w:t>.</w:t>
      </w:r>
    </w:p>
    <w:p w14:paraId="6C7A419F" w14:textId="77777777" w:rsidR="007743CA" w:rsidRPr="007743CA" w:rsidRDefault="007743CA" w:rsidP="005669A1">
      <w:pPr>
        <w:tabs>
          <w:tab w:val="left" w:pos="709"/>
        </w:tabs>
        <w:spacing w:after="0" w:line="276" w:lineRule="auto"/>
        <w:ind w:left="709" w:right="709"/>
        <w:jc w:val="both"/>
        <w:rPr>
          <w:rFonts w:ascii="Arial" w:eastAsia="Calibri" w:hAnsi="Arial" w:cs="Arial"/>
          <w:sz w:val="20"/>
          <w:szCs w:val="20"/>
        </w:rPr>
      </w:pPr>
    </w:p>
    <w:p w14:paraId="249B9969" w14:textId="545ED1F2" w:rsidR="006658D5" w:rsidRDefault="006658D5" w:rsidP="007743CA">
      <w:pPr>
        <w:spacing w:after="0" w:line="276" w:lineRule="auto"/>
        <w:ind w:firstLine="708"/>
        <w:jc w:val="both"/>
        <w:rPr>
          <w:rFonts w:ascii="Verdana" w:eastAsia="Calibri" w:hAnsi="Verdana" w:cs="Arial"/>
          <w:szCs w:val="20"/>
        </w:rPr>
      </w:pPr>
      <w:r w:rsidRPr="005669A1">
        <w:rPr>
          <w:rFonts w:ascii="Verdana" w:eastAsia="Calibri" w:hAnsi="Verdana" w:cs="Arial"/>
          <w:szCs w:val="20"/>
        </w:rPr>
        <w:t xml:space="preserve">De igual forma, está Agencia ha reiterado la postura del Consejo de Estado, según la cual, por la naturaleza propia de las causales de rechazo, su </w:t>
      </w:r>
      <w:r w:rsidRPr="005669A1">
        <w:rPr>
          <w:rFonts w:ascii="Verdana" w:eastAsia="Calibri" w:hAnsi="Verdana" w:cs="Arial"/>
          <w:szCs w:val="20"/>
        </w:rPr>
        <w:lastRenderedPageBreak/>
        <w:t>aplicación es estricta y restrictiva, lo que significa que su interpretación gramatical prevalece sobre una interpretación extensiva o de otra índole, mediante la cual se pretenda ampliar su alcance.</w:t>
      </w:r>
      <w:r w:rsidR="007743CA" w:rsidRPr="005669A1">
        <w:rPr>
          <w:rFonts w:ascii="Verdana" w:eastAsia="Calibri" w:hAnsi="Verdana" w:cs="Arial"/>
          <w:szCs w:val="20"/>
        </w:rPr>
        <w:t xml:space="preserve"> </w:t>
      </w:r>
      <w:r w:rsidRPr="005669A1">
        <w:rPr>
          <w:rFonts w:ascii="Verdana" w:eastAsia="Calibri" w:hAnsi="Verdana" w:cs="Arial"/>
          <w:szCs w:val="20"/>
        </w:rPr>
        <w:t xml:space="preserve">Al respecto, el Consejo de Estado sostuvo: </w:t>
      </w:r>
    </w:p>
    <w:p w14:paraId="06F7897A" w14:textId="77777777" w:rsidR="007743CA" w:rsidRPr="005669A1" w:rsidRDefault="007743CA" w:rsidP="005669A1">
      <w:pPr>
        <w:spacing w:after="0" w:line="276" w:lineRule="auto"/>
        <w:ind w:firstLine="708"/>
        <w:jc w:val="both"/>
        <w:rPr>
          <w:rFonts w:ascii="Verdana" w:hAnsi="Verdana" w:cs="Arial"/>
          <w:bCs/>
          <w:lang w:eastAsia="es-MX"/>
        </w:rPr>
      </w:pPr>
    </w:p>
    <w:p w14:paraId="00592152" w14:textId="77A36832" w:rsidR="006658D5" w:rsidRDefault="007743CA" w:rsidP="007743CA">
      <w:pPr>
        <w:spacing w:after="0" w:line="240" w:lineRule="auto"/>
        <w:ind w:left="709" w:right="709"/>
        <w:jc w:val="both"/>
        <w:rPr>
          <w:rFonts w:ascii="Verdana" w:hAnsi="Verdana" w:cs="Arial"/>
          <w:bCs/>
          <w:iCs/>
          <w:sz w:val="20"/>
          <w:szCs w:val="20"/>
          <w:lang w:eastAsia="es-MX"/>
        </w:rPr>
      </w:pPr>
      <w:r w:rsidRPr="005669A1">
        <w:rPr>
          <w:rFonts w:ascii="Verdana" w:hAnsi="Verdana" w:cs="Arial"/>
          <w:bCs/>
          <w:iCs/>
          <w:sz w:val="20"/>
          <w:szCs w:val="20"/>
          <w:lang w:eastAsia="es-MX"/>
        </w:rPr>
        <w:t>“</w:t>
      </w:r>
      <w:r w:rsidR="006658D5" w:rsidRPr="005669A1">
        <w:rPr>
          <w:rFonts w:ascii="Verdana" w:hAnsi="Verdana" w:cs="Arial"/>
          <w:bCs/>
          <w:iCs/>
          <w:sz w:val="20"/>
          <w:szCs w:val="20"/>
          <w:lang w:eastAsia="es-MX"/>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r w:rsidRPr="005669A1">
        <w:rPr>
          <w:rFonts w:ascii="Verdana" w:hAnsi="Verdana" w:cs="Arial"/>
          <w:bCs/>
          <w:iCs/>
          <w:sz w:val="20"/>
          <w:szCs w:val="20"/>
          <w:lang w:eastAsia="es-MX"/>
        </w:rPr>
        <w:t>”</w:t>
      </w:r>
      <w:r w:rsidRPr="005669A1">
        <w:rPr>
          <w:rFonts w:ascii="Verdana" w:eastAsia="Calibri" w:hAnsi="Verdana" w:cs="Arial"/>
          <w:i/>
          <w:sz w:val="20"/>
          <w:szCs w:val="20"/>
          <w:vertAlign w:val="superscript"/>
        </w:rPr>
        <w:t xml:space="preserve"> </w:t>
      </w:r>
      <w:r w:rsidRPr="005669A1">
        <w:rPr>
          <w:rFonts w:ascii="Verdana" w:eastAsia="Calibri" w:hAnsi="Verdana" w:cs="Arial"/>
          <w:iCs/>
          <w:sz w:val="20"/>
          <w:szCs w:val="20"/>
          <w:vertAlign w:val="superscript"/>
        </w:rPr>
        <w:footnoteReference w:id="4"/>
      </w:r>
      <w:r w:rsidR="006658D5" w:rsidRPr="005669A1">
        <w:rPr>
          <w:rFonts w:ascii="Verdana" w:hAnsi="Verdana" w:cs="Arial"/>
          <w:bCs/>
          <w:iCs/>
          <w:sz w:val="20"/>
          <w:szCs w:val="20"/>
          <w:lang w:eastAsia="es-MX"/>
        </w:rPr>
        <w:t>.</w:t>
      </w:r>
    </w:p>
    <w:p w14:paraId="4123AA9F" w14:textId="77777777" w:rsidR="007743CA" w:rsidRPr="005669A1" w:rsidRDefault="007743CA" w:rsidP="005669A1">
      <w:pPr>
        <w:spacing w:after="0" w:line="240" w:lineRule="auto"/>
        <w:ind w:left="709" w:right="709"/>
        <w:jc w:val="both"/>
        <w:rPr>
          <w:rFonts w:ascii="Verdana" w:hAnsi="Verdana" w:cs="Arial"/>
          <w:bCs/>
          <w:iCs/>
          <w:sz w:val="20"/>
          <w:szCs w:val="20"/>
          <w:lang w:eastAsia="es-MX"/>
        </w:rPr>
      </w:pPr>
    </w:p>
    <w:p w14:paraId="38D37961" w14:textId="451E70D1" w:rsidR="000F7727" w:rsidRDefault="006658D5" w:rsidP="000F7727">
      <w:pPr>
        <w:spacing w:after="120" w:line="276" w:lineRule="auto"/>
        <w:ind w:firstLine="709"/>
        <w:jc w:val="both"/>
        <w:rPr>
          <w:rFonts w:ascii="Verdana" w:eastAsia="Calibri" w:hAnsi="Verdana" w:cs="Arial"/>
          <w:szCs w:val="20"/>
        </w:rPr>
      </w:pPr>
      <w:r w:rsidRPr="005669A1">
        <w:rPr>
          <w:rFonts w:ascii="Verdana" w:eastAsia="Calibri" w:hAnsi="Verdana" w:cs="Arial"/>
          <w:szCs w:val="20"/>
        </w:rPr>
        <w:t>Por lo expuesto, las causales de rechazo deben estar necesariamente nominadas en la Ley o en el pliego de condiciones y no puede realizarse frente a su redacción ninguna interpretación extensiva. Por esta razón</w:t>
      </w:r>
      <w:r w:rsidR="00237A83">
        <w:rPr>
          <w:rFonts w:ascii="Verdana" w:eastAsia="Calibri" w:hAnsi="Verdana" w:cs="Arial"/>
          <w:szCs w:val="20"/>
        </w:rPr>
        <w:t>,</w:t>
      </w:r>
      <w:r w:rsidRPr="005669A1">
        <w:rPr>
          <w:rFonts w:ascii="Verdana" w:eastAsia="Calibri" w:hAnsi="Verdana" w:cs="Arial"/>
          <w:szCs w:val="20"/>
        </w:rPr>
        <w:t xml:space="preserve"> si </w:t>
      </w:r>
      <w:r w:rsidR="0094096D">
        <w:rPr>
          <w:rFonts w:ascii="Verdana" w:eastAsia="Calibri" w:hAnsi="Verdana" w:cs="Arial"/>
          <w:szCs w:val="20"/>
        </w:rPr>
        <w:t xml:space="preserve">la ley </w:t>
      </w:r>
      <w:r w:rsidRPr="005669A1">
        <w:rPr>
          <w:rFonts w:ascii="Verdana" w:eastAsia="Calibri" w:hAnsi="Verdana" w:cs="Arial"/>
          <w:szCs w:val="20"/>
        </w:rPr>
        <w:t>o el pliego de condiciones no establece</w:t>
      </w:r>
      <w:r w:rsidR="0094096D">
        <w:rPr>
          <w:rFonts w:ascii="Verdana" w:eastAsia="Calibri" w:hAnsi="Verdana" w:cs="Arial"/>
          <w:szCs w:val="20"/>
        </w:rPr>
        <w:t>n</w:t>
      </w:r>
      <w:r w:rsidRPr="005669A1">
        <w:rPr>
          <w:rFonts w:ascii="Verdana" w:eastAsia="Calibri" w:hAnsi="Verdana" w:cs="Arial"/>
          <w:szCs w:val="20"/>
        </w:rPr>
        <w:t xml:space="preserve"> de manera </w:t>
      </w:r>
      <w:r w:rsidR="00EF524A">
        <w:rPr>
          <w:rFonts w:ascii="Verdana" w:eastAsia="Calibri" w:hAnsi="Verdana" w:cs="Arial"/>
          <w:szCs w:val="20"/>
        </w:rPr>
        <w:t xml:space="preserve">expresa </w:t>
      </w:r>
      <w:r w:rsidR="00925851">
        <w:rPr>
          <w:rFonts w:ascii="Verdana" w:eastAsia="Calibri" w:hAnsi="Verdana" w:cs="Arial"/>
          <w:szCs w:val="20"/>
        </w:rPr>
        <w:t xml:space="preserve">como causal de rechazo </w:t>
      </w:r>
      <w:r w:rsidR="00EF524A">
        <w:rPr>
          <w:rFonts w:ascii="Verdana" w:eastAsia="Calibri" w:hAnsi="Verdana" w:cs="Arial"/>
          <w:szCs w:val="20"/>
        </w:rPr>
        <w:t xml:space="preserve">el </w:t>
      </w:r>
      <w:r w:rsidR="009679F6">
        <w:rPr>
          <w:rFonts w:ascii="Verdana" w:eastAsia="Calibri" w:hAnsi="Verdana" w:cs="Arial"/>
          <w:szCs w:val="20"/>
        </w:rPr>
        <w:t xml:space="preserve">hecho de que </w:t>
      </w:r>
      <w:r w:rsidR="007046A9">
        <w:rPr>
          <w:rFonts w:ascii="Verdana" w:eastAsia="Calibri" w:hAnsi="Verdana" w:cs="Arial"/>
          <w:szCs w:val="20"/>
        </w:rPr>
        <w:t>alguno</w:t>
      </w:r>
      <w:r w:rsidR="009679F6">
        <w:rPr>
          <w:rFonts w:ascii="Verdana" w:eastAsia="Calibri" w:hAnsi="Verdana" w:cs="Arial"/>
          <w:szCs w:val="20"/>
        </w:rPr>
        <w:t xml:space="preserve"> </w:t>
      </w:r>
      <w:r w:rsidR="00237A83">
        <w:rPr>
          <w:rFonts w:ascii="Verdana" w:eastAsia="Calibri" w:hAnsi="Verdana" w:cs="Arial"/>
          <w:szCs w:val="20"/>
        </w:rPr>
        <w:t xml:space="preserve">de </w:t>
      </w:r>
      <w:r w:rsidR="000B41A5">
        <w:rPr>
          <w:rFonts w:ascii="Verdana" w:eastAsia="Calibri" w:hAnsi="Verdana" w:cs="Arial"/>
          <w:szCs w:val="20"/>
        </w:rPr>
        <w:t xml:space="preserve">los miembros del equipo de trabajo </w:t>
      </w:r>
      <w:r w:rsidR="007046A9">
        <w:rPr>
          <w:rFonts w:ascii="Verdana" w:eastAsia="Calibri" w:hAnsi="Verdana" w:cs="Arial"/>
          <w:szCs w:val="20"/>
        </w:rPr>
        <w:t>haya sido sancionad</w:t>
      </w:r>
      <w:r w:rsidR="001E71C9">
        <w:rPr>
          <w:rFonts w:ascii="Verdana" w:eastAsia="Calibri" w:hAnsi="Verdana" w:cs="Arial"/>
          <w:szCs w:val="20"/>
        </w:rPr>
        <w:t>o</w:t>
      </w:r>
      <w:r w:rsidR="007046A9">
        <w:rPr>
          <w:rFonts w:ascii="Verdana" w:eastAsia="Calibri" w:hAnsi="Verdana" w:cs="Arial"/>
          <w:szCs w:val="20"/>
        </w:rPr>
        <w:t xml:space="preserve"> con destitución</w:t>
      </w:r>
      <w:r w:rsidR="00925851">
        <w:rPr>
          <w:rFonts w:ascii="Verdana" w:eastAsia="Calibri" w:hAnsi="Verdana" w:cs="Arial"/>
          <w:szCs w:val="20"/>
        </w:rPr>
        <w:t>,</w:t>
      </w:r>
      <w:r w:rsidR="000F7727">
        <w:rPr>
          <w:rFonts w:ascii="Verdana" w:eastAsia="Calibri" w:hAnsi="Verdana" w:cs="Arial"/>
          <w:szCs w:val="20"/>
        </w:rPr>
        <w:t xml:space="preserve"> </w:t>
      </w:r>
      <w:r w:rsidR="00925851">
        <w:rPr>
          <w:rFonts w:ascii="Verdana" w:eastAsia="Calibri" w:hAnsi="Verdana" w:cs="Arial"/>
          <w:szCs w:val="20"/>
        </w:rPr>
        <w:t xml:space="preserve">no </w:t>
      </w:r>
      <w:r w:rsidR="00237A83">
        <w:rPr>
          <w:rFonts w:ascii="Verdana" w:eastAsia="Calibri" w:hAnsi="Verdana" w:cs="Arial"/>
          <w:szCs w:val="20"/>
        </w:rPr>
        <w:t>se justifica excluir al proponente del proceso por dicha razón.</w:t>
      </w:r>
      <w:r w:rsidR="0094096D">
        <w:rPr>
          <w:rFonts w:ascii="Verdana" w:eastAsia="Calibri" w:hAnsi="Verdana" w:cs="Arial"/>
          <w:szCs w:val="20"/>
        </w:rPr>
        <w:t xml:space="preserve"> </w:t>
      </w:r>
    </w:p>
    <w:p w14:paraId="62EA8D41" w14:textId="77777777" w:rsidR="00EB1661" w:rsidRDefault="00EB1661" w:rsidP="00EB1661">
      <w:pPr>
        <w:spacing w:after="0" w:line="276" w:lineRule="auto"/>
        <w:jc w:val="both"/>
        <w:rPr>
          <w:rFonts w:ascii="Verdana" w:eastAsia="Calibri" w:hAnsi="Verdana" w:cs="Arial"/>
          <w:lang w:val="es-ES_tradnl"/>
        </w:rPr>
      </w:pPr>
    </w:p>
    <w:p w14:paraId="5B39DE8A" w14:textId="77777777" w:rsidR="00EB1661" w:rsidRPr="007D2D91" w:rsidRDefault="00EB1661" w:rsidP="00EB1661">
      <w:pPr>
        <w:spacing w:after="0" w:line="276" w:lineRule="auto"/>
        <w:jc w:val="both"/>
        <w:rPr>
          <w:rFonts w:ascii="Verdana" w:eastAsia="Calibri" w:hAnsi="Verdana" w:cs="Arial"/>
          <w:lang w:val="es-ES"/>
        </w:rPr>
      </w:pPr>
      <w:proofErr w:type="spellStart"/>
      <w:r w:rsidRPr="449EFA67">
        <w:rPr>
          <w:rFonts w:ascii="Verdana" w:eastAsia="Calibri" w:hAnsi="Verdana" w:cs="Arial"/>
          <w:lang w:val="es-ES"/>
        </w:rPr>
        <w:t>ii</w:t>
      </w:r>
      <w:proofErr w:type="spellEnd"/>
      <w:r w:rsidRPr="449EFA67">
        <w:rPr>
          <w:rFonts w:ascii="Verdana" w:eastAsia="Calibri" w:hAnsi="Verdana" w:cs="Arial"/>
          <w:lang w:val="es-ES"/>
        </w:rPr>
        <w:t>. Conforme a lo anotado en los párrafos precedentes, el rechazo está relacionado con impedimentos legales o con defectos u omisiones en el contenido o en la presentación de los documentos que conforman la propuesta. Así las cosas, conforme al marco normativo anteriormente citado, viola el principio de imparcialidad y el de selección objetiva que las causales previstas en el pliego no se fundamenten en alguno de estos motivos. Actuar fuera de estos límites implica convertirlas en causales de inhabilidad, las cuales –por esencia– son reguladas por el legislador. En efecto:</w:t>
      </w:r>
    </w:p>
    <w:p w14:paraId="561B2B80" w14:textId="77777777" w:rsidR="00EB1661" w:rsidRPr="007D2D91" w:rsidRDefault="00EB1661" w:rsidP="00EB1661">
      <w:pPr>
        <w:spacing w:after="0" w:line="276" w:lineRule="auto"/>
        <w:jc w:val="both"/>
        <w:rPr>
          <w:rFonts w:ascii="Verdana" w:eastAsia="Calibri" w:hAnsi="Verdana" w:cs="Arial"/>
          <w:lang w:val="es-ES_tradnl"/>
        </w:rPr>
      </w:pPr>
    </w:p>
    <w:p w14:paraId="6B609F65" w14:textId="77777777" w:rsidR="00EB1661" w:rsidRPr="007D2D91" w:rsidRDefault="00EB1661" w:rsidP="00EB1661">
      <w:pPr>
        <w:spacing w:after="120" w:line="240" w:lineRule="auto"/>
        <w:ind w:left="709" w:right="709"/>
        <w:jc w:val="both"/>
        <w:rPr>
          <w:rFonts w:ascii="Verdana" w:eastAsia="Calibri" w:hAnsi="Verdana" w:cs="Arial"/>
          <w:sz w:val="21"/>
          <w:szCs w:val="21"/>
          <w:lang w:val="es-ES_tradnl"/>
        </w:rPr>
      </w:pPr>
      <w:r>
        <w:rPr>
          <w:rFonts w:ascii="Verdana" w:eastAsia="Calibri" w:hAnsi="Verdana" w:cs="Arial"/>
          <w:sz w:val="21"/>
          <w:szCs w:val="21"/>
          <w:lang w:val="es-ES_tradnl"/>
        </w:rPr>
        <w:lastRenderedPageBreak/>
        <w:t>“</w:t>
      </w:r>
      <w:r w:rsidRPr="007D2D91">
        <w:rPr>
          <w:rFonts w:ascii="Verdana" w:eastAsia="Calibri" w:hAnsi="Verdana" w:cs="Arial"/>
          <w:sz w:val="21"/>
          <w:szCs w:val="21"/>
          <w:lang w:val="es-ES_tradnl"/>
        </w:rPr>
        <w:t xml:space="preserve">Los regímenes de inhabilidades están concebidos para evitar la indebida utilización del ejercicio de las funciones públicas para el beneficio individual […] Con esta perspectiva la doctrina ha señalado que las inhabilidades se erigen en </w:t>
      </w:r>
      <w:r>
        <w:rPr>
          <w:rFonts w:ascii="Verdana" w:eastAsia="Calibri" w:hAnsi="Verdana" w:cs="Arial"/>
          <w:sz w:val="21"/>
          <w:szCs w:val="21"/>
          <w:lang w:val="es-ES_tradnl"/>
        </w:rPr>
        <w:t>‘</w:t>
      </w:r>
      <w:r w:rsidRPr="007D2D91">
        <w:rPr>
          <w:rFonts w:ascii="Verdana" w:eastAsia="Calibri" w:hAnsi="Verdana" w:cs="Arial"/>
          <w:sz w:val="21"/>
          <w:szCs w:val="21"/>
          <w:lang w:val="es-ES_tradnl"/>
        </w:rPr>
        <w:t>(…) circunstancias negativas o impeditivas preexistentes para acceder a la función pública (inelegibilidad), evitando el ingreso de sujetos que no reúnen determinadas condiciones, calidades y cualidades de idoneidad o moralidad, para desarrollar determinadas actividades o adoptar ciertas decisiones, ora para acceder a la contratación estatal</w:t>
      </w:r>
      <w:r>
        <w:rPr>
          <w:rFonts w:ascii="Verdana" w:eastAsia="Calibri" w:hAnsi="Verdana" w:cs="Arial"/>
          <w:sz w:val="21"/>
          <w:szCs w:val="21"/>
          <w:lang w:val="es-ES_tradnl"/>
        </w:rPr>
        <w:t>(</w:t>
      </w:r>
      <w:r w:rsidRPr="007D2D91">
        <w:rPr>
          <w:rFonts w:ascii="Verdana" w:eastAsia="Calibri" w:hAnsi="Verdana" w:cs="Arial"/>
          <w:sz w:val="21"/>
          <w:szCs w:val="21"/>
          <w:lang w:val="es-ES_tradnl"/>
        </w:rPr>
        <w:t>…</w:t>
      </w:r>
      <w:r>
        <w:rPr>
          <w:rFonts w:ascii="Verdana" w:eastAsia="Calibri" w:hAnsi="Verdana" w:cs="Arial"/>
          <w:sz w:val="21"/>
          <w:szCs w:val="21"/>
          <w:lang w:val="es-ES_tradnl"/>
        </w:rPr>
        <w:t>)’.</w:t>
      </w:r>
    </w:p>
    <w:p w14:paraId="74CFD3FC" w14:textId="77777777" w:rsidR="00EB1661" w:rsidRPr="007D2D91" w:rsidRDefault="00EB1661" w:rsidP="00EB1661">
      <w:pPr>
        <w:spacing w:after="0" w:line="240" w:lineRule="auto"/>
        <w:ind w:left="709" w:right="709"/>
        <w:jc w:val="both"/>
        <w:rPr>
          <w:rFonts w:ascii="Verdana" w:eastAsia="Calibri" w:hAnsi="Verdana" w:cs="Arial"/>
          <w:sz w:val="21"/>
          <w:szCs w:val="21"/>
          <w:lang w:val="es-ES_tradnl"/>
        </w:rPr>
      </w:pPr>
      <w:r w:rsidRPr="007D2D91">
        <w:rPr>
          <w:rFonts w:ascii="Verdana" w:eastAsia="Calibri" w:hAnsi="Verdana" w:cs="Arial"/>
          <w:sz w:val="21"/>
          <w:szCs w:val="21"/>
          <w:lang w:val="es-ES_tradnl"/>
        </w:rPr>
        <w:t>Dada la fuerte restricción de los derechos fundamentales que este instituto comporta, su previsión y desarrollo es materia exclusiva del legislador (reserva de ley), quien en virtud del principio democrático debe definir y tipificar expresamente sus causas, vigencia, naturaleza y efectos</w:t>
      </w:r>
      <w:r>
        <w:rPr>
          <w:rFonts w:ascii="Verdana" w:eastAsia="Calibri" w:hAnsi="Verdana" w:cs="Arial"/>
          <w:sz w:val="21"/>
          <w:szCs w:val="21"/>
          <w:lang w:val="es-ES_tradnl"/>
        </w:rPr>
        <w:t>”</w:t>
      </w:r>
      <w:r w:rsidRPr="007D2D91">
        <w:rPr>
          <w:rStyle w:val="Refdenotaalpie"/>
          <w:rFonts w:ascii="Verdana" w:eastAsia="Calibri" w:hAnsi="Verdana" w:cs="Arial"/>
          <w:sz w:val="21"/>
          <w:szCs w:val="21"/>
          <w:lang w:val="es-ES_tradnl"/>
        </w:rPr>
        <w:footnoteReference w:id="5"/>
      </w:r>
      <w:r w:rsidRPr="007D2D91">
        <w:rPr>
          <w:rFonts w:ascii="Verdana" w:eastAsia="Calibri" w:hAnsi="Verdana" w:cs="Arial"/>
          <w:sz w:val="21"/>
          <w:szCs w:val="21"/>
          <w:lang w:val="es-ES_tradnl"/>
        </w:rPr>
        <w:t xml:space="preserve">. </w:t>
      </w:r>
    </w:p>
    <w:p w14:paraId="640452C5" w14:textId="77777777" w:rsidR="00EB1661" w:rsidRPr="007D2D91" w:rsidRDefault="00EB1661" w:rsidP="00EB1661">
      <w:pPr>
        <w:spacing w:after="0" w:line="276" w:lineRule="auto"/>
        <w:ind w:left="709" w:right="709"/>
        <w:jc w:val="both"/>
        <w:rPr>
          <w:rFonts w:ascii="Verdana" w:eastAsia="Calibri" w:hAnsi="Verdana" w:cs="Arial"/>
          <w:sz w:val="21"/>
          <w:szCs w:val="21"/>
          <w:lang w:val="es-ES_tradnl"/>
        </w:rPr>
      </w:pPr>
    </w:p>
    <w:p w14:paraId="14E842E2" w14:textId="77777777" w:rsidR="00EB1661" w:rsidRPr="007D2D91" w:rsidRDefault="00EB1661" w:rsidP="00EB1661">
      <w:pPr>
        <w:pStyle w:val="Sinespaciado"/>
        <w:spacing w:line="276" w:lineRule="auto"/>
        <w:ind w:firstLine="708"/>
        <w:jc w:val="both"/>
        <w:rPr>
          <w:rFonts w:ascii="Verdana" w:hAnsi="Verdana" w:cs="Arial"/>
          <w:sz w:val="22"/>
          <w:lang w:val="es-ES"/>
        </w:rPr>
      </w:pPr>
      <w:bookmarkStart w:id="4" w:name="_Hlk34856116"/>
      <w:r w:rsidRPr="007D2D91">
        <w:rPr>
          <w:rFonts w:ascii="Verdana" w:hAnsi="Verdana" w:cs="Arial"/>
          <w:sz w:val="22"/>
        </w:rPr>
        <w:t xml:space="preserve">Las inhabilidades son circunstancias establecidas por la Constitución o la Ley que impiden la posibilidad de que personas naturales o jurídicas sean elegidas o designadas en un cargo público o puedan celebrar contratos con el Estado, con el objetivo de garantizar la idoneidad, imparcialidad, probidad, transparencia y moralidad de la función pública, y garantizar el interés general.  El régimen de inhabilidades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La Corte Constitucional ha determinado que </w:t>
      </w:r>
      <w:r>
        <w:rPr>
          <w:rFonts w:ascii="Verdana" w:hAnsi="Verdana" w:cs="Arial"/>
          <w:sz w:val="22"/>
        </w:rPr>
        <w:t>“</w:t>
      </w:r>
      <w:r w:rsidRPr="007D2D91">
        <w:rPr>
          <w:rFonts w:ascii="Verdana" w:hAnsi="Verdana" w:cs="Arial"/>
          <w:sz w:val="22"/>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Verdana" w:hAnsi="Verdana" w:cs="Arial"/>
          <w:sz w:val="22"/>
        </w:rPr>
        <w:t>”</w:t>
      </w:r>
      <w:r w:rsidRPr="007D2D91">
        <w:rPr>
          <w:rFonts w:ascii="Verdana" w:hAnsi="Verdana" w:cs="Arial"/>
          <w:sz w:val="22"/>
          <w:vertAlign w:val="superscript"/>
        </w:rPr>
        <w:footnoteReference w:id="6"/>
      </w:r>
      <w:r w:rsidRPr="007D2D91">
        <w:rPr>
          <w:rFonts w:ascii="Verdana" w:hAnsi="Verdana" w:cs="Arial"/>
          <w:sz w:val="22"/>
        </w:rPr>
        <w:t xml:space="preserve">. Estas restricciones o limitaciones que afectan la capacidad jurídica de las personas para contratar realizan los principios de la función administrativa, consagrados en el artículo 209 de la Constitución Política, con especial énfasis en el de moralidad. Así lo ha entendido el Consejo de Estado: </w:t>
      </w:r>
    </w:p>
    <w:p w14:paraId="08CB7A5C" w14:textId="77777777" w:rsidR="00EB1661" w:rsidRPr="007D2D91" w:rsidRDefault="00EB1661" w:rsidP="00EB1661">
      <w:pPr>
        <w:pStyle w:val="NormalWeb"/>
        <w:shd w:val="clear" w:color="auto" w:fill="FFFFFF"/>
        <w:spacing w:after="120"/>
        <w:ind w:left="709" w:right="709"/>
        <w:jc w:val="both"/>
        <w:rPr>
          <w:rFonts w:ascii="Verdana" w:hAnsi="Verdana" w:cs="Arial"/>
          <w:sz w:val="21"/>
          <w:szCs w:val="21"/>
          <w:lang w:val="es-ES"/>
        </w:rPr>
      </w:pPr>
      <w:r>
        <w:rPr>
          <w:rFonts w:ascii="Verdana" w:hAnsi="Verdana" w:cs="Arial"/>
          <w:sz w:val="21"/>
          <w:szCs w:val="21"/>
          <w:lang w:val="es-ES"/>
        </w:rPr>
        <w:t>“</w:t>
      </w:r>
      <w:r w:rsidRPr="007D2D91">
        <w:rPr>
          <w:rFonts w:ascii="Verdana" w:hAnsi="Verdana" w:cs="Arial"/>
          <w:sz w:val="21"/>
          <w:szCs w:val="21"/>
          <w:lang w:val="es-ES"/>
        </w:rPr>
        <w:t xml:space="preserve">De manera primordial en esta reflexión debe advertirse que la consagración legal de las incompatibilidades e inhabilidades en materia contractual, no es sino desarrollo del Principio de Moralidad que la </w:t>
      </w:r>
      <w:r w:rsidRPr="007D2D91">
        <w:rPr>
          <w:rFonts w:ascii="Verdana" w:hAnsi="Verdana" w:cs="Arial"/>
          <w:sz w:val="21"/>
          <w:szCs w:val="21"/>
          <w:lang w:val="es-ES"/>
        </w:rPr>
        <w:lastRenderedPageBreak/>
        <w:t>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0121CF93" w14:textId="77777777" w:rsidR="00EB1661" w:rsidRPr="007D2D91" w:rsidRDefault="00EB1661" w:rsidP="00EB1661">
      <w:pPr>
        <w:pStyle w:val="NormalWeb"/>
        <w:shd w:val="clear" w:color="auto" w:fill="FFFFFF"/>
        <w:spacing w:after="0"/>
        <w:ind w:left="709" w:right="709"/>
        <w:jc w:val="both"/>
        <w:rPr>
          <w:rFonts w:ascii="Verdana" w:hAnsi="Verdana" w:cs="Arial"/>
          <w:sz w:val="21"/>
          <w:szCs w:val="21"/>
          <w:lang w:val="es-ES"/>
        </w:rPr>
      </w:pPr>
      <w:r w:rsidRPr="007D2D91">
        <w:rPr>
          <w:rFonts w:ascii="Verdana" w:hAnsi="Verdana" w:cs="Arial"/>
          <w:sz w:val="21"/>
          <w:szCs w:val="21"/>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Pr>
          <w:rFonts w:ascii="Verdana" w:hAnsi="Verdana" w:cs="Arial"/>
          <w:sz w:val="21"/>
          <w:szCs w:val="21"/>
          <w:lang w:val="es-ES"/>
        </w:rPr>
        <w:t>”</w:t>
      </w:r>
      <w:r w:rsidRPr="007D2D91">
        <w:rPr>
          <w:rStyle w:val="Refdenotaalpie"/>
          <w:rFonts w:ascii="Verdana" w:hAnsi="Verdana" w:cs="Arial"/>
          <w:sz w:val="21"/>
          <w:szCs w:val="21"/>
          <w:lang w:val="es-ES"/>
        </w:rPr>
        <w:footnoteReference w:id="7"/>
      </w:r>
      <w:r w:rsidRPr="007D2D91">
        <w:rPr>
          <w:rFonts w:ascii="Verdana" w:hAnsi="Verdana" w:cs="Arial"/>
          <w:sz w:val="21"/>
          <w:szCs w:val="21"/>
          <w:lang w:val="es-ES"/>
        </w:rPr>
        <w:t xml:space="preserve">. </w:t>
      </w:r>
    </w:p>
    <w:p w14:paraId="6B338679" w14:textId="77777777" w:rsidR="00EB1661" w:rsidRPr="007D2D91" w:rsidRDefault="00EB1661" w:rsidP="00EB1661">
      <w:pPr>
        <w:pStyle w:val="Sinespaciado"/>
        <w:spacing w:line="276" w:lineRule="auto"/>
        <w:ind w:firstLine="708"/>
        <w:jc w:val="both"/>
        <w:rPr>
          <w:rFonts w:ascii="Verdana" w:hAnsi="Verdana" w:cs="Arial"/>
          <w:sz w:val="22"/>
          <w:lang w:val="es-ES"/>
        </w:rPr>
      </w:pPr>
      <w:r w:rsidRPr="007D2D91">
        <w:rPr>
          <w:rFonts w:ascii="Verdana" w:hAnsi="Verdana" w:cs="Arial"/>
          <w:sz w:val="22"/>
        </w:rPr>
        <w:t xml:space="preserve">Así las cosas, las inhabilidades son medios que buscan garantizar la transparencia y eficiencia en la actividad contractual del Estado y para ello imponen restricciones en la personalidad jurídica, la igualdad, la libre empresa y, particularmente, el derecho a participar en procesos de licitación y celebrar contratos con la Administración. La Corte Constitucional ha reconocido que estas limitaciones deben estar justificadas en la salvaguarda del interés general y que su lectura e interpretación debe ser taxativa y restrictiva: </w:t>
      </w:r>
    </w:p>
    <w:p w14:paraId="32BAD36B" w14:textId="77777777" w:rsidR="00EB1661" w:rsidRPr="007D2D91" w:rsidRDefault="00EB1661" w:rsidP="00EB1661">
      <w:pPr>
        <w:spacing w:after="0"/>
        <w:rPr>
          <w:rFonts w:ascii="Verdana" w:eastAsia="Times New Roman" w:hAnsi="Verdana" w:cs="Times New Roman"/>
          <w:shd w:val="clear" w:color="auto" w:fill="FFFFFF"/>
          <w:lang w:eastAsia="es-ES_tradnl"/>
        </w:rPr>
      </w:pPr>
    </w:p>
    <w:p w14:paraId="444D910E" w14:textId="77777777" w:rsidR="00EB1661" w:rsidRPr="007D2D91" w:rsidRDefault="00EB1661" w:rsidP="00EB1661">
      <w:pPr>
        <w:spacing w:after="120" w:line="240" w:lineRule="auto"/>
        <w:ind w:left="709" w:right="709"/>
        <w:jc w:val="both"/>
        <w:rPr>
          <w:rFonts w:ascii="Verdana" w:hAnsi="Verdana" w:cs="Arial"/>
          <w:sz w:val="21"/>
          <w:szCs w:val="21"/>
          <w:lang w:val="es-ES"/>
        </w:rPr>
      </w:pPr>
      <w:r>
        <w:rPr>
          <w:rFonts w:ascii="Verdana" w:hAnsi="Verdana" w:cs="Arial"/>
          <w:sz w:val="21"/>
          <w:szCs w:val="21"/>
        </w:rPr>
        <w:t>“</w:t>
      </w:r>
      <w:r w:rsidRPr="007D2D91">
        <w:rPr>
          <w:rFonts w:ascii="Verdana" w:hAnsi="Verdana" w:cs="Arial"/>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6EC2901D" w14:textId="77777777" w:rsidR="00EB1661" w:rsidRPr="007D2D91" w:rsidRDefault="00EB1661" w:rsidP="00EB1661">
      <w:pPr>
        <w:spacing w:after="0" w:line="240" w:lineRule="auto"/>
        <w:ind w:left="709" w:right="709"/>
        <w:jc w:val="both"/>
        <w:rPr>
          <w:rFonts w:ascii="Verdana" w:hAnsi="Verdana" w:cs="Arial"/>
          <w:sz w:val="21"/>
          <w:szCs w:val="21"/>
        </w:rPr>
      </w:pPr>
      <w:r w:rsidRPr="007D2D91">
        <w:rPr>
          <w:rFonts w:ascii="Verdana" w:hAnsi="Verdana" w:cs="Arial"/>
          <w:sz w:val="21"/>
          <w:szCs w:val="21"/>
        </w:rPr>
        <w:lastRenderedPageBreak/>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Pr>
          <w:rFonts w:ascii="Verdana" w:hAnsi="Verdana" w:cs="Arial"/>
          <w:sz w:val="21"/>
          <w:szCs w:val="21"/>
        </w:rPr>
        <w:t>”</w:t>
      </w:r>
      <w:r w:rsidRPr="007D2D91">
        <w:rPr>
          <w:rStyle w:val="Refdenotaalpie"/>
          <w:rFonts w:ascii="Verdana" w:hAnsi="Verdana" w:cs="Arial"/>
          <w:sz w:val="21"/>
          <w:szCs w:val="21"/>
        </w:rPr>
        <w:footnoteReference w:id="8"/>
      </w:r>
      <w:r w:rsidRPr="007D2D91">
        <w:rPr>
          <w:rFonts w:ascii="Verdana" w:hAnsi="Verdana" w:cs="Arial"/>
          <w:sz w:val="21"/>
          <w:szCs w:val="21"/>
        </w:rPr>
        <w:t>.</w:t>
      </w:r>
    </w:p>
    <w:p w14:paraId="391F940F" w14:textId="77777777" w:rsidR="00EB1661" w:rsidRPr="007D2D91" w:rsidRDefault="00EB1661" w:rsidP="00EB1661">
      <w:pPr>
        <w:spacing w:after="0"/>
        <w:rPr>
          <w:rFonts w:ascii="Verdana" w:eastAsia="Times New Roman" w:hAnsi="Verdana" w:cs="Times New Roman"/>
          <w:shd w:val="clear" w:color="auto" w:fill="FFFFFF"/>
          <w:lang w:eastAsia="es-ES_tradnl"/>
        </w:rPr>
      </w:pPr>
    </w:p>
    <w:p w14:paraId="0B7FD01B" w14:textId="77777777" w:rsidR="00EB1661" w:rsidRPr="007D2D91" w:rsidRDefault="00EB1661" w:rsidP="00EB1661">
      <w:pPr>
        <w:spacing w:after="0" w:line="276" w:lineRule="auto"/>
        <w:ind w:firstLine="708"/>
        <w:jc w:val="both"/>
        <w:rPr>
          <w:rFonts w:ascii="Verdana" w:hAnsi="Verdana" w:cs="Arial"/>
          <w:lang w:val="es-ES"/>
        </w:rPr>
      </w:pPr>
      <w:r w:rsidRPr="007D2D91">
        <w:rPr>
          <w:rFonts w:ascii="Verdana" w:hAnsi="Verdana" w:cs="Arial"/>
        </w:rPr>
        <w:t>Asimismo, la Corte Constitucional ha resaltado que la competencia para determinar qué hechos o situaciones generan inhabilidad para contratar con el Estado la tiene el legislador, pues este régimen es un aspecto propio del Estatuto General de la Contratación Pública, cuya expedición compete al Congreso de la República, conforme al artículo 150 de la Constitución Política, y que en esta materia rige el principio de legalidad:</w:t>
      </w:r>
    </w:p>
    <w:p w14:paraId="415F4851" w14:textId="77777777" w:rsidR="00EB1661" w:rsidRPr="007D2D91" w:rsidRDefault="00EB1661" w:rsidP="00EB1661">
      <w:pPr>
        <w:pStyle w:val="Sinespaciado"/>
        <w:tabs>
          <w:tab w:val="left" w:pos="1532"/>
        </w:tabs>
        <w:spacing w:line="276" w:lineRule="auto"/>
        <w:jc w:val="both"/>
        <w:rPr>
          <w:rFonts w:ascii="Verdana" w:hAnsi="Verdana" w:cs="Arial"/>
          <w:sz w:val="22"/>
        </w:rPr>
      </w:pPr>
      <w:r w:rsidRPr="007D2D91">
        <w:rPr>
          <w:rFonts w:ascii="Verdana" w:hAnsi="Verdana" w:cs="Arial"/>
        </w:rPr>
        <w:tab/>
      </w:r>
    </w:p>
    <w:p w14:paraId="7F662137" w14:textId="77777777" w:rsidR="00EB1661" w:rsidRPr="007D2D91" w:rsidRDefault="00EB1661" w:rsidP="00EB1661">
      <w:pPr>
        <w:spacing w:after="0" w:line="240" w:lineRule="auto"/>
        <w:ind w:left="709" w:right="709"/>
        <w:jc w:val="both"/>
        <w:rPr>
          <w:rFonts w:ascii="Verdana" w:hAnsi="Verdana" w:cs="Arial"/>
          <w:sz w:val="21"/>
          <w:szCs w:val="21"/>
        </w:rPr>
      </w:pPr>
      <w:r>
        <w:rPr>
          <w:rFonts w:ascii="Verdana" w:hAnsi="Verdana" w:cs="Arial"/>
          <w:sz w:val="21"/>
          <w:szCs w:val="21"/>
        </w:rPr>
        <w:t>“</w:t>
      </w:r>
      <w:r w:rsidRPr="007D2D91">
        <w:rPr>
          <w:rFonts w:ascii="Verdana" w:hAnsi="Verdana"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7D2D91">
        <w:rPr>
          <w:rFonts w:ascii="Verdana" w:hAnsi="Verdana" w:cs="Arial"/>
          <w:sz w:val="21"/>
          <w:szCs w:val="21"/>
        </w:rPr>
        <w:t>libertate</w:t>
      </w:r>
      <w:proofErr w:type="spellEnd"/>
      <w:r w:rsidRPr="007D2D91">
        <w:rPr>
          <w:rFonts w:ascii="Verdana" w:hAnsi="Verdana" w:cs="Arial"/>
          <w:sz w:val="21"/>
          <w:szCs w:val="21"/>
        </w:rPr>
        <w:t xml:space="preserve">, sino el de legalidad, el que ordena que la función pública debe someterse estrictamente a lo que disponga la Constitución y la ley (CP art. 6). </w:t>
      </w:r>
    </w:p>
    <w:p w14:paraId="0C153A5D" w14:textId="77777777" w:rsidR="00EB1661" w:rsidRPr="007D2D91" w:rsidRDefault="00EB1661" w:rsidP="00EB1661">
      <w:pPr>
        <w:spacing w:after="120" w:line="240" w:lineRule="auto"/>
        <w:ind w:left="709" w:right="709"/>
        <w:jc w:val="both"/>
        <w:rPr>
          <w:rFonts w:ascii="Verdana" w:hAnsi="Verdana" w:cs="Arial"/>
          <w:sz w:val="21"/>
          <w:szCs w:val="21"/>
        </w:rPr>
      </w:pPr>
      <w:r w:rsidRPr="007D2D91">
        <w:rPr>
          <w:rFonts w:ascii="Verdana" w:hAnsi="Verdana" w:cs="Arial"/>
          <w:sz w:val="21"/>
          <w:szCs w:val="21"/>
        </w:rPr>
        <w:t xml:space="preserve">[…] </w:t>
      </w:r>
    </w:p>
    <w:p w14:paraId="256CAD2C" w14:textId="77777777" w:rsidR="00EB1661" w:rsidRPr="007D2D91" w:rsidRDefault="00EB1661" w:rsidP="00EB1661">
      <w:pPr>
        <w:spacing w:after="0" w:line="240" w:lineRule="auto"/>
        <w:ind w:left="709" w:right="709"/>
        <w:jc w:val="both"/>
        <w:rPr>
          <w:rFonts w:ascii="Verdana" w:hAnsi="Verdana" w:cs="Arial"/>
          <w:sz w:val="21"/>
          <w:szCs w:val="21"/>
        </w:rPr>
      </w:pPr>
      <w:r w:rsidRPr="007D2D91">
        <w:rPr>
          <w:rFonts w:ascii="Verdana" w:hAnsi="Verdana" w:cs="Arial"/>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Pr>
          <w:rFonts w:ascii="Verdana" w:hAnsi="Verdana" w:cs="Arial"/>
          <w:sz w:val="21"/>
          <w:szCs w:val="21"/>
        </w:rPr>
        <w:t>”</w:t>
      </w:r>
      <w:r w:rsidRPr="007D2D91">
        <w:rPr>
          <w:rStyle w:val="Refdenotaalpie"/>
          <w:rFonts w:ascii="Verdana" w:hAnsi="Verdana" w:cs="Arial"/>
          <w:sz w:val="21"/>
          <w:szCs w:val="21"/>
        </w:rPr>
        <w:footnoteReference w:id="9"/>
      </w:r>
      <w:r w:rsidRPr="007D2D91">
        <w:rPr>
          <w:rFonts w:ascii="Verdana" w:hAnsi="Verdana" w:cs="Arial"/>
          <w:sz w:val="21"/>
          <w:szCs w:val="21"/>
        </w:rPr>
        <w:t>.</w:t>
      </w:r>
    </w:p>
    <w:p w14:paraId="553C2AFA" w14:textId="77777777" w:rsidR="00EB1661" w:rsidRPr="007D2D91" w:rsidRDefault="00EB1661" w:rsidP="00EB1661">
      <w:pPr>
        <w:pStyle w:val="Sinespaciado"/>
        <w:spacing w:line="276" w:lineRule="auto"/>
        <w:jc w:val="both"/>
        <w:rPr>
          <w:rFonts w:ascii="Verdana" w:hAnsi="Verdana" w:cs="Arial"/>
          <w:sz w:val="22"/>
          <w:lang w:val="es-ES"/>
        </w:rPr>
      </w:pPr>
    </w:p>
    <w:p w14:paraId="0049A94B" w14:textId="77777777" w:rsidR="00EB1661" w:rsidRPr="007D2D91" w:rsidRDefault="00EB1661" w:rsidP="00EB1661">
      <w:pPr>
        <w:spacing w:line="276" w:lineRule="auto"/>
        <w:ind w:firstLine="708"/>
        <w:jc w:val="both"/>
        <w:rPr>
          <w:rFonts w:ascii="Verdana" w:hAnsi="Verdana" w:cs="Arial"/>
        </w:rPr>
      </w:pPr>
      <w:r w:rsidRPr="007D2D91">
        <w:rPr>
          <w:rFonts w:ascii="Verdana" w:hAnsi="Verdana" w:cs="Arial"/>
        </w:rPr>
        <w:lastRenderedPageBreak/>
        <w:t xml:space="preserve">También conviene acudir a la distinción que se ha trazado en torno a la fuente de las inhabilidades, las cuales han sido clasificadas en dos grupos: i) inhabilidades-sanción y </w:t>
      </w:r>
      <w:proofErr w:type="spellStart"/>
      <w:r w:rsidRPr="007D2D91">
        <w:rPr>
          <w:rFonts w:ascii="Verdana" w:hAnsi="Verdana" w:cs="Arial"/>
        </w:rPr>
        <w:t>ii</w:t>
      </w:r>
      <w:proofErr w:type="spellEnd"/>
      <w:r w:rsidRPr="007D2D91">
        <w:rPr>
          <w:rFonts w:ascii="Verdana" w:hAnsi="Verdana" w:cs="Arial"/>
        </w:rPr>
        <w:t>)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r w:rsidRPr="007D2D91">
        <w:rPr>
          <w:rStyle w:val="Refdenotaalpie"/>
          <w:rFonts w:ascii="Verdana" w:hAnsi="Verdana" w:cs="Arial"/>
        </w:rPr>
        <w:footnoteReference w:id="10"/>
      </w:r>
      <w:r w:rsidRPr="007D2D91">
        <w:rPr>
          <w:rFonts w:ascii="Verdana" w:hAnsi="Verdana" w:cs="Arial"/>
        </w:rPr>
        <w:t xml:space="preserve">. </w:t>
      </w:r>
    </w:p>
    <w:p w14:paraId="24F04803" w14:textId="77777777" w:rsidR="00EB1661" w:rsidRPr="007D2D91" w:rsidRDefault="00EB1661" w:rsidP="00EB1661">
      <w:pPr>
        <w:spacing w:line="276" w:lineRule="auto"/>
        <w:ind w:firstLine="708"/>
        <w:jc w:val="both"/>
        <w:rPr>
          <w:rFonts w:ascii="Verdana" w:hAnsi="Verdana" w:cs="Arial"/>
          <w:lang w:val="es-ES"/>
        </w:rPr>
      </w:pPr>
      <w:r w:rsidRPr="007D2D91">
        <w:rPr>
          <w:rFonts w:ascii="Verdana" w:hAnsi="Verdana" w:cs="Arial"/>
          <w:lang w:val="es-ES"/>
        </w:rPr>
        <w:t>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3107638C" w14:textId="77777777" w:rsidR="00EB1661" w:rsidRDefault="00EB1661" w:rsidP="00EB1661">
      <w:pPr>
        <w:spacing w:after="0" w:line="276" w:lineRule="auto"/>
        <w:ind w:firstLine="708"/>
        <w:jc w:val="both"/>
        <w:rPr>
          <w:rFonts w:ascii="Verdana" w:eastAsia="Calibri" w:hAnsi="Verdana" w:cs="Arial"/>
          <w:lang w:val="es-ES_tradnl"/>
        </w:rPr>
      </w:pPr>
      <w:r w:rsidRPr="007D2D91">
        <w:rPr>
          <w:rFonts w:ascii="Verdana" w:eastAsia="Calibri" w:hAnsi="Verdana" w:cs="Arial"/>
          <w:lang w:val="es-ES_tradnl"/>
        </w:rPr>
        <w:t>Al margen de la clasificación mencionada,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Bajo estas circunstancias, las entidades públicas no pueden establecer en el pliego de condiciones causales de inhabilidad no previstas en la Constitución o en la ley. En consecuencia, al tratarse de una materia que tiene reserva legal, no es posible que una entidad pública establezca nuevas causales que afecten la capacidad para contratar con el Estado, ni siquiera haciéndolas pasar como causa para rechazar los ofrecimientos realizados a la</w:t>
      </w:r>
      <w:bookmarkEnd w:id="4"/>
      <w:r>
        <w:rPr>
          <w:rFonts w:ascii="Verdana" w:eastAsia="Calibri" w:hAnsi="Verdana" w:cs="Arial"/>
          <w:lang w:val="es-ES_tradnl"/>
        </w:rPr>
        <w:t xml:space="preserve"> autoridad</w:t>
      </w:r>
      <w:r w:rsidRPr="007D2D91">
        <w:rPr>
          <w:rFonts w:ascii="Verdana" w:eastAsia="Calibri" w:hAnsi="Verdana" w:cs="Arial"/>
          <w:lang w:val="es-ES_tradnl"/>
        </w:rPr>
        <w:t xml:space="preserve">. </w:t>
      </w:r>
    </w:p>
    <w:p w14:paraId="0382CC87" w14:textId="77777777" w:rsidR="00EB1661" w:rsidRDefault="00EB1661" w:rsidP="00EB1661">
      <w:pPr>
        <w:spacing w:after="0" w:line="276" w:lineRule="auto"/>
        <w:ind w:firstLine="708"/>
        <w:jc w:val="both"/>
        <w:rPr>
          <w:rFonts w:ascii="Verdana" w:eastAsia="Calibri" w:hAnsi="Verdana" w:cs="Arial"/>
          <w:lang w:val="es-ES_tradnl"/>
        </w:rPr>
      </w:pPr>
    </w:p>
    <w:p w14:paraId="27662A6B" w14:textId="66E9ABF1" w:rsidR="00EB1661" w:rsidRDefault="00EB1661" w:rsidP="00EB1661">
      <w:pPr>
        <w:widowControl w:val="0"/>
        <w:autoSpaceDE w:val="0"/>
        <w:autoSpaceDN w:val="0"/>
        <w:spacing w:after="120" w:line="276" w:lineRule="auto"/>
        <w:jc w:val="both"/>
        <w:rPr>
          <w:rFonts w:ascii="Verdana" w:eastAsia="Calibri" w:hAnsi="Verdana" w:cs="Arial"/>
          <w:lang w:val="es-ES"/>
        </w:rPr>
      </w:pPr>
      <w:proofErr w:type="spellStart"/>
      <w:r w:rsidRPr="0B4822EB">
        <w:rPr>
          <w:rFonts w:ascii="Verdana" w:eastAsia="Calibri" w:hAnsi="Verdana" w:cs="Arial"/>
          <w:lang w:val="es-ES"/>
        </w:rPr>
        <w:t>iii</w:t>
      </w:r>
      <w:proofErr w:type="spellEnd"/>
      <w:r w:rsidRPr="0B4822EB">
        <w:rPr>
          <w:rFonts w:ascii="Verdana" w:eastAsia="Calibri" w:hAnsi="Verdana" w:cs="Arial"/>
          <w:lang w:val="es-ES"/>
        </w:rPr>
        <w:t>. Conforme al artículo 8</w:t>
      </w:r>
      <w:r w:rsidR="00951C32">
        <w:rPr>
          <w:rFonts w:ascii="Verdana" w:eastAsia="Calibri" w:hAnsi="Verdana" w:cs="Arial"/>
          <w:lang w:val="es-ES"/>
        </w:rPr>
        <w:t xml:space="preserve">, numeral </w:t>
      </w:r>
      <w:r w:rsidRPr="0B4822EB">
        <w:rPr>
          <w:rFonts w:ascii="Verdana" w:eastAsia="Calibri" w:hAnsi="Verdana" w:cs="Arial"/>
          <w:lang w:val="es-ES"/>
        </w:rPr>
        <w:t xml:space="preserve">1 de la Ley 80 de 1993, las inhabilidades aplican a quienes –por restricción constitucional o legal– pretendan participar en procesos de selección o celebrar contratos con las entidades estatales. Especialmente, el literal d) señala que están inhabilitados “Quienes […] hayan sido sancionados disciplinariamente con destitución”. Sin perjuicio de la graduación dispuesta en los artículos 48 y 49 de la Ley 1952 de 2019, esta inhabilidad para contratar </w:t>
      </w:r>
      <w:r w:rsidRPr="005669A1">
        <w:rPr>
          <w:rFonts w:ascii="Verdana" w:eastAsia="Calibri" w:hAnsi="Verdana" w:cs="Arial"/>
          <w:i/>
          <w:iCs/>
          <w:lang w:val="es-ES"/>
        </w:rPr>
        <w:t xml:space="preserve">“[…] se extenderán por un término de cinco (5) años contados a partir de la fecha de ejecutoria […] del acto que dispuso la destitución […]”. </w:t>
      </w:r>
      <w:r w:rsidRPr="0B4822EB">
        <w:rPr>
          <w:rFonts w:ascii="Verdana" w:eastAsia="Calibri" w:hAnsi="Verdana" w:cs="Arial"/>
          <w:lang w:val="es-ES"/>
        </w:rPr>
        <w:t xml:space="preserve">Teniendo en cuenta lo anterior, la inhabilidad afecta a quien haya sido destituido por una sanción disciplinaria y asuma, posteriormente, la calidad de oferente o de contratista del Estado. </w:t>
      </w:r>
    </w:p>
    <w:p w14:paraId="588F62C8" w14:textId="26B5E6F5" w:rsidR="008130A2" w:rsidRDefault="008130A2" w:rsidP="00EB1661">
      <w:pPr>
        <w:widowControl w:val="0"/>
        <w:autoSpaceDE w:val="0"/>
        <w:autoSpaceDN w:val="0"/>
        <w:spacing w:after="120" w:line="276" w:lineRule="auto"/>
        <w:ind w:firstLine="708"/>
        <w:jc w:val="both"/>
        <w:rPr>
          <w:rFonts w:ascii="Verdana" w:hAnsi="Verdana" w:cs="Arial"/>
          <w:iCs/>
          <w:color w:val="000000" w:themeColor="text1"/>
        </w:rPr>
      </w:pPr>
      <w:r>
        <w:rPr>
          <w:rFonts w:ascii="Verdana" w:hAnsi="Verdana" w:cs="Arial"/>
          <w:iCs/>
          <w:color w:val="000000" w:themeColor="text1"/>
        </w:rPr>
        <w:t xml:space="preserve">Ese orden, </w:t>
      </w:r>
      <w:r w:rsidR="00EB1661">
        <w:rPr>
          <w:rFonts w:ascii="Verdana" w:hAnsi="Verdana" w:cs="Arial"/>
          <w:iCs/>
          <w:color w:val="000000" w:themeColor="text1"/>
        </w:rPr>
        <w:t xml:space="preserve">teniendo en cuenta en carácter restrictivo del régimen de inhabilidades, </w:t>
      </w:r>
      <w:r>
        <w:rPr>
          <w:rFonts w:ascii="Verdana" w:hAnsi="Verdana" w:cs="Arial"/>
          <w:iCs/>
          <w:color w:val="000000" w:themeColor="text1"/>
        </w:rPr>
        <w:t xml:space="preserve">es posible afirmar </w:t>
      </w:r>
      <w:r w:rsidR="00607D32">
        <w:rPr>
          <w:rFonts w:ascii="Verdana" w:hAnsi="Verdana" w:cs="Arial"/>
          <w:iCs/>
          <w:color w:val="000000" w:themeColor="text1"/>
        </w:rPr>
        <w:t>la configuración de la causal prevista en el literal d)</w:t>
      </w:r>
      <w:r w:rsidR="00951C32">
        <w:rPr>
          <w:rFonts w:ascii="Verdana" w:hAnsi="Verdana" w:cs="Arial"/>
          <w:iCs/>
          <w:color w:val="000000" w:themeColor="text1"/>
        </w:rPr>
        <w:t xml:space="preserve"> del numeral 1 del artículo 8 de la Ley 80 de 1993</w:t>
      </w:r>
      <w:r w:rsidR="00183ED6">
        <w:rPr>
          <w:rFonts w:ascii="Verdana" w:hAnsi="Verdana" w:cs="Arial"/>
          <w:iCs/>
          <w:color w:val="000000" w:themeColor="text1"/>
        </w:rPr>
        <w:t xml:space="preserve"> </w:t>
      </w:r>
      <w:r w:rsidR="00E33F64">
        <w:rPr>
          <w:rFonts w:ascii="Verdana" w:hAnsi="Verdana" w:cs="Arial"/>
          <w:iCs/>
          <w:color w:val="000000" w:themeColor="text1"/>
        </w:rPr>
        <w:t>afecta</w:t>
      </w:r>
      <w:r w:rsidR="00183ED6">
        <w:rPr>
          <w:rFonts w:ascii="Verdana" w:hAnsi="Verdana" w:cs="Arial"/>
          <w:iCs/>
          <w:color w:val="000000" w:themeColor="text1"/>
        </w:rPr>
        <w:t xml:space="preserve"> la capacidad jurídica </w:t>
      </w:r>
      <w:r w:rsidR="00E33F64">
        <w:rPr>
          <w:rFonts w:ascii="Verdana" w:hAnsi="Verdana" w:cs="Arial"/>
          <w:iCs/>
          <w:color w:val="000000" w:themeColor="text1"/>
        </w:rPr>
        <w:t>de la person</w:t>
      </w:r>
      <w:r w:rsidR="00280F93">
        <w:rPr>
          <w:rFonts w:ascii="Verdana" w:hAnsi="Verdana" w:cs="Arial"/>
          <w:iCs/>
          <w:color w:val="000000" w:themeColor="text1"/>
        </w:rPr>
        <w:t xml:space="preserve">a </w:t>
      </w:r>
      <w:r w:rsidR="00183ED6">
        <w:rPr>
          <w:rFonts w:ascii="Verdana" w:hAnsi="Verdana" w:cs="Arial"/>
          <w:iCs/>
          <w:color w:val="000000" w:themeColor="text1"/>
        </w:rPr>
        <w:t xml:space="preserve">sancionada </w:t>
      </w:r>
      <w:r w:rsidR="005242A5">
        <w:rPr>
          <w:rFonts w:ascii="Verdana" w:hAnsi="Verdana" w:cs="Arial"/>
          <w:iCs/>
          <w:color w:val="000000" w:themeColor="text1"/>
        </w:rPr>
        <w:t>disciplinariamente con destitución</w:t>
      </w:r>
      <w:r w:rsidR="00CC660B">
        <w:rPr>
          <w:rFonts w:ascii="Verdana" w:hAnsi="Verdana" w:cs="Arial"/>
          <w:iCs/>
          <w:color w:val="000000" w:themeColor="text1"/>
        </w:rPr>
        <w:t xml:space="preserve">, sin que resulte posible extender </w:t>
      </w:r>
      <w:r w:rsidR="002D5069">
        <w:rPr>
          <w:rFonts w:ascii="Verdana" w:hAnsi="Verdana" w:cs="Arial"/>
          <w:iCs/>
          <w:color w:val="000000" w:themeColor="text1"/>
        </w:rPr>
        <w:t>sus efectos a</w:t>
      </w:r>
      <w:r w:rsidR="00BA65BB">
        <w:rPr>
          <w:rFonts w:ascii="Verdana" w:hAnsi="Verdana" w:cs="Arial"/>
          <w:iCs/>
          <w:color w:val="000000" w:themeColor="text1"/>
        </w:rPr>
        <w:t xml:space="preserve"> otras personas. </w:t>
      </w:r>
      <w:r w:rsidR="008B7A0A">
        <w:rPr>
          <w:rFonts w:ascii="Verdana" w:hAnsi="Verdana" w:cs="Arial"/>
          <w:iCs/>
          <w:color w:val="000000" w:themeColor="text1"/>
        </w:rPr>
        <w:t>En ese sentido,</w:t>
      </w:r>
      <w:r w:rsidR="009F4169">
        <w:rPr>
          <w:rFonts w:ascii="Verdana" w:hAnsi="Verdana" w:cs="Arial"/>
          <w:iCs/>
          <w:color w:val="000000" w:themeColor="text1"/>
        </w:rPr>
        <w:t xml:space="preserve"> los efectos de esta inhabilidad no </w:t>
      </w:r>
      <w:r w:rsidR="00E177CA">
        <w:rPr>
          <w:rFonts w:ascii="Verdana" w:hAnsi="Verdana" w:cs="Arial"/>
          <w:iCs/>
          <w:color w:val="000000" w:themeColor="text1"/>
        </w:rPr>
        <w:t xml:space="preserve">pueden aplicarse a </w:t>
      </w:r>
      <w:r w:rsidR="009F4169">
        <w:rPr>
          <w:rFonts w:ascii="Verdana" w:hAnsi="Verdana" w:cs="Arial"/>
          <w:iCs/>
          <w:color w:val="000000" w:themeColor="text1"/>
        </w:rPr>
        <w:t>los socios</w:t>
      </w:r>
      <w:r w:rsidR="00FC6E57">
        <w:rPr>
          <w:rFonts w:ascii="Verdana" w:hAnsi="Verdana" w:cs="Arial"/>
          <w:iCs/>
          <w:color w:val="000000" w:themeColor="text1"/>
        </w:rPr>
        <w:t>, empleados o contratistas de la persona sancionada con dest</w:t>
      </w:r>
      <w:r w:rsidR="00040F99">
        <w:rPr>
          <w:rFonts w:ascii="Verdana" w:hAnsi="Verdana" w:cs="Arial"/>
          <w:iCs/>
          <w:color w:val="000000" w:themeColor="text1"/>
        </w:rPr>
        <w:t>itución</w:t>
      </w:r>
      <w:r w:rsidR="00E177CA">
        <w:rPr>
          <w:rFonts w:ascii="Verdana" w:hAnsi="Verdana" w:cs="Arial"/>
          <w:iCs/>
          <w:color w:val="000000" w:themeColor="text1"/>
        </w:rPr>
        <w:t xml:space="preserve">, ya que ello </w:t>
      </w:r>
      <w:r w:rsidR="00A254FC">
        <w:rPr>
          <w:rFonts w:ascii="Verdana" w:hAnsi="Verdana" w:cs="Arial"/>
          <w:iCs/>
          <w:color w:val="000000" w:themeColor="text1"/>
        </w:rPr>
        <w:t>supondría una aplicación extensiva de l</w:t>
      </w:r>
      <w:r w:rsidR="009D1728">
        <w:rPr>
          <w:rFonts w:ascii="Verdana" w:hAnsi="Verdana" w:cs="Arial"/>
          <w:iCs/>
          <w:color w:val="000000" w:themeColor="text1"/>
        </w:rPr>
        <w:t>a causal de inhabilidad.</w:t>
      </w:r>
      <w:r w:rsidR="00040F99">
        <w:rPr>
          <w:rFonts w:ascii="Verdana" w:hAnsi="Verdana" w:cs="Arial"/>
          <w:iCs/>
          <w:color w:val="000000" w:themeColor="text1"/>
        </w:rPr>
        <w:t xml:space="preserve"> </w:t>
      </w:r>
    </w:p>
    <w:p w14:paraId="4BED0247" w14:textId="20060377" w:rsidR="00EB1661" w:rsidRDefault="009D1728" w:rsidP="00EB1661">
      <w:pPr>
        <w:widowControl w:val="0"/>
        <w:autoSpaceDE w:val="0"/>
        <w:autoSpaceDN w:val="0"/>
        <w:spacing w:after="120" w:line="276" w:lineRule="auto"/>
        <w:ind w:firstLine="708"/>
        <w:jc w:val="both"/>
        <w:rPr>
          <w:rFonts w:ascii="Verdana" w:hAnsi="Verdana" w:cs="Arial"/>
        </w:rPr>
      </w:pPr>
      <w:r>
        <w:rPr>
          <w:rFonts w:ascii="Verdana" w:hAnsi="Verdana" w:cs="Arial"/>
        </w:rPr>
        <w:t xml:space="preserve">Con todo, </w:t>
      </w:r>
      <w:r w:rsidR="00EB1661" w:rsidRPr="006759B0">
        <w:rPr>
          <w:rFonts w:ascii="Verdana" w:hAnsi="Verdana" w:cs="Arial"/>
        </w:rPr>
        <w:t>debe advertirse que el análisis requerido para</w:t>
      </w:r>
      <w:r w:rsidR="00EB1661" w:rsidRPr="00016280">
        <w:rPr>
          <w:rFonts w:ascii="Verdana" w:hAnsi="Verdana" w:cs="Arial"/>
        </w:rPr>
        <w:t xml:space="preserve"> </w:t>
      </w:r>
      <w:r w:rsidR="00EB1661">
        <w:rPr>
          <w:rFonts w:ascii="Verdana" w:hAnsi="Verdana" w:cs="Arial"/>
        </w:rPr>
        <w:t xml:space="preserve">verificar la capacidad jurídica en </w:t>
      </w:r>
      <w:r>
        <w:rPr>
          <w:rFonts w:ascii="Verdana" w:hAnsi="Verdana" w:cs="Arial"/>
        </w:rPr>
        <w:t xml:space="preserve">los </w:t>
      </w:r>
      <w:r w:rsidR="00EB1661">
        <w:rPr>
          <w:rFonts w:ascii="Verdana" w:hAnsi="Verdana" w:cs="Arial"/>
        </w:rPr>
        <w:t>supuesto</w:t>
      </w:r>
      <w:r>
        <w:rPr>
          <w:rFonts w:ascii="Verdana" w:hAnsi="Verdana" w:cs="Arial"/>
        </w:rPr>
        <w:t xml:space="preserve">s de hecho </w:t>
      </w:r>
      <w:r w:rsidR="00EB1661">
        <w:rPr>
          <w:rFonts w:ascii="Verdana" w:hAnsi="Verdana" w:cs="Arial"/>
        </w:rPr>
        <w:t xml:space="preserve"> planteados en la solicitud</w:t>
      </w:r>
      <w:r w:rsidR="00EB1661" w:rsidRPr="006759B0">
        <w:rPr>
          <w:rFonts w:ascii="Verdana" w:hAnsi="Verdana" w:cs="Arial"/>
        </w:rPr>
        <w:t xml:space="preserve"> </w:t>
      </w:r>
      <w:r w:rsidR="00EB1661">
        <w:rPr>
          <w:rFonts w:ascii="Verdana" w:hAnsi="Verdana" w:cs="Arial"/>
        </w:rPr>
        <w:t xml:space="preserve">debe </w:t>
      </w:r>
      <w:r w:rsidR="00EB1661" w:rsidRPr="006759B0">
        <w:rPr>
          <w:rFonts w:ascii="Verdana" w:hAnsi="Verdana" w:cs="Arial"/>
        </w:rPr>
        <w:t xml:space="preserve">ser realizado por </w:t>
      </w:r>
      <w:r w:rsidR="00EB1661">
        <w:rPr>
          <w:rFonts w:ascii="Verdana" w:hAnsi="Verdana" w:cs="Arial"/>
        </w:rPr>
        <w:t>quienes tengan interés en ello</w:t>
      </w:r>
      <w:r w:rsidR="00EB1661" w:rsidRPr="006759B0">
        <w:rPr>
          <w:rFonts w:ascii="Verdana" w:hAnsi="Verdana" w:cs="Arial"/>
        </w:rPr>
        <w:t xml:space="preserve">, de acuerdo con lo explicado </w:t>
      </w:r>
      <w:r w:rsidR="00EB1661">
        <w:rPr>
          <w:rFonts w:ascii="Verdana" w:hAnsi="Verdana" w:cs="Arial"/>
        </w:rPr>
        <w:t>la aclaración preliminar del presente oficio</w:t>
      </w:r>
      <w:r w:rsidR="00EB1661" w:rsidRPr="006759B0">
        <w:rPr>
          <w:rFonts w:ascii="Verdana" w:hAnsi="Verdana" w:cs="Arial"/>
        </w:rPr>
        <w:t xml:space="preserve">. De esta manera, las afirmaciones aquí realizadas </w:t>
      </w:r>
      <w:r w:rsidR="00EB1661">
        <w:rPr>
          <w:rFonts w:ascii="Verdana" w:hAnsi="Verdana" w:cs="Arial"/>
        </w:rPr>
        <w:t xml:space="preserve">no </w:t>
      </w:r>
      <w:r w:rsidR="00EB1661" w:rsidRPr="006759B0">
        <w:rPr>
          <w:rFonts w:ascii="Verdana" w:hAnsi="Verdana" w:cs="Arial"/>
        </w:rPr>
        <w:t>pueden ser interpretadas como juicios de valor sobre circunstancias</w:t>
      </w:r>
      <w:r w:rsidR="00EB1661">
        <w:rPr>
          <w:rFonts w:ascii="Verdana" w:hAnsi="Verdana" w:cs="Arial"/>
        </w:rPr>
        <w:t xml:space="preserve"> concretas</w:t>
      </w:r>
      <w:r w:rsidR="00EB1661" w:rsidRPr="006759B0">
        <w:rPr>
          <w:rFonts w:ascii="Verdana" w:hAnsi="Verdana" w:cs="Arial"/>
        </w:rPr>
        <w:t xml:space="preserve"> relacionadas con los hechos que motivan la </w:t>
      </w:r>
      <w:r w:rsidR="00EB1661">
        <w:rPr>
          <w:rFonts w:ascii="Verdana" w:hAnsi="Verdana" w:cs="Arial"/>
        </w:rPr>
        <w:t xml:space="preserve">consulta. </w:t>
      </w:r>
      <w:r w:rsidR="00EB1661" w:rsidRPr="00DE3BB8">
        <w:rPr>
          <w:rFonts w:ascii="Verdana" w:hAnsi="Verdana" w:cs="Arial"/>
        </w:rPr>
        <w:t>Por lo anterior, previo concepto de sus asesores, la solución de situaciones particulares corresponde a l</w:t>
      </w:r>
      <w:r w:rsidR="00EB1661">
        <w:rPr>
          <w:rFonts w:ascii="Verdana" w:hAnsi="Verdana" w:cs="Arial"/>
        </w:rPr>
        <w:t>os interesados</w:t>
      </w:r>
      <w:r w:rsidR="00EB1661" w:rsidRPr="00DE3BB8">
        <w:rPr>
          <w:rFonts w:ascii="Verdana" w:hAnsi="Verdana" w:cs="Arial"/>
        </w:rPr>
        <w:t xml:space="preserve"> adoptar la decisión correspondiente y, en caso de conflicto, a las autoridades judiciales, fiscales y disciplinarias. </w:t>
      </w:r>
      <w:r w:rsidR="00EB1661">
        <w:rPr>
          <w:rFonts w:ascii="Verdana" w:hAnsi="Verdana" w:cs="Arial"/>
        </w:rPr>
        <w:t xml:space="preserve"> </w:t>
      </w:r>
    </w:p>
    <w:p w14:paraId="5E7D3036" w14:textId="77777777" w:rsidR="00EB1661" w:rsidRPr="008A4AEC" w:rsidRDefault="00EB1661" w:rsidP="00EB1661">
      <w:pPr>
        <w:widowControl w:val="0"/>
        <w:autoSpaceDE w:val="0"/>
        <w:autoSpaceDN w:val="0"/>
        <w:spacing w:after="0"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xml:space="preserve">. Al tratarse de un análisis que debe realizarse en el procedimiento contractual específico, la Agencia </w:t>
      </w:r>
      <w:r>
        <w:rPr>
          <w:rFonts w:ascii="Verdana" w:hAnsi="Verdana" w:cs="Arial"/>
        </w:rPr>
        <w:t>sólo</w:t>
      </w:r>
      <w:r w:rsidRPr="001E3FCB">
        <w:rPr>
          <w:rFonts w:ascii="Verdana" w:hAnsi="Verdana" w:cs="Arial"/>
        </w:rPr>
        <w:t xml:space="preserve"> brinda elementos de carácter general para que los partícipes del sistema de compras y contratación pública adopten la decisión que corresponda, lo cual es acorde con el principio de juridicidad. </w:t>
      </w:r>
      <w:r>
        <w:rPr>
          <w:rFonts w:ascii="Verdana" w:hAnsi="Verdana" w:cs="Arial"/>
        </w:rPr>
        <w:t>Por tanto</w:t>
      </w:r>
      <w:r w:rsidRPr="001E3FCB">
        <w:rPr>
          <w:rFonts w:ascii="Verdana" w:hAnsi="Verdana" w:cs="Arial"/>
        </w:rPr>
        <w:t xml:space="preserve">, cada entidad definirá la forma de adelantar su gestión contractual, sin que sea atribución de Colombia Compra Eficiente validar </w:t>
      </w:r>
      <w:r>
        <w:rPr>
          <w:rFonts w:ascii="Verdana" w:hAnsi="Verdana" w:cs="Arial"/>
        </w:rPr>
        <w:t xml:space="preserve">si los participantes están o no incursos en causales de rechazo </w:t>
      </w:r>
      <w:r>
        <w:rPr>
          <w:rFonts w:ascii="Verdana" w:hAnsi="Verdana" w:cs="Arial"/>
        </w:rPr>
        <w:lastRenderedPageBreak/>
        <w:t>o de inhabilidad</w:t>
      </w:r>
      <w:r w:rsidRPr="001E3FCB">
        <w:rPr>
          <w:rFonts w:ascii="Verdana" w:hAnsi="Verdana" w:cs="Arial"/>
        </w:rPr>
        <w:t>.</w:t>
      </w:r>
    </w:p>
    <w:p w14:paraId="03AF8055" w14:textId="77777777" w:rsidR="00EB1661" w:rsidRPr="000E355A" w:rsidRDefault="00EB1661" w:rsidP="00EB1661">
      <w:pPr>
        <w:spacing w:after="0" w:line="276" w:lineRule="auto"/>
        <w:jc w:val="both"/>
        <w:rPr>
          <w:rFonts w:ascii="Verdana" w:eastAsia="Calibri" w:hAnsi="Verdana" w:cs="Arial"/>
          <w:lang w:val="es-ES_tradnl"/>
        </w:rPr>
      </w:pPr>
      <w:r>
        <w:rPr>
          <w:rFonts w:ascii="Verdana" w:eastAsia="Calibri" w:hAnsi="Verdana" w:cs="Arial"/>
          <w:lang w:val="es-ES_tradnl"/>
        </w:rPr>
        <w:t xml:space="preserve"> </w:t>
      </w:r>
    </w:p>
    <w:p w14:paraId="7EDAE1E4" w14:textId="261261B6" w:rsidR="00EB1661" w:rsidRPr="00593A5F" w:rsidRDefault="00EB1661" w:rsidP="00EB166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sidR="00750B35">
        <w:rPr>
          <w:rFonts w:ascii="Verdana" w:eastAsia="Century Gothic" w:hAnsi="Verdana" w:cs="Century Gothic"/>
          <w:b/>
          <w:bCs/>
        </w:rPr>
        <w:t xml:space="preserve"> y jurisprudenciales</w:t>
      </w:r>
      <w:r w:rsidRPr="00593A5F">
        <w:rPr>
          <w:rFonts w:ascii="Verdana" w:eastAsia="Century Gothic" w:hAnsi="Verdana" w:cs="Century Gothic"/>
          <w:b/>
          <w:bCs/>
        </w:rPr>
        <w:t>:</w:t>
      </w:r>
    </w:p>
    <w:p w14:paraId="2E18DDB1" w14:textId="77777777" w:rsidR="00EB1661" w:rsidRPr="00593A5F" w:rsidRDefault="00EB1661" w:rsidP="00EB166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B1661" w:rsidRPr="002407CE" w14:paraId="301E4893" w14:textId="77777777" w:rsidTr="000E2BDB">
        <w:trPr>
          <w:trHeight w:val="870"/>
          <w:jc w:val="center"/>
        </w:trPr>
        <w:tc>
          <w:tcPr>
            <w:tcW w:w="8647" w:type="dxa"/>
          </w:tcPr>
          <w:p w14:paraId="0AFD9E81" w14:textId="77777777" w:rsidR="00EB1661" w:rsidRDefault="00EB1661" w:rsidP="005669A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150 y 209.</w:t>
            </w:r>
          </w:p>
          <w:p w14:paraId="77AB31AA" w14:textId="77777777" w:rsidR="00EB1661" w:rsidRDefault="00EB1661" w:rsidP="005669A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Civil, artículos 1502 y 1503.</w:t>
            </w:r>
          </w:p>
          <w:p w14:paraId="11C16AD8" w14:textId="77777777" w:rsidR="00EB1661" w:rsidRDefault="00EB1661" w:rsidP="005669A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80 de 1993, artículos 6, 8 y 44. </w:t>
            </w:r>
          </w:p>
          <w:p w14:paraId="3980A2FA" w14:textId="77777777" w:rsidR="00EB1661" w:rsidRDefault="00EB1661" w:rsidP="005669A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EA612E">
              <w:rPr>
                <w:rFonts w:ascii="Verdana" w:hAnsi="Verdana" w:cs="Arial"/>
              </w:rPr>
              <w:t>Ley 1150 de 2007, artículo</w:t>
            </w:r>
            <w:r>
              <w:rPr>
                <w:rFonts w:ascii="Verdana" w:hAnsi="Verdana" w:cs="Arial"/>
              </w:rPr>
              <w:t>s 5 y 13</w:t>
            </w:r>
            <w:r w:rsidRPr="00EA612E">
              <w:rPr>
                <w:rFonts w:ascii="Verdana" w:hAnsi="Verdana" w:cs="Arial"/>
              </w:rPr>
              <w:t xml:space="preserve">. </w:t>
            </w:r>
          </w:p>
          <w:p w14:paraId="7147FE6B" w14:textId="77777777" w:rsidR="00DA42B3" w:rsidRPr="005669A1" w:rsidRDefault="00DA42B3"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 xml:space="preserve">CONSEJO DE ESTADO. Sección Tercera. Sentencia del 4 de junio de 2008. </w:t>
            </w:r>
            <w:proofErr w:type="spellStart"/>
            <w:r w:rsidRPr="005669A1">
              <w:rPr>
                <w:rFonts w:ascii="Verdana" w:hAnsi="Verdana" w:cs="Arial"/>
              </w:rPr>
              <w:t>Exp</w:t>
            </w:r>
            <w:proofErr w:type="spellEnd"/>
            <w:r w:rsidRPr="005669A1">
              <w:rPr>
                <w:rFonts w:ascii="Verdana" w:hAnsi="Verdana" w:cs="Arial"/>
              </w:rPr>
              <w:t>. 17.783. C.P. Myriam Guerrero de Escobar.</w:t>
            </w:r>
          </w:p>
          <w:p w14:paraId="71F845EE" w14:textId="371BAAFE" w:rsidR="00DA42B3" w:rsidRPr="005669A1" w:rsidRDefault="00DA42B3"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 xml:space="preserve">CONSEJO DE ESTADO. Sección Tercera. Sentencia del 27 de abril de 2011. </w:t>
            </w:r>
            <w:proofErr w:type="spellStart"/>
            <w:r w:rsidRPr="005669A1">
              <w:rPr>
                <w:rFonts w:ascii="Verdana" w:hAnsi="Verdana" w:cs="Arial"/>
              </w:rPr>
              <w:t>Exp</w:t>
            </w:r>
            <w:proofErr w:type="spellEnd"/>
            <w:r w:rsidRPr="005669A1">
              <w:rPr>
                <w:rFonts w:ascii="Verdana" w:hAnsi="Verdana" w:cs="Arial"/>
              </w:rPr>
              <w:t>. 18.293. C.P. Ruth Stella Correa Palacio.</w:t>
            </w:r>
          </w:p>
          <w:p w14:paraId="4D795A66" w14:textId="2AEE3B57" w:rsidR="002B6D38" w:rsidRPr="005669A1" w:rsidRDefault="002B6D38"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CONSEJO DE ESTADO. Sección Tercera, Subsección A. Sentencia del 13 de noviembre de 2013</w:t>
            </w:r>
            <w:r w:rsidR="00F73E29">
              <w:rPr>
                <w:rFonts w:ascii="Verdana" w:hAnsi="Verdana" w:cs="Arial"/>
              </w:rPr>
              <w:t>,</w:t>
            </w:r>
            <w:r w:rsidRPr="005669A1">
              <w:rPr>
                <w:rFonts w:ascii="Verdana" w:hAnsi="Verdana" w:cs="Arial"/>
              </w:rPr>
              <w:t xml:space="preserve"> </w:t>
            </w:r>
            <w:proofErr w:type="spellStart"/>
            <w:r w:rsidR="00F73E29">
              <w:rPr>
                <w:rFonts w:ascii="Verdana" w:hAnsi="Verdana" w:cs="Arial"/>
              </w:rPr>
              <w:t>Exp</w:t>
            </w:r>
            <w:proofErr w:type="spellEnd"/>
            <w:r w:rsidRPr="005669A1">
              <w:rPr>
                <w:rFonts w:ascii="Verdana" w:hAnsi="Verdana" w:cs="Arial"/>
              </w:rPr>
              <w:t>. 25.646</w:t>
            </w:r>
            <w:r w:rsidR="00F73E29">
              <w:rPr>
                <w:rFonts w:ascii="Verdana" w:hAnsi="Verdana" w:cs="Arial"/>
              </w:rPr>
              <w:t xml:space="preserve">, </w:t>
            </w:r>
            <w:r w:rsidRPr="005669A1">
              <w:rPr>
                <w:rFonts w:ascii="Verdana" w:hAnsi="Verdana" w:cs="Arial"/>
              </w:rPr>
              <w:t>C.P. Mauricio Fajardo Gómez.</w:t>
            </w:r>
          </w:p>
          <w:p w14:paraId="74CD1313" w14:textId="31823990" w:rsidR="00DA42B3" w:rsidRPr="005669A1" w:rsidRDefault="00DA42B3"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CONSEJO DE ESTADO. Sección Tercera. Sentencia del 21 de noviembre de 2013</w:t>
            </w:r>
            <w:r w:rsidR="00F73E29">
              <w:rPr>
                <w:rFonts w:ascii="Verdana" w:hAnsi="Verdana" w:cs="Arial"/>
              </w:rPr>
              <w:t xml:space="preserve">, </w:t>
            </w:r>
            <w:proofErr w:type="spellStart"/>
            <w:r w:rsidRPr="005669A1">
              <w:rPr>
                <w:rFonts w:ascii="Verdana" w:hAnsi="Verdana" w:cs="Arial"/>
              </w:rPr>
              <w:t>Exp</w:t>
            </w:r>
            <w:proofErr w:type="spellEnd"/>
            <w:r w:rsidRPr="005669A1">
              <w:rPr>
                <w:rFonts w:ascii="Verdana" w:hAnsi="Verdana" w:cs="Arial"/>
              </w:rPr>
              <w:t>. 25397. C.P. Carlos Alberto Zambrano Barrera.</w:t>
            </w:r>
          </w:p>
          <w:p w14:paraId="10A9994A" w14:textId="0939487D" w:rsidR="00DA42B3" w:rsidRPr="005669A1" w:rsidRDefault="00DA42B3"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 xml:space="preserve">CONSEJO DE ESTADO. Sección Tercera. Subsección B. Sentencia del 11 de diciembre de 2015. </w:t>
            </w:r>
            <w:proofErr w:type="spellStart"/>
            <w:r w:rsidRPr="005669A1">
              <w:rPr>
                <w:rFonts w:ascii="Verdana" w:hAnsi="Verdana" w:cs="Arial"/>
              </w:rPr>
              <w:t>Exp</w:t>
            </w:r>
            <w:proofErr w:type="spellEnd"/>
            <w:r w:rsidRPr="005669A1">
              <w:rPr>
                <w:rFonts w:ascii="Verdana" w:hAnsi="Verdana" w:cs="Arial"/>
              </w:rPr>
              <w:t>. 26.496. C.P. Ramiro de Jesús Pazos Guerrero.</w:t>
            </w:r>
          </w:p>
          <w:p w14:paraId="15B2C166" w14:textId="0CDEBBE5" w:rsidR="00DA42B3" w:rsidRPr="005669A1" w:rsidRDefault="00DA42B3"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 xml:space="preserve">CORTE CONSTITUCIONAL. Sentencia C-415 de 1994. M.P. Eduardo Cifuentes Muñoz. </w:t>
            </w:r>
          </w:p>
          <w:p w14:paraId="363CAD23" w14:textId="77777777" w:rsidR="00DA42B3" w:rsidRPr="005669A1" w:rsidRDefault="00DA42B3"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CORTE CONSTITUCIONAL. Sentencia C-780 de 2001. M.P. Jaime Córdoba Triviño.</w:t>
            </w:r>
          </w:p>
          <w:p w14:paraId="7EC6EA7A" w14:textId="44C03647" w:rsidR="002B6D38" w:rsidRPr="005669A1" w:rsidRDefault="002B6D38" w:rsidP="005669A1">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5669A1">
              <w:rPr>
                <w:rFonts w:ascii="Verdana" w:hAnsi="Verdana" w:cs="Arial"/>
              </w:rPr>
              <w:t xml:space="preserve">CORTE CONSTITUCIONAL. Sentencia C-1016 de 2012. M.P. Jorge Iván Palacio. </w:t>
            </w:r>
          </w:p>
        </w:tc>
      </w:tr>
    </w:tbl>
    <w:p w14:paraId="14D30BCB" w14:textId="77777777" w:rsidR="00EB1661" w:rsidRPr="002407CE" w:rsidRDefault="00EB1661" w:rsidP="00EB1661">
      <w:pPr>
        <w:widowControl w:val="0"/>
        <w:autoSpaceDE w:val="0"/>
        <w:autoSpaceDN w:val="0"/>
        <w:spacing w:after="0" w:line="276" w:lineRule="auto"/>
        <w:jc w:val="both"/>
        <w:rPr>
          <w:rFonts w:ascii="Verdana" w:hAnsi="Verdana" w:cs="Arial"/>
        </w:rPr>
      </w:pPr>
    </w:p>
    <w:p w14:paraId="7F781CCB" w14:textId="77777777" w:rsidR="00EB1661" w:rsidRPr="00593A5F" w:rsidRDefault="00EB1661" w:rsidP="005669A1">
      <w:pPr>
        <w:pStyle w:val="Prrafodelista"/>
        <w:numPr>
          <w:ilvl w:val="0"/>
          <w:numId w:val="16"/>
        </w:numPr>
        <w:tabs>
          <w:tab w:val="left" w:pos="142"/>
          <w:tab w:val="left" w:pos="284"/>
        </w:tabs>
        <w:spacing w:after="0" w:line="276" w:lineRule="auto"/>
        <w:ind w:left="142" w:firstLine="142"/>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DF5A4D6" w14:textId="77777777" w:rsidR="00EB1661" w:rsidRPr="00593A5F" w:rsidRDefault="00EB1661" w:rsidP="00EB1661">
      <w:pPr>
        <w:widowControl w:val="0"/>
        <w:autoSpaceDE w:val="0"/>
        <w:autoSpaceDN w:val="0"/>
        <w:spacing w:after="0" w:line="276" w:lineRule="auto"/>
        <w:jc w:val="both"/>
        <w:rPr>
          <w:rFonts w:ascii="Verdana" w:hAnsi="Verdana" w:cs="Arial"/>
        </w:rPr>
      </w:pPr>
    </w:p>
    <w:p w14:paraId="13C180C8" w14:textId="0DF35780" w:rsidR="00EB1661" w:rsidRDefault="00EB1661" w:rsidP="00EB166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el régimen de inhabilidades</w:t>
      </w:r>
      <w:r w:rsidRPr="00916093">
        <w:rPr>
          <w:rStyle w:val="normaltextrun"/>
          <w:rFonts w:ascii="Verdana" w:hAnsi="Verdana" w:cs="Arial"/>
          <w:shd w:val="clear" w:color="auto" w:fill="FFFFFF"/>
          <w:lang w:val="es-ES"/>
        </w:rPr>
        <w:t xml:space="preserve"> en los </w:t>
      </w:r>
      <w:r>
        <w:rPr>
          <w:rStyle w:val="normaltextrun"/>
          <w:rFonts w:ascii="Verdana" w:hAnsi="Verdana" w:cs="Arial"/>
          <w:shd w:val="clear" w:color="auto" w:fill="FFFFFF"/>
          <w:lang w:val="es-ES"/>
        </w:rPr>
        <w:t>C</w:t>
      </w:r>
      <w:r w:rsidRPr="00916093">
        <w:rPr>
          <w:rStyle w:val="normaltextrun"/>
          <w:rFonts w:ascii="Verdana" w:hAnsi="Verdana" w:cs="Arial"/>
          <w:shd w:val="clear" w:color="auto" w:fill="FFFFFF"/>
          <w:lang w:val="es-ES"/>
        </w:rPr>
        <w:t>onceptos</w:t>
      </w:r>
      <w:r>
        <w:rPr>
          <w:rStyle w:val="normaltextrun"/>
          <w:rFonts w:ascii="Verdana" w:hAnsi="Verdana" w:cs="Arial"/>
          <w:shd w:val="clear" w:color="auto" w:fill="FFFFFF"/>
          <w:lang w:val="es-ES"/>
        </w:rPr>
        <w:t xml:space="preserve"> </w:t>
      </w:r>
      <w:r w:rsidRPr="005E688A">
        <w:rPr>
          <w:rStyle w:val="normaltextrun"/>
          <w:rFonts w:ascii="Verdana" w:hAnsi="Verdana" w:cs="Arial"/>
          <w:shd w:val="clear" w:color="auto" w:fill="FFFFFF"/>
          <w:lang w:val="es-ES"/>
        </w:rPr>
        <w:t xml:space="preserve">4201912000004765 de 29 de agosto de 2019, 4201913000005694 del 3 de octubre de 2019, 4201912000006288 del 7 de septiembre de 2019, 4201912000006259 del 13 de noviembre de 2019, 4201913000006917 del 21 </w:t>
      </w:r>
      <w:r w:rsidRPr="005E688A">
        <w:rPr>
          <w:rStyle w:val="normaltextrun"/>
          <w:rFonts w:ascii="Verdana" w:hAnsi="Verdana" w:cs="Arial"/>
          <w:shd w:val="clear" w:color="auto" w:fill="FFFFFF"/>
          <w:lang w:val="es-ES"/>
        </w:rPr>
        <w:lastRenderedPageBreak/>
        <w:t>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w:t>
      </w:r>
      <w:r>
        <w:rPr>
          <w:rStyle w:val="normaltextrun"/>
          <w:rFonts w:ascii="Verdana" w:hAnsi="Verdana" w:cs="Arial"/>
          <w:shd w:val="clear" w:color="auto" w:fill="FFFFFF"/>
          <w:lang w:val="es-ES"/>
        </w:rPr>
        <w:t>,</w:t>
      </w:r>
      <w:r w:rsidRPr="005E688A">
        <w:rPr>
          <w:rStyle w:val="normaltextrun"/>
          <w:rFonts w:ascii="Verdana" w:hAnsi="Verdana" w:cs="Arial"/>
          <w:shd w:val="clear" w:color="auto" w:fill="FFFFFF"/>
          <w:lang w:val="es-ES"/>
        </w:rPr>
        <w:t xml:space="preserve"> C-175 del 4 de mayo de 2023</w:t>
      </w:r>
      <w:r>
        <w:rPr>
          <w:rStyle w:val="normaltextrun"/>
          <w:rFonts w:ascii="Verdana" w:hAnsi="Verdana" w:cs="Arial"/>
          <w:shd w:val="clear" w:color="auto" w:fill="FFFFFF"/>
          <w:lang w:val="es-ES"/>
        </w:rPr>
        <w:t xml:space="preserve"> y C-234 del 5 de julio de 2023</w:t>
      </w:r>
      <w:r w:rsidRPr="00EA761C">
        <w:rPr>
          <w:rStyle w:val="normaltextrun"/>
          <w:rFonts w:ascii="Verdana" w:hAnsi="Verdana" w:cs="Arial"/>
          <w:shd w:val="clear" w:color="auto" w:fill="FFFFFF"/>
          <w:lang w:val="es-ES"/>
        </w:rPr>
        <w:t xml:space="preserve">. </w:t>
      </w:r>
      <w:r w:rsidR="008E269E" w:rsidRPr="008E269E">
        <w:rPr>
          <w:rFonts w:ascii="Verdana" w:hAnsi="Verdana" w:cs="Arial"/>
          <w:shd w:val="clear" w:color="auto" w:fill="FFFFFF"/>
        </w:rPr>
        <w:t>Estos y otros conceptos se encuentran disponibles para consulta gratuita en nuestro Sistema de Relatoría en el cual también podrá encontrar jurisprudencia del Consejo de Estado, laudos arbitrales y la normativa de la contratación pública concordada con la doctrina de la Agencia.  Accede al sistema a través del siguiente enlace: </w:t>
      </w:r>
      <w:hyperlink r:id="rId13" w:tgtFrame="_blank" w:history="1">
        <w:r w:rsidR="008E269E" w:rsidRPr="008E269E">
          <w:rPr>
            <w:rStyle w:val="Hipervnculo"/>
            <w:rFonts w:ascii="Verdana" w:hAnsi="Verdana" w:cs="Arial"/>
            <w:shd w:val="clear" w:color="auto" w:fill="FFFFFF"/>
          </w:rPr>
          <w:t>https://relatoria.colombiacompra.gov.co/busqueda/conceptos</w:t>
        </w:r>
      </w:hyperlink>
      <w:r w:rsidR="008E269E" w:rsidRPr="008E269E">
        <w:rPr>
          <w:rFonts w:ascii="Verdana" w:hAnsi="Verdana" w:cs="Arial"/>
          <w:shd w:val="clear" w:color="auto" w:fill="FFFFFF"/>
        </w:rPr>
        <w:t>.</w:t>
      </w:r>
    </w:p>
    <w:p w14:paraId="017646BC" w14:textId="77777777" w:rsidR="00EB1661" w:rsidRDefault="00EB1661" w:rsidP="00EB166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D3524C2" w14:textId="77777777" w:rsidR="00EB1661" w:rsidRPr="00593A5F" w:rsidRDefault="00EB1661" w:rsidP="00EB1661">
      <w:pPr>
        <w:widowControl w:val="0"/>
        <w:autoSpaceDE w:val="0"/>
        <w:autoSpaceDN w:val="0"/>
        <w:spacing w:after="0" w:line="276" w:lineRule="auto"/>
        <w:jc w:val="both"/>
        <w:rPr>
          <w:rFonts w:ascii="Verdana" w:hAnsi="Verdana" w:cs="Arial"/>
        </w:rPr>
      </w:pPr>
    </w:p>
    <w:p w14:paraId="3ACFEBC0" w14:textId="77777777" w:rsidR="00EB1661" w:rsidRPr="00593A5F" w:rsidRDefault="00EB1661" w:rsidP="00EB1661">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593E8A2" w14:textId="77777777" w:rsidR="00EB1661" w:rsidRPr="00593A5F" w:rsidRDefault="00EB1661" w:rsidP="00EB1661">
      <w:pPr>
        <w:widowControl w:val="0"/>
        <w:autoSpaceDE w:val="0"/>
        <w:autoSpaceDN w:val="0"/>
        <w:spacing w:after="0" w:line="276" w:lineRule="auto"/>
        <w:jc w:val="both"/>
        <w:rPr>
          <w:rFonts w:ascii="Verdana" w:hAnsi="Verdana" w:cs="Arial"/>
        </w:rPr>
      </w:pPr>
    </w:p>
    <w:p w14:paraId="26507E6C" w14:textId="77777777" w:rsidR="00EB1661" w:rsidRPr="00593A5F" w:rsidRDefault="00EB1661" w:rsidP="00EB1661">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90EBA77" w14:textId="1E216EDE" w:rsidR="00EB1661" w:rsidRPr="00593A5F" w:rsidRDefault="001C204F" w:rsidP="00EB1661">
      <w:pPr>
        <w:spacing w:line="276" w:lineRule="auto"/>
        <w:jc w:val="center"/>
        <w:rPr>
          <w:rFonts w:ascii="Verdana" w:hAnsi="Verdana" w:cs="Arial"/>
          <w:color w:val="000000"/>
          <w:lang w:val="es-ES_tradnl" w:eastAsia="es-CO"/>
        </w:rPr>
      </w:pPr>
      <w:r>
        <w:rPr>
          <w:noProof/>
        </w:rPr>
        <w:drawing>
          <wp:inline distT="0" distB="0" distL="0" distR="0" wp14:anchorId="03A6F9AB" wp14:editId="37C4BF62">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B1661" w:rsidRPr="00593A5F" w14:paraId="6E1B11A0" w14:textId="77777777" w:rsidTr="000E2BDB">
        <w:trPr>
          <w:trHeight w:val="315"/>
        </w:trPr>
        <w:tc>
          <w:tcPr>
            <w:tcW w:w="893" w:type="dxa"/>
            <w:vAlign w:val="center"/>
            <w:hideMark/>
          </w:tcPr>
          <w:p w14:paraId="45146124" w14:textId="77777777" w:rsidR="00EB1661" w:rsidRPr="003751C7" w:rsidRDefault="00EB1661" w:rsidP="000E2BD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9DF69EF" w14:textId="77777777" w:rsidR="00EB1661" w:rsidRPr="00254A7A" w:rsidRDefault="00EB1661" w:rsidP="000E2BD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AEFD715" w14:textId="77777777" w:rsidR="00EB1661" w:rsidRPr="00254A7A" w:rsidRDefault="00EB1661" w:rsidP="000E2BD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EB1661" w:rsidRPr="00593A5F" w14:paraId="28F7ED20" w14:textId="77777777" w:rsidTr="000E2BDB">
        <w:trPr>
          <w:trHeight w:val="330"/>
        </w:trPr>
        <w:tc>
          <w:tcPr>
            <w:tcW w:w="893" w:type="dxa"/>
            <w:vAlign w:val="center"/>
            <w:hideMark/>
          </w:tcPr>
          <w:p w14:paraId="1F800E87" w14:textId="77777777" w:rsidR="00EB1661" w:rsidRPr="003751C7" w:rsidRDefault="00EB1661" w:rsidP="000E2BD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BA1DFF" w14:textId="77777777" w:rsidR="00EB1661" w:rsidRPr="00254A7A" w:rsidRDefault="00EB1661" w:rsidP="000E2BDB">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151D8805" w14:textId="77777777" w:rsidR="00EB1661" w:rsidRPr="00254A7A" w:rsidRDefault="00EB1661" w:rsidP="000E2BDB">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EB1661" w:rsidRPr="00593A5F" w14:paraId="0C51BDC1" w14:textId="77777777" w:rsidTr="000E2BDB">
        <w:trPr>
          <w:trHeight w:val="300"/>
        </w:trPr>
        <w:tc>
          <w:tcPr>
            <w:tcW w:w="893" w:type="dxa"/>
            <w:vAlign w:val="center"/>
          </w:tcPr>
          <w:p w14:paraId="4A50BF23" w14:textId="77777777" w:rsidR="00EB1661" w:rsidRPr="003751C7" w:rsidRDefault="00EB1661" w:rsidP="000E2BD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C18BBE" w14:textId="77777777" w:rsidR="00EB1661" w:rsidRPr="003751C7" w:rsidRDefault="00EB1661" w:rsidP="000E2BDB">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A1AAC53" w14:textId="77777777" w:rsidR="00EB1661" w:rsidRPr="003751C7" w:rsidRDefault="00EB1661" w:rsidP="000E2BDB">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lastRenderedPageBreak/>
              <w:t>Subdirectora</w:t>
            </w:r>
            <w:r w:rsidRPr="003751C7">
              <w:rPr>
                <w:rFonts w:ascii="Verdana" w:eastAsia="Calibri" w:hAnsi="Verdana" w:cs="Arial"/>
                <w:sz w:val="16"/>
                <w:szCs w:val="16"/>
                <w:lang w:val="pt-BR" w:eastAsia="es-ES"/>
              </w:rPr>
              <w:t xml:space="preserve"> de Gestión Contractual ANCP – CCE</w:t>
            </w:r>
          </w:p>
        </w:tc>
      </w:tr>
    </w:tbl>
    <w:p w14:paraId="36E9412C" w14:textId="77777777" w:rsidR="00EB1661" w:rsidRPr="00593A5F" w:rsidRDefault="00EB1661" w:rsidP="00EB1661">
      <w:pPr>
        <w:spacing w:after="0" w:line="240" w:lineRule="auto"/>
        <w:rPr>
          <w:rFonts w:ascii="Verdana" w:eastAsia="Times New Roman" w:hAnsi="Verdana" w:cs="Arial"/>
          <w:sz w:val="24"/>
          <w:szCs w:val="24"/>
          <w:lang w:eastAsia="es-ES"/>
        </w:rPr>
      </w:pPr>
    </w:p>
    <w:p w14:paraId="3E59B3CE" w14:textId="77777777" w:rsidR="00EB1661" w:rsidRPr="00241193" w:rsidRDefault="00EB1661" w:rsidP="00EB1661"/>
    <w:p w14:paraId="0F293BF4" w14:textId="7BBFAB11" w:rsidR="00127233" w:rsidRPr="00B566B5" w:rsidRDefault="00127233" w:rsidP="00B566B5"/>
    <w:sectPr w:rsidR="00127233" w:rsidRPr="00B566B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DDC649" w14:textId="77777777" w:rsidR="00C63BCB" w:rsidRDefault="00C63BCB" w:rsidP="004A1847">
      <w:pPr>
        <w:spacing w:after="0" w:line="240" w:lineRule="auto"/>
      </w:pPr>
      <w:r>
        <w:separator/>
      </w:r>
    </w:p>
  </w:endnote>
  <w:endnote w:type="continuationSeparator" w:id="0">
    <w:p w14:paraId="03113929" w14:textId="77777777" w:rsidR="00C63BCB" w:rsidRDefault="00C63BCB" w:rsidP="004A1847">
      <w:pPr>
        <w:spacing w:after="0" w:line="240" w:lineRule="auto"/>
      </w:pPr>
      <w:r>
        <w:continuationSeparator/>
      </w:r>
    </w:p>
  </w:endnote>
  <w:endnote w:type="continuationNotice" w:id="1">
    <w:p w14:paraId="62D5103D" w14:textId="77777777" w:rsidR="00C63BCB" w:rsidRDefault="00C63B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8053AE" w14:textId="77777777" w:rsidR="00C63BCB" w:rsidRDefault="00C63BCB" w:rsidP="004A1847">
      <w:pPr>
        <w:spacing w:after="0" w:line="240" w:lineRule="auto"/>
      </w:pPr>
      <w:r>
        <w:separator/>
      </w:r>
    </w:p>
  </w:footnote>
  <w:footnote w:type="continuationSeparator" w:id="0">
    <w:p w14:paraId="1FA8F397" w14:textId="77777777" w:rsidR="00C63BCB" w:rsidRDefault="00C63BCB" w:rsidP="004A1847">
      <w:pPr>
        <w:spacing w:after="0" w:line="240" w:lineRule="auto"/>
      </w:pPr>
      <w:r>
        <w:continuationSeparator/>
      </w:r>
    </w:p>
  </w:footnote>
  <w:footnote w:type="continuationNotice" w:id="1">
    <w:p w14:paraId="1E712422" w14:textId="77777777" w:rsidR="00C63BCB" w:rsidRDefault="00C63BCB">
      <w:pPr>
        <w:spacing w:after="0" w:line="240" w:lineRule="auto"/>
      </w:pPr>
    </w:p>
  </w:footnote>
  <w:footnote w:id="2">
    <w:p w14:paraId="472A0972" w14:textId="77777777" w:rsidR="00EB1661" w:rsidRPr="00F47598" w:rsidRDefault="00EB1661" w:rsidP="00EB1661">
      <w:pPr>
        <w:pStyle w:val="Textonotapie"/>
        <w:ind w:firstLine="708"/>
        <w:jc w:val="both"/>
        <w:rPr>
          <w:rFonts w:ascii="Verdana" w:hAnsi="Verdana" w:cs="Arial"/>
          <w:sz w:val="16"/>
          <w:szCs w:val="16"/>
          <w:lang w:val="es-ES"/>
        </w:rPr>
      </w:pPr>
      <w:r w:rsidRPr="00F47598">
        <w:rPr>
          <w:rStyle w:val="Refdenotaalpie"/>
          <w:rFonts w:ascii="Verdana" w:hAnsi="Verdana" w:cs="Arial"/>
          <w:sz w:val="16"/>
          <w:szCs w:val="16"/>
        </w:rPr>
        <w:footnoteRef/>
      </w:r>
      <w:r w:rsidRPr="00F47598">
        <w:rPr>
          <w:rFonts w:ascii="Verdana" w:hAnsi="Verdana" w:cs="Arial"/>
          <w:sz w:val="16"/>
          <w:szCs w:val="16"/>
        </w:rPr>
        <w:t xml:space="preserve"> CONSEJO DE ESTADO. Sección Tercera. Sentencia del 4 de junio de 2008. Exp. 17.783. C.P. Myriam Guerrero de Escobar.</w:t>
      </w:r>
    </w:p>
  </w:footnote>
  <w:footnote w:id="3">
    <w:p w14:paraId="293EE6E6" w14:textId="4D056A42" w:rsidR="007743CA" w:rsidRPr="005669A1" w:rsidRDefault="007743CA" w:rsidP="007743CA">
      <w:pPr>
        <w:pStyle w:val="Textonotapie"/>
        <w:ind w:firstLine="708"/>
        <w:jc w:val="both"/>
        <w:rPr>
          <w:rFonts w:ascii="Verdana" w:eastAsia="Times New Roman" w:hAnsi="Verdana" w:cs="Arial"/>
          <w:sz w:val="16"/>
          <w:szCs w:val="16"/>
          <w:lang w:val="es-CO" w:eastAsia="es-CO"/>
        </w:rPr>
      </w:pPr>
      <w:r w:rsidRPr="005669A1">
        <w:rPr>
          <w:rStyle w:val="Refdenotaalpie"/>
          <w:rFonts w:ascii="Verdana" w:hAnsi="Verdana" w:cs="Arial"/>
          <w:sz w:val="18"/>
          <w:szCs w:val="18"/>
        </w:rPr>
        <w:footnoteRef/>
      </w:r>
      <w:r w:rsidRPr="005669A1">
        <w:rPr>
          <w:rFonts w:ascii="Verdana" w:hAnsi="Verdana" w:cs="Arial"/>
          <w:sz w:val="18"/>
          <w:szCs w:val="18"/>
        </w:rPr>
        <w:t xml:space="preserve"> </w:t>
      </w:r>
      <w:r w:rsidRPr="005669A1">
        <w:rPr>
          <w:rFonts w:ascii="Verdana" w:eastAsia="Times New Roman" w:hAnsi="Verdana" w:cs="Arial"/>
          <w:sz w:val="16"/>
          <w:szCs w:val="16"/>
          <w:lang w:val="es-CO" w:eastAsia="es-CO"/>
        </w:rPr>
        <w:t>CONSEJO DE ESTADO. Sección Tercera. Sentencia del 27 de abril de 2011. Exp. 18.293. C.P. Ruth Stella Correa Palacio.</w:t>
      </w:r>
    </w:p>
    <w:p w14:paraId="6D2CCEE8" w14:textId="77777777" w:rsidR="007743CA" w:rsidRPr="005669A1" w:rsidRDefault="007743CA" w:rsidP="007743CA">
      <w:pPr>
        <w:pStyle w:val="Textonotapie"/>
        <w:ind w:firstLine="708"/>
        <w:jc w:val="both"/>
        <w:rPr>
          <w:rFonts w:ascii="Verdana" w:eastAsia="Calibri" w:hAnsi="Verdana" w:cs="Arial"/>
          <w:sz w:val="16"/>
          <w:szCs w:val="16"/>
          <w:lang w:val="es-CO"/>
        </w:rPr>
      </w:pPr>
    </w:p>
  </w:footnote>
  <w:footnote w:id="4">
    <w:p w14:paraId="3D57BCD1" w14:textId="122BF468" w:rsidR="007743CA" w:rsidRPr="005669A1" w:rsidRDefault="007743CA" w:rsidP="007743CA">
      <w:pPr>
        <w:pStyle w:val="Textonotapie"/>
        <w:ind w:firstLine="708"/>
        <w:jc w:val="both"/>
        <w:rPr>
          <w:rFonts w:ascii="Verdana" w:eastAsia="Calibri" w:hAnsi="Verdana" w:cs="Arial"/>
          <w:sz w:val="18"/>
          <w:szCs w:val="18"/>
          <w:lang w:val="es-CO"/>
        </w:rPr>
      </w:pPr>
      <w:r w:rsidRPr="005669A1">
        <w:rPr>
          <w:rStyle w:val="Refdenotaalpie"/>
          <w:rFonts w:ascii="Verdana" w:hAnsi="Verdana" w:cs="Arial"/>
          <w:sz w:val="16"/>
          <w:szCs w:val="16"/>
        </w:rPr>
        <w:footnoteRef/>
      </w:r>
      <w:r w:rsidRPr="005669A1">
        <w:rPr>
          <w:rFonts w:ascii="Verdana" w:hAnsi="Verdana" w:cs="Arial"/>
          <w:sz w:val="16"/>
          <w:szCs w:val="16"/>
        </w:rPr>
        <w:t xml:space="preserve"> </w:t>
      </w:r>
      <w:r w:rsidRPr="005669A1">
        <w:rPr>
          <w:rFonts w:ascii="Verdana" w:eastAsia="Times New Roman" w:hAnsi="Verdana" w:cs="Arial"/>
          <w:sz w:val="16"/>
          <w:szCs w:val="16"/>
          <w:lang w:val="es-CO" w:eastAsia="es-CO"/>
        </w:rPr>
        <w:t>CONSEJO DE ESTADO. Sección Tercera. Sentencia del 21 de noviembre de 2013  Exp. 25397. C.P. Carlos Alberto Zambrano Barrera.</w:t>
      </w:r>
    </w:p>
  </w:footnote>
  <w:footnote w:id="5">
    <w:p w14:paraId="32B92D10" w14:textId="77777777" w:rsidR="00EB1661" w:rsidRPr="00F47598" w:rsidRDefault="00EB1661" w:rsidP="00EB1661">
      <w:pPr>
        <w:pStyle w:val="Textonotapie"/>
        <w:ind w:firstLine="708"/>
        <w:jc w:val="both"/>
        <w:rPr>
          <w:rFonts w:ascii="Verdana" w:hAnsi="Verdana" w:cs="Arial"/>
          <w:sz w:val="16"/>
          <w:szCs w:val="16"/>
          <w:lang w:val="pt-BR"/>
        </w:rPr>
      </w:pPr>
      <w:r w:rsidRPr="00F47598">
        <w:rPr>
          <w:rStyle w:val="Refdenotaalpie"/>
          <w:rFonts w:ascii="Verdana" w:hAnsi="Verdana" w:cs="Arial"/>
          <w:sz w:val="16"/>
          <w:szCs w:val="16"/>
        </w:rPr>
        <w:footnoteRef/>
      </w:r>
      <w:r w:rsidRPr="00F47598">
        <w:rPr>
          <w:rFonts w:ascii="Verdana" w:hAnsi="Verdana" w:cs="Arial"/>
          <w:sz w:val="16"/>
          <w:szCs w:val="16"/>
        </w:rPr>
        <w:t xml:space="preserve"> CONSEJO DE ESTADO. Sección Tercera. Subsección B. Sentencia del 11 de diciembre de 2015. </w:t>
      </w:r>
      <w:r w:rsidRPr="00F47598">
        <w:rPr>
          <w:rFonts w:ascii="Verdana" w:hAnsi="Verdana" w:cs="Arial"/>
          <w:sz w:val="16"/>
          <w:szCs w:val="16"/>
          <w:lang w:val="pt-BR"/>
        </w:rPr>
        <w:t>Exp. 26.496. C.P. Ramiro de Jesús Pazos Guerrero.</w:t>
      </w:r>
    </w:p>
    <w:p w14:paraId="1CD0E840" w14:textId="77777777" w:rsidR="00DA42B3" w:rsidRPr="00F47598" w:rsidRDefault="00DA42B3" w:rsidP="00EB1661">
      <w:pPr>
        <w:pStyle w:val="Textonotapie"/>
        <w:ind w:firstLine="708"/>
        <w:jc w:val="both"/>
        <w:rPr>
          <w:rFonts w:ascii="Verdana" w:hAnsi="Verdana" w:cs="Arial"/>
          <w:sz w:val="16"/>
          <w:szCs w:val="16"/>
          <w:lang w:val="pt-BR"/>
        </w:rPr>
      </w:pPr>
    </w:p>
  </w:footnote>
  <w:footnote w:id="6">
    <w:p w14:paraId="05027FB4" w14:textId="77777777" w:rsidR="00EB1661" w:rsidRPr="00F47598" w:rsidRDefault="00EB1661" w:rsidP="00EB1661">
      <w:pPr>
        <w:pStyle w:val="Textonotapie"/>
        <w:ind w:firstLine="708"/>
        <w:jc w:val="both"/>
        <w:rPr>
          <w:rFonts w:ascii="Verdana" w:hAnsi="Verdana" w:cs="Arial"/>
          <w:sz w:val="16"/>
          <w:szCs w:val="16"/>
        </w:rPr>
      </w:pPr>
      <w:r w:rsidRPr="00F47598">
        <w:rPr>
          <w:rStyle w:val="Refdenotaalpie"/>
          <w:rFonts w:ascii="Verdana" w:hAnsi="Verdana" w:cs="Arial"/>
          <w:sz w:val="16"/>
          <w:szCs w:val="16"/>
        </w:rPr>
        <w:footnoteRef/>
      </w:r>
      <w:r w:rsidRPr="00F47598">
        <w:rPr>
          <w:rFonts w:ascii="Verdana" w:hAnsi="Verdana" w:cs="Arial"/>
          <w:sz w:val="16"/>
          <w:szCs w:val="16"/>
          <w:lang w:val="pt-BR"/>
        </w:rPr>
        <w:t xml:space="preserve"> CORTE CONSTITUCIONAL. </w:t>
      </w:r>
      <w:r w:rsidRPr="00F47598">
        <w:rPr>
          <w:rFonts w:ascii="Verdana" w:hAnsi="Verdana" w:cs="Arial"/>
          <w:sz w:val="16"/>
          <w:szCs w:val="16"/>
        </w:rPr>
        <w:t xml:space="preserve">Sentencia C-1016 de 2012. M.P. Jorge Iván Palacio. </w:t>
      </w:r>
    </w:p>
  </w:footnote>
  <w:footnote w:id="7">
    <w:p w14:paraId="4BE9DB68" w14:textId="77777777" w:rsidR="00EB1661" w:rsidRPr="00F47598" w:rsidRDefault="00EB1661" w:rsidP="00EB1661">
      <w:pPr>
        <w:pStyle w:val="Textonotapie"/>
        <w:ind w:firstLine="708"/>
        <w:jc w:val="both"/>
        <w:rPr>
          <w:rFonts w:ascii="Verdana" w:hAnsi="Verdana" w:cs="Arial"/>
          <w:sz w:val="16"/>
          <w:szCs w:val="16"/>
        </w:rPr>
      </w:pPr>
      <w:r w:rsidRPr="00F47598">
        <w:rPr>
          <w:rStyle w:val="Refdenotaalpie"/>
          <w:rFonts w:ascii="Verdana" w:hAnsi="Verdana" w:cs="Arial"/>
          <w:sz w:val="16"/>
          <w:szCs w:val="16"/>
        </w:rPr>
        <w:footnoteRef/>
      </w:r>
      <w:r w:rsidRPr="00F47598">
        <w:rPr>
          <w:rFonts w:ascii="Verdana" w:hAnsi="Verdana" w:cs="Arial"/>
          <w:sz w:val="16"/>
          <w:szCs w:val="16"/>
        </w:rPr>
        <w:t xml:space="preserve"> CONSEJO DE ESTADO. Sección Tercera, Subsección A. Sentencia del 13 de noviembre de 2013. Rad. 25.646.C.P. Mauricio Fajardo Gómez. </w:t>
      </w:r>
    </w:p>
  </w:footnote>
  <w:footnote w:id="8">
    <w:p w14:paraId="6592F567" w14:textId="77777777" w:rsidR="00EB1661" w:rsidRPr="00F47598" w:rsidRDefault="00EB1661" w:rsidP="00EB1661">
      <w:pPr>
        <w:pStyle w:val="Textonotapie"/>
        <w:ind w:firstLine="708"/>
        <w:jc w:val="both"/>
        <w:rPr>
          <w:rFonts w:ascii="Verdana" w:hAnsi="Verdana" w:cs="Arial"/>
          <w:sz w:val="16"/>
          <w:szCs w:val="16"/>
        </w:rPr>
      </w:pPr>
      <w:r w:rsidRPr="00F47598">
        <w:rPr>
          <w:rFonts w:ascii="Verdana" w:hAnsi="Verdana" w:cs="Arial"/>
          <w:sz w:val="16"/>
          <w:szCs w:val="16"/>
          <w:vertAlign w:val="superscript"/>
        </w:rPr>
        <w:footnoteRef/>
      </w:r>
      <w:r w:rsidRPr="00F47598">
        <w:rPr>
          <w:rFonts w:ascii="Verdana" w:hAnsi="Verdana" w:cs="Arial"/>
          <w:sz w:val="16"/>
          <w:szCs w:val="16"/>
        </w:rPr>
        <w:t xml:space="preserve"> CORTE CONSTITUCIONAL. Sentencia C-415 de 1994. M.P. Eduardo Cifuentes Muñoz. </w:t>
      </w:r>
    </w:p>
  </w:footnote>
  <w:footnote w:id="9">
    <w:p w14:paraId="51DD5B57" w14:textId="77777777" w:rsidR="00EB1661" w:rsidRDefault="00EB1661" w:rsidP="00EB1661">
      <w:pPr>
        <w:pStyle w:val="Textonotapie"/>
        <w:ind w:firstLine="708"/>
        <w:jc w:val="both"/>
        <w:rPr>
          <w:rFonts w:ascii="Verdana" w:hAnsi="Verdana" w:cs="Arial"/>
          <w:sz w:val="16"/>
          <w:szCs w:val="16"/>
        </w:rPr>
      </w:pPr>
      <w:r w:rsidRPr="00F47598">
        <w:rPr>
          <w:rStyle w:val="Refdenotaalpie"/>
          <w:rFonts w:ascii="Verdana" w:hAnsi="Verdana" w:cs="Arial"/>
          <w:sz w:val="16"/>
          <w:szCs w:val="16"/>
        </w:rPr>
        <w:footnoteRef/>
      </w:r>
      <w:r w:rsidRPr="00F47598">
        <w:rPr>
          <w:rFonts w:ascii="Verdana" w:hAnsi="Verdana" w:cs="Arial"/>
          <w:sz w:val="16"/>
          <w:szCs w:val="16"/>
        </w:rPr>
        <w:t xml:space="preserve"> </w:t>
      </w:r>
      <w:r w:rsidRPr="00F47598">
        <w:rPr>
          <w:rFonts w:ascii="Verdana" w:hAnsi="Verdana" w:cs="Arial"/>
          <w:i/>
          <w:iCs/>
          <w:sz w:val="16"/>
          <w:szCs w:val="16"/>
        </w:rPr>
        <w:t>Ibid</w:t>
      </w:r>
      <w:r w:rsidRPr="00F47598">
        <w:rPr>
          <w:rFonts w:ascii="Verdana" w:hAnsi="Verdana" w:cs="Arial"/>
          <w:sz w:val="16"/>
          <w:szCs w:val="16"/>
        </w:rPr>
        <w:t xml:space="preserve">. </w:t>
      </w:r>
    </w:p>
    <w:p w14:paraId="2A07A1B3" w14:textId="77777777" w:rsidR="00750B35" w:rsidRPr="00F47598" w:rsidRDefault="00750B35" w:rsidP="00EB1661">
      <w:pPr>
        <w:pStyle w:val="Textonotapie"/>
        <w:ind w:firstLine="708"/>
        <w:jc w:val="both"/>
        <w:rPr>
          <w:rFonts w:ascii="Verdana" w:hAnsi="Verdana" w:cs="Arial"/>
          <w:sz w:val="16"/>
          <w:szCs w:val="16"/>
        </w:rPr>
      </w:pPr>
    </w:p>
  </w:footnote>
  <w:footnote w:id="10">
    <w:p w14:paraId="3405FA2A" w14:textId="77777777" w:rsidR="00EB1661" w:rsidRPr="00F47598" w:rsidRDefault="00EB1661" w:rsidP="00EB1661">
      <w:pPr>
        <w:pStyle w:val="Textonotapie"/>
        <w:ind w:firstLine="708"/>
        <w:jc w:val="both"/>
        <w:rPr>
          <w:rFonts w:ascii="Verdana" w:hAnsi="Verdana" w:cs="Arial"/>
          <w:sz w:val="16"/>
          <w:szCs w:val="16"/>
        </w:rPr>
      </w:pPr>
      <w:r w:rsidRPr="00F47598">
        <w:rPr>
          <w:rStyle w:val="Refdenotaalpie"/>
          <w:rFonts w:ascii="Verdana" w:hAnsi="Verdana" w:cs="Arial"/>
          <w:sz w:val="16"/>
          <w:szCs w:val="16"/>
        </w:rPr>
        <w:footnoteRef/>
      </w:r>
      <w:r w:rsidRPr="00F47598">
        <w:rPr>
          <w:rFonts w:ascii="Verdana" w:hAnsi="Verdana" w:cs="Arial"/>
          <w:sz w:val="16"/>
          <w:szCs w:val="16"/>
        </w:rPr>
        <w:t xml:space="preserve">  Cfr. CORTE CONSTITUCIONAL. Sentencia C-780 de 2001. M.P. Jaime Córdoba Triviño.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D73D90"/>
    <w:multiLevelType w:val="hybridMultilevel"/>
    <w:tmpl w:val="186075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 w:numId="18" w16cid:durableId="7151997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266C"/>
    <w:rsid w:val="00036883"/>
    <w:rsid w:val="00040F99"/>
    <w:rsid w:val="00061B2A"/>
    <w:rsid w:val="00082362"/>
    <w:rsid w:val="00083EA5"/>
    <w:rsid w:val="000A1695"/>
    <w:rsid w:val="000A683E"/>
    <w:rsid w:val="000B19B9"/>
    <w:rsid w:val="000B41A5"/>
    <w:rsid w:val="000C6301"/>
    <w:rsid w:val="000D0334"/>
    <w:rsid w:val="000E2BDB"/>
    <w:rsid w:val="000F6486"/>
    <w:rsid w:val="000F7727"/>
    <w:rsid w:val="00116749"/>
    <w:rsid w:val="00125105"/>
    <w:rsid w:val="00127233"/>
    <w:rsid w:val="00133517"/>
    <w:rsid w:val="00145BFB"/>
    <w:rsid w:val="00183ED6"/>
    <w:rsid w:val="001939DC"/>
    <w:rsid w:val="001A5C3A"/>
    <w:rsid w:val="001B5EDC"/>
    <w:rsid w:val="001C204F"/>
    <w:rsid w:val="001D764C"/>
    <w:rsid w:val="001D79DF"/>
    <w:rsid w:val="001E2C19"/>
    <w:rsid w:val="001E4177"/>
    <w:rsid w:val="001E71C9"/>
    <w:rsid w:val="001F7DC6"/>
    <w:rsid w:val="002129E8"/>
    <w:rsid w:val="00237A83"/>
    <w:rsid w:val="00241193"/>
    <w:rsid w:val="002416BA"/>
    <w:rsid w:val="002421BB"/>
    <w:rsid w:val="0025796E"/>
    <w:rsid w:val="002707A2"/>
    <w:rsid w:val="00280F93"/>
    <w:rsid w:val="00292B12"/>
    <w:rsid w:val="002951A0"/>
    <w:rsid w:val="002962BC"/>
    <w:rsid w:val="002A093D"/>
    <w:rsid w:val="002A0DD0"/>
    <w:rsid w:val="002A49AC"/>
    <w:rsid w:val="002A64FD"/>
    <w:rsid w:val="002B3AC7"/>
    <w:rsid w:val="002B6D38"/>
    <w:rsid w:val="002C6DF3"/>
    <w:rsid w:val="002C6E5E"/>
    <w:rsid w:val="002C7A84"/>
    <w:rsid w:val="002D5069"/>
    <w:rsid w:val="002E30F6"/>
    <w:rsid w:val="002E4FD9"/>
    <w:rsid w:val="00322A85"/>
    <w:rsid w:val="00324168"/>
    <w:rsid w:val="003448F4"/>
    <w:rsid w:val="00374F5E"/>
    <w:rsid w:val="00377E3E"/>
    <w:rsid w:val="003945E8"/>
    <w:rsid w:val="003A26D1"/>
    <w:rsid w:val="003A779E"/>
    <w:rsid w:val="003D0F4D"/>
    <w:rsid w:val="003D5B0D"/>
    <w:rsid w:val="003E0499"/>
    <w:rsid w:val="003F027E"/>
    <w:rsid w:val="003F3941"/>
    <w:rsid w:val="0040312D"/>
    <w:rsid w:val="0040588A"/>
    <w:rsid w:val="00406575"/>
    <w:rsid w:val="00425CFE"/>
    <w:rsid w:val="0042722E"/>
    <w:rsid w:val="004409E6"/>
    <w:rsid w:val="0044528D"/>
    <w:rsid w:val="004529A7"/>
    <w:rsid w:val="00471296"/>
    <w:rsid w:val="0048233A"/>
    <w:rsid w:val="004A1847"/>
    <w:rsid w:val="004A305D"/>
    <w:rsid w:val="004A333B"/>
    <w:rsid w:val="004C23A1"/>
    <w:rsid w:val="004D6094"/>
    <w:rsid w:val="004F21C4"/>
    <w:rsid w:val="004F4D8E"/>
    <w:rsid w:val="004F685F"/>
    <w:rsid w:val="00505430"/>
    <w:rsid w:val="005222AE"/>
    <w:rsid w:val="005242A5"/>
    <w:rsid w:val="005566E8"/>
    <w:rsid w:val="005669A1"/>
    <w:rsid w:val="00574867"/>
    <w:rsid w:val="00591460"/>
    <w:rsid w:val="00592628"/>
    <w:rsid w:val="00593B89"/>
    <w:rsid w:val="005C3777"/>
    <w:rsid w:val="005C5CDC"/>
    <w:rsid w:val="005D476C"/>
    <w:rsid w:val="005E73A7"/>
    <w:rsid w:val="00607D32"/>
    <w:rsid w:val="00610812"/>
    <w:rsid w:val="006219F8"/>
    <w:rsid w:val="00650FF7"/>
    <w:rsid w:val="006658D5"/>
    <w:rsid w:val="00665D70"/>
    <w:rsid w:val="00671DAC"/>
    <w:rsid w:val="00675B32"/>
    <w:rsid w:val="006832EF"/>
    <w:rsid w:val="006900D9"/>
    <w:rsid w:val="006C20DA"/>
    <w:rsid w:val="006D12F8"/>
    <w:rsid w:val="006D6769"/>
    <w:rsid w:val="006D6945"/>
    <w:rsid w:val="006F2EFC"/>
    <w:rsid w:val="0070106D"/>
    <w:rsid w:val="007046A9"/>
    <w:rsid w:val="00706C16"/>
    <w:rsid w:val="00750B35"/>
    <w:rsid w:val="00756841"/>
    <w:rsid w:val="007649AB"/>
    <w:rsid w:val="00771D0C"/>
    <w:rsid w:val="007743CA"/>
    <w:rsid w:val="007833AC"/>
    <w:rsid w:val="007A162C"/>
    <w:rsid w:val="007B268C"/>
    <w:rsid w:val="007B3356"/>
    <w:rsid w:val="007B7171"/>
    <w:rsid w:val="007C0C0F"/>
    <w:rsid w:val="007C3DC2"/>
    <w:rsid w:val="007E5497"/>
    <w:rsid w:val="00806F5F"/>
    <w:rsid w:val="008130A2"/>
    <w:rsid w:val="00820278"/>
    <w:rsid w:val="00847C60"/>
    <w:rsid w:val="008601BA"/>
    <w:rsid w:val="00865172"/>
    <w:rsid w:val="008730AB"/>
    <w:rsid w:val="008843B6"/>
    <w:rsid w:val="00891928"/>
    <w:rsid w:val="008A446D"/>
    <w:rsid w:val="008B7A0A"/>
    <w:rsid w:val="008D180B"/>
    <w:rsid w:val="008E1763"/>
    <w:rsid w:val="008E269E"/>
    <w:rsid w:val="008F0EA7"/>
    <w:rsid w:val="00907B86"/>
    <w:rsid w:val="00923EEF"/>
    <w:rsid w:val="00925851"/>
    <w:rsid w:val="00926918"/>
    <w:rsid w:val="00930855"/>
    <w:rsid w:val="0094096D"/>
    <w:rsid w:val="009419F9"/>
    <w:rsid w:val="00951C32"/>
    <w:rsid w:val="0095685E"/>
    <w:rsid w:val="00961B09"/>
    <w:rsid w:val="00965334"/>
    <w:rsid w:val="009679F6"/>
    <w:rsid w:val="0097093E"/>
    <w:rsid w:val="009A0DFA"/>
    <w:rsid w:val="009A10E4"/>
    <w:rsid w:val="009B2D26"/>
    <w:rsid w:val="009C59F2"/>
    <w:rsid w:val="009C71FA"/>
    <w:rsid w:val="009C72E7"/>
    <w:rsid w:val="009D1728"/>
    <w:rsid w:val="009D3058"/>
    <w:rsid w:val="009F3A13"/>
    <w:rsid w:val="009F4169"/>
    <w:rsid w:val="00A111A3"/>
    <w:rsid w:val="00A122D3"/>
    <w:rsid w:val="00A17F13"/>
    <w:rsid w:val="00A20739"/>
    <w:rsid w:val="00A254FC"/>
    <w:rsid w:val="00A33C78"/>
    <w:rsid w:val="00A66B60"/>
    <w:rsid w:val="00A73EAB"/>
    <w:rsid w:val="00A8423B"/>
    <w:rsid w:val="00AA66B9"/>
    <w:rsid w:val="00AB0ADB"/>
    <w:rsid w:val="00AE23A2"/>
    <w:rsid w:val="00B01B1A"/>
    <w:rsid w:val="00B566B5"/>
    <w:rsid w:val="00B72CD3"/>
    <w:rsid w:val="00B72FFF"/>
    <w:rsid w:val="00B97273"/>
    <w:rsid w:val="00BA65BB"/>
    <w:rsid w:val="00BC3D36"/>
    <w:rsid w:val="00BD7F72"/>
    <w:rsid w:val="00C04FB3"/>
    <w:rsid w:val="00C330EB"/>
    <w:rsid w:val="00C52AD5"/>
    <w:rsid w:val="00C57089"/>
    <w:rsid w:val="00C63BCB"/>
    <w:rsid w:val="00C67DFF"/>
    <w:rsid w:val="00C754BE"/>
    <w:rsid w:val="00C76B1C"/>
    <w:rsid w:val="00C87FDF"/>
    <w:rsid w:val="00CB6357"/>
    <w:rsid w:val="00CC1B26"/>
    <w:rsid w:val="00CC660B"/>
    <w:rsid w:val="00CD28EA"/>
    <w:rsid w:val="00CD5454"/>
    <w:rsid w:val="00D423A2"/>
    <w:rsid w:val="00D520D8"/>
    <w:rsid w:val="00D616B7"/>
    <w:rsid w:val="00D63AC2"/>
    <w:rsid w:val="00D7383B"/>
    <w:rsid w:val="00DA231B"/>
    <w:rsid w:val="00DA23A0"/>
    <w:rsid w:val="00DA42B3"/>
    <w:rsid w:val="00DC0B68"/>
    <w:rsid w:val="00DC1CE8"/>
    <w:rsid w:val="00DC39FC"/>
    <w:rsid w:val="00DC43E3"/>
    <w:rsid w:val="00DC5A85"/>
    <w:rsid w:val="00DD0935"/>
    <w:rsid w:val="00DD7AA6"/>
    <w:rsid w:val="00DF4ACD"/>
    <w:rsid w:val="00DF5254"/>
    <w:rsid w:val="00DF75B0"/>
    <w:rsid w:val="00E16408"/>
    <w:rsid w:val="00E177CA"/>
    <w:rsid w:val="00E20894"/>
    <w:rsid w:val="00E245AB"/>
    <w:rsid w:val="00E2764C"/>
    <w:rsid w:val="00E27F2E"/>
    <w:rsid w:val="00E33F64"/>
    <w:rsid w:val="00E413EA"/>
    <w:rsid w:val="00E47B84"/>
    <w:rsid w:val="00E50AFE"/>
    <w:rsid w:val="00E652C9"/>
    <w:rsid w:val="00E75C92"/>
    <w:rsid w:val="00E771DC"/>
    <w:rsid w:val="00E83645"/>
    <w:rsid w:val="00E840AA"/>
    <w:rsid w:val="00E8772A"/>
    <w:rsid w:val="00E90F6B"/>
    <w:rsid w:val="00E90FED"/>
    <w:rsid w:val="00E92C27"/>
    <w:rsid w:val="00E97857"/>
    <w:rsid w:val="00EA0E3D"/>
    <w:rsid w:val="00EB1661"/>
    <w:rsid w:val="00EC16AE"/>
    <w:rsid w:val="00EC38A7"/>
    <w:rsid w:val="00ED2EFE"/>
    <w:rsid w:val="00EE0FB1"/>
    <w:rsid w:val="00EE1AA8"/>
    <w:rsid w:val="00EE2024"/>
    <w:rsid w:val="00EF524A"/>
    <w:rsid w:val="00F14B93"/>
    <w:rsid w:val="00F23C71"/>
    <w:rsid w:val="00F31EDC"/>
    <w:rsid w:val="00F325C3"/>
    <w:rsid w:val="00F462B3"/>
    <w:rsid w:val="00F47598"/>
    <w:rsid w:val="00F5664F"/>
    <w:rsid w:val="00F666C4"/>
    <w:rsid w:val="00F66884"/>
    <w:rsid w:val="00F73E29"/>
    <w:rsid w:val="00F76AFC"/>
    <w:rsid w:val="00F82231"/>
    <w:rsid w:val="00F94327"/>
    <w:rsid w:val="00FA47C0"/>
    <w:rsid w:val="00FB5DD1"/>
    <w:rsid w:val="00FC2B5D"/>
    <w:rsid w:val="00FC6E57"/>
    <w:rsid w:val="00FE6A58"/>
    <w:rsid w:val="00FF1449"/>
    <w:rsid w:val="00FF515F"/>
    <w:rsid w:val="0B4822EB"/>
    <w:rsid w:val="449EFA67"/>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14CDF10-1C2F-4A16-8A26-E2D1CB82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57089"/>
    <w:pPr>
      <w:spacing w:line="240" w:lineRule="exact"/>
    </w:pPr>
    <w:rPr>
      <w:vertAlign w:val="superscript"/>
    </w:rPr>
  </w:style>
  <w:style w:type="character" w:styleId="Refdecomentario">
    <w:name w:val="annotation reference"/>
    <w:basedOn w:val="Fuentedeprrafopredeter"/>
    <w:uiPriority w:val="99"/>
    <w:semiHidden/>
    <w:unhideWhenUsed/>
    <w:rsid w:val="00C57089"/>
    <w:rPr>
      <w:sz w:val="16"/>
      <w:szCs w:val="16"/>
    </w:rPr>
  </w:style>
  <w:style w:type="paragraph" w:styleId="Textocomentario">
    <w:name w:val="annotation text"/>
    <w:basedOn w:val="Normal"/>
    <w:link w:val="TextocomentarioCar"/>
    <w:uiPriority w:val="99"/>
    <w:unhideWhenUsed/>
    <w:rsid w:val="00C57089"/>
    <w:pPr>
      <w:spacing w:line="240" w:lineRule="auto"/>
    </w:pPr>
    <w:rPr>
      <w:sz w:val="20"/>
      <w:szCs w:val="20"/>
    </w:rPr>
  </w:style>
  <w:style w:type="character" w:customStyle="1" w:styleId="TextocomentarioCar">
    <w:name w:val="Texto comentario Car"/>
    <w:basedOn w:val="Fuentedeprrafopredeter"/>
    <w:link w:val="Textocomentario"/>
    <w:uiPriority w:val="99"/>
    <w:rsid w:val="00C57089"/>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57089"/>
    <w:rPr>
      <w:rFonts w:ascii="Geomanist Light" w:hAnsi="Geomanist Light"/>
      <w:lang w:val="es-ES"/>
    </w:rPr>
  </w:style>
  <w:style w:type="paragraph" w:styleId="Sinespaciado">
    <w:name w:val="No Spacing"/>
    <w:aliases w:val="No Indent"/>
    <w:uiPriority w:val="3"/>
    <w:qFormat/>
    <w:rsid w:val="00C57089"/>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jandrarioc0415@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4E8353E-86DD-4F33-833F-EB0446D7AE9C}">
  <ds:schemaRefs>
    <ds:schemaRef ds:uri="http://schemas.openxmlformats.org/officeDocument/2006/bibliography"/>
  </ds:schemaRefs>
</ds:datastoreItem>
</file>

<file path=customXml/itemProps3.xml><?xml version="1.0" encoding="utf-8"?>
<ds:datastoreItem xmlns:ds="http://schemas.openxmlformats.org/officeDocument/2006/customXml" ds:itemID="{CCCADFB1-B28C-4375-81E2-5B0E755C0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4977</Words>
  <Characters>27379</Characters>
  <Application>Microsoft Office Word</Application>
  <DocSecurity>0</DocSecurity>
  <Lines>228</Lines>
  <Paragraphs>64</Paragraphs>
  <ScaleCrop>false</ScaleCrop>
  <Company/>
  <LinksUpToDate>false</LinksUpToDate>
  <CharactersWithSpaces>32292</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7143497</vt:i4>
      </vt:variant>
      <vt:variant>
        <vt:i4>0</vt:i4>
      </vt:variant>
      <vt:variant>
        <vt:i4>0</vt:i4>
      </vt:variant>
      <vt:variant>
        <vt:i4>5</vt:i4>
      </vt:variant>
      <vt:variant>
        <vt:lpwstr>mailto:alejandrarioc0415@gmail.com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2023-01-11T00:18:00Z</cp:lastPrinted>
  <dcterms:created xsi:type="dcterms:W3CDTF">2024-09-17T21:34:00Z</dcterms:created>
  <dcterms:modified xsi:type="dcterms:W3CDTF">2024-09-17T21:49:00Z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