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81623" w14:textId="77777777" w:rsidR="00D67CDA" w:rsidRPr="00D67CDA" w:rsidRDefault="00D67CDA" w:rsidP="00D67CDA">
      <w:pPr>
        <w:jc w:val="both"/>
        <w:rPr>
          <w:rFonts w:ascii="Verdana" w:eastAsia="Calibri" w:hAnsi="Verdana" w:cs="Arial"/>
          <w:b/>
          <w:color w:val="000000" w:themeColor="text1"/>
        </w:rPr>
      </w:pPr>
      <w:bookmarkStart w:id="0" w:name="_Hlk181166130"/>
      <w:bookmarkStart w:id="1" w:name="_Hlk143780582"/>
      <w:r w:rsidRPr="00D67CDA">
        <w:rPr>
          <w:rFonts w:ascii="Verdana" w:eastAsia="Calibri" w:hAnsi="Verdana" w:cs="Arial"/>
          <w:b/>
          <w:color w:val="000000" w:themeColor="text1"/>
        </w:rPr>
        <w:t>EXPERIENCIA − Requisito habilitante − Concepto − Acreditación − RUP</w:t>
      </w:r>
    </w:p>
    <w:p w14:paraId="63E1C583" w14:textId="77777777" w:rsidR="00203485" w:rsidRPr="00203485" w:rsidRDefault="00203485" w:rsidP="00203485">
      <w:pPr>
        <w:jc w:val="both"/>
        <w:rPr>
          <w:rFonts w:ascii="Verdana" w:eastAsia="Calibri" w:hAnsi="Verdana" w:cs="Arial"/>
          <w:color w:val="000000" w:themeColor="text1"/>
          <w:sz w:val="20"/>
          <w:szCs w:val="20"/>
        </w:rPr>
      </w:pPr>
      <w:r w:rsidRPr="00203485">
        <w:rPr>
          <w:rFonts w:ascii="Verdana" w:eastAsia="Calibri" w:hAnsi="Verdana" w:cs="Arial"/>
          <w:color w:val="000000" w:themeColor="text1"/>
          <w:sz w:val="20"/>
          <w:szCs w:val="20"/>
        </w:rPr>
        <w:t>La Ley 1150 de 2007, en el artículo 5, establece algunos requisitos habilitantes para participar en los procedimientos de selección,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 Lo anterior, sin perjuicio de que en algunos procedimientos de selección, como sucede en los concursos de méritos, la experiencia consista en un factor de asignación de puntaje. En ese sentido, la entidad, como responsable de la estructuración de su procedimiento de contratación, es autónoma para requerir la experiencia necesaria para el objeto del contrato, para lo cual, de acuerdo con el artículo 2.2.1.1.1.6.2. del Decreto 1082 de 2015, debe tener en cuenta el estudio del sector y sus componentes como la identificación de riesgos, el mercado y precio del bien, obra o servicio a contratar.</w:t>
      </w:r>
    </w:p>
    <w:p w14:paraId="626155C5" w14:textId="1A220C53" w:rsidR="00203485" w:rsidRPr="00203485" w:rsidRDefault="00203485" w:rsidP="00203485">
      <w:pPr>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L</w:t>
      </w:r>
      <w:r w:rsidRPr="00203485">
        <w:rPr>
          <w:rFonts w:ascii="Verdana" w:eastAsia="Calibri" w:hAnsi="Verdana" w:cs="Arial"/>
          <w:color w:val="000000" w:themeColor="text1"/>
          <w:sz w:val="20"/>
          <w:szCs w:val="20"/>
        </w:rPr>
        <w:t>a experiencia que se deriva de los contratos que el proponente ha celebrado y ejecutado con diferentes contratantes, sin importar la naturaleza de estos, se verifica con el Registro Único de Proponentes –RUP–, cuando este certificado sea exigible de acuerdo con la ley. En este registro constan los requisitos que se evalúan exclusivamente con este documento, que es plena prueba, sin que la entidad o el proponente puedan, en principio, solicitar o aportar otra documentación.</w:t>
      </w:r>
    </w:p>
    <w:p w14:paraId="77BC5978" w14:textId="4E060B0F" w:rsidR="00D67CDA" w:rsidRPr="00D67CDA" w:rsidRDefault="00203485" w:rsidP="00203485">
      <w:pPr>
        <w:jc w:val="both"/>
        <w:rPr>
          <w:rFonts w:ascii="Verdana" w:eastAsia="Calibri" w:hAnsi="Verdana" w:cs="Arial"/>
          <w:color w:val="000000" w:themeColor="text1"/>
          <w:sz w:val="20"/>
          <w:szCs w:val="20"/>
        </w:rPr>
      </w:pPr>
      <w:r w:rsidRPr="00203485">
        <w:rPr>
          <w:rFonts w:ascii="Verdana" w:eastAsia="Calibri" w:hAnsi="Verdana" w:cs="Arial"/>
          <w:color w:val="000000" w:themeColor="text1"/>
          <w:sz w:val="20"/>
          <w:szCs w:val="20"/>
        </w:rPr>
        <w:t>Respecto de la experiencia, esta debe inscribirse, renovarse o actualizarse en el RUP con copia de los contratos o con certificados de los contratos celebrados por el proponente con diferentes contratantes, quienes son terceros que los que expiden cuando el contrato fue ejecutado y recibieron los bienes, obras o servicios de parte del proponente.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lo que dependerá de la forma como la entidad solicite la experiencia en el pliego de condiciones o documento equivalente.</w:t>
      </w:r>
      <w:r w:rsidR="00D67CDA" w:rsidRPr="00D67CDA">
        <w:rPr>
          <w:rFonts w:ascii="Verdana" w:eastAsia="Calibri" w:hAnsi="Verdana" w:cs="Arial"/>
          <w:color w:val="000000" w:themeColor="text1"/>
          <w:sz w:val="20"/>
          <w:szCs w:val="20"/>
        </w:rPr>
        <w:t>.</w:t>
      </w:r>
    </w:p>
    <w:p w14:paraId="063434A3" w14:textId="6054BE03" w:rsidR="00D67CDA" w:rsidRPr="00D67CDA" w:rsidRDefault="00D67CDA" w:rsidP="00D67CDA">
      <w:pPr>
        <w:jc w:val="both"/>
        <w:rPr>
          <w:rFonts w:ascii="Verdana" w:eastAsia="Calibri" w:hAnsi="Verdana" w:cs="Arial"/>
          <w:b/>
          <w:bCs/>
          <w:color w:val="000000" w:themeColor="text1"/>
        </w:rPr>
      </w:pPr>
      <w:r w:rsidRPr="00D67CDA">
        <w:rPr>
          <w:rFonts w:ascii="Verdana" w:eastAsia="Calibri" w:hAnsi="Verdana" w:cs="Arial"/>
          <w:b/>
          <w:bCs/>
          <w:color w:val="000000" w:themeColor="text1"/>
        </w:rPr>
        <w:t>EXPERIENCIA − Requisito habilitante − Factor – valor total en pesos de los contratos que figuran en el RUP.</w:t>
      </w:r>
    </w:p>
    <w:p w14:paraId="2EB3B843" w14:textId="07191D5B" w:rsidR="00D67CDA" w:rsidRPr="00D67CDA" w:rsidRDefault="00D67CDA" w:rsidP="00D67CDA">
      <w:pPr>
        <w:jc w:val="both"/>
        <w:rPr>
          <w:rFonts w:ascii="Verdana" w:eastAsia="Calibri" w:hAnsi="Verdana" w:cs="Arial"/>
          <w:color w:val="000000" w:themeColor="text1"/>
          <w:sz w:val="20"/>
          <w:szCs w:val="20"/>
        </w:rPr>
      </w:pPr>
      <w:r w:rsidRPr="00D67CDA">
        <w:rPr>
          <w:rFonts w:ascii="Verdana" w:eastAsia="Calibri" w:hAnsi="Verdana" w:cs="Arial"/>
          <w:color w:val="000000" w:themeColor="text1"/>
          <w:sz w:val="20"/>
          <w:szCs w:val="20"/>
        </w:rPr>
        <w:t xml:space="preserve">Por último, al observar el concepto de experiencia, como «requisito habilitante», y teniendo en cuenta que su consulta se relaciona con la experiencia, como «factor de la fórmula de la capacidad residual», de acuerdo con lo señalado para cada concepto, es decir, que el </w:t>
      </w:r>
      <w:r>
        <w:rPr>
          <w:rFonts w:ascii="Verdana" w:eastAsia="Calibri" w:hAnsi="Verdana" w:cs="Arial"/>
          <w:color w:val="000000" w:themeColor="text1"/>
          <w:sz w:val="20"/>
          <w:szCs w:val="20"/>
        </w:rPr>
        <w:t>“</w:t>
      </w:r>
      <w:r w:rsidRPr="00D67CDA">
        <w:rPr>
          <w:rFonts w:ascii="Verdana" w:eastAsia="Calibri" w:hAnsi="Verdana" w:cs="Arial"/>
          <w:color w:val="000000" w:themeColor="text1"/>
          <w:sz w:val="20"/>
          <w:szCs w:val="20"/>
        </w:rPr>
        <w:t xml:space="preserve">requisito habilitante» se deriva de los contratos celebrados por el proponente que deben inscribirse en el RUP, y que el «factor de la fórmula de la </w:t>
      </w:r>
      <w:r w:rsidRPr="00D67CDA">
        <w:rPr>
          <w:rFonts w:ascii="Verdana" w:eastAsia="Calibri" w:hAnsi="Verdana" w:cs="Arial"/>
          <w:color w:val="000000" w:themeColor="text1"/>
          <w:sz w:val="20"/>
          <w:szCs w:val="20"/>
        </w:rPr>
        <w:lastRenderedPageBreak/>
        <w:t>capacidad residual</w:t>
      </w:r>
      <w:r>
        <w:rPr>
          <w:rFonts w:ascii="Verdana" w:eastAsia="Calibri" w:hAnsi="Verdana" w:cs="Arial"/>
          <w:color w:val="000000" w:themeColor="text1"/>
          <w:sz w:val="20"/>
          <w:szCs w:val="20"/>
        </w:rPr>
        <w:t>”</w:t>
      </w:r>
      <w:r w:rsidRPr="00D67CDA">
        <w:rPr>
          <w:rFonts w:ascii="Verdana" w:eastAsia="Calibri" w:hAnsi="Verdana" w:cs="Arial"/>
          <w:color w:val="000000" w:themeColor="text1"/>
          <w:sz w:val="20"/>
          <w:szCs w:val="20"/>
        </w:rPr>
        <w:t xml:space="preserve"> está determinado por el valor total en pesos de los contratos que figuran en el RUP, la experiencia en ambos casos se refiere a la misma definición.</w:t>
      </w:r>
    </w:p>
    <w:p w14:paraId="395D9CBE" w14:textId="77777777" w:rsidR="00D67CDA" w:rsidRPr="00C57ECD" w:rsidRDefault="00D67CDA" w:rsidP="00D67CDA">
      <w:pPr>
        <w:jc w:val="both"/>
        <w:rPr>
          <w:color w:val="000000" w:themeColor="text1"/>
          <w:sz w:val="20"/>
          <w:szCs w:val="20"/>
        </w:rPr>
      </w:pPr>
    </w:p>
    <w:p w14:paraId="5752F712" w14:textId="77777777" w:rsidR="00D67CDA" w:rsidRDefault="00D67CDA" w:rsidP="00D67CDA">
      <w:pPr>
        <w:rPr>
          <w:rFonts w:ascii="Arial" w:hAnsi="Arial" w:cs="Arial"/>
          <w:color w:val="000000" w:themeColor="text1"/>
          <w:sz w:val="20"/>
          <w:szCs w:val="20"/>
        </w:rPr>
      </w:pPr>
    </w:p>
    <w:p w14:paraId="250147AB" w14:textId="77777777" w:rsidR="00FF4092" w:rsidRDefault="00FF4092" w:rsidP="00D67CDA">
      <w:pPr>
        <w:rPr>
          <w:rFonts w:ascii="Arial" w:hAnsi="Arial" w:cs="Arial"/>
          <w:color w:val="000000" w:themeColor="text1"/>
          <w:sz w:val="20"/>
          <w:szCs w:val="20"/>
        </w:rPr>
      </w:pPr>
    </w:p>
    <w:p w14:paraId="20F5E372" w14:textId="77777777" w:rsidR="00FF4092" w:rsidRDefault="00FF4092" w:rsidP="00D67CDA">
      <w:pPr>
        <w:rPr>
          <w:rFonts w:ascii="Arial" w:hAnsi="Arial" w:cs="Arial"/>
          <w:color w:val="000000" w:themeColor="text1"/>
          <w:sz w:val="20"/>
          <w:szCs w:val="20"/>
        </w:rPr>
      </w:pPr>
    </w:p>
    <w:p w14:paraId="2A1FBF6E" w14:textId="77777777" w:rsidR="00FF4092" w:rsidRDefault="00FF4092" w:rsidP="00D67CDA">
      <w:pPr>
        <w:rPr>
          <w:rFonts w:ascii="Arial" w:hAnsi="Arial" w:cs="Arial"/>
          <w:color w:val="000000" w:themeColor="text1"/>
          <w:sz w:val="20"/>
          <w:szCs w:val="20"/>
        </w:rPr>
      </w:pPr>
    </w:p>
    <w:p w14:paraId="4FA14D57" w14:textId="77777777" w:rsidR="00FF4092" w:rsidRDefault="00FF4092" w:rsidP="00D67CDA">
      <w:pPr>
        <w:rPr>
          <w:rFonts w:ascii="Arial" w:hAnsi="Arial" w:cs="Arial"/>
          <w:color w:val="000000" w:themeColor="text1"/>
          <w:sz w:val="20"/>
          <w:szCs w:val="20"/>
        </w:rPr>
      </w:pPr>
    </w:p>
    <w:p w14:paraId="58F25BE1" w14:textId="77777777" w:rsidR="00FF4092" w:rsidRDefault="00FF4092" w:rsidP="00D67CDA">
      <w:pPr>
        <w:rPr>
          <w:rFonts w:ascii="Arial" w:hAnsi="Arial" w:cs="Arial"/>
          <w:color w:val="000000" w:themeColor="text1"/>
          <w:sz w:val="20"/>
          <w:szCs w:val="20"/>
        </w:rPr>
      </w:pPr>
    </w:p>
    <w:p w14:paraId="0EC10BC9" w14:textId="77777777" w:rsidR="00FF4092" w:rsidRDefault="00FF4092" w:rsidP="00D67CDA">
      <w:pPr>
        <w:rPr>
          <w:rFonts w:ascii="Arial" w:hAnsi="Arial" w:cs="Arial"/>
          <w:color w:val="000000" w:themeColor="text1"/>
          <w:sz w:val="20"/>
          <w:szCs w:val="20"/>
        </w:rPr>
      </w:pPr>
    </w:p>
    <w:p w14:paraId="22969D50" w14:textId="77777777" w:rsidR="00FF4092" w:rsidRDefault="00FF4092" w:rsidP="00D67CDA">
      <w:pPr>
        <w:rPr>
          <w:rFonts w:ascii="Arial" w:hAnsi="Arial" w:cs="Arial"/>
          <w:color w:val="000000" w:themeColor="text1"/>
          <w:sz w:val="20"/>
          <w:szCs w:val="20"/>
        </w:rPr>
      </w:pPr>
    </w:p>
    <w:p w14:paraId="1E4C07CD" w14:textId="77777777" w:rsidR="00FF4092" w:rsidRDefault="00FF4092" w:rsidP="00D67CDA">
      <w:pPr>
        <w:rPr>
          <w:rFonts w:ascii="Arial" w:hAnsi="Arial" w:cs="Arial"/>
          <w:color w:val="000000" w:themeColor="text1"/>
          <w:sz w:val="20"/>
          <w:szCs w:val="20"/>
        </w:rPr>
      </w:pPr>
    </w:p>
    <w:p w14:paraId="1330B1DC" w14:textId="77777777" w:rsidR="00FF4092" w:rsidRDefault="00FF4092" w:rsidP="00D67CDA">
      <w:pPr>
        <w:rPr>
          <w:rFonts w:ascii="Arial" w:hAnsi="Arial" w:cs="Arial"/>
          <w:color w:val="000000" w:themeColor="text1"/>
          <w:sz w:val="20"/>
          <w:szCs w:val="20"/>
        </w:rPr>
      </w:pPr>
    </w:p>
    <w:p w14:paraId="58F10534" w14:textId="77777777" w:rsidR="00FF4092" w:rsidRDefault="00FF4092" w:rsidP="00D67CDA">
      <w:pPr>
        <w:rPr>
          <w:rFonts w:ascii="Arial" w:hAnsi="Arial" w:cs="Arial"/>
          <w:color w:val="000000" w:themeColor="text1"/>
          <w:sz w:val="20"/>
          <w:szCs w:val="20"/>
        </w:rPr>
      </w:pPr>
    </w:p>
    <w:p w14:paraId="03F10CF8" w14:textId="77777777" w:rsidR="00FF4092" w:rsidRDefault="00FF4092" w:rsidP="00D67CDA">
      <w:pPr>
        <w:rPr>
          <w:rFonts w:ascii="Arial" w:hAnsi="Arial" w:cs="Arial"/>
          <w:color w:val="000000" w:themeColor="text1"/>
          <w:sz w:val="20"/>
          <w:szCs w:val="20"/>
        </w:rPr>
      </w:pPr>
    </w:p>
    <w:p w14:paraId="6703D280" w14:textId="77777777" w:rsidR="00FF4092" w:rsidRDefault="00FF4092" w:rsidP="00D67CDA">
      <w:pPr>
        <w:rPr>
          <w:rFonts w:ascii="Arial" w:hAnsi="Arial" w:cs="Arial"/>
          <w:color w:val="000000" w:themeColor="text1"/>
          <w:sz w:val="20"/>
          <w:szCs w:val="20"/>
        </w:rPr>
      </w:pPr>
    </w:p>
    <w:p w14:paraId="1B18CCB5" w14:textId="77777777" w:rsidR="00FF4092" w:rsidRDefault="00FF4092" w:rsidP="00D67CDA">
      <w:pPr>
        <w:rPr>
          <w:rFonts w:ascii="Arial" w:hAnsi="Arial" w:cs="Arial"/>
          <w:color w:val="000000" w:themeColor="text1"/>
          <w:sz w:val="20"/>
          <w:szCs w:val="20"/>
        </w:rPr>
      </w:pPr>
    </w:p>
    <w:p w14:paraId="2E4655D4" w14:textId="77777777" w:rsidR="00FF4092" w:rsidRDefault="00FF4092" w:rsidP="00D67CDA">
      <w:pPr>
        <w:rPr>
          <w:rFonts w:ascii="Arial" w:hAnsi="Arial" w:cs="Arial"/>
          <w:color w:val="000000" w:themeColor="text1"/>
          <w:sz w:val="20"/>
          <w:szCs w:val="20"/>
        </w:rPr>
      </w:pPr>
    </w:p>
    <w:p w14:paraId="422ABBC6" w14:textId="77777777" w:rsidR="00FF4092" w:rsidRDefault="00FF4092" w:rsidP="00D67CDA">
      <w:pPr>
        <w:rPr>
          <w:rFonts w:ascii="Arial" w:hAnsi="Arial" w:cs="Arial"/>
          <w:color w:val="000000" w:themeColor="text1"/>
          <w:sz w:val="20"/>
          <w:szCs w:val="20"/>
        </w:rPr>
      </w:pPr>
    </w:p>
    <w:p w14:paraId="4ADD1EEF" w14:textId="77777777" w:rsidR="00FF4092" w:rsidRDefault="00FF4092" w:rsidP="00D67CDA">
      <w:pPr>
        <w:rPr>
          <w:rFonts w:ascii="Arial" w:hAnsi="Arial" w:cs="Arial"/>
          <w:color w:val="000000" w:themeColor="text1"/>
          <w:sz w:val="20"/>
          <w:szCs w:val="20"/>
        </w:rPr>
      </w:pPr>
    </w:p>
    <w:p w14:paraId="29D0360F" w14:textId="77777777" w:rsidR="00D67CDA" w:rsidRPr="00DB5357" w:rsidRDefault="00D67CDA" w:rsidP="00D67CDA">
      <w:pPr>
        <w:rPr>
          <w:rFonts w:ascii="Arial" w:hAnsi="Arial" w:cs="Arial"/>
          <w:color w:val="000000" w:themeColor="text1"/>
          <w:sz w:val="20"/>
          <w:szCs w:val="20"/>
        </w:rPr>
      </w:pPr>
    </w:p>
    <w:p w14:paraId="09D8F530" w14:textId="77777777" w:rsidR="004547CD" w:rsidRDefault="004547CD" w:rsidP="00D261F9">
      <w:pPr>
        <w:spacing w:line="276" w:lineRule="auto"/>
        <w:jc w:val="both"/>
        <w:rPr>
          <w:rFonts w:ascii="Arial" w:hAnsi="Arial" w:cs="Arial"/>
          <w:noProof/>
          <w:sz w:val="20"/>
          <w:szCs w:val="20"/>
          <w:lang w:val="es-ES_tradnl"/>
        </w:rPr>
      </w:pPr>
    </w:p>
    <w:p w14:paraId="1A721D0D" w14:textId="77777777" w:rsidR="004547CD" w:rsidRDefault="004547CD" w:rsidP="00D261F9">
      <w:pPr>
        <w:spacing w:line="276" w:lineRule="auto"/>
        <w:jc w:val="both"/>
        <w:rPr>
          <w:rFonts w:ascii="Arial" w:hAnsi="Arial" w:cs="Arial"/>
          <w:noProof/>
          <w:sz w:val="20"/>
          <w:szCs w:val="20"/>
          <w:lang w:val="es-ES_tradnl"/>
        </w:rPr>
      </w:pPr>
    </w:p>
    <w:p w14:paraId="43235CA8" w14:textId="77777777" w:rsidR="004547CD" w:rsidRDefault="004547CD" w:rsidP="00D261F9">
      <w:pPr>
        <w:spacing w:line="276" w:lineRule="auto"/>
        <w:jc w:val="both"/>
        <w:rPr>
          <w:rFonts w:ascii="Arial" w:hAnsi="Arial" w:cs="Arial"/>
          <w:noProof/>
          <w:sz w:val="20"/>
          <w:szCs w:val="20"/>
          <w:lang w:val="es-ES_tradnl"/>
        </w:rPr>
      </w:pPr>
    </w:p>
    <w:p w14:paraId="10166345" w14:textId="77777777" w:rsidR="004547CD" w:rsidRDefault="004547CD" w:rsidP="00D261F9">
      <w:pPr>
        <w:spacing w:line="276" w:lineRule="auto"/>
        <w:jc w:val="both"/>
        <w:rPr>
          <w:rFonts w:ascii="Arial" w:hAnsi="Arial" w:cs="Arial"/>
          <w:noProof/>
          <w:sz w:val="20"/>
          <w:szCs w:val="20"/>
          <w:lang w:val="es-ES_tradnl"/>
        </w:rPr>
      </w:pPr>
    </w:p>
    <w:p w14:paraId="7F384CCC" w14:textId="5EB96B47" w:rsidR="007D5768" w:rsidRDefault="00E5566A" w:rsidP="007D5768">
      <w:pPr>
        <w:spacing w:after="0"/>
        <w:rPr>
          <w:rFonts w:ascii="Verdana" w:hAnsi="Verdana"/>
        </w:rPr>
      </w:pPr>
      <w:r>
        <w:rPr>
          <w:rFonts w:ascii="Verdana" w:hAnsi="Verdana"/>
        </w:rPr>
        <w:lastRenderedPageBreak/>
        <w:t>B</w:t>
      </w:r>
      <w:r w:rsidR="007D5768" w:rsidRPr="0044528D">
        <w:rPr>
          <w:rFonts w:ascii="Verdana" w:hAnsi="Verdana"/>
        </w:rPr>
        <w:t xml:space="preserve">ogotá D.C., </w:t>
      </w:r>
      <w:r w:rsidR="004919E5">
        <w:rPr>
          <w:rFonts w:ascii="Verdana" w:hAnsi="Verdana"/>
        </w:rPr>
        <w:t>09 de mayo de 2025</w:t>
      </w:r>
    </w:p>
    <w:p w14:paraId="1673010F" w14:textId="77777777" w:rsidR="007D5768" w:rsidRDefault="007D5768" w:rsidP="007D5768">
      <w:pPr>
        <w:spacing w:after="0"/>
        <w:rPr>
          <w:rFonts w:ascii="Verdana" w:hAnsi="Verdana"/>
        </w:rPr>
      </w:pPr>
      <w:bookmarkStart w:id="2" w:name="_Hlk180638295"/>
      <w:bookmarkEnd w:id="0"/>
    </w:p>
    <w:p w14:paraId="2B7159AF" w14:textId="363AB289" w:rsidR="00C03274" w:rsidRDefault="004919E5" w:rsidP="004919E5">
      <w:pPr>
        <w:spacing w:after="0"/>
        <w:jc w:val="right"/>
        <w:rPr>
          <w:rFonts w:ascii="Verdana" w:hAnsi="Verdana"/>
        </w:rPr>
      </w:pPr>
      <w:r>
        <w:rPr>
          <w:rFonts w:ascii="Verdana" w:hAnsi="Verdana"/>
          <w:noProof/>
        </w:rPr>
        <w:drawing>
          <wp:inline distT="0" distB="0" distL="0" distR="0" wp14:anchorId="4CB8ED42" wp14:editId="331B37DC">
            <wp:extent cx="2114550" cy="628650"/>
            <wp:effectExtent l="0" t="0" r="0" b="0"/>
            <wp:docPr id="3602995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14550" cy="628650"/>
                    </a:xfrm>
                    <a:prstGeom prst="rect">
                      <a:avLst/>
                    </a:prstGeom>
                    <a:noFill/>
                    <a:ln>
                      <a:noFill/>
                    </a:ln>
                  </pic:spPr>
                </pic:pic>
              </a:graphicData>
            </a:graphic>
          </wp:inline>
        </w:drawing>
      </w:r>
    </w:p>
    <w:p w14:paraId="54FC63A1" w14:textId="7A9274D4" w:rsidR="007D5768" w:rsidRPr="005E62E2" w:rsidRDefault="007D5768" w:rsidP="007D5768">
      <w:pPr>
        <w:spacing w:after="0" w:line="240" w:lineRule="auto"/>
        <w:jc w:val="both"/>
        <w:rPr>
          <w:rFonts w:ascii="Verdana" w:eastAsia="Calibri" w:hAnsi="Verdana" w:cs="Arial"/>
          <w:lang w:eastAsia="es-ES"/>
        </w:rPr>
      </w:pPr>
      <w:bookmarkStart w:id="3" w:name="_Hlk181166167"/>
      <w:r w:rsidRPr="005E62E2">
        <w:rPr>
          <w:rFonts w:ascii="Verdana" w:eastAsia="Calibri" w:hAnsi="Verdana" w:cs="Arial"/>
          <w:lang w:eastAsia="es-ES"/>
        </w:rPr>
        <w:t>Señor</w:t>
      </w:r>
      <w:r w:rsidR="003A2ECF" w:rsidRPr="005E62E2">
        <w:rPr>
          <w:rFonts w:ascii="Verdana" w:eastAsia="Calibri" w:hAnsi="Verdana" w:cs="Arial"/>
          <w:lang w:eastAsia="es-ES"/>
        </w:rPr>
        <w:tab/>
      </w:r>
    </w:p>
    <w:p w14:paraId="533445DC" w14:textId="3CFAC6ED" w:rsidR="00C57C83" w:rsidRDefault="00FE3DEC" w:rsidP="007D5768">
      <w:pPr>
        <w:spacing w:after="0" w:line="240" w:lineRule="auto"/>
        <w:rPr>
          <w:rFonts w:ascii="Verdana" w:eastAsia="Calibri" w:hAnsi="Verdana" w:cs="Arial"/>
          <w:b/>
          <w:bCs/>
          <w:color w:val="000000"/>
          <w:lang w:val="es-ES_tradnl" w:eastAsia="es-ES_tradnl"/>
        </w:rPr>
      </w:pPr>
      <w:r w:rsidRPr="00FE3DEC">
        <w:rPr>
          <w:rFonts w:ascii="Verdana" w:eastAsia="Calibri" w:hAnsi="Verdana" w:cs="Arial"/>
          <w:b/>
          <w:bCs/>
          <w:color w:val="000000"/>
          <w:lang w:eastAsia="es-ES_tradnl"/>
        </w:rPr>
        <w:t>NELSON ALFREDO FORIGUA FORIGUA</w:t>
      </w:r>
    </w:p>
    <w:p w14:paraId="02314820" w14:textId="23FEFF33" w:rsidR="00C57C83" w:rsidRDefault="00FE3DEC" w:rsidP="007D5768">
      <w:pPr>
        <w:spacing w:after="0" w:line="240" w:lineRule="auto"/>
        <w:rPr>
          <w:rFonts w:ascii="Verdana" w:eastAsia="Calibri" w:hAnsi="Verdana" w:cs="Arial"/>
          <w:color w:val="000000"/>
          <w:lang w:val="es-ES_tradnl" w:eastAsia="es-ES_tradnl"/>
        </w:rPr>
      </w:pPr>
      <w:r w:rsidRPr="00FE3DEC">
        <w:rPr>
          <w:rFonts w:ascii="Verdana" w:eastAsia="Calibri" w:hAnsi="Verdana" w:cs="Arial"/>
          <w:color w:val="000000"/>
          <w:lang w:val="es-ES_tradnl" w:eastAsia="es-ES_tradnl"/>
        </w:rPr>
        <w:t>Bogotá D.C.</w:t>
      </w:r>
    </w:p>
    <w:p w14:paraId="7230E09A" w14:textId="77777777" w:rsidR="004919E5" w:rsidRPr="00FE3DEC" w:rsidRDefault="004919E5" w:rsidP="007D5768">
      <w:pPr>
        <w:spacing w:after="0" w:line="240" w:lineRule="auto"/>
        <w:rPr>
          <w:rFonts w:ascii="Verdana" w:eastAsia="Calibri" w:hAnsi="Verdana" w:cs="Arial"/>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7D5768" w:rsidRPr="00593A5F" w14:paraId="14747069" w14:textId="77777777" w:rsidTr="00E1079D">
        <w:trPr>
          <w:trHeight w:val="884"/>
        </w:trPr>
        <w:tc>
          <w:tcPr>
            <w:tcW w:w="2410" w:type="dxa"/>
          </w:tcPr>
          <w:p w14:paraId="36C8BBF6" w14:textId="77777777" w:rsidR="007D5768" w:rsidRPr="00E5644F" w:rsidRDefault="007D5768" w:rsidP="00E1079D">
            <w:pPr>
              <w:jc w:val="both"/>
              <w:rPr>
                <w:rFonts w:ascii="Verdana" w:eastAsia="Calibri" w:hAnsi="Verdana" w:cs="Arial"/>
                <w:b/>
                <w:bCs/>
                <w:color w:val="7030A0"/>
                <w:lang w:val="es-ES_tradnl" w:eastAsia="es-ES_tradnl"/>
              </w:rPr>
            </w:pPr>
          </w:p>
        </w:tc>
        <w:tc>
          <w:tcPr>
            <w:tcW w:w="6804" w:type="dxa"/>
            <w:gridSpan w:val="2"/>
          </w:tcPr>
          <w:p w14:paraId="4DDF8EC1" w14:textId="56D3B63A" w:rsidR="007D5768" w:rsidRPr="00E5644F" w:rsidRDefault="007D5768" w:rsidP="00E1079D">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sidR="00C57C83">
              <w:rPr>
                <w:rFonts w:ascii="Verdana" w:eastAsia="Calibri" w:hAnsi="Verdana" w:cs="Arial"/>
                <w:b/>
                <w:bCs/>
                <w:lang w:val="es-ES" w:eastAsia="es-ES"/>
              </w:rPr>
              <w:t>4</w:t>
            </w:r>
            <w:r w:rsidR="00FE3DEC">
              <w:rPr>
                <w:rFonts w:ascii="Verdana" w:eastAsia="Calibri" w:hAnsi="Verdana" w:cs="Arial"/>
                <w:b/>
                <w:bCs/>
                <w:lang w:val="es-ES" w:eastAsia="es-ES"/>
              </w:rPr>
              <w:t>10</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sidR="00FB76D0">
              <w:rPr>
                <w:rFonts w:ascii="Verdana" w:eastAsia="Calibri" w:hAnsi="Verdana" w:cs="Arial"/>
                <w:b/>
                <w:bCs/>
                <w:lang w:val="es-ES" w:eastAsia="es-ES"/>
              </w:rPr>
              <w:t>5</w:t>
            </w:r>
          </w:p>
        </w:tc>
      </w:tr>
      <w:tr w:rsidR="003F2418" w:rsidRPr="00A52DE7" w14:paraId="0E5838A4" w14:textId="77777777" w:rsidTr="00E1079D">
        <w:trPr>
          <w:trHeight w:val="884"/>
        </w:trPr>
        <w:tc>
          <w:tcPr>
            <w:tcW w:w="2410" w:type="dxa"/>
          </w:tcPr>
          <w:p w14:paraId="52092E01" w14:textId="77777777" w:rsidR="003F2418" w:rsidRPr="00593A5F" w:rsidRDefault="003F2418" w:rsidP="003F2418">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70E8B08C" w14:textId="53945A88" w:rsidR="00D261F9" w:rsidRDefault="00D67CDA" w:rsidP="00D67CDA">
            <w:pPr>
              <w:jc w:val="both"/>
              <w:rPr>
                <w:rFonts w:ascii="Verdana" w:eastAsia="Calibri" w:hAnsi="Verdana" w:cs="Arial"/>
                <w:color w:val="000000"/>
                <w:lang w:val="es-ES_tradnl"/>
              </w:rPr>
            </w:pPr>
            <w:r w:rsidRPr="00D67CDA">
              <w:rPr>
                <w:rFonts w:ascii="Verdana" w:eastAsia="Calibri" w:hAnsi="Verdana" w:cs="Arial"/>
                <w:color w:val="000000"/>
                <w:lang w:val="es-ES_tradnl"/>
              </w:rPr>
              <w:t xml:space="preserve">EXPERIENCIA − Requisito habilitante − Concepto − Acreditación – RUP / </w:t>
            </w:r>
            <w:r w:rsidRPr="00D67CDA">
              <w:rPr>
                <w:rFonts w:ascii="Verdana" w:eastAsia="Calibri" w:hAnsi="Verdana" w:cs="Arial"/>
                <w:color w:val="000000" w:themeColor="text1"/>
              </w:rPr>
              <w:t>EXPERIENCIA − Requisito habilitante − Factor – valor total en pesos de los contratos que figuran en el RUP</w:t>
            </w:r>
            <w:r w:rsidR="00203485">
              <w:rPr>
                <w:rFonts w:ascii="Verdana" w:eastAsia="Calibri" w:hAnsi="Verdana" w:cs="Arial"/>
                <w:color w:val="000000" w:themeColor="text1"/>
              </w:rPr>
              <w:t>.</w:t>
            </w:r>
          </w:p>
          <w:p w14:paraId="62C72EB8" w14:textId="5E175B04" w:rsidR="00D67CDA" w:rsidRPr="00A52DE7" w:rsidRDefault="00D67CDA" w:rsidP="00D67CDA">
            <w:pPr>
              <w:jc w:val="both"/>
              <w:rPr>
                <w:rFonts w:ascii="Verdana" w:eastAsia="Calibri" w:hAnsi="Verdana" w:cs="Arial"/>
                <w:b/>
                <w:highlight w:val="yellow"/>
                <w:lang w:val="es-ES" w:eastAsia="es-ES"/>
              </w:rPr>
            </w:pPr>
          </w:p>
        </w:tc>
      </w:tr>
      <w:tr w:rsidR="003F2418" w:rsidRPr="00593A5F" w14:paraId="09936C6F" w14:textId="77777777" w:rsidTr="00E1079D">
        <w:tc>
          <w:tcPr>
            <w:tcW w:w="2410" w:type="dxa"/>
          </w:tcPr>
          <w:p w14:paraId="69819F5A" w14:textId="77777777" w:rsidR="003F2418" w:rsidRPr="006730E9" w:rsidRDefault="003F2418" w:rsidP="003F2418">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2CCB2D3E" w14:textId="425AB636" w:rsidR="003F2418" w:rsidRPr="006730E9" w:rsidRDefault="003F2418" w:rsidP="003F2418">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FE3DEC" w:rsidRPr="00FE3DEC">
              <w:rPr>
                <w:rFonts w:ascii="Verdana" w:eastAsia="Calibri" w:hAnsi="Verdana" w:cs="Arial"/>
                <w:lang w:val="es-ES_tradnl" w:eastAsia="es-ES_tradnl"/>
              </w:rPr>
              <w:t>P20250403003200</w:t>
            </w:r>
            <w:r w:rsidR="0047280E">
              <w:rPr>
                <w:rFonts w:ascii="Verdana" w:eastAsia="Calibri" w:hAnsi="Verdana" w:cs="Arial"/>
                <w:lang w:val="es-ES_tradnl" w:eastAsia="es-ES_tradnl"/>
              </w:rPr>
              <w:t>.</w:t>
            </w:r>
          </w:p>
        </w:tc>
      </w:tr>
      <w:tr w:rsidR="003F2418" w:rsidRPr="00DB23D2" w14:paraId="3D69289B" w14:textId="77777777" w:rsidTr="00E1079D">
        <w:trPr>
          <w:gridAfter w:val="1"/>
          <w:wAfter w:w="336" w:type="dxa"/>
          <w:trHeight w:val="233"/>
        </w:trPr>
        <w:tc>
          <w:tcPr>
            <w:tcW w:w="8878" w:type="dxa"/>
            <w:gridSpan w:val="2"/>
          </w:tcPr>
          <w:p w14:paraId="77B387AE" w14:textId="5AE22ED0" w:rsidR="003F2418" w:rsidRPr="00DB23D2" w:rsidRDefault="003F2418" w:rsidP="003F2418">
            <w:pPr>
              <w:spacing w:after="120" w:line="276" w:lineRule="auto"/>
              <w:jc w:val="both"/>
              <w:rPr>
                <w:rFonts w:ascii="Verdana" w:eastAsia="Calibri" w:hAnsi="Verdana" w:cs="Arial"/>
                <w:lang w:val="es-ES_tradnl" w:eastAsia="es-ES"/>
              </w:rPr>
            </w:pPr>
          </w:p>
        </w:tc>
      </w:tr>
    </w:tbl>
    <w:p w14:paraId="064788AC" w14:textId="06691A6D" w:rsidR="007D5768" w:rsidRPr="006730E9" w:rsidRDefault="007D5768" w:rsidP="007D576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C57C83">
        <w:rPr>
          <w:rFonts w:ascii="Verdana" w:eastAsia="Calibri" w:hAnsi="Verdana" w:cs="Arial"/>
          <w:lang w:val="es-ES" w:eastAsia="es-ES"/>
        </w:rPr>
        <w:t>o</w:t>
      </w:r>
      <w:r w:rsidR="00EF4E84">
        <w:rPr>
          <w:rFonts w:ascii="Verdana" w:eastAsia="Calibri" w:hAnsi="Verdana" w:cs="Arial"/>
          <w:lang w:val="es-ES" w:eastAsia="es-ES"/>
        </w:rPr>
        <w:t xml:space="preserve"> </w:t>
      </w:r>
      <w:r w:rsidRPr="006730E9">
        <w:rPr>
          <w:rFonts w:ascii="Verdana" w:eastAsia="Calibri" w:hAnsi="Verdana" w:cs="Arial"/>
          <w:lang w:val="es-ES" w:eastAsia="es-ES"/>
        </w:rPr>
        <w:t>señor</w:t>
      </w:r>
      <w:r w:rsidR="00FE3DEC">
        <w:rPr>
          <w:rFonts w:ascii="Verdana" w:eastAsia="Calibri" w:hAnsi="Verdana" w:cs="Arial"/>
          <w:lang w:val="es-ES" w:eastAsia="es-ES"/>
        </w:rPr>
        <w:t xml:space="preserve"> Forigua</w:t>
      </w:r>
      <w:r w:rsidR="00ED58AB">
        <w:rPr>
          <w:rFonts w:ascii="Verdana" w:eastAsia="Calibri" w:hAnsi="Verdana" w:cs="Arial"/>
          <w:lang w:val="es-ES" w:eastAsia="es-ES"/>
        </w:rPr>
        <w:t>;</w:t>
      </w:r>
    </w:p>
    <w:p w14:paraId="0152D11B" w14:textId="77777777" w:rsidR="007D5768" w:rsidRDefault="007D5768" w:rsidP="007D5768">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12CA923" w14:textId="34178C2B" w:rsidR="007D5768" w:rsidRPr="006730E9" w:rsidRDefault="007D5768" w:rsidP="007D576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sidR="00ED58AB">
        <w:rPr>
          <w:rFonts w:ascii="Verdana" w:eastAsia="Calibri" w:hAnsi="Verdana" w:cs="Arial"/>
          <w:lang w:val="es-ES" w:eastAsia="es-ES"/>
        </w:rPr>
        <w:t xml:space="preserve">radicada </w:t>
      </w:r>
      <w:r>
        <w:rPr>
          <w:rFonts w:ascii="Verdana" w:eastAsia="Calibri" w:hAnsi="Verdana" w:cs="Arial"/>
          <w:lang w:val="es-ES" w:eastAsia="es-ES"/>
        </w:rPr>
        <w:t xml:space="preserve">en esta entidad </w:t>
      </w:r>
      <w:r w:rsidRPr="00E5644F">
        <w:rPr>
          <w:rFonts w:ascii="Verdana" w:eastAsia="Calibri" w:hAnsi="Verdana" w:cs="Arial"/>
          <w:lang w:val="es-ES" w:eastAsia="es-ES"/>
        </w:rPr>
        <w:t xml:space="preserve">el </w:t>
      </w:r>
      <w:r w:rsidR="00FE3DEC">
        <w:rPr>
          <w:rFonts w:ascii="Verdana" w:eastAsia="Calibri" w:hAnsi="Verdana" w:cs="Arial"/>
          <w:lang w:val="es-ES" w:eastAsia="es-ES"/>
        </w:rPr>
        <w:t>03</w:t>
      </w:r>
      <w:r w:rsidR="00043043">
        <w:rPr>
          <w:rFonts w:ascii="Verdana" w:eastAsia="Calibri" w:hAnsi="Verdana" w:cs="Arial"/>
          <w:lang w:val="es-ES" w:eastAsia="es-ES"/>
        </w:rPr>
        <w:t xml:space="preserve"> </w:t>
      </w:r>
      <w:r w:rsidRPr="00E5644F">
        <w:rPr>
          <w:rFonts w:ascii="Verdana" w:eastAsia="Calibri" w:hAnsi="Verdana" w:cs="Arial"/>
          <w:lang w:val="es-ES" w:eastAsia="es-ES"/>
        </w:rPr>
        <w:t xml:space="preserve">de </w:t>
      </w:r>
      <w:r w:rsidR="00FE3DEC">
        <w:rPr>
          <w:rFonts w:ascii="Verdana" w:eastAsia="Calibri" w:hAnsi="Verdana" w:cs="Arial"/>
          <w:lang w:val="es-ES" w:eastAsia="es-ES"/>
        </w:rPr>
        <w:t>abril</w:t>
      </w:r>
      <w:r w:rsidRPr="00E5644F">
        <w:rPr>
          <w:rFonts w:ascii="Verdana" w:eastAsia="Calibri" w:hAnsi="Verdana" w:cs="Arial"/>
          <w:lang w:val="es-ES" w:eastAsia="es-ES"/>
        </w:rPr>
        <w:t xml:space="preserve"> de</w:t>
      </w:r>
      <w:r w:rsidR="00955D18">
        <w:rPr>
          <w:rFonts w:ascii="Verdana" w:eastAsia="Calibri" w:hAnsi="Verdana" w:cs="Arial"/>
          <w:lang w:val="es-ES" w:eastAsia="es-ES"/>
        </w:rPr>
        <w:t xml:space="preserve"> </w:t>
      </w:r>
      <w:r w:rsidRPr="00E5644F">
        <w:rPr>
          <w:rFonts w:ascii="Verdana" w:eastAsia="Calibri" w:hAnsi="Verdana" w:cs="Arial"/>
          <w:lang w:val="es-ES" w:eastAsia="es-ES"/>
        </w:rPr>
        <w:t>202</w:t>
      </w:r>
      <w:r w:rsidR="00955D18">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096183A1" w14:textId="77777777" w:rsidR="007D5768" w:rsidRPr="00326382" w:rsidRDefault="007D5768" w:rsidP="007D5768">
      <w:pPr>
        <w:spacing w:after="0" w:line="240" w:lineRule="auto"/>
        <w:ind w:left="709" w:right="474"/>
        <w:jc w:val="both"/>
        <w:rPr>
          <w:rFonts w:ascii="Verdana" w:hAnsi="Verdana" w:cs="Arial"/>
          <w:sz w:val="20"/>
          <w:szCs w:val="20"/>
          <w:shd w:val="clear" w:color="auto" w:fill="FFFFFF"/>
        </w:rPr>
      </w:pPr>
      <w:bookmarkStart w:id="4" w:name="_Hlk95313578"/>
    </w:p>
    <w:bookmarkEnd w:id="4"/>
    <w:p w14:paraId="755A614E" w14:textId="77159B6C" w:rsidR="009D7B43" w:rsidRDefault="00022742" w:rsidP="009D7B43">
      <w:pPr>
        <w:pStyle w:val="Prrafodelista"/>
        <w:tabs>
          <w:tab w:val="left" w:pos="142"/>
          <w:tab w:val="left" w:pos="567"/>
        </w:tabs>
        <w:ind w:left="567" w:right="709"/>
        <w:jc w:val="both"/>
        <w:rPr>
          <w:rFonts w:ascii="Verdana" w:eastAsia="Century Gothic" w:hAnsi="Verdana" w:cs="Century Gothic"/>
          <w:i/>
          <w:iCs/>
          <w:lang w:val="es-CO"/>
        </w:rPr>
      </w:pPr>
      <w:r>
        <w:rPr>
          <w:rFonts w:ascii="Verdana" w:eastAsia="Century Gothic" w:hAnsi="Verdana" w:cs="Century Gothic"/>
          <w:i/>
          <w:iCs/>
          <w:lang w:val="es-CO"/>
        </w:rPr>
        <w:t xml:space="preserve">   </w:t>
      </w:r>
      <w:r w:rsidR="00E6781E" w:rsidRPr="009D04B0">
        <w:rPr>
          <w:rFonts w:ascii="Verdana" w:eastAsia="Century Gothic" w:hAnsi="Verdana" w:cs="Century Gothic"/>
          <w:i/>
          <w:iCs/>
          <w:lang w:val="es-CO"/>
        </w:rPr>
        <w:t>“</w:t>
      </w:r>
      <w:r w:rsidR="00FB76D0" w:rsidRPr="009D04B0">
        <w:rPr>
          <w:rFonts w:ascii="Verdana" w:eastAsia="Century Gothic" w:hAnsi="Verdana" w:cs="Century Gothic"/>
          <w:i/>
          <w:iCs/>
          <w:lang w:val="es-CO"/>
        </w:rPr>
        <w:t>(…)</w:t>
      </w:r>
      <w:r w:rsidR="009D7B43">
        <w:rPr>
          <w:rFonts w:ascii="Verdana" w:eastAsia="Century Gothic" w:hAnsi="Verdana" w:cs="Century Gothic"/>
          <w:i/>
          <w:iCs/>
          <w:lang w:val="es-CO"/>
        </w:rPr>
        <w:t xml:space="preserve"> </w:t>
      </w:r>
    </w:p>
    <w:p w14:paraId="621A403A" w14:textId="77777777" w:rsidR="0025065B" w:rsidRDefault="0025065B" w:rsidP="009D7B43">
      <w:pPr>
        <w:pStyle w:val="Prrafodelista"/>
        <w:tabs>
          <w:tab w:val="left" w:pos="142"/>
          <w:tab w:val="left" w:pos="567"/>
        </w:tabs>
        <w:ind w:left="567" w:right="709"/>
        <w:jc w:val="both"/>
        <w:rPr>
          <w:rFonts w:ascii="Verdana" w:eastAsia="Century Gothic" w:hAnsi="Verdana" w:cs="Century Gothic"/>
          <w:i/>
          <w:iCs/>
          <w:lang w:val="es-CO"/>
        </w:rPr>
      </w:pPr>
    </w:p>
    <w:p w14:paraId="65CCA408" w14:textId="135ED768" w:rsidR="00FE3DEC" w:rsidRPr="00FE3DEC" w:rsidRDefault="00FE3DEC" w:rsidP="00FE3DEC">
      <w:pPr>
        <w:pStyle w:val="Prrafodelista"/>
        <w:tabs>
          <w:tab w:val="left" w:pos="142"/>
        </w:tabs>
        <w:ind w:left="851" w:right="709"/>
        <w:jc w:val="both"/>
        <w:rPr>
          <w:rFonts w:ascii="Verdana" w:eastAsia="Century Gothic" w:hAnsi="Verdana" w:cs="Century Gothic"/>
          <w:i/>
          <w:iCs/>
          <w:lang w:val="es-CO"/>
        </w:rPr>
      </w:pPr>
      <w:r w:rsidRPr="00FE3DEC">
        <w:rPr>
          <w:rFonts w:ascii="Verdana" w:eastAsia="Century Gothic" w:hAnsi="Verdana" w:cs="Century Gothic"/>
          <w:i/>
          <w:iCs/>
          <w:lang w:val="es-CO"/>
        </w:rPr>
        <w:t>Como se evalúa el valor de los contratos en el RUP / los salarios mínimos legales</w:t>
      </w:r>
      <w:r>
        <w:rPr>
          <w:rFonts w:ascii="Verdana" w:eastAsia="Century Gothic" w:hAnsi="Verdana" w:cs="Century Gothic"/>
          <w:i/>
          <w:iCs/>
          <w:lang w:val="es-CO"/>
        </w:rPr>
        <w:t xml:space="preserve"> </w:t>
      </w:r>
      <w:r w:rsidRPr="00FE3DEC">
        <w:rPr>
          <w:rFonts w:ascii="Verdana" w:eastAsia="Century Gothic" w:hAnsi="Verdana" w:cs="Century Gothic"/>
          <w:i/>
          <w:iCs/>
          <w:lang w:val="es-CO"/>
        </w:rPr>
        <w:t>mensuales expresados en el RUP se deben multiplicar por el año en que se</w:t>
      </w:r>
      <w:r>
        <w:rPr>
          <w:rFonts w:ascii="Verdana" w:eastAsia="Century Gothic" w:hAnsi="Verdana" w:cs="Century Gothic"/>
          <w:i/>
          <w:iCs/>
          <w:lang w:val="es-CO"/>
        </w:rPr>
        <w:t xml:space="preserve"> </w:t>
      </w:r>
      <w:r w:rsidRPr="00FE3DEC">
        <w:rPr>
          <w:rFonts w:ascii="Verdana" w:eastAsia="Century Gothic" w:hAnsi="Verdana" w:cs="Century Gothic"/>
          <w:i/>
          <w:iCs/>
          <w:lang w:val="es-CO"/>
        </w:rPr>
        <w:t>suscribieron los contratos o se tienen en cuenta los salarios mínimos actualizados</w:t>
      </w:r>
      <w:r>
        <w:rPr>
          <w:rFonts w:ascii="Verdana" w:eastAsia="Century Gothic" w:hAnsi="Verdana" w:cs="Century Gothic"/>
          <w:i/>
          <w:iCs/>
          <w:lang w:val="es-CO"/>
        </w:rPr>
        <w:t xml:space="preserve"> </w:t>
      </w:r>
      <w:r w:rsidRPr="00FE3DEC">
        <w:rPr>
          <w:rFonts w:ascii="Verdana" w:eastAsia="Century Gothic" w:hAnsi="Verdana" w:cs="Century Gothic"/>
          <w:i/>
          <w:iCs/>
          <w:lang w:val="es-CO"/>
        </w:rPr>
        <w:t>a la fecha de todos los contratos, al momento en que se reciben las ofertas?</w:t>
      </w:r>
    </w:p>
    <w:p w14:paraId="516B83FD" w14:textId="5F988F3F" w:rsidR="0025065B" w:rsidRDefault="00FE3DEC" w:rsidP="00FE3DEC">
      <w:pPr>
        <w:pStyle w:val="Prrafodelista"/>
        <w:tabs>
          <w:tab w:val="left" w:pos="142"/>
        </w:tabs>
        <w:ind w:left="851" w:right="709"/>
        <w:jc w:val="both"/>
        <w:rPr>
          <w:rFonts w:ascii="Verdana" w:eastAsia="Century Gothic" w:hAnsi="Verdana" w:cs="Century Gothic"/>
          <w:i/>
          <w:iCs/>
          <w:lang w:val="es-CO"/>
        </w:rPr>
      </w:pPr>
      <w:r w:rsidRPr="00FE3DEC">
        <w:rPr>
          <w:rFonts w:ascii="Verdana" w:eastAsia="Century Gothic" w:hAnsi="Verdana" w:cs="Century Gothic"/>
          <w:i/>
          <w:iCs/>
          <w:lang w:val="es-CO"/>
        </w:rPr>
        <w:lastRenderedPageBreak/>
        <w:t>Ejemplo: Si la entidad Estatal solicita una experiencia en contratos de 300 SMMLV,</w:t>
      </w:r>
      <w:r>
        <w:rPr>
          <w:rFonts w:ascii="Verdana" w:eastAsia="Century Gothic" w:hAnsi="Verdana" w:cs="Century Gothic"/>
          <w:i/>
          <w:iCs/>
          <w:lang w:val="es-CO"/>
        </w:rPr>
        <w:t xml:space="preserve"> </w:t>
      </w:r>
      <w:r w:rsidRPr="00FE3DEC">
        <w:rPr>
          <w:rFonts w:ascii="Verdana" w:eastAsia="Century Gothic" w:hAnsi="Verdana" w:cs="Century Gothic"/>
          <w:i/>
          <w:iCs/>
          <w:lang w:val="es-CO"/>
        </w:rPr>
        <w:t>para un proceso que recibe ofertas en el año 2025</w:t>
      </w:r>
      <w:r>
        <w:rPr>
          <w:rFonts w:ascii="Verdana" w:eastAsia="Century Gothic" w:hAnsi="Verdana" w:cs="Century Gothic"/>
          <w:i/>
          <w:iCs/>
          <w:lang w:val="es-CO"/>
        </w:rPr>
        <w:t xml:space="preserve"> </w:t>
      </w:r>
      <w:r w:rsidRPr="00FE3DEC">
        <w:rPr>
          <w:rFonts w:ascii="Verdana" w:eastAsia="Century Gothic" w:hAnsi="Verdana" w:cs="Century Gothic"/>
          <w:i/>
          <w:iCs/>
          <w:lang w:val="es-CO"/>
        </w:rPr>
        <w:t>Los tres contratos aportados por cada año suman 300 SMMLV y cumpliría, ó se</w:t>
      </w:r>
      <w:r>
        <w:rPr>
          <w:rFonts w:ascii="Verdana" w:eastAsia="Century Gothic" w:hAnsi="Verdana" w:cs="Century Gothic"/>
          <w:i/>
          <w:iCs/>
          <w:lang w:val="es-CO"/>
        </w:rPr>
        <w:t xml:space="preserve"> </w:t>
      </w:r>
      <w:r w:rsidRPr="00FE3DEC">
        <w:rPr>
          <w:rFonts w:ascii="Verdana" w:eastAsia="Century Gothic" w:hAnsi="Verdana" w:cs="Century Gothic"/>
          <w:i/>
          <w:iCs/>
          <w:lang w:val="es-CO"/>
        </w:rPr>
        <w:t>debe tomar el valor convertido de 272.81 SMMLV y no cumpliría?</w:t>
      </w:r>
    </w:p>
    <w:p w14:paraId="4A1949FF" w14:textId="53325DD6" w:rsidR="00955D18" w:rsidRPr="00022742" w:rsidRDefault="0025065B" w:rsidP="00B115DB">
      <w:pPr>
        <w:tabs>
          <w:tab w:val="left" w:pos="142"/>
          <w:tab w:val="left" w:pos="567"/>
        </w:tabs>
        <w:ind w:left="567" w:right="709"/>
        <w:jc w:val="both"/>
        <w:rPr>
          <w:rFonts w:ascii="Verdana" w:eastAsia="Century Gothic" w:hAnsi="Verdana" w:cs="Century Gothic"/>
          <w:i/>
          <w:iCs/>
        </w:rPr>
      </w:pPr>
      <w:r>
        <w:rPr>
          <w:rFonts w:ascii="Verdana" w:eastAsia="Century Gothic" w:hAnsi="Verdana" w:cs="Century Gothic"/>
          <w:i/>
          <w:iCs/>
        </w:rPr>
        <w:t xml:space="preserve">    </w:t>
      </w:r>
      <w:r w:rsidR="009D04B0" w:rsidRPr="00022742">
        <w:rPr>
          <w:rFonts w:ascii="Verdana" w:eastAsia="Century Gothic" w:hAnsi="Verdana" w:cs="Century Gothic"/>
          <w:i/>
          <w:iCs/>
        </w:rPr>
        <w:t>(…)</w:t>
      </w:r>
      <w:r w:rsidR="008A772E" w:rsidRPr="00022742">
        <w:rPr>
          <w:rFonts w:ascii="Verdana" w:eastAsia="Century Gothic" w:hAnsi="Verdana" w:cs="Century Gothic"/>
          <w:i/>
          <w:iCs/>
        </w:rPr>
        <w:t>”</w:t>
      </w:r>
      <w:r w:rsidR="00955D18" w:rsidRPr="00022742">
        <w:rPr>
          <w:rFonts w:ascii="Verdana" w:eastAsia="Century Gothic" w:hAnsi="Verdana" w:cs="Century Gothic"/>
          <w:i/>
          <w:iCs/>
        </w:rPr>
        <w:t xml:space="preserve"> </w:t>
      </w:r>
    </w:p>
    <w:p w14:paraId="7EDE0C68" w14:textId="217D55E2" w:rsidR="00E6781E" w:rsidRPr="00AA3B9F" w:rsidRDefault="00E6781E" w:rsidP="00E6781E">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sidR="00BD77C4">
        <w:rPr>
          <w:rFonts w:ascii="Verdana" w:eastAsia="Calibri" w:hAnsi="Verdana" w:cs="Arial"/>
          <w:lang w:val="es-ES" w:eastAsia="es-ES"/>
        </w:rPr>
        <w:t>E</w:t>
      </w:r>
      <w:r w:rsidRPr="00AA3B9F">
        <w:rPr>
          <w:rFonts w:ascii="Verdana" w:eastAsia="Calibri" w:hAnsi="Verdana" w:cs="Arial"/>
          <w:lang w:val="es-ES" w:eastAsia="es-ES"/>
        </w:rPr>
        <w:t xml:space="preserve">ntidades </w:t>
      </w:r>
      <w:r w:rsidR="00BD77C4">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278EE459" w14:textId="2857582B" w:rsidR="00E6781E" w:rsidRPr="00AA3B9F" w:rsidRDefault="00E6781E" w:rsidP="00E6781E">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00E21BD1" w:rsidRPr="00E21BD1">
        <w:t xml:space="preserve"> </w:t>
      </w:r>
    </w:p>
    <w:p w14:paraId="1CE7668C" w14:textId="77777777" w:rsidR="000F4D98" w:rsidRDefault="000F4D98" w:rsidP="007D5768">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6704925" w14:textId="632E0F47" w:rsidR="007D5768" w:rsidRDefault="007D5768" w:rsidP="007D576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sidR="00E136A2">
        <w:rPr>
          <w:rFonts w:ascii="Verdana" w:eastAsia="Century Gothic" w:hAnsi="Verdana" w:cs="Century Gothic"/>
          <w:b/>
          <w:bCs/>
        </w:rPr>
        <w:t xml:space="preserve"> </w:t>
      </w:r>
      <w:r>
        <w:rPr>
          <w:rFonts w:ascii="Verdana" w:eastAsia="Century Gothic" w:hAnsi="Verdana" w:cs="Century Gothic"/>
          <w:b/>
          <w:bCs/>
        </w:rPr>
        <w:t xml:space="preserve">jurídico </w:t>
      </w:r>
      <w:r w:rsidRPr="00593A5F">
        <w:rPr>
          <w:rFonts w:ascii="Verdana" w:eastAsia="Century Gothic" w:hAnsi="Verdana" w:cs="Century Gothic"/>
          <w:b/>
          <w:bCs/>
        </w:rPr>
        <w:t>planteado:</w:t>
      </w:r>
    </w:p>
    <w:p w14:paraId="1CBB0F77" w14:textId="77777777" w:rsidR="00E21BD1" w:rsidRDefault="00E21BD1" w:rsidP="00E21BD1">
      <w:pPr>
        <w:pStyle w:val="Prrafodelista"/>
        <w:tabs>
          <w:tab w:val="left" w:pos="142"/>
          <w:tab w:val="left" w:pos="284"/>
        </w:tabs>
        <w:spacing w:after="0" w:line="276" w:lineRule="auto"/>
        <w:ind w:left="0"/>
        <w:jc w:val="both"/>
        <w:rPr>
          <w:rFonts w:ascii="Verdana" w:eastAsia="Century Gothic" w:hAnsi="Verdana" w:cs="Century Gothic"/>
          <w:b/>
          <w:bCs/>
        </w:rPr>
      </w:pPr>
    </w:p>
    <w:p w14:paraId="681D2C35" w14:textId="6CED9DB8" w:rsidR="000446BC" w:rsidRDefault="00E21BD1" w:rsidP="00E21BD1">
      <w:pPr>
        <w:pStyle w:val="Prrafodelista"/>
        <w:tabs>
          <w:tab w:val="left" w:pos="142"/>
          <w:tab w:val="left" w:pos="284"/>
        </w:tabs>
        <w:spacing w:after="0" w:line="276" w:lineRule="auto"/>
        <w:ind w:left="0"/>
        <w:jc w:val="both"/>
        <w:rPr>
          <w:rFonts w:ascii="Verdana" w:eastAsia="Calibri" w:hAnsi="Verdana" w:cs="Arial"/>
          <w:lang w:eastAsia="es-ES"/>
        </w:rPr>
      </w:pPr>
      <w:r>
        <w:rPr>
          <w:rFonts w:ascii="Verdana" w:eastAsia="Calibri" w:hAnsi="Verdana" w:cs="Arial"/>
          <w:lang w:eastAsia="es-ES"/>
        </w:rPr>
        <w:tab/>
      </w:r>
      <w:r>
        <w:rPr>
          <w:rFonts w:ascii="Verdana" w:eastAsia="Calibri" w:hAnsi="Verdana" w:cs="Arial"/>
          <w:lang w:eastAsia="es-ES"/>
        </w:rPr>
        <w:tab/>
      </w:r>
      <w:r w:rsidR="004E2AB9">
        <w:rPr>
          <w:rFonts w:ascii="Verdana" w:eastAsia="Calibri" w:hAnsi="Verdana" w:cs="Arial"/>
          <w:lang w:eastAsia="es-ES"/>
        </w:rPr>
        <w:t xml:space="preserve">    </w:t>
      </w:r>
      <w:r w:rsidRPr="00E21BD1">
        <w:rPr>
          <w:rFonts w:ascii="Verdana" w:eastAsia="Calibri" w:hAnsi="Verdana" w:cs="Arial"/>
          <w:lang w:eastAsia="es-ES"/>
        </w:rPr>
        <w:t xml:space="preserve">De acuerdo con el contenido de su solicitud, esta Agencia resolverá </w:t>
      </w:r>
      <w:r w:rsidR="00FE3DEC">
        <w:rPr>
          <w:rFonts w:ascii="Verdana" w:eastAsia="Calibri" w:hAnsi="Verdana" w:cs="Arial"/>
          <w:lang w:eastAsia="es-ES"/>
        </w:rPr>
        <w:t xml:space="preserve">el </w:t>
      </w:r>
      <w:r w:rsidRPr="00E21BD1">
        <w:rPr>
          <w:rFonts w:ascii="Verdana" w:eastAsia="Calibri" w:hAnsi="Verdana" w:cs="Arial"/>
          <w:lang w:eastAsia="es-ES"/>
        </w:rPr>
        <w:t>siguiente problema jurídico:</w:t>
      </w:r>
      <w:r w:rsidR="00FE3DEC">
        <w:rPr>
          <w:rFonts w:ascii="Verdana" w:eastAsia="Calibri" w:hAnsi="Verdana" w:cs="Arial"/>
          <w:lang w:eastAsia="es-ES"/>
        </w:rPr>
        <w:t xml:space="preserve"> </w:t>
      </w:r>
      <w:r w:rsidR="00FE3DEC" w:rsidRPr="00FE3DEC">
        <w:rPr>
          <w:rFonts w:ascii="Verdana" w:eastAsia="Calibri" w:hAnsi="Verdana" w:cs="Arial"/>
          <w:lang w:val="es-CO" w:eastAsia="es-ES"/>
        </w:rPr>
        <w:t xml:space="preserve">¿Para efectos de acreditar experiencia en un proceso de contratación estatal, el valor de los contratos registrados en el RUP en SMMLV debe calcularse con base en el salario mínimo vigente al momento </w:t>
      </w:r>
      <w:r w:rsidR="00FE3DEC" w:rsidRPr="00FE3DEC">
        <w:rPr>
          <w:rFonts w:ascii="Verdana" w:eastAsia="Calibri" w:hAnsi="Verdana" w:cs="Arial"/>
          <w:lang w:val="es-CO" w:eastAsia="es-ES"/>
        </w:rPr>
        <w:lastRenderedPageBreak/>
        <w:t>de la suscripción de cada contrato o con base en el salario mínimo vigente al momento de presentar la oferta?</w:t>
      </w:r>
    </w:p>
    <w:p w14:paraId="2F3A121A" w14:textId="77777777" w:rsidR="00B115DB" w:rsidRDefault="00B115DB" w:rsidP="00E21BD1">
      <w:pPr>
        <w:pStyle w:val="Prrafodelista"/>
        <w:tabs>
          <w:tab w:val="left" w:pos="142"/>
          <w:tab w:val="left" w:pos="284"/>
        </w:tabs>
        <w:spacing w:after="0" w:line="276" w:lineRule="auto"/>
        <w:ind w:left="0"/>
        <w:jc w:val="both"/>
        <w:rPr>
          <w:rFonts w:ascii="Verdana" w:eastAsia="Calibri" w:hAnsi="Verdana" w:cs="Arial"/>
          <w:lang w:val="es-CO" w:eastAsia="es-ES"/>
        </w:rPr>
      </w:pPr>
      <w:bookmarkStart w:id="5" w:name="_Hlk196737317"/>
    </w:p>
    <w:bookmarkEnd w:id="5"/>
    <w:p w14:paraId="0FABB1D4" w14:textId="77777777" w:rsidR="007D5768" w:rsidRPr="00593A5F" w:rsidRDefault="007D5768" w:rsidP="007D57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8D1DC7E" w14:textId="77777777" w:rsidR="007D5768" w:rsidRPr="00593A5F" w:rsidRDefault="007D5768" w:rsidP="007D576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779"/>
      </w:tblGrid>
      <w:tr w:rsidR="007D5768" w:rsidRPr="00593A5F" w14:paraId="2BAE82EC" w14:textId="77777777" w:rsidTr="00E1079D">
        <w:tc>
          <w:tcPr>
            <w:tcW w:w="8828" w:type="dxa"/>
            <w:shd w:val="clear" w:color="auto" w:fill="auto"/>
          </w:tcPr>
          <w:p w14:paraId="6561B3A9" w14:textId="77777777" w:rsidR="00642AA4" w:rsidRDefault="007F5013" w:rsidP="00642AA4">
            <w:pPr>
              <w:spacing w:line="276" w:lineRule="auto"/>
              <w:ind w:firstLine="360"/>
              <w:contextualSpacing/>
              <w:jc w:val="both"/>
              <w:rPr>
                <w:rFonts w:ascii="Verdana" w:eastAsia="Calibri" w:hAnsi="Verdana" w:cs="Arial"/>
                <w:bCs/>
                <w:lang w:val="es-ES_tradnl"/>
              </w:rPr>
            </w:pPr>
            <w:r>
              <w:rPr>
                <w:rFonts w:ascii="Verdana" w:eastAsia="Calibri" w:hAnsi="Verdana" w:cs="Arial"/>
                <w:bCs/>
                <w:lang w:val="es-ES_tradnl"/>
              </w:rPr>
              <w:t xml:space="preserve">      </w:t>
            </w:r>
          </w:p>
          <w:p w14:paraId="7B4B2426" w14:textId="4FC72758" w:rsidR="00955A30" w:rsidRDefault="00D67CDA" w:rsidP="007C4B5D">
            <w:pPr>
              <w:widowControl w:val="0"/>
              <w:autoSpaceDE w:val="0"/>
              <w:autoSpaceDN w:val="0"/>
              <w:spacing w:line="276" w:lineRule="auto"/>
              <w:jc w:val="both"/>
              <w:rPr>
                <w:rFonts w:ascii="Verdana" w:eastAsia="Calibri" w:hAnsi="Verdana" w:cs="Times New Roman"/>
                <w:lang w:val="es-ES"/>
              </w:rPr>
            </w:pPr>
            <w:r>
              <w:rPr>
                <w:rFonts w:ascii="Verdana" w:eastAsia="Calibri" w:hAnsi="Verdana" w:cs="Times New Roman"/>
                <w:lang w:val="es-ES"/>
              </w:rPr>
              <w:t xml:space="preserve">          El </w:t>
            </w:r>
            <w:r w:rsidRPr="00D67CDA">
              <w:rPr>
                <w:rFonts w:ascii="Verdana" w:eastAsia="Calibri" w:hAnsi="Verdana" w:cs="Times New Roman"/>
                <w:lang w:val="es-ES"/>
              </w:rPr>
              <w:t xml:space="preserve">valor total de los contratos debe liquidarse en pesos colombianos según el salario mínimo mensual legal vigente para el momento en el que se realiza la presentación de la oferta. Esta conversión de salarios a pesos encuentra fundamento, por un lado, en los criterios expuestos en la </w:t>
            </w:r>
            <w:bookmarkStart w:id="6" w:name="_Hlk197098497"/>
            <w:r>
              <w:rPr>
                <w:rFonts w:ascii="Verdana" w:eastAsia="Calibri" w:hAnsi="Verdana" w:cs="Times New Roman"/>
                <w:lang w:val="es-ES"/>
              </w:rPr>
              <w:t>“</w:t>
            </w:r>
            <w:r w:rsidRPr="00D67CDA">
              <w:rPr>
                <w:rFonts w:ascii="Verdana" w:eastAsia="Calibri" w:hAnsi="Verdana" w:cs="Times New Roman"/>
                <w:lang w:val="es-ES"/>
              </w:rPr>
              <w:t>Guía para Determinar y Verificar la Capacidad Residual del Proponente en los Procesos de Contratación de Obra Pública</w:t>
            </w:r>
            <w:r>
              <w:rPr>
                <w:rFonts w:ascii="Verdana" w:eastAsia="Calibri" w:hAnsi="Verdana" w:cs="Times New Roman"/>
                <w:lang w:val="es-ES"/>
              </w:rPr>
              <w:t>”</w:t>
            </w:r>
            <w:bookmarkEnd w:id="6"/>
            <w:r w:rsidRPr="00D67CDA">
              <w:rPr>
                <w:rFonts w:ascii="Verdana" w:eastAsia="Calibri" w:hAnsi="Verdana" w:cs="Times New Roman"/>
                <w:lang w:val="es-ES"/>
              </w:rPr>
              <w:t>, particularmente en lo que señala el párrafo 5 de la página 7 de dicho documento. Por otro lado, se justifica en el hecho de que la fórmula a aplicar requiere que la información se exprese en pesos y no en SMMLV</w:t>
            </w:r>
            <w:r>
              <w:rPr>
                <w:rFonts w:ascii="Verdana" w:eastAsia="Calibri" w:hAnsi="Verdana" w:cs="Times New Roman"/>
                <w:lang w:val="es-ES"/>
              </w:rPr>
              <w:t>.</w:t>
            </w:r>
          </w:p>
          <w:p w14:paraId="70DCDAC1" w14:textId="77777777" w:rsidR="00D67CDA" w:rsidRDefault="00D67CDA" w:rsidP="007C4B5D">
            <w:pPr>
              <w:widowControl w:val="0"/>
              <w:autoSpaceDE w:val="0"/>
              <w:autoSpaceDN w:val="0"/>
              <w:spacing w:line="276" w:lineRule="auto"/>
              <w:jc w:val="both"/>
              <w:rPr>
                <w:rFonts w:ascii="Verdana" w:eastAsia="Calibri" w:hAnsi="Verdana" w:cs="Arial"/>
                <w:bCs/>
                <w:lang w:val="es-ES_tradnl"/>
              </w:rPr>
            </w:pPr>
          </w:p>
          <w:p w14:paraId="282FF45C" w14:textId="64C9E0F2" w:rsidR="00B115DB" w:rsidRPr="00DB4737" w:rsidRDefault="00FD1A7E" w:rsidP="007A663E">
            <w:pPr>
              <w:spacing w:line="276" w:lineRule="auto"/>
              <w:ind w:firstLine="360"/>
              <w:contextualSpacing/>
              <w:jc w:val="both"/>
              <w:rPr>
                <w:rFonts w:ascii="Verdana" w:eastAsia="Calibri" w:hAnsi="Verdana" w:cs="Times New Roman"/>
                <w:lang w:val="es-ES"/>
              </w:rPr>
            </w:pPr>
            <w:r>
              <w:rPr>
                <w:rFonts w:ascii="Verdana" w:eastAsia="Calibri" w:hAnsi="Verdana" w:cs="Arial"/>
                <w:bCs/>
                <w:color w:val="000000" w:themeColor="text1"/>
              </w:rPr>
              <w:t xml:space="preserve">       </w:t>
            </w:r>
            <w:r w:rsidR="00FE27F2">
              <w:rPr>
                <w:rFonts w:ascii="Verdana" w:eastAsia="Calibri" w:hAnsi="Verdana" w:cs="Arial"/>
                <w:bCs/>
                <w:color w:val="000000" w:themeColor="text1"/>
              </w:rPr>
              <w:t>Finalmente</w:t>
            </w:r>
            <w:r w:rsidR="00BF7F57">
              <w:rPr>
                <w:rFonts w:ascii="Verdana" w:eastAsia="Calibri" w:hAnsi="Verdana" w:cs="Times New Roman"/>
                <w:lang w:val="es-ES"/>
              </w:rPr>
              <w:t>,</w:t>
            </w:r>
            <w:r w:rsidR="00B115DB" w:rsidRPr="00DB4737">
              <w:rPr>
                <w:rFonts w:ascii="Verdana" w:eastAsia="Calibri" w:hAnsi="Verdana" w:cs="Times New Roman"/>
                <w:lang w:val="es-ES"/>
              </w:rPr>
              <w:t xml:space="preserve"> debe advertirse que el análisis para resolver problemas específicos en torno a </w:t>
            </w:r>
            <w:r w:rsidR="0012388D">
              <w:rPr>
                <w:rFonts w:ascii="Verdana" w:eastAsia="Calibri" w:hAnsi="Verdana" w:cs="Times New Roman"/>
                <w:lang w:val="es-ES"/>
              </w:rPr>
              <w:t>procedimientos contractuales</w:t>
            </w:r>
            <w:r w:rsidR="007A663E">
              <w:rPr>
                <w:rFonts w:ascii="Verdana" w:eastAsia="Calibri" w:hAnsi="Verdana" w:cs="Times New Roman"/>
                <w:lang w:val="es-ES"/>
              </w:rPr>
              <w:t xml:space="preserve"> </w:t>
            </w:r>
            <w:r w:rsidR="0012388D">
              <w:rPr>
                <w:rFonts w:ascii="Verdana" w:eastAsia="Calibri" w:hAnsi="Verdana" w:cs="Times New Roman"/>
                <w:lang w:val="es-ES"/>
              </w:rPr>
              <w:t>debe</w:t>
            </w:r>
            <w:r w:rsidR="00B115DB" w:rsidRPr="0012388D">
              <w:rPr>
                <w:rFonts w:ascii="Verdana" w:eastAsia="Calibri" w:hAnsi="Verdana" w:cs="Times New Roman"/>
                <w:lang w:val="es-ES"/>
              </w:rPr>
              <w:t xml:space="preserve"> ser realizado por quienes tengan interés en ello.</w:t>
            </w:r>
            <w:r w:rsidR="00B115DB"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w:t>
            </w:r>
            <w:r w:rsidR="0012388D" w:rsidRPr="00DB4737">
              <w:rPr>
                <w:rFonts w:ascii="Verdana" w:eastAsia="Calibri" w:hAnsi="Verdana" w:cs="Times New Roman"/>
                <w:lang w:val="es-ES"/>
              </w:rPr>
              <w:t>particulares</w:t>
            </w:r>
            <w:r w:rsidR="00B115DB" w:rsidRPr="00DB4737">
              <w:rPr>
                <w:rFonts w:ascii="Verdana" w:eastAsia="Calibri" w:hAnsi="Verdana" w:cs="Times New Roman"/>
                <w:lang w:val="es-ES"/>
              </w:rPr>
              <w:t xml:space="preserve"> corresponderá a los interesados de adoptar la decisión y, en caso de conflicto, a las autoridades judiciales, fiscales y disciplinarias.</w:t>
            </w:r>
            <w:r w:rsidR="00642AA4">
              <w:t xml:space="preserve"> </w:t>
            </w:r>
          </w:p>
          <w:p w14:paraId="52BE4875" w14:textId="77777777" w:rsidR="00B115DB" w:rsidRPr="00DB4737" w:rsidRDefault="00B115DB" w:rsidP="00B115DB">
            <w:pPr>
              <w:ind w:left="720"/>
              <w:contextualSpacing/>
              <w:rPr>
                <w:rFonts w:ascii="Verdana" w:eastAsia="Calibri" w:hAnsi="Verdana" w:cs="Times New Roman"/>
                <w:lang w:val="es-ES"/>
              </w:rPr>
            </w:pPr>
          </w:p>
          <w:p w14:paraId="47EEB54F" w14:textId="2D9C586A" w:rsidR="00CC277F" w:rsidRPr="00831CDD" w:rsidRDefault="00CD4A54" w:rsidP="00722741">
            <w:pPr>
              <w:spacing w:line="276" w:lineRule="auto"/>
              <w:ind w:firstLine="360"/>
              <w:contextualSpacing/>
              <w:jc w:val="both"/>
              <w:rPr>
                <w:rFonts w:ascii="Verdana" w:hAnsi="Verdana" w:cs="Arial"/>
                <w:bCs/>
                <w:color w:val="000000" w:themeColor="text1"/>
              </w:rPr>
            </w:pPr>
            <w:r>
              <w:rPr>
                <w:rFonts w:ascii="Verdana" w:eastAsia="Calibri" w:hAnsi="Verdana" w:cs="Times New Roman"/>
                <w:lang w:val="es-ES"/>
              </w:rPr>
              <w:t xml:space="preserve">     </w:t>
            </w:r>
            <w:r w:rsidR="00B115DB"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7D5768" w:rsidRPr="00593A5F" w14:paraId="43648ADC" w14:textId="77777777" w:rsidTr="00E1079D">
        <w:tc>
          <w:tcPr>
            <w:tcW w:w="8828" w:type="dxa"/>
            <w:shd w:val="clear" w:color="auto" w:fill="auto"/>
          </w:tcPr>
          <w:p w14:paraId="60E16ECD" w14:textId="77777777" w:rsidR="007D5768" w:rsidRPr="002973E9" w:rsidRDefault="007D5768" w:rsidP="00E1079D">
            <w:pPr>
              <w:spacing w:line="276" w:lineRule="auto"/>
              <w:jc w:val="both"/>
              <w:rPr>
                <w:rFonts w:ascii="Verdana" w:eastAsia="Calibri" w:hAnsi="Verdana" w:cs="Arial"/>
                <w:lang w:val="es-ES"/>
              </w:rPr>
            </w:pPr>
          </w:p>
        </w:tc>
      </w:tr>
    </w:tbl>
    <w:p w14:paraId="032FF257" w14:textId="77777777" w:rsidR="007D5768" w:rsidRDefault="007D5768" w:rsidP="007D5768">
      <w:pPr>
        <w:tabs>
          <w:tab w:val="left" w:pos="142"/>
          <w:tab w:val="left" w:pos="284"/>
        </w:tabs>
        <w:spacing w:after="0" w:line="276" w:lineRule="auto"/>
        <w:jc w:val="both"/>
        <w:rPr>
          <w:rFonts w:ascii="Verdana" w:eastAsia="Century Gothic" w:hAnsi="Verdana" w:cs="Century Gothic"/>
          <w:b/>
          <w:bCs/>
          <w:lang w:val="es-ES"/>
        </w:rPr>
      </w:pPr>
    </w:p>
    <w:p w14:paraId="6170B3F8" w14:textId="77777777" w:rsidR="007D5768" w:rsidRPr="00593A5F" w:rsidRDefault="007D5768" w:rsidP="007D57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8D65F6B" w14:textId="77777777" w:rsidR="00E34B50" w:rsidRDefault="00E34B50" w:rsidP="00E34B50">
      <w:pPr>
        <w:spacing w:line="276" w:lineRule="auto"/>
        <w:jc w:val="both"/>
        <w:rPr>
          <w:rFonts w:ascii="Arial" w:eastAsia="Calibri" w:hAnsi="Arial" w:cs="Arial"/>
          <w:color w:val="000000" w:themeColor="text1"/>
        </w:rPr>
      </w:pPr>
    </w:p>
    <w:p w14:paraId="48B21670" w14:textId="4EF930EA" w:rsidR="00E34B50" w:rsidRPr="00E34B50" w:rsidRDefault="00E34B50" w:rsidP="00E34B50">
      <w:pPr>
        <w:spacing w:line="276" w:lineRule="auto"/>
        <w:ind w:firstLine="708"/>
        <w:jc w:val="both"/>
        <w:rPr>
          <w:rFonts w:ascii="Verdana" w:eastAsia="Calibri" w:hAnsi="Verdana" w:cs="Arial"/>
          <w:color w:val="000000" w:themeColor="text1"/>
        </w:rPr>
      </w:pPr>
      <w:r w:rsidRPr="00E34B50">
        <w:rPr>
          <w:rFonts w:ascii="Verdana" w:eastAsia="Calibri" w:hAnsi="Verdana" w:cs="Arial"/>
          <w:color w:val="000000" w:themeColor="text1"/>
        </w:rPr>
        <w:t>La contratación pública involucra, entre otras relaciones, la interacción entre la Administración Pública y quienes buscan ofrecerle al Estado los bienes, obras o servicios que requiere para satisfacer sus necesidades, y en esa medida cumplir con el fin principal que es satisfacer el interés general. Por tanto, esa relación entre el Estado y los proveedores se enmarca en las reglas establecidas en la normativa del Sistema de Compra Pública, con el fin de procurar un equilibrio y el cumplimiento de los principios de la contratación pública, entre otros objetivos.</w:t>
      </w:r>
    </w:p>
    <w:p w14:paraId="7313ABD7" w14:textId="77777777" w:rsidR="00E34B50" w:rsidRPr="00E34B50" w:rsidRDefault="00E34B50" w:rsidP="00E34B50">
      <w:pPr>
        <w:spacing w:before="120" w:after="120" w:line="276" w:lineRule="auto"/>
        <w:ind w:firstLine="708"/>
        <w:jc w:val="both"/>
        <w:rPr>
          <w:rFonts w:ascii="Verdana" w:eastAsia="Calibri" w:hAnsi="Verdana" w:cs="Arial"/>
          <w:color w:val="000000" w:themeColor="text1"/>
        </w:rPr>
      </w:pPr>
      <w:r w:rsidRPr="00E34B50">
        <w:rPr>
          <w:rFonts w:ascii="Verdana" w:eastAsia="Calibri" w:hAnsi="Verdana" w:cs="Arial"/>
          <w:color w:val="000000" w:themeColor="text1"/>
        </w:rPr>
        <w:t>Por consiguiente, la normativa contractual contiene disposiciones que le indican a la entidad las actividades y documentos que debe desarrollar en sus procedimientos contractuales, y con base en ello los proveedores pueden conocer los aspectos del objeto de la contratación para presentar sus ofertas, teniendo en cuenta los parámetros que define la entidad en la etapa de planeación del proceso, de acuerdo con las normas relacionadas con la adquisición de que se trate, y que quedan definidos en el pliego de condiciones o documentos equivalentes</w:t>
      </w:r>
      <w:r w:rsidRPr="00E34B50">
        <w:rPr>
          <w:rStyle w:val="Refdenotaalpie"/>
          <w:rFonts w:ascii="Verdana" w:eastAsia="Calibri" w:hAnsi="Verdana" w:cs="Arial"/>
          <w:color w:val="000000" w:themeColor="text1"/>
        </w:rPr>
        <w:footnoteReference w:id="1"/>
      </w:r>
      <w:r w:rsidRPr="00E34B50">
        <w:rPr>
          <w:rFonts w:ascii="Verdana" w:eastAsia="Calibri" w:hAnsi="Verdana" w:cs="Arial"/>
          <w:color w:val="000000" w:themeColor="text1"/>
        </w:rPr>
        <w:t xml:space="preserve">. </w:t>
      </w:r>
    </w:p>
    <w:p w14:paraId="54B43930" w14:textId="77777777" w:rsidR="00E34B50" w:rsidRPr="00E34B50" w:rsidRDefault="00E34B50" w:rsidP="00E34B50">
      <w:pPr>
        <w:spacing w:before="120" w:after="120" w:line="276" w:lineRule="auto"/>
        <w:ind w:firstLine="708"/>
        <w:jc w:val="both"/>
        <w:rPr>
          <w:rFonts w:ascii="Verdana" w:eastAsia="Calibri" w:hAnsi="Verdana" w:cs="Arial"/>
          <w:color w:val="000000" w:themeColor="text1"/>
        </w:rPr>
      </w:pPr>
      <w:r w:rsidRPr="00E34B50">
        <w:rPr>
          <w:rFonts w:ascii="Verdana" w:eastAsia="Calibri" w:hAnsi="Verdana" w:cs="Arial"/>
          <w:color w:val="000000" w:themeColor="text1"/>
        </w:rPr>
        <w:t xml:space="preserve">En ese sentido, se debe tener en cuenta que de acuerdo con la Ley 80 de 1993, quienes pueden ser proveedores del Estado son las personas </w:t>
      </w:r>
      <w:r w:rsidRPr="00E34B50">
        <w:rPr>
          <w:rFonts w:ascii="Verdana" w:eastAsia="Calibri" w:hAnsi="Verdana" w:cs="Arial"/>
          <w:color w:val="000000" w:themeColor="text1"/>
        </w:rPr>
        <w:lastRenderedPageBreak/>
        <w:t>consideradas legalmente capaces, como las personas jurídicas</w:t>
      </w:r>
      <w:r w:rsidRPr="00E34B50">
        <w:rPr>
          <w:rStyle w:val="Refdenotaalpie"/>
          <w:rFonts w:ascii="Verdana" w:eastAsia="Calibri" w:hAnsi="Verdana" w:cs="Arial"/>
          <w:color w:val="000000" w:themeColor="text1"/>
        </w:rPr>
        <w:footnoteReference w:id="2"/>
      </w:r>
      <w:r w:rsidRPr="00E34B50">
        <w:rPr>
          <w:rFonts w:ascii="Verdana" w:eastAsia="Calibri" w:hAnsi="Verdana" w:cs="Arial"/>
          <w:color w:val="000000" w:themeColor="text1"/>
        </w:rPr>
        <w:t>, que de acuerdo con el Código Civil tienen capacidad para ejercer derechos y contraer obligaciones, por ende tienen capacidad jurídica. Un tipo de persona jurídica son las sociedades comerciales</w:t>
      </w:r>
      <w:r w:rsidRPr="00E34B50">
        <w:rPr>
          <w:rStyle w:val="Refdenotaalpie"/>
          <w:rFonts w:ascii="Verdana" w:eastAsia="Calibri" w:hAnsi="Verdana" w:cs="Arial"/>
          <w:color w:val="000000" w:themeColor="text1"/>
        </w:rPr>
        <w:footnoteReference w:id="3"/>
      </w:r>
      <w:r w:rsidRPr="00E34B50">
        <w:rPr>
          <w:rFonts w:ascii="Verdana" w:eastAsia="Calibri" w:hAnsi="Verdana" w:cs="Arial"/>
          <w:color w:val="000000" w:themeColor="text1"/>
        </w:rPr>
        <w:t xml:space="preserve"> reguladas, principalmente, en el Código de Comercio</w:t>
      </w:r>
      <w:r w:rsidRPr="00E34B50">
        <w:rPr>
          <w:rStyle w:val="Refdenotaalpie"/>
          <w:rFonts w:ascii="Verdana" w:eastAsia="Calibri" w:hAnsi="Verdana" w:cs="Arial"/>
          <w:color w:val="000000" w:themeColor="text1"/>
        </w:rPr>
        <w:footnoteReference w:id="4"/>
      </w:r>
      <w:r w:rsidRPr="00E34B50">
        <w:rPr>
          <w:rFonts w:ascii="Verdana" w:eastAsia="Calibri" w:hAnsi="Verdana" w:cs="Arial"/>
          <w:color w:val="000000" w:themeColor="text1"/>
        </w:rPr>
        <w:t xml:space="preserve">, donde se establece la posibilidad de que existan matrices y subordinadas de estas.   </w:t>
      </w:r>
    </w:p>
    <w:p w14:paraId="2102B770" w14:textId="77777777" w:rsidR="00E34B50" w:rsidRPr="00E34B50" w:rsidRDefault="00E34B50" w:rsidP="00E34B50">
      <w:pPr>
        <w:spacing w:before="120" w:after="120" w:line="276" w:lineRule="auto"/>
        <w:ind w:firstLine="708"/>
        <w:jc w:val="both"/>
        <w:rPr>
          <w:rFonts w:ascii="Verdana" w:eastAsia="Calibri" w:hAnsi="Verdana" w:cs="Arial"/>
          <w:color w:val="000000" w:themeColor="text1"/>
          <w:highlight w:val="yellow"/>
        </w:rPr>
      </w:pPr>
      <w:bookmarkStart w:id="9" w:name="_Hlk197098531"/>
      <w:r w:rsidRPr="00E34B50">
        <w:rPr>
          <w:rFonts w:ascii="Verdana" w:eastAsia="Calibri" w:hAnsi="Verdana" w:cs="Arial"/>
          <w:color w:val="000000" w:themeColor="text1"/>
        </w:rPr>
        <w:t>La Ley 1150 de 2007, en el artículo 5</w:t>
      </w:r>
      <w:bookmarkEnd w:id="9"/>
      <w:r w:rsidRPr="00E34B50">
        <w:rPr>
          <w:rFonts w:ascii="Verdana" w:eastAsia="Calibri" w:hAnsi="Verdana" w:cs="Arial"/>
          <w:color w:val="000000" w:themeColor="text1"/>
        </w:rPr>
        <w:t>,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E34B50">
        <w:rPr>
          <w:rStyle w:val="Refdenotaalpie"/>
          <w:rFonts w:ascii="Verdana" w:eastAsia="Calibri" w:hAnsi="Verdana" w:cs="Arial"/>
          <w:color w:val="000000" w:themeColor="text1"/>
        </w:rPr>
        <w:footnoteReference w:id="5"/>
      </w:r>
      <w:r w:rsidRPr="00E34B50">
        <w:rPr>
          <w:rFonts w:ascii="Verdana" w:eastAsia="Calibri" w:hAnsi="Verdana" w:cs="Arial"/>
          <w:color w:val="000000" w:themeColor="text1"/>
        </w:rPr>
        <w:t xml:space="preserve">. En ese sentido, la entidad, como </w:t>
      </w:r>
      <w:r w:rsidRPr="00E34B50">
        <w:rPr>
          <w:rFonts w:ascii="Verdana" w:eastAsia="Calibri" w:hAnsi="Verdana" w:cs="Arial"/>
          <w:color w:val="000000" w:themeColor="text1"/>
        </w:rPr>
        <w:lastRenderedPageBreak/>
        <w:t xml:space="preserve">responsable de la estructuración de su procedimiento de contratación, es autónoma para requerir la experiencia necesaria para el objeto contractual que se pretende satisfacer con el procedimiento, para lo cual, de acuerdo con el </w:t>
      </w:r>
      <w:bookmarkStart w:id="10" w:name="_Hlk197098539"/>
      <w:r w:rsidRPr="00E34B50">
        <w:rPr>
          <w:rFonts w:ascii="Verdana" w:eastAsia="Calibri" w:hAnsi="Verdana" w:cs="Arial"/>
          <w:color w:val="000000" w:themeColor="text1"/>
        </w:rPr>
        <w:t>artículo 2.2.1.1.1.6.2. del Decreto 1082 de 2015</w:t>
      </w:r>
      <w:bookmarkEnd w:id="10"/>
      <w:r w:rsidRPr="00E34B50">
        <w:rPr>
          <w:rFonts w:ascii="Verdana" w:eastAsia="Calibri" w:hAnsi="Verdana" w:cs="Arial"/>
          <w:color w:val="000000" w:themeColor="text1"/>
        </w:rPr>
        <w:t>, debe tener en cuenta el estudio del sector y sus componentes como la identificación de riesgos, el mercado y precio del bien, obra o servicio a contratar</w:t>
      </w:r>
      <w:r w:rsidRPr="00E34B50">
        <w:rPr>
          <w:rStyle w:val="Refdenotaalpie"/>
          <w:rFonts w:ascii="Verdana" w:eastAsia="Calibri" w:hAnsi="Verdana" w:cs="Arial"/>
          <w:color w:val="000000" w:themeColor="text1"/>
        </w:rPr>
        <w:footnoteReference w:id="6"/>
      </w:r>
      <w:r w:rsidRPr="00E34B50">
        <w:rPr>
          <w:rFonts w:ascii="Verdana" w:eastAsia="Calibri" w:hAnsi="Verdana" w:cs="Arial"/>
          <w:color w:val="000000" w:themeColor="text1"/>
        </w:rPr>
        <w:t>.</w:t>
      </w:r>
    </w:p>
    <w:p w14:paraId="004404BB" w14:textId="77777777" w:rsidR="00E34B50" w:rsidRPr="00E34B50" w:rsidRDefault="00E34B50" w:rsidP="00E34B50">
      <w:pPr>
        <w:spacing w:before="120" w:after="120" w:line="276" w:lineRule="auto"/>
        <w:ind w:firstLine="708"/>
        <w:jc w:val="both"/>
        <w:rPr>
          <w:rFonts w:ascii="Verdana" w:eastAsia="Calibri" w:hAnsi="Verdana" w:cs="Arial"/>
          <w:color w:val="000000" w:themeColor="text1"/>
        </w:rPr>
      </w:pPr>
      <w:r w:rsidRPr="00E34B50">
        <w:rPr>
          <w:rFonts w:ascii="Verdana" w:eastAsia="Calibri" w:hAnsi="Verdana" w:cs="Arial"/>
          <w:color w:val="000000" w:themeColor="text1"/>
        </w:rPr>
        <w:t>La experiencia que se deriva de los contratos que el proponente ha celebrado y ejecutado con diferentes contratantes, sin importar la naturaleza de estos, se verifica con el Registro Único de Proponentes (RUP)</w:t>
      </w:r>
      <w:r w:rsidRPr="00E34B50">
        <w:rPr>
          <w:rStyle w:val="Refdenotaalpie"/>
          <w:rFonts w:ascii="Verdana" w:eastAsia="Calibri" w:hAnsi="Verdana" w:cs="Arial"/>
          <w:color w:val="000000" w:themeColor="text1"/>
        </w:rPr>
        <w:footnoteReference w:id="7"/>
      </w:r>
      <w:r w:rsidRPr="00E34B50">
        <w:rPr>
          <w:rFonts w:ascii="Verdana" w:eastAsia="Calibri" w:hAnsi="Verdana" w:cs="Arial"/>
          <w:color w:val="000000" w:themeColor="text1"/>
        </w:rPr>
        <w:t>, cuando este certificado sea exigible de acuerdo con la ley, en el cual constan los requisitos habilitantes, que se evalúan exclusivamente con este documento, que es su plena prueba, sin que sea posible para la entidad o el proponente solicitar o aportar otra documentación</w:t>
      </w:r>
      <w:r w:rsidRPr="00E34B50">
        <w:rPr>
          <w:rStyle w:val="Refdenotaalpie"/>
          <w:rFonts w:ascii="Verdana" w:eastAsia="Calibri" w:hAnsi="Verdana" w:cs="Arial"/>
          <w:color w:val="000000" w:themeColor="text1"/>
        </w:rPr>
        <w:footnoteReference w:id="8"/>
      </w:r>
      <w:r w:rsidRPr="00E34B50">
        <w:rPr>
          <w:rFonts w:ascii="Verdana" w:eastAsia="Calibri" w:hAnsi="Verdana" w:cs="Arial"/>
          <w:color w:val="000000" w:themeColor="text1"/>
        </w:rPr>
        <w:t>.</w:t>
      </w:r>
    </w:p>
    <w:p w14:paraId="4C762085" w14:textId="77777777" w:rsidR="00E34B50" w:rsidRPr="00E34B50" w:rsidRDefault="00E34B50" w:rsidP="00E34B50">
      <w:pPr>
        <w:spacing w:before="120" w:after="120" w:line="276" w:lineRule="auto"/>
        <w:ind w:firstLine="709"/>
        <w:jc w:val="both"/>
        <w:rPr>
          <w:rFonts w:ascii="Verdana" w:eastAsia="Calibri" w:hAnsi="Verdana" w:cs="Arial"/>
          <w:color w:val="000000" w:themeColor="text1"/>
        </w:rPr>
      </w:pPr>
      <w:r w:rsidRPr="00E34B50">
        <w:rPr>
          <w:rFonts w:ascii="Verdana" w:eastAsia="Calibri" w:hAnsi="Verdana" w:cs="Arial"/>
          <w:color w:val="000000" w:themeColor="text1"/>
        </w:rPr>
        <w:lastRenderedPageBreak/>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y esos documentos deben codificarse con el clasificador de bienes y servicios en el tercer nivel</w:t>
      </w:r>
      <w:r w:rsidRPr="00E34B50">
        <w:rPr>
          <w:rStyle w:val="Refdenotaalpie"/>
          <w:rFonts w:ascii="Verdana" w:eastAsia="Calibri" w:hAnsi="Verdana" w:cs="Arial"/>
          <w:color w:val="000000" w:themeColor="text1"/>
        </w:rPr>
        <w:footnoteReference w:id="9"/>
      </w:r>
      <w:r w:rsidRPr="00E34B50">
        <w:rPr>
          <w:rFonts w:ascii="Verdana" w:eastAsia="Calibri" w:hAnsi="Verdana" w:cs="Arial"/>
          <w:color w:val="000000" w:themeColor="text1"/>
        </w:rPr>
        <w:t>. De esta manera, lo que se 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Por lo anterior, es pertinente aclarar que los códigos del clasificador de bienes y servicios ayudan a que exista un lenguaje común en la denominación de los bienes, obras o servicios que los proveedores ofrecen y que las entidades solicitan, sin que la entidad los evalúe, ya que lo que es objeto de evaluación es la experiencia clasificada de esta forma.</w:t>
      </w:r>
    </w:p>
    <w:p w14:paraId="6ACA7D0F" w14:textId="3901FA4C" w:rsidR="00E34B50" w:rsidRPr="00E34B50" w:rsidRDefault="00E34B50" w:rsidP="00E34B50">
      <w:pPr>
        <w:spacing w:line="276" w:lineRule="auto"/>
        <w:ind w:firstLine="709"/>
        <w:jc w:val="both"/>
        <w:rPr>
          <w:rFonts w:ascii="Verdana" w:eastAsia="Calibri" w:hAnsi="Verdana" w:cs="Arial"/>
          <w:color w:val="000000" w:themeColor="text1"/>
        </w:rPr>
      </w:pPr>
      <w:r w:rsidRPr="00E34B50">
        <w:rPr>
          <w:rFonts w:ascii="Verdana" w:eastAsia="Calibri" w:hAnsi="Verdana" w:cs="Arial"/>
          <w:color w:val="000000" w:themeColor="text1"/>
        </w:rPr>
        <w:t xml:space="preserve">Por último, al observar el concepto de experiencia, como </w:t>
      </w:r>
      <w:r w:rsidR="00FF4092">
        <w:rPr>
          <w:rFonts w:ascii="Verdana" w:eastAsia="Calibri" w:hAnsi="Verdana" w:cs="Arial"/>
          <w:color w:val="000000" w:themeColor="text1"/>
        </w:rPr>
        <w:t>“</w:t>
      </w:r>
      <w:r w:rsidRPr="00E34B50">
        <w:rPr>
          <w:rFonts w:ascii="Verdana" w:eastAsia="Calibri" w:hAnsi="Verdana" w:cs="Arial"/>
          <w:color w:val="000000" w:themeColor="text1"/>
        </w:rPr>
        <w:t>requisito habilitante</w:t>
      </w:r>
      <w:r w:rsidR="00FF4092">
        <w:rPr>
          <w:rFonts w:ascii="Verdana" w:eastAsia="Calibri" w:hAnsi="Verdana" w:cs="Arial"/>
          <w:color w:val="000000" w:themeColor="text1"/>
        </w:rPr>
        <w:t>”</w:t>
      </w:r>
      <w:r w:rsidRPr="00E34B50">
        <w:rPr>
          <w:rFonts w:ascii="Verdana" w:eastAsia="Calibri" w:hAnsi="Verdana" w:cs="Arial"/>
          <w:color w:val="000000" w:themeColor="text1"/>
        </w:rPr>
        <w:t xml:space="preserve">, y teniendo en cuenta que su consulta se relaciona con la experiencia, como «factor de la fórmula de la capacidad residual», de acuerdo con lo señalado para cada concepto, es decir, que el </w:t>
      </w:r>
      <w:r w:rsidR="00FF4092">
        <w:rPr>
          <w:rFonts w:ascii="Verdana" w:eastAsia="Calibri" w:hAnsi="Verdana" w:cs="Arial"/>
          <w:color w:val="000000" w:themeColor="text1"/>
        </w:rPr>
        <w:t>“</w:t>
      </w:r>
      <w:r w:rsidRPr="00E34B50">
        <w:rPr>
          <w:rFonts w:ascii="Verdana" w:eastAsia="Calibri" w:hAnsi="Verdana" w:cs="Arial"/>
          <w:color w:val="000000" w:themeColor="text1"/>
        </w:rPr>
        <w:t>requisito habilitante</w:t>
      </w:r>
      <w:r w:rsidR="00FF4092">
        <w:rPr>
          <w:rFonts w:ascii="Verdana" w:eastAsia="Calibri" w:hAnsi="Verdana" w:cs="Arial"/>
          <w:color w:val="000000" w:themeColor="text1"/>
        </w:rPr>
        <w:t>”</w:t>
      </w:r>
      <w:r w:rsidRPr="00E34B50">
        <w:rPr>
          <w:rFonts w:ascii="Verdana" w:eastAsia="Calibri" w:hAnsi="Verdana" w:cs="Arial"/>
          <w:color w:val="000000" w:themeColor="text1"/>
        </w:rPr>
        <w:t xml:space="preserve"> se deriva de los contratos celebrados por el proponente que deben inscribirse en el RUP, y que el </w:t>
      </w:r>
      <w:r w:rsidR="00FF4092">
        <w:rPr>
          <w:rFonts w:ascii="Verdana" w:eastAsia="Calibri" w:hAnsi="Verdana" w:cs="Arial"/>
          <w:color w:val="000000" w:themeColor="text1"/>
        </w:rPr>
        <w:t>“</w:t>
      </w:r>
      <w:r w:rsidRPr="00E34B50">
        <w:rPr>
          <w:rFonts w:ascii="Verdana" w:eastAsia="Calibri" w:hAnsi="Verdana" w:cs="Arial"/>
          <w:color w:val="000000" w:themeColor="text1"/>
        </w:rPr>
        <w:t>factor de la fórmula de la capacidad residual</w:t>
      </w:r>
      <w:r w:rsidR="00FF4092">
        <w:rPr>
          <w:rFonts w:ascii="Verdana" w:eastAsia="Calibri" w:hAnsi="Verdana" w:cs="Arial"/>
          <w:color w:val="000000" w:themeColor="text1"/>
        </w:rPr>
        <w:t>”</w:t>
      </w:r>
      <w:r w:rsidRPr="00E34B50">
        <w:rPr>
          <w:rFonts w:ascii="Verdana" w:eastAsia="Calibri" w:hAnsi="Verdana" w:cs="Arial"/>
          <w:color w:val="000000" w:themeColor="text1"/>
        </w:rPr>
        <w:t xml:space="preserve"> está determinado </w:t>
      </w:r>
      <w:r w:rsidRPr="00E34B50">
        <w:rPr>
          <w:rFonts w:ascii="Verdana" w:eastAsia="Calibri" w:hAnsi="Verdana" w:cs="Arial"/>
          <w:color w:val="000000" w:themeColor="text1"/>
        </w:rPr>
        <w:lastRenderedPageBreak/>
        <w:t xml:space="preserve">por el valor </w:t>
      </w:r>
      <w:r w:rsidRPr="00E34B50">
        <w:rPr>
          <w:rFonts w:ascii="Verdana" w:hAnsi="Verdana" w:cs="Arial"/>
          <w:color w:val="000000" w:themeColor="text1"/>
        </w:rPr>
        <w:t>total en pesos de los contratos que figuran en el RUP, la experiencia en ambos casos se refiere a la misma definición.</w:t>
      </w:r>
    </w:p>
    <w:p w14:paraId="752CA281" w14:textId="648513D4" w:rsidR="00E34B50" w:rsidRPr="00E34B50" w:rsidRDefault="00E34B50" w:rsidP="00E34B50">
      <w:pPr>
        <w:spacing w:before="120" w:line="276" w:lineRule="auto"/>
        <w:ind w:firstLine="709"/>
        <w:jc w:val="both"/>
        <w:rPr>
          <w:rFonts w:ascii="Verdana" w:eastAsia="Calibri" w:hAnsi="Verdana" w:cs="Arial"/>
          <w:color w:val="000000" w:themeColor="text1"/>
        </w:rPr>
      </w:pPr>
      <w:r w:rsidRPr="00E34B50">
        <w:rPr>
          <w:rFonts w:ascii="Verdana" w:eastAsia="Calibri" w:hAnsi="Verdana" w:cs="Arial"/>
          <w:color w:val="000000" w:themeColor="text1"/>
        </w:rPr>
        <w:t>La Agencia Nacional de Contratación Pública - Colombia Compra Eficiente puso a disposición de los interesados el Manual para determinar y verificar requisitos habilitantes en los procesos de contratación, donde se establecen las definiciones de cada requisito habilitante y se dan lineamientos orientadores sobre lo que las entidades pueden hacer para establecerlos, en este caso, frente a la experiencia.</w:t>
      </w:r>
    </w:p>
    <w:p w14:paraId="4C632B05" w14:textId="77A0F772" w:rsidR="00E34B50" w:rsidRPr="00E34B50" w:rsidRDefault="00E34B50" w:rsidP="00E34B50">
      <w:pPr>
        <w:spacing w:before="120" w:after="120" w:line="276" w:lineRule="auto"/>
        <w:ind w:firstLine="708"/>
        <w:jc w:val="both"/>
        <w:rPr>
          <w:rFonts w:ascii="Verdana" w:eastAsia="Calibri" w:hAnsi="Verdana" w:cs="Arial"/>
          <w:color w:val="000000" w:themeColor="text1"/>
        </w:rPr>
      </w:pPr>
      <w:r w:rsidRPr="00E34B50">
        <w:rPr>
          <w:rFonts w:ascii="Verdana" w:eastAsia="Calibri" w:hAnsi="Verdana" w:cs="Arial"/>
          <w:color w:val="000000" w:themeColor="text1"/>
        </w:rPr>
        <w:t xml:space="preserve">Finalmente, se pueden extraer cuatro conclusiones relevantes para evaluar las matrices y subordinadas de las sociedades comerciales, respecto de la experiencia: </w:t>
      </w:r>
    </w:p>
    <w:p w14:paraId="137637E9" w14:textId="77777777" w:rsidR="00E34B50" w:rsidRPr="00E34B50" w:rsidRDefault="00E34B50" w:rsidP="00E34B50">
      <w:pPr>
        <w:spacing w:before="120" w:after="120" w:line="276" w:lineRule="auto"/>
        <w:ind w:firstLine="708"/>
        <w:jc w:val="both"/>
        <w:rPr>
          <w:rFonts w:ascii="Verdana" w:eastAsia="Calibri" w:hAnsi="Verdana" w:cs="Arial"/>
          <w:color w:val="000000" w:themeColor="text1"/>
        </w:rPr>
      </w:pPr>
      <w:r w:rsidRPr="00E34B50">
        <w:rPr>
          <w:rFonts w:ascii="Verdana" w:eastAsia="Calibri" w:hAnsi="Verdana" w:cs="Arial"/>
          <w:color w:val="000000" w:themeColor="text1"/>
        </w:rPr>
        <w:t>i) La experiencia es personal, esto es, se adquiere participando, directa o indirectamente, sin que sea posible no participar y tener una experiencia que no es propia.</w:t>
      </w:r>
    </w:p>
    <w:p w14:paraId="394B97FF" w14:textId="77777777" w:rsidR="00E34B50" w:rsidRPr="00E34B50" w:rsidRDefault="00E34B50" w:rsidP="00E34B50">
      <w:pPr>
        <w:spacing w:before="120" w:after="120" w:line="276" w:lineRule="auto"/>
        <w:ind w:firstLine="708"/>
        <w:jc w:val="both"/>
        <w:rPr>
          <w:rFonts w:ascii="Verdana" w:eastAsia="Calibri" w:hAnsi="Verdana" w:cs="Arial"/>
          <w:color w:val="000000" w:themeColor="text1"/>
        </w:rPr>
      </w:pPr>
      <w:r w:rsidRPr="00E34B50">
        <w:rPr>
          <w:rFonts w:ascii="Verdana" w:eastAsia="Calibri" w:hAnsi="Verdana" w:cs="Arial"/>
          <w:color w:val="000000" w:themeColor="text1"/>
        </w:rPr>
        <w:t xml:space="preserve">ii) La experiencia se puede compartir,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asociativas  </w:t>
      </w:r>
      <w:r w:rsidRPr="00E34B50">
        <w:rPr>
          <w:rFonts w:ascii="Arial" w:eastAsia="Calibri" w:hAnsi="Arial" w:cs="Arial"/>
          <w:color w:val="000000" w:themeColor="text1"/>
        </w:rPr>
        <w:t>̶</w:t>
      </w:r>
      <w:r w:rsidRPr="00E34B50">
        <w:rPr>
          <w:rFonts w:ascii="Verdana" w:eastAsia="Calibri" w:hAnsi="Verdana" w:cs="Arial"/>
          <w:color w:val="000000" w:themeColor="text1"/>
        </w:rPr>
        <w:t xml:space="preserve"> consorcios y uniones temporales </w:t>
      </w:r>
      <w:r w:rsidRPr="00E34B50">
        <w:rPr>
          <w:rFonts w:ascii="Arial" w:eastAsia="Calibri" w:hAnsi="Arial" w:cs="Arial"/>
          <w:color w:val="000000" w:themeColor="text1"/>
        </w:rPr>
        <w:t>̶</w:t>
      </w:r>
      <w:r w:rsidRPr="00E34B50">
        <w:rPr>
          <w:rFonts w:ascii="Verdana" w:eastAsia="Calibri" w:hAnsi="Verdana" w:cs="Arial"/>
          <w:color w:val="000000" w:themeColor="text1"/>
        </w:rPr>
        <w:t xml:space="preserve">  que se verificar</w:t>
      </w:r>
      <w:r w:rsidRPr="00E34B50">
        <w:rPr>
          <w:rFonts w:ascii="Verdana" w:eastAsia="Calibri" w:hAnsi="Verdana" w:cs="Verdana"/>
          <w:color w:val="000000" w:themeColor="text1"/>
        </w:rPr>
        <w:t>á</w:t>
      </w:r>
      <w:r w:rsidRPr="00E34B50">
        <w:rPr>
          <w:rFonts w:ascii="Verdana" w:eastAsia="Calibri" w:hAnsi="Verdana" w:cs="Arial"/>
          <w:color w:val="000000" w:themeColor="text1"/>
        </w:rPr>
        <w:t xml:space="preserve"> en el documento privado de constituci</w:t>
      </w:r>
      <w:r w:rsidRPr="00E34B50">
        <w:rPr>
          <w:rFonts w:ascii="Verdana" w:eastAsia="Calibri" w:hAnsi="Verdana" w:cs="Verdana"/>
          <w:color w:val="000000" w:themeColor="text1"/>
        </w:rPr>
        <w:t>ó</w:t>
      </w:r>
      <w:r w:rsidRPr="00E34B50">
        <w:rPr>
          <w:rFonts w:ascii="Verdana" w:eastAsia="Calibri" w:hAnsi="Verdana" w:cs="Arial"/>
          <w:color w:val="000000" w:themeColor="text1"/>
        </w:rPr>
        <w:t>n.</w:t>
      </w:r>
    </w:p>
    <w:p w14:paraId="2412EDE0" w14:textId="77777777" w:rsidR="00E34B50" w:rsidRPr="00E34B50" w:rsidRDefault="00E34B50" w:rsidP="00E34B50">
      <w:pPr>
        <w:spacing w:before="120" w:after="120" w:line="276" w:lineRule="auto"/>
        <w:ind w:firstLine="708"/>
        <w:jc w:val="both"/>
        <w:rPr>
          <w:rFonts w:ascii="Verdana" w:eastAsia="Calibri" w:hAnsi="Verdana" w:cs="Arial"/>
          <w:color w:val="000000" w:themeColor="text1"/>
        </w:rPr>
      </w:pPr>
      <w:r w:rsidRPr="00E34B50">
        <w:rPr>
          <w:rFonts w:ascii="Verdana" w:eastAsia="Calibri" w:hAnsi="Verdana" w:cs="Arial"/>
          <w:color w:val="000000" w:themeColor="text1"/>
        </w:rPr>
        <w:t>iii) La experiencia se puede transferir, y es diferente a compartir, puesto que implica que la experiencia de una persona se traslada a otra, y esta última acredita esa experiencia como propia, lo cual es el caso de las figuras y reformas estatutarias como transformación, fusión y escisión.</w:t>
      </w:r>
    </w:p>
    <w:p w14:paraId="1EB7B04D" w14:textId="77777777" w:rsidR="00E34B50" w:rsidRDefault="00E34B50" w:rsidP="00E34B50">
      <w:pPr>
        <w:spacing w:before="120" w:after="120" w:line="276" w:lineRule="auto"/>
        <w:ind w:firstLine="709"/>
        <w:jc w:val="both"/>
        <w:rPr>
          <w:rFonts w:ascii="Verdana" w:eastAsia="Calibri" w:hAnsi="Verdana" w:cs="Arial"/>
          <w:color w:val="000000" w:themeColor="text1"/>
        </w:rPr>
      </w:pPr>
      <w:r w:rsidRPr="00E34B50">
        <w:rPr>
          <w:rFonts w:ascii="Verdana" w:eastAsia="Calibri" w:hAnsi="Verdana" w:cs="Arial"/>
          <w:color w:val="000000" w:themeColor="text1"/>
        </w:rPr>
        <w:t>iv) Solo es posible transferir o compartir la experiencia de una persona natural o jurídica a otra, en los casos señalados en los numerales anteriores, por lo cual no es posible que se acredite la experiencia adquirida por un tercero −que es otra persona diferente a la principal− sin que se relacione con lo establecido, ya que la experiencia es personal, esto es, de quien la adquirió.</w:t>
      </w:r>
    </w:p>
    <w:p w14:paraId="72FDBC32" w14:textId="1DE1B1B9" w:rsidR="00E34B50" w:rsidRPr="00E34B50" w:rsidRDefault="00E34B50" w:rsidP="00E34B50">
      <w:pPr>
        <w:spacing w:before="120" w:after="120" w:line="276" w:lineRule="auto"/>
        <w:ind w:firstLine="709"/>
        <w:jc w:val="both"/>
        <w:rPr>
          <w:rFonts w:ascii="Verdana" w:eastAsia="Calibri" w:hAnsi="Verdana" w:cs="Arial"/>
          <w:color w:val="000000" w:themeColor="text1"/>
        </w:rPr>
      </w:pPr>
      <w:r w:rsidRPr="00E34B50">
        <w:rPr>
          <w:rFonts w:ascii="Verdana" w:hAnsi="Verdana"/>
          <w:color w:val="000000" w:themeColor="text1"/>
        </w:rPr>
        <w:lastRenderedPageBreak/>
        <w:t xml:space="preserve">Ahora bien, </w:t>
      </w:r>
      <w:r>
        <w:rPr>
          <w:rFonts w:ascii="Verdana" w:hAnsi="Verdana"/>
          <w:color w:val="000000" w:themeColor="text1"/>
        </w:rPr>
        <w:t xml:space="preserve">en atención a su consulta </w:t>
      </w:r>
      <w:r w:rsidRPr="00E34B50">
        <w:rPr>
          <w:rFonts w:ascii="Verdana" w:hAnsi="Verdana"/>
          <w:color w:val="000000" w:themeColor="text1"/>
        </w:rPr>
        <w:t xml:space="preserve">en criterio de la Agencia Nacional de Contratación Pública, la noción </w:t>
      </w:r>
      <w:r>
        <w:rPr>
          <w:rFonts w:ascii="Verdana" w:hAnsi="Verdana"/>
          <w:color w:val="000000" w:themeColor="text1"/>
        </w:rPr>
        <w:t>“</w:t>
      </w:r>
      <w:r w:rsidRPr="00E34B50">
        <w:rPr>
          <w:rFonts w:ascii="Verdana" w:hAnsi="Verdana"/>
          <w:color w:val="000000" w:themeColor="text1"/>
        </w:rPr>
        <w:t>liquidados con el SMMLV</w:t>
      </w:r>
      <w:r>
        <w:rPr>
          <w:rFonts w:ascii="Verdana" w:hAnsi="Verdana"/>
          <w:color w:val="000000" w:themeColor="text1"/>
        </w:rPr>
        <w:t>”</w:t>
      </w:r>
      <w:r w:rsidRPr="00E34B50">
        <w:rPr>
          <w:rFonts w:ascii="Verdana" w:hAnsi="Verdana"/>
          <w:color w:val="000000" w:themeColor="text1"/>
        </w:rPr>
        <w:t xml:space="preserve">, contenida en la página 7 de la </w:t>
      </w:r>
      <w:r>
        <w:rPr>
          <w:rFonts w:ascii="Verdana" w:hAnsi="Verdana"/>
          <w:color w:val="000000" w:themeColor="text1"/>
        </w:rPr>
        <w:t>“</w:t>
      </w:r>
      <w:r w:rsidRPr="00E34B50">
        <w:rPr>
          <w:rFonts w:ascii="Verdana" w:hAnsi="Verdana"/>
          <w:color w:val="000000" w:themeColor="text1"/>
        </w:rPr>
        <w:t>Guía para Determinar y Verificar la Capacidad Residual del Proponente en los Procesos de Contratación de Obra Pública</w:t>
      </w:r>
      <w:r>
        <w:rPr>
          <w:rFonts w:ascii="Verdana" w:hAnsi="Verdana"/>
          <w:color w:val="000000" w:themeColor="text1"/>
        </w:rPr>
        <w:t>”</w:t>
      </w:r>
      <w:r w:rsidRPr="00E34B50">
        <w:rPr>
          <w:rFonts w:ascii="Verdana" w:hAnsi="Verdana"/>
          <w:color w:val="000000" w:themeColor="text1"/>
        </w:rPr>
        <w:t>, implica que para efectos prácticos en el Anexo 1 se debe hacer referencia: i) al contrato relacionado con la actividad de la construcción −segmento 72, clasificador UNSPSC−; y ii) al valor de cada uno de esos contratos de acuerdo a los salarios mínimos mensuales legales vigentes «SMMLV» registrados en el RUP</w:t>
      </w:r>
      <w:r w:rsidRPr="00E34B50">
        <w:rPr>
          <w:rStyle w:val="Refdenotaalpie"/>
          <w:rFonts w:ascii="Verdana" w:hAnsi="Verdana"/>
          <w:color w:val="000000" w:themeColor="text1"/>
        </w:rPr>
        <w:footnoteReference w:id="10"/>
      </w:r>
      <w:r w:rsidRPr="00E34B50">
        <w:rPr>
          <w:rFonts w:ascii="Verdana" w:hAnsi="Verdana"/>
          <w:color w:val="000000" w:themeColor="text1"/>
        </w:rPr>
        <w:t xml:space="preserve">. De ser necesario, el proponente tendrá que diligenciar la casilla del porcentaje de «participación del proponente en el contratista plural» y calcular, según dicho porcentaje, el valor del contrato a tener en cuenta, de tal forma que si, por ejemplo, el contrato inscrito en el RUP es de cien (100)  SMMLV, pero su participación fue del cincuenta (50) por ciento, en la casilla «valor total de los contratos ejecutados» solo se podrán incluir cincuenta (50) de los cien (100) SMMLV, dado el porcentaje de participación del proponente. </w:t>
      </w:r>
    </w:p>
    <w:p w14:paraId="6340782A" w14:textId="69F45849" w:rsidR="00D67CDA" w:rsidRPr="00E34B50" w:rsidRDefault="00E34B50" w:rsidP="00E34B50">
      <w:pPr>
        <w:pStyle w:val="Textoindependiente"/>
        <w:spacing w:before="156" w:after="120" w:line="276" w:lineRule="auto"/>
        <w:ind w:right="176" w:firstLine="708"/>
        <w:contextualSpacing/>
        <w:jc w:val="both"/>
        <w:rPr>
          <w:rFonts w:ascii="Verdana" w:hAnsi="Verdana"/>
        </w:rPr>
      </w:pPr>
      <w:r w:rsidRPr="00E34B50">
        <w:rPr>
          <w:rFonts w:ascii="Verdana" w:hAnsi="Verdana"/>
          <w:color w:val="000000" w:themeColor="text1"/>
        </w:rPr>
        <w:t xml:space="preserve">De todos modos, el valor total de los contratos referidos en el Anexo 1 debe liquidarse en pesos colombianos según el salario mínimo mensual legal vigente para el momento en el que se realiza la presentación de la oferta. Esta conversión de salarios a pesos encuentra fundamento, por un lado, en los criterios expuestos en la </w:t>
      </w:r>
      <w:r w:rsidR="00F35D35">
        <w:rPr>
          <w:rFonts w:ascii="Verdana" w:hAnsi="Verdana"/>
          <w:color w:val="000000" w:themeColor="text1"/>
        </w:rPr>
        <w:t>“</w:t>
      </w:r>
      <w:r w:rsidRPr="00E34B50">
        <w:rPr>
          <w:rFonts w:ascii="Verdana" w:hAnsi="Verdana"/>
          <w:color w:val="000000" w:themeColor="text1"/>
        </w:rPr>
        <w:t>Guía para Determinar y Verificar la Capacidad Residual del Proponente en los Procesos de Contratación de Obra Pública</w:t>
      </w:r>
      <w:r w:rsidR="00F35D35">
        <w:rPr>
          <w:rFonts w:ascii="Verdana" w:hAnsi="Verdana"/>
          <w:color w:val="000000" w:themeColor="text1"/>
        </w:rPr>
        <w:t>”</w:t>
      </w:r>
      <w:r w:rsidRPr="00E34B50">
        <w:rPr>
          <w:rFonts w:ascii="Verdana" w:hAnsi="Verdana"/>
          <w:color w:val="000000" w:themeColor="text1"/>
        </w:rPr>
        <w:t>, particularmente en lo que señala el párrafo 5 de la página 7 de dicho documento. Por otro lado, se justifica en el hecho de que la fórmula a aplicar requiere que la información se exprese en pesos y no en SMMLV</w:t>
      </w:r>
      <w:r>
        <w:rPr>
          <w:rFonts w:ascii="Verdana" w:hAnsi="Verdana"/>
          <w:color w:val="000000" w:themeColor="text1"/>
        </w:rPr>
        <w:t>.</w:t>
      </w:r>
    </w:p>
    <w:p w14:paraId="20093897" w14:textId="35DEBC6D" w:rsidR="00601CDD" w:rsidRPr="00AE7E03" w:rsidRDefault="00601CDD" w:rsidP="001175E7">
      <w:pPr>
        <w:spacing w:line="276" w:lineRule="auto"/>
        <w:ind w:firstLine="708"/>
        <w:contextualSpacing/>
        <w:jc w:val="both"/>
        <w:rPr>
          <w:rFonts w:ascii="Verdana" w:eastAsia="Calibri" w:hAnsi="Verdana" w:cs="Times New Roman"/>
          <w:lang w:val="es-ES"/>
        </w:rPr>
      </w:pPr>
      <w:r w:rsidRPr="00CD211E">
        <w:rPr>
          <w:rFonts w:ascii="Verdana" w:eastAsia="Calibri" w:hAnsi="Verdana" w:cs="Times New Roman"/>
          <w:lang w:val="es-ES"/>
        </w:rPr>
        <w:lastRenderedPageBreak/>
        <w:t xml:space="preserve">Finalmente debe advertirse, que el análisis para resolver problemas específicos en torno </w:t>
      </w:r>
      <w:r w:rsidR="007630C8" w:rsidRPr="00CD211E">
        <w:rPr>
          <w:rFonts w:ascii="Verdana" w:eastAsia="Calibri" w:hAnsi="Verdana" w:cs="Times New Roman"/>
          <w:lang w:val="es-ES"/>
        </w:rPr>
        <w:t>en torno a procedimientos contractuales debe ser realizado por quienes tengan interés en ello</w:t>
      </w:r>
      <w:r w:rsidRPr="00CD211E">
        <w:rPr>
          <w:rFonts w:ascii="Verdana" w:eastAsia="Calibri" w:hAnsi="Verdana" w:cs="Times New Roman"/>
          <w:lang w:val="es-ES"/>
        </w:rPr>
        <w:t>. De esta forma, las afirmaciones aquí realizadas no pueden ser interpretadas como juicios de valor sobre circunstancias concretas relacionadas con los hechos que motivan la consulta. Así cada entidad definirá la forma de adelantar su gestión contractual, sin que sea atribución de la Agencia Nacional de Contratación Pública – Colombia Compra Eficiente, validar sus actuaciones.</w:t>
      </w:r>
    </w:p>
    <w:p w14:paraId="1CCCABCF" w14:textId="77777777" w:rsidR="00601CDD" w:rsidRPr="00AE7E03" w:rsidRDefault="00601CDD" w:rsidP="00601CDD">
      <w:pPr>
        <w:ind w:left="720"/>
        <w:contextualSpacing/>
        <w:rPr>
          <w:rFonts w:ascii="Verdana" w:eastAsia="Calibri" w:hAnsi="Verdana" w:cs="Times New Roman"/>
          <w:lang w:val="es-ES"/>
        </w:rPr>
      </w:pPr>
    </w:p>
    <w:p w14:paraId="50FEB559" w14:textId="4F0A0E1F" w:rsidR="00601CDD" w:rsidRPr="00601CDD" w:rsidRDefault="00601CDD" w:rsidP="00601CDD">
      <w:pPr>
        <w:spacing w:before="120" w:after="120" w:line="276" w:lineRule="auto"/>
        <w:ind w:firstLine="708"/>
        <w:jc w:val="both"/>
        <w:rPr>
          <w:rFonts w:ascii="Verdana" w:eastAsia="Calibri" w:hAnsi="Verdana" w:cs="Arial"/>
        </w:rPr>
      </w:pPr>
      <w:r w:rsidRPr="00AE7E03">
        <w:rPr>
          <w:rFonts w:ascii="Verdana" w:eastAsia="Calibri" w:hAnsi="Verdana" w:cs="Times New Roman"/>
          <w:lang w:val="es-ES"/>
        </w:rPr>
        <w:t xml:space="preserve"> 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6A753282" w14:textId="77777777" w:rsidR="009A7CC9" w:rsidRDefault="009A7CC9" w:rsidP="007D5768">
      <w:pPr>
        <w:spacing w:after="0" w:line="276" w:lineRule="auto"/>
        <w:jc w:val="both"/>
        <w:rPr>
          <w:rFonts w:ascii="Verdana" w:eastAsia="Calibri" w:hAnsi="Verdana" w:cs="Arial"/>
          <w:lang w:val="es-ES"/>
        </w:rPr>
      </w:pPr>
    </w:p>
    <w:p w14:paraId="23064A8B" w14:textId="50929774" w:rsidR="00DB7D44" w:rsidRPr="00593A5F" w:rsidRDefault="00DB7D44" w:rsidP="00FB67C7">
      <w:pPr>
        <w:spacing w:after="120" w:line="276" w:lineRule="auto"/>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366865F" w14:textId="77777777" w:rsidR="00DB7D44" w:rsidRPr="00593A5F" w:rsidRDefault="00DB7D44" w:rsidP="00DB7D4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B7D44" w:rsidRPr="00593A5F" w14:paraId="2975C83A" w14:textId="77777777" w:rsidTr="00DC0D97">
        <w:trPr>
          <w:trHeight w:val="870"/>
        </w:trPr>
        <w:tc>
          <w:tcPr>
            <w:tcW w:w="8647" w:type="dxa"/>
          </w:tcPr>
          <w:p w14:paraId="02791144" w14:textId="77777777" w:rsidR="000F4D98" w:rsidRPr="00E21BD1" w:rsidRDefault="000F4D98" w:rsidP="000F4D98">
            <w:pPr>
              <w:pStyle w:val="Textonotapie"/>
              <w:ind w:left="720"/>
              <w:rPr>
                <w:rFonts w:ascii="Verdana" w:hAnsi="Verdana"/>
                <w:sz w:val="22"/>
                <w:szCs w:val="22"/>
                <w:highlight w:val="yellow"/>
                <w:lang w:val="es-CO"/>
              </w:rPr>
            </w:pPr>
          </w:p>
          <w:p w14:paraId="3F9A5BFC" w14:textId="206835DC" w:rsidR="00FF4092" w:rsidRPr="00FF4092" w:rsidRDefault="00FF4092" w:rsidP="00EB51E4">
            <w:pPr>
              <w:widowControl w:val="0"/>
              <w:numPr>
                <w:ilvl w:val="0"/>
                <w:numId w:val="42"/>
              </w:numPr>
              <w:autoSpaceDE w:val="0"/>
              <w:autoSpaceDN w:val="0"/>
              <w:spacing w:after="120" w:line="276" w:lineRule="auto"/>
              <w:ind w:left="454" w:hanging="283"/>
              <w:contextualSpacing/>
              <w:jc w:val="both"/>
              <w:rPr>
                <w:rFonts w:ascii="Verdana" w:hAnsi="Verdana" w:cs="Arial"/>
                <w:lang w:val="es-MX"/>
              </w:rPr>
            </w:pPr>
            <w:r w:rsidRPr="00FF4092">
              <w:rPr>
                <w:rFonts w:ascii="Verdana" w:hAnsi="Verdana" w:cs="Arial"/>
                <w:lang w:val="es-MX"/>
              </w:rPr>
              <w:t>Ley 80 de 1993</w:t>
            </w:r>
            <w:r>
              <w:rPr>
                <w:rFonts w:ascii="Verdana" w:hAnsi="Verdana" w:cs="Arial"/>
                <w:lang w:val="es-MX"/>
              </w:rPr>
              <w:t xml:space="preserve"> , </w:t>
            </w:r>
            <w:r w:rsidRPr="00FF4092">
              <w:rPr>
                <w:rFonts w:ascii="Verdana" w:hAnsi="Verdana" w:cs="Arial"/>
                <w:lang w:val="es-MX"/>
              </w:rPr>
              <w:t>Artículo 6.</w:t>
            </w:r>
          </w:p>
          <w:p w14:paraId="19D59472" w14:textId="18D507D6" w:rsidR="00EB51E4" w:rsidRPr="00FF4092" w:rsidRDefault="00FF4092" w:rsidP="00EB51E4">
            <w:pPr>
              <w:widowControl w:val="0"/>
              <w:numPr>
                <w:ilvl w:val="0"/>
                <w:numId w:val="42"/>
              </w:numPr>
              <w:autoSpaceDE w:val="0"/>
              <w:autoSpaceDN w:val="0"/>
              <w:spacing w:after="120" w:line="276" w:lineRule="auto"/>
              <w:ind w:left="454" w:hanging="283"/>
              <w:contextualSpacing/>
              <w:jc w:val="both"/>
              <w:rPr>
                <w:rFonts w:ascii="Verdana" w:hAnsi="Verdana" w:cs="Arial"/>
                <w:lang w:val="es-MX"/>
              </w:rPr>
            </w:pPr>
            <w:r w:rsidRPr="00FF4092">
              <w:rPr>
                <w:rFonts w:ascii="Verdana" w:eastAsia="Calibri" w:hAnsi="Verdana" w:cs="Arial"/>
                <w:lang w:val="es-ES"/>
              </w:rPr>
              <w:t>La Ley 1150 de 2007, en el artículo 5</w:t>
            </w:r>
            <w:r w:rsidR="00EB51E4" w:rsidRPr="007A0E81">
              <w:rPr>
                <w:rFonts w:ascii="Verdana" w:hAnsi="Verdana" w:cs="Arial"/>
              </w:rPr>
              <w:t>.</w:t>
            </w:r>
          </w:p>
          <w:p w14:paraId="4967362E" w14:textId="78CEDE80" w:rsidR="00FF4092" w:rsidRPr="00FF4092" w:rsidRDefault="00FF4092" w:rsidP="00EB51E4">
            <w:pPr>
              <w:widowControl w:val="0"/>
              <w:numPr>
                <w:ilvl w:val="0"/>
                <w:numId w:val="42"/>
              </w:numPr>
              <w:autoSpaceDE w:val="0"/>
              <w:autoSpaceDN w:val="0"/>
              <w:spacing w:after="120" w:line="276" w:lineRule="auto"/>
              <w:ind w:left="454" w:hanging="283"/>
              <w:contextualSpacing/>
              <w:jc w:val="both"/>
              <w:rPr>
                <w:rFonts w:ascii="Verdana" w:hAnsi="Verdana" w:cs="Arial"/>
                <w:lang w:val="es-MX"/>
              </w:rPr>
            </w:pPr>
            <w:r w:rsidRPr="00E34B50">
              <w:rPr>
                <w:rFonts w:ascii="Verdana" w:eastAsia="Calibri" w:hAnsi="Verdana" w:cs="Arial"/>
                <w:color w:val="000000" w:themeColor="text1"/>
              </w:rPr>
              <w:t>Decreto 1082 de 2015</w:t>
            </w:r>
            <w:r>
              <w:rPr>
                <w:rFonts w:ascii="Verdana" w:eastAsia="Calibri" w:hAnsi="Verdana" w:cs="Arial"/>
                <w:color w:val="000000" w:themeColor="text1"/>
              </w:rPr>
              <w:t xml:space="preserve"> , </w:t>
            </w:r>
            <w:r w:rsidRPr="00E34B50">
              <w:rPr>
                <w:rFonts w:ascii="Verdana" w:eastAsia="Calibri" w:hAnsi="Verdana" w:cs="Arial"/>
                <w:color w:val="000000" w:themeColor="text1"/>
              </w:rPr>
              <w:t>artículo 2.2.1.1.1.6.2</w:t>
            </w:r>
            <w:r>
              <w:rPr>
                <w:rFonts w:ascii="Verdana" w:eastAsia="Calibri" w:hAnsi="Verdana" w:cs="Arial"/>
                <w:color w:val="000000" w:themeColor="text1"/>
              </w:rPr>
              <w:t xml:space="preserve">, </w:t>
            </w:r>
            <w:r w:rsidRPr="00FF4092">
              <w:rPr>
                <w:rFonts w:ascii="Verdana" w:eastAsia="Calibri" w:hAnsi="Verdana" w:cs="Arial"/>
                <w:color w:val="000000" w:themeColor="text1"/>
              </w:rPr>
              <w:t>Artículo 2.2.1.1.1.3.1.</w:t>
            </w:r>
          </w:p>
          <w:p w14:paraId="77D059D4" w14:textId="0F131C52" w:rsidR="00FF4092" w:rsidRPr="007A0E81" w:rsidRDefault="00FF4092" w:rsidP="00EB51E4">
            <w:pPr>
              <w:widowControl w:val="0"/>
              <w:numPr>
                <w:ilvl w:val="0"/>
                <w:numId w:val="42"/>
              </w:numPr>
              <w:autoSpaceDE w:val="0"/>
              <w:autoSpaceDN w:val="0"/>
              <w:spacing w:after="120" w:line="276" w:lineRule="auto"/>
              <w:ind w:left="454" w:hanging="283"/>
              <w:contextualSpacing/>
              <w:jc w:val="both"/>
              <w:rPr>
                <w:rFonts w:ascii="Verdana" w:hAnsi="Verdana" w:cs="Arial"/>
                <w:lang w:val="es-MX"/>
              </w:rPr>
            </w:pPr>
            <w:r w:rsidRPr="00D67CDA">
              <w:rPr>
                <w:rFonts w:ascii="Verdana" w:eastAsia="Calibri" w:hAnsi="Verdana" w:cs="Times New Roman"/>
                <w:lang w:val="es-ES"/>
              </w:rPr>
              <w:t>Guía para Determinar y Verificar la Capacidad Residual del Proponente en los Procesos de Contratación de Obra Pública</w:t>
            </w:r>
            <w:r>
              <w:rPr>
                <w:rFonts w:ascii="Verdana" w:eastAsia="Calibri" w:hAnsi="Verdana" w:cs="Times New Roman"/>
                <w:lang w:val="es-ES"/>
              </w:rPr>
              <w:t>”</w:t>
            </w:r>
          </w:p>
          <w:p w14:paraId="2E3B0684" w14:textId="61461331" w:rsidR="001175E7" w:rsidRPr="000D446F" w:rsidRDefault="001175E7" w:rsidP="00EB51E4">
            <w:pPr>
              <w:pStyle w:val="Prrafodelista"/>
              <w:spacing w:line="276" w:lineRule="auto"/>
              <w:jc w:val="both"/>
              <w:rPr>
                <w:rFonts w:ascii="Verdana" w:hAnsi="Verdana" w:cs="Arial"/>
              </w:rPr>
            </w:pPr>
          </w:p>
        </w:tc>
      </w:tr>
    </w:tbl>
    <w:p w14:paraId="268F1D7B" w14:textId="77777777" w:rsidR="00DB7D44" w:rsidRPr="00593A5F" w:rsidRDefault="00DB7D44" w:rsidP="00DB7D44">
      <w:pPr>
        <w:widowControl w:val="0"/>
        <w:autoSpaceDE w:val="0"/>
        <w:autoSpaceDN w:val="0"/>
        <w:spacing w:after="0" w:line="276" w:lineRule="auto"/>
        <w:jc w:val="both"/>
        <w:rPr>
          <w:rFonts w:ascii="Verdana" w:hAnsi="Verdana" w:cs="Arial"/>
        </w:rPr>
      </w:pPr>
    </w:p>
    <w:p w14:paraId="5B6ACB4D" w14:textId="77777777" w:rsidR="00DB7D44" w:rsidRPr="00593A5F" w:rsidRDefault="00DB7D44" w:rsidP="00DB7D4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B063E16" w14:textId="77777777" w:rsidR="00DB7D44" w:rsidRDefault="00DB7D44" w:rsidP="00DB7D44">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35B5D8BF" w14:textId="585549D8" w:rsidR="007E2389" w:rsidRPr="00AE7E03" w:rsidRDefault="00D67CDA" w:rsidP="007E2389">
      <w:pPr>
        <w:widowControl w:val="0"/>
        <w:autoSpaceDE w:val="0"/>
        <w:autoSpaceDN w:val="0"/>
        <w:spacing w:after="0" w:line="276" w:lineRule="auto"/>
        <w:jc w:val="both"/>
        <w:rPr>
          <w:rFonts w:ascii="Verdana" w:eastAsia="Arial" w:hAnsi="Verdana" w:cs="Arial"/>
          <w:lang w:val="es-MX" w:eastAsia="es-ES_tradnl"/>
        </w:rPr>
      </w:pPr>
      <w:r w:rsidRPr="00D67CDA">
        <w:rPr>
          <w:rFonts w:ascii="Verdana" w:eastAsia="Calibri" w:hAnsi="Verdana" w:cs="Arial"/>
          <w:color w:val="000000" w:themeColor="text1"/>
          <w:lang w:eastAsia="es-ES_tradnl"/>
        </w:rPr>
        <w:t xml:space="preserve">La Agencia Nacional de Contratación Pública − Colombia Compra Eficiente se ha pronunciado sobre la experiencia como requisito habilitante, así como también </w:t>
      </w:r>
      <w:r w:rsidRPr="00D67CDA">
        <w:rPr>
          <w:rFonts w:ascii="Verdana" w:eastAsia="Calibri" w:hAnsi="Verdana" w:cs="Arial"/>
          <w:color w:val="000000" w:themeColor="text1"/>
          <w:lang w:eastAsia="es-ES_tradnl"/>
        </w:rPr>
        <w:lastRenderedPageBreak/>
        <w:t>sobre la forma en que se debe determinar esta última, en los conceptos del 27 de agosto y el 20 y 26 de diciembre de 2019 −radicados Nos. 2201913000006275, 2201913000009465, 2201913000009642 y 2201913000009640−. Igualmente, en los conceptos C-022, C-089, C-112, C-133, C-194 y C-222 de 2020</w:t>
      </w:r>
      <w:r w:rsidR="00F35D35">
        <w:rPr>
          <w:rFonts w:ascii="Verdana" w:eastAsia="Calibri" w:hAnsi="Verdana" w:cs="Arial"/>
          <w:color w:val="000000" w:themeColor="text1"/>
          <w:lang w:eastAsia="es-ES_tradnl"/>
        </w:rPr>
        <w:t xml:space="preserve"> </w:t>
      </w:r>
      <w:r w:rsidR="00F35D35" w:rsidRPr="00F35D35">
        <w:rPr>
          <w:rFonts w:ascii="Verdana" w:eastAsia="Calibri" w:hAnsi="Verdana" w:cs="Arial"/>
          <w:color w:val="000000" w:themeColor="text1"/>
          <w:lang w:eastAsia="es-ES_tradnl"/>
        </w:rPr>
        <w:t>diciembre de 2020, C-717 del 10 de diciembre de 2020, C-729 del 11 de diciembre de 2020, C-103 del 24 de marzo del 2021, C-140 del 9 de abril del 2021, C-316 y C-318 del 29 de junio de 2021, C-474 del 6 de septiembre de 2021, C-441 del 13 de octubre de 2021 y C-589 del 19 de octubre de 2021</w:t>
      </w:r>
      <w:r w:rsidR="00A95A1A" w:rsidRPr="006849F1">
        <w:rPr>
          <w:rFonts w:ascii="Verdana" w:hAnsi="Verdana" w:cs="Arial"/>
          <w:shd w:val="clear" w:color="auto" w:fill="FFFFFF"/>
          <w:lang w:val="es-ES"/>
        </w:rPr>
        <w:t>, entre otros</w:t>
      </w:r>
      <w:r w:rsidR="00F732FD">
        <w:rPr>
          <w:rFonts w:ascii="Verdana" w:eastAsia="Calibri" w:hAnsi="Verdana" w:cs="Arial"/>
          <w:lang w:val="es-ES" w:eastAsia="es-ES_tradnl"/>
        </w:rPr>
        <w:t>;</w:t>
      </w:r>
      <w:r w:rsidR="007E2389" w:rsidRPr="00185EE9">
        <w:rPr>
          <w:rFonts w:ascii="Verdana" w:eastAsia="Calibri" w:hAnsi="Verdana" w:cs="Times New Roman"/>
        </w:rPr>
        <w:t xml:space="preserve"> </w:t>
      </w:r>
      <w:r w:rsidR="007E2389">
        <w:rPr>
          <w:rFonts w:ascii="Verdana" w:eastAsia="Calibri" w:hAnsi="Verdana" w:cs="Times New Roman"/>
        </w:rPr>
        <w:t xml:space="preserve">estos </w:t>
      </w:r>
      <w:r w:rsidR="007E2389"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8F60A9B" w14:textId="01175CC3" w:rsidR="00117E40" w:rsidRPr="0065720B" w:rsidRDefault="00DE3A63" w:rsidP="007E2389">
      <w:pPr>
        <w:widowControl w:val="0"/>
        <w:autoSpaceDE w:val="0"/>
        <w:autoSpaceDN w:val="0"/>
        <w:spacing w:after="0" w:line="276" w:lineRule="auto"/>
        <w:jc w:val="both"/>
        <w:rPr>
          <w:rStyle w:val="normaltextrun"/>
          <w:rFonts w:ascii="Verdana" w:eastAsia="Calibri" w:hAnsi="Verdana" w:cs="Arial"/>
          <w:lang w:val="es-ES_tradnl" w:eastAsia="en-GB"/>
        </w:rPr>
      </w:pPr>
      <w:hyperlink r:id="rId12" w:history="1">
        <w:r w:rsidRPr="00191357">
          <w:rPr>
            <w:rStyle w:val="Hipervnculo"/>
            <w:rFonts w:ascii="Verdana" w:eastAsia="Calibri" w:hAnsi="Verdana" w:cs="Times New Roman"/>
            <w:lang w:val="es-ES"/>
          </w:rPr>
          <w:t>https://relatoria.colombiacompra.gov.co/busqueda/conceptos</w:t>
        </w:r>
      </w:hyperlink>
      <w:r w:rsidR="007E2389" w:rsidRPr="00185EE9">
        <w:rPr>
          <w:rFonts w:ascii="Verdana" w:eastAsia="Calibri" w:hAnsi="Verdana" w:cs="Times New Roman"/>
        </w:rPr>
        <w:t>.</w:t>
      </w:r>
    </w:p>
    <w:p w14:paraId="7AA80262" w14:textId="77777777" w:rsidR="00DB7D44" w:rsidRDefault="00DB7D44" w:rsidP="00DB7D44">
      <w:pPr>
        <w:widowControl w:val="0"/>
        <w:autoSpaceDE w:val="0"/>
        <w:autoSpaceDN w:val="0"/>
        <w:spacing w:after="0" w:line="276" w:lineRule="auto"/>
        <w:jc w:val="both"/>
        <w:rPr>
          <w:rStyle w:val="normaltextrun"/>
          <w:rFonts w:ascii="Verdana" w:hAnsi="Verdana" w:cs="Arial"/>
          <w:shd w:val="clear" w:color="auto" w:fill="FFFFFF"/>
          <w:lang w:val="es-ES"/>
        </w:rPr>
      </w:pPr>
    </w:p>
    <w:p w14:paraId="5362D59A" w14:textId="77777777" w:rsidR="00A80691"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11A94559"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p>
    <w:p w14:paraId="25D616FD" w14:textId="77777777" w:rsidR="00A80691" w:rsidRPr="00505CD6" w:rsidRDefault="00A80691" w:rsidP="00A80691">
      <w:pPr>
        <w:widowControl w:val="0"/>
        <w:numPr>
          <w:ilvl w:val="0"/>
          <w:numId w:val="3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3" w:tgtFrame="_blank" w:tooltip="Dirección URL original: https://www.colombiacompra.gov.co/content/03-documentos-tipo-para-los-procesos-de-seleccion-de-interventoria-de-obra-publica-de. Haga clic o pulse si confía en este vínculo." w:history="1">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14:paraId="213CAF78" w14:textId="77777777" w:rsidR="00A80691" w:rsidRPr="00505CD6" w:rsidRDefault="00A80691" w:rsidP="00A80691">
      <w:pPr>
        <w:widowControl w:val="0"/>
        <w:numPr>
          <w:ilvl w:val="0"/>
          <w:numId w:val="3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r:id="rId14" w:tgtFrame="_blank" w:tooltip="Dirección URL original: https://www.colombiacompra.gov.co/content/02-documentos-tipo-para-los-procesos-de-seleccion-de-consultoria-de-obra-publica-de. Haga clic o pulse si confía en este vínculo." w:history="1">
        <w:r w:rsidRPr="00505CD6">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14:paraId="302453FB"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p>
    <w:p w14:paraId="7CB67F4C"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xml:space="preserve">. Esta guía es un </w:t>
      </w:r>
      <w:r w:rsidRPr="00505CD6">
        <w:rPr>
          <w:rFonts w:ascii="Verdana" w:hAnsi="Verdana" w:cs="Arial"/>
          <w:color w:val="000000" w:themeColor="text1"/>
          <w:shd w:val="clear" w:color="auto" w:fill="FFFFFF"/>
        </w:rPr>
        <w:lastRenderedPageBreak/>
        <w:t>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14:paraId="003E92E1" w14:textId="77777777" w:rsidR="00A80691" w:rsidRPr="00505CD6" w:rsidRDefault="00A80691" w:rsidP="00A80691">
      <w:pPr>
        <w:widowControl w:val="0"/>
        <w:autoSpaceDE w:val="0"/>
        <w:autoSpaceDN w:val="0"/>
        <w:spacing w:after="0" w:line="276" w:lineRule="auto"/>
        <w:jc w:val="both"/>
        <w:rPr>
          <w:rFonts w:ascii="Verdana" w:eastAsia="Calibri" w:hAnsi="Verdana" w:cs="Arial"/>
          <w:color w:val="000000" w:themeColor="text1"/>
        </w:rPr>
      </w:pPr>
    </w:p>
    <w:p w14:paraId="7B957669" w14:textId="77777777" w:rsidR="00A80691" w:rsidRPr="00505CD6" w:rsidRDefault="00A80691" w:rsidP="00A80691">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2FEC8E96" w14:textId="77777777" w:rsidR="00A80691" w:rsidRPr="00505CD6" w:rsidRDefault="00A80691" w:rsidP="00A80691">
      <w:pPr>
        <w:widowControl w:val="0"/>
        <w:autoSpaceDE w:val="0"/>
        <w:autoSpaceDN w:val="0"/>
        <w:spacing w:after="0" w:line="276" w:lineRule="auto"/>
        <w:jc w:val="both"/>
        <w:rPr>
          <w:rFonts w:ascii="Verdana" w:hAnsi="Verdana" w:cs="Arial"/>
        </w:rPr>
      </w:pPr>
    </w:p>
    <w:p w14:paraId="2126DCB2" w14:textId="77777777" w:rsidR="00A80691" w:rsidRPr="00505CD6" w:rsidRDefault="00A80691" w:rsidP="00A80691">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0428C199" w14:textId="51429BDF" w:rsidR="00A80691" w:rsidRDefault="00A80691" w:rsidP="00FE66BE">
      <w:pPr>
        <w:spacing w:line="276" w:lineRule="auto"/>
        <w:jc w:val="center"/>
        <w:rPr>
          <w:rFonts w:ascii="Verdana" w:hAnsi="Verdana"/>
          <w:noProof/>
        </w:rPr>
      </w:pPr>
    </w:p>
    <w:p w14:paraId="6235DC2E" w14:textId="1AFD31E7" w:rsidR="00645CB7" w:rsidRDefault="004919E5" w:rsidP="00645CB7">
      <w:pPr>
        <w:spacing w:line="276" w:lineRule="auto"/>
        <w:jc w:val="center"/>
        <w:rPr>
          <w:noProof/>
        </w:rPr>
      </w:pPr>
      <w:r>
        <w:rPr>
          <w:noProof/>
        </w:rPr>
        <w:drawing>
          <wp:inline distT="0" distB="0" distL="0" distR="0" wp14:anchorId="5EE4D319" wp14:editId="7EB0390E">
            <wp:extent cx="2418489" cy="1038225"/>
            <wp:effectExtent l="0" t="0" r="1270" b="0"/>
            <wp:docPr id="126391853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23926" cy="1040559"/>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80691" w:rsidRPr="00593A5F" w14:paraId="31D06E98" w14:textId="77777777" w:rsidTr="00E1079D">
        <w:trPr>
          <w:trHeight w:val="315"/>
        </w:trPr>
        <w:tc>
          <w:tcPr>
            <w:tcW w:w="893" w:type="dxa"/>
            <w:vAlign w:val="center"/>
            <w:hideMark/>
          </w:tcPr>
          <w:p w14:paraId="03E2D651" w14:textId="77777777" w:rsidR="00A80691" w:rsidRPr="003751C7" w:rsidRDefault="00A80691" w:rsidP="00A80691">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50E6222" w14:textId="77777777" w:rsidR="00A80691" w:rsidRPr="00E24803" w:rsidRDefault="00A80691" w:rsidP="00A80691">
            <w:pPr>
              <w:spacing w:line="276" w:lineRule="auto"/>
              <w:contextualSpacing/>
              <w:jc w:val="both"/>
              <w:rPr>
                <w:rFonts w:ascii="Verdana" w:hAnsi="Verdana"/>
                <w:sz w:val="16"/>
                <w:szCs w:val="16"/>
              </w:rPr>
            </w:pPr>
            <w:r w:rsidRPr="00E24803">
              <w:rPr>
                <w:rFonts w:ascii="Verdana" w:hAnsi="Verdana"/>
                <w:sz w:val="16"/>
                <w:szCs w:val="16"/>
              </w:rPr>
              <w:t>Nicolas Andrés Guzmán Padilla</w:t>
            </w:r>
          </w:p>
          <w:p w14:paraId="53926242" w14:textId="33D77AA9" w:rsidR="00A80691" w:rsidRPr="000015E6" w:rsidRDefault="00A80691" w:rsidP="00A80691">
            <w:pPr>
              <w:contextualSpacing/>
              <w:rPr>
                <w:rFonts w:ascii="Verdana" w:eastAsia="Arial" w:hAnsi="Verdana" w:cs="Arial"/>
                <w:sz w:val="16"/>
                <w:szCs w:val="16"/>
              </w:rPr>
            </w:pPr>
            <w:r w:rsidRPr="00E24803">
              <w:rPr>
                <w:rFonts w:ascii="Verdana" w:hAnsi="Verdana"/>
                <w:sz w:val="16"/>
                <w:szCs w:val="16"/>
              </w:rPr>
              <w:t>Contratista de la Subdirección de Gestión Contractual</w:t>
            </w:r>
          </w:p>
        </w:tc>
      </w:tr>
      <w:tr w:rsidR="00A80691" w:rsidRPr="00593A5F" w14:paraId="7860D780" w14:textId="77777777" w:rsidTr="00E1079D">
        <w:trPr>
          <w:trHeight w:val="330"/>
        </w:trPr>
        <w:tc>
          <w:tcPr>
            <w:tcW w:w="893" w:type="dxa"/>
            <w:vAlign w:val="center"/>
            <w:hideMark/>
          </w:tcPr>
          <w:p w14:paraId="242F9749" w14:textId="77777777" w:rsidR="00A80691" w:rsidRPr="003751C7" w:rsidRDefault="00A80691" w:rsidP="00A80691">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1957146" w14:textId="2FF2A61A" w:rsidR="00E21BD1" w:rsidRPr="00E24803" w:rsidRDefault="0025065B" w:rsidP="00E21BD1">
            <w:pPr>
              <w:spacing w:line="276" w:lineRule="auto"/>
              <w:contextualSpacing/>
              <w:jc w:val="both"/>
              <w:rPr>
                <w:rFonts w:ascii="Verdana" w:hAnsi="Verdana"/>
                <w:sz w:val="16"/>
                <w:szCs w:val="16"/>
              </w:rPr>
            </w:pPr>
            <w:r>
              <w:rPr>
                <w:rFonts w:ascii="Verdana" w:hAnsi="Verdana"/>
                <w:sz w:val="16"/>
                <w:szCs w:val="16"/>
              </w:rPr>
              <w:t xml:space="preserve">Juan Carlos González </w:t>
            </w:r>
          </w:p>
          <w:p w14:paraId="2BBC7853" w14:textId="6C5DBAC2" w:rsidR="00A80691" w:rsidRPr="00EF40D2" w:rsidRDefault="00A80691" w:rsidP="00A80691">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eastAsia="Arial" w:hAnsi="Verdana" w:cs="Arial"/>
                <w:sz w:val="16"/>
                <w:szCs w:val="16"/>
              </w:rPr>
              <w:t xml:space="preserve">Contratista </w:t>
            </w:r>
            <w:r w:rsidRPr="000015E6">
              <w:rPr>
                <w:rStyle w:val="normaltextrun"/>
                <w:rFonts w:ascii="Verdana" w:eastAsia="Arial" w:hAnsi="Verdana" w:cs="Arial"/>
                <w:sz w:val="16"/>
                <w:szCs w:val="16"/>
              </w:rPr>
              <w:t>Subdirección de Gestión Contractual</w:t>
            </w:r>
          </w:p>
        </w:tc>
      </w:tr>
      <w:tr w:rsidR="00A80691" w:rsidRPr="00593A5F" w14:paraId="2DB10D30" w14:textId="77777777" w:rsidTr="00E1079D">
        <w:trPr>
          <w:trHeight w:val="300"/>
        </w:trPr>
        <w:tc>
          <w:tcPr>
            <w:tcW w:w="893" w:type="dxa"/>
            <w:vAlign w:val="center"/>
          </w:tcPr>
          <w:p w14:paraId="3638310D" w14:textId="77777777" w:rsidR="00A80691" w:rsidRPr="003751C7" w:rsidRDefault="00A80691" w:rsidP="00A80691">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4BE9AC3" w14:textId="73B7E9CE" w:rsidR="00A80691" w:rsidRPr="000015E6" w:rsidRDefault="00A80691" w:rsidP="00A80691">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 xml:space="preserve">Carolina Quintero </w:t>
            </w:r>
            <w:r w:rsidR="00606078" w:rsidRPr="000015E6">
              <w:rPr>
                <w:rFonts w:ascii="Verdana" w:eastAsia="Calibri" w:hAnsi="Verdana" w:cs="Arial"/>
                <w:sz w:val="16"/>
                <w:szCs w:val="16"/>
                <w:lang w:val="pt-BR" w:eastAsia="es-ES"/>
              </w:rPr>
              <w:t>Ganchará</w:t>
            </w:r>
          </w:p>
          <w:p w14:paraId="3F43F8EA" w14:textId="2BA9B9FC" w:rsidR="00A80691" w:rsidRPr="000015E6" w:rsidRDefault="00A80691" w:rsidP="00A80691">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p>
        </w:tc>
      </w:tr>
      <w:bookmarkEnd w:id="1"/>
      <w:bookmarkEnd w:id="2"/>
      <w:bookmarkEnd w:id="3"/>
    </w:tbl>
    <w:p w14:paraId="0465BA6D" w14:textId="5A633879" w:rsidR="00E245AB" w:rsidRPr="0044528D" w:rsidRDefault="00E245AB" w:rsidP="00E245AB">
      <w:pPr>
        <w:spacing w:after="0"/>
        <w:rPr>
          <w:rFonts w:ascii="Verdana" w:hAnsi="Verdana"/>
        </w:rPr>
      </w:pPr>
    </w:p>
    <w:sectPr w:rsidR="00E245AB" w:rsidRPr="0044528D" w:rsidSect="00C03274">
      <w:headerReference w:type="even" r:id="rId17"/>
      <w:headerReference w:type="default" r:id="rId18"/>
      <w:footerReference w:type="even" r:id="rId19"/>
      <w:footerReference w:type="default" r:id="rId20"/>
      <w:pgSz w:w="12240" w:h="15840" w:code="1"/>
      <w:pgMar w:top="1417" w:right="1750" w:bottom="1417"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23099" w14:textId="77777777" w:rsidR="00A418D2" w:rsidRDefault="00A418D2" w:rsidP="004A1847">
      <w:pPr>
        <w:spacing w:after="0" w:line="240" w:lineRule="auto"/>
      </w:pPr>
      <w:r>
        <w:separator/>
      </w:r>
    </w:p>
  </w:endnote>
  <w:endnote w:type="continuationSeparator" w:id="0">
    <w:p w14:paraId="67E8F49B" w14:textId="77777777" w:rsidR="00A418D2" w:rsidRDefault="00A418D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7AAC8" w14:textId="77777777" w:rsidR="00AF4209" w:rsidRDefault="00AF4209">
    <w:pPr>
      <w:pStyle w:val="Piedepgina"/>
    </w:pPr>
  </w:p>
  <w:p w14:paraId="3526CBDE" w14:textId="77777777" w:rsidR="008245EB" w:rsidRDefault="008245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p w14:paraId="53800D44" w14:textId="77777777" w:rsidR="00250743" w:rsidRDefault="00250743"/>
  <w:p w14:paraId="2C260A65" w14:textId="77777777" w:rsidR="008245EB" w:rsidRDefault="008245EB"/>
  <w:p w14:paraId="14D52991" w14:textId="77777777" w:rsidR="008245EB" w:rsidRDefault="008245EB"/>
  <w:p w14:paraId="57ADEE0D" w14:textId="77777777" w:rsidR="008245EB" w:rsidRDefault="008245EB"/>
  <w:p w14:paraId="71FAF27A" w14:textId="77777777" w:rsidR="008245EB" w:rsidRDefault="008245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D1734" w14:textId="77777777" w:rsidR="00A418D2" w:rsidRDefault="00A418D2" w:rsidP="004A1847">
      <w:pPr>
        <w:spacing w:after="0" w:line="240" w:lineRule="auto"/>
      </w:pPr>
      <w:r>
        <w:separator/>
      </w:r>
    </w:p>
  </w:footnote>
  <w:footnote w:type="continuationSeparator" w:id="0">
    <w:p w14:paraId="448B09D0" w14:textId="77777777" w:rsidR="00A418D2" w:rsidRDefault="00A418D2" w:rsidP="004A1847">
      <w:pPr>
        <w:spacing w:after="0" w:line="240" w:lineRule="auto"/>
      </w:pPr>
      <w:r>
        <w:continuationSeparator/>
      </w:r>
    </w:p>
  </w:footnote>
  <w:footnote w:id="1">
    <w:p w14:paraId="7B5BBE29" w14:textId="77777777" w:rsidR="00E34B50" w:rsidRPr="00E34B50" w:rsidRDefault="00E34B50" w:rsidP="00E34B50">
      <w:pPr>
        <w:pStyle w:val="Textonotapie"/>
        <w:ind w:firstLine="708"/>
        <w:jc w:val="both"/>
        <w:rPr>
          <w:rFonts w:ascii="Verdana" w:hAnsi="Verdana" w:cs="Arial"/>
          <w:sz w:val="16"/>
          <w:szCs w:val="16"/>
        </w:rPr>
      </w:pPr>
      <w:r w:rsidRPr="00E34B50">
        <w:rPr>
          <w:rStyle w:val="Refdenotaalpie"/>
          <w:rFonts w:ascii="Verdana" w:hAnsi="Verdana" w:cs="Arial"/>
          <w:sz w:val="16"/>
          <w:szCs w:val="16"/>
        </w:rPr>
        <w:footnoteRef/>
      </w:r>
      <w:r w:rsidRPr="00E34B50">
        <w:rPr>
          <w:rFonts w:ascii="Verdana" w:hAnsi="Verdana" w:cs="Arial"/>
          <w:sz w:val="16"/>
          <w:szCs w:val="16"/>
        </w:rPr>
        <w:t xml:space="preserve"> </w:t>
      </w:r>
      <w:bookmarkStart w:id="7" w:name="_Hlk197098512"/>
      <w:r w:rsidRPr="00E34B50">
        <w:rPr>
          <w:rFonts w:ascii="Verdana" w:hAnsi="Verdana" w:cs="Arial"/>
          <w:sz w:val="16"/>
          <w:szCs w:val="16"/>
        </w:rPr>
        <w:t>Decreto 1082 de 2015: «Artículo 2.2.1.1.1.3.1.</w:t>
      </w:r>
      <w:bookmarkEnd w:id="7"/>
      <w:r w:rsidRPr="00E34B50">
        <w:rPr>
          <w:rFonts w:ascii="Verdana" w:hAnsi="Verdana" w:cs="Arial"/>
          <w:sz w:val="16"/>
          <w:szCs w:val="16"/>
        </w:rPr>
        <w:t xml:space="preserve">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099B2B7A" w14:textId="77777777" w:rsidR="00E34B50" w:rsidRPr="00E34B50" w:rsidRDefault="00E34B50" w:rsidP="00E34B50">
      <w:pPr>
        <w:pStyle w:val="Textonotapie"/>
        <w:ind w:firstLine="708"/>
        <w:jc w:val="both"/>
        <w:rPr>
          <w:rFonts w:ascii="Verdana" w:hAnsi="Verdana" w:cs="Arial"/>
          <w:sz w:val="16"/>
          <w:szCs w:val="16"/>
        </w:rPr>
      </w:pPr>
      <w:r w:rsidRPr="00E34B50">
        <w:rPr>
          <w:rFonts w:ascii="Verdana" w:hAnsi="Verdana" w:cs="Arial"/>
          <w:sz w:val="16"/>
          <w:szCs w:val="16"/>
        </w:rPr>
        <w:t>»[...]</w:t>
      </w:r>
    </w:p>
    <w:p w14:paraId="20DF8F1C" w14:textId="77777777" w:rsidR="00E34B50" w:rsidRPr="00E34B50" w:rsidRDefault="00E34B50" w:rsidP="00E34B50">
      <w:pPr>
        <w:pStyle w:val="Textonotapie"/>
        <w:ind w:firstLine="708"/>
        <w:jc w:val="both"/>
        <w:rPr>
          <w:rFonts w:ascii="Verdana" w:hAnsi="Verdana" w:cs="Arial"/>
          <w:sz w:val="16"/>
          <w:szCs w:val="16"/>
        </w:rPr>
      </w:pPr>
      <w:r w:rsidRPr="00E34B50">
        <w:rPr>
          <w:rFonts w:ascii="Verdana" w:hAnsi="Verdana" w:cs="Arial"/>
          <w:sz w:val="16"/>
          <w:szCs w:val="16"/>
        </w:rPr>
        <w:t>»Documentos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3B81E9F5" w14:textId="77777777" w:rsidR="00E34B50" w:rsidRPr="00E34B50" w:rsidRDefault="00E34B50" w:rsidP="00E34B50">
      <w:pPr>
        <w:pStyle w:val="Textonotapie"/>
        <w:ind w:firstLine="708"/>
        <w:jc w:val="both"/>
        <w:rPr>
          <w:rFonts w:ascii="Verdana" w:hAnsi="Verdana" w:cs="Arial"/>
          <w:sz w:val="16"/>
          <w:szCs w:val="16"/>
        </w:rPr>
      </w:pPr>
      <w:r w:rsidRPr="00E34B50">
        <w:rPr>
          <w:rFonts w:ascii="Verdana" w:hAnsi="Verdana" w:cs="Arial"/>
          <w:sz w:val="16"/>
          <w:szCs w:val="16"/>
        </w:rPr>
        <w:t>»[...]».</w:t>
      </w:r>
    </w:p>
    <w:p w14:paraId="01F92C1B" w14:textId="77777777" w:rsidR="00E34B50" w:rsidRPr="00E34B50" w:rsidRDefault="00E34B50" w:rsidP="00E34B50">
      <w:pPr>
        <w:pStyle w:val="Textonotapie"/>
        <w:jc w:val="both"/>
        <w:rPr>
          <w:rFonts w:ascii="Verdana" w:hAnsi="Verdana" w:cs="Arial"/>
          <w:sz w:val="16"/>
          <w:szCs w:val="16"/>
          <w:lang w:val="es-ES"/>
        </w:rPr>
      </w:pPr>
    </w:p>
  </w:footnote>
  <w:footnote w:id="2">
    <w:p w14:paraId="4F1DC1F4" w14:textId="77777777" w:rsidR="00E34B50" w:rsidRPr="00E34B50" w:rsidRDefault="00E34B50" w:rsidP="00E34B50">
      <w:pPr>
        <w:pStyle w:val="Textonotapie"/>
        <w:ind w:firstLine="708"/>
        <w:jc w:val="both"/>
        <w:rPr>
          <w:rFonts w:ascii="Verdana" w:hAnsi="Verdana" w:cs="Arial"/>
          <w:sz w:val="16"/>
          <w:szCs w:val="16"/>
        </w:rPr>
      </w:pPr>
      <w:r w:rsidRPr="00E34B50">
        <w:rPr>
          <w:rStyle w:val="Refdenotaalpie"/>
          <w:rFonts w:ascii="Verdana" w:hAnsi="Verdana" w:cs="Arial"/>
          <w:sz w:val="16"/>
          <w:szCs w:val="16"/>
        </w:rPr>
        <w:footnoteRef/>
      </w:r>
      <w:r w:rsidRPr="00E34B50">
        <w:rPr>
          <w:rFonts w:ascii="Verdana" w:hAnsi="Verdana" w:cs="Arial"/>
          <w:sz w:val="16"/>
          <w:szCs w:val="16"/>
        </w:rPr>
        <w:t xml:space="preserve"> </w:t>
      </w:r>
      <w:bookmarkStart w:id="8" w:name="_Hlk197098520"/>
      <w:r w:rsidRPr="00E34B50">
        <w:rPr>
          <w:rFonts w:ascii="Verdana" w:hAnsi="Verdana" w:cs="Arial"/>
          <w:sz w:val="16"/>
          <w:szCs w:val="16"/>
        </w:rPr>
        <w:t xml:space="preserve">Ley 80 de 1993: «Artículo 6. </w:t>
      </w:r>
      <w:bookmarkEnd w:id="8"/>
      <w:r w:rsidRPr="00E34B50">
        <w:rPr>
          <w:rFonts w:ascii="Verdana" w:hAnsi="Verdana" w:cs="Arial"/>
          <w:sz w:val="16"/>
          <w:szCs w:val="16"/>
        </w:rPr>
        <w:t>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43A685AF" w14:textId="77777777" w:rsidR="00E34B50" w:rsidRPr="00E34B50" w:rsidRDefault="00E34B50" w:rsidP="00E34B50">
      <w:pPr>
        <w:pStyle w:val="Textonotapie"/>
        <w:ind w:firstLine="708"/>
        <w:jc w:val="both"/>
        <w:rPr>
          <w:rFonts w:ascii="Verdana" w:hAnsi="Verdana" w:cs="Arial"/>
          <w:sz w:val="16"/>
          <w:szCs w:val="16"/>
        </w:rPr>
      </w:pPr>
      <w:r w:rsidRPr="00E34B50">
        <w:rPr>
          <w:rFonts w:ascii="Verdana" w:hAnsi="Verdana" w:cs="Arial"/>
          <w:sz w:val="16"/>
          <w:szCs w:val="16"/>
        </w:rPr>
        <w:t>»Las personas jurídicas nacionales y extranjeras deberán acreditar que su duración no será inferior a la del plazo del contrato y un año más».</w:t>
      </w:r>
    </w:p>
    <w:p w14:paraId="66636576" w14:textId="77777777" w:rsidR="00E34B50" w:rsidRPr="00E34B50" w:rsidRDefault="00E34B50" w:rsidP="00E34B50">
      <w:pPr>
        <w:pStyle w:val="Textonotapie"/>
        <w:jc w:val="both"/>
        <w:rPr>
          <w:rFonts w:ascii="Verdana" w:hAnsi="Verdana" w:cs="Arial"/>
          <w:sz w:val="16"/>
          <w:szCs w:val="16"/>
          <w:lang w:val="es-CO"/>
        </w:rPr>
      </w:pPr>
      <w:r w:rsidRPr="00E34B50">
        <w:rPr>
          <w:rFonts w:ascii="Verdana" w:hAnsi="Verdana" w:cs="Arial"/>
          <w:sz w:val="16"/>
          <w:szCs w:val="16"/>
        </w:rPr>
        <w:t xml:space="preserve"> </w:t>
      </w:r>
    </w:p>
  </w:footnote>
  <w:footnote w:id="3">
    <w:p w14:paraId="0E38465F" w14:textId="77777777" w:rsidR="00E34B50" w:rsidRPr="00E34B50" w:rsidRDefault="00E34B50" w:rsidP="00E34B50">
      <w:pPr>
        <w:pStyle w:val="Textonotapie"/>
        <w:ind w:firstLine="708"/>
        <w:jc w:val="both"/>
        <w:rPr>
          <w:rFonts w:ascii="Verdana" w:hAnsi="Verdana" w:cs="Arial"/>
          <w:sz w:val="16"/>
          <w:szCs w:val="16"/>
        </w:rPr>
      </w:pPr>
      <w:r w:rsidRPr="00E34B50">
        <w:rPr>
          <w:rStyle w:val="Refdenotaalpie"/>
          <w:rFonts w:ascii="Verdana" w:hAnsi="Verdana" w:cs="Arial"/>
          <w:sz w:val="16"/>
          <w:szCs w:val="16"/>
        </w:rPr>
        <w:footnoteRef/>
      </w:r>
      <w:r w:rsidRPr="00E34B50">
        <w:rPr>
          <w:rFonts w:ascii="Verdana" w:hAnsi="Verdana" w:cs="Arial"/>
          <w:sz w:val="16"/>
          <w:szCs w:val="16"/>
        </w:rPr>
        <w:t xml:space="preserve"> Código Civil: «Artículo 633. Definición de persona jurídica. Se llama persona jurídica, una persona ficticia, capaz de ejercer derechos y contraer obligaciones civiles, y de ser representada judicial y extrajudicialmente.</w:t>
      </w:r>
    </w:p>
    <w:p w14:paraId="1FF07092" w14:textId="77777777" w:rsidR="00E34B50" w:rsidRPr="00E34B50" w:rsidRDefault="00E34B50" w:rsidP="00E34B50">
      <w:pPr>
        <w:pStyle w:val="Textonotapie"/>
        <w:ind w:firstLine="708"/>
        <w:jc w:val="both"/>
        <w:rPr>
          <w:rFonts w:ascii="Verdana" w:hAnsi="Verdana" w:cs="Arial"/>
          <w:sz w:val="16"/>
          <w:szCs w:val="16"/>
        </w:rPr>
      </w:pPr>
      <w:r w:rsidRPr="00E34B50">
        <w:rPr>
          <w:rFonts w:ascii="Verdana" w:hAnsi="Verdana" w:cs="Arial"/>
          <w:sz w:val="16"/>
          <w:szCs w:val="16"/>
        </w:rPr>
        <w:t>»Las personas jurídicas son de dos especies: corporaciones y fundaciones de beneficencia pública.</w:t>
      </w:r>
    </w:p>
    <w:p w14:paraId="661B6482" w14:textId="77777777" w:rsidR="00E34B50" w:rsidRPr="00E34B50" w:rsidRDefault="00E34B50" w:rsidP="00E34B50">
      <w:pPr>
        <w:pStyle w:val="Textonotapie"/>
        <w:ind w:firstLine="708"/>
        <w:jc w:val="both"/>
        <w:rPr>
          <w:rFonts w:ascii="Verdana" w:hAnsi="Verdana" w:cs="Arial"/>
          <w:sz w:val="16"/>
          <w:szCs w:val="16"/>
          <w:lang w:val="es-CO"/>
        </w:rPr>
      </w:pPr>
      <w:r w:rsidRPr="00E34B50">
        <w:rPr>
          <w:rFonts w:ascii="Verdana" w:hAnsi="Verdana" w:cs="Arial"/>
          <w:sz w:val="16"/>
          <w:szCs w:val="16"/>
        </w:rPr>
        <w:t>»Hay personas jurídicas que participan de uno y otro carácter».</w:t>
      </w:r>
    </w:p>
  </w:footnote>
  <w:footnote w:id="4">
    <w:p w14:paraId="43EBB667" w14:textId="77777777" w:rsidR="00E34B50" w:rsidRPr="00E34B50" w:rsidRDefault="00E34B50" w:rsidP="00E34B50">
      <w:pPr>
        <w:pStyle w:val="Textonotapie"/>
        <w:ind w:firstLine="708"/>
        <w:jc w:val="both"/>
        <w:rPr>
          <w:rFonts w:ascii="Verdana" w:hAnsi="Verdana" w:cs="Arial"/>
          <w:sz w:val="16"/>
          <w:szCs w:val="16"/>
          <w:lang w:val="es-CO"/>
        </w:rPr>
      </w:pPr>
    </w:p>
    <w:p w14:paraId="44C16BD4" w14:textId="77777777" w:rsidR="00E34B50" w:rsidRPr="00E34B50" w:rsidRDefault="00E34B50" w:rsidP="00E34B50">
      <w:pPr>
        <w:pStyle w:val="Textonotapie"/>
        <w:ind w:firstLine="708"/>
        <w:jc w:val="both"/>
        <w:rPr>
          <w:rFonts w:ascii="Verdana" w:hAnsi="Verdana" w:cs="Arial"/>
          <w:sz w:val="16"/>
          <w:szCs w:val="16"/>
        </w:rPr>
      </w:pPr>
      <w:r w:rsidRPr="00E34B50">
        <w:rPr>
          <w:rStyle w:val="Refdenotaalpie"/>
          <w:rFonts w:ascii="Verdana" w:hAnsi="Verdana" w:cs="Arial"/>
          <w:sz w:val="16"/>
          <w:szCs w:val="16"/>
        </w:rPr>
        <w:footnoteRef/>
      </w:r>
      <w:r w:rsidRPr="00E34B50">
        <w:rPr>
          <w:rFonts w:ascii="Verdana" w:hAnsi="Verdana" w:cs="Arial"/>
          <w:sz w:val="16"/>
          <w:szCs w:val="16"/>
        </w:rPr>
        <w:t xml:space="preserve"> Código de Comercio: «Artículo 1. Aplicabilidad de la ley comercial. Los comerciantes y los asuntos mercantiles se regirán por las disposiciones de la ley comercial, y los casos no regulados expresamente en ella serán decididos por analogía de sus normas.</w:t>
      </w:r>
    </w:p>
    <w:p w14:paraId="4B5278C2" w14:textId="77777777" w:rsidR="00E34B50" w:rsidRPr="00E34B50" w:rsidRDefault="00E34B50" w:rsidP="00E34B50">
      <w:pPr>
        <w:pStyle w:val="Textonotapie"/>
        <w:ind w:firstLine="708"/>
        <w:jc w:val="both"/>
        <w:rPr>
          <w:rFonts w:ascii="Verdana" w:hAnsi="Verdana" w:cs="Arial"/>
          <w:sz w:val="16"/>
          <w:szCs w:val="16"/>
        </w:rPr>
      </w:pPr>
      <w:r w:rsidRPr="00E34B50">
        <w:rPr>
          <w:rFonts w:ascii="Verdana" w:hAnsi="Verdana" w:cs="Arial"/>
          <w:sz w:val="16"/>
          <w:szCs w:val="16"/>
        </w:rPr>
        <w:t>»Artículo 2. Aplicación de la legislación civil. En las cuestiones comerciales que no pudieren regularse conforme a la regla anterior, se aplicarán las disposiciones de la legislación civil».</w:t>
      </w:r>
    </w:p>
    <w:p w14:paraId="35EF9507" w14:textId="77777777" w:rsidR="00E34B50" w:rsidRPr="00E34B50" w:rsidRDefault="00E34B50" w:rsidP="00E34B50">
      <w:pPr>
        <w:pStyle w:val="Textonotapie"/>
        <w:jc w:val="both"/>
        <w:rPr>
          <w:rFonts w:ascii="Verdana" w:hAnsi="Verdana" w:cs="Arial"/>
          <w:sz w:val="16"/>
          <w:szCs w:val="16"/>
          <w:lang w:val="es-CO"/>
        </w:rPr>
      </w:pPr>
    </w:p>
  </w:footnote>
  <w:footnote w:id="5">
    <w:p w14:paraId="4334EC42" w14:textId="77777777" w:rsidR="00E34B50" w:rsidRPr="00E34B50" w:rsidRDefault="00E34B50" w:rsidP="00E34B50">
      <w:pPr>
        <w:pStyle w:val="Textonotapie"/>
        <w:ind w:firstLine="708"/>
        <w:jc w:val="both"/>
        <w:rPr>
          <w:rFonts w:ascii="Verdana" w:hAnsi="Verdana" w:cs="Arial"/>
          <w:sz w:val="16"/>
          <w:szCs w:val="16"/>
        </w:rPr>
      </w:pPr>
      <w:r w:rsidRPr="00E34B50">
        <w:rPr>
          <w:rStyle w:val="Refdenotaalpie"/>
          <w:rFonts w:ascii="Verdana" w:hAnsi="Verdana" w:cs="Arial"/>
          <w:sz w:val="16"/>
          <w:szCs w:val="16"/>
        </w:rPr>
        <w:footnoteRef/>
      </w:r>
      <w:r w:rsidRPr="00E34B50">
        <w:rPr>
          <w:rFonts w:ascii="Verdana" w:hAnsi="Verdana" w:cs="Arial"/>
          <w:sz w:val="16"/>
          <w:szCs w:val="16"/>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60587B16" w14:textId="77777777" w:rsidR="00E34B50" w:rsidRPr="00E34B50" w:rsidRDefault="00E34B50" w:rsidP="00E34B50">
      <w:pPr>
        <w:pStyle w:val="Textonotapie"/>
        <w:ind w:firstLine="708"/>
        <w:jc w:val="both"/>
        <w:rPr>
          <w:rFonts w:ascii="Verdana" w:hAnsi="Verdana" w:cs="Arial"/>
          <w:sz w:val="16"/>
          <w:szCs w:val="16"/>
        </w:rPr>
      </w:pPr>
      <w:r w:rsidRPr="00E34B50">
        <w:rPr>
          <w:rFonts w:ascii="Verdana" w:hAnsi="Verdana" w:cs="Arial"/>
          <w:sz w:val="16"/>
          <w:szCs w:val="16"/>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3D76F666" w14:textId="77777777" w:rsidR="00E34B50" w:rsidRPr="00E34B50" w:rsidRDefault="00E34B50" w:rsidP="00E34B50">
      <w:pPr>
        <w:pStyle w:val="Textonotapie"/>
        <w:ind w:firstLine="708"/>
        <w:jc w:val="both"/>
        <w:rPr>
          <w:rFonts w:ascii="Verdana" w:hAnsi="Verdana" w:cs="Arial"/>
          <w:sz w:val="16"/>
          <w:szCs w:val="16"/>
        </w:rPr>
      </w:pPr>
      <w:r w:rsidRPr="00E34B50">
        <w:rPr>
          <w:rFonts w:ascii="Verdana" w:hAnsi="Verdana" w:cs="Arial"/>
          <w:sz w:val="16"/>
          <w:szCs w:val="16"/>
        </w:rPr>
        <w:t>»[...]».</w:t>
      </w:r>
    </w:p>
    <w:p w14:paraId="17D7871E" w14:textId="77777777" w:rsidR="00E34B50" w:rsidRPr="00E34B50" w:rsidRDefault="00E34B50" w:rsidP="00E34B50">
      <w:pPr>
        <w:pStyle w:val="Textonotapie"/>
        <w:jc w:val="both"/>
        <w:rPr>
          <w:rFonts w:ascii="Verdana" w:hAnsi="Verdana" w:cs="Arial"/>
          <w:sz w:val="16"/>
          <w:szCs w:val="16"/>
          <w:lang w:val="es-ES"/>
        </w:rPr>
      </w:pPr>
    </w:p>
  </w:footnote>
  <w:footnote w:id="6">
    <w:p w14:paraId="42673821" w14:textId="77777777" w:rsidR="00E34B50" w:rsidRPr="00E34B50" w:rsidRDefault="00E34B50" w:rsidP="00E34B50">
      <w:pPr>
        <w:pStyle w:val="Textonotapie"/>
        <w:ind w:firstLine="708"/>
        <w:jc w:val="both"/>
        <w:rPr>
          <w:rFonts w:ascii="Verdana" w:hAnsi="Verdana" w:cs="Arial"/>
          <w:sz w:val="16"/>
          <w:szCs w:val="16"/>
        </w:rPr>
      </w:pPr>
      <w:r w:rsidRPr="00E34B50">
        <w:rPr>
          <w:rStyle w:val="Refdenotaalpie"/>
          <w:rFonts w:ascii="Verdana" w:hAnsi="Verdana" w:cs="Arial"/>
          <w:sz w:val="16"/>
          <w:szCs w:val="16"/>
        </w:rPr>
        <w:footnoteRef/>
      </w:r>
      <w:r w:rsidRPr="00E34B50">
        <w:rPr>
          <w:rFonts w:ascii="Verdana" w:hAnsi="Verdana" w:cs="Arial"/>
          <w:sz w:val="16"/>
          <w:szCs w:val="16"/>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0CE1269A" w14:textId="77777777" w:rsidR="00E34B50" w:rsidRPr="00E34B50" w:rsidRDefault="00E34B50" w:rsidP="00E34B50">
      <w:pPr>
        <w:pStyle w:val="Textonotapie"/>
        <w:ind w:firstLine="708"/>
        <w:jc w:val="both"/>
        <w:rPr>
          <w:rFonts w:ascii="Verdana" w:hAnsi="Verdana" w:cs="Arial"/>
          <w:sz w:val="16"/>
          <w:szCs w:val="16"/>
          <w:lang w:val="es-ES"/>
        </w:rPr>
      </w:pPr>
    </w:p>
  </w:footnote>
  <w:footnote w:id="7">
    <w:p w14:paraId="3492A8E7" w14:textId="77777777" w:rsidR="00E34B50" w:rsidRPr="00E34B50" w:rsidRDefault="00E34B50" w:rsidP="00E34B50">
      <w:pPr>
        <w:pStyle w:val="Textonotapie"/>
        <w:ind w:firstLine="708"/>
        <w:jc w:val="both"/>
        <w:rPr>
          <w:rFonts w:ascii="Verdana" w:hAnsi="Verdana" w:cs="Arial"/>
          <w:sz w:val="16"/>
          <w:szCs w:val="16"/>
        </w:rPr>
      </w:pPr>
      <w:r w:rsidRPr="00E34B50">
        <w:rPr>
          <w:rStyle w:val="Refdenotaalpie"/>
          <w:rFonts w:ascii="Verdana" w:hAnsi="Verdana" w:cs="Arial"/>
          <w:sz w:val="16"/>
          <w:szCs w:val="16"/>
        </w:rPr>
        <w:footnoteRef/>
      </w:r>
      <w:r w:rsidRPr="00E34B50">
        <w:rPr>
          <w:rFonts w:ascii="Verdana" w:hAnsi="Verdana" w:cs="Arial"/>
          <w:sz w:val="16"/>
          <w:szCs w:val="16"/>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79668047" w14:textId="77777777" w:rsidR="00E34B50" w:rsidRPr="00E34B50" w:rsidRDefault="00E34B50" w:rsidP="00E34B50">
      <w:pPr>
        <w:pStyle w:val="Textonotapie"/>
        <w:ind w:firstLine="708"/>
        <w:jc w:val="both"/>
        <w:rPr>
          <w:rFonts w:ascii="Verdana" w:hAnsi="Verdana" w:cs="Arial"/>
          <w:sz w:val="16"/>
          <w:szCs w:val="16"/>
        </w:rPr>
      </w:pPr>
      <w:r w:rsidRPr="00E34B50">
        <w:rPr>
          <w:rFonts w:ascii="Verdana" w:hAnsi="Verdana" w:cs="Arial"/>
          <w:sz w:val="16"/>
          <w:szCs w:val="16"/>
        </w:rPr>
        <w:t>»1. Experiencia – Los contratos celebrados por el interesado para cada uno de los bienes, obras y servicios que ofrecerá a las Entidades Estatales, identificados con el Clasificador de Bienes y Servicios en el tercer nivel y su valor expresado en SMMLV.</w:t>
      </w:r>
    </w:p>
    <w:p w14:paraId="6C54263E" w14:textId="77777777" w:rsidR="00E34B50" w:rsidRPr="00E34B50" w:rsidRDefault="00E34B50" w:rsidP="00E34B50">
      <w:pPr>
        <w:pStyle w:val="Textonotapie"/>
        <w:ind w:firstLine="708"/>
        <w:jc w:val="both"/>
        <w:rPr>
          <w:rFonts w:ascii="Verdana" w:hAnsi="Verdana" w:cs="Arial"/>
          <w:sz w:val="16"/>
          <w:szCs w:val="16"/>
        </w:rPr>
      </w:pPr>
      <w:r w:rsidRPr="00E34B50">
        <w:rPr>
          <w:rFonts w:ascii="Verdana" w:hAnsi="Verdana" w:cs="Arial"/>
          <w:sz w:val="16"/>
          <w:szCs w:val="16"/>
        </w:rPr>
        <w:t>»[...]».</w:t>
      </w:r>
    </w:p>
    <w:p w14:paraId="734BFB80" w14:textId="77777777" w:rsidR="00E34B50" w:rsidRPr="00E34B50" w:rsidRDefault="00E34B50" w:rsidP="00E34B50">
      <w:pPr>
        <w:pStyle w:val="Textonotapie"/>
        <w:ind w:firstLine="708"/>
        <w:jc w:val="both"/>
        <w:rPr>
          <w:rFonts w:ascii="Verdana" w:hAnsi="Verdana" w:cs="Arial"/>
          <w:sz w:val="16"/>
          <w:szCs w:val="16"/>
          <w:lang w:val="es-ES"/>
        </w:rPr>
      </w:pPr>
    </w:p>
  </w:footnote>
  <w:footnote w:id="8">
    <w:p w14:paraId="44FC5BC1" w14:textId="77777777" w:rsidR="00E34B50" w:rsidRPr="00E34B50" w:rsidRDefault="00E34B50" w:rsidP="00E34B50">
      <w:pPr>
        <w:pStyle w:val="Textonotapie"/>
        <w:ind w:firstLine="708"/>
        <w:jc w:val="both"/>
        <w:rPr>
          <w:rFonts w:ascii="Verdana" w:hAnsi="Verdana" w:cs="Arial"/>
          <w:sz w:val="16"/>
          <w:szCs w:val="16"/>
        </w:rPr>
      </w:pPr>
      <w:r w:rsidRPr="00E34B50">
        <w:rPr>
          <w:rStyle w:val="Refdenotaalpie"/>
          <w:rFonts w:ascii="Verdana" w:hAnsi="Verdana" w:cs="Arial"/>
          <w:sz w:val="16"/>
          <w:szCs w:val="16"/>
        </w:rPr>
        <w:footnoteRef/>
      </w:r>
      <w:r w:rsidRPr="00E34B50">
        <w:rPr>
          <w:rFonts w:ascii="Verdana" w:hAnsi="Verdana" w:cs="Arial"/>
          <w:sz w:val="16"/>
          <w:szCs w:val="16"/>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058D781" w14:textId="77777777" w:rsidR="00E34B50" w:rsidRPr="00E34B50" w:rsidRDefault="00E34B50" w:rsidP="00E34B50">
      <w:pPr>
        <w:pStyle w:val="Textonotapie"/>
        <w:ind w:firstLine="708"/>
        <w:jc w:val="both"/>
        <w:rPr>
          <w:rFonts w:ascii="Verdana" w:hAnsi="Verdana" w:cs="Arial"/>
          <w:sz w:val="16"/>
          <w:szCs w:val="16"/>
        </w:rPr>
      </w:pPr>
      <w:r w:rsidRPr="00E34B50">
        <w:rPr>
          <w:rFonts w:ascii="Verdana" w:hAnsi="Verdana" w:cs="Arial"/>
          <w:sz w:val="16"/>
          <w:szCs w:val="16"/>
        </w:rPr>
        <w:t>»[...]</w:t>
      </w:r>
    </w:p>
    <w:p w14:paraId="0B5021EB" w14:textId="77777777" w:rsidR="00E34B50" w:rsidRPr="00E34B50" w:rsidRDefault="00E34B50" w:rsidP="00E34B50">
      <w:pPr>
        <w:pStyle w:val="Textonotapie"/>
        <w:ind w:firstLine="708"/>
        <w:jc w:val="both"/>
        <w:rPr>
          <w:rFonts w:ascii="Verdana" w:hAnsi="Verdana" w:cs="Arial"/>
          <w:sz w:val="16"/>
          <w:szCs w:val="16"/>
        </w:rPr>
      </w:pPr>
      <w:r w:rsidRPr="00E34B50">
        <w:rPr>
          <w:rFonts w:ascii="Verdana" w:hAnsi="Verdana" w:cs="Arial"/>
          <w:sz w:val="16"/>
          <w:szCs w:val="16"/>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1C31F4BD" w14:textId="77777777" w:rsidR="00E34B50" w:rsidRPr="00E34B50" w:rsidRDefault="00E34B50" w:rsidP="00E34B50">
      <w:pPr>
        <w:pStyle w:val="Textonotapie"/>
        <w:ind w:firstLine="708"/>
        <w:jc w:val="both"/>
        <w:rPr>
          <w:rFonts w:ascii="Verdana" w:hAnsi="Verdana" w:cs="Arial"/>
          <w:sz w:val="16"/>
          <w:szCs w:val="16"/>
        </w:rPr>
      </w:pPr>
      <w:r w:rsidRPr="00E34B50">
        <w:rPr>
          <w:rFonts w:ascii="Verdana" w:hAnsi="Verdana" w:cs="Arial"/>
          <w:sz w:val="16"/>
          <w:szCs w:val="16"/>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4386AB43" w14:textId="77777777" w:rsidR="00E34B50" w:rsidRPr="00E34B50" w:rsidRDefault="00E34B50" w:rsidP="00E34B50">
      <w:pPr>
        <w:pStyle w:val="Textonotapie"/>
        <w:jc w:val="both"/>
        <w:rPr>
          <w:rFonts w:ascii="Verdana" w:hAnsi="Verdana" w:cs="Arial"/>
          <w:sz w:val="16"/>
          <w:szCs w:val="16"/>
          <w:lang w:val="es-ES"/>
        </w:rPr>
      </w:pPr>
    </w:p>
  </w:footnote>
  <w:footnote w:id="9">
    <w:p w14:paraId="2064F073" w14:textId="77777777" w:rsidR="00E34B50" w:rsidRPr="00E34B50" w:rsidRDefault="00E34B50" w:rsidP="00E34B50">
      <w:pPr>
        <w:pStyle w:val="Textonotapie"/>
        <w:ind w:firstLine="708"/>
        <w:jc w:val="both"/>
        <w:rPr>
          <w:rFonts w:ascii="Verdana" w:hAnsi="Verdana" w:cs="Arial"/>
          <w:sz w:val="16"/>
          <w:szCs w:val="16"/>
        </w:rPr>
      </w:pPr>
      <w:r w:rsidRPr="00E34B50">
        <w:rPr>
          <w:rStyle w:val="Refdenotaalpie"/>
          <w:rFonts w:ascii="Verdana" w:hAnsi="Verdana" w:cs="Arial"/>
          <w:sz w:val="16"/>
          <w:szCs w:val="16"/>
        </w:rPr>
        <w:footnoteRef/>
      </w:r>
      <w:r w:rsidRPr="00E34B50">
        <w:rPr>
          <w:rFonts w:ascii="Verdana" w:hAnsi="Verdana" w:cs="Arial"/>
          <w:sz w:val="16"/>
          <w:szCs w:val="16"/>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B692DB7" w14:textId="77777777" w:rsidR="00E34B50" w:rsidRPr="00E34B50" w:rsidRDefault="00E34B50" w:rsidP="00E34B50">
      <w:pPr>
        <w:pStyle w:val="Textonotapie"/>
        <w:ind w:firstLine="708"/>
        <w:jc w:val="both"/>
        <w:rPr>
          <w:rFonts w:ascii="Verdana" w:hAnsi="Verdana" w:cs="Arial"/>
          <w:sz w:val="16"/>
          <w:szCs w:val="16"/>
        </w:rPr>
      </w:pPr>
      <w:r w:rsidRPr="00E34B50">
        <w:rPr>
          <w:rFonts w:ascii="Verdana" w:hAnsi="Verdana" w:cs="Arial"/>
          <w:sz w:val="16"/>
          <w:szCs w:val="16"/>
        </w:rPr>
        <w:t>»1. Si es una persona natural:</w:t>
      </w:r>
    </w:p>
    <w:p w14:paraId="6D0B9953" w14:textId="77777777" w:rsidR="00E34B50" w:rsidRPr="00E34B50" w:rsidRDefault="00E34B50" w:rsidP="00E34B50">
      <w:pPr>
        <w:pStyle w:val="Textonotapie"/>
        <w:ind w:firstLine="708"/>
        <w:jc w:val="both"/>
        <w:rPr>
          <w:rFonts w:ascii="Verdana" w:hAnsi="Verdana" w:cs="Arial"/>
          <w:sz w:val="16"/>
          <w:szCs w:val="16"/>
        </w:rPr>
      </w:pPr>
      <w:r w:rsidRPr="00E34B50">
        <w:rPr>
          <w:rFonts w:ascii="Verdana" w:hAnsi="Verdana" w:cs="Arial"/>
          <w:sz w:val="16"/>
          <w:szCs w:val="16"/>
        </w:rPr>
        <w:t>»1.1. Bienes, obras y servicios que ofrecerá a las Entidades Estatales, identificados con el Clasificador de Bienes y Servicios en el tercer nivel.</w:t>
      </w:r>
    </w:p>
    <w:p w14:paraId="7105E8CE" w14:textId="77777777" w:rsidR="00E34B50" w:rsidRPr="00E34B50" w:rsidRDefault="00E34B50" w:rsidP="00E34B50">
      <w:pPr>
        <w:pStyle w:val="Textonotapie"/>
        <w:ind w:firstLine="708"/>
        <w:jc w:val="both"/>
        <w:rPr>
          <w:rFonts w:ascii="Verdana" w:hAnsi="Verdana" w:cs="Arial"/>
          <w:sz w:val="16"/>
          <w:szCs w:val="16"/>
        </w:rPr>
      </w:pPr>
      <w:r w:rsidRPr="00E34B50">
        <w:rPr>
          <w:rFonts w:ascii="Verdana" w:hAnsi="Verdana" w:cs="Arial"/>
          <w:sz w:val="16"/>
          <w:szCs w:val="16"/>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0AC11728" w14:textId="77777777" w:rsidR="00E34B50" w:rsidRPr="00293ED9" w:rsidRDefault="00E34B50" w:rsidP="00E34B50">
      <w:pPr>
        <w:pStyle w:val="Textonotapie"/>
        <w:ind w:firstLine="708"/>
        <w:jc w:val="both"/>
        <w:rPr>
          <w:rFonts w:ascii="Arial" w:hAnsi="Arial" w:cs="Arial"/>
          <w:sz w:val="19"/>
          <w:szCs w:val="19"/>
          <w:lang w:val="es-ES"/>
        </w:rPr>
      </w:pPr>
    </w:p>
  </w:footnote>
  <w:footnote w:id="10">
    <w:p w14:paraId="5C3CD5CB" w14:textId="77777777" w:rsidR="00E34B50" w:rsidRPr="00E34B50" w:rsidRDefault="00E34B50" w:rsidP="00E34B50">
      <w:pPr>
        <w:pStyle w:val="Textonotapie"/>
        <w:ind w:firstLine="300"/>
        <w:jc w:val="both"/>
        <w:rPr>
          <w:rFonts w:ascii="Verdana" w:hAnsi="Verdana" w:cs="Arial"/>
          <w:color w:val="404040" w:themeColor="text1" w:themeTint="BF"/>
          <w:sz w:val="16"/>
          <w:szCs w:val="16"/>
        </w:rPr>
      </w:pPr>
      <w:r w:rsidRPr="00E34B50">
        <w:rPr>
          <w:rStyle w:val="Refdenotaalpie"/>
          <w:rFonts w:ascii="Verdana" w:hAnsi="Verdana" w:cs="Arial"/>
          <w:color w:val="404040" w:themeColor="text1" w:themeTint="BF"/>
          <w:sz w:val="16"/>
          <w:szCs w:val="16"/>
        </w:rPr>
        <w:footnoteRef/>
      </w:r>
      <w:r w:rsidRPr="00E34B50">
        <w:rPr>
          <w:rFonts w:ascii="Verdana" w:hAnsi="Verdana" w:cs="Arial"/>
          <w:color w:val="404040" w:themeColor="text1" w:themeTint="BF"/>
          <w:sz w:val="16"/>
          <w:szCs w:val="16"/>
        </w:rPr>
        <w:t xml:space="preserve"> Decreto 1082 de 2015. Artículo 2.2.1.1.1.5.3. Allí se lee: «Requisitos habilitantes contenidos en el RUP. Las cámaras de comercio, con base en la información a la que hace referencia el artículo anterior, deben verificar y certificar los siguientes requisitos habilitantes:</w:t>
      </w:r>
    </w:p>
    <w:p w14:paraId="24E2A89C" w14:textId="77777777" w:rsidR="00E34B50" w:rsidRPr="00E34B50" w:rsidRDefault="00E34B50" w:rsidP="00E34B50">
      <w:pPr>
        <w:pStyle w:val="Textonotapie"/>
        <w:ind w:firstLine="300"/>
        <w:jc w:val="both"/>
        <w:rPr>
          <w:rFonts w:ascii="Verdana" w:hAnsi="Verdana" w:cs="Arial"/>
          <w:color w:val="404040" w:themeColor="text1" w:themeTint="BF"/>
          <w:sz w:val="16"/>
          <w:szCs w:val="16"/>
        </w:rPr>
      </w:pPr>
    </w:p>
    <w:p w14:paraId="266B36AD" w14:textId="77777777" w:rsidR="00E34B50" w:rsidRPr="00E34B50" w:rsidRDefault="00E34B50" w:rsidP="00E34B50">
      <w:pPr>
        <w:pStyle w:val="Textonotapie"/>
        <w:ind w:firstLine="300"/>
        <w:jc w:val="both"/>
        <w:rPr>
          <w:rFonts w:ascii="Verdana" w:hAnsi="Verdana" w:cs="Arial"/>
          <w:color w:val="404040" w:themeColor="text1" w:themeTint="BF"/>
          <w:sz w:val="16"/>
          <w:szCs w:val="16"/>
        </w:rPr>
      </w:pPr>
      <w:r w:rsidRPr="00E34B50">
        <w:rPr>
          <w:rFonts w:ascii="Verdana" w:hAnsi="Verdana" w:cs="Arial"/>
          <w:color w:val="404040" w:themeColor="text1" w:themeTint="BF"/>
          <w:sz w:val="16"/>
          <w:szCs w:val="16"/>
        </w:rPr>
        <w:t>»1. Experiencia – Los contratos celebrados por el interesado para cada uno de los bienes, obras y servicios que ofrecerá a las Entidades Estatales, identificados con el Clasificador de Bienes y Servicios en el tercer nivel y su valor expresado en SMMLV.</w:t>
      </w:r>
    </w:p>
    <w:p w14:paraId="7A1D41B1" w14:textId="77777777" w:rsidR="00E34B50" w:rsidRPr="00E34B50" w:rsidRDefault="00E34B50" w:rsidP="00E34B50">
      <w:pPr>
        <w:pStyle w:val="Textonotapie"/>
        <w:ind w:firstLine="300"/>
        <w:jc w:val="both"/>
        <w:rPr>
          <w:rFonts w:ascii="Verdana" w:hAnsi="Verdana" w:cs="Arial"/>
          <w:color w:val="404040" w:themeColor="text1" w:themeTint="BF"/>
          <w:sz w:val="16"/>
          <w:szCs w:val="16"/>
        </w:rPr>
      </w:pPr>
    </w:p>
    <w:p w14:paraId="4F6E2201" w14:textId="77777777" w:rsidR="00E34B50" w:rsidRPr="00465DB9" w:rsidRDefault="00E34B50" w:rsidP="00E34B50">
      <w:pPr>
        <w:pStyle w:val="Textonotapie"/>
        <w:ind w:firstLine="300"/>
        <w:jc w:val="both"/>
        <w:rPr>
          <w:rFonts w:ascii="Arial" w:hAnsi="Arial" w:cs="Arial"/>
          <w:color w:val="404040" w:themeColor="text1" w:themeTint="BF"/>
          <w:sz w:val="19"/>
          <w:szCs w:val="19"/>
        </w:rPr>
      </w:pPr>
      <w:r w:rsidRPr="00E34B50">
        <w:rPr>
          <w:rFonts w:ascii="Verdana" w:hAnsi="Verdana" w:cs="Arial"/>
          <w:color w:val="404040" w:themeColor="text1" w:themeTint="BF"/>
          <w:sz w:val="16"/>
          <w:szCs w:val="16"/>
        </w:rPr>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90070" w14:textId="77777777" w:rsidR="00AF4209" w:rsidRDefault="00AF4209">
    <w:pPr>
      <w:pStyle w:val="Encabezado"/>
    </w:pPr>
  </w:p>
  <w:p w14:paraId="136C5567" w14:textId="77777777" w:rsidR="008245EB" w:rsidRDefault="008245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566722761"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263155480" name="Imagen 263155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17C5DE6B" w14:textId="77777777" w:rsidR="008245EB" w:rsidRDefault="008245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6308C5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833212895" o:spid="_x0000_i1025" type="#_x0000_t75" style="width:11.25pt;height:11.25pt;visibility:visible;mso-wrap-style:square">
            <v:imagedata r:id="rId1" o:title=""/>
          </v:shape>
        </w:pict>
      </mc:Choice>
      <mc:Fallback>
        <w:drawing>
          <wp:inline distT="0" distB="0" distL="0" distR="0" wp14:anchorId="46CE0246" wp14:editId="683A1E9B">
            <wp:extent cx="142875" cy="142875"/>
            <wp:effectExtent l="0" t="0" r="0" b="0"/>
            <wp:docPr id="1833212895" name="Imagen 1833212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9409A6"/>
    <w:multiLevelType w:val="hybridMultilevel"/>
    <w:tmpl w:val="9132AB9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70D7145"/>
    <w:multiLevelType w:val="hybridMultilevel"/>
    <w:tmpl w:val="388A8D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7931FAD"/>
    <w:multiLevelType w:val="hybridMultilevel"/>
    <w:tmpl w:val="CF2441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B400B4F"/>
    <w:multiLevelType w:val="hybridMultilevel"/>
    <w:tmpl w:val="F12825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D6E3BA2"/>
    <w:multiLevelType w:val="hybridMultilevel"/>
    <w:tmpl w:val="45CAEBC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D807785"/>
    <w:multiLevelType w:val="hybridMultilevel"/>
    <w:tmpl w:val="F956DF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0550DDB"/>
    <w:multiLevelType w:val="hybridMultilevel"/>
    <w:tmpl w:val="992EFA66"/>
    <w:lvl w:ilvl="0" w:tplc="C284BA10">
      <w:numFmt w:val="bullet"/>
      <w:lvlText w:val=""/>
      <w:lvlJc w:val="left"/>
      <w:pPr>
        <w:ind w:left="823" w:hanging="360"/>
      </w:pPr>
      <w:rPr>
        <w:rFonts w:ascii="Symbol" w:eastAsia="Symbol" w:hAnsi="Symbol" w:cs="Symbol" w:hint="default"/>
        <w:w w:val="99"/>
        <w:sz w:val="22"/>
        <w:szCs w:val="22"/>
        <w:lang w:val="es-ES" w:eastAsia="en-US" w:bidi="ar-SA"/>
      </w:rPr>
    </w:lvl>
    <w:lvl w:ilvl="1" w:tplc="75BC0E92">
      <w:numFmt w:val="bullet"/>
      <w:lvlText w:val="•"/>
      <w:lvlJc w:val="left"/>
      <w:pPr>
        <w:ind w:left="1601" w:hanging="360"/>
      </w:pPr>
      <w:rPr>
        <w:rFonts w:hint="default"/>
        <w:lang w:val="es-ES" w:eastAsia="en-US" w:bidi="ar-SA"/>
      </w:rPr>
    </w:lvl>
    <w:lvl w:ilvl="2" w:tplc="6234D9D2">
      <w:numFmt w:val="bullet"/>
      <w:lvlText w:val="•"/>
      <w:lvlJc w:val="left"/>
      <w:pPr>
        <w:ind w:left="2383" w:hanging="360"/>
      </w:pPr>
      <w:rPr>
        <w:rFonts w:hint="default"/>
        <w:lang w:val="es-ES" w:eastAsia="en-US" w:bidi="ar-SA"/>
      </w:rPr>
    </w:lvl>
    <w:lvl w:ilvl="3" w:tplc="D8DE518A">
      <w:numFmt w:val="bullet"/>
      <w:lvlText w:val="•"/>
      <w:lvlJc w:val="left"/>
      <w:pPr>
        <w:ind w:left="3165" w:hanging="360"/>
      </w:pPr>
      <w:rPr>
        <w:rFonts w:hint="default"/>
        <w:lang w:val="es-ES" w:eastAsia="en-US" w:bidi="ar-SA"/>
      </w:rPr>
    </w:lvl>
    <w:lvl w:ilvl="4" w:tplc="9D484E64">
      <w:numFmt w:val="bullet"/>
      <w:lvlText w:val="•"/>
      <w:lvlJc w:val="left"/>
      <w:pPr>
        <w:ind w:left="3946" w:hanging="360"/>
      </w:pPr>
      <w:rPr>
        <w:rFonts w:hint="default"/>
        <w:lang w:val="es-ES" w:eastAsia="en-US" w:bidi="ar-SA"/>
      </w:rPr>
    </w:lvl>
    <w:lvl w:ilvl="5" w:tplc="E5F481EE">
      <w:numFmt w:val="bullet"/>
      <w:lvlText w:val="•"/>
      <w:lvlJc w:val="left"/>
      <w:pPr>
        <w:ind w:left="4728" w:hanging="360"/>
      </w:pPr>
      <w:rPr>
        <w:rFonts w:hint="default"/>
        <w:lang w:val="es-ES" w:eastAsia="en-US" w:bidi="ar-SA"/>
      </w:rPr>
    </w:lvl>
    <w:lvl w:ilvl="6" w:tplc="263AC6AC">
      <w:numFmt w:val="bullet"/>
      <w:lvlText w:val="•"/>
      <w:lvlJc w:val="left"/>
      <w:pPr>
        <w:ind w:left="5510" w:hanging="360"/>
      </w:pPr>
      <w:rPr>
        <w:rFonts w:hint="default"/>
        <w:lang w:val="es-ES" w:eastAsia="en-US" w:bidi="ar-SA"/>
      </w:rPr>
    </w:lvl>
    <w:lvl w:ilvl="7" w:tplc="6240A5FA">
      <w:numFmt w:val="bullet"/>
      <w:lvlText w:val="•"/>
      <w:lvlJc w:val="left"/>
      <w:pPr>
        <w:ind w:left="6291" w:hanging="360"/>
      </w:pPr>
      <w:rPr>
        <w:rFonts w:hint="default"/>
        <w:lang w:val="es-ES" w:eastAsia="en-US" w:bidi="ar-SA"/>
      </w:rPr>
    </w:lvl>
    <w:lvl w:ilvl="8" w:tplc="0814455C">
      <w:numFmt w:val="bullet"/>
      <w:lvlText w:val="•"/>
      <w:lvlJc w:val="left"/>
      <w:pPr>
        <w:ind w:left="7073" w:hanging="360"/>
      </w:pPr>
      <w:rPr>
        <w:rFonts w:hint="default"/>
        <w:lang w:val="es-ES" w:eastAsia="en-US" w:bidi="ar-SA"/>
      </w:rPr>
    </w:lvl>
  </w:abstractNum>
  <w:abstractNum w:abstractNumId="10" w15:restartNumberingAfterBreak="0">
    <w:nsid w:val="221405AE"/>
    <w:multiLevelType w:val="hybridMultilevel"/>
    <w:tmpl w:val="7BD406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192B65"/>
    <w:multiLevelType w:val="hybridMultilevel"/>
    <w:tmpl w:val="194857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C4A618E"/>
    <w:multiLevelType w:val="hybridMultilevel"/>
    <w:tmpl w:val="8D825AF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4" w15:restartNumberingAfterBreak="0">
    <w:nsid w:val="2CBC59B1"/>
    <w:multiLevelType w:val="hybridMultilevel"/>
    <w:tmpl w:val="9B9AECF8"/>
    <w:lvl w:ilvl="0" w:tplc="7AF69CD2">
      <w:start w:val="1"/>
      <w:numFmt w:val="lowerRoman"/>
      <w:lvlText w:val="%1)"/>
      <w:lvlJc w:val="left"/>
      <w:pPr>
        <w:ind w:left="1440" w:hanging="720"/>
      </w:pPr>
      <w:rPr>
        <w:rFonts w:ascii="Verdana" w:hAnsi="Verdana" w:hint="default"/>
        <w:sz w:val="22"/>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5" w15:restartNumberingAfterBreak="0">
    <w:nsid w:val="2FCD0DB5"/>
    <w:multiLevelType w:val="multilevel"/>
    <w:tmpl w:val="115E934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5553C26"/>
    <w:multiLevelType w:val="hybridMultilevel"/>
    <w:tmpl w:val="AD704D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3" w15:restartNumberingAfterBreak="0">
    <w:nsid w:val="40E12C2B"/>
    <w:multiLevelType w:val="hybridMultilevel"/>
    <w:tmpl w:val="E7D6AF9E"/>
    <w:lvl w:ilvl="0" w:tplc="240A0001">
      <w:start w:val="1"/>
      <w:numFmt w:val="bullet"/>
      <w:lvlText w:val=""/>
      <w:lvlJc w:val="left"/>
      <w:pPr>
        <w:ind w:left="840" w:hanging="360"/>
      </w:pPr>
      <w:rPr>
        <w:rFonts w:ascii="Symbol" w:hAnsi="Symbol" w:hint="default"/>
      </w:rPr>
    </w:lvl>
    <w:lvl w:ilvl="1" w:tplc="240A0003" w:tentative="1">
      <w:start w:val="1"/>
      <w:numFmt w:val="bullet"/>
      <w:lvlText w:val="o"/>
      <w:lvlJc w:val="left"/>
      <w:pPr>
        <w:ind w:left="1560" w:hanging="360"/>
      </w:pPr>
      <w:rPr>
        <w:rFonts w:ascii="Courier New" w:hAnsi="Courier New" w:cs="Courier New" w:hint="default"/>
      </w:rPr>
    </w:lvl>
    <w:lvl w:ilvl="2" w:tplc="240A0005" w:tentative="1">
      <w:start w:val="1"/>
      <w:numFmt w:val="bullet"/>
      <w:lvlText w:val=""/>
      <w:lvlJc w:val="left"/>
      <w:pPr>
        <w:ind w:left="2280" w:hanging="360"/>
      </w:pPr>
      <w:rPr>
        <w:rFonts w:ascii="Wingdings" w:hAnsi="Wingdings" w:hint="default"/>
      </w:rPr>
    </w:lvl>
    <w:lvl w:ilvl="3" w:tplc="240A0001" w:tentative="1">
      <w:start w:val="1"/>
      <w:numFmt w:val="bullet"/>
      <w:lvlText w:val=""/>
      <w:lvlJc w:val="left"/>
      <w:pPr>
        <w:ind w:left="3000" w:hanging="360"/>
      </w:pPr>
      <w:rPr>
        <w:rFonts w:ascii="Symbol" w:hAnsi="Symbol" w:hint="default"/>
      </w:rPr>
    </w:lvl>
    <w:lvl w:ilvl="4" w:tplc="240A0003" w:tentative="1">
      <w:start w:val="1"/>
      <w:numFmt w:val="bullet"/>
      <w:lvlText w:val="o"/>
      <w:lvlJc w:val="left"/>
      <w:pPr>
        <w:ind w:left="3720" w:hanging="360"/>
      </w:pPr>
      <w:rPr>
        <w:rFonts w:ascii="Courier New" w:hAnsi="Courier New" w:cs="Courier New" w:hint="default"/>
      </w:rPr>
    </w:lvl>
    <w:lvl w:ilvl="5" w:tplc="240A0005" w:tentative="1">
      <w:start w:val="1"/>
      <w:numFmt w:val="bullet"/>
      <w:lvlText w:val=""/>
      <w:lvlJc w:val="left"/>
      <w:pPr>
        <w:ind w:left="4440" w:hanging="360"/>
      </w:pPr>
      <w:rPr>
        <w:rFonts w:ascii="Wingdings" w:hAnsi="Wingdings" w:hint="default"/>
      </w:rPr>
    </w:lvl>
    <w:lvl w:ilvl="6" w:tplc="240A0001" w:tentative="1">
      <w:start w:val="1"/>
      <w:numFmt w:val="bullet"/>
      <w:lvlText w:val=""/>
      <w:lvlJc w:val="left"/>
      <w:pPr>
        <w:ind w:left="5160" w:hanging="360"/>
      </w:pPr>
      <w:rPr>
        <w:rFonts w:ascii="Symbol" w:hAnsi="Symbol" w:hint="default"/>
      </w:rPr>
    </w:lvl>
    <w:lvl w:ilvl="7" w:tplc="240A0003" w:tentative="1">
      <w:start w:val="1"/>
      <w:numFmt w:val="bullet"/>
      <w:lvlText w:val="o"/>
      <w:lvlJc w:val="left"/>
      <w:pPr>
        <w:ind w:left="5880" w:hanging="360"/>
      </w:pPr>
      <w:rPr>
        <w:rFonts w:ascii="Courier New" w:hAnsi="Courier New" w:cs="Courier New" w:hint="default"/>
      </w:rPr>
    </w:lvl>
    <w:lvl w:ilvl="8" w:tplc="240A0005" w:tentative="1">
      <w:start w:val="1"/>
      <w:numFmt w:val="bullet"/>
      <w:lvlText w:val=""/>
      <w:lvlJc w:val="left"/>
      <w:pPr>
        <w:ind w:left="6600" w:hanging="360"/>
      </w:pPr>
      <w:rPr>
        <w:rFonts w:ascii="Wingdings" w:hAnsi="Wingdings" w:hint="default"/>
      </w:rPr>
    </w:lvl>
  </w:abstractNum>
  <w:abstractNum w:abstractNumId="24" w15:restartNumberingAfterBreak="0">
    <w:nsid w:val="497D0DA0"/>
    <w:multiLevelType w:val="hybridMultilevel"/>
    <w:tmpl w:val="3FCE3E80"/>
    <w:lvl w:ilvl="0" w:tplc="3A8C993E">
      <w:start w:val="1"/>
      <w:numFmt w:val="decimal"/>
      <w:lvlText w:val="%1."/>
      <w:lvlJc w:val="left"/>
      <w:pPr>
        <w:ind w:left="1069" w:hanging="360"/>
      </w:pPr>
      <w:rPr>
        <w:rFonts w:hint="default"/>
        <w:b w:val="0"/>
        <w:bCs/>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5" w15:restartNumberingAfterBreak="0">
    <w:nsid w:val="4A07209D"/>
    <w:multiLevelType w:val="hybridMultilevel"/>
    <w:tmpl w:val="12C46106"/>
    <w:lvl w:ilvl="0" w:tplc="240A0001">
      <w:start w:val="1"/>
      <w:numFmt w:val="bullet"/>
      <w:lvlText w:val=""/>
      <w:lvlJc w:val="left"/>
      <w:pPr>
        <w:ind w:left="2280" w:hanging="360"/>
      </w:pPr>
      <w:rPr>
        <w:rFonts w:ascii="Symbol" w:hAnsi="Symbol" w:hint="default"/>
      </w:rPr>
    </w:lvl>
    <w:lvl w:ilvl="1" w:tplc="240A0003" w:tentative="1">
      <w:start w:val="1"/>
      <w:numFmt w:val="bullet"/>
      <w:lvlText w:val="o"/>
      <w:lvlJc w:val="left"/>
      <w:pPr>
        <w:ind w:left="3000" w:hanging="360"/>
      </w:pPr>
      <w:rPr>
        <w:rFonts w:ascii="Courier New" w:hAnsi="Courier New" w:cs="Courier New" w:hint="default"/>
      </w:rPr>
    </w:lvl>
    <w:lvl w:ilvl="2" w:tplc="240A0005" w:tentative="1">
      <w:start w:val="1"/>
      <w:numFmt w:val="bullet"/>
      <w:lvlText w:val=""/>
      <w:lvlJc w:val="left"/>
      <w:pPr>
        <w:ind w:left="3720" w:hanging="360"/>
      </w:pPr>
      <w:rPr>
        <w:rFonts w:ascii="Wingdings" w:hAnsi="Wingdings" w:hint="default"/>
      </w:rPr>
    </w:lvl>
    <w:lvl w:ilvl="3" w:tplc="240A0001" w:tentative="1">
      <w:start w:val="1"/>
      <w:numFmt w:val="bullet"/>
      <w:lvlText w:val=""/>
      <w:lvlJc w:val="left"/>
      <w:pPr>
        <w:ind w:left="4440" w:hanging="360"/>
      </w:pPr>
      <w:rPr>
        <w:rFonts w:ascii="Symbol" w:hAnsi="Symbol" w:hint="default"/>
      </w:rPr>
    </w:lvl>
    <w:lvl w:ilvl="4" w:tplc="240A0003" w:tentative="1">
      <w:start w:val="1"/>
      <w:numFmt w:val="bullet"/>
      <w:lvlText w:val="o"/>
      <w:lvlJc w:val="left"/>
      <w:pPr>
        <w:ind w:left="5160" w:hanging="360"/>
      </w:pPr>
      <w:rPr>
        <w:rFonts w:ascii="Courier New" w:hAnsi="Courier New" w:cs="Courier New" w:hint="default"/>
      </w:rPr>
    </w:lvl>
    <w:lvl w:ilvl="5" w:tplc="240A0005" w:tentative="1">
      <w:start w:val="1"/>
      <w:numFmt w:val="bullet"/>
      <w:lvlText w:val=""/>
      <w:lvlJc w:val="left"/>
      <w:pPr>
        <w:ind w:left="5880" w:hanging="360"/>
      </w:pPr>
      <w:rPr>
        <w:rFonts w:ascii="Wingdings" w:hAnsi="Wingdings" w:hint="default"/>
      </w:rPr>
    </w:lvl>
    <w:lvl w:ilvl="6" w:tplc="240A0001" w:tentative="1">
      <w:start w:val="1"/>
      <w:numFmt w:val="bullet"/>
      <w:lvlText w:val=""/>
      <w:lvlJc w:val="left"/>
      <w:pPr>
        <w:ind w:left="6600" w:hanging="360"/>
      </w:pPr>
      <w:rPr>
        <w:rFonts w:ascii="Symbol" w:hAnsi="Symbol" w:hint="default"/>
      </w:rPr>
    </w:lvl>
    <w:lvl w:ilvl="7" w:tplc="240A0003" w:tentative="1">
      <w:start w:val="1"/>
      <w:numFmt w:val="bullet"/>
      <w:lvlText w:val="o"/>
      <w:lvlJc w:val="left"/>
      <w:pPr>
        <w:ind w:left="7320" w:hanging="360"/>
      </w:pPr>
      <w:rPr>
        <w:rFonts w:ascii="Courier New" w:hAnsi="Courier New" w:cs="Courier New" w:hint="default"/>
      </w:rPr>
    </w:lvl>
    <w:lvl w:ilvl="8" w:tplc="240A0005" w:tentative="1">
      <w:start w:val="1"/>
      <w:numFmt w:val="bullet"/>
      <w:lvlText w:val=""/>
      <w:lvlJc w:val="left"/>
      <w:pPr>
        <w:ind w:left="8040" w:hanging="360"/>
      </w:pPr>
      <w:rPr>
        <w:rFonts w:ascii="Wingdings" w:hAnsi="Wingdings" w:hint="default"/>
      </w:rPr>
    </w:lvl>
  </w:abstractNum>
  <w:abstractNum w:abstractNumId="26" w15:restartNumberingAfterBreak="0">
    <w:nsid w:val="4A3F27CD"/>
    <w:multiLevelType w:val="hybridMultilevel"/>
    <w:tmpl w:val="1AB87B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4A74137A"/>
    <w:multiLevelType w:val="hybridMultilevel"/>
    <w:tmpl w:val="B010E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F1117FC"/>
    <w:multiLevelType w:val="hybridMultilevel"/>
    <w:tmpl w:val="D36A3F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4F3A18F4"/>
    <w:multiLevelType w:val="hybridMultilevel"/>
    <w:tmpl w:val="1A7C4F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2135D5B"/>
    <w:multiLevelType w:val="hybridMultilevel"/>
    <w:tmpl w:val="465A6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33320B5"/>
    <w:multiLevelType w:val="multilevel"/>
    <w:tmpl w:val="D74E66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537A487D"/>
    <w:multiLevelType w:val="hybridMultilevel"/>
    <w:tmpl w:val="60CE2214"/>
    <w:lvl w:ilvl="0" w:tplc="ABECF95E">
      <w:start w:val="1"/>
      <w:numFmt w:val="lowerLetter"/>
      <w:lvlText w:val="%1."/>
      <w:lvlJc w:val="left"/>
      <w:pPr>
        <w:ind w:left="1198" w:hanging="360"/>
      </w:pPr>
      <w:rPr>
        <w:rFonts w:ascii="Arial" w:eastAsia="Arial" w:hAnsi="Arial" w:cs="Arial" w:hint="default"/>
        <w:b/>
        <w:bCs/>
        <w:spacing w:val="-1"/>
        <w:w w:val="100"/>
        <w:sz w:val="24"/>
        <w:szCs w:val="24"/>
        <w:lang w:val="es-ES" w:eastAsia="en-US" w:bidi="ar-SA"/>
      </w:rPr>
    </w:lvl>
    <w:lvl w:ilvl="1" w:tplc="521C5DE0">
      <w:numFmt w:val="bullet"/>
      <w:lvlText w:val="•"/>
      <w:lvlJc w:val="left"/>
      <w:pPr>
        <w:ind w:left="2050" w:hanging="360"/>
      </w:pPr>
      <w:rPr>
        <w:rFonts w:hint="default"/>
        <w:lang w:val="es-ES" w:eastAsia="en-US" w:bidi="ar-SA"/>
      </w:rPr>
    </w:lvl>
    <w:lvl w:ilvl="2" w:tplc="F8382576">
      <w:numFmt w:val="bullet"/>
      <w:lvlText w:val="•"/>
      <w:lvlJc w:val="left"/>
      <w:pPr>
        <w:ind w:left="2900" w:hanging="360"/>
      </w:pPr>
      <w:rPr>
        <w:rFonts w:hint="default"/>
        <w:lang w:val="es-ES" w:eastAsia="en-US" w:bidi="ar-SA"/>
      </w:rPr>
    </w:lvl>
    <w:lvl w:ilvl="3" w:tplc="622480D6">
      <w:numFmt w:val="bullet"/>
      <w:lvlText w:val="•"/>
      <w:lvlJc w:val="left"/>
      <w:pPr>
        <w:ind w:left="3750" w:hanging="360"/>
      </w:pPr>
      <w:rPr>
        <w:rFonts w:hint="default"/>
        <w:lang w:val="es-ES" w:eastAsia="en-US" w:bidi="ar-SA"/>
      </w:rPr>
    </w:lvl>
    <w:lvl w:ilvl="4" w:tplc="192E38FA">
      <w:numFmt w:val="bullet"/>
      <w:lvlText w:val="•"/>
      <w:lvlJc w:val="left"/>
      <w:pPr>
        <w:ind w:left="4600" w:hanging="360"/>
      </w:pPr>
      <w:rPr>
        <w:rFonts w:hint="default"/>
        <w:lang w:val="es-ES" w:eastAsia="en-US" w:bidi="ar-SA"/>
      </w:rPr>
    </w:lvl>
    <w:lvl w:ilvl="5" w:tplc="56F68ED2">
      <w:numFmt w:val="bullet"/>
      <w:lvlText w:val="•"/>
      <w:lvlJc w:val="left"/>
      <w:pPr>
        <w:ind w:left="5450" w:hanging="360"/>
      </w:pPr>
      <w:rPr>
        <w:rFonts w:hint="default"/>
        <w:lang w:val="es-ES" w:eastAsia="en-US" w:bidi="ar-SA"/>
      </w:rPr>
    </w:lvl>
    <w:lvl w:ilvl="6" w:tplc="A89044F6">
      <w:numFmt w:val="bullet"/>
      <w:lvlText w:val="•"/>
      <w:lvlJc w:val="left"/>
      <w:pPr>
        <w:ind w:left="6300" w:hanging="360"/>
      </w:pPr>
      <w:rPr>
        <w:rFonts w:hint="default"/>
        <w:lang w:val="es-ES" w:eastAsia="en-US" w:bidi="ar-SA"/>
      </w:rPr>
    </w:lvl>
    <w:lvl w:ilvl="7" w:tplc="06B0FF48">
      <w:numFmt w:val="bullet"/>
      <w:lvlText w:val="•"/>
      <w:lvlJc w:val="left"/>
      <w:pPr>
        <w:ind w:left="7150" w:hanging="360"/>
      </w:pPr>
      <w:rPr>
        <w:rFonts w:hint="default"/>
        <w:lang w:val="es-ES" w:eastAsia="en-US" w:bidi="ar-SA"/>
      </w:rPr>
    </w:lvl>
    <w:lvl w:ilvl="8" w:tplc="2B825FB2">
      <w:numFmt w:val="bullet"/>
      <w:lvlText w:val="•"/>
      <w:lvlJc w:val="left"/>
      <w:pPr>
        <w:ind w:left="8000" w:hanging="360"/>
      </w:pPr>
      <w:rPr>
        <w:rFonts w:hint="default"/>
        <w:lang w:val="es-ES" w:eastAsia="en-US" w:bidi="ar-SA"/>
      </w:rPr>
    </w:lvl>
  </w:abstractNum>
  <w:abstractNum w:abstractNumId="33" w15:restartNumberingAfterBreak="0">
    <w:nsid w:val="53DD0257"/>
    <w:multiLevelType w:val="hybridMultilevel"/>
    <w:tmpl w:val="5274A2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543A09DF"/>
    <w:multiLevelType w:val="multilevel"/>
    <w:tmpl w:val="9FB46D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DC50FF7"/>
    <w:multiLevelType w:val="hybridMultilevel"/>
    <w:tmpl w:val="559E1A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37" w15:restartNumberingAfterBreak="0">
    <w:nsid w:val="65873129"/>
    <w:multiLevelType w:val="hybridMultilevel"/>
    <w:tmpl w:val="23CA46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6663276E"/>
    <w:multiLevelType w:val="hybridMultilevel"/>
    <w:tmpl w:val="4C7824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1CC6F5F"/>
    <w:multiLevelType w:val="hybridMultilevel"/>
    <w:tmpl w:val="C05E8E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772B73DB"/>
    <w:multiLevelType w:val="hybridMultilevel"/>
    <w:tmpl w:val="2A9E79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 w15:restartNumberingAfterBreak="0">
    <w:nsid w:val="7D0A39BE"/>
    <w:multiLevelType w:val="hybridMultilevel"/>
    <w:tmpl w:val="C1CE7E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E67788B"/>
    <w:multiLevelType w:val="hybridMultilevel"/>
    <w:tmpl w:val="1324D0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18"/>
  </w:num>
  <w:num w:numId="2" w16cid:durableId="19822139">
    <w:abstractNumId w:val="3"/>
  </w:num>
  <w:num w:numId="3" w16cid:durableId="876742304">
    <w:abstractNumId w:val="16"/>
  </w:num>
  <w:num w:numId="4" w16cid:durableId="2451864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42"/>
  </w:num>
  <w:num w:numId="7" w16cid:durableId="1946422806">
    <w:abstractNumId w:val="17"/>
  </w:num>
  <w:num w:numId="8" w16cid:durableId="152644682">
    <w:abstractNumId w:val="40"/>
  </w:num>
  <w:num w:numId="9" w16cid:durableId="1317221377">
    <w:abstractNumId w:val="20"/>
  </w:num>
  <w:num w:numId="10" w16cid:durableId="1471245386">
    <w:abstractNumId w:val="39"/>
  </w:num>
  <w:num w:numId="11" w16cid:durableId="289172385">
    <w:abstractNumId w:val="21"/>
  </w:num>
  <w:num w:numId="12" w16cid:durableId="1470781324">
    <w:abstractNumId w:val="1"/>
  </w:num>
  <w:num w:numId="13" w16cid:durableId="1512908409">
    <w:abstractNumId w:val="11"/>
  </w:num>
  <w:num w:numId="14" w16cid:durableId="895897244">
    <w:abstractNumId w:val="43"/>
  </w:num>
  <w:num w:numId="15" w16cid:durableId="390349800">
    <w:abstractNumId w:val="36"/>
  </w:num>
  <w:num w:numId="16" w16cid:durableId="1380713882">
    <w:abstractNumId w:val="0"/>
  </w:num>
  <w:num w:numId="17" w16cid:durableId="1528370592">
    <w:abstractNumId w:val="41"/>
  </w:num>
  <w:num w:numId="18" w16cid:durableId="1827160323">
    <w:abstractNumId w:val="30"/>
  </w:num>
  <w:num w:numId="19" w16cid:durableId="1341393406">
    <w:abstractNumId w:val="10"/>
  </w:num>
  <w:num w:numId="20" w16cid:durableId="142542170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14770774">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3683062">
    <w:abstractNumId w:val="34"/>
  </w:num>
  <w:num w:numId="23" w16cid:durableId="821585723">
    <w:abstractNumId w:val="48"/>
  </w:num>
  <w:num w:numId="24" w16cid:durableId="278218624">
    <w:abstractNumId w:val="28"/>
  </w:num>
  <w:num w:numId="25" w16cid:durableId="619844469">
    <w:abstractNumId w:val="4"/>
  </w:num>
  <w:num w:numId="26" w16cid:durableId="2032217959">
    <w:abstractNumId w:val="23"/>
  </w:num>
  <w:num w:numId="27" w16cid:durableId="1194152408">
    <w:abstractNumId w:val="6"/>
  </w:num>
  <w:num w:numId="28" w16cid:durableId="765926342">
    <w:abstractNumId w:val="9"/>
  </w:num>
  <w:num w:numId="29" w16cid:durableId="772895453">
    <w:abstractNumId w:val="37"/>
  </w:num>
  <w:num w:numId="30" w16cid:durableId="784039179">
    <w:abstractNumId w:val="44"/>
  </w:num>
  <w:num w:numId="31" w16cid:durableId="998077508">
    <w:abstractNumId w:val="26"/>
  </w:num>
  <w:num w:numId="32" w16cid:durableId="836310654">
    <w:abstractNumId w:val="5"/>
  </w:num>
  <w:num w:numId="33" w16cid:durableId="1178544198">
    <w:abstractNumId w:val="19"/>
  </w:num>
  <w:num w:numId="34" w16cid:durableId="449785796">
    <w:abstractNumId w:val="13"/>
  </w:num>
  <w:num w:numId="35" w16cid:durableId="558784917">
    <w:abstractNumId w:val="25"/>
  </w:num>
  <w:num w:numId="36" w16cid:durableId="679089576">
    <w:abstractNumId w:val="22"/>
  </w:num>
  <w:num w:numId="37" w16cid:durableId="1733503356">
    <w:abstractNumId w:val="38"/>
  </w:num>
  <w:num w:numId="38" w16cid:durableId="1982299905">
    <w:abstractNumId w:val="47"/>
  </w:num>
  <w:num w:numId="39" w16cid:durableId="718089256">
    <w:abstractNumId w:val="12"/>
  </w:num>
  <w:num w:numId="40" w16cid:durableId="1416318430">
    <w:abstractNumId w:val="46"/>
  </w:num>
  <w:num w:numId="41" w16cid:durableId="134764369">
    <w:abstractNumId w:val="45"/>
  </w:num>
  <w:num w:numId="42" w16cid:durableId="782461700">
    <w:abstractNumId w:val="29"/>
  </w:num>
  <w:num w:numId="43" w16cid:durableId="1726566718">
    <w:abstractNumId w:val="2"/>
  </w:num>
  <w:num w:numId="44" w16cid:durableId="1187794586">
    <w:abstractNumId w:val="24"/>
  </w:num>
  <w:num w:numId="45" w16cid:durableId="61874046">
    <w:abstractNumId w:val="35"/>
  </w:num>
  <w:num w:numId="46" w16cid:durableId="794831771">
    <w:abstractNumId w:val="8"/>
  </w:num>
  <w:num w:numId="47" w16cid:durableId="328875954">
    <w:abstractNumId w:val="33"/>
  </w:num>
  <w:num w:numId="48" w16cid:durableId="1942368513">
    <w:abstractNumId w:val="14"/>
  </w:num>
  <w:num w:numId="49" w16cid:durableId="1289359701">
    <w:abstractNumId w:val="7"/>
  </w:num>
  <w:num w:numId="50" w16cid:durableId="1511867854">
    <w:abstractNumId w:val="32"/>
  </w:num>
  <w:num w:numId="51" w16cid:durableId="29598649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5E6"/>
    <w:rsid w:val="00002BA0"/>
    <w:rsid w:val="00004C50"/>
    <w:rsid w:val="00022742"/>
    <w:rsid w:val="00032690"/>
    <w:rsid w:val="00043043"/>
    <w:rsid w:val="0004364F"/>
    <w:rsid w:val="000446BC"/>
    <w:rsid w:val="0005032D"/>
    <w:rsid w:val="00052A7F"/>
    <w:rsid w:val="00061A32"/>
    <w:rsid w:val="00061B2A"/>
    <w:rsid w:val="00061DA5"/>
    <w:rsid w:val="00064D4C"/>
    <w:rsid w:val="00065774"/>
    <w:rsid w:val="00067974"/>
    <w:rsid w:val="000716C3"/>
    <w:rsid w:val="0008049C"/>
    <w:rsid w:val="000816DD"/>
    <w:rsid w:val="00082362"/>
    <w:rsid w:val="00083901"/>
    <w:rsid w:val="00087CE9"/>
    <w:rsid w:val="00091052"/>
    <w:rsid w:val="00097A44"/>
    <w:rsid w:val="000A683E"/>
    <w:rsid w:val="000B19B9"/>
    <w:rsid w:val="000B6628"/>
    <w:rsid w:val="000B7A27"/>
    <w:rsid w:val="000C3898"/>
    <w:rsid w:val="000D0334"/>
    <w:rsid w:val="000D5325"/>
    <w:rsid w:val="000D7C08"/>
    <w:rsid w:val="000E02CA"/>
    <w:rsid w:val="000F4D98"/>
    <w:rsid w:val="000F5B9C"/>
    <w:rsid w:val="000F6486"/>
    <w:rsid w:val="001175E7"/>
    <w:rsid w:val="00117E40"/>
    <w:rsid w:val="0012388D"/>
    <w:rsid w:val="00125105"/>
    <w:rsid w:val="001254C6"/>
    <w:rsid w:val="00127233"/>
    <w:rsid w:val="001318DA"/>
    <w:rsid w:val="0014445C"/>
    <w:rsid w:val="00145669"/>
    <w:rsid w:val="0015095D"/>
    <w:rsid w:val="00151D47"/>
    <w:rsid w:val="001561D6"/>
    <w:rsid w:val="001572FA"/>
    <w:rsid w:val="001643A7"/>
    <w:rsid w:val="001711B6"/>
    <w:rsid w:val="00171AE9"/>
    <w:rsid w:val="00174353"/>
    <w:rsid w:val="00185D70"/>
    <w:rsid w:val="001A13C1"/>
    <w:rsid w:val="001A661F"/>
    <w:rsid w:val="001A7C91"/>
    <w:rsid w:val="001B4F11"/>
    <w:rsid w:val="001B7AF4"/>
    <w:rsid w:val="001C4152"/>
    <w:rsid w:val="001C4F7E"/>
    <w:rsid w:val="001C5C4E"/>
    <w:rsid w:val="001C7BAE"/>
    <w:rsid w:val="001D4052"/>
    <w:rsid w:val="001D756C"/>
    <w:rsid w:val="001E1A15"/>
    <w:rsid w:val="001E4177"/>
    <w:rsid w:val="001E595E"/>
    <w:rsid w:val="001E5B16"/>
    <w:rsid w:val="001F0FB2"/>
    <w:rsid w:val="001F6D8D"/>
    <w:rsid w:val="001F7DC6"/>
    <w:rsid w:val="001F7E1D"/>
    <w:rsid w:val="00201766"/>
    <w:rsid w:val="00203485"/>
    <w:rsid w:val="0020467F"/>
    <w:rsid w:val="002121EB"/>
    <w:rsid w:val="002221DA"/>
    <w:rsid w:val="00232683"/>
    <w:rsid w:val="00237F82"/>
    <w:rsid w:val="002421BB"/>
    <w:rsid w:val="0025065B"/>
    <w:rsid w:val="00250743"/>
    <w:rsid w:val="002520F5"/>
    <w:rsid w:val="0025398C"/>
    <w:rsid w:val="0025796E"/>
    <w:rsid w:val="002707A2"/>
    <w:rsid w:val="00272513"/>
    <w:rsid w:val="00276797"/>
    <w:rsid w:val="002933DA"/>
    <w:rsid w:val="002951A0"/>
    <w:rsid w:val="002962BC"/>
    <w:rsid w:val="002A093D"/>
    <w:rsid w:val="002A0DD0"/>
    <w:rsid w:val="002A1B06"/>
    <w:rsid w:val="002A4677"/>
    <w:rsid w:val="002A49AC"/>
    <w:rsid w:val="002A64FD"/>
    <w:rsid w:val="002B0930"/>
    <w:rsid w:val="002C4A72"/>
    <w:rsid w:val="002C4D91"/>
    <w:rsid w:val="002C7A84"/>
    <w:rsid w:val="002E22F1"/>
    <w:rsid w:val="002E315F"/>
    <w:rsid w:val="002E4FD9"/>
    <w:rsid w:val="00306C5A"/>
    <w:rsid w:val="003071CA"/>
    <w:rsid w:val="003103F2"/>
    <w:rsid w:val="003149A7"/>
    <w:rsid w:val="00322A85"/>
    <w:rsid w:val="00324168"/>
    <w:rsid w:val="00335DDC"/>
    <w:rsid w:val="00340C01"/>
    <w:rsid w:val="003448F4"/>
    <w:rsid w:val="00355F0B"/>
    <w:rsid w:val="00362EC9"/>
    <w:rsid w:val="0036753A"/>
    <w:rsid w:val="00367C99"/>
    <w:rsid w:val="00374F5E"/>
    <w:rsid w:val="00376A90"/>
    <w:rsid w:val="00376CD8"/>
    <w:rsid w:val="00377C80"/>
    <w:rsid w:val="00377E3E"/>
    <w:rsid w:val="003838FF"/>
    <w:rsid w:val="0038437E"/>
    <w:rsid w:val="00385998"/>
    <w:rsid w:val="00391C8E"/>
    <w:rsid w:val="00391EB2"/>
    <w:rsid w:val="0039733E"/>
    <w:rsid w:val="003A26D1"/>
    <w:rsid w:val="003A2ECF"/>
    <w:rsid w:val="003A779E"/>
    <w:rsid w:val="003B3410"/>
    <w:rsid w:val="003C28D0"/>
    <w:rsid w:val="003C3A88"/>
    <w:rsid w:val="003C3E5C"/>
    <w:rsid w:val="003D0F4D"/>
    <w:rsid w:val="003D5B0D"/>
    <w:rsid w:val="003E0499"/>
    <w:rsid w:val="003E41C3"/>
    <w:rsid w:val="003E6F3F"/>
    <w:rsid w:val="003E7285"/>
    <w:rsid w:val="003F1CB3"/>
    <w:rsid w:val="003F2418"/>
    <w:rsid w:val="003F3941"/>
    <w:rsid w:val="003F5236"/>
    <w:rsid w:val="004014C5"/>
    <w:rsid w:val="00404877"/>
    <w:rsid w:val="00406575"/>
    <w:rsid w:val="00412AC0"/>
    <w:rsid w:val="00426B4E"/>
    <w:rsid w:val="0042722E"/>
    <w:rsid w:val="0043208F"/>
    <w:rsid w:val="00437B03"/>
    <w:rsid w:val="00440694"/>
    <w:rsid w:val="00442DEF"/>
    <w:rsid w:val="00442F25"/>
    <w:rsid w:val="0044528D"/>
    <w:rsid w:val="004470E1"/>
    <w:rsid w:val="0045343A"/>
    <w:rsid w:val="004547CD"/>
    <w:rsid w:val="00456F45"/>
    <w:rsid w:val="00461E0F"/>
    <w:rsid w:val="004634BD"/>
    <w:rsid w:val="00471626"/>
    <w:rsid w:val="0047280E"/>
    <w:rsid w:val="004735E5"/>
    <w:rsid w:val="00481285"/>
    <w:rsid w:val="0048714C"/>
    <w:rsid w:val="004919E5"/>
    <w:rsid w:val="00491ED8"/>
    <w:rsid w:val="004A1847"/>
    <w:rsid w:val="004A305D"/>
    <w:rsid w:val="004A7B64"/>
    <w:rsid w:val="004E0A42"/>
    <w:rsid w:val="004E2AB9"/>
    <w:rsid w:val="004F21C4"/>
    <w:rsid w:val="004F56BF"/>
    <w:rsid w:val="004F685F"/>
    <w:rsid w:val="005013A6"/>
    <w:rsid w:val="0051501A"/>
    <w:rsid w:val="00521153"/>
    <w:rsid w:val="00526E69"/>
    <w:rsid w:val="00540088"/>
    <w:rsid w:val="0055375E"/>
    <w:rsid w:val="005566E8"/>
    <w:rsid w:val="00566D40"/>
    <w:rsid w:val="00574867"/>
    <w:rsid w:val="00574CB1"/>
    <w:rsid w:val="0058374D"/>
    <w:rsid w:val="00583765"/>
    <w:rsid w:val="00591460"/>
    <w:rsid w:val="00592628"/>
    <w:rsid w:val="005B55C4"/>
    <w:rsid w:val="005C1B4D"/>
    <w:rsid w:val="005C1E4D"/>
    <w:rsid w:val="005C3777"/>
    <w:rsid w:val="005C5CDC"/>
    <w:rsid w:val="005C5FD0"/>
    <w:rsid w:val="005C74BA"/>
    <w:rsid w:val="005D2DA6"/>
    <w:rsid w:val="005D476C"/>
    <w:rsid w:val="005D5319"/>
    <w:rsid w:val="005E62E2"/>
    <w:rsid w:val="005F7B58"/>
    <w:rsid w:val="00600FA2"/>
    <w:rsid w:val="00601B7E"/>
    <w:rsid w:val="00601CDD"/>
    <w:rsid w:val="00606078"/>
    <w:rsid w:val="00610812"/>
    <w:rsid w:val="006133A3"/>
    <w:rsid w:val="006173C6"/>
    <w:rsid w:val="006219F8"/>
    <w:rsid w:val="006221A8"/>
    <w:rsid w:val="00642AA4"/>
    <w:rsid w:val="00645CB7"/>
    <w:rsid w:val="00650FF7"/>
    <w:rsid w:val="00652CBE"/>
    <w:rsid w:val="0065720B"/>
    <w:rsid w:val="00665D70"/>
    <w:rsid w:val="00670EF2"/>
    <w:rsid w:val="00671DAC"/>
    <w:rsid w:val="00677639"/>
    <w:rsid w:val="006900D9"/>
    <w:rsid w:val="00691D55"/>
    <w:rsid w:val="00694DE4"/>
    <w:rsid w:val="006A319E"/>
    <w:rsid w:val="006A5AE8"/>
    <w:rsid w:val="006A6837"/>
    <w:rsid w:val="006A7FFC"/>
    <w:rsid w:val="006B0766"/>
    <w:rsid w:val="006B0E65"/>
    <w:rsid w:val="006B72C8"/>
    <w:rsid w:val="006B763B"/>
    <w:rsid w:val="006C5F67"/>
    <w:rsid w:val="006D0268"/>
    <w:rsid w:val="006D12F8"/>
    <w:rsid w:val="006D3648"/>
    <w:rsid w:val="006E790E"/>
    <w:rsid w:val="006F3640"/>
    <w:rsid w:val="00706C16"/>
    <w:rsid w:val="007118A7"/>
    <w:rsid w:val="00712B92"/>
    <w:rsid w:val="00722741"/>
    <w:rsid w:val="00724B22"/>
    <w:rsid w:val="007256D5"/>
    <w:rsid w:val="007271E0"/>
    <w:rsid w:val="00744E12"/>
    <w:rsid w:val="00756841"/>
    <w:rsid w:val="00757DEA"/>
    <w:rsid w:val="007630C8"/>
    <w:rsid w:val="007649AB"/>
    <w:rsid w:val="00770CA1"/>
    <w:rsid w:val="00770D74"/>
    <w:rsid w:val="00771D0C"/>
    <w:rsid w:val="00771EEC"/>
    <w:rsid w:val="00775EFA"/>
    <w:rsid w:val="007833AC"/>
    <w:rsid w:val="00783B11"/>
    <w:rsid w:val="007866A8"/>
    <w:rsid w:val="00791488"/>
    <w:rsid w:val="00793192"/>
    <w:rsid w:val="007937A8"/>
    <w:rsid w:val="00794660"/>
    <w:rsid w:val="007964E2"/>
    <w:rsid w:val="007A4461"/>
    <w:rsid w:val="007A663E"/>
    <w:rsid w:val="007B268C"/>
    <w:rsid w:val="007B61BA"/>
    <w:rsid w:val="007B7171"/>
    <w:rsid w:val="007B7897"/>
    <w:rsid w:val="007C0C0F"/>
    <w:rsid w:val="007C3DC2"/>
    <w:rsid w:val="007C4B5D"/>
    <w:rsid w:val="007D0253"/>
    <w:rsid w:val="007D1FA5"/>
    <w:rsid w:val="007D5768"/>
    <w:rsid w:val="007E2389"/>
    <w:rsid w:val="007E4150"/>
    <w:rsid w:val="007E5497"/>
    <w:rsid w:val="007F0C82"/>
    <w:rsid w:val="007F5013"/>
    <w:rsid w:val="007F56E0"/>
    <w:rsid w:val="0080518E"/>
    <w:rsid w:val="00806F5F"/>
    <w:rsid w:val="00811ADC"/>
    <w:rsid w:val="00820278"/>
    <w:rsid w:val="008245EB"/>
    <w:rsid w:val="008378C3"/>
    <w:rsid w:val="00842E01"/>
    <w:rsid w:val="00845A8D"/>
    <w:rsid w:val="00847CCC"/>
    <w:rsid w:val="00851635"/>
    <w:rsid w:val="0085720E"/>
    <w:rsid w:val="008677DE"/>
    <w:rsid w:val="008734E3"/>
    <w:rsid w:val="0088110E"/>
    <w:rsid w:val="008843B6"/>
    <w:rsid w:val="00887676"/>
    <w:rsid w:val="008915A6"/>
    <w:rsid w:val="00891928"/>
    <w:rsid w:val="008A446D"/>
    <w:rsid w:val="008A68DE"/>
    <w:rsid w:val="008A772E"/>
    <w:rsid w:val="008C0A2F"/>
    <w:rsid w:val="008C40EF"/>
    <w:rsid w:val="008D180B"/>
    <w:rsid w:val="008D1C73"/>
    <w:rsid w:val="008E712D"/>
    <w:rsid w:val="008F04CF"/>
    <w:rsid w:val="008F0EA7"/>
    <w:rsid w:val="008F4339"/>
    <w:rsid w:val="008F43BA"/>
    <w:rsid w:val="008F7D92"/>
    <w:rsid w:val="00901B56"/>
    <w:rsid w:val="00903114"/>
    <w:rsid w:val="009041A0"/>
    <w:rsid w:val="009143F1"/>
    <w:rsid w:val="00920710"/>
    <w:rsid w:val="00920D0D"/>
    <w:rsid w:val="00922211"/>
    <w:rsid w:val="00922EAB"/>
    <w:rsid w:val="00923EEF"/>
    <w:rsid w:val="00927F89"/>
    <w:rsid w:val="00936797"/>
    <w:rsid w:val="009419F9"/>
    <w:rsid w:val="00943A3B"/>
    <w:rsid w:val="00955A30"/>
    <w:rsid w:val="00955D18"/>
    <w:rsid w:val="0095685E"/>
    <w:rsid w:val="00957F2D"/>
    <w:rsid w:val="009608D9"/>
    <w:rsid w:val="00961B09"/>
    <w:rsid w:val="00965334"/>
    <w:rsid w:val="0097093E"/>
    <w:rsid w:val="00977B0C"/>
    <w:rsid w:val="00981DDD"/>
    <w:rsid w:val="009A0DFA"/>
    <w:rsid w:val="009A7CC9"/>
    <w:rsid w:val="009B2421"/>
    <w:rsid w:val="009B28FC"/>
    <w:rsid w:val="009B2D26"/>
    <w:rsid w:val="009B3357"/>
    <w:rsid w:val="009B36E7"/>
    <w:rsid w:val="009C547E"/>
    <w:rsid w:val="009C71FA"/>
    <w:rsid w:val="009C72E7"/>
    <w:rsid w:val="009D04B0"/>
    <w:rsid w:val="009D05E0"/>
    <w:rsid w:val="009D3058"/>
    <w:rsid w:val="009D4E8D"/>
    <w:rsid w:val="009D7B43"/>
    <w:rsid w:val="009F3A13"/>
    <w:rsid w:val="009F6593"/>
    <w:rsid w:val="00A122D3"/>
    <w:rsid w:val="00A17F13"/>
    <w:rsid w:val="00A20739"/>
    <w:rsid w:val="00A214DF"/>
    <w:rsid w:val="00A27867"/>
    <w:rsid w:val="00A33C78"/>
    <w:rsid w:val="00A3710E"/>
    <w:rsid w:val="00A418D2"/>
    <w:rsid w:val="00A42AAE"/>
    <w:rsid w:val="00A519A0"/>
    <w:rsid w:val="00A52DE7"/>
    <w:rsid w:val="00A61860"/>
    <w:rsid w:val="00A644E0"/>
    <w:rsid w:val="00A65B78"/>
    <w:rsid w:val="00A80320"/>
    <w:rsid w:val="00A80691"/>
    <w:rsid w:val="00A8229A"/>
    <w:rsid w:val="00A9310E"/>
    <w:rsid w:val="00A94103"/>
    <w:rsid w:val="00A95A1A"/>
    <w:rsid w:val="00AA2B1E"/>
    <w:rsid w:val="00AA6478"/>
    <w:rsid w:val="00AA7047"/>
    <w:rsid w:val="00AB0ADB"/>
    <w:rsid w:val="00AB24A1"/>
    <w:rsid w:val="00AB2AC1"/>
    <w:rsid w:val="00AB5A54"/>
    <w:rsid w:val="00AC0B6D"/>
    <w:rsid w:val="00AC1F25"/>
    <w:rsid w:val="00AD1BDE"/>
    <w:rsid w:val="00AE7B20"/>
    <w:rsid w:val="00AE7D3D"/>
    <w:rsid w:val="00AE7E03"/>
    <w:rsid w:val="00AF4209"/>
    <w:rsid w:val="00AF79BC"/>
    <w:rsid w:val="00B01B1A"/>
    <w:rsid w:val="00B05B83"/>
    <w:rsid w:val="00B07859"/>
    <w:rsid w:val="00B115DB"/>
    <w:rsid w:val="00B33517"/>
    <w:rsid w:val="00B37A90"/>
    <w:rsid w:val="00B405A3"/>
    <w:rsid w:val="00B41F49"/>
    <w:rsid w:val="00B44494"/>
    <w:rsid w:val="00B44EF8"/>
    <w:rsid w:val="00B539CD"/>
    <w:rsid w:val="00B5477C"/>
    <w:rsid w:val="00B62DDE"/>
    <w:rsid w:val="00B62FCA"/>
    <w:rsid w:val="00B72CD3"/>
    <w:rsid w:val="00B72FFF"/>
    <w:rsid w:val="00B75709"/>
    <w:rsid w:val="00B75E24"/>
    <w:rsid w:val="00B84717"/>
    <w:rsid w:val="00B96BEA"/>
    <w:rsid w:val="00BA0D07"/>
    <w:rsid w:val="00BB6888"/>
    <w:rsid w:val="00BB7468"/>
    <w:rsid w:val="00BC3D36"/>
    <w:rsid w:val="00BC4CD4"/>
    <w:rsid w:val="00BD2F13"/>
    <w:rsid w:val="00BD77C4"/>
    <w:rsid w:val="00BD7F72"/>
    <w:rsid w:val="00BE6BAA"/>
    <w:rsid w:val="00BF099A"/>
    <w:rsid w:val="00BF3D94"/>
    <w:rsid w:val="00BF7F57"/>
    <w:rsid w:val="00C03274"/>
    <w:rsid w:val="00C04307"/>
    <w:rsid w:val="00C04FB3"/>
    <w:rsid w:val="00C11F4C"/>
    <w:rsid w:val="00C127E0"/>
    <w:rsid w:val="00C21782"/>
    <w:rsid w:val="00C259CE"/>
    <w:rsid w:val="00C26925"/>
    <w:rsid w:val="00C330EB"/>
    <w:rsid w:val="00C42100"/>
    <w:rsid w:val="00C45B33"/>
    <w:rsid w:val="00C57C83"/>
    <w:rsid w:val="00C63528"/>
    <w:rsid w:val="00C63E0F"/>
    <w:rsid w:val="00C73838"/>
    <w:rsid w:val="00C741DC"/>
    <w:rsid w:val="00C754BE"/>
    <w:rsid w:val="00C76B1C"/>
    <w:rsid w:val="00C83C0F"/>
    <w:rsid w:val="00C8442F"/>
    <w:rsid w:val="00C903DE"/>
    <w:rsid w:val="00C90ADE"/>
    <w:rsid w:val="00CA2A7C"/>
    <w:rsid w:val="00CA31BC"/>
    <w:rsid w:val="00CB6357"/>
    <w:rsid w:val="00CC02E3"/>
    <w:rsid w:val="00CC1B26"/>
    <w:rsid w:val="00CC277F"/>
    <w:rsid w:val="00CC28C9"/>
    <w:rsid w:val="00CD1B6E"/>
    <w:rsid w:val="00CD211E"/>
    <w:rsid w:val="00CD4A54"/>
    <w:rsid w:val="00CD5214"/>
    <w:rsid w:val="00D16132"/>
    <w:rsid w:val="00D261F9"/>
    <w:rsid w:val="00D423A2"/>
    <w:rsid w:val="00D520D8"/>
    <w:rsid w:val="00D54CC6"/>
    <w:rsid w:val="00D5776D"/>
    <w:rsid w:val="00D63AC2"/>
    <w:rsid w:val="00D67CDA"/>
    <w:rsid w:val="00D71ACD"/>
    <w:rsid w:val="00D7383B"/>
    <w:rsid w:val="00D76D09"/>
    <w:rsid w:val="00DA022D"/>
    <w:rsid w:val="00DA0B2B"/>
    <w:rsid w:val="00DA0E60"/>
    <w:rsid w:val="00DA231B"/>
    <w:rsid w:val="00DA23A0"/>
    <w:rsid w:val="00DA2CA2"/>
    <w:rsid w:val="00DB29E1"/>
    <w:rsid w:val="00DB7D44"/>
    <w:rsid w:val="00DC1E19"/>
    <w:rsid w:val="00DC2958"/>
    <w:rsid w:val="00DC39FC"/>
    <w:rsid w:val="00DC6DE3"/>
    <w:rsid w:val="00DE2464"/>
    <w:rsid w:val="00DE3616"/>
    <w:rsid w:val="00DE3A63"/>
    <w:rsid w:val="00DF0103"/>
    <w:rsid w:val="00DF1B0E"/>
    <w:rsid w:val="00DF5254"/>
    <w:rsid w:val="00DF691D"/>
    <w:rsid w:val="00DF7F54"/>
    <w:rsid w:val="00E005E5"/>
    <w:rsid w:val="00E13277"/>
    <w:rsid w:val="00E136A2"/>
    <w:rsid w:val="00E16408"/>
    <w:rsid w:val="00E20894"/>
    <w:rsid w:val="00E21BD1"/>
    <w:rsid w:val="00E245AB"/>
    <w:rsid w:val="00E2764C"/>
    <w:rsid w:val="00E27F2E"/>
    <w:rsid w:val="00E34B50"/>
    <w:rsid w:val="00E362C7"/>
    <w:rsid w:val="00E36FC5"/>
    <w:rsid w:val="00E413EA"/>
    <w:rsid w:val="00E41CC9"/>
    <w:rsid w:val="00E447AD"/>
    <w:rsid w:val="00E4598B"/>
    <w:rsid w:val="00E5035C"/>
    <w:rsid w:val="00E50AFE"/>
    <w:rsid w:val="00E52602"/>
    <w:rsid w:val="00E5566A"/>
    <w:rsid w:val="00E56422"/>
    <w:rsid w:val="00E6781E"/>
    <w:rsid w:val="00E70010"/>
    <w:rsid w:val="00E7019A"/>
    <w:rsid w:val="00E75C92"/>
    <w:rsid w:val="00E76DDA"/>
    <w:rsid w:val="00E771DC"/>
    <w:rsid w:val="00E845F4"/>
    <w:rsid w:val="00E8671A"/>
    <w:rsid w:val="00E8772A"/>
    <w:rsid w:val="00E90F6B"/>
    <w:rsid w:val="00E915FA"/>
    <w:rsid w:val="00E92C27"/>
    <w:rsid w:val="00EA0E3D"/>
    <w:rsid w:val="00EA7B0A"/>
    <w:rsid w:val="00EB08FB"/>
    <w:rsid w:val="00EB3CD8"/>
    <w:rsid w:val="00EB51E4"/>
    <w:rsid w:val="00EB7D13"/>
    <w:rsid w:val="00EC38A7"/>
    <w:rsid w:val="00EC4550"/>
    <w:rsid w:val="00ED291B"/>
    <w:rsid w:val="00ED58AB"/>
    <w:rsid w:val="00EE1AA8"/>
    <w:rsid w:val="00EF40D2"/>
    <w:rsid w:val="00EF4E84"/>
    <w:rsid w:val="00EF64BA"/>
    <w:rsid w:val="00F141D2"/>
    <w:rsid w:val="00F31EDC"/>
    <w:rsid w:val="00F35D35"/>
    <w:rsid w:val="00F45BF2"/>
    <w:rsid w:val="00F462B3"/>
    <w:rsid w:val="00F51BC1"/>
    <w:rsid w:val="00F5664F"/>
    <w:rsid w:val="00F6131B"/>
    <w:rsid w:val="00F621E3"/>
    <w:rsid w:val="00F666C4"/>
    <w:rsid w:val="00F732FD"/>
    <w:rsid w:val="00F73C01"/>
    <w:rsid w:val="00F76AFC"/>
    <w:rsid w:val="00F81493"/>
    <w:rsid w:val="00F84B83"/>
    <w:rsid w:val="00F85A79"/>
    <w:rsid w:val="00F912A0"/>
    <w:rsid w:val="00F930CF"/>
    <w:rsid w:val="00FA0CF8"/>
    <w:rsid w:val="00FA47C0"/>
    <w:rsid w:val="00FA738A"/>
    <w:rsid w:val="00FA7560"/>
    <w:rsid w:val="00FB4874"/>
    <w:rsid w:val="00FB5C6A"/>
    <w:rsid w:val="00FB5CB7"/>
    <w:rsid w:val="00FB5DD1"/>
    <w:rsid w:val="00FB67C7"/>
    <w:rsid w:val="00FB76D0"/>
    <w:rsid w:val="00FB7EA8"/>
    <w:rsid w:val="00FC2B5D"/>
    <w:rsid w:val="00FC569F"/>
    <w:rsid w:val="00FC66D1"/>
    <w:rsid w:val="00FD1A7E"/>
    <w:rsid w:val="00FE27F2"/>
    <w:rsid w:val="00FE3DEC"/>
    <w:rsid w:val="00FE5E06"/>
    <w:rsid w:val="00FE66BE"/>
    <w:rsid w:val="00FF1449"/>
    <w:rsid w:val="00FF4092"/>
    <w:rsid w:val="00FF5F98"/>
    <w:rsid w:val="00FF6AC3"/>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D576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D5768"/>
    <w:rPr>
      <w:rFonts w:ascii="Geomanist Light" w:hAnsi="Geomanist Light"/>
      <w:lang w:val="es-ES"/>
    </w:rPr>
  </w:style>
  <w:style w:type="table" w:customStyle="1" w:styleId="Tablaconcuadrcula1">
    <w:name w:val="Tabla con cuadrícula1"/>
    <w:basedOn w:val="Tablanormal"/>
    <w:next w:val="Tablaconcuadrcula"/>
    <w:uiPriority w:val="39"/>
    <w:qFormat/>
    <w:rsid w:val="007D5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AE7B20"/>
    <w:rPr>
      <w:sz w:val="16"/>
      <w:szCs w:val="16"/>
    </w:rPr>
  </w:style>
  <w:style w:type="paragraph" w:styleId="Textocomentario">
    <w:name w:val="annotation text"/>
    <w:basedOn w:val="Normal"/>
    <w:link w:val="TextocomentarioCar"/>
    <w:uiPriority w:val="99"/>
    <w:unhideWhenUsed/>
    <w:rsid w:val="00AE7B20"/>
    <w:pPr>
      <w:spacing w:line="240" w:lineRule="auto"/>
    </w:pPr>
    <w:rPr>
      <w:sz w:val="20"/>
      <w:szCs w:val="20"/>
    </w:rPr>
  </w:style>
  <w:style w:type="character" w:customStyle="1" w:styleId="TextocomentarioCar">
    <w:name w:val="Texto comentario Car"/>
    <w:basedOn w:val="Fuentedeprrafopredeter"/>
    <w:link w:val="Textocomentario"/>
    <w:uiPriority w:val="99"/>
    <w:rsid w:val="00AE7B20"/>
    <w:rPr>
      <w:sz w:val="20"/>
      <w:szCs w:val="20"/>
    </w:rPr>
  </w:style>
  <w:style w:type="paragraph" w:styleId="Asuntodelcomentario">
    <w:name w:val="annotation subject"/>
    <w:basedOn w:val="Textocomentario"/>
    <w:next w:val="Textocomentario"/>
    <w:link w:val="AsuntodelcomentarioCar"/>
    <w:uiPriority w:val="99"/>
    <w:semiHidden/>
    <w:unhideWhenUsed/>
    <w:rsid w:val="00AE7B20"/>
    <w:rPr>
      <w:b/>
      <w:bCs/>
    </w:rPr>
  </w:style>
  <w:style w:type="character" w:customStyle="1" w:styleId="AsuntodelcomentarioCar">
    <w:name w:val="Asunto del comentario Car"/>
    <w:basedOn w:val="TextocomentarioCar"/>
    <w:link w:val="Asuntodelcomentario"/>
    <w:uiPriority w:val="99"/>
    <w:semiHidden/>
    <w:rsid w:val="00AE7B20"/>
    <w:rPr>
      <w:b/>
      <w:bCs/>
      <w:sz w:val="20"/>
      <w:szCs w:val="20"/>
    </w:rPr>
  </w:style>
  <w:style w:type="character" w:customStyle="1" w:styleId="Hipervnculo1">
    <w:name w:val="Hipervínculo1"/>
    <w:basedOn w:val="Fuentedeprrafopredeter"/>
    <w:uiPriority w:val="99"/>
    <w:unhideWhenUsed/>
    <w:rsid w:val="00B75709"/>
    <w:rPr>
      <w:color w:val="F2F2F2"/>
      <w:u w:val="single"/>
    </w:rPr>
  </w:style>
  <w:style w:type="character" w:styleId="Textoennegrita">
    <w:name w:val="Strong"/>
    <w:basedOn w:val="Fuentedeprrafopredeter"/>
    <w:uiPriority w:val="22"/>
    <w:qFormat/>
    <w:rsid w:val="00AC0B6D"/>
    <w:rPr>
      <w:b/>
      <w:bCs/>
    </w:rPr>
  </w:style>
  <w:style w:type="character" w:styleId="nfasis">
    <w:name w:val="Emphasis"/>
    <w:basedOn w:val="Fuentedeprrafopredeter"/>
    <w:uiPriority w:val="20"/>
    <w:qFormat/>
    <w:rsid w:val="00AC0B6D"/>
    <w:rPr>
      <w:i/>
      <w:iCs/>
    </w:rPr>
  </w:style>
  <w:style w:type="paragraph" w:styleId="Textoindependiente">
    <w:name w:val="Body Text"/>
    <w:basedOn w:val="Normal"/>
    <w:link w:val="TextoindependienteCar"/>
    <w:uiPriority w:val="1"/>
    <w:qFormat/>
    <w:rsid w:val="00AC0B6D"/>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C0B6D"/>
    <w:rPr>
      <w:rFonts w:ascii="Arial" w:eastAsia="Arial" w:hAnsi="Arial" w:cs="Arial"/>
      <w:lang w:val="es-ES"/>
    </w:rPr>
  </w:style>
  <w:style w:type="character" w:customStyle="1" w:styleId="NormalWebCar">
    <w:name w:val="Normal (Web) Car"/>
    <w:link w:val="NormalWeb"/>
    <w:uiPriority w:val="99"/>
    <w:locked/>
    <w:rsid w:val="00AC0B6D"/>
    <w:rPr>
      <w:rFonts w:ascii="Times New Roman" w:eastAsia="Times New Roman" w:hAnsi="Times New Roman" w:cs="Times New Roman"/>
      <w:sz w:val="24"/>
      <w:szCs w:val="24"/>
      <w:lang w:eastAsia="es-CO"/>
    </w:rPr>
  </w:style>
  <w:style w:type="character" w:customStyle="1" w:styleId="apple-converted-space">
    <w:name w:val="apple-converted-space"/>
    <w:basedOn w:val="Fuentedeprrafopredeter"/>
    <w:rsid w:val="00AC0B6D"/>
  </w:style>
  <w:style w:type="character" w:customStyle="1" w:styleId="SinespaciadoCar">
    <w:name w:val="Sin espaciado Car"/>
    <w:aliases w:val="No Indent Car"/>
    <w:link w:val="Sinespaciado"/>
    <w:uiPriority w:val="3"/>
    <w:locked/>
    <w:rsid w:val="00442DEF"/>
  </w:style>
  <w:style w:type="paragraph" w:styleId="Sinespaciado">
    <w:name w:val="No Spacing"/>
    <w:aliases w:val="No Indent"/>
    <w:link w:val="SinespaciadoCar"/>
    <w:uiPriority w:val="3"/>
    <w:qFormat/>
    <w:rsid w:val="00442DEF"/>
    <w:pPr>
      <w:spacing w:after="0" w:line="240" w:lineRule="auto"/>
    </w:pPr>
  </w:style>
  <w:style w:type="character" w:customStyle="1" w:styleId="superscript">
    <w:name w:val="superscript"/>
    <w:basedOn w:val="Fuentedeprrafopredeter"/>
    <w:rsid w:val="00DB7D44"/>
  </w:style>
  <w:style w:type="paragraph" w:customStyle="1" w:styleId="Car1">
    <w:name w:val="Car1"/>
    <w:basedOn w:val="Normal"/>
    <w:next w:val="Textonotapie"/>
    <w:uiPriority w:val="99"/>
    <w:unhideWhenUsed/>
    <w:qFormat/>
    <w:rsid w:val="00237F82"/>
    <w:pPr>
      <w:spacing w:after="0" w:line="240" w:lineRule="auto"/>
    </w:pPr>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62213">
      <w:bodyDiv w:val="1"/>
      <w:marLeft w:val="0"/>
      <w:marRight w:val="0"/>
      <w:marTop w:val="0"/>
      <w:marBottom w:val="0"/>
      <w:divBdr>
        <w:top w:val="none" w:sz="0" w:space="0" w:color="auto"/>
        <w:left w:val="none" w:sz="0" w:space="0" w:color="auto"/>
        <w:bottom w:val="none" w:sz="0" w:space="0" w:color="auto"/>
        <w:right w:val="none" w:sz="0" w:space="0" w:color="auto"/>
      </w:divBdr>
    </w:div>
    <w:div w:id="121309445">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23030413">
      <w:bodyDiv w:val="1"/>
      <w:marLeft w:val="0"/>
      <w:marRight w:val="0"/>
      <w:marTop w:val="0"/>
      <w:marBottom w:val="0"/>
      <w:divBdr>
        <w:top w:val="none" w:sz="0" w:space="0" w:color="auto"/>
        <w:left w:val="none" w:sz="0" w:space="0" w:color="auto"/>
        <w:bottom w:val="none" w:sz="0" w:space="0" w:color="auto"/>
        <w:right w:val="none" w:sz="0" w:space="0" w:color="auto"/>
      </w:divBdr>
    </w:div>
    <w:div w:id="383331852">
      <w:bodyDiv w:val="1"/>
      <w:marLeft w:val="0"/>
      <w:marRight w:val="0"/>
      <w:marTop w:val="0"/>
      <w:marBottom w:val="0"/>
      <w:divBdr>
        <w:top w:val="none" w:sz="0" w:space="0" w:color="auto"/>
        <w:left w:val="none" w:sz="0" w:space="0" w:color="auto"/>
        <w:bottom w:val="none" w:sz="0" w:space="0" w:color="auto"/>
        <w:right w:val="none" w:sz="0" w:space="0" w:color="auto"/>
      </w:divBdr>
    </w:div>
    <w:div w:id="480511154">
      <w:bodyDiv w:val="1"/>
      <w:marLeft w:val="0"/>
      <w:marRight w:val="0"/>
      <w:marTop w:val="0"/>
      <w:marBottom w:val="0"/>
      <w:divBdr>
        <w:top w:val="none" w:sz="0" w:space="0" w:color="auto"/>
        <w:left w:val="none" w:sz="0" w:space="0" w:color="auto"/>
        <w:bottom w:val="none" w:sz="0" w:space="0" w:color="auto"/>
        <w:right w:val="none" w:sz="0" w:space="0" w:color="auto"/>
      </w:divBdr>
    </w:div>
    <w:div w:id="48111733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2931417">
      <w:bodyDiv w:val="1"/>
      <w:marLeft w:val="0"/>
      <w:marRight w:val="0"/>
      <w:marTop w:val="0"/>
      <w:marBottom w:val="0"/>
      <w:divBdr>
        <w:top w:val="none" w:sz="0" w:space="0" w:color="auto"/>
        <w:left w:val="none" w:sz="0" w:space="0" w:color="auto"/>
        <w:bottom w:val="none" w:sz="0" w:space="0" w:color="auto"/>
        <w:right w:val="none" w:sz="0" w:space="0" w:color="auto"/>
      </w:divBdr>
    </w:div>
    <w:div w:id="624627910">
      <w:bodyDiv w:val="1"/>
      <w:marLeft w:val="0"/>
      <w:marRight w:val="0"/>
      <w:marTop w:val="0"/>
      <w:marBottom w:val="0"/>
      <w:divBdr>
        <w:top w:val="none" w:sz="0" w:space="0" w:color="auto"/>
        <w:left w:val="none" w:sz="0" w:space="0" w:color="auto"/>
        <w:bottom w:val="none" w:sz="0" w:space="0" w:color="auto"/>
        <w:right w:val="none" w:sz="0" w:space="0" w:color="auto"/>
      </w:divBdr>
    </w:div>
    <w:div w:id="697854014">
      <w:bodyDiv w:val="1"/>
      <w:marLeft w:val="0"/>
      <w:marRight w:val="0"/>
      <w:marTop w:val="0"/>
      <w:marBottom w:val="0"/>
      <w:divBdr>
        <w:top w:val="none" w:sz="0" w:space="0" w:color="auto"/>
        <w:left w:val="none" w:sz="0" w:space="0" w:color="auto"/>
        <w:bottom w:val="none" w:sz="0" w:space="0" w:color="auto"/>
        <w:right w:val="none" w:sz="0" w:space="0" w:color="auto"/>
      </w:divBdr>
    </w:div>
    <w:div w:id="741485531">
      <w:bodyDiv w:val="1"/>
      <w:marLeft w:val="0"/>
      <w:marRight w:val="0"/>
      <w:marTop w:val="0"/>
      <w:marBottom w:val="0"/>
      <w:divBdr>
        <w:top w:val="none" w:sz="0" w:space="0" w:color="auto"/>
        <w:left w:val="none" w:sz="0" w:space="0" w:color="auto"/>
        <w:bottom w:val="none" w:sz="0" w:space="0" w:color="auto"/>
        <w:right w:val="none" w:sz="0" w:space="0" w:color="auto"/>
      </w:divBdr>
    </w:div>
    <w:div w:id="75015346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56560363">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75194579">
      <w:bodyDiv w:val="1"/>
      <w:marLeft w:val="0"/>
      <w:marRight w:val="0"/>
      <w:marTop w:val="0"/>
      <w:marBottom w:val="0"/>
      <w:divBdr>
        <w:top w:val="none" w:sz="0" w:space="0" w:color="auto"/>
        <w:left w:val="none" w:sz="0" w:space="0" w:color="auto"/>
        <w:bottom w:val="none" w:sz="0" w:space="0" w:color="auto"/>
        <w:right w:val="none" w:sz="0" w:space="0" w:color="auto"/>
      </w:divBdr>
    </w:div>
    <w:div w:id="903876566">
      <w:bodyDiv w:val="1"/>
      <w:marLeft w:val="0"/>
      <w:marRight w:val="0"/>
      <w:marTop w:val="0"/>
      <w:marBottom w:val="0"/>
      <w:divBdr>
        <w:top w:val="none" w:sz="0" w:space="0" w:color="auto"/>
        <w:left w:val="none" w:sz="0" w:space="0" w:color="auto"/>
        <w:bottom w:val="none" w:sz="0" w:space="0" w:color="auto"/>
        <w:right w:val="none" w:sz="0" w:space="0" w:color="auto"/>
      </w:divBdr>
    </w:div>
    <w:div w:id="979769456">
      <w:bodyDiv w:val="1"/>
      <w:marLeft w:val="0"/>
      <w:marRight w:val="0"/>
      <w:marTop w:val="0"/>
      <w:marBottom w:val="0"/>
      <w:divBdr>
        <w:top w:val="none" w:sz="0" w:space="0" w:color="auto"/>
        <w:left w:val="none" w:sz="0" w:space="0" w:color="auto"/>
        <w:bottom w:val="none" w:sz="0" w:space="0" w:color="auto"/>
        <w:right w:val="none" w:sz="0" w:space="0" w:color="auto"/>
      </w:divBdr>
    </w:div>
    <w:div w:id="1072266483">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71797011">
      <w:bodyDiv w:val="1"/>
      <w:marLeft w:val="0"/>
      <w:marRight w:val="0"/>
      <w:marTop w:val="0"/>
      <w:marBottom w:val="0"/>
      <w:divBdr>
        <w:top w:val="none" w:sz="0" w:space="0" w:color="auto"/>
        <w:left w:val="none" w:sz="0" w:space="0" w:color="auto"/>
        <w:bottom w:val="none" w:sz="0" w:space="0" w:color="auto"/>
        <w:right w:val="none" w:sz="0" w:space="0" w:color="auto"/>
      </w:divBdr>
    </w:div>
    <w:div w:id="1191577072">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75544553">
      <w:bodyDiv w:val="1"/>
      <w:marLeft w:val="0"/>
      <w:marRight w:val="0"/>
      <w:marTop w:val="0"/>
      <w:marBottom w:val="0"/>
      <w:divBdr>
        <w:top w:val="none" w:sz="0" w:space="0" w:color="auto"/>
        <w:left w:val="none" w:sz="0" w:space="0" w:color="auto"/>
        <w:bottom w:val="none" w:sz="0" w:space="0" w:color="auto"/>
        <w:right w:val="none" w:sz="0" w:space="0" w:color="auto"/>
      </w:divBdr>
    </w:div>
    <w:div w:id="1403680977">
      <w:bodyDiv w:val="1"/>
      <w:marLeft w:val="0"/>
      <w:marRight w:val="0"/>
      <w:marTop w:val="0"/>
      <w:marBottom w:val="0"/>
      <w:divBdr>
        <w:top w:val="none" w:sz="0" w:space="0" w:color="auto"/>
        <w:left w:val="none" w:sz="0" w:space="0" w:color="auto"/>
        <w:bottom w:val="none" w:sz="0" w:space="0" w:color="auto"/>
        <w:right w:val="none" w:sz="0" w:space="0" w:color="auto"/>
      </w:divBdr>
    </w:div>
    <w:div w:id="1440954064">
      <w:bodyDiv w:val="1"/>
      <w:marLeft w:val="0"/>
      <w:marRight w:val="0"/>
      <w:marTop w:val="0"/>
      <w:marBottom w:val="0"/>
      <w:divBdr>
        <w:top w:val="none" w:sz="0" w:space="0" w:color="auto"/>
        <w:left w:val="none" w:sz="0" w:space="0" w:color="auto"/>
        <w:bottom w:val="none" w:sz="0" w:space="0" w:color="auto"/>
        <w:right w:val="none" w:sz="0" w:space="0" w:color="auto"/>
      </w:divBdr>
    </w:div>
    <w:div w:id="1595942692">
      <w:bodyDiv w:val="1"/>
      <w:marLeft w:val="0"/>
      <w:marRight w:val="0"/>
      <w:marTop w:val="0"/>
      <w:marBottom w:val="0"/>
      <w:divBdr>
        <w:top w:val="none" w:sz="0" w:space="0" w:color="auto"/>
        <w:left w:val="none" w:sz="0" w:space="0" w:color="auto"/>
        <w:bottom w:val="none" w:sz="0" w:space="0" w:color="auto"/>
        <w:right w:val="none" w:sz="0" w:space="0" w:color="auto"/>
      </w:divBdr>
    </w:div>
    <w:div w:id="1627274354">
      <w:bodyDiv w:val="1"/>
      <w:marLeft w:val="0"/>
      <w:marRight w:val="0"/>
      <w:marTop w:val="0"/>
      <w:marBottom w:val="0"/>
      <w:divBdr>
        <w:top w:val="none" w:sz="0" w:space="0" w:color="auto"/>
        <w:left w:val="none" w:sz="0" w:space="0" w:color="auto"/>
        <w:bottom w:val="none" w:sz="0" w:space="0" w:color="auto"/>
        <w:right w:val="none" w:sz="0" w:space="0" w:color="auto"/>
      </w:divBdr>
    </w:div>
    <w:div w:id="1632784556">
      <w:bodyDiv w:val="1"/>
      <w:marLeft w:val="0"/>
      <w:marRight w:val="0"/>
      <w:marTop w:val="0"/>
      <w:marBottom w:val="0"/>
      <w:divBdr>
        <w:top w:val="none" w:sz="0" w:space="0" w:color="auto"/>
        <w:left w:val="none" w:sz="0" w:space="0" w:color="auto"/>
        <w:bottom w:val="none" w:sz="0" w:space="0" w:color="auto"/>
        <w:right w:val="none" w:sz="0" w:space="0" w:color="auto"/>
      </w:divBdr>
    </w:div>
    <w:div w:id="1677153464">
      <w:bodyDiv w:val="1"/>
      <w:marLeft w:val="0"/>
      <w:marRight w:val="0"/>
      <w:marTop w:val="0"/>
      <w:marBottom w:val="0"/>
      <w:divBdr>
        <w:top w:val="none" w:sz="0" w:space="0" w:color="auto"/>
        <w:left w:val="none" w:sz="0" w:space="0" w:color="auto"/>
        <w:bottom w:val="none" w:sz="0" w:space="0" w:color="auto"/>
        <w:right w:val="none" w:sz="0" w:space="0" w:color="auto"/>
      </w:divBdr>
    </w:div>
    <w:div w:id="1714959694">
      <w:bodyDiv w:val="1"/>
      <w:marLeft w:val="0"/>
      <w:marRight w:val="0"/>
      <w:marTop w:val="0"/>
      <w:marBottom w:val="0"/>
      <w:divBdr>
        <w:top w:val="none" w:sz="0" w:space="0" w:color="auto"/>
        <w:left w:val="none" w:sz="0" w:space="0" w:color="auto"/>
        <w:bottom w:val="none" w:sz="0" w:space="0" w:color="auto"/>
        <w:right w:val="none" w:sz="0" w:space="0" w:color="auto"/>
      </w:divBdr>
    </w:div>
    <w:div w:id="1842310157">
      <w:bodyDiv w:val="1"/>
      <w:marLeft w:val="0"/>
      <w:marRight w:val="0"/>
      <w:marTop w:val="0"/>
      <w:marBottom w:val="0"/>
      <w:divBdr>
        <w:top w:val="none" w:sz="0" w:space="0" w:color="auto"/>
        <w:left w:val="none" w:sz="0" w:space="0" w:color="auto"/>
        <w:bottom w:val="none" w:sz="0" w:space="0" w:color="auto"/>
        <w:right w:val="none" w:sz="0" w:space="0" w:color="auto"/>
      </w:divBdr>
    </w:div>
    <w:div w:id="1927877942">
      <w:bodyDiv w:val="1"/>
      <w:marLeft w:val="0"/>
      <w:marRight w:val="0"/>
      <w:marTop w:val="0"/>
      <w:marBottom w:val="0"/>
      <w:divBdr>
        <w:top w:val="none" w:sz="0" w:space="0" w:color="auto"/>
        <w:left w:val="none" w:sz="0" w:space="0" w:color="auto"/>
        <w:bottom w:val="none" w:sz="0" w:space="0" w:color="auto"/>
        <w:right w:val="none" w:sz="0" w:space="0" w:color="auto"/>
      </w:divBdr>
    </w:div>
    <w:div w:id="1980110614">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36076052">
      <w:bodyDiv w:val="1"/>
      <w:marLeft w:val="0"/>
      <w:marRight w:val="0"/>
      <w:marTop w:val="0"/>
      <w:marBottom w:val="0"/>
      <w:divBdr>
        <w:top w:val="none" w:sz="0" w:space="0" w:color="auto"/>
        <w:left w:val="none" w:sz="0" w:space="0" w:color="auto"/>
        <w:bottom w:val="none" w:sz="0" w:space="0" w:color="auto"/>
        <w:right w:val="none" w:sz="0" w:space="0" w:color="auto"/>
      </w:divBdr>
    </w:div>
    <w:div w:id="2044986166">
      <w:bodyDiv w:val="1"/>
      <w:marLeft w:val="0"/>
      <w:marRight w:val="0"/>
      <w:marTop w:val="0"/>
      <w:marBottom w:val="0"/>
      <w:divBdr>
        <w:top w:val="none" w:sz="0" w:space="0" w:color="auto"/>
        <w:left w:val="none" w:sz="0" w:space="0" w:color="auto"/>
        <w:bottom w:val="none" w:sz="0" w:space="0" w:color="auto"/>
        <w:right w:val="none" w:sz="0" w:space="0" w:color="auto"/>
      </w:divBdr>
    </w:div>
    <w:div w:id="2048796178">
      <w:bodyDiv w:val="1"/>
      <w:marLeft w:val="0"/>
      <w:marRight w:val="0"/>
      <w:marTop w:val="0"/>
      <w:marBottom w:val="0"/>
      <w:divBdr>
        <w:top w:val="none" w:sz="0" w:space="0" w:color="auto"/>
        <w:left w:val="none" w:sz="0" w:space="0" w:color="auto"/>
        <w:bottom w:val="none" w:sz="0" w:space="0" w:color="auto"/>
        <w:right w:val="none" w:sz="0" w:space="0" w:color="auto"/>
      </w:divBdr>
      <w:divsChild>
        <w:div w:id="1058746364">
          <w:marLeft w:val="0"/>
          <w:marRight w:val="0"/>
          <w:marTop w:val="0"/>
          <w:marBottom w:val="0"/>
          <w:divBdr>
            <w:top w:val="none" w:sz="0" w:space="0" w:color="auto"/>
            <w:left w:val="none" w:sz="0" w:space="0" w:color="auto"/>
            <w:bottom w:val="none" w:sz="0" w:space="0" w:color="auto"/>
            <w:right w:val="none" w:sz="0" w:space="0" w:color="auto"/>
          </w:divBdr>
        </w:div>
      </w:divsChild>
    </w:div>
    <w:div w:id="20767328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FC1F7ABB-88EE-4647-B623-249EC215DB79}"/>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4.xml><?xml version="1.0" encoding="utf-8"?>
<ds:datastoreItem xmlns:ds="http://schemas.openxmlformats.org/officeDocument/2006/customXml" ds:itemID="{29C6A1A9-FD54-4849-8C27-802DE6DAC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5449</TotalTime>
  <Pages>14</Pages>
  <Words>3651</Words>
  <Characters>20084</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Nicolas Andres Guzman Padilla</cp:lastModifiedBy>
  <cp:revision>128</cp:revision>
  <cp:lastPrinted>2023-01-10T21:18:00Z</cp:lastPrinted>
  <dcterms:created xsi:type="dcterms:W3CDTF">2024-12-12T15:03:00Z</dcterms:created>
  <dcterms:modified xsi:type="dcterms:W3CDTF">2025-05-16T19:23:00Z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