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B3E7E" w14:textId="77777777" w:rsidR="00C84596" w:rsidRPr="00BC3C31" w:rsidRDefault="00C84596" w:rsidP="004D3F95">
      <w:pPr>
        <w:spacing w:after="0" w:line="240" w:lineRule="auto"/>
        <w:jc w:val="both"/>
        <w:rPr>
          <w:rFonts w:ascii="Verdana" w:eastAsia="Verdana" w:hAnsi="Verdana" w:cs="Verdana"/>
          <w:b/>
        </w:rPr>
      </w:pPr>
      <w:bookmarkStart w:id="0" w:name="_Hlk143780582"/>
      <w:r w:rsidRPr="00BC3C31">
        <w:rPr>
          <w:rFonts w:ascii="Verdana" w:eastAsia="Verdana" w:hAnsi="Verdana" w:cs="Verdana"/>
          <w:b/>
        </w:rPr>
        <w:t xml:space="preserve">LEY DE GARANTÍAS ELECTORALES </w:t>
      </w:r>
      <w:r w:rsidRPr="00BC3C31">
        <w:rPr>
          <w:rFonts w:ascii="Verdana" w:eastAsia="Verdana" w:hAnsi="Verdana" w:cs="Verdana"/>
          <w:b/>
          <w:bCs/>
        </w:rPr>
        <w:t>‒</w:t>
      </w:r>
      <w:r w:rsidRPr="00BC3C31">
        <w:rPr>
          <w:rFonts w:ascii="Verdana" w:eastAsia="Verdana" w:hAnsi="Verdana" w:cs="Verdana"/>
          <w:b/>
        </w:rPr>
        <w:t xml:space="preserve"> Finalidad </w:t>
      </w:r>
    </w:p>
    <w:p w14:paraId="31F9461C" w14:textId="77777777" w:rsidR="00C84596" w:rsidRPr="00BC3C31" w:rsidRDefault="00C84596" w:rsidP="004D3F95">
      <w:pPr>
        <w:spacing w:after="0" w:line="240" w:lineRule="auto"/>
        <w:jc w:val="both"/>
        <w:rPr>
          <w:rFonts w:ascii="Verdana" w:eastAsia="Verdana" w:hAnsi="Verdana" w:cs="Verdana"/>
        </w:rPr>
      </w:pPr>
    </w:p>
    <w:p w14:paraId="43036E06" w14:textId="77777777" w:rsidR="00C84596" w:rsidRPr="004F3465" w:rsidRDefault="00C84596" w:rsidP="004D3F95">
      <w:pPr>
        <w:spacing w:after="0" w:line="240" w:lineRule="auto"/>
        <w:jc w:val="both"/>
        <w:rPr>
          <w:rFonts w:ascii="Verdana" w:eastAsia="Verdana" w:hAnsi="Verdana" w:cs="Verdana"/>
          <w:sz w:val="20"/>
        </w:rPr>
      </w:pPr>
      <w:r w:rsidRPr="004F3465">
        <w:rPr>
          <w:rFonts w:ascii="Verdana" w:eastAsia="Verdana" w:hAnsi="Verdana" w:cs="Verdana"/>
          <w:sz w:val="20"/>
        </w:rPr>
        <w:t>En el mismo sentido</w:t>
      </w:r>
      <w:r w:rsidRPr="004F3465">
        <w:rPr>
          <w:rFonts w:ascii="Verdana" w:eastAsia="Verdana" w:hAnsi="Verdana" w:cs="Verdana"/>
          <w:sz w:val="20"/>
          <w:lang w:val="es-MX"/>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75A0AB73" w14:textId="77777777" w:rsidR="00C84596" w:rsidRDefault="00C84596" w:rsidP="004D3F95">
      <w:pPr>
        <w:spacing w:after="0" w:line="240" w:lineRule="auto"/>
        <w:jc w:val="both"/>
        <w:rPr>
          <w:rFonts w:ascii="Verdana" w:eastAsia="Verdana" w:hAnsi="Verdana" w:cs="Verdana"/>
          <w:b/>
        </w:rPr>
      </w:pPr>
    </w:p>
    <w:p w14:paraId="2FDE61B9" w14:textId="461B2E5B" w:rsidR="00C84596" w:rsidRPr="00BC3C31" w:rsidRDefault="00C84596" w:rsidP="004D3F95">
      <w:pPr>
        <w:spacing w:after="0" w:line="240" w:lineRule="auto"/>
        <w:jc w:val="both"/>
        <w:rPr>
          <w:rFonts w:ascii="Verdana" w:eastAsia="Verdana" w:hAnsi="Verdana" w:cs="Verdana"/>
          <w:b/>
        </w:rPr>
      </w:pPr>
      <w:r w:rsidRPr="00BC3C31">
        <w:rPr>
          <w:rFonts w:ascii="Verdana" w:eastAsia="Verdana" w:hAnsi="Verdana" w:cs="Verdana"/>
          <w:b/>
        </w:rPr>
        <w:t xml:space="preserve">LEY DE GARANTÍAS ELECTORALES </w:t>
      </w:r>
      <w:r w:rsidRPr="00BC3C31">
        <w:rPr>
          <w:rFonts w:ascii="Verdana" w:eastAsia="Verdana" w:hAnsi="Verdana" w:cs="Verdana"/>
          <w:b/>
          <w:bCs/>
        </w:rPr>
        <w:t>‒</w:t>
      </w:r>
      <w:r w:rsidRPr="00BC3C31">
        <w:rPr>
          <w:rFonts w:ascii="Verdana" w:eastAsia="Verdana" w:hAnsi="Verdana" w:cs="Verdana"/>
          <w:b/>
        </w:rPr>
        <w:t xml:space="preserve"> Tipos de restricciones </w:t>
      </w:r>
      <w:r w:rsidRPr="00BC3C31">
        <w:rPr>
          <w:rFonts w:ascii="Verdana" w:eastAsia="Verdana" w:hAnsi="Verdana" w:cs="Verdana"/>
          <w:b/>
          <w:bCs/>
        </w:rPr>
        <w:t>‒</w:t>
      </w:r>
      <w:r w:rsidRPr="00BC3C31">
        <w:rPr>
          <w:rFonts w:ascii="Verdana" w:eastAsia="Verdana" w:hAnsi="Verdana" w:cs="Verdana"/>
          <w:b/>
        </w:rPr>
        <w:t xml:space="preserve"> Ámbito temporal – </w:t>
      </w:r>
      <w:r w:rsidR="0057428E">
        <w:rPr>
          <w:rFonts w:ascii="Verdana" w:eastAsia="Verdana" w:hAnsi="Verdana" w:cs="Verdana"/>
          <w:b/>
        </w:rPr>
        <w:t>C</w:t>
      </w:r>
      <w:r w:rsidRPr="00BC3C31">
        <w:rPr>
          <w:rFonts w:ascii="Verdana" w:eastAsia="Verdana" w:hAnsi="Verdana" w:cs="Verdana"/>
          <w:b/>
        </w:rPr>
        <w:t>elebración</w:t>
      </w:r>
      <w:r w:rsidR="0057428E">
        <w:rPr>
          <w:rFonts w:ascii="Verdana" w:eastAsia="Verdana" w:hAnsi="Verdana" w:cs="Verdana"/>
          <w:b/>
        </w:rPr>
        <w:t xml:space="preserve"> </w:t>
      </w:r>
      <w:r w:rsidR="0057428E" w:rsidRPr="0057428E">
        <w:rPr>
          <w:rFonts w:ascii="Verdana" w:eastAsia="Verdana" w:hAnsi="Verdana" w:cs="Verdana"/>
          <w:b/>
          <w:bCs/>
          <w:lang w:val="es-ES"/>
        </w:rPr>
        <w:t>–</w:t>
      </w:r>
      <w:r w:rsidRPr="00BC3C31">
        <w:rPr>
          <w:rFonts w:ascii="Verdana" w:eastAsia="Verdana" w:hAnsi="Verdana" w:cs="Verdana"/>
          <w:b/>
        </w:rPr>
        <w:t xml:space="preserve"> </w:t>
      </w:r>
      <w:r w:rsidR="0057428E">
        <w:rPr>
          <w:rFonts w:ascii="Verdana" w:eastAsia="Verdana" w:hAnsi="Verdana" w:cs="Verdana"/>
          <w:b/>
        </w:rPr>
        <w:t>L</w:t>
      </w:r>
      <w:r w:rsidRPr="00BC3C31">
        <w:rPr>
          <w:rFonts w:ascii="Verdana" w:eastAsia="Verdana" w:hAnsi="Verdana" w:cs="Verdana"/>
          <w:b/>
        </w:rPr>
        <w:t xml:space="preserve">ímite </w:t>
      </w:r>
    </w:p>
    <w:p w14:paraId="0157D54C" w14:textId="77777777" w:rsidR="00C84596" w:rsidRDefault="00C84596" w:rsidP="004D3F95">
      <w:pPr>
        <w:spacing w:after="0" w:line="240" w:lineRule="auto"/>
        <w:jc w:val="both"/>
        <w:rPr>
          <w:rFonts w:ascii="Verdana" w:eastAsia="Verdana" w:hAnsi="Verdana" w:cs="Verdana"/>
          <w:b/>
        </w:rPr>
      </w:pPr>
    </w:p>
    <w:p w14:paraId="219E64FB" w14:textId="77777777" w:rsidR="00C84596" w:rsidRDefault="00C84596" w:rsidP="004D3F95">
      <w:pPr>
        <w:spacing w:after="0" w:line="240" w:lineRule="auto"/>
        <w:jc w:val="both"/>
        <w:rPr>
          <w:rFonts w:ascii="Verdana" w:eastAsia="Verdana" w:hAnsi="Verdana" w:cs="Verdana"/>
          <w:sz w:val="20"/>
        </w:rPr>
      </w:pPr>
      <w:r w:rsidRPr="004D7FB4">
        <w:rPr>
          <w:rFonts w:ascii="Verdana" w:eastAsia="Verdana" w:hAnsi="Verdana" w:cs="Verdana"/>
          <w:sz w:val="20"/>
        </w:rPr>
        <w:t xml:space="preserve">Por un lado, el </w:t>
      </w:r>
      <w:r w:rsidRPr="004D7FB4">
        <w:rPr>
          <w:rFonts w:ascii="Verdana" w:eastAsia="Verdana" w:hAnsi="Verdana" w:cs="Verdana"/>
          <w:i/>
          <w:iCs/>
          <w:sz w:val="20"/>
        </w:rPr>
        <w:t>artículo 33 de la Ley 996 de 2005</w:t>
      </w:r>
      <w:r w:rsidRPr="004D7FB4">
        <w:rPr>
          <w:rFonts w:ascii="Verdana" w:eastAsia="Verdana" w:hAnsi="Verdana" w:cs="Verdana"/>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494B6A4" w14:textId="77777777" w:rsidR="00C84596" w:rsidRPr="004D7FB4" w:rsidRDefault="00C84596" w:rsidP="004D3F95">
      <w:pPr>
        <w:spacing w:after="0" w:line="240" w:lineRule="auto"/>
        <w:jc w:val="both"/>
        <w:rPr>
          <w:rFonts w:ascii="Verdana" w:eastAsia="Verdana" w:hAnsi="Verdana" w:cs="Verdana"/>
          <w:sz w:val="20"/>
        </w:rPr>
      </w:pPr>
    </w:p>
    <w:p w14:paraId="682FA587" w14:textId="77777777" w:rsidR="00C84596" w:rsidRDefault="00C84596" w:rsidP="004D3F95">
      <w:pPr>
        <w:spacing w:after="0" w:line="240" w:lineRule="auto"/>
        <w:jc w:val="both"/>
        <w:rPr>
          <w:rFonts w:ascii="Verdana" w:eastAsia="Verdana" w:hAnsi="Verdana" w:cs="Verdana"/>
          <w:sz w:val="20"/>
          <w:lang w:val="es-MX"/>
        </w:rPr>
      </w:pPr>
      <w:r w:rsidRPr="004D7FB4">
        <w:rPr>
          <w:rFonts w:ascii="Verdana" w:eastAsia="Verdana" w:hAnsi="Verdana" w:cs="Verdana"/>
          <w:sz w:val="20"/>
        </w:rPr>
        <w:t xml:space="preserve">Por otro lado, </w:t>
      </w:r>
      <w:r w:rsidRPr="004D7FB4">
        <w:rPr>
          <w:rFonts w:ascii="Verdana" w:eastAsia="Verdana" w:hAnsi="Verdana" w:cs="Verdana"/>
          <w:i/>
          <w:iCs/>
          <w:sz w:val="20"/>
        </w:rPr>
        <w:t>el parágrafo del artículo 38 de la Ley 996 de 2005</w:t>
      </w:r>
      <w:r w:rsidRPr="004D7FB4">
        <w:rPr>
          <w:rFonts w:ascii="Verdana" w:eastAsia="Verdana" w:hAnsi="Verdana" w:cs="Verdana"/>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D7FB4">
        <w:rPr>
          <w:rFonts w:ascii="Verdana" w:eastAsia="Verdana" w:hAnsi="Verdana" w:cs="Verdana"/>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D7FB4">
        <w:rPr>
          <w:rFonts w:ascii="Verdana" w:eastAsia="Verdana" w:hAnsi="Verdana" w:cs="Verdana"/>
          <w:sz w:val="20"/>
        </w:rPr>
        <w:t>”</w:t>
      </w:r>
      <w:r w:rsidRPr="004D7FB4">
        <w:rPr>
          <w:rFonts w:ascii="Verdana" w:eastAsia="Verdana" w:hAnsi="Verdana" w:cs="Verdana"/>
          <w:sz w:val="20"/>
          <w:lang w:val="es-MX"/>
        </w:rPr>
        <w:t>.</w:t>
      </w:r>
    </w:p>
    <w:p w14:paraId="06EE1C70" w14:textId="77777777" w:rsidR="00C84596" w:rsidRPr="004D7FB4" w:rsidRDefault="00C84596" w:rsidP="004D3F95">
      <w:pPr>
        <w:spacing w:after="0" w:line="240" w:lineRule="auto"/>
        <w:jc w:val="both"/>
        <w:rPr>
          <w:rFonts w:ascii="Verdana" w:eastAsia="Verdana" w:hAnsi="Verdana" w:cs="Verdana"/>
          <w:sz w:val="20"/>
          <w:lang w:bidi="es-ES"/>
        </w:rPr>
      </w:pPr>
      <w:r w:rsidRPr="004D7FB4">
        <w:rPr>
          <w:rFonts w:ascii="Verdana" w:eastAsia="Verdana" w:hAnsi="Verdana" w:cs="Verdana"/>
          <w:sz w:val="20"/>
          <w:lang w:bidi="es-ES"/>
        </w:rPr>
        <w:t xml:space="preserve"> </w:t>
      </w:r>
    </w:p>
    <w:p w14:paraId="77C5B9D8" w14:textId="77777777" w:rsidR="00C84596" w:rsidRPr="004D7FB4" w:rsidRDefault="00C84596" w:rsidP="004D3F95">
      <w:pPr>
        <w:spacing w:after="0" w:line="240" w:lineRule="auto"/>
        <w:jc w:val="both"/>
        <w:rPr>
          <w:rFonts w:ascii="Verdana" w:eastAsia="Verdana" w:hAnsi="Verdana" w:cs="Verdana"/>
          <w:bCs/>
          <w:sz w:val="20"/>
        </w:rPr>
      </w:pPr>
      <w:r w:rsidRPr="004D7FB4">
        <w:rPr>
          <w:rFonts w:ascii="Verdana" w:eastAsia="Verdana" w:hAnsi="Verdana" w:cs="Verdana"/>
          <w:bCs/>
          <w:sz w:val="20"/>
          <w:lang w:val="es-MX"/>
        </w:rPr>
        <w:t>Para entender el momento de aplicación de estas restricciones, es preciso señalar que el vocablo “celebrar” es definido por el Diccionario Panhispánico del Español Jurídico como: “</w:t>
      </w:r>
      <w:r w:rsidRPr="004D7FB4">
        <w:rPr>
          <w:rFonts w:ascii="Verdana" w:eastAsia="Verdana" w:hAnsi="Verdana" w:cs="Verdana"/>
          <w:bCs/>
          <w:sz w:val="20"/>
        </w:rPr>
        <w:t>1. </w:t>
      </w:r>
      <w:r w:rsidRPr="004D7FB4">
        <w:rPr>
          <w:rFonts w:ascii="Verdana" w:eastAsia="Verdana" w:hAnsi="Verdana" w:cs="Verdana"/>
          <w:bCs/>
          <w:i/>
          <w:iCs/>
          <w:sz w:val="20"/>
        </w:rPr>
        <w:t>Gral.</w:t>
      </w:r>
      <w:r w:rsidRPr="004D7FB4">
        <w:rPr>
          <w:rFonts w:ascii="Verdana" w:eastAsia="Verdana" w:hAnsi="Verdana" w:cs="Verdana"/>
          <w:bCs/>
          <w:sz w:val="20"/>
        </w:rPr>
        <w:t xml:space="preserve"> Otorgar o firmar un contrato. 2. </w:t>
      </w:r>
      <w:proofErr w:type="spellStart"/>
      <w:r w:rsidRPr="004D7FB4">
        <w:rPr>
          <w:rFonts w:ascii="Verdana" w:eastAsia="Verdana" w:hAnsi="Verdana" w:cs="Verdana"/>
          <w:bCs/>
          <w:i/>
          <w:iCs/>
          <w:sz w:val="20"/>
        </w:rPr>
        <w:t>Proc</w:t>
      </w:r>
      <w:proofErr w:type="spellEnd"/>
      <w:r w:rsidRPr="004D7FB4">
        <w:rPr>
          <w:rFonts w:ascii="Verdana" w:eastAsia="Verdana" w:hAnsi="Verdana" w:cs="Verdana"/>
          <w:bCs/>
          <w:i/>
          <w:iCs/>
          <w:sz w:val="20"/>
        </w:rPr>
        <w:t>.</w:t>
      </w:r>
      <w:r w:rsidRPr="004D7FB4">
        <w:rPr>
          <w:rFonts w:ascii="Verdana" w:eastAsia="Verdana" w:hAnsi="Verdana" w:cs="Verdana"/>
          <w:bCs/>
          <w:sz w:val="20"/>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77778668" w14:textId="77777777" w:rsidR="00C84596" w:rsidRPr="00BC3C31" w:rsidRDefault="00C84596" w:rsidP="004D3F95">
      <w:pPr>
        <w:spacing w:after="0" w:line="240" w:lineRule="auto"/>
        <w:jc w:val="both"/>
        <w:rPr>
          <w:rFonts w:ascii="Verdana" w:eastAsia="Verdana" w:hAnsi="Verdana" w:cs="Verdana"/>
          <w:b/>
        </w:rPr>
      </w:pPr>
    </w:p>
    <w:p w14:paraId="3F6C3632" w14:textId="77777777" w:rsidR="00C84596" w:rsidRPr="00BC3C31" w:rsidRDefault="00C84596" w:rsidP="004D3F95">
      <w:pPr>
        <w:spacing w:after="0" w:line="240" w:lineRule="auto"/>
        <w:jc w:val="both"/>
        <w:rPr>
          <w:rFonts w:ascii="Verdana" w:eastAsia="Verdana" w:hAnsi="Verdana" w:cs="Verdana"/>
          <w:b/>
        </w:rPr>
      </w:pPr>
      <w:r w:rsidRPr="00BC3C31">
        <w:rPr>
          <w:rFonts w:ascii="Verdana" w:eastAsia="Verdana" w:hAnsi="Verdana" w:cs="Verdana"/>
          <w:b/>
        </w:rPr>
        <w:t>LEY DE GARANTÍAS ELECTORALES – Prohibición artículo 33 – Contratación directa – Alcance</w:t>
      </w:r>
    </w:p>
    <w:p w14:paraId="35680417" w14:textId="77777777" w:rsidR="00C84596" w:rsidRPr="00BC3C31" w:rsidRDefault="00C84596" w:rsidP="004D3F95">
      <w:pPr>
        <w:spacing w:after="0" w:line="240" w:lineRule="auto"/>
        <w:jc w:val="both"/>
        <w:rPr>
          <w:rFonts w:ascii="Verdana" w:eastAsia="Verdana" w:hAnsi="Verdana" w:cs="Verdana"/>
          <w:b/>
        </w:rPr>
      </w:pPr>
    </w:p>
    <w:p w14:paraId="7271BDB8" w14:textId="77777777" w:rsidR="00C84596" w:rsidRPr="004D7FB4" w:rsidRDefault="00C84596" w:rsidP="004D3F95">
      <w:pPr>
        <w:spacing w:after="0" w:line="240" w:lineRule="auto"/>
        <w:jc w:val="both"/>
        <w:rPr>
          <w:rFonts w:ascii="Verdana" w:eastAsia="Verdana" w:hAnsi="Verdana" w:cs="Verdana"/>
          <w:bCs/>
          <w:sz w:val="20"/>
        </w:rPr>
      </w:pPr>
      <w:r w:rsidRPr="004D7FB4">
        <w:rPr>
          <w:rFonts w:ascii="Verdana" w:eastAsia="Verdana" w:hAnsi="Verdana" w:cs="Verdana"/>
          <w:sz w:val="20"/>
        </w:rPr>
        <w:t xml:space="preserve">De acuerdo con el citado concepto, la prohibición del artículo 33 de la Ley de Garantías Electorales se refiere a “cualquier sistema que no implique convocatoria pública y </w:t>
      </w:r>
      <w:r w:rsidRPr="004D7FB4">
        <w:rPr>
          <w:rFonts w:ascii="Verdana" w:eastAsia="Verdana" w:hAnsi="Verdana" w:cs="Verdana"/>
          <w:sz w:val="20"/>
        </w:rPr>
        <w:lastRenderedPageBreak/>
        <w:t>posibilidad de pluralidad de oferentes”, por lo que excluye las demás modalidades de contratación previstas en la Ley 1150 de 2007, es decir, la licitación pública, la selección abreviada, el concurso de méritos y la mínima cuantía</w:t>
      </w:r>
      <w:r w:rsidRPr="004D7FB4" w:rsidDel="00A85D9F">
        <w:rPr>
          <w:rFonts w:ascii="Verdana" w:eastAsia="Verdana" w:hAnsi="Verdana" w:cs="Verdana"/>
          <w:sz w:val="20"/>
        </w:rPr>
        <w:t xml:space="preserve"> </w:t>
      </w:r>
      <w:r w:rsidRPr="004D7FB4">
        <w:rPr>
          <w:rFonts w:ascii="Verdana" w:eastAsia="Verdana" w:hAnsi="Verdana" w:cs="Verdana"/>
          <w:sz w:val="20"/>
        </w:rPr>
        <w:t>u otros previstos en normas especiales. Esta posición es congruente con la expedición de la Ley 1150 de 2007 que, entre otras reformas, introdujo la selección abreviada, rediseñó el concurso de méritos y sistematizó las causales de contratación directa, además lo es con la posterior creación de la modalidad de mínima cuantía establecida actualmente en el numeral 5 del artículo 2 de la Ley 1150 de 2007, de acuerdo con las modificaciones realizadas por leyes posteriores.</w:t>
      </w:r>
    </w:p>
    <w:p w14:paraId="1088341B" w14:textId="77777777" w:rsidR="00C84596" w:rsidRPr="00BC3C31" w:rsidRDefault="00C84596" w:rsidP="004D3F95">
      <w:pPr>
        <w:spacing w:after="0" w:line="240" w:lineRule="auto"/>
        <w:jc w:val="both"/>
        <w:rPr>
          <w:rFonts w:ascii="Verdana" w:eastAsia="Verdana" w:hAnsi="Verdana" w:cs="Verdana"/>
          <w:b/>
        </w:rPr>
      </w:pPr>
    </w:p>
    <w:p w14:paraId="5443B7D0" w14:textId="77777777" w:rsidR="00C84596" w:rsidRPr="00BC3C31" w:rsidRDefault="00C84596" w:rsidP="004D3F95">
      <w:pPr>
        <w:spacing w:after="0" w:line="240" w:lineRule="auto"/>
        <w:jc w:val="both"/>
        <w:rPr>
          <w:rFonts w:ascii="Verdana" w:eastAsia="Verdana" w:hAnsi="Verdana" w:cs="Verdana"/>
          <w:b/>
        </w:rPr>
      </w:pPr>
      <w:r w:rsidRPr="00BC3C31">
        <w:rPr>
          <w:rFonts w:ascii="Verdana" w:eastAsia="Verdana" w:hAnsi="Verdana" w:cs="Verdana"/>
          <w:b/>
        </w:rPr>
        <w:t xml:space="preserve">LEY DE GARANTÍAS ELECTORALES – Prohibición del artículo 33 – Destinatarios </w:t>
      </w:r>
    </w:p>
    <w:p w14:paraId="44EF95C2" w14:textId="77777777" w:rsidR="00C84596" w:rsidRPr="00BC3C31" w:rsidRDefault="00C84596" w:rsidP="004D3F95">
      <w:pPr>
        <w:spacing w:after="0" w:line="240" w:lineRule="auto"/>
        <w:jc w:val="both"/>
        <w:rPr>
          <w:rFonts w:ascii="Verdana" w:eastAsia="Verdana" w:hAnsi="Verdana" w:cs="Verdana"/>
          <w:b/>
        </w:rPr>
      </w:pPr>
    </w:p>
    <w:p w14:paraId="3650FC3C" w14:textId="77777777" w:rsidR="00C84596" w:rsidRPr="00865A1B" w:rsidRDefault="00C84596" w:rsidP="004D3F95">
      <w:pPr>
        <w:spacing w:after="0" w:line="240" w:lineRule="auto"/>
        <w:jc w:val="both"/>
        <w:rPr>
          <w:rFonts w:ascii="Verdana" w:eastAsia="Verdana" w:hAnsi="Verdana" w:cs="Verdana"/>
          <w:bCs/>
          <w:sz w:val="20"/>
        </w:rPr>
      </w:pPr>
      <w:r w:rsidRPr="00865A1B">
        <w:rPr>
          <w:rFonts w:ascii="Verdana" w:eastAsia="Verdana" w:hAnsi="Verdana" w:cs="Verdana"/>
          <w:bCs/>
          <w:sz w:val="20"/>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865A1B">
        <w:rPr>
          <w:rFonts w:ascii="Verdana" w:eastAsia="Verdana" w:hAnsi="Verdana" w:cs="Verdana"/>
          <w:sz w:val="20"/>
        </w:rPr>
        <w:t xml:space="preserve"> </w:t>
      </w:r>
      <w:r w:rsidRPr="00865A1B">
        <w:rPr>
          <w:rFonts w:ascii="Verdana" w:eastAsia="Verdana" w:hAnsi="Verdana" w:cs="Verdana"/>
          <w:bCs/>
          <w:sz w:val="20"/>
        </w:rPr>
        <w:t>En efecto, tal como lo ha sostenido el Consejo de Estado, el vocablo “todos” utilizado por el legislador comprende</w:t>
      </w:r>
      <w:r w:rsidRPr="00865A1B">
        <w:rPr>
          <w:rFonts w:ascii="Verdana" w:eastAsia="Verdana" w:hAnsi="Verdana" w:cs="Verdana"/>
          <w:sz w:val="20"/>
        </w:rPr>
        <w:t xml:space="preserve"> </w:t>
      </w:r>
      <w:r w:rsidRPr="00865A1B">
        <w:rPr>
          <w:rFonts w:ascii="Verdana" w:eastAsia="Verdana" w:hAnsi="Verdana" w:cs="Verdana"/>
          <w:bCs/>
          <w:sz w:val="20"/>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BE94B95" w14:textId="77777777" w:rsidR="00C84596" w:rsidRPr="004D7FB4" w:rsidRDefault="00C84596" w:rsidP="004D3F95">
      <w:pPr>
        <w:spacing w:after="0" w:line="240" w:lineRule="auto"/>
        <w:jc w:val="both"/>
        <w:rPr>
          <w:rFonts w:ascii="Verdana" w:eastAsia="Verdana" w:hAnsi="Verdana" w:cs="Verdana"/>
          <w:b/>
        </w:rPr>
      </w:pPr>
    </w:p>
    <w:p w14:paraId="20057F67" w14:textId="77777777" w:rsidR="00C84596" w:rsidRPr="00BC3C31" w:rsidRDefault="00C84596" w:rsidP="004D3F95">
      <w:pPr>
        <w:spacing w:after="0" w:line="240" w:lineRule="auto"/>
        <w:jc w:val="both"/>
        <w:rPr>
          <w:rFonts w:ascii="Verdana" w:eastAsia="Verdana" w:hAnsi="Verdana" w:cs="Verdana"/>
          <w:b/>
        </w:rPr>
      </w:pPr>
      <w:r w:rsidRPr="00BC3C31">
        <w:rPr>
          <w:rFonts w:ascii="Verdana" w:eastAsia="Verdana" w:hAnsi="Verdana" w:cs="Verdana"/>
          <w:b/>
        </w:rPr>
        <w:t xml:space="preserve">LEY DE GARANTÍAS ELECTORALES – Excepciones </w:t>
      </w:r>
    </w:p>
    <w:p w14:paraId="0DF557F4" w14:textId="77777777" w:rsidR="00C84596" w:rsidRPr="00865A1B" w:rsidRDefault="00C84596" w:rsidP="004D3F95">
      <w:pPr>
        <w:spacing w:after="0" w:line="240" w:lineRule="auto"/>
        <w:jc w:val="both"/>
        <w:rPr>
          <w:rFonts w:ascii="Verdana" w:eastAsia="Verdana" w:hAnsi="Verdana" w:cs="Verdana"/>
          <w:sz w:val="20"/>
        </w:rPr>
      </w:pPr>
    </w:p>
    <w:p w14:paraId="183BF4B3" w14:textId="77777777" w:rsidR="00C84596" w:rsidRPr="00865A1B" w:rsidRDefault="00C84596" w:rsidP="004D3F95">
      <w:pPr>
        <w:spacing w:after="0" w:line="240" w:lineRule="auto"/>
        <w:jc w:val="both"/>
        <w:rPr>
          <w:rFonts w:ascii="Verdana" w:eastAsia="Verdana" w:hAnsi="Verdana" w:cs="Verdana"/>
          <w:bCs/>
          <w:sz w:val="20"/>
        </w:rPr>
      </w:pPr>
      <w:r w:rsidRPr="00865A1B">
        <w:rPr>
          <w:rFonts w:ascii="Verdana" w:eastAsia="Verdana" w:hAnsi="Verdana" w:cs="Verdana"/>
          <w:bCs/>
          <w:sz w:val="20"/>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865A1B">
        <w:rPr>
          <w:rFonts w:ascii="Verdana" w:eastAsia="Verdana" w:hAnsi="Verdana" w:cs="Verdana"/>
          <w:bCs/>
          <w:sz w:val="20"/>
        </w:rPr>
        <w:t>ii</w:t>
      </w:r>
      <w:proofErr w:type="spellEnd"/>
      <w:r w:rsidRPr="00865A1B">
        <w:rPr>
          <w:rFonts w:ascii="Verdana" w:eastAsia="Verdana" w:hAnsi="Verdana" w:cs="Verdana"/>
          <w:bCs/>
          <w:sz w:val="20"/>
        </w:rPr>
        <w:t xml:space="preserve">) los contratos de crédito público; </w:t>
      </w:r>
      <w:proofErr w:type="spellStart"/>
      <w:r w:rsidRPr="00865A1B">
        <w:rPr>
          <w:rFonts w:ascii="Verdana" w:eastAsia="Verdana" w:hAnsi="Verdana" w:cs="Verdana"/>
          <w:bCs/>
          <w:sz w:val="20"/>
        </w:rPr>
        <w:t>iii</w:t>
      </w:r>
      <w:proofErr w:type="spellEnd"/>
      <w:r w:rsidRPr="00865A1B">
        <w:rPr>
          <w:rFonts w:ascii="Verdana" w:eastAsia="Verdana" w:hAnsi="Verdana" w:cs="Verdana"/>
          <w:bCs/>
          <w:sz w:val="20"/>
        </w:rPr>
        <w:t xml:space="preserve">) los requeridos para cubrir las emergencias educativas, sanitarias y desastres; </w:t>
      </w:r>
      <w:proofErr w:type="spellStart"/>
      <w:r w:rsidRPr="00865A1B">
        <w:rPr>
          <w:rFonts w:ascii="Verdana" w:eastAsia="Verdana" w:hAnsi="Verdana" w:cs="Verdana"/>
          <w:bCs/>
          <w:sz w:val="20"/>
        </w:rPr>
        <w:t>iv</w:t>
      </w:r>
      <w:proofErr w:type="spellEnd"/>
      <w:r w:rsidRPr="00865A1B">
        <w:rPr>
          <w:rFonts w:ascii="Verdana" w:eastAsia="Verdana" w:hAnsi="Verdana" w:cs="Verdana"/>
          <w:bCs/>
          <w:sz w:val="20"/>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de forma directa. </w:t>
      </w:r>
      <w:r w:rsidRPr="00865A1B">
        <w:rPr>
          <w:rFonts w:ascii="Verdana" w:eastAsia="Verdana" w:hAnsi="Verdana" w:cs="Verdana"/>
          <w:bCs/>
          <w:sz w:val="20"/>
          <w:lang w:val="es-MX"/>
        </w:rPr>
        <w:t xml:space="preserve">Así mismo, la Corte Constitucional en la Sentencia C-1153 de 2005 señaló que la expresión </w:t>
      </w:r>
      <w:r w:rsidRPr="00865A1B">
        <w:rPr>
          <w:rFonts w:ascii="Verdana" w:eastAsia="Verdana" w:hAnsi="Verdana" w:cs="Verdana"/>
          <w:i/>
          <w:iCs/>
          <w:sz w:val="20"/>
          <w:lang w:val="es-ES"/>
        </w:rPr>
        <w:t xml:space="preserve">“adicionalmente se exceptúan aquellos gastos inaplazables e imprescindibles que afecten el normal funcionamiento de la administración” </w:t>
      </w:r>
      <w:r w:rsidRPr="00865A1B">
        <w:rPr>
          <w:rFonts w:ascii="Verdana" w:eastAsia="Verdana" w:hAnsi="Verdana" w:cs="Verdana"/>
          <w:iCs/>
          <w:sz w:val="20"/>
          <w:lang w:val="es-ES"/>
        </w:rPr>
        <w:t>regulada como excepción en el artículo 33</w:t>
      </w:r>
      <w:r w:rsidRPr="00865A1B">
        <w:rPr>
          <w:rFonts w:ascii="Verdana" w:eastAsia="Verdana" w:hAnsi="Verdana" w:cs="Verdana"/>
          <w:i/>
          <w:iCs/>
          <w:sz w:val="20"/>
          <w:lang w:val="es-ES"/>
        </w:rPr>
        <w:t xml:space="preserve"> </w:t>
      </w:r>
      <w:r w:rsidRPr="00865A1B">
        <w:rPr>
          <w:rFonts w:ascii="Verdana" w:eastAsia="Verdana" w:hAnsi="Verdana" w:cs="Verdana"/>
          <w:iCs/>
          <w:sz w:val="20"/>
          <w:lang w:val="es-ES"/>
        </w:rPr>
        <w:t xml:space="preserve">es demasiado amplia y ambigua, pues términos como inaplazable, imprescindible y normal funcionamiento son evaluativos y sujetos a interpretaciones diversas, lo que permitiría introducir múltiples excepciones que desfigurarían la prohibición original y comprometerían los fines y propósitos de la Ley de </w:t>
      </w:r>
      <w:r w:rsidRPr="00865A1B">
        <w:rPr>
          <w:rFonts w:ascii="Verdana" w:eastAsia="Verdana" w:hAnsi="Verdana" w:cs="Verdana"/>
          <w:iCs/>
          <w:sz w:val="20"/>
          <w:lang w:val="es-ES"/>
        </w:rPr>
        <w:lastRenderedPageBreak/>
        <w:t>Garantías Electorales.</w:t>
      </w:r>
      <w:r w:rsidRPr="00865A1B">
        <w:rPr>
          <w:rFonts w:ascii="Verdana" w:eastAsia="Verdana" w:hAnsi="Verdana" w:cs="Verdana"/>
          <w:i/>
          <w:iCs/>
          <w:sz w:val="20"/>
          <w:lang w:val="es-ES"/>
        </w:rPr>
        <w:t xml:space="preserve"> </w:t>
      </w:r>
      <w:r w:rsidRPr="00865A1B">
        <w:rPr>
          <w:rFonts w:ascii="Verdana" w:eastAsia="Verdana" w:hAnsi="Verdana" w:cs="Verdana"/>
          <w:iCs/>
          <w:sz w:val="20"/>
          <w:lang w:val="es-ES"/>
        </w:rPr>
        <w:t>Por tanto, dicha expresión fue declarada inexequible, razón por la cual no es posible que las entidades argumenten razones como esta para exceptuar la restricción del artículo 33.</w:t>
      </w:r>
    </w:p>
    <w:p w14:paraId="4F272E53" w14:textId="77777777" w:rsidR="00C84596" w:rsidRPr="00BC3C31" w:rsidRDefault="00C84596" w:rsidP="004D3F95">
      <w:pPr>
        <w:spacing w:after="0" w:line="240" w:lineRule="auto"/>
        <w:jc w:val="both"/>
        <w:rPr>
          <w:rFonts w:ascii="Verdana" w:eastAsia="Verdana" w:hAnsi="Verdana" w:cs="Verdana"/>
          <w:b/>
        </w:rPr>
      </w:pPr>
    </w:p>
    <w:p w14:paraId="2D2901F1" w14:textId="77777777" w:rsidR="00C84596" w:rsidRPr="00BC3C31" w:rsidRDefault="00C84596" w:rsidP="004D3F95">
      <w:pPr>
        <w:spacing w:after="0" w:line="240" w:lineRule="auto"/>
        <w:jc w:val="both"/>
        <w:rPr>
          <w:rFonts w:ascii="Verdana" w:eastAsia="Verdana" w:hAnsi="Verdana" w:cs="Verdana"/>
          <w:b/>
        </w:rPr>
      </w:pPr>
      <w:r w:rsidRPr="00BC3C31">
        <w:rPr>
          <w:rFonts w:ascii="Verdana" w:eastAsia="Verdana" w:hAnsi="Verdana" w:cs="Verdana"/>
          <w:b/>
        </w:rPr>
        <w:t>LEY DE GARANTÍAS ELECTORALES – Excepciones – Posturas de la Sala de Consulta y Servicio del Consejo de Estado</w:t>
      </w:r>
    </w:p>
    <w:p w14:paraId="193C4196" w14:textId="77777777" w:rsidR="00C84596" w:rsidRPr="00865A1B" w:rsidRDefault="00C84596" w:rsidP="004D3F95">
      <w:pPr>
        <w:spacing w:after="0" w:line="240" w:lineRule="auto"/>
        <w:jc w:val="both"/>
        <w:rPr>
          <w:rFonts w:ascii="Verdana" w:eastAsia="Verdana" w:hAnsi="Verdana" w:cs="Verdana"/>
          <w:sz w:val="20"/>
        </w:rPr>
      </w:pPr>
    </w:p>
    <w:p w14:paraId="37ACD276" w14:textId="77777777" w:rsidR="00C84596" w:rsidRDefault="00C84596" w:rsidP="004D3F95">
      <w:pPr>
        <w:spacing w:after="0" w:line="240" w:lineRule="auto"/>
        <w:jc w:val="both"/>
        <w:rPr>
          <w:rFonts w:ascii="Verdana" w:eastAsia="Verdana" w:hAnsi="Verdana" w:cs="Verdana"/>
          <w:sz w:val="20"/>
        </w:rPr>
      </w:pPr>
      <w:r w:rsidRPr="00865A1B">
        <w:rPr>
          <w:rFonts w:ascii="Verdana" w:eastAsia="Verdana" w:hAnsi="Verdana" w:cs="Verdana"/>
          <w:sz w:val="20"/>
          <w:lang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865A1B">
        <w:rPr>
          <w:rFonts w:ascii="Verdana" w:eastAsia="Verdana" w:hAnsi="Verdana" w:cs="Verdana"/>
          <w:sz w:val="20"/>
        </w:rPr>
        <w:t>el contrato no puede ser violatorio de la restricción a la contratación directa contenida en el artículo 33 de la Ley 996 de 2005.</w:t>
      </w:r>
    </w:p>
    <w:p w14:paraId="7C12D0D4" w14:textId="77777777" w:rsidR="00C84596" w:rsidRPr="00865A1B" w:rsidRDefault="00C84596" w:rsidP="004D3F95">
      <w:pPr>
        <w:spacing w:after="0" w:line="240" w:lineRule="auto"/>
        <w:jc w:val="both"/>
        <w:rPr>
          <w:rFonts w:ascii="Verdana" w:eastAsia="Verdana" w:hAnsi="Verdana" w:cs="Verdana"/>
          <w:sz w:val="20"/>
        </w:rPr>
      </w:pPr>
      <w:r w:rsidRPr="00865A1B">
        <w:rPr>
          <w:rFonts w:ascii="Verdana" w:eastAsia="Verdana" w:hAnsi="Verdana" w:cs="Verdana"/>
          <w:sz w:val="20"/>
        </w:rPr>
        <w:t xml:space="preserve"> </w:t>
      </w:r>
    </w:p>
    <w:p w14:paraId="78E25EA8" w14:textId="77777777" w:rsidR="00C84596" w:rsidRDefault="00C84596" w:rsidP="004D3F95">
      <w:pPr>
        <w:spacing w:after="0" w:line="240" w:lineRule="auto"/>
        <w:jc w:val="both"/>
        <w:rPr>
          <w:rFonts w:ascii="Verdana" w:eastAsia="Verdana" w:hAnsi="Verdana" w:cs="Verdana"/>
          <w:sz w:val="20"/>
          <w:lang w:bidi="es-ES"/>
        </w:rPr>
      </w:pPr>
      <w:r w:rsidRPr="00865A1B">
        <w:rPr>
          <w:rFonts w:ascii="Verdana" w:eastAsia="Verdana" w:hAnsi="Verdana" w:cs="Verdana"/>
          <w:sz w:val="20"/>
          <w:lang w:val="es-ES_tradnl"/>
        </w:rPr>
        <w:t>También la Sala de Consulta y Servicio Civil del Consejo de Estado ha presentado supuestos de excepción a la restricción de los artículos 33 y 38 cuando la contratación se enmarca en una providencia judicial</w:t>
      </w:r>
      <w:r w:rsidRPr="00865A1B">
        <w:rPr>
          <w:rFonts w:ascii="Verdana" w:eastAsia="Verdana" w:hAnsi="Verdana" w:cs="Verdana"/>
          <w:sz w:val="20"/>
          <w:lang w:bidi="es-ES"/>
        </w:rPr>
        <w:t>, pues en dicho caso debe tenerse en cuenta que las decisiones judiciales tienen fuerza vinculante y cumplirse en virtud del principio de supremacía constitucional y del derecho fundamental de acceso a la administración de justicia. La celebración de un contrato de forma directa o de un convenio interadministrativo para la ejecución de recursos públicos 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1F5646CC" w14:textId="77777777" w:rsidR="00C84596" w:rsidRPr="00865A1B" w:rsidRDefault="00C84596" w:rsidP="004D3F95">
      <w:pPr>
        <w:spacing w:after="0" w:line="240" w:lineRule="auto"/>
        <w:jc w:val="both"/>
        <w:rPr>
          <w:rFonts w:ascii="Verdana" w:eastAsia="Verdana" w:hAnsi="Verdana" w:cs="Verdana"/>
          <w:sz w:val="20"/>
          <w:lang w:bidi="es-ES"/>
        </w:rPr>
      </w:pPr>
    </w:p>
    <w:p w14:paraId="4BE6CC03" w14:textId="77777777" w:rsidR="00C84596" w:rsidRDefault="00C84596" w:rsidP="004D3F95">
      <w:pPr>
        <w:spacing w:after="0" w:line="240" w:lineRule="auto"/>
        <w:jc w:val="both"/>
        <w:rPr>
          <w:rFonts w:ascii="Verdana" w:eastAsia="Verdana" w:hAnsi="Verdana" w:cs="Verdana"/>
          <w:sz w:val="20"/>
          <w:lang w:bidi="es-ES"/>
        </w:rPr>
      </w:pPr>
      <w:r w:rsidRPr="00865A1B">
        <w:rPr>
          <w:rFonts w:ascii="Verdana" w:eastAsia="Verdana" w:hAnsi="Verdana" w:cs="Verdana"/>
          <w:sz w:val="20"/>
          <w:lang w:bidi="es-ES"/>
        </w:rPr>
        <w:t>En este asunto, es importante resaltar que la Sala de Consulta y Servicio Civil del Consejo de Estado mediante Concepto con Radicado 1863 del 15 de noviembre de 2007 se ha pronunciado en el sentido de que 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p>
    <w:p w14:paraId="702D6900" w14:textId="77777777" w:rsidR="00C84596" w:rsidRPr="00865A1B" w:rsidRDefault="00C84596" w:rsidP="004D3F95">
      <w:pPr>
        <w:spacing w:after="0" w:line="240" w:lineRule="auto"/>
        <w:jc w:val="both"/>
        <w:rPr>
          <w:rFonts w:ascii="Verdana" w:eastAsia="Verdana" w:hAnsi="Verdana" w:cs="Verdana"/>
          <w:sz w:val="20"/>
        </w:rPr>
      </w:pPr>
    </w:p>
    <w:p w14:paraId="2C06173B" w14:textId="77777777" w:rsidR="00C84596" w:rsidRPr="00C84596" w:rsidRDefault="00C84596" w:rsidP="004D3F95">
      <w:pPr>
        <w:spacing w:after="0" w:line="240" w:lineRule="auto"/>
        <w:jc w:val="both"/>
        <w:rPr>
          <w:rFonts w:ascii="Verdana" w:eastAsia="Verdana" w:hAnsi="Verdana" w:cs="Verdana"/>
          <w:b/>
        </w:rPr>
      </w:pPr>
      <w:r w:rsidRPr="00C84596">
        <w:rPr>
          <w:rFonts w:ascii="Verdana" w:eastAsia="Verdana" w:hAnsi="Verdana" w:cs="Verdana"/>
          <w:b/>
        </w:rPr>
        <w:t>ENAJENACIÓN VOLUNTARIA – Objeto – Aplicación – Ley de Garantías Electorales – Restricción- Contratación Directa</w:t>
      </w:r>
    </w:p>
    <w:p w14:paraId="7E089D98" w14:textId="5746CC92" w:rsidR="00C84596" w:rsidRDefault="00C84596" w:rsidP="004D3F95">
      <w:pPr>
        <w:spacing w:after="0" w:line="240" w:lineRule="auto"/>
        <w:jc w:val="both"/>
        <w:rPr>
          <w:rFonts w:ascii="Verdana" w:eastAsia="Verdana" w:hAnsi="Verdana" w:cs="Verdana"/>
          <w:b/>
        </w:rPr>
      </w:pPr>
    </w:p>
    <w:p w14:paraId="047AE623" w14:textId="659DB022" w:rsidR="002C5509" w:rsidRPr="002C5509" w:rsidRDefault="002C5509" w:rsidP="004D3F95">
      <w:pPr>
        <w:spacing w:after="0" w:line="240" w:lineRule="auto"/>
        <w:jc w:val="both"/>
        <w:rPr>
          <w:rFonts w:ascii="Verdana" w:eastAsia="Verdana" w:hAnsi="Verdana" w:cs="Verdana"/>
          <w:sz w:val="20"/>
        </w:rPr>
      </w:pPr>
      <w:r w:rsidRPr="002C5509">
        <w:rPr>
          <w:rFonts w:ascii="Verdana" w:eastAsia="Verdana" w:hAnsi="Verdana" w:cs="Verdana"/>
          <w:sz w:val="20"/>
        </w:rPr>
        <w:t xml:space="preserve">De acuerdo con lo expuesto, y lo definido en diferentes conceptos de la Agencia Nacional de Contratación Pública – Colombia Compra Eficiente, la adquisición de los predios que se realice por enajenación voluntaria está sometida a un régimen especial de contratación. Sin embargo, como se explicó antes, esta culmina con la suscripción de un contrato de promesa de compraventa o de compraventa entre la entidad y la persona, con lo cual se trata de un procedimiento de contratación estatal no competitivo que está restringido por la prohibición establecida en el artículo 33 de la Ley 996 de 2005. </w:t>
      </w:r>
      <w:r w:rsidRPr="002C5509">
        <w:rPr>
          <w:rFonts w:ascii="Verdana" w:eastAsia="Verdana" w:hAnsi="Verdana" w:cs="Verdana"/>
          <w:bCs/>
          <w:sz w:val="20"/>
        </w:rPr>
        <w:t xml:space="preserve">En tal </w:t>
      </w:r>
      <w:r w:rsidRPr="002C5509">
        <w:rPr>
          <w:rFonts w:ascii="Verdana" w:eastAsia="Verdana" w:hAnsi="Verdana" w:cs="Verdana"/>
          <w:bCs/>
          <w:sz w:val="20"/>
        </w:rPr>
        <w:lastRenderedPageBreak/>
        <w:t xml:space="preserve">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Esto, sin perjuicio de las excepciones a la prohibición establecidas en el inciso segundo del mismo artículo 33, como son: i) la defensa y seguridad del Estado; </w:t>
      </w:r>
      <w:proofErr w:type="spellStart"/>
      <w:r w:rsidRPr="002C5509">
        <w:rPr>
          <w:rFonts w:ascii="Verdana" w:eastAsia="Verdana" w:hAnsi="Verdana" w:cs="Verdana"/>
          <w:bCs/>
          <w:sz w:val="20"/>
        </w:rPr>
        <w:t>ii</w:t>
      </w:r>
      <w:proofErr w:type="spellEnd"/>
      <w:r w:rsidRPr="002C5509">
        <w:rPr>
          <w:rFonts w:ascii="Verdana" w:eastAsia="Verdana" w:hAnsi="Verdana" w:cs="Verdana"/>
          <w:bCs/>
          <w:sz w:val="20"/>
        </w:rPr>
        <w:t xml:space="preserve">) los contratos de crédito público; </w:t>
      </w:r>
      <w:proofErr w:type="spellStart"/>
      <w:r w:rsidRPr="002C5509">
        <w:rPr>
          <w:rFonts w:ascii="Verdana" w:eastAsia="Verdana" w:hAnsi="Verdana" w:cs="Verdana"/>
          <w:bCs/>
          <w:sz w:val="20"/>
        </w:rPr>
        <w:t>iii</w:t>
      </w:r>
      <w:proofErr w:type="spellEnd"/>
      <w:r w:rsidRPr="002C5509">
        <w:rPr>
          <w:rFonts w:ascii="Verdana" w:eastAsia="Verdana" w:hAnsi="Verdana" w:cs="Verdana"/>
          <w:bCs/>
          <w:sz w:val="20"/>
        </w:rPr>
        <w:t xml:space="preserve">) los requeridos para cubrir las emergencias educativas, sanitarias y desastres; </w:t>
      </w:r>
      <w:proofErr w:type="spellStart"/>
      <w:r w:rsidRPr="002C5509">
        <w:rPr>
          <w:rFonts w:ascii="Verdana" w:eastAsia="Verdana" w:hAnsi="Verdana" w:cs="Verdana"/>
          <w:bCs/>
          <w:sz w:val="20"/>
        </w:rPr>
        <w:t>iv</w:t>
      </w:r>
      <w:proofErr w:type="spellEnd"/>
      <w:r w:rsidRPr="002C5509">
        <w:rPr>
          <w:rFonts w:ascii="Verdana" w:eastAsia="Verdana" w:hAnsi="Verdana" w:cs="Verdana"/>
          <w:bCs/>
          <w:sz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Pr="002C5509">
        <w:rPr>
          <w:rFonts w:ascii="Verdana" w:eastAsia="Verdana" w:hAnsi="Verdana" w:cs="Verdana"/>
          <w:sz w:val="20"/>
        </w:rPr>
        <w:t xml:space="preserve"> </w:t>
      </w:r>
    </w:p>
    <w:p w14:paraId="5222DDEC" w14:textId="77777777" w:rsidR="00C84596" w:rsidRPr="00C84596" w:rsidRDefault="00C84596" w:rsidP="004D3F95">
      <w:pPr>
        <w:spacing w:after="0" w:line="240" w:lineRule="auto"/>
        <w:jc w:val="both"/>
        <w:rPr>
          <w:rFonts w:ascii="Verdana" w:eastAsia="Verdana" w:hAnsi="Verdana" w:cs="Verdana"/>
          <w:b/>
        </w:rPr>
      </w:pPr>
    </w:p>
    <w:p w14:paraId="2D5329B2" w14:textId="5FF18F16" w:rsidR="00C84596" w:rsidRPr="00C84596" w:rsidRDefault="00C84596" w:rsidP="004D3F95">
      <w:pPr>
        <w:spacing w:after="0" w:line="240" w:lineRule="auto"/>
        <w:jc w:val="both"/>
        <w:rPr>
          <w:rFonts w:ascii="Verdana" w:eastAsia="Verdana" w:hAnsi="Verdana" w:cs="Verdana"/>
          <w:b/>
        </w:rPr>
      </w:pPr>
      <w:r w:rsidRPr="00C84596">
        <w:rPr>
          <w:rFonts w:ascii="Verdana" w:eastAsia="Verdana" w:hAnsi="Verdana" w:cs="Verdana"/>
          <w:b/>
        </w:rPr>
        <w:t>EXPROPIACIÓN ADMINISTRATIVA – No sujeción – Ley de Garantías Electo</w:t>
      </w:r>
      <w:r>
        <w:rPr>
          <w:rFonts w:ascii="Verdana" w:eastAsia="Verdana" w:hAnsi="Verdana" w:cs="Verdana"/>
          <w:b/>
        </w:rPr>
        <w:t xml:space="preserve">rales </w:t>
      </w:r>
      <w:r w:rsidRPr="00C84596">
        <w:rPr>
          <w:rFonts w:ascii="Verdana" w:eastAsia="Verdana" w:hAnsi="Verdana" w:cs="Verdana"/>
          <w:b/>
        </w:rPr>
        <w:t xml:space="preserve">- Contratación Directa </w:t>
      </w:r>
    </w:p>
    <w:p w14:paraId="6F2C4B0D" w14:textId="63081A4E" w:rsidR="00C84596" w:rsidRPr="006D4D7F" w:rsidRDefault="00C84596" w:rsidP="004D3F95">
      <w:pPr>
        <w:spacing w:after="0" w:line="240" w:lineRule="auto"/>
        <w:jc w:val="both"/>
        <w:rPr>
          <w:rFonts w:ascii="Verdana" w:eastAsia="Verdana" w:hAnsi="Verdana" w:cs="Verdana"/>
          <w:sz w:val="20"/>
        </w:rPr>
      </w:pPr>
    </w:p>
    <w:p w14:paraId="651D24E6" w14:textId="77777777" w:rsidR="006D4D7F" w:rsidRPr="006D4D7F" w:rsidRDefault="006D4D7F" w:rsidP="004D3F95">
      <w:pPr>
        <w:spacing w:after="0" w:line="240" w:lineRule="auto"/>
        <w:jc w:val="both"/>
        <w:rPr>
          <w:rFonts w:ascii="Verdana" w:eastAsia="Verdana" w:hAnsi="Verdana" w:cs="Verdana"/>
          <w:sz w:val="20"/>
        </w:rPr>
      </w:pPr>
      <w:r w:rsidRPr="006D4D7F">
        <w:rPr>
          <w:rFonts w:ascii="Verdana" w:eastAsia="Verdana" w:hAnsi="Verdana" w:cs="Verdana"/>
          <w:sz w:val="20"/>
        </w:rPr>
        <w:t>En contraste, cuando la adquisición de un bien se realiza mediante el procedimiento de expropiación administrativa, no se configura la celebración de un contrato, pues se trata de un acto administrativo sustentado en motivos de utilidad pública o interés social y en condiciones de urgencia previamente definidas por la ley. En este escenario, la transferencia de la propiedad se produce por decisión administrativa y no por acuerdo de voluntades, lo que implica que no se materializan la prohibición de contratación prevista en el artículo 33 de la Ley de Garantías Electorales. En consecuencia, la expropiación administrativa se mantiene como un mecanismo válido y procedente incluso durante el período de restricciones electorales, dado que su naturaleza jurídica la excluye de las limitaciones aplicables a los contratos estatales.</w:t>
      </w:r>
    </w:p>
    <w:p w14:paraId="48E6047E" w14:textId="77777777" w:rsidR="006D4D7F" w:rsidRPr="00C84596" w:rsidRDefault="006D4D7F" w:rsidP="004D3F95">
      <w:pPr>
        <w:spacing w:after="0" w:line="240" w:lineRule="auto"/>
        <w:jc w:val="both"/>
        <w:rPr>
          <w:rFonts w:ascii="Verdana" w:eastAsia="Verdana" w:hAnsi="Verdana" w:cs="Verdana"/>
          <w:b/>
        </w:rPr>
      </w:pPr>
    </w:p>
    <w:p w14:paraId="4B0E4128" w14:textId="77777777" w:rsidR="00C84596" w:rsidRPr="00C84596" w:rsidRDefault="00C84596" w:rsidP="004D3F95">
      <w:pPr>
        <w:spacing w:after="0" w:line="240" w:lineRule="auto"/>
        <w:jc w:val="both"/>
        <w:rPr>
          <w:rFonts w:ascii="Verdana" w:eastAsia="Verdana" w:hAnsi="Verdana" w:cs="Verdana"/>
          <w:b/>
        </w:rPr>
      </w:pPr>
      <w:r w:rsidRPr="00C84596">
        <w:rPr>
          <w:rFonts w:ascii="Verdana" w:eastAsia="Verdana" w:hAnsi="Verdana" w:cs="Verdana"/>
          <w:b/>
        </w:rPr>
        <w:t xml:space="preserve">NEGOCIACIÓN DIRECTA – Voluntaria – Servidumbre – Procedimiento –Servicios Públicos </w:t>
      </w:r>
    </w:p>
    <w:p w14:paraId="1452C8B9" w14:textId="3E50EE97" w:rsidR="00C84596" w:rsidRPr="006D4D7F" w:rsidRDefault="00C84596" w:rsidP="004D3F95">
      <w:pPr>
        <w:spacing w:after="0" w:line="240" w:lineRule="auto"/>
        <w:jc w:val="both"/>
        <w:rPr>
          <w:rFonts w:ascii="Verdana" w:eastAsia="Verdana" w:hAnsi="Verdana" w:cs="Verdana"/>
          <w:sz w:val="20"/>
        </w:rPr>
      </w:pPr>
    </w:p>
    <w:p w14:paraId="11C57971" w14:textId="77777777" w:rsidR="006D4D7F" w:rsidRDefault="006D4D7F" w:rsidP="004D3F95">
      <w:pPr>
        <w:spacing w:after="0" w:line="240" w:lineRule="auto"/>
        <w:jc w:val="both"/>
        <w:rPr>
          <w:rFonts w:ascii="Verdana" w:eastAsia="Verdana" w:hAnsi="Verdana" w:cs="Verdana"/>
          <w:sz w:val="20"/>
        </w:rPr>
      </w:pPr>
      <w:r w:rsidRPr="006D4D7F">
        <w:rPr>
          <w:rFonts w:ascii="Verdana" w:eastAsia="Verdana" w:hAnsi="Verdana" w:cs="Verdana"/>
          <w:sz w:val="20"/>
        </w:rPr>
        <w:t xml:space="preserve">El artículo desarrolla de manera detallada la </w:t>
      </w:r>
      <w:r w:rsidRPr="006D4D7F">
        <w:rPr>
          <w:rFonts w:ascii="Verdana" w:eastAsia="Verdana" w:hAnsi="Verdana" w:cs="Verdana"/>
          <w:bCs/>
          <w:sz w:val="20"/>
        </w:rPr>
        <w:t>etapa de negociación directa</w:t>
      </w:r>
      <w:r w:rsidRPr="006D4D7F">
        <w:rPr>
          <w:rFonts w:ascii="Verdana" w:eastAsia="Verdana" w:hAnsi="Verdana" w:cs="Verdana"/>
          <w:sz w:val="20"/>
        </w:rPr>
        <w:t xml:space="preserve"> prevista, definiendo el momento exacto en el que inicia el plazo máximo de treinta días y las reglas que deben seguirse. Dicho término empieza a contarse desde el día siguiente a aquel en que el propietario, poseedor inscrito u otro titular del derecho real reciba la comunicación oficial mediante la cual la autoridad presenta la oferta de servidumbre. Esta comunicación debe ajustarse a las normas del procedimiento administrativo establecidas en la Ley 1437 de 2011. La oferta debe expresar la necesidad de constituir la servidumbre por mutuo acuerdo e incluir información precisa del inmueble afectado, como su identificación, linderos, área, alcance de la afectación (total o parcial), duración de la servidumbre y el precio ofrecido. Además, debe anexarse el avalúo comercial </w:t>
      </w:r>
      <w:r w:rsidRPr="006D4D7F">
        <w:rPr>
          <w:rFonts w:ascii="Verdana" w:eastAsia="Verdana" w:hAnsi="Verdana" w:cs="Verdana"/>
          <w:sz w:val="20"/>
        </w:rPr>
        <w:lastRenderedPageBreak/>
        <w:t>correspondiente y, cuando sea necesario, el valor de las indemnizaciones por los perjuicios ocasionados al patrimonio del particular.</w:t>
      </w:r>
    </w:p>
    <w:p w14:paraId="0C324FE0" w14:textId="77777777" w:rsidR="006D4D7F" w:rsidRDefault="006D4D7F" w:rsidP="004D3F95">
      <w:pPr>
        <w:spacing w:after="0" w:line="240" w:lineRule="auto"/>
        <w:jc w:val="both"/>
        <w:rPr>
          <w:rFonts w:ascii="Verdana" w:eastAsia="Verdana" w:hAnsi="Verdana" w:cs="Verdana"/>
          <w:sz w:val="20"/>
        </w:rPr>
      </w:pPr>
    </w:p>
    <w:p w14:paraId="3BE9065B" w14:textId="219C81F5" w:rsidR="006D4D7F" w:rsidRPr="006D4D7F" w:rsidRDefault="006D4D7F" w:rsidP="004D3F95">
      <w:pPr>
        <w:spacing w:after="0" w:line="240" w:lineRule="auto"/>
        <w:jc w:val="both"/>
        <w:rPr>
          <w:rFonts w:ascii="Verdana" w:eastAsia="Verdana" w:hAnsi="Verdana" w:cs="Verdana"/>
          <w:sz w:val="20"/>
        </w:rPr>
      </w:pPr>
      <w:r w:rsidRPr="006D4D7F">
        <w:rPr>
          <w:rFonts w:ascii="Verdana" w:eastAsia="Verdana" w:hAnsi="Verdana" w:cs="Verdana"/>
          <w:sz w:val="20"/>
        </w:rPr>
        <w:t>Durante el plazo de los treinta días, el titular del inmueble puede aceptar la oferta, rechazarla o formular una contraoferta, lo cual se considera una manifestación válida de interés en negociar. Si se llega a un acuerdo, las partes deben formalizar la servidumbre mediante escritura pública, que debe inscribirse en la Oficina de Registro de Instrumentos Públicos correspondiente, protocolizando todos los documentos relacionados con la negociación. En cambio, si no hay acuerdo, si la oferta es rechazada, si existe silencio del afectado, o si este no concurre a firmar la escritura en el plazo pactado, se entiende fracasada la negociación directa y la autoridad queda habilitada para imponer la servidumbre por vía administrativa. Finalmente, el artículo señala que el avalúo debe realizarse por el IGAC, la autoridad catastral competente o por peritos privados autorizados, siguiendo la metodología oficial, y que dicho avalúo tiene una vigencia máxima de un año, garantizando así criterios técnicos y actualizados en la determinación del precio y las indemnizaciones.</w:t>
      </w:r>
    </w:p>
    <w:p w14:paraId="070604D4" w14:textId="77777777" w:rsidR="006D4D7F" w:rsidRDefault="006D4D7F" w:rsidP="004D3F95">
      <w:pPr>
        <w:spacing w:after="0" w:line="240" w:lineRule="auto"/>
        <w:jc w:val="both"/>
        <w:rPr>
          <w:rFonts w:ascii="Verdana" w:eastAsia="Verdana" w:hAnsi="Verdana" w:cs="Verdana"/>
          <w:sz w:val="20"/>
        </w:rPr>
      </w:pPr>
    </w:p>
    <w:p w14:paraId="75A5A5A6" w14:textId="66CDFA3E" w:rsidR="006D4D7F" w:rsidRPr="006D4D7F" w:rsidRDefault="006D4D7F" w:rsidP="004D3F95">
      <w:pPr>
        <w:spacing w:after="0" w:line="240" w:lineRule="auto"/>
        <w:jc w:val="both"/>
        <w:rPr>
          <w:rFonts w:ascii="Verdana" w:eastAsia="Verdana" w:hAnsi="Verdana" w:cs="Verdana"/>
          <w:sz w:val="20"/>
        </w:rPr>
      </w:pPr>
      <w:r w:rsidRPr="006D4D7F">
        <w:rPr>
          <w:rFonts w:ascii="Verdana" w:eastAsia="Verdana" w:hAnsi="Verdana" w:cs="Verdana"/>
          <w:sz w:val="20"/>
        </w:rPr>
        <w:t xml:space="preserve">En relación con la constitución de una servidumbre en proyectos de infraestructura de </w:t>
      </w:r>
      <w:r w:rsidRPr="006D4D7F">
        <w:rPr>
          <w:rFonts w:ascii="Verdana" w:eastAsia="Verdana" w:hAnsi="Verdana" w:cs="Verdana"/>
          <w:bCs/>
          <w:sz w:val="20"/>
        </w:rPr>
        <w:t>servicios públicos domiciliarios</w:t>
      </w:r>
      <w:r w:rsidRPr="006D4D7F">
        <w:rPr>
          <w:rFonts w:ascii="Verdana" w:eastAsia="Verdana" w:hAnsi="Verdana" w:cs="Verdana"/>
          <w:sz w:val="20"/>
        </w:rPr>
        <w:t xml:space="preserve">, resulta pertinente tener en cuenta que el </w:t>
      </w:r>
      <w:r w:rsidRPr="006D4D7F">
        <w:rPr>
          <w:rFonts w:ascii="Verdana" w:eastAsia="Verdana" w:hAnsi="Verdana" w:cs="Verdana"/>
          <w:bCs/>
          <w:sz w:val="20"/>
        </w:rPr>
        <w:t>contrato de servidumbre</w:t>
      </w:r>
      <w:r w:rsidRPr="006D4D7F">
        <w:rPr>
          <w:rFonts w:ascii="Verdana" w:eastAsia="Verdana" w:hAnsi="Verdana" w:cs="Verdana"/>
          <w:sz w:val="20"/>
        </w:rPr>
        <w:t xml:space="preserve"> está definido en el artículo 879 del Código Civil: […] Servidumbre predial o simple servidumbre, es un gravamen impuesto sobre un predio, en utilidad de otro predio de distinto dueño. Asimismo, de conformidad con lo dispuesto en el </w:t>
      </w:r>
      <w:r w:rsidRPr="006D4D7F">
        <w:rPr>
          <w:rFonts w:ascii="Verdana" w:eastAsia="Verdana" w:hAnsi="Verdana" w:cs="Verdana"/>
          <w:bCs/>
          <w:sz w:val="20"/>
        </w:rPr>
        <w:t>artículo 923 del Código Civil</w:t>
      </w:r>
      <w:r w:rsidRPr="006D4D7F">
        <w:rPr>
          <w:rFonts w:ascii="Verdana" w:eastAsia="Verdana" w:hAnsi="Verdana" w:cs="Verdana"/>
          <w:sz w:val="20"/>
        </w:rPr>
        <w:t xml:space="preserve">, relativo a la </w:t>
      </w:r>
      <w:r w:rsidRPr="006D4D7F">
        <w:rPr>
          <w:rFonts w:ascii="Verdana" w:eastAsia="Verdana" w:hAnsi="Verdana" w:cs="Verdana"/>
          <w:bCs/>
          <w:sz w:val="20"/>
        </w:rPr>
        <w:t>servidumbre de acueducto</w:t>
      </w:r>
      <w:r w:rsidRPr="006D4D7F">
        <w:rPr>
          <w:rFonts w:ascii="Verdana" w:eastAsia="Verdana" w:hAnsi="Verdana" w:cs="Verdana"/>
          <w:sz w:val="20"/>
        </w:rPr>
        <w:t>, se establece que el propietario del predio sirviente tiene derecho: “[…] se le pague el precio de todo el terreno que fuere ocupado por el acueducto; el de un espacio a cada uno de los costados, que no bajará de un metro de anchura en toda la extensión de su curso, y podrá ser mayor por convenio de las partes, o por disposición del juez, cuando las circunstancias lo exigieren; y un diez por ciento más sobre la suma total. Tendrá, además, derecho para que se le indemnice de todo perjuicio ocasionado por la construcción del acueducto y por sus filtraciones y derrames que puedan imputarse a defectos de construcción”.</w:t>
      </w:r>
    </w:p>
    <w:p w14:paraId="41DDECA6" w14:textId="77777777" w:rsidR="006D4D7F" w:rsidRPr="00C84596" w:rsidRDefault="006D4D7F" w:rsidP="004D3F95">
      <w:pPr>
        <w:spacing w:after="0" w:line="240" w:lineRule="auto"/>
        <w:jc w:val="both"/>
        <w:rPr>
          <w:rFonts w:ascii="Verdana" w:eastAsia="Verdana" w:hAnsi="Verdana" w:cs="Verdana"/>
          <w:b/>
        </w:rPr>
      </w:pPr>
    </w:p>
    <w:p w14:paraId="472E6C26" w14:textId="5A1A8955" w:rsidR="00C84596" w:rsidRPr="00C84596" w:rsidRDefault="00C84596" w:rsidP="004D3F95">
      <w:pPr>
        <w:spacing w:after="0" w:line="240" w:lineRule="auto"/>
        <w:jc w:val="both"/>
        <w:rPr>
          <w:rFonts w:ascii="Verdana" w:eastAsia="Verdana" w:hAnsi="Verdana" w:cs="Verdana"/>
          <w:b/>
        </w:rPr>
      </w:pPr>
      <w:r w:rsidRPr="00C84596">
        <w:rPr>
          <w:rFonts w:ascii="Verdana" w:eastAsia="Verdana" w:hAnsi="Verdana" w:cs="Verdana"/>
          <w:b/>
        </w:rPr>
        <w:t>NEGOCIACIÓN DIRECTA – Servidumbre – Artículo 33 – Contratación Directa – Ley de Garantías</w:t>
      </w:r>
    </w:p>
    <w:p w14:paraId="2B725F38" w14:textId="1E412129" w:rsidR="00C84596" w:rsidRPr="004D3F95" w:rsidRDefault="00C84596" w:rsidP="004D3F95">
      <w:pPr>
        <w:spacing w:after="0" w:line="240" w:lineRule="auto"/>
        <w:jc w:val="both"/>
        <w:rPr>
          <w:rFonts w:ascii="Verdana" w:eastAsia="Verdana" w:hAnsi="Verdana" w:cs="Verdana"/>
          <w:sz w:val="20"/>
        </w:rPr>
      </w:pPr>
    </w:p>
    <w:p w14:paraId="0AEC9F64" w14:textId="77777777" w:rsidR="004D3F95" w:rsidRDefault="004D3F95" w:rsidP="004D3F95">
      <w:pPr>
        <w:spacing w:after="0" w:line="240" w:lineRule="auto"/>
        <w:jc w:val="both"/>
        <w:rPr>
          <w:rFonts w:ascii="Verdana" w:eastAsia="Verdana" w:hAnsi="Verdana" w:cs="Verdana"/>
          <w:sz w:val="20"/>
        </w:rPr>
      </w:pPr>
      <w:r w:rsidRPr="004D3F95">
        <w:rPr>
          <w:rFonts w:ascii="Verdana" w:eastAsia="Verdana" w:hAnsi="Verdana" w:cs="Verdana"/>
          <w:sz w:val="20"/>
        </w:rPr>
        <w:t xml:space="preserve">A partir de la definición legal del </w:t>
      </w:r>
      <w:r w:rsidRPr="004D3F95">
        <w:rPr>
          <w:rFonts w:ascii="Verdana" w:eastAsia="Verdana" w:hAnsi="Verdana" w:cs="Verdana"/>
          <w:bCs/>
          <w:sz w:val="20"/>
        </w:rPr>
        <w:t>contrato de servidumbre</w:t>
      </w:r>
      <w:r w:rsidRPr="004D3F95">
        <w:rPr>
          <w:rFonts w:ascii="Verdana" w:eastAsia="Verdana" w:hAnsi="Verdana" w:cs="Verdana"/>
          <w:sz w:val="20"/>
        </w:rPr>
        <w:t xml:space="preserve"> y del procedimiento de </w:t>
      </w:r>
      <w:r w:rsidRPr="004D3F95">
        <w:rPr>
          <w:rFonts w:ascii="Verdana" w:eastAsia="Verdana" w:hAnsi="Verdana" w:cs="Verdana"/>
          <w:bCs/>
          <w:sz w:val="20"/>
        </w:rPr>
        <w:t>enajenación voluntaria o negociación directa</w:t>
      </w:r>
      <w:r w:rsidRPr="004D3F95">
        <w:rPr>
          <w:rFonts w:ascii="Verdana" w:eastAsia="Verdana" w:hAnsi="Verdana" w:cs="Verdana"/>
          <w:sz w:val="20"/>
        </w:rPr>
        <w:t xml:space="preserve"> previsto en el artículo 38 de la Ley 1682 de 2013, desarrollado por el artículo 2 del Decreto 738 de 2012, se enmarca en un régimen especial orientado a facilitar la ejecución de proyectos de infraestructura. En este contexto, se concluye que existe una </w:t>
      </w:r>
      <w:r w:rsidRPr="004D3F95">
        <w:rPr>
          <w:rFonts w:ascii="Verdana" w:eastAsia="Verdana" w:hAnsi="Verdana" w:cs="Verdana"/>
          <w:bCs/>
          <w:sz w:val="20"/>
        </w:rPr>
        <w:t xml:space="preserve">limitación a la aplicación del artículo 33 de la Ley 996 de 2005 </w:t>
      </w:r>
      <w:r w:rsidRPr="004D3F95">
        <w:rPr>
          <w:rFonts w:ascii="Verdana" w:eastAsia="Verdana" w:hAnsi="Verdana" w:cs="Verdana"/>
          <w:sz w:val="20"/>
        </w:rPr>
        <w:t>respecto de la suscripción del contrato de servidumbre, en la medida en que este sí constituye un contrato bajo un procedimiento directo, esto es, sin pluralidad de oferentes, entre la entidad pública y el particular.</w:t>
      </w:r>
    </w:p>
    <w:p w14:paraId="0B92750C" w14:textId="77777777" w:rsidR="004D3F95" w:rsidRDefault="004D3F95" w:rsidP="004D3F95">
      <w:pPr>
        <w:spacing w:after="0" w:line="240" w:lineRule="auto"/>
        <w:jc w:val="both"/>
        <w:rPr>
          <w:rFonts w:ascii="Verdana" w:eastAsia="Verdana" w:hAnsi="Verdana" w:cs="Verdana"/>
          <w:sz w:val="20"/>
        </w:rPr>
      </w:pPr>
    </w:p>
    <w:p w14:paraId="12A626E3" w14:textId="20F9006F" w:rsidR="004D3F95" w:rsidRPr="004D3F95" w:rsidRDefault="004D3F95" w:rsidP="004D3F95">
      <w:pPr>
        <w:spacing w:after="0" w:line="240" w:lineRule="auto"/>
        <w:jc w:val="both"/>
        <w:rPr>
          <w:rFonts w:ascii="Verdana" w:eastAsia="Verdana" w:hAnsi="Verdana" w:cs="Verdana"/>
          <w:sz w:val="20"/>
        </w:rPr>
      </w:pPr>
      <w:r w:rsidRPr="004D3F95">
        <w:rPr>
          <w:rFonts w:ascii="Verdana" w:eastAsia="Verdana" w:hAnsi="Verdana" w:cs="Verdana"/>
          <w:sz w:val="20"/>
        </w:rPr>
        <w:t xml:space="preserve">No obstante, las actuaciones previas e instrumentales al acuerdo definitivo —tales como la elaboración y obtención de avalúos, la formulación de la oferta, el desarrollo de las </w:t>
      </w:r>
      <w:r w:rsidRPr="004D3F95">
        <w:rPr>
          <w:rFonts w:ascii="Verdana" w:eastAsia="Verdana" w:hAnsi="Verdana" w:cs="Verdana"/>
          <w:sz w:val="20"/>
        </w:rPr>
        <w:lastRenderedPageBreak/>
        <w:t xml:space="preserve">negociaciones preliminares y, en general, todas aquellas actuaciones administrativas que no comporten por sí mismas la celebración de un contrato— pueden adelantarse válidamente incluso durante el período de restricción electoral. Ello, en tanto estas actuaciones no configuran un supuesto de </w:t>
      </w:r>
      <w:r w:rsidRPr="004D3F95">
        <w:rPr>
          <w:rFonts w:ascii="Verdana" w:eastAsia="Verdana" w:hAnsi="Verdana" w:cs="Verdana"/>
          <w:bCs/>
          <w:sz w:val="20"/>
        </w:rPr>
        <w:t>contratación directa en sentido estricto</w:t>
      </w:r>
      <w:r w:rsidRPr="004D3F95">
        <w:rPr>
          <w:rFonts w:ascii="Verdana" w:eastAsia="Verdana" w:hAnsi="Verdana" w:cs="Verdana"/>
          <w:sz w:val="20"/>
        </w:rPr>
        <w:t>, sino que corresponden al ejercicio de competencias, necesarias para la eventual constitución de la servidumbre.</w:t>
      </w:r>
    </w:p>
    <w:p w14:paraId="6741F8E6" w14:textId="77777777" w:rsidR="004D3F95" w:rsidRDefault="004D3F95" w:rsidP="004D3F95">
      <w:pPr>
        <w:spacing w:after="0" w:line="240" w:lineRule="auto"/>
        <w:jc w:val="both"/>
        <w:rPr>
          <w:rFonts w:ascii="Verdana" w:eastAsia="Verdana" w:hAnsi="Verdana" w:cs="Verdana"/>
          <w:sz w:val="20"/>
        </w:rPr>
      </w:pPr>
    </w:p>
    <w:p w14:paraId="0B2E984D" w14:textId="66FF3285" w:rsidR="004D3F95" w:rsidRPr="004D3F95" w:rsidRDefault="004D3F95" w:rsidP="004D3F95">
      <w:pPr>
        <w:spacing w:after="0" w:line="240" w:lineRule="auto"/>
        <w:jc w:val="both"/>
        <w:rPr>
          <w:rFonts w:ascii="Verdana" w:eastAsia="Verdana" w:hAnsi="Verdana" w:cs="Verdana"/>
          <w:sz w:val="20"/>
        </w:rPr>
      </w:pPr>
      <w:r w:rsidRPr="004D3F95">
        <w:rPr>
          <w:rFonts w:ascii="Verdana" w:eastAsia="Verdana" w:hAnsi="Verdana" w:cs="Verdana"/>
          <w:sz w:val="20"/>
        </w:rPr>
        <w:t>Ahora bien, en el evento de que, con posterioridad a la aceptación de la oferta y antes de la escrituración, se celebren</w:t>
      </w:r>
      <w:r w:rsidRPr="004D3F95">
        <w:rPr>
          <w:rFonts w:ascii="Verdana" w:eastAsia="Verdana" w:hAnsi="Verdana" w:cs="Verdana"/>
          <w:bCs/>
          <w:sz w:val="20"/>
        </w:rPr>
        <w:t xml:space="preserve"> cualquier tipo contractual</w:t>
      </w:r>
      <w:r w:rsidRPr="004D3F95">
        <w:rPr>
          <w:rFonts w:ascii="Verdana" w:eastAsia="Verdana" w:hAnsi="Verdana" w:cs="Verdana"/>
          <w:sz w:val="20"/>
        </w:rPr>
        <w:t xml:space="preserve">, como podría ser un </w:t>
      </w:r>
      <w:r w:rsidRPr="004D3F95">
        <w:rPr>
          <w:rFonts w:ascii="Verdana" w:eastAsia="Verdana" w:hAnsi="Verdana" w:cs="Verdana"/>
          <w:bCs/>
          <w:sz w:val="20"/>
        </w:rPr>
        <w:t>contrato de transacción</w:t>
      </w:r>
      <w:r w:rsidRPr="004D3F95">
        <w:rPr>
          <w:rFonts w:ascii="Verdana" w:eastAsia="Verdana" w:hAnsi="Verdana" w:cs="Verdana"/>
          <w:sz w:val="20"/>
        </w:rPr>
        <w:t>, debe analizarse cuidadosamente el procedimiento para su aplicación. En estos casos, sí podría configurarse la restricción prevista en el artículo 33 de la Ley 996 de 2005, siempre que se trate de un contrato suscrito de forma directa. En todo caso, dicha restricción no es aplicable, en cambio, frente a actuaciones administrativas que, aun siendo relevantes dentro del procedimiento, no generan una relación contractual entre la entidad y el particular.</w:t>
      </w:r>
    </w:p>
    <w:p w14:paraId="43A1DC30" w14:textId="15D8AA9A" w:rsidR="004D3F95" w:rsidRDefault="004D3F95" w:rsidP="00A6584F">
      <w:pPr>
        <w:spacing w:after="0"/>
        <w:rPr>
          <w:rFonts w:ascii="Verdana" w:eastAsia="Verdana" w:hAnsi="Verdana" w:cs="Verdana"/>
        </w:rPr>
      </w:pPr>
    </w:p>
    <w:p w14:paraId="34159170" w14:textId="35B0FF71" w:rsidR="004D3F95" w:rsidRDefault="004D3F95" w:rsidP="00A6584F">
      <w:pPr>
        <w:spacing w:after="0"/>
        <w:rPr>
          <w:rFonts w:ascii="Verdana" w:eastAsia="Verdana" w:hAnsi="Verdana" w:cs="Verdana"/>
        </w:rPr>
      </w:pPr>
    </w:p>
    <w:p w14:paraId="62445436" w14:textId="590A279F" w:rsidR="004D3F95" w:rsidRDefault="004D3F95" w:rsidP="00A6584F">
      <w:pPr>
        <w:spacing w:after="0"/>
        <w:rPr>
          <w:rFonts w:ascii="Verdana" w:eastAsia="Verdana" w:hAnsi="Verdana" w:cs="Verdana"/>
        </w:rPr>
      </w:pPr>
    </w:p>
    <w:p w14:paraId="759EF020" w14:textId="2E8568FD" w:rsidR="004D3F95" w:rsidRDefault="004D3F95" w:rsidP="00A6584F">
      <w:pPr>
        <w:spacing w:after="0"/>
        <w:rPr>
          <w:rFonts w:ascii="Verdana" w:eastAsia="Verdana" w:hAnsi="Verdana" w:cs="Verdana"/>
        </w:rPr>
      </w:pPr>
    </w:p>
    <w:p w14:paraId="4F197053" w14:textId="33B2D40E" w:rsidR="004D3F95" w:rsidRDefault="004D3F95" w:rsidP="00A6584F">
      <w:pPr>
        <w:spacing w:after="0"/>
        <w:rPr>
          <w:rFonts w:ascii="Verdana" w:eastAsia="Verdana" w:hAnsi="Verdana" w:cs="Verdana"/>
        </w:rPr>
      </w:pPr>
    </w:p>
    <w:p w14:paraId="6E7DDA99" w14:textId="3541DE57" w:rsidR="004D3F95" w:rsidRDefault="004D3F95" w:rsidP="00A6584F">
      <w:pPr>
        <w:spacing w:after="0"/>
        <w:rPr>
          <w:rFonts w:ascii="Verdana" w:eastAsia="Verdana" w:hAnsi="Verdana" w:cs="Verdana"/>
        </w:rPr>
      </w:pPr>
    </w:p>
    <w:p w14:paraId="3AFB879C" w14:textId="23C486B4" w:rsidR="004D3F95" w:rsidRDefault="004D3F95" w:rsidP="00A6584F">
      <w:pPr>
        <w:spacing w:after="0"/>
        <w:rPr>
          <w:rFonts w:ascii="Verdana" w:eastAsia="Verdana" w:hAnsi="Verdana" w:cs="Verdana"/>
        </w:rPr>
      </w:pPr>
    </w:p>
    <w:p w14:paraId="45707EAF" w14:textId="212BE5E5" w:rsidR="004D3F95" w:rsidRDefault="004D3F95" w:rsidP="00A6584F">
      <w:pPr>
        <w:spacing w:after="0"/>
        <w:rPr>
          <w:rFonts w:ascii="Verdana" w:eastAsia="Verdana" w:hAnsi="Verdana" w:cs="Verdana"/>
        </w:rPr>
      </w:pPr>
    </w:p>
    <w:p w14:paraId="2C1F41F5" w14:textId="0FE3D4B4" w:rsidR="004D3F95" w:rsidRDefault="004D3F95" w:rsidP="00A6584F">
      <w:pPr>
        <w:spacing w:after="0"/>
        <w:rPr>
          <w:rFonts w:ascii="Verdana" w:eastAsia="Verdana" w:hAnsi="Verdana" w:cs="Verdana"/>
        </w:rPr>
      </w:pPr>
    </w:p>
    <w:p w14:paraId="3263A421" w14:textId="37358C70" w:rsidR="004D3F95" w:rsidRDefault="004D3F95" w:rsidP="00A6584F">
      <w:pPr>
        <w:spacing w:after="0"/>
        <w:rPr>
          <w:rFonts w:ascii="Verdana" w:eastAsia="Verdana" w:hAnsi="Verdana" w:cs="Verdana"/>
        </w:rPr>
      </w:pPr>
    </w:p>
    <w:p w14:paraId="1C597610" w14:textId="77FCE9EB" w:rsidR="004D3F95" w:rsidRDefault="004D3F95" w:rsidP="00A6584F">
      <w:pPr>
        <w:spacing w:after="0"/>
        <w:rPr>
          <w:rFonts w:ascii="Verdana" w:eastAsia="Verdana" w:hAnsi="Verdana" w:cs="Verdana"/>
        </w:rPr>
      </w:pPr>
    </w:p>
    <w:p w14:paraId="3CA6C45F" w14:textId="1EDB854F" w:rsidR="004D3F95" w:rsidRDefault="004D3F95" w:rsidP="00A6584F">
      <w:pPr>
        <w:spacing w:after="0"/>
        <w:rPr>
          <w:rFonts w:ascii="Verdana" w:eastAsia="Verdana" w:hAnsi="Verdana" w:cs="Verdana"/>
        </w:rPr>
      </w:pPr>
    </w:p>
    <w:p w14:paraId="6695DA33" w14:textId="6773C27C" w:rsidR="004D3F95" w:rsidRDefault="004D3F95" w:rsidP="00A6584F">
      <w:pPr>
        <w:spacing w:after="0"/>
        <w:rPr>
          <w:rFonts w:ascii="Verdana" w:eastAsia="Verdana" w:hAnsi="Verdana" w:cs="Verdana"/>
        </w:rPr>
      </w:pPr>
    </w:p>
    <w:p w14:paraId="5EF901B0" w14:textId="2C8817EA" w:rsidR="004D3F95" w:rsidRDefault="004D3F95" w:rsidP="00A6584F">
      <w:pPr>
        <w:spacing w:after="0"/>
        <w:rPr>
          <w:rFonts w:ascii="Verdana" w:eastAsia="Verdana" w:hAnsi="Verdana" w:cs="Verdana"/>
        </w:rPr>
      </w:pPr>
    </w:p>
    <w:p w14:paraId="7C0A3DE7" w14:textId="0027B05F" w:rsidR="004D3F95" w:rsidRDefault="004D3F95" w:rsidP="00A6584F">
      <w:pPr>
        <w:spacing w:after="0"/>
        <w:rPr>
          <w:rFonts w:ascii="Verdana" w:eastAsia="Verdana" w:hAnsi="Verdana" w:cs="Verdana"/>
        </w:rPr>
      </w:pPr>
    </w:p>
    <w:p w14:paraId="0DA5CA43" w14:textId="2F93BC1B" w:rsidR="004D3F95" w:rsidRDefault="004D3F95" w:rsidP="00A6584F">
      <w:pPr>
        <w:spacing w:after="0"/>
        <w:rPr>
          <w:rFonts w:ascii="Verdana" w:eastAsia="Verdana" w:hAnsi="Verdana" w:cs="Verdana"/>
        </w:rPr>
      </w:pPr>
    </w:p>
    <w:p w14:paraId="51A43492" w14:textId="3BA2BD04" w:rsidR="004D3F95" w:rsidRDefault="004D3F95" w:rsidP="00A6584F">
      <w:pPr>
        <w:spacing w:after="0"/>
        <w:rPr>
          <w:rFonts w:ascii="Verdana" w:eastAsia="Verdana" w:hAnsi="Verdana" w:cs="Verdana"/>
        </w:rPr>
      </w:pPr>
    </w:p>
    <w:p w14:paraId="6D3A0CC8" w14:textId="62B75AF5" w:rsidR="004D3F95" w:rsidRDefault="004D3F95" w:rsidP="00A6584F">
      <w:pPr>
        <w:spacing w:after="0"/>
        <w:rPr>
          <w:rFonts w:ascii="Verdana" w:eastAsia="Verdana" w:hAnsi="Verdana" w:cs="Verdana"/>
        </w:rPr>
      </w:pPr>
    </w:p>
    <w:p w14:paraId="2F295F18" w14:textId="4FD63EC5" w:rsidR="004D3F95" w:rsidRDefault="004D3F95" w:rsidP="00A6584F">
      <w:pPr>
        <w:spacing w:after="0"/>
        <w:rPr>
          <w:rFonts w:ascii="Verdana" w:eastAsia="Verdana" w:hAnsi="Verdana" w:cs="Verdana"/>
        </w:rPr>
      </w:pPr>
    </w:p>
    <w:p w14:paraId="6932E135" w14:textId="7155F1B4" w:rsidR="004D3F95" w:rsidRDefault="004D3F95" w:rsidP="00A6584F">
      <w:pPr>
        <w:spacing w:after="0"/>
        <w:rPr>
          <w:rFonts w:ascii="Verdana" w:eastAsia="Verdana" w:hAnsi="Verdana" w:cs="Verdana"/>
        </w:rPr>
      </w:pPr>
    </w:p>
    <w:p w14:paraId="0926761D" w14:textId="178A8856" w:rsidR="004D3F95" w:rsidRDefault="004D3F95" w:rsidP="00A6584F">
      <w:pPr>
        <w:spacing w:after="0"/>
        <w:rPr>
          <w:rFonts w:ascii="Verdana" w:eastAsia="Verdana" w:hAnsi="Verdana" w:cs="Verdana"/>
        </w:rPr>
      </w:pPr>
    </w:p>
    <w:p w14:paraId="389D01DE" w14:textId="4E530B73" w:rsidR="004D3F95" w:rsidRDefault="004D3F95" w:rsidP="00A6584F">
      <w:pPr>
        <w:spacing w:after="0"/>
        <w:rPr>
          <w:rFonts w:ascii="Verdana" w:eastAsia="Verdana" w:hAnsi="Verdana" w:cs="Verdana"/>
        </w:rPr>
      </w:pPr>
    </w:p>
    <w:p w14:paraId="62EB0F98" w14:textId="75970B6B" w:rsidR="004D3F95" w:rsidRDefault="004D3F95" w:rsidP="00A6584F">
      <w:pPr>
        <w:spacing w:after="0"/>
        <w:rPr>
          <w:rFonts w:ascii="Verdana" w:eastAsia="Verdana" w:hAnsi="Verdana" w:cs="Verdana"/>
        </w:rPr>
      </w:pPr>
    </w:p>
    <w:p w14:paraId="3E9DF3EB" w14:textId="2D8B8097" w:rsidR="004D3F95" w:rsidRDefault="004D3F95" w:rsidP="00A6584F">
      <w:pPr>
        <w:spacing w:after="0"/>
        <w:rPr>
          <w:rFonts w:ascii="Verdana" w:eastAsia="Verdana" w:hAnsi="Verdana" w:cs="Verdana"/>
        </w:rPr>
      </w:pPr>
    </w:p>
    <w:p w14:paraId="5BD0F5D3" w14:textId="77777777" w:rsidR="004D3F95" w:rsidRDefault="004D3F95" w:rsidP="00A6584F">
      <w:pPr>
        <w:spacing w:after="0"/>
        <w:rPr>
          <w:rFonts w:ascii="Verdana" w:eastAsia="Verdana" w:hAnsi="Verdana" w:cs="Verdana"/>
        </w:rPr>
      </w:pPr>
    </w:p>
    <w:p w14:paraId="49641502" w14:textId="3C693711" w:rsidR="00A6584F" w:rsidRPr="00580D2E" w:rsidRDefault="00C84596" w:rsidP="00A6584F">
      <w:pPr>
        <w:spacing w:after="0"/>
        <w:rPr>
          <w:rFonts w:ascii="Verdana" w:eastAsia="Calibri" w:hAnsi="Verdana" w:cs="Arial"/>
          <w:color w:val="000000"/>
          <w:lang w:val="es-MX"/>
        </w:rPr>
      </w:pPr>
      <w:r w:rsidRPr="00C84596">
        <w:rPr>
          <w:noProof/>
          <w:lang w:val="en-US"/>
        </w:rPr>
        <w:lastRenderedPageBreak/>
        <w:drawing>
          <wp:anchor distT="0" distB="0" distL="114300" distR="114300" simplePos="0" relativeHeight="251658240" behindDoc="0" locked="0" layoutInCell="1" allowOverlap="1" wp14:anchorId="1B83CEF3" wp14:editId="61382246">
            <wp:simplePos x="0" y="0"/>
            <wp:positionH relativeFrom="margin">
              <wp:align>right</wp:align>
            </wp:positionH>
            <wp:positionV relativeFrom="paragraph">
              <wp:posOffset>96875</wp:posOffset>
            </wp:positionV>
            <wp:extent cx="2559685" cy="71056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9685" cy="710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rPr>
        <w:t>Bogotá D.C., 24 de abril de 2026</w:t>
      </w:r>
      <w:r w:rsidR="00A6584F">
        <w:tab/>
      </w:r>
      <w:r w:rsidR="00A6584F">
        <w:br/>
      </w:r>
    </w:p>
    <w:p w14:paraId="1F86DA60" w14:textId="3CCB1AE1" w:rsidR="00A6584F" w:rsidRPr="00580D2E" w:rsidRDefault="00A6584F" w:rsidP="00A6584F">
      <w:pPr>
        <w:spacing w:after="0" w:line="240" w:lineRule="auto"/>
        <w:jc w:val="both"/>
        <w:rPr>
          <w:rFonts w:ascii="Verdana" w:eastAsia="Calibri" w:hAnsi="Verdana" w:cs="Arial"/>
          <w:color w:val="000000"/>
          <w:lang w:val="es-ES"/>
        </w:rPr>
      </w:pPr>
    </w:p>
    <w:p w14:paraId="137456E4" w14:textId="77777777" w:rsidR="00A6584F" w:rsidRPr="00580D2E" w:rsidRDefault="00A6584F" w:rsidP="00A6584F">
      <w:pPr>
        <w:spacing w:after="0" w:line="240" w:lineRule="auto"/>
        <w:jc w:val="both"/>
        <w:rPr>
          <w:rFonts w:ascii="Verdana" w:eastAsia="Calibri" w:hAnsi="Verdana" w:cs="Arial"/>
          <w:lang w:val="es-ES" w:eastAsia="es-ES"/>
        </w:rPr>
      </w:pPr>
      <w:r w:rsidRPr="00580D2E">
        <w:rPr>
          <w:rFonts w:ascii="Verdana" w:eastAsia="Calibri" w:hAnsi="Verdana" w:cs="Arial"/>
          <w:lang w:val="es-ES" w:eastAsia="es-ES"/>
        </w:rPr>
        <w:t>Señor</w:t>
      </w:r>
    </w:p>
    <w:p w14:paraId="71361D46" w14:textId="77777777" w:rsidR="00A6584F" w:rsidRPr="00580D2E" w:rsidRDefault="00A6584F" w:rsidP="00A6584F">
      <w:pPr>
        <w:spacing w:after="0" w:line="240" w:lineRule="auto"/>
        <w:rPr>
          <w:rFonts w:ascii="Verdana" w:eastAsia="Calibri" w:hAnsi="Verdana" w:cs="Arial"/>
          <w:b/>
          <w:lang w:val="es-ES" w:eastAsia="es-ES"/>
        </w:rPr>
      </w:pPr>
      <w:r w:rsidRPr="00580D2E">
        <w:rPr>
          <w:rFonts w:ascii="Verdana" w:eastAsia="Calibri" w:hAnsi="Verdana" w:cs="Arial"/>
          <w:b/>
          <w:lang w:val="es-ES" w:eastAsia="es-ES"/>
        </w:rPr>
        <w:t>José Ramiro Arias Tamayo</w:t>
      </w:r>
    </w:p>
    <w:p w14:paraId="440E0C54" w14:textId="77777777" w:rsidR="00A6584F" w:rsidRPr="00580D2E" w:rsidRDefault="00A6584F" w:rsidP="00A6584F">
      <w:pPr>
        <w:spacing w:after="0" w:line="240" w:lineRule="auto"/>
        <w:rPr>
          <w:rFonts w:ascii="Verdana" w:hAnsi="Verdana"/>
        </w:rPr>
      </w:pPr>
      <w:hyperlink r:id="rId12" w:history="1">
        <w:r w:rsidRPr="00580D2E">
          <w:rPr>
            <w:rStyle w:val="Hipervnculo"/>
            <w:rFonts w:ascii="Verdana" w:hAnsi="Verdana"/>
          </w:rPr>
          <w:t>apoyo.gestionpredial@empocaldas.com.co</w:t>
        </w:r>
      </w:hyperlink>
      <w:r w:rsidRPr="00580D2E">
        <w:rPr>
          <w:rFonts w:ascii="Verdana" w:hAnsi="Verdana"/>
        </w:rPr>
        <w:t xml:space="preserve"> </w:t>
      </w:r>
    </w:p>
    <w:p w14:paraId="69FBBCC4" w14:textId="77777777" w:rsidR="00A6584F" w:rsidRPr="00580D2E" w:rsidRDefault="00A6584F" w:rsidP="00A6584F">
      <w:pPr>
        <w:spacing w:after="0" w:line="240" w:lineRule="auto"/>
        <w:rPr>
          <w:rFonts w:ascii="Verdana" w:eastAsia="Calibri" w:hAnsi="Verdana" w:cs="Arial"/>
          <w:lang w:val="es-ES" w:eastAsia="es-ES"/>
        </w:rPr>
      </w:pPr>
      <w:r w:rsidRPr="00580D2E">
        <w:rPr>
          <w:rFonts w:ascii="Verdana" w:eastAsia="Calibri" w:hAnsi="Verdana" w:cs="Arial"/>
          <w:lang w:val="es-ES" w:eastAsia="es-ES"/>
        </w:rPr>
        <w:t>Manizales, Caldas</w:t>
      </w:r>
    </w:p>
    <w:p w14:paraId="7985ABA1" w14:textId="77777777" w:rsidR="00A6584F" w:rsidRDefault="00A6584F" w:rsidP="00A6584F">
      <w:pPr>
        <w:spacing w:after="0" w:line="240" w:lineRule="auto"/>
        <w:rPr>
          <w:rFonts w:ascii="Verdana" w:eastAsia="Calibri" w:hAnsi="Verdana" w:cs="Arial"/>
          <w:b/>
          <w:bCs/>
          <w:color w:val="000000"/>
          <w:lang w:val="es-ES_tradnl" w:eastAsia="es-ES_tradnl"/>
        </w:rPr>
      </w:pPr>
    </w:p>
    <w:p w14:paraId="18162611" w14:textId="77777777" w:rsidR="00A6584F" w:rsidRPr="00A12CB6" w:rsidRDefault="00A6584F" w:rsidP="00A6584F">
      <w:pPr>
        <w:spacing w:after="0" w:line="240" w:lineRule="auto"/>
        <w:rPr>
          <w:rFonts w:ascii="Verdana" w:eastAsia="Calibri" w:hAnsi="Verdana" w:cs="Times New Roman"/>
        </w:rPr>
      </w:pPr>
    </w:p>
    <w:p w14:paraId="24BF2747" w14:textId="77777777" w:rsidR="00A6584F" w:rsidRPr="00A12CB6" w:rsidRDefault="00A6584F" w:rsidP="00A6584F">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C- 410 de 2026</w:t>
      </w:r>
    </w:p>
    <w:p w14:paraId="5452A51C" w14:textId="77777777" w:rsidR="00A6584F" w:rsidRPr="00A12CB6" w:rsidRDefault="00A6584F" w:rsidP="00A6584F">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A6584F" w:rsidRPr="00A12CB6" w14:paraId="1761AA14" w14:textId="77777777" w:rsidTr="00572E42">
        <w:trPr>
          <w:trHeight w:val="645"/>
        </w:trPr>
        <w:tc>
          <w:tcPr>
            <w:tcW w:w="2685" w:type="dxa"/>
            <w:hideMark/>
          </w:tcPr>
          <w:p w14:paraId="0195069B" w14:textId="77777777" w:rsidR="00A6584F" w:rsidRPr="00A12CB6" w:rsidRDefault="00A6584F" w:rsidP="00572E42">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4D2B1D35" w14:textId="77777777" w:rsidR="00A6584F" w:rsidRPr="00817856" w:rsidRDefault="00A6584F" w:rsidP="00572E42">
            <w:pPr>
              <w:spacing w:line="276" w:lineRule="auto"/>
              <w:jc w:val="both"/>
              <w:rPr>
                <w:rFonts w:ascii="Verdana" w:hAnsi="Verdana" w:cs="Arial"/>
                <w:lang w:val="es-ES" w:eastAsia="es-ES_tradnl"/>
              </w:rPr>
            </w:pPr>
            <w:r w:rsidRPr="00891006">
              <w:rPr>
                <w:rFonts w:ascii="Verdana" w:hAnsi="Verdana" w:cs="Arial"/>
                <w:lang w:eastAsia="es-ES_tradnl"/>
              </w:rPr>
              <w:t xml:space="preserve">LEY DE GARANTÍAS ELECTORALES </w:t>
            </w:r>
            <w:r w:rsidRPr="00891006">
              <w:rPr>
                <w:rFonts w:ascii="Verdana" w:hAnsi="Verdana" w:cs="Arial"/>
                <w:bCs/>
                <w:lang w:eastAsia="es-ES_tradnl"/>
              </w:rPr>
              <w:t>‒</w:t>
            </w:r>
            <w:r w:rsidRPr="00891006">
              <w:rPr>
                <w:rFonts w:ascii="Verdana" w:hAnsi="Verdana" w:cs="Arial"/>
                <w:lang w:eastAsia="es-ES_tradnl"/>
              </w:rPr>
              <w:t xml:space="preserve"> Finalidad / LEY DE GARANTÍAS ELECTORALES </w:t>
            </w:r>
            <w:r w:rsidRPr="00891006">
              <w:rPr>
                <w:rFonts w:ascii="Verdana" w:hAnsi="Verdana" w:cs="Arial"/>
                <w:bCs/>
                <w:lang w:eastAsia="es-ES_tradnl"/>
              </w:rPr>
              <w:t>‒</w:t>
            </w:r>
            <w:r w:rsidRPr="00891006">
              <w:rPr>
                <w:rFonts w:ascii="Verdana" w:hAnsi="Verdana" w:cs="Arial"/>
                <w:lang w:eastAsia="es-ES_tradnl"/>
              </w:rPr>
              <w:t xml:space="preserve"> Tipos de restricciones </w:t>
            </w:r>
            <w:r w:rsidRPr="00891006">
              <w:rPr>
                <w:rFonts w:ascii="Verdana" w:hAnsi="Verdana" w:cs="Arial"/>
                <w:bCs/>
                <w:lang w:eastAsia="es-ES_tradnl"/>
              </w:rPr>
              <w:t>‒</w:t>
            </w:r>
            <w:r w:rsidRPr="00891006">
              <w:rPr>
                <w:rFonts w:ascii="Verdana" w:hAnsi="Verdana" w:cs="Arial"/>
                <w:lang w:eastAsia="es-ES_tradnl"/>
              </w:rPr>
              <w:t xml:space="preserve"> Ámbito temporal – celebración- límite / LEY DE GARANTÍAS ELECTORALES – Prohibición artículo 33 – Contratación directa – Alcance / LEY DE GARANTÍAS ELECTORALES – Prohibición del artículo 33 – Destinatarios</w:t>
            </w:r>
            <w:r>
              <w:rPr>
                <w:rFonts w:ascii="Verdana" w:hAnsi="Verdana" w:cs="Arial"/>
                <w:lang w:eastAsia="es-ES_tradnl"/>
              </w:rPr>
              <w:t xml:space="preserve"> /</w:t>
            </w:r>
            <w:r w:rsidRPr="00891006">
              <w:rPr>
                <w:rFonts w:ascii="Verdana" w:hAnsi="Verdana" w:cs="Arial"/>
                <w:lang w:eastAsia="es-ES_tradnl"/>
              </w:rPr>
              <w:t xml:space="preserve"> LEY DE GARANTÍAS ELECTORALES – Excepciones / </w:t>
            </w:r>
            <w:r>
              <w:rPr>
                <w:rFonts w:ascii="Verdana" w:hAnsi="Verdana" w:cs="Arial"/>
                <w:lang w:eastAsia="es-ES_tradnl"/>
              </w:rPr>
              <w:t>LEY DE GARANTÍAS ELECTORALES – Excepciones – Posturas de la Sala de Consulta y Servicio del Consejo de Estado /</w:t>
            </w:r>
            <w:r>
              <w:rPr>
                <w:rFonts w:ascii="Verdana" w:hAnsi="Verdana" w:cs="Arial"/>
                <w:lang w:val="es-MX" w:eastAsia="es-ES_tradnl"/>
              </w:rPr>
              <w:t xml:space="preserve"> </w:t>
            </w:r>
            <w:r w:rsidRPr="00F33CF0">
              <w:rPr>
                <w:rFonts w:ascii="Verdana" w:hAnsi="Verdana" w:cs="Arial"/>
                <w:lang w:eastAsia="es-ES_tradnl"/>
              </w:rPr>
              <w:t>ENAJENACIÓN VOLUNTARIA – Objeto – Aplicación – Ley de Garantías Electorales – Restricción- Contratación Directa /</w:t>
            </w:r>
            <w:r>
              <w:rPr>
                <w:rFonts w:ascii="Verdana" w:hAnsi="Verdana" w:cs="Arial"/>
                <w:lang w:eastAsia="es-ES_tradnl"/>
              </w:rPr>
              <w:t xml:space="preserve"> EXPROPIACIÓN ADMINISTRATIVA – No sujeción – Ley de Garantías Electorales  - Contratación Directa / NEGOCIACIÓN DIRECTA – Voluntaria – Servidumbre – Procedimiento –Servicios Públicos / NEGOCIACIÓN DIRECTA – Servidumbre – Artículo 33 – Contratación Directa – Ley de Garantías.  </w:t>
            </w:r>
          </w:p>
        </w:tc>
        <w:tc>
          <w:tcPr>
            <w:tcW w:w="6237" w:type="dxa"/>
          </w:tcPr>
          <w:p w14:paraId="0A0C5D3D" w14:textId="77777777" w:rsidR="00A6584F" w:rsidRPr="00A12CB6" w:rsidRDefault="00A6584F" w:rsidP="00572E42">
            <w:pPr>
              <w:spacing w:line="256" w:lineRule="auto"/>
              <w:rPr>
                <w:rFonts w:ascii="Verdana" w:hAnsi="Verdana"/>
              </w:rPr>
            </w:pPr>
          </w:p>
        </w:tc>
      </w:tr>
    </w:tbl>
    <w:p w14:paraId="18C68E98" w14:textId="77777777" w:rsidR="00A6584F" w:rsidRPr="00593A5F" w:rsidRDefault="00A6584F" w:rsidP="00A6584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6584F" w:rsidRPr="008E6AD9" w14:paraId="6FB40943" w14:textId="77777777" w:rsidTr="00572E42">
        <w:tc>
          <w:tcPr>
            <w:tcW w:w="2689" w:type="dxa"/>
          </w:tcPr>
          <w:p w14:paraId="14592215" w14:textId="77777777" w:rsidR="00A6584F" w:rsidRPr="008E6AD9" w:rsidRDefault="00A6584F" w:rsidP="00572E4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A7D3055" w14:textId="77777777" w:rsidR="00A6584F" w:rsidRPr="00AD67E7" w:rsidRDefault="00A6584F" w:rsidP="00572E42">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s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580D2E">
              <w:rPr>
                <w:rFonts w:ascii="Verdana" w:eastAsia="Calibri" w:hAnsi="Verdana" w:cs="Arial"/>
                <w:lang w:eastAsia="es-ES_tradnl"/>
              </w:rPr>
              <w:t>1_2026_03_13_003500</w:t>
            </w:r>
          </w:p>
        </w:tc>
      </w:tr>
    </w:tbl>
    <w:p w14:paraId="68D44E1E" w14:textId="77777777" w:rsidR="00A6584F" w:rsidRDefault="00A6584F" w:rsidP="00A6584F">
      <w:pPr>
        <w:spacing w:after="0" w:line="240" w:lineRule="auto"/>
        <w:jc w:val="both"/>
        <w:rPr>
          <w:rFonts w:ascii="Verdana" w:eastAsia="Calibri" w:hAnsi="Verdana" w:cs="Arial"/>
          <w:color w:val="000000"/>
          <w:lang w:val="es-ES_tradnl" w:eastAsia="es-ES_tradnl"/>
        </w:rPr>
      </w:pPr>
    </w:p>
    <w:p w14:paraId="33C5BBA0" w14:textId="77777777" w:rsidR="00A6584F" w:rsidRPr="00593A5F" w:rsidRDefault="00A6584F" w:rsidP="00A6584F">
      <w:pPr>
        <w:spacing w:after="0" w:line="240" w:lineRule="auto"/>
        <w:jc w:val="both"/>
        <w:rPr>
          <w:rFonts w:ascii="Verdana" w:eastAsia="Calibri" w:hAnsi="Verdana" w:cs="Arial"/>
          <w:color w:val="000000"/>
          <w:lang w:val="es-ES_tradnl" w:eastAsia="es-ES_tradnl"/>
        </w:rPr>
      </w:pPr>
    </w:p>
    <w:p w14:paraId="43BBC417" w14:textId="77777777" w:rsidR="00A6584F" w:rsidRPr="008E6AD9" w:rsidRDefault="00A6584F" w:rsidP="00A6584F">
      <w:pPr>
        <w:spacing w:after="0" w:line="240"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 Señor Arias</w:t>
      </w:r>
      <w:r w:rsidRPr="008E6AD9">
        <w:rPr>
          <w:rFonts w:ascii="Verdana" w:eastAsia="Calibri" w:hAnsi="Verdana" w:cs="Arial"/>
          <w:lang w:val="es-ES" w:eastAsia="es-ES"/>
        </w:rPr>
        <w:t xml:space="preserve">: </w:t>
      </w:r>
    </w:p>
    <w:p w14:paraId="155E6D77" w14:textId="77777777" w:rsidR="00A6584F" w:rsidRDefault="00A6584F" w:rsidP="00A6584F">
      <w:pPr>
        <w:tabs>
          <w:tab w:val="left" w:pos="3768"/>
        </w:tabs>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29A302A" w14:textId="77777777" w:rsidR="00A6584F" w:rsidRDefault="00A6584F" w:rsidP="00A6584F">
      <w:pPr>
        <w:spacing w:after="0" w:line="276" w:lineRule="auto"/>
        <w:jc w:val="both"/>
        <w:rPr>
          <w:rFonts w:ascii="Verdana" w:eastAsia="Calibri" w:hAnsi="Verdana" w:cs="Arial"/>
          <w:bCs/>
          <w:color w:val="000000" w:themeColor="text1"/>
          <w:lang w:val="es-ES" w:eastAsia="es-ES" w:bidi="es-ES"/>
        </w:rPr>
      </w:pPr>
      <w:r w:rsidRPr="00D677B5">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D677B5">
        <w:rPr>
          <w:rFonts w:ascii="Verdana" w:eastAsia="Calibri" w:hAnsi="Verdana" w:cs="Arial"/>
          <w:bCs/>
          <w:color w:val="000000" w:themeColor="text1"/>
          <w:lang w:eastAsia="es-ES"/>
        </w:rPr>
        <w:t xml:space="preserve">así como lo establecido por la </w:t>
      </w:r>
      <w:r w:rsidRPr="00D677B5">
        <w:rPr>
          <w:rFonts w:ascii="Verdana" w:eastAsia="Calibri" w:hAnsi="Verdana" w:cs="Arial"/>
          <w:bCs/>
          <w:color w:val="000000" w:themeColor="text1"/>
          <w:lang w:eastAsia="es-ES"/>
        </w:rPr>
        <w:lastRenderedPageBreak/>
        <w:t xml:space="preserve">Resolución 469 de 2025 expedida por esta Entidad, </w:t>
      </w:r>
      <w:r w:rsidRPr="00D677B5">
        <w:rPr>
          <w:rFonts w:ascii="Verdana" w:eastAsia="Calibri" w:hAnsi="Verdana" w:cs="Arial"/>
          <w:bCs/>
          <w:color w:val="000000" w:themeColor="text1"/>
          <w:lang w:val="es-ES" w:eastAsia="es-ES" w:bidi="es-ES"/>
        </w:rPr>
        <w:t>la Agencia Nacional de Contratación Pública – Colombia Compra Eficiente– respond</w:t>
      </w:r>
      <w:r>
        <w:rPr>
          <w:rFonts w:ascii="Verdana" w:eastAsia="Calibri" w:hAnsi="Verdana" w:cs="Arial"/>
          <w:bCs/>
          <w:color w:val="000000" w:themeColor="text1"/>
          <w:lang w:val="es-ES" w:eastAsia="es-ES" w:bidi="es-ES"/>
        </w:rPr>
        <w:t>e la solicitud de consulta del 13</w:t>
      </w:r>
      <w:r w:rsidRPr="00D677B5">
        <w:rPr>
          <w:rFonts w:ascii="Verdana" w:eastAsia="Calibri" w:hAnsi="Verdana" w:cs="Arial"/>
          <w:bCs/>
          <w:color w:val="000000" w:themeColor="text1"/>
          <w:lang w:val="es-ES" w:eastAsia="es-ES" w:bidi="es-ES"/>
        </w:rPr>
        <w:t xml:space="preserve"> de marzo de 2026</w:t>
      </w:r>
      <w:r>
        <w:rPr>
          <w:rFonts w:ascii="Verdana" w:eastAsia="Calibri" w:hAnsi="Verdana" w:cs="Arial"/>
          <w:bCs/>
          <w:color w:val="000000" w:themeColor="text1"/>
          <w:lang w:val="es-ES" w:eastAsia="es-ES" w:bidi="es-ES"/>
        </w:rPr>
        <w:t xml:space="preserve"> que gira en torno al procedimiento de enajenación voluntaria para la constitución de servidumbres en materia de servicios públicos domiciliarios</w:t>
      </w:r>
      <w:r w:rsidRPr="00D677B5">
        <w:rPr>
          <w:rFonts w:ascii="Verdana" w:eastAsia="Calibri" w:hAnsi="Verdana" w:cs="Arial"/>
          <w:bCs/>
          <w:color w:val="000000" w:themeColor="text1"/>
          <w:lang w:val="es-ES" w:eastAsia="es-ES" w:bidi="es-ES"/>
        </w:rPr>
        <w:t xml:space="preserve">, en la cual manifiesta: </w:t>
      </w:r>
    </w:p>
    <w:p w14:paraId="5036B577" w14:textId="77777777" w:rsidR="00A6584F" w:rsidRDefault="00A6584F" w:rsidP="00A6584F">
      <w:pPr>
        <w:spacing w:after="0" w:line="240" w:lineRule="auto"/>
        <w:jc w:val="both"/>
        <w:rPr>
          <w:rFonts w:ascii="Verdana" w:eastAsia="Century Gothic" w:hAnsi="Verdana" w:cs="Century Gothic"/>
          <w:lang w:val="es-ES"/>
        </w:rPr>
      </w:pPr>
    </w:p>
    <w:p w14:paraId="5DDC79E2" w14:textId="77777777" w:rsidR="00A6584F" w:rsidRPr="00031BC1" w:rsidRDefault="00A6584F" w:rsidP="00A6584F">
      <w:pPr>
        <w:spacing w:after="0" w:line="240" w:lineRule="auto"/>
        <w:ind w:left="709" w:right="709"/>
        <w:jc w:val="both"/>
        <w:rPr>
          <w:rFonts w:ascii="Verdana" w:eastAsia="Century Gothic" w:hAnsi="Verdana" w:cs="Century Gothic"/>
          <w:sz w:val="20"/>
          <w:szCs w:val="20"/>
        </w:rPr>
      </w:pPr>
      <w:r w:rsidRPr="00031BC1">
        <w:rPr>
          <w:rFonts w:ascii="Verdana" w:eastAsia="Century Gothic" w:hAnsi="Verdana" w:cs="Century Gothic"/>
          <w:b/>
          <w:bCs/>
          <w:sz w:val="20"/>
          <w:szCs w:val="20"/>
        </w:rPr>
        <w:t xml:space="preserve">PRIMERO: </w:t>
      </w:r>
      <w:r w:rsidRPr="00031BC1">
        <w:rPr>
          <w:rFonts w:ascii="Verdana" w:eastAsia="Century Gothic" w:hAnsi="Verdana" w:cs="Century Gothic"/>
          <w:sz w:val="20"/>
          <w:szCs w:val="20"/>
        </w:rPr>
        <w:t xml:space="preserve">Partiendo de la premisa de que la suscripción de contratos de transacción es un mecanismo válido adoptado como política interna para precaver litigios y reconocer daños sustentados técnicamente en avalúos (Decreto 1420 de 1998), ¿este tipo de acuerdo extrajudicial, derivado de un procedimiento de enajenación voluntaria por motivos de utilidad pública, </w:t>
      </w:r>
      <w:proofErr w:type="gramStart"/>
      <w:r w:rsidRPr="00031BC1">
        <w:rPr>
          <w:rFonts w:ascii="Verdana" w:eastAsia="Century Gothic" w:hAnsi="Verdana" w:cs="Century Gothic"/>
          <w:sz w:val="20"/>
          <w:szCs w:val="20"/>
        </w:rPr>
        <w:t>se enmarca dentro del</w:t>
      </w:r>
      <w:proofErr w:type="gramEnd"/>
      <w:r w:rsidRPr="00031BC1">
        <w:rPr>
          <w:rFonts w:ascii="Verdana" w:eastAsia="Century Gothic" w:hAnsi="Verdana" w:cs="Century Gothic"/>
          <w:sz w:val="20"/>
          <w:szCs w:val="20"/>
        </w:rPr>
        <w:t xml:space="preserve"> concepto de "contratación directa" que prohíbe celebrar la Ley 996 de 2005 (Ley de Garantías Electorales)? </w:t>
      </w:r>
    </w:p>
    <w:p w14:paraId="6E3CC344" w14:textId="77777777" w:rsidR="00A6584F" w:rsidRPr="00031BC1" w:rsidRDefault="00A6584F" w:rsidP="00A6584F">
      <w:pPr>
        <w:spacing w:after="0" w:line="240" w:lineRule="auto"/>
        <w:ind w:left="709" w:right="709"/>
        <w:jc w:val="both"/>
        <w:rPr>
          <w:rFonts w:ascii="Verdana" w:eastAsia="Century Gothic" w:hAnsi="Verdana" w:cs="Century Gothic"/>
          <w:sz w:val="20"/>
          <w:szCs w:val="20"/>
          <w:lang w:val="es-ES"/>
        </w:rPr>
      </w:pPr>
      <w:r w:rsidRPr="00031BC1">
        <w:rPr>
          <w:rFonts w:ascii="Verdana" w:eastAsia="Century Gothic" w:hAnsi="Verdana" w:cs="Century Gothic"/>
          <w:b/>
          <w:bCs/>
          <w:sz w:val="20"/>
          <w:szCs w:val="20"/>
        </w:rPr>
        <w:t xml:space="preserve">SEGUNDO: </w:t>
      </w:r>
      <w:r w:rsidRPr="00031BC1">
        <w:rPr>
          <w:rFonts w:ascii="Verdana" w:eastAsia="Century Gothic" w:hAnsi="Verdana" w:cs="Century Gothic"/>
          <w:sz w:val="20"/>
          <w:szCs w:val="20"/>
        </w:rPr>
        <w:t>A la luz del ordenamiento jurídico en materia de compras y contratación estatal, ¿es viable jurídicamente que una Empresa de Servicios Públicos de Carácter Oficial suscriba estos contratos de transacción para consolidar la negociación predial directa y asegurar el ingreso a los predios, estando en plena vigencia el periodo de restricción electoral (Ley de Garantías)?</w:t>
      </w:r>
    </w:p>
    <w:p w14:paraId="2C1C04AF" w14:textId="77777777" w:rsidR="00A6584F" w:rsidRPr="00D677B5" w:rsidRDefault="00A6584F" w:rsidP="00A6584F">
      <w:pPr>
        <w:spacing w:after="0" w:line="276" w:lineRule="auto"/>
        <w:jc w:val="both"/>
        <w:rPr>
          <w:rFonts w:ascii="Verdana" w:eastAsia="Calibri" w:hAnsi="Verdana" w:cs="Arial"/>
          <w:bCs/>
          <w:color w:val="000000" w:themeColor="text1"/>
          <w:lang w:val="es-ES" w:eastAsia="es-ES" w:bidi="es-ES"/>
        </w:rPr>
      </w:pPr>
    </w:p>
    <w:p w14:paraId="49EC8684" w14:textId="77777777" w:rsidR="00A6584F" w:rsidRPr="00A652FF" w:rsidRDefault="00A6584F" w:rsidP="00A6584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Pr>
          <w:rFonts w:ascii="Verdana" w:eastAsia="Calibri" w:hAnsi="Verdana" w:cs="Arial"/>
          <w:color w:val="000000"/>
          <w:lang w:val="es-ES" w:eastAsia="es-ES"/>
        </w:rPr>
        <w:t xml:space="preserve"> la Agencia Nacional de Contratación Pública -</w:t>
      </w:r>
      <w:r w:rsidRPr="00593A5F">
        <w:rPr>
          <w:rFonts w:ascii="Verdana" w:eastAsia="Calibri" w:hAnsi="Verdana" w:cs="Arial"/>
          <w:color w:val="000000"/>
          <w:lang w:val="es-ES" w:eastAsia="es-ES"/>
        </w:rPr>
        <w:t xml:space="preserve">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1F140BC" w14:textId="77777777" w:rsidR="00A6584F" w:rsidRPr="00423BE7" w:rsidRDefault="00A6584F" w:rsidP="00A6584F">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los problemas jurídicos de su consulta. </w:t>
      </w:r>
    </w:p>
    <w:p w14:paraId="6F4D2A69" w14:textId="77777777" w:rsidR="00A6584F" w:rsidRPr="00593A5F" w:rsidRDefault="00A6584F" w:rsidP="00A6584F">
      <w:pPr>
        <w:spacing w:after="0" w:line="240" w:lineRule="auto"/>
        <w:ind w:firstLine="709"/>
        <w:jc w:val="both"/>
        <w:rPr>
          <w:rFonts w:ascii="Verdana" w:eastAsia="Calibri" w:hAnsi="Verdana" w:cs="Arial"/>
          <w:color w:val="000000"/>
          <w:lang w:val="es-ES" w:eastAsia="es-ES"/>
        </w:rPr>
      </w:pPr>
    </w:p>
    <w:p w14:paraId="7E60EE3C" w14:textId="77777777" w:rsidR="00A6584F" w:rsidRPr="00593A5F" w:rsidRDefault="00A6584F" w:rsidP="00A6584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lastRenderedPageBreak/>
        <w:t>Problema planteado:</w:t>
      </w:r>
    </w:p>
    <w:p w14:paraId="67A069CF" w14:textId="77777777" w:rsidR="00A6584F" w:rsidRPr="00593A5F" w:rsidRDefault="00A6584F" w:rsidP="00A6584F">
      <w:pPr>
        <w:tabs>
          <w:tab w:val="left" w:pos="426"/>
        </w:tabs>
        <w:spacing w:after="0" w:line="240" w:lineRule="auto"/>
        <w:jc w:val="both"/>
        <w:rPr>
          <w:rFonts w:ascii="Verdana" w:eastAsia="Century Gothic" w:hAnsi="Verdana" w:cs="Century Gothic"/>
          <w:lang w:val="es-ES"/>
        </w:rPr>
      </w:pPr>
    </w:p>
    <w:p w14:paraId="10080757" w14:textId="77777777" w:rsidR="00A6584F" w:rsidRPr="00BC3F56" w:rsidRDefault="00A6584F" w:rsidP="00A6584F">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siguiente problema jurídico: </w:t>
      </w:r>
      <w:r w:rsidRPr="00BC3F56">
        <w:rPr>
          <w:rFonts w:ascii="Verdana" w:eastAsia="Century Gothic" w:hAnsi="Verdana" w:cs="Century Gothic"/>
        </w:rPr>
        <w:t xml:space="preserve">¿La suscripción de contratos previos a la servidumbre dentro de los </w:t>
      </w:r>
      <w:r w:rsidRPr="00BC3F56">
        <w:rPr>
          <w:rFonts w:ascii="Verdana" w:eastAsia="Century Gothic" w:hAnsi="Verdana" w:cs="Century Gothic"/>
          <w:bCs/>
        </w:rPr>
        <w:t>procesos de enajenación voluntaria por motivos de utilidad pública</w:t>
      </w:r>
      <w:r w:rsidRPr="00BC3F56">
        <w:rPr>
          <w:rFonts w:ascii="Verdana" w:eastAsia="Century Gothic" w:hAnsi="Verdana" w:cs="Century Gothic"/>
        </w:rPr>
        <w:t xml:space="preserve">, mediante los cuales se perfecciona la </w:t>
      </w:r>
      <w:r w:rsidRPr="00BC3F56">
        <w:rPr>
          <w:rFonts w:ascii="Verdana" w:eastAsia="Century Gothic" w:hAnsi="Verdana" w:cs="Century Gothic"/>
          <w:bCs/>
        </w:rPr>
        <w:t xml:space="preserve">negociación predial para la ejecución de proyectos </w:t>
      </w:r>
      <w:r>
        <w:rPr>
          <w:rFonts w:ascii="Verdana" w:eastAsia="Century Gothic" w:hAnsi="Verdana" w:cs="Century Gothic"/>
          <w:bCs/>
        </w:rPr>
        <w:t xml:space="preserve">públicos de infraestructura </w:t>
      </w:r>
      <w:r w:rsidRPr="00BC3F56">
        <w:rPr>
          <w:rFonts w:ascii="Verdana" w:eastAsia="Century Gothic" w:hAnsi="Verdana" w:cs="Century Gothic"/>
          <w:bCs/>
        </w:rPr>
        <w:t>de servicios públicos</w:t>
      </w:r>
      <w:r w:rsidRPr="00BC3F56">
        <w:rPr>
          <w:rFonts w:ascii="Verdana" w:eastAsia="Century Gothic" w:hAnsi="Verdana" w:cs="Century Gothic"/>
        </w:rPr>
        <w:t xml:space="preserve">, se encuentra restringida por lo dispuesto en el </w:t>
      </w:r>
      <w:r w:rsidRPr="00BC3F56">
        <w:rPr>
          <w:rFonts w:ascii="Verdana" w:eastAsia="Century Gothic" w:hAnsi="Verdana" w:cs="Century Gothic"/>
          <w:bCs/>
        </w:rPr>
        <w:t>artículo 33 de la Ley 996 de 2005</w:t>
      </w:r>
      <w:r w:rsidRPr="00BC3F56">
        <w:rPr>
          <w:rFonts w:ascii="Verdana" w:eastAsia="Century Gothic" w:hAnsi="Verdana" w:cs="Century Gothic"/>
        </w:rPr>
        <w:t>?</w:t>
      </w:r>
    </w:p>
    <w:p w14:paraId="1F0E3F9E" w14:textId="77777777" w:rsidR="00A6584F" w:rsidRPr="004B140F" w:rsidRDefault="00A6584F" w:rsidP="00A6584F">
      <w:pPr>
        <w:spacing w:after="0" w:line="240" w:lineRule="auto"/>
        <w:jc w:val="both"/>
        <w:rPr>
          <w:rFonts w:ascii="Verdana" w:eastAsia="Calibri" w:hAnsi="Verdana" w:cs="Arial"/>
          <w:color w:val="7030A0"/>
        </w:rPr>
      </w:pPr>
    </w:p>
    <w:p w14:paraId="00AB4DEB" w14:textId="77777777" w:rsidR="00A6584F" w:rsidRPr="00593A5F" w:rsidRDefault="00A6584F" w:rsidP="00A658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46D8E8B8" w14:textId="77777777" w:rsidR="00A6584F" w:rsidRPr="00593A5F" w:rsidRDefault="00A6584F" w:rsidP="00A6584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584F" w:rsidRPr="00593A5F" w14:paraId="5246F9CE" w14:textId="77777777" w:rsidTr="00572E42">
        <w:trPr>
          <w:jc w:val="center"/>
        </w:trPr>
        <w:tc>
          <w:tcPr>
            <w:tcW w:w="8828" w:type="dxa"/>
          </w:tcPr>
          <w:p w14:paraId="0A64A51A" w14:textId="77777777" w:rsidR="00A6584F" w:rsidRPr="00F33CF0" w:rsidRDefault="00A6584F" w:rsidP="00572E42">
            <w:pPr>
              <w:tabs>
                <w:tab w:val="left" w:pos="426"/>
              </w:tabs>
              <w:spacing w:after="120" w:line="276" w:lineRule="auto"/>
              <w:jc w:val="both"/>
              <w:rPr>
                <w:rFonts w:ascii="Verdana" w:hAnsi="Verdana" w:cs="Arial"/>
                <w:lang w:eastAsia="es-ES_tradnl"/>
              </w:rPr>
            </w:pPr>
            <w:bookmarkStart w:id="1" w:name="_Hlk171694685"/>
            <w:r w:rsidRPr="00A47089">
              <w:rPr>
                <w:rFonts w:ascii="Verdana" w:eastAsia="Times New Roman" w:hAnsi="Verdana" w:cs="Arial"/>
                <w:bCs/>
                <w:lang w:eastAsia="x-none"/>
              </w:rPr>
              <w:t xml:space="preserve">Para dar solución al problema jurídico planteado en la consulta, </w:t>
            </w:r>
            <w:r>
              <w:rPr>
                <w:rFonts w:ascii="Verdana" w:eastAsia="Times New Roman" w:hAnsi="Verdana" w:cs="Arial"/>
                <w:bCs/>
                <w:lang w:eastAsia="x-none"/>
              </w:rPr>
              <w:t>se precisa que a</w:t>
            </w:r>
            <w:r w:rsidRPr="00F33CF0">
              <w:rPr>
                <w:rFonts w:ascii="Verdana" w:hAnsi="Verdana" w:cs="Arial"/>
                <w:lang w:eastAsia="es-ES_tradnl"/>
              </w:rPr>
              <w:t xml:space="preserve"> partir de la definición legal del </w:t>
            </w:r>
            <w:r w:rsidRPr="00F33CF0">
              <w:rPr>
                <w:rFonts w:ascii="Verdana" w:hAnsi="Verdana" w:cs="Arial"/>
                <w:bCs/>
                <w:lang w:eastAsia="es-ES_tradnl"/>
              </w:rPr>
              <w:t>contrato de servidumbre</w:t>
            </w:r>
            <w:r w:rsidRPr="00F33CF0">
              <w:rPr>
                <w:rFonts w:ascii="Verdana" w:hAnsi="Verdana" w:cs="Arial"/>
                <w:lang w:eastAsia="es-ES_tradnl"/>
              </w:rPr>
              <w:t xml:space="preserve"> y del procedimiento de </w:t>
            </w:r>
            <w:r w:rsidRPr="00F33CF0">
              <w:rPr>
                <w:rFonts w:ascii="Verdana" w:hAnsi="Verdana" w:cs="Arial"/>
                <w:bCs/>
                <w:lang w:eastAsia="es-ES_tradnl"/>
              </w:rPr>
              <w:t>enajenación voluntaria o negociación directa</w:t>
            </w:r>
            <w:r w:rsidRPr="00F33CF0">
              <w:rPr>
                <w:rFonts w:ascii="Verdana" w:hAnsi="Verdana" w:cs="Arial"/>
                <w:lang w:eastAsia="es-ES_tradnl"/>
              </w:rPr>
              <w:t xml:space="preserve"> previsto en el artículo 38 de la Ley 1682 de 2013, desarrollado por el artículo 2 del Decreto 738 de 2012, se enmarca en un régimen especial orientado a facilitar la ejecución de proyectos de infraestructura. En este contexto, se concluye que existe una </w:t>
            </w:r>
            <w:r w:rsidRPr="00F33CF0">
              <w:rPr>
                <w:rFonts w:ascii="Verdana" w:hAnsi="Verdana" w:cs="Arial"/>
                <w:bCs/>
                <w:lang w:eastAsia="es-ES_tradnl"/>
              </w:rPr>
              <w:t xml:space="preserve">limitación a la aplicación del artículo 33 de la Ley 996 de 2005 </w:t>
            </w:r>
            <w:r w:rsidRPr="00F33CF0">
              <w:rPr>
                <w:rFonts w:ascii="Verdana" w:hAnsi="Verdana" w:cs="Arial"/>
                <w:lang w:eastAsia="es-ES_tradnl"/>
              </w:rPr>
              <w:t>respecto de la suscripción del contrato de servidumbre, en la medida en que este sí constituye un contrato bajo un procedimiento directo, esto es, sin pluralidad de oferentes, entre la entidad pública y el particular.</w:t>
            </w:r>
          </w:p>
          <w:p w14:paraId="521E959C" w14:textId="77777777" w:rsidR="00A6584F" w:rsidRPr="00F33CF0" w:rsidRDefault="00A6584F" w:rsidP="00572E42">
            <w:pPr>
              <w:tabs>
                <w:tab w:val="left" w:pos="426"/>
              </w:tabs>
              <w:spacing w:after="120" w:line="276" w:lineRule="auto"/>
              <w:jc w:val="both"/>
              <w:rPr>
                <w:rFonts w:ascii="Verdana" w:eastAsia="Times New Roman" w:hAnsi="Verdana" w:cs="Arial"/>
                <w:lang w:eastAsia="es-ES_tradnl"/>
              </w:rPr>
            </w:pPr>
            <w:r w:rsidRPr="00F33CF0">
              <w:rPr>
                <w:rFonts w:ascii="Verdana" w:eastAsia="Times New Roman" w:hAnsi="Verdana" w:cs="Arial"/>
                <w:lang w:eastAsia="es-ES_tradnl"/>
              </w:rPr>
              <w:tab/>
            </w:r>
            <w:r w:rsidRPr="00F33CF0">
              <w:rPr>
                <w:rFonts w:ascii="Verdana" w:eastAsia="Times New Roman" w:hAnsi="Verdana" w:cs="Arial"/>
                <w:lang w:eastAsia="es-ES_tradnl"/>
              </w:rPr>
              <w:tab/>
              <w:t xml:space="preserve">No obstante, las actuaciones previas e instrumentales al acuerdo definitivo —tales como la elaboración y obtención de avalúos, la formulación de la oferta, el desarrollo de las negociaciones preliminares y, en general, todas aquellas actuaciones administrativas que no comporten por sí mismas la celebración de un contrato— pueden adelantarse válidamente incluso durante el período de restricción electoral. Ello, en tanto estas actuaciones no configuran un supuesto de </w:t>
            </w:r>
            <w:r w:rsidRPr="00F33CF0">
              <w:rPr>
                <w:rFonts w:ascii="Verdana" w:eastAsia="Times New Roman" w:hAnsi="Verdana" w:cs="Arial"/>
                <w:bCs/>
                <w:lang w:eastAsia="es-ES_tradnl"/>
              </w:rPr>
              <w:t>contratación directa en sentido estricto</w:t>
            </w:r>
            <w:r w:rsidRPr="00F33CF0">
              <w:rPr>
                <w:rFonts w:ascii="Verdana" w:eastAsia="Times New Roman" w:hAnsi="Verdana" w:cs="Arial"/>
                <w:lang w:eastAsia="es-ES_tradnl"/>
              </w:rPr>
              <w:t>, sino que corresponden al ejercicio de competencias, necesarias para la eventual constitución de la servidumbre.</w:t>
            </w:r>
          </w:p>
          <w:p w14:paraId="7A5E603A" w14:textId="77777777" w:rsidR="00A6584F" w:rsidRPr="00F33CF0" w:rsidRDefault="00A6584F" w:rsidP="00572E42">
            <w:pPr>
              <w:tabs>
                <w:tab w:val="left" w:pos="426"/>
              </w:tabs>
              <w:spacing w:after="120" w:line="276" w:lineRule="auto"/>
              <w:jc w:val="both"/>
              <w:rPr>
                <w:rFonts w:ascii="Verdana" w:eastAsia="Times New Roman" w:hAnsi="Verdana" w:cs="Arial"/>
                <w:lang w:eastAsia="es-ES_tradnl"/>
              </w:rPr>
            </w:pPr>
            <w:r w:rsidRPr="00F33CF0">
              <w:rPr>
                <w:rFonts w:ascii="Verdana" w:eastAsia="Times New Roman" w:hAnsi="Verdana" w:cs="Arial"/>
                <w:lang w:eastAsia="es-ES_tradnl"/>
              </w:rPr>
              <w:tab/>
            </w:r>
            <w:r w:rsidRPr="00F33CF0">
              <w:rPr>
                <w:rFonts w:ascii="Verdana" w:eastAsia="Times New Roman" w:hAnsi="Verdana" w:cs="Arial"/>
                <w:lang w:eastAsia="es-ES_tradnl"/>
              </w:rPr>
              <w:tab/>
              <w:t>Ahora bien, en el evento de que, con posterioridad a la aceptación de la oferta y antes de la escrituración, se celebren</w:t>
            </w:r>
            <w:r w:rsidRPr="00F33CF0">
              <w:rPr>
                <w:rFonts w:ascii="Verdana" w:eastAsia="Times New Roman" w:hAnsi="Verdana" w:cs="Arial"/>
                <w:bCs/>
                <w:lang w:eastAsia="es-ES_tradnl"/>
              </w:rPr>
              <w:t xml:space="preserve"> cualquier tipo contractual</w:t>
            </w:r>
            <w:r w:rsidRPr="00F33CF0">
              <w:rPr>
                <w:rFonts w:ascii="Verdana" w:eastAsia="Times New Roman" w:hAnsi="Verdana" w:cs="Arial"/>
                <w:lang w:eastAsia="es-ES_tradnl"/>
              </w:rPr>
              <w:t xml:space="preserve">, como podría ser un </w:t>
            </w:r>
            <w:r w:rsidRPr="00F33CF0">
              <w:rPr>
                <w:rFonts w:ascii="Verdana" w:eastAsia="Times New Roman" w:hAnsi="Verdana" w:cs="Arial"/>
                <w:bCs/>
                <w:lang w:eastAsia="es-ES_tradnl"/>
              </w:rPr>
              <w:t>contrato de transacción</w:t>
            </w:r>
            <w:r w:rsidRPr="00F33CF0">
              <w:rPr>
                <w:rFonts w:ascii="Verdana" w:eastAsia="Times New Roman" w:hAnsi="Verdana" w:cs="Arial"/>
                <w:lang w:eastAsia="es-ES_tradnl"/>
              </w:rPr>
              <w:t xml:space="preserve">, debe analizarse cuidadosamente el procedimiento para su aplicación. En estos casos, sí podría configurarse la restricción prevista en el artículo 33 de la Ley 996 de 2005, siempre que se </w:t>
            </w:r>
            <w:r w:rsidRPr="00F33CF0">
              <w:rPr>
                <w:rFonts w:ascii="Verdana" w:eastAsia="Times New Roman" w:hAnsi="Verdana" w:cs="Arial"/>
                <w:lang w:eastAsia="es-ES_tradnl"/>
              </w:rPr>
              <w:lastRenderedPageBreak/>
              <w:t>trate de un contrato suscrito de forma directa. En todo caso, dicha restricción no es aplicable, en cambio, frente a actuaciones administrativas que, aun siendo relevantes dentro del procedimiento, no generan una relación contractual entre la entidad y el particular.</w:t>
            </w:r>
          </w:p>
          <w:p w14:paraId="119E9A1E" w14:textId="77777777" w:rsidR="00A6584F" w:rsidRPr="00F33CF0" w:rsidRDefault="00A6584F" w:rsidP="00572E42">
            <w:pPr>
              <w:spacing w:after="120" w:line="276" w:lineRule="auto"/>
              <w:ind w:firstLine="708"/>
              <w:jc w:val="both"/>
              <w:rPr>
                <w:rFonts w:ascii="Verdana" w:eastAsia="Times New Roman" w:hAnsi="Verdana" w:cs="Arial"/>
                <w:bCs/>
                <w:lang w:val="es-MX" w:eastAsia="x-none"/>
              </w:rPr>
            </w:pPr>
            <w:r w:rsidRPr="00F33CF0">
              <w:rPr>
                <w:rFonts w:ascii="Verdana" w:eastAsia="Times New Roman" w:hAnsi="Verdana" w:cs="Arial"/>
                <w:bCs/>
                <w:lang w:val="es-MX" w:eastAsia="x-none"/>
              </w:rPr>
              <w:t>Esto, sin perjuicio de las excepciones a esta prohibición, contenidas en el inciso segundo del precitado artículo</w:t>
            </w:r>
            <w:r>
              <w:rPr>
                <w:rFonts w:ascii="Verdana" w:eastAsia="Times New Roman" w:hAnsi="Verdana" w:cs="Arial"/>
                <w:bCs/>
                <w:lang w:val="es-MX" w:eastAsia="x-none"/>
              </w:rPr>
              <w:t xml:space="preserve"> 33</w:t>
            </w:r>
            <w:r w:rsidRPr="00F33CF0">
              <w:rPr>
                <w:rFonts w:ascii="Verdana" w:eastAsia="Times New Roman" w:hAnsi="Verdana" w:cs="Arial"/>
                <w:bCs/>
                <w:lang w:val="es-MX" w:eastAsia="x-none"/>
              </w:rPr>
              <w:t xml:space="preserve">: i) los contratos relacionados con la defensa y seguridad del Estado, analizados en el Concepto 322 de 2026; </w:t>
            </w:r>
            <w:proofErr w:type="spellStart"/>
            <w:r w:rsidRPr="00F33CF0">
              <w:rPr>
                <w:rFonts w:ascii="Verdana" w:eastAsia="Times New Roman" w:hAnsi="Verdana" w:cs="Arial"/>
                <w:bCs/>
                <w:lang w:val="es-MX" w:eastAsia="x-none"/>
              </w:rPr>
              <w:t>ii</w:t>
            </w:r>
            <w:proofErr w:type="spellEnd"/>
            <w:r w:rsidRPr="00F33CF0">
              <w:rPr>
                <w:rFonts w:ascii="Verdana" w:eastAsia="Times New Roman" w:hAnsi="Verdana" w:cs="Arial"/>
                <w:bCs/>
                <w:lang w:val="es-MX" w:eastAsia="x-none"/>
              </w:rPr>
              <w:t xml:space="preserve">) los contratos de crédito público, abordados en el Concepto CU-372 de 2026; </w:t>
            </w:r>
            <w:proofErr w:type="spellStart"/>
            <w:r w:rsidRPr="00F33CF0">
              <w:rPr>
                <w:rFonts w:ascii="Verdana" w:eastAsia="Times New Roman" w:hAnsi="Verdana" w:cs="Arial"/>
                <w:bCs/>
                <w:lang w:val="es-MX" w:eastAsia="x-none"/>
              </w:rPr>
              <w:t>iii</w:t>
            </w:r>
            <w:proofErr w:type="spellEnd"/>
            <w:r w:rsidRPr="00F33CF0">
              <w:rPr>
                <w:rFonts w:ascii="Verdana" w:eastAsia="Times New Roman" w:hAnsi="Verdana" w:cs="Arial"/>
                <w:bCs/>
                <w:lang w:val="es-MX" w:eastAsia="x-none"/>
              </w:rPr>
              <w:t>) los contratos necesarios para atender emergencias educativas, sanitarias o desastres, tratados en los Conceptos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118 de 2026 y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 xml:space="preserve">176 de 2026, que tratan en este caso de la urgencia manifiesta; </w:t>
            </w:r>
            <w:proofErr w:type="spellStart"/>
            <w:r w:rsidRPr="00F33CF0">
              <w:rPr>
                <w:rFonts w:ascii="Verdana" w:eastAsia="Times New Roman" w:hAnsi="Verdana" w:cs="Arial"/>
                <w:bCs/>
                <w:lang w:val="es-MX" w:eastAsia="x-none"/>
              </w:rPr>
              <w:t>iv</w:t>
            </w:r>
            <w:proofErr w:type="spellEnd"/>
            <w:r w:rsidRPr="00F33CF0">
              <w:rPr>
                <w:rFonts w:ascii="Verdana" w:eastAsia="Times New Roman" w:hAnsi="Verdana" w:cs="Arial"/>
                <w:bCs/>
                <w:lang w:val="es-MX" w:eastAsia="x-none"/>
              </w:rPr>
              <w:t>) los contratos destinados a la reconstrucción de infraestructura vial, energética y de comunicaciones afectada por atentados, acciones terroristas, desastres naturales o fuerza mayor, igualmente estudiados en los Conceptos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118 de 2026 y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176 de 2026, entre otros; y v) la contratación directa celebrada por entidades sanitarias y hospitalarias, objeto de análisis en los Conceptos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1124 de 2026,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1406 de 2026 y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 xml:space="preserve">1703 de 2026. </w:t>
            </w:r>
            <w:r w:rsidRPr="00F33CF0">
              <w:rPr>
                <w:rFonts w:ascii="Verdana" w:eastAsia="Times New Roman" w:hAnsi="Verdana" w:cs="Arial"/>
                <w:bCs/>
                <w:lang w:val="es-MX" w:eastAsia="es-CO"/>
              </w:rPr>
              <w:t xml:space="preserve">Es responsabilidad del respectivo ente del Estado, examinar en cada caso la naturaleza de las actividades que adelanta y determinar si las mismas se enmarcan en alguna de las mencionadas excepciones, de manera que se le permita realizar la celebración de contratos o acuerdos para la constitución de la servidumbre. </w:t>
            </w:r>
          </w:p>
          <w:p w14:paraId="0C8B2CEB" w14:textId="77777777" w:rsidR="00A6584F" w:rsidRPr="008377DE" w:rsidRDefault="00A6584F" w:rsidP="00572E42">
            <w:pPr>
              <w:spacing w:line="276" w:lineRule="auto"/>
              <w:ind w:firstLine="709"/>
              <w:jc w:val="both"/>
              <w:rPr>
                <w:rFonts w:ascii="Verdana" w:eastAsia="Times New Roman" w:hAnsi="Verdana" w:cs="Arial"/>
                <w:bCs/>
                <w:lang w:val="es-MX" w:eastAsia="es-CO"/>
              </w:rPr>
            </w:pPr>
            <w:r w:rsidRPr="00F33CF0">
              <w:rPr>
                <w:rFonts w:ascii="Verdana" w:eastAsia="Times New Roman" w:hAnsi="Verdana" w:cs="Arial"/>
                <w:bCs/>
                <w:lang w:eastAsia="x-none"/>
              </w:rPr>
              <w:t>Por último</w:t>
            </w:r>
            <w:r w:rsidRPr="00F33CF0">
              <w:rPr>
                <w:rFonts w:ascii="Verdana" w:eastAsia="Times New Roman" w:hAnsi="Verdana" w:cs="Arial"/>
                <w:bCs/>
                <w:lang w:val="es-MX" w:eastAsia="x-none"/>
              </w:rPr>
              <w:t xml:space="preserve">, se reitera, </w:t>
            </w:r>
            <w:r w:rsidRPr="00F33CF0">
              <w:rPr>
                <w:rFonts w:ascii="Verdana" w:eastAsia="Times New Roman" w:hAnsi="Verdana" w:cs="Arial"/>
                <w:bCs/>
                <w:lang w:val="es-MX" w:eastAsia="es-CO"/>
              </w:rPr>
              <w:t xml:space="preserve">que las prórrogas, modificaciones o adiciones de los contratos suscritos antes de la entrada en vigor de las prohibiciones anotadas, en especial del artículo 33 de la Ley 996 de 2005, así como la cesión de </w:t>
            </w:r>
            <w:proofErr w:type="gramStart"/>
            <w:r w:rsidRPr="00F33CF0">
              <w:rPr>
                <w:rFonts w:ascii="Verdana" w:eastAsia="Times New Roman" w:hAnsi="Verdana" w:cs="Arial"/>
                <w:bCs/>
                <w:lang w:val="es-MX" w:eastAsia="es-CO"/>
              </w:rPr>
              <w:t>los mismos</w:t>
            </w:r>
            <w:proofErr w:type="gramEnd"/>
            <w:r w:rsidRPr="00F33CF0">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 Además, también es posible que contratos celebrados previamente se continúen ejecutando con normalidad.</w:t>
            </w:r>
          </w:p>
        </w:tc>
      </w:tr>
    </w:tbl>
    <w:p w14:paraId="07EA23CA" w14:textId="77777777" w:rsidR="00A6584F" w:rsidRPr="00593A5F" w:rsidRDefault="00A6584F" w:rsidP="00A6584F">
      <w:pPr>
        <w:tabs>
          <w:tab w:val="left" w:pos="142"/>
          <w:tab w:val="left" w:pos="284"/>
        </w:tabs>
        <w:spacing w:after="0" w:line="240" w:lineRule="auto"/>
        <w:jc w:val="both"/>
        <w:rPr>
          <w:rFonts w:ascii="Verdana" w:eastAsia="Century Gothic" w:hAnsi="Verdana" w:cs="Century Gothic"/>
          <w:b/>
          <w:bCs/>
          <w:lang w:val="es-ES"/>
        </w:rPr>
      </w:pPr>
    </w:p>
    <w:bookmarkEnd w:id="1"/>
    <w:p w14:paraId="3C6BA897" w14:textId="77777777" w:rsidR="00A6584F" w:rsidRPr="00593A5F" w:rsidRDefault="00A6584F" w:rsidP="00A6584F">
      <w:pPr>
        <w:pStyle w:val="Prrafodelista"/>
        <w:numPr>
          <w:ilvl w:val="0"/>
          <w:numId w:val="16"/>
        </w:numPr>
        <w:tabs>
          <w:tab w:val="left" w:pos="142"/>
          <w:tab w:val="left" w:pos="284"/>
        </w:tabs>
        <w:spacing w:after="0" w:line="240"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092F8924" w14:textId="77777777" w:rsidR="00A6584F" w:rsidRPr="00593A5F" w:rsidRDefault="00A6584F" w:rsidP="00A6584F">
      <w:pPr>
        <w:spacing w:after="0" w:line="240" w:lineRule="auto"/>
        <w:jc w:val="both"/>
        <w:rPr>
          <w:rFonts w:ascii="Verdana" w:eastAsia="Calibri" w:hAnsi="Verdana" w:cs="Arial"/>
          <w:color w:val="7030A0"/>
          <w:lang w:val="es-ES"/>
        </w:rPr>
      </w:pPr>
    </w:p>
    <w:p w14:paraId="7FACED36" w14:textId="77777777" w:rsidR="00A6584F" w:rsidRDefault="00A6584F" w:rsidP="00A6584F">
      <w:pPr>
        <w:spacing w:after="0" w:line="240"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2815273B" w14:textId="77777777" w:rsidR="00A6584F" w:rsidRDefault="00A6584F" w:rsidP="00A6584F">
      <w:pPr>
        <w:spacing w:after="0" w:line="240" w:lineRule="auto"/>
        <w:jc w:val="both"/>
        <w:rPr>
          <w:rFonts w:ascii="Verdana" w:eastAsia="Calibri" w:hAnsi="Verdana" w:cs="Arial"/>
          <w:lang w:val="es-ES"/>
        </w:rPr>
      </w:pPr>
    </w:p>
    <w:p w14:paraId="4E8ECA97" w14:textId="77777777" w:rsidR="00A6584F" w:rsidRPr="002D6B43" w:rsidRDefault="00A6584F" w:rsidP="00A6584F">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 xml:space="preserve">i. El ordenamiento jurídico colombiano contempla previsiones claras para evitar la obtención de beneficios personales en asuntos propios de la administración </w:t>
      </w:r>
      <w:r w:rsidRPr="002D6B43">
        <w:rPr>
          <w:rFonts w:ascii="Verdana" w:eastAsia="Calibri" w:hAnsi="Verdana" w:cs="Arial"/>
        </w:rPr>
        <w:lastRenderedPageBreak/>
        <w:t>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56FED99F" w14:textId="77777777" w:rsidR="00A6584F" w:rsidRDefault="00A6584F" w:rsidP="00A6584F">
      <w:pPr>
        <w:tabs>
          <w:tab w:val="left" w:pos="426"/>
        </w:tabs>
        <w:spacing w:after="12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2"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2"/>
    </w:p>
    <w:p w14:paraId="09EF8FA4" w14:textId="77777777" w:rsidR="00A6584F" w:rsidRPr="006B14B5" w:rsidRDefault="00A6584F" w:rsidP="00A6584F">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666491D" w14:textId="77777777" w:rsidR="00A6584F" w:rsidRPr="00E2397D" w:rsidRDefault="00A6584F" w:rsidP="00A6584F">
      <w:pPr>
        <w:spacing w:after="0" w:line="276" w:lineRule="auto"/>
        <w:ind w:right="709"/>
        <w:contextualSpacing/>
        <w:jc w:val="both"/>
        <w:rPr>
          <w:rFonts w:ascii="Verdana" w:eastAsia="Times New Roman" w:hAnsi="Verdana" w:cs="Arial"/>
          <w:lang w:val="es-ES" w:eastAsia="es-CO"/>
        </w:rPr>
      </w:pPr>
    </w:p>
    <w:p w14:paraId="5D0FC2C3" w14:textId="77777777" w:rsidR="00A6584F" w:rsidRPr="00E2397D" w:rsidRDefault="00A6584F" w:rsidP="00A6584F">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0AF9BE4" w14:textId="77777777" w:rsidR="00A6584F" w:rsidRDefault="00A6584F" w:rsidP="00A6584F">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BFC46A2" w14:textId="77777777" w:rsidR="00A6584F" w:rsidRPr="000B35C5" w:rsidRDefault="00A6584F" w:rsidP="00A6584F">
      <w:pPr>
        <w:spacing w:after="0" w:line="240" w:lineRule="auto"/>
        <w:ind w:left="709" w:right="709"/>
        <w:contextualSpacing/>
        <w:jc w:val="both"/>
        <w:rPr>
          <w:rFonts w:ascii="Verdana" w:eastAsia="Times New Roman" w:hAnsi="Verdana" w:cs="Arial"/>
          <w:sz w:val="12"/>
          <w:szCs w:val="12"/>
          <w:lang w:val="es-MX" w:eastAsia="es-CO"/>
        </w:rPr>
      </w:pPr>
    </w:p>
    <w:p w14:paraId="082E6F4D" w14:textId="77777777" w:rsidR="00A6584F" w:rsidRPr="00E2397D" w:rsidRDefault="00A6584F" w:rsidP="00A6584F">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w:t>
      </w:r>
      <w:r w:rsidRPr="00E2397D">
        <w:rPr>
          <w:rFonts w:ascii="Verdana" w:eastAsia="Times New Roman" w:hAnsi="Verdana" w:cs="Arial"/>
          <w:sz w:val="20"/>
          <w:szCs w:val="20"/>
          <w:lang w:val="es-MX" w:eastAsia="es-CO"/>
        </w:rPr>
        <w:lastRenderedPageBreak/>
        <w:t>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78708428" w14:textId="77777777" w:rsidR="00A6584F" w:rsidRPr="00E2397D" w:rsidRDefault="00A6584F" w:rsidP="00A6584F">
      <w:pPr>
        <w:spacing w:after="0" w:line="276" w:lineRule="auto"/>
        <w:ind w:firstLine="709"/>
        <w:jc w:val="both"/>
        <w:rPr>
          <w:rFonts w:ascii="Verdana" w:eastAsia="Times New Roman" w:hAnsi="Verdana" w:cs="Arial"/>
          <w:lang w:val="es-MX" w:eastAsia="es-CO"/>
        </w:rPr>
      </w:pPr>
      <w:bookmarkStart w:id="3" w:name="_Hlk78818186"/>
    </w:p>
    <w:p w14:paraId="0F8AF2A9" w14:textId="77777777" w:rsidR="00A6584F" w:rsidRPr="00E2397D" w:rsidRDefault="00A6584F" w:rsidP="00A6584F">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3"/>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608C083F" w14:textId="77777777" w:rsidR="00A6584F" w:rsidRPr="00886C02" w:rsidRDefault="00A6584F" w:rsidP="00A6584F">
      <w:pPr>
        <w:spacing w:after="0" w:line="276" w:lineRule="auto"/>
        <w:ind w:firstLine="709"/>
        <w:jc w:val="both"/>
        <w:rPr>
          <w:rFonts w:ascii="Verdana" w:eastAsia="Times New Roman" w:hAnsi="Verdana" w:cs="Arial"/>
          <w:lang w:val="es-MX" w:eastAsia="es-CO"/>
        </w:rPr>
      </w:pPr>
    </w:p>
    <w:p w14:paraId="77254455" w14:textId="77777777" w:rsidR="00A6584F" w:rsidRPr="00E2397D" w:rsidRDefault="00A6584F" w:rsidP="00A6584F">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BBB5CD9" w14:textId="77777777" w:rsidR="00A6584F" w:rsidRPr="000B35C5" w:rsidRDefault="00A6584F" w:rsidP="00A6584F">
      <w:pPr>
        <w:spacing w:after="0" w:line="240" w:lineRule="auto"/>
        <w:ind w:right="709"/>
        <w:contextualSpacing/>
        <w:jc w:val="both"/>
        <w:rPr>
          <w:rFonts w:ascii="Verdana" w:eastAsia="Times New Roman" w:hAnsi="Verdana" w:cs="Arial"/>
          <w:sz w:val="12"/>
          <w:szCs w:val="12"/>
          <w:lang w:val="es-MX" w:eastAsia="es-CO"/>
        </w:rPr>
      </w:pPr>
    </w:p>
    <w:p w14:paraId="0DE5E74C" w14:textId="77777777" w:rsidR="00A6584F" w:rsidRPr="00E2397D" w:rsidRDefault="00A6584F" w:rsidP="00A6584F">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E2397D">
        <w:rPr>
          <w:rFonts w:ascii="Verdana" w:eastAsia="Times New Roman" w:hAnsi="Verdana" w:cs="Arial"/>
          <w:sz w:val="20"/>
          <w:szCs w:val="20"/>
          <w:lang w:val="es-MX" w:eastAsia="es-CO"/>
        </w:rPr>
        <w:lastRenderedPageBreak/>
        <w:t>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47E708D4" w14:textId="77777777" w:rsidR="00A6584F" w:rsidRPr="00E2397D" w:rsidRDefault="00A6584F" w:rsidP="00A6584F">
      <w:pPr>
        <w:spacing w:after="0" w:line="276" w:lineRule="auto"/>
        <w:jc w:val="both"/>
        <w:rPr>
          <w:rFonts w:ascii="Verdana" w:eastAsia="Calibri" w:hAnsi="Verdana" w:cs="Arial"/>
          <w:bCs/>
          <w:lang w:val="es-ES_tradnl"/>
        </w:rPr>
      </w:pPr>
    </w:p>
    <w:p w14:paraId="054A8C07" w14:textId="77777777" w:rsidR="00A6584F" w:rsidRDefault="00A6584F" w:rsidP="00A6584F">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4" w:name="_Hlk77236098"/>
      <w:bookmarkStart w:id="5"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17EAA84F" w14:textId="77777777" w:rsidR="00A6584F" w:rsidRPr="00E2397D" w:rsidRDefault="00A6584F" w:rsidP="00A6584F">
      <w:pPr>
        <w:spacing w:after="0" w:line="240" w:lineRule="auto"/>
        <w:ind w:firstLine="709"/>
        <w:jc w:val="both"/>
        <w:rPr>
          <w:rFonts w:ascii="Verdana" w:eastAsia="Arial" w:hAnsi="Verdana" w:cs="Arial"/>
          <w:lang w:val="es-ES" w:eastAsia="es-ES" w:bidi="es-ES"/>
        </w:rPr>
      </w:pPr>
    </w:p>
    <w:p w14:paraId="2047A848" w14:textId="77777777" w:rsidR="00A6584F" w:rsidRPr="00E2397D" w:rsidRDefault="00A6584F" w:rsidP="00A6584F">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xml:space="preserve">. </w:t>
      </w:r>
      <w:bookmarkEnd w:id="4"/>
      <w:bookmarkEnd w:id="5"/>
      <w:r w:rsidRPr="00E2397D">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780F93DE" w14:textId="77777777" w:rsidR="00A6584F" w:rsidRPr="00E2397D" w:rsidRDefault="00A6584F" w:rsidP="00A6584F">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08A890F5" w14:textId="77777777" w:rsidR="00A6584F" w:rsidRPr="00E2397D" w:rsidRDefault="00A6584F" w:rsidP="00A6584F">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 xml:space="preserve">celebrar convenios interadministrativos para la </w:t>
      </w:r>
      <w:r w:rsidRPr="00E2397D">
        <w:rPr>
          <w:rFonts w:ascii="Verdana" w:eastAsia="Calibri" w:hAnsi="Verdana" w:cs="Arial"/>
          <w:lang w:val="es-MX"/>
        </w:rPr>
        <w:lastRenderedPageBreak/>
        <w:t>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45CDAA4C" w14:textId="77777777" w:rsidR="00A6584F" w:rsidRPr="00E2397D" w:rsidRDefault="00A6584F" w:rsidP="00A6584F">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E0AEE49" w14:textId="77777777" w:rsidR="00A6584F" w:rsidRPr="00E2397D" w:rsidRDefault="00A6584F" w:rsidP="00A6584F">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04646E12" w14:textId="77777777" w:rsidR="00A6584F" w:rsidRDefault="00A6584F" w:rsidP="00A6584F">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w:t>
      </w:r>
      <w:r w:rsidRPr="00E2397D">
        <w:rPr>
          <w:rFonts w:ascii="Verdana" w:eastAsia="Arial" w:hAnsi="Verdana" w:cs="Arial"/>
          <w:lang w:val="es-ES" w:eastAsia="es-ES" w:bidi="es-ES"/>
        </w:rPr>
        <w:lastRenderedPageBreak/>
        <w:t xml:space="preserve">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1BDF4C48" w14:textId="77777777" w:rsidR="00A6584F" w:rsidRDefault="00A6584F" w:rsidP="00A6584F">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Ahora bien, 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607E3248" w14:textId="77777777" w:rsidR="00A6584F" w:rsidRDefault="00A6584F" w:rsidP="00A6584F">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645BE2F9" w14:textId="77777777" w:rsidR="00A6584F" w:rsidRDefault="00A6584F" w:rsidP="00A6584F">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w:t>
      </w:r>
      <w:r>
        <w:rPr>
          <w:rFonts w:ascii="Verdana" w:eastAsia="Times New Roman" w:hAnsi="Verdana" w:cs="Arial"/>
          <w:bCs/>
          <w:lang w:val="es-ES" w:eastAsia="es-CO"/>
        </w:rPr>
        <w:lastRenderedPageBreak/>
        <w:t xml:space="preserve">Por tanto, no se refiere a los requisitos de ejecución, es decir, aquellas condiciones para iniciar un contrato, como es la aprobación de las garantías o el registro presupuestal, o en algunos casos, la firma del acta de inicio, si así se determinó. </w:t>
      </w:r>
    </w:p>
    <w:p w14:paraId="341F5D19" w14:textId="77777777" w:rsidR="00A6584F" w:rsidRPr="005B4B74" w:rsidRDefault="00A6584F" w:rsidP="00A6584F">
      <w:pPr>
        <w:spacing w:after="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32435E7A" w14:textId="77777777" w:rsidR="00A6584F" w:rsidRPr="00E2397D" w:rsidRDefault="00A6584F" w:rsidP="00A6584F">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5D8C325B" w14:textId="77777777" w:rsidR="00A6584F" w:rsidRDefault="00A6584F" w:rsidP="00A6584F">
      <w:pPr>
        <w:widowControl w:val="0"/>
        <w:autoSpaceDE w:val="0"/>
        <w:autoSpaceDN w:val="0"/>
        <w:spacing w:after="0" w:line="240" w:lineRule="auto"/>
        <w:ind w:left="709" w:right="709"/>
        <w:jc w:val="both"/>
        <w:rPr>
          <w:rFonts w:ascii="Verdana" w:eastAsia="Arial" w:hAnsi="Verdana" w:cs="Arial"/>
          <w:lang w:val="es-ES"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6674A433" w14:textId="77777777" w:rsidR="00A6584F" w:rsidRPr="00380CA4" w:rsidRDefault="00A6584F" w:rsidP="00A6584F">
      <w:pPr>
        <w:spacing w:after="0" w:line="276" w:lineRule="auto"/>
        <w:ind w:firstLine="709"/>
        <w:jc w:val="both"/>
        <w:rPr>
          <w:rFonts w:ascii="Verdana" w:eastAsia="Arial" w:hAnsi="Verdana" w:cs="Arial"/>
          <w:lang w:eastAsia="es-ES" w:bidi="es-ES"/>
        </w:rPr>
      </w:pPr>
    </w:p>
    <w:p w14:paraId="23CC1BE2" w14:textId="77777777" w:rsidR="00A6584F" w:rsidRPr="00380CA4" w:rsidRDefault="00A6584F" w:rsidP="00A6584F">
      <w:pPr>
        <w:spacing w:after="0" w:line="276" w:lineRule="auto"/>
        <w:jc w:val="both"/>
        <w:rPr>
          <w:rFonts w:ascii="Verdana" w:eastAsia="Times New Roman" w:hAnsi="Verdana" w:cs="Arial"/>
          <w:bCs/>
          <w:lang w:eastAsia="es-CO"/>
        </w:rPr>
      </w:pPr>
      <w:proofErr w:type="spellStart"/>
      <w:r>
        <w:rPr>
          <w:rFonts w:ascii="Verdana" w:eastAsia="Arial" w:hAnsi="Verdana" w:cs="Arial"/>
          <w:lang w:eastAsia="es-ES" w:bidi="es-ES"/>
        </w:rPr>
        <w:t>iii</w:t>
      </w:r>
      <w:proofErr w:type="spellEnd"/>
      <w:r>
        <w:rPr>
          <w:rFonts w:ascii="Verdana" w:eastAsia="Arial" w:hAnsi="Verdana" w:cs="Arial"/>
          <w:lang w:eastAsia="es-ES" w:bidi="es-ES"/>
        </w:rPr>
        <w:t>.</w:t>
      </w:r>
      <w:r w:rsidRPr="00380CA4">
        <w:rPr>
          <w:rFonts w:ascii="Verdana" w:eastAsia="Arial" w:hAnsi="Verdana" w:cs="Arial"/>
          <w:lang w:eastAsia="es-ES" w:bidi="es-ES"/>
        </w:rPr>
        <w:t xml:space="preserve"> </w:t>
      </w:r>
      <w:r w:rsidRPr="00380CA4">
        <w:rPr>
          <w:rFonts w:ascii="Verdana" w:eastAsia="Times New Roman" w:hAnsi="Verdana" w:cs="Arial"/>
          <w:bCs/>
          <w:lang w:eastAsia="x-none"/>
        </w:rPr>
        <w:t xml:space="preserve">El ámbito material de la prohibición contenida en el artículo 33 de la ley 996 de 2005 está delimitado por la expresión </w:t>
      </w:r>
      <w:r w:rsidRPr="00380CA4">
        <w:rPr>
          <w:rFonts w:ascii="Verdana" w:eastAsia="Calibri" w:hAnsi="Verdana" w:cs="Arial"/>
          <w:bCs/>
          <w:sz w:val="20"/>
          <w:szCs w:val="20"/>
        </w:rPr>
        <w:t>“</w:t>
      </w:r>
      <w:r w:rsidRPr="00380CA4">
        <w:rPr>
          <w:rFonts w:ascii="Verdana" w:eastAsia="Times New Roman" w:hAnsi="Verdana" w:cs="Arial"/>
          <w:bCs/>
          <w:lang w:eastAsia="x-none"/>
        </w:rPr>
        <w:t>queda prohibida la contratación directa</w:t>
      </w:r>
      <w:r w:rsidRPr="00380CA4">
        <w:rPr>
          <w:rFonts w:ascii="Verdana" w:eastAsia="Calibri" w:hAnsi="Verdana" w:cs="Arial"/>
          <w:sz w:val="20"/>
          <w:szCs w:val="20"/>
        </w:rPr>
        <w:t>”</w:t>
      </w:r>
      <w:r w:rsidRPr="00380CA4">
        <w:rPr>
          <w:rFonts w:ascii="Verdana" w:eastAsia="Times New Roman" w:hAnsi="Verdana" w:cs="Arial"/>
          <w:bCs/>
          <w:lang w:eastAsia="x-none"/>
        </w:rPr>
        <w:t xml:space="preserve">. </w:t>
      </w:r>
      <w:r w:rsidRPr="00380CA4">
        <w:rPr>
          <w:rFonts w:ascii="Verdana" w:eastAsia="Times New Roman" w:hAnsi="Verdana" w:cs="Arial"/>
          <w:lang w:eastAsia="es-CO"/>
        </w:rPr>
        <w:t xml:space="preserve"> A propósito de esta restricción de la Ley de Garantías Electorales, la Sala de Consulta y Servicio Civil del Consejo de Estado ha considerado que:</w:t>
      </w:r>
    </w:p>
    <w:p w14:paraId="68568165" w14:textId="77777777" w:rsidR="00A6584F" w:rsidRPr="00380CA4" w:rsidRDefault="00A6584F" w:rsidP="00A6584F">
      <w:pPr>
        <w:spacing w:after="0" w:line="240" w:lineRule="auto"/>
        <w:ind w:left="708" w:right="709"/>
        <w:jc w:val="both"/>
        <w:rPr>
          <w:rFonts w:ascii="Verdana" w:eastAsia="Calibri" w:hAnsi="Verdana" w:cs="Arial"/>
          <w:sz w:val="21"/>
          <w:szCs w:val="21"/>
        </w:rPr>
      </w:pPr>
    </w:p>
    <w:p w14:paraId="59AEE6CB" w14:textId="77777777" w:rsidR="00A6584F" w:rsidRPr="00380CA4" w:rsidRDefault="00A6584F" w:rsidP="00A6584F">
      <w:pPr>
        <w:spacing w:after="120" w:line="240" w:lineRule="auto"/>
        <w:ind w:left="709" w:right="709"/>
        <w:jc w:val="both"/>
        <w:rPr>
          <w:rFonts w:ascii="Verdana" w:eastAsia="Calibri" w:hAnsi="Verdana" w:cs="Arial"/>
          <w:sz w:val="20"/>
          <w:szCs w:val="20"/>
        </w:rPr>
      </w:pPr>
      <w:r w:rsidRPr="00380CA4">
        <w:rPr>
          <w:rFonts w:ascii="Verdana" w:eastAsia="Calibri" w:hAnsi="Verdana" w:cs="Arial"/>
          <w:sz w:val="20"/>
          <w:szCs w:val="20"/>
        </w:rPr>
        <w:lastRenderedPageBreak/>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80CA4">
        <w:rPr>
          <w:rFonts w:ascii="Verdana" w:eastAsia="Times New Roman" w:hAnsi="Verdana" w:cs="Arial"/>
          <w:sz w:val="20"/>
          <w:szCs w:val="20"/>
          <w:vertAlign w:val="superscript"/>
          <w:lang w:eastAsia="es-CO"/>
        </w:rPr>
        <w:footnoteReference w:id="12"/>
      </w:r>
      <w:r w:rsidRPr="00380CA4">
        <w:rPr>
          <w:rFonts w:ascii="Verdana" w:eastAsia="Calibri" w:hAnsi="Verdana" w:cs="Arial"/>
          <w:sz w:val="20"/>
          <w:szCs w:val="20"/>
        </w:rPr>
        <w:t>.</w:t>
      </w:r>
    </w:p>
    <w:p w14:paraId="25D8D130" w14:textId="77777777" w:rsidR="00A6584F" w:rsidRPr="00380CA4" w:rsidRDefault="00A6584F" w:rsidP="00A6584F">
      <w:pPr>
        <w:spacing w:after="0" w:line="240" w:lineRule="auto"/>
        <w:ind w:left="708" w:right="709"/>
        <w:jc w:val="both"/>
        <w:rPr>
          <w:rFonts w:ascii="Verdana" w:eastAsia="Calibri" w:hAnsi="Verdana" w:cs="Arial"/>
          <w:sz w:val="20"/>
          <w:szCs w:val="20"/>
        </w:rPr>
      </w:pPr>
      <w:r w:rsidRPr="00380CA4">
        <w:rPr>
          <w:rFonts w:ascii="Verdana" w:eastAsia="Calibri" w:hAnsi="Verdana" w:cs="Arial"/>
          <w:sz w:val="20"/>
          <w:szCs w:val="20"/>
        </w:rPr>
        <w:t xml:space="preserve">Esta Sala ha entendido </w:t>
      </w:r>
      <w:proofErr w:type="gramStart"/>
      <w:r w:rsidRPr="00380CA4">
        <w:rPr>
          <w:rFonts w:ascii="Verdana" w:eastAsia="Calibri" w:hAnsi="Verdana" w:cs="Arial"/>
          <w:sz w:val="20"/>
          <w:szCs w:val="20"/>
        </w:rPr>
        <w:t>que</w:t>
      </w:r>
      <w:proofErr w:type="gramEnd"/>
      <w:r w:rsidRPr="00380CA4">
        <w:rPr>
          <w:rFonts w:ascii="Verdana" w:eastAsia="Calibri" w:hAnsi="Verdana" w:cs="Arial"/>
          <w:sz w:val="20"/>
          <w:szCs w:val="20"/>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80CA4">
        <w:rPr>
          <w:rFonts w:ascii="Verdana" w:eastAsia="Times New Roman" w:hAnsi="Verdana" w:cs="Arial"/>
          <w:sz w:val="20"/>
          <w:szCs w:val="20"/>
          <w:vertAlign w:val="superscript"/>
        </w:rPr>
        <w:footnoteReference w:id="13"/>
      </w:r>
      <w:r w:rsidRPr="00380CA4">
        <w:rPr>
          <w:rFonts w:ascii="Verdana" w:eastAsia="Times New Roman" w:hAnsi="Verdana" w:cs="Arial"/>
          <w:sz w:val="20"/>
          <w:szCs w:val="20"/>
          <w:vertAlign w:val="superscript"/>
        </w:rPr>
        <w:t>.</w:t>
      </w:r>
      <w:r w:rsidRPr="00380CA4">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80CA4">
        <w:rPr>
          <w:rFonts w:ascii="Verdana" w:eastAsia="Times New Roman" w:hAnsi="Verdana" w:cs="Arial"/>
          <w:sz w:val="20"/>
          <w:szCs w:val="20"/>
          <w:vertAlign w:val="superscript"/>
          <w:lang w:eastAsia="es-CO"/>
        </w:rPr>
        <w:footnoteReference w:id="14"/>
      </w:r>
      <w:r w:rsidRPr="00380CA4">
        <w:rPr>
          <w:rFonts w:ascii="Verdana" w:eastAsia="Calibri" w:hAnsi="Verdana" w:cs="Arial"/>
          <w:sz w:val="20"/>
          <w:szCs w:val="20"/>
        </w:rPr>
        <w:t xml:space="preserve"> .</w:t>
      </w:r>
    </w:p>
    <w:p w14:paraId="09DDF74E" w14:textId="77777777" w:rsidR="00A6584F" w:rsidRPr="00380CA4" w:rsidRDefault="00A6584F" w:rsidP="00A6584F">
      <w:pPr>
        <w:shd w:val="clear" w:color="auto" w:fill="FFFFFF"/>
        <w:spacing w:after="0" w:line="276" w:lineRule="auto"/>
        <w:ind w:firstLine="709"/>
        <w:jc w:val="both"/>
        <w:rPr>
          <w:rFonts w:ascii="Verdana" w:eastAsia="Times New Roman" w:hAnsi="Verdana" w:cs="Arial"/>
          <w:lang w:eastAsia="x-none"/>
        </w:rPr>
      </w:pPr>
    </w:p>
    <w:p w14:paraId="23652F26" w14:textId="77777777" w:rsidR="00A6584F" w:rsidRPr="00380CA4" w:rsidRDefault="00A6584F" w:rsidP="00A6584F">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lang w:eastAsia="x-none"/>
        </w:rPr>
        <w:t xml:space="preserve">De acuerdo con el citado concepto, la prohibición del artículo 33 de la Ley de Garantías Electorales se refiere a </w:t>
      </w:r>
      <w:r w:rsidRPr="00380CA4">
        <w:rPr>
          <w:rFonts w:ascii="Verdana" w:eastAsia="Times New Roman" w:hAnsi="Verdana" w:cs="Arial"/>
          <w:sz w:val="19"/>
          <w:szCs w:val="19"/>
          <w:lang w:eastAsia="en-GB"/>
        </w:rPr>
        <w:t>“</w:t>
      </w:r>
      <w:r w:rsidRPr="00380CA4">
        <w:rPr>
          <w:rFonts w:ascii="Verdana" w:eastAsia="Times New Roman" w:hAnsi="Verdana" w:cs="Arial"/>
          <w:lang w:eastAsia="x-none"/>
        </w:rPr>
        <w:t>cualquier sistema que no implique convocatoria pública y posibilidad de pluralidad de oferentes</w:t>
      </w:r>
      <w:r w:rsidRPr="00380CA4">
        <w:rPr>
          <w:rFonts w:ascii="Verdana" w:eastAsia="Times New Roman" w:hAnsi="Verdana" w:cs="Arial"/>
          <w:lang w:eastAsia="en-GB"/>
        </w:rPr>
        <w:t>”</w:t>
      </w:r>
      <w:r w:rsidRPr="00380CA4">
        <w:rPr>
          <w:rFonts w:ascii="Verdana" w:eastAsia="Times New Roman" w:hAnsi="Verdana" w:cs="Arial"/>
          <w:lang w:eastAsia="x-none"/>
        </w:rPr>
        <w:t>, por lo que excluye las demás modalidades de contratación previstas en la Ley 1150 de 2007, es decir, la licitación pública, la selección abreviada, el concurso de méritos y la mínima cuantía</w:t>
      </w:r>
      <w:r w:rsidRPr="00380CA4" w:rsidDel="00A85D9F">
        <w:rPr>
          <w:rFonts w:ascii="Verdana" w:eastAsia="Times New Roman" w:hAnsi="Verdana" w:cs="Arial"/>
          <w:lang w:eastAsia="x-none"/>
        </w:rPr>
        <w:t xml:space="preserve"> </w:t>
      </w:r>
      <w:r w:rsidRPr="00380CA4">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380CA4">
        <w:rPr>
          <w:rFonts w:ascii="Verdana" w:eastAsia="Times New Roman" w:hAnsi="Verdana" w:cs="Arial"/>
          <w:vertAlign w:val="superscript"/>
          <w:lang w:eastAsia="x-none"/>
        </w:rPr>
        <w:footnoteReference w:id="15"/>
      </w:r>
      <w:r w:rsidRPr="00380CA4">
        <w:rPr>
          <w:rFonts w:ascii="Verdana" w:eastAsia="Times New Roman" w:hAnsi="Verdana" w:cs="Arial"/>
          <w:lang w:eastAsia="x-none"/>
        </w:rPr>
        <w:t xml:space="preserve"> y sistematizó las causales de contratación directa</w:t>
      </w:r>
      <w:r w:rsidRPr="00380CA4">
        <w:rPr>
          <w:rFonts w:ascii="Verdana" w:eastAsia="Times New Roman" w:hAnsi="Verdana" w:cs="Arial"/>
          <w:vertAlign w:val="superscript"/>
          <w:lang w:eastAsia="x-none"/>
        </w:rPr>
        <w:footnoteReference w:id="16"/>
      </w:r>
      <w:r w:rsidRPr="00380CA4">
        <w:rPr>
          <w:rFonts w:ascii="Verdana" w:eastAsia="Times New Roman" w:hAnsi="Verdana" w:cs="Arial"/>
          <w:lang w:eastAsia="x-none"/>
        </w:rPr>
        <w:t xml:space="preserve">, </w:t>
      </w:r>
      <w:r w:rsidRPr="00380CA4">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BCE870A" w14:textId="77777777" w:rsidR="00A6584F" w:rsidRPr="00F04D58" w:rsidRDefault="00A6584F" w:rsidP="00A6584F">
      <w:pPr>
        <w:spacing w:after="120" w:line="276" w:lineRule="auto"/>
        <w:ind w:firstLine="708"/>
        <w:jc w:val="both"/>
        <w:rPr>
          <w:rFonts w:ascii="Verdana" w:eastAsia="Times New Roman" w:hAnsi="Verdana" w:cs="Arial"/>
          <w:lang w:eastAsia="en-GB"/>
        </w:rPr>
      </w:pPr>
      <w:r w:rsidRPr="00380CA4">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380CA4">
        <w:rPr>
          <w:rFonts w:ascii="Verdana" w:eastAsia="Times New Roman" w:hAnsi="Verdana" w:cs="Arial"/>
          <w:lang w:eastAsia="x-none"/>
        </w:rPr>
        <w:t>contratación directa</w:t>
      </w:r>
      <w:r>
        <w:rPr>
          <w:rFonts w:ascii="Verdana" w:eastAsia="Times New Roman" w:hAnsi="Verdana" w:cs="Arial"/>
          <w:lang w:eastAsia="en-GB"/>
        </w:rPr>
        <w:t>”</w:t>
      </w:r>
      <w:r w:rsidRPr="00380CA4">
        <w:rPr>
          <w:rFonts w:ascii="Verdana" w:eastAsia="Times New Roman" w:hAnsi="Verdana" w:cs="Arial"/>
          <w:lang w:eastAsia="x-none"/>
        </w:rPr>
        <w:t xml:space="preserve">, </w:t>
      </w:r>
      <w:r w:rsidRPr="00380CA4">
        <w:rPr>
          <w:rFonts w:ascii="Verdana" w:eastAsia="Times New Roman" w:hAnsi="Verdana" w:cs="Arial"/>
          <w:lang w:eastAsia="x-none"/>
        </w:rPr>
        <w:lastRenderedPageBreak/>
        <w:t>precisando el Consejo de Estad</w:t>
      </w:r>
      <w:r>
        <w:rPr>
          <w:rFonts w:ascii="Verdana" w:eastAsia="Times New Roman" w:hAnsi="Verdana" w:cs="Arial"/>
          <w:lang w:eastAsia="x-none"/>
        </w:rPr>
        <w:t>o –en el concepto citado– que, “</w:t>
      </w:r>
      <w:r w:rsidRPr="00380CA4">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80CA4">
        <w:rPr>
          <w:rFonts w:ascii="Verdana" w:eastAsia="Times New Roman" w:hAnsi="Verdana" w:cs="Arial"/>
          <w:vertAlign w:val="superscript"/>
          <w:lang w:eastAsia="x-none"/>
        </w:rPr>
        <w:footnoteReference w:id="17"/>
      </w:r>
      <w:r w:rsidRPr="00380CA4">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380CA4">
        <w:rPr>
          <w:rFonts w:ascii="Verdana" w:eastAsia="Times New Roman" w:hAnsi="Verdana" w:cs="Arial"/>
          <w:lang w:eastAsia="x-none"/>
        </w:rPr>
        <w:t xml:space="preserve">. </w:t>
      </w:r>
    </w:p>
    <w:p w14:paraId="3D1F7A5A" w14:textId="77777777" w:rsidR="00A6584F" w:rsidRPr="00380CA4" w:rsidRDefault="00A6584F" w:rsidP="00A6584F">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x-none"/>
        </w:rPr>
        <w:t>E</w:t>
      </w:r>
      <w:r w:rsidRPr="00380CA4">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380CA4">
        <w:rPr>
          <w:rFonts w:ascii="Verdana" w:eastAsia="Times New Roman" w:hAnsi="Verdana" w:cs="Arial"/>
          <w:vertAlign w:val="superscript"/>
          <w:lang w:eastAsia="x-none"/>
        </w:rPr>
        <w:footnoteReference w:id="18"/>
      </w:r>
      <w:r w:rsidRPr="00380CA4">
        <w:rPr>
          <w:rFonts w:ascii="Verdana" w:eastAsia="Times New Roman" w:hAnsi="Verdana" w:cs="Arial"/>
          <w:lang w:eastAsia="x-none"/>
        </w:rPr>
        <w:t xml:space="preserve">. </w:t>
      </w:r>
    </w:p>
    <w:p w14:paraId="7BA5A1F0" w14:textId="77777777" w:rsidR="00A6584F" w:rsidRPr="00380CA4" w:rsidRDefault="00A6584F" w:rsidP="00A6584F">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w:t>
      </w:r>
      <w:r>
        <w:rPr>
          <w:rFonts w:ascii="Verdana" w:eastAsia="Times New Roman" w:hAnsi="Verdana" w:cs="Arial"/>
          <w:bCs/>
          <w:lang w:eastAsia="es-CO"/>
        </w:rPr>
        <w:t xml:space="preserve"> mayor precisión el término de “contratación directa”</w:t>
      </w:r>
      <w:r w:rsidRPr="00380CA4">
        <w:rPr>
          <w:rFonts w:ascii="Verdana" w:eastAsia="Times New Roman" w:hAnsi="Verdana" w:cs="Arial"/>
          <w:bCs/>
          <w:lang w:eastAsia="es-CO"/>
        </w:rPr>
        <w:t>.</w:t>
      </w:r>
    </w:p>
    <w:p w14:paraId="1C426CD3" w14:textId="77777777" w:rsidR="00A6584F" w:rsidRPr="001052D1" w:rsidRDefault="00A6584F" w:rsidP="00A6584F">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w:t>
      </w:r>
      <w:r w:rsidRPr="00380CA4">
        <w:rPr>
          <w:rFonts w:ascii="Verdana" w:eastAsia="Times New Roman" w:hAnsi="Verdana" w:cs="Arial"/>
          <w:bCs/>
          <w:lang w:eastAsia="x-none"/>
        </w:rPr>
        <w:lastRenderedPageBreak/>
        <w:t>participación de una pluralidad de oferentes</w:t>
      </w:r>
      <w:r w:rsidRPr="00380CA4">
        <w:rPr>
          <w:rFonts w:ascii="Verdana" w:eastAsia="Times New Roman" w:hAnsi="Verdana" w:cs="Arial"/>
          <w:vertAlign w:val="superscript"/>
          <w:lang w:eastAsia="x-none"/>
        </w:rPr>
        <w:footnoteReference w:id="19"/>
      </w:r>
      <w:r w:rsidRPr="00380CA4">
        <w:rPr>
          <w:rFonts w:ascii="Verdana" w:eastAsia="Times New Roman" w:hAnsi="Verdana" w:cs="Arial"/>
          <w:bCs/>
          <w:lang w:eastAsia="x-none"/>
        </w:rPr>
        <w:t>.</w:t>
      </w:r>
      <w:r w:rsidRPr="00380CA4">
        <w:rPr>
          <w:rFonts w:ascii="Verdana" w:eastAsia="Times New Roman" w:hAnsi="Verdana" w:cs="Arial"/>
          <w:vertAlign w:val="superscript"/>
          <w:lang w:eastAsia="x-none"/>
        </w:rPr>
        <w:t xml:space="preserve"> </w:t>
      </w:r>
      <w:r w:rsidRPr="00380CA4">
        <w:rPr>
          <w:rFonts w:ascii="Verdana" w:eastAsia="Times New Roman"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380CA4">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3B559F36" w14:textId="77777777" w:rsidR="00A6584F" w:rsidRDefault="00A6584F" w:rsidP="00A6584F">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380CA4">
        <w:rPr>
          <w:rFonts w:ascii="Verdana" w:eastAsia="Times New Roman" w:hAnsi="Verdana" w:cs="Arial"/>
          <w:bCs/>
          <w:lang w:eastAsia="x-none"/>
        </w:rPr>
        <w:t>ii</w:t>
      </w:r>
      <w:proofErr w:type="spellEnd"/>
      <w:r w:rsidRPr="00380CA4">
        <w:rPr>
          <w:rFonts w:ascii="Verdana" w:eastAsia="Times New Roman" w:hAnsi="Verdana" w:cs="Arial"/>
          <w:bCs/>
          <w:lang w:eastAsia="x-none"/>
        </w:rPr>
        <w:t xml:space="preserve">) los contratos de crédito público; </w:t>
      </w:r>
      <w:proofErr w:type="spellStart"/>
      <w:r w:rsidRPr="00380CA4">
        <w:rPr>
          <w:rFonts w:ascii="Verdana" w:eastAsia="Times New Roman" w:hAnsi="Verdana" w:cs="Arial"/>
          <w:bCs/>
          <w:lang w:eastAsia="x-none"/>
        </w:rPr>
        <w:t>iii</w:t>
      </w:r>
      <w:proofErr w:type="spellEnd"/>
      <w:r w:rsidRPr="00380CA4">
        <w:rPr>
          <w:rFonts w:ascii="Verdana" w:eastAsia="Times New Roman" w:hAnsi="Verdana" w:cs="Arial"/>
          <w:bCs/>
          <w:lang w:eastAsia="x-none"/>
        </w:rPr>
        <w:t xml:space="preserve">) los requeridos para cubrir las emergencias educativas, sanitarias y desastres; </w:t>
      </w:r>
      <w:proofErr w:type="spellStart"/>
      <w:r w:rsidRPr="00380CA4">
        <w:rPr>
          <w:rFonts w:ascii="Verdana" w:eastAsia="Times New Roman" w:hAnsi="Verdana" w:cs="Arial"/>
          <w:bCs/>
          <w:lang w:eastAsia="x-none"/>
        </w:rPr>
        <w:t>iv</w:t>
      </w:r>
      <w:proofErr w:type="spellEnd"/>
      <w:r w:rsidRPr="00380CA4">
        <w:rPr>
          <w:rFonts w:ascii="Verdana" w:eastAsia="Times New Roman" w:hAnsi="Verdana" w:cs="Arial"/>
          <w:bCs/>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w:t>
      </w:r>
      <w:r>
        <w:rPr>
          <w:rFonts w:ascii="Verdana" w:eastAsia="Times New Roman" w:hAnsi="Verdana" w:cs="Arial"/>
          <w:bCs/>
          <w:lang w:eastAsia="x-none"/>
        </w:rPr>
        <w:t>s.</w:t>
      </w:r>
    </w:p>
    <w:p w14:paraId="5EC9BC2C" w14:textId="77777777" w:rsidR="00A6584F" w:rsidRDefault="00A6584F" w:rsidP="00A6584F">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eastAsia="x-none"/>
        </w:rPr>
        <w:t>De acuerdo con dichas causales, e</w:t>
      </w:r>
      <w:r w:rsidRPr="00380CA4">
        <w:rPr>
          <w:rFonts w:ascii="Verdana" w:eastAsia="Times New Roman" w:hAnsi="Verdana" w:cs="Arial"/>
          <w:bCs/>
          <w:lang w:eastAsia="x-none"/>
        </w:rPr>
        <w:t>s.</w:t>
      </w:r>
      <w:r w:rsidRPr="00380CA4">
        <w:rPr>
          <w:rFonts w:ascii="Verdana" w:eastAsia="Times New Roman" w:hAnsi="Verdana" w:cs="Arial"/>
          <w:bCs/>
          <w:lang w:eastAsia="es-CO"/>
        </w:rPr>
        <w:t xml:space="preserve"> responsabilidad del respectivo ente del Estado, examinar en cada caso la naturaleza de las actividades que adelanta y determinar si las mismas se enmarcan en alguna de las mencionadas excepciones, de manera que se le permita realizar </w:t>
      </w:r>
      <w:r>
        <w:rPr>
          <w:rFonts w:ascii="Verdana" w:eastAsia="Times New Roman" w:hAnsi="Verdana" w:cs="Arial"/>
          <w:bCs/>
          <w:lang w:eastAsia="es-CO"/>
        </w:rPr>
        <w:t xml:space="preserve">la contratación que necesite de </w:t>
      </w:r>
      <w:r w:rsidRPr="00380CA4">
        <w:rPr>
          <w:rFonts w:ascii="Verdana" w:eastAsia="Times New Roman" w:hAnsi="Verdana" w:cs="Arial"/>
          <w:bCs/>
          <w:lang w:eastAsia="es-CO"/>
        </w:rPr>
        <w:t>forma directa.</w:t>
      </w:r>
      <w:r>
        <w:rPr>
          <w:rFonts w:ascii="Verdana" w:eastAsia="Times New Roman" w:hAnsi="Verdana" w:cs="Arial"/>
          <w:bCs/>
          <w:lang w:eastAsia="es-CO"/>
        </w:rPr>
        <w:t xml:space="preserve"> </w:t>
      </w:r>
    </w:p>
    <w:p w14:paraId="7C44D0DA" w14:textId="77777777" w:rsidR="00A6584F" w:rsidRDefault="00A6584F" w:rsidP="00A6584F">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80CA4">
        <w:rPr>
          <w:rFonts w:ascii="Verdana" w:eastAsia="Calibri" w:hAnsi="Verdana" w:cs="Arial"/>
          <w:vertAlign w:val="superscript"/>
        </w:rPr>
        <w:footnoteReference w:id="20"/>
      </w:r>
      <w:r w:rsidRPr="00380CA4">
        <w:rPr>
          <w:rFonts w:ascii="Verdana" w:eastAsia="Times New Roman" w:hAnsi="Verdana" w:cs="Arial"/>
          <w:bCs/>
          <w:lang w:eastAsia="x-none"/>
        </w:rPr>
        <w:t xml:space="preserve">. De ahí que la Corte haya señalado que las excepciones a la restricción protegen diversos tipos de </w:t>
      </w:r>
      <w:r w:rsidRPr="00380CA4">
        <w:rPr>
          <w:rFonts w:ascii="Verdana" w:eastAsia="Times New Roman" w:hAnsi="Verdana" w:cs="Arial"/>
          <w:bCs/>
          <w:lang w:eastAsia="x-none"/>
        </w:rPr>
        <w:lastRenderedPageBreak/>
        <w:t>urgencias de defensa, salud, educación, infraestructura vial y de servicios públicos y ecológicas, que tienden a no limitar desproporcionadamente la acción del Estado en el cumplimiento de sus fines, en procura de la igualdad entre los candidatos como garantía electoral</w:t>
      </w:r>
      <w:r>
        <w:rPr>
          <w:rFonts w:ascii="Verdana" w:eastAsia="Times New Roman" w:hAnsi="Verdana" w:cs="Arial"/>
          <w:bCs/>
          <w:lang w:eastAsia="x-none"/>
        </w:rPr>
        <w:t>.</w:t>
      </w:r>
    </w:p>
    <w:p w14:paraId="770D3879" w14:textId="77777777" w:rsidR="00A6584F" w:rsidRPr="002A1E2D" w:rsidRDefault="00A6584F" w:rsidP="00A6584F">
      <w:pPr>
        <w:spacing w:after="120" w:line="276" w:lineRule="auto"/>
        <w:ind w:firstLine="708"/>
        <w:jc w:val="both"/>
        <w:rPr>
          <w:rFonts w:ascii="Verdana" w:eastAsia="Times New Roman" w:hAnsi="Verdana" w:cs="Arial"/>
          <w:bCs/>
          <w:lang w:eastAsia="x-none"/>
        </w:rPr>
      </w:pPr>
      <w:r w:rsidRPr="002A1E2D">
        <w:rPr>
          <w:rFonts w:ascii="Verdana" w:eastAsia="Times New Roman" w:hAnsi="Verdana" w:cs="Arial"/>
          <w:bCs/>
          <w:lang w:val="es-MX" w:eastAsia="x-none"/>
        </w:rPr>
        <w:t xml:space="preserve">Así mismo, la Corte Constitucional en la Sentencia C-1153 de 2005 señaló que la expresión </w:t>
      </w:r>
      <w:r w:rsidRPr="002A1E2D">
        <w:rPr>
          <w:rFonts w:ascii="Verdana" w:eastAsia="Times New Roman" w:hAnsi="Verdana" w:cs="Arial"/>
          <w:bCs/>
          <w:i/>
          <w:iCs/>
          <w:lang w:val="es-ES" w:eastAsia="x-none"/>
        </w:rPr>
        <w:t xml:space="preserve">“adicionalmente se exceptúan aquellos gastos inaplazables e imprescindibles que afecten el normal funcionamiento de la administración” </w:t>
      </w:r>
      <w:r w:rsidRPr="002A1E2D">
        <w:rPr>
          <w:rFonts w:ascii="Verdana" w:eastAsia="Times New Roman" w:hAnsi="Verdana" w:cs="Arial"/>
          <w:bCs/>
          <w:iCs/>
          <w:lang w:val="es-ES" w:eastAsia="x-none"/>
        </w:rPr>
        <w:t>regulada como excepción en el artículo 33</w:t>
      </w:r>
      <w:r w:rsidRPr="002A1E2D">
        <w:rPr>
          <w:rFonts w:ascii="Verdana" w:eastAsia="Times New Roman" w:hAnsi="Verdana" w:cs="Arial"/>
          <w:bCs/>
          <w:i/>
          <w:iCs/>
          <w:lang w:val="es-ES" w:eastAsia="x-none"/>
        </w:rPr>
        <w:t xml:space="preserve"> </w:t>
      </w:r>
      <w:r w:rsidRPr="002A1E2D">
        <w:rPr>
          <w:rFonts w:ascii="Verdana" w:eastAsia="Times New Roman" w:hAnsi="Verdana" w:cs="Arial"/>
          <w:bCs/>
          <w:iCs/>
          <w:lang w:val="es-ES" w:eastAsia="x-none"/>
        </w:rPr>
        <w:t>es demasiado amplia y ambigua, pues términos como inaplazable, imprescindible y normal funcionamiento son evaluativos y sujetos a interpretaciones diversas, lo que permitiría introducir múltiples excepciones que desfigurarían la prohibición original y comprometerían los fines y propósitos de la Ley de Garantías Electorales.</w:t>
      </w:r>
      <w:r w:rsidRPr="002A1E2D">
        <w:rPr>
          <w:rFonts w:ascii="Verdana" w:eastAsia="Times New Roman" w:hAnsi="Verdana" w:cs="Arial"/>
          <w:bCs/>
          <w:i/>
          <w:iCs/>
          <w:lang w:val="es-ES" w:eastAsia="x-none"/>
        </w:rPr>
        <w:t xml:space="preserve"> </w:t>
      </w:r>
      <w:r w:rsidRPr="002A1E2D">
        <w:rPr>
          <w:rFonts w:ascii="Verdana" w:eastAsia="Times New Roman" w:hAnsi="Verdana" w:cs="Arial"/>
          <w:bCs/>
          <w:iCs/>
          <w:lang w:val="es-ES" w:eastAsia="x-none"/>
        </w:rPr>
        <w:t>Por tanto, dicha expresión fue declarada inexequible, razón por la cual no es posible que las entidades argumenten razones como esta para exceptuar la restricción del artículo 33.</w:t>
      </w:r>
    </w:p>
    <w:p w14:paraId="513C6EC5" w14:textId="77777777" w:rsidR="00A6584F" w:rsidRPr="00380CA4" w:rsidRDefault="00A6584F" w:rsidP="00A6584F">
      <w:pPr>
        <w:spacing w:after="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380CA4">
        <w:rPr>
          <w:rFonts w:ascii="Verdana" w:eastAsia="Calibri" w:hAnsi="Verdana" w:cs="Arial"/>
          <w:sz w:val="24"/>
        </w:rPr>
        <w:t xml:space="preserve"> </w:t>
      </w:r>
      <w:r w:rsidRPr="00380CA4">
        <w:rPr>
          <w:rFonts w:ascii="Verdana" w:eastAsia="Times New Roman" w:hAnsi="Verdana" w:cs="Arial"/>
          <w:bCs/>
          <w:lang w:eastAsia="x-none"/>
        </w:rPr>
        <w:t>En efecto, tal como lo ha sostenido el Consejo de Estado, el vocablo “todos” utilizado por el legislador comprende</w:t>
      </w:r>
      <w:r w:rsidRPr="00380CA4">
        <w:rPr>
          <w:rFonts w:ascii="Verdana" w:eastAsia="Calibri" w:hAnsi="Verdana" w:cs="Arial"/>
          <w:sz w:val="24"/>
        </w:rPr>
        <w:t xml:space="preserve"> </w:t>
      </w:r>
      <w:r w:rsidRPr="00380CA4">
        <w:rPr>
          <w:rFonts w:ascii="Verdana" w:eastAsia="Times New Roman" w:hAnsi="Verdana" w:cs="Arial"/>
          <w:bCs/>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14:paraId="16725C4D" w14:textId="77777777" w:rsidR="00A6584F" w:rsidRPr="00380CA4" w:rsidRDefault="00A6584F" w:rsidP="00A6584F">
      <w:pPr>
        <w:spacing w:after="0" w:line="276" w:lineRule="auto"/>
        <w:jc w:val="both"/>
        <w:rPr>
          <w:rFonts w:ascii="Verdana" w:eastAsia="Times New Roman" w:hAnsi="Verdana" w:cs="Arial"/>
          <w:bCs/>
          <w:lang w:eastAsia="x-none"/>
        </w:rPr>
      </w:pPr>
    </w:p>
    <w:p w14:paraId="3C4BBC8E" w14:textId="77777777" w:rsidR="00A6584F" w:rsidRPr="00625764" w:rsidRDefault="00A6584F" w:rsidP="00A6584F">
      <w:pPr>
        <w:spacing w:after="0" w:line="240" w:lineRule="auto"/>
        <w:ind w:left="708" w:right="709"/>
        <w:jc w:val="both"/>
        <w:rPr>
          <w:rFonts w:ascii="Verdana" w:eastAsia="Times New Roman" w:hAnsi="Verdana" w:cs="Arial"/>
          <w:bCs/>
          <w:sz w:val="20"/>
          <w:szCs w:val="20"/>
          <w:lang w:eastAsia="es-CO"/>
        </w:rPr>
      </w:pPr>
      <w:r w:rsidRPr="00625764">
        <w:rPr>
          <w:rFonts w:ascii="Verdana" w:eastAsia="Times New Roman" w:hAnsi="Verdana" w:cs="Arial"/>
          <w:bCs/>
          <w:sz w:val="20"/>
          <w:szCs w:val="20"/>
          <w:lang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w:t>
      </w:r>
      <w:r w:rsidRPr="00625764">
        <w:rPr>
          <w:rFonts w:ascii="Verdana" w:eastAsia="Times New Roman" w:hAnsi="Verdana" w:cs="Arial"/>
          <w:bCs/>
          <w:sz w:val="20"/>
          <w:szCs w:val="20"/>
          <w:lang w:eastAsia="x-none"/>
        </w:rPr>
        <w:lastRenderedPageBreak/>
        <w:t>prestadores directos, incluyendo las excepciones contenidas en el segundo inciso de esta norma</w:t>
      </w:r>
      <w:r w:rsidRPr="00625764">
        <w:rPr>
          <w:rFonts w:ascii="Verdana" w:eastAsia="Times New Roman" w:hAnsi="Verdana" w:cs="Arial"/>
          <w:bCs/>
          <w:sz w:val="20"/>
          <w:szCs w:val="20"/>
          <w:vertAlign w:val="superscript"/>
          <w:lang w:eastAsia="x-none"/>
        </w:rPr>
        <w:footnoteReference w:id="21"/>
      </w:r>
      <w:r w:rsidRPr="00625764">
        <w:rPr>
          <w:rFonts w:ascii="Verdana" w:eastAsia="Times New Roman" w:hAnsi="Verdana" w:cs="Arial"/>
          <w:bCs/>
          <w:sz w:val="20"/>
          <w:szCs w:val="20"/>
          <w:lang w:eastAsia="x-none"/>
        </w:rPr>
        <w:t>.</w:t>
      </w:r>
      <w:r w:rsidRPr="00625764">
        <w:rPr>
          <w:rFonts w:ascii="Verdana" w:eastAsia="Times New Roman" w:hAnsi="Verdana" w:cs="Arial"/>
          <w:bCs/>
          <w:sz w:val="20"/>
          <w:szCs w:val="20"/>
          <w:lang w:eastAsia="es-CO"/>
        </w:rPr>
        <w:t xml:space="preserve"> </w:t>
      </w:r>
    </w:p>
    <w:p w14:paraId="408D7179" w14:textId="77777777" w:rsidR="00A6584F" w:rsidRPr="00380CA4" w:rsidRDefault="00A6584F" w:rsidP="00A6584F">
      <w:pPr>
        <w:spacing w:after="0" w:line="276" w:lineRule="auto"/>
        <w:ind w:firstLine="708"/>
        <w:jc w:val="both"/>
        <w:rPr>
          <w:rFonts w:ascii="Verdana" w:eastAsia="Times New Roman" w:hAnsi="Verdana" w:cs="Arial"/>
          <w:bCs/>
          <w:lang w:eastAsia="es-CO"/>
        </w:rPr>
      </w:pPr>
    </w:p>
    <w:p w14:paraId="0D46F94A" w14:textId="77777777" w:rsidR="00A6584F" w:rsidRPr="00380CA4" w:rsidRDefault="00A6584F" w:rsidP="00A6584F">
      <w:pPr>
        <w:spacing w:after="0" w:line="276" w:lineRule="auto"/>
        <w:ind w:firstLine="708"/>
        <w:jc w:val="both"/>
        <w:rPr>
          <w:rFonts w:ascii="Verdana" w:eastAsia="Calibri" w:hAnsi="Verdana" w:cs="Arial"/>
        </w:rPr>
      </w:pPr>
      <w:r w:rsidRPr="00380CA4">
        <w:rPr>
          <w:rFonts w:ascii="Verdana" w:eastAsia="Times New Roman" w:hAnsi="Verdana" w:cs="Arial"/>
          <w:bCs/>
          <w:lang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380CA4">
        <w:rPr>
          <w:rFonts w:ascii="Verdana" w:eastAsia="Calibri" w:hAnsi="Verdana" w:cs="Arial"/>
          <w:sz w:val="24"/>
          <w:vertAlign w:val="superscript"/>
        </w:rPr>
        <w:footnoteReference w:id="22"/>
      </w:r>
      <w:r w:rsidRPr="00380CA4">
        <w:rPr>
          <w:rFonts w:ascii="Verdana" w:eastAsia="Times New Roman" w:hAnsi="Verdana" w:cs="Arial"/>
          <w:bCs/>
          <w:lang w:eastAsia="x-none"/>
        </w:rPr>
        <w:t>.</w:t>
      </w:r>
      <w:r w:rsidRPr="00380CA4">
        <w:rPr>
          <w:rFonts w:ascii="Verdana" w:eastAsia="Calibri" w:hAnsi="Verdana" w:cs="Arial"/>
        </w:rPr>
        <w:t xml:space="preserve"> Además, la Sala de Consulta y Servicio Civil del Consejo de Estado realizó la siguiente distinción, retomando el pronunciamiento de la misma sala del 20 de febrero de 2006, citado anteriormente:</w:t>
      </w:r>
    </w:p>
    <w:p w14:paraId="76D6468C" w14:textId="77777777" w:rsidR="00A6584F" w:rsidRPr="00380CA4" w:rsidRDefault="00A6584F" w:rsidP="00A6584F">
      <w:pPr>
        <w:spacing w:after="0" w:line="276" w:lineRule="auto"/>
        <w:jc w:val="both"/>
        <w:rPr>
          <w:rFonts w:ascii="Verdana" w:eastAsia="Calibri" w:hAnsi="Verdana" w:cs="Arial"/>
        </w:rPr>
      </w:pPr>
    </w:p>
    <w:p w14:paraId="155D71AE" w14:textId="77777777" w:rsidR="00A6584F" w:rsidRPr="00380CA4" w:rsidRDefault="00A6584F" w:rsidP="00A6584F">
      <w:pPr>
        <w:spacing w:after="0" w:line="240" w:lineRule="auto"/>
        <w:ind w:left="708" w:right="709"/>
        <w:jc w:val="both"/>
        <w:rPr>
          <w:rFonts w:ascii="Verdana" w:eastAsia="Calibri" w:hAnsi="Verdana" w:cs="Arial"/>
          <w:sz w:val="20"/>
          <w:szCs w:val="20"/>
        </w:rPr>
      </w:pPr>
      <w:r w:rsidRPr="00380CA4">
        <w:rPr>
          <w:rFonts w:ascii="Verdana" w:eastAsia="Calibri" w:hAnsi="Verdana" w:cs="Arial"/>
          <w:sz w:val="20"/>
          <w:szCs w:val="20"/>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3CDEEDC3" w14:textId="77777777" w:rsidR="00A6584F" w:rsidRPr="00380CA4" w:rsidRDefault="00A6584F" w:rsidP="00A6584F">
      <w:pPr>
        <w:spacing w:after="0" w:line="240" w:lineRule="auto"/>
        <w:ind w:left="708" w:right="709"/>
        <w:jc w:val="both"/>
        <w:rPr>
          <w:rFonts w:ascii="Verdana" w:eastAsia="Calibri" w:hAnsi="Verdana" w:cs="Arial"/>
          <w:sz w:val="20"/>
          <w:szCs w:val="20"/>
        </w:rPr>
      </w:pPr>
    </w:p>
    <w:p w14:paraId="4F542B9A" w14:textId="77777777" w:rsidR="00A6584F" w:rsidRPr="00380CA4" w:rsidRDefault="00A6584F" w:rsidP="00A6584F">
      <w:pPr>
        <w:spacing w:after="0" w:line="240" w:lineRule="auto"/>
        <w:ind w:left="708" w:right="709"/>
        <w:jc w:val="both"/>
        <w:rPr>
          <w:rFonts w:ascii="Verdana" w:eastAsia="Calibri" w:hAnsi="Verdana" w:cs="Arial"/>
          <w:sz w:val="20"/>
          <w:szCs w:val="20"/>
        </w:rPr>
      </w:pPr>
      <w:r w:rsidRPr="00380CA4">
        <w:rPr>
          <w:rFonts w:ascii="Verdana" w:eastAsia="Times New Roman" w:hAnsi="Verdana" w:cs="Arial"/>
          <w:bCs/>
          <w:sz w:val="20"/>
          <w:szCs w:val="20"/>
          <w:lang w:eastAsia="x-none"/>
        </w:rPr>
        <w:t xml:space="preserve">Aplicando este razonamiento a los establecimientos de crédito, a las sociedades de servicios financieros y a las entidades aseguradoras, </w:t>
      </w:r>
      <w:r w:rsidRPr="00380CA4">
        <w:rPr>
          <w:rFonts w:ascii="Verdana" w:eastAsia="Times New Roman" w:hAnsi="Verdana" w:cs="Arial"/>
          <w:bCs/>
          <w:sz w:val="20"/>
          <w:szCs w:val="20"/>
          <w:lang w:eastAsia="x-none"/>
        </w:rPr>
        <w:lastRenderedPageBreak/>
        <w:t>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380CA4">
        <w:rPr>
          <w:rFonts w:ascii="Verdana" w:eastAsia="Calibri" w:hAnsi="Verdana" w:cs="Arial"/>
          <w:sz w:val="20"/>
          <w:szCs w:val="20"/>
          <w:vertAlign w:val="superscript"/>
        </w:rPr>
        <w:footnoteReference w:id="23"/>
      </w:r>
      <w:r w:rsidRPr="00380CA4">
        <w:rPr>
          <w:rFonts w:ascii="Verdana" w:eastAsia="Times New Roman" w:hAnsi="Verdana" w:cs="Arial"/>
          <w:bCs/>
          <w:sz w:val="20"/>
          <w:szCs w:val="20"/>
          <w:lang w:eastAsia="x-none"/>
        </w:rPr>
        <w:t>.</w:t>
      </w:r>
    </w:p>
    <w:p w14:paraId="6B19A403" w14:textId="77777777" w:rsidR="00A6584F" w:rsidRPr="00380CA4" w:rsidRDefault="00A6584F" w:rsidP="00A6584F">
      <w:pPr>
        <w:spacing w:after="0" w:line="276" w:lineRule="auto"/>
        <w:jc w:val="both"/>
        <w:rPr>
          <w:rFonts w:ascii="Verdana" w:eastAsia="Calibri" w:hAnsi="Verdana" w:cs="Arial"/>
        </w:rPr>
      </w:pPr>
    </w:p>
    <w:p w14:paraId="51B5E499" w14:textId="77777777" w:rsidR="00A6584F" w:rsidRDefault="00A6584F" w:rsidP="00A6584F">
      <w:pPr>
        <w:spacing w:after="0" w:line="276" w:lineRule="auto"/>
        <w:ind w:firstLine="709"/>
        <w:jc w:val="both"/>
        <w:rPr>
          <w:rFonts w:ascii="Verdana" w:eastAsiaTheme="minorEastAsia" w:hAnsi="Verdana" w:cs="Arial"/>
          <w:lang w:eastAsia="es-CO"/>
        </w:rPr>
      </w:pPr>
      <w:r w:rsidRPr="00380CA4">
        <w:rPr>
          <w:rFonts w:ascii="Verdana" w:eastAsia="Calibri" w:hAnsi="Verdana" w:cs="Arial"/>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w:t>
      </w:r>
      <w:r>
        <w:rPr>
          <w:rFonts w:ascii="Verdana" w:eastAsia="Calibri" w:hAnsi="Verdana" w:cs="Arial"/>
        </w:rPr>
        <w:t>l</w:t>
      </w:r>
      <w:r w:rsidRPr="00C15179">
        <w:rPr>
          <w:rFonts w:ascii="Verdana" w:eastAsia="Times New Roman" w:hAnsi="Verdana" w:cs="Arial"/>
          <w:bCs/>
          <w:lang w:val="es-ES" w:eastAsia="es-CO"/>
        </w:rPr>
        <w:t>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Al respecto, expresó</w:t>
      </w:r>
      <w:r>
        <w:rPr>
          <w:rFonts w:ascii="Verdana" w:eastAsia="Calibri" w:hAnsi="Verdana" w:cs="Arial"/>
          <w:lang w:val="es-MX"/>
        </w:rPr>
        <w:t>:</w:t>
      </w:r>
    </w:p>
    <w:p w14:paraId="4A0FB5CC" w14:textId="77777777" w:rsidR="00A6584F" w:rsidRDefault="00A6584F" w:rsidP="00A6584F">
      <w:pPr>
        <w:spacing w:after="0" w:line="276" w:lineRule="auto"/>
        <w:ind w:left="709" w:right="709"/>
        <w:jc w:val="both"/>
        <w:rPr>
          <w:rFonts w:ascii="Verdana" w:eastAsia="Calibri" w:hAnsi="Verdana" w:cs="Arial"/>
          <w:sz w:val="20"/>
          <w:szCs w:val="20"/>
        </w:rPr>
      </w:pPr>
    </w:p>
    <w:p w14:paraId="57BE2262" w14:textId="77777777" w:rsidR="00A6584F" w:rsidRDefault="00A6584F" w:rsidP="00A6584F">
      <w:pPr>
        <w:spacing w:after="0" w:line="240" w:lineRule="auto"/>
        <w:ind w:left="709" w:right="709"/>
        <w:jc w:val="both"/>
        <w:rPr>
          <w:rFonts w:ascii="Verdana" w:eastAsia="Times New Roman" w:hAnsi="Verdana" w:cs="Arial"/>
          <w:lang w:eastAsia="es-CO"/>
        </w:rPr>
      </w:pPr>
      <w:r w:rsidRPr="002D1225">
        <w:rPr>
          <w:rFonts w:ascii="Verdana" w:eastAsia="Calibri" w:hAnsi="Verdana" w:cs="Arial"/>
          <w:sz w:val="20"/>
          <w:szCs w:val="20"/>
        </w:rPr>
        <w:t xml:space="preserve">“[…] en la medida en que los reglamentos internos de una empresa de servicios públicos domiciliarios determinen que la adquisición de algún insumo esencial para la prestación del servicio se realice por contratación directa, y que mientras se adelanta el trámite de la licitación pública del 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w:t>
      </w:r>
      <w:proofErr w:type="gramStart"/>
      <w:r w:rsidRPr="002D1225">
        <w:rPr>
          <w:rFonts w:ascii="Verdana" w:eastAsia="Calibri" w:hAnsi="Verdana" w:cs="Arial"/>
          <w:sz w:val="20"/>
          <w:szCs w:val="20"/>
        </w:rPr>
        <w:t>que</w:t>
      </w:r>
      <w:proofErr w:type="gramEnd"/>
      <w:r w:rsidRPr="002D1225">
        <w:rPr>
          <w:rFonts w:ascii="Verdana" w:eastAsia="Calibri" w:hAnsi="Verdana" w:cs="Arial"/>
          <w:sz w:val="20"/>
          <w:szCs w:val="20"/>
        </w:rPr>
        <w:t xml:space="preserve"> frente a los servicios públicos domiciliarios, los usuarios tienen un derecho subjetivo a su prestación, que en veces está en conexión con los derechos fundamentales, como en el caso de los servicios del acueducto, alcantarillado, saneamiento básico, </w:t>
      </w:r>
      <w:proofErr w:type="spellStart"/>
      <w:r w:rsidRPr="002D1225">
        <w:rPr>
          <w:rFonts w:ascii="Verdana" w:eastAsia="Calibri" w:hAnsi="Verdana" w:cs="Arial"/>
          <w:sz w:val="20"/>
          <w:szCs w:val="20"/>
        </w:rPr>
        <w:t>etc</w:t>
      </w:r>
      <w:proofErr w:type="spellEnd"/>
      <w:r>
        <w:rPr>
          <w:rFonts w:ascii="Verdana" w:eastAsia="Calibri" w:hAnsi="Verdana" w:cs="Arial"/>
          <w:lang w:val="es-MX"/>
        </w:rPr>
        <w:t>”</w:t>
      </w:r>
      <w:r w:rsidRPr="0057193B">
        <w:rPr>
          <w:rFonts w:ascii="Verdana" w:eastAsia="Calibri" w:hAnsi="Verdana" w:cs="Arial"/>
          <w:vertAlign w:val="superscript"/>
          <w:lang w:val="es-MX"/>
        </w:rPr>
        <w:footnoteReference w:id="24"/>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3439EA2F" w14:textId="77777777" w:rsidR="00A6584F" w:rsidRDefault="00A6584F" w:rsidP="00A6584F">
      <w:pPr>
        <w:spacing w:after="0" w:line="276" w:lineRule="auto"/>
        <w:ind w:left="709" w:right="709"/>
        <w:jc w:val="both"/>
        <w:rPr>
          <w:rFonts w:ascii="Verdana" w:eastAsia="Calibri" w:hAnsi="Verdana" w:cs="Arial"/>
          <w:sz w:val="20"/>
          <w:szCs w:val="20"/>
        </w:rPr>
      </w:pPr>
    </w:p>
    <w:p w14:paraId="2CD9EC16" w14:textId="77777777" w:rsidR="00A6584F" w:rsidRPr="00C15525" w:rsidRDefault="00A6584F" w:rsidP="00A6584F">
      <w:pPr>
        <w:spacing w:after="0" w:line="276" w:lineRule="auto"/>
        <w:ind w:firstLine="709"/>
        <w:jc w:val="both"/>
        <w:rPr>
          <w:rFonts w:ascii="Verdana" w:eastAsia="Arial" w:hAnsi="Verdana" w:cs="Arial"/>
          <w:lang w:val="es-ES" w:eastAsia="es-ES" w:bidi="es-ES"/>
        </w:rPr>
      </w:pPr>
      <w:r>
        <w:rPr>
          <w:rFonts w:ascii="Verdana" w:hAnsi="Verdana" w:cs="Arial"/>
          <w:lang w:val="es-ES_tradnl"/>
        </w:rPr>
        <w:lastRenderedPageBreak/>
        <w:t xml:space="preserve">En otro asunto, materia de estudio, </w:t>
      </w:r>
      <w:r w:rsidRPr="00C15525">
        <w:rPr>
          <w:rFonts w:ascii="Verdana" w:eastAsia="Calibri" w:hAnsi="Verdana" w:cs="Arial"/>
          <w:color w:val="000000" w:themeColor="text1"/>
        </w:rPr>
        <w:t xml:space="preserve">es importante </w:t>
      </w:r>
      <w:r w:rsidRPr="00C15525">
        <w:rPr>
          <w:rFonts w:ascii="Verdana" w:eastAsia="Calibri" w:hAnsi="Verdana" w:cs="Arial"/>
          <w:bCs/>
          <w:color w:val="000000" w:themeColor="text1"/>
        </w:rPr>
        <w:t xml:space="preserve">tener en cuenta </w:t>
      </w:r>
      <w:r w:rsidRPr="00C15525">
        <w:rPr>
          <w:rFonts w:ascii="Verdana" w:eastAsia="Arial" w:hAnsi="Verdana" w:cs="Arial"/>
          <w:lang w:val="es-ES" w:eastAsia="es-ES" w:bidi="es-ES"/>
        </w:rPr>
        <w:t>el pronunciamiento de la Sala de Consulta y Servicio Civil del Consejo de Estado, el cual precisó, respecto del artículo 5 de la Ley 109 de 1994, que cuando excepcionalmente el contrato o convenio interadministrativo es ordenado por una ley, su celebración no resultaría violatoria de la restricción a la contratación directa contenida en la Ley 996 de 2005:</w:t>
      </w:r>
    </w:p>
    <w:p w14:paraId="3F42C7C2" w14:textId="77777777" w:rsidR="00A6584F" w:rsidRPr="00C15525" w:rsidRDefault="00A6584F" w:rsidP="00A6584F">
      <w:pPr>
        <w:widowControl w:val="0"/>
        <w:autoSpaceDE w:val="0"/>
        <w:autoSpaceDN w:val="0"/>
        <w:spacing w:after="0" w:line="276" w:lineRule="auto"/>
        <w:jc w:val="both"/>
        <w:rPr>
          <w:rFonts w:ascii="Verdana" w:eastAsia="Arial" w:hAnsi="Verdana" w:cs="Arial"/>
          <w:lang w:val="es-ES" w:eastAsia="es-ES" w:bidi="es-ES"/>
        </w:rPr>
      </w:pPr>
    </w:p>
    <w:p w14:paraId="7FF6270D" w14:textId="77777777" w:rsidR="00A6584F" w:rsidRPr="00C15525" w:rsidRDefault="00A6584F" w:rsidP="00A6584F">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Esta norma [artículo 5 de la Ley 109 de 1994], obliga a los “organismos”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 </w:t>
      </w:r>
    </w:p>
    <w:p w14:paraId="21452C2A" w14:textId="77777777" w:rsidR="00A6584F" w:rsidRPr="00C15525" w:rsidRDefault="00A6584F" w:rsidP="00A6584F">
      <w:pPr>
        <w:widowControl w:val="0"/>
        <w:autoSpaceDE w:val="0"/>
        <w:autoSpaceDN w:val="0"/>
        <w:spacing w:after="0" w:line="240" w:lineRule="auto"/>
        <w:ind w:left="709" w:right="709"/>
        <w:jc w:val="both"/>
        <w:rPr>
          <w:rFonts w:ascii="Verdana" w:hAnsi="Verdana" w:cs="Arial"/>
          <w:sz w:val="20"/>
          <w:szCs w:val="20"/>
        </w:rPr>
      </w:pPr>
    </w:p>
    <w:p w14:paraId="75BC0645" w14:textId="77777777" w:rsidR="00A6584F" w:rsidRPr="00C15525" w:rsidRDefault="00A6584F" w:rsidP="00A6584F">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 claro que la ley ordena que la regulación de dicha relación interadministrativa se efectúe por el mecanismo de una convención, pero también es claro que </w:t>
      </w:r>
      <w:proofErr w:type="gramStart"/>
      <w:r w:rsidRPr="00C15525">
        <w:rPr>
          <w:rFonts w:ascii="Verdana" w:hAnsi="Verdana" w:cs="Arial"/>
          <w:sz w:val="20"/>
          <w:szCs w:val="20"/>
        </w:rPr>
        <w:t>éste</w:t>
      </w:r>
      <w:proofErr w:type="gramEnd"/>
      <w:r w:rsidRPr="00C15525">
        <w:rPr>
          <w:rFonts w:ascii="Verdana" w:hAnsi="Verdana" w:cs="Arial"/>
          <w:sz w:val="20"/>
          <w:szCs w:val="20"/>
        </w:rPr>
        <w:t xml:space="preserv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49497C0D" w14:textId="77777777" w:rsidR="00A6584F" w:rsidRPr="00C15525" w:rsidRDefault="00A6584F" w:rsidP="00A6584F">
      <w:pPr>
        <w:widowControl w:val="0"/>
        <w:autoSpaceDE w:val="0"/>
        <w:autoSpaceDN w:val="0"/>
        <w:spacing w:after="0" w:line="240" w:lineRule="auto"/>
        <w:ind w:left="709" w:right="709"/>
        <w:jc w:val="both"/>
        <w:rPr>
          <w:rFonts w:ascii="Verdana" w:hAnsi="Verdana" w:cs="Arial"/>
          <w:sz w:val="20"/>
          <w:szCs w:val="20"/>
        </w:rPr>
      </w:pPr>
    </w:p>
    <w:p w14:paraId="2328E9A6" w14:textId="77777777" w:rsidR="00A6584F" w:rsidRPr="00C15525" w:rsidRDefault="00A6584F" w:rsidP="00A6584F">
      <w:pPr>
        <w:widowControl w:val="0"/>
        <w:autoSpaceDE w:val="0"/>
        <w:autoSpaceDN w:val="0"/>
        <w:spacing w:after="0" w:line="240" w:lineRule="auto"/>
        <w:ind w:left="709" w:right="709"/>
        <w:jc w:val="both"/>
        <w:rPr>
          <w:rFonts w:ascii="Verdana" w:hAnsi="Verdana" w:cs="Arial"/>
        </w:rPr>
      </w:pPr>
      <w:bookmarkStart w:id="6" w:name="_Hlk75761737"/>
      <w:r w:rsidRPr="00C15525">
        <w:rPr>
          <w:rFonts w:ascii="Verdana" w:hAnsi="Verdana" w:cs="Arial"/>
          <w:sz w:val="20"/>
          <w:szCs w:val="20"/>
        </w:rPr>
        <w:t>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la orden dada por el legislador</w:t>
      </w:r>
      <w:bookmarkEnd w:id="6"/>
      <w:r w:rsidRPr="00C15525">
        <w:rPr>
          <w:rFonts w:ascii="Verdana" w:hAnsi="Verdana" w:cs="Arial"/>
          <w:sz w:val="20"/>
          <w:szCs w:val="20"/>
          <w:vertAlign w:val="superscript"/>
        </w:rPr>
        <w:footnoteReference w:id="25"/>
      </w:r>
      <w:r w:rsidRPr="00C15525">
        <w:rPr>
          <w:rFonts w:ascii="Verdana" w:hAnsi="Verdana" w:cs="Arial"/>
          <w:sz w:val="20"/>
          <w:szCs w:val="20"/>
        </w:rPr>
        <w:t xml:space="preserve">. </w:t>
      </w:r>
    </w:p>
    <w:p w14:paraId="7398407F" w14:textId="77777777" w:rsidR="00A6584F" w:rsidRPr="00C15525" w:rsidRDefault="00A6584F" w:rsidP="00A6584F">
      <w:pPr>
        <w:widowControl w:val="0"/>
        <w:autoSpaceDE w:val="0"/>
        <w:autoSpaceDN w:val="0"/>
        <w:spacing w:after="0" w:line="276" w:lineRule="auto"/>
        <w:jc w:val="both"/>
        <w:rPr>
          <w:rFonts w:ascii="Verdana" w:eastAsia="Arial" w:hAnsi="Verdana" w:cs="Arial"/>
          <w:lang w:val="es-ES" w:eastAsia="es-ES" w:bidi="es-ES"/>
        </w:rPr>
      </w:pPr>
    </w:p>
    <w:p w14:paraId="32EF3502" w14:textId="77777777" w:rsidR="00A6584F" w:rsidRPr="000E03E2" w:rsidRDefault="00A6584F" w:rsidP="00A6584F">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val="es-ES" w:eastAsia="es-ES"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C15525">
        <w:rPr>
          <w:rFonts w:ascii="Verdana" w:eastAsia="Arial" w:hAnsi="Verdana" w:cs="Arial"/>
          <w:lang w:eastAsia="es-ES" w:bidi="es-ES"/>
        </w:rPr>
        <w:t xml:space="preserve">el contrato no puede ser violatorio de la restricción a la contratación </w:t>
      </w:r>
      <w:r w:rsidRPr="00C15525">
        <w:rPr>
          <w:rFonts w:ascii="Verdana" w:eastAsia="Arial" w:hAnsi="Verdana" w:cs="Arial"/>
          <w:lang w:eastAsia="es-ES" w:bidi="es-ES"/>
        </w:rPr>
        <w:lastRenderedPageBreak/>
        <w:t xml:space="preserve">directa contenida en el artículo 33 de la Ley 996 de 2005. </w:t>
      </w:r>
    </w:p>
    <w:p w14:paraId="1DD164B9" w14:textId="77777777" w:rsidR="00A6584F" w:rsidRPr="006177F8" w:rsidRDefault="00A6584F" w:rsidP="00A6584F">
      <w:pPr>
        <w:spacing w:after="120" w:line="276" w:lineRule="auto"/>
        <w:ind w:firstLine="708"/>
        <w:jc w:val="both"/>
        <w:rPr>
          <w:rFonts w:ascii="Verdana" w:eastAsia="Arial" w:hAnsi="Verdana" w:cs="Arial"/>
          <w:lang w:val="es-ES" w:eastAsia="es-ES" w:bidi="es-ES"/>
        </w:rPr>
      </w:pPr>
      <w:r>
        <w:rPr>
          <w:rFonts w:ascii="Verdana" w:hAnsi="Verdana" w:cs="Arial"/>
          <w:lang w:val="es-ES_tradnl"/>
        </w:rPr>
        <w:t>También la Sala de Consulta y Servicio Civil del Consejo de Estado ha presentado supuestos de excepción a la restricción de los artículos 33 y 38 cuando l</w:t>
      </w:r>
      <w:r w:rsidRPr="006177F8">
        <w:rPr>
          <w:rFonts w:ascii="Verdana" w:hAnsi="Verdana" w:cs="Arial"/>
          <w:lang w:val="es-ES_tradnl"/>
        </w:rPr>
        <w:t>a contratación se enmarca en una providencia judicial</w:t>
      </w:r>
      <w:r w:rsidRPr="006177F8">
        <w:rPr>
          <w:rFonts w:ascii="Verdana" w:eastAsia="Arial" w:hAnsi="Verdana" w:cs="Arial"/>
          <w:lang w:val="es-ES" w:eastAsia="es-ES" w:bidi="es-ES"/>
        </w:rPr>
        <w:t xml:space="preserve">, </w:t>
      </w:r>
      <w:r>
        <w:rPr>
          <w:rFonts w:ascii="Verdana" w:eastAsia="Arial" w:hAnsi="Verdana" w:cs="Arial"/>
          <w:lang w:val="es-ES" w:eastAsia="es-ES" w:bidi="es-ES"/>
        </w:rPr>
        <w:t xml:space="preserve">pues en dicho caso debe tenerse </w:t>
      </w:r>
      <w:r w:rsidRPr="006177F8">
        <w:rPr>
          <w:rFonts w:ascii="Verdana" w:eastAsia="Arial" w:hAnsi="Verdana" w:cs="Arial"/>
          <w:lang w:val="es-ES" w:eastAsia="es-ES" w:bidi="es-ES"/>
        </w:rPr>
        <w:t>en cuenta que las decisiones judiciales tienen fuerza vinculante y cumplirse 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0511BC44" w14:textId="77777777" w:rsidR="00A6584F" w:rsidRPr="006177F8" w:rsidRDefault="00A6584F" w:rsidP="00A6584F">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7"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7"/>
      <w:r w:rsidRPr="006177F8">
        <w:rPr>
          <w:rFonts w:ascii="Verdana" w:eastAsia="Arial" w:hAnsi="Verdana" w:cs="Arial"/>
          <w:vertAlign w:val="superscript"/>
          <w:lang w:val="es-ES" w:eastAsia="es-ES" w:bidi="es-ES"/>
        </w:rPr>
        <w:footnoteReference w:id="26"/>
      </w:r>
      <w:r w:rsidRPr="006177F8">
        <w:rPr>
          <w:rFonts w:ascii="Verdana" w:eastAsia="Arial" w:hAnsi="Verdana" w:cs="Arial"/>
          <w:lang w:val="es-ES" w:eastAsia="es-ES" w:bidi="es-ES"/>
        </w:rPr>
        <w:t>. Al respecto, dicho Concepto expresa:</w:t>
      </w:r>
    </w:p>
    <w:p w14:paraId="147032E1" w14:textId="77777777" w:rsidR="00A6584F" w:rsidRPr="006177F8" w:rsidRDefault="00A6584F" w:rsidP="00A6584F">
      <w:pPr>
        <w:spacing w:after="0" w:line="276" w:lineRule="auto"/>
        <w:ind w:firstLine="709"/>
        <w:jc w:val="both"/>
        <w:rPr>
          <w:rFonts w:ascii="Verdana" w:eastAsia="Arial" w:hAnsi="Verdana" w:cs="Arial"/>
          <w:lang w:val="es-ES" w:eastAsia="es-ES" w:bidi="es-ES"/>
        </w:rPr>
      </w:pPr>
    </w:p>
    <w:p w14:paraId="2F5CA1BA"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la Sala que los servidores públicos del nivel nacional o territorial que en cumplimiento de una sentencia judicial o de una 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0FB53B0F"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p>
    <w:p w14:paraId="36A763CD"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 xml:space="preserve">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w:t>
      </w:r>
      <w:r w:rsidRPr="006177F8">
        <w:rPr>
          <w:rFonts w:ascii="Verdana" w:eastAsia="Arial" w:hAnsi="Verdana" w:cs="Arial"/>
          <w:sz w:val="20"/>
          <w:lang w:eastAsia="es-ES" w:bidi="es-ES"/>
        </w:rPr>
        <w:lastRenderedPageBreak/>
        <w:t>la administración y los particulares en los términos y condiciones previstos en cada providencia.</w:t>
      </w:r>
    </w:p>
    <w:p w14:paraId="4EAC6F89"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p>
    <w:p w14:paraId="483FC039"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13"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r>
        <w:rPr>
          <w:rFonts w:ascii="Verdana" w:eastAsia="Arial" w:hAnsi="Verdana" w:cs="Arial"/>
          <w:sz w:val="20"/>
          <w:lang w:eastAsia="es-ES" w:bidi="es-ES"/>
        </w:rPr>
        <w:t xml:space="preserve">. </w:t>
      </w:r>
    </w:p>
    <w:p w14:paraId="50BE224C"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p>
    <w:p w14:paraId="2936A46A" w14:textId="77777777" w:rsidR="00A6584F" w:rsidRPr="006177F8" w:rsidRDefault="00A6584F" w:rsidP="00A6584F">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4"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5"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6"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304E3214" w14:textId="77777777" w:rsidR="00A6584F" w:rsidRPr="006177F8" w:rsidRDefault="00A6584F" w:rsidP="00A6584F">
      <w:pPr>
        <w:spacing w:after="0" w:line="240" w:lineRule="auto"/>
        <w:ind w:firstLine="709"/>
        <w:jc w:val="both"/>
        <w:rPr>
          <w:rFonts w:ascii="Verdana" w:eastAsia="Arial" w:hAnsi="Verdana" w:cs="Arial"/>
          <w:lang w:eastAsia="es-ES" w:bidi="es-ES"/>
        </w:rPr>
      </w:pPr>
    </w:p>
    <w:p w14:paraId="42E3EC40" w14:textId="77777777" w:rsidR="00A6584F" w:rsidRDefault="00A6584F" w:rsidP="00A6584F">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de garantizar la efectividad de las decisiones judiciales y la protección de los derechos fundamentales.</w:t>
      </w:r>
    </w:p>
    <w:p w14:paraId="3CEB3BED" w14:textId="77777777" w:rsidR="00A6584F" w:rsidRPr="00380CA4" w:rsidRDefault="00A6584F" w:rsidP="00A6584F">
      <w:pPr>
        <w:spacing w:after="120" w:line="276" w:lineRule="auto"/>
        <w:ind w:firstLine="709"/>
        <w:jc w:val="both"/>
        <w:rPr>
          <w:rFonts w:ascii="Verdana" w:eastAsia="Times New Roman" w:hAnsi="Verdana" w:cs="Arial"/>
          <w:bCs/>
          <w:lang w:eastAsia="x-none"/>
        </w:rPr>
      </w:pPr>
      <w:r w:rsidRPr="00380CA4">
        <w:rPr>
          <w:rFonts w:ascii="Verdana" w:eastAsia="Times New Roman" w:hAnsi="Verdana" w:cs="Arial"/>
          <w:lang w:eastAsia="es-CO"/>
        </w:rPr>
        <w:t>Sin perjuicio de estos pronunciamientos de la Sala de Consulta y Servicio Civil</w:t>
      </w:r>
      <w:r w:rsidRPr="00380CA4">
        <w:rPr>
          <w:rFonts w:ascii="Verdana" w:eastAsia="Calibri" w:hAnsi="Verdana" w:cs="Arial"/>
        </w:rPr>
        <w:t xml:space="preserve">, como la ha señalado esa misma Corporación, la restricción prevista en la Ley 996 de 2005 </w:t>
      </w:r>
      <w:r w:rsidRPr="00380CA4">
        <w:rPr>
          <w:rFonts w:ascii="Verdana" w:eastAsia="Times New Roman" w:hAnsi="Verdana" w:cs="Arial"/>
          <w:bCs/>
          <w:lang w:eastAsia="x-none"/>
        </w:rPr>
        <w:t xml:space="preserve">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w:t>
      </w:r>
      <w:r w:rsidRPr="00380CA4">
        <w:rPr>
          <w:rFonts w:ascii="Verdana" w:eastAsia="Times New Roman" w:hAnsi="Verdana" w:cs="Arial"/>
          <w:bCs/>
          <w:lang w:eastAsia="x-none"/>
        </w:rPr>
        <w:lastRenderedPageBreak/>
        <w:t>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2766C36C" w14:textId="77777777" w:rsidR="00A6584F" w:rsidRPr="00380CA4" w:rsidRDefault="00A6584F" w:rsidP="00A6584F">
      <w:pPr>
        <w:spacing w:after="0" w:line="276" w:lineRule="auto"/>
        <w:ind w:firstLine="709"/>
        <w:jc w:val="both"/>
        <w:rPr>
          <w:rFonts w:ascii="Verdana" w:eastAsia="Times New Roman" w:hAnsi="Verdana" w:cs="Arial"/>
          <w:bCs/>
          <w:lang w:eastAsia="x-none"/>
        </w:rPr>
      </w:pPr>
      <w:r w:rsidRPr="00380CA4">
        <w:rPr>
          <w:rFonts w:ascii="Verdana" w:eastAsia="Times New Roman" w:hAnsi="Verdana" w:cs="Arial"/>
          <w:bCs/>
          <w:lang w:eastAsia="x-none"/>
        </w:rPr>
        <w:t>Finalmente, se reitera, c</w:t>
      </w:r>
      <w:r w:rsidRPr="00380CA4">
        <w:rPr>
          <w:rFonts w:ascii="Verdana" w:eastAsia="Times New Roman" w:hAnsi="Verdana" w:cs="Arial"/>
          <w:bCs/>
          <w:lang w:eastAsia="es-CO"/>
        </w:rPr>
        <w:t xml:space="preserve">omo en otras oportunidades lo ha manifestado esta Agencia, que las prórrogas, modificaciones o adiciones de los contratos suscritos antes de la </w:t>
      </w:r>
      <w:proofErr w:type="gramStart"/>
      <w:r w:rsidRPr="00380CA4">
        <w:rPr>
          <w:rFonts w:ascii="Verdana" w:eastAsia="Times New Roman" w:hAnsi="Verdana" w:cs="Arial"/>
          <w:bCs/>
          <w:lang w:eastAsia="es-CO"/>
        </w:rPr>
        <w:t>entrada en vigencia</w:t>
      </w:r>
      <w:proofErr w:type="gramEnd"/>
      <w:r w:rsidRPr="00380CA4">
        <w:rPr>
          <w:rFonts w:ascii="Verdana" w:eastAsia="Times New Roman" w:hAnsi="Verdana" w:cs="Arial"/>
          <w:bCs/>
          <w:lang w:eastAsia="es-CO"/>
        </w:rPr>
        <w:t xml:space="preserve"> de las prohibiciones anotadas, así como la cesión de </w:t>
      </w:r>
      <w:proofErr w:type="gramStart"/>
      <w:r w:rsidRPr="00380CA4">
        <w:rPr>
          <w:rFonts w:ascii="Verdana" w:eastAsia="Times New Roman" w:hAnsi="Verdana" w:cs="Arial"/>
          <w:bCs/>
          <w:lang w:eastAsia="es-CO"/>
        </w:rPr>
        <w:t>los mismos</w:t>
      </w:r>
      <w:proofErr w:type="gramEnd"/>
      <w:r w:rsidRPr="00380CA4">
        <w:rPr>
          <w:rFonts w:ascii="Verdana" w:eastAsia="Times New Roman" w:hAnsi="Verdana" w:cs="Arial"/>
          <w:bCs/>
          <w:lang w:eastAsia="es-CO"/>
        </w:rPr>
        <w:t>, pueden tener lugar en el período de aplicación de la Ley de Garantías, sin que ello haga nugatoria la restricción de la contratación directa y siempre que cumplan los principios de planeación, transparencia y responsabilidad</w:t>
      </w:r>
      <w:r w:rsidRPr="00380CA4">
        <w:rPr>
          <w:rFonts w:ascii="Verdana" w:eastAsia="Times New Roman" w:hAnsi="Verdana" w:cs="Arial"/>
          <w:bCs/>
          <w:vertAlign w:val="superscript"/>
          <w:lang w:eastAsia="es-CO"/>
        </w:rPr>
        <w:footnoteReference w:id="27"/>
      </w:r>
      <w:r w:rsidRPr="00380CA4">
        <w:rPr>
          <w:rFonts w:ascii="Verdana" w:eastAsia="Times New Roman" w:hAnsi="Verdana" w:cs="Arial"/>
          <w:bCs/>
          <w:lang w:eastAsia="es-CO"/>
        </w:rPr>
        <w:t>. Además, también es posible que contratos celebrados previamente se continúen ejecutando con normalidad.</w:t>
      </w:r>
    </w:p>
    <w:p w14:paraId="2C63D549" w14:textId="77777777" w:rsidR="00A6584F" w:rsidRDefault="00A6584F" w:rsidP="00A6584F">
      <w:pPr>
        <w:pStyle w:val="paragraph"/>
        <w:shd w:val="clear" w:color="auto" w:fill="FFFFFF"/>
        <w:spacing w:before="0" w:beforeAutospacing="0" w:after="0" w:afterAutospacing="0"/>
        <w:jc w:val="both"/>
        <w:textAlignment w:val="baseline"/>
        <w:rPr>
          <w:rFonts w:ascii="Verdana" w:eastAsia="Calibri" w:hAnsi="Verdana" w:cs="Arial"/>
          <w:bCs/>
          <w:color w:val="000000" w:themeColor="text1"/>
          <w:sz w:val="22"/>
          <w:szCs w:val="22"/>
        </w:rPr>
      </w:pPr>
    </w:p>
    <w:p w14:paraId="0CFA1D33" w14:textId="77777777" w:rsidR="00A6584F" w:rsidRPr="00380CA4" w:rsidRDefault="00A6584F" w:rsidP="00A6584F">
      <w:pPr>
        <w:pStyle w:val="paragraph"/>
        <w:shd w:val="clear" w:color="auto" w:fill="FFFFFF"/>
        <w:spacing w:before="0" w:beforeAutospacing="0" w:after="120" w:afterAutospacing="0" w:line="276" w:lineRule="auto"/>
        <w:jc w:val="both"/>
        <w:textAlignment w:val="baseline"/>
        <w:rPr>
          <w:rFonts w:ascii="Verdana" w:eastAsia="Verdana" w:hAnsi="Verdana" w:cs="Verdana"/>
          <w:sz w:val="22"/>
          <w:szCs w:val="22"/>
        </w:rPr>
      </w:pPr>
      <w:proofErr w:type="spellStart"/>
      <w:r>
        <w:rPr>
          <w:rFonts w:ascii="Verdana" w:eastAsia="Calibri" w:hAnsi="Verdana" w:cs="Arial"/>
          <w:sz w:val="22"/>
          <w:szCs w:val="22"/>
        </w:rPr>
        <w:t>i</w:t>
      </w:r>
      <w:r w:rsidRPr="00380CA4">
        <w:rPr>
          <w:rFonts w:ascii="Verdana" w:eastAsia="Calibri" w:hAnsi="Verdana" w:cs="Arial"/>
          <w:sz w:val="22"/>
          <w:szCs w:val="22"/>
        </w:rPr>
        <w:t>v</w:t>
      </w:r>
      <w:proofErr w:type="spellEnd"/>
      <w:r w:rsidRPr="00380CA4">
        <w:rPr>
          <w:rFonts w:ascii="Verdana" w:eastAsia="Calibri" w:hAnsi="Verdana" w:cs="Arial"/>
          <w:sz w:val="22"/>
          <w:szCs w:val="22"/>
        </w:rPr>
        <w:t xml:space="preserve">. </w:t>
      </w:r>
      <w:bookmarkStart w:id="9" w:name="_Hlk79760203"/>
      <w:r w:rsidRPr="00380CA4">
        <w:rPr>
          <w:rFonts w:ascii="Verdana" w:hAnsi="Verdana"/>
          <w:sz w:val="22"/>
          <w:szCs w:val="22"/>
        </w:rPr>
        <w:t>La expropiación es un procedimiento administrativo por medio del cual el Estado, por razones de utilidad pública o interés social, priva coactivamente de la titularidad de un bien a un particular, de acuerdo con un procedimiento específico, con intervención de la autoridad judicial –expropiación por vía judicial– o mediante la utilización de los poderes públicos propios del régimen administrativo –expropiación por vía administrativa–, y previo pago de una indemnización</w:t>
      </w:r>
      <w:r w:rsidRPr="00380CA4">
        <w:rPr>
          <w:rStyle w:val="Refdenotaalpie"/>
          <w:rFonts w:ascii="Verdana" w:hAnsi="Verdana"/>
          <w:sz w:val="22"/>
          <w:szCs w:val="22"/>
        </w:rPr>
        <w:footnoteReference w:id="28"/>
      </w:r>
      <w:r w:rsidRPr="00380CA4">
        <w:rPr>
          <w:rFonts w:ascii="Verdana" w:hAnsi="Verdana"/>
          <w:sz w:val="22"/>
          <w:szCs w:val="22"/>
        </w:rPr>
        <w:t>.</w:t>
      </w:r>
    </w:p>
    <w:p w14:paraId="723EF289" w14:textId="77777777" w:rsidR="00A6584F" w:rsidRPr="00380CA4" w:rsidRDefault="00A6584F" w:rsidP="00A6584F">
      <w:pPr>
        <w:spacing w:after="120" w:line="276" w:lineRule="auto"/>
        <w:ind w:firstLine="708"/>
        <w:jc w:val="both"/>
        <w:rPr>
          <w:rFonts w:ascii="Verdana" w:eastAsia="Times New Roman" w:hAnsi="Verdana" w:cs="Arial"/>
          <w:lang w:eastAsia="es-ES_tradnl"/>
        </w:rPr>
      </w:pPr>
      <w:r w:rsidRPr="00380CA4">
        <w:rPr>
          <w:rFonts w:ascii="Verdana" w:eastAsia="Times New Roman" w:hAnsi="Verdana" w:cs="Arial"/>
          <w:lang w:eastAsia="es-ES_tradnl"/>
        </w:rPr>
        <w:t>El Legislador, por medio de la Ley 9 de 1989 reguló, entre otros aspectos, lo concerniente al procedimiento para la enajenación voluntaria y expropiación de bienes inmuebles con el fin de desarrollar las actividades que la misma ley –artículo 10– declaró como de utilidad pública</w:t>
      </w:r>
      <w:r w:rsidRPr="00380CA4">
        <w:rPr>
          <w:rStyle w:val="Refdenotaalpie"/>
          <w:rFonts w:ascii="Verdana" w:eastAsia="Times New Roman" w:hAnsi="Verdana" w:cs="Arial"/>
          <w:lang w:eastAsia="es-ES_tradnl"/>
        </w:rPr>
        <w:footnoteReference w:id="29"/>
      </w:r>
      <w:r w:rsidRPr="00380CA4">
        <w:rPr>
          <w:rFonts w:ascii="Verdana" w:eastAsia="Times New Roman" w:hAnsi="Verdana" w:cs="Arial"/>
          <w:lang w:eastAsia="es-ES_tradnl"/>
        </w:rPr>
        <w:t xml:space="preserve">. Dicha ley fue modificada por la </w:t>
      </w:r>
      <w:r w:rsidRPr="00380CA4">
        <w:rPr>
          <w:rFonts w:ascii="Verdana" w:eastAsia="Times New Roman" w:hAnsi="Verdana" w:cs="Arial"/>
          <w:lang w:eastAsia="es-ES_tradnl"/>
        </w:rPr>
        <w:lastRenderedPageBreak/>
        <w:t>Ley 388 de 1997</w:t>
      </w:r>
      <w:r w:rsidRPr="00380CA4">
        <w:rPr>
          <w:rStyle w:val="Refdenotaalpie"/>
          <w:rFonts w:ascii="Verdana" w:eastAsia="Times New Roman" w:hAnsi="Verdana" w:cs="Arial"/>
          <w:lang w:eastAsia="es-ES_tradnl"/>
        </w:rPr>
        <w:footnoteReference w:id="30"/>
      </w:r>
      <w:r w:rsidRPr="00380CA4">
        <w:rPr>
          <w:rFonts w:ascii="Verdana" w:eastAsia="Times New Roman" w:hAnsi="Verdana" w:cs="Arial"/>
          <w:lang w:eastAsia="es-ES_tradnl"/>
        </w:rPr>
        <w:t xml:space="preserve"> que tuvo entre sus objetivos armonizar la legislación con las nuevas normas de la Constitución Política de 1991</w:t>
      </w:r>
      <w:r w:rsidRPr="00380CA4">
        <w:rPr>
          <w:rStyle w:val="Refdenotaalpie"/>
          <w:rFonts w:ascii="Verdana" w:eastAsia="Times New Roman" w:hAnsi="Verdana" w:cs="Arial"/>
          <w:lang w:eastAsia="es-ES_tradnl"/>
        </w:rPr>
        <w:footnoteReference w:id="31"/>
      </w:r>
      <w:r w:rsidRPr="00380CA4">
        <w:rPr>
          <w:rFonts w:ascii="Verdana" w:eastAsia="Times New Roman" w:hAnsi="Verdana" w:cs="Arial"/>
          <w:lang w:eastAsia="es-ES_tradnl"/>
        </w:rPr>
        <w:t>, y en sus artículos 58 y siguientes desarrolló lo relativo a la “adquisición de inmuebles por enajenación voluntaria y expropiación judicial”. Estas normas constituyen, principalmente, el régimen general de la expropiación por vía judicial y por vía administrativa, y regulan también aspectos de la enajenación voluntaria y de la negociación directa, de manera que “contienen las directrices que deben seguir las administraciones locales y los ciudadanos para cumplir con los fines sociales y de utilidad pública del ordenamiento urbano”</w:t>
      </w:r>
      <w:r w:rsidRPr="00380CA4">
        <w:rPr>
          <w:rStyle w:val="Refdenotaalpie"/>
          <w:rFonts w:ascii="Verdana" w:eastAsia="Times New Roman" w:hAnsi="Verdana" w:cs="Arial"/>
          <w:lang w:eastAsia="es-ES_tradnl"/>
        </w:rPr>
        <w:footnoteReference w:id="32"/>
      </w:r>
      <w:r w:rsidRPr="00380CA4">
        <w:rPr>
          <w:rFonts w:ascii="Verdana" w:eastAsia="Times New Roman" w:hAnsi="Verdana" w:cs="Arial"/>
          <w:lang w:eastAsia="es-ES_tradnl"/>
        </w:rPr>
        <w:t>.</w:t>
      </w:r>
    </w:p>
    <w:bookmarkEnd w:id="9"/>
    <w:p w14:paraId="73EB56C5" w14:textId="77777777" w:rsidR="00A6584F" w:rsidRPr="00380CA4" w:rsidRDefault="00A6584F" w:rsidP="00A6584F">
      <w:pPr>
        <w:spacing w:after="120" w:line="276" w:lineRule="auto"/>
        <w:ind w:firstLine="708"/>
        <w:jc w:val="both"/>
        <w:rPr>
          <w:rFonts w:ascii="Verdana" w:hAnsi="Verdana" w:cs="Arial"/>
        </w:rPr>
      </w:pPr>
      <w:r w:rsidRPr="00380CA4">
        <w:rPr>
          <w:rFonts w:ascii="Verdana" w:hAnsi="Verdana" w:cs="Arial"/>
        </w:rPr>
        <w:t>El trámite de expropiación, como se dijo, puede realizarse por vía</w:t>
      </w:r>
      <w:bookmarkStart w:id="10" w:name="_Hlk78998965"/>
      <w:r w:rsidRPr="00380CA4">
        <w:rPr>
          <w:rFonts w:ascii="Verdana" w:hAnsi="Verdana" w:cs="Arial"/>
        </w:rPr>
        <w:t xml:space="preserve"> judicial o por vía administrativa. La jurisprudencia constitucional ha hecho énfasis</w:t>
      </w:r>
      <w:r w:rsidRPr="00380CA4">
        <w:rPr>
          <w:rFonts w:ascii="Verdana" w:hAnsi="Verdana" w:cs="Arial"/>
          <w:spacing w:val="19"/>
        </w:rPr>
        <w:t xml:space="preserve"> </w:t>
      </w:r>
      <w:r w:rsidRPr="00380CA4">
        <w:rPr>
          <w:rFonts w:ascii="Verdana" w:hAnsi="Verdana" w:cs="Arial"/>
        </w:rPr>
        <w:t>en que, sin importar la vía por la que se adelante la expropiación, este proceso debe ser garantista y respetar el debido proceso</w:t>
      </w:r>
      <w:r w:rsidRPr="00380CA4">
        <w:rPr>
          <w:rStyle w:val="Refdenotaalpie"/>
          <w:rFonts w:ascii="Verdana" w:hAnsi="Verdana" w:cs="Arial"/>
        </w:rPr>
        <w:footnoteReference w:id="33"/>
      </w:r>
      <w:r w:rsidRPr="00380CA4">
        <w:rPr>
          <w:rFonts w:ascii="Verdana" w:hAnsi="Verdana" w:cs="Arial"/>
        </w:rPr>
        <w:t xml:space="preserve">. De esta manera, la garantía del debido proceso en el marco de un proceso de expropiación implica el cumplimiento de una serie de etapas previas definidas por las leyes antes mencionadas, tales como: i) la oferta de compra, </w:t>
      </w:r>
      <w:proofErr w:type="spellStart"/>
      <w:r w:rsidRPr="00380CA4">
        <w:rPr>
          <w:rFonts w:ascii="Verdana" w:hAnsi="Verdana" w:cs="Arial"/>
        </w:rPr>
        <w:t>ii</w:t>
      </w:r>
      <w:proofErr w:type="spellEnd"/>
      <w:r w:rsidRPr="00380CA4">
        <w:rPr>
          <w:rFonts w:ascii="Verdana" w:hAnsi="Verdana" w:cs="Arial"/>
        </w:rPr>
        <w:t xml:space="preserve">) la negociación directa y </w:t>
      </w:r>
      <w:proofErr w:type="spellStart"/>
      <w:r w:rsidRPr="00380CA4">
        <w:rPr>
          <w:rFonts w:ascii="Verdana" w:hAnsi="Verdana" w:cs="Arial"/>
        </w:rPr>
        <w:t>iii</w:t>
      </w:r>
      <w:proofErr w:type="spellEnd"/>
      <w:r w:rsidRPr="00380CA4">
        <w:rPr>
          <w:rFonts w:ascii="Verdana" w:hAnsi="Verdana" w:cs="Arial"/>
        </w:rPr>
        <w:t>) el proceso expropiatorio.</w:t>
      </w:r>
    </w:p>
    <w:p w14:paraId="266CBE13" w14:textId="77777777" w:rsidR="00A6584F" w:rsidRPr="00380CA4" w:rsidRDefault="00A6584F" w:rsidP="00A6584F">
      <w:pPr>
        <w:spacing w:after="120" w:line="276" w:lineRule="auto"/>
        <w:ind w:firstLine="708"/>
        <w:jc w:val="both"/>
        <w:rPr>
          <w:rFonts w:ascii="Verdana" w:hAnsi="Verdana" w:cs="Arial"/>
        </w:rPr>
      </w:pPr>
      <w:r w:rsidRPr="00380CA4">
        <w:rPr>
          <w:rFonts w:ascii="Verdana" w:hAnsi="Verdana" w:cs="Arial"/>
        </w:rPr>
        <w:t>La primera etapa, relativa a la oferta de compra, que aplica tanto en los procesos de expropiación judicial como administrativa, hace referencia a la oferta de compra que hace la autoridad al propietario del bien. La segunda etapa de negociación o de enajenación voluntaria es aquella en virtud de la cual el particular y la entidad llegan a un acuerdo a través de la celebración de un contrato de compraventa o de promesa de compraventa, pero si en esta etapa no se logra un acuerdo entre el propietario del bien y la Administración debe adelantarse el procedimiento expropiatorio. La tercera y última etapa es la expropiación, ya sea administrativa o judicial.</w:t>
      </w:r>
    </w:p>
    <w:bookmarkEnd w:id="10"/>
    <w:p w14:paraId="34C4B825" w14:textId="77777777" w:rsidR="00A6584F" w:rsidRPr="00380CA4" w:rsidRDefault="00A6584F" w:rsidP="00A6584F">
      <w:pPr>
        <w:spacing w:after="120" w:line="276" w:lineRule="auto"/>
        <w:ind w:firstLine="708"/>
        <w:jc w:val="both"/>
        <w:rPr>
          <w:rFonts w:ascii="Verdana" w:eastAsia="Times New Roman" w:hAnsi="Verdana" w:cs="Arial"/>
          <w:lang w:eastAsia="es-ES_tradnl"/>
        </w:rPr>
      </w:pPr>
      <w:r w:rsidRPr="00380CA4">
        <w:rPr>
          <w:rFonts w:ascii="Verdana" w:eastAsia="Times New Roman" w:hAnsi="Verdana" w:cs="Arial"/>
          <w:lang w:eastAsia="es-ES_tradnl"/>
        </w:rPr>
        <w:lastRenderedPageBreak/>
        <w:t>Por consiguiente, el procedimiento para la adquisición de bienes inmuebles destinados a actividades de utilidad pública e interés social contempla que la entidad pública adquirente efectúe previamente el trámite de adquisición a través de la enajenación voluntaria y negociada con el propietario del inmueble, antes de acudir a los procedimientos especiales para la expropiación judicial o administrativa.</w:t>
      </w:r>
      <w:r w:rsidRPr="00380CA4">
        <w:rPr>
          <w:rFonts w:ascii="Verdana" w:hAnsi="Verdana"/>
        </w:rPr>
        <w:t xml:space="preserve"> </w:t>
      </w:r>
      <w:r w:rsidRPr="00380CA4">
        <w:rPr>
          <w:rFonts w:ascii="Verdana" w:eastAsia="Times New Roman" w:hAnsi="Verdana" w:cs="Arial"/>
          <w:lang w:eastAsia="es-ES_tradnl"/>
        </w:rPr>
        <w:t>Así, en los casos de enajenación voluntaria y negociación directa, la adquisición se realiza como resultado de un negocio jurídico autónomo, en el que la obligación de pago se determinará de común acuerdo entre el Estado y el vendedor, pues, en tales eventos no se trata de una expropiación</w:t>
      </w:r>
      <w:r w:rsidRPr="00380CA4">
        <w:rPr>
          <w:rStyle w:val="Refdenotaalpie"/>
          <w:rFonts w:ascii="Verdana" w:eastAsia="Times New Roman" w:hAnsi="Verdana" w:cs="Arial"/>
          <w:lang w:eastAsia="es-ES_tradnl"/>
        </w:rPr>
        <w:footnoteReference w:id="34"/>
      </w:r>
      <w:r w:rsidRPr="00380CA4">
        <w:rPr>
          <w:rFonts w:ascii="Verdana" w:eastAsia="Times New Roman" w:hAnsi="Verdana" w:cs="Arial"/>
          <w:lang w:eastAsia="es-ES_tradnl"/>
        </w:rPr>
        <w:t>.</w:t>
      </w:r>
    </w:p>
    <w:p w14:paraId="79D923BA" w14:textId="77777777" w:rsidR="00A6584F" w:rsidRPr="00380CA4" w:rsidRDefault="00A6584F" w:rsidP="00A6584F">
      <w:pPr>
        <w:spacing w:after="0" w:line="276" w:lineRule="auto"/>
        <w:ind w:firstLine="708"/>
        <w:jc w:val="both"/>
        <w:rPr>
          <w:rFonts w:ascii="Verdana" w:eastAsia="Times New Roman" w:hAnsi="Verdana" w:cs="Arial"/>
          <w:lang w:eastAsia="es-ES_tradnl"/>
        </w:rPr>
      </w:pPr>
      <w:r w:rsidRPr="00380CA4">
        <w:rPr>
          <w:rFonts w:ascii="Verdana" w:eastAsia="Times New Roman" w:hAnsi="Verdana" w:cs="Arial"/>
          <w:lang w:eastAsia="es-ES_tradnl"/>
        </w:rPr>
        <w:t xml:space="preserve">Una vez se ha efectuado la notificación del acto de oferta empieza a correr el término durante el cual se llevará a cabo la negociación con el propietario del inmueble. Si en este plazo se logra el acuerdo se celebrará un </w:t>
      </w:r>
      <w:r w:rsidRPr="00380CA4">
        <w:rPr>
          <w:rFonts w:ascii="Verdana" w:eastAsia="Times New Roman" w:hAnsi="Verdana" w:cs="Arial"/>
          <w:i/>
          <w:iCs/>
          <w:lang w:eastAsia="es-ES_tradnl"/>
        </w:rPr>
        <w:t>contrato de compraventa</w:t>
      </w:r>
      <w:r w:rsidRPr="00380CA4">
        <w:rPr>
          <w:rFonts w:ascii="Verdana" w:eastAsia="Times New Roman" w:hAnsi="Verdana" w:cs="Arial"/>
          <w:lang w:eastAsia="es-ES_tradnl"/>
        </w:rPr>
        <w:t xml:space="preserve"> o de promesa de compraventa</w:t>
      </w:r>
      <w:r w:rsidRPr="00380CA4">
        <w:rPr>
          <w:rStyle w:val="Refdenotaalpie"/>
          <w:rFonts w:ascii="Verdana" w:eastAsia="Times New Roman" w:hAnsi="Verdana" w:cs="Arial"/>
          <w:lang w:eastAsia="es-ES_tradnl"/>
        </w:rPr>
        <w:footnoteReference w:id="35"/>
      </w:r>
      <w:r w:rsidRPr="00380CA4">
        <w:rPr>
          <w:rFonts w:ascii="Verdana" w:eastAsia="Times New Roman" w:hAnsi="Verdana" w:cs="Arial"/>
          <w:lang w:eastAsia="es-ES_tradnl"/>
        </w:rPr>
        <w:t xml:space="preserve">. En caso contrario se deberá dar inicio al proceso de expropiación. Finalmente, en caso de acuerdo, realizada la entrega material del inmueble a favor de la entidad adquirente, el pago del precio se efectuará de conformidad con lo convenido dentro del respectivo contrato de compraventa. </w:t>
      </w:r>
    </w:p>
    <w:p w14:paraId="1A3C90EE" w14:textId="77777777" w:rsidR="00A6584F" w:rsidRPr="00380CA4" w:rsidRDefault="00A6584F" w:rsidP="00A6584F">
      <w:pPr>
        <w:spacing w:before="120" w:after="0" w:line="276" w:lineRule="auto"/>
        <w:ind w:firstLine="708"/>
        <w:jc w:val="both"/>
        <w:rPr>
          <w:rFonts w:ascii="Verdana" w:eastAsia="Times New Roman" w:hAnsi="Verdana" w:cs="Arial"/>
          <w:lang w:eastAsia="es-ES_tradnl"/>
        </w:rPr>
      </w:pPr>
      <w:r w:rsidRPr="00380CA4">
        <w:rPr>
          <w:rFonts w:ascii="Verdana" w:eastAsia="Times New Roman" w:hAnsi="Verdana" w:cs="Arial"/>
          <w:lang w:eastAsia="es-ES_tradnl"/>
        </w:rPr>
        <w:t xml:space="preserve">En efecto, en los procesos de expropiación judicial o expropiación administrativa existe una etapa previa de negociación, en la cual la administración intenta adquirir voluntariamente el bien, de suerte que se evite iniciar el proceso forzoso expropiatorio. Esta etapa comienza con una oferta de la entidad al particular para adquirir el bien por el precio base fijado con fundamento en un avalúo. Posteriormente, pasa a una etapa de negociación directa con el particular. En caso de que el proceso de negociación directa se concrete, culmina con la etapa de transferencia del bien y de pago del precio acordado. Pero, si el proceso de negociación se frustra, inicia la etapa </w:t>
      </w:r>
      <w:r w:rsidRPr="00380CA4">
        <w:rPr>
          <w:rFonts w:ascii="Verdana" w:eastAsia="Times New Roman" w:hAnsi="Verdana" w:cs="Arial"/>
          <w:lang w:eastAsia="es-ES_tradnl"/>
        </w:rPr>
        <w:lastRenderedPageBreak/>
        <w:t>expropiatoria, mediante los procesos judicial o administrativo, según el caso, hasta obtener el título traslaticio de dominio al Estado, la tradición del bien y realizar el pago de la indemnización al particular expropiado.</w:t>
      </w:r>
    </w:p>
    <w:p w14:paraId="2090C5C4" w14:textId="77777777" w:rsidR="00A6584F" w:rsidRPr="00380CA4" w:rsidRDefault="00A6584F" w:rsidP="00A6584F">
      <w:pPr>
        <w:tabs>
          <w:tab w:val="left" w:pos="709"/>
        </w:tabs>
        <w:spacing w:before="120" w:after="120" w:line="276" w:lineRule="auto"/>
        <w:ind w:firstLine="708"/>
        <w:jc w:val="both"/>
        <w:rPr>
          <w:rFonts w:ascii="Verdana" w:eastAsia="Times New Roman" w:hAnsi="Verdana" w:cs="Arial"/>
          <w:lang w:eastAsia="es-ES_tradnl"/>
        </w:rPr>
      </w:pPr>
      <w:bookmarkStart w:id="11" w:name="_Hlk79760762"/>
      <w:r w:rsidRPr="00380CA4">
        <w:rPr>
          <w:rFonts w:ascii="Verdana" w:eastAsia="Times New Roman" w:hAnsi="Verdana" w:cs="Arial"/>
          <w:lang w:eastAsia="es-ES_tradnl"/>
        </w:rPr>
        <w:t xml:space="preserve">Dado que el procedimiento establecido podría culminar con la celebración de </w:t>
      </w:r>
      <w:bookmarkStart w:id="12" w:name="_Hlk79003065"/>
      <w:r w:rsidRPr="00380CA4">
        <w:rPr>
          <w:rFonts w:ascii="Verdana" w:eastAsia="Times New Roman" w:hAnsi="Verdana" w:cs="Arial"/>
          <w:lang w:eastAsia="es-ES_tradnl"/>
        </w:rPr>
        <w:t xml:space="preserve">una promesa de compraventa o en un contrato de compraventa, </w:t>
      </w:r>
      <w:bookmarkEnd w:id="12"/>
      <w:r w:rsidRPr="00380CA4">
        <w:rPr>
          <w:rFonts w:ascii="Verdana" w:eastAsia="Times New Roman" w:hAnsi="Verdana" w:cs="Arial"/>
          <w:lang w:eastAsia="es-ES_tradnl"/>
        </w:rPr>
        <w:t xml:space="preserve">en el que participan entidades estatales y se invierten recursos de naturaleza pública, bien puede afirmarse que estos actos jurídicos negociales son auténticos contratos estatales, según el criterio orgánico establecido en el artículo 32 de la Ley 80 de 1993, en concordancia el artículo 2 </w:t>
      </w:r>
      <w:r w:rsidRPr="00380CA4">
        <w:rPr>
          <w:rFonts w:ascii="Verdana" w:eastAsia="Times New Roman" w:hAnsi="Verdana" w:cs="Arial"/>
          <w:i/>
          <w:iCs/>
          <w:lang w:eastAsia="es-ES_tradnl"/>
        </w:rPr>
        <w:t>ibidem</w:t>
      </w:r>
      <w:r w:rsidRPr="00380CA4">
        <w:rPr>
          <w:rFonts w:ascii="Verdana" w:eastAsia="Times New Roman" w:hAnsi="Verdana" w:cs="Arial"/>
          <w:lang w:eastAsia="es-ES_tradnl"/>
        </w:rPr>
        <w:t xml:space="preserve"> y en armonía con lo dispuesto por el artículo 1 de la Ley 1150 de 2007.</w:t>
      </w:r>
    </w:p>
    <w:p w14:paraId="6CFFB8BB" w14:textId="77777777" w:rsidR="00A6584F" w:rsidRPr="00380CA4" w:rsidRDefault="00A6584F" w:rsidP="00A6584F">
      <w:pPr>
        <w:pStyle w:val="paragraph"/>
        <w:shd w:val="clear" w:color="auto" w:fill="FFFFFF"/>
        <w:spacing w:before="0" w:beforeAutospacing="0" w:after="0" w:afterAutospacing="0" w:line="276" w:lineRule="auto"/>
        <w:ind w:firstLine="703"/>
        <w:jc w:val="both"/>
        <w:textAlignment w:val="baseline"/>
        <w:rPr>
          <w:rFonts w:ascii="Verdana" w:hAnsi="Verdana" w:cs="Arial"/>
          <w:sz w:val="22"/>
          <w:szCs w:val="22"/>
          <w:lang w:eastAsia="es-ES_tradnl"/>
        </w:rPr>
      </w:pPr>
      <w:r w:rsidRPr="00380CA4">
        <w:rPr>
          <w:rFonts w:ascii="Verdana" w:hAnsi="Verdana" w:cs="Arial"/>
          <w:sz w:val="22"/>
          <w:szCs w:val="22"/>
          <w:lang w:eastAsia="es-ES_tradnl"/>
        </w:rPr>
        <w:t>Sin embargo, el procedimiento de adquisición de bienes inmuebles establecido en el Estatuto General de Contratación de la Administración Pública no resulta aplicable. Tal y como ha sido aclarado por esta Agencia, el procedimiento para la adquisición de bienes inmuebles con fines de utilidad pública e interés social se encuentra excluido de la aplicación de tal estatuto, por cuanto es un procedimiento regulado en un régimen especial y exceptuado.</w:t>
      </w:r>
      <w:bookmarkEnd w:id="11"/>
      <w:r w:rsidRPr="00380CA4">
        <w:rPr>
          <w:rFonts w:ascii="Verdana" w:hAnsi="Verdana" w:cs="Arial"/>
          <w:sz w:val="22"/>
          <w:szCs w:val="22"/>
          <w:lang w:eastAsia="es-ES_tradnl"/>
        </w:rPr>
        <w:t xml:space="preserve"> Al respecto, se reitera lo señalado por esta Agencia mediante Concepto C-159 de 2020, en los siguientes términos:</w:t>
      </w:r>
    </w:p>
    <w:p w14:paraId="295ED78B" w14:textId="77777777" w:rsidR="00A6584F" w:rsidRPr="00380CA4" w:rsidRDefault="00A6584F" w:rsidP="00A6584F">
      <w:pPr>
        <w:pStyle w:val="paragraph"/>
        <w:shd w:val="clear" w:color="auto" w:fill="FFFFFF"/>
        <w:spacing w:before="0" w:beforeAutospacing="0" w:after="0" w:afterAutospacing="0" w:line="276" w:lineRule="auto"/>
        <w:ind w:firstLine="703"/>
        <w:jc w:val="both"/>
        <w:textAlignment w:val="baseline"/>
        <w:rPr>
          <w:rFonts w:ascii="Verdana" w:hAnsi="Verdana" w:cs="Arial"/>
          <w:sz w:val="22"/>
          <w:szCs w:val="22"/>
          <w:lang w:eastAsia="es-ES_tradnl"/>
        </w:rPr>
      </w:pPr>
    </w:p>
    <w:p w14:paraId="367FC1D8" w14:textId="77777777" w:rsidR="00A6584F" w:rsidRPr="00380CA4" w:rsidRDefault="00A6584F" w:rsidP="00A6584F">
      <w:pPr>
        <w:spacing w:after="0" w:line="240" w:lineRule="auto"/>
        <w:ind w:left="708" w:right="709"/>
        <w:jc w:val="both"/>
        <w:rPr>
          <w:rFonts w:ascii="Verdana" w:eastAsia="Times New Roman" w:hAnsi="Verdana" w:cs="Arial"/>
          <w:sz w:val="20"/>
          <w:szCs w:val="20"/>
          <w:lang w:eastAsia="es-ES_tradnl"/>
        </w:rPr>
      </w:pPr>
      <w:r w:rsidRPr="00380CA4">
        <w:rPr>
          <w:rFonts w:ascii="Verdana" w:eastAsia="Calibri" w:hAnsi="Verdana" w:cs="Arial"/>
          <w:color w:val="000000" w:themeColor="text1"/>
          <w:sz w:val="20"/>
          <w:szCs w:val="20"/>
        </w:rPr>
        <w:t>“Al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compraventa, ese contrato tiene origen o razón de ser en la declaración previa de los bienes de «utilidad pública o interés social» en los términos del artículo 58 de la Ley 388 de 1997”</w:t>
      </w:r>
      <w:r w:rsidRPr="00380CA4">
        <w:rPr>
          <w:rStyle w:val="Refdenotaalpie"/>
          <w:rFonts w:ascii="Verdana" w:eastAsia="Calibri" w:hAnsi="Verdana" w:cs="Arial"/>
          <w:color w:val="000000" w:themeColor="text1"/>
          <w:sz w:val="20"/>
          <w:szCs w:val="20"/>
        </w:rPr>
        <w:footnoteReference w:id="36"/>
      </w:r>
      <w:r w:rsidRPr="00380CA4">
        <w:rPr>
          <w:rFonts w:ascii="Verdana" w:eastAsia="Calibri" w:hAnsi="Verdana" w:cs="Arial"/>
          <w:color w:val="000000" w:themeColor="text1"/>
          <w:sz w:val="20"/>
          <w:szCs w:val="20"/>
        </w:rPr>
        <w:t>.</w:t>
      </w:r>
    </w:p>
    <w:p w14:paraId="5E3C46D8" w14:textId="77777777" w:rsidR="00A6584F" w:rsidRPr="00380CA4" w:rsidRDefault="00A6584F" w:rsidP="00A6584F">
      <w:pPr>
        <w:spacing w:after="0" w:line="240" w:lineRule="auto"/>
        <w:jc w:val="both"/>
        <w:rPr>
          <w:rFonts w:ascii="Verdana" w:eastAsia="Times New Roman" w:hAnsi="Verdana" w:cs="Arial"/>
          <w:sz w:val="20"/>
          <w:szCs w:val="20"/>
          <w:lang w:eastAsia="es-ES_tradnl"/>
        </w:rPr>
      </w:pPr>
    </w:p>
    <w:p w14:paraId="4976C255" w14:textId="77777777" w:rsidR="00A6584F" w:rsidRPr="00380CA4" w:rsidRDefault="00A6584F" w:rsidP="00A6584F">
      <w:pPr>
        <w:spacing w:after="120" w:line="276" w:lineRule="auto"/>
        <w:ind w:firstLine="708"/>
        <w:jc w:val="both"/>
        <w:rPr>
          <w:rFonts w:ascii="Verdana" w:eastAsia="Times New Roman" w:hAnsi="Verdana" w:cs="Arial"/>
          <w:lang w:eastAsia="es-ES_tradnl"/>
        </w:rPr>
      </w:pPr>
      <w:r w:rsidRPr="00380CA4">
        <w:rPr>
          <w:rFonts w:ascii="Verdana" w:eastAsia="Times New Roman" w:hAnsi="Verdana" w:cs="Arial"/>
          <w:lang w:eastAsia="es-ES_tradnl"/>
        </w:rPr>
        <w:t xml:space="preserve">En efecto, pese a que existe un régimen normativo aplicable de manera general a la contratación del Estado, el legislador ha establecido regímenes especiales para algunas entidades estatales en consideración a su actividad o para algunos contratos estatales </w:t>
      </w:r>
      <w:proofErr w:type="gramStart"/>
      <w:r w:rsidRPr="00380CA4">
        <w:rPr>
          <w:rFonts w:ascii="Verdana" w:eastAsia="Times New Roman" w:hAnsi="Verdana" w:cs="Arial"/>
          <w:lang w:eastAsia="es-ES_tradnl"/>
        </w:rPr>
        <w:t>en razón de</w:t>
      </w:r>
      <w:proofErr w:type="gramEnd"/>
      <w:r w:rsidRPr="00380CA4">
        <w:rPr>
          <w:rFonts w:ascii="Verdana" w:eastAsia="Times New Roman" w:hAnsi="Verdana" w:cs="Arial"/>
          <w:lang w:eastAsia="es-ES_tradnl"/>
        </w:rPr>
        <w:t xml:space="preserve"> su objeto, que contienen una serie </w:t>
      </w:r>
      <w:r w:rsidRPr="00380CA4">
        <w:rPr>
          <w:rFonts w:ascii="Verdana" w:eastAsia="Times New Roman" w:hAnsi="Verdana" w:cs="Arial"/>
          <w:lang w:eastAsia="es-ES_tradnl"/>
        </w:rPr>
        <w:lastRenderedPageBreak/>
        <w:t xml:space="preserve">de normas distintas o específicas que se aplican a la actividad contractual de tales entidades o en la celebración de dichos contratos, o simplemente remiten al Derecho privado. Por ende, no resultan aplicables aquellas materias reguladas por el citado Estatuto y las normas que lo modifiquen o adicionen, como, por ejemplo, los mecanismos de selección, las cláusulas excepcionales, la liquidación del contrato, entre otros, salvo que el régimen especial así lo autorice. </w:t>
      </w:r>
    </w:p>
    <w:p w14:paraId="6C0A0600" w14:textId="77777777" w:rsidR="00A6584F" w:rsidRPr="00380CA4" w:rsidRDefault="00A6584F" w:rsidP="00A6584F">
      <w:pPr>
        <w:spacing w:after="120" w:line="276" w:lineRule="auto"/>
        <w:ind w:firstLine="708"/>
        <w:jc w:val="both"/>
        <w:rPr>
          <w:rFonts w:ascii="Verdana" w:eastAsia="Times New Roman" w:hAnsi="Verdana" w:cs="Arial"/>
          <w:lang w:eastAsia="es-ES_tradnl"/>
        </w:rPr>
      </w:pPr>
      <w:r w:rsidRPr="00380CA4">
        <w:rPr>
          <w:rFonts w:ascii="Verdana" w:eastAsia="Times New Roman" w:hAnsi="Verdana" w:cs="Arial"/>
          <w:lang w:eastAsia="es-ES_tradnl"/>
        </w:rPr>
        <w:t xml:space="preserve">Sin embargo, no debe pasarse por alto que, al margen de su especialidad, el procedimiento administrativo </w:t>
      </w:r>
      <w:bookmarkStart w:id="13" w:name="_Hlk79133236"/>
      <w:r w:rsidRPr="00380CA4">
        <w:rPr>
          <w:rFonts w:ascii="Verdana" w:eastAsia="Times New Roman" w:hAnsi="Verdana" w:cs="Arial"/>
          <w:lang w:eastAsia="es-ES_tradnl"/>
        </w:rPr>
        <w:t xml:space="preserve">para la adquisición de inmuebles por utilidad pública e interés social mediante enajenación voluntaria, </w:t>
      </w:r>
      <w:bookmarkEnd w:id="13"/>
      <w:r w:rsidRPr="00380CA4">
        <w:rPr>
          <w:rFonts w:ascii="Verdana" w:eastAsia="Times New Roman" w:hAnsi="Verdana" w:cs="Arial"/>
          <w:lang w:eastAsia="es-ES_tradnl"/>
        </w:rPr>
        <w:t>implica el ejercicio de funciones administrativas, lo que, por ende, implica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w:t>
      </w:r>
      <w:bookmarkStart w:id="14" w:name="_Hlk79760844"/>
      <w:r w:rsidRPr="00380CA4">
        <w:rPr>
          <w:rFonts w:ascii="Verdana" w:eastAsia="Times New Roman" w:hAnsi="Verdana" w:cs="Arial"/>
          <w:lang w:eastAsia="es-ES_tradnl"/>
        </w:rPr>
        <w:t xml:space="preserve"> Toda vez que a través de la adquisición de bienes inmuebles mediante enajenación directa se comprometen dineros provenientes del erario, resultan también aplicables los principios propios del Estado Social de Derecho y de la Administración pública como los principios de transparencia, publicidad entre otros.</w:t>
      </w:r>
    </w:p>
    <w:p w14:paraId="57952702" w14:textId="77777777" w:rsidR="00A6584F" w:rsidRPr="00380CA4" w:rsidRDefault="00A6584F" w:rsidP="00A6584F">
      <w:pPr>
        <w:tabs>
          <w:tab w:val="left" w:pos="426"/>
        </w:tabs>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ab/>
      </w:r>
      <w:r>
        <w:rPr>
          <w:rFonts w:ascii="Verdana" w:eastAsia="Times New Roman" w:hAnsi="Verdana" w:cs="Arial"/>
          <w:lang w:eastAsia="es-ES_tradnl"/>
        </w:rPr>
        <w:tab/>
        <w:t>De acuerdo con lo expuesto, y lo definido en diferentes conceptos de la Agencia Nacional de Contratación Pública – Colombia Compra Eficiente</w:t>
      </w:r>
      <w:r>
        <w:rPr>
          <w:rStyle w:val="Refdenotaalpie"/>
          <w:rFonts w:ascii="Verdana" w:eastAsia="Times New Roman" w:hAnsi="Verdana" w:cs="Arial"/>
          <w:lang w:eastAsia="es-ES_tradnl"/>
        </w:rPr>
        <w:footnoteReference w:id="37"/>
      </w:r>
      <w:r w:rsidRPr="00380CA4">
        <w:rPr>
          <w:rFonts w:ascii="Verdana" w:eastAsia="Times New Roman" w:hAnsi="Verdana" w:cs="Arial"/>
          <w:lang w:eastAsia="es-ES_tradnl"/>
        </w:rPr>
        <w:t>, la adquisición de los predios que se realice por enajenación voluntaria está sometida a un régimen especial de contratación. Sin embargo, como se explicó antes, esta culmina con la suscripción de un contrato de promesa de compraventa o de compraventa entre la entidad y la persona, con lo cual se trata de un procedimiento de contratación estatal no competitivo que está restringido por la prohibición establecida en el artículo 33 de la Ley 996 de 2005</w:t>
      </w:r>
      <w:bookmarkEnd w:id="14"/>
      <w:r w:rsidRPr="00380CA4">
        <w:rPr>
          <w:rFonts w:ascii="Verdana" w:eastAsia="Times New Roman" w:hAnsi="Verdana" w:cs="Arial"/>
          <w:lang w:eastAsia="es-ES_tradnl"/>
        </w:rPr>
        <w:t xml:space="preserve">. </w:t>
      </w:r>
      <w:r w:rsidRPr="00380CA4">
        <w:rPr>
          <w:rFonts w:ascii="Verdana" w:eastAsia="Times New Roman" w:hAnsi="Verdana" w:cs="Arial"/>
          <w:bCs/>
          <w:lang w:eastAsia="es-ES_tradnl"/>
        </w:rPr>
        <w:t xml:space="preserve">En tal sentido, se reitera que la restricción del artículo 33 de la Ley 996 de 2005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ya sea en aplicación de normas del Estatuto General de Contratación de la Administración Pública, así como de regímenes especiales. Esto, sin perjuicio de las excepciones a la prohibición </w:t>
      </w:r>
      <w:r w:rsidRPr="00380CA4">
        <w:rPr>
          <w:rFonts w:ascii="Verdana" w:eastAsia="Times New Roman" w:hAnsi="Verdana" w:cs="Arial"/>
          <w:bCs/>
          <w:lang w:eastAsia="es-ES_tradnl"/>
        </w:rPr>
        <w:lastRenderedPageBreak/>
        <w:t xml:space="preserve">establecidas en el inciso segundo del mismo artículo 33, como son: i) la defensa y seguridad del Estado; </w:t>
      </w:r>
      <w:proofErr w:type="spellStart"/>
      <w:r w:rsidRPr="00380CA4">
        <w:rPr>
          <w:rFonts w:ascii="Verdana" w:eastAsia="Times New Roman" w:hAnsi="Verdana" w:cs="Arial"/>
          <w:bCs/>
          <w:lang w:eastAsia="es-ES_tradnl"/>
        </w:rPr>
        <w:t>ii</w:t>
      </w:r>
      <w:proofErr w:type="spellEnd"/>
      <w:r w:rsidRPr="00380CA4">
        <w:rPr>
          <w:rFonts w:ascii="Verdana" w:eastAsia="Times New Roman" w:hAnsi="Verdana" w:cs="Arial"/>
          <w:bCs/>
          <w:lang w:eastAsia="es-ES_tradnl"/>
        </w:rPr>
        <w:t xml:space="preserve">) los contratos de crédito público; </w:t>
      </w:r>
      <w:proofErr w:type="spellStart"/>
      <w:r w:rsidRPr="00380CA4">
        <w:rPr>
          <w:rFonts w:ascii="Verdana" w:eastAsia="Times New Roman" w:hAnsi="Verdana" w:cs="Arial"/>
          <w:bCs/>
          <w:lang w:eastAsia="es-ES_tradnl"/>
        </w:rPr>
        <w:t>iii</w:t>
      </w:r>
      <w:proofErr w:type="spellEnd"/>
      <w:r w:rsidRPr="00380CA4">
        <w:rPr>
          <w:rFonts w:ascii="Verdana" w:eastAsia="Times New Roman" w:hAnsi="Verdana" w:cs="Arial"/>
          <w:bCs/>
          <w:lang w:eastAsia="es-ES_tradnl"/>
        </w:rPr>
        <w:t xml:space="preserve">) los requeridos para cubrir las emergencias educativas, sanitarias y desastres; </w:t>
      </w:r>
      <w:proofErr w:type="spellStart"/>
      <w:r w:rsidRPr="00380CA4">
        <w:rPr>
          <w:rFonts w:ascii="Verdana" w:eastAsia="Times New Roman" w:hAnsi="Verdana" w:cs="Arial"/>
          <w:bCs/>
          <w:lang w:eastAsia="es-ES_tradnl"/>
        </w:rPr>
        <w:t>iv</w:t>
      </w:r>
      <w:proofErr w:type="spellEnd"/>
      <w:r w:rsidRPr="00380CA4">
        <w:rPr>
          <w:rFonts w:ascii="Verdana" w:eastAsia="Times New Roman" w:hAnsi="Verdana" w:cs="Arial"/>
          <w:bCs/>
          <w:lang w:eastAsia="es-ES_tradnl"/>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r w:rsidRPr="00380CA4">
        <w:rPr>
          <w:rFonts w:ascii="Verdana" w:eastAsia="Times New Roman" w:hAnsi="Verdana" w:cs="Arial"/>
          <w:lang w:eastAsia="es-ES_tradnl"/>
        </w:rPr>
        <w:t xml:space="preserve"> </w:t>
      </w:r>
    </w:p>
    <w:p w14:paraId="10065F0E" w14:textId="77777777" w:rsidR="00A6584F" w:rsidRDefault="00A6584F" w:rsidP="00A6584F">
      <w:pPr>
        <w:tabs>
          <w:tab w:val="left" w:pos="426"/>
        </w:tabs>
        <w:spacing w:after="0" w:line="276" w:lineRule="auto"/>
        <w:jc w:val="both"/>
        <w:rPr>
          <w:rFonts w:ascii="Verdana" w:eastAsia="Times New Roman" w:hAnsi="Verdana" w:cs="Arial"/>
          <w:lang w:eastAsia="es-ES_tradnl"/>
        </w:rPr>
      </w:pPr>
      <w:r w:rsidRPr="00380CA4">
        <w:rPr>
          <w:rFonts w:ascii="Verdana" w:eastAsia="Times New Roman" w:hAnsi="Verdana" w:cs="Arial"/>
          <w:lang w:eastAsia="es-ES_tradnl"/>
        </w:rPr>
        <w:tab/>
      </w:r>
      <w:r w:rsidRPr="00380CA4">
        <w:rPr>
          <w:rFonts w:ascii="Verdana" w:eastAsia="Times New Roman" w:hAnsi="Verdana" w:cs="Arial"/>
          <w:lang w:eastAsia="es-ES_tradnl"/>
        </w:rPr>
        <w:tab/>
        <w:t xml:space="preserve">En contraste, cuando la adquisición de un bien se realiza mediante el procedimiento de expropiación administrativa, no se configura la celebración de un contrato, pues se trata de un acto </w:t>
      </w:r>
      <w:r>
        <w:rPr>
          <w:rFonts w:ascii="Verdana" w:eastAsia="Times New Roman" w:hAnsi="Verdana" w:cs="Arial"/>
          <w:lang w:eastAsia="es-ES_tradnl"/>
        </w:rPr>
        <w:t xml:space="preserve">administrativo </w:t>
      </w:r>
      <w:r w:rsidRPr="00380CA4">
        <w:rPr>
          <w:rFonts w:ascii="Verdana" w:eastAsia="Times New Roman" w:hAnsi="Verdana" w:cs="Arial"/>
          <w:lang w:eastAsia="es-ES_tradnl"/>
        </w:rPr>
        <w:t>sustentado en motivos de utilidad pública o interés social y en condiciones de urgencia previamente definidas por la ley. En este escenario, la transferencia de la propiedad se produce por decisión administrativa y no por acuerdo de voluntades, lo que implica que no se materializan la prohibición</w:t>
      </w:r>
      <w:r>
        <w:rPr>
          <w:rFonts w:ascii="Verdana" w:eastAsia="Times New Roman" w:hAnsi="Verdana" w:cs="Arial"/>
          <w:lang w:eastAsia="es-ES_tradnl"/>
        </w:rPr>
        <w:t xml:space="preserve"> de contratación prevista</w:t>
      </w:r>
      <w:r w:rsidRPr="00380CA4">
        <w:rPr>
          <w:rFonts w:ascii="Verdana" w:eastAsia="Times New Roman" w:hAnsi="Verdana" w:cs="Arial"/>
          <w:lang w:eastAsia="es-ES_tradnl"/>
        </w:rPr>
        <w:t xml:space="preserve"> en </w:t>
      </w:r>
      <w:r>
        <w:rPr>
          <w:rFonts w:ascii="Verdana" w:eastAsia="Times New Roman" w:hAnsi="Verdana" w:cs="Arial"/>
          <w:lang w:eastAsia="es-ES_tradnl"/>
        </w:rPr>
        <w:t xml:space="preserve">el artículo 33 de la Ley </w:t>
      </w:r>
      <w:r w:rsidRPr="00380CA4">
        <w:rPr>
          <w:rFonts w:ascii="Verdana" w:eastAsia="Times New Roman" w:hAnsi="Verdana" w:cs="Arial"/>
          <w:lang w:eastAsia="es-ES_tradnl"/>
        </w:rPr>
        <w:t>de Garantías Electorales. En consecuencia, la expropiación administrativa se mantiene como un mecanismo válido y procedente incluso durante el período de restricciones electorales, dado que su naturaleza jurídica la excluye de las limitaciones aplicables a los contratos estatales.</w:t>
      </w:r>
    </w:p>
    <w:p w14:paraId="5F796211" w14:textId="77777777" w:rsidR="00A6584F" w:rsidRDefault="00A6584F" w:rsidP="00A6584F">
      <w:pPr>
        <w:tabs>
          <w:tab w:val="left" w:pos="426"/>
        </w:tabs>
        <w:spacing w:after="0" w:line="240" w:lineRule="auto"/>
        <w:jc w:val="both"/>
        <w:rPr>
          <w:rFonts w:ascii="Verdana" w:eastAsia="Times New Roman" w:hAnsi="Verdana" w:cs="Arial"/>
          <w:lang w:eastAsia="es-ES_tradnl"/>
        </w:rPr>
      </w:pPr>
    </w:p>
    <w:p w14:paraId="4EB4190A" w14:textId="77777777" w:rsidR="00A6584F" w:rsidRPr="005F1911" w:rsidRDefault="00A6584F" w:rsidP="00A6584F">
      <w:pPr>
        <w:tabs>
          <w:tab w:val="left" w:pos="426"/>
        </w:tabs>
        <w:spacing w:after="120" w:line="276" w:lineRule="auto"/>
        <w:jc w:val="both"/>
        <w:rPr>
          <w:rFonts w:ascii="Verdana" w:hAnsi="Verdana" w:cs="Arial"/>
          <w:lang w:eastAsia="es-ES_tradnl"/>
        </w:rPr>
      </w:pPr>
      <w:r>
        <w:rPr>
          <w:rFonts w:ascii="Verdana" w:eastAsia="Times New Roman" w:hAnsi="Verdana" w:cs="Arial"/>
          <w:lang w:eastAsia="es-ES_tradnl"/>
        </w:rPr>
        <w:t>v. Ahora bien, es importante tener en cuenta el procedimiento de enajenación voluntaria para la constitución de servidumbres en proyectos de infraestructura de servicios públicos. Para ello, se acude al parágrafo 2° del artículo 38 de la Ley 1681 de 2012, que prescribe: “</w:t>
      </w:r>
      <w:r w:rsidRPr="005F1911">
        <w:rPr>
          <w:rFonts w:ascii="Verdana" w:hAnsi="Verdana" w:cs="Arial"/>
          <w:lang w:eastAsia="es-ES_tradnl"/>
        </w:rPr>
        <w:t>Lo dispuesto en este artículo será aplicable a la gestión predial necesaria para la ejecución de proyectos de infraestructura de servicios públicos, sin perjuicio de lo establecido en la Ley 56 de 1981</w:t>
      </w:r>
      <w:r>
        <w:rPr>
          <w:rFonts w:ascii="Verdana" w:hAnsi="Verdana" w:cs="Arial"/>
          <w:lang w:eastAsia="es-ES_tradnl"/>
        </w:rPr>
        <w:t>”. Es decir, debe aplicarse el artículo 38 de la Ley 1681 de 2013</w:t>
      </w:r>
      <w:r>
        <w:rPr>
          <w:rStyle w:val="Refdenotaalpie"/>
          <w:rFonts w:ascii="Verdana" w:hAnsi="Verdana" w:cs="Arial"/>
          <w:lang w:eastAsia="es-ES_tradnl"/>
        </w:rPr>
        <w:footnoteReference w:id="38"/>
      </w:r>
      <w:r>
        <w:rPr>
          <w:rFonts w:ascii="Verdana" w:hAnsi="Verdana" w:cs="Arial"/>
          <w:lang w:eastAsia="es-ES_tradnl"/>
        </w:rPr>
        <w:t xml:space="preserve">, lo que implica </w:t>
      </w:r>
      <w:r w:rsidRPr="005F1911">
        <w:rPr>
          <w:rFonts w:ascii="Verdana" w:hAnsi="Verdana" w:cs="Arial"/>
          <w:lang w:eastAsia="es-ES_tradnl"/>
        </w:rPr>
        <w:lastRenderedPageBreak/>
        <w:t>durante la construcción de</w:t>
      </w:r>
      <w:r>
        <w:rPr>
          <w:rFonts w:ascii="Verdana" w:hAnsi="Verdana" w:cs="Arial"/>
          <w:lang w:eastAsia="es-ES_tradnl"/>
        </w:rPr>
        <w:t xml:space="preserve"> proyectos de infraestructura de servicios públicos</w:t>
      </w:r>
      <w:r w:rsidRPr="005F1911">
        <w:rPr>
          <w:rFonts w:ascii="Verdana" w:hAnsi="Verdana" w:cs="Arial"/>
          <w:lang w:eastAsia="es-ES_tradnl"/>
        </w:rPr>
        <w:t xml:space="preserve">, el Estado puede imponer </w:t>
      </w:r>
      <w:r w:rsidRPr="005F1911">
        <w:rPr>
          <w:rFonts w:ascii="Verdana" w:hAnsi="Verdana" w:cs="Arial"/>
          <w:bCs/>
          <w:lang w:eastAsia="es-ES_tradnl"/>
        </w:rPr>
        <w:t>servidumbres mediante acto administrativo</w:t>
      </w:r>
      <w:r w:rsidRPr="005F1911">
        <w:rPr>
          <w:rFonts w:ascii="Verdana" w:hAnsi="Verdana" w:cs="Arial"/>
          <w:lang w:eastAsia="es-ES_tradnl"/>
        </w:rPr>
        <w:t xml:space="preserve"> para facilitar la ejecución de las obras. Esta facultad corresponde a la Nación, a través de los jefes de sus entidades, y a las entidades territoriales, por medio de gobernadores y alcaldes, según quién tenga a cargo el proyecto. </w:t>
      </w:r>
      <w:r>
        <w:rPr>
          <w:rFonts w:ascii="Verdana" w:hAnsi="Verdana" w:cs="Arial"/>
          <w:lang w:eastAsia="es-ES_tradnl"/>
        </w:rPr>
        <w:t xml:space="preserve">Así mismo, se exige </w:t>
      </w:r>
      <w:r w:rsidRPr="005F1911">
        <w:rPr>
          <w:rFonts w:ascii="Verdana" w:hAnsi="Verdana" w:cs="Arial"/>
          <w:lang w:eastAsia="es-ES_tradnl"/>
        </w:rPr>
        <w:t xml:space="preserve">como paso previo una </w:t>
      </w:r>
      <w:r w:rsidRPr="005F1911">
        <w:rPr>
          <w:rFonts w:ascii="Verdana" w:hAnsi="Verdana" w:cs="Arial"/>
          <w:bCs/>
          <w:lang w:eastAsia="es-ES_tradnl"/>
        </w:rPr>
        <w:t>etapa de negociación directa</w:t>
      </w:r>
      <w:r w:rsidRPr="005F1911">
        <w:rPr>
          <w:rFonts w:ascii="Verdana" w:hAnsi="Verdana" w:cs="Arial"/>
          <w:lang w:eastAsia="es-ES_tradnl"/>
        </w:rPr>
        <w:t xml:space="preserve"> con los propietarios de los predios afectados, la cual no puede superar los treinta días calendario. Si dentro de ese plazo no se logra un acuerdo, la autoridad competente puede imponer la servidumbre por vía administrativa. </w:t>
      </w:r>
    </w:p>
    <w:p w14:paraId="6E317FED" w14:textId="77777777" w:rsidR="00A6584F" w:rsidRDefault="00A6584F" w:rsidP="00A6584F">
      <w:pPr>
        <w:tabs>
          <w:tab w:val="left" w:pos="426"/>
        </w:tabs>
        <w:spacing w:after="0" w:line="276" w:lineRule="auto"/>
        <w:jc w:val="both"/>
        <w:rPr>
          <w:rFonts w:ascii="Verdana" w:hAnsi="Verdana" w:cs="Arial"/>
          <w:bCs/>
          <w:lang w:eastAsia="es-ES_tradnl"/>
        </w:rPr>
      </w:pPr>
      <w:r>
        <w:rPr>
          <w:rFonts w:ascii="Verdana" w:hAnsi="Verdana" w:cs="Arial"/>
          <w:lang w:eastAsia="es-ES_tradnl"/>
        </w:rPr>
        <w:tab/>
      </w:r>
      <w:r>
        <w:rPr>
          <w:rFonts w:ascii="Verdana" w:hAnsi="Verdana" w:cs="Arial"/>
          <w:lang w:eastAsia="es-ES_tradnl"/>
        </w:rPr>
        <w:tab/>
        <w:t xml:space="preserve">Como desarrollo de este artículo ya precitado, se estableció el Decreto 738 de 2014, </w:t>
      </w:r>
      <w:r w:rsidRPr="00F05DC2">
        <w:rPr>
          <w:rFonts w:ascii="Verdana" w:hAnsi="Verdana" w:cs="Arial"/>
          <w:lang w:eastAsia="es-ES_tradnl"/>
        </w:rPr>
        <w:t>“</w:t>
      </w:r>
      <w:r w:rsidRPr="00F05DC2">
        <w:rPr>
          <w:rFonts w:ascii="Verdana" w:hAnsi="Verdana" w:cs="Arial"/>
          <w:bCs/>
          <w:lang w:eastAsia="es-ES_tradnl"/>
        </w:rPr>
        <w:t>por el cual se reglamentan los términos para adelantar la negociación directa y la imposición de servidumbres por vía administrativa, de que trata el artículo 38 de la Ley 1682 de 2013”.</w:t>
      </w:r>
      <w:r>
        <w:rPr>
          <w:rFonts w:ascii="Verdana" w:hAnsi="Verdana" w:cs="Arial"/>
          <w:bCs/>
          <w:lang w:eastAsia="es-ES_tradnl"/>
        </w:rPr>
        <w:t xml:space="preserve"> Al respectivo, este Decreto en su artículo 2 establece el procedimiento de negociación directa, cuyo tenor literal prescribe:</w:t>
      </w:r>
    </w:p>
    <w:p w14:paraId="7C05AB7E" w14:textId="77777777" w:rsidR="00A6584F" w:rsidRDefault="00A6584F" w:rsidP="00A6584F">
      <w:pPr>
        <w:tabs>
          <w:tab w:val="left" w:pos="426"/>
        </w:tabs>
        <w:spacing w:after="0" w:line="276" w:lineRule="auto"/>
        <w:jc w:val="both"/>
        <w:rPr>
          <w:rFonts w:ascii="Verdana" w:hAnsi="Verdana" w:cs="Arial"/>
          <w:bCs/>
          <w:lang w:eastAsia="es-ES_tradnl"/>
        </w:rPr>
      </w:pPr>
    </w:p>
    <w:p w14:paraId="0090FF7B" w14:textId="77777777" w:rsidR="00A6584F" w:rsidRPr="008A7820" w:rsidRDefault="00A6584F" w:rsidP="00A6584F">
      <w:pPr>
        <w:tabs>
          <w:tab w:val="left" w:pos="426"/>
        </w:tabs>
        <w:spacing w:after="0" w:line="240" w:lineRule="auto"/>
        <w:ind w:left="709" w:right="709"/>
        <w:jc w:val="both"/>
        <w:rPr>
          <w:rFonts w:ascii="Verdana" w:hAnsi="Verdana" w:cs="Arial"/>
          <w:sz w:val="20"/>
          <w:szCs w:val="20"/>
          <w:lang w:eastAsia="es-ES_tradnl"/>
        </w:rPr>
      </w:pPr>
      <w:r w:rsidRPr="008A7820">
        <w:rPr>
          <w:rFonts w:ascii="Verdana" w:hAnsi="Verdana" w:cs="Arial"/>
          <w:bCs/>
          <w:sz w:val="20"/>
          <w:szCs w:val="20"/>
          <w:lang w:eastAsia="es-ES_tradnl"/>
        </w:rPr>
        <w:t>Artículo 2°.</w:t>
      </w:r>
      <w:r>
        <w:rPr>
          <w:rFonts w:ascii="Verdana" w:hAnsi="Verdana" w:cs="Arial"/>
          <w:bCs/>
          <w:sz w:val="20"/>
          <w:szCs w:val="20"/>
          <w:lang w:eastAsia="es-ES_tradnl"/>
        </w:rPr>
        <w:t xml:space="preserve"> </w:t>
      </w:r>
      <w:r w:rsidRPr="008A7820">
        <w:rPr>
          <w:rFonts w:ascii="Verdana" w:hAnsi="Verdana" w:cs="Arial"/>
          <w:i/>
          <w:iCs/>
          <w:sz w:val="20"/>
          <w:szCs w:val="20"/>
          <w:lang w:eastAsia="es-ES_tradnl"/>
        </w:rPr>
        <w:t>Negociación Directa</w:t>
      </w:r>
      <w:r w:rsidRPr="008A7820">
        <w:rPr>
          <w:rFonts w:ascii="Verdana" w:hAnsi="Verdana" w:cs="Arial"/>
          <w:sz w:val="20"/>
          <w:szCs w:val="20"/>
          <w:lang w:eastAsia="es-ES_tradnl"/>
        </w:rPr>
        <w:t>. El término máximo de treinta (30) días calendario, establecido en el artículo 38 de la Ley 1682 de 2013 empezará a correr a partir del día siguiente al recibo de la comunicación mediante la cual la autoridad presente la oferta que debe dirigirse al titular o titulares del derecho real de dominio o al poseedor o poseedores inscritos. Para efectos de la comunicación deben considerarse las disposiciones de la Ley 1437 de 2011 o aquellas que la modifiquen, adicionen o sustituyan. </w:t>
      </w:r>
    </w:p>
    <w:p w14:paraId="55A5CB27" w14:textId="77777777" w:rsidR="00A6584F" w:rsidRPr="008A7820" w:rsidRDefault="00A6584F" w:rsidP="00A6584F">
      <w:pPr>
        <w:tabs>
          <w:tab w:val="left" w:pos="426"/>
        </w:tabs>
        <w:spacing w:after="0" w:line="240" w:lineRule="auto"/>
        <w:ind w:left="709" w:right="709"/>
        <w:jc w:val="both"/>
        <w:rPr>
          <w:rFonts w:ascii="Verdana" w:hAnsi="Verdana" w:cs="Arial"/>
          <w:sz w:val="20"/>
          <w:szCs w:val="20"/>
          <w:lang w:eastAsia="es-ES_tradnl"/>
        </w:rPr>
      </w:pPr>
      <w:r w:rsidRPr="008A7820">
        <w:rPr>
          <w:rFonts w:ascii="Verdana" w:hAnsi="Verdana" w:cs="Arial"/>
          <w:sz w:val="20"/>
          <w:szCs w:val="20"/>
          <w:lang w:eastAsia="es-ES_tradnl"/>
        </w:rPr>
        <w:t xml:space="preserve">La oferta debe expresar la necesidad de constituir de común acuerdo una servidumbre sobre el inmueble o parte </w:t>
      </w:r>
      <w:proofErr w:type="gramStart"/>
      <w:r w:rsidRPr="008A7820">
        <w:rPr>
          <w:rFonts w:ascii="Verdana" w:hAnsi="Verdana" w:cs="Arial"/>
          <w:sz w:val="20"/>
          <w:szCs w:val="20"/>
          <w:lang w:eastAsia="es-ES_tradnl"/>
        </w:rPr>
        <w:t>del mismo</w:t>
      </w:r>
      <w:proofErr w:type="gramEnd"/>
      <w:r w:rsidRPr="008A7820">
        <w:rPr>
          <w:rFonts w:ascii="Verdana" w:hAnsi="Verdana" w:cs="Arial"/>
          <w:sz w:val="20"/>
          <w:szCs w:val="20"/>
          <w:lang w:eastAsia="es-ES_tradnl"/>
        </w:rPr>
        <w:t>. Debe contener: (i) la identificación del inmueble por su número de matrícula inmobiliaria, nomenclatura o nombre; (</w:t>
      </w:r>
      <w:proofErr w:type="spellStart"/>
      <w:r w:rsidRPr="008A7820">
        <w:rPr>
          <w:rFonts w:ascii="Verdana" w:hAnsi="Verdana" w:cs="Arial"/>
          <w:sz w:val="20"/>
          <w:szCs w:val="20"/>
          <w:lang w:eastAsia="es-ES_tradnl"/>
        </w:rPr>
        <w:t>ii</w:t>
      </w:r>
      <w:proofErr w:type="spellEnd"/>
      <w:r w:rsidRPr="008A7820">
        <w:rPr>
          <w:rFonts w:ascii="Verdana" w:hAnsi="Verdana" w:cs="Arial"/>
          <w:sz w:val="20"/>
          <w:szCs w:val="20"/>
          <w:lang w:eastAsia="es-ES_tradnl"/>
        </w:rPr>
        <w:t>) sus linderos; (</w:t>
      </w:r>
      <w:proofErr w:type="spellStart"/>
      <w:r w:rsidRPr="008A7820">
        <w:rPr>
          <w:rFonts w:ascii="Verdana" w:hAnsi="Verdana" w:cs="Arial"/>
          <w:sz w:val="20"/>
          <w:szCs w:val="20"/>
          <w:lang w:eastAsia="es-ES_tradnl"/>
        </w:rPr>
        <w:t>iii</w:t>
      </w:r>
      <w:proofErr w:type="spellEnd"/>
      <w:r w:rsidRPr="008A7820">
        <w:rPr>
          <w:rFonts w:ascii="Verdana" w:hAnsi="Verdana" w:cs="Arial"/>
          <w:sz w:val="20"/>
          <w:szCs w:val="20"/>
          <w:lang w:eastAsia="es-ES_tradnl"/>
        </w:rPr>
        <w:t>) el área en el sistema métrico decimal; (</w:t>
      </w:r>
      <w:proofErr w:type="spellStart"/>
      <w:r w:rsidRPr="008A7820">
        <w:rPr>
          <w:rFonts w:ascii="Verdana" w:hAnsi="Verdana" w:cs="Arial"/>
          <w:sz w:val="20"/>
          <w:szCs w:val="20"/>
          <w:lang w:eastAsia="es-ES_tradnl"/>
        </w:rPr>
        <w:t>iv</w:t>
      </w:r>
      <w:proofErr w:type="spellEnd"/>
      <w:r w:rsidRPr="008A7820">
        <w:rPr>
          <w:rFonts w:ascii="Verdana" w:hAnsi="Verdana" w:cs="Arial"/>
          <w:sz w:val="20"/>
          <w:szCs w:val="20"/>
          <w:lang w:eastAsia="es-ES_tradnl"/>
        </w:rPr>
        <w:t>) la indicación de si la servidumbre recae sobre la totalidad del inmueble o sobre una porción del mismo, </w:t>
      </w:r>
      <w:r w:rsidRPr="008A7820">
        <w:rPr>
          <w:rFonts w:ascii="Verdana" w:hAnsi="Verdana" w:cs="Arial"/>
          <w:bCs/>
          <w:sz w:val="20"/>
          <w:szCs w:val="20"/>
          <w:lang w:eastAsia="es-ES_tradnl"/>
        </w:rPr>
        <w:t>(</w:t>
      </w:r>
      <w:r w:rsidRPr="008A7820">
        <w:rPr>
          <w:rFonts w:ascii="Verdana" w:hAnsi="Verdana" w:cs="Arial"/>
          <w:sz w:val="20"/>
          <w:szCs w:val="20"/>
          <w:lang w:eastAsia="es-ES_tradnl"/>
        </w:rPr>
        <w:t>v</w:t>
      </w:r>
      <w:r w:rsidRPr="008A7820">
        <w:rPr>
          <w:rFonts w:ascii="Verdana" w:hAnsi="Verdana" w:cs="Arial"/>
          <w:bCs/>
          <w:sz w:val="20"/>
          <w:szCs w:val="20"/>
          <w:lang w:eastAsia="es-ES_tradnl"/>
        </w:rPr>
        <w:t>) </w:t>
      </w:r>
      <w:r w:rsidRPr="008A7820">
        <w:rPr>
          <w:rFonts w:ascii="Verdana" w:hAnsi="Verdana" w:cs="Arial"/>
          <w:sz w:val="20"/>
          <w:szCs w:val="20"/>
          <w:lang w:eastAsia="es-ES_tradnl"/>
        </w:rPr>
        <w:t xml:space="preserve">los linderos de la porción del predio; (vi) el término durante el cual operará la limitación; </w:t>
      </w:r>
      <w:r w:rsidRPr="008A7820">
        <w:rPr>
          <w:rFonts w:ascii="Verdana" w:hAnsi="Verdana" w:cs="Arial"/>
          <w:sz w:val="20"/>
          <w:szCs w:val="20"/>
          <w:lang w:eastAsia="es-ES_tradnl"/>
        </w:rPr>
        <w:lastRenderedPageBreak/>
        <w:t>(</w:t>
      </w:r>
      <w:proofErr w:type="spellStart"/>
      <w:r w:rsidRPr="008A7820">
        <w:rPr>
          <w:rFonts w:ascii="Verdana" w:hAnsi="Verdana" w:cs="Arial"/>
          <w:sz w:val="20"/>
          <w:szCs w:val="20"/>
          <w:lang w:eastAsia="es-ES_tradnl"/>
        </w:rPr>
        <w:t>vii</w:t>
      </w:r>
      <w:proofErr w:type="spellEnd"/>
      <w:r w:rsidRPr="008A7820">
        <w:rPr>
          <w:rFonts w:ascii="Verdana" w:hAnsi="Verdana" w:cs="Arial"/>
          <w:sz w:val="20"/>
          <w:szCs w:val="20"/>
          <w:lang w:eastAsia="es-ES_tradnl"/>
        </w:rPr>
        <w:t>) el precio que se pagará por la servidumbre anexando el avalúo comercial del predio, o el de la porción que será afectada con la medida, así como, la suma que la entidad pagará a título de indemnizaciones por las afectaciones del patrimonio de los particulares, cuando a ello haya lugar. </w:t>
      </w:r>
    </w:p>
    <w:p w14:paraId="546F7D38" w14:textId="77777777" w:rsidR="00A6584F" w:rsidRPr="008A7820" w:rsidRDefault="00A6584F" w:rsidP="00A6584F">
      <w:pPr>
        <w:tabs>
          <w:tab w:val="left" w:pos="426"/>
        </w:tabs>
        <w:spacing w:after="0" w:line="240" w:lineRule="auto"/>
        <w:ind w:left="709" w:right="709"/>
        <w:jc w:val="both"/>
        <w:rPr>
          <w:rFonts w:ascii="Verdana" w:hAnsi="Verdana" w:cs="Arial"/>
          <w:sz w:val="20"/>
          <w:szCs w:val="20"/>
          <w:lang w:eastAsia="es-ES_tradnl"/>
        </w:rPr>
      </w:pPr>
      <w:r w:rsidRPr="008A7820">
        <w:rPr>
          <w:rFonts w:ascii="Verdana" w:hAnsi="Verdana" w:cs="Arial"/>
          <w:sz w:val="20"/>
          <w:szCs w:val="20"/>
          <w:lang w:eastAsia="es-ES_tradnl"/>
        </w:rPr>
        <w:t>Dentro de los treinta (30) días calendario a los que se refiere el artículo 38 de la Ley 1682 de 2013, el interesado podrá aceptar, rechazar o presentar una contraoferta que debe ser considerada como una manifestación de interés en la negociación. </w:t>
      </w:r>
    </w:p>
    <w:p w14:paraId="5423C1C8" w14:textId="77777777" w:rsidR="00A6584F" w:rsidRPr="008A7820" w:rsidRDefault="00A6584F" w:rsidP="00A6584F">
      <w:pPr>
        <w:tabs>
          <w:tab w:val="left" w:pos="426"/>
        </w:tabs>
        <w:spacing w:after="0" w:line="240" w:lineRule="auto"/>
        <w:ind w:left="709" w:right="709"/>
        <w:jc w:val="both"/>
        <w:rPr>
          <w:rFonts w:ascii="Verdana" w:hAnsi="Verdana" w:cs="Arial"/>
          <w:sz w:val="20"/>
          <w:szCs w:val="20"/>
          <w:lang w:eastAsia="es-ES_tradnl"/>
        </w:rPr>
      </w:pPr>
      <w:r w:rsidRPr="008A7820">
        <w:rPr>
          <w:rFonts w:ascii="Verdana" w:hAnsi="Verdana" w:cs="Arial"/>
          <w:sz w:val="20"/>
          <w:szCs w:val="20"/>
          <w:lang w:eastAsia="es-ES_tradnl"/>
        </w:rPr>
        <w:t>En caso de acuerdo, la autoridad y el titular o titulares del derecho real de dominio o el poseedor o poseedores inscritos, procederán a suscribir la escritura pública de constitución de la servidumbre, que debe ser inscrita en la Oficina de Registro Público del lugar en que se encuentre matriculado el inmueble, previo agotamiento del trámite de reparto notarial, cuando a ello haya lugar. Con la escritura pública deben protocolizarse la totalidad de los documentos atinentes a la negociación. </w:t>
      </w:r>
    </w:p>
    <w:p w14:paraId="7ACDF9D5" w14:textId="77777777" w:rsidR="00A6584F" w:rsidRPr="008A7820" w:rsidRDefault="00A6584F" w:rsidP="00A6584F">
      <w:pPr>
        <w:tabs>
          <w:tab w:val="left" w:pos="426"/>
        </w:tabs>
        <w:spacing w:after="0" w:line="240" w:lineRule="auto"/>
        <w:ind w:left="709" w:right="709"/>
        <w:jc w:val="both"/>
        <w:rPr>
          <w:rFonts w:ascii="Verdana" w:hAnsi="Verdana" w:cs="Arial"/>
          <w:sz w:val="20"/>
          <w:szCs w:val="20"/>
          <w:lang w:eastAsia="es-ES_tradnl"/>
        </w:rPr>
      </w:pPr>
      <w:r w:rsidRPr="008A7820">
        <w:rPr>
          <w:rFonts w:ascii="Verdana" w:hAnsi="Verdana" w:cs="Arial"/>
          <w:sz w:val="20"/>
          <w:szCs w:val="20"/>
          <w:lang w:eastAsia="es-ES_tradnl"/>
        </w:rPr>
        <w:t>Si dentro del término establecido no se logra un acuerdo, la oferta es rechazada, o el afectado o los afectados guardan silencio en relación con la misma, o cuando habiendo aceptado la oferta no concurre(n) a la suscripción de la escritura pública dentro del plazo acordado para el efecto, la negociación directa se entenderá fracasada y procederá la imposición por vía administrativa.  </w:t>
      </w:r>
    </w:p>
    <w:p w14:paraId="4AF65AF6" w14:textId="77777777" w:rsidR="00A6584F" w:rsidRPr="008A7820" w:rsidRDefault="00A6584F" w:rsidP="00A6584F">
      <w:pPr>
        <w:tabs>
          <w:tab w:val="left" w:pos="426"/>
        </w:tabs>
        <w:spacing w:after="0" w:line="240" w:lineRule="auto"/>
        <w:ind w:left="709" w:right="709"/>
        <w:jc w:val="both"/>
        <w:rPr>
          <w:rFonts w:ascii="Verdana" w:hAnsi="Verdana" w:cs="Arial"/>
          <w:sz w:val="20"/>
          <w:szCs w:val="20"/>
          <w:lang w:eastAsia="es-ES_tradnl"/>
        </w:rPr>
      </w:pPr>
      <w:r w:rsidRPr="008A7820">
        <w:rPr>
          <w:rFonts w:ascii="Verdana" w:hAnsi="Verdana" w:cs="Arial"/>
          <w:bCs/>
          <w:sz w:val="20"/>
          <w:szCs w:val="20"/>
          <w:lang w:eastAsia="es-ES_tradnl"/>
        </w:rPr>
        <w:t>Parágrafo.</w:t>
      </w:r>
      <w:r w:rsidRPr="008A7820">
        <w:rPr>
          <w:rFonts w:ascii="Verdana" w:hAnsi="Verdana" w:cs="Arial"/>
          <w:sz w:val="20"/>
          <w:szCs w:val="20"/>
          <w:lang w:eastAsia="es-ES_tradnl"/>
        </w:rPr>
        <w:t> El avalúo será realizado por el Instituto Geográfico Agustín Codazzi, (IGAC), la autoridad catastral correspondiente o las personas naturales o jurídicas de carácter privado registradas y autorizadas por las Lonjas de Propiedad Raíz, de acuerdo con la metodología establecida por el Instituto Geográfico Agustín Codazzi, (IGAC). Dicho avalúo, incluirá, si a ello hubiere lugar, el valor de las indemnizaciones y tendrá una vigencia máxima de un (1) año contado a partir de la fecha en que el mismo quede en firme. </w:t>
      </w:r>
    </w:p>
    <w:p w14:paraId="680C6F80" w14:textId="77777777" w:rsidR="00A6584F" w:rsidRPr="005F1911" w:rsidRDefault="00A6584F" w:rsidP="00A6584F">
      <w:pPr>
        <w:tabs>
          <w:tab w:val="left" w:pos="426"/>
        </w:tabs>
        <w:spacing w:after="0" w:line="240" w:lineRule="auto"/>
        <w:jc w:val="both"/>
        <w:rPr>
          <w:rFonts w:ascii="Verdana" w:hAnsi="Verdana" w:cs="Arial"/>
          <w:lang w:eastAsia="es-ES_tradnl"/>
        </w:rPr>
      </w:pPr>
    </w:p>
    <w:p w14:paraId="401E5D10" w14:textId="77777777" w:rsidR="00A6584F" w:rsidRDefault="00A6584F" w:rsidP="00A6584F">
      <w:pPr>
        <w:tabs>
          <w:tab w:val="left" w:pos="426"/>
        </w:tabs>
        <w:spacing w:after="120" w:line="276" w:lineRule="auto"/>
        <w:jc w:val="both"/>
        <w:rPr>
          <w:rFonts w:ascii="Verdana" w:hAnsi="Verdana" w:cs="Arial"/>
          <w:lang w:eastAsia="es-ES_tradnl"/>
        </w:rPr>
      </w:pPr>
      <w:r>
        <w:rPr>
          <w:rFonts w:ascii="Verdana" w:eastAsia="Times New Roman" w:hAnsi="Verdana" w:cs="Arial"/>
          <w:lang w:eastAsia="es-ES_tradnl"/>
        </w:rPr>
        <w:tab/>
      </w:r>
      <w:r>
        <w:rPr>
          <w:rFonts w:ascii="Verdana" w:eastAsia="Times New Roman" w:hAnsi="Verdana" w:cs="Arial"/>
          <w:lang w:eastAsia="es-ES_tradnl"/>
        </w:rPr>
        <w:tab/>
      </w:r>
      <w:r w:rsidRPr="008A7820">
        <w:rPr>
          <w:rFonts w:ascii="Verdana" w:hAnsi="Verdana" w:cs="Arial"/>
          <w:lang w:eastAsia="es-ES_tradnl"/>
        </w:rPr>
        <w:t xml:space="preserve">El artículo desarrolla de manera detallada la </w:t>
      </w:r>
      <w:r w:rsidRPr="008A7820">
        <w:rPr>
          <w:rFonts w:ascii="Verdana" w:hAnsi="Verdana" w:cs="Arial"/>
          <w:bCs/>
          <w:lang w:eastAsia="es-ES_tradnl"/>
        </w:rPr>
        <w:t>etapa de negociación directa</w:t>
      </w:r>
      <w:r w:rsidRPr="008A7820">
        <w:rPr>
          <w:rFonts w:ascii="Verdana" w:hAnsi="Verdana" w:cs="Arial"/>
          <w:lang w:eastAsia="es-ES_tradnl"/>
        </w:rPr>
        <w:t xml:space="preserve"> </w:t>
      </w:r>
      <w:r>
        <w:rPr>
          <w:rFonts w:ascii="Verdana" w:hAnsi="Verdana" w:cs="Arial"/>
          <w:lang w:eastAsia="es-ES_tradnl"/>
        </w:rPr>
        <w:t xml:space="preserve">prevista, definiendo </w:t>
      </w:r>
      <w:r w:rsidRPr="008A7820">
        <w:rPr>
          <w:rFonts w:ascii="Verdana" w:hAnsi="Verdana" w:cs="Arial"/>
          <w:lang w:eastAsia="es-ES_tradnl"/>
        </w:rPr>
        <w:t>el momento exacto en el que inicia el plazo máximo de treinta días y las reglas que deben seguirse. Dicho término</w:t>
      </w:r>
      <w:r>
        <w:rPr>
          <w:rFonts w:ascii="Verdana" w:hAnsi="Verdana" w:cs="Arial"/>
          <w:lang w:eastAsia="es-ES_tradnl"/>
        </w:rPr>
        <w:t xml:space="preserve"> empieza</w:t>
      </w:r>
      <w:r w:rsidRPr="008A7820">
        <w:rPr>
          <w:rFonts w:ascii="Verdana" w:hAnsi="Verdana" w:cs="Arial"/>
          <w:lang w:eastAsia="es-ES_tradnl"/>
        </w:rPr>
        <w:t xml:space="preserve"> a contarse desde el día siguiente a aquel en que el propietario, poseedor inscrito u otro titular del derecho real reciba la comunicación oficial mediante la cual la autoridad presenta la oferta de servidumbre. Esta comunicación debe ajustarse a las normas del procedimiento administrativo establecidas en la Ley 1437 de 2011. La oferta debe expresar la necesidad de constituir la servidumbre por mutuo acuerdo e incluir información precisa del inmueble afectado, como su identificación, linderos, área, alcance de la afectación (total o parcial), duración de la servidumbre y el precio ofrecido. Además, debe anexarse el avalúo </w:t>
      </w:r>
      <w:r w:rsidRPr="008A7820">
        <w:rPr>
          <w:rFonts w:ascii="Verdana" w:hAnsi="Verdana" w:cs="Arial"/>
          <w:lang w:eastAsia="es-ES_tradnl"/>
        </w:rPr>
        <w:lastRenderedPageBreak/>
        <w:t>comercial correspondiente y, cuando sea necesario, el valor de las indemnizaciones por los perjuicios ocasionados al patrimonio del particular.</w:t>
      </w:r>
    </w:p>
    <w:p w14:paraId="67E5074D" w14:textId="77777777" w:rsidR="00A6584F" w:rsidRDefault="00A6584F" w:rsidP="00A6584F">
      <w:pPr>
        <w:tabs>
          <w:tab w:val="left" w:pos="426"/>
        </w:tabs>
        <w:spacing w:after="120" w:line="276" w:lineRule="auto"/>
        <w:jc w:val="both"/>
        <w:rPr>
          <w:rFonts w:ascii="Verdana" w:eastAsia="Times New Roman" w:hAnsi="Verdana" w:cs="Arial"/>
          <w:lang w:eastAsia="es-ES_tradnl"/>
        </w:rPr>
      </w:pPr>
      <w:r>
        <w:rPr>
          <w:rFonts w:ascii="Verdana" w:hAnsi="Verdana" w:cs="Arial"/>
          <w:lang w:eastAsia="es-ES_tradnl"/>
        </w:rPr>
        <w:tab/>
      </w:r>
      <w:r>
        <w:rPr>
          <w:rFonts w:ascii="Verdana" w:hAnsi="Verdana" w:cs="Arial"/>
          <w:lang w:eastAsia="es-ES_tradnl"/>
        </w:rPr>
        <w:tab/>
      </w:r>
      <w:r w:rsidRPr="008A7820">
        <w:rPr>
          <w:rFonts w:ascii="Verdana" w:eastAsia="Times New Roman" w:hAnsi="Verdana" w:cs="Arial"/>
          <w:lang w:eastAsia="es-ES_tradnl"/>
        </w:rPr>
        <w:t>Durante el plazo de los treinta días, el titular del inmueble puede aceptar la oferta, rechazarla o formular una contraoferta, lo cual se considera una manifestación válida de interés en negociar. Si se llega a un acuerdo, las partes deben formalizar la servidumbre mediante escritura pública</w:t>
      </w:r>
      <w:r>
        <w:rPr>
          <w:rFonts w:ascii="Verdana" w:eastAsia="Times New Roman" w:hAnsi="Verdana" w:cs="Arial"/>
          <w:lang w:eastAsia="es-ES_tradnl"/>
        </w:rPr>
        <w:t xml:space="preserve">, que </w:t>
      </w:r>
      <w:r w:rsidRPr="008A7820">
        <w:rPr>
          <w:rFonts w:ascii="Verdana" w:eastAsia="Times New Roman" w:hAnsi="Verdana" w:cs="Arial"/>
          <w:lang w:eastAsia="es-ES_tradnl"/>
        </w:rPr>
        <w:t xml:space="preserve">debe inscribirse en la Oficina de Registro de Instrumentos Públicos correspondiente, protocolizando todos los documentos relacionados con la negociación. En cambio, si no hay acuerdo, si la oferta es rechazada, si existe silencio del afectado, o si este no concurre a firmar la escritura en el plazo pactado, se entiende fracasada la negociación directa y la autoridad queda habilitada para imponer la servidumbre por vía administrativa. Finalmente, el artículo señala que el avalúo debe </w:t>
      </w:r>
      <w:r>
        <w:rPr>
          <w:rFonts w:ascii="Verdana" w:eastAsia="Times New Roman" w:hAnsi="Verdana" w:cs="Arial"/>
          <w:lang w:eastAsia="es-ES_tradnl"/>
        </w:rPr>
        <w:t xml:space="preserve">realizarse </w:t>
      </w:r>
      <w:r w:rsidRPr="008A7820">
        <w:rPr>
          <w:rFonts w:ascii="Verdana" w:eastAsia="Times New Roman" w:hAnsi="Verdana" w:cs="Arial"/>
          <w:lang w:eastAsia="es-ES_tradnl"/>
        </w:rPr>
        <w:t>por el IGAC, la autoridad catastral competente o por peritos privados autorizados, siguiendo la metodología oficial, y que dicho avalúo tiene una vigencia máxima de un año, garantizando así criterios técnicos y actualizados en la determinación del precio y las indemnizaciones.</w:t>
      </w:r>
    </w:p>
    <w:p w14:paraId="585602AB" w14:textId="77777777" w:rsidR="00A6584F" w:rsidRPr="00D42CBD" w:rsidRDefault="00A6584F" w:rsidP="00A6584F">
      <w:pPr>
        <w:tabs>
          <w:tab w:val="left" w:pos="426"/>
        </w:tabs>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ab/>
      </w:r>
      <w:r>
        <w:rPr>
          <w:rFonts w:ascii="Verdana" w:eastAsia="Times New Roman" w:hAnsi="Verdana" w:cs="Arial"/>
          <w:lang w:eastAsia="es-ES_tradnl"/>
        </w:rPr>
        <w:tab/>
      </w:r>
      <w:r w:rsidRPr="00B75F06">
        <w:rPr>
          <w:rFonts w:ascii="Verdana" w:eastAsia="Times New Roman" w:hAnsi="Verdana" w:cs="Arial"/>
          <w:lang w:eastAsia="es-ES_tradnl"/>
        </w:rPr>
        <w:t xml:space="preserve">En relación </w:t>
      </w:r>
      <w:r>
        <w:rPr>
          <w:rFonts w:ascii="Verdana" w:eastAsia="Times New Roman" w:hAnsi="Verdana" w:cs="Arial"/>
          <w:lang w:eastAsia="es-ES_tradnl"/>
        </w:rPr>
        <w:t xml:space="preserve">con </w:t>
      </w:r>
      <w:r w:rsidRPr="00B75F06">
        <w:rPr>
          <w:rFonts w:ascii="Verdana" w:eastAsia="Times New Roman" w:hAnsi="Verdana" w:cs="Arial"/>
          <w:lang w:eastAsia="es-ES_tradnl"/>
        </w:rPr>
        <w:t xml:space="preserve">la constitución de una servidumbre en proyectos de infraestructura de </w:t>
      </w:r>
      <w:r w:rsidRPr="00B75F06">
        <w:rPr>
          <w:rFonts w:ascii="Verdana" w:eastAsia="Times New Roman" w:hAnsi="Verdana" w:cs="Arial"/>
          <w:bCs/>
          <w:lang w:eastAsia="es-ES_tradnl"/>
        </w:rPr>
        <w:t>servicios públicos domiciliarios</w:t>
      </w:r>
      <w:r w:rsidRPr="00B75F06">
        <w:rPr>
          <w:rFonts w:ascii="Verdana" w:eastAsia="Times New Roman" w:hAnsi="Verdana" w:cs="Arial"/>
          <w:lang w:eastAsia="es-ES_tradnl"/>
        </w:rPr>
        <w:t xml:space="preserve">, resulta pertinente tener en cuenta que el </w:t>
      </w:r>
      <w:r w:rsidRPr="00B75F06">
        <w:rPr>
          <w:rFonts w:ascii="Verdana" w:eastAsia="Times New Roman" w:hAnsi="Verdana" w:cs="Arial"/>
          <w:bCs/>
          <w:lang w:eastAsia="es-ES_tradnl"/>
        </w:rPr>
        <w:t>contrato de servidumbre</w:t>
      </w:r>
      <w:r>
        <w:rPr>
          <w:rFonts w:ascii="Verdana" w:eastAsia="Times New Roman" w:hAnsi="Verdana" w:cs="Arial"/>
          <w:lang w:eastAsia="es-ES_tradnl"/>
        </w:rPr>
        <w:t xml:space="preserve"> está </w:t>
      </w:r>
      <w:r w:rsidRPr="00B75F06">
        <w:rPr>
          <w:rFonts w:ascii="Verdana" w:eastAsia="Times New Roman" w:hAnsi="Verdana" w:cs="Arial"/>
          <w:lang w:eastAsia="es-ES_tradnl"/>
        </w:rPr>
        <w:t>definido en el</w:t>
      </w:r>
      <w:r>
        <w:rPr>
          <w:rFonts w:ascii="Verdana" w:eastAsia="Times New Roman" w:hAnsi="Verdana" w:cs="Arial"/>
          <w:lang w:eastAsia="es-ES_tradnl"/>
        </w:rPr>
        <w:t xml:space="preserve"> artículo 879 del Código Civil: […] </w:t>
      </w:r>
      <w:r w:rsidRPr="00B75F06">
        <w:rPr>
          <w:rFonts w:ascii="Verdana" w:eastAsia="Times New Roman" w:hAnsi="Verdana" w:cs="Arial"/>
          <w:lang w:eastAsia="es-ES_tradnl"/>
        </w:rPr>
        <w:t>Servidumbre predial o simple servidumbre, es un gravamen impuesto sobre un predio, en utilidad de</w:t>
      </w:r>
      <w:r>
        <w:rPr>
          <w:rFonts w:ascii="Verdana" w:eastAsia="Times New Roman" w:hAnsi="Verdana" w:cs="Arial"/>
          <w:lang w:eastAsia="es-ES_tradnl"/>
        </w:rPr>
        <w:t xml:space="preserve"> otro predio de distinto dueño. </w:t>
      </w:r>
      <w:r w:rsidRPr="00D42CBD">
        <w:rPr>
          <w:rFonts w:ascii="Verdana" w:eastAsia="Times New Roman" w:hAnsi="Verdana" w:cs="Arial"/>
          <w:lang w:eastAsia="es-ES_tradnl"/>
        </w:rPr>
        <w:t xml:space="preserve">Asimismo, de conformidad con lo dispuesto en el </w:t>
      </w:r>
      <w:r w:rsidRPr="00D42CBD">
        <w:rPr>
          <w:rFonts w:ascii="Verdana" w:eastAsia="Times New Roman" w:hAnsi="Verdana" w:cs="Arial"/>
          <w:bCs/>
          <w:lang w:eastAsia="es-ES_tradnl"/>
        </w:rPr>
        <w:t>artículo 923 del Código Civil</w:t>
      </w:r>
      <w:r w:rsidRPr="00D42CBD">
        <w:rPr>
          <w:rFonts w:ascii="Verdana" w:eastAsia="Times New Roman" w:hAnsi="Verdana" w:cs="Arial"/>
          <w:lang w:eastAsia="es-ES_tradnl"/>
        </w:rPr>
        <w:t xml:space="preserve">, relativo a la </w:t>
      </w:r>
      <w:r w:rsidRPr="00700817">
        <w:rPr>
          <w:rFonts w:ascii="Verdana" w:eastAsia="Times New Roman" w:hAnsi="Verdana" w:cs="Arial"/>
          <w:bCs/>
          <w:lang w:eastAsia="es-ES_tradnl"/>
        </w:rPr>
        <w:t>servidumbre de acueducto</w:t>
      </w:r>
      <w:r w:rsidRPr="00700817">
        <w:rPr>
          <w:rFonts w:ascii="Verdana" w:eastAsia="Times New Roman" w:hAnsi="Verdana" w:cs="Arial"/>
          <w:lang w:eastAsia="es-ES_tradnl"/>
        </w:rPr>
        <w:t>,</w:t>
      </w:r>
      <w:r w:rsidRPr="00D42CBD">
        <w:rPr>
          <w:rFonts w:ascii="Verdana" w:eastAsia="Times New Roman" w:hAnsi="Verdana" w:cs="Arial"/>
          <w:lang w:eastAsia="es-ES_tradnl"/>
        </w:rPr>
        <w:t xml:space="preserve"> se establece que el propietario del predio sirviente tiene derecho</w:t>
      </w:r>
      <w:r>
        <w:rPr>
          <w:rFonts w:ascii="Verdana" w:eastAsia="Times New Roman" w:hAnsi="Verdana" w:cs="Arial"/>
          <w:lang w:eastAsia="es-ES_tradnl"/>
        </w:rPr>
        <w:t xml:space="preserve">: </w:t>
      </w:r>
      <w:r w:rsidRPr="00700817">
        <w:rPr>
          <w:rFonts w:ascii="Verdana" w:eastAsia="Times New Roman" w:hAnsi="Verdana" w:cs="Arial"/>
          <w:lang w:eastAsia="es-ES_tradnl"/>
        </w:rPr>
        <w:t>“[…] se le pague el precio de todo el terreno que fuere ocupado por el acueducto; el de un espacio a cada uno de los costados, que no bajará de un metro de anchura en toda la extensión de su curso, y podrá ser mayor por convenio de las partes, o por disposición del juez, cuando las circunstancias lo exigieren; y un diez por ciento más sobre la suma total. Tendrá, además, derecho para que se le indemnice de todo perjuicio ocasionado por la construcción del acueducto y por sus filtraciones y derrames que puedan imputars</w:t>
      </w:r>
      <w:r>
        <w:rPr>
          <w:rFonts w:ascii="Verdana" w:eastAsia="Times New Roman" w:hAnsi="Verdana" w:cs="Arial"/>
          <w:lang w:eastAsia="es-ES_tradnl"/>
        </w:rPr>
        <w:t>e a defectos de construcción</w:t>
      </w:r>
      <w:r w:rsidRPr="00700817">
        <w:rPr>
          <w:rFonts w:ascii="Verdana" w:eastAsia="Times New Roman" w:hAnsi="Verdana" w:cs="Arial"/>
          <w:lang w:eastAsia="es-ES_tradnl"/>
        </w:rPr>
        <w:t>”</w:t>
      </w:r>
      <w:r>
        <w:rPr>
          <w:rFonts w:ascii="Verdana" w:eastAsia="Times New Roman" w:hAnsi="Verdana" w:cs="Arial"/>
          <w:lang w:eastAsia="es-ES_tradnl"/>
        </w:rPr>
        <w:t>.</w:t>
      </w:r>
    </w:p>
    <w:p w14:paraId="76B130F6" w14:textId="77777777" w:rsidR="00A6584F" w:rsidRPr="00F33CF0" w:rsidRDefault="00A6584F" w:rsidP="00A6584F">
      <w:pPr>
        <w:tabs>
          <w:tab w:val="left" w:pos="426"/>
        </w:tabs>
        <w:spacing w:after="120" w:line="276" w:lineRule="auto"/>
        <w:jc w:val="both"/>
        <w:rPr>
          <w:rFonts w:ascii="Verdana" w:hAnsi="Verdana" w:cs="Arial"/>
          <w:lang w:eastAsia="es-ES_tradnl"/>
        </w:rPr>
      </w:pPr>
      <w:r>
        <w:rPr>
          <w:rFonts w:ascii="Verdana" w:eastAsia="Times New Roman" w:hAnsi="Verdana" w:cs="Arial"/>
          <w:lang w:eastAsia="es-ES_tradnl"/>
        </w:rPr>
        <w:tab/>
      </w:r>
      <w:r w:rsidRPr="00F33CF0">
        <w:rPr>
          <w:rFonts w:ascii="Verdana" w:eastAsia="Times New Roman" w:hAnsi="Verdana" w:cs="Arial"/>
          <w:lang w:eastAsia="es-ES_tradnl"/>
        </w:rPr>
        <w:tab/>
      </w:r>
      <w:r w:rsidRPr="00F33CF0">
        <w:rPr>
          <w:rFonts w:ascii="Verdana" w:hAnsi="Verdana" w:cs="Arial"/>
          <w:lang w:eastAsia="es-ES_tradnl"/>
        </w:rPr>
        <w:t xml:space="preserve">A partir de la definición legal del </w:t>
      </w:r>
      <w:r w:rsidRPr="00F33CF0">
        <w:rPr>
          <w:rFonts w:ascii="Verdana" w:hAnsi="Verdana" w:cs="Arial"/>
          <w:bCs/>
          <w:lang w:eastAsia="es-ES_tradnl"/>
        </w:rPr>
        <w:t>contrato de servidumbre</w:t>
      </w:r>
      <w:r w:rsidRPr="00F33CF0">
        <w:rPr>
          <w:rFonts w:ascii="Verdana" w:hAnsi="Verdana" w:cs="Arial"/>
          <w:lang w:eastAsia="es-ES_tradnl"/>
        </w:rPr>
        <w:t xml:space="preserve"> y del procedimiento de </w:t>
      </w:r>
      <w:r w:rsidRPr="00F33CF0">
        <w:rPr>
          <w:rFonts w:ascii="Verdana" w:hAnsi="Verdana" w:cs="Arial"/>
          <w:bCs/>
          <w:lang w:eastAsia="es-ES_tradnl"/>
        </w:rPr>
        <w:t>enajenación voluntaria o negociación directa</w:t>
      </w:r>
      <w:r w:rsidRPr="00F33CF0">
        <w:rPr>
          <w:rFonts w:ascii="Verdana" w:hAnsi="Verdana" w:cs="Arial"/>
          <w:lang w:eastAsia="es-ES_tradnl"/>
        </w:rPr>
        <w:t xml:space="preserve"> previsto en el artículo 38 de la Ley 1682 de 2013, desarrollado por el artículo 2 del Decreto 738 de 2012, se enmarca en un régimen especial orientado a facilitar la </w:t>
      </w:r>
      <w:r w:rsidRPr="00F33CF0">
        <w:rPr>
          <w:rFonts w:ascii="Verdana" w:hAnsi="Verdana" w:cs="Arial"/>
          <w:lang w:eastAsia="es-ES_tradnl"/>
        </w:rPr>
        <w:lastRenderedPageBreak/>
        <w:t xml:space="preserve">ejecución de proyectos de infraestructura. En este contexto, se concluye que existe una </w:t>
      </w:r>
      <w:r w:rsidRPr="00F33CF0">
        <w:rPr>
          <w:rFonts w:ascii="Verdana" w:hAnsi="Verdana" w:cs="Arial"/>
          <w:bCs/>
          <w:lang w:eastAsia="es-ES_tradnl"/>
        </w:rPr>
        <w:t xml:space="preserve">limitación a la aplicación del artículo 33 de la Ley 996 de 2005 </w:t>
      </w:r>
      <w:r w:rsidRPr="00F33CF0">
        <w:rPr>
          <w:rFonts w:ascii="Verdana" w:hAnsi="Verdana" w:cs="Arial"/>
          <w:lang w:eastAsia="es-ES_tradnl"/>
        </w:rPr>
        <w:t>respecto de la suscripción del contrato de servidumbre, en la medida en que este sí constituye un contrato bajo un procedimiento directo, esto es, sin pluralidad de oferentes, entre la entidad pública y el particular.</w:t>
      </w:r>
    </w:p>
    <w:p w14:paraId="06B03B37" w14:textId="77777777" w:rsidR="00A6584F" w:rsidRPr="00F33CF0" w:rsidRDefault="00A6584F" w:rsidP="00A6584F">
      <w:pPr>
        <w:tabs>
          <w:tab w:val="left" w:pos="426"/>
        </w:tabs>
        <w:spacing w:after="120" w:line="276" w:lineRule="auto"/>
        <w:jc w:val="both"/>
        <w:rPr>
          <w:rFonts w:ascii="Verdana" w:eastAsia="Times New Roman" w:hAnsi="Verdana" w:cs="Arial"/>
          <w:lang w:eastAsia="es-ES_tradnl"/>
        </w:rPr>
      </w:pPr>
      <w:r w:rsidRPr="00F33CF0">
        <w:rPr>
          <w:rFonts w:ascii="Verdana" w:eastAsia="Times New Roman" w:hAnsi="Verdana" w:cs="Arial"/>
          <w:lang w:eastAsia="es-ES_tradnl"/>
        </w:rPr>
        <w:tab/>
      </w:r>
      <w:r w:rsidRPr="00F33CF0">
        <w:rPr>
          <w:rFonts w:ascii="Verdana" w:eastAsia="Times New Roman" w:hAnsi="Verdana" w:cs="Arial"/>
          <w:lang w:eastAsia="es-ES_tradnl"/>
        </w:rPr>
        <w:tab/>
        <w:t xml:space="preserve">No obstante, las actuaciones previas e instrumentales al acuerdo definitivo —tales como la elaboración y obtención de avalúos, la formulación de la oferta, el desarrollo de las negociaciones preliminares y, en general, todas aquellas actuaciones administrativas que no comporten por sí mismas la celebración de un contrato— pueden adelantarse válidamente incluso durante el período de restricción electoral. Ello, en tanto estas actuaciones no configuran un supuesto de </w:t>
      </w:r>
      <w:r w:rsidRPr="00F33CF0">
        <w:rPr>
          <w:rFonts w:ascii="Verdana" w:eastAsia="Times New Roman" w:hAnsi="Verdana" w:cs="Arial"/>
          <w:bCs/>
          <w:lang w:eastAsia="es-ES_tradnl"/>
        </w:rPr>
        <w:t>contratación directa en sentido estricto</w:t>
      </w:r>
      <w:r w:rsidRPr="00F33CF0">
        <w:rPr>
          <w:rFonts w:ascii="Verdana" w:eastAsia="Times New Roman" w:hAnsi="Verdana" w:cs="Arial"/>
          <w:lang w:eastAsia="es-ES_tradnl"/>
        </w:rPr>
        <w:t>, sino que corresponden al ejercicio de competencias, necesarias para la eventual constitución de la servidumbre.</w:t>
      </w:r>
    </w:p>
    <w:p w14:paraId="31DC6B8C" w14:textId="77777777" w:rsidR="00A6584F" w:rsidRPr="00F33CF0" w:rsidRDefault="00A6584F" w:rsidP="00A6584F">
      <w:pPr>
        <w:tabs>
          <w:tab w:val="left" w:pos="426"/>
        </w:tabs>
        <w:spacing w:after="120" w:line="276" w:lineRule="auto"/>
        <w:jc w:val="both"/>
        <w:rPr>
          <w:rFonts w:ascii="Verdana" w:eastAsia="Times New Roman" w:hAnsi="Verdana" w:cs="Arial"/>
          <w:lang w:eastAsia="es-ES_tradnl"/>
        </w:rPr>
      </w:pPr>
      <w:r w:rsidRPr="00F33CF0">
        <w:rPr>
          <w:rFonts w:ascii="Verdana" w:eastAsia="Times New Roman" w:hAnsi="Verdana" w:cs="Arial"/>
          <w:lang w:eastAsia="es-ES_tradnl"/>
        </w:rPr>
        <w:tab/>
      </w:r>
      <w:r w:rsidRPr="00F33CF0">
        <w:rPr>
          <w:rFonts w:ascii="Verdana" w:eastAsia="Times New Roman" w:hAnsi="Verdana" w:cs="Arial"/>
          <w:lang w:eastAsia="es-ES_tradnl"/>
        </w:rPr>
        <w:tab/>
        <w:t>Ahora bien, en el evento de que, con posterioridad a la aceptación de la oferta y antes de la escrituración, se celebren</w:t>
      </w:r>
      <w:r w:rsidRPr="00F33CF0">
        <w:rPr>
          <w:rFonts w:ascii="Verdana" w:eastAsia="Times New Roman" w:hAnsi="Verdana" w:cs="Arial"/>
          <w:bCs/>
          <w:lang w:eastAsia="es-ES_tradnl"/>
        </w:rPr>
        <w:t xml:space="preserve"> cualquier tipo contractual</w:t>
      </w:r>
      <w:r w:rsidRPr="00F33CF0">
        <w:rPr>
          <w:rFonts w:ascii="Verdana" w:eastAsia="Times New Roman" w:hAnsi="Verdana" w:cs="Arial"/>
          <w:lang w:eastAsia="es-ES_tradnl"/>
        </w:rPr>
        <w:t xml:space="preserve">, como podría ser un </w:t>
      </w:r>
      <w:r w:rsidRPr="00F33CF0">
        <w:rPr>
          <w:rFonts w:ascii="Verdana" w:eastAsia="Times New Roman" w:hAnsi="Verdana" w:cs="Arial"/>
          <w:bCs/>
          <w:lang w:eastAsia="es-ES_tradnl"/>
        </w:rPr>
        <w:t>contrato de transacción</w:t>
      </w:r>
      <w:r w:rsidRPr="00F33CF0">
        <w:rPr>
          <w:rFonts w:ascii="Verdana" w:eastAsia="Times New Roman" w:hAnsi="Verdana" w:cs="Arial"/>
          <w:lang w:eastAsia="es-ES_tradnl"/>
        </w:rPr>
        <w:t>, debe analizarse cuidadosamente el procedimiento para su aplicación. En estos casos, sí podría configurarse la restricción prevista en el artículo 33 de la Ley 996 de 2005, siempre que se trate de un contrato suscrito de forma directa. En todo caso, dicha restricción no es aplicable, en cambio, frente a actuaciones administrativas que, aun siendo relevantes dentro del procedimiento, no generan una relación contractual entre la entidad y el particular.</w:t>
      </w:r>
    </w:p>
    <w:p w14:paraId="7016A708" w14:textId="77777777" w:rsidR="00A6584F" w:rsidRPr="00F33CF0" w:rsidRDefault="00A6584F" w:rsidP="00A6584F">
      <w:pPr>
        <w:spacing w:after="120" w:line="276" w:lineRule="auto"/>
        <w:ind w:firstLine="708"/>
        <w:jc w:val="both"/>
        <w:rPr>
          <w:rFonts w:ascii="Verdana" w:eastAsia="Times New Roman" w:hAnsi="Verdana" w:cs="Arial"/>
          <w:bCs/>
          <w:lang w:val="es-MX" w:eastAsia="x-none"/>
        </w:rPr>
      </w:pPr>
      <w:r w:rsidRPr="00F33CF0">
        <w:rPr>
          <w:rFonts w:ascii="Verdana" w:eastAsia="Times New Roman" w:hAnsi="Verdana" w:cs="Arial"/>
          <w:bCs/>
          <w:lang w:val="es-MX" w:eastAsia="x-none"/>
        </w:rPr>
        <w:t xml:space="preserve">Esto, sin perjuicio de las excepciones a esta prohibición, contenidas en el inciso segundo del precitado artículo: i) los contratos relacionados con la defensa y seguridad del Estado, analizados en el Concepto 322 de 2026; </w:t>
      </w:r>
      <w:proofErr w:type="spellStart"/>
      <w:r w:rsidRPr="00F33CF0">
        <w:rPr>
          <w:rFonts w:ascii="Verdana" w:eastAsia="Times New Roman" w:hAnsi="Verdana" w:cs="Arial"/>
          <w:bCs/>
          <w:lang w:val="es-MX" w:eastAsia="x-none"/>
        </w:rPr>
        <w:t>ii</w:t>
      </w:r>
      <w:proofErr w:type="spellEnd"/>
      <w:r w:rsidRPr="00F33CF0">
        <w:rPr>
          <w:rFonts w:ascii="Verdana" w:eastAsia="Times New Roman" w:hAnsi="Verdana" w:cs="Arial"/>
          <w:bCs/>
          <w:lang w:val="es-MX" w:eastAsia="x-none"/>
        </w:rPr>
        <w:t xml:space="preserve">) los contratos de crédito público, abordados en el Concepto CU-372 de 2026; </w:t>
      </w:r>
      <w:proofErr w:type="spellStart"/>
      <w:r w:rsidRPr="00F33CF0">
        <w:rPr>
          <w:rFonts w:ascii="Verdana" w:eastAsia="Times New Roman" w:hAnsi="Verdana" w:cs="Arial"/>
          <w:bCs/>
          <w:lang w:val="es-MX" w:eastAsia="x-none"/>
        </w:rPr>
        <w:t>iii</w:t>
      </w:r>
      <w:proofErr w:type="spellEnd"/>
      <w:r w:rsidRPr="00F33CF0">
        <w:rPr>
          <w:rFonts w:ascii="Verdana" w:eastAsia="Times New Roman" w:hAnsi="Verdana" w:cs="Arial"/>
          <w:bCs/>
          <w:lang w:val="es-MX" w:eastAsia="x-none"/>
        </w:rPr>
        <w:t>) los contratos necesarios para atender emergencias educativas, sanitarias o desastres, tratados en los Conceptos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118 de 2026 y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 xml:space="preserve">176 de 2026, que tratan en este caso de la urgencia manifiesta; </w:t>
      </w:r>
      <w:proofErr w:type="spellStart"/>
      <w:r w:rsidRPr="00F33CF0">
        <w:rPr>
          <w:rFonts w:ascii="Verdana" w:eastAsia="Times New Roman" w:hAnsi="Verdana" w:cs="Arial"/>
          <w:bCs/>
          <w:lang w:val="es-MX" w:eastAsia="x-none"/>
        </w:rPr>
        <w:t>iv</w:t>
      </w:r>
      <w:proofErr w:type="spellEnd"/>
      <w:r w:rsidRPr="00F33CF0">
        <w:rPr>
          <w:rFonts w:ascii="Verdana" w:eastAsia="Times New Roman" w:hAnsi="Verdana" w:cs="Arial"/>
          <w:bCs/>
          <w:lang w:val="es-MX" w:eastAsia="x-none"/>
        </w:rPr>
        <w:t>) los contratos destinados a la reconstrucción de infraestructura vial, energética y de comunicaciones afectada por atentados, acciones terroristas, desastres naturales o fuerza mayor, igualmente estudiados en los Conceptos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118 de 2026 y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176 de 2026, entre otros; y v) la contratación directa celebrada por entidades sanitarias y hospitalarias, objeto de análisis en los Conceptos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1124 de 2026,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1406 de 2026 y C</w:t>
      </w:r>
      <w:r w:rsidRPr="00F33CF0">
        <w:rPr>
          <w:rFonts w:ascii="Cambria Math" w:eastAsia="Times New Roman" w:hAnsi="Cambria Math" w:cs="Cambria Math"/>
          <w:bCs/>
          <w:lang w:val="es-MX" w:eastAsia="x-none"/>
        </w:rPr>
        <w:t>‑</w:t>
      </w:r>
      <w:r w:rsidRPr="00F33CF0">
        <w:rPr>
          <w:rFonts w:ascii="Verdana" w:eastAsia="Times New Roman" w:hAnsi="Verdana" w:cs="Arial"/>
          <w:bCs/>
          <w:lang w:val="es-MX" w:eastAsia="x-none"/>
        </w:rPr>
        <w:t xml:space="preserve">1703 de 2026. </w:t>
      </w:r>
      <w:r w:rsidRPr="00F33CF0">
        <w:rPr>
          <w:rFonts w:ascii="Verdana" w:eastAsia="Times New Roman" w:hAnsi="Verdana" w:cs="Arial"/>
          <w:bCs/>
          <w:lang w:val="es-MX" w:eastAsia="es-CO"/>
        </w:rPr>
        <w:lastRenderedPageBreak/>
        <w:t xml:space="preserve">Es responsabilidad del respectivo ente del Estado, examinar en cada caso la naturaleza de las actividades que adelanta y determinar si las mismas se enmarcan en alguna de las mencionadas excepciones, de manera que se le permita realizar la celebración de contratos o acuerdos para la constitución de la servidumbre. </w:t>
      </w:r>
    </w:p>
    <w:p w14:paraId="3012E18E" w14:textId="77777777" w:rsidR="00A6584F" w:rsidRPr="00F33CF0" w:rsidRDefault="00A6584F" w:rsidP="00A6584F">
      <w:pPr>
        <w:spacing w:after="0" w:line="276" w:lineRule="auto"/>
        <w:ind w:firstLine="709"/>
        <w:jc w:val="both"/>
        <w:rPr>
          <w:rFonts w:ascii="Verdana" w:eastAsia="Times New Roman" w:hAnsi="Verdana" w:cs="Arial"/>
          <w:bCs/>
          <w:lang w:val="es-MX" w:eastAsia="es-CO"/>
        </w:rPr>
      </w:pPr>
      <w:r w:rsidRPr="00F33CF0">
        <w:rPr>
          <w:rFonts w:ascii="Verdana" w:eastAsia="Times New Roman" w:hAnsi="Verdana" w:cs="Arial"/>
          <w:bCs/>
          <w:lang w:eastAsia="x-none"/>
        </w:rPr>
        <w:t>Por último</w:t>
      </w:r>
      <w:r w:rsidRPr="00F33CF0">
        <w:rPr>
          <w:rFonts w:ascii="Verdana" w:eastAsia="Times New Roman" w:hAnsi="Verdana" w:cs="Arial"/>
          <w:bCs/>
          <w:lang w:val="es-MX" w:eastAsia="x-none"/>
        </w:rPr>
        <w:t xml:space="preserve">, se reitera, </w:t>
      </w:r>
      <w:r w:rsidRPr="00F33CF0">
        <w:rPr>
          <w:rFonts w:ascii="Verdana" w:eastAsia="Times New Roman" w:hAnsi="Verdana" w:cs="Arial"/>
          <w:bCs/>
          <w:lang w:val="es-MX" w:eastAsia="es-CO"/>
        </w:rPr>
        <w:t xml:space="preserve">que las prórrogas, modificaciones o adiciones de los contratos suscritos antes de la entrada en vigor de las prohibiciones anotadas, en especial del artículo 33 de la Ley 996 de 2005, así como la cesión de </w:t>
      </w:r>
      <w:proofErr w:type="gramStart"/>
      <w:r w:rsidRPr="00F33CF0">
        <w:rPr>
          <w:rFonts w:ascii="Verdana" w:eastAsia="Times New Roman" w:hAnsi="Verdana" w:cs="Arial"/>
          <w:bCs/>
          <w:lang w:val="es-MX" w:eastAsia="es-CO"/>
        </w:rPr>
        <w:t>los mismos</w:t>
      </w:r>
      <w:proofErr w:type="gramEnd"/>
      <w:r w:rsidRPr="00F33CF0">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F33CF0">
        <w:rPr>
          <w:rFonts w:ascii="Verdana" w:eastAsia="Times New Roman" w:hAnsi="Verdana" w:cs="Arial"/>
          <w:bCs/>
          <w:vertAlign w:val="superscript"/>
          <w:lang w:val="es-MX" w:eastAsia="es-CO"/>
        </w:rPr>
        <w:footnoteReference w:id="39"/>
      </w:r>
      <w:r w:rsidRPr="00F33CF0">
        <w:rPr>
          <w:rFonts w:ascii="Verdana" w:eastAsia="Times New Roman" w:hAnsi="Verdana" w:cs="Arial"/>
          <w:bCs/>
          <w:lang w:val="es-MX" w:eastAsia="es-CO"/>
        </w:rPr>
        <w:t>. Además, también es posible que contratos celebrados previamente se continúen ejecutando con normalidad.</w:t>
      </w:r>
    </w:p>
    <w:p w14:paraId="5F63E3F8" w14:textId="77777777" w:rsidR="00A6584F" w:rsidRPr="007319C8" w:rsidRDefault="00A6584F" w:rsidP="00A6584F">
      <w:pPr>
        <w:spacing w:after="0" w:line="276" w:lineRule="auto"/>
        <w:ind w:firstLine="709"/>
        <w:jc w:val="both"/>
        <w:rPr>
          <w:rFonts w:ascii="Verdana" w:eastAsia="Times New Roman" w:hAnsi="Verdana" w:cs="Arial"/>
          <w:bCs/>
          <w:color w:val="FF0000"/>
          <w:lang w:val="es-MX" w:eastAsia="es-CO"/>
        </w:rPr>
      </w:pPr>
    </w:p>
    <w:p w14:paraId="162D83B4" w14:textId="77777777" w:rsidR="00A6584F" w:rsidRPr="00F4158D" w:rsidRDefault="00A6584F" w:rsidP="00A6584F">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 xml:space="preserve">vi. </w:t>
      </w:r>
      <w:r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B22455D" w14:textId="77777777" w:rsidR="00A6584F" w:rsidRPr="00F4158D" w:rsidRDefault="00A6584F" w:rsidP="00A6584F">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CCBEABC" w14:textId="77777777" w:rsidR="00A6584F" w:rsidRPr="00F4158D" w:rsidRDefault="00A6584F" w:rsidP="00A6584F">
      <w:pPr>
        <w:spacing w:after="0" w:line="240"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55F90224" w14:textId="77777777" w:rsidR="00A6584F" w:rsidRPr="00593A5F" w:rsidRDefault="00A6584F" w:rsidP="00A658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w:t>
      </w:r>
    </w:p>
    <w:p w14:paraId="4CD402BB" w14:textId="77777777" w:rsidR="00A6584F" w:rsidRPr="00593A5F" w:rsidRDefault="00A6584F" w:rsidP="00A6584F">
      <w:pPr>
        <w:widowControl w:val="0"/>
        <w:autoSpaceDE w:val="0"/>
        <w:autoSpaceDN w:val="0"/>
        <w:spacing w:after="0" w:line="240"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584F" w:rsidRPr="002407CE" w14:paraId="541C3B14" w14:textId="77777777" w:rsidTr="00572E42">
        <w:trPr>
          <w:trHeight w:val="311"/>
          <w:jc w:val="center"/>
        </w:trPr>
        <w:tc>
          <w:tcPr>
            <w:tcW w:w="8647" w:type="dxa"/>
          </w:tcPr>
          <w:p w14:paraId="7C79B019"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 127.</w:t>
            </w:r>
          </w:p>
          <w:p w14:paraId="6365AC10" w14:textId="77777777" w:rsidR="00A6584F" w:rsidRPr="00BC3F56" w:rsidRDefault="00A6584F" w:rsidP="00572E42">
            <w:pPr>
              <w:pStyle w:val="Prrafodelista"/>
              <w:numPr>
                <w:ilvl w:val="0"/>
                <w:numId w:val="17"/>
              </w:numPr>
              <w:spacing w:line="276" w:lineRule="auto"/>
              <w:rPr>
                <w:rFonts w:ascii="Verdana" w:hAnsi="Verdana" w:cs="Arial"/>
              </w:rPr>
            </w:pPr>
            <w:r w:rsidRPr="00BC3F56">
              <w:rPr>
                <w:rFonts w:ascii="Verdana" w:hAnsi="Verdana" w:cs="Arial"/>
              </w:rPr>
              <w:t xml:space="preserve">Código Civil, artículos 879, 923 y 1501. </w:t>
            </w:r>
          </w:p>
          <w:p w14:paraId="4E86BAC0"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56 de 1981.</w:t>
            </w:r>
          </w:p>
          <w:p w14:paraId="21B748E5"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 de 1989.</w:t>
            </w:r>
          </w:p>
          <w:p w14:paraId="0F74374F"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787A9B6D"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388 de 1997.</w:t>
            </w:r>
          </w:p>
          <w:p w14:paraId="12A99A9D"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0F9D2FD0" w14:textId="77777777" w:rsidR="00A6584F"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Ley 1150 de 2007, artículos 1 y 2. </w:t>
            </w:r>
          </w:p>
          <w:p w14:paraId="1C3FE993" w14:textId="77777777" w:rsidR="00A6584F" w:rsidRDefault="00A6584F" w:rsidP="00572E42">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Pr>
                <w:rFonts w:ascii="Verdana" w:hAnsi="Verdana" w:cs="Arial"/>
              </w:rPr>
              <w:t xml:space="preserve">Ley 1682 de 2013, artículo 38. </w:t>
            </w:r>
          </w:p>
          <w:p w14:paraId="5AF069EB" w14:textId="77777777" w:rsidR="00A6584F" w:rsidRPr="00BC3F56" w:rsidRDefault="00A6584F" w:rsidP="00572E42">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 xml:space="preserve">Decreto 738 de 2014, artículo 2. </w:t>
            </w:r>
          </w:p>
        </w:tc>
      </w:tr>
    </w:tbl>
    <w:p w14:paraId="5A135EE2" w14:textId="77777777" w:rsidR="00A6584F" w:rsidRPr="002407CE" w:rsidRDefault="00A6584F" w:rsidP="00A6584F">
      <w:pPr>
        <w:widowControl w:val="0"/>
        <w:autoSpaceDE w:val="0"/>
        <w:autoSpaceDN w:val="0"/>
        <w:spacing w:after="0" w:line="276" w:lineRule="auto"/>
        <w:jc w:val="both"/>
        <w:rPr>
          <w:rFonts w:ascii="Verdana" w:hAnsi="Verdana" w:cs="Arial"/>
        </w:rPr>
      </w:pPr>
    </w:p>
    <w:p w14:paraId="342BDE2B" w14:textId="77777777" w:rsidR="00A6584F" w:rsidRPr="00593A5F" w:rsidRDefault="00A6584F" w:rsidP="00A658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F6D7D6" w14:textId="77777777" w:rsidR="00A6584F" w:rsidRPr="00593A5F" w:rsidRDefault="00A6584F" w:rsidP="00A6584F">
      <w:pPr>
        <w:widowControl w:val="0"/>
        <w:autoSpaceDE w:val="0"/>
        <w:autoSpaceDN w:val="0"/>
        <w:spacing w:after="0" w:line="276" w:lineRule="auto"/>
        <w:jc w:val="both"/>
        <w:rPr>
          <w:rFonts w:ascii="Verdana" w:hAnsi="Verdana" w:cs="Arial"/>
        </w:rPr>
      </w:pPr>
    </w:p>
    <w:p w14:paraId="45C2F9C5" w14:textId="77777777" w:rsidR="00A6584F" w:rsidRPr="007D6CC8" w:rsidRDefault="00A6584F" w:rsidP="00A6584F">
      <w:pPr>
        <w:widowControl w:val="0"/>
        <w:autoSpaceDE w:val="0"/>
        <w:autoSpaceDN w:val="0"/>
        <w:spacing w:after="0" w:line="276" w:lineRule="auto"/>
        <w:jc w:val="both"/>
        <w:rPr>
          <w:rFonts w:ascii="Verdana" w:hAnsi="Verdana" w:cs="Arial"/>
          <w:shd w:val="clear" w:color="auto" w:fill="FFFFFF"/>
        </w:rPr>
      </w:pPr>
      <w:r w:rsidRPr="00380CA4">
        <w:rPr>
          <w:rFonts w:ascii="Verdana" w:eastAsia="Calibri" w:hAnsi="Verdana" w:cs="Times New Roman"/>
        </w:rPr>
        <w:t xml:space="preserve">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w:t>
      </w:r>
      <w:r w:rsidRPr="00380CA4">
        <w:rPr>
          <w:rFonts w:ascii="Verdana" w:eastAsia="Calibri" w:hAnsi="Verdana" w:cs="Times New Roman"/>
        </w:rPr>
        <w:lastRenderedPageBreak/>
        <w:t>octubre de 2025, C-1343 del 20 de octubre de 2025, C-1350 del 1˚ de octubre de 2025, C-1401 del 22 de octubre de 2025, C-1512 del 27 de octubre de 2025, C-1488 del 30 de octubre de 2025, C-1596 del 6 de noviembre de 2025, C-1509 del 19 de noviembre de 2025, C-1548 del 2 de diciembre de 2025, C-1773 del 5 de diciembre de 2025, C-1646 del 17 de diciembre de 2025, C-1703 del 29 de diciembre de 2025, C-068 del 27 de enero de 2026</w:t>
      </w:r>
      <w:r>
        <w:rPr>
          <w:rFonts w:ascii="Verdana" w:eastAsia="Calibri" w:hAnsi="Verdana" w:cs="Times New Roman"/>
        </w:rPr>
        <w:t xml:space="preserve">, C-111 del 6 de febrero de 2026, C-127 del 6 de febrero de 2026, </w:t>
      </w:r>
      <w:r w:rsidRPr="0061256A">
        <w:rPr>
          <w:rFonts w:ascii="Verdana" w:hAnsi="Verdana" w:cs="Arial"/>
          <w:shd w:val="clear" w:color="auto" w:fill="FFFFFF"/>
        </w:rPr>
        <w:t>C-137 del 17 de febrero de 2026, C-185 del 23 de febrero de 2026, C-322 del 4 de marz</w:t>
      </w:r>
      <w:r>
        <w:rPr>
          <w:rFonts w:ascii="Verdana" w:hAnsi="Verdana" w:cs="Arial"/>
          <w:shd w:val="clear" w:color="auto" w:fill="FFFFFF"/>
        </w:rPr>
        <w:t xml:space="preserve">o de 2026, C-263 del 27 de marzo de 2026, </w:t>
      </w:r>
      <w:r>
        <w:rPr>
          <w:rFonts w:ascii="Verdana" w:eastAsia="Calibri" w:hAnsi="Verdana" w:cs="Times New Roman"/>
        </w:rPr>
        <w:t xml:space="preserve">entre otros.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3F4C9EA" w14:textId="77777777" w:rsidR="00A6584F" w:rsidRPr="00185EE9" w:rsidRDefault="00A6584F" w:rsidP="00A6584F">
      <w:pPr>
        <w:spacing w:after="0" w:line="256" w:lineRule="auto"/>
        <w:jc w:val="both"/>
        <w:rPr>
          <w:rFonts w:ascii="Verdana" w:eastAsia="Calibri" w:hAnsi="Verdana" w:cs="Times New Roman"/>
        </w:rPr>
      </w:pPr>
      <w:hyperlink r:id="rId17"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40F2FD8F" w14:textId="77777777" w:rsidR="00A6584F" w:rsidRPr="00096788" w:rsidRDefault="00A6584F" w:rsidP="00A6584F">
      <w:pPr>
        <w:widowControl w:val="0"/>
        <w:autoSpaceDE w:val="0"/>
        <w:autoSpaceDN w:val="0"/>
        <w:spacing w:after="0" w:line="276" w:lineRule="auto"/>
        <w:jc w:val="both"/>
        <w:rPr>
          <w:rFonts w:ascii="Verdana" w:hAnsi="Verdana" w:cs="Arial"/>
          <w:color w:val="000000" w:themeColor="text1"/>
          <w:shd w:val="clear" w:color="auto" w:fill="FFFFFF"/>
        </w:rPr>
      </w:pPr>
    </w:p>
    <w:p w14:paraId="44F631D6" w14:textId="77777777" w:rsidR="00A6584F" w:rsidRPr="00BC3F56" w:rsidRDefault="00A6584F" w:rsidP="00A6584F">
      <w:pPr>
        <w:spacing w:after="0" w:line="256" w:lineRule="auto"/>
        <w:jc w:val="both"/>
        <w:rPr>
          <w:rFonts w:ascii="Verdana" w:eastAsia="Calibri" w:hAnsi="Verdana" w:cs="Times New Roman"/>
        </w:rPr>
      </w:pPr>
      <w:r w:rsidRPr="00BC3F56">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BC3F56">
        <w:rPr>
          <w:rFonts w:ascii="Verdana" w:eastAsia="Calibri" w:hAnsi="Verdana" w:cs="Times New Roman"/>
          <w:b/>
          <w:bCs/>
        </w:rPr>
        <w:t>Curso de Contratación Pública Sostenible y Socialmente Responsable</w:t>
      </w:r>
      <w:r w:rsidRPr="00BC3F56">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C3F56">
        <w:rPr>
          <w:rFonts w:ascii="Verdana" w:eastAsia="Calibri" w:hAnsi="Verdana" w:cs="Times New Roman"/>
        </w:rPr>
        <w:br/>
      </w:r>
      <w:hyperlink r:id="rId18" w:tgtFrame="_new" w:history="1">
        <w:r w:rsidRPr="00BC3F56">
          <w:rPr>
            <w:rFonts w:ascii="Verdana" w:eastAsia="Calibri" w:hAnsi="Verdana" w:cs="Times New Roman"/>
            <w:color w:val="0000FF"/>
            <w:u w:val="single"/>
          </w:rPr>
          <w:t>https://formacionvirtual.colombiacompra.gov.co/mod/page/view.php?id=3718</w:t>
        </w:r>
      </w:hyperlink>
    </w:p>
    <w:p w14:paraId="33E2C53F" w14:textId="77777777" w:rsidR="00A6584F" w:rsidRPr="00BC3F56" w:rsidRDefault="00A6584F" w:rsidP="00A6584F">
      <w:pPr>
        <w:spacing w:after="0" w:line="256" w:lineRule="auto"/>
        <w:jc w:val="both"/>
        <w:rPr>
          <w:rFonts w:ascii="Verdana" w:eastAsia="Calibri" w:hAnsi="Verdana" w:cs="Times New Roman"/>
        </w:rPr>
      </w:pPr>
    </w:p>
    <w:p w14:paraId="1DB5C7F2" w14:textId="77777777" w:rsidR="00A6584F" w:rsidRPr="00BC3F56" w:rsidRDefault="00A6584F" w:rsidP="00A6584F">
      <w:pPr>
        <w:spacing w:after="0" w:line="256" w:lineRule="auto"/>
        <w:jc w:val="both"/>
        <w:rPr>
          <w:rFonts w:ascii="Verdana" w:eastAsia="Calibri" w:hAnsi="Verdana" w:cs="Times New Roman"/>
        </w:rPr>
      </w:pPr>
      <w:r w:rsidRPr="00BC3F56">
        <w:rPr>
          <w:rFonts w:ascii="Verdana" w:eastAsia="Calibri" w:hAnsi="Verdana" w:cs="Times New Roman"/>
        </w:rPr>
        <w:t xml:space="preserve">De otro lado, te contamos que esta Agencia ha da un paso decisivo en la estandarización y modernización del </w:t>
      </w:r>
      <w:r w:rsidRPr="00BC3F56">
        <w:rPr>
          <w:rFonts w:ascii="Verdana" w:eastAsia="Calibri" w:hAnsi="Verdana" w:cs="Times New Roman"/>
          <w:b/>
          <w:bCs/>
        </w:rPr>
        <w:t>sector  social</w:t>
      </w:r>
      <w:r w:rsidRPr="00BC3F56">
        <w:rPr>
          <w:rFonts w:ascii="Verdana" w:eastAsia="Calibri" w:hAnsi="Verdana" w:cs="Times New Roman"/>
        </w:rPr>
        <w:t xml:space="preserve"> con la expedición de las </w:t>
      </w:r>
      <w:r w:rsidRPr="00BC3F56">
        <w:rPr>
          <w:rFonts w:ascii="Verdana" w:eastAsia="Calibri" w:hAnsi="Verdana" w:cs="Times New Roman"/>
          <w:b/>
          <w:bCs/>
        </w:rPr>
        <w:t>Resoluciones 539, 540, 541, 952 y 953 de 2025</w:t>
      </w:r>
      <w:r w:rsidRPr="00BC3F56">
        <w:rPr>
          <w:rFonts w:ascii="Verdana" w:eastAsia="Calibri" w:hAnsi="Verdana" w:cs="Times New Roman"/>
        </w:rPr>
        <w:t xml:space="preserve">, </w:t>
      </w:r>
      <w:r w:rsidRPr="00BC3F56">
        <w:rPr>
          <w:rFonts w:ascii="Verdana" w:eastAsia="Calibri" w:hAnsi="Verdana" w:cs="Times New Roman"/>
          <w:b/>
          <w:bCs/>
        </w:rPr>
        <w:t>mediante las cuales adoptó Documentos Tipo</w:t>
      </w:r>
      <w:r w:rsidRPr="00BC3F56">
        <w:rPr>
          <w:rFonts w:ascii="Verdana" w:eastAsia="Calibri" w:hAnsi="Verdana" w:cs="Times New Roman"/>
        </w:rPr>
        <w:t xml:space="preserve"> para las modalidades de selección de</w:t>
      </w:r>
      <w:r w:rsidRPr="00BC3F56">
        <w:rPr>
          <w:rFonts w:ascii="Verdana" w:eastAsia="Calibri" w:hAnsi="Verdana" w:cs="Times New Roman"/>
          <w:b/>
          <w:bCs/>
        </w:rPr>
        <w:t xml:space="preserve"> licitación pública (versión 2), selección abreviada de menor cuantía, mínima cuantía, consultoría e interventoría</w:t>
      </w:r>
      <w:r w:rsidRPr="00BC3F56">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9" w:tgtFrame="_new" w:history="1">
        <w:r w:rsidRPr="00BC3F56">
          <w:rPr>
            <w:rFonts w:ascii="Verdana" w:eastAsia="Calibri" w:hAnsi="Verdana" w:cs="Times New Roman"/>
            <w:color w:val="0000FF"/>
            <w:u w:val="single"/>
          </w:rPr>
          <w:t>https://www.colombiacompra.gov.co/normativa-y-relatoria/documentos-tipo</w:t>
        </w:r>
      </w:hyperlink>
    </w:p>
    <w:p w14:paraId="61C46262" w14:textId="77777777" w:rsidR="00A6584F" w:rsidRPr="00BC3F56" w:rsidRDefault="00A6584F" w:rsidP="00A6584F">
      <w:pPr>
        <w:spacing w:after="0" w:line="256" w:lineRule="auto"/>
        <w:jc w:val="both"/>
        <w:rPr>
          <w:rFonts w:ascii="Verdana" w:eastAsia="Calibri" w:hAnsi="Verdana" w:cs="Times New Roman"/>
        </w:rPr>
      </w:pPr>
    </w:p>
    <w:p w14:paraId="45FF30C7" w14:textId="77777777" w:rsidR="00A6584F" w:rsidRPr="00BC3F56" w:rsidRDefault="00A6584F" w:rsidP="00A6584F">
      <w:pPr>
        <w:spacing w:after="0" w:line="256" w:lineRule="auto"/>
        <w:jc w:val="both"/>
        <w:rPr>
          <w:rFonts w:ascii="Verdana" w:eastAsia="Calibri" w:hAnsi="Verdana" w:cs="Times New Roman"/>
        </w:rPr>
      </w:pPr>
      <w:r w:rsidRPr="00BC3F56">
        <w:rPr>
          <w:rFonts w:ascii="Verdana" w:eastAsia="Calibri" w:hAnsi="Verdana" w:cs="Times New Roman"/>
        </w:rPr>
        <w:t xml:space="preserve">Si quieres conocer más sobre la aplicación de Documentos Tipo puedes consultar la última versión de la </w:t>
      </w:r>
      <w:r w:rsidRPr="00BC3F56">
        <w:rPr>
          <w:rFonts w:ascii="Verdana" w:eastAsia="Calibri" w:hAnsi="Verdana" w:cs="Times New Roman"/>
          <w:b/>
          <w:bCs/>
        </w:rPr>
        <w:t>Guía para la comprensión e implementación de los Documentos Tipo de obra pública de infraestructura de transporte</w:t>
      </w:r>
      <w:r w:rsidRPr="00BC3F56">
        <w:rPr>
          <w:rFonts w:ascii="Verdana" w:eastAsia="Calibri" w:hAnsi="Verdana" w:cs="Times New Roman"/>
        </w:rPr>
        <w:t xml:space="preserve">. En </w:t>
      </w:r>
      <w:r w:rsidRPr="00BC3F56">
        <w:rPr>
          <w:rFonts w:ascii="Verdana" w:eastAsia="Calibri" w:hAnsi="Verdana" w:cs="Times New Roman"/>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C3F56">
        <w:rPr>
          <w:rFonts w:ascii="Verdana" w:eastAsia="Calibri" w:hAnsi="Verdana" w:cs="Times New Roman"/>
        </w:rPr>
        <w:br/>
      </w:r>
      <w:hyperlink r:id="rId20" w:tgtFrame="_new" w:history="1">
        <w:r w:rsidRPr="00BC3F56">
          <w:rPr>
            <w:rFonts w:ascii="Verdana" w:eastAsia="Calibri"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69FF20B3" w14:textId="77777777" w:rsidR="00A6584F" w:rsidRPr="00BC3F56" w:rsidRDefault="00A6584F" w:rsidP="00A6584F">
      <w:pPr>
        <w:spacing w:after="0" w:line="240" w:lineRule="auto"/>
        <w:jc w:val="both"/>
        <w:rPr>
          <w:rFonts w:ascii="Verdana" w:hAnsi="Verdana"/>
        </w:rPr>
      </w:pPr>
    </w:p>
    <w:p w14:paraId="7B966E22" w14:textId="77777777" w:rsidR="00A6584F" w:rsidRPr="00BC3F56" w:rsidRDefault="00A6584F" w:rsidP="00A6584F">
      <w:pPr>
        <w:spacing w:after="0"/>
        <w:jc w:val="both"/>
        <w:rPr>
          <w:rFonts w:ascii="Verdana" w:hAnsi="Verdana"/>
        </w:rPr>
      </w:pPr>
      <w:r w:rsidRPr="00BC3F56">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50BF8E6" w14:textId="77777777" w:rsidR="00A6584F" w:rsidRPr="00BC3F56" w:rsidRDefault="00A6584F" w:rsidP="00A6584F">
      <w:pPr>
        <w:spacing w:after="0"/>
        <w:jc w:val="both"/>
        <w:rPr>
          <w:rFonts w:ascii="Verdana" w:hAnsi="Verdana"/>
        </w:rPr>
      </w:pPr>
    </w:p>
    <w:p w14:paraId="475874C8" w14:textId="77777777" w:rsidR="00A6584F" w:rsidRPr="00BC3F56" w:rsidRDefault="00A6584F" w:rsidP="00A6584F">
      <w:pPr>
        <w:numPr>
          <w:ilvl w:val="0"/>
          <w:numId w:val="15"/>
        </w:numPr>
        <w:spacing w:after="0" w:line="240" w:lineRule="auto"/>
        <w:contextualSpacing/>
        <w:jc w:val="both"/>
        <w:rPr>
          <w:rFonts w:ascii="Verdana" w:eastAsia="Verdana" w:hAnsi="Verdana" w:cs="Verdana"/>
          <w:color w:val="4472C4" w:themeColor="accent1"/>
          <w:u w:val="single"/>
          <w:lang w:val="es-MX"/>
        </w:rPr>
      </w:pPr>
      <w:r w:rsidRPr="00BC3F56">
        <w:rPr>
          <w:rFonts w:ascii="Verdana" w:eastAsia="Verdana" w:hAnsi="Verdana" w:cs="Verdana"/>
          <w:lang w:val="es-MX"/>
        </w:rPr>
        <w:t xml:space="preserve">Línea nacional gratuita o servicio a la ciudadanía (Mesa de servicio): </w:t>
      </w:r>
      <w:r w:rsidRPr="00BC3F56">
        <w:rPr>
          <w:rFonts w:ascii="Verdana" w:hAnsi="Verdana"/>
          <w:color w:val="0000FF"/>
          <w:u w:val="single"/>
          <w:lang w:val="es-ES"/>
        </w:rPr>
        <w:t>01800 0520808</w:t>
      </w:r>
    </w:p>
    <w:p w14:paraId="278505B5" w14:textId="77777777" w:rsidR="00A6584F" w:rsidRPr="00BC3F56" w:rsidRDefault="00A6584F" w:rsidP="00A6584F">
      <w:pPr>
        <w:numPr>
          <w:ilvl w:val="0"/>
          <w:numId w:val="15"/>
        </w:numPr>
        <w:spacing w:after="0"/>
        <w:contextualSpacing/>
        <w:rPr>
          <w:rFonts w:ascii="Verdana" w:eastAsia="Verdana" w:hAnsi="Verdana" w:cs="Verdana"/>
          <w:color w:val="4472C4" w:themeColor="accent1"/>
          <w:u w:val="single"/>
          <w:lang w:val="es-MX"/>
        </w:rPr>
      </w:pPr>
      <w:r w:rsidRPr="00BC3F56">
        <w:rPr>
          <w:rFonts w:ascii="Verdana" w:eastAsia="Verdana" w:hAnsi="Verdana" w:cs="Verdana"/>
          <w:lang w:val="es-MX"/>
        </w:rPr>
        <w:t>Línea en Bogotá (Mesa de servicio</w:t>
      </w:r>
      <w:proofErr w:type="gramStart"/>
      <w:r w:rsidRPr="00BC3F56">
        <w:rPr>
          <w:rFonts w:ascii="Verdana" w:eastAsia="Verdana" w:hAnsi="Verdana" w:cs="Verdana"/>
          <w:lang w:val="es-MX"/>
        </w:rPr>
        <w:t>):</w:t>
      </w:r>
      <w:r w:rsidRPr="00BC3F56">
        <w:rPr>
          <w:rFonts w:ascii="Verdana" w:hAnsi="Verdana"/>
          <w:color w:val="0000FF"/>
          <w:u w:val="single"/>
          <w:lang w:val="es-ES"/>
        </w:rPr>
        <w:t>+</w:t>
      </w:r>
      <w:proofErr w:type="gramEnd"/>
      <w:r w:rsidRPr="00BC3F56">
        <w:rPr>
          <w:rFonts w:ascii="Verdana" w:hAnsi="Verdana"/>
          <w:color w:val="0000FF"/>
          <w:u w:val="single"/>
          <w:lang w:val="es-ES"/>
        </w:rPr>
        <w:t>57 601 7456788</w:t>
      </w:r>
    </w:p>
    <w:p w14:paraId="3538BD8E" w14:textId="77777777" w:rsidR="00A6584F" w:rsidRPr="00BC3F56" w:rsidRDefault="00A6584F" w:rsidP="00A6584F">
      <w:pPr>
        <w:numPr>
          <w:ilvl w:val="0"/>
          <w:numId w:val="15"/>
        </w:numPr>
        <w:spacing w:after="0"/>
        <w:contextualSpacing/>
        <w:rPr>
          <w:rFonts w:ascii="Verdana" w:eastAsia="Verdana" w:hAnsi="Verdana" w:cs="Verdana"/>
          <w:color w:val="0000FF"/>
          <w:u w:val="single"/>
          <w:lang w:val="es-MX"/>
        </w:rPr>
      </w:pPr>
      <w:r w:rsidRPr="00BC3F56">
        <w:rPr>
          <w:rFonts w:ascii="Verdana" w:eastAsia="Verdana" w:hAnsi="Verdana" w:cs="Verdana"/>
          <w:lang w:val="es-MX"/>
        </w:rPr>
        <w:t xml:space="preserve">Correo de radicación de correspondencia: </w:t>
      </w:r>
      <w:hyperlink r:id="rId21">
        <w:r w:rsidRPr="00BC3F56">
          <w:rPr>
            <w:rFonts w:ascii="Verdana" w:eastAsia="Verdana" w:hAnsi="Verdana" w:cs="Verdana"/>
            <w:color w:val="0000FF"/>
            <w:u w:val="single"/>
            <w:lang w:val="es-MX"/>
          </w:rPr>
          <w:t>ventanilladeradicacion@colombiacompra.gov.co</w:t>
        </w:r>
      </w:hyperlink>
    </w:p>
    <w:p w14:paraId="5CCCD164" w14:textId="77777777" w:rsidR="00A6584F" w:rsidRPr="00BC3F56" w:rsidRDefault="00A6584F" w:rsidP="00A6584F">
      <w:pPr>
        <w:numPr>
          <w:ilvl w:val="0"/>
          <w:numId w:val="15"/>
        </w:numPr>
        <w:spacing w:after="0"/>
        <w:contextualSpacing/>
        <w:rPr>
          <w:rFonts w:ascii="Verdana" w:eastAsia="Verdana" w:hAnsi="Verdana" w:cs="Verdana"/>
          <w:color w:val="0000FF"/>
          <w:u w:val="single"/>
          <w:lang w:val="es-MX"/>
        </w:rPr>
      </w:pPr>
      <w:r w:rsidRPr="00BC3F56">
        <w:rPr>
          <w:rFonts w:ascii="Verdana" w:eastAsia="Verdana" w:hAnsi="Verdana" w:cs="Verdana"/>
          <w:lang w:val="es-ES"/>
        </w:rPr>
        <w:t>Formulario web para</w:t>
      </w:r>
      <w:r w:rsidRPr="00BC3F56">
        <w:rPr>
          <w:rFonts w:ascii="Verdana" w:eastAsia="Verdana" w:hAnsi="Verdana" w:cs="Verdana"/>
          <w:lang w:val="es"/>
        </w:rPr>
        <w:t xml:space="preserve"> PQRSD: </w:t>
      </w:r>
      <w:hyperlink r:id="rId22">
        <w:r w:rsidRPr="00BC3F56">
          <w:rPr>
            <w:rFonts w:ascii="Verdana" w:eastAsia="Verdana" w:hAnsi="Verdana" w:cs="Verdana"/>
            <w:color w:val="0000FF"/>
            <w:u w:val="single"/>
            <w:lang w:val="es-MX"/>
          </w:rPr>
          <w:t>https://www.colombiacompra.gov.co/pqrsd/informacion-importante-antes-de-formular-una-pqrsd</w:t>
        </w:r>
      </w:hyperlink>
    </w:p>
    <w:p w14:paraId="3889DD3E" w14:textId="77777777" w:rsidR="00A6584F" w:rsidRPr="00BC3F56" w:rsidRDefault="00A6584F" w:rsidP="00A6584F">
      <w:pPr>
        <w:spacing w:after="0" w:line="240" w:lineRule="auto"/>
        <w:ind w:left="720"/>
        <w:jc w:val="both"/>
        <w:rPr>
          <w:rFonts w:ascii="Verdana" w:hAnsi="Verdana"/>
        </w:rPr>
      </w:pPr>
    </w:p>
    <w:p w14:paraId="1BF96D4A" w14:textId="77777777" w:rsidR="00A6584F" w:rsidRPr="00BC3F56" w:rsidRDefault="00A6584F" w:rsidP="00A6584F">
      <w:pPr>
        <w:spacing w:after="0" w:line="240" w:lineRule="auto"/>
        <w:rPr>
          <w:rFonts w:ascii="Verdana" w:hAnsi="Verdana"/>
        </w:rPr>
      </w:pPr>
      <w:r w:rsidRPr="00BC3F56">
        <w:rPr>
          <w:rFonts w:ascii="Verdana" w:hAnsi="Verdana"/>
        </w:rPr>
        <w:t xml:space="preserve">Evalúa el servicio que ofrece la Agencia por el canal de atención de PQRSD en el siguiente </w:t>
      </w:r>
      <w:proofErr w:type="gramStart"/>
      <w:r w:rsidRPr="00BC3F56">
        <w:rPr>
          <w:rFonts w:ascii="Verdana" w:hAnsi="Verdana"/>
        </w:rPr>
        <w:t>enlace :</w:t>
      </w:r>
      <w:proofErr w:type="gramEnd"/>
      <w:hyperlink r:id="rId23" w:tgtFrame="_blank" w:tooltip="https://forms.office.com/r/pphywvs2sz" w:history="1">
        <w:r w:rsidRPr="00BC3F56">
          <w:rPr>
            <w:rFonts w:ascii="Verdana" w:hAnsi="Verdana"/>
            <w:color w:val="0000FF"/>
            <w:u w:val="single"/>
          </w:rPr>
          <w:t>https://forms.office.com/r/pPHyWVs2SZ</w:t>
        </w:r>
      </w:hyperlink>
      <w:r w:rsidRPr="00BC3F56">
        <w:rPr>
          <w:rFonts w:ascii="Verdana" w:hAnsi="Verdana"/>
        </w:rPr>
        <w:t xml:space="preserve"> .¡Ayúdanos a mejorar porque el compromiso es de todos!</w:t>
      </w:r>
    </w:p>
    <w:p w14:paraId="4AE27A96" w14:textId="77777777" w:rsidR="00A6584F" w:rsidRPr="00BC3F56" w:rsidRDefault="00A6584F" w:rsidP="00A6584F">
      <w:pPr>
        <w:spacing w:after="0" w:line="240" w:lineRule="auto"/>
        <w:rPr>
          <w:rFonts w:ascii="Verdana" w:hAnsi="Verdana"/>
        </w:rPr>
      </w:pPr>
    </w:p>
    <w:p w14:paraId="6D85AA00" w14:textId="77777777" w:rsidR="00A6584F" w:rsidRPr="00BC3F56" w:rsidRDefault="00A6584F" w:rsidP="00A6584F">
      <w:pPr>
        <w:spacing w:after="0" w:line="240" w:lineRule="auto"/>
        <w:jc w:val="both"/>
        <w:rPr>
          <w:rFonts w:ascii="Verdana" w:hAnsi="Verdana"/>
        </w:rPr>
      </w:pPr>
      <w:r w:rsidRPr="00BC3F56">
        <w:rPr>
          <w:rFonts w:ascii="Verdana" w:hAnsi="Verdana"/>
        </w:rPr>
        <w:t xml:space="preserve">Por último, lo invitamos a seguirnos en las redes sociales en las cuales se difunde información institucional: </w:t>
      </w:r>
    </w:p>
    <w:p w14:paraId="3BD7B637" w14:textId="77777777" w:rsidR="00A6584F" w:rsidRPr="00BC3F56" w:rsidRDefault="00A6584F" w:rsidP="00A6584F">
      <w:pPr>
        <w:spacing w:after="0" w:line="240" w:lineRule="auto"/>
        <w:jc w:val="both"/>
        <w:rPr>
          <w:rFonts w:ascii="Verdana" w:hAnsi="Verdana"/>
        </w:rPr>
      </w:pPr>
    </w:p>
    <w:p w14:paraId="5D762B54" w14:textId="77777777" w:rsidR="00A6584F" w:rsidRPr="00BC3F56" w:rsidRDefault="00A6584F" w:rsidP="00A6584F">
      <w:pPr>
        <w:spacing w:after="0" w:line="240" w:lineRule="auto"/>
        <w:jc w:val="both"/>
        <w:rPr>
          <w:rFonts w:ascii="Verdana" w:hAnsi="Verdana"/>
        </w:rPr>
      </w:pPr>
      <w:r w:rsidRPr="00BC3F56">
        <w:rPr>
          <w:rFonts w:ascii="Verdana" w:hAnsi="Verdana"/>
        </w:rPr>
        <w:t xml:space="preserve">Twitter: </w:t>
      </w:r>
      <w:r w:rsidRPr="00BC3F56">
        <w:rPr>
          <w:rFonts w:ascii="Verdana" w:hAnsi="Verdana"/>
          <w:color w:val="0000FF"/>
          <w:u w:val="single"/>
        </w:rPr>
        <w:t>@colombiacompra</w:t>
      </w:r>
      <w:r w:rsidRPr="00BC3F56">
        <w:rPr>
          <w:rFonts w:ascii="Verdana" w:hAnsi="Verdana"/>
        </w:rPr>
        <w:t xml:space="preserve"> </w:t>
      </w:r>
    </w:p>
    <w:p w14:paraId="19691D12" w14:textId="77777777" w:rsidR="00A6584F" w:rsidRPr="00BC3F56" w:rsidRDefault="00A6584F" w:rsidP="00A6584F">
      <w:pPr>
        <w:spacing w:after="0" w:line="240" w:lineRule="auto"/>
        <w:jc w:val="both"/>
        <w:rPr>
          <w:rFonts w:ascii="Verdana" w:hAnsi="Verdana"/>
        </w:rPr>
      </w:pPr>
      <w:r w:rsidRPr="00BC3F56">
        <w:rPr>
          <w:rFonts w:ascii="Verdana" w:hAnsi="Verdana"/>
        </w:rPr>
        <w:t xml:space="preserve">Facebook: </w:t>
      </w:r>
      <w:proofErr w:type="spellStart"/>
      <w:r w:rsidRPr="00BC3F56">
        <w:rPr>
          <w:rFonts w:ascii="Verdana" w:hAnsi="Verdana"/>
          <w:color w:val="0000FF"/>
          <w:u w:val="single"/>
        </w:rPr>
        <w:t>ColombiaCompraEficiente</w:t>
      </w:r>
      <w:proofErr w:type="spellEnd"/>
    </w:p>
    <w:p w14:paraId="708CF010" w14:textId="77777777" w:rsidR="00A6584F" w:rsidRPr="00BC3F56" w:rsidRDefault="00A6584F" w:rsidP="00A6584F">
      <w:pPr>
        <w:spacing w:after="0" w:line="240" w:lineRule="auto"/>
        <w:jc w:val="both"/>
        <w:rPr>
          <w:rFonts w:ascii="Verdana" w:hAnsi="Verdana"/>
        </w:rPr>
      </w:pPr>
      <w:r w:rsidRPr="00BC3F56">
        <w:rPr>
          <w:rFonts w:ascii="Verdana" w:hAnsi="Verdana"/>
        </w:rPr>
        <w:t xml:space="preserve">LinkedIn: </w:t>
      </w:r>
      <w:r w:rsidRPr="00BC3F56">
        <w:rPr>
          <w:rFonts w:ascii="Verdana" w:hAnsi="Verdana"/>
          <w:color w:val="0000FF"/>
          <w:u w:val="single"/>
        </w:rPr>
        <w:t>Agencia Nacional de Contratación Pública - Colombia Compra Eficiente</w:t>
      </w:r>
      <w:r w:rsidRPr="00BC3F56">
        <w:rPr>
          <w:rFonts w:ascii="Verdana" w:hAnsi="Verdana"/>
        </w:rPr>
        <w:t xml:space="preserve"> Instagram: </w:t>
      </w:r>
      <w:r w:rsidRPr="00BC3F56">
        <w:rPr>
          <w:rFonts w:ascii="Verdana" w:hAnsi="Verdana"/>
          <w:color w:val="0000FF"/>
          <w:u w:val="single"/>
        </w:rPr>
        <w:t>@colombiacompraeficiente_cce</w:t>
      </w:r>
    </w:p>
    <w:p w14:paraId="69E27C50" w14:textId="77777777" w:rsidR="00A6584F" w:rsidRPr="00593A5F" w:rsidRDefault="00A6584F" w:rsidP="00A6584F">
      <w:pPr>
        <w:widowControl w:val="0"/>
        <w:autoSpaceDE w:val="0"/>
        <w:autoSpaceDN w:val="0"/>
        <w:spacing w:after="0" w:line="276" w:lineRule="auto"/>
        <w:jc w:val="both"/>
        <w:rPr>
          <w:rFonts w:ascii="Verdana" w:hAnsi="Verdana" w:cs="Arial"/>
        </w:rPr>
      </w:pPr>
    </w:p>
    <w:p w14:paraId="30C7F57C" w14:textId="77777777" w:rsidR="00A6584F" w:rsidRDefault="00A6584F" w:rsidP="00A6584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2216985" w14:textId="77777777" w:rsidR="00A6584F" w:rsidRPr="005C2A0C" w:rsidRDefault="00A6584F" w:rsidP="00A6584F">
      <w:pPr>
        <w:spacing w:after="0" w:line="240" w:lineRule="auto"/>
        <w:rPr>
          <w:rFonts w:ascii="Verdana" w:hAnsi="Verdana" w:cs="Arial"/>
          <w:lang w:eastAsia="es-CO"/>
        </w:rPr>
      </w:pPr>
    </w:p>
    <w:p w14:paraId="56D9D421" w14:textId="22E1AF03" w:rsidR="00A6584F" w:rsidRPr="0060360B" w:rsidRDefault="007B57B5" w:rsidP="00A6584F">
      <w:pPr>
        <w:spacing w:after="0" w:line="256" w:lineRule="auto"/>
        <w:jc w:val="center"/>
        <w:rPr>
          <w:rFonts w:ascii="Century Gothic" w:hAnsi="Century Gothic"/>
          <w:noProof/>
          <w:lang w:val="en-US"/>
        </w:rPr>
      </w:pPr>
      <w:r w:rsidRPr="00F21F0B">
        <w:rPr>
          <w:rFonts w:ascii="Century Gothic" w:hAnsi="Century Gothic"/>
          <w:noProof/>
          <w:lang w:val="en-US"/>
        </w:rPr>
        <w:lastRenderedPageBreak/>
        <w:drawing>
          <wp:inline distT="0" distB="0" distL="0" distR="0" wp14:anchorId="4703D9C9" wp14:editId="50476494">
            <wp:extent cx="3657485" cy="1359550"/>
            <wp:effectExtent l="0" t="0" r="635" b="0"/>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62738" cy="1361503"/>
                    </a:xfrm>
                    <a:prstGeom prst="rect">
                      <a:avLst/>
                    </a:prstGeom>
                    <a:noFill/>
                    <a:ln>
                      <a:noFill/>
                    </a:ln>
                  </pic:spPr>
                </pic:pic>
              </a:graphicData>
            </a:graphic>
          </wp:inline>
        </w:drawing>
      </w:r>
    </w:p>
    <w:p w14:paraId="7DABD466" w14:textId="77777777" w:rsidR="00A6584F" w:rsidRPr="0060360B" w:rsidRDefault="00A6584F" w:rsidP="00A6584F">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A6584F" w:rsidRPr="0060360B" w14:paraId="041B9A52" w14:textId="77777777" w:rsidTr="00572E42">
        <w:trPr>
          <w:trHeight w:val="409"/>
        </w:trPr>
        <w:tc>
          <w:tcPr>
            <w:tcW w:w="817" w:type="dxa"/>
            <w:tcBorders>
              <w:top w:val="nil"/>
              <w:left w:val="nil"/>
              <w:bottom w:val="nil"/>
              <w:right w:val="nil"/>
            </w:tcBorders>
            <w:vAlign w:val="center"/>
            <w:hideMark/>
          </w:tcPr>
          <w:p w14:paraId="440038CD"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78FF21A"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José Luis Sánchez Cardona</w:t>
            </w:r>
          </w:p>
          <w:p w14:paraId="4847C349"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w:t>
            </w:r>
          </w:p>
        </w:tc>
      </w:tr>
      <w:tr w:rsidR="00A6584F" w:rsidRPr="0060360B" w14:paraId="233FFA20" w14:textId="77777777" w:rsidTr="00572E42">
        <w:trPr>
          <w:trHeight w:val="409"/>
        </w:trPr>
        <w:tc>
          <w:tcPr>
            <w:tcW w:w="817" w:type="dxa"/>
            <w:tcBorders>
              <w:top w:val="nil"/>
              <w:left w:val="nil"/>
              <w:bottom w:val="nil"/>
              <w:right w:val="nil"/>
            </w:tcBorders>
            <w:vAlign w:val="center"/>
            <w:hideMark/>
          </w:tcPr>
          <w:p w14:paraId="31FBE440"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7704863"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Diana Lucía Saavedra Castañeda</w:t>
            </w:r>
          </w:p>
          <w:p w14:paraId="1995CF57"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 </w:t>
            </w:r>
          </w:p>
        </w:tc>
      </w:tr>
      <w:tr w:rsidR="00A6584F" w:rsidRPr="0060360B" w14:paraId="1E707E71" w14:textId="77777777" w:rsidTr="00572E42">
        <w:trPr>
          <w:trHeight w:val="389"/>
        </w:trPr>
        <w:tc>
          <w:tcPr>
            <w:tcW w:w="817" w:type="dxa"/>
            <w:tcBorders>
              <w:top w:val="nil"/>
              <w:left w:val="nil"/>
              <w:bottom w:val="nil"/>
              <w:right w:val="nil"/>
            </w:tcBorders>
            <w:vAlign w:val="center"/>
            <w:hideMark/>
          </w:tcPr>
          <w:p w14:paraId="686B55F8"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8CDFBB5"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Carolina Quintero Gacharná</w:t>
            </w:r>
          </w:p>
          <w:p w14:paraId="113E4F2F" w14:textId="77777777" w:rsidR="00A6584F" w:rsidRPr="0060360B" w:rsidRDefault="00A6584F" w:rsidP="00572E42">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Subdirectora de Gestión Contractual ANCP – CCE</w:t>
            </w:r>
          </w:p>
        </w:tc>
      </w:tr>
    </w:tbl>
    <w:p w14:paraId="5CAF69A6" w14:textId="77777777" w:rsidR="00A6584F" w:rsidRPr="007319C8" w:rsidRDefault="00A6584F" w:rsidP="00A6584F">
      <w:pPr>
        <w:spacing w:after="0" w:line="256" w:lineRule="auto"/>
        <w:jc w:val="center"/>
        <w:rPr>
          <w:rFonts w:ascii="Century Gothic" w:hAnsi="Century Gothic"/>
          <w:noProof/>
        </w:rPr>
      </w:pPr>
    </w:p>
    <w:bookmarkEnd w:id="0"/>
    <w:p w14:paraId="0F293BF4" w14:textId="0F6C922B" w:rsidR="00127233" w:rsidRPr="00FB40B6" w:rsidRDefault="00127233" w:rsidP="00FB40B6">
      <w:pPr>
        <w:spacing w:after="0" w:line="240" w:lineRule="auto"/>
        <w:textAlignment w:val="baseline"/>
        <w:rPr>
          <w:rFonts w:ascii="Verdana" w:eastAsia="Verdana" w:hAnsi="Verdana" w:cs="Verdana"/>
          <w:lang w:eastAsia="es-CO"/>
        </w:rPr>
      </w:pPr>
    </w:p>
    <w:sectPr w:rsidR="00127233" w:rsidRPr="00FB40B6"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A2E31" w14:textId="77777777" w:rsidR="004F1FEA" w:rsidRDefault="004F1FEA" w:rsidP="004A1847">
      <w:pPr>
        <w:spacing w:after="0" w:line="240" w:lineRule="auto"/>
      </w:pPr>
      <w:r>
        <w:separator/>
      </w:r>
    </w:p>
  </w:endnote>
  <w:endnote w:type="continuationSeparator" w:id="0">
    <w:p w14:paraId="0211C87F" w14:textId="77777777" w:rsidR="004F1FEA" w:rsidRDefault="004F1FEA" w:rsidP="004A1847">
      <w:pPr>
        <w:spacing w:after="0" w:line="240" w:lineRule="auto"/>
      </w:pPr>
      <w:r>
        <w:continuationSeparator/>
      </w:r>
    </w:p>
  </w:endnote>
  <w:endnote w:type="continuationNotice" w:id="1">
    <w:p w14:paraId="216AADF9" w14:textId="77777777" w:rsidR="004F1FEA" w:rsidRDefault="004F1F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05202B" w:rsidRDefault="0005202B">
    <w:pPr>
      <w:pStyle w:val="Piedepgina"/>
    </w:pPr>
  </w:p>
  <w:p w14:paraId="594D6D9F" w14:textId="2F260698" w:rsidR="0005202B" w:rsidRPr="00174B77" w:rsidRDefault="0005202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FB40B6" w:rsidRPr="00FB40B6">
      <w:rPr>
        <w:rFonts w:ascii="Verdana" w:eastAsiaTheme="minorEastAsia" w:hAnsi="Verdana"/>
        <w:b/>
        <w:bCs/>
        <w:noProof/>
        <w:sz w:val="16"/>
        <w:szCs w:val="16"/>
      </w:rPr>
      <w:t>39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05202B" w:rsidRDefault="0005202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05202B" w:rsidRPr="00E41027" w:rsidRDefault="0005202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05202B" w:rsidRDefault="0005202B"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82738" w14:textId="77777777" w:rsidR="004F1FEA" w:rsidRDefault="004F1FEA" w:rsidP="004A1847">
      <w:pPr>
        <w:spacing w:after="0" w:line="240" w:lineRule="auto"/>
      </w:pPr>
      <w:r>
        <w:separator/>
      </w:r>
    </w:p>
  </w:footnote>
  <w:footnote w:type="continuationSeparator" w:id="0">
    <w:p w14:paraId="2F2CBB78" w14:textId="77777777" w:rsidR="004F1FEA" w:rsidRDefault="004F1FEA" w:rsidP="004A1847">
      <w:pPr>
        <w:spacing w:after="0" w:line="240" w:lineRule="auto"/>
      </w:pPr>
      <w:r>
        <w:continuationSeparator/>
      </w:r>
    </w:p>
  </w:footnote>
  <w:footnote w:type="continuationNotice" w:id="1">
    <w:p w14:paraId="1C95B996" w14:textId="77777777" w:rsidR="004F1FEA" w:rsidRDefault="004F1FEA">
      <w:pPr>
        <w:spacing w:after="0" w:line="240" w:lineRule="auto"/>
      </w:pPr>
    </w:p>
  </w:footnote>
  <w:footnote w:id="2">
    <w:p w14:paraId="5E008B53" w14:textId="77777777" w:rsidR="00A6584F" w:rsidRPr="00F62D81" w:rsidRDefault="00A6584F" w:rsidP="00A6584F">
      <w:pPr>
        <w:pStyle w:val="Textonotapie"/>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5EDE04B" w14:textId="77777777" w:rsidR="00A6584F" w:rsidRPr="00F62D81" w:rsidRDefault="00A6584F" w:rsidP="00A6584F">
      <w:pPr>
        <w:pStyle w:val="Textonotapie"/>
        <w:ind w:firstLine="709"/>
        <w:jc w:val="both"/>
        <w:rPr>
          <w:rFonts w:ascii="Verdana" w:hAnsi="Verdana" w:cs="Arial"/>
          <w:sz w:val="16"/>
          <w:szCs w:val="16"/>
        </w:rPr>
      </w:pPr>
      <w:r w:rsidRPr="00F62D81">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21C281BA" w14:textId="77777777" w:rsidR="00A6584F" w:rsidRPr="00F62D81" w:rsidRDefault="00A6584F" w:rsidP="00A6584F">
      <w:pPr>
        <w:pStyle w:val="Textonotapie"/>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Gaceta del Congreso de la República No. 71 del 2005.</w:t>
      </w:r>
    </w:p>
  </w:footnote>
  <w:footnote w:id="4">
    <w:p w14:paraId="3DF7864D" w14:textId="77777777" w:rsidR="00A6584F" w:rsidRPr="00F62D81" w:rsidRDefault="00A6584F" w:rsidP="00A6584F">
      <w:pPr>
        <w:pStyle w:val="Textonotapie"/>
        <w:ind w:firstLine="709"/>
        <w:jc w:val="both"/>
        <w:rPr>
          <w:rFonts w:ascii="Verdana" w:hAnsi="Verdana" w:cs="Arial"/>
          <w:sz w:val="16"/>
          <w:szCs w:val="16"/>
          <w:lang w:val="pt-BR"/>
        </w:rPr>
      </w:pPr>
      <w:r w:rsidRPr="00F62D81">
        <w:rPr>
          <w:rStyle w:val="Refdenotaalpie"/>
          <w:rFonts w:ascii="Verdana" w:hAnsi="Verdana" w:cs="Arial"/>
          <w:sz w:val="16"/>
          <w:szCs w:val="16"/>
        </w:rPr>
        <w:footnoteRef/>
      </w:r>
      <w:r w:rsidRPr="00F62D81">
        <w:rPr>
          <w:rFonts w:ascii="Verdana" w:hAnsi="Verdana" w:cs="Arial"/>
          <w:sz w:val="16"/>
          <w:szCs w:val="16"/>
          <w:lang w:val="pt-BR"/>
        </w:rPr>
        <w:t xml:space="preserve"> Corte Constitucional, Sentencia C- 1153 de 2005, M.P. Marco Gerardo Monroy Cabra.</w:t>
      </w:r>
    </w:p>
  </w:footnote>
  <w:footnote w:id="5">
    <w:p w14:paraId="5BE8079F" w14:textId="77777777" w:rsidR="00A6584F" w:rsidRPr="00F62D81" w:rsidRDefault="00A6584F" w:rsidP="00A6584F">
      <w:pPr>
        <w:pStyle w:val="Textonotapie"/>
        <w:ind w:firstLine="709"/>
        <w:jc w:val="both"/>
        <w:rPr>
          <w:rFonts w:ascii="Verdana" w:hAnsi="Verdana" w:cs="Arial"/>
          <w:sz w:val="16"/>
          <w:szCs w:val="16"/>
          <w:lang w:val="pt-BR"/>
        </w:rPr>
      </w:pPr>
      <w:r w:rsidRPr="00F62D81">
        <w:rPr>
          <w:rStyle w:val="Refdenotaalpie"/>
          <w:rFonts w:ascii="Verdana" w:hAnsi="Verdana" w:cs="Arial"/>
          <w:sz w:val="16"/>
          <w:szCs w:val="16"/>
        </w:rPr>
        <w:footnoteRef/>
      </w:r>
      <w:r w:rsidRPr="00F62D81">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F793BD2" w14:textId="77777777" w:rsidR="00A6584F" w:rsidRPr="00F62D81" w:rsidRDefault="00A6584F" w:rsidP="00A6584F">
      <w:pPr>
        <w:pStyle w:val="Textonotapie"/>
        <w:ind w:firstLine="709"/>
        <w:jc w:val="both"/>
        <w:rPr>
          <w:rFonts w:ascii="Verdana" w:hAnsi="Verdana" w:cs="Arial"/>
          <w:sz w:val="16"/>
          <w:szCs w:val="16"/>
          <w:lang w:val="es-CO"/>
        </w:rPr>
      </w:pPr>
      <w:r w:rsidRPr="00F62D81">
        <w:rPr>
          <w:rStyle w:val="Refdenotaalpie"/>
          <w:rFonts w:ascii="Verdana" w:hAnsi="Verdana" w:cs="Arial"/>
          <w:sz w:val="16"/>
          <w:szCs w:val="16"/>
        </w:rPr>
        <w:footnoteRef/>
      </w:r>
      <w:r w:rsidRPr="00F62D81">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18F8D80F" w14:textId="77777777" w:rsidR="00A6584F" w:rsidRPr="00F62D81" w:rsidRDefault="00A6584F" w:rsidP="00A6584F">
      <w:pPr>
        <w:pStyle w:val="Textonotapie"/>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de fecha 24 de julio de 2013, radicado 2166, C. P. Álvaro Namén Vargas.  </w:t>
      </w:r>
    </w:p>
  </w:footnote>
  <w:footnote w:id="8">
    <w:p w14:paraId="1D85792A" w14:textId="77777777" w:rsidR="00A6584F" w:rsidRPr="00F62D81" w:rsidRDefault="00A6584F" w:rsidP="00A6584F">
      <w:pPr>
        <w:spacing w:after="0" w:line="240" w:lineRule="auto"/>
        <w:ind w:firstLine="709"/>
        <w:jc w:val="both"/>
        <w:rPr>
          <w:rFonts w:ascii="Verdana" w:eastAsia="Times New Roman"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w:t>
      </w:r>
      <w:r w:rsidRPr="00F62D81">
        <w:rPr>
          <w:rFonts w:ascii="Verdana" w:eastAsia="Calibri" w:hAnsi="Verdana" w:cs="Arial"/>
          <w:color w:val="000000"/>
          <w:sz w:val="16"/>
          <w:szCs w:val="16"/>
        </w:rPr>
        <w:t>“</w:t>
      </w:r>
      <w:r w:rsidRPr="00F62D81">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2485FF33" w14:textId="77777777" w:rsidR="00A6584F" w:rsidRPr="00F62D81" w:rsidRDefault="00A6584F" w:rsidP="00A6584F">
      <w:pPr>
        <w:spacing w:after="0" w:line="240" w:lineRule="auto"/>
        <w:ind w:firstLine="709"/>
        <w:jc w:val="both"/>
        <w:rPr>
          <w:rFonts w:ascii="Verdana" w:eastAsia="Times New Roman" w:hAnsi="Verdana" w:cs="Arial"/>
          <w:sz w:val="16"/>
          <w:szCs w:val="16"/>
        </w:rPr>
      </w:pPr>
      <w:r w:rsidRPr="00F62D81">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62D81">
        <w:rPr>
          <w:rFonts w:ascii="Verdana" w:eastAsia="Calibri" w:hAnsi="Verdana" w:cs="Arial"/>
          <w:color w:val="000000"/>
          <w:sz w:val="16"/>
          <w:szCs w:val="16"/>
        </w:rPr>
        <w:t>”</w:t>
      </w:r>
      <w:r w:rsidRPr="00F62D81">
        <w:rPr>
          <w:rFonts w:ascii="Verdana" w:eastAsia="Times New Roman" w:hAnsi="Verdana" w:cs="Arial"/>
          <w:sz w:val="16"/>
          <w:szCs w:val="16"/>
        </w:rPr>
        <w:t>.</w:t>
      </w:r>
    </w:p>
  </w:footnote>
  <w:footnote w:id="9">
    <w:p w14:paraId="439C112F" w14:textId="77777777" w:rsidR="00A6584F" w:rsidRPr="00F62D81" w:rsidRDefault="00A6584F" w:rsidP="00A6584F">
      <w:pPr>
        <w:pStyle w:val="NormalWeb"/>
        <w:spacing w:before="0" w:beforeAutospacing="0" w:after="0" w:afterAutospacing="0"/>
        <w:ind w:firstLine="709"/>
        <w:jc w:val="both"/>
        <w:rPr>
          <w:rFonts w:ascii="Verdana" w:hAnsi="Verdana" w:cs="Arial"/>
          <w:sz w:val="16"/>
          <w:szCs w:val="16"/>
          <w:lang w:val="es-MX"/>
        </w:rPr>
      </w:pPr>
      <w:r w:rsidRPr="00F62D81">
        <w:rPr>
          <w:rStyle w:val="Refdenotaalpie"/>
          <w:rFonts w:ascii="Verdana" w:hAnsi="Verdana" w:cs="Arial"/>
          <w:sz w:val="16"/>
          <w:szCs w:val="16"/>
        </w:rPr>
        <w:footnoteRef/>
      </w:r>
      <w:r w:rsidRPr="00F62D81">
        <w:rPr>
          <w:rFonts w:ascii="Verdana" w:hAnsi="Verdana" w:cs="Arial"/>
          <w:sz w:val="16"/>
          <w:szCs w:val="16"/>
        </w:rPr>
        <w:t xml:space="preserve"> </w:t>
      </w:r>
      <w:r w:rsidRPr="00F62D81">
        <w:rPr>
          <w:rFonts w:ascii="Verdana" w:eastAsia="Calibri" w:hAnsi="Verdana" w:cs="Arial"/>
          <w:color w:val="000000"/>
          <w:sz w:val="16"/>
          <w:szCs w:val="16"/>
        </w:rPr>
        <w:t>“</w:t>
      </w:r>
      <w:r w:rsidRPr="00F62D81">
        <w:rPr>
          <w:rFonts w:ascii="Verdana" w:hAnsi="Verdana" w:cs="Arial"/>
          <w:sz w:val="16"/>
          <w:szCs w:val="16"/>
          <w:lang w:val="es-MX"/>
        </w:rPr>
        <w:t>Artículo 38. Prohibiciones para los servidores públicos. A los empleados del Estado les está prohibido: […]</w:t>
      </w:r>
    </w:p>
    <w:p w14:paraId="554C00C1" w14:textId="77777777" w:rsidR="00A6584F" w:rsidRPr="00F62D81" w:rsidRDefault="00A6584F" w:rsidP="00A6584F">
      <w:pPr>
        <w:pStyle w:val="NormalWeb"/>
        <w:spacing w:before="0" w:beforeAutospacing="0" w:after="0" w:afterAutospacing="0"/>
        <w:ind w:firstLine="709"/>
        <w:jc w:val="both"/>
        <w:rPr>
          <w:rFonts w:ascii="Verdana" w:hAnsi="Verdana" w:cs="Arial"/>
          <w:sz w:val="16"/>
          <w:szCs w:val="16"/>
          <w:lang w:val="es-MX"/>
        </w:rPr>
      </w:pPr>
      <w:r w:rsidRPr="00F62D81">
        <w:rPr>
          <w:rStyle w:val="baj"/>
          <w:rFonts w:ascii="Verdana" w:hAnsi="Verdana" w:cs="Arial"/>
          <w:sz w:val="16"/>
          <w:szCs w:val="16"/>
          <w:lang w:val="es-MX"/>
        </w:rPr>
        <w:t>Parágrafo.</w:t>
      </w:r>
      <w:r w:rsidRPr="00F62D81">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62D81">
        <w:rPr>
          <w:rFonts w:ascii="Verdana" w:eastAsia="Calibri" w:hAnsi="Verdana" w:cs="Arial"/>
          <w:color w:val="000000"/>
          <w:sz w:val="16"/>
          <w:szCs w:val="16"/>
        </w:rPr>
        <w:t>”</w:t>
      </w:r>
      <w:r w:rsidRPr="00F62D81">
        <w:rPr>
          <w:rFonts w:ascii="Verdana" w:hAnsi="Verdana" w:cs="Arial"/>
          <w:sz w:val="16"/>
          <w:szCs w:val="16"/>
          <w:lang w:val="es-MX"/>
        </w:rPr>
        <w:t>.</w:t>
      </w:r>
    </w:p>
  </w:footnote>
  <w:footnote w:id="10">
    <w:p w14:paraId="5FC5CD4B" w14:textId="77777777" w:rsidR="00A6584F" w:rsidRPr="00F62D81" w:rsidRDefault="00A6584F" w:rsidP="00A6584F">
      <w:pPr>
        <w:pStyle w:val="Textonotapie"/>
        <w:ind w:firstLine="708"/>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Colombia Compra Eficiente. Circular Externa Única. Numeral 16.5. </w:t>
      </w:r>
    </w:p>
  </w:footnote>
  <w:footnote w:id="11">
    <w:p w14:paraId="4261A6A4" w14:textId="77777777" w:rsidR="00A6584F" w:rsidRPr="00F62D81" w:rsidRDefault="00A6584F" w:rsidP="00A6584F">
      <w:pPr>
        <w:spacing w:after="0" w:line="240" w:lineRule="auto"/>
        <w:ind w:left="100" w:right="244" w:firstLine="608"/>
        <w:jc w:val="both"/>
        <w:rPr>
          <w:rFonts w:ascii="Verdana" w:hAnsi="Verdana" w:cs="Arial"/>
          <w:sz w:val="16"/>
          <w:szCs w:val="16"/>
          <w:lang w:val="es-ES"/>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2">
    <w:p w14:paraId="3742A6BD" w14:textId="77777777" w:rsidR="00A6584F" w:rsidRPr="00F62D81" w:rsidRDefault="00A6584F" w:rsidP="00A6584F">
      <w:pPr>
        <w:pStyle w:val="Textonotapie"/>
        <w:ind w:right="51"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w:t>
      </w:r>
      <w:r w:rsidRPr="00F62D81">
        <w:rPr>
          <w:rFonts w:ascii="Verdana" w:hAnsi="Verdana" w:cs="Arial"/>
          <w:sz w:val="16"/>
          <w:szCs w:val="16"/>
          <w:lang w:val="es-ES"/>
        </w:rPr>
        <w:t xml:space="preserve">[25] </w:t>
      </w:r>
      <w:r w:rsidRPr="00F62D81">
        <w:rPr>
          <w:rFonts w:ascii="Verdana" w:hAnsi="Verdana" w:cs="Arial"/>
          <w:sz w:val="16"/>
          <w:szCs w:val="16"/>
        </w:rPr>
        <w:t>Cfr. Consejo de Estado. Sección Tercera. Sentencia de 3 de diciembre de 2007. Radicados: 24.715, 25.206, 25.409, 24.524, 27.834, 25.410, 26.105, 28.244, 31.447 -acumulados-“.</w:t>
      </w:r>
    </w:p>
  </w:footnote>
  <w:footnote w:id="13">
    <w:p w14:paraId="13036D3D" w14:textId="77777777" w:rsidR="00A6584F" w:rsidRPr="00F62D81" w:rsidRDefault="00A6584F" w:rsidP="00A6584F">
      <w:pPr>
        <w:pStyle w:val="Textonotapie"/>
        <w:ind w:right="51"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w:t>
      </w:r>
      <w:r w:rsidRPr="00F62D81">
        <w:rPr>
          <w:rFonts w:ascii="Verdana" w:hAnsi="Verdana" w:cs="Arial"/>
          <w:sz w:val="16"/>
          <w:szCs w:val="16"/>
          <w:lang w:val="es-ES"/>
        </w:rPr>
        <w:t xml:space="preserve">[26] </w:t>
      </w:r>
      <w:r w:rsidRPr="00F62D81">
        <w:rPr>
          <w:rFonts w:ascii="Verdana" w:hAnsi="Verdana" w:cs="Arial"/>
          <w:sz w:val="16"/>
          <w:szCs w:val="16"/>
        </w:rPr>
        <w:t>Al respecto ver el concepto 1712 de 2 de febrero de 2006. Consejo de Estado Sala de Consulta y Servicio Civil”.</w:t>
      </w:r>
    </w:p>
  </w:footnote>
  <w:footnote w:id="14">
    <w:p w14:paraId="05828911" w14:textId="77777777" w:rsidR="00A6584F" w:rsidRPr="00F62D81" w:rsidRDefault="00A6584F" w:rsidP="00A6584F">
      <w:pPr>
        <w:pStyle w:val="Textonotapie"/>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5">
    <w:p w14:paraId="7BD104B9" w14:textId="77777777" w:rsidR="00A6584F" w:rsidRPr="00F62D81" w:rsidRDefault="00A6584F" w:rsidP="00A6584F">
      <w:pPr>
        <w:pStyle w:val="Textonotapie"/>
        <w:ind w:firstLine="709"/>
        <w:jc w:val="both"/>
        <w:rPr>
          <w:rFonts w:ascii="Verdana" w:hAnsi="Verdana" w:cs="Arial"/>
          <w:sz w:val="16"/>
          <w:szCs w:val="16"/>
          <w:lang w:val="es-ES"/>
        </w:rPr>
      </w:pPr>
      <w:r w:rsidRPr="00F62D81">
        <w:rPr>
          <w:rStyle w:val="Refdenotaalpie"/>
          <w:rFonts w:ascii="Verdana" w:hAnsi="Verdana" w:cs="Arial"/>
          <w:sz w:val="16"/>
          <w:szCs w:val="16"/>
        </w:rPr>
        <w:footnoteRef/>
      </w:r>
      <w:r w:rsidRPr="00F62D81">
        <w:rPr>
          <w:rFonts w:ascii="Verdana" w:hAnsi="Verdana" w:cs="Arial"/>
          <w:sz w:val="16"/>
          <w:szCs w:val="16"/>
        </w:rPr>
        <w:t xml:space="preserve"> </w:t>
      </w:r>
      <w:r w:rsidRPr="00F62D81">
        <w:rPr>
          <w:rFonts w:ascii="Verdana" w:hAnsi="Verdana" w:cs="Arial"/>
          <w:sz w:val="16"/>
          <w:szCs w:val="16"/>
          <w:lang w:val="es-ES"/>
        </w:rPr>
        <w:t xml:space="preserve">Artículo 2. </w:t>
      </w:r>
    </w:p>
  </w:footnote>
  <w:footnote w:id="16">
    <w:p w14:paraId="1CAF2C37" w14:textId="77777777" w:rsidR="00A6584F" w:rsidRPr="00F62D81" w:rsidRDefault="00A6584F" w:rsidP="00A6584F">
      <w:pPr>
        <w:pStyle w:val="Textonotapie"/>
        <w:ind w:firstLine="709"/>
        <w:jc w:val="both"/>
        <w:rPr>
          <w:rFonts w:ascii="Verdana" w:hAnsi="Verdana" w:cs="Arial"/>
          <w:sz w:val="16"/>
          <w:szCs w:val="16"/>
          <w:lang w:val="es-ES"/>
        </w:rPr>
      </w:pPr>
      <w:r w:rsidRPr="00F62D81">
        <w:rPr>
          <w:rStyle w:val="Refdenotaalpie"/>
          <w:rFonts w:ascii="Verdana" w:hAnsi="Verdana" w:cs="Arial"/>
          <w:sz w:val="16"/>
          <w:szCs w:val="16"/>
        </w:rPr>
        <w:footnoteRef/>
      </w:r>
      <w:r w:rsidRPr="00F62D81">
        <w:rPr>
          <w:rFonts w:ascii="Verdana" w:hAnsi="Verdana" w:cs="Arial"/>
          <w:sz w:val="16"/>
          <w:szCs w:val="16"/>
        </w:rPr>
        <w:t xml:space="preserve"> </w:t>
      </w:r>
      <w:r w:rsidRPr="00F62D81">
        <w:rPr>
          <w:rFonts w:ascii="Verdana" w:hAnsi="Verdana" w:cs="Arial"/>
          <w:i/>
          <w:sz w:val="16"/>
          <w:szCs w:val="16"/>
          <w:lang w:val="es-ES"/>
        </w:rPr>
        <w:t>Ídem</w:t>
      </w:r>
      <w:r w:rsidRPr="00F62D81">
        <w:rPr>
          <w:rFonts w:ascii="Verdana" w:hAnsi="Verdana" w:cs="Arial"/>
          <w:sz w:val="16"/>
          <w:szCs w:val="16"/>
          <w:lang w:val="es-ES"/>
        </w:rPr>
        <w:t>.</w:t>
      </w:r>
    </w:p>
  </w:footnote>
  <w:footnote w:id="17">
    <w:p w14:paraId="073FE8F7" w14:textId="77777777" w:rsidR="00A6584F" w:rsidRPr="00F62D81" w:rsidRDefault="00A6584F" w:rsidP="00A6584F">
      <w:pPr>
        <w:pStyle w:val="Textonotapie"/>
        <w:ind w:firstLine="709"/>
        <w:jc w:val="both"/>
        <w:rPr>
          <w:rFonts w:ascii="Verdana" w:hAnsi="Verdana" w:cs="Arial"/>
          <w:sz w:val="16"/>
          <w:szCs w:val="16"/>
          <w:lang w:val="es-ES"/>
        </w:rPr>
      </w:pPr>
      <w:r w:rsidRPr="00F62D81">
        <w:rPr>
          <w:rStyle w:val="Refdenotaalpie"/>
          <w:rFonts w:ascii="Verdana" w:hAnsi="Verdana" w:cs="Arial"/>
          <w:sz w:val="16"/>
          <w:szCs w:val="16"/>
        </w:rPr>
        <w:footnoteRef/>
      </w:r>
      <w:r w:rsidRPr="00F62D81">
        <w:rPr>
          <w:rStyle w:val="Refdenotaalpie"/>
          <w:rFonts w:ascii="Verdana" w:hAnsi="Verdana" w:cs="Arial"/>
          <w:sz w:val="16"/>
          <w:szCs w:val="16"/>
        </w:rPr>
        <w:t xml:space="preserve"> </w:t>
      </w:r>
      <w:r w:rsidRPr="00F62D81">
        <w:rPr>
          <w:rFonts w:ascii="Verdana" w:hAnsi="Verdana" w:cs="Arial"/>
          <w:sz w:val="16"/>
          <w:szCs w:val="16"/>
          <w:lang w:val="es-ES"/>
        </w:rPr>
        <w:t xml:space="preserve">“[…] A este respecto, cabe recordar que el artículo 860 del Código de Comercio regula la licitación en el derecho privado”. </w:t>
      </w:r>
    </w:p>
  </w:footnote>
  <w:footnote w:id="18">
    <w:p w14:paraId="39D8FAF0" w14:textId="77777777" w:rsidR="00A6584F" w:rsidRPr="00F62D81" w:rsidRDefault="00A6584F" w:rsidP="00A6584F">
      <w:pPr>
        <w:shd w:val="clear" w:color="auto" w:fill="FFFFFF"/>
        <w:spacing w:after="0" w:line="240" w:lineRule="auto"/>
        <w:ind w:firstLine="709"/>
        <w:jc w:val="both"/>
        <w:rPr>
          <w:rFonts w:ascii="Verdana" w:hAnsi="Verdana" w:cs="Arial"/>
          <w:sz w:val="16"/>
          <w:szCs w:val="16"/>
          <w:lang w:val="es-ES"/>
        </w:rPr>
      </w:pPr>
      <w:r w:rsidRPr="00F62D81">
        <w:rPr>
          <w:rStyle w:val="Refdenotaalpie"/>
          <w:rFonts w:ascii="Verdana" w:hAnsi="Verdana" w:cs="Arial"/>
          <w:sz w:val="16"/>
          <w:szCs w:val="16"/>
        </w:rPr>
        <w:footnoteRef/>
      </w:r>
      <w:r w:rsidRPr="00F62D81">
        <w:rPr>
          <w:rStyle w:val="Refdenotaalpie"/>
          <w:rFonts w:ascii="Verdana" w:hAnsi="Verdana" w:cs="Arial"/>
          <w:sz w:val="16"/>
          <w:szCs w:val="16"/>
        </w:rPr>
        <w:t xml:space="preserve"> </w:t>
      </w:r>
      <w:r w:rsidRPr="00F62D81">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19">
    <w:p w14:paraId="541F8D4C" w14:textId="77777777" w:rsidR="00A6584F" w:rsidRPr="00F62D81" w:rsidRDefault="00A6584F" w:rsidP="00A6584F">
      <w:pPr>
        <w:pStyle w:val="Textonotapie"/>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del 08 de mayo de 2018. Exp. 2.382. C.P. Álvaro Namén Vargas.</w:t>
      </w:r>
    </w:p>
  </w:footnote>
  <w:footnote w:id="20">
    <w:p w14:paraId="597C7AB8" w14:textId="77777777" w:rsidR="00A6584F" w:rsidRPr="00F62D81" w:rsidRDefault="00A6584F" w:rsidP="00A6584F">
      <w:pPr>
        <w:pStyle w:val="Textonotapie"/>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177CC415" w14:textId="77777777" w:rsidR="00A6584F" w:rsidRPr="00F62D81" w:rsidRDefault="00A6584F" w:rsidP="00A6584F">
      <w:pPr>
        <w:spacing w:after="0" w:line="240" w:lineRule="auto"/>
        <w:ind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287B07F0" w14:textId="77777777" w:rsidR="00A6584F" w:rsidRPr="00F62D81" w:rsidRDefault="00A6584F" w:rsidP="00A6584F">
      <w:pPr>
        <w:pStyle w:val="Textonotapie"/>
        <w:ind w:right="51" w:firstLine="709"/>
        <w:jc w:val="both"/>
        <w:rPr>
          <w:rFonts w:ascii="Verdana" w:eastAsia="Times New Roman" w:hAnsi="Verdana" w:cs="Arial"/>
          <w:bCs/>
          <w:sz w:val="16"/>
          <w:szCs w:val="16"/>
          <w:lang w:eastAsia="x-none"/>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F62D81">
        <w:rPr>
          <w:rFonts w:ascii="Verdana" w:eastAsia="Times New Roman" w:hAnsi="Verdana" w:cs="Arial"/>
          <w:bCs/>
          <w:sz w:val="16"/>
          <w:szCs w:val="16"/>
          <w:lang w:eastAsia="x-none"/>
        </w:rPr>
        <w:t xml:space="preserve"> “</w:t>
      </w:r>
      <w:r w:rsidRPr="00F62D81">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62D81">
        <w:rPr>
          <w:rFonts w:ascii="Verdana" w:eastAsia="Times New Roman" w:hAnsi="Verdana" w:cs="Arial"/>
          <w:bCs/>
          <w:sz w:val="16"/>
          <w:szCs w:val="16"/>
          <w:lang w:eastAsia="x-none"/>
        </w:rPr>
        <w:t>”.</w:t>
      </w:r>
    </w:p>
  </w:footnote>
  <w:footnote w:id="23">
    <w:p w14:paraId="12EC3F68" w14:textId="77777777" w:rsidR="00A6584F" w:rsidRPr="00F62D81" w:rsidRDefault="00A6584F" w:rsidP="00A6584F">
      <w:pPr>
        <w:spacing w:after="0" w:line="240" w:lineRule="auto"/>
        <w:ind w:firstLine="708"/>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4">
    <w:p w14:paraId="0C493B9F" w14:textId="77777777" w:rsidR="00A6584F" w:rsidRPr="00F62D81" w:rsidRDefault="00A6584F" w:rsidP="00A6584F">
      <w:pPr>
        <w:pStyle w:val="Textonotapie"/>
        <w:ind w:right="51" w:firstLine="709"/>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Consejo de Estado. Sala de Consulta y Servicio Civil. Concepto del 20 de febrero de 2006. Rad. 1727. C.P. Enrique José Arboleda Perdomo. </w:t>
      </w:r>
    </w:p>
  </w:footnote>
  <w:footnote w:id="25">
    <w:p w14:paraId="7080F722" w14:textId="77777777" w:rsidR="00A6584F" w:rsidRPr="00F62D81" w:rsidRDefault="00A6584F" w:rsidP="00A6584F">
      <w:pPr>
        <w:pStyle w:val="Textonotapie"/>
        <w:ind w:firstLine="709"/>
        <w:rPr>
          <w:rFonts w:ascii="Verdana" w:hAnsi="Verdana"/>
          <w:sz w:val="16"/>
          <w:szCs w:val="16"/>
          <w:lang w:val="es-CO"/>
        </w:rPr>
      </w:pPr>
      <w:r w:rsidRPr="00F62D81">
        <w:rPr>
          <w:rStyle w:val="Refdenotaalpie"/>
          <w:rFonts w:ascii="Verdana" w:hAnsi="Verdana"/>
          <w:sz w:val="16"/>
          <w:szCs w:val="16"/>
        </w:rPr>
        <w:footnoteRef/>
      </w:r>
      <w:r w:rsidRPr="00F62D81">
        <w:rPr>
          <w:rFonts w:ascii="Verdana" w:hAnsi="Verdana"/>
          <w:sz w:val="16"/>
          <w:szCs w:val="16"/>
        </w:rPr>
        <w:t xml:space="preserve"> </w:t>
      </w:r>
      <w:r w:rsidRPr="00F62D81">
        <w:rPr>
          <w:rFonts w:ascii="Verdana" w:hAnsi="Verdana" w:cs="Arial"/>
          <w:sz w:val="16"/>
          <w:szCs w:val="16"/>
        </w:rPr>
        <w:t>Consejo de Estado. Sala de Consulta y Servicio Civil. Concepto de 6 de abril de 2006. Rad. 1738. C.P. Enrique José Arboleda Perdomo.</w:t>
      </w:r>
    </w:p>
  </w:footnote>
  <w:footnote w:id="26">
    <w:p w14:paraId="1E95D248" w14:textId="77777777" w:rsidR="00A6584F" w:rsidRPr="00F62D81" w:rsidRDefault="00A6584F" w:rsidP="00A6584F">
      <w:pPr>
        <w:pStyle w:val="Textonotapie"/>
        <w:ind w:firstLine="709"/>
        <w:contextualSpacing/>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w:t>
      </w:r>
      <w:bookmarkStart w:id="8" w:name="_Hlk192533196"/>
      <w:r w:rsidRPr="00F62D81">
        <w:rPr>
          <w:rFonts w:ascii="Verdana" w:hAnsi="Verdana" w:cs="Arial"/>
          <w:sz w:val="16"/>
          <w:szCs w:val="16"/>
        </w:rPr>
        <w:t>Consejo de Estado. Sala de Consulta y Servicio Civil. Concepto del 15 de noviembre de 2007. Rad. 1863. C.P.: Luis Fernando Álvarez Jaramillo.</w:t>
      </w:r>
      <w:bookmarkEnd w:id="8"/>
    </w:p>
  </w:footnote>
  <w:footnote w:id="27">
    <w:p w14:paraId="74B0E29A" w14:textId="77777777" w:rsidR="00A6584F" w:rsidRPr="00F62D81" w:rsidRDefault="00A6584F" w:rsidP="00A6584F">
      <w:pPr>
        <w:pStyle w:val="Textonotapie"/>
        <w:ind w:firstLine="708"/>
        <w:jc w:val="both"/>
        <w:rPr>
          <w:rFonts w:ascii="Verdana" w:hAnsi="Verdana" w:cs="Arial"/>
          <w:sz w:val="16"/>
          <w:szCs w:val="16"/>
        </w:rPr>
      </w:pPr>
      <w:r w:rsidRPr="00F62D81">
        <w:rPr>
          <w:rStyle w:val="Refdenotaalpie"/>
          <w:rFonts w:ascii="Verdana" w:hAnsi="Verdana" w:cs="Arial"/>
          <w:sz w:val="16"/>
          <w:szCs w:val="16"/>
        </w:rPr>
        <w:footnoteRef/>
      </w:r>
      <w:r w:rsidRPr="00F62D81">
        <w:rPr>
          <w:rFonts w:ascii="Verdana" w:hAnsi="Verdana" w:cs="Arial"/>
          <w:sz w:val="16"/>
          <w:szCs w:val="16"/>
        </w:rPr>
        <w:t xml:space="preserve"> Colombia Compra Eficiente. Circular Externa Única. Numeral 15.5.</w:t>
      </w:r>
    </w:p>
  </w:footnote>
  <w:footnote w:id="28">
    <w:p w14:paraId="40F234F7" w14:textId="77777777" w:rsidR="00A6584F" w:rsidRPr="00F62D81" w:rsidRDefault="00A6584F" w:rsidP="00A6584F">
      <w:pPr>
        <w:snapToGrid w:val="0"/>
        <w:spacing w:after="0" w:line="240" w:lineRule="auto"/>
        <w:ind w:firstLine="709"/>
        <w:contextualSpacing/>
        <w:jc w:val="both"/>
        <w:rPr>
          <w:rFonts w:ascii="Verdana" w:hAnsi="Verdana" w:cs="Arial"/>
          <w:color w:val="000000" w:themeColor="text1"/>
          <w:sz w:val="16"/>
          <w:szCs w:val="16"/>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Corte Constitucional. Sentencia C- 474 de 2005, M.P. Humberto Antonio Sierra Porto. Sentencia C - 428 de 1994. M.P. Antonio Barrera Carbonell.</w:t>
      </w:r>
    </w:p>
  </w:footnote>
  <w:footnote w:id="29">
    <w:p w14:paraId="26E6CDDC" w14:textId="77777777" w:rsidR="00A6584F" w:rsidRPr="00F62D81" w:rsidRDefault="00A6584F" w:rsidP="00A6584F">
      <w:pPr>
        <w:snapToGrid w:val="0"/>
        <w:spacing w:after="0" w:line="240" w:lineRule="auto"/>
        <w:ind w:firstLine="709"/>
        <w:contextualSpacing/>
        <w:jc w:val="both"/>
        <w:rPr>
          <w:rFonts w:ascii="Verdana" w:eastAsia="Times New Roman" w:hAnsi="Verdana" w:cs="Arial"/>
          <w:color w:val="000000" w:themeColor="text1"/>
          <w:sz w:val="16"/>
          <w:szCs w:val="16"/>
          <w:shd w:val="clear" w:color="auto" w:fill="FFFFFF"/>
          <w:lang w:eastAsia="es-ES_tradnl"/>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w:t>
      </w:r>
      <w:r w:rsidRPr="00F62D81">
        <w:rPr>
          <w:rFonts w:ascii="Verdana" w:eastAsia="Times New Roman" w:hAnsi="Verdana" w:cs="Arial"/>
          <w:color w:val="000000" w:themeColor="text1"/>
          <w:sz w:val="16"/>
          <w:szCs w:val="16"/>
          <w:shd w:val="clear" w:color="auto" w:fill="FFFFFF"/>
          <w:lang w:eastAsia="es-ES_tradnl"/>
        </w:rPr>
        <w:t>Por la cual se dictan normas sobre planes de desarrollo municipal, compraventa y expropiación de bienes y se dictan otras disposiciones”. En el Capítulo III se reguló específicamente la adquisición de bienes por enajenación voluntaria y por expropiación.</w:t>
      </w:r>
    </w:p>
    <w:p w14:paraId="7F743A7F" w14:textId="77777777" w:rsidR="00A6584F" w:rsidRPr="00F62D81" w:rsidRDefault="00A6584F" w:rsidP="00A6584F">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F62D81">
        <w:rPr>
          <w:rFonts w:ascii="Verdana" w:eastAsia="Times New Roman" w:hAnsi="Verdana" w:cs="Arial"/>
          <w:color w:val="000000" w:themeColor="text1"/>
          <w:sz w:val="16"/>
          <w:szCs w:val="16"/>
          <w:lang w:eastAsia="es-ES_tradnl"/>
        </w:rPr>
        <w:t>Esta normativa se expidió con fundamento el acto legislativo 1 de 1936, que había modificado el artículo 30 de la Constitución Política de 1886, a cuyo tenor: “Artículo 30. Se garantizan la propiedad privada y los demás derechos adquiridos con justo título, con arreglo a las leyes civiles, por personas naturales o jurídicas, los cuales no pueden ser desconocidos ni vulnerados por leyes posteriores. Cuando de la aplicación de una ley expedida por motivos de utilidad pública o interés social, resultaren en conflicto los derechos de particulares con la necesidad reconocida por la misma ley, el interés privado deberá ceder ante el interés público o social. // La propiedad es una función social que implica obligaciones. // Por motivos de utilidad pública o de interés social definidos por el legislador, podrá haber expropiación, mediante sentencia judicial e indemnización previa. // Con todo, el legislador, por razones de equidad, podrá determinar los casos en que no haya lugar a indemnización, mediante el voto favorable de la mayoría absoluta de los miembros de una y otra Cámara”.</w:t>
      </w:r>
    </w:p>
  </w:footnote>
  <w:footnote w:id="30">
    <w:p w14:paraId="28F52894" w14:textId="77777777" w:rsidR="00A6584F" w:rsidRPr="00F62D81" w:rsidRDefault="00A6584F" w:rsidP="00A6584F">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w:t>
      </w:r>
      <w:r w:rsidRPr="00F62D81">
        <w:rPr>
          <w:rFonts w:ascii="Verdana" w:eastAsia="Times New Roman" w:hAnsi="Verdana" w:cs="Arial"/>
          <w:color w:val="000000" w:themeColor="text1"/>
          <w:sz w:val="16"/>
          <w:szCs w:val="16"/>
          <w:lang w:eastAsia="es-ES_tradnl"/>
        </w:rPr>
        <w:t>Por la cual se modifica la Ley 9 de 1989, y la Ley 2 de 1991 y se dictan otras disposiciones.</w:t>
      </w:r>
    </w:p>
  </w:footnote>
  <w:footnote w:id="31">
    <w:p w14:paraId="602274C7" w14:textId="77777777" w:rsidR="00A6584F" w:rsidRPr="00F62D81" w:rsidRDefault="00A6584F" w:rsidP="00A6584F">
      <w:pPr>
        <w:snapToGrid w:val="0"/>
        <w:spacing w:after="0" w:line="240" w:lineRule="auto"/>
        <w:ind w:firstLine="709"/>
        <w:contextualSpacing/>
        <w:jc w:val="both"/>
        <w:rPr>
          <w:rFonts w:ascii="Verdana" w:eastAsia="Times New Roman" w:hAnsi="Verdana" w:cs="Arial"/>
          <w:b/>
          <w:bCs/>
          <w:color w:val="000000" w:themeColor="text1"/>
          <w:sz w:val="16"/>
          <w:szCs w:val="16"/>
          <w:shd w:val="clear" w:color="auto" w:fill="FFFFFF"/>
          <w:lang w:eastAsia="es-ES_tradnl"/>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w:t>
      </w:r>
      <w:r w:rsidRPr="00F62D81">
        <w:rPr>
          <w:rFonts w:ascii="Verdana" w:hAnsi="Verdana" w:cs="Arial"/>
          <w:color w:val="000000" w:themeColor="text1"/>
          <w:sz w:val="16"/>
          <w:szCs w:val="16"/>
          <w:lang w:val="es-ES"/>
        </w:rPr>
        <w:t xml:space="preserve">Consejo de Estado. Sala de Consulta y Servicio Civil. Concepto del 10 de abril de 2008. Rad. </w:t>
      </w:r>
      <w:r w:rsidRPr="00F62D81">
        <w:rPr>
          <w:rFonts w:ascii="Verdana" w:eastAsia="Times New Roman" w:hAnsi="Verdana" w:cs="Arial"/>
          <w:color w:val="000000" w:themeColor="text1"/>
          <w:sz w:val="16"/>
          <w:szCs w:val="16"/>
          <w:shd w:val="clear" w:color="auto" w:fill="FFFFFF"/>
          <w:lang w:eastAsia="es-ES_tradnl"/>
        </w:rPr>
        <w:t>11001-03-06-000-2008-00017-00. C.P. Gustavo Aponte Santos.</w:t>
      </w:r>
      <w:r w:rsidRPr="00F62D81">
        <w:rPr>
          <w:rFonts w:ascii="Verdana" w:eastAsia="Times New Roman" w:hAnsi="Verdana" w:cs="Arial"/>
          <w:b/>
          <w:bCs/>
          <w:color w:val="000000" w:themeColor="text1"/>
          <w:sz w:val="16"/>
          <w:szCs w:val="16"/>
          <w:shd w:val="clear" w:color="auto" w:fill="FFFFFF"/>
          <w:lang w:eastAsia="es-ES_tradnl"/>
        </w:rPr>
        <w:t xml:space="preserve"> </w:t>
      </w:r>
    </w:p>
  </w:footnote>
  <w:footnote w:id="32">
    <w:p w14:paraId="24E6ED48" w14:textId="77777777" w:rsidR="00A6584F" w:rsidRPr="00F62D81" w:rsidRDefault="00A6584F" w:rsidP="00A6584F">
      <w:pPr>
        <w:pStyle w:val="Textonotapie"/>
        <w:snapToGrid w:val="0"/>
        <w:ind w:firstLine="709"/>
        <w:contextualSpacing/>
        <w:jc w:val="both"/>
        <w:rPr>
          <w:rFonts w:ascii="Verdana" w:hAnsi="Verdana" w:cs="Arial"/>
          <w:color w:val="000000" w:themeColor="text1"/>
          <w:sz w:val="16"/>
          <w:szCs w:val="16"/>
          <w:lang w:val="es-CO"/>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w:t>
      </w:r>
      <w:r w:rsidRPr="00F62D81">
        <w:rPr>
          <w:rFonts w:ascii="Verdana" w:hAnsi="Verdana" w:cs="Arial"/>
          <w:color w:val="000000" w:themeColor="text1"/>
          <w:sz w:val="16"/>
          <w:szCs w:val="16"/>
          <w:lang w:val="es-CO"/>
        </w:rPr>
        <w:t>Corte Constitucional. Sentencia C - 1074 de 4 de diciembre de 2002. M.P. Manuel José Cepeda Espinoza.</w:t>
      </w:r>
    </w:p>
  </w:footnote>
  <w:footnote w:id="33">
    <w:p w14:paraId="4A29A7B7" w14:textId="77777777" w:rsidR="00A6584F" w:rsidRPr="00F62D81" w:rsidRDefault="00A6584F" w:rsidP="00A6584F">
      <w:pPr>
        <w:snapToGrid w:val="0"/>
        <w:spacing w:after="0" w:line="240" w:lineRule="auto"/>
        <w:ind w:firstLine="708"/>
        <w:contextualSpacing/>
        <w:jc w:val="both"/>
        <w:rPr>
          <w:rFonts w:ascii="Verdana" w:hAnsi="Verdana" w:cs="Arial"/>
          <w:color w:val="000000" w:themeColor="text1"/>
          <w:sz w:val="16"/>
          <w:szCs w:val="16"/>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Corte Constitucional. Sentencia C - 669 de 28 de octubre de 2015. M.P. Luis Ernesto Vargas Silva.</w:t>
      </w:r>
    </w:p>
  </w:footnote>
  <w:footnote w:id="34">
    <w:p w14:paraId="3B13F90A" w14:textId="77777777" w:rsidR="00A6584F" w:rsidRPr="00F62D81" w:rsidRDefault="00A6584F" w:rsidP="00A6584F">
      <w:pPr>
        <w:pStyle w:val="Textonotapie"/>
        <w:snapToGrid w:val="0"/>
        <w:ind w:firstLine="709"/>
        <w:contextualSpacing/>
        <w:jc w:val="both"/>
        <w:rPr>
          <w:rFonts w:ascii="Verdana" w:hAnsi="Verdana" w:cs="Arial"/>
          <w:color w:val="000000" w:themeColor="text1"/>
          <w:sz w:val="16"/>
          <w:szCs w:val="16"/>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“La expropiación no es un contrato, no es una venta, ni siquiera forzada, como la que se verifica en subasta pública en determinados casos; es una figura esencialmente distinta, de derecho público, enderezada al bien de la comunidad y en virtud de la cual, por motivos superiores, la Administración toma la propiedad particular, y como esta medida genera un daño, y no un precio, se satisface mediante una indemnización. Se indemniza el perjuicio en diferentes órdenes de la responsabilidad contractual y extracontractual, y se indemniza al expropiado el daño que para él implica esta forma de expropiación –que opera contra su voluntad- pero en provecho público”. (Corte Constitucional. Sentencia C - 153 de 1994. M.P. Alejandro Martínez Caballero).</w:t>
      </w:r>
    </w:p>
  </w:footnote>
  <w:footnote w:id="35">
    <w:p w14:paraId="0845BB25" w14:textId="77777777" w:rsidR="00A6584F" w:rsidRPr="00F62D81" w:rsidRDefault="00A6584F" w:rsidP="00A6584F">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Una vez otorgada la correspondiente escritura pública de compraventa, esta deberá ser inscrita en la Oficina de Instrumentos Públicos respectiva, conforme a lo previsto en el artículo 14 de la Ley 9 de 1989, modificado por el artículo 34 de la Ley 3 de 1991</w:t>
      </w:r>
      <w:r w:rsidRPr="00F62D81">
        <w:rPr>
          <w:rFonts w:ascii="Verdana" w:eastAsia="Times New Roman" w:hAnsi="Verdana" w:cs="Arial"/>
          <w:color w:val="000000" w:themeColor="text1"/>
          <w:sz w:val="16"/>
          <w:szCs w:val="16"/>
          <w:lang w:eastAsia="es-ES_tradnl"/>
        </w:rPr>
        <w:t>.</w:t>
      </w:r>
    </w:p>
  </w:footnote>
  <w:footnote w:id="36">
    <w:p w14:paraId="76292AFE" w14:textId="77777777" w:rsidR="00A6584F" w:rsidRPr="00F62D81" w:rsidRDefault="00A6584F" w:rsidP="00A6584F">
      <w:pPr>
        <w:pStyle w:val="Textonotapie"/>
        <w:snapToGrid w:val="0"/>
        <w:ind w:firstLine="708"/>
        <w:contextualSpacing/>
        <w:jc w:val="both"/>
        <w:rPr>
          <w:rFonts w:ascii="Verdana" w:hAnsi="Verdana" w:cs="Arial"/>
          <w:color w:val="000000" w:themeColor="text1"/>
          <w:sz w:val="16"/>
          <w:szCs w:val="16"/>
          <w:lang w:val="es-CO"/>
        </w:rPr>
      </w:pPr>
      <w:r w:rsidRPr="00F62D81">
        <w:rPr>
          <w:rStyle w:val="Refdenotaalpie"/>
          <w:rFonts w:ascii="Verdana" w:hAnsi="Verdana" w:cs="Arial"/>
          <w:color w:val="000000" w:themeColor="text1"/>
          <w:sz w:val="16"/>
          <w:szCs w:val="16"/>
        </w:rPr>
        <w:footnoteRef/>
      </w:r>
      <w:r w:rsidRPr="00F62D81">
        <w:rPr>
          <w:rFonts w:ascii="Verdana" w:hAnsi="Verdana" w:cs="Arial"/>
          <w:color w:val="000000" w:themeColor="text1"/>
          <w:sz w:val="16"/>
          <w:szCs w:val="16"/>
        </w:rPr>
        <w:t xml:space="preserve"> Postura que también fue desarrollada con mayor detalle en el concepto con radicado de salida No. 2201913000008597 del 19 de noviembre de 2019 –rad. De entrada 2201913000008597–, proferido por esta Agencia. (Disponible en: </w:t>
      </w:r>
      <w:hyperlink r:id="rId1" w:history="1">
        <w:r w:rsidRPr="00F62D81">
          <w:rPr>
            <w:rStyle w:val="Hipervnculo"/>
            <w:rFonts w:ascii="Verdana" w:hAnsi="Verdana" w:cs="Arial"/>
            <w:color w:val="000000" w:themeColor="text1"/>
            <w:sz w:val="16"/>
            <w:szCs w:val="16"/>
          </w:rPr>
          <w:t>https://relatoria.colombiacompra.gov.co/ficha/4201912000005718</w:t>
        </w:r>
      </w:hyperlink>
      <w:r w:rsidRPr="00F62D81">
        <w:rPr>
          <w:rFonts w:ascii="Verdana" w:hAnsi="Verdana" w:cs="Arial"/>
          <w:color w:val="000000" w:themeColor="text1"/>
          <w:sz w:val="16"/>
          <w:szCs w:val="16"/>
        </w:rPr>
        <w:t>).</w:t>
      </w:r>
    </w:p>
  </w:footnote>
  <w:footnote w:id="37">
    <w:p w14:paraId="24634717" w14:textId="77777777" w:rsidR="00A6584F" w:rsidRPr="00F62D81" w:rsidRDefault="00A6584F" w:rsidP="00A6584F">
      <w:pPr>
        <w:pStyle w:val="Textonotapie"/>
        <w:ind w:firstLine="708"/>
        <w:jc w:val="both"/>
        <w:rPr>
          <w:sz w:val="16"/>
          <w:szCs w:val="16"/>
          <w:lang w:val="es-ES"/>
        </w:rPr>
      </w:pPr>
      <w:r w:rsidRPr="00F62D81">
        <w:rPr>
          <w:rStyle w:val="Refdenotaalpie"/>
          <w:rFonts w:ascii="Verdana" w:hAnsi="Verdana"/>
          <w:sz w:val="16"/>
          <w:szCs w:val="16"/>
        </w:rPr>
        <w:footnoteRef/>
      </w:r>
      <w:r w:rsidRPr="00F62D81">
        <w:rPr>
          <w:rFonts w:ascii="Verdana" w:hAnsi="Verdana"/>
          <w:sz w:val="16"/>
          <w:szCs w:val="16"/>
        </w:rPr>
        <w:t xml:space="preserve"> </w:t>
      </w:r>
      <w:r w:rsidRPr="00F62D81">
        <w:rPr>
          <w:rFonts w:ascii="Verdana" w:hAnsi="Verdana"/>
          <w:sz w:val="16"/>
          <w:szCs w:val="16"/>
          <w:lang w:val="es-ES"/>
        </w:rPr>
        <w:t xml:space="preserve">En torno a la aplicación de la Ley de Garantías en los procesos de enajenación voluntaria, podemos destacar los conceptos </w:t>
      </w:r>
      <w:r w:rsidRPr="00F62D81">
        <w:rPr>
          <w:rFonts w:ascii="Verdana" w:eastAsia="Times New Roman" w:hAnsi="Verdana" w:cs="Arial"/>
          <w:bCs/>
          <w:sz w:val="16"/>
          <w:szCs w:val="16"/>
          <w:lang w:val="es-CO" w:eastAsia="x-none"/>
        </w:rPr>
        <w:t xml:space="preserve">C-1512 de 2015, C-1529 de 2015, C-118 del 4 de marzo de 2026, C-275 del 11 de marzo de 2026, entre otros. </w:t>
      </w:r>
    </w:p>
  </w:footnote>
  <w:footnote w:id="38">
    <w:p w14:paraId="0FAAF7BA" w14:textId="77777777" w:rsidR="00A6584F" w:rsidRPr="00F62D81" w:rsidRDefault="00A6584F" w:rsidP="00A6584F">
      <w:pPr>
        <w:pStyle w:val="Textonotapie"/>
        <w:ind w:firstLine="708"/>
        <w:jc w:val="both"/>
        <w:rPr>
          <w:rFonts w:ascii="Verdana" w:hAnsi="Verdana"/>
          <w:sz w:val="16"/>
          <w:szCs w:val="16"/>
          <w:lang w:val="es-CO"/>
        </w:rPr>
      </w:pPr>
      <w:r w:rsidRPr="00F62D81">
        <w:rPr>
          <w:rStyle w:val="Refdenotaalpie"/>
          <w:rFonts w:ascii="Verdana" w:hAnsi="Verdana"/>
          <w:sz w:val="16"/>
          <w:szCs w:val="16"/>
        </w:rPr>
        <w:footnoteRef/>
      </w:r>
      <w:r w:rsidRPr="00F62D81">
        <w:rPr>
          <w:rFonts w:ascii="Verdana" w:hAnsi="Verdana"/>
          <w:sz w:val="16"/>
          <w:szCs w:val="16"/>
        </w:rPr>
        <w:t xml:space="preserve"> </w:t>
      </w:r>
      <w:r w:rsidRPr="00F62D81">
        <w:rPr>
          <w:rFonts w:ascii="Verdana" w:hAnsi="Verdana"/>
          <w:bCs/>
          <w:sz w:val="16"/>
          <w:szCs w:val="16"/>
          <w:lang w:val="es-CO"/>
        </w:rPr>
        <w:t>Artículo 38.</w:t>
      </w:r>
      <w:r w:rsidRPr="00F62D81">
        <w:rPr>
          <w:rFonts w:ascii="Verdana" w:hAnsi="Verdana"/>
          <w:sz w:val="16"/>
          <w:szCs w:val="16"/>
          <w:lang w:val="es-CO"/>
        </w:rPr>
        <w:t> Durante la etapa de construcción de los proyectos de infraestructura de transporte y con el fin de facilitar su ejecución la Nación a través de los jefes de las entidades de dicho orden y las entidades territoriales, a través de los Gobernadores y Alcaldes, según la infraestructura a su cargo, tienen facultades para imponer servidumbres, mediante acto administrativo. </w:t>
      </w:r>
    </w:p>
    <w:p w14:paraId="2CEE6127" w14:textId="77777777" w:rsidR="00A6584F" w:rsidRPr="00F62D81" w:rsidRDefault="00A6584F" w:rsidP="00A6584F">
      <w:pPr>
        <w:pStyle w:val="Textonotapie"/>
        <w:ind w:firstLine="708"/>
        <w:jc w:val="both"/>
        <w:rPr>
          <w:rFonts w:ascii="Verdana" w:hAnsi="Verdana"/>
          <w:sz w:val="16"/>
          <w:szCs w:val="16"/>
          <w:lang w:val="es-CO"/>
        </w:rPr>
      </w:pPr>
      <w:r w:rsidRPr="00F62D81">
        <w:rPr>
          <w:rFonts w:ascii="Verdana" w:hAnsi="Verdana"/>
          <w:sz w:val="16"/>
          <w:szCs w:val="16"/>
          <w:lang w:val="es-CO"/>
        </w:rPr>
        <w:t>El Ministerio de Transporte impondrá tales servidumbres en los proyectos de infraestructura de transporte a cargo de los departamentos, cuando se afecten predios que se encuentren ubicados en más de uno de ellos. Asimismo, el Gobernador del departamento impondrá servidumbres en los proyectos de infraestructura de transporte a cargo de los municipios cuando se afecten predios que se encuentren ubicados en más de un municipio. </w:t>
      </w:r>
    </w:p>
    <w:p w14:paraId="5011F30D" w14:textId="77777777" w:rsidR="00A6584F" w:rsidRPr="00F62D81" w:rsidRDefault="00A6584F" w:rsidP="00A6584F">
      <w:pPr>
        <w:pStyle w:val="Textonotapie"/>
        <w:ind w:firstLine="708"/>
        <w:jc w:val="both"/>
        <w:rPr>
          <w:rFonts w:ascii="Verdana" w:hAnsi="Verdana"/>
          <w:sz w:val="16"/>
          <w:szCs w:val="16"/>
          <w:lang w:val="es-CO"/>
        </w:rPr>
      </w:pPr>
      <w:r w:rsidRPr="00F62D81">
        <w:rPr>
          <w:rFonts w:ascii="Verdana" w:hAnsi="Verdana"/>
          <w:sz w:val="16"/>
          <w:szCs w:val="16"/>
          <w:lang w:val="es-CO"/>
        </w:rPr>
        <w:t>En los proyectos a cargo de la Nación, esta podrá imponer servidumbres en todo el Territorio Nacional. </w:t>
      </w:r>
    </w:p>
    <w:p w14:paraId="5BA62A6A" w14:textId="77777777" w:rsidR="00A6584F" w:rsidRPr="00F62D81" w:rsidRDefault="00A6584F" w:rsidP="00A6584F">
      <w:pPr>
        <w:pStyle w:val="Textonotapie"/>
        <w:ind w:firstLine="708"/>
        <w:jc w:val="both"/>
        <w:rPr>
          <w:rFonts w:ascii="Verdana" w:hAnsi="Verdana"/>
          <w:sz w:val="16"/>
          <w:szCs w:val="16"/>
          <w:lang w:val="es-CO"/>
        </w:rPr>
      </w:pPr>
      <w:r w:rsidRPr="00F62D81">
        <w:rPr>
          <w:rFonts w:ascii="Verdana" w:hAnsi="Verdana"/>
          <w:sz w:val="16"/>
          <w:szCs w:val="16"/>
          <w:lang w:val="es-CO"/>
        </w:rPr>
        <w:t>Para efectos de lo previsto en este artículo, se deberá agotar una etapa de negociación directa en un plazo máximo de treinta (30) días calendario. En caso de no lograrse acuerdo se procederá a la imposición de servidumbre por vía administrativa. El Gobierno Nacional expedirá la reglamentación correspondiente con el fin de definir los términos en que se deberán surtir estas etapas. </w:t>
      </w:r>
    </w:p>
    <w:p w14:paraId="10B6058B" w14:textId="77777777" w:rsidR="00A6584F" w:rsidRPr="00F62D81" w:rsidRDefault="00A6584F" w:rsidP="00A6584F">
      <w:pPr>
        <w:pStyle w:val="Textonotapie"/>
        <w:ind w:firstLine="708"/>
        <w:jc w:val="both"/>
        <w:rPr>
          <w:rFonts w:ascii="Verdana" w:hAnsi="Verdana"/>
          <w:sz w:val="16"/>
          <w:szCs w:val="16"/>
          <w:lang w:val="es-CO"/>
        </w:rPr>
      </w:pPr>
      <w:r w:rsidRPr="00F62D81">
        <w:rPr>
          <w:rFonts w:ascii="Verdana" w:hAnsi="Verdana"/>
          <w:bCs/>
          <w:sz w:val="16"/>
          <w:szCs w:val="16"/>
          <w:lang w:val="es-CO"/>
        </w:rPr>
        <w:t>Parágrafo 1°.</w:t>
      </w:r>
      <w:r w:rsidRPr="00F62D81">
        <w:rPr>
          <w:rFonts w:ascii="Verdana" w:hAnsi="Verdana"/>
          <w:sz w:val="16"/>
          <w:szCs w:val="16"/>
          <w:lang w:val="es-CO"/>
        </w:rPr>
        <w:t> El Ministro de Transporte podrá delegar esta facultad. </w:t>
      </w:r>
    </w:p>
    <w:p w14:paraId="31FF6197" w14:textId="77777777" w:rsidR="00A6584F" w:rsidRPr="00F62D81" w:rsidRDefault="00A6584F" w:rsidP="00A6584F">
      <w:pPr>
        <w:pStyle w:val="Textonotapie"/>
        <w:ind w:firstLine="708"/>
        <w:jc w:val="both"/>
        <w:rPr>
          <w:rFonts w:ascii="Verdana" w:hAnsi="Verdana"/>
          <w:sz w:val="16"/>
          <w:szCs w:val="16"/>
          <w:lang w:val="es-CO"/>
        </w:rPr>
      </w:pPr>
      <w:r w:rsidRPr="00F62D81">
        <w:rPr>
          <w:rFonts w:ascii="Verdana" w:hAnsi="Verdana"/>
          <w:bCs/>
          <w:sz w:val="16"/>
          <w:szCs w:val="16"/>
          <w:lang w:val="es-CO"/>
        </w:rPr>
        <w:t>Parágrafo 2°.</w:t>
      </w:r>
      <w:r w:rsidRPr="00F62D81">
        <w:rPr>
          <w:rFonts w:ascii="Verdana" w:hAnsi="Verdana"/>
          <w:sz w:val="16"/>
          <w:szCs w:val="16"/>
          <w:lang w:val="es-CO"/>
        </w:rPr>
        <w:t> Lo dispuesto en este artículo será aplicable a la gestión predial necesaria para la ejecución de proyectos de infraestructura de servicios públicos, sin perjuicio de lo establecido en la Ley 56 de 1981.</w:t>
      </w:r>
      <w:r w:rsidRPr="00F05DC2">
        <w:rPr>
          <w:rFonts w:ascii="Verdana" w:hAnsi="Verdana"/>
          <w:sz w:val="16"/>
          <w:szCs w:val="16"/>
          <w:lang w:val="es-CO"/>
        </w:rPr>
        <w:t> </w:t>
      </w:r>
    </w:p>
  </w:footnote>
  <w:footnote w:id="39">
    <w:p w14:paraId="2D4FAB42" w14:textId="77777777" w:rsidR="00A6584F" w:rsidRPr="009D6AE1" w:rsidRDefault="00A6584F" w:rsidP="00A6584F">
      <w:pPr>
        <w:pStyle w:val="Textonotapie"/>
        <w:ind w:firstLine="708"/>
        <w:jc w:val="both"/>
        <w:rPr>
          <w:rFonts w:ascii="Arial" w:hAnsi="Arial" w:cs="Arial"/>
          <w:sz w:val="14"/>
          <w:szCs w:val="14"/>
        </w:rPr>
      </w:pPr>
      <w:r w:rsidRPr="00E5567D">
        <w:rPr>
          <w:rStyle w:val="Refdenotaalpie"/>
          <w:rFonts w:ascii="Verdana" w:hAnsi="Verdana" w:cs="Arial"/>
          <w:sz w:val="15"/>
          <w:szCs w:val="15"/>
        </w:rPr>
        <w:footnoteRef/>
      </w:r>
      <w:r w:rsidRPr="00E5567D">
        <w:rPr>
          <w:rFonts w:ascii="Verdana" w:hAnsi="Verdana" w:cs="Arial"/>
          <w:sz w:val="15"/>
          <w:szCs w:val="15"/>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05202B" w:rsidRDefault="0005202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05202B" w:rsidRDefault="0005202B">
    <w:pPr>
      <w:pStyle w:val="Encabezado"/>
    </w:pPr>
  </w:p>
  <w:p w14:paraId="5E18350A" w14:textId="705F7B76" w:rsidR="0005202B" w:rsidRPr="004A305D" w:rsidRDefault="0005202B" w:rsidP="00B01B1A">
    <w:pPr>
      <w:spacing w:after="0" w:line="120" w:lineRule="auto"/>
      <w:rPr>
        <w:rFonts w:ascii="Century Gothic" w:eastAsia="Geo" w:hAnsi="Century Gothic" w:cs="Geo"/>
        <w:sz w:val="16"/>
        <w:szCs w:val="16"/>
        <w:lang w:eastAsia="es-CO"/>
      </w:rPr>
    </w:pPr>
  </w:p>
  <w:p w14:paraId="211B7F5D" w14:textId="77777777" w:rsidR="0005202B" w:rsidRDefault="0005202B" w:rsidP="00844AE9">
    <w:pPr>
      <w:spacing w:after="0" w:line="240" w:lineRule="auto"/>
      <w:rPr>
        <w:rFonts w:ascii="Verdana" w:hAnsi="Verdana"/>
        <w:sz w:val="24"/>
        <w:szCs w:val="24"/>
      </w:rPr>
    </w:pPr>
  </w:p>
  <w:p w14:paraId="5A0054B1" w14:textId="77777777" w:rsidR="0005202B" w:rsidRPr="00C925AC" w:rsidRDefault="0005202B" w:rsidP="00844AE9">
    <w:pPr>
      <w:spacing w:after="0" w:line="240" w:lineRule="auto"/>
      <w:rPr>
        <w:rFonts w:ascii="Verdana" w:hAnsi="Verdana"/>
        <w:sz w:val="24"/>
        <w:szCs w:val="24"/>
      </w:rPr>
    </w:pPr>
  </w:p>
  <w:p w14:paraId="1FD1C243" w14:textId="37C5500A" w:rsidR="0005202B" w:rsidRPr="00C925AC" w:rsidRDefault="0005202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F7634B6B"/>
    <w:multiLevelType w:val="hybridMultilevel"/>
    <w:tmpl w:val="92994A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6C0FB4E"/>
    <w:multiLevelType w:val="hybridMultilevel"/>
    <w:tmpl w:val="895AFCF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A6C115E"/>
    <w:multiLevelType w:val="hybridMultilevel"/>
    <w:tmpl w:val="5443360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8BCD79"/>
    <w:multiLevelType w:val="hybridMultilevel"/>
    <w:tmpl w:val="13FB668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2067405">
    <w:abstractNumId w:val="10"/>
  </w:num>
  <w:num w:numId="2" w16cid:durableId="1732849050">
    <w:abstractNumId w:val="3"/>
  </w:num>
  <w:num w:numId="3" w16cid:durableId="1077485383">
    <w:abstractNumId w:val="8"/>
  </w:num>
  <w:num w:numId="4" w16cid:durableId="8530344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7921141">
    <w:abstractNumId w:val="3"/>
  </w:num>
  <w:num w:numId="6" w16cid:durableId="66614972">
    <w:abstractNumId w:val="19"/>
  </w:num>
  <w:num w:numId="7" w16cid:durableId="1886791308">
    <w:abstractNumId w:val="9"/>
  </w:num>
  <w:num w:numId="8" w16cid:durableId="1708917341">
    <w:abstractNumId w:val="18"/>
  </w:num>
  <w:num w:numId="9" w16cid:durableId="1239484507">
    <w:abstractNumId w:val="11"/>
  </w:num>
  <w:num w:numId="10" w16cid:durableId="1804692702">
    <w:abstractNumId w:val="17"/>
  </w:num>
  <w:num w:numId="11" w16cid:durableId="1771971880">
    <w:abstractNumId w:val="12"/>
  </w:num>
  <w:num w:numId="12" w16cid:durableId="1140154215">
    <w:abstractNumId w:val="2"/>
  </w:num>
  <w:num w:numId="13" w16cid:durableId="1326126337">
    <w:abstractNumId w:val="7"/>
  </w:num>
  <w:num w:numId="14" w16cid:durableId="2008744314">
    <w:abstractNumId w:val="21"/>
  </w:num>
  <w:num w:numId="15" w16cid:durableId="1855487652">
    <w:abstractNumId w:val="16"/>
  </w:num>
  <w:num w:numId="16" w16cid:durableId="2099787360">
    <w:abstractNumId w:val="1"/>
  </w:num>
  <w:num w:numId="17" w16cid:durableId="452480556">
    <w:abstractNumId w:val="13"/>
  </w:num>
  <w:num w:numId="18" w16cid:durableId="2035424568">
    <w:abstractNumId w:val="14"/>
  </w:num>
  <w:num w:numId="19" w16cid:durableId="1692493840">
    <w:abstractNumId w:val="4"/>
  </w:num>
  <w:num w:numId="20" w16cid:durableId="1679189481">
    <w:abstractNumId w:val="6"/>
  </w:num>
  <w:num w:numId="21" w16cid:durableId="1557088810">
    <w:abstractNumId w:val="0"/>
  </w:num>
  <w:num w:numId="22" w16cid:durableId="474952547">
    <w:abstractNumId w:val="5"/>
  </w:num>
  <w:num w:numId="23" w16cid:durableId="805316122">
    <w:abstractNumId w:val="20"/>
  </w:num>
  <w:num w:numId="24" w16cid:durableId="3199670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041D"/>
    <w:rsid w:val="00016F78"/>
    <w:rsid w:val="00031BC1"/>
    <w:rsid w:val="000452C6"/>
    <w:rsid w:val="00046945"/>
    <w:rsid w:val="0005202B"/>
    <w:rsid w:val="00061B2A"/>
    <w:rsid w:val="0006246F"/>
    <w:rsid w:val="00077D14"/>
    <w:rsid w:val="00081367"/>
    <w:rsid w:val="00082362"/>
    <w:rsid w:val="000825A6"/>
    <w:rsid w:val="00082AFE"/>
    <w:rsid w:val="00095DAE"/>
    <w:rsid w:val="000A02D4"/>
    <w:rsid w:val="000A683E"/>
    <w:rsid w:val="000B19B9"/>
    <w:rsid w:val="000D0334"/>
    <w:rsid w:val="000D5DA7"/>
    <w:rsid w:val="000D6D48"/>
    <w:rsid w:val="000F6486"/>
    <w:rsid w:val="00102203"/>
    <w:rsid w:val="0011272A"/>
    <w:rsid w:val="001156CB"/>
    <w:rsid w:val="00116940"/>
    <w:rsid w:val="00125105"/>
    <w:rsid w:val="00127233"/>
    <w:rsid w:val="00127474"/>
    <w:rsid w:val="0013401F"/>
    <w:rsid w:val="0015699B"/>
    <w:rsid w:val="001A33BF"/>
    <w:rsid w:val="001E1005"/>
    <w:rsid w:val="001E194B"/>
    <w:rsid w:val="001E4177"/>
    <w:rsid w:val="001E5EA0"/>
    <w:rsid w:val="001F0B24"/>
    <w:rsid w:val="001F7DC6"/>
    <w:rsid w:val="0020079E"/>
    <w:rsid w:val="0020088C"/>
    <w:rsid w:val="0021277A"/>
    <w:rsid w:val="0022400B"/>
    <w:rsid w:val="002421BB"/>
    <w:rsid w:val="0024692A"/>
    <w:rsid w:val="0025796E"/>
    <w:rsid w:val="00261121"/>
    <w:rsid w:val="002707A2"/>
    <w:rsid w:val="002826F0"/>
    <w:rsid w:val="002845F4"/>
    <w:rsid w:val="002857D9"/>
    <w:rsid w:val="00293441"/>
    <w:rsid w:val="002951A0"/>
    <w:rsid w:val="002962BC"/>
    <w:rsid w:val="002A093D"/>
    <w:rsid w:val="002A0DD0"/>
    <w:rsid w:val="002A49AC"/>
    <w:rsid w:val="002A64FD"/>
    <w:rsid w:val="002A760C"/>
    <w:rsid w:val="002C27D0"/>
    <w:rsid w:val="002C5509"/>
    <w:rsid w:val="002C5725"/>
    <w:rsid w:val="002C7A84"/>
    <w:rsid w:val="002E2BF8"/>
    <w:rsid w:val="002E4FD9"/>
    <w:rsid w:val="002F3CDF"/>
    <w:rsid w:val="0030657A"/>
    <w:rsid w:val="00307DCF"/>
    <w:rsid w:val="00322A85"/>
    <w:rsid w:val="00324168"/>
    <w:rsid w:val="00330834"/>
    <w:rsid w:val="003318AB"/>
    <w:rsid w:val="00335987"/>
    <w:rsid w:val="003448F4"/>
    <w:rsid w:val="00355EA0"/>
    <w:rsid w:val="003604F5"/>
    <w:rsid w:val="00374F5E"/>
    <w:rsid w:val="00377E3E"/>
    <w:rsid w:val="003A130F"/>
    <w:rsid w:val="003A1A0B"/>
    <w:rsid w:val="003A779E"/>
    <w:rsid w:val="003C5B9E"/>
    <w:rsid w:val="003C64B8"/>
    <w:rsid w:val="003D0F4D"/>
    <w:rsid w:val="003D1CF9"/>
    <w:rsid w:val="003D5B0D"/>
    <w:rsid w:val="003E0499"/>
    <w:rsid w:val="003E0A60"/>
    <w:rsid w:val="003E4F80"/>
    <w:rsid w:val="003E6439"/>
    <w:rsid w:val="003E6637"/>
    <w:rsid w:val="003E6646"/>
    <w:rsid w:val="003F1AD6"/>
    <w:rsid w:val="003F3941"/>
    <w:rsid w:val="00406575"/>
    <w:rsid w:val="00414C74"/>
    <w:rsid w:val="004151A8"/>
    <w:rsid w:val="00417B5B"/>
    <w:rsid w:val="0042722E"/>
    <w:rsid w:val="00437377"/>
    <w:rsid w:val="0044528D"/>
    <w:rsid w:val="004473CC"/>
    <w:rsid w:val="00455F82"/>
    <w:rsid w:val="00466302"/>
    <w:rsid w:val="00466E39"/>
    <w:rsid w:val="00473BEB"/>
    <w:rsid w:val="004A1847"/>
    <w:rsid w:val="004A305D"/>
    <w:rsid w:val="004B7D74"/>
    <w:rsid w:val="004D3F95"/>
    <w:rsid w:val="004F1FEA"/>
    <w:rsid w:val="004F21C4"/>
    <w:rsid w:val="004F685F"/>
    <w:rsid w:val="0050028B"/>
    <w:rsid w:val="00506CA6"/>
    <w:rsid w:val="0053199F"/>
    <w:rsid w:val="005566E8"/>
    <w:rsid w:val="00557199"/>
    <w:rsid w:val="00570D3F"/>
    <w:rsid w:val="0057428E"/>
    <w:rsid w:val="00574867"/>
    <w:rsid w:val="00575D0A"/>
    <w:rsid w:val="00580BC6"/>
    <w:rsid w:val="00580D2E"/>
    <w:rsid w:val="0058142F"/>
    <w:rsid w:val="00582C4B"/>
    <w:rsid w:val="00591460"/>
    <w:rsid w:val="00597A19"/>
    <w:rsid w:val="005A39E6"/>
    <w:rsid w:val="005A65E0"/>
    <w:rsid w:val="005B0452"/>
    <w:rsid w:val="005C2A0C"/>
    <w:rsid w:val="005C3777"/>
    <w:rsid w:val="005C5CDC"/>
    <w:rsid w:val="005C6190"/>
    <w:rsid w:val="005C6BC8"/>
    <w:rsid w:val="005D476C"/>
    <w:rsid w:val="005E288B"/>
    <w:rsid w:val="005E6B20"/>
    <w:rsid w:val="005F181C"/>
    <w:rsid w:val="005F1911"/>
    <w:rsid w:val="0060360B"/>
    <w:rsid w:val="0061375F"/>
    <w:rsid w:val="006200BF"/>
    <w:rsid w:val="006219F8"/>
    <w:rsid w:val="006302F7"/>
    <w:rsid w:val="00646B9F"/>
    <w:rsid w:val="00662D62"/>
    <w:rsid w:val="00665485"/>
    <w:rsid w:val="00665D70"/>
    <w:rsid w:val="006900D9"/>
    <w:rsid w:val="006A6A7A"/>
    <w:rsid w:val="006C04F1"/>
    <w:rsid w:val="006D4D7F"/>
    <w:rsid w:val="006E4C4E"/>
    <w:rsid w:val="00700817"/>
    <w:rsid w:val="00706C16"/>
    <w:rsid w:val="00715041"/>
    <w:rsid w:val="00721364"/>
    <w:rsid w:val="0072640F"/>
    <w:rsid w:val="007317FA"/>
    <w:rsid w:val="007319C8"/>
    <w:rsid w:val="00731E59"/>
    <w:rsid w:val="007340C3"/>
    <w:rsid w:val="00737E18"/>
    <w:rsid w:val="0075235A"/>
    <w:rsid w:val="00756841"/>
    <w:rsid w:val="007649AB"/>
    <w:rsid w:val="00771D0C"/>
    <w:rsid w:val="007744FB"/>
    <w:rsid w:val="00777679"/>
    <w:rsid w:val="007829E1"/>
    <w:rsid w:val="007833AC"/>
    <w:rsid w:val="0078433B"/>
    <w:rsid w:val="00791D76"/>
    <w:rsid w:val="007A153F"/>
    <w:rsid w:val="007B268C"/>
    <w:rsid w:val="007B57B5"/>
    <w:rsid w:val="007B7171"/>
    <w:rsid w:val="007C0C0F"/>
    <w:rsid w:val="007C3DC2"/>
    <w:rsid w:val="007D3968"/>
    <w:rsid w:val="007E5497"/>
    <w:rsid w:val="00804180"/>
    <w:rsid w:val="00806F5F"/>
    <w:rsid w:val="00815B83"/>
    <w:rsid w:val="00817856"/>
    <w:rsid w:val="00820169"/>
    <w:rsid w:val="00820278"/>
    <w:rsid w:val="008258C9"/>
    <w:rsid w:val="00826EE8"/>
    <w:rsid w:val="008377DE"/>
    <w:rsid w:val="00844AE9"/>
    <w:rsid w:val="008470B0"/>
    <w:rsid w:val="00867F95"/>
    <w:rsid w:val="008835B4"/>
    <w:rsid w:val="008843B6"/>
    <w:rsid w:val="00891928"/>
    <w:rsid w:val="008934CB"/>
    <w:rsid w:val="00895356"/>
    <w:rsid w:val="008A2CD2"/>
    <w:rsid w:val="008A446D"/>
    <w:rsid w:val="008A7820"/>
    <w:rsid w:val="008B104D"/>
    <w:rsid w:val="008B25F1"/>
    <w:rsid w:val="008C309E"/>
    <w:rsid w:val="008C383D"/>
    <w:rsid w:val="008C571F"/>
    <w:rsid w:val="008C5A84"/>
    <w:rsid w:val="008D180B"/>
    <w:rsid w:val="008E72AF"/>
    <w:rsid w:val="008F0EA7"/>
    <w:rsid w:val="008F327E"/>
    <w:rsid w:val="0091294A"/>
    <w:rsid w:val="009216BA"/>
    <w:rsid w:val="00923EEF"/>
    <w:rsid w:val="009305DC"/>
    <w:rsid w:val="009419F9"/>
    <w:rsid w:val="0095685E"/>
    <w:rsid w:val="00961B09"/>
    <w:rsid w:val="00965334"/>
    <w:rsid w:val="0097093E"/>
    <w:rsid w:val="00990BF1"/>
    <w:rsid w:val="00991790"/>
    <w:rsid w:val="009A027F"/>
    <w:rsid w:val="009A0DFA"/>
    <w:rsid w:val="009A1C6F"/>
    <w:rsid w:val="009B2D26"/>
    <w:rsid w:val="009C71FA"/>
    <w:rsid w:val="009C72E7"/>
    <w:rsid w:val="009C7F7E"/>
    <w:rsid w:val="009D0BD0"/>
    <w:rsid w:val="009D3058"/>
    <w:rsid w:val="009E6333"/>
    <w:rsid w:val="009E746B"/>
    <w:rsid w:val="009F35DD"/>
    <w:rsid w:val="009F3A13"/>
    <w:rsid w:val="00A07EBF"/>
    <w:rsid w:val="00A122D3"/>
    <w:rsid w:val="00A14468"/>
    <w:rsid w:val="00A17F13"/>
    <w:rsid w:val="00A20739"/>
    <w:rsid w:val="00A23AF9"/>
    <w:rsid w:val="00A33C78"/>
    <w:rsid w:val="00A47089"/>
    <w:rsid w:val="00A63F17"/>
    <w:rsid w:val="00A6584F"/>
    <w:rsid w:val="00A83161"/>
    <w:rsid w:val="00A86E5C"/>
    <w:rsid w:val="00AA3788"/>
    <w:rsid w:val="00AB0ADB"/>
    <w:rsid w:val="00AD67E7"/>
    <w:rsid w:val="00AF1B67"/>
    <w:rsid w:val="00AF619D"/>
    <w:rsid w:val="00B00C0E"/>
    <w:rsid w:val="00B01B1A"/>
    <w:rsid w:val="00B0381D"/>
    <w:rsid w:val="00B13627"/>
    <w:rsid w:val="00B13882"/>
    <w:rsid w:val="00B14F36"/>
    <w:rsid w:val="00B31A79"/>
    <w:rsid w:val="00B44A47"/>
    <w:rsid w:val="00B72CD3"/>
    <w:rsid w:val="00B72FFF"/>
    <w:rsid w:val="00B7443D"/>
    <w:rsid w:val="00B75F06"/>
    <w:rsid w:val="00B944AA"/>
    <w:rsid w:val="00B95ED8"/>
    <w:rsid w:val="00BA15D8"/>
    <w:rsid w:val="00BA7A2E"/>
    <w:rsid w:val="00BC3D36"/>
    <w:rsid w:val="00BC3F56"/>
    <w:rsid w:val="00BD31E4"/>
    <w:rsid w:val="00BD54A6"/>
    <w:rsid w:val="00BD7F72"/>
    <w:rsid w:val="00BE378A"/>
    <w:rsid w:val="00BF6651"/>
    <w:rsid w:val="00BF7425"/>
    <w:rsid w:val="00C04FB3"/>
    <w:rsid w:val="00C11D8B"/>
    <w:rsid w:val="00C15139"/>
    <w:rsid w:val="00C330EB"/>
    <w:rsid w:val="00C50D69"/>
    <w:rsid w:val="00C5365C"/>
    <w:rsid w:val="00C67C8B"/>
    <w:rsid w:val="00C754BE"/>
    <w:rsid w:val="00C76B1C"/>
    <w:rsid w:val="00C77E63"/>
    <w:rsid w:val="00C819F9"/>
    <w:rsid w:val="00C84596"/>
    <w:rsid w:val="00C925AC"/>
    <w:rsid w:val="00C946BF"/>
    <w:rsid w:val="00C958D1"/>
    <w:rsid w:val="00CA0E68"/>
    <w:rsid w:val="00CB6357"/>
    <w:rsid w:val="00CB7450"/>
    <w:rsid w:val="00CC1B26"/>
    <w:rsid w:val="00CD6067"/>
    <w:rsid w:val="00CE4589"/>
    <w:rsid w:val="00CE72C3"/>
    <w:rsid w:val="00CF4861"/>
    <w:rsid w:val="00D078F7"/>
    <w:rsid w:val="00D13A78"/>
    <w:rsid w:val="00D13C5D"/>
    <w:rsid w:val="00D31EC6"/>
    <w:rsid w:val="00D350D3"/>
    <w:rsid w:val="00D361FD"/>
    <w:rsid w:val="00D423A2"/>
    <w:rsid w:val="00D42CBD"/>
    <w:rsid w:val="00D439FC"/>
    <w:rsid w:val="00D44E26"/>
    <w:rsid w:val="00D520D8"/>
    <w:rsid w:val="00D53F94"/>
    <w:rsid w:val="00D63AC2"/>
    <w:rsid w:val="00D677B5"/>
    <w:rsid w:val="00D70345"/>
    <w:rsid w:val="00D7383B"/>
    <w:rsid w:val="00D7788A"/>
    <w:rsid w:val="00DA231B"/>
    <w:rsid w:val="00DC39FC"/>
    <w:rsid w:val="00DD0992"/>
    <w:rsid w:val="00DF3F1B"/>
    <w:rsid w:val="00DF5254"/>
    <w:rsid w:val="00E02524"/>
    <w:rsid w:val="00E16408"/>
    <w:rsid w:val="00E170D1"/>
    <w:rsid w:val="00E20894"/>
    <w:rsid w:val="00E245AB"/>
    <w:rsid w:val="00E2764C"/>
    <w:rsid w:val="00E27F2E"/>
    <w:rsid w:val="00E434DE"/>
    <w:rsid w:val="00E5016B"/>
    <w:rsid w:val="00E50AFE"/>
    <w:rsid w:val="00E56EE8"/>
    <w:rsid w:val="00E60AD8"/>
    <w:rsid w:val="00E66DD3"/>
    <w:rsid w:val="00E75C92"/>
    <w:rsid w:val="00E760D9"/>
    <w:rsid w:val="00E771DC"/>
    <w:rsid w:val="00E8252C"/>
    <w:rsid w:val="00E83EFE"/>
    <w:rsid w:val="00E8772A"/>
    <w:rsid w:val="00E90AC3"/>
    <w:rsid w:val="00E90F6B"/>
    <w:rsid w:val="00E92C27"/>
    <w:rsid w:val="00EA0E3D"/>
    <w:rsid w:val="00EA4B5D"/>
    <w:rsid w:val="00EC1DAC"/>
    <w:rsid w:val="00EC38A7"/>
    <w:rsid w:val="00EE1AA8"/>
    <w:rsid w:val="00F04FFA"/>
    <w:rsid w:val="00F05DC2"/>
    <w:rsid w:val="00F11A10"/>
    <w:rsid w:val="00F11E70"/>
    <w:rsid w:val="00F163B0"/>
    <w:rsid w:val="00F16BC8"/>
    <w:rsid w:val="00F238FA"/>
    <w:rsid w:val="00F23FEA"/>
    <w:rsid w:val="00F31A4A"/>
    <w:rsid w:val="00F31EDC"/>
    <w:rsid w:val="00F33CF0"/>
    <w:rsid w:val="00F462B3"/>
    <w:rsid w:val="00F5664F"/>
    <w:rsid w:val="00F624DD"/>
    <w:rsid w:val="00F666C4"/>
    <w:rsid w:val="00F7339B"/>
    <w:rsid w:val="00F76AFC"/>
    <w:rsid w:val="00F76B7B"/>
    <w:rsid w:val="00FA3E17"/>
    <w:rsid w:val="00FA47C0"/>
    <w:rsid w:val="00FB2271"/>
    <w:rsid w:val="00FB3A0F"/>
    <w:rsid w:val="00FB40B6"/>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84F"/>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styleId="Fuerte">
    <w:name w:val="Strong"/>
    <w:basedOn w:val="Fuentedeprrafopredeter"/>
    <w:uiPriority w:val="22"/>
    <w:qFormat/>
    <w:rsid w:val="004151A8"/>
    <w:rPr>
      <w:b/>
      <w:bCs/>
    </w:rPr>
  </w:style>
  <w:style w:type="character" w:styleId="nfasis">
    <w:name w:val="Emphasis"/>
    <w:basedOn w:val="Fuentedeprrafopredeter"/>
    <w:uiPriority w:val="20"/>
    <w:qFormat/>
    <w:rsid w:val="004151A8"/>
    <w:rPr>
      <w:i/>
      <w:iCs/>
    </w:rPr>
  </w:style>
  <w:style w:type="paragraph" w:styleId="Textodeglobo">
    <w:name w:val="Balloon Text"/>
    <w:basedOn w:val="Normal"/>
    <w:link w:val="TextodegloboCar"/>
    <w:uiPriority w:val="99"/>
    <w:semiHidden/>
    <w:unhideWhenUsed/>
    <w:rsid w:val="006137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37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4887">
      <w:bodyDiv w:val="1"/>
      <w:marLeft w:val="0"/>
      <w:marRight w:val="0"/>
      <w:marTop w:val="0"/>
      <w:marBottom w:val="0"/>
      <w:divBdr>
        <w:top w:val="none" w:sz="0" w:space="0" w:color="auto"/>
        <w:left w:val="none" w:sz="0" w:space="0" w:color="auto"/>
        <w:bottom w:val="none" w:sz="0" w:space="0" w:color="auto"/>
        <w:right w:val="none" w:sz="0" w:space="0" w:color="auto"/>
      </w:divBdr>
      <w:divsChild>
        <w:div w:id="1014302957">
          <w:marLeft w:val="0"/>
          <w:marRight w:val="0"/>
          <w:marTop w:val="0"/>
          <w:marBottom w:val="0"/>
          <w:divBdr>
            <w:top w:val="none" w:sz="0" w:space="0" w:color="auto"/>
            <w:left w:val="none" w:sz="0" w:space="0" w:color="auto"/>
            <w:bottom w:val="none" w:sz="0" w:space="0" w:color="auto"/>
            <w:right w:val="none" w:sz="0" w:space="0" w:color="auto"/>
          </w:divBdr>
        </w:div>
      </w:divsChild>
    </w:div>
    <w:div w:id="88625773">
      <w:bodyDiv w:val="1"/>
      <w:marLeft w:val="0"/>
      <w:marRight w:val="0"/>
      <w:marTop w:val="0"/>
      <w:marBottom w:val="0"/>
      <w:divBdr>
        <w:top w:val="none" w:sz="0" w:space="0" w:color="auto"/>
        <w:left w:val="none" w:sz="0" w:space="0" w:color="auto"/>
        <w:bottom w:val="none" w:sz="0" w:space="0" w:color="auto"/>
        <w:right w:val="none" w:sz="0" w:space="0" w:color="auto"/>
      </w:divBdr>
    </w:div>
    <w:div w:id="264727878">
      <w:bodyDiv w:val="1"/>
      <w:marLeft w:val="0"/>
      <w:marRight w:val="0"/>
      <w:marTop w:val="0"/>
      <w:marBottom w:val="0"/>
      <w:divBdr>
        <w:top w:val="none" w:sz="0" w:space="0" w:color="auto"/>
        <w:left w:val="none" w:sz="0" w:space="0" w:color="auto"/>
        <w:bottom w:val="none" w:sz="0" w:space="0" w:color="auto"/>
        <w:right w:val="none" w:sz="0" w:space="0" w:color="auto"/>
      </w:divBdr>
      <w:divsChild>
        <w:div w:id="1634362215">
          <w:marLeft w:val="0"/>
          <w:marRight w:val="0"/>
          <w:marTop w:val="0"/>
          <w:marBottom w:val="0"/>
          <w:divBdr>
            <w:top w:val="none" w:sz="0" w:space="0" w:color="auto"/>
            <w:left w:val="none" w:sz="0" w:space="0" w:color="auto"/>
            <w:bottom w:val="none" w:sz="0" w:space="0" w:color="auto"/>
            <w:right w:val="none" w:sz="0" w:space="0" w:color="auto"/>
          </w:divBdr>
        </w:div>
      </w:divsChild>
    </w:div>
    <w:div w:id="278729725">
      <w:bodyDiv w:val="1"/>
      <w:marLeft w:val="0"/>
      <w:marRight w:val="0"/>
      <w:marTop w:val="0"/>
      <w:marBottom w:val="0"/>
      <w:divBdr>
        <w:top w:val="none" w:sz="0" w:space="0" w:color="auto"/>
        <w:left w:val="none" w:sz="0" w:space="0" w:color="auto"/>
        <w:bottom w:val="none" w:sz="0" w:space="0" w:color="auto"/>
        <w:right w:val="none" w:sz="0" w:space="0" w:color="auto"/>
      </w:divBdr>
      <w:divsChild>
        <w:div w:id="1992824514">
          <w:marLeft w:val="0"/>
          <w:marRight w:val="0"/>
          <w:marTop w:val="0"/>
          <w:marBottom w:val="0"/>
          <w:divBdr>
            <w:top w:val="none" w:sz="0" w:space="0" w:color="auto"/>
            <w:left w:val="none" w:sz="0" w:space="0" w:color="auto"/>
            <w:bottom w:val="none" w:sz="0" w:space="0" w:color="auto"/>
            <w:right w:val="none" w:sz="0" w:space="0" w:color="auto"/>
          </w:divBdr>
        </w:div>
      </w:divsChild>
    </w:div>
    <w:div w:id="290668246">
      <w:bodyDiv w:val="1"/>
      <w:marLeft w:val="0"/>
      <w:marRight w:val="0"/>
      <w:marTop w:val="0"/>
      <w:marBottom w:val="0"/>
      <w:divBdr>
        <w:top w:val="none" w:sz="0" w:space="0" w:color="auto"/>
        <w:left w:val="none" w:sz="0" w:space="0" w:color="auto"/>
        <w:bottom w:val="none" w:sz="0" w:space="0" w:color="auto"/>
        <w:right w:val="none" w:sz="0" w:space="0" w:color="auto"/>
      </w:divBdr>
      <w:divsChild>
        <w:div w:id="819032843">
          <w:marLeft w:val="0"/>
          <w:marRight w:val="0"/>
          <w:marTop w:val="0"/>
          <w:marBottom w:val="0"/>
          <w:divBdr>
            <w:top w:val="none" w:sz="0" w:space="0" w:color="auto"/>
            <w:left w:val="none" w:sz="0" w:space="0" w:color="auto"/>
            <w:bottom w:val="none" w:sz="0" w:space="0" w:color="auto"/>
            <w:right w:val="none" w:sz="0" w:space="0" w:color="auto"/>
          </w:divBdr>
        </w:div>
      </w:divsChild>
    </w:div>
    <w:div w:id="468741564">
      <w:bodyDiv w:val="1"/>
      <w:marLeft w:val="0"/>
      <w:marRight w:val="0"/>
      <w:marTop w:val="0"/>
      <w:marBottom w:val="0"/>
      <w:divBdr>
        <w:top w:val="none" w:sz="0" w:space="0" w:color="auto"/>
        <w:left w:val="none" w:sz="0" w:space="0" w:color="auto"/>
        <w:bottom w:val="none" w:sz="0" w:space="0" w:color="auto"/>
        <w:right w:val="none" w:sz="0" w:space="0" w:color="auto"/>
      </w:divBdr>
      <w:divsChild>
        <w:div w:id="692998847">
          <w:marLeft w:val="0"/>
          <w:marRight w:val="0"/>
          <w:marTop w:val="0"/>
          <w:marBottom w:val="0"/>
          <w:divBdr>
            <w:top w:val="none" w:sz="0" w:space="0" w:color="auto"/>
            <w:left w:val="none" w:sz="0" w:space="0" w:color="auto"/>
            <w:bottom w:val="none" w:sz="0" w:space="0" w:color="auto"/>
            <w:right w:val="none" w:sz="0" w:space="0" w:color="auto"/>
          </w:divBdr>
        </w:div>
      </w:divsChild>
    </w:div>
    <w:div w:id="494808525">
      <w:bodyDiv w:val="1"/>
      <w:marLeft w:val="0"/>
      <w:marRight w:val="0"/>
      <w:marTop w:val="0"/>
      <w:marBottom w:val="0"/>
      <w:divBdr>
        <w:top w:val="none" w:sz="0" w:space="0" w:color="auto"/>
        <w:left w:val="none" w:sz="0" w:space="0" w:color="auto"/>
        <w:bottom w:val="none" w:sz="0" w:space="0" w:color="auto"/>
        <w:right w:val="none" w:sz="0" w:space="0" w:color="auto"/>
      </w:divBdr>
      <w:divsChild>
        <w:div w:id="1682782366">
          <w:marLeft w:val="0"/>
          <w:marRight w:val="0"/>
          <w:marTop w:val="0"/>
          <w:marBottom w:val="0"/>
          <w:divBdr>
            <w:top w:val="none" w:sz="0" w:space="0" w:color="auto"/>
            <w:left w:val="none" w:sz="0" w:space="0" w:color="auto"/>
            <w:bottom w:val="none" w:sz="0" w:space="0" w:color="auto"/>
            <w:right w:val="none" w:sz="0" w:space="0" w:color="auto"/>
          </w:divBdr>
        </w:div>
      </w:divsChild>
    </w:div>
    <w:div w:id="544291271">
      <w:bodyDiv w:val="1"/>
      <w:marLeft w:val="0"/>
      <w:marRight w:val="0"/>
      <w:marTop w:val="0"/>
      <w:marBottom w:val="0"/>
      <w:divBdr>
        <w:top w:val="none" w:sz="0" w:space="0" w:color="auto"/>
        <w:left w:val="none" w:sz="0" w:space="0" w:color="auto"/>
        <w:bottom w:val="none" w:sz="0" w:space="0" w:color="auto"/>
        <w:right w:val="none" w:sz="0" w:space="0" w:color="auto"/>
      </w:divBdr>
      <w:divsChild>
        <w:div w:id="734931538">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241504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5783829">
      <w:bodyDiv w:val="1"/>
      <w:marLeft w:val="0"/>
      <w:marRight w:val="0"/>
      <w:marTop w:val="0"/>
      <w:marBottom w:val="0"/>
      <w:divBdr>
        <w:top w:val="none" w:sz="0" w:space="0" w:color="auto"/>
        <w:left w:val="none" w:sz="0" w:space="0" w:color="auto"/>
        <w:bottom w:val="none" w:sz="0" w:space="0" w:color="auto"/>
        <w:right w:val="none" w:sz="0" w:space="0" w:color="auto"/>
      </w:divBdr>
      <w:divsChild>
        <w:div w:id="540437323">
          <w:marLeft w:val="0"/>
          <w:marRight w:val="0"/>
          <w:marTop w:val="0"/>
          <w:marBottom w:val="0"/>
          <w:divBdr>
            <w:top w:val="none" w:sz="0" w:space="0" w:color="auto"/>
            <w:left w:val="none" w:sz="0" w:space="0" w:color="auto"/>
            <w:bottom w:val="none" w:sz="0" w:space="0" w:color="auto"/>
            <w:right w:val="none" w:sz="0" w:space="0" w:color="auto"/>
          </w:divBdr>
        </w:div>
      </w:divsChild>
    </w:div>
    <w:div w:id="99523191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4515305">
      <w:bodyDiv w:val="1"/>
      <w:marLeft w:val="0"/>
      <w:marRight w:val="0"/>
      <w:marTop w:val="0"/>
      <w:marBottom w:val="0"/>
      <w:divBdr>
        <w:top w:val="none" w:sz="0" w:space="0" w:color="auto"/>
        <w:left w:val="none" w:sz="0" w:space="0" w:color="auto"/>
        <w:bottom w:val="none" w:sz="0" w:space="0" w:color="auto"/>
        <w:right w:val="none" w:sz="0" w:space="0" w:color="auto"/>
      </w:divBdr>
      <w:divsChild>
        <w:div w:id="737703769">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77057947">
      <w:bodyDiv w:val="1"/>
      <w:marLeft w:val="0"/>
      <w:marRight w:val="0"/>
      <w:marTop w:val="0"/>
      <w:marBottom w:val="0"/>
      <w:divBdr>
        <w:top w:val="none" w:sz="0" w:space="0" w:color="auto"/>
        <w:left w:val="none" w:sz="0" w:space="0" w:color="auto"/>
        <w:bottom w:val="none" w:sz="0" w:space="0" w:color="auto"/>
        <w:right w:val="none" w:sz="0" w:space="0" w:color="auto"/>
      </w:divBdr>
      <w:divsChild>
        <w:div w:id="663704293">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87148157">
      <w:bodyDiv w:val="1"/>
      <w:marLeft w:val="0"/>
      <w:marRight w:val="0"/>
      <w:marTop w:val="0"/>
      <w:marBottom w:val="0"/>
      <w:divBdr>
        <w:top w:val="none" w:sz="0" w:space="0" w:color="auto"/>
        <w:left w:val="none" w:sz="0" w:space="0" w:color="auto"/>
        <w:bottom w:val="none" w:sz="0" w:space="0" w:color="auto"/>
        <w:right w:val="none" w:sz="0" w:space="0" w:color="auto"/>
      </w:divBdr>
      <w:divsChild>
        <w:div w:id="2098598528">
          <w:marLeft w:val="0"/>
          <w:marRight w:val="0"/>
          <w:marTop w:val="0"/>
          <w:marBottom w:val="0"/>
          <w:divBdr>
            <w:top w:val="none" w:sz="0" w:space="0" w:color="auto"/>
            <w:left w:val="none" w:sz="0" w:space="0" w:color="auto"/>
            <w:bottom w:val="none" w:sz="0" w:space="0" w:color="auto"/>
            <w:right w:val="none" w:sz="0" w:space="0" w:color="auto"/>
          </w:divBdr>
        </w:div>
      </w:divsChild>
    </w:div>
    <w:div w:id="1479764076">
      <w:bodyDiv w:val="1"/>
      <w:marLeft w:val="0"/>
      <w:marRight w:val="0"/>
      <w:marTop w:val="0"/>
      <w:marBottom w:val="0"/>
      <w:divBdr>
        <w:top w:val="none" w:sz="0" w:space="0" w:color="auto"/>
        <w:left w:val="none" w:sz="0" w:space="0" w:color="auto"/>
        <w:bottom w:val="none" w:sz="0" w:space="0" w:color="auto"/>
        <w:right w:val="none" w:sz="0" w:space="0" w:color="auto"/>
      </w:divBdr>
      <w:divsChild>
        <w:div w:id="58983323">
          <w:marLeft w:val="0"/>
          <w:marRight w:val="0"/>
          <w:marTop w:val="0"/>
          <w:marBottom w:val="0"/>
          <w:divBdr>
            <w:top w:val="none" w:sz="0" w:space="0" w:color="auto"/>
            <w:left w:val="none" w:sz="0" w:space="0" w:color="auto"/>
            <w:bottom w:val="none" w:sz="0" w:space="0" w:color="auto"/>
            <w:right w:val="none" w:sz="0" w:space="0" w:color="auto"/>
          </w:divBdr>
        </w:div>
      </w:divsChild>
    </w:div>
    <w:div w:id="1489788465">
      <w:bodyDiv w:val="1"/>
      <w:marLeft w:val="0"/>
      <w:marRight w:val="0"/>
      <w:marTop w:val="0"/>
      <w:marBottom w:val="0"/>
      <w:divBdr>
        <w:top w:val="none" w:sz="0" w:space="0" w:color="auto"/>
        <w:left w:val="none" w:sz="0" w:space="0" w:color="auto"/>
        <w:bottom w:val="none" w:sz="0" w:space="0" w:color="auto"/>
        <w:right w:val="none" w:sz="0" w:space="0" w:color="auto"/>
      </w:divBdr>
      <w:divsChild>
        <w:div w:id="913703278">
          <w:marLeft w:val="0"/>
          <w:marRight w:val="0"/>
          <w:marTop w:val="0"/>
          <w:marBottom w:val="0"/>
          <w:divBdr>
            <w:top w:val="none" w:sz="0" w:space="0" w:color="auto"/>
            <w:left w:val="none" w:sz="0" w:space="0" w:color="auto"/>
            <w:bottom w:val="none" w:sz="0" w:space="0" w:color="auto"/>
            <w:right w:val="none" w:sz="0" w:space="0" w:color="auto"/>
          </w:divBdr>
        </w:div>
      </w:divsChild>
    </w:div>
    <w:div w:id="1558398087">
      <w:bodyDiv w:val="1"/>
      <w:marLeft w:val="0"/>
      <w:marRight w:val="0"/>
      <w:marTop w:val="0"/>
      <w:marBottom w:val="0"/>
      <w:divBdr>
        <w:top w:val="none" w:sz="0" w:space="0" w:color="auto"/>
        <w:left w:val="none" w:sz="0" w:space="0" w:color="auto"/>
        <w:bottom w:val="none" w:sz="0" w:space="0" w:color="auto"/>
        <w:right w:val="none" w:sz="0" w:space="0" w:color="auto"/>
      </w:divBdr>
      <w:divsChild>
        <w:div w:id="1643585234">
          <w:marLeft w:val="0"/>
          <w:marRight w:val="0"/>
          <w:marTop w:val="0"/>
          <w:marBottom w:val="0"/>
          <w:divBdr>
            <w:top w:val="none" w:sz="0" w:space="0" w:color="auto"/>
            <w:left w:val="none" w:sz="0" w:space="0" w:color="auto"/>
            <w:bottom w:val="none" w:sz="0" w:space="0" w:color="auto"/>
            <w:right w:val="none" w:sz="0" w:space="0" w:color="auto"/>
          </w:divBdr>
        </w:div>
      </w:divsChild>
    </w:div>
    <w:div w:id="1754886305">
      <w:bodyDiv w:val="1"/>
      <w:marLeft w:val="0"/>
      <w:marRight w:val="0"/>
      <w:marTop w:val="0"/>
      <w:marBottom w:val="0"/>
      <w:divBdr>
        <w:top w:val="none" w:sz="0" w:space="0" w:color="auto"/>
        <w:left w:val="none" w:sz="0" w:space="0" w:color="auto"/>
        <w:bottom w:val="none" w:sz="0" w:space="0" w:color="auto"/>
        <w:right w:val="none" w:sz="0" w:space="0" w:color="auto"/>
      </w:divBdr>
      <w:divsChild>
        <w:div w:id="525680914">
          <w:marLeft w:val="0"/>
          <w:marRight w:val="0"/>
          <w:marTop w:val="0"/>
          <w:marBottom w:val="0"/>
          <w:divBdr>
            <w:top w:val="none" w:sz="0" w:space="0" w:color="auto"/>
            <w:left w:val="none" w:sz="0" w:space="0" w:color="auto"/>
            <w:bottom w:val="none" w:sz="0" w:space="0" w:color="auto"/>
            <w:right w:val="none" w:sz="0" w:space="0" w:color="auto"/>
          </w:divBdr>
        </w:div>
      </w:divsChild>
    </w:div>
    <w:div w:id="1860656450">
      <w:bodyDiv w:val="1"/>
      <w:marLeft w:val="0"/>
      <w:marRight w:val="0"/>
      <w:marTop w:val="0"/>
      <w:marBottom w:val="0"/>
      <w:divBdr>
        <w:top w:val="none" w:sz="0" w:space="0" w:color="auto"/>
        <w:left w:val="none" w:sz="0" w:space="0" w:color="auto"/>
        <w:bottom w:val="none" w:sz="0" w:space="0" w:color="auto"/>
        <w:right w:val="none" w:sz="0" w:space="0" w:color="auto"/>
      </w:divBdr>
    </w:div>
    <w:div w:id="1865633806">
      <w:bodyDiv w:val="1"/>
      <w:marLeft w:val="0"/>
      <w:marRight w:val="0"/>
      <w:marTop w:val="0"/>
      <w:marBottom w:val="0"/>
      <w:divBdr>
        <w:top w:val="none" w:sz="0" w:space="0" w:color="auto"/>
        <w:left w:val="none" w:sz="0" w:space="0" w:color="auto"/>
        <w:bottom w:val="none" w:sz="0" w:space="0" w:color="auto"/>
        <w:right w:val="none" w:sz="0" w:space="0" w:color="auto"/>
      </w:divBdr>
    </w:div>
    <w:div w:id="1874607864">
      <w:bodyDiv w:val="1"/>
      <w:marLeft w:val="0"/>
      <w:marRight w:val="0"/>
      <w:marTop w:val="0"/>
      <w:marBottom w:val="0"/>
      <w:divBdr>
        <w:top w:val="none" w:sz="0" w:space="0" w:color="auto"/>
        <w:left w:val="none" w:sz="0" w:space="0" w:color="auto"/>
        <w:bottom w:val="none" w:sz="0" w:space="0" w:color="auto"/>
        <w:right w:val="none" w:sz="0" w:space="0" w:color="auto"/>
      </w:divBdr>
      <w:divsChild>
        <w:div w:id="1158226532">
          <w:marLeft w:val="0"/>
          <w:marRight w:val="0"/>
          <w:marTop w:val="0"/>
          <w:marBottom w:val="0"/>
          <w:divBdr>
            <w:top w:val="none" w:sz="0" w:space="0" w:color="auto"/>
            <w:left w:val="none" w:sz="0" w:space="0" w:color="auto"/>
            <w:bottom w:val="none" w:sz="0" w:space="0" w:color="auto"/>
            <w:right w:val="none" w:sz="0" w:space="0" w:color="auto"/>
          </w:divBdr>
        </w:div>
      </w:divsChild>
    </w:div>
    <w:div w:id="2022974133">
      <w:bodyDiv w:val="1"/>
      <w:marLeft w:val="0"/>
      <w:marRight w:val="0"/>
      <w:marTop w:val="0"/>
      <w:marBottom w:val="0"/>
      <w:divBdr>
        <w:top w:val="none" w:sz="0" w:space="0" w:color="auto"/>
        <w:left w:val="none" w:sz="0" w:space="0" w:color="auto"/>
        <w:bottom w:val="none" w:sz="0" w:space="0" w:color="auto"/>
        <w:right w:val="none" w:sz="0" w:space="0" w:color="auto"/>
      </w:divBdr>
      <w:divsChild>
        <w:div w:id="1847477349">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formacionvirtual.colombiacompra.gov.co/mod/page/view.php?id=3718"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ventanilladeradicacion@colombiacompra.gov.co" TargetMode="External"/><Relationship Id="rId7" Type="http://schemas.openxmlformats.org/officeDocument/2006/relationships/settings" Target="settings.xml"/><Relationship Id="rId12" Type="http://schemas.openxmlformats.org/officeDocument/2006/relationships/hyperlink" Target="mailto:apoyo.gestionpredial@empocaldas.com.co" TargetMode="External"/><Relationship Id="rId17" Type="http://schemas.openxmlformats.org/officeDocument/2006/relationships/hyperlink" Target="https://relatoria.colombiacompra.gov.co/busqueda/concep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funcionpublica.gov.co/eva/gestornormativo/norma.php?i=18232" TargetMode="External"/><Relationship Id="rId20"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funcionpublica.gov.co/eva/gestornormativo/norma.php?i=18232" TargetMode="External"/><Relationship Id="rId23" Type="http://schemas.openxmlformats.org/officeDocument/2006/relationships/hyperlink" Target="https://forms.office.com/r/pPHyWVs2S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normativa-y-relatoria/documentos-tip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 Id="rId22" Type="http://schemas.openxmlformats.org/officeDocument/2006/relationships/hyperlink" Target="https://www.colombiacompra.gov.co/pqrsd/informacion-importante-antes-de-formular-una-pqrsd"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ficha/4201912000005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D0918-BC03-4E9E-A07D-F21AA0EC07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2E184F-B74F-4310-96B6-370D84F771B1}">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55</TotalTime>
  <Pages>40</Pages>
  <Words>14145</Words>
  <Characters>77798</Characters>
  <Application>Microsoft Office Word</Application>
  <DocSecurity>0</DocSecurity>
  <Lines>648</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2026-04-24T21:32:00Z</dcterms:created>
  <dcterms:modified xsi:type="dcterms:W3CDTF">2026-04-28T18:55:00Z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