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C4F1B" w14:textId="3B97B2C9" w:rsidR="00C851C7" w:rsidRPr="00C44CD0" w:rsidRDefault="00C851C7" w:rsidP="00C851C7">
      <w:pPr>
        <w:snapToGrid w:val="0"/>
        <w:contextualSpacing/>
        <w:jc w:val="both"/>
        <w:rPr>
          <w:rFonts w:ascii="Verdana" w:hAnsi="Verdana" w:cs="Arial"/>
          <w:b/>
          <w:bCs/>
          <w:color w:val="000000" w:themeColor="text1"/>
          <w:lang w:val="es-ES" w:eastAsia="es-ES"/>
        </w:rPr>
      </w:pPr>
      <w:bookmarkStart w:id="0" w:name="_Hlk143780582"/>
      <w:r w:rsidRPr="00C44CD0">
        <w:rPr>
          <w:rFonts w:ascii="Verdana" w:hAnsi="Verdana" w:cs="Arial"/>
          <w:b/>
          <w:bCs/>
          <w:color w:val="000000" w:themeColor="text1"/>
          <w:lang w:val="es-ES" w:eastAsia="es-ES"/>
        </w:rPr>
        <w:t>LEY DE GARANTÍAS ELECTORALES – Finalidad</w:t>
      </w:r>
    </w:p>
    <w:p w14:paraId="13B3A3BD" w14:textId="77777777" w:rsidR="00C851C7" w:rsidRPr="00C44CD0" w:rsidRDefault="00C851C7" w:rsidP="00C851C7">
      <w:pPr>
        <w:snapToGrid w:val="0"/>
        <w:contextualSpacing/>
        <w:jc w:val="both"/>
        <w:rPr>
          <w:rFonts w:ascii="Verdana" w:hAnsi="Verdana" w:cs="Arial"/>
          <w:b/>
          <w:bCs/>
          <w:color w:val="000000" w:themeColor="text1"/>
          <w:lang w:val="es-ES" w:eastAsia="es-ES"/>
        </w:rPr>
      </w:pPr>
    </w:p>
    <w:p w14:paraId="6D9D56D5" w14:textId="77777777" w:rsidR="00C851C7" w:rsidRPr="00C44CD0" w:rsidRDefault="00C851C7" w:rsidP="00C851C7">
      <w:pPr>
        <w:tabs>
          <w:tab w:val="left" w:pos="426"/>
        </w:tabs>
        <w:snapToGrid w:val="0"/>
        <w:spacing w:after="0" w:line="240" w:lineRule="auto"/>
        <w:contextualSpacing/>
        <w:jc w:val="both"/>
        <w:rPr>
          <w:rFonts w:ascii="Verdana" w:hAnsi="Verdana" w:cs="Arial"/>
          <w:color w:val="000000" w:themeColor="text1"/>
          <w:sz w:val="20"/>
          <w:szCs w:val="20"/>
          <w:lang w:val="es-ES"/>
        </w:rPr>
      </w:pPr>
      <w:r w:rsidRPr="00C44CD0">
        <w:rPr>
          <w:rFonts w:ascii="Verdana" w:eastAsia="Times New Roman" w:hAnsi="Verdana" w:cs="Arial"/>
          <w:color w:val="000000" w:themeColor="text1"/>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C44CD0">
        <w:rPr>
          <w:rFonts w:ascii="Verdana" w:hAnsi="Verdana" w:cs="Arial"/>
          <w:color w:val="000000" w:themeColor="text1"/>
          <w:sz w:val="20"/>
          <w:szCs w:val="20"/>
          <w:lang w:val="es-ES"/>
        </w:rPr>
        <w:t xml:space="preserve"> </w:t>
      </w:r>
    </w:p>
    <w:p w14:paraId="48192D07" w14:textId="77777777" w:rsidR="00C851C7" w:rsidRPr="00C44CD0" w:rsidRDefault="00C851C7" w:rsidP="00C851C7">
      <w:pPr>
        <w:snapToGrid w:val="0"/>
        <w:contextualSpacing/>
        <w:jc w:val="both"/>
        <w:rPr>
          <w:rFonts w:ascii="Verdana" w:hAnsi="Verdana" w:cs="Arial"/>
          <w:b/>
          <w:bCs/>
          <w:color w:val="000000" w:themeColor="text1"/>
          <w:lang w:val="es-ES" w:eastAsia="es-ES"/>
        </w:rPr>
      </w:pPr>
    </w:p>
    <w:p w14:paraId="08E144EE" w14:textId="57B41D76" w:rsidR="00C851C7" w:rsidRPr="00C44CD0" w:rsidRDefault="00C851C7" w:rsidP="00C851C7">
      <w:pPr>
        <w:snapToGrid w:val="0"/>
        <w:contextualSpacing/>
        <w:jc w:val="both"/>
        <w:rPr>
          <w:rFonts w:ascii="Verdana" w:hAnsi="Verdana" w:cs="Arial"/>
          <w:b/>
          <w:bCs/>
          <w:color w:val="000000" w:themeColor="text1"/>
          <w:sz w:val="20"/>
          <w:szCs w:val="20"/>
          <w:lang w:val="es-ES" w:eastAsia="es-ES"/>
        </w:rPr>
      </w:pPr>
      <w:r w:rsidRPr="00C44CD0">
        <w:rPr>
          <w:rFonts w:ascii="Verdana" w:hAnsi="Verdana" w:cs="Arial"/>
          <w:b/>
          <w:bCs/>
          <w:color w:val="000000" w:themeColor="text1"/>
          <w:lang w:val="es-ES" w:eastAsia="es-ES"/>
        </w:rPr>
        <w:t>LEY DE GARANTÍAS ELECTORALES ‒ Restricciones ‒ Contratación ‒ Tipos de elección</w:t>
      </w:r>
      <w:r w:rsidR="002D1555" w:rsidRPr="00C44CD0">
        <w:rPr>
          <w:rFonts w:ascii="Verdana" w:hAnsi="Verdana" w:cs="Arial"/>
          <w:b/>
          <w:bCs/>
          <w:color w:val="000000" w:themeColor="text1"/>
          <w:lang w:val="es-ES" w:eastAsia="es-ES"/>
        </w:rPr>
        <w:t xml:space="preserve"> ‒ Celebración </w:t>
      </w:r>
    </w:p>
    <w:p w14:paraId="451E1AB4" w14:textId="77777777" w:rsidR="00C851C7" w:rsidRPr="00C44CD0" w:rsidRDefault="00C851C7" w:rsidP="00C851C7">
      <w:pPr>
        <w:snapToGrid w:val="0"/>
        <w:spacing w:after="0" w:line="240" w:lineRule="auto"/>
        <w:contextualSpacing/>
        <w:jc w:val="both"/>
        <w:rPr>
          <w:rFonts w:ascii="Verdana" w:hAnsi="Verdana" w:cs="Arial"/>
          <w:color w:val="000000" w:themeColor="text1"/>
          <w:sz w:val="20"/>
          <w:szCs w:val="20"/>
          <w:lang w:val="es-ES" w:eastAsia="es-ES"/>
        </w:rPr>
      </w:pPr>
    </w:p>
    <w:p w14:paraId="2EF346BB" w14:textId="77777777" w:rsidR="00C851C7" w:rsidRPr="00C44CD0" w:rsidRDefault="00C851C7" w:rsidP="00C851C7">
      <w:pPr>
        <w:snapToGrid w:val="0"/>
        <w:spacing w:after="0" w:line="240" w:lineRule="auto"/>
        <w:contextualSpacing/>
        <w:jc w:val="both"/>
        <w:rPr>
          <w:rFonts w:ascii="Verdana" w:hAnsi="Verdana" w:cs="Arial"/>
          <w:color w:val="000000" w:themeColor="text1"/>
          <w:sz w:val="20"/>
          <w:szCs w:val="20"/>
          <w:lang w:val="es-ES"/>
        </w:rPr>
      </w:pPr>
      <w:r w:rsidRPr="00C44CD0">
        <w:rPr>
          <w:rFonts w:ascii="Verdana" w:hAnsi="Verdana" w:cs="Arial"/>
          <w:color w:val="000000" w:themeColor="text1"/>
          <w:sz w:val="20"/>
          <w:szCs w:val="20"/>
          <w:lang w:val="es-ES"/>
        </w:rPr>
        <w:t xml:space="preserve">Por un lado, el </w:t>
      </w:r>
      <w:r w:rsidRPr="00C44CD0">
        <w:rPr>
          <w:rFonts w:ascii="Verdana" w:hAnsi="Verdana" w:cs="Arial"/>
          <w:i/>
          <w:iCs/>
          <w:color w:val="000000" w:themeColor="text1"/>
          <w:sz w:val="20"/>
          <w:szCs w:val="20"/>
          <w:lang w:val="es-ES"/>
        </w:rPr>
        <w:t xml:space="preserve">artículo 33 </w:t>
      </w:r>
      <w:r w:rsidRPr="00C44CD0">
        <w:rPr>
          <w:rFonts w:ascii="Verdana" w:hAnsi="Verdana" w:cs="Arial"/>
          <w:color w:val="000000" w:themeColor="text1"/>
          <w:sz w:val="20"/>
          <w:szCs w:val="20"/>
          <w:lang w:val="es-ES"/>
        </w:rPr>
        <w:t xml:space="preserve">de la Ley 996 de 2005 prohíbe “[…] la contratación directa por parte de </w:t>
      </w:r>
      <w:r w:rsidRPr="00C44CD0">
        <w:rPr>
          <w:rFonts w:ascii="Verdana" w:hAnsi="Verdana" w:cs="Arial"/>
          <w:i/>
          <w:iCs/>
          <w:color w:val="000000" w:themeColor="text1"/>
          <w:sz w:val="20"/>
          <w:szCs w:val="20"/>
          <w:lang w:val="es-ES"/>
        </w:rPr>
        <w:t>todos los entes del Estado</w:t>
      </w:r>
      <w:r w:rsidRPr="00C44CD0">
        <w:rPr>
          <w:rFonts w:ascii="Verdana" w:hAnsi="Verdana" w:cs="Arial"/>
          <w:color w:val="000000" w:themeColor="text1"/>
          <w:sz w:val="20"/>
          <w:szCs w:val="20"/>
          <w:lang w:val="es-ES"/>
        </w:rPr>
        <w:t xml:space="preserve">” durante los cuatro (4) meses anteriores a las </w:t>
      </w:r>
      <w:r w:rsidRPr="00C44CD0">
        <w:rPr>
          <w:rFonts w:ascii="Verdana" w:hAnsi="Verdana" w:cs="Arial"/>
          <w:i/>
          <w:iCs/>
          <w:color w:val="000000" w:themeColor="text1"/>
          <w:sz w:val="20"/>
          <w:szCs w:val="20"/>
          <w:lang w:val="es-ES"/>
        </w:rPr>
        <w:t>elecciones presidenciales</w:t>
      </w:r>
      <w:r w:rsidRPr="00C44CD0">
        <w:rPr>
          <w:rFonts w:ascii="Verdana" w:hAnsi="Verdana" w:cs="Arial"/>
          <w:color w:val="000000" w:themeColor="text1"/>
          <w:sz w:val="20"/>
          <w:szCs w:val="20"/>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5ED3785" w14:textId="77777777" w:rsidR="00C851C7" w:rsidRPr="00C44CD0" w:rsidRDefault="00C851C7" w:rsidP="00C851C7">
      <w:pPr>
        <w:snapToGrid w:val="0"/>
        <w:spacing w:after="0" w:line="240" w:lineRule="auto"/>
        <w:contextualSpacing/>
        <w:jc w:val="both"/>
        <w:rPr>
          <w:rFonts w:ascii="Verdana" w:hAnsi="Verdana" w:cs="Arial"/>
          <w:color w:val="000000" w:themeColor="text1"/>
          <w:sz w:val="20"/>
          <w:szCs w:val="20"/>
          <w:lang w:val="es-ES"/>
        </w:rPr>
      </w:pPr>
    </w:p>
    <w:p w14:paraId="3877BD03" w14:textId="77777777" w:rsidR="00C851C7" w:rsidRPr="00C44CD0" w:rsidRDefault="00C851C7" w:rsidP="00C851C7">
      <w:pPr>
        <w:widowControl w:val="0"/>
        <w:autoSpaceDE w:val="0"/>
        <w:autoSpaceDN w:val="0"/>
        <w:snapToGrid w:val="0"/>
        <w:spacing w:after="0" w:line="240" w:lineRule="auto"/>
        <w:ind w:right="113"/>
        <w:contextualSpacing/>
        <w:jc w:val="both"/>
        <w:rPr>
          <w:rFonts w:ascii="Verdana" w:eastAsia="Arial" w:hAnsi="Verdana" w:cs="Arial"/>
          <w:color w:val="000000" w:themeColor="text1"/>
          <w:sz w:val="20"/>
          <w:szCs w:val="20"/>
          <w:lang w:val="es-ES" w:eastAsia="es-ES" w:bidi="es-ES"/>
        </w:rPr>
      </w:pPr>
      <w:r w:rsidRPr="00C44CD0">
        <w:rPr>
          <w:rFonts w:ascii="Verdana" w:hAnsi="Verdana" w:cs="Arial"/>
          <w:color w:val="000000" w:themeColor="text1"/>
          <w:sz w:val="20"/>
          <w:szCs w:val="20"/>
          <w:lang w:val="es-ES"/>
        </w:rPr>
        <w:t xml:space="preserve">Por otro lado, </w:t>
      </w:r>
      <w:r w:rsidRPr="00C44CD0">
        <w:rPr>
          <w:rFonts w:ascii="Verdana" w:hAnsi="Verdana" w:cs="Arial"/>
          <w:i/>
          <w:iCs/>
          <w:color w:val="000000" w:themeColor="text1"/>
          <w:sz w:val="20"/>
          <w:szCs w:val="20"/>
          <w:lang w:val="es-ES"/>
        </w:rPr>
        <w:t xml:space="preserve">el parágrafo del artículo 38 </w:t>
      </w:r>
      <w:r w:rsidRPr="00C44CD0">
        <w:rPr>
          <w:rFonts w:ascii="Verdana" w:hAnsi="Verdana" w:cs="Arial"/>
          <w:color w:val="000000" w:themeColor="text1"/>
          <w:sz w:val="20"/>
          <w:szCs w:val="20"/>
          <w:lang w:val="es-ES"/>
        </w:rPr>
        <w:t xml:space="preserve">de la Ley 996 de 2005 prevé una restricción, aplicable respecto de </w:t>
      </w:r>
      <w:r w:rsidRPr="00C44CD0">
        <w:rPr>
          <w:rFonts w:ascii="Verdana" w:hAnsi="Verdana" w:cs="Arial"/>
          <w:i/>
          <w:iCs/>
          <w:color w:val="000000" w:themeColor="text1"/>
          <w:sz w:val="20"/>
          <w:szCs w:val="20"/>
          <w:lang w:val="es-ES"/>
        </w:rPr>
        <w:t>cualquier tipo de contienda electoral</w:t>
      </w:r>
      <w:r w:rsidRPr="00C44CD0">
        <w:rPr>
          <w:rFonts w:ascii="Verdana" w:hAnsi="Verdana" w:cs="Arial"/>
          <w:color w:val="000000" w:themeColor="text1"/>
          <w:sz w:val="20"/>
          <w:szCs w:val="20"/>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44CD0">
        <w:rPr>
          <w:rFonts w:ascii="Verdana" w:eastAsia="Arial" w:hAnsi="Verdana" w:cs="Arial"/>
          <w:color w:val="000000" w:themeColor="text1"/>
          <w:sz w:val="20"/>
          <w:szCs w:val="20"/>
          <w:lang w:val="es-ES" w:eastAsia="es-ES" w:bidi="es-ES"/>
        </w:rPr>
        <w:t xml:space="preserve"> </w:t>
      </w:r>
    </w:p>
    <w:p w14:paraId="47D6B28B" w14:textId="77777777" w:rsidR="00765900" w:rsidRPr="00C44CD0" w:rsidRDefault="00765900" w:rsidP="00765900">
      <w:pPr>
        <w:spacing w:after="0"/>
        <w:jc w:val="both"/>
        <w:rPr>
          <w:rFonts w:ascii="Verdana" w:hAnsi="Verdana" w:cs="Arial"/>
          <w:b/>
          <w:color w:val="000000" w:themeColor="text1"/>
          <w:lang w:val="es-MX" w:eastAsia="es-ES_tradnl"/>
        </w:rPr>
      </w:pPr>
    </w:p>
    <w:p w14:paraId="0DF9F04B" w14:textId="5DAA4467" w:rsidR="002D1555" w:rsidRPr="00C44CD0" w:rsidRDefault="009B5A20" w:rsidP="009B5A20">
      <w:pPr>
        <w:spacing w:after="0"/>
        <w:jc w:val="both"/>
        <w:rPr>
          <w:rFonts w:ascii="Verdana" w:hAnsi="Verdana" w:cs="Arial"/>
          <w:b/>
          <w:color w:val="000000" w:themeColor="text1"/>
          <w:lang w:val="es-MX" w:eastAsia="es-ES_tradnl"/>
        </w:rPr>
      </w:pPr>
      <w:r w:rsidRPr="00C44CD0">
        <w:rPr>
          <w:rFonts w:ascii="Verdana" w:hAnsi="Verdana" w:cs="Arial"/>
          <w:color w:val="000000" w:themeColor="text1"/>
          <w:sz w:val="20"/>
          <w:szCs w:val="20"/>
          <w:lang w:val="es-ES"/>
        </w:rPr>
        <w:t>[…]</w:t>
      </w:r>
    </w:p>
    <w:p w14:paraId="43705CBF" w14:textId="264DB3DD" w:rsidR="002D1555" w:rsidRPr="00C44CD0" w:rsidRDefault="002D1555" w:rsidP="002D1555">
      <w:pPr>
        <w:spacing w:after="0" w:line="240" w:lineRule="auto"/>
        <w:jc w:val="both"/>
        <w:rPr>
          <w:rFonts w:ascii="Verdana" w:hAnsi="Verdana" w:cs="Arial"/>
          <w:color w:val="000000" w:themeColor="text1"/>
          <w:sz w:val="20"/>
          <w:szCs w:val="20"/>
          <w:lang w:val="es-ES"/>
        </w:rPr>
      </w:pPr>
      <w:r w:rsidRPr="00C44CD0">
        <w:rPr>
          <w:rFonts w:ascii="Verdana" w:hAnsi="Verdana" w:cs="Arial"/>
          <w:color w:val="000000" w:themeColor="text1"/>
          <w:sz w:val="20"/>
          <w:szCs w:val="20"/>
          <w:lang w:val="es-ES"/>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la existencia de los contratos estatales, es decir, la producción de efectos jurídicos en los términos del artículo 1501 ibidem,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3D4892A3" w14:textId="77777777" w:rsidR="002D1555" w:rsidRPr="00C44CD0" w:rsidRDefault="002D1555" w:rsidP="00765900">
      <w:pPr>
        <w:spacing w:after="0"/>
        <w:jc w:val="both"/>
        <w:rPr>
          <w:rFonts w:ascii="Verdana" w:hAnsi="Verdana" w:cs="Arial"/>
          <w:b/>
          <w:bCs/>
          <w:color w:val="000000" w:themeColor="text1"/>
          <w:lang w:val="es-MX" w:eastAsia="es-ES_tradnl"/>
        </w:rPr>
      </w:pPr>
    </w:p>
    <w:p w14:paraId="7FC03EBE" w14:textId="77777777" w:rsidR="009B5A20" w:rsidRPr="00C44CD0" w:rsidRDefault="009B5A20" w:rsidP="009B5A20">
      <w:pPr>
        <w:spacing w:line="276" w:lineRule="auto"/>
        <w:jc w:val="both"/>
        <w:rPr>
          <w:rFonts w:ascii="Verdana" w:hAnsi="Verdana" w:cs="Arial"/>
          <w:b/>
          <w:bCs/>
          <w:color w:val="000000" w:themeColor="text1"/>
          <w:lang w:val="es-MX" w:eastAsia="es-ES_tradnl"/>
        </w:rPr>
      </w:pPr>
      <w:r w:rsidRPr="00C44CD0">
        <w:rPr>
          <w:rFonts w:ascii="Verdana" w:eastAsia="Calibri" w:hAnsi="Verdana" w:cs="Arial"/>
          <w:b/>
          <w:bCs/>
          <w:color w:val="000000" w:themeColor="text1"/>
          <w:lang w:val="es-ES" w:eastAsia="es-ES"/>
        </w:rPr>
        <w:t xml:space="preserve">LEY DE GARANTÍAS ELECTORALES ‒ Artículo 33 ‒ Ámbito material ‒ Destinatarios </w:t>
      </w:r>
    </w:p>
    <w:p w14:paraId="72D41059" w14:textId="63FBC7D7" w:rsidR="009B5A20" w:rsidRPr="00C44CD0" w:rsidRDefault="009B5A20" w:rsidP="009B5A20">
      <w:pPr>
        <w:spacing w:after="0" w:line="240" w:lineRule="auto"/>
        <w:jc w:val="both"/>
        <w:rPr>
          <w:rFonts w:ascii="Verdana" w:eastAsia="Calibri" w:hAnsi="Verdana" w:cs="Arial"/>
          <w:color w:val="000000" w:themeColor="text1"/>
          <w:sz w:val="20"/>
          <w:szCs w:val="20"/>
          <w:lang w:eastAsia="x-none"/>
        </w:rPr>
      </w:pPr>
      <w:r w:rsidRPr="00C44CD0">
        <w:rPr>
          <w:rFonts w:ascii="Verdana" w:eastAsia="Times New Roman" w:hAnsi="Verdana" w:cs="Arial"/>
          <w:color w:val="000000" w:themeColor="text1"/>
          <w:sz w:val="20"/>
          <w:szCs w:val="20"/>
          <w:lang w:eastAsia="x-none"/>
        </w:rPr>
        <w:t>La prohibición del artículo 33 de la Ley de Garantías Electorales se refiere a “cualquier sistema que no implique convocatoria pública y posibilidad de pluralidad de oferentes</w:t>
      </w:r>
      <w:r w:rsidRPr="00C44CD0">
        <w:rPr>
          <w:rFonts w:ascii="Verdana" w:eastAsia="Times New Roman" w:hAnsi="Verdana" w:cs="Arial"/>
          <w:color w:val="000000" w:themeColor="text1"/>
          <w:sz w:val="20"/>
          <w:szCs w:val="20"/>
          <w:lang w:eastAsia="en-GB"/>
        </w:rPr>
        <w:t>”</w:t>
      </w:r>
      <w:r w:rsidRPr="00C44CD0">
        <w:rPr>
          <w:rFonts w:ascii="Verdana" w:eastAsia="Times New Roman" w:hAnsi="Verdana" w:cs="Arial"/>
          <w:color w:val="000000" w:themeColor="text1"/>
          <w:sz w:val="20"/>
          <w:szCs w:val="20"/>
          <w:lang w:eastAsia="x-none"/>
        </w:rPr>
        <w:t xml:space="preserve">, por lo que excluye las demás modalidades de contratación previstas en la Ley 1150 de 2007, esto es, la licitación pública, la selección abreviada, el concurso de méritos </w:t>
      </w:r>
      <w:r w:rsidRPr="00C44CD0">
        <w:rPr>
          <w:rFonts w:ascii="Verdana" w:eastAsia="Times New Roman" w:hAnsi="Verdana" w:cs="Arial"/>
          <w:color w:val="000000" w:themeColor="text1"/>
          <w:sz w:val="20"/>
          <w:szCs w:val="20"/>
          <w:lang w:val="es-ES_tradnl" w:eastAsia="x-none"/>
        </w:rPr>
        <w:t xml:space="preserve">y la mínima cuantía </w:t>
      </w:r>
      <w:r w:rsidRPr="00C44CD0">
        <w:rPr>
          <w:rFonts w:ascii="Verdana" w:eastAsia="Times New Roman" w:hAnsi="Verdana" w:cs="Arial"/>
          <w:color w:val="000000" w:themeColor="text1"/>
          <w:sz w:val="20"/>
          <w:szCs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C44CD0">
        <w:rPr>
          <w:rFonts w:ascii="Verdana" w:eastAsia="Calibri" w:hAnsi="Verdana" w:cs="Arial"/>
          <w:color w:val="000000" w:themeColor="text1"/>
          <w:sz w:val="20"/>
          <w:szCs w:val="20"/>
          <w:lang w:eastAsia="x-none"/>
        </w:rPr>
        <w:t>además lo es con la posterior creación de la modalidad de mínima cuantía establecida actualmente en el numeral 5 del artículo 2 de la Ley 1150 de 2007, de acuerdo con las modificaciones realizadas por leyes posteriores.</w:t>
      </w:r>
    </w:p>
    <w:p w14:paraId="15D18F6F" w14:textId="4A258D69" w:rsidR="009B5A20" w:rsidRPr="00C44CD0" w:rsidRDefault="009B5A20" w:rsidP="009B5A20">
      <w:pPr>
        <w:spacing w:after="0" w:line="240" w:lineRule="auto"/>
        <w:jc w:val="both"/>
        <w:rPr>
          <w:rFonts w:ascii="Verdana" w:eastAsia="Times New Roman" w:hAnsi="Verdana" w:cs="Arial"/>
          <w:bCs/>
          <w:color w:val="000000" w:themeColor="text1"/>
          <w:sz w:val="20"/>
          <w:szCs w:val="20"/>
          <w:lang w:eastAsia="x-none"/>
        </w:rPr>
      </w:pPr>
      <w:r w:rsidRPr="00C44CD0">
        <w:rPr>
          <w:rFonts w:ascii="Verdana" w:eastAsia="Arial" w:hAnsi="Verdana" w:cs="Arial"/>
          <w:color w:val="000000" w:themeColor="text1"/>
          <w:sz w:val="20"/>
          <w:szCs w:val="20"/>
          <w:lang w:val="es-MX" w:eastAsia="es-ES" w:bidi="es-ES"/>
        </w:rPr>
        <w:t>[…]</w:t>
      </w:r>
    </w:p>
    <w:p w14:paraId="58E24D37" w14:textId="77777777" w:rsidR="009B5A20" w:rsidRPr="00C44CD0" w:rsidRDefault="009B5A20" w:rsidP="009B5A20">
      <w:pPr>
        <w:spacing w:after="0" w:line="240" w:lineRule="auto"/>
        <w:jc w:val="both"/>
        <w:rPr>
          <w:rFonts w:ascii="Verdana" w:eastAsia="Times New Roman" w:hAnsi="Verdana" w:cs="Arial"/>
          <w:bCs/>
          <w:color w:val="000000" w:themeColor="text1"/>
          <w:sz w:val="20"/>
          <w:szCs w:val="20"/>
          <w:lang w:eastAsia="x-none"/>
        </w:rPr>
      </w:pPr>
    </w:p>
    <w:p w14:paraId="1E4C0BD3" w14:textId="2524F4D7" w:rsidR="009B5A20" w:rsidRPr="00C44CD0" w:rsidRDefault="009B5A20" w:rsidP="009B5A20">
      <w:pPr>
        <w:jc w:val="both"/>
        <w:rPr>
          <w:rFonts w:ascii="Verdana" w:eastAsia="Times New Roman" w:hAnsi="Verdana" w:cs="Arial"/>
          <w:bCs/>
          <w:color w:val="000000" w:themeColor="text1"/>
          <w:sz w:val="20"/>
          <w:szCs w:val="20"/>
          <w:lang w:val="es-MX" w:eastAsia="x-none"/>
        </w:rPr>
      </w:pPr>
      <w:r w:rsidRPr="00C44CD0">
        <w:rPr>
          <w:rFonts w:ascii="Verdana" w:eastAsia="Times New Roman" w:hAnsi="Verdana" w:cs="Arial"/>
          <w:bCs/>
          <w:color w:val="000000" w:themeColor="text1"/>
          <w:sz w:val="20"/>
          <w:szCs w:val="20"/>
          <w:lang w:val="es-MX" w:eastAsia="x-none"/>
        </w:rPr>
        <w:t>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p>
    <w:p w14:paraId="5AD12929" w14:textId="77777777" w:rsidR="009B5A20" w:rsidRPr="00C44CD0" w:rsidRDefault="009B5A20" w:rsidP="009B5A20">
      <w:pPr>
        <w:spacing w:after="0" w:line="240" w:lineRule="auto"/>
        <w:jc w:val="both"/>
        <w:rPr>
          <w:rFonts w:ascii="Verdana" w:hAnsi="Verdana" w:cs="Arial"/>
          <w:b/>
          <w:bCs/>
          <w:color w:val="000000" w:themeColor="text1"/>
          <w:sz w:val="20"/>
          <w:szCs w:val="20"/>
          <w:lang w:val="es-MX" w:eastAsia="es-ES_tradnl"/>
        </w:rPr>
      </w:pPr>
    </w:p>
    <w:p w14:paraId="690DCB9A" w14:textId="77777777" w:rsidR="009B5A20" w:rsidRPr="00C44CD0" w:rsidRDefault="009B5A20" w:rsidP="009B5A20">
      <w:pPr>
        <w:spacing w:line="276" w:lineRule="auto"/>
        <w:jc w:val="both"/>
        <w:rPr>
          <w:rFonts w:ascii="Verdana" w:hAnsi="Verdana" w:cs="Arial"/>
          <w:b/>
          <w:bCs/>
          <w:color w:val="000000" w:themeColor="text1"/>
          <w:shd w:val="clear" w:color="auto" w:fill="FFFFFF"/>
          <w:lang w:val="es-ES"/>
        </w:rPr>
      </w:pPr>
      <w:r w:rsidRPr="00C44CD0">
        <w:rPr>
          <w:rFonts w:ascii="Verdana" w:hAnsi="Verdana" w:cs="Arial"/>
          <w:b/>
          <w:bCs/>
          <w:color w:val="000000" w:themeColor="text1"/>
          <w:shd w:val="clear" w:color="auto" w:fill="FFFFFF"/>
          <w:lang w:val="es-ES"/>
        </w:rPr>
        <w:t>SECOP II </w:t>
      </w:r>
      <w:r w:rsidRPr="00C44CD0">
        <w:rPr>
          <w:rFonts w:ascii="Verdana" w:hAnsi="Verdana" w:cs="Arial"/>
          <w:b/>
          <w:bCs/>
          <w:color w:val="000000" w:themeColor="text1"/>
          <w:shd w:val="clear" w:color="auto" w:fill="FFFFFF"/>
          <w:lang w:val="es-MX"/>
        </w:rPr>
        <w:t>–</w:t>
      </w:r>
      <w:r w:rsidRPr="00C44CD0">
        <w:rPr>
          <w:rFonts w:ascii="Verdana" w:hAnsi="Verdana" w:cs="Arial"/>
          <w:b/>
          <w:bCs/>
          <w:color w:val="000000" w:themeColor="text1"/>
          <w:shd w:val="clear" w:color="auto" w:fill="FFFFFF"/>
          <w:lang w:val="es-ES"/>
        </w:rPr>
        <w:t xml:space="preserve"> Plataforma Transaccional </w:t>
      </w:r>
    </w:p>
    <w:p w14:paraId="2CD0B0BD" w14:textId="77777777" w:rsidR="009B5A20" w:rsidRPr="00C44CD0" w:rsidRDefault="009B5A20" w:rsidP="009B5A20">
      <w:pPr>
        <w:spacing w:after="0" w:line="240" w:lineRule="auto"/>
        <w:jc w:val="both"/>
        <w:rPr>
          <w:rFonts w:ascii="Verdana" w:eastAsia="Times New Roman" w:hAnsi="Verdana" w:cs="Arial"/>
          <w:color w:val="000000" w:themeColor="text1"/>
          <w:sz w:val="20"/>
          <w:szCs w:val="20"/>
          <w:lang w:eastAsia="x-none"/>
        </w:rPr>
      </w:pPr>
      <w:r w:rsidRPr="00C44CD0">
        <w:rPr>
          <w:rFonts w:ascii="Verdana" w:eastAsia="Times New Roman" w:hAnsi="Verdana" w:cs="Arial"/>
          <w:color w:val="000000" w:themeColor="text1"/>
          <w:sz w:val="20"/>
          <w:szCs w:val="20"/>
          <w:lang w:eastAsia="x-none"/>
        </w:rPr>
        <w:t>En primer lugar, es importante destacar que 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Por su parte, los proveedores pueden hacer comentarios a los documentos del procedimiento, presentar ofertas y seguir el procedimiento de selección en línea.</w:t>
      </w:r>
    </w:p>
    <w:p w14:paraId="40B8F233" w14:textId="77777777" w:rsidR="009B5A20" w:rsidRPr="00C44CD0" w:rsidRDefault="009B5A20" w:rsidP="009B5A20">
      <w:pPr>
        <w:spacing w:after="0" w:line="240" w:lineRule="auto"/>
        <w:jc w:val="both"/>
        <w:rPr>
          <w:rFonts w:ascii="Verdana" w:eastAsia="Times New Roman" w:hAnsi="Verdana" w:cs="Arial"/>
          <w:color w:val="000000" w:themeColor="text1"/>
          <w:sz w:val="20"/>
          <w:szCs w:val="20"/>
          <w:lang w:eastAsia="x-none"/>
        </w:rPr>
      </w:pPr>
    </w:p>
    <w:p w14:paraId="0C7FBFB9" w14:textId="1F98000C" w:rsidR="009B5A20" w:rsidRPr="00C44CD0" w:rsidRDefault="009B5A20" w:rsidP="009B5A20">
      <w:pPr>
        <w:spacing w:after="0" w:line="240" w:lineRule="auto"/>
        <w:jc w:val="both"/>
        <w:rPr>
          <w:rFonts w:ascii="Verdana" w:eastAsia="Times New Roman" w:hAnsi="Verdana" w:cs="Arial"/>
          <w:color w:val="000000" w:themeColor="text1"/>
          <w:sz w:val="20"/>
          <w:szCs w:val="20"/>
          <w:lang w:eastAsia="x-none"/>
        </w:rPr>
      </w:pPr>
      <w:r w:rsidRPr="00C44CD0">
        <w:rPr>
          <w:rFonts w:ascii="Verdana" w:eastAsia="Times New Roman" w:hAnsi="Verdana" w:cs="Arial"/>
          <w:color w:val="000000" w:themeColor="text1"/>
          <w:sz w:val="20"/>
          <w:szCs w:val="20"/>
          <w:lang w:eastAsia="x-none"/>
        </w:rPr>
        <w:t>En este sentido, en el SECOP II el procedimiento contractual se desarrolla en línea y dentro de la plataforma, conformándose un expediente electrónico, lo cual denota una diferencia con el SECOP I, donde el procedimiento se desarrolla de manera física,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p>
    <w:p w14:paraId="1E74B177" w14:textId="77777777" w:rsidR="009B5A20" w:rsidRPr="00C44CD0" w:rsidRDefault="009B5A20" w:rsidP="009B5A20">
      <w:pPr>
        <w:spacing w:after="0" w:line="240" w:lineRule="auto"/>
        <w:jc w:val="both"/>
        <w:rPr>
          <w:rFonts w:ascii="Verdana" w:eastAsia="Times New Roman" w:hAnsi="Verdana" w:cs="Arial"/>
          <w:color w:val="000000" w:themeColor="text1"/>
          <w:sz w:val="20"/>
          <w:szCs w:val="20"/>
          <w:lang w:eastAsia="x-none"/>
        </w:rPr>
      </w:pPr>
    </w:p>
    <w:p w14:paraId="3D0EFDB0" w14:textId="77777777" w:rsidR="009B5A20" w:rsidRPr="00C44CD0" w:rsidRDefault="009B5A20" w:rsidP="009B5A20">
      <w:pPr>
        <w:spacing w:line="276" w:lineRule="auto"/>
        <w:jc w:val="both"/>
        <w:rPr>
          <w:rFonts w:ascii="Verdana" w:hAnsi="Verdana" w:cs="Arial"/>
          <w:b/>
          <w:bCs/>
          <w:color w:val="000000" w:themeColor="text1"/>
          <w:shd w:val="clear" w:color="auto" w:fill="FFFFFF"/>
          <w:lang w:val="es-MX"/>
        </w:rPr>
      </w:pPr>
      <w:r w:rsidRPr="00C44CD0">
        <w:rPr>
          <w:rFonts w:ascii="Verdana" w:hAnsi="Verdana" w:cs="Arial"/>
          <w:b/>
          <w:bCs/>
          <w:color w:val="000000" w:themeColor="text1"/>
          <w:shd w:val="clear" w:color="auto" w:fill="FFFFFF"/>
          <w:lang w:val="es-ES"/>
        </w:rPr>
        <w:t>SECOP II </w:t>
      </w:r>
      <w:r w:rsidRPr="00C44CD0">
        <w:rPr>
          <w:rFonts w:ascii="Verdana" w:hAnsi="Verdana" w:cs="Arial"/>
          <w:b/>
          <w:bCs/>
          <w:color w:val="000000" w:themeColor="text1"/>
          <w:shd w:val="clear" w:color="auto" w:fill="FFFFFF"/>
          <w:lang w:val="es-MX"/>
        </w:rPr>
        <w:t>–</w:t>
      </w:r>
      <w:r w:rsidRPr="00C44CD0">
        <w:rPr>
          <w:rFonts w:ascii="Verdana" w:hAnsi="Verdana" w:cs="Arial"/>
          <w:b/>
          <w:bCs/>
          <w:color w:val="000000" w:themeColor="text1"/>
          <w:shd w:val="clear" w:color="auto" w:fill="FFFFFF"/>
          <w:lang w:val="es-ES"/>
        </w:rPr>
        <w:t xml:space="preserve"> Contrato electrónico </w:t>
      </w:r>
      <w:r w:rsidRPr="00C44CD0">
        <w:rPr>
          <w:rFonts w:ascii="Verdana" w:eastAsia="Calibri" w:hAnsi="Verdana" w:cs="Arial"/>
          <w:b/>
          <w:bCs/>
          <w:color w:val="000000" w:themeColor="text1"/>
          <w:lang w:val="es-ES" w:eastAsia="es-ES"/>
        </w:rPr>
        <w:t xml:space="preserve">– Aprobación </w:t>
      </w:r>
      <w:r w:rsidRPr="00C44CD0">
        <w:rPr>
          <w:rFonts w:ascii="Verdana" w:hAnsi="Verdana" w:cs="Arial"/>
          <w:b/>
          <w:bCs/>
          <w:color w:val="000000" w:themeColor="text1"/>
          <w:shd w:val="clear" w:color="auto" w:fill="FFFFFF"/>
          <w:lang w:val="es-MX"/>
        </w:rPr>
        <w:t>– Perfeccionamiento</w:t>
      </w:r>
    </w:p>
    <w:p w14:paraId="76BA2201" w14:textId="68DFF87C" w:rsidR="00B652CB" w:rsidRPr="00C44CD0" w:rsidRDefault="00B652CB" w:rsidP="00B652CB">
      <w:pPr>
        <w:spacing w:after="0" w:line="240" w:lineRule="auto"/>
        <w:jc w:val="both"/>
        <w:rPr>
          <w:rFonts w:ascii="Verdana" w:eastAsia="Times New Roman" w:hAnsi="Verdana" w:cs="Arial"/>
          <w:color w:val="000000" w:themeColor="text1"/>
          <w:sz w:val="20"/>
          <w:szCs w:val="20"/>
          <w:lang w:eastAsia="x-none"/>
        </w:rPr>
      </w:pPr>
      <w:r w:rsidRPr="00C44CD0">
        <w:rPr>
          <w:rFonts w:ascii="Verdana" w:eastAsia="Times New Roman" w:hAnsi="Verdana" w:cs="Arial"/>
          <w:color w:val="000000" w:themeColor="text1"/>
          <w:sz w:val="20"/>
          <w:szCs w:val="20"/>
          <w:lang w:eastAsia="x-none"/>
        </w:rPr>
        <w:t xml:space="preserve">Conforme lo señala “Guía SECOP II – Gestión Contractual Para Entidades Estatales” es importante que previamente el usuario administrador de la Entidad Estatal haya configurado flujos de aprobación en este hito del proceso con el fin de que el contrato </w:t>
      </w:r>
      <w:r w:rsidRPr="00C44CD0">
        <w:rPr>
          <w:rFonts w:ascii="Verdana" w:eastAsia="Times New Roman" w:hAnsi="Verdana" w:cs="Arial"/>
          <w:color w:val="000000" w:themeColor="text1"/>
          <w:sz w:val="20"/>
          <w:szCs w:val="20"/>
          <w:lang w:eastAsia="x-none"/>
        </w:rPr>
        <w:lastRenderedPageBreak/>
        <w:t>electrónico sea enviado al ordenador del gasto representante legal de la entidad para su aprobación final. Una vez el ordenador del gasto de la entidad realice la aprobación el estado del contrato cambia a “Firmado” y quedará público para consulta de cualquier interesado.</w:t>
      </w:r>
    </w:p>
    <w:p w14:paraId="5B10366D" w14:textId="77777777" w:rsidR="00B652CB" w:rsidRPr="00C44CD0" w:rsidRDefault="00B652CB" w:rsidP="00B652CB">
      <w:pPr>
        <w:spacing w:after="0" w:line="240" w:lineRule="auto"/>
        <w:jc w:val="both"/>
        <w:rPr>
          <w:rFonts w:ascii="Verdana" w:eastAsia="Times New Roman" w:hAnsi="Verdana" w:cs="Arial"/>
          <w:color w:val="000000" w:themeColor="text1"/>
          <w:sz w:val="20"/>
          <w:szCs w:val="20"/>
          <w:lang w:eastAsia="x-none"/>
        </w:rPr>
      </w:pPr>
    </w:p>
    <w:p w14:paraId="06A7E1FA" w14:textId="608CF022" w:rsidR="009B5A20" w:rsidRPr="00C44CD0" w:rsidRDefault="00B652CB" w:rsidP="00B652CB">
      <w:pPr>
        <w:spacing w:after="0" w:line="240" w:lineRule="auto"/>
        <w:jc w:val="both"/>
        <w:rPr>
          <w:rFonts w:ascii="Verdana" w:eastAsia="Times New Roman" w:hAnsi="Verdana" w:cs="Arial"/>
          <w:color w:val="000000" w:themeColor="text1"/>
          <w:sz w:val="20"/>
          <w:szCs w:val="20"/>
          <w:lang w:eastAsia="x-none"/>
        </w:rPr>
      </w:pPr>
      <w:r w:rsidRPr="00C44CD0">
        <w:rPr>
          <w:rFonts w:ascii="Verdana" w:eastAsia="Times New Roman" w:hAnsi="Verdana" w:cs="Arial"/>
          <w:color w:val="000000" w:themeColor="text1"/>
          <w:sz w:val="20"/>
          <w:szCs w:val="20"/>
          <w:lang w:eastAsia="x-none"/>
        </w:rPr>
        <w:t>Así las cosas, cuando el proceso de contratación se adelanta por el SECOP II la aprobación del contrato para su perfeccionamiento y posterior ejecución deberá efectuarse en dicha plataforma de conformidad con el procedimiento descrito. En todo caso, hasta que no se efectué la aprobación en el SECOP II por parte del ordenador del gasto de la Entidad no se entiende perfeccionado el contrato.</w:t>
      </w:r>
    </w:p>
    <w:p w14:paraId="0A6B34CA" w14:textId="77777777" w:rsidR="00B652CB" w:rsidRPr="00C44CD0" w:rsidRDefault="00B652CB" w:rsidP="00B652CB">
      <w:pPr>
        <w:spacing w:after="0" w:line="240" w:lineRule="auto"/>
        <w:jc w:val="both"/>
        <w:rPr>
          <w:rFonts w:ascii="Verdana" w:eastAsia="Times New Roman" w:hAnsi="Verdana" w:cs="Arial"/>
          <w:color w:val="000000" w:themeColor="text1"/>
          <w:sz w:val="20"/>
          <w:szCs w:val="20"/>
          <w:lang w:eastAsia="x-none"/>
        </w:rPr>
      </w:pPr>
    </w:p>
    <w:p w14:paraId="13B28E38" w14:textId="60D095C8" w:rsidR="009B5A20" w:rsidRPr="00C44CD0" w:rsidRDefault="009B5A20" w:rsidP="009B5A20">
      <w:pPr>
        <w:spacing w:line="276" w:lineRule="auto"/>
        <w:jc w:val="both"/>
        <w:rPr>
          <w:rFonts w:ascii="Verdana" w:hAnsi="Verdana" w:cs="Arial"/>
          <w:b/>
          <w:bCs/>
          <w:color w:val="000000" w:themeColor="text1"/>
          <w:lang w:val="es-ES" w:eastAsia="es-ES"/>
        </w:rPr>
      </w:pPr>
      <w:r w:rsidRPr="00C44CD0">
        <w:rPr>
          <w:rFonts w:ascii="Verdana" w:hAnsi="Verdana" w:cs="Arial"/>
          <w:b/>
          <w:bCs/>
          <w:color w:val="000000" w:themeColor="text1"/>
          <w:shd w:val="clear" w:color="auto" w:fill="FFFFFF"/>
          <w:lang w:val="es-MX"/>
        </w:rPr>
        <w:t xml:space="preserve"> </w:t>
      </w:r>
      <w:r w:rsidRPr="00C44CD0">
        <w:rPr>
          <w:rFonts w:ascii="Verdana" w:hAnsi="Verdana" w:cs="Arial"/>
          <w:b/>
          <w:bCs/>
          <w:color w:val="000000" w:themeColor="text1"/>
          <w:shd w:val="clear" w:color="auto" w:fill="FFFFFF"/>
          <w:lang w:val="es-ES"/>
        </w:rPr>
        <w:t>SECOP II </w:t>
      </w:r>
      <w:r w:rsidRPr="00C44CD0">
        <w:rPr>
          <w:rFonts w:ascii="Verdana" w:hAnsi="Verdana" w:cs="Arial"/>
          <w:b/>
          <w:bCs/>
          <w:color w:val="000000" w:themeColor="text1"/>
          <w:shd w:val="clear" w:color="auto" w:fill="FFFFFF"/>
          <w:lang w:val="es-MX"/>
        </w:rPr>
        <w:t xml:space="preserve">– Aplicación ley de garantías – Nulidad </w:t>
      </w:r>
    </w:p>
    <w:p w14:paraId="63C526C7" w14:textId="77777777" w:rsidR="00F5369B" w:rsidRPr="00C44CD0" w:rsidRDefault="00F5369B" w:rsidP="009B4037">
      <w:pPr>
        <w:spacing w:after="0" w:line="240" w:lineRule="auto"/>
        <w:rPr>
          <w:rFonts w:ascii="Verdana" w:hAnsi="Verdana"/>
          <w:color w:val="000000" w:themeColor="text1"/>
        </w:rPr>
      </w:pPr>
    </w:p>
    <w:p w14:paraId="4DC04D2A" w14:textId="77777777" w:rsidR="009B5A20" w:rsidRPr="00C44CD0" w:rsidRDefault="009B5A20" w:rsidP="00B652CB">
      <w:pPr>
        <w:spacing w:after="0" w:line="240" w:lineRule="auto"/>
        <w:jc w:val="both"/>
        <w:rPr>
          <w:rFonts w:ascii="Verdana" w:eastAsia="Times New Roman" w:hAnsi="Verdana" w:cs="Arial"/>
          <w:color w:val="000000" w:themeColor="text1"/>
          <w:sz w:val="20"/>
          <w:szCs w:val="20"/>
          <w:lang w:eastAsia="x-none"/>
        </w:rPr>
      </w:pPr>
      <w:r w:rsidRPr="00C44CD0">
        <w:rPr>
          <w:rFonts w:ascii="Verdana" w:eastAsia="Times New Roman" w:hAnsi="Verdana" w:cs="Arial"/>
          <w:color w:val="000000" w:themeColor="text1"/>
          <w:sz w:val="20"/>
          <w:szCs w:val="20"/>
          <w:lang w:eastAsia="x-none"/>
        </w:rPr>
        <w:t>Así las cosas, tratándose de procesos gestionados en SECOP II, las actuaciones necesarias para que el contrato adquiera el estado de “firmado” deben realizarse antes de la entrada en vigencia de las restricciones previstas en la Ley de Garantías Electorales. De lo contrario, si el perfeccionamiento, es decir, si la aprobación final por parte del ordenador del gasto y su registro como estado “firmado” en la plataforma se produce cuando ya se encuentra vigente la prohibición establecida en el artículo 33 ibidem, se entiende que el contrato fue celebrado en vigencia de dicha restricción, con las consecuencias jurídicas a que haya lugar, sin que resulte suficiente que etapas previas del proceso se hubieren adelantado con anterioridad.</w:t>
      </w:r>
    </w:p>
    <w:p w14:paraId="11797C66" w14:textId="77777777" w:rsidR="00F5369B" w:rsidRPr="00C44CD0" w:rsidRDefault="00F5369B" w:rsidP="009B4037">
      <w:pPr>
        <w:spacing w:after="0" w:line="240" w:lineRule="auto"/>
        <w:rPr>
          <w:rFonts w:ascii="Verdana" w:hAnsi="Verdana"/>
          <w:color w:val="000000" w:themeColor="text1"/>
        </w:rPr>
      </w:pPr>
    </w:p>
    <w:p w14:paraId="0E09DD1E" w14:textId="77777777" w:rsidR="00B652CB" w:rsidRPr="00C44CD0" w:rsidRDefault="00B652CB" w:rsidP="00B652CB">
      <w:pPr>
        <w:spacing w:after="0" w:line="240" w:lineRule="auto"/>
        <w:jc w:val="both"/>
        <w:rPr>
          <w:rFonts w:ascii="Verdana" w:eastAsia="Times New Roman" w:hAnsi="Verdana" w:cs="Arial"/>
          <w:bCs/>
          <w:color w:val="000000" w:themeColor="text1"/>
          <w:sz w:val="20"/>
          <w:szCs w:val="20"/>
          <w:lang w:eastAsia="x-none"/>
        </w:rPr>
      </w:pPr>
      <w:r w:rsidRPr="00C44CD0">
        <w:rPr>
          <w:rFonts w:ascii="Verdana" w:eastAsia="Arial" w:hAnsi="Verdana" w:cs="Arial"/>
          <w:color w:val="000000" w:themeColor="text1"/>
          <w:sz w:val="20"/>
          <w:szCs w:val="20"/>
          <w:lang w:val="es-MX" w:eastAsia="es-ES" w:bidi="es-ES"/>
        </w:rPr>
        <w:t>[…]</w:t>
      </w:r>
    </w:p>
    <w:p w14:paraId="096B5207" w14:textId="77777777" w:rsidR="00F5369B" w:rsidRPr="00C44CD0" w:rsidRDefault="00F5369B" w:rsidP="009B4037">
      <w:pPr>
        <w:spacing w:after="0" w:line="240" w:lineRule="auto"/>
        <w:rPr>
          <w:rFonts w:ascii="Verdana" w:hAnsi="Verdana"/>
          <w:color w:val="000000" w:themeColor="text1"/>
        </w:rPr>
      </w:pPr>
    </w:p>
    <w:p w14:paraId="4B0B9473" w14:textId="46852D22" w:rsidR="00F5369B" w:rsidRPr="00C44CD0" w:rsidRDefault="00B652CB" w:rsidP="00B652CB">
      <w:pPr>
        <w:spacing w:after="0" w:line="240" w:lineRule="auto"/>
        <w:jc w:val="both"/>
        <w:rPr>
          <w:rFonts w:ascii="Verdana" w:eastAsia="Times New Roman" w:hAnsi="Verdana" w:cs="Arial"/>
          <w:color w:val="000000" w:themeColor="text1"/>
          <w:sz w:val="20"/>
          <w:szCs w:val="20"/>
          <w:lang w:eastAsia="x-none"/>
        </w:rPr>
      </w:pPr>
      <w:r w:rsidRPr="00C44CD0">
        <w:rPr>
          <w:rFonts w:ascii="Verdana" w:eastAsia="Times New Roman" w:hAnsi="Verdana" w:cs="Arial"/>
          <w:color w:val="000000" w:themeColor="text1"/>
          <w:sz w:val="20"/>
          <w:szCs w:val="20"/>
          <w:lang w:eastAsia="x-none"/>
        </w:rPr>
        <w:t>Cuando el perfeccionamiento del contrato en la plataforma del SECOP II ocurre en vigencia de las restricciones establecidas en la Ley de Garantías Electorales, la entidad deberá revisar la validez del contrato y analizar una posible configuración de nulidad a la luz de lo dispuesto en el artículo 44 de la Ley 80 de 1993. Sobre el régimen de nulidad, la norma en cita señala como causales de nulidad del contrato estatal, las siguientes: 1. Que el contrato se celebre con personas incursas en causales de inhabilidad o incompatibilidad previstas en la Constitución y la ley. 2. Que se celebre contra expresa prohibición constitucional o legal. 3. Que se celebre con abuso o desviación de poder. 4. Que se declaren nulos los actos administrativos en que se fundamenten. 5. Que se hubieren celebrado con desconocimiento de los criterios previstos para el tratamiento de ofertas nacionales y extranjeras o con violación de la reciprocidad.</w:t>
      </w:r>
    </w:p>
    <w:p w14:paraId="51C1C61A" w14:textId="77777777" w:rsidR="00F5369B" w:rsidRPr="00C44CD0" w:rsidRDefault="00F5369B" w:rsidP="009B4037">
      <w:pPr>
        <w:spacing w:after="0" w:line="240" w:lineRule="auto"/>
        <w:rPr>
          <w:rFonts w:ascii="Verdana" w:hAnsi="Verdana"/>
          <w:color w:val="000000" w:themeColor="text1"/>
        </w:rPr>
      </w:pPr>
    </w:p>
    <w:p w14:paraId="6912C195" w14:textId="77777777" w:rsidR="00F5369B" w:rsidRPr="00C44CD0" w:rsidRDefault="00F5369B" w:rsidP="009B4037">
      <w:pPr>
        <w:spacing w:after="0" w:line="240" w:lineRule="auto"/>
        <w:rPr>
          <w:rFonts w:ascii="Verdana" w:hAnsi="Verdana"/>
          <w:color w:val="000000" w:themeColor="text1"/>
        </w:rPr>
      </w:pPr>
    </w:p>
    <w:p w14:paraId="0AFFAE2D" w14:textId="77777777" w:rsidR="00F5369B" w:rsidRPr="00C44CD0" w:rsidRDefault="00F5369B" w:rsidP="009B4037">
      <w:pPr>
        <w:spacing w:after="0" w:line="240" w:lineRule="auto"/>
        <w:rPr>
          <w:rFonts w:ascii="Verdana" w:hAnsi="Verdana"/>
          <w:color w:val="000000" w:themeColor="text1"/>
        </w:rPr>
      </w:pPr>
    </w:p>
    <w:p w14:paraId="0ED8BD11" w14:textId="77777777" w:rsidR="00F5369B" w:rsidRPr="00C44CD0" w:rsidRDefault="00F5369B" w:rsidP="009B4037">
      <w:pPr>
        <w:spacing w:after="0" w:line="240" w:lineRule="auto"/>
        <w:rPr>
          <w:rFonts w:ascii="Verdana" w:hAnsi="Verdana"/>
          <w:color w:val="000000" w:themeColor="text1"/>
        </w:rPr>
      </w:pPr>
    </w:p>
    <w:p w14:paraId="60E4AA2B" w14:textId="77777777" w:rsidR="00F5369B" w:rsidRPr="00C44CD0" w:rsidRDefault="00F5369B" w:rsidP="009B4037">
      <w:pPr>
        <w:spacing w:after="0" w:line="240" w:lineRule="auto"/>
        <w:rPr>
          <w:rFonts w:ascii="Verdana" w:hAnsi="Verdana"/>
          <w:color w:val="000000" w:themeColor="text1"/>
        </w:rPr>
      </w:pPr>
    </w:p>
    <w:p w14:paraId="0A2E6F75" w14:textId="77777777" w:rsidR="00F5369B" w:rsidRPr="00C44CD0" w:rsidRDefault="00F5369B" w:rsidP="009B4037">
      <w:pPr>
        <w:spacing w:after="0" w:line="240" w:lineRule="auto"/>
        <w:rPr>
          <w:rFonts w:ascii="Verdana" w:hAnsi="Verdana"/>
          <w:color w:val="000000" w:themeColor="text1"/>
        </w:rPr>
      </w:pPr>
    </w:p>
    <w:p w14:paraId="07191EB9" w14:textId="77777777" w:rsidR="00F5369B" w:rsidRPr="00C44CD0" w:rsidRDefault="00F5369B" w:rsidP="009B4037">
      <w:pPr>
        <w:spacing w:after="0" w:line="240" w:lineRule="auto"/>
        <w:rPr>
          <w:rFonts w:ascii="Verdana" w:hAnsi="Verdana"/>
        </w:rPr>
      </w:pPr>
    </w:p>
    <w:p w14:paraId="6216B8FD" w14:textId="77777777" w:rsidR="00D85FD5" w:rsidRPr="00C44CD0" w:rsidRDefault="00D85FD5" w:rsidP="004876D0">
      <w:pPr>
        <w:spacing w:after="0" w:line="240" w:lineRule="auto"/>
        <w:rPr>
          <w:rFonts w:ascii="Verdana" w:hAnsi="Verdana"/>
        </w:rPr>
      </w:pPr>
    </w:p>
    <w:p w14:paraId="4F2CEFA2" w14:textId="6511DD64" w:rsidR="008773E9" w:rsidRPr="00C44CD0" w:rsidRDefault="008773E9" w:rsidP="004876D0">
      <w:pPr>
        <w:spacing w:after="0" w:line="240" w:lineRule="auto"/>
        <w:rPr>
          <w:rFonts w:ascii="Verdana" w:eastAsia="Geomanist Light" w:hAnsi="Verdana" w:cs="Arial"/>
          <w:color w:val="201F1E"/>
        </w:rPr>
      </w:pPr>
      <w:r w:rsidRPr="00C44CD0">
        <w:rPr>
          <w:rFonts w:ascii="Verdana" w:hAnsi="Verdana"/>
        </w:rPr>
        <w:lastRenderedPageBreak/>
        <w:t xml:space="preserve">Bogotá D.C., </w:t>
      </w:r>
      <w:r w:rsidR="00151DF6">
        <w:rPr>
          <w:rFonts w:ascii="Verdana" w:hAnsi="Verdana"/>
        </w:rPr>
        <w:t>19</w:t>
      </w:r>
      <w:r w:rsidRPr="00C44CD0">
        <w:rPr>
          <w:rFonts w:ascii="Verdana" w:hAnsi="Verdana"/>
        </w:rPr>
        <w:t xml:space="preserve"> de </w:t>
      </w:r>
      <w:r w:rsidR="00151DF6">
        <w:rPr>
          <w:rFonts w:ascii="Verdana" w:hAnsi="Verdana"/>
        </w:rPr>
        <w:t>Mayo</w:t>
      </w:r>
      <w:r w:rsidRPr="00C44CD0">
        <w:rPr>
          <w:rFonts w:ascii="Verdana" w:hAnsi="Verdana"/>
        </w:rPr>
        <w:t xml:space="preserve"> de </w:t>
      </w:r>
      <w:r w:rsidR="00151DF6">
        <w:rPr>
          <w:rFonts w:ascii="Verdana" w:hAnsi="Verdana"/>
        </w:rPr>
        <w:t>2026</w:t>
      </w:r>
    </w:p>
    <w:p w14:paraId="386DC781" w14:textId="60F72B63" w:rsidR="004876D0" w:rsidRDefault="004876D0" w:rsidP="004876D0">
      <w:pPr>
        <w:spacing w:after="0"/>
        <w:rPr>
          <w:rFonts w:ascii="Verdana" w:hAnsi="Verdana"/>
        </w:rPr>
      </w:pPr>
    </w:p>
    <w:p w14:paraId="59782C87" w14:textId="77777777" w:rsidR="00151DF6" w:rsidRDefault="00151DF6" w:rsidP="004876D0">
      <w:pPr>
        <w:spacing w:after="0"/>
        <w:rPr>
          <w:rFonts w:ascii="Verdana" w:hAnsi="Verdana"/>
        </w:rPr>
      </w:pPr>
    </w:p>
    <w:p w14:paraId="2B51FC27" w14:textId="48AB1711" w:rsidR="00151DF6" w:rsidRPr="00C44CD0" w:rsidRDefault="00151DF6" w:rsidP="00151DF6">
      <w:pPr>
        <w:spacing w:after="0"/>
        <w:jc w:val="right"/>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Pr="00151DF6">
        <w:rPr>
          <w:rFonts w:ascii="Verdana" w:hAnsi="Verdana"/>
        </w:rPr>
        <w:drawing>
          <wp:inline distT="0" distB="0" distL="0" distR="0" wp14:anchorId="66A0BADE" wp14:editId="3F2DD2BB">
            <wp:extent cx="3276600" cy="889000"/>
            <wp:effectExtent l="0" t="0" r="0" b="0"/>
            <wp:docPr id="4478218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821860" name=""/>
                    <pic:cNvPicPr/>
                  </pic:nvPicPr>
                  <pic:blipFill>
                    <a:blip r:embed="rId11"/>
                    <a:stretch>
                      <a:fillRect/>
                    </a:stretch>
                  </pic:blipFill>
                  <pic:spPr>
                    <a:xfrm>
                      <a:off x="0" y="0"/>
                      <a:ext cx="3276600" cy="889000"/>
                    </a:xfrm>
                    <a:prstGeom prst="rect">
                      <a:avLst/>
                    </a:prstGeom>
                  </pic:spPr>
                </pic:pic>
              </a:graphicData>
            </a:graphic>
          </wp:inline>
        </w:drawing>
      </w:r>
    </w:p>
    <w:p w14:paraId="668B6099" w14:textId="2C73C9BC" w:rsidR="004876D0" w:rsidRPr="00C44CD0" w:rsidRDefault="004876D0" w:rsidP="004848DE">
      <w:pPr>
        <w:spacing w:after="0"/>
        <w:jc w:val="right"/>
        <w:rPr>
          <w:rFonts w:ascii="Verdana" w:hAnsi="Verdana"/>
        </w:rPr>
      </w:pPr>
      <w:r w:rsidRPr="00C44CD0">
        <w:rPr>
          <w:rFonts w:ascii="Verdana" w:hAnsi="Verdana"/>
        </w:rPr>
        <w:tab/>
      </w:r>
    </w:p>
    <w:p w14:paraId="0C05CB64" w14:textId="0548709A" w:rsidR="004876D0" w:rsidRPr="00C44CD0" w:rsidRDefault="004876D0" w:rsidP="004876D0">
      <w:pPr>
        <w:spacing w:after="0"/>
        <w:rPr>
          <w:rFonts w:ascii="Verdana" w:eastAsia="Calibri" w:hAnsi="Verdana" w:cs="Arial"/>
          <w:color w:val="000000" w:themeColor="text1"/>
          <w:lang w:val="es-ES" w:eastAsia="es-ES"/>
        </w:rPr>
      </w:pPr>
      <w:proofErr w:type="spellStart"/>
      <w:r w:rsidRPr="00C44CD0">
        <w:rPr>
          <w:rFonts w:ascii="Verdana" w:eastAsia="Calibri" w:hAnsi="Verdana" w:cs="Arial"/>
          <w:color w:val="000000" w:themeColor="text1"/>
          <w:lang w:val="es-ES" w:eastAsia="es-ES"/>
        </w:rPr>
        <w:t>Señor</w:t>
      </w:r>
    </w:p>
    <w:p w14:paraId="514B08A1" w14:textId="474F3568" w:rsidR="00CF606B" w:rsidRPr="00C44CD0" w:rsidRDefault="00CF606B" w:rsidP="004876D0">
      <w:pPr>
        <w:spacing w:after="0" w:line="240" w:lineRule="auto"/>
        <w:jc w:val="both"/>
        <w:rPr>
          <w:rFonts w:ascii="Verdana" w:hAnsi="Verdana"/>
          <w:b/>
          <w:bCs/>
        </w:rPr>
      </w:pPr>
      <w:proofErr w:type="spellEnd"/>
      <w:r w:rsidRPr="00C44CD0">
        <w:rPr>
          <w:rFonts w:ascii="Verdana" w:hAnsi="Verdana"/>
          <w:b/>
          <w:bCs/>
        </w:rPr>
        <w:t>Fernando José Gutiérrez Ibañez</w:t>
      </w:r>
    </w:p>
    <w:p w14:paraId="06C4F2C8" w14:textId="1D278216" w:rsidR="00CF606B" w:rsidRPr="00C44CD0" w:rsidRDefault="00CF606B" w:rsidP="004876D0">
      <w:pPr>
        <w:spacing w:after="0" w:line="240" w:lineRule="auto"/>
        <w:jc w:val="both"/>
        <w:rPr>
          <w:rFonts w:ascii="Verdana" w:hAnsi="Verdana"/>
        </w:rPr>
      </w:pPr>
      <w:hyperlink r:id="rId12" w:history="1">
        <w:r w:rsidRPr="00C44CD0">
          <w:rPr>
            <w:rFonts w:ascii="Verdana" w:hAnsi="Verdana"/>
          </w:rPr>
          <w:t>fernandog213@hotmail.com</w:t>
        </w:r>
      </w:hyperlink>
    </w:p>
    <w:p w14:paraId="3A30420A" w14:textId="6CAB6816" w:rsidR="004876D0" w:rsidRPr="00C44CD0" w:rsidRDefault="004876D0" w:rsidP="004876D0">
      <w:pPr>
        <w:spacing w:after="0" w:line="240" w:lineRule="auto"/>
        <w:jc w:val="both"/>
        <w:rPr>
          <w:rFonts w:ascii="Verdana" w:hAnsi="Verdana"/>
        </w:rPr>
      </w:pPr>
      <w:r w:rsidRPr="00C44CD0">
        <w:rPr>
          <w:rFonts w:ascii="Verdana" w:hAnsi="Verdana"/>
        </w:rPr>
        <w:t>Bogotá D.C</w:t>
      </w:r>
    </w:p>
    <w:p w14:paraId="686242FC" w14:textId="77777777" w:rsidR="004876D0" w:rsidRPr="00C44CD0" w:rsidRDefault="004876D0" w:rsidP="004876D0">
      <w:pPr>
        <w:spacing w:after="0" w:line="240" w:lineRule="auto"/>
        <w:rPr>
          <w:rFonts w:ascii="Verdana" w:eastAsia="Calibri" w:hAnsi="Verdana" w:cs="Arial"/>
          <w:b/>
          <w:bCs/>
          <w:color w:val="000000" w:themeColor="text1"/>
          <w:lang w:val="es-ES_tradnl" w:eastAsia="es-ES_tradnl"/>
        </w:rPr>
      </w:pPr>
    </w:p>
    <w:p w14:paraId="1CB0B715" w14:textId="47146C2F" w:rsidR="004876D0" w:rsidRPr="00C44CD0" w:rsidRDefault="004876D0" w:rsidP="004876D0">
      <w:pPr>
        <w:spacing w:after="0" w:line="240" w:lineRule="auto"/>
        <w:rPr>
          <w:rFonts w:ascii="Verdana" w:eastAsia="Calibri" w:hAnsi="Verdana" w:cs="Arial"/>
          <w:b/>
          <w:bCs/>
          <w:color w:val="000000" w:themeColor="text1"/>
          <w:lang w:val="es-ES_tradnl" w:eastAsia="es-ES_tradnl"/>
        </w:rPr>
      </w:pPr>
      <w:r w:rsidRPr="00C44CD0">
        <w:rPr>
          <w:rFonts w:ascii="Verdana" w:eastAsia="Calibri" w:hAnsi="Verdana" w:cs="Arial"/>
          <w:b/>
          <w:bCs/>
          <w:color w:val="000000" w:themeColor="text1"/>
          <w:lang w:val="es-ES_tradnl" w:eastAsia="es-ES_tradnl"/>
        </w:rPr>
        <w:t xml:space="preserve">                                   Concepto C-</w:t>
      </w:r>
      <w:r w:rsidR="008773E9" w:rsidRPr="00C44CD0">
        <w:rPr>
          <w:rFonts w:ascii="Verdana" w:eastAsia="Calibri" w:hAnsi="Verdana" w:cs="Arial"/>
          <w:b/>
          <w:bCs/>
          <w:color w:val="000000" w:themeColor="text1"/>
          <w:lang w:val="es-ES_tradnl" w:eastAsia="es-ES_tradnl"/>
        </w:rPr>
        <w:t>411</w:t>
      </w:r>
      <w:r w:rsidRPr="00C44CD0">
        <w:rPr>
          <w:rFonts w:ascii="Verdana" w:eastAsia="Calibri" w:hAnsi="Verdana" w:cs="Arial"/>
          <w:b/>
          <w:bCs/>
          <w:color w:val="000000" w:themeColor="text1"/>
          <w:lang w:val="es-ES_tradnl" w:eastAsia="es-ES_tradnl"/>
        </w:rPr>
        <w:t xml:space="preserve"> del 2026</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876D0" w:rsidRPr="00C44CD0" w14:paraId="5475785B" w14:textId="77777777" w:rsidTr="00EA32A5">
        <w:trPr>
          <w:gridAfter w:val="1"/>
          <w:wAfter w:w="6100" w:type="dxa"/>
          <w:trHeight w:val="133"/>
        </w:trPr>
        <w:tc>
          <w:tcPr>
            <w:tcW w:w="2689" w:type="dxa"/>
          </w:tcPr>
          <w:p w14:paraId="426C6BEF" w14:textId="77777777" w:rsidR="004876D0" w:rsidRPr="00C44CD0" w:rsidRDefault="004876D0" w:rsidP="00EA32A5">
            <w:pPr>
              <w:jc w:val="both"/>
              <w:rPr>
                <w:rFonts w:ascii="Verdana" w:eastAsia="Calibri" w:hAnsi="Verdana" w:cs="Arial"/>
                <w:b/>
                <w:bCs/>
                <w:color w:val="000000" w:themeColor="text1"/>
                <w:lang w:val="es-ES_tradnl" w:eastAsia="es-ES_tradnl"/>
              </w:rPr>
            </w:pPr>
          </w:p>
        </w:tc>
      </w:tr>
      <w:tr w:rsidR="004876D0" w:rsidRPr="00C44CD0" w14:paraId="5DCAC253" w14:textId="77777777" w:rsidTr="00115480">
        <w:trPr>
          <w:trHeight w:val="884"/>
        </w:trPr>
        <w:tc>
          <w:tcPr>
            <w:tcW w:w="2689" w:type="dxa"/>
          </w:tcPr>
          <w:p w14:paraId="39970E4E" w14:textId="77777777" w:rsidR="004876D0" w:rsidRPr="00C44CD0" w:rsidRDefault="004876D0" w:rsidP="00EA32A5">
            <w:pPr>
              <w:jc w:val="both"/>
              <w:rPr>
                <w:rFonts w:ascii="Verdana" w:eastAsia="Calibri" w:hAnsi="Verdana" w:cs="Arial"/>
                <w:color w:val="000000" w:themeColor="text1"/>
                <w:lang w:val="es-ES_tradnl" w:eastAsia="es-ES_tradnl"/>
              </w:rPr>
            </w:pPr>
            <w:r w:rsidRPr="00C44CD0">
              <w:rPr>
                <w:rFonts w:ascii="Verdana" w:eastAsia="Calibri" w:hAnsi="Verdana" w:cs="Arial"/>
                <w:b/>
                <w:color w:val="000000" w:themeColor="text1"/>
                <w:lang w:val="es-ES_tradnl" w:eastAsia="es-ES_tradnl"/>
              </w:rPr>
              <w:t>Temas:</w:t>
            </w:r>
            <w:r w:rsidRPr="00C44CD0">
              <w:rPr>
                <w:rFonts w:ascii="Verdana" w:eastAsia="Calibri" w:hAnsi="Verdana" w:cs="Arial"/>
                <w:color w:val="000000" w:themeColor="text1"/>
                <w:lang w:val="es-ES_tradnl" w:eastAsia="es-ES_tradnl"/>
              </w:rPr>
              <w:t xml:space="preserve">                   </w:t>
            </w:r>
          </w:p>
        </w:tc>
        <w:tc>
          <w:tcPr>
            <w:tcW w:w="6100" w:type="dxa"/>
          </w:tcPr>
          <w:p w14:paraId="730C989B" w14:textId="77777777" w:rsidR="004876D0" w:rsidRPr="00C44CD0" w:rsidRDefault="004876D0" w:rsidP="00EA32A5">
            <w:pPr>
              <w:spacing w:line="276" w:lineRule="auto"/>
              <w:jc w:val="both"/>
              <w:rPr>
                <w:rFonts w:ascii="Verdana" w:hAnsi="Verdana" w:cs="Arial"/>
                <w:lang w:val="es-ES" w:eastAsia="es-ES"/>
              </w:rPr>
            </w:pPr>
            <w:r w:rsidRPr="00C44CD0">
              <w:rPr>
                <w:rFonts w:ascii="Verdana" w:hAnsi="Verdana" w:cs="Arial"/>
                <w:lang w:val="es-ES" w:eastAsia="es-ES"/>
              </w:rPr>
              <w:t xml:space="preserve">LEY DE GARANTÍAS ELECTORALES – Finalidad / LEY DE GARANTÍAS ELECTORALES ‒ Restricciones ‒ Contratación ‒ Tipos de elección ‒ Celebración </w:t>
            </w:r>
            <w:r w:rsidRPr="00C44CD0">
              <w:rPr>
                <w:rFonts w:ascii="Verdana" w:hAnsi="Verdana" w:cs="Arial"/>
                <w:lang w:val="es-MX" w:eastAsia="es-ES_tradnl"/>
              </w:rPr>
              <w:t>/</w:t>
            </w:r>
            <w:r w:rsidRPr="00C44CD0">
              <w:rPr>
                <w:rFonts w:ascii="Verdana" w:hAnsi="Verdana"/>
              </w:rPr>
              <w:t xml:space="preserve"> </w:t>
            </w:r>
            <w:r w:rsidRPr="00C44CD0">
              <w:rPr>
                <w:rFonts w:ascii="Verdana" w:eastAsia="Calibri" w:hAnsi="Verdana" w:cs="Arial"/>
                <w:lang w:val="es-ES" w:eastAsia="es-ES"/>
              </w:rPr>
              <w:t xml:space="preserve">LEY DE GARANTÍAS ELECTORALES ‒ Artículo 33 ‒ Ámbito material ‒ Destinatarios </w:t>
            </w:r>
            <w:r w:rsidRPr="00C44CD0">
              <w:rPr>
                <w:rFonts w:ascii="Verdana" w:hAnsi="Verdana" w:cs="Arial"/>
                <w:lang w:val="es-MX" w:eastAsia="es-ES_tradnl"/>
              </w:rPr>
              <w:t xml:space="preserve">/ </w:t>
            </w:r>
            <w:r w:rsidRPr="00C44CD0">
              <w:rPr>
                <w:rFonts w:ascii="Verdana" w:hAnsi="Verdana" w:cs="Arial"/>
                <w:color w:val="000000" w:themeColor="text1"/>
                <w:shd w:val="clear" w:color="auto" w:fill="FFFFFF"/>
                <w:lang w:val="es-ES"/>
              </w:rPr>
              <w:t>SECOP II </w:t>
            </w:r>
            <w:r w:rsidRPr="00C44CD0">
              <w:rPr>
                <w:rFonts w:ascii="Verdana" w:hAnsi="Verdana" w:cs="Arial"/>
                <w:color w:val="000000" w:themeColor="text1"/>
                <w:shd w:val="clear" w:color="auto" w:fill="FFFFFF"/>
                <w:lang w:val="es-MX"/>
              </w:rPr>
              <w:t>–</w:t>
            </w:r>
            <w:r w:rsidRPr="00C44CD0">
              <w:rPr>
                <w:rFonts w:ascii="Verdana" w:hAnsi="Verdana" w:cs="Arial"/>
                <w:color w:val="000000" w:themeColor="text1"/>
                <w:shd w:val="clear" w:color="auto" w:fill="FFFFFF"/>
                <w:lang w:val="es-ES"/>
              </w:rPr>
              <w:t xml:space="preserve"> Plataforma Transaccional </w:t>
            </w:r>
            <w:r w:rsidRPr="00C44CD0">
              <w:rPr>
                <w:rFonts w:ascii="Verdana" w:eastAsia="Calibri" w:hAnsi="Verdana" w:cs="Arial"/>
                <w:lang w:val="es-ES" w:eastAsia="es-ES"/>
              </w:rPr>
              <w:t xml:space="preserve">/ </w:t>
            </w:r>
            <w:r w:rsidRPr="00C44CD0">
              <w:rPr>
                <w:rFonts w:ascii="Verdana" w:hAnsi="Verdana" w:cs="Arial"/>
                <w:color w:val="000000" w:themeColor="text1"/>
                <w:shd w:val="clear" w:color="auto" w:fill="FFFFFF"/>
                <w:lang w:val="es-ES"/>
              </w:rPr>
              <w:t>SECOP II </w:t>
            </w:r>
            <w:r w:rsidRPr="00C44CD0">
              <w:rPr>
                <w:rFonts w:ascii="Verdana" w:hAnsi="Verdana" w:cs="Arial"/>
                <w:color w:val="000000" w:themeColor="text1"/>
                <w:shd w:val="clear" w:color="auto" w:fill="FFFFFF"/>
                <w:lang w:val="es-MX"/>
              </w:rPr>
              <w:t>–</w:t>
            </w:r>
            <w:r w:rsidRPr="00C44CD0">
              <w:rPr>
                <w:rFonts w:ascii="Verdana" w:hAnsi="Verdana" w:cs="Arial"/>
                <w:color w:val="000000" w:themeColor="text1"/>
                <w:shd w:val="clear" w:color="auto" w:fill="FFFFFF"/>
                <w:lang w:val="es-ES"/>
              </w:rPr>
              <w:t xml:space="preserve"> Contrato electrónico </w:t>
            </w:r>
            <w:r w:rsidRPr="00C44CD0">
              <w:rPr>
                <w:rFonts w:ascii="Verdana" w:eastAsia="Calibri" w:hAnsi="Verdana" w:cs="Arial"/>
                <w:lang w:val="es-ES" w:eastAsia="es-ES"/>
              </w:rPr>
              <w:t xml:space="preserve">– Aprobación </w:t>
            </w:r>
            <w:r w:rsidRPr="00C44CD0">
              <w:rPr>
                <w:rFonts w:ascii="Verdana" w:hAnsi="Verdana" w:cs="Arial"/>
                <w:color w:val="000000" w:themeColor="text1"/>
                <w:shd w:val="clear" w:color="auto" w:fill="FFFFFF"/>
                <w:lang w:val="es-MX"/>
              </w:rPr>
              <w:t xml:space="preserve">– Perfeccionamiento / </w:t>
            </w:r>
            <w:r w:rsidRPr="00C44CD0">
              <w:rPr>
                <w:rFonts w:ascii="Verdana" w:hAnsi="Verdana" w:cs="Arial"/>
                <w:color w:val="000000" w:themeColor="text1"/>
                <w:shd w:val="clear" w:color="auto" w:fill="FFFFFF"/>
                <w:lang w:val="es-ES"/>
              </w:rPr>
              <w:t>SECOP II </w:t>
            </w:r>
            <w:r w:rsidRPr="00C44CD0">
              <w:rPr>
                <w:rFonts w:ascii="Verdana" w:hAnsi="Verdana" w:cs="Arial"/>
                <w:color w:val="000000" w:themeColor="text1"/>
                <w:shd w:val="clear" w:color="auto" w:fill="FFFFFF"/>
                <w:lang w:val="es-MX"/>
              </w:rPr>
              <w:t xml:space="preserve">– Aplicación ley de garantías – Nulidad </w:t>
            </w:r>
          </w:p>
          <w:p w14:paraId="45475D15" w14:textId="77777777" w:rsidR="004876D0" w:rsidRPr="00C44CD0" w:rsidRDefault="004876D0" w:rsidP="00EA32A5">
            <w:pPr>
              <w:spacing w:line="276" w:lineRule="auto"/>
              <w:jc w:val="both"/>
              <w:rPr>
                <w:rFonts w:ascii="Verdana" w:hAnsi="Verdana" w:cs="Arial"/>
                <w:bCs/>
                <w:color w:val="000000" w:themeColor="text1"/>
              </w:rPr>
            </w:pPr>
          </w:p>
        </w:tc>
      </w:tr>
      <w:tr w:rsidR="004876D0" w:rsidRPr="00C44CD0" w14:paraId="261E3DC6" w14:textId="77777777" w:rsidTr="00EA32A5">
        <w:tc>
          <w:tcPr>
            <w:tcW w:w="2689" w:type="dxa"/>
          </w:tcPr>
          <w:p w14:paraId="468DBFDF" w14:textId="77777777" w:rsidR="004876D0" w:rsidRPr="00C44CD0" w:rsidRDefault="004876D0" w:rsidP="00EA32A5">
            <w:pPr>
              <w:jc w:val="both"/>
              <w:rPr>
                <w:rFonts w:ascii="Verdana" w:eastAsia="Calibri" w:hAnsi="Verdana" w:cs="Arial"/>
                <w:b/>
                <w:color w:val="000000" w:themeColor="text1"/>
                <w:lang w:val="es-ES_tradnl" w:eastAsia="es-ES_tradnl"/>
              </w:rPr>
            </w:pPr>
            <w:r w:rsidRPr="00C44CD0">
              <w:rPr>
                <w:rFonts w:ascii="Verdana" w:eastAsia="Calibri" w:hAnsi="Verdana" w:cs="Arial"/>
                <w:b/>
                <w:color w:val="000000" w:themeColor="text1"/>
                <w:lang w:val="es-ES_tradnl" w:eastAsia="es-ES_tradnl"/>
              </w:rPr>
              <w:t>Radicación:</w:t>
            </w:r>
            <w:r w:rsidRPr="00C44CD0">
              <w:rPr>
                <w:rFonts w:ascii="Verdana" w:eastAsia="Calibri" w:hAnsi="Verdana" w:cs="Arial"/>
                <w:color w:val="000000" w:themeColor="text1"/>
                <w:lang w:val="es-ES_tradnl" w:eastAsia="es-ES_tradnl"/>
              </w:rPr>
              <w:t xml:space="preserve">               </w:t>
            </w:r>
          </w:p>
        </w:tc>
        <w:tc>
          <w:tcPr>
            <w:tcW w:w="6100" w:type="dxa"/>
          </w:tcPr>
          <w:p w14:paraId="64373551" w14:textId="025F1D43" w:rsidR="004876D0" w:rsidRPr="00C44CD0" w:rsidRDefault="00F36AFE" w:rsidP="00EA32A5">
            <w:pPr>
              <w:jc w:val="both"/>
              <w:rPr>
                <w:rFonts w:ascii="Verdana" w:hAnsi="Verdana" w:cs="Arial"/>
                <w:color w:val="EE0000"/>
              </w:rPr>
            </w:pPr>
            <w:r w:rsidRPr="00C44CD0">
              <w:rPr>
                <w:rFonts w:ascii="Verdana" w:eastAsia="Calibri" w:hAnsi="Verdana" w:cs="Arial"/>
                <w:color w:val="000000" w:themeColor="text1"/>
                <w:lang w:val="es-ES" w:eastAsia="es-ES"/>
              </w:rPr>
              <w:t xml:space="preserve">Respuesta a consulta con radicado No. </w:t>
            </w:r>
            <w:r w:rsidRPr="00C44CD0">
              <w:rPr>
                <w:rFonts w:ascii="Verdana" w:hAnsi="Verdana"/>
                <w:color w:val="242424"/>
                <w:shd w:val="clear" w:color="auto" w:fill="D9E1F2"/>
              </w:rPr>
              <w:t xml:space="preserve">1_2026_04_08_004785 acumulado con radicado No. </w:t>
            </w:r>
            <w:r w:rsidRPr="00C44CD0">
              <w:rPr>
                <w:rFonts w:ascii="Verdana" w:hAnsi="Verdana"/>
                <w:color w:val="242424"/>
                <w:shd w:val="clear" w:color="auto" w:fill="FFFFFF"/>
              </w:rPr>
              <w:t xml:space="preserve">1_2026_04_09_004807 </w:t>
            </w:r>
            <w:r w:rsidRPr="00C44CD0">
              <w:rPr>
                <w:rFonts w:ascii="Verdana" w:hAnsi="Verdana"/>
                <w:color w:val="242424"/>
                <w:shd w:val="clear" w:color="auto" w:fill="D9E1F2"/>
              </w:rPr>
              <w:t xml:space="preserve"> </w:t>
            </w:r>
            <w:r w:rsidR="004876D0" w:rsidRPr="00C44CD0">
              <w:rPr>
                <w:rFonts w:ascii="Verdana" w:hAnsi="Verdana"/>
                <w:color w:val="EE0000"/>
              </w:rPr>
              <w:t xml:space="preserve">                                                                                                                                                                                                                                                                                                                                                            </w:t>
            </w:r>
          </w:p>
          <w:p w14:paraId="35054469" w14:textId="77777777" w:rsidR="004876D0" w:rsidRPr="00C44CD0" w:rsidRDefault="004876D0" w:rsidP="00EA32A5">
            <w:pPr>
              <w:jc w:val="both"/>
              <w:rPr>
                <w:rFonts w:ascii="Verdana" w:hAnsi="Verdana"/>
                <w:color w:val="EE0000"/>
              </w:rPr>
            </w:pPr>
          </w:p>
        </w:tc>
      </w:tr>
    </w:tbl>
    <w:p w14:paraId="71348F4C" w14:textId="462CF25F" w:rsidR="004876D0" w:rsidRPr="00C44CD0" w:rsidRDefault="004876D0" w:rsidP="004876D0">
      <w:pPr>
        <w:spacing w:after="0" w:line="276" w:lineRule="auto"/>
        <w:jc w:val="both"/>
        <w:rPr>
          <w:rFonts w:ascii="Verdana" w:eastAsia="Calibri" w:hAnsi="Verdana" w:cs="Arial"/>
          <w:color w:val="000000" w:themeColor="text1"/>
          <w:lang w:val="es-ES" w:eastAsia="es-ES"/>
        </w:rPr>
      </w:pPr>
      <w:r w:rsidRPr="00C44CD0">
        <w:rPr>
          <w:rFonts w:ascii="Verdana" w:eastAsia="Calibri" w:hAnsi="Verdana" w:cs="Arial"/>
          <w:color w:val="000000" w:themeColor="text1"/>
          <w:lang w:val="es-ES" w:eastAsia="es-ES"/>
        </w:rPr>
        <w:t>Estimad</w:t>
      </w:r>
      <w:r w:rsidR="008773E9" w:rsidRPr="00C44CD0">
        <w:rPr>
          <w:rFonts w:ascii="Verdana" w:eastAsia="Calibri" w:hAnsi="Verdana" w:cs="Arial"/>
          <w:color w:val="000000" w:themeColor="text1"/>
          <w:lang w:val="es-ES" w:eastAsia="es-ES"/>
        </w:rPr>
        <w:t>o</w:t>
      </w:r>
      <w:r w:rsidRPr="00C44CD0">
        <w:rPr>
          <w:rFonts w:ascii="Verdana" w:eastAsia="Calibri" w:hAnsi="Verdana" w:cs="Arial"/>
          <w:color w:val="000000" w:themeColor="text1"/>
          <w:lang w:val="es-ES" w:eastAsia="es-ES"/>
        </w:rPr>
        <w:t xml:space="preserve"> señor </w:t>
      </w:r>
      <w:r w:rsidR="008773E9" w:rsidRPr="00C44CD0">
        <w:rPr>
          <w:rFonts w:ascii="Verdana" w:eastAsia="Calibri" w:hAnsi="Verdana" w:cs="Arial"/>
          <w:color w:val="000000" w:themeColor="text1"/>
          <w:lang w:val="es-ES" w:eastAsia="es-ES"/>
        </w:rPr>
        <w:t>Gutiérrez</w:t>
      </w:r>
      <w:r w:rsidRPr="00C44CD0">
        <w:rPr>
          <w:rFonts w:ascii="Verdana" w:eastAsia="Calibri" w:hAnsi="Verdana" w:cs="Arial"/>
          <w:color w:val="000000" w:themeColor="text1"/>
          <w:lang w:val="es-ES" w:eastAsia="es-ES"/>
        </w:rPr>
        <w:t xml:space="preserve">: </w:t>
      </w:r>
    </w:p>
    <w:p w14:paraId="086A438F" w14:textId="77777777" w:rsidR="004876D0" w:rsidRPr="00C44CD0" w:rsidRDefault="004876D0" w:rsidP="004876D0">
      <w:pPr>
        <w:spacing w:after="0"/>
        <w:rPr>
          <w:rFonts w:ascii="Verdana" w:eastAsia="Times New Roman" w:hAnsi="Verdana" w:cs="Segoe UI"/>
          <w:lang w:eastAsia="es-CO"/>
        </w:rPr>
      </w:pPr>
    </w:p>
    <w:p w14:paraId="6FAE7C9E" w14:textId="4CC509EA" w:rsidR="004876D0" w:rsidRPr="00C44CD0" w:rsidRDefault="004876D0" w:rsidP="004876D0">
      <w:pPr>
        <w:spacing w:after="0" w:line="276" w:lineRule="auto"/>
        <w:jc w:val="both"/>
        <w:rPr>
          <w:rFonts w:ascii="Verdana" w:hAnsi="Verdana" w:cs="Arial"/>
          <w:color w:val="000000" w:themeColor="text1"/>
        </w:rPr>
      </w:pPr>
      <w:r w:rsidRPr="00C44CD0">
        <w:rPr>
          <w:rFonts w:ascii="Verdana" w:eastAsia="Calibri" w:hAnsi="Verdana" w:cs="Arial"/>
          <w:color w:val="000000" w:themeColor="text1"/>
          <w:lang w:val="es-ES" w:eastAsia="es-ES"/>
        </w:rPr>
        <w:t>En ejercicio de la competencia otorgada por los artículos 3, numeral 5º, y 11, numeral 8º, del Decreto Ley 4170 de 2011,</w:t>
      </w:r>
      <w:r w:rsidRPr="00C44CD0">
        <w:rPr>
          <w:rFonts w:ascii="Verdana" w:eastAsia="Arial MT" w:hAnsi="Verdana" w:cs="Arial MT"/>
          <w:color w:val="000000" w:themeColor="text1"/>
          <w:lang w:val="es-ES" w:eastAsia="es-ES"/>
        </w:rPr>
        <w:t xml:space="preserve"> </w:t>
      </w:r>
      <w:r w:rsidRPr="00C44CD0">
        <w:rPr>
          <w:rFonts w:ascii="Verdana" w:hAnsi="Verdana" w:cs="Arial"/>
          <w:lang w:val="es-ES_tradnl"/>
        </w:rPr>
        <w:t>así como lo establecido en</w:t>
      </w:r>
      <w:r w:rsidRPr="00C44CD0">
        <w:rPr>
          <w:rFonts w:ascii="Verdana" w:hAnsi="Verdana" w:cs="Arial"/>
        </w:rPr>
        <w:t xml:space="preserve"> la Resolución 469 de 2025 expedida por esta Entidad</w:t>
      </w:r>
      <w:r w:rsidRPr="00C44CD0">
        <w:rPr>
          <w:rFonts w:ascii="Verdana" w:hAnsi="Verdana" w:cs="Arial"/>
          <w:color w:val="000000" w:themeColor="text1"/>
        </w:rPr>
        <w:t xml:space="preserve">, </w:t>
      </w:r>
      <w:r w:rsidRPr="00C44CD0">
        <w:rPr>
          <w:rFonts w:ascii="Verdana" w:eastAsia="Calibri" w:hAnsi="Verdana" w:cs="Arial"/>
          <w:color w:val="000000" w:themeColor="text1"/>
          <w:lang w:val="es-ES" w:eastAsia="es-ES"/>
        </w:rPr>
        <w:t>la Agencia Nacional de Contratación Pública – Colombia Compra Eficiente– responde su</w:t>
      </w:r>
      <w:r w:rsidR="008773E9" w:rsidRPr="00C44CD0">
        <w:rPr>
          <w:rFonts w:ascii="Verdana" w:eastAsia="Calibri" w:hAnsi="Verdana" w:cs="Arial"/>
          <w:color w:val="000000" w:themeColor="text1"/>
          <w:lang w:val="es-ES" w:eastAsia="es-ES"/>
        </w:rPr>
        <w:t>s</w:t>
      </w:r>
      <w:r w:rsidRPr="00C44CD0">
        <w:rPr>
          <w:rFonts w:ascii="Verdana" w:eastAsia="Calibri" w:hAnsi="Verdana" w:cs="Arial"/>
          <w:color w:val="000000" w:themeColor="text1"/>
          <w:lang w:val="es-ES" w:eastAsia="es-ES"/>
        </w:rPr>
        <w:t xml:space="preserve"> solicitud</w:t>
      </w:r>
      <w:r w:rsidR="008773E9" w:rsidRPr="00C44CD0">
        <w:rPr>
          <w:rFonts w:ascii="Verdana" w:eastAsia="Calibri" w:hAnsi="Verdana" w:cs="Arial"/>
          <w:color w:val="000000" w:themeColor="text1"/>
          <w:lang w:val="es-ES" w:eastAsia="es-ES"/>
        </w:rPr>
        <w:t>es</w:t>
      </w:r>
      <w:r w:rsidRPr="00C44CD0">
        <w:rPr>
          <w:rFonts w:ascii="Verdana" w:eastAsia="Calibri" w:hAnsi="Verdana" w:cs="Arial"/>
          <w:color w:val="000000" w:themeColor="text1"/>
          <w:lang w:val="es-ES" w:eastAsia="es-ES"/>
        </w:rPr>
        <w:t xml:space="preserve"> de consulta del </w:t>
      </w:r>
      <w:r w:rsidR="008773E9" w:rsidRPr="00C44CD0">
        <w:rPr>
          <w:rFonts w:ascii="Verdana" w:eastAsia="Calibri" w:hAnsi="Verdana" w:cs="Arial"/>
          <w:color w:val="000000" w:themeColor="text1"/>
          <w:lang w:val="es-ES" w:eastAsia="es-ES"/>
        </w:rPr>
        <w:t>8 y 9</w:t>
      </w:r>
      <w:r w:rsidRPr="00C44CD0">
        <w:rPr>
          <w:rFonts w:ascii="Verdana" w:eastAsia="Calibri" w:hAnsi="Verdana" w:cs="Arial"/>
          <w:color w:val="000000" w:themeColor="text1"/>
          <w:lang w:val="es-ES" w:eastAsia="es-ES"/>
        </w:rPr>
        <w:t xml:space="preserve"> de </w:t>
      </w:r>
      <w:r w:rsidR="008773E9" w:rsidRPr="00C44CD0">
        <w:rPr>
          <w:rFonts w:ascii="Verdana" w:eastAsia="Calibri" w:hAnsi="Verdana" w:cs="Arial"/>
          <w:color w:val="000000" w:themeColor="text1"/>
          <w:lang w:val="es-ES" w:eastAsia="es-ES"/>
        </w:rPr>
        <w:t>abril</w:t>
      </w:r>
      <w:r w:rsidRPr="00C44CD0">
        <w:rPr>
          <w:rFonts w:ascii="Verdana" w:eastAsia="Calibri" w:hAnsi="Verdana" w:cs="Arial"/>
          <w:color w:val="000000" w:themeColor="text1"/>
          <w:lang w:val="es-ES" w:eastAsia="es-ES"/>
        </w:rPr>
        <w:t xml:space="preserve"> del 2026, en la cual manifiesta lo siguiente: </w:t>
      </w:r>
    </w:p>
    <w:p w14:paraId="13EFB808" w14:textId="77777777" w:rsidR="004876D0" w:rsidRPr="00C44CD0" w:rsidRDefault="004876D0" w:rsidP="004876D0">
      <w:pPr>
        <w:pStyle w:val="Default"/>
        <w:rPr>
          <w:rFonts w:ascii="Verdana" w:hAnsi="Verdana" w:cs="Verdana"/>
        </w:rPr>
      </w:pPr>
    </w:p>
    <w:p w14:paraId="6D58EACA" w14:textId="6F926FBD" w:rsidR="004876D0" w:rsidRPr="00C44CD0" w:rsidRDefault="004876D0" w:rsidP="000F2B0C">
      <w:pPr>
        <w:spacing w:after="0" w:line="240" w:lineRule="auto"/>
        <w:ind w:left="709" w:right="709"/>
        <w:jc w:val="both"/>
        <w:rPr>
          <w:rFonts w:ascii="Verdana" w:hAnsi="Verdana" w:cs="Verdana"/>
          <w:i/>
          <w:iCs/>
          <w:color w:val="000000" w:themeColor="text1"/>
          <w:sz w:val="21"/>
          <w:szCs w:val="21"/>
        </w:rPr>
      </w:pPr>
      <w:r w:rsidRPr="00C44CD0">
        <w:rPr>
          <w:rFonts w:ascii="Verdana" w:hAnsi="Verdana" w:cs="Verdana"/>
          <w:i/>
          <w:iCs/>
          <w:color w:val="000000" w:themeColor="text1"/>
          <w:sz w:val="21"/>
          <w:szCs w:val="21"/>
        </w:rPr>
        <w:lastRenderedPageBreak/>
        <w:t>“</w:t>
      </w:r>
      <w:r w:rsidR="000F2B0C" w:rsidRPr="00C44CD0">
        <w:rPr>
          <w:rFonts w:ascii="Verdana" w:hAnsi="Verdana" w:cs="Verdana"/>
          <w:i/>
          <w:iCs/>
          <w:color w:val="000000" w:themeColor="text1"/>
          <w:sz w:val="21"/>
          <w:szCs w:val="21"/>
        </w:rPr>
        <w:t xml:space="preserve">En mi calidad de Asesor Jurídico del Municipio de Becerril Cesar, me permito exponer la siguiente situación con el fin de solicitar se evalúe la procedencia de continuar con el trámite de aprobación del contrato de prestación de servicios identificado con el ID CO1.PCCNTR.9310249, suscrito con el señor Alveiro Martínez Herrera:1.El referido contrato fue debidamente suscrito por el contratista el día 30 de enero de 2026 a las 11:56:42 p.m., es decir, dentro del término legal permitido y antes de la entrada en vigencia de la Ley de Garantías. 2.Posteriormente, la aprobación por parte de la entidad se registró en la plataforma </w:t>
      </w:r>
      <w:r w:rsidR="000F2B0C" w:rsidRPr="00C44CD0">
        <w:rPr>
          <w:rFonts w:ascii="Verdana" w:hAnsi="Verdana"/>
          <w:i/>
          <w:iCs/>
          <w:sz w:val="21"/>
          <w:szCs w:val="21"/>
        </w:rPr>
        <w:t>el día</w:t>
      </w:r>
      <w:r w:rsidR="000F2B0C" w:rsidRPr="00C44CD0">
        <w:rPr>
          <w:rFonts w:ascii="Verdana" w:hAnsi="Verdana" w:cs="Verdana"/>
          <w:i/>
          <w:iCs/>
          <w:color w:val="000000" w:themeColor="text1"/>
          <w:sz w:val="21"/>
          <w:szCs w:val="21"/>
        </w:rPr>
        <w:t xml:space="preserve"> 31 de enero de 2026 a las 12:00:02 a.m., evidenciándose un desfase de apenas dos (2)</w:t>
      </w:r>
      <w:r w:rsidR="000F2B0C" w:rsidRPr="00C44CD0">
        <w:rPr>
          <w:rFonts w:ascii="Verdana" w:hAnsi="Verdana"/>
          <w:i/>
          <w:iCs/>
          <w:sz w:val="21"/>
          <w:szCs w:val="21"/>
        </w:rPr>
        <w:t xml:space="preserve"> </w:t>
      </w:r>
      <w:r w:rsidR="000F2B0C" w:rsidRPr="00C44CD0">
        <w:rPr>
          <w:rFonts w:ascii="Verdana" w:hAnsi="Verdana" w:cs="Verdana"/>
          <w:i/>
          <w:iCs/>
          <w:color w:val="000000" w:themeColor="text1"/>
          <w:sz w:val="21"/>
          <w:szCs w:val="21"/>
        </w:rPr>
        <w:t xml:space="preserve">segundos respecto del inicio de la restricción legal. 3.Es importante señalar que, para la fecha </w:t>
      </w:r>
      <w:r w:rsidR="000F2B0C" w:rsidRPr="00C44CD0">
        <w:rPr>
          <w:rFonts w:ascii="Verdana" w:hAnsi="Verdana"/>
          <w:i/>
          <w:iCs/>
          <w:sz w:val="21"/>
          <w:szCs w:val="21"/>
        </w:rPr>
        <w:t>y hora</w:t>
      </w:r>
      <w:r w:rsidR="000F2B0C" w:rsidRPr="00C44CD0">
        <w:rPr>
          <w:rFonts w:ascii="Verdana" w:hAnsi="Verdana" w:cs="Verdana"/>
          <w:i/>
          <w:iCs/>
          <w:color w:val="000000" w:themeColor="text1"/>
          <w:sz w:val="21"/>
          <w:szCs w:val="21"/>
        </w:rPr>
        <w:t xml:space="preserve"> de los hechos, se presentaban inconvenientes técnicos y de flujo en la </w:t>
      </w:r>
      <w:r w:rsidR="000F2B0C" w:rsidRPr="00C44CD0">
        <w:rPr>
          <w:rFonts w:ascii="Verdana" w:hAnsi="Verdana"/>
          <w:i/>
          <w:iCs/>
          <w:sz w:val="21"/>
          <w:szCs w:val="21"/>
        </w:rPr>
        <w:t>plataforma transaccional</w:t>
      </w:r>
      <w:r w:rsidR="000F2B0C" w:rsidRPr="00C44CD0">
        <w:rPr>
          <w:rFonts w:ascii="Verdana" w:hAnsi="Verdana" w:cs="Verdana"/>
          <w:i/>
          <w:iCs/>
          <w:color w:val="000000" w:themeColor="text1"/>
          <w:sz w:val="21"/>
          <w:szCs w:val="21"/>
        </w:rPr>
        <w:t xml:space="preserve">, lo cual pudo haber generado el registro extemporáneo de la aprobación, pese </w:t>
      </w:r>
      <w:r w:rsidR="000F2B0C" w:rsidRPr="00C44CD0">
        <w:rPr>
          <w:rFonts w:ascii="Verdana" w:hAnsi="Verdana"/>
          <w:i/>
          <w:iCs/>
          <w:sz w:val="21"/>
          <w:szCs w:val="21"/>
        </w:rPr>
        <w:t>a que</w:t>
      </w:r>
      <w:r w:rsidR="000F2B0C" w:rsidRPr="00C44CD0">
        <w:rPr>
          <w:rFonts w:ascii="Verdana" w:hAnsi="Verdana" w:cs="Verdana"/>
          <w:i/>
          <w:iCs/>
          <w:color w:val="000000" w:themeColor="text1"/>
          <w:sz w:val="21"/>
          <w:szCs w:val="21"/>
        </w:rPr>
        <w:t xml:space="preserve"> materialmente el proceso contractual se adelantó dentro de los tiempos legales.4.En </w:t>
      </w:r>
      <w:r w:rsidR="000F2B0C" w:rsidRPr="00C44CD0">
        <w:rPr>
          <w:rFonts w:ascii="Verdana" w:hAnsi="Verdana"/>
          <w:i/>
          <w:iCs/>
          <w:sz w:val="21"/>
          <w:szCs w:val="21"/>
        </w:rPr>
        <w:t>ese sentido</w:t>
      </w:r>
      <w:r w:rsidR="000F2B0C" w:rsidRPr="00C44CD0">
        <w:rPr>
          <w:rFonts w:ascii="Verdana" w:hAnsi="Verdana" w:cs="Verdana"/>
          <w:i/>
          <w:iCs/>
          <w:color w:val="000000" w:themeColor="text1"/>
          <w:sz w:val="21"/>
          <w:szCs w:val="21"/>
        </w:rPr>
        <w:t>, se tiene que la voluntad contractual de las partes se manifestó oportunamente,</w:t>
      </w:r>
      <w:r w:rsidR="000F2B0C" w:rsidRPr="00C44CD0">
        <w:rPr>
          <w:rFonts w:ascii="Verdana" w:hAnsi="Verdana"/>
          <w:i/>
          <w:iCs/>
          <w:sz w:val="21"/>
          <w:szCs w:val="21"/>
        </w:rPr>
        <w:t xml:space="preserve"> </w:t>
      </w:r>
      <w:r w:rsidR="000F2B0C" w:rsidRPr="00C44CD0">
        <w:rPr>
          <w:rFonts w:ascii="Verdana" w:hAnsi="Verdana" w:cs="Verdana"/>
          <w:i/>
          <w:iCs/>
          <w:color w:val="000000" w:themeColor="text1"/>
          <w:sz w:val="21"/>
          <w:szCs w:val="21"/>
        </w:rPr>
        <w:t xml:space="preserve">cumpliendo con los requisitos sustanciales antes de la entrada en vigencia de la Ley </w:t>
      </w:r>
      <w:r w:rsidR="000F2B0C" w:rsidRPr="00C44CD0">
        <w:rPr>
          <w:rFonts w:ascii="Verdana" w:hAnsi="Verdana"/>
          <w:i/>
          <w:iCs/>
          <w:sz w:val="21"/>
          <w:szCs w:val="21"/>
        </w:rPr>
        <w:t>de Garantías</w:t>
      </w:r>
      <w:r w:rsidR="000F2B0C" w:rsidRPr="00C44CD0">
        <w:rPr>
          <w:rFonts w:ascii="Verdana" w:hAnsi="Verdana" w:cs="Verdana"/>
          <w:i/>
          <w:iCs/>
          <w:color w:val="000000" w:themeColor="text1"/>
          <w:sz w:val="21"/>
          <w:szCs w:val="21"/>
        </w:rPr>
        <w:t xml:space="preserve">, siendo el desfase advertido un aspecto meramente formal y atribuible a circunstancias técnicas ajenas al control de la entidad. Por lo anterior, respetuosamente se solicita: Se analice la viabilidad jurídica de continuar con el trámite y aprobar el contrato en mención, teniendo en cuenta que su suscripción se realizó dentro del término legal, y que el registro posterior obedece a una situación mínima, no sustancial, derivada de fallas técnicas de la plataforma. Lo anterior, bajo los principios de buena fe, prevalencia del derecho </w:t>
      </w:r>
      <w:r w:rsidR="000F2B0C" w:rsidRPr="00C44CD0">
        <w:rPr>
          <w:rFonts w:ascii="Verdana" w:hAnsi="Verdana"/>
          <w:i/>
          <w:iCs/>
          <w:sz w:val="21"/>
          <w:szCs w:val="21"/>
        </w:rPr>
        <w:t>sustancial sobre</w:t>
      </w:r>
      <w:r w:rsidR="000F2B0C" w:rsidRPr="00C44CD0">
        <w:rPr>
          <w:rFonts w:ascii="Verdana" w:hAnsi="Verdana" w:cs="Verdana"/>
          <w:i/>
          <w:iCs/>
          <w:color w:val="000000" w:themeColor="text1"/>
          <w:sz w:val="21"/>
          <w:szCs w:val="21"/>
        </w:rPr>
        <w:t xml:space="preserve"> las formalidades y eficacia de la función administrativa.</w:t>
      </w:r>
      <w:r w:rsidRPr="00C44CD0">
        <w:rPr>
          <w:rFonts w:ascii="Verdana" w:hAnsi="Verdana" w:cs="Verdana"/>
          <w:i/>
          <w:iCs/>
          <w:color w:val="000000" w:themeColor="text1"/>
          <w:sz w:val="21"/>
          <w:szCs w:val="21"/>
        </w:rPr>
        <w:t>.</w:t>
      </w:r>
      <w:r w:rsidRPr="00C44CD0">
        <w:rPr>
          <w:rFonts w:ascii="Verdana" w:eastAsia="Century Gothic" w:hAnsi="Verdana" w:cs="Century Gothic"/>
          <w:i/>
          <w:iCs/>
          <w:color w:val="000000" w:themeColor="text1"/>
          <w:sz w:val="21"/>
          <w:szCs w:val="21"/>
        </w:rPr>
        <w:t>”</w:t>
      </w:r>
    </w:p>
    <w:p w14:paraId="07343EAC" w14:textId="77777777" w:rsidR="004876D0" w:rsidRPr="00C44CD0" w:rsidRDefault="004876D0" w:rsidP="004876D0">
      <w:pPr>
        <w:spacing w:after="0" w:line="240" w:lineRule="auto"/>
        <w:ind w:left="709" w:right="709"/>
        <w:jc w:val="both"/>
        <w:rPr>
          <w:rFonts w:ascii="Verdana" w:eastAsia="Times New Roman" w:hAnsi="Verdana" w:cs="Arial"/>
          <w:i/>
          <w:iCs/>
          <w:sz w:val="20"/>
          <w:szCs w:val="20"/>
          <w:lang w:eastAsia="es-ES_tradnl"/>
        </w:rPr>
      </w:pPr>
    </w:p>
    <w:p w14:paraId="7A55068D" w14:textId="77777777" w:rsidR="004876D0" w:rsidRPr="00C44CD0" w:rsidRDefault="004876D0" w:rsidP="004876D0">
      <w:pPr>
        <w:spacing w:after="120" w:line="276" w:lineRule="auto"/>
        <w:ind w:firstLine="709"/>
        <w:jc w:val="both"/>
        <w:rPr>
          <w:rFonts w:ascii="Verdana" w:eastAsia="Calibri" w:hAnsi="Verdana" w:cs="Arial"/>
          <w:color w:val="000000" w:themeColor="text1"/>
          <w:szCs w:val="24"/>
          <w:lang w:val="es-ES_tradnl" w:eastAsia="es-ES_tradnl"/>
        </w:rPr>
      </w:pPr>
      <w:r w:rsidRPr="00C44CD0">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w:t>
      </w:r>
      <w:r w:rsidRPr="00C44CD0">
        <w:rPr>
          <w:rFonts w:ascii="Verdana" w:eastAsia="Calibri" w:hAnsi="Verdana" w:cs="Arial"/>
          <w:color w:val="000000" w:themeColor="text1"/>
          <w:lang w:val="es-ES" w:eastAsia="es-ES"/>
        </w:rPr>
        <w:lastRenderedPageBreak/>
        <w:t xml:space="preserve">por definición, no puede extenderse a la resolución de controversias, ni a brindar asesorías sobre casos puntuales. </w:t>
      </w:r>
      <w:r w:rsidRPr="00C44CD0">
        <w:rPr>
          <w:rFonts w:ascii="Verdana" w:eastAsia="Calibri" w:hAnsi="Verdana" w:cs="Arial"/>
          <w:color w:val="000000" w:themeColor="text1"/>
          <w:szCs w:val="24"/>
          <w:lang w:val="es-ES_tradnl" w:eastAsia="es-ES_tradnl"/>
        </w:rPr>
        <w:tab/>
      </w:r>
    </w:p>
    <w:p w14:paraId="2AE946A9" w14:textId="77777777" w:rsidR="004876D0" w:rsidRPr="00C44CD0" w:rsidRDefault="004876D0" w:rsidP="004876D0">
      <w:pPr>
        <w:spacing w:after="0" w:line="276" w:lineRule="auto"/>
        <w:ind w:firstLine="709"/>
        <w:jc w:val="both"/>
        <w:rPr>
          <w:rFonts w:ascii="Verdana" w:eastAsia="Calibri" w:hAnsi="Verdana" w:cs="Arial"/>
          <w:color w:val="000000" w:themeColor="text1"/>
          <w:lang w:val="es-ES" w:eastAsia="es-ES"/>
        </w:rPr>
      </w:pPr>
      <w:r w:rsidRPr="00C44CD0">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5248898D" w14:textId="77777777" w:rsidR="004876D0" w:rsidRPr="00C44CD0" w:rsidRDefault="004876D0" w:rsidP="004876D0">
      <w:pPr>
        <w:spacing w:after="0" w:line="276" w:lineRule="auto"/>
        <w:jc w:val="both"/>
        <w:rPr>
          <w:rFonts w:ascii="Verdana" w:eastAsia="Calibri" w:hAnsi="Verdana" w:cs="Arial"/>
          <w:color w:val="000000" w:themeColor="text1"/>
          <w:lang w:val="es-ES" w:eastAsia="es-ES"/>
        </w:rPr>
      </w:pPr>
    </w:p>
    <w:p w14:paraId="43D1BCFD" w14:textId="63BB3A55" w:rsidR="004876D0" w:rsidRPr="00C44CD0" w:rsidRDefault="004876D0" w:rsidP="004876D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C44CD0">
        <w:rPr>
          <w:rFonts w:ascii="Verdana" w:eastAsia="Century Gothic" w:hAnsi="Verdana" w:cs="Century Gothic"/>
          <w:b/>
          <w:bCs/>
          <w:color w:val="000000" w:themeColor="text1"/>
        </w:rPr>
        <w:t>Problema</w:t>
      </w:r>
      <w:r w:rsidR="003C7E03" w:rsidRPr="00C44CD0">
        <w:rPr>
          <w:rFonts w:ascii="Verdana" w:eastAsia="Century Gothic" w:hAnsi="Verdana" w:cs="Century Gothic"/>
          <w:b/>
          <w:bCs/>
          <w:color w:val="000000" w:themeColor="text1"/>
        </w:rPr>
        <w:t>s</w:t>
      </w:r>
      <w:r w:rsidRPr="00C44CD0">
        <w:rPr>
          <w:rFonts w:ascii="Verdana" w:eastAsia="Century Gothic" w:hAnsi="Verdana" w:cs="Century Gothic"/>
          <w:b/>
          <w:bCs/>
          <w:color w:val="000000" w:themeColor="text1"/>
        </w:rPr>
        <w:t xml:space="preserve"> planteado</w:t>
      </w:r>
      <w:r w:rsidR="003C7E03" w:rsidRPr="00C44CD0">
        <w:rPr>
          <w:rFonts w:ascii="Verdana" w:eastAsia="Century Gothic" w:hAnsi="Verdana" w:cs="Century Gothic"/>
          <w:b/>
          <w:bCs/>
          <w:color w:val="000000" w:themeColor="text1"/>
        </w:rPr>
        <w:t>s</w:t>
      </w:r>
      <w:r w:rsidRPr="00C44CD0">
        <w:rPr>
          <w:rFonts w:ascii="Verdana" w:eastAsia="Century Gothic" w:hAnsi="Verdana" w:cs="Century Gothic"/>
          <w:b/>
          <w:bCs/>
          <w:color w:val="000000" w:themeColor="text1"/>
        </w:rPr>
        <w:t>:</w:t>
      </w:r>
    </w:p>
    <w:p w14:paraId="604C1CC9" w14:textId="77777777" w:rsidR="004876D0" w:rsidRPr="00C44CD0" w:rsidRDefault="004876D0" w:rsidP="004876D0">
      <w:pPr>
        <w:tabs>
          <w:tab w:val="left" w:pos="426"/>
        </w:tabs>
        <w:spacing w:after="0" w:line="276" w:lineRule="auto"/>
        <w:jc w:val="both"/>
        <w:rPr>
          <w:rFonts w:ascii="Verdana" w:eastAsia="Century Gothic" w:hAnsi="Verdana" w:cs="Century Gothic"/>
          <w:color w:val="000000" w:themeColor="text1"/>
          <w:lang w:val="es-ES"/>
        </w:rPr>
      </w:pPr>
    </w:p>
    <w:p w14:paraId="62F933EB" w14:textId="0CE9D22C" w:rsidR="004876D0" w:rsidRPr="00C44CD0" w:rsidRDefault="004876D0" w:rsidP="004876D0">
      <w:pPr>
        <w:spacing w:after="0" w:line="276" w:lineRule="auto"/>
        <w:jc w:val="both"/>
        <w:rPr>
          <w:rFonts w:ascii="Verdana" w:eastAsia="Century Gothic" w:hAnsi="Verdana" w:cs="Century Gothic"/>
          <w:color w:val="000000" w:themeColor="text1"/>
        </w:rPr>
      </w:pPr>
      <w:r w:rsidRPr="00C44CD0">
        <w:rPr>
          <w:rFonts w:ascii="Verdana" w:eastAsia="Century Gothic" w:hAnsi="Verdana" w:cs="Century Gothic"/>
          <w:color w:val="000000" w:themeColor="text1"/>
        </w:rPr>
        <w:t xml:space="preserve">De acuerdo con el contenido de su solicitud, esta Agencia resolverá los siguientes problemas jurídicos: i) </w:t>
      </w:r>
      <w:r w:rsidR="00700438" w:rsidRPr="00C44CD0">
        <w:rPr>
          <w:rFonts w:ascii="Verdana" w:eastAsia="Century Gothic" w:hAnsi="Verdana" w:cs="Century Gothic"/>
          <w:color w:val="000000" w:themeColor="text1"/>
        </w:rPr>
        <w:t>¿Cuál es la restricción contenida en la Ley de Garantías Electorales aplicable en el actual periodo</w:t>
      </w:r>
      <w:r w:rsidR="00683A52" w:rsidRPr="00C44CD0">
        <w:rPr>
          <w:rFonts w:ascii="Verdana" w:eastAsia="Century Gothic" w:hAnsi="Verdana" w:cs="Century Gothic"/>
          <w:color w:val="000000" w:themeColor="text1"/>
        </w:rPr>
        <w:t xml:space="preserve"> </w:t>
      </w:r>
      <w:r w:rsidR="007F50C9" w:rsidRPr="00C44CD0">
        <w:rPr>
          <w:rFonts w:ascii="Verdana" w:eastAsia="Century Gothic" w:hAnsi="Verdana" w:cs="Century Gothic"/>
          <w:color w:val="000000" w:themeColor="text1"/>
        </w:rPr>
        <w:t>pre</w:t>
      </w:r>
      <w:r w:rsidR="00683A52" w:rsidRPr="00C44CD0">
        <w:rPr>
          <w:rFonts w:ascii="Verdana" w:eastAsia="Century Gothic" w:hAnsi="Verdana" w:cs="Century Gothic"/>
          <w:color w:val="000000" w:themeColor="text1"/>
        </w:rPr>
        <w:t>electoral</w:t>
      </w:r>
      <w:r w:rsidR="00700438" w:rsidRPr="00C44CD0">
        <w:rPr>
          <w:rFonts w:ascii="Verdana" w:eastAsia="Century Gothic" w:hAnsi="Verdana" w:cs="Century Gothic"/>
          <w:color w:val="000000" w:themeColor="text1"/>
        </w:rPr>
        <w:t xml:space="preserve">?; </w:t>
      </w:r>
      <w:proofErr w:type="spellStart"/>
      <w:r w:rsidR="00700438" w:rsidRPr="00C44CD0">
        <w:rPr>
          <w:rFonts w:ascii="Verdana" w:eastAsia="Century Gothic" w:hAnsi="Verdana" w:cs="Century Gothic"/>
          <w:color w:val="000000" w:themeColor="text1"/>
        </w:rPr>
        <w:t>ii</w:t>
      </w:r>
      <w:proofErr w:type="spellEnd"/>
      <w:r w:rsidR="00700438" w:rsidRPr="00C44CD0">
        <w:rPr>
          <w:rFonts w:ascii="Verdana" w:eastAsia="Century Gothic" w:hAnsi="Verdana" w:cs="Century Gothic"/>
          <w:color w:val="000000" w:themeColor="text1"/>
        </w:rPr>
        <w:t xml:space="preserve">) </w:t>
      </w:r>
      <w:r w:rsidRPr="00C44CD0">
        <w:rPr>
          <w:rFonts w:ascii="Verdana" w:eastAsia="Century Gothic" w:hAnsi="Verdana" w:cs="Century Gothic"/>
          <w:color w:val="000000" w:themeColor="text1"/>
        </w:rPr>
        <w:t>¿</w:t>
      </w:r>
      <w:r w:rsidR="003C7E03" w:rsidRPr="00C44CD0">
        <w:rPr>
          <w:rFonts w:ascii="Verdana" w:eastAsia="Century Gothic" w:hAnsi="Verdana" w:cs="Century Gothic"/>
          <w:color w:val="000000" w:themeColor="text1"/>
        </w:rPr>
        <w:t>C</w:t>
      </w:r>
      <w:r w:rsidRPr="00C44CD0">
        <w:rPr>
          <w:rFonts w:ascii="Verdana" w:eastAsia="Century Gothic" w:hAnsi="Verdana" w:cs="Century Gothic"/>
          <w:color w:val="000000" w:themeColor="text1"/>
        </w:rPr>
        <w:t>uál es el momento de celebración del contrato estatal en la plataforma de SECOP II</w:t>
      </w:r>
      <w:r w:rsidR="00700438" w:rsidRPr="00C44CD0">
        <w:rPr>
          <w:rFonts w:ascii="Verdana" w:eastAsia="Century Gothic" w:hAnsi="Verdana" w:cs="Century Gothic"/>
          <w:color w:val="000000" w:themeColor="text1"/>
        </w:rPr>
        <w:t xml:space="preserve"> que produce el perfeccionamiento del acto jurídico contenido en el mismo</w:t>
      </w:r>
      <w:r w:rsidRPr="00C44CD0">
        <w:rPr>
          <w:rFonts w:ascii="Verdana" w:eastAsia="Century Gothic" w:hAnsi="Verdana" w:cs="Century Gothic"/>
          <w:color w:val="000000" w:themeColor="text1"/>
        </w:rPr>
        <w:t xml:space="preserve">, para efectos de la aplicación de las restricciones de la Ley de Garantías Electorales?; y </w:t>
      </w:r>
      <w:proofErr w:type="spellStart"/>
      <w:r w:rsidRPr="00C44CD0">
        <w:rPr>
          <w:rFonts w:ascii="Verdana" w:eastAsia="Century Gothic" w:hAnsi="Verdana" w:cs="Century Gothic"/>
          <w:color w:val="000000" w:themeColor="text1"/>
        </w:rPr>
        <w:t>ii</w:t>
      </w:r>
      <w:r w:rsidR="00700438" w:rsidRPr="00C44CD0">
        <w:rPr>
          <w:rFonts w:ascii="Verdana" w:eastAsia="Century Gothic" w:hAnsi="Verdana" w:cs="Century Gothic"/>
          <w:color w:val="000000" w:themeColor="text1"/>
        </w:rPr>
        <w:t>i</w:t>
      </w:r>
      <w:proofErr w:type="spellEnd"/>
      <w:r w:rsidRPr="00C44CD0">
        <w:rPr>
          <w:rFonts w:ascii="Verdana" w:eastAsia="Century Gothic" w:hAnsi="Verdana" w:cs="Century Gothic"/>
          <w:color w:val="000000" w:themeColor="text1"/>
        </w:rPr>
        <w:t>) ¿</w:t>
      </w:r>
      <w:r w:rsidR="003C7E03" w:rsidRPr="00C44CD0">
        <w:rPr>
          <w:rFonts w:ascii="Verdana" w:eastAsia="Century Gothic" w:hAnsi="Verdana" w:cs="Century Gothic"/>
          <w:color w:val="000000" w:themeColor="text1"/>
        </w:rPr>
        <w:t>C</w:t>
      </w:r>
      <w:r w:rsidRPr="00C44CD0">
        <w:rPr>
          <w:rFonts w:ascii="Verdana" w:eastAsia="Century Gothic" w:hAnsi="Verdana" w:cs="Century Gothic"/>
          <w:color w:val="000000" w:themeColor="text1"/>
        </w:rPr>
        <w:t xml:space="preserve">uáles son las consecuencias jurídicas cuando su perfeccionamiento en la plataforma del SECOP II ocurre dentro del período de prohibición, aun cuando las etapas previas de estructuración, publicación, adjudicación y aceptación por parte del contratista se llevaron a cabo con anterioridad a dicho periodo? </w:t>
      </w:r>
    </w:p>
    <w:p w14:paraId="0D49A39A" w14:textId="77777777" w:rsidR="004876D0" w:rsidRPr="00C44CD0" w:rsidRDefault="004876D0" w:rsidP="004876D0">
      <w:pPr>
        <w:spacing w:after="0" w:line="276" w:lineRule="auto"/>
        <w:jc w:val="both"/>
        <w:rPr>
          <w:rFonts w:ascii="Verdana" w:eastAsia="Century Gothic" w:hAnsi="Verdana" w:cs="Century Gothic"/>
          <w:color w:val="000000" w:themeColor="text1"/>
        </w:rPr>
      </w:pPr>
    </w:p>
    <w:p w14:paraId="5D160DA1" w14:textId="75D0BEEA" w:rsidR="004876D0" w:rsidRPr="00C44CD0" w:rsidRDefault="004876D0" w:rsidP="004876D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44CD0">
        <w:rPr>
          <w:rFonts w:ascii="Verdana" w:eastAsia="Century Gothic" w:hAnsi="Verdana" w:cs="Century Gothic"/>
          <w:b/>
          <w:bCs/>
          <w:color w:val="000000" w:themeColor="text1"/>
        </w:rPr>
        <w:t>Respuesta</w:t>
      </w:r>
      <w:r w:rsidR="003C7E03" w:rsidRPr="00C44CD0">
        <w:rPr>
          <w:rFonts w:ascii="Verdana" w:eastAsia="Century Gothic" w:hAnsi="Verdana" w:cs="Century Gothic"/>
          <w:b/>
          <w:bCs/>
          <w:color w:val="000000" w:themeColor="text1"/>
        </w:rPr>
        <w:t>s</w:t>
      </w:r>
      <w:r w:rsidRPr="00C44CD0">
        <w:rPr>
          <w:rFonts w:ascii="Verdana" w:eastAsia="Century Gothic" w:hAnsi="Verdana" w:cs="Century Gothic"/>
          <w:b/>
          <w:bCs/>
          <w:color w:val="000000" w:themeColor="text1"/>
        </w:rPr>
        <w:t xml:space="preserve">: </w:t>
      </w:r>
    </w:p>
    <w:p w14:paraId="3215CCA7" w14:textId="77777777" w:rsidR="004876D0" w:rsidRPr="00C44CD0" w:rsidRDefault="004876D0" w:rsidP="004876D0">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876D0" w:rsidRPr="00C44CD0" w14:paraId="06FF245E" w14:textId="77777777" w:rsidTr="00EA32A5">
        <w:tc>
          <w:tcPr>
            <w:tcW w:w="8828" w:type="dxa"/>
          </w:tcPr>
          <w:p w14:paraId="0959037B" w14:textId="3DE5265B" w:rsidR="004876D0" w:rsidRPr="00C44CD0" w:rsidRDefault="004876D0" w:rsidP="00EA32A5">
            <w:pPr>
              <w:spacing w:after="120" w:line="276" w:lineRule="auto"/>
              <w:jc w:val="both"/>
              <w:rPr>
                <w:rFonts w:ascii="Verdana" w:eastAsia="Arial" w:hAnsi="Verdana" w:cs="Arial"/>
                <w:lang w:val="es-ES" w:eastAsia="es-ES" w:bidi="es-ES"/>
              </w:rPr>
            </w:pPr>
            <w:r w:rsidRPr="00C44CD0">
              <w:rPr>
                <w:rFonts w:ascii="Verdana" w:eastAsia="Arial" w:hAnsi="Verdana" w:cs="Arial"/>
                <w:lang w:val="es-ES" w:eastAsia="es-ES" w:bidi="es-ES"/>
              </w:rPr>
              <w:t xml:space="preserve">i. </w:t>
            </w:r>
            <w:r w:rsidR="00E325EA" w:rsidRPr="00C44CD0">
              <w:rPr>
                <w:rFonts w:ascii="Verdana" w:eastAsia="Arial" w:hAnsi="Verdana" w:cs="Arial"/>
                <w:lang w:val="es-ES" w:eastAsia="es-ES" w:bidi="es-ES"/>
              </w:rPr>
              <w:t xml:space="preserve">En primer lugar, se deben explicar las distintas restricciones contenidas en la Ley 996 de 2005. </w:t>
            </w:r>
            <w:r w:rsidRPr="00C44CD0">
              <w:rPr>
                <w:rFonts w:ascii="Verdana" w:eastAsia="Arial" w:hAnsi="Verdana" w:cs="Arial"/>
                <w:lang w:val="es-ES" w:eastAsia="es-ES" w:bidi="es-ES"/>
              </w:rPr>
              <w:t>Las restricciones consagradas en la Ley de Garantías Electorales se dirigen a dos (2) tipos de campañas electorales claramente diferenciadas: las presidenciales y las demás que se adelanten para la elección de los demás cargos de elección popular, tanto a nivel nacional como territorial.</w:t>
            </w:r>
            <w:r w:rsidR="00683A52" w:rsidRPr="00C44CD0">
              <w:rPr>
                <w:rFonts w:ascii="Verdana" w:eastAsia="Arial" w:hAnsi="Verdana" w:cs="Arial"/>
                <w:lang w:val="es-ES" w:eastAsia="es-ES" w:bidi="es-ES"/>
              </w:rPr>
              <w:t xml:space="preserve"> </w:t>
            </w:r>
          </w:p>
          <w:p w14:paraId="36E72CDF" w14:textId="77777777" w:rsidR="004876D0" w:rsidRPr="00C44CD0" w:rsidRDefault="004876D0" w:rsidP="00EA32A5">
            <w:pPr>
              <w:spacing w:after="120" w:line="276" w:lineRule="auto"/>
              <w:ind w:firstLine="708"/>
              <w:jc w:val="both"/>
              <w:rPr>
                <w:rFonts w:ascii="Verdana" w:eastAsia="Calibri" w:hAnsi="Verdana" w:cs="Arial"/>
              </w:rPr>
            </w:pPr>
            <w:r w:rsidRPr="00C44CD0">
              <w:rPr>
                <w:rFonts w:ascii="Verdana" w:eastAsia="Calibri" w:hAnsi="Verdana" w:cs="Arial"/>
              </w:rPr>
              <w:t xml:space="preserve">Por un lado, el </w:t>
            </w:r>
            <w:r w:rsidRPr="00C44CD0">
              <w:rPr>
                <w:rFonts w:ascii="Verdana" w:eastAsia="Calibri" w:hAnsi="Verdana" w:cs="Arial"/>
                <w:i/>
                <w:iCs/>
              </w:rPr>
              <w:t>artículo 33 de la Ley 996 de 2005</w:t>
            </w:r>
            <w:r w:rsidRPr="00C44CD0">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w:t>
            </w:r>
            <w:r w:rsidRPr="00C44CD0">
              <w:rPr>
                <w:rFonts w:ascii="Verdana" w:eastAsia="Calibri" w:hAnsi="Verdana" w:cs="Arial"/>
              </w:rPr>
              <w:lastRenderedPageBreak/>
              <w:t>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3EDD5E4B" w14:textId="0CFBFE31" w:rsidR="00683A52" w:rsidRPr="00C44CD0" w:rsidRDefault="004876D0" w:rsidP="00327FED">
            <w:pPr>
              <w:widowControl w:val="0"/>
              <w:autoSpaceDE w:val="0"/>
              <w:autoSpaceDN w:val="0"/>
              <w:spacing w:after="120" w:line="276" w:lineRule="auto"/>
              <w:ind w:right="113" w:firstLine="709"/>
              <w:jc w:val="both"/>
              <w:rPr>
                <w:rFonts w:ascii="Verdana" w:eastAsia="Arial" w:hAnsi="Verdana" w:cs="Arial"/>
                <w:lang w:val="es-ES" w:eastAsia="es-ES" w:bidi="es-ES"/>
              </w:rPr>
            </w:pPr>
            <w:r w:rsidRPr="00C44CD0">
              <w:rPr>
                <w:rFonts w:ascii="Verdana" w:eastAsia="Calibri" w:hAnsi="Verdana" w:cs="Arial"/>
              </w:rPr>
              <w:t xml:space="preserve">Por otro lado, </w:t>
            </w:r>
            <w:r w:rsidRPr="00C44CD0">
              <w:rPr>
                <w:rFonts w:ascii="Verdana" w:eastAsia="Calibri" w:hAnsi="Verdana" w:cs="Arial"/>
                <w:i/>
                <w:iCs/>
              </w:rPr>
              <w:t>el parágrafo del artículo 38 de la Ley 996 de 2005</w:t>
            </w:r>
            <w:r w:rsidRPr="00C44CD0">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C44CD0">
              <w:rPr>
                <w:rFonts w:ascii="Verdana" w:eastAsia="Calibri" w:hAnsi="Verdana" w:cs="Arial"/>
                <w:i/>
                <w:iCs/>
              </w:rPr>
              <w:t xml:space="preserve">“[…] </w:t>
            </w:r>
            <w:r w:rsidRPr="00C44CD0">
              <w:rPr>
                <w:rFonts w:ascii="Verdana" w:eastAsia="Calibri" w:hAnsi="Verdana" w:cs="Arial"/>
                <w:i/>
                <w:iCs/>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44CD0">
              <w:rPr>
                <w:rFonts w:ascii="Verdana" w:eastAsia="Calibri" w:hAnsi="Verdana" w:cs="Arial"/>
                <w:i/>
                <w:iCs/>
              </w:rPr>
              <w:t>”</w:t>
            </w:r>
            <w:r w:rsidRPr="00C44CD0">
              <w:rPr>
                <w:rFonts w:ascii="Verdana" w:eastAsia="Calibri" w:hAnsi="Verdana" w:cs="Arial"/>
                <w:i/>
                <w:iCs/>
                <w:lang w:val="es-MX"/>
              </w:rPr>
              <w:t>.</w:t>
            </w:r>
            <w:r w:rsidRPr="00C44CD0">
              <w:rPr>
                <w:rFonts w:ascii="Verdana" w:eastAsia="Arial" w:hAnsi="Verdana" w:cs="Arial"/>
                <w:lang w:val="es-ES" w:eastAsia="es-ES" w:bidi="es-ES"/>
              </w:rPr>
              <w:t xml:space="preserve"> </w:t>
            </w:r>
          </w:p>
          <w:p w14:paraId="6640ADC6" w14:textId="17E9B883" w:rsidR="00683A52" w:rsidRPr="00C44CD0" w:rsidRDefault="00CD6CD5" w:rsidP="00683A52">
            <w:pPr>
              <w:widowControl w:val="0"/>
              <w:autoSpaceDE w:val="0"/>
              <w:autoSpaceDN w:val="0"/>
              <w:spacing w:after="120" w:line="276" w:lineRule="auto"/>
              <w:ind w:right="113" w:firstLine="709"/>
              <w:jc w:val="both"/>
              <w:rPr>
                <w:rFonts w:ascii="Verdana" w:hAnsi="Verdana" w:cs="Arial"/>
              </w:rPr>
            </w:pPr>
            <w:r w:rsidRPr="00C44CD0">
              <w:rPr>
                <w:rFonts w:ascii="Verdana" w:eastAsia="Arial" w:hAnsi="Verdana" w:cs="Arial"/>
                <w:lang w:val="es-ES" w:eastAsia="es-ES" w:bidi="es-ES"/>
              </w:rPr>
              <w:t>Para dilucidar este apartado, e</w:t>
            </w:r>
            <w:r w:rsidR="00683A52" w:rsidRPr="00C44CD0">
              <w:rPr>
                <w:rFonts w:ascii="Verdana" w:eastAsia="Arial" w:hAnsi="Verdana" w:cs="Arial"/>
                <w:lang w:val="es-ES" w:eastAsia="es-ES" w:bidi="es-ES"/>
              </w:rPr>
              <w:t xml:space="preserve">n Concepto del 17 de febrero de 2015, </w:t>
            </w:r>
            <w:r w:rsidR="00683A52" w:rsidRPr="00C44CD0">
              <w:rPr>
                <w:rFonts w:ascii="Verdana" w:hAnsi="Verdana" w:cs="Arial"/>
              </w:rPr>
              <w:t xml:space="preserve">Radicación No. 11001-03-06-000-2015-00164-00(2269), el Consejo de Estado ha explicado </w:t>
            </w:r>
            <w:r w:rsidR="000217E0" w:rsidRPr="00C44CD0">
              <w:rPr>
                <w:rFonts w:ascii="Verdana" w:hAnsi="Verdana" w:cs="Arial"/>
              </w:rPr>
              <w:t xml:space="preserve">que las disposiciones en los artículos 32 y 33 contienen restricciones y prohibiciones específicas para los cuatro meses anteriores a la </w:t>
            </w:r>
            <w:r w:rsidRPr="00C44CD0">
              <w:rPr>
                <w:rFonts w:ascii="Verdana" w:hAnsi="Verdana" w:cs="Arial"/>
              </w:rPr>
              <w:t>e</w:t>
            </w:r>
            <w:r w:rsidR="000217E0" w:rsidRPr="00C44CD0">
              <w:rPr>
                <w:rFonts w:ascii="Verdana" w:hAnsi="Verdana" w:cs="Arial"/>
              </w:rPr>
              <w:t xml:space="preserve">lección </w:t>
            </w:r>
            <w:r w:rsidRPr="00C44CD0">
              <w:rPr>
                <w:rFonts w:ascii="Verdana" w:hAnsi="Verdana" w:cs="Arial"/>
              </w:rPr>
              <w:t>P</w:t>
            </w:r>
            <w:r w:rsidR="000217E0" w:rsidRPr="00C44CD0">
              <w:rPr>
                <w:rFonts w:ascii="Verdana" w:hAnsi="Verdana" w:cs="Arial"/>
              </w:rPr>
              <w:t>residencial, por lo cual, en periodo preelectoral para elección a Presidencia de la República</w:t>
            </w:r>
            <w:r w:rsidRPr="00C44CD0">
              <w:rPr>
                <w:rFonts w:ascii="Verdana" w:hAnsi="Verdana" w:cs="Arial"/>
              </w:rPr>
              <w:t xml:space="preserve"> </w:t>
            </w:r>
            <w:r w:rsidR="000217E0" w:rsidRPr="00C44CD0">
              <w:rPr>
                <w:rFonts w:ascii="Verdana" w:hAnsi="Verdana" w:cs="Arial"/>
              </w:rPr>
              <w:t>se aplica</w:t>
            </w:r>
            <w:r w:rsidR="00B14F4D" w:rsidRPr="00C44CD0">
              <w:rPr>
                <w:rFonts w:ascii="Verdana" w:hAnsi="Verdana" w:cs="Arial"/>
              </w:rPr>
              <w:t xml:space="preserve">n </w:t>
            </w:r>
            <w:r w:rsidR="000217E0" w:rsidRPr="00C44CD0">
              <w:rPr>
                <w:rFonts w:ascii="Verdana" w:hAnsi="Verdana" w:cs="Arial"/>
              </w:rPr>
              <w:t xml:space="preserve">a todos los entes y órganos del Estado, incluido los territoriales, las restricciones del artículo 32, las prohibiciones del artículo 33 con sus excepciones y el </w:t>
            </w:r>
            <w:r w:rsidR="00327FED" w:rsidRPr="00C44CD0">
              <w:rPr>
                <w:rFonts w:ascii="Verdana" w:hAnsi="Verdana" w:cs="Arial"/>
              </w:rPr>
              <w:t xml:space="preserve">parágrafo del </w:t>
            </w:r>
            <w:r w:rsidR="000217E0" w:rsidRPr="00C44CD0">
              <w:rPr>
                <w:rFonts w:ascii="Verdana" w:hAnsi="Verdana" w:cs="Arial"/>
              </w:rPr>
              <w:t xml:space="preserve">artículo 38 </w:t>
            </w:r>
            <w:r w:rsidR="00327FED" w:rsidRPr="00C44CD0">
              <w:rPr>
                <w:rFonts w:ascii="Verdana" w:hAnsi="Verdana" w:cs="Arial"/>
              </w:rPr>
              <w:t xml:space="preserve">en </w:t>
            </w:r>
            <w:r w:rsidR="000217E0" w:rsidRPr="00C44CD0">
              <w:rPr>
                <w:rFonts w:ascii="Verdana" w:hAnsi="Verdana" w:cs="Arial"/>
              </w:rPr>
              <w:t xml:space="preserve">materia de celebración </w:t>
            </w:r>
            <w:r w:rsidRPr="00C44CD0">
              <w:rPr>
                <w:rFonts w:ascii="Verdana" w:hAnsi="Verdana" w:cs="Arial"/>
              </w:rPr>
              <w:t xml:space="preserve">de convenios interadministrativos específicamente para entidades territoriales.  </w:t>
            </w:r>
          </w:p>
          <w:p w14:paraId="5DA26271" w14:textId="4D4AAB42" w:rsidR="00683A52" w:rsidRPr="00C44CD0" w:rsidRDefault="00CD6CD5" w:rsidP="00B14F4D">
            <w:pPr>
              <w:widowControl w:val="0"/>
              <w:autoSpaceDE w:val="0"/>
              <w:autoSpaceDN w:val="0"/>
              <w:spacing w:after="120" w:line="276" w:lineRule="auto"/>
              <w:ind w:right="113" w:firstLine="709"/>
              <w:jc w:val="both"/>
              <w:rPr>
                <w:rFonts w:ascii="Verdana" w:hAnsi="Verdana" w:cs="Arial"/>
              </w:rPr>
            </w:pPr>
            <w:r w:rsidRPr="00C44CD0">
              <w:rPr>
                <w:rFonts w:ascii="Verdana" w:hAnsi="Verdana" w:cs="Arial"/>
              </w:rPr>
              <w:t xml:space="preserve">En ese sentido, </w:t>
            </w:r>
            <w:r w:rsidR="007F50C9" w:rsidRPr="00C44CD0">
              <w:rPr>
                <w:rFonts w:ascii="Verdana" w:hAnsi="Verdana" w:cs="Arial"/>
              </w:rPr>
              <w:t xml:space="preserve">nos encontramos </w:t>
            </w:r>
            <w:r w:rsidRPr="00C44CD0">
              <w:rPr>
                <w:rFonts w:ascii="Verdana" w:hAnsi="Verdana" w:cs="Arial"/>
              </w:rPr>
              <w:t>en un periodo pre</w:t>
            </w:r>
            <w:r w:rsidR="00327FED" w:rsidRPr="00C44CD0">
              <w:rPr>
                <w:rFonts w:ascii="Verdana" w:hAnsi="Verdana" w:cs="Arial"/>
              </w:rPr>
              <w:t>e</w:t>
            </w:r>
            <w:r w:rsidRPr="00C44CD0">
              <w:rPr>
                <w:rFonts w:ascii="Verdana" w:hAnsi="Verdana" w:cs="Arial"/>
              </w:rPr>
              <w:t>lectoral para elecciones presidenciales, por lo que se tiene prohibido llevar a cabo contratación directa</w:t>
            </w:r>
            <w:r w:rsidR="00327FED" w:rsidRPr="00C44CD0">
              <w:rPr>
                <w:rFonts w:ascii="Verdana" w:hAnsi="Verdana" w:cs="Arial"/>
              </w:rPr>
              <w:t xml:space="preserve"> para todas las entidades estatales, y adicionalmente para entidades territoriales se prohíbe celebrar convenios interadministrativos. P</w:t>
            </w:r>
            <w:r w:rsidRPr="00C44CD0">
              <w:rPr>
                <w:rFonts w:ascii="Verdana" w:hAnsi="Verdana" w:cs="Arial"/>
              </w:rPr>
              <w:t xml:space="preserve">or ende, </w:t>
            </w:r>
            <w:r w:rsidR="00327FED" w:rsidRPr="00C44CD0">
              <w:rPr>
                <w:rFonts w:ascii="Verdana" w:hAnsi="Verdana" w:cs="Arial"/>
              </w:rPr>
              <w:t xml:space="preserve">se tiene prohibido por expresa mención de Ley </w:t>
            </w:r>
            <w:r w:rsidRPr="00C44CD0">
              <w:rPr>
                <w:rFonts w:ascii="Verdana" w:hAnsi="Verdana" w:cs="Arial"/>
              </w:rPr>
              <w:t>celebrar contratos derivados de</w:t>
            </w:r>
            <w:r w:rsidR="00327FED" w:rsidRPr="00C44CD0">
              <w:rPr>
                <w:rFonts w:ascii="Verdana" w:hAnsi="Verdana" w:cs="Arial"/>
              </w:rPr>
              <w:t xml:space="preserve"> </w:t>
            </w:r>
            <w:r w:rsidRPr="00C44CD0">
              <w:rPr>
                <w:rFonts w:ascii="Verdana" w:hAnsi="Verdana" w:cs="Arial"/>
              </w:rPr>
              <w:t xml:space="preserve">modalidad </w:t>
            </w:r>
            <w:r w:rsidR="00327FED" w:rsidRPr="00C44CD0">
              <w:rPr>
                <w:rFonts w:ascii="Verdana" w:hAnsi="Verdana" w:cs="Arial"/>
              </w:rPr>
              <w:t xml:space="preserve">directa </w:t>
            </w:r>
            <w:r w:rsidRPr="00C44CD0">
              <w:rPr>
                <w:rFonts w:ascii="Verdana" w:hAnsi="Verdana" w:cs="Arial"/>
              </w:rPr>
              <w:t>hasta tanto concluya el periodo electoral que da por resultado la elección de Presiden</w:t>
            </w:r>
            <w:r w:rsidR="00E325EA" w:rsidRPr="00C44CD0">
              <w:rPr>
                <w:rFonts w:ascii="Verdana" w:hAnsi="Verdana" w:cs="Arial"/>
              </w:rPr>
              <w:t>te de la República</w:t>
            </w:r>
            <w:r w:rsidRPr="00C44CD0">
              <w:rPr>
                <w:rFonts w:ascii="Verdana" w:hAnsi="Verdana" w:cs="Arial"/>
              </w:rPr>
              <w:t xml:space="preserve">, incluso hasta la conclusión de segunda vuelta presidencial, si la hubiere, esto es, </w:t>
            </w:r>
            <w:r w:rsidR="00327FED" w:rsidRPr="00C44CD0">
              <w:rPr>
                <w:rFonts w:ascii="Verdana" w:hAnsi="Verdana" w:cs="Arial"/>
              </w:rPr>
              <w:t xml:space="preserve">después del 21 de junio del presente año. </w:t>
            </w:r>
          </w:p>
          <w:p w14:paraId="096E367B" w14:textId="6DEB5888" w:rsidR="00327FED" w:rsidRPr="00C44CD0" w:rsidRDefault="00700438" w:rsidP="00C44CD0">
            <w:pPr>
              <w:spacing w:after="120" w:line="276" w:lineRule="auto"/>
              <w:jc w:val="both"/>
              <w:rPr>
                <w:rFonts w:ascii="Verdana" w:eastAsia="Times New Roman" w:hAnsi="Verdana" w:cs="Arial"/>
                <w:bCs/>
                <w:lang w:val="es-MX" w:eastAsia="es-CO"/>
              </w:rPr>
            </w:pPr>
            <w:r w:rsidRPr="00C44CD0">
              <w:rPr>
                <w:rFonts w:ascii="Verdana" w:eastAsia="Times New Roman" w:hAnsi="Verdana" w:cs="Arial"/>
                <w:bCs/>
                <w:lang w:val="es-MX" w:eastAsia="es-CO"/>
              </w:rPr>
              <w:lastRenderedPageBreak/>
              <w:t xml:space="preserve">ii. </w:t>
            </w:r>
            <w:r w:rsidR="00327FED" w:rsidRPr="00C44CD0">
              <w:rPr>
                <w:rFonts w:ascii="Verdana" w:eastAsia="Times New Roman" w:hAnsi="Verdana" w:cs="Arial"/>
                <w:bCs/>
                <w:lang w:val="es-MX" w:eastAsia="es-CO"/>
              </w:rPr>
              <w:t>Ahora bien, p</w:t>
            </w:r>
            <w:r w:rsidR="004876D0" w:rsidRPr="00C44CD0">
              <w:rPr>
                <w:rFonts w:ascii="Verdana" w:eastAsia="Times New Roman" w:hAnsi="Verdana" w:cs="Arial"/>
                <w:bCs/>
                <w:lang w:val="es-MX" w:eastAsia="es-CO"/>
              </w:rPr>
              <w:t xml:space="preserve">ara entender el momento de aplicación de estas restricciones, es preciso </w:t>
            </w:r>
            <w:r w:rsidR="00327FED" w:rsidRPr="00C44CD0">
              <w:rPr>
                <w:rFonts w:ascii="Verdana" w:eastAsia="Times New Roman" w:hAnsi="Verdana" w:cs="Arial"/>
                <w:bCs/>
                <w:lang w:val="es-MX" w:eastAsia="es-CO"/>
              </w:rPr>
              <w:t xml:space="preserve">aclarar </w:t>
            </w:r>
            <w:r w:rsidR="00873C5B" w:rsidRPr="00C44CD0">
              <w:rPr>
                <w:rFonts w:ascii="Verdana" w:eastAsia="Times New Roman" w:hAnsi="Verdana" w:cs="Arial"/>
                <w:bCs/>
                <w:lang w:val="es-MX" w:eastAsia="es-CO"/>
              </w:rPr>
              <w:t xml:space="preserve">la relación de </w:t>
            </w:r>
            <w:r w:rsidR="00327FED" w:rsidRPr="00C44CD0">
              <w:rPr>
                <w:rFonts w:ascii="Verdana" w:eastAsia="Times New Roman" w:hAnsi="Verdana" w:cs="Arial"/>
                <w:bCs/>
                <w:lang w:val="es-MX" w:eastAsia="es-CO"/>
              </w:rPr>
              <w:t xml:space="preserve">dos conceptos </w:t>
            </w:r>
            <w:r w:rsidR="00B14F4D" w:rsidRPr="00C44CD0">
              <w:rPr>
                <w:rFonts w:ascii="Verdana" w:eastAsia="Times New Roman" w:hAnsi="Verdana" w:cs="Arial"/>
                <w:bCs/>
                <w:lang w:val="es-MX" w:eastAsia="es-CO"/>
              </w:rPr>
              <w:t xml:space="preserve">fundamentales </w:t>
            </w:r>
            <w:r w:rsidR="00873C5B" w:rsidRPr="00C44CD0">
              <w:rPr>
                <w:rFonts w:ascii="Verdana" w:eastAsia="Times New Roman" w:hAnsi="Verdana" w:cs="Arial"/>
                <w:bCs/>
                <w:lang w:val="es-MX" w:eastAsia="es-CO"/>
              </w:rPr>
              <w:t xml:space="preserve">en términos de la </w:t>
            </w:r>
            <w:r w:rsidR="00327FED" w:rsidRPr="00C44CD0">
              <w:rPr>
                <w:rFonts w:ascii="Verdana" w:eastAsia="Times New Roman" w:hAnsi="Verdana" w:cs="Arial"/>
                <w:bCs/>
                <w:lang w:val="es-MX" w:eastAsia="es-CO"/>
              </w:rPr>
              <w:t>Contratación Estatal, los cuales son “celebración” y “perfeccionamiento” del contrato estatal.</w:t>
            </w:r>
          </w:p>
          <w:p w14:paraId="740EDCFE" w14:textId="51B3D135" w:rsidR="004876D0" w:rsidRPr="00C44CD0" w:rsidRDefault="00327FED" w:rsidP="00EA32A5">
            <w:pPr>
              <w:spacing w:after="120" w:line="276" w:lineRule="auto"/>
              <w:ind w:firstLine="708"/>
              <w:jc w:val="both"/>
              <w:rPr>
                <w:rFonts w:ascii="Verdana" w:eastAsia="Times New Roman" w:hAnsi="Verdana" w:cs="Arial"/>
                <w:bCs/>
                <w:lang w:eastAsia="es-CO"/>
              </w:rPr>
            </w:pPr>
            <w:r w:rsidRPr="00C44CD0">
              <w:rPr>
                <w:rFonts w:ascii="Verdana" w:eastAsia="Times New Roman" w:hAnsi="Verdana" w:cs="Arial"/>
                <w:bCs/>
                <w:lang w:val="es-MX" w:eastAsia="es-CO"/>
              </w:rPr>
              <w:t>P</w:t>
            </w:r>
            <w:r w:rsidR="00873C5B" w:rsidRPr="00C44CD0">
              <w:rPr>
                <w:rFonts w:ascii="Verdana" w:eastAsia="Times New Roman" w:hAnsi="Verdana" w:cs="Arial"/>
                <w:bCs/>
                <w:lang w:val="es-MX" w:eastAsia="es-CO"/>
              </w:rPr>
              <w:t>ues bien</w:t>
            </w:r>
            <w:r w:rsidRPr="00C44CD0">
              <w:rPr>
                <w:rFonts w:ascii="Verdana" w:eastAsia="Times New Roman" w:hAnsi="Verdana" w:cs="Arial"/>
                <w:bCs/>
                <w:lang w:val="es-MX" w:eastAsia="es-CO"/>
              </w:rPr>
              <w:t xml:space="preserve">, </w:t>
            </w:r>
            <w:r w:rsidR="007F50C9" w:rsidRPr="00C44CD0">
              <w:rPr>
                <w:rFonts w:ascii="Verdana" w:eastAsia="Times New Roman" w:hAnsi="Verdana" w:cs="Arial"/>
                <w:bCs/>
                <w:lang w:val="es-MX" w:eastAsia="es-CO"/>
              </w:rPr>
              <w:t xml:space="preserve">en principio se requiere </w:t>
            </w:r>
            <w:r w:rsidR="004876D0" w:rsidRPr="00C44CD0">
              <w:rPr>
                <w:rFonts w:ascii="Verdana" w:eastAsia="Times New Roman" w:hAnsi="Verdana" w:cs="Arial"/>
                <w:bCs/>
                <w:lang w:val="es-MX" w:eastAsia="es-CO"/>
              </w:rPr>
              <w:t>señalar que el vocablo “celebrar” es definido por el Diccionario Panhispánico del Español Jurídico como: “</w:t>
            </w:r>
            <w:r w:rsidR="004876D0" w:rsidRPr="00C44CD0">
              <w:rPr>
                <w:rFonts w:ascii="Verdana" w:eastAsia="Times New Roman" w:hAnsi="Verdana" w:cs="Arial"/>
                <w:bCs/>
                <w:lang w:eastAsia="es-CO"/>
              </w:rPr>
              <w:t>1. </w:t>
            </w:r>
            <w:r w:rsidR="004876D0" w:rsidRPr="00C44CD0">
              <w:rPr>
                <w:rFonts w:ascii="Verdana" w:eastAsia="Times New Roman" w:hAnsi="Verdana" w:cs="Arial"/>
                <w:bCs/>
                <w:i/>
                <w:iCs/>
                <w:lang w:eastAsia="es-CO"/>
              </w:rPr>
              <w:t>Gral.</w:t>
            </w:r>
            <w:r w:rsidR="004876D0" w:rsidRPr="00C44CD0">
              <w:rPr>
                <w:rFonts w:ascii="Verdana" w:eastAsia="Times New Roman" w:hAnsi="Verdana" w:cs="Arial"/>
                <w:bCs/>
                <w:lang w:eastAsia="es-CO"/>
              </w:rPr>
              <w:t xml:space="preserve"> Otorgar o firmar un contrato. 2. </w:t>
            </w:r>
            <w:proofErr w:type="spellStart"/>
            <w:r w:rsidR="004876D0" w:rsidRPr="00C44CD0">
              <w:rPr>
                <w:rFonts w:ascii="Verdana" w:eastAsia="Times New Roman" w:hAnsi="Verdana" w:cs="Arial"/>
                <w:bCs/>
                <w:i/>
                <w:iCs/>
                <w:lang w:eastAsia="es-CO"/>
              </w:rPr>
              <w:t>Proc</w:t>
            </w:r>
            <w:proofErr w:type="spellEnd"/>
            <w:r w:rsidR="004876D0" w:rsidRPr="00C44CD0">
              <w:rPr>
                <w:rFonts w:ascii="Verdana" w:eastAsia="Times New Roman" w:hAnsi="Verdana" w:cs="Arial"/>
                <w:bCs/>
                <w:i/>
                <w:iCs/>
                <w:lang w:eastAsia="es-CO"/>
              </w:rPr>
              <w:t>.</w:t>
            </w:r>
            <w:r w:rsidR="004876D0" w:rsidRPr="00C44CD0">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3C6857FC" w14:textId="01309C95" w:rsidR="00873C5B" w:rsidRPr="00C44CD0" w:rsidRDefault="004876D0" w:rsidP="00873C5B">
            <w:pPr>
              <w:spacing w:after="120" w:line="276" w:lineRule="auto"/>
              <w:ind w:firstLine="708"/>
              <w:jc w:val="both"/>
              <w:rPr>
                <w:rFonts w:ascii="Verdana" w:eastAsia="Times New Roman" w:hAnsi="Verdana" w:cs="Arial"/>
                <w:bCs/>
                <w:lang w:val="es-ES" w:eastAsia="es-CO"/>
              </w:rPr>
            </w:pPr>
            <w:r w:rsidRPr="00C44CD0">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w:t>
            </w:r>
            <w:r w:rsidRPr="00C44CD0">
              <w:rPr>
                <w:rFonts w:ascii="Verdana" w:eastAsia="Times New Roman" w:hAnsi="Verdana" w:cs="Arial"/>
                <w:bCs/>
                <w:i/>
                <w:iCs/>
                <w:lang w:val="es-ES" w:eastAsia="es-CO"/>
              </w:rPr>
              <w:t>perfeccionamiento</w:t>
            </w:r>
            <w:r w:rsidRPr="00C44CD0">
              <w:rPr>
                <w:rFonts w:ascii="Verdana" w:eastAsia="Times New Roman" w:hAnsi="Verdana" w:cs="Arial"/>
                <w:bCs/>
                <w:lang w:val="es-ES" w:eastAsia="es-CO"/>
              </w:rPr>
              <w:t xml:space="preserve"> del contrato estatal. </w:t>
            </w:r>
            <w:r w:rsidR="00873C5B" w:rsidRPr="00C44CD0">
              <w:rPr>
                <w:rFonts w:ascii="Verdana" w:eastAsia="Times New Roman" w:hAnsi="Verdana" w:cs="Arial"/>
                <w:bCs/>
                <w:lang w:val="es-ES" w:eastAsia="es-CO"/>
              </w:rPr>
              <w:t>R</w:t>
            </w:r>
            <w:r w:rsidR="00873C5B" w:rsidRPr="00C44CD0">
              <w:rPr>
                <w:rFonts w:ascii="Verdana" w:eastAsia="Calibri" w:hAnsi="Verdana" w:cs="Arial"/>
                <w:lang w:val="es-ES"/>
              </w:rPr>
              <w:t>especto de los requisitos de perfeccionamiento,</w:t>
            </w:r>
            <w:r w:rsidR="00873C5B" w:rsidRPr="00C44CD0">
              <w:t xml:space="preserve"> </w:t>
            </w:r>
            <w:r w:rsidR="00873C5B" w:rsidRPr="00C44CD0">
              <w:rPr>
                <w:rFonts w:ascii="Verdana" w:eastAsia="Calibri" w:hAnsi="Verdana" w:cs="Arial"/>
                <w:lang w:val="es-ES"/>
              </w:rPr>
              <w:t>el primer inciso del artículo 41 de la Ley 80 de 1993 establece que “</w:t>
            </w:r>
            <w:r w:rsidR="00873C5B" w:rsidRPr="00C44CD0">
              <w:rPr>
                <w:rFonts w:ascii="Verdana" w:eastAsia="Calibri" w:hAnsi="Verdana" w:cs="Arial"/>
                <w:i/>
                <w:iCs/>
                <w:lang w:val="es-ES"/>
              </w:rPr>
              <w:t>Los contratos del Estado se perfeccionan cuando se logre acuerdo sobre el objeto y la contraprestación y éste se eleve a escrito</w:t>
            </w:r>
            <w:r w:rsidR="00873C5B" w:rsidRPr="00C44CD0">
              <w:rPr>
                <w:rFonts w:ascii="Verdana" w:eastAsia="Calibri" w:hAnsi="Verdana" w:cs="Arial"/>
                <w:lang w:val="es-ES"/>
              </w:rPr>
              <w:t>”. Como se advierte, el legislador dispuso que para que el contrato estatal exista, no solo debe haber un acuerdo sobr</w:t>
            </w:r>
            <w:r w:rsidR="003C7E03" w:rsidRPr="00C44CD0">
              <w:rPr>
                <w:rFonts w:ascii="Verdana" w:eastAsia="Calibri" w:hAnsi="Verdana" w:cs="Arial"/>
                <w:lang w:val="es-ES"/>
              </w:rPr>
              <w:t>e</w:t>
            </w:r>
            <w:r w:rsidR="00873C5B" w:rsidRPr="00C44CD0">
              <w:rPr>
                <w:rFonts w:ascii="Verdana" w:eastAsia="Calibri" w:hAnsi="Verdana" w:cs="Arial"/>
                <w:lang w:val="es-ES"/>
              </w:rPr>
              <w:t xml:space="preserve"> la obligación principal del negocio –es decir, sobre el “objeto”– y sobre la contraprestación, sino que se debe plasmar por escrito. Por otra parte, los requisitos legales de ejecución son: i) la aprobación de las garantías exigidas en el contrato, </w:t>
            </w:r>
            <w:proofErr w:type="spellStart"/>
            <w:r w:rsidR="00873C5B" w:rsidRPr="00C44CD0">
              <w:rPr>
                <w:rFonts w:ascii="Verdana" w:eastAsia="Calibri" w:hAnsi="Verdana" w:cs="Arial"/>
                <w:lang w:val="es-ES"/>
              </w:rPr>
              <w:t>ii</w:t>
            </w:r>
            <w:proofErr w:type="spellEnd"/>
            <w:r w:rsidR="00873C5B" w:rsidRPr="00C44CD0">
              <w:rPr>
                <w:rFonts w:ascii="Verdana" w:eastAsia="Calibri" w:hAnsi="Verdana" w:cs="Arial"/>
                <w:lang w:val="es-ES"/>
              </w:rPr>
              <w:t xml:space="preserve">) la existencia de la apropiación presupuestal correspondiente y </w:t>
            </w:r>
            <w:proofErr w:type="spellStart"/>
            <w:r w:rsidR="00873C5B" w:rsidRPr="00C44CD0">
              <w:rPr>
                <w:rFonts w:ascii="Verdana" w:eastAsia="Calibri" w:hAnsi="Verdana" w:cs="Arial"/>
                <w:lang w:val="es-ES"/>
              </w:rPr>
              <w:t>iii</w:t>
            </w:r>
            <w:proofErr w:type="spellEnd"/>
            <w:r w:rsidR="00873C5B" w:rsidRPr="00C44CD0">
              <w:rPr>
                <w:rFonts w:ascii="Verdana" w:eastAsia="Calibri" w:hAnsi="Verdana" w:cs="Arial"/>
                <w:lang w:val="es-ES"/>
              </w:rPr>
              <w:t xml:space="preserve">) la acreditación del cumplimiento de las obligaciones con el Sistema de Seguridad </w:t>
            </w:r>
            <w:r w:rsidR="00873C5B" w:rsidRPr="00C44CD0">
              <w:rPr>
                <w:rFonts w:ascii="Verdana" w:eastAsia="Arial" w:hAnsi="Verdana" w:cs="Arial"/>
                <w:bCs/>
                <w:color w:val="000000" w:themeColor="text1"/>
                <w:lang w:val="es-ES"/>
              </w:rPr>
              <w:t>Social</w:t>
            </w:r>
            <w:r w:rsidR="00873C5B" w:rsidRPr="00C44CD0">
              <w:rPr>
                <w:rFonts w:ascii="Verdana" w:eastAsia="Calibri" w:hAnsi="Verdana" w:cs="Arial"/>
                <w:lang w:val="es-ES"/>
              </w:rPr>
              <w:t xml:space="preserve"> Integral; </w:t>
            </w:r>
            <w:r w:rsidR="007F50C9" w:rsidRPr="00C44CD0">
              <w:rPr>
                <w:rFonts w:ascii="Verdana" w:eastAsia="Calibri" w:hAnsi="Verdana" w:cs="Arial"/>
                <w:lang w:val="es-ES"/>
              </w:rPr>
              <w:t>e</w:t>
            </w:r>
            <w:r w:rsidRPr="00C44CD0">
              <w:rPr>
                <w:rFonts w:ascii="Verdana" w:eastAsia="Times New Roman" w:hAnsi="Verdana" w:cs="Arial"/>
                <w:bCs/>
                <w:lang w:val="es-ES" w:eastAsia="es-CO"/>
              </w:rPr>
              <w:t xml:space="preserve">n algunos casos, </w:t>
            </w:r>
            <w:r w:rsidR="00873C5B" w:rsidRPr="00C44CD0">
              <w:rPr>
                <w:rFonts w:ascii="Verdana" w:eastAsia="Times New Roman" w:hAnsi="Verdana" w:cs="Arial"/>
                <w:bCs/>
                <w:lang w:val="es-ES" w:eastAsia="es-CO"/>
              </w:rPr>
              <w:t xml:space="preserve">convencionalmente </w:t>
            </w:r>
            <w:r w:rsidRPr="00C44CD0">
              <w:rPr>
                <w:rFonts w:ascii="Verdana" w:eastAsia="Times New Roman" w:hAnsi="Verdana" w:cs="Arial"/>
                <w:bCs/>
                <w:lang w:val="es-ES" w:eastAsia="es-CO"/>
              </w:rPr>
              <w:t xml:space="preserve">la firma del acta de inicio, si así se determinó. </w:t>
            </w:r>
          </w:p>
          <w:p w14:paraId="3035BE8F" w14:textId="68221038" w:rsidR="00873C5B" w:rsidRPr="00C44CD0" w:rsidRDefault="00873C5B" w:rsidP="00873C5B">
            <w:pPr>
              <w:spacing w:before="120" w:after="120" w:line="276" w:lineRule="auto"/>
              <w:ind w:firstLine="709"/>
              <w:jc w:val="both"/>
              <w:rPr>
                <w:rFonts w:ascii="Verdana" w:eastAsia="Arial" w:hAnsi="Verdana" w:cs="Arial"/>
                <w:bCs/>
                <w:color w:val="000000" w:themeColor="text1"/>
                <w:lang w:val="es-ES"/>
              </w:rPr>
            </w:pPr>
            <w:r w:rsidRPr="00C44CD0">
              <w:rPr>
                <w:rFonts w:ascii="Verdana" w:hAnsi="Verdana" w:cs="Arial"/>
                <w:bCs/>
                <w:color w:val="000000" w:themeColor="text1"/>
                <w:lang w:val="es-ES"/>
              </w:rPr>
              <w:t xml:space="preserve">Teniendo en cuenta que el tema de su </w:t>
            </w:r>
            <w:r w:rsidR="00B14F4D" w:rsidRPr="00C44CD0">
              <w:rPr>
                <w:rFonts w:ascii="Verdana" w:hAnsi="Verdana" w:cs="Arial"/>
                <w:bCs/>
                <w:color w:val="000000" w:themeColor="text1"/>
                <w:lang w:val="es-ES"/>
              </w:rPr>
              <w:t>consulta</w:t>
            </w:r>
            <w:r w:rsidRPr="00C44CD0">
              <w:rPr>
                <w:rFonts w:ascii="Verdana" w:hAnsi="Verdana" w:cs="Arial"/>
                <w:bCs/>
                <w:color w:val="000000" w:themeColor="text1"/>
                <w:lang w:val="es-ES"/>
              </w:rPr>
              <w:t xml:space="preserve"> atañe también a requisitos de perfeccionamiento y requisitos de ejecución, es pertinente señalar que, </w:t>
            </w:r>
            <w:r w:rsidRPr="00C44CD0">
              <w:rPr>
                <w:rFonts w:ascii="Verdana" w:hAnsi="Verdana" w:cs="Arial"/>
                <w:color w:val="000000" w:themeColor="text1"/>
                <w:lang w:val="es-ES"/>
              </w:rPr>
              <w:t xml:space="preserve">la Circular Externa Única de la </w:t>
            </w:r>
            <w:r w:rsidRPr="00C44CD0">
              <w:rPr>
                <w:rFonts w:ascii="Verdana" w:eastAsia="Calibri" w:hAnsi="Verdana" w:cs="Arial"/>
                <w:color w:val="000000" w:themeColor="text1"/>
                <w:lang w:val="es-ES" w:eastAsia="es-ES"/>
              </w:rPr>
              <w:t>Agencia Nacional de Contratación Pública – Colombia Compra Eficiente–</w:t>
            </w:r>
            <w:r w:rsidR="00B14F4D" w:rsidRPr="00C44CD0">
              <w:rPr>
                <w:rStyle w:val="Refdenotaalpie"/>
                <w:rFonts w:ascii="Verdana" w:eastAsia="Calibri" w:hAnsi="Verdana" w:cs="Arial"/>
                <w:color w:val="000000" w:themeColor="text1"/>
                <w:lang w:val="es-ES" w:eastAsia="es-ES"/>
              </w:rPr>
              <w:footnoteReference w:id="1"/>
            </w:r>
            <w:r w:rsidRPr="00C44CD0">
              <w:rPr>
                <w:rFonts w:ascii="Verdana" w:eastAsia="Calibri" w:hAnsi="Verdana" w:cs="Arial"/>
                <w:color w:val="000000" w:themeColor="text1"/>
                <w:lang w:val="es-ES" w:eastAsia="es-ES"/>
              </w:rPr>
              <w:t xml:space="preserve"> aclaró que “</w:t>
            </w:r>
            <w:r w:rsidRPr="00C44CD0">
              <w:rPr>
                <w:rFonts w:ascii="Verdana" w:eastAsia="Calibri" w:hAnsi="Verdana" w:cs="Arial"/>
                <w:i/>
                <w:iCs/>
                <w:color w:val="000000" w:themeColor="text1"/>
                <w:lang w:val="es-ES" w:eastAsia="es-ES"/>
              </w:rPr>
              <w:t xml:space="preserve">La realización del registro presupuestal y la aprobación de la garantía pueden realizarse con posterioridad a la </w:t>
            </w:r>
            <w:proofErr w:type="gramStart"/>
            <w:r w:rsidRPr="00C44CD0">
              <w:rPr>
                <w:rFonts w:ascii="Verdana" w:eastAsia="Calibri" w:hAnsi="Verdana" w:cs="Arial"/>
                <w:i/>
                <w:iCs/>
                <w:color w:val="000000" w:themeColor="text1"/>
                <w:lang w:val="es-ES" w:eastAsia="es-ES"/>
              </w:rPr>
              <w:t>entrada en vigencia</w:t>
            </w:r>
            <w:proofErr w:type="gramEnd"/>
            <w:r w:rsidRPr="00C44CD0">
              <w:rPr>
                <w:rFonts w:ascii="Verdana" w:eastAsia="Calibri" w:hAnsi="Verdana" w:cs="Arial"/>
                <w:i/>
                <w:iCs/>
                <w:color w:val="000000" w:themeColor="text1"/>
                <w:lang w:val="es-ES" w:eastAsia="es-ES"/>
              </w:rPr>
              <w:t xml:space="preserve"> de la Ley de Garantías por ser requisitos de ejecución del contrato, no de su perfeccionamiento</w:t>
            </w:r>
            <w:r w:rsidRPr="00C44CD0">
              <w:rPr>
                <w:rFonts w:ascii="Verdana" w:eastAsia="Calibri" w:hAnsi="Verdana" w:cs="Arial"/>
                <w:color w:val="000000" w:themeColor="text1"/>
                <w:lang w:val="es-ES" w:eastAsia="es-ES"/>
              </w:rPr>
              <w:t xml:space="preserve">”.  </w:t>
            </w:r>
          </w:p>
          <w:p w14:paraId="7F918529" w14:textId="77777777" w:rsidR="00E325EA" w:rsidRPr="00C44CD0" w:rsidRDefault="00873C5B" w:rsidP="00E325EA">
            <w:pPr>
              <w:spacing w:before="120" w:after="120" w:line="276" w:lineRule="auto"/>
              <w:ind w:firstLine="742"/>
              <w:jc w:val="both"/>
              <w:rPr>
                <w:rFonts w:ascii="Verdana" w:eastAsia="Arial" w:hAnsi="Verdana" w:cs="Arial"/>
                <w:bCs/>
                <w:color w:val="000000" w:themeColor="text1"/>
                <w:lang w:val="es-ES"/>
              </w:rPr>
            </w:pPr>
            <w:r w:rsidRPr="00C44CD0">
              <w:rPr>
                <w:rFonts w:ascii="Verdana" w:eastAsia="Arial" w:hAnsi="Verdana" w:cs="Arial"/>
                <w:bCs/>
                <w:color w:val="000000" w:themeColor="text1"/>
                <w:lang w:val="es-ES"/>
              </w:rPr>
              <w:lastRenderedPageBreak/>
              <w:t xml:space="preserve">Conforme con lo expuesto, las entidades que requieran adelantar procesos de contratación directa </w:t>
            </w:r>
            <w:r w:rsidR="00E325EA" w:rsidRPr="00C44CD0">
              <w:rPr>
                <w:rFonts w:ascii="Verdana" w:eastAsia="Arial" w:hAnsi="Verdana" w:cs="Arial"/>
                <w:bCs/>
                <w:color w:val="000000" w:themeColor="text1"/>
                <w:lang w:val="es-ES"/>
              </w:rPr>
              <w:t xml:space="preserve">inmediatamente antes </w:t>
            </w:r>
            <w:r w:rsidRPr="00C44CD0">
              <w:rPr>
                <w:rFonts w:ascii="Verdana" w:eastAsia="Arial" w:hAnsi="Verdana" w:cs="Arial"/>
                <w:bCs/>
                <w:color w:val="000000" w:themeColor="text1"/>
                <w:lang w:val="es-ES"/>
              </w:rPr>
              <w:t>d</w:t>
            </w:r>
            <w:r w:rsidR="00E325EA" w:rsidRPr="00C44CD0">
              <w:rPr>
                <w:rFonts w:ascii="Verdana" w:eastAsia="Arial" w:hAnsi="Verdana" w:cs="Arial"/>
                <w:bCs/>
                <w:color w:val="000000" w:themeColor="text1"/>
                <w:lang w:val="es-ES"/>
              </w:rPr>
              <w:t>e</w:t>
            </w:r>
            <w:r w:rsidRPr="00C44CD0">
              <w:rPr>
                <w:rFonts w:ascii="Verdana" w:eastAsia="Arial" w:hAnsi="Verdana" w:cs="Arial"/>
                <w:bCs/>
                <w:color w:val="000000" w:themeColor="text1"/>
                <w:lang w:val="es-ES"/>
              </w:rPr>
              <w:t xml:space="preserve">l periodo de garantías electorales deberán analizar, si los trámites que se adelantarán </w:t>
            </w:r>
            <w:r w:rsidR="00E325EA" w:rsidRPr="00C44CD0">
              <w:rPr>
                <w:rFonts w:ascii="Verdana" w:eastAsia="Arial" w:hAnsi="Verdana" w:cs="Arial"/>
                <w:bCs/>
                <w:color w:val="000000" w:themeColor="text1"/>
                <w:lang w:val="es-ES"/>
              </w:rPr>
              <w:t xml:space="preserve">después </w:t>
            </w:r>
            <w:r w:rsidRPr="00C44CD0">
              <w:rPr>
                <w:rFonts w:ascii="Verdana" w:eastAsia="Arial" w:hAnsi="Verdana" w:cs="Arial"/>
                <w:bCs/>
                <w:color w:val="000000" w:themeColor="text1"/>
                <w:lang w:val="es-ES"/>
              </w:rPr>
              <w:t xml:space="preserve">de la </w:t>
            </w:r>
            <w:proofErr w:type="gramStart"/>
            <w:r w:rsidRPr="00C44CD0">
              <w:rPr>
                <w:rFonts w:ascii="Verdana" w:eastAsia="Arial" w:hAnsi="Verdana" w:cs="Arial"/>
                <w:bCs/>
                <w:color w:val="000000" w:themeColor="text1"/>
                <w:lang w:val="es-ES"/>
              </w:rPr>
              <w:t>entrada en vigencia</w:t>
            </w:r>
            <w:proofErr w:type="gramEnd"/>
            <w:r w:rsidRPr="00C44CD0">
              <w:rPr>
                <w:rFonts w:ascii="Verdana" w:eastAsia="Arial" w:hAnsi="Verdana" w:cs="Arial"/>
                <w:bCs/>
                <w:color w:val="000000" w:themeColor="text1"/>
                <w:lang w:val="es-ES"/>
              </w:rPr>
              <w:t xml:space="preserve"> de la Ley de Garantías Electorales corresponden a requisitos de perfeccionamiento o de ejecución de los contratos estatales.</w:t>
            </w:r>
          </w:p>
          <w:p w14:paraId="4DAF7FA8" w14:textId="40F3B541" w:rsidR="004876D0" w:rsidRPr="00C44CD0" w:rsidRDefault="003C7E03" w:rsidP="00E325EA">
            <w:pPr>
              <w:spacing w:before="120" w:after="120" w:line="276" w:lineRule="auto"/>
              <w:ind w:firstLine="742"/>
              <w:jc w:val="both"/>
              <w:rPr>
                <w:rFonts w:ascii="Verdana" w:eastAsia="Arial" w:hAnsi="Verdana" w:cs="Arial"/>
                <w:bCs/>
                <w:color w:val="000000" w:themeColor="text1"/>
                <w:lang w:val="es-ES"/>
              </w:rPr>
            </w:pPr>
            <w:r w:rsidRPr="00C44CD0">
              <w:rPr>
                <w:rFonts w:ascii="Verdana" w:eastAsia="Calibri" w:hAnsi="Verdana" w:cs="Arial"/>
                <w:lang w:val="es-ES"/>
              </w:rPr>
              <w:t>Así pues</w:t>
            </w:r>
            <w:r w:rsidR="00E325EA" w:rsidRPr="00C44CD0">
              <w:rPr>
                <w:rFonts w:ascii="Verdana" w:eastAsia="Calibri" w:hAnsi="Verdana" w:cs="Arial"/>
                <w:lang w:val="es-ES"/>
              </w:rPr>
              <w:t>, p</w:t>
            </w:r>
            <w:r w:rsidR="00B14F4D" w:rsidRPr="00C44CD0">
              <w:rPr>
                <w:rFonts w:ascii="Verdana" w:eastAsia="Calibri" w:hAnsi="Verdana" w:cs="Arial"/>
                <w:lang w:val="es-ES"/>
              </w:rPr>
              <w:t>ar</w:t>
            </w:r>
            <w:r w:rsidR="007F50C9" w:rsidRPr="00C44CD0">
              <w:rPr>
                <w:rFonts w:ascii="Verdana" w:eastAsia="Calibri" w:hAnsi="Verdana" w:cs="Arial"/>
                <w:lang w:val="es-ES"/>
              </w:rPr>
              <w:t xml:space="preserve">a dar una respuesta suficiente a la cuestión planteada por el peticionario, </w:t>
            </w:r>
            <w:r w:rsidR="00B14F4D" w:rsidRPr="00C44CD0">
              <w:rPr>
                <w:rFonts w:ascii="Verdana" w:eastAsia="Calibri" w:hAnsi="Verdana" w:cs="Arial"/>
                <w:lang w:val="es-ES"/>
              </w:rPr>
              <w:t xml:space="preserve">se debe determinar el momento en que se traduce el perfeccionamiento del contrato estatal en el sistema de SECOP II. En el SECOP II </w:t>
            </w:r>
            <w:r w:rsidR="004876D0" w:rsidRPr="00C44CD0">
              <w:rPr>
                <w:rFonts w:ascii="Verdana" w:eastAsia="Calibri" w:hAnsi="Verdana" w:cs="Arial"/>
                <w:lang w:val="es-ES"/>
              </w:rPr>
              <w:t xml:space="preserve">como plataforma transaccional para la actividad contractual del Estado, se permite que los contratos que se publiquen sean firmados electrónicamente. De este modo, el proceso mediante el cual se efectúa la firma del contrato y su consecuente aprobación o rechazo es realizado </w:t>
            </w:r>
            <w:r w:rsidR="00B14F4D" w:rsidRPr="00C44CD0">
              <w:rPr>
                <w:rFonts w:ascii="Verdana" w:eastAsia="Calibri" w:hAnsi="Verdana" w:cs="Arial"/>
                <w:lang w:val="es-ES"/>
              </w:rPr>
              <w:t xml:space="preserve">dentro </w:t>
            </w:r>
            <w:r w:rsidR="004876D0" w:rsidRPr="00C44CD0">
              <w:rPr>
                <w:rFonts w:ascii="Verdana" w:eastAsia="Calibri" w:hAnsi="Verdana" w:cs="Arial"/>
                <w:lang w:val="es-ES"/>
              </w:rPr>
              <w:t>del SECOP II. Así, después de que se adjudica el proceso de contratación en la plataforma se inicia el procedimiento por parte de la Entidad Estatal para que se cambie el estado del proceso a “adjudicado”, con lo cual se genera el contrato electrónico en estado “en edición”.</w:t>
            </w:r>
          </w:p>
          <w:p w14:paraId="60C11F61" w14:textId="4B86487A" w:rsidR="004876D0" w:rsidRPr="00C44CD0" w:rsidRDefault="004876D0" w:rsidP="00EA32A5">
            <w:pPr>
              <w:spacing w:after="120" w:line="276" w:lineRule="auto"/>
              <w:ind w:firstLine="567"/>
              <w:jc w:val="both"/>
              <w:rPr>
                <w:rFonts w:ascii="Verdana" w:eastAsia="Calibri" w:hAnsi="Verdana" w:cs="Arial"/>
              </w:rPr>
            </w:pPr>
            <w:r w:rsidRPr="00C44CD0">
              <w:rPr>
                <w:rFonts w:ascii="Verdana" w:eastAsia="Calibri" w:hAnsi="Verdana" w:cs="Arial"/>
                <w:lang w:val="es-ES"/>
              </w:rPr>
              <w:t>Conforme lo señala “Guía SECOP II – Gestión Contractual Para Entidades Estatales</w:t>
            </w:r>
            <w:r w:rsidRPr="00C44CD0">
              <w:rPr>
                <w:rStyle w:val="Refdenotaalpie"/>
                <w:rFonts w:ascii="Verdana" w:eastAsia="Calibri" w:hAnsi="Verdana" w:cs="Arial"/>
                <w:lang w:val="es-ES"/>
              </w:rPr>
              <w:footnoteReference w:id="2"/>
            </w:r>
            <w:r w:rsidRPr="00C44CD0">
              <w:rPr>
                <w:rFonts w:ascii="Verdana" w:eastAsia="Calibri" w:hAnsi="Verdana" w:cs="Arial"/>
                <w:lang w:val="es-ES"/>
              </w:rPr>
              <w:t xml:space="preserve">” </w:t>
            </w:r>
            <w:r w:rsidRPr="00C44CD0">
              <w:rPr>
                <w:rFonts w:ascii="Verdana" w:eastAsia="Calibri" w:hAnsi="Verdana" w:cs="Arial"/>
              </w:rPr>
              <w:t>es importante que previamente el usuario administrador de la Entidad Estatal haya configurado flujos de aprobación en este hito del proceso con el fin de que el contrato electrónico sea enviado al ordenador del gasto</w:t>
            </w:r>
            <w:r w:rsidR="007F50C9" w:rsidRPr="00C44CD0">
              <w:rPr>
                <w:rFonts w:ascii="Verdana" w:eastAsia="Calibri" w:hAnsi="Verdana" w:cs="Arial"/>
              </w:rPr>
              <w:t xml:space="preserve"> o</w:t>
            </w:r>
            <w:r w:rsidRPr="00C44CD0">
              <w:rPr>
                <w:rFonts w:ascii="Verdana" w:eastAsia="Calibri" w:hAnsi="Verdana" w:cs="Arial"/>
              </w:rPr>
              <w:t xml:space="preserve"> representante legal de la entidad para su aprobación final.</w:t>
            </w:r>
            <w:r w:rsidRPr="00C44CD0">
              <w:rPr>
                <w:rFonts w:ascii="Verdana" w:eastAsia="Calibri" w:hAnsi="Verdana" w:cs="Arial"/>
                <w:lang w:val="es-ES"/>
              </w:rPr>
              <w:t xml:space="preserve"> </w:t>
            </w:r>
            <w:r w:rsidRPr="00C44CD0">
              <w:rPr>
                <w:rFonts w:ascii="Verdana" w:eastAsia="Calibri" w:hAnsi="Verdana" w:cs="Arial"/>
              </w:rPr>
              <w:t>Una vez el ordenador del gasto de la entidad realice la aprobación el estado del contrato cambia a “Firmado” y quedará público para consulta de cualquier interesado.</w:t>
            </w:r>
          </w:p>
          <w:p w14:paraId="6BDDB3C9" w14:textId="427825A2" w:rsidR="004876D0" w:rsidRPr="00C44CD0" w:rsidRDefault="004876D0" w:rsidP="00EA32A5">
            <w:pPr>
              <w:spacing w:after="120" w:line="276" w:lineRule="auto"/>
              <w:ind w:firstLine="709"/>
              <w:jc w:val="both"/>
              <w:rPr>
                <w:rFonts w:ascii="Verdana" w:eastAsia="Calibri" w:hAnsi="Verdana" w:cs="Arial"/>
                <w:lang w:val="es-ES"/>
              </w:rPr>
            </w:pPr>
            <w:r w:rsidRPr="00C44CD0">
              <w:rPr>
                <w:rFonts w:ascii="Verdana" w:eastAsia="Calibri" w:hAnsi="Verdana" w:cs="Arial"/>
                <w:lang w:val="es-ES"/>
              </w:rPr>
              <w:t xml:space="preserve">Así las cosas, cuando el proceso de contratación se adelanta por el SECOP II la aprobación del contrato para su perfeccionamiento y posterior ejecución deberá efectuarse en dicha plataforma de conformidad con el procedimiento descrito. </w:t>
            </w:r>
            <w:r w:rsidRPr="00C44CD0">
              <w:rPr>
                <w:rFonts w:ascii="Verdana" w:eastAsia="Calibri" w:hAnsi="Verdana" w:cs="Arial"/>
                <w:i/>
                <w:iCs/>
                <w:lang w:val="es-ES"/>
              </w:rPr>
              <w:t xml:space="preserve">En todo caso, hasta que no se </w:t>
            </w:r>
            <w:r w:rsidR="003C7E03" w:rsidRPr="00C44CD0">
              <w:rPr>
                <w:rFonts w:ascii="Verdana" w:eastAsia="Calibri" w:hAnsi="Verdana" w:cs="Arial"/>
                <w:i/>
                <w:iCs/>
                <w:lang w:val="es-ES"/>
              </w:rPr>
              <w:t>efectúe</w:t>
            </w:r>
            <w:r w:rsidRPr="00C44CD0">
              <w:rPr>
                <w:rFonts w:ascii="Verdana" w:eastAsia="Calibri" w:hAnsi="Verdana" w:cs="Arial"/>
                <w:i/>
                <w:iCs/>
                <w:lang w:val="es-ES"/>
              </w:rPr>
              <w:t xml:space="preserve"> la aprobación en el SECOP II por parte del ordenador del gasto de la Entidad no se entiende perfeccionado el contrato.</w:t>
            </w:r>
          </w:p>
          <w:p w14:paraId="33472746" w14:textId="77777777" w:rsidR="004876D0" w:rsidRPr="00C44CD0" w:rsidRDefault="004876D0" w:rsidP="00EA32A5">
            <w:pPr>
              <w:spacing w:after="120" w:line="276" w:lineRule="auto"/>
              <w:ind w:firstLine="567"/>
              <w:jc w:val="both"/>
              <w:rPr>
                <w:rFonts w:ascii="Verdana" w:eastAsia="Calibri" w:hAnsi="Verdana" w:cs="Arial"/>
                <w:lang w:val="es-ES"/>
              </w:rPr>
            </w:pPr>
            <w:r w:rsidRPr="00C44CD0">
              <w:rPr>
                <w:rFonts w:ascii="Verdana" w:eastAsia="Calibri" w:hAnsi="Verdana" w:cs="Arial"/>
                <w:lang w:val="es-ES"/>
              </w:rPr>
              <w:t xml:space="preserve">Bajo este contexto, en atención a la consulta planteada, es pertinente señalar que debido a que el concepto “celebrar” para efectos de las </w:t>
            </w:r>
            <w:r w:rsidRPr="00C44CD0">
              <w:rPr>
                <w:rFonts w:ascii="Verdana" w:eastAsia="Calibri" w:hAnsi="Verdana" w:cs="Arial"/>
                <w:lang w:val="es-ES"/>
              </w:rPr>
              <w:lastRenderedPageBreak/>
              <w:t>restricciones a la contratación previstas en la Ley de Garantías Electorales se asocia al momento del perfeccionamiento del contrato estatal, es necesario tener en cuenta dicho hito en los procesos adelantados a través de la plataforma SECOP II. De esta forma, como se indicó, al tratarse de un sistema transaccional, el contrato se entiende celebrado una vez se ha surtido la aprobación y publicación por parte de la entidad estatal, momento en el cual la plataforma registra el estado de “firmado”, dejando constancia de la concurrencia de voluntades y del cumplimiento del requisito de perfeccionamiento.</w:t>
            </w:r>
          </w:p>
          <w:p w14:paraId="4BBA68A5" w14:textId="6E0CF9C6" w:rsidR="004876D0" w:rsidRPr="00C44CD0" w:rsidRDefault="004876D0" w:rsidP="00EA32A5">
            <w:pPr>
              <w:spacing w:after="120" w:line="276" w:lineRule="auto"/>
              <w:ind w:firstLine="567"/>
              <w:jc w:val="both"/>
              <w:rPr>
                <w:rFonts w:ascii="Verdana" w:eastAsia="Calibri" w:hAnsi="Verdana" w:cs="Arial"/>
                <w:i/>
                <w:iCs/>
              </w:rPr>
            </w:pPr>
            <w:r w:rsidRPr="00C44CD0">
              <w:rPr>
                <w:rFonts w:ascii="Verdana" w:eastAsia="Calibri" w:hAnsi="Verdana" w:cs="Arial"/>
              </w:rPr>
              <w:t xml:space="preserve">En este orden de ideas, dentro del flujo de aprobación que la entidad haya configurado en el SECOP II, </w:t>
            </w:r>
            <w:r w:rsidRPr="00C44CD0">
              <w:rPr>
                <w:rFonts w:ascii="Verdana" w:eastAsia="Calibri" w:hAnsi="Verdana" w:cs="Arial"/>
                <w:i/>
                <w:iCs/>
              </w:rPr>
              <w:t>el momento en que el ordenador del gasto emite su aprobación final constituye el hito en el cual se consolida efectivamente la concurrencia de voluntades y el acuerdo contractual.</w:t>
            </w:r>
            <w:r w:rsidRPr="00C44CD0">
              <w:rPr>
                <w:rFonts w:ascii="Verdana" w:eastAsia="Calibri" w:hAnsi="Verdana" w:cs="Arial"/>
              </w:rPr>
              <w:t xml:space="preserve"> Ello obedece a que, de manera previa, el proveedor ya ha otorgado su aprobación al contrato, manifestando su aceptación integral de las condiciones pactadas. </w:t>
            </w:r>
            <w:r w:rsidRPr="00C44CD0">
              <w:rPr>
                <w:rFonts w:ascii="Verdana" w:eastAsia="Calibri" w:hAnsi="Verdana" w:cs="Arial"/>
                <w:i/>
                <w:iCs/>
              </w:rPr>
              <w:t>Así, con la aprobación posterior del ordenador del gasto se perfecciona el consentimiento recíproco sobre el objeto y la contraprestación y queda formalmente estructurado el acuerdo</w:t>
            </w:r>
            <w:r w:rsidR="007F50C9" w:rsidRPr="00C44CD0">
              <w:rPr>
                <w:rFonts w:ascii="Verdana" w:eastAsia="Calibri" w:hAnsi="Verdana" w:cs="Arial"/>
                <w:i/>
                <w:iCs/>
              </w:rPr>
              <w:t>, cumplimento con los requisitos de perfeccionamiento del artículo 41 de la Ley 80 de 1993</w:t>
            </w:r>
            <w:r w:rsidRPr="00C44CD0">
              <w:rPr>
                <w:rFonts w:ascii="Verdana" w:eastAsia="Calibri" w:hAnsi="Verdana" w:cs="Arial"/>
                <w:i/>
                <w:iCs/>
              </w:rPr>
              <w:t>.</w:t>
            </w:r>
          </w:p>
          <w:p w14:paraId="494D4EF8" w14:textId="7E829F97" w:rsidR="004876D0" w:rsidRPr="00C44CD0" w:rsidRDefault="004876D0" w:rsidP="00EA32A5">
            <w:pPr>
              <w:spacing w:after="120" w:line="276" w:lineRule="auto"/>
              <w:ind w:firstLine="567"/>
              <w:jc w:val="both"/>
              <w:rPr>
                <w:rFonts w:ascii="Verdana" w:eastAsia="Calibri" w:hAnsi="Verdana" w:cs="Arial"/>
              </w:rPr>
            </w:pPr>
            <w:r w:rsidRPr="00C44CD0">
              <w:rPr>
                <w:rFonts w:ascii="Verdana" w:eastAsia="Calibri" w:hAnsi="Verdana" w:cs="Arial"/>
                <w:lang w:val="es-ES"/>
              </w:rPr>
              <w:t>Así las cosas, tratándose de procesos gestionados en SECOP II, las actuaciones necesarias para que el contrato adquiera el estado de “firmado”</w:t>
            </w:r>
            <w:r w:rsidR="00E325EA" w:rsidRPr="00C44CD0">
              <w:rPr>
                <w:rFonts w:ascii="Verdana" w:eastAsia="Calibri" w:hAnsi="Verdana" w:cs="Arial"/>
                <w:lang w:val="es-ES"/>
              </w:rPr>
              <w:t xml:space="preserve"> (entiéndase, celebrado o perfeccionado),</w:t>
            </w:r>
            <w:r w:rsidRPr="00C44CD0">
              <w:rPr>
                <w:rFonts w:ascii="Verdana" w:eastAsia="Calibri" w:hAnsi="Verdana" w:cs="Arial"/>
                <w:lang w:val="es-ES"/>
              </w:rPr>
              <w:t xml:space="preserve"> deben realizarse antes de la </w:t>
            </w:r>
            <w:proofErr w:type="gramStart"/>
            <w:r w:rsidRPr="00C44CD0">
              <w:rPr>
                <w:rFonts w:ascii="Verdana" w:eastAsia="Calibri" w:hAnsi="Verdana" w:cs="Arial"/>
                <w:lang w:val="es-ES"/>
              </w:rPr>
              <w:t>entrada en vigencia</w:t>
            </w:r>
            <w:proofErr w:type="gramEnd"/>
            <w:r w:rsidRPr="00C44CD0">
              <w:rPr>
                <w:rFonts w:ascii="Verdana" w:eastAsia="Calibri" w:hAnsi="Verdana" w:cs="Arial"/>
                <w:lang w:val="es-ES"/>
              </w:rPr>
              <w:t xml:space="preserve"> de las restricciones previstas en la Ley de Garantías Electorales. De lo contrario, si el perfeccionamiento, es decir, si la aprobación final por parte del ordenador del gasto y su registro como estado “firmado” en la plataforma se produce cuando ya se encuentra vigente la prohibición establecida en el artículo 33 </w:t>
            </w:r>
            <w:r w:rsidR="007F50C9" w:rsidRPr="00C44CD0">
              <w:rPr>
                <w:rFonts w:ascii="Verdana" w:eastAsia="Calibri" w:hAnsi="Verdana" w:cs="Arial"/>
                <w:lang w:val="es-ES"/>
              </w:rPr>
              <w:t>de la Ley de Garantías electorales</w:t>
            </w:r>
            <w:r w:rsidRPr="00C44CD0">
              <w:rPr>
                <w:rFonts w:ascii="Verdana" w:eastAsia="Calibri" w:hAnsi="Verdana" w:cs="Arial"/>
                <w:lang w:val="es-ES"/>
              </w:rPr>
              <w:t>, se entiende que el contrato fue celebrado en vigencia de dicha restricción, con las consecuencias jurídicas a que haya lugar, sin que resulte suficiente que etapas previas del proceso se hubieren adelantado con anterioridad.</w:t>
            </w:r>
          </w:p>
          <w:p w14:paraId="35DB4F72" w14:textId="573987DC" w:rsidR="004876D0" w:rsidRPr="00C44CD0" w:rsidRDefault="004876D0" w:rsidP="00EA32A5">
            <w:pPr>
              <w:spacing w:after="120" w:line="276" w:lineRule="auto"/>
              <w:jc w:val="both"/>
              <w:rPr>
                <w:rFonts w:ascii="Verdana" w:eastAsia="Calibri" w:hAnsi="Verdana" w:cs="Arial"/>
              </w:rPr>
            </w:pPr>
            <w:proofErr w:type="spellStart"/>
            <w:r w:rsidRPr="00C44CD0">
              <w:rPr>
                <w:rFonts w:ascii="Verdana" w:eastAsia="Times New Roman" w:hAnsi="Verdana" w:cs="Arial"/>
                <w:bCs/>
                <w:lang w:val="es-ES" w:eastAsia="es-CO"/>
              </w:rPr>
              <w:t>ii</w:t>
            </w:r>
            <w:r w:rsidR="00700438" w:rsidRPr="00C44CD0">
              <w:rPr>
                <w:rFonts w:ascii="Verdana" w:eastAsia="Times New Roman" w:hAnsi="Verdana" w:cs="Arial"/>
                <w:bCs/>
                <w:lang w:val="es-ES" w:eastAsia="es-CO"/>
              </w:rPr>
              <w:t>i</w:t>
            </w:r>
            <w:proofErr w:type="spellEnd"/>
            <w:r w:rsidRPr="00C44CD0">
              <w:rPr>
                <w:rFonts w:ascii="Verdana" w:eastAsia="Times New Roman" w:hAnsi="Verdana" w:cs="Arial"/>
                <w:bCs/>
                <w:lang w:val="es-ES" w:eastAsia="es-CO"/>
              </w:rPr>
              <w:t xml:space="preserve">. Cuando el perfeccionamiento del contrato en la plataforma del SECOP II ocurre en vigencia de las restricciones establecidas en la Ley de Garantías Electorales, la entidad deberá revisar la validez del contrato y analizar una posible configuración de nulidad a la luz de lo dispuesto en el artículo 44 de la Ley 80 de 1993. Sobre el régimen de nulidad, la norma en cita </w:t>
            </w:r>
            <w:r w:rsidRPr="00C44CD0">
              <w:rPr>
                <w:rFonts w:ascii="Verdana" w:eastAsia="Calibri" w:hAnsi="Verdana" w:cs="Arial"/>
              </w:rPr>
              <w:t xml:space="preserve">señala como </w:t>
            </w:r>
            <w:r w:rsidRPr="00C44CD0">
              <w:rPr>
                <w:rFonts w:ascii="Verdana" w:eastAsia="Calibri" w:hAnsi="Verdana" w:cs="Arial"/>
              </w:rPr>
              <w:lastRenderedPageBreak/>
              <w:t>causales de nulidad del contrato estatal, las siguientes: 1. Que el contrato se celebre con personas incursas en causales de inhabilidad o incompatibilidad previstas en la Constitución y la ley. 2. Que se celebre contra expresa prohibición constitucional o legal. 3. Que se celebre con abuso o desviación de poder. 4. Que se declaren nulos los actos administrativos en que se fundamenten. 5. Que se hubieren celebrado con desconocimiento de los criterios previstos para el tratamiento de ofertas nacionales y extranjeras o con violación de la reciprocidad.</w:t>
            </w:r>
          </w:p>
          <w:p w14:paraId="3983899A" w14:textId="278D9B7E" w:rsidR="004876D0" w:rsidRPr="00C44CD0" w:rsidRDefault="004876D0" w:rsidP="00EA32A5">
            <w:pPr>
              <w:spacing w:after="120" w:line="276" w:lineRule="auto"/>
              <w:ind w:firstLine="743"/>
              <w:jc w:val="both"/>
              <w:rPr>
                <w:rFonts w:ascii="Verdana" w:eastAsia="Calibri" w:hAnsi="Verdana" w:cs="Arial"/>
              </w:rPr>
            </w:pPr>
            <w:r w:rsidRPr="00C44CD0">
              <w:rPr>
                <w:rFonts w:ascii="Verdana" w:eastAsia="Calibri" w:hAnsi="Verdana" w:cs="Arial"/>
                <w:bCs/>
              </w:rPr>
              <w:t xml:space="preserve">En concordancia con lo anterior, el artículo 45 de la Ley 80 de 1993 establece que la nulidad absoluta del contrato podrá alegarse por las partes, por el agente del ministerio público, por cualquier persona o declarada de oficio, y no siendo susceptible de saneamiento por ratificación. </w:t>
            </w:r>
            <w:r w:rsidRPr="00C44CD0">
              <w:rPr>
                <w:rFonts w:ascii="Verdana" w:eastAsia="Calibri" w:hAnsi="Verdana" w:cs="Arial"/>
                <w:bCs/>
                <w:i/>
                <w:iCs/>
              </w:rPr>
              <w:t xml:space="preserve">Además, de acuerdo con el inciso segundo, cuando se presente alguna </w:t>
            </w:r>
            <w:r w:rsidR="00E325EA" w:rsidRPr="00C44CD0">
              <w:rPr>
                <w:rFonts w:ascii="Verdana" w:eastAsia="Calibri" w:hAnsi="Verdana" w:cs="Arial"/>
                <w:bCs/>
                <w:i/>
                <w:iCs/>
              </w:rPr>
              <w:t xml:space="preserve">de </w:t>
            </w:r>
            <w:r w:rsidRPr="00C44CD0">
              <w:rPr>
                <w:rFonts w:ascii="Verdana" w:eastAsia="Calibri" w:hAnsi="Verdana" w:cs="Arial"/>
                <w:bCs/>
                <w:i/>
                <w:iCs/>
              </w:rPr>
              <w:t>las hipótesis señaladas en los numerales 1, 2 y 4 del artículo 44 de la Ley 80 de 1993, la entidad debe terminar el contrato mediante acto administrativo y ordenar su liquidación en el estado en que se encuentre</w:t>
            </w:r>
            <w:r w:rsidRPr="00C44CD0">
              <w:rPr>
                <w:rFonts w:ascii="Verdana" w:eastAsia="Calibri" w:hAnsi="Verdana" w:cs="Arial"/>
                <w:bCs/>
              </w:rPr>
              <w:t>. Estas situaciones se refieren a los casos en que</w:t>
            </w:r>
            <w:r w:rsidRPr="00C44CD0">
              <w:rPr>
                <w:rFonts w:ascii="Verdana" w:eastAsia="Calibri" w:hAnsi="Verdana" w:cs="Arial"/>
              </w:rPr>
              <w:t xml:space="preserve"> el contrato se celebre con personas incursas en causales de inhabilidad o incompatibilidad previstas en la Constitución y la ley, que se celebre contra expresa prohibición constitucional o legal, o que se declaren nulos los actos administrativos en que se fundamenten. </w:t>
            </w:r>
          </w:p>
          <w:p w14:paraId="0642B3D6" w14:textId="77777777" w:rsidR="004876D0" w:rsidRPr="00C44CD0" w:rsidRDefault="004876D0" w:rsidP="00EA32A5">
            <w:pPr>
              <w:spacing w:after="120" w:line="276" w:lineRule="auto"/>
              <w:ind w:firstLine="743"/>
              <w:jc w:val="both"/>
              <w:rPr>
                <w:rFonts w:ascii="Verdana" w:eastAsia="Calibri" w:hAnsi="Verdana" w:cs="Arial"/>
              </w:rPr>
            </w:pPr>
            <w:r w:rsidRPr="00C44CD0">
              <w:rPr>
                <w:rFonts w:ascii="Verdana" w:eastAsia="Calibri" w:hAnsi="Verdana" w:cs="Arial"/>
              </w:rPr>
              <w:t xml:space="preserve">En este sentido, para que proceda la terminación del contrato y su correspondiente liquidación en los términos de la norma citada, resulta indispensable que la entidad verifique que la situación que genera la nulidad se enmarque en alguna de las causales allí señaladas. Particularmente, frente a la circunstancia analizadas es posible que se pueda generar la nulidad absoluta del contrato por la causal de celebración contra expresa prohibición constitucional o legal, por vulnerar las restricciones establecidas en los artículos 33 y 38 de la Ley de Garantías Electorales. </w:t>
            </w:r>
          </w:p>
          <w:p w14:paraId="47F9D8E1" w14:textId="77777777" w:rsidR="004876D0" w:rsidRPr="00C44CD0" w:rsidRDefault="004876D0" w:rsidP="00EA32A5">
            <w:pPr>
              <w:spacing w:after="120" w:line="276" w:lineRule="auto"/>
              <w:ind w:firstLine="567"/>
              <w:jc w:val="both"/>
              <w:rPr>
                <w:rFonts w:ascii="Verdana" w:eastAsia="Times New Roman" w:hAnsi="Verdana" w:cs="Arial"/>
                <w:bCs/>
                <w:lang w:val="es-ES" w:eastAsia="es-CO"/>
              </w:rPr>
            </w:pPr>
            <w:r w:rsidRPr="00C44CD0">
              <w:rPr>
                <w:rFonts w:ascii="Verdana" w:eastAsia="Times New Roman" w:hAnsi="Verdana" w:cs="Arial"/>
                <w:bCs/>
                <w:lang w:val="es-ES" w:eastAsia="es-CO"/>
              </w:rPr>
              <w:t xml:space="preserve">Así las cosas, se concluye que aquellos contratos cuyo perfeccionamiento en la plataforma SECOP II -entendido como el momento en que se surte la aprobación final por parte del ordenador del gasto y se publica el contrato en estado “Firmado”-, haya ocurrido con posterioridad a la entrada en vigencia de la Ley de Garantías Electorales, esta Agencia considera que los mismos se entienden celebrados en infracción de lo previsto en los artículos 33 y 38 </w:t>
            </w:r>
            <w:r w:rsidRPr="00C44CD0">
              <w:rPr>
                <w:rFonts w:ascii="Verdana" w:eastAsia="Times New Roman" w:hAnsi="Verdana" w:cs="Arial"/>
                <w:bCs/>
                <w:i/>
                <w:iCs/>
                <w:lang w:val="es-ES" w:eastAsia="es-CO"/>
              </w:rPr>
              <w:lastRenderedPageBreak/>
              <w:t>ibidem,</w:t>
            </w:r>
            <w:r w:rsidRPr="00C44CD0">
              <w:rPr>
                <w:rFonts w:ascii="Verdana" w:eastAsia="Times New Roman" w:hAnsi="Verdana" w:cs="Arial"/>
                <w:bCs/>
                <w:lang w:val="es-ES" w:eastAsia="es-CO"/>
              </w:rPr>
              <w:t xml:space="preserve"> en la medida en que el hito jurídico de perfeccionamiento ocurrió dentro del período de restricción.</w:t>
            </w:r>
          </w:p>
          <w:p w14:paraId="57021C29" w14:textId="77777777" w:rsidR="004876D0" w:rsidRPr="00C44CD0" w:rsidRDefault="004876D0" w:rsidP="00EA32A5">
            <w:pPr>
              <w:spacing w:after="120" w:line="276" w:lineRule="auto"/>
              <w:ind w:firstLine="567"/>
              <w:jc w:val="both"/>
              <w:rPr>
                <w:rFonts w:ascii="Verdana" w:eastAsia="Times New Roman" w:hAnsi="Verdana" w:cs="Arial"/>
                <w:bCs/>
                <w:lang w:val="es-ES" w:eastAsia="es-CO"/>
              </w:rPr>
            </w:pPr>
            <w:r w:rsidRPr="00C44CD0">
              <w:rPr>
                <w:rFonts w:ascii="Verdana" w:eastAsia="Times New Roman" w:hAnsi="Verdana" w:cs="Arial"/>
                <w:bCs/>
                <w:lang w:val="es-ES" w:eastAsia="es-CO"/>
              </w:rPr>
              <w:t xml:space="preserve">En consecuencia, corresponderá a la entidad estatal efectuar el análisis jurídico integral del caso concreto y determinar la procedencia de las medidas a que haya lugar, a la luz de lo dispuesto en los artículos 44 y 45 de la Ley 80 de 1993. Lo anterior, sin perjuicio de las responsabilidades de tipo disciplinario, fiscal y penal que puedan generarse. </w:t>
            </w:r>
          </w:p>
        </w:tc>
      </w:tr>
    </w:tbl>
    <w:p w14:paraId="0522EAF7" w14:textId="77777777" w:rsidR="004876D0" w:rsidRPr="00C44CD0" w:rsidRDefault="004876D0" w:rsidP="004876D0">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279CBDC7" w14:textId="464E8933" w:rsidR="004876D0" w:rsidRPr="00C44CD0" w:rsidRDefault="004876D0" w:rsidP="004876D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44CD0">
        <w:rPr>
          <w:rFonts w:ascii="Verdana" w:eastAsia="Century Gothic" w:hAnsi="Verdana" w:cs="Century Gothic"/>
          <w:b/>
          <w:bCs/>
          <w:color w:val="000000" w:themeColor="text1"/>
        </w:rPr>
        <w:t>Razones de la</w:t>
      </w:r>
      <w:r w:rsidR="005E7816" w:rsidRPr="00C44CD0">
        <w:rPr>
          <w:rFonts w:ascii="Verdana" w:eastAsia="Century Gothic" w:hAnsi="Verdana" w:cs="Century Gothic"/>
          <w:b/>
          <w:bCs/>
          <w:color w:val="000000" w:themeColor="text1"/>
        </w:rPr>
        <w:t>s</w:t>
      </w:r>
      <w:r w:rsidRPr="00C44CD0">
        <w:rPr>
          <w:rFonts w:ascii="Verdana" w:eastAsia="Century Gothic" w:hAnsi="Verdana" w:cs="Century Gothic"/>
          <w:b/>
          <w:bCs/>
          <w:color w:val="000000" w:themeColor="text1"/>
        </w:rPr>
        <w:t xml:space="preserve"> respuesta</w:t>
      </w:r>
      <w:r w:rsidR="005E7816" w:rsidRPr="00C44CD0">
        <w:rPr>
          <w:rFonts w:ascii="Verdana" w:eastAsia="Century Gothic" w:hAnsi="Verdana" w:cs="Century Gothic"/>
          <w:b/>
          <w:bCs/>
          <w:color w:val="000000" w:themeColor="text1"/>
        </w:rPr>
        <w:t>s</w:t>
      </w:r>
      <w:r w:rsidRPr="00C44CD0">
        <w:rPr>
          <w:rFonts w:ascii="Verdana" w:eastAsia="Century Gothic" w:hAnsi="Verdana" w:cs="Century Gothic"/>
          <w:b/>
          <w:bCs/>
          <w:color w:val="000000" w:themeColor="text1"/>
        </w:rPr>
        <w:t>:</w:t>
      </w:r>
    </w:p>
    <w:p w14:paraId="43295009" w14:textId="77777777" w:rsidR="004876D0" w:rsidRPr="00C44CD0" w:rsidRDefault="004876D0" w:rsidP="004876D0">
      <w:pPr>
        <w:spacing w:after="0" w:line="276" w:lineRule="auto"/>
        <w:jc w:val="both"/>
        <w:rPr>
          <w:rFonts w:ascii="Verdana" w:eastAsia="Calibri" w:hAnsi="Verdana" w:cs="Arial"/>
          <w:color w:val="000000" w:themeColor="text1"/>
          <w:lang w:val="es-ES"/>
        </w:rPr>
      </w:pPr>
    </w:p>
    <w:p w14:paraId="22F053D2" w14:textId="77777777" w:rsidR="004876D0" w:rsidRPr="00C44CD0" w:rsidRDefault="004876D0" w:rsidP="004876D0">
      <w:pPr>
        <w:spacing w:after="0" w:line="276" w:lineRule="auto"/>
        <w:jc w:val="both"/>
        <w:rPr>
          <w:rFonts w:ascii="Verdana" w:eastAsia="Calibri" w:hAnsi="Verdana" w:cs="Arial"/>
          <w:color w:val="000000" w:themeColor="text1"/>
          <w:lang w:val="es-ES"/>
        </w:rPr>
      </w:pPr>
      <w:r w:rsidRPr="00C44CD0">
        <w:rPr>
          <w:rFonts w:ascii="Verdana" w:eastAsia="Calibri" w:hAnsi="Verdana" w:cs="Arial"/>
          <w:color w:val="000000" w:themeColor="text1"/>
          <w:lang w:val="es-ES"/>
        </w:rPr>
        <w:t xml:space="preserve">Lo anterior se sustenta en las siguientes consideraciones: </w:t>
      </w:r>
    </w:p>
    <w:p w14:paraId="78CC5E00" w14:textId="77777777" w:rsidR="004876D0" w:rsidRPr="00C44CD0" w:rsidRDefault="004876D0" w:rsidP="004876D0">
      <w:pPr>
        <w:spacing w:after="0" w:line="276" w:lineRule="auto"/>
        <w:jc w:val="both"/>
        <w:rPr>
          <w:rFonts w:ascii="Verdana" w:eastAsia="Calibri" w:hAnsi="Verdana" w:cs="Arial"/>
          <w:color w:val="000000" w:themeColor="text1"/>
          <w:lang w:val="es-ES"/>
        </w:rPr>
      </w:pPr>
    </w:p>
    <w:p w14:paraId="533F277A" w14:textId="77777777" w:rsidR="004876D0" w:rsidRPr="00C44CD0" w:rsidRDefault="004876D0" w:rsidP="004876D0">
      <w:pPr>
        <w:tabs>
          <w:tab w:val="left" w:pos="426"/>
        </w:tabs>
        <w:spacing w:after="120" w:line="276" w:lineRule="auto"/>
        <w:jc w:val="both"/>
        <w:rPr>
          <w:rFonts w:ascii="Verdana" w:eastAsia="Times New Roman" w:hAnsi="Verdana" w:cs="Arial"/>
          <w:lang w:eastAsia="es-CO"/>
        </w:rPr>
      </w:pPr>
      <w:r w:rsidRPr="00C44CD0">
        <w:rPr>
          <w:rFonts w:ascii="Verdana" w:eastAsia="Calibri" w:hAnsi="Verdana" w:cs="Arial"/>
        </w:rPr>
        <w:t>i. El ordenamiento jurídico colombiano contempla previsiones claras para evitar la obtención de beneficios personales en asuntos propios de la administración pública</w:t>
      </w:r>
      <w:r w:rsidRPr="00C44CD0">
        <w:rPr>
          <w:rFonts w:ascii="Verdana" w:eastAsia="Calibri" w:hAnsi="Verdana" w:cs="Arial"/>
          <w:i/>
        </w:rPr>
        <w:t xml:space="preserve">. </w:t>
      </w:r>
      <w:r w:rsidRPr="00C44CD0">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C44CD0">
        <w:rPr>
          <w:rFonts w:ascii="Verdana" w:hAnsi="Verdana"/>
          <w:vertAlign w:val="superscript"/>
        </w:rPr>
        <w:footnoteReference w:id="3"/>
      </w:r>
      <w:r w:rsidRPr="00C44CD0">
        <w:rPr>
          <w:rFonts w:ascii="Verdana" w:eastAsia="Calibri" w:hAnsi="Verdana" w:cs="Arial"/>
        </w:rPr>
        <w:t xml:space="preserve">. </w:t>
      </w:r>
    </w:p>
    <w:p w14:paraId="38DA485D" w14:textId="77777777" w:rsidR="004876D0" w:rsidRPr="00C44CD0" w:rsidRDefault="004876D0" w:rsidP="004876D0">
      <w:pPr>
        <w:tabs>
          <w:tab w:val="left" w:pos="426"/>
        </w:tabs>
        <w:spacing w:after="120" w:line="276" w:lineRule="auto"/>
        <w:ind w:firstLine="709"/>
        <w:jc w:val="both"/>
        <w:rPr>
          <w:rFonts w:ascii="Verdana" w:eastAsia="Calibri" w:hAnsi="Verdana" w:cs="Arial"/>
          <w:lang w:val="es-ES_tradnl"/>
        </w:rPr>
      </w:pPr>
      <w:r w:rsidRPr="00C44CD0">
        <w:rPr>
          <w:rFonts w:ascii="Verdana" w:eastAsia="Times New Roman" w:hAnsi="Verdana" w:cs="Arial"/>
          <w:lang w:eastAsia="es-CO"/>
        </w:rPr>
        <w:t>En el mismo sentido</w:t>
      </w:r>
      <w:r w:rsidRPr="00C44CD0">
        <w:rPr>
          <w:rFonts w:ascii="Verdana" w:eastAsia="Times New Roman" w:hAnsi="Verdana" w:cs="Arial"/>
          <w:lang w:val="es-MX" w:eastAsia="es-CO"/>
        </w:rPr>
        <w:t xml:space="preserve">, </w:t>
      </w:r>
      <w:bookmarkStart w:id="1" w:name="_Hlk99576829"/>
      <w:r w:rsidRPr="00C44CD0">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C44CD0">
        <w:rPr>
          <w:rFonts w:ascii="Verdana" w:eastAsia="Times New Roman" w:hAnsi="Verdana" w:cs="Arial"/>
          <w:vertAlign w:val="superscript"/>
          <w:lang w:val="es-MX" w:eastAsia="es-CO"/>
        </w:rPr>
        <w:footnoteReference w:id="4"/>
      </w:r>
      <w:r w:rsidRPr="00C44CD0">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C44CD0">
        <w:rPr>
          <w:rFonts w:ascii="Verdana" w:eastAsia="Calibri" w:hAnsi="Verdana" w:cs="Arial"/>
          <w:lang w:val="es-ES_tradnl"/>
        </w:rPr>
        <w:t xml:space="preserve"> </w:t>
      </w:r>
      <w:bookmarkEnd w:id="1"/>
    </w:p>
    <w:p w14:paraId="2916F7D8" w14:textId="77777777" w:rsidR="004876D0" w:rsidRPr="00C44CD0" w:rsidRDefault="004876D0" w:rsidP="004876D0">
      <w:pPr>
        <w:tabs>
          <w:tab w:val="left" w:pos="426"/>
        </w:tabs>
        <w:spacing w:after="0" w:line="276" w:lineRule="auto"/>
        <w:ind w:firstLine="709"/>
        <w:jc w:val="both"/>
        <w:rPr>
          <w:rFonts w:ascii="Verdana" w:eastAsia="Calibri" w:hAnsi="Verdana" w:cs="Arial"/>
          <w:lang w:val="es-ES_tradnl"/>
        </w:rPr>
      </w:pPr>
      <w:r w:rsidRPr="00C44CD0">
        <w:rPr>
          <w:rFonts w:ascii="Verdana" w:eastAsia="Times New Roman" w:hAnsi="Verdana" w:cs="Arial"/>
          <w:lang w:val="es-MX" w:eastAsia="es-CO"/>
        </w:rPr>
        <w:lastRenderedPageBreak/>
        <w:t>En armonía con lo anterior, la Corte Constitucional ha abordado la definición de la Ley de Garantías Electorales. De esta manera, explica que tiene como propósito:</w:t>
      </w:r>
    </w:p>
    <w:p w14:paraId="712EEE0F" w14:textId="77777777" w:rsidR="004876D0" w:rsidRPr="00C44CD0" w:rsidRDefault="004876D0" w:rsidP="004876D0">
      <w:pPr>
        <w:spacing w:after="0" w:line="276" w:lineRule="auto"/>
        <w:ind w:right="709"/>
        <w:contextualSpacing/>
        <w:jc w:val="both"/>
        <w:rPr>
          <w:rFonts w:ascii="Verdana" w:eastAsia="Times New Roman" w:hAnsi="Verdana" w:cs="Arial"/>
          <w:lang w:val="es-ES" w:eastAsia="es-CO"/>
        </w:rPr>
      </w:pPr>
    </w:p>
    <w:p w14:paraId="306FB86D" w14:textId="77777777" w:rsidR="004876D0" w:rsidRPr="00C44CD0" w:rsidRDefault="004876D0" w:rsidP="004876D0">
      <w:pPr>
        <w:spacing w:after="0" w:line="240" w:lineRule="auto"/>
        <w:ind w:left="709" w:right="709"/>
        <w:contextualSpacing/>
        <w:jc w:val="both"/>
        <w:rPr>
          <w:rFonts w:ascii="Verdana" w:eastAsia="Times New Roman" w:hAnsi="Verdana" w:cs="Arial"/>
          <w:sz w:val="20"/>
          <w:szCs w:val="20"/>
          <w:lang w:val="es-MX" w:eastAsia="es-CO"/>
        </w:rPr>
      </w:pPr>
      <w:r w:rsidRPr="00C44CD0">
        <w:rPr>
          <w:rFonts w:ascii="Verdana" w:eastAsia="Times New Roman" w:hAnsi="Verdana" w:cs="Arial"/>
          <w:sz w:val="20"/>
          <w:szCs w:val="20"/>
          <w:lang w:val="es-ES" w:eastAsia="es-CO"/>
        </w:rPr>
        <w:t xml:space="preserve">“[…] </w:t>
      </w:r>
      <w:r w:rsidRPr="00C44CD0">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4902F48E" w14:textId="77777777" w:rsidR="004876D0" w:rsidRPr="00C44CD0" w:rsidRDefault="004876D0" w:rsidP="004876D0">
      <w:pPr>
        <w:spacing w:after="0" w:line="240" w:lineRule="auto"/>
        <w:ind w:left="709" w:right="709"/>
        <w:contextualSpacing/>
        <w:jc w:val="both"/>
        <w:rPr>
          <w:rFonts w:ascii="Verdana" w:eastAsia="Times New Roman" w:hAnsi="Verdana" w:cs="Arial"/>
          <w:sz w:val="20"/>
          <w:szCs w:val="20"/>
          <w:lang w:val="es-MX" w:eastAsia="es-CO"/>
        </w:rPr>
      </w:pPr>
      <w:r w:rsidRPr="00C44CD0">
        <w:rPr>
          <w:rFonts w:ascii="Verdana" w:eastAsia="Times New Roman" w:hAnsi="Verdana" w:cs="Arial"/>
          <w:sz w:val="20"/>
          <w:szCs w:val="20"/>
          <w:lang w:val="es-MX" w:eastAsia="es-CO"/>
        </w:rPr>
        <w:t xml:space="preserve">[…] </w:t>
      </w:r>
    </w:p>
    <w:p w14:paraId="116CC5F4" w14:textId="77777777" w:rsidR="004876D0" w:rsidRPr="00C44CD0" w:rsidRDefault="004876D0" w:rsidP="004876D0">
      <w:pPr>
        <w:spacing w:after="0" w:line="240" w:lineRule="auto"/>
        <w:ind w:left="709" w:right="709"/>
        <w:contextualSpacing/>
        <w:jc w:val="both"/>
        <w:rPr>
          <w:rFonts w:ascii="Verdana" w:eastAsia="Times New Roman" w:hAnsi="Verdana" w:cs="Arial"/>
          <w:sz w:val="12"/>
          <w:szCs w:val="12"/>
          <w:lang w:val="es-MX" w:eastAsia="es-CO"/>
        </w:rPr>
      </w:pPr>
    </w:p>
    <w:p w14:paraId="14F2D75E" w14:textId="77777777" w:rsidR="004876D0" w:rsidRPr="00C44CD0" w:rsidRDefault="004876D0" w:rsidP="004876D0">
      <w:pPr>
        <w:spacing w:after="0" w:line="240" w:lineRule="auto"/>
        <w:ind w:left="709" w:right="709"/>
        <w:contextualSpacing/>
        <w:jc w:val="both"/>
        <w:rPr>
          <w:rFonts w:ascii="Verdana" w:eastAsia="Times New Roman" w:hAnsi="Verdana" w:cs="Arial"/>
          <w:sz w:val="20"/>
          <w:szCs w:val="20"/>
          <w:lang w:val="es-MX" w:eastAsia="es-CO"/>
        </w:rPr>
      </w:pPr>
      <w:r w:rsidRPr="00C44CD0">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C44CD0">
        <w:rPr>
          <w:rFonts w:ascii="Verdana" w:eastAsia="Calibri" w:hAnsi="Verdana" w:cs="Arial"/>
          <w:sz w:val="20"/>
          <w:szCs w:val="20"/>
          <w:vertAlign w:val="superscript"/>
          <w:lang w:val="es-MX"/>
        </w:rPr>
        <w:footnoteReference w:id="5"/>
      </w:r>
    </w:p>
    <w:p w14:paraId="433CEDB1" w14:textId="77777777" w:rsidR="004876D0" w:rsidRPr="00C44CD0" w:rsidRDefault="004876D0" w:rsidP="004876D0">
      <w:pPr>
        <w:spacing w:after="0" w:line="276" w:lineRule="auto"/>
        <w:ind w:firstLine="709"/>
        <w:jc w:val="both"/>
        <w:rPr>
          <w:rFonts w:ascii="Verdana" w:eastAsia="Times New Roman" w:hAnsi="Verdana" w:cs="Arial"/>
          <w:lang w:val="es-MX" w:eastAsia="es-CO"/>
        </w:rPr>
      </w:pPr>
      <w:bookmarkStart w:id="2" w:name="_Hlk78818186"/>
    </w:p>
    <w:p w14:paraId="13777027" w14:textId="77777777" w:rsidR="004876D0" w:rsidRPr="00C44CD0" w:rsidRDefault="004876D0" w:rsidP="004876D0">
      <w:pPr>
        <w:spacing w:after="0" w:line="276" w:lineRule="auto"/>
        <w:ind w:firstLine="709"/>
        <w:jc w:val="both"/>
        <w:rPr>
          <w:rFonts w:ascii="Verdana" w:eastAsia="Times New Roman" w:hAnsi="Verdana" w:cs="Arial"/>
          <w:lang w:val="es-MX" w:eastAsia="es-CO"/>
        </w:rPr>
      </w:pPr>
      <w:r w:rsidRPr="00C44CD0">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w:t>
      </w:r>
      <w:bookmarkEnd w:id="2"/>
      <w:r w:rsidRPr="00C44CD0">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w:t>
      </w:r>
    </w:p>
    <w:p w14:paraId="68163B44" w14:textId="77777777" w:rsidR="004876D0" w:rsidRPr="00C44CD0" w:rsidRDefault="004876D0" w:rsidP="004876D0">
      <w:pPr>
        <w:spacing w:after="0" w:line="276" w:lineRule="auto"/>
        <w:ind w:firstLine="709"/>
        <w:jc w:val="both"/>
        <w:rPr>
          <w:rFonts w:ascii="Verdana" w:eastAsia="Times New Roman" w:hAnsi="Verdana" w:cs="Arial"/>
          <w:lang w:val="es-MX" w:eastAsia="es-CO"/>
        </w:rPr>
      </w:pPr>
    </w:p>
    <w:p w14:paraId="37EC9B43" w14:textId="77777777" w:rsidR="004876D0" w:rsidRPr="00C44CD0" w:rsidRDefault="004876D0" w:rsidP="004876D0">
      <w:pPr>
        <w:spacing w:after="0" w:line="240" w:lineRule="auto"/>
        <w:ind w:left="709" w:right="709"/>
        <w:contextualSpacing/>
        <w:jc w:val="both"/>
        <w:rPr>
          <w:rFonts w:ascii="Verdana" w:eastAsia="Times New Roman" w:hAnsi="Verdana" w:cs="Arial"/>
          <w:sz w:val="20"/>
          <w:szCs w:val="20"/>
          <w:lang w:val="es-MX" w:eastAsia="es-CO"/>
        </w:rPr>
      </w:pPr>
      <w:r w:rsidRPr="00C44CD0">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B0D20FA" w14:textId="77777777" w:rsidR="004876D0" w:rsidRPr="00C44CD0" w:rsidRDefault="004876D0" w:rsidP="004876D0">
      <w:pPr>
        <w:spacing w:after="0" w:line="240" w:lineRule="auto"/>
        <w:ind w:right="709"/>
        <w:contextualSpacing/>
        <w:jc w:val="both"/>
        <w:rPr>
          <w:rFonts w:ascii="Verdana" w:eastAsia="Times New Roman" w:hAnsi="Verdana" w:cs="Arial"/>
          <w:sz w:val="12"/>
          <w:szCs w:val="12"/>
          <w:lang w:val="es-MX" w:eastAsia="es-CO"/>
        </w:rPr>
      </w:pPr>
    </w:p>
    <w:p w14:paraId="11B6BCD0" w14:textId="77777777" w:rsidR="004876D0" w:rsidRPr="00C44CD0" w:rsidRDefault="004876D0" w:rsidP="004876D0">
      <w:pPr>
        <w:spacing w:after="0" w:line="240" w:lineRule="auto"/>
        <w:ind w:left="709" w:right="709"/>
        <w:contextualSpacing/>
        <w:jc w:val="both"/>
        <w:rPr>
          <w:rFonts w:ascii="Verdana" w:eastAsia="Times New Roman" w:hAnsi="Verdana" w:cs="Arial"/>
          <w:sz w:val="20"/>
          <w:szCs w:val="20"/>
          <w:lang w:val="es-MX" w:eastAsia="es-CO"/>
        </w:rPr>
      </w:pPr>
      <w:r w:rsidRPr="00C44CD0">
        <w:rPr>
          <w:rFonts w:ascii="Verdana" w:eastAsia="Times New Roman" w:hAnsi="Verdana" w:cs="Arial"/>
          <w:sz w:val="20"/>
          <w:szCs w:val="20"/>
          <w:lang w:val="es-MX" w:eastAsia="es-CO"/>
        </w:rPr>
        <w:lastRenderedPageBreak/>
        <w:t>La jurisprudencia de la Corte Constitucional</w:t>
      </w:r>
      <w:r w:rsidRPr="00C44CD0">
        <w:rPr>
          <w:rFonts w:ascii="Verdana" w:eastAsia="Times New Roman" w:hAnsi="Verdana" w:cs="Arial"/>
          <w:sz w:val="20"/>
          <w:szCs w:val="20"/>
          <w:vertAlign w:val="superscript"/>
          <w:lang w:val="es-MX" w:eastAsia="es-CO"/>
        </w:rPr>
        <w:footnoteReference w:id="6"/>
      </w:r>
      <w:r w:rsidRPr="00C44CD0">
        <w:rPr>
          <w:rFonts w:ascii="Verdana" w:eastAsia="Times New Roman" w:hAnsi="Verdana" w:cs="Arial"/>
          <w:sz w:val="20"/>
          <w:szCs w:val="20"/>
          <w:lang w:val="es-MX" w:eastAsia="es-CO"/>
        </w:rPr>
        <w:t> y del Consejo de Estado</w:t>
      </w:r>
      <w:r w:rsidRPr="00C44CD0">
        <w:rPr>
          <w:rFonts w:ascii="Verdana" w:eastAsia="Times New Roman" w:hAnsi="Verdana" w:cs="Arial"/>
          <w:sz w:val="20"/>
          <w:szCs w:val="20"/>
          <w:vertAlign w:val="superscript"/>
          <w:lang w:val="es-MX" w:eastAsia="es-CO"/>
        </w:rPr>
        <w:footnoteReference w:id="7"/>
      </w:r>
      <w:r w:rsidRPr="00C44CD0">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C44CD0">
        <w:rPr>
          <w:rFonts w:ascii="Verdana" w:eastAsia="Times New Roman" w:hAnsi="Verdana" w:cs="Arial"/>
          <w:sz w:val="20"/>
          <w:szCs w:val="20"/>
          <w:vertAlign w:val="superscript"/>
          <w:lang w:val="es-MX" w:eastAsia="es-CO"/>
        </w:rPr>
        <w:footnoteReference w:id="8"/>
      </w:r>
      <w:r w:rsidRPr="00C44CD0">
        <w:rPr>
          <w:rFonts w:ascii="Verdana" w:eastAsia="Times New Roman" w:hAnsi="Verdana" w:cs="Arial"/>
          <w:sz w:val="20"/>
          <w:szCs w:val="20"/>
          <w:lang w:val="es-MX" w:eastAsia="es-CO"/>
        </w:rPr>
        <w:t>.</w:t>
      </w:r>
    </w:p>
    <w:p w14:paraId="2A762E90" w14:textId="77777777" w:rsidR="004876D0" w:rsidRPr="00C44CD0" w:rsidRDefault="004876D0" w:rsidP="004876D0">
      <w:pPr>
        <w:spacing w:after="0" w:line="276" w:lineRule="auto"/>
        <w:jc w:val="both"/>
        <w:rPr>
          <w:rFonts w:ascii="Verdana" w:eastAsia="Calibri" w:hAnsi="Verdana" w:cs="Arial"/>
          <w:bCs/>
          <w:lang w:val="es-ES_tradnl"/>
        </w:rPr>
      </w:pPr>
    </w:p>
    <w:p w14:paraId="12E50A3B" w14:textId="77777777" w:rsidR="004876D0" w:rsidRPr="00C44CD0" w:rsidRDefault="004876D0" w:rsidP="004876D0">
      <w:pPr>
        <w:spacing w:after="0" w:line="276" w:lineRule="auto"/>
        <w:ind w:firstLine="709"/>
        <w:jc w:val="both"/>
        <w:rPr>
          <w:rFonts w:ascii="Verdana" w:eastAsia="Arial" w:hAnsi="Verdana" w:cs="Arial"/>
          <w:lang w:val="es-ES" w:eastAsia="es-ES" w:bidi="es-ES"/>
        </w:rPr>
      </w:pPr>
      <w:r w:rsidRPr="00C44CD0">
        <w:rPr>
          <w:rFonts w:ascii="Verdana" w:eastAsia="Times New Roman" w:hAnsi="Verdana" w:cs="Arial"/>
          <w:lang w:val="es-MX" w:eastAsia="es-CO"/>
        </w:rPr>
        <w:t>De</w:t>
      </w:r>
      <w:r w:rsidRPr="00C44CD0">
        <w:rPr>
          <w:rFonts w:ascii="Verdana" w:eastAsia="Arial" w:hAnsi="Verdana" w:cs="Arial"/>
          <w:lang w:val="es-ES" w:eastAsia="es-ES" w:bidi="es-ES"/>
        </w:rPr>
        <w:t xml:space="preserve"> conformidad con lo anterior, </w:t>
      </w:r>
      <w:bookmarkStart w:id="3" w:name="_Hlk77236098"/>
      <w:bookmarkStart w:id="4" w:name="_Hlk100679383"/>
      <w:r w:rsidRPr="00C44CD0">
        <w:rPr>
          <w:rFonts w:ascii="Verdana" w:eastAsia="Arial" w:hAnsi="Verdana" w:cs="Arial"/>
          <w:lang w:val="es-ES"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77C62A95" w14:textId="77777777" w:rsidR="004876D0" w:rsidRPr="00C44CD0" w:rsidRDefault="004876D0" w:rsidP="004876D0">
      <w:pPr>
        <w:spacing w:after="0" w:line="276" w:lineRule="auto"/>
        <w:ind w:firstLine="709"/>
        <w:jc w:val="both"/>
        <w:rPr>
          <w:rFonts w:ascii="Verdana" w:eastAsia="Arial" w:hAnsi="Verdana" w:cs="Arial"/>
          <w:lang w:val="es-ES" w:eastAsia="es-ES" w:bidi="es-ES"/>
        </w:rPr>
      </w:pPr>
    </w:p>
    <w:p w14:paraId="085C9C54" w14:textId="77777777" w:rsidR="004876D0" w:rsidRPr="00C44CD0" w:rsidRDefault="004876D0" w:rsidP="004876D0">
      <w:pPr>
        <w:spacing w:after="120" w:line="276" w:lineRule="auto"/>
        <w:jc w:val="both"/>
        <w:rPr>
          <w:rFonts w:ascii="Verdana" w:eastAsia="Arial" w:hAnsi="Verdana" w:cs="Arial"/>
          <w:lang w:val="es-ES" w:eastAsia="es-ES" w:bidi="es-ES"/>
        </w:rPr>
      </w:pPr>
      <w:proofErr w:type="spellStart"/>
      <w:r w:rsidRPr="00C44CD0">
        <w:rPr>
          <w:rFonts w:ascii="Verdana" w:eastAsia="Arial" w:hAnsi="Verdana" w:cs="Arial"/>
          <w:lang w:val="es-ES" w:eastAsia="es-ES" w:bidi="es-ES"/>
        </w:rPr>
        <w:t>ii</w:t>
      </w:r>
      <w:proofErr w:type="spellEnd"/>
      <w:r w:rsidRPr="00C44CD0">
        <w:rPr>
          <w:rFonts w:ascii="Verdana" w:eastAsia="Arial" w:hAnsi="Verdana" w:cs="Arial"/>
          <w:lang w:val="es-ES" w:eastAsia="es-ES" w:bidi="es-ES"/>
        </w:rPr>
        <w:t>. Precisado el propósito de la Ley, es pertinente señalar que, en materia de contratación estatal,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3"/>
    </w:p>
    <w:p w14:paraId="63E60247" w14:textId="77777777" w:rsidR="004876D0" w:rsidRPr="00C44CD0" w:rsidRDefault="004876D0" w:rsidP="004876D0">
      <w:pPr>
        <w:spacing w:after="120" w:line="276" w:lineRule="auto"/>
        <w:ind w:firstLine="708"/>
        <w:jc w:val="both"/>
        <w:rPr>
          <w:rFonts w:ascii="Verdana" w:eastAsia="Calibri" w:hAnsi="Verdana" w:cs="Arial"/>
        </w:rPr>
      </w:pPr>
      <w:r w:rsidRPr="00C44CD0">
        <w:rPr>
          <w:rFonts w:ascii="Verdana" w:eastAsia="Calibri" w:hAnsi="Verdana" w:cs="Arial"/>
        </w:rPr>
        <w:t xml:space="preserve">Por un lado, el </w:t>
      </w:r>
      <w:r w:rsidRPr="00C44CD0">
        <w:rPr>
          <w:rFonts w:ascii="Verdana" w:eastAsia="Calibri" w:hAnsi="Verdana" w:cs="Arial"/>
          <w:i/>
          <w:iCs/>
        </w:rPr>
        <w:t>artículo 33 de la Ley 996 de 2005</w:t>
      </w:r>
      <w:r w:rsidRPr="00C44CD0">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sidRPr="00C44CD0">
        <w:rPr>
          <w:rFonts w:ascii="Verdana" w:eastAsia="Calibri" w:hAnsi="Verdana" w:cs="Arial"/>
        </w:rPr>
        <w:lastRenderedPageBreak/>
        <w:t>acciones terroristas, desastres naturales o casos de fuerza mayor, y los que deban realizar las entidades sanitarias y hospitalarias”</w:t>
      </w:r>
      <w:r w:rsidRPr="00C44CD0">
        <w:rPr>
          <w:vertAlign w:val="superscript"/>
        </w:rPr>
        <w:footnoteReference w:id="9"/>
      </w:r>
      <w:r w:rsidRPr="00C44CD0">
        <w:rPr>
          <w:rFonts w:ascii="Verdana" w:eastAsia="Calibri" w:hAnsi="Verdana" w:cs="Arial"/>
        </w:rPr>
        <w:t>.</w:t>
      </w:r>
    </w:p>
    <w:p w14:paraId="09F24DBD" w14:textId="77777777" w:rsidR="004876D0" w:rsidRPr="00C44CD0" w:rsidRDefault="004876D0" w:rsidP="004876D0">
      <w:pPr>
        <w:widowControl w:val="0"/>
        <w:autoSpaceDE w:val="0"/>
        <w:autoSpaceDN w:val="0"/>
        <w:spacing w:after="120" w:line="276" w:lineRule="auto"/>
        <w:ind w:firstLine="709"/>
        <w:jc w:val="both"/>
        <w:rPr>
          <w:rFonts w:ascii="Verdana" w:eastAsia="Arial" w:hAnsi="Verdana" w:cs="Arial"/>
          <w:lang w:val="es-ES" w:eastAsia="es-ES" w:bidi="es-ES"/>
        </w:rPr>
      </w:pPr>
      <w:r w:rsidRPr="00C44CD0">
        <w:rPr>
          <w:rFonts w:ascii="Verdana" w:eastAsia="Calibri" w:hAnsi="Verdana" w:cs="Arial"/>
        </w:rPr>
        <w:t xml:space="preserve">Por otro lado, </w:t>
      </w:r>
      <w:r w:rsidRPr="00C44CD0">
        <w:rPr>
          <w:rFonts w:ascii="Verdana" w:eastAsia="Calibri" w:hAnsi="Verdana" w:cs="Arial"/>
          <w:i/>
          <w:iCs/>
        </w:rPr>
        <w:t>el parágrafo del artículo 38 de la Ley 996 de 2005</w:t>
      </w:r>
      <w:r w:rsidRPr="00C44CD0">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C44CD0">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44CD0">
        <w:rPr>
          <w:rFonts w:ascii="Verdana" w:eastAsia="Calibri" w:hAnsi="Verdana" w:cs="Arial"/>
        </w:rPr>
        <w:t>”</w:t>
      </w:r>
      <w:bookmarkEnd w:id="4"/>
      <w:r w:rsidRPr="00C44CD0">
        <w:rPr>
          <w:rFonts w:ascii="Verdana" w:eastAsia="Calibri" w:hAnsi="Verdana" w:cs="Arial"/>
          <w:vertAlign w:val="superscript"/>
        </w:rPr>
        <w:footnoteReference w:id="10"/>
      </w:r>
      <w:r w:rsidRPr="00C44CD0">
        <w:rPr>
          <w:rFonts w:ascii="Verdana" w:eastAsia="Calibri" w:hAnsi="Verdana" w:cs="Arial"/>
          <w:lang w:val="es-MX"/>
        </w:rPr>
        <w:t>.</w:t>
      </w:r>
      <w:r w:rsidRPr="00C44CD0">
        <w:rPr>
          <w:rFonts w:ascii="Verdana" w:eastAsia="Arial" w:hAnsi="Verdana" w:cs="Arial"/>
          <w:lang w:val="es-ES" w:eastAsia="es-ES" w:bidi="es-ES"/>
        </w:rPr>
        <w:t xml:space="preserve"> </w:t>
      </w:r>
    </w:p>
    <w:p w14:paraId="2F9D0D60" w14:textId="77777777" w:rsidR="004876D0" w:rsidRPr="00C44CD0" w:rsidRDefault="004876D0" w:rsidP="004876D0">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C44CD0">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3716DAD1" w14:textId="77777777" w:rsidR="004876D0" w:rsidRPr="00C44CD0" w:rsidRDefault="004876D0" w:rsidP="004876D0">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02D54D96" w14:textId="77777777" w:rsidR="004876D0" w:rsidRPr="00C44CD0" w:rsidRDefault="004876D0" w:rsidP="004876D0">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C44CD0">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w:t>
      </w:r>
      <w:r w:rsidRPr="00C44CD0">
        <w:rPr>
          <w:rFonts w:ascii="Verdana" w:eastAsia="Arial" w:hAnsi="Verdana" w:cs="Arial"/>
          <w:sz w:val="20"/>
          <w:szCs w:val="20"/>
          <w:lang w:eastAsia="es-ES" w:bidi="es-ES"/>
        </w:rPr>
        <w:lastRenderedPageBreak/>
        <w:t>excluyendo las correspondientes a Presidente de la República, a las autoridades territoriales allí mencionadas sólo se aplican las restricciones contenidas en el parágrafo del artículo 38”.</w:t>
      </w:r>
      <w:r w:rsidRPr="00C44CD0">
        <w:rPr>
          <w:rFonts w:ascii="Verdana" w:eastAsia="Arial" w:hAnsi="Verdana" w:cs="Arial"/>
          <w:sz w:val="20"/>
          <w:szCs w:val="20"/>
          <w:vertAlign w:val="superscript"/>
          <w:lang w:eastAsia="es-ES" w:bidi="es-ES"/>
        </w:rPr>
        <w:footnoteReference w:id="11"/>
      </w:r>
    </w:p>
    <w:p w14:paraId="4C0E15CF" w14:textId="77777777" w:rsidR="004876D0" w:rsidRPr="00C44CD0" w:rsidRDefault="004876D0" w:rsidP="004876D0">
      <w:pPr>
        <w:widowControl w:val="0"/>
        <w:autoSpaceDE w:val="0"/>
        <w:autoSpaceDN w:val="0"/>
        <w:spacing w:line="276" w:lineRule="auto"/>
        <w:contextualSpacing/>
        <w:rPr>
          <w:rFonts w:ascii="Verdana" w:eastAsia="Arial" w:hAnsi="Verdana" w:cs="Arial"/>
          <w:lang w:val="es-ES" w:eastAsia="es-ES" w:bidi="es-ES"/>
        </w:rPr>
      </w:pPr>
    </w:p>
    <w:p w14:paraId="53678762" w14:textId="77777777" w:rsidR="004876D0" w:rsidRPr="00C44CD0" w:rsidRDefault="004876D0" w:rsidP="004876D0">
      <w:pPr>
        <w:spacing w:after="120" w:line="276" w:lineRule="auto"/>
        <w:ind w:firstLine="709"/>
        <w:jc w:val="both"/>
        <w:rPr>
          <w:rFonts w:ascii="Verdana" w:eastAsia="Arial" w:hAnsi="Verdana" w:cs="Arial"/>
          <w:lang w:val="es-ES" w:eastAsia="es-ES" w:bidi="es-ES"/>
        </w:rPr>
      </w:pPr>
      <w:r w:rsidRPr="00C44CD0">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C44CD0">
        <w:rPr>
          <w:rFonts w:ascii="Verdana" w:eastAsia="Arial" w:hAnsi="Verdana" w:cs="Arial"/>
          <w:i/>
          <w:lang w:val="es-ES" w:eastAsia="es-ES" w:bidi="es-ES"/>
        </w:rPr>
        <w:t>En primer lugar</w:t>
      </w:r>
      <w:r w:rsidRPr="00C44CD0">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C44CD0">
        <w:rPr>
          <w:rFonts w:ascii="Verdana" w:eastAsia="Arial" w:hAnsi="Verdana" w:cs="Arial"/>
          <w:i/>
          <w:lang w:val="es-ES" w:eastAsia="es-ES" w:bidi="es-ES"/>
        </w:rPr>
        <w:t>En segundo lugar</w:t>
      </w:r>
      <w:r w:rsidRPr="00C44CD0">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45C19BA2" w14:textId="77777777" w:rsidR="004876D0" w:rsidRPr="00C44CD0" w:rsidRDefault="004876D0" w:rsidP="004876D0">
      <w:pPr>
        <w:spacing w:after="120" w:line="276" w:lineRule="auto"/>
        <w:ind w:firstLine="709"/>
        <w:jc w:val="both"/>
        <w:rPr>
          <w:rFonts w:ascii="Verdana" w:eastAsia="Arial" w:hAnsi="Verdana" w:cs="Arial"/>
          <w:lang w:val="es-ES" w:eastAsia="es-ES" w:bidi="es-ES"/>
        </w:rPr>
      </w:pPr>
      <w:r w:rsidRPr="00C44CD0">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C44CD0">
        <w:rPr>
          <w:rFonts w:ascii="Verdana" w:eastAsia="Arial" w:hAnsi="Verdana" w:cs="Arial"/>
          <w:lang w:val="es-ES" w:eastAsia="es-ES" w:bidi="es-ES"/>
        </w:rPr>
        <w:t>Presidente</w:t>
      </w:r>
      <w:proofErr w:type="gramEnd"/>
      <w:r w:rsidRPr="00C44CD0">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C44CD0">
        <w:rPr>
          <w:rFonts w:ascii="Verdana" w:eastAsia="Arial" w:hAnsi="Verdana" w:cs="Arial"/>
          <w:lang w:val="es-ES" w:eastAsia="es-ES" w:bidi="es-ES"/>
        </w:rPr>
        <w:t>Presidente</w:t>
      </w:r>
      <w:proofErr w:type="gramEnd"/>
      <w:r w:rsidRPr="00C44CD0">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2F7C784F" w14:textId="77777777" w:rsidR="004876D0" w:rsidRPr="00C44CD0" w:rsidRDefault="004876D0" w:rsidP="004876D0">
      <w:pPr>
        <w:spacing w:after="0" w:line="276" w:lineRule="auto"/>
        <w:ind w:firstLine="709"/>
        <w:jc w:val="both"/>
        <w:rPr>
          <w:rFonts w:ascii="Verdana" w:eastAsia="Arial" w:hAnsi="Verdana" w:cs="Arial"/>
          <w:lang w:val="es-ES" w:eastAsia="es-ES" w:bidi="es-ES"/>
        </w:rPr>
      </w:pPr>
      <w:r w:rsidRPr="00C44CD0">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C44CD0">
        <w:rPr>
          <w:rFonts w:ascii="Verdana" w:eastAsia="Arial" w:hAnsi="Verdana" w:cs="Arial"/>
          <w:lang w:val="es-ES" w:eastAsia="es-ES" w:bidi="es-ES"/>
        </w:rPr>
        <w:t>Presidente</w:t>
      </w:r>
      <w:proofErr w:type="gramEnd"/>
      <w:r w:rsidRPr="00C44CD0">
        <w:rPr>
          <w:rFonts w:ascii="Verdana" w:eastAsia="Arial" w:hAnsi="Verdana" w:cs="Arial"/>
          <w:lang w:val="es-ES" w:eastAsia="es-ES" w:bidi="es-ES"/>
        </w:rPr>
        <w:t xml:space="preserve"> o el </w:t>
      </w:r>
      <w:proofErr w:type="gramStart"/>
      <w:r w:rsidRPr="00C44CD0">
        <w:rPr>
          <w:rFonts w:ascii="Verdana" w:eastAsia="Arial" w:hAnsi="Verdana" w:cs="Arial"/>
          <w:lang w:val="es-ES" w:eastAsia="es-ES" w:bidi="es-ES"/>
        </w:rPr>
        <w:t>Vicepresidente</w:t>
      </w:r>
      <w:proofErr w:type="gramEnd"/>
      <w:r w:rsidRPr="00C44CD0">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w:t>
      </w:r>
      <w:r w:rsidRPr="00C44CD0">
        <w:rPr>
          <w:rFonts w:ascii="Verdana" w:eastAsia="Arial" w:hAnsi="Verdana" w:cs="Arial"/>
          <w:lang w:val="es-ES" w:eastAsia="es-ES" w:bidi="es-ES"/>
        </w:rPr>
        <w:lastRenderedPageBreak/>
        <w:t xml:space="preserve">momento en que estas restricciones empiezan a regir para el </w:t>
      </w:r>
      <w:proofErr w:type="gramStart"/>
      <w:r w:rsidRPr="00C44CD0">
        <w:rPr>
          <w:rFonts w:ascii="Verdana" w:eastAsia="Arial" w:hAnsi="Verdana" w:cs="Arial"/>
          <w:lang w:val="es-ES" w:eastAsia="es-ES" w:bidi="es-ES"/>
        </w:rPr>
        <w:t>Presidente</w:t>
      </w:r>
      <w:proofErr w:type="gramEnd"/>
      <w:r w:rsidRPr="00C44CD0">
        <w:rPr>
          <w:rFonts w:ascii="Verdana" w:eastAsia="Arial" w:hAnsi="Verdana" w:cs="Arial"/>
          <w:lang w:val="es-ES" w:eastAsia="es-ES" w:bidi="es-ES"/>
        </w:rPr>
        <w:t xml:space="preserve"> y el </w:t>
      </w:r>
      <w:proofErr w:type="gramStart"/>
      <w:r w:rsidRPr="00C44CD0">
        <w:rPr>
          <w:rFonts w:ascii="Verdana" w:eastAsia="Arial" w:hAnsi="Verdana" w:cs="Arial"/>
          <w:lang w:val="es-ES" w:eastAsia="es-ES" w:bidi="es-ES"/>
        </w:rPr>
        <w:t>Vicepresidente</w:t>
      </w:r>
      <w:proofErr w:type="gramEnd"/>
      <w:r w:rsidRPr="00C44CD0">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C44CD0">
        <w:rPr>
          <w:rFonts w:ascii="Verdana" w:eastAsia="Arial" w:hAnsi="Verdana" w:cs="Arial"/>
          <w:lang w:val="es-ES" w:eastAsia="es-ES" w:bidi="es-ES"/>
        </w:rPr>
        <w:t>Vicepresidente</w:t>
      </w:r>
      <w:proofErr w:type="gramEnd"/>
      <w:r w:rsidRPr="00C44CD0">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55203C19" w14:textId="77777777" w:rsidR="004876D0" w:rsidRPr="00C44CD0" w:rsidRDefault="004876D0" w:rsidP="004876D0">
      <w:pPr>
        <w:widowControl w:val="0"/>
        <w:autoSpaceDE w:val="0"/>
        <w:autoSpaceDN w:val="0"/>
        <w:spacing w:after="0" w:line="276" w:lineRule="auto"/>
        <w:jc w:val="both"/>
        <w:rPr>
          <w:rFonts w:ascii="Verdana" w:eastAsia="Arial" w:hAnsi="Verdana" w:cs="Arial"/>
          <w:lang w:val="es-ES" w:eastAsia="es-ES" w:bidi="es-ES"/>
        </w:rPr>
      </w:pPr>
    </w:p>
    <w:p w14:paraId="50AE7D46" w14:textId="77777777" w:rsidR="004876D0" w:rsidRPr="00C44CD0" w:rsidRDefault="004876D0" w:rsidP="004876D0">
      <w:pPr>
        <w:spacing w:after="120" w:line="276" w:lineRule="auto"/>
        <w:jc w:val="both"/>
        <w:rPr>
          <w:rFonts w:ascii="Verdana" w:eastAsia="Times New Roman" w:hAnsi="Verdana" w:cs="Arial"/>
          <w:bCs/>
          <w:lang w:eastAsia="es-CO"/>
        </w:rPr>
      </w:pPr>
      <w:r w:rsidRPr="00C44CD0">
        <w:rPr>
          <w:rFonts w:ascii="Verdana" w:eastAsia="Times New Roman" w:hAnsi="Verdana" w:cs="Arial"/>
          <w:bCs/>
          <w:lang w:val="es-MX" w:eastAsia="es-CO"/>
        </w:rPr>
        <w:t>iii. Para entender el momento de aplicación de estas restricciones, es preciso señalar que el vocablo “celebrar” es definido por el Diccionario Panhispánico del Español Jurídico como: “</w:t>
      </w:r>
      <w:r w:rsidRPr="00C44CD0">
        <w:rPr>
          <w:rFonts w:ascii="Verdana" w:eastAsia="Times New Roman" w:hAnsi="Verdana" w:cs="Arial"/>
          <w:bCs/>
          <w:lang w:eastAsia="es-CO"/>
        </w:rPr>
        <w:t>1. </w:t>
      </w:r>
      <w:r w:rsidRPr="00C44CD0">
        <w:rPr>
          <w:rFonts w:ascii="Verdana" w:eastAsia="Times New Roman" w:hAnsi="Verdana" w:cs="Arial"/>
          <w:bCs/>
          <w:i/>
          <w:iCs/>
          <w:lang w:eastAsia="es-CO"/>
        </w:rPr>
        <w:t>Gral.</w:t>
      </w:r>
      <w:r w:rsidRPr="00C44CD0">
        <w:rPr>
          <w:rFonts w:ascii="Verdana" w:eastAsia="Times New Roman" w:hAnsi="Verdana" w:cs="Arial"/>
          <w:bCs/>
          <w:lang w:eastAsia="es-CO"/>
        </w:rPr>
        <w:t xml:space="preserve"> Otorgar o firmar un contrato. 2. </w:t>
      </w:r>
      <w:proofErr w:type="spellStart"/>
      <w:r w:rsidRPr="00C44CD0">
        <w:rPr>
          <w:rFonts w:ascii="Verdana" w:eastAsia="Times New Roman" w:hAnsi="Verdana" w:cs="Arial"/>
          <w:bCs/>
          <w:i/>
          <w:iCs/>
          <w:lang w:eastAsia="es-CO"/>
        </w:rPr>
        <w:t>Proc</w:t>
      </w:r>
      <w:proofErr w:type="spellEnd"/>
      <w:r w:rsidRPr="00C44CD0">
        <w:rPr>
          <w:rFonts w:ascii="Verdana" w:eastAsia="Times New Roman" w:hAnsi="Verdana" w:cs="Arial"/>
          <w:bCs/>
          <w:i/>
          <w:iCs/>
          <w:lang w:eastAsia="es-CO"/>
        </w:rPr>
        <w:t>.</w:t>
      </w:r>
      <w:r w:rsidRPr="00C44CD0">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5108B960" w14:textId="77777777" w:rsidR="004876D0" w:rsidRPr="00C44CD0" w:rsidRDefault="004876D0" w:rsidP="004876D0">
      <w:pPr>
        <w:spacing w:after="120" w:line="276" w:lineRule="auto"/>
        <w:ind w:firstLine="708"/>
        <w:jc w:val="both"/>
        <w:rPr>
          <w:rFonts w:ascii="Verdana" w:eastAsia="Times New Roman" w:hAnsi="Verdana" w:cs="Arial"/>
          <w:bCs/>
          <w:lang w:val="es-ES" w:eastAsia="es-CO"/>
        </w:rPr>
      </w:pPr>
      <w:r w:rsidRPr="00C44CD0">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C44CD0">
        <w:rPr>
          <w:rFonts w:ascii="Verdana" w:eastAsia="Times New Roman" w:hAnsi="Verdana" w:cs="Arial"/>
          <w:bCs/>
          <w:lang w:val="es-ES" w:eastAsia="es-CO"/>
        </w:rPr>
        <w:t xml:space="preserve">la existencia de los contratos estatales, es decir, la producción de efectos jurídicos en los términos del artículo 1501 </w:t>
      </w:r>
      <w:r w:rsidRPr="00C44CD0">
        <w:rPr>
          <w:rFonts w:ascii="Verdana" w:eastAsia="Times New Roman" w:hAnsi="Verdana" w:cs="Arial"/>
          <w:bCs/>
          <w:i/>
          <w:lang w:val="es-ES" w:eastAsia="es-CO"/>
        </w:rPr>
        <w:t>ibidem</w:t>
      </w:r>
      <w:r w:rsidRPr="00C44CD0">
        <w:rPr>
          <w:rFonts w:ascii="Verdana" w:eastAsia="Times New Roman" w:hAnsi="Verdana" w:cs="Arial"/>
          <w:bCs/>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56BC74A3" w14:textId="77777777" w:rsidR="004876D0" w:rsidRPr="00C44CD0" w:rsidRDefault="004876D0" w:rsidP="004876D0">
      <w:pPr>
        <w:spacing w:after="120" w:line="276" w:lineRule="auto"/>
        <w:ind w:firstLine="708"/>
        <w:jc w:val="both"/>
        <w:rPr>
          <w:rFonts w:ascii="Verdana" w:eastAsia="Times New Roman" w:hAnsi="Verdana" w:cs="Arial"/>
          <w:bCs/>
          <w:lang w:val="es-ES" w:eastAsia="es-CO"/>
        </w:rPr>
      </w:pPr>
      <w:r w:rsidRPr="00C44CD0">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16D3661D" w14:textId="77777777" w:rsidR="004876D0" w:rsidRPr="00C44CD0" w:rsidRDefault="004876D0" w:rsidP="004876D0">
      <w:pPr>
        <w:spacing w:after="0" w:line="276" w:lineRule="auto"/>
        <w:ind w:firstLine="708"/>
        <w:jc w:val="both"/>
        <w:rPr>
          <w:rFonts w:ascii="Verdana" w:eastAsia="Times New Roman" w:hAnsi="Verdana" w:cs="Arial"/>
          <w:bCs/>
          <w:lang w:val="es-ES" w:eastAsia="es-CO"/>
        </w:rPr>
      </w:pPr>
      <w:r w:rsidRPr="00C44CD0">
        <w:rPr>
          <w:rFonts w:ascii="Verdana" w:eastAsia="Times New Roman" w:hAnsi="Verdana" w:cs="Arial"/>
          <w:bCs/>
          <w:lang w:val="es-ES" w:eastAsia="es-CO"/>
        </w:rPr>
        <w:lastRenderedPageBreak/>
        <w:t xml:space="preserve">Ahora bien, </w:t>
      </w:r>
      <w:r w:rsidRPr="00C44CD0">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C44CD0">
        <w:rPr>
          <w:rFonts w:ascii="Verdana" w:eastAsia="Times New Roman" w:hAnsi="Verdana" w:cs="Arial"/>
          <w:bCs/>
          <w:lang w:val="es-MX" w:eastAsia="es-CO"/>
        </w:rPr>
        <w:t>entrada en vigencia</w:t>
      </w:r>
      <w:proofErr w:type="gramEnd"/>
      <w:r w:rsidRPr="00C44CD0">
        <w:rPr>
          <w:rFonts w:ascii="Verdana" w:eastAsia="Times New Roman" w:hAnsi="Verdana" w:cs="Arial"/>
          <w:bCs/>
          <w:lang w:val="es-MX" w:eastAsia="es-CO"/>
        </w:rPr>
        <w:t xml:space="preserve"> de las prohibiciones anotadas, así como la cesión de </w:t>
      </w:r>
      <w:proofErr w:type="gramStart"/>
      <w:r w:rsidRPr="00C44CD0">
        <w:rPr>
          <w:rFonts w:ascii="Verdana" w:eastAsia="Times New Roman" w:hAnsi="Verdana" w:cs="Arial"/>
          <w:bCs/>
          <w:lang w:val="es-MX" w:eastAsia="es-CO"/>
        </w:rPr>
        <w:t>los mismos</w:t>
      </w:r>
      <w:proofErr w:type="gramEnd"/>
      <w:r w:rsidRPr="00C44CD0">
        <w:rPr>
          <w:rFonts w:ascii="Verdana" w:eastAsia="Times New Roman" w:hAnsi="Verdana" w:cs="Arial"/>
          <w:bCs/>
          <w:lang w:val="es-MX" w:eastAsia="es-CO"/>
        </w:rPr>
        <w:t>, pueden tener lugar en el período de aplicación de la Ley de Garantías Electorales, sin que ello haga nugatoria la restricción de la contratación directa y siempre que cumplan los principios de planeación, transparencia y responsabilidad</w:t>
      </w:r>
      <w:r w:rsidRPr="00C44CD0">
        <w:rPr>
          <w:rFonts w:ascii="Verdana" w:eastAsia="Times New Roman" w:hAnsi="Verdana" w:cs="Arial"/>
          <w:bCs/>
          <w:vertAlign w:val="superscript"/>
          <w:lang w:val="es-MX" w:eastAsia="es-CO"/>
        </w:rPr>
        <w:footnoteReference w:id="12"/>
      </w:r>
      <w:r w:rsidRPr="00C44CD0">
        <w:rPr>
          <w:rFonts w:ascii="Verdana" w:eastAsia="Times New Roman" w:hAnsi="Verdana" w:cs="Arial"/>
          <w:bCs/>
          <w:lang w:val="es-MX" w:eastAsia="es-CO"/>
        </w:rPr>
        <w:t xml:space="preserve">. </w:t>
      </w:r>
    </w:p>
    <w:p w14:paraId="4701124B" w14:textId="77777777" w:rsidR="004876D0" w:rsidRPr="00C44CD0" w:rsidRDefault="004876D0" w:rsidP="004876D0">
      <w:pPr>
        <w:spacing w:after="0" w:line="276" w:lineRule="auto"/>
        <w:ind w:firstLine="709"/>
        <w:jc w:val="both"/>
        <w:rPr>
          <w:rFonts w:ascii="Verdana" w:eastAsia="Arial" w:hAnsi="Verdana" w:cs="Arial"/>
          <w:lang w:val="es-ES" w:eastAsia="es-ES" w:bidi="es-ES"/>
        </w:rPr>
      </w:pPr>
    </w:p>
    <w:p w14:paraId="0F27A416" w14:textId="77777777" w:rsidR="004876D0" w:rsidRPr="00C44CD0" w:rsidRDefault="004876D0" w:rsidP="004876D0">
      <w:pPr>
        <w:spacing w:after="0" w:line="276" w:lineRule="auto"/>
        <w:jc w:val="both"/>
        <w:rPr>
          <w:rFonts w:ascii="Verdana" w:eastAsia="Arial" w:hAnsi="Verdana" w:cs="Arial"/>
          <w:lang w:val="es-ES" w:eastAsia="es-ES" w:bidi="es-ES"/>
        </w:rPr>
      </w:pPr>
      <w:proofErr w:type="spellStart"/>
      <w:r w:rsidRPr="00C44CD0">
        <w:rPr>
          <w:rFonts w:ascii="Verdana" w:eastAsia="Arial" w:hAnsi="Verdana" w:cs="Arial"/>
          <w:lang w:val="es-ES" w:eastAsia="es-ES" w:bidi="es-ES"/>
        </w:rPr>
        <w:t>iv</w:t>
      </w:r>
      <w:proofErr w:type="spellEnd"/>
      <w:r w:rsidRPr="00C44CD0">
        <w:rPr>
          <w:rFonts w:ascii="Verdana" w:eastAsia="Arial" w:hAnsi="Verdana" w:cs="Arial"/>
          <w:lang w:val="es-ES" w:eastAsia="es-ES" w:bidi="es-ES"/>
        </w:rPr>
        <w:t xml:space="preserve">. Teniendo en cuenta el objeto de la consulta, resulta importante analizar cada prohibición. </w:t>
      </w:r>
      <w:r w:rsidRPr="00C44CD0">
        <w:rPr>
          <w:rFonts w:ascii="Verdana" w:eastAsia="Times New Roman" w:hAnsi="Verdana" w:cs="Arial"/>
          <w:bCs/>
          <w:lang w:val="es-MX" w:eastAsia="x-none"/>
        </w:rPr>
        <w:t xml:space="preserve">El ámbito material de la prohibición contenida en el artículo 33 de la Ley 996 de 2005 está delimitado por la expresión </w:t>
      </w:r>
      <w:r w:rsidRPr="00C44CD0">
        <w:rPr>
          <w:rFonts w:ascii="Verdana" w:eastAsia="Calibri" w:hAnsi="Verdana" w:cs="Arial"/>
          <w:bCs/>
          <w:lang w:val="es-MX"/>
        </w:rPr>
        <w:t>“</w:t>
      </w:r>
      <w:r w:rsidRPr="00C44CD0">
        <w:rPr>
          <w:rFonts w:ascii="Verdana" w:eastAsia="Times New Roman" w:hAnsi="Verdana" w:cs="Arial"/>
          <w:bCs/>
          <w:lang w:val="es-MX" w:eastAsia="x-none"/>
        </w:rPr>
        <w:t>queda prohibida la contratación directa</w:t>
      </w:r>
      <w:r w:rsidRPr="00C44CD0">
        <w:rPr>
          <w:rFonts w:ascii="Verdana" w:eastAsia="Calibri" w:hAnsi="Verdana" w:cs="Arial"/>
          <w:lang w:val="es-MX"/>
        </w:rPr>
        <w:t>”</w:t>
      </w:r>
      <w:r w:rsidRPr="00C44CD0">
        <w:rPr>
          <w:rFonts w:ascii="Verdana" w:eastAsia="Times New Roman" w:hAnsi="Verdana" w:cs="Arial"/>
          <w:bCs/>
          <w:lang w:val="es-MX" w:eastAsia="x-none"/>
        </w:rPr>
        <w:t xml:space="preserve">. </w:t>
      </w:r>
      <w:r w:rsidRPr="00C44CD0">
        <w:rPr>
          <w:rFonts w:ascii="Verdana" w:eastAsia="Times New Roman" w:hAnsi="Verdana" w:cs="Arial"/>
          <w:lang w:val="es-MX" w:eastAsia="es-CO"/>
        </w:rPr>
        <w:t xml:space="preserve"> A propósito de </w:t>
      </w:r>
      <w:r w:rsidRPr="00C44CD0">
        <w:rPr>
          <w:rFonts w:ascii="Verdana" w:eastAsia="Times New Roman" w:hAnsi="Verdana" w:cs="Arial"/>
          <w:lang w:eastAsia="es-CO"/>
        </w:rPr>
        <w:t>esta restricción de la Ley de Garantías Electorales, la Sala de Consulta y Servicio Civil del Consejo de Estado ha considerado que:</w:t>
      </w:r>
    </w:p>
    <w:p w14:paraId="7ECE957D" w14:textId="77777777" w:rsidR="004876D0" w:rsidRPr="00C44CD0" w:rsidRDefault="004876D0" w:rsidP="004876D0">
      <w:pPr>
        <w:spacing w:after="0" w:line="276" w:lineRule="auto"/>
        <w:ind w:left="708" w:right="709"/>
        <w:jc w:val="both"/>
        <w:rPr>
          <w:rFonts w:ascii="Verdana" w:eastAsia="Calibri" w:hAnsi="Verdana" w:cs="Arial"/>
          <w:lang w:val="es-MX"/>
        </w:rPr>
      </w:pPr>
    </w:p>
    <w:p w14:paraId="5649D0C6" w14:textId="77777777" w:rsidR="004876D0" w:rsidRPr="00C44CD0" w:rsidRDefault="004876D0" w:rsidP="004876D0">
      <w:pPr>
        <w:spacing w:after="0" w:line="240" w:lineRule="auto"/>
        <w:ind w:left="709" w:right="709"/>
        <w:jc w:val="both"/>
        <w:rPr>
          <w:rFonts w:ascii="Verdana" w:eastAsia="Calibri" w:hAnsi="Verdana" w:cs="Arial"/>
          <w:sz w:val="20"/>
          <w:szCs w:val="20"/>
          <w:lang w:val="es-MX"/>
        </w:rPr>
      </w:pPr>
      <w:r w:rsidRPr="00C44CD0">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C44CD0">
        <w:rPr>
          <w:rFonts w:ascii="Verdana" w:eastAsia="Times New Roman" w:hAnsi="Verdana" w:cs="Arial"/>
          <w:sz w:val="20"/>
          <w:szCs w:val="20"/>
          <w:vertAlign w:val="superscript"/>
          <w:lang w:eastAsia="es-CO"/>
        </w:rPr>
        <w:footnoteReference w:id="13"/>
      </w:r>
      <w:r w:rsidRPr="00C44CD0">
        <w:rPr>
          <w:rFonts w:ascii="Verdana" w:eastAsia="Calibri" w:hAnsi="Verdana" w:cs="Arial"/>
          <w:sz w:val="20"/>
          <w:szCs w:val="20"/>
          <w:lang w:val="es-MX"/>
        </w:rPr>
        <w:t>.</w:t>
      </w:r>
    </w:p>
    <w:p w14:paraId="68DB1937" w14:textId="77777777" w:rsidR="004876D0" w:rsidRPr="00C44CD0" w:rsidRDefault="004876D0" w:rsidP="004876D0">
      <w:pPr>
        <w:spacing w:after="0" w:line="240" w:lineRule="auto"/>
        <w:ind w:left="709" w:right="709"/>
        <w:jc w:val="both"/>
        <w:rPr>
          <w:rFonts w:ascii="Verdana" w:eastAsia="Calibri" w:hAnsi="Verdana" w:cs="Arial"/>
          <w:sz w:val="20"/>
          <w:szCs w:val="20"/>
          <w:lang w:val="es-MX"/>
        </w:rPr>
      </w:pPr>
    </w:p>
    <w:p w14:paraId="3863324A" w14:textId="77777777" w:rsidR="004876D0" w:rsidRPr="00C44CD0" w:rsidRDefault="004876D0" w:rsidP="004876D0">
      <w:pPr>
        <w:spacing w:after="0" w:line="240" w:lineRule="auto"/>
        <w:ind w:left="708" w:right="709"/>
        <w:jc w:val="both"/>
        <w:rPr>
          <w:rFonts w:ascii="Verdana" w:eastAsia="Calibri" w:hAnsi="Verdana" w:cs="Arial"/>
          <w:sz w:val="20"/>
          <w:szCs w:val="20"/>
          <w:lang w:val="es-MX"/>
        </w:rPr>
      </w:pPr>
      <w:r w:rsidRPr="00C44CD0">
        <w:rPr>
          <w:rFonts w:ascii="Verdana" w:eastAsia="Calibri" w:hAnsi="Verdana" w:cs="Arial"/>
          <w:sz w:val="20"/>
          <w:szCs w:val="20"/>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C44CD0">
        <w:rPr>
          <w:rFonts w:ascii="Verdana" w:eastAsia="Times New Roman" w:hAnsi="Verdana" w:cs="Arial"/>
          <w:sz w:val="20"/>
          <w:szCs w:val="20"/>
          <w:vertAlign w:val="superscript"/>
          <w:lang w:val="es-MX"/>
        </w:rPr>
        <w:footnoteReference w:id="14"/>
      </w:r>
      <w:r w:rsidRPr="00C44CD0">
        <w:rPr>
          <w:rFonts w:ascii="Verdana" w:eastAsia="Times New Roman" w:hAnsi="Verdana" w:cs="Arial"/>
          <w:sz w:val="20"/>
          <w:szCs w:val="20"/>
          <w:vertAlign w:val="superscript"/>
          <w:lang w:val="es-MX"/>
        </w:rPr>
        <w:t>.</w:t>
      </w:r>
      <w:r w:rsidRPr="00C44CD0">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C44CD0">
        <w:rPr>
          <w:rFonts w:ascii="Verdana" w:eastAsia="Times New Roman" w:hAnsi="Verdana" w:cs="Arial"/>
          <w:sz w:val="20"/>
          <w:szCs w:val="20"/>
          <w:vertAlign w:val="superscript"/>
          <w:lang w:eastAsia="es-CO"/>
        </w:rPr>
        <w:footnoteReference w:id="15"/>
      </w:r>
      <w:r w:rsidRPr="00C44CD0">
        <w:rPr>
          <w:rFonts w:ascii="Verdana" w:eastAsia="Calibri" w:hAnsi="Verdana" w:cs="Arial"/>
          <w:sz w:val="20"/>
          <w:szCs w:val="20"/>
          <w:lang w:val="es-MX"/>
        </w:rPr>
        <w:t>.</w:t>
      </w:r>
    </w:p>
    <w:p w14:paraId="508D1C85" w14:textId="77777777" w:rsidR="004876D0" w:rsidRPr="00C44CD0" w:rsidRDefault="004876D0" w:rsidP="004876D0">
      <w:pPr>
        <w:shd w:val="clear" w:color="auto" w:fill="FFFFFF"/>
        <w:spacing w:after="0" w:line="276" w:lineRule="auto"/>
        <w:ind w:firstLine="709"/>
        <w:jc w:val="both"/>
        <w:rPr>
          <w:rFonts w:ascii="Verdana" w:eastAsia="Times New Roman" w:hAnsi="Verdana" w:cs="Arial"/>
          <w:lang w:eastAsia="x-none"/>
        </w:rPr>
      </w:pPr>
    </w:p>
    <w:p w14:paraId="508BF9C6" w14:textId="77777777" w:rsidR="004876D0" w:rsidRPr="00C44CD0" w:rsidRDefault="004876D0" w:rsidP="004876D0">
      <w:pPr>
        <w:spacing w:after="120" w:line="276" w:lineRule="auto"/>
        <w:ind w:firstLine="709"/>
        <w:jc w:val="both"/>
        <w:rPr>
          <w:rFonts w:ascii="Verdana" w:eastAsia="Times New Roman" w:hAnsi="Verdana" w:cs="Arial"/>
          <w:bCs/>
          <w:lang w:eastAsia="x-none"/>
        </w:rPr>
      </w:pPr>
      <w:r w:rsidRPr="00C44CD0">
        <w:rPr>
          <w:rFonts w:ascii="Verdana" w:eastAsia="Times New Roman" w:hAnsi="Verdana" w:cs="Arial"/>
          <w:lang w:eastAsia="x-none"/>
        </w:rPr>
        <w:lastRenderedPageBreak/>
        <w:t xml:space="preserve">De acuerdo con el citado concepto, la prohibición del artículo 33 de la Ley de Garantías Electorales se refiere a </w:t>
      </w:r>
      <w:r w:rsidRPr="00C44CD0">
        <w:rPr>
          <w:rFonts w:ascii="Verdana" w:eastAsia="Times New Roman" w:hAnsi="Verdana" w:cs="Arial"/>
          <w:lang w:eastAsia="en-GB"/>
        </w:rPr>
        <w:t>“</w:t>
      </w:r>
      <w:r w:rsidRPr="00C44CD0">
        <w:rPr>
          <w:rFonts w:ascii="Verdana" w:eastAsia="Times New Roman" w:hAnsi="Verdana" w:cs="Arial"/>
          <w:lang w:eastAsia="x-none"/>
        </w:rPr>
        <w:t>cualquier sistema que no implique convocatoria pública y posibilidad de pluralidad de oferentes</w:t>
      </w:r>
      <w:r w:rsidRPr="00C44CD0">
        <w:rPr>
          <w:rFonts w:ascii="Verdana" w:eastAsia="Times New Roman" w:hAnsi="Verdana" w:cs="Arial"/>
          <w:lang w:eastAsia="en-GB"/>
        </w:rPr>
        <w:t>”</w:t>
      </w:r>
      <w:r w:rsidRPr="00C44CD0">
        <w:rPr>
          <w:rFonts w:ascii="Verdana" w:eastAsia="Times New Roman" w:hAnsi="Verdana" w:cs="Arial"/>
          <w:lang w:eastAsia="x-none"/>
        </w:rPr>
        <w:t xml:space="preserve">, por lo que excluye las demás modalidades de contratación previstas en la Ley 1150 de 2007, esto es, la licitación pública, la selección abreviada, el concurso de méritos </w:t>
      </w:r>
      <w:r w:rsidRPr="00C44CD0">
        <w:rPr>
          <w:rFonts w:ascii="Verdana" w:eastAsia="Times New Roman" w:hAnsi="Verdana" w:cs="Arial"/>
          <w:lang w:val="es-ES_tradnl" w:eastAsia="x-none"/>
        </w:rPr>
        <w:t xml:space="preserve">y la mínima cuantía </w:t>
      </w:r>
      <w:r w:rsidRPr="00C44CD0">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C44CD0">
        <w:rPr>
          <w:rFonts w:ascii="Verdana" w:eastAsia="Times New Roman" w:hAnsi="Verdana" w:cs="Arial"/>
          <w:vertAlign w:val="superscript"/>
          <w:lang w:val="en-GB" w:eastAsia="x-none"/>
        </w:rPr>
        <w:footnoteReference w:id="16"/>
      </w:r>
      <w:r w:rsidRPr="00C44CD0">
        <w:rPr>
          <w:rFonts w:ascii="Verdana" w:eastAsia="Times New Roman" w:hAnsi="Verdana" w:cs="Arial"/>
          <w:lang w:eastAsia="x-none"/>
        </w:rPr>
        <w:t xml:space="preserve"> y sistematizó las causales de contratación directa</w:t>
      </w:r>
      <w:r w:rsidRPr="00C44CD0">
        <w:rPr>
          <w:rFonts w:ascii="Verdana" w:eastAsia="Times New Roman" w:hAnsi="Verdana" w:cs="Arial"/>
          <w:vertAlign w:val="superscript"/>
          <w:lang w:val="en-GB" w:eastAsia="x-none"/>
        </w:rPr>
        <w:footnoteReference w:id="17"/>
      </w:r>
      <w:r w:rsidRPr="00C44CD0">
        <w:rPr>
          <w:rFonts w:ascii="Verdana" w:eastAsia="Times New Roman" w:hAnsi="Verdana" w:cs="Arial"/>
          <w:lang w:eastAsia="x-none"/>
        </w:rPr>
        <w:t xml:space="preserve">, </w:t>
      </w:r>
      <w:r w:rsidRPr="00C44CD0">
        <w:rPr>
          <w:rFonts w:ascii="Verdana" w:eastAsia="Calibri" w:hAnsi="Verdana" w:cs="Arial"/>
          <w:lang w:eastAsia="x-none"/>
        </w:rPr>
        <w:t>además lo es con la posterior creación de la modalidad de mínima cuantía establecida actualmente en el numeral 5 del artículo 2 de la Ley 1150 de 2007, de acuerdo con las modificaciones realizadas por leyes posteriores.</w:t>
      </w:r>
    </w:p>
    <w:p w14:paraId="24FA0A81" w14:textId="77777777" w:rsidR="004876D0" w:rsidRPr="00C44CD0" w:rsidRDefault="004876D0" w:rsidP="004876D0">
      <w:pPr>
        <w:spacing w:after="120" w:line="276" w:lineRule="auto"/>
        <w:ind w:firstLine="709"/>
        <w:jc w:val="both"/>
        <w:rPr>
          <w:rFonts w:ascii="Verdana" w:eastAsia="Times New Roman" w:hAnsi="Verdana" w:cs="Arial"/>
          <w:lang w:val="es-MX" w:eastAsia="x-none"/>
        </w:rPr>
      </w:pPr>
      <w:r w:rsidRPr="00C44CD0">
        <w:rPr>
          <w:rFonts w:ascii="Verdana" w:eastAsia="Times New Roman" w:hAnsi="Verdana" w:cs="Arial"/>
          <w:lang w:eastAsia="x-none"/>
        </w:rPr>
        <w:t xml:space="preserve">De esta forma, con fundamento en la evolución de la normativa sobre la contratación pública, se ha depurado la noción de </w:t>
      </w:r>
      <w:r w:rsidRPr="00C44CD0">
        <w:rPr>
          <w:rFonts w:ascii="Verdana" w:eastAsia="Times New Roman" w:hAnsi="Verdana" w:cs="Arial"/>
          <w:lang w:eastAsia="en-GB"/>
        </w:rPr>
        <w:t>“</w:t>
      </w:r>
      <w:r w:rsidRPr="00C44CD0">
        <w:rPr>
          <w:rFonts w:ascii="Verdana" w:eastAsia="Times New Roman" w:hAnsi="Verdana" w:cs="Arial"/>
          <w:lang w:eastAsia="x-none"/>
        </w:rPr>
        <w:t>contratación directa</w:t>
      </w:r>
      <w:r w:rsidRPr="00C44CD0">
        <w:rPr>
          <w:rFonts w:ascii="Verdana" w:eastAsia="Times New Roman" w:hAnsi="Verdana" w:cs="Arial"/>
          <w:lang w:eastAsia="en-GB"/>
        </w:rPr>
        <w:t>”</w:t>
      </w:r>
      <w:r w:rsidRPr="00C44CD0">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C44CD0">
        <w:rPr>
          <w:rFonts w:ascii="Verdana" w:eastAsia="Times New Roman" w:hAnsi="Verdana" w:cs="Arial"/>
          <w:vertAlign w:val="superscript"/>
          <w:lang w:val="en-GB" w:eastAsia="x-none"/>
        </w:rPr>
        <w:footnoteReference w:id="18"/>
      </w:r>
      <w:r w:rsidRPr="00C44CD0">
        <w:rPr>
          <w:rFonts w:ascii="Verdana" w:eastAsia="Times New Roman" w:hAnsi="Verdana" w:cs="Arial"/>
          <w:lang w:eastAsia="x-none"/>
        </w:rPr>
        <w:t>, han establecido sistemas de contratación que implican convocatoria pública y participación de varios oferentes</w:t>
      </w:r>
      <w:r w:rsidRPr="00C44CD0">
        <w:rPr>
          <w:rFonts w:ascii="Verdana" w:eastAsia="Times New Roman" w:hAnsi="Verdana" w:cs="Arial"/>
          <w:lang w:eastAsia="en-GB"/>
        </w:rPr>
        <w:t>”</w:t>
      </w:r>
      <w:r w:rsidRPr="00C44CD0">
        <w:rPr>
          <w:rFonts w:ascii="Verdana" w:eastAsia="Times New Roman" w:hAnsi="Verdana" w:cs="Arial"/>
          <w:lang w:eastAsia="x-none"/>
        </w:rPr>
        <w:t xml:space="preserve">. </w:t>
      </w:r>
    </w:p>
    <w:p w14:paraId="2771CE15" w14:textId="77777777" w:rsidR="004876D0" w:rsidRPr="00C44CD0" w:rsidRDefault="004876D0" w:rsidP="004876D0">
      <w:pPr>
        <w:spacing w:after="120" w:line="276" w:lineRule="auto"/>
        <w:ind w:firstLine="709"/>
        <w:jc w:val="both"/>
        <w:rPr>
          <w:rFonts w:ascii="Verdana" w:eastAsia="Times New Roman" w:hAnsi="Verdana" w:cs="Arial"/>
          <w:bCs/>
          <w:lang w:val="es-MX" w:eastAsia="es-CO"/>
        </w:rPr>
      </w:pPr>
      <w:r w:rsidRPr="00C44CD0">
        <w:rPr>
          <w:rFonts w:ascii="Verdana" w:eastAsia="Times New Roman" w:hAnsi="Verdana" w:cs="Arial"/>
          <w:bCs/>
          <w:lang w:val="es-MX" w:eastAsia="x-none"/>
        </w:rPr>
        <w:t>E</w:t>
      </w:r>
      <w:r w:rsidRPr="00C44CD0">
        <w:rPr>
          <w:rFonts w:ascii="Verdana" w:eastAsia="Times New Roman" w:hAnsi="Verdana" w:cs="Arial"/>
          <w:lang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w:t>
      </w:r>
      <w:r w:rsidRPr="00C44CD0">
        <w:rPr>
          <w:rFonts w:ascii="Verdana" w:eastAsia="Times New Roman" w:hAnsi="Verdana" w:cs="Arial"/>
          <w:lang w:eastAsia="x-none"/>
        </w:rPr>
        <w:lastRenderedPageBreak/>
        <w:t>inscribirse en forma previa se haga de manera pública, y que se permita la participación de una pluralidad de oferentes</w:t>
      </w:r>
      <w:r w:rsidRPr="00C44CD0">
        <w:rPr>
          <w:rFonts w:ascii="Verdana" w:eastAsia="Times New Roman" w:hAnsi="Verdana" w:cs="Arial"/>
          <w:vertAlign w:val="superscript"/>
          <w:lang w:eastAsia="x-none"/>
        </w:rPr>
        <w:footnoteReference w:id="19"/>
      </w:r>
      <w:r w:rsidRPr="00C44CD0">
        <w:rPr>
          <w:rFonts w:ascii="Verdana" w:eastAsia="Times New Roman" w:hAnsi="Verdana" w:cs="Arial"/>
          <w:lang w:eastAsia="x-none"/>
        </w:rPr>
        <w:t xml:space="preserve">. </w:t>
      </w:r>
    </w:p>
    <w:p w14:paraId="53FBBF97" w14:textId="77777777" w:rsidR="004876D0" w:rsidRPr="00C44CD0" w:rsidRDefault="004876D0" w:rsidP="004876D0">
      <w:pPr>
        <w:spacing w:after="120" w:line="276" w:lineRule="auto"/>
        <w:ind w:firstLine="709"/>
        <w:jc w:val="both"/>
        <w:rPr>
          <w:rFonts w:ascii="Verdana" w:eastAsia="Times New Roman" w:hAnsi="Verdana" w:cs="Arial"/>
          <w:bCs/>
          <w:lang w:val="es-MX" w:eastAsia="es-CO"/>
        </w:rPr>
      </w:pPr>
      <w:r w:rsidRPr="00C44CD0">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7BF1D407" w14:textId="77777777" w:rsidR="004876D0" w:rsidRPr="00C44CD0" w:rsidRDefault="004876D0" w:rsidP="004876D0">
      <w:pPr>
        <w:spacing w:after="120" w:line="276" w:lineRule="auto"/>
        <w:ind w:firstLine="709"/>
        <w:jc w:val="both"/>
        <w:rPr>
          <w:rFonts w:ascii="Verdana" w:eastAsia="Times New Roman" w:hAnsi="Verdana" w:cs="Arial"/>
          <w:bCs/>
          <w:lang w:val="es-MX" w:eastAsia="x-none"/>
        </w:rPr>
      </w:pPr>
      <w:r w:rsidRPr="00C44CD0">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C44CD0">
        <w:rPr>
          <w:rFonts w:ascii="Verdana" w:eastAsia="Times New Roman" w:hAnsi="Verdana" w:cs="Arial"/>
          <w:vertAlign w:val="superscript"/>
          <w:lang w:eastAsia="x-none"/>
        </w:rPr>
        <w:footnoteReference w:id="20"/>
      </w:r>
      <w:r w:rsidRPr="00C44CD0">
        <w:rPr>
          <w:rFonts w:ascii="Verdana" w:eastAsia="Times New Roman" w:hAnsi="Verdana" w:cs="Arial"/>
          <w:bCs/>
          <w:lang w:val="es-MX" w:eastAsia="x-none"/>
        </w:rPr>
        <w:t>.</w:t>
      </w:r>
      <w:r w:rsidRPr="00C44CD0">
        <w:rPr>
          <w:rFonts w:ascii="Verdana" w:eastAsia="Times New Roman" w:hAnsi="Verdana" w:cs="Arial"/>
          <w:vertAlign w:val="superscript"/>
          <w:lang w:val="es-MX" w:eastAsia="x-none"/>
        </w:rPr>
        <w:t xml:space="preserve"> </w:t>
      </w:r>
    </w:p>
    <w:p w14:paraId="075FF806" w14:textId="77777777" w:rsidR="004876D0" w:rsidRPr="00C44CD0" w:rsidRDefault="004876D0" w:rsidP="004876D0">
      <w:pPr>
        <w:spacing w:after="120" w:line="276" w:lineRule="auto"/>
        <w:ind w:firstLine="709"/>
        <w:jc w:val="both"/>
        <w:rPr>
          <w:rFonts w:ascii="Verdana" w:eastAsia="Times New Roman" w:hAnsi="Verdana" w:cs="Arial"/>
          <w:lang w:eastAsia="x-none"/>
        </w:rPr>
      </w:pPr>
      <w:r w:rsidRPr="00C44CD0">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C44CD0">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07BAABD1" w14:textId="77777777" w:rsidR="004876D0" w:rsidRPr="00C44CD0" w:rsidRDefault="004876D0" w:rsidP="004876D0">
      <w:pPr>
        <w:spacing w:after="120" w:line="276" w:lineRule="auto"/>
        <w:ind w:firstLine="709"/>
        <w:jc w:val="both"/>
        <w:rPr>
          <w:rFonts w:ascii="Verdana" w:eastAsia="Times New Roman" w:hAnsi="Verdana" w:cs="Arial"/>
          <w:bCs/>
          <w:lang w:val="es-MX" w:eastAsia="es-CO"/>
        </w:rPr>
      </w:pPr>
      <w:r w:rsidRPr="00C44CD0">
        <w:rPr>
          <w:rFonts w:ascii="Verdana" w:eastAsia="Times New Roman"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w:t>
      </w:r>
      <w:r w:rsidRPr="00C44CD0">
        <w:rPr>
          <w:rFonts w:ascii="Verdana" w:eastAsia="Times New Roman" w:hAnsi="Verdana" w:cs="Arial"/>
          <w:bCs/>
          <w:lang w:val="es-MX" w:eastAsia="x-none"/>
        </w:rPr>
        <w:lastRenderedPageBreak/>
        <w:t>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C44CD0">
        <w:rPr>
          <w:rFonts w:ascii="Verdana" w:eastAsia="Times New Roman" w:hAnsi="Verdana" w:cs="Arial"/>
          <w:bCs/>
          <w:lang w:val="es-MX" w:eastAsia="es-CO"/>
        </w:rPr>
        <w:t xml:space="preserve"> </w:t>
      </w:r>
    </w:p>
    <w:p w14:paraId="1F5E15CB" w14:textId="77777777" w:rsidR="004876D0" w:rsidRPr="00C44CD0" w:rsidRDefault="004876D0" w:rsidP="004876D0">
      <w:pPr>
        <w:spacing w:after="0" w:line="276" w:lineRule="auto"/>
        <w:ind w:firstLine="709"/>
        <w:jc w:val="both"/>
        <w:rPr>
          <w:rFonts w:ascii="Verdana" w:eastAsia="Times New Roman" w:hAnsi="Verdana" w:cs="Arial"/>
          <w:bCs/>
          <w:lang w:val="es-MX" w:eastAsia="x-none"/>
        </w:rPr>
      </w:pPr>
      <w:r w:rsidRPr="00C44CD0">
        <w:rPr>
          <w:rFonts w:ascii="Verdana" w:eastAsia="Times New Roman" w:hAnsi="Verdana" w:cs="Arial"/>
          <w:bCs/>
          <w:lang w:val="es-MX" w:eastAsia="es-CO"/>
        </w:rPr>
        <w:t>Conforme a dichas causales,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r w:rsidRPr="00C44CD0">
        <w:rPr>
          <w:rFonts w:ascii="Verdana" w:eastAsia="Times New Roman" w:hAnsi="Verdana" w:cs="Arial"/>
          <w:bCs/>
          <w:lang w:val="es-MX" w:eastAsia="x-none"/>
        </w:rPr>
        <w:t xml:space="preserve"> 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C44CD0">
        <w:rPr>
          <w:rFonts w:ascii="Verdana" w:eastAsia="Calibri" w:hAnsi="Verdana" w:cs="Arial"/>
          <w:vertAlign w:val="superscript"/>
          <w:lang w:val="es-MX"/>
        </w:rPr>
        <w:footnoteReference w:id="21"/>
      </w:r>
      <w:r w:rsidRPr="00C44CD0">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7776CE4E" w14:textId="77777777" w:rsidR="004876D0" w:rsidRPr="00C44CD0" w:rsidRDefault="004876D0" w:rsidP="004876D0">
      <w:pPr>
        <w:spacing w:after="0" w:line="276" w:lineRule="auto"/>
        <w:jc w:val="both"/>
        <w:rPr>
          <w:rFonts w:ascii="Verdana" w:eastAsia="Times New Roman" w:hAnsi="Verdana" w:cs="Arial"/>
          <w:bCs/>
          <w:lang w:val="es-MX" w:eastAsia="x-none"/>
        </w:rPr>
      </w:pPr>
    </w:p>
    <w:p w14:paraId="23D58411" w14:textId="77777777" w:rsidR="004876D0" w:rsidRPr="00C44CD0" w:rsidRDefault="004876D0" w:rsidP="004876D0">
      <w:pPr>
        <w:spacing w:after="0" w:line="276" w:lineRule="auto"/>
        <w:jc w:val="both"/>
        <w:rPr>
          <w:rFonts w:ascii="Verdana" w:eastAsia="Times New Roman" w:hAnsi="Verdana" w:cs="Arial"/>
          <w:bCs/>
          <w:lang w:val="es-MX" w:eastAsia="x-none"/>
        </w:rPr>
      </w:pPr>
      <w:r w:rsidRPr="00C44CD0">
        <w:rPr>
          <w:rFonts w:ascii="Verdana" w:eastAsia="Times New Roman" w:hAnsi="Verdana" w:cs="Arial"/>
          <w:bCs/>
          <w:lang w:val="es-MX" w:eastAsia="x-none"/>
        </w:rPr>
        <w:t>v. 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r w:rsidRPr="00C44CD0">
        <w:rPr>
          <w:rFonts w:ascii="Verdana" w:eastAsia="Calibri" w:hAnsi="Verdana" w:cs="Arial"/>
          <w:sz w:val="24"/>
          <w:lang w:val="es-MX"/>
        </w:rPr>
        <w:t xml:space="preserve"> </w:t>
      </w:r>
      <w:r w:rsidRPr="00C44CD0">
        <w:rPr>
          <w:rFonts w:ascii="Verdana" w:eastAsia="Times New Roman" w:hAnsi="Verdana" w:cs="Arial"/>
          <w:bCs/>
          <w:lang w:val="es-MX" w:eastAsia="x-none"/>
        </w:rPr>
        <w:t>En efecto, tal como lo ha sostenido el Consejo de Estado, el vocablo “todos” utilizado por el legislador comprende</w:t>
      </w:r>
      <w:r w:rsidRPr="00C44CD0">
        <w:rPr>
          <w:rFonts w:ascii="Verdana" w:eastAsia="Calibri" w:hAnsi="Verdana" w:cs="Arial"/>
          <w:sz w:val="24"/>
          <w:lang w:val="es-MX"/>
        </w:rPr>
        <w:t xml:space="preserve"> </w:t>
      </w:r>
      <w:r w:rsidRPr="00C44CD0">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Al respecto, </w:t>
      </w:r>
      <w:r w:rsidRPr="00C44CD0">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51385239" w14:textId="77777777" w:rsidR="004876D0" w:rsidRPr="00C44CD0" w:rsidRDefault="004876D0" w:rsidP="004876D0">
      <w:pPr>
        <w:spacing w:after="0" w:line="276" w:lineRule="auto"/>
        <w:jc w:val="both"/>
        <w:rPr>
          <w:rFonts w:ascii="Verdana" w:eastAsia="Times New Roman" w:hAnsi="Verdana" w:cs="Arial"/>
          <w:bCs/>
          <w:lang w:val="es-MX" w:eastAsia="x-none"/>
        </w:rPr>
      </w:pPr>
    </w:p>
    <w:p w14:paraId="78B72A92" w14:textId="77777777" w:rsidR="004876D0" w:rsidRPr="00C44CD0" w:rsidRDefault="004876D0" w:rsidP="004876D0">
      <w:pPr>
        <w:spacing w:after="0" w:line="240" w:lineRule="auto"/>
        <w:ind w:left="709" w:right="709"/>
        <w:jc w:val="both"/>
        <w:rPr>
          <w:rFonts w:ascii="Verdana" w:eastAsia="Times New Roman" w:hAnsi="Verdana" w:cs="Arial"/>
          <w:bCs/>
          <w:sz w:val="20"/>
          <w:szCs w:val="20"/>
          <w:lang w:val="es-MX" w:eastAsia="es-CO"/>
        </w:rPr>
      </w:pPr>
      <w:r w:rsidRPr="00C44CD0">
        <w:rPr>
          <w:rFonts w:ascii="Verdana" w:eastAsia="Times New Roman" w:hAnsi="Verdana" w:cs="Arial"/>
          <w:bCs/>
          <w:sz w:val="20"/>
          <w:szCs w:val="20"/>
          <w:lang w:val="es-MX" w:eastAsia="x-none"/>
        </w:rPr>
        <w:lastRenderedPageBreak/>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C44CD0">
        <w:rPr>
          <w:rFonts w:ascii="Verdana" w:eastAsia="Times New Roman" w:hAnsi="Verdana" w:cs="Arial"/>
          <w:bCs/>
          <w:sz w:val="20"/>
          <w:szCs w:val="20"/>
          <w:vertAlign w:val="superscript"/>
          <w:lang w:val="es-MX" w:eastAsia="x-none"/>
        </w:rPr>
        <w:footnoteReference w:id="22"/>
      </w:r>
      <w:r w:rsidRPr="00C44CD0">
        <w:rPr>
          <w:rFonts w:ascii="Verdana" w:eastAsia="Times New Roman" w:hAnsi="Verdana" w:cs="Arial"/>
          <w:bCs/>
          <w:sz w:val="20"/>
          <w:szCs w:val="20"/>
          <w:lang w:val="es-MX" w:eastAsia="x-none"/>
        </w:rPr>
        <w:t>.</w:t>
      </w:r>
      <w:r w:rsidRPr="00C44CD0">
        <w:rPr>
          <w:rFonts w:ascii="Verdana" w:eastAsia="Times New Roman" w:hAnsi="Verdana" w:cs="Arial"/>
          <w:bCs/>
          <w:sz w:val="20"/>
          <w:szCs w:val="20"/>
          <w:lang w:val="es-MX" w:eastAsia="es-CO"/>
        </w:rPr>
        <w:t xml:space="preserve"> </w:t>
      </w:r>
    </w:p>
    <w:p w14:paraId="25E92963" w14:textId="77777777" w:rsidR="004876D0" w:rsidRPr="00C44CD0" w:rsidRDefault="004876D0" w:rsidP="004876D0">
      <w:pPr>
        <w:spacing w:after="0" w:line="276" w:lineRule="auto"/>
        <w:ind w:firstLine="708"/>
        <w:jc w:val="both"/>
        <w:rPr>
          <w:rFonts w:ascii="Verdana" w:eastAsia="Times New Roman" w:hAnsi="Verdana" w:cs="Arial"/>
          <w:bCs/>
          <w:lang w:val="es-MX" w:eastAsia="es-CO"/>
        </w:rPr>
      </w:pPr>
    </w:p>
    <w:p w14:paraId="7CE588A9" w14:textId="77777777" w:rsidR="004876D0" w:rsidRPr="00C44CD0" w:rsidRDefault="004876D0" w:rsidP="004876D0">
      <w:pPr>
        <w:spacing w:after="0" w:line="276" w:lineRule="auto"/>
        <w:ind w:firstLine="708"/>
        <w:jc w:val="both"/>
        <w:rPr>
          <w:rFonts w:ascii="Verdana" w:eastAsia="Calibri" w:hAnsi="Verdana" w:cs="Arial"/>
          <w:lang w:val="es-MX"/>
        </w:rPr>
      </w:pPr>
      <w:r w:rsidRPr="00C44CD0">
        <w:rPr>
          <w:rFonts w:ascii="Verdana" w:eastAsia="Times New Roman" w:hAnsi="Verdana" w:cs="Arial"/>
          <w:bCs/>
          <w:lang w:val="es-MX" w:eastAsia="x-none"/>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C44CD0">
        <w:rPr>
          <w:rFonts w:ascii="Verdana" w:eastAsia="Calibri" w:hAnsi="Verdana" w:cs="Arial"/>
          <w:vertAlign w:val="superscript"/>
          <w:lang w:val="es-MX"/>
        </w:rPr>
        <w:footnoteReference w:id="23"/>
      </w:r>
      <w:r w:rsidRPr="00C44CD0">
        <w:rPr>
          <w:rFonts w:ascii="Verdana" w:eastAsia="Times New Roman" w:hAnsi="Verdana" w:cs="Arial"/>
          <w:bCs/>
          <w:lang w:val="es-MX" w:eastAsia="x-none"/>
        </w:rPr>
        <w:t>.</w:t>
      </w:r>
      <w:r w:rsidRPr="00C44CD0">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0CB8C976" w14:textId="77777777" w:rsidR="004876D0" w:rsidRPr="00C44CD0" w:rsidRDefault="004876D0" w:rsidP="004876D0">
      <w:pPr>
        <w:spacing w:after="0" w:line="276" w:lineRule="auto"/>
        <w:jc w:val="both"/>
        <w:rPr>
          <w:rFonts w:ascii="Verdana" w:eastAsia="Calibri" w:hAnsi="Verdana" w:cs="Arial"/>
          <w:lang w:val="es-MX"/>
        </w:rPr>
      </w:pPr>
    </w:p>
    <w:p w14:paraId="28157655" w14:textId="77777777" w:rsidR="004876D0" w:rsidRPr="00C44CD0" w:rsidRDefault="004876D0" w:rsidP="004876D0">
      <w:pPr>
        <w:spacing w:after="0" w:line="240" w:lineRule="auto"/>
        <w:ind w:left="708" w:right="709"/>
        <w:jc w:val="both"/>
        <w:rPr>
          <w:rFonts w:ascii="Verdana" w:eastAsia="Calibri" w:hAnsi="Verdana" w:cs="Arial"/>
          <w:sz w:val="20"/>
          <w:szCs w:val="20"/>
          <w:lang w:val="es-MX"/>
        </w:rPr>
      </w:pPr>
      <w:r w:rsidRPr="00C44CD0">
        <w:rPr>
          <w:rFonts w:ascii="Verdana" w:eastAsia="Calibri" w:hAnsi="Verdana" w:cs="Arial"/>
          <w:sz w:val="20"/>
          <w:szCs w:val="20"/>
          <w:lang w:val="es-MX"/>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w:t>
      </w:r>
      <w:r w:rsidRPr="00C44CD0">
        <w:rPr>
          <w:rFonts w:ascii="Verdana" w:eastAsia="Calibri" w:hAnsi="Verdana" w:cs="Arial"/>
          <w:sz w:val="20"/>
          <w:szCs w:val="20"/>
          <w:lang w:val="es-MX"/>
        </w:rPr>
        <w:lastRenderedPageBreak/>
        <w:t>existentes, pues significaría la parálisis de una actividad propia de la administración, que incluso podría desconocer los derechos fundamentales.</w:t>
      </w:r>
    </w:p>
    <w:p w14:paraId="5A6952C6" w14:textId="77777777" w:rsidR="004876D0" w:rsidRPr="00C44CD0" w:rsidRDefault="004876D0" w:rsidP="004876D0">
      <w:pPr>
        <w:spacing w:after="0" w:line="240" w:lineRule="auto"/>
        <w:ind w:right="709"/>
        <w:jc w:val="both"/>
        <w:rPr>
          <w:rFonts w:ascii="Verdana" w:eastAsia="Calibri" w:hAnsi="Verdana" w:cs="Arial"/>
          <w:sz w:val="20"/>
          <w:szCs w:val="20"/>
          <w:lang w:val="es-MX"/>
        </w:rPr>
      </w:pPr>
      <w:r w:rsidRPr="00C44CD0">
        <w:rPr>
          <w:rFonts w:ascii="Verdana" w:eastAsia="Calibri" w:hAnsi="Verdana" w:cs="Arial"/>
          <w:sz w:val="20"/>
          <w:szCs w:val="20"/>
          <w:lang w:val="es-MX"/>
        </w:rPr>
        <w:tab/>
      </w:r>
    </w:p>
    <w:p w14:paraId="1599631A" w14:textId="77777777" w:rsidR="004876D0" w:rsidRPr="00C44CD0" w:rsidRDefault="004876D0" w:rsidP="004876D0">
      <w:pPr>
        <w:spacing w:after="0" w:line="240" w:lineRule="auto"/>
        <w:ind w:left="708" w:right="709"/>
        <w:jc w:val="both"/>
        <w:rPr>
          <w:rFonts w:ascii="Verdana" w:eastAsia="Calibri" w:hAnsi="Verdana" w:cs="Arial"/>
          <w:sz w:val="20"/>
          <w:szCs w:val="20"/>
          <w:lang w:val="es-MX"/>
        </w:rPr>
      </w:pPr>
      <w:r w:rsidRPr="00C44CD0">
        <w:rPr>
          <w:rFonts w:ascii="Verdana" w:eastAsia="Times New Roman" w:hAnsi="Verdana" w:cs="Arial"/>
          <w:bCs/>
          <w:sz w:val="20"/>
          <w:szCs w:val="20"/>
          <w:lang w:val="es-MX"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C44CD0">
        <w:rPr>
          <w:rFonts w:ascii="Verdana" w:eastAsia="Calibri" w:hAnsi="Verdana" w:cs="Arial"/>
          <w:sz w:val="20"/>
          <w:szCs w:val="20"/>
          <w:vertAlign w:val="superscript"/>
          <w:lang w:val="es-MX"/>
        </w:rPr>
        <w:footnoteReference w:id="24"/>
      </w:r>
      <w:r w:rsidRPr="00C44CD0">
        <w:rPr>
          <w:rFonts w:ascii="Verdana" w:eastAsia="Times New Roman" w:hAnsi="Verdana" w:cs="Arial"/>
          <w:bCs/>
          <w:sz w:val="20"/>
          <w:szCs w:val="20"/>
          <w:lang w:val="es-MX" w:eastAsia="x-none"/>
        </w:rPr>
        <w:t>.</w:t>
      </w:r>
    </w:p>
    <w:p w14:paraId="387BA8DF" w14:textId="77777777" w:rsidR="004876D0" w:rsidRPr="00C44CD0" w:rsidRDefault="004876D0" w:rsidP="004876D0">
      <w:pPr>
        <w:spacing w:after="0" w:line="276" w:lineRule="auto"/>
        <w:jc w:val="both"/>
        <w:rPr>
          <w:rFonts w:ascii="Verdana" w:eastAsia="Calibri" w:hAnsi="Verdana" w:cs="Arial"/>
          <w:lang w:val="es-MX"/>
        </w:rPr>
      </w:pPr>
    </w:p>
    <w:p w14:paraId="7B0A5756" w14:textId="77777777" w:rsidR="004876D0" w:rsidRPr="00C44CD0" w:rsidRDefault="004876D0" w:rsidP="004876D0">
      <w:pPr>
        <w:spacing w:after="120" w:line="276" w:lineRule="auto"/>
        <w:ind w:firstLine="709"/>
        <w:jc w:val="both"/>
        <w:rPr>
          <w:rFonts w:ascii="Verdana" w:eastAsia="Times New Roman" w:hAnsi="Verdana" w:cs="Arial"/>
          <w:lang w:eastAsia="es-CO"/>
        </w:rPr>
      </w:pPr>
      <w:r w:rsidRPr="00C44CD0">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Estatuto General de Contratación de la Administración Pública y que se rigen en materia contractual por el derecho privado. Sin embargo, señaló que algunas de estas entidades, como sucede con las empresas de servicios públicos domiciliarios, los </w:t>
      </w:r>
      <w:r w:rsidRPr="00C44CD0">
        <w:rPr>
          <w:rFonts w:ascii="Verdana" w:eastAsia="Times New Roman" w:hAnsi="Verdana" w:cs="Arial"/>
          <w:bCs/>
          <w:lang w:val="es-MX" w:eastAsia="x-none"/>
        </w:rPr>
        <w:t>establecimientos de crédito, las sociedades de servicios financieros y las entidades aseguradoras</w:t>
      </w:r>
      <w:r w:rsidRPr="00C44CD0">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C44CD0">
        <w:rPr>
          <w:rFonts w:ascii="Verdana" w:eastAsia="Calibri" w:hAnsi="Verdana" w:cs="Arial"/>
          <w:vertAlign w:val="superscript"/>
          <w:lang w:val="es-MX"/>
        </w:rPr>
        <w:footnoteReference w:id="25"/>
      </w:r>
      <w:r w:rsidRPr="00C44CD0">
        <w:rPr>
          <w:rFonts w:ascii="Verdana" w:eastAsia="Calibri" w:hAnsi="Verdana" w:cs="Arial"/>
          <w:lang w:val="es-MX"/>
        </w:rPr>
        <w:t>.</w:t>
      </w:r>
      <w:r w:rsidRPr="00C44CD0">
        <w:rPr>
          <w:rFonts w:ascii="Verdana" w:eastAsia="Times New Roman" w:hAnsi="Verdana" w:cs="Arial"/>
          <w:lang w:val="es-MX" w:eastAsia="es-CO"/>
        </w:rPr>
        <w:t xml:space="preserve"> </w:t>
      </w:r>
    </w:p>
    <w:p w14:paraId="56C586C3" w14:textId="77777777" w:rsidR="004876D0" w:rsidRPr="00C44CD0" w:rsidRDefault="004876D0" w:rsidP="004876D0">
      <w:pPr>
        <w:spacing w:after="0" w:line="276" w:lineRule="auto"/>
        <w:ind w:firstLine="709"/>
        <w:jc w:val="both"/>
        <w:rPr>
          <w:rFonts w:ascii="Verdana" w:eastAsia="Times New Roman" w:hAnsi="Verdana" w:cs="Arial"/>
          <w:bCs/>
          <w:lang w:val="es-MX" w:eastAsia="x-none"/>
        </w:rPr>
      </w:pPr>
      <w:r w:rsidRPr="00C44CD0">
        <w:rPr>
          <w:rFonts w:ascii="Verdana" w:eastAsia="Times New Roman" w:hAnsi="Verdana" w:cs="Arial"/>
          <w:lang w:eastAsia="es-CO"/>
        </w:rPr>
        <w:t>Sin perjuicio de estos pronunciamientos de la Sala de Consulta y Servicio Civil</w:t>
      </w:r>
      <w:r w:rsidRPr="00C44CD0">
        <w:rPr>
          <w:rFonts w:ascii="Verdana" w:eastAsia="Calibri" w:hAnsi="Verdana" w:cs="Arial"/>
          <w:lang w:val="es-MX"/>
        </w:rPr>
        <w:t xml:space="preserve">, como la ha señalado esa misma Corporación, la restricción prevista en la Ley 996 de 2005 </w:t>
      </w:r>
      <w:r w:rsidRPr="00C44CD0">
        <w:rPr>
          <w:rFonts w:ascii="Verdana" w:eastAsia="Times New Roman" w:hAnsi="Verdana" w:cs="Arial"/>
          <w:bCs/>
          <w:lang w:val="es-MX" w:eastAsia="x-none"/>
        </w:rPr>
        <w:t xml:space="preserve">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w:t>
      </w:r>
      <w:r w:rsidRPr="00C44CD0">
        <w:rPr>
          <w:rFonts w:ascii="Verdana" w:eastAsia="Times New Roman" w:hAnsi="Verdana" w:cs="Arial"/>
          <w:bCs/>
          <w:lang w:val="es-MX" w:eastAsia="x-none"/>
        </w:rPr>
        <w:lastRenderedPageBreak/>
        <w:t>actos o contratos o por la ejecución de un cierto tipo de recursos en sus contrataciones, pues, la posibilidad de que los entes del Estado usen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72CFBEE1" w14:textId="77777777" w:rsidR="004876D0" w:rsidRPr="00C44CD0" w:rsidRDefault="004876D0" w:rsidP="004876D0">
      <w:pPr>
        <w:spacing w:after="0" w:line="276" w:lineRule="auto"/>
        <w:ind w:firstLine="709"/>
        <w:jc w:val="both"/>
        <w:rPr>
          <w:rFonts w:ascii="Verdana" w:eastAsia="Times New Roman" w:hAnsi="Verdana" w:cs="Arial"/>
          <w:bCs/>
          <w:lang w:val="es-MX" w:eastAsia="x-none"/>
        </w:rPr>
      </w:pPr>
    </w:p>
    <w:p w14:paraId="26DAA7FD" w14:textId="77777777" w:rsidR="004876D0" w:rsidRPr="00C44CD0" w:rsidRDefault="004876D0" w:rsidP="004876D0">
      <w:pPr>
        <w:spacing w:after="120" w:line="276" w:lineRule="auto"/>
        <w:jc w:val="both"/>
        <w:rPr>
          <w:rFonts w:ascii="Verdana" w:eastAsia="Times New Roman" w:hAnsi="Verdana" w:cs="Arial"/>
          <w:bCs/>
          <w:lang w:val="es-MX" w:eastAsia="x-none"/>
        </w:rPr>
      </w:pPr>
      <w:r w:rsidRPr="00C44CD0">
        <w:rPr>
          <w:rFonts w:ascii="Verdana" w:eastAsia="Times New Roman" w:hAnsi="Verdana" w:cs="Arial"/>
          <w:bCs/>
          <w:lang w:val="es-MX" w:eastAsia="x-none"/>
        </w:rPr>
        <w:t xml:space="preserve">vi. Ahora bien, para efectos de dar respuesta concreta al problema jurídico planteado, es pertinente precisar el momento en el cual se realiza el perfeccionamiento del contrato en el SECOP II. En primer lugar, es importante destacar que </w:t>
      </w:r>
      <w:r w:rsidRPr="00C44CD0">
        <w:rPr>
          <w:rFonts w:ascii="Verdana" w:eastAsia="Calibri" w:hAnsi="Verdana" w:cs="Arial"/>
          <w:color w:val="000000" w:themeColor="text1"/>
        </w:rPr>
        <w:t xml:space="preserve">el SECOP II es una plataforma transaccional, que permite gestionar en línea todos los procedimientos de contratación, </w:t>
      </w:r>
      <w:r w:rsidRPr="00C44CD0">
        <w:rPr>
          <w:rFonts w:ascii="Verdana" w:eastAsia="Calibri" w:hAnsi="Verdana" w:cs="Arial"/>
          <w:lang w:val="es-ES"/>
        </w:rPr>
        <w:t>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Por su parte, los proveedores pueden hacer comentarios a los documentos del procedimiento, presentar ofertas y seguir el procedimiento de selección en línea.</w:t>
      </w:r>
    </w:p>
    <w:p w14:paraId="2D6B5E44" w14:textId="77777777" w:rsidR="004876D0" w:rsidRPr="00C44CD0" w:rsidRDefault="004876D0" w:rsidP="004876D0">
      <w:pPr>
        <w:spacing w:after="120" w:line="276" w:lineRule="auto"/>
        <w:ind w:firstLine="567"/>
        <w:jc w:val="both"/>
        <w:rPr>
          <w:rFonts w:ascii="Verdana" w:eastAsia="Calibri" w:hAnsi="Verdana" w:cs="Arial"/>
          <w:lang w:val="es-ES"/>
        </w:rPr>
      </w:pPr>
      <w:r w:rsidRPr="00C44CD0">
        <w:rPr>
          <w:rFonts w:ascii="Verdana" w:eastAsia="Calibri" w:hAnsi="Verdana" w:cs="Arial"/>
          <w:lang w:val="es-ES"/>
        </w:rPr>
        <w:t>En este sentido, en el SECOP II el procedimiento contractual se desarrolla en línea y dentro de la plataforma, conformándose un expediente electrónico, lo cual denota una diferencia con el SECOP I, donde el procedimiento se desarrolla de manera física,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p>
    <w:p w14:paraId="0B0C29E1" w14:textId="77777777" w:rsidR="004876D0" w:rsidRPr="00C44CD0" w:rsidRDefault="004876D0" w:rsidP="004876D0">
      <w:pPr>
        <w:spacing w:after="120" w:line="276" w:lineRule="auto"/>
        <w:ind w:firstLine="567"/>
        <w:jc w:val="both"/>
        <w:rPr>
          <w:rFonts w:ascii="Verdana" w:eastAsia="Calibri" w:hAnsi="Verdana" w:cs="Arial"/>
          <w:lang w:val="es-ES"/>
        </w:rPr>
      </w:pPr>
      <w:r w:rsidRPr="00C44CD0">
        <w:rPr>
          <w:rFonts w:ascii="Verdana" w:eastAsia="Calibri" w:hAnsi="Verdana" w:cs="Arial"/>
          <w:lang w:val="es-ES"/>
        </w:rPr>
        <w:t xml:space="preserve">Debido a que la plataforma es totalmente transaccional, el trámite se realiza en línea y la publicidad de las actuaciones es concomitante, según transcurran cada una de las etapas del procedimiento, lo que descarta la necesidad de cargar documentación alguna, salvo algunas excepciones. 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w:t>
      </w:r>
      <w:r w:rsidRPr="00C44CD0">
        <w:rPr>
          <w:rFonts w:ascii="Verdana" w:eastAsia="Calibri" w:hAnsi="Verdana" w:cs="Arial"/>
          <w:lang w:val="es-ES"/>
        </w:rPr>
        <w:lastRenderedPageBreak/>
        <w:t xml:space="preserve">Igualmente, el artículo 22 ibidem dispone que los contratos electrónicos compuestos por mensajes de datos tienen los efectos jurídicos según las normas aplicables al negocio jurídico contenido en dichos mensajes, esto es, las normas que regulan el sistema de contratación pública. </w:t>
      </w:r>
    </w:p>
    <w:p w14:paraId="6CAF41AD" w14:textId="77777777" w:rsidR="004876D0" w:rsidRPr="00C44CD0" w:rsidRDefault="004876D0" w:rsidP="004876D0">
      <w:pPr>
        <w:spacing w:after="120" w:line="276" w:lineRule="auto"/>
        <w:ind w:firstLine="567"/>
        <w:jc w:val="both"/>
        <w:rPr>
          <w:rFonts w:ascii="Verdana" w:eastAsia="Calibri" w:hAnsi="Verdana" w:cs="Arial"/>
          <w:lang w:val="es-ES"/>
        </w:rPr>
      </w:pPr>
      <w:r w:rsidRPr="00C44CD0">
        <w:rPr>
          <w:rFonts w:ascii="Verdana" w:eastAsia="Calibri" w:hAnsi="Verdana" w:cs="Arial"/>
          <w:lang w:val="es-ES"/>
        </w:rPr>
        <w:t>En este sentido, la implementación del SECOP II como plataforma transaccional para la actividad contractual del Estado, permite que los contratos que se publiquen sean firmados electrónicamente. De este modo, el proceso mediante el cual se efectúa la firma del contrato y su consecuente aprobación o rechazo es realizado a través del SECOP II. Así, después de que se adjudica el proceso de contratación en la plataforma se inicia el procedimiento por parte de la Entidad Estatal para que se cambie el estado del proceso a “adjudicado”, con lo cual se genera el contrato electrónico en estado “en edición”.</w:t>
      </w:r>
    </w:p>
    <w:p w14:paraId="1A7778BF" w14:textId="77777777" w:rsidR="004876D0" w:rsidRPr="00C44CD0" w:rsidRDefault="004876D0" w:rsidP="004876D0">
      <w:pPr>
        <w:spacing w:after="120" w:line="276" w:lineRule="auto"/>
        <w:ind w:firstLine="567"/>
        <w:jc w:val="both"/>
        <w:rPr>
          <w:rFonts w:ascii="Verdana" w:eastAsia="Calibri" w:hAnsi="Verdana" w:cs="Arial"/>
          <w:lang w:val="es-ES"/>
        </w:rPr>
      </w:pPr>
      <w:r w:rsidRPr="00C44CD0">
        <w:rPr>
          <w:rFonts w:ascii="Verdana" w:eastAsia="Calibri" w:hAnsi="Verdana" w:cs="Arial"/>
          <w:lang w:val="es-ES"/>
        </w:rPr>
        <w:t>El documento “Procesos de Contratación: Gestión Contractual en el SECOP II” expedido por esta entidad, detallas los pasos para aprobación del contrato en el SECOP II</w:t>
      </w:r>
      <w:r w:rsidRPr="00C44CD0">
        <w:rPr>
          <w:rFonts w:ascii="Verdana" w:hAnsi="Verdana"/>
          <w:vertAlign w:val="superscript"/>
          <w:lang w:val="es-ES"/>
        </w:rPr>
        <w:footnoteReference w:id="26"/>
      </w:r>
      <w:r w:rsidRPr="00C44CD0">
        <w:rPr>
          <w:rFonts w:ascii="Verdana" w:eastAsia="Calibri" w:hAnsi="Verdana" w:cs="Arial"/>
          <w:lang w:val="es-ES"/>
        </w:rPr>
        <w:t xml:space="preserve">. Específicamente, el literal III establece el procedimiento a seguir para aprobar o rechazar el contrato, según el cual el proveedor, </w:t>
      </w:r>
      <w:r w:rsidRPr="00C44CD0">
        <w:rPr>
          <w:rFonts w:ascii="Verdana" w:eastAsia="Calibri" w:hAnsi="Verdana" w:cs="Arial"/>
        </w:rPr>
        <w:t>una vez revise el contrato electrónico puede “Aprobar” o “Rechazar” el contrato. En caso de estar de acuerdo con las condiciones establecidas por la Entidad Estatal, se debe dar clic en “Aprobar contrato” y automáticamente el SECOP II guarda los cambios y el estado del contrato cambia a “Firmado y enviado a la Entidad Estatal”.</w:t>
      </w:r>
      <w:r w:rsidRPr="00C44CD0">
        <w:rPr>
          <w:rFonts w:ascii="Verdana" w:eastAsia="Calibri" w:hAnsi="Verdana" w:cs="Arial"/>
          <w:lang w:val="es-ES"/>
        </w:rPr>
        <w:t xml:space="preserve"> Una vez la Entidad Estatal reciba el contrato electrónico aprobado por el proveedor debe publicarlo y a “partir de este momento el contrato queda para conocimiento del público en general, su estado cambia a “Firmado” para que se cumplan con los requisitos para iniciar la ejecución del contrato”. </w:t>
      </w:r>
    </w:p>
    <w:p w14:paraId="745FE444" w14:textId="77777777" w:rsidR="004876D0" w:rsidRPr="00C44CD0" w:rsidRDefault="004876D0" w:rsidP="004876D0">
      <w:pPr>
        <w:spacing w:after="120" w:line="276" w:lineRule="auto"/>
        <w:ind w:firstLine="567"/>
        <w:jc w:val="both"/>
        <w:rPr>
          <w:rFonts w:ascii="Verdana" w:eastAsia="Calibri" w:hAnsi="Verdana" w:cs="Arial"/>
          <w:lang w:val="es-ES"/>
        </w:rPr>
      </w:pPr>
      <w:r w:rsidRPr="00C44CD0">
        <w:rPr>
          <w:rFonts w:ascii="Verdana" w:eastAsia="Calibri" w:hAnsi="Verdana" w:cs="Arial"/>
          <w:lang w:val="es-ES"/>
        </w:rPr>
        <w:t xml:space="preserve"> Ahora bien, conforme lo señala “Guía SECOP II – Gestión Contractual Para Entidades Estatales</w:t>
      </w:r>
      <w:r w:rsidRPr="00C44CD0">
        <w:rPr>
          <w:rStyle w:val="Refdenotaalpie"/>
          <w:rFonts w:ascii="Verdana" w:eastAsia="Calibri" w:hAnsi="Verdana" w:cs="Arial"/>
          <w:lang w:val="es-ES"/>
        </w:rPr>
        <w:footnoteReference w:id="27"/>
      </w:r>
      <w:r w:rsidRPr="00C44CD0">
        <w:rPr>
          <w:rFonts w:ascii="Verdana" w:eastAsia="Calibri" w:hAnsi="Verdana" w:cs="Arial"/>
          <w:lang w:val="es-ES"/>
        </w:rPr>
        <w:t xml:space="preserve">” </w:t>
      </w:r>
      <w:r w:rsidRPr="00C44CD0">
        <w:rPr>
          <w:rFonts w:ascii="Verdana" w:eastAsia="Calibri" w:hAnsi="Verdana" w:cs="Arial"/>
        </w:rPr>
        <w:t>es imprescindible que previamente el usuario administrador de la Entidad Estatal haya configurado flujos de aprobación</w:t>
      </w:r>
      <w:r w:rsidRPr="00C44CD0">
        <w:rPr>
          <w:rStyle w:val="Refdenotaalpie"/>
          <w:rFonts w:ascii="Verdana" w:eastAsia="Calibri" w:hAnsi="Verdana" w:cs="Arial"/>
        </w:rPr>
        <w:footnoteReference w:id="28"/>
      </w:r>
      <w:r w:rsidRPr="00C44CD0">
        <w:rPr>
          <w:rFonts w:ascii="Verdana" w:eastAsia="Calibri" w:hAnsi="Verdana" w:cs="Arial"/>
        </w:rPr>
        <w:t xml:space="preserve"> en este hito del proceso, con el fin de que el contrato electrónico sea enviado al </w:t>
      </w:r>
      <w:r w:rsidRPr="00C44CD0">
        <w:rPr>
          <w:rFonts w:ascii="Verdana" w:eastAsia="Calibri" w:hAnsi="Verdana" w:cs="Arial"/>
        </w:rPr>
        <w:lastRenderedPageBreak/>
        <w:t>ordenador del gasto representante legal de la entidad para su aprobación final.</w:t>
      </w:r>
      <w:r w:rsidRPr="00C44CD0">
        <w:rPr>
          <w:rFonts w:ascii="Verdana" w:eastAsia="Calibri" w:hAnsi="Verdana" w:cs="Arial"/>
          <w:lang w:val="es-ES"/>
        </w:rPr>
        <w:t xml:space="preserve"> </w:t>
      </w:r>
      <w:r w:rsidRPr="00C44CD0">
        <w:rPr>
          <w:rFonts w:ascii="Verdana" w:eastAsia="Calibri" w:hAnsi="Verdana" w:cs="Arial"/>
        </w:rPr>
        <w:t>Una vez el ordenador del gasto de la entidad realice la aprobación el estado del contrato cambia a “Firmado” y quedará público para consulta de cualquier interesado.</w:t>
      </w:r>
    </w:p>
    <w:p w14:paraId="1DC4FD57" w14:textId="77777777" w:rsidR="004876D0" w:rsidRPr="00C44CD0" w:rsidRDefault="004876D0" w:rsidP="004876D0">
      <w:pPr>
        <w:spacing w:after="120" w:line="276" w:lineRule="auto"/>
        <w:ind w:firstLine="567"/>
        <w:jc w:val="both"/>
        <w:rPr>
          <w:rFonts w:ascii="Verdana" w:eastAsia="Calibri" w:hAnsi="Verdana" w:cs="Arial"/>
          <w:lang w:val="es-ES"/>
        </w:rPr>
      </w:pPr>
      <w:r w:rsidRPr="00C44CD0">
        <w:rPr>
          <w:rFonts w:ascii="Verdana" w:hAnsi="Verdana"/>
        </w:rPr>
        <w:t>De conformidad con este procedimiento, una vez el proveedor aprueba el contrato en la plataforma, este se remite a la Entidad Estatal para que adelante los flujos internos de aprobación correspondientes. La aprobación del ordenador del gasto constituye el último paso de dicho flujo y es el hito que permite a SECOP II cambiar el estado del contrato a “Firmado”, así como habilitar las secciones de “Modificaciones del contrato” e “Incumplimientos”, lo que evidencia que el negocio jurídico ha quedado formalmente firmado en el sistema.</w:t>
      </w:r>
    </w:p>
    <w:p w14:paraId="2937B72B" w14:textId="77777777" w:rsidR="004876D0" w:rsidRPr="00C44CD0" w:rsidRDefault="004876D0" w:rsidP="004876D0">
      <w:pPr>
        <w:spacing w:after="120" w:line="276" w:lineRule="auto"/>
        <w:ind w:firstLine="709"/>
        <w:jc w:val="both"/>
        <w:rPr>
          <w:rFonts w:ascii="Verdana" w:eastAsia="Calibri" w:hAnsi="Verdana" w:cs="Arial"/>
          <w:lang w:val="es-ES"/>
        </w:rPr>
      </w:pPr>
      <w:r w:rsidRPr="00C44CD0">
        <w:rPr>
          <w:rFonts w:ascii="Verdana" w:eastAsia="Calibri" w:hAnsi="Verdana" w:cs="Arial"/>
          <w:lang w:val="es-ES"/>
        </w:rPr>
        <w:t xml:space="preserve">Así las cosas, cuando el proceso de contratación se adelanta por el SECOP II, la aprobación del contrato para su perfeccionamiento y posterior ejecución deberá efectuarse en dicha plataforma de conformidad con el procedimiento descrito. En todo caso, hasta que no se efectué la aprobación en el SECOP II por parte del ordenador del gasto de la Entidad no se entiende perfeccionado el contrato. </w:t>
      </w:r>
    </w:p>
    <w:p w14:paraId="597AA7D0" w14:textId="77777777" w:rsidR="004876D0" w:rsidRPr="00C44CD0" w:rsidRDefault="004876D0" w:rsidP="004876D0">
      <w:pPr>
        <w:spacing w:after="120" w:line="276" w:lineRule="auto"/>
        <w:ind w:firstLine="567"/>
        <w:jc w:val="both"/>
        <w:rPr>
          <w:rFonts w:ascii="Verdana" w:eastAsia="Calibri" w:hAnsi="Verdana" w:cs="Arial"/>
          <w:lang w:val="es-ES"/>
        </w:rPr>
      </w:pPr>
      <w:r w:rsidRPr="00C44CD0">
        <w:rPr>
          <w:rFonts w:ascii="Verdana" w:eastAsia="Calibri" w:hAnsi="Verdana" w:cs="Arial"/>
          <w:lang w:val="es-ES"/>
        </w:rPr>
        <w:t>Bajo este contexto, en atención a la consulta planteada, es pertinente señalar que debido a que el concepto de “celebrar” para efectos de las restricciones a la contratación previstas en la Ley de Garantías Electorales se asocia al momento del perfeccionamiento del contrato estatal, es necesario tener en cuenta dicho hito en los procesos adelantados a través de la plataforma SECOP II. De esta forma, como se indicó, al tratarse de un sistema transaccional, el contrato se entiende celebrado una vez se ha surtido la aprobación y publicación por parte de la entidad estatal, momento en el cual la plataforma registra el estado de “firmado”, dejando constancia de la concurrencia de voluntades y del cumplimiento del requisito de perfeccionamiento.</w:t>
      </w:r>
    </w:p>
    <w:p w14:paraId="5184C36F" w14:textId="77777777" w:rsidR="004876D0" w:rsidRPr="00C44CD0" w:rsidRDefault="004876D0" w:rsidP="004876D0">
      <w:pPr>
        <w:spacing w:after="120" w:line="276" w:lineRule="auto"/>
        <w:ind w:firstLine="567"/>
        <w:jc w:val="both"/>
        <w:rPr>
          <w:rFonts w:ascii="Verdana" w:eastAsia="Calibri" w:hAnsi="Verdana" w:cs="Arial"/>
        </w:rPr>
      </w:pPr>
      <w:r w:rsidRPr="00C44CD0">
        <w:rPr>
          <w:rFonts w:ascii="Verdana" w:eastAsia="Calibri" w:hAnsi="Verdana" w:cs="Arial"/>
        </w:rPr>
        <w:t xml:space="preserve">En este orden de ideas, dentro del flujo de aprobación que la entidad haya configurado en el SECOP II, el momento en que el ordenador del gasto emite su aprobación final constituye el hito en el cual se consolida efectivamente la concurrencia de voluntades y el acuerdo contractual. Ello obedece a que, de manera previa, el proveedor ya ha otorgado su aprobación al contrato, manifestando su aceptación integral de las condiciones pactadas. Así, con la aprobación posterior del ordenador del gasto se perfecciona el consentimiento </w:t>
      </w:r>
      <w:r w:rsidRPr="00C44CD0">
        <w:rPr>
          <w:rFonts w:ascii="Verdana" w:eastAsia="Calibri" w:hAnsi="Verdana" w:cs="Arial"/>
        </w:rPr>
        <w:lastRenderedPageBreak/>
        <w:t>recíproco sobre el objeto y la contraprestación y queda formalmente estructurado el acuerdo.</w:t>
      </w:r>
    </w:p>
    <w:p w14:paraId="6D4A503D" w14:textId="77777777" w:rsidR="004876D0" w:rsidRPr="00C44CD0" w:rsidRDefault="004876D0" w:rsidP="004876D0">
      <w:pPr>
        <w:spacing w:after="120" w:line="276" w:lineRule="auto"/>
        <w:ind w:firstLine="567"/>
        <w:jc w:val="both"/>
        <w:rPr>
          <w:rFonts w:ascii="Verdana" w:eastAsia="Calibri" w:hAnsi="Verdana" w:cs="Arial"/>
        </w:rPr>
      </w:pPr>
      <w:r w:rsidRPr="00C44CD0">
        <w:rPr>
          <w:rFonts w:ascii="Verdana" w:eastAsia="Calibri" w:hAnsi="Verdana" w:cs="Arial"/>
        </w:rPr>
        <w:t>Este hito es jurídicamente relevante, en la medida en que con él se satisface el requisito previsto en el artículo 41 de la Ley 80 de 1993, esto es, que el perfeccionamiento del contrato ocurre cuando existe acuerdo sobre el objeto y la contraprestación y este se eleva a escrito. En el sistema transaccional del SECOP II, esto se materializa a través del documento electrónico del contrato y de las aprobaciones efectuadas en la plataforma, las cuales dejan trazabilidad y constancia del consentimiento de las partes. Por consiguiente, es en la aprobación final del ordenador del gasto, como último paso del flujo de aprobación, donde se entiende cumplido el requisito de perfeccionamiento al quedar configurado el acuerdo exigido por la norma señalada.</w:t>
      </w:r>
    </w:p>
    <w:p w14:paraId="56F528F9" w14:textId="77777777" w:rsidR="004876D0" w:rsidRPr="00C44CD0" w:rsidRDefault="004876D0" w:rsidP="004876D0">
      <w:pPr>
        <w:spacing w:after="0" w:line="276" w:lineRule="auto"/>
        <w:ind w:firstLine="567"/>
        <w:jc w:val="both"/>
        <w:rPr>
          <w:rFonts w:ascii="Verdana" w:eastAsia="Times New Roman" w:hAnsi="Verdana" w:cs="Arial"/>
          <w:bCs/>
          <w:lang w:val="es-ES" w:eastAsia="es-CO"/>
        </w:rPr>
      </w:pPr>
      <w:r w:rsidRPr="00C44CD0">
        <w:rPr>
          <w:rFonts w:ascii="Verdana" w:eastAsia="Calibri" w:hAnsi="Verdana" w:cs="Arial"/>
          <w:lang w:val="es-ES"/>
        </w:rPr>
        <w:t xml:space="preserve">En consecuencia, tratándose de procesos gestionados en SECOP II, las actuaciones necesarias para que el contrato adquiera el estado de “firmado” deben realizarse antes de la </w:t>
      </w:r>
      <w:proofErr w:type="gramStart"/>
      <w:r w:rsidRPr="00C44CD0">
        <w:rPr>
          <w:rFonts w:ascii="Verdana" w:eastAsia="Calibri" w:hAnsi="Verdana" w:cs="Arial"/>
          <w:lang w:val="es-ES"/>
        </w:rPr>
        <w:t>entrada en vigencia</w:t>
      </w:r>
      <w:proofErr w:type="gramEnd"/>
      <w:r w:rsidRPr="00C44CD0">
        <w:rPr>
          <w:rFonts w:ascii="Verdana" w:eastAsia="Calibri" w:hAnsi="Verdana" w:cs="Arial"/>
          <w:lang w:val="es-ES"/>
        </w:rPr>
        <w:t xml:space="preserve"> de las restricciones previstas en la Ley de Garantías Electorales. De lo contrario, si el perfeccionamiento, es decir, si la aprobación final por parte del ordenador del gasto y su registro como estado “firmado” en la plataforma se produce cuando ya se encuentra vigente la prohibición establecida en el artículo 33 </w:t>
      </w:r>
      <w:r w:rsidRPr="00C44CD0">
        <w:rPr>
          <w:rFonts w:ascii="Verdana" w:eastAsia="Calibri" w:hAnsi="Verdana" w:cs="Arial"/>
          <w:i/>
          <w:iCs/>
          <w:lang w:val="es-ES"/>
        </w:rPr>
        <w:t>ibidem</w:t>
      </w:r>
      <w:r w:rsidRPr="00C44CD0">
        <w:rPr>
          <w:rFonts w:ascii="Verdana" w:eastAsia="Calibri" w:hAnsi="Verdana" w:cs="Arial"/>
          <w:lang w:val="es-ES"/>
        </w:rPr>
        <w:t>, se entiende que el contrato fue celebrado en vigencia de dicha restricción, con las consecuencias jurídicas a que haya lugar, sin que resulte suficiente que etapas previas del proceso se hubieren adelantado con anterioridad o que se hayan aprobado los demás flujos de aprobación configurados por la Entidad Estatal, previos al del ordenador del gasto.</w:t>
      </w:r>
      <w:r w:rsidRPr="00C44CD0">
        <w:rPr>
          <w:rFonts w:ascii="Verdana" w:eastAsia="Times New Roman" w:hAnsi="Verdana" w:cs="Arial"/>
          <w:bCs/>
          <w:lang w:val="es-ES" w:eastAsia="es-CO"/>
        </w:rPr>
        <w:t xml:space="preserve"> En este último evento, la entidad deberá revisar la validez del contrato y analizar una posible configuración de nulidad a la luz de lo dispuesto en el artículo 44 de la Ley 80 de 1993. </w:t>
      </w:r>
    </w:p>
    <w:p w14:paraId="1631B931" w14:textId="77777777" w:rsidR="004876D0" w:rsidRPr="00C44CD0" w:rsidRDefault="004876D0" w:rsidP="004876D0">
      <w:pPr>
        <w:spacing w:after="0" w:line="276" w:lineRule="auto"/>
        <w:jc w:val="both"/>
        <w:rPr>
          <w:rFonts w:ascii="Verdana" w:eastAsia="Times New Roman" w:hAnsi="Verdana" w:cs="Arial"/>
          <w:bCs/>
          <w:lang w:val="es-ES" w:eastAsia="es-CO"/>
        </w:rPr>
      </w:pPr>
    </w:p>
    <w:p w14:paraId="0C9A5363" w14:textId="77777777" w:rsidR="004876D0" w:rsidRPr="00C44CD0" w:rsidRDefault="004876D0" w:rsidP="004876D0">
      <w:pPr>
        <w:spacing w:after="120" w:line="276" w:lineRule="auto"/>
        <w:jc w:val="both"/>
        <w:rPr>
          <w:rFonts w:ascii="Verdana" w:eastAsia="Calibri" w:hAnsi="Verdana" w:cs="Arial"/>
        </w:rPr>
      </w:pPr>
      <w:proofErr w:type="spellStart"/>
      <w:r w:rsidRPr="00C44CD0">
        <w:rPr>
          <w:rFonts w:ascii="Verdana" w:eastAsia="Times New Roman" w:hAnsi="Verdana" w:cs="Arial"/>
          <w:bCs/>
          <w:lang w:val="es-ES" w:eastAsia="es-CO"/>
        </w:rPr>
        <w:t>vii</w:t>
      </w:r>
      <w:proofErr w:type="spellEnd"/>
      <w:r w:rsidRPr="00C44CD0">
        <w:rPr>
          <w:rFonts w:ascii="Verdana" w:eastAsia="Times New Roman" w:hAnsi="Verdana" w:cs="Arial"/>
          <w:bCs/>
          <w:lang w:val="es-ES" w:eastAsia="es-CO"/>
        </w:rPr>
        <w:t xml:space="preserve">. Sobre el régimen de nulidad, la norma en cita </w:t>
      </w:r>
      <w:r w:rsidRPr="00C44CD0">
        <w:rPr>
          <w:rFonts w:ascii="Verdana" w:eastAsia="Calibri" w:hAnsi="Verdana" w:cs="Arial"/>
        </w:rPr>
        <w:t xml:space="preserve">señala como causales de nulidad del contrato estatal, las siguientes: 1. Que el contrato se celebre con personas incursas en causales de inhabilidad o incompatibilidad previstas en la Constitución y la ley. 2. se celebre contra expresa prohibición constitucional o legal. 3. se celebre con abuso o desviación de poder. 4. se declaren nulos los actos administrativos en que se fundamenten. 5. se hubieren celebrado con </w:t>
      </w:r>
      <w:r w:rsidRPr="00C44CD0">
        <w:rPr>
          <w:rFonts w:ascii="Verdana" w:eastAsia="Calibri" w:hAnsi="Verdana" w:cs="Arial"/>
        </w:rPr>
        <w:lastRenderedPageBreak/>
        <w:t>desconocimiento de los criterios previstos para el tratamiento de ofertas nacionales y extranjeras o con violación de la reciprocidad</w:t>
      </w:r>
      <w:r w:rsidRPr="00C44CD0">
        <w:rPr>
          <w:rFonts w:ascii="Verdana" w:eastAsia="Arial" w:hAnsi="Verdana" w:cs="Arial"/>
          <w:vertAlign w:val="superscript"/>
          <w:lang w:val="es-ES"/>
        </w:rPr>
        <w:footnoteReference w:id="29"/>
      </w:r>
      <w:r w:rsidRPr="00C44CD0">
        <w:rPr>
          <w:rFonts w:ascii="Verdana" w:eastAsia="Calibri" w:hAnsi="Verdana" w:cs="Arial"/>
        </w:rPr>
        <w:t>.</w:t>
      </w:r>
    </w:p>
    <w:p w14:paraId="177DB47D" w14:textId="77777777" w:rsidR="004876D0" w:rsidRPr="00C44CD0" w:rsidRDefault="004876D0" w:rsidP="004876D0">
      <w:pPr>
        <w:spacing w:after="0" w:line="276" w:lineRule="auto"/>
        <w:ind w:firstLine="709"/>
        <w:jc w:val="both"/>
        <w:rPr>
          <w:rFonts w:ascii="Verdana" w:eastAsia="Calibri" w:hAnsi="Verdana" w:cs="Times New Roman"/>
          <w:bCs/>
        </w:rPr>
      </w:pPr>
      <w:r w:rsidRPr="00C44CD0">
        <w:rPr>
          <w:rFonts w:ascii="Verdana" w:eastAsia="Calibri" w:hAnsi="Verdana" w:cs="Times New Roman"/>
          <w:bCs/>
        </w:rPr>
        <w:t>En concordancia con lo anterior, el artículo 45 de la Ley 80 de 1993 prescribe:</w:t>
      </w:r>
    </w:p>
    <w:p w14:paraId="4C81E9BD" w14:textId="77777777" w:rsidR="004876D0" w:rsidRPr="00C44CD0" w:rsidRDefault="004876D0" w:rsidP="004876D0">
      <w:pPr>
        <w:spacing w:after="0" w:line="276" w:lineRule="auto"/>
        <w:ind w:firstLine="709"/>
        <w:jc w:val="both"/>
        <w:rPr>
          <w:rFonts w:ascii="Verdana" w:eastAsia="Calibri" w:hAnsi="Verdana" w:cs="Times New Roman"/>
          <w:bCs/>
        </w:rPr>
      </w:pPr>
    </w:p>
    <w:p w14:paraId="2EF0D8B2" w14:textId="77777777" w:rsidR="004876D0" w:rsidRPr="00C44CD0" w:rsidRDefault="004876D0" w:rsidP="004876D0">
      <w:pPr>
        <w:spacing w:after="0" w:line="240" w:lineRule="auto"/>
        <w:ind w:left="709" w:right="709"/>
        <w:jc w:val="both"/>
        <w:rPr>
          <w:rFonts w:ascii="Verdana" w:eastAsia="Calibri" w:hAnsi="Verdana" w:cs="Times New Roman"/>
          <w:sz w:val="20"/>
          <w:szCs w:val="20"/>
        </w:rPr>
      </w:pPr>
      <w:r w:rsidRPr="00C44CD0">
        <w:rPr>
          <w:rFonts w:ascii="Verdana" w:eastAsia="Calibri" w:hAnsi="Verdana" w:cs="Times New Roman"/>
          <w:sz w:val="20"/>
          <w:szCs w:val="20"/>
        </w:rPr>
        <w:t>“ARTICULO 45. DE LA NULIDAD ABSOLUTA. La nulidad absoluta podrá ser alegada por las partes, por el agente del ministerio público, por cualquier persona o declarada de oficio, y no es susceptible de saneamiento por ratificación. </w:t>
      </w:r>
    </w:p>
    <w:p w14:paraId="68B5E0C1" w14:textId="77777777" w:rsidR="004876D0" w:rsidRPr="00C44CD0" w:rsidRDefault="004876D0" w:rsidP="004876D0">
      <w:pPr>
        <w:spacing w:after="0" w:line="240" w:lineRule="auto"/>
        <w:ind w:left="709" w:right="709"/>
        <w:jc w:val="both"/>
        <w:rPr>
          <w:rFonts w:ascii="Verdana" w:eastAsia="Calibri" w:hAnsi="Verdana" w:cs="Times New Roman"/>
          <w:sz w:val="20"/>
          <w:szCs w:val="20"/>
        </w:rPr>
      </w:pPr>
    </w:p>
    <w:p w14:paraId="247C3FE1" w14:textId="77777777" w:rsidR="004876D0" w:rsidRPr="00C44CD0" w:rsidRDefault="004876D0" w:rsidP="004876D0">
      <w:pPr>
        <w:spacing w:after="0" w:line="240" w:lineRule="auto"/>
        <w:ind w:left="709" w:right="709"/>
        <w:jc w:val="both"/>
        <w:rPr>
          <w:rFonts w:ascii="Verdana" w:eastAsia="Calibri" w:hAnsi="Verdana" w:cs="Times New Roman"/>
          <w:sz w:val="20"/>
          <w:szCs w:val="20"/>
        </w:rPr>
      </w:pPr>
      <w:r w:rsidRPr="00C44CD0">
        <w:rPr>
          <w:rFonts w:ascii="Verdana" w:eastAsia="Calibri" w:hAnsi="Verdana" w:cs="Times New Roman"/>
          <w:sz w:val="20"/>
          <w:szCs w:val="20"/>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 </w:t>
      </w:r>
    </w:p>
    <w:p w14:paraId="4DAB6691" w14:textId="77777777" w:rsidR="004876D0" w:rsidRPr="00C44CD0" w:rsidRDefault="004876D0" w:rsidP="004876D0">
      <w:pPr>
        <w:spacing w:after="0" w:line="276" w:lineRule="auto"/>
        <w:jc w:val="both"/>
        <w:rPr>
          <w:rFonts w:ascii="Verdana" w:eastAsia="Calibri" w:hAnsi="Verdana" w:cs="Times New Roman"/>
          <w:bCs/>
        </w:rPr>
      </w:pPr>
    </w:p>
    <w:p w14:paraId="438A9B9F" w14:textId="77777777" w:rsidR="004876D0" w:rsidRPr="00C44CD0" w:rsidRDefault="004876D0" w:rsidP="004876D0">
      <w:pPr>
        <w:spacing w:after="120" w:line="276" w:lineRule="auto"/>
        <w:jc w:val="both"/>
        <w:rPr>
          <w:rFonts w:ascii="Verdana" w:eastAsia="Calibri" w:hAnsi="Verdana" w:cs="Arial"/>
        </w:rPr>
      </w:pPr>
      <w:r w:rsidRPr="00C44CD0">
        <w:rPr>
          <w:rFonts w:ascii="Verdana" w:eastAsia="Calibri" w:hAnsi="Verdana" w:cs="Times New Roman"/>
          <w:bCs/>
        </w:rPr>
        <w:tab/>
        <w:t>A partir de la norma precitada, se establece que la nulidad absoluta del contrato podrá alegarse por las partes, por el agente del ministerio público, por cualquier persona o declarada de oficio, y no siendo susceptible de saneamiento por ratificación. Además, de acuerdo con el inciso segundo, cuando se presente alguna de las hipótesis señaladas en los numerales 1, 2 y 4 del artículo 44 de la Ley 80 de 1993, la entidad debe terminar el contrato mediante acto administrativo y ordenar su liquidación en el estado en que se encuentre. Estas situaciones se refieren a los casos en que</w:t>
      </w:r>
      <w:r w:rsidRPr="00C44CD0">
        <w:rPr>
          <w:rFonts w:ascii="Verdana" w:eastAsia="Calibri" w:hAnsi="Verdana" w:cs="Arial"/>
        </w:rPr>
        <w:t xml:space="preserve"> el contrato se celebre con personas incursas en causales de inhabilidad o incompatibilidad previstas en la Constitución y la ley, </w:t>
      </w:r>
      <w:r w:rsidRPr="00C44CD0">
        <w:rPr>
          <w:rFonts w:ascii="Verdana" w:eastAsia="Calibri" w:hAnsi="Verdana" w:cs="Arial"/>
          <w:i/>
          <w:iCs/>
        </w:rPr>
        <w:t>que se celebre contra expresa prohibición constitucional o legal</w:t>
      </w:r>
      <w:r w:rsidRPr="00C44CD0">
        <w:rPr>
          <w:rFonts w:ascii="Verdana" w:eastAsia="Calibri" w:hAnsi="Verdana" w:cs="Arial"/>
        </w:rPr>
        <w:t xml:space="preserve">, o que se declaren nulos los actos administrativos en que se fundamenten. </w:t>
      </w:r>
    </w:p>
    <w:p w14:paraId="3780FF86" w14:textId="77777777" w:rsidR="004876D0" w:rsidRPr="00C44CD0" w:rsidRDefault="004876D0" w:rsidP="004876D0">
      <w:pPr>
        <w:spacing w:after="120" w:line="276" w:lineRule="auto"/>
        <w:ind w:firstLine="743"/>
        <w:jc w:val="both"/>
        <w:rPr>
          <w:rFonts w:ascii="Verdana" w:eastAsia="Calibri" w:hAnsi="Verdana" w:cs="Arial"/>
        </w:rPr>
      </w:pPr>
      <w:r w:rsidRPr="00C44CD0">
        <w:rPr>
          <w:rFonts w:ascii="Verdana" w:eastAsia="Calibri" w:hAnsi="Verdana" w:cs="Arial"/>
        </w:rPr>
        <w:t xml:space="preserve">En este sentido, para que proceda la terminación del contrato y su correspondiente liquidación en los términos de la norma citada, resulta indispensable que la entidad verifique que la situación que genera la nulidad se enmarque en alguna de las causales allí señaladas. Particularmente, frente a la circunstancia analizadas es posible que se pueda generar la nulidad absoluta del </w:t>
      </w:r>
      <w:r w:rsidRPr="00C44CD0">
        <w:rPr>
          <w:rFonts w:ascii="Verdana" w:eastAsia="Calibri" w:hAnsi="Verdana" w:cs="Arial"/>
        </w:rPr>
        <w:lastRenderedPageBreak/>
        <w:t xml:space="preserve">contrato por la causal de celebración contra expresa prohibición constitucional o legal, por vulnerar las restricciones establecidas en los artículos 33 y 38 de la Ley de Garantías Electorales. </w:t>
      </w:r>
    </w:p>
    <w:p w14:paraId="6AD78C92" w14:textId="77777777" w:rsidR="004876D0" w:rsidRPr="00C44CD0" w:rsidRDefault="004876D0" w:rsidP="004876D0">
      <w:pPr>
        <w:spacing w:after="120" w:line="276" w:lineRule="auto"/>
        <w:ind w:firstLine="567"/>
        <w:jc w:val="both"/>
        <w:rPr>
          <w:rFonts w:ascii="Verdana" w:eastAsia="Calibri" w:hAnsi="Verdana" w:cs="Arial"/>
          <w:lang w:val="es-ES"/>
        </w:rPr>
      </w:pPr>
      <w:r w:rsidRPr="00C44CD0">
        <w:rPr>
          <w:rFonts w:ascii="Verdana" w:eastAsia="Calibri" w:hAnsi="Verdana" w:cs="Arial"/>
        </w:rPr>
        <w:t>Sobre el alcance de la causal de nulidad contenida en el numeral 2 del artículo 44 de la Ley 80 de 1993, el Consejo de Estado ha señalado que “</w:t>
      </w:r>
      <w:r w:rsidRPr="00C44CD0">
        <w:rPr>
          <w:rFonts w:ascii="Verdana" w:eastAsia="Calibri" w:hAnsi="Verdana" w:cs="Arial"/>
          <w:bCs/>
          <w:iCs/>
        </w:rPr>
        <w:t>la norma ofrece, al menos, dos conclusiones: la primera de ellas consiste en que la prohibición debe estar consagrada en una norma, ya sea de rango constitucional o legal, sin que resulte posible hacer extensiva esta causal a una disposición de inferior rango normativo. La segunda se refiere al hecho de que la prohibición debe constar de manera expresa</w:t>
      </w:r>
      <w:r w:rsidRPr="00C44CD0">
        <w:rPr>
          <w:rStyle w:val="Refdenotaalpie"/>
          <w:rFonts w:ascii="Verdana" w:eastAsia="Calibri" w:hAnsi="Verdana" w:cs="Arial"/>
          <w:bCs/>
          <w:iCs/>
        </w:rPr>
        <w:footnoteReference w:id="30"/>
      </w:r>
      <w:r w:rsidRPr="00C44CD0">
        <w:rPr>
          <w:rFonts w:ascii="Verdana" w:eastAsia="Calibri" w:hAnsi="Verdana" w:cs="Arial"/>
          <w:bCs/>
          <w:iCs/>
        </w:rPr>
        <w:t xml:space="preserve">”. Tal es el caso de los </w:t>
      </w:r>
      <w:r w:rsidRPr="00C44CD0">
        <w:rPr>
          <w:rFonts w:ascii="Verdana" w:eastAsia="Calibri" w:hAnsi="Verdana" w:cs="Arial"/>
        </w:rPr>
        <w:t xml:space="preserve">artículos 33 y 38 de la Ley de Garantías Electorales, normas de carácter legal que determinan de manera expresa una prohibición específica en materia de contratación pública. </w:t>
      </w:r>
    </w:p>
    <w:p w14:paraId="6A38B586" w14:textId="77777777" w:rsidR="004876D0" w:rsidRPr="00C44CD0" w:rsidRDefault="004876D0" w:rsidP="004876D0">
      <w:pPr>
        <w:spacing w:after="120" w:line="276" w:lineRule="auto"/>
        <w:ind w:firstLine="567"/>
        <w:jc w:val="both"/>
        <w:rPr>
          <w:rFonts w:ascii="Verdana" w:eastAsia="Times New Roman" w:hAnsi="Verdana" w:cs="Arial"/>
          <w:bCs/>
          <w:lang w:val="es-ES" w:eastAsia="es-CO"/>
        </w:rPr>
      </w:pPr>
      <w:r w:rsidRPr="00C44CD0">
        <w:rPr>
          <w:rFonts w:ascii="Verdana" w:eastAsia="Times New Roman" w:hAnsi="Verdana" w:cs="Arial"/>
          <w:bCs/>
          <w:lang w:val="es-ES" w:eastAsia="es-CO"/>
        </w:rPr>
        <w:t xml:space="preserve">Así las cosas, se concluye que aquellos contratos cuyo perfeccionamiento en la plataforma SECOP II -entendido como el momento en que se surte la aprobación final por parte del ordenador del gasto y se publica el contrato en estado “Firmado”-, haya ocurrido con posterioridad a la entrada en vigencia de la Ley de Garantías Electorales, esta Agencia considera que los mismos se entienden celebrados en infracción de lo previsto en los artículos 33 y 38 </w:t>
      </w:r>
      <w:r w:rsidRPr="00C44CD0">
        <w:rPr>
          <w:rFonts w:ascii="Verdana" w:eastAsia="Times New Roman" w:hAnsi="Verdana" w:cs="Arial"/>
          <w:bCs/>
          <w:i/>
          <w:iCs/>
          <w:lang w:val="es-ES" w:eastAsia="es-CO"/>
        </w:rPr>
        <w:t>ibidem,</w:t>
      </w:r>
      <w:r w:rsidRPr="00C44CD0">
        <w:rPr>
          <w:rFonts w:ascii="Verdana" w:eastAsia="Times New Roman" w:hAnsi="Verdana" w:cs="Arial"/>
          <w:bCs/>
          <w:lang w:val="es-ES" w:eastAsia="es-CO"/>
        </w:rPr>
        <w:t xml:space="preserve"> en la medida en que el hito jurídico de perfeccionamiento ocurrió dentro del período de restricción.</w:t>
      </w:r>
    </w:p>
    <w:p w14:paraId="1C98B285" w14:textId="77777777" w:rsidR="004876D0" w:rsidRPr="00C44CD0" w:rsidRDefault="004876D0" w:rsidP="004876D0">
      <w:pPr>
        <w:spacing w:after="120" w:line="276" w:lineRule="auto"/>
        <w:ind w:firstLine="567"/>
        <w:jc w:val="both"/>
        <w:rPr>
          <w:rFonts w:ascii="Verdana" w:eastAsia="Times New Roman" w:hAnsi="Verdana" w:cs="Arial"/>
          <w:bCs/>
          <w:lang w:val="es-ES" w:eastAsia="es-CO"/>
        </w:rPr>
      </w:pPr>
      <w:r w:rsidRPr="00C44CD0">
        <w:rPr>
          <w:rFonts w:ascii="Verdana" w:eastAsia="Times New Roman" w:hAnsi="Verdana" w:cs="Arial"/>
          <w:bCs/>
          <w:lang w:val="es-ES" w:eastAsia="es-CO"/>
        </w:rPr>
        <w:t xml:space="preserve">En consecuencia, corresponderá a la Entidad Estatal efectuar el análisis jurídico integral del caso concreto y determinar la procedencia de las medidas a que haya lugar, a la luz de lo dispuesto en los artículos 44 y 45 de la Ley 80 de 1993. Lo anterior, sin perjuicio de las responsabilidades de tipo disciplinario, fiscal y penal que puedan generarse. </w:t>
      </w:r>
    </w:p>
    <w:p w14:paraId="29054DD1" w14:textId="77777777" w:rsidR="004876D0" w:rsidRPr="00C44CD0" w:rsidRDefault="004876D0" w:rsidP="004876D0">
      <w:pPr>
        <w:spacing w:after="0" w:line="276" w:lineRule="auto"/>
        <w:ind w:firstLine="567"/>
        <w:jc w:val="both"/>
        <w:rPr>
          <w:rFonts w:ascii="Verdana" w:eastAsia="Times New Roman" w:hAnsi="Verdana" w:cs="Arial"/>
          <w:bCs/>
          <w:lang w:eastAsia="x-none"/>
        </w:rPr>
      </w:pPr>
      <w:r w:rsidRPr="00C44CD0">
        <w:rPr>
          <w:rFonts w:ascii="Verdana" w:eastAsia="Times New Roman" w:hAnsi="Verdana" w:cs="Arial"/>
          <w:bCs/>
          <w:lang w:val="es-MX" w:eastAsia="x-none"/>
        </w:rPr>
        <w:t xml:space="preserve">Finalmente, </w:t>
      </w:r>
      <w:r w:rsidRPr="00C44CD0">
        <w:rPr>
          <w:rFonts w:ascii="Verdana" w:eastAsia="Times New Roman" w:hAnsi="Verdana" w:cs="Arial"/>
          <w:bCs/>
          <w:lang w:eastAsia="x-none"/>
        </w:rPr>
        <w:t xml:space="preserve">resulta pertinente enfatizar en el deber de planeación que asiste a las Entidades Estatales, el cual impone la obligación de estructurar y adelantar oportunamente las actuaciones precontractuales y contractuales necesarias para el cumplimiento de sus fines. Una adecuada planeación en la gestión de los procesos, especialmente en contextos sujetos a restricciones temporales como las derivadas de la Ley de Garantías Electorales, permite </w:t>
      </w:r>
      <w:r w:rsidRPr="00C44CD0">
        <w:rPr>
          <w:rFonts w:ascii="Verdana" w:eastAsia="Times New Roman" w:hAnsi="Verdana" w:cs="Arial"/>
          <w:bCs/>
          <w:lang w:eastAsia="x-none"/>
        </w:rPr>
        <w:lastRenderedPageBreak/>
        <w:t xml:space="preserve">mitigar riesgos jurídicos y evitar que, por deficiencias o retrasos en la gestión, se configuren situaciones que puedan dar lugar a eventuales causales de nulidad. </w:t>
      </w:r>
    </w:p>
    <w:p w14:paraId="4B8718ED" w14:textId="77777777" w:rsidR="004876D0" w:rsidRPr="00C44CD0" w:rsidRDefault="004876D0" w:rsidP="004876D0">
      <w:pPr>
        <w:spacing w:after="0" w:line="276" w:lineRule="auto"/>
        <w:ind w:firstLine="567"/>
        <w:jc w:val="both"/>
        <w:rPr>
          <w:rFonts w:ascii="Verdana" w:eastAsia="Times New Roman" w:hAnsi="Verdana" w:cs="Arial"/>
          <w:bCs/>
          <w:lang w:eastAsia="x-none"/>
        </w:rPr>
      </w:pPr>
    </w:p>
    <w:p w14:paraId="18D41950" w14:textId="77777777" w:rsidR="004876D0" w:rsidRPr="00C44CD0" w:rsidRDefault="004876D0" w:rsidP="004876D0">
      <w:pPr>
        <w:spacing w:after="120" w:line="276" w:lineRule="auto"/>
        <w:jc w:val="both"/>
        <w:rPr>
          <w:rFonts w:ascii="Verdana" w:eastAsia="Times New Roman" w:hAnsi="Verdana" w:cs="Arial"/>
          <w:lang w:eastAsia="es-CO"/>
        </w:rPr>
      </w:pPr>
      <w:proofErr w:type="spellStart"/>
      <w:r w:rsidRPr="00C44CD0">
        <w:rPr>
          <w:rFonts w:ascii="Verdana" w:hAnsi="Verdana" w:cs="Arial"/>
          <w:bCs/>
          <w:color w:val="000000" w:themeColor="text1"/>
        </w:rPr>
        <w:t>vii</w:t>
      </w:r>
      <w:proofErr w:type="spellEnd"/>
      <w:r w:rsidRPr="00C44CD0">
        <w:rPr>
          <w:rFonts w:ascii="Verdana" w:hAnsi="Verdana" w:cs="Arial"/>
          <w:bCs/>
          <w:color w:val="000000" w:themeColor="text1"/>
        </w:rPr>
        <w:t>. 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BDBC40B" w14:textId="77777777" w:rsidR="004876D0" w:rsidRPr="00C44CD0" w:rsidRDefault="004876D0" w:rsidP="004876D0">
      <w:pPr>
        <w:spacing w:after="0" w:line="276" w:lineRule="auto"/>
        <w:ind w:firstLine="708"/>
        <w:jc w:val="both"/>
        <w:rPr>
          <w:rFonts w:ascii="Verdana" w:hAnsi="Verdana" w:cs="Arial"/>
          <w:bCs/>
          <w:color w:val="000000" w:themeColor="text1"/>
        </w:rPr>
      </w:pPr>
      <w:r w:rsidRPr="00C44CD0">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58FC9364" w14:textId="77777777" w:rsidR="004876D0" w:rsidRPr="00C44CD0" w:rsidRDefault="004876D0" w:rsidP="004876D0">
      <w:pPr>
        <w:spacing w:after="0" w:line="276" w:lineRule="auto"/>
        <w:ind w:firstLine="708"/>
        <w:jc w:val="both"/>
        <w:rPr>
          <w:rFonts w:ascii="Verdana" w:hAnsi="Verdana" w:cs="Arial"/>
          <w:bCs/>
          <w:color w:val="000000" w:themeColor="text1"/>
        </w:rPr>
      </w:pPr>
    </w:p>
    <w:p w14:paraId="6CAF4269" w14:textId="77777777" w:rsidR="004876D0" w:rsidRPr="00C44CD0" w:rsidRDefault="004876D0" w:rsidP="004876D0">
      <w:pPr>
        <w:numPr>
          <w:ilvl w:val="0"/>
          <w:numId w:val="16"/>
        </w:numPr>
        <w:tabs>
          <w:tab w:val="left" w:pos="142"/>
          <w:tab w:val="left" w:pos="284"/>
        </w:tabs>
        <w:spacing w:after="0" w:line="276" w:lineRule="auto"/>
        <w:ind w:left="360"/>
        <w:jc w:val="both"/>
        <w:rPr>
          <w:rFonts w:ascii="Verdana" w:eastAsia="Century Gothic" w:hAnsi="Verdana" w:cs="Century Gothic"/>
          <w:b/>
          <w:bCs/>
          <w:lang w:val="es-ES_tradnl"/>
        </w:rPr>
      </w:pPr>
      <w:r w:rsidRPr="00C44CD0">
        <w:rPr>
          <w:rFonts w:ascii="Verdana" w:eastAsia="Century Gothic" w:hAnsi="Verdana" w:cs="Century Gothic"/>
          <w:b/>
          <w:bCs/>
          <w:lang w:val="es-ES_tradnl"/>
        </w:rPr>
        <w:t>Referencias normativas:</w:t>
      </w:r>
    </w:p>
    <w:p w14:paraId="1A93A33E" w14:textId="77777777" w:rsidR="004876D0" w:rsidRPr="00C44CD0" w:rsidRDefault="004876D0" w:rsidP="004876D0">
      <w:pPr>
        <w:widowControl w:val="0"/>
        <w:autoSpaceDE w:val="0"/>
        <w:autoSpaceDN w:val="0"/>
        <w:spacing w:after="0" w:line="276" w:lineRule="auto"/>
        <w:jc w:val="both"/>
        <w:rPr>
          <w:rFonts w:ascii="Verdana" w:hAnsi="Verdana" w:cs="Arial"/>
          <w:lang w:val="es-ES_tradn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876D0" w:rsidRPr="00C44CD0" w14:paraId="0B792BBA" w14:textId="77777777" w:rsidTr="00EA32A5">
        <w:trPr>
          <w:trHeight w:val="491"/>
          <w:jc w:val="center"/>
        </w:trPr>
        <w:tc>
          <w:tcPr>
            <w:tcW w:w="8647" w:type="dxa"/>
          </w:tcPr>
          <w:p w14:paraId="2CEA46FC" w14:textId="77777777" w:rsidR="004876D0" w:rsidRPr="00C44CD0" w:rsidRDefault="004876D0" w:rsidP="00EA32A5">
            <w:pPr>
              <w:widowControl w:val="0"/>
              <w:numPr>
                <w:ilvl w:val="0"/>
                <w:numId w:val="17"/>
              </w:numPr>
              <w:autoSpaceDE w:val="0"/>
              <w:autoSpaceDN w:val="0"/>
              <w:spacing w:after="120" w:line="276" w:lineRule="auto"/>
              <w:ind w:left="714" w:hanging="357"/>
              <w:jc w:val="both"/>
              <w:rPr>
                <w:rFonts w:ascii="Verdana" w:eastAsia="Arial MT" w:hAnsi="Verdana" w:cs="Arial"/>
                <w:lang w:val="es-ES" w:eastAsia="es-ES" w:bidi="es-ES"/>
              </w:rPr>
            </w:pPr>
            <w:r w:rsidRPr="00C44CD0">
              <w:rPr>
                <w:rFonts w:ascii="Verdana" w:eastAsia="Arial MT" w:hAnsi="Verdana" w:cs="Arial"/>
                <w:lang w:val="es-ES" w:eastAsia="es-ES" w:bidi="es-ES"/>
              </w:rPr>
              <w:t>Constitución Política, artículos 127, 329, 356.</w:t>
            </w:r>
          </w:p>
          <w:p w14:paraId="32B1F3A3" w14:textId="77777777" w:rsidR="004876D0" w:rsidRPr="00C44CD0" w:rsidRDefault="004876D0" w:rsidP="00EA32A5">
            <w:pPr>
              <w:widowControl w:val="0"/>
              <w:numPr>
                <w:ilvl w:val="0"/>
                <w:numId w:val="17"/>
              </w:numPr>
              <w:autoSpaceDE w:val="0"/>
              <w:autoSpaceDN w:val="0"/>
              <w:spacing w:after="120" w:line="276" w:lineRule="auto"/>
              <w:ind w:left="714" w:hanging="357"/>
              <w:jc w:val="both"/>
              <w:rPr>
                <w:rFonts w:ascii="Verdana" w:eastAsia="Arial MT" w:hAnsi="Verdana" w:cs="Arial"/>
                <w:lang w:val="es-ES" w:eastAsia="es-ES" w:bidi="es-ES"/>
              </w:rPr>
            </w:pPr>
            <w:r w:rsidRPr="00C44CD0">
              <w:rPr>
                <w:rFonts w:ascii="Verdana" w:eastAsia="Arial MT" w:hAnsi="Verdana" w:cs="Arial"/>
                <w:lang w:val="es-ES" w:eastAsia="es-ES" w:bidi="es-ES"/>
              </w:rPr>
              <w:t>Ley 80 de 1993, artículo 2.</w:t>
            </w:r>
          </w:p>
          <w:p w14:paraId="6FDC6FA1" w14:textId="77777777" w:rsidR="004876D0" w:rsidRPr="00C44CD0" w:rsidRDefault="004876D0" w:rsidP="00EA32A5">
            <w:pPr>
              <w:widowControl w:val="0"/>
              <w:numPr>
                <w:ilvl w:val="0"/>
                <w:numId w:val="17"/>
              </w:numPr>
              <w:autoSpaceDE w:val="0"/>
              <w:autoSpaceDN w:val="0"/>
              <w:spacing w:after="120" w:line="276" w:lineRule="auto"/>
              <w:ind w:left="714" w:hanging="357"/>
              <w:jc w:val="both"/>
              <w:rPr>
                <w:rFonts w:ascii="Verdana" w:eastAsia="Arial MT" w:hAnsi="Verdana" w:cs="Arial"/>
                <w:lang w:val="es-ES" w:eastAsia="es-ES" w:bidi="es-ES"/>
              </w:rPr>
            </w:pPr>
            <w:r w:rsidRPr="00C44CD0">
              <w:rPr>
                <w:rFonts w:ascii="Verdana" w:eastAsia="Arial MT" w:hAnsi="Verdana" w:cs="Arial"/>
                <w:lang w:val="es-ES" w:eastAsia="es-ES" w:bidi="es-ES"/>
              </w:rPr>
              <w:t>Ley 715 de 2001.</w:t>
            </w:r>
          </w:p>
          <w:p w14:paraId="76B37543" w14:textId="77777777" w:rsidR="004876D0" w:rsidRPr="00C44CD0" w:rsidRDefault="004876D0" w:rsidP="00EA32A5">
            <w:pPr>
              <w:widowControl w:val="0"/>
              <w:numPr>
                <w:ilvl w:val="0"/>
                <w:numId w:val="17"/>
              </w:numPr>
              <w:autoSpaceDE w:val="0"/>
              <w:autoSpaceDN w:val="0"/>
              <w:spacing w:after="120" w:line="276" w:lineRule="auto"/>
              <w:ind w:left="714" w:hanging="357"/>
              <w:jc w:val="both"/>
              <w:rPr>
                <w:rFonts w:ascii="Verdana" w:eastAsia="Arial MT" w:hAnsi="Verdana" w:cs="Arial"/>
                <w:lang w:val="es-ES" w:eastAsia="es-ES" w:bidi="es-ES"/>
              </w:rPr>
            </w:pPr>
            <w:r w:rsidRPr="00C44CD0">
              <w:rPr>
                <w:rFonts w:ascii="Verdana" w:eastAsia="Arial MT" w:hAnsi="Verdana" w:cs="Arial"/>
                <w:bCs/>
                <w:lang w:val="es-ES" w:eastAsia="es-ES" w:bidi="es-ES"/>
              </w:rPr>
              <w:t>Ley 996 de 2005, artículos 33 y 38.</w:t>
            </w:r>
          </w:p>
          <w:p w14:paraId="5DA67C41" w14:textId="77777777" w:rsidR="004876D0" w:rsidRPr="00C44CD0" w:rsidRDefault="004876D0" w:rsidP="00EA32A5">
            <w:pPr>
              <w:widowControl w:val="0"/>
              <w:numPr>
                <w:ilvl w:val="0"/>
                <w:numId w:val="17"/>
              </w:numPr>
              <w:autoSpaceDE w:val="0"/>
              <w:autoSpaceDN w:val="0"/>
              <w:spacing w:after="120" w:line="276" w:lineRule="auto"/>
              <w:ind w:left="714" w:hanging="357"/>
              <w:jc w:val="both"/>
              <w:rPr>
                <w:rFonts w:ascii="Verdana" w:eastAsia="Arial MT" w:hAnsi="Verdana" w:cs="Arial"/>
                <w:lang w:val="es-ES" w:eastAsia="es-ES" w:bidi="es-ES"/>
              </w:rPr>
            </w:pPr>
            <w:r w:rsidRPr="00C44CD0">
              <w:rPr>
                <w:rFonts w:ascii="Verdana" w:eastAsia="Arial MT" w:hAnsi="Verdana" w:cs="Arial"/>
                <w:lang w:val="es-ES" w:eastAsia="es-ES" w:bidi="es-ES"/>
              </w:rPr>
              <w:t>Decreto 1088 de 1993.</w:t>
            </w:r>
          </w:p>
          <w:p w14:paraId="56F9BFA0" w14:textId="77777777" w:rsidR="004876D0" w:rsidRPr="00C44CD0" w:rsidRDefault="004876D0" w:rsidP="00EA32A5">
            <w:pPr>
              <w:widowControl w:val="0"/>
              <w:numPr>
                <w:ilvl w:val="0"/>
                <w:numId w:val="17"/>
              </w:numPr>
              <w:autoSpaceDE w:val="0"/>
              <w:autoSpaceDN w:val="0"/>
              <w:spacing w:after="120" w:line="276" w:lineRule="auto"/>
              <w:ind w:left="714" w:hanging="357"/>
              <w:jc w:val="both"/>
              <w:rPr>
                <w:rFonts w:ascii="Verdana" w:eastAsia="Arial MT" w:hAnsi="Verdana" w:cs="Arial"/>
                <w:lang w:val="es-ES" w:eastAsia="es-ES" w:bidi="es-ES"/>
              </w:rPr>
            </w:pPr>
            <w:r w:rsidRPr="00C44CD0">
              <w:rPr>
                <w:rFonts w:ascii="Verdana" w:eastAsia="Arial MT" w:hAnsi="Verdana" w:cs="Arial"/>
                <w:lang w:val="es-ES" w:eastAsia="es-ES" w:bidi="es-ES"/>
              </w:rPr>
              <w:t>Decreto 1953 de 2014.</w:t>
            </w:r>
          </w:p>
          <w:p w14:paraId="46393A30" w14:textId="77777777" w:rsidR="004876D0" w:rsidRPr="00C44CD0" w:rsidRDefault="004876D0" w:rsidP="00EA32A5">
            <w:pPr>
              <w:widowControl w:val="0"/>
              <w:numPr>
                <w:ilvl w:val="0"/>
                <w:numId w:val="17"/>
              </w:numPr>
              <w:autoSpaceDE w:val="0"/>
              <w:autoSpaceDN w:val="0"/>
              <w:spacing w:after="120" w:line="276" w:lineRule="auto"/>
              <w:ind w:left="714" w:hanging="357"/>
              <w:jc w:val="both"/>
              <w:rPr>
                <w:rFonts w:ascii="Verdana" w:eastAsia="Arial MT" w:hAnsi="Verdana" w:cs="Arial"/>
                <w:lang w:val="es-ES" w:eastAsia="es-ES" w:bidi="es-ES"/>
              </w:rPr>
            </w:pPr>
            <w:r w:rsidRPr="00C44CD0">
              <w:rPr>
                <w:rFonts w:ascii="Verdana" w:hAnsi="Verdana" w:cs="Arial"/>
                <w:bCs/>
                <w:color w:val="000000" w:themeColor="text1"/>
                <w:lang w:val="es-ES"/>
              </w:rPr>
              <w:t>Decreto 1068 de 2015, artículo 2.2.1.1.1.</w:t>
            </w:r>
          </w:p>
          <w:p w14:paraId="1C7A0DD8" w14:textId="77777777" w:rsidR="004876D0" w:rsidRPr="00C44CD0" w:rsidRDefault="004876D0" w:rsidP="00EA32A5">
            <w:pPr>
              <w:widowControl w:val="0"/>
              <w:numPr>
                <w:ilvl w:val="0"/>
                <w:numId w:val="17"/>
              </w:numPr>
              <w:autoSpaceDE w:val="0"/>
              <w:autoSpaceDN w:val="0"/>
              <w:spacing w:after="120" w:line="276" w:lineRule="auto"/>
              <w:ind w:left="714" w:hanging="357"/>
              <w:jc w:val="both"/>
              <w:rPr>
                <w:rFonts w:ascii="Verdana" w:hAnsi="Verdana" w:cs="Arial"/>
                <w:lang w:val="es-ES"/>
              </w:rPr>
            </w:pPr>
            <w:r w:rsidRPr="00C44CD0">
              <w:rPr>
                <w:rFonts w:ascii="Verdana" w:hAnsi="Verdana" w:cs="Arial"/>
                <w:lang w:val="pt-BR"/>
              </w:rPr>
              <w:lastRenderedPageBreak/>
              <w:t>Corte Constitucional. Sentencia C-671 de 2015. M.P. Alberto Rojas Ríos.</w:t>
            </w:r>
          </w:p>
          <w:p w14:paraId="1171D91C" w14:textId="77777777" w:rsidR="004876D0" w:rsidRPr="00C44CD0" w:rsidRDefault="004876D0" w:rsidP="00EA32A5">
            <w:pPr>
              <w:widowControl w:val="0"/>
              <w:numPr>
                <w:ilvl w:val="0"/>
                <w:numId w:val="17"/>
              </w:numPr>
              <w:autoSpaceDE w:val="0"/>
              <w:autoSpaceDN w:val="0"/>
              <w:spacing w:after="120" w:line="276" w:lineRule="auto"/>
              <w:ind w:left="714" w:hanging="357"/>
              <w:jc w:val="both"/>
              <w:rPr>
                <w:rFonts w:ascii="Verdana" w:hAnsi="Verdana" w:cs="Arial"/>
                <w:lang w:val="es-ES"/>
              </w:rPr>
            </w:pPr>
            <w:r w:rsidRPr="00C44CD0">
              <w:rPr>
                <w:rFonts w:ascii="Verdana" w:hAnsi="Verdana" w:cs="Arial"/>
                <w:lang w:val="es-ES"/>
              </w:rPr>
              <w:t xml:space="preserve">Consejo de Estado, Sección Primera. Sentencia de 3 de marzo de 2005. </w:t>
            </w:r>
            <w:proofErr w:type="spellStart"/>
            <w:r w:rsidRPr="00C44CD0">
              <w:rPr>
                <w:rFonts w:ascii="Verdana" w:hAnsi="Verdana" w:cs="Arial"/>
                <w:lang w:val="es-ES"/>
              </w:rPr>
              <w:t>Exp</w:t>
            </w:r>
            <w:proofErr w:type="spellEnd"/>
            <w:r w:rsidRPr="00C44CD0">
              <w:rPr>
                <w:rFonts w:ascii="Verdana" w:hAnsi="Verdana" w:cs="Arial"/>
                <w:lang w:val="es-ES"/>
              </w:rPr>
              <w:t xml:space="preserve">. 2004-00823-01(PI). </w:t>
            </w:r>
          </w:p>
          <w:p w14:paraId="57A2BF24" w14:textId="77777777" w:rsidR="004876D0" w:rsidRPr="00C44CD0" w:rsidRDefault="004876D0" w:rsidP="00EA32A5">
            <w:pPr>
              <w:numPr>
                <w:ilvl w:val="0"/>
                <w:numId w:val="17"/>
              </w:numPr>
              <w:spacing w:after="120" w:line="276" w:lineRule="auto"/>
              <w:ind w:left="714" w:hanging="357"/>
              <w:jc w:val="both"/>
              <w:rPr>
                <w:rFonts w:ascii="Verdana" w:hAnsi="Verdana" w:cs="Arial"/>
                <w:lang w:val="es-ES"/>
              </w:rPr>
            </w:pPr>
            <w:r w:rsidRPr="00C44CD0">
              <w:rPr>
                <w:rFonts w:ascii="Verdana" w:hAnsi="Verdana" w:cs="Arial"/>
              </w:rPr>
              <w:t>Consejo de Estado. Sala de Consulta y Servicio Civil. Concepto del 15 de noviembre de 2007. Expediente número 1863. Consejero Ponente: Luis Fernando Álvarez Jaramillo</w:t>
            </w:r>
          </w:p>
          <w:p w14:paraId="198BBC38" w14:textId="77777777" w:rsidR="004876D0" w:rsidRPr="00C44CD0" w:rsidRDefault="004876D0" w:rsidP="00EA32A5">
            <w:pPr>
              <w:widowControl w:val="0"/>
              <w:numPr>
                <w:ilvl w:val="0"/>
                <w:numId w:val="17"/>
              </w:numPr>
              <w:autoSpaceDE w:val="0"/>
              <w:autoSpaceDN w:val="0"/>
              <w:spacing w:after="120" w:line="276" w:lineRule="auto"/>
              <w:ind w:left="714" w:hanging="357"/>
              <w:jc w:val="both"/>
              <w:rPr>
                <w:rFonts w:ascii="Verdana" w:hAnsi="Verdana" w:cs="Arial"/>
                <w:lang w:val="es-ES"/>
              </w:rPr>
            </w:pPr>
            <w:r w:rsidRPr="00C44CD0">
              <w:rPr>
                <w:rFonts w:ascii="Verdana" w:hAnsi="Verdana" w:cs="Arial"/>
                <w:lang w:val="es-ES"/>
              </w:rPr>
              <w:t xml:space="preserve">Consejo de Estado, Sala de Consulta y Servicio Civil, Concepto de fecha 24 de julio de 2013. Rad. 2166, C. P. Álvaro Namén Vargas. </w:t>
            </w:r>
          </w:p>
          <w:p w14:paraId="20C078A7" w14:textId="77777777" w:rsidR="004876D0" w:rsidRPr="00C44CD0" w:rsidRDefault="004876D0" w:rsidP="00EA32A5">
            <w:pPr>
              <w:numPr>
                <w:ilvl w:val="0"/>
                <w:numId w:val="17"/>
              </w:numPr>
              <w:spacing w:after="120" w:line="276" w:lineRule="auto"/>
              <w:ind w:left="714" w:hanging="357"/>
              <w:jc w:val="both"/>
              <w:rPr>
                <w:rFonts w:ascii="Verdana" w:hAnsi="Verdana" w:cs="Arial"/>
                <w:lang w:val="es-ES"/>
              </w:rPr>
            </w:pPr>
            <w:r w:rsidRPr="00C44CD0">
              <w:rPr>
                <w:rFonts w:ascii="Verdana" w:hAnsi="Verdana" w:cs="Arial"/>
              </w:rPr>
              <w:t>Consejo de Estado. Sala de Consulta y Servicio Civil. Concepto del 2 de septiembre de 2013. Radicado No: 2168. CP: Alvaro Namén Vargas.</w:t>
            </w:r>
          </w:p>
          <w:p w14:paraId="12E15D03" w14:textId="77777777" w:rsidR="004876D0" w:rsidRPr="00C44CD0" w:rsidRDefault="004876D0" w:rsidP="00EA32A5">
            <w:pPr>
              <w:numPr>
                <w:ilvl w:val="0"/>
                <w:numId w:val="17"/>
              </w:numPr>
              <w:spacing w:after="120" w:line="276" w:lineRule="auto"/>
              <w:ind w:left="714" w:hanging="357"/>
              <w:jc w:val="both"/>
              <w:rPr>
                <w:rFonts w:ascii="Verdana" w:hAnsi="Verdana" w:cs="Arial"/>
                <w:lang w:val="es-ES"/>
              </w:rPr>
            </w:pPr>
            <w:r w:rsidRPr="00C44CD0">
              <w:rPr>
                <w:rFonts w:ascii="Verdana" w:hAnsi="Verdana" w:cs="Arial"/>
                <w:lang w:val="es-ES"/>
              </w:rPr>
              <w:t>Consejo de Estado, Sala de lo Contencioso Administrativo, Sección Tercera, Subsección A.  Primera. Sentencia de 11 de junio de 2014, expediente número 34649. C.P: Hernán Andrade Rincon.</w:t>
            </w:r>
          </w:p>
          <w:p w14:paraId="6AB9F45C" w14:textId="77777777" w:rsidR="004876D0" w:rsidRPr="00C44CD0" w:rsidRDefault="004876D0" w:rsidP="00EA32A5">
            <w:pPr>
              <w:numPr>
                <w:ilvl w:val="0"/>
                <w:numId w:val="17"/>
              </w:numPr>
              <w:spacing w:after="120" w:line="276" w:lineRule="auto"/>
              <w:ind w:left="714" w:hanging="357"/>
              <w:jc w:val="both"/>
              <w:rPr>
                <w:rFonts w:ascii="Verdana" w:hAnsi="Verdana" w:cs="Arial"/>
                <w:lang w:val="es-ES"/>
              </w:rPr>
            </w:pPr>
            <w:r w:rsidRPr="00C44CD0">
              <w:rPr>
                <w:rFonts w:ascii="Verdana" w:hAnsi="Verdana" w:cs="Arial"/>
                <w:lang w:val="es-ES"/>
              </w:rPr>
              <w:t>Consejo de Estado. Sala de Consulta y Servicio Civil. Concepto del 17 de febrero de 2015. C.P. William Zambrano Cetina. Radicación No. 11001-03-06-000-2015-00164-00(2269).</w:t>
            </w:r>
          </w:p>
          <w:p w14:paraId="7AE05711" w14:textId="77777777" w:rsidR="004876D0" w:rsidRPr="00C44CD0" w:rsidRDefault="004876D0" w:rsidP="00EA32A5">
            <w:pPr>
              <w:numPr>
                <w:ilvl w:val="0"/>
                <w:numId w:val="17"/>
              </w:numPr>
              <w:spacing w:after="120" w:line="276" w:lineRule="auto"/>
              <w:ind w:left="714" w:hanging="357"/>
              <w:jc w:val="both"/>
              <w:rPr>
                <w:rFonts w:ascii="Verdana" w:hAnsi="Verdana" w:cs="Arial"/>
                <w:lang w:val="es-ES"/>
              </w:rPr>
            </w:pPr>
            <w:r w:rsidRPr="00C44CD0">
              <w:rPr>
                <w:rFonts w:ascii="Verdana" w:hAnsi="Verdana" w:cs="Arial"/>
                <w:lang w:val="es-ES"/>
              </w:rPr>
              <w:t>Consejo de Estado, Sala de Consulta y Servicio Civil, Concepto de fecha 8 de mayo de 2018, No. 2382. C. P. Álvaro Namén Vargas.</w:t>
            </w:r>
          </w:p>
        </w:tc>
      </w:tr>
    </w:tbl>
    <w:p w14:paraId="428F3E7C" w14:textId="77777777" w:rsidR="004876D0" w:rsidRPr="00C44CD0" w:rsidRDefault="004876D0" w:rsidP="004876D0">
      <w:pPr>
        <w:widowControl w:val="0"/>
        <w:autoSpaceDE w:val="0"/>
        <w:autoSpaceDN w:val="0"/>
        <w:spacing w:after="0" w:line="276" w:lineRule="auto"/>
        <w:jc w:val="both"/>
        <w:rPr>
          <w:rFonts w:ascii="Verdana" w:hAnsi="Verdana" w:cs="Arial"/>
          <w:lang w:val="es-ES_tradnl"/>
        </w:rPr>
      </w:pPr>
    </w:p>
    <w:p w14:paraId="0C5CF291" w14:textId="77777777" w:rsidR="004876D0" w:rsidRPr="00C44CD0" w:rsidRDefault="004876D0" w:rsidP="004876D0">
      <w:pPr>
        <w:numPr>
          <w:ilvl w:val="0"/>
          <w:numId w:val="16"/>
        </w:numPr>
        <w:tabs>
          <w:tab w:val="left" w:pos="142"/>
          <w:tab w:val="left" w:pos="284"/>
        </w:tabs>
        <w:spacing w:after="0" w:line="276" w:lineRule="auto"/>
        <w:ind w:left="360"/>
        <w:jc w:val="both"/>
        <w:rPr>
          <w:rFonts w:ascii="Verdana" w:eastAsia="Century Gothic" w:hAnsi="Verdana" w:cs="Century Gothic"/>
          <w:b/>
          <w:bCs/>
          <w:lang w:val="es-ES_tradnl"/>
        </w:rPr>
      </w:pPr>
      <w:r w:rsidRPr="00C44CD0">
        <w:rPr>
          <w:rFonts w:ascii="Verdana" w:eastAsia="Century Gothic" w:hAnsi="Verdana" w:cs="Century Gothic"/>
          <w:b/>
          <w:bCs/>
          <w:lang w:val="es-ES_tradnl"/>
        </w:rPr>
        <w:t>Doctrina de la Agencia Nacional de Contratación Pública:</w:t>
      </w:r>
    </w:p>
    <w:p w14:paraId="64D25E25" w14:textId="77777777" w:rsidR="004876D0" w:rsidRPr="00C44CD0" w:rsidRDefault="004876D0" w:rsidP="004876D0">
      <w:pPr>
        <w:widowControl w:val="0"/>
        <w:autoSpaceDE w:val="0"/>
        <w:autoSpaceDN w:val="0"/>
        <w:spacing w:after="0" w:line="276" w:lineRule="auto"/>
        <w:jc w:val="both"/>
        <w:rPr>
          <w:rFonts w:ascii="Verdana" w:hAnsi="Verdana" w:cs="Arial"/>
          <w:lang w:val="es-ES_tradnl"/>
        </w:rPr>
      </w:pPr>
    </w:p>
    <w:p w14:paraId="7572977E" w14:textId="62FDBD4F" w:rsidR="004876D0" w:rsidRPr="00C44CD0" w:rsidRDefault="004876D0" w:rsidP="004876D0">
      <w:pPr>
        <w:widowControl w:val="0"/>
        <w:autoSpaceDE w:val="0"/>
        <w:autoSpaceDN w:val="0"/>
        <w:spacing w:after="0" w:line="276" w:lineRule="auto"/>
        <w:jc w:val="both"/>
        <w:rPr>
          <w:rFonts w:ascii="Verdana" w:hAnsi="Verdana" w:cs="Arial"/>
          <w:shd w:val="clear" w:color="auto" w:fill="FFFFFF"/>
        </w:rPr>
      </w:pPr>
      <w:r w:rsidRPr="00C44CD0">
        <w:rPr>
          <w:rFonts w:ascii="Verdana" w:hAnsi="Verdana" w:cs="Arial"/>
          <w:shd w:val="clear" w:color="auto" w:fill="FFFFFF"/>
        </w:rPr>
        <w:t xml:space="preserve">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w:t>
      </w:r>
      <w:r w:rsidR="001311E7" w:rsidRPr="00C44CD0">
        <w:rPr>
          <w:rFonts w:ascii="Verdana" w:hAnsi="Verdana" w:cs="Arial"/>
          <w:shd w:val="clear" w:color="auto" w:fill="FFFFFF"/>
        </w:rPr>
        <w:t xml:space="preserve">C- 832 </w:t>
      </w:r>
      <w:r w:rsidR="00F36AFE" w:rsidRPr="00C44CD0">
        <w:rPr>
          <w:rFonts w:ascii="Verdana" w:hAnsi="Verdana" w:cs="Arial"/>
          <w:shd w:val="clear" w:color="auto" w:fill="FFFFFF"/>
        </w:rPr>
        <w:t xml:space="preserve">del 5 de diciembre de 2024, C- 203 del 27 de marzo del 2025, C- 635 </w:t>
      </w:r>
      <w:r w:rsidR="00F36AFE" w:rsidRPr="00C44CD0">
        <w:rPr>
          <w:rFonts w:ascii="Verdana" w:hAnsi="Verdana" w:cs="Arial"/>
          <w:shd w:val="clear" w:color="auto" w:fill="FFFFFF"/>
        </w:rPr>
        <w:lastRenderedPageBreak/>
        <w:t xml:space="preserve">del 27 de junio de 2025, C- 1704 del 19 de diciembre de 2025, </w:t>
      </w:r>
      <w:r w:rsidRPr="00C44CD0">
        <w:rPr>
          <w:rFonts w:ascii="Verdana" w:hAnsi="Verdana" w:cs="Arial"/>
          <w:shd w:val="clear" w:color="auto" w:fill="FFFFFF"/>
        </w:rPr>
        <w:t>C-696 del 11 de julio de 2025, C-708 del 15 de julio de 2025, C-1186 del 17 de septiembre de 2025, C-1350 del 1˚ de octubre de 2025, C-1430 del 12 de noviembre del 2025</w:t>
      </w:r>
      <w:r w:rsidR="00F36AFE" w:rsidRPr="00C44CD0">
        <w:rPr>
          <w:rFonts w:ascii="Verdana" w:hAnsi="Verdana" w:cs="Arial"/>
          <w:shd w:val="clear" w:color="auto" w:fill="FFFFFF"/>
        </w:rPr>
        <w:t>,</w:t>
      </w:r>
      <w:r w:rsidRPr="00C44CD0">
        <w:rPr>
          <w:rFonts w:ascii="Verdana" w:hAnsi="Verdana" w:cs="Arial"/>
          <w:shd w:val="clear" w:color="auto" w:fill="FFFFFF"/>
        </w:rPr>
        <w:t xml:space="preserve"> C-1492 del 21 de noviembre del 2025</w:t>
      </w:r>
      <w:r w:rsidR="00F36AFE" w:rsidRPr="00C44CD0">
        <w:rPr>
          <w:rFonts w:ascii="Verdana" w:hAnsi="Verdana" w:cs="Arial"/>
          <w:shd w:val="clear" w:color="auto" w:fill="FFFFFF"/>
        </w:rPr>
        <w:t>,</w:t>
      </w:r>
      <w:r w:rsidRPr="00C44CD0">
        <w:rPr>
          <w:rFonts w:ascii="Verdana" w:hAnsi="Verdana" w:cs="Arial"/>
          <w:shd w:val="clear" w:color="auto" w:fill="FFFFFF"/>
        </w:rPr>
        <w:t xml:space="preserve"> C-1608 del 4 de diciembre de 2025</w:t>
      </w:r>
      <w:r w:rsidR="00F36AFE" w:rsidRPr="00C44CD0">
        <w:rPr>
          <w:rFonts w:ascii="Verdana" w:hAnsi="Verdana" w:cs="Arial"/>
          <w:shd w:val="clear" w:color="auto" w:fill="FFFFFF"/>
        </w:rPr>
        <w:t>, C</w:t>
      </w:r>
      <w:r w:rsidR="008F1304" w:rsidRPr="00C44CD0">
        <w:rPr>
          <w:rFonts w:ascii="Verdana" w:hAnsi="Verdana" w:cs="Arial"/>
          <w:shd w:val="clear" w:color="auto" w:fill="FFFFFF"/>
        </w:rPr>
        <w:t>-</w:t>
      </w:r>
      <w:r w:rsidR="00F36AFE" w:rsidRPr="00C44CD0">
        <w:rPr>
          <w:rFonts w:ascii="Verdana" w:hAnsi="Verdana" w:cs="Arial"/>
          <w:shd w:val="clear" w:color="auto" w:fill="FFFFFF"/>
        </w:rPr>
        <w:t>146 del 12 de marzo de 2026, C</w:t>
      </w:r>
      <w:r w:rsidR="008F1304" w:rsidRPr="00C44CD0">
        <w:rPr>
          <w:rFonts w:ascii="Verdana" w:hAnsi="Verdana" w:cs="Arial"/>
          <w:shd w:val="clear" w:color="auto" w:fill="FFFFFF"/>
        </w:rPr>
        <w:t>-</w:t>
      </w:r>
      <w:r w:rsidR="00F36AFE" w:rsidRPr="00C44CD0">
        <w:rPr>
          <w:rFonts w:ascii="Verdana" w:hAnsi="Verdana" w:cs="Arial"/>
          <w:shd w:val="clear" w:color="auto" w:fill="FFFFFF"/>
        </w:rPr>
        <w:t>175 del 17 de marzo de 2026 y C</w:t>
      </w:r>
      <w:r w:rsidR="008F1304" w:rsidRPr="00C44CD0">
        <w:rPr>
          <w:rFonts w:ascii="Verdana" w:hAnsi="Verdana" w:cs="Arial"/>
          <w:shd w:val="clear" w:color="auto" w:fill="FFFFFF"/>
        </w:rPr>
        <w:t>-</w:t>
      </w:r>
      <w:r w:rsidR="00F36AFE" w:rsidRPr="00C44CD0">
        <w:rPr>
          <w:rFonts w:ascii="Verdana" w:hAnsi="Verdana" w:cs="Arial"/>
          <w:shd w:val="clear" w:color="auto" w:fill="FFFFFF"/>
        </w:rPr>
        <w:t>183 del 18 de marzo de 2026</w:t>
      </w:r>
      <w:r w:rsidRPr="00C44CD0">
        <w:rPr>
          <w:rFonts w:ascii="Verdana" w:hAnsi="Verdana" w:cs="Arial"/>
          <w:shd w:val="clear" w:color="auto" w:fill="FFFFFF"/>
        </w:rPr>
        <w:t>. Es</w:t>
      </w:r>
      <w:r w:rsidRPr="00C44CD0">
        <w:rPr>
          <w:rFonts w:ascii="Verdana" w:hAnsi="Verdana"/>
        </w:rPr>
        <w:t>tos y otros conceptos se encuentran disponibles para consulta en el Sistema de relatoría de la Agencia, al cual se puede acceder a través del siguiente enlace:</w:t>
      </w:r>
      <w:r w:rsidRPr="00C44CD0">
        <w:rPr>
          <w:rFonts w:ascii="Verdana" w:hAnsi="Verdana" w:cs="Arial"/>
          <w:shd w:val="clear" w:color="auto" w:fill="FFFFFF"/>
        </w:rPr>
        <w:t xml:space="preserve"> </w:t>
      </w:r>
      <w:hyperlink r:id="rId13" w:history="1">
        <w:r w:rsidRPr="00C44CD0">
          <w:rPr>
            <w:rFonts w:ascii="Verdana" w:hAnsi="Verdana" w:cs="Arial"/>
            <w:color w:val="0563C1" w:themeColor="hyperlink"/>
            <w:u w:val="single"/>
            <w:shd w:val="clear" w:color="auto" w:fill="FFFFFF"/>
          </w:rPr>
          <w:t>https://relatoria.colombiacompra.gov.co/busqueda/conceptos</w:t>
        </w:r>
      </w:hyperlink>
    </w:p>
    <w:p w14:paraId="482AA5BF" w14:textId="77777777" w:rsidR="004876D0" w:rsidRPr="00C44CD0" w:rsidRDefault="004876D0" w:rsidP="004876D0">
      <w:pPr>
        <w:widowControl w:val="0"/>
        <w:autoSpaceDE w:val="0"/>
        <w:autoSpaceDN w:val="0"/>
        <w:spacing w:after="0" w:line="276" w:lineRule="auto"/>
        <w:jc w:val="both"/>
        <w:rPr>
          <w:rFonts w:ascii="Verdana" w:hAnsi="Verdana" w:cs="Arial"/>
          <w:shd w:val="clear" w:color="auto" w:fill="FFFFFF"/>
        </w:rPr>
      </w:pPr>
    </w:p>
    <w:p w14:paraId="27257CA9" w14:textId="77777777" w:rsidR="004876D0" w:rsidRPr="00C44CD0" w:rsidRDefault="004876D0" w:rsidP="004876D0">
      <w:pPr>
        <w:widowControl w:val="0"/>
        <w:autoSpaceDE w:val="0"/>
        <w:autoSpaceDN w:val="0"/>
        <w:spacing w:after="0" w:line="276" w:lineRule="auto"/>
        <w:jc w:val="both"/>
        <w:rPr>
          <w:rFonts w:ascii="Verdana" w:hAnsi="Verdana"/>
          <w:color w:val="000000"/>
        </w:rPr>
      </w:pPr>
      <w:r w:rsidRPr="00C44CD0">
        <w:rPr>
          <w:rFonts w:ascii="Verdana" w:hAnsi="Verdana"/>
          <w:color w:val="000000"/>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4" w:history="1">
        <w:r w:rsidRPr="00C44CD0">
          <w:rPr>
            <w:rStyle w:val="Hipervnculo"/>
            <w:rFonts w:ascii="Verdana" w:hAnsi="Verdana"/>
          </w:rPr>
          <w:t>https://formacionvirtual.colombiacompra.gov.co/mod/page/view.php?id=3718</w:t>
        </w:r>
      </w:hyperlink>
    </w:p>
    <w:p w14:paraId="642C24ED" w14:textId="77777777" w:rsidR="004876D0" w:rsidRPr="00C44CD0" w:rsidRDefault="004876D0" w:rsidP="004876D0">
      <w:pPr>
        <w:widowControl w:val="0"/>
        <w:autoSpaceDE w:val="0"/>
        <w:autoSpaceDN w:val="0"/>
        <w:spacing w:after="0" w:line="276" w:lineRule="auto"/>
        <w:jc w:val="both"/>
        <w:rPr>
          <w:rFonts w:ascii="Verdana" w:hAnsi="Verdana"/>
          <w:color w:val="000000"/>
        </w:rPr>
      </w:pPr>
    </w:p>
    <w:p w14:paraId="0C918785" w14:textId="77777777" w:rsidR="004876D0" w:rsidRPr="00C44CD0" w:rsidRDefault="004876D0" w:rsidP="004876D0">
      <w:pPr>
        <w:widowControl w:val="0"/>
        <w:autoSpaceDE w:val="0"/>
        <w:autoSpaceDN w:val="0"/>
        <w:spacing w:after="0" w:line="276" w:lineRule="auto"/>
        <w:jc w:val="both"/>
        <w:rPr>
          <w:rFonts w:ascii="Verdana" w:hAnsi="Verdana"/>
          <w:color w:val="000000"/>
        </w:rPr>
      </w:pPr>
      <w:r w:rsidRPr="00C44CD0">
        <w:rPr>
          <w:rFonts w:ascii="Verdana" w:hAnsi="Verdana"/>
          <w:color w:val="000000"/>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5" w:history="1">
        <w:r w:rsidRPr="00C44CD0">
          <w:rPr>
            <w:rStyle w:val="Hipervnculo"/>
            <w:rFonts w:ascii="Verdana" w:hAnsi="Verdana"/>
          </w:rPr>
          <w:t>https://www.colombiacompra.gov.co/normativa-y-relatoria/documentos-tipo</w:t>
        </w:r>
      </w:hyperlink>
    </w:p>
    <w:p w14:paraId="4608B09D" w14:textId="77777777" w:rsidR="004876D0" w:rsidRPr="00C44CD0" w:rsidRDefault="004876D0" w:rsidP="004876D0">
      <w:pPr>
        <w:widowControl w:val="0"/>
        <w:autoSpaceDE w:val="0"/>
        <w:autoSpaceDN w:val="0"/>
        <w:spacing w:after="0" w:line="276" w:lineRule="auto"/>
        <w:jc w:val="both"/>
        <w:rPr>
          <w:rFonts w:ascii="Verdana" w:hAnsi="Verdana"/>
          <w:color w:val="000000"/>
        </w:rPr>
      </w:pPr>
    </w:p>
    <w:p w14:paraId="566C52D2" w14:textId="77777777" w:rsidR="004876D0" w:rsidRPr="00C44CD0" w:rsidRDefault="004876D0" w:rsidP="004876D0">
      <w:pPr>
        <w:widowControl w:val="0"/>
        <w:autoSpaceDE w:val="0"/>
        <w:autoSpaceDN w:val="0"/>
        <w:spacing w:after="0" w:line="276" w:lineRule="auto"/>
        <w:jc w:val="both"/>
        <w:rPr>
          <w:rFonts w:ascii="Verdana" w:hAnsi="Verdana"/>
          <w:color w:val="000000"/>
        </w:rPr>
      </w:pPr>
      <w:r w:rsidRPr="00C44CD0">
        <w:rPr>
          <w:rFonts w:ascii="Verdana" w:hAnsi="Verdana"/>
          <w:color w:val="000000"/>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w:t>
      </w:r>
      <w:r w:rsidRPr="00C44CD0">
        <w:rPr>
          <w:rFonts w:ascii="Verdana" w:hAnsi="Verdana"/>
          <w:color w:val="000000"/>
        </w:rPr>
        <w:lastRenderedPageBreak/>
        <w:t xml:space="preserve">procesos contractuales. Además se incluyeron lineamientos que orientan la implementación de los criterios ambientales y sociales incluidos en los documentos tipo: Consulta la guía aquí: </w:t>
      </w:r>
      <w:hyperlink r:id="rId16" w:history="1">
        <w:r w:rsidRPr="00C44CD0">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4B22FB0" w14:textId="77777777" w:rsidR="004876D0" w:rsidRPr="00C44CD0" w:rsidRDefault="004876D0" w:rsidP="004876D0">
      <w:pPr>
        <w:shd w:val="clear" w:color="auto" w:fill="FFFFFF"/>
        <w:spacing w:after="0" w:line="276" w:lineRule="auto"/>
        <w:jc w:val="both"/>
        <w:rPr>
          <w:rFonts w:ascii="Verdana" w:hAnsi="Verdana"/>
          <w:color w:val="467886"/>
          <w:u w:val="single"/>
        </w:rPr>
      </w:pPr>
    </w:p>
    <w:p w14:paraId="12DC2DE9" w14:textId="77777777" w:rsidR="004876D0" w:rsidRPr="00C44CD0" w:rsidRDefault="004876D0" w:rsidP="004876D0">
      <w:pPr>
        <w:shd w:val="clear" w:color="auto" w:fill="FFFFFF"/>
        <w:spacing w:after="0" w:line="276" w:lineRule="auto"/>
        <w:jc w:val="both"/>
        <w:rPr>
          <w:rFonts w:ascii="Verdana" w:hAnsi="Verdana"/>
          <w:color w:val="467886"/>
          <w:u w:val="single"/>
        </w:rPr>
      </w:pPr>
      <w:r w:rsidRPr="00C44CD0">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3D9F540" w14:textId="77777777" w:rsidR="004876D0" w:rsidRPr="00C44CD0" w:rsidRDefault="004876D0" w:rsidP="004876D0">
      <w:pPr>
        <w:spacing w:after="0" w:line="276" w:lineRule="auto"/>
        <w:jc w:val="both"/>
        <w:rPr>
          <w:rFonts w:ascii="Verdana" w:hAnsi="Verdana"/>
        </w:rPr>
      </w:pPr>
    </w:p>
    <w:p w14:paraId="7BA2552A" w14:textId="77777777" w:rsidR="004876D0" w:rsidRPr="00C44CD0" w:rsidRDefault="004876D0" w:rsidP="004876D0">
      <w:pPr>
        <w:numPr>
          <w:ilvl w:val="0"/>
          <w:numId w:val="15"/>
        </w:numPr>
        <w:spacing w:after="0" w:line="276" w:lineRule="auto"/>
        <w:jc w:val="both"/>
        <w:rPr>
          <w:rFonts w:ascii="Verdana" w:eastAsia="Verdana" w:hAnsi="Verdana" w:cs="Verdana"/>
          <w:color w:val="4472C4" w:themeColor="accent1"/>
          <w:u w:val="single"/>
          <w:lang w:val="es-MX"/>
        </w:rPr>
      </w:pPr>
      <w:r w:rsidRPr="00C44CD0">
        <w:rPr>
          <w:rFonts w:ascii="Verdana" w:eastAsia="Verdana" w:hAnsi="Verdana" w:cs="Verdana"/>
          <w:lang w:val="es-MX"/>
        </w:rPr>
        <w:t xml:space="preserve">Línea nacional gratuita o servicio a la ciudadanía (Mesa de servicio): </w:t>
      </w:r>
      <w:r w:rsidRPr="00C44CD0">
        <w:rPr>
          <w:rFonts w:ascii="Verdana" w:hAnsi="Verdana"/>
          <w:color w:val="0000FF"/>
          <w:u w:val="single"/>
          <w:lang w:val="es-ES"/>
        </w:rPr>
        <w:t>01800 0520808</w:t>
      </w:r>
    </w:p>
    <w:p w14:paraId="1DAA1FF3" w14:textId="77777777" w:rsidR="004876D0" w:rsidRPr="00C44CD0" w:rsidRDefault="004876D0" w:rsidP="004876D0">
      <w:pPr>
        <w:numPr>
          <w:ilvl w:val="0"/>
          <w:numId w:val="15"/>
        </w:numPr>
        <w:spacing w:after="0" w:line="276" w:lineRule="auto"/>
        <w:rPr>
          <w:rFonts w:ascii="Verdana" w:eastAsia="Verdana" w:hAnsi="Verdana" w:cs="Verdana"/>
          <w:color w:val="4472C4" w:themeColor="accent1"/>
          <w:u w:val="single"/>
          <w:lang w:val="es-MX"/>
        </w:rPr>
      </w:pPr>
      <w:r w:rsidRPr="00C44CD0">
        <w:rPr>
          <w:rFonts w:ascii="Verdana" w:eastAsia="Verdana" w:hAnsi="Verdana" w:cs="Verdana"/>
          <w:lang w:val="es-MX"/>
        </w:rPr>
        <w:t>Línea en Bogotá (Mesa de servicio):</w:t>
      </w:r>
      <w:r w:rsidRPr="00C44CD0">
        <w:rPr>
          <w:rFonts w:ascii="Verdana" w:hAnsi="Verdana"/>
          <w:color w:val="0000FF"/>
          <w:u w:val="single"/>
          <w:lang w:val="es-ES"/>
        </w:rPr>
        <w:t>+57 601 7456788</w:t>
      </w:r>
    </w:p>
    <w:p w14:paraId="22987223" w14:textId="77777777" w:rsidR="004876D0" w:rsidRPr="00C44CD0" w:rsidRDefault="004876D0" w:rsidP="004876D0">
      <w:pPr>
        <w:numPr>
          <w:ilvl w:val="0"/>
          <w:numId w:val="15"/>
        </w:numPr>
        <w:spacing w:after="0" w:line="276" w:lineRule="auto"/>
        <w:rPr>
          <w:rFonts w:ascii="Verdana" w:eastAsia="Verdana" w:hAnsi="Verdana" w:cs="Verdana"/>
          <w:color w:val="0000FF"/>
          <w:u w:val="single"/>
          <w:lang w:val="es-MX"/>
        </w:rPr>
      </w:pPr>
      <w:r w:rsidRPr="00C44CD0">
        <w:rPr>
          <w:rFonts w:ascii="Verdana" w:eastAsia="Verdana" w:hAnsi="Verdana" w:cs="Verdana"/>
          <w:lang w:val="es-MX"/>
        </w:rPr>
        <w:t xml:space="preserve">Correo de radicación de correspondencia: </w:t>
      </w:r>
      <w:hyperlink r:id="rId17" w:history="1">
        <w:r w:rsidRPr="00C44CD0">
          <w:rPr>
            <w:rFonts w:ascii="Verdana" w:eastAsia="Verdana" w:hAnsi="Verdana" w:cs="Verdana"/>
            <w:color w:val="0000FF"/>
            <w:u w:val="single"/>
            <w:lang w:val="es-MX"/>
          </w:rPr>
          <w:t>ventanilladeradicacion@colombiacompra.gov.co</w:t>
        </w:r>
      </w:hyperlink>
    </w:p>
    <w:p w14:paraId="4D5F7FC8" w14:textId="77777777" w:rsidR="004876D0" w:rsidRPr="00C44CD0" w:rsidRDefault="004876D0" w:rsidP="004876D0">
      <w:pPr>
        <w:numPr>
          <w:ilvl w:val="0"/>
          <w:numId w:val="15"/>
        </w:numPr>
        <w:spacing w:after="0" w:line="276" w:lineRule="auto"/>
        <w:rPr>
          <w:rFonts w:ascii="Verdana" w:eastAsia="Verdana" w:hAnsi="Verdana" w:cs="Verdana"/>
          <w:color w:val="0000FF"/>
          <w:u w:val="single"/>
          <w:lang w:val="es-MX"/>
        </w:rPr>
      </w:pPr>
      <w:r w:rsidRPr="00C44CD0">
        <w:rPr>
          <w:rFonts w:ascii="Verdana" w:eastAsia="Verdana" w:hAnsi="Verdana" w:cs="Verdana"/>
          <w:lang w:val="es-ES"/>
        </w:rPr>
        <w:t xml:space="preserve">Formulario web para PQRSD: </w:t>
      </w:r>
      <w:hyperlink r:id="rId18" w:history="1">
        <w:r w:rsidRPr="00C44CD0">
          <w:rPr>
            <w:rFonts w:ascii="Verdana" w:eastAsia="Verdana" w:hAnsi="Verdana" w:cs="Verdana"/>
            <w:color w:val="0000FF"/>
            <w:u w:val="single"/>
            <w:lang w:val="es-MX"/>
          </w:rPr>
          <w:t>https://www.colombiacompra.gov.co/pqrsd/informacion-importante-antes-de-formular-una-pqrsd</w:t>
        </w:r>
      </w:hyperlink>
    </w:p>
    <w:p w14:paraId="63B5F80A" w14:textId="77777777" w:rsidR="004876D0" w:rsidRPr="00C44CD0" w:rsidRDefault="004876D0" w:rsidP="004876D0">
      <w:pPr>
        <w:spacing w:after="0" w:line="276" w:lineRule="auto"/>
        <w:ind w:left="720"/>
        <w:jc w:val="both"/>
        <w:rPr>
          <w:rFonts w:ascii="Verdana" w:hAnsi="Verdana"/>
        </w:rPr>
      </w:pPr>
    </w:p>
    <w:p w14:paraId="56F99669" w14:textId="77777777" w:rsidR="004876D0" w:rsidRPr="00C44CD0" w:rsidRDefault="004876D0" w:rsidP="004876D0">
      <w:pPr>
        <w:spacing w:after="0" w:line="276" w:lineRule="auto"/>
        <w:jc w:val="both"/>
        <w:rPr>
          <w:rFonts w:ascii="Verdana" w:hAnsi="Verdana"/>
        </w:rPr>
      </w:pPr>
      <w:r w:rsidRPr="00C44CD0">
        <w:rPr>
          <w:rFonts w:ascii="Verdana" w:hAnsi="Verdana"/>
        </w:rPr>
        <w:t xml:space="preserve">Evalúa el servicio que ofrece la Agencia por el canal de atención de PQRSD en el siguiente enlace: </w:t>
      </w:r>
      <w:hyperlink r:id="rId19" w:history="1">
        <w:r w:rsidRPr="00C44CD0">
          <w:rPr>
            <w:rStyle w:val="Hipervnculo"/>
            <w:rFonts w:ascii="Verdana" w:hAnsi="Verdana"/>
          </w:rPr>
          <w:t>https://forms.office.com/r/pPHyWVs2SZ</w:t>
        </w:r>
      </w:hyperlink>
      <w:r w:rsidRPr="00C44CD0">
        <w:rPr>
          <w:rFonts w:ascii="Verdana" w:hAnsi="Verdana"/>
        </w:rPr>
        <w:t xml:space="preserve"> .¡Ayúdanos a mejorar porque el compromiso es de todos!</w:t>
      </w:r>
    </w:p>
    <w:p w14:paraId="400C20DF" w14:textId="77777777" w:rsidR="004876D0" w:rsidRPr="00C44CD0" w:rsidRDefault="004876D0" w:rsidP="004876D0">
      <w:pPr>
        <w:spacing w:after="0" w:line="276" w:lineRule="auto"/>
        <w:rPr>
          <w:rFonts w:ascii="Verdana" w:hAnsi="Verdana"/>
        </w:rPr>
      </w:pPr>
    </w:p>
    <w:p w14:paraId="2C55E5FA" w14:textId="77777777" w:rsidR="004876D0" w:rsidRPr="00C44CD0" w:rsidRDefault="004876D0" w:rsidP="004876D0">
      <w:pPr>
        <w:spacing w:after="0" w:line="276" w:lineRule="auto"/>
        <w:jc w:val="both"/>
        <w:rPr>
          <w:rFonts w:ascii="Verdana" w:hAnsi="Verdana"/>
        </w:rPr>
      </w:pPr>
      <w:r w:rsidRPr="00C44CD0">
        <w:rPr>
          <w:rFonts w:ascii="Verdana" w:hAnsi="Verdana"/>
        </w:rPr>
        <w:t xml:space="preserve">Por último, lo invitamos a seguirnos en las redes sociales en las cuales se difunde información institucional: </w:t>
      </w:r>
    </w:p>
    <w:p w14:paraId="76646EED" w14:textId="77777777" w:rsidR="004876D0" w:rsidRPr="00C44CD0" w:rsidRDefault="004876D0" w:rsidP="004876D0">
      <w:pPr>
        <w:spacing w:after="0" w:line="276" w:lineRule="auto"/>
        <w:jc w:val="both"/>
        <w:rPr>
          <w:rFonts w:ascii="Verdana" w:hAnsi="Verdana"/>
        </w:rPr>
      </w:pPr>
    </w:p>
    <w:p w14:paraId="06006267" w14:textId="77777777" w:rsidR="004876D0" w:rsidRPr="00C44CD0" w:rsidRDefault="004876D0" w:rsidP="004876D0">
      <w:pPr>
        <w:spacing w:after="0" w:line="276" w:lineRule="auto"/>
        <w:jc w:val="both"/>
        <w:rPr>
          <w:rFonts w:ascii="Verdana" w:hAnsi="Verdana"/>
        </w:rPr>
      </w:pPr>
      <w:r w:rsidRPr="00C44CD0">
        <w:rPr>
          <w:rFonts w:ascii="Verdana" w:hAnsi="Verdana"/>
        </w:rPr>
        <w:t xml:space="preserve">Twitter: </w:t>
      </w:r>
      <w:r w:rsidRPr="00C44CD0">
        <w:rPr>
          <w:rFonts w:ascii="Verdana" w:hAnsi="Verdana"/>
          <w:color w:val="0000FF"/>
          <w:u w:val="single"/>
        </w:rPr>
        <w:t>@colombiacompra</w:t>
      </w:r>
      <w:r w:rsidRPr="00C44CD0">
        <w:rPr>
          <w:rFonts w:ascii="Verdana" w:hAnsi="Verdana"/>
        </w:rPr>
        <w:t xml:space="preserve"> </w:t>
      </w:r>
    </w:p>
    <w:p w14:paraId="57CBB6E6" w14:textId="77777777" w:rsidR="004876D0" w:rsidRPr="00C44CD0" w:rsidRDefault="004876D0" w:rsidP="004876D0">
      <w:pPr>
        <w:spacing w:after="0" w:line="276" w:lineRule="auto"/>
        <w:jc w:val="both"/>
        <w:rPr>
          <w:rFonts w:ascii="Verdana" w:hAnsi="Verdana"/>
        </w:rPr>
      </w:pPr>
      <w:r w:rsidRPr="00C44CD0">
        <w:rPr>
          <w:rFonts w:ascii="Verdana" w:hAnsi="Verdana"/>
        </w:rPr>
        <w:t xml:space="preserve">Facebook: </w:t>
      </w:r>
      <w:proofErr w:type="spellStart"/>
      <w:r w:rsidRPr="00C44CD0">
        <w:rPr>
          <w:rFonts w:ascii="Verdana" w:hAnsi="Verdana"/>
          <w:color w:val="0000FF"/>
          <w:u w:val="single"/>
        </w:rPr>
        <w:t>ColombiaCompraEficiente</w:t>
      </w:r>
      <w:proofErr w:type="spellEnd"/>
    </w:p>
    <w:p w14:paraId="3D347936" w14:textId="77777777" w:rsidR="004876D0" w:rsidRPr="00C44CD0" w:rsidRDefault="004876D0" w:rsidP="004876D0">
      <w:pPr>
        <w:spacing w:after="0" w:line="276" w:lineRule="auto"/>
        <w:jc w:val="both"/>
        <w:rPr>
          <w:rFonts w:ascii="Verdana" w:hAnsi="Verdana"/>
        </w:rPr>
      </w:pPr>
      <w:r w:rsidRPr="00C44CD0">
        <w:rPr>
          <w:rFonts w:ascii="Verdana" w:hAnsi="Verdana"/>
        </w:rPr>
        <w:t xml:space="preserve">LinkedIn: </w:t>
      </w:r>
      <w:r w:rsidRPr="00C44CD0">
        <w:rPr>
          <w:rFonts w:ascii="Verdana" w:hAnsi="Verdana"/>
          <w:color w:val="0000FF"/>
          <w:u w:val="single"/>
        </w:rPr>
        <w:t>Agencia Nacional de Contratación Pública - Colombia Compra Eficiente</w:t>
      </w:r>
      <w:r w:rsidRPr="00C44CD0">
        <w:rPr>
          <w:rFonts w:ascii="Verdana" w:hAnsi="Verdana"/>
        </w:rPr>
        <w:t xml:space="preserve"> Instagram: </w:t>
      </w:r>
      <w:r w:rsidRPr="00C44CD0">
        <w:rPr>
          <w:rFonts w:ascii="Verdana" w:hAnsi="Verdana"/>
          <w:color w:val="0000FF"/>
          <w:u w:val="single"/>
        </w:rPr>
        <w:t>@colombiacompraeficiente_cce</w:t>
      </w:r>
    </w:p>
    <w:p w14:paraId="211AD66C" w14:textId="77777777" w:rsidR="004876D0" w:rsidRPr="00C44CD0" w:rsidRDefault="004876D0" w:rsidP="004876D0">
      <w:pPr>
        <w:widowControl w:val="0"/>
        <w:autoSpaceDE w:val="0"/>
        <w:autoSpaceDN w:val="0"/>
        <w:spacing w:after="0" w:line="276" w:lineRule="auto"/>
        <w:jc w:val="both"/>
        <w:rPr>
          <w:rFonts w:ascii="Verdana" w:hAnsi="Verdana" w:cs="Arial"/>
          <w:color w:val="FF0000"/>
          <w:shd w:val="clear" w:color="auto" w:fill="FFFFFF"/>
          <w:lang w:val="es-ES_tradnl"/>
        </w:rPr>
      </w:pPr>
      <w:r w:rsidRPr="00C44CD0">
        <w:rPr>
          <w:rFonts w:ascii="Verdana" w:hAnsi="Verdana" w:cs="Arial"/>
          <w:color w:val="FF0000"/>
          <w:shd w:val="clear" w:color="auto" w:fill="FFFFFF"/>
          <w:lang w:val="es-ES_tradnl"/>
        </w:rPr>
        <w:t xml:space="preserve">        </w:t>
      </w:r>
    </w:p>
    <w:p w14:paraId="1DA0C3DB" w14:textId="77777777" w:rsidR="004876D0" w:rsidRPr="00C44CD0" w:rsidRDefault="004876D0" w:rsidP="004876D0">
      <w:pPr>
        <w:widowControl w:val="0"/>
        <w:autoSpaceDE w:val="0"/>
        <w:autoSpaceDN w:val="0"/>
        <w:spacing w:after="0" w:line="276" w:lineRule="auto"/>
        <w:jc w:val="both"/>
        <w:rPr>
          <w:rFonts w:ascii="Verdana" w:hAnsi="Verdana" w:cs="Arial"/>
          <w:lang w:val="es-ES_tradnl"/>
        </w:rPr>
      </w:pPr>
      <w:r w:rsidRPr="00C44CD0">
        <w:rPr>
          <w:rFonts w:ascii="Verdana" w:hAnsi="Verdana" w:cs="Arial"/>
          <w:lang w:val="es-ES_tradnl"/>
        </w:rPr>
        <w:t xml:space="preserve">Este concepto tiene el alcance previsto en el artículo 28 del Código de </w:t>
      </w:r>
      <w:r w:rsidRPr="00C44CD0">
        <w:rPr>
          <w:rFonts w:ascii="Verdana" w:hAnsi="Verdana" w:cs="Arial"/>
          <w:lang w:val="es-ES_tradnl"/>
        </w:rPr>
        <w:lastRenderedPageBreak/>
        <w:t xml:space="preserve">Procedimiento Administrativo y de lo Contencioso Administrativo y las expresiones aquí utilizadas con mayúscula inicial deben ser entendidas con el significado que les otorga el artículo 2.2.1.1.1.3.1. del Decreto 1082 de 2015. </w:t>
      </w:r>
    </w:p>
    <w:p w14:paraId="3B865B23" w14:textId="77777777" w:rsidR="004876D0" w:rsidRPr="00C44CD0" w:rsidRDefault="004876D0" w:rsidP="004876D0">
      <w:pPr>
        <w:widowControl w:val="0"/>
        <w:autoSpaceDE w:val="0"/>
        <w:autoSpaceDN w:val="0"/>
        <w:spacing w:after="0" w:line="276" w:lineRule="auto"/>
        <w:jc w:val="both"/>
        <w:rPr>
          <w:rFonts w:ascii="Verdana" w:hAnsi="Verdana" w:cs="Arial"/>
          <w:lang w:val="es-ES_tradnl"/>
        </w:rPr>
      </w:pPr>
    </w:p>
    <w:p w14:paraId="2C63187F" w14:textId="77777777" w:rsidR="004876D0" w:rsidRPr="00C44CD0" w:rsidRDefault="004876D0" w:rsidP="004876D0">
      <w:pPr>
        <w:spacing w:after="0" w:line="276" w:lineRule="auto"/>
        <w:rPr>
          <w:rFonts w:ascii="Verdana" w:hAnsi="Verdana" w:cs="Arial"/>
          <w:lang w:val="es-ES_tradnl" w:eastAsia="es-CO"/>
        </w:rPr>
      </w:pPr>
      <w:r w:rsidRPr="00C44CD0">
        <w:rPr>
          <w:rFonts w:ascii="Verdana" w:eastAsia="Times New Roman" w:hAnsi="Verdana" w:cs="Arial"/>
          <w:lang w:val="es-ES" w:eastAsia="es-CO"/>
        </w:rPr>
        <w:t>Atentamente,</w:t>
      </w:r>
      <w:r w:rsidRPr="00C44CD0">
        <w:rPr>
          <w:rFonts w:ascii="Verdana" w:hAnsi="Verdana" w:cs="Arial"/>
          <w:lang w:val="es-ES" w:eastAsia="es-CO"/>
        </w:rPr>
        <w:t xml:space="preserve"> </w:t>
      </w:r>
    </w:p>
    <w:p w14:paraId="70AF7E40" w14:textId="1D4E27BB" w:rsidR="004876D0" w:rsidRPr="00C44CD0" w:rsidRDefault="00151DF6" w:rsidP="004876D0">
      <w:pPr>
        <w:spacing w:line="276" w:lineRule="auto"/>
        <w:ind w:left="708" w:hanging="708"/>
        <w:jc w:val="center"/>
        <w:rPr>
          <w:rFonts w:ascii="Verdana" w:hAnsi="Verdana" w:cs="Arial"/>
          <w:color w:val="000000"/>
          <w:lang w:val="es-ES_tradnl" w:eastAsia="es-CO"/>
        </w:rPr>
      </w:pPr>
      <w:r w:rsidRPr="002C3AD6">
        <w:rPr>
          <w:rFonts w:ascii="Century Gothic" w:hAnsi="Century Gothic"/>
          <w:noProof/>
        </w:rPr>
        <w:drawing>
          <wp:inline distT="0" distB="0" distL="0" distR="0" wp14:anchorId="5A56FAA9" wp14:editId="55DB1B6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876D0" w:rsidRPr="00C44CD0" w14:paraId="5E6D5345" w14:textId="77777777" w:rsidTr="00EA32A5">
        <w:trPr>
          <w:trHeight w:val="315"/>
        </w:trPr>
        <w:tc>
          <w:tcPr>
            <w:tcW w:w="893" w:type="dxa"/>
            <w:vAlign w:val="center"/>
            <w:hideMark/>
          </w:tcPr>
          <w:p w14:paraId="178B4D58" w14:textId="77777777" w:rsidR="004876D0" w:rsidRPr="00C44CD0" w:rsidRDefault="004876D0" w:rsidP="00EA32A5">
            <w:pPr>
              <w:contextualSpacing/>
              <w:rPr>
                <w:rFonts w:ascii="Verdana" w:hAnsi="Verdana" w:cs="Arial"/>
                <w:sz w:val="16"/>
                <w:szCs w:val="16"/>
                <w:lang w:val="es-ES" w:eastAsia="es-ES"/>
              </w:rPr>
            </w:pPr>
            <w:r w:rsidRPr="00C44CD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622F89E" w14:textId="4D22EE73" w:rsidR="004876D0" w:rsidRPr="00C44CD0" w:rsidRDefault="00F36AFE" w:rsidP="00EA32A5">
            <w:pPr>
              <w:contextualSpacing/>
              <w:rPr>
                <w:rFonts w:ascii="Verdana" w:hAnsi="Verdana"/>
                <w:sz w:val="16"/>
                <w:szCs w:val="16"/>
              </w:rPr>
            </w:pPr>
            <w:r w:rsidRPr="00C44CD0">
              <w:rPr>
                <w:rFonts w:ascii="Verdana" w:hAnsi="Verdana"/>
                <w:sz w:val="16"/>
                <w:szCs w:val="16"/>
              </w:rPr>
              <w:t xml:space="preserve">Camilo José Martínez </w:t>
            </w:r>
            <w:proofErr w:type="spellStart"/>
            <w:r w:rsidRPr="00C44CD0">
              <w:rPr>
                <w:rFonts w:ascii="Verdana" w:hAnsi="Verdana"/>
                <w:sz w:val="16"/>
                <w:szCs w:val="16"/>
              </w:rPr>
              <w:t>Martínez</w:t>
            </w:r>
            <w:proofErr w:type="spellEnd"/>
            <w:r w:rsidRPr="00C44CD0">
              <w:rPr>
                <w:rFonts w:ascii="Verdana" w:hAnsi="Verdana"/>
                <w:sz w:val="16"/>
                <w:szCs w:val="16"/>
              </w:rPr>
              <w:t xml:space="preserve"> </w:t>
            </w:r>
          </w:p>
          <w:p w14:paraId="16A8A276" w14:textId="77777777" w:rsidR="004876D0" w:rsidRPr="00C44CD0" w:rsidRDefault="004876D0" w:rsidP="00EA32A5">
            <w:pPr>
              <w:contextualSpacing/>
              <w:rPr>
                <w:rFonts w:ascii="Verdana" w:eastAsia="Arial" w:hAnsi="Verdana" w:cs="Arial"/>
                <w:sz w:val="16"/>
                <w:szCs w:val="16"/>
              </w:rPr>
            </w:pPr>
            <w:r w:rsidRPr="00C44CD0">
              <w:rPr>
                <w:rFonts w:ascii="Verdana" w:hAnsi="Verdana"/>
                <w:sz w:val="16"/>
                <w:szCs w:val="16"/>
              </w:rPr>
              <w:t>Contratista de la Subdirección de Gestión Contractual</w:t>
            </w:r>
          </w:p>
        </w:tc>
      </w:tr>
      <w:tr w:rsidR="004876D0" w:rsidRPr="00C44CD0" w14:paraId="3E0B1C1B" w14:textId="77777777" w:rsidTr="00EA32A5">
        <w:trPr>
          <w:trHeight w:val="330"/>
        </w:trPr>
        <w:tc>
          <w:tcPr>
            <w:tcW w:w="893" w:type="dxa"/>
            <w:vAlign w:val="center"/>
            <w:hideMark/>
          </w:tcPr>
          <w:p w14:paraId="23206612" w14:textId="77777777" w:rsidR="004876D0" w:rsidRPr="00C44CD0" w:rsidRDefault="004876D0" w:rsidP="00EA32A5">
            <w:pPr>
              <w:contextualSpacing/>
              <w:rPr>
                <w:rFonts w:ascii="Verdana" w:hAnsi="Verdana" w:cs="Arial"/>
                <w:sz w:val="16"/>
                <w:szCs w:val="16"/>
                <w:lang w:val="es-ES" w:eastAsia="es-ES"/>
              </w:rPr>
            </w:pPr>
            <w:r w:rsidRPr="00C44CD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CF87883" w14:textId="77777777" w:rsidR="004876D0" w:rsidRPr="00C44CD0" w:rsidRDefault="004876D0" w:rsidP="00EA32A5">
            <w:pPr>
              <w:spacing w:before="100" w:beforeAutospacing="1" w:afterAutospacing="1"/>
              <w:contextualSpacing/>
              <w:textAlignment w:val="baseline"/>
              <w:rPr>
                <w:rFonts w:ascii="Verdana" w:eastAsia="Times New Roman" w:hAnsi="Verdana" w:cs="Arial"/>
                <w:sz w:val="16"/>
                <w:szCs w:val="16"/>
                <w:lang w:val="es-ES" w:eastAsia="es-ES_tradnl"/>
              </w:rPr>
            </w:pPr>
            <w:r w:rsidRPr="00C44CD0">
              <w:rPr>
                <w:rFonts w:ascii="Verdana" w:eastAsia="Times New Roman" w:hAnsi="Verdana" w:cs="Arial"/>
                <w:sz w:val="16"/>
                <w:szCs w:val="16"/>
                <w:lang w:val="es-ES" w:eastAsia="es-ES_tradnl"/>
              </w:rPr>
              <w:t>Diana Lucía Saavedra Castañeda</w:t>
            </w:r>
          </w:p>
          <w:p w14:paraId="5334075D" w14:textId="77777777" w:rsidR="004876D0" w:rsidRPr="00C44CD0" w:rsidRDefault="004876D0" w:rsidP="00EA32A5">
            <w:pPr>
              <w:spacing w:before="100" w:beforeAutospacing="1" w:afterAutospacing="1"/>
              <w:contextualSpacing/>
              <w:textAlignment w:val="baseline"/>
              <w:rPr>
                <w:rFonts w:ascii="Verdana" w:eastAsia="Times New Roman" w:hAnsi="Verdana" w:cs="Arial"/>
                <w:sz w:val="16"/>
                <w:szCs w:val="16"/>
                <w:lang w:val="es-ES" w:eastAsia="es-ES_tradnl"/>
              </w:rPr>
            </w:pPr>
            <w:r w:rsidRPr="00C44CD0">
              <w:rPr>
                <w:rFonts w:ascii="Verdana" w:eastAsia="Times New Roman" w:hAnsi="Verdana" w:cs="Arial"/>
                <w:sz w:val="16"/>
                <w:szCs w:val="16"/>
                <w:lang w:val="es-ES" w:eastAsia="es-ES_tradnl"/>
              </w:rPr>
              <w:t>Contratista de la Subdirección de Gestión Contractual</w:t>
            </w:r>
          </w:p>
          <w:p w14:paraId="66D96BD8" w14:textId="39ABEAFC" w:rsidR="004876D0" w:rsidRPr="00C44CD0" w:rsidRDefault="004876D0" w:rsidP="00EA32A5">
            <w:pPr>
              <w:contextualSpacing/>
              <w:textAlignment w:val="baseline"/>
              <w:rPr>
                <w:rFonts w:ascii="Verdana" w:eastAsia="Times New Roman" w:hAnsi="Verdana" w:cs="Segoe UI"/>
                <w:sz w:val="16"/>
                <w:szCs w:val="16"/>
                <w:lang w:eastAsia="es-ES_tradnl"/>
              </w:rPr>
            </w:pPr>
          </w:p>
        </w:tc>
      </w:tr>
      <w:tr w:rsidR="004876D0" w:rsidRPr="00A27102" w14:paraId="5F58F6CF" w14:textId="77777777" w:rsidTr="00EA32A5">
        <w:trPr>
          <w:trHeight w:val="300"/>
        </w:trPr>
        <w:tc>
          <w:tcPr>
            <w:tcW w:w="893" w:type="dxa"/>
            <w:vAlign w:val="center"/>
          </w:tcPr>
          <w:p w14:paraId="4B41FB18" w14:textId="77777777" w:rsidR="004876D0" w:rsidRPr="00C44CD0" w:rsidRDefault="004876D0" w:rsidP="00EA32A5">
            <w:pPr>
              <w:contextualSpacing/>
              <w:rPr>
                <w:rFonts w:ascii="Verdana" w:hAnsi="Verdana" w:cs="Arial"/>
                <w:sz w:val="16"/>
                <w:szCs w:val="16"/>
                <w:lang w:val="es-ES" w:eastAsia="es-ES"/>
              </w:rPr>
            </w:pPr>
            <w:r w:rsidRPr="00C44CD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D4AA5E7" w14:textId="77777777" w:rsidR="004876D0" w:rsidRPr="00C44CD0" w:rsidRDefault="004876D0" w:rsidP="00EA32A5">
            <w:pPr>
              <w:contextualSpacing/>
              <w:rPr>
                <w:rFonts w:ascii="Verdana" w:eastAsia="Calibri" w:hAnsi="Verdana" w:cs="Arial"/>
                <w:sz w:val="16"/>
                <w:szCs w:val="16"/>
                <w:lang w:val="pt-BR" w:eastAsia="es-ES"/>
              </w:rPr>
            </w:pPr>
            <w:r w:rsidRPr="00C44CD0">
              <w:rPr>
                <w:rFonts w:ascii="Verdana" w:eastAsia="Calibri" w:hAnsi="Verdana" w:cs="Arial"/>
                <w:sz w:val="16"/>
                <w:szCs w:val="16"/>
                <w:lang w:val="pt-BR" w:eastAsia="es-ES"/>
              </w:rPr>
              <w:t>Carolina Quintero Gacharná</w:t>
            </w:r>
          </w:p>
          <w:p w14:paraId="73CB751E" w14:textId="77777777" w:rsidR="004876D0" w:rsidRPr="00A27102" w:rsidRDefault="004876D0" w:rsidP="00EA32A5">
            <w:pPr>
              <w:contextualSpacing/>
              <w:rPr>
                <w:rFonts w:ascii="Verdana" w:eastAsia="Calibri" w:hAnsi="Verdana" w:cs="Arial"/>
                <w:sz w:val="16"/>
                <w:szCs w:val="16"/>
                <w:lang w:val="pt-BR" w:eastAsia="es-ES"/>
              </w:rPr>
            </w:pPr>
            <w:r w:rsidRPr="00C44CD0">
              <w:rPr>
                <w:rFonts w:ascii="Verdana" w:eastAsia="Calibri" w:hAnsi="Verdana" w:cs="Arial"/>
                <w:sz w:val="16"/>
                <w:szCs w:val="16"/>
                <w:lang w:eastAsia="es-ES"/>
              </w:rPr>
              <w:t>Subdirectora</w:t>
            </w:r>
            <w:r w:rsidRPr="00C44CD0">
              <w:rPr>
                <w:rFonts w:ascii="Verdana" w:eastAsia="Calibri" w:hAnsi="Verdana" w:cs="Arial"/>
                <w:sz w:val="16"/>
                <w:szCs w:val="16"/>
                <w:lang w:val="pt-BR" w:eastAsia="es-ES"/>
              </w:rPr>
              <w:t xml:space="preserve"> de Gestión Contratual ANCP – CCE</w:t>
            </w:r>
          </w:p>
        </w:tc>
      </w:tr>
    </w:tbl>
    <w:p w14:paraId="7301473A" w14:textId="77777777" w:rsidR="004876D0" w:rsidRPr="000E2B93" w:rsidRDefault="004876D0" w:rsidP="004876D0">
      <w:pPr>
        <w:spacing w:after="0" w:line="240" w:lineRule="auto"/>
        <w:jc w:val="both"/>
        <w:textAlignment w:val="baseline"/>
        <w:rPr>
          <w:rFonts w:ascii="Verdana" w:eastAsia="Verdana" w:hAnsi="Verdana" w:cs="Verdana"/>
          <w:lang w:eastAsia="es-CO"/>
        </w:rPr>
      </w:pPr>
    </w:p>
    <w:p w14:paraId="131668B8" w14:textId="18041D5F" w:rsidR="004876D0" w:rsidRPr="000E2B93" w:rsidRDefault="004876D0" w:rsidP="004876D0">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35CC256B" w14:textId="77777777" w:rsidR="00F5369B" w:rsidRDefault="00F5369B" w:rsidP="009B4037">
      <w:pPr>
        <w:spacing w:after="0" w:line="240" w:lineRule="auto"/>
        <w:rPr>
          <w:rFonts w:ascii="Verdana" w:hAnsi="Verdana"/>
        </w:rPr>
      </w:pPr>
    </w:p>
    <w:sectPr w:rsidR="00F5369B"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4ABED" w14:textId="77777777" w:rsidR="008671C1" w:rsidRDefault="008671C1" w:rsidP="004A1847">
      <w:pPr>
        <w:spacing w:after="0" w:line="240" w:lineRule="auto"/>
      </w:pPr>
      <w:r>
        <w:separator/>
      </w:r>
    </w:p>
  </w:endnote>
  <w:endnote w:type="continuationSeparator" w:id="0">
    <w:p w14:paraId="5572B089" w14:textId="77777777" w:rsidR="008671C1" w:rsidRDefault="008671C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08200" w14:textId="77777777" w:rsidR="008671C1" w:rsidRDefault="008671C1" w:rsidP="004A1847">
      <w:pPr>
        <w:spacing w:after="0" w:line="240" w:lineRule="auto"/>
      </w:pPr>
      <w:r>
        <w:separator/>
      </w:r>
    </w:p>
  </w:footnote>
  <w:footnote w:type="continuationSeparator" w:id="0">
    <w:p w14:paraId="161F0EE6" w14:textId="77777777" w:rsidR="008671C1" w:rsidRDefault="008671C1" w:rsidP="004A1847">
      <w:pPr>
        <w:spacing w:after="0" w:line="240" w:lineRule="auto"/>
      </w:pPr>
      <w:r>
        <w:continuationSeparator/>
      </w:r>
    </w:p>
  </w:footnote>
  <w:footnote w:id="1">
    <w:p w14:paraId="7DD51BF7" w14:textId="7650E929" w:rsidR="00B14F4D" w:rsidRPr="00C44CD0" w:rsidRDefault="00B14F4D" w:rsidP="00C44CD0">
      <w:pPr>
        <w:pStyle w:val="Textonotapie"/>
        <w:ind w:firstLine="708"/>
        <w:jc w:val="both"/>
        <w:rPr>
          <w:rFonts w:ascii="Verdana" w:hAnsi="Verdana"/>
          <w:sz w:val="16"/>
          <w:szCs w:val="16"/>
          <w:lang w:val="es-ES_tradnl"/>
        </w:rPr>
      </w:pPr>
      <w:r w:rsidRPr="00C44CD0">
        <w:rPr>
          <w:rStyle w:val="Refdenotaalpie"/>
          <w:rFonts w:ascii="Verdana" w:hAnsi="Verdana"/>
          <w:sz w:val="16"/>
          <w:szCs w:val="16"/>
        </w:rPr>
        <w:footnoteRef/>
      </w:r>
      <w:r w:rsidRPr="00C44CD0">
        <w:rPr>
          <w:rFonts w:ascii="Verdana" w:hAnsi="Verdana"/>
          <w:sz w:val="16"/>
          <w:szCs w:val="16"/>
        </w:rPr>
        <w:t xml:space="preserve"> Disponible en: </w:t>
      </w:r>
      <w:hyperlink r:id="rId1" w:history="1">
        <w:r w:rsidRPr="00C44CD0">
          <w:rPr>
            <w:rStyle w:val="Hipervnculo"/>
            <w:rFonts w:ascii="Verdana" w:hAnsi="Verdana"/>
            <w:sz w:val="16"/>
            <w:szCs w:val="16"/>
          </w:rPr>
          <w:t>https://www.colombiacompra.gov.co/wp-content/uploads/2024/08/circular_externa_unica_version_3_vf49.pdf</w:t>
        </w:r>
      </w:hyperlink>
      <w:r w:rsidRPr="00C44CD0">
        <w:rPr>
          <w:rFonts w:ascii="Verdana" w:hAnsi="Verdana"/>
          <w:sz w:val="16"/>
          <w:szCs w:val="16"/>
        </w:rPr>
        <w:t xml:space="preserve"> </w:t>
      </w:r>
    </w:p>
  </w:footnote>
  <w:footnote w:id="2">
    <w:p w14:paraId="0703E1F8" w14:textId="77777777" w:rsidR="004876D0" w:rsidRPr="000660E8" w:rsidRDefault="004876D0" w:rsidP="004876D0">
      <w:pPr>
        <w:pStyle w:val="Textonotapie"/>
        <w:ind w:firstLine="709"/>
        <w:jc w:val="both"/>
        <w:rPr>
          <w:rFonts w:ascii="Verdana" w:hAnsi="Verdana"/>
          <w:sz w:val="16"/>
          <w:szCs w:val="16"/>
          <w:lang w:val="es-CO"/>
        </w:rPr>
      </w:pPr>
      <w:r w:rsidRPr="000660E8">
        <w:rPr>
          <w:rStyle w:val="Refdenotaalpie"/>
          <w:rFonts w:ascii="Verdana" w:hAnsi="Verdana"/>
          <w:sz w:val="16"/>
          <w:szCs w:val="16"/>
        </w:rPr>
        <w:footnoteRef/>
      </w:r>
      <w:r w:rsidRPr="000660E8">
        <w:rPr>
          <w:rFonts w:ascii="Verdana" w:hAnsi="Verdana"/>
          <w:sz w:val="16"/>
          <w:szCs w:val="16"/>
        </w:rPr>
        <w:t xml:space="preserve"> Disponible en: </w:t>
      </w:r>
      <w:hyperlink r:id="rId2" w:history="1">
        <w:r w:rsidRPr="000660E8">
          <w:rPr>
            <w:rStyle w:val="Hipervnculo"/>
            <w:rFonts w:ascii="Verdana" w:hAnsi="Verdana"/>
            <w:sz w:val="16"/>
            <w:szCs w:val="16"/>
          </w:rPr>
          <w:t>https://www.colombiacompra.gov.co/base-conocimiento/gestion-contractual-envio-del-contrato-secop-ii</w:t>
        </w:r>
      </w:hyperlink>
      <w:r w:rsidRPr="000660E8">
        <w:rPr>
          <w:rFonts w:ascii="Verdana" w:hAnsi="Verdana"/>
          <w:sz w:val="16"/>
          <w:szCs w:val="16"/>
        </w:rPr>
        <w:t xml:space="preserve"> </w:t>
      </w:r>
    </w:p>
  </w:footnote>
  <w:footnote w:id="3">
    <w:p w14:paraId="3B00A895" w14:textId="77777777" w:rsidR="004876D0" w:rsidRPr="000660E8" w:rsidRDefault="004876D0" w:rsidP="004876D0">
      <w:pPr>
        <w:pStyle w:val="Textonotapie"/>
        <w:ind w:firstLine="709"/>
        <w:jc w:val="both"/>
        <w:rPr>
          <w:rFonts w:ascii="Verdana" w:hAnsi="Verdana" w:cs="Arial"/>
          <w:sz w:val="16"/>
          <w:szCs w:val="16"/>
        </w:rPr>
      </w:pPr>
      <w:r w:rsidRPr="000660E8">
        <w:rPr>
          <w:rStyle w:val="Refdenotaalpie"/>
          <w:rFonts w:ascii="Verdana" w:hAnsi="Verdana" w:cs="Arial"/>
          <w:sz w:val="16"/>
          <w:szCs w:val="16"/>
        </w:rPr>
        <w:footnoteRef/>
      </w:r>
      <w:r w:rsidRPr="000660E8">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3502C87" w14:textId="77777777" w:rsidR="004876D0" w:rsidRPr="000660E8" w:rsidRDefault="004876D0" w:rsidP="004876D0">
      <w:pPr>
        <w:pStyle w:val="Textonotapie"/>
        <w:ind w:firstLine="709"/>
        <w:jc w:val="both"/>
        <w:rPr>
          <w:rFonts w:ascii="Verdana" w:hAnsi="Verdana" w:cs="Arial"/>
          <w:sz w:val="16"/>
          <w:szCs w:val="16"/>
        </w:rPr>
      </w:pPr>
      <w:r w:rsidRPr="000660E8">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14:paraId="55C90D0F" w14:textId="77777777" w:rsidR="004876D0" w:rsidRPr="000660E8" w:rsidRDefault="004876D0" w:rsidP="004876D0">
      <w:pPr>
        <w:pStyle w:val="Textonotapie"/>
        <w:ind w:firstLine="709"/>
        <w:jc w:val="both"/>
        <w:rPr>
          <w:rFonts w:ascii="Verdana" w:hAnsi="Verdana" w:cs="Arial"/>
          <w:sz w:val="16"/>
          <w:szCs w:val="16"/>
        </w:rPr>
      </w:pPr>
      <w:r w:rsidRPr="000660E8">
        <w:rPr>
          <w:rStyle w:val="Refdenotaalpie"/>
          <w:rFonts w:ascii="Verdana" w:hAnsi="Verdana" w:cs="Arial"/>
          <w:sz w:val="16"/>
          <w:szCs w:val="16"/>
        </w:rPr>
        <w:footnoteRef/>
      </w:r>
      <w:r w:rsidRPr="000660E8">
        <w:rPr>
          <w:rFonts w:ascii="Verdana" w:hAnsi="Verdana" w:cs="Arial"/>
          <w:sz w:val="16"/>
          <w:szCs w:val="16"/>
        </w:rPr>
        <w:t xml:space="preserve"> Gaceta del Congreso de la República No. 71 del 2005.</w:t>
      </w:r>
    </w:p>
  </w:footnote>
  <w:footnote w:id="5">
    <w:p w14:paraId="1D06E65F" w14:textId="77777777" w:rsidR="004876D0" w:rsidRPr="000660E8" w:rsidRDefault="004876D0" w:rsidP="004876D0">
      <w:pPr>
        <w:pStyle w:val="Textonotapie"/>
        <w:ind w:firstLine="709"/>
        <w:jc w:val="both"/>
        <w:rPr>
          <w:rFonts w:ascii="Verdana" w:hAnsi="Verdana" w:cs="Arial"/>
          <w:sz w:val="16"/>
          <w:szCs w:val="16"/>
          <w:lang w:val="pt-BR"/>
        </w:rPr>
      </w:pPr>
      <w:r w:rsidRPr="000660E8">
        <w:rPr>
          <w:rStyle w:val="Refdenotaalpie"/>
          <w:rFonts w:ascii="Verdana" w:hAnsi="Verdana" w:cs="Arial"/>
          <w:sz w:val="16"/>
          <w:szCs w:val="16"/>
        </w:rPr>
        <w:footnoteRef/>
      </w:r>
      <w:r w:rsidRPr="000660E8">
        <w:rPr>
          <w:rFonts w:ascii="Verdana" w:hAnsi="Verdana" w:cs="Arial"/>
          <w:sz w:val="16"/>
          <w:szCs w:val="16"/>
          <w:lang w:val="pt-BR"/>
        </w:rPr>
        <w:t xml:space="preserve"> Corte Constitucional, Sentencia C- 1153 de 2005, M.P. Marco Gerardo Monroy Cabra.</w:t>
      </w:r>
    </w:p>
  </w:footnote>
  <w:footnote w:id="6">
    <w:p w14:paraId="2CC08FE6" w14:textId="77777777" w:rsidR="004876D0" w:rsidRPr="000660E8" w:rsidRDefault="004876D0" w:rsidP="004876D0">
      <w:pPr>
        <w:pStyle w:val="Textonotapie"/>
        <w:ind w:firstLine="709"/>
        <w:jc w:val="both"/>
        <w:rPr>
          <w:rFonts w:ascii="Verdana" w:hAnsi="Verdana" w:cs="Arial"/>
          <w:sz w:val="16"/>
          <w:szCs w:val="16"/>
          <w:lang w:val="pt-BR"/>
        </w:rPr>
      </w:pPr>
      <w:r w:rsidRPr="000660E8">
        <w:rPr>
          <w:rStyle w:val="Refdenotaalpie"/>
          <w:rFonts w:ascii="Verdana" w:hAnsi="Verdana" w:cs="Arial"/>
          <w:sz w:val="16"/>
          <w:szCs w:val="16"/>
        </w:rPr>
        <w:footnoteRef/>
      </w:r>
      <w:r w:rsidRPr="000660E8">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725D25AC" w14:textId="77777777" w:rsidR="004876D0" w:rsidRPr="000660E8" w:rsidRDefault="004876D0" w:rsidP="004876D0">
      <w:pPr>
        <w:pStyle w:val="Textonotapie"/>
        <w:ind w:firstLine="709"/>
        <w:jc w:val="both"/>
        <w:rPr>
          <w:rFonts w:ascii="Verdana" w:hAnsi="Verdana" w:cs="Arial"/>
          <w:sz w:val="16"/>
          <w:szCs w:val="16"/>
          <w:lang w:val="es-CO"/>
        </w:rPr>
      </w:pPr>
      <w:r w:rsidRPr="000660E8">
        <w:rPr>
          <w:rStyle w:val="Refdenotaalpie"/>
          <w:rFonts w:ascii="Verdana" w:hAnsi="Verdana" w:cs="Arial"/>
          <w:sz w:val="16"/>
          <w:szCs w:val="16"/>
        </w:rPr>
        <w:footnoteRef/>
      </w:r>
      <w:r w:rsidRPr="000660E8">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7A7B1D62" w14:textId="77777777" w:rsidR="004876D0" w:rsidRPr="000660E8" w:rsidRDefault="004876D0" w:rsidP="004876D0">
      <w:pPr>
        <w:pStyle w:val="Textonotapie"/>
        <w:ind w:firstLine="709"/>
        <w:jc w:val="both"/>
        <w:rPr>
          <w:rFonts w:ascii="Verdana" w:hAnsi="Verdana" w:cs="Arial"/>
          <w:sz w:val="16"/>
          <w:szCs w:val="16"/>
        </w:rPr>
      </w:pPr>
      <w:r w:rsidRPr="000660E8">
        <w:rPr>
          <w:rStyle w:val="Refdenotaalpie"/>
          <w:rFonts w:ascii="Verdana" w:hAnsi="Verdana" w:cs="Arial"/>
          <w:sz w:val="16"/>
          <w:szCs w:val="16"/>
        </w:rPr>
        <w:footnoteRef/>
      </w:r>
      <w:r w:rsidRPr="000660E8">
        <w:rPr>
          <w:rFonts w:ascii="Verdana" w:hAnsi="Verdana" w:cs="Arial"/>
          <w:sz w:val="16"/>
          <w:szCs w:val="16"/>
        </w:rPr>
        <w:t xml:space="preserve"> Consejo de Estado, Sala de Consulta y Servicio Civil de fecha 24 de julio de 2013, radicado 2166, C. P. Álvaro Namén Vargas.  </w:t>
      </w:r>
    </w:p>
  </w:footnote>
  <w:footnote w:id="9">
    <w:p w14:paraId="60233A00" w14:textId="77777777" w:rsidR="004876D0" w:rsidRPr="000660E8" w:rsidRDefault="004876D0" w:rsidP="004876D0">
      <w:pPr>
        <w:spacing w:after="0" w:line="240" w:lineRule="auto"/>
        <w:ind w:firstLine="709"/>
        <w:jc w:val="both"/>
        <w:rPr>
          <w:rFonts w:ascii="Verdana" w:eastAsia="Times New Roman" w:hAnsi="Verdana" w:cs="Arial"/>
          <w:sz w:val="16"/>
          <w:szCs w:val="16"/>
        </w:rPr>
      </w:pPr>
      <w:r w:rsidRPr="000660E8">
        <w:rPr>
          <w:rStyle w:val="Refdenotaalpie"/>
          <w:rFonts w:ascii="Verdana" w:hAnsi="Verdana" w:cs="Arial"/>
          <w:sz w:val="16"/>
          <w:szCs w:val="16"/>
        </w:rPr>
        <w:footnoteRef/>
      </w:r>
      <w:r w:rsidRPr="000660E8">
        <w:rPr>
          <w:rFonts w:ascii="Verdana" w:hAnsi="Verdana" w:cs="Arial"/>
          <w:sz w:val="16"/>
          <w:szCs w:val="16"/>
        </w:rPr>
        <w:t xml:space="preserve"> </w:t>
      </w:r>
      <w:r w:rsidRPr="000660E8">
        <w:rPr>
          <w:rFonts w:ascii="Verdana" w:eastAsia="Calibri" w:hAnsi="Verdana" w:cs="Arial"/>
          <w:color w:val="000000"/>
          <w:sz w:val="16"/>
          <w:szCs w:val="16"/>
        </w:rPr>
        <w:t>“</w:t>
      </w:r>
      <w:bookmarkStart w:id="5" w:name="33"/>
      <w:r w:rsidRPr="000660E8">
        <w:rPr>
          <w:rFonts w:ascii="Verdana" w:eastAsia="Times New Roman" w:hAnsi="Verdana" w:cs="Arial"/>
          <w:sz w:val="16"/>
          <w:szCs w:val="16"/>
        </w:rPr>
        <w:t>Artículo 33. Restricciones a la contratación pública.</w:t>
      </w:r>
      <w:bookmarkEnd w:id="5"/>
      <w:r w:rsidRPr="000660E8">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42750683" w14:textId="77777777" w:rsidR="004876D0" w:rsidRPr="000660E8" w:rsidRDefault="004876D0" w:rsidP="004876D0">
      <w:pPr>
        <w:spacing w:after="0" w:line="240" w:lineRule="auto"/>
        <w:ind w:firstLine="709"/>
        <w:jc w:val="both"/>
        <w:rPr>
          <w:rFonts w:ascii="Verdana" w:eastAsia="Times New Roman" w:hAnsi="Verdana" w:cs="Arial"/>
          <w:sz w:val="16"/>
          <w:szCs w:val="16"/>
        </w:rPr>
      </w:pPr>
      <w:r w:rsidRPr="000660E8">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0660E8">
        <w:rPr>
          <w:rFonts w:ascii="Verdana" w:eastAsia="Calibri" w:hAnsi="Verdana" w:cs="Arial"/>
          <w:color w:val="000000"/>
          <w:sz w:val="16"/>
          <w:szCs w:val="16"/>
        </w:rPr>
        <w:t>”</w:t>
      </w:r>
      <w:r w:rsidRPr="000660E8">
        <w:rPr>
          <w:rFonts w:ascii="Verdana" w:eastAsia="Times New Roman" w:hAnsi="Verdana" w:cs="Arial"/>
          <w:sz w:val="16"/>
          <w:szCs w:val="16"/>
        </w:rPr>
        <w:t>.</w:t>
      </w:r>
    </w:p>
  </w:footnote>
  <w:footnote w:id="10">
    <w:p w14:paraId="1E87BABD" w14:textId="77777777" w:rsidR="004876D0" w:rsidRPr="000660E8" w:rsidRDefault="004876D0" w:rsidP="004876D0">
      <w:pPr>
        <w:pStyle w:val="NormalWeb"/>
        <w:spacing w:before="0" w:beforeAutospacing="0" w:after="0" w:afterAutospacing="0"/>
        <w:ind w:firstLine="709"/>
        <w:jc w:val="both"/>
        <w:rPr>
          <w:rFonts w:ascii="Verdana" w:hAnsi="Verdana" w:cs="Arial"/>
          <w:sz w:val="16"/>
          <w:szCs w:val="16"/>
          <w:lang w:val="es-MX"/>
        </w:rPr>
      </w:pPr>
      <w:r w:rsidRPr="000660E8">
        <w:rPr>
          <w:rStyle w:val="Refdenotaalpie"/>
          <w:rFonts w:ascii="Verdana" w:hAnsi="Verdana" w:cs="Arial"/>
          <w:sz w:val="16"/>
          <w:szCs w:val="16"/>
        </w:rPr>
        <w:footnoteRef/>
      </w:r>
      <w:r w:rsidRPr="000660E8">
        <w:rPr>
          <w:rFonts w:ascii="Verdana" w:hAnsi="Verdana" w:cs="Arial"/>
          <w:sz w:val="16"/>
          <w:szCs w:val="16"/>
        </w:rPr>
        <w:t xml:space="preserve"> </w:t>
      </w:r>
      <w:r w:rsidRPr="000660E8">
        <w:rPr>
          <w:rFonts w:ascii="Verdana" w:eastAsia="Calibri" w:hAnsi="Verdana" w:cs="Arial"/>
          <w:color w:val="000000"/>
          <w:sz w:val="16"/>
          <w:szCs w:val="16"/>
        </w:rPr>
        <w:t>“</w:t>
      </w:r>
      <w:bookmarkStart w:id="6" w:name="38"/>
      <w:r w:rsidRPr="000660E8">
        <w:rPr>
          <w:rFonts w:ascii="Verdana" w:hAnsi="Verdana" w:cs="Arial"/>
          <w:sz w:val="16"/>
          <w:szCs w:val="16"/>
          <w:lang w:val="es-MX"/>
        </w:rPr>
        <w:t>Artículo 38. Prohibiciones para los servidores públicos. A los empleados del Estado les está prohibido:</w:t>
      </w:r>
      <w:bookmarkEnd w:id="6"/>
      <w:r w:rsidRPr="000660E8">
        <w:rPr>
          <w:rFonts w:ascii="Verdana" w:hAnsi="Verdana" w:cs="Arial"/>
          <w:sz w:val="16"/>
          <w:szCs w:val="16"/>
          <w:lang w:val="es-MX"/>
        </w:rPr>
        <w:t xml:space="preserve"> […]</w:t>
      </w:r>
    </w:p>
    <w:p w14:paraId="5813B4C2" w14:textId="77777777" w:rsidR="004876D0" w:rsidRPr="000660E8" w:rsidRDefault="004876D0" w:rsidP="004876D0">
      <w:pPr>
        <w:pStyle w:val="NormalWeb"/>
        <w:spacing w:before="0" w:beforeAutospacing="0" w:after="0" w:afterAutospacing="0"/>
        <w:ind w:firstLine="709"/>
        <w:jc w:val="both"/>
        <w:rPr>
          <w:rFonts w:ascii="Verdana" w:hAnsi="Verdana" w:cs="Arial"/>
          <w:sz w:val="16"/>
          <w:szCs w:val="16"/>
          <w:lang w:val="es-MX"/>
        </w:rPr>
      </w:pPr>
      <w:r w:rsidRPr="000660E8">
        <w:rPr>
          <w:rStyle w:val="baj"/>
          <w:rFonts w:ascii="Verdana" w:hAnsi="Verdana" w:cs="Arial"/>
          <w:sz w:val="16"/>
          <w:szCs w:val="16"/>
          <w:lang w:val="es-MX"/>
        </w:rPr>
        <w:t>Parágrafo.</w:t>
      </w:r>
      <w:r w:rsidRPr="000660E8">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0660E8">
        <w:rPr>
          <w:rFonts w:ascii="Verdana" w:eastAsia="Calibri" w:hAnsi="Verdana" w:cs="Arial"/>
          <w:color w:val="000000"/>
          <w:sz w:val="16"/>
          <w:szCs w:val="16"/>
        </w:rPr>
        <w:t>”</w:t>
      </w:r>
      <w:r w:rsidRPr="000660E8">
        <w:rPr>
          <w:rFonts w:ascii="Verdana" w:hAnsi="Verdana" w:cs="Arial"/>
          <w:sz w:val="16"/>
          <w:szCs w:val="16"/>
          <w:lang w:val="es-MX"/>
        </w:rPr>
        <w:t>.</w:t>
      </w:r>
    </w:p>
  </w:footnote>
  <w:footnote w:id="11">
    <w:p w14:paraId="070A56FD" w14:textId="77777777" w:rsidR="004876D0" w:rsidRPr="000660E8" w:rsidRDefault="004876D0" w:rsidP="004876D0">
      <w:pPr>
        <w:spacing w:after="0" w:line="240" w:lineRule="auto"/>
        <w:ind w:left="100" w:right="244" w:firstLine="608"/>
        <w:jc w:val="both"/>
        <w:rPr>
          <w:rFonts w:ascii="Verdana" w:hAnsi="Verdana" w:cs="Arial"/>
          <w:sz w:val="16"/>
          <w:szCs w:val="16"/>
          <w:lang w:val="es-ES"/>
        </w:rPr>
      </w:pPr>
      <w:r w:rsidRPr="000660E8">
        <w:rPr>
          <w:rStyle w:val="Refdenotaalpie"/>
          <w:rFonts w:ascii="Verdana" w:hAnsi="Verdana" w:cs="Arial"/>
          <w:sz w:val="16"/>
          <w:szCs w:val="16"/>
        </w:rPr>
        <w:footnoteRef/>
      </w:r>
      <w:r w:rsidRPr="000660E8">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2">
    <w:p w14:paraId="32B7D997" w14:textId="77777777" w:rsidR="004876D0" w:rsidRPr="000660E8" w:rsidRDefault="004876D0" w:rsidP="004876D0">
      <w:pPr>
        <w:pStyle w:val="Textonotapie"/>
        <w:ind w:firstLine="708"/>
        <w:jc w:val="both"/>
        <w:rPr>
          <w:rFonts w:ascii="Verdana" w:hAnsi="Verdana" w:cs="Arial"/>
          <w:sz w:val="16"/>
          <w:szCs w:val="16"/>
        </w:rPr>
      </w:pPr>
      <w:r w:rsidRPr="000660E8">
        <w:rPr>
          <w:rStyle w:val="Refdenotaalpie"/>
          <w:rFonts w:ascii="Verdana" w:hAnsi="Verdana" w:cs="Arial"/>
          <w:sz w:val="16"/>
          <w:szCs w:val="16"/>
        </w:rPr>
        <w:footnoteRef/>
      </w:r>
      <w:r w:rsidRPr="000660E8">
        <w:rPr>
          <w:rFonts w:ascii="Verdana" w:hAnsi="Verdana" w:cs="Arial"/>
          <w:sz w:val="16"/>
          <w:szCs w:val="16"/>
        </w:rPr>
        <w:t xml:space="preserve"> Colombia Compra Eficiente. Circular Externa Única. Numeral 16.5. </w:t>
      </w:r>
    </w:p>
  </w:footnote>
  <w:footnote w:id="13">
    <w:p w14:paraId="522339BD" w14:textId="77777777" w:rsidR="004876D0" w:rsidRPr="000660E8" w:rsidRDefault="004876D0" w:rsidP="004876D0">
      <w:pPr>
        <w:pStyle w:val="Textonotapie"/>
        <w:ind w:right="51" w:firstLine="709"/>
        <w:jc w:val="both"/>
        <w:rPr>
          <w:rFonts w:ascii="Verdana" w:hAnsi="Verdana" w:cs="Arial"/>
          <w:sz w:val="16"/>
          <w:szCs w:val="16"/>
        </w:rPr>
      </w:pPr>
      <w:r w:rsidRPr="000660E8">
        <w:rPr>
          <w:rStyle w:val="Refdenotaalpie"/>
          <w:rFonts w:ascii="Verdana" w:hAnsi="Verdana" w:cs="Arial"/>
          <w:sz w:val="16"/>
          <w:szCs w:val="16"/>
        </w:rPr>
        <w:footnoteRef/>
      </w:r>
      <w:r w:rsidRPr="000660E8">
        <w:rPr>
          <w:rFonts w:ascii="Verdana" w:hAnsi="Verdana" w:cs="Arial"/>
          <w:sz w:val="16"/>
          <w:szCs w:val="16"/>
        </w:rPr>
        <w:t xml:space="preserve"> “</w:t>
      </w:r>
      <w:r w:rsidRPr="000660E8">
        <w:rPr>
          <w:rFonts w:ascii="Verdana" w:hAnsi="Verdana" w:cs="Arial"/>
          <w:sz w:val="16"/>
          <w:szCs w:val="16"/>
          <w:lang w:val="es-ES"/>
        </w:rPr>
        <w:t xml:space="preserve">[25] </w:t>
      </w:r>
      <w:r w:rsidRPr="000660E8">
        <w:rPr>
          <w:rFonts w:ascii="Verdana" w:hAnsi="Verdana" w:cs="Arial"/>
          <w:sz w:val="16"/>
          <w:szCs w:val="16"/>
        </w:rPr>
        <w:t>Cfr. Consejo de Estado. Sección Tercera. Sentencia de 3 de diciembre de 2007. Radicados: 24.715, 25.206, 25.409, 24.524, 27.834, 25.410, 26.105, 28.244, 31.447 -acumulados-“.</w:t>
      </w:r>
    </w:p>
  </w:footnote>
  <w:footnote w:id="14">
    <w:p w14:paraId="2C6AF73B" w14:textId="77777777" w:rsidR="004876D0" w:rsidRPr="000660E8" w:rsidRDefault="004876D0" w:rsidP="004876D0">
      <w:pPr>
        <w:pStyle w:val="Textonotapie"/>
        <w:ind w:right="51" w:firstLine="709"/>
        <w:jc w:val="both"/>
        <w:rPr>
          <w:rFonts w:ascii="Verdana" w:hAnsi="Verdana" w:cs="Arial"/>
          <w:sz w:val="16"/>
          <w:szCs w:val="16"/>
        </w:rPr>
      </w:pPr>
      <w:r w:rsidRPr="000660E8">
        <w:rPr>
          <w:rStyle w:val="Refdenotaalpie"/>
          <w:rFonts w:ascii="Verdana" w:hAnsi="Verdana" w:cs="Arial"/>
          <w:sz w:val="16"/>
          <w:szCs w:val="16"/>
        </w:rPr>
        <w:footnoteRef/>
      </w:r>
      <w:r w:rsidRPr="000660E8">
        <w:rPr>
          <w:rFonts w:ascii="Verdana" w:hAnsi="Verdana" w:cs="Arial"/>
          <w:sz w:val="16"/>
          <w:szCs w:val="16"/>
        </w:rPr>
        <w:t xml:space="preserve"> “</w:t>
      </w:r>
      <w:r w:rsidRPr="000660E8">
        <w:rPr>
          <w:rFonts w:ascii="Verdana" w:hAnsi="Verdana" w:cs="Arial"/>
          <w:sz w:val="16"/>
          <w:szCs w:val="16"/>
          <w:lang w:val="es-ES"/>
        </w:rPr>
        <w:t xml:space="preserve">[26] </w:t>
      </w:r>
      <w:r w:rsidRPr="000660E8">
        <w:rPr>
          <w:rFonts w:ascii="Verdana" w:hAnsi="Verdana" w:cs="Arial"/>
          <w:sz w:val="16"/>
          <w:szCs w:val="16"/>
        </w:rPr>
        <w:t>Al respecto ver el concepto 1712 de 2 de febrero de 2006. Consejo de Estado Sala de Consulta y Servicio Civil”.</w:t>
      </w:r>
    </w:p>
  </w:footnote>
  <w:footnote w:id="15">
    <w:p w14:paraId="1E9B57AB" w14:textId="77777777" w:rsidR="004876D0" w:rsidRPr="000660E8" w:rsidRDefault="004876D0" w:rsidP="004876D0">
      <w:pPr>
        <w:pStyle w:val="Textonotapie"/>
        <w:ind w:firstLine="709"/>
        <w:jc w:val="both"/>
        <w:rPr>
          <w:rFonts w:ascii="Verdana" w:hAnsi="Verdana" w:cs="Arial"/>
          <w:sz w:val="16"/>
          <w:szCs w:val="16"/>
        </w:rPr>
      </w:pPr>
      <w:r w:rsidRPr="000660E8">
        <w:rPr>
          <w:rStyle w:val="Refdenotaalpie"/>
          <w:rFonts w:ascii="Verdana" w:hAnsi="Verdana" w:cs="Arial"/>
          <w:sz w:val="16"/>
          <w:szCs w:val="16"/>
        </w:rPr>
        <w:footnoteRef/>
      </w:r>
      <w:r w:rsidRPr="000660E8">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6">
    <w:p w14:paraId="487F0EAA" w14:textId="77777777" w:rsidR="004876D0" w:rsidRPr="000660E8" w:rsidRDefault="004876D0" w:rsidP="004876D0">
      <w:pPr>
        <w:pStyle w:val="Textonotapie"/>
        <w:ind w:firstLine="709"/>
        <w:jc w:val="both"/>
        <w:rPr>
          <w:rFonts w:ascii="Verdana" w:hAnsi="Verdana" w:cs="Arial"/>
          <w:sz w:val="16"/>
          <w:szCs w:val="16"/>
          <w:lang w:val="es-ES"/>
        </w:rPr>
      </w:pPr>
      <w:r w:rsidRPr="000660E8">
        <w:rPr>
          <w:rStyle w:val="Refdenotaalpie"/>
          <w:rFonts w:ascii="Verdana" w:hAnsi="Verdana" w:cs="Arial"/>
          <w:sz w:val="16"/>
          <w:szCs w:val="16"/>
        </w:rPr>
        <w:footnoteRef/>
      </w:r>
      <w:r w:rsidRPr="000660E8">
        <w:rPr>
          <w:rFonts w:ascii="Verdana" w:hAnsi="Verdana" w:cs="Arial"/>
          <w:sz w:val="16"/>
          <w:szCs w:val="16"/>
        </w:rPr>
        <w:t xml:space="preserve"> </w:t>
      </w:r>
      <w:r w:rsidRPr="000660E8">
        <w:rPr>
          <w:rFonts w:ascii="Verdana" w:hAnsi="Verdana" w:cs="Arial"/>
          <w:sz w:val="16"/>
          <w:szCs w:val="16"/>
          <w:lang w:val="es-ES"/>
        </w:rPr>
        <w:t xml:space="preserve">Artículo 2. </w:t>
      </w:r>
    </w:p>
  </w:footnote>
  <w:footnote w:id="17">
    <w:p w14:paraId="4D627DE7" w14:textId="77777777" w:rsidR="004876D0" w:rsidRPr="000660E8" w:rsidRDefault="004876D0" w:rsidP="004876D0">
      <w:pPr>
        <w:pStyle w:val="Textonotapie"/>
        <w:ind w:firstLine="709"/>
        <w:jc w:val="both"/>
        <w:rPr>
          <w:rFonts w:ascii="Verdana" w:hAnsi="Verdana" w:cs="Arial"/>
          <w:sz w:val="16"/>
          <w:szCs w:val="16"/>
          <w:lang w:val="es-ES"/>
        </w:rPr>
      </w:pPr>
      <w:r w:rsidRPr="000660E8">
        <w:rPr>
          <w:rStyle w:val="Refdenotaalpie"/>
          <w:rFonts w:ascii="Verdana" w:hAnsi="Verdana" w:cs="Arial"/>
          <w:sz w:val="16"/>
          <w:szCs w:val="16"/>
        </w:rPr>
        <w:footnoteRef/>
      </w:r>
      <w:r w:rsidRPr="000660E8">
        <w:rPr>
          <w:rFonts w:ascii="Verdana" w:hAnsi="Verdana" w:cs="Arial"/>
          <w:sz w:val="16"/>
          <w:szCs w:val="16"/>
        </w:rPr>
        <w:t xml:space="preserve"> </w:t>
      </w:r>
      <w:r w:rsidRPr="000660E8">
        <w:rPr>
          <w:rFonts w:ascii="Verdana" w:hAnsi="Verdana" w:cs="Arial"/>
          <w:i/>
          <w:sz w:val="16"/>
          <w:szCs w:val="16"/>
          <w:lang w:val="es-ES"/>
        </w:rPr>
        <w:t>Ídem</w:t>
      </w:r>
      <w:r w:rsidRPr="000660E8">
        <w:rPr>
          <w:rFonts w:ascii="Verdana" w:hAnsi="Verdana" w:cs="Arial"/>
          <w:sz w:val="16"/>
          <w:szCs w:val="16"/>
          <w:lang w:val="es-ES"/>
        </w:rPr>
        <w:t>.</w:t>
      </w:r>
    </w:p>
  </w:footnote>
  <w:footnote w:id="18">
    <w:p w14:paraId="5684E135" w14:textId="77777777" w:rsidR="004876D0" w:rsidRPr="000660E8" w:rsidRDefault="004876D0" w:rsidP="004876D0">
      <w:pPr>
        <w:pStyle w:val="Textonotapie"/>
        <w:ind w:firstLine="709"/>
        <w:jc w:val="both"/>
        <w:rPr>
          <w:rFonts w:ascii="Verdana" w:hAnsi="Verdana" w:cs="Arial"/>
          <w:sz w:val="16"/>
          <w:szCs w:val="16"/>
          <w:lang w:val="es-ES"/>
        </w:rPr>
      </w:pPr>
      <w:r w:rsidRPr="000660E8">
        <w:rPr>
          <w:rStyle w:val="Refdenotaalpie"/>
          <w:rFonts w:ascii="Verdana" w:hAnsi="Verdana" w:cs="Arial"/>
          <w:sz w:val="16"/>
          <w:szCs w:val="16"/>
        </w:rPr>
        <w:footnoteRef/>
      </w:r>
      <w:r w:rsidRPr="000660E8">
        <w:rPr>
          <w:rStyle w:val="Refdenotaalpie"/>
          <w:rFonts w:ascii="Verdana" w:hAnsi="Verdana" w:cs="Arial"/>
          <w:sz w:val="16"/>
          <w:szCs w:val="16"/>
        </w:rPr>
        <w:t xml:space="preserve"> </w:t>
      </w:r>
      <w:r w:rsidRPr="000660E8">
        <w:rPr>
          <w:rFonts w:ascii="Verdana" w:hAnsi="Verdana" w:cs="Arial"/>
          <w:sz w:val="16"/>
          <w:szCs w:val="16"/>
          <w:lang w:val="es-ES"/>
        </w:rPr>
        <w:t xml:space="preserve">“[…] A este respecto, cabe recordar que el artículo 860 del Código de Comercio regula la licitación en el derecho privado”. </w:t>
      </w:r>
    </w:p>
  </w:footnote>
  <w:footnote w:id="19">
    <w:p w14:paraId="42C0835F" w14:textId="77777777" w:rsidR="004876D0" w:rsidRPr="000660E8" w:rsidRDefault="004876D0" w:rsidP="004876D0">
      <w:pPr>
        <w:shd w:val="clear" w:color="auto" w:fill="FFFFFF"/>
        <w:spacing w:after="0" w:line="240" w:lineRule="auto"/>
        <w:ind w:firstLine="709"/>
        <w:jc w:val="both"/>
        <w:rPr>
          <w:rFonts w:ascii="Verdana" w:hAnsi="Verdana" w:cs="Arial"/>
          <w:sz w:val="16"/>
          <w:szCs w:val="16"/>
          <w:lang w:val="es-ES"/>
        </w:rPr>
      </w:pPr>
      <w:r w:rsidRPr="000660E8">
        <w:rPr>
          <w:rStyle w:val="Refdenotaalpie"/>
          <w:rFonts w:ascii="Verdana" w:hAnsi="Verdana" w:cs="Arial"/>
          <w:sz w:val="16"/>
          <w:szCs w:val="16"/>
        </w:rPr>
        <w:footnoteRef/>
      </w:r>
      <w:r w:rsidRPr="000660E8">
        <w:rPr>
          <w:rStyle w:val="Refdenotaalpie"/>
          <w:rFonts w:ascii="Verdana" w:hAnsi="Verdana" w:cs="Arial"/>
          <w:sz w:val="16"/>
          <w:szCs w:val="16"/>
        </w:rPr>
        <w:t xml:space="preserve"> </w:t>
      </w:r>
      <w:r w:rsidRPr="000660E8">
        <w:rPr>
          <w:rFonts w:ascii="Verdana" w:hAnsi="Verdana" w:cs="Arial"/>
          <w:sz w:val="16"/>
          <w:szCs w:val="16"/>
          <w:lang w:val="es-ES"/>
        </w:rPr>
        <w:t>Consejo de Estado. Sala de Consulta y Servicio Civil, Concepto de 8 de mayo de 2018. Radicación Número: 11001-03-06-000-2018-00095-00(2382). C.P. Álvaro Namén Vargas.</w:t>
      </w:r>
    </w:p>
  </w:footnote>
  <w:footnote w:id="20">
    <w:p w14:paraId="6E7CBA89" w14:textId="77777777" w:rsidR="004876D0" w:rsidRPr="000660E8" w:rsidRDefault="004876D0" w:rsidP="004876D0">
      <w:pPr>
        <w:pStyle w:val="Textonotapie"/>
        <w:ind w:firstLine="709"/>
        <w:jc w:val="both"/>
        <w:rPr>
          <w:rFonts w:ascii="Verdana" w:hAnsi="Verdana" w:cs="Arial"/>
          <w:sz w:val="16"/>
          <w:szCs w:val="16"/>
        </w:rPr>
      </w:pPr>
      <w:r w:rsidRPr="000660E8">
        <w:rPr>
          <w:rStyle w:val="Refdenotaalpie"/>
          <w:rFonts w:ascii="Verdana" w:hAnsi="Verdana" w:cs="Arial"/>
          <w:sz w:val="16"/>
          <w:szCs w:val="16"/>
        </w:rPr>
        <w:footnoteRef/>
      </w:r>
      <w:r w:rsidRPr="000660E8">
        <w:rPr>
          <w:rFonts w:ascii="Verdana" w:hAnsi="Verdana" w:cs="Arial"/>
          <w:sz w:val="16"/>
          <w:szCs w:val="16"/>
        </w:rPr>
        <w:t xml:space="preserve"> Consejo de Estado. Sala de Consulta y Servicio Civil. Concepto del 08 de mayo de 2018. Exp. 2.382. C.P. Álvaro Namén Vargas.</w:t>
      </w:r>
    </w:p>
  </w:footnote>
  <w:footnote w:id="21">
    <w:p w14:paraId="420D109B" w14:textId="77777777" w:rsidR="004876D0" w:rsidRPr="000660E8" w:rsidRDefault="004876D0" w:rsidP="004876D0">
      <w:pPr>
        <w:pStyle w:val="Textonotapie"/>
        <w:ind w:firstLine="709"/>
        <w:jc w:val="both"/>
        <w:rPr>
          <w:rFonts w:ascii="Verdana" w:hAnsi="Verdana" w:cs="Arial"/>
          <w:sz w:val="16"/>
          <w:szCs w:val="16"/>
        </w:rPr>
      </w:pPr>
      <w:r w:rsidRPr="000660E8">
        <w:rPr>
          <w:rStyle w:val="Refdenotaalpie"/>
          <w:rFonts w:ascii="Verdana" w:hAnsi="Verdana" w:cs="Arial"/>
          <w:sz w:val="16"/>
          <w:szCs w:val="16"/>
        </w:rPr>
        <w:footnoteRef/>
      </w:r>
      <w:r w:rsidRPr="000660E8">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0A42E773" w14:textId="77777777" w:rsidR="004876D0" w:rsidRPr="000660E8" w:rsidRDefault="004876D0" w:rsidP="004876D0">
      <w:pPr>
        <w:spacing w:after="0" w:line="240" w:lineRule="auto"/>
        <w:ind w:firstLine="709"/>
        <w:jc w:val="both"/>
        <w:rPr>
          <w:rFonts w:ascii="Verdana" w:hAnsi="Verdana" w:cs="Arial"/>
          <w:sz w:val="16"/>
          <w:szCs w:val="16"/>
        </w:rPr>
      </w:pPr>
      <w:r w:rsidRPr="000660E8">
        <w:rPr>
          <w:rStyle w:val="Refdenotaalpie"/>
          <w:rFonts w:ascii="Verdana" w:hAnsi="Verdana" w:cs="Arial"/>
          <w:sz w:val="16"/>
          <w:szCs w:val="16"/>
        </w:rPr>
        <w:footnoteRef/>
      </w:r>
      <w:r w:rsidRPr="000660E8">
        <w:rPr>
          <w:rFonts w:ascii="Verdana" w:hAnsi="Verdana" w:cs="Arial"/>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43B5D1C9" w14:textId="77777777" w:rsidR="004876D0" w:rsidRPr="000660E8" w:rsidRDefault="004876D0" w:rsidP="004876D0">
      <w:pPr>
        <w:pStyle w:val="Textonotapie"/>
        <w:ind w:right="51" w:firstLine="709"/>
        <w:jc w:val="both"/>
        <w:rPr>
          <w:rFonts w:ascii="Verdana" w:eastAsia="Times New Roman" w:hAnsi="Verdana" w:cs="Arial"/>
          <w:bCs/>
          <w:sz w:val="16"/>
          <w:szCs w:val="16"/>
          <w:lang w:eastAsia="x-none"/>
        </w:rPr>
      </w:pPr>
      <w:r w:rsidRPr="000660E8">
        <w:rPr>
          <w:rStyle w:val="Refdenotaalpie"/>
          <w:rFonts w:ascii="Verdana" w:hAnsi="Verdana" w:cs="Arial"/>
          <w:sz w:val="16"/>
          <w:szCs w:val="16"/>
        </w:rPr>
        <w:footnoteRef/>
      </w:r>
      <w:r w:rsidRPr="000660E8">
        <w:rPr>
          <w:rFonts w:ascii="Verdana" w:hAnsi="Verdana" w:cs="Arial"/>
          <w:sz w:val="16"/>
          <w:szCs w:val="16"/>
        </w:rPr>
        <w:t xml:space="preserve"> Consejo de Estado. Sala de Consulta y Servicio Civil. Concepto de 6 de abril de 2006. Radicación Número: 11001-03-06-000-2006-00038-00 (1738). C.P. Enrique José Arboleda Perdomo:</w:t>
      </w:r>
      <w:r w:rsidRPr="000660E8">
        <w:rPr>
          <w:rFonts w:ascii="Verdana" w:eastAsia="Times New Roman" w:hAnsi="Verdana" w:cs="Arial"/>
          <w:bCs/>
          <w:sz w:val="16"/>
          <w:szCs w:val="16"/>
          <w:lang w:eastAsia="x-none"/>
        </w:rPr>
        <w:t xml:space="preserve"> “</w:t>
      </w:r>
      <w:r w:rsidRPr="000660E8">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0660E8">
        <w:rPr>
          <w:rFonts w:ascii="Verdana" w:eastAsia="Times New Roman" w:hAnsi="Verdana" w:cs="Arial"/>
          <w:bCs/>
          <w:sz w:val="16"/>
          <w:szCs w:val="16"/>
          <w:lang w:eastAsia="x-none"/>
        </w:rPr>
        <w:t>”.</w:t>
      </w:r>
    </w:p>
  </w:footnote>
  <w:footnote w:id="24">
    <w:p w14:paraId="313DEFE6" w14:textId="77777777" w:rsidR="004876D0" w:rsidRPr="000660E8" w:rsidRDefault="004876D0" w:rsidP="004876D0">
      <w:pPr>
        <w:spacing w:after="0" w:line="240" w:lineRule="auto"/>
        <w:ind w:firstLine="708"/>
        <w:jc w:val="both"/>
        <w:rPr>
          <w:rFonts w:ascii="Verdana" w:hAnsi="Verdana" w:cs="Arial"/>
          <w:sz w:val="16"/>
          <w:szCs w:val="16"/>
        </w:rPr>
      </w:pPr>
      <w:r w:rsidRPr="000660E8">
        <w:rPr>
          <w:rStyle w:val="Refdenotaalpie"/>
          <w:rFonts w:ascii="Verdana" w:hAnsi="Verdana" w:cs="Arial"/>
          <w:sz w:val="16"/>
          <w:szCs w:val="16"/>
        </w:rPr>
        <w:footnoteRef/>
      </w:r>
      <w:r w:rsidRPr="000660E8">
        <w:rPr>
          <w:rFonts w:ascii="Verdana" w:hAnsi="Verdana" w:cs="Arial"/>
          <w:sz w:val="16"/>
          <w:szCs w:val="16"/>
        </w:rPr>
        <w:t xml:space="preserve"> Consejo de Estado. Sala de Consulta y Servicio Civil. Concepto de 6 de abril de 2006. Radicación Número: 11001-03-06-000-2006-00038-00(1738). Consejero Ponente: Enrique José Arboleda Perdomo. </w:t>
      </w:r>
    </w:p>
  </w:footnote>
  <w:footnote w:id="25">
    <w:p w14:paraId="30292944" w14:textId="77777777" w:rsidR="004876D0" w:rsidRPr="000660E8" w:rsidRDefault="004876D0" w:rsidP="004876D0">
      <w:pPr>
        <w:pStyle w:val="Textonotapie"/>
        <w:ind w:right="51" w:firstLine="709"/>
        <w:jc w:val="both"/>
        <w:rPr>
          <w:rFonts w:ascii="Verdana" w:hAnsi="Verdana" w:cs="Arial"/>
          <w:sz w:val="16"/>
          <w:szCs w:val="16"/>
        </w:rPr>
      </w:pPr>
      <w:r w:rsidRPr="000660E8">
        <w:rPr>
          <w:rStyle w:val="Refdenotaalpie"/>
          <w:rFonts w:ascii="Verdana" w:hAnsi="Verdana" w:cs="Arial"/>
          <w:sz w:val="16"/>
          <w:szCs w:val="16"/>
        </w:rPr>
        <w:footnoteRef/>
      </w:r>
      <w:r w:rsidRPr="000660E8">
        <w:rPr>
          <w:rFonts w:ascii="Verdana" w:hAnsi="Verdana" w:cs="Arial"/>
          <w:sz w:val="16"/>
          <w:szCs w:val="16"/>
        </w:rPr>
        <w:t xml:space="preserve"> Consejo de Estado. Sala de Consulta y Servicio Civil, ídem.</w:t>
      </w:r>
    </w:p>
  </w:footnote>
  <w:footnote w:id="26">
    <w:p w14:paraId="3620DFF5" w14:textId="77777777" w:rsidR="004876D0" w:rsidRPr="00C44CD0" w:rsidRDefault="004876D0" w:rsidP="004876D0">
      <w:pPr>
        <w:pStyle w:val="Textonotapie"/>
        <w:ind w:firstLine="709"/>
        <w:rPr>
          <w:rFonts w:ascii="Verdana" w:hAnsi="Verdana"/>
          <w:sz w:val="16"/>
          <w:szCs w:val="16"/>
          <w:lang w:val="es-CO"/>
        </w:rPr>
      </w:pPr>
      <w:r w:rsidRPr="00C44CD0">
        <w:rPr>
          <w:rStyle w:val="Refdenotaalpie"/>
          <w:rFonts w:ascii="Verdana" w:hAnsi="Verdana"/>
          <w:sz w:val="16"/>
          <w:szCs w:val="16"/>
        </w:rPr>
        <w:footnoteRef/>
      </w:r>
      <w:r w:rsidRPr="00C44CD0">
        <w:rPr>
          <w:rFonts w:ascii="Verdana" w:hAnsi="Verdana"/>
          <w:sz w:val="16"/>
          <w:szCs w:val="16"/>
        </w:rPr>
        <w:t xml:space="preserve"> </w:t>
      </w:r>
      <w:r w:rsidRPr="00C44CD0">
        <w:rPr>
          <w:rFonts w:ascii="Verdana" w:hAnsi="Verdana"/>
          <w:sz w:val="16"/>
          <w:szCs w:val="16"/>
          <w:lang w:val="es-CO"/>
        </w:rPr>
        <w:t xml:space="preserve">Disponible en: </w:t>
      </w:r>
      <w:hyperlink r:id="rId3" w:history="1">
        <w:r w:rsidRPr="00C44CD0">
          <w:rPr>
            <w:rStyle w:val="Hipervnculo"/>
            <w:rFonts w:ascii="Verdana" w:hAnsi="Verdana"/>
            <w:sz w:val="16"/>
            <w:szCs w:val="16"/>
            <w:lang w:val="es-CO"/>
          </w:rPr>
          <w:t>https://www.colombiacompra.gov.co/node/23710</w:t>
        </w:r>
      </w:hyperlink>
      <w:r w:rsidRPr="00C44CD0">
        <w:rPr>
          <w:rFonts w:ascii="Verdana" w:hAnsi="Verdana"/>
          <w:sz w:val="16"/>
          <w:szCs w:val="16"/>
          <w:lang w:val="es-CO"/>
        </w:rPr>
        <w:t xml:space="preserve"> </w:t>
      </w:r>
    </w:p>
  </w:footnote>
  <w:footnote w:id="27">
    <w:p w14:paraId="263C9412" w14:textId="77777777" w:rsidR="004876D0" w:rsidRPr="000660E8" w:rsidRDefault="004876D0" w:rsidP="004876D0">
      <w:pPr>
        <w:pStyle w:val="Textonotapie"/>
        <w:ind w:firstLine="709"/>
        <w:jc w:val="both"/>
        <w:rPr>
          <w:rFonts w:ascii="Verdana" w:hAnsi="Verdana"/>
          <w:sz w:val="16"/>
          <w:szCs w:val="16"/>
          <w:lang w:val="es-CO"/>
        </w:rPr>
      </w:pPr>
      <w:r w:rsidRPr="000660E8">
        <w:rPr>
          <w:rStyle w:val="Refdenotaalpie"/>
          <w:rFonts w:ascii="Verdana" w:hAnsi="Verdana"/>
          <w:sz w:val="16"/>
          <w:szCs w:val="16"/>
        </w:rPr>
        <w:footnoteRef/>
      </w:r>
      <w:r w:rsidRPr="000660E8">
        <w:rPr>
          <w:rFonts w:ascii="Verdana" w:hAnsi="Verdana"/>
          <w:sz w:val="16"/>
          <w:szCs w:val="16"/>
        </w:rPr>
        <w:t xml:space="preserve"> Disponible en: </w:t>
      </w:r>
      <w:hyperlink r:id="rId4" w:history="1">
        <w:r w:rsidRPr="000660E8">
          <w:rPr>
            <w:rStyle w:val="Hipervnculo"/>
            <w:rFonts w:ascii="Verdana" w:hAnsi="Verdana"/>
            <w:sz w:val="16"/>
            <w:szCs w:val="16"/>
          </w:rPr>
          <w:t>https://www.colombiacompra.gov.co/base-conocimiento/gestion-contractual-envio-del-contrato-secop-ii</w:t>
        </w:r>
      </w:hyperlink>
      <w:r w:rsidRPr="000660E8">
        <w:rPr>
          <w:rFonts w:ascii="Verdana" w:hAnsi="Verdana"/>
          <w:sz w:val="16"/>
          <w:szCs w:val="16"/>
        </w:rPr>
        <w:t xml:space="preserve"> </w:t>
      </w:r>
    </w:p>
  </w:footnote>
  <w:footnote w:id="28">
    <w:p w14:paraId="7D0936C0" w14:textId="77777777" w:rsidR="004876D0" w:rsidRPr="00C44CD0" w:rsidRDefault="004876D0" w:rsidP="004876D0">
      <w:pPr>
        <w:pStyle w:val="Textonotapie"/>
        <w:ind w:firstLine="709"/>
        <w:jc w:val="both"/>
        <w:rPr>
          <w:rFonts w:ascii="Verdana" w:hAnsi="Verdana"/>
          <w:sz w:val="16"/>
          <w:szCs w:val="16"/>
          <w:lang w:val="es-CO"/>
        </w:rPr>
      </w:pPr>
      <w:r w:rsidRPr="000660E8">
        <w:rPr>
          <w:rStyle w:val="Refdenotaalpie"/>
          <w:rFonts w:ascii="Verdana" w:hAnsi="Verdana"/>
          <w:sz w:val="16"/>
          <w:szCs w:val="16"/>
        </w:rPr>
        <w:footnoteRef/>
      </w:r>
      <w:r w:rsidRPr="000660E8">
        <w:rPr>
          <w:rFonts w:ascii="Verdana" w:hAnsi="Verdana"/>
          <w:sz w:val="16"/>
          <w:szCs w:val="16"/>
        </w:rPr>
        <w:t xml:space="preserve"> </w:t>
      </w:r>
      <w:r w:rsidRPr="000660E8">
        <w:rPr>
          <w:rFonts w:ascii="Verdana" w:hAnsi="Verdana"/>
          <w:sz w:val="16"/>
          <w:szCs w:val="16"/>
          <w:lang w:val="es-CO"/>
        </w:rPr>
        <w:t>Son secuencias para la aprobación de algunas tareas asignadas a los miembros del Equipo del Proceso de contratación, que por su relevancia requieren ser autorizadas por uno o varios usuarios de la Entidad Estatal (ej. publicación de pliegos definitivos, publicación del informe de evaluación, adendas, aprobación del contrato, etc.). El usuario administrador puede configurar plantillas tipo con secuencias de aprobación que use de manera frecuente (ej. primero aprueba el secretario general y luego el director general).</w:t>
      </w:r>
      <w:r w:rsidRPr="00C44CD0">
        <w:rPr>
          <w:rFonts w:ascii="Verdana" w:hAnsi="Verdana"/>
          <w:sz w:val="16"/>
          <w:szCs w:val="16"/>
        </w:rPr>
        <w:t xml:space="preserve"> </w:t>
      </w:r>
      <w:hyperlink r:id="rId5" w:history="1">
        <w:r w:rsidRPr="000660E8">
          <w:rPr>
            <w:rStyle w:val="Hipervnculo"/>
            <w:rFonts w:ascii="Verdana" w:hAnsi="Verdana"/>
            <w:sz w:val="16"/>
            <w:szCs w:val="16"/>
            <w:lang w:val="es-CO"/>
          </w:rPr>
          <w:t>https://www.colombiacompra.gov.co/base-conocimiento/configuracion-de-cuentas-secop-ii</w:t>
        </w:r>
      </w:hyperlink>
      <w:r w:rsidRPr="000660E8">
        <w:rPr>
          <w:rFonts w:ascii="Verdana" w:hAnsi="Verdana"/>
          <w:sz w:val="16"/>
          <w:szCs w:val="16"/>
          <w:lang w:val="es-CO"/>
        </w:rPr>
        <w:t xml:space="preserve"> </w:t>
      </w:r>
    </w:p>
  </w:footnote>
  <w:footnote w:id="29">
    <w:p w14:paraId="65865723" w14:textId="77777777" w:rsidR="004876D0" w:rsidRPr="000660E8" w:rsidRDefault="004876D0" w:rsidP="004876D0">
      <w:pPr>
        <w:spacing w:after="0" w:line="240" w:lineRule="auto"/>
        <w:ind w:firstLine="707"/>
        <w:jc w:val="both"/>
        <w:rPr>
          <w:rFonts w:ascii="Verdana" w:hAnsi="Verdana" w:cs="Arial"/>
          <w:sz w:val="16"/>
          <w:szCs w:val="16"/>
        </w:rPr>
      </w:pPr>
      <w:r w:rsidRPr="000660E8">
        <w:rPr>
          <w:rStyle w:val="Refdenotaalpie"/>
          <w:rFonts w:ascii="Verdana" w:hAnsi="Verdana" w:cs="Arial"/>
          <w:sz w:val="16"/>
          <w:szCs w:val="16"/>
        </w:rPr>
        <w:footnoteRef/>
      </w:r>
      <w:r w:rsidRPr="000660E8">
        <w:rPr>
          <w:rFonts w:ascii="Verdana" w:hAnsi="Verdana" w:cs="Arial"/>
          <w:sz w:val="16"/>
          <w:szCs w:val="16"/>
        </w:rPr>
        <w:t xml:space="preserve"> “Artículo 44. Los contratos del Estado son absolutamente nulos en los casos previstos en el derecho común y además cuando:</w:t>
      </w:r>
    </w:p>
    <w:p w14:paraId="6DC9CF6D" w14:textId="77777777" w:rsidR="004876D0" w:rsidRPr="000660E8" w:rsidRDefault="004876D0" w:rsidP="004876D0">
      <w:pPr>
        <w:spacing w:after="0" w:line="240" w:lineRule="auto"/>
        <w:ind w:firstLine="708"/>
        <w:jc w:val="both"/>
        <w:rPr>
          <w:rFonts w:ascii="Verdana" w:hAnsi="Verdana" w:cs="Arial"/>
          <w:sz w:val="16"/>
          <w:szCs w:val="16"/>
        </w:rPr>
      </w:pPr>
      <w:r w:rsidRPr="000660E8">
        <w:rPr>
          <w:rFonts w:ascii="Verdana" w:hAnsi="Verdana" w:cs="Arial"/>
          <w:sz w:val="16"/>
          <w:szCs w:val="16"/>
        </w:rPr>
        <w:t>1o. Se celebren con personas incursas en causales de inhabilidad o incompatibilidad previstas en la Constitución y la ley;</w:t>
      </w:r>
    </w:p>
    <w:p w14:paraId="72277025" w14:textId="77777777" w:rsidR="004876D0" w:rsidRPr="000660E8" w:rsidRDefault="004876D0" w:rsidP="004876D0">
      <w:pPr>
        <w:spacing w:after="0" w:line="240" w:lineRule="auto"/>
        <w:ind w:firstLine="708"/>
        <w:jc w:val="both"/>
        <w:rPr>
          <w:rFonts w:ascii="Verdana" w:hAnsi="Verdana" w:cs="Arial"/>
          <w:sz w:val="16"/>
          <w:szCs w:val="16"/>
        </w:rPr>
      </w:pPr>
      <w:r w:rsidRPr="000660E8">
        <w:rPr>
          <w:rFonts w:ascii="Verdana" w:hAnsi="Verdana" w:cs="Arial"/>
          <w:sz w:val="16"/>
          <w:szCs w:val="16"/>
        </w:rPr>
        <w:t xml:space="preserve">2o. Se celebren contra expresa prohibición constitucional o legal; </w:t>
      </w:r>
    </w:p>
    <w:p w14:paraId="6E063CD7" w14:textId="77777777" w:rsidR="004876D0" w:rsidRPr="000660E8" w:rsidRDefault="004876D0" w:rsidP="004876D0">
      <w:pPr>
        <w:spacing w:after="0" w:line="240" w:lineRule="auto"/>
        <w:ind w:firstLine="708"/>
        <w:jc w:val="both"/>
        <w:rPr>
          <w:rFonts w:ascii="Verdana" w:hAnsi="Verdana" w:cs="Arial"/>
          <w:sz w:val="16"/>
          <w:szCs w:val="16"/>
        </w:rPr>
      </w:pPr>
      <w:r w:rsidRPr="000660E8">
        <w:rPr>
          <w:rFonts w:ascii="Verdana" w:hAnsi="Verdana" w:cs="Arial"/>
          <w:sz w:val="16"/>
          <w:szCs w:val="16"/>
        </w:rPr>
        <w:t>3o. Se celebren con abuso o desviación de poder;</w:t>
      </w:r>
    </w:p>
    <w:p w14:paraId="0058F8A0" w14:textId="77777777" w:rsidR="004876D0" w:rsidRPr="000660E8" w:rsidRDefault="004876D0" w:rsidP="004876D0">
      <w:pPr>
        <w:spacing w:after="0" w:line="240" w:lineRule="auto"/>
        <w:ind w:firstLine="708"/>
        <w:jc w:val="both"/>
        <w:rPr>
          <w:rFonts w:ascii="Verdana" w:hAnsi="Verdana" w:cs="Arial"/>
          <w:sz w:val="16"/>
          <w:szCs w:val="16"/>
        </w:rPr>
      </w:pPr>
      <w:r w:rsidRPr="000660E8">
        <w:rPr>
          <w:rFonts w:ascii="Verdana" w:hAnsi="Verdana" w:cs="Arial"/>
          <w:sz w:val="16"/>
          <w:szCs w:val="16"/>
        </w:rPr>
        <w:t>4o. Se declaren nulos los actos administrativos en que se fundamenten; y</w:t>
      </w:r>
    </w:p>
    <w:p w14:paraId="7046B09E" w14:textId="77777777" w:rsidR="004876D0" w:rsidRPr="000660E8" w:rsidRDefault="004876D0" w:rsidP="004876D0">
      <w:pPr>
        <w:spacing w:after="0" w:line="240" w:lineRule="auto"/>
        <w:ind w:firstLine="708"/>
        <w:jc w:val="both"/>
        <w:rPr>
          <w:rFonts w:ascii="Verdana" w:hAnsi="Verdana" w:cs="Arial"/>
          <w:sz w:val="16"/>
          <w:szCs w:val="16"/>
        </w:rPr>
      </w:pPr>
      <w:r w:rsidRPr="000660E8">
        <w:rPr>
          <w:rFonts w:ascii="Verdana" w:hAnsi="Verdana" w:cs="Arial"/>
          <w:sz w:val="16"/>
          <w:szCs w:val="16"/>
        </w:rPr>
        <w:t>5o. Se hubieren celebrado con desconocimiento de los criterios previstos en el artículo 21 sobre tratamiento de ofertas nacionales y extranjeras o con violación de la reciprocidad de que trata esta ley”.</w:t>
      </w:r>
    </w:p>
  </w:footnote>
  <w:footnote w:id="30">
    <w:p w14:paraId="62F29AD4" w14:textId="77777777" w:rsidR="004876D0" w:rsidRPr="00C44CD0" w:rsidRDefault="004876D0" w:rsidP="004876D0">
      <w:pPr>
        <w:pStyle w:val="Textonotapie"/>
        <w:ind w:firstLine="709"/>
        <w:rPr>
          <w:rFonts w:ascii="Verdana" w:hAnsi="Verdana"/>
          <w:sz w:val="16"/>
          <w:szCs w:val="16"/>
          <w:lang w:val="es-CO"/>
        </w:rPr>
      </w:pPr>
      <w:r w:rsidRPr="00C44CD0">
        <w:rPr>
          <w:rStyle w:val="Refdenotaalpie"/>
          <w:rFonts w:ascii="Verdana" w:hAnsi="Verdana"/>
          <w:sz w:val="16"/>
          <w:szCs w:val="16"/>
        </w:rPr>
        <w:footnoteRef/>
      </w:r>
      <w:r w:rsidRPr="00C44CD0">
        <w:rPr>
          <w:rFonts w:ascii="Verdana" w:hAnsi="Verdana"/>
          <w:sz w:val="16"/>
          <w:szCs w:val="16"/>
        </w:rPr>
        <w:t xml:space="preserve"> </w:t>
      </w:r>
      <w:r w:rsidRPr="000660E8">
        <w:rPr>
          <w:rFonts w:ascii="Verdana" w:hAnsi="Verdana" w:cs="Arial"/>
          <w:sz w:val="16"/>
          <w:szCs w:val="16"/>
          <w:lang w:val="es-CO"/>
        </w:rPr>
        <w:t xml:space="preserve">Consejo de Estado, Sala de lo Contencioso Administrativo, Sección Tercera, Subsección A.  Primera. Sentencia de 11 de junio de 2014, expediente número 34649. C.P: Hernán Andrade Rincon.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11.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970"/>
    <w:rsid w:val="00005E1E"/>
    <w:rsid w:val="00013201"/>
    <w:rsid w:val="00014D9E"/>
    <w:rsid w:val="00016F78"/>
    <w:rsid w:val="0002029B"/>
    <w:rsid w:val="00020484"/>
    <w:rsid w:val="000217E0"/>
    <w:rsid w:val="000229C3"/>
    <w:rsid w:val="00023ADC"/>
    <w:rsid w:val="00031855"/>
    <w:rsid w:val="00033D1E"/>
    <w:rsid w:val="00035438"/>
    <w:rsid w:val="00040801"/>
    <w:rsid w:val="000466BD"/>
    <w:rsid w:val="00046945"/>
    <w:rsid w:val="0005195F"/>
    <w:rsid w:val="00052B57"/>
    <w:rsid w:val="000547F7"/>
    <w:rsid w:val="0006061C"/>
    <w:rsid w:val="00061547"/>
    <w:rsid w:val="00061B2A"/>
    <w:rsid w:val="000660E8"/>
    <w:rsid w:val="000673BA"/>
    <w:rsid w:val="00071189"/>
    <w:rsid w:val="00071D46"/>
    <w:rsid w:val="00074CDA"/>
    <w:rsid w:val="00081B47"/>
    <w:rsid w:val="00082362"/>
    <w:rsid w:val="00082F90"/>
    <w:rsid w:val="0008354C"/>
    <w:rsid w:val="000838BA"/>
    <w:rsid w:val="0009030A"/>
    <w:rsid w:val="000920EA"/>
    <w:rsid w:val="00092DCC"/>
    <w:rsid w:val="00095642"/>
    <w:rsid w:val="000A2543"/>
    <w:rsid w:val="000A50F2"/>
    <w:rsid w:val="000A683E"/>
    <w:rsid w:val="000A6D90"/>
    <w:rsid w:val="000B19B9"/>
    <w:rsid w:val="000B3DFD"/>
    <w:rsid w:val="000D0334"/>
    <w:rsid w:val="000D15E3"/>
    <w:rsid w:val="000D5DA7"/>
    <w:rsid w:val="000E3C0C"/>
    <w:rsid w:val="000F2B0C"/>
    <w:rsid w:val="000F6486"/>
    <w:rsid w:val="001028D7"/>
    <w:rsid w:val="00106C80"/>
    <w:rsid w:val="001078E9"/>
    <w:rsid w:val="001131F7"/>
    <w:rsid w:val="00115480"/>
    <w:rsid w:val="00116940"/>
    <w:rsid w:val="00125105"/>
    <w:rsid w:val="001263B8"/>
    <w:rsid w:val="00127233"/>
    <w:rsid w:val="00127865"/>
    <w:rsid w:val="001311E7"/>
    <w:rsid w:val="00132DDE"/>
    <w:rsid w:val="00132F35"/>
    <w:rsid w:val="0013793B"/>
    <w:rsid w:val="00151DF6"/>
    <w:rsid w:val="00151EE6"/>
    <w:rsid w:val="001525FE"/>
    <w:rsid w:val="0015683D"/>
    <w:rsid w:val="0015699B"/>
    <w:rsid w:val="00160992"/>
    <w:rsid w:val="00161946"/>
    <w:rsid w:val="0016386A"/>
    <w:rsid w:val="00186559"/>
    <w:rsid w:val="00192440"/>
    <w:rsid w:val="00196525"/>
    <w:rsid w:val="001A0022"/>
    <w:rsid w:val="001A2CE0"/>
    <w:rsid w:val="001A33BF"/>
    <w:rsid w:val="001B04E1"/>
    <w:rsid w:val="001B2220"/>
    <w:rsid w:val="001B40D7"/>
    <w:rsid w:val="001C02BF"/>
    <w:rsid w:val="001C1076"/>
    <w:rsid w:val="001C347D"/>
    <w:rsid w:val="001C4466"/>
    <w:rsid w:val="001C4CF0"/>
    <w:rsid w:val="001C7A3B"/>
    <w:rsid w:val="001E4177"/>
    <w:rsid w:val="001F0A93"/>
    <w:rsid w:val="001F0B24"/>
    <w:rsid w:val="001F3BFF"/>
    <w:rsid w:val="001F7DC6"/>
    <w:rsid w:val="0020131C"/>
    <w:rsid w:val="0020697A"/>
    <w:rsid w:val="002112C9"/>
    <w:rsid w:val="0021326C"/>
    <w:rsid w:val="002133AC"/>
    <w:rsid w:val="00214C78"/>
    <w:rsid w:val="002151B7"/>
    <w:rsid w:val="00220E51"/>
    <w:rsid w:val="00222418"/>
    <w:rsid w:val="0022400B"/>
    <w:rsid w:val="00225635"/>
    <w:rsid w:val="0022674B"/>
    <w:rsid w:val="00235368"/>
    <w:rsid w:val="002421BB"/>
    <w:rsid w:val="002439E8"/>
    <w:rsid w:val="002446BB"/>
    <w:rsid w:val="0025796E"/>
    <w:rsid w:val="0026347A"/>
    <w:rsid w:val="002707A2"/>
    <w:rsid w:val="0027500F"/>
    <w:rsid w:val="00275223"/>
    <w:rsid w:val="002836DF"/>
    <w:rsid w:val="00285515"/>
    <w:rsid w:val="002951A0"/>
    <w:rsid w:val="002962BC"/>
    <w:rsid w:val="002979E2"/>
    <w:rsid w:val="002A093D"/>
    <w:rsid w:val="002A0DD0"/>
    <w:rsid w:val="002A1EB4"/>
    <w:rsid w:val="002A49AC"/>
    <w:rsid w:val="002A64FD"/>
    <w:rsid w:val="002C1DC7"/>
    <w:rsid w:val="002C3456"/>
    <w:rsid w:val="002C7024"/>
    <w:rsid w:val="002C7A84"/>
    <w:rsid w:val="002D1555"/>
    <w:rsid w:val="002E2BF8"/>
    <w:rsid w:val="002E4FD9"/>
    <w:rsid w:val="002E61CB"/>
    <w:rsid w:val="002F0013"/>
    <w:rsid w:val="002F10C0"/>
    <w:rsid w:val="00301509"/>
    <w:rsid w:val="0030657A"/>
    <w:rsid w:val="00322A85"/>
    <w:rsid w:val="00322EC5"/>
    <w:rsid w:val="00324168"/>
    <w:rsid w:val="00327FED"/>
    <w:rsid w:val="00330834"/>
    <w:rsid w:val="003448F4"/>
    <w:rsid w:val="00354826"/>
    <w:rsid w:val="00364792"/>
    <w:rsid w:val="00371077"/>
    <w:rsid w:val="00372C6B"/>
    <w:rsid w:val="00374F5E"/>
    <w:rsid w:val="0037544F"/>
    <w:rsid w:val="0037556D"/>
    <w:rsid w:val="00375627"/>
    <w:rsid w:val="00377E3E"/>
    <w:rsid w:val="003820DF"/>
    <w:rsid w:val="0038750C"/>
    <w:rsid w:val="00390276"/>
    <w:rsid w:val="003948B6"/>
    <w:rsid w:val="003A4E06"/>
    <w:rsid w:val="003A779E"/>
    <w:rsid w:val="003B1A56"/>
    <w:rsid w:val="003C6845"/>
    <w:rsid w:val="003C7E03"/>
    <w:rsid w:val="003C7F2B"/>
    <w:rsid w:val="003D0F4D"/>
    <w:rsid w:val="003D1B64"/>
    <w:rsid w:val="003D5B0D"/>
    <w:rsid w:val="003D6606"/>
    <w:rsid w:val="003D7438"/>
    <w:rsid w:val="003E0499"/>
    <w:rsid w:val="003E4F80"/>
    <w:rsid w:val="003E5D4C"/>
    <w:rsid w:val="003E6439"/>
    <w:rsid w:val="003E735B"/>
    <w:rsid w:val="003F0CFC"/>
    <w:rsid w:val="003F1DA0"/>
    <w:rsid w:val="003F3941"/>
    <w:rsid w:val="003F5118"/>
    <w:rsid w:val="003F614D"/>
    <w:rsid w:val="0040472C"/>
    <w:rsid w:val="00406575"/>
    <w:rsid w:val="00407DAB"/>
    <w:rsid w:val="00410798"/>
    <w:rsid w:val="00411BDC"/>
    <w:rsid w:val="0041308F"/>
    <w:rsid w:val="0041459A"/>
    <w:rsid w:val="0041468A"/>
    <w:rsid w:val="00414C74"/>
    <w:rsid w:val="00421E16"/>
    <w:rsid w:val="0042722E"/>
    <w:rsid w:val="00441CBA"/>
    <w:rsid w:val="00442171"/>
    <w:rsid w:val="00443369"/>
    <w:rsid w:val="0044391D"/>
    <w:rsid w:val="0044528D"/>
    <w:rsid w:val="00446315"/>
    <w:rsid w:val="00447D68"/>
    <w:rsid w:val="00454929"/>
    <w:rsid w:val="00460A3E"/>
    <w:rsid w:val="0046420E"/>
    <w:rsid w:val="00466E39"/>
    <w:rsid w:val="00467A2E"/>
    <w:rsid w:val="004802F4"/>
    <w:rsid w:val="004826B6"/>
    <w:rsid w:val="004848DE"/>
    <w:rsid w:val="004876D0"/>
    <w:rsid w:val="0049280A"/>
    <w:rsid w:val="0049672E"/>
    <w:rsid w:val="004A1847"/>
    <w:rsid w:val="004A305D"/>
    <w:rsid w:val="004A6106"/>
    <w:rsid w:val="004D21F3"/>
    <w:rsid w:val="004D249E"/>
    <w:rsid w:val="004D516B"/>
    <w:rsid w:val="004E615E"/>
    <w:rsid w:val="004F21C4"/>
    <w:rsid w:val="004F685F"/>
    <w:rsid w:val="00500CF5"/>
    <w:rsid w:val="00504FBE"/>
    <w:rsid w:val="00505F89"/>
    <w:rsid w:val="00511259"/>
    <w:rsid w:val="0051328D"/>
    <w:rsid w:val="005173C4"/>
    <w:rsid w:val="005254E6"/>
    <w:rsid w:val="00525B0E"/>
    <w:rsid w:val="0053094D"/>
    <w:rsid w:val="0054375A"/>
    <w:rsid w:val="00555728"/>
    <w:rsid w:val="005566E8"/>
    <w:rsid w:val="00556C7F"/>
    <w:rsid w:val="00560E6B"/>
    <w:rsid w:val="00562602"/>
    <w:rsid w:val="005675BF"/>
    <w:rsid w:val="005725D2"/>
    <w:rsid w:val="00572A8C"/>
    <w:rsid w:val="00574867"/>
    <w:rsid w:val="00576B1A"/>
    <w:rsid w:val="005846EA"/>
    <w:rsid w:val="0058618A"/>
    <w:rsid w:val="0059023C"/>
    <w:rsid w:val="00590E89"/>
    <w:rsid w:val="00591460"/>
    <w:rsid w:val="00591700"/>
    <w:rsid w:val="00591C5C"/>
    <w:rsid w:val="00593BF1"/>
    <w:rsid w:val="005A2F05"/>
    <w:rsid w:val="005A65E0"/>
    <w:rsid w:val="005B098B"/>
    <w:rsid w:val="005B2C0B"/>
    <w:rsid w:val="005B3052"/>
    <w:rsid w:val="005B6132"/>
    <w:rsid w:val="005C3777"/>
    <w:rsid w:val="005C5CDC"/>
    <w:rsid w:val="005D2ED3"/>
    <w:rsid w:val="005D476C"/>
    <w:rsid w:val="005E7816"/>
    <w:rsid w:val="005E7D8A"/>
    <w:rsid w:val="005F61CE"/>
    <w:rsid w:val="00610829"/>
    <w:rsid w:val="00612C39"/>
    <w:rsid w:val="00613744"/>
    <w:rsid w:val="00617654"/>
    <w:rsid w:val="006200BF"/>
    <w:rsid w:val="006204DF"/>
    <w:rsid w:val="00621799"/>
    <w:rsid w:val="006219F8"/>
    <w:rsid w:val="00627683"/>
    <w:rsid w:val="006302F7"/>
    <w:rsid w:val="006369B3"/>
    <w:rsid w:val="006415FB"/>
    <w:rsid w:val="006455F3"/>
    <w:rsid w:val="00646B9F"/>
    <w:rsid w:val="006638D4"/>
    <w:rsid w:val="00665D70"/>
    <w:rsid w:val="00683A52"/>
    <w:rsid w:val="00684307"/>
    <w:rsid w:val="006900D9"/>
    <w:rsid w:val="006918E2"/>
    <w:rsid w:val="00692589"/>
    <w:rsid w:val="00694F2A"/>
    <w:rsid w:val="00697556"/>
    <w:rsid w:val="006B1C1F"/>
    <w:rsid w:val="006C2D59"/>
    <w:rsid w:val="006C3C02"/>
    <w:rsid w:val="006E2D58"/>
    <w:rsid w:val="006E7646"/>
    <w:rsid w:val="006F3792"/>
    <w:rsid w:val="006F6F2F"/>
    <w:rsid w:val="006F73F6"/>
    <w:rsid w:val="00700438"/>
    <w:rsid w:val="00700FC1"/>
    <w:rsid w:val="00706C16"/>
    <w:rsid w:val="00712DFD"/>
    <w:rsid w:val="007173F3"/>
    <w:rsid w:val="00720881"/>
    <w:rsid w:val="00727CD7"/>
    <w:rsid w:val="007340C3"/>
    <w:rsid w:val="00746BE7"/>
    <w:rsid w:val="0075226F"/>
    <w:rsid w:val="0075235A"/>
    <w:rsid w:val="00752E9E"/>
    <w:rsid w:val="0075563F"/>
    <w:rsid w:val="00756841"/>
    <w:rsid w:val="007649AB"/>
    <w:rsid w:val="00765900"/>
    <w:rsid w:val="00766D7E"/>
    <w:rsid w:val="00771CCA"/>
    <w:rsid w:val="00771D0C"/>
    <w:rsid w:val="0077223C"/>
    <w:rsid w:val="007759EA"/>
    <w:rsid w:val="00781B23"/>
    <w:rsid w:val="00782142"/>
    <w:rsid w:val="007833AC"/>
    <w:rsid w:val="00793AC1"/>
    <w:rsid w:val="0079605D"/>
    <w:rsid w:val="007A0A4B"/>
    <w:rsid w:val="007B268C"/>
    <w:rsid w:val="007B2BC2"/>
    <w:rsid w:val="007B7171"/>
    <w:rsid w:val="007C0C0F"/>
    <w:rsid w:val="007C2D7D"/>
    <w:rsid w:val="007C3DC2"/>
    <w:rsid w:val="007D1115"/>
    <w:rsid w:val="007D4B2E"/>
    <w:rsid w:val="007D57F7"/>
    <w:rsid w:val="007E0520"/>
    <w:rsid w:val="007E1089"/>
    <w:rsid w:val="007E369C"/>
    <w:rsid w:val="007E5497"/>
    <w:rsid w:val="007F431E"/>
    <w:rsid w:val="007F494F"/>
    <w:rsid w:val="007F50C9"/>
    <w:rsid w:val="007F7F54"/>
    <w:rsid w:val="008036B4"/>
    <w:rsid w:val="00806F5F"/>
    <w:rsid w:val="0081175D"/>
    <w:rsid w:val="0081373F"/>
    <w:rsid w:val="00816000"/>
    <w:rsid w:val="00820278"/>
    <w:rsid w:val="008258C9"/>
    <w:rsid w:val="00825F36"/>
    <w:rsid w:val="008318E9"/>
    <w:rsid w:val="00832214"/>
    <w:rsid w:val="00834510"/>
    <w:rsid w:val="00834C77"/>
    <w:rsid w:val="00840E4B"/>
    <w:rsid w:val="00844AE9"/>
    <w:rsid w:val="00846D07"/>
    <w:rsid w:val="00861E32"/>
    <w:rsid w:val="00865796"/>
    <w:rsid w:val="008671C1"/>
    <w:rsid w:val="00867F95"/>
    <w:rsid w:val="008717DA"/>
    <w:rsid w:val="0087320F"/>
    <w:rsid w:val="00873C5B"/>
    <w:rsid w:val="00876206"/>
    <w:rsid w:val="008773E9"/>
    <w:rsid w:val="008843B6"/>
    <w:rsid w:val="00887563"/>
    <w:rsid w:val="00890CF6"/>
    <w:rsid w:val="00891928"/>
    <w:rsid w:val="008A446D"/>
    <w:rsid w:val="008A45F0"/>
    <w:rsid w:val="008A56A7"/>
    <w:rsid w:val="008B0077"/>
    <w:rsid w:val="008B0E75"/>
    <w:rsid w:val="008B25F1"/>
    <w:rsid w:val="008C17CB"/>
    <w:rsid w:val="008C7945"/>
    <w:rsid w:val="008D180B"/>
    <w:rsid w:val="008D2A2F"/>
    <w:rsid w:val="008D531B"/>
    <w:rsid w:val="008E12F2"/>
    <w:rsid w:val="008E492D"/>
    <w:rsid w:val="008E55E5"/>
    <w:rsid w:val="008F0EA7"/>
    <w:rsid w:val="008F1304"/>
    <w:rsid w:val="008F436F"/>
    <w:rsid w:val="009054DF"/>
    <w:rsid w:val="00911906"/>
    <w:rsid w:val="009133D3"/>
    <w:rsid w:val="0091487B"/>
    <w:rsid w:val="009207CE"/>
    <w:rsid w:val="00920D5B"/>
    <w:rsid w:val="00923EEF"/>
    <w:rsid w:val="00926E3D"/>
    <w:rsid w:val="00930075"/>
    <w:rsid w:val="0093137C"/>
    <w:rsid w:val="00934F4F"/>
    <w:rsid w:val="0094099A"/>
    <w:rsid w:val="009419F9"/>
    <w:rsid w:val="009433C7"/>
    <w:rsid w:val="00944446"/>
    <w:rsid w:val="00955709"/>
    <w:rsid w:val="0095685E"/>
    <w:rsid w:val="00957615"/>
    <w:rsid w:val="00961B09"/>
    <w:rsid w:val="00965334"/>
    <w:rsid w:val="0097093E"/>
    <w:rsid w:val="00970FE4"/>
    <w:rsid w:val="0097436F"/>
    <w:rsid w:val="009777FA"/>
    <w:rsid w:val="009800F8"/>
    <w:rsid w:val="00985C8C"/>
    <w:rsid w:val="009877D7"/>
    <w:rsid w:val="00987C44"/>
    <w:rsid w:val="009933D4"/>
    <w:rsid w:val="009948A2"/>
    <w:rsid w:val="0099559C"/>
    <w:rsid w:val="009A0DFA"/>
    <w:rsid w:val="009A139E"/>
    <w:rsid w:val="009A1C6F"/>
    <w:rsid w:val="009B02D6"/>
    <w:rsid w:val="009B0E84"/>
    <w:rsid w:val="009B2D26"/>
    <w:rsid w:val="009B4037"/>
    <w:rsid w:val="009B5A20"/>
    <w:rsid w:val="009B604C"/>
    <w:rsid w:val="009C1F94"/>
    <w:rsid w:val="009C71FA"/>
    <w:rsid w:val="009C72E7"/>
    <w:rsid w:val="009C7F7E"/>
    <w:rsid w:val="009D3058"/>
    <w:rsid w:val="009D36B8"/>
    <w:rsid w:val="009D5937"/>
    <w:rsid w:val="009F27D8"/>
    <w:rsid w:val="009F3A13"/>
    <w:rsid w:val="009F7AD6"/>
    <w:rsid w:val="00A03375"/>
    <w:rsid w:val="00A060B6"/>
    <w:rsid w:val="00A11160"/>
    <w:rsid w:val="00A122D3"/>
    <w:rsid w:val="00A14468"/>
    <w:rsid w:val="00A17F13"/>
    <w:rsid w:val="00A2030D"/>
    <w:rsid w:val="00A20739"/>
    <w:rsid w:val="00A23AF9"/>
    <w:rsid w:val="00A23DBA"/>
    <w:rsid w:val="00A32BE2"/>
    <w:rsid w:val="00A332C8"/>
    <w:rsid w:val="00A33C78"/>
    <w:rsid w:val="00A3402F"/>
    <w:rsid w:val="00A43116"/>
    <w:rsid w:val="00A43159"/>
    <w:rsid w:val="00A45853"/>
    <w:rsid w:val="00A53532"/>
    <w:rsid w:val="00A53FD7"/>
    <w:rsid w:val="00A554C9"/>
    <w:rsid w:val="00A575FE"/>
    <w:rsid w:val="00A7048F"/>
    <w:rsid w:val="00A7422C"/>
    <w:rsid w:val="00A92EC3"/>
    <w:rsid w:val="00A960E5"/>
    <w:rsid w:val="00AA63B5"/>
    <w:rsid w:val="00AB0ADB"/>
    <w:rsid w:val="00AB202A"/>
    <w:rsid w:val="00AB7579"/>
    <w:rsid w:val="00AC3148"/>
    <w:rsid w:val="00AD50C5"/>
    <w:rsid w:val="00AD6C81"/>
    <w:rsid w:val="00AE6507"/>
    <w:rsid w:val="00AF183B"/>
    <w:rsid w:val="00AF1BE5"/>
    <w:rsid w:val="00B00C0E"/>
    <w:rsid w:val="00B01B1A"/>
    <w:rsid w:val="00B0381D"/>
    <w:rsid w:val="00B060A3"/>
    <w:rsid w:val="00B1022B"/>
    <w:rsid w:val="00B140D0"/>
    <w:rsid w:val="00B14F4D"/>
    <w:rsid w:val="00B23C64"/>
    <w:rsid w:val="00B249E1"/>
    <w:rsid w:val="00B32FE7"/>
    <w:rsid w:val="00B37969"/>
    <w:rsid w:val="00B44A47"/>
    <w:rsid w:val="00B45858"/>
    <w:rsid w:val="00B521DF"/>
    <w:rsid w:val="00B652CB"/>
    <w:rsid w:val="00B656F8"/>
    <w:rsid w:val="00B714B0"/>
    <w:rsid w:val="00B72CD3"/>
    <w:rsid w:val="00B72E30"/>
    <w:rsid w:val="00B72FFF"/>
    <w:rsid w:val="00B7336C"/>
    <w:rsid w:val="00B75E0D"/>
    <w:rsid w:val="00B81EAA"/>
    <w:rsid w:val="00B85A64"/>
    <w:rsid w:val="00BA1D42"/>
    <w:rsid w:val="00BA46C9"/>
    <w:rsid w:val="00BA4C3B"/>
    <w:rsid w:val="00BB4382"/>
    <w:rsid w:val="00BB43C2"/>
    <w:rsid w:val="00BC3C46"/>
    <w:rsid w:val="00BC3D36"/>
    <w:rsid w:val="00BC4B58"/>
    <w:rsid w:val="00BD4350"/>
    <w:rsid w:val="00BD54A6"/>
    <w:rsid w:val="00BD7F72"/>
    <w:rsid w:val="00BE36EC"/>
    <w:rsid w:val="00BF2144"/>
    <w:rsid w:val="00BF7425"/>
    <w:rsid w:val="00C00897"/>
    <w:rsid w:val="00C04FB3"/>
    <w:rsid w:val="00C0526B"/>
    <w:rsid w:val="00C0783E"/>
    <w:rsid w:val="00C103BE"/>
    <w:rsid w:val="00C11D8B"/>
    <w:rsid w:val="00C15139"/>
    <w:rsid w:val="00C16A37"/>
    <w:rsid w:val="00C200AD"/>
    <w:rsid w:val="00C222DC"/>
    <w:rsid w:val="00C2547E"/>
    <w:rsid w:val="00C330EB"/>
    <w:rsid w:val="00C413E9"/>
    <w:rsid w:val="00C41DE8"/>
    <w:rsid w:val="00C44CD0"/>
    <w:rsid w:val="00C44F26"/>
    <w:rsid w:val="00C50D69"/>
    <w:rsid w:val="00C5151D"/>
    <w:rsid w:val="00C5365C"/>
    <w:rsid w:val="00C54178"/>
    <w:rsid w:val="00C541CA"/>
    <w:rsid w:val="00C546CC"/>
    <w:rsid w:val="00C55BDE"/>
    <w:rsid w:val="00C60BDB"/>
    <w:rsid w:val="00C708C9"/>
    <w:rsid w:val="00C72A81"/>
    <w:rsid w:val="00C754BE"/>
    <w:rsid w:val="00C76B1C"/>
    <w:rsid w:val="00C835AD"/>
    <w:rsid w:val="00C851C7"/>
    <w:rsid w:val="00C85FB6"/>
    <w:rsid w:val="00C925AC"/>
    <w:rsid w:val="00CA7C8E"/>
    <w:rsid w:val="00CB1D05"/>
    <w:rsid w:val="00CB24C0"/>
    <w:rsid w:val="00CB2C54"/>
    <w:rsid w:val="00CB6357"/>
    <w:rsid w:val="00CB6E42"/>
    <w:rsid w:val="00CC1B26"/>
    <w:rsid w:val="00CC2634"/>
    <w:rsid w:val="00CC2FD7"/>
    <w:rsid w:val="00CC3788"/>
    <w:rsid w:val="00CC629E"/>
    <w:rsid w:val="00CD6CD5"/>
    <w:rsid w:val="00CE3F9C"/>
    <w:rsid w:val="00CE42E8"/>
    <w:rsid w:val="00CE4C69"/>
    <w:rsid w:val="00CE58AD"/>
    <w:rsid w:val="00CF01D4"/>
    <w:rsid w:val="00CF1330"/>
    <w:rsid w:val="00CF2943"/>
    <w:rsid w:val="00CF29BA"/>
    <w:rsid w:val="00CF4966"/>
    <w:rsid w:val="00CF606B"/>
    <w:rsid w:val="00D00C49"/>
    <w:rsid w:val="00D03E03"/>
    <w:rsid w:val="00D100C8"/>
    <w:rsid w:val="00D14BC3"/>
    <w:rsid w:val="00D16B34"/>
    <w:rsid w:val="00D177E6"/>
    <w:rsid w:val="00D201E9"/>
    <w:rsid w:val="00D23959"/>
    <w:rsid w:val="00D25E73"/>
    <w:rsid w:val="00D26B56"/>
    <w:rsid w:val="00D27094"/>
    <w:rsid w:val="00D302D9"/>
    <w:rsid w:val="00D323D9"/>
    <w:rsid w:val="00D361FD"/>
    <w:rsid w:val="00D414FE"/>
    <w:rsid w:val="00D423A2"/>
    <w:rsid w:val="00D44844"/>
    <w:rsid w:val="00D44E26"/>
    <w:rsid w:val="00D460D0"/>
    <w:rsid w:val="00D50358"/>
    <w:rsid w:val="00D520D8"/>
    <w:rsid w:val="00D53326"/>
    <w:rsid w:val="00D63AC2"/>
    <w:rsid w:val="00D7383B"/>
    <w:rsid w:val="00D73BAF"/>
    <w:rsid w:val="00D7788A"/>
    <w:rsid w:val="00D82C96"/>
    <w:rsid w:val="00D858E0"/>
    <w:rsid w:val="00D85FD5"/>
    <w:rsid w:val="00D86621"/>
    <w:rsid w:val="00D86A04"/>
    <w:rsid w:val="00D87A3C"/>
    <w:rsid w:val="00D94D77"/>
    <w:rsid w:val="00D97CCD"/>
    <w:rsid w:val="00DA02A1"/>
    <w:rsid w:val="00DA1FBF"/>
    <w:rsid w:val="00DA231B"/>
    <w:rsid w:val="00DA3609"/>
    <w:rsid w:val="00DA39A2"/>
    <w:rsid w:val="00DA4A00"/>
    <w:rsid w:val="00DB2058"/>
    <w:rsid w:val="00DB2E63"/>
    <w:rsid w:val="00DB4AFD"/>
    <w:rsid w:val="00DC2676"/>
    <w:rsid w:val="00DC38B2"/>
    <w:rsid w:val="00DC39FC"/>
    <w:rsid w:val="00DC75CA"/>
    <w:rsid w:val="00DE440E"/>
    <w:rsid w:val="00DE4943"/>
    <w:rsid w:val="00DE79ED"/>
    <w:rsid w:val="00DF5254"/>
    <w:rsid w:val="00E02524"/>
    <w:rsid w:val="00E07A6B"/>
    <w:rsid w:val="00E1209B"/>
    <w:rsid w:val="00E13BCD"/>
    <w:rsid w:val="00E151A6"/>
    <w:rsid w:val="00E15C40"/>
    <w:rsid w:val="00E16408"/>
    <w:rsid w:val="00E20894"/>
    <w:rsid w:val="00E245AB"/>
    <w:rsid w:val="00E27291"/>
    <w:rsid w:val="00E2764C"/>
    <w:rsid w:val="00E27660"/>
    <w:rsid w:val="00E27F2E"/>
    <w:rsid w:val="00E305EE"/>
    <w:rsid w:val="00E325EA"/>
    <w:rsid w:val="00E32AC2"/>
    <w:rsid w:val="00E36176"/>
    <w:rsid w:val="00E42EFA"/>
    <w:rsid w:val="00E46B80"/>
    <w:rsid w:val="00E50AFE"/>
    <w:rsid w:val="00E51371"/>
    <w:rsid w:val="00E70CAF"/>
    <w:rsid w:val="00E75C92"/>
    <w:rsid w:val="00E771DC"/>
    <w:rsid w:val="00E7754D"/>
    <w:rsid w:val="00E814E8"/>
    <w:rsid w:val="00E826C6"/>
    <w:rsid w:val="00E84EEF"/>
    <w:rsid w:val="00E86265"/>
    <w:rsid w:val="00E8772A"/>
    <w:rsid w:val="00E90F6B"/>
    <w:rsid w:val="00E91F51"/>
    <w:rsid w:val="00E92C27"/>
    <w:rsid w:val="00E92CEB"/>
    <w:rsid w:val="00E93496"/>
    <w:rsid w:val="00EA0E3D"/>
    <w:rsid w:val="00EA3A38"/>
    <w:rsid w:val="00EB394E"/>
    <w:rsid w:val="00EB5A8E"/>
    <w:rsid w:val="00EC214E"/>
    <w:rsid w:val="00EC38A7"/>
    <w:rsid w:val="00EC74E9"/>
    <w:rsid w:val="00ED5F50"/>
    <w:rsid w:val="00EE04B9"/>
    <w:rsid w:val="00EE1AA8"/>
    <w:rsid w:val="00EF2E3F"/>
    <w:rsid w:val="00EF5BD7"/>
    <w:rsid w:val="00F013C0"/>
    <w:rsid w:val="00F01EE6"/>
    <w:rsid w:val="00F0382A"/>
    <w:rsid w:val="00F06BC6"/>
    <w:rsid w:val="00F07CE6"/>
    <w:rsid w:val="00F07F01"/>
    <w:rsid w:val="00F10689"/>
    <w:rsid w:val="00F10855"/>
    <w:rsid w:val="00F129EB"/>
    <w:rsid w:val="00F2271C"/>
    <w:rsid w:val="00F23FEA"/>
    <w:rsid w:val="00F302DC"/>
    <w:rsid w:val="00F30F8D"/>
    <w:rsid w:val="00F31B01"/>
    <w:rsid w:val="00F31EDC"/>
    <w:rsid w:val="00F32232"/>
    <w:rsid w:val="00F34198"/>
    <w:rsid w:val="00F3511A"/>
    <w:rsid w:val="00F36AFE"/>
    <w:rsid w:val="00F4296A"/>
    <w:rsid w:val="00F462B3"/>
    <w:rsid w:val="00F473B2"/>
    <w:rsid w:val="00F5369B"/>
    <w:rsid w:val="00F5664F"/>
    <w:rsid w:val="00F5666B"/>
    <w:rsid w:val="00F60C80"/>
    <w:rsid w:val="00F63C15"/>
    <w:rsid w:val="00F65D80"/>
    <w:rsid w:val="00F666C4"/>
    <w:rsid w:val="00F76AFC"/>
    <w:rsid w:val="00F775C8"/>
    <w:rsid w:val="00F80590"/>
    <w:rsid w:val="00F85BDC"/>
    <w:rsid w:val="00F9237D"/>
    <w:rsid w:val="00F9305C"/>
    <w:rsid w:val="00F96512"/>
    <w:rsid w:val="00FA2A14"/>
    <w:rsid w:val="00FA47C0"/>
    <w:rsid w:val="00FB5DD1"/>
    <w:rsid w:val="00FC118D"/>
    <w:rsid w:val="00FC2B5D"/>
    <w:rsid w:val="00FC2CC8"/>
    <w:rsid w:val="00FC403C"/>
    <w:rsid w:val="00FC6BC9"/>
    <w:rsid w:val="00FD16D6"/>
    <w:rsid w:val="00FD1FF0"/>
    <w:rsid w:val="00FD5B9A"/>
    <w:rsid w:val="00FD6717"/>
    <w:rsid w:val="00FE0D31"/>
    <w:rsid w:val="00FE31CD"/>
    <w:rsid w:val="00FE3454"/>
    <w:rsid w:val="00FF1449"/>
    <w:rsid w:val="00FF3C16"/>
    <w:rsid w:val="00FF7157"/>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2C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7615"/>
    <w:rPr>
      <w:rFonts w:ascii="Geomanist Light" w:hAnsi="Geomanist Light"/>
      <w:lang w:val="es-ES"/>
    </w:rPr>
  </w:style>
  <w:style w:type="paragraph" w:customStyle="1" w:styleId="Appelnotedebasde">
    <w:name w:val="Appel note de bas de..."/>
    <w:basedOn w:val="Normal"/>
    <w:link w:val="Refdenotaalpie"/>
    <w:uiPriority w:val="99"/>
    <w:rsid w:val="00EF2E3F"/>
    <w:pPr>
      <w:spacing w:line="240" w:lineRule="exact"/>
    </w:pPr>
    <w:rPr>
      <w:vertAlign w:val="superscript"/>
    </w:rPr>
  </w:style>
  <w:style w:type="character" w:customStyle="1" w:styleId="NormalWebCar">
    <w:name w:val="Normal (Web) Car"/>
    <w:link w:val="NormalWeb"/>
    <w:uiPriority w:val="99"/>
    <w:rsid w:val="00EF2E3F"/>
    <w:rPr>
      <w:rFonts w:ascii="Times New Roman" w:eastAsia="Times New Roman" w:hAnsi="Times New Roman" w:cs="Times New Roman"/>
      <w:sz w:val="24"/>
      <w:szCs w:val="24"/>
      <w:lang w:eastAsia="es-CO"/>
    </w:rPr>
  </w:style>
  <w:style w:type="character" w:customStyle="1" w:styleId="baj">
    <w:name w:val="b_aj"/>
    <w:basedOn w:val="Fuentedeprrafopredeter"/>
    <w:rsid w:val="00092DCC"/>
  </w:style>
  <w:style w:type="table" w:customStyle="1" w:styleId="Tablaconcuadrcula1">
    <w:name w:val="Tabla con cuadrícula1"/>
    <w:basedOn w:val="Tablanormal"/>
    <w:next w:val="Tablaconcuadrcula"/>
    <w:uiPriority w:val="39"/>
    <w:qFormat/>
    <w:rsid w:val="006638D4"/>
    <w:pPr>
      <w:spacing w:after="0" w:line="240" w:lineRule="auto"/>
    </w:pPr>
    <w:tblPr/>
  </w:style>
  <w:style w:type="table" w:customStyle="1" w:styleId="Tablaconcuadrcula11">
    <w:name w:val="Tabla con cuadrícula11"/>
    <w:basedOn w:val="Tablanormal"/>
    <w:next w:val="Tablaconcuadrcula"/>
    <w:uiPriority w:val="39"/>
    <w:qFormat/>
    <w:rsid w:val="00782142"/>
    <w:pPr>
      <w:spacing w:after="0" w:line="240" w:lineRule="auto"/>
    </w:pPr>
    <w:tblPr/>
  </w:style>
  <w:style w:type="character" w:styleId="Refdecomentario">
    <w:name w:val="annotation reference"/>
    <w:basedOn w:val="Fuentedeprrafopredeter"/>
    <w:uiPriority w:val="99"/>
    <w:semiHidden/>
    <w:unhideWhenUsed/>
    <w:rsid w:val="00B1022B"/>
    <w:rPr>
      <w:sz w:val="16"/>
      <w:szCs w:val="16"/>
    </w:rPr>
  </w:style>
  <w:style w:type="paragraph" w:styleId="Textocomentario">
    <w:name w:val="annotation text"/>
    <w:basedOn w:val="Normal"/>
    <w:link w:val="TextocomentarioCar"/>
    <w:uiPriority w:val="99"/>
    <w:semiHidden/>
    <w:unhideWhenUsed/>
    <w:rsid w:val="00B1022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1022B"/>
    <w:rPr>
      <w:sz w:val="20"/>
      <w:szCs w:val="20"/>
    </w:rPr>
  </w:style>
  <w:style w:type="paragraph" w:styleId="Asuntodelcomentario">
    <w:name w:val="annotation subject"/>
    <w:basedOn w:val="Textocomentario"/>
    <w:next w:val="Textocomentario"/>
    <w:link w:val="AsuntodelcomentarioCar"/>
    <w:uiPriority w:val="99"/>
    <w:semiHidden/>
    <w:unhideWhenUsed/>
    <w:rsid w:val="00B1022B"/>
    <w:rPr>
      <w:b/>
      <w:bCs/>
    </w:rPr>
  </w:style>
  <w:style w:type="character" w:customStyle="1" w:styleId="AsuntodelcomentarioCar">
    <w:name w:val="Asunto del comentario Car"/>
    <w:basedOn w:val="TextocomentarioCar"/>
    <w:link w:val="Asuntodelcomentario"/>
    <w:uiPriority w:val="99"/>
    <w:semiHidden/>
    <w:rsid w:val="00B102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fernandog213@hotmail.com"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node/23710" TargetMode="External"/><Relationship Id="rId2" Type="http://schemas.openxmlformats.org/officeDocument/2006/relationships/hyperlink" Target="https://www.colombiacompra.gov.co/base-conocimiento/gestion-contractual-envio-del-contrato-secop-ii" TargetMode="External"/><Relationship Id="rId1" Type="http://schemas.openxmlformats.org/officeDocument/2006/relationships/hyperlink" Target="https://www.colombiacompra.gov.co/wp-content/uploads/2024/08/circular_externa_unica_version_3_vf49.pdf" TargetMode="External"/><Relationship Id="rId5" Type="http://schemas.openxmlformats.org/officeDocument/2006/relationships/hyperlink" Target="https://www.colombiacompra.gov.co/base-conocimiento/configuracion-de-cuentas-secop-ii" TargetMode="External"/><Relationship Id="rId4" Type="http://schemas.openxmlformats.org/officeDocument/2006/relationships/hyperlink" Target="https://www.colombiacompra.gov.co/base-conocimiento/gestion-contractual-envio-del-contrato-secop-i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D03173-9E34-4A08-BC2F-30708C43E48C}">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3747838A-3E23-4DB0-BB1E-F10E4D4AA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51</TotalTime>
  <Pages>34</Pages>
  <Words>11757</Words>
  <Characters>63729</Characters>
  <Application>Microsoft Office Word</Application>
  <DocSecurity>0</DocSecurity>
  <Lines>1180</Lines>
  <Paragraphs>202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Camilo José Martínez Martínez</cp:lastModifiedBy>
  <cp:revision>12</cp:revision>
  <cp:lastPrinted>2023-01-10T21:18:00Z</cp:lastPrinted>
  <dcterms:created xsi:type="dcterms:W3CDTF">2026-04-21T19:02:00Z</dcterms:created>
  <dcterms:modified xsi:type="dcterms:W3CDTF">2026-05-21T16:43:00Z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