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76B6A" w14:textId="77777777" w:rsidR="009E2BF2" w:rsidRPr="00B22F64" w:rsidRDefault="00646553">
      <w:pPr>
        <w:spacing w:line="276" w:lineRule="auto"/>
        <w:jc w:val="right"/>
        <w:rPr>
          <w:rFonts w:ascii="Arial" w:eastAsia="Calibri" w:hAnsi="Arial" w:cs="Arial"/>
          <w:b/>
          <w:bCs/>
          <w:sz w:val="22"/>
        </w:rPr>
      </w:pPr>
      <w:bookmarkStart w:id="0" w:name="_Hlk38401078"/>
      <w:bookmarkStart w:id="1" w:name="_Hlk29890381"/>
      <w:r w:rsidRPr="00B22F64">
        <w:rPr>
          <w:rFonts w:ascii="Arial" w:eastAsia="Times New Roman" w:hAnsi="Arial" w:cs="Arial"/>
          <w:b/>
          <w:bCs/>
          <w:sz w:val="16"/>
          <w:szCs w:val="16"/>
          <w:lang w:eastAsia="es-ES"/>
        </w:rPr>
        <w:t>CCE-DES-FM-17</w:t>
      </w:r>
    </w:p>
    <w:p w14:paraId="1530C2B0" w14:textId="77777777" w:rsidR="009E2BF2" w:rsidRPr="00B22F64" w:rsidRDefault="009E2BF2">
      <w:pPr>
        <w:spacing w:line="276" w:lineRule="auto"/>
        <w:jc w:val="both"/>
        <w:rPr>
          <w:rFonts w:ascii="Arial" w:eastAsia="Calibri" w:hAnsi="Arial" w:cs="Arial"/>
          <w:b/>
          <w:sz w:val="16"/>
          <w:szCs w:val="16"/>
        </w:rPr>
      </w:pPr>
    </w:p>
    <w:p w14:paraId="0AA9931D" w14:textId="3FAC97A2" w:rsidR="009E2BF2" w:rsidRPr="003A0EE3" w:rsidRDefault="00646553" w:rsidP="7E608D07">
      <w:pPr>
        <w:jc w:val="both"/>
        <w:rPr>
          <w:rFonts w:ascii="Arial" w:eastAsia="Calibri" w:hAnsi="Arial" w:cs="Arial"/>
          <w:b/>
          <w:bCs/>
          <w:sz w:val="22"/>
        </w:rPr>
      </w:pPr>
      <w:r w:rsidRPr="6A67744B">
        <w:rPr>
          <w:rFonts w:ascii="Arial" w:eastAsia="Calibri" w:hAnsi="Arial" w:cs="Arial"/>
          <w:b/>
          <w:bCs/>
          <w:sz w:val="22"/>
        </w:rPr>
        <w:t xml:space="preserve">DOCUMENTOS TIPO </w:t>
      </w:r>
      <w:r w:rsidR="00A06D38" w:rsidRPr="6A67744B">
        <w:rPr>
          <w:rFonts w:ascii="Arial" w:eastAsia="Calibri" w:hAnsi="Arial" w:cs="Arial"/>
          <w:b/>
          <w:bCs/>
          <w:sz w:val="22"/>
        </w:rPr>
        <w:t>–</w:t>
      </w:r>
      <w:r w:rsidRPr="6A67744B">
        <w:rPr>
          <w:rFonts w:ascii="Arial" w:eastAsia="Calibri" w:hAnsi="Arial" w:cs="Arial"/>
          <w:b/>
          <w:bCs/>
          <w:sz w:val="22"/>
        </w:rPr>
        <w:t xml:space="preserve"> Métodos </w:t>
      </w:r>
      <w:r w:rsidR="39F79714" w:rsidRPr="6A67744B">
        <w:rPr>
          <w:rFonts w:ascii="Arial" w:eastAsia="Calibri" w:hAnsi="Arial" w:cs="Arial"/>
          <w:b/>
          <w:bCs/>
          <w:sz w:val="22"/>
        </w:rPr>
        <w:t>de p</w:t>
      </w:r>
      <w:r w:rsidRPr="6A67744B">
        <w:rPr>
          <w:rFonts w:ascii="Arial" w:eastAsia="Calibri" w:hAnsi="Arial" w:cs="Arial"/>
          <w:b/>
          <w:bCs/>
          <w:sz w:val="22"/>
        </w:rPr>
        <w:t xml:space="preserve">onderación </w:t>
      </w:r>
      <w:r w:rsidR="5827BEFC" w:rsidRPr="6A67744B">
        <w:rPr>
          <w:rFonts w:ascii="Arial" w:eastAsia="Arial" w:hAnsi="Arial" w:cs="Arial"/>
          <w:b/>
          <w:bCs/>
          <w:sz w:val="22"/>
          <w:lang w:val="es-MX"/>
        </w:rPr>
        <w:t>–</w:t>
      </w:r>
      <w:r w:rsidRPr="6A67744B">
        <w:rPr>
          <w:rFonts w:ascii="Arial" w:eastAsia="Calibri" w:hAnsi="Arial" w:cs="Arial"/>
          <w:b/>
          <w:bCs/>
          <w:sz w:val="22"/>
        </w:rPr>
        <w:t xml:space="preserve"> </w:t>
      </w:r>
      <w:r w:rsidR="1D75F45E" w:rsidRPr="6A67744B">
        <w:rPr>
          <w:rFonts w:ascii="Arial" w:eastAsia="Calibri" w:hAnsi="Arial" w:cs="Arial"/>
          <w:b/>
          <w:bCs/>
          <w:sz w:val="22"/>
        </w:rPr>
        <w:t>P</w:t>
      </w:r>
      <w:r w:rsidRPr="6A67744B">
        <w:rPr>
          <w:rFonts w:ascii="Arial" w:eastAsia="Calibri" w:hAnsi="Arial" w:cs="Arial"/>
          <w:b/>
          <w:bCs/>
          <w:sz w:val="22"/>
        </w:rPr>
        <w:t xml:space="preserve">ropuesta económica </w:t>
      </w:r>
      <w:r w:rsidR="00A06D38" w:rsidRPr="6A67744B">
        <w:rPr>
          <w:rFonts w:ascii="Arial" w:eastAsia="Calibri" w:hAnsi="Arial" w:cs="Arial"/>
          <w:b/>
          <w:bCs/>
          <w:sz w:val="22"/>
        </w:rPr>
        <w:t>–</w:t>
      </w:r>
      <w:r w:rsidRPr="6A67744B">
        <w:rPr>
          <w:rFonts w:ascii="Arial" w:eastAsia="Calibri" w:hAnsi="Arial" w:cs="Arial"/>
          <w:b/>
          <w:bCs/>
          <w:sz w:val="22"/>
        </w:rPr>
        <w:t xml:space="preserve"> Media geométrica</w:t>
      </w:r>
    </w:p>
    <w:p w14:paraId="267D635A" w14:textId="77777777" w:rsidR="009E2BF2" w:rsidRPr="00F52285" w:rsidRDefault="009E2BF2">
      <w:pPr>
        <w:jc w:val="both"/>
        <w:rPr>
          <w:rFonts w:ascii="Arial" w:hAnsi="Arial" w:cs="Arial"/>
          <w:sz w:val="20"/>
          <w:szCs w:val="20"/>
        </w:rPr>
      </w:pPr>
    </w:p>
    <w:p w14:paraId="335946CB" w14:textId="77777777" w:rsidR="009E2BF2" w:rsidRPr="00F52285" w:rsidRDefault="00646553">
      <w:pPr>
        <w:jc w:val="both"/>
        <w:rPr>
          <w:rFonts w:ascii="Arial" w:eastAsia="Calibri" w:hAnsi="Arial" w:cs="Arial"/>
          <w:sz w:val="20"/>
          <w:szCs w:val="20"/>
        </w:rPr>
      </w:pPr>
      <w:r w:rsidRPr="00F52285">
        <w:rPr>
          <w:rFonts w:ascii="Arial" w:eastAsia="Calibri" w:hAnsi="Arial" w:cs="Arial"/>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52285">
        <w:rPr>
          <w:rFonts w:ascii="Arial" w:eastAsia="Calibri" w:hAnsi="Arial" w:cs="Arial"/>
          <w:sz w:val="20"/>
          <w:szCs w:val="20"/>
        </w:rPr>
        <w:t>Vn</w:t>
      </w:r>
      <w:proofErr w:type="spellEnd"/>
      <w:r w:rsidRPr="00F52285">
        <w:rPr>
          <w:rFonts w:ascii="Arial" w:eastAsia="Calibri" w:hAnsi="Arial" w:cs="Arial"/>
          <w:sz w:val="20"/>
          <w:szCs w:val="20"/>
        </w:rPr>
        <w:t>», «n» y puntos suspensivos que indican que se deben agregar todas las ofertas que estén habilitadas.</w:t>
      </w:r>
    </w:p>
    <w:p w14:paraId="02FD9E16" w14:textId="77777777" w:rsidR="009E2BF2" w:rsidRPr="00B22F64" w:rsidRDefault="009E2BF2">
      <w:pPr>
        <w:jc w:val="both"/>
        <w:rPr>
          <w:rFonts w:ascii="Arial" w:hAnsi="Arial" w:cs="Arial"/>
          <w:sz w:val="20"/>
          <w:szCs w:val="20"/>
        </w:rPr>
      </w:pPr>
    </w:p>
    <w:p w14:paraId="56A65848" w14:textId="77777777" w:rsidR="009E2BF2" w:rsidRPr="00B22F64" w:rsidRDefault="009E2BF2">
      <w:pPr>
        <w:rPr>
          <w:rFonts w:ascii="Arial" w:hAnsi="Arial" w:cs="Arial"/>
          <w:sz w:val="20"/>
          <w:szCs w:val="20"/>
        </w:rPr>
      </w:pPr>
    </w:p>
    <w:p w14:paraId="46959507" w14:textId="1456048A" w:rsidR="00F74E71" w:rsidRPr="00F52285" w:rsidRDefault="00F74E71" w:rsidP="00F74E71">
      <w:pPr>
        <w:rPr>
          <w:rFonts w:ascii="Arial" w:hAnsi="Arial" w:cs="Arial"/>
          <w:b/>
          <w:sz w:val="22"/>
        </w:rPr>
      </w:pPr>
      <w:r w:rsidRPr="00F52285">
        <w:rPr>
          <w:rFonts w:ascii="Arial" w:hAnsi="Arial" w:cs="Arial"/>
          <w:sz w:val="22"/>
        </w:rPr>
        <w:t xml:space="preserve">Bogotá D.C., </w:t>
      </w:r>
      <w:r w:rsidR="00F818B4">
        <w:rPr>
          <w:rFonts w:ascii="Arial" w:hAnsi="Arial" w:cs="Arial"/>
          <w:b/>
          <w:sz w:val="22"/>
        </w:rPr>
        <w:t>17/06/2020 Hora 18:56:52s</w:t>
      </w:r>
    </w:p>
    <w:p w14:paraId="73831A56" w14:textId="77777777" w:rsidR="00F74E71" w:rsidRPr="00F52285" w:rsidRDefault="00F74E71" w:rsidP="00F74E71">
      <w:pPr>
        <w:jc w:val="right"/>
        <w:rPr>
          <w:rFonts w:ascii="Arial" w:hAnsi="Arial" w:cs="Arial"/>
          <w:b/>
          <w:sz w:val="22"/>
        </w:rPr>
      </w:pPr>
    </w:p>
    <w:p w14:paraId="07964B8F" w14:textId="6F9199D6" w:rsidR="00F74E71" w:rsidRPr="00F52285" w:rsidRDefault="00F74E71" w:rsidP="00F74E71">
      <w:pPr>
        <w:jc w:val="right"/>
        <w:rPr>
          <w:rFonts w:ascii="Arial" w:hAnsi="Arial" w:cs="Arial"/>
          <w:b/>
          <w:sz w:val="22"/>
        </w:rPr>
      </w:pPr>
      <w:proofErr w:type="spellStart"/>
      <w:r w:rsidRPr="00F52285">
        <w:rPr>
          <w:rFonts w:ascii="Arial" w:hAnsi="Arial" w:cs="Arial"/>
          <w:b/>
          <w:sz w:val="22"/>
        </w:rPr>
        <w:t>N°</w:t>
      </w:r>
      <w:proofErr w:type="spellEnd"/>
      <w:r w:rsidRPr="00F52285">
        <w:rPr>
          <w:rFonts w:ascii="Arial" w:hAnsi="Arial" w:cs="Arial"/>
          <w:b/>
          <w:sz w:val="22"/>
        </w:rPr>
        <w:t xml:space="preserve"> Radicado: </w:t>
      </w:r>
      <w:r w:rsidR="00F818B4">
        <w:rPr>
          <w:rFonts w:ascii="Arial" w:hAnsi="Arial" w:cs="Arial"/>
          <w:b/>
          <w:sz w:val="22"/>
        </w:rPr>
        <w:t>2202013000005131</w:t>
      </w:r>
    </w:p>
    <w:p w14:paraId="2BDD593C" w14:textId="77777777" w:rsidR="00F74E71" w:rsidRPr="00F52285" w:rsidRDefault="00F74E71" w:rsidP="00F74E71">
      <w:pPr>
        <w:rPr>
          <w:rFonts w:ascii="Arial" w:eastAsia="Calibri" w:hAnsi="Arial" w:cs="Arial"/>
          <w:sz w:val="22"/>
        </w:rPr>
      </w:pPr>
    </w:p>
    <w:p w14:paraId="6EC105F3" w14:textId="77777777" w:rsidR="009E2BF2" w:rsidRPr="00F52285" w:rsidRDefault="00646553">
      <w:pPr>
        <w:rPr>
          <w:rFonts w:ascii="Arial" w:eastAsia="Calibri" w:hAnsi="Arial" w:cs="Arial"/>
          <w:sz w:val="22"/>
        </w:rPr>
      </w:pPr>
      <w:r w:rsidRPr="00F52285">
        <w:rPr>
          <w:rFonts w:ascii="Arial" w:eastAsia="Calibri" w:hAnsi="Arial" w:cs="Arial"/>
          <w:sz w:val="22"/>
        </w:rPr>
        <w:t>Señor</w:t>
      </w:r>
    </w:p>
    <w:p w14:paraId="7E0E3243" w14:textId="77777777" w:rsidR="009E2BF2" w:rsidRPr="00F52285" w:rsidRDefault="00291E58">
      <w:pPr>
        <w:rPr>
          <w:rFonts w:ascii="Arial" w:eastAsia="Calibri" w:hAnsi="Arial" w:cs="Arial"/>
          <w:b/>
          <w:sz w:val="22"/>
        </w:rPr>
      </w:pPr>
      <w:r>
        <w:rPr>
          <w:rFonts w:ascii="Arial" w:eastAsia="Calibri" w:hAnsi="Arial" w:cs="Arial"/>
          <w:b/>
          <w:sz w:val="22"/>
        </w:rPr>
        <w:t>Salvador Moyano Galvis</w:t>
      </w:r>
      <w:r>
        <w:rPr>
          <w:rFonts w:ascii="Arial" w:eastAsia="Calibri" w:hAnsi="Arial" w:cs="Arial"/>
          <w:b/>
          <w:sz w:val="22"/>
        </w:rPr>
        <w:tab/>
      </w:r>
      <w:r>
        <w:rPr>
          <w:rFonts w:ascii="Arial" w:eastAsia="Calibri" w:hAnsi="Arial" w:cs="Arial"/>
          <w:b/>
          <w:sz w:val="22"/>
        </w:rPr>
        <w:tab/>
      </w:r>
      <w:r>
        <w:rPr>
          <w:rFonts w:ascii="Arial" w:eastAsia="Calibri" w:hAnsi="Arial" w:cs="Arial"/>
          <w:b/>
          <w:sz w:val="22"/>
        </w:rPr>
        <w:tab/>
      </w:r>
    </w:p>
    <w:p w14:paraId="01AB1F44" w14:textId="77777777" w:rsidR="009E2BF2" w:rsidRPr="00F52285" w:rsidRDefault="00291E58">
      <w:pPr>
        <w:rPr>
          <w:rFonts w:ascii="Arial" w:eastAsia="Calibri" w:hAnsi="Arial" w:cs="Arial"/>
          <w:sz w:val="22"/>
        </w:rPr>
      </w:pPr>
      <w:r>
        <w:rPr>
          <w:rFonts w:ascii="Arial" w:eastAsia="Calibri" w:hAnsi="Arial" w:cs="Arial"/>
          <w:sz w:val="22"/>
        </w:rPr>
        <w:t>Bogotá D.C</w:t>
      </w:r>
    </w:p>
    <w:p w14:paraId="1CDB2EF9" w14:textId="77777777" w:rsidR="009E2BF2" w:rsidRPr="00F52285" w:rsidRDefault="009E2BF2">
      <w:pPr>
        <w:rPr>
          <w:rFonts w:ascii="Arial" w:eastAsia="Calibri" w:hAnsi="Arial" w:cs="Arial"/>
          <w:sz w:val="22"/>
        </w:rPr>
      </w:pPr>
    </w:p>
    <w:p w14:paraId="1FA5D3F0" w14:textId="77777777" w:rsidR="009E2BF2" w:rsidRPr="00F52285" w:rsidRDefault="009E2BF2">
      <w:pPr>
        <w:rPr>
          <w:rFonts w:ascii="Arial" w:eastAsia="Calibri" w:hAnsi="Arial" w:cs="Arial"/>
          <w:sz w:val="22"/>
        </w:rPr>
      </w:pPr>
    </w:p>
    <w:p w14:paraId="37C061A0" w14:textId="176CFE77" w:rsidR="009E2BF2" w:rsidRPr="00F52285" w:rsidRDefault="00646553">
      <w:pPr>
        <w:rPr>
          <w:rFonts w:ascii="Arial" w:eastAsia="Calibri" w:hAnsi="Arial" w:cs="Arial"/>
          <w:b/>
          <w:sz w:val="22"/>
        </w:rPr>
      </w:pPr>
      <w:r w:rsidRPr="00F52285">
        <w:rPr>
          <w:rFonts w:ascii="Arial" w:eastAsia="Calibri" w:hAnsi="Arial" w:cs="Arial"/>
          <w:b/>
          <w:sz w:val="22"/>
        </w:rPr>
        <w:t xml:space="preserve">                                            </w:t>
      </w:r>
      <w:r w:rsidRPr="006837A8">
        <w:rPr>
          <w:rFonts w:ascii="Arial" w:eastAsia="Calibri" w:hAnsi="Arial" w:cs="Arial"/>
          <w:b/>
          <w:sz w:val="22"/>
        </w:rPr>
        <w:t xml:space="preserve">Concepto C – </w:t>
      </w:r>
      <w:r w:rsidR="004015DC" w:rsidRPr="006837A8">
        <w:rPr>
          <w:rFonts w:ascii="Arial" w:eastAsia="Calibri" w:hAnsi="Arial" w:cs="Arial"/>
          <w:b/>
          <w:sz w:val="22"/>
        </w:rPr>
        <w:t>412</w:t>
      </w:r>
      <w:r w:rsidRPr="006837A8">
        <w:rPr>
          <w:rFonts w:ascii="Arial" w:eastAsia="Calibri" w:hAnsi="Arial" w:cs="Arial"/>
          <w:b/>
          <w:sz w:val="22"/>
        </w:rPr>
        <w:t xml:space="preserve"> de 2020</w:t>
      </w:r>
    </w:p>
    <w:p w14:paraId="6A6DFCE2" w14:textId="77777777" w:rsidR="009E2BF2" w:rsidRPr="00F52285" w:rsidRDefault="009E2BF2">
      <w:pPr>
        <w:rPr>
          <w:rFonts w:ascii="Arial" w:eastAsia="Calibri" w:hAnsi="Arial" w:cs="Arial"/>
          <w:sz w:val="22"/>
        </w:rPr>
      </w:pPr>
    </w:p>
    <w:p w14:paraId="188B4810" w14:textId="77777777" w:rsidR="00365324" w:rsidRPr="00F52285" w:rsidRDefault="00365324">
      <w:pPr>
        <w:rPr>
          <w:rFonts w:ascii="Arial" w:eastAsia="Calibri" w:hAnsi="Arial" w:cs="Arial"/>
          <w:sz w:val="22"/>
        </w:rPr>
      </w:pPr>
    </w:p>
    <w:tbl>
      <w:tblPr>
        <w:tblStyle w:val="Tablaconcuadrcula"/>
        <w:tblW w:w="8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33"/>
        <w:gridCol w:w="5875"/>
      </w:tblGrid>
      <w:tr w:rsidR="009E2BF2" w:rsidRPr="00F52285" w14:paraId="48F54DFA" w14:textId="77777777" w:rsidTr="00B22F64">
        <w:trPr>
          <w:trHeight w:val="927"/>
        </w:trPr>
        <w:tc>
          <w:tcPr>
            <w:tcW w:w="2533" w:type="dxa"/>
          </w:tcPr>
          <w:p w14:paraId="32585F1C" w14:textId="77777777" w:rsidR="009E2BF2" w:rsidRPr="00F52285" w:rsidRDefault="00646553">
            <w:pPr>
              <w:rPr>
                <w:rFonts w:ascii="Arial" w:eastAsia="Calibri" w:hAnsi="Arial" w:cs="Arial"/>
                <w:sz w:val="22"/>
              </w:rPr>
            </w:pPr>
            <w:r w:rsidRPr="00F52285">
              <w:rPr>
                <w:rFonts w:ascii="Arial" w:eastAsia="Calibri" w:hAnsi="Arial" w:cs="Arial"/>
                <w:b/>
                <w:sz w:val="22"/>
              </w:rPr>
              <w:t>Temas:</w:t>
            </w:r>
            <w:r w:rsidRPr="00F52285">
              <w:rPr>
                <w:rFonts w:ascii="Arial" w:eastAsia="Calibri" w:hAnsi="Arial" w:cs="Arial"/>
                <w:sz w:val="22"/>
              </w:rPr>
              <w:t xml:space="preserve">           </w:t>
            </w:r>
          </w:p>
          <w:p w14:paraId="03459216" w14:textId="77777777" w:rsidR="009E2BF2" w:rsidRPr="00F52285" w:rsidRDefault="00646553">
            <w:pPr>
              <w:rPr>
                <w:rFonts w:ascii="Arial" w:eastAsia="Calibri" w:hAnsi="Arial" w:cs="Arial"/>
                <w:sz w:val="22"/>
              </w:rPr>
            </w:pPr>
            <w:r w:rsidRPr="00F52285">
              <w:rPr>
                <w:rFonts w:ascii="Arial" w:eastAsia="Calibri" w:hAnsi="Arial" w:cs="Arial"/>
                <w:sz w:val="22"/>
              </w:rPr>
              <w:t xml:space="preserve">                           </w:t>
            </w:r>
          </w:p>
        </w:tc>
        <w:tc>
          <w:tcPr>
            <w:tcW w:w="5875" w:type="dxa"/>
          </w:tcPr>
          <w:p w14:paraId="1F021276" w14:textId="77777777" w:rsidR="009E2BF2" w:rsidRPr="00F52285" w:rsidRDefault="00646553">
            <w:pPr>
              <w:spacing w:after="120"/>
              <w:jc w:val="both"/>
              <w:rPr>
                <w:rFonts w:ascii="Arial" w:eastAsia="Calibri" w:hAnsi="Arial" w:cs="Arial"/>
                <w:sz w:val="22"/>
              </w:rPr>
            </w:pPr>
            <w:r w:rsidRPr="00F52285">
              <w:rPr>
                <w:rFonts w:ascii="Arial" w:eastAsia="Calibri" w:hAnsi="Arial" w:cs="Arial"/>
                <w:sz w:val="22"/>
              </w:rPr>
              <w:t>DOCUMENTOS TIPO – Métodos para la ponderación de la propuesta económica – Media geométrica</w:t>
            </w:r>
          </w:p>
          <w:p w14:paraId="2D8B02C0" w14:textId="77777777" w:rsidR="00365324" w:rsidRPr="00F52285" w:rsidRDefault="00365324">
            <w:pPr>
              <w:spacing w:after="120"/>
              <w:jc w:val="both"/>
              <w:rPr>
                <w:rFonts w:ascii="Arial" w:eastAsia="Calibri" w:hAnsi="Arial" w:cs="Arial"/>
                <w:sz w:val="22"/>
              </w:rPr>
            </w:pPr>
          </w:p>
        </w:tc>
      </w:tr>
      <w:tr w:rsidR="009E2BF2" w:rsidRPr="00F52285" w14:paraId="5D36641E" w14:textId="77777777" w:rsidTr="00B22F64">
        <w:trPr>
          <w:trHeight w:val="226"/>
        </w:trPr>
        <w:tc>
          <w:tcPr>
            <w:tcW w:w="2533" w:type="dxa"/>
          </w:tcPr>
          <w:p w14:paraId="05BD3B94" w14:textId="77777777" w:rsidR="009E2BF2" w:rsidRPr="00F52285" w:rsidRDefault="00646553">
            <w:pPr>
              <w:rPr>
                <w:rFonts w:ascii="Arial" w:eastAsia="Calibri" w:hAnsi="Arial" w:cs="Arial"/>
                <w:b/>
                <w:sz w:val="22"/>
              </w:rPr>
            </w:pPr>
            <w:r w:rsidRPr="00F52285">
              <w:rPr>
                <w:rFonts w:ascii="Arial" w:eastAsia="Calibri" w:hAnsi="Arial" w:cs="Arial"/>
                <w:b/>
                <w:sz w:val="22"/>
              </w:rPr>
              <w:t>Radicación:</w:t>
            </w:r>
            <w:r w:rsidRPr="00F52285">
              <w:rPr>
                <w:rFonts w:ascii="Arial" w:eastAsia="Calibri" w:hAnsi="Arial" w:cs="Arial"/>
                <w:sz w:val="22"/>
              </w:rPr>
              <w:t xml:space="preserve">                              </w:t>
            </w:r>
          </w:p>
        </w:tc>
        <w:tc>
          <w:tcPr>
            <w:tcW w:w="5875" w:type="dxa"/>
          </w:tcPr>
          <w:p w14:paraId="47A34261" w14:textId="77777777" w:rsidR="009E2BF2" w:rsidRPr="00F52285" w:rsidRDefault="00646553">
            <w:pPr>
              <w:jc w:val="both"/>
              <w:rPr>
                <w:rFonts w:ascii="Arial" w:eastAsia="Calibri" w:hAnsi="Arial" w:cs="Arial"/>
                <w:sz w:val="22"/>
              </w:rPr>
            </w:pPr>
            <w:r w:rsidRPr="00F52285">
              <w:rPr>
                <w:rFonts w:ascii="Arial" w:eastAsia="Calibri" w:hAnsi="Arial" w:cs="Arial"/>
                <w:sz w:val="22"/>
              </w:rPr>
              <w:t xml:space="preserve">Respuesta a consulta # </w:t>
            </w:r>
            <w:r w:rsidR="00A06D38" w:rsidRPr="00F52285">
              <w:rPr>
                <w:rFonts w:ascii="Arial" w:eastAsia="Calibri" w:hAnsi="Arial" w:cs="Arial"/>
                <w:sz w:val="22"/>
              </w:rPr>
              <w:t>4</w:t>
            </w:r>
            <w:r w:rsidR="00291E58">
              <w:rPr>
                <w:rFonts w:ascii="Arial" w:eastAsia="Calibri" w:hAnsi="Arial" w:cs="Arial"/>
                <w:sz w:val="22"/>
              </w:rPr>
              <w:t>202012000004645</w:t>
            </w:r>
          </w:p>
        </w:tc>
      </w:tr>
    </w:tbl>
    <w:p w14:paraId="0AABCDC9" w14:textId="77777777" w:rsidR="009E2BF2" w:rsidRPr="00F52285" w:rsidRDefault="009E2BF2">
      <w:pPr>
        <w:jc w:val="both"/>
        <w:rPr>
          <w:rFonts w:ascii="Arial" w:eastAsia="Calibri" w:hAnsi="Arial" w:cs="Arial"/>
          <w:sz w:val="22"/>
        </w:rPr>
      </w:pPr>
    </w:p>
    <w:p w14:paraId="7C02474C" w14:textId="77777777" w:rsidR="009E2BF2" w:rsidRPr="00F52285" w:rsidRDefault="009E2BF2">
      <w:pPr>
        <w:rPr>
          <w:rFonts w:ascii="Arial" w:eastAsia="Calibri" w:hAnsi="Arial" w:cs="Arial"/>
          <w:sz w:val="22"/>
        </w:rPr>
      </w:pPr>
    </w:p>
    <w:p w14:paraId="7E76200C" w14:textId="77777777" w:rsidR="009E2BF2" w:rsidRPr="00F52285" w:rsidRDefault="00646553">
      <w:pPr>
        <w:rPr>
          <w:rFonts w:ascii="Arial" w:eastAsia="Calibri" w:hAnsi="Arial" w:cs="Arial"/>
          <w:sz w:val="22"/>
        </w:rPr>
      </w:pPr>
      <w:r w:rsidRPr="00F52285">
        <w:rPr>
          <w:rFonts w:ascii="Arial" w:eastAsia="Calibri" w:hAnsi="Arial" w:cs="Arial"/>
          <w:sz w:val="22"/>
        </w:rPr>
        <w:t>Estimad</w:t>
      </w:r>
      <w:r w:rsidR="00210D4A">
        <w:rPr>
          <w:rFonts w:ascii="Arial" w:eastAsia="Calibri" w:hAnsi="Arial" w:cs="Arial"/>
          <w:sz w:val="22"/>
        </w:rPr>
        <w:t>o</w:t>
      </w:r>
      <w:r w:rsidRPr="00F52285">
        <w:rPr>
          <w:rFonts w:ascii="Arial" w:eastAsia="Calibri" w:hAnsi="Arial" w:cs="Arial"/>
          <w:sz w:val="22"/>
        </w:rPr>
        <w:t xml:space="preserve"> señor </w:t>
      </w:r>
      <w:r w:rsidR="00291E58">
        <w:rPr>
          <w:rFonts w:ascii="Arial" w:eastAsia="Calibri" w:hAnsi="Arial" w:cs="Arial"/>
          <w:sz w:val="22"/>
        </w:rPr>
        <w:t>Moyano</w:t>
      </w:r>
      <w:r w:rsidRPr="00F52285">
        <w:rPr>
          <w:rFonts w:ascii="Arial" w:eastAsia="Calibri" w:hAnsi="Arial" w:cs="Arial"/>
          <w:sz w:val="22"/>
        </w:rPr>
        <w:t>,</w:t>
      </w:r>
    </w:p>
    <w:p w14:paraId="14B86CDD" w14:textId="77777777" w:rsidR="009E2BF2" w:rsidRPr="00F52285" w:rsidRDefault="009E2BF2">
      <w:pPr>
        <w:rPr>
          <w:rFonts w:ascii="Arial" w:eastAsia="Calibri" w:hAnsi="Arial" w:cs="Arial"/>
          <w:sz w:val="22"/>
        </w:rPr>
      </w:pPr>
    </w:p>
    <w:p w14:paraId="0235218C" w14:textId="785AFB41" w:rsidR="00210D4A" w:rsidRDefault="00646553" w:rsidP="00B22F64">
      <w:pPr>
        <w:spacing w:line="276" w:lineRule="auto"/>
        <w:ind w:right="51"/>
        <w:jc w:val="both"/>
        <w:rPr>
          <w:rFonts w:ascii="Arial" w:eastAsia="Calibri" w:hAnsi="Arial" w:cs="Arial"/>
          <w:sz w:val="22"/>
        </w:rPr>
      </w:pPr>
      <w:r w:rsidRPr="00F52285">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291E58">
        <w:rPr>
          <w:rFonts w:ascii="Arial" w:eastAsia="Calibri" w:hAnsi="Arial" w:cs="Arial"/>
          <w:sz w:val="22"/>
        </w:rPr>
        <w:t>5</w:t>
      </w:r>
      <w:r w:rsidR="00263389" w:rsidRPr="00F52285">
        <w:rPr>
          <w:rFonts w:ascii="Arial" w:eastAsia="Calibri" w:hAnsi="Arial" w:cs="Arial"/>
          <w:sz w:val="22"/>
        </w:rPr>
        <w:t xml:space="preserve"> de </w:t>
      </w:r>
      <w:r w:rsidR="00F52285" w:rsidRPr="00F52285">
        <w:rPr>
          <w:rFonts w:ascii="Arial" w:eastAsia="Calibri" w:hAnsi="Arial" w:cs="Arial"/>
          <w:sz w:val="22"/>
        </w:rPr>
        <w:t>junio de</w:t>
      </w:r>
      <w:r w:rsidRPr="00F52285">
        <w:rPr>
          <w:rFonts w:ascii="Arial" w:eastAsia="Calibri" w:hAnsi="Arial" w:cs="Arial"/>
          <w:sz w:val="22"/>
        </w:rPr>
        <w:t xml:space="preserve"> 2020. </w:t>
      </w:r>
    </w:p>
    <w:p w14:paraId="5565F49B" w14:textId="77777777" w:rsidR="004015DC" w:rsidRPr="00F52285" w:rsidRDefault="004015DC" w:rsidP="00B22F64">
      <w:pPr>
        <w:spacing w:line="276" w:lineRule="auto"/>
        <w:ind w:right="51"/>
        <w:jc w:val="both"/>
        <w:rPr>
          <w:rFonts w:ascii="Arial" w:eastAsia="Calibri" w:hAnsi="Arial" w:cs="Arial"/>
          <w:sz w:val="22"/>
        </w:rPr>
      </w:pPr>
    </w:p>
    <w:p w14:paraId="4B54A15F" w14:textId="77777777" w:rsidR="009E2BF2" w:rsidRPr="00F52285" w:rsidRDefault="00646553" w:rsidP="00B22F64">
      <w:pPr>
        <w:pStyle w:val="Prrafodelista"/>
        <w:tabs>
          <w:tab w:val="left" w:pos="284"/>
        </w:tabs>
        <w:spacing w:line="276" w:lineRule="auto"/>
        <w:ind w:left="0"/>
        <w:jc w:val="both"/>
        <w:rPr>
          <w:rFonts w:ascii="Arial" w:eastAsia="Calibri" w:hAnsi="Arial" w:cs="Arial"/>
          <w:b/>
          <w:sz w:val="22"/>
        </w:rPr>
      </w:pPr>
      <w:r w:rsidRPr="00F52285">
        <w:rPr>
          <w:rFonts w:ascii="Arial" w:eastAsia="Calibri" w:hAnsi="Arial" w:cs="Arial"/>
          <w:b/>
          <w:sz w:val="22"/>
        </w:rPr>
        <w:t>1. Problema planteado</w:t>
      </w:r>
    </w:p>
    <w:p w14:paraId="08BF851F" w14:textId="77777777" w:rsidR="009E2BF2" w:rsidRPr="00F52285" w:rsidRDefault="009E2BF2">
      <w:pPr>
        <w:tabs>
          <w:tab w:val="left" w:pos="426"/>
        </w:tabs>
        <w:spacing w:line="276" w:lineRule="auto"/>
        <w:jc w:val="both"/>
        <w:rPr>
          <w:rFonts w:ascii="Arial" w:eastAsia="Calibri" w:hAnsi="Arial" w:cs="Arial"/>
          <w:b/>
          <w:sz w:val="22"/>
        </w:rPr>
      </w:pPr>
    </w:p>
    <w:p w14:paraId="3662A4F1" w14:textId="5DA24F3E" w:rsidR="009E2BF2" w:rsidRDefault="00646553">
      <w:pPr>
        <w:tabs>
          <w:tab w:val="left" w:pos="426"/>
        </w:tabs>
        <w:spacing w:line="276" w:lineRule="auto"/>
        <w:jc w:val="both"/>
        <w:rPr>
          <w:rFonts w:ascii="Arial" w:eastAsia="Calibri" w:hAnsi="Arial" w:cs="Arial"/>
          <w:sz w:val="22"/>
        </w:rPr>
      </w:pPr>
      <w:r w:rsidRPr="00F52285">
        <w:rPr>
          <w:rFonts w:ascii="Arial" w:eastAsia="Calibri" w:hAnsi="Arial" w:cs="Arial"/>
          <w:sz w:val="22"/>
        </w:rPr>
        <w:t xml:space="preserve">Usted </w:t>
      </w:r>
      <w:r w:rsidR="007272D9" w:rsidRPr="00F52285">
        <w:rPr>
          <w:rFonts w:ascii="Arial" w:eastAsia="Calibri" w:hAnsi="Arial" w:cs="Arial"/>
          <w:sz w:val="22"/>
        </w:rPr>
        <w:t xml:space="preserve">solicita </w:t>
      </w:r>
      <w:r w:rsidR="004015DC">
        <w:rPr>
          <w:rFonts w:ascii="Arial" w:eastAsia="Calibri" w:hAnsi="Arial" w:cs="Arial"/>
          <w:sz w:val="22"/>
        </w:rPr>
        <w:t xml:space="preserve">que se aclaren ciertos aspectos de </w:t>
      </w:r>
      <w:r w:rsidR="007272D9" w:rsidRPr="00F52285">
        <w:rPr>
          <w:rFonts w:ascii="Arial" w:eastAsia="Calibri" w:hAnsi="Arial" w:cs="Arial"/>
          <w:sz w:val="22"/>
        </w:rPr>
        <w:t xml:space="preserve">la fórmula de ponderación de la </w:t>
      </w:r>
      <w:r w:rsidR="00B568EA" w:rsidRPr="00F52285">
        <w:rPr>
          <w:rFonts w:ascii="Arial" w:eastAsia="Calibri" w:hAnsi="Arial" w:cs="Arial"/>
          <w:sz w:val="22"/>
        </w:rPr>
        <w:t>propuesta</w:t>
      </w:r>
      <w:r w:rsidR="007272D9" w:rsidRPr="00F52285">
        <w:rPr>
          <w:rFonts w:ascii="Arial" w:eastAsia="Calibri" w:hAnsi="Arial" w:cs="Arial"/>
          <w:sz w:val="22"/>
        </w:rPr>
        <w:t xml:space="preserve"> económica correspondiente a la Media Geométrica, contenida en los documentos tipo.  </w:t>
      </w:r>
    </w:p>
    <w:p w14:paraId="015E919D" w14:textId="77777777" w:rsidR="005F61F6" w:rsidRPr="00F52285" w:rsidRDefault="005F61F6">
      <w:pPr>
        <w:tabs>
          <w:tab w:val="left" w:pos="426"/>
        </w:tabs>
        <w:spacing w:line="276" w:lineRule="auto"/>
        <w:jc w:val="both"/>
        <w:rPr>
          <w:rFonts w:ascii="Arial" w:eastAsia="Calibri" w:hAnsi="Arial" w:cs="Arial"/>
          <w:sz w:val="22"/>
        </w:rPr>
      </w:pPr>
    </w:p>
    <w:p w14:paraId="2404E245" w14:textId="77777777" w:rsidR="009E2BF2" w:rsidRDefault="00646553">
      <w:pPr>
        <w:tabs>
          <w:tab w:val="left" w:pos="426"/>
        </w:tabs>
        <w:spacing w:line="276" w:lineRule="auto"/>
        <w:jc w:val="both"/>
        <w:rPr>
          <w:rFonts w:ascii="Arial" w:eastAsia="Calibri" w:hAnsi="Arial" w:cs="Arial"/>
          <w:b/>
          <w:sz w:val="22"/>
        </w:rPr>
      </w:pPr>
      <w:r w:rsidRPr="00F52285">
        <w:rPr>
          <w:rFonts w:ascii="Arial" w:eastAsia="Calibri" w:hAnsi="Arial" w:cs="Arial"/>
          <w:b/>
          <w:sz w:val="22"/>
        </w:rPr>
        <w:t>2. Consideraciones</w:t>
      </w:r>
    </w:p>
    <w:p w14:paraId="5F1620E2" w14:textId="04AE430E" w:rsidR="009E2BF2" w:rsidRPr="00F52285" w:rsidRDefault="00646553" w:rsidP="00F74E71">
      <w:pPr>
        <w:spacing w:before="120" w:after="120" w:line="276" w:lineRule="auto"/>
        <w:jc w:val="both"/>
        <w:rPr>
          <w:rFonts w:ascii="Times New Roman" w:eastAsia="Times New Roman" w:hAnsi="Times New Roman" w:cs="Times New Roman"/>
          <w:szCs w:val="24"/>
          <w:lang w:eastAsia="es-ES_tradnl"/>
        </w:rPr>
      </w:pPr>
      <w:r w:rsidRPr="00F52285">
        <w:rPr>
          <w:rFonts w:ascii="Arial" w:eastAsia="Calibri" w:hAnsi="Arial" w:cs="Arial"/>
          <w:bCs/>
          <w:sz w:val="22"/>
        </w:rPr>
        <w:lastRenderedPageBreak/>
        <w:t>Teniendo en cuenta que la consulta se realiza sobre la Versión 2 de los «Documentos Tipo» para licitación de obra pública de infraestructura de transporte, las consideraciones que se presentan a continuación están relacionadas con el «Documento Base».</w:t>
      </w:r>
      <w:r w:rsidRPr="00F52285">
        <w:rPr>
          <w:rFonts w:ascii="Arial" w:hAnsi="Arial" w:cs="Arial"/>
          <w:sz w:val="22"/>
        </w:rPr>
        <w:t xml:space="preserve"> La Agencia Nacional de Contratación Pública - Colombia Compra Eficiente, </w:t>
      </w:r>
      <w:r w:rsidRPr="00F52285">
        <w:rPr>
          <w:rFonts w:ascii="Arial" w:eastAsia="Calibri" w:hAnsi="Arial" w:cs="Arial"/>
          <w:sz w:val="22"/>
        </w:rPr>
        <w:t xml:space="preserve">en </w:t>
      </w:r>
      <w:r w:rsidR="004015DC">
        <w:rPr>
          <w:rFonts w:ascii="Arial" w:eastAsia="Calibri" w:hAnsi="Arial" w:cs="Arial"/>
          <w:sz w:val="22"/>
        </w:rPr>
        <w:t>los</w:t>
      </w:r>
      <w:r w:rsidRPr="00F52285">
        <w:rPr>
          <w:rFonts w:ascii="Arial" w:eastAsia="Calibri" w:hAnsi="Arial" w:cs="Arial"/>
          <w:sz w:val="22"/>
        </w:rPr>
        <w:t xml:space="preserve"> concepto</w:t>
      </w:r>
      <w:r w:rsidR="004015DC">
        <w:rPr>
          <w:rFonts w:ascii="Arial" w:eastAsia="Calibri" w:hAnsi="Arial" w:cs="Arial"/>
          <w:sz w:val="22"/>
        </w:rPr>
        <w:t>s:</w:t>
      </w:r>
      <w:r w:rsidRPr="00F52285">
        <w:rPr>
          <w:rFonts w:ascii="Arial" w:eastAsia="Calibri" w:hAnsi="Arial" w:cs="Arial"/>
          <w:sz w:val="22"/>
        </w:rPr>
        <w:t xml:space="preserve"> con </w:t>
      </w:r>
      <w:r w:rsidR="004015DC">
        <w:rPr>
          <w:rFonts w:ascii="Arial" w:eastAsia="Calibri" w:hAnsi="Arial" w:cs="Arial"/>
          <w:sz w:val="22"/>
        </w:rPr>
        <w:t xml:space="preserve">radicado </w:t>
      </w:r>
      <w:r w:rsidR="00F74E71" w:rsidRPr="00F52285">
        <w:rPr>
          <w:rFonts w:ascii="Arial" w:eastAsia="Times New Roman" w:hAnsi="Arial" w:cs="Arial"/>
          <w:color w:val="000000"/>
          <w:sz w:val="22"/>
          <w:bdr w:val="none" w:sz="0" w:space="0" w:color="auto" w:frame="1"/>
          <w:lang w:eastAsia="es-ES_tradnl"/>
        </w:rPr>
        <w:t xml:space="preserve">No. 4202015000001211 del 3 de marzo de 2020, reiterado en el </w:t>
      </w:r>
      <w:r w:rsidR="004015DC">
        <w:rPr>
          <w:rFonts w:ascii="Arial" w:eastAsia="Times New Roman" w:hAnsi="Arial" w:cs="Arial"/>
          <w:color w:val="000000"/>
          <w:sz w:val="22"/>
          <w:bdr w:val="none" w:sz="0" w:space="0" w:color="auto" w:frame="1"/>
          <w:lang w:eastAsia="es-ES_tradnl"/>
        </w:rPr>
        <w:t xml:space="preserve">radicado </w:t>
      </w:r>
      <w:r w:rsidR="00F74E71" w:rsidRPr="00F52285">
        <w:rPr>
          <w:rFonts w:ascii="Arial" w:eastAsia="Times New Roman" w:hAnsi="Arial" w:cs="Arial"/>
          <w:color w:val="000000"/>
          <w:sz w:val="22"/>
          <w:bdr w:val="none" w:sz="0" w:space="0" w:color="auto" w:frame="1"/>
          <w:lang w:eastAsia="es-ES_tradnl"/>
        </w:rPr>
        <w:t xml:space="preserve">No. 4202013000001564 del 18 de marzo de </w:t>
      </w:r>
      <w:r w:rsidR="00B568EA" w:rsidRPr="00F52285">
        <w:rPr>
          <w:rFonts w:ascii="Arial" w:eastAsia="Times New Roman" w:hAnsi="Arial" w:cs="Arial"/>
          <w:color w:val="000000"/>
          <w:sz w:val="22"/>
          <w:bdr w:val="none" w:sz="0" w:space="0" w:color="auto" w:frame="1"/>
          <w:lang w:eastAsia="es-ES_tradnl"/>
        </w:rPr>
        <w:t>2020, C</w:t>
      </w:r>
      <w:r w:rsidR="00F74E71" w:rsidRPr="00F52285">
        <w:rPr>
          <w:rFonts w:ascii="Arial" w:eastAsia="Times New Roman" w:hAnsi="Arial" w:cs="Arial"/>
          <w:color w:val="000000"/>
          <w:sz w:val="22"/>
          <w:bdr w:val="none" w:sz="0" w:space="0" w:color="auto" w:frame="1"/>
          <w:lang w:eastAsia="es-ES_tradnl"/>
        </w:rPr>
        <w:t>-224 del 21 de abril de 2020, C-347 del 26 de mayo de 2020</w:t>
      </w:r>
      <w:r w:rsidR="005F61F6">
        <w:rPr>
          <w:rFonts w:ascii="Arial" w:eastAsia="Times New Roman" w:hAnsi="Arial" w:cs="Arial"/>
          <w:color w:val="000000"/>
          <w:sz w:val="22"/>
          <w:bdr w:val="none" w:sz="0" w:space="0" w:color="auto" w:frame="1"/>
          <w:lang w:eastAsia="es-ES_tradnl"/>
        </w:rPr>
        <w:t xml:space="preserve">, </w:t>
      </w:r>
      <w:r w:rsidR="00B568EA" w:rsidRPr="00F52285">
        <w:rPr>
          <w:rFonts w:ascii="Arial" w:eastAsia="Times New Roman" w:hAnsi="Arial" w:cs="Arial"/>
          <w:color w:val="000000"/>
          <w:sz w:val="22"/>
          <w:bdr w:val="none" w:sz="0" w:space="0" w:color="auto" w:frame="1"/>
          <w:lang w:eastAsia="es-ES_tradnl"/>
        </w:rPr>
        <w:t>C</w:t>
      </w:r>
      <w:r w:rsidR="00F74E71" w:rsidRPr="00F52285">
        <w:rPr>
          <w:rFonts w:ascii="Arial" w:eastAsia="Times New Roman" w:hAnsi="Arial" w:cs="Arial"/>
          <w:color w:val="000000"/>
          <w:sz w:val="22"/>
          <w:bdr w:val="none" w:sz="0" w:space="0" w:color="auto" w:frame="1"/>
          <w:lang w:eastAsia="es-ES_tradnl"/>
        </w:rPr>
        <w:t xml:space="preserve">-315 del 28 de mayo de 2020 </w:t>
      </w:r>
      <w:r w:rsidR="00F07080">
        <w:rPr>
          <w:rFonts w:ascii="Arial" w:eastAsia="Times New Roman" w:hAnsi="Arial" w:cs="Arial"/>
          <w:color w:val="000000"/>
          <w:sz w:val="22"/>
          <w:bdr w:val="none" w:sz="0" w:space="0" w:color="auto" w:frame="1"/>
          <w:lang w:eastAsia="es-ES_tradnl"/>
        </w:rPr>
        <w:t xml:space="preserve">y C-394 de 2020, </w:t>
      </w:r>
      <w:r w:rsidRPr="00F52285">
        <w:rPr>
          <w:rFonts w:ascii="Arial" w:eastAsia="Calibri" w:hAnsi="Arial" w:cs="Arial"/>
          <w:sz w:val="22"/>
        </w:rPr>
        <w:t xml:space="preserve">estudió los métodos de ponderación de la propuesta económica de los «Documentos Tipo – Versión 2». La tesis desarrollada </w:t>
      </w:r>
      <w:r w:rsidR="00F07080">
        <w:rPr>
          <w:rFonts w:ascii="Arial" w:eastAsia="Calibri" w:hAnsi="Arial" w:cs="Arial"/>
          <w:sz w:val="22"/>
        </w:rPr>
        <w:t xml:space="preserve">en </w:t>
      </w:r>
      <w:r w:rsidRPr="00F52285">
        <w:rPr>
          <w:rFonts w:ascii="Arial" w:eastAsia="Calibri" w:hAnsi="Arial" w:cs="Arial"/>
          <w:sz w:val="22"/>
        </w:rPr>
        <w:t xml:space="preserve">se expone a continuación. </w:t>
      </w:r>
    </w:p>
    <w:p w14:paraId="6EF86726" w14:textId="2B704DE0"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El «Documento Base», en el numeral 4.1.4., dispone los métodos de ponderación de la propuesta económica presentando 4 alternativas: i) mediana con valor absoluto, </w:t>
      </w:r>
      <w:proofErr w:type="spellStart"/>
      <w:r w:rsidRPr="00F52285">
        <w:rPr>
          <w:rFonts w:ascii="Arial" w:eastAsia="Calibri" w:hAnsi="Arial" w:cs="Arial"/>
          <w:sz w:val="22"/>
        </w:rPr>
        <w:t>ii</w:t>
      </w:r>
      <w:proofErr w:type="spellEnd"/>
      <w:r w:rsidRPr="00F52285">
        <w:rPr>
          <w:rFonts w:ascii="Arial" w:eastAsia="Calibri" w:hAnsi="Arial" w:cs="Arial"/>
          <w:sz w:val="22"/>
        </w:rPr>
        <w:t xml:space="preserve">) media geométrica, </w:t>
      </w:r>
      <w:proofErr w:type="spellStart"/>
      <w:r w:rsidRPr="00F52285">
        <w:rPr>
          <w:rFonts w:ascii="Arial" w:eastAsia="Calibri" w:hAnsi="Arial" w:cs="Arial"/>
          <w:sz w:val="22"/>
        </w:rPr>
        <w:t>iii</w:t>
      </w:r>
      <w:proofErr w:type="spellEnd"/>
      <w:r w:rsidRPr="00F52285">
        <w:rPr>
          <w:rFonts w:ascii="Arial" w:eastAsia="Calibri" w:hAnsi="Arial" w:cs="Arial"/>
          <w:sz w:val="22"/>
        </w:rPr>
        <w:t xml:space="preserve">) media aritmética baja y </w:t>
      </w:r>
      <w:proofErr w:type="spellStart"/>
      <w:r w:rsidRPr="00F52285">
        <w:rPr>
          <w:rFonts w:ascii="Arial" w:eastAsia="Calibri" w:hAnsi="Arial" w:cs="Arial"/>
          <w:sz w:val="22"/>
        </w:rPr>
        <w:t>iv</w:t>
      </w:r>
      <w:proofErr w:type="spellEnd"/>
      <w:r w:rsidRPr="00F52285">
        <w:rPr>
          <w:rFonts w:ascii="Arial" w:eastAsia="Calibri" w:hAnsi="Arial" w:cs="Arial"/>
          <w:sz w:val="22"/>
        </w:rPr>
        <w:t>) menor valor</w:t>
      </w:r>
      <w:r w:rsidRPr="00F52285">
        <w:rPr>
          <w:rStyle w:val="Refdenotaalpie"/>
          <w:rFonts w:ascii="Arial" w:eastAsia="Calibri" w:hAnsi="Arial" w:cs="Arial"/>
          <w:sz w:val="22"/>
        </w:rPr>
        <w:footnoteReference w:id="1"/>
      </w:r>
      <w:r w:rsidRPr="00F52285">
        <w:rPr>
          <w:rFonts w:ascii="Arial" w:eastAsia="Calibri" w:hAnsi="Arial" w:cs="Arial"/>
          <w:sz w:val="22"/>
        </w:rPr>
        <w:t xml:space="preserve">. </w:t>
      </w:r>
      <w:r w:rsidR="004015DC">
        <w:rPr>
          <w:rFonts w:ascii="Arial" w:eastAsia="Calibri" w:hAnsi="Arial" w:cs="Arial"/>
          <w:sz w:val="22"/>
        </w:rPr>
        <w:t xml:space="preserve">La justificación </w:t>
      </w:r>
      <w:r w:rsidRPr="00F52285">
        <w:rPr>
          <w:rFonts w:ascii="Arial" w:eastAsia="Calibri" w:hAnsi="Arial" w:cs="Arial"/>
          <w:sz w:val="22"/>
        </w:rPr>
        <w:t xml:space="preserve">de estas fórmulas para asignar puntaje a la propuesta económica, </w:t>
      </w:r>
      <w:r w:rsidR="004015DC">
        <w:rPr>
          <w:rFonts w:ascii="Arial" w:eastAsia="Calibri" w:hAnsi="Arial" w:cs="Arial"/>
          <w:sz w:val="22"/>
        </w:rPr>
        <w:t>se presentan a continuación.</w:t>
      </w:r>
    </w:p>
    <w:p w14:paraId="4A9A0FF8" w14:textId="77777777"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Con el fin de incrementar la participación en los procedimientos de contratación a nivel nacional, y alcanzar los demás beneficios que trae la adopción de los documentos tipo por el Gobierno Nacional, la Agencia Nacional de Contratación Pública lideró mesas técnicas para la estructuración de los documentos de licitación de obra pública de infraestructura de transporte, que contaron con la presencia del Departamento Nacional de Planeación  ̶ DNP ̶ , el Ministerio de Transporte, la Cámara Colombiana de Infraestructura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Documentos Tipo, desarrollados por esta entidad a través de la Resolución No. 1798 de 2019.</w:t>
      </w:r>
    </w:p>
    <w:p w14:paraId="13637DFB" w14:textId="77777777" w:rsidR="009E2BF2" w:rsidRPr="00F52285" w:rsidRDefault="00646553">
      <w:pPr>
        <w:spacing w:line="276" w:lineRule="auto"/>
        <w:ind w:firstLine="709"/>
        <w:jc w:val="both"/>
        <w:rPr>
          <w:rFonts w:ascii="Arial" w:eastAsia="Calibri" w:hAnsi="Arial" w:cs="Arial"/>
          <w:sz w:val="22"/>
        </w:rPr>
      </w:pPr>
      <w:r w:rsidRPr="00F52285">
        <w:rPr>
          <w:rFonts w:ascii="Arial" w:eastAsia="Calibri" w:hAnsi="Arial" w:cs="Arial"/>
          <w:sz w:val="22"/>
        </w:rPr>
        <w:t>Frente a la estandarización de los criterios de evaluación, el artículo 1º de la Ley 1882 de 2018 dispuso que:</w:t>
      </w:r>
    </w:p>
    <w:p w14:paraId="6AE4B456" w14:textId="77777777" w:rsidR="009E2BF2" w:rsidRPr="00F52285" w:rsidRDefault="009E2BF2">
      <w:pPr>
        <w:spacing w:line="276" w:lineRule="auto"/>
        <w:jc w:val="both"/>
        <w:rPr>
          <w:rFonts w:ascii="Arial" w:eastAsia="Calibri" w:hAnsi="Arial" w:cs="Arial"/>
          <w:sz w:val="22"/>
        </w:rPr>
      </w:pPr>
    </w:p>
    <w:p w14:paraId="62E7433F" w14:textId="0E685874" w:rsidR="009E2BF2" w:rsidRPr="00F52285" w:rsidRDefault="00646553">
      <w:pPr>
        <w:ind w:left="709" w:right="709"/>
        <w:jc w:val="both"/>
        <w:rPr>
          <w:rFonts w:ascii="Arial" w:eastAsia="Calibri" w:hAnsi="Arial" w:cs="Arial"/>
          <w:sz w:val="21"/>
          <w:szCs w:val="21"/>
        </w:rPr>
      </w:pPr>
      <w:r w:rsidRPr="00F52285">
        <w:rPr>
          <w:rFonts w:ascii="Arial" w:eastAsia="Calibri" w:hAnsi="Arial" w:cs="Arial"/>
          <w:sz w:val="21"/>
          <w:szCs w:val="21"/>
        </w:rPr>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w:t>
      </w:r>
      <w:r w:rsidRPr="00F52285">
        <w:rPr>
          <w:rFonts w:ascii="Arial" w:eastAsia="Calibri" w:hAnsi="Arial" w:cs="Arial"/>
          <w:i/>
          <w:iCs/>
          <w:sz w:val="21"/>
          <w:szCs w:val="21"/>
        </w:rPr>
        <w:t>a través del mecanismo escogido mediante el método aleatorio que se establezca en los pliegos de condiciones</w:t>
      </w:r>
      <w:r w:rsidRPr="00F52285">
        <w:rPr>
          <w:rFonts w:ascii="Arial" w:eastAsia="Calibri" w:hAnsi="Arial" w:cs="Arial"/>
          <w:sz w:val="21"/>
          <w:szCs w:val="21"/>
        </w:rPr>
        <w:t>, corriendo traslado a los proponentes habilitados en la misma diligencia solo para la revisión del aspecto económico y se establecerá el orden de elegibilidad. (Cursiva fuera del texto original)</w:t>
      </w:r>
    </w:p>
    <w:p w14:paraId="5D0BB967" w14:textId="77777777" w:rsidR="009E2BF2" w:rsidRPr="00F52285" w:rsidRDefault="009E2BF2">
      <w:pPr>
        <w:spacing w:line="276" w:lineRule="auto"/>
        <w:jc w:val="both"/>
        <w:rPr>
          <w:rFonts w:ascii="Arial" w:eastAsia="Calibri" w:hAnsi="Arial" w:cs="Arial"/>
          <w:sz w:val="22"/>
        </w:rPr>
      </w:pPr>
    </w:p>
    <w:p w14:paraId="25D48561" w14:textId="7648D04F"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Los «Documentos Tipo» de licitación de obra pública de infraestructura de transporte determinan cuál es el método aleatorio para evaluar la oferta económica</w:t>
      </w:r>
      <w:r w:rsidR="001B73C1">
        <w:rPr>
          <w:rFonts w:ascii="Arial" w:eastAsia="Calibri" w:hAnsi="Arial" w:cs="Arial"/>
          <w:sz w:val="22"/>
        </w:rPr>
        <w:t>,</w:t>
      </w:r>
      <w:r w:rsidRPr="00F52285">
        <w:rPr>
          <w:rFonts w:ascii="Arial" w:eastAsia="Calibri" w:hAnsi="Arial" w:cs="Arial"/>
          <w:sz w:val="22"/>
        </w:rPr>
        <w:t xml:space="preserve"> con base en los resultados arrojados por las mesas técnicas. La determinación del método obedece a la realización de un estudio y simulación que tuvo en cuenta todas las fórmulas utilizadas y propuestas por la ANI, el INVIAS, el IDU y CCE</w:t>
      </w:r>
      <w:r w:rsidRPr="00F52285">
        <w:rPr>
          <w:rStyle w:val="Refdenotaalpie"/>
          <w:rFonts w:ascii="Arial" w:eastAsia="Calibri" w:hAnsi="Arial" w:cs="Arial"/>
          <w:sz w:val="22"/>
        </w:rPr>
        <w:footnoteReference w:id="2"/>
      </w:r>
      <w:r w:rsidRPr="00F52285">
        <w:rPr>
          <w:rFonts w:ascii="Arial" w:eastAsia="Calibri" w:hAnsi="Arial" w:cs="Arial"/>
          <w:sz w:val="22"/>
        </w:rPr>
        <w:t xml:space="preserve">, que consistió en: i) estandarización de los nombres y notación de las variables y </w:t>
      </w:r>
      <w:proofErr w:type="spellStart"/>
      <w:r w:rsidRPr="00F52285">
        <w:rPr>
          <w:rFonts w:ascii="Arial" w:eastAsia="Calibri" w:hAnsi="Arial" w:cs="Arial"/>
          <w:sz w:val="22"/>
        </w:rPr>
        <w:t>ii</w:t>
      </w:r>
      <w:proofErr w:type="spellEnd"/>
      <w:r w:rsidRPr="00F52285">
        <w:rPr>
          <w:rFonts w:ascii="Arial" w:eastAsia="Calibri" w:hAnsi="Arial" w:cs="Arial"/>
          <w:sz w:val="22"/>
        </w:rPr>
        <w:t>)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Discontinuidades, Valores indeterminados o Valores negativos.</w:t>
      </w:r>
    </w:p>
    <w:p w14:paraId="650D8F5C" w14:textId="77777777" w:rsidR="009E2BF2" w:rsidRPr="00F52285" w:rsidRDefault="00646553" w:rsidP="00B22F64">
      <w:pPr>
        <w:spacing w:line="276" w:lineRule="auto"/>
        <w:ind w:firstLine="709"/>
        <w:jc w:val="both"/>
        <w:rPr>
          <w:rFonts w:ascii="Arial" w:eastAsia="Calibri" w:hAnsi="Arial" w:cs="Arial"/>
          <w:sz w:val="22"/>
        </w:rPr>
      </w:pPr>
      <w:r w:rsidRPr="00F52285">
        <w:rPr>
          <w:rFonts w:ascii="Arial" w:eastAsia="Calibri" w:hAnsi="Arial" w:cs="Arial"/>
          <w:sz w:val="22"/>
        </w:rPr>
        <w:t>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establecido en los Documentos Tipo para la evaluación responden a la necesidad de reducir el riesgo de colusión y promover la efectiva competencia en los procedimientos de obra pública, en atención a los criterios establecidos por la Superintendencia de Industria y Comercio</w:t>
      </w:r>
      <w:r w:rsidRPr="00F52285">
        <w:rPr>
          <w:rStyle w:val="Refdenotaalpie"/>
          <w:rFonts w:ascii="Arial" w:eastAsia="Calibri" w:hAnsi="Arial" w:cs="Arial"/>
          <w:sz w:val="22"/>
        </w:rPr>
        <w:footnoteReference w:id="3"/>
      </w:r>
      <w:r w:rsidRPr="00F52285">
        <w:rPr>
          <w:rFonts w:ascii="Arial" w:eastAsia="Calibri" w:hAnsi="Arial" w:cs="Arial"/>
          <w:sz w:val="22"/>
        </w:rPr>
        <w:t xml:space="preserve"> y Colombia Compra Eficiente</w:t>
      </w:r>
      <w:r w:rsidRPr="00F52285">
        <w:rPr>
          <w:rStyle w:val="Refdenotaalpie"/>
          <w:rFonts w:ascii="Arial" w:eastAsia="Calibri" w:hAnsi="Arial" w:cs="Arial"/>
          <w:sz w:val="22"/>
        </w:rPr>
        <w:footnoteReference w:id="4"/>
      </w:r>
      <w:r w:rsidRPr="00F52285">
        <w:rPr>
          <w:rFonts w:ascii="Arial" w:eastAsia="Calibri" w:hAnsi="Arial" w:cs="Arial"/>
          <w:sz w:val="22"/>
        </w:rPr>
        <w:t>.</w:t>
      </w:r>
    </w:p>
    <w:p w14:paraId="5441B44E" w14:textId="24148112" w:rsidR="009E2BF2" w:rsidRPr="00F52285" w:rsidRDefault="00646553">
      <w:pPr>
        <w:spacing w:line="276" w:lineRule="auto"/>
        <w:ind w:firstLine="708"/>
        <w:jc w:val="both"/>
        <w:rPr>
          <w:rFonts w:ascii="Arial" w:eastAsia="Calibri" w:hAnsi="Arial" w:cs="Arial"/>
          <w:sz w:val="22"/>
        </w:rPr>
      </w:pPr>
      <w:r w:rsidRPr="00F52285">
        <w:rPr>
          <w:rFonts w:ascii="Arial" w:eastAsia="Calibri" w:hAnsi="Arial" w:cs="Arial"/>
          <w:sz w:val="22"/>
        </w:rPr>
        <w:lastRenderedPageBreak/>
        <w:t>Así, la entidad escogerá uno u otro método de ponderación, de acuerdo con la Tasa de Cambio Representativa del Mercado –TRM– del día hábil siguiente al día en que efectivamente sea la apertura del segundo sobre de la oferta, que contiene la oferta económica. La entidad debe tener en cuenta los centavos de la TRM para definir el método de ponderación</w:t>
      </w:r>
      <w:r w:rsidR="001B73C1">
        <w:rPr>
          <w:rFonts w:ascii="Arial" w:eastAsia="Calibri" w:hAnsi="Arial" w:cs="Arial"/>
          <w:sz w:val="22"/>
        </w:rPr>
        <w:t>,</w:t>
      </w:r>
      <w:r w:rsidRPr="00F52285">
        <w:rPr>
          <w:rFonts w:ascii="Arial" w:eastAsia="Calibri" w:hAnsi="Arial" w:cs="Arial"/>
          <w:sz w:val="22"/>
        </w:rPr>
        <w:t xml:space="preserve"> de acuerdo con los rangos del siguiente cuadro:</w:t>
      </w:r>
    </w:p>
    <w:p w14:paraId="77AF0626" w14:textId="77777777" w:rsidR="009E2BF2" w:rsidRPr="00F52285" w:rsidRDefault="009E2BF2">
      <w:pPr>
        <w:spacing w:line="276" w:lineRule="auto"/>
        <w:ind w:firstLine="708"/>
        <w:jc w:val="both"/>
        <w:rPr>
          <w:rFonts w:ascii="Arial" w:eastAsia="Calibri" w:hAnsi="Arial" w:cs="Arial"/>
          <w:sz w:val="22"/>
        </w:rPr>
      </w:pPr>
    </w:p>
    <w:p w14:paraId="108BDCA3" w14:textId="77777777" w:rsidR="009E2BF2" w:rsidRPr="00F52285" w:rsidRDefault="009E2BF2">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9"/>
        <w:gridCol w:w="2503"/>
      </w:tblGrid>
      <w:tr w:rsidR="009E2BF2" w:rsidRPr="00F52285" w14:paraId="7739C321" w14:textId="77777777">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tcPr>
          <w:p w14:paraId="609C245E"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Rango</w:t>
            </w:r>
            <w:r w:rsidRPr="00F52285">
              <w:rPr>
                <w:rFonts w:eastAsia="Arial,Calibri" w:cs="Arial"/>
                <w:b/>
                <w:bCs/>
                <w:sz w:val="16"/>
                <w:szCs w:val="16"/>
              </w:rPr>
              <w:t xml:space="preserve"> </w:t>
            </w:r>
            <w:r w:rsidRPr="00F52285">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tcPr>
          <w:p w14:paraId="612C0B1B"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tcPr>
          <w:p w14:paraId="71B2E64B"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Método</w:t>
            </w:r>
          </w:p>
        </w:tc>
      </w:tr>
      <w:tr w:rsidR="009E2BF2" w:rsidRPr="00F52285" w14:paraId="35CA9463"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7DFFBACD"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tcPr>
          <w:p w14:paraId="56AE4761"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1</w:t>
            </w:r>
          </w:p>
        </w:tc>
        <w:tc>
          <w:tcPr>
            <w:tcW w:w="2503" w:type="dxa"/>
            <w:tcBorders>
              <w:top w:val="single" w:sz="4" w:space="0" w:color="auto"/>
              <w:left w:val="single" w:sz="4" w:space="0" w:color="auto"/>
              <w:bottom w:val="single" w:sz="4" w:space="0" w:color="auto"/>
              <w:right w:val="double" w:sz="4" w:space="0" w:color="auto"/>
            </w:tcBorders>
            <w:vAlign w:val="center"/>
          </w:tcPr>
          <w:p w14:paraId="76F52648"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Mediana con valor absoluto</w:t>
            </w:r>
          </w:p>
        </w:tc>
      </w:tr>
      <w:tr w:rsidR="009E2BF2" w:rsidRPr="00F52285" w14:paraId="0ED3BFA9" w14:textId="77777777">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tcPr>
          <w:p w14:paraId="37AB7A19"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tcPr>
          <w:p w14:paraId="4877ECA5" w14:textId="77777777" w:rsidR="009E2BF2" w:rsidRPr="00F52285" w:rsidRDefault="00646553">
            <w:pPr>
              <w:spacing w:line="276" w:lineRule="auto"/>
              <w:jc w:val="center"/>
              <w:rPr>
                <w:rFonts w:eastAsia="Arial,Times New Roman" w:cs="Arial"/>
                <w:sz w:val="16"/>
                <w:szCs w:val="16"/>
                <w:lang w:eastAsia="es-CO"/>
              </w:rPr>
            </w:pPr>
            <w:r w:rsidRPr="00F52285">
              <w:rPr>
                <w:rFonts w:eastAsia="Arial,Times New Roman" w:cs="Arial"/>
                <w:sz w:val="16"/>
                <w:szCs w:val="16"/>
                <w:lang w:eastAsia="es-CO"/>
              </w:rPr>
              <w:t>2</w:t>
            </w:r>
          </w:p>
        </w:tc>
        <w:tc>
          <w:tcPr>
            <w:tcW w:w="2503" w:type="dxa"/>
            <w:tcBorders>
              <w:top w:val="single" w:sz="4" w:space="0" w:color="auto"/>
              <w:left w:val="single" w:sz="4" w:space="0" w:color="auto"/>
              <w:bottom w:val="single" w:sz="4" w:space="0" w:color="auto"/>
              <w:right w:val="double" w:sz="4" w:space="0" w:color="auto"/>
            </w:tcBorders>
            <w:vAlign w:val="center"/>
          </w:tcPr>
          <w:p w14:paraId="3BBE4E6F"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Media geométrica</w:t>
            </w:r>
          </w:p>
        </w:tc>
      </w:tr>
      <w:tr w:rsidR="009E2BF2" w:rsidRPr="00F52285" w14:paraId="59E7BC96"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C6C66DF"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15B366DC"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1E7DC47D"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Media aritmética baja</w:t>
            </w:r>
          </w:p>
        </w:tc>
      </w:tr>
      <w:tr w:rsidR="009E2BF2" w:rsidRPr="00F52285" w14:paraId="305A2E97" w14:textId="77777777">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2A3AA3C8"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26A9E89B"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5F4D3795"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Menor valor</w:t>
            </w:r>
          </w:p>
        </w:tc>
      </w:tr>
    </w:tbl>
    <w:p w14:paraId="0EBA1A12" w14:textId="77777777" w:rsidR="009E2BF2" w:rsidRPr="00F52285" w:rsidRDefault="009E2BF2">
      <w:pPr>
        <w:spacing w:line="276" w:lineRule="auto"/>
        <w:ind w:firstLine="708"/>
        <w:jc w:val="both"/>
        <w:rPr>
          <w:rFonts w:ascii="Arial" w:eastAsia="Calibri" w:hAnsi="Arial" w:cs="Arial"/>
          <w:sz w:val="22"/>
        </w:rPr>
      </w:pPr>
    </w:p>
    <w:p w14:paraId="1486D565" w14:textId="77777777"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sobre su pregunta, el numeral 4.1.4. del Documento Base señala como una de las alternativas para escoger el método de ponderación de la propuesta económica, la media geométrica cuya fórmula es:</w:t>
      </w:r>
    </w:p>
    <w:p w14:paraId="13B547A8" w14:textId="77777777" w:rsidR="009E2BF2" w:rsidRPr="00F52285" w:rsidRDefault="00646553">
      <w:pPr>
        <w:spacing w:after="200"/>
        <w:ind w:left="709" w:right="709"/>
        <w:jc w:val="both"/>
        <w:rPr>
          <w:rFonts w:ascii="Arial" w:hAnsi="Arial" w:cs="Arial"/>
          <w:sz w:val="21"/>
          <w:szCs w:val="21"/>
        </w:rPr>
      </w:pPr>
      <m:oMathPara>
        <m:oMath>
          <m:r>
            <m:rPr>
              <m:sty m:val="p"/>
            </m:rPr>
            <w:rPr>
              <w:rFonts w:ascii="Cambria Math" w:hAnsi="Cambria Math" w:cs="Arial"/>
            </w:rPr>
            <w:br/>
          </m:r>
        </m:oMath>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14:paraId="2C8AA1D8" w14:textId="77777777" w:rsidR="009E2BF2" w:rsidRPr="00F52285" w:rsidRDefault="00646553">
      <w:pPr>
        <w:spacing w:after="200"/>
        <w:ind w:left="709" w:right="709"/>
        <w:jc w:val="both"/>
        <w:rPr>
          <w:rFonts w:ascii="Arial" w:hAnsi="Arial" w:cs="Arial"/>
          <w:sz w:val="21"/>
          <w:szCs w:val="21"/>
        </w:rPr>
      </w:pPr>
      <w:r w:rsidRPr="00F52285">
        <w:rPr>
          <w:rFonts w:ascii="Arial" w:eastAsia="Arial" w:hAnsi="Arial" w:cs="Arial"/>
          <w:sz w:val="21"/>
          <w:szCs w:val="21"/>
        </w:rPr>
        <w:t xml:space="preserve">Donde: </w:t>
      </w:r>
    </w:p>
    <w:p w14:paraId="5D6F9C94"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 xml:space="preserve">MG: Es la media geométrica de los tres menores valores. </w:t>
      </w:r>
    </w:p>
    <w:p w14:paraId="1DD6D40D"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V1: Es el valor de una propuesta habilitada.</w:t>
      </w:r>
    </w:p>
    <w:p w14:paraId="5591BAFB"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proofErr w:type="spellStart"/>
      <w:r w:rsidRPr="00F52285">
        <w:rPr>
          <w:rFonts w:ascii="Arial" w:eastAsiaTheme="minorEastAsia" w:hAnsi="Arial" w:cs="Arial"/>
          <w:sz w:val="21"/>
          <w:szCs w:val="21"/>
        </w:rPr>
        <w:t>Vn</w:t>
      </w:r>
      <w:proofErr w:type="spellEnd"/>
      <w:r w:rsidRPr="00F52285">
        <w:rPr>
          <w:rFonts w:ascii="Arial" w:eastAsiaTheme="minorEastAsia" w:hAnsi="Arial" w:cs="Arial"/>
          <w:sz w:val="21"/>
          <w:szCs w:val="21"/>
        </w:rPr>
        <w:t xml:space="preserve">: Es el valor de la propuesta n habilitada. </w:t>
      </w:r>
    </w:p>
    <w:p w14:paraId="52BF1B3B" w14:textId="77777777" w:rsidR="009E2BF2" w:rsidRPr="00F52285" w:rsidRDefault="00646553">
      <w:pPr>
        <w:pStyle w:val="Prrafodelista"/>
        <w:numPr>
          <w:ilvl w:val="0"/>
          <w:numId w:val="1"/>
        </w:numPr>
        <w:ind w:left="709" w:right="709"/>
        <w:jc w:val="both"/>
        <w:rPr>
          <w:rFonts w:ascii="Arial" w:hAnsi="Arial" w:cs="Arial"/>
          <w:sz w:val="21"/>
          <w:szCs w:val="21"/>
        </w:rPr>
      </w:pPr>
      <w:r w:rsidRPr="00F52285">
        <w:rPr>
          <w:rFonts w:ascii="Arial" w:eastAsiaTheme="minorEastAsia" w:hAnsi="Arial" w:cs="Arial"/>
          <w:sz w:val="21"/>
          <w:szCs w:val="21"/>
        </w:rPr>
        <w:t xml:space="preserve">n: La cantidad total de propuestas habilitadas. </w:t>
      </w:r>
    </w:p>
    <w:p w14:paraId="08847D6E" w14:textId="77777777" w:rsidR="009E2BF2" w:rsidRPr="00F52285" w:rsidRDefault="009E2BF2">
      <w:pPr>
        <w:spacing w:after="120" w:line="276" w:lineRule="auto"/>
        <w:ind w:left="349"/>
        <w:jc w:val="both"/>
        <w:rPr>
          <w:rFonts w:ascii="Arial" w:eastAsia="Calibri" w:hAnsi="Arial" w:cs="Arial"/>
          <w:sz w:val="22"/>
        </w:rPr>
      </w:pPr>
    </w:p>
    <w:p w14:paraId="5DCC9404" w14:textId="541617F5" w:rsidR="009E2BF2" w:rsidRPr="00F52285" w:rsidRDefault="00646553">
      <w:pPr>
        <w:spacing w:line="276" w:lineRule="auto"/>
        <w:ind w:firstLine="708"/>
        <w:jc w:val="both"/>
        <w:rPr>
          <w:rFonts w:ascii="Arial" w:eastAsia="Calibri" w:hAnsi="Arial" w:cs="Arial"/>
          <w:sz w:val="22"/>
        </w:rPr>
      </w:pPr>
      <w:r w:rsidRPr="00F52285">
        <w:rPr>
          <w:rFonts w:ascii="Arial" w:eastAsia="Calibri" w:hAnsi="Arial" w:cs="Arial"/>
          <w:sz w:val="22"/>
        </w:rPr>
        <w:t>Se observa que el cálculo de la media geométrica tiene en cuenta el valor de todas las propuestas hábiles, a pesar de que la definición del factor «MG</w:t>
      </w:r>
      <w:r w:rsidR="001B73C1">
        <w:rPr>
          <w:rFonts w:ascii="Arial" w:eastAsia="Calibri" w:hAnsi="Arial" w:cs="Arial"/>
          <w:sz w:val="22"/>
        </w:rPr>
        <w:t>»</w:t>
      </w:r>
      <w:r w:rsidRPr="00F52285">
        <w:rPr>
          <w:rFonts w:ascii="Arial" w:eastAsia="Calibri" w:hAnsi="Arial" w:cs="Arial"/>
          <w:sz w:val="22"/>
        </w:rPr>
        <w:t xml:space="preserve">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52285">
        <w:rPr>
          <w:rFonts w:ascii="Arial" w:eastAsia="Calibri" w:hAnsi="Arial" w:cs="Arial"/>
          <w:sz w:val="22"/>
        </w:rPr>
        <w:t>Vn</w:t>
      </w:r>
      <w:proofErr w:type="spellEnd"/>
      <w:r w:rsidRPr="00F52285">
        <w:rPr>
          <w:rFonts w:ascii="Arial" w:eastAsia="Calibri" w:hAnsi="Arial" w:cs="Arial"/>
          <w:sz w:val="22"/>
        </w:rPr>
        <w:t>», «n» y puntos suspensivos que indican que se deben agregar todas las ofertas que estén habilitadas.</w:t>
      </w:r>
    </w:p>
    <w:p w14:paraId="0C5739FE" w14:textId="77777777" w:rsidR="009E2BF2" w:rsidRPr="00F52285" w:rsidRDefault="009E2BF2">
      <w:pPr>
        <w:pStyle w:val="Prrafodelista"/>
        <w:tabs>
          <w:tab w:val="left" w:pos="284"/>
        </w:tabs>
        <w:spacing w:line="276" w:lineRule="auto"/>
        <w:ind w:left="0"/>
        <w:jc w:val="both"/>
        <w:rPr>
          <w:rFonts w:ascii="Arial" w:eastAsia="Calibri" w:hAnsi="Arial" w:cs="Arial"/>
          <w:b/>
          <w:sz w:val="22"/>
        </w:rPr>
      </w:pPr>
    </w:p>
    <w:p w14:paraId="09588544" w14:textId="77777777" w:rsidR="009E2BF2" w:rsidRPr="00F52285" w:rsidRDefault="00646553">
      <w:pPr>
        <w:pStyle w:val="Prrafodelista"/>
        <w:tabs>
          <w:tab w:val="left" w:pos="284"/>
        </w:tabs>
        <w:spacing w:line="276" w:lineRule="auto"/>
        <w:ind w:left="0"/>
        <w:jc w:val="both"/>
        <w:rPr>
          <w:rFonts w:ascii="Arial" w:eastAsia="Calibri" w:hAnsi="Arial" w:cs="Arial"/>
          <w:sz w:val="22"/>
        </w:rPr>
      </w:pPr>
      <w:r w:rsidRPr="00F52285">
        <w:rPr>
          <w:rFonts w:ascii="Arial" w:eastAsia="Calibri" w:hAnsi="Arial" w:cs="Arial"/>
          <w:b/>
          <w:sz w:val="22"/>
        </w:rPr>
        <w:t>3. Respuesta</w:t>
      </w:r>
    </w:p>
    <w:p w14:paraId="23FD39D4" w14:textId="77777777" w:rsidR="009E2BF2" w:rsidRPr="00F52285" w:rsidRDefault="009E2BF2">
      <w:pPr>
        <w:spacing w:line="276" w:lineRule="auto"/>
        <w:ind w:left="709" w:right="709"/>
        <w:jc w:val="both"/>
        <w:rPr>
          <w:rFonts w:ascii="Arial" w:eastAsia="Calibri" w:hAnsi="Arial" w:cs="Arial"/>
          <w:i/>
          <w:sz w:val="22"/>
        </w:rPr>
      </w:pPr>
    </w:p>
    <w:p w14:paraId="5045E936" w14:textId="77777777" w:rsidR="009E2BF2" w:rsidRPr="0013533B" w:rsidRDefault="0013533B" w:rsidP="0013533B">
      <w:pPr>
        <w:tabs>
          <w:tab w:val="left" w:pos="426"/>
        </w:tabs>
        <w:ind w:left="709" w:right="709"/>
        <w:jc w:val="both"/>
        <w:rPr>
          <w:rFonts w:ascii="Arial" w:eastAsia="Calibri" w:hAnsi="Arial" w:cs="Arial"/>
          <w:sz w:val="21"/>
          <w:szCs w:val="21"/>
        </w:rPr>
      </w:pPr>
      <w:r w:rsidRPr="0013533B">
        <w:rPr>
          <w:rFonts w:ascii="Arial" w:eastAsia="Calibri" w:hAnsi="Arial" w:cs="Arial"/>
          <w:sz w:val="21"/>
          <w:szCs w:val="21"/>
        </w:rPr>
        <w:t>i) ¿La media geométrica es la media geométrica de los tres menores valores?</w:t>
      </w:r>
    </w:p>
    <w:p w14:paraId="2510A212" w14:textId="77777777" w:rsidR="0013533B" w:rsidRPr="0013533B" w:rsidRDefault="0013533B" w:rsidP="0013533B">
      <w:pPr>
        <w:tabs>
          <w:tab w:val="left" w:pos="426"/>
        </w:tabs>
        <w:ind w:left="709" w:right="709"/>
        <w:jc w:val="both"/>
        <w:rPr>
          <w:rFonts w:ascii="Arial" w:eastAsia="Calibri" w:hAnsi="Arial" w:cs="Arial"/>
          <w:sz w:val="21"/>
          <w:szCs w:val="21"/>
        </w:rPr>
      </w:pPr>
    </w:p>
    <w:p w14:paraId="0A266422" w14:textId="77777777" w:rsidR="0013533B" w:rsidRPr="0013533B" w:rsidRDefault="0013533B" w:rsidP="0013533B">
      <w:pPr>
        <w:tabs>
          <w:tab w:val="left" w:pos="426"/>
        </w:tabs>
        <w:ind w:left="709" w:right="709"/>
        <w:jc w:val="both"/>
        <w:rPr>
          <w:rFonts w:ascii="Arial" w:eastAsia="Calibri" w:hAnsi="Arial" w:cs="Arial"/>
          <w:sz w:val="21"/>
          <w:szCs w:val="21"/>
        </w:rPr>
      </w:pPr>
      <w:proofErr w:type="spellStart"/>
      <w:r w:rsidRPr="0013533B">
        <w:rPr>
          <w:rFonts w:ascii="Arial" w:eastAsia="Calibri" w:hAnsi="Arial" w:cs="Arial"/>
          <w:sz w:val="21"/>
          <w:szCs w:val="21"/>
        </w:rPr>
        <w:lastRenderedPageBreak/>
        <w:t>ii</w:t>
      </w:r>
      <w:proofErr w:type="spellEnd"/>
      <w:r w:rsidRPr="0013533B">
        <w:rPr>
          <w:rFonts w:ascii="Arial" w:eastAsia="Calibri" w:hAnsi="Arial" w:cs="Arial"/>
          <w:sz w:val="21"/>
          <w:szCs w:val="21"/>
        </w:rPr>
        <w:t xml:space="preserve">) ¿La media geométrica se calcula con todos </w:t>
      </w:r>
      <w:proofErr w:type="spellStart"/>
      <w:r w:rsidRPr="0013533B">
        <w:rPr>
          <w:rFonts w:ascii="Arial" w:eastAsia="Calibri" w:hAnsi="Arial" w:cs="Arial"/>
          <w:sz w:val="21"/>
          <w:szCs w:val="21"/>
        </w:rPr>
        <w:t>lo</w:t>
      </w:r>
      <w:proofErr w:type="spellEnd"/>
      <w:r w:rsidRPr="0013533B">
        <w:rPr>
          <w:rFonts w:ascii="Arial" w:eastAsia="Calibri" w:hAnsi="Arial" w:cs="Arial"/>
          <w:sz w:val="21"/>
          <w:szCs w:val="21"/>
        </w:rPr>
        <w:t xml:space="preserve"> valores de las propuestas habilitadas? </w:t>
      </w:r>
    </w:p>
    <w:p w14:paraId="7DDC2CC9" w14:textId="77777777" w:rsidR="00365324" w:rsidRPr="00F52285" w:rsidRDefault="00365324" w:rsidP="00B568EA">
      <w:pPr>
        <w:tabs>
          <w:tab w:val="left" w:pos="426"/>
        </w:tabs>
        <w:spacing w:line="276" w:lineRule="auto"/>
        <w:ind w:left="709" w:right="709"/>
        <w:jc w:val="both"/>
        <w:rPr>
          <w:rFonts w:ascii="Arial" w:eastAsia="Calibri" w:hAnsi="Arial" w:cs="Arial"/>
          <w:sz w:val="22"/>
        </w:rPr>
      </w:pPr>
    </w:p>
    <w:p w14:paraId="02AF2351" w14:textId="77777777" w:rsidR="00B568EA" w:rsidRPr="00F52285" w:rsidRDefault="0013533B" w:rsidP="00B568EA">
      <w:pPr>
        <w:spacing w:before="120" w:after="120" w:line="276" w:lineRule="auto"/>
        <w:jc w:val="both"/>
        <w:rPr>
          <w:rFonts w:ascii="Arial" w:eastAsia="Calibri" w:hAnsi="Arial" w:cs="Arial"/>
          <w:sz w:val="22"/>
        </w:rPr>
      </w:pPr>
      <w:r>
        <w:rPr>
          <w:rFonts w:ascii="Arial" w:eastAsia="Calibri" w:hAnsi="Arial" w:cs="Arial"/>
          <w:sz w:val="22"/>
        </w:rPr>
        <w:t xml:space="preserve">Para dar respuesta a sus interrogantes es preciso </w:t>
      </w:r>
      <w:r w:rsidR="00777C2B">
        <w:rPr>
          <w:rFonts w:ascii="Arial" w:eastAsia="Calibri" w:hAnsi="Arial" w:cs="Arial"/>
          <w:sz w:val="22"/>
        </w:rPr>
        <w:t>indicar que e</w:t>
      </w:r>
      <w:r w:rsidR="00646553" w:rsidRPr="00F52285">
        <w:rPr>
          <w:rFonts w:ascii="Arial" w:eastAsia="Calibri" w:hAnsi="Arial" w:cs="Arial"/>
          <w:sz w:val="22"/>
        </w:rPr>
        <w:t>l numeral 4.1.4. del «Documento Base» señala los métodos de ponderación de la propuesta económica presentando 4 alternativas, una de las cuales es la media geométrica, la cual será seleccionada de acuerdo con la Tasa de Cambio Representativa del Mercado –TRM–. La fórmula para calcular la media geométrica define el factor «MG» señalando que hace referencia a los tres menores valores de las ofertas, pero esto no quiere decir que solo se tienen en cuenta esas ofertas, ya que los demás factores de la fórmula y la definición del método de media geométrica establecida en el «Documento Base», indican que se tienen en cuenta los valores de todas las ofertas habilitadas y no solo las ofertas con los 3 menores valores habilitados.</w:t>
      </w:r>
    </w:p>
    <w:p w14:paraId="13EA9D7D" w14:textId="19E457C3" w:rsidR="009E2BF2" w:rsidRDefault="00B568EA" w:rsidP="00B568EA">
      <w:pPr>
        <w:spacing w:before="120" w:after="120" w:line="276" w:lineRule="auto"/>
        <w:ind w:firstLine="709"/>
        <w:jc w:val="both"/>
        <w:rPr>
          <w:rFonts w:ascii="Arial" w:eastAsia="Arial" w:hAnsi="Arial" w:cs="Arial"/>
          <w:sz w:val="22"/>
        </w:rPr>
      </w:pPr>
      <w:r w:rsidRPr="00F52285">
        <w:rPr>
          <w:rFonts w:ascii="Arial" w:eastAsia="Arial" w:hAnsi="Arial" w:cs="Arial"/>
          <w:sz w:val="22"/>
        </w:rPr>
        <w:t>De conformidad con la competencia otorgada</w:t>
      </w:r>
      <w:r w:rsidR="001B73C1">
        <w:rPr>
          <w:rFonts w:ascii="Arial" w:eastAsia="Arial" w:hAnsi="Arial" w:cs="Arial"/>
          <w:sz w:val="22"/>
        </w:rPr>
        <w:t>,</w:t>
      </w:r>
      <w:r w:rsidRPr="00F52285">
        <w:rPr>
          <w:rFonts w:ascii="Arial" w:eastAsia="Arial" w:hAnsi="Arial" w:cs="Arial"/>
          <w:sz w:val="22"/>
        </w:rPr>
        <w:t xml:space="preserve"> según el numeral 8 del artículo 11 y numeral 5 del artículo 3 del Decreto Ley 4170 de 2011, la Agencia Nacional de Contratación Pública </w:t>
      </w:r>
      <w:r w:rsidR="001B73C1">
        <w:rPr>
          <w:rFonts w:ascii="Arial" w:eastAsia="Arial" w:hAnsi="Arial" w:cs="Arial"/>
          <w:sz w:val="22"/>
        </w:rPr>
        <w:t xml:space="preserve">– </w:t>
      </w:r>
      <w:r w:rsidRPr="00F52285">
        <w:rPr>
          <w:rFonts w:ascii="Arial" w:eastAsia="Arial" w:hAnsi="Arial" w:cs="Arial"/>
          <w:sz w:val="22"/>
        </w:rPr>
        <w:t>Colombia Compra Eficiente atiende consultas relativas a temas contractuales en lo que se refiere a la aplicación de normas de carácter general en materia de compras y contratación pública; por tal motivo, Colombia Compra Eficiente carece de competencia para decidir sobre la legalidad de las decisiones tomadas por las entidades estatales con ocasión de su actividad contractual, o para pronunciarse respecto de actuaciones contractuales específicas.</w:t>
      </w:r>
    </w:p>
    <w:p w14:paraId="68078331" w14:textId="77777777" w:rsidR="001B73C1" w:rsidRPr="00F52285" w:rsidRDefault="001B73C1" w:rsidP="00B568EA">
      <w:pPr>
        <w:spacing w:before="120" w:after="120" w:line="276" w:lineRule="auto"/>
        <w:ind w:firstLine="709"/>
        <w:jc w:val="both"/>
        <w:rPr>
          <w:rFonts w:ascii="Arial" w:eastAsia="Arial" w:hAnsi="Arial" w:cs="Arial"/>
          <w:sz w:val="22"/>
        </w:rPr>
      </w:pPr>
    </w:p>
    <w:p w14:paraId="2AA88DB2" w14:textId="77777777" w:rsidR="009E2BF2" w:rsidRPr="00F52285" w:rsidRDefault="00646553" w:rsidP="00B568EA">
      <w:pPr>
        <w:spacing w:before="120" w:after="120" w:line="276" w:lineRule="auto"/>
        <w:jc w:val="both"/>
        <w:rPr>
          <w:rFonts w:ascii="Arial" w:eastAsia="Calibri" w:hAnsi="Arial" w:cs="Arial"/>
          <w:sz w:val="22"/>
        </w:rPr>
      </w:pPr>
      <w:r w:rsidRPr="00F52285">
        <w:rPr>
          <w:rFonts w:ascii="Arial" w:eastAsia="Calibri" w:hAnsi="Arial" w:cs="Arial"/>
          <w:sz w:val="22"/>
        </w:rPr>
        <w:t>Este concepto tiene el alcance previsto en el artículo 28 del Código de Procedimiento Administrativo y de lo Contencioso Administrativo.</w:t>
      </w:r>
    </w:p>
    <w:p w14:paraId="1F50A282" w14:textId="77777777" w:rsidR="009E2BF2" w:rsidRPr="009A780E" w:rsidRDefault="009E2BF2">
      <w:pPr>
        <w:spacing w:line="276" w:lineRule="auto"/>
        <w:jc w:val="both"/>
        <w:rPr>
          <w:rFonts w:ascii="Arial" w:eastAsia="Calibri" w:hAnsi="Arial" w:cs="Arial"/>
          <w:sz w:val="16"/>
          <w:szCs w:val="16"/>
        </w:rPr>
      </w:pPr>
    </w:p>
    <w:p w14:paraId="73771B95" w14:textId="77777777" w:rsidR="009E2BF2" w:rsidRPr="00F52285" w:rsidRDefault="00646553">
      <w:pPr>
        <w:jc w:val="both"/>
        <w:rPr>
          <w:rFonts w:ascii="Arial" w:eastAsia="Calibri" w:hAnsi="Arial" w:cs="Arial"/>
          <w:sz w:val="22"/>
        </w:rPr>
      </w:pPr>
      <w:r w:rsidRPr="00F52285">
        <w:rPr>
          <w:noProof/>
          <w:lang w:val="en-US"/>
        </w:rPr>
        <mc:AlternateContent>
          <mc:Choice Requires="wps">
            <w:drawing>
              <wp:anchor distT="0" distB="0" distL="114300" distR="114300" simplePos="0" relativeHeight="251659264" behindDoc="0" locked="0" layoutInCell="1" allowOverlap="1" wp14:anchorId="73039FE4" wp14:editId="6D19EC4E">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wpsCustomData="http://www.wps.cn/officeDocument/2013/wpsCustomData" xmlns:a14="http://schemas.microsoft.com/office/drawing/2010/main" xmlns:pic="http://schemas.openxmlformats.org/drawingml/2006/picture" xmlns:a="http://schemas.openxmlformats.org/drawingml/2006/main">
            <w:pict>
              <v:line id="_x0000_s1026" style="position:absolute;left:0pt;margin-left:119.25pt;margin-top:0.8pt;height:0pt;width:369pt;mso-position-horizontal-relative:page;z-index:251659264;mso-width-relative:page;mso-height-relative:page;" coordsize="21600,21600" o:spid="_x0000_s1026" filled="f" stroked="t" o:spt="20" o:gfxdata="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cZnV7TAAAA&#10;BwEAAA8AAAAAAAAAAQAgAAAAIgAAAGRycy9kb3ducmV2LnhtbFBLAQIUABQAAAAIAIdO4kCtMqAq&#10;sAEAAFkDAAAOAAAAAAAAAAEAIAAAACIBAABkcnMvZTJvRG9jLnhtbFBLBQYAAAAABgAGAFkBAABE&#10;BQAAAAA=&#10;">
                <v:fill on="f" focussize="0,0"/>
                <v:stroke color="#DBDBDB" joinstyle="round"/>
                <v:imagedata o:title=""/>
                <o:lock v:ext="edit" aspectratio="f"/>
              </v:line>
            </w:pict>
          </mc:Fallback>
        </mc:AlternateContent>
      </w:r>
    </w:p>
    <w:p w14:paraId="3B6A1279" w14:textId="77777777" w:rsidR="009E2BF2" w:rsidRPr="00F52285" w:rsidRDefault="00646553">
      <w:pPr>
        <w:rPr>
          <w:rFonts w:ascii="Arial" w:eastAsia="Times New Roman" w:hAnsi="Arial" w:cs="Arial"/>
          <w:sz w:val="22"/>
          <w:lang w:eastAsia="es-CO"/>
        </w:rPr>
      </w:pPr>
      <w:r w:rsidRPr="00F52285">
        <w:rPr>
          <w:rFonts w:ascii="Arial" w:eastAsia="Times New Roman" w:hAnsi="Arial" w:cs="Arial"/>
          <w:sz w:val="22"/>
          <w:lang w:eastAsia="es-CO"/>
        </w:rPr>
        <w:t>Atentamente,</w:t>
      </w:r>
    </w:p>
    <w:p w14:paraId="6F5382CC" w14:textId="77777777" w:rsidR="009E2BF2" w:rsidRPr="00F52285" w:rsidRDefault="009E2BF2">
      <w:pPr>
        <w:rPr>
          <w:rFonts w:ascii="Arial" w:eastAsia="Times New Roman" w:hAnsi="Arial" w:cs="Arial"/>
          <w:sz w:val="22"/>
          <w:lang w:eastAsia="es-CO"/>
        </w:rPr>
      </w:pPr>
    </w:p>
    <w:p w14:paraId="7C63AA91" w14:textId="20A406D2" w:rsidR="009E2BF2" w:rsidRDefault="00182483">
      <w:pPr>
        <w:jc w:val="center"/>
        <w:rPr>
          <w:rFonts w:ascii="Arial" w:eastAsia="Times New Roman" w:hAnsi="Arial" w:cs="Arial"/>
          <w:sz w:val="18"/>
          <w:szCs w:val="20"/>
          <w:lang w:eastAsia="es-CO"/>
        </w:rPr>
      </w:pPr>
      <w:r>
        <w:rPr>
          <w:noProof/>
        </w:rPr>
        <w:drawing>
          <wp:inline distT="0" distB="0" distL="0" distR="0" wp14:anchorId="60457820" wp14:editId="6D8D2432">
            <wp:extent cx="2773144" cy="988695"/>
            <wp:effectExtent l="0" t="0" r="0" b="0"/>
            <wp:docPr id="178516487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4FA675B6" w14:textId="77777777" w:rsidR="00190B85" w:rsidRPr="00F52285" w:rsidRDefault="00190B85">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E2BF2" w:rsidRPr="00F52285" w14:paraId="258018C6" w14:textId="77777777">
        <w:trPr>
          <w:trHeight w:val="315"/>
        </w:trPr>
        <w:tc>
          <w:tcPr>
            <w:tcW w:w="488" w:type="dxa"/>
            <w:vAlign w:val="center"/>
          </w:tcPr>
          <w:p w14:paraId="1693704B"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249CA232" w14:textId="77777777" w:rsidR="009E2BF2"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Omar Germán Mejía Olmos</w:t>
            </w:r>
          </w:p>
          <w:p w14:paraId="3147AB37" w14:textId="28071C20" w:rsidR="006837A8" w:rsidRPr="00F52285" w:rsidRDefault="006837A8">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9E2BF2" w:rsidRPr="00F52285" w14:paraId="655E332D" w14:textId="77777777">
        <w:trPr>
          <w:trHeight w:val="330"/>
        </w:trPr>
        <w:tc>
          <w:tcPr>
            <w:tcW w:w="488" w:type="dxa"/>
            <w:vAlign w:val="center"/>
          </w:tcPr>
          <w:p w14:paraId="3E433BD2"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45AC39A" w14:textId="6EA1E639" w:rsidR="009E2BF2" w:rsidRPr="00F52285" w:rsidRDefault="004015DC">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190EBC65" w14:textId="5409F8D7" w:rsidR="009E2BF2" w:rsidRPr="00F52285" w:rsidRDefault="004015DC">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9E2BF2" w:rsidRPr="00F52285" w14:paraId="056C7992" w14:textId="77777777">
        <w:trPr>
          <w:trHeight w:val="300"/>
        </w:trPr>
        <w:tc>
          <w:tcPr>
            <w:tcW w:w="488" w:type="dxa"/>
            <w:vAlign w:val="center"/>
          </w:tcPr>
          <w:p w14:paraId="69DE1FEF"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97C04D2"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Fabián Gonzalo Marín Cortés</w:t>
            </w:r>
          </w:p>
          <w:p w14:paraId="75D19C77"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Subdirector de Gestión Contractual</w:t>
            </w:r>
          </w:p>
        </w:tc>
      </w:tr>
      <w:tr w:rsidR="009E2BF2" w:rsidRPr="00F52285" w14:paraId="1B276943" w14:textId="77777777">
        <w:trPr>
          <w:trHeight w:val="300"/>
        </w:trPr>
        <w:tc>
          <w:tcPr>
            <w:tcW w:w="488" w:type="dxa"/>
            <w:vAlign w:val="center"/>
          </w:tcPr>
          <w:p w14:paraId="2D807EBA"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58A7140"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0</w:t>
            </w:r>
          </w:p>
        </w:tc>
      </w:tr>
      <w:bookmarkEnd w:id="0"/>
      <w:bookmarkEnd w:id="1"/>
    </w:tbl>
    <w:p w14:paraId="248A91AF" w14:textId="77777777" w:rsidR="009E2BF2" w:rsidRPr="00F52285" w:rsidRDefault="009E2BF2"/>
    <w:sectPr w:rsidR="009E2BF2" w:rsidRPr="00F52285" w:rsidSect="00365324">
      <w:headerReference w:type="default" r:id="rId13"/>
      <w:footerReference w:type="default" r:id="rId14"/>
      <w:pgSz w:w="12240" w:h="15840"/>
      <w:pgMar w:top="1779" w:right="2034"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0770A" w14:textId="77777777" w:rsidR="008222E2" w:rsidRDefault="008222E2">
      <w:r>
        <w:separator/>
      </w:r>
    </w:p>
  </w:endnote>
  <w:endnote w:type="continuationSeparator" w:id="0">
    <w:p w14:paraId="150BF5D2" w14:textId="77777777" w:rsidR="008222E2" w:rsidRDefault="00822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3F073" w14:textId="04A1C28A" w:rsidR="009E2BF2" w:rsidRDefault="00646553">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182483">
      <w:rPr>
        <w:rFonts w:ascii="Arial" w:hAnsi="Arial" w:cs="Arial"/>
        <w:b/>
        <w:bCs/>
        <w:noProof/>
        <w:color w:val="7F7F7F" w:themeColor="text1" w:themeTint="80"/>
        <w:sz w:val="16"/>
        <w:szCs w:val="16"/>
      </w:rPr>
      <w:t>5</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182483">
      <w:rPr>
        <w:rFonts w:ascii="Arial" w:hAnsi="Arial" w:cs="Arial"/>
        <w:b/>
        <w:bCs/>
        <w:noProof/>
        <w:color w:val="7F7F7F" w:themeColor="text1" w:themeTint="80"/>
        <w:sz w:val="16"/>
        <w:szCs w:val="16"/>
      </w:rPr>
      <w:t>6</w:t>
    </w:r>
    <w:r>
      <w:rPr>
        <w:rFonts w:ascii="Arial" w:hAnsi="Arial" w:cs="Arial"/>
        <w:b/>
        <w:bCs/>
        <w:color w:val="7F7F7F" w:themeColor="text1" w:themeTint="80"/>
        <w:sz w:val="16"/>
        <w:szCs w:val="16"/>
      </w:rPr>
      <w:fldChar w:fldCharType="end"/>
    </w:r>
  </w:p>
  <w:p w14:paraId="20FC1B49" w14:textId="77777777" w:rsidR="009E2BF2" w:rsidRDefault="6A67744B">
    <w:pPr>
      <w:pStyle w:val="Piedepgina"/>
      <w:jc w:val="center"/>
    </w:pPr>
    <w:r>
      <w:rPr>
        <w:noProof/>
      </w:rPr>
      <w:drawing>
        <wp:inline distT="0" distB="0" distL="0" distR="0" wp14:anchorId="09C119D8" wp14:editId="59760BB9">
          <wp:extent cx="4241800" cy="594995"/>
          <wp:effectExtent l="0" t="0" r="6350" b="0"/>
          <wp:docPr id="180590588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800" cy="594995"/>
                  </a:xfrm>
                  <a:prstGeom prst="rect">
                    <a:avLst/>
                  </a:prstGeom>
                </pic:spPr>
              </pic:pic>
            </a:graphicData>
          </a:graphic>
        </wp:inline>
      </w:drawing>
    </w:r>
  </w:p>
  <w:p w14:paraId="02AF7925" w14:textId="77777777" w:rsidR="009E2BF2" w:rsidRDefault="009E2BF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99A60" w14:textId="77777777" w:rsidR="008222E2" w:rsidRDefault="008222E2">
      <w:r>
        <w:separator/>
      </w:r>
    </w:p>
  </w:footnote>
  <w:footnote w:type="continuationSeparator" w:id="0">
    <w:p w14:paraId="0BBCC8E9" w14:textId="77777777" w:rsidR="008222E2" w:rsidRDefault="008222E2">
      <w:r>
        <w:continuationSeparator/>
      </w:r>
    </w:p>
  </w:footnote>
  <w:footnote w:id="1">
    <w:p w14:paraId="0B38F74E"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14:paraId="2374167F" w14:textId="77777777" w:rsidR="009E2BF2" w:rsidRDefault="009E2BF2">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9E2BF2" w14:paraId="76DD8F27" w14:textId="77777777">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tcPr>
          <w:p w14:paraId="378FD197" w14:textId="77777777" w:rsidR="009E2BF2" w:rsidRDefault="00646553">
            <w:pPr>
              <w:spacing w:line="276" w:lineRule="auto"/>
              <w:jc w:val="center"/>
              <w:rPr>
                <w:rFonts w:cs="Arial"/>
                <w:b/>
                <w:bCs/>
                <w:color w:val="DBDBDB" w:themeColor="background1"/>
                <w:sz w:val="16"/>
                <w:szCs w:val="16"/>
                <w:lang w:val="es-CO"/>
              </w:rPr>
            </w:pPr>
            <w:bookmarkStart w:id="2" w:name="_Hlk511666058"/>
            <w:r>
              <w:rPr>
                <w:rFonts w:cs="Arial"/>
                <w:b/>
                <w:bCs/>
                <w:color w:val="DBDBDB" w:themeColor="background1"/>
                <w:sz w:val="16"/>
                <w:szCs w:val="16"/>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tcPr>
          <w:p w14:paraId="23686453" w14:textId="77777777" w:rsidR="009E2BF2" w:rsidRDefault="00646553">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9E2BF2" w14:paraId="5F43B969"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2CC9C48E" w14:textId="77777777" w:rsidR="009E2BF2" w:rsidRDefault="00646553">
            <w:pPr>
              <w:spacing w:line="276" w:lineRule="auto"/>
              <w:jc w:val="center"/>
              <w:rPr>
                <w:rFonts w:cs="Arial"/>
                <w:color w:val="3C3C3C" w:themeColor="background2" w:themeShade="40"/>
                <w:sz w:val="16"/>
                <w:szCs w:val="16"/>
              </w:rPr>
            </w:pPr>
            <w:r>
              <w:rPr>
                <w:rFonts w:cs="Arial"/>
                <w:sz w:val="16"/>
                <w:szCs w:val="16"/>
              </w:rPr>
              <w:t>1</w:t>
            </w:r>
          </w:p>
        </w:tc>
        <w:tc>
          <w:tcPr>
            <w:tcW w:w="1984" w:type="dxa"/>
            <w:tcBorders>
              <w:top w:val="single" w:sz="4" w:space="0" w:color="auto"/>
              <w:left w:val="single" w:sz="4" w:space="0" w:color="auto"/>
              <w:bottom w:val="single" w:sz="4" w:space="0" w:color="auto"/>
              <w:right w:val="double" w:sz="4" w:space="0" w:color="auto"/>
            </w:tcBorders>
            <w:vAlign w:val="center"/>
          </w:tcPr>
          <w:p w14:paraId="538638F4" w14:textId="77777777" w:rsidR="009E2BF2" w:rsidRDefault="00646553">
            <w:pPr>
              <w:spacing w:line="276" w:lineRule="auto"/>
              <w:jc w:val="center"/>
              <w:rPr>
                <w:rFonts w:cs="Arial"/>
                <w:sz w:val="16"/>
                <w:szCs w:val="16"/>
              </w:rPr>
            </w:pPr>
            <w:r>
              <w:rPr>
                <w:rFonts w:cs="Arial"/>
                <w:sz w:val="16"/>
                <w:szCs w:val="16"/>
              </w:rPr>
              <w:t>Mediana con valor absoluto</w:t>
            </w:r>
          </w:p>
        </w:tc>
      </w:tr>
      <w:tr w:rsidR="009E2BF2" w14:paraId="22BF3778"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442CEA01" w14:textId="77777777" w:rsidR="009E2BF2" w:rsidRDefault="00646553">
            <w:pPr>
              <w:spacing w:line="276" w:lineRule="auto"/>
              <w:jc w:val="center"/>
              <w:rPr>
                <w:rFonts w:cs="Arial"/>
                <w:sz w:val="16"/>
                <w:szCs w:val="16"/>
              </w:rPr>
            </w:pPr>
            <w:r>
              <w:rPr>
                <w:rFonts w:cs="Arial"/>
                <w:sz w:val="16"/>
                <w:szCs w:val="16"/>
              </w:rPr>
              <w:t>2</w:t>
            </w:r>
          </w:p>
        </w:tc>
        <w:tc>
          <w:tcPr>
            <w:tcW w:w="1984" w:type="dxa"/>
            <w:tcBorders>
              <w:top w:val="single" w:sz="4" w:space="0" w:color="auto"/>
              <w:left w:val="single" w:sz="4" w:space="0" w:color="auto"/>
              <w:bottom w:val="single" w:sz="4" w:space="0" w:color="auto"/>
              <w:right w:val="double" w:sz="4" w:space="0" w:color="auto"/>
            </w:tcBorders>
            <w:vAlign w:val="center"/>
          </w:tcPr>
          <w:p w14:paraId="0A1A01AE" w14:textId="77777777" w:rsidR="009E2BF2" w:rsidRDefault="00646553">
            <w:pPr>
              <w:spacing w:line="276" w:lineRule="auto"/>
              <w:jc w:val="center"/>
              <w:rPr>
                <w:rFonts w:cs="Arial"/>
                <w:sz w:val="16"/>
                <w:szCs w:val="16"/>
              </w:rPr>
            </w:pPr>
            <w:r>
              <w:rPr>
                <w:rFonts w:cs="Arial"/>
                <w:sz w:val="16"/>
                <w:szCs w:val="16"/>
              </w:rPr>
              <w:t>Media geométrica</w:t>
            </w:r>
          </w:p>
        </w:tc>
      </w:tr>
      <w:tr w:rsidR="009E2BF2" w14:paraId="688D2391"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1CBFC678" w14:textId="77777777" w:rsidR="009E2BF2" w:rsidRDefault="00646553">
            <w:pPr>
              <w:spacing w:line="276" w:lineRule="auto"/>
              <w:jc w:val="center"/>
              <w:rPr>
                <w:rFonts w:cs="Arial"/>
                <w:sz w:val="16"/>
                <w:szCs w:val="16"/>
              </w:rPr>
            </w:pPr>
            <w:r>
              <w:rPr>
                <w:rFonts w:cs="Arial"/>
                <w:sz w:val="16"/>
                <w:szCs w:val="16"/>
              </w:rPr>
              <w:t>3</w:t>
            </w:r>
          </w:p>
        </w:tc>
        <w:tc>
          <w:tcPr>
            <w:tcW w:w="1984" w:type="dxa"/>
            <w:tcBorders>
              <w:top w:val="single" w:sz="4" w:space="0" w:color="auto"/>
              <w:left w:val="single" w:sz="4" w:space="0" w:color="auto"/>
              <w:bottom w:val="single" w:sz="4" w:space="0" w:color="auto"/>
              <w:right w:val="double" w:sz="4" w:space="0" w:color="auto"/>
            </w:tcBorders>
            <w:vAlign w:val="center"/>
          </w:tcPr>
          <w:p w14:paraId="042DB533" w14:textId="77777777" w:rsidR="009E2BF2" w:rsidRDefault="00646553">
            <w:pPr>
              <w:spacing w:line="276" w:lineRule="auto"/>
              <w:jc w:val="center"/>
              <w:rPr>
                <w:rFonts w:cs="Arial"/>
                <w:sz w:val="16"/>
                <w:szCs w:val="16"/>
              </w:rPr>
            </w:pPr>
            <w:r>
              <w:rPr>
                <w:rFonts w:cs="Arial"/>
                <w:sz w:val="16"/>
                <w:szCs w:val="16"/>
              </w:rPr>
              <w:t>Media aritmética baja</w:t>
            </w:r>
          </w:p>
        </w:tc>
      </w:tr>
      <w:tr w:rsidR="009E2BF2" w14:paraId="1552AD36" w14:textId="77777777">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099A5ACE" w14:textId="77777777" w:rsidR="009E2BF2" w:rsidRDefault="00646553">
            <w:pPr>
              <w:spacing w:line="276" w:lineRule="auto"/>
              <w:jc w:val="center"/>
              <w:rPr>
                <w:rFonts w:cs="Arial"/>
                <w:sz w:val="16"/>
                <w:szCs w:val="16"/>
              </w:rPr>
            </w:pPr>
            <w:r>
              <w:rPr>
                <w:rFonts w:cs="Arial"/>
                <w:sz w:val="16"/>
                <w:szCs w:val="16"/>
              </w:rPr>
              <w:t>4</w:t>
            </w:r>
          </w:p>
        </w:tc>
        <w:tc>
          <w:tcPr>
            <w:tcW w:w="1984" w:type="dxa"/>
            <w:tcBorders>
              <w:top w:val="single" w:sz="4" w:space="0" w:color="auto"/>
              <w:left w:val="single" w:sz="4" w:space="0" w:color="auto"/>
              <w:bottom w:val="double" w:sz="4" w:space="0" w:color="auto"/>
              <w:right w:val="double" w:sz="4" w:space="0" w:color="auto"/>
            </w:tcBorders>
            <w:vAlign w:val="center"/>
          </w:tcPr>
          <w:p w14:paraId="019A3E3F" w14:textId="77777777" w:rsidR="009E2BF2" w:rsidRDefault="00646553">
            <w:pPr>
              <w:spacing w:line="276" w:lineRule="auto"/>
              <w:jc w:val="center"/>
              <w:rPr>
                <w:rFonts w:cs="Arial"/>
                <w:sz w:val="16"/>
                <w:szCs w:val="16"/>
              </w:rPr>
            </w:pPr>
            <w:r>
              <w:rPr>
                <w:rFonts w:cs="Arial"/>
                <w:sz w:val="16"/>
                <w:szCs w:val="16"/>
              </w:rPr>
              <w:t>Menor Valor</w:t>
            </w:r>
          </w:p>
        </w:tc>
        <w:bookmarkEnd w:id="2"/>
      </w:tr>
    </w:tbl>
    <w:p w14:paraId="1FCBBE8C" w14:textId="77777777" w:rsidR="009E2BF2" w:rsidRDefault="009E2BF2">
      <w:pPr>
        <w:pStyle w:val="Textonotapie"/>
        <w:jc w:val="both"/>
        <w:rPr>
          <w:rFonts w:ascii="Arial" w:hAnsi="Arial" w:cs="Arial"/>
          <w:sz w:val="19"/>
          <w:szCs w:val="19"/>
        </w:rPr>
      </w:pPr>
    </w:p>
    <w:p w14:paraId="6659BC3D" w14:textId="77777777" w:rsidR="009E2BF2" w:rsidRDefault="00646553">
      <w:pPr>
        <w:pStyle w:val="Textonotapie"/>
        <w:jc w:val="both"/>
        <w:rPr>
          <w:rFonts w:ascii="Arial" w:hAnsi="Arial" w:cs="Arial"/>
          <w:sz w:val="19"/>
          <w:szCs w:val="19"/>
        </w:rPr>
      </w:pPr>
      <w:r>
        <w:rPr>
          <w:rFonts w:ascii="Arial" w:hAnsi="Arial" w:cs="Arial"/>
          <w:sz w:val="19"/>
          <w:szCs w:val="19"/>
        </w:rPr>
        <w:t xml:space="preserve"> </w:t>
      </w:r>
      <w:r>
        <w:rPr>
          <w:rFonts w:ascii="Arial" w:hAnsi="Arial" w:cs="Arial"/>
          <w:sz w:val="19"/>
          <w:szCs w:val="19"/>
        </w:rPr>
        <w:tab/>
      </w:r>
      <w:proofErr w:type="gramStart"/>
      <w:r>
        <w:rPr>
          <w:rFonts w:ascii="Arial" w:hAnsi="Arial" w:cs="Arial"/>
          <w:sz w:val="19"/>
          <w:szCs w:val="19"/>
        </w:rPr>
        <w:t>»Para</w:t>
      </w:r>
      <w:proofErr w:type="gramEnd"/>
      <w:r>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p>
    <w:p w14:paraId="1B975B46" w14:textId="77777777" w:rsidR="009E2BF2" w:rsidRDefault="009E2BF2">
      <w:pPr>
        <w:pStyle w:val="Textonotapie"/>
        <w:jc w:val="both"/>
        <w:rPr>
          <w:rFonts w:ascii="Arial" w:hAnsi="Arial" w:cs="Arial"/>
          <w:sz w:val="19"/>
          <w:szCs w:val="19"/>
        </w:rPr>
      </w:pPr>
    </w:p>
  </w:footnote>
  <w:footnote w:id="2">
    <w:p w14:paraId="189545D4"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estudio incluyó 6 fórmulas: Media aritmética alta, Media Aritmética Baja, Media Geométrica con Presupuesto Oficial, Mediana con Valor Absoluto, Mediana y Menor Valor.</w:t>
      </w:r>
    </w:p>
    <w:p w14:paraId="31A48EBD" w14:textId="77777777" w:rsidR="009E2BF2" w:rsidRDefault="009E2BF2">
      <w:pPr>
        <w:pStyle w:val="Textonotapie"/>
        <w:ind w:firstLine="708"/>
        <w:jc w:val="both"/>
        <w:rPr>
          <w:rFonts w:ascii="Arial" w:hAnsi="Arial" w:cs="Arial"/>
          <w:sz w:val="19"/>
          <w:szCs w:val="19"/>
        </w:rPr>
      </w:pPr>
    </w:p>
  </w:footnote>
  <w:footnote w:id="3">
    <w:p w14:paraId="1104AF65"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SIC, Guía Práctica para combatir acuerdos colusorios en procesos de contratación estatal. Disponible en: http://www.sic.gov.co/sites/default/files/files/Nuestra_Entidad/Publicaciones/Guia_practica_acuerdos_colusorios_25_01_2016.pdf</w:t>
      </w:r>
    </w:p>
    <w:p w14:paraId="7BC97B26" w14:textId="77777777" w:rsidR="009E2BF2" w:rsidRDefault="009E2BF2">
      <w:pPr>
        <w:pStyle w:val="Textonotapie"/>
        <w:ind w:firstLine="708"/>
        <w:jc w:val="both"/>
        <w:rPr>
          <w:rFonts w:ascii="Arial" w:hAnsi="Arial" w:cs="Arial"/>
          <w:sz w:val="19"/>
          <w:szCs w:val="19"/>
        </w:rPr>
      </w:pPr>
    </w:p>
  </w:footnote>
  <w:footnote w:id="4">
    <w:p w14:paraId="7B864940"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CCE, Guía de competencia en las compras públicas. Disponible en: https://www.colombiacompra.gov.co/sites/cce_public/files/cce_documents/cce_guia_competencia.pdf</w:t>
      </w:r>
    </w:p>
    <w:p w14:paraId="69B5248B" w14:textId="77777777" w:rsidR="009E2BF2" w:rsidRDefault="009E2BF2">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26D97" w14:textId="77777777" w:rsidR="009E2BF2" w:rsidRDefault="009E2BF2">
    <w:pPr>
      <w:pStyle w:val="Encabezado"/>
    </w:pPr>
  </w:p>
  <w:p w14:paraId="68D32B85" w14:textId="77777777" w:rsidR="009E2BF2" w:rsidRDefault="009E2BF2">
    <w:pPr>
      <w:pStyle w:val="Encabezado"/>
    </w:pPr>
  </w:p>
  <w:p w14:paraId="08397C37" w14:textId="77777777" w:rsidR="009E2BF2" w:rsidRDefault="00646553">
    <w:pPr>
      <w:pStyle w:val="Encabezado"/>
    </w:pPr>
    <w:r>
      <w:rPr>
        <w:noProof/>
        <w:lang w:val="en-US"/>
      </w:rPr>
      <w:drawing>
        <wp:anchor distT="0" distB="0" distL="114300" distR="114300" simplePos="0" relativeHeight="251673600" behindDoc="1" locked="0" layoutInCell="1" allowOverlap="1" wp14:anchorId="40107A36" wp14:editId="532D3E6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p w14:paraId="205EF6DD" w14:textId="77777777" w:rsidR="009E2BF2" w:rsidRDefault="009E2BF2">
    <w:pPr>
      <w:pStyle w:val="Encabezado"/>
    </w:pPr>
  </w:p>
  <w:p w14:paraId="76314E8E" w14:textId="77777777" w:rsidR="009E2BF2" w:rsidRDefault="009E2BF2">
    <w:pPr>
      <w:pStyle w:val="Encabezado"/>
    </w:pPr>
  </w:p>
  <w:p w14:paraId="5C9F885B" w14:textId="77777777" w:rsidR="009E2BF2" w:rsidRDefault="009E2B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C35396"/>
    <w:multiLevelType w:val="hybridMultilevel"/>
    <w:tmpl w:val="18FCD134"/>
    <w:lvl w:ilvl="0" w:tplc="0FD22E8C">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9C6709D"/>
    <w:multiLevelType w:val="multilevel"/>
    <w:tmpl w:val="19C670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4736F19"/>
    <w:multiLevelType w:val="hybridMultilevel"/>
    <w:tmpl w:val="78CA7906"/>
    <w:lvl w:ilvl="0" w:tplc="5B2876D6">
      <w:start w:val="1"/>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C2C"/>
    <w:rsid w:val="00042450"/>
    <w:rsid w:val="00042A0C"/>
    <w:rsid w:val="00067C10"/>
    <w:rsid w:val="000942EB"/>
    <w:rsid w:val="000A41AD"/>
    <w:rsid w:val="000B103F"/>
    <w:rsid w:val="000C75F9"/>
    <w:rsid w:val="000F14E8"/>
    <w:rsid w:val="00103915"/>
    <w:rsid w:val="00116948"/>
    <w:rsid w:val="00122B23"/>
    <w:rsid w:val="0013533B"/>
    <w:rsid w:val="00137FFA"/>
    <w:rsid w:val="0014334D"/>
    <w:rsid w:val="00164B3C"/>
    <w:rsid w:val="00182483"/>
    <w:rsid w:val="00190B85"/>
    <w:rsid w:val="001A0C50"/>
    <w:rsid w:val="001B73C1"/>
    <w:rsid w:val="001E077F"/>
    <w:rsid w:val="00210D4A"/>
    <w:rsid w:val="00234B84"/>
    <w:rsid w:val="00263389"/>
    <w:rsid w:val="0028550E"/>
    <w:rsid w:val="00291E58"/>
    <w:rsid w:val="00294B78"/>
    <w:rsid w:val="00297282"/>
    <w:rsid w:val="002A7810"/>
    <w:rsid w:val="003033BA"/>
    <w:rsid w:val="003156ED"/>
    <w:rsid w:val="0034680A"/>
    <w:rsid w:val="00365324"/>
    <w:rsid w:val="00386456"/>
    <w:rsid w:val="003954B8"/>
    <w:rsid w:val="003A0EE3"/>
    <w:rsid w:val="003A4A23"/>
    <w:rsid w:val="003A581E"/>
    <w:rsid w:val="004015DC"/>
    <w:rsid w:val="004422D6"/>
    <w:rsid w:val="00473336"/>
    <w:rsid w:val="00487524"/>
    <w:rsid w:val="00490009"/>
    <w:rsid w:val="004927E3"/>
    <w:rsid w:val="004A34D2"/>
    <w:rsid w:val="004B4530"/>
    <w:rsid w:val="004F3B3F"/>
    <w:rsid w:val="004F5B13"/>
    <w:rsid w:val="0051074C"/>
    <w:rsid w:val="00513AF2"/>
    <w:rsid w:val="0054413A"/>
    <w:rsid w:val="0055160F"/>
    <w:rsid w:val="005564CA"/>
    <w:rsid w:val="00560929"/>
    <w:rsid w:val="005A79FE"/>
    <w:rsid w:val="005E245D"/>
    <w:rsid w:val="005F61F6"/>
    <w:rsid w:val="00604392"/>
    <w:rsid w:val="006150D8"/>
    <w:rsid w:val="0061612F"/>
    <w:rsid w:val="006429C5"/>
    <w:rsid w:val="00646553"/>
    <w:rsid w:val="00655371"/>
    <w:rsid w:val="00661373"/>
    <w:rsid w:val="006837A8"/>
    <w:rsid w:val="006846FB"/>
    <w:rsid w:val="0068515A"/>
    <w:rsid w:val="00697665"/>
    <w:rsid w:val="006A7FD0"/>
    <w:rsid w:val="006B0294"/>
    <w:rsid w:val="006D30A2"/>
    <w:rsid w:val="006D7687"/>
    <w:rsid w:val="006E0572"/>
    <w:rsid w:val="00705631"/>
    <w:rsid w:val="00722AE9"/>
    <w:rsid w:val="007272D9"/>
    <w:rsid w:val="00736F27"/>
    <w:rsid w:val="00742DD2"/>
    <w:rsid w:val="00743256"/>
    <w:rsid w:val="0075647A"/>
    <w:rsid w:val="007634AD"/>
    <w:rsid w:val="00770CF5"/>
    <w:rsid w:val="00777C2B"/>
    <w:rsid w:val="0078122E"/>
    <w:rsid w:val="00784115"/>
    <w:rsid w:val="007B0854"/>
    <w:rsid w:val="007B2904"/>
    <w:rsid w:val="007F72CB"/>
    <w:rsid w:val="0080141F"/>
    <w:rsid w:val="00803D05"/>
    <w:rsid w:val="00804410"/>
    <w:rsid w:val="008222E2"/>
    <w:rsid w:val="0083119B"/>
    <w:rsid w:val="00831517"/>
    <w:rsid w:val="00836EAB"/>
    <w:rsid w:val="0085092D"/>
    <w:rsid w:val="0087527D"/>
    <w:rsid w:val="008E1C15"/>
    <w:rsid w:val="00901D1F"/>
    <w:rsid w:val="009047C5"/>
    <w:rsid w:val="00922AC2"/>
    <w:rsid w:val="0095385A"/>
    <w:rsid w:val="00965895"/>
    <w:rsid w:val="00991FC9"/>
    <w:rsid w:val="009A780E"/>
    <w:rsid w:val="009B389F"/>
    <w:rsid w:val="009C6354"/>
    <w:rsid w:val="009E2BF2"/>
    <w:rsid w:val="009E7FE0"/>
    <w:rsid w:val="009F2C95"/>
    <w:rsid w:val="00A06D38"/>
    <w:rsid w:val="00A07AC4"/>
    <w:rsid w:val="00A24560"/>
    <w:rsid w:val="00A34538"/>
    <w:rsid w:val="00AA442B"/>
    <w:rsid w:val="00AD1AEB"/>
    <w:rsid w:val="00AF1E70"/>
    <w:rsid w:val="00AF20DD"/>
    <w:rsid w:val="00B22E22"/>
    <w:rsid w:val="00B22F64"/>
    <w:rsid w:val="00B525CB"/>
    <w:rsid w:val="00B568EA"/>
    <w:rsid w:val="00B63CB2"/>
    <w:rsid w:val="00B747AE"/>
    <w:rsid w:val="00BA7CCE"/>
    <w:rsid w:val="00BC4321"/>
    <w:rsid w:val="00BD78FE"/>
    <w:rsid w:val="00C3123A"/>
    <w:rsid w:val="00C65000"/>
    <w:rsid w:val="00C74AA1"/>
    <w:rsid w:val="00C966A5"/>
    <w:rsid w:val="00C971F3"/>
    <w:rsid w:val="00CA287E"/>
    <w:rsid w:val="00CC00CD"/>
    <w:rsid w:val="00CD4FE5"/>
    <w:rsid w:val="00CE343A"/>
    <w:rsid w:val="00D16E39"/>
    <w:rsid w:val="00D64964"/>
    <w:rsid w:val="00D72E9D"/>
    <w:rsid w:val="00D741C9"/>
    <w:rsid w:val="00D82CE5"/>
    <w:rsid w:val="00D91B81"/>
    <w:rsid w:val="00DA5AB1"/>
    <w:rsid w:val="00DC62E5"/>
    <w:rsid w:val="00DD6EA8"/>
    <w:rsid w:val="00DD735D"/>
    <w:rsid w:val="00DE3119"/>
    <w:rsid w:val="00DF236B"/>
    <w:rsid w:val="00E003AB"/>
    <w:rsid w:val="00E13AB8"/>
    <w:rsid w:val="00E33B62"/>
    <w:rsid w:val="00E414B4"/>
    <w:rsid w:val="00EC5992"/>
    <w:rsid w:val="00EF1499"/>
    <w:rsid w:val="00F07080"/>
    <w:rsid w:val="00F37A17"/>
    <w:rsid w:val="00F46EEF"/>
    <w:rsid w:val="00F52285"/>
    <w:rsid w:val="00F64E97"/>
    <w:rsid w:val="00F74E71"/>
    <w:rsid w:val="00F818B4"/>
    <w:rsid w:val="00F84899"/>
    <w:rsid w:val="00F859F0"/>
    <w:rsid w:val="00FC43D5"/>
    <w:rsid w:val="00FE1261"/>
    <w:rsid w:val="00FE141E"/>
    <w:rsid w:val="00FE730C"/>
    <w:rsid w:val="1D75F45E"/>
    <w:rsid w:val="39F79714"/>
    <w:rsid w:val="56DE2DC4"/>
    <w:rsid w:val="5827BEFC"/>
    <w:rsid w:val="6A67744B"/>
    <w:rsid w:val="7E608D0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1B05A9A8"/>
  <w15:docId w15:val="{D7454893-DD56-7246-95C0-EE92DE3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rPr>
      <w:b/>
      <w:bCs/>
    </w:rPr>
  </w:style>
  <w:style w:type="paragraph" w:styleId="Textocomentario">
    <w:name w:val="annotation text"/>
    <w:basedOn w:val="Normal"/>
    <w:link w:val="TextocomentarioCar"/>
    <w:uiPriority w:val="99"/>
    <w:semiHidden/>
    <w:unhideWhenUsed/>
    <w:rPr>
      <w:sz w:val="20"/>
      <w:szCs w:val="20"/>
    </w:rPr>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Encabezado">
    <w:name w:val="header"/>
    <w:basedOn w:val="Normal"/>
    <w:link w:val="EncabezadoCar"/>
    <w:uiPriority w:val="99"/>
    <w:unhideWhenUsed/>
    <w:pPr>
      <w:tabs>
        <w:tab w:val="center" w:pos="4252"/>
        <w:tab w:val="right" w:pos="8504"/>
      </w:tabs>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Cs w:val="24"/>
      <w:lang w:val="es-CO" w:eastAsia="es-CO"/>
    </w:rPr>
  </w:style>
  <w:style w:type="paragraph" w:styleId="Piedepgina">
    <w:name w:val="footer"/>
    <w:basedOn w:val="Normal"/>
    <w:link w:val="PiedepginaCar"/>
    <w:uiPriority w:val="99"/>
    <w:unhideWhenUsed/>
    <w:qFormat/>
    <w:pPr>
      <w:tabs>
        <w:tab w:val="center" w:pos="4419"/>
        <w:tab w:val="right" w:pos="8838"/>
      </w:tabs>
    </w:p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Hipervnculo">
    <w:name w:val="Hyperlink"/>
    <w:basedOn w:val="Fuentedeprrafopredeter"/>
    <w:uiPriority w:val="99"/>
    <w:unhideWhenUsed/>
    <w:rPr>
      <w:color w:val="F2F2F2" w:themeColor="hyperlink"/>
      <w:u w:val="single"/>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qFormat/>
    <w:rPr>
      <w:sz w:val="24"/>
      <w:lang w:val="es-MX"/>
    </w:rPr>
  </w:style>
  <w:style w:type="character" w:customStyle="1" w:styleId="TextodegloboCar">
    <w:name w:val="Texto de globo Car"/>
    <w:basedOn w:val="Fuentedeprrafopredeter"/>
    <w:link w:val="Textodeglobo"/>
    <w:uiPriority w:val="99"/>
    <w:semiHidden/>
    <w:qFormat/>
    <w:rPr>
      <w:rFonts w:ascii="Tahoma" w:hAnsi="Tahoma" w:cs="Tahoma"/>
      <w:sz w:val="16"/>
      <w:szCs w:val="16"/>
      <w:lang w:val="es-MX"/>
    </w:rPr>
  </w:style>
  <w:style w:type="character" w:customStyle="1" w:styleId="EncabezadoCar">
    <w:name w:val="Encabezado Car"/>
    <w:basedOn w:val="Fuentedeprrafopredeter"/>
    <w:link w:val="Encabezado"/>
    <w:uiPriority w:val="99"/>
    <w:qFormat/>
    <w:rPr>
      <w:sz w:val="24"/>
      <w:lang w:val="es-MX"/>
    </w:rPr>
  </w:style>
  <w:style w:type="paragraph" w:styleId="Prrafodelista">
    <w:name w:val="List Paragraph"/>
    <w:basedOn w:val="Normal"/>
    <w:link w:val="PrrafodelistaCar"/>
    <w:uiPriority w:val="34"/>
    <w:qFormat/>
    <w:pPr>
      <w:ind w:left="720"/>
      <w:contextualSpacing/>
    </w:pPr>
  </w:style>
  <w:style w:type="character" w:customStyle="1" w:styleId="TextocomentarioCar">
    <w:name w:val="Texto comentario Car"/>
    <w:basedOn w:val="Fuentedeprrafopredeter"/>
    <w:link w:val="Textocomentario"/>
    <w:uiPriority w:val="99"/>
    <w:semiHidden/>
    <w:rPr>
      <w:sz w:val="20"/>
      <w:szCs w:val="20"/>
      <w:lang w:val="es-MX"/>
    </w:rPr>
  </w:style>
  <w:style w:type="character" w:customStyle="1" w:styleId="AsuntodelcomentarioCar">
    <w:name w:val="Asunto del comentario Car"/>
    <w:basedOn w:val="TextocomentarioCar"/>
    <w:link w:val="Asuntodelcomentario"/>
    <w:uiPriority w:val="99"/>
    <w:semiHidden/>
    <w:rPr>
      <w:b/>
      <w:bCs/>
      <w:sz w:val="20"/>
      <w:szCs w:val="20"/>
      <w:lang w:val="es-MX"/>
    </w:rPr>
  </w:style>
  <w:style w:type="paragraph" w:styleId="Sinespaciado">
    <w:name w:val="No Spacing"/>
    <w:uiPriority w:val="1"/>
    <w:qFormat/>
    <w:rPr>
      <w:sz w:val="24"/>
      <w:szCs w:val="22"/>
      <w:lang w:val="es-MX" w:eastAsia="en-US"/>
    </w:rPr>
  </w:style>
  <w:style w:type="character" w:customStyle="1" w:styleId="TextonotapieCar">
    <w:name w:val="Texto nota pie Car"/>
    <w:basedOn w:val="Fuentedeprrafopredeter"/>
    <w:link w:val="Textonotapie"/>
    <w:uiPriority w:val="99"/>
    <w:semiHidden/>
    <w:locked/>
    <w:rPr>
      <w:sz w:val="20"/>
      <w:szCs w:val="20"/>
      <w:lang w:val="es-MX"/>
    </w:rPr>
  </w:style>
  <w:style w:type="character" w:customStyle="1" w:styleId="TextonotapieCar1">
    <w:name w:val="Texto nota pie Car1"/>
    <w:basedOn w:val="Fuentedeprrafopredeter"/>
    <w:uiPriority w:val="99"/>
    <w:semiHidden/>
    <w:qFormat/>
    <w:rPr>
      <w:sz w:val="20"/>
      <w:szCs w:val="20"/>
      <w:lang w:val="es-MX"/>
    </w:rPr>
  </w:style>
  <w:style w:type="character" w:customStyle="1" w:styleId="PrrafodelistaCar">
    <w:name w:val="Párrafo de lista Car"/>
    <w:link w:val="Prrafodelista"/>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normaltextrun">
    <w:name w:val="normaltextrun"/>
    <w:basedOn w:val="Fuentedeprrafopredeter"/>
    <w:rsid w:val="00F74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539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C6D4A2E-BB9B-48E9-9D4C-CF6695F0C8E9}">
  <ds:schemaRefs>
    <ds:schemaRef ds:uri="http://schemas.openxmlformats.org/officeDocument/2006/bibliography"/>
  </ds:schemaRefs>
</ds:datastoreItem>
</file>

<file path=customXml/itemProps3.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F999C614-D2FC-4AF8-B3FC-481D4BFE2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5</Pages>
  <Words>1547</Words>
  <Characters>8509</Characters>
  <Application>Microsoft Office Word</Application>
  <DocSecurity>0</DocSecurity>
  <Lines>70</Lines>
  <Paragraphs>20</Paragraphs>
  <ScaleCrop>false</ScaleCrop>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8</cp:revision>
  <dcterms:created xsi:type="dcterms:W3CDTF">2020-07-07T20:29:00Z</dcterms:created>
  <dcterms:modified xsi:type="dcterms:W3CDTF">2020-08-06T20:23:00Z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