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A38BF" w14:textId="77777777" w:rsidR="00713C5F" w:rsidRPr="001C64AB" w:rsidRDefault="00713C5F" w:rsidP="00090501">
      <w:pPr>
        <w:spacing w:after="0"/>
        <w:rPr>
          <w:rFonts w:ascii="Arial" w:eastAsia="Times New Roman" w:hAnsi="Arial" w:cs="Arial"/>
          <w:b/>
          <w:bCs/>
          <w:sz w:val="22"/>
          <w:lang w:val="es-CO" w:eastAsia="es-ES"/>
        </w:rPr>
      </w:pPr>
    </w:p>
    <w:p w14:paraId="65D47BBE" w14:textId="77777777" w:rsidR="00E70B71" w:rsidRPr="00E70B71" w:rsidRDefault="00E70B71" w:rsidP="00E70B71">
      <w:pPr>
        <w:spacing w:after="120"/>
        <w:contextualSpacing/>
        <w:rPr>
          <w:rFonts w:ascii="Arial" w:eastAsia="Calibri" w:hAnsi="Arial" w:cs="Arial"/>
          <w:b/>
          <w:bCs/>
          <w:sz w:val="22"/>
        </w:rPr>
      </w:pPr>
      <w:r w:rsidRPr="00E70B71">
        <w:rPr>
          <w:rFonts w:ascii="Arial" w:eastAsia="Calibri" w:hAnsi="Arial" w:cs="Arial"/>
          <w:b/>
          <w:bCs/>
          <w:sz w:val="22"/>
        </w:rPr>
        <w:t>LEY DE GARANTÍAS ELECTORALES – Finalidad</w:t>
      </w:r>
    </w:p>
    <w:p w14:paraId="239C1007" w14:textId="77777777" w:rsidR="00E70B71" w:rsidRPr="00E70B71" w:rsidRDefault="00E70B71" w:rsidP="00E70B71">
      <w:pPr>
        <w:spacing w:after="120"/>
        <w:contextualSpacing/>
        <w:rPr>
          <w:rFonts w:ascii="Arial" w:eastAsia="Calibri" w:hAnsi="Arial" w:cs="Arial"/>
          <w:sz w:val="22"/>
        </w:rPr>
      </w:pPr>
    </w:p>
    <w:p w14:paraId="1A22B13E" w14:textId="3FF66320" w:rsidR="00AC27EA" w:rsidRPr="00AC27EA" w:rsidRDefault="00E70B71">
      <w:pPr>
        <w:rPr>
          <w:rFonts w:ascii="Arial" w:eastAsia="Times New Roman" w:hAnsi="Arial" w:cs="Arial"/>
          <w:bCs/>
          <w:sz w:val="20"/>
          <w:szCs w:val="20"/>
          <w:lang w:eastAsia="es-CO"/>
        </w:rPr>
      </w:pPr>
      <w:r w:rsidRPr="00AC27EA">
        <w:rPr>
          <w:rFonts w:ascii="Arial" w:eastAsia="Times New Roman" w:hAnsi="Arial" w:cs="Arial"/>
          <w:bCs/>
          <w:sz w:val="20"/>
          <w:szCs w:val="20"/>
          <w:lang w:eastAsia="es-CO"/>
        </w:rPr>
        <w:t xml:space="preserve">[…] </w:t>
      </w:r>
      <w:r w:rsidR="00AC27EA" w:rsidRPr="00AC27EA">
        <w:rPr>
          <w:rFonts w:ascii="Arial" w:eastAsia="Times New Roman" w:hAnsi="Arial" w:cs="Arial"/>
          <w:bCs/>
          <w:sz w:val="20"/>
          <w:szCs w:val="20"/>
          <w:lang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00AC27EA" w:rsidRPr="00AC27EA">
        <w:rPr>
          <w:rStyle w:val="Refdenotaalpie"/>
          <w:rFonts w:ascii="Arial" w:eastAsia="Times New Roman" w:hAnsi="Arial" w:cs="Arial"/>
          <w:bCs/>
          <w:sz w:val="20"/>
          <w:szCs w:val="20"/>
          <w:lang w:eastAsia="es-CO"/>
        </w:rPr>
        <w:footnoteReference w:id="1"/>
      </w:r>
      <w:r w:rsidR="00AC27EA" w:rsidRPr="00AC27EA">
        <w:rPr>
          <w:rFonts w:ascii="Arial" w:eastAsia="Times New Roman" w:hAnsi="Arial" w:cs="Arial"/>
          <w:bCs/>
          <w:sz w:val="20"/>
          <w:szCs w:val="20"/>
          <w:lang w:eastAsia="es-CO"/>
        </w:rPr>
        <w:t>. En esta medida, introduce limitaciones para realizar nombramientos, postulaciones, contrataciones o cualquier otro tipo de actividad que implique destinación de recursos públicos bajo el devenir propio de las entidades estatales.</w:t>
      </w:r>
    </w:p>
    <w:p w14:paraId="68D0CF83" w14:textId="1EFE5AB7" w:rsidR="00E70B71" w:rsidRPr="00E70B71" w:rsidRDefault="00E70B71" w:rsidP="00E70B71">
      <w:pPr>
        <w:tabs>
          <w:tab w:val="left" w:pos="426"/>
        </w:tabs>
        <w:spacing w:after="0"/>
        <w:rPr>
          <w:rFonts w:ascii="Arial" w:eastAsia="Calibri" w:hAnsi="Arial" w:cs="Arial"/>
          <w:b/>
          <w:bCs/>
          <w:sz w:val="22"/>
        </w:rPr>
      </w:pPr>
      <w:bookmarkStart w:id="0" w:name="_Hlk77165666"/>
      <w:r w:rsidRPr="00E70B71">
        <w:rPr>
          <w:rFonts w:ascii="Arial" w:eastAsia="Calibri" w:hAnsi="Arial" w:cs="Arial"/>
          <w:b/>
          <w:bCs/>
          <w:sz w:val="22"/>
        </w:rPr>
        <w:t xml:space="preserve">LEY DE GARANTÍAS ELECTORALES </w:t>
      </w:r>
      <w:bookmarkStart w:id="1" w:name="_Hlk79355379"/>
      <w:r w:rsidRPr="00E70B71">
        <w:rPr>
          <w:rFonts w:ascii="Arial" w:eastAsia="Calibri" w:hAnsi="Arial" w:cs="Arial"/>
          <w:sz w:val="22"/>
        </w:rPr>
        <w:t xml:space="preserve">─ </w:t>
      </w:r>
      <w:bookmarkEnd w:id="1"/>
      <w:r w:rsidRPr="00E70B71">
        <w:rPr>
          <w:rFonts w:ascii="Arial" w:eastAsia="Calibri" w:hAnsi="Arial" w:cs="Arial"/>
          <w:b/>
          <w:bCs/>
          <w:sz w:val="22"/>
        </w:rPr>
        <w:t xml:space="preserve">Prohibición </w:t>
      </w:r>
      <w:r w:rsidR="00883713" w:rsidRPr="00E70B71">
        <w:rPr>
          <w:rFonts w:ascii="Arial" w:eastAsia="Calibri" w:hAnsi="Arial" w:cs="Arial"/>
          <w:sz w:val="22"/>
        </w:rPr>
        <w:t xml:space="preserve">─ </w:t>
      </w:r>
      <w:bookmarkEnd w:id="0"/>
      <w:r w:rsidRPr="00E70B71">
        <w:rPr>
          <w:rFonts w:ascii="Arial" w:eastAsia="Calibri" w:hAnsi="Arial" w:cs="Arial"/>
          <w:b/>
          <w:bCs/>
          <w:sz w:val="22"/>
        </w:rPr>
        <w:t xml:space="preserve">Contratación directa </w:t>
      </w:r>
      <w:r w:rsidR="00883713" w:rsidRPr="00E70B71">
        <w:rPr>
          <w:rFonts w:ascii="Arial" w:eastAsia="Calibri" w:hAnsi="Arial" w:cs="Arial"/>
          <w:sz w:val="22"/>
        </w:rPr>
        <w:t xml:space="preserve">─ </w:t>
      </w:r>
      <w:r w:rsidR="008D1A75" w:rsidRPr="008D1A75">
        <w:rPr>
          <w:rFonts w:ascii="Arial" w:eastAsia="Calibri" w:hAnsi="Arial" w:cs="Arial"/>
          <w:b/>
          <w:bCs/>
          <w:sz w:val="22"/>
        </w:rPr>
        <w:t xml:space="preserve">Excepciones </w:t>
      </w:r>
      <w:r w:rsidR="008D1A75" w:rsidRPr="00E70B71">
        <w:rPr>
          <w:rFonts w:ascii="Arial" w:eastAsia="Calibri" w:hAnsi="Arial" w:cs="Arial"/>
          <w:b/>
          <w:bCs/>
          <w:sz w:val="22"/>
        </w:rPr>
        <w:t>─</w:t>
      </w:r>
      <w:r w:rsidR="008D1A75">
        <w:rPr>
          <w:rFonts w:ascii="Arial" w:eastAsia="Calibri" w:hAnsi="Arial" w:cs="Arial"/>
          <w:b/>
          <w:bCs/>
          <w:sz w:val="22"/>
        </w:rPr>
        <w:t xml:space="preserve"> </w:t>
      </w:r>
      <w:r w:rsidRPr="00E70B71">
        <w:rPr>
          <w:rFonts w:ascii="Arial" w:eastAsia="Calibri" w:hAnsi="Arial" w:cs="Arial"/>
          <w:b/>
          <w:bCs/>
          <w:sz w:val="22"/>
        </w:rPr>
        <w:t>Alcance</w:t>
      </w:r>
      <w:r w:rsidR="008D1A75">
        <w:rPr>
          <w:rFonts w:ascii="Arial" w:eastAsia="Calibri" w:hAnsi="Arial" w:cs="Arial"/>
          <w:b/>
          <w:bCs/>
          <w:sz w:val="22"/>
        </w:rPr>
        <w:t xml:space="preserve"> </w:t>
      </w:r>
    </w:p>
    <w:p w14:paraId="0976D4AD" w14:textId="77777777" w:rsidR="00E70B71" w:rsidRPr="0077238E" w:rsidRDefault="00E70B71" w:rsidP="00E70B71">
      <w:pPr>
        <w:tabs>
          <w:tab w:val="left" w:pos="426"/>
        </w:tabs>
        <w:spacing w:after="0"/>
        <w:rPr>
          <w:rFonts w:ascii="Arial" w:eastAsia="Calibri" w:hAnsi="Arial" w:cs="Arial"/>
          <w:noProof/>
          <w:sz w:val="20"/>
          <w:szCs w:val="20"/>
        </w:rPr>
      </w:pPr>
    </w:p>
    <w:p w14:paraId="039A27A5" w14:textId="20C5B978" w:rsidR="00E70B71" w:rsidRPr="0077238E" w:rsidRDefault="00AC27EA" w:rsidP="00E70B71">
      <w:pPr>
        <w:spacing w:after="0"/>
        <w:rPr>
          <w:rFonts w:ascii="Arial" w:eastAsia="Calibri" w:hAnsi="Arial" w:cs="Arial"/>
          <w:sz w:val="20"/>
          <w:szCs w:val="20"/>
          <w:lang w:val="es-CO"/>
        </w:rPr>
      </w:pPr>
      <w:r w:rsidRPr="0077238E">
        <w:rPr>
          <w:rFonts w:ascii="Arial" w:eastAsia="Calibri" w:hAnsi="Arial" w:cs="Arial"/>
          <w:sz w:val="20"/>
          <w:szCs w:val="20"/>
          <w:lang w:val="es-CO"/>
        </w:rPr>
        <w:t>[E]l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8D1A75" w:rsidRPr="0077238E">
        <w:rPr>
          <w:rFonts w:ascii="Arial" w:eastAsia="Calibri" w:hAnsi="Arial" w:cs="Arial"/>
          <w:sz w:val="20"/>
          <w:szCs w:val="20"/>
          <w:lang w:val="es-CO"/>
        </w:rPr>
        <w:t xml:space="preserve">. […] </w:t>
      </w:r>
      <w:r w:rsidR="00D00917" w:rsidRPr="0077238E">
        <w:rPr>
          <w:rFonts w:ascii="Arial" w:eastAsia="Times New Roman" w:hAnsi="Arial" w:cs="Arial"/>
          <w:bCs/>
          <w:sz w:val="20"/>
          <w:szCs w:val="20"/>
          <w:lang w:eastAsia="x-none"/>
        </w:rPr>
        <w:t>la restricción aplica, sin perjuicio de las excepciones establecidas en la misma ley, para celebrar cualquier contrato de forma directa, esto es, sin que exista un proceso abierto y competitivo.</w:t>
      </w:r>
    </w:p>
    <w:p w14:paraId="30B74ADD" w14:textId="4BEF933F" w:rsidR="00E70B71" w:rsidRPr="00E70B71" w:rsidRDefault="00E70B71" w:rsidP="00E70B71">
      <w:pPr>
        <w:tabs>
          <w:tab w:val="left" w:pos="426"/>
        </w:tabs>
        <w:spacing w:after="0"/>
        <w:rPr>
          <w:rFonts w:ascii="Arial" w:eastAsia="Times New Roman" w:hAnsi="Arial" w:cs="Arial"/>
          <w:b/>
          <w:bCs/>
          <w:sz w:val="22"/>
          <w:lang w:eastAsia="es-ES"/>
        </w:rPr>
      </w:pPr>
    </w:p>
    <w:p w14:paraId="67BDE1FB" w14:textId="576A127F" w:rsidR="00E70B71" w:rsidRDefault="00E70B71" w:rsidP="00E70B71">
      <w:pPr>
        <w:rPr>
          <w:rFonts w:ascii="Arial" w:eastAsia="Times New Roman" w:hAnsi="Arial" w:cs="Arial"/>
          <w:b/>
          <w:bCs/>
          <w:sz w:val="22"/>
          <w:lang w:val="es-CO" w:eastAsia="es-ES"/>
        </w:rPr>
      </w:pPr>
      <w:bookmarkStart w:id="2" w:name="_Hlk79356122"/>
      <w:r w:rsidRPr="00E70B71">
        <w:rPr>
          <w:rFonts w:ascii="Arial" w:eastAsia="Times New Roman" w:hAnsi="Arial" w:cs="Arial"/>
          <w:b/>
          <w:bCs/>
          <w:sz w:val="22"/>
          <w:lang w:val="es-CO" w:eastAsia="es-ES"/>
        </w:rPr>
        <w:t xml:space="preserve">LEY DE GARANTÍAS ELECTORALES ‒ </w:t>
      </w:r>
      <w:r w:rsidR="008D1A75">
        <w:rPr>
          <w:rFonts w:ascii="Arial" w:eastAsia="Times New Roman" w:hAnsi="Arial" w:cs="Arial"/>
          <w:b/>
          <w:bCs/>
          <w:sz w:val="22"/>
          <w:lang w:val="es-CO" w:eastAsia="es-ES"/>
        </w:rPr>
        <w:t xml:space="preserve">Interpretación </w:t>
      </w:r>
      <w:bookmarkStart w:id="3" w:name="_Hlk79356188"/>
      <w:r w:rsidR="008D1A75" w:rsidRPr="00E70B71">
        <w:rPr>
          <w:rFonts w:ascii="Arial" w:eastAsia="Times New Roman" w:hAnsi="Arial" w:cs="Arial"/>
          <w:b/>
          <w:bCs/>
          <w:sz w:val="22"/>
          <w:lang w:val="es-CO" w:eastAsia="es-ES"/>
        </w:rPr>
        <w:t>‒</w:t>
      </w:r>
      <w:bookmarkEnd w:id="3"/>
      <w:r w:rsidR="008D1A75">
        <w:rPr>
          <w:rFonts w:ascii="Arial" w:eastAsia="Times New Roman" w:hAnsi="Arial" w:cs="Arial"/>
          <w:b/>
          <w:bCs/>
          <w:sz w:val="22"/>
          <w:lang w:val="es-CO" w:eastAsia="es-ES"/>
        </w:rPr>
        <w:t xml:space="preserve"> </w:t>
      </w:r>
      <w:r w:rsidR="00A03DEF">
        <w:rPr>
          <w:rFonts w:ascii="Arial" w:eastAsia="Times New Roman" w:hAnsi="Arial" w:cs="Arial"/>
          <w:b/>
          <w:bCs/>
          <w:sz w:val="22"/>
          <w:lang w:val="es-CO" w:eastAsia="es-ES"/>
        </w:rPr>
        <w:t xml:space="preserve">Restricciones - </w:t>
      </w:r>
      <w:r w:rsidRPr="006215BD">
        <w:rPr>
          <w:rFonts w:ascii="Arial" w:eastAsia="Times New Roman" w:hAnsi="Arial" w:cs="Arial"/>
          <w:b/>
          <w:bCs/>
          <w:sz w:val="22"/>
          <w:lang w:val="es-CO" w:eastAsia="es-ES"/>
        </w:rPr>
        <w:t xml:space="preserve">Excepciones </w:t>
      </w:r>
    </w:p>
    <w:p w14:paraId="1B546768" w14:textId="26327A47" w:rsidR="00A03DEF" w:rsidRPr="0077238E" w:rsidRDefault="00A03DEF" w:rsidP="00A03DEF">
      <w:pPr>
        <w:rPr>
          <w:rFonts w:ascii="Arial" w:eastAsia="Times New Roman" w:hAnsi="Arial" w:cs="Arial"/>
          <w:sz w:val="20"/>
          <w:szCs w:val="20"/>
          <w:lang w:val="es-CO" w:eastAsia="es-ES"/>
        </w:rPr>
      </w:pPr>
      <w:r w:rsidRPr="0077238E">
        <w:rPr>
          <w:rFonts w:ascii="Arial" w:eastAsia="Times New Roman" w:hAnsi="Arial" w:cs="Arial"/>
          <w:sz w:val="20"/>
          <w:szCs w:val="20"/>
          <w:lang w:val="es-CO" w:eastAsia="es-ES"/>
        </w:rPr>
        <w:t>[L]as prohibiciones impuestas a la libertad de contratar por dicha norma legal han de interpretarse de manera restrictiva. La consulta bajo estudio requiere un análisis de la interpretación de este tipo de normas, en particular, de las excepciones a la prohibición contenida en el mencionado artículo. Esto al encontrarnos frente a disposiciones legales de carácter prohibitivo o restrictivo, pues no es posible aplicar la analogía legis o iuris a los contenidos regulados por ellas. En consecuencia, el operador jurídico no podrá extender la norma a un evento no contemplado en ella conforme al principio de legalidad, es decir, a la voluntad del legislador de excluir o restringir solamente ciertas conductas previstas de manera explícita y taxativa en la misma ley.</w:t>
      </w:r>
      <w:r w:rsidR="0077238E" w:rsidRPr="0077238E">
        <w:rPr>
          <w:rFonts w:ascii="Arial" w:eastAsia="Times New Roman" w:hAnsi="Arial" w:cs="Arial"/>
          <w:sz w:val="20"/>
          <w:szCs w:val="20"/>
          <w:lang w:val="es-CO" w:eastAsia="es-ES"/>
        </w:rPr>
        <w:t xml:space="preserve"> </w:t>
      </w:r>
      <w:r w:rsidRPr="0077238E">
        <w:rPr>
          <w:rFonts w:ascii="Arial" w:eastAsia="Times New Roman" w:hAnsi="Arial" w:cs="Arial"/>
          <w:sz w:val="20"/>
          <w:szCs w:val="20"/>
          <w:lang w:val="es-CO" w:eastAsia="es-ES"/>
        </w:rPr>
        <w:t xml:space="preserve">Con todo lo anterior, es de suma importancia resaltar que el uso de analogías es diferente de aplicar la prohibición a un concepto efectivamente contemplado en la norma, pero cuyo alcance deberá determinarse por vía de interpretación del texto estudiado. Esto también se predica respecto de las excepciones, que, como </w:t>
      </w:r>
      <w:r w:rsidRPr="0077238E">
        <w:rPr>
          <w:rFonts w:ascii="Arial" w:eastAsia="Times New Roman" w:hAnsi="Arial" w:cs="Arial"/>
          <w:sz w:val="20"/>
          <w:szCs w:val="20"/>
          <w:lang w:val="es-CO" w:eastAsia="es-ES"/>
        </w:rPr>
        <w:lastRenderedPageBreak/>
        <w:t>tales, no son prohibiciones sino habilitaciones o autorizaciones frente a estas. Es decir, las normas que establecen excepciones pueden ser objeto de interpretación extensiva pero no de aplicación analógica</w:t>
      </w:r>
      <w:r w:rsidRPr="0077238E">
        <w:rPr>
          <w:rFonts w:ascii="Arial" w:eastAsia="Times New Roman" w:hAnsi="Arial" w:cs="Arial"/>
          <w:b/>
          <w:bCs/>
          <w:sz w:val="20"/>
          <w:szCs w:val="20"/>
          <w:lang w:val="es-CO" w:eastAsia="es-ES"/>
        </w:rPr>
        <w:t>.</w:t>
      </w:r>
    </w:p>
    <w:bookmarkEnd w:id="2"/>
    <w:p w14:paraId="1A457C23" w14:textId="77777777" w:rsidR="006215BD" w:rsidRPr="006215BD" w:rsidRDefault="006215BD" w:rsidP="006215BD">
      <w:pPr>
        <w:spacing w:after="0"/>
        <w:rPr>
          <w:rFonts w:ascii="Arial" w:hAnsi="Arial" w:cs="Arial"/>
          <w:sz w:val="22"/>
          <w:lang w:val="es-ES"/>
        </w:rPr>
      </w:pPr>
    </w:p>
    <w:p w14:paraId="4A9076D9" w14:textId="2910E433" w:rsidR="00476E69" w:rsidRPr="00476E69" w:rsidRDefault="00476E69" w:rsidP="00476E69">
      <w:pPr>
        <w:spacing w:after="0"/>
        <w:rPr>
          <w:rFonts w:ascii="Arial" w:hAnsi="Arial" w:cs="Arial"/>
          <w:b/>
          <w:bCs/>
          <w:sz w:val="22"/>
          <w:lang w:val="es-ES"/>
        </w:rPr>
      </w:pPr>
      <w:r w:rsidRPr="00476E69">
        <w:rPr>
          <w:rFonts w:ascii="Arial" w:hAnsi="Arial" w:cs="Arial"/>
          <w:b/>
          <w:bCs/>
          <w:sz w:val="22"/>
          <w:lang w:val="es-ES"/>
        </w:rPr>
        <w:t>OPERACIONES DE CRÉDITO PÚBLICO</w:t>
      </w:r>
      <w:r>
        <w:rPr>
          <w:rFonts w:ascii="Arial" w:hAnsi="Arial" w:cs="Arial"/>
          <w:b/>
          <w:bCs/>
          <w:sz w:val="22"/>
          <w:lang w:val="es-ES"/>
        </w:rPr>
        <w:t xml:space="preserve"> </w:t>
      </w:r>
      <w:bookmarkStart w:id="4" w:name="_Hlk79356383"/>
      <w:r>
        <w:rPr>
          <w:rFonts w:ascii="Arial" w:hAnsi="Arial" w:cs="Arial"/>
          <w:b/>
          <w:bCs/>
          <w:sz w:val="22"/>
          <w:lang w:val="es-ES"/>
        </w:rPr>
        <w:t>–</w:t>
      </w:r>
      <w:bookmarkEnd w:id="4"/>
      <w:r>
        <w:rPr>
          <w:rFonts w:ascii="Arial" w:hAnsi="Arial" w:cs="Arial"/>
          <w:b/>
          <w:bCs/>
          <w:sz w:val="22"/>
          <w:lang w:val="es-ES"/>
        </w:rPr>
        <w:t xml:space="preserve"> Definición –</w:t>
      </w:r>
      <w:r w:rsidR="00632B47">
        <w:rPr>
          <w:rFonts w:ascii="Arial" w:hAnsi="Arial" w:cs="Arial"/>
          <w:b/>
          <w:bCs/>
          <w:sz w:val="22"/>
          <w:lang w:val="es-ES"/>
        </w:rPr>
        <w:t xml:space="preserve"> </w:t>
      </w:r>
      <w:r>
        <w:rPr>
          <w:rFonts w:ascii="Arial" w:hAnsi="Arial" w:cs="Arial"/>
          <w:b/>
          <w:bCs/>
          <w:sz w:val="22"/>
          <w:lang w:val="es-ES"/>
        </w:rPr>
        <w:t>Contratación directa</w:t>
      </w:r>
      <w:r w:rsidR="00632B47">
        <w:rPr>
          <w:rFonts w:ascii="Arial" w:hAnsi="Arial" w:cs="Arial"/>
          <w:b/>
          <w:bCs/>
          <w:sz w:val="22"/>
          <w:lang w:val="es-ES"/>
        </w:rPr>
        <w:t xml:space="preserve"> - Clases</w:t>
      </w:r>
    </w:p>
    <w:p w14:paraId="232C39C0" w14:textId="77777777" w:rsidR="00476E69" w:rsidRPr="008361D0" w:rsidRDefault="00476E69" w:rsidP="00476E69">
      <w:pPr>
        <w:spacing w:after="0"/>
        <w:rPr>
          <w:rFonts w:ascii="Arial" w:hAnsi="Arial" w:cs="Arial"/>
          <w:b/>
          <w:bCs/>
          <w:i/>
          <w:iCs/>
          <w:sz w:val="20"/>
          <w:szCs w:val="20"/>
          <w:lang w:val="es-ES"/>
        </w:rPr>
      </w:pPr>
    </w:p>
    <w:p w14:paraId="3332F3B3" w14:textId="68B16104" w:rsidR="008361D0" w:rsidRPr="008361D0" w:rsidRDefault="008361D0" w:rsidP="008361D0">
      <w:pPr>
        <w:spacing w:after="0"/>
        <w:rPr>
          <w:rFonts w:ascii="Arial" w:hAnsi="Arial" w:cs="Arial"/>
          <w:sz w:val="20"/>
          <w:szCs w:val="20"/>
          <w:lang w:val="es-ES"/>
        </w:rPr>
      </w:pPr>
      <w:r w:rsidRPr="008361D0">
        <w:rPr>
          <w:rFonts w:ascii="Arial" w:hAnsi="Arial" w:cs="Arial"/>
          <w:sz w:val="20"/>
          <w:szCs w:val="20"/>
          <w:lang w:val="es-ES"/>
        </w:rPr>
        <w:t>La Ley 80 de 1993, en el parágrafo segundo del artículo 41, definió a las operaciones de crédito público como aquellas que «[…] tienen por objeto dotar a la entidad de recursos con plazo para su pago, entre las que se encuentran la contratación de empréstitos, la emisión, suscripción y colocación de bonos y títulos valores, los créditos de proveedores y el otorgamiento de garantías para obligaciones de pago a cargo de las entidades estatales». Además, esta norma dispone que dichas operaciones y las conexas con éstas se contratarán en forma directa.</w:t>
      </w:r>
      <w:r>
        <w:rPr>
          <w:rFonts w:ascii="Arial" w:hAnsi="Arial" w:cs="Arial"/>
          <w:sz w:val="20"/>
          <w:szCs w:val="20"/>
          <w:lang w:val="es-ES"/>
        </w:rPr>
        <w:t xml:space="preserve"> </w:t>
      </w:r>
      <w:r w:rsidRPr="008361D0">
        <w:rPr>
          <w:rFonts w:ascii="Arial" w:hAnsi="Arial" w:cs="Arial"/>
          <w:sz w:val="20"/>
          <w:szCs w:val="20"/>
          <w:lang w:val="es-ES"/>
        </w:rPr>
        <w:t>En ejercicio de sus facultades reglamentarias, el Gobierno Nacional recogió la definición legal de este tipo de operaciones y la amplió mediante el Decreto 2681 de 1993, norma compilada, a su vez, en el artículo 2.2.1.1.1. del Decreto 1068 de 2015. Este último dispuso que «[s]</w:t>
      </w:r>
      <w:proofErr w:type="spellStart"/>
      <w:r w:rsidRPr="008361D0">
        <w:rPr>
          <w:rFonts w:ascii="Arial" w:hAnsi="Arial" w:cs="Arial"/>
          <w:sz w:val="20"/>
          <w:szCs w:val="20"/>
          <w:lang w:val="es-ES"/>
        </w:rPr>
        <w:t>on</w:t>
      </w:r>
      <w:proofErr w:type="spellEnd"/>
      <w:r w:rsidRPr="008361D0">
        <w:rPr>
          <w:rFonts w:ascii="Arial" w:hAnsi="Arial" w:cs="Arial"/>
          <w:sz w:val="20"/>
          <w:szCs w:val="20"/>
          <w:lang w:val="es-ES"/>
        </w:rPr>
        <w:t xml:space="preserve"> operaciones de crédito público los actos o contratos que tienen por objeto dotar a la entidad estatal de recursos, bienes o servicios con plazo para su pago o aquellas mediante las cuales la entidad actúa como deudor solidario o garante de obligaciones de pago». La norma reglamentaria agregó que dentro de estas operaciones están comprendidas, entre otras, la contratación de empréstitos, la emisión, suscripción y colocación de títulos de deuda pública, los créditos de proveedores y el otorgamiento de garantías para obligaciones de pago a cargo de entidades estatales.</w:t>
      </w:r>
    </w:p>
    <w:p w14:paraId="79733E39" w14:textId="77777777" w:rsidR="008361D0" w:rsidRDefault="008361D0" w:rsidP="008361D0">
      <w:pPr>
        <w:spacing w:after="0"/>
        <w:rPr>
          <w:rFonts w:ascii="Arial" w:hAnsi="Arial" w:cs="Arial"/>
          <w:sz w:val="22"/>
          <w:lang w:val="es-ES"/>
        </w:rPr>
      </w:pPr>
    </w:p>
    <w:p w14:paraId="72B04932" w14:textId="44BBF358" w:rsidR="00476E69" w:rsidRDefault="00632B47" w:rsidP="008361D0">
      <w:pPr>
        <w:spacing w:after="0"/>
        <w:rPr>
          <w:rFonts w:ascii="Arial" w:hAnsi="Arial" w:cs="Arial"/>
          <w:b/>
          <w:bCs/>
          <w:sz w:val="22"/>
          <w:lang w:val="es-ES"/>
        </w:rPr>
      </w:pPr>
      <w:r w:rsidRPr="00632B47">
        <w:rPr>
          <w:rFonts w:ascii="Arial" w:hAnsi="Arial" w:cs="Arial"/>
          <w:b/>
          <w:bCs/>
          <w:sz w:val="22"/>
          <w:lang w:val="es-ES"/>
        </w:rPr>
        <w:t>OPERACIONES CONEXAS A LAS DE CRÉDITO PÚBLICO</w:t>
      </w:r>
      <w:r w:rsidR="004545F5">
        <w:rPr>
          <w:rFonts w:ascii="Arial" w:hAnsi="Arial" w:cs="Arial"/>
          <w:b/>
          <w:bCs/>
          <w:sz w:val="22"/>
          <w:lang w:val="es-ES"/>
        </w:rPr>
        <w:t xml:space="preserve"> </w:t>
      </w:r>
      <w:bookmarkStart w:id="5" w:name="_Hlk79357346"/>
      <w:r w:rsidRPr="00632B47">
        <w:rPr>
          <w:rFonts w:ascii="Arial" w:hAnsi="Arial" w:cs="Arial"/>
          <w:b/>
          <w:bCs/>
          <w:sz w:val="22"/>
          <w:lang w:val="es-ES"/>
        </w:rPr>
        <w:t>–</w:t>
      </w:r>
      <w:bookmarkEnd w:id="5"/>
      <w:r w:rsidRPr="00632B47">
        <w:rPr>
          <w:rFonts w:ascii="Arial" w:hAnsi="Arial" w:cs="Arial"/>
          <w:b/>
          <w:bCs/>
          <w:sz w:val="22"/>
          <w:lang w:val="es-ES"/>
        </w:rPr>
        <w:t xml:space="preserve"> Definición – Contratación directa</w:t>
      </w:r>
    </w:p>
    <w:p w14:paraId="4F8A8E42" w14:textId="11805CF6" w:rsidR="00632B47" w:rsidRDefault="00632B47" w:rsidP="00476E69">
      <w:pPr>
        <w:spacing w:after="0"/>
        <w:rPr>
          <w:rFonts w:ascii="Arial" w:hAnsi="Arial" w:cs="Arial"/>
          <w:b/>
          <w:bCs/>
          <w:sz w:val="22"/>
          <w:lang w:val="es-ES"/>
        </w:rPr>
      </w:pPr>
    </w:p>
    <w:p w14:paraId="12527505" w14:textId="6392EB11" w:rsidR="00604F56" w:rsidRPr="00604F56" w:rsidRDefault="00604F56" w:rsidP="00604F56">
      <w:pPr>
        <w:spacing w:after="0"/>
        <w:rPr>
          <w:rFonts w:ascii="Arial" w:hAnsi="Arial" w:cs="Arial"/>
          <w:sz w:val="20"/>
          <w:szCs w:val="20"/>
          <w:lang w:val="es-ES"/>
        </w:rPr>
      </w:pPr>
      <w:r w:rsidRPr="00604F56">
        <w:rPr>
          <w:rFonts w:ascii="Arial" w:hAnsi="Arial" w:cs="Arial"/>
          <w:sz w:val="20"/>
          <w:szCs w:val="20"/>
          <w:lang w:val="es-ES"/>
        </w:rPr>
        <w:t xml:space="preserve">[E]l artículo 41 de la Ley 80 de 1993 hace referencia a las operaciones conexas a las de crédito público, el legislador no definió el alcance de estas últimas. Sin embargo, el artículo 2.2.1.1.4 del Decreto Único Reglamentario –que compila el artículo 6 del Decreto 2681 de 1993– dispone que «[s]e consideran conexas a las operaciones de crédito público […] los actos o contratos relacionados que constituyen un medio necesario para la realización de tales operaciones». De acuerdo con la citada disposición reglamentaria son conexos a las operaciones de crédito público, entre otros, los contratos necesarios para el otorgamiento de garantías o contragarantías a operaciones de crédito público; los contratos de edición, colocación, incluida la colocación garantizada, fideicomiso, encargo fiduciario, garantía y administración de títulos de deuda pública en el mercado de valores, así como los contratos para la calificación de la inversión o de valores, requeridos para la emisión y colocación de tales títulos en los mercados de capitales. Igualmente, la norma en mención indica que también son conexos a operaciones de crédito público «[…] los contratos de intermediación necesarios para llevar a cabo tales operaciones y los de asistencia o asesoría necesarios para la negociación, contratación, o representación de la entidad estatal en el exterior que deban realizarse por personas o entidades expertas en estas materias». Además, el precepto reglamentario prescribe </w:t>
      </w:r>
      <w:r w:rsidRPr="00604F56">
        <w:rPr>
          <w:rFonts w:ascii="Arial" w:hAnsi="Arial" w:cs="Arial"/>
          <w:sz w:val="20"/>
          <w:szCs w:val="20"/>
          <w:lang w:val="es-ES"/>
        </w:rPr>
        <w:lastRenderedPageBreak/>
        <w:t>que las operaciones conexas se contratarán en forma directa, sin someterse al procedimiento de licitación o concurso de méritos.</w:t>
      </w:r>
    </w:p>
    <w:p w14:paraId="7F592E51" w14:textId="77777777" w:rsidR="00604F56" w:rsidRDefault="00604F56" w:rsidP="00604F56">
      <w:pPr>
        <w:spacing w:after="0"/>
        <w:rPr>
          <w:rFonts w:ascii="Arial" w:hAnsi="Arial" w:cs="Arial"/>
          <w:sz w:val="22"/>
          <w:lang w:val="es-ES"/>
        </w:rPr>
      </w:pPr>
    </w:p>
    <w:p w14:paraId="276B9FA9" w14:textId="33F747F1" w:rsidR="004545F5" w:rsidRPr="004545F5" w:rsidRDefault="006A355E" w:rsidP="00604F56">
      <w:pPr>
        <w:spacing w:after="0"/>
        <w:rPr>
          <w:rFonts w:ascii="Arial" w:hAnsi="Arial" w:cs="Arial"/>
          <w:b/>
          <w:bCs/>
          <w:sz w:val="22"/>
          <w:lang w:val="es-ES"/>
        </w:rPr>
      </w:pPr>
      <w:r>
        <w:rPr>
          <w:rFonts w:ascii="Arial" w:hAnsi="Arial" w:cs="Arial"/>
          <w:b/>
          <w:bCs/>
          <w:sz w:val="22"/>
          <w:lang w:val="es-ES"/>
        </w:rPr>
        <w:t>C</w:t>
      </w:r>
      <w:r w:rsidRPr="004545F5">
        <w:rPr>
          <w:rFonts w:ascii="Arial" w:hAnsi="Arial" w:cs="Arial"/>
          <w:b/>
          <w:bCs/>
          <w:sz w:val="22"/>
          <w:lang w:val="es-ES"/>
        </w:rPr>
        <w:t>ONTRATOS DE CRÉDITO PÚBLICO Y CONTRATOS CONEXOS</w:t>
      </w:r>
      <w:r>
        <w:rPr>
          <w:rFonts w:ascii="Arial" w:hAnsi="Arial" w:cs="Arial"/>
          <w:b/>
          <w:bCs/>
          <w:sz w:val="22"/>
          <w:lang w:val="es-ES"/>
        </w:rPr>
        <w:t xml:space="preserve"> </w:t>
      </w:r>
      <w:r w:rsidR="005036F8">
        <w:rPr>
          <w:rFonts w:ascii="Arial" w:hAnsi="Arial" w:cs="Arial"/>
          <w:b/>
          <w:bCs/>
          <w:sz w:val="22"/>
          <w:lang w:val="es-ES"/>
        </w:rPr>
        <w:t xml:space="preserve">– Relación de necesidad </w:t>
      </w:r>
    </w:p>
    <w:p w14:paraId="1CF110DE" w14:textId="77777777" w:rsidR="004545F5" w:rsidRDefault="004545F5" w:rsidP="00632B47">
      <w:pPr>
        <w:spacing w:after="0"/>
        <w:rPr>
          <w:rFonts w:ascii="Arial" w:hAnsi="Arial" w:cs="Arial"/>
          <w:sz w:val="22"/>
          <w:lang w:val="es-ES"/>
        </w:rPr>
      </w:pPr>
    </w:p>
    <w:p w14:paraId="5C652B07" w14:textId="30309C50" w:rsidR="001B7C59" w:rsidRPr="001B7C59" w:rsidRDefault="0034496F" w:rsidP="001B7C59">
      <w:pPr>
        <w:rPr>
          <w:rFonts w:ascii="Arial" w:hAnsi="Arial" w:cs="Arial"/>
          <w:sz w:val="20"/>
          <w:szCs w:val="20"/>
          <w:lang w:val="es-ES"/>
        </w:rPr>
      </w:pPr>
      <w:r w:rsidRPr="001B7C59">
        <w:rPr>
          <w:rFonts w:ascii="Arial" w:hAnsi="Arial" w:cs="Arial"/>
          <w:sz w:val="20"/>
          <w:szCs w:val="20"/>
          <w:lang w:val="es-ES"/>
        </w:rPr>
        <w:t xml:space="preserve">[…] </w:t>
      </w:r>
      <w:r w:rsidR="006A355E" w:rsidRPr="001B7C59">
        <w:rPr>
          <w:rFonts w:ascii="Arial" w:hAnsi="Arial" w:cs="Arial"/>
          <w:sz w:val="20"/>
          <w:szCs w:val="20"/>
          <w:lang w:val="es-ES"/>
        </w:rPr>
        <w:t xml:space="preserve">las operaciones conexas corresponden a actos y contratos celebrados durante el proceso que se adelanta para lograr la operación de crédito público y no se entienden de manera aislada a la actuación económica perseguida, dado que, su esencia, es la de servir de instrumento que facilita y permite la operación. Por eso, incluso, pueden ser también contratadas directamente, en el entendido que, al tener una relación inescindible, se les extiende la autorización que tiene el contrato de la operación de crédito público a la que es conexa </w:t>
      </w:r>
      <w:r w:rsidR="004545F5" w:rsidRPr="001B7C59">
        <w:rPr>
          <w:rFonts w:ascii="Arial" w:hAnsi="Arial" w:cs="Arial"/>
          <w:sz w:val="20"/>
          <w:szCs w:val="20"/>
          <w:lang w:val="es-CO"/>
        </w:rPr>
        <w:t>[…]</w:t>
      </w:r>
      <w:r w:rsidR="006A355E" w:rsidRPr="001B7C59">
        <w:rPr>
          <w:rFonts w:ascii="Arial" w:hAnsi="Arial" w:cs="Arial"/>
          <w:sz w:val="20"/>
          <w:szCs w:val="20"/>
          <w:lang w:val="es-CO"/>
        </w:rPr>
        <w:t xml:space="preserve"> </w:t>
      </w:r>
      <w:r w:rsidR="006A355E" w:rsidRPr="001B7C59">
        <w:rPr>
          <w:rFonts w:ascii="Arial" w:hAnsi="Arial" w:cs="Arial"/>
          <w:sz w:val="20"/>
          <w:szCs w:val="20"/>
          <w:lang w:val="es-ES"/>
        </w:rPr>
        <w:t xml:space="preserve">De las nomas analizadas se colige que las operaciones conexas son actos y contratos sin los cuales las operaciones principales de crédito público no podrían concretarse o materializarse. De ahí que resulten «necesarias» para su realización, pues constituyen un medio para alcanzar el fin de estas operaciones, es decir, para la obtención del crédito público y, por lo tanto, para la celebración del contrato con ese objeto. En efecto, se reitera que la ley y el reglamento definen las actividades de crédito público y dentro de ese marco establecen las actividades u operaciones conexas a aquellas, en el entendido de que son necesarias e imprescindibles para la realización de las primeras. Dicha relación entre las actividades de crédito público y sus operaciones conexas permite concluir que para que las primeras sean llevadas a cabo resulta indispensable, también, efectuar las segundas. </w:t>
      </w:r>
    </w:p>
    <w:p w14:paraId="21D4E86B" w14:textId="33C9B658" w:rsidR="00306411" w:rsidRPr="00F841C4" w:rsidRDefault="00F841C4" w:rsidP="00632B47">
      <w:pPr>
        <w:spacing w:after="0"/>
        <w:rPr>
          <w:rFonts w:ascii="Arial" w:hAnsi="Arial" w:cs="Arial"/>
          <w:b/>
          <w:bCs/>
          <w:sz w:val="22"/>
          <w:lang w:val="es-ES"/>
        </w:rPr>
      </w:pPr>
      <w:r w:rsidRPr="00F841C4">
        <w:rPr>
          <w:rFonts w:ascii="Arial" w:hAnsi="Arial" w:cs="Arial"/>
          <w:b/>
          <w:bCs/>
          <w:sz w:val="22"/>
          <w:lang w:val="es-CO"/>
        </w:rPr>
        <w:t>ACTOS Y CONTRATOS CONEXOS A LAS OPERACIONES DE CRÉDITO PÚBLICO –</w:t>
      </w:r>
      <w:r w:rsidR="006E0C4E">
        <w:rPr>
          <w:rFonts w:ascii="Arial" w:hAnsi="Arial" w:cs="Arial"/>
          <w:b/>
          <w:bCs/>
          <w:sz w:val="22"/>
          <w:lang w:val="es-CO"/>
        </w:rPr>
        <w:t>I</w:t>
      </w:r>
      <w:r w:rsidR="006E0C4E" w:rsidRPr="006E0C4E">
        <w:rPr>
          <w:rFonts w:ascii="Arial" w:hAnsi="Arial" w:cs="Arial"/>
          <w:b/>
          <w:bCs/>
          <w:sz w:val="22"/>
          <w:lang w:val="es-CO"/>
        </w:rPr>
        <w:t xml:space="preserve">nterdependencia funcional y teleológica </w:t>
      </w:r>
      <w:r w:rsidR="006E0C4E">
        <w:rPr>
          <w:rFonts w:ascii="Arial" w:hAnsi="Arial" w:cs="Arial"/>
          <w:b/>
          <w:bCs/>
          <w:sz w:val="22"/>
          <w:lang w:val="es-CO"/>
        </w:rPr>
        <w:t xml:space="preserve">- </w:t>
      </w:r>
      <w:r w:rsidRPr="00F841C4">
        <w:rPr>
          <w:rFonts w:ascii="Arial" w:hAnsi="Arial" w:cs="Arial"/>
          <w:b/>
          <w:bCs/>
          <w:sz w:val="22"/>
          <w:lang w:val="es-ES"/>
        </w:rPr>
        <w:t>E</w:t>
      </w:r>
      <w:r w:rsidR="004545F5" w:rsidRPr="00F841C4">
        <w:rPr>
          <w:rFonts w:ascii="Arial" w:hAnsi="Arial" w:cs="Arial"/>
          <w:b/>
          <w:bCs/>
          <w:sz w:val="22"/>
          <w:lang w:val="es-ES"/>
        </w:rPr>
        <w:t xml:space="preserve">ncaje </w:t>
      </w:r>
      <w:r w:rsidR="006E0C4E">
        <w:rPr>
          <w:rFonts w:ascii="Arial" w:hAnsi="Arial" w:cs="Arial"/>
          <w:b/>
          <w:bCs/>
          <w:sz w:val="22"/>
          <w:lang w:val="es-ES"/>
        </w:rPr>
        <w:t>en</w:t>
      </w:r>
      <w:r w:rsidR="004545F5" w:rsidRPr="00F841C4">
        <w:rPr>
          <w:rFonts w:ascii="Arial" w:hAnsi="Arial" w:cs="Arial"/>
          <w:b/>
          <w:bCs/>
          <w:sz w:val="22"/>
          <w:lang w:val="es-ES"/>
        </w:rPr>
        <w:t xml:space="preserve"> la excepción del artículo 33 de la Ley 996 de 2005</w:t>
      </w:r>
    </w:p>
    <w:p w14:paraId="6FF50A2F" w14:textId="6E6E6154" w:rsidR="00476E69" w:rsidRDefault="00476E69" w:rsidP="00261A00">
      <w:pPr>
        <w:spacing w:after="0"/>
        <w:ind w:right="851"/>
        <w:rPr>
          <w:rFonts w:ascii="Arial" w:hAnsi="Arial" w:cs="Arial"/>
          <w:sz w:val="22"/>
          <w:lang w:val="es-ES"/>
        </w:rPr>
      </w:pPr>
    </w:p>
    <w:p w14:paraId="5AD98F08" w14:textId="5AAE7E87" w:rsidR="001B7C59" w:rsidRPr="001B7C59" w:rsidRDefault="006A355E" w:rsidP="001B7C59">
      <w:pPr>
        <w:rPr>
          <w:rFonts w:ascii="Arial" w:hAnsi="Arial" w:cs="Arial"/>
          <w:sz w:val="20"/>
          <w:szCs w:val="20"/>
          <w:lang w:val="es-ES"/>
        </w:rPr>
      </w:pPr>
      <w:r w:rsidRPr="001B7C59">
        <w:rPr>
          <w:rFonts w:ascii="Arial" w:hAnsi="Arial" w:cs="Arial"/>
          <w:sz w:val="20"/>
          <w:szCs w:val="20"/>
          <w:lang w:val="es-ES"/>
        </w:rPr>
        <w:t xml:space="preserve">[L]a excepción del artículo 33 de la Ley 996 de 2005 a la prohibición a la contratación directa en el periodo previo a la elección presidencial, cobija no solo los contratos de crédito público sino también los contratos conexos que permiten su celebración. Esto en la medida que tienen una interdependencia funcional y teleológica y, aun cuando cada tipo negocial conserva su individualidad normativa, su relación es de medio a fin. En otras palabras, las operaciones conexas son una </w:t>
      </w:r>
      <w:proofErr w:type="spellStart"/>
      <w:r w:rsidRPr="001B7C59">
        <w:rPr>
          <w:rFonts w:ascii="Arial" w:hAnsi="Arial" w:cs="Arial"/>
          <w:i/>
          <w:iCs/>
          <w:sz w:val="20"/>
          <w:szCs w:val="20"/>
          <w:lang w:val="es-ES"/>
        </w:rPr>
        <w:t>conditio</w:t>
      </w:r>
      <w:proofErr w:type="spellEnd"/>
      <w:r w:rsidRPr="001B7C59">
        <w:rPr>
          <w:rFonts w:ascii="Arial" w:hAnsi="Arial" w:cs="Arial"/>
          <w:i/>
          <w:iCs/>
          <w:sz w:val="20"/>
          <w:szCs w:val="20"/>
          <w:lang w:val="es-ES"/>
        </w:rPr>
        <w:t xml:space="preserve"> sine qua non</w:t>
      </w:r>
      <w:r w:rsidRPr="001B7C59">
        <w:rPr>
          <w:rFonts w:ascii="Arial" w:hAnsi="Arial" w:cs="Arial"/>
          <w:sz w:val="20"/>
          <w:szCs w:val="20"/>
          <w:lang w:val="es-ES"/>
        </w:rPr>
        <w:t xml:space="preserve"> de las operaciones principales de crédito público. Del mismo modo, una lectura en conjunto de los artículos 2.2.1.1.4. y 2.2.1.5.1. del Decreto 1068 de 2015 muestra la intención clara y reiterativa de la norma reglamentaria de someter las operaciones conexas al mismo régimen contractual de las operaciones principales, es decir, a la modalidad de contratación directa.</w:t>
      </w:r>
    </w:p>
    <w:p w14:paraId="5BEA0F4B" w14:textId="77777777" w:rsidR="001B7C59" w:rsidRPr="00EA0A3D" w:rsidRDefault="001B7C59" w:rsidP="006A355E">
      <w:pPr>
        <w:rPr>
          <w:rFonts w:ascii="Arial" w:eastAsia="Times New Roman" w:hAnsi="Arial" w:cs="Arial"/>
          <w:bCs/>
          <w:sz w:val="22"/>
          <w:lang w:val="es-ES" w:eastAsia="es-CO"/>
        </w:rPr>
      </w:pPr>
    </w:p>
    <w:p w14:paraId="2BA19FC6" w14:textId="77777777" w:rsidR="00E118CF" w:rsidRPr="00216278" w:rsidRDefault="00E118CF" w:rsidP="00090501">
      <w:pPr>
        <w:spacing w:after="0"/>
        <w:rPr>
          <w:rFonts w:ascii="Arial" w:eastAsia="Times New Roman" w:hAnsi="Arial" w:cs="Arial"/>
          <w:b/>
          <w:bCs/>
          <w:sz w:val="22"/>
          <w:highlight w:val="yellow"/>
          <w:lang w:val="es-CO" w:eastAsia="es-ES"/>
        </w:rPr>
      </w:pPr>
    </w:p>
    <w:p w14:paraId="080C8D9E" w14:textId="64A1960D" w:rsidR="005B7019" w:rsidRPr="00216278" w:rsidRDefault="005B7019" w:rsidP="00090501">
      <w:pPr>
        <w:spacing w:after="0"/>
        <w:rPr>
          <w:rFonts w:ascii="Arial" w:eastAsia="Times New Roman" w:hAnsi="Arial" w:cs="Arial"/>
          <w:b/>
          <w:bCs/>
          <w:sz w:val="22"/>
          <w:highlight w:val="yellow"/>
          <w:lang w:val="es-CO" w:eastAsia="es-ES"/>
        </w:rPr>
      </w:pPr>
    </w:p>
    <w:p w14:paraId="5529D730" w14:textId="77777777" w:rsidR="005B7019" w:rsidRPr="001C64AB" w:rsidRDefault="005B7019" w:rsidP="00090501">
      <w:pPr>
        <w:spacing w:after="0"/>
        <w:rPr>
          <w:rFonts w:ascii="Arial" w:eastAsia="Times New Roman" w:hAnsi="Arial" w:cs="Arial"/>
          <w:b/>
          <w:bCs/>
          <w:sz w:val="22"/>
          <w:lang w:val="es-CO" w:eastAsia="es-ES"/>
        </w:rPr>
      </w:pPr>
    </w:p>
    <w:p w14:paraId="6E3AC64C" w14:textId="6A0C6C54" w:rsidR="00E56152" w:rsidRDefault="00E56152" w:rsidP="00090501">
      <w:pPr>
        <w:spacing w:after="0"/>
        <w:jc w:val="right"/>
        <w:rPr>
          <w:rFonts w:ascii="Arial" w:eastAsia="Times New Roman" w:hAnsi="Arial" w:cs="Arial"/>
          <w:b/>
          <w:bCs/>
          <w:sz w:val="16"/>
          <w:szCs w:val="16"/>
          <w:lang w:val="es-CO" w:eastAsia="es-ES"/>
        </w:rPr>
      </w:pPr>
      <w:r>
        <w:rPr>
          <w:noProof/>
        </w:rPr>
        <w:lastRenderedPageBreak/>
        <w:drawing>
          <wp:inline distT="0" distB="0" distL="0" distR="0" wp14:anchorId="79C20EDF" wp14:editId="24C18A5B">
            <wp:extent cx="2562225" cy="819150"/>
            <wp:effectExtent l="0" t="0" r="9525" b="0"/>
            <wp:docPr id="3"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10;&#10;Descripción generada automáticamente"/>
                    <pic:cNvPicPr/>
                  </pic:nvPicPr>
                  <pic:blipFill>
                    <a:blip r:embed="rId11"/>
                    <a:stretch>
                      <a:fillRect/>
                    </a:stretch>
                  </pic:blipFill>
                  <pic:spPr>
                    <a:xfrm>
                      <a:off x="0" y="0"/>
                      <a:ext cx="2562225" cy="819150"/>
                    </a:xfrm>
                    <a:prstGeom prst="rect">
                      <a:avLst/>
                    </a:prstGeom>
                  </pic:spPr>
                </pic:pic>
              </a:graphicData>
            </a:graphic>
          </wp:inline>
        </w:drawing>
      </w:r>
    </w:p>
    <w:p w14:paraId="3B922040" w14:textId="1ED50C04" w:rsidR="00FE0395" w:rsidRPr="00210E7F" w:rsidRDefault="00904CD9" w:rsidP="00090501">
      <w:pPr>
        <w:spacing w:after="0"/>
        <w:jc w:val="right"/>
        <w:rPr>
          <w:rFonts w:ascii="Arial" w:eastAsia="Calibri" w:hAnsi="Arial" w:cs="Arial"/>
          <w:b/>
          <w:bCs/>
          <w:sz w:val="16"/>
          <w:szCs w:val="16"/>
          <w:lang w:val="es-CO"/>
        </w:rPr>
      </w:pPr>
      <w:r w:rsidRPr="00210E7F">
        <w:rPr>
          <w:rFonts w:ascii="Arial" w:eastAsia="Times New Roman" w:hAnsi="Arial" w:cs="Arial"/>
          <w:b/>
          <w:bCs/>
          <w:sz w:val="16"/>
          <w:szCs w:val="16"/>
          <w:lang w:val="es-CO" w:eastAsia="es-ES"/>
        </w:rPr>
        <w:t>CCE-DES-FM-17</w:t>
      </w:r>
    </w:p>
    <w:p w14:paraId="5071852A" w14:textId="4CD4FC48" w:rsidR="00501FA2" w:rsidRDefault="00501FA2" w:rsidP="00090501">
      <w:pPr>
        <w:spacing w:after="0"/>
        <w:jc w:val="left"/>
        <w:rPr>
          <w:rFonts w:ascii="Arial" w:eastAsia="Calibri" w:hAnsi="Arial" w:cs="Arial"/>
          <w:sz w:val="22"/>
        </w:rPr>
      </w:pPr>
    </w:p>
    <w:p w14:paraId="21DF364B" w14:textId="77777777" w:rsidR="000F0B89" w:rsidRPr="001C64AB" w:rsidRDefault="000F0B89" w:rsidP="00090501">
      <w:pPr>
        <w:spacing w:after="0"/>
        <w:jc w:val="left"/>
        <w:rPr>
          <w:rFonts w:ascii="Arial" w:eastAsia="Calibri" w:hAnsi="Arial" w:cs="Arial"/>
          <w:sz w:val="22"/>
        </w:rPr>
      </w:pPr>
    </w:p>
    <w:p w14:paraId="5C97A69A" w14:textId="470C4613" w:rsidR="00E206ED" w:rsidRDefault="00E56152" w:rsidP="00210E7F">
      <w:pPr>
        <w:spacing w:after="0" w:line="240" w:lineRule="auto"/>
        <w:rPr>
          <w:rFonts w:ascii="Arial" w:hAnsi="Arial" w:cs="Arial"/>
          <w:sz w:val="22"/>
        </w:rPr>
      </w:pPr>
      <w:r w:rsidRPr="00E56152">
        <w:rPr>
          <w:rFonts w:ascii="Arial" w:hAnsi="Arial" w:cs="Arial"/>
          <w:sz w:val="22"/>
        </w:rPr>
        <w:t xml:space="preserve">Bogotá, 17 </w:t>
      </w:r>
      <w:proofErr w:type="gramStart"/>
      <w:r w:rsidRPr="00E56152">
        <w:rPr>
          <w:rFonts w:ascii="Arial" w:hAnsi="Arial" w:cs="Arial"/>
          <w:sz w:val="22"/>
        </w:rPr>
        <w:t>Agosto</w:t>
      </w:r>
      <w:proofErr w:type="gramEnd"/>
      <w:r w:rsidRPr="00E56152">
        <w:rPr>
          <w:rFonts w:ascii="Arial" w:hAnsi="Arial" w:cs="Arial"/>
          <w:sz w:val="22"/>
        </w:rPr>
        <w:t xml:space="preserve"> 2021</w:t>
      </w:r>
    </w:p>
    <w:p w14:paraId="3CE930A0" w14:textId="77777777" w:rsidR="00E56152" w:rsidRPr="00382E08" w:rsidRDefault="00E56152" w:rsidP="00210E7F">
      <w:pPr>
        <w:spacing w:after="0" w:line="240" w:lineRule="auto"/>
        <w:rPr>
          <w:rFonts w:ascii="Arial" w:eastAsia="Calibri" w:hAnsi="Arial" w:cs="Arial"/>
          <w:noProof/>
          <w:sz w:val="22"/>
          <w:lang w:val="es-ES_tradnl"/>
        </w:rPr>
      </w:pPr>
    </w:p>
    <w:p w14:paraId="19234123" w14:textId="77777777" w:rsidR="001D2677" w:rsidRPr="00382E08" w:rsidRDefault="001D2677" w:rsidP="00210E7F">
      <w:pPr>
        <w:spacing w:after="0" w:line="240" w:lineRule="auto"/>
        <w:rPr>
          <w:rFonts w:ascii="Arial" w:eastAsia="Calibri" w:hAnsi="Arial" w:cs="Arial"/>
          <w:sz w:val="22"/>
          <w:lang w:val="es-CO"/>
        </w:rPr>
      </w:pPr>
    </w:p>
    <w:p w14:paraId="0C04D954" w14:textId="7A725E90" w:rsidR="00E206ED" w:rsidRPr="00382E08" w:rsidRDefault="003202F1" w:rsidP="00210E7F">
      <w:pPr>
        <w:spacing w:after="0" w:line="240" w:lineRule="auto"/>
        <w:rPr>
          <w:rFonts w:ascii="Arial" w:eastAsia="Calibri" w:hAnsi="Arial" w:cs="Arial"/>
          <w:sz w:val="22"/>
          <w:lang w:val="es-CO"/>
        </w:rPr>
      </w:pPr>
      <w:r w:rsidRPr="00382E08">
        <w:rPr>
          <w:rFonts w:ascii="Arial" w:eastAsia="Calibri" w:hAnsi="Arial" w:cs="Arial"/>
          <w:sz w:val="22"/>
          <w:lang w:val="es-CO"/>
        </w:rPr>
        <w:t>Señor</w:t>
      </w:r>
    </w:p>
    <w:p w14:paraId="681C5084" w14:textId="2C1AC118" w:rsidR="00623F97" w:rsidRPr="00382E08" w:rsidRDefault="00216278" w:rsidP="00210E7F">
      <w:pPr>
        <w:spacing w:after="0" w:line="240" w:lineRule="auto"/>
        <w:rPr>
          <w:rFonts w:ascii="Arial" w:eastAsia="Calibri" w:hAnsi="Arial" w:cs="Arial"/>
          <w:sz w:val="22"/>
          <w:lang w:val="es-CO"/>
        </w:rPr>
      </w:pPr>
      <w:r w:rsidRPr="00382E08">
        <w:rPr>
          <w:rFonts w:ascii="Arial" w:eastAsia="Calibri" w:hAnsi="Arial" w:cs="Arial"/>
          <w:b/>
          <w:sz w:val="22"/>
          <w:lang w:val="es-CO"/>
        </w:rPr>
        <w:t>Leonardo Arturo Pazos Galindo</w:t>
      </w:r>
    </w:p>
    <w:p w14:paraId="6377CEDE" w14:textId="44FCC358" w:rsidR="00901CD9" w:rsidRDefault="00216278" w:rsidP="00210E7F">
      <w:pPr>
        <w:spacing w:after="0" w:line="240" w:lineRule="auto"/>
        <w:rPr>
          <w:rFonts w:ascii="Arial" w:eastAsia="Calibri" w:hAnsi="Arial" w:cs="Arial"/>
          <w:sz w:val="22"/>
          <w:lang w:val="es-CO"/>
        </w:rPr>
      </w:pPr>
      <w:r w:rsidRPr="00382E08">
        <w:rPr>
          <w:rFonts w:ascii="Arial" w:eastAsia="Calibri" w:hAnsi="Arial" w:cs="Arial"/>
          <w:sz w:val="22"/>
          <w:lang w:val="es-CO"/>
        </w:rPr>
        <w:t>Bogotá, D.C.</w:t>
      </w:r>
    </w:p>
    <w:p w14:paraId="44D4BC65" w14:textId="3DD6CCD7" w:rsidR="002D5D70" w:rsidRDefault="002D5D70" w:rsidP="00210E7F">
      <w:pPr>
        <w:spacing w:after="0" w:line="240" w:lineRule="auto"/>
        <w:rPr>
          <w:rFonts w:ascii="Arial" w:eastAsia="Calibri" w:hAnsi="Arial" w:cs="Arial"/>
          <w:sz w:val="22"/>
          <w:lang w:val="es-CO"/>
        </w:rPr>
      </w:pPr>
    </w:p>
    <w:p w14:paraId="747D257A" w14:textId="77777777" w:rsidR="00381273" w:rsidRPr="00216278" w:rsidRDefault="00381273" w:rsidP="00210E7F">
      <w:pPr>
        <w:spacing w:after="0" w:line="240" w:lineRule="auto"/>
        <w:rPr>
          <w:rFonts w:ascii="Arial" w:eastAsia="Calibri" w:hAnsi="Arial" w:cs="Arial"/>
          <w:sz w:val="22"/>
          <w:lang w:val="es-CO"/>
        </w:rPr>
      </w:pPr>
    </w:p>
    <w:p w14:paraId="52B37521" w14:textId="39E0E756" w:rsidR="00904CD9" w:rsidRPr="001C64AB" w:rsidRDefault="00904CD9" w:rsidP="00210E7F">
      <w:pPr>
        <w:spacing w:after="0" w:line="240" w:lineRule="auto"/>
        <w:rPr>
          <w:rFonts w:ascii="Arial" w:hAnsi="Arial" w:cs="Arial"/>
          <w:sz w:val="22"/>
          <w:lang w:val="es-CO"/>
        </w:rPr>
      </w:pPr>
      <w:r w:rsidRPr="00216278">
        <w:rPr>
          <w:rFonts w:ascii="Arial" w:eastAsia="Calibri" w:hAnsi="Arial" w:cs="Arial"/>
          <w:sz w:val="22"/>
          <w:lang w:val="es-CO"/>
        </w:rPr>
        <w:t xml:space="preserve">                                            </w:t>
      </w:r>
      <w:r w:rsidRPr="001C64AB">
        <w:rPr>
          <w:rFonts w:ascii="Arial" w:eastAsia="Calibri" w:hAnsi="Arial" w:cs="Arial"/>
          <w:b/>
          <w:sz w:val="22"/>
          <w:lang w:val="es-CO"/>
        </w:rPr>
        <w:t xml:space="preserve">Concepto C – </w:t>
      </w:r>
      <w:r w:rsidR="00302ABA">
        <w:rPr>
          <w:rFonts w:ascii="Arial" w:eastAsia="Calibri" w:hAnsi="Arial" w:cs="Arial"/>
          <w:b/>
          <w:sz w:val="22"/>
          <w:lang w:val="es-CO"/>
        </w:rPr>
        <w:t>413</w:t>
      </w:r>
      <w:r w:rsidR="00623F97" w:rsidRPr="001C64AB">
        <w:rPr>
          <w:rFonts w:ascii="Arial" w:eastAsia="Calibri" w:hAnsi="Arial" w:cs="Arial"/>
          <w:b/>
          <w:sz w:val="22"/>
          <w:lang w:val="es-CO"/>
        </w:rPr>
        <w:t xml:space="preserve"> </w:t>
      </w:r>
      <w:r w:rsidR="00285D82" w:rsidRPr="001C64AB">
        <w:rPr>
          <w:rFonts w:ascii="Arial" w:eastAsia="Calibri" w:hAnsi="Arial" w:cs="Arial"/>
          <w:b/>
          <w:sz w:val="22"/>
          <w:lang w:val="es-CO"/>
        </w:rPr>
        <w:t>de 2021</w:t>
      </w:r>
      <w:r w:rsidR="00B346CC" w:rsidRPr="001C64AB">
        <w:rPr>
          <w:rFonts w:ascii="Arial" w:hAnsi="Arial" w:cs="Arial"/>
          <w:sz w:val="22"/>
          <w:lang w:val="es-CO"/>
        </w:rPr>
        <w:t xml:space="preserve"> </w:t>
      </w:r>
    </w:p>
    <w:p w14:paraId="16668C14" w14:textId="77777777" w:rsidR="0025161D" w:rsidRPr="00210E7F" w:rsidRDefault="0025161D" w:rsidP="00210E7F">
      <w:pPr>
        <w:spacing w:after="0" w:line="240" w:lineRule="auto"/>
        <w:rPr>
          <w:rFonts w:ascii="Arial" w:eastAsia="Calibri" w:hAnsi="Arial" w:cs="Arial"/>
          <w:bCs/>
          <w:sz w:val="22"/>
          <w:highlight w:val="yellow"/>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66D78" w:rsidRPr="001C64AB" w14:paraId="1701BC3D" w14:textId="77777777" w:rsidTr="00210E7F">
        <w:trPr>
          <w:trHeight w:val="3420"/>
        </w:trPr>
        <w:tc>
          <w:tcPr>
            <w:tcW w:w="2689" w:type="dxa"/>
            <w:hideMark/>
          </w:tcPr>
          <w:p w14:paraId="69F7D7B9" w14:textId="77777777" w:rsidR="00FE0395" w:rsidRPr="001C64AB" w:rsidRDefault="00FE0395" w:rsidP="00210E7F">
            <w:pPr>
              <w:contextualSpacing/>
              <w:rPr>
                <w:rFonts w:ascii="Arial" w:eastAsia="Calibri" w:hAnsi="Arial" w:cs="Arial"/>
                <w:noProof/>
                <w:sz w:val="22"/>
                <w:lang w:val="es-ES_tradnl"/>
              </w:rPr>
            </w:pPr>
            <w:r w:rsidRPr="001C64AB">
              <w:rPr>
                <w:rFonts w:ascii="Arial" w:eastAsia="Calibri" w:hAnsi="Arial" w:cs="Arial"/>
                <w:b/>
                <w:noProof/>
                <w:sz w:val="22"/>
                <w:lang w:val="es-ES_tradnl"/>
              </w:rPr>
              <w:t>Temas:</w:t>
            </w:r>
            <w:r w:rsidRPr="001C64AB">
              <w:rPr>
                <w:rFonts w:ascii="Arial" w:eastAsia="Calibri" w:hAnsi="Arial" w:cs="Arial"/>
                <w:noProof/>
                <w:sz w:val="22"/>
                <w:lang w:val="es-ES_tradnl"/>
              </w:rPr>
              <w:t xml:space="preserve">        </w:t>
            </w:r>
          </w:p>
        </w:tc>
        <w:tc>
          <w:tcPr>
            <w:tcW w:w="6237" w:type="dxa"/>
            <w:hideMark/>
          </w:tcPr>
          <w:p w14:paraId="641BBBD5" w14:textId="445FD63D" w:rsidR="00FE0395" w:rsidRPr="00090501" w:rsidRDefault="001B7C59" w:rsidP="00210E7F">
            <w:pPr>
              <w:spacing w:after="120"/>
              <w:contextualSpacing/>
              <w:jc w:val="both"/>
              <w:rPr>
                <w:rFonts w:ascii="Arial" w:eastAsia="Calibri" w:hAnsi="Arial" w:cs="Arial"/>
                <w:b/>
                <w:sz w:val="22"/>
                <w:highlight w:val="cyan"/>
              </w:rPr>
            </w:pPr>
            <w:r w:rsidRPr="001B7C59">
              <w:rPr>
                <w:rFonts w:ascii="Arial" w:eastAsia="Calibri" w:hAnsi="Arial" w:cs="Arial"/>
                <w:sz w:val="22"/>
              </w:rPr>
              <w:t>LEY DE GARANTÍAS ELECTORALES – Finalidad / LEY DE GARANTÍAS ELECTORALES ─ Prohibición ─ Contratación directa ─ Excepciones ─ Alcance / LEY DE GARANTÍAS ELECTORALES ‒ Interpretación ‒ Restricciones - Excepciones  / OPERACIONES DE CRÉDITO PÚBLICO – Definición – Contratación directa – Clases / OPERACIONES CONEXAS A LAS DE CRÉDITO PÚBLICO – Definición – Contratación directa / CONTRATOS DE CRÉDITO PÚBLICO Y CONTRATOS CONEXOS – Relación de necesidad / ACTOS Y CONTRATOS CONEXOS A LAS OPERACIONES DE CRÉDITO PÚBLICO –Interdependencia funcional y teleológica - Encaje en la excepción del artículo 33 de la Ley 996 de 2005</w:t>
            </w:r>
          </w:p>
        </w:tc>
      </w:tr>
      <w:tr w:rsidR="00B66D78" w:rsidRPr="001C64AB" w14:paraId="4074FCE6" w14:textId="77777777" w:rsidTr="003202F1">
        <w:trPr>
          <w:trHeight w:val="198"/>
        </w:trPr>
        <w:tc>
          <w:tcPr>
            <w:tcW w:w="2689" w:type="dxa"/>
          </w:tcPr>
          <w:p w14:paraId="389F2C2E" w14:textId="77777777" w:rsidR="00FE0395" w:rsidRPr="001C64AB" w:rsidRDefault="00FE0395" w:rsidP="00210E7F">
            <w:pPr>
              <w:contextualSpacing/>
              <w:rPr>
                <w:rFonts w:ascii="Arial" w:eastAsia="Calibri" w:hAnsi="Arial" w:cs="Arial"/>
                <w:b/>
                <w:noProof/>
                <w:sz w:val="22"/>
                <w:lang w:val="es-ES_tradnl"/>
              </w:rPr>
            </w:pPr>
            <w:r w:rsidRPr="001C64AB">
              <w:rPr>
                <w:rFonts w:ascii="Arial" w:eastAsia="Calibri" w:hAnsi="Arial" w:cs="Arial"/>
                <w:b/>
                <w:noProof/>
                <w:sz w:val="22"/>
                <w:lang w:val="es-ES_tradnl"/>
              </w:rPr>
              <w:t>Radicación:</w:t>
            </w:r>
            <w:r w:rsidRPr="001C64AB">
              <w:rPr>
                <w:rFonts w:ascii="Arial" w:eastAsia="Calibri" w:hAnsi="Arial" w:cs="Arial"/>
                <w:noProof/>
                <w:sz w:val="22"/>
                <w:lang w:val="es-ES_tradnl"/>
              </w:rPr>
              <w:t xml:space="preserve">                              </w:t>
            </w:r>
          </w:p>
        </w:tc>
        <w:tc>
          <w:tcPr>
            <w:tcW w:w="6237" w:type="dxa"/>
          </w:tcPr>
          <w:p w14:paraId="290F0664" w14:textId="0C827A17" w:rsidR="00FE0395" w:rsidRPr="001C64AB" w:rsidRDefault="00FE0395" w:rsidP="00210E7F">
            <w:pPr>
              <w:contextualSpacing/>
              <w:jc w:val="both"/>
              <w:rPr>
                <w:rFonts w:ascii="Arial" w:eastAsia="Calibri" w:hAnsi="Arial" w:cs="Arial"/>
                <w:noProof/>
                <w:sz w:val="22"/>
                <w:lang w:val="es-ES_tradnl"/>
              </w:rPr>
            </w:pPr>
            <w:r w:rsidRPr="001C64AB">
              <w:rPr>
                <w:rFonts w:ascii="Arial" w:eastAsia="Calibri" w:hAnsi="Arial" w:cs="Arial"/>
                <w:noProof/>
                <w:sz w:val="22"/>
                <w:lang w:val="es-ES_tradnl"/>
              </w:rPr>
              <w:t xml:space="preserve">Respuesta a consulta </w:t>
            </w:r>
            <w:r w:rsidR="00CB3E70" w:rsidRPr="00CB3E70">
              <w:rPr>
                <w:rFonts w:ascii="Arial" w:eastAsia="Calibri" w:hAnsi="Arial" w:cs="Arial"/>
                <w:noProof/>
                <w:sz w:val="22"/>
                <w:lang w:val="es-ES_tradnl"/>
              </w:rPr>
              <w:t>P20210701005800</w:t>
            </w:r>
          </w:p>
        </w:tc>
      </w:tr>
    </w:tbl>
    <w:p w14:paraId="0CB3D4D0" w14:textId="1BB0142C" w:rsidR="00FE0395" w:rsidRDefault="00FE0395" w:rsidP="00210E7F">
      <w:pPr>
        <w:spacing w:after="0" w:line="240" w:lineRule="auto"/>
        <w:rPr>
          <w:rFonts w:ascii="Arial" w:eastAsia="Calibri" w:hAnsi="Arial" w:cs="Arial"/>
          <w:sz w:val="22"/>
          <w:highlight w:val="yellow"/>
          <w:lang w:val="es-CO"/>
        </w:rPr>
      </w:pPr>
    </w:p>
    <w:p w14:paraId="4D029FA5" w14:textId="77777777" w:rsidR="00381273" w:rsidRPr="001C64AB" w:rsidRDefault="00381273" w:rsidP="00210E7F">
      <w:pPr>
        <w:spacing w:after="0" w:line="240" w:lineRule="auto"/>
        <w:rPr>
          <w:rFonts w:ascii="Arial" w:eastAsia="Calibri" w:hAnsi="Arial" w:cs="Arial"/>
          <w:sz w:val="22"/>
          <w:highlight w:val="yellow"/>
          <w:lang w:val="es-CO"/>
        </w:rPr>
      </w:pPr>
    </w:p>
    <w:p w14:paraId="0ADE9D41" w14:textId="7517655C" w:rsidR="00990612" w:rsidRPr="00382E08" w:rsidRDefault="00990612" w:rsidP="00090501">
      <w:pPr>
        <w:spacing w:after="0"/>
        <w:rPr>
          <w:rFonts w:ascii="Arial" w:eastAsia="Calibri" w:hAnsi="Arial" w:cs="Arial"/>
          <w:sz w:val="22"/>
          <w:lang w:val="es-CO"/>
        </w:rPr>
      </w:pPr>
      <w:r w:rsidRPr="00382E08">
        <w:rPr>
          <w:rFonts w:ascii="Arial" w:eastAsia="Calibri" w:hAnsi="Arial" w:cs="Arial"/>
          <w:sz w:val="22"/>
          <w:lang w:val="es-CO"/>
        </w:rPr>
        <w:t>Estimad</w:t>
      </w:r>
      <w:r w:rsidR="008738AB" w:rsidRPr="00382E08">
        <w:rPr>
          <w:rFonts w:ascii="Arial" w:eastAsia="Calibri" w:hAnsi="Arial" w:cs="Arial"/>
          <w:sz w:val="22"/>
          <w:lang w:val="es-CO"/>
        </w:rPr>
        <w:t xml:space="preserve">o señor </w:t>
      </w:r>
      <w:r w:rsidR="00216278" w:rsidRPr="00382E08">
        <w:rPr>
          <w:rFonts w:ascii="Arial" w:eastAsia="Calibri" w:hAnsi="Arial" w:cs="Arial"/>
          <w:sz w:val="22"/>
          <w:lang w:val="es-CO"/>
        </w:rPr>
        <w:t>Pazos</w:t>
      </w:r>
      <w:r w:rsidRPr="00382E08">
        <w:rPr>
          <w:rFonts w:ascii="Arial" w:eastAsia="Calibri" w:hAnsi="Arial" w:cs="Arial"/>
          <w:sz w:val="22"/>
          <w:lang w:val="es-CO"/>
        </w:rPr>
        <w:t>:</w:t>
      </w:r>
    </w:p>
    <w:p w14:paraId="19436ABB" w14:textId="77777777" w:rsidR="00990612" w:rsidRPr="00382E08" w:rsidRDefault="00990612" w:rsidP="00090501">
      <w:pPr>
        <w:spacing w:after="0"/>
        <w:ind w:firstLine="709"/>
        <w:rPr>
          <w:rFonts w:ascii="Arial" w:eastAsia="Calibri" w:hAnsi="Arial" w:cs="Arial"/>
          <w:sz w:val="22"/>
          <w:lang w:val="es-CO"/>
        </w:rPr>
      </w:pPr>
    </w:p>
    <w:p w14:paraId="1B89342D" w14:textId="1EAE50BF" w:rsidR="003312AB" w:rsidRPr="001C64AB" w:rsidRDefault="00990612" w:rsidP="00210E7F">
      <w:pPr>
        <w:spacing w:after="0"/>
        <w:ind w:right="51"/>
        <w:rPr>
          <w:rFonts w:ascii="Arial" w:eastAsia="Calibri" w:hAnsi="Arial" w:cs="Arial"/>
          <w:sz w:val="22"/>
          <w:lang w:val="es-CO"/>
        </w:rPr>
      </w:pPr>
      <w:r w:rsidRPr="00382E08">
        <w:rPr>
          <w:rFonts w:ascii="Arial" w:eastAsia="Calibri" w:hAnsi="Arial" w:cs="Arial"/>
          <w:sz w:val="22"/>
          <w:lang w:val="es-CO"/>
        </w:rPr>
        <w:t xml:space="preserve">En ejercicio de la </w:t>
      </w:r>
      <w:r w:rsidR="00654CFD" w:rsidRPr="00382E08">
        <w:rPr>
          <w:rFonts w:ascii="Arial" w:eastAsia="Calibri" w:hAnsi="Arial" w:cs="Arial"/>
          <w:sz w:val="22"/>
          <w:lang w:val="es-CO"/>
        </w:rPr>
        <w:t xml:space="preserve">función </w:t>
      </w:r>
      <w:r w:rsidRPr="00382E08">
        <w:rPr>
          <w:rFonts w:ascii="Arial" w:eastAsia="Calibri" w:hAnsi="Arial" w:cs="Arial"/>
          <w:sz w:val="22"/>
          <w:lang w:val="es-CO"/>
        </w:rPr>
        <w:t>otorgada por el numeral 8 del artículo 11 y el numeral 5 del artículo 3 del Decreto Ley 4170 de 2011, la Agencia Nacional de Contratación Pública – Colombia Compra Eficiente</w:t>
      </w:r>
      <w:r w:rsidR="00E7503A" w:rsidRPr="00382E08">
        <w:rPr>
          <w:rFonts w:ascii="Arial" w:eastAsia="Calibri" w:hAnsi="Arial" w:cs="Arial"/>
          <w:sz w:val="22"/>
          <w:lang w:val="es-CO"/>
        </w:rPr>
        <w:t xml:space="preserve"> responde</w:t>
      </w:r>
      <w:r w:rsidRPr="00382E08">
        <w:rPr>
          <w:rFonts w:ascii="Arial" w:eastAsia="Calibri" w:hAnsi="Arial" w:cs="Arial"/>
          <w:sz w:val="22"/>
          <w:lang w:val="es-CO"/>
        </w:rPr>
        <w:t xml:space="preserve"> la consulta </w:t>
      </w:r>
      <w:r w:rsidR="00381273">
        <w:rPr>
          <w:rFonts w:ascii="Arial" w:eastAsia="Calibri" w:hAnsi="Arial" w:cs="Arial"/>
          <w:sz w:val="22"/>
          <w:lang w:val="es-CO"/>
        </w:rPr>
        <w:t>del</w:t>
      </w:r>
      <w:r w:rsidR="001145B9" w:rsidRPr="00382E08">
        <w:rPr>
          <w:rFonts w:ascii="Arial" w:eastAsia="Calibri" w:hAnsi="Arial" w:cs="Arial"/>
          <w:sz w:val="22"/>
          <w:lang w:val="es-CO"/>
        </w:rPr>
        <w:t xml:space="preserve"> </w:t>
      </w:r>
      <w:r w:rsidR="003202F1" w:rsidRPr="00382E08">
        <w:rPr>
          <w:rFonts w:ascii="Arial" w:eastAsia="Calibri" w:hAnsi="Arial" w:cs="Arial"/>
          <w:sz w:val="22"/>
          <w:lang w:val="es-CO"/>
        </w:rPr>
        <w:t>30</w:t>
      </w:r>
      <w:r w:rsidR="001145B9" w:rsidRPr="00382E08">
        <w:rPr>
          <w:rFonts w:ascii="Arial" w:eastAsia="Calibri" w:hAnsi="Arial" w:cs="Arial"/>
          <w:sz w:val="22"/>
          <w:lang w:val="es-CO"/>
        </w:rPr>
        <w:t xml:space="preserve"> de </w:t>
      </w:r>
      <w:r w:rsidR="003202F1" w:rsidRPr="00382E08">
        <w:rPr>
          <w:rFonts w:ascii="Arial" w:eastAsia="Calibri" w:hAnsi="Arial" w:cs="Arial"/>
          <w:sz w:val="22"/>
          <w:lang w:val="es-CO"/>
        </w:rPr>
        <w:t>junio</w:t>
      </w:r>
      <w:r w:rsidR="001145B9" w:rsidRPr="00382E08">
        <w:rPr>
          <w:rFonts w:ascii="Arial" w:eastAsia="Calibri" w:hAnsi="Arial" w:cs="Arial"/>
          <w:sz w:val="22"/>
          <w:lang w:val="es-CO"/>
        </w:rPr>
        <w:t xml:space="preserve"> de 2021</w:t>
      </w:r>
      <w:r w:rsidR="00216278" w:rsidRPr="00382E08">
        <w:rPr>
          <w:rFonts w:ascii="Arial" w:eastAsia="Calibri" w:hAnsi="Arial" w:cs="Arial"/>
          <w:sz w:val="22"/>
          <w:lang w:val="es-CO"/>
        </w:rPr>
        <w:t>.</w:t>
      </w:r>
      <w:r w:rsidR="00216278">
        <w:rPr>
          <w:rFonts w:ascii="Arial" w:eastAsia="Calibri" w:hAnsi="Arial" w:cs="Arial"/>
          <w:sz w:val="22"/>
          <w:lang w:val="es-CO"/>
        </w:rPr>
        <w:t xml:space="preserve"> </w:t>
      </w:r>
    </w:p>
    <w:p w14:paraId="5CF8BE1A" w14:textId="77777777" w:rsidR="003312AB" w:rsidRPr="001C64AB" w:rsidRDefault="003312AB" w:rsidP="00090501">
      <w:pPr>
        <w:spacing w:after="0"/>
        <w:rPr>
          <w:rFonts w:ascii="Arial" w:eastAsia="Calibri" w:hAnsi="Arial" w:cs="Arial"/>
          <w:sz w:val="22"/>
          <w:lang w:val="es-CO"/>
        </w:rPr>
      </w:pPr>
    </w:p>
    <w:p w14:paraId="44F98256" w14:textId="01CE19C5" w:rsidR="00727718" w:rsidRPr="00210E7F" w:rsidRDefault="00381273" w:rsidP="00210E7F">
      <w:pPr>
        <w:tabs>
          <w:tab w:val="left" w:pos="284"/>
        </w:tabs>
        <w:spacing w:after="0"/>
        <w:rPr>
          <w:rFonts w:ascii="Arial" w:eastAsia="Calibri" w:hAnsi="Arial" w:cs="Arial"/>
          <w:b/>
          <w:sz w:val="22"/>
          <w:lang w:val="es-CO"/>
        </w:rPr>
      </w:pPr>
      <w:r>
        <w:rPr>
          <w:rFonts w:ascii="Arial" w:eastAsia="Calibri" w:hAnsi="Arial" w:cs="Arial"/>
          <w:b/>
          <w:sz w:val="22"/>
          <w:lang w:val="es-CO"/>
        </w:rPr>
        <w:t xml:space="preserve">1. </w:t>
      </w:r>
      <w:r w:rsidR="00990612" w:rsidRPr="00210E7F">
        <w:rPr>
          <w:rFonts w:ascii="Arial" w:eastAsia="Calibri" w:hAnsi="Arial" w:cs="Arial"/>
          <w:b/>
          <w:sz w:val="22"/>
          <w:lang w:val="es-CO"/>
        </w:rPr>
        <w:t xml:space="preserve">Problemas planteados </w:t>
      </w:r>
      <w:bookmarkStart w:id="6" w:name="_Hlk78213421"/>
      <w:bookmarkStart w:id="7" w:name="_Hlk78192084"/>
      <w:bookmarkStart w:id="8" w:name="_Hlk58917991"/>
      <w:bookmarkStart w:id="9" w:name="_Hlk56103000"/>
    </w:p>
    <w:p w14:paraId="7F4E7918" w14:textId="6BBCA81F" w:rsidR="00727718" w:rsidRDefault="00727718" w:rsidP="00727718">
      <w:pPr>
        <w:tabs>
          <w:tab w:val="left" w:pos="284"/>
        </w:tabs>
        <w:spacing w:after="0"/>
        <w:ind w:left="360"/>
        <w:rPr>
          <w:rFonts w:ascii="Arial" w:hAnsi="Arial" w:cs="Arial"/>
          <w:sz w:val="22"/>
        </w:rPr>
      </w:pPr>
    </w:p>
    <w:p w14:paraId="54B85DA5" w14:textId="249CE72B" w:rsidR="00693C5F" w:rsidRDefault="00381273" w:rsidP="00693C5F">
      <w:pPr>
        <w:tabs>
          <w:tab w:val="left" w:pos="284"/>
        </w:tabs>
        <w:spacing w:after="0"/>
        <w:rPr>
          <w:rFonts w:ascii="Arial" w:eastAsia="Times New Roman" w:hAnsi="Arial" w:cs="Arial"/>
          <w:sz w:val="22"/>
          <w:lang w:val="es-CO" w:eastAsia="es-ES_tradnl"/>
        </w:rPr>
      </w:pPr>
      <w:r>
        <w:rPr>
          <w:rFonts w:ascii="Arial" w:hAnsi="Arial" w:cs="Arial"/>
          <w:sz w:val="22"/>
        </w:rPr>
        <w:t>Usted realiza la siguiente pregunta</w:t>
      </w:r>
      <w:r w:rsidR="00727718">
        <w:rPr>
          <w:rFonts w:ascii="Arial" w:hAnsi="Arial" w:cs="Arial"/>
          <w:sz w:val="22"/>
        </w:rPr>
        <w:t>:</w:t>
      </w:r>
      <w:bookmarkEnd w:id="6"/>
      <w:bookmarkEnd w:id="7"/>
      <w:r w:rsidR="00727718">
        <w:rPr>
          <w:rFonts w:ascii="Arial" w:hAnsi="Arial" w:cs="Arial"/>
          <w:sz w:val="22"/>
        </w:rPr>
        <w:t xml:space="preserve"> </w:t>
      </w:r>
      <w:bookmarkStart w:id="10" w:name="_Hlk80027748"/>
      <w:r w:rsidR="000A498F">
        <w:rPr>
          <w:rFonts w:ascii="Arial" w:hAnsi="Arial" w:cs="Arial"/>
          <w:sz w:val="22"/>
        </w:rPr>
        <w:t>«</w:t>
      </w:r>
      <w:proofErr w:type="gramStart"/>
      <w:r w:rsidR="00727718" w:rsidRPr="00687653">
        <w:rPr>
          <w:rFonts w:ascii="Arial" w:eastAsia="Times New Roman" w:hAnsi="Arial" w:cs="Arial"/>
          <w:sz w:val="22"/>
          <w:lang w:val="es-CO" w:eastAsia="es-ES_tradnl"/>
        </w:rPr>
        <w:t>¿La excepción contemplada en el artículo 33 de la Ley 996 de 2005, respecto de los contratos de crédito público, cobija a los contratos conexos a estos, definidos por el art</w:t>
      </w:r>
      <w:r w:rsidR="00B53623">
        <w:rPr>
          <w:rFonts w:ascii="Arial" w:eastAsia="Times New Roman" w:hAnsi="Arial" w:cs="Arial"/>
          <w:sz w:val="22"/>
          <w:lang w:val="es-CO" w:eastAsia="es-ES_tradnl"/>
        </w:rPr>
        <w:t>í</w:t>
      </w:r>
      <w:r w:rsidR="00727718" w:rsidRPr="00687653">
        <w:rPr>
          <w:rFonts w:ascii="Arial" w:eastAsia="Times New Roman" w:hAnsi="Arial" w:cs="Arial"/>
          <w:sz w:val="22"/>
          <w:lang w:val="es-CO" w:eastAsia="es-ES_tradnl"/>
        </w:rPr>
        <w:t>culo 2</w:t>
      </w:r>
      <w:r w:rsidR="00910152">
        <w:rPr>
          <w:rFonts w:ascii="Arial" w:eastAsia="Times New Roman" w:hAnsi="Arial" w:cs="Arial"/>
          <w:sz w:val="22"/>
          <w:lang w:val="es-CO" w:eastAsia="es-ES_tradnl"/>
        </w:rPr>
        <w:t>.</w:t>
      </w:r>
      <w:proofErr w:type="gramEnd"/>
      <w:r w:rsidR="00216278" w:rsidRPr="00687653">
        <w:rPr>
          <w:rFonts w:ascii="Arial" w:eastAsia="Times New Roman" w:hAnsi="Arial" w:cs="Arial"/>
          <w:sz w:val="22"/>
          <w:lang w:val="es-CO" w:eastAsia="es-ES_tradnl"/>
        </w:rPr>
        <w:t xml:space="preserve">2.1.1.4 del Decreto </w:t>
      </w:r>
      <w:r w:rsidR="00727718" w:rsidRPr="00687653">
        <w:rPr>
          <w:rFonts w:ascii="Arial" w:eastAsia="Times New Roman" w:hAnsi="Arial" w:cs="Arial"/>
          <w:sz w:val="22"/>
          <w:lang w:val="es-CO" w:eastAsia="es-ES_tradnl"/>
        </w:rPr>
        <w:t>Único</w:t>
      </w:r>
      <w:r w:rsidR="00216278" w:rsidRPr="00687653">
        <w:rPr>
          <w:rFonts w:ascii="Arial" w:eastAsia="Times New Roman" w:hAnsi="Arial" w:cs="Arial"/>
          <w:sz w:val="22"/>
          <w:lang w:val="es-CO" w:eastAsia="es-ES_tradnl"/>
        </w:rPr>
        <w:t xml:space="preserve"> Reglamentario 1068 de 2015?</w:t>
      </w:r>
      <w:r w:rsidR="000A498F">
        <w:rPr>
          <w:rFonts w:ascii="Arial" w:eastAsia="Times New Roman" w:hAnsi="Arial" w:cs="Arial"/>
          <w:sz w:val="22"/>
          <w:lang w:val="es-CO" w:eastAsia="es-ES_tradnl"/>
        </w:rPr>
        <w:t>»</w:t>
      </w:r>
      <w:bookmarkEnd w:id="10"/>
      <w:r w:rsidR="000A498F">
        <w:rPr>
          <w:rFonts w:ascii="Arial" w:eastAsia="Times New Roman" w:hAnsi="Arial" w:cs="Arial"/>
          <w:sz w:val="22"/>
          <w:lang w:val="es-CO" w:eastAsia="es-ES_tradnl"/>
        </w:rPr>
        <w:t>.</w:t>
      </w:r>
      <w:r w:rsidR="00216278" w:rsidRPr="00687653">
        <w:rPr>
          <w:rFonts w:ascii="Arial" w:eastAsia="Times New Roman" w:hAnsi="Arial" w:cs="Arial"/>
          <w:sz w:val="22"/>
          <w:lang w:val="es-CO" w:eastAsia="es-ES_tradnl"/>
        </w:rPr>
        <w:t xml:space="preserve"> </w:t>
      </w:r>
    </w:p>
    <w:p w14:paraId="59782867" w14:textId="77777777" w:rsidR="00EA714C" w:rsidRPr="00216278" w:rsidRDefault="00EA714C" w:rsidP="00693C5F">
      <w:pPr>
        <w:spacing w:after="0"/>
        <w:rPr>
          <w:rFonts w:ascii="Times New Roman" w:eastAsia="Times New Roman" w:hAnsi="Times New Roman" w:cs="Times New Roman"/>
          <w:szCs w:val="24"/>
          <w:lang w:val="es-CO" w:eastAsia="es-ES_tradnl"/>
        </w:rPr>
      </w:pPr>
    </w:p>
    <w:bookmarkEnd w:id="8"/>
    <w:bookmarkEnd w:id="9"/>
    <w:p w14:paraId="509ED1DE" w14:textId="165EDA10" w:rsidR="005027F0" w:rsidRPr="00210E7F" w:rsidRDefault="000A498F" w:rsidP="00210E7F">
      <w:pPr>
        <w:tabs>
          <w:tab w:val="left" w:pos="284"/>
        </w:tabs>
        <w:spacing w:after="0"/>
        <w:rPr>
          <w:rFonts w:ascii="Arial" w:eastAsia="Calibri" w:hAnsi="Arial" w:cs="Arial"/>
          <w:b/>
          <w:sz w:val="22"/>
          <w:lang w:val="es-CO"/>
        </w:rPr>
      </w:pPr>
      <w:r>
        <w:rPr>
          <w:rFonts w:ascii="Arial" w:eastAsia="Calibri" w:hAnsi="Arial" w:cs="Arial"/>
          <w:b/>
          <w:sz w:val="22"/>
          <w:lang w:val="es-CO"/>
        </w:rPr>
        <w:t xml:space="preserve">2. </w:t>
      </w:r>
      <w:r w:rsidR="00990612" w:rsidRPr="00210E7F">
        <w:rPr>
          <w:rFonts w:ascii="Arial" w:eastAsia="Calibri" w:hAnsi="Arial" w:cs="Arial"/>
          <w:b/>
          <w:sz w:val="22"/>
          <w:lang w:val="es-CO"/>
        </w:rPr>
        <w:t>Consideraciones</w:t>
      </w:r>
    </w:p>
    <w:p w14:paraId="25E1E577" w14:textId="77777777" w:rsidR="000606F8" w:rsidRPr="000A498F" w:rsidRDefault="000606F8" w:rsidP="00090501">
      <w:pPr>
        <w:spacing w:after="0"/>
        <w:rPr>
          <w:rFonts w:ascii="Arial" w:eastAsia="Calibri" w:hAnsi="Arial" w:cs="Arial"/>
          <w:bCs/>
          <w:sz w:val="22"/>
          <w:lang w:val="es-CO"/>
        </w:rPr>
      </w:pPr>
    </w:p>
    <w:p w14:paraId="0710AE08" w14:textId="77777777" w:rsidR="00EB6DB4" w:rsidRDefault="00EB6DB4" w:rsidP="00EB6DB4">
      <w:pPr>
        <w:spacing w:after="120"/>
        <w:rPr>
          <w:rFonts w:ascii="Arial" w:hAnsi="Arial" w:cs="Arial"/>
          <w:bCs/>
          <w:sz w:val="22"/>
        </w:rPr>
      </w:pPr>
      <w:r>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25F10CCC" w14:textId="77777777" w:rsidR="00EB6DB4" w:rsidRDefault="00EB6DB4" w:rsidP="00EB6DB4">
      <w:pPr>
        <w:tabs>
          <w:tab w:val="left" w:pos="426"/>
        </w:tabs>
        <w:spacing w:after="120"/>
        <w:rPr>
          <w:rFonts w:ascii="Arial" w:eastAsia="Calibri" w:hAnsi="Arial" w:cs="Arial"/>
          <w:bCs/>
          <w:sz w:val="22"/>
          <w:lang w:val="es-CO"/>
        </w:rPr>
      </w:pPr>
      <w:r>
        <w:rPr>
          <w:rFonts w:ascii="Arial" w:hAnsi="Arial" w:cs="Arial"/>
          <w:sz w:val="22"/>
          <w:lang w:val="es-ES"/>
        </w:rPr>
        <w:tab/>
      </w:r>
      <w:r>
        <w:rPr>
          <w:rFonts w:ascii="Arial" w:hAnsi="Arial" w:cs="Arial"/>
          <w:sz w:val="22"/>
          <w:lang w:val="es-ES"/>
        </w:rPr>
        <w:tab/>
        <w:t>Es necesario tener en cuenta que esta entidad solo tiene competencia para responder solicitudes sobre la aplicación de normas de carácter general en materia de compras y contratación pública</w:t>
      </w:r>
      <w:r>
        <w:rPr>
          <w:rFonts w:ascii="Arial" w:hAnsi="Arial" w:cs="Arial"/>
          <w:sz w:val="22"/>
          <w:vertAlign w:val="superscript"/>
          <w:lang w:val="es-ES"/>
        </w:rPr>
        <w:footnoteReference w:id="2"/>
      </w:r>
      <w:r>
        <w:rPr>
          <w:rFonts w:ascii="Arial" w:hAnsi="Arial" w:cs="Arial"/>
          <w:sz w:val="22"/>
          <w:lang w:val="es-ES"/>
        </w:rPr>
        <w:t>. Esta se fija con límites claros, con el objeto de evitar que la Agencia actúe como una instancia de validación de las actuaciones de las entidades sujetas a la Ley 80 de 1993 o de los demás participantes de la contratación pública.</w:t>
      </w:r>
    </w:p>
    <w:p w14:paraId="6EA2314C" w14:textId="1B7ECDF6" w:rsidR="00B57709" w:rsidRPr="00B57709" w:rsidRDefault="00EB6DB4" w:rsidP="00210E7F">
      <w:pPr>
        <w:spacing w:after="120"/>
        <w:rPr>
          <w:rFonts w:ascii="Arial" w:hAnsi="Arial" w:cs="Arial"/>
          <w:b/>
          <w:bCs/>
          <w:sz w:val="22"/>
          <w:lang w:val="es-ES"/>
        </w:rPr>
      </w:pPr>
      <w:r>
        <w:rPr>
          <w:rFonts w:ascii="Arial" w:eastAsia="Calibri" w:hAnsi="Arial" w:cs="Arial"/>
          <w:color w:val="000000" w:themeColor="text1"/>
          <w:sz w:val="22"/>
          <w:lang w:val="es-ES"/>
        </w:rPr>
        <w:tab/>
        <w:t>Por ello, la Subdirección –dentro de los límites de sus atribuciones– resolverá la consulta conforme a las normas generales en materia de contratación estatal</w:t>
      </w:r>
      <w:r w:rsidR="000606F8" w:rsidRPr="000606F8">
        <w:rPr>
          <w:rFonts w:ascii="Arial" w:eastAsia="Times New Roman" w:hAnsi="Arial" w:cs="Arial"/>
          <w:sz w:val="22"/>
          <w:lang w:val="es-CO" w:eastAsia="es-ES_tradnl"/>
        </w:rPr>
        <w:t>. Con este objetivo se analizarán los siguientes temas:</w:t>
      </w:r>
      <w:r w:rsidR="000606F8">
        <w:rPr>
          <w:rFonts w:ascii="Arial" w:eastAsia="Times New Roman" w:hAnsi="Arial" w:cs="Arial"/>
          <w:sz w:val="22"/>
          <w:lang w:val="es-CO" w:eastAsia="es-ES_tradnl"/>
        </w:rPr>
        <w:t xml:space="preserve"> </w:t>
      </w:r>
      <w:r w:rsidR="00B56CB7" w:rsidRPr="00B56CB7">
        <w:rPr>
          <w:rFonts w:ascii="Arial" w:eastAsia="Times New Roman" w:hAnsi="Arial" w:cs="Arial"/>
          <w:sz w:val="22"/>
          <w:lang w:val="es-CO" w:eastAsia="es-ES_tradnl"/>
        </w:rPr>
        <w:t xml:space="preserve">i) definición y finalidad de la </w:t>
      </w:r>
      <w:r w:rsidR="00454627">
        <w:rPr>
          <w:rFonts w:ascii="Arial" w:eastAsia="Times New Roman" w:hAnsi="Arial" w:cs="Arial"/>
          <w:sz w:val="22"/>
          <w:lang w:val="es-CO" w:eastAsia="es-ES_tradnl"/>
        </w:rPr>
        <w:t>L</w:t>
      </w:r>
      <w:r w:rsidR="00B56CB7" w:rsidRPr="00B56CB7">
        <w:rPr>
          <w:rFonts w:ascii="Arial" w:eastAsia="Times New Roman" w:hAnsi="Arial" w:cs="Arial"/>
          <w:sz w:val="22"/>
          <w:lang w:val="es-CO" w:eastAsia="es-ES_tradnl"/>
        </w:rPr>
        <w:t>ey 996 de 2005, ii) alcance de</w:t>
      </w:r>
      <w:r w:rsidR="00454627">
        <w:rPr>
          <w:rFonts w:ascii="Arial" w:eastAsia="Times New Roman" w:hAnsi="Arial" w:cs="Arial"/>
          <w:sz w:val="22"/>
          <w:lang w:val="es-CO" w:eastAsia="es-ES_tradnl"/>
        </w:rPr>
        <w:t>l</w:t>
      </w:r>
      <w:r w:rsidR="00B56CB7" w:rsidRPr="00B56CB7">
        <w:rPr>
          <w:rFonts w:ascii="Arial" w:eastAsia="Times New Roman" w:hAnsi="Arial" w:cs="Arial"/>
          <w:sz w:val="22"/>
          <w:lang w:val="es-CO" w:eastAsia="es-ES_tradnl"/>
        </w:rPr>
        <w:t xml:space="preserve"> artículo 33</w:t>
      </w:r>
      <w:r w:rsidR="00454627">
        <w:rPr>
          <w:rFonts w:ascii="Arial" w:eastAsia="Times New Roman" w:hAnsi="Arial" w:cs="Arial"/>
          <w:sz w:val="22"/>
          <w:lang w:val="es-CO" w:eastAsia="es-ES_tradnl"/>
        </w:rPr>
        <w:t xml:space="preserve"> </w:t>
      </w:r>
      <w:r w:rsidR="00454627" w:rsidRPr="00210E7F">
        <w:rPr>
          <w:rFonts w:ascii="Arial" w:eastAsia="Times New Roman" w:hAnsi="Arial" w:cs="Arial"/>
          <w:i/>
          <w:iCs/>
          <w:sz w:val="22"/>
          <w:lang w:val="es-CO" w:eastAsia="es-ES_tradnl"/>
        </w:rPr>
        <w:t>ibidem</w:t>
      </w:r>
      <w:r w:rsidR="00B56CB7" w:rsidRPr="00B56CB7">
        <w:rPr>
          <w:rFonts w:ascii="Arial" w:hAnsi="Arial" w:cs="Arial"/>
          <w:sz w:val="22"/>
          <w:lang w:val="es-ES"/>
        </w:rPr>
        <w:t xml:space="preserve"> y criterios de interpretación aplicables</w:t>
      </w:r>
      <w:r>
        <w:rPr>
          <w:rFonts w:ascii="Arial" w:eastAsia="Times New Roman" w:hAnsi="Arial" w:cs="Arial"/>
          <w:sz w:val="22"/>
          <w:lang w:val="es-CO" w:eastAsia="es-ES_tradnl"/>
        </w:rPr>
        <w:t xml:space="preserve"> y</w:t>
      </w:r>
      <w:r w:rsidR="00B56CB7" w:rsidRPr="00B56CB7">
        <w:rPr>
          <w:rFonts w:ascii="Arial" w:eastAsia="Times New Roman" w:hAnsi="Arial" w:cs="Arial"/>
          <w:sz w:val="22"/>
          <w:lang w:val="es-CO" w:eastAsia="es-ES_tradnl"/>
        </w:rPr>
        <w:t xml:space="preserve"> iii) naturaleza y regulación de las operaciones de crédito público y sus operaciones conexas</w:t>
      </w:r>
      <w:r>
        <w:rPr>
          <w:rFonts w:ascii="Arial" w:eastAsia="Times New Roman" w:hAnsi="Arial" w:cs="Arial"/>
          <w:sz w:val="22"/>
          <w:lang w:val="es-CO" w:eastAsia="es-ES_tradnl"/>
        </w:rPr>
        <w:t xml:space="preserve"> en relación con las restricciones de la Ley de Garantías</w:t>
      </w:r>
      <w:r w:rsidR="00B57709" w:rsidRPr="00B57709">
        <w:rPr>
          <w:rFonts w:ascii="Arial" w:hAnsi="Arial" w:cs="Arial"/>
          <w:sz w:val="22"/>
          <w:lang w:val="es-ES"/>
        </w:rPr>
        <w:t>.</w:t>
      </w:r>
    </w:p>
    <w:p w14:paraId="1B0A4F73" w14:textId="5427BCDE" w:rsidR="008F39BD" w:rsidRDefault="00E90534" w:rsidP="00454627">
      <w:pPr>
        <w:tabs>
          <w:tab w:val="left" w:pos="426"/>
        </w:tabs>
        <w:spacing w:after="0"/>
        <w:ind w:firstLine="709"/>
        <w:rPr>
          <w:rFonts w:ascii="Arial" w:eastAsia="Calibri" w:hAnsi="Arial" w:cs="Arial"/>
          <w:bCs/>
          <w:sz w:val="22"/>
          <w:lang w:val="es-CO"/>
        </w:rPr>
      </w:pPr>
      <w:r w:rsidRPr="00446B03">
        <w:rPr>
          <w:rFonts w:ascii="Arial" w:eastAsia="Calibri" w:hAnsi="Arial" w:cs="Arial"/>
          <w:bCs/>
          <w:sz w:val="22"/>
          <w:lang w:val="es-CO"/>
        </w:rPr>
        <w:t xml:space="preserve">La Agencia Nacional de Contratación Pública – Colombia Compra Eficiente </w:t>
      </w:r>
      <w:r w:rsidR="00454627" w:rsidRPr="00446B03">
        <w:rPr>
          <w:rFonts w:ascii="Arial" w:eastAsia="Calibri" w:hAnsi="Arial" w:cs="Arial"/>
          <w:bCs/>
          <w:sz w:val="22"/>
          <w:lang w:val="es-CO"/>
        </w:rPr>
        <w:t>se ha pronunciado</w:t>
      </w:r>
      <w:r w:rsidRPr="00446B03">
        <w:rPr>
          <w:rFonts w:ascii="Arial" w:eastAsia="Calibri" w:hAnsi="Arial" w:cs="Arial"/>
          <w:bCs/>
          <w:sz w:val="22"/>
          <w:lang w:val="es-CO"/>
        </w:rPr>
        <w:t xml:space="preserve"> sobre la aplicación de la Ley 996 de 2005, entre otros, en los Conceptos 4201912000004632 del 6 de agosto de 2019, 2201913000005655 del 8 de agosto de 2019, </w:t>
      </w:r>
      <w:r w:rsidRPr="00446B03">
        <w:rPr>
          <w:rFonts w:ascii="Arial" w:eastAsia="Calibri" w:hAnsi="Arial" w:cs="Arial"/>
          <w:bCs/>
          <w:sz w:val="22"/>
          <w:lang w:val="es-CO"/>
        </w:rPr>
        <w:lastRenderedPageBreak/>
        <w:t>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C-227 del 5 de mayo de 2021</w:t>
      </w:r>
      <w:r w:rsidR="00C87E04">
        <w:rPr>
          <w:rFonts w:ascii="Arial" w:eastAsia="Calibri" w:hAnsi="Arial" w:cs="Arial"/>
          <w:bCs/>
          <w:sz w:val="22"/>
          <w:lang w:val="es-CO"/>
        </w:rPr>
        <w:t>,</w:t>
      </w:r>
      <w:r w:rsidRPr="00446B03">
        <w:rPr>
          <w:rFonts w:ascii="Arial" w:eastAsia="Calibri" w:hAnsi="Arial" w:cs="Arial"/>
          <w:bCs/>
          <w:sz w:val="22"/>
          <w:lang w:val="es-CO"/>
        </w:rPr>
        <w:t xml:space="preserve"> C-296 del 22 de junio de 2021</w:t>
      </w:r>
      <w:r w:rsidR="00C87E04">
        <w:rPr>
          <w:rFonts w:ascii="Arial" w:eastAsia="Calibri" w:hAnsi="Arial" w:cs="Arial"/>
          <w:bCs/>
          <w:sz w:val="22"/>
          <w:lang w:val="es-CO"/>
        </w:rPr>
        <w:t xml:space="preserve"> y C-381 del 2 de agosto de 2021</w:t>
      </w:r>
      <w:r>
        <w:rPr>
          <w:rFonts w:ascii="Arial" w:eastAsia="Calibri" w:hAnsi="Arial" w:cs="Arial"/>
          <w:bCs/>
          <w:sz w:val="22"/>
          <w:lang w:val="es-CO"/>
        </w:rPr>
        <w:t xml:space="preserve">. </w:t>
      </w:r>
      <w:r w:rsidR="00C87E04">
        <w:rPr>
          <w:rFonts w:ascii="Arial" w:eastAsia="Calibri" w:hAnsi="Arial" w:cs="Arial"/>
          <w:bCs/>
          <w:sz w:val="22"/>
          <w:lang w:val="es-CO"/>
        </w:rPr>
        <w:t>E</w:t>
      </w:r>
      <w:r w:rsidR="005B184F" w:rsidRPr="005B184F">
        <w:rPr>
          <w:rFonts w:ascii="Arial" w:eastAsia="Calibri" w:hAnsi="Arial" w:cs="Arial"/>
          <w:bCs/>
          <w:sz w:val="22"/>
          <w:lang w:val="es-CO"/>
        </w:rPr>
        <w:t>n relación con los contratos de empréstito y las operaciones de crédito público</w:t>
      </w:r>
      <w:r w:rsidR="00C87E04">
        <w:rPr>
          <w:rFonts w:ascii="Arial" w:eastAsia="Calibri" w:hAnsi="Arial" w:cs="Arial"/>
          <w:bCs/>
          <w:sz w:val="22"/>
          <w:lang w:val="es-CO"/>
        </w:rPr>
        <w:t>,</w:t>
      </w:r>
      <w:r w:rsidR="005B184F" w:rsidRPr="005B184F">
        <w:rPr>
          <w:rFonts w:ascii="Arial" w:eastAsia="Calibri" w:hAnsi="Arial" w:cs="Arial"/>
          <w:bCs/>
          <w:sz w:val="22"/>
          <w:lang w:val="es-CO"/>
        </w:rPr>
        <w:t xml:space="preserve"> esta Agencia</w:t>
      </w:r>
      <w:r w:rsidR="00C87E04">
        <w:rPr>
          <w:rFonts w:ascii="Arial" w:eastAsia="Calibri" w:hAnsi="Arial" w:cs="Arial"/>
          <w:bCs/>
          <w:sz w:val="22"/>
          <w:lang w:val="es-CO"/>
        </w:rPr>
        <w:t xml:space="preserve"> también</w:t>
      </w:r>
      <w:r w:rsidR="005B184F" w:rsidRPr="005B184F">
        <w:rPr>
          <w:rFonts w:ascii="Arial" w:eastAsia="Calibri" w:hAnsi="Arial" w:cs="Arial"/>
          <w:bCs/>
          <w:sz w:val="22"/>
          <w:lang w:val="es-CO"/>
        </w:rPr>
        <w:t xml:space="preserve"> ha tenido oportunidad de pronunciarse en los Conceptos 2201913000009289 de 16 de diciembre de 2019, C-370 de 2 de julio de 2020, C</w:t>
      </w:r>
      <w:r w:rsidR="00C87E04">
        <w:rPr>
          <w:rFonts w:ascii="Arial" w:eastAsia="Calibri" w:hAnsi="Arial" w:cs="Arial"/>
          <w:bCs/>
          <w:sz w:val="22"/>
          <w:lang w:val="es-CO"/>
        </w:rPr>
        <w:t>-</w:t>
      </w:r>
      <w:r w:rsidR="005B184F" w:rsidRPr="005B184F">
        <w:rPr>
          <w:rFonts w:ascii="Arial" w:eastAsia="Calibri" w:hAnsi="Arial" w:cs="Arial"/>
          <w:bCs/>
          <w:sz w:val="22"/>
          <w:lang w:val="es-CO"/>
        </w:rPr>
        <w:t>715 de 9 de diciembre de 2020</w:t>
      </w:r>
      <w:r w:rsidR="005B184F">
        <w:rPr>
          <w:rFonts w:ascii="Arial" w:eastAsia="Calibri" w:hAnsi="Arial" w:cs="Arial"/>
          <w:bCs/>
          <w:sz w:val="22"/>
          <w:lang w:val="es-CO"/>
        </w:rPr>
        <w:t xml:space="preserve"> y </w:t>
      </w:r>
      <w:r w:rsidR="005B184F" w:rsidRPr="005B184F">
        <w:rPr>
          <w:rFonts w:ascii="Arial" w:eastAsia="Calibri" w:hAnsi="Arial" w:cs="Arial"/>
          <w:bCs/>
          <w:sz w:val="22"/>
          <w:lang w:val="es-CO"/>
        </w:rPr>
        <w:t>C</w:t>
      </w:r>
      <w:r w:rsidR="00C87E04">
        <w:rPr>
          <w:rFonts w:ascii="Arial" w:eastAsia="Calibri" w:hAnsi="Arial" w:cs="Arial"/>
          <w:bCs/>
          <w:sz w:val="22"/>
          <w:lang w:val="es-CO"/>
        </w:rPr>
        <w:t>-</w:t>
      </w:r>
      <w:r w:rsidR="005B184F" w:rsidRPr="005B184F">
        <w:rPr>
          <w:rFonts w:ascii="Arial" w:eastAsia="Calibri" w:hAnsi="Arial" w:cs="Arial"/>
          <w:bCs/>
          <w:sz w:val="22"/>
          <w:lang w:val="es-CO"/>
        </w:rPr>
        <w:t>696 de 9 de diciembre de 2020</w:t>
      </w:r>
      <w:r w:rsidR="005B184F">
        <w:rPr>
          <w:rFonts w:ascii="Arial" w:eastAsia="Calibri" w:hAnsi="Arial" w:cs="Arial"/>
          <w:bCs/>
          <w:sz w:val="22"/>
          <w:lang w:val="es-CO"/>
        </w:rPr>
        <w:t>.</w:t>
      </w:r>
      <w:r w:rsidR="00C87E04">
        <w:rPr>
          <w:rFonts w:ascii="Arial" w:eastAsia="Calibri" w:hAnsi="Arial" w:cs="Arial"/>
          <w:bCs/>
          <w:sz w:val="22"/>
          <w:lang w:val="es-CO"/>
        </w:rPr>
        <w:t xml:space="preserve"> La tesis desarrollada en estos conceptos se complementa a continuación:</w:t>
      </w:r>
    </w:p>
    <w:p w14:paraId="1AB4C719" w14:textId="77777777" w:rsidR="005027F0" w:rsidRPr="001C64AB" w:rsidRDefault="005027F0" w:rsidP="00090501">
      <w:pPr>
        <w:tabs>
          <w:tab w:val="left" w:pos="426"/>
        </w:tabs>
        <w:spacing w:after="0"/>
        <w:ind w:firstLine="709"/>
        <w:rPr>
          <w:rFonts w:ascii="Arial" w:eastAsia="Calibri" w:hAnsi="Arial" w:cs="Arial"/>
          <w:b/>
          <w:bCs/>
          <w:sz w:val="22"/>
          <w:lang w:val="es-CO"/>
        </w:rPr>
      </w:pPr>
    </w:p>
    <w:p w14:paraId="4F1FDAB5" w14:textId="77777777" w:rsidR="00454627" w:rsidRDefault="00577EF5" w:rsidP="00454627">
      <w:pPr>
        <w:tabs>
          <w:tab w:val="left" w:pos="426"/>
        </w:tabs>
        <w:spacing w:after="0"/>
        <w:rPr>
          <w:rFonts w:ascii="Arial" w:eastAsia="Calibri" w:hAnsi="Arial" w:cs="Arial"/>
          <w:b/>
          <w:bCs/>
          <w:sz w:val="22"/>
          <w:lang w:val="es-CO"/>
        </w:rPr>
      </w:pPr>
      <w:r w:rsidRPr="001C64AB">
        <w:rPr>
          <w:rFonts w:ascii="Arial" w:eastAsia="Calibri" w:hAnsi="Arial" w:cs="Arial"/>
          <w:b/>
          <w:bCs/>
          <w:sz w:val="22"/>
          <w:lang w:val="es-CO"/>
        </w:rPr>
        <w:t>2.</w:t>
      </w:r>
      <w:r w:rsidR="00FC182A">
        <w:rPr>
          <w:rFonts w:ascii="Arial" w:eastAsia="Calibri" w:hAnsi="Arial" w:cs="Arial"/>
          <w:b/>
          <w:bCs/>
          <w:sz w:val="22"/>
          <w:lang w:val="es-CO"/>
        </w:rPr>
        <w:t>1.</w:t>
      </w:r>
      <w:r w:rsidR="00FC182A">
        <w:rPr>
          <w:rFonts w:ascii="Arial" w:eastAsia="Calibri" w:hAnsi="Arial" w:cs="Arial"/>
          <w:b/>
          <w:bCs/>
          <w:sz w:val="22"/>
          <w:lang w:val="es-CO"/>
        </w:rPr>
        <w:tab/>
      </w:r>
      <w:r w:rsidR="006D2FB2" w:rsidRPr="006D2FB2">
        <w:rPr>
          <w:rFonts w:ascii="Arial" w:eastAsia="Calibri" w:hAnsi="Arial" w:cs="Arial"/>
          <w:b/>
          <w:bCs/>
          <w:sz w:val="22"/>
          <w:lang w:val="es-CO"/>
        </w:rPr>
        <w:t>Definición y finalidad de la Ley de Garantías Electorales</w:t>
      </w:r>
      <w:r w:rsidR="00454627">
        <w:rPr>
          <w:rFonts w:ascii="Arial" w:eastAsia="Calibri" w:hAnsi="Arial" w:cs="Arial"/>
          <w:b/>
          <w:bCs/>
          <w:sz w:val="22"/>
          <w:lang w:val="es-CO"/>
        </w:rPr>
        <w:t>: alcance de las restricciones</w:t>
      </w:r>
    </w:p>
    <w:p w14:paraId="14163E8E" w14:textId="77777777" w:rsidR="00454627" w:rsidRDefault="00454627" w:rsidP="00454627">
      <w:pPr>
        <w:tabs>
          <w:tab w:val="left" w:pos="426"/>
        </w:tabs>
        <w:spacing w:after="0"/>
        <w:ind w:firstLine="709"/>
        <w:rPr>
          <w:rFonts w:ascii="Arial" w:eastAsia="Calibri" w:hAnsi="Arial" w:cs="Arial"/>
          <w:bCs/>
          <w:sz w:val="22"/>
          <w:lang w:val="es-CO"/>
        </w:rPr>
      </w:pPr>
    </w:p>
    <w:p w14:paraId="346A772C" w14:textId="77777777" w:rsidR="00454627" w:rsidRDefault="00454627" w:rsidP="00454627">
      <w:pPr>
        <w:tabs>
          <w:tab w:val="left" w:pos="426"/>
        </w:tabs>
        <w:spacing w:after="120"/>
        <w:rPr>
          <w:rFonts w:ascii="Arial" w:eastAsia="Times New Roman" w:hAnsi="Arial" w:cs="Arial"/>
          <w:bCs/>
          <w:sz w:val="22"/>
          <w:lang w:val="es-CO" w:eastAsia="es-CO"/>
        </w:rPr>
      </w:pPr>
      <w:r>
        <w:rPr>
          <w:rFonts w:ascii="Arial" w:eastAsia="Calibri" w:hAnsi="Arial" w:cs="Arial"/>
          <w:bCs/>
          <w:sz w:val="22"/>
          <w:lang w:val="es-CO"/>
        </w:rPr>
        <w:t>El ordenamiento jurídico colombiano contempla previsiones claras para evitar la obtención de beneficios personales en asuntos propios de la administración pública</w:t>
      </w:r>
      <w:r>
        <w:rPr>
          <w:rFonts w:ascii="Arial" w:eastAsia="Calibri" w:hAnsi="Arial" w:cs="Arial"/>
          <w:bCs/>
          <w:i/>
          <w:iCs/>
          <w:sz w:val="22"/>
          <w:lang w:val="es-CO"/>
        </w:rPr>
        <w:t xml:space="preserve">. </w:t>
      </w:r>
      <w:r>
        <w:rPr>
          <w:rFonts w:ascii="Arial" w:eastAsia="Calibri" w:hAnsi="Arial" w:cs="Arial"/>
          <w:bCs/>
          <w:sz w:val="22"/>
          <w:lang w:val="es-CO"/>
        </w:rPr>
        <w:t>Por ejemplo, el artículo 127 de la Constitución Política establece una prohibición contractual a los servidores públicos y en cuanto a aspectos políticos establece restricciones a ciertos empleados del Estado, incluso en época no electoral</w:t>
      </w:r>
      <w:r>
        <w:rPr>
          <w:rStyle w:val="Refdenotaalpie"/>
          <w:rFonts w:ascii="Arial" w:eastAsia="Calibri" w:hAnsi="Arial" w:cs="Arial"/>
          <w:bCs/>
          <w:sz w:val="22"/>
          <w:lang w:val="es-CO"/>
        </w:rPr>
        <w:footnoteReference w:id="3"/>
      </w:r>
      <w:r>
        <w:rPr>
          <w:rFonts w:ascii="Arial" w:eastAsia="Calibri" w:hAnsi="Arial" w:cs="Arial"/>
          <w:bCs/>
          <w:sz w:val="22"/>
          <w:lang w:val="es-CO"/>
        </w:rPr>
        <w:t xml:space="preserve">. </w:t>
      </w:r>
    </w:p>
    <w:p w14:paraId="736AA58D" w14:textId="13856A91" w:rsidR="00454627" w:rsidRDefault="00454627" w:rsidP="00454627">
      <w:pPr>
        <w:tabs>
          <w:tab w:val="left" w:pos="426"/>
        </w:tabs>
        <w:spacing w:after="0"/>
        <w:ind w:firstLine="709"/>
        <w:rPr>
          <w:rFonts w:ascii="Arial" w:eastAsia="Times New Roman" w:hAnsi="Arial" w:cs="Arial"/>
          <w:bCs/>
          <w:sz w:val="22"/>
          <w:lang w:eastAsia="es-CO"/>
        </w:rPr>
      </w:pPr>
      <w:r>
        <w:rPr>
          <w:rFonts w:ascii="Arial" w:eastAsia="Times New Roman" w:hAnsi="Arial" w:cs="Arial"/>
          <w:bCs/>
          <w:sz w:val="22"/>
          <w:lang w:val="es-CO" w:eastAsia="es-CO"/>
        </w:rPr>
        <w:t>En el mismo sentido</w:t>
      </w:r>
      <w:r>
        <w:rPr>
          <w:rFonts w:ascii="Arial" w:eastAsia="Times New Roman" w:hAnsi="Arial" w:cs="Arial"/>
          <w:bCs/>
          <w:sz w:val="22"/>
          <w:lang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Pr>
          <w:rStyle w:val="Refdenotaalpie"/>
          <w:rFonts w:ascii="Arial" w:eastAsia="Times New Roman" w:hAnsi="Arial" w:cs="Arial"/>
          <w:bCs/>
          <w:sz w:val="22"/>
          <w:lang w:eastAsia="es-CO"/>
        </w:rPr>
        <w:footnoteReference w:id="4"/>
      </w:r>
      <w:r>
        <w:rPr>
          <w:rFonts w:ascii="Arial" w:eastAsia="Times New Roman" w:hAnsi="Arial" w:cs="Arial"/>
          <w:bCs/>
          <w:sz w:val="22"/>
          <w:lang w:eastAsia="es-CO"/>
        </w:rPr>
        <w:t xml:space="preserve">. En esta medida, introduce limitaciones para realizar nombramientos, postulaciones, contrataciones o cualquier otro tipo de actividad que </w:t>
      </w:r>
      <w:r>
        <w:rPr>
          <w:rFonts w:ascii="Arial" w:eastAsia="Times New Roman" w:hAnsi="Arial" w:cs="Arial"/>
          <w:bCs/>
          <w:sz w:val="22"/>
          <w:lang w:eastAsia="es-CO"/>
        </w:rPr>
        <w:lastRenderedPageBreak/>
        <w:t>implique destinación de recursos públicos bajo el devenir propio de las entidades estatales.</w:t>
      </w:r>
      <w:r>
        <w:rPr>
          <w:rFonts w:ascii="Arial" w:eastAsia="Calibri" w:hAnsi="Arial" w:cs="Arial"/>
          <w:noProof/>
          <w:sz w:val="22"/>
          <w:lang w:val="es-ES_tradnl"/>
        </w:rPr>
        <w:t xml:space="preserve"> </w:t>
      </w:r>
      <w:r>
        <w:rPr>
          <w:rFonts w:ascii="Arial" w:eastAsia="Times New Roman" w:hAnsi="Arial" w:cs="Arial"/>
          <w:bCs/>
          <w:sz w:val="22"/>
          <w:lang w:eastAsia="es-CO"/>
        </w:rPr>
        <w:t>En armonía con lo anterior, la Corte Constitucional ha abordado la definición de la Ley de Garantías Electorales</w:t>
      </w:r>
      <w:r w:rsidR="00043053">
        <w:rPr>
          <w:rFonts w:ascii="Arial" w:eastAsia="Times New Roman" w:hAnsi="Arial" w:cs="Arial"/>
          <w:bCs/>
          <w:sz w:val="22"/>
          <w:lang w:eastAsia="es-CO"/>
        </w:rPr>
        <w:t>, en los siguientes términos</w:t>
      </w:r>
      <w:r>
        <w:rPr>
          <w:rFonts w:ascii="Arial" w:eastAsia="Times New Roman" w:hAnsi="Arial" w:cs="Arial"/>
          <w:bCs/>
          <w:sz w:val="22"/>
          <w:lang w:eastAsia="es-CO"/>
        </w:rPr>
        <w:t>:</w:t>
      </w:r>
    </w:p>
    <w:p w14:paraId="5D5E18DE" w14:textId="77777777" w:rsidR="00454627" w:rsidRDefault="00454627" w:rsidP="00454627">
      <w:pPr>
        <w:spacing w:after="0" w:line="240" w:lineRule="auto"/>
        <w:ind w:right="709"/>
        <w:rPr>
          <w:rFonts w:ascii="Arial" w:eastAsia="Times New Roman" w:hAnsi="Arial" w:cs="Arial"/>
          <w:sz w:val="21"/>
          <w:szCs w:val="21"/>
          <w:lang w:val="es-ES" w:eastAsia="es-CO"/>
        </w:rPr>
      </w:pPr>
    </w:p>
    <w:p w14:paraId="7DECE638" w14:textId="77777777" w:rsidR="00454627" w:rsidRDefault="00454627" w:rsidP="00454627">
      <w:pPr>
        <w:spacing w:after="0" w:line="240" w:lineRule="auto"/>
        <w:ind w:left="709" w:right="709"/>
        <w:rPr>
          <w:rFonts w:ascii="Arial" w:eastAsia="Times New Roman" w:hAnsi="Arial" w:cs="Arial"/>
          <w:bCs/>
          <w:sz w:val="21"/>
          <w:szCs w:val="21"/>
          <w:lang w:eastAsia="es-CO"/>
        </w:rPr>
      </w:pPr>
      <w:r>
        <w:rPr>
          <w:rFonts w:ascii="Arial" w:eastAsia="Times New Roman" w:hAnsi="Arial" w:cs="Arial"/>
          <w:sz w:val="21"/>
          <w:szCs w:val="21"/>
          <w:lang w:val="es-ES" w:eastAsia="es-CO"/>
        </w:rPr>
        <w:t xml:space="preserve">[…] </w:t>
      </w:r>
      <w:r>
        <w:rPr>
          <w:rFonts w:ascii="Arial" w:eastAsia="Times New Roman"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0448EFED" w14:textId="77777777" w:rsidR="00454627" w:rsidRDefault="00454627" w:rsidP="00454627">
      <w:pPr>
        <w:spacing w:after="120" w:line="240" w:lineRule="auto"/>
        <w:ind w:left="709" w:right="709"/>
        <w:rPr>
          <w:rFonts w:ascii="Arial" w:eastAsia="Times New Roman" w:hAnsi="Arial" w:cs="Arial"/>
          <w:bCs/>
          <w:sz w:val="21"/>
          <w:szCs w:val="21"/>
          <w:lang w:eastAsia="es-CO"/>
        </w:rPr>
      </w:pPr>
      <w:r>
        <w:rPr>
          <w:rFonts w:ascii="Arial" w:eastAsia="Times New Roman" w:hAnsi="Arial" w:cs="Arial"/>
          <w:bCs/>
          <w:sz w:val="21"/>
          <w:szCs w:val="21"/>
          <w:lang w:eastAsia="es-CO"/>
        </w:rPr>
        <w:t xml:space="preserve">[…] </w:t>
      </w:r>
    </w:p>
    <w:p w14:paraId="7D291B0E" w14:textId="77777777" w:rsidR="00454627" w:rsidRDefault="00454627" w:rsidP="00454627">
      <w:pPr>
        <w:spacing w:after="0" w:line="240" w:lineRule="auto"/>
        <w:ind w:left="709" w:right="709"/>
        <w:rPr>
          <w:rFonts w:ascii="Arial" w:eastAsia="Times New Roman" w:hAnsi="Arial" w:cs="Arial"/>
          <w:bCs/>
          <w:sz w:val="21"/>
          <w:szCs w:val="21"/>
          <w:lang w:eastAsia="es-CO"/>
        </w:rPr>
      </w:pPr>
      <w:r>
        <w:rPr>
          <w:rFonts w:ascii="Arial" w:eastAsia="Times New Roman"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Style w:val="Refdenotaalpie"/>
          <w:rFonts w:ascii="Arial" w:hAnsi="Arial" w:cs="Arial"/>
          <w:sz w:val="20"/>
          <w:szCs w:val="20"/>
        </w:rPr>
        <w:footnoteReference w:id="5"/>
      </w:r>
    </w:p>
    <w:p w14:paraId="2CFFDEA0" w14:textId="77777777" w:rsidR="00454627" w:rsidRDefault="00454627" w:rsidP="00454627">
      <w:pPr>
        <w:spacing w:after="0"/>
        <w:ind w:left="709" w:right="709"/>
        <w:rPr>
          <w:rFonts w:ascii="Arial" w:eastAsia="Times New Roman" w:hAnsi="Arial" w:cs="Arial"/>
          <w:bCs/>
          <w:sz w:val="21"/>
          <w:szCs w:val="21"/>
          <w:lang w:eastAsia="es-CO"/>
        </w:rPr>
      </w:pPr>
    </w:p>
    <w:p w14:paraId="6F0C6163" w14:textId="77777777" w:rsidR="00454627" w:rsidRDefault="00454627" w:rsidP="00454627">
      <w:pPr>
        <w:spacing w:after="0"/>
        <w:ind w:firstLine="709"/>
        <w:rPr>
          <w:rFonts w:ascii="Arial" w:eastAsia="Times New Roman" w:hAnsi="Arial" w:cs="Arial"/>
          <w:bCs/>
          <w:sz w:val="22"/>
          <w:lang w:eastAsia="es-CO"/>
        </w:rPr>
      </w:pPr>
      <w:r>
        <w:rPr>
          <w:rFonts w:ascii="Arial" w:eastAsia="Times New Roman" w:hAnsi="Arial" w:cs="Arial"/>
          <w:bCs/>
          <w:sz w:val="22"/>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4900F4D2" w14:textId="77777777" w:rsidR="00454627" w:rsidRDefault="00454627" w:rsidP="00454627">
      <w:pPr>
        <w:spacing w:after="0"/>
        <w:ind w:firstLine="709"/>
        <w:rPr>
          <w:rFonts w:ascii="Arial" w:eastAsia="Times New Roman" w:hAnsi="Arial" w:cs="Arial"/>
          <w:bCs/>
          <w:sz w:val="22"/>
          <w:lang w:eastAsia="es-CO"/>
        </w:rPr>
      </w:pPr>
    </w:p>
    <w:p w14:paraId="44BCFED2" w14:textId="77777777" w:rsidR="00454627" w:rsidRDefault="00454627" w:rsidP="00454627">
      <w:pPr>
        <w:spacing w:after="120" w:line="240" w:lineRule="auto"/>
        <w:ind w:left="709" w:right="709"/>
        <w:rPr>
          <w:rFonts w:ascii="Arial" w:eastAsia="Times New Roman" w:hAnsi="Arial" w:cs="Arial"/>
          <w:bCs/>
          <w:sz w:val="21"/>
          <w:szCs w:val="21"/>
          <w:lang w:eastAsia="es-CO"/>
        </w:rPr>
      </w:pPr>
      <w:r>
        <w:rPr>
          <w:rFonts w:ascii="Arial" w:eastAsia="Times New Roman" w:hAnsi="Arial" w:cs="Arial"/>
          <w:bCs/>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18892A9" w14:textId="77777777" w:rsidR="00454627" w:rsidRDefault="00454627" w:rsidP="00454627">
      <w:pPr>
        <w:spacing w:after="0" w:line="240" w:lineRule="auto"/>
        <w:ind w:left="709" w:right="709"/>
        <w:rPr>
          <w:rFonts w:ascii="Arial" w:eastAsia="Times New Roman" w:hAnsi="Arial" w:cs="Arial"/>
          <w:bCs/>
          <w:sz w:val="21"/>
          <w:szCs w:val="21"/>
          <w:lang w:eastAsia="es-CO"/>
        </w:rPr>
      </w:pPr>
      <w:r>
        <w:rPr>
          <w:rFonts w:ascii="Arial" w:eastAsia="Times New Roman" w:hAnsi="Arial" w:cs="Arial"/>
          <w:bCs/>
          <w:sz w:val="21"/>
          <w:szCs w:val="21"/>
          <w:lang w:eastAsia="es-CO"/>
        </w:rPr>
        <w:lastRenderedPageBreak/>
        <w:t>La jurisprudencia de la Corte Constitucional</w:t>
      </w:r>
      <w:r>
        <w:rPr>
          <w:rStyle w:val="Refdenotaalpie"/>
          <w:rFonts w:ascii="Arial" w:eastAsia="Times New Roman" w:hAnsi="Arial" w:cs="Arial"/>
          <w:bCs/>
          <w:sz w:val="21"/>
          <w:szCs w:val="21"/>
          <w:lang w:eastAsia="es-CO"/>
        </w:rPr>
        <w:footnoteReference w:id="6"/>
      </w:r>
      <w:r>
        <w:rPr>
          <w:rFonts w:ascii="Arial" w:eastAsia="Times New Roman" w:hAnsi="Arial" w:cs="Arial"/>
          <w:bCs/>
          <w:sz w:val="21"/>
          <w:szCs w:val="21"/>
          <w:lang w:eastAsia="es-CO"/>
        </w:rPr>
        <w:t> y del Consejo de Estado</w:t>
      </w:r>
      <w:r>
        <w:rPr>
          <w:rStyle w:val="Refdenotaalpie"/>
          <w:rFonts w:ascii="Arial" w:eastAsia="Times New Roman" w:hAnsi="Arial" w:cs="Arial"/>
          <w:bCs/>
          <w:sz w:val="21"/>
          <w:szCs w:val="21"/>
          <w:lang w:eastAsia="es-CO"/>
        </w:rPr>
        <w:footnoteReference w:id="7"/>
      </w:r>
      <w:r>
        <w:rPr>
          <w:rFonts w:ascii="Arial" w:eastAsia="Times New Roman" w:hAnsi="Arial" w:cs="Arial"/>
          <w:bCs/>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Style w:val="Refdenotaalpie"/>
          <w:rFonts w:ascii="Arial" w:eastAsia="Times New Roman" w:hAnsi="Arial" w:cs="Arial"/>
          <w:bCs/>
          <w:sz w:val="22"/>
          <w:lang w:eastAsia="es-CO"/>
        </w:rPr>
        <w:footnoteReference w:id="8"/>
      </w:r>
      <w:r>
        <w:rPr>
          <w:rFonts w:ascii="Arial" w:eastAsia="Times New Roman" w:hAnsi="Arial" w:cs="Arial"/>
          <w:bCs/>
          <w:sz w:val="21"/>
          <w:szCs w:val="21"/>
          <w:lang w:eastAsia="es-CO"/>
        </w:rPr>
        <w:t>.</w:t>
      </w:r>
    </w:p>
    <w:p w14:paraId="0F6F251B" w14:textId="77777777" w:rsidR="00454627" w:rsidRDefault="00454627" w:rsidP="00454627">
      <w:pPr>
        <w:spacing w:after="0" w:line="240" w:lineRule="auto"/>
        <w:ind w:right="709"/>
        <w:rPr>
          <w:rFonts w:ascii="Arial" w:eastAsia="Times New Roman" w:hAnsi="Arial" w:cs="Arial"/>
          <w:bCs/>
          <w:sz w:val="21"/>
          <w:szCs w:val="21"/>
          <w:lang w:eastAsia="es-CO"/>
        </w:rPr>
      </w:pPr>
    </w:p>
    <w:p w14:paraId="35EF29C4" w14:textId="0055EEF5" w:rsidR="00454627" w:rsidRDefault="00454627" w:rsidP="00454627">
      <w:pPr>
        <w:spacing w:after="120"/>
        <w:rPr>
          <w:rFonts w:ascii="Arial" w:eastAsia="Arial" w:hAnsi="Arial" w:cs="Arial"/>
          <w:sz w:val="22"/>
          <w:lang w:val="es-ES" w:eastAsia="es-ES" w:bidi="es-ES"/>
        </w:rPr>
      </w:pPr>
      <w:r>
        <w:rPr>
          <w:rFonts w:ascii="Arial" w:eastAsia="Times New Roman" w:hAnsi="Arial" w:cs="Arial"/>
          <w:bCs/>
          <w:sz w:val="22"/>
          <w:lang w:eastAsia="es-CO"/>
        </w:rPr>
        <w:tab/>
        <w:t>De</w:t>
      </w:r>
      <w:r>
        <w:rPr>
          <w:rFonts w:ascii="Arial" w:eastAsia="Arial" w:hAnsi="Arial" w:cs="Arial"/>
          <w:sz w:val="22"/>
          <w:lang w:val="es-ES" w:eastAsia="es-ES" w:bidi="es-ES"/>
        </w:rPr>
        <w:t xml:space="preserve"> conformidad con lo anterior, </w:t>
      </w:r>
      <w:bookmarkStart w:id="11" w:name="_Hlk77236098"/>
      <w:r>
        <w:rPr>
          <w:rFonts w:ascii="Arial" w:eastAsia="Arial" w:hAnsi="Arial" w:cs="Arial"/>
          <w:sz w:val="22"/>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w:t>
      </w:r>
      <w:r w:rsidR="002C4B22">
        <w:rPr>
          <w:rFonts w:ascii="Arial" w:eastAsia="Arial" w:hAnsi="Arial" w:cs="Arial"/>
          <w:sz w:val="22"/>
          <w:lang w:val="es-ES" w:eastAsia="es-ES" w:bidi="es-ES"/>
        </w:rPr>
        <w:t>í</w:t>
      </w:r>
      <w:r>
        <w:rPr>
          <w:rFonts w:ascii="Arial" w:eastAsia="Arial" w:hAnsi="Arial" w:cs="Arial"/>
          <w:sz w:val="22"/>
          <w:lang w:val="es-ES" w:eastAsia="es-ES" w:bidi="es-ES"/>
        </w:rPr>
        <w:t>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1"/>
    </w:p>
    <w:p w14:paraId="33221D72" w14:textId="77777777" w:rsidR="00454627" w:rsidRDefault="00454627" w:rsidP="00454627">
      <w:pPr>
        <w:spacing w:after="120"/>
        <w:ind w:firstLine="708"/>
        <w:rPr>
          <w:rFonts w:ascii="Arial" w:eastAsia="Calibri" w:hAnsi="Arial" w:cs="Arial"/>
          <w:sz w:val="22"/>
          <w:lang w:val="es-CO"/>
        </w:rPr>
      </w:pPr>
      <w:r>
        <w:rPr>
          <w:rFonts w:ascii="Arial" w:eastAsia="Calibri" w:hAnsi="Arial" w:cs="Arial"/>
          <w:sz w:val="22"/>
          <w:lang w:val="es-CO"/>
        </w:rPr>
        <w:t xml:space="preserve">Por un lado, </w:t>
      </w:r>
      <w:bookmarkStart w:id="12" w:name="_Hlk80117010"/>
      <w:r>
        <w:rPr>
          <w:rFonts w:ascii="Arial" w:eastAsia="Calibri" w:hAnsi="Arial" w:cs="Arial"/>
          <w:sz w:val="22"/>
          <w:lang w:val="es-CO"/>
        </w:rPr>
        <w:t xml:space="preserve">el artículo 33 de la Ley 996 de 2005 prohíbe </w:t>
      </w:r>
      <w:r>
        <w:rPr>
          <w:rFonts w:ascii="Arial" w:eastAsia="Calibri" w:hAnsi="Arial" w:cs="Arial"/>
          <w:bCs/>
          <w:sz w:val="22"/>
          <w:lang w:val="es-CO"/>
        </w:rPr>
        <w:t xml:space="preserve">«[…] </w:t>
      </w:r>
      <w:r>
        <w:rPr>
          <w:rFonts w:ascii="Arial" w:eastAsia="Calibri" w:hAnsi="Arial" w:cs="Arial"/>
          <w:sz w:val="22"/>
          <w:lang w:val="es-CO"/>
        </w:rPr>
        <w:t>la contratación directa por parte de todos los entes del Estado</w:t>
      </w:r>
      <w:r>
        <w:rPr>
          <w:rFonts w:ascii="Arial" w:eastAsia="Calibri" w:hAnsi="Arial" w:cs="Arial"/>
          <w:bCs/>
          <w:sz w:val="22"/>
          <w:lang w:val="es-CO"/>
        </w:rPr>
        <w:t>»</w:t>
      </w:r>
      <w:r>
        <w:rPr>
          <w:rFonts w:ascii="Arial" w:eastAsia="Calibri" w:hAnsi="Arial" w:cs="Arial"/>
          <w:sz w:val="22"/>
          <w:lang w:val="es-CO"/>
        </w:rPr>
        <w:t xml:space="preserve"> durante los cuatro (4) meses anteriores a las elecciones presidenciales, salvo </w:t>
      </w:r>
      <w:r>
        <w:rPr>
          <w:rFonts w:ascii="Arial" w:eastAsia="Calibri" w:hAnsi="Arial" w:cs="Arial"/>
          <w:bCs/>
          <w:sz w:val="22"/>
          <w:lang w:val="es-CO"/>
        </w:rPr>
        <w:t xml:space="preserve">«[…] </w:t>
      </w:r>
      <w:r>
        <w:rPr>
          <w:rFonts w:ascii="Arial" w:eastAsia="Calibri" w:hAnsi="Arial" w:cs="Arial"/>
          <w:sz w:val="22"/>
          <w:lang w:val="es-CO"/>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w:t>
      </w:r>
      <w:r>
        <w:rPr>
          <w:rFonts w:ascii="Arial" w:eastAsia="Calibri" w:hAnsi="Arial" w:cs="Arial"/>
          <w:sz w:val="22"/>
          <w:lang w:val="es-CO"/>
        </w:rPr>
        <w:lastRenderedPageBreak/>
        <w:t>sido objeto de atentados, acciones terroristas, desastres naturales o casos de fuerza mayor, y los que deban realizar las entidades sanitarias y hospitalarias</w:t>
      </w:r>
      <w:r>
        <w:rPr>
          <w:rFonts w:ascii="Arial" w:eastAsia="Calibri" w:hAnsi="Arial" w:cs="Arial"/>
          <w:bCs/>
          <w:sz w:val="22"/>
          <w:lang w:val="es-CO"/>
        </w:rPr>
        <w:t>»</w:t>
      </w:r>
      <w:bookmarkEnd w:id="12"/>
      <w:r>
        <w:rPr>
          <w:rFonts w:ascii="Arial" w:eastAsia="Calibri" w:hAnsi="Arial" w:cs="Arial"/>
          <w:bCs/>
          <w:sz w:val="22"/>
          <w:vertAlign w:val="superscript"/>
          <w:lang w:val="es-CO"/>
        </w:rPr>
        <w:footnoteReference w:id="9"/>
      </w:r>
      <w:r>
        <w:rPr>
          <w:rFonts w:ascii="Arial" w:eastAsia="Calibri" w:hAnsi="Arial" w:cs="Arial"/>
          <w:sz w:val="22"/>
          <w:lang w:val="es-CO"/>
        </w:rPr>
        <w:t>.</w:t>
      </w:r>
    </w:p>
    <w:p w14:paraId="3ED05EB4" w14:textId="77777777" w:rsidR="00454627" w:rsidRDefault="00454627" w:rsidP="00454627">
      <w:pPr>
        <w:widowControl w:val="0"/>
        <w:autoSpaceDE w:val="0"/>
        <w:autoSpaceDN w:val="0"/>
        <w:spacing w:after="0"/>
        <w:ind w:right="113" w:firstLine="708"/>
        <w:rPr>
          <w:rFonts w:ascii="Arial" w:eastAsia="Arial" w:hAnsi="Arial" w:cs="Arial"/>
          <w:sz w:val="22"/>
          <w:lang w:val="es-ES" w:eastAsia="es-ES" w:bidi="es-ES"/>
        </w:rPr>
      </w:pPr>
      <w:r>
        <w:rPr>
          <w:rFonts w:ascii="Arial" w:eastAsia="Calibri" w:hAnsi="Arial" w:cs="Arial"/>
          <w:sz w:val="22"/>
          <w:lang w:val="es-CO"/>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Arial" w:eastAsia="Calibri" w:hAnsi="Arial" w:cs="Arial"/>
          <w:bCs/>
          <w:sz w:val="22"/>
          <w:lang w:val="es-CO"/>
        </w:rPr>
        <w:t xml:space="preserve">«[…] </w:t>
      </w:r>
      <w:r>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Arial" w:eastAsia="Calibri" w:hAnsi="Arial" w:cs="Arial"/>
          <w:bCs/>
          <w:sz w:val="19"/>
          <w:szCs w:val="19"/>
          <w:lang w:val="es-CO"/>
        </w:rPr>
        <w:t>»</w:t>
      </w:r>
      <w:r>
        <w:rPr>
          <w:rFonts w:ascii="Arial" w:eastAsia="Calibri" w:hAnsi="Arial" w:cs="Arial"/>
          <w:bCs/>
          <w:sz w:val="19"/>
          <w:szCs w:val="19"/>
          <w:vertAlign w:val="superscript"/>
          <w:lang w:val="es-CO"/>
        </w:rPr>
        <w:footnoteReference w:id="10"/>
      </w:r>
      <w:r>
        <w:rPr>
          <w:rFonts w:ascii="Arial" w:eastAsia="Calibri" w:hAnsi="Arial" w:cs="Arial"/>
          <w:sz w:val="22"/>
        </w:rPr>
        <w:t>.</w:t>
      </w:r>
      <w:r>
        <w:rPr>
          <w:rFonts w:ascii="Arial" w:eastAsia="Arial" w:hAnsi="Arial" w:cs="Arial"/>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5ACDF362" w14:textId="77777777" w:rsidR="00454627" w:rsidRDefault="00454627" w:rsidP="00454627">
      <w:pPr>
        <w:widowControl w:val="0"/>
        <w:autoSpaceDE w:val="0"/>
        <w:autoSpaceDN w:val="0"/>
        <w:spacing w:after="0" w:line="240" w:lineRule="auto"/>
        <w:ind w:left="805" w:right="812"/>
        <w:rPr>
          <w:rFonts w:ascii="Arial" w:eastAsia="Arial" w:hAnsi="Arial" w:cs="Arial"/>
          <w:sz w:val="22"/>
          <w:lang w:val="es-ES" w:eastAsia="es-ES" w:bidi="es-ES"/>
        </w:rPr>
      </w:pPr>
    </w:p>
    <w:p w14:paraId="29FEE832" w14:textId="77777777" w:rsidR="00454627" w:rsidRDefault="00454627" w:rsidP="00454627">
      <w:pPr>
        <w:widowControl w:val="0"/>
        <w:autoSpaceDE w:val="0"/>
        <w:autoSpaceDN w:val="0"/>
        <w:spacing w:after="0" w:line="240" w:lineRule="auto"/>
        <w:ind w:left="709" w:right="709"/>
        <w:rPr>
          <w:rFonts w:ascii="Arial" w:eastAsia="Arial" w:hAnsi="Arial" w:cs="Arial"/>
          <w:sz w:val="21"/>
          <w:szCs w:val="21"/>
          <w:lang w:val="es-ES" w:eastAsia="es-ES" w:bidi="es-ES"/>
        </w:rPr>
      </w:pPr>
      <w:r>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4" w:name="_Hlk76109421"/>
      <w:r>
        <w:rPr>
          <w:rFonts w:ascii="Arial" w:eastAsia="Arial" w:hAnsi="Arial" w:cs="Arial"/>
          <w:sz w:val="21"/>
          <w:szCs w:val="21"/>
          <w:lang w:val="es-ES" w:eastAsia="es-ES" w:bidi="es-ES"/>
        </w:rPr>
        <w:t>se integran parcialmente</w:t>
      </w:r>
      <w:bookmarkEnd w:id="14"/>
      <w:r>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w:t>
      </w:r>
      <w:r>
        <w:rPr>
          <w:rFonts w:ascii="Arial" w:eastAsia="Arial" w:hAnsi="Arial" w:cs="Arial"/>
          <w:sz w:val="21"/>
          <w:szCs w:val="21"/>
          <w:lang w:val="es-ES" w:eastAsia="es-ES" w:bidi="es-ES"/>
        </w:rPr>
        <w:lastRenderedPageBreak/>
        <w:t xml:space="preserve">los territoriales, se aplican las restricciones de los artículos 32 y 33 con sus excepciones, así como las del parágrafo del artículo 38. </w:t>
      </w:r>
      <w:r>
        <w:rPr>
          <w:rFonts w:ascii="Arial" w:eastAsia="Arial" w:hAnsi="Arial" w:cs="Arial"/>
          <w:bCs/>
          <w:sz w:val="21"/>
          <w:szCs w:val="21"/>
          <w:lang w:val="es-ES" w:eastAsia="es-ES" w:bidi="es-ES"/>
        </w:rPr>
        <w:t xml:space="preserve">En cambio, para elecciones en general, excluyendo las correspondientes a </w:t>
      </w:r>
      <w:proofErr w:type="gramStart"/>
      <w:r>
        <w:rPr>
          <w:rFonts w:ascii="Arial" w:eastAsia="Arial" w:hAnsi="Arial" w:cs="Arial"/>
          <w:bCs/>
          <w:sz w:val="21"/>
          <w:szCs w:val="21"/>
          <w:lang w:val="es-ES" w:eastAsia="es-ES" w:bidi="es-ES"/>
        </w:rPr>
        <w:t>Presidente</w:t>
      </w:r>
      <w:proofErr w:type="gramEnd"/>
      <w:r>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Pr>
          <w:rFonts w:ascii="Arial" w:eastAsia="Arial" w:hAnsi="Arial" w:cs="Arial"/>
          <w:sz w:val="21"/>
          <w:szCs w:val="21"/>
          <w:lang w:val="es-ES" w:eastAsia="es-ES" w:bidi="es-ES"/>
        </w:rPr>
        <w:t>.</w:t>
      </w:r>
      <w:r>
        <w:rPr>
          <w:rFonts w:ascii="Arial" w:eastAsia="Arial" w:hAnsi="Arial" w:cs="Arial"/>
          <w:sz w:val="21"/>
          <w:szCs w:val="21"/>
          <w:vertAlign w:val="superscript"/>
          <w:lang w:val="es-ES" w:eastAsia="es-ES" w:bidi="es-ES"/>
        </w:rPr>
        <w:footnoteReference w:id="11"/>
      </w:r>
    </w:p>
    <w:p w14:paraId="331E87BA" w14:textId="77777777" w:rsidR="00454627" w:rsidRDefault="00454627" w:rsidP="00454627">
      <w:pPr>
        <w:widowControl w:val="0"/>
        <w:autoSpaceDE w:val="0"/>
        <w:autoSpaceDN w:val="0"/>
        <w:spacing w:before="8" w:after="0" w:line="240" w:lineRule="auto"/>
        <w:jc w:val="left"/>
        <w:rPr>
          <w:rFonts w:ascii="Arial" w:eastAsia="Arial" w:hAnsi="Arial" w:cs="Arial"/>
          <w:sz w:val="26"/>
          <w:lang w:val="es-ES" w:eastAsia="es-ES" w:bidi="es-ES"/>
        </w:rPr>
      </w:pPr>
    </w:p>
    <w:p w14:paraId="3549C1F0" w14:textId="77777777" w:rsidR="00454627" w:rsidRDefault="00454627" w:rsidP="00454627">
      <w:pPr>
        <w:spacing w:after="120"/>
        <w:ind w:firstLine="709"/>
        <w:rPr>
          <w:rFonts w:ascii="Arial" w:eastAsia="Arial" w:hAnsi="Arial" w:cs="Arial"/>
          <w:sz w:val="22"/>
          <w:lang w:val="es-ES" w:eastAsia="es-ES" w:bidi="es-ES"/>
        </w:rPr>
      </w:pPr>
      <w:r>
        <w:rPr>
          <w:rFonts w:ascii="Arial" w:eastAsia="Arial" w:hAnsi="Arial" w:cs="Arial"/>
          <w:sz w:val="22"/>
          <w:lang w:val="es-ES" w:eastAsia="es-ES" w:bidi="es-ES"/>
        </w:rPr>
        <w:t xml:space="preserve">De conformidad con lo anterior, </w:t>
      </w:r>
      <w:bookmarkStart w:id="15" w:name="_Hlk77236420"/>
      <w:bookmarkStart w:id="16" w:name="_Hlk78818435"/>
      <w:bookmarkStart w:id="17" w:name="_Hlk75780333"/>
      <w:r>
        <w:rPr>
          <w:rFonts w:ascii="Arial" w:eastAsia="Arial" w:hAnsi="Arial" w:cs="Arial"/>
          <w:sz w:val="22"/>
          <w:lang w:val="es-ES" w:eastAsia="es-ES" w:bidi="es-ES"/>
        </w:rPr>
        <w:t xml:space="preserve">la Ley 996 de 2005 establece dos (2) tipos de restricciones en materia de contratación, las cuales coinciden parcialmente. </w:t>
      </w:r>
      <w:r>
        <w:rPr>
          <w:rFonts w:ascii="Arial" w:eastAsia="Arial" w:hAnsi="Arial" w:cs="Arial"/>
          <w:i/>
          <w:iCs/>
          <w:sz w:val="22"/>
          <w:lang w:val="es-ES" w:eastAsia="es-ES" w:bidi="es-ES"/>
        </w:rPr>
        <w:t>En primer lugar</w:t>
      </w:r>
      <w:r>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w:t>
      </w:r>
      <w:proofErr w:type="gramStart"/>
      <w:r>
        <w:rPr>
          <w:rFonts w:ascii="Arial" w:eastAsia="Arial" w:hAnsi="Arial" w:cs="Arial"/>
          <w:sz w:val="22"/>
          <w:lang w:val="es-ES" w:eastAsia="es-ES" w:bidi="es-ES"/>
        </w:rPr>
        <w:t>las  votaciones</w:t>
      </w:r>
      <w:proofErr w:type="gramEnd"/>
      <w:r>
        <w:rPr>
          <w:rFonts w:ascii="Arial" w:eastAsia="Arial" w:hAnsi="Arial" w:cs="Arial"/>
          <w:sz w:val="22"/>
          <w:lang w:val="es-ES" w:eastAsia="es-ES" w:bidi="es-ES"/>
        </w:rPr>
        <w:t xml:space="preserve"> más altas, de conformidad con el artículo 190 de la Constitución Política. Para estos efectos, la restricción se extenderá hasta la fecha en la que se realice la segunda vuelta. </w:t>
      </w:r>
      <w:r>
        <w:rPr>
          <w:rFonts w:ascii="Arial" w:eastAsia="Arial" w:hAnsi="Arial" w:cs="Arial"/>
          <w:i/>
          <w:iCs/>
          <w:sz w:val="22"/>
          <w:lang w:val="es-ES" w:eastAsia="es-ES" w:bidi="es-ES"/>
        </w:rPr>
        <w:t>En segundo lugar</w:t>
      </w:r>
      <w:r>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5"/>
    </w:p>
    <w:bookmarkEnd w:id="16"/>
    <w:p w14:paraId="69A1E615" w14:textId="77777777" w:rsidR="00454627" w:rsidRDefault="00454627" w:rsidP="00454627">
      <w:pPr>
        <w:spacing w:after="120"/>
        <w:ind w:firstLine="709"/>
        <w:rPr>
          <w:rFonts w:ascii="Arial" w:eastAsia="Arial" w:hAnsi="Arial" w:cs="Arial"/>
          <w:sz w:val="22"/>
          <w:lang w:val="es-ES" w:eastAsia="es-ES" w:bidi="es-ES"/>
        </w:rPr>
      </w:pPr>
      <w:r>
        <w:rPr>
          <w:rFonts w:ascii="Arial" w:eastAsia="Arial" w:hAnsi="Arial" w:cs="Arial"/>
          <w:sz w:val="22"/>
          <w:lang w:val="es-ES" w:eastAsia="es-ES" w:bidi="es-ES"/>
        </w:rPr>
        <w:t xml:space="preserve">Ambas restricciones no son excluyentes, lo que permite concluir que en el período preelectoral para elección de </w:t>
      </w:r>
      <w:proofErr w:type="gramStart"/>
      <w:r>
        <w:rPr>
          <w:rFonts w:ascii="Arial" w:eastAsia="Arial" w:hAnsi="Arial" w:cs="Arial"/>
          <w:sz w:val="22"/>
          <w:lang w:val="es-ES" w:eastAsia="es-ES" w:bidi="es-ES"/>
        </w:rPr>
        <w:t>Presidente</w:t>
      </w:r>
      <w:proofErr w:type="gramEnd"/>
      <w:r>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Pr>
          <w:rFonts w:ascii="Arial" w:eastAsia="Arial" w:hAnsi="Arial" w:cs="Arial"/>
          <w:sz w:val="22"/>
          <w:lang w:val="es-ES" w:eastAsia="es-ES" w:bidi="es-ES"/>
        </w:rPr>
        <w:t>Presidente</w:t>
      </w:r>
      <w:proofErr w:type="gramEnd"/>
      <w:r>
        <w:rPr>
          <w:rFonts w:ascii="Arial" w:eastAsia="Arial" w:hAnsi="Arial" w:cs="Arial"/>
          <w:sz w:val="22"/>
          <w:lang w:val="es-ES" w:eastAsia="es-ES" w:bidi="es-ES"/>
        </w:rPr>
        <w:t xml:space="preserve"> de la República, las autoridades allí mencionadas sólo deben aplicar las restricciones contenidas en el parágrafo del artículo 38.</w:t>
      </w:r>
    </w:p>
    <w:bookmarkEnd w:id="17"/>
    <w:p w14:paraId="0304A1ED" w14:textId="77777777" w:rsidR="00454627" w:rsidRDefault="00454627" w:rsidP="00454627">
      <w:pPr>
        <w:spacing w:after="0"/>
        <w:ind w:firstLine="708"/>
        <w:rPr>
          <w:rFonts w:ascii="Arial" w:eastAsia="Arial" w:hAnsi="Arial" w:cs="Arial"/>
          <w:sz w:val="22"/>
          <w:lang w:val="es-ES" w:eastAsia="es-ES" w:bidi="es-ES"/>
        </w:rPr>
      </w:pPr>
      <w:r>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Pr>
          <w:rFonts w:ascii="Arial" w:eastAsia="Arial" w:hAnsi="Arial" w:cs="Arial"/>
          <w:sz w:val="22"/>
          <w:lang w:val="es-ES" w:eastAsia="es-ES" w:bidi="es-ES"/>
        </w:rPr>
        <w:t>Presidente</w:t>
      </w:r>
      <w:proofErr w:type="gramEnd"/>
      <w:r>
        <w:rPr>
          <w:rFonts w:ascii="Arial" w:eastAsia="Arial" w:hAnsi="Arial" w:cs="Arial"/>
          <w:sz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w:t>
      </w:r>
      <w:r>
        <w:rPr>
          <w:rFonts w:ascii="Arial" w:eastAsia="Arial" w:hAnsi="Arial" w:cs="Arial"/>
          <w:sz w:val="22"/>
          <w:lang w:val="es-ES" w:eastAsia="es-ES" w:bidi="es-ES"/>
        </w:rPr>
        <w:lastRenderedPageBreak/>
        <w:t xml:space="preserve">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600A754E" w14:textId="77777777" w:rsidR="00E118CF" w:rsidRDefault="00E118CF" w:rsidP="00210E7F">
      <w:pPr>
        <w:tabs>
          <w:tab w:val="left" w:pos="426"/>
        </w:tabs>
        <w:spacing w:after="0"/>
        <w:rPr>
          <w:rFonts w:ascii="Arial" w:hAnsi="Arial" w:cs="Arial"/>
          <w:b/>
          <w:bCs/>
          <w:sz w:val="22"/>
          <w:lang w:val="es-ES"/>
        </w:rPr>
      </w:pPr>
    </w:p>
    <w:p w14:paraId="27764E5A" w14:textId="7C3000B2" w:rsidR="000E5D20" w:rsidRPr="00090501" w:rsidRDefault="00346F03" w:rsidP="00090501">
      <w:pPr>
        <w:spacing w:after="0"/>
        <w:rPr>
          <w:rFonts w:ascii="Arial" w:hAnsi="Arial" w:cs="Arial"/>
          <w:b/>
          <w:bCs/>
          <w:sz w:val="22"/>
          <w:lang w:val="es-ES"/>
        </w:rPr>
      </w:pPr>
      <w:r>
        <w:rPr>
          <w:rFonts w:ascii="Arial" w:hAnsi="Arial" w:cs="Arial"/>
          <w:b/>
          <w:bCs/>
          <w:sz w:val="22"/>
          <w:lang w:val="es-ES"/>
        </w:rPr>
        <w:t xml:space="preserve">2.2. </w:t>
      </w:r>
      <w:r w:rsidR="00E118CF">
        <w:rPr>
          <w:rFonts w:ascii="Arial" w:hAnsi="Arial" w:cs="Arial"/>
          <w:b/>
          <w:bCs/>
          <w:sz w:val="22"/>
          <w:lang w:val="es-ES"/>
        </w:rPr>
        <w:t>Alcance d</w:t>
      </w:r>
      <w:r w:rsidR="0076138D">
        <w:rPr>
          <w:rFonts w:ascii="Arial" w:hAnsi="Arial" w:cs="Arial"/>
          <w:b/>
          <w:bCs/>
          <w:sz w:val="22"/>
          <w:lang w:val="es-ES"/>
        </w:rPr>
        <w:t>el</w:t>
      </w:r>
      <w:r w:rsidR="000E5D20" w:rsidRPr="00090501">
        <w:rPr>
          <w:rFonts w:ascii="Arial" w:hAnsi="Arial" w:cs="Arial"/>
          <w:b/>
          <w:bCs/>
          <w:sz w:val="22"/>
          <w:lang w:val="es-ES"/>
        </w:rPr>
        <w:t xml:space="preserve"> artículo 33 de la Ley</w:t>
      </w:r>
      <w:r w:rsidR="00E118CF">
        <w:rPr>
          <w:rFonts w:ascii="Arial" w:hAnsi="Arial" w:cs="Arial"/>
          <w:b/>
          <w:bCs/>
          <w:sz w:val="22"/>
          <w:lang w:val="es-ES"/>
        </w:rPr>
        <w:t xml:space="preserve"> 996 de 2005</w:t>
      </w:r>
      <w:r w:rsidR="000E5D20" w:rsidRPr="00090501">
        <w:rPr>
          <w:rFonts w:ascii="Arial" w:hAnsi="Arial" w:cs="Arial"/>
          <w:b/>
          <w:bCs/>
          <w:sz w:val="22"/>
          <w:lang w:val="es-ES"/>
        </w:rPr>
        <w:t xml:space="preserve"> </w:t>
      </w:r>
      <w:r w:rsidR="00225C08" w:rsidRPr="00225C08">
        <w:rPr>
          <w:rFonts w:ascii="Arial" w:hAnsi="Arial" w:cs="Arial"/>
          <w:b/>
          <w:bCs/>
          <w:sz w:val="22"/>
          <w:lang w:val="es-ES"/>
        </w:rPr>
        <w:t>y criterios de interpretación aplicables</w:t>
      </w:r>
      <w:r w:rsidR="00225C08" w:rsidRPr="00225C08" w:rsidDel="00E118CF">
        <w:rPr>
          <w:rFonts w:ascii="Arial" w:hAnsi="Arial" w:cs="Arial"/>
          <w:b/>
          <w:bCs/>
          <w:sz w:val="22"/>
          <w:lang w:val="es-ES"/>
        </w:rPr>
        <w:t xml:space="preserve"> </w:t>
      </w:r>
    </w:p>
    <w:p w14:paraId="00A8AD4A" w14:textId="77777777" w:rsidR="000E5D20" w:rsidRPr="000E5D20" w:rsidRDefault="000E5D20" w:rsidP="00090501">
      <w:pPr>
        <w:spacing w:after="0"/>
        <w:rPr>
          <w:rFonts w:ascii="Arial" w:hAnsi="Arial" w:cs="Arial"/>
          <w:b/>
          <w:bCs/>
          <w:sz w:val="22"/>
          <w:lang w:val="es-ES"/>
        </w:rPr>
      </w:pPr>
    </w:p>
    <w:p w14:paraId="7CACE289" w14:textId="77777777" w:rsidR="00356F52" w:rsidRDefault="00356F52" w:rsidP="00356F52">
      <w:pPr>
        <w:spacing w:after="0"/>
        <w:rPr>
          <w:rFonts w:ascii="Arial" w:eastAsia="Times New Roman" w:hAnsi="Arial" w:cs="Arial"/>
          <w:bCs/>
          <w:sz w:val="22"/>
          <w:lang w:eastAsia="es-CO"/>
        </w:rPr>
      </w:pPr>
      <w:bookmarkStart w:id="18" w:name="_Hlk79355505"/>
      <w:r>
        <w:rPr>
          <w:rFonts w:ascii="Arial" w:eastAsia="Times New Roman" w:hAnsi="Arial" w:cs="Arial"/>
          <w:bCs/>
          <w:sz w:val="22"/>
          <w:lang w:eastAsia="x-none"/>
        </w:rPr>
        <w:t xml:space="preserve">El ámbito material de la prohibición contenida </w:t>
      </w:r>
      <w:bookmarkStart w:id="19" w:name="_Hlk75628761"/>
      <w:r>
        <w:rPr>
          <w:rFonts w:ascii="Arial" w:eastAsia="Times New Roman" w:hAnsi="Arial" w:cs="Arial"/>
          <w:bCs/>
          <w:sz w:val="22"/>
          <w:lang w:eastAsia="x-none"/>
        </w:rPr>
        <w:t xml:space="preserve">en el artículo 33 de la ley 996 de 2005 </w:t>
      </w:r>
      <w:bookmarkEnd w:id="19"/>
      <w:r>
        <w:rPr>
          <w:rFonts w:ascii="Arial" w:eastAsia="Times New Roman" w:hAnsi="Arial" w:cs="Arial"/>
          <w:bCs/>
          <w:sz w:val="22"/>
          <w:lang w:eastAsia="x-none"/>
        </w:rPr>
        <w:t xml:space="preserve">está delimitado por la expresión </w:t>
      </w:r>
      <w:r>
        <w:rPr>
          <w:rFonts w:ascii="Arial" w:eastAsia="Calibri" w:hAnsi="Arial" w:cs="Arial"/>
          <w:bCs/>
          <w:sz w:val="20"/>
          <w:szCs w:val="20"/>
        </w:rPr>
        <w:t>«</w:t>
      </w:r>
      <w:r>
        <w:rPr>
          <w:rFonts w:ascii="Arial" w:eastAsia="Times New Roman" w:hAnsi="Arial" w:cs="Arial"/>
          <w:bCs/>
          <w:sz w:val="22"/>
          <w:lang w:eastAsia="x-none"/>
        </w:rPr>
        <w:t>queda prohibida la contratación directa</w:t>
      </w:r>
      <w:r>
        <w:rPr>
          <w:rFonts w:ascii="Arial" w:hAnsi="Arial" w:cs="Arial"/>
          <w:sz w:val="20"/>
          <w:szCs w:val="20"/>
        </w:rPr>
        <w:t>»</w:t>
      </w:r>
      <w:r>
        <w:rPr>
          <w:rFonts w:ascii="Arial" w:eastAsia="Times New Roman" w:hAnsi="Arial" w:cs="Arial"/>
          <w:bCs/>
          <w:sz w:val="22"/>
          <w:lang w:eastAsia="x-none"/>
        </w:rPr>
        <w:t xml:space="preserve">. </w:t>
      </w:r>
      <w:r>
        <w:rPr>
          <w:rFonts w:ascii="Arial" w:eastAsia="Times New Roman" w:hAnsi="Arial" w:cs="Arial"/>
          <w:sz w:val="22"/>
          <w:lang w:eastAsia="es-CO"/>
        </w:rPr>
        <w:t xml:space="preserve"> A propósito de </w:t>
      </w:r>
      <w:r>
        <w:rPr>
          <w:rFonts w:ascii="Arial" w:eastAsia="Times New Roman" w:hAnsi="Arial" w:cs="Arial"/>
          <w:sz w:val="22"/>
          <w:lang w:val="es-CO" w:eastAsia="es-CO"/>
        </w:rPr>
        <w:t>esta restricción de la Ley de Garantías Electorales, la Sala de Consulta y Servicio Civil del Consejo de Estado ha considerado que:</w:t>
      </w:r>
    </w:p>
    <w:p w14:paraId="0F7B9F6D" w14:textId="77777777" w:rsidR="00356F52" w:rsidRDefault="00356F52" w:rsidP="00356F52">
      <w:pPr>
        <w:spacing w:after="0" w:line="240" w:lineRule="auto"/>
        <w:ind w:left="708" w:right="709"/>
        <w:rPr>
          <w:rFonts w:ascii="Arial" w:hAnsi="Arial" w:cs="Arial"/>
          <w:sz w:val="21"/>
          <w:szCs w:val="21"/>
        </w:rPr>
      </w:pPr>
    </w:p>
    <w:p w14:paraId="149FE39B" w14:textId="77777777" w:rsidR="00356F52" w:rsidRDefault="00356F52" w:rsidP="00356F52">
      <w:pPr>
        <w:spacing w:after="120" w:line="240" w:lineRule="auto"/>
        <w:ind w:left="709" w:right="709"/>
        <w:rPr>
          <w:rFonts w:ascii="Arial" w:hAnsi="Arial" w:cs="Arial"/>
          <w:sz w:val="21"/>
          <w:szCs w:val="21"/>
        </w:rPr>
      </w:pPr>
      <w:r>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Pr>
          <w:rFonts w:ascii="Arial" w:eastAsia="Times New Roman" w:hAnsi="Arial" w:cs="Arial"/>
          <w:sz w:val="22"/>
          <w:vertAlign w:val="superscript"/>
          <w:lang w:val="es-CO" w:eastAsia="es-CO"/>
        </w:rPr>
        <w:footnoteReference w:id="12"/>
      </w:r>
      <w:r>
        <w:rPr>
          <w:rFonts w:ascii="Arial" w:hAnsi="Arial" w:cs="Arial"/>
          <w:sz w:val="21"/>
          <w:szCs w:val="21"/>
        </w:rPr>
        <w:t>.</w:t>
      </w:r>
    </w:p>
    <w:p w14:paraId="54EB5DF7" w14:textId="77777777" w:rsidR="00356F52" w:rsidRDefault="00356F52" w:rsidP="00356F52">
      <w:pPr>
        <w:spacing w:after="0" w:line="240" w:lineRule="auto"/>
        <w:ind w:left="708" w:right="709"/>
        <w:rPr>
          <w:rFonts w:ascii="Arial" w:hAnsi="Arial" w:cs="Arial"/>
          <w:sz w:val="21"/>
          <w:szCs w:val="21"/>
        </w:rPr>
      </w:pPr>
      <w:r>
        <w:rPr>
          <w:rFonts w:ascii="Arial" w:hAnsi="Arial" w:cs="Arial"/>
          <w:sz w:val="21"/>
          <w:szCs w:val="21"/>
        </w:rPr>
        <w:t xml:space="preserve">Esta Sala ha entendido </w:t>
      </w:r>
      <w:proofErr w:type="gramStart"/>
      <w:r>
        <w:rPr>
          <w:rFonts w:ascii="Arial" w:hAnsi="Arial" w:cs="Arial"/>
          <w:sz w:val="21"/>
          <w:szCs w:val="21"/>
        </w:rPr>
        <w:t>que</w:t>
      </w:r>
      <w:proofErr w:type="gramEnd"/>
      <w:r>
        <w:rPr>
          <w:rFonts w:ascii="Arial" w:hAnsi="Arial" w:cs="Arial"/>
          <w:sz w:val="21"/>
          <w:szCs w:val="21"/>
        </w:rPr>
        <w:t xml:space="preserve"> para los efectos de la ley de garantías, y dada su finalidad, el enunciado ´contratación directa´ es sinónimo </w:t>
      </w:r>
      <w:bookmarkStart w:id="22" w:name="_Hlk75741738"/>
      <w:r>
        <w:rPr>
          <w:rFonts w:ascii="Arial" w:hAnsi="Arial" w:cs="Arial"/>
          <w:sz w:val="21"/>
          <w:szCs w:val="21"/>
        </w:rPr>
        <w:t xml:space="preserve">de cualquier sistema que no implique convocatoria pública y posibilidad de pluralidad de oferentes, </w:t>
      </w:r>
      <w:bookmarkEnd w:id="22"/>
      <w:r>
        <w:rPr>
          <w:rFonts w:ascii="Arial" w:hAnsi="Arial" w:cs="Arial"/>
          <w:sz w:val="21"/>
          <w:szCs w:val="21"/>
        </w:rPr>
        <w:t>y que, además, no necesariamente hace referencia al procedimiento especial regulado por la ley de contratación estatal, sino a cualquier otro que prescinda de un proceso de licitación pública o concurso</w:t>
      </w:r>
      <w:r>
        <w:rPr>
          <w:rFonts w:ascii="Arial" w:eastAsia="Times New Roman" w:hAnsi="Arial" w:cs="Arial"/>
          <w:sz w:val="21"/>
          <w:szCs w:val="21"/>
          <w:vertAlign w:val="superscript"/>
        </w:rPr>
        <w:footnoteReference w:id="13"/>
      </w:r>
      <w:r>
        <w:rPr>
          <w:rFonts w:ascii="Arial" w:eastAsia="Times New Roman" w:hAnsi="Arial" w:cs="Arial"/>
          <w:sz w:val="21"/>
          <w:szCs w:val="21"/>
          <w:vertAlign w:val="superscript"/>
        </w:rPr>
        <w:t>.</w:t>
      </w:r>
      <w:r>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Arial" w:eastAsia="Times New Roman" w:hAnsi="Arial" w:cs="Arial"/>
          <w:sz w:val="22"/>
          <w:vertAlign w:val="superscript"/>
          <w:lang w:val="es-CO" w:eastAsia="es-CO"/>
        </w:rPr>
        <w:footnoteReference w:id="14"/>
      </w:r>
      <w:r>
        <w:rPr>
          <w:rFonts w:ascii="Arial" w:hAnsi="Arial" w:cs="Arial"/>
          <w:sz w:val="21"/>
          <w:szCs w:val="21"/>
          <w:lang w:val="es-CO"/>
        </w:rPr>
        <w:t xml:space="preserve"> </w:t>
      </w:r>
      <w:r>
        <w:rPr>
          <w:rFonts w:ascii="Arial" w:hAnsi="Arial" w:cs="Arial"/>
          <w:sz w:val="21"/>
          <w:szCs w:val="21"/>
        </w:rPr>
        <w:t>.</w:t>
      </w:r>
    </w:p>
    <w:p w14:paraId="6480B075" w14:textId="77777777" w:rsidR="00356F52" w:rsidRDefault="00356F52" w:rsidP="00356F52">
      <w:pPr>
        <w:shd w:val="clear" w:color="auto" w:fill="FFFFFF"/>
        <w:spacing w:after="0" w:line="240" w:lineRule="auto"/>
        <w:ind w:firstLine="709"/>
        <w:rPr>
          <w:rFonts w:ascii="Arial" w:eastAsia="Times New Roman" w:hAnsi="Arial" w:cs="Arial"/>
          <w:sz w:val="22"/>
          <w:lang w:val="es-CO" w:eastAsia="x-none"/>
        </w:rPr>
      </w:pPr>
    </w:p>
    <w:p w14:paraId="37FE6FA4" w14:textId="77777777" w:rsidR="00356F52" w:rsidRDefault="00356F52" w:rsidP="00356F52">
      <w:pPr>
        <w:spacing w:after="120"/>
        <w:ind w:firstLine="708"/>
        <w:rPr>
          <w:rFonts w:ascii="Arial" w:eastAsia="Times New Roman" w:hAnsi="Arial" w:cs="Arial"/>
          <w:bCs/>
          <w:sz w:val="22"/>
          <w:lang w:val="es-CO" w:eastAsia="x-none"/>
        </w:rPr>
      </w:pPr>
      <w:r>
        <w:rPr>
          <w:rFonts w:ascii="Arial" w:eastAsia="Times New Roman" w:hAnsi="Arial" w:cs="Arial"/>
          <w:sz w:val="22"/>
          <w:lang w:val="es-CO" w:eastAsia="x-none"/>
        </w:rPr>
        <w:t xml:space="preserve">De conformidad con el citado concepto, </w:t>
      </w:r>
      <w:bookmarkStart w:id="24" w:name="_Hlk78818702"/>
      <w:r>
        <w:rPr>
          <w:rFonts w:ascii="Arial" w:eastAsia="Times New Roman" w:hAnsi="Arial" w:cs="Arial"/>
          <w:sz w:val="22"/>
          <w:lang w:val="es-CO" w:eastAsia="x-none"/>
        </w:rPr>
        <w:t xml:space="preserve">la prohibición del artículo 33 de la Ley de Garantías Electorales se refiere a </w:t>
      </w:r>
      <w:bookmarkStart w:id="25" w:name="_Hlk74294635"/>
      <w:r>
        <w:rPr>
          <w:rFonts w:ascii="Arial" w:eastAsia="Times New Roman" w:hAnsi="Arial" w:cs="Arial"/>
          <w:sz w:val="19"/>
          <w:szCs w:val="19"/>
          <w:lang w:val="es-CO" w:eastAsia="en-GB"/>
        </w:rPr>
        <w:t>«</w:t>
      </w:r>
      <w:bookmarkEnd w:id="25"/>
      <w:r>
        <w:rPr>
          <w:rFonts w:ascii="Arial" w:eastAsia="Times New Roman" w:hAnsi="Arial" w:cs="Arial"/>
          <w:sz w:val="22"/>
          <w:lang w:val="es-CO" w:eastAsia="x-none"/>
        </w:rPr>
        <w:t>cualquier sistema que no implique convocatoria pública y posibilidad de pluralidad de oferentes</w:t>
      </w:r>
      <w:bookmarkStart w:id="26" w:name="_Hlk74404754"/>
      <w:r>
        <w:rPr>
          <w:rFonts w:ascii="Arial" w:eastAsia="Times New Roman" w:hAnsi="Arial" w:cs="Arial"/>
          <w:sz w:val="22"/>
          <w:lang w:val="es-CO" w:eastAsia="en-GB"/>
        </w:rPr>
        <w:t>»</w:t>
      </w:r>
      <w:bookmarkEnd w:id="26"/>
      <w:r>
        <w:rPr>
          <w:rFonts w:ascii="Arial" w:eastAsia="Times New Roman" w:hAnsi="Arial" w:cs="Arial"/>
          <w:sz w:val="22"/>
          <w:lang w:val="es-CO" w:eastAsia="x-none"/>
        </w:rPr>
        <w:t xml:space="preserve">, por lo que excluye las demás modalidades de contratación previstas en la Ley 1150 de 2007, es decir, la licitación pública, la selección abreviada y el concurso de méritos u otros previstos en normas especiales. </w:t>
      </w:r>
      <w:bookmarkEnd w:id="24"/>
      <w:r>
        <w:rPr>
          <w:rFonts w:ascii="Arial" w:eastAsia="Times New Roman" w:hAnsi="Arial" w:cs="Arial"/>
          <w:sz w:val="22"/>
          <w:lang w:val="es-CO" w:eastAsia="x-none"/>
        </w:rPr>
        <w:t>Esta posición es congruente con la expedición de la Ley 1150 de 2007 que, entre otras reformas, introdujo la selección abreviada, rediseñó el concurso de méritos</w:t>
      </w:r>
      <w:r>
        <w:rPr>
          <w:rFonts w:ascii="Arial" w:eastAsia="Times New Roman" w:hAnsi="Arial" w:cs="Arial"/>
          <w:sz w:val="22"/>
          <w:vertAlign w:val="superscript"/>
          <w:lang w:val="en-GB" w:eastAsia="x-none"/>
        </w:rPr>
        <w:footnoteReference w:id="15"/>
      </w:r>
      <w:r>
        <w:rPr>
          <w:rFonts w:ascii="Arial" w:eastAsia="Times New Roman" w:hAnsi="Arial" w:cs="Arial"/>
          <w:sz w:val="22"/>
          <w:lang w:val="es-CO" w:eastAsia="x-none"/>
        </w:rPr>
        <w:t xml:space="preserve"> y sistematizó las causales de contratación directa</w:t>
      </w:r>
      <w:r>
        <w:rPr>
          <w:rFonts w:ascii="Arial" w:eastAsia="Times New Roman" w:hAnsi="Arial" w:cs="Arial"/>
          <w:sz w:val="22"/>
          <w:vertAlign w:val="superscript"/>
          <w:lang w:val="en-GB" w:eastAsia="x-none"/>
        </w:rPr>
        <w:footnoteReference w:id="16"/>
      </w:r>
      <w:r>
        <w:rPr>
          <w:rFonts w:ascii="Arial" w:eastAsia="Times New Roman" w:hAnsi="Arial" w:cs="Arial"/>
          <w:sz w:val="22"/>
          <w:lang w:val="es-CO" w:eastAsia="x-none"/>
        </w:rPr>
        <w:t xml:space="preserve">. </w:t>
      </w:r>
    </w:p>
    <w:p w14:paraId="370DB913" w14:textId="74F25785" w:rsidR="00356F52" w:rsidRDefault="00356F52" w:rsidP="00356F52">
      <w:pPr>
        <w:spacing w:after="120"/>
        <w:ind w:firstLine="708"/>
        <w:rPr>
          <w:rFonts w:ascii="Arial" w:eastAsia="Times New Roman" w:hAnsi="Arial" w:cs="Arial"/>
          <w:sz w:val="22"/>
          <w:lang w:eastAsia="x-none"/>
        </w:rPr>
      </w:pPr>
      <w:r>
        <w:rPr>
          <w:rFonts w:ascii="Arial" w:eastAsia="Times New Roman" w:hAnsi="Arial" w:cs="Arial"/>
          <w:sz w:val="22"/>
          <w:lang w:val="es-CO" w:eastAsia="x-none"/>
        </w:rPr>
        <w:t xml:space="preserve">De esta forma, con fundamento en la evolución de la normativa sobre la contratación pública, se ha depurado la noción de </w:t>
      </w:r>
      <w:r>
        <w:rPr>
          <w:rFonts w:ascii="Arial" w:eastAsia="Times New Roman" w:hAnsi="Arial" w:cs="Arial"/>
          <w:sz w:val="19"/>
          <w:szCs w:val="19"/>
          <w:lang w:val="es-CO" w:eastAsia="en-GB"/>
        </w:rPr>
        <w:t>«</w:t>
      </w:r>
      <w:r>
        <w:rPr>
          <w:rFonts w:ascii="Arial" w:eastAsia="Times New Roman" w:hAnsi="Arial" w:cs="Arial"/>
          <w:sz w:val="22"/>
          <w:lang w:val="es-CO" w:eastAsia="x-none"/>
        </w:rPr>
        <w:t>contratación directa</w:t>
      </w:r>
      <w:r>
        <w:rPr>
          <w:rFonts w:ascii="Arial" w:eastAsia="Times New Roman" w:hAnsi="Arial" w:cs="Arial"/>
          <w:sz w:val="22"/>
          <w:lang w:val="es-CO" w:eastAsia="en-GB"/>
        </w:rPr>
        <w:t>»</w:t>
      </w:r>
      <w:r>
        <w:rPr>
          <w:rFonts w:ascii="Arial" w:eastAsia="Times New Roman" w:hAnsi="Arial" w:cs="Arial"/>
          <w:sz w:val="22"/>
          <w:lang w:val="es-CO"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Pr>
          <w:rFonts w:ascii="Arial" w:eastAsia="Times New Roman" w:hAnsi="Arial" w:cs="Arial"/>
          <w:sz w:val="22"/>
          <w:vertAlign w:val="superscript"/>
          <w:lang w:val="en-GB" w:eastAsia="x-none"/>
        </w:rPr>
        <w:footnoteReference w:id="17"/>
      </w:r>
      <w:r>
        <w:rPr>
          <w:rFonts w:ascii="Arial" w:eastAsia="Times New Roman" w:hAnsi="Arial" w:cs="Arial"/>
          <w:sz w:val="22"/>
          <w:lang w:val="es-CO" w:eastAsia="x-none"/>
        </w:rPr>
        <w:t>, han establecido sistemas de contratación que implican convocatoria pública y participación de varios oferentes</w:t>
      </w:r>
      <w:r>
        <w:rPr>
          <w:rFonts w:ascii="Arial" w:eastAsia="Times New Roman" w:hAnsi="Arial" w:cs="Arial"/>
          <w:sz w:val="22"/>
          <w:lang w:val="es-CO" w:eastAsia="en-GB"/>
        </w:rPr>
        <w:t>»</w:t>
      </w:r>
      <w:r>
        <w:rPr>
          <w:rFonts w:ascii="Arial" w:eastAsia="Times New Roman" w:hAnsi="Arial" w:cs="Arial"/>
          <w:sz w:val="22"/>
          <w:lang w:val="es-CO" w:eastAsia="x-none"/>
        </w:rPr>
        <w:t xml:space="preserve">. </w:t>
      </w:r>
    </w:p>
    <w:p w14:paraId="2481E738" w14:textId="77777777" w:rsidR="00356F52" w:rsidRDefault="00356F52" w:rsidP="00356F52">
      <w:pPr>
        <w:spacing w:after="120"/>
        <w:ind w:firstLine="708"/>
        <w:rPr>
          <w:rFonts w:ascii="Arial" w:eastAsia="Times New Roman" w:hAnsi="Arial" w:cs="Arial"/>
          <w:bCs/>
          <w:sz w:val="22"/>
          <w:lang w:eastAsia="es-CO"/>
        </w:rPr>
      </w:pPr>
      <w:r>
        <w:rPr>
          <w:rFonts w:ascii="Arial" w:eastAsia="Times New Roman" w:hAnsi="Arial" w:cs="Arial"/>
          <w:bCs/>
          <w:sz w:val="22"/>
          <w:lang w:eastAsia="x-none"/>
        </w:rPr>
        <w:t>E</w:t>
      </w:r>
      <w:r>
        <w:rPr>
          <w:rFonts w:ascii="Arial" w:eastAsia="Times New Roman" w:hAnsi="Arial" w:cs="Arial"/>
          <w:sz w:val="22"/>
          <w:lang w:val="es-CO" w:eastAsia="x-none"/>
        </w:rPr>
        <w:t xml:space="preserve">n efecto, vale la pena mencionar que, </w:t>
      </w:r>
      <w:bookmarkStart w:id="28" w:name="_Hlk75636073"/>
      <w:r>
        <w:rPr>
          <w:rFonts w:ascii="Arial" w:eastAsia="Times New Roman" w:hAnsi="Arial" w:cs="Arial"/>
          <w:sz w:val="22"/>
          <w:lang w:val="es-CO"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8"/>
      <w:r>
        <w:rPr>
          <w:rFonts w:ascii="Arial" w:eastAsia="Times New Roman" w:hAnsi="Arial" w:cs="Arial"/>
          <w:sz w:val="22"/>
          <w:vertAlign w:val="superscript"/>
          <w:lang w:val="es-CO" w:eastAsia="x-none"/>
        </w:rPr>
        <w:footnoteReference w:id="18"/>
      </w:r>
      <w:r>
        <w:rPr>
          <w:rFonts w:ascii="Arial" w:eastAsia="Times New Roman" w:hAnsi="Arial" w:cs="Arial"/>
          <w:sz w:val="22"/>
          <w:lang w:val="es-CO" w:eastAsia="x-none"/>
        </w:rPr>
        <w:t xml:space="preserve">. </w:t>
      </w:r>
    </w:p>
    <w:p w14:paraId="2690169A" w14:textId="77777777" w:rsidR="00356F52" w:rsidRDefault="00356F52" w:rsidP="00356F52">
      <w:pPr>
        <w:spacing w:after="120"/>
        <w:ind w:firstLine="708"/>
        <w:rPr>
          <w:rFonts w:ascii="Arial" w:eastAsia="Times New Roman" w:hAnsi="Arial" w:cs="Arial"/>
          <w:bCs/>
          <w:sz w:val="22"/>
          <w:lang w:eastAsia="es-CO"/>
        </w:rPr>
      </w:pPr>
      <w:r>
        <w:rPr>
          <w:rFonts w:ascii="Arial" w:eastAsia="Times New Roman" w:hAnsi="Arial" w:cs="Arial"/>
          <w:bCs/>
          <w:sz w:val="22"/>
          <w:lang w:eastAsia="es-CO"/>
        </w:rPr>
        <w:lastRenderedPageBreak/>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00BFE1D3" w14:textId="77777777" w:rsidR="00356F52" w:rsidRDefault="00356F52" w:rsidP="00356F52">
      <w:pPr>
        <w:spacing w:after="120"/>
        <w:ind w:firstLine="708"/>
        <w:rPr>
          <w:rFonts w:ascii="Arial" w:eastAsia="Times New Roman" w:hAnsi="Arial" w:cs="Arial"/>
          <w:bCs/>
          <w:sz w:val="22"/>
          <w:lang w:eastAsia="x-none"/>
        </w:rPr>
      </w:pPr>
      <w:bookmarkStart w:id="29" w:name="_Hlk78818796"/>
      <w:r>
        <w:rPr>
          <w:rFonts w:ascii="Arial" w:eastAsia="Times New Roman" w:hAnsi="Arial" w:cs="Arial"/>
          <w:bCs/>
          <w:sz w:val="22"/>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Arial" w:eastAsia="Times New Roman" w:hAnsi="Arial" w:cs="Arial"/>
          <w:sz w:val="22"/>
          <w:vertAlign w:val="superscript"/>
          <w:lang w:val="es-CO" w:eastAsia="x-none"/>
        </w:rPr>
        <w:footnoteReference w:id="19"/>
      </w:r>
      <w:r>
        <w:rPr>
          <w:rFonts w:ascii="Arial" w:eastAsia="Times New Roman" w:hAnsi="Arial" w:cs="Arial"/>
          <w:bCs/>
          <w:sz w:val="22"/>
          <w:lang w:eastAsia="x-none"/>
        </w:rPr>
        <w:t>.</w:t>
      </w:r>
      <w:r>
        <w:rPr>
          <w:rFonts w:ascii="Arial" w:eastAsia="Times New Roman" w:hAnsi="Arial" w:cs="Arial"/>
          <w:sz w:val="22"/>
          <w:vertAlign w:val="superscript"/>
          <w:lang w:val="es-CO" w:eastAsia="x-none"/>
        </w:rPr>
        <w:t xml:space="preserve"> </w:t>
      </w:r>
    </w:p>
    <w:bookmarkEnd w:id="29"/>
    <w:p w14:paraId="5C4700E4" w14:textId="77777777" w:rsidR="00356F52" w:rsidRDefault="00356F52" w:rsidP="00356F52">
      <w:pPr>
        <w:spacing w:after="120"/>
        <w:ind w:firstLine="708"/>
        <w:rPr>
          <w:rFonts w:ascii="Arial" w:eastAsia="Times New Roman" w:hAnsi="Arial" w:cs="Arial"/>
          <w:sz w:val="22"/>
          <w:lang w:val="es-CO" w:eastAsia="x-none"/>
        </w:rPr>
      </w:pPr>
      <w:r>
        <w:rPr>
          <w:rFonts w:ascii="Arial" w:eastAsia="Times New Roman" w:hAnsi="Arial" w:cs="Arial"/>
          <w:bCs/>
          <w:sz w:val="22"/>
          <w:lang w:eastAsia="x-none"/>
        </w:rPr>
        <w:t xml:space="preserve">De lo anterior se desprende que </w:t>
      </w:r>
      <w:bookmarkStart w:id="30" w:name="_Hlk80117323"/>
      <w:r>
        <w:rPr>
          <w:rFonts w:ascii="Arial" w:eastAsia="Times New Roman" w:hAnsi="Arial" w:cs="Arial"/>
          <w:bCs/>
          <w:sz w:val="22"/>
          <w:lang w:eastAsia="x-none"/>
        </w:rPr>
        <w:t>la restricción aplica, sin perjuicio de las excepciones establecidas en la misma ley, para celebrar cualquier contrato de forma directa, esto es, sin que exista un proceso abierto y competitivo</w:t>
      </w:r>
      <w:bookmarkEnd w:id="30"/>
      <w:r>
        <w:rPr>
          <w:rFonts w:ascii="Arial" w:eastAsia="Times New Roman" w:hAnsi="Arial" w:cs="Arial"/>
          <w:bCs/>
          <w:sz w:val="22"/>
          <w:lang w:eastAsia="x-none"/>
        </w:rPr>
        <w:t>.</w:t>
      </w:r>
      <w:r>
        <w:rPr>
          <w:rFonts w:ascii="Arial" w:eastAsia="Times New Roman" w:hAnsi="Arial" w:cs="Arial"/>
          <w:sz w:val="22"/>
          <w:lang w:val="es-CO"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2AFA0F3C" w14:textId="77777777" w:rsidR="00356F52" w:rsidRDefault="00356F52" w:rsidP="00356F52">
      <w:pPr>
        <w:spacing w:after="120"/>
        <w:ind w:firstLine="708"/>
        <w:rPr>
          <w:rFonts w:ascii="Arial" w:eastAsia="Times New Roman" w:hAnsi="Arial" w:cs="Arial"/>
          <w:bCs/>
          <w:sz w:val="22"/>
          <w:lang w:eastAsia="x-none"/>
        </w:rPr>
      </w:pPr>
      <w:bookmarkStart w:id="31" w:name="_Hlk77237094"/>
      <w:r>
        <w:rPr>
          <w:rFonts w:ascii="Arial" w:eastAsia="Times New Roman" w:hAnsi="Arial" w:cs="Arial"/>
          <w:bCs/>
          <w:sz w:val="22"/>
          <w:lang w:eastAsia="es-CO"/>
        </w:rPr>
        <w:t xml:space="preserve">Como en otras oportunidades lo ha manifestado esta Agencia, las prórrogas, modificaciones o adiciones de los contratos suscritos antes de la </w:t>
      </w:r>
      <w:proofErr w:type="gramStart"/>
      <w:r>
        <w:rPr>
          <w:rFonts w:ascii="Arial" w:eastAsia="Times New Roman" w:hAnsi="Arial" w:cs="Arial"/>
          <w:bCs/>
          <w:sz w:val="22"/>
          <w:lang w:eastAsia="es-CO"/>
        </w:rPr>
        <w:t>entrada en vigencia</w:t>
      </w:r>
      <w:proofErr w:type="gramEnd"/>
      <w:r>
        <w:rPr>
          <w:rFonts w:ascii="Arial" w:eastAsia="Times New Roman" w:hAnsi="Arial" w:cs="Arial"/>
          <w:bCs/>
          <w:sz w:val="22"/>
          <w:lang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1"/>
    </w:p>
    <w:p w14:paraId="54F31D01" w14:textId="20E673DB" w:rsidR="000E5D20" w:rsidRPr="006C0B81" w:rsidRDefault="00356F52" w:rsidP="00210E7F">
      <w:pPr>
        <w:spacing w:after="120"/>
        <w:ind w:firstLine="708"/>
        <w:rPr>
          <w:rFonts w:ascii="Arial" w:hAnsi="Arial" w:cs="Arial"/>
          <w:sz w:val="22"/>
          <w:lang w:val="es-ES"/>
        </w:rPr>
      </w:pPr>
      <w:r>
        <w:rPr>
          <w:rFonts w:ascii="Arial" w:eastAsia="Times New Roman" w:hAnsi="Arial" w:cs="Arial"/>
          <w:bCs/>
          <w:sz w:val="22"/>
          <w:lang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w:t>
      </w:r>
      <w:r>
        <w:rPr>
          <w:rFonts w:ascii="Arial" w:eastAsia="Times New Roman" w:hAnsi="Arial" w:cs="Arial"/>
          <w:bCs/>
          <w:sz w:val="22"/>
          <w:lang w:eastAsia="x-none"/>
        </w:rPr>
        <w:lastRenderedPageBreak/>
        <w:t>infraestructura energética y de comunicaciones, en caso de que hayan sido objeto de atentados, acciones terroristas, desastres naturales o casos de fuerza mayor; y, v) los que deban realizar las entidades sanitarias y hospitalarias.</w:t>
      </w:r>
      <w:r>
        <w:rPr>
          <w:rFonts w:ascii="Arial" w:eastAsia="Times New Roman" w:hAnsi="Arial" w:cs="Arial"/>
          <w:bCs/>
          <w:sz w:val="22"/>
          <w:lang w:eastAsia="es-CO"/>
        </w:rPr>
        <w:t xml:space="preserve"> </w:t>
      </w:r>
      <w:bookmarkEnd w:id="18"/>
    </w:p>
    <w:p w14:paraId="5D83C29D" w14:textId="456D74E0" w:rsidR="009041A8" w:rsidRDefault="0066396D" w:rsidP="00210E7F">
      <w:pPr>
        <w:spacing w:after="120"/>
        <w:ind w:firstLine="709"/>
        <w:rPr>
          <w:rFonts w:ascii="Arial" w:hAnsi="Arial" w:cs="Arial"/>
          <w:sz w:val="22"/>
          <w:lang w:val="es-ES"/>
        </w:rPr>
      </w:pPr>
      <w:r>
        <w:rPr>
          <w:rFonts w:ascii="Arial" w:hAnsi="Arial" w:cs="Arial"/>
          <w:sz w:val="22"/>
          <w:lang w:val="es-ES"/>
        </w:rPr>
        <w:t>Est</w:t>
      </w:r>
      <w:r w:rsidR="000E5D20" w:rsidRPr="006C0B81">
        <w:rPr>
          <w:rFonts w:ascii="Arial" w:hAnsi="Arial" w:cs="Arial"/>
          <w:sz w:val="22"/>
          <w:lang w:val="es-ES"/>
        </w:rPr>
        <w:t xml:space="preserve">a Agencia ha entendido, </w:t>
      </w:r>
      <w:r>
        <w:rPr>
          <w:rFonts w:ascii="Arial" w:hAnsi="Arial" w:cs="Arial"/>
          <w:sz w:val="22"/>
          <w:lang w:val="es-ES"/>
        </w:rPr>
        <w:t>conforme a la explicación del numeral anterior</w:t>
      </w:r>
      <w:r w:rsidR="000E5D20" w:rsidRPr="006C0B81">
        <w:rPr>
          <w:rFonts w:ascii="Arial" w:hAnsi="Arial" w:cs="Arial"/>
          <w:sz w:val="22"/>
          <w:lang w:val="es-ES"/>
        </w:rPr>
        <w:t xml:space="preserve">, </w:t>
      </w:r>
      <w:bookmarkStart w:id="32" w:name="_Hlk80117445"/>
      <w:r w:rsidR="000E5D20" w:rsidRPr="006C0B81">
        <w:rPr>
          <w:rFonts w:ascii="Arial" w:hAnsi="Arial" w:cs="Arial"/>
          <w:sz w:val="22"/>
          <w:lang w:val="es-ES"/>
        </w:rPr>
        <w:t xml:space="preserve">que las </w:t>
      </w:r>
      <w:r w:rsidR="00C65348">
        <w:rPr>
          <w:rFonts w:ascii="Arial" w:hAnsi="Arial" w:cs="Arial"/>
          <w:sz w:val="22"/>
          <w:lang w:val="es-ES"/>
        </w:rPr>
        <w:t xml:space="preserve">prohibiciones </w:t>
      </w:r>
      <w:r w:rsidR="000E5D20" w:rsidRPr="006C0B81">
        <w:rPr>
          <w:rFonts w:ascii="Arial" w:hAnsi="Arial" w:cs="Arial"/>
          <w:sz w:val="22"/>
          <w:lang w:val="es-ES"/>
        </w:rPr>
        <w:t>impuestas a la libertad de contratar por dicha norma legal han de interpretarse de manera restrictiva</w:t>
      </w:r>
      <w:r w:rsidR="000C7737" w:rsidRPr="000E5D20">
        <w:rPr>
          <w:rFonts w:ascii="Arial" w:hAnsi="Arial" w:cs="Arial"/>
          <w:sz w:val="22"/>
          <w:lang w:val="es-ES"/>
        </w:rPr>
        <w:t>.</w:t>
      </w:r>
      <w:r w:rsidR="000E5D20" w:rsidRPr="006C0B81">
        <w:rPr>
          <w:rFonts w:ascii="Arial" w:hAnsi="Arial" w:cs="Arial"/>
          <w:sz w:val="22"/>
          <w:lang w:val="es-ES"/>
        </w:rPr>
        <w:t xml:space="preserve"> </w:t>
      </w:r>
      <w:r w:rsidR="000E5D20" w:rsidRPr="000E5D20">
        <w:rPr>
          <w:rFonts w:ascii="Arial" w:hAnsi="Arial" w:cs="Arial"/>
          <w:sz w:val="22"/>
          <w:lang w:val="es-ES"/>
        </w:rPr>
        <w:t>La consulta bajo estudio requiere un análisis de la interpretación de este tipo de normas, en particular, de las excepciones a la prohibición contenida en el mencionado artículo</w:t>
      </w:r>
      <w:r>
        <w:rPr>
          <w:rFonts w:ascii="Arial" w:hAnsi="Arial" w:cs="Arial"/>
          <w:sz w:val="22"/>
          <w:lang w:val="es-ES"/>
        </w:rPr>
        <w:t>. Esto</w:t>
      </w:r>
      <w:r w:rsidR="009041A8">
        <w:rPr>
          <w:rFonts w:ascii="Arial" w:hAnsi="Arial" w:cs="Arial"/>
          <w:sz w:val="22"/>
          <w:lang w:val="es-ES"/>
        </w:rPr>
        <w:t xml:space="preserve"> al encontrarnos frente a</w:t>
      </w:r>
      <w:r w:rsidR="000E5D20" w:rsidRPr="000E5D20">
        <w:rPr>
          <w:rFonts w:ascii="Arial" w:hAnsi="Arial" w:cs="Arial"/>
          <w:sz w:val="22"/>
          <w:lang w:val="es-ES"/>
        </w:rPr>
        <w:t xml:space="preserve"> disposiciones legales de carácter prohibitivo o restrictivo</w:t>
      </w:r>
      <w:r w:rsidR="009041A8">
        <w:rPr>
          <w:rFonts w:ascii="Arial" w:hAnsi="Arial" w:cs="Arial"/>
          <w:sz w:val="22"/>
          <w:lang w:val="es-ES"/>
        </w:rPr>
        <w:t>,</w:t>
      </w:r>
      <w:r w:rsidR="000E5D20" w:rsidRPr="000E5D20">
        <w:rPr>
          <w:rFonts w:ascii="Arial" w:hAnsi="Arial" w:cs="Arial"/>
          <w:sz w:val="22"/>
          <w:lang w:val="es-ES"/>
        </w:rPr>
        <w:t xml:space="preserve"> </w:t>
      </w:r>
      <w:r>
        <w:rPr>
          <w:rFonts w:ascii="Arial" w:hAnsi="Arial" w:cs="Arial"/>
          <w:sz w:val="22"/>
          <w:lang w:val="es-ES"/>
        </w:rPr>
        <w:t>pues no es posible</w:t>
      </w:r>
      <w:r w:rsidR="009041A8">
        <w:rPr>
          <w:rFonts w:ascii="Arial" w:hAnsi="Arial" w:cs="Arial"/>
          <w:sz w:val="22"/>
          <w:lang w:val="es-ES"/>
        </w:rPr>
        <w:t xml:space="preserve"> </w:t>
      </w:r>
      <w:r w:rsidR="000E5D20" w:rsidRPr="000E5D20">
        <w:rPr>
          <w:rFonts w:ascii="Arial" w:hAnsi="Arial" w:cs="Arial"/>
          <w:sz w:val="22"/>
          <w:lang w:val="es-ES"/>
        </w:rPr>
        <w:t xml:space="preserve">aplicar la analogía </w:t>
      </w:r>
      <w:r w:rsidR="000E5D20" w:rsidRPr="000E5D20">
        <w:rPr>
          <w:rFonts w:ascii="Arial" w:hAnsi="Arial" w:cs="Arial"/>
          <w:i/>
          <w:iCs/>
          <w:sz w:val="22"/>
          <w:lang w:val="es-ES"/>
        </w:rPr>
        <w:t xml:space="preserve">legis </w:t>
      </w:r>
      <w:r w:rsidR="000E5D20" w:rsidRPr="000E5D20">
        <w:rPr>
          <w:rFonts w:ascii="Arial" w:hAnsi="Arial" w:cs="Arial"/>
          <w:sz w:val="22"/>
          <w:lang w:val="es-ES"/>
        </w:rPr>
        <w:t xml:space="preserve">o </w:t>
      </w:r>
      <w:r w:rsidR="000E5D20" w:rsidRPr="000E5D20">
        <w:rPr>
          <w:rFonts w:ascii="Arial" w:hAnsi="Arial" w:cs="Arial"/>
          <w:i/>
          <w:iCs/>
          <w:sz w:val="22"/>
          <w:lang w:val="es-ES"/>
        </w:rPr>
        <w:t xml:space="preserve">iuris </w:t>
      </w:r>
      <w:r w:rsidR="000E5D20" w:rsidRPr="000E5D20">
        <w:rPr>
          <w:rFonts w:ascii="Arial" w:hAnsi="Arial" w:cs="Arial"/>
          <w:sz w:val="22"/>
          <w:lang w:val="es-ES"/>
        </w:rPr>
        <w:t xml:space="preserve">a los contenidos regulados por ellas. </w:t>
      </w:r>
      <w:r>
        <w:rPr>
          <w:rFonts w:ascii="Arial" w:hAnsi="Arial" w:cs="Arial"/>
          <w:sz w:val="22"/>
          <w:lang w:val="es-ES"/>
        </w:rPr>
        <w:t>En</w:t>
      </w:r>
      <w:r w:rsidRPr="000E5D20">
        <w:rPr>
          <w:rFonts w:ascii="Arial" w:hAnsi="Arial" w:cs="Arial"/>
          <w:sz w:val="22"/>
          <w:lang w:val="es-ES"/>
        </w:rPr>
        <w:t xml:space="preserve"> </w:t>
      </w:r>
      <w:r w:rsidR="000E5D20" w:rsidRPr="000E5D20">
        <w:rPr>
          <w:rFonts w:ascii="Arial" w:hAnsi="Arial" w:cs="Arial"/>
          <w:sz w:val="22"/>
          <w:lang w:val="es-ES"/>
        </w:rPr>
        <w:t xml:space="preserve">consecuencia, el operador jurídico no podrá </w:t>
      </w:r>
      <w:r>
        <w:rPr>
          <w:rFonts w:ascii="Arial" w:hAnsi="Arial" w:cs="Arial"/>
          <w:sz w:val="22"/>
          <w:lang w:val="es-ES"/>
        </w:rPr>
        <w:t>extender</w:t>
      </w:r>
      <w:r w:rsidRPr="000E5D20">
        <w:rPr>
          <w:rFonts w:ascii="Arial" w:hAnsi="Arial" w:cs="Arial"/>
          <w:sz w:val="22"/>
          <w:lang w:val="es-ES"/>
        </w:rPr>
        <w:t xml:space="preserve"> </w:t>
      </w:r>
      <w:r w:rsidR="000E5D20" w:rsidRPr="000E5D20">
        <w:rPr>
          <w:rFonts w:ascii="Arial" w:hAnsi="Arial" w:cs="Arial"/>
          <w:sz w:val="22"/>
          <w:lang w:val="es-ES"/>
        </w:rPr>
        <w:t>la norma a un evento no contemplado en ella</w:t>
      </w:r>
      <w:r>
        <w:rPr>
          <w:rFonts w:ascii="Arial" w:hAnsi="Arial" w:cs="Arial"/>
          <w:sz w:val="22"/>
          <w:lang w:val="es-ES"/>
        </w:rPr>
        <w:t xml:space="preserve"> conforme </w:t>
      </w:r>
      <w:r w:rsidR="000E5D20" w:rsidRPr="000E5D20">
        <w:rPr>
          <w:rFonts w:ascii="Arial" w:hAnsi="Arial" w:cs="Arial"/>
          <w:sz w:val="22"/>
          <w:lang w:val="es-ES"/>
        </w:rPr>
        <w:t xml:space="preserve">al principio de legalidad, es decir, a la voluntad del legislador de excluir o restringir solamente ciertas conductas previstas de manera explícita y taxativa en la misma ley. </w:t>
      </w:r>
    </w:p>
    <w:p w14:paraId="5CFF3AF5" w14:textId="121C7E32" w:rsidR="000E5D20" w:rsidRPr="000E5D20" w:rsidRDefault="000E5D20" w:rsidP="00F5168B">
      <w:pPr>
        <w:spacing w:after="0"/>
        <w:ind w:firstLine="709"/>
        <w:rPr>
          <w:rFonts w:ascii="Arial" w:hAnsi="Arial" w:cs="Arial"/>
          <w:sz w:val="22"/>
          <w:lang w:val="es-ES"/>
        </w:rPr>
      </w:pPr>
      <w:r w:rsidRPr="000E5D20">
        <w:rPr>
          <w:rFonts w:ascii="Arial" w:hAnsi="Arial" w:cs="Arial"/>
          <w:sz w:val="22"/>
          <w:lang w:val="es-ES"/>
        </w:rPr>
        <w:t xml:space="preserve">Con todo lo anterior, es de suma importancia resaltar que el uso de analogías </w:t>
      </w:r>
      <w:r w:rsidR="00016D2C">
        <w:rPr>
          <w:rFonts w:ascii="Arial" w:hAnsi="Arial" w:cs="Arial"/>
          <w:sz w:val="22"/>
          <w:lang w:val="es-ES"/>
        </w:rPr>
        <w:t xml:space="preserve">es diferente </w:t>
      </w:r>
      <w:r w:rsidRPr="000E5D20">
        <w:rPr>
          <w:rFonts w:ascii="Arial" w:hAnsi="Arial" w:cs="Arial"/>
          <w:sz w:val="22"/>
          <w:lang w:val="es-ES"/>
        </w:rPr>
        <w:t>de aplicar la prohibición a un concepto efectivamente contemplado en la norma, pero cuyo alcance deberá determinarse por vía de interpretación del texto estudiado</w:t>
      </w:r>
      <w:r w:rsidR="009972C4">
        <w:rPr>
          <w:rFonts w:ascii="Arial" w:hAnsi="Arial" w:cs="Arial"/>
          <w:sz w:val="22"/>
          <w:lang w:val="es-ES"/>
        </w:rPr>
        <w:t>. Esto también</w:t>
      </w:r>
      <w:r w:rsidR="00016D2C">
        <w:rPr>
          <w:rFonts w:ascii="Arial" w:hAnsi="Arial" w:cs="Arial"/>
          <w:sz w:val="22"/>
          <w:lang w:val="es-ES"/>
        </w:rPr>
        <w:t xml:space="preserve"> se predica respecto de </w:t>
      </w:r>
      <w:r w:rsidR="009972C4">
        <w:rPr>
          <w:rFonts w:ascii="Arial" w:hAnsi="Arial" w:cs="Arial"/>
          <w:sz w:val="22"/>
          <w:lang w:val="es-ES"/>
        </w:rPr>
        <w:t>las</w:t>
      </w:r>
      <w:r w:rsidR="00234E62">
        <w:rPr>
          <w:rFonts w:ascii="Arial" w:hAnsi="Arial" w:cs="Arial"/>
          <w:sz w:val="22"/>
          <w:lang w:val="es-ES"/>
        </w:rPr>
        <w:t xml:space="preserve"> excepciones, que</w:t>
      </w:r>
      <w:r w:rsidR="00016D2C">
        <w:rPr>
          <w:rFonts w:ascii="Arial" w:hAnsi="Arial" w:cs="Arial"/>
          <w:sz w:val="22"/>
          <w:lang w:val="es-ES"/>
        </w:rPr>
        <w:t>,</w:t>
      </w:r>
      <w:r w:rsidR="00234E62">
        <w:rPr>
          <w:rFonts w:ascii="Arial" w:hAnsi="Arial" w:cs="Arial"/>
          <w:sz w:val="22"/>
          <w:lang w:val="es-ES"/>
        </w:rPr>
        <w:t xml:space="preserve"> como tales, no son prohibiciones sino habilitaciones </w:t>
      </w:r>
      <w:r w:rsidR="00457B0A">
        <w:rPr>
          <w:rFonts w:ascii="Arial" w:hAnsi="Arial" w:cs="Arial"/>
          <w:sz w:val="22"/>
          <w:lang w:val="es-ES"/>
        </w:rPr>
        <w:t xml:space="preserve">o autorizaciones </w:t>
      </w:r>
      <w:r w:rsidR="00234E62">
        <w:rPr>
          <w:rFonts w:ascii="Arial" w:hAnsi="Arial" w:cs="Arial"/>
          <w:sz w:val="22"/>
          <w:lang w:val="es-ES"/>
        </w:rPr>
        <w:t>frente a estas.</w:t>
      </w:r>
      <w:r w:rsidRPr="000E5D20">
        <w:rPr>
          <w:rFonts w:ascii="Arial" w:hAnsi="Arial" w:cs="Arial"/>
          <w:sz w:val="22"/>
          <w:lang w:val="es-ES"/>
        </w:rPr>
        <w:t xml:space="preserve"> </w:t>
      </w:r>
      <w:r w:rsidR="00F5168B">
        <w:rPr>
          <w:rFonts w:ascii="Arial" w:hAnsi="Arial" w:cs="Arial"/>
          <w:sz w:val="22"/>
          <w:lang w:val="es-ES"/>
        </w:rPr>
        <w:t>Es decir, l</w:t>
      </w:r>
      <w:r w:rsidR="00F5168B" w:rsidRPr="00F5168B">
        <w:rPr>
          <w:rFonts w:ascii="Arial" w:hAnsi="Arial" w:cs="Arial"/>
          <w:sz w:val="22"/>
          <w:lang w:val="es-ES"/>
        </w:rPr>
        <w:t xml:space="preserve">as normas que establecen excepciones pueden ser objeto de interpretación extensiva pero no de aplicación analógica. </w:t>
      </w:r>
      <w:bookmarkEnd w:id="32"/>
      <w:r w:rsidRPr="000E5D20">
        <w:rPr>
          <w:rFonts w:ascii="Arial" w:hAnsi="Arial" w:cs="Arial"/>
          <w:sz w:val="22"/>
          <w:lang w:val="es-ES"/>
        </w:rPr>
        <w:t>De esta manera lo ha entendido el Consejo de Estado</w:t>
      </w:r>
      <w:r w:rsidR="009041A8">
        <w:rPr>
          <w:rFonts w:ascii="Arial" w:hAnsi="Arial" w:cs="Arial"/>
          <w:sz w:val="22"/>
          <w:lang w:val="es-ES"/>
        </w:rPr>
        <w:t xml:space="preserve"> al </w:t>
      </w:r>
      <w:r w:rsidR="009972C4">
        <w:rPr>
          <w:rFonts w:ascii="Arial" w:hAnsi="Arial" w:cs="Arial"/>
          <w:sz w:val="22"/>
          <w:lang w:val="es-ES"/>
        </w:rPr>
        <w:t>explicar lo siguiente</w:t>
      </w:r>
      <w:r w:rsidRPr="000E5D20">
        <w:rPr>
          <w:rFonts w:ascii="Arial" w:hAnsi="Arial" w:cs="Arial"/>
          <w:sz w:val="22"/>
          <w:lang w:val="es-ES"/>
        </w:rPr>
        <w:t>:</w:t>
      </w:r>
      <w:r w:rsidR="009041A8" w:rsidRPr="009041A8">
        <w:rPr>
          <w:rStyle w:val="Refdenotaalpie"/>
          <w:rFonts w:ascii="Arial" w:hAnsi="Arial" w:cs="Arial"/>
          <w:lang w:val="es-CO"/>
        </w:rPr>
        <w:t xml:space="preserve"> </w:t>
      </w:r>
    </w:p>
    <w:p w14:paraId="4685A6D0" w14:textId="77777777" w:rsidR="000E5D20" w:rsidRPr="000E5D20" w:rsidRDefault="000E5D20" w:rsidP="00090501">
      <w:pPr>
        <w:spacing w:after="0"/>
        <w:rPr>
          <w:rFonts w:ascii="Arial" w:hAnsi="Arial" w:cs="Arial"/>
          <w:sz w:val="22"/>
          <w:lang w:val="es-ES"/>
        </w:rPr>
      </w:pPr>
    </w:p>
    <w:p w14:paraId="69B6CCAC" w14:textId="6FAC2133" w:rsidR="000E5D20" w:rsidRPr="000E5D20" w:rsidRDefault="000E5D20" w:rsidP="00210E7F">
      <w:pPr>
        <w:spacing w:after="120" w:line="240" w:lineRule="auto"/>
        <w:ind w:left="709" w:right="709"/>
        <w:rPr>
          <w:rFonts w:ascii="Arial" w:hAnsi="Arial" w:cs="Arial"/>
          <w:sz w:val="21"/>
          <w:szCs w:val="21"/>
        </w:rPr>
      </w:pPr>
      <w:r w:rsidRPr="000E5D20">
        <w:rPr>
          <w:rFonts w:ascii="Arial" w:hAnsi="Arial" w:cs="Arial"/>
          <w:sz w:val="21"/>
          <w:szCs w:val="21"/>
        </w:rPr>
        <w:t>Al efecto cabe precisar que la aplicación de la ley al caso regulado por ella, mediante su interpretación, difiere sustancialmente de aplicar la ley a un evento no previsto en la norma.</w:t>
      </w:r>
      <w:r w:rsidRPr="000E5D20">
        <w:rPr>
          <w:rFonts w:ascii="Arial" w:hAnsi="Arial" w:cs="Arial"/>
          <w:sz w:val="21"/>
          <w:szCs w:val="21"/>
          <w:lang w:val="es-ES"/>
        </w:rPr>
        <w:t xml:space="preserve"> </w:t>
      </w:r>
      <w:r w:rsidRPr="000E5D20">
        <w:rPr>
          <w:rFonts w:ascii="Arial" w:hAnsi="Arial" w:cs="Arial"/>
          <w:sz w:val="21"/>
          <w:szCs w:val="21"/>
        </w:rPr>
        <w:t>La interpretación puede realizarse mediante diversos métodos, entre otros, por el exegético, sistemático, sociológico, teleológico o finalista, y en estos eventos la ley se aplica a un caso realmente contemplado en ella.</w:t>
      </w:r>
      <w:r w:rsidRPr="000E5D20">
        <w:rPr>
          <w:rFonts w:ascii="Arial" w:hAnsi="Arial" w:cs="Arial"/>
          <w:sz w:val="21"/>
          <w:szCs w:val="21"/>
          <w:lang w:val="es-ES"/>
        </w:rPr>
        <w:t xml:space="preserve"> </w:t>
      </w:r>
      <w:r w:rsidRPr="000E5D20">
        <w:rPr>
          <w:rFonts w:ascii="Arial" w:hAnsi="Arial" w:cs="Arial"/>
          <w:sz w:val="21"/>
          <w:szCs w:val="21"/>
        </w:rPr>
        <w:t>En cambio, la aplicación analógica de la ley supone la aplicación de la ley a un evento no previsto por el legislador.</w:t>
      </w:r>
    </w:p>
    <w:p w14:paraId="5E3FBF99" w14:textId="398288EE" w:rsidR="000E5D20" w:rsidRPr="000E5D20" w:rsidRDefault="000E5D20" w:rsidP="00210E7F">
      <w:pPr>
        <w:spacing w:after="120" w:line="240" w:lineRule="auto"/>
        <w:ind w:left="709" w:right="709"/>
        <w:rPr>
          <w:rFonts w:ascii="Arial" w:hAnsi="Arial" w:cs="Arial"/>
          <w:sz w:val="21"/>
          <w:szCs w:val="21"/>
        </w:rPr>
      </w:pPr>
      <w:r w:rsidRPr="000E5D20">
        <w:rPr>
          <w:rFonts w:ascii="Arial" w:hAnsi="Arial" w:cs="Arial"/>
          <w:sz w:val="21"/>
          <w:szCs w:val="21"/>
        </w:rPr>
        <w:t>De esta manera se tiene que cuando se aplica la ley a un evento regulado por ella, que fue determinado mediante la interpretación de la norma, no se está en presencia de la analogía legis, sino frente a la aplicación de la norma a un supuesto de hecho previsto en ella.</w:t>
      </w:r>
      <w:r w:rsidRPr="000E5D20">
        <w:rPr>
          <w:rFonts w:ascii="Arial" w:hAnsi="Arial" w:cs="Arial"/>
          <w:sz w:val="21"/>
          <w:szCs w:val="21"/>
          <w:lang w:val="es-ES"/>
        </w:rPr>
        <w:t xml:space="preserve"> </w:t>
      </w:r>
      <w:r w:rsidRPr="000E5D20">
        <w:rPr>
          <w:rFonts w:ascii="Arial" w:hAnsi="Arial" w:cs="Arial"/>
          <w:sz w:val="21"/>
          <w:szCs w:val="21"/>
        </w:rPr>
        <w:t>Las normas pueden interpretarse en forma sistemática o extensiva, lo cual no comporta la aplicación de la norma a casos no contemplados en ella.</w:t>
      </w:r>
      <w:r w:rsidRPr="000E5D20">
        <w:rPr>
          <w:rFonts w:ascii="Arial" w:hAnsi="Arial" w:cs="Arial"/>
          <w:sz w:val="21"/>
          <w:szCs w:val="21"/>
          <w:lang w:val="es-ES"/>
        </w:rPr>
        <w:t xml:space="preserve"> </w:t>
      </w:r>
      <w:r w:rsidRPr="000E5D20">
        <w:rPr>
          <w:rFonts w:ascii="Arial" w:hAnsi="Arial" w:cs="Arial"/>
          <w:sz w:val="21"/>
          <w:szCs w:val="21"/>
        </w:rPr>
        <w:t>En tratándose de inhabilidades, incompatibilidades o prohibiciones no es dable aplicar la ley que las establece por analogía, esto es, a eventos no previstos en ella, pero si es procedente interpretar la ley correspondiente, para determinar su contenido.</w:t>
      </w:r>
    </w:p>
    <w:p w14:paraId="58B33786" w14:textId="2B46ADE4" w:rsidR="000E5D20" w:rsidRPr="000E5D20" w:rsidRDefault="000E5D20" w:rsidP="00210E7F">
      <w:pPr>
        <w:spacing w:after="120" w:line="240" w:lineRule="auto"/>
        <w:ind w:left="709" w:right="709"/>
        <w:rPr>
          <w:rFonts w:ascii="Arial" w:hAnsi="Arial" w:cs="Arial"/>
          <w:sz w:val="21"/>
          <w:szCs w:val="21"/>
        </w:rPr>
      </w:pPr>
      <w:r w:rsidRPr="00210E7F">
        <w:rPr>
          <w:rFonts w:ascii="Arial" w:hAnsi="Arial" w:cs="Arial"/>
          <w:sz w:val="21"/>
          <w:szCs w:val="21"/>
        </w:rPr>
        <w:t xml:space="preserve">Dicho en otras palabras, </w:t>
      </w:r>
      <w:r w:rsidRPr="00210E7F">
        <w:rPr>
          <w:rFonts w:ascii="Arial" w:hAnsi="Arial" w:cs="Arial"/>
          <w:i/>
          <w:iCs/>
          <w:sz w:val="21"/>
          <w:szCs w:val="21"/>
        </w:rPr>
        <w:t xml:space="preserve">una norma que establece prohibiciones o limitaciones puede ser interpretada para su aplicación, pero no puede ser aplicada </w:t>
      </w:r>
      <w:r w:rsidRPr="00210E7F">
        <w:rPr>
          <w:rFonts w:ascii="Arial" w:hAnsi="Arial" w:cs="Arial"/>
          <w:i/>
          <w:iCs/>
          <w:sz w:val="21"/>
          <w:szCs w:val="21"/>
        </w:rPr>
        <w:lastRenderedPageBreak/>
        <w:t>analógicamente</w:t>
      </w:r>
      <w:r w:rsidRPr="00210E7F">
        <w:rPr>
          <w:rFonts w:ascii="Arial" w:hAnsi="Arial" w:cs="Arial"/>
          <w:sz w:val="21"/>
          <w:szCs w:val="21"/>
        </w:rPr>
        <w:t>.</w:t>
      </w:r>
      <w:r w:rsidRPr="000E5D20">
        <w:rPr>
          <w:rFonts w:ascii="Arial" w:hAnsi="Arial" w:cs="Arial"/>
          <w:sz w:val="21"/>
          <w:szCs w:val="21"/>
          <w:lang w:val="es-ES"/>
        </w:rPr>
        <w:t xml:space="preserve"> </w:t>
      </w:r>
      <w:r w:rsidR="006F5001" w:rsidRPr="006F5001">
        <w:rPr>
          <w:rFonts w:ascii="Arial" w:hAnsi="Arial" w:cs="Arial"/>
          <w:sz w:val="21"/>
          <w:szCs w:val="21"/>
          <w:lang w:val="es-ES"/>
        </w:rPr>
        <w:t>Esto significa que la interpretación finalista o teleológica, debe conducir al intérprete a cobijar aquellas situaciones que están ínsitas en el supuesto lógico de la norma.</w:t>
      </w:r>
      <w:r w:rsidR="006F5001" w:rsidRPr="006F5001" w:rsidDel="006F5001">
        <w:rPr>
          <w:rFonts w:ascii="Arial" w:hAnsi="Arial" w:cs="Arial"/>
          <w:sz w:val="21"/>
          <w:szCs w:val="21"/>
          <w:lang w:val="es-ES"/>
        </w:rPr>
        <w:t xml:space="preserve"> </w:t>
      </w:r>
      <w:r w:rsidRPr="000E5D20">
        <w:rPr>
          <w:rFonts w:ascii="Arial" w:hAnsi="Arial" w:cs="Arial"/>
          <w:sz w:val="21"/>
          <w:szCs w:val="21"/>
        </w:rPr>
        <w:t>Así lo precisó la Corte Suprema de Justicia, Sala de Casación Civil:</w:t>
      </w:r>
    </w:p>
    <w:p w14:paraId="6E65FE0C" w14:textId="55F28118" w:rsidR="000E5D20" w:rsidRPr="000E5D20" w:rsidRDefault="000E5D20" w:rsidP="00210E7F">
      <w:pPr>
        <w:spacing w:after="0" w:line="240" w:lineRule="auto"/>
        <w:ind w:left="709" w:right="709"/>
        <w:rPr>
          <w:rFonts w:ascii="Arial" w:hAnsi="Arial" w:cs="Arial"/>
          <w:sz w:val="21"/>
          <w:szCs w:val="21"/>
          <w:lang w:val="es-ES"/>
        </w:rPr>
      </w:pPr>
      <w:r w:rsidRPr="000E5D20">
        <w:rPr>
          <w:rFonts w:ascii="Arial" w:hAnsi="Arial" w:cs="Arial"/>
          <w:sz w:val="21"/>
          <w:szCs w:val="21"/>
        </w:rPr>
        <w:t>“</w:t>
      </w:r>
      <w:bookmarkStart w:id="33" w:name="_Hlk79339290"/>
      <w:r w:rsidRPr="00210E7F">
        <w:rPr>
          <w:rFonts w:ascii="Arial" w:hAnsi="Arial" w:cs="Arial"/>
          <w:i/>
          <w:iCs/>
          <w:sz w:val="21"/>
          <w:szCs w:val="21"/>
        </w:rPr>
        <w:t>Las normas que establecen excepciones pueden ser objeto de interpretación extensiva pero no de aplicación analógica. No repugna a la naturaleza de las normas excepcionales la interpretación extensiva, cuando aparece que la hipótesis cuestionada está incluida por modo claro, aunque implícito, en la misma norma</w:t>
      </w:r>
      <w:bookmarkEnd w:id="33"/>
      <w:r w:rsidRPr="000E5D20">
        <w:rPr>
          <w:rFonts w:ascii="Arial" w:hAnsi="Arial" w:cs="Arial"/>
          <w:sz w:val="21"/>
          <w:szCs w:val="21"/>
        </w:rPr>
        <w:t>. Pero la aplicación por analogía es de todo punto inadmisible en materia de textos que regulan casos de excepción, porque entonces se busca incluir en la norma excepcional supuestos de hecho claramente situados fuera de su órbita, con criterio que se funda en la identidad de razón jurídica para dar el mismo tratamiento a situaciones fundamentalmente semejantes, cuando se trata de colmar vacíos (203, 204, Código Judicial), o de que no haya ley exactamente aplicable al caso controvertido, para organizar derecho a la luz de la doctrina (8º, L. 153/887), mas no cuando la ley prevé y regula todas las hipótesis de manera general, y sólo por excepción sustrae determinados supuestos de su invariable imperio. No queda vacío alguno por llenar y el criterio de analogía permanece entonces fuera del elenco</w:t>
      </w:r>
      <w:r w:rsidRPr="000E5D20">
        <w:rPr>
          <w:rFonts w:ascii="Arial" w:hAnsi="Arial" w:cs="Arial"/>
          <w:sz w:val="21"/>
          <w:szCs w:val="21"/>
          <w:lang w:val="es-ES"/>
        </w:rPr>
        <w:t>”</w:t>
      </w:r>
      <w:r w:rsidRPr="000E5D20">
        <w:rPr>
          <w:rStyle w:val="Refdenotaalpie"/>
          <w:rFonts w:ascii="Arial" w:hAnsi="Arial" w:cs="Arial"/>
          <w:sz w:val="21"/>
          <w:szCs w:val="21"/>
          <w:lang w:val="es-ES"/>
        </w:rPr>
        <w:footnoteReference w:id="20"/>
      </w:r>
      <w:r w:rsidR="009041A8">
        <w:rPr>
          <w:rFonts w:ascii="Arial" w:hAnsi="Arial" w:cs="Arial"/>
          <w:sz w:val="21"/>
          <w:szCs w:val="21"/>
          <w:lang w:val="es-ES"/>
        </w:rPr>
        <w:t>.</w:t>
      </w:r>
      <w:r w:rsidRPr="000E5D20">
        <w:rPr>
          <w:rFonts w:ascii="Arial" w:hAnsi="Arial" w:cs="Arial"/>
          <w:sz w:val="21"/>
          <w:szCs w:val="21"/>
          <w:lang w:val="es-ES"/>
        </w:rPr>
        <w:t xml:space="preserve"> (</w:t>
      </w:r>
      <w:r w:rsidR="006F5001">
        <w:rPr>
          <w:rFonts w:ascii="Arial" w:hAnsi="Arial" w:cs="Arial"/>
          <w:sz w:val="21"/>
          <w:szCs w:val="21"/>
          <w:lang w:val="es-ES"/>
        </w:rPr>
        <w:t>Énfasis</w:t>
      </w:r>
      <w:r w:rsidR="006F5001" w:rsidRPr="000E5D20">
        <w:rPr>
          <w:rFonts w:ascii="Arial" w:hAnsi="Arial" w:cs="Arial"/>
          <w:sz w:val="21"/>
          <w:szCs w:val="21"/>
          <w:lang w:val="es-ES"/>
        </w:rPr>
        <w:t xml:space="preserve"> </w:t>
      </w:r>
      <w:r w:rsidRPr="000E5D20">
        <w:rPr>
          <w:rFonts w:ascii="Arial" w:hAnsi="Arial" w:cs="Arial"/>
          <w:sz w:val="21"/>
          <w:szCs w:val="21"/>
          <w:lang w:val="es-ES"/>
        </w:rPr>
        <w:t>fuera de texto)</w:t>
      </w:r>
    </w:p>
    <w:p w14:paraId="59D0018D" w14:textId="77777777" w:rsidR="000E5D20" w:rsidRPr="000E5D20" w:rsidRDefault="000E5D20" w:rsidP="00090501">
      <w:pPr>
        <w:spacing w:after="0"/>
        <w:rPr>
          <w:rFonts w:ascii="Arial" w:hAnsi="Arial" w:cs="Arial"/>
          <w:sz w:val="22"/>
        </w:rPr>
      </w:pPr>
    </w:p>
    <w:p w14:paraId="45C2FA62" w14:textId="0F62C71A" w:rsidR="000E5D20" w:rsidRPr="000E5D20" w:rsidRDefault="006F5001">
      <w:pPr>
        <w:spacing w:after="0"/>
        <w:ind w:firstLine="709"/>
        <w:rPr>
          <w:rFonts w:ascii="Arial" w:hAnsi="Arial" w:cs="Arial"/>
          <w:sz w:val="22"/>
          <w:lang w:val="es-ES"/>
        </w:rPr>
      </w:pPr>
      <w:r>
        <w:rPr>
          <w:rFonts w:ascii="Arial" w:hAnsi="Arial" w:cs="Arial"/>
          <w:sz w:val="22"/>
          <w:lang w:val="es-ES"/>
        </w:rPr>
        <w:t>C</w:t>
      </w:r>
      <w:r w:rsidR="000E5D20" w:rsidRPr="000E5D20">
        <w:rPr>
          <w:rFonts w:ascii="Arial" w:hAnsi="Arial" w:cs="Arial"/>
          <w:sz w:val="22"/>
          <w:lang w:val="es-ES"/>
        </w:rPr>
        <w:t xml:space="preserve">abe aclarar que el </w:t>
      </w:r>
      <w:r w:rsidR="009041A8">
        <w:rPr>
          <w:rFonts w:ascii="Arial" w:hAnsi="Arial" w:cs="Arial"/>
          <w:sz w:val="22"/>
          <w:lang w:val="es-ES"/>
        </w:rPr>
        <w:t>Consejo de Estado</w:t>
      </w:r>
      <w:r w:rsidR="000E5D20" w:rsidRPr="000E5D20">
        <w:rPr>
          <w:rFonts w:ascii="Arial" w:hAnsi="Arial" w:cs="Arial"/>
          <w:sz w:val="22"/>
          <w:lang w:val="es-ES"/>
        </w:rPr>
        <w:t xml:space="preserve"> ya ha tenido la oportunidad de pronunciarse sobre otras excepciones contenidas en el artículo 33, particularmente, sobre aquella relacionada con actividades de defensa y seguridad. Concluyó que estos son conceptos amplios, cambiantes, indeterminados y relativos, que cubren operaciones conexas relacionadas con el orden público, la convivencia pacífica y la protección de derechos y libertades individuales</w:t>
      </w:r>
      <w:r w:rsidR="000E5D20" w:rsidRPr="000E5D20">
        <w:rPr>
          <w:rStyle w:val="Refdenotaalpie"/>
          <w:rFonts w:ascii="Arial" w:hAnsi="Arial" w:cs="Arial"/>
          <w:sz w:val="22"/>
          <w:lang w:val="es-ES"/>
        </w:rPr>
        <w:footnoteReference w:id="21"/>
      </w:r>
      <w:r w:rsidR="000E5D20" w:rsidRPr="000E5D20">
        <w:rPr>
          <w:rFonts w:ascii="Arial" w:hAnsi="Arial" w:cs="Arial"/>
          <w:sz w:val="22"/>
          <w:lang w:val="es-ES"/>
        </w:rPr>
        <w:t xml:space="preserve">. </w:t>
      </w:r>
      <w:r w:rsidR="00F539C1">
        <w:rPr>
          <w:rFonts w:ascii="Arial" w:hAnsi="Arial" w:cs="Arial"/>
          <w:sz w:val="22"/>
          <w:lang w:val="es-ES"/>
        </w:rPr>
        <w:t>Además</w:t>
      </w:r>
      <w:r w:rsidR="000E5D20" w:rsidRPr="000E5D20">
        <w:rPr>
          <w:rFonts w:ascii="Arial" w:hAnsi="Arial" w:cs="Arial"/>
          <w:sz w:val="22"/>
          <w:lang w:val="es-ES"/>
        </w:rPr>
        <w:t>, la Corte Constitucional también fue clara estableciendo la razón de ser de la prohibición impuesta para la contratación directa en el artículo 33 y de sus excepciones:</w:t>
      </w:r>
    </w:p>
    <w:p w14:paraId="640C6D7F" w14:textId="77777777" w:rsidR="000E5D20" w:rsidRPr="000E5D20" w:rsidRDefault="000E5D20" w:rsidP="00090501">
      <w:pPr>
        <w:spacing w:after="0"/>
        <w:rPr>
          <w:rFonts w:ascii="Arial" w:hAnsi="Arial" w:cs="Arial"/>
          <w:sz w:val="22"/>
          <w:lang w:val="es-ES"/>
        </w:rPr>
      </w:pPr>
    </w:p>
    <w:p w14:paraId="4BD1908E" w14:textId="5B7CE558" w:rsidR="000E5D20" w:rsidRPr="00210E7F" w:rsidRDefault="000E5D20" w:rsidP="00210E7F">
      <w:pPr>
        <w:pStyle w:val="Prrafodelista"/>
        <w:spacing w:after="0" w:line="240" w:lineRule="auto"/>
        <w:ind w:left="709" w:right="709"/>
        <w:rPr>
          <w:rFonts w:ascii="Arial" w:hAnsi="Arial" w:cs="Arial"/>
          <w:sz w:val="21"/>
          <w:szCs w:val="21"/>
        </w:rPr>
      </w:pPr>
      <w:r w:rsidRPr="000E5D20">
        <w:rPr>
          <w:rFonts w:ascii="Arial" w:hAnsi="Arial" w:cs="Arial"/>
          <w:sz w:val="21"/>
          <w:szCs w:val="21"/>
          <w:lang w:val="es-CO"/>
        </w:rPr>
        <w:t xml:space="preserve">Ahora, si bien la limitación garantiza la igualdad de condiciones, también </w:t>
      </w:r>
      <w:r w:rsidRPr="00210E7F">
        <w:rPr>
          <w:rFonts w:ascii="Arial" w:hAnsi="Arial" w:cs="Arial"/>
          <w:i/>
          <w:iCs/>
          <w:sz w:val="21"/>
          <w:szCs w:val="21"/>
          <w:lang w:val="es-CO"/>
        </w:rPr>
        <w:t>es necesario que tal limitación que pretende la igualdad no termine yendo en detrimento de intereses públicos cuya garantía está en cabeza del ejecutivo, como son los inmersos en las excepciones para la prohibición de contratación</w:t>
      </w:r>
      <w:r w:rsidRPr="00210E7F">
        <w:rPr>
          <w:rFonts w:ascii="Arial" w:hAnsi="Arial" w:cs="Arial"/>
          <w:sz w:val="21"/>
          <w:szCs w:val="21"/>
          <w:lang w:val="es-CO"/>
        </w:rPr>
        <w:t>.</w:t>
      </w:r>
    </w:p>
    <w:p w14:paraId="41A3753F" w14:textId="77777777" w:rsidR="000E5D20" w:rsidRPr="00210E7F" w:rsidRDefault="000E5D20" w:rsidP="00210E7F">
      <w:pPr>
        <w:spacing w:after="0" w:line="240" w:lineRule="auto"/>
        <w:ind w:right="709"/>
        <w:rPr>
          <w:rFonts w:ascii="Arial" w:hAnsi="Arial" w:cs="Arial"/>
          <w:sz w:val="12"/>
          <w:szCs w:val="12"/>
        </w:rPr>
      </w:pPr>
    </w:p>
    <w:p w14:paraId="36D5CDAD" w14:textId="37769918" w:rsidR="000E5D20" w:rsidRPr="000E5D20" w:rsidRDefault="000E5D20" w:rsidP="00210E7F">
      <w:pPr>
        <w:pStyle w:val="Prrafodelista"/>
        <w:spacing w:after="0" w:line="240" w:lineRule="auto"/>
        <w:ind w:left="709" w:right="709"/>
        <w:rPr>
          <w:rFonts w:ascii="Arial" w:hAnsi="Arial" w:cs="Arial"/>
          <w:sz w:val="21"/>
          <w:szCs w:val="21"/>
          <w:lang w:val="es-CO"/>
        </w:rPr>
      </w:pPr>
      <w:r w:rsidRPr="000E5D20">
        <w:rPr>
          <w:rFonts w:ascii="Arial" w:hAnsi="Arial" w:cs="Arial"/>
          <w:sz w:val="21"/>
          <w:szCs w:val="21"/>
          <w:lang w:val="es-CO"/>
        </w:rPr>
        <w:t xml:space="preserve">En efecto,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 Por su parte, </w:t>
      </w:r>
      <w:r w:rsidRPr="00210E7F">
        <w:rPr>
          <w:rFonts w:ascii="Arial" w:hAnsi="Arial" w:cs="Arial"/>
          <w:i/>
          <w:iCs/>
          <w:sz w:val="21"/>
          <w:szCs w:val="21"/>
          <w:lang w:val="es-CO"/>
        </w:rPr>
        <w:t>la no restricción en la celebración de contratos de crédito público es razonable, pues le permite al Estado mantener la estabilidad fiscal toda vez que tanto el endeudamiento interno como el externo permiten conseguir los recursos necesarios para el pleno cubrimiento de las previsiones presupuestales</w:t>
      </w:r>
      <w:r w:rsidRPr="000E5D20">
        <w:rPr>
          <w:rFonts w:ascii="Arial" w:hAnsi="Arial" w:cs="Arial"/>
          <w:sz w:val="21"/>
          <w:szCs w:val="21"/>
          <w:lang w:val="es-CO"/>
        </w:rPr>
        <w:t>.</w:t>
      </w:r>
      <w:r w:rsidRPr="000E5D20">
        <w:rPr>
          <w:rStyle w:val="Refdenotaalpie"/>
          <w:rFonts w:ascii="Arial" w:hAnsi="Arial" w:cs="Arial"/>
          <w:sz w:val="21"/>
          <w:szCs w:val="21"/>
          <w:lang w:val="es-CO"/>
        </w:rPr>
        <w:footnoteReference w:id="22"/>
      </w:r>
      <w:r w:rsidRPr="000E5D20">
        <w:rPr>
          <w:rFonts w:ascii="Arial" w:hAnsi="Arial" w:cs="Arial"/>
          <w:sz w:val="21"/>
          <w:szCs w:val="21"/>
          <w:lang w:val="es-CO"/>
        </w:rPr>
        <w:t xml:space="preserve"> (</w:t>
      </w:r>
      <w:r w:rsidR="00F539C1">
        <w:rPr>
          <w:rFonts w:ascii="Arial" w:hAnsi="Arial" w:cs="Arial"/>
          <w:sz w:val="21"/>
          <w:szCs w:val="21"/>
          <w:lang w:val="es-ES"/>
        </w:rPr>
        <w:t>Énfasis</w:t>
      </w:r>
      <w:r w:rsidR="00F539C1" w:rsidRPr="000E5D20">
        <w:rPr>
          <w:rFonts w:ascii="Arial" w:hAnsi="Arial" w:cs="Arial"/>
          <w:sz w:val="21"/>
          <w:szCs w:val="21"/>
          <w:lang w:val="es-ES"/>
        </w:rPr>
        <w:t xml:space="preserve"> fuera de texto</w:t>
      </w:r>
      <w:r w:rsidRPr="000E5D20">
        <w:rPr>
          <w:rFonts w:ascii="Arial" w:hAnsi="Arial" w:cs="Arial"/>
          <w:sz w:val="21"/>
          <w:szCs w:val="21"/>
          <w:lang w:val="es-CO"/>
        </w:rPr>
        <w:t>)</w:t>
      </w:r>
    </w:p>
    <w:p w14:paraId="43402CE1" w14:textId="77777777" w:rsidR="000E5D20" w:rsidRPr="000E5D20" w:rsidRDefault="000E5D20" w:rsidP="00090501">
      <w:pPr>
        <w:spacing w:after="0"/>
        <w:rPr>
          <w:rFonts w:ascii="Arial" w:hAnsi="Arial" w:cs="Arial"/>
          <w:sz w:val="22"/>
          <w:lang w:val="es-CO"/>
        </w:rPr>
      </w:pPr>
    </w:p>
    <w:p w14:paraId="10069513" w14:textId="3BF10A64" w:rsidR="000E5D20" w:rsidRDefault="000E5D20" w:rsidP="00210E7F">
      <w:pPr>
        <w:spacing w:after="120"/>
        <w:ind w:firstLine="709"/>
        <w:rPr>
          <w:rFonts w:ascii="Arial" w:eastAsia="Times New Roman" w:hAnsi="Arial" w:cs="Arial"/>
          <w:bCs/>
          <w:sz w:val="22"/>
          <w:lang w:eastAsia="es-CO"/>
        </w:rPr>
      </w:pPr>
      <w:r w:rsidRPr="000E5D20">
        <w:rPr>
          <w:rFonts w:ascii="Arial" w:hAnsi="Arial" w:cs="Arial"/>
          <w:sz w:val="22"/>
          <w:lang w:val="es-ES"/>
        </w:rPr>
        <w:t>En línea con lo anterior, la Agencia ha sido enfática en el deber que tienen las entidades estatales de evaluar cuidadosamente la naturaleza de las actividades que se proponen adelantar, para determinar si estas encajan en las excepciones para contratar directamente durante los cuatro meses antes a la elección presidencial. Ello con la finalidad de lograr un equilibrio entre la igualdad de condiciones de los candidatos electorales y los intereses públicos de los que habla la Corte, evitando causar un agravio desproporcionado a ciertas actividades estatales fundamentales que no pueden paralizarse.</w:t>
      </w:r>
      <w:r w:rsidR="00F539C1">
        <w:rPr>
          <w:rFonts w:ascii="Arial" w:hAnsi="Arial" w:cs="Arial"/>
          <w:sz w:val="22"/>
          <w:lang w:val="es-ES"/>
        </w:rPr>
        <w:t xml:space="preserve"> </w:t>
      </w:r>
      <w:r w:rsidR="007037C1">
        <w:rPr>
          <w:rFonts w:ascii="Arial" w:eastAsia="Times New Roman" w:hAnsi="Arial" w:cs="Arial"/>
          <w:bCs/>
          <w:sz w:val="22"/>
          <w:lang w:eastAsia="es-CO"/>
        </w:rPr>
        <w:t>Por tanto, e</w:t>
      </w:r>
      <w:r w:rsidR="00F539C1">
        <w:rPr>
          <w:rFonts w:ascii="Arial" w:eastAsia="Times New Roman" w:hAnsi="Arial" w:cs="Arial"/>
          <w:bCs/>
          <w:sz w:val="22"/>
          <w:lang w:eastAsia="es-CO"/>
        </w:rPr>
        <w:t>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EB9B0C4" w14:textId="7DD88DA0" w:rsidR="007037C1" w:rsidRPr="000E5D20" w:rsidRDefault="007037C1" w:rsidP="00210E7F">
      <w:pPr>
        <w:spacing w:after="0"/>
        <w:ind w:firstLine="708"/>
        <w:rPr>
          <w:rFonts w:ascii="Arial" w:hAnsi="Arial" w:cs="Arial"/>
          <w:sz w:val="22"/>
          <w:lang w:val="es-ES"/>
        </w:rPr>
      </w:pPr>
      <w:r w:rsidRPr="000E5D20">
        <w:rPr>
          <w:rFonts w:ascii="Arial" w:hAnsi="Arial" w:cs="Arial"/>
          <w:sz w:val="22"/>
          <w:lang w:val="es-ES"/>
        </w:rPr>
        <w:t>Con el propósito de emprender un análisis sobre el tipo de operaciones a las que hace referencia la consulta elevada, se revisará el marco jurídico aplicable tanto a los contratos de crédito público, como a sus operaciones conexas, es decir, sus definiciones, vehículos contractuales aplicables y formas de contratación fijadas por la ley.</w:t>
      </w:r>
      <w:r>
        <w:rPr>
          <w:rFonts w:ascii="Arial" w:hAnsi="Arial" w:cs="Arial"/>
          <w:sz w:val="22"/>
          <w:lang w:val="es-ES"/>
        </w:rPr>
        <w:t xml:space="preserve"> Este punto se abordará en el próximo acápite.</w:t>
      </w:r>
    </w:p>
    <w:p w14:paraId="6791AB81" w14:textId="77777777" w:rsidR="000E5D20" w:rsidRPr="000E5D20" w:rsidRDefault="000E5D20" w:rsidP="00210E7F">
      <w:pPr>
        <w:spacing w:after="0"/>
        <w:rPr>
          <w:rFonts w:ascii="Arial" w:hAnsi="Arial" w:cs="Arial"/>
          <w:sz w:val="22"/>
          <w:lang w:val="es-ES"/>
        </w:rPr>
      </w:pPr>
    </w:p>
    <w:p w14:paraId="217E2B26" w14:textId="28AB2F09" w:rsidR="000E5D20" w:rsidRPr="00090501" w:rsidRDefault="003F7CE9" w:rsidP="00090501">
      <w:pPr>
        <w:spacing w:after="0"/>
        <w:rPr>
          <w:rFonts w:ascii="Arial" w:hAnsi="Arial" w:cs="Arial"/>
          <w:b/>
          <w:bCs/>
          <w:sz w:val="22"/>
          <w:lang w:val="es-ES"/>
        </w:rPr>
      </w:pPr>
      <w:r>
        <w:rPr>
          <w:rFonts w:ascii="Arial" w:hAnsi="Arial" w:cs="Arial"/>
          <w:b/>
          <w:bCs/>
          <w:sz w:val="22"/>
          <w:lang w:val="es-ES"/>
        </w:rPr>
        <w:t>2.</w:t>
      </w:r>
      <w:r w:rsidR="009434DB">
        <w:rPr>
          <w:rFonts w:ascii="Arial" w:hAnsi="Arial" w:cs="Arial"/>
          <w:b/>
          <w:bCs/>
          <w:sz w:val="22"/>
          <w:lang w:val="es-ES"/>
        </w:rPr>
        <w:t>3</w:t>
      </w:r>
      <w:r>
        <w:rPr>
          <w:rFonts w:ascii="Arial" w:hAnsi="Arial" w:cs="Arial"/>
          <w:b/>
          <w:bCs/>
          <w:sz w:val="22"/>
          <w:lang w:val="es-ES"/>
        </w:rPr>
        <w:t>.</w:t>
      </w:r>
      <w:r w:rsidR="007037C1">
        <w:rPr>
          <w:rFonts w:ascii="Arial" w:hAnsi="Arial" w:cs="Arial"/>
          <w:b/>
          <w:bCs/>
          <w:sz w:val="22"/>
          <w:lang w:val="es-ES"/>
        </w:rPr>
        <w:t xml:space="preserve"> </w:t>
      </w:r>
      <w:r w:rsidR="000E5D20" w:rsidRPr="00090501">
        <w:rPr>
          <w:rFonts w:ascii="Arial" w:hAnsi="Arial" w:cs="Arial"/>
          <w:b/>
          <w:bCs/>
          <w:sz w:val="22"/>
          <w:lang w:val="es-ES"/>
        </w:rPr>
        <w:t>Naturaleza y regulación normativa de las operaciones de crédito público y de sus operaciones conexas</w:t>
      </w:r>
      <w:r w:rsidR="001D58DF">
        <w:rPr>
          <w:rFonts w:ascii="Arial" w:hAnsi="Arial" w:cs="Arial"/>
          <w:b/>
          <w:bCs/>
          <w:sz w:val="22"/>
          <w:lang w:val="es-ES"/>
        </w:rPr>
        <w:t xml:space="preserve"> en relación con el alcance de la Ley de Garantías </w:t>
      </w:r>
    </w:p>
    <w:p w14:paraId="004A02DC" w14:textId="77777777" w:rsidR="000E5D20" w:rsidRPr="000E5D20" w:rsidRDefault="000E5D20" w:rsidP="00090501">
      <w:pPr>
        <w:spacing w:after="0"/>
        <w:rPr>
          <w:rFonts w:ascii="Arial" w:hAnsi="Arial" w:cs="Arial"/>
          <w:b/>
          <w:bCs/>
          <w:sz w:val="22"/>
          <w:lang w:val="es-ES"/>
        </w:rPr>
      </w:pPr>
    </w:p>
    <w:p w14:paraId="43096C96" w14:textId="75815873" w:rsidR="000E5D20" w:rsidRPr="00B802EC" w:rsidRDefault="000E5D20" w:rsidP="00210E7F">
      <w:pPr>
        <w:spacing w:after="120"/>
        <w:rPr>
          <w:rFonts w:ascii="Arial" w:hAnsi="Arial" w:cs="Arial"/>
          <w:sz w:val="22"/>
          <w:lang w:val="es-ES"/>
        </w:rPr>
      </w:pPr>
      <w:r w:rsidRPr="000E5D20">
        <w:rPr>
          <w:rFonts w:ascii="Arial" w:hAnsi="Arial" w:cs="Arial"/>
          <w:sz w:val="22"/>
          <w:lang w:val="es-ES"/>
        </w:rPr>
        <w:lastRenderedPageBreak/>
        <w:t>La Ley 80 de 1993, en el parágrafo segundo de</w:t>
      </w:r>
      <w:r w:rsidR="007037C1">
        <w:rPr>
          <w:rFonts w:ascii="Arial" w:hAnsi="Arial" w:cs="Arial"/>
          <w:sz w:val="22"/>
          <w:lang w:val="es-ES"/>
        </w:rPr>
        <w:t>l</w:t>
      </w:r>
      <w:r w:rsidR="002250E0">
        <w:rPr>
          <w:rFonts w:ascii="Arial" w:hAnsi="Arial" w:cs="Arial"/>
          <w:sz w:val="22"/>
          <w:lang w:val="es-ES"/>
        </w:rPr>
        <w:t xml:space="preserve"> </w:t>
      </w:r>
      <w:r w:rsidRPr="000E5D20">
        <w:rPr>
          <w:rFonts w:ascii="Arial" w:hAnsi="Arial" w:cs="Arial"/>
          <w:sz w:val="22"/>
          <w:lang w:val="es-ES"/>
        </w:rPr>
        <w:t xml:space="preserve">artículo 41, definió </w:t>
      </w:r>
      <w:r w:rsidR="002250E0">
        <w:rPr>
          <w:rFonts w:ascii="Arial" w:hAnsi="Arial" w:cs="Arial"/>
          <w:sz w:val="22"/>
          <w:lang w:val="es-ES"/>
        </w:rPr>
        <w:t xml:space="preserve">a </w:t>
      </w:r>
      <w:r w:rsidRPr="000E5D20">
        <w:rPr>
          <w:rFonts w:ascii="Arial" w:hAnsi="Arial" w:cs="Arial"/>
          <w:sz w:val="22"/>
          <w:lang w:val="es-ES"/>
        </w:rPr>
        <w:t>las operaciones de crédito público</w:t>
      </w:r>
      <w:r w:rsidR="002250E0">
        <w:rPr>
          <w:rFonts w:ascii="Arial" w:hAnsi="Arial" w:cs="Arial"/>
          <w:sz w:val="22"/>
          <w:lang w:val="es-ES"/>
        </w:rPr>
        <w:t xml:space="preserve"> </w:t>
      </w:r>
      <w:r w:rsidR="00B802EC">
        <w:rPr>
          <w:rFonts w:ascii="Arial" w:hAnsi="Arial" w:cs="Arial"/>
          <w:sz w:val="22"/>
          <w:lang w:val="es-ES"/>
        </w:rPr>
        <w:t xml:space="preserve">como aquellas que </w:t>
      </w:r>
      <w:r w:rsidR="007037C1">
        <w:rPr>
          <w:rFonts w:ascii="Arial" w:hAnsi="Arial" w:cs="Arial"/>
          <w:sz w:val="22"/>
          <w:lang w:val="es-ES"/>
        </w:rPr>
        <w:t>«</w:t>
      </w:r>
      <w:r w:rsidR="005F1822">
        <w:rPr>
          <w:rFonts w:ascii="Arial" w:hAnsi="Arial" w:cs="Arial"/>
          <w:sz w:val="22"/>
          <w:lang w:val="es-ES"/>
        </w:rPr>
        <w:t xml:space="preserve">[…] </w:t>
      </w:r>
      <w:r w:rsidRPr="00B802EC">
        <w:rPr>
          <w:rFonts w:ascii="Arial" w:hAnsi="Arial" w:cs="Arial"/>
          <w:sz w:val="22"/>
          <w:lang w:val="es-ES"/>
        </w:rPr>
        <w:t>tienen por objeto dotar a la entidad de recursos con plazo para su pago, entre las que se encuentran la contratación de empréstitos, la emisión, suscripción y colocación de bonos y títulos valores, los créditos de proveedores y el otorgamiento de garantías para obligaciones de pago a cargo de las entidades estatales</w:t>
      </w:r>
      <w:r w:rsidR="007037C1">
        <w:rPr>
          <w:rFonts w:ascii="Arial" w:hAnsi="Arial" w:cs="Arial"/>
          <w:sz w:val="22"/>
          <w:lang w:val="es-ES"/>
        </w:rPr>
        <w:t>»</w:t>
      </w:r>
      <w:r w:rsidRPr="00B802EC">
        <w:rPr>
          <w:rFonts w:ascii="Arial" w:hAnsi="Arial" w:cs="Arial"/>
          <w:sz w:val="22"/>
          <w:lang w:val="es-ES"/>
        </w:rPr>
        <w:t xml:space="preserve">. </w:t>
      </w:r>
      <w:r w:rsidR="00B802EC" w:rsidRPr="00B802EC">
        <w:rPr>
          <w:rFonts w:ascii="Arial" w:hAnsi="Arial" w:cs="Arial"/>
          <w:sz w:val="22"/>
          <w:lang w:val="es-ES"/>
        </w:rPr>
        <w:t>Además</w:t>
      </w:r>
      <w:r w:rsidR="00B802EC">
        <w:rPr>
          <w:rFonts w:ascii="Arial" w:hAnsi="Arial" w:cs="Arial"/>
          <w:sz w:val="22"/>
          <w:lang w:val="es-ES"/>
        </w:rPr>
        <w:t xml:space="preserve">, esta norma </w:t>
      </w:r>
      <w:r w:rsidR="007037C1">
        <w:rPr>
          <w:rFonts w:ascii="Arial" w:hAnsi="Arial" w:cs="Arial"/>
          <w:sz w:val="22"/>
          <w:lang w:val="es-ES"/>
        </w:rPr>
        <w:t>dispone</w:t>
      </w:r>
      <w:r w:rsidR="007037C1" w:rsidRPr="00B802EC">
        <w:rPr>
          <w:rFonts w:ascii="Arial" w:hAnsi="Arial" w:cs="Arial"/>
          <w:sz w:val="22"/>
          <w:lang w:val="es-ES"/>
        </w:rPr>
        <w:t xml:space="preserve"> </w:t>
      </w:r>
      <w:r w:rsidR="00B802EC" w:rsidRPr="00B802EC">
        <w:rPr>
          <w:rFonts w:ascii="Arial" w:hAnsi="Arial" w:cs="Arial"/>
          <w:sz w:val="22"/>
          <w:lang w:val="es-ES"/>
        </w:rPr>
        <w:t>que dichas</w:t>
      </w:r>
      <w:r w:rsidRPr="00B802EC">
        <w:rPr>
          <w:rFonts w:ascii="Arial" w:hAnsi="Arial" w:cs="Arial"/>
          <w:sz w:val="22"/>
          <w:lang w:val="es-ES"/>
        </w:rPr>
        <w:t xml:space="preserve"> operaciones y las conexas con éstas se contratarán en forma directa</w:t>
      </w:r>
      <w:r w:rsidR="00B802EC" w:rsidRPr="00B802EC">
        <w:rPr>
          <w:rFonts w:ascii="Arial" w:hAnsi="Arial" w:cs="Arial"/>
          <w:sz w:val="22"/>
          <w:lang w:val="es-ES"/>
        </w:rPr>
        <w:t>.</w:t>
      </w:r>
    </w:p>
    <w:p w14:paraId="4427AB9E" w14:textId="4F68AF24" w:rsidR="00476E69" w:rsidRDefault="000E5D20" w:rsidP="00210E7F">
      <w:pPr>
        <w:spacing w:after="120"/>
        <w:ind w:firstLine="709"/>
        <w:rPr>
          <w:rFonts w:ascii="Arial" w:hAnsi="Arial" w:cs="Arial"/>
          <w:sz w:val="22"/>
          <w:lang w:val="es-CO"/>
        </w:rPr>
      </w:pPr>
      <w:r w:rsidRPr="000E5D20">
        <w:rPr>
          <w:rFonts w:ascii="Arial" w:hAnsi="Arial" w:cs="Arial"/>
          <w:sz w:val="22"/>
          <w:lang w:val="es-ES"/>
        </w:rPr>
        <w:t>En ejercicio de sus facultades reglamentarias, el Gobierno Nacional recogió la definición legal de este tipo de operaciones y la amplió mediante el Decreto 2681 de 1993</w:t>
      </w:r>
      <w:r w:rsidR="002250E0">
        <w:rPr>
          <w:rStyle w:val="Refdenotaalpie"/>
          <w:rFonts w:ascii="Arial" w:hAnsi="Arial" w:cs="Arial"/>
          <w:sz w:val="22"/>
          <w:lang w:val="es-ES"/>
        </w:rPr>
        <w:footnoteReference w:id="23"/>
      </w:r>
      <w:r w:rsidRPr="000E5D20">
        <w:rPr>
          <w:rFonts w:ascii="Arial" w:hAnsi="Arial" w:cs="Arial"/>
          <w:sz w:val="22"/>
          <w:lang w:val="es-ES"/>
        </w:rPr>
        <w:t xml:space="preserve">, </w:t>
      </w:r>
      <w:r w:rsidRPr="00476E69">
        <w:rPr>
          <w:rFonts w:ascii="Arial" w:hAnsi="Arial" w:cs="Arial"/>
          <w:sz w:val="22"/>
          <w:lang w:val="es-ES"/>
        </w:rPr>
        <w:t xml:space="preserve">norma </w:t>
      </w:r>
      <w:r w:rsidR="00B802EC" w:rsidRPr="00476E69">
        <w:rPr>
          <w:rFonts w:ascii="Arial" w:hAnsi="Arial" w:cs="Arial"/>
          <w:sz w:val="22"/>
          <w:lang w:val="es-ES"/>
        </w:rPr>
        <w:t>compilada</w:t>
      </w:r>
      <w:r w:rsidR="002250E0" w:rsidRPr="00476E69">
        <w:rPr>
          <w:rFonts w:ascii="Arial" w:hAnsi="Arial" w:cs="Arial"/>
          <w:sz w:val="22"/>
          <w:lang w:val="es-ES"/>
        </w:rPr>
        <w:t>,</w:t>
      </w:r>
      <w:r w:rsidRPr="00476E69">
        <w:rPr>
          <w:rFonts w:ascii="Arial" w:hAnsi="Arial" w:cs="Arial"/>
          <w:sz w:val="22"/>
          <w:lang w:val="es-ES"/>
        </w:rPr>
        <w:t xml:space="preserve"> a su vez</w:t>
      </w:r>
      <w:r w:rsidR="002250E0" w:rsidRPr="00476E69">
        <w:rPr>
          <w:rFonts w:ascii="Arial" w:hAnsi="Arial" w:cs="Arial"/>
          <w:sz w:val="22"/>
          <w:lang w:val="es-ES"/>
        </w:rPr>
        <w:t>,</w:t>
      </w:r>
      <w:r w:rsidRPr="00476E69">
        <w:rPr>
          <w:rFonts w:ascii="Arial" w:hAnsi="Arial" w:cs="Arial"/>
          <w:sz w:val="22"/>
          <w:lang w:val="es-ES"/>
        </w:rPr>
        <w:t xml:space="preserve"> en el artículo 2.2.1.1.1. del Decreto 1068 de 2015</w:t>
      </w:r>
      <w:r w:rsidR="002250E0" w:rsidRPr="00476E69">
        <w:rPr>
          <w:rStyle w:val="Refdenotaalpie"/>
          <w:rFonts w:ascii="Arial" w:hAnsi="Arial" w:cs="Arial"/>
          <w:sz w:val="22"/>
          <w:lang w:val="es-ES"/>
        </w:rPr>
        <w:footnoteReference w:id="24"/>
      </w:r>
      <w:r w:rsidR="00A8009A">
        <w:rPr>
          <w:rFonts w:ascii="Arial" w:hAnsi="Arial" w:cs="Arial"/>
          <w:sz w:val="22"/>
          <w:lang w:val="es-ES"/>
        </w:rPr>
        <w:t>. Este último dispuso</w:t>
      </w:r>
      <w:r w:rsidR="00476E69" w:rsidRPr="00476E69">
        <w:rPr>
          <w:rFonts w:ascii="Arial" w:hAnsi="Arial" w:cs="Arial"/>
          <w:sz w:val="22"/>
          <w:lang w:val="es-ES"/>
        </w:rPr>
        <w:t xml:space="preserve"> que </w:t>
      </w:r>
      <w:r w:rsidR="005F1822">
        <w:rPr>
          <w:rFonts w:ascii="Arial" w:hAnsi="Arial" w:cs="Arial"/>
          <w:sz w:val="22"/>
          <w:lang w:val="es-CO"/>
        </w:rPr>
        <w:t>«</w:t>
      </w:r>
      <w:r w:rsidR="00476E69">
        <w:rPr>
          <w:rFonts w:ascii="Arial" w:hAnsi="Arial" w:cs="Arial"/>
          <w:sz w:val="22"/>
          <w:lang w:val="es-CO"/>
        </w:rPr>
        <w:t>[s]</w:t>
      </w:r>
      <w:proofErr w:type="spellStart"/>
      <w:r w:rsidRPr="00476E69">
        <w:rPr>
          <w:rFonts w:ascii="Arial" w:hAnsi="Arial" w:cs="Arial"/>
          <w:sz w:val="22"/>
          <w:lang w:val="es-CO"/>
        </w:rPr>
        <w:t>on</w:t>
      </w:r>
      <w:proofErr w:type="spellEnd"/>
      <w:r w:rsidRPr="00476E69">
        <w:rPr>
          <w:rFonts w:ascii="Arial" w:hAnsi="Arial" w:cs="Arial"/>
          <w:sz w:val="22"/>
          <w:lang w:val="es-CO"/>
        </w:rPr>
        <w:t xml:space="preserve"> operaciones de crédito público los actos o contratos que tienen por objeto dotar a la entidad estatal de recursos, bienes o servicios con plazo para su pago o aquellas mediante las cuales la entidad actúa como deudor solidario o garante de obligaciones de pago</w:t>
      </w:r>
      <w:r w:rsidR="005F1822">
        <w:rPr>
          <w:rFonts w:ascii="Arial" w:hAnsi="Arial" w:cs="Arial"/>
          <w:sz w:val="22"/>
          <w:lang w:val="es-CO"/>
        </w:rPr>
        <w:t>»</w:t>
      </w:r>
      <w:r w:rsidRPr="00476E69">
        <w:rPr>
          <w:rFonts w:ascii="Arial" w:hAnsi="Arial" w:cs="Arial"/>
          <w:sz w:val="22"/>
          <w:lang w:val="es-CO"/>
        </w:rPr>
        <w:t>.</w:t>
      </w:r>
      <w:r w:rsidR="00CD5B05">
        <w:rPr>
          <w:rFonts w:ascii="Arial" w:hAnsi="Arial" w:cs="Arial"/>
          <w:sz w:val="22"/>
          <w:lang w:val="es-CO"/>
        </w:rPr>
        <w:t xml:space="preserve"> </w:t>
      </w:r>
      <w:r w:rsidR="00A8009A">
        <w:rPr>
          <w:rFonts w:ascii="Arial" w:hAnsi="Arial" w:cs="Arial"/>
          <w:sz w:val="22"/>
          <w:lang w:val="es-CO"/>
        </w:rPr>
        <w:t>L</w:t>
      </w:r>
      <w:r w:rsidR="00CD5B05">
        <w:rPr>
          <w:rFonts w:ascii="Arial" w:hAnsi="Arial" w:cs="Arial"/>
          <w:sz w:val="22"/>
          <w:lang w:val="es-CO"/>
        </w:rPr>
        <w:t xml:space="preserve">a norma reglamentaria </w:t>
      </w:r>
      <w:r w:rsidR="00A8009A">
        <w:rPr>
          <w:rFonts w:ascii="Arial" w:hAnsi="Arial" w:cs="Arial"/>
          <w:sz w:val="22"/>
          <w:lang w:val="es-CO"/>
        </w:rPr>
        <w:t xml:space="preserve">agregó </w:t>
      </w:r>
      <w:r w:rsidR="00CD5B05">
        <w:rPr>
          <w:rFonts w:ascii="Arial" w:hAnsi="Arial" w:cs="Arial"/>
          <w:sz w:val="22"/>
          <w:lang w:val="es-CO"/>
        </w:rPr>
        <w:t>que d</w:t>
      </w:r>
      <w:r w:rsidR="00CD5B05" w:rsidRPr="00CD5B05">
        <w:rPr>
          <w:rFonts w:ascii="Arial" w:hAnsi="Arial" w:cs="Arial"/>
          <w:sz w:val="22"/>
          <w:lang w:val="es-CO"/>
        </w:rPr>
        <w:t>entro de estas operaciones están comprendidas, entre otras, la contratación de empréstitos, la emisión, suscripción y colocación de títulos de deuda pública, los créditos de proveedores y el otorgamiento de garantías para obligaciones de pago a cargo de entidades estatales</w:t>
      </w:r>
      <w:r w:rsidR="00CD5B05">
        <w:rPr>
          <w:rFonts w:ascii="Arial" w:hAnsi="Arial" w:cs="Arial"/>
          <w:sz w:val="22"/>
          <w:lang w:val="es-CO"/>
        </w:rPr>
        <w:t>.</w:t>
      </w:r>
    </w:p>
    <w:p w14:paraId="2CEDFBC5" w14:textId="56856C94" w:rsidR="00476E69" w:rsidRDefault="00476E69" w:rsidP="00CD5B05">
      <w:pPr>
        <w:spacing w:after="0"/>
        <w:ind w:firstLine="709"/>
        <w:rPr>
          <w:rFonts w:ascii="Arial" w:hAnsi="Arial" w:cs="Arial"/>
          <w:sz w:val="22"/>
          <w:lang w:val="es-ES"/>
        </w:rPr>
      </w:pPr>
      <w:r w:rsidRPr="000E5D20">
        <w:rPr>
          <w:rFonts w:ascii="Arial" w:hAnsi="Arial" w:cs="Arial"/>
          <w:sz w:val="22"/>
          <w:lang w:val="es-ES"/>
        </w:rPr>
        <w:t>Al comparar el texto legal y el reglamentario</w:t>
      </w:r>
      <w:r>
        <w:rPr>
          <w:rFonts w:ascii="Arial" w:hAnsi="Arial" w:cs="Arial"/>
          <w:sz w:val="22"/>
          <w:lang w:val="es-ES"/>
        </w:rPr>
        <w:t>,</w:t>
      </w:r>
      <w:r w:rsidRPr="000E5D20">
        <w:rPr>
          <w:rFonts w:ascii="Arial" w:hAnsi="Arial" w:cs="Arial"/>
          <w:sz w:val="22"/>
          <w:lang w:val="es-ES"/>
        </w:rPr>
        <w:t xml:space="preserve"> se concluye que el Gobierno Nacional ahond</w:t>
      </w:r>
      <w:r>
        <w:rPr>
          <w:rFonts w:ascii="Arial" w:hAnsi="Arial" w:cs="Arial"/>
          <w:sz w:val="22"/>
          <w:lang w:val="es-ES"/>
        </w:rPr>
        <w:t>ó</w:t>
      </w:r>
      <w:r w:rsidRPr="000E5D20">
        <w:rPr>
          <w:rFonts w:ascii="Arial" w:hAnsi="Arial" w:cs="Arial"/>
          <w:sz w:val="22"/>
          <w:lang w:val="es-ES"/>
        </w:rPr>
        <w:t xml:space="preserve"> en la definición de las operaciones de crédito público, agregándoles que también son aquellas en donde una entidad estatal actúa como deudora solidaria o garante de una obligación.</w:t>
      </w:r>
      <w:r w:rsidR="00CD5B05">
        <w:rPr>
          <w:rFonts w:ascii="Arial" w:hAnsi="Arial" w:cs="Arial"/>
          <w:sz w:val="22"/>
          <w:lang w:val="es-ES"/>
        </w:rPr>
        <w:t xml:space="preserve"> </w:t>
      </w:r>
      <w:r w:rsidRPr="000E5D20">
        <w:rPr>
          <w:rFonts w:ascii="Arial" w:hAnsi="Arial" w:cs="Arial"/>
          <w:sz w:val="22"/>
          <w:lang w:val="es-ES"/>
        </w:rPr>
        <w:t>Adicionalmente, incluyó la clasificación de operaciones de crédito internas y externas, de acuerdo con el lugar en donde se celebren y la moneda en la que se deban pagar las obligaciones adquiridas, en atención a las regulaciones cambiarias</w:t>
      </w:r>
      <w:r w:rsidR="00CD5B05">
        <w:rPr>
          <w:rFonts w:ascii="Arial" w:hAnsi="Arial" w:cs="Arial"/>
          <w:sz w:val="22"/>
          <w:lang w:val="es-ES"/>
        </w:rPr>
        <w:t>, en los siguientes términos:</w:t>
      </w:r>
      <w:r w:rsidRPr="000E5D20">
        <w:rPr>
          <w:rFonts w:ascii="Arial" w:hAnsi="Arial" w:cs="Arial"/>
          <w:sz w:val="22"/>
          <w:lang w:val="es-ES"/>
        </w:rPr>
        <w:t xml:space="preserve"> </w:t>
      </w:r>
    </w:p>
    <w:p w14:paraId="55026B2D" w14:textId="767DA1E4" w:rsidR="000E5D20" w:rsidRPr="00CD5B05" w:rsidRDefault="000E5D20" w:rsidP="00CD5B05">
      <w:pPr>
        <w:spacing w:after="0"/>
        <w:ind w:right="851"/>
        <w:rPr>
          <w:rFonts w:ascii="Arial" w:hAnsi="Arial" w:cs="Arial"/>
          <w:sz w:val="21"/>
          <w:szCs w:val="21"/>
          <w:lang w:val="es-CO"/>
        </w:rPr>
      </w:pPr>
    </w:p>
    <w:p w14:paraId="58D679A8" w14:textId="7E13D656" w:rsidR="000E5D20" w:rsidRPr="00090501" w:rsidRDefault="000E5D20" w:rsidP="00210E7F">
      <w:pPr>
        <w:pStyle w:val="Prrafodelista"/>
        <w:spacing w:after="0" w:line="240" w:lineRule="auto"/>
        <w:ind w:left="709" w:right="709"/>
        <w:rPr>
          <w:rFonts w:ascii="Arial" w:hAnsi="Arial" w:cs="Arial"/>
          <w:sz w:val="21"/>
          <w:szCs w:val="21"/>
          <w:lang w:val="es-CO"/>
        </w:rPr>
      </w:pPr>
      <w:r w:rsidRPr="00090501">
        <w:rPr>
          <w:rFonts w:ascii="Arial" w:hAnsi="Arial" w:cs="Arial"/>
          <w:sz w:val="21"/>
          <w:szCs w:val="21"/>
          <w:lang w:val="es-CO"/>
        </w:rPr>
        <w:t>Para efectos de lo dispuesto en el presente título, las operaciones de crédito público pueden ser internas o externas. Son operaciones de crédito público internas las que, de conformidad con las disposiciones cambiarias, se celebren exclusivamente entre residentes del territorio colombiano para ser pagaderas en moneda legal colombiana. Son operaciones de crédito público externas todas las demás</w:t>
      </w:r>
      <w:r w:rsidR="00A8009A">
        <w:rPr>
          <w:rFonts w:ascii="Arial" w:hAnsi="Arial" w:cs="Arial"/>
          <w:sz w:val="21"/>
          <w:szCs w:val="21"/>
          <w:lang w:val="es-CO"/>
        </w:rPr>
        <w:t xml:space="preserve"> […]</w:t>
      </w:r>
      <w:r w:rsidRPr="00090501">
        <w:rPr>
          <w:rFonts w:ascii="Arial" w:hAnsi="Arial" w:cs="Arial"/>
          <w:sz w:val="21"/>
          <w:szCs w:val="21"/>
          <w:lang w:val="es-CO"/>
        </w:rPr>
        <w:t>.</w:t>
      </w:r>
    </w:p>
    <w:p w14:paraId="6CC05793" w14:textId="77777777" w:rsidR="002250E0" w:rsidRDefault="002250E0" w:rsidP="00CD5B05">
      <w:pPr>
        <w:spacing w:after="0"/>
        <w:rPr>
          <w:rFonts w:ascii="Arial" w:hAnsi="Arial" w:cs="Arial"/>
          <w:sz w:val="22"/>
          <w:lang w:val="es-ES"/>
        </w:rPr>
      </w:pPr>
    </w:p>
    <w:p w14:paraId="4A1BB010" w14:textId="7CDB080D" w:rsidR="000E5D20" w:rsidRPr="000E5D20" w:rsidRDefault="000E5D20">
      <w:pPr>
        <w:spacing w:after="0"/>
        <w:ind w:firstLine="709"/>
        <w:rPr>
          <w:rFonts w:ascii="Arial" w:hAnsi="Arial" w:cs="Arial"/>
          <w:sz w:val="22"/>
          <w:lang w:val="es-ES"/>
        </w:rPr>
      </w:pPr>
      <w:r w:rsidRPr="000E5D20">
        <w:rPr>
          <w:rFonts w:ascii="Arial" w:hAnsi="Arial" w:cs="Arial"/>
          <w:sz w:val="22"/>
          <w:lang w:val="es-ES"/>
        </w:rPr>
        <w:lastRenderedPageBreak/>
        <w:t>La jurisprudencia constitucional ha usado las anteriores disposiciones normativas para definir las operaciones en cuestión brindando algunos ejemplos de este tipo de actos, así como de las operaciones asimiladas a las de crédito público y definiendo las operaciones de manejo de deuda pública</w:t>
      </w:r>
      <w:r w:rsidRPr="000E5D20">
        <w:rPr>
          <w:rStyle w:val="Refdenotaalpie"/>
          <w:rFonts w:ascii="Arial" w:hAnsi="Arial" w:cs="Arial"/>
          <w:sz w:val="22"/>
          <w:lang w:val="es-ES"/>
        </w:rPr>
        <w:footnoteReference w:id="25"/>
      </w:r>
      <w:r w:rsidRPr="000E5D20">
        <w:rPr>
          <w:rFonts w:ascii="Arial" w:hAnsi="Arial" w:cs="Arial"/>
          <w:sz w:val="22"/>
          <w:lang w:val="es-ES"/>
        </w:rPr>
        <w:t>.</w:t>
      </w:r>
      <w:r w:rsidR="00B06C03">
        <w:rPr>
          <w:rFonts w:ascii="Arial" w:hAnsi="Arial" w:cs="Arial"/>
          <w:sz w:val="22"/>
          <w:lang w:val="es-ES"/>
        </w:rPr>
        <w:t xml:space="preserve"> </w:t>
      </w:r>
      <w:r w:rsidR="002250E0">
        <w:rPr>
          <w:rFonts w:ascii="Arial" w:hAnsi="Arial" w:cs="Arial"/>
          <w:sz w:val="22"/>
          <w:lang w:val="es-ES"/>
        </w:rPr>
        <w:t>Esta Agencia</w:t>
      </w:r>
      <w:r w:rsidRPr="000E5D20">
        <w:rPr>
          <w:rFonts w:ascii="Arial" w:hAnsi="Arial" w:cs="Arial"/>
          <w:sz w:val="22"/>
          <w:lang w:val="es-ES"/>
        </w:rPr>
        <w:t xml:space="preserve"> también ha reiterado estas definiciones normativas</w:t>
      </w:r>
      <w:r w:rsidR="002250E0">
        <w:rPr>
          <w:rFonts w:ascii="Arial" w:hAnsi="Arial" w:cs="Arial"/>
          <w:sz w:val="22"/>
          <w:lang w:val="es-ES"/>
        </w:rPr>
        <w:t xml:space="preserve"> al considerar, dentro de los </w:t>
      </w:r>
      <w:r w:rsidR="002250E0" w:rsidRPr="002250E0">
        <w:rPr>
          <w:rFonts w:ascii="Arial" w:hAnsi="Arial" w:cs="Arial"/>
          <w:sz w:val="22"/>
          <w:lang w:val="es-ES"/>
        </w:rPr>
        <w:t xml:space="preserve">Conceptos </w:t>
      </w:r>
      <w:r w:rsidR="002250E0" w:rsidRPr="00090501">
        <w:rPr>
          <w:rFonts w:ascii="Arial" w:hAnsi="Arial" w:cs="Arial"/>
          <w:sz w:val="22"/>
        </w:rPr>
        <w:t xml:space="preserve">2201913000009289 y </w:t>
      </w:r>
      <w:r w:rsidR="002250E0" w:rsidRPr="00090501">
        <w:rPr>
          <w:rFonts w:ascii="Arial" w:eastAsia="Calibri" w:hAnsi="Arial" w:cs="Arial"/>
          <w:sz w:val="22"/>
          <w:lang w:val="es-CO"/>
        </w:rPr>
        <w:t>201913000007443 de 2019, lo siguiente</w:t>
      </w:r>
      <w:r w:rsidRPr="002250E0">
        <w:rPr>
          <w:rFonts w:ascii="Arial" w:hAnsi="Arial" w:cs="Arial"/>
          <w:sz w:val="22"/>
          <w:lang w:val="es-ES"/>
        </w:rPr>
        <w:t>:</w:t>
      </w:r>
      <w:r w:rsidR="002250E0">
        <w:rPr>
          <w:rFonts w:ascii="Arial" w:hAnsi="Arial" w:cs="Arial"/>
          <w:sz w:val="22"/>
          <w:lang w:val="es-ES"/>
        </w:rPr>
        <w:t xml:space="preserve"> </w:t>
      </w:r>
    </w:p>
    <w:p w14:paraId="233E3ABC" w14:textId="77777777" w:rsidR="000E5D20" w:rsidRPr="000E5D20" w:rsidRDefault="000E5D20" w:rsidP="00090501">
      <w:pPr>
        <w:spacing w:after="0"/>
        <w:rPr>
          <w:rFonts w:ascii="Arial" w:hAnsi="Arial" w:cs="Arial"/>
          <w:sz w:val="22"/>
          <w:lang w:val="es-ES"/>
        </w:rPr>
      </w:pPr>
    </w:p>
    <w:p w14:paraId="753FEFE0" w14:textId="59802978" w:rsidR="000E5D20" w:rsidRPr="000E5D20" w:rsidRDefault="000E5D20" w:rsidP="00210E7F">
      <w:pPr>
        <w:spacing w:after="120" w:line="240" w:lineRule="auto"/>
        <w:ind w:left="709" w:right="709"/>
        <w:rPr>
          <w:rFonts w:ascii="Arial" w:hAnsi="Arial" w:cs="Arial"/>
          <w:sz w:val="21"/>
          <w:szCs w:val="21"/>
          <w:lang w:val="es-ES"/>
        </w:rPr>
      </w:pPr>
      <w:r w:rsidRPr="000E5D20">
        <w:rPr>
          <w:rFonts w:ascii="Arial" w:hAnsi="Arial" w:cs="Arial"/>
          <w:sz w:val="21"/>
          <w:szCs w:val="21"/>
        </w:rPr>
        <w:t>El parágrafo 2 del artículo 41 de la Ley 80 de 1993, define las operaciones de crédito público como aquellas que tienen por objeto dotar a la entidad de recursos con plazo para su pago, entre las que se encuentran la contratación de empréstitos, la emisión, suscripción y colocación de bonos y títulos valores, los créditos de proveedores y el otorgamiento de garantías para obligaciones de pago a cargo de las entidades estatales.</w:t>
      </w:r>
      <w:r w:rsidRPr="000E5D20">
        <w:rPr>
          <w:rFonts w:ascii="Arial" w:hAnsi="Arial" w:cs="Arial"/>
          <w:sz w:val="21"/>
          <w:szCs w:val="21"/>
          <w:lang w:val="es-ES"/>
        </w:rPr>
        <w:t xml:space="preserve"> […]</w:t>
      </w:r>
    </w:p>
    <w:p w14:paraId="6E5A989F" w14:textId="24C3BE55" w:rsidR="000E5D20" w:rsidRPr="000E5D20" w:rsidRDefault="000E5D20" w:rsidP="00210E7F">
      <w:pPr>
        <w:spacing w:after="0" w:line="240" w:lineRule="auto"/>
        <w:ind w:left="720" w:right="851"/>
        <w:rPr>
          <w:rFonts w:ascii="Arial" w:hAnsi="Arial" w:cs="Arial"/>
          <w:sz w:val="21"/>
          <w:szCs w:val="21"/>
          <w:lang w:val="es-ES"/>
        </w:rPr>
      </w:pPr>
      <w:r w:rsidRPr="000E5D20">
        <w:rPr>
          <w:rFonts w:ascii="Arial" w:hAnsi="Arial" w:cs="Arial"/>
          <w:sz w:val="21"/>
          <w:szCs w:val="21"/>
        </w:rPr>
        <w:t>De acuerdo con la definición de la Ley 80 de 1993</w:t>
      </w:r>
      <w:r w:rsidRPr="000E5D20">
        <w:rPr>
          <w:rFonts w:ascii="Arial" w:hAnsi="Arial" w:cs="Arial"/>
          <w:sz w:val="21"/>
          <w:szCs w:val="21"/>
          <w:lang w:val="es-ES"/>
        </w:rPr>
        <w:t xml:space="preserve"> y</w:t>
      </w:r>
      <w:r w:rsidRPr="000E5D20">
        <w:rPr>
          <w:rFonts w:ascii="Arial" w:hAnsi="Arial" w:cs="Arial"/>
          <w:sz w:val="21"/>
          <w:szCs w:val="21"/>
        </w:rPr>
        <w:t xml:space="preserve"> del Decreto 1068 de 2015, las operaciones de crédito publico permiten dotar a la entidad de recursos líquidos, suministrar bienes o la prestación de servicios</w:t>
      </w:r>
      <w:r w:rsidRPr="000E5D20">
        <w:rPr>
          <w:rStyle w:val="Refdenotaalpie"/>
          <w:rFonts w:ascii="Arial" w:hAnsi="Arial" w:cs="Arial"/>
          <w:sz w:val="21"/>
          <w:szCs w:val="21"/>
          <w:lang w:val="es-ES"/>
        </w:rPr>
        <w:footnoteReference w:id="26"/>
      </w:r>
      <w:r w:rsidR="00B06C03">
        <w:rPr>
          <w:rFonts w:ascii="Arial" w:hAnsi="Arial" w:cs="Arial"/>
          <w:sz w:val="21"/>
          <w:szCs w:val="21"/>
          <w:lang w:val="es-ES"/>
        </w:rPr>
        <w:t>.</w:t>
      </w:r>
    </w:p>
    <w:p w14:paraId="249E0E24" w14:textId="77777777" w:rsidR="000E5D20" w:rsidRPr="000E5D20" w:rsidRDefault="000E5D20" w:rsidP="00090501">
      <w:pPr>
        <w:spacing w:after="0"/>
        <w:ind w:left="720"/>
        <w:rPr>
          <w:rFonts w:ascii="Arial" w:hAnsi="Arial" w:cs="Arial"/>
          <w:sz w:val="22"/>
          <w:lang w:val="es-ES"/>
        </w:rPr>
      </w:pPr>
    </w:p>
    <w:p w14:paraId="03044BA4" w14:textId="00A3E251" w:rsidR="000E5D20" w:rsidRPr="000E5D20" w:rsidRDefault="000E5D20" w:rsidP="00210E7F">
      <w:pPr>
        <w:spacing w:after="120"/>
        <w:ind w:firstLine="709"/>
        <w:rPr>
          <w:rFonts w:ascii="Arial" w:hAnsi="Arial" w:cs="Arial"/>
          <w:sz w:val="22"/>
          <w:lang w:val="es-ES"/>
        </w:rPr>
      </w:pPr>
      <w:r w:rsidRPr="000E5D20">
        <w:rPr>
          <w:rFonts w:ascii="Arial" w:hAnsi="Arial" w:cs="Arial"/>
          <w:sz w:val="22"/>
          <w:lang w:val="es-ES"/>
        </w:rPr>
        <w:t>El trafico jurídico de este tipo de contratos y operaciones muestra que suelen ser complejos</w:t>
      </w:r>
      <w:r w:rsidR="00B06C03">
        <w:rPr>
          <w:rFonts w:ascii="Arial" w:hAnsi="Arial" w:cs="Arial"/>
          <w:sz w:val="22"/>
          <w:lang w:val="es-ES"/>
        </w:rPr>
        <w:t>,</w:t>
      </w:r>
      <w:r w:rsidRPr="000E5D20">
        <w:rPr>
          <w:rFonts w:ascii="Arial" w:hAnsi="Arial" w:cs="Arial"/>
          <w:sz w:val="22"/>
          <w:lang w:val="es-ES"/>
        </w:rPr>
        <w:t xml:space="preserve"> pues cubren actos de variada naturaleza, no solamente en el campo contractual, sino también sobre actuaciones financieras y de la hacienda pública que, en algunas ocasiones, usan títulos valores como vehículos de sus transacciones. El contrato de empréstito usualmente es el acto jurídico estatal por excelencia asociado a una operación de crédito público</w:t>
      </w:r>
      <w:r w:rsidR="00BE3458">
        <w:rPr>
          <w:rStyle w:val="Refdenotaalpie"/>
          <w:rFonts w:ascii="Arial" w:hAnsi="Arial" w:cs="Arial"/>
          <w:sz w:val="22"/>
          <w:lang w:val="es-ES"/>
        </w:rPr>
        <w:footnoteReference w:id="27"/>
      </w:r>
      <w:r w:rsidRPr="000E5D20">
        <w:rPr>
          <w:rFonts w:ascii="Arial" w:hAnsi="Arial" w:cs="Arial"/>
          <w:sz w:val="22"/>
          <w:lang w:val="es-ES"/>
        </w:rPr>
        <w:t xml:space="preserve">, sin embargo, existen otros de diferente naturaleza que </w:t>
      </w:r>
      <w:r w:rsidRPr="000E5D20">
        <w:rPr>
          <w:rFonts w:ascii="Arial" w:hAnsi="Arial" w:cs="Arial"/>
          <w:sz w:val="22"/>
          <w:lang w:val="es-ES"/>
        </w:rPr>
        <w:lastRenderedPageBreak/>
        <w:t xml:space="preserve">también son comunes, como lo son las líneas de crédito contingentes, los créditos de proveedores, la emisión, suscripción y colación de títulos de deuda pública, las operaciones de manejo de deuda, entre otros </w:t>
      </w:r>
      <w:r w:rsidRPr="000E5D20">
        <w:rPr>
          <w:rStyle w:val="Refdenotaalpie"/>
          <w:rFonts w:ascii="Arial" w:hAnsi="Arial" w:cs="Arial"/>
          <w:sz w:val="22"/>
          <w:lang w:val="es-ES"/>
        </w:rPr>
        <w:footnoteReference w:id="28"/>
      </w:r>
      <w:r w:rsidRPr="000E5D20">
        <w:rPr>
          <w:rFonts w:ascii="Arial" w:hAnsi="Arial" w:cs="Arial"/>
          <w:sz w:val="22"/>
          <w:lang w:val="es-ES"/>
        </w:rPr>
        <w:t>.</w:t>
      </w:r>
    </w:p>
    <w:p w14:paraId="4970545A" w14:textId="76EAC033" w:rsidR="000E5D20" w:rsidRPr="000E5D20" w:rsidRDefault="00C8598C" w:rsidP="00210E7F">
      <w:pPr>
        <w:spacing w:after="120"/>
        <w:ind w:firstLine="709"/>
        <w:rPr>
          <w:rFonts w:ascii="Arial" w:hAnsi="Arial" w:cs="Arial"/>
          <w:b/>
          <w:bCs/>
          <w:i/>
          <w:iCs/>
          <w:sz w:val="22"/>
          <w:lang w:val="es-CO"/>
        </w:rPr>
      </w:pPr>
      <w:r>
        <w:rPr>
          <w:rFonts w:ascii="Arial" w:hAnsi="Arial" w:cs="Arial"/>
          <w:sz w:val="22"/>
          <w:lang w:val="es-ES"/>
        </w:rPr>
        <w:t>Las reglas</w:t>
      </w:r>
      <w:r w:rsidR="000E5D20" w:rsidRPr="000E5D20">
        <w:rPr>
          <w:rFonts w:ascii="Arial" w:hAnsi="Arial" w:cs="Arial"/>
          <w:sz w:val="22"/>
          <w:lang w:val="es-ES"/>
        </w:rPr>
        <w:t xml:space="preserve"> aplicable</w:t>
      </w:r>
      <w:r>
        <w:rPr>
          <w:rFonts w:ascii="Arial" w:hAnsi="Arial" w:cs="Arial"/>
          <w:sz w:val="22"/>
          <w:lang w:val="es-ES"/>
        </w:rPr>
        <w:t>s</w:t>
      </w:r>
      <w:r w:rsidR="000E5D20" w:rsidRPr="000E5D20">
        <w:rPr>
          <w:rFonts w:ascii="Arial" w:hAnsi="Arial" w:cs="Arial"/>
          <w:sz w:val="22"/>
          <w:lang w:val="es-ES"/>
        </w:rPr>
        <w:t xml:space="preserve"> a este tipo de operaciones deja</w:t>
      </w:r>
      <w:r>
        <w:rPr>
          <w:rFonts w:ascii="Arial" w:hAnsi="Arial" w:cs="Arial"/>
          <w:sz w:val="22"/>
          <w:lang w:val="es-ES"/>
        </w:rPr>
        <w:t>n</w:t>
      </w:r>
      <w:r w:rsidR="000E5D20" w:rsidRPr="000E5D20">
        <w:rPr>
          <w:rFonts w:ascii="Arial" w:hAnsi="Arial" w:cs="Arial"/>
          <w:sz w:val="22"/>
          <w:lang w:val="es-ES"/>
        </w:rPr>
        <w:t xml:space="preserve"> claro que, independientemente de la modalidad negocial adoptada, estas siempre se contratan de manera directa. Lo anterior </w:t>
      </w:r>
      <w:r>
        <w:rPr>
          <w:rFonts w:ascii="Arial" w:hAnsi="Arial" w:cs="Arial"/>
          <w:sz w:val="22"/>
          <w:lang w:val="es-ES"/>
        </w:rPr>
        <w:t>deriva</w:t>
      </w:r>
      <w:r w:rsidRPr="000E5D20">
        <w:rPr>
          <w:rFonts w:ascii="Arial" w:hAnsi="Arial" w:cs="Arial"/>
          <w:sz w:val="22"/>
          <w:lang w:val="es-ES"/>
        </w:rPr>
        <w:t xml:space="preserve"> </w:t>
      </w:r>
      <w:r w:rsidR="000E5D20" w:rsidRPr="000E5D20">
        <w:rPr>
          <w:rFonts w:ascii="Arial" w:hAnsi="Arial" w:cs="Arial"/>
          <w:sz w:val="22"/>
          <w:lang w:val="es-ES"/>
        </w:rPr>
        <w:t xml:space="preserve">de la habilitación del </w:t>
      </w:r>
      <w:r>
        <w:rPr>
          <w:rFonts w:ascii="Arial" w:hAnsi="Arial" w:cs="Arial"/>
          <w:sz w:val="22"/>
          <w:lang w:val="es-ES"/>
        </w:rPr>
        <w:t xml:space="preserve">citado </w:t>
      </w:r>
      <w:r w:rsidR="000E5D20" w:rsidRPr="000E5D20">
        <w:rPr>
          <w:rFonts w:ascii="Arial" w:hAnsi="Arial" w:cs="Arial"/>
          <w:sz w:val="22"/>
          <w:lang w:val="es-ES"/>
        </w:rPr>
        <w:t xml:space="preserve">artículo 41 de la Ley 80 </w:t>
      </w:r>
      <w:r>
        <w:rPr>
          <w:rFonts w:ascii="Arial" w:hAnsi="Arial" w:cs="Arial"/>
          <w:sz w:val="22"/>
          <w:lang w:val="es-ES"/>
        </w:rPr>
        <w:t>de 1993 y</w:t>
      </w:r>
      <w:r w:rsidR="000E5D20" w:rsidRPr="000E5D20">
        <w:rPr>
          <w:rFonts w:ascii="Arial" w:hAnsi="Arial" w:cs="Arial"/>
          <w:sz w:val="22"/>
          <w:lang w:val="es-ES"/>
        </w:rPr>
        <w:t xml:space="preserve"> </w:t>
      </w:r>
      <w:r>
        <w:rPr>
          <w:rFonts w:ascii="Arial" w:hAnsi="Arial" w:cs="Arial"/>
          <w:sz w:val="22"/>
          <w:lang w:val="es-ES"/>
        </w:rPr>
        <w:t>d</w:t>
      </w:r>
      <w:r w:rsidR="000E5D20" w:rsidRPr="000E5D20">
        <w:rPr>
          <w:rFonts w:ascii="Arial" w:hAnsi="Arial" w:cs="Arial"/>
          <w:sz w:val="22"/>
          <w:lang w:val="es-ES"/>
        </w:rPr>
        <w:t>el artículo 2.2.1.5.1 del Decreto 1068 de 2015</w:t>
      </w:r>
      <w:r w:rsidRPr="00F71EEA">
        <w:rPr>
          <w:rStyle w:val="Refdenotaalpie"/>
          <w:rFonts w:ascii="Arial" w:hAnsi="Arial" w:cs="Arial"/>
          <w:bCs/>
          <w:sz w:val="22"/>
          <w:lang w:val="es-CO"/>
        </w:rPr>
        <w:footnoteReference w:id="29"/>
      </w:r>
      <w:r>
        <w:rPr>
          <w:rFonts w:ascii="Arial" w:hAnsi="Arial" w:cs="Arial"/>
          <w:sz w:val="22"/>
          <w:lang w:val="es-ES"/>
        </w:rPr>
        <w:t>. E</w:t>
      </w:r>
      <w:r w:rsidR="000E5D20" w:rsidRPr="000E5D20">
        <w:rPr>
          <w:rFonts w:ascii="Arial" w:hAnsi="Arial" w:cs="Arial"/>
          <w:sz w:val="22"/>
          <w:lang w:val="es-ES"/>
        </w:rPr>
        <w:t xml:space="preserve">stas operaciones, de carácter complejo, revisten distintas formas y modalidades, pero todas encaminadas a </w:t>
      </w:r>
      <w:r w:rsidR="000E5D20" w:rsidRPr="000E5D20">
        <w:rPr>
          <w:rFonts w:ascii="Arial" w:hAnsi="Arial" w:cs="Arial"/>
          <w:sz w:val="22"/>
          <w:lang w:val="es-CO"/>
        </w:rPr>
        <w:t>dotar a una entidad estatal de recursos, con plazo para su pago, por regla general. A su vez, la ley y su reglamento han dictaminado</w:t>
      </w:r>
      <w:r w:rsidR="00F7074E">
        <w:rPr>
          <w:rFonts w:ascii="Arial" w:hAnsi="Arial" w:cs="Arial"/>
          <w:sz w:val="22"/>
          <w:lang w:val="es-CO"/>
        </w:rPr>
        <w:t xml:space="preserve"> </w:t>
      </w:r>
      <w:r w:rsidR="000E5D20" w:rsidRPr="000E5D20">
        <w:rPr>
          <w:rFonts w:ascii="Arial" w:hAnsi="Arial" w:cs="Arial"/>
          <w:sz w:val="22"/>
          <w:lang w:val="es-CO"/>
        </w:rPr>
        <w:t xml:space="preserve">que este tipo de operaciones se contraten directamente, </w:t>
      </w:r>
      <w:r w:rsidR="00AE4DE5" w:rsidRPr="00F71EEA">
        <w:rPr>
          <w:rFonts w:ascii="Arial" w:hAnsi="Arial" w:cs="Arial"/>
          <w:bCs/>
          <w:sz w:val="22"/>
          <w:lang w:val="es-CO"/>
        </w:rPr>
        <w:t>sin necesidad de acudir al procedimiento de licitación o concurso de méritos</w:t>
      </w:r>
      <w:r w:rsidR="00AE4DE5">
        <w:rPr>
          <w:rFonts w:ascii="Arial" w:hAnsi="Arial" w:cs="Arial"/>
          <w:bCs/>
          <w:sz w:val="22"/>
          <w:lang w:val="es-CO"/>
        </w:rPr>
        <w:t xml:space="preserve"> u </w:t>
      </w:r>
      <w:r w:rsidR="00AE4DE5" w:rsidRPr="000E5D20">
        <w:rPr>
          <w:rFonts w:ascii="Arial" w:hAnsi="Arial" w:cs="Arial"/>
          <w:sz w:val="22"/>
          <w:lang w:val="es-CO"/>
        </w:rPr>
        <w:t xml:space="preserve">otros </w:t>
      </w:r>
      <w:r w:rsidR="00AE4DE5" w:rsidRPr="000E5D20">
        <w:rPr>
          <w:rFonts w:ascii="Arial" w:hAnsi="Arial" w:cs="Arial"/>
          <w:sz w:val="22"/>
          <w:lang w:val="es-CO"/>
        </w:rPr>
        <w:lastRenderedPageBreak/>
        <w:t>contemplados en la ley para garantizar la participación plural de oferentes</w:t>
      </w:r>
      <w:r w:rsidR="00AE4DE5">
        <w:rPr>
          <w:rFonts w:ascii="Arial" w:hAnsi="Arial" w:cs="Arial"/>
          <w:sz w:val="22"/>
          <w:lang w:val="es-CO"/>
        </w:rPr>
        <w:t>, dado su particular objeto y naturaleza</w:t>
      </w:r>
      <w:r w:rsidR="00AE4DE5" w:rsidRPr="000E5D20">
        <w:rPr>
          <w:rFonts w:ascii="Arial" w:hAnsi="Arial" w:cs="Arial"/>
          <w:sz w:val="22"/>
          <w:lang w:val="es-CO"/>
        </w:rPr>
        <w:t xml:space="preserve"> </w:t>
      </w:r>
      <w:r w:rsidR="00AE4DE5">
        <w:rPr>
          <w:rFonts w:ascii="Arial" w:hAnsi="Arial" w:cs="Arial"/>
          <w:sz w:val="22"/>
          <w:lang w:val="es-CO"/>
        </w:rPr>
        <w:t>especial</w:t>
      </w:r>
      <w:r w:rsidR="000B46DD">
        <w:rPr>
          <w:rFonts w:ascii="Arial" w:hAnsi="Arial" w:cs="Arial"/>
          <w:sz w:val="22"/>
          <w:lang w:val="es-CO"/>
        </w:rPr>
        <w:t>, que hacen d</w:t>
      </w:r>
      <w:r w:rsidR="000B46DD" w:rsidRPr="00090501">
        <w:rPr>
          <w:rFonts w:ascii="Arial" w:hAnsi="Arial" w:cs="Arial"/>
          <w:sz w:val="22"/>
          <w:lang w:val="es-CO"/>
        </w:rPr>
        <w:t>ifícil al Estado establecer las condiciones generales para realizar este tipo de contratación</w:t>
      </w:r>
      <w:r w:rsidR="00AE4DE5">
        <w:rPr>
          <w:rFonts w:ascii="Arial" w:hAnsi="Arial" w:cs="Arial"/>
          <w:sz w:val="22"/>
          <w:lang w:val="es-CO"/>
        </w:rPr>
        <w:t xml:space="preserve">. </w:t>
      </w:r>
      <w:r w:rsidR="00AE4DE5" w:rsidRPr="00384ECE">
        <w:rPr>
          <w:rFonts w:ascii="Arial" w:hAnsi="Arial" w:cs="Arial"/>
          <w:sz w:val="22"/>
          <w:lang w:val="es-CO"/>
        </w:rPr>
        <w:t>Sin embargo, la entidad cont</w:t>
      </w:r>
      <w:r w:rsidR="00AE4DE5" w:rsidRPr="00F71EEA">
        <w:rPr>
          <w:rFonts w:ascii="Arial" w:hAnsi="Arial" w:cs="Arial"/>
          <w:bCs/>
          <w:sz w:val="22"/>
          <w:lang w:val="es-CO"/>
        </w:rPr>
        <w:t>ratante</w:t>
      </w:r>
      <w:r w:rsidR="00AE4DE5">
        <w:rPr>
          <w:rFonts w:ascii="Arial" w:hAnsi="Arial" w:cs="Arial"/>
          <w:bCs/>
          <w:sz w:val="22"/>
          <w:lang w:val="es-CO"/>
        </w:rPr>
        <w:t>,</w:t>
      </w:r>
      <w:r w:rsidR="00AE4DE5" w:rsidRPr="00F71EEA">
        <w:rPr>
          <w:rFonts w:ascii="Arial" w:hAnsi="Arial" w:cs="Arial"/>
          <w:bCs/>
          <w:sz w:val="22"/>
          <w:lang w:val="es-CO"/>
        </w:rPr>
        <w:t xml:space="preserve"> al suscribir este tipo de contratos</w:t>
      </w:r>
      <w:r w:rsidR="00AE4DE5">
        <w:rPr>
          <w:rFonts w:ascii="Arial" w:hAnsi="Arial" w:cs="Arial"/>
          <w:bCs/>
          <w:sz w:val="22"/>
          <w:lang w:val="es-CO"/>
        </w:rPr>
        <w:t>,</w:t>
      </w:r>
      <w:r w:rsidR="00AE4DE5" w:rsidRPr="00F71EEA">
        <w:rPr>
          <w:rFonts w:ascii="Arial" w:hAnsi="Arial" w:cs="Arial"/>
          <w:bCs/>
          <w:sz w:val="22"/>
          <w:lang w:val="es-CO"/>
        </w:rPr>
        <w:t xml:space="preserve"> deberá aplicar los principios de economía, transparencia y selección objetiva, consagrados en </w:t>
      </w:r>
      <w:r>
        <w:rPr>
          <w:rFonts w:ascii="Arial" w:hAnsi="Arial" w:cs="Arial"/>
          <w:bCs/>
          <w:sz w:val="22"/>
          <w:lang w:val="es-CO"/>
        </w:rPr>
        <w:t>el Estatuto General de Contratación de la Administración Pública</w:t>
      </w:r>
      <w:r w:rsidR="00AE4DE5" w:rsidRPr="00F71EEA">
        <w:rPr>
          <w:rFonts w:ascii="Arial" w:hAnsi="Arial" w:cs="Arial"/>
          <w:bCs/>
          <w:sz w:val="22"/>
          <w:lang w:val="es-CO"/>
        </w:rPr>
        <w:t xml:space="preserve">. </w:t>
      </w:r>
    </w:p>
    <w:p w14:paraId="1A9153EE" w14:textId="222DBE30" w:rsidR="000E5D20" w:rsidRPr="003E11E2" w:rsidRDefault="000E5D20" w:rsidP="00210E7F">
      <w:pPr>
        <w:spacing w:after="120"/>
        <w:ind w:firstLine="709"/>
        <w:rPr>
          <w:rFonts w:ascii="Arial" w:hAnsi="Arial" w:cs="Arial"/>
          <w:sz w:val="22"/>
          <w:lang w:val="es-CO"/>
        </w:rPr>
      </w:pPr>
      <w:r w:rsidRPr="000E5D20">
        <w:rPr>
          <w:rFonts w:ascii="Arial" w:hAnsi="Arial" w:cs="Arial"/>
          <w:sz w:val="22"/>
          <w:lang w:val="es-CO"/>
        </w:rPr>
        <w:t>A</w:t>
      </w:r>
      <w:r w:rsidR="00C8598C">
        <w:rPr>
          <w:rFonts w:ascii="Arial" w:hAnsi="Arial" w:cs="Arial"/>
          <w:sz w:val="22"/>
          <w:lang w:val="es-CO"/>
        </w:rPr>
        <w:t>hora bien,</w:t>
      </w:r>
      <w:r w:rsidRPr="000E5D20">
        <w:rPr>
          <w:rFonts w:ascii="Arial" w:hAnsi="Arial" w:cs="Arial"/>
          <w:sz w:val="22"/>
          <w:lang w:val="es-CO"/>
        </w:rPr>
        <w:t xml:space="preserve"> </w:t>
      </w:r>
      <w:r w:rsidR="00C8598C">
        <w:rPr>
          <w:rFonts w:ascii="Arial" w:hAnsi="Arial" w:cs="Arial"/>
          <w:sz w:val="22"/>
          <w:lang w:val="es-CO"/>
        </w:rPr>
        <w:t xml:space="preserve">pese a </w:t>
      </w:r>
      <w:r w:rsidRPr="000E5D20">
        <w:rPr>
          <w:rFonts w:ascii="Arial" w:hAnsi="Arial" w:cs="Arial"/>
          <w:sz w:val="22"/>
          <w:lang w:val="es-CO"/>
        </w:rPr>
        <w:t xml:space="preserve">que </w:t>
      </w:r>
      <w:bookmarkStart w:id="35" w:name="_Hlk80119235"/>
      <w:r w:rsidRPr="000E5D20">
        <w:rPr>
          <w:rFonts w:ascii="Arial" w:hAnsi="Arial" w:cs="Arial"/>
          <w:sz w:val="22"/>
          <w:lang w:val="es-CO"/>
        </w:rPr>
        <w:t xml:space="preserve">el artículo 41 de la Ley 80 de 1993 hace referencia a las operaciones conexas a las de crédito público, el legislador </w:t>
      </w:r>
      <w:r w:rsidR="00C8598C">
        <w:rPr>
          <w:rFonts w:ascii="Arial" w:hAnsi="Arial" w:cs="Arial"/>
          <w:sz w:val="22"/>
          <w:lang w:val="es-CO"/>
        </w:rPr>
        <w:t>no definió el alcance</w:t>
      </w:r>
      <w:r w:rsidRPr="000E5D20">
        <w:rPr>
          <w:rFonts w:ascii="Arial" w:hAnsi="Arial" w:cs="Arial"/>
          <w:sz w:val="22"/>
          <w:lang w:val="es-CO"/>
        </w:rPr>
        <w:t xml:space="preserve"> de </w:t>
      </w:r>
      <w:r w:rsidR="00C8598C">
        <w:rPr>
          <w:rFonts w:ascii="Arial" w:hAnsi="Arial" w:cs="Arial"/>
          <w:sz w:val="22"/>
          <w:lang w:val="es-CO"/>
        </w:rPr>
        <w:t>estas últimas</w:t>
      </w:r>
      <w:r w:rsidRPr="000E5D20">
        <w:rPr>
          <w:rFonts w:ascii="Arial" w:hAnsi="Arial" w:cs="Arial"/>
          <w:sz w:val="22"/>
          <w:lang w:val="es-CO"/>
        </w:rPr>
        <w:t xml:space="preserve">. Sin embargo, </w:t>
      </w:r>
      <w:bookmarkStart w:id="36" w:name="_Hlk79357116"/>
      <w:r w:rsidRPr="000E5D20">
        <w:rPr>
          <w:rFonts w:ascii="Arial" w:hAnsi="Arial" w:cs="Arial"/>
          <w:sz w:val="22"/>
          <w:lang w:val="es-CO"/>
        </w:rPr>
        <w:t xml:space="preserve">el artículo 2.2.1.1.4 del Decreto Único </w:t>
      </w:r>
      <w:r w:rsidRPr="007219A6">
        <w:rPr>
          <w:rFonts w:ascii="Arial" w:hAnsi="Arial" w:cs="Arial"/>
          <w:sz w:val="22"/>
          <w:lang w:val="es-CO"/>
        </w:rPr>
        <w:t xml:space="preserve">Reglamentario </w:t>
      </w:r>
      <w:r w:rsidR="00C8598C">
        <w:rPr>
          <w:rFonts w:ascii="Arial" w:hAnsi="Arial" w:cs="Arial"/>
          <w:sz w:val="22"/>
          <w:lang w:val="es-CO"/>
        </w:rPr>
        <w:t>–</w:t>
      </w:r>
      <w:r w:rsidRPr="007219A6">
        <w:rPr>
          <w:rFonts w:ascii="Arial" w:hAnsi="Arial" w:cs="Arial"/>
          <w:sz w:val="22"/>
          <w:lang w:val="es-CO"/>
        </w:rPr>
        <w:t xml:space="preserve">que </w:t>
      </w:r>
      <w:r w:rsidR="00C8598C">
        <w:rPr>
          <w:rFonts w:ascii="Arial" w:hAnsi="Arial" w:cs="Arial"/>
          <w:sz w:val="22"/>
          <w:lang w:val="es-CO"/>
        </w:rPr>
        <w:t xml:space="preserve">compila </w:t>
      </w:r>
      <w:r w:rsidRPr="007219A6">
        <w:rPr>
          <w:rFonts w:ascii="Arial" w:hAnsi="Arial" w:cs="Arial"/>
          <w:sz w:val="22"/>
          <w:lang w:val="es-CO"/>
        </w:rPr>
        <w:t>el artículo 6 del Decreto 2681 de 1993</w:t>
      </w:r>
      <w:r w:rsidR="00C8598C">
        <w:rPr>
          <w:rFonts w:ascii="Arial" w:hAnsi="Arial" w:cs="Arial"/>
          <w:sz w:val="22"/>
          <w:lang w:val="es-CO"/>
        </w:rPr>
        <w:t>–</w:t>
      </w:r>
      <w:r w:rsidRPr="007219A6">
        <w:rPr>
          <w:rFonts w:ascii="Arial" w:hAnsi="Arial" w:cs="Arial"/>
          <w:sz w:val="22"/>
          <w:lang w:val="es-CO"/>
        </w:rPr>
        <w:t xml:space="preserve"> </w:t>
      </w:r>
      <w:r w:rsidR="00C8598C">
        <w:rPr>
          <w:rFonts w:ascii="Arial" w:hAnsi="Arial" w:cs="Arial"/>
          <w:sz w:val="22"/>
          <w:lang w:val="es-CO"/>
        </w:rPr>
        <w:t>dispone</w:t>
      </w:r>
      <w:r w:rsidR="00C8598C" w:rsidRPr="007219A6">
        <w:rPr>
          <w:rFonts w:ascii="Arial" w:hAnsi="Arial" w:cs="Arial"/>
          <w:sz w:val="22"/>
          <w:lang w:val="es-CO"/>
        </w:rPr>
        <w:t xml:space="preserve"> </w:t>
      </w:r>
      <w:r w:rsidR="003E11E2" w:rsidRPr="007219A6">
        <w:rPr>
          <w:rFonts w:ascii="Arial" w:hAnsi="Arial" w:cs="Arial"/>
          <w:sz w:val="22"/>
          <w:lang w:val="es-CO"/>
        </w:rPr>
        <w:t xml:space="preserve">que </w:t>
      </w:r>
      <w:bookmarkStart w:id="37" w:name="_Hlk79334231"/>
      <w:r w:rsidR="00D16FE4">
        <w:rPr>
          <w:rFonts w:ascii="Arial" w:hAnsi="Arial" w:cs="Arial"/>
          <w:sz w:val="22"/>
          <w:lang w:val="es-ES"/>
        </w:rPr>
        <w:t>«</w:t>
      </w:r>
      <w:r w:rsidR="00632B47">
        <w:rPr>
          <w:rFonts w:ascii="Arial" w:hAnsi="Arial" w:cs="Arial"/>
          <w:sz w:val="22"/>
        </w:rPr>
        <w:t>[s]</w:t>
      </w:r>
      <w:r w:rsidRPr="007219A6">
        <w:rPr>
          <w:rFonts w:ascii="Arial" w:hAnsi="Arial" w:cs="Arial"/>
          <w:sz w:val="22"/>
        </w:rPr>
        <w:t>e consideran conexas a las operaciones de crédito público</w:t>
      </w:r>
      <w:r w:rsidR="00D16FE4">
        <w:rPr>
          <w:rFonts w:ascii="Arial" w:hAnsi="Arial" w:cs="Arial"/>
          <w:sz w:val="22"/>
        </w:rPr>
        <w:t xml:space="preserve"> […]</w:t>
      </w:r>
      <w:r w:rsidRPr="007219A6">
        <w:rPr>
          <w:rFonts w:ascii="Arial" w:hAnsi="Arial" w:cs="Arial"/>
          <w:sz w:val="22"/>
        </w:rPr>
        <w:t xml:space="preserve"> </w:t>
      </w:r>
      <w:bookmarkStart w:id="38" w:name="_Hlk79341798"/>
      <w:r w:rsidRPr="007219A6">
        <w:rPr>
          <w:rFonts w:ascii="Arial" w:hAnsi="Arial" w:cs="Arial"/>
          <w:sz w:val="22"/>
        </w:rPr>
        <w:t>los actos o contratos relacionados que constituyen un medio necesario para la realización de tales operaciones</w:t>
      </w:r>
      <w:r w:rsidR="00D16FE4">
        <w:rPr>
          <w:rFonts w:ascii="Arial" w:hAnsi="Arial" w:cs="Arial"/>
          <w:sz w:val="22"/>
        </w:rPr>
        <w:t>»</w:t>
      </w:r>
      <w:r w:rsidR="003E11E2" w:rsidRPr="007219A6">
        <w:rPr>
          <w:rFonts w:ascii="Arial" w:hAnsi="Arial" w:cs="Arial"/>
          <w:sz w:val="22"/>
        </w:rPr>
        <w:t xml:space="preserve">. </w:t>
      </w:r>
      <w:bookmarkEnd w:id="37"/>
      <w:bookmarkEnd w:id="38"/>
    </w:p>
    <w:p w14:paraId="4D34DBA2" w14:textId="468555BC" w:rsidR="006E7837" w:rsidRDefault="003E11E2" w:rsidP="00210E7F">
      <w:pPr>
        <w:spacing w:after="120"/>
        <w:ind w:firstLine="709"/>
        <w:rPr>
          <w:rFonts w:ascii="Arial" w:hAnsi="Arial" w:cs="Arial"/>
          <w:sz w:val="22"/>
        </w:rPr>
      </w:pPr>
      <w:r w:rsidRPr="003E11E2">
        <w:rPr>
          <w:rFonts w:ascii="Arial" w:hAnsi="Arial" w:cs="Arial"/>
          <w:sz w:val="22"/>
          <w:lang w:val="es-CO"/>
        </w:rPr>
        <w:t xml:space="preserve">De acuerdo con la citada </w:t>
      </w:r>
      <w:r>
        <w:rPr>
          <w:rFonts w:ascii="Arial" w:hAnsi="Arial" w:cs="Arial"/>
          <w:sz w:val="22"/>
          <w:lang w:val="es-CO"/>
        </w:rPr>
        <w:t xml:space="preserve">disposición </w:t>
      </w:r>
      <w:r w:rsidRPr="003E11E2">
        <w:rPr>
          <w:rFonts w:ascii="Arial" w:hAnsi="Arial" w:cs="Arial"/>
          <w:sz w:val="22"/>
          <w:lang w:val="es-CO"/>
        </w:rPr>
        <w:t xml:space="preserve">reglamentaria son </w:t>
      </w:r>
      <w:r w:rsidR="000E5D20" w:rsidRPr="003E11E2">
        <w:rPr>
          <w:rFonts w:ascii="Arial" w:hAnsi="Arial" w:cs="Arial"/>
          <w:sz w:val="22"/>
        </w:rPr>
        <w:t>conexos a las operaciones de crédito público, entre otros, los contratos necesarios para</w:t>
      </w:r>
      <w:r w:rsidRPr="003E11E2">
        <w:rPr>
          <w:rFonts w:ascii="Arial" w:hAnsi="Arial" w:cs="Arial"/>
          <w:sz w:val="22"/>
        </w:rPr>
        <w:t xml:space="preserve"> </w:t>
      </w:r>
      <w:r w:rsidR="000E5D20" w:rsidRPr="003E11E2">
        <w:rPr>
          <w:rFonts w:ascii="Arial" w:hAnsi="Arial" w:cs="Arial"/>
          <w:sz w:val="22"/>
        </w:rPr>
        <w:t>el otorgamiento de garantías o contragarantías a operaciones de crédito público; los contratos de edición, colocación, incluida la colocación garantizada, fideicomiso, encargo fiduciario, garantía y administración de títulos de deuda pública en el mercado de valores, así como los contratos para la calificación de la inversión o de valores, requeridos para la emisión y colocación de tales títulos en los mercados de capitales.</w:t>
      </w:r>
      <w:r w:rsidR="00D16FE4">
        <w:rPr>
          <w:rFonts w:ascii="Arial" w:hAnsi="Arial" w:cs="Arial"/>
          <w:sz w:val="22"/>
        </w:rPr>
        <w:t xml:space="preserve"> </w:t>
      </w:r>
    </w:p>
    <w:p w14:paraId="10895374" w14:textId="3ABE5379" w:rsidR="000E5D20" w:rsidRPr="000E5D20" w:rsidRDefault="000E5D20" w:rsidP="00210E7F">
      <w:pPr>
        <w:spacing w:after="0"/>
        <w:ind w:firstLine="708"/>
        <w:rPr>
          <w:rFonts w:ascii="Arial" w:hAnsi="Arial" w:cs="Arial"/>
          <w:sz w:val="22"/>
          <w:lang w:val="es-ES"/>
        </w:rPr>
      </w:pPr>
      <w:r w:rsidRPr="003E11E2">
        <w:rPr>
          <w:rFonts w:ascii="Arial" w:hAnsi="Arial" w:cs="Arial"/>
          <w:sz w:val="22"/>
        </w:rPr>
        <w:t>Igualmente</w:t>
      </w:r>
      <w:r w:rsidR="003E11E2">
        <w:rPr>
          <w:rFonts w:ascii="Arial" w:hAnsi="Arial" w:cs="Arial"/>
          <w:sz w:val="22"/>
        </w:rPr>
        <w:t>,</w:t>
      </w:r>
      <w:r w:rsidRPr="003E11E2">
        <w:rPr>
          <w:rFonts w:ascii="Arial" w:hAnsi="Arial" w:cs="Arial"/>
          <w:sz w:val="22"/>
        </w:rPr>
        <w:t xml:space="preserve"> </w:t>
      </w:r>
      <w:r w:rsidR="003E11E2">
        <w:rPr>
          <w:rFonts w:ascii="Arial" w:hAnsi="Arial" w:cs="Arial"/>
          <w:sz w:val="22"/>
        </w:rPr>
        <w:t xml:space="preserve">la norma en mención </w:t>
      </w:r>
      <w:r w:rsidR="00D16FE4">
        <w:rPr>
          <w:rFonts w:ascii="Arial" w:hAnsi="Arial" w:cs="Arial"/>
          <w:sz w:val="22"/>
        </w:rPr>
        <w:t xml:space="preserve">indica </w:t>
      </w:r>
      <w:r w:rsidR="003E11E2">
        <w:rPr>
          <w:rFonts w:ascii="Arial" w:hAnsi="Arial" w:cs="Arial"/>
          <w:sz w:val="22"/>
        </w:rPr>
        <w:t xml:space="preserve">que también son </w:t>
      </w:r>
      <w:r w:rsidRPr="003E11E2">
        <w:rPr>
          <w:rFonts w:ascii="Arial" w:hAnsi="Arial" w:cs="Arial"/>
          <w:sz w:val="22"/>
        </w:rPr>
        <w:t xml:space="preserve">conexos a operaciones de crédito público </w:t>
      </w:r>
      <w:r w:rsidR="00D16FE4">
        <w:rPr>
          <w:rFonts w:ascii="Arial" w:hAnsi="Arial" w:cs="Arial"/>
          <w:sz w:val="22"/>
        </w:rPr>
        <w:t xml:space="preserve">«[…] </w:t>
      </w:r>
      <w:r w:rsidRPr="003E11E2">
        <w:rPr>
          <w:rFonts w:ascii="Arial" w:hAnsi="Arial" w:cs="Arial"/>
          <w:sz w:val="22"/>
        </w:rPr>
        <w:t>los contratos de intermediación necesarios para llevar a cabo tales operaciones y los de asistencia o asesoría necesarios para la negociación, contratación, o representación de la entidad estatal en el exterior que deban realizarse por personas o entidades expertas en estas materias</w:t>
      </w:r>
      <w:r w:rsidR="00D16FE4">
        <w:rPr>
          <w:rFonts w:ascii="Arial" w:hAnsi="Arial" w:cs="Arial"/>
          <w:sz w:val="22"/>
        </w:rPr>
        <w:t>»</w:t>
      </w:r>
      <w:r w:rsidRPr="003E11E2">
        <w:rPr>
          <w:rFonts w:ascii="Arial" w:hAnsi="Arial" w:cs="Arial"/>
          <w:sz w:val="22"/>
        </w:rPr>
        <w:t>.</w:t>
      </w:r>
      <w:r w:rsidR="003E11E2">
        <w:rPr>
          <w:rFonts w:ascii="Arial" w:hAnsi="Arial" w:cs="Arial"/>
          <w:sz w:val="22"/>
        </w:rPr>
        <w:t xml:space="preserve"> </w:t>
      </w:r>
      <w:r w:rsidR="006E7837">
        <w:rPr>
          <w:rFonts w:ascii="Arial" w:hAnsi="Arial" w:cs="Arial"/>
          <w:sz w:val="22"/>
        </w:rPr>
        <w:t>Además</w:t>
      </w:r>
      <w:r w:rsidR="003E11E2">
        <w:rPr>
          <w:rFonts w:ascii="Arial" w:hAnsi="Arial" w:cs="Arial"/>
          <w:sz w:val="22"/>
        </w:rPr>
        <w:t xml:space="preserve">, el precepto reglamentario </w:t>
      </w:r>
      <w:r w:rsidR="006E7837">
        <w:rPr>
          <w:rFonts w:ascii="Arial" w:hAnsi="Arial" w:cs="Arial"/>
          <w:sz w:val="22"/>
        </w:rPr>
        <w:t xml:space="preserve">prescribe </w:t>
      </w:r>
      <w:r w:rsidR="003E11E2">
        <w:rPr>
          <w:rFonts w:ascii="Arial" w:hAnsi="Arial" w:cs="Arial"/>
          <w:sz w:val="22"/>
        </w:rPr>
        <w:t xml:space="preserve">que las </w:t>
      </w:r>
      <w:r w:rsidRPr="003E11E2">
        <w:rPr>
          <w:rFonts w:ascii="Arial" w:hAnsi="Arial" w:cs="Arial"/>
          <w:sz w:val="22"/>
        </w:rPr>
        <w:t>operaciones conexas se contratarán en forma directa, sin someterse al procedimiento de licitación o concurso de méritos.</w:t>
      </w:r>
      <w:bookmarkEnd w:id="35"/>
      <w:r w:rsidR="006E7837">
        <w:rPr>
          <w:rFonts w:ascii="Arial" w:hAnsi="Arial" w:cs="Arial"/>
          <w:sz w:val="22"/>
          <w:lang w:val="es-ES"/>
        </w:rPr>
        <w:t xml:space="preserve"> En este sentido</w:t>
      </w:r>
      <w:bookmarkEnd w:id="36"/>
      <w:r w:rsidRPr="000E5D20">
        <w:rPr>
          <w:rFonts w:ascii="Arial" w:hAnsi="Arial" w:cs="Arial"/>
          <w:sz w:val="22"/>
          <w:lang w:val="es-ES"/>
        </w:rPr>
        <w:t xml:space="preserve">, los lineamientos técnicos del Departamento Nacional de Planeación han dado una pauta similar a aquella fijada en la norma reglamentaria, </w:t>
      </w:r>
      <w:r w:rsidR="006E7837">
        <w:rPr>
          <w:rFonts w:ascii="Arial" w:hAnsi="Arial" w:cs="Arial"/>
          <w:sz w:val="22"/>
          <w:lang w:val="es-ES"/>
        </w:rPr>
        <w:t>explicando que las operaciones conexas</w:t>
      </w:r>
      <w:r w:rsidRPr="000E5D20">
        <w:rPr>
          <w:rFonts w:ascii="Arial" w:hAnsi="Arial" w:cs="Arial"/>
          <w:sz w:val="22"/>
          <w:lang w:val="es-ES"/>
        </w:rPr>
        <w:t>:</w:t>
      </w:r>
    </w:p>
    <w:p w14:paraId="7F53357F" w14:textId="77777777" w:rsidR="000E5D20" w:rsidRPr="000E5D20" w:rsidRDefault="000E5D20" w:rsidP="00090501">
      <w:pPr>
        <w:spacing w:after="0"/>
        <w:rPr>
          <w:rFonts w:ascii="Arial" w:hAnsi="Arial" w:cs="Arial"/>
          <w:sz w:val="22"/>
          <w:lang w:val="es-ES"/>
        </w:rPr>
      </w:pPr>
    </w:p>
    <w:p w14:paraId="3638375B" w14:textId="147A262E" w:rsidR="000E5D20" w:rsidRPr="000E5D20" w:rsidRDefault="006E7837">
      <w:pPr>
        <w:spacing w:after="0"/>
        <w:ind w:left="720" w:right="709"/>
        <w:rPr>
          <w:rFonts w:ascii="Arial" w:hAnsi="Arial" w:cs="Arial"/>
          <w:sz w:val="21"/>
          <w:szCs w:val="21"/>
        </w:rPr>
      </w:pPr>
      <w:r>
        <w:rPr>
          <w:rFonts w:ascii="Arial" w:hAnsi="Arial" w:cs="Arial"/>
          <w:sz w:val="21"/>
          <w:szCs w:val="21"/>
          <w:lang w:val="es-ES"/>
        </w:rPr>
        <w:t>S</w:t>
      </w:r>
      <w:proofErr w:type="spellStart"/>
      <w:r w:rsidR="000E5D20" w:rsidRPr="000E5D20">
        <w:rPr>
          <w:rFonts w:ascii="Arial" w:hAnsi="Arial" w:cs="Arial"/>
          <w:sz w:val="21"/>
          <w:szCs w:val="21"/>
          <w:u w:val="single"/>
        </w:rPr>
        <w:t>on</w:t>
      </w:r>
      <w:proofErr w:type="spellEnd"/>
      <w:r w:rsidR="000E5D20" w:rsidRPr="000E5D20">
        <w:rPr>
          <w:rFonts w:ascii="Arial" w:hAnsi="Arial" w:cs="Arial"/>
          <w:sz w:val="21"/>
          <w:szCs w:val="21"/>
          <w:u w:val="single"/>
        </w:rPr>
        <w:t xml:space="preserve"> todos los actos o contratos necesarios para la realización de operaciones de crédito</w:t>
      </w:r>
      <w:r w:rsidR="000E5D20" w:rsidRPr="000E5D20">
        <w:rPr>
          <w:rFonts w:ascii="Arial" w:hAnsi="Arial" w:cs="Arial"/>
          <w:sz w:val="21"/>
          <w:szCs w:val="21"/>
          <w:u w:val="single"/>
          <w:lang w:val="es-ES"/>
        </w:rPr>
        <w:t xml:space="preserve"> </w:t>
      </w:r>
      <w:r w:rsidR="000E5D20" w:rsidRPr="000E5D20">
        <w:rPr>
          <w:rFonts w:ascii="Arial" w:hAnsi="Arial" w:cs="Arial"/>
          <w:sz w:val="21"/>
          <w:szCs w:val="21"/>
          <w:u w:val="single"/>
        </w:rPr>
        <w:t xml:space="preserve">público </w:t>
      </w:r>
      <w:r>
        <w:rPr>
          <w:rFonts w:ascii="Arial" w:hAnsi="Arial" w:cs="Arial"/>
          <w:sz w:val="21"/>
          <w:szCs w:val="21"/>
          <w:u w:val="single"/>
        </w:rPr>
        <w:t>[…]</w:t>
      </w:r>
      <w:r w:rsidR="000E5D20" w:rsidRPr="000E5D20">
        <w:rPr>
          <w:rFonts w:ascii="Arial" w:hAnsi="Arial" w:cs="Arial"/>
          <w:sz w:val="21"/>
          <w:szCs w:val="21"/>
          <w:u w:val="single"/>
        </w:rPr>
        <w:t>. Se contratan en forma directa sin</w:t>
      </w:r>
      <w:r w:rsidR="000E5D20" w:rsidRPr="000E5D20">
        <w:rPr>
          <w:rFonts w:ascii="Arial" w:hAnsi="Arial" w:cs="Arial"/>
          <w:sz w:val="21"/>
          <w:szCs w:val="21"/>
          <w:u w:val="single"/>
          <w:lang w:val="es-ES"/>
        </w:rPr>
        <w:t xml:space="preserve"> </w:t>
      </w:r>
      <w:r w:rsidR="000E5D20" w:rsidRPr="000E5D20">
        <w:rPr>
          <w:rFonts w:ascii="Arial" w:hAnsi="Arial" w:cs="Arial"/>
          <w:sz w:val="21"/>
          <w:szCs w:val="21"/>
          <w:u w:val="single"/>
        </w:rPr>
        <w:t xml:space="preserve">someterse al procedimiento de licitación o concurso de </w:t>
      </w:r>
      <w:r w:rsidR="000E5D20" w:rsidRPr="006E7E8C">
        <w:rPr>
          <w:rFonts w:ascii="Arial" w:hAnsi="Arial" w:cs="Arial"/>
          <w:sz w:val="21"/>
          <w:szCs w:val="21"/>
          <w:u w:val="single"/>
        </w:rPr>
        <w:t>méritos, por cuanto la</w:t>
      </w:r>
      <w:r w:rsidR="000E5D20" w:rsidRPr="006E7E8C">
        <w:rPr>
          <w:rFonts w:ascii="Arial" w:hAnsi="Arial" w:cs="Arial"/>
          <w:sz w:val="21"/>
          <w:szCs w:val="21"/>
          <w:u w:val="single"/>
          <w:lang w:val="es-ES"/>
        </w:rPr>
        <w:t xml:space="preserve"> </w:t>
      </w:r>
      <w:r w:rsidR="000E5D20" w:rsidRPr="006E7E8C">
        <w:rPr>
          <w:rFonts w:ascii="Arial" w:hAnsi="Arial" w:cs="Arial"/>
          <w:sz w:val="21"/>
          <w:szCs w:val="21"/>
          <w:u w:val="single"/>
        </w:rPr>
        <w:t>autorización está dada implícitamente en la operación a la que es conexa</w:t>
      </w:r>
      <w:r w:rsidR="000E5D20" w:rsidRPr="000E5D20">
        <w:rPr>
          <w:rFonts w:ascii="Arial" w:hAnsi="Arial" w:cs="Arial"/>
          <w:sz w:val="21"/>
          <w:szCs w:val="21"/>
        </w:rPr>
        <w:t>.</w:t>
      </w:r>
    </w:p>
    <w:p w14:paraId="25B07F64" w14:textId="77777777" w:rsidR="000E5D20" w:rsidRPr="000E5D20" w:rsidRDefault="000E5D20">
      <w:pPr>
        <w:pStyle w:val="Prrafodelista"/>
        <w:spacing w:after="0"/>
        <w:ind w:right="709"/>
        <w:rPr>
          <w:rFonts w:ascii="Arial" w:hAnsi="Arial" w:cs="Arial"/>
          <w:sz w:val="21"/>
          <w:szCs w:val="21"/>
        </w:rPr>
      </w:pPr>
    </w:p>
    <w:p w14:paraId="7F13F74A" w14:textId="14A4B845" w:rsidR="000E5D20" w:rsidRDefault="000E5D20" w:rsidP="00210E7F">
      <w:pPr>
        <w:pStyle w:val="Prrafodelista"/>
        <w:spacing w:after="0"/>
        <w:ind w:right="709"/>
        <w:rPr>
          <w:rFonts w:ascii="Arial" w:hAnsi="Arial" w:cs="Arial"/>
          <w:sz w:val="21"/>
          <w:szCs w:val="21"/>
        </w:rPr>
      </w:pPr>
      <w:r w:rsidRPr="000E5D20">
        <w:rPr>
          <w:rFonts w:ascii="Arial" w:hAnsi="Arial" w:cs="Arial"/>
          <w:sz w:val="21"/>
          <w:szCs w:val="21"/>
        </w:rPr>
        <w:t>Tipos de Operaciones (Entre Otras)</w:t>
      </w:r>
    </w:p>
    <w:p w14:paraId="0E3DEADD" w14:textId="77777777" w:rsidR="000E5D20" w:rsidRPr="000E5D20" w:rsidRDefault="000E5D20" w:rsidP="00210E7F">
      <w:pPr>
        <w:pStyle w:val="Prrafodelista"/>
        <w:spacing w:after="0"/>
        <w:ind w:right="709" w:firstLine="360"/>
        <w:rPr>
          <w:rFonts w:ascii="Arial" w:hAnsi="Arial" w:cs="Arial"/>
          <w:sz w:val="21"/>
          <w:szCs w:val="21"/>
        </w:rPr>
      </w:pPr>
    </w:p>
    <w:p w14:paraId="3C02DB87" w14:textId="77777777" w:rsidR="000E5D20" w:rsidRPr="000E5D20" w:rsidRDefault="000E5D20" w:rsidP="00210E7F">
      <w:pPr>
        <w:pStyle w:val="Prrafodelista"/>
        <w:numPr>
          <w:ilvl w:val="0"/>
          <w:numId w:val="33"/>
        </w:numPr>
        <w:spacing w:after="0"/>
        <w:ind w:left="1134" w:right="709" w:hanging="425"/>
        <w:rPr>
          <w:rFonts w:ascii="Arial" w:hAnsi="Arial" w:cs="Arial"/>
          <w:sz w:val="21"/>
          <w:szCs w:val="21"/>
        </w:rPr>
      </w:pPr>
      <w:r w:rsidRPr="000E5D20">
        <w:rPr>
          <w:rFonts w:ascii="Arial" w:hAnsi="Arial" w:cs="Arial"/>
          <w:sz w:val="21"/>
          <w:szCs w:val="21"/>
        </w:rPr>
        <w:lastRenderedPageBreak/>
        <w:t>Los contratos necesarios para el otorgamiento de garantías o contragarantías a</w:t>
      </w:r>
      <w:r w:rsidRPr="000E5D20">
        <w:rPr>
          <w:rFonts w:ascii="Arial" w:hAnsi="Arial" w:cs="Arial"/>
          <w:sz w:val="21"/>
          <w:szCs w:val="21"/>
          <w:lang w:val="es-ES"/>
        </w:rPr>
        <w:t xml:space="preserve"> </w:t>
      </w:r>
      <w:r w:rsidRPr="000E5D20">
        <w:rPr>
          <w:rFonts w:ascii="Arial" w:hAnsi="Arial" w:cs="Arial"/>
          <w:sz w:val="21"/>
          <w:szCs w:val="21"/>
        </w:rPr>
        <w:t>operaciones de crédito público.</w:t>
      </w:r>
    </w:p>
    <w:p w14:paraId="54AC9771" w14:textId="77777777" w:rsidR="000E5D20" w:rsidRPr="000E5D20" w:rsidRDefault="000E5D20" w:rsidP="00210E7F">
      <w:pPr>
        <w:pStyle w:val="Prrafodelista"/>
        <w:numPr>
          <w:ilvl w:val="0"/>
          <w:numId w:val="33"/>
        </w:numPr>
        <w:spacing w:after="0"/>
        <w:ind w:left="1134" w:right="709" w:hanging="425"/>
        <w:rPr>
          <w:rFonts w:ascii="Arial" w:hAnsi="Arial" w:cs="Arial"/>
          <w:sz w:val="21"/>
          <w:szCs w:val="21"/>
        </w:rPr>
      </w:pPr>
      <w:r w:rsidRPr="000E5D20">
        <w:rPr>
          <w:rFonts w:ascii="Arial" w:hAnsi="Arial" w:cs="Arial"/>
          <w:sz w:val="21"/>
          <w:szCs w:val="21"/>
        </w:rPr>
        <w:t>Los contratos de edición, colocación, colocación garantizada, fideicomiso o</w:t>
      </w:r>
      <w:r w:rsidRPr="000E5D20">
        <w:rPr>
          <w:rFonts w:ascii="Arial" w:hAnsi="Arial" w:cs="Arial"/>
          <w:sz w:val="21"/>
          <w:szCs w:val="21"/>
          <w:lang w:val="es-ES"/>
        </w:rPr>
        <w:t xml:space="preserve"> </w:t>
      </w:r>
      <w:r w:rsidRPr="000E5D20">
        <w:rPr>
          <w:rFonts w:ascii="Arial" w:hAnsi="Arial" w:cs="Arial"/>
          <w:sz w:val="21"/>
          <w:szCs w:val="21"/>
        </w:rPr>
        <w:t>encargo fiduciarios, garantía y administración de títulos de deuda pública en el</w:t>
      </w:r>
      <w:r w:rsidRPr="000E5D20">
        <w:rPr>
          <w:rFonts w:ascii="Arial" w:hAnsi="Arial" w:cs="Arial"/>
          <w:sz w:val="21"/>
          <w:szCs w:val="21"/>
          <w:lang w:val="es-ES"/>
        </w:rPr>
        <w:t xml:space="preserve"> </w:t>
      </w:r>
      <w:r w:rsidRPr="000E5D20">
        <w:rPr>
          <w:rFonts w:ascii="Arial" w:hAnsi="Arial" w:cs="Arial"/>
          <w:sz w:val="21"/>
          <w:szCs w:val="21"/>
        </w:rPr>
        <w:t>mercado de valores.</w:t>
      </w:r>
    </w:p>
    <w:p w14:paraId="7C3ABC3D" w14:textId="77777777" w:rsidR="000E5D20" w:rsidRPr="000E5D20" w:rsidRDefault="000E5D20" w:rsidP="00210E7F">
      <w:pPr>
        <w:pStyle w:val="Prrafodelista"/>
        <w:numPr>
          <w:ilvl w:val="0"/>
          <w:numId w:val="33"/>
        </w:numPr>
        <w:spacing w:after="0"/>
        <w:ind w:left="1134" w:right="709" w:hanging="425"/>
        <w:rPr>
          <w:rFonts w:ascii="Arial" w:hAnsi="Arial" w:cs="Arial"/>
          <w:sz w:val="21"/>
          <w:szCs w:val="21"/>
        </w:rPr>
      </w:pPr>
      <w:r w:rsidRPr="000E5D20">
        <w:rPr>
          <w:rFonts w:ascii="Arial" w:hAnsi="Arial" w:cs="Arial"/>
          <w:sz w:val="21"/>
          <w:szCs w:val="21"/>
        </w:rPr>
        <w:t>Los contratos para la calificación de la inversión o de valores, requeridos para la</w:t>
      </w:r>
      <w:r w:rsidRPr="000E5D20">
        <w:rPr>
          <w:rFonts w:ascii="Arial" w:hAnsi="Arial" w:cs="Arial"/>
          <w:sz w:val="21"/>
          <w:szCs w:val="21"/>
          <w:lang w:val="es-ES"/>
        </w:rPr>
        <w:t xml:space="preserve"> </w:t>
      </w:r>
      <w:r w:rsidRPr="000E5D20">
        <w:rPr>
          <w:rFonts w:ascii="Arial" w:hAnsi="Arial" w:cs="Arial"/>
          <w:sz w:val="21"/>
          <w:szCs w:val="21"/>
        </w:rPr>
        <w:t>emisión y colocación de títulos en los mercados de capitales.</w:t>
      </w:r>
    </w:p>
    <w:p w14:paraId="74546977" w14:textId="7436E270" w:rsidR="000E5D20" w:rsidRPr="000E5D20" w:rsidRDefault="000E5D20" w:rsidP="00210E7F">
      <w:pPr>
        <w:pStyle w:val="Prrafodelista"/>
        <w:numPr>
          <w:ilvl w:val="0"/>
          <w:numId w:val="33"/>
        </w:numPr>
        <w:spacing w:after="0"/>
        <w:ind w:left="1134" w:right="709" w:hanging="425"/>
        <w:rPr>
          <w:rFonts w:ascii="Arial" w:hAnsi="Arial" w:cs="Arial"/>
          <w:sz w:val="21"/>
          <w:szCs w:val="21"/>
        </w:rPr>
      </w:pPr>
      <w:r w:rsidRPr="000E5D20">
        <w:rPr>
          <w:rFonts w:ascii="Arial" w:hAnsi="Arial" w:cs="Arial"/>
          <w:sz w:val="21"/>
          <w:szCs w:val="21"/>
        </w:rPr>
        <w:t>Los contratos de intermediación necesarios para llevar a cabo operaciones de</w:t>
      </w:r>
      <w:r w:rsidRPr="000E5D20">
        <w:rPr>
          <w:rFonts w:ascii="Arial" w:hAnsi="Arial" w:cs="Arial"/>
          <w:sz w:val="21"/>
          <w:szCs w:val="21"/>
          <w:lang w:val="es-ES"/>
        </w:rPr>
        <w:t xml:space="preserve"> </w:t>
      </w:r>
      <w:r w:rsidRPr="000E5D20">
        <w:rPr>
          <w:rFonts w:ascii="Arial" w:hAnsi="Arial" w:cs="Arial"/>
          <w:sz w:val="21"/>
          <w:szCs w:val="21"/>
        </w:rPr>
        <w:t>crédito público</w:t>
      </w:r>
      <w:r w:rsidRPr="000E5D20">
        <w:rPr>
          <w:rStyle w:val="Refdenotaalpie"/>
          <w:rFonts w:ascii="Arial" w:hAnsi="Arial" w:cs="Arial"/>
          <w:sz w:val="21"/>
          <w:szCs w:val="21"/>
          <w:lang w:val="es-ES"/>
        </w:rPr>
        <w:footnoteReference w:id="30"/>
      </w:r>
      <w:r w:rsidR="006E7837">
        <w:rPr>
          <w:rFonts w:ascii="Arial" w:hAnsi="Arial" w:cs="Arial"/>
          <w:sz w:val="21"/>
          <w:szCs w:val="21"/>
          <w:lang w:val="es-ES"/>
        </w:rPr>
        <w:t>.</w:t>
      </w:r>
      <w:r w:rsidRPr="000E5D20">
        <w:rPr>
          <w:rFonts w:ascii="Arial" w:hAnsi="Arial" w:cs="Arial"/>
          <w:sz w:val="21"/>
          <w:szCs w:val="21"/>
          <w:lang w:val="es-ES"/>
        </w:rPr>
        <w:t xml:space="preserve"> (subraya fuera del texto original)</w:t>
      </w:r>
    </w:p>
    <w:p w14:paraId="34149108" w14:textId="38D7B85E" w:rsidR="007219A6" w:rsidRDefault="007219A6" w:rsidP="00D2364D">
      <w:pPr>
        <w:spacing w:after="0"/>
        <w:rPr>
          <w:rFonts w:ascii="Arial" w:hAnsi="Arial" w:cs="Arial"/>
          <w:sz w:val="22"/>
          <w:lang w:val="es-ES"/>
        </w:rPr>
      </w:pPr>
    </w:p>
    <w:p w14:paraId="40790323" w14:textId="5D58EE60" w:rsidR="00C345AA" w:rsidRDefault="00C345AA" w:rsidP="00210E7F">
      <w:pPr>
        <w:spacing w:after="120"/>
        <w:ind w:firstLine="709"/>
        <w:rPr>
          <w:rFonts w:ascii="Arial" w:hAnsi="Arial" w:cs="Arial"/>
          <w:sz w:val="22"/>
          <w:lang w:val="es-ES"/>
        </w:rPr>
      </w:pPr>
      <w:r>
        <w:rPr>
          <w:rFonts w:ascii="Arial" w:hAnsi="Arial" w:cs="Arial"/>
          <w:sz w:val="22"/>
          <w:lang w:val="es-ES"/>
        </w:rPr>
        <w:t xml:space="preserve">Por consiguiente, </w:t>
      </w:r>
      <w:bookmarkStart w:id="39" w:name="_Hlk79357198"/>
      <w:bookmarkStart w:id="40" w:name="_Hlk80119480"/>
      <w:r>
        <w:rPr>
          <w:rFonts w:ascii="Arial" w:hAnsi="Arial" w:cs="Arial"/>
          <w:sz w:val="22"/>
          <w:lang w:val="es-ES"/>
        </w:rPr>
        <w:t xml:space="preserve">las </w:t>
      </w:r>
      <w:r w:rsidRPr="00C345AA">
        <w:rPr>
          <w:rFonts w:ascii="Arial" w:hAnsi="Arial" w:cs="Arial"/>
          <w:sz w:val="22"/>
          <w:lang w:val="es-ES"/>
        </w:rPr>
        <w:t xml:space="preserve">operaciones </w:t>
      </w:r>
      <w:r w:rsidR="003314DB">
        <w:rPr>
          <w:rFonts w:ascii="Arial" w:hAnsi="Arial" w:cs="Arial"/>
          <w:sz w:val="22"/>
          <w:lang w:val="es-ES"/>
        </w:rPr>
        <w:t xml:space="preserve">conexas </w:t>
      </w:r>
      <w:r>
        <w:rPr>
          <w:rFonts w:ascii="Arial" w:hAnsi="Arial" w:cs="Arial"/>
          <w:sz w:val="22"/>
          <w:lang w:val="es-ES"/>
        </w:rPr>
        <w:t>corresponden</w:t>
      </w:r>
      <w:r w:rsidRPr="00C345AA">
        <w:rPr>
          <w:rFonts w:ascii="Arial" w:hAnsi="Arial" w:cs="Arial"/>
          <w:sz w:val="22"/>
          <w:lang w:val="es-ES"/>
        </w:rPr>
        <w:t xml:space="preserve"> a actos</w:t>
      </w:r>
      <w:r>
        <w:rPr>
          <w:rFonts w:ascii="Arial" w:hAnsi="Arial" w:cs="Arial"/>
          <w:sz w:val="22"/>
          <w:lang w:val="es-ES"/>
        </w:rPr>
        <w:t xml:space="preserve"> y contratos</w:t>
      </w:r>
      <w:r w:rsidRPr="00C345AA">
        <w:rPr>
          <w:rFonts w:ascii="Arial" w:hAnsi="Arial" w:cs="Arial"/>
          <w:sz w:val="22"/>
          <w:lang w:val="es-ES"/>
        </w:rPr>
        <w:t xml:space="preserve"> celebra</w:t>
      </w:r>
      <w:r w:rsidR="003314DB">
        <w:rPr>
          <w:rFonts w:ascii="Arial" w:hAnsi="Arial" w:cs="Arial"/>
          <w:sz w:val="22"/>
          <w:lang w:val="es-ES"/>
        </w:rPr>
        <w:t>dos durante el proceso que se adelanta para lograr la</w:t>
      </w:r>
      <w:r>
        <w:rPr>
          <w:rFonts w:ascii="Arial" w:hAnsi="Arial" w:cs="Arial"/>
          <w:sz w:val="22"/>
          <w:lang w:val="es-ES"/>
        </w:rPr>
        <w:t xml:space="preserve"> operación de crédito públ</w:t>
      </w:r>
      <w:r w:rsidR="003314DB">
        <w:rPr>
          <w:rFonts w:ascii="Arial" w:hAnsi="Arial" w:cs="Arial"/>
          <w:sz w:val="22"/>
          <w:lang w:val="es-ES"/>
        </w:rPr>
        <w:t xml:space="preserve">ico y no se entienden de manera aislada a la actuación económica perseguida, dado que, su esencia, es la de servir de instrumento que facilita y permite la operación. </w:t>
      </w:r>
      <w:r w:rsidR="00273A97">
        <w:rPr>
          <w:rFonts w:ascii="Arial" w:hAnsi="Arial" w:cs="Arial"/>
          <w:sz w:val="22"/>
          <w:lang w:val="es-ES"/>
        </w:rPr>
        <w:t xml:space="preserve">Por eso, </w:t>
      </w:r>
      <w:r w:rsidR="0083620E">
        <w:rPr>
          <w:rFonts w:ascii="Arial" w:hAnsi="Arial" w:cs="Arial"/>
          <w:sz w:val="22"/>
          <w:lang w:val="es-ES"/>
        </w:rPr>
        <w:t xml:space="preserve">incluso, </w:t>
      </w:r>
      <w:r w:rsidR="00273A97">
        <w:rPr>
          <w:rFonts w:ascii="Arial" w:hAnsi="Arial" w:cs="Arial"/>
          <w:sz w:val="22"/>
          <w:lang w:val="es-ES"/>
        </w:rPr>
        <w:t>pueden</w:t>
      </w:r>
      <w:r w:rsidR="0083620E">
        <w:rPr>
          <w:rFonts w:ascii="Arial" w:hAnsi="Arial" w:cs="Arial"/>
          <w:sz w:val="22"/>
          <w:lang w:val="es-ES"/>
        </w:rPr>
        <w:t xml:space="preserve"> ser también</w:t>
      </w:r>
      <w:r w:rsidR="00273A97">
        <w:rPr>
          <w:rFonts w:ascii="Arial" w:hAnsi="Arial" w:cs="Arial"/>
          <w:sz w:val="22"/>
          <w:lang w:val="es-ES"/>
        </w:rPr>
        <w:t xml:space="preserve"> contratadas directamente</w:t>
      </w:r>
      <w:r w:rsidR="0083620E">
        <w:rPr>
          <w:rFonts w:ascii="Arial" w:hAnsi="Arial" w:cs="Arial"/>
          <w:sz w:val="22"/>
          <w:lang w:val="es-ES"/>
        </w:rPr>
        <w:t>, en el entendido que</w:t>
      </w:r>
      <w:r w:rsidR="00095EC0" w:rsidRPr="00095EC0">
        <w:rPr>
          <w:rFonts w:ascii="Arial" w:hAnsi="Arial" w:cs="Arial"/>
          <w:sz w:val="22"/>
          <w:lang w:val="es-ES"/>
        </w:rPr>
        <w:t>, al tener una relación inescindible</w:t>
      </w:r>
      <w:r w:rsidR="00095EC0">
        <w:rPr>
          <w:rFonts w:ascii="Arial" w:hAnsi="Arial" w:cs="Arial"/>
          <w:sz w:val="22"/>
          <w:lang w:val="es-ES"/>
        </w:rPr>
        <w:t xml:space="preserve">, se les </w:t>
      </w:r>
      <w:r w:rsidR="0083620E">
        <w:rPr>
          <w:rFonts w:ascii="Arial" w:hAnsi="Arial" w:cs="Arial"/>
          <w:sz w:val="22"/>
          <w:lang w:val="es-ES"/>
        </w:rPr>
        <w:t xml:space="preserve">extiende la autorización </w:t>
      </w:r>
      <w:r w:rsidR="00095EC0">
        <w:rPr>
          <w:rFonts w:ascii="Arial" w:hAnsi="Arial" w:cs="Arial"/>
          <w:sz w:val="22"/>
          <w:lang w:val="es-ES"/>
        </w:rPr>
        <w:t xml:space="preserve">que tiene el contrato de la </w:t>
      </w:r>
      <w:r w:rsidR="0083620E" w:rsidRPr="0083620E">
        <w:rPr>
          <w:rFonts w:ascii="Arial" w:hAnsi="Arial" w:cs="Arial"/>
          <w:sz w:val="22"/>
          <w:lang w:val="es-ES"/>
        </w:rPr>
        <w:t>operación de crédito público</w:t>
      </w:r>
      <w:r w:rsidR="0083620E">
        <w:rPr>
          <w:rFonts w:ascii="Arial" w:hAnsi="Arial" w:cs="Arial"/>
          <w:sz w:val="22"/>
          <w:lang w:val="es-ES"/>
        </w:rPr>
        <w:t xml:space="preserve"> </w:t>
      </w:r>
      <w:r w:rsidR="0083620E" w:rsidRPr="0083620E">
        <w:rPr>
          <w:rFonts w:ascii="Arial" w:hAnsi="Arial" w:cs="Arial"/>
          <w:sz w:val="22"/>
          <w:lang w:val="es-ES"/>
        </w:rPr>
        <w:t>a la que es conexa</w:t>
      </w:r>
      <w:r w:rsidR="0083620E">
        <w:rPr>
          <w:rFonts w:ascii="Arial" w:hAnsi="Arial" w:cs="Arial"/>
          <w:sz w:val="22"/>
          <w:lang w:val="es-ES"/>
        </w:rPr>
        <w:t>.</w:t>
      </w:r>
    </w:p>
    <w:bookmarkEnd w:id="39"/>
    <w:p w14:paraId="4364B185" w14:textId="2091A989" w:rsidR="00617185" w:rsidRDefault="00EB6DB4" w:rsidP="00210E7F">
      <w:pPr>
        <w:spacing w:after="120"/>
        <w:rPr>
          <w:rFonts w:ascii="Arial" w:hAnsi="Arial" w:cs="Arial"/>
          <w:sz w:val="22"/>
          <w:lang w:val="es-CO"/>
        </w:rPr>
      </w:pPr>
      <w:r>
        <w:rPr>
          <w:rFonts w:ascii="Arial" w:hAnsi="Arial" w:cs="Arial"/>
          <w:sz w:val="22"/>
          <w:lang w:val="es-ES"/>
        </w:rPr>
        <w:tab/>
      </w:r>
      <w:bookmarkStart w:id="41" w:name="_Hlk79357306"/>
      <w:r w:rsidR="00E75EFE">
        <w:rPr>
          <w:rFonts w:ascii="Arial" w:hAnsi="Arial" w:cs="Arial"/>
          <w:sz w:val="22"/>
          <w:lang w:val="es-ES"/>
        </w:rPr>
        <w:t xml:space="preserve">De las nomas analizadas se colige que </w:t>
      </w:r>
      <w:r w:rsidR="00E75EFE" w:rsidRPr="000E5D20">
        <w:rPr>
          <w:rFonts w:ascii="Arial" w:hAnsi="Arial" w:cs="Arial"/>
          <w:sz w:val="22"/>
          <w:lang w:val="es-ES"/>
        </w:rPr>
        <w:t xml:space="preserve">las operaciones conexas son </w:t>
      </w:r>
      <w:r w:rsidR="00E75EFE">
        <w:rPr>
          <w:rFonts w:ascii="Arial" w:hAnsi="Arial" w:cs="Arial"/>
          <w:sz w:val="22"/>
          <w:lang w:val="es-ES"/>
        </w:rPr>
        <w:t>actos y contratos</w:t>
      </w:r>
      <w:r w:rsidR="00E75EFE" w:rsidRPr="000E5D20">
        <w:rPr>
          <w:rFonts w:ascii="Arial" w:hAnsi="Arial" w:cs="Arial"/>
          <w:sz w:val="22"/>
          <w:lang w:val="es-ES"/>
        </w:rPr>
        <w:t xml:space="preserve"> sin l</w:t>
      </w:r>
      <w:r w:rsidR="00E75EFE">
        <w:rPr>
          <w:rFonts w:ascii="Arial" w:hAnsi="Arial" w:cs="Arial"/>
          <w:sz w:val="22"/>
          <w:lang w:val="es-ES"/>
        </w:rPr>
        <w:t>o</w:t>
      </w:r>
      <w:r w:rsidR="00E75EFE" w:rsidRPr="000E5D20">
        <w:rPr>
          <w:rFonts w:ascii="Arial" w:hAnsi="Arial" w:cs="Arial"/>
          <w:sz w:val="22"/>
          <w:lang w:val="es-ES"/>
        </w:rPr>
        <w:t xml:space="preserve">s cuales las operaciones principales de crédito público no podrían </w:t>
      </w:r>
      <w:r w:rsidR="00E75EFE">
        <w:rPr>
          <w:rFonts w:ascii="Arial" w:hAnsi="Arial" w:cs="Arial"/>
          <w:sz w:val="22"/>
          <w:lang w:val="es-ES"/>
        </w:rPr>
        <w:t xml:space="preserve">concretarse o materializarse. De ahí que resulten </w:t>
      </w:r>
      <w:r w:rsidR="001D58DF">
        <w:rPr>
          <w:rFonts w:ascii="Arial" w:hAnsi="Arial" w:cs="Arial"/>
          <w:sz w:val="22"/>
          <w:lang w:val="es-ES"/>
        </w:rPr>
        <w:t>«</w:t>
      </w:r>
      <w:r w:rsidR="00E75EFE">
        <w:rPr>
          <w:rFonts w:ascii="Arial" w:hAnsi="Arial" w:cs="Arial"/>
          <w:sz w:val="22"/>
          <w:lang w:val="es-ES"/>
        </w:rPr>
        <w:t>necesarias</w:t>
      </w:r>
      <w:r w:rsidR="001D58DF">
        <w:rPr>
          <w:rFonts w:ascii="Arial" w:hAnsi="Arial" w:cs="Arial"/>
          <w:sz w:val="22"/>
          <w:lang w:val="es-ES"/>
        </w:rPr>
        <w:t>»</w:t>
      </w:r>
      <w:r w:rsidR="00E75EFE">
        <w:rPr>
          <w:rFonts w:ascii="Arial" w:hAnsi="Arial" w:cs="Arial"/>
          <w:sz w:val="22"/>
          <w:lang w:val="es-ES"/>
        </w:rPr>
        <w:t xml:space="preserve"> para su realización</w:t>
      </w:r>
      <w:r w:rsidR="001D58DF">
        <w:rPr>
          <w:rFonts w:ascii="Arial" w:hAnsi="Arial" w:cs="Arial"/>
          <w:sz w:val="22"/>
          <w:lang w:val="es-ES"/>
        </w:rPr>
        <w:t xml:space="preserve">, </w:t>
      </w:r>
      <w:r w:rsidR="00E75EFE">
        <w:rPr>
          <w:rFonts w:ascii="Arial" w:hAnsi="Arial" w:cs="Arial"/>
          <w:sz w:val="22"/>
          <w:lang w:val="es-ES"/>
        </w:rPr>
        <w:t>pues</w:t>
      </w:r>
      <w:r w:rsidR="001D58DF" w:rsidRPr="001D58DF">
        <w:rPr>
          <w:rFonts w:ascii="Arial" w:hAnsi="Arial" w:cs="Arial"/>
          <w:sz w:val="22"/>
          <w:lang w:val="es-ES"/>
        </w:rPr>
        <w:t xml:space="preserve"> </w:t>
      </w:r>
      <w:r w:rsidR="001D58DF">
        <w:rPr>
          <w:rFonts w:ascii="Arial" w:hAnsi="Arial" w:cs="Arial"/>
          <w:sz w:val="22"/>
          <w:lang w:val="es-ES"/>
        </w:rPr>
        <w:t>constituyen</w:t>
      </w:r>
      <w:r w:rsidR="00E75EFE">
        <w:rPr>
          <w:rFonts w:ascii="Arial" w:hAnsi="Arial" w:cs="Arial"/>
          <w:sz w:val="22"/>
          <w:lang w:val="es-ES"/>
        </w:rPr>
        <w:t xml:space="preserve"> un medio para alcanzar el fin de estas operaciones, es decir, para la obtención del crédito público y, por lo tanto, para la celebración del contrato con ese objeto. </w:t>
      </w:r>
      <w:bookmarkEnd w:id="41"/>
      <w:r w:rsidR="00617185">
        <w:rPr>
          <w:rFonts w:ascii="Arial" w:hAnsi="Arial" w:cs="Arial"/>
          <w:sz w:val="22"/>
          <w:lang w:val="es-ES"/>
        </w:rPr>
        <w:t>En efecto</w:t>
      </w:r>
      <w:r w:rsidR="00617185" w:rsidRPr="00E118CF">
        <w:rPr>
          <w:rFonts w:ascii="Arial" w:hAnsi="Arial" w:cs="Arial"/>
          <w:sz w:val="22"/>
          <w:lang w:val="es-ES"/>
        </w:rPr>
        <w:t>,</w:t>
      </w:r>
      <w:r w:rsidR="00617185">
        <w:rPr>
          <w:rFonts w:ascii="Arial" w:hAnsi="Arial" w:cs="Arial"/>
          <w:sz w:val="22"/>
          <w:lang w:val="es-ES"/>
        </w:rPr>
        <w:t xml:space="preserve"> se reitera que la ley y el reglamento definen</w:t>
      </w:r>
      <w:r w:rsidR="00617185" w:rsidRPr="00E118CF">
        <w:rPr>
          <w:rFonts w:ascii="Arial" w:hAnsi="Arial" w:cs="Arial"/>
          <w:sz w:val="22"/>
          <w:lang w:val="es-ES"/>
        </w:rPr>
        <w:t xml:space="preserve"> las actividades de crédito público</w:t>
      </w:r>
      <w:r w:rsidR="00617185">
        <w:rPr>
          <w:rFonts w:ascii="Arial" w:hAnsi="Arial" w:cs="Arial"/>
          <w:sz w:val="22"/>
          <w:lang w:val="es-ES"/>
        </w:rPr>
        <w:t xml:space="preserve"> y dentro de ese marco establecen las</w:t>
      </w:r>
      <w:r w:rsidR="00617185" w:rsidRPr="00E118CF">
        <w:rPr>
          <w:rFonts w:ascii="Arial" w:hAnsi="Arial" w:cs="Arial"/>
          <w:sz w:val="22"/>
          <w:lang w:val="es-ES"/>
        </w:rPr>
        <w:t xml:space="preserve"> actividades u operaciones conexas a aquellas</w:t>
      </w:r>
      <w:r w:rsidR="00617185">
        <w:rPr>
          <w:rFonts w:ascii="Arial" w:hAnsi="Arial" w:cs="Arial"/>
          <w:sz w:val="22"/>
          <w:lang w:val="es-ES"/>
        </w:rPr>
        <w:t xml:space="preserve">, en el entendido de que son necesarias e </w:t>
      </w:r>
      <w:r w:rsidR="00617185" w:rsidRPr="00E118CF">
        <w:rPr>
          <w:rFonts w:ascii="Arial" w:hAnsi="Arial" w:cs="Arial"/>
          <w:sz w:val="22"/>
          <w:lang w:val="es-ES"/>
        </w:rPr>
        <w:t>imprescindible</w:t>
      </w:r>
      <w:r w:rsidR="00617185">
        <w:rPr>
          <w:rFonts w:ascii="Arial" w:hAnsi="Arial" w:cs="Arial"/>
          <w:sz w:val="22"/>
          <w:lang w:val="es-ES"/>
        </w:rPr>
        <w:t>s</w:t>
      </w:r>
      <w:r w:rsidR="00617185" w:rsidRPr="00E118CF">
        <w:rPr>
          <w:rFonts w:ascii="Arial" w:hAnsi="Arial" w:cs="Arial"/>
          <w:sz w:val="22"/>
          <w:lang w:val="es-ES"/>
        </w:rPr>
        <w:t xml:space="preserve"> para la realización de las primeras. </w:t>
      </w:r>
      <w:r w:rsidR="00617185">
        <w:rPr>
          <w:rFonts w:ascii="Arial" w:hAnsi="Arial" w:cs="Arial"/>
          <w:sz w:val="22"/>
          <w:lang w:val="es-ES"/>
        </w:rPr>
        <w:t>D</w:t>
      </w:r>
      <w:r w:rsidR="00617185" w:rsidRPr="00E118CF">
        <w:rPr>
          <w:rFonts w:ascii="Arial" w:hAnsi="Arial" w:cs="Arial"/>
          <w:sz w:val="22"/>
          <w:lang w:val="es-ES"/>
        </w:rPr>
        <w:t>icha relación entre las actividades de crédito público y sus operaciones conexas permite concluir que para que las primeras sean llevadas a cabo resulta</w:t>
      </w:r>
      <w:r w:rsidR="00617185">
        <w:rPr>
          <w:rFonts w:ascii="Arial" w:hAnsi="Arial" w:cs="Arial"/>
          <w:sz w:val="22"/>
          <w:lang w:val="es-ES"/>
        </w:rPr>
        <w:t xml:space="preserve"> indispensable</w:t>
      </w:r>
      <w:r w:rsidR="00617185" w:rsidRPr="00E118CF">
        <w:rPr>
          <w:rFonts w:ascii="Arial" w:hAnsi="Arial" w:cs="Arial"/>
          <w:sz w:val="22"/>
          <w:lang w:val="es-ES"/>
        </w:rPr>
        <w:t xml:space="preserve">, también, efectuar las segundas. </w:t>
      </w:r>
    </w:p>
    <w:p w14:paraId="3541552B" w14:textId="3DCC463C" w:rsidR="009609AC" w:rsidRDefault="001C7C50" w:rsidP="00210E7F">
      <w:pPr>
        <w:tabs>
          <w:tab w:val="left" w:pos="-720"/>
          <w:tab w:val="left" w:pos="851"/>
          <w:tab w:val="left" w:pos="1701"/>
          <w:tab w:val="left" w:pos="1985"/>
          <w:tab w:val="left" w:pos="2410"/>
        </w:tabs>
        <w:suppressAutoHyphens/>
        <w:spacing w:after="120"/>
        <w:ind w:firstLine="709"/>
        <w:rPr>
          <w:rFonts w:ascii="Arial" w:hAnsi="Arial" w:cs="Arial"/>
          <w:sz w:val="22"/>
          <w:lang w:val="es-ES"/>
        </w:rPr>
      </w:pPr>
      <w:r>
        <w:rPr>
          <w:rFonts w:ascii="Arial" w:hAnsi="Arial" w:cs="Arial"/>
          <w:sz w:val="22"/>
          <w:lang w:val="es-CO"/>
        </w:rPr>
        <w:t>Por est</w:t>
      </w:r>
      <w:r w:rsidR="001D58DF">
        <w:rPr>
          <w:rFonts w:ascii="Arial" w:hAnsi="Arial" w:cs="Arial"/>
          <w:sz w:val="22"/>
          <w:lang w:val="es-CO"/>
        </w:rPr>
        <w:t>e motivo,</w:t>
      </w:r>
      <w:r>
        <w:rPr>
          <w:rFonts w:ascii="Arial" w:hAnsi="Arial" w:cs="Arial"/>
          <w:sz w:val="22"/>
          <w:lang w:val="es-CO"/>
        </w:rPr>
        <w:t xml:space="preserve"> </w:t>
      </w:r>
      <w:bookmarkStart w:id="42" w:name="_Hlk79357606"/>
      <w:r>
        <w:rPr>
          <w:rFonts w:ascii="Arial" w:hAnsi="Arial" w:cs="Arial"/>
          <w:sz w:val="22"/>
          <w:lang w:val="es-CO"/>
        </w:rPr>
        <w:t xml:space="preserve">la excepción </w:t>
      </w:r>
      <w:r w:rsidR="008426FF">
        <w:rPr>
          <w:rFonts w:ascii="Arial" w:hAnsi="Arial" w:cs="Arial"/>
          <w:sz w:val="22"/>
          <w:lang w:val="es-CO"/>
        </w:rPr>
        <w:t xml:space="preserve">del artículo 33 de la Ley 996 de 2005 </w:t>
      </w:r>
      <w:r w:rsidR="00FA04D3">
        <w:rPr>
          <w:rFonts w:ascii="Arial" w:hAnsi="Arial" w:cs="Arial"/>
          <w:sz w:val="22"/>
          <w:lang w:val="es-CO"/>
        </w:rPr>
        <w:t xml:space="preserve">a la prohibición a la contratación directa en el periodo previo a la elección presidencial, </w:t>
      </w:r>
      <w:r>
        <w:rPr>
          <w:rFonts w:ascii="Arial" w:hAnsi="Arial" w:cs="Arial"/>
          <w:sz w:val="22"/>
          <w:lang w:val="es-CO"/>
        </w:rPr>
        <w:t>cobija no solo los contratos de crédito público</w:t>
      </w:r>
      <w:r w:rsidR="008426FF">
        <w:rPr>
          <w:rFonts w:ascii="Arial" w:hAnsi="Arial" w:cs="Arial"/>
          <w:sz w:val="22"/>
          <w:lang w:val="es-CO"/>
        </w:rPr>
        <w:t xml:space="preserve"> </w:t>
      </w:r>
      <w:r>
        <w:rPr>
          <w:rFonts w:ascii="Arial" w:hAnsi="Arial" w:cs="Arial"/>
          <w:sz w:val="22"/>
          <w:lang w:val="es-CO"/>
        </w:rPr>
        <w:t>sino también los contratos conexos que permiten su celebración</w:t>
      </w:r>
      <w:r w:rsidR="008D3419">
        <w:rPr>
          <w:rFonts w:ascii="Arial" w:hAnsi="Arial" w:cs="Arial"/>
          <w:sz w:val="22"/>
          <w:lang w:val="es-CO"/>
        </w:rPr>
        <w:t>. Esto en la medida</w:t>
      </w:r>
      <w:r w:rsidR="00D51A1B">
        <w:rPr>
          <w:rFonts w:ascii="Arial" w:hAnsi="Arial" w:cs="Arial"/>
          <w:sz w:val="22"/>
          <w:lang w:val="es-CO"/>
        </w:rPr>
        <w:t xml:space="preserve"> que</w:t>
      </w:r>
      <w:r w:rsidR="008426FF">
        <w:rPr>
          <w:rFonts w:ascii="Arial" w:hAnsi="Arial" w:cs="Arial"/>
          <w:sz w:val="22"/>
          <w:lang w:val="es-CO"/>
        </w:rPr>
        <w:t xml:space="preserve"> tienen una </w:t>
      </w:r>
      <w:r w:rsidR="007219A6" w:rsidRPr="007219A6">
        <w:rPr>
          <w:rFonts w:ascii="Arial" w:hAnsi="Arial" w:cs="Arial"/>
          <w:sz w:val="22"/>
          <w:lang w:val="es-CO"/>
        </w:rPr>
        <w:t>interdependencia funcional y teleológica</w:t>
      </w:r>
      <w:r w:rsidR="00D51A1B">
        <w:rPr>
          <w:rFonts w:ascii="Arial" w:hAnsi="Arial" w:cs="Arial"/>
          <w:sz w:val="22"/>
          <w:lang w:val="es-CO"/>
        </w:rPr>
        <w:t xml:space="preserve"> </w:t>
      </w:r>
      <w:r w:rsidR="007219A6" w:rsidRPr="007219A6">
        <w:rPr>
          <w:rFonts w:ascii="Arial" w:hAnsi="Arial" w:cs="Arial"/>
          <w:sz w:val="22"/>
          <w:lang w:val="es-CO"/>
        </w:rPr>
        <w:t>y</w:t>
      </w:r>
      <w:r w:rsidR="00D51A1B">
        <w:rPr>
          <w:rFonts w:ascii="Arial" w:hAnsi="Arial" w:cs="Arial"/>
          <w:sz w:val="22"/>
          <w:lang w:val="es-CO"/>
        </w:rPr>
        <w:t>,</w:t>
      </w:r>
      <w:r w:rsidR="007219A6" w:rsidRPr="007219A6">
        <w:rPr>
          <w:rFonts w:ascii="Arial" w:hAnsi="Arial" w:cs="Arial"/>
          <w:sz w:val="22"/>
          <w:lang w:val="es-CO"/>
        </w:rPr>
        <w:t xml:space="preserve"> a</w:t>
      </w:r>
      <w:r w:rsidR="008426FF">
        <w:rPr>
          <w:rFonts w:ascii="Arial" w:hAnsi="Arial" w:cs="Arial"/>
          <w:sz w:val="22"/>
          <w:lang w:val="es-CO"/>
        </w:rPr>
        <w:t>un</w:t>
      </w:r>
      <w:r w:rsidR="007219A6" w:rsidRPr="007219A6">
        <w:rPr>
          <w:rFonts w:ascii="Arial" w:hAnsi="Arial" w:cs="Arial"/>
          <w:sz w:val="22"/>
          <w:lang w:val="es-CO"/>
        </w:rPr>
        <w:t xml:space="preserve"> cuando cada tipo negocial conserva su individualidad normativa, </w:t>
      </w:r>
      <w:r w:rsidR="008426FF">
        <w:rPr>
          <w:rFonts w:ascii="Arial" w:hAnsi="Arial" w:cs="Arial"/>
          <w:sz w:val="22"/>
          <w:lang w:val="es-CO"/>
        </w:rPr>
        <w:t xml:space="preserve">su relación es de </w:t>
      </w:r>
      <w:r w:rsidR="008426FF">
        <w:rPr>
          <w:rFonts w:ascii="Arial" w:hAnsi="Arial" w:cs="Arial"/>
          <w:sz w:val="22"/>
          <w:lang w:val="es-CO"/>
        </w:rPr>
        <w:lastRenderedPageBreak/>
        <w:t>medio a fin</w:t>
      </w:r>
      <w:r w:rsidR="008D3419">
        <w:rPr>
          <w:rFonts w:ascii="Arial" w:hAnsi="Arial" w:cs="Arial"/>
          <w:sz w:val="22"/>
          <w:lang w:val="es-CO"/>
        </w:rPr>
        <w:t>. En otras palabras,</w:t>
      </w:r>
      <w:r w:rsidR="00783E25">
        <w:rPr>
          <w:rFonts w:ascii="Arial" w:hAnsi="Arial" w:cs="Arial"/>
          <w:sz w:val="22"/>
          <w:lang w:val="es-CO"/>
        </w:rPr>
        <w:t xml:space="preserve"> las</w:t>
      </w:r>
      <w:r w:rsidR="007219A6" w:rsidRPr="007219A6">
        <w:rPr>
          <w:rFonts w:ascii="Arial" w:hAnsi="Arial" w:cs="Arial"/>
          <w:sz w:val="22"/>
          <w:lang w:val="es-CO"/>
        </w:rPr>
        <w:t xml:space="preserve"> </w:t>
      </w:r>
      <w:r w:rsidR="00783E25" w:rsidRPr="00783E25">
        <w:rPr>
          <w:rFonts w:ascii="Arial" w:hAnsi="Arial" w:cs="Arial"/>
          <w:sz w:val="22"/>
          <w:lang w:val="es-CO"/>
        </w:rPr>
        <w:t>operaciones conexas s</w:t>
      </w:r>
      <w:r w:rsidR="00783E25">
        <w:rPr>
          <w:rFonts w:ascii="Arial" w:hAnsi="Arial" w:cs="Arial"/>
          <w:sz w:val="22"/>
          <w:lang w:val="es-CO"/>
        </w:rPr>
        <w:t>on</w:t>
      </w:r>
      <w:r w:rsidR="00783E25" w:rsidRPr="00783E25">
        <w:rPr>
          <w:rFonts w:ascii="Arial" w:hAnsi="Arial" w:cs="Arial"/>
          <w:sz w:val="22"/>
          <w:lang w:val="es-CO"/>
        </w:rPr>
        <w:t xml:space="preserve"> una </w:t>
      </w:r>
      <w:r w:rsidR="00783E25" w:rsidRPr="00783E25">
        <w:rPr>
          <w:rFonts w:ascii="Arial" w:hAnsi="Arial" w:cs="Arial"/>
          <w:i/>
          <w:iCs/>
          <w:sz w:val="22"/>
          <w:lang w:val="es-CO"/>
        </w:rPr>
        <w:t>conditio sine qua non</w:t>
      </w:r>
      <w:r w:rsidR="00783E25" w:rsidRPr="00783E25">
        <w:rPr>
          <w:rFonts w:ascii="Arial" w:hAnsi="Arial" w:cs="Arial"/>
          <w:sz w:val="22"/>
          <w:lang w:val="es-CO"/>
        </w:rPr>
        <w:t xml:space="preserve"> de las operaciones principales de crédito público.</w:t>
      </w:r>
      <w:bookmarkEnd w:id="42"/>
      <w:r w:rsidR="008D3419">
        <w:rPr>
          <w:rFonts w:ascii="Arial" w:hAnsi="Arial" w:cs="Arial"/>
          <w:sz w:val="22"/>
          <w:lang w:val="es-ES"/>
        </w:rPr>
        <w:t xml:space="preserve"> </w:t>
      </w:r>
      <w:r w:rsidR="000E5D20" w:rsidRPr="000E5D20">
        <w:rPr>
          <w:rFonts w:ascii="Arial" w:hAnsi="Arial" w:cs="Arial"/>
          <w:sz w:val="22"/>
          <w:lang w:val="es-ES"/>
        </w:rPr>
        <w:t xml:space="preserve">Del mismo modo, una lectura en conjunto de los artículos </w:t>
      </w:r>
      <w:r w:rsidR="000E5D20" w:rsidRPr="000E5D20">
        <w:rPr>
          <w:rFonts w:ascii="Arial" w:hAnsi="Arial" w:cs="Arial"/>
          <w:sz w:val="22"/>
          <w:lang w:val="es-CO"/>
        </w:rPr>
        <w:t xml:space="preserve">2.2.1.1.4. y </w:t>
      </w:r>
      <w:r w:rsidR="000E5D20" w:rsidRPr="000E5D20">
        <w:rPr>
          <w:rFonts w:ascii="Arial" w:hAnsi="Arial" w:cs="Arial"/>
          <w:sz w:val="22"/>
          <w:lang w:val="es-ES"/>
        </w:rPr>
        <w:t>2.2.1.5.1. del Decreto 1068 de 2015 muestra la intención clara y reiterativa de la norma reglamentaria de someter las operaciones conexas al mismo régimen contractual de las operaciones principales, es decir, a la modalidad de contratación directa.</w:t>
      </w:r>
    </w:p>
    <w:bookmarkEnd w:id="40"/>
    <w:p w14:paraId="591371B1" w14:textId="1E88F17D" w:rsidR="00C5588A" w:rsidRPr="00E118CF" w:rsidRDefault="00BF790D" w:rsidP="00210E7F">
      <w:pPr>
        <w:spacing w:after="120"/>
        <w:ind w:firstLine="709"/>
        <w:rPr>
          <w:rFonts w:ascii="Arial" w:hAnsi="Arial" w:cs="Arial"/>
          <w:sz w:val="22"/>
          <w:lang w:val="es-ES"/>
        </w:rPr>
      </w:pPr>
      <w:r w:rsidRPr="00E118CF">
        <w:rPr>
          <w:rFonts w:ascii="Arial" w:hAnsi="Arial" w:cs="Arial"/>
          <w:sz w:val="22"/>
          <w:lang w:val="es-ES"/>
        </w:rPr>
        <w:t xml:space="preserve">De todo lo dicho, se advierte, primero, que la restricción para la contratación directa </w:t>
      </w:r>
      <w:r w:rsidR="008D3419">
        <w:rPr>
          <w:rFonts w:ascii="Arial" w:hAnsi="Arial" w:cs="Arial"/>
          <w:sz w:val="22"/>
          <w:lang w:val="es-ES"/>
        </w:rPr>
        <w:t>d</w:t>
      </w:r>
      <w:r w:rsidRPr="00E118CF">
        <w:rPr>
          <w:rFonts w:ascii="Arial" w:hAnsi="Arial" w:cs="Arial"/>
          <w:sz w:val="22"/>
          <w:lang w:val="es-ES"/>
        </w:rPr>
        <w:t xml:space="preserve">el artículo 33 de la Ley 996 de 2005 obedece a una finalidad primordial </w:t>
      </w:r>
      <w:r w:rsidR="00AD1A3E">
        <w:rPr>
          <w:rFonts w:ascii="Arial" w:hAnsi="Arial" w:cs="Arial"/>
          <w:sz w:val="22"/>
          <w:lang w:val="es-ES"/>
        </w:rPr>
        <w:t>de garantizar la</w:t>
      </w:r>
      <w:r w:rsidRPr="00E118CF">
        <w:rPr>
          <w:rFonts w:ascii="Arial" w:hAnsi="Arial" w:cs="Arial"/>
          <w:sz w:val="22"/>
          <w:lang w:val="es-ES"/>
        </w:rPr>
        <w:t xml:space="preserve"> seguridad, transparencia e integridad de la actividad electoral. Por esa razón, el legislador decidió prohibir que las entidades públicas lleven a cabo procesos de selección mediante contratación directa durante los 4 meses anteriores</w:t>
      </w:r>
      <w:r w:rsidR="000D698A" w:rsidRPr="00E118CF">
        <w:rPr>
          <w:rFonts w:ascii="Arial" w:hAnsi="Arial" w:cs="Arial"/>
          <w:sz w:val="22"/>
          <w:lang w:val="es-ES"/>
        </w:rPr>
        <w:t xml:space="preserve"> a la elección presidencial y hasta la realización de la elección en la segunda vuelta, si hubiere lugar a ello. </w:t>
      </w:r>
    </w:p>
    <w:p w14:paraId="734AAB2D" w14:textId="042BEC58" w:rsidR="000D698A" w:rsidRPr="00E118CF" w:rsidRDefault="000D698A" w:rsidP="00210E7F">
      <w:pPr>
        <w:spacing w:after="120"/>
        <w:ind w:firstLine="709"/>
        <w:rPr>
          <w:rFonts w:ascii="Arial" w:hAnsi="Arial" w:cs="Arial"/>
          <w:sz w:val="22"/>
          <w:lang w:val="es-ES"/>
        </w:rPr>
      </w:pPr>
      <w:r w:rsidRPr="00E118CF">
        <w:rPr>
          <w:rFonts w:ascii="Arial" w:hAnsi="Arial" w:cs="Arial"/>
          <w:sz w:val="22"/>
          <w:lang w:val="es-ES"/>
        </w:rPr>
        <w:t xml:space="preserve">Sin embargo, el propio artículo 33 dispone de ciertos casos en los cuales resulta exceptuada dicha prohibición. Así, excluye a lo referente a las operaciones de crédito público, lo </w:t>
      </w:r>
      <w:r w:rsidR="00AD1A3E">
        <w:rPr>
          <w:rFonts w:ascii="Arial" w:hAnsi="Arial" w:cs="Arial"/>
          <w:sz w:val="22"/>
          <w:lang w:val="es-ES"/>
        </w:rPr>
        <w:t>que significa</w:t>
      </w:r>
      <w:r w:rsidRPr="00E118CF">
        <w:rPr>
          <w:rFonts w:ascii="Arial" w:hAnsi="Arial" w:cs="Arial"/>
          <w:sz w:val="22"/>
          <w:lang w:val="es-ES"/>
        </w:rPr>
        <w:t xml:space="preserve"> que pueden contrata</w:t>
      </w:r>
      <w:r w:rsidR="008D3419">
        <w:rPr>
          <w:rFonts w:ascii="Arial" w:hAnsi="Arial" w:cs="Arial"/>
          <w:sz w:val="22"/>
          <w:lang w:val="es-ES"/>
        </w:rPr>
        <w:t>rse</w:t>
      </w:r>
      <w:r w:rsidRPr="00E118CF">
        <w:rPr>
          <w:rFonts w:ascii="Arial" w:hAnsi="Arial" w:cs="Arial"/>
          <w:sz w:val="22"/>
          <w:lang w:val="es-ES"/>
        </w:rPr>
        <w:t xml:space="preserve"> directamente durante e</w:t>
      </w:r>
      <w:r w:rsidR="00AD1A3E">
        <w:rPr>
          <w:rFonts w:ascii="Arial" w:hAnsi="Arial" w:cs="Arial"/>
          <w:sz w:val="22"/>
          <w:lang w:val="es-ES"/>
        </w:rPr>
        <w:t>l</w:t>
      </w:r>
      <w:r w:rsidRPr="00E118CF">
        <w:rPr>
          <w:rFonts w:ascii="Arial" w:hAnsi="Arial" w:cs="Arial"/>
          <w:sz w:val="22"/>
          <w:lang w:val="es-ES"/>
        </w:rPr>
        <w:t xml:space="preserve"> periodo preelectoral. </w:t>
      </w:r>
      <w:r w:rsidR="008D3419">
        <w:rPr>
          <w:rFonts w:ascii="Arial" w:hAnsi="Arial" w:cs="Arial"/>
          <w:sz w:val="22"/>
          <w:lang w:val="es-ES"/>
        </w:rPr>
        <w:t>C</w:t>
      </w:r>
      <w:r w:rsidRPr="00E118CF">
        <w:rPr>
          <w:rFonts w:ascii="Arial" w:hAnsi="Arial" w:cs="Arial"/>
          <w:sz w:val="22"/>
          <w:lang w:val="es-ES"/>
        </w:rPr>
        <w:t xml:space="preserve">omo se </w:t>
      </w:r>
      <w:r w:rsidR="008D3419">
        <w:rPr>
          <w:rFonts w:ascii="Arial" w:hAnsi="Arial" w:cs="Arial"/>
          <w:sz w:val="22"/>
          <w:lang w:val="es-ES"/>
        </w:rPr>
        <w:t xml:space="preserve">explicó </w:t>
      </w:r>
      <w:r w:rsidR="008D3419" w:rsidRPr="00210E7F">
        <w:rPr>
          <w:rFonts w:ascii="Arial" w:hAnsi="Arial" w:cs="Arial"/>
          <w:i/>
          <w:iCs/>
          <w:sz w:val="22"/>
          <w:lang w:val="es-ES"/>
        </w:rPr>
        <w:t>ut supra</w:t>
      </w:r>
      <w:r w:rsidRPr="00E118CF">
        <w:rPr>
          <w:rFonts w:ascii="Arial" w:hAnsi="Arial" w:cs="Arial"/>
          <w:sz w:val="22"/>
          <w:lang w:val="es-ES"/>
        </w:rPr>
        <w:t>, las excepciones a la prohibición obedecen a distintos criterios como la naturaleza de la actividad, su urgencia o gravedad, etc. En otras palabras, la intención del legislador al establecer tales excepciones es la de permitir la contratación directa</w:t>
      </w:r>
      <w:r w:rsidR="00AD1A3E">
        <w:rPr>
          <w:rFonts w:ascii="Arial" w:hAnsi="Arial" w:cs="Arial"/>
          <w:sz w:val="22"/>
          <w:lang w:val="es-ES"/>
        </w:rPr>
        <w:t xml:space="preserve"> de</w:t>
      </w:r>
      <w:r w:rsidRPr="00E118CF">
        <w:rPr>
          <w:rFonts w:ascii="Arial" w:hAnsi="Arial" w:cs="Arial"/>
          <w:sz w:val="22"/>
          <w:lang w:val="es-ES"/>
        </w:rPr>
        <w:t xml:space="preserve"> actividades cuya prohibición durante el periodo preelectoral no resulta justificable o razonable.</w:t>
      </w:r>
    </w:p>
    <w:p w14:paraId="696E5152" w14:textId="6B4B03C9" w:rsidR="00C5588A" w:rsidRDefault="000D698A" w:rsidP="00210E7F">
      <w:pPr>
        <w:spacing w:after="120"/>
        <w:ind w:firstLine="709"/>
        <w:rPr>
          <w:rFonts w:ascii="Arial" w:hAnsi="Arial" w:cs="Arial"/>
          <w:sz w:val="22"/>
          <w:lang w:val="es-ES"/>
        </w:rPr>
      </w:pPr>
      <w:r w:rsidRPr="00E118CF">
        <w:rPr>
          <w:rFonts w:ascii="Arial" w:hAnsi="Arial" w:cs="Arial"/>
          <w:sz w:val="22"/>
          <w:lang w:val="es-ES"/>
        </w:rPr>
        <w:t xml:space="preserve">Así las cosas, </w:t>
      </w:r>
      <w:bookmarkStart w:id="43" w:name="_Hlk79357593"/>
      <w:r w:rsidRPr="00E118CF">
        <w:rPr>
          <w:rFonts w:ascii="Arial" w:hAnsi="Arial" w:cs="Arial"/>
          <w:sz w:val="22"/>
          <w:lang w:val="es-ES"/>
        </w:rPr>
        <w:t>si el legislador ha optado por permitir que durante el periodo preelectoral pueda contratar</w:t>
      </w:r>
      <w:r w:rsidR="008D3419">
        <w:rPr>
          <w:rFonts w:ascii="Arial" w:hAnsi="Arial" w:cs="Arial"/>
          <w:sz w:val="22"/>
          <w:lang w:val="es-ES"/>
        </w:rPr>
        <w:t>se</w:t>
      </w:r>
      <w:r w:rsidRPr="00E118CF">
        <w:rPr>
          <w:rFonts w:ascii="Arial" w:hAnsi="Arial" w:cs="Arial"/>
          <w:sz w:val="22"/>
          <w:lang w:val="es-ES"/>
        </w:rPr>
        <w:t xml:space="preserve"> directamente </w:t>
      </w:r>
      <w:r w:rsidR="00AF4976">
        <w:rPr>
          <w:rFonts w:ascii="Arial" w:hAnsi="Arial" w:cs="Arial"/>
          <w:sz w:val="22"/>
          <w:lang w:val="es-ES"/>
        </w:rPr>
        <w:t>operaciones</w:t>
      </w:r>
      <w:r w:rsidRPr="00E118CF">
        <w:rPr>
          <w:rFonts w:ascii="Arial" w:hAnsi="Arial" w:cs="Arial"/>
          <w:sz w:val="22"/>
          <w:lang w:val="es-ES"/>
        </w:rPr>
        <w:t xml:space="preserve"> de crédito público por resultar particularmente necesarias e importantes, y en la medida </w:t>
      </w:r>
      <w:r w:rsidR="00AF4976">
        <w:rPr>
          <w:rFonts w:ascii="Arial" w:hAnsi="Arial" w:cs="Arial"/>
          <w:sz w:val="22"/>
          <w:lang w:val="es-ES"/>
        </w:rPr>
        <w:t>en q</w:t>
      </w:r>
      <w:r w:rsidRPr="00E118CF">
        <w:rPr>
          <w:rFonts w:ascii="Arial" w:hAnsi="Arial" w:cs="Arial"/>
          <w:sz w:val="22"/>
          <w:lang w:val="es-ES"/>
        </w:rPr>
        <w:t>ue para que esta</w:t>
      </w:r>
      <w:r w:rsidR="00AF4976">
        <w:rPr>
          <w:rFonts w:ascii="Arial" w:hAnsi="Arial" w:cs="Arial"/>
          <w:sz w:val="22"/>
          <w:lang w:val="es-ES"/>
        </w:rPr>
        <w:t>s</w:t>
      </w:r>
      <w:r w:rsidRPr="00E118CF">
        <w:rPr>
          <w:rFonts w:ascii="Arial" w:hAnsi="Arial" w:cs="Arial"/>
          <w:sz w:val="22"/>
          <w:lang w:val="es-ES"/>
        </w:rPr>
        <w:t xml:space="preserve"> puedan lleva</w:t>
      </w:r>
      <w:r w:rsidR="00EB6DB4">
        <w:rPr>
          <w:rFonts w:ascii="Arial" w:hAnsi="Arial" w:cs="Arial"/>
          <w:sz w:val="22"/>
          <w:lang w:val="es-ES"/>
        </w:rPr>
        <w:t>r</w:t>
      </w:r>
      <w:r w:rsidRPr="00E118CF">
        <w:rPr>
          <w:rFonts w:ascii="Arial" w:hAnsi="Arial" w:cs="Arial"/>
          <w:sz w:val="22"/>
          <w:lang w:val="es-ES"/>
        </w:rPr>
        <w:t>s</w:t>
      </w:r>
      <w:r w:rsidR="00EB6DB4">
        <w:rPr>
          <w:rFonts w:ascii="Arial" w:hAnsi="Arial" w:cs="Arial"/>
          <w:sz w:val="22"/>
          <w:lang w:val="es-ES"/>
        </w:rPr>
        <w:t>e</w:t>
      </w:r>
      <w:r w:rsidRPr="00E118CF">
        <w:rPr>
          <w:rFonts w:ascii="Arial" w:hAnsi="Arial" w:cs="Arial"/>
          <w:sz w:val="22"/>
          <w:lang w:val="es-ES"/>
        </w:rPr>
        <w:t xml:space="preserve"> a cabo </w:t>
      </w:r>
      <w:r w:rsidR="00AF4976">
        <w:rPr>
          <w:rFonts w:ascii="Arial" w:hAnsi="Arial" w:cs="Arial"/>
          <w:sz w:val="22"/>
          <w:lang w:val="es-ES"/>
        </w:rPr>
        <w:t>es necesari</w:t>
      </w:r>
      <w:r w:rsidR="003E11E2">
        <w:rPr>
          <w:rFonts w:ascii="Arial" w:hAnsi="Arial" w:cs="Arial"/>
          <w:sz w:val="22"/>
          <w:lang w:val="es-ES"/>
        </w:rPr>
        <w:t>a</w:t>
      </w:r>
      <w:r w:rsidR="003F7CE9" w:rsidRPr="00E118CF">
        <w:rPr>
          <w:rFonts w:ascii="Arial" w:hAnsi="Arial" w:cs="Arial"/>
          <w:sz w:val="22"/>
          <w:lang w:val="es-ES"/>
        </w:rPr>
        <w:t xml:space="preserve"> </w:t>
      </w:r>
      <w:r w:rsidR="00AF4976">
        <w:rPr>
          <w:rFonts w:ascii="Arial" w:hAnsi="Arial" w:cs="Arial"/>
          <w:sz w:val="22"/>
          <w:lang w:val="es-ES"/>
        </w:rPr>
        <w:t xml:space="preserve">la realización de </w:t>
      </w:r>
      <w:r w:rsidR="003F7CE9" w:rsidRPr="00E118CF">
        <w:rPr>
          <w:rFonts w:ascii="Arial" w:hAnsi="Arial" w:cs="Arial"/>
          <w:sz w:val="22"/>
          <w:lang w:val="es-ES"/>
        </w:rPr>
        <w:t>operaciones conexas</w:t>
      </w:r>
      <w:r w:rsidR="00AF4976">
        <w:rPr>
          <w:rFonts w:ascii="Arial" w:hAnsi="Arial" w:cs="Arial"/>
          <w:sz w:val="22"/>
          <w:lang w:val="es-ES"/>
        </w:rPr>
        <w:t xml:space="preserve"> a esta</w:t>
      </w:r>
      <w:r w:rsidR="008007F5">
        <w:rPr>
          <w:rFonts w:ascii="Arial" w:hAnsi="Arial" w:cs="Arial"/>
          <w:sz w:val="22"/>
          <w:lang w:val="es-ES"/>
        </w:rPr>
        <w:t>s</w:t>
      </w:r>
      <w:r w:rsidR="003F7CE9" w:rsidRPr="00E118CF">
        <w:rPr>
          <w:rFonts w:ascii="Arial" w:hAnsi="Arial" w:cs="Arial"/>
          <w:sz w:val="22"/>
          <w:lang w:val="es-ES"/>
        </w:rPr>
        <w:t xml:space="preserve">, no podría concluirse </w:t>
      </w:r>
      <w:r w:rsidR="00A06054">
        <w:rPr>
          <w:rFonts w:ascii="Arial" w:hAnsi="Arial" w:cs="Arial"/>
          <w:sz w:val="22"/>
          <w:lang w:val="es-ES"/>
        </w:rPr>
        <w:t>nada</w:t>
      </w:r>
      <w:r w:rsidR="003F7CE9" w:rsidRPr="00E118CF">
        <w:rPr>
          <w:rFonts w:ascii="Arial" w:hAnsi="Arial" w:cs="Arial"/>
          <w:sz w:val="22"/>
          <w:lang w:val="es-ES"/>
        </w:rPr>
        <w:t xml:space="preserve"> </w:t>
      </w:r>
      <w:r w:rsidR="00E118CF" w:rsidRPr="00E118CF">
        <w:rPr>
          <w:rFonts w:ascii="Arial" w:hAnsi="Arial" w:cs="Arial"/>
          <w:sz w:val="22"/>
          <w:lang w:val="es-ES"/>
        </w:rPr>
        <w:t>distint</w:t>
      </w:r>
      <w:r w:rsidR="00A06054">
        <w:rPr>
          <w:rFonts w:ascii="Arial" w:hAnsi="Arial" w:cs="Arial"/>
          <w:sz w:val="22"/>
          <w:lang w:val="es-ES"/>
        </w:rPr>
        <w:t>o</w:t>
      </w:r>
      <w:r w:rsidR="003F7CE9" w:rsidRPr="00E118CF">
        <w:rPr>
          <w:rFonts w:ascii="Arial" w:hAnsi="Arial" w:cs="Arial"/>
          <w:sz w:val="22"/>
          <w:lang w:val="es-ES"/>
        </w:rPr>
        <w:t xml:space="preserve"> a que estas últimas también pueden ser contratadas durante el periodo preelectoral. </w:t>
      </w:r>
      <w:bookmarkEnd w:id="43"/>
    </w:p>
    <w:p w14:paraId="0F09A72B" w14:textId="50113075" w:rsidR="00C5588A" w:rsidRPr="00E118CF" w:rsidRDefault="003F7CE9" w:rsidP="00210E7F">
      <w:pPr>
        <w:spacing w:after="120"/>
        <w:ind w:firstLine="709"/>
        <w:rPr>
          <w:rFonts w:ascii="Arial" w:hAnsi="Arial" w:cs="Arial"/>
          <w:sz w:val="22"/>
          <w:lang w:val="es-ES"/>
        </w:rPr>
      </w:pPr>
      <w:r w:rsidRPr="00C5588A">
        <w:rPr>
          <w:rFonts w:ascii="Arial" w:hAnsi="Arial" w:cs="Arial"/>
          <w:sz w:val="22"/>
          <w:lang w:val="es-ES"/>
        </w:rPr>
        <w:t xml:space="preserve">Una conclusión </w:t>
      </w:r>
      <w:r w:rsidR="008D3419">
        <w:rPr>
          <w:rFonts w:ascii="Arial" w:hAnsi="Arial" w:cs="Arial"/>
          <w:sz w:val="22"/>
          <w:lang w:val="es-ES"/>
        </w:rPr>
        <w:t>distinta</w:t>
      </w:r>
      <w:r w:rsidRPr="00C5588A">
        <w:rPr>
          <w:rFonts w:ascii="Arial" w:hAnsi="Arial" w:cs="Arial"/>
          <w:sz w:val="22"/>
          <w:lang w:val="es-ES"/>
        </w:rPr>
        <w:t xml:space="preserve"> </w:t>
      </w:r>
      <w:r w:rsidR="00EB6DB4">
        <w:rPr>
          <w:rFonts w:ascii="Arial" w:hAnsi="Arial" w:cs="Arial"/>
          <w:sz w:val="22"/>
          <w:lang w:val="es-ES"/>
        </w:rPr>
        <w:t>desconocería</w:t>
      </w:r>
      <w:r w:rsidRPr="00C5588A">
        <w:rPr>
          <w:rFonts w:ascii="Arial" w:hAnsi="Arial" w:cs="Arial"/>
          <w:sz w:val="22"/>
          <w:lang w:val="es-ES"/>
        </w:rPr>
        <w:t xml:space="preserve"> las finalidades perseguidas por el legislador al exceptuar </w:t>
      </w:r>
      <w:r w:rsidR="00A06054" w:rsidRPr="00C5588A">
        <w:rPr>
          <w:rFonts w:ascii="Arial" w:hAnsi="Arial" w:cs="Arial"/>
          <w:sz w:val="22"/>
          <w:lang w:val="es-ES"/>
        </w:rPr>
        <w:t>l</w:t>
      </w:r>
      <w:r w:rsidRPr="00C5588A">
        <w:rPr>
          <w:rFonts w:ascii="Arial" w:hAnsi="Arial" w:cs="Arial"/>
          <w:sz w:val="22"/>
          <w:lang w:val="es-ES"/>
        </w:rPr>
        <w:t>as actividades de crédito público de la prohibición del artículo 33 de la Ley 996</w:t>
      </w:r>
      <w:r w:rsidR="00A06054" w:rsidRPr="00C5588A">
        <w:rPr>
          <w:rFonts w:ascii="Arial" w:hAnsi="Arial" w:cs="Arial"/>
          <w:sz w:val="22"/>
          <w:lang w:val="es-ES"/>
        </w:rPr>
        <w:t xml:space="preserve"> de 2005</w:t>
      </w:r>
      <w:r w:rsidRPr="00C5588A">
        <w:rPr>
          <w:rFonts w:ascii="Arial" w:hAnsi="Arial" w:cs="Arial"/>
          <w:sz w:val="22"/>
          <w:lang w:val="es-ES"/>
        </w:rPr>
        <w:t>, por cuanto de</w:t>
      </w:r>
      <w:r w:rsidR="00AF4976" w:rsidRPr="00C5588A">
        <w:rPr>
          <w:rFonts w:ascii="Arial" w:hAnsi="Arial" w:cs="Arial"/>
          <w:sz w:val="22"/>
          <w:lang w:val="es-ES"/>
        </w:rPr>
        <w:t xml:space="preserve"> </w:t>
      </w:r>
      <w:r w:rsidRPr="00C5588A">
        <w:rPr>
          <w:rFonts w:ascii="Arial" w:hAnsi="Arial" w:cs="Arial"/>
          <w:sz w:val="22"/>
          <w:lang w:val="es-ES"/>
        </w:rPr>
        <w:t xml:space="preserve">nada serviría </w:t>
      </w:r>
      <w:r w:rsidR="00AF4976" w:rsidRPr="00C5588A">
        <w:rPr>
          <w:rFonts w:ascii="Arial" w:hAnsi="Arial" w:cs="Arial"/>
          <w:sz w:val="22"/>
          <w:lang w:val="es-ES"/>
        </w:rPr>
        <w:t>autorizar</w:t>
      </w:r>
      <w:r w:rsidR="00EB6DB4">
        <w:rPr>
          <w:rFonts w:ascii="Arial" w:hAnsi="Arial" w:cs="Arial"/>
          <w:sz w:val="22"/>
          <w:lang w:val="es-ES"/>
        </w:rPr>
        <w:t xml:space="preserve"> la contratación directa de</w:t>
      </w:r>
      <w:r w:rsidRPr="00C5588A">
        <w:rPr>
          <w:rFonts w:ascii="Arial" w:hAnsi="Arial" w:cs="Arial"/>
          <w:sz w:val="22"/>
          <w:lang w:val="es-ES"/>
        </w:rPr>
        <w:t xml:space="preserve"> dichas actividades durante el periodo electoral, si </w:t>
      </w:r>
      <w:r w:rsidR="00EB6DB4">
        <w:rPr>
          <w:rFonts w:ascii="Arial" w:hAnsi="Arial" w:cs="Arial"/>
          <w:sz w:val="22"/>
          <w:lang w:val="es-ES"/>
        </w:rPr>
        <w:t xml:space="preserve">la contratación de </w:t>
      </w:r>
      <w:r w:rsidRPr="00C5588A">
        <w:rPr>
          <w:rFonts w:ascii="Arial" w:hAnsi="Arial" w:cs="Arial"/>
          <w:sz w:val="22"/>
          <w:lang w:val="es-ES"/>
        </w:rPr>
        <w:t xml:space="preserve">las operaciones conexas </w:t>
      </w:r>
      <w:r w:rsidR="00EB6DB4">
        <w:rPr>
          <w:rFonts w:ascii="Arial" w:hAnsi="Arial" w:cs="Arial"/>
          <w:sz w:val="22"/>
          <w:lang w:val="es-ES"/>
        </w:rPr>
        <w:t>estuviera restringida</w:t>
      </w:r>
      <w:r w:rsidRPr="00C5588A">
        <w:rPr>
          <w:rFonts w:ascii="Arial" w:hAnsi="Arial" w:cs="Arial"/>
          <w:sz w:val="22"/>
          <w:lang w:val="es-ES"/>
        </w:rPr>
        <w:t>.</w:t>
      </w:r>
      <w:r w:rsidR="00C5588A" w:rsidRPr="00C5588A">
        <w:rPr>
          <w:rFonts w:ascii="Arial" w:hAnsi="Arial" w:cs="Arial"/>
          <w:sz w:val="22"/>
          <w:lang w:val="es-ES"/>
        </w:rPr>
        <w:t xml:space="preserve"> La finalidad de la norma y el principio del efecto útil de las disposiciones implican interpretar el contenido de las operaciones de crédito público de manera que al aplicar la excepción se produzca el efecto deseado por el legislador.</w:t>
      </w:r>
    </w:p>
    <w:p w14:paraId="4C20E030" w14:textId="32F1A166" w:rsidR="00A06054" w:rsidRDefault="003F7CE9" w:rsidP="00783E25">
      <w:pPr>
        <w:spacing w:after="0"/>
        <w:ind w:firstLine="709"/>
        <w:rPr>
          <w:rFonts w:ascii="Arial" w:eastAsia="Calibri" w:hAnsi="Arial" w:cs="Arial"/>
          <w:b/>
          <w:sz w:val="22"/>
          <w:lang w:val="es-CO"/>
        </w:rPr>
      </w:pPr>
      <w:r w:rsidRPr="00E118CF">
        <w:rPr>
          <w:rFonts w:ascii="Arial" w:hAnsi="Arial" w:cs="Arial"/>
          <w:sz w:val="22"/>
          <w:lang w:val="es-ES"/>
        </w:rPr>
        <w:t xml:space="preserve">No obstante, </w:t>
      </w:r>
      <w:r w:rsidRPr="00090501">
        <w:rPr>
          <w:rFonts w:ascii="Arial" w:hAnsi="Arial" w:cs="Arial"/>
          <w:sz w:val="22"/>
          <w:lang w:val="es-ES"/>
        </w:rPr>
        <w:t>las entidades estatales deben ser cuidadosas en el análisis de cada caso concreto, para determinar si las actividades que van a realizar</w:t>
      </w:r>
      <w:r w:rsidR="00AC754D">
        <w:rPr>
          <w:rFonts w:ascii="Arial" w:hAnsi="Arial" w:cs="Arial"/>
          <w:sz w:val="22"/>
          <w:lang w:val="es-ES"/>
        </w:rPr>
        <w:t xml:space="preserve"> </w:t>
      </w:r>
      <w:r w:rsidRPr="00090501">
        <w:rPr>
          <w:rFonts w:ascii="Arial" w:hAnsi="Arial" w:cs="Arial"/>
          <w:sz w:val="22"/>
          <w:lang w:val="es-ES"/>
        </w:rPr>
        <w:t>está</w:t>
      </w:r>
      <w:r w:rsidR="00AC754D">
        <w:rPr>
          <w:rFonts w:ascii="Arial" w:hAnsi="Arial" w:cs="Arial"/>
          <w:sz w:val="22"/>
          <w:lang w:val="es-ES"/>
        </w:rPr>
        <w:t>n amparadas</w:t>
      </w:r>
      <w:r w:rsidRPr="00090501">
        <w:rPr>
          <w:rFonts w:ascii="Arial" w:hAnsi="Arial" w:cs="Arial"/>
          <w:sz w:val="22"/>
          <w:lang w:val="es-ES"/>
        </w:rPr>
        <w:t xml:space="preserve"> por </w:t>
      </w:r>
      <w:r w:rsidRPr="00090501">
        <w:rPr>
          <w:rFonts w:ascii="Arial" w:hAnsi="Arial" w:cs="Arial"/>
          <w:sz w:val="22"/>
          <w:lang w:val="es-ES"/>
        </w:rPr>
        <w:lastRenderedPageBreak/>
        <w:t>las excepciones del artículo 33</w:t>
      </w:r>
      <w:r w:rsidR="00EB6DB4">
        <w:rPr>
          <w:rFonts w:ascii="Arial" w:hAnsi="Arial" w:cs="Arial"/>
          <w:sz w:val="22"/>
          <w:lang w:val="es-ES"/>
        </w:rPr>
        <w:t xml:space="preserve"> de la Ley de Garantías</w:t>
      </w:r>
      <w:r w:rsidRPr="00090501">
        <w:rPr>
          <w:rFonts w:ascii="Arial" w:hAnsi="Arial" w:cs="Arial"/>
          <w:sz w:val="22"/>
          <w:lang w:val="es-ES"/>
        </w:rPr>
        <w:t xml:space="preserve">. Bajo la óptica adoptada en el presente concepto, solamente estarían cobijadas </w:t>
      </w:r>
      <w:r w:rsidR="00A06054">
        <w:rPr>
          <w:rFonts w:ascii="Arial" w:hAnsi="Arial" w:cs="Arial"/>
          <w:sz w:val="22"/>
          <w:lang w:val="es-ES"/>
        </w:rPr>
        <w:t>las</w:t>
      </w:r>
      <w:r w:rsidRPr="00090501">
        <w:rPr>
          <w:rFonts w:ascii="Arial" w:hAnsi="Arial" w:cs="Arial"/>
          <w:sz w:val="22"/>
          <w:lang w:val="es-ES"/>
        </w:rPr>
        <w:t xml:space="preserve"> operaciones conexas que cumplan con el carácter de necesarias</w:t>
      </w:r>
      <w:r w:rsidR="00783E25">
        <w:rPr>
          <w:rFonts w:ascii="Arial" w:hAnsi="Arial" w:cs="Arial"/>
          <w:sz w:val="22"/>
          <w:lang w:val="es-ES"/>
        </w:rPr>
        <w:t xml:space="preserve"> </w:t>
      </w:r>
      <w:r w:rsidRPr="00090501">
        <w:rPr>
          <w:rFonts w:ascii="Arial" w:hAnsi="Arial" w:cs="Arial"/>
          <w:sz w:val="22"/>
          <w:lang w:val="es-ES"/>
        </w:rPr>
        <w:t xml:space="preserve">para </w:t>
      </w:r>
      <w:r w:rsidR="00A06054">
        <w:rPr>
          <w:rFonts w:ascii="Arial" w:hAnsi="Arial" w:cs="Arial"/>
          <w:sz w:val="22"/>
          <w:lang w:val="es-ES"/>
        </w:rPr>
        <w:t xml:space="preserve">lograr </w:t>
      </w:r>
      <w:r w:rsidRPr="00090501">
        <w:rPr>
          <w:rFonts w:ascii="Arial" w:hAnsi="Arial" w:cs="Arial"/>
          <w:sz w:val="22"/>
          <w:lang w:val="es-ES"/>
        </w:rPr>
        <w:t>las operaciones principales de crédito público.</w:t>
      </w:r>
    </w:p>
    <w:p w14:paraId="66FA1271" w14:textId="77777777" w:rsidR="00783E25" w:rsidRPr="00783E25" w:rsidRDefault="00783E25" w:rsidP="00783E25">
      <w:pPr>
        <w:spacing w:after="0"/>
        <w:ind w:firstLine="709"/>
        <w:rPr>
          <w:rFonts w:ascii="Arial" w:eastAsia="Calibri" w:hAnsi="Arial" w:cs="Arial"/>
          <w:b/>
          <w:sz w:val="22"/>
          <w:lang w:val="es-CO"/>
        </w:rPr>
      </w:pPr>
    </w:p>
    <w:p w14:paraId="70E52E7E" w14:textId="1E3DC4E9" w:rsidR="0078165F" w:rsidRPr="00210E7F" w:rsidRDefault="00B53623" w:rsidP="00210E7F">
      <w:pPr>
        <w:tabs>
          <w:tab w:val="left" w:pos="284"/>
        </w:tabs>
        <w:spacing w:after="0"/>
        <w:rPr>
          <w:rFonts w:ascii="Arial" w:eastAsia="Calibri" w:hAnsi="Arial" w:cs="Arial"/>
          <w:sz w:val="22"/>
          <w:lang w:val="es-CO"/>
        </w:rPr>
      </w:pPr>
      <w:r>
        <w:rPr>
          <w:rFonts w:ascii="Arial" w:eastAsia="Calibri" w:hAnsi="Arial" w:cs="Arial"/>
          <w:b/>
          <w:sz w:val="22"/>
          <w:lang w:val="es-CO"/>
        </w:rPr>
        <w:t xml:space="preserve">3. </w:t>
      </w:r>
      <w:r w:rsidR="0078165F" w:rsidRPr="00210E7F">
        <w:rPr>
          <w:rFonts w:ascii="Arial" w:eastAsia="Calibri" w:hAnsi="Arial" w:cs="Arial"/>
          <w:b/>
          <w:sz w:val="22"/>
          <w:lang w:val="es-CO"/>
        </w:rPr>
        <w:t>Respuesta</w:t>
      </w:r>
    </w:p>
    <w:p w14:paraId="6D44A369" w14:textId="7D3DEBC7" w:rsidR="003F7CE9" w:rsidRPr="00E118CF" w:rsidRDefault="003F7CE9" w:rsidP="00090501">
      <w:pPr>
        <w:tabs>
          <w:tab w:val="left" w:pos="0"/>
        </w:tabs>
        <w:spacing w:after="0"/>
        <w:rPr>
          <w:rFonts w:ascii="Arial" w:eastAsia="Calibri" w:hAnsi="Arial" w:cs="Arial"/>
          <w:sz w:val="22"/>
          <w:lang w:val="es-CO"/>
        </w:rPr>
      </w:pPr>
    </w:p>
    <w:p w14:paraId="15D458CB" w14:textId="0A92B935" w:rsidR="003F7CE9" w:rsidRPr="00210E7F" w:rsidRDefault="00B53623" w:rsidP="00210E7F">
      <w:pPr>
        <w:spacing w:after="0" w:line="240" w:lineRule="auto"/>
        <w:ind w:left="709" w:right="709"/>
        <w:rPr>
          <w:rFonts w:ascii="Arial" w:eastAsia="Times New Roman" w:hAnsi="Arial" w:cs="Arial"/>
          <w:sz w:val="21"/>
          <w:szCs w:val="21"/>
          <w:lang w:val="es-CO" w:eastAsia="es-ES_tradnl"/>
        </w:rPr>
      </w:pPr>
      <w:r w:rsidRPr="00210E7F">
        <w:rPr>
          <w:rFonts w:ascii="Arial" w:eastAsia="Calibri" w:hAnsi="Arial" w:cs="Arial"/>
          <w:sz w:val="21"/>
          <w:szCs w:val="21"/>
          <w:lang w:val="es-CO"/>
        </w:rPr>
        <w:t>«</w:t>
      </w:r>
      <w:proofErr w:type="gramStart"/>
      <w:r w:rsidRPr="00210E7F">
        <w:rPr>
          <w:rFonts w:ascii="Arial" w:eastAsia="Calibri" w:hAnsi="Arial" w:cs="Arial"/>
          <w:sz w:val="21"/>
          <w:szCs w:val="21"/>
          <w:lang w:val="es-CO"/>
        </w:rPr>
        <w:t>¿La excepción contemplada en el artículo 33 de la Ley 996 de 2005, respecto de los contratos de crédito público, cobija a los contratos conexos a estos, definidos por el artículo 2.</w:t>
      </w:r>
      <w:proofErr w:type="gramEnd"/>
      <w:r w:rsidRPr="00210E7F">
        <w:rPr>
          <w:rFonts w:ascii="Arial" w:eastAsia="Calibri" w:hAnsi="Arial" w:cs="Arial"/>
          <w:sz w:val="21"/>
          <w:szCs w:val="21"/>
          <w:lang w:val="es-CO"/>
        </w:rPr>
        <w:t>2.1.1.4 del Decreto Único Reglamentario 1068 de 2015?».</w:t>
      </w:r>
    </w:p>
    <w:p w14:paraId="50831179" w14:textId="77777777" w:rsidR="000E5D20" w:rsidRPr="00090501" w:rsidRDefault="000E5D20" w:rsidP="00090501">
      <w:pPr>
        <w:spacing w:after="0"/>
        <w:rPr>
          <w:rFonts w:ascii="Arial" w:hAnsi="Arial" w:cs="Arial"/>
          <w:sz w:val="22"/>
          <w:lang w:val="es-CO"/>
        </w:rPr>
      </w:pPr>
    </w:p>
    <w:p w14:paraId="7B0E0A13" w14:textId="1E06C4AC" w:rsidR="000E5D20" w:rsidRPr="009336F3" w:rsidRDefault="00C332B3" w:rsidP="00210E7F">
      <w:pPr>
        <w:spacing w:after="0"/>
        <w:rPr>
          <w:rFonts w:ascii="Times New Roman" w:hAnsi="Times New Roman" w:cs="Times New Roman"/>
          <w:lang w:val="es-ES"/>
        </w:rPr>
      </w:pPr>
      <w:r>
        <w:rPr>
          <w:rFonts w:ascii="Arial" w:eastAsia="Calibri" w:hAnsi="Arial" w:cs="Arial"/>
          <w:sz w:val="22"/>
          <w:lang w:val="es-CO"/>
        </w:rPr>
        <w:t xml:space="preserve">De acuerdo con las consideraciones expuestas, </w:t>
      </w:r>
      <w:r>
        <w:rPr>
          <w:rFonts w:ascii="Arial" w:hAnsi="Arial" w:cs="Arial"/>
          <w:sz w:val="22"/>
          <w:lang w:val="es-CO"/>
        </w:rPr>
        <w:t>l</w:t>
      </w:r>
      <w:r w:rsidR="000E5D20" w:rsidRPr="00090501">
        <w:rPr>
          <w:rFonts w:ascii="Arial" w:hAnsi="Arial" w:cs="Arial"/>
          <w:sz w:val="22"/>
          <w:lang w:val="es-ES"/>
        </w:rPr>
        <w:t>a excepción contemplada en el artículo 33 de la Ley 996 de 2005 respecto de los contratos de crédito público cobija a los contratos conexos definidos por el artículo 2.2.1.1.4 del Decreto Único Reglamentario 1068 de 2015</w:t>
      </w:r>
      <w:r w:rsidR="003F7CE9" w:rsidRPr="00090501">
        <w:rPr>
          <w:rFonts w:ascii="Arial" w:hAnsi="Arial" w:cs="Arial"/>
          <w:sz w:val="22"/>
          <w:lang w:val="es-ES"/>
        </w:rPr>
        <w:t xml:space="preserve">. </w:t>
      </w:r>
      <w:r w:rsidR="00E94673" w:rsidRPr="00E94673">
        <w:rPr>
          <w:rFonts w:ascii="Arial" w:hAnsi="Arial" w:cs="Arial"/>
          <w:sz w:val="22"/>
          <w:lang w:val="es-ES"/>
        </w:rPr>
        <w:t>No obstante, las entidades estatales deben ser cuidadosas en el análisis de cada caso concreto, para determinar si las actividades que van a realizar están amparadas por las excepciones. Bajo la óptica adoptada, solamente estarían cobijadas las operaciones conexas que cumplan con el carácter de necesarias para lograr las operaciones principales de crédito público</w:t>
      </w:r>
      <w:r w:rsidR="003F7CE9" w:rsidRPr="00090501">
        <w:rPr>
          <w:rFonts w:ascii="Arial" w:hAnsi="Arial" w:cs="Arial"/>
          <w:sz w:val="22"/>
          <w:lang w:val="es-ES"/>
        </w:rPr>
        <w:t>.</w:t>
      </w:r>
      <w:r w:rsidR="003F7CE9" w:rsidRPr="00090501">
        <w:rPr>
          <w:rFonts w:ascii="Times New Roman" w:hAnsi="Times New Roman" w:cs="Times New Roman"/>
          <w:lang w:val="es-ES"/>
        </w:rPr>
        <w:t xml:space="preserve"> </w:t>
      </w:r>
    </w:p>
    <w:p w14:paraId="6D7394ED" w14:textId="77777777" w:rsidR="003F7CE9" w:rsidRDefault="003F7CE9" w:rsidP="00090501">
      <w:pPr>
        <w:spacing w:after="0"/>
        <w:rPr>
          <w:rFonts w:ascii="Arial" w:eastAsia="Calibri" w:hAnsi="Arial" w:cs="Arial"/>
          <w:sz w:val="22"/>
          <w:lang w:val="es-CO"/>
        </w:rPr>
      </w:pPr>
      <w:bookmarkStart w:id="44" w:name="_Hlk57650395"/>
    </w:p>
    <w:p w14:paraId="62D0F98C" w14:textId="4FC5AC66" w:rsidR="00506085" w:rsidRPr="001C64AB" w:rsidRDefault="00506085" w:rsidP="00090501">
      <w:pPr>
        <w:spacing w:after="0"/>
        <w:rPr>
          <w:rFonts w:ascii="Arial" w:eastAsia="Calibri" w:hAnsi="Arial" w:cs="Arial"/>
          <w:sz w:val="22"/>
          <w:lang w:val="es-CO"/>
        </w:rPr>
      </w:pPr>
      <w:r w:rsidRPr="001C64AB">
        <w:rPr>
          <w:rFonts w:ascii="Arial" w:eastAsia="Calibri" w:hAnsi="Arial" w:cs="Arial"/>
          <w:sz w:val="22"/>
          <w:lang w:val="es-CO"/>
        </w:rPr>
        <w:t>Este concepto tiene el alcance previsto en el artículo 28 del Código de Procedimiento Administrativo y de lo Contencioso Administrativo.</w:t>
      </w:r>
    </w:p>
    <w:p w14:paraId="23675F74" w14:textId="410D6A0F" w:rsidR="003F7CE9" w:rsidRPr="00450D34" w:rsidRDefault="00506085" w:rsidP="00090501">
      <w:pPr>
        <w:spacing w:after="0"/>
        <w:rPr>
          <w:rFonts w:ascii="Arial" w:eastAsia="Calibri" w:hAnsi="Arial" w:cs="Arial"/>
          <w:sz w:val="22"/>
          <w:lang w:val="es-CO"/>
        </w:rPr>
      </w:pPr>
      <w:r w:rsidRPr="001C64AB">
        <w:rPr>
          <w:rFonts w:ascii="Arial" w:hAnsi="Arial" w:cs="Arial"/>
          <w:noProof/>
          <w:sz w:val="22"/>
          <w:lang w:val="es-CO"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6B25778"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240E0475" w14:textId="6231967F" w:rsidR="00506085" w:rsidRPr="001C64AB" w:rsidRDefault="00506085" w:rsidP="00090501">
      <w:pPr>
        <w:spacing w:after="0"/>
        <w:rPr>
          <w:rFonts w:ascii="Arial" w:eastAsia="Times New Roman" w:hAnsi="Arial" w:cs="Arial"/>
          <w:sz w:val="22"/>
          <w:lang w:val="es-CO" w:eastAsia="es-CO"/>
        </w:rPr>
      </w:pPr>
      <w:r w:rsidRPr="001C64AB">
        <w:rPr>
          <w:rFonts w:ascii="Arial" w:eastAsia="Times New Roman" w:hAnsi="Arial" w:cs="Arial"/>
          <w:sz w:val="22"/>
          <w:lang w:val="es-CO" w:eastAsia="es-CO"/>
        </w:rPr>
        <w:t>Atentamente,</w:t>
      </w:r>
    </w:p>
    <w:bookmarkEnd w:id="44"/>
    <w:p w14:paraId="39175175" w14:textId="77777777" w:rsidR="00814B71" w:rsidRPr="00446B03" w:rsidRDefault="00814B71" w:rsidP="00814B71">
      <w:pPr>
        <w:spacing w:after="120"/>
        <w:rPr>
          <w:rFonts w:ascii="Arial" w:eastAsia="Calibri" w:hAnsi="Arial" w:cs="Arial"/>
          <w:sz w:val="22"/>
          <w:lang w:val="es-CO"/>
        </w:rPr>
      </w:pPr>
    </w:p>
    <w:p w14:paraId="6E38F241" w14:textId="51A4C166" w:rsidR="00814B71" w:rsidRPr="00446B03" w:rsidRDefault="00E56152" w:rsidP="00814B71">
      <w:pPr>
        <w:jc w:val="center"/>
        <w:rPr>
          <w:rFonts w:ascii="Arial" w:eastAsia="Times New Roman" w:hAnsi="Arial" w:cs="Arial"/>
          <w:color w:val="000000" w:themeColor="text1"/>
          <w:sz w:val="18"/>
          <w:szCs w:val="20"/>
          <w:lang w:eastAsia="es-CO"/>
        </w:rPr>
      </w:pPr>
      <w:r>
        <w:rPr>
          <w:rFonts w:ascii="Arial" w:hAnsi="Arial" w:cs="Arial"/>
          <w:b/>
          <w:bCs/>
          <w:noProof/>
          <w:sz w:val="22"/>
          <w:lang w:val="es-ES_tradnl" w:eastAsia="es-CO"/>
        </w:rPr>
        <w:drawing>
          <wp:inline distT="0" distB="0" distL="0" distR="0" wp14:anchorId="389C504E" wp14:editId="5FC1898A">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14B71" w:rsidRPr="00446B03" w14:paraId="4F22B00C" w14:textId="77777777" w:rsidTr="00F95ABC">
        <w:trPr>
          <w:trHeight w:val="315"/>
        </w:trPr>
        <w:tc>
          <w:tcPr>
            <w:tcW w:w="812" w:type="dxa"/>
            <w:vAlign w:val="center"/>
            <w:hideMark/>
          </w:tcPr>
          <w:p w14:paraId="19B29802" w14:textId="77777777" w:rsidR="00814B71" w:rsidRPr="00446B03" w:rsidRDefault="00814B71" w:rsidP="00F95ABC">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737E49E2" w14:textId="77777777" w:rsidR="00814B71" w:rsidRPr="00446B03" w:rsidRDefault="00814B71" w:rsidP="00F95ABC">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Diego Enrique Franco Victoria</w:t>
            </w:r>
          </w:p>
          <w:p w14:paraId="4EE5560A" w14:textId="77777777" w:rsidR="00814B71" w:rsidRPr="00446B03" w:rsidRDefault="00814B71" w:rsidP="00F95ABC">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Contratista de la Subdirección de Gestión Contractual</w:t>
            </w:r>
          </w:p>
        </w:tc>
      </w:tr>
      <w:tr w:rsidR="00814B71" w:rsidRPr="00446B03" w14:paraId="2837A404" w14:textId="77777777" w:rsidTr="00F95ABC">
        <w:trPr>
          <w:trHeight w:val="330"/>
        </w:trPr>
        <w:tc>
          <w:tcPr>
            <w:tcW w:w="812" w:type="dxa"/>
            <w:vAlign w:val="center"/>
            <w:hideMark/>
          </w:tcPr>
          <w:p w14:paraId="00C8A437" w14:textId="77777777" w:rsidR="00814B71" w:rsidRPr="00446B03" w:rsidRDefault="00814B71" w:rsidP="00F95ABC">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C507C04" w14:textId="77777777" w:rsidR="00814B71" w:rsidRPr="00446B03" w:rsidRDefault="00814B71" w:rsidP="00F95ABC">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Juan David Montoya Penagos</w:t>
            </w:r>
          </w:p>
          <w:p w14:paraId="26B27B79" w14:textId="77777777" w:rsidR="00814B71" w:rsidRPr="00446B03" w:rsidRDefault="00814B71" w:rsidP="00F95ABC">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Gestor T1-15 de la Subdirección de Gestión Contractual</w:t>
            </w:r>
          </w:p>
        </w:tc>
      </w:tr>
      <w:tr w:rsidR="00814B71" w14:paraId="6327003B" w14:textId="77777777" w:rsidTr="00F95ABC">
        <w:trPr>
          <w:trHeight w:val="300"/>
        </w:trPr>
        <w:tc>
          <w:tcPr>
            <w:tcW w:w="812" w:type="dxa"/>
            <w:vAlign w:val="center"/>
            <w:hideMark/>
          </w:tcPr>
          <w:p w14:paraId="799C017B" w14:textId="77777777" w:rsidR="00814B71" w:rsidRPr="00446B03" w:rsidRDefault="00814B71" w:rsidP="00F95ABC">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0F1D3F0" w14:textId="77777777" w:rsidR="00814B71" w:rsidRPr="00446B03" w:rsidRDefault="00814B71" w:rsidP="00F95ABC">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Jorge Augusto Tirado Navarro</w:t>
            </w:r>
          </w:p>
          <w:p w14:paraId="085C975A" w14:textId="77777777" w:rsidR="00814B71" w:rsidRDefault="00814B71" w:rsidP="00F95ABC">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Subdirector de Gestión Contractual ANCP – CCE</w:t>
            </w:r>
          </w:p>
        </w:tc>
      </w:tr>
    </w:tbl>
    <w:p w14:paraId="1B0BB7AC" w14:textId="2B920F30" w:rsidR="00F94800" w:rsidRPr="00814B71" w:rsidRDefault="00F94800" w:rsidP="00090501">
      <w:pPr>
        <w:spacing w:after="0"/>
        <w:rPr>
          <w:rFonts w:ascii="Arial" w:eastAsia="Times New Roman" w:hAnsi="Arial" w:cs="Arial"/>
          <w:sz w:val="22"/>
          <w:lang w:eastAsia="es-CO"/>
        </w:rPr>
      </w:pPr>
    </w:p>
    <w:sectPr w:rsidR="00F94800" w:rsidRPr="00814B71" w:rsidSect="00FE0395">
      <w:headerReference w:type="default" r:id="rId13"/>
      <w:footerReference w:type="default" r:id="rId14"/>
      <w:pgSz w:w="12240" w:h="15840"/>
      <w:pgMar w:top="411"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F278C" w14:textId="77777777" w:rsidR="00123057" w:rsidRDefault="00123057">
      <w:r>
        <w:separator/>
      </w:r>
    </w:p>
  </w:endnote>
  <w:endnote w:type="continuationSeparator" w:id="0">
    <w:p w14:paraId="51763302" w14:textId="77777777" w:rsidR="00123057" w:rsidRDefault="00123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96516" w14:textId="77777777" w:rsidR="00123057" w:rsidRDefault="00123057">
      <w:r>
        <w:separator/>
      </w:r>
    </w:p>
  </w:footnote>
  <w:footnote w:type="continuationSeparator" w:id="0">
    <w:p w14:paraId="31ED2E52" w14:textId="77777777" w:rsidR="00123057" w:rsidRDefault="00123057">
      <w:r>
        <w:continuationSeparator/>
      </w:r>
    </w:p>
  </w:footnote>
  <w:footnote w:id="1">
    <w:p w14:paraId="354CAE9A" w14:textId="59D316BF" w:rsidR="0040125F" w:rsidRPr="0040125F" w:rsidRDefault="00AC27EA" w:rsidP="0040125F">
      <w:pPr>
        <w:pStyle w:val="Textonotapie"/>
        <w:ind w:firstLine="709"/>
        <w:rPr>
          <w:rFonts w:ascii="Arial" w:hAnsi="Arial" w:cs="Arial"/>
          <w:sz w:val="19"/>
          <w:szCs w:val="19"/>
        </w:rPr>
      </w:pPr>
      <w:r>
        <w:rPr>
          <w:rStyle w:val="Refdenotaalpie"/>
          <w:sz w:val="19"/>
          <w:szCs w:val="19"/>
        </w:rPr>
        <w:footnoteRef/>
      </w:r>
      <w:r>
        <w:rPr>
          <w:sz w:val="19"/>
          <w:szCs w:val="19"/>
        </w:rPr>
        <w:t xml:space="preserve"> </w:t>
      </w:r>
      <w:r w:rsidRPr="00210E7F">
        <w:rPr>
          <w:rFonts w:ascii="Arial" w:hAnsi="Arial" w:cs="Arial"/>
          <w:sz w:val="19"/>
          <w:szCs w:val="19"/>
        </w:rPr>
        <w:t>Gaceta del Congreso de la República No. 71 del 2005.</w:t>
      </w:r>
    </w:p>
  </w:footnote>
  <w:footnote w:id="2">
    <w:p w14:paraId="20002690" w14:textId="77777777" w:rsidR="00EB6DB4" w:rsidRDefault="00EB6DB4" w:rsidP="00EB6DB4">
      <w:pPr>
        <w:pStyle w:val="Textonotapie"/>
        <w:spacing w:line="240" w:lineRule="auto"/>
        <w:ind w:firstLine="708"/>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w:t>
      </w:r>
    </w:p>
  </w:footnote>
  <w:footnote w:id="3">
    <w:p w14:paraId="0E782440" w14:textId="77777777" w:rsidR="00454627" w:rsidRDefault="00454627" w:rsidP="00454627">
      <w:pPr>
        <w:pStyle w:val="Textonotapie"/>
        <w:spacing w:after="0" w:line="240" w:lineRule="auto"/>
        <w:ind w:firstLine="709"/>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2135D4E" w14:textId="5F7305FE" w:rsidR="00454627" w:rsidRDefault="00454627" w:rsidP="00454627">
      <w:pPr>
        <w:pStyle w:val="Textonotapie"/>
        <w:spacing w:after="0" w:line="240" w:lineRule="auto"/>
        <w:ind w:firstLine="709"/>
        <w:rPr>
          <w:rFonts w:ascii="Arial" w:hAnsi="Arial" w:cs="Arial"/>
          <w:sz w:val="19"/>
          <w:szCs w:val="19"/>
        </w:rPr>
      </w:pPr>
      <w:proofErr w:type="gramStart"/>
      <w:r>
        <w:rPr>
          <w:rFonts w:ascii="Arial" w:hAnsi="Arial" w:cs="Arial"/>
          <w:sz w:val="19"/>
          <w:szCs w:val="19"/>
        </w:rPr>
        <w:t>»A</w:t>
      </w:r>
      <w:proofErr w:type="gramEnd"/>
      <w:r>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5AB9BAF6" w14:textId="77777777" w:rsidR="00454627" w:rsidRDefault="00454627" w:rsidP="00454627">
      <w:pPr>
        <w:pStyle w:val="Textonotapie"/>
        <w:spacing w:after="0" w:line="240" w:lineRule="auto"/>
        <w:ind w:firstLine="709"/>
        <w:rPr>
          <w:rFonts w:ascii="Arial" w:hAnsi="Arial" w:cs="Arial"/>
          <w:sz w:val="19"/>
          <w:szCs w:val="19"/>
        </w:rPr>
      </w:pPr>
    </w:p>
  </w:footnote>
  <w:footnote w:id="4">
    <w:p w14:paraId="2BEF39B3" w14:textId="77777777" w:rsidR="00454627" w:rsidRDefault="00454627" w:rsidP="00454627">
      <w:pPr>
        <w:pStyle w:val="Textonotapie"/>
        <w:ind w:firstLine="709"/>
        <w:rPr>
          <w:sz w:val="19"/>
          <w:szCs w:val="19"/>
          <w:lang w:val="es-CO"/>
        </w:rPr>
      </w:pPr>
      <w:r>
        <w:rPr>
          <w:rStyle w:val="Refdenotaalpie"/>
          <w:sz w:val="19"/>
          <w:szCs w:val="19"/>
        </w:rPr>
        <w:footnoteRef/>
      </w:r>
      <w:r>
        <w:rPr>
          <w:sz w:val="19"/>
          <w:szCs w:val="19"/>
        </w:rPr>
        <w:t xml:space="preserve"> </w:t>
      </w:r>
      <w:r w:rsidRPr="00210E7F">
        <w:rPr>
          <w:rFonts w:ascii="Arial" w:hAnsi="Arial" w:cs="Arial"/>
          <w:sz w:val="19"/>
          <w:szCs w:val="19"/>
        </w:rPr>
        <w:t>Gaceta del Congreso de la República No. 71 del 2005.</w:t>
      </w:r>
    </w:p>
  </w:footnote>
  <w:footnote w:id="5">
    <w:p w14:paraId="138562FE" w14:textId="77777777" w:rsidR="00454627" w:rsidRDefault="00454627" w:rsidP="00454627">
      <w:pPr>
        <w:pStyle w:val="Textonotapie"/>
        <w:ind w:firstLine="709"/>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Corte Constitucional, Sentencia C- 1153 de 2005, M.P. Marco Gerardo Monroy Cabra.</w:t>
      </w:r>
    </w:p>
  </w:footnote>
  <w:footnote w:id="6">
    <w:p w14:paraId="7F337160" w14:textId="77777777" w:rsidR="00454627" w:rsidRDefault="00454627" w:rsidP="00454627">
      <w:pPr>
        <w:pStyle w:val="Textonotapie"/>
        <w:spacing w:after="0" w:line="240" w:lineRule="auto"/>
        <w:ind w:firstLine="709"/>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73917E89" w14:textId="77777777" w:rsidR="00454627" w:rsidRDefault="00454627" w:rsidP="00454627">
      <w:pPr>
        <w:pStyle w:val="Textonotapie"/>
        <w:spacing w:after="0" w:line="240" w:lineRule="auto"/>
        <w:ind w:firstLine="709"/>
        <w:rPr>
          <w:rFonts w:ascii="Arial" w:hAnsi="Arial" w:cs="Arial"/>
          <w:sz w:val="19"/>
          <w:szCs w:val="19"/>
        </w:rPr>
      </w:pPr>
    </w:p>
  </w:footnote>
  <w:footnote w:id="7">
    <w:p w14:paraId="2FB047FB" w14:textId="77777777" w:rsidR="00454627" w:rsidRDefault="00454627" w:rsidP="00454627">
      <w:pPr>
        <w:pStyle w:val="Textonotapie"/>
        <w:spacing w:after="0" w:line="240" w:lineRule="auto"/>
        <w:ind w:firstLine="709"/>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18C6258D" w14:textId="77777777" w:rsidR="00454627" w:rsidRDefault="00454627" w:rsidP="00454627">
      <w:pPr>
        <w:pStyle w:val="Textonotapie"/>
        <w:spacing w:after="0" w:line="240" w:lineRule="auto"/>
        <w:ind w:firstLine="709"/>
        <w:rPr>
          <w:rFonts w:ascii="Arial" w:hAnsi="Arial" w:cs="Arial"/>
          <w:sz w:val="19"/>
          <w:szCs w:val="19"/>
          <w:lang w:val="es-CO"/>
        </w:rPr>
      </w:pPr>
    </w:p>
  </w:footnote>
  <w:footnote w:id="8">
    <w:p w14:paraId="049B6300" w14:textId="77777777" w:rsidR="00454627" w:rsidRDefault="00454627" w:rsidP="00454627">
      <w:pPr>
        <w:pStyle w:val="Textonotapie"/>
        <w:spacing w:after="0" w:line="240" w:lineRule="auto"/>
        <w:ind w:firstLine="709"/>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Consejo de Estado, Sala de Consulta y Servicio Civil de fecha 24 de julio de 2013, radicado 2166, </w:t>
      </w:r>
      <w:proofErr w:type="gramStart"/>
      <w:r>
        <w:rPr>
          <w:rFonts w:ascii="Arial" w:hAnsi="Arial" w:cs="Arial"/>
          <w:sz w:val="19"/>
          <w:szCs w:val="19"/>
        </w:rPr>
        <w:t>Consejero</w:t>
      </w:r>
      <w:proofErr w:type="gramEnd"/>
      <w:r>
        <w:rPr>
          <w:rFonts w:ascii="Arial" w:hAnsi="Arial" w:cs="Arial"/>
          <w:sz w:val="19"/>
          <w:szCs w:val="19"/>
        </w:rPr>
        <w:t xml:space="preserve"> Ponente: Álvaro Namén Vargas.  </w:t>
      </w:r>
    </w:p>
  </w:footnote>
  <w:footnote w:id="9">
    <w:p w14:paraId="5831A322" w14:textId="77777777" w:rsidR="00454627" w:rsidRDefault="00454627" w:rsidP="00454627">
      <w:pPr>
        <w:spacing w:after="0" w:line="240" w:lineRule="auto"/>
        <w:ind w:firstLine="709"/>
        <w:rPr>
          <w:rFonts w:ascii="Arial" w:eastAsia="Times New Roman"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eastAsia="Calibri" w:hAnsi="Arial" w:cs="Arial"/>
          <w:bCs/>
          <w:color w:val="000000"/>
          <w:sz w:val="19"/>
          <w:szCs w:val="19"/>
        </w:rPr>
        <w:t>«</w:t>
      </w:r>
      <w:r>
        <w:rPr>
          <w:rFonts w:ascii="Arial" w:eastAsia="Times New Roman" w:hAnsi="Arial" w:cs="Arial"/>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034C28AC" w14:textId="0926E488" w:rsidR="00454627" w:rsidRDefault="00454627" w:rsidP="00454627">
      <w:pPr>
        <w:spacing w:after="0" w:line="240" w:lineRule="auto"/>
        <w:ind w:firstLine="709"/>
        <w:rPr>
          <w:rFonts w:ascii="Arial" w:eastAsia="Times New Roman" w:hAnsi="Arial" w:cs="Arial"/>
          <w:sz w:val="19"/>
          <w:szCs w:val="19"/>
        </w:rPr>
      </w:pPr>
      <w:r>
        <w:rPr>
          <w:rFonts w:ascii="Arial" w:eastAsia="Calibri" w:hAnsi="Arial" w:cs="Arial"/>
          <w:bCs/>
          <w:color w:val="000000"/>
          <w:sz w:val="19"/>
          <w:szCs w:val="19"/>
        </w:rPr>
        <w:t>»</w:t>
      </w:r>
      <w:r>
        <w:rPr>
          <w:rFonts w:ascii="Arial" w:eastAsia="Times New Roman"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Arial" w:eastAsia="Calibri" w:hAnsi="Arial" w:cs="Arial"/>
          <w:bCs/>
          <w:color w:val="000000"/>
          <w:sz w:val="19"/>
          <w:szCs w:val="19"/>
        </w:rPr>
        <w:t>»</w:t>
      </w:r>
      <w:r>
        <w:rPr>
          <w:rFonts w:ascii="Arial" w:eastAsia="Times New Roman" w:hAnsi="Arial" w:cs="Arial"/>
          <w:sz w:val="19"/>
          <w:szCs w:val="19"/>
        </w:rPr>
        <w:t>.</w:t>
      </w:r>
    </w:p>
    <w:p w14:paraId="3419DE54" w14:textId="77777777" w:rsidR="00454627" w:rsidRDefault="00454627" w:rsidP="00454627">
      <w:pPr>
        <w:spacing w:after="0" w:line="240" w:lineRule="auto"/>
        <w:ind w:firstLine="709"/>
        <w:rPr>
          <w:rFonts w:ascii="Arial" w:eastAsia="Times New Roman" w:hAnsi="Arial" w:cs="Arial"/>
          <w:sz w:val="19"/>
          <w:szCs w:val="19"/>
        </w:rPr>
      </w:pPr>
    </w:p>
  </w:footnote>
  <w:footnote w:id="10">
    <w:p w14:paraId="1BC0EF61" w14:textId="77777777" w:rsidR="00454627" w:rsidRDefault="00454627" w:rsidP="00454627">
      <w:pPr>
        <w:pStyle w:val="NormalWeb"/>
        <w:spacing w:before="0" w:beforeAutospacing="0" w:after="0" w:afterAutospacing="0" w:line="240" w:lineRule="auto"/>
        <w:ind w:firstLine="709"/>
        <w:rPr>
          <w:rFonts w:ascii="Arial" w:hAnsi="Arial" w:cs="Arial"/>
          <w:sz w:val="19"/>
          <w:szCs w:val="19"/>
          <w:lang w:val="es-MX"/>
        </w:rPr>
      </w:pPr>
      <w:r>
        <w:rPr>
          <w:rStyle w:val="Refdenotaalpie"/>
          <w:rFonts w:ascii="Arial" w:hAnsi="Arial" w:cs="Arial"/>
          <w:sz w:val="19"/>
          <w:szCs w:val="19"/>
        </w:rPr>
        <w:footnoteRef/>
      </w:r>
      <w:r>
        <w:rPr>
          <w:rFonts w:ascii="Arial" w:hAnsi="Arial" w:cs="Arial"/>
          <w:sz w:val="19"/>
          <w:szCs w:val="19"/>
        </w:rPr>
        <w:t xml:space="preserve"> </w:t>
      </w:r>
      <w:r>
        <w:rPr>
          <w:rFonts w:ascii="Arial" w:eastAsia="Calibri" w:hAnsi="Arial" w:cs="Arial"/>
          <w:bCs/>
          <w:color w:val="000000"/>
          <w:sz w:val="19"/>
          <w:szCs w:val="19"/>
        </w:rPr>
        <w:t>«</w:t>
      </w:r>
      <w:bookmarkStart w:id="13" w:name="38"/>
      <w:r>
        <w:rPr>
          <w:rFonts w:ascii="Arial" w:hAnsi="Arial" w:cs="Arial"/>
          <w:sz w:val="19"/>
          <w:szCs w:val="19"/>
          <w:lang w:val="es-MX"/>
        </w:rPr>
        <w:t>Artículo 38. Prohibiciones para los servidores públicos. A los empleados del Estado les está prohibido:</w:t>
      </w:r>
      <w:bookmarkEnd w:id="13"/>
    </w:p>
    <w:p w14:paraId="53AC2C1D" w14:textId="77777777" w:rsidR="00454627" w:rsidRDefault="00454627" w:rsidP="00454627">
      <w:pPr>
        <w:pStyle w:val="NormalWeb"/>
        <w:spacing w:before="0" w:beforeAutospacing="0" w:after="0" w:afterAutospacing="0" w:line="240" w:lineRule="auto"/>
        <w:ind w:firstLine="709"/>
        <w:rPr>
          <w:rFonts w:ascii="Arial" w:hAnsi="Arial" w:cs="Arial"/>
          <w:sz w:val="19"/>
          <w:szCs w:val="19"/>
          <w:lang w:val="es-MX"/>
        </w:rPr>
      </w:pPr>
      <w:r>
        <w:rPr>
          <w:rFonts w:ascii="Arial" w:eastAsia="Calibri" w:hAnsi="Arial" w:cs="Arial"/>
          <w:bCs/>
          <w:color w:val="000000"/>
          <w:sz w:val="19"/>
          <w:szCs w:val="19"/>
        </w:rPr>
        <w:t>»</w:t>
      </w:r>
      <w:r>
        <w:rPr>
          <w:rFonts w:ascii="Arial" w:hAnsi="Arial" w:cs="Arial"/>
          <w:sz w:val="19"/>
          <w:szCs w:val="19"/>
          <w:lang w:val="es-MX"/>
        </w:rPr>
        <w:t xml:space="preserve"> […]</w:t>
      </w:r>
    </w:p>
    <w:p w14:paraId="0F253725" w14:textId="77777777" w:rsidR="00454627" w:rsidRDefault="00454627" w:rsidP="00454627">
      <w:pPr>
        <w:pStyle w:val="NormalWeb"/>
        <w:spacing w:before="0" w:beforeAutospacing="0" w:after="0" w:afterAutospacing="0" w:line="240" w:lineRule="auto"/>
        <w:ind w:firstLine="709"/>
        <w:rPr>
          <w:rFonts w:ascii="Arial" w:hAnsi="Arial" w:cs="Arial"/>
          <w:sz w:val="19"/>
          <w:szCs w:val="19"/>
          <w:lang w:val="es-MX"/>
        </w:rPr>
      </w:pPr>
      <w:r>
        <w:rPr>
          <w:rFonts w:ascii="Arial" w:eastAsia="Calibri" w:hAnsi="Arial" w:cs="Arial"/>
          <w:bCs/>
          <w:color w:val="000000"/>
          <w:sz w:val="19"/>
          <w:szCs w:val="19"/>
        </w:rPr>
        <w:t>»</w:t>
      </w:r>
      <w:r>
        <w:rPr>
          <w:rStyle w:val="baj"/>
          <w:rFonts w:ascii="Arial" w:hAnsi="Arial" w:cs="Arial"/>
          <w:sz w:val="19"/>
          <w:szCs w:val="19"/>
          <w:lang w:val="es-MX"/>
        </w:rPr>
        <w:t xml:space="preserve"> Parágrafo.</w:t>
      </w:r>
      <w:r>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Arial" w:eastAsia="Calibri" w:hAnsi="Arial" w:cs="Arial"/>
          <w:bCs/>
          <w:color w:val="000000"/>
          <w:sz w:val="19"/>
          <w:szCs w:val="19"/>
        </w:rPr>
        <w:t>»</w:t>
      </w:r>
      <w:r>
        <w:rPr>
          <w:rFonts w:ascii="Arial" w:hAnsi="Arial" w:cs="Arial"/>
          <w:sz w:val="19"/>
          <w:szCs w:val="19"/>
          <w:lang w:val="es-MX"/>
        </w:rPr>
        <w:t>.</w:t>
      </w:r>
    </w:p>
    <w:p w14:paraId="21C13B6B" w14:textId="77777777" w:rsidR="00454627" w:rsidRDefault="00454627" w:rsidP="00454627">
      <w:pPr>
        <w:pStyle w:val="Textonotapie"/>
        <w:spacing w:after="0" w:line="240" w:lineRule="auto"/>
        <w:ind w:firstLine="709"/>
        <w:rPr>
          <w:rFonts w:ascii="Arial" w:hAnsi="Arial" w:cs="Arial"/>
          <w:sz w:val="19"/>
          <w:szCs w:val="19"/>
          <w:lang w:val="es-CO"/>
        </w:rPr>
      </w:pPr>
    </w:p>
  </w:footnote>
  <w:footnote w:id="11">
    <w:p w14:paraId="6922CB32" w14:textId="0C072519" w:rsidR="00454627" w:rsidRPr="00210E7F" w:rsidRDefault="00454627" w:rsidP="00210E7F">
      <w:pPr>
        <w:spacing w:after="0" w:line="240" w:lineRule="auto"/>
        <w:ind w:left="100" w:right="244" w:firstLine="709"/>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2">
    <w:p w14:paraId="3AA994EF" w14:textId="77777777" w:rsidR="00356F52" w:rsidRDefault="00356F52" w:rsidP="00356F52">
      <w:pPr>
        <w:pStyle w:val="Textonotapie"/>
        <w:spacing w:after="0" w:line="240" w:lineRule="auto"/>
        <w:ind w:right="51" w:firstLine="709"/>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bookmarkStart w:id="20" w:name="_Hlk74272731"/>
      <w:r>
        <w:rPr>
          <w:rFonts w:ascii="Arial" w:hAnsi="Arial" w:cs="Arial"/>
          <w:sz w:val="19"/>
          <w:szCs w:val="19"/>
        </w:rPr>
        <w:t>«</w:t>
      </w:r>
      <w:bookmarkEnd w:id="20"/>
      <w:r>
        <w:rPr>
          <w:rFonts w:ascii="Arial" w:hAnsi="Arial" w:cs="Arial"/>
          <w:sz w:val="19"/>
          <w:szCs w:val="19"/>
          <w:lang w:val="es-ES"/>
        </w:rPr>
        <w:t xml:space="preserve">[25] </w:t>
      </w:r>
      <w:r>
        <w:rPr>
          <w:rFonts w:ascii="Arial" w:hAnsi="Arial" w:cs="Arial"/>
          <w:sz w:val="19"/>
          <w:szCs w:val="19"/>
        </w:rPr>
        <w:t>Cfr. Consejo de Estado. Sección Tercera. Sentencia de 3 de diciembre de 2007. Radicados: 24.715, 25.206, 25.409, 24.524, 27.834, 25.410, 26.105, 28.244, 31.447 -acumulados-</w:t>
      </w:r>
      <w:bookmarkStart w:id="21" w:name="_Hlk74271358"/>
      <w:r>
        <w:rPr>
          <w:rFonts w:ascii="Arial" w:hAnsi="Arial" w:cs="Arial"/>
          <w:sz w:val="19"/>
          <w:szCs w:val="19"/>
        </w:rPr>
        <w:t>»</w:t>
      </w:r>
      <w:bookmarkEnd w:id="21"/>
      <w:r>
        <w:rPr>
          <w:rFonts w:ascii="Arial" w:hAnsi="Arial" w:cs="Arial"/>
          <w:sz w:val="19"/>
          <w:szCs w:val="19"/>
        </w:rPr>
        <w:t>.</w:t>
      </w:r>
    </w:p>
    <w:p w14:paraId="16C360CE" w14:textId="77777777" w:rsidR="00356F52" w:rsidRDefault="00356F52" w:rsidP="00356F52">
      <w:pPr>
        <w:pStyle w:val="Textonotapie"/>
        <w:spacing w:after="0" w:line="240" w:lineRule="auto"/>
        <w:ind w:right="51" w:firstLine="709"/>
        <w:rPr>
          <w:rFonts w:ascii="Arial" w:hAnsi="Arial" w:cs="Arial"/>
          <w:sz w:val="19"/>
          <w:szCs w:val="19"/>
        </w:rPr>
      </w:pPr>
    </w:p>
  </w:footnote>
  <w:footnote w:id="13">
    <w:p w14:paraId="6065795A" w14:textId="77777777" w:rsidR="00356F52" w:rsidRDefault="00356F52" w:rsidP="00356F52">
      <w:pPr>
        <w:pStyle w:val="Textonotapie"/>
        <w:spacing w:after="0" w:line="240" w:lineRule="auto"/>
        <w:ind w:right="51" w:firstLine="709"/>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bookmarkStart w:id="23" w:name="_Hlk74294506"/>
      <w:r>
        <w:rPr>
          <w:rFonts w:ascii="Arial" w:hAnsi="Arial" w:cs="Arial"/>
          <w:sz w:val="19"/>
          <w:szCs w:val="19"/>
        </w:rPr>
        <w:t>«</w:t>
      </w:r>
      <w:r>
        <w:rPr>
          <w:rFonts w:ascii="Arial" w:hAnsi="Arial" w:cs="Arial"/>
          <w:sz w:val="19"/>
          <w:szCs w:val="19"/>
          <w:lang w:val="es-ES"/>
        </w:rPr>
        <w:t xml:space="preserve">[26] </w:t>
      </w:r>
      <w:bookmarkEnd w:id="23"/>
      <w:r>
        <w:rPr>
          <w:rFonts w:ascii="Arial" w:hAnsi="Arial" w:cs="Arial"/>
          <w:sz w:val="19"/>
          <w:szCs w:val="19"/>
        </w:rPr>
        <w:t>Al respecto ver el concepto 1712 de 2 de febrero de 2006. Consejo de Estado Sala de Consulta y Servicio Civil».</w:t>
      </w:r>
    </w:p>
    <w:p w14:paraId="2FED6C94" w14:textId="77777777" w:rsidR="00356F52" w:rsidRDefault="00356F52" w:rsidP="00356F52">
      <w:pPr>
        <w:pStyle w:val="Textonotapie"/>
        <w:spacing w:after="0" w:line="240" w:lineRule="auto"/>
        <w:ind w:right="51" w:firstLine="709"/>
        <w:rPr>
          <w:rFonts w:ascii="Arial" w:hAnsi="Arial" w:cs="Arial"/>
          <w:sz w:val="19"/>
          <w:szCs w:val="19"/>
        </w:rPr>
      </w:pPr>
    </w:p>
  </w:footnote>
  <w:footnote w:id="14">
    <w:p w14:paraId="426B3F69" w14:textId="77777777" w:rsidR="00356F52" w:rsidRDefault="00356F52" w:rsidP="00356F52">
      <w:pPr>
        <w:pStyle w:val="Textonotapie"/>
        <w:spacing w:after="0" w:line="240" w:lineRule="auto"/>
        <w:ind w:firstLine="709"/>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footnote>
  <w:footnote w:id="15">
    <w:p w14:paraId="276C6A39" w14:textId="77777777" w:rsidR="00356F52" w:rsidRDefault="00356F52" w:rsidP="00356F52">
      <w:pPr>
        <w:pStyle w:val="Textonotapie"/>
        <w:spacing w:after="0" w:line="240" w:lineRule="auto"/>
        <w:ind w:firstLine="709"/>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 xml:space="preserve">Artículo 2. </w:t>
      </w:r>
    </w:p>
    <w:p w14:paraId="0533E6B3" w14:textId="77777777" w:rsidR="00356F52" w:rsidRDefault="00356F52" w:rsidP="00356F52">
      <w:pPr>
        <w:pStyle w:val="Textonotapie"/>
        <w:spacing w:after="0" w:line="240" w:lineRule="auto"/>
        <w:ind w:firstLine="709"/>
        <w:rPr>
          <w:rFonts w:ascii="Arial" w:hAnsi="Arial" w:cs="Arial"/>
          <w:sz w:val="19"/>
          <w:szCs w:val="19"/>
          <w:lang w:val="es-ES"/>
        </w:rPr>
      </w:pPr>
    </w:p>
  </w:footnote>
  <w:footnote w:id="16">
    <w:p w14:paraId="33261A46" w14:textId="77777777" w:rsidR="00356F52" w:rsidRDefault="00356F52" w:rsidP="00356F52">
      <w:pPr>
        <w:pStyle w:val="Textonotapie"/>
        <w:spacing w:after="0" w:line="240" w:lineRule="auto"/>
        <w:ind w:firstLine="709"/>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i/>
          <w:sz w:val="19"/>
          <w:szCs w:val="19"/>
          <w:lang w:val="es-ES"/>
        </w:rPr>
        <w:t>Ídem</w:t>
      </w:r>
      <w:r>
        <w:rPr>
          <w:rFonts w:ascii="Arial" w:hAnsi="Arial" w:cs="Arial"/>
          <w:sz w:val="19"/>
          <w:szCs w:val="19"/>
          <w:lang w:val="es-ES"/>
        </w:rPr>
        <w:t>.</w:t>
      </w:r>
    </w:p>
    <w:p w14:paraId="57CAC093" w14:textId="77777777" w:rsidR="00356F52" w:rsidRDefault="00356F52" w:rsidP="00356F52">
      <w:pPr>
        <w:pStyle w:val="Textonotapie"/>
        <w:spacing w:after="0" w:line="240" w:lineRule="auto"/>
        <w:ind w:firstLine="709"/>
        <w:rPr>
          <w:rFonts w:ascii="Arial" w:hAnsi="Arial" w:cs="Arial"/>
          <w:sz w:val="19"/>
          <w:szCs w:val="19"/>
          <w:lang w:val="es-ES"/>
        </w:rPr>
      </w:pPr>
    </w:p>
  </w:footnote>
  <w:footnote w:id="17">
    <w:p w14:paraId="184ABCBE" w14:textId="77777777" w:rsidR="00356F52" w:rsidRDefault="00356F52" w:rsidP="00356F52">
      <w:pPr>
        <w:pStyle w:val="Textonotapie"/>
        <w:spacing w:after="0" w:line="240" w:lineRule="auto"/>
        <w:ind w:firstLine="709"/>
        <w:rPr>
          <w:rFonts w:ascii="Arial" w:hAnsi="Arial" w:cs="Arial"/>
          <w:sz w:val="19"/>
          <w:szCs w:val="19"/>
          <w:lang w:val="es-ES"/>
        </w:rPr>
      </w:pPr>
      <w:r>
        <w:rPr>
          <w:rStyle w:val="Refdenotaalpie"/>
          <w:rFonts w:ascii="Arial" w:hAnsi="Arial" w:cs="Arial"/>
          <w:sz w:val="19"/>
          <w:szCs w:val="19"/>
        </w:rPr>
        <w:footnoteRef/>
      </w:r>
      <w:r>
        <w:rPr>
          <w:rStyle w:val="Refdenotaalpie"/>
          <w:rFonts w:ascii="Arial" w:hAnsi="Arial" w:cs="Arial"/>
          <w:sz w:val="19"/>
          <w:szCs w:val="19"/>
        </w:rPr>
        <w:t xml:space="preserve"> </w:t>
      </w:r>
      <w:bookmarkStart w:id="27" w:name="_Hlk74297130"/>
      <w:r>
        <w:rPr>
          <w:rFonts w:ascii="Arial" w:hAnsi="Arial" w:cs="Arial"/>
          <w:sz w:val="19"/>
          <w:szCs w:val="19"/>
          <w:lang w:val="es-ES"/>
        </w:rPr>
        <w:t>«</w:t>
      </w:r>
      <w:bookmarkEnd w:id="27"/>
      <w:r>
        <w:rPr>
          <w:rFonts w:ascii="Arial" w:hAnsi="Arial" w:cs="Arial"/>
          <w:sz w:val="19"/>
          <w:szCs w:val="19"/>
          <w:lang w:val="es-ES"/>
        </w:rPr>
        <w:t xml:space="preserve">[…] A este respecto, cabe recordar que el artículo 860 del Código de Comercio regula la licitación en el derecho privado». </w:t>
      </w:r>
    </w:p>
    <w:p w14:paraId="063789BD" w14:textId="77777777" w:rsidR="00356F52" w:rsidRDefault="00356F52" w:rsidP="00356F52">
      <w:pPr>
        <w:pStyle w:val="Textonotapie"/>
        <w:spacing w:after="0" w:line="240" w:lineRule="auto"/>
        <w:ind w:firstLine="709"/>
        <w:rPr>
          <w:rFonts w:ascii="Arial" w:hAnsi="Arial" w:cs="Arial"/>
          <w:sz w:val="19"/>
          <w:szCs w:val="19"/>
          <w:lang w:val="es-ES"/>
        </w:rPr>
      </w:pPr>
    </w:p>
  </w:footnote>
  <w:footnote w:id="18">
    <w:p w14:paraId="1BABBA6E" w14:textId="77777777" w:rsidR="00356F52" w:rsidRDefault="00356F52" w:rsidP="00356F52">
      <w:pPr>
        <w:shd w:val="clear" w:color="auto" w:fill="FFFFFF"/>
        <w:spacing w:after="0" w:line="240" w:lineRule="auto"/>
        <w:ind w:firstLine="709"/>
        <w:rPr>
          <w:rFonts w:ascii="Arial" w:hAnsi="Arial" w:cs="Arial"/>
          <w:sz w:val="19"/>
          <w:szCs w:val="19"/>
          <w:lang w:val="es-ES"/>
        </w:rPr>
      </w:pPr>
      <w:r>
        <w:rPr>
          <w:rStyle w:val="Refdenotaalpie"/>
          <w:rFonts w:ascii="Arial" w:hAnsi="Arial" w:cs="Arial"/>
          <w:sz w:val="19"/>
          <w:szCs w:val="19"/>
        </w:rPr>
        <w:footnoteRef/>
      </w:r>
      <w:r>
        <w:rPr>
          <w:rStyle w:val="Refdenotaalpie"/>
          <w:rFonts w:ascii="Arial" w:hAnsi="Arial" w:cs="Arial"/>
          <w:sz w:val="19"/>
          <w:szCs w:val="19"/>
        </w:rPr>
        <w:t xml:space="preserve"> </w:t>
      </w:r>
      <w:r>
        <w:rPr>
          <w:rFonts w:ascii="Arial" w:hAnsi="Arial" w:cs="Arial"/>
          <w:sz w:val="19"/>
          <w:szCs w:val="19"/>
          <w:lang w:val="es-ES"/>
        </w:rPr>
        <w:t>Consejo de Estado. Sala de Consulta y Servicio Civil, Concepto de 8 de mayo de 2018. Radicación Número: 11001-03-06-000-2018-00095-00(2382). Consejero Ponente: Álvaro Namén Vargas.</w:t>
      </w:r>
    </w:p>
    <w:p w14:paraId="261BCC3A" w14:textId="77777777" w:rsidR="00356F52" w:rsidRDefault="00356F52" w:rsidP="00356F52">
      <w:pPr>
        <w:shd w:val="clear" w:color="auto" w:fill="FFFFFF"/>
        <w:spacing w:after="0" w:line="240" w:lineRule="auto"/>
        <w:ind w:firstLine="709"/>
        <w:rPr>
          <w:rFonts w:ascii="Arial" w:hAnsi="Arial" w:cs="Arial"/>
          <w:sz w:val="19"/>
          <w:szCs w:val="19"/>
          <w:lang w:val="es-ES"/>
        </w:rPr>
      </w:pPr>
    </w:p>
  </w:footnote>
  <w:footnote w:id="19">
    <w:p w14:paraId="1376A4BD" w14:textId="77777777" w:rsidR="00356F52" w:rsidRDefault="00356F52" w:rsidP="00356F52">
      <w:pPr>
        <w:pStyle w:val="Textonotapie"/>
        <w:spacing w:after="0" w:line="240" w:lineRule="auto"/>
        <w:ind w:firstLine="709"/>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Consejo de Estado. Sala de Consulta y Servicio Civil. Concepto del 08 de mayo de 2018. Exp. 2.382. C.P. Álvaro Namén Vargas.</w:t>
      </w:r>
    </w:p>
  </w:footnote>
  <w:footnote w:id="20">
    <w:p w14:paraId="24CD9CC1" w14:textId="73694511" w:rsidR="000E5D20" w:rsidRDefault="000E5D20" w:rsidP="00090501">
      <w:pPr>
        <w:pStyle w:val="Textonotapie"/>
        <w:spacing w:after="0" w:line="240" w:lineRule="auto"/>
        <w:ind w:firstLine="709"/>
        <w:rPr>
          <w:rFonts w:ascii="Arial" w:hAnsi="Arial" w:cs="Arial"/>
          <w:sz w:val="19"/>
          <w:szCs w:val="19"/>
        </w:rPr>
      </w:pPr>
      <w:r w:rsidRPr="00090501">
        <w:rPr>
          <w:rStyle w:val="Refdenotaalpie"/>
          <w:rFonts w:ascii="Arial" w:hAnsi="Arial" w:cs="Arial"/>
          <w:sz w:val="19"/>
          <w:szCs w:val="19"/>
        </w:rPr>
        <w:footnoteRef/>
      </w:r>
      <w:r w:rsidRPr="00090501">
        <w:rPr>
          <w:rFonts w:ascii="Arial" w:hAnsi="Arial" w:cs="Arial"/>
          <w:sz w:val="19"/>
          <w:szCs w:val="19"/>
        </w:rPr>
        <w:t xml:space="preserve"> Consejo de Estado, Sala de lo Contencioso Administrativo –Sección Tercera–</w:t>
      </w:r>
      <w:r w:rsidR="00192ADC" w:rsidRPr="00090501">
        <w:rPr>
          <w:rFonts w:ascii="Arial" w:hAnsi="Arial" w:cs="Arial"/>
          <w:sz w:val="19"/>
          <w:szCs w:val="19"/>
        </w:rPr>
        <w:t xml:space="preserve">. </w:t>
      </w:r>
      <w:r w:rsidR="00386FB0" w:rsidRPr="00090501">
        <w:rPr>
          <w:rFonts w:ascii="Arial" w:hAnsi="Arial" w:cs="Arial"/>
          <w:sz w:val="19"/>
          <w:szCs w:val="19"/>
        </w:rPr>
        <w:t>Sentencia de</w:t>
      </w:r>
      <w:r w:rsidRPr="00090501">
        <w:rPr>
          <w:rFonts w:ascii="Arial" w:hAnsi="Arial" w:cs="Arial"/>
          <w:sz w:val="19"/>
          <w:szCs w:val="19"/>
        </w:rPr>
        <w:t xml:space="preserve"> 11 de septiembre de 2003, Rad. 14652</w:t>
      </w:r>
      <w:r w:rsidR="00192ADC" w:rsidRPr="00090501">
        <w:rPr>
          <w:rFonts w:ascii="Arial" w:hAnsi="Arial" w:cs="Arial"/>
          <w:sz w:val="19"/>
          <w:szCs w:val="19"/>
        </w:rPr>
        <w:t>. C.P. Ricardo Hoyos Duque.</w:t>
      </w:r>
    </w:p>
    <w:p w14:paraId="11E9AC54" w14:textId="77777777" w:rsidR="009972C4" w:rsidRPr="00090501" w:rsidRDefault="009972C4" w:rsidP="00090501">
      <w:pPr>
        <w:pStyle w:val="Textonotapie"/>
        <w:spacing w:after="0" w:line="240" w:lineRule="auto"/>
        <w:ind w:firstLine="709"/>
        <w:rPr>
          <w:rFonts w:ascii="Arial" w:hAnsi="Arial" w:cs="Arial"/>
          <w:sz w:val="19"/>
          <w:szCs w:val="19"/>
          <w:lang w:val="es-ES"/>
        </w:rPr>
      </w:pPr>
    </w:p>
  </w:footnote>
  <w:footnote w:id="21">
    <w:p w14:paraId="7F037086" w14:textId="2C85E0B8" w:rsidR="000E5D20" w:rsidRDefault="000E5D20" w:rsidP="00090501">
      <w:pPr>
        <w:spacing w:after="0" w:line="240" w:lineRule="auto"/>
        <w:ind w:firstLine="709"/>
        <w:rPr>
          <w:rFonts w:ascii="Arial" w:hAnsi="Arial" w:cs="Arial"/>
          <w:sz w:val="19"/>
          <w:szCs w:val="19"/>
        </w:rPr>
      </w:pPr>
      <w:r w:rsidRPr="00090501">
        <w:rPr>
          <w:rStyle w:val="Refdenotaalpie"/>
          <w:rFonts w:ascii="Arial" w:hAnsi="Arial" w:cs="Arial"/>
          <w:sz w:val="19"/>
          <w:szCs w:val="19"/>
        </w:rPr>
        <w:footnoteRef/>
      </w:r>
      <w:r w:rsidRPr="00090501">
        <w:rPr>
          <w:rFonts w:ascii="Arial" w:hAnsi="Arial" w:cs="Arial"/>
          <w:sz w:val="19"/>
          <w:szCs w:val="19"/>
        </w:rPr>
        <w:t xml:space="preserve"> Consejo de Estado, Sala de Consulta y Servicio Civil, </w:t>
      </w:r>
      <w:r w:rsidR="003964E0" w:rsidRPr="00090501">
        <w:rPr>
          <w:rFonts w:ascii="Arial" w:hAnsi="Arial" w:cs="Arial"/>
          <w:sz w:val="19"/>
          <w:szCs w:val="19"/>
        </w:rPr>
        <w:t>Concepto de</w:t>
      </w:r>
      <w:r w:rsidRPr="00090501">
        <w:rPr>
          <w:rFonts w:ascii="Arial" w:hAnsi="Arial" w:cs="Arial"/>
          <w:sz w:val="19"/>
          <w:szCs w:val="19"/>
        </w:rPr>
        <w:t xml:space="preserve"> 2 de septiembre de 2013, Rad. 2168</w:t>
      </w:r>
      <w:r w:rsidR="003964E0" w:rsidRPr="00090501">
        <w:rPr>
          <w:rFonts w:ascii="Arial" w:hAnsi="Arial" w:cs="Arial"/>
          <w:sz w:val="19"/>
          <w:szCs w:val="19"/>
        </w:rPr>
        <w:t>, C.P. Álvaro Namén Vargas</w:t>
      </w:r>
      <w:r w:rsidRPr="00090501">
        <w:rPr>
          <w:rFonts w:ascii="Arial" w:hAnsi="Arial" w:cs="Arial"/>
          <w:sz w:val="19"/>
          <w:szCs w:val="19"/>
        </w:rPr>
        <w:t xml:space="preserve">: </w:t>
      </w:r>
      <w:r w:rsidR="00F539C1">
        <w:rPr>
          <w:rFonts w:ascii="Arial" w:hAnsi="Arial" w:cs="Arial"/>
          <w:sz w:val="19"/>
          <w:szCs w:val="19"/>
        </w:rPr>
        <w:t>«</w:t>
      </w:r>
      <w:r w:rsidRPr="00090501">
        <w:rPr>
          <w:rFonts w:ascii="Arial" w:hAnsi="Arial" w:cs="Arial"/>
          <w:sz w:val="19"/>
          <w:szCs w:val="19"/>
          <w:lang w:val="es-ES"/>
        </w:rPr>
        <w:t>De</w:t>
      </w:r>
      <w:r w:rsidRPr="00090501">
        <w:rPr>
          <w:rFonts w:ascii="Arial" w:hAnsi="Arial" w:cs="Arial"/>
          <w:sz w:val="19"/>
          <w:szCs w:val="19"/>
        </w:rPr>
        <w:t xml:space="preserve"> acuerdo con la anterior jurisprudencia es posible señalar lo siguiente:</w:t>
      </w:r>
      <w:r w:rsidRPr="00090501">
        <w:rPr>
          <w:rFonts w:ascii="Arial" w:hAnsi="Arial" w:cs="Arial"/>
          <w:sz w:val="19"/>
          <w:szCs w:val="19"/>
          <w:lang w:val="es-ES"/>
        </w:rPr>
        <w:t xml:space="preserve"> […] </w:t>
      </w:r>
      <w:r w:rsidRPr="00090501">
        <w:rPr>
          <w:rFonts w:ascii="Arial" w:hAnsi="Arial" w:cs="Arial"/>
          <w:sz w:val="19"/>
          <w:szCs w:val="19"/>
        </w:rPr>
        <w:t>Se trata de conceptos amplios, relativos y dinámicos, cuya concreción depende de los objetivos que se propone alcanzar el Estado en</w:t>
      </w:r>
      <w:r w:rsidRPr="00090501">
        <w:rPr>
          <w:rFonts w:ascii="Arial" w:hAnsi="Arial" w:cs="Arial"/>
          <w:sz w:val="19"/>
          <w:szCs w:val="19"/>
          <w:lang w:val="es-ES"/>
        </w:rPr>
        <w:t xml:space="preserve"> </w:t>
      </w:r>
      <w:r w:rsidRPr="00090501">
        <w:rPr>
          <w:rFonts w:ascii="Arial" w:hAnsi="Arial" w:cs="Arial"/>
          <w:sz w:val="19"/>
          <w:szCs w:val="19"/>
        </w:rPr>
        <w:t>una época determinada, de manera que son susceptibles de actualización y sufren constantes transformaciones y cambios.</w:t>
      </w:r>
      <w:r w:rsidRPr="00090501">
        <w:rPr>
          <w:rFonts w:ascii="Arial" w:hAnsi="Arial" w:cs="Arial"/>
          <w:sz w:val="19"/>
          <w:szCs w:val="19"/>
          <w:lang w:val="es-ES"/>
        </w:rPr>
        <w:t xml:space="preserve"> […] </w:t>
      </w:r>
      <w:r w:rsidRPr="00090501">
        <w:rPr>
          <w:rFonts w:ascii="Arial" w:hAnsi="Arial" w:cs="Arial"/>
          <w:sz w:val="19"/>
          <w:szCs w:val="19"/>
        </w:rPr>
        <w:t>Como se puede concluir de este análisis, los conceptos de seguridad y defensa nacionales son conceptos jurídicos indeterminados, su</w:t>
      </w:r>
      <w:r w:rsidRPr="00090501">
        <w:rPr>
          <w:rFonts w:ascii="Arial" w:hAnsi="Arial" w:cs="Arial"/>
          <w:sz w:val="19"/>
          <w:szCs w:val="19"/>
          <w:lang w:val="es-ES"/>
        </w:rPr>
        <w:t xml:space="preserve"> </w:t>
      </w:r>
      <w:r w:rsidRPr="00090501">
        <w:rPr>
          <w:rFonts w:ascii="Arial" w:hAnsi="Arial" w:cs="Arial"/>
          <w:sz w:val="19"/>
          <w:szCs w:val="19"/>
        </w:rPr>
        <w:t xml:space="preserve">alcance no se limita al campo de lo </w:t>
      </w:r>
      <w:proofErr w:type="gramStart"/>
      <w:r w:rsidRPr="00090501">
        <w:rPr>
          <w:rFonts w:ascii="Arial" w:hAnsi="Arial" w:cs="Arial"/>
          <w:sz w:val="19"/>
          <w:szCs w:val="19"/>
        </w:rPr>
        <w:t>bélico</w:t>
      </w:r>
      <w:proofErr w:type="gramEnd"/>
      <w:r w:rsidRPr="00090501">
        <w:rPr>
          <w:rFonts w:ascii="Arial" w:hAnsi="Arial" w:cs="Arial"/>
          <w:sz w:val="19"/>
          <w:szCs w:val="19"/>
        </w:rPr>
        <w:t xml:space="preserve"> sino que incluye asuntos encaminados, directamente o por conexidad, al mantenimiento del</w:t>
      </w:r>
      <w:r w:rsidRPr="00090501">
        <w:rPr>
          <w:rFonts w:ascii="Arial" w:hAnsi="Arial" w:cs="Arial"/>
          <w:sz w:val="19"/>
          <w:szCs w:val="19"/>
          <w:lang w:val="es-ES"/>
        </w:rPr>
        <w:t xml:space="preserve"> </w:t>
      </w:r>
      <w:r w:rsidRPr="00090501">
        <w:rPr>
          <w:rFonts w:ascii="Arial" w:hAnsi="Arial" w:cs="Arial"/>
          <w:sz w:val="19"/>
          <w:szCs w:val="19"/>
        </w:rPr>
        <w:t>orden público, la convivencia pacífica de la comunidad y la vigencia de los derechos y libertades de las personas</w:t>
      </w:r>
      <w:r w:rsidR="00F539C1">
        <w:rPr>
          <w:rFonts w:ascii="Arial" w:hAnsi="Arial" w:cs="Arial"/>
          <w:sz w:val="19"/>
          <w:szCs w:val="19"/>
        </w:rPr>
        <w:t>»</w:t>
      </w:r>
      <w:r w:rsidRPr="00090501">
        <w:rPr>
          <w:rFonts w:ascii="Arial" w:hAnsi="Arial" w:cs="Arial"/>
          <w:sz w:val="19"/>
          <w:szCs w:val="19"/>
        </w:rPr>
        <w:t>.</w:t>
      </w:r>
    </w:p>
    <w:p w14:paraId="51A9E226" w14:textId="77777777" w:rsidR="00F539C1" w:rsidRPr="00090501" w:rsidRDefault="00F539C1" w:rsidP="00090501">
      <w:pPr>
        <w:spacing w:after="0" w:line="240" w:lineRule="auto"/>
        <w:ind w:firstLine="709"/>
        <w:rPr>
          <w:rFonts w:ascii="Arial" w:hAnsi="Arial" w:cs="Arial"/>
          <w:sz w:val="19"/>
          <w:szCs w:val="19"/>
        </w:rPr>
      </w:pPr>
    </w:p>
  </w:footnote>
  <w:footnote w:id="22">
    <w:p w14:paraId="4200D1C5" w14:textId="77777777" w:rsidR="000E5D20" w:rsidRPr="00090501" w:rsidRDefault="000E5D20" w:rsidP="00090501">
      <w:pPr>
        <w:pStyle w:val="Textonotapie"/>
        <w:spacing w:after="0" w:line="240" w:lineRule="auto"/>
        <w:ind w:firstLine="709"/>
        <w:rPr>
          <w:rFonts w:ascii="Arial" w:hAnsi="Arial" w:cs="Arial"/>
          <w:sz w:val="19"/>
          <w:szCs w:val="19"/>
          <w:lang w:val="es-ES"/>
        </w:rPr>
      </w:pPr>
      <w:r w:rsidRPr="00090501">
        <w:rPr>
          <w:rStyle w:val="Refdenotaalpie"/>
          <w:rFonts w:ascii="Arial" w:hAnsi="Arial" w:cs="Arial"/>
          <w:sz w:val="19"/>
          <w:szCs w:val="19"/>
        </w:rPr>
        <w:footnoteRef/>
      </w:r>
      <w:r w:rsidRPr="00090501">
        <w:rPr>
          <w:rFonts w:ascii="Arial" w:hAnsi="Arial" w:cs="Arial"/>
          <w:sz w:val="19"/>
          <w:szCs w:val="19"/>
        </w:rPr>
        <w:t xml:space="preserve"> </w:t>
      </w:r>
      <w:r w:rsidRPr="00090501">
        <w:rPr>
          <w:rFonts w:ascii="Arial" w:hAnsi="Arial" w:cs="Arial"/>
          <w:sz w:val="19"/>
          <w:szCs w:val="19"/>
          <w:lang w:val="es-ES"/>
        </w:rPr>
        <w:t>Corte Constitucional, Sentencia C–1153 de 2005, M.P. Marco Gerardo Monroy Cabra.</w:t>
      </w:r>
    </w:p>
  </w:footnote>
  <w:footnote w:id="23">
    <w:p w14:paraId="2F512A56" w14:textId="7A51F4D5" w:rsidR="002250E0" w:rsidRDefault="002250E0" w:rsidP="00090501">
      <w:pPr>
        <w:pStyle w:val="Textonotapie"/>
        <w:spacing w:after="0" w:line="240" w:lineRule="auto"/>
        <w:ind w:firstLine="709"/>
        <w:rPr>
          <w:rFonts w:ascii="Arial" w:hAnsi="Arial" w:cs="Arial"/>
          <w:sz w:val="19"/>
          <w:szCs w:val="19"/>
          <w:lang w:val="es-ES"/>
        </w:rPr>
      </w:pPr>
      <w:r w:rsidRPr="00090501">
        <w:rPr>
          <w:rStyle w:val="Refdenotaalpie"/>
          <w:rFonts w:ascii="Arial" w:hAnsi="Arial" w:cs="Arial"/>
          <w:sz w:val="19"/>
          <w:szCs w:val="19"/>
        </w:rPr>
        <w:footnoteRef/>
      </w:r>
      <w:r w:rsidRPr="00090501">
        <w:rPr>
          <w:rFonts w:ascii="Arial" w:hAnsi="Arial" w:cs="Arial"/>
          <w:sz w:val="19"/>
          <w:szCs w:val="19"/>
        </w:rPr>
        <w:t xml:space="preserve"> </w:t>
      </w:r>
      <w:r w:rsidRPr="00090501">
        <w:rPr>
          <w:rFonts w:ascii="Arial" w:hAnsi="Arial" w:cs="Arial"/>
          <w:sz w:val="19"/>
          <w:szCs w:val="19"/>
          <w:lang w:val="es-ES"/>
        </w:rPr>
        <w:t>Por medio del cual se reglamentan parcialmente las operaciones de crédito público, las de manejo de la deuda pública, sus asimiladas y conexas y la contratación directa de las mismas.</w:t>
      </w:r>
    </w:p>
    <w:p w14:paraId="352A7CB3" w14:textId="77777777" w:rsidR="005F1822" w:rsidRPr="00090501" w:rsidRDefault="005F1822" w:rsidP="00090501">
      <w:pPr>
        <w:pStyle w:val="Textonotapie"/>
        <w:spacing w:after="0" w:line="240" w:lineRule="auto"/>
        <w:ind w:firstLine="709"/>
        <w:rPr>
          <w:rFonts w:ascii="Arial" w:hAnsi="Arial" w:cs="Arial"/>
          <w:sz w:val="19"/>
          <w:szCs w:val="19"/>
        </w:rPr>
      </w:pPr>
    </w:p>
  </w:footnote>
  <w:footnote w:id="24">
    <w:p w14:paraId="2EEAFFCE" w14:textId="3CB77DEE" w:rsidR="002250E0" w:rsidRPr="00090501" w:rsidRDefault="002250E0" w:rsidP="00090501">
      <w:pPr>
        <w:pStyle w:val="Textonotapie"/>
        <w:spacing w:after="0" w:line="240" w:lineRule="auto"/>
        <w:ind w:firstLine="709"/>
        <w:rPr>
          <w:rFonts w:ascii="Arial" w:hAnsi="Arial" w:cs="Arial"/>
          <w:sz w:val="19"/>
          <w:szCs w:val="19"/>
          <w:lang w:val="es-ES"/>
        </w:rPr>
      </w:pPr>
      <w:r w:rsidRPr="00090501">
        <w:rPr>
          <w:rStyle w:val="Refdenotaalpie"/>
          <w:rFonts w:ascii="Arial" w:hAnsi="Arial" w:cs="Arial"/>
          <w:sz w:val="19"/>
          <w:szCs w:val="19"/>
        </w:rPr>
        <w:footnoteRef/>
      </w:r>
      <w:r w:rsidRPr="00090501">
        <w:rPr>
          <w:rFonts w:ascii="Arial" w:hAnsi="Arial" w:cs="Arial"/>
          <w:sz w:val="19"/>
          <w:szCs w:val="19"/>
        </w:rPr>
        <w:t xml:space="preserve"> </w:t>
      </w:r>
      <w:r w:rsidRPr="00090501">
        <w:rPr>
          <w:rFonts w:ascii="Arial" w:hAnsi="Arial" w:cs="Arial"/>
          <w:sz w:val="19"/>
          <w:szCs w:val="19"/>
          <w:lang w:val="es-ES"/>
        </w:rPr>
        <w:t>Por medio del cual se expide el Decreto Único Reglamentario del Sector Hacienda y Crédito Público.</w:t>
      </w:r>
    </w:p>
  </w:footnote>
  <w:footnote w:id="25">
    <w:p w14:paraId="199F3FCB" w14:textId="63B20AA9" w:rsidR="000E5D20" w:rsidRDefault="000E5D20" w:rsidP="00090501">
      <w:pPr>
        <w:pStyle w:val="Textonotapie"/>
        <w:spacing w:after="0" w:line="240" w:lineRule="auto"/>
        <w:ind w:firstLine="709"/>
        <w:rPr>
          <w:rFonts w:ascii="Arial" w:hAnsi="Arial" w:cs="Arial"/>
          <w:sz w:val="19"/>
          <w:szCs w:val="19"/>
          <w:lang w:val="es-ES"/>
        </w:rPr>
      </w:pPr>
      <w:r w:rsidRPr="00090501">
        <w:rPr>
          <w:rStyle w:val="Refdenotaalpie"/>
          <w:rFonts w:ascii="Arial" w:hAnsi="Arial" w:cs="Arial"/>
          <w:sz w:val="19"/>
          <w:szCs w:val="19"/>
        </w:rPr>
        <w:footnoteRef/>
      </w:r>
      <w:r w:rsidRPr="00090501">
        <w:rPr>
          <w:rFonts w:ascii="Arial" w:hAnsi="Arial" w:cs="Arial"/>
          <w:sz w:val="19"/>
          <w:szCs w:val="19"/>
        </w:rPr>
        <w:t xml:space="preserve"> </w:t>
      </w:r>
      <w:r w:rsidRPr="00090501">
        <w:rPr>
          <w:rFonts w:ascii="Arial" w:hAnsi="Arial" w:cs="Arial"/>
          <w:sz w:val="19"/>
          <w:szCs w:val="19"/>
          <w:lang w:val="es-ES"/>
        </w:rPr>
        <w:t>Corte Constitucional, Sentencia C–670 de 2014, M.P. María Victoria Calle Correa, para. 13.1.</w:t>
      </w:r>
    </w:p>
    <w:p w14:paraId="404FE3D7" w14:textId="77777777" w:rsidR="00B06C03" w:rsidRPr="00090501" w:rsidRDefault="00B06C03" w:rsidP="00090501">
      <w:pPr>
        <w:pStyle w:val="Textonotapie"/>
        <w:spacing w:after="0" w:line="240" w:lineRule="auto"/>
        <w:ind w:firstLine="709"/>
        <w:rPr>
          <w:rFonts w:ascii="Arial" w:hAnsi="Arial" w:cs="Arial"/>
          <w:sz w:val="19"/>
          <w:szCs w:val="19"/>
          <w:lang w:val="es-ES"/>
        </w:rPr>
      </w:pPr>
    </w:p>
  </w:footnote>
  <w:footnote w:id="26">
    <w:p w14:paraId="0D5F00E0" w14:textId="6BBA40D4" w:rsidR="000E5D20" w:rsidRPr="00090501" w:rsidRDefault="000E5D20" w:rsidP="00090501">
      <w:pPr>
        <w:pStyle w:val="Textonotapie"/>
        <w:spacing w:after="0" w:line="240" w:lineRule="auto"/>
        <w:ind w:firstLine="709"/>
        <w:rPr>
          <w:rFonts w:ascii="Arial" w:hAnsi="Arial" w:cs="Arial"/>
          <w:sz w:val="19"/>
          <w:szCs w:val="19"/>
          <w:lang w:val="es-ES"/>
        </w:rPr>
      </w:pPr>
      <w:r w:rsidRPr="00090501">
        <w:rPr>
          <w:rStyle w:val="Refdenotaalpie"/>
          <w:rFonts w:ascii="Arial" w:hAnsi="Arial" w:cs="Arial"/>
          <w:sz w:val="19"/>
          <w:szCs w:val="19"/>
        </w:rPr>
        <w:footnoteRef/>
      </w:r>
      <w:r w:rsidRPr="00090501">
        <w:rPr>
          <w:rFonts w:ascii="Arial" w:hAnsi="Arial" w:cs="Arial"/>
          <w:sz w:val="19"/>
          <w:szCs w:val="19"/>
        </w:rPr>
        <w:t xml:space="preserve"> </w:t>
      </w:r>
      <w:bookmarkStart w:id="34" w:name="_Hlk79226058"/>
      <w:r w:rsidR="002250E0" w:rsidRPr="00090501">
        <w:rPr>
          <w:rFonts w:ascii="Arial" w:hAnsi="Arial" w:cs="Arial"/>
          <w:sz w:val="19"/>
          <w:szCs w:val="19"/>
        </w:rPr>
        <w:t xml:space="preserve">Colombia Compra Eficiente, </w:t>
      </w:r>
      <w:bookmarkEnd w:id="34"/>
      <w:r w:rsidR="002250E0" w:rsidRPr="00090501">
        <w:rPr>
          <w:rFonts w:ascii="Arial" w:hAnsi="Arial" w:cs="Arial"/>
          <w:sz w:val="19"/>
          <w:szCs w:val="19"/>
        </w:rPr>
        <w:t>Concepto</w:t>
      </w:r>
      <w:r w:rsidR="000F6E49" w:rsidRPr="00AF1710">
        <w:rPr>
          <w:rFonts w:ascii="Arial" w:hAnsi="Arial" w:cs="Arial"/>
          <w:sz w:val="19"/>
          <w:szCs w:val="19"/>
        </w:rPr>
        <w:t>s con</w:t>
      </w:r>
      <w:r w:rsidRPr="00090501">
        <w:rPr>
          <w:rStyle w:val="Refdenotaalpie"/>
          <w:rFonts w:ascii="Arial" w:hAnsi="Arial" w:cs="Arial"/>
          <w:sz w:val="19"/>
          <w:szCs w:val="19"/>
          <w:lang w:val="es-ES"/>
        </w:rPr>
        <w:t xml:space="preserve"> </w:t>
      </w:r>
      <w:r w:rsidRPr="00090501">
        <w:rPr>
          <w:rFonts w:ascii="Arial" w:eastAsia="Calibri" w:hAnsi="Arial" w:cs="Arial"/>
          <w:sz w:val="19"/>
          <w:szCs w:val="19"/>
          <w:lang w:val="es-CO"/>
        </w:rPr>
        <w:t xml:space="preserve">Rad. </w:t>
      </w:r>
      <w:r w:rsidRPr="00090501">
        <w:rPr>
          <w:rFonts w:ascii="Arial" w:hAnsi="Arial" w:cs="Arial"/>
          <w:sz w:val="19"/>
          <w:szCs w:val="19"/>
        </w:rPr>
        <w:t>2201913000009289</w:t>
      </w:r>
      <w:r w:rsidRPr="00090501">
        <w:rPr>
          <w:rFonts w:ascii="Arial" w:eastAsia="Calibri" w:hAnsi="Arial" w:cs="Arial"/>
          <w:sz w:val="19"/>
          <w:szCs w:val="19"/>
          <w:lang w:val="es-CO"/>
        </w:rPr>
        <w:t xml:space="preserve"> y </w:t>
      </w:r>
      <w:r w:rsidR="002250E0" w:rsidRPr="00090501">
        <w:rPr>
          <w:rFonts w:ascii="Arial" w:eastAsia="Calibri" w:hAnsi="Arial" w:cs="Arial"/>
          <w:sz w:val="19"/>
          <w:szCs w:val="19"/>
          <w:lang w:val="es-CO"/>
        </w:rPr>
        <w:t xml:space="preserve">Rad. </w:t>
      </w:r>
      <w:r w:rsidRPr="00090501">
        <w:rPr>
          <w:rFonts w:ascii="Arial" w:eastAsia="Calibri" w:hAnsi="Arial" w:cs="Arial"/>
          <w:sz w:val="19"/>
          <w:szCs w:val="19"/>
          <w:lang w:val="es-CO"/>
        </w:rPr>
        <w:t>4201913000007443 de 2019.</w:t>
      </w:r>
    </w:p>
  </w:footnote>
  <w:footnote w:id="27">
    <w:p w14:paraId="30E96D44" w14:textId="47075D42" w:rsidR="00BE3458" w:rsidRDefault="00BE3458" w:rsidP="00090501">
      <w:pPr>
        <w:pStyle w:val="Textonotapie"/>
        <w:spacing w:after="0" w:line="240" w:lineRule="auto"/>
        <w:ind w:firstLine="709"/>
        <w:rPr>
          <w:rFonts w:ascii="Arial" w:hAnsi="Arial" w:cs="Arial"/>
          <w:sz w:val="19"/>
          <w:szCs w:val="19"/>
        </w:rPr>
      </w:pPr>
      <w:r w:rsidRPr="00090501">
        <w:rPr>
          <w:rStyle w:val="Refdenotaalpie"/>
          <w:rFonts w:ascii="Arial" w:hAnsi="Arial" w:cs="Arial"/>
          <w:sz w:val="19"/>
          <w:szCs w:val="19"/>
        </w:rPr>
        <w:footnoteRef/>
      </w:r>
      <w:r w:rsidRPr="00090501">
        <w:rPr>
          <w:rFonts w:ascii="Arial" w:hAnsi="Arial" w:cs="Arial"/>
          <w:sz w:val="19"/>
          <w:szCs w:val="19"/>
        </w:rPr>
        <w:t xml:space="preserve"> </w:t>
      </w:r>
      <w:r w:rsidR="00E42B4D" w:rsidRPr="00AF1710">
        <w:rPr>
          <w:rFonts w:ascii="Arial" w:hAnsi="Arial" w:cs="Arial"/>
          <w:sz w:val="19"/>
          <w:szCs w:val="19"/>
        </w:rPr>
        <w:t xml:space="preserve">“[P] ara los contratos de empréstito, cuyo propósito es proveer a las entidades contratantes de recursos en moneda nacional o extranjera con plazo para su pago [artículo 7 Decreto 2681 de 1993], la Ley dispuso que estos se realizan de forma directa, pues de acuerdo con su naturaleza, le es difícil al Estado establecer las condiciones generales para realizar este tipo de contratación, esto, sin quedar desprovisto de su deber de selección objetiva. Así las cosas, nos encontramos frente a una tipología contractual cuyo origen se da confluencia de la voluntad por parte del Estado y quienes proveen los recursos, en este caso, sus acreedores y de contenido oneroso.  […] Continuando con el desarrollo del citado Decreto, los contratos de empréstito se encuentran una clasificación </w:t>
      </w:r>
      <w:proofErr w:type="gramStart"/>
      <w:r w:rsidR="00E42B4D" w:rsidRPr="00AF1710">
        <w:rPr>
          <w:rFonts w:ascii="Arial" w:hAnsi="Arial" w:cs="Arial"/>
          <w:sz w:val="19"/>
          <w:szCs w:val="19"/>
        </w:rPr>
        <w:t>de acuerdo a</w:t>
      </w:r>
      <w:proofErr w:type="gramEnd"/>
      <w:r w:rsidR="00E42B4D" w:rsidRPr="00AF1710">
        <w:rPr>
          <w:rFonts w:ascii="Arial" w:hAnsi="Arial" w:cs="Arial"/>
          <w:sz w:val="19"/>
          <w:szCs w:val="19"/>
        </w:rPr>
        <w:t xml:space="preserve"> dos componentes: el primero obedece a si el empréstito es interno o externo y el segundo a la naturaleza de la entidad contratante. Se tiene entonces que las operaciones de crédito público </w:t>
      </w:r>
      <w:proofErr w:type="gramStart"/>
      <w:r w:rsidR="00E42B4D" w:rsidRPr="00AF1710">
        <w:rPr>
          <w:rFonts w:ascii="Arial" w:hAnsi="Arial" w:cs="Arial"/>
          <w:sz w:val="19"/>
          <w:szCs w:val="19"/>
        </w:rPr>
        <w:t>internas,</w:t>
      </w:r>
      <w:proofErr w:type="gramEnd"/>
      <w:r w:rsidR="00E42B4D" w:rsidRPr="00AF1710">
        <w:rPr>
          <w:rFonts w:ascii="Arial" w:hAnsi="Arial" w:cs="Arial"/>
          <w:sz w:val="19"/>
          <w:szCs w:val="19"/>
        </w:rPr>
        <w:t xml:space="preserve"> son las que se celebren exclusivamente entre residentes del territorio colombiano para ser pagaderas en moneda legal colombiana y las operaciones de crédito público las demás. Su clasificación también se realiza conforme a su temporalidad, siendo los contratos de empréstito a largo plazo aquellos cuyo plazo es superior a un año y se buscan financiar inversiones a largo plazo, y los contratos de empréstito a corto plazo cuyo objetivo es financiar gastos a corto plazo y son inferiores a un año. El artículo 7 del Decreto 2681 de 1993, delimita la posibilidad de realizar estos contratos de empréstito a «entidades estatales», lo que lleva a la conclusión que su administración estará a cargo de la entidad contratante, cuya naturaleza será la de entidad estatal o bajo las figuras jurídicas en las que el Estado cuenta con participación en su capital.</w:t>
      </w:r>
      <w:r w:rsidR="00AF1710" w:rsidRPr="00AF1710">
        <w:rPr>
          <w:rFonts w:ascii="Arial" w:hAnsi="Arial" w:cs="Arial"/>
          <w:sz w:val="19"/>
          <w:szCs w:val="19"/>
        </w:rPr>
        <w:t>”</w:t>
      </w:r>
      <w:r w:rsidR="00E42B4D" w:rsidRPr="00AF1710">
        <w:rPr>
          <w:rFonts w:ascii="Arial" w:hAnsi="Arial" w:cs="Arial"/>
          <w:sz w:val="19"/>
          <w:szCs w:val="19"/>
        </w:rPr>
        <w:t xml:space="preserve"> </w:t>
      </w:r>
      <w:r w:rsidRPr="00090501">
        <w:rPr>
          <w:rFonts w:ascii="Arial" w:hAnsi="Arial" w:cs="Arial"/>
          <w:sz w:val="19"/>
          <w:szCs w:val="19"/>
        </w:rPr>
        <w:t xml:space="preserve">  </w:t>
      </w:r>
      <w:r w:rsidR="00E42B4D" w:rsidRPr="00AF1710">
        <w:rPr>
          <w:rFonts w:ascii="Arial" w:hAnsi="Arial" w:cs="Arial"/>
          <w:sz w:val="19"/>
          <w:szCs w:val="19"/>
        </w:rPr>
        <w:t>(Colombia Compra Eficiente, Conceptos C-370 de 2 de julio de 2020).</w:t>
      </w:r>
    </w:p>
    <w:p w14:paraId="009182D9" w14:textId="77777777" w:rsidR="00B06C03" w:rsidRPr="00090501" w:rsidRDefault="00B06C03" w:rsidP="00090501">
      <w:pPr>
        <w:pStyle w:val="Textonotapie"/>
        <w:spacing w:after="0" w:line="240" w:lineRule="auto"/>
        <w:ind w:firstLine="709"/>
        <w:rPr>
          <w:rFonts w:ascii="Arial" w:hAnsi="Arial" w:cs="Arial"/>
          <w:sz w:val="19"/>
          <w:szCs w:val="19"/>
        </w:rPr>
      </w:pPr>
    </w:p>
  </w:footnote>
  <w:footnote w:id="28">
    <w:p w14:paraId="10B158B6" w14:textId="274E23D2" w:rsidR="000E5D20" w:rsidRPr="00090501" w:rsidRDefault="000E5D20" w:rsidP="00090501">
      <w:pPr>
        <w:pStyle w:val="Textonotapie"/>
        <w:spacing w:after="0" w:line="240" w:lineRule="auto"/>
        <w:ind w:firstLine="709"/>
        <w:rPr>
          <w:rFonts w:ascii="Arial" w:hAnsi="Arial" w:cs="Arial"/>
          <w:sz w:val="19"/>
          <w:szCs w:val="19"/>
          <w:lang w:val="es-ES"/>
        </w:rPr>
      </w:pPr>
      <w:r w:rsidRPr="00090501">
        <w:rPr>
          <w:rStyle w:val="Refdenotaalpie"/>
          <w:rFonts w:ascii="Arial" w:hAnsi="Arial" w:cs="Arial"/>
          <w:sz w:val="19"/>
          <w:szCs w:val="19"/>
        </w:rPr>
        <w:footnoteRef/>
      </w:r>
      <w:r w:rsidRPr="00090501">
        <w:rPr>
          <w:rFonts w:ascii="Arial" w:hAnsi="Arial" w:cs="Arial"/>
          <w:sz w:val="19"/>
          <w:szCs w:val="19"/>
        </w:rPr>
        <w:t xml:space="preserve"> </w:t>
      </w:r>
      <w:r w:rsidRPr="00090501">
        <w:rPr>
          <w:rFonts w:ascii="Arial" w:hAnsi="Arial" w:cs="Arial"/>
          <w:sz w:val="19"/>
          <w:szCs w:val="19"/>
          <w:lang w:val="es-ES"/>
        </w:rPr>
        <w:t xml:space="preserve">La regulación </w:t>
      </w:r>
      <w:proofErr w:type="gramStart"/>
      <w:r w:rsidRPr="00090501">
        <w:rPr>
          <w:rFonts w:ascii="Arial" w:hAnsi="Arial" w:cs="Arial"/>
          <w:i/>
          <w:iCs/>
          <w:sz w:val="19"/>
          <w:szCs w:val="19"/>
          <w:lang w:val="es-ES"/>
        </w:rPr>
        <w:t>in extenso</w:t>
      </w:r>
      <w:proofErr w:type="gramEnd"/>
      <w:r w:rsidRPr="00090501">
        <w:rPr>
          <w:rFonts w:ascii="Arial" w:hAnsi="Arial" w:cs="Arial"/>
          <w:sz w:val="19"/>
          <w:szCs w:val="19"/>
          <w:lang w:val="es-ES"/>
        </w:rPr>
        <w:t xml:space="preserve"> de la materia se encuentra entre los capítulos 1 y 4 del libro 2, parte 2 título 1del Decreto 1068 de 2015; ver, Consejo de Estado, Sala de lo Contencioso Administrativo –Sección Cuarta–, </w:t>
      </w:r>
      <w:r w:rsidR="007E37C4" w:rsidRPr="00AF1710">
        <w:rPr>
          <w:rFonts w:ascii="Arial" w:hAnsi="Arial" w:cs="Arial"/>
          <w:sz w:val="19"/>
          <w:szCs w:val="19"/>
          <w:lang w:val="es-ES"/>
        </w:rPr>
        <w:t>Sentencia de</w:t>
      </w:r>
      <w:r w:rsidRPr="00090501">
        <w:rPr>
          <w:rFonts w:ascii="Arial" w:hAnsi="Arial" w:cs="Arial"/>
          <w:sz w:val="19"/>
          <w:szCs w:val="19"/>
          <w:lang w:val="es-ES"/>
        </w:rPr>
        <w:t xml:space="preserve"> 13 de junio de 2013, Rad. 19028</w:t>
      </w:r>
      <w:r w:rsidR="007E37C4" w:rsidRPr="00AF1710">
        <w:rPr>
          <w:rFonts w:ascii="Arial" w:hAnsi="Arial" w:cs="Arial"/>
          <w:sz w:val="19"/>
          <w:szCs w:val="19"/>
          <w:lang w:val="es-ES"/>
        </w:rPr>
        <w:t>, C.P. Carmen Teresa Ortiz de Rodríguez</w:t>
      </w:r>
      <w:r w:rsidRPr="00090501">
        <w:rPr>
          <w:rFonts w:ascii="Arial" w:hAnsi="Arial" w:cs="Arial"/>
          <w:sz w:val="19"/>
          <w:szCs w:val="19"/>
          <w:lang w:val="es-ES"/>
        </w:rPr>
        <w:t xml:space="preserve">: “Se tiene entonces que </w:t>
      </w:r>
      <w:r w:rsidRPr="00090501">
        <w:rPr>
          <w:rFonts w:ascii="Arial" w:hAnsi="Arial" w:cs="Arial"/>
          <w:sz w:val="19"/>
          <w:szCs w:val="19"/>
          <w:u w:val="single"/>
          <w:lang w:val="es-ES"/>
        </w:rPr>
        <w:t>los créditos a proveedores ciertamente hacen parte de las operaciones de crédito público</w:t>
      </w:r>
      <w:r w:rsidRPr="00090501">
        <w:rPr>
          <w:rFonts w:ascii="Arial" w:hAnsi="Arial" w:cs="Arial"/>
          <w:sz w:val="19"/>
          <w:szCs w:val="19"/>
          <w:lang w:val="es-ES"/>
        </w:rPr>
        <w:t xml:space="preserve">, distinguidas por las únicas y categóricas finalidades de dotar a la entidad contratante de recursos, bienes o servicios, con la mediación de un plazo para pagarlos, o de garantizar obligaciones de pago, inclusive bajo la forma de la solidaridad; y, en todo caso, los actos o contratos análogos a esas unívocas finalidades, que obliguen a la entidad estatal bajo un determinado plazo de pago.” (subraya fuera del texto original); ver también, Consejo de Estado, Sala de Consulta y Servicio Civil, </w:t>
      </w:r>
      <w:r w:rsidR="007E37C4" w:rsidRPr="00AF1710">
        <w:rPr>
          <w:rFonts w:ascii="Arial" w:hAnsi="Arial" w:cs="Arial"/>
          <w:sz w:val="19"/>
          <w:szCs w:val="19"/>
          <w:lang w:val="es-ES"/>
        </w:rPr>
        <w:t xml:space="preserve">Concepto </w:t>
      </w:r>
      <w:r w:rsidRPr="00090501">
        <w:rPr>
          <w:rFonts w:ascii="Arial" w:hAnsi="Arial" w:cs="Arial"/>
          <w:sz w:val="19"/>
          <w:szCs w:val="19"/>
          <w:lang w:val="es-ES"/>
        </w:rPr>
        <w:t>6 de octubre de 2005, Rad. 1684</w:t>
      </w:r>
      <w:r w:rsidR="007E37C4" w:rsidRPr="00AF1710">
        <w:rPr>
          <w:rFonts w:ascii="Arial" w:hAnsi="Arial" w:cs="Arial"/>
          <w:sz w:val="19"/>
          <w:szCs w:val="19"/>
          <w:lang w:val="es-ES"/>
        </w:rPr>
        <w:t>, C.P. Luis Fernando Álvarez Jaramillo</w:t>
      </w:r>
      <w:r w:rsidRPr="00090501">
        <w:rPr>
          <w:rFonts w:ascii="Arial" w:hAnsi="Arial" w:cs="Arial"/>
          <w:sz w:val="19"/>
          <w:szCs w:val="19"/>
          <w:lang w:val="es-ES"/>
        </w:rPr>
        <w:t xml:space="preserve">: </w:t>
      </w:r>
      <w:r w:rsidRPr="00090501">
        <w:rPr>
          <w:rFonts w:ascii="Arial" w:hAnsi="Arial" w:cs="Arial"/>
          <w:b/>
          <w:bCs/>
          <w:sz w:val="19"/>
          <w:szCs w:val="19"/>
          <w:lang w:val="es-ES"/>
        </w:rPr>
        <w:t>“</w:t>
      </w:r>
      <w:r w:rsidRPr="00090501">
        <w:rPr>
          <w:rFonts w:ascii="Arial" w:hAnsi="Arial" w:cs="Arial"/>
          <w:sz w:val="19"/>
          <w:szCs w:val="19"/>
          <w:lang w:val="es-ES"/>
        </w:rPr>
        <w:t xml:space="preserve">La emisión de títulos de deuda pública autorizada por la ley 487, </w:t>
      </w:r>
      <w:proofErr w:type="gramStart"/>
      <w:r w:rsidRPr="00090501">
        <w:rPr>
          <w:rFonts w:ascii="Arial" w:hAnsi="Arial" w:cs="Arial"/>
          <w:sz w:val="19"/>
          <w:szCs w:val="19"/>
          <w:lang w:val="es-ES"/>
        </w:rPr>
        <w:t>se enmarca dentro de</w:t>
      </w:r>
      <w:proofErr w:type="gramEnd"/>
      <w:r w:rsidRPr="00090501">
        <w:rPr>
          <w:rFonts w:ascii="Arial" w:hAnsi="Arial" w:cs="Arial"/>
          <w:sz w:val="19"/>
          <w:szCs w:val="19"/>
          <w:lang w:val="es-ES"/>
        </w:rPr>
        <w:t xml:space="preserve"> las operaciones de crédito público definidas por el Estatuto de Contratación de la Administración Pública […]  </w:t>
      </w:r>
      <w:r w:rsidRPr="00090501">
        <w:rPr>
          <w:rFonts w:ascii="Arial" w:hAnsi="Arial" w:cs="Arial"/>
          <w:sz w:val="19"/>
          <w:szCs w:val="19"/>
          <w:u w:val="single"/>
          <w:lang w:val="es-ES"/>
        </w:rPr>
        <w:t>Estos Bonos que comparten la naturaleza jurídica de empréstito</w:t>
      </w:r>
      <w:r w:rsidRPr="00090501">
        <w:rPr>
          <w:rFonts w:ascii="Arial" w:hAnsi="Arial" w:cs="Arial"/>
          <w:sz w:val="19"/>
          <w:szCs w:val="19"/>
          <w:lang w:val="es-ES"/>
        </w:rPr>
        <w:t xml:space="preserve">, serían títulos a la orden con un plazo de cinco (5) años y devengarían un rendimiento anual igual al 80 % de la variación del índice de precios al consumidor ingresos medios certificados por el DANE.” (subraya fuera del texto original) </w:t>
      </w:r>
    </w:p>
  </w:footnote>
  <w:footnote w:id="29">
    <w:p w14:paraId="40E2F294" w14:textId="77777777" w:rsidR="00C8598C" w:rsidRPr="00AF1710" w:rsidRDefault="00C8598C" w:rsidP="00C8598C">
      <w:pPr>
        <w:pStyle w:val="Textonotapie"/>
        <w:spacing w:after="0"/>
        <w:ind w:firstLine="709"/>
        <w:rPr>
          <w:rFonts w:ascii="Arial" w:eastAsia="Calibri" w:hAnsi="Arial" w:cs="Arial"/>
          <w:bCs/>
          <w:color w:val="000000" w:themeColor="text1"/>
          <w:sz w:val="19"/>
          <w:szCs w:val="19"/>
        </w:rPr>
      </w:pPr>
      <w:r w:rsidRPr="00AF1710">
        <w:rPr>
          <w:rStyle w:val="Refdenotaalpie"/>
        </w:rPr>
        <w:footnoteRef/>
      </w:r>
      <w:r w:rsidRPr="00AF1710">
        <w:t xml:space="preserve"> </w:t>
      </w:r>
      <w:r w:rsidRPr="00AF1710">
        <w:rPr>
          <w:rFonts w:ascii="Arial" w:hAnsi="Arial" w:cs="Arial"/>
          <w:sz w:val="19"/>
          <w:szCs w:val="19"/>
        </w:rPr>
        <w:t xml:space="preserve">Decreto 1068 de 2015: </w:t>
      </w:r>
      <w:r w:rsidRPr="00AF1710">
        <w:rPr>
          <w:rFonts w:ascii="Arial" w:hAnsi="Arial" w:cs="Arial"/>
          <w:color w:val="000000" w:themeColor="text1"/>
          <w:sz w:val="19"/>
          <w:szCs w:val="19"/>
        </w:rPr>
        <w:t>«</w:t>
      </w:r>
      <w:r w:rsidRPr="00AF1710">
        <w:rPr>
          <w:rFonts w:ascii="Arial" w:eastAsia="Calibri" w:hAnsi="Arial" w:cs="Arial"/>
          <w:bCs/>
          <w:color w:val="000000" w:themeColor="text1"/>
          <w:sz w:val="19"/>
          <w:szCs w:val="19"/>
        </w:rPr>
        <w:t xml:space="preserve">Artículo 2.2.1.5.1. Contratación directa y selección de contratistas. Las operaciones de crédito público, las operaciones asimiladas, las operaciones de manejo de la deuda y las conexas con las anteriores, se contratarán de forma directa, sin someterse al procedimiento de licitación o concurso de méritos. </w:t>
      </w:r>
    </w:p>
    <w:p w14:paraId="5D80DBF3" w14:textId="77777777" w:rsidR="00C8598C" w:rsidRPr="00AF1710" w:rsidRDefault="00C8598C" w:rsidP="00C8598C">
      <w:pPr>
        <w:pStyle w:val="Textonotapie"/>
        <w:ind w:firstLine="709"/>
        <w:rPr>
          <w:rFonts w:ascii="Arial" w:hAnsi="Arial" w:cs="Arial"/>
          <w:color w:val="000000" w:themeColor="text1"/>
          <w:sz w:val="19"/>
          <w:szCs w:val="19"/>
        </w:rPr>
      </w:pPr>
      <w:proofErr w:type="gramStart"/>
      <w:r w:rsidRPr="00AF1710">
        <w:rPr>
          <w:rFonts w:ascii="Arial" w:hAnsi="Arial" w:cs="Arial"/>
          <w:color w:val="000000" w:themeColor="text1"/>
          <w:sz w:val="19"/>
          <w:szCs w:val="19"/>
        </w:rPr>
        <w:t>»</w:t>
      </w:r>
      <w:r w:rsidRPr="00AF1710">
        <w:rPr>
          <w:rFonts w:ascii="Arial" w:eastAsia="Calibri" w:hAnsi="Arial" w:cs="Arial"/>
          <w:bCs/>
          <w:color w:val="000000" w:themeColor="text1"/>
          <w:sz w:val="19"/>
          <w:szCs w:val="19"/>
        </w:rPr>
        <w:t>Para</w:t>
      </w:r>
      <w:proofErr w:type="gramEnd"/>
      <w:r w:rsidRPr="00AF1710">
        <w:rPr>
          <w:rFonts w:ascii="Arial" w:eastAsia="Calibri" w:hAnsi="Arial" w:cs="Arial"/>
          <w:bCs/>
          <w:color w:val="000000" w:themeColor="text1"/>
          <w:sz w:val="19"/>
          <w:szCs w:val="19"/>
        </w:rPr>
        <w:t xml:space="preserve"> la selección de los contratistas se aplicarán los principios de economía, transparencia y selección objetiva contenidos en la Ley 80 de 1993, según lo dispuesto en el Capítulo en desarrollo de lo previsto en el parágrafo 2º del art</w:t>
      </w:r>
      <w:r>
        <w:rPr>
          <w:rFonts w:ascii="Arial" w:eastAsia="Calibri" w:hAnsi="Arial" w:cs="Arial"/>
          <w:bCs/>
          <w:color w:val="000000" w:themeColor="text1"/>
          <w:sz w:val="19"/>
          <w:szCs w:val="19"/>
        </w:rPr>
        <w:t>í</w:t>
      </w:r>
      <w:r w:rsidRPr="00AF1710">
        <w:rPr>
          <w:rFonts w:ascii="Arial" w:eastAsia="Calibri" w:hAnsi="Arial" w:cs="Arial"/>
          <w:bCs/>
          <w:color w:val="000000" w:themeColor="text1"/>
          <w:sz w:val="19"/>
          <w:szCs w:val="19"/>
        </w:rPr>
        <w:t>culo 24 de la citada ley</w:t>
      </w:r>
      <w:r w:rsidRPr="00AF1710">
        <w:rPr>
          <w:rFonts w:ascii="Arial" w:hAnsi="Arial" w:cs="Arial"/>
          <w:color w:val="000000" w:themeColor="text1"/>
          <w:sz w:val="19"/>
          <w:szCs w:val="19"/>
        </w:rPr>
        <w:t>».</w:t>
      </w:r>
    </w:p>
    <w:p w14:paraId="3382DE5B" w14:textId="77777777" w:rsidR="00C8598C" w:rsidRPr="00AF1710" w:rsidRDefault="00C8598C" w:rsidP="00C8598C">
      <w:pPr>
        <w:pStyle w:val="Textonotapie"/>
        <w:ind w:firstLine="709"/>
        <w:rPr>
          <w:sz w:val="19"/>
          <w:szCs w:val="19"/>
        </w:rPr>
      </w:pPr>
    </w:p>
  </w:footnote>
  <w:footnote w:id="30">
    <w:p w14:paraId="18622B11" w14:textId="77777777" w:rsidR="000E5D20" w:rsidRPr="009B35FF" w:rsidRDefault="000E5D20" w:rsidP="009B35FF">
      <w:pPr>
        <w:pStyle w:val="Textonotapie"/>
        <w:spacing w:after="0" w:line="240" w:lineRule="auto"/>
        <w:ind w:firstLine="709"/>
        <w:rPr>
          <w:rFonts w:ascii="Arial" w:hAnsi="Arial" w:cs="Arial"/>
          <w:sz w:val="19"/>
          <w:szCs w:val="19"/>
          <w:lang w:val="es-ES"/>
        </w:rPr>
      </w:pPr>
      <w:r w:rsidRPr="009B35FF">
        <w:rPr>
          <w:rStyle w:val="Refdenotaalpie"/>
          <w:rFonts w:ascii="Arial" w:hAnsi="Arial" w:cs="Arial"/>
          <w:sz w:val="19"/>
          <w:szCs w:val="19"/>
        </w:rPr>
        <w:footnoteRef/>
      </w:r>
      <w:r w:rsidRPr="009B35FF">
        <w:rPr>
          <w:rFonts w:ascii="Arial" w:hAnsi="Arial" w:cs="Arial"/>
          <w:sz w:val="19"/>
          <w:szCs w:val="19"/>
        </w:rPr>
        <w:t xml:space="preserve"> </w:t>
      </w:r>
      <w:r w:rsidRPr="009B35FF">
        <w:rPr>
          <w:rFonts w:ascii="Arial" w:hAnsi="Arial" w:cs="Arial"/>
          <w:sz w:val="19"/>
          <w:szCs w:val="19"/>
          <w:lang w:val="es-ES"/>
        </w:rPr>
        <w:t>Departamento Nacional de Planeación, Subdirección de Crédito, Bogotá D.C., mayo de 2013, Manual de Operaciones de Crédito Público, acápite 1.1.3.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7D32FC2"/>
    <w:multiLevelType w:val="hybridMultilevel"/>
    <w:tmpl w:val="B1CA07DC"/>
    <w:lvl w:ilvl="0" w:tplc="FA90213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015081A"/>
    <w:multiLevelType w:val="hybridMultilevel"/>
    <w:tmpl w:val="E646BB50"/>
    <w:lvl w:ilvl="0" w:tplc="D3DE8954">
      <w:start w:val="1"/>
      <w:numFmt w:val="decimal"/>
      <w:lvlText w:val="%1."/>
      <w:lvlJc w:val="left"/>
      <w:pPr>
        <w:ind w:left="927" w:hanging="36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5"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6"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7" w15:restartNumberingAfterBreak="0">
    <w:nsid w:val="2A4E3EDD"/>
    <w:multiLevelType w:val="hybridMultilevel"/>
    <w:tmpl w:val="EC6EBDB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9"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10"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84C7A8E"/>
    <w:multiLevelType w:val="hybridMultilevel"/>
    <w:tmpl w:val="484E2984"/>
    <w:lvl w:ilvl="0" w:tplc="096A7C5C">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0"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1"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D815FC4"/>
    <w:multiLevelType w:val="hybridMultilevel"/>
    <w:tmpl w:val="2E944ACE"/>
    <w:lvl w:ilvl="0" w:tplc="16A038FE">
      <w:start w:val="1"/>
      <w:numFmt w:val="decimal"/>
      <w:lvlText w:val="%1."/>
      <w:lvlJc w:val="left"/>
      <w:pPr>
        <w:ind w:left="720" w:hanging="360"/>
      </w:pPr>
      <w:rPr>
        <w:rFonts w:hint="default"/>
        <w:b/>
        <w:bCs/>
      </w:rPr>
    </w:lvl>
    <w:lvl w:ilvl="1" w:tplc="CA34A38E">
      <w:start w:val="1"/>
      <w:numFmt w:val="lowerRoman"/>
      <w:lvlText w:val="%2."/>
      <w:lvlJc w:val="right"/>
      <w:pPr>
        <w:ind w:left="786" w:hanging="360"/>
      </w:pPr>
      <w:rPr>
        <w:b/>
        <w:bCs/>
      </w:rPr>
    </w:lvl>
    <w:lvl w:ilvl="2" w:tplc="038A2B6C">
      <w:start w:val="2"/>
      <w:numFmt w:val="bullet"/>
      <w:lvlText w:val="-"/>
      <w:lvlJc w:val="left"/>
      <w:pPr>
        <w:ind w:left="360" w:hanging="360"/>
      </w:pPr>
      <w:rPr>
        <w:rFonts w:ascii="Times New Roman" w:eastAsiaTheme="minorHAnsi" w:hAnsi="Times New Roman" w:cs="Times New Roman" w:hint="default"/>
      </w:rPr>
    </w:lvl>
    <w:lvl w:ilvl="3" w:tplc="0409000F">
      <w:start w:val="1"/>
      <w:numFmt w:val="decimal"/>
      <w:lvlText w:val="%4."/>
      <w:lvlJc w:val="left"/>
      <w:pPr>
        <w:ind w:left="2880" w:hanging="360"/>
      </w:pPr>
    </w:lvl>
    <w:lvl w:ilvl="4" w:tplc="04090019">
      <w:start w:val="1"/>
      <w:numFmt w:val="lowerLetter"/>
      <w:lvlText w:val="%5."/>
      <w:lvlJc w:val="left"/>
      <w:pPr>
        <w:ind w:left="1210" w:hanging="360"/>
      </w:pPr>
    </w:lvl>
    <w:lvl w:ilvl="5" w:tplc="0409001B">
      <w:start w:val="1"/>
      <w:numFmt w:val="lowerRoman"/>
      <w:lvlText w:val="%6."/>
      <w:lvlJc w:val="right"/>
      <w:pPr>
        <w:ind w:left="360" w:hanging="360"/>
      </w:pPr>
      <w:rPr>
        <w:b/>
        <w:bCs/>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9"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30" w15:restartNumberingAfterBreak="0">
    <w:nsid w:val="74535D47"/>
    <w:multiLevelType w:val="hybridMultilevel"/>
    <w:tmpl w:val="D4402D88"/>
    <w:lvl w:ilvl="0" w:tplc="284AEBBC">
      <w:start w:val="1"/>
      <w:numFmt w:val="decimal"/>
      <w:lvlText w:val="%1."/>
      <w:lvlJc w:val="left"/>
      <w:pPr>
        <w:ind w:left="720" w:hanging="360"/>
      </w:pPr>
      <w:rPr>
        <w:rFonts w:ascii="Arial" w:hAnsi="Arial" w:cs="Arial" w:hint="default"/>
        <w:sz w:val="20"/>
        <w:szCs w:val="2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48E3ACF"/>
    <w:multiLevelType w:val="hybridMultilevel"/>
    <w:tmpl w:val="BF40981A"/>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2"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3"/>
  </w:num>
  <w:num w:numId="2">
    <w:abstractNumId w:val="11"/>
  </w:num>
  <w:num w:numId="3">
    <w:abstractNumId w:val="18"/>
  </w:num>
  <w:num w:numId="4">
    <w:abstractNumId w:val="24"/>
  </w:num>
  <w:num w:numId="5">
    <w:abstractNumId w:val="2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8"/>
  </w:num>
  <w:num w:numId="9">
    <w:abstractNumId w:val="8"/>
    <w:lvlOverride w:ilvl="0">
      <w:startOverride w:val="1"/>
    </w:lvlOverride>
  </w:num>
  <w:num w:numId="10">
    <w:abstractNumId w:val="29"/>
  </w:num>
  <w:num w:numId="11">
    <w:abstractNumId w:val="9"/>
  </w:num>
  <w:num w:numId="12">
    <w:abstractNumId w:val="2"/>
  </w:num>
  <w:num w:numId="13">
    <w:abstractNumId w:val="5"/>
  </w:num>
  <w:num w:numId="14">
    <w:abstractNumId w:val="23"/>
  </w:num>
  <w:num w:numId="15">
    <w:abstractNumId w:val="15"/>
  </w:num>
  <w:num w:numId="16">
    <w:abstractNumId w:val="12"/>
  </w:num>
  <w:num w:numId="17">
    <w:abstractNumId w:val="17"/>
  </w:num>
  <w:num w:numId="18">
    <w:abstractNumId w:val="19"/>
  </w:num>
  <w:num w:numId="19">
    <w:abstractNumId w:val="6"/>
  </w:num>
  <w:num w:numId="20">
    <w:abstractNumId w:val="32"/>
  </w:num>
  <w:num w:numId="21">
    <w:abstractNumId w:val="26"/>
  </w:num>
  <w:num w:numId="22">
    <w:abstractNumId w:val="21"/>
  </w:num>
  <w:num w:numId="23">
    <w:abstractNumId w:val="20"/>
  </w:num>
  <w:num w:numId="24">
    <w:abstractNumId w:val="10"/>
  </w:num>
  <w:num w:numId="25">
    <w:abstractNumId w:val="22"/>
  </w:num>
  <w:num w:numId="26">
    <w:abstractNumId w:val="1"/>
  </w:num>
  <w:num w:numId="27">
    <w:abstractNumId w:val="14"/>
  </w:num>
  <w:num w:numId="28">
    <w:abstractNumId w:val="31"/>
  </w:num>
  <w:num w:numId="29">
    <w:abstractNumId w:val="30"/>
  </w:num>
  <w:num w:numId="30">
    <w:abstractNumId w:val="7"/>
  </w:num>
  <w:num w:numId="31">
    <w:abstractNumId w:val="4"/>
  </w:num>
  <w:num w:numId="32">
    <w:abstractNumId w:val="25"/>
  </w:num>
  <w:num w:numId="33">
    <w:abstractNumId w:val="16"/>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2E1"/>
    <w:rsid w:val="0000268F"/>
    <w:rsid w:val="000029BC"/>
    <w:rsid w:val="000031A6"/>
    <w:rsid w:val="00003ECA"/>
    <w:rsid w:val="0000404B"/>
    <w:rsid w:val="00004F5E"/>
    <w:rsid w:val="0000645E"/>
    <w:rsid w:val="0000682D"/>
    <w:rsid w:val="00006906"/>
    <w:rsid w:val="000105E2"/>
    <w:rsid w:val="00011726"/>
    <w:rsid w:val="000123BA"/>
    <w:rsid w:val="000126BB"/>
    <w:rsid w:val="00012A1B"/>
    <w:rsid w:val="000136DC"/>
    <w:rsid w:val="0001440C"/>
    <w:rsid w:val="0001574B"/>
    <w:rsid w:val="00016D2C"/>
    <w:rsid w:val="00016F33"/>
    <w:rsid w:val="00016FAC"/>
    <w:rsid w:val="0001726A"/>
    <w:rsid w:val="0001794A"/>
    <w:rsid w:val="0001795B"/>
    <w:rsid w:val="00020801"/>
    <w:rsid w:val="000223A3"/>
    <w:rsid w:val="00024BE5"/>
    <w:rsid w:val="00025A4D"/>
    <w:rsid w:val="00026AD9"/>
    <w:rsid w:val="000271AD"/>
    <w:rsid w:val="000271FE"/>
    <w:rsid w:val="00027940"/>
    <w:rsid w:val="00027E9A"/>
    <w:rsid w:val="00027F74"/>
    <w:rsid w:val="000303EC"/>
    <w:rsid w:val="0003041B"/>
    <w:rsid w:val="00030C1F"/>
    <w:rsid w:val="00031D2D"/>
    <w:rsid w:val="00034F55"/>
    <w:rsid w:val="00034FD3"/>
    <w:rsid w:val="00036083"/>
    <w:rsid w:val="000365C0"/>
    <w:rsid w:val="00036FF6"/>
    <w:rsid w:val="00037112"/>
    <w:rsid w:val="00043053"/>
    <w:rsid w:val="000435EB"/>
    <w:rsid w:val="00043CEB"/>
    <w:rsid w:val="000451F2"/>
    <w:rsid w:val="00046F46"/>
    <w:rsid w:val="0004770A"/>
    <w:rsid w:val="000503A1"/>
    <w:rsid w:val="00050E2C"/>
    <w:rsid w:val="00051590"/>
    <w:rsid w:val="0005275D"/>
    <w:rsid w:val="000527A5"/>
    <w:rsid w:val="00053983"/>
    <w:rsid w:val="00054C6E"/>
    <w:rsid w:val="00054E46"/>
    <w:rsid w:val="00055141"/>
    <w:rsid w:val="00055B28"/>
    <w:rsid w:val="00056024"/>
    <w:rsid w:val="000561B0"/>
    <w:rsid w:val="000568C7"/>
    <w:rsid w:val="00057953"/>
    <w:rsid w:val="000606F8"/>
    <w:rsid w:val="00061727"/>
    <w:rsid w:val="0006235E"/>
    <w:rsid w:val="0006293E"/>
    <w:rsid w:val="0006356E"/>
    <w:rsid w:val="00063E52"/>
    <w:rsid w:val="0006625D"/>
    <w:rsid w:val="00067665"/>
    <w:rsid w:val="00070770"/>
    <w:rsid w:val="00070A22"/>
    <w:rsid w:val="00071D6E"/>
    <w:rsid w:val="000743C2"/>
    <w:rsid w:val="0007460B"/>
    <w:rsid w:val="000751BB"/>
    <w:rsid w:val="0007590A"/>
    <w:rsid w:val="00077D20"/>
    <w:rsid w:val="00077E04"/>
    <w:rsid w:val="00077E1C"/>
    <w:rsid w:val="00080D35"/>
    <w:rsid w:val="00081AF3"/>
    <w:rsid w:val="00081B2F"/>
    <w:rsid w:val="00081E50"/>
    <w:rsid w:val="0008260E"/>
    <w:rsid w:val="000828E9"/>
    <w:rsid w:val="00082C90"/>
    <w:rsid w:val="00083BE4"/>
    <w:rsid w:val="00084DC0"/>
    <w:rsid w:val="0008592F"/>
    <w:rsid w:val="00085CC3"/>
    <w:rsid w:val="00086C08"/>
    <w:rsid w:val="000873C1"/>
    <w:rsid w:val="00087888"/>
    <w:rsid w:val="00090501"/>
    <w:rsid w:val="00090D35"/>
    <w:rsid w:val="0009180B"/>
    <w:rsid w:val="000932C2"/>
    <w:rsid w:val="000939E0"/>
    <w:rsid w:val="00093D35"/>
    <w:rsid w:val="0009402D"/>
    <w:rsid w:val="000942EB"/>
    <w:rsid w:val="00095EC0"/>
    <w:rsid w:val="0009651A"/>
    <w:rsid w:val="00096EAB"/>
    <w:rsid w:val="0009712F"/>
    <w:rsid w:val="000972BA"/>
    <w:rsid w:val="000976FD"/>
    <w:rsid w:val="000A15CB"/>
    <w:rsid w:val="000A1B81"/>
    <w:rsid w:val="000A2C01"/>
    <w:rsid w:val="000A498F"/>
    <w:rsid w:val="000A4CF8"/>
    <w:rsid w:val="000A4D0D"/>
    <w:rsid w:val="000A5189"/>
    <w:rsid w:val="000A668C"/>
    <w:rsid w:val="000A66CF"/>
    <w:rsid w:val="000A6869"/>
    <w:rsid w:val="000A7E46"/>
    <w:rsid w:val="000B051D"/>
    <w:rsid w:val="000B103F"/>
    <w:rsid w:val="000B1C28"/>
    <w:rsid w:val="000B2818"/>
    <w:rsid w:val="000B2DA6"/>
    <w:rsid w:val="000B3893"/>
    <w:rsid w:val="000B46DD"/>
    <w:rsid w:val="000B4FC6"/>
    <w:rsid w:val="000B53D0"/>
    <w:rsid w:val="000B680C"/>
    <w:rsid w:val="000C00B6"/>
    <w:rsid w:val="000C0B7C"/>
    <w:rsid w:val="000C21BA"/>
    <w:rsid w:val="000C2DD2"/>
    <w:rsid w:val="000C388B"/>
    <w:rsid w:val="000C6347"/>
    <w:rsid w:val="000C73E5"/>
    <w:rsid w:val="000C755D"/>
    <w:rsid w:val="000C7737"/>
    <w:rsid w:val="000C7C99"/>
    <w:rsid w:val="000D0AFA"/>
    <w:rsid w:val="000D164A"/>
    <w:rsid w:val="000D28E0"/>
    <w:rsid w:val="000D2ADD"/>
    <w:rsid w:val="000D457E"/>
    <w:rsid w:val="000D58C2"/>
    <w:rsid w:val="000D698A"/>
    <w:rsid w:val="000D794A"/>
    <w:rsid w:val="000E03EA"/>
    <w:rsid w:val="000E1761"/>
    <w:rsid w:val="000E182B"/>
    <w:rsid w:val="000E1F13"/>
    <w:rsid w:val="000E24E1"/>
    <w:rsid w:val="000E5299"/>
    <w:rsid w:val="000E576C"/>
    <w:rsid w:val="000E59C2"/>
    <w:rsid w:val="000E5D20"/>
    <w:rsid w:val="000E68FA"/>
    <w:rsid w:val="000E6962"/>
    <w:rsid w:val="000E6D84"/>
    <w:rsid w:val="000F0B89"/>
    <w:rsid w:val="000F14E8"/>
    <w:rsid w:val="000F17FC"/>
    <w:rsid w:val="000F3B04"/>
    <w:rsid w:val="000F3C44"/>
    <w:rsid w:val="000F6869"/>
    <w:rsid w:val="000F6E49"/>
    <w:rsid w:val="000F7AE4"/>
    <w:rsid w:val="0010007A"/>
    <w:rsid w:val="001000EC"/>
    <w:rsid w:val="00100C1C"/>
    <w:rsid w:val="00101511"/>
    <w:rsid w:val="001015E9"/>
    <w:rsid w:val="001017F1"/>
    <w:rsid w:val="001024CE"/>
    <w:rsid w:val="00102AA1"/>
    <w:rsid w:val="00102C3A"/>
    <w:rsid w:val="00103915"/>
    <w:rsid w:val="00103D3D"/>
    <w:rsid w:val="001058D1"/>
    <w:rsid w:val="00105B6D"/>
    <w:rsid w:val="001065D1"/>
    <w:rsid w:val="00106AC5"/>
    <w:rsid w:val="00106B75"/>
    <w:rsid w:val="00107886"/>
    <w:rsid w:val="001112CF"/>
    <w:rsid w:val="00111438"/>
    <w:rsid w:val="00111636"/>
    <w:rsid w:val="00112192"/>
    <w:rsid w:val="00112D2F"/>
    <w:rsid w:val="00114236"/>
    <w:rsid w:val="001145B9"/>
    <w:rsid w:val="001152BA"/>
    <w:rsid w:val="0011561C"/>
    <w:rsid w:val="00117794"/>
    <w:rsid w:val="001214FF"/>
    <w:rsid w:val="001229C6"/>
    <w:rsid w:val="00122B23"/>
    <w:rsid w:val="00123057"/>
    <w:rsid w:val="00123C67"/>
    <w:rsid w:val="001247E5"/>
    <w:rsid w:val="00124E73"/>
    <w:rsid w:val="00124EC3"/>
    <w:rsid w:val="00124EE5"/>
    <w:rsid w:val="00125291"/>
    <w:rsid w:val="00125D4C"/>
    <w:rsid w:val="0012687C"/>
    <w:rsid w:val="0012754A"/>
    <w:rsid w:val="0013045B"/>
    <w:rsid w:val="0013236F"/>
    <w:rsid w:val="001332D0"/>
    <w:rsid w:val="00134030"/>
    <w:rsid w:val="001344AA"/>
    <w:rsid w:val="001355F5"/>
    <w:rsid w:val="00137604"/>
    <w:rsid w:val="00137BA1"/>
    <w:rsid w:val="00137FFA"/>
    <w:rsid w:val="00140015"/>
    <w:rsid w:val="00141E84"/>
    <w:rsid w:val="00141F99"/>
    <w:rsid w:val="001425C5"/>
    <w:rsid w:val="001448B5"/>
    <w:rsid w:val="0014582F"/>
    <w:rsid w:val="00145AAA"/>
    <w:rsid w:val="00146E1D"/>
    <w:rsid w:val="00147605"/>
    <w:rsid w:val="001520A3"/>
    <w:rsid w:val="00152609"/>
    <w:rsid w:val="00152C65"/>
    <w:rsid w:val="0015382E"/>
    <w:rsid w:val="00154A20"/>
    <w:rsid w:val="001550CF"/>
    <w:rsid w:val="001554A4"/>
    <w:rsid w:val="001568EE"/>
    <w:rsid w:val="00156DAF"/>
    <w:rsid w:val="0015763A"/>
    <w:rsid w:val="0016135A"/>
    <w:rsid w:val="0016149E"/>
    <w:rsid w:val="00161D78"/>
    <w:rsid w:val="001650A0"/>
    <w:rsid w:val="00165218"/>
    <w:rsid w:val="00165EA8"/>
    <w:rsid w:val="0016680A"/>
    <w:rsid w:val="00167862"/>
    <w:rsid w:val="00167B9D"/>
    <w:rsid w:val="00167F0C"/>
    <w:rsid w:val="00170733"/>
    <w:rsid w:val="00170E51"/>
    <w:rsid w:val="001727DE"/>
    <w:rsid w:val="00172B2A"/>
    <w:rsid w:val="00172E0A"/>
    <w:rsid w:val="00173D30"/>
    <w:rsid w:val="00174107"/>
    <w:rsid w:val="00174FBC"/>
    <w:rsid w:val="0017528B"/>
    <w:rsid w:val="001755EC"/>
    <w:rsid w:val="00175795"/>
    <w:rsid w:val="00177BAA"/>
    <w:rsid w:val="00180B3B"/>
    <w:rsid w:val="001815DF"/>
    <w:rsid w:val="00182C6C"/>
    <w:rsid w:val="00183DD7"/>
    <w:rsid w:val="00184E93"/>
    <w:rsid w:val="001857DA"/>
    <w:rsid w:val="00186253"/>
    <w:rsid w:val="00186B95"/>
    <w:rsid w:val="00186D8E"/>
    <w:rsid w:val="001900CF"/>
    <w:rsid w:val="00190205"/>
    <w:rsid w:val="001918D6"/>
    <w:rsid w:val="00192ADC"/>
    <w:rsid w:val="00192D85"/>
    <w:rsid w:val="001939B7"/>
    <w:rsid w:val="001948B8"/>
    <w:rsid w:val="00195EDB"/>
    <w:rsid w:val="0019626E"/>
    <w:rsid w:val="001963C6"/>
    <w:rsid w:val="0019745D"/>
    <w:rsid w:val="001A028B"/>
    <w:rsid w:val="001A08F7"/>
    <w:rsid w:val="001A0DF1"/>
    <w:rsid w:val="001A0EC0"/>
    <w:rsid w:val="001A26FC"/>
    <w:rsid w:val="001A27D7"/>
    <w:rsid w:val="001A3721"/>
    <w:rsid w:val="001A387A"/>
    <w:rsid w:val="001A3F04"/>
    <w:rsid w:val="001A7176"/>
    <w:rsid w:val="001B0FEE"/>
    <w:rsid w:val="001B2EA0"/>
    <w:rsid w:val="001B2F7F"/>
    <w:rsid w:val="001B3306"/>
    <w:rsid w:val="001B3E27"/>
    <w:rsid w:val="001B464A"/>
    <w:rsid w:val="001B4A46"/>
    <w:rsid w:val="001B528A"/>
    <w:rsid w:val="001B53B4"/>
    <w:rsid w:val="001B59D6"/>
    <w:rsid w:val="001B6044"/>
    <w:rsid w:val="001B686F"/>
    <w:rsid w:val="001B7618"/>
    <w:rsid w:val="001B7C59"/>
    <w:rsid w:val="001B7DEA"/>
    <w:rsid w:val="001C219D"/>
    <w:rsid w:val="001C2C8F"/>
    <w:rsid w:val="001C33CB"/>
    <w:rsid w:val="001C398F"/>
    <w:rsid w:val="001C64AB"/>
    <w:rsid w:val="001C686C"/>
    <w:rsid w:val="001C722C"/>
    <w:rsid w:val="001C7C50"/>
    <w:rsid w:val="001D01CA"/>
    <w:rsid w:val="001D0988"/>
    <w:rsid w:val="001D172E"/>
    <w:rsid w:val="001D2677"/>
    <w:rsid w:val="001D468B"/>
    <w:rsid w:val="001D58DF"/>
    <w:rsid w:val="001D5E4D"/>
    <w:rsid w:val="001D64EC"/>
    <w:rsid w:val="001D7B74"/>
    <w:rsid w:val="001E0042"/>
    <w:rsid w:val="001E008B"/>
    <w:rsid w:val="001E0545"/>
    <w:rsid w:val="001E0849"/>
    <w:rsid w:val="001E16DF"/>
    <w:rsid w:val="001E1A13"/>
    <w:rsid w:val="001E2D0B"/>
    <w:rsid w:val="001E3E0C"/>
    <w:rsid w:val="001E453C"/>
    <w:rsid w:val="001E4A2B"/>
    <w:rsid w:val="001E505B"/>
    <w:rsid w:val="001E610D"/>
    <w:rsid w:val="001F0570"/>
    <w:rsid w:val="001F140A"/>
    <w:rsid w:val="001F1AFA"/>
    <w:rsid w:val="001F25AE"/>
    <w:rsid w:val="001F267A"/>
    <w:rsid w:val="001F2AD0"/>
    <w:rsid w:val="001F3D53"/>
    <w:rsid w:val="001F416A"/>
    <w:rsid w:val="001F55B5"/>
    <w:rsid w:val="001F59AB"/>
    <w:rsid w:val="001F5E0A"/>
    <w:rsid w:val="001F62DC"/>
    <w:rsid w:val="001F63E1"/>
    <w:rsid w:val="001F6AAC"/>
    <w:rsid w:val="001F790E"/>
    <w:rsid w:val="002005CC"/>
    <w:rsid w:val="00200F34"/>
    <w:rsid w:val="00203F1A"/>
    <w:rsid w:val="00204114"/>
    <w:rsid w:val="00204C65"/>
    <w:rsid w:val="00204F6E"/>
    <w:rsid w:val="00204FCD"/>
    <w:rsid w:val="002059AF"/>
    <w:rsid w:val="0020646E"/>
    <w:rsid w:val="00206BC8"/>
    <w:rsid w:val="00210E7F"/>
    <w:rsid w:val="00211909"/>
    <w:rsid w:val="002135F3"/>
    <w:rsid w:val="002146C0"/>
    <w:rsid w:val="00214A72"/>
    <w:rsid w:val="00215A2F"/>
    <w:rsid w:val="00215BB7"/>
    <w:rsid w:val="00215CA0"/>
    <w:rsid w:val="00216278"/>
    <w:rsid w:val="00216F1A"/>
    <w:rsid w:val="0021759E"/>
    <w:rsid w:val="00217662"/>
    <w:rsid w:val="0022085C"/>
    <w:rsid w:val="002208DC"/>
    <w:rsid w:val="00220CE5"/>
    <w:rsid w:val="002215FF"/>
    <w:rsid w:val="0022173B"/>
    <w:rsid w:val="002217B4"/>
    <w:rsid w:val="002226D4"/>
    <w:rsid w:val="002229F4"/>
    <w:rsid w:val="002236DB"/>
    <w:rsid w:val="00223858"/>
    <w:rsid w:val="00224570"/>
    <w:rsid w:val="0022501E"/>
    <w:rsid w:val="00225020"/>
    <w:rsid w:val="002250E0"/>
    <w:rsid w:val="00225A48"/>
    <w:rsid w:val="00225C08"/>
    <w:rsid w:val="0022655C"/>
    <w:rsid w:val="0022678E"/>
    <w:rsid w:val="002272CA"/>
    <w:rsid w:val="00227541"/>
    <w:rsid w:val="00227D81"/>
    <w:rsid w:val="002311BD"/>
    <w:rsid w:val="00233A24"/>
    <w:rsid w:val="0023484E"/>
    <w:rsid w:val="00234B84"/>
    <w:rsid w:val="00234E62"/>
    <w:rsid w:val="00235B42"/>
    <w:rsid w:val="00236137"/>
    <w:rsid w:val="00236740"/>
    <w:rsid w:val="00237329"/>
    <w:rsid w:val="002379E4"/>
    <w:rsid w:val="00240225"/>
    <w:rsid w:val="00240A06"/>
    <w:rsid w:val="002416BA"/>
    <w:rsid w:val="002427B1"/>
    <w:rsid w:val="00244181"/>
    <w:rsid w:val="00244C00"/>
    <w:rsid w:val="002457FD"/>
    <w:rsid w:val="00245C7E"/>
    <w:rsid w:val="00250718"/>
    <w:rsid w:val="00251445"/>
    <w:rsid w:val="0025161D"/>
    <w:rsid w:val="00252AEC"/>
    <w:rsid w:val="00253276"/>
    <w:rsid w:val="002536AE"/>
    <w:rsid w:val="00253C1D"/>
    <w:rsid w:val="00254319"/>
    <w:rsid w:val="002543E7"/>
    <w:rsid w:val="002546E8"/>
    <w:rsid w:val="00254D37"/>
    <w:rsid w:val="002563B9"/>
    <w:rsid w:val="0025685E"/>
    <w:rsid w:val="0025768C"/>
    <w:rsid w:val="00257BC1"/>
    <w:rsid w:val="00257C73"/>
    <w:rsid w:val="00261631"/>
    <w:rsid w:val="00261A00"/>
    <w:rsid w:val="00264666"/>
    <w:rsid w:val="00264AE6"/>
    <w:rsid w:val="00265C96"/>
    <w:rsid w:val="00265CEB"/>
    <w:rsid w:val="00265ED0"/>
    <w:rsid w:val="00266B23"/>
    <w:rsid w:val="00266E0C"/>
    <w:rsid w:val="00270234"/>
    <w:rsid w:val="0027071C"/>
    <w:rsid w:val="0027122E"/>
    <w:rsid w:val="00272C62"/>
    <w:rsid w:val="00273143"/>
    <w:rsid w:val="00273A97"/>
    <w:rsid w:val="002755B8"/>
    <w:rsid w:val="00275701"/>
    <w:rsid w:val="00275D34"/>
    <w:rsid w:val="00276521"/>
    <w:rsid w:val="00277428"/>
    <w:rsid w:val="002806C6"/>
    <w:rsid w:val="00281348"/>
    <w:rsid w:val="00281ED6"/>
    <w:rsid w:val="00283380"/>
    <w:rsid w:val="002847B9"/>
    <w:rsid w:val="00284F66"/>
    <w:rsid w:val="00285D7E"/>
    <w:rsid w:val="00285D82"/>
    <w:rsid w:val="00285FED"/>
    <w:rsid w:val="00286660"/>
    <w:rsid w:val="00286A53"/>
    <w:rsid w:val="00287542"/>
    <w:rsid w:val="002877E9"/>
    <w:rsid w:val="00290E06"/>
    <w:rsid w:val="0029159E"/>
    <w:rsid w:val="00293EA5"/>
    <w:rsid w:val="00294801"/>
    <w:rsid w:val="00294EFD"/>
    <w:rsid w:val="0029562E"/>
    <w:rsid w:val="00296C80"/>
    <w:rsid w:val="00296D38"/>
    <w:rsid w:val="0029772C"/>
    <w:rsid w:val="002A1031"/>
    <w:rsid w:val="002A1308"/>
    <w:rsid w:val="002A3472"/>
    <w:rsid w:val="002A34C5"/>
    <w:rsid w:val="002A4F10"/>
    <w:rsid w:val="002A62D6"/>
    <w:rsid w:val="002A632D"/>
    <w:rsid w:val="002A63F4"/>
    <w:rsid w:val="002B0B61"/>
    <w:rsid w:val="002B11D2"/>
    <w:rsid w:val="002B159E"/>
    <w:rsid w:val="002B1AAF"/>
    <w:rsid w:val="002B21B6"/>
    <w:rsid w:val="002B2FE1"/>
    <w:rsid w:val="002B36EB"/>
    <w:rsid w:val="002B3C8B"/>
    <w:rsid w:val="002B3F20"/>
    <w:rsid w:val="002B484D"/>
    <w:rsid w:val="002B4907"/>
    <w:rsid w:val="002B50DA"/>
    <w:rsid w:val="002B7DD1"/>
    <w:rsid w:val="002C05A7"/>
    <w:rsid w:val="002C087E"/>
    <w:rsid w:val="002C27C5"/>
    <w:rsid w:val="002C2BF2"/>
    <w:rsid w:val="002C4B22"/>
    <w:rsid w:val="002C5DDC"/>
    <w:rsid w:val="002C7E7F"/>
    <w:rsid w:val="002C7EC6"/>
    <w:rsid w:val="002D0C96"/>
    <w:rsid w:val="002D3456"/>
    <w:rsid w:val="002D378F"/>
    <w:rsid w:val="002D40DD"/>
    <w:rsid w:val="002D4BB3"/>
    <w:rsid w:val="002D5D70"/>
    <w:rsid w:val="002D6942"/>
    <w:rsid w:val="002D7E62"/>
    <w:rsid w:val="002D7F92"/>
    <w:rsid w:val="002E0A18"/>
    <w:rsid w:val="002E1964"/>
    <w:rsid w:val="002E19A5"/>
    <w:rsid w:val="002E1E7E"/>
    <w:rsid w:val="002E27E0"/>
    <w:rsid w:val="002E39A3"/>
    <w:rsid w:val="002E4758"/>
    <w:rsid w:val="002E6150"/>
    <w:rsid w:val="002E6B6F"/>
    <w:rsid w:val="002E74C9"/>
    <w:rsid w:val="002F0800"/>
    <w:rsid w:val="002F161D"/>
    <w:rsid w:val="002F3606"/>
    <w:rsid w:val="002F5131"/>
    <w:rsid w:val="002F51E1"/>
    <w:rsid w:val="002F70EB"/>
    <w:rsid w:val="002F779E"/>
    <w:rsid w:val="002F7AB3"/>
    <w:rsid w:val="00301514"/>
    <w:rsid w:val="00302ABA"/>
    <w:rsid w:val="003033BA"/>
    <w:rsid w:val="003033C0"/>
    <w:rsid w:val="003038BC"/>
    <w:rsid w:val="00303DF8"/>
    <w:rsid w:val="00303EFC"/>
    <w:rsid w:val="00304081"/>
    <w:rsid w:val="003043B4"/>
    <w:rsid w:val="003046D6"/>
    <w:rsid w:val="003054C1"/>
    <w:rsid w:val="0030629D"/>
    <w:rsid w:val="00306411"/>
    <w:rsid w:val="0031068B"/>
    <w:rsid w:val="003112B5"/>
    <w:rsid w:val="00311E46"/>
    <w:rsid w:val="0031293C"/>
    <w:rsid w:val="00312DEB"/>
    <w:rsid w:val="00312F3D"/>
    <w:rsid w:val="00313BBA"/>
    <w:rsid w:val="00313D9F"/>
    <w:rsid w:val="00314352"/>
    <w:rsid w:val="00314899"/>
    <w:rsid w:val="00315623"/>
    <w:rsid w:val="00316182"/>
    <w:rsid w:val="00317AD6"/>
    <w:rsid w:val="003202F1"/>
    <w:rsid w:val="0032072B"/>
    <w:rsid w:val="00320DFD"/>
    <w:rsid w:val="00322A8B"/>
    <w:rsid w:val="00326F22"/>
    <w:rsid w:val="00327032"/>
    <w:rsid w:val="003276A0"/>
    <w:rsid w:val="003278FA"/>
    <w:rsid w:val="0033002D"/>
    <w:rsid w:val="003312AB"/>
    <w:rsid w:val="003314DB"/>
    <w:rsid w:val="00332906"/>
    <w:rsid w:val="00332C3C"/>
    <w:rsid w:val="00333BE1"/>
    <w:rsid w:val="00334708"/>
    <w:rsid w:val="00334B76"/>
    <w:rsid w:val="00336644"/>
    <w:rsid w:val="00337299"/>
    <w:rsid w:val="0033763C"/>
    <w:rsid w:val="00337ADB"/>
    <w:rsid w:val="00337BD8"/>
    <w:rsid w:val="003410DC"/>
    <w:rsid w:val="0034149E"/>
    <w:rsid w:val="00341CE5"/>
    <w:rsid w:val="00342202"/>
    <w:rsid w:val="003426C6"/>
    <w:rsid w:val="003429C9"/>
    <w:rsid w:val="00343AE9"/>
    <w:rsid w:val="00343C28"/>
    <w:rsid w:val="00344889"/>
    <w:rsid w:val="0034496F"/>
    <w:rsid w:val="0034680A"/>
    <w:rsid w:val="00346F03"/>
    <w:rsid w:val="00347661"/>
    <w:rsid w:val="003478E7"/>
    <w:rsid w:val="00350095"/>
    <w:rsid w:val="00350DCD"/>
    <w:rsid w:val="00351383"/>
    <w:rsid w:val="003528F0"/>
    <w:rsid w:val="00352927"/>
    <w:rsid w:val="00353FDF"/>
    <w:rsid w:val="00354545"/>
    <w:rsid w:val="003555B4"/>
    <w:rsid w:val="003558C0"/>
    <w:rsid w:val="00356A4C"/>
    <w:rsid w:val="00356F52"/>
    <w:rsid w:val="00357B9D"/>
    <w:rsid w:val="00357E86"/>
    <w:rsid w:val="00360753"/>
    <w:rsid w:val="00360A53"/>
    <w:rsid w:val="00360B20"/>
    <w:rsid w:val="00362486"/>
    <w:rsid w:val="00362CEC"/>
    <w:rsid w:val="00363A73"/>
    <w:rsid w:val="0036497E"/>
    <w:rsid w:val="00364F1A"/>
    <w:rsid w:val="00366C32"/>
    <w:rsid w:val="0037099D"/>
    <w:rsid w:val="00372A55"/>
    <w:rsid w:val="003735C0"/>
    <w:rsid w:val="00374753"/>
    <w:rsid w:val="003767EE"/>
    <w:rsid w:val="00377AD6"/>
    <w:rsid w:val="00381273"/>
    <w:rsid w:val="00381B41"/>
    <w:rsid w:val="00382349"/>
    <w:rsid w:val="00382E08"/>
    <w:rsid w:val="003833D7"/>
    <w:rsid w:val="003839DC"/>
    <w:rsid w:val="00383C5B"/>
    <w:rsid w:val="00383DDA"/>
    <w:rsid w:val="00384B44"/>
    <w:rsid w:val="00384ECE"/>
    <w:rsid w:val="0038532A"/>
    <w:rsid w:val="00385EC9"/>
    <w:rsid w:val="00386456"/>
    <w:rsid w:val="00386FB0"/>
    <w:rsid w:val="00387241"/>
    <w:rsid w:val="00387E1C"/>
    <w:rsid w:val="0039010E"/>
    <w:rsid w:val="003901D8"/>
    <w:rsid w:val="00390732"/>
    <w:rsid w:val="0039100A"/>
    <w:rsid w:val="00391D93"/>
    <w:rsid w:val="00392714"/>
    <w:rsid w:val="00392E7E"/>
    <w:rsid w:val="00393184"/>
    <w:rsid w:val="0039340C"/>
    <w:rsid w:val="003934DD"/>
    <w:rsid w:val="00396132"/>
    <w:rsid w:val="003964E0"/>
    <w:rsid w:val="00396D23"/>
    <w:rsid w:val="003A046A"/>
    <w:rsid w:val="003A1031"/>
    <w:rsid w:val="003A1157"/>
    <w:rsid w:val="003A25E4"/>
    <w:rsid w:val="003A2C66"/>
    <w:rsid w:val="003A2D28"/>
    <w:rsid w:val="003A4CA0"/>
    <w:rsid w:val="003A4F71"/>
    <w:rsid w:val="003A581E"/>
    <w:rsid w:val="003A5E28"/>
    <w:rsid w:val="003A651C"/>
    <w:rsid w:val="003A6DA8"/>
    <w:rsid w:val="003B0136"/>
    <w:rsid w:val="003B0B16"/>
    <w:rsid w:val="003B3D8A"/>
    <w:rsid w:val="003B4162"/>
    <w:rsid w:val="003B5540"/>
    <w:rsid w:val="003B79A5"/>
    <w:rsid w:val="003C02A9"/>
    <w:rsid w:val="003C40DD"/>
    <w:rsid w:val="003C4141"/>
    <w:rsid w:val="003C432C"/>
    <w:rsid w:val="003C50C9"/>
    <w:rsid w:val="003C62BD"/>
    <w:rsid w:val="003C7DC2"/>
    <w:rsid w:val="003D2137"/>
    <w:rsid w:val="003D284B"/>
    <w:rsid w:val="003D40F4"/>
    <w:rsid w:val="003D4F72"/>
    <w:rsid w:val="003D73F1"/>
    <w:rsid w:val="003E07B4"/>
    <w:rsid w:val="003E11A8"/>
    <w:rsid w:val="003E11E2"/>
    <w:rsid w:val="003E14B0"/>
    <w:rsid w:val="003E15E5"/>
    <w:rsid w:val="003E1ABD"/>
    <w:rsid w:val="003E443D"/>
    <w:rsid w:val="003E5505"/>
    <w:rsid w:val="003E5ED1"/>
    <w:rsid w:val="003E6682"/>
    <w:rsid w:val="003E7261"/>
    <w:rsid w:val="003E7A20"/>
    <w:rsid w:val="003F088B"/>
    <w:rsid w:val="003F0FBE"/>
    <w:rsid w:val="003F28CF"/>
    <w:rsid w:val="003F30B1"/>
    <w:rsid w:val="003F328D"/>
    <w:rsid w:val="003F47E5"/>
    <w:rsid w:val="003F5439"/>
    <w:rsid w:val="003F5CDD"/>
    <w:rsid w:val="003F5D5D"/>
    <w:rsid w:val="003F7CE9"/>
    <w:rsid w:val="003F7E6A"/>
    <w:rsid w:val="00400083"/>
    <w:rsid w:val="0040059A"/>
    <w:rsid w:val="0040125F"/>
    <w:rsid w:val="00402FD5"/>
    <w:rsid w:val="00404797"/>
    <w:rsid w:val="00405524"/>
    <w:rsid w:val="00406898"/>
    <w:rsid w:val="00407BD2"/>
    <w:rsid w:val="0041043C"/>
    <w:rsid w:val="004106B4"/>
    <w:rsid w:val="00411B85"/>
    <w:rsid w:val="00412132"/>
    <w:rsid w:val="0041266E"/>
    <w:rsid w:val="00414B54"/>
    <w:rsid w:val="00415158"/>
    <w:rsid w:val="0041612C"/>
    <w:rsid w:val="00416511"/>
    <w:rsid w:val="00416C2E"/>
    <w:rsid w:val="004207E3"/>
    <w:rsid w:val="00420A13"/>
    <w:rsid w:val="00420B44"/>
    <w:rsid w:val="00420D01"/>
    <w:rsid w:val="00421774"/>
    <w:rsid w:val="00421906"/>
    <w:rsid w:val="0042321C"/>
    <w:rsid w:val="00423267"/>
    <w:rsid w:val="0042446B"/>
    <w:rsid w:val="004252E8"/>
    <w:rsid w:val="00425B6B"/>
    <w:rsid w:val="00426EEE"/>
    <w:rsid w:val="00426F4A"/>
    <w:rsid w:val="00430927"/>
    <w:rsid w:val="0043155D"/>
    <w:rsid w:val="0043205F"/>
    <w:rsid w:val="00432915"/>
    <w:rsid w:val="00432C5F"/>
    <w:rsid w:val="00433BA1"/>
    <w:rsid w:val="00435AA2"/>
    <w:rsid w:val="004363BC"/>
    <w:rsid w:val="0043754D"/>
    <w:rsid w:val="00437BF5"/>
    <w:rsid w:val="00437BF8"/>
    <w:rsid w:val="00440E0E"/>
    <w:rsid w:val="004422D6"/>
    <w:rsid w:val="00442BFD"/>
    <w:rsid w:val="00443B8F"/>
    <w:rsid w:val="00444A46"/>
    <w:rsid w:val="00445EE4"/>
    <w:rsid w:val="00446CAA"/>
    <w:rsid w:val="00447095"/>
    <w:rsid w:val="00447483"/>
    <w:rsid w:val="004507CF"/>
    <w:rsid w:val="00450D34"/>
    <w:rsid w:val="00452BCB"/>
    <w:rsid w:val="0045342C"/>
    <w:rsid w:val="004537E3"/>
    <w:rsid w:val="004545F5"/>
    <w:rsid w:val="00454627"/>
    <w:rsid w:val="004547B6"/>
    <w:rsid w:val="00454B0F"/>
    <w:rsid w:val="00454C62"/>
    <w:rsid w:val="0045548D"/>
    <w:rsid w:val="004570AB"/>
    <w:rsid w:val="00457B0A"/>
    <w:rsid w:val="004620B3"/>
    <w:rsid w:val="004621E6"/>
    <w:rsid w:val="00462E3A"/>
    <w:rsid w:val="00463997"/>
    <w:rsid w:val="004648D2"/>
    <w:rsid w:val="0046604D"/>
    <w:rsid w:val="004661EE"/>
    <w:rsid w:val="00466527"/>
    <w:rsid w:val="004679CA"/>
    <w:rsid w:val="00467AAF"/>
    <w:rsid w:val="00470052"/>
    <w:rsid w:val="004717AD"/>
    <w:rsid w:val="00471F7A"/>
    <w:rsid w:val="0047250D"/>
    <w:rsid w:val="0047358F"/>
    <w:rsid w:val="0047429E"/>
    <w:rsid w:val="00474434"/>
    <w:rsid w:val="0047444E"/>
    <w:rsid w:val="00474614"/>
    <w:rsid w:val="00474880"/>
    <w:rsid w:val="004755D2"/>
    <w:rsid w:val="00475A0F"/>
    <w:rsid w:val="004768C9"/>
    <w:rsid w:val="00476A0B"/>
    <w:rsid w:val="00476E69"/>
    <w:rsid w:val="00477A49"/>
    <w:rsid w:val="00477BFF"/>
    <w:rsid w:val="00481FA4"/>
    <w:rsid w:val="004821AB"/>
    <w:rsid w:val="004848FA"/>
    <w:rsid w:val="00485197"/>
    <w:rsid w:val="00485864"/>
    <w:rsid w:val="00485AD7"/>
    <w:rsid w:val="00485ED3"/>
    <w:rsid w:val="00487569"/>
    <w:rsid w:val="004878C1"/>
    <w:rsid w:val="00487986"/>
    <w:rsid w:val="004928C4"/>
    <w:rsid w:val="00492EB5"/>
    <w:rsid w:val="0049505C"/>
    <w:rsid w:val="00495C57"/>
    <w:rsid w:val="00496626"/>
    <w:rsid w:val="0049684A"/>
    <w:rsid w:val="00497B27"/>
    <w:rsid w:val="004A0A76"/>
    <w:rsid w:val="004A34D2"/>
    <w:rsid w:val="004A36C3"/>
    <w:rsid w:val="004A3CCB"/>
    <w:rsid w:val="004A411B"/>
    <w:rsid w:val="004A486C"/>
    <w:rsid w:val="004A488B"/>
    <w:rsid w:val="004A5218"/>
    <w:rsid w:val="004A5B0B"/>
    <w:rsid w:val="004A5B41"/>
    <w:rsid w:val="004B1F7C"/>
    <w:rsid w:val="004B219E"/>
    <w:rsid w:val="004B2774"/>
    <w:rsid w:val="004B411E"/>
    <w:rsid w:val="004B4A0E"/>
    <w:rsid w:val="004B4CAD"/>
    <w:rsid w:val="004B5CAA"/>
    <w:rsid w:val="004B5EB4"/>
    <w:rsid w:val="004B6DE0"/>
    <w:rsid w:val="004B742E"/>
    <w:rsid w:val="004C003F"/>
    <w:rsid w:val="004C026F"/>
    <w:rsid w:val="004C0993"/>
    <w:rsid w:val="004C0B1C"/>
    <w:rsid w:val="004C1226"/>
    <w:rsid w:val="004C1573"/>
    <w:rsid w:val="004C1F44"/>
    <w:rsid w:val="004C1F93"/>
    <w:rsid w:val="004C2021"/>
    <w:rsid w:val="004C5092"/>
    <w:rsid w:val="004C5273"/>
    <w:rsid w:val="004C5DB0"/>
    <w:rsid w:val="004C6C01"/>
    <w:rsid w:val="004D0621"/>
    <w:rsid w:val="004D1653"/>
    <w:rsid w:val="004D2B08"/>
    <w:rsid w:val="004D2C64"/>
    <w:rsid w:val="004D2E20"/>
    <w:rsid w:val="004D2FAD"/>
    <w:rsid w:val="004D3473"/>
    <w:rsid w:val="004D4556"/>
    <w:rsid w:val="004D4FFE"/>
    <w:rsid w:val="004D5221"/>
    <w:rsid w:val="004D6799"/>
    <w:rsid w:val="004D6C1D"/>
    <w:rsid w:val="004D725A"/>
    <w:rsid w:val="004D7A98"/>
    <w:rsid w:val="004D7B77"/>
    <w:rsid w:val="004E06CD"/>
    <w:rsid w:val="004E2760"/>
    <w:rsid w:val="004E27A0"/>
    <w:rsid w:val="004E2973"/>
    <w:rsid w:val="004E3A4E"/>
    <w:rsid w:val="004E4142"/>
    <w:rsid w:val="004E4A6B"/>
    <w:rsid w:val="004E4AB3"/>
    <w:rsid w:val="004E5102"/>
    <w:rsid w:val="004E5B78"/>
    <w:rsid w:val="004E5E19"/>
    <w:rsid w:val="004F00D4"/>
    <w:rsid w:val="004F0B50"/>
    <w:rsid w:val="004F1050"/>
    <w:rsid w:val="004F32CC"/>
    <w:rsid w:val="004F46FC"/>
    <w:rsid w:val="004F4EB9"/>
    <w:rsid w:val="004F5F6A"/>
    <w:rsid w:val="00501FA2"/>
    <w:rsid w:val="005027F0"/>
    <w:rsid w:val="00502929"/>
    <w:rsid w:val="00502DDB"/>
    <w:rsid w:val="00502F06"/>
    <w:rsid w:val="005036F8"/>
    <w:rsid w:val="005037BC"/>
    <w:rsid w:val="005037CD"/>
    <w:rsid w:val="00503872"/>
    <w:rsid w:val="00503C1E"/>
    <w:rsid w:val="005046C0"/>
    <w:rsid w:val="005053B0"/>
    <w:rsid w:val="00506085"/>
    <w:rsid w:val="005064F9"/>
    <w:rsid w:val="0051074C"/>
    <w:rsid w:val="0051089A"/>
    <w:rsid w:val="00510BB6"/>
    <w:rsid w:val="0051288D"/>
    <w:rsid w:val="00513A69"/>
    <w:rsid w:val="00513AF2"/>
    <w:rsid w:val="005144E0"/>
    <w:rsid w:val="005152C2"/>
    <w:rsid w:val="005153B7"/>
    <w:rsid w:val="00516462"/>
    <w:rsid w:val="0051741D"/>
    <w:rsid w:val="005200B5"/>
    <w:rsid w:val="00521B54"/>
    <w:rsid w:val="005222B7"/>
    <w:rsid w:val="0052307C"/>
    <w:rsid w:val="00523E89"/>
    <w:rsid w:val="00524F8D"/>
    <w:rsid w:val="005268C9"/>
    <w:rsid w:val="0052715F"/>
    <w:rsid w:val="00533367"/>
    <w:rsid w:val="00535161"/>
    <w:rsid w:val="00535A7F"/>
    <w:rsid w:val="0053606E"/>
    <w:rsid w:val="0053771E"/>
    <w:rsid w:val="00537D21"/>
    <w:rsid w:val="005418FA"/>
    <w:rsid w:val="00542FF3"/>
    <w:rsid w:val="0054413A"/>
    <w:rsid w:val="005443C9"/>
    <w:rsid w:val="00545144"/>
    <w:rsid w:val="00545326"/>
    <w:rsid w:val="005457A0"/>
    <w:rsid w:val="005465E5"/>
    <w:rsid w:val="00550551"/>
    <w:rsid w:val="00551DC1"/>
    <w:rsid w:val="00552696"/>
    <w:rsid w:val="00553411"/>
    <w:rsid w:val="00554515"/>
    <w:rsid w:val="00555967"/>
    <w:rsid w:val="005564CA"/>
    <w:rsid w:val="00556F5B"/>
    <w:rsid w:val="00557DD1"/>
    <w:rsid w:val="00560C9C"/>
    <w:rsid w:val="0056142D"/>
    <w:rsid w:val="00561510"/>
    <w:rsid w:val="005620AD"/>
    <w:rsid w:val="005626E7"/>
    <w:rsid w:val="00562D14"/>
    <w:rsid w:val="00564281"/>
    <w:rsid w:val="005652B2"/>
    <w:rsid w:val="00570BD6"/>
    <w:rsid w:val="00571897"/>
    <w:rsid w:val="005722C5"/>
    <w:rsid w:val="005723F8"/>
    <w:rsid w:val="00572788"/>
    <w:rsid w:val="005731B5"/>
    <w:rsid w:val="0057389B"/>
    <w:rsid w:val="00573D85"/>
    <w:rsid w:val="00574D20"/>
    <w:rsid w:val="0057530E"/>
    <w:rsid w:val="00575B77"/>
    <w:rsid w:val="00575D08"/>
    <w:rsid w:val="005770F6"/>
    <w:rsid w:val="00577DD4"/>
    <w:rsid w:val="00577EF5"/>
    <w:rsid w:val="00580136"/>
    <w:rsid w:val="005811F1"/>
    <w:rsid w:val="005824C1"/>
    <w:rsid w:val="00584E86"/>
    <w:rsid w:val="0058589B"/>
    <w:rsid w:val="005867BF"/>
    <w:rsid w:val="00590DD9"/>
    <w:rsid w:val="00590E6F"/>
    <w:rsid w:val="0059266D"/>
    <w:rsid w:val="005942C5"/>
    <w:rsid w:val="0059458E"/>
    <w:rsid w:val="00595B02"/>
    <w:rsid w:val="00596F22"/>
    <w:rsid w:val="005973F4"/>
    <w:rsid w:val="005A0585"/>
    <w:rsid w:val="005A114C"/>
    <w:rsid w:val="005A1570"/>
    <w:rsid w:val="005A2D51"/>
    <w:rsid w:val="005A32AF"/>
    <w:rsid w:val="005A34F0"/>
    <w:rsid w:val="005A3C9D"/>
    <w:rsid w:val="005A436F"/>
    <w:rsid w:val="005A456B"/>
    <w:rsid w:val="005A4A4C"/>
    <w:rsid w:val="005A5275"/>
    <w:rsid w:val="005A6DCD"/>
    <w:rsid w:val="005A79FE"/>
    <w:rsid w:val="005A7F6A"/>
    <w:rsid w:val="005B166B"/>
    <w:rsid w:val="005B184F"/>
    <w:rsid w:val="005B2AF3"/>
    <w:rsid w:val="005B2F60"/>
    <w:rsid w:val="005B4049"/>
    <w:rsid w:val="005B43FE"/>
    <w:rsid w:val="005B4AA6"/>
    <w:rsid w:val="005B4B77"/>
    <w:rsid w:val="005B7019"/>
    <w:rsid w:val="005B7215"/>
    <w:rsid w:val="005B7515"/>
    <w:rsid w:val="005B7A2F"/>
    <w:rsid w:val="005C0D43"/>
    <w:rsid w:val="005C1FFD"/>
    <w:rsid w:val="005C266E"/>
    <w:rsid w:val="005C39A3"/>
    <w:rsid w:val="005C3C95"/>
    <w:rsid w:val="005C3CCE"/>
    <w:rsid w:val="005C4308"/>
    <w:rsid w:val="005C5026"/>
    <w:rsid w:val="005C51A7"/>
    <w:rsid w:val="005C5A22"/>
    <w:rsid w:val="005C5B5C"/>
    <w:rsid w:val="005C6D84"/>
    <w:rsid w:val="005D064A"/>
    <w:rsid w:val="005D29B5"/>
    <w:rsid w:val="005D3445"/>
    <w:rsid w:val="005D37F7"/>
    <w:rsid w:val="005D3807"/>
    <w:rsid w:val="005D474D"/>
    <w:rsid w:val="005D552E"/>
    <w:rsid w:val="005D7F00"/>
    <w:rsid w:val="005E0385"/>
    <w:rsid w:val="005E06A4"/>
    <w:rsid w:val="005E1BC6"/>
    <w:rsid w:val="005E1CF3"/>
    <w:rsid w:val="005E23E2"/>
    <w:rsid w:val="005E2E0F"/>
    <w:rsid w:val="005E2F44"/>
    <w:rsid w:val="005E3788"/>
    <w:rsid w:val="005E4A33"/>
    <w:rsid w:val="005E4F20"/>
    <w:rsid w:val="005E605B"/>
    <w:rsid w:val="005E67FC"/>
    <w:rsid w:val="005E7572"/>
    <w:rsid w:val="005E7A0B"/>
    <w:rsid w:val="005F094A"/>
    <w:rsid w:val="005F0C78"/>
    <w:rsid w:val="005F1050"/>
    <w:rsid w:val="005F137C"/>
    <w:rsid w:val="005F1822"/>
    <w:rsid w:val="005F3431"/>
    <w:rsid w:val="005F4BF5"/>
    <w:rsid w:val="006007CC"/>
    <w:rsid w:val="00601496"/>
    <w:rsid w:val="006018FD"/>
    <w:rsid w:val="0060197B"/>
    <w:rsid w:val="00601FCA"/>
    <w:rsid w:val="006020C6"/>
    <w:rsid w:val="006030AA"/>
    <w:rsid w:val="00603999"/>
    <w:rsid w:val="00603BDE"/>
    <w:rsid w:val="006044E9"/>
    <w:rsid w:val="00604737"/>
    <w:rsid w:val="00604F56"/>
    <w:rsid w:val="00610C94"/>
    <w:rsid w:val="00611D58"/>
    <w:rsid w:val="00612BDB"/>
    <w:rsid w:val="006134DB"/>
    <w:rsid w:val="006135E8"/>
    <w:rsid w:val="006143D4"/>
    <w:rsid w:val="006145C1"/>
    <w:rsid w:val="00617024"/>
    <w:rsid w:val="00617185"/>
    <w:rsid w:val="006178DB"/>
    <w:rsid w:val="00620CBF"/>
    <w:rsid w:val="00620E47"/>
    <w:rsid w:val="006215BD"/>
    <w:rsid w:val="006231D1"/>
    <w:rsid w:val="00623F97"/>
    <w:rsid w:val="006246B8"/>
    <w:rsid w:val="00624730"/>
    <w:rsid w:val="00625320"/>
    <w:rsid w:val="0062567A"/>
    <w:rsid w:val="0062792C"/>
    <w:rsid w:val="00632B47"/>
    <w:rsid w:val="006334A8"/>
    <w:rsid w:val="006362A0"/>
    <w:rsid w:val="006362B7"/>
    <w:rsid w:val="006367B1"/>
    <w:rsid w:val="0063788B"/>
    <w:rsid w:val="006404C9"/>
    <w:rsid w:val="0064055D"/>
    <w:rsid w:val="00640B75"/>
    <w:rsid w:val="006426C6"/>
    <w:rsid w:val="00642D57"/>
    <w:rsid w:val="00646512"/>
    <w:rsid w:val="00646829"/>
    <w:rsid w:val="00647622"/>
    <w:rsid w:val="0065089D"/>
    <w:rsid w:val="00651D31"/>
    <w:rsid w:val="006524A2"/>
    <w:rsid w:val="006524BE"/>
    <w:rsid w:val="00652A5C"/>
    <w:rsid w:val="00652FF3"/>
    <w:rsid w:val="006533F8"/>
    <w:rsid w:val="00654CFD"/>
    <w:rsid w:val="00655360"/>
    <w:rsid w:val="00655371"/>
    <w:rsid w:val="00655569"/>
    <w:rsid w:val="006563C3"/>
    <w:rsid w:val="00656B88"/>
    <w:rsid w:val="006625BC"/>
    <w:rsid w:val="0066396D"/>
    <w:rsid w:val="00663A05"/>
    <w:rsid w:val="006645BF"/>
    <w:rsid w:val="0066584D"/>
    <w:rsid w:val="00665E49"/>
    <w:rsid w:val="0066674A"/>
    <w:rsid w:val="00666AF7"/>
    <w:rsid w:val="00667EBB"/>
    <w:rsid w:val="006703E0"/>
    <w:rsid w:val="0067061E"/>
    <w:rsid w:val="00670B1B"/>
    <w:rsid w:val="00672B53"/>
    <w:rsid w:val="00672EEC"/>
    <w:rsid w:val="0067317F"/>
    <w:rsid w:val="00673789"/>
    <w:rsid w:val="00673AB7"/>
    <w:rsid w:val="00673AB9"/>
    <w:rsid w:val="00673C14"/>
    <w:rsid w:val="00674CC7"/>
    <w:rsid w:val="00675933"/>
    <w:rsid w:val="00681A07"/>
    <w:rsid w:val="00682BE5"/>
    <w:rsid w:val="00683085"/>
    <w:rsid w:val="0068338B"/>
    <w:rsid w:val="00683404"/>
    <w:rsid w:val="00686E92"/>
    <w:rsid w:val="00687653"/>
    <w:rsid w:val="0069158F"/>
    <w:rsid w:val="00691C58"/>
    <w:rsid w:val="0069217F"/>
    <w:rsid w:val="00692BB0"/>
    <w:rsid w:val="00693C5F"/>
    <w:rsid w:val="00693CC2"/>
    <w:rsid w:val="00694471"/>
    <w:rsid w:val="00694DBB"/>
    <w:rsid w:val="00695E74"/>
    <w:rsid w:val="0069678A"/>
    <w:rsid w:val="00697665"/>
    <w:rsid w:val="00697D73"/>
    <w:rsid w:val="006A00B7"/>
    <w:rsid w:val="006A12F4"/>
    <w:rsid w:val="006A1A12"/>
    <w:rsid w:val="006A2013"/>
    <w:rsid w:val="006A2F2D"/>
    <w:rsid w:val="006A3206"/>
    <w:rsid w:val="006A355E"/>
    <w:rsid w:val="006A3CD1"/>
    <w:rsid w:val="006A454C"/>
    <w:rsid w:val="006A5273"/>
    <w:rsid w:val="006A58B8"/>
    <w:rsid w:val="006A64A9"/>
    <w:rsid w:val="006A7FD0"/>
    <w:rsid w:val="006B055A"/>
    <w:rsid w:val="006B161A"/>
    <w:rsid w:val="006B2195"/>
    <w:rsid w:val="006B227A"/>
    <w:rsid w:val="006B34D7"/>
    <w:rsid w:val="006B3C27"/>
    <w:rsid w:val="006B4C1B"/>
    <w:rsid w:val="006B55C5"/>
    <w:rsid w:val="006B7576"/>
    <w:rsid w:val="006C0662"/>
    <w:rsid w:val="006C084F"/>
    <w:rsid w:val="006C0B81"/>
    <w:rsid w:val="006C14D1"/>
    <w:rsid w:val="006C41CF"/>
    <w:rsid w:val="006C4F96"/>
    <w:rsid w:val="006C627E"/>
    <w:rsid w:val="006C68E5"/>
    <w:rsid w:val="006C6A3B"/>
    <w:rsid w:val="006C7E2B"/>
    <w:rsid w:val="006D23BA"/>
    <w:rsid w:val="006D2CB8"/>
    <w:rsid w:val="006D2CF6"/>
    <w:rsid w:val="006D2FB2"/>
    <w:rsid w:val="006D40DC"/>
    <w:rsid w:val="006D4498"/>
    <w:rsid w:val="006D4EC2"/>
    <w:rsid w:val="006D4F07"/>
    <w:rsid w:val="006D5176"/>
    <w:rsid w:val="006D717D"/>
    <w:rsid w:val="006D7304"/>
    <w:rsid w:val="006D7687"/>
    <w:rsid w:val="006E0385"/>
    <w:rsid w:val="006E0572"/>
    <w:rsid w:val="006E0C4E"/>
    <w:rsid w:val="006E0C98"/>
    <w:rsid w:val="006E1324"/>
    <w:rsid w:val="006E1CCF"/>
    <w:rsid w:val="006E28FE"/>
    <w:rsid w:val="006E6D63"/>
    <w:rsid w:val="006E6E42"/>
    <w:rsid w:val="006E7837"/>
    <w:rsid w:val="006E7E8C"/>
    <w:rsid w:val="006F3DAA"/>
    <w:rsid w:val="006F3F90"/>
    <w:rsid w:val="006F5001"/>
    <w:rsid w:val="006F5461"/>
    <w:rsid w:val="00700377"/>
    <w:rsid w:val="007008A4"/>
    <w:rsid w:val="007018AF"/>
    <w:rsid w:val="00701E35"/>
    <w:rsid w:val="007020A1"/>
    <w:rsid w:val="00702115"/>
    <w:rsid w:val="00702602"/>
    <w:rsid w:val="007029A4"/>
    <w:rsid w:val="007037C1"/>
    <w:rsid w:val="00703E2C"/>
    <w:rsid w:val="00704A38"/>
    <w:rsid w:val="00705631"/>
    <w:rsid w:val="00705FE1"/>
    <w:rsid w:val="00706399"/>
    <w:rsid w:val="007077A3"/>
    <w:rsid w:val="00707D87"/>
    <w:rsid w:val="00707EFD"/>
    <w:rsid w:val="00707FF5"/>
    <w:rsid w:val="00711A50"/>
    <w:rsid w:val="007130EA"/>
    <w:rsid w:val="00713C5F"/>
    <w:rsid w:val="00713DE5"/>
    <w:rsid w:val="00714254"/>
    <w:rsid w:val="00714718"/>
    <w:rsid w:val="00714C43"/>
    <w:rsid w:val="00715929"/>
    <w:rsid w:val="0071654A"/>
    <w:rsid w:val="007173EA"/>
    <w:rsid w:val="0072005B"/>
    <w:rsid w:val="00720966"/>
    <w:rsid w:val="007210EC"/>
    <w:rsid w:val="0072127D"/>
    <w:rsid w:val="007219A6"/>
    <w:rsid w:val="007229B0"/>
    <w:rsid w:val="00724809"/>
    <w:rsid w:val="007252B4"/>
    <w:rsid w:val="00725AC2"/>
    <w:rsid w:val="00726DBE"/>
    <w:rsid w:val="00727718"/>
    <w:rsid w:val="00727EAE"/>
    <w:rsid w:val="00727FB6"/>
    <w:rsid w:val="007300F3"/>
    <w:rsid w:val="00730AB8"/>
    <w:rsid w:val="00733327"/>
    <w:rsid w:val="00734D43"/>
    <w:rsid w:val="007357B0"/>
    <w:rsid w:val="00735A39"/>
    <w:rsid w:val="00736FC1"/>
    <w:rsid w:val="007404BC"/>
    <w:rsid w:val="00741FC4"/>
    <w:rsid w:val="0074287A"/>
    <w:rsid w:val="00742DD2"/>
    <w:rsid w:val="00744115"/>
    <w:rsid w:val="00744B26"/>
    <w:rsid w:val="00744E7F"/>
    <w:rsid w:val="00745879"/>
    <w:rsid w:val="00745950"/>
    <w:rsid w:val="007464C8"/>
    <w:rsid w:val="00746D17"/>
    <w:rsid w:val="00747E9B"/>
    <w:rsid w:val="00752568"/>
    <w:rsid w:val="00752CB1"/>
    <w:rsid w:val="0075455D"/>
    <w:rsid w:val="00754621"/>
    <w:rsid w:val="00754CD3"/>
    <w:rsid w:val="0075514B"/>
    <w:rsid w:val="0075582E"/>
    <w:rsid w:val="0075647A"/>
    <w:rsid w:val="007573C1"/>
    <w:rsid w:val="007574E5"/>
    <w:rsid w:val="007605B5"/>
    <w:rsid w:val="007611DB"/>
    <w:rsid w:val="0076138D"/>
    <w:rsid w:val="007634AD"/>
    <w:rsid w:val="00764CD2"/>
    <w:rsid w:val="0076566F"/>
    <w:rsid w:val="007656E6"/>
    <w:rsid w:val="00765BE2"/>
    <w:rsid w:val="007673F0"/>
    <w:rsid w:val="0076744F"/>
    <w:rsid w:val="007679AF"/>
    <w:rsid w:val="0077238E"/>
    <w:rsid w:val="00772C6C"/>
    <w:rsid w:val="007741D9"/>
    <w:rsid w:val="007743B6"/>
    <w:rsid w:val="007748F6"/>
    <w:rsid w:val="00774A8C"/>
    <w:rsid w:val="007750BB"/>
    <w:rsid w:val="00775779"/>
    <w:rsid w:val="00776ED5"/>
    <w:rsid w:val="00780D84"/>
    <w:rsid w:val="0078122E"/>
    <w:rsid w:val="0078165F"/>
    <w:rsid w:val="00782024"/>
    <w:rsid w:val="00782DC1"/>
    <w:rsid w:val="00783506"/>
    <w:rsid w:val="00783E25"/>
    <w:rsid w:val="0078442B"/>
    <w:rsid w:val="007853BD"/>
    <w:rsid w:val="00785A12"/>
    <w:rsid w:val="0078614D"/>
    <w:rsid w:val="00787DCF"/>
    <w:rsid w:val="00791C0F"/>
    <w:rsid w:val="007924DC"/>
    <w:rsid w:val="00793845"/>
    <w:rsid w:val="00793FA2"/>
    <w:rsid w:val="0079520D"/>
    <w:rsid w:val="007966FB"/>
    <w:rsid w:val="0079697F"/>
    <w:rsid w:val="00796BD1"/>
    <w:rsid w:val="00796EC8"/>
    <w:rsid w:val="00797DF7"/>
    <w:rsid w:val="007A0D0E"/>
    <w:rsid w:val="007A490A"/>
    <w:rsid w:val="007A4C5A"/>
    <w:rsid w:val="007A5F89"/>
    <w:rsid w:val="007A615D"/>
    <w:rsid w:val="007A6DA5"/>
    <w:rsid w:val="007A7F82"/>
    <w:rsid w:val="007B0854"/>
    <w:rsid w:val="007B0F58"/>
    <w:rsid w:val="007B16E2"/>
    <w:rsid w:val="007B24B5"/>
    <w:rsid w:val="007B44DA"/>
    <w:rsid w:val="007B5F82"/>
    <w:rsid w:val="007B6218"/>
    <w:rsid w:val="007C0326"/>
    <w:rsid w:val="007C2221"/>
    <w:rsid w:val="007C36EC"/>
    <w:rsid w:val="007C60A9"/>
    <w:rsid w:val="007C6117"/>
    <w:rsid w:val="007C6410"/>
    <w:rsid w:val="007C672F"/>
    <w:rsid w:val="007C7077"/>
    <w:rsid w:val="007C7370"/>
    <w:rsid w:val="007C7638"/>
    <w:rsid w:val="007C7F04"/>
    <w:rsid w:val="007D0305"/>
    <w:rsid w:val="007D0F47"/>
    <w:rsid w:val="007D15A6"/>
    <w:rsid w:val="007D1727"/>
    <w:rsid w:val="007D1AD1"/>
    <w:rsid w:val="007D40E2"/>
    <w:rsid w:val="007D425F"/>
    <w:rsid w:val="007D5E0B"/>
    <w:rsid w:val="007D5EB7"/>
    <w:rsid w:val="007D71A4"/>
    <w:rsid w:val="007E01FC"/>
    <w:rsid w:val="007E1384"/>
    <w:rsid w:val="007E37C4"/>
    <w:rsid w:val="007E4585"/>
    <w:rsid w:val="007E5B03"/>
    <w:rsid w:val="007E6035"/>
    <w:rsid w:val="007E750C"/>
    <w:rsid w:val="007F047F"/>
    <w:rsid w:val="007F0D40"/>
    <w:rsid w:val="007F168F"/>
    <w:rsid w:val="007F3452"/>
    <w:rsid w:val="007F367B"/>
    <w:rsid w:val="007F4347"/>
    <w:rsid w:val="007F5F3B"/>
    <w:rsid w:val="007F6822"/>
    <w:rsid w:val="007F723E"/>
    <w:rsid w:val="007F72CB"/>
    <w:rsid w:val="007F7F92"/>
    <w:rsid w:val="008007F5"/>
    <w:rsid w:val="00802A13"/>
    <w:rsid w:val="00802B59"/>
    <w:rsid w:val="00802D30"/>
    <w:rsid w:val="00804C29"/>
    <w:rsid w:val="00804CE6"/>
    <w:rsid w:val="00804EB1"/>
    <w:rsid w:val="008055FC"/>
    <w:rsid w:val="0080594C"/>
    <w:rsid w:val="008101D2"/>
    <w:rsid w:val="008111B0"/>
    <w:rsid w:val="00811ED3"/>
    <w:rsid w:val="00812721"/>
    <w:rsid w:val="0081348A"/>
    <w:rsid w:val="00813504"/>
    <w:rsid w:val="00814047"/>
    <w:rsid w:val="00814B71"/>
    <w:rsid w:val="00815027"/>
    <w:rsid w:val="008159D3"/>
    <w:rsid w:val="00816302"/>
    <w:rsid w:val="0081643A"/>
    <w:rsid w:val="008168E0"/>
    <w:rsid w:val="00817A26"/>
    <w:rsid w:val="00817CA8"/>
    <w:rsid w:val="008228BC"/>
    <w:rsid w:val="00822D58"/>
    <w:rsid w:val="00822F0F"/>
    <w:rsid w:val="008232F1"/>
    <w:rsid w:val="00824AA3"/>
    <w:rsid w:val="008259B9"/>
    <w:rsid w:val="00825CE6"/>
    <w:rsid w:val="00826A9D"/>
    <w:rsid w:val="008303BC"/>
    <w:rsid w:val="0083119B"/>
    <w:rsid w:val="00831238"/>
    <w:rsid w:val="0083133A"/>
    <w:rsid w:val="008334FC"/>
    <w:rsid w:val="00834864"/>
    <w:rsid w:val="00834EAB"/>
    <w:rsid w:val="008361D0"/>
    <w:rsid w:val="0083620E"/>
    <w:rsid w:val="008366AF"/>
    <w:rsid w:val="00836AFB"/>
    <w:rsid w:val="00836EAB"/>
    <w:rsid w:val="0083716D"/>
    <w:rsid w:val="0084007B"/>
    <w:rsid w:val="008409BE"/>
    <w:rsid w:val="00840B58"/>
    <w:rsid w:val="00841280"/>
    <w:rsid w:val="0084152B"/>
    <w:rsid w:val="00841639"/>
    <w:rsid w:val="00842535"/>
    <w:rsid w:val="008426FF"/>
    <w:rsid w:val="00842F23"/>
    <w:rsid w:val="00843BC4"/>
    <w:rsid w:val="00843E6C"/>
    <w:rsid w:val="00844326"/>
    <w:rsid w:val="00845303"/>
    <w:rsid w:val="00845435"/>
    <w:rsid w:val="00846F5C"/>
    <w:rsid w:val="0084737E"/>
    <w:rsid w:val="00847B6B"/>
    <w:rsid w:val="00847DD7"/>
    <w:rsid w:val="0085092D"/>
    <w:rsid w:val="008509DD"/>
    <w:rsid w:val="00850DF5"/>
    <w:rsid w:val="0085128C"/>
    <w:rsid w:val="00852018"/>
    <w:rsid w:val="008524B4"/>
    <w:rsid w:val="0085264F"/>
    <w:rsid w:val="00852E12"/>
    <w:rsid w:val="00852F5E"/>
    <w:rsid w:val="00853776"/>
    <w:rsid w:val="008541AC"/>
    <w:rsid w:val="00854DBB"/>
    <w:rsid w:val="00857F63"/>
    <w:rsid w:val="008601EE"/>
    <w:rsid w:val="00860B10"/>
    <w:rsid w:val="00860C12"/>
    <w:rsid w:val="008610DF"/>
    <w:rsid w:val="00861161"/>
    <w:rsid w:val="008612BF"/>
    <w:rsid w:val="00861408"/>
    <w:rsid w:val="008617E0"/>
    <w:rsid w:val="00862B2A"/>
    <w:rsid w:val="0086463D"/>
    <w:rsid w:val="00865014"/>
    <w:rsid w:val="00865967"/>
    <w:rsid w:val="0087005C"/>
    <w:rsid w:val="008700C1"/>
    <w:rsid w:val="008705DE"/>
    <w:rsid w:val="00871295"/>
    <w:rsid w:val="008738AB"/>
    <w:rsid w:val="0087394E"/>
    <w:rsid w:val="00873BCF"/>
    <w:rsid w:val="00877366"/>
    <w:rsid w:val="0087745C"/>
    <w:rsid w:val="00880626"/>
    <w:rsid w:val="00881690"/>
    <w:rsid w:val="00881742"/>
    <w:rsid w:val="008817ED"/>
    <w:rsid w:val="0088243F"/>
    <w:rsid w:val="00882EA0"/>
    <w:rsid w:val="00883662"/>
    <w:rsid w:val="00883713"/>
    <w:rsid w:val="00883715"/>
    <w:rsid w:val="0088457C"/>
    <w:rsid w:val="00885287"/>
    <w:rsid w:val="00885AA7"/>
    <w:rsid w:val="00886201"/>
    <w:rsid w:val="00886A5B"/>
    <w:rsid w:val="008871CF"/>
    <w:rsid w:val="00887955"/>
    <w:rsid w:val="00887B15"/>
    <w:rsid w:val="00890882"/>
    <w:rsid w:val="00890A8B"/>
    <w:rsid w:val="008927A8"/>
    <w:rsid w:val="00893165"/>
    <w:rsid w:val="00893180"/>
    <w:rsid w:val="008935E4"/>
    <w:rsid w:val="00894D34"/>
    <w:rsid w:val="00894E00"/>
    <w:rsid w:val="00896174"/>
    <w:rsid w:val="008961C2"/>
    <w:rsid w:val="00896A1B"/>
    <w:rsid w:val="008A0425"/>
    <w:rsid w:val="008A0A11"/>
    <w:rsid w:val="008A0B2C"/>
    <w:rsid w:val="008A1966"/>
    <w:rsid w:val="008A257A"/>
    <w:rsid w:val="008A2F81"/>
    <w:rsid w:val="008A3228"/>
    <w:rsid w:val="008A41E2"/>
    <w:rsid w:val="008A53F7"/>
    <w:rsid w:val="008A54C1"/>
    <w:rsid w:val="008A575E"/>
    <w:rsid w:val="008A5EBF"/>
    <w:rsid w:val="008A6260"/>
    <w:rsid w:val="008A6443"/>
    <w:rsid w:val="008A69BA"/>
    <w:rsid w:val="008A7AAC"/>
    <w:rsid w:val="008A7DFA"/>
    <w:rsid w:val="008B1A31"/>
    <w:rsid w:val="008B1DD1"/>
    <w:rsid w:val="008B3EAF"/>
    <w:rsid w:val="008B7FD5"/>
    <w:rsid w:val="008C0AF6"/>
    <w:rsid w:val="008C0ED3"/>
    <w:rsid w:val="008C0FB7"/>
    <w:rsid w:val="008C0FFC"/>
    <w:rsid w:val="008C26E3"/>
    <w:rsid w:val="008C2BFB"/>
    <w:rsid w:val="008C41C5"/>
    <w:rsid w:val="008C6600"/>
    <w:rsid w:val="008C6B51"/>
    <w:rsid w:val="008D1A75"/>
    <w:rsid w:val="008D1B84"/>
    <w:rsid w:val="008D2B54"/>
    <w:rsid w:val="008D3419"/>
    <w:rsid w:val="008D3FBB"/>
    <w:rsid w:val="008D4225"/>
    <w:rsid w:val="008D4533"/>
    <w:rsid w:val="008D464F"/>
    <w:rsid w:val="008D4B97"/>
    <w:rsid w:val="008D4C63"/>
    <w:rsid w:val="008D5F00"/>
    <w:rsid w:val="008D670D"/>
    <w:rsid w:val="008D76C2"/>
    <w:rsid w:val="008D776A"/>
    <w:rsid w:val="008E0A7E"/>
    <w:rsid w:val="008E1C15"/>
    <w:rsid w:val="008E3219"/>
    <w:rsid w:val="008E3869"/>
    <w:rsid w:val="008E425D"/>
    <w:rsid w:val="008E55D9"/>
    <w:rsid w:val="008E5A1D"/>
    <w:rsid w:val="008E6F70"/>
    <w:rsid w:val="008F14CC"/>
    <w:rsid w:val="008F1D84"/>
    <w:rsid w:val="008F2734"/>
    <w:rsid w:val="008F30C9"/>
    <w:rsid w:val="008F39BD"/>
    <w:rsid w:val="008F4123"/>
    <w:rsid w:val="008F489B"/>
    <w:rsid w:val="008F5C25"/>
    <w:rsid w:val="008F646E"/>
    <w:rsid w:val="008F6E4A"/>
    <w:rsid w:val="008F71EB"/>
    <w:rsid w:val="00900239"/>
    <w:rsid w:val="00900DDB"/>
    <w:rsid w:val="0090136A"/>
    <w:rsid w:val="00901CD9"/>
    <w:rsid w:val="00902199"/>
    <w:rsid w:val="009030CB"/>
    <w:rsid w:val="009041A8"/>
    <w:rsid w:val="009047C5"/>
    <w:rsid w:val="00904CD9"/>
    <w:rsid w:val="009063A9"/>
    <w:rsid w:val="009064C4"/>
    <w:rsid w:val="009066C0"/>
    <w:rsid w:val="009071F2"/>
    <w:rsid w:val="00907528"/>
    <w:rsid w:val="00907A73"/>
    <w:rsid w:val="00910152"/>
    <w:rsid w:val="009106BD"/>
    <w:rsid w:val="0091085E"/>
    <w:rsid w:val="00910B86"/>
    <w:rsid w:val="0091237C"/>
    <w:rsid w:val="00914F02"/>
    <w:rsid w:val="00916C89"/>
    <w:rsid w:val="0091746C"/>
    <w:rsid w:val="009176F3"/>
    <w:rsid w:val="00917700"/>
    <w:rsid w:val="00921659"/>
    <w:rsid w:val="00923DC9"/>
    <w:rsid w:val="00924541"/>
    <w:rsid w:val="0092462A"/>
    <w:rsid w:val="0092465E"/>
    <w:rsid w:val="0092478E"/>
    <w:rsid w:val="00924A84"/>
    <w:rsid w:val="00924C21"/>
    <w:rsid w:val="00925774"/>
    <w:rsid w:val="009278F1"/>
    <w:rsid w:val="00930831"/>
    <w:rsid w:val="0093193A"/>
    <w:rsid w:val="00931B7E"/>
    <w:rsid w:val="00932FBD"/>
    <w:rsid w:val="009339B8"/>
    <w:rsid w:val="0093633E"/>
    <w:rsid w:val="00937BFF"/>
    <w:rsid w:val="00937E01"/>
    <w:rsid w:val="00937E58"/>
    <w:rsid w:val="0094059F"/>
    <w:rsid w:val="00940714"/>
    <w:rsid w:val="009409CA"/>
    <w:rsid w:val="00942B12"/>
    <w:rsid w:val="0094346A"/>
    <w:rsid w:val="009434DB"/>
    <w:rsid w:val="00943820"/>
    <w:rsid w:val="009445A6"/>
    <w:rsid w:val="00944A7C"/>
    <w:rsid w:val="00944EA4"/>
    <w:rsid w:val="00945AD3"/>
    <w:rsid w:val="009465F7"/>
    <w:rsid w:val="00946737"/>
    <w:rsid w:val="00946CFA"/>
    <w:rsid w:val="00947536"/>
    <w:rsid w:val="00950258"/>
    <w:rsid w:val="00950E08"/>
    <w:rsid w:val="00951364"/>
    <w:rsid w:val="00952E20"/>
    <w:rsid w:val="0095385A"/>
    <w:rsid w:val="00955CAC"/>
    <w:rsid w:val="00955E10"/>
    <w:rsid w:val="0095635F"/>
    <w:rsid w:val="009568DA"/>
    <w:rsid w:val="00956C80"/>
    <w:rsid w:val="00956E82"/>
    <w:rsid w:val="009576AD"/>
    <w:rsid w:val="009604AE"/>
    <w:rsid w:val="009609AC"/>
    <w:rsid w:val="00961FA1"/>
    <w:rsid w:val="00962034"/>
    <w:rsid w:val="00962A37"/>
    <w:rsid w:val="00964C6F"/>
    <w:rsid w:val="00965849"/>
    <w:rsid w:val="00971941"/>
    <w:rsid w:val="00971A67"/>
    <w:rsid w:val="00973F55"/>
    <w:rsid w:val="0097458D"/>
    <w:rsid w:val="00975083"/>
    <w:rsid w:val="00975D1B"/>
    <w:rsid w:val="00976CC3"/>
    <w:rsid w:val="00977088"/>
    <w:rsid w:val="00981B5D"/>
    <w:rsid w:val="0098228E"/>
    <w:rsid w:val="00982489"/>
    <w:rsid w:val="00985475"/>
    <w:rsid w:val="009858E1"/>
    <w:rsid w:val="009859D0"/>
    <w:rsid w:val="009866C8"/>
    <w:rsid w:val="009874B4"/>
    <w:rsid w:val="00987F32"/>
    <w:rsid w:val="00990612"/>
    <w:rsid w:val="009906A0"/>
    <w:rsid w:val="00990A2F"/>
    <w:rsid w:val="00990C87"/>
    <w:rsid w:val="00994F2E"/>
    <w:rsid w:val="00995CA3"/>
    <w:rsid w:val="009966E7"/>
    <w:rsid w:val="009972C4"/>
    <w:rsid w:val="009A06FC"/>
    <w:rsid w:val="009A0B76"/>
    <w:rsid w:val="009A1B74"/>
    <w:rsid w:val="009A1C15"/>
    <w:rsid w:val="009A353C"/>
    <w:rsid w:val="009A3AEB"/>
    <w:rsid w:val="009A7764"/>
    <w:rsid w:val="009B0CB9"/>
    <w:rsid w:val="009B1BF2"/>
    <w:rsid w:val="009B2695"/>
    <w:rsid w:val="009B29F8"/>
    <w:rsid w:val="009B35FF"/>
    <w:rsid w:val="009B5EA5"/>
    <w:rsid w:val="009B63F0"/>
    <w:rsid w:val="009B7EC0"/>
    <w:rsid w:val="009C02BD"/>
    <w:rsid w:val="009C17B9"/>
    <w:rsid w:val="009C1933"/>
    <w:rsid w:val="009C1FFB"/>
    <w:rsid w:val="009C24BD"/>
    <w:rsid w:val="009C2A57"/>
    <w:rsid w:val="009C376A"/>
    <w:rsid w:val="009C3888"/>
    <w:rsid w:val="009C3A06"/>
    <w:rsid w:val="009C3D5F"/>
    <w:rsid w:val="009C446F"/>
    <w:rsid w:val="009C4DAD"/>
    <w:rsid w:val="009C55A7"/>
    <w:rsid w:val="009C5D1B"/>
    <w:rsid w:val="009C782E"/>
    <w:rsid w:val="009C7A60"/>
    <w:rsid w:val="009C7F2E"/>
    <w:rsid w:val="009D078E"/>
    <w:rsid w:val="009D0D5E"/>
    <w:rsid w:val="009D0F4D"/>
    <w:rsid w:val="009D0FC4"/>
    <w:rsid w:val="009D3049"/>
    <w:rsid w:val="009D444F"/>
    <w:rsid w:val="009D4A2A"/>
    <w:rsid w:val="009D4FF8"/>
    <w:rsid w:val="009D54EC"/>
    <w:rsid w:val="009E01BD"/>
    <w:rsid w:val="009E0D1B"/>
    <w:rsid w:val="009E1F5A"/>
    <w:rsid w:val="009E245B"/>
    <w:rsid w:val="009E2882"/>
    <w:rsid w:val="009E3217"/>
    <w:rsid w:val="009E48B1"/>
    <w:rsid w:val="009E739A"/>
    <w:rsid w:val="009F0BCE"/>
    <w:rsid w:val="009F1817"/>
    <w:rsid w:val="009F3C99"/>
    <w:rsid w:val="009F48F0"/>
    <w:rsid w:val="009F57D1"/>
    <w:rsid w:val="009F6523"/>
    <w:rsid w:val="009F6B3F"/>
    <w:rsid w:val="009F74F5"/>
    <w:rsid w:val="009F773F"/>
    <w:rsid w:val="009F7802"/>
    <w:rsid w:val="00A00987"/>
    <w:rsid w:val="00A0154B"/>
    <w:rsid w:val="00A028FC"/>
    <w:rsid w:val="00A02DEF"/>
    <w:rsid w:val="00A0353C"/>
    <w:rsid w:val="00A03556"/>
    <w:rsid w:val="00A035A4"/>
    <w:rsid w:val="00A036C4"/>
    <w:rsid w:val="00A03DEF"/>
    <w:rsid w:val="00A044A1"/>
    <w:rsid w:val="00A06054"/>
    <w:rsid w:val="00A07446"/>
    <w:rsid w:val="00A10135"/>
    <w:rsid w:val="00A10706"/>
    <w:rsid w:val="00A1089F"/>
    <w:rsid w:val="00A11267"/>
    <w:rsid w:val="00A118A0"/>
    <w:rsid w:val="00A131BC"/>
    <w:rsid w:val="00A136ED"/>
    <w:rsid w:val="00A14849"/>
    <w:rsid w:val="00A14F3C"/>
    <w:rsid w:val="00A20C68"/>
    <w:rsid w:val="00A23E37"/>
    <w:rsid w:val="00A24560"/>
    <w:rsid w:val="00A24B42"/>
    <w:rsid w:val="00A24F5B"/>
    <w:rsid w:val="00A25EC5"/>
    <w:rsid w:val="00A26596"/>
    <w:rsid w:val="00A26D28"/>
    <w:rsid w:val="00A2734F"/>
    <w:rsid w:val="00A27EFE"/>
    <w:rsid w:val="00A305CD"/>
    <w:rsid w:val="00A308D1"/>
    <w:rsid w:val="00A316F7"/>
    <w:rsid w:val="00A32529"/>
    <w:rsid w:val="00A32559"/>
    <w:rsid w:val="00A338FC"/>
    <w:rsid w:val="00A33A2C"/>
    <w:rsid w:val="00A34538"/>
    <w:rsid w:val="00A35156"/>
    <w:rsid w:val="00A37529"/>
    <w:rsid w:val="00A41BFA"/>
    <w:rsid w:val="00A4212A"/>
    <w:rsid w:val="00A42A3B"/>
    <w:rsid w:val="00A43490"/>
    <w:rsid w:val="00A43FD5"/>
    <w:rsid w:val="00A44DA5"/>
    <w:rsid w:val="00A46CED"/>
    <w:rsid w:val="00A470F2"/>
    <w:rsid w:val="00A47803"/>
    <w:rsid w:val="00A47CCC"/>
    <w:rsid w:val="00A47DA6"/>
    <w:rsid w:val="00A47F59"/>
    <w:rsid w:val="00A507B2"/>
    <w:rsid w:val="00A50AD2"/>
    <w:rsid w:val="00A5235A"/>
    <w:rsid w:val="00A53B56"/>
    <w:rsid w:val="00A53B73"/>
    <w:rsid w:val="00A53E7C"/>
    <w:rsid w:val="00A546CA"/>
    <w:rsid w:val="00A54A2B"/>
    <w:rsid w:val="00A54AB9"/>
    <w:rsid w:val="00A5584C"/>
    <w:rsid w:val="00A560D5"/>
    <w:rsid w:val="00A56509"/>
    <w:rsid w:val="00A56A79"/>
    <w:rsid w:val="00A572E1"/>
    <w:rsid w:val="00A578E2"/>
    <w:rsid w:val="00A60074"/>
    <w:rsid w:val="00A61FEE"/>
    <w:rsid w:val="00A6404B"/>
    <w:rsid w:val="00A641CA"/>
    <w:rsid w:val="00A656EF"/>
    <w:rsid w:val="00A65AA6"/>
    <w:rsid w:val="00A679E3"/>
    <w:rsid w:val="00A70311"/>
    <w:rsid w:val="00A70419"/>
    <w:rsid w:val="00A72A3B"/>
    <w:rsid w:val="00A7461D"/>
    <w:rsid w:val="00A7716F"/>
    <w:rsid w:val="00A8009A"/>
    <w:rsid w:val="00A812DF"/>
    <w:rsid w:val="00A814D6"/>
    <w:rsid w:val="00A8268C"/>
    <w:rsid w:val="00A8275B"/>
    <w:rsid w:val="00A82879"/>
    <w:rsid w:val="00A82E32"/>
    <w:rsid w:val="00A84361"/>
    <w:rsid w:val="00A84904"/>
    <w:rsid w:val="00A852F0"/>
    <w:rsid w:val="00A87177"/>
    <w:rsid w:val="00A923B7"/>
    <w:rsid w:val="00A95B45"/>
    <w:rsid w:val="00A95D9F"/>
    <w:rsid w:val="00A97058"/>
    <w:rsid w:val="00A97342"/>
    <w:rsid w:val="00AA03C4"/>
    <w:rsid w:val="00AA0CE8"/>
    <w:rsid w:val="00AA11C7"/>
    <w:rsid w:val="00AA18DB"/>
    <w:rsid w:val="00AA1985"/>
    <w:rsid w:val="00AA3DEF"/>
    <w:rsid w:val="00AA442B"/>
    <w:rsid w:val="00AA671A"/>
    <w:rsid w:val="00AA6CC1"/>
    <w:rsid w:val="00AB00BD"/>
    <w:rsid w:val="00AB0D4D"/>
    <w:rsid w:val="00AB14CE"/>
    <w:rsid w:val="00AB1580"/>
    <w:rsid w:val="00AB1690"/>
    <w:rsid w:val="00AB196B"/>
    <w:rsid w:val="00AB1AC8"/>
    <w:rsid w:val="00AB1BEE"/>
    <w:rsid w:val="00AB1CC8"/>
    <w:rsid w:val="00AB214B"/>
    <w:rsid w:val="00AB30DF"/>
    <w:rsid w:val="00AB3E40"/>
    <w:rsid w:val="00AB410B"/>
    <w:rsid w:val="00AB47E2"/>
    <w:rsid w:val="00AB4996"/>
    <w:rsid w:val="00AB4ACB"/>
    <w:rsid w:val="00AB4B1B"/>
    <w:rsid w:val="00AB4DF6"/>
    <w:rsid w:val="00AB51A2"/>
    <w:rsid w:val="00AB769D"/>
    <w:rsid w:val="00AB7F25"/>
    <w:rsid w:val="00AC0EEB"/>
    <w:rsid w:val="00AC1272"/>
    <w:rsid w:val="00AC1646"/>
    <w:rsid w:val="00AC1887"/>
    <w:rsid w:val="00AC27EA"/>
    <w:rsid w:val="00AC3414"/>
    <w:rsid w:val="00AC3ACC"/>
    <w:rsid w:val="00AC3B09"/>
    <w:rsid w:val="00AC7062"/>
    <w:rsid w:val="00AC754D"/>
    <w:rsid w:val="00AD0B1D"/>
    <w:rsid w:val="00AD1A3E"/>
    <w:rsid w:val="00AD22FC"/>
    <w:rsid w:val="00AD2E44"/>
    <w:rsid w:val="00AD2F7B"/>
    <w:rsid w:val="00AD47FB"/>
    <w:rsid w:val="00AD48B1"/>
    <w:rsid w:val="00AD493D"/>
    <w:rsid w:val="00AD5E7A"/>
    <w:rsid w:val="00AD6135"/>
    <w:rsid w:val="00AD73E8"/>
    <w:rsid w:val="00AD7A11"/>
    <w:rsid w:val="00AD7C52"/>
    <w:rsid w:val="00AE0AC7"/>
    <w:rsid w:val="00AE1289"/>
    <w:rsid w:val="00AE19FC"/>
    <w:rsid w:val="00AE3E75"/>
    <w:rsid w:val="00AE4072"/>
    <w:rsid w:val="00AE4119"/>
    <w:rsid w:val="00AE4DE5"/>
    <w:rsid w:val="00AE4E69"/>
    <w:rsid w:val="00AE5307"/>
    <w:rsid w:val="00AE5B43"/>
    <w:rsid w:val="00AE65B9"/>
    <w:rsid w:val="00AE6719"/>
    <w:rsid w:val="00AE6D68"/>
    <w:rsid w:val="00AF1383"/>
    <w:rsid w:val="00AF152E"/>
    <w:rsid w:val="00AF1710"/>
    <w:rsid w:val="00AF1ED8"/>
    <w:rsid w:val="00AF2527"/>
    <w:rsid w:val="00AF28FF"/>
    <w:rsid w:val="00AF4976"/>
    <w:rsid w:val="00AF51A0"/>
    <w:rsid w:val="00AF5CE1"/>
    <w:rsid w:val="00AF6D47"/>
    <w:rsid w:val="00AF713D"/>
    <w:rsid w:val="00B00F9B"/>
    <w:rsid w:val="00B01850"/>
    <w:rsid w:val="00B02601"/>
    <w:rsid w:val="00B04843"/>
    <w:rsid w:val="00B055C7"/>
    <w:rsid w:val="00B0560B"/>
    <w:rsid w:val="00B06243"/>
    <w:rsid w:val="00B06C03"/>
    <w:rsid w:val="00B07B14"/>
    <w:rsid w:val="00B07BE4"/>
    <w:rsid w:val="00B101EE"/>
    <w:rsid w:val="00B1060D"/>
    <w:rsid w:val="00B118E9"/>
    <w:rsid w:val="00B12054"/>
    <w:rsid w:val="00B120C2"/>
    <w:rsid w:val="00B1288F"/>
    <w:rsid w:val="00B12C69"/>
    <w:rsid w:val="00B16C38"/>
    <w:rsid w:val="00B16D08"/>
    <w:rsid w:val="00B16E58"/>
    <w:rsid w:val="00B17763"/>
    <w:rsid w:val="00B21D6C"/>
    <w:rsid w:val="00B22E22"/>
    <w:rsid w:val="00B23B33"/>
    <w:rsid w:val="00B243F7"/>
    <w:rsid w:val="00B258A0"/>
    <w:rsid w:val="00B25E2E"/>
    <w:rsid w:val="00B2626B"/>
    <w:rsid w:val="00B26ADD"/>
    <w:rsid w:val="00B305CF"/>
    <w:rsid w:val="00B32C0B"/>
    <w:rsid w:val="00B32DE6"/>
    <w:rsid w:val="00B33C4D"/>
    <w:rsid w:val="00B33D08"/>
    <w:rsid w:val="00B340FE"/>
    <w:rsid w:val="00B346CC"/>
    <w:rsid w:val="00B3496C"/>
    <w:rsid w:val="00B351B5"/>
    <w:rsid w:val="00B360BE"/>
    <w:rsid w:val="00B36E67"/>
    <w:rsid w:val="00B371E9"/>
    <w:rsid w:val="00B403DE"/>
    <w:rsid w:val="00B42A55"/>
    <w:rsid w:val="00B439B4"/>
    <w:rsid w:val="00B43AA5"/>
    <w:rsid w:val="00B43C9B"/>
    <w:rsid w:val="00B46BC7"/>
    <w:rsid w:val="00B50315"/>
    <w:rsid w:val="00B512C3"/>
    <w:rsid w:val="00B513FE"/>
    <w:rsid w:val="00B51451"/>
    <w:rsid w:val="00B5146F"/>
    <w:rsid w:val="00B51689"/>
    <w:rsid w:val="00B5178D"/>
    <w:rsid w:val="00B525CB"/>
    <w:rsid w:val="00B531D7"/>
    <w:rsid w:val="00B53623"/>
    <w:rsid w:val="00B53F68"/>
    <w:rsid w:val="00B5556E"/>
    <w:rsid w:val="00B55682"/>
    <w:rsid w:val="00B56837"/>
    <w:rsid w:val="00B56CB7"/>
    <w:rsid w:val="00B57709"/>
    <w:rsid w:val="00B60926"/>
    <w:rsid w:val="00B610D5"/>
    <w:rsid w:val="00B613B5"/>
    <w:rsid w:val="00B613B9"/>
    <w:rsid w:val="00B6143C"/>
    <w:rsid w:val="00B62CA6"/>
    <w:rsid w:val="00B630A6"/>
    <w:rsid w:val="00B6341F"/>
    <w:rsid w:val="00B6352C"/>
    <w:rsid w:val="00B637F3"/>
    <w:rsid w:val="00B63CB2"/>
    <w:rsid w:val="00B64278"/>
    <w:rsid w:val="00B6444C"/>
    <w:rsid w:val="00B6604E"/>
    <w:rsid w:val="00B66866"/>
    <w:rsid w:val="00B66D78"/>
    <w:rsid w:val="00B70169"/>
    <w:rsid w:val="00B70283"/>
    <w:rsid w:val="00B710C4"/>
    <w:rsid w:val="00B71561"/>
    <w:rsid w:val="00B7345C"/>
    <w:rsid w:val="00B737A3"/>
    <w:rsid w:val="00B737D2"/>
    <w:rsid w:val="00B73B11"/>
    <w:rsid w:val="00B73D15"/>
    <w:rsid w:val="00B754CA"/>
    <w:rsid w:val="00B75BAA"/>
    <w:rsid w:val="00B75C7C"/>
    <w:rsid w:val="00B77ADE"/>
    <w:rsid w:val="00B77C1C"/>
    <w:rsid w:val="00B802EC"/>
    <w:rsid w:val="00B80316"/>
    <w:rsid w:val="00B80794"/>
    <w:rsid w:val="00B80D60"/>
    <w:rsid w:val="00B81ACB"/>
    <w:rsid w:val="00B81F14"/>
    <w:rsid w:val="00B822F5"/>
    <w:rsid w:val="00B82B87"/>
    <w:rsid w:val="00B8385C"/>
    <w:rsid w:val="00B83F84"/>
    <w:rsid w:val="00B84B3E"/>
    <w:rsid w:val="00B84FB6"/>
    <w:rsid w:val="00B85623"/>
    <w:rsid w:val="00B90205"/>
    <w:rsid w:val="00B90B34"/>
    <w:rsid w:val="00B92CB6"/>
    <w:rsid w:val="00B93287"/>
    <w:rsid w:val="00B94860"/>
    <w:rsid w:val="00B94B1F"/>
    <w:rsid w:val="00B9556D"/>
    <w:rsid w:val="00BA101A"/>
    <w:rsid w:val="00BA1433"/>
    <w:rsid w:val="00BA3233"/>
    <w:rsid w:val="00BA3F4A"/>
    <w:rsid w:val="00BA4904"/>
    <w:rsid w:val="00BA4B5B"/>
    <w:rsid w:val="00BA549C"/>
    <w:rsid w:val="00BA54F0"/>
    <w:rsid w:val="00BA5B4B"/>
    <w:rsid w:val="00BA6306"/>
    <w:rsid w:val="00BA7AA3"/>
    <w:rsid w:val="00BB03C0"/>
    <w:rsid w:val="00BB37BD"/>
    <w:rsid w:val="00BB5B30"/>
    <w:rsid w:val="00BB5C7A"/>
    <w:rsid w:val="00BC0405"/>
    <w:rsid w:val="00BC0980"/>
    <w:rsid w:val="00BC1901"/>
    <w:rsid w:val="00BC20AF"/>
    <w:rsid w:val="00BC2F8F"/>
    <w:rsid w:val="00BC3610"/>
    <w:rsid w:val="00BC3A7B"/>
    <w:rsid w:val="00BC46FA"/>
    <w:rsid w:val="00BC4CFC"/>
    <w:rsid w:val="00BC4D84"/>
    <w:rsid w:val="00BC5E6E"/>
    <w:rsid w:val="00BC638A"/>
    <w:rsid w:val="00BC7A70"/>
    <w:rsid w:val="00BC7FC5"/>
    <w:rsid w:val="00BD0942"/>
    <w:rsid w:val="00BD09C9"/>
    <w:rsid w:val="00BD16E4"/>
    <w:rsid w:val="00BD3ADF"/>
    <w:rsid w:val="00BD404B"/>
    <w:rsid w:val="00BD4104"/>
    <w:rsid w:val="00BD418A"/>
    <w:rsid w:val="00BD484B"/>
    <w:rsid w:val="00BD5245"/>
    <w:rsid w:val="00BD53D8"/>
    <w:rsid w:val="00BD5979"/>
    <w:rsid w:val="00BD5F91"/>
    <w:rsid w:val="00BD78FE"/>
    <w:rsid w:val="00BE0662"/>
    <w:rsid w:val="00BE1B2E"/>
    <w:rsid w:val="00BE1D85"/>
    <w:rsid w:val="00BE1EB7"/>
    <w:rsid w:val="00BE3458"/>
    <w:rsid w:val="00BE43C0"/>
    <w:rsid w:val="00BE4C31"/>
    <w:rsid w:val="00BE5743"/>
    <w:rsid w:val="00BE60C5"/>
    <w:rsid w:val="00BE68A7"/>
    <w:rsid w:val="00BE7972"/>
    <w:rsid w:val="00BF0945"/>
    <w:rsid w:val="00BF0F80"/>
    <w:rsid w:val="00BF239F"/>
    <w:rsid w:val="00BF26EF"/>
    <w:rsid w:val="00BF2E6F"/>
    <w:rsid w:val="00BF3E3E"/>
    <w:rsid w:val="00BF3E9C"/>
    <w:rsid w:val="00BF46EB"/>
    <w:rsid w:val="00BF4F89"/>
    <w:rsid w:val="00BF52BB"/>
    <w:rsid w:val="00BF59DD"/>
    <w:rsid w:val="00BF6F68"/>
    <w:rsid w:val="00BF790D"/>
    <w:rsid w:val="00BF7FBC"/>
    <w:rsid w:val="00C01713"/>
    <w:rsid w:val="00C01888"/>
    <w:rsid w:val="00C0300E"/>
    <w:rsid w:val="00C03968"/>
    <w:rsid w:val="00C03D7A"/>
    <w:rsid w:val="00C06AA8"/>
    <w:rsid w:val="00C06C24"/>
    <w:rsid w:val="00C06D8D"/>
    <w:rsid w:val="00C06F4E"/>
    <w:rsid w:val="00C07152"/>
    <w:rsid w:val="00C074ED"/>
    <w:rsid w:val="00C07969"/>
    <w:rsid w:val="00C07EFC"/>
    <w:rsid w:val="00C1063D"/>
    <w:rsid w:val="00C108FF"/>
    <w:rsid w:val="00C128D8"/>
    <w:rsid w:val="00C13117"/>
    <w:rsid w:val="00C140C5"/>
    <w:rsid w:val="00C14392"/>
    <w:rsid w:val="00C16340"/>
    <w:rsid w:val="00C1695B"/>
    <w:rsid w:val="00C16AC5"/>
    <w:rsid w:val="00C1755A"/>
    <w:rsid w:val="00C20311"/>
    <w:rsid w:val="00C20B15"/>
    <w:rsid w:val="00C210EA"/>
    <w:rsid w:val="00C215F9"/>
    <w:rsid w:val="00C21979"/>
    <w:rsid w:val="00C22C1C"/>
    <w:rsid w:val="00C2341D"/>
    <w:rsid w:val="00C236F1"/>
    <w:rsid w:val="00C248E6"/>
    <w:rsid w:val="00C24CB7"/>
    <w:rsid w:val="00C25356"/>
    <w:rsid w:val="00C260AE"/>
    <w:rsid w:val="00C26FF5"/>
    <w:rsid w:val="00C2785E"/>
    <w:rsid w:val="00C301D9"/>
    <w:rsid w:val="00C3050E"/>
    <w:rsid w:val="00C32E42"/>
    <w:rsid w:val="00C332B3"/>
    <w:rsid w:val="00C3412E"/>
    <w:rsid w:val="00C345AA"/>
    <w:rsid w:val="00C35C94"/>
    <w:rsid w:val="00C35CCA"/>
    <w:rsid w:val="00C37100"/>
    <w:rsid w:val="00C3789F"/>
    <w:rsid w:val="00C37C14"/>
    <w:rsid w:val="00C37E77"/>
    <w:rsid w:val="00C40C20"/>
    <w:rsid w:val="00C41A44"/>
    <w:rsid w:val="00C420C0"/>
    <w:rsid w:val="00C421D2"/>
    <w:rsid w:val="00C4266A"/>
    <w:rsid w:val="00C4281E"/>
    <w:rsid w:val="00C43FAA"/>
    <w:rsid w:val="00C44120"/>
    <w:rsid w:val="00C445C0"/>
    <w:rsid w:val="00C4553B"/>
    <w:rsid w:val="00C46C7E"/>
    <w:rsid w:val="00C46DAD"/>
    <w:rsid w:val="00C474F7"/>
    <w:rsid w:val="00C5029B"/>
    <w:rsid w:val="00C50FFB"/>
    <w:rsid w:val="00C51383"/>
    <w:rsid w:val="00C52AA0"/>
    <w:rsid w:val="00C52E69"/>
    <w:rsid w:val="00C539FA"/>
    <w:rsid w:val="00C53C40"/>
    <w:rsid w:val="00C54A9A"/>
    <w:rsid w:val="00C54E31"/>
    <w:rsid w:val="00C5588A"/>
    <w:rsid w:val="00C5659C"/>
    <w:rsid w:val="00C579C6"/>
    <w:rsid w:val="00C606C0"/>
    <w:rsid w:val="00C60A58"/>
    <w:rsid w:val="00C62A01"/>
    <w:rsid w:val="00C63537"/>
    <w:rsid w:val="00C63B97"/>
    <w:rsid w:val="00C63E4C"/>
    <w:rsid w:val="00C64C51"/>
    <w:rsid w:val="00C65348"/>
    <w:rsid w:val="00C67675"/>
    <w:rsid w:val="00C713D7"/>
    <w:rsid w:val="00C71798"/>
    <w:rsid w:val="00C74D7F"/>
    <w:rsid w:val="00C75515"/>
    <w:rsid w:val="00C7604C"/>
    <w:rsid w:val="00C76A33"/>
    <w:rsid w:val="00C8023B"/>
    <w:rsid w:val="00C80B95"/>
    <w:rsid w:val="00C80DCC"/>
    <w:rsid w:val="00C8107E"/>
    <w:rsid w:val="00C818C5"/>
    <w:rsid w:val="00C81AC2"/>
    <w:rsid w:val="00C8219B"/>
    <w:rsid w:val="00C82754"/>
    <w:rsid w:val="00C83D45"/>
    <w:rsid w:val="00C845E6"/>
    <w:rsid w:val="00C847FA"/>
    <w:rsid w:val="00C84D6B"/>
    <w:rsid w:val="00C8598C"/>
    <w:rsid w:val="00C859B3"/>
    <w:rsid w:val="00C878AB"/>
    <w:rsid w:val="00C878E8"/>
    <w:rsid w:val="00C87A79"/>
    <w:rsid w:val="00C87E04"/>
    <w:rsid w:val="00C87FB1"/>
    <w:rsid w:val="00C9149B"/>
    <w:rsid w:val="00C92306"/>
    <w:rsid w:val="00C95026"/>
    <w:rsid w:val="00C969DD"/>
    <w:rsid w:val="00C974E8"/>
    <w:rsid w:val="00C97546"/>
    <w:rsid w:val="00CA0AB5"/>
    <w:rsid w:val="00CA0C3E"/>
    <w:rsid w:val="00CA131B"/>
    <w:rsid w:val="00CA1540"/>
    <w:rsid w:val="00CA287E"/>
    <w:rsid w:val="00CA3D0D"/>
    <w:rsid w:val="00CA3F40"/>
    <w:rsid w:val="00CA44C0"/>
    <w:rsid w:val="00CA44E6"/>
    <w:rsid w:val="00CA520B"/>
    <w:rsid w:val="00CA5926"/>
    <w:rsid w:val="00CA5FFD"/>
    <w:rsid w:val="00CA6B80"/>
    <w:rsid w:val="00CA73A8"/>
    <w:rsid w:val="00CB084F"/>
    <w:rsid w:val="00CB127A"/>
    <w:rsid w:val="00CB1D4D"/>
    <w:rsid w:val="00CB21C6"/>
    <w:rsid w:val="00CB22AF"/>
    <w:rsid w:val="00CB299F"/>
    <w:rsid w:val="00CB3DAB"/>
    <w:rsid w:val="00CB3E70"/>
    <w:rsid w:val="00CB4B63"/>
    <w:rsid w:val="00CB4C30"/>
    <w:rsid w:val="00CB532E"/>
    <w:rsid w:val="00CB5663"/>
    <w:rsid w:val="00CB5E08"/>
    <w:rsid w:val="00CB6ECD"/>
    <w:rsid w:val="00CB7FCB"/>
    <w:rsid w:val="00CC00CD"/>
    <w:rsid w:val="00CC14C5"/>
    <w:rsid w:val="00CC1A35"/>
    <w:rsid w:val="00CC2C34"/>
    <w:rsid w:val="00CC2D5F"/>
    <w:rsid w:val="00CC5BE0"/>
    <w:rsid w:val="00CC5E3E"/>
    <w:rsid w:val="00CC670C"/>
    <w:rsid w:val="00CC786F"/>
    <w:rsid w:val="00CC7E65"/>
    <w:rsid w:val="00CD080F"/>
    <w:rsid w:val="00CD1434"/>
    <w:rsid w:val="00CD1A2C"/>
    <w:rsid w:val="00CD2B02"/>
    <w:rsid w:val="00CD2CDD"/>
    <w:rsid w:val="00CD4CEE"/>
    <w:rsid w:val="00CD5978"/>
    <w:rsid w:val="00CD59EC"/>
    <w:rsid w:val="00CD5AB4"/>
    <w:rsid w:val="00CD5B05"/>
    <w:rsid w:val="00CD5F34"/>
    <w:rsid w:val="00CD6EED"/>
    <w:rsid w:val="00CE026A"/>
    <w:rsid w:val="00CE041B"/>
    <w:rsid w:val="00CE170E"/>
    <w:rsid w:val="00CE2F86"/>
    <w:rsid w:val="00CE33FA"/>
    <w:rsid w:val="00CE3652"/>
    <w:rsid w:val="00CE50B8"/>
    <w:rsid w:val="00CE72E3"/>
    <w:rsid w:val="00CE79BA"/>
    <w:rsid w:val="00CF281A"/>
    <w:rsid w:val="00CF2CA1"/>
    <w:rsid w:val="00CF2EF6"/>
    <w:rsid w:val="00CF397F"/>
    <w:rsid w:val="00CF3F9C"/>
    <w:rsid w:val="00CF404E"/>
    <w:rsid w:val="00CF4690"/>
    <w:rsid w:val="00CF4DAF"/>
    <w:rsid w:val="00CF532E"/>
    <w:rsid w:val="00CF5675"/>
    <w:rsid w:val="00CF6B14"/>
    <w:rsid w:val="00CF7DE3"/>
    <w:rsid w:val="00D004A0"/>
    <w:rsid w:val="00D00917"/>
    <w:rsid w:val="00D03273"/>
    <w:rsid w:val="00D04268"/>
    <w:rsid w:val="00D047D3"/>
    <w:rsid w:val="00D0488F"/>
    <w:rsid w:val="00D04F45"/>
    <w:rsid w:val="00D054BD"/>
    <w:rsid w:val="00D05E28"/>
    <w:rsid w:val="00D063D2"/>
    <w:rsid w:val="00D06D43"/>
    <w:rsid w:val="00D07E72"/>
    <w:rsid w:val="00D07F68"/>
    <w:rsid w:val="00D1185B"/>
    <w:rsid w:val="00D11E53"/>
    <w:rsid w:val="00D12348"/>
    <w:rsid w:val="00D1497D"/>
    <w:rsid w:val="00D14B84"/>
    <w:rsid w:val="00D150E7"/>
    <w:rsid w:val="00D15D40"/>
    <w:rsid w:val="00D16345"/>
    <w:rsid w:val="00D16831"/>
    <w:rsid w:val="00D16AD1"/>
    <w:rsid w:val="00D16E21"/>
    <w:rsid w:val="00D16E36"/>
    <w:rsid w:val="00D16E39"/>
    <w:rsid w:val="00D16FE4"/>
    <w:rsid w:val="00D20355"/>
    <w:rsid w:val="00D20C61"/>
    <w:rsid w:val="00D2159B"/>
    <w:rsid w:val="00D21A4C"/>
    <w:rsid w:val="00D22851"/>
    <w:rsid w:val="00D230B3"/>
    <w:rsid w:val="00D2364D"/>
    <w:rsid w:val="00D243D1"/>
    <w:rsid w:val="00D24CC2"/>
    <w:rsid w:val="00D24E22"/>
    <w:rsid w:val="00D250D0"/>
    <w:rsid w:val="00D31F4A"/>
    <w:rsid w:val="00D32C9D"/>
    <w:rsid w:val="00D3549C"/>
    <w:rsid w:val="00D356F9"/>
    <w:rsid w:val="00D35D5C"/>
    <w:rsid w:val="00D361D0"/>
    <w:rsid w:val="00D376C1"/>
    <w:rsid w:val="00D406A8"/>
    <w:rsid w:val="00D40DDB"/>
    <w:rsid w:val="00D429EC"/>
    <w:rsid w:val="00D44846"/>
    <w:rsid w:val="00D45239"/>
    <w:rsid w:val="00D454B6"/>
    <w:rsid w:val="00D50796"/>
    <w:rsid w:val="00D5088B"/>
    <w:rsid w:val="00D51A1B"/>
    <w:rsid w:val="00D521EA"/>
    <w:rsid w:val="00D52852"/>
    <w:rsid w:val="00D53EA2"/>
    <w:rsid w:val="00D542C3"/>
    <w:rsid w:val="00D55E8F"/>
    <w:rsid w:val="00D56AB8"/>
    <w:rsid w:val="00D57255"/>
    <w:rsid w:val="00D577D1"/>
    <w:rsid w:val="00D57C4E"/>
    <w:rsid w:val="00D60192"/>
    <w:rsid w:val="00D60372"/>
    <w:rsid w:val="00D60598"/>
    <w:rsid w:val="00D6148F"/>
    <w:rsid w:val="00D61545"/>
    <w:rsid w:val="00D626A3"/>
    <w:rsid w:val="00D63081"/>
    <w:rsid w:val="00D63787"/>
    <w:rsid w:val="00D6420F"/>
    <w:rsid w:val="00D64459"/>
    <w:rsid w:val="00D644AA"/>
    <w:rsid w:val="00D64797"/>
    <w:rsid w:val="00D64CCE"/>
    <w:rsid w:val="00D65554"/>
    <w:rsid w:val="00D66450"/>
    <w:rsid w:val="00D66FC5"/>
    <w:rsid w:val="00D70679"/>
    <w:rsid w:val="00D70901"/>
    <w:rsid w:val="00D710DF"/>
    <w:rsid w:val="00D729F6"/>
    <w:rsid w:val="00D72E9D"/>
    <w:rsid w:val="00D73D07"/>
    <w:rsid w:val="00D73D62"/>
    <w:rsid w:val="00D74389"/>
    <w:rsid w:val="00D74E75"/>
    <w:rsid w:val="00D7538F"/>
    <w:rsid w:val="00D7663C"/>
    <w:rsid w:val="00D76689"/>
    <w:rsid w:val="00D7722E"/>
    <w:rsid w:val="00D804D5"/>
    <w:rsid w:val="00D808AF"/>
    <w:rsid w:val="00D80E2D"/>
    <w:rsid w:val="00D80EB6"/>
    <w:rsid w:val="00D81B3A"/>
    <w:rsid w:val="00D82CE5"/>
    <w:rsid w:val="00D83250"/>
    <w:rsid w:val="00D83D88"/>
    <w:rsid w:val="00D8437F"/>
    <w:rsid w:val="00D84D9D"/>
    <w:rsid w:val="00D854F8"/>
    <w:rsid w:val="00D856F4"/>
    <w:rsid w:val="00D90A4E"/>
    <w:rsid w:val="00D90C79"/>
    <w:rsid w:val="00D9244A"/>
    <w:rsid w:val="00D9294F"/>
    <w:rsid w:val="00D93094"/>
    <w:rsid w:val="00D93465"/>
    <w:rsid w:val="00D9457C"/>
    <w:rsid w:val="00D9727E"/>
    <w:rsid w:val="00DA01E8"/>
    <w:rsid w:val="00DA0AC7"/>
    <w:rsid w:val="00DA0FD1"/>
    <w:rsid w:val="00DA17CF"/>
    <w:rsid w:val="00DA1955"/>
    <w:rsid w:val="00DA1A20"/>
    <w:rsid w:val="00DA1E8F"/>
    <w:rsid w:val="00DA2FF5"/>
    <w:rsid w:val="00DA3452"/>
    <w:rsid w:val="00DA499F"/>
    <w:rsid w:val="00DA5AB1"/>
    <w:rsid w:val="00DA6996"/>
    <w:rsid w:val="00DA6EE1"/>
    <w:rsid w:val="00DA72B4"/>
    <w:rsid w:val="00DB008F"/>
    <w:rsid w:val="00DB12BD"/>
    <w:rsid w:val="00DB1C2F"/>
    <w:rsid w:val="00DB21F2"/>
    <w:rsid w:val="00DB2EB1"/>
    <w:rsid w:val="00DB3448"/>
    <w:rsid w:val="00DB3C24"/>
    <w:rsid w:val="00DB44D8"/>
    <w:rsid w:val="00DB479C"/>
    <w:rsid w:val="00DB49AA"/>
    <w:rsid w:val="00DB5ED4"/>
    <w:rsid w:val="00DB61B2"/>
    <w:rsid w:val="00DB72A2"/>
    <w:rsid w:val="00DB768D"/>
    <w:rsid w:val="00DB796B"/>
    <w:rsid w:val="00DC022B"/>
    <w:rsid w:val="00DC272D"/>
    <w:rsid w:val="00DC32BD"/>
    <w:rsid w:val="00DC33DC"/>
    <w:rsid w:val="00DC3D67"/>
    <w:rsid w:val="00DC40BD"/>
    <w:rsid w:val="00DC443C"/>
    <w:rsid w:val="00DC4962"/>
    <w:rsid w:val="00DC578F"/>
    <w:rsid w:val="00DC62E5"/>
    <w:rsid w:val="00DC6ACC"/>
    <w:rsid w:val="00DC6C76"/>
    <w:rsid w:val="00DC7561"/>
    <w:rsid w:val="00DD160B"/>
    <w:rsid w:val="00DD1C18"/>
    <w:rsid w:val="00DD21A2"/>
    <w:rsid w:val="00DD2D30"/>
    <w:rsid w:val="00DD31A9"/>
    <w:rsid w:val="00DD3432"/>
    <w:rsid w:val="00DD5E33"/>
    <w:rsid w:val="00DD735D"/>
    <w:rsid w:val="00DD7D8D"/>
    <w:rsid w:val="00DE0618"/>
    <w:rsid w:val="00DE0A17"/>
    <w:rsid w:val="00DE1FEF"/>
    <w:rsid w:val="00DE3119"/>
    <w:rsid w:val="00DE4CF0"/>
    <w:rsid w:val="00DE4D23"/>
    <w:rsid w:val="00DE5084"/>
    <w:rsid w:val="00DE5723"/>
    <w:rsid w:val="00DE683C"/>
    <w:rsid w:val="00DE6B11"/>
    <w:rsid w:val="00DE6E79"/>
    <w:rsid w:val="00DE6E88"/>
    <w:rsid w:val="00DE6FE1"/>
    <w:rsid w:val="00DE70DC"/>
    <w:rsid w:val="00DF0AB4"/>
    <w:rsid w:val="00DF0AE3"/>
    <w:rsid w:val="00DF16DA"/>
    <w:rsid w:val="00DF1DAA"/>
    <w:rsid w:val="00DF236B"/>
    <w:rsid w:val="00DF29D3"/>
    <w:rsid w:val="00DF47B1"/>
    <w:rsid w:val="00DF5090"/>
    <w:rsid w:val="00DF6ACD"/>
    <w:rsid w:val="00DF790B"/>
    <w:rsid w:val="00DF79C3"/>
    <w:rsid w:val="00E000C8"/>
    <w:rsid w:val="00E008F1"/>
    <w:rsid w:val="00E01453"/>
    <w:rsid w:val="00E017C4"/>
    <w:rsid w:val="00E01E87"/>
    <w:rsid w:val="00E048EE"/>
    <w:rsid w:val="00E04C9B"/>
    <w:rsid w:val="00E056B2"/>
    <w:rsid w:val="00E06F42"/>
    <w:rsid w:val="00E07843"/>
    <w:rsid w:val="00E10A6D"/>
    <w:rsid w:val="00E116A9"/>
    <w:rsid w:val="00E118CF"/>
    <w:rsid w:val="00E138A9"/>
    <w:rsid w:val="00E13AB8"/>
    <w:rsid w:val="00E13FD3"/>
    <w:rsid w:val="00E14299"/>
    <w:rsid w:val="00E144AB"/>
    <w:rsid w:val="00E17C49"/>
    <w:rsid w:val="00E17EE1"/>
    <w:rsid w:val="00E206ED"/>
    <w:rsid w:val="00E21256"/>
    <w:rsid w:val="00E21494"/>
    <w:rsid w:val="00E217A5"/>
    <w:rsid w:val="00E21B32"/>
    <w:rsid w:val="00E238B4"/>
    <w:rsid w:val="00E240E7"/>
    <w:rsid w:val="00E251D4"/>
    <w:rsid w:val="00E2553E"/>
    <w:rsid w:val="00E3090F"/>
    <w:rsid w:val="00E335CF"/>
    <w:rsid w:val="00E33B62"/>
    <w:rsid w:val="00E3568A"/>
    <w:rsid w:val="00E365BD"/>
    <w:rsid w:val="00E36BAD"/>
    <w:rsid w:val="00E36E37"/>
    <w:rsid w:val="00E36FBA"/>
    <w:rsid w:val="00E37D12"/>
    <w:rsid w:val="00E37E82"/>
    <w:rsid w:val="00E40158"/>
    <w:rsid w:val="00E40E31"/>
    <w:rsid w:val="00E410A8"/>
    <w:rsid w:val="00E41A26"/>
    <w:rsid w:val="00E42B4D"/>
    <w:rsid w:val="00E42CEA"/>
    <w:rsid w:val="00E42F9D"/>
    <w:rsid w:val="00E43A2C"/>
    <w:rsid w:val="00E43A34"/>
    <w:rsid w:val="00E449E0"/>
    <w:rsid w:val="00E44D4E"/>
    <w:rsid w:val="00E45104"/>
    <w:rsid w:val="00E453B7"/>
    <w:rsid w:val="00E46467"/>
    <w:rsid w:val="00E46612"/>
    <w:rsid w:val="00E467FE"/>
    <w:rsid w:val="00E50019"/>
    <w:rsid w:val="00E52B0E"/>
    <w:rsid w:val="00E52D01"/>
    <w:rsid w:val="00E54D48"/>
    <w:rsid w:val="00E5557F"/>
    <w:rsid w:val="00E5588F"/>
    <w:rsid w:val="00E56152"/>
    <w:rsid w:val="00E60196"/>
    <w:rsid w:val="00E604CB"/>
    <w:rsid w:val="00E60756"/>
    <w:rsid w:val="00E61E09"/>
    <w:rsid w:val="00E62ACD"/>
    <w:rsid w:val="00E6454F"/>
    <w:rsid w:val="00E6457F"/>
    <w:rsid w:val="00E64B60"/>
    <w:rsid w:val="00E66E98"/>
    <w:rsid w:val="00E67E83"/>
    <w:rsid w:val="00E7057D"/>
    <w:rsid w:val="00E70B71"/>
    <w:rsid w:val="00E7122E"/>
    <w:rsid w:val="00E737A7"/>
    <w:rsid w:val="00E7503A"/>
    <w:rsid w:val="00E75EFE"/>
    <w:rsid w:val="00E768B7"/>
    <w:rsid w:val="00E76F51"/>
    <w:rsid w:val="00E76F61"/>
    <w:rsid w:val="00E776ED"/>
    <w:rsid w:val="00E80C3F"/>
    <w:rsid w:val="00E81AFD"/>
    <w:rsid w:val="00E832F8"/>
    <w:rsid w:val="00E8330E"/>
    <w:rsid w:val="00E83789"/>
    <w:rsid w:val="00E854A0"/>
    <w:rsid w:val="00E86B5F"/>
    <w:rsid w:val="00E87315"/>
    <w:rsid w:val="00E90534"/>
    <w:rsid w:val="00E91477"/>
    <w:rsid w:val="00E915AC"/>
    <w:rsid w:val="00E9178F"/>
    <w:rsid w:val="00E917AE"/>
    <w:rsid w:val="00E91DA5"/>
    <w:rsid w:val="00E92488"/>
    <w:rsid w:val="00E94673"/>
    <w:rsid w:val="00E94DA3"/>
    <w:rsid w:val="00E9754A"/>
    <w:rsid w:val="00E9760B"/>
    <w:rsid w:val="00E97CC7"/>
    <w:rsid w:val="00E97E46"/>
    <w:rsid w:val="00EA04EF"/>
    <w:rsid w:val="00EA0A3D"/>
    <w:rsid w:val="00EA1131"/>
    <w:rsid w:val="00EA3483"/>
    <w:rsid w:val="00EA6BEE"/>
    <w:rsid w:val="00EA704D"/>
    <w:rsid w:val="00EA714C"/>
    <w:rsid w:val="00EA79EB"/>
    <w:rsid w:val="00EB0DF1"/>
    <w:rsid w:val="00EB1A11"/>
    <w:rsid w:val="00EB3AB3"/>
    <w:rsid w:val="00EB6DB4"/>
    <w:rsid w:val="00EB7094"/>
    <w:rsid w:val="00EB7836"/>
    <w:rsid w:val="00EC3B81"/>
    <w:rsid w:val="00EC3D60"/>
    <w:rsid w:val="00EC443D"/>
    <w:rsid w:val="00EC4988"/>
    <w:rsid w:val="00EC4A47"/>
    <w:rsid w:val="00EC5E1B"/>
    <w:rsid w:val="00EC5F41"/>
    <w:rsid w:val="00EC60CB"/>
    <w:rsid w:val="00EC7091"/>
    <w:rsid w:val="00EC7470"/>
    <w:rsid w:val="00EC7B4C"/>
    <w:rsid w:val="00ED0667"/>
    <w:rsid w:val="00ED0F19"/>
    <w:rsid w:val="00ED2EFF"/>
    <w:rsid w:val="00ED3700"/>
    <w:rsid w:val="00ED3AC7"/>
    <w:rsid w:val="00ED3BF4"/>
    <w:rsid w:val="00ED4234"/>
    <w:rsid w:val="00ED42A5"/>
    <w:rsid w:val="00ED7F90"/>
    <w:rsid w:val="00EE094E"/>
    <w:rsid w:val="00EE09C5"/>
    <w:rsid w:val="00EE1CCD"/>
    <w:rsid w:val="00EE4DB7"/>
    <w:rsid w:val="00EE5189"/>
    <w:rsid w:val="00EE6E21"/>
    <w:rsid w:val="00EE7272"/>
    <w:rsid w:val="00EE776B"/>
    <w:rsid w:val="00EE7B2B"/>
    <w:rsid w:val="00EF15DA"/>
    <w:rsid w:val="00EF16DD"/>
    <w:rsid w:val="00EF4B99"/>
    <w:rsid w:val="00EF51E8"/>
    <w:rsid w:val="00EF65A5"/>
    <w:rsid w:val="00EF66D5"/>
    <w:rsid w:val="00EF66D6"/>
    <w:rsid w:val="00F01322"/>
    <w:rsid w:val="00F02183"/>
    <w:rsid w:val="00F038E5"/>
    <w:rsid w:val="00F03B2B"/>
    <w:rsid w:val="00F04CC2"/>
    <w:rsid w:val="00F058FE"/>
    <w:rsid w:val="00F05D63"/>
    <w:rsid w:val="00F05F75"/>
    <w:rsid w:val="00F06B15"/>
    <w:rsid w:val="00F0755F"/>
    <w:rsid w:val="00F109B1"/>
    <w:rsid w:val="00F1157D"/>
    <w:rsid w:val="00F11EDA"/>
    <w:rsid w:val="00F1301C"/>
    <w:rsid w:val="00F13819"/>
    <w:rsid w:val="00F13DF7"/>
    <w:rsid w:val="00F1452B"/>
    <w:rsid w:val="00F155B7"/>
    <w:rsid w:val="00F158E9"/>
    <w:rsid w:val="00F160B9"/>
    <w:rsid w:val="00F16855"/>
    <w:rsid w:val="00F16C53"/>
    <w:rsid w:val="00F23A10"/>
    <w:rsid w:val="00F23FDE"/>
    <w:rsid w:val="00F24361"/>
    <w:rsid w:val="00F26EF6"/>
    <w:rsid w:val="00F277D0"/>
    <w:rsid w:val="00F27A52"/>
    <w:rsid w:val="00F3020D"/>
    <w:rsid w:val="00F30A5C"/>
    <w:rsid w:val="00F31706"/>
    <w:rsid w:val="00F31AA9"/>
    <w:rsid w:val="00F3240B"/>
    <w:rsid w:val="00F355D3"/>
    <w:rsid w:val="00F368C1"/>
    <w:rsid w:val="00F36B58"/>
    <w:rsid w:val="00F36E11"/>
    <w:rsid w:val="00F37460"/>
    <w:rsid w:val="00F379A3"/>
    <w:rsid w:val="00F37C6E"/>
    <w:rsid w:val="00F41D25"/>
    <w:rsid w:val="00F42150"/>
    <w:rsid w:val="00F421CA"/>
    <w:rsid w:val="00F42730"/>
    <w:rsid w:val="00F44369"/>
    <w:rsid w:val="00F449FE"/>
    <w:rsid w:val="00F44CA3"/>
    <w:rsid w:val="00F46903"/>
    <w:rsid w:val="00F46AAC"/>
    <w:rsid w:val="00F47B8F"/>
    <w:rsid w:val="00F47C60"/>
    <w:rsid w:val="00F50393"/>
    <w:rsid w:val="00F5072C"/>
    <w:rsid w:val="00F507F9"/>
    <w:rsid w:val="00F50F9E"/>
    <w:rsid w:val="00F5168B"/>
    <w:rsid w:val="00F517D0"/>
    <w:rsid w:val="00F539C1"/>
    <w:rsid w:val="00F555DB"/>
    <w:rsid w:val="00F55AA3"/>
    <w:rsid w:val="00F562BD"/>
    <w:rsid w:val="00F57B5D"/>
    <w:rsid w:val="00F60049"/>
    <w:rsid w:val="00F608B9"/>
    <w:rsid w:val="00F60DB7"/>
    <w:rsid w:val="00F60E91"/>
    <w:rsid w:val="00F61159"/>
    <w:rsid w:val="00F62DA6"/>
    <w:rsid w:val="00F62E77"/>
    <w:rsid w:val="00F7074E"/>
    <w:rsid w:val="00F70E67"/>
    <w:rsid w:val="00F71570"/>
    <w:rsid w:val="00F7230D"/>
    <w:rsid w:val="00F7265B"/>
    <w:rsid w:val="00F726FC"/>
    <w:rsid w:val="00F728C3"/>
    <w:rsid w:val="00F72BAE"/>
    <w:rsid w:val="00F7558E"/>
    <w:rsid w:val="00F76205"/>
    <w:rsid w:val="00F801B3"/>
    <w:rsid w:val="00F803F1"/>
    <w:rsid w:val="00F81111"/>
    <w:rsid w:val="00F8177B"/>
    <w:rsid w:val="00F817CA"/>
    <w:rsid w:val="00F81B47"/>
    <w:rsid w:val="00F83810"/>
    <w:rsid w:val="00F83B75"/>
    <w:rsid w:val="00F841C4"/>
    <w:rsid w:val="00F84899"/>
    <w:rsid w:val="00F8492C"/>
    <w:rsid w:val="00F859F0"/>
    <w:rsid w:val="00F8789E"/>
    <w:rsid w:val="00F92E29"/>
    <w:rsid w:val="00F94800"/>
    <w:rsid w:val="00F979E0"/>
    <w:rsid w:val="00FA04D3"/>
    <w:rsid w:val="00FA06A3"/>
    <w:rsid w:val="00FA0AD1"/>
    <w:rsid w:val="00FA2ACB"/>
    <w:rsid w:val="00FA310C"/>
    <w:rsid w:val="00FA3B5A"/>
    <w:rsid w:val="00FA40C0"/>
    <w:rsid w:val="00FA4A30"/>
    <w:rsid w:val="00FA4B7C"/>
    <w:rsid w:val="00FA540E"/>
    <w:rsid w:val="00FA6587"/>
    <w:rsid w:val="00FA6DE2"/>
    <w:rsid w:val="00FA723D"/>
    <w:rsid w:val="00FB0D40"/>
    <w:rsid w:val="00FB301D"/>
    <w:rsid w:val="00FB42FF"/>
    <w:rsid w:val="00FB47F3"/>
    <w:rsid w:val="00FB516F"/>
    <w:rsid w:val="00FB58AF"/>
    <w:rsid w:val="00FB5BF9"/>
    <w:rsid w:val="00FB7AD9"/>
    <w:rsid w:val="00FC0B6A"/>
    <w:rsid w:val="00FC182A"/>
    <w:rsid w:val="00FC3D45"/>
    <w:rsid w:val="00FC5701"/>
    <w:rsid w:val="00FC711A"/>
    <w:rsid w:val="00FD019A"/>
    <w:rsid w:val="00FD140C"/>
    <w:rsid w:val="00FD2533"/>
    <w:rsid w:val="00FD3213"/>
    <w:rsid w:val="00FD3A2E"/>
    <w:rsid w:val="00FD4AFF"/>
    <w:rsid w:val="00FD50F2"/>
    <w:rsid w:val="00FD674C"/>
    <w:rsid w:val="00FD7A75"/>
    <w:rsid w:val="00FD7C89"/>
    <w:rsid w:val="00FE0395"/>
    <w:rsid w:val="00FE0DC4"/>
    <w:rsid w:val="00FE0E9C"/>
    <w:rsid w:val="00FE125A"/>
    <w:rsid w:val="00FE141E"/>
    <w:rsid w:val="00FE1AF1"/>
    <w:rsid w:val="00FE24F4"/>
    <w:rsid w:val="00FE2A33"/>
    <w:rsid w:val="00FE46AA"/>
    <w:rsid w:val="00FE486D"/>
    <w:rsid w:val="00FE5ECC"/>
    <w:rsid w:val="00FE674D"/>
    <w:rsid w:val="00FF10B9"/>
    <w:rsid w:val="00FF1838"/>
    <w:rsid w:val="00FF1D2C"/>
    <w:rsid w:val="00FF2832"/>
    <w:rsid w:val="00FF3657"/>
    <w:rsid w:val="00FF417D"/>
    <w:rsid w:val="00FF49BD"/>
    <w:rsid w:val="00FF4A64"/>
    <w:rsid w:val="00FF60FB"/>
    <w:rsid w:val="00FF66DD"/>
    <w:rsid w:val="00FF6F65"/>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5F5"/>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925774"/>
  </w:style>
  <w:style w:type="character" w:customStyle="1" w:styleId="iaj">
    <w:name w:val="i_aj"/>
    <w:basedOn w:val="Fuentedeprrafopredeter"/>
    <w:rsid w:val="004D0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1618">
      <w:bodyDiv w:val="1"/>
      <w:marLeft w:val="0"/>
      <w:marRight w:val="0"/>
      <w:marTop w:val="0"/>
      <w:marBottom w:val="0"/>
      <w:divBdr>
        <w:top w:val="none" w:sz="0" w:space="0" w:color="auto"/>
        <w:left w:val="none" w:sz="0" w:space="0" w:color="auto"/>
        <w:bottom w:val="none" w:sz="0" w:space="0" w:color="auto"/>
        <w:right w:val="none" w:sz="0" w:space="0" w:color="auto"/>
      </w:divBdr>
      <w:divsChild>
        <w:div w:id="640770622">
          <w:marLeft w:val="0"/>
          <w:marRight w:val="0"/>
          <w:marTop w:val="0"/>
          <w:marBottom w:val="0"/>
          <w:divBdr>
            <w:top w:val="none" w:sz="0" w:space="0" w:color="auto"/>
            <w:left w:val="none" w:sz="0" w:space="0" w:color="auto"/>
            <w:bottom w:val="none" w:sz="0" w:space="0" w:color="auto"/>
            <w:right w:val="none" w:sz="0" w:space="0" w:color="auto"/>
          </w:divBdr>
          <w:divsChild>
            <w:div w:id="781072782">
              <w:marLeft w:val="0"/>
              <w:marRight w:val="0"/>
              <w:marTop w:val="0"/>
              <w:marBottom w:val="0"/>
              <w:divBdr>
                <w:top w:val="none" w:sz="0" w:space="0" w:color="auto"/>
                <w:left w:val="none" w:sz="0" w:space="0" w:color="auto"/>
                <w:bottom w:val="none" w:sz="0" w:space="0" w:color="auto"/>
                <w:right w:val="none" w:sz="0" w:space="0" w:color="auto"/>
              </w:divBdr>
              <w:divsChild>
                <w:div w:id="168266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72485">
      <w:bodyDiv w:val="1"/>
      <w:marLeft w:val="0"/>
      <w:marRight w:val="0"/>
      <w:marTop w:val="0"/>
      <w:marBottom w:val="0"/>
      <w:divBdr>
        <w:top w:val="none" w:sz="0" w:space="0" w:color="auto"/>
        <w:left w:val="none" w:sz="0" w:space="0" w:color="auto"/>
        <w:bottom w:val="none" w:sz="0" w:space="0" w:color="auto"/>
        <w:right w:val="none" w:sz="0" w:space="0" w:color="auto"/>
      </w:divBdr>
    </w:div>
    <w:div w:id="161092311">
      <w:bodyDiv w:val="1"/>
      <w:marLeft w:val="0"/>
      <w:marRight w:val="0"/>
      <w:marTop w:val="0"/>
      <w:marBottom w:val="0"/>
      <w:divBdr>
        <w:top w:val="none" w:sz="0" w:space="0" w:color="auto"/>
        <w:left w:val="none" w:sz="0" w:space="0" w:color="auto"/>
        <w:bottom w:val="none" w:sz="0" w:space="0" w:color="auto"/>
        <w:right w:val="none" w:sz="0" w:space="0" w:color="auto"/>
      </w:divBdr>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20405100">
      <w:bodyDiv w:val="1"/>
      <w:marLeft w:val="0"/>
      <w:marRight w:val="0"/>
      <w:marTop w:val="0"/>
      <w:marBottom w:val="0"/>
      <w:divBdr>
        <w:top w:val="none" w:sz="0" w:space="0" w:color="auto"/>
        <w:left w:val="none" w:sz="0" w:space="0" w:color="auto"/>
        <w:bottom w:val="none" w:sz="0" w:space="0" w:color="auto"/>
        <w:right w:val="none" w:sz="0" w:space="0" w:color="auto"/>
      </w:divBdr>
    </w:div>
    <w:div w:id="2769078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6574812">
      <w:bodyDiv w:val="1"/>
      <w:marLeft w:val="0"/>
      <w:marRight w:val="0"/>
      <w:marTop w:val="0"/>
      <w:marBottom w:val="0"/>
      <w:divBdr>
        <w:top w:val="none" w:sz="0" w:space="0" w:color="auto"/>
        <w:left w:val="none" w:sz="0" w:space="0" w:color="auto"/>
        <w:bottom w:val="none" w:sz="0" w:space="0" w:color="auto"/>
        <w:right w:val="none" w:sz="0" w:space="0" w:color="auto"/>
      </w:divBdr>
    </w:div>
    <w:div w:id="301154681">
      <w:bodyDiv w:val="1"/>
      <w:marLeft w:val="0"/>
      <w:marRight w:val="0"/>
      <w:marTop w:val="0"/>
      <w:marBottom w:val="0"/>
      <w:divBdr>
        <w:top w:val="none" w:sz="0" w:space="0" w:color="auto"/>
        <w:left w:val="none" w:sz="0" w:space="0" w:color="auto"/>
        <w:bottom w:val="none" w:sz="0" w:space="0" w:color="auto"/>
        <w:right w:val="none" w:sz="0" w:space="0" w:color="auto"/>
      </w:divBdr>
    </w:div>
    <w:div w:id="418796407">
      <w:bodyDiv w:val="1"/>
      <w:marLeft w:val="0"/>
      <w:marRight w:val="0"/>
      <w:marTop w:val="0"/>
      <w:marBottom w:val="0"/>
      <w:divBdr>
        <w:top w:val="none" w:sz="0" w:space="0" w:color="auto"/>
        <w:left w:val="none" w:sz="0" w:space="0" w:color="auto"/>
        <w:bottom w:val="none" w:sz="0" w:space="0" w:color="auto"/>
        <w:right w:val="none" w:sz="0" w:space="0" w:color="auto"/>
      </w:divBdr>
    </w:div>
    <w:div w:id="481393282">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763279">
      <w:bodyDiv w:val="1"/>
      <w:marLeft w:val="0"/>
      <w:marRight w:val="0"/>
      <w:marTop w:val="0"/>
      <w:marBottom w:val="0"/>
      <w:divBdr>
        <w:top w:val="none" w:sz="0" w:space="0" w:color="auto"/>
        <w:left w:val="none" w:sz="0" w:space="0" w:color="auto"/>
        <w:bottom w:val="none" w:sz="0" w:space="0" w:color="auto"/>
        <w:right w:val="none" w:sz="0" w:space="0" w:color="auto"/>
      </w:divBdr>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28382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28853">
      <w:bodyDiv w:val="1"/>
      <w:marLeft w:val="0"/>
      <w:marRight w:val="0"/>
      <w:marTop w:val="0"/>
      <w:marBottom w:val="0"/>
      <w:divBdr>
        <w:top w:val="none" w:sz="0" w:space="0" w:color="auto"/>
        <w:left w:val="none" w:sz="0" w:space="0" w:color="auto"/>
        <w:bottom w:val="none" w:sz="0" w:space="0" w:color="auto"/>
        <w:right w:val="none" w:sz="0" w:space="0" w:color="auto"/>
      </w:divBdr>
    </w:div>
    <w:div w:id="790708996">
      <w:bodyDiv w:val="1"/>
      <w:marLeft w:val="0"/>
      <w:marRight w:val="0"/>
      <w:marTop w:val="0"/>
      <w:marBottom w:val="0"/>
      <w:divBdr>
        <w:top w:val="none" w:sz="0" w:space="0" w:color="auto"/>
        <w:left w:val="none" w:sz="0" w:space="0" w:color="auto"/>
        <w:bottom w:val="none" w:sz="0" w:space="0" w:color="auto"/>
        <w:right w:val="none" w:sz="0" w:space="0" w:color="auto"/>
      </w:divBdr>
    </w:div>
    <w:div w:id="794711945">
      <w:bodyDiv w:val="1"/>
      <w:marLeft w:val="0"/>
      <w:marRight w:val="0"/>
      <w:marTop w:val="0"/>
      <w:marBottom w:val="0"/>
      <w:divBdr>
        <w:top w:val="none" w:sz="0" w:space="0" w:color="auto"/>
        <w:left w:val="none" w:sz="0" w:space="0" w:color="auto"/>
        <w:bottom w:val="none" w:sz="0" w:space="0" w:color="auto"/>
        <w:right w:val="none" w:sz="0" w:space="0" w:color="auto"/>
      </w:divBdr>
    </w:div>
    <w:div w:id="858391519">
      <w:bodyDiv w:val="1"/>
      <w:marLeft w:val="0"/>
      <w:marRight w:val="0"/>
      <w:marTop w:val="0"/>
      <w:marBottom w:val="0"/>
      <w:divBdr>
        <w:top w:val="none" w:sz="0" w:space="0" w:color="auto"/>
        <w:left w:val="none" w:sz="0" w:space="0" w:color="auto"/>
        <w:bottom w:val="none" w:sz="0" w:space="0" w:color="auto"/>
        <w:right w:val="none" w:sz="0" w:space="0" w:color="auto"/>
      </w:divBdr>
      <w:divsChild>
        <w:div w:id="524295114">
          <w:marLeft w:val="0"/>
          <w:marRight w:val="0"/>
          <w:marTop w:val="0"/>
          <w:marBottom w:val="0"/>
          <w:divBdr>
            <w:top w:val="none" w:sz="0" w:space="0" w:color="auto"/>
            <w:left w:val="none" w:sz="0" w:space="0" w:color="auto"/>
            <w:bottom w:val="none" w:sz="0" w:space="0" w:color="auto"/>
            <w:right w:val="none" w:sz="0" w:space="0" w:color="auto"/>
          </w:divBdr>
          <w:divsChild>
            <w:div w:id="1954943405">
              <w:marLeft w:val="0"/>
              <w:marRight w:val="0"/>
              <w:marTop w:val="0"/>
              <w:marBottom w:val="0"/>
              <w:divBdr>
                <w:top w:val="none" w:sz="0" w:space="0" w:color="auto"/>
                <w:left w:val="none" w:sz="0" w:space="0" w:color="auto"/>
                <w:bottom w:val="none" w:sz="0" w:space="0" w:color="auto"/>
                <w:right w:val="none" w:sz="0" w:space="0" w:color="auto"/>
              </w:divBdr>
              <w:divsChild>
                <w:div w:id="106884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66547617">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998461596">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084113130">
      <w:bodyDiv w:val="1"/>
      <w:marLeft w:val="0"/>
      <w:marRight w:val="0"/>
      <w:marTop w:val="0"/>
      <w:marBottom w:val="0"/>
      <w:divBdr>
        <w:top w:val="none" w:sz="0" w:space="0" w:color="auto"/>
        <w:left w:val="none" w:sz="0" w:space="0" w:color="auto"/>
        <w:bottom w:val="none" w:sz="0" w:space="0" w:color="auto"/>
        <w:right w:val="none" w:sz="0" w:space="0" w:color="auto"/>
      </w:divBdr>
    </w:div>
    <w:div w:id="1130439832">
      <w:bodyDiv w:val="1"/>
      <w:marLeft w:val="0"/>
      <w:marRight w:val="0"/>
      <w:marTop w:val="0"/>
      <w:marBottom w:val="0"/>
      <w:divBdr>
        <w:top w:val="none" w:sz="0" w:space="0" w:color="auto"/>
        <w:left w:val="none" w:sz="0" w:space="0" w:color="auto"/>
        <w:bottom w:val="none" w:sz="0" w:space="0" w:color="auto"/>
        <w:right w:val="none" w:sz="0" w:space="0" w:color="auto"/>
      </w:divBdr>
    </w:div>
    <w:div w:id="1159274948">
      <w:bodyDiv w:val="1"/>
      <w:marLeft w:val="0"/>
      <w:marRight w:val="0"/>
      <w:marTop w:val="0"/>
      <w:marBottom w:val="0"/>
      <w:divBdr>
        <w:top w:val="none" w:sz="0" w:space="0" w:color="auto"/>
        <w:left w:val="none" w:sz="0" w:space="0" w:color="auto"/>
        <w:bottom w:val="none" w:sz="0" w:space="0" w:color="auto"/>
        <w:right w:val="none" w:sz="0" w:space="0" w:color="auto"/>
      </w:divBdr>
      <w:divsChild>
        <w:div w:id="1048336489">
          <w:marLeft w:val="0"/>
          <w:marRight w:val="0"/>
          <w:marTop w:val="0"/>
          <w:marBottom w:val="0"/>
          <w:divBdr>
            <w:top w:val="none" w:sz="0" w:space="0" w:color="auto"/>
            <w:left w:val="none" w:sz="0" w:space="0" w:color="auto"/>
            <w:bottom w:val="none" w:sz="0" w:space="0" w:color="auto"/>
            <w:right w:val="none" w:sz="0" w:space="0" w:color="auto"/>
          </w:divBdr>
          <w:divsChild>
            <w:div w:id="1508907024">
              <w:marLeft w:val="0"/>
              <w:marRight w:val="0"/>
              <w:marTop w:val="0"/>
              <w:marBottom w:val="0"/>
              <w:divBdr>
                <w:top w:val="none" w:sz="0" w:space="0" w:color="auto"/>
                <w:left w:val="none" w:sz="0" w:space="0" w:color="auto"/>
                <w:bottom w:val="none" w:sz="0" w:space="0" w:color="auto"/>
                <w:right w:val="none" w:sz="0" w:space="0" w:color="auto"/>
              </w:divBdr>
              <w:divsChild>
                <w:div w:id="119565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308899848">
      <w:bodyDiv w:val="1"/>
      <w:marLeft w:val="0"/>
      <w:marRight w:val="0"/>
      <w:marTop w:val="0"/>
      <w:marBottom w:val="0"/>
      <w:divBdr>
        <w:top w:val="none" w:sz="0" w:space="0" w:color="auto"/>
        <w:left w:val="none" w:sz="0" w:space="0" w:color="auto"/>
        <w:bottom w:val="none" w:sz="0" w:space="0" w:color="auto"/>
        <w:right w:val="none" w:sz="0" w:space="0" w:color="auto"/>
      </w:divBdr>
    </w:div>
    <w:div w:id="1345784226">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50798861">
      <w:bodyDiv w:val="1"/>
      <w:marLeft w:val="0"/>
      <w:marRight w:val="0"/>
      <w:marTop w:val="0"/>
      <w:marBottom w:val="0"/>
      <w:divBdr>
        <w:top w:val="none" w:sz="0" w:space="0" w:color="auto"/>
        <w:left w:val="none" w:sz="0" w:space="0" w:color="auto"/>
        <w:bottom w:val="none" w:sz="0" w:space="0" w:color="auto"/>
        <w:right w:val="none" w:sz="0" w:space="0" w:color="auto"/>
      </w:divBdr>
    </w:div>
    <w:div w:id="1568177141">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615138153">
      <w:bodyDiv w:val="1"/>
      <w:marLeft w:val="0"/>
      <w:marRight w:val="0"/>
      <w:marTop w:val="0"/>
      <w:marBottom w:val="0"/>
      <w:divBdr>
        <w:top w:val="none" w:sz="0" w:space="0" w:color="auto"/>
        <w:left w:val="none" w:sz="0" w:space="0" w:color="auto"/>
        <w:bottom w:val="none" w:sz="0" w:space="0" w:color="auto"/>
        <w:right w:val="none" w:sz="0" w:space="0" w:color="auto"/>
      </w:divBdr>
    </w:div>
    <w:div w:id="1711800537">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938694">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931346">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064338">
      <w:bodyDiv w:val="1"/>
      <w:marLeft w:val="0"/>
      <w:marRight w:val="0"/>
      <w:marTop w:val="0"/>
      <w:marBottom w:val="0"/>
      <w:divBdr>
        <w:top w:val="none" w:sz="0" w:space="0" w:color="auto"/>
        <w:left w:val="none" w:sz="0" w:space="0" w:color="auto"/>
        <w:bottom w:val="none" w:sz="0" w:space="0" w:color="auto"/>
        <w:right w:val="none" w:sz="0" w:space="0" w:color="auto"/>
      </w:divBdr>
      <w:divsChild>
        <w:div w:id="618922965">
          <w:marLeft w:val="0"/>
          <w:marRight w:val="0"/>
          <w:marTop w:val="0"/>
          <w:marBottom w:val="0"/>
          <w:divBdr>
            <w:top w:val="none" w:sz="0" w:space="0" w:color="auto"/>
            <w:left w:val="none" w:sz="0" w:space="0" w:color="auto"/>
            <w:bottom w:val="none" w:sz="0" w:space="0" w:color="auto"/>
            <w:right w:val="none" w:sz="0" w:space="0" w:color="auto"/>
          </w:divBdr>
          <w:divsChild>
            <w:div w:id="29425952">
              <w:marLeft w:val="0"/>
              <w:marRight w:val="0"/>
              <w:marTop w:val="0"/>
              <w:marBottom w:val="0"/>
              <w:divBdr>
                <w:top w:val="none" w:sz="0" w:space="0" w:color="auto"/>
                <w:left w:val="none" w:sz="0" w:space="0" w:color="auto"/>
                <w:bottom w:val="none" w:sz="0" w:space="0" w:color="auto"/>
                <w:right w:val="none" w:sz="0" w:space="0" w:color="auto"/>
              </w:divBdr>
              <w:divsChild>
                <w:div w:id="138583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2.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23</Pages>
  <Words>7894</Words>
  <Characters>43420</Characters>
  <Application>Microsoft Office Word</Application>
  <DocSecurity>0</DocSecurity>
  <Lines>361</Lines>
  <Paragraphs>102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Claudia Cristal Carrillo Lopez</cp:lastModifiedBy>
  <cp:revision>2</cp:revision>
  <dcterms:created xsi:type="dcterms:W3CDTF">2021-08-26T12:48:00Z</dcterms:created>
  <dcterms:modified xsi:type="dcterms:W3CDTF">2021-08-26T12:48:00Z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