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BD83C" w14:textId="667EDDE3" w:rsidR="00CE4EF3" w:rsidRPr="00CE4EF3" w:rsidRDefault="00CE4EF3" w:rsidP="00CE4EF3">
      <w:pPr>
        <w:spacing w:after="0"/>
        <w:jc w:val="both"/>
        <w:rPr>
          <w:rFonts w:ascii="Verdana" w:hAnsi="Verdana"/>
        </w:rPr>
      </w:pPr>
      <w:r w:rsidRPr="00CE4EF3">
        <w:rPr>
          <w:rFonts w:ascii="Verdana" w:eastAsia="Arial" w:hAnsi="Verdana" w:cs="Arial"/>
          <w:b/>
          <w:bCs/>
          <w:kern w:val="2"/>
          <w:lang w:val="es-ES"/>
          <w14:ligatures w14:val="standardContextual"/>
        </w:rPr>
        <w:t xml:space="preserve">PROFESIONAL EN INGENIERÍA </w:t>
      </w:r>
      <w:r w:rsidRPr="00CE4EF3">
        <w:rPr>
          <w:rFonts w:ascii="Verdana" w:eastAsia="Arial" w:hAnsi="Verdana" w:cs="Arial"/>
          <w:b/>
          <w:kern w:val="2"/>
          <w:lang w:val="es-ES"/>
          <w14:ligatures w14:val="standardContextual"/>
        </w:rPr>
        <w:t>–</w:t>
      </w:r>
      <w:r w:rsidRPr="00CE4EF3">
        <w:rPr>
          <w:rFonts w:ascii="Verdana" w:eastAsia="Arial" w:hAnsi="Verdana" w:cs="Arial"/>
          <w:b/>
          <w:bCs/>
          <w:kern w:val="2"/>
          <w:lang w:val="es-ES"/>
          <w14:ligatures w14:val="standardContextual"/>
        </w:rPr>
        <w:t xml:space="preserve"> Ejercicio de la ingeniería – Aval – Procesos de contratación – Personas jurídicas</w:t>
      </w:r>
    </w:p>
    <w:p w14:paraId="74536BE2" w14:textId="77777777" w:rsidR="00CE4EF3" w:rsidRPr="00CE4EF3" w:rsidRDefault="00CE4EF3" w:rsidP="00CE4EF3">
      <w:pPr>
        <w:widowControl w:val="0"/>
        <w:autoSpaceDE w:val="0"/>
        <w:autoSpaceDN w:val="0"/>
        <w:spacing w:before="5" w:after="0" w:line="276" w:lineRule="auto"/>
        <w:rPr>
          <w:rFonts w:ascii="Verdana" w:eastAsia="Arial" w:hAnsi="Verdana" w:cs="Arial"/>
          <w:kern w:val="2"/>
          <w:lang w:val="es-ES"/>
          <w14:ligatures w14:val="standardContextual"/>
        </w:rPr>
      </w:pPr>
    </w:p>
    <w:p w14:paraId="3F5EA122" w14:textId="703DF13F" w:rsidR="00CE4EF3" w:rsidRPr="00CE4EF3" w:rsidRDefault="00CE4EF3" w:rsidP="00CE4EF3">
      <w:pPr>
        <w:spacing w:after="0" w:line="240" w:lineRule="auto"/>
        <w:jc w:val="both"/>
        <w:rPr>
          <w:rFonts w:ascii="Verdana" w:eastAsia="Aptos" w:hAnsi="Verdana" w:cs="Arial"/>
          <w:kern w:val="2"/>
          <w:sz w:val="20"/>
          <w:szCs w:val="20"/>
          <w:lang w:val="es-MX"/>
          <w14:ligatures w14:val="standardContextual"/>
        </w:rPr>
      </w:pPr>
      <w:r w:rsidRPr="00CE4EF3">
        <w:rPr>
          <w:rFonts w:ascii="Verdana" w:eastAsia="Arial" w:hAnsi="Verdana" w:cs="Arial"/>
          <w:kern w:val="2"/>
          <w:sz w:val="20"/>
          <w:szCs w:val="20"/>
          <w:lang w:val="es-ES"/>
          <w14:ligatures w14:val="standardContextual"/>
        </w:rPr>
        <w:t xml:space="preserve">[…] </w:t>
      </w:r>
      <w:r w:rsidR="00607D8E" w:rsidRPr="00607D8E">
        <w:rPr>
          <w:rFonts w:ascii="Verdana" w:eastAsia="Arial" w:hAnsi="Verdana" w:cs="Arial"/>
          <w:kern w:val="2"/>
          <w:sz w:val="20"/>
          <w:szCs w:val="20"/>
          <w:lang w:val="es-ES"/>
          <w14:ligatures w14:val="standardContextual"/>
        </w:rPr>
        <w:t>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2C585BB6" w14:textId="77777777" w:rsidR="00CE4EF3" w:rsidRPr="00CE4EF3" w:rsidRDefault="00CE4EF3" w:rsidP="00CE4EF3">
      <w:pPr>
        <w:spacing w:after="0" w:line="240" w:lineRule="auto"/>
        <w:jc w:val="both"/>
        <w:rPr>
          <w:rFonts w:ascii="Verdana" w:eastAsia="Aptos" w:hAnsi="Verdana" w:cs="Arial"/>
          <w:kern w:val="2"/>
          <w:sz w:val="20"/>
          <w:szCs w:val="20"/>
          <w:lang w:val="es-ES"/>
          <w14:ligatures w14:val="standardContextual"/>
        </w:rPr>
      </w:pPr>
      <w:r w:rsidRPr="00CE4EF3">
        <w:rPr>
          <w:rFonts w:ascii="Verdana" w:eastAsia="Aptos" w:hAnsi="Verdana" w:cs="Arial"/>
          <w:kern w:val="2"/>
          <w:sz w:val="20"/>
          <w:szCs w:val="20"/>
          <w:lang w:val="es-ES"/>
          <w14:ligatures w14:val="standardContextual"/>
        </w:rPr>
        <w:t>[…]</w:t>
      </w:r>
    </w:p>
    <w:p w14:paraId="54C31E19" w14:textId="48CDA752" w:rsidR="00CE4EF3" w:rsidRPr="00CE4EF3" w:rsidRDefault="00607D8E" w:rsidP="00CE4EF3">
      <w:pPr>
        <w:spacing w:after="0" w:line="240" w:lineRule="auto"/>
        <w:jc w:val="both"/>
        <w:rPr>
          <w:rFonts w:ascii="Verdana" w:eastAsia="Aptos" w:hAnsi="Verdana" w:cs="Arial"/>
          <w:kern w:val="2"/>
          <w:sz w:val="20"/>
          <w:szCs w:val="20"/>
          <w:lang w:val="es-MX"/>
          <w14:ligatures w14:val="standardContextual"/>
        </w:rPr>
      </w:pPr>
      <w:r w:rsidRPr="00607D8E">
        <w:rPr>
          <w:rFonts w:ascii="Verdana" w:eastAsia="Aptos" w:hAnsi="Verdana" w:cs="Arial"/>
          <w:kern w:val="2"/>
          <w:sz w:val="20"/>
          <w:szCs w:val="20"/>
          <w:lang w:val="es-ES"/>
          <w14:ligatures w14:val="standardContextual"/>
        </w:rPr>
        <w:t>En efecto,  dado que las personas jurídicas no pueden y, por tanto, no les es exigible contar con una profesión, la ley previó dicha situación y las habilitó para contar con el apoyo de un profesional que avalara las propuestas relacionadas con ingeniería, pues si ello no hubiese ocurrido, a pesar de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p>
    <w:p w14:paraId="5C667BC6" w14:textId="77777777" w:rsidR="00CE4EF3" w:rsidRPr="00CE4EF3" w:rsidRDefault="00CE4EF3" w:rsidP="00CE4EF3">
      <w:pPr>
        <w:widowControl w:val="0"/>
        <w:autoSpaceDE w:val="0"/>
        <w:autoSpaceDN w:val="0"/>
        <w:spacing w:after="0" w:line="276" w:lineRule="auto"/>
        <w:jc w:val="both"/>
        <w:rPr>
          <w:rFonts w:ascii="Verdana" w:eastAsia="Arial" w:hAnsi="Verdana" w:cs="Arial"/>
          <w:b/>
          <w:bCs/>
          <w:kern w:val="2"/>
          <w:lang w:val="es-ES"/>
          <w14:ligatures w14:val="standardContextual"/>
        </w:rPr>
      </w:pPr>
    </w:p>
    <w:p w14:paraId="62A73AD6" w14:textId="77777777" w:rsidR="00CE4EF3" w:rsidRPr="00CE4EF3" w:rsidRDefault="00CE4EF3" w:rsidP="00CE4EF3">
      <w:pPr>
        <w:spacing w:after="0" w:line="276" w:lineRule="auto"/>
        <w:jc w:val="both"/>
        <w:rPr>
          <w:rFonts w:ascii="Verdana" w:eastAsia="Calibri" w:hAnsi="Verdana" w:cs="Arial"/>
          <w:kern w:val="2"/>
          <w:highlight w:val="yellow"/>
          <w:lang w:val="es-MX"/>
          <w14:ligatures w14:val="standardContextual"/>
        </w:rPr>
      </w:pPr>
      <w:r w:rsidRPr="00CE4EF3">
        <w:rPr>
          <w:rFonts w:ascii="Verdana" w:eastAsia="Calibri" w:hAnsi="Verdana" w:cs="Arial"/>
          <w:b/>
          <w:bCs/>
          <w:kern w:val="2"/>
          <w:lang w:val="es-MX"/>
          <w14:ligatures w14:val="standardContextual"/>
        </w:rPr>
        <w:t>PROFESIONAL EN INGENIERÍA – Documentos tipo de obra pública de infraestructura de transporte – Carta de presentación de la propuesta – Aval de profesional en ingeniería</w:t>
      </w:r>
    </w:p>
    <w:p w14:paraId="448910C3" w14:textId="77777777" w:rsidR="00CE4EF3" w:rsidRPr="00CE4EF3" w:rsidRDefault="00CE4EF3" w:rsidP="00CE4EF3">
      <w:pPr>
        <w:spacing w:after="0" w:line="276" w:lineRule="auto"/>
        <w:jc w:val="both"/>
        <w:rPr>
          <w:rFonts w:ascii="Verdana" w:eastAsia="Calibri" w:hAnsi="Verdana" w:cs="Arial"/>
          <w:kern w:val="2"/>
          <w:highlight w:val="yellow"/>
          <w:lang w:val="es-MX"/>
          <w14:ligatures w14:val="standardContextual"/>
        </w:rPr>
      </w:pPr>
    </w:p>
    <w:p w14:paraId="5954EDB1" w14:textId="2E809543" w:rsidR="00CE4EF3" w:rsidRDefault="00195549" w:rsidP="00CE4EF3">
      <w:pPr>
        <w:numPr>
          <w:ilvl w:val="12"/>
          <w:numId w:val="0"/>
        </w:numPr>
        <w:spacing w:after="0" w:line="240" w:lineRule="auto"/>
        <w:jc w:val="both"/>
        <w:rPr>
          <w:rFonts w:ascii="Verdana" w:eastAsia="Calibri" w:hAnsi="Verdana" w:cs="Arial"/>
          <w:kern w:val="2"/>
          <w:sz w:val="20"/>
          <w:szCs w:val="20"/>
          <w:lang w:val="es-MX"/>
          <w14:ligatures w14:val="standardContextual"/>
        </w:rPr>
      </w:pPr>
      <w:r w:rsidRPr="00195549">
        <w:rPr>
          <w:rFonts w:ascii="Verdana" w:eastAsia="Calibri" w:hAnsi="Verdana" w:cs="Arial"/>
          <w:kern w:val="2"/>
          <w:sz w:val="20"/>
          <w:szCs w:val="20"/>
          <w:lang w:val="es-MX"/>
          <w14:ligatures w14:val="standardContextual"/>
        </w:rPr>
        <w:t>Por otra parte, es importante precisar que el numeral 2.1 del Capítulo II –elaboración y presentación de la oferta– del Documento Base para los procesos de licitación de obra pública de infraestructura de transporte, selección abreviada de menor cuantía, concurso de méritos para contratar la interventoría y la consultoría de estudios de ingeniería de infraestructura de transporte, al igual que el numeral 3.1 del Capítulo III −elaboración, presentación y evaluación de las ofertas− de la invitación para los procesos de mínima cuantía de obra pública de infraestructura de transporte, hacen referencia a la carta de presentación de la oferta, indicando claramente que con el propósito de evitar el ejercicio ilegal de la Ingeniería, la persona natural –proponente individual o integrante de la estructura plural– que pretenda participar en el proceso de selección debe acreditar que posee título como ingeniero . Conforme a lo explicado, esta regulación además obedece a los tipos de proyectos que se estandarizan mediante los documentos tipo indicados, respecto del sector de infraestructura de transporte, en los que son los ingenieros quienes cuentan legalmente con la idoneidad para el desarrollo de los mismos, de acuerdo con el alcance de los objetos contractuales frente a los que aplican tales documentos tipo, acorde con las actividades establecidas en la Matriz 1 – Experiencia.</w:t>
      </w:r>
    </w:p>
    <w:p w14:paraId="78CBAAFE" w14:textId="77777777" w:rsidR="00CE4EF3" w:rsidRPr="00CE4EF3" w:rsidRDefault="00CE4EF3" w:rsidP="00CE4EF3">
      <w:pPr>
        <w:numPr>
          <w:ilvl w:val="12"/>
          <w:numId w:val="0"/>
        </w:numPr>
        <w:spacing w:after="0" w:line="240" w:lineRule="auto"/>
        <w:jc w:val="both"/>
        <w:rPr>
          <w:rFonts w:ascii="Verdana" w:eastAsia="Calibri" w:hAnsi="Verdana" w:cs="Arial"/>
          <w:kern w:val="2"/>
          <w:lang w:val="es-MX"/>
          <w14:ligatures w14:val="standardContextual"/>
        </w:rPr>
      </w:pPr>
    </w:p>
    <w:p w14:paraId="22CAB383" w14:textId="77777777" w:rsidR="00584225" w:rsidRDefault="00584225" w:rsidP="00CE4EF3">
      <w:pPr>
        <w:spacing w:after="0" w:line="240" w:lineRule="auto"/>
        <w:jc w:val="both"/>
        <w:rPr>
          <w:rFonts w:ascii="Verdana" w:hAnsi="Verdana"/>
        </w:rPr>
      </w:pPr>
    </w:p>
    <w:p w14:paraId="2A2F8BE0" w14:textId="06A92A5C" w:rsidR="00CE4EF3" w:rsidRPr="00CE4EF3" w:rsidRDefault="00CE4EF3" w:rsidP="00CE4EF3">
      <w:pPr>
        <w:spacing w:after="0" w:line="240" w:lineRule="auto"/>
        <w:jc w:val="both"/>
        <w:rPr>
          <w:rFonts w:ascii="Verdana" w:eastAsia="Calibri" w:hAnsi="Verdana" w:cs="Arial"/>
          <w:lang w:val="es-ES"/>
        </w:rPr>
      </w:pPr>
      <w:r w:rsidRPr="0044528D">
        <w:rPr>
          <w:rFonts w:ascii="Verdana" w:hAnsi="Verdana"/>
        </w:rPr>
        <w:lastRenderedPageBreak/>
        <w:t>Bogotá D.C., [Día] [Mes</w:t>
      </w:r>
      <w:r>
        <w:rPr>
          <w:rFonts w:ascii="Verdana" w:hAnsi="Verdana"/>
        </w:rPr>
        <w:t>.</w:t>
      </w:r>
      <w:r w:rsidRPr="0044528D">
        <w:rPr>
          <w:rFonts w:ascii="Verdana" w:hAnsi="Verdana"/>
        </w:rPr>
        <w:t>NombreCapitalizado] [Año]</w:t>
      </w:r>
    </w:p>
    <w:p w14:paraId="7D15CB6A" w14:textId="647251B9" w:rsidR="00CE4EF3" w:rsidRPr="00CE4EF3" w:rsidRDefault="00584225" w:rsidP="00CE4EF3">
      <w:pPr>
        <w:spacing w:after="0" w:line="240" w:lineRule="auto"/>
        <w:jc w:val="both"/>
        <w:rPr>
          <w:rFonts w:ascii="Verdana" w:eastAsia="Calibri" w:hAnsi="Verdana" w:cs="Arial"/>
          <w:lang w:val="es-ES"/>
        </w:rPr>
      </w:pPr>
      <w:r w:rsidRPr="00584225">
        <w:rPr>
          <w:rFonts w:ascii="Verdana" w:eastAsia="Calibri" w:hAnsi="Verdana" w:cs="Arial"/>
          <w:lang w:val="es-ES"/>
        </w:rPr>
        <w:drawing>
          <wp:anchor distT="0" distB="0" distL="114300" distR="114300" simplePos="0" relativeHeight="251658240" behindDoc="1" locked="0" layoutInCell="1" allowOverlap="1" wp14:anchorId="3F1522A9" wp14:editId="34403A99">
            <wp:simplePos x="0" y="0"/>
            <wp:positionH relativeFrom="column">
              <wp:posOffset>2421255</wp:posOffset>
            </wp:positionH>
            <wp:positionV relativeFrom="paragraph">
              <wp:posOffset>30480</wp:posOffset>
            </wp:positionV>
            <wp:extent cx="3476625" cy="1095375"/>
            <wp:effectExtent l="0" t="0" r="9525" b="9525"/>
            <wp:wrapTight wrapText="bothSides">
              <wp:wrapPolygon edited="0">
                <wp:start x="0" y="0"/>
                <wp:lineTo x="0" y="21412"/>
                <wp:lineTo x="21541" y="21412"/>
                <wp:lineTo x="21541" y="0"/>
                <wp:lineTo x="0" y="0"/>
              </wp:wrapPolygon>
            </wp:wrapTight>
            <wp:docPr id="3734552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55262" name=""/>
                    <pic:cNvPicPr/>
                  </pic:nvPicPr>
                  <pic:blipFill>
                    <a:blip r:embed="rId10">
                      <a:extLst>
                        <a:ext uri="{28A0092B-C50C-407E-A947-70E740481C1C}">
                          <a14:useLocalDpi xmlns:a14="http://schemas.microsoft.com/office/drawing/2010/main" val="0"/>
                        </a:ext>
                      </a:extLst>
                    </a:blip>
                    <a:stretch>
                      <a:fillRect/>
                    </a:stretch>
                  </pic:blipFill>
                  <pic:spPr>
                    <a:xfrm>
                      <a:off x="0" y="0"/>
                      <a:ext cx="3476625" cy="1095375"/>
                    </a:xfrm>
                    <a:prstGeom prst="rect">
                      <a:avLst/>
                    </a:prstGeom>
                  </pic:spPr>
                </pic:pic>
              </a:graphicData>
            </a:graphic>
          </wp:anchor>
        </w:drawing>
      </w:r>
    </w:p>
    <w:p w14:paraId="4829A6CE" w14:textId="77777777" w:rsidR="00CE4EF3" w:rsidRDefault="00CE4EF3" w:rsidP="00CE4EF3">
      <w:pPr>
        <w:spacing w:after="0" w:line="240" w:lineRule="auto"/>
        <w:jc w:val="both"/>
        <w:rPr>
          <w:rFonts w:ascii="Verdana" w:eastAsia="Calibri" w:hAnsi="Verdana" w:cs="Arial"/>
          <w:lang w:val="es-ES"/>
        </w:rPr>
      </w:pPr>
    </w:p>
    <w:p w14:paraId="0DD8718F" w14:textId="72D159E3" w:rsidR="00584225" w:rsidRDefault="00584225" w:rsidP="00CE4EF3">
      <w:pPr>
        <w:spacing w:after="0" w:line="240" w:lineRule="auto"/>
        <w:jc w:val="both"/>
        <w:rPr>
          <w:rFonts w:ascii="Verdana" w:eastAsia="Calibri" w:hAnsi="Verdana" w:cs="Arial"/>
          <w:lang w:val="es-ES"/>
        </w:rPr>
      </w:pPr>
    </w:p>
    <w:p w14:paraId="01061A6E" w14:textId="77777777" w:rsidR="00584225" w:rsidRDefault="00584225" w:rsidP="00CE4EF3">
      <w:pPr>
        <w:spacing w:after="0" w:line="240" w:lineRule="auto"/>
        <w:jc w:val="both"/>
        <w:rPr>
          <w:rFonts w:ascii="Verdana" w:eastAsia="Calibri" w:hAnsi="Verdana" w:cs="Arial"/>
          <w:lang w:val="es-ES"/>
        </w:rPr>
      </w:pPr>
    </w:p>
    <w:p w14:paraId="7C863030" w14:textId="77777777" w:rsidR="00584225" w:rsidRDefault="00584225" w:rsidP="00CE4EF3">
      <w:pPr>
        <w:spacing w:after="0" w:line="240" w:lineRule="auto"/>
        <w:jc w:val="both"/>
        <w:rPr>
          <w:rFonts w:ascii="Verdana" w:eastAsia="Calibri" w:hAnsi="Verdana" w:cs="Arial"/>
          <w:lang w:val="es-ES"/>
        </w:rPr>
      </w:pPr>
    </w:p>
    <w:p w14:paraId="170B8839" w14:textId="77777777" w:rsidR="00584225" w:rsidRDefault="00584225" w:rsidP="00CE4EF3">
      <w:pPr>
        <w:spacing w:after="0" w:line="240" w:lineRule="auto"/>
        <w:jc w:val="both"/>
        <w:rPr>
          <w:rFonts w:ascii="Verdana" w:eastAsia="Calibri" w:hAnsi="Verdana" w:cs="Arial"/>
          <w:lang w:val="es-ES"/>
        </w:rPr>
      </w:pPr>
    </w:p>
    <w:p w14:paraId="2D863E76" w14:textId="77777777" w:rsidR="00584225" w:rsidRPr="00CE4EF3" w:rsidRDefault="00584225" w:rsidP="00CE4EF3">
      <w:pPr>
        <w:spacing w:after="0" w:line="240" w:lineRule="auto"/>
        <w:jc w:val="both"/>
        <w:rPr>
          <w:rFonts w:ascii="Verdana" w:eastAsia="Calibri" w:hAnsi="Verdana" w:cs="Arial"/>
          <w:lang w:val="es-ES"/>
        </w:rPr>
      </w:pPr>
    </w:p>
    <w:p w14:paraId="00F10C13" w14:textId="77777777" w:rsidR="00CE4EF3" w:rsidRPr="00CE4EF3" w:rsidRDefault="00CE4EF3" w:rsidP="00CE4EF3">
      <w:pPr>
        <w:spacing w:after="0" w:line="240" w:lineRule="auto"/>
        <w:jc w:val="both"/>
        <w:rPr>
          <w:rFonts w:ascii="Verdana" w:eastAsia="Calibri" w:hAnsi="Verdana" w:cs="Arial"/>
          <w:lang w:val="es-ES" w:eastAsia="es-ES"/>
        </w:rPr>
      </w:pPr>
      <w:r w:rsidRPr="00CE4EF3">
        <w:rPr>
          <w:rFonts w:ascii="Verdana" w:eastAsia="Calibri" w:hAnsi="Verdana" w:cs="Arial"/>
          <w:lang w:val="es-ES" w:eastAsia="es-ES"/>
        </w:rPr>
        <w:t>Señora</w:t>
      </w:r>
    </w:p>
    <w:p w14:paraId="3A68E335" w14:textId="77777777" w:rsidR="00CE4EF3" w:rsidRPr="00CE4EF3" w:rsidRDefault="00CE4EF3" w:rsidP="00CE4EF3">
      <w:pPr>
        <w:spacing w:after="0" w:line="240" w:lineRule="auto"/>
        <w:rPr>
          <w:rFonts w:ascii="Verdana" w:eastAsia="Calibri" w:hAnsi="Verdana" w:cs="Arial"/>
          <w:b/>
          <w:lang w:val="es-ES_tradnl" w:eastAsia="es-ES_tradnl"/>
        </w:rPr>
      </w:pPr>
      <w:r w:rsidRPr="00CE4EF3">
        <w:rPr>
          <w:rFonts w:ascii="Verdana" w:eastAsia="Calibri" w:hAnsi="Verdana" w:cs="Arial"/>
          <w:b/>
          <w:lang w:val="es-ES_tradnl" w:eastAsia="es-ES_tradnl"/>
        </w:rPr>
        <w:t>Teresita Morales Márquez</w:t>
      </w:r>
    </w:p>
    <w:p w14:paraId="64E14BD5" w14:textId="77777777" w:rsidR="00CE4EF3" w:rsidRPr="00CE4EF3" w:rsidRDefault="00CE4EF3" w:rsidP="00CE4EF3">
      <w:pPr>
        <w:spacing w:after="0" w:line="240" w:lineRule="auto"/>
        <w:rPr>
          <w:rFonts w:ascii="Verdana" w:eastAsia="Calibri" w:hAnsi="Verdana" w:cs="Arial"/>
          <w:b/>
          <w:bCs/>
          <w:lang w:val="es-ES" w:eastAsia="es-ES"/>
        </w:rPr>
      </w:pPr>
      <w:r w:rsidRPr="00CE4EF3">
        <w:rPr>
          <w:rFonts w:ascii="Verdana" w:eastAsia="Calibri" w:hAnsi="Verdana" w:cs="Arial"/>
          <w:lang w:val="es-ES" w:eastAsia="es-ES"/>
        </w:rPr>
        <w:t>Bogotá, D.C.</w:t>
      </w:r>
    </w:p>
    <w:p w14:paraId="32271F0B" w14:textId="77777777" w:rsidR="00CE4EF3" w:rsidRPr="00584225" w:rsidRDefault="00CE4EF3" w:rsidP="00CE4EF3">
      <w:pPr>
        <w:spacing w:after="0" w:line="240" w:lineRule="auto"/>
        <w:rPr>
          <w:rFonts w:ascii="Verdana" w:eastAsia="Calibri" w:hAnsi="Verdana" w:cs="Arial"/>
          <w:b/>
          <w:bCs/>
          <w:lang w:val="es-ES" w:eastAsia="es-ES_tradnl"/>
        </w:rPr>
      </w:pPr>
    </w:p>
    <w:p w14:paraId="21DEBBB8" w14:textId="77777777" w:rsidR="00CE4EF3" w:rsidRPr="00CE4EF3" w:rsidRDefault="00CE4EF3" w:rsidP="00CE4EF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E4EF3" w:rsidRPr="00CE4EF3" w14:paraId="6CCE76AA" w14:textId="77777777" w:rsidTr="00937213">
        <w:trPr>
          <w:trHeight w:val="884"/>
        </w:trPr>
        <w:tc>
          <w:tcPr>
            <w:tcW w:w="2689" w:type="dxa"/>
          </w:tcPr>
          <w:p w14:paraId="78D449B2" w14:textId="77777777" w:rsidR="00CE4EF3" w:rsidRPr="00CE4EF3" w:rsidRDefault="00CE4EF3" w:rsidP="00CE4EF3">
            <w:pPr>
              <w:jc w:val="both"/>
              <w:rPr>
                <w:rFonts w:ascii="Verdana" w:eastAsia="Calibri" w:hAnsi="Verdana" w:cs="Arial"/>
                <w:b/>
                <w:bCs/>
                <w:lang w:val="es-ES_tradnl" w:eastAsia="es-ES_tradnl"/>
              </w:rPr>
            </w:pPr>
          </w:p>
        </w:tc>
        <w:tc>
          <w:tcPr>
            <w:tcW w:w="6100" w:type="dxa"/>
          </w:tcPr>
          <w:p w14:paraId="031C394A" w14:textId="77777777" w:rsidR="00CE4EF3" w:rsidRPr="00CE4EF3" w:rsidRDefault="00CE4EF3" w:rsidP="00CE4EF3">
            <w:pPr>
              <w:jc w:val="both"/>
              <w:rPr>
                <w:rFonts w:ascii="Verdana" w:eastAsia="Calibri" w:hAnsi="Verdana" w:cs="Arial"/>
                <w:b/>
                <w:bCs/>
                <w:lang w:val="es-ES" w:eastAsia="es-ES"/>
              </w:rPr>
            </w:pPr>
            <w:r w:rsidRPr="00CE4EF3">
              <w:rPr>
                <w:rFonts w:ascii="Verdana" w:eastAsia="Calibri" w:hAnsi="Verdana" w:cs="Arial"/>
                <w:b/>
                <w:bCs/>
                <w:lang w:val="es-ES" w:eastAsia="es-ES"/>
              </w:rPr>
              <w:t>Concepto C – 413 de 2024</w:t>
            </w:r>
          </w:p>
        </w:tc>
      </w:tr>
      <w:tr w:rsidR="00CE4EF3" w:rsidRPr="00CE4EF3" w14:paraId="6F7E1C53" w14:textId="77777777" w:rsidTr="00937213">
        <w:trPr>
          <w:trHeight w:val="884"/>
        </w:trPr>
        <w:tc>
          <w:tcPr>
            <w:tcW w:w="2689" w:type="dxa"/>
          </w:tcPr>
          <w:p w14:paraId="47AB4D19" w14:textId="77777777" w:rsidR="00CE4EF3" w:rsidRPr="00CE4EF3" w:rsidRDefault="00CE4EF3" w:rsidP="00CE4EF3">
            <w:pPr>
              <w:jc w:val="both"/>
              <w:rPr>
                <w:rFonts w:ascii="Verdana" w:eastAsia="Calibri" w:hAnsi="Verdana" w:cs="Arial"/>
                <w:lang w:val="es-ES_tradnl" w:eastAsia="es-ES_tradnl"/>
              </w:rPr>
            </w:pPr>
            <w:r w:rsidRPr="00CE4EF3">
              <w:rPr>
                <w:rFonts w:ascii="Verdana" w:eastAsia="Calibri" w:hAnsi="Verdana" w:cs="Arial"/>
                <w:b/>
                <w:lang w:val="es-ES_tradnl" w:eastAsia="es-ES_tradnl"/>
              </w:rPr>
              <w:t>Temas:</w:t>
            </w:r>
            <w:r w:rsidRPr="00CE4EF3">
              <w:rPr>
                <w:rFonts w:ascii="Verdana" w:eastAsia="Calibri" w:hAnsi="Verdana" w:cs="Arial"/>
                <w:lang w:val="es-ES_tradnl" w:eastAsia="es-ES_tradnl"/>
              </w:rPr>
              <w:t xml:space="preserve">                   </w:t>
            </w:r>
          </w:p>
        </w:tc>
        <w:tc>
          <w:tcPr>
            <w:tcW w:w="6100" w:type="dxa"/>
          </w:tcPr>
          <w:p w14:paraId="11B993DF" w14:textId="77777777" w:rsidR="00CE4EF3" w:rsidRPr="00CE4EF3" w:rsidRDefault="00CE4EF3" w:rsidP="00CE4EF3">
            <w:pPr>
              <w:spacing w:line="276" w:lineRule="auto"/>
              <w:jc w:val="both"/>
              <w:rPr>
                <w:rFonts w:ascii="Verdana" w:eastAsia="Calibri" w:hAnsi="Verdana" w:cs="Arial"/>
                <w:highlight w:val="yellow"/>
                <w:lang w:val="es-MX"/>
              </w:rPr>
            </w:pPr>
            <w:r w:rsidRPr="00CE4EF3">
              <w:rPr>
                <w:rFonts w:ascii="Verdana" w:eastAsia="Arial" w:hAnsi="Verdana" w:cs="Arial"/>
                <w:lang w:val="es-ES"/>
              </w:rPr>
              <w:t xml:space="preserve">PROFESIONAL EN INGENIERÍA – Ejercicio de la ingeniería – Aval – Procesos de contratación – Personas jurídicas / </w:t>
            </w:r>
            <w:r w:rsidRPr="00CE4EF3">
              <w:rPr>
                <w:rFonts w:ascii="Verdana" w:eastAsia="Calibri" w:hAnsi="Verdana" w:cs="Arial"/>
                <w:lang w:val="es-MX"/>
              </w:rPr>
              <w:t>PROFESIONAL EN INGENIERÍA – Documentos tipo de obra pública de infraestructura de transporte – Carta de presentación de la propuesta – Aval de profesional en ingeniería</w:t>
            </w:r>
          </w:p>
          <w:p w14:paraId="176A990C" w14:textId="77777777" w:rsidR="00CE4EF3" w:rsidRPr="00CE4EF3" w:rsidRDefault="00CE4EF3" w:rsidP="00CE4EF3">
            <w:pPr>
              <w:spacing w:line="276" w:lineRule="auto"/>
              <w:jc w:val="both"/>
              <w:rPr>
                <w:rFonts w:ascii="Verdana" w:eastAsia="Calibri" w:hAnsi="Verdana" w:cs="Arial"/>
                <w:highlight w:val="yellow"/>
                <w:lang w:val="es-ES" w:eastAsia="es-ES"/>
              </w:rPr>
            </w:pPr>
          </w:p>
        </w:tc>
      </w:tr>
      <w:tr w:rsidR="00CE4EF3" w:rsidRPr="00CE4EF3" w14:paraId="0221E7CD" w14:textId="77777777" w:rsidTr="00937213">
        <w:tc>
          <w:tcPr>
            <w:tcW w:w="2689" w:type="dxa"/>
          </w:tcPr>
          <w:p w14:paraId="54119A7B" w14:textId="77777777" w:rsidR="00CE4EF3" w:rsidRPr="00CE4EF3" w:rsidRDefault="00CE4EF3" w:rsidP="00CE4EF3">
            <w:pPr>
              <w:jc w:val="both"/>
              <w:rPr>
                <w:rFonts w:ascii="Verdana" w:eastAsia="Calibri" w:hAnsi="Verdana" w:cs="Arial"/>
                <w:b/>
                <w:lang w:val="es-ES_tradnl" w:eastAsia="es-ES_tradnl"/>
              </w:rPr>
            </w:pPr>
            <w:r w:rsidRPr="00CE4EF3">
              <w:rPr>
                <w:rFonts w:ascii="Verdana" w:eastAsia="Calibri" w:hAnsi="Verdana" w:cs="Arial"/>
                <w:b/>
                <w:lang w:val="es-ES_tradnl" w:eastAsia="es-ES_tradnl"/>
              </w:rPr>
              <w:t>Radicación:</w:t>
            </w:r>
            <w:r w:rsidRPr="00CE4EF3">
              <w:rPr>
                <w:rFonts w:ascii="Verdana" w:eastAsia="Calibri" w:hAnsi="Verdana" w:cs="Arial"/>
                <w:lang w:val="es-ES_tradnl" w:eastAsia="es-ES_tradnl"/>
              </w:rPr>
              <w:t xml:space="preserve">               </w:t>
            </w:r>
          </w:p>
        </w:tc>
        <w:tc>
          <w:tcPr>
            <w:tcW w:w="6100" w:type="dxa"/>
          </w:tcPr>
          <w:p w14:paraId="4260441D" w14:textId="77777777" w:rsidR="00CE4EF3" w:rsidRPr="00CE4EF3" w:rsidRDefault="00CE4EF3" w:rsidP="00CE4EF3">
            <w:pPr>
              <w:jc w:val="both"/>
              <w:rPr>
                <w:rFonts w:ascii="Verdana" w:eastAsia="Calibri" w:hAnsi="Verdana" w:cs="Arial"/>
                <w:lang w:val="es-ES_tradnl" w:eastAsia="es-ES_tradnl"/>
              </w:rPr>
            </w:pPr>
            <w:r w:rsidRPr="00CE4EF3">
              <w:rPr>
                <w:rFonts w:ascii="Verdana" w:eastAsia="Calibri" w:hAnsi="Verdana" w:cs="Arial"/>
                <w:lang w:val="es-ES_tradnl" w:eastAsia="es-ES_tradnl"/>
              </w:rPr>
              <w:t>Respuesta a consulta con radicado No. P20240729007786</w:t>
            </w:r>
          </w:p>
        </w:tc>
      </w:tr>
    </w:tbl>
    <w:p w14:paraId="69C66016" w14:textId="77777777" w:rsidR="00CE4EF3" w:rsidRPr="00CE4EF3" w:rsidRDefault="00CE4EF3" w:rsidP="00CE4EF3">
      <w:pPr>
        <w:spacing w:after="0" w:line="240" w:lineRule="auto"/>
        <w:jc w:val="both"/>
        <w:rPr>
          <w:rFonts w:ascii="Verdana" w:eastAsia="Calibri" w:hAnsi="Verdana" w:cs="Arial"/>
          <w:lang w:val="es-ES_tradnl" w:eastAsia="es-ES_tradnl"/>
        </w:rPr>
      </w:pPr>
    </w:p>
    <w:p w14:paraId="7A612A2C" w14:textId="77777777" w:rsidR="00CE4EF3" w:rsidRPr="00CE4EF3" w:rsidRDefault="00CE4EF3" w:rsidP="00CE4EF3">
      <w:pPr>
        <w:spacing w:after="0" w:line="240" w:lineRule="auto"/>
        <w:jc w:val="both"/>
        <w:rPr>
          <w:rFonts w:ascii="Verdana" w:eastAsia="Calibri" w:hAnsi="Verdana" w:cs="Arial"/>
          <w:lang w:val="es-ES_tradnl" w:eastAsia="es-ES_tradnl"/>
        </w:rPr>
      </w:pPr>
    </w:p>
    <w:p w14:paraId="7C9BC654" w14:textId="77777777" w:rsidR="00CE4EF3" w:rsidRPr="00CE4EF3" w:rsidRDefault="00CE4EF3" w:rsidP="00CE4EF3">
      <w:pPr>
        <w:spacing w:after="0" w:line="276" w:lineRule="auto"/>
        <w:jc w:val="both"/>
        <w:rPr>
          <w:rFonts w:ascii="Verdana" w:eastAsia="Calibri" w:hAnsi="Verdana" w:cs="Arial"/>
          <w:lang w:val="es-ES" w:eastAsia="es-ES"/>
        </w:rPr>
      </w:pPr>
      <w:r w:rsidRPr="00CE4EF3">
        <w:rPr>
          <w:rFonts w:ascii="Verdana" w:eastAsia="Calibri" w:hAnsi="Verdana" w:cs="Arial"/>
          <w:lang w:val="es-ES" w:eastAsia="es-ES"/>
        </w:rPr>
        <w:t xml:space="preserve">Estimada señora Morales Márquez: </w:t>
      </w:r>
    </w:p>
    <w:p w14:paraId="7F147787" w14:textId="77777777" w:rsidR="00CE4EF3" w:rsidRPr="00CE4EF3" w:rsidRDefault="00CE4EF3" w:rsidP="00CE4EF3">
      <w:pPr>
        <w:tabs>
          <w:tab w:val="left" w:pos="3768"/>
        </w:tabs>
        <w:spacing w:after="0" w:line="276" w:lineRule="auto"/>
        <w:jc w:val="both"/>
        <w:rPr>
          <w:rFonts w:ascii="Verdana" w:eastAsia="Calibri" w:hAnsi="Verdana" w:cs="Arial"/>
          <w:lang w:val="es-ES" w:eastAsia="es-ES"/>
        </w:rPr>
      </w:pPr>
      <w:r w:rsidRPr="00CE4EF3">
        <w:rPr>
          <w:rFonts w:ascii="Verdana" w:eastAsia="Calibri" w:hAnsi="Verdana" w:cs="Arial"/>
          <w:lang w:val="es-ES" w:eastAsia="es-ES"/>
        </w:rPr>
        <w:tab/>
      </w:r>
    </w:p>
    <w:p w14:paraId="4F3A6F5A" w14:textId="77777777" w:rsidR="00CE4EF3" w:rsidRPr="00CE4EF3" w:rsidRDefault="00CE4EF3" w:rsidP="00CE4EF3">
      <w:pPr>
        <w:spacing w:after="0" w:line="276" w:lineRule="auto"/>
        <w:jc w:val="both"/>
        <w:rPr>
          <w:rFonts w:ascii="Verdana" w:eastAsia="Calibri" w:hAnsi="Verdana" w:cs="Arial"/>
          <w:lang w:val="es-ES" w:eastAsia="es-ES"/>
        </w:rPr>
      </w:pPr>
      <w:r w:rsidRPr="00CE4EF3">
        <w:rPr>
          <w:rFonts w:ascii="Verdana" w:eastAsia="Calibri" w:hAnsi="Verdana" w:cs="Arial"/>
          <w:lang w:val="es-ES" w:eastAsia="es-ES"/>
        </w:rPr>
        <w:t>En ejercicio de la competencia otorgada por los artículos 3, numeral 5º, y 11, numeral 8º, del Decreto Ley 4170 de 2011,</w:t>
      </w:r>
      <w:r w:rsidRPr="00CE4EF3">
        <w:rPr>
          <w:rFonts w:ascii="Verdana" w:eastAsia="Arial MT" w:hAnsi="Verdana" w:cs="Arial MT"/>
          <w:lang w:val="es-ES" w:eastAsia="es-ES"/>
        </w:rPr>
        <w:t xml:space="preserve"> </w:t>
      </w:r>
      <w:r w:rsidRPr="00CE4EF3">
        <w:rPr>
          <w:rFonts w:ascii="Verdana" w:eastAsia="Calibri" w:hAnsi="Verdana" w:cs="Arial"/>
        </w:rPr>
        <w:t xml:space="preserve">así como lo establecido en el artículo 4 de la Resolución 1707 de 2018 expedida por esta Entidad, </w:t>
      </w:r>
      <w:r w:rsidRPr="00CE4EF3">
        <w:rPr>
          <w:rFonts w:ascii="Verdana" w:eastAsia="Calibri" w:hAnsi="Verdana" w:cs="Arial"/>
          <w:lang w:val="es-ES" w:eastAsia="es-ES"/>
        </w:rPr>
        <w:t>la Agencia Nacional de Contratación Pública – Colombia Compra Eficiente responde su solicitud de consulta de fecha 29 de julio de 2024. En relación con el artículo 20 de la Ley 842 de 2003 y los documentos tipo de obra pública de infraestructura de transporte, usted manifiesta lo siguiente:</w:t>
      </w:r>
    </w:p>
    <w:p w14:paraId="0FCEAC89" w14:textId="77777777" w:rsidR="00CE4EF3" w:rsidRPr="00CE4EF3" w:rsidRDefault="00CE4EF3" w:rsidP="00CE4EF3">
      <w:pPr>
        <w:tabs>
          <w:tab w:val="left" w:pos="142"/>
          <w:tab w:val="left" w:pos="284"/>
        </w:tabs>
        <w:spacing w:line="276" w:lineRule="auto"/>
        <w:contextualSpacing/>
        <w:jc w:val="both"/>
        <w:rPr>
          <w:rFonts w:ascii="Verdana" w:eastAsia="Century Gothic" w:hAnsi="Verdana" w:cs="Century Gothic"/>
          <w:b/>
          <w:bCs/>
          <w:lang w:val="es-ES"/>
        </w:rPr>
      </w:pPr>
    </w:p>
    <w:p w14:paraId="06BDB946" w14:textId="77777777" w:rsidR="00CE4EF3" w:rsidRPr="00CE4EF3" w:rsidRDefault="00CE4EF3" w:rsidP="00CE4EF3">
      <w:pPr>
        <w:spacing w:after="0" w:line="240" w:lineRule="auto"/>
        <w:ind w:left="709" w:right="709"/>
        <w:jc w:val="both"/>
        <w:rPr>
          <w:rFonts w:ascii="Verdana" w:eastAsia="Century Gothic" w:hAnsi="Verdana" w:cs="Century Gothic"/>
          <w:sz w:val="21"/>
          <w:szCs w:val="21"/>
          <w:lang w:val="es-ES"/>
        </w:rPr>
      </w:pPr>
      <w:r w:rsidRPr="00CE4EF3">
        <w:rPr>
          <w:rFonts w:ascii="Verdana" w:eastAsia="Century Gothic" w:hAnsi="Verdana" w:cs="Century Gothic"/>
          <w:sz w:val="21"/>
          <w:szCs w:val="21"/>
          <w:lang w:val="es-ES"/>
        </w:rPr>
        <w:t>“[…]</w:t>
      </w:r>
    </w:p>
    <w:p w14:paraId="37795A11" w14:textId="77777777" w:rsidR="00CE4EF3" w:rsidRPr="00CE4EF3" w:rsidRDefault="00CE4EF3" w:rsidP="00CE4EF3">
      <w:pPr>
        <w:spacing w:after="0" w:line="240" w:lineRule="auto"/>
        <w:ind w:left="709" w:right="709"/>
        <w:jc w:val="both"/>
        <w:rPr>
          <w:rFonts w:ascii="Verdana" w:eastAsia="Century Gothic" w:hAnsi="Verdana" w:cs="Century Gothic"/>
          <w:sz w:val="21"/>
          <w:szCs w:val="21"/>
          <w:lang w:val="es-ES"/>
        </w:rPr>
      </w:pPr>
      <w:r w:rsidRPr="00CE4EF3">
        <w:rPr>
          <w:rFonts w:ascii="Verdana" w:eastAsia="Century Gothic" w:hAnsi="Verdana" w:cs="Century Gothic"/>
          <w:sz w:val="21"/>
          <w:szCs w:val="21"/>
          <w:lang w:val="es-ES"/>
        </w:rPr>
        <w:t xml:space="preserve">Es decir, en el texto del pliego tipo se agrega la expresión “si el representante legal o apoderado del proponente individual persona jurídica o el representante legal o apoderado de la estructura plural </w:t>
      </w:r>
      <w:r w:rsidRPr="00CE4EF3">
        <w:rPr>
          <w:rFonts w:ascii="Verdana" w:eastAsia="Century Gothic" w:hAnsi="Verdana" w:cs="Century Gothic"/>
          <w:sz w:val="21"/>
          <w:szCs w:val="21"/>
          <w:lang w:val="es-ES"/>
        </w:rPr>
        <w:lastRenderedPageBreak/>
        <w:t>“puesto que dicha expresión NO HACE PARTE DEL TEXTO ORIGINAL Y VIGENTE DE LA NORMA.</w:t>
      </w:r>
    </w:p>
    <w:p w14:paraId="45811B63" w14:textId="77777777" w:rsidR="00CE4EF3" w:rsidRPr="00CE4EF3" w:rsidRDefault="00CE4EF3" w:rsidP="00CE4EF3">
      <w:pPr>
        <w:spacing w:after="0" w:line="240" w:lineRule="auto"/>
        <w:ind w:left="709" w:right="709"/>
        <w:jc w:val="both"/>
        <w:rPr>
          <w:rFonts w:ascii="Verdana" w:eastAsia="Century Gothic" w:hAnsi="Verdana" w:cs="Century Gothic"/>
          <w:sz w:val="21"/>
          <w:szCs w:val="21"/>
          <w:lang w:val="es-ES"/>
        </w:rPr>
      </w:pPr>
    </w:p>
    <w:p w14:paraId="05047D4F" w14:textId="77777777" w:rsidR="00CE4EF3" w:rsidRPr="00CE4EF3" w:rsidRDefault="00CE4EF3" w:rsidP="00CE4EF3">
      <w:pPr>
        <w:spacing w:after="0" w:line="240" w:lineRule="auto"/>
        <w:ind w:left="709" w:right="709"/>
        <w:jc w:val="both"/>
        <w:rPr>
          <w:rFonts w:ascii="Verdana" w:eastAsia="Century Gothic" w:hAnsi="Verdana" w:cs="Century Gothic"/>
          <w:sz w:val="21"/>
          <w:szCs w:val="21"/>
          <w:lang w:val="es-ES"/>
        </w:rPr>
      </w:pPr>
      <w:r w:rsidRPr="00CE4EF3">
        <w:rPr>
          <w:rFonts w:ascii="Verdana" w:eastAsia="Century Gothic" w:hAnsi="Verdana" w:cs="Century Gothic"/>
          <w:sz w:val="21"/>
          <w:szCs w:val="21"/>
          <w:lang w:val="es-ES"/>
        </w:rPr>
        <w:t>Teniendo en cuenta que si el legislador no distingue, no le es viable al interprete hacerlo.</w:t>
      </w:r>
    </w:p>
    <w:p w14:paraId="1847F919" w14:textId="77777777" w:rsidR="00CE4EF3" w:rsidRPr="00CE4EF3" w:rsidRDefault="00CE4EF3" w:rsidP="00CE4EF3">
      <w:pPr>
        <w:spacing w:after="0" w:line="240" w:lineRule="auto"/>
        <w:ind w:left="709" w:right="709"/>
        <w:jc w:val="both"/>
        <w:rPr>
          <w:rFonts w:ascii="Verdana" w:eastAsia="Century Gothic" w:hAnsi="Verdana" w:cs="Century Gothic"/>
          <w:sz w:val="21"/>
          <w:szCs w:val="21"/>
          <w:lang w:val="es-ES"/>
        </w:rPr>
      </w:pPr>
    </w:p>
    <w:p w14:paraId="1C2BECCE" w14:textId="77777777" w:rsidR="00CE4EF3" w:rsidRPr="00CE4EF3" w:rsidRDefault="00CE4EF3" w:rsidP="00CE4EF3">
      <w:pPr>
        <w:spacing w:after="0" w:line="240" w:lineRule="auto"/>
        <w:ind w:left="709" w:right="709"/>
        <w:jc w:val="both"/>
        <w:rPr>
          <w:rFonts w:ascii="Verdana" w:eastAsia="Century Gothic" w:hAnsi="Verdana" w:cs="Century Gothic"/>
          <w:sz w:val="21"/>
          <w:szCs w:val="21"/>
          <w:lang w:val="es-ES"/>
        </w:rPr>
      </w:pPr>
      <w:r w:rsidRPr="00CE4EF3">
        <w:rPr>
          <w:rFonts w:ascii="Verdana" w:eastAsia="Century Gothic" w:hAnsi="Verdana" w:cs="Century Gothic"/>
          <w:sz w:val="21"/>
          <w:szCs w:val="21"/>
          <w:lang w:val="es-ES"/>
        </w:rPr>
        <w:t>Así las cosas, ¿por qué incluyeron esa expresión en el pliego tipo si no hace parte del texto original del artículo 20 de la ley 842 de 2003?</w:t>
      </w:r>
    </w:p>
    <w:p w14:paraId="5C286191" w14:textId="77777777" w:rsidR="00CE4EF3" w:rsidRPr="00CE4EF3" w:rsidRDefault="00CE4EF3" w:rsidP="00CE4EF3">
      <w:pPr>
        <w:spacing w:after="0" w:line="240" w:lineRule="auto"/>
        <w:ind w:left="709" w:right="709"/>
        <w:jc w:val="both"/>
        <w:rPr>
          <w:rFonts w:ascii="Verdana" w:eastAsia="Century Gothic" w:hAnsi="Verdana" w:cs="Century Gothic"/>
          <w:sz w:val="21"/>
          <w:szCs w:val="21"/>
          <w:lang w:val="es-ES"/>
        </w:rPr>
      </w:pPr>
    </w:p>
    <w:p w14:paraId="1433E380" w14:textId="77777777" w:rsidR="00CE4EF3" w:rsidRPr="00CE4EF3" w:rsidRDefault="00CE4EF3" w:rsidP="00CE4EF3">
      <w:pPr>
        <w:spacing w:after="0" w:line="240" w:lineRule="auto"/>
        <w:ind w:left="709" w:right="709"/>
        <w:jc w:val="both"/>
        <w:rPr>
          <w:rFonts w:ascii="Verdana" w:eastAsia="Century Gothic" w:hAnsi="Verdana" w:cs="Century Gothic"/>
          <w:sz w:val="21"/>
          <w:szCs w:val="21"/>
          <w:lang w:val="es-ES"/>
        </w:rPr>
      </w:pPr>
      <w:r w:rsidRPr="00CE4EF3">
        <w:rPr>
          <w:rFonts w:ascii="Verdana" w:eastAsia="Century Gothic" w:hAnsi="Verdana" w:cs="Century Gothic"/>
          <w:sz w:val="21"/>
          <w:szCs w:val="21"/>
          <w:lang w:val="es-ES"/>
        </w:rPr>
        <w:t>Esa norma discrimina de manera abierta a las personas naturales excluyéndolos de la posibilidad de presentarse a procesos que utilicen los pliegos tipo, puesto que impide que se presenten con aval de un ingeniero civil, dejando esta posibilidad únicamente a proponentes plurales o persona jurídicas, a pesar de que la norme indica claramente deberán estar avaladas EN TODO CASO, cuando menos, por un ingeniero inscrito…”</w:t>
      </w:r>
    </w:p>
    <w:p w14:paraId="25AB6797" w14:textId="77777777" w:rsidR="00CE4EF3" w:rsidRPr="00CE4EF3" w:rsidRDefault="00CE4EF3" w:rsidP="00CE4EF3">
      <w:pPr>
        <w:spacing w:after="0" w:line="240" w:lineRule="auto"/>
        <w:ind w:left="709" w:right="709"/>
        <w:jc w:val="both"/>
        <w:rPr>
          <w:rFonts w:ascii="Verdana" w:eastAsia="Century Gothic" w:hAnsi="Verdana" w:cs="Century Gothic"/>
          <w:lang w:val="es-ES"/>
        </w:rPr>
      </w:pPr>
      <w:r w:rsidRPr="00CE4EF3">
        <w:rPr>
          <w:rFonts w:ascii="Verdana" w:eastAsia="Century Gothic" w:hAnsi="Verdana" w:cs="Century Gothic"/>
          <w:sz w:val="20"/>
          <w:szCs w:val="20"/>
          <w:lang w:val="es-ES"/>
        </w:rPr>
        <w:t xml:space="preserve">   </w:t>
      </w:r>
    </w:p>
    <w:p w14:paraId="3BB1C746" w14:textId="77777777" w:rsidR="00CE4EF3" w:rsidRPr="00CE4EF3" w:rsidRDefault="00CE4EF3" w:rsidP="00CE4EF3">
      <w:pPr>
        <w:spacing w:after="120" w:line="276" w:lineRule="auto"/>
        <w:ind w:firstLine="709"/>
        <w:jc w:val="both"/>
        <w:rPr>
          <w:rFonts w:ascii="Verdana" w:eastAsia="Calibri" w:hAnsi="Verdana" w:cs="Arial"/>
          <w:szCs w:val="24"/>
          <w:lang w:val="es-ES_tradnl" w:eastAsia="es-ES_tradnl"/>
        </w:rPr>
      </w:pPr>
      <w:r w:rsidRPr="00CE4EF3">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E4EF3">
        <w:rPr>
          <w:rFonts w:ascii="Verdana" w:eastAsia="Calibri" w:hAnsi="Verdana" w:cs="Arial"/>
          <w:szCs w:val="24"/>
          <w:lang w:val="es-ES_tradnl" w:eastAsia="es-ES_tradnl"/>
        </w:rPr>
        <w:tab/>
      </w:r>
    </w:p>
    <w:p w14:paraId="2E36A3D8" w14:textId="77777777" w:rsidR="00CE4EF3" w:rsidRPr="00CE4EF3" w:rsidRDefault="00CE4EF3" w:rsidP="00CE4EF3">
      <w:pPr>
        <w:spacing w:after="0" w:line="276" w:lineRule="auto"/>
        <w:ind w:firstLine="709"/>
        <w:jc w:val="both"/>
        <w:rPr>
          <w:rFonts w:ascii="Verdana" w:eastAsia="Calibri" w:hAnsi="Verdana" w:cs="Arial"/>
          <w:lang w:val="es-ES" w:eastAsia="es-ES"/>
        </w:rPr>
      </w:pPr>
      <w:r w:rsidRPr="00CE4EF3">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y que no se refieren a normas de contratación estatal, pero haciendo unas consideraciones sobre las normas generales relacionadas con el problema jurídico de su consulta. </w:t>
      </w:r>
    </w:p>
    <w:p w14:paraId="01386007" w14:textId="77777777" w:rsidR="00CE4EF3" w:rsidRPr="00CE4EF3" w:rsidRDefault="00CE4EF3" w:rsidP="00CE4EF3">
      <w:pPr>
        <w:spacing w:after="0" w:line="276" w:lineRule="auto"/>
        <w:ind w:firstLine="709"/>
        <w:jc w:val="both"/>
        <w:rPr>
          <w:rFonts w:ascii="Verdana" w:eastAsia="Calibri" w:hAnsi="Verdana" w:cs="Arial"/>
          <w:lang w:val="es-ES" w:eastAsia="es-ES"/>
        </w:rPr>
      </w:pPr>
    </w:p>
    <w:p w14:paraId="6AC895C0" w14:textId="77777777" w:rsidR="00CE4EF3" w:rsidRPr="00CE4EF3" w:rsidRDefault="00CE4EF3" w:rsidP="00CE4EF3">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CE4EF3">
        <w:rPr>
          <w:rFonts w:ascii="Verdana" w:eastAsia="Century Gothic" w:hAnsi="Verdana" w:cs="Century Gothic"/>
          <w:b/>
          <w:bCs/>
          <w:lang w:val="es-ES"/>
        </w:rPr>
        <w:t>Problema planteado:</w:t>
      </w:r>
    </w:p>
    <w:p w14:paraId="2C25E335" w14:textId="77777777" w:rsidR="00CE4EF3" w:rsidRPr="00CE4EF3" w:rsidRDefault="00CE4EF3" w:rsidP="00CE4EF3">
      <w:pPr>
        <w:tabs>
          <w:tab w:val="left" w:pos="426"/>
        </w:tabs>
        <w:spacing w:after="0" w:line="276" w:lineRule="auto"/>
        <w:jc w:val="both"/>
        <w:rPr>
          <w:rFonts w:ascii="Verdana" w:eastAsia="Century Gothic" w:hAnsi="Verdana" w:cs="Century Gothic"/>
          <w:lang w:val="es-ES"/>
        </w:rPr>
      </w:pPr>
    </w:p>
    <w:p w14:paraId="448A4265" w14:textId="77777777" w:rsidR="00CE4EF3" w:rsidRPr="00CE4EF3" w:rsidRDefault="00CE4EF3" w:rsidP="00CE4EF3">
      <w:pPr>
        <w:snapToGrid w:val="0"/>
        <w:spacing w:after="0" w:line="276" w:lineRule="auto"/>
        <w:jc w:val="both"/>
        <w:rPr>
          <w:rFonts w:ascii="Verdana" w:eastAsia="Century Gothic" w:hAnsi="Verdana" w:cs="Century Gothic"/>
        </w:rPr>
      </w:pPr>
      <w:r w:rsidRPr="00CE4EF3">
        <w:rPr>
          <w:rFonts w:ascii="Verdana" w:eastAsia="Century Gothic" w:hAnsi="Verdana" w:cs="Century Gothic"/>
        </w:rPr>
        <w:t>De acuerdo con el contenido de su solicitud, esta Agencia resolverá el siguiente problema jurídico: tratándose d</w:t>
      </w:r>
      <w:r w:rsidRPr="00CE4EF3">
        <w:rPr>
          <w:rFonts w:ascii="Verdana" w:eastAsia="Calibri" w:hAnsi="Verdana" w:cs="Arial"/>
          <w:shd w:val="clear" w:color="auto" w:fill="FFFFFF"/>
          <w:lang w:val="es-ES"/>
        </w:rPr>
        <w:t xml:space="preserve">el aval y la participación de profesionales de la ingeniería en los procesos de contratación, ¿por qué se establecen situaciones </w:t>
      </w:r>
      <w:r w:rsidRPr="00CE4EF3">
        <w:rPr>
          <w:rFonts w:ascii="Verdana" w:eastAsia="Calibri" w:hAnsi="Verdana" w:cs="Arial"/>
          <w:shd w:val="clear" w:color="auto" w:fill="FFFFFF"/>
          <w:lang w:val="es-ES"/>
        </w:rPr>
        <w:lastRenderedPageBreak/>
        <w:t>diferentes en el caso de personas naturales, personas jurídicas y proponentes plurales en los documentos tipo de obra pública de infraestructura de transporte?</w:t>
      </w:r>
    </w:p>
    <w:p w14:paraId="0721E3E1" w14:textId="77777777" w:rsidR="00CE4EF3" w:rsidRPr="00CE4EF3" w:rsidRDefault="00CE4EF3" w:rsidP="00CE4EF3">
      <w:pPr>
        <w:snapToGrid w:val="0"/>
        <w:spacing w:after="0" w:line="276" w:lineRule="auto"/>
        <w:jc w:val="both"/>
        <w:rPr>
          <w:rFonts w:ascii="Verdana" w:eastAsia="Calibri" w:hAnsi="Verdana" w:cs="Arial"/>
          <w:lang w:val="es-ES"/>
        </w:rPr>
      </w:pPr>
    </w:p>
    <w:p w14:paraId="3A2FD148" w14:textId="77777777" w:rsidR="00CE4EF3" w:rsidRPr="00CE4EF3" w:rsidRDefault="00CE4EF3" w:rsidP="00CE4EF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CE4EF3">
        <w:rPr>
          <w:rFonts w:ascii="Verdana" w:eastAsia="Century Gothic" w:hAnsi="Verdana" w:cs="Century Gothic"/>
          <w:b/>
          <w:bCs/>
          <w:lang w:val="es-ES"/>
        </w:rPr>
        <w:t>Respuesta:</w:t>
      </w:r>
    </w:p>
    <w:p w14:paraId="577C86E1" w14:textId="77777777" w:rsidR="00CE4EF3" w:rsidRPr="00CE4EF3" w:rsidRDefault="00CE4EF3" w:rsidP="00CE4EF3">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E4EF3" w:rsidRPr="00CE4EF3" w14:paraId="33EBB525" w14:textId="77777777" w:rsidTr="00937213">
        <w:tc>
          <w:tcPr>
            <w:tcW w:w="8828" w:type="dxa"/>
            <w:shd w:val="clear" w:color="auto" w:fill="auto"/>
          </w:tcPr>
          <w:p w14:paraId="5F4F49C4" w14:textId="77777777" w:rsidR="00CE4EF3" w:rsidRPr="00CE4EF3" w:rsidRDefault="00CE4EF3" w:rsidP="00CE4EF3">
            <w:pPr>
              <w:widowControl w:val="0"/>
              <w:autoSpaceDE w:val="0"/>
              <w:autoSpaceDN w:val="0"/>
              <w:spacing w:line="276" w:lineRule="auto"/>
              <w:ind w:right="51"/>
              <w:jc w:val="both"/>
              <w:rPr>
                <w:rFonts w:ascii="Verdana" w:eastAsia="Arial" w:hAnsi="Verdana" w:cs="Arial"/>
                <w:lang w:val="es-ES"/>
              </w:rPr>
            </w:pPr>
            <w:r w:rsidRPr="00CE4EF3">
              <w:rPr>
                <w:rFonts w:ascii="Verdana" w:eastAsia="Arial" w:hAnsi="Verdana" w:cs="Arial"/>
                <w:lang w:val="es-ES"/>
              </w:rPr>
              <w:t>Tratándose de los documentos tipo de obra pública de infraestructura de transporte, el proponente persona natural debe tener el título de ingeniero. E</w:t>
            </w:r>
            <w:r w:rsidRPr="00CE4EF3">
              <w:rPr>
                <w:rFonts w:ascii="Verdana" w:eastAsia="Arial" w:hAnsi="Verdana" w:cs="Arial"/>
                <w:color w:val="000000"/>
                <w:lang w:val="es-MX"/>
              </w:rPr>
              <w:t>sta regulación además obedece a los tipos de proyectos que se estandarizan mediante los documentos tipo indicados, respecto del sector de infraestructura de transporte, en los que son los ingenieros quienes cuentan legalmente con la idoneidad para el desarrollo de los mismos, de acuerdo con el alcance de los objetos contractuales frente a los que aplican tales documentos tipo, acorde con las actividades establecidas en la Matriz 1 – Experiencia.</w:t>
            </w:r>
          </w:p>
          <w:p w14:paraId="7FCDD0D8" w14:textId="77777777" w:rsidR="00CE4EF3" w:rsidRPr="00CE4EF3" w:rsidRDefault="00CE4EF3" w:rsidP="00CE4EF3">
            <w:pPr>
              <w:widowControl w:val="0"/>
              <w:autoSpaceDE w:val="0"/>
              <w:autoSpaceDN w:val="0"/>
              <w:spacing w:line="276" w:lineRule="auto"/>
              <w:ind w:right="51"/>
              <w:jc w:val="both"/>
              <w:rPr>
                <w:rFonts w:ascii="Verdana" w:eastAsia="Arial" w:hAnsi="Verdana" w:cs="Arial"/>
                <w:lang w:val="es-ES"/>
              </w:rPr>
            </w:pPr>
          </w:p>
          <w:p w14:paraId="15D1FD36" w14:textId="77777777" w:rsidR="00CE4EF3" w:rsidRPr="00CE4EF3" w:rsidRDefault="00CE4EF3" w:rsidP="00CE4EF3">
            <w:pPr>
              <w:widowControl w:val="0"/>
              <w:autoSpaceDE w:val="0"/>
              <w:autoSpaceDN w:val="0"/>
              <w:spacing w:line="276" w:lineRule="auto"/>
              <w:ind w:right="51"/>
              <w:jc w:val="both"/>
              <w:rPr>
                <w:rFonts w:ascii="Arial" w:eastAsia="Arial" w:hAnsi="Arial" w:cs="Arial"/>
                <w:lang w:val="es-ES"/>
              </w:rPr>
            </w:pPr>
            <w:r w:rsidRPr="00CE4EF3">
              <w:rPr>
                <w:rFonts w:ascii="Verdana" w:eastAsia="Arial" w:hAnsi="Verdana" w:cs="Arial"/>
                <w:lang w:val="es-ES"/>
              </w:rPr>
              <w:t>En el evento en que se trate de una persona jurídica, cuyo representante legal no es un ingeniero, la presentación de su oferta debe estar avalada por un ingeniero, de lo contrario no podrá participar en el respectivo proceso de contratación, por expreso mandato legal y por estar así previsto en los Documentos Tipo que son obligatorios e inalterables, lo que se sustenta en que solo estos profesionales de la ingeniería se encuentran habilitados legalmente para el desarrollo de este tipo de proyectos. Esta interpretación, es respaldada por la Corte Constitucional, de modo que la obligatoriedad de presentar las propuestas con el aval de un ingeniero en licitaciones y concursos abiertos en los contratos que impliquen el desarrollo de actividades catalogadas como ejercicio de la ingeniería es objetiva y proporcional en la medida que el aval de un ingeniero únicamente se debe realizar tratándose de procesos de contratación que involucren actividades catalogadas como ejercicio de la ingeniería.</w:t>
            </w:r>
          </w:p>
        </w:tc>
      </w:tr>
    </w:tbl>
    <w:p w14:paraId="74910C94" w14:textId="77777777" w:rsidR="00CE4EF3" w:rsidRPr="00CE4EF3" w:rsidRDefault="00CE4EF3" w:rsidP="00CE4EF3">
      <w:pPr>
        <w:tabs>
          <w:tab w:val="left" w:pos="142"/>
          <w:tab w:val="left" w:pos="284"/>
        </w:tabs>
        <w:snapToGrid w:val="0"/>
        <w:spacing w:after="0" w:line="276" w:lineRule="auto"/>
        <w:jc w:val="both"/>
        <w:rPr>
          <w:rFonts w:ascii="Verdana" w:eastAsia="Century Gothic" w:hAnsi="Verdana" w:cs="Century Gothic"/>
          <w:b/>
          <w:bCs/>
          <w:lang w:val="es-ES"/>
        </w:rPr>
      </w:pPr>
    </w:p>
    <w:p w14:paraId="7B9C762F" w14:textId="77777777" w:rsidR="00CE4EF3" w:rsidRPr="00CE4EF3" w:rsidRDefault="00CE4EF3" w:rsidP="00CE4EF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CE4EF3">
        <w:rPr>
          <w:rFonts w:ascii="Verdana" w:eastAsia="Century Gothic" w:hAnsi="Verdana" w:cs="Century Gothic"/>
          <w:b/>
          <w:bCs/>
          <w:lang w:val="es-ES"/>
        </w:rPr>
        <w:t>Razones de la respuesta:</w:t>
      </w:r>
    </w:p>
    <w:p w14:paraId="3C6EE2FC" w14:textId="77777777" w:rsidR="00CE4EF3" w:rsidRPr="00CE4EF3" w:rsidRDefault="00CE4EF3" w:rsidP="00CE4EF3">
      <w:pPr>
        <w:tabs>
          <w:tab w:val="left" w:pos="142"/>
          <w:tab w:val="left" w:pos="284"/>
        </w:tabs>
        <w:snapToGrid w:val="0"/>
        <w:spacing w:after="0" w:line="276" w:lineRule="auto"/>
        <w:ind w:left="357"/>
        <w:jc w:val="both"/>
        <w:rPr>
          <w:rFonts w:ascii="Verdana" w:eastAsia="Century Gothic" w:hAnsi="Verdana" w:cs="Century Gothic"/>
          <w:b/>
          <w:bCs/>
          <w:lang w:val="es-ES"/>
        </w:rPr>
      </w:pPr>
    </w:p>
    <w:p w14:paraId="0506A568" w14:textId="77777777" w:rsidR="00CE4EF3" w:rsidRPr="00CE4EF3" w:rsidRDefault="00CE4EF3" w:rsidP="00CE4EF3">
      <w:pPr>
        <w:snapToGrid w:val="0"/>
        <w:spacing w:after="0" w:line="276" w:lineRule="auto"/>
        <w:jc w:val="both"/>
        <w:rPr>
          <w:rFonts w:ascii="Verdana" w:eastAsia="Calibri" w:hAnsi="Verdana" w:cs="Arial"/>
          <w:lang w:val="es-ES"/>
        </w:rPr>
      </w:pPr>
      <w:r w:rsidRPr="00CE4EF3">
        <w:rPr>
          <w:rFonts w:ascii="Verdana" w:eastAsia="Calibri" w:hAnsi="Verdana" w:cs="Arial"/>
          <w:lang w:val="es-ES"/>
        </w:rPr>
        <w:t xml:space="preserve">Lo anterior se sustenta en las siguientes consideraciones: </w:t>
      </w:r>
    </w:p>
    <w:p w14:paraId="6B0441AC" w14:textId="77777777" w:rsidR="00CE4EF3" w:rsidRPr="00CE4EF3" w:rsidRDefault="00CE4EF3" w:rsidP="00CE4EF3">
      <w:pPr>
        <w:spacing w:after="0" w:line="276" w:lineRule="auto"/>
        <w:jc w:val="both"/>
        <w:rPr>
          <w:rFonts w:ascii="Verdana" w:eastAsia="Calibri" w:hAnsi="Verdana" w:cs="Arial"/>
          <w:lang w:val="es-ES"/>
        </w:rPr>
      </w:pPr>
    </w:p>
    <w:p w14:paraId="1D585AD9" w14:textId="77777777" w:rsidR="00CE4EF3" w:rsidRPr="00CE4EF3" w:rsidRDefault="00CE4EF3" w:rsidP="00CE4EF3">
      <w:pPr>
        <w:widowControl w:val="0"/>
        <w:numPr>
          <w:ilvl w:val="0"/>
          <w:numId w:val="18"/>
        </w:numPr>
        <w:autoSpaceDE w:val="0"/>
        <w:autoSpaceDN w:val="0"/>
        <w:spacing w:after="0" w:line="276" w:lineRule="auto"/>
        <w:ind w:right="49"/>
        <w:jc w:val="both"/>
        <w:rPr>
          <w:rFonts w:ascii="Verdana" w:eastAsia="Arial" w:hAnsi="Verdana" w:cs="Arial"/>
          <w:kern w:val="2"/>
          <w:lang w:val="es-ES" w:eastAsia="es-ES" w:bidi="es-ES"/>
          <w14:ligatures w14:val="standardContextual"/>
        </w:rPr>
      </w:pPr>
      <w:r w:rsidRPr="00CE4EF3">
        <w:rPr>
          <w:rFonts w:ascii="Verdana" w:eastAsia="Arial" w:hAnsi="Verdana" w:cs="Arial"/>
          <w:kern w:val="2"/>
          <w:lang w:val="es-ES" w:eastAsia="es-ES" w:bidi="es-ES"/>
          <w14:ligatures w14:val="standardContextual"/>
        </w:rPr>
        <w:t xml:space="preserve">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w:t>
      </w:r>
      <w:r w:rsidRPr="00CE4EF3">
        <w:rPr>
          <w:rFonts w:ascii="Verdana" w:eastAsia="Arial" w:hAnsi="Verdana" w:cs="Arial"/>
          <w:kern w:val="2"/>
          <w:lang w:val="es-ES" w:eastAsia="es-ES" w:bidi="es-ES"/>
          <w14:ligatures w14:val="standardContextual"/>
        </w:rPr>
        <w:lastRenderedPageBreak/>
        <w:t>principio de libertad e igualdad en materia laboral:</w:t>
      </w:r>
    </w:p>
    <w:p w14:paraId="61A1F7F1" w14:textId="77777777" w:rsidR="00CE4EF3" w:rsidRPr="00CE4EF3" w:rsidRDefault="00CE4EF3" w:rsidP="00CE4EF3">
      <w:pPr>
        <w:widowControl w:val="0"/>
        <w:autoSpaceDE w:val="0"/>
        <w:autoSpaceDN w:val="0"/>
        <w:spacing w:after="0" w:line="276" w:lineRule="auto"/>
        <w:rPr>
          <w:rFonts w:ascii="Verdana" w:eastAsia="Arial" w:hAnsi="Verdana" w:cs="Arial"/>
          <w:kern w:val="2"/>
          <w:lang w:val="es-ES" w:eastAsia="es-ES" w:bidi="es-ES"/>
          <w14:ligatures w14:val="standardContextual"/>
        </w:rPr>
      </w:pPr>
    </w:p>
    <w:p w14:paraId="1DB1D2D6" w14:textId="77777777" w:rsidR="00CE4EF3" w:rsidRPr="00CE4EF3" w:rsidRDefault="00CE4EF3" w:rsidP="00CE4EF3">
      <w:pPr>
        <w:widowControl w:val="0"/>
        <w:autoSpaceDE w:val="0"/>
        <w:autoSpaceDN w:val="0"/>
        <w:spacing w:after="0" w:line="240" w:lineRule="auto"/>
        <w:ind w:left="720" w:right="709"/>
        <w:contextualSpacing/>
        <w:jc w:val="both"/>
        <w:rPr>
          <w:rFonts w:ascii="Verdana" w:eastAsia="Arial" w:hAnsi="Verdana" w:cs="Arial"/>
          <w:kern w:val="2"/>
          <w:sz w:val="21"/>
          <w:szCs w:val="21"/>
          <w:lang w:val="es-ES" w:eastAsia="es-ES" w:bidi="es-ES"/>
          <w14:ligatures w14:val="standardContextual"/>
        </w:rPr>
      </w:pPr>
      <w:r w:rsidRPr="00CE4EF3">
        <w:rPr>
          <w:rFonts w:ascii="Verdana" w:eastAsia="Arial" w:hAnsi="Verdana" w:cs="Arial"/>
          <w:kern w:val="2"/>
          <w:sz w:val="21"/>
          <w:szCs w:val="21"/>
          <w:lang w:val="es-ES" w:eastAsia="es-ES" w:bidi="es-ES"/>
          <w14:ligatures w14:val="standardContextual"/>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49F22000" w14:textId="77777777" w:rsidR="00CE4EF3" w:rsidRPr="00CE4EF3" w:rsidRDefault="00CE4EF3" w:rsidP="00CE4EF3">
      <w:pPr>
        <w:widowControl w:val="0"/>
        <w:autoSpaceDE w:val="0"/>
        <w:autoSpaceDN w:val="0"/>
        <w:spacing w:after="0" w:line="240" w:lineRule="auto"/>
        <w:ind w:left="709" w:right="709"/>
        <w:rPr>
          <w:rFonts w:ascii="Verdana" w:eastAsia="Arial" w:hAnsi="Verdana" w:cs="Arial"/>
          <w:kern w:val="2"/>
          <w:sz w:val="21"/>
          <w:szCs w:val="21"/>
          <w:lang w:val="es-ES" w:eastAsia="es-ES" w:bidi="es-ES"/>
          <w14:ligatures w14:val="standardContextual"/>
        </w:rPr>
      </w:pPr>
      <w:r w:rsidRPr="00CE4EF3">
        <w:rPr>
          <w:rFonts w:ascii="Verdana" w:eastAsia="Arial" w:hAnsi="Verdana" w:cs="Arial"/>
          <w:kern w:val="2"/>
          <w:sz w:val="21"/>
          <w:szCs w:val="21"/>
          <w:lang w:val="es-ES" w:eastAsia="es-ES" w:bidi="es-ES"/>
          <w14:ligatures w14:val="standardContextual"/>
        </w:rPr>
        <w:t>[…]</w:t>
      </w:r>
    </w:p>
    <w:p w14:paraId="68C28C0B" w14:textId="77777777" w:rsidR="00CE4EF3" w:rsidRPr="00CE4EF3" w:rsidRDefault="00CE4EF3" w:rsidP="00CE4EF3">
      <w:pPr>
        <w:widowControl w:val="0"/>
        <w:autoSpaceDE w:val="0"/>
        <w:autoSpaceDN w:val="0"/>
        <w:spacing w:after="0" w:line="240" w:lineRule="auto"/>
        <w:ind w:left="709" w:right="709"/>
        <w:jc w:val="both"/>
        <w:rPr>
          <w:rFonts w:ascii="Verdana" w:eastAsia="Arial" w:hAnsi="Verdana" w:cs="Arial"/>
          <w:kern w:val="2"/>
          <w:sz w:val="21"/>
          <w:szCs w:val="21"/>
          <w:lang w:val="es-ES" w:eastAsia="es-ES" w:bidi="es-ES"/>
          <w14:ligatures w14:val="standardContextual"/>
        </w:rPr>
      </w:pPr>
      <w:r w:rsidRPr="00CE4EF3">
        <w:rPr>
          <w:rFonts w:ascii="Verdana" w:eastAsia="Arial" w:hAnsi="Verdana" w:cs="Arial"/>
          <w:kern w:val="2"/>
          <w:sz w:val="21"/>
          <w:szCs w:val="21"/>
          <w:lang w:val="es-ES" w:eastAsia="es-ES" w:bidi="es-ES"/>
          <w14:ligatures w14:val="standardContextual"/>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CE4EF3">
        <w:rPr>
          <w:rFonts w:ascii="Verdana" w:eastAsia="Arial" w:hAnsi="Verdana" w:cs="Arial"/>
          <w:kern w:val="2"/>
          <w:sz w:val="21"/>
          <w:szCs w:val="21"/>
          <w:vertAlign w:val="superscript"/>
          <w:lang w:val="es-ES" w:eastAsia="es-ES" w:bidi="es-ES"/>
          <w14:ligatures w14:val="standardContextual"/>
        </w:rPr>
        <w:footnoteReference w:id="2"/>
      </w:r>
      <w:r w:rsidRPr="00CE4EF3">
        <w:rPr>
          <w:rFonts w:ascii="Verdana" w:eastAsia="Arial" w:hAnsi="Verdana" w:cs="Arial"/>
          <w:kern w:val="2"/>
          <w:sz w:val="21"/>
          <w:szCs w:val="21"/>
          <w:lang w:val="es-ES" w:eastAsia="es-ES" w:bidi="es-ES"/>
          <w14:ligatures w14:val="standardContextual"/>
        </w:rPr>
        <w:t>.</w:t>
      </w:r>
    </w:p>
    <w:p w14:paraId="0A837F5B" w14:textId="77777777" w:rsidR="00CE4EF3" w:rsidRPr="00CE4EF3" w:rsidRDefault="00CE4EF3" w:rsidP="00CE4EF3">
      <w:pPr>
        <w:widowControl w:val="0"/>
        <w:autoSpaceDE w:val="0"/>
        <w:autoSpaceDN w:val="0"/>
        <w:spacing w:after="0" w:line="276" w:lineRule="auto"/>
        <w:ind w:right="304"/>
        <w:jc w:val="both"/>
        <w:rPr>
          <w:rFonts w:ascii="Verdana" w:eastAsia="Calibri" w:hAnsi="Verdana" w:cs="Arial"/>
          <w:b/>
          <w:bCs/>
          <w:kern w:val="2"/>
          <w:lang w:val="es-MX"/>
          <w14:ligatures w14:val="standardContextual"/>
        </w:rPr>
      </w:pPr>
    </w:p>
    <w:p w14:paraId="71B9751C" w14:textId="77777777" w:rsidR="00CE4EF3" w:rsidRPr="00CE4EF3" w:rsidRDefault="00CE4EF3" w:rsidP="00CE4EF3">
      <w:pPr>
        <w:widowControl w:val="0"/>
        <w:numPr>
          <w:ilvl w:val="0"/>
          <w:numId w:val="18"/>
        </w:numPr>
        <w:autoSpaceDE w:val="0"/>
        <w:autoSpaceDN w:val="0"/>
        <w:spacing w:after="0" w:line="276" w:lineRule="auto"/>
        <w:contextualSpacing/>
        <w:jc w:val="both"/>
        <w:rPr>
          <w:rFonts w:ascii="Verdana" w:eastAsia="Aptos" w:hAnsi="Verdana" w:cs="Arial"/>
          <w:kern w:val="2"/>
          <w:lang w:val="es-MX"/>
          <w14:ligatures w14:val="standardContextual"/>
        </w:rPr>
      </w:pPr>
      <w:r w:rsidRPr="00CE4EF3">
        <w:rPr>
          <w:rFonts w:ascii="Verdana" w:eastAsia="Arial" w:hAnsi="Verdana" w:cs="Arial"/>
          <w:kern w:val="2"/>
          <w:lang w:val="es-MX"/>
          <w14:ligatures w14:val="standardContextual"/>
        </w:rPr>
        <w:t xml:space="preserve">Haciendo uso de la mencionada prerrogativa, el legislador reguló el </w:t>
      </w:r>
      <w:r w:rsidRPr="00CE4EF3">
        <w:rPr>
          <w:rFonts w:ascii="Verdana" w:eastAsia="Arial" w:hAnsi="Verdana" w:cs="Arial"/>
          <w:kern w:val="2"/>
          <w:lang w:val="es-ES"/>
          <w14:ligatures w14:val="standardContextual"/>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CE4EF3">
        <w:rPr>
          <w:rFonts w:ascii="Verdana" w:eastAsia="Arial" w:hAnsi="Verdana" w:cs="Arial"/>
          <w:spacing w:val="8"/>
          <w:kern w:val="2"/>
          <w:lang w:val="es-ES"/>
          <w14:ligatures w14:val="standardContextual"/>
        </w:rPr>
        <w:t xml:space="preserve"> </w:t>
      </w:r>
      <w:r w:rsidRPr="00CE4EF3">
        <w:rPr>
          <w:rFonts w:ascii="Verdana" w:eastAsia="Arial" w:hAnsi="Verdana" w:cs="Arial"/>
          <w:kern w:val="2"/>
          <w:lang w:val="es-ES"/>
          <w14:ligatures w14:val="standardContextual"/>
        </w:rPr>
        <w:t>respectivo,</w:t>
      </w:r>
      <w:r w:rsidRPr="00CE4EF3">
        <w:rPr>
          <w:rFonts w:ascii="Verdana" w:eastAsia="Arial" w:hAnsi="Verdana" w:cs="Arial"/>
          <w:spacing w:val="8"/>
          <w:kern w:val="2"/>
          <w:lang w:val="es-ES"/>
          <w14:ligatures w14:val="standardContextual"/>
        </w:rPr>
        <w:t xml:space="preserve"> </w:t>
      </w:r>
      <w:r w:rsidRPr="00CE4EF3">
        <w:rPr>
          <w:rFonts w:ascii="Verdana" w:eastAsia="Arial" w:hAnsi="Verdana" w:cs="Arial"/>
          <w:kern w:val="2"/>
          <w:lang w:val="es-ES"/>
          <w14:ligatures w14:val="standardContextual"/>
        </w:rPr>
        <w:t>lo</w:t>
      </w:r>
      <w:r w:rsidRPr="00CE4EF3">
        <w:rPr>
          <w:rFonts w:ascii="Verdana" w:eastAsia="Arial" w:hAnsi="Verdana" w:cs="Arial"/>
          <w:spacing w:val="9"/>
          <w:kern w:val="2"/>
          <w:lang w:val="es-ES"/>
          <w14:ligatures w14:val="standardContextual"/>
        </w:rPr>
        <w:t xml:space="preserve"> </w:t>
      </w:r>
      <w:r w:rsidRPr="00CE4EF3">
        <w:rPr>
          <w:rFonts w:ascii="Verdana" w:eastAsia="Arial" w:hAnsi="Verdana" w:cs="Arial"/>
          <w:kern w:val="2"/>
          <w:lang w:val="es-ES"/>
          <w14:ligatures w14:val="standardContextual"/>
        </w:rPr>
        <w:t>cual</w:t>
      </w:r>
      <w:r w:rsidRPr="00CE4EF3">
        <w:rPr>
          <w:rFonts w:ascii="Verdana" w:eastAsia="Arial" w:hAnsi="Verdana" w:cs="Arial"/>
          <w:spacing w:val="8"/>
          <w:kern w:val="2"/>
          <w:lang w:val="es-ES"/>
          <w14:ligatures w14:val="standardContextual"/>
        </w:rPr>
        <w:t xml:space="preserve"> </w:t>
      </w:r>
      <w:r w:rsidRPr="00CE4EF3">
        <w:rPr>
          <w:rFonts w:ascii="Verdana" w:eastAsia="Arial" w:hAnsi="Verdana" w:cs="Arial"/>
          <w:kern w:val="2"/>
          <w:lang w:val="es-ES"/>
          <w14:ligatures w14:val="standardContextual"/>
        </w:rPr>
        <w:t>se</w:t>
      </w:r>
      <w:r w:rsidRPr="00CE4EF3">
        <w:rPr>
          <w:rFonts w:ascii="Verdana" w:eastAsia="Arial" w:hAnsi="Verdana" w:cs="Arial"/>
          <w:spacing w:val="8"/>
          <w:kern w:val="2"/>
          <w:lang w:val="es-ES"/>
          <w14:ligatures w14:val="standardContextual"/>
        </w:rPr>
        <w:t xml:space="preserve"> </w:t>
      </w:r>
      <w:r w:rsidRPr="00CE4EF3">
        <w:rPr>
          <w:rFonts w:ascii="Verdana" w:eastAsia="Arial" w:hAnsi="Verdana" w:cs="Arial"/>
          <w:kern w:val="2"/>
          <w:lang w:val="es-ES"/>
          <w14:ligatures w14:val="standardContextual"/>
        </w:rPr>
        <w:t>acredita</w:t>
      </w:r>
      <w:r w:rsidRPr="00CE4EF3">
        <w:rPr>
          <w:rFonts w:ascii="Verdana" w:eastAsia="Arial" w:hAnsi="Verdana" w:cs="Arial"/>
          <w:spacing w:val="6"/>
          <w:kern w:val="2"/>
          <w:lang w:val="es-ES"/>
          <w14:ligatures w14:val="standardContextual"/>
        </w:rPr>
        <w:t xml:space="preserve"> </w:t>
      </w:r>
      <w:r w:rsidRPr="00CE4EF3">
        <w:rPr>
          <w:rFonts w:ascii="Verdana" w:eastAsia="Arial" w:hAnsi="Verdana" w:cs="Arial"/>
          <w:kern w:val="2"/>
          <w:lang w:val="es-ES"/>
          <w14:ligatures w14:val="standardContextual"/>
        </w:rPr>
        <w:t>con</w:t>
      </w:r>
      <w:r w:rsidRPr="00CE4EF3">
        <w:rPr>
          <w:rFonts w:ascii="Verdana" w:eastAsia="Arial" w:hAnsi="Verdana" w:cs="Arial"/>
          <w:spacing w:val="7"/>
          <w:kern w:val="2"/>
          <w:lang w:val="es-ES"/>
          <w14:ligatures w14:val="standardContextual"/>
        </w:rPr>
        <w:t xml:space="preserve"> </w:t>
      </w:r>
      <w:r w:rsidRPr="00CE4EF3">
        <w:rPr>
          <w:rFonts w:ascii="Verdana" w:eastAsia="Arial" w:hAnsi="Verdana" w:cs="Arial"/>
          <w:kern w:val="2"/>
          <w:lang w:val="es-ES"/>
          <w14:ligatures w14:val="standardContextual"/>
        </w:rPr>
        <w:t>la</w:t>
      </w:r>
      <w:r w:rsidRPr="00CE4EF3">
        <w:rPr>
          <w:rFonts w:ascii="Verdana" w:eastAsia="Arial" w:hAnsi="Verdana" w:cs="Arial"/>
          <w:spacing w:val="8"/>
          <w:kern w:val="2"/>
          <w:lang w:val="es-ES"/>
          <w14:ligatures w14:val="standardContextual"/>
        </w:rPr>
        <w:t xml:space="preserve"> </w:t>
      </w:r>
      <w:r w:rsidRPr="00CE4EF3">
        <w:rPr>
          <w:rFonts w:ascii="Verdana" w:eastAsia="Arial" w:hAnsi="Verdana" w:cs="Arial"/>
          <w:kern w:val="2"/>
          <w:lang w:val="es-ES"/>
          <w14:ligatures w14:val="standardContextual"/>
        </w:rPr>
        <w:t>tarjeta</w:t>
      </w:r>
      <w:r w:rsidRPr="00CE4EF3">
        <w:rPr>
          <w:rFonts w:ascii="Verdana" w:eastAsia="Arial" w:hAnsi="Verdana" w:cs="Arial"/>
          <w:spacing w:val="9"/>
          <w:kern w:val="2"/>
          <w:lang w:val="es-ES"/>
          <w14:ligatures w14:val="standardContextual"/>
        </w:rPr>
        <w:t xml:space="preserve"> </w:t>
      </w:r>
      <w:r w:rsidRPr="00CE4EF3">
        <w:rPr>
          <w:rFonts w:ascii="Verdana" w:eastAsia="Arial" w:hAnsi="Verdana" w:cs="Arial"/>
          <w:kern w:val="2"/>
          <w:lang w:val="es-ES"/>
          <w14:ligatures w14:val="standardContextual"/>
        </w:rPr>
        <w:t>o</w:t>
      </w:r>
      <w:r w:rsidRPr="00CE4EF3">
        <w:rPr>
          <w:rFonts w:ascii="Verdana" w:eastAsia="Arial" w:hAnsi="Verdana" w:cs="Arial"/>
          <w:spacing w:val="7"/>
          <w:kern w:val="2"/>
          <w:lang w:val="es-ES"/>
          <w14:ligatures w14:val="standardContextual"/>
        </w:rPr>
        <w:t xml:space="preserve"> </w:t>
      </w:r>
      <w:r w:rsidRPr="00CE4EF3">
        <w:rPr>
          <w:rFonts w:ascii="Verdana" w:eastAsia="Arial" w:hAnsi="Verdana" w:cs="Arial"/>
          <w:kern w:val="2"/>
          <w:lang w:val="es-ES"/>
          <w14:ligatures w14:val="standardContextual"/>
        </w:rPr>
        <w:t>documento adoptado por este para tal fin.</w:t>
      </w:r>
      <w:r w:rsidRPr="00CE4EF3">
        <w:rPr>
          <w:rFonts w:ascii="Verdana" w:eastAsia="Aptos" w:hAnsi="Verdana" w:cs="Arial"/>
          <w:kern w:val="2"/>
          <w:lang w:val="es-MX"/>
          <w14:ligatures w14:val="standardContextual"/>
        </w:rPr>
        <w:t xml:space="preserve">  Conforme a esto, el artículo 2 de la Ley 842 de 2003 enlista una serie de actividades que constituyen ejercicio de la ingeniería:</w:t>
      </w:r>
    </w:p>
    <w:p w14:paraId="72CEB612" w14:textId="77777777" w:rsidR="00CE4EF3" w:rsidRPr="00CE4EF3" w:rsidRDefault="00CE4EF3" w:rsidP="00CE4EF3">
      <w:pPr>
        <w:widowControl w:val="0"/>
        <w:autoSpaceDE w:val="0"/>
        <w:autoSpaceDN w:val="0"/>
        <w:spacing w:after="0" w:line="276" w:lineRule="auto"/>
        <w:ind w:firstLine="708"/>
        <w:jc w:val="both"/>
        <w:rPr>
          <w:rFonts w:ascii="Verdana" w:eastAsia="Aptos" w:hAnsi="Verdana" w:cs="Arial"/>
          <w:kern w:val="2"/>
          <w:lang w:val="es-MX"/>
          <w14:ligatures w14:val="standardContextual"/>
        </w:rPr>
      </w:pPr>
    </w:p>
    <w:p w14:paraId="7F2BB6F6" w14:textId="77777777" w:rsidR="00CE4EF3" w:rsidRPr="00CE4EF3" w:rsidRDefault="00CE4EF3" w:rsidP="00CE4EF3">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CE4EF3">
        <w:rPr>
          <w:rFonts w:ascii="Verdana" w:eastAsia="Aptos" w:hAnsi="Verdana" w:cs="Arial"/>
          <w:kern w:val="2"/>
          <w:sz w:val="21"/>
          <w:szCs w:val="21"/>
          <w:lang w:val="es-MX"/>
          <w14:ligatures w14:val="standardContextual"/>
        </w:rPr>
        <w:t xml:space="preserve">“Artículo 2o. </w:t>
      </w:r>
      <w:r w:rsidRPr="00CE4EF3">
        <w:rPr>
          <w:rFonts w:ascii="Verdana" w:eastAsia="Aptos" w:hAnsi="Verdana" w:cs="Arial"/>
          <w:i/>
          <w:iCs/>
          <w:kern w:val="2"/>
          <w:sz w:val="21"/>
          <w:szCs w:val="21"/>
          <w:lang w:val="es-MX"/>
          <w14:ligatures w14:val="standardContextual"/>
        </w:rPr>
        <w:t>Ejercicio de la ingeniería</w:t>
      </w:r>
      <w:r w:rsidRPr="00CE4EF3">
        <w:rPr>
          <w:rFonts w:ascii="Verdana" w:eastAsia="Aptos" w:hAnsi="Verdana" w:cs="Arial"/>
          <w:kern w:val="2"/>
          <w:sz w:val="21"/>
          <w:szCs w:val="21"/>
          <w:lang w:val="es-MX"/>
          <w14:ligatures w14:val="standardContextual"/>
        </w:rPr>
        <w:t>. Para los efectos de la presente ley, se entiende como ejercicio de la ingeniería, el desempeño de actividades tales como:</w:t>
      </w:r>
    </w:p>
    <w:p w14:paraId="4B170742" w14:textId="77777777" w:rsidR="00CE4EF3" w:rsidRPr="00CE4EF3" w:rsidRDefault="00CE4EF3" w:rsidP="00CE4EF3">
      <w:pPr>
        <w:widowControl w:val="0"/>
        <w:autoSpaceDE w:val="0"/>
        <w:autoSpaceDN w:val="0"/>
        <w:spacing w:after="0" w:line="240" w:lineRule="auto"/>
        <w:ind w:left="709" w:right="709"/>
        <w:rPr>
          <w:rFonts w:ascii="Verdana" w:eastAsia="Aptos" w:hAnsi="Verdana" w:cs="Arial"/>
          <w:kern w:val="2"/>
          <w:sz w:val="21"/>
          <w:szCs w:val="21"/>
          <w:lang w:val="es-MX"/>
          <w14:ligatures w14:val="standardContextual"/>
        </w:rPr>
      </w:pPr>
    </w:p>
    <w:p w14:paraId="4D7E4D9C" w14:textId="77777777" w:rsidR="00CE4EF3" w:rsidRPr="00CE4EF3" w:rsidRDefault="00CE4EF3" w:rsidP="00CE4EF3">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CE4EF3">
        <w:rPr>
          <w:rFonts w:ascii="Verdana" w:eastAsia="Aptos" w:hAnsi="Verdana" w:cs="Arial"/>
          <w:kern w:val="2"/>
          <w:sz w:val="21"/>
          <w:szCs w:val="21"/>
          <w:lang w:val="es-MX"/>
          <w14:ligatures w14:val="standardContextual"/>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01744353" w14:textId="77777777" w:rsidR="00CE4EF3" w:rsidRPr="00CE4EF3" w:rsidRDefault="00CE4EF3" w:rsidP="00CE4EF3">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p>
    <w:p w14:paraId="64477EF9" w14:textId="77777777" w:rsidR="00CE4EF3" w:rsidRPr="00CE4EF3" w:rsidRDefault="00CE4EF3" w:rsidP="00CE4EF3">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CE4EF3">
        <w:rPr>
          <w:rFonts w:ascii="Verdana" w:eastAsia="Aptos" w:hAnsi="Verdana" w:cs="Arial"/>
          <w:kern w:val="2"/>
          <w:sz w:val="21"/>
          <w:szCs w:val="21"/>
          <w:lang w:val="es-MX"/>
          <w14:ligatures w14:val="standardContextual"/>
        </w:rPr>
        <w:lastRenderedPageBreak/>
        <w:t xml:space="preserve">b) Los estudios, proyectos, diseños y procesos industriales, textiles, electromecánicos, termoeléctricos, energéticos, mecánicos, eléctricos, electrónicos, de computación, de sistemas, teleinformáticos, agroindustriales, agronómicos, agrícolas, agrológicos, de alimentos, agrometeorológicos, ambientales, geofísicos, forestales, químicos, metalúrgicos, mineros, de petróleos, geológicos, geodésicos, geográficos, topográficos e hidrológicos; </w:t>
      </w:r>
    </w:p>
    <w:p w14:paraId="25DEFCAA" w14:textId="77777777" w:rsidR="00CE4EF3" w:rsidRPr="00CE4EF3" w:rsidRDefault="00CE4EF3" w:rsidP="00CE4EF3">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p>
    <w:p w14:paraId="768FBB67" w14:textId="77777777" w:rsidR="00CE4EF3" w:rsidRPr="00CE4EF3" w:rsidRDefault="00CE4EF3" w:rsidP="00CE4EF3">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CE4EF3">
        <w:rPr>
          <w:rFonts w:ascii="Verdana" w:eastAsia="Aptos" w:hAnsi="Verdana" w:cs="Arial"/>
          <w:kern w:val="2"/>
          <w:sz w:val="21"/>
          <w:szCs w:val="21"/>
          <w:lang w:val="es-MX"/>
          <w14:ligatures w14:val="standardContextual"/>
        </w:rPr>
        <w:t xml:space="preserve">c) La planeación del transporte aéreo, terrestre y náutico y en general, todo asunto relacionado con la ejecución o desarrollo de las tareas o actividades de las profesiones especificadas en los subgrupos 02 y 03 de la Clasificación Nacional de Ocupaciones o normas que la sustituyan o complementen, en cuanto a la ingeniería, sus profesiones afines y auxiliares se refiere. También se entiende por ejercicio de la profesión para los efectos de esta ley, el presentarse o anunciarse como ingeniero o acceder a un cargo de nivel profesional utilizando dicho título. </w:t>
      </w:r>
    </w:p>
    <w:p w14:paraId="031560B9" w14:textId="77777777" w:rsidR="00CE4EF3" w:rsidRPr="00CE4EF3" w:rsidRDefault="00CE4EF3" w:rsidP="00CE4EF3">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p>
    <w:p w14:paraId="662C47E3" w14:textId="77777777" w:rsidR="00CE4EF3" w:rsidRPr="00CE4EF3" w:rsidRDefault="00CE4EF3" w:rsidP="00CE4EF3">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CE4EF3">
        <w:rPr>
          <w:rFonts w:ascii="Verdana" w:eastAsia="Aptos" w:hAnsi="Verdana" w:cs="Arial"/>
          <w:kern w:val="2"/>
          <w:sz w:val="21"/>
          <w:szCs w:val="21"/>
          <w:lang w:val="es-MX"/>
          <w14:ligatures w14:val="standardContextual"/>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 […]”</w:t>
      </w:r>
    </w:p>
    <w:p w14:paraId="4BCEAF86" w14:textId="77777777" w:rsidR="00CE4EF3" w:rsidRPr="00CE4EF3" w:rsidRDefault="00CE4EF3" w:rsidP="00CE4EF3">
      <w:pPr>
        <w:widowControl w:val="0"/>
        <w:autoSpaceDE w:val="0"/>
        <w:autoSpaceDN w:val="0"/>
        <w:spacing w:after="0" w:line="276" w:lineRule="auto"/>
        <w:ind w:left="709" w:right="709"/>
        <w:jc w:val="both"/>
        <w:rPr>
          <w:rFonts w:ascii="Verdana" w:eastAsia="Aptos" w:hAnsi="Verdana" w:cs="Arial"/>
          <w:kern w:val="2"/>
          <w:lang w:val="es-MX"/>
          <w14:ligatures w14:val="standardContextual"/>
        </w:rPr>
      </w:pPr>
    </w:p>
    <w:p w14:paraId="53309347" w14:textId="77777777" w:rsidR="00CE4EF3" w:rsidRPr="00CE4EF3" w:rsidRDefault="00CE4EF3" w:rsidP="00CE4EF3">
      <w:pPr>
        <w:widowControl w:val="0"/>
        <w:numPr>
          <w:ilvl w:val="0"/>
          <w:numId w:val="18"/>
        </w:numPr>
        <w:autoSpaceDE w:val="0"/>
        <w:autoSpaceDN w:val="0"/>
        <w:spacing w:after="0" w:line="276" w:lineRule="auto"/>
        <w:contextualSpacing/>
        <w:jc w:val="both"/>
        <w:rPr>
          <w:rFonts w:ascii="Verdana" w:eastAsia="Aptos" w:hAnsi="Verdana" w:cs="Arial"/>
          <w:kern w:val="2"/>
          <w:lang w:val="es-MX"/>
          <w14:ligatures w14:val="standardContextual"/>
        </w:rPr>
      </w:pPr>
      <w:r w:rsidRPr="00CE4EF3">
        <w:rPr>
          <w:rFonts w:ascii="Verdana" w:eastAsia="Aptos" w:hAnsi="Verdana" w:cs="Arial"/>
          <w:kern w:val="2"/>
          <w:lang w:val="es-MX"/>
          <w14:ligatures w14:val="standardContextual"/>
        </w:rPr>
        <w:t xml:space="preserve">Como se evidencia, la norma transcrita refiere varias actividades relacionadas con diferentes tipos de proyectos e infraestructuras. Se destaca como en el literal a) se hace referencia a objetos contractuales como la consultoría y la interventoría, asociados a diversos tipos de infraestructura de transporte, de lo que se colige que la ejecución de estos, según lo establecido en la ley, constituye ejercicio de la ingeniería. </w:t>
      </w:r>
    </w:p>
    <w:p w14:paraId="098EDE57" w14:textId="77777777" w:rsidR="00CE4EF3" w:rsidRPr="00CE4EF3" w:rsidRDefault="00CE4EF3" w:rsidP="00CE4EF3">
      <w:pPr>
        <w:widowControl w:val="0"/>
        <w:autoSpaceDE w:val="0"/>
        <w:autoSpaceDN w:val="0"/>
        <w:spacing w:after="0" w:line="276" w:lineRule="auto"/>
        <w:jc w:val="both"/>
        <w:rPr>
          <w:rFonts w:ascii="Verdana" w:eastAsia="Arial" w:hAnsi="Verdana" w:cs="Arial"/>
          <w:kern w:val="2"/>
          <w:lang w:val="es-ES"/>
          <w14:ligatures w14:val="standardContextual"/>
        </w:rPr>
      </w:pPr>
    </w:p>
    <w:p w14:paraId="48F47763" w14:textId="77777777" w:rsidR="00CE4EF3" w:rsidRPr="00CE4EF3" w:rsidRDefault="00CE4EF3" w:rsidP="00CE4EF3">
      <w:pPr>
        <w:widowControl w:val="0"/>
        <w:numPr>
          <w:ilvl w:val="0"/>
          <w:numId w:val="18"/>
        </w:numPr>
        <w:autoSpaceDE w:val="0"/>
        <w:autoSpaceDN w:val="0"/>
        <w:spacing w:after="0" w:line="276" w:lineRule="auto"/>
        <w:contextualSpacing/>
        <w:jc w:val="both"/>
        <w:rPr>
          <w:rFonts w:ascii="Verdana" w:eastAsia="Arial" w:hAnsi="Verdana" w:cs="Arial"/>
          <w:kern w:val="2"/>
          <w:lang w:val="es-ES"/>
          <w14:ligatures w14:val="standardContextual"/>
        </w:rPr>
      </w:pPr>
      <w:r w:rsidRPr="00CE4EF3">
        <w:rPr>
          <w:rFonts w:ascii="Verdana" w:eastAsia="Arial" w:hAnsi="Verdana" w:cs="Arial"/>
          <w:kern w:val="2"/>
          <w:lang w:val="es-ES"/>
          <w14:ligatures w14:val="standardContextual"/>
        </w:rPr>
        <w:t>En atención a lo anterior, cobra importancia el estudio de lo contemplado por la referida ley en el capítulo relativo al ejercicio ilegal de la ingeniera, sus profesiones afines y auxiliares.  El artículo 20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w:t>
      </w:r>
      <w:r w:rsidRPr="00CE4EF3">
        <w:rPr>
          <w:rFonts w:ascii="Verdana" w:eastAsia="Arial" w:hAnsi="Verdana" w:cs="Arial"/>
          <w:spacing w:val="-16"/>
          <w:kern w:val="2"/>
          <w:lang w:val="es-ES"/>
          <w14:ligatures w14:val="standardContextual"/>
        </w:rPr>
        <w:t xml:space="preserve"> </w:t>
      </w:r>
      <w:r w:rsidRPr="00CE4EF3">
        <w:rPr>
          <w:rFonts w:ascii="Verdana" w:eastAsia="Arial" w:hAnsi="Verdana" w:cs="Arial"/>
          <w:kern w:val="2"/>
          <w:lang w:val="es-ES"/>
          <w14:ligatures w14:val="standardContextual"/>
        </w:rPr>
        <w:t>ingeniería. Al siguiente tenor reza:</w:t>
      </w:r>
    </w:p>
    <w:p w14:paraId="6594EB40" w14:textId="77777777" w:rsidR="00CE4EF3" w:rsidRPr="00CE4EF3" w:rsidRDefault="00CE4EF3" w:rsidP="00CE4EF3">
      <w:pPr>
        <w:widowControl w:val="0"/>
        <w:autoSpaceDE w:val="0"/>
        <w:autoSpaceDN w:val="0"/>
        <w:spacing w:after="0" w:line="276" w:lineRule="auto"/>
        <w:ind w:firstLine="709"/>
        <w:jc w:val="both"/>
        <w:rPr>
          <w:rFonts w:ascii="Verdana" w:eastAsia="Arial" w:hAnsi="Verdana" w:cs="Arial"/>
          <w:kern w:val="2"/>
          <w:lang w:val="es-ES"/>
          <w14:ligatures w14:val="standardContextual"/>
        </w:rPr>
      </w:pPr>
    </w:p>
    <w:p w14:paraId="1D11F1BC" w14:textId="77777777" w:rsidR="00CE4EF3" w:rsidRPr="00CE4EF3" w:rsidRDefault="00CE4EF3" w:rsidP="00CE4EF3">
      <w:pPr>
        <w:spacing w:after="0" w:line="240" w:lineRule="auto"/>
        <w:ind w:left="709" w:right="709"/>
        <w:jc w:val="both"/>
        <w:rPr>
          <w:rFonts w:ascii="Verdana" w:eastAsia="Aptos" w:hAnsi="Verdana" w:cs="Arial"/>
          <w:kern w:val="2"/>
          <w:sz w:val="21"/>
          <w:szCs w:val="21"/>
          <w:lang w:val="es-MX"/>
          <w14:ligatures w14:val="standardContextual"/>
        </w:rPr>
      </w:pPr>
      <w:r w:rsidRPr="00CE4EF3">
        <w:rPr>
          <w:rFonts w:ascii="Verdana" w:eastAsia="Aptos" w:hAnsi="Verdana" w:cs="Arial"/>
          <w:kern w:val="2"/>
          <w:sz w:val="21"/>
          <w:szCs w:val="21"/>
          <w:lang w:val="es-MX"/>
          <w14:ligatures w14:val="standardContextual"/>
        </w:rPr>
        <w:lastRenderedPageBreak/>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547379F6" w14:textId="77777777" w:rsidR="00CE4EF3" w:rsidRPr="00CE4EF3" w:rsidRDefault="00CE4EF3" w:rsidP="00CE4EF3">
      <w:pPr>
        <w:spacing w:after="0" w:line="240" w:lineRule="auto"/>
        <w:ind w:left="709" w:right="709"/>
        <w:jc w:val="both"/>
        <w:rPr>
          <w:rFonts w:ascii="Verdana" w:eastAsia="Aptos" w:hAnsi="Verdana" w:cs="Arial"/>
          <w:kern w:val="2"/>
          <w:sz w:val="21"/>
          <w:szCs w:val="21"/>
          <w:lang w:val="es-MX"/>
          <w14:ligatures w14:val="standardContextual"/>
        </w:rPr>
      </w:pPr>
    </w:p>
    <w:p w14:paraId="6D1AA2D6" w14:textId="77777777" w:rsidR="00CE4EF3" w:rsidRPr="00CE4EF3" w:rsidRDefault="00CE4EF3" w:rsidP="00CE4EF3">
      <w:pPr>
        <w:spacing w:after="0" w:line="240" w:lineRule="auto"/>
        <w:ind w:left="709" w:right="709"/>
        <w:jc w:val="both"/>
        <w:rPr>
          <w:rFonts w:ascii="Verdana" w:eastAsia="Aptos" w:hAnsi="Verdana" w:cs="Arial"/>
          <w:kern w:val="2"/>
          <w:sz w:val="21"/>
          <w:szCs w:val="21"/>
          <w:lang w:val="es-MX"/>
          <w14:ligatures w14:val="standardContextual"/>
        </w:rPr>
      </w:pPr>
      <w:r w:rsidRPr="00CE4EF3">
        <w:rPr>
          <w:rFonts w:ascii="Verdana" w:eastAsia="Aptos" w:hAnsi="Verdana" w:cs="Arial"/>
          <w:kern w:val="2"/>
          <w:sz w:val="21"/>
          <w:szCs w:val="21"/>
          <w:lang w:val="es-MX"/>
          <w14:ligatures w14:val="standardContextual"/>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CE4EF3">
        <w:rPr>
          <w:rFonts w:ascii="Verdana" w:eastAsia="Aptos" w:hAnsi="Verdana" w:cs="Arial"/>
          <w:spacing w:val="-26"/>
          <w:kern w:val="2"/>
          <w:sz w:val="21"/>
          <w:szCs w:val="21"/>
          <w:lang w:val="es-MX"/>
          <w14:ligatures w14:val="standardContextual"/>
        </w:rPr>
        <w:t xml:space="preserve"> </w:t>
      </w:r>
      <w:r w:rsidRPr="00CE4EF3">
        <w:rPr>
          <w:rFonts w:ascii="Verdana" w:eastAsia="Aptos" w:hAnsi="Verdana" w:cs="Arial"/>
          <w:kern w:val="2"/>
          <w:sz w:val="21"/>
          <w:szCs w:val="21"/>
          <w:lang w:val="es-MX"/>
          <w14:ligatures w14:val="standardContextual"/>
        </w:rPr>
        <w:t>vigencia.</w:t>
      </w:r>
    </w:p>
    <w:p w14:paraId="31E5EF18" w14:textId="77777777" w:rsidR="00CE4EF3" w:rsidRPr="00CE4EF3" w:rsidRDefault="00CE4EF3" w:rsidP="00CE4EF3">
      <w:pPr>
        <w:widowControl w:val="0"/>
        <w:autoSpaceDE w:val="0"/>
        <w:autoSpaceDN w:val="0"/>
        <w:spacing w:after="0" w:line="240" w:lineRule="auto"/>
        <w:ind w:left="709" w:right="709"/>
        <w:rPr>
          <w:rFonts w:ascii="Verdana" w:eastAsia="Arial" w:hAnsi="Verdana" w:cs="Arial"/>
          <w:kern w:val="2"/>
          <w:sz w:val="21"/>
          <w:szCs w:val="21"/>
          <w:lang w:val="es-ES"/>
          <w14:ligatures w14:val="standardContextual"/>
        </w:rPr>
      </w:pPr>
    </w:p>
    <w:p w14:paraId="5D122F3A" w14:textId="77777777" w:rsidR="00CE4EF3" w:rsidRPr="00CE4EF3" w:rsidRDefault="00CE4EF3" w:rsidP="00CE4EF3">
      <w:pPr>
        <w:spacing w:after="0" w:line="240" w:lineRule="auto"/>
        <w:ind w:left="709" w:right="709"/>
        <w:jc w:val="both"/>
        <w:rPr>
          <w:rFonts w:ascii="Verdana" w:eastAsia="Aptos" w:hAnsi="Verdana" w:cs="Arial"/>
          <w:kern w:val="2"/>
          <w:sz w:val="21"/>
          <w:szCs w:val="21"/>
          <w:lang w:val="es-MX"/>
          <w14:ligatures w14:val="standardContextual"/>
        </w:rPr>
      </w:pPr>
      <w:r w:rsidRPr="00CE4EF3">
        <w:rPr>
          <w:rFonts w:ascii="Verdana" w:eastAsia="Aptos" w:hAnsi="Verdana" w:cs="Arial"/>
          <w:kern w:val="2"/>
          <w:sz w:val="21"/>
          <w:szCs w:val="21"/>
          <w:lang w:val="es-MX"/>
          <w14:ligatures w14:val="standardContextual"/>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1DAAB72A" w14:textId="77777777" w:rsidR="00CE4EF3" w:rsidRPr="00CE4EF3" w:rsidRDefault="00CE4EF3" w:rsidP="00CE4EF3">
      <w:pPr>
        <w:spacing w:after="0" w:line="276" w:lineRule="auto"/>
        <w:ind w:left="709" w:right="709"/>
        <w:jc w:val="both"/>
        <w:rPr>
          <w:rFonts w:ascii="Verdana" w:eastAsia="Aptos" w:hAnsi="Verdana" w:cs="Arial"/>
          <w:kern w:val="2"/>
          <w:lang w:val="es-MX"/>
          <w14:ligatures w14:val="standardContextual"/>
        </w:rPr>
      </w:pPr>
    </w:p>
    <w:p w14:paraId="394179BC" w14:textId="77777777" w:rsidR="00CE4EF3" w:rsidRPr="00CE4EF3" w:rsidRDefault="00CE4EF3" w:rsidP="00CE4EF3">
      <w:pPr>
        <w:widowControl w:val="0"/>
        <w:numPr>
          <w:ilvl w:val="0"/>
          <w:numId w:val="19"/>
        </w:numPr>
        <w:autoSpaceDE w:val="0"/>
        <w:autoSpaceDN w:val="0"/>
        <w:spacing w:after="0" w:line="276" w:lineRule="auto"/>
        <w:contextualSpacing/>
        <w:jc w:val="both"/>
        <w:rPr>
          <w:rFonts w:ascii="Verdana" w:eastAsia="Arial" w:hAnsi="Verdana" w:cs="Arial"/>
          <w:kern w:val="2"/>
          <w:lang w:val="es-ES"/>
          <w14:ligatures w14:val="standardContextual"/>
        </w:rPr>
      </w:pPr>
      <w:r w:rsidRPr="00CE4EF3">
        <w:rPr>
          <w:rFonts w:ascii="Verdana" w:eastAsia="Arial" w:hAnsi="Verdana" w:cs="Arial"/>
          <w:kern w:val="2"/>
          <w:lang w:val="es-ES"/>
          <w14:ligatures w14:val="standardContextual"/>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1FE7F2F9" w14:textId="77777777" w:rsidR="00CE4EF3" w:rsidRPr="00CE4EF3" w:rsidRDefault="00CE4EF3" w:rsidP="00CE4EF3">
      <w:pPr>
        <w:widowControl w:val="0"/>
        <w:autoSpaceDE w:val="0"/>
        <w:autoSpaceDN w:val="0"/>
        <w:spacing w:after="0" w:line="276" w:lineRule="auto"/>
        <w:jc w:val="both"/>
        <w:rPr>
          <w:rFonts w:ascii="Verdana" w:eastAsia="Arial" w:hAnsi="Verdana" w:cs="Arial"/>
          <w:kern w:val="2"/>
          <w:lang w:val="es-ES"/>
          <w14:ligatures w14:val="standardContextual"/>
        </w:rPr>
      </w:pPr>
    </w:p>
    <w:p w14:paraId="2060ED7C" w14:textId="77777777" w:rsidR="00CE4EF3" w:rsidRPr="00CE4EF3" w:rsidRDefault="00CE4EF3" w:rsidP="00CE4EF3">
      <w:pPr>
        <w:widowControl w:val="0"/>
        <w:numPr>
          <w:ilvl w:val="0"/>
          <w:numId w:val="19"/>
        </w:numPr>
        <w:autoSpaceDE w:val="0"/>
        <w:autoSpaceDN w:val="0"/>
        <w:spacing w:after="0" w:line="276" w:lineRule="auto"/>
        <w:contextualSpacing/>
        <w:jc w:val="both"/>
        <w:rPr>
          <w:rFonts w:ascii="Verdana" w:eastAsia="Arial" w:hAnsi="Verdana" w:cs="Arial"/>
          <w:kern w:val="2"/>
          <w:lang w:val="es-ES"/>
          <w14:ligatures w14:val="standardContextual"/>
        </w:rPr>
      </w:pPr>
      <w:r w:rsidRPr="00CE4EF3">
        <w:rPr>
          <w:rFonts w:ascii="Verdana" w:eastAsia="Arial" w:hAnsi="Verdana" w:cs="Arial"/>
          <w:kern w:val="2"/>
          <w:lang w:val="es-ES"/>
          <w14:ligatures w14:val="standardContextual"/>
        </w:rPr>
        <w:t xml:space="preserve">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ingeniería es objetiva y proporcional, en la medida que el aval de un ingeniero únicamente se debe realizar tratándose de procesos de contratación que involucren </w:t>
      </w:r>
      <w:r w:rsidRPr="00CE4EF3">
        <w:rPr>
          <w:rFonts w:ascii="Verdana" w:eastAsia="Arial" w:hAnsi="Verdana" w:cs="Arial"/>
          <w:kern w:val="2"/>
          <w:lang w:val="es-ES"/>
          <w14:ligatures w14:val="standardContextual"/>
        </w:rPr>
        <w:lastRenderedPageBreak/>
        <w:t>actividades catalogadas como ejercicio de la ingeniería</w:t>
      </w:r>
      <w:r w:rsidRPr="00CE4EF3">
        <w:rPr>
          <w:rFonts w:ascii="Aptos" w:eastAsia="Aptos" w:hAnsi="Aptos" w:cs="Times New Roman"/>
          <w:kern w:val="2"/>
          <w:sz w:val="24"/>
          <w:szCs w:val="24"/>
          <w:vertAlign w:val="superscript"/>
          <w:lang w:val="es-ES"/>
          <w14:ligatures w14:val="standardContextual"/>
        </w:rPr>
        <w:footnoteReference w:id="3"/>
      </w:r>
      <w:r w:rsidRPr="00CE4EF3">
        <w:rPr>
          <w:rFonts w:ascii="Verdana" w:eastAsia="Arial" w:hAnsi="Verdana" w:cs="Arial"/>
          <w:kern w:val="2"/>
          <w:lang w:val="es-ES"/>
          <w14:ligatures w14:val="standardContextual"/>
        </w:rPr>
        <w:t>.</w:t>
      </w:r>
    </w:p>
    <w:p w14:paraId="41837C46" w14:textId="77777777" w:rsidR="00CE4EF3" w:rsidRPr="00CE4EF3" w:rsidRDefault="00CE4EF3" w:rsidP="00CE4EF3">
      <w:pPr>
        <w:widowControl w:val="0"/>
        <w:tabs>
          <w:tab w:val="left" w:pos="2745"/>
        </w:tabs>
        <w:autoSpaceDE w:val="0"/>
        <w:autoSpaceDN w:val="0"/>
        <w:spacing w:after="0" w:line="276" w:lineRule="auto"/>
        <w:jc w:val="both"/>
        <w:rPr>
          <w:rFonts w:ascii="Verdana" w:eastAsia="Arial" w:hAnsi="Verdana" w:cs="Arial"/>
          <w:kern w:val="2"/>
          <w:lang w:val="es-ES"/>
          <w14:ligatures w14:val="standardContextual"/>
        </w:rPr>
      </w:pPr>
      <w:r w:rsidRPr="00CE4EF3">
        <w:rPr>
          <w:rFonts w:ascii="Verdana" w:eastAsia="Arial" w:hAnsi="Verdana" w:cs="Arial"/>
          <w:kern w:val="2"/>
          <w:lang w:val="es-ES"/>
          <w14:ligatures w14:val="standardContextual"/>
        </w:rPr>
        <w:tab/>
      </w:r>
    </w:p>
    <w:p w14:paraId="6C43552E" w14:textId="77777777" w:rsidR="00CE4EF3" w:rsidRPr="00CE4EF3" w:rsidRDefault="00CE4EF3" w:rsidP="00CE4EF3">
      <w:pPr>
        <w:widowControl w:val="0"/>
        <w:numPr>
          <w:ilvl w:val="0"/>
          <w:numId w:val="19"/>
        </w:numPr>
        <w:autoSpaceDE w:val="0"/>
        <w:autoSpaceDN w:val="0"/>
        <w:spacing w:after="0" w:line="276" w:lineRule="auto"/>
        <w:contextualSpacing/>
        <w:jc w:val="both"/>
        <w:rPr>
          <w:rFonts w:ascii="Verdana" w:eastAsia="Arial" w:hAnsi="Verdana" w:cs="Arial"/>
          <w:kern w:val="2"/>
          <w:lang w:val="es-ES"/>
          <w14:ligatures w14:val="standardContextual"/>
        </w:rPr>
      </w:pPr>
      <w:r w:rsidRPr="00CE4EF3">
        <w:rPr>
          <w:rFonts w:ascii="Verdana" w:eastAsia="Arial" w:hAnsi="Verdana" w:cs="Arial"/>
          <w:kern w:val="2"/>
          <w:lang w:val="es-ES"/>
          <w14:ligatures w14:val="standardContextual"/>
        </w:rPr>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w:t>
      </w:r>
      <w:r w:rsidRPr="00CE4EF3">
        <w:rPr>
          <w:rFonts w:ascii="Verdana" w:eastAsia="Arial" w:hAnsi="Verdana" w:cs="Arial"/>
          <w:spacing w:val="-3"/>
          <w:kern w:val="2"/>
          <w:lang w:val="es-ES"/>
          <w14:ligatures w14:val="standardContextual"/>
        </w:rPr>
        <w:t xml:space="preserve"> </w:t>
      </w:r>
      <w:r w:rsidRPr="00CE4EF3">
        <w:rPr>
          <w:rFonts w:ascii="Verdana" w:eastAsia="Arial" w:hAnsi="Verdana" w:cs="Arial"/>
          <w:kern w:val="2"/>
          <w:lang w:val="es-ES"/>
          <w14:ligatures w14:val="standardContextual"/>
        </w:rPr>
        <w:t>profesional</w:t>
      </w:r>
      <w:r w:rsidRPr="00CE4EF3">
        <w:rPr>
          <w:rFonts w:ascii="Aptos" w:eastAsia="Aptos" w:hAnsi="Aptos" w:cs="Times New Roman"/>
          <w:kern w:val="2"/>
          <w:sz w:val="24"/>
          <w:szCs w:val="24"/>
          <w:vertAlign w:val="superscript"/>
          <w:lang w:val="es-ES"/>
          <w14:ligatures w14:val="standardContextual"/>
        </w:rPr>
        <w:footnoteReference w:id="4"/>
      </w:r>
      <w:r w:rsidRPr="00CE4EF3">
        <w:rPr>
          <w:rFonts w:ascii="Verdana" w:eastAsia="Arial" w:hAnsi="Verdana" w:cs="Arial"/>
          <w:kern w:val="2"/>
          <w:lang w:val="es-ES"/>
          <w14:ligatures w14:val="standardContextual"/>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w:t>
      </w:r>
      <w:r w:rsidRPr="00CE4EF3">
        <w:rPr>
          <w:rFonts w:ascii="Verdana" w:eastAsia="Arial" w:hAnsi="Verdana" w:cs="Arial"/>
          <w:spacing w:val="-2"/>
          <w:kern w:val="2"/>
          <w:lang w:val="es-ES"/>
          <w14:ligatures w14:val="standardContextual"/>
        </w:rPr>
        <w:t xml:space="preserve"> </w:t>
      </w:r>
      <w:r w:rsidRPr="00CE4EF3">
        <w:rPr>
          <w:rFonts w:ascii="Verdana" w:eastAsia="Arial" w:hAnsi="Verdana" w:cs="Arial"/>
          <w:kern w:val="2"/>
          <w:lang w:val="es-ES"/>
          <w14:ligatures w14:val="standardContextual"/>
        </w:rPr>
        <w:t>diferente.</w:t>
      </w:r>
    </w:p>
    <w:p w14:paraId="6E27B80D" w14:textId="77777777" w:rsidR="00CE4EF3" w:rsidRPr="00CE4EF3" w:rsidRDefault="00CE4EF3" w:rsidP="00CE4EF3">
      <w:pPr>
        <w:widowControl w:val="0"/>
        <w:autoSpaceDE w:val="0"/>
        <w:autoSpaceDN w:val="0"/>
        <w:spacing w:after="0" w:line="276" w:lineRule="auto"/>
        <w:jc w:val="both"/>
        <w:rPr>
          <w:rFonts w:ascii="Verdana" w:eastAsia="Arial" w:hAnsi="Verdana" w:cs="Arial"/>
          <w:kern w:val="2"/>
          <w:lang w:val="es-ES"/>
          <w14:ligatures w14:val="standardContextual"/>
        </w:rPr>
      </w:pPr>
    </w:p>
    <w:p w14:paraId="04CCABC2" w14:textId="77777777" w:rsidR="00CE4EF3" w:rsidRPr="00CE4EF3" w:rsidRDefault="00CE4EF3" w:rsidP="00CE4EF3">
      <w:pPr>
        <w:widowControl w:val="0"/>
        <w:numPr>
          <w:ilvl w:val="0"/>
          <w:numId w:val="19"/>
        </w:numPr>
        <w:autoSpaceDE w:val="0"/>
        <w:autoSpaceDN w:val="0"/>
        <w:spacing w:after="0" w:line="276" w:lineRule="auto"/>
        <w:contextualSpacing/>
        <w:jc w:val="both"/>
        <w:rPr>
          <w:rFonts w:ascii="Verdana" w:eastAsia="Arial" w:hAnsi="Verdana" w:cs="Arial"/>
          <w:kern w:val="2"/>
          <w:lang w:val="es-ES"/>
          <w14:ligatures w14:val="standardContextual"/>
        </w:rPr>
      </w:pPr>
      <w:r w:rsidRPr="00CE4EF3">
        <w:rPr>
          <w:rFonts w:ascii="Verdana" w:eastAsia="Arial" w:hAnsi="Verdana" w:cs="Arial"/>
          <w:kern w:val="2"/>
          <w:lang w:val="es-ES"/>
          <w14:ligatures w14:val="standardContextual"/>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3AE5EDA5" w14:textId="77777777" w:rsidR="00CE4EF3" w:rsidRPr="00CE4EF3" w:rsidRDefault="00CE4EF3" w:rsidP="00CE4EF3">
      <w:pPr>
        <w:spacing w:after="0" w:line="276" w:lineRule="auto"/>
        <w:jc w:val="both"/>
        <w:rPr>
          <w:rFonts w:ascii="Verdana" w:eastAsia="Aptos" w:hAnsi="Verdana" w:cs="Arial"/>
          <w:kern w:val="2"/>
          <w:lang w:val="es-ES"/>
          <w14:ligatures w14:val="standardContextual"/>
        </w:rPr>
      </w:pPr>
    </w:p>
    <w:p w14:paraId="21DAA750" w14:textId="77777777" w:rsidR="00CE4EF3" w:rsidRPr="00CE4EF3" w:rsidRDefault="00CE4EF3" w:rsidP="00CE4EF3">
      <w:pPr>
        <w:numPr>
          <w:ilvl w:val="0"/>
          <w:numId w:val="19"/>
        </w:numPr>
        <w:spacing w:after="0" w:line="276" w:lineRule="auto"/>
        <w:contextualSpacing/>
        <w:jc w:val="both"/>
        <w:rPr>
          <w:rFonts w:ascii="Verdana" w:eastAsia="Aptos" w:hAnsi="Verdana" w:cs="Arial"/>
          <w:kern w:val="2"/>
          <w:lang w:val="es-ES"/>
          <w14:ligatures w14:val="standardContextual"/>
        </w:rPr>
      </w:pPr>
      <w:r w:rsidRPr="00CE4EF3">
        <w:rPr>
          <w:rFonts w:ascii="Verdana" w:eastAsia="Aptos" w:hAnsi="Verdana" w:cs="Arial"/>
          <w:kern w:val="2"/>
          <w:lang w:val="es-ES"/>
          <w14:ligatures w14:val="standardContextual"/>
        </w:rPr>
        <w:t>De igual forma, el Consejo Profesional Nacional de Ingeniería –COPNIA–, de acuerdo con la competencia consagrada en el artículo 26 de la Ley 842 de 2003</w:t>
      </w:r>
      <w:r w:rsidRPr="00CE4EF3">
        <w:rPr>
          <w:rFonts w:ascii="Verdana" w:eastAsia="Aptos" w:hAnsi="Verdana" w:cs="Arial"/>
          <w:kern w:val="2"/>
          <w:vertAlign w:val="superscript"/>
          <w:lang w:val="es-ES"/>
          <w14:ligatures w14:val="standardContextual"/>
        </w:rPr>
        <w:footnoteReference w:id="5"/>
      </w:r>
      <w:r w:rsidRPr="00CE4EF3">
        <w:rPr>
          <w:rFonts w:ascii="Verdana" w:eastAsia="Aptos" w:hAnsi="Verdana" w:cs="Arial"/>
          <w:kern w:val="2"/>
          <w:lang w:val="es-ES"/>
          <w14:ligatures w14:val="standardContextual"/>
        </w:rPr>
        <w:t xml:space="preserve">, ha conceptuado sobre la participación en procesos de selección relacionados con el ejercicio de actividades de la ingeniería, destacando </w:t>
      </w:r>
      <w:r w:rsidRPr="00CE4EF3">
        <w:rPr>
          <w:rFonts w:ascii="Verdana" w:eastAsia="Aptos" w:hAnsi="Verdana" w:cs="Arial"/>
          <w:kern w:val="2"/>
          <w:lang w:val="es-ES"/>
          <w14:ligatures w14:val="standardContextual"/>
        </w:rPr>
        <w:lastRenderedPageBreak/>
        <w:t>el riesgo social que podría representar el uso inadecuado de la profesión por personas que no cuenten con la idoneidad para su ejercicio:</w:t>
      </w:r>
    </w:p>
    <w:p w14:paraId="5C516FC4" w14:textId="77777777" w:rsidR="00CE4EF3" w:rsidRPr="00CE4EF3" w:rsidRDefault="00CE4EF3" w:rsidP="00CE4EF3">
      <w:pPr>
        <w:spacing w:after="0" w:line="276" w:lineRule="auto"/>
        <w:jc w:val="both"/>
        <w:rPr>
          <w:rFonts w:ascii="Verdana" w:eastAsia="Aptos" w:hAnsi="Verdana" w:cs="Arial"/>
          <w:kern w:val="2"/>
          <w:lang w:val="es-MX"/>
          <w14:ligatures w14:val="standardContextual"/>
        </w:rPr>
      </w:pPr>
    </w:p>
    <w:p w14:paraId="3B39ABE3" w14:textId="77777777" w:rsidR="00CE4EF3" w:rsidRPr="00CE4EF3" w:rsidRDefault="00CE4EF3" w:rsidP="00CE4EF3">
      <w:pPr>
        <w:spacing w:after="0" w:line="240" w:lineRule="auto"/>
        <w:ind w:left="709" w:right="709"/>
        <w:jc w:val="both"/>
        <w:rPr>
          <w:rFonts w:ascii="Verdana" w:eastAsia="Aptos" w:hAnsi="Verdana" w:cs="Arial"/>
          <w:kern w:val="2"/>
          <w:sz w:val="21"/>
          <w:szCs w:val="21"/>
          <w:lang w:val="es-MX"/>
          <w14:ligatures w14:val="standardContextual"/>
        </w:rPr>
      </w:pPr>
      <w:r w:rsidRPr="00CE4EF3">
        <w:rPr>
          <w:rFonts w:ascii="Verdana" w:eastAsia="Aptos" w:hAnsi="Verdana" w:cs="Arial"/>
          <w:kern w:val="2"/>
          <w:sz w:val="21"/>
          <w:szCs w:val="21"/>
          <w:lang w:val="es-MX"/>
          <w14:ligatures w14:val="standardContextual"/>
        </w:rPr>
        <w:t>“Así, las personas jurídicas, los consorcios y las uniones temporales que presenten una propuesta para participar en un procedimiento administrativo de contratación estatal, cuyo objeto desarrolle actividades de la ingeniería, requieren que un profesional debidamente matriculado avale la oferta, debido a que por su naturaleza jurídica dichos entes no son idóneos académicamente, no pueden obtener la Matrícula Profesional y no pueden ejercer directamente la ingeniería, por lo que es necesario que, por el riesgo social que implica dicho ejercicio, sea el ingeniero debidamente matriculado la persona respecto de la cual se pueda establecer la responsabilidad, en caso de configurarse un indebido ejercicio de la profesión.</w:t>
      </w:r>
    </w:p>
    <w:p w14:paraId="2E83FCB5" w14:textId="77777777" w:rsidR="00CE4EF3" w:rsidRPr="00CE4EF3" w:rsidRDefault="00CE4EF3" w:rsidP="00CE4EF3">
      <w:pPr>
        <w:spacing w:after="0" w:line="240" w:lineRule="auto"/>
        <w:ind w:left="709" w:right="709"/>
        <w:jc w:val="both"/>
        <w:rPr>
          <w:rFonts w:ascii="Verdana" w:eastAsia="Aptos" w:hAnsi="Verdana" w:cs="Arial"/>
          <w:kern w:val="2"/>
          <w:sz w:val="21"/>
          <w:szCs w:val="21"/>
          <w:lang w:val="es-MX"/>
          <w14:ligatures w14:val="standardContextual"/>
        </w:rPr>
      </w:pPr>
    </w:p>
    <w:p w14:paraId="18826C0C" w14:textId="77777777" w:rsidR="00CE4EF3" w:rsidRPr="00CE4EF3" w:rsidRDefault="00CE4EF3" w:rsidP="00CE4EF3">
      <w:pPr>
        <w:spacing w:after="0" w:line="240" w:lineRule="auto"/>
        <w:ind w:left="709" w:right="709"/>
        <w:jc w:val="both"/>
        <w:rPr>
          <w:rFonts w:ascii="Verdana" w:eastAsia="Aptos" w:hAnsi="Verdana" w:cs="Arial"/>
          <w:kern w:val="2"/>
          <w:sz w:val="21"/>
          <w:szCs w:val="21"/>
          <w:lang w:val="es-MX"/>
          <w14:ligatures w14:val="standardContextual"/>
        </w:rPr>
      </w:pPr>
      <w:r w:rsidRPr="00CE4EF3">
        <w:rPr>
          <w:rFonts w:ascii="Verdana" w:eastAsia="Aptos" w:hAnsi="Verdana" w:cs="Arial"/>
          <w:kern w:val="2"/>
          <w:sz w:val="21"/>
          <w:szCs w:val="21"/>
          <w:lang w:val="es-MX"/>
          <w14:ligatures w14:val="standardContextual"/>
        </w:rPr>
        <w:t>Permitir que una persona natural no idónea, es decir, sin título profesional y sin Matrícula Profesional ejerza actividades de la ingeniería cuando la Constitución y la ley exigen que sólo personas idóneas y con la respectiva autorización la ejerzan, es vaciar de contenido el sentido y la finalidad de la reglamentación de las profesiones y constituye vulneración a las prohibiciones de i) ejercer profesión reglamentada sin autorización […] o ii) permitir, tolerar o facilitar el ejercicio ilegal de profesión reglamentada […] e incluso podría constituir violación a los principios de la contratación estatal que entre otros implican que la adjudicación y celebración de tales contrato es intuito personae”</w:t>
      </w:r>
      <w:r w:rsidRPr="00CE4EF3">
        <w:rPr>
          <w:rFonts w:ascii="Verdana" w:eastAsia="Aptos" w:hAnsi="Verdana" w:cs="Arial"/>
          <w:kern w:val="2"/>
          <w:sz w:val="21"/>
          <w:szCs w:val="21"/>
          <w:vertAlign w:val="superscript"/>
          <w:lang w:val="es-ES"/>
          <w14:ligatures w14:val="standardContextual"/>
        </w:rPr>
        <w:footnoteReference w:id="6"/>
      </w:r>
      <w:r w:rsidRPr="00CE4EF3">
        <w:rPr>
          <w:rFonts w:ascii="Verdana" w:eastAsia="Aptos" w:hAnsi="Verdana" w:cs="Arial"/>
          <w:kern w:val="2"/>
          <w:sz w:val="21"/>
          <w:szCs w:val="21"/>
          <w:lang w:val="es-MX"/>
          <w14:ligatures w14:val="standardContextual"/>
        </w:rPr>
        <w:t>.</w:t>
      </w:r>
    </w:p>
    <w:p w14:paraId="5E77B5FD" w14:textId="77777777" w:rsidR="00CE4EF3" w:rsidRPr="00CE4EF3" w:rsidRDefault="00CE4EF3" w:rsidP="00CE4EF3">
      <w:pPr>
        <w:spacing w:after="0" w:line="276" w:lineRule="auto"/>
        <w:ind w:left="720"/>
        <w:jc w:val="both"/>
        <w:rPr>
          <w:rFonts w:ascii="Verdana" w:eastAsia="Aptos" w:hAnsi="Verdana" w:cs="Arial"/>
          <w:kern w:val="2"/>
          <w:lang w:val="es-MX"/>
          <w14:ligatures w14:val="standardContextual"/>
        </w:rPr>
      </w:pPr>
    </w:p>
    <w:p w14:paraId="318D9C81" w14:textId="77777777" w:rsidR="00CE4EF3" w:rsidRPr="00CE4EF3" w:rsidRDefault="00CE4EF3" w:rsidP="00CE4EF3">
      <w:pPr>
        <w:numPr>
          <w:ilvl w:val="0"/>
          <w:numId w:val="20"/>
        </w:numPr>
        <w:spacing w:after="0" w:line="276" w:lineRule="auto"/>
        <w:contextualSpacing/>
        <w:jc w:val="both"/>
        <w:rPr>
          <w:rFonts w:ascii="Verdana" w:eastAsia="Aptos" w:hAnsi="Verdana" w:cs="Arial"/>
          <w:kern w:val="2"/>
          <w:lang w:val="es-MX"/>
          <w14:ligatures w14:val="standardContextual"/>
        </w:rPr>
      </w:pPr>
      <w:r w:rsidRPr="00CE4EF3">
        <w:rPr>
          <w:rFonts w:ascii="Verdana" w:eastAsia="Aptos" w:hAnsi="Verdana" w:cs="Arial"/>
          <w:kern w:val="2"/>
          <w:lang w:val="es-MX"/>
          <w14:ligatures w14:val="standardContextual"/>
        </w:rPr>
        <w:t xml:space="preserve">En efecto,  dado que las personas jurídicas no pueden y, por tanto, no les es exigible contar con una profesión, la ley previó dicha situación y las habilitó para contar con el apoyo de un profesional que avalara las propuestas relacionadas con ingeniería, pues si ello no hubiese ocurrido, a pesar de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w:t>
      </w:r>
      <w:r w:rsidRPr="00CE4EF3">
        <w:rPr>
          <w:rFonts w:ascii="Verdana" w:eastAsia="Aptos" w:hAnsi="Verdana" w:cs="Arial"/>
          <w:kern w:val="2"/>
          <w:lang w:val="es-MX"/>
          <w14:ligatures w14:val="standardContextual"/>
        </w:rPr>
        <w:lastRenderedPageBreak/>
        <w:t xml:space="preserve">profesión por parte de la persona jurídica que desarrolla funciones profesionales relacionadas directamente con la ingeniería. </w:t>
      </w:r>
    </w:p>
    <w:p w14:paraId="20B9C26E" w14:textId="77777777" w:rsidR="00CE4EF3" w:rsidRPr="00CE4EF3" w:rsidRDefault="00CE4EF3" w:rsidP="00CE4EF3">
      <w:pPr>
        <w:spacing w:after="0" w:line="276" w:lineRule="auto"/>
        <w:ind w:left="720"/>
        <w:contextualSpacing/>
        <w:jc w:val="both"/>
        <w:rPr>
          <w:rFonts w:ascii="Verdana" w:eastAsia="Aptos" w:hAnsi="Verdana" w:cs="Arial"/>
          <w:kern w:val="2"/>
          <w:lang w:val="es-MX"/>
          <w14:ligatures w14:val="standardContextual"/>
        </w:rPr>
      </w:pPr>
    </w:p>
    <w:p w14:paraId="1164A6F8" w14:textId="77777777" w:rsidR="00CE4EF3" w:rsidRPr="00CE4EF3" w:rsidRDefault="00CE4EF3" w:rsidP="00CE4EF3">
      <w:pPr>
        <w:numPr>
          <w:ilvl w:val="0"/>
          <w:numId w:val="20"/>
        </w:numPr>
        <w:spacing w:after="0" w:line="276" w:lineRule="auto"/>
        <w:contextualSpacing/>
        <w:jc w:val="both"/>
        <w:rPr>
          <w:rFonts w:ascii="Verdana" w:eastAsia="Aptos" w:hAnsi="Verdana" w:cs="Arial"/>
          <w:kern w:val="2"/>
          <w:lang w:val="es-MX"/>
          <w14:ligatures w14:val="standardContextual"/>
        </w:rPr>
      </w:pPr>
      <w:r w:rsidRPr="00CE4EF3">
        <w:rPr>
          <w:rFonts w:ascii="Verdana" w:eastAsia="Aptos" w:hAnsi="Verdana" w:cs="Arial"/>
          <w:kern w:val="2"/>
          <w:lang w:val="es-MX"/>
          <w14:ligatures w14:val="standardContextual"/>
        </w:rPr>
        <w:t>En el mismo sentido, al analizar lo ordenado en el artículo 20 de la Ley 842 de 2003, haciendo énfasis en la responsabilidad de los profesionales de la ingeniería en los procesos adelantados por las entidades estatales, mediante concepto No. 64 de 2020, el – COPNIA – señaló:</w:t>
      </w:r>
    </w:p>
    <w:p w14:paraId="5D6623A0" w14:textId="77777777" w:rsidR="00CE4EF3" w:rsidRPr="00CE4EF3" w:rsidRDefault="00CE4EF3" w:rsidP="00CE4EF3">
      <w:pPr>
        <w:spacing w:after="0" w:line="276" w:lineRule="auto"/>
        <w:ind w:firstLine="709"/>
        <w:jc w:val="both"/>
        <w:rPr>
          <w:rFonts w:ascii="Verdana" w:eastAsia="Aptos" w:hAnsi="Verdana" w:cs="Arial"/>
          <w:kern w:val="2"/>
          <w:lang w:val="es-MX"/>
          <w14:ligatures w14:val="standardContextual"/>
        </w:rPr>
      </w:pPr>
    </w:p>
    <w:p w14:paraId="32719F6C" w14:textId="77777777" w:rsidR="00CE4EF3" w:rsidRPr="00CE4EF3" w:rsidRDefault="00CE4EF3" w:rsidP="00CE4EF3">
      <w:pPr>
        <w:spacing w:after="0" w:line="240" w:lineRule="auto"/>
        <w:ind w:left="709" w:right="709"/>
        <w:jc w:val="both"/>
        <w:rPr>
          <w:rFonts w:ascii="Verdana" w:eastAsia="Aptos" w:hAnsi="Verdana" w:cs="Arial"/>
          <w:kern w:val="2"/>
          <w:sz w:val="21"/>
          <w:szCs w:val="21"/>
          <w:lang w:val="es-MX"/>
          <w14:ligatures w14:val="standardContextual"/>
        </w:rPr>
      </w:pPr>
      <w:r w:rsidRPr="00CE4EF3">
        <w:rPr>
          <w:rFonts w:ascii="Verdana" w:eastAsia="Aptos" w:hAnsi="Verdana" w:cs="Arial"/>
          <w:kern w:val="2"/>
          <w:sz w:val="21"/>
          <w:szCs w:val="21"/>
          <w:lang w:val="es-MX"/>
          <w14:ligatures w14:val="standardContextual"/>
        </w:rPr>
        <w:t>“Del tenor de la disposición trascrita, se desprende que todas las personas jurídicas cuyo objeto comprenda el desempeño de actividades catalogadas como ejercicio de la ingeniería, si presentan propuestas en procesos de licitación o concursos ante el Estado para desarrollar dichas tareas, como es el caso de las obras públicas, debe entonces contar con el aval de un ingeniero civil debidamente matriculado ante el Copnia, independientemente de la cuantía o modalidad de contratación, dado que la norma no hace distinción alguna en ese aspecto, esto en aras de que dicho profesional asuma la responsabilidad deontológica por el adecuado ejercicio de la ingeniería, sobre la propuesta que refrenda con su firma, y verifique, controle y direccione las actividades ingenieriles que refrenda en caso de ser adjudicado, y asuma como consecuencia la responsabilidad ético profesional por el inadecuado ejercicio de la profesión, deber que no puede ser soslayado, so pena de exponerse de igual modo a la sociedad al riesgo que implica la ejecución de estas actividades.”</w:t>
      </w:r>
    </w:p>
    <w:p w14:paraId="4BFDB419" w14:textId="77777777" w:rsidR="00CE4EF3" w:rsidRPr="00CE4EF3" w:rsidRDefault="00CE4EF3" w:rsidP="00CE4EF3">
      <w:pPr>
        <w:widowControl w:val="0"/>
        <w:autoSpaceDE w:val="0"/>
        <w:autoSpaceDN w:val="0"/>
        <w:spacing w:after="0" w:line="276" w:lineRule="auto"/>
        <w:ind w:right="448"/>
        <w:jc w:val="both"/>
        <w:rPr>
          <w:rFonts w:ascii="Verdana" w:eastAsia="Arial" w:hAnsi="Verdana" w:cs="Arial"/>
          <w:color w:val="000000"/>
          <w:kern w:val="2"/>
          <w:lang w:val="es-MX"/>
          <w14:ligatures w14:val="standardContextual"/>
        </w:rPr>
      </w:pPr>
    </w:p>
    <w:p w14:paraId="5EF2EFF5" w14:textId="77777777" w:rsidR="00CE4EF3" w:rsidRPr="00CE4EF3" w:rsidRDefault="00CE4EF3" w:rsidP="00CE4EF3">
      <w:pPr>
        <w:widowControl w:val="0"/>
        <w:numPr>
          <w:ilvl w:val="0"/>
          <w:numId w:val="21"/>
        </w:numPr>
        <w:autoSpaceDE w:val="0"/>
        <w:autoSpaceDN w:val="0"/>
        <w:spacing w:after="0" w:line="276" w:lineRule="auto"/>
        <w:contextualSpacing/>
        <w:jc w:val="both"/>
        <w:rPr>
          <w:rFonts w:ascii="Verdana" w:eastAsia="Arial" w:hAnsi="Verdana" w:cs="Arial"/>
          <w:color w:val="000000"/>
          <w:kern w:val="2"/>
          <w:lang w:val="es-ES"/>
          <w14:ligatures w14:val="standardContextual"/>
        </w:rPr>
      </w:pPr>
      <w:r w:rsidRPr="00CE4EF3">
        <w:rPr>
          <w:rFonts w:ascii="Verdana" w:eastAsia="Arial" w:hAnsi="Verdana" w:cs="Arial"/>
          <w:color w:val="000000"/>
          <w:kern w:val="2"/>
          <w:lang w:val="es-ES"/>
          <w14:ligatures w14:val="standardContextual"/>
        </w:rPr>
        <w:t>De acuerdo con lo expuesto, en concordancia con el Consejo Profesional Nacional de Ingeniería –COPNIA–, la persona natural que presente propuesta en un proceso de contratación desarrollado en virtud de los documentos tipo de obra de infraestructura de transporte deberá acreditar título profesional en ingeniería de la rama correspondiente a la ejecución del objeto a contratar, sin que sea posible que ante la ausencia de dicho título participe con el aval de un ingeniero. En efecto, de acuerdo con los apartes citados, dicho aval por parte de un ingeniero solo es posible realizarlo en favor de una persona jurídica o un proponente plural, por lo que, tratándose de personas naturales, ellas directamente deberán ser ingenieros.</w:t>
      </w:r>
    </w:p>
    <w:p w14:paraId="28EC71C8" w14:textId="77777777" w:rsidR="00CE4EF3" w:rsidRPr="00CE4EF3" w:rsidRDefault="00CE4EF3" w:rsidP="00CE4EF3">
      <w:pPr>
        <w:widowControl w:val="0"/>
        <w:tabs>
          <w:tab w:val="left" w:pos="1680"/>
        </w:tabs>
        <w:autoSpaceDE w:val="0"/>
        <w:autoSpaceDN w:val="0"/>
        <w:spacing w:after="0" w:line="276" w:lineRule="auto"/>
        <w:jc w:val="both"/>
        <w:rPr>
          <w:rFonts w:ascii="Verdana" w:eastAsia="Arial" w:hAnsi="Verdana" w:cs="Arial"/>
          <w:color w:val="000000"/>
          <w:kern w:val="2"/>
          <w:lang w:val="es-ES"/>
          <w14:ligatures w14:val="standardContextual"/>
        </w:rPr>
      </w:pPr>
      <w:r w:rsidRPr="00CE4EF3">
        <w:rPr>
          <w:rFonts w:ascii="Verdana" w:eastAsia="Arial" w:hAnsi="Verdana" w:cs="Arial"/>
          <w:color w:val="000000"/>
          <w:kern w:val="2"/>
          <w:lang w:val="es-ES"/>
          <w14:ligatures w14:val="standardContextual"/>
        </w:rPr>
        <w:tab/>
      </w:r>
    </w:p>
    <w:p w14:paraId="11D5CF17" w14:textId="77777777" w:rsidR="00CE4EF3" w:rsidRPr="00CE4EF3" w:rsidRDefault="00CE4EF3" w:rsidP="00CE4EF3">
      <w:pPr>
        <w:widowControl w:val="0"/>
        <w:numPr>
          <w:ilvl w:val="0"/>
          <w:numId w:val="21"/>
        </w:numPr>
        <w:autoSpaceDE w:val="0"/>
        <w:autoSpaceDN w:val="0"/>
        <w:spacing w:after="0" w:line="276" w:lineRule="auto"/>
        <w:contextualSpacing/>
        <w:jc w:val="both"/>
        <w:rPr>
          <w:rFonts w:ascii="Verdana" w:eastAsia="Arial" w:hAnsi="Verdana" w:cs="Arial"/>
          <w:color w:val="000000"/>
          <w:kern w:val="2"/>
          <w:lang w:val="es-ES"/>
          <w14:ligatures w14:val="standardContextual"/>
        </w:rPr>
      </w:pPr>
      <w:r w:rsidRPr="00CE4EF3">
        <w:rPr>
          <w:rFonts w:ascii="Verdana" w:eastAsia="Arial" w:hAnsi="Verdana" w:cs="Arial"/>
          <w:color w:val="000000"/>
          <w:kern w:val="2"/>
          <w:lang w:val="es-ES"/>
          <w14:ligatures w14:val="standardContextual"/>
        </w:rPr>
        <w:t xml:space="preserve">Sin perjuicio de lo anterior, de acuerdo con la sentencia C-191 de 2005 de la Corte Constitucional, dependerá de la actividad a desarrollar en el proceso de contratación la exigencia de que sea únicamente un ingeniero quien la pueda realizar, pues si la actividad, a pesar de estar relacionada con ingeniería, puede ser ejecutada por un profesional diferente a un </w:t>
      </w:r>
      <w:r w:rsidRPr="00CE4EF3">
        <w:rPr>
          <w:rFonts w:ascii="Verdana" w:eastAsia="Arial" w:hAnsi="Verdana" w:cs="Arial"/>
          <w:color w:val="000000"/>
          <w:kern w:val="2"/>
          <w:lang w:val="es-ES"/>
          <w14:ligatures w14:val="standardContextual"/>
        </w:rPr>
        <w:lastRenderedPageBreak/>
        <w:t>ingeniero, como es el caso de los arquitectos, la entidad estatal deberá permitir que dicha persona natural se presente como proponente, toda vez que restringir actividades que pueden ser realizadas por diferentes profesionales a uno específico atentaría contra la libertad de escoger y ejercer profesión u oficio</w:t>
      </w:r>
      <w:r w:rsidRPr="00CE4EF3">
        <w:rPr>
          <w:rFonts w:ascii="Aptos" w:eastAsia="Aptos" w:hAnsi="Aptos" w:cs="Times New Roman"/>
          <w:kern w:val="2"/>
          <w:sz w:val="24"/>
          <w:szCs w:val="24"/>
          <w:vertAlign w:val="superscript"/>
          <w:lang w:val="es-ES"/>
          <w14:ligatures w14:val="standardContextual"/>
        </w:rPr>
        <w:footnoteReference w:id="7"/>
      </w:r>
      <w:r w:rsidRPr="00CE4EF3">
        <w:rPr>
          <w:rFonts w:ascii="Verdana" w:eastAsia="Arial" w:hAnsi="Verdana" w:cs="Arial"/>
          <w:color w:val="000000"/>
          <w:kern w:val="2"/>
          <w:lang w:val="es-ES"/>
          <w14:ligatures w14:val="standardContextual"/>
        </w:rPr>
        <w:t>.</w:t>
      </w:r>
      <w:bookmarkStart w:id="0" w:name="_Hlk83884845"/>
    </w:p>
    <w:p w14:paraId="52765921" w14:textId="77777777" w:rsidR="00CE4EF3" w:rsidRPr="00CE4EF3" w:rsidRDefault="00CE4EF3" w:rsidP="00CE4EF3">
      <w:pPr>
        <w:widowControl w:val="0"/>
        <w:autoSpaceDE w:val="0"/>
        <w:autoSpaceDN w:val="0"/>
        <w:spacing w:after="0" w:line="276" w:lineRule="auto"/>
        <w:rPr>
          <w:rFonts w:ascii="Verdana" w:eastAsia="Arial" w:hAnsi="Verdana" w:cs="Arial"/>
          <w:color w:val="000000"/>
          <w:kern w:val="2"/>
          <w:lang w:val="es-ES"/>
          <w14:ligatures w14:val="standardContextual"/>
        </w:rPr>
      </w:pPr>
    </w:p>
    <w:p w14:paraId="21463489" w14:textId="77777777" w:rsidR="00CE4EF3" w:rsidRPr="00CE4EF3" w:rsidRDefault="00CE4EF3" w:rsidP="00CE4EF3">
      <w:pPr>
        <w:widowControl w:val="0"/>
        <w:numPr>
          <w:ilvl w:val="0"/>
          <w:numId w:val="21"/>
        </w:numPr>
        <w:autoSpaceDE w:val="0"/>
        <w:autoSpaceDN w:val="0"/>
        <w:spacing w:after="0" w:line="276" w:lineRule="auto"/>
        <w:contextualSpacing/>
        <w:jc w:val="both"/>
        <w:rPr>
          <w:rFonts w:ascii="Verdana" w:eastAsia="Arial" w:hAnsi="Verdana" w:cs="Arial"/>
          <w:color w:val="000000"/>
          <w:kern w:val="2"/>
          <w:lang w:val="es-MX"/>
          <w14:ligatures w14:val="standardContextual"/>
        </w:rPr>
      </w:pPr>
      <w:bookmarkStart w:id="1" w:name="_Hlk79389801"/>
      <w:r w:rsidRPr="00CE4EF3">
        <w:rPr>
          <w:rFonts w:ascii="Verdana" w:eastAsia="Arial" w:hAnsi="Verdana" w:cs="Arial"/>
          <w:color w:val="000000"/>
          <w:kern w:val="2"/>
          <w:lang w:val="es-ES"/>
          <w14:ligatures w14:val="standardContextual"/>
        </w:rPr>
        <w:t xml:space="preserve">Por otra parte, es importante precisar que el numeral 2.1 del Capítulo II –elaboración y presentación de la oferta– del Documento Base </w:t>
      </w:r>
      <w:r w:rsidRPr="00CE4EF3">
        <w:rPr>
          <w:rFonts w:ascii="Verdana" w:eastAsia="Arial" w:hAnsi="Verdana" w:cs="Arial"/>
          <w:bCs/>
          <w:color w:val="000000"/>
          <w:kern w:val="2"/>
          <w14:ligatures w14:val="standardContextual"/>
        </w:rPr>
        <w:t xml:space="preserve">para los procesos de licitación de obra pública de infraestructura de transporte, selección abreviada de menor cuantía, concurso de méritos para contratar la interventoría y la consultoría de estudios de ingeniería de infraestructura de transporte, al igual que el numeral 3.1 del Capítulo III </w:t>
      </w:r>
      <w:r w:rsidRPr="00CE4EF3">
        <w:rPr>
          <w:rFonts w:ascii="Verdana" w:eastAsia="Aptos" w:hAnsi="Verdana" w:cs="Arial"/>
          <w:kern w:val="2"/>
          <w14:ligatures w14:val="standardContextual"/>
        </w:rPr>
        <w:t>−elaboración, presentación y evaluación de las ofertas− de la invitación para</w:t>
      </w:r>
      <w:r w:rsidRPr="00CE4EF3">
        <w:rPr>
          <w:rFonts w:ascii="Verdana" w:eastAsia="Cambria Math" w:hAnsi="Verdana" w:cs="Arial"/>
          <w:color w:val="000000"/>
          <w:kern w:val="2"/>
          <w14:ligatures w14:val="standardContextual"/>
        </w:rPr>
        <w:t xml:space="preserve"> los procesos de mínima cuantía de obra pública de infraestructura de transporte, </w:t>
      </w:r>
      <w:r w:rsidRPr="00CE4EF3">
        <w:rPr>
          <w:rFonts w:ascii="Verdana" w:eastAsia="Arial" w:hAnsi="Verdana" w:cs="Arial"/>
          <w:bCs/>
          <w:color w:val="000000"/>
          <w:kern w:val="2"/>
          <w14:ligatures w14:val="standardContextual"/>
        </w:rPr>
        <w:t xml:space="preserve">hacen referencia a la carta de presentación de la oferta, indicando claramente que con el propósito de </w:t>
      </w:r>
      <w:r w:rsidRPr="00CE4EF3">
        <w:rPr>
          <w:rFonts w:ascii="Verdana" w:eastAsia="Arial" w:hAnsi="Verdana" w:cs="Arial"/>
          <w:color w:val="000000"/>
          <w:kern w:val="2"/>
          <w:lang w:val="es-MX"/>
          <w14:ligatures w14:val="standardContextual"/>
        </w:rPr>
        <w:t>evitar el ejercicio ilegal de la Ingeniería, la persona natural –proponente individual o integrante de la estructura plural– que pretenda participar en el proceso de selección debe acreditar que posee título como ingeniero</w:t>
      </w:r>
      <w:bookmarkEnd w:id="1"/>
      <w:r w:rsidRPr="00CE4EF3">
        <w:rPr>
          <w:rFonts w:ascii="Aptos" w:eastAsia="Aptos" w:hAnsi="Aptos" w:cs="Times New Roman"/>
          <w:kern w:val="2"/>
          <w:sz w:val="24"/>
          <w:szCs w:val="24"/>
          <w:vertAlign w:val="superscript"/>
          <w:lang w:val="es-MX"/>
          <w14:ligatures w14:val="standardContextual"/>
        </w:rPr>
        <w:footnoteReference w:id="8"/>
      </w:r>
      <w:r w:rsidRPr="00CE4EF3">
        <w:rPr>
          <w:rFonts w:ascii="Verdana" w:eastAsia="Arial" w:hAnsi="Verdana" w:cs="Arial"/>
          <w:color w:val="000000"/>
          <w:kern w:val="2"/>
          <w:lang w:val="es-MX"/>
          <w14:ligatures w14:val="standardContextual"/>
        </w:rPr>
        <w:t xml:space="preserve">. Conforme a lo explicado, esta regulación además obedece a los tipos de proyectos que se estandarizan mediante los documentos tipo indicados, respecto del sector de infraestructura de transporte, en los que son los ingenieros quienes cuentan legalmente con la idoneidad para el desarrollo de los mismos, de acuerdo con el alcance de los objetos contractuales frente a los que </w:t>
      </w:r>
      <w:r w:rsidRPr="00CE4EF3">
        <w:rPr>
          <w:rFonts w:ascii="Verdana" w:eastAsia="Arial" w:hAnsi="Verdana" w:cs="Arial"/>
          <w:color w:val="000000"/>
          <w:kern w:val="2"/>
          <w:lang w:val="es-MX"/>
          <w14:ligatures w14:val="standardContextual"/>
        </w:rPr>
        <w:lastRenderedPageBreak/>
        <w:t xml:space="preserve">aplican tales documentos tipo, acorde con las actividades establecidas en la Matriz 1 – Experiencia. </w:t>
      </w:r>
    </w:p>
    <w:p w14:paraId="1D5A34AD" w14:textId="77777777" w:rsidR="00CE4EF3" w:rsidRPr="00CE4EF3" w:rsidRDefault="00CE4EF3" w:rsidP="00CE4EF3">
      <w:pPr>
        <w:numPr>
          <w:ilvl w:val="12"/>
          <w:numId w:val="0"/>
        </w:numPr>
        <w:spacing w:after="0" w:line="276" w:lineRule="auto"/>
        <w:jc w:val="both"/>
        <w:rPr>
          <w:rFonts w:ascii="Verdana" w:eastAsia="Calibri" w:hAnsi="Verdana" w:cs="Arial"/>
          <w:kern w:val="2"/>
          <w:lang w:val="es-MX"/>
          <w14:ligatures w14:val="standardContextual"/>
        </w:rPr>
      </w:pPr>
    </w:p>
    <w:p w14:paraId="28A3A093" w14:textId="77777777" w:rsidR="00CE4EF3" w:rsidRPr="00CE4EF3" w:rsidRDefault="00CE4EF3" w:rsidP="00CE4EF3">
      <w:pPr>
        <w:numPr>
          <w:ilvl w:val="0"/>
          <w:numId w:val="21"/>
        </w:numPr>
        <w:spacing w:after="0" w:line="276" w:lineRule="auto"/>
        <w:contextualSpacing/>
        <w:jc w:val="both"/>
        <w:rPr>
          <w:rFonts w:ascii="Verdana" w:eastAsia="Times New Roman" w:hAnsi="Verdana" w:cs="Arial"/>
          <w:color w:val="000000"/>
          <w:kern w:val="2"/>
          <w:shd w:val="clear" w:color="auto" w:fill="FFFFFF"/>
          <w:lang w:eastAsia="es-CO"/>
          <w14:ligatures w14:val="standardContextual"/>
        </w:rPr>
      </w:pPr>
      <w:r w:rsidRPr="00CE4EF3">
        <w:rPr>
          <w:rFonts w:ascii="Verdana" w:eastAsia="Calibri" w:hAnsi="Verdana" w:cs="Arial"/>
          <w:kern w:val="2"/>
          <w:lang w:val="es-MX"/>
          <w14:ligatures w14:val="standardContextual"/>
        </w:rPr>
        <w:t xml:space="preserve">Ahora bien, cuando el representante legal o apoderado del proponente individual persona jurídica o el representante legal o apoderado de la estructura plural –consorcio o unión temporal–, no posee título de una de las profesiones catalogadas como ejercicio de la ingeniería, los documentos tipo señalan de forma uniforme que la oferta debe ser avalada por un ingeniero. </w:t>
      </w:r>
      <w:bookmarkStart w:id="2" w:name="_Hlk79389847"/>
      <w:r w:rsidRPr="00CE4EF3">
        <w:rPr>
          <w:rFonts w:ascii="Verdana" w:eastAsia="Calibri" w:hAnsi="Verdana" w:cs="Arial"/>
          <w:kern w:val="2"/>
          <w:lang w:val="es-MX"/>
          <w14:ligatures w14:val="standardContextual"/>
        </w:rPr>
        <w:t xml:space="preserve">Así, al verificar el </w:t>
      </w:r>
      <w:r w:rsidRPr="00CE4EF3">
        <w:rPr>
          <w:rFonts w:ascii="Verdana" w:eastAsia="Times New Roman" w:hAnsi="Verdana" w:cs="Arial"/>
          <w:bCs/>
          <w:color w:val="000000"/>
          <w:kern w:val="2"/>
          <w:lang w:eastAsia="es-CO"/>
          <w14:ligatures w14:val="standardContextual"/>
        </w:rPr>
        <w:t xml:space="preserve">Formato 1 – Carta de Presentación de la Propuesta, se observa un espacio para diligenciar cuando </w:t>
      </w:r>
      <w:r w:rsidRPr="00CE4EF3">
        <w:rPr>
          <w:rFonts w:ascii="Verdana" w:eastAsia="Calibri" w:hAnsi="Verdana" w:cs="Arial"/>
          <w:kern w:val="2"/>
          <w14:ligatures w14:val="standardContextual"/>
        </w:rPr>
        <w:t xml:space="preserve">el proponente o su representante legal no sea un Ingeniero: ““De acuerdo con lo expresado en la Ley 842 de 2003 y debido a que el suscriptor de la presente propuesta no es ingeniero matriculado, yo […] ingeniero con matrícula profesional No. […] y C. C. No. […] avalo la presente propuesta” </w:t>
      </w:r>
      <w:r w:rsidRPr="00CE4EF3">
        <w:rPr>
          <w:rFonts w:ascii="Verdana" w:eastAsia="Times New Roman" w:hAnsi="Verdana" w:cs="Arial"/>
          <w:kern w:val="2"/>
          <w:highlight w:val="lightGray"/>
          <w:lang w:eastAsia="es-ES"/>
          <w14:ligatures w14:val="standardContextual"/>
        </w:rPr>
        <w:t>(Nombre y firma de quien avala la propuesta</w:t>
      </w:r>
      <w:r w:rsidRPr="00CE4EF3">
        <w:rPr>
          <w:rFonts w:ascii="Verdana" w:eastAsia="Times New Roman" w:hAnsi="Verdana" w:cs="Arial"/>
          <w:kern w:val="2"/>
          <w:lang w:eastAsia="es-ES"/>
          <w14:ligatures w14:val="standardContextual"/>
        </w:rPr>
        <w:t>)</w:t>
      </w:r>
      <w:r w:rsidRPr="00CE4EF3">
        <w:rPr>
          <w:rFonts w:ascii="Verdana" w:eastAsia="Times New Roman" w:hAnsi="Verdana" w:cs="Arial"/>
          <w:color w:val="000000"/>
          <w:kern w:val="2"/>
          <w:shd w:val="clear" w:color="auto" w:fill="FFFFFF"/>
          <w:lang w:eastAsia="es-CO"/>
          <w14:ligatures w14:val="standardContextual"/>
        </w:rPr>
        <w:t>”.</w:t>
      </w:r>
    </w:p>
    <w:p w14:paraId="2853E512" w14:textId="77777777" w:rsidR="00CE4EF3" w:rsidRPr="00CE4EF3" w:rsidRDefault="00CE4EF3" w:rsidP="00CE4EF3">
      <w:pPr>
        <w:spacing w:after="0" w:line="276" w:lineRule="auto"/>
        <w:jc w:val="both"/>
        <w:rPr>
          <w:rFonts w:ascii="Verdana" w:eastAsia="Times New Roman" w:hAnsi="Verdana" w:cs="Arial"/>
          <w:color w:val="000000"/>
          <w:kern w:val="2"/>
          <w:shd w:val="clear" w:color="auto" w:fill="FFFFFF"/>
          <w:lang w:eastAsia="es-CO"/>
          <w14:ligatures w14:val="standardContextual"/>
        </w:rPr>
      </w:pPr>
    </w:p>
    <w:bookmarkEnd w:id="2"/>
    <w:p w14:paraId="3587A9D3" w14:textId="77777777" w:rsidR="00CE4EF3" w:rsidRPr="00CE4EF3" w:rsidRDefault="00CE4EF3" w:rsidP="00CE4EF3">
      <w:pPr>
        <w:numPr>
          <w:ilvl w:val="0"/>
          <w:numId w:val="21"/>
        </w:numPr>
        <w:spacing w:after="0" w:line="276" w:lineRule="auto"/>
        <w:contextualSpacing/>
        <w:jc w:val="both"/>
        <w:rPr>
          <w:rFonts w:ascii="Verdana" w:eastAsia="Calibri" w:hAnsi="Verdana" w:cs="Arial"/>
          <w:kern w:val="2"/>
          <w:lang w:val="es-MX" w:bidi="es-ES"/>
          <w14:ligatures w14:val="standardContextual"/>
        </w:rPr>
      </w:pPr>
      <w:r w:rsidRPr="00CE4EF3">
        <w:rPr>
          <w:rFonts w:ascii="Verdana" w:eastAsia="Arial" w:hAnsi="Verdana" w:cs="Arial"/>
          <w:color w:val="000000"/>
          <w:kern w:val="2"/>
          <w14:ligatures w14:val="standardContextual"/>
        </w:rPr>
        <w:t xml:space="preserve">De lo anterior se concluye que, tratándose de los documentos tipo expuestos en este concepto, relacionados con el sector de infraestructura de transporte, el proponente persona natural debe tener el título de ingeniero. En el evento en que se trate de una persona jurídica, cuyo representante legal no es un ingeniero, la presentación de su oferta debe estar avalada por un ingeniero, de lo contrario no podrá participar en el respectivo proceso de contratación, </w:t>
      </w:r>
      <w:r w:rsidRPr="00CE4EF3">
        <w:rPr>
          <w:rFonts w:ascii="Verdana" w:eastAsia="Calibri" w:hAnsi="Verdana" w:cs="Arial"/>
          <w:kern w:val="2"/>
          <w:lang w:val="es-MX"/>
          <w14:ligatures w14:val="standardContextual"/>
        </w:rPr>
        <w:t xml:space="preserve">por expreso mandato legal y </w:t>
      </w:r>
      <w:r w:rsidRPr="00CE4EF3">
        <w:rPr>
          <w:rFonts w:ascii="Verdana" w:eastAsia="Arial" w:hAnsi="Verdana" w:cs="Arial"/>
          <w:color w:val="000000"/>
          <w:kern w:val="2"/>
          <w14:ligatures w14:val="standardContextual"/>
        </w:rPr>
        <w:t xml:space="preserve">por estar así previsto en </w:t>
      </w:r>
      <w:r w:rsidRPr="00CE4EF3">
        <w:rPr>
          <w:rFonts w:ascii="Verdana" w:eastAsia="Calibri" w:hAnsi="Verdana" w:cs="Arial"/>
          <w:kern w:val="2"/>
          <w:lang w:val="es-MX"/>
          <w14:ligatures w14:val="standardContextual"/>
        </w:rPr>
        <w:t>los Documentos Tipo que son obligatorios e inalterables, lo que se sustenta en que solo estos profesionales de la ingeniería se encuentran habilitados legalmente para el desarrollo de este tipo de proyectos. Esta interpretación, como se explicó, es respaldada por la Corte Constitucional</w:t>
      </w:r>
      <w:r w:rsidRPr="00CE4EF3">
        <w:rPr>
          <w:rFonts w:ascii="Verdana" w:eastAsia="Calibri" w:hAnsi="Verdana" w:cs="Arial"/>
          <w:kern w:val="2"/>
          <w:lang w:val="es-MX" w:bidi="es-ES"/>
          <w14:ligatures w14:val="standardContextual"/>
        </w:rPr>
        <w:t>, de modo que la obligatoriedad de presentar las propuestas con el aval de un ingeniero en licitaciones y concursos abiertos en los contratos que impliquen el desarrollo de actividades catalogadas como ejercicio de la ingeniería es objetiva y proporcional en la medida que el aval de un ingeniero únicamente se debe realizar tratándose de procesos de contratación que involucren actividades catalogadas como ejercicio de la ingeniería.</w:t>
      </w:r>
    </w:p>
    <w:p w14:paraId="308AC5AA" w14:textId="77777777" w:rsidR="00CE4EF3" w:rsidRPr="00CE4EF3" w:rsidRDefault="00CE4EF3" w:rsidP="00CE4EF3">
      <w:pPr>
        <w:numPr>
          <w:ilvl w:val="12"/>
          <w:numId w:val="0"/>
        </w:numPr>
        <w:spacing w:after="0" w:line="276" w:lineRule="auto"/>
        <w:jc w:val="both"/>
        <w:rPr>
          <w:rFonts w:ascii="Verdana" w:eastAsia="Calibri" w:hAnsi="Verdana" w:cs="Arial"/>
          <w:kern w:val="2"/>
          <w:lang w:val="es-MX" w:bidi="es-ES"/>
          <w14:ligatures w14:val="standardContextual"/>
        </w:rPr>
      </w:pPr>
    </w:p>
    <w:p w14:paraId="56CDE592" w14:textId="77777777" w:rsidR="00CE4EF3" w:rsidRPr="00CE4EF3" w:rsidRDefault="00CE4EF3" w:rsidP="00CE4EF3">
      <w:pPr>
        <w:numPr>
          <w:ilvl w:val="0"/>
          <w:numId w:val="21"/>
        </w:numPr>
        <w:spacing w:after="0" w:line="276" w:lineRule="auto"/>
        <w:contextualSpacing/>
        <w:jc w:val="both"/>
        <w:rPr>
          <w:rFonts w:ascii="Verdana" w:eastAsia="Calibri" w:hAnsi="Verdana" w:cs="Arial"/>
          <w:kern w:val="2"/>
          <w:lang w:val="es-MX" w:bidi="es-ES"/>
          <w14:ligatures w14:val="standardContextual"/>
        </w:rPr>
      </w:pPr>
      <w:r w:rsidRPr="00CE4EF3">
        <w:rPr>
          <w:rFonts w:ascii="Verdana" w:eastAsia="Calibri" w:hAnsi="Verdana" w:cs="Arial"/>
          <w:kern w:val="2"/>
          <w:lang w:val="es-MX" w:bidi="es-ES"/>
          <w14:ligatures w14:val="standardContextual"/>
        </w:rPr>
        <w:t xml:space="preserve">Ahora bien, lo indicado en estas consideraciones aplica en relación con los documentos tipo a los que se hizo referencia en este concepto, pues en los casos en que no apliquen los documentos tipo será cada entidad estatal la encargada de estructurar su pliego de condiciones. Incluso, lo </w:t>
      </w:r>
      <w:r w:rsidRPr="00CE4EF3">
        <w:rPr>
          <w:rFonts w:ascii="Verdana" w:eastAsia="Calibri" w:hAnsi="Verdana" w:cs="Arial"/>
          <w:kern w:val="2"/>
          <w:lang w:val="es-MX" w:bidi="es-ES"/>
          <w14:ligatures w14:val="standardContextual"/>
        </w:rPr>
        <w:lastRenderedPageBreak/>
        <w:t>anteriormente expuesto se aplica en los supuestos analizados, sin perjuicio de que esta Agencia al estructurar documentos tipo para otros sectores pueda establecer una regulación diferente atendiendo a los tipos de profesionales habilitados para el desarrollo de determinadas actividades, por lo que la tesis sostenida en este concepto se reitera en relación con los documentos tipo adoptados por esta Agencia para obras de infraestructura de transporte.</w:t>
      </w:r>
    </w:p>
    <w:bookmarkEnd w:id="0"/>
    <w:p w14:paraId="33ECF193" w14:textId="77777777" w:rsidR="00CE4EF3" w:rsidRPr="00CE4EF3" w:rsidRDefault="00CE4EF3" w:rsidP="00CE4EF3">
      <w:pPr>
        <w:widowControl w:val="0"/>
        <w:autoSpaceDE w:val="0"/>
        <w:autoSpaceDN w:val="0"/>
        <w:spacing w:after="0" w:line="276" w:lineRule="auto"/>
        <w:jc w:val="both"/>
        <w:rPr>
          <w:rFonts w:ascii="Verdana" w:eastAsia="Calibri" w:hAnsi="Verdana" w:cs="Arial"/>
        </w:rPr>
      </w:pPr>
    </w:p>
    <w:p w14:paraId="23FC5E95" w14:textId="77777777" w:rsidR="00CE4EF3" w:rsidRPr="00CE4EF3" w:rsidRDefault="00CE4EF3" w:rsidP="00CE4EF3">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CE4EF3">
        <w:rPr>
          <w:rFonts w:ascii="Verdana" w:eastAsia="Century Gothic" w:hAnsi="Verdana" w:cs="Century Gothic"/>
          <w:b/>
          <w:bCs/>
          <w:lang w:val="es-ES"/>
        </w:rPr>
        <w:t>Referencias normativas, jurisprudenciales y otras fuentes:</w:t>
      </w:r>
    </w:p>
    <w:p w14:paraId="23C54D3A" w14:textId="77777777" w:rsidR="00CE4EF3" w:rsidRPr="00CE4EF3" w:rsidRDefault="00CE4EF3" w:rsidP="00CE4EF3">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E4EF3" w:rsidRPr="00CE4EF3" w14:paraId="78DE2D8F" w14:textId="77777777" w:rsidTr="00937213">
        <w:trPr>
          <w:trHeight w:val="870"/>
        </w:trPr>
        <w:tc>
          <w:tcPr>
            <w:tcW w:w="8647" w:type="dxa"/>
          </w:tcPr>
          <w:p w14:paraId="63306E67" w14:textId="77777777" w:rsidR="00CE4EF3" w:rsidRPr="00CE4EF3" w:rsidRDefault="00CE4EF3" w:rsidP="00CE4EF3">
            <w:pPr>
              <w:widowControl w:val="0"/>
              <w:numPr>
                <w:ilvl w:val="0"/>
                <w:numId w:val="17"/>
              </w:numPr>
              <w:autoSpaceDE w:val="0"/>
              <w:autoSpaceDN w:val="0"/>
              <w:spacing w:after="120" w:line="276" w:lineRule="auto"/>
              <w:jc w:val="both"/>
              <w:rPr>
                <w:rFonts w:ascii="Verdana" w:eastAsia="Calibri" w:hAnsi="Verdana" w:cs="Arial"/>
              </w:rPr>
            </w:pPr>
            <w:r w:rsidRPr="00CE4EF3">
              <w:rPr>
                <w:rFonts w:ascii="Verdana" w:eastAsia="Calibri" w:hAnsi="Verdana" w:cs="Arial"/>
              </w:rPr>
              <w:t>Constitución Política, artículo 26.</w:t>
            </w:r>
          </w:p>
          <w:p w14:paraId="5408586F" w14:textId="77777777" w:rsidR="00CE4EF3" w:rsidRPr="00CE4EF3" w:rsidRDefault="00CE4EF3" w:rsidP="00CE4EF3">
            <w:pPr>
              <w:widowControl w:val="0"/>
              <w:numPr>
                <w:ilvl w:val="0"/>
                <w:numId w:val="17"/>
              </w:numPr>
              <w:autoSpaceDE w:val="0"/>
              <w:autoSpaceDN w:val="0"/>
              <w:spacing w:after="120" w:line="276" w:lineRule="auto"/>
              <w:jc w:val="both"/>
              <w:rPr>
                <w:rFonts w:ascii="Verdana" w:eastAsia="Calibri" w:hAnsi="Verdana" w:cs="Arial"/>
              </w:rPr>
            </w:pPr>
            <w:r w:rsidRPr="00CE4EF3">
              <w:rPr>
                <w:rFonts w:ascii="Verdana" w:eastAsia="Calibri" w:hAnsi="Verdana" w:cs="Arial"/>
              </w:rPr>
              <w:t>Ley 842 de 2003, artículos 2, 6 y 20.</w:t>
            </w:r>
          </w:p>
          <w:p w14:paraId="5F356D31" w14:textId="77777777" w:rsidR="00CE4EF3" w:rsidRPr="00CE4EF3" w:rsidRDefault="00CE4EF3" w:rsidP="00CE4EF3">
            <w:pPr>
              <w:widowControl w:val="0"/>
              <w:numPr>
                <w:ilvl w:val="0"/>
                <w:numId w:val="17"/>
              </w:numPr>
              <w:autoSpaceDE w:val="0"/>
              <w:autoSpaceDN w:val="0"/>
              <w:spacing w:after="120" w:line="276" w:lineRule="auto"/>
              <w:jc w:val="both"/>
              <w:rPr>
                <w:rFonts w:ascii="Verdana" w:eastAsia="Calibri" w:hAnsi="Verdana" w:cs="Arial"/>
              </w:rPr>
            </w:pPr>
            <w:r w:rsidRPr="00CE4EF3">
              <w:rPr>
                <w:rFonts w:ascii="Verdana" w:eastAsia="Calibri" w:hAnsi="Verdana" w:cs="Arial"/>
              </w:rPr>
              <w:t>Corte Constitucional, sentencia C-697 de 2000, M.P. Eduardo Cifuentes Muñoz.</w:t>
            </w:r>
          </w:p>
          <w:p w14:paraId="1FAAECF6" w14:textId="77777777" w:rsidR="00CE4EF3" w:rsidRPr="00CE4EF3" w:rsidRDefault="00CE4EF3" w:rsidP="00CE4EF3">
            <w:pPr>
              <w:widowControl w:val="0"/>
              <w:numPr>
                <w:ilvl w:val="0"/>
                <w:numId w:val="17"/>
              </w:numPr>
              <w:autoSpaceDE w:val="0"/>
              <w:autoSpaceDN w:val="0"/>
              <w:spacing w:after="120" w:line="276" w:lineRule="auto"/>
              <w:jc w:val="both"/>
              <w:rPr>
                <w:rFonts w:ascii="Verdana" w:eastAsia="Calibri" w:hAnsi="Verdana" w:cs="Arial"/>
              </w:rPr>
            </w:pPr>
            <w:r w:rsidRPr="00CE4EF3">
              <w:rPr>
                <w:rFonts w:ascii="Verdana" w:eastAsia="Calibri" w:hAnsi="Verdana" w:cs="Arial"/>
              </w:rPr>
              <w:t xml:space="preserve">Corte Constitucional, sentencia C-191 de 2005, M.P. Manuel José Cepeda Espinosa. </w:t>
            </w:r>
          </w:p>
          <w:p w14:paraId="7B514C04" w14:textId="77777777" w:rsidR="00CE4EF3" w:rsidRPr="00CE4EF3" w:rsidRDefault="00CE4EF3" w:rsidP="00CE4EF3">
            <w:pPr>
              <w:widowControl w:val="0"/>
              <w:numPr>
                <w:ilvl w:val="0"/>
                <w:numId w:val="17"/>
              </w:numPr>
              <w:autoSpaceDE w:val="0"/>
              <w:autoSpaceDN w:val="0"/>
              <w:spacing w:after="120" w:line="276" w:lineRule="auto"/>
              <w:jc w:val="both"/>
              <w:rPr>
                <w:rFonts w:ascii="Verdana" w:eastAsia="Calibri" w:hAnsi="Verdana" w:cs="Arial"/>
              </w:rPr>
            </w:pPr>
            <w:r w:rsidRPr="00CE4EF3">
              <w:rPr>
                <w:rFonts w:ascii="Verdana" w:eastAsia="Aptos" w:hAnsi="Verdana" w:cs="Arial"/>
                <w:spacing w:val="2"/>
                <w:lang w:eastAsia="es-CO"/>
              </w:rPr>
              <w:t xml:space="preserve">Documentos tipo de obra pública de infraestructura de transporte. Disponibles en: </w:t>
            </w:r>
            <w:hyperlink r:id="rId11" w:history="1">
              <w:r w:rsidRPr="00CE4EF3">
                <w:rPr>
                  <w:rFonts w:ascii="Verdana" w:eastAsia="Aptos" w:hAnsi="Verdana" w:cs="Arial"/>
                  <w:color w:val="0000FF"/>
                  <w:spacing w:val="2"/>
                  <w:u w:val="single"/>
                  <w:lang w:eastAsia="es-CO"/>
                </w:rPr>
                <w:t>https://www.colombiacompra.gov.co/content/documentos-tipo-de-infraestructura-de-transporte</w:t>
              </w:r>
            </w:hyperlink>
            <w:r w:rsidRPr="00CE4EF3">
              <w:rPr>
                <w:rFonts w:ascii="Verdana" w:eastAsia="Aptos" w:hAnsi="Verdana" w:cs="Arial"/>
                <w:spacing w:val="2"/>
                <w:lang w:eastAsia="es-CO"/>
              </w:rPr>
              <w:t xml:space="preserve"> </w:t>
            </w:r>
          </w:p>
        </w:tc>
      </w:tr>
    </w:tbl>
    <w:p w14:paraId="7E86CDBE" w14:textId="77777777" w:rsidR="00CE4EF3" w:rsidRPr="00CE4EF3" w:rsidRDefault="00CE4EF3" w:rsidP="00CE4EF3">
      <w:pPr>
        <w:widowControl w:val="0"/>
        <w:autoSpaceDE w:val="0"/>
        <w:autoSpaceDN w:val="0"/>
        <w:spacing w:after="0" w:line="276" w:lineRule="auto"/>
        <w:jc w:val="both"/>
        <w:rPr>
          <w:rFonts w:ascii="Verdana" w:eastAsia="Calibri" w:hAnsi="Verdana" w:cs="Arial"/>
        </w:rPr>
      </w:pPr>
    </w:p>
    <w:p w14:paraId="148FE989" w14:textId="77777777" w:rsidR="00CE4EF3" w:rsidRPr="00CE4EF3" w:rsidRDefault="00CE4EF3" w:rsidP="00CE4EF3">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CE4EF3">
        <w:rPr>
          <w:rFonts w:ascii="Verdana" w:eastAsia="Century Gothic" w:hAnsi="Verdana" w:cs="Century Gothic"/>
          <w:b/>
          <w:bCs/>
          <w:lang w:val="es-ES"/>
        </w:rPr>
        <w:t>Doctrina de la Agencia Nacional de Contratación Pública:</w:t>
      </w:r>
    </w:p>
    <w:p w14:paraId="6FFEFBD1" w14:textId="77777777" w:rsidR="00CE4EF3" w:rsidRPr="00CE4EF3" w:rsidRDefault="00CE4EF3" w:rsidP="00CE4EF3">
      <w:pPr>
        <w:widowControl w:val="0"/>
        <w:autoSpaceDE w:val="0"/>
        <w:autoSpaceDN w:val="0"/>
        <w:spacing w:after="0" w:line="276" w:lineRule="auto"/>
        <w:jc w:val="both"/>
        <w:rPr>
          <w:rFonts w:ascii="Verdana" w:eastAsia="Calibri" w:hAnsi="Verdana" w:cs="Arial"/>
        </w:rPr>
      </w:pPr>
    </w:p>
    <w:p w14:paraId="240F72F8" w14:textId="77777777" w:rsidR="00CE4EF3" w:rsidRPr="00CE4EF3" w:rsidRDefault="00CE4EF3" w:rsidP="00CE4EF3">
      <w:pPr>
        <w:widowControl w:val="0"/>
        <w:autoSpaceDE w:val="0"/>
        <w:autoSpaceDN w:val="0"/>
        <w:spacing w:after="0" w:line="276" w:lineRule="auto"/>
        <w:jc w:val="both"/>
        <w:rPr>
          <w:rFonts w:ascii="Verdana" w:eastAsia="Calibri" w:hAnsi="Verdana" w:cs="Arial"/>
          <w:shd w:val="clear" w:color="auto" w:fill="FFFFFF"/>
          <w:lang w:val="es-ES"/>
        </w:rPr>
      </w:pPr>
      <w:r w:rsidRPr="00CE4EF3">
        <w:rPr>
          <w:rFonts w:ascii="Verdana" w:eastAsia="Calibri" w:hAnsi="Verdana" w:cs="Arial"/>
          <w:shd w:val="clear" w:color="auto" w:fill="FFFFFF"/>
          <w:lang w:val="es-ES"/>
        </w:rPr>
        <w:t xml:space="preserve">La Agencia Nacional de Contratación Pública – Colombia Compra Eficiente se ha pronunciado sobre el aval y la participación de profesionales de la ingeniería en los procesos de contratación regidos por los documentos tipo del sector de infraestructura de transporte, en los conceptos: 2201913000006376 del 30 de agosto de 2019, 2201913000009554 del 24 de diciembre de 2019, C-054 del 19 de febrero de 2020, C-703 del 7 de diciembre de 2020, C-752 del 30 de noviembre de 2020, C-800 del 1 de febrero de 2021, C-105 del 26 de marzo de 2021, C-216 del 4 de mayo de 2021, C-298 del 22 de junio de 2021, C-360 del 2 de agosto de 2021, C-447 del 30 de agosto de 2021, C-659 del 30 de agosto de 2021, C-613 del 2 de noviembre de 2021, C-167 del 29 de marzo de 2022, C-893 del 27 de diciembre de 2022 y C-254 del 18 de agosto de 2023. </w:t>
      </w:r>
      <w:r w:rsidRPr="00CE4EF3">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w:t>
      </w:r>
      <w:r w:rsidRPr="00CE4EF3">
        <w:rPr>
          <w:rFonts w:ascii="Verdana" w:eastAsia="Calibri" w:hAnsi="Verdana" w:cs="Arial"/>
          <w:kern w:val="2"/>
          <w:shd w:val="clear" w:color="auto" w:fill="FFFFFF"/>
          <w:lang w:val="es-ES"/>
          <w14:ligatures w14:val="standardContextual"/>
        </w:rPr>
        <w:lastRenderedPageBreak/>
        <w:t>concordada con la doctrina de la Subdirección de Gestión Contractual.</w:t>
      </w:r>
      <w:r w:rsidRPr="00CE4EF3">
        <w:rPr>
          <w:rFonts w:ascii="Verdana" w:eastAsia="Calibri" w:hAnsi="Verdana" w:cs="Arial"/>
          <w:kern w:val="2"/>
          <w:sz w:val="24"/>
          <w:szCs w:val="24"/>
          <w:shd w:val="clear" w:color="auto" w:fill="FFFFFF"/>
          <w:lang w:val="es-ES"/>
          <w14:ligatures w14:val="standardContextual"/>
        </w:rPr>
        <w:t xml:space="preserve"> </w:t>
      </w:r>
      <w:r w:rsidRPr="00CE4EF3">
        <w:rPr>
          <w:rFonts w:ascii="Verdana" w:eastAsia="Calibri" w:hAnsi="Verdana" w:cs="Arial"/>
          <w:shd w:val="clear" w:color="auto" w:fill="FFFFFF"/>
          <w:lang w:val="es-ES"/>
        </w:rPr>
        <w:t xml:space="preserve"> </w:t>
      </w:r>
    </w:p>
    <w:p w14:paraId="7FBA5940" w14:textId="77777777" w:rsidR="00CE4EF3" w:rsidRPr="00CE4EF3" w:rsidRDefault="00CE4EF3" w:rsidP="00CE4EF3">
      <w:pPr>
        <w:widowControl w:val="0"/>
        <w:autoSpaceDE w:val="0"/>
        <w:autoSpaceDN w:val="0"/>
        <w:spacing w:after="0" w:line="276" w:lineRule="auto"/>
        <w:jc w:val="both"/>
        <w:rPr>
          <w:rFonts w:ascii="Verdana" w:eastAsia="Calibri" w:hAnsi="Verdana" w:cs="Arial"/>
          <w:shd w:val="clear" w:color="auto" w:fill="FFFFFF"/>
          <w:lang w:val="es-ES"/>
        </w:rPr>
      </w:pPr>
    </w:p>
    <w:p w14:paraId="2AFEDF31" w14:textId="77777777" w:rsidR="00CE4EF3" w:rsidRPr="00CE4EF3" w:rsidRDefault="00CE4EF3" w:rsidP="00CE4EF3">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CE4EF3">
        <w:rPr>
          <w:rFonts w:ascii="Verdana" w:eastAsia="Calibri" w:hAnsi="Verdana" w:cs="Arial"/>
          <w:kern w:val="2"/>
          <w:shd w:val="clear" w:color="auto" w:fill="FFFFFF"/>
          <w:lang w:val="es-ES"/>
          <w14:ligatures w14:val="standardContextual"/>
        </w:rPr>
        <w:t xml:space="preserve">También, le invitamos a revisar la tercera edición del Boletín de Relatoría de 2024, en el cual podrá encontrar en detalle el marco normativo de documentos tipo: </w:t>
      </w:r>
      <w:hyperlink r:id="rId12" w:history="1">
        <w:r w:rsidRPr="00CE4EF3">
          <w:rPr>
            <w:rFonts w:ascii="Verdana" w:eastAsia="Calibri" w:hAnsi="Verdana" w:cs="Arial"/>
            <w:color w:val="0000FF"/>
            <w:kern w:val="2"/>
            <w:u w:val="single"/>
            <w:shd w:val="clear" w:color="auto" w:fill="FFFFFF"/>
            <w:lang w:val="es-ES"/>
            <w14:ligatures w14:val="standardContextual"/>
          </w:rPr>
          <w:t>https://www.colombiacompra.gov.co/sites/cce_public/files/files_2020/boletin_de_realtoria_iii.pdf</w:t>
        </w:r>
      </w:hyperlink>
      <w:r w:rsidRPr="00CE4EF3">
        <w:rPr>
          <w:rFonts w:ascii="Verdana" w:eastAsia="Calibri" w:hAnsi="Verdana" w:cs="Arial"/>
          <w:kern w:val="2"/>
          <w:shd w:val="clear" w:color="auto" w:fill="FFFFFF"/>
          <w:lang w:val="es-ES"/>
          <w14:ligatures w14:val="standardContextual"/>
        </w:rPr>
        <w:t xml:space="preserve">. </w:t>
      </w:r>
    </w:p>
    <w:p w14:paraId="0EC526DB" w14:textId="77777777" w:rsidR="00CE4EF3" w:rsidRPr="00CE4EF3" w:rsidRDefault="00CE4EF3" w:rsidP="00CE4EF3">
      <w:pPr>
        <w:widowControl w:val="0"/>
        <w:autoSpaceDE w:val="0"/>
        <w:autoSpaceDN w:val="0"/>
        <w:spacing w:after="0" w:line="276" w:lineRule="auto"/>
        <w:jc w:val="both"/>
        <w:rPr>
          <w:rFonts w:ascii="Verdana" w:eastAsia="Calibri" w:hAnsi="Verdana" w:cs="Arial"/>
          <w:shd w:val="clear" w:color="auto" w:fill="FFFFFF"/>
          <w:lang w:val="es-ES"/>
        </w:rPr>
      </w:pPr>
    </w:p>
    <w:p w14:paraId="3C70610C" w14:textId="77777777" w:rsidR="00CE4EF3" w:rsidRPr="00CE4EF3" w:rsidRDefault="00CE4EF3" w:rsidP="00CE4EF3">
      <w:pPr>
        <w:spacing w:after="0" w:line="276" w:lineRule="auto"/>
        <w:jc w:val="both"/>
        <w:rPr>
          <w:rFonts w:ascii="Verdana" w:eastAsia="Calibri" w:hAnsi="Verdana" w:cs="Times New Roman"/>
        </w:rPr>
      </w:pPr>
      <w:r w:rsidRPr="00CE4EF3">
        <w:rPr>
          <w:rFonts w:ascii="Verdana" w:eastAsia="Calibri" w:hAnsi="Verdana" w:cs="Times New Roman"/>
        </w:rPr>
        <w:t xml:space="preserve">Por último, los invitamos a seguirnos en las redes sociales, en las cuales se difunde información institucional: </w:t>
      </w:r>
    </w:p>
    <w:p w14:paraId="3E47D9C2" w14:textId="77777777" w:rsidR="00CE4EF3" w:rsidRPr="00CE4EF3" w:rsidRDefault="00CE4EF3" w:rsidP="00CE4EF3">
      <w:pPr>
        <w:spacing w:after="0" w:line="240" w:lineRule="auto"/>
        <w:jc w:val="both"/>
        <w:rPr>
          <w:rFonts w:ascii="Verdana" w:eastAsia="Calibri" w:hAnsi="Verdana" w:cs="Times New Roman"/>
        </w:rPr>
      </w:pPr>
    </w:p>
    <w:p w14:paraId="6579BD7E" w14:textId="77777777" w:rsidR="00CE4EF3" w:rsidRPr="00CE4EF3" w:rsidRDefault="00CE4EF3" w:rsidP="00CE4EF3">
      <w:pPr>
        <w:spacing w:after="0" w:line="240" w:lineRule="auto"/>
        <w:jc w:val="both"/>
        <w:rPr>
          <w:rFonts w:ascii="Verdana" w:eastAsia="Calibri" w:hAnsi="Verdana" w:cs="Times New Roman"/>
        </w:rPr>
      </w:pPr>
      <w:r w:rsidRPr="00CE4EF3">
        <w:rPr>
          <w:rFonts w:ascii="Verdana" w:eastAsia="Calibri" w:hAnsi="Verdana" w:cs="Times New Roman"/>
        </w:rPr>
        <w:t xml:space="preserve">Twitter: </w:t>
      </w:r>
      <w:r w:rsidRPr="00CE4EF3">
        <w:rPr>
          <w:rFonts w:ascii="Verdana" w:eastAsia="Calibri" w:hAnsi="Verdana" w:cs="Times New Roman"/>
          <w:u w:val="single"/>
        </w:rPr>
        <w:t>@colombiacompra</w:t>
      </w:r>
      <w:r w:rsidRPr="00CE4EF3">
        <w:rPr>
          <w:rFonts w:ascii="Verdana" w:eastAsia="Calibri" w:hAnsi="Verdana" w:cs="Times New Roman"/>
        </w:rPr>
        <w:t xml:space="preserve"> </w:t>
      </w:r>
    </w:p>
    <w:p w14:paraId="0A6778B2" w14:textId="77777777" w:rsidR="00CE4EF3" w:rsidRPr="00CE4EF3" w:rsidRDefault="00CE4EF3" w:rsidP="00CE4EF3">
      <w:pPr>
        <w:spacing w:after="0" w:line="240" w:lineRule="auto"/>
        <w:jc w:val="both"/>
        <w:rPr>
          <w:rFonts w:ascii="Verdana" w:eastAsia="Calibri" w:hAnsi="Verdana" w:cs="Times New Roman"/>
        </w:rPr>
      </w:pPr>
      <w:r w:rsidRPr="00CE4EF3">
        <w:rPr>
          <w:rFonts w:ascii="Verdana" w:eastAsia="Calibri" w:hAnsi="Verdana" w:cs="Times New Roman"/>
        </w:rPr>
        <w:t xml:space="preserve">Facebook: </w:t>
      </w:r>
      <w:r w:rsidRPr="00CE4EF3">
        <w:rPr>
          <w:rFonts w:ascii="Verdana" w:eastAsia="Calibri" w:hAnsi="Verdana" w:cs="Times New Roman"/>
          <w:u w:val="single"/>
        </w:rPr>
        <w:t>ColombiaCompraEficiente</w:t>
      </w:r>
    </w:p>
    <w:p w14:paraId="3E8E0A0C" w14:textId="77777777" w:rsidR="00CE4EF3" w:rsidRPr="00CE4EF3" w:rsidRDefault="00CE4EF3" w:rsidP="00CE4EF3">
      <w:pPr>
        <w:spacing w:after="0" w:line="276" w:lineRule="auto"/>
        <w:jc w:val="both"/>
        <w:rPr>
          <w:rFonts w:ascii="Verdana" w:eastAsia="Calibri" w:hAnsi="Verdana" w:cs="Times New Roman"/>
        </w:rPr>
      </w:pPr>
      <w:r w:rsidRPr="00CE4EF3">
        <w:rPr>
          <w:rFonts w:ascii="Verdana" w:eastAsia="Calibri" w:hAnsi="Verdana" w:cs="Times New Roman"/>
        </w:rPr>
        <w:t xml:space="preserve">LinkedIn: </w:t>
      </w:r>
      <w:r w:rsidRPr="00CE4EF3">
        <w:rPr>
          <w:rFonts w:ascii="Verdana" w:eastAsia="Calibri" w:hAnsi="Verdana" w:cs="Times New Roman"/>
          <w:u w:val="single"/>
        </w:rPr>
        <w:t>Agencia Nacional de Contratación Pública - Colombia Compra Eficiente</w:t>
      </w:r>
      <w:r w:rsidRPr="00CE4EF3">
        <w:rPr>
          <w:rFonts w:ascii="Verdana" w:eastAsia="Calibri" w:hAnsi="Verdana" w:cs="Times New Roman"/>
        </w:rPr>
        <w:t xml:space="preserve"> Instagram: </w:t>
      </w:r>
      <w:r w:rsidRPr="00CE4EF3">
        <w:rPr>
          <w:rFonts w:ascii="Verdana" w:eastAsia="Calibri" w:hAnsi="Verdana" w:cs="Times New Roman"/>
          <w:u w:val="single"/>
        </w:rPr>
        <w:t>@colombiacompraeficiente_cce</w:t>
      </w:r>
    </w:p>
    <w:p w14:paraId="6A244FD7" w14:textId="77777777" w:rsidR="00CE4EF3" w:rsidRPr="00CE4EF3" w:rsidRDefault="00CE4EF3" w:rsidP="00CE4EF3">
      <w:pPr>
        <w:widowControl w:val="0"/>
        <w:autoSpaceDE w:val="0"/>
        <w:autoSpaceDN w:val="0"/>
        <w:spacing w:after="0" w:line="276" w:lineRule="auto"/>
        <w:jc w:val="both"/>
        <w:rPr>
          <w:rFonts w:ascii="Verdana" w:eastAsia="Calibri" w:hAnsi="Verdana" w:cs="Arial"/>
        </w:rPr>
      </w:pPr>
    </w:p>
    <w:p w14:paraId="0E17D103" w14:textId="77777777" w:rsidR="00CE4EF3" w:rsidRPr="00CE4EF3" w:rsidRDefault="00CE4EF3" w:rsidP="00CE4EF3">
      <w:pPr>
        <w:widowControl w:val="0"/>
        <w:autoSpaceDE w:val="0"/>
        <w:autoSpaceDN w:val="0"/>
        <w:spacing w:after="0" w:line="276" w:lineRule="auto"/>
        <w:jc w:val="both"/>
        <w:rPr>
          <w:rFonts w:ascii="Verdana" w:eastAsia="Calibri" w:hAnsi="Verdana" w:cs="Arial"/>
          <w:lang w:val="es-ES_tradnl"/>
        </w:rPr>
      </w:pPr>
      <w:r w:rsidRPr="00CE4EF3">
        <w:rPr>
          <w:rFonts w:ascii="Verdana" w:eastAsia="Calibri" w:hAnsi="Verdana" w:cs="Arial"/>
        </w:rPr>
        <w:t xml:space="preserve">Este concepto tiene el alcance previsto en el artículo 28 del Código de Procedimiento Administrativo y de lo Contencioso Administrativo </w:t>
      </w:r>
      <w:r w:rsidRPr="00CE4EF3">
        <w:rPr>
          <w:rFonts w:ascii="Verdana" w:eastAsia="Calibri" w:hAnsi="Verdana" w:cs="Arial"/>
          <w:lang w:val="es-ES_tradnl"/>
        </w:rPr>
        <w:t>y las expresiones aquí utilizadas con mayúscula inicial deben ser entendidas con el significado que les otorga el artículo 2.2.1.1.1.3.1. del Decreto 1082 de 2015.</w:t>
      </w:r>
    </w:p>
    <w:p w14:paraId="42BA14C4" w14:textId="77777777" w:rsidR="00CE4EF3" w:rsidRPr="00CE4EF3" w:rsidRDefault="00CE4EF3" w:rsidP="00CE4EF3">
      <w:pPr>
        <w:widowControl w:val="0"/>
        <w:autoSpaceDE w:val="0"/>
        <w:autoSpaceDN w:val="0"/>
        <w:spacing w:after="0" w:line="276" w:lineRule="auto"/>
        <w:jc w:val="both"/>
        <w:rPr>
          <w:rFonts w:ascii="Verdana" w:eastAsia="Calibri" w:hAnsi="Verdana" w:cs="Arial"/>
        </w:rPr>
      </w:pPr>
    </w:p>
    <w:p w14:paraId="77BB7146" w14:textId="77777777" w:rsidR="00CE4EF3" w:rsidRPr="00CE4EF3" w:rsidRDefault="00CE4EF3" w:rsidP="00CE4EF3">
      <w:pPr>
        <w:spacing w:after="0" w:line="240" w:lineRule="auto"/>
        <w:rPr>
          <w:rFonts w:ascii="Verdana" w:eastAsia="Calibri" w:hAnsi="Verdana" w:cs="Arial"/>
          <w:lang w:eastAsia="es-CO"/>
        </w:rPr>
      </w:pPr>
      <w:r w:rsidRPr="00CE4EF3">
        <w:rPr>
          <w:rFonts w:ascii="Verdana" w:eastAsia="Times New Roman" w:hAnsi="Verdana" w:cs="Arial"/>
          <w:lang w:eastAsia="es-CO"/>
        </w:rPr>
        <w:t>Atentamente,</w:t>
      </w:r>
      <w:r w:rsidRPr="00CE4EF3">
        <w:rPr>
          <w:rFonts w:ascii="Verdana" w:eastAsia="Calibri" w:hAnsi="Verdana" w:cs="Arial"/>
          <w:lang w:eastAsia="es-CO"/>
        </w:rPr>
        <w:t xml:space="preserve"> </w:t>
      </w:r>
    </w:p>
    <w:p w14:paraId="6CF594F8" w14:textId="15102BBA" w:rsidR="00CE4EF3" w:rsidRPr="00CE4EF3" w:rsidRDefault="00584225" w:rsidP="00CE4EF3">
      <w:pPr>
        <w:spacing w:line="276" w:lineRule="auto"/>
        <w:jc w:val="center"/>
        <w:rPr>
          <w:rFonts w:ascii="Verdana" w:eastAsia="Calibri" w:hAnsi="Verdana" w:cs="Arial"/>
          <w:lang w:val="es-ES_tradnl" w:eastAsia="es-CO"/>
        </w:rPr>
      </w:pPr>
      <w:r>
        <w:rPr>
          <w:noProof/>
        </w:rPr>
        <w:drawing>
          <wp:inline distT="0" distB="0" distL="0" distR="0" wp14:anchorId="286A3771" wp14:editId="0DDDBEB9">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E4EF3" w:rsidRPr="00CE4EF3" w14:paraId="39187DF9" w14:textId="77777777" w:rsidTr="00937213">
        <w:trPr>
          <w:trHeight w:val="315"/>
        </w:trPr>
        <w:tc>
          <w:tcPr>
            <w:tcW w:w="893" w:type="dxa"/>
            <w:vAlign w:val="center"/>
            <w:hideMark/>
          </w:tcPr>
          <w:p w14:paraId="2460E8C1" w14:textId="77777777" w:rsidR="00CE4EF3" w:rsidRPr="00CE4EF3" w:rsidRDefault="00CE4EF3" w:rsidP="00CE4EF3">
            <w:pPr>
              <w:rPr>
                <w:rFonts w:ascii="Verdana" w:eastAsia="Calibri" w:hAnsi="Verdana" w:cs="Arial"/>
                <w:sz w:val="16"/>
                <w:szCs w:val="16"/>
                <w:lang w:val="es-ES" w:eastAsia="es-ES"/>
              </w:rPr>
            </w:pPr>
            <w:r w:rsidRPr="00CE4EF3">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34CDF4ED" w14:textId="77777777" w:rsidR="00CE4EF3" w:rsidRPr="00CE4EF3" w:rsidRDefault="00CE4EF3" w:rsidP="00CE4EF3">
            <w:pPr>
              <w:rPr>
                <w:rFonts w:ascii="Verdana" w:eastAsia="Arial" w:hAnsi="Verdana" w:cs="Arial"/>
                <w:sz w:val="16"/>
                <w:szCs w:val="16"/>
              </w:rPr>
            </w:pPr>
            <w:r w:rsidRPr="00CE4EF3">
              <w:rPr>
                <w:rFonts w:ascii="Verdana" w:eastAsia="Arial" w:hAnsi="Verdana" w:cs="Arial"/>
                <w:sz w:val="16"/>
                <w:szCs w:val="16"/>
              </w:rPr>
              <w:t>Kevin Arlid Herrera Santa</w:t>
            </w:r>
          </w:p>
          <w:p w14:paraId="5C3A0682" w14:textId="77777777" w:rsidR="00CE4EF3" w:rsidRPr="00CE4EF3" w:rsidRDefault="00CE4EF3" w:rsidP="00CE4EF3">
            <w:pPr>
              <w:rPr>
                <w:rFonts w:ascii="Verdana" w:eastAsia="Arial" w:hAnsi="Verdana" w:cs="Arial"/>
                <w:sz w:val="16"/>
                <w:szCs w:val="16"/>
              </w:rPr>
            </w:pPr>
            <w:r w:rsidRPr="00CE4EF3">
              <w:rPr>
                <w:rFonts w:ascii="Verdana" w:eastAsia="Arial" w:hAnsi="Verdana" w:cs="Arial"/>
                <w:sz w:val="16"/>
                <w:szCs w:val="16"/>
              </w:rPr>
              <w:t>Contratista de la Subdirección de Gestión Contractual</w:t>
            </w:r>
          </w:p>
        </w:tc>
      </w:tr>
      <w:tr w:rsidR="00CE4EF3" w:rsidRPr="00CE4EF3" w14:paraId="59FCD15B" w14:textId="77777777" w:rsidTr="00937213">
        <w:trPr>
          <w:trHeight w:val="330"/>
        </w:trPr>
        <w:tc>
          <w:tcPr>
            <w:tcW w:w="893" w:type="dxa"/>
            <w:vAlign w:val="center"/>
            <w:hideMark/>
          </w:tcPr>
          <w:p w14:paraId="7BA57DA3" w14:textId="77777777" w:rsidR="00CE4EF3" w:rsidRPr="00CE4EF3" w:rsidRDefault="00CE4EF3" w:rsidP="00CE4EF3">
            <w:pPr>
              <w:rPr>
                <w:rFonts w:ascii="Verdana" w:eastAsia="Calibri" w:hAnsi="Verdana" w:cs="Arial"/>
                <w:sz w:val="16"/>
                <w:szCs w:val="16"/>
                <w:lang w:val="es-ES" w:eastAsia="es-ES"/>
              </w:rPr>
            </w:pPr>
            <w:r w:rsidRPr="00CE4EF3">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6D1E1A9" w14:textId="77777777" w:rsidR="00CE4EF3" w:rsidRPr="00CE4EF3" w:rsidRDefault="00CE4EF3" w:rsidP="00CE4EF3">
            <w:pPr>
              <w:textAlignment w:val="baseline"/>
              <w:rPr>
                <w:rFonts w:ascii="Verdana" w:eastAsia="Times New Roman" w:hAnsi="Verdana" w:cs="Segoe UI"/>
                <w:sz w:val="16"/>
                <w:szCs w:val="16"/>
                <w:lang w:eastAsia="es-ES_tradnl"/>
              </w:rPr>
            </w:pPr>
            <w:r w:rsidRPr="00CE4EF3">
              <w:rPr>
                <w:rFonts w:ascii="Verdana" w:eastAsia="Times New Roman" w:hAnsi="Verdana" w:cs="Segoe UI"/>
                <w:sz w:val="16"/>
                <w:szCs w:val="16"/>
                <w:lang w:eastAsia="es-ES_tradnl"/>
              </w:rPr>
              <w:t>Juan David Cárdenas Cabeza</w:t>
            </w:r>
          </w:p>
          <w:p w14:paraId="0CCAC539" w14:textId="77777777" w:rsidR="00CE4EF3" w:rsidRPr="00CE4EF3" w:rsidRDefault="00CE4EF3" w:rsidP="00CE4EF3">
            <w:pPr>
              <w:textAlignment w:val="baseline"/>
              <w:rPr>
                <w:rFonts w:ascii="Verdana" w:eastAsia="Times New Roman" w:hAnsi="Verdana" w:cs="Segoe UI"/>
                <w:sz w:val="16"/>
                <w:szCs w:val="16"/>
                <w:lang w:eastAsia="es-ES_tradnl"/>
              </w:rPr>
            </w:pPr>
            <w:r w:rsidRPr="00CE4EF3">
              <w:rPr>
                <w:rFonts w:ascii="Verdana" w:eastAsia="Times New Roman" w:hAnsi="Verdana" w:cs="Arial"/>
                <w:sz w:val="16"/>
                <w:szCs w:val="16"/>
                <w:lang w:val="es-ES" w:eastAsia="es-ES_tradnl"/>
              </w:rPr>
              <w:t>Contratista de la Subdirección de Gestión Contractual</w:t>
            </w:r>
            <w:r w:rsidRPr="00CE4EF3">
              <w:rPr>
                <w:rFonts w:ascii="Verdana" w:eastAsia="Times New Roman" w:hAnsi="Verdana" w:cs="Arial"/>
                <w:sz w:val="16"/>
                <w:szCs w:val="16"/>
                <w:lang w:eastAsia="es-ES_tradnl"/>
              </w:rPr>
              <w:t> </w:t>
            </w:r>
          </w:p>
        </w:tc>
      </w:tr>
      <w:tr w:rsidR="00CE4EF3" w:rsidRPr="00CE4EF3" w14:paraId="74ADC2C4" w14:textId="77777777" w:rsidTr="00937213">
        <w:trPr>
          <w:trHeight w:val="300"/>
        </w:trPr>
        <w:tc>
          <w:tcPr>
            <w:tcW w:w="893" w:type="dxa"/>
            <w:vAlign w:val="center"/>
          </w:tcPr>
          <w:p w14:paraId="52F86BFF" w14:textId="77777777" w:rsidR="00CE4EF3" w:rsidRPr="00CE4EF3" w:rsidRDefault="00CE4EF3" w:rsidP="00CE4EF3">
            <w:pPr>
              <w:rPr>
                <w:rFonts w:ascii="Verdana" w:eastAsia="Calibri" w:hAnsi="Verdana" w:cs="Arial"/>
                <w:sz w:val="16"/>
                <w:szCs w:val="16"/>
                <w:lang w:val="es-ES" w:eastAsia="es-ES"/>
              </w:rPr>
            </w:pPr>
            <w:r w:rsidRPr="00CE4EF3">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1F53EA9C" w14:textId="77777777" w:rsidR="00CE4EF3" w:rsidRPr="00CE4EF3" w:rsidRDefault="00CE4EF3" w:rsidP="00CE4EF3">
            <w:pPr>
              <w:rPr>
                <w:rFonts w:ascii="Verdana" w:eastAsia="Calibri" w:hAnsi="Verdana" w:cs="Arial"/>
                <w:sz w:val="16"/>
                <w:szCs w:val="16"/>
                <w:lang w:val="pt-BR" w:eastAsia="es-ES"/>
              </w:rPr>
            </w:pPr>
            <w:r w:rsidRPr="00CE4EF3">
              <w:rPr>
                <w:rFonts w:ascii="Verdana" w:eastAsia="Calibri" w:hAnsi="Verdana" w:cs="Arial"/>
                <w:sz w:val="16"/>
                <w:szCs w:val="16"/>
                <w:lang w:val="pt-BR" w:eastAsia="es-ES"/>
              </w:rPr>
              <w:t>Carolina Quintero Gacharná</w:t>
            </w:r>
          </w:p>
          <w:p w14:paraId="715C1565" w14:textId="6BEBB1A6" w:rsidR="00CE4EF3" w:rsidRPr="00CE4EF3" w:rsidRDefault="00CE4EF3" w:rsidP="00CE4EF3">
            <w:pPr>
              <w:rPr>
                <w:rFonts w:ascii="Verdana" w:eastAsia="Calibri" w:hAnsi="Verdana" w:cs="Arial"/>
                <w:sz w:val="16"/>
                <w:szCs w:val="16"/>
                <w:lang w:val="pt-BR" w:eastAsia="es-ES"/>
              </w:rPr>
            </w:pPr>
            <w:r w:rsidRPr="00CE4EF3">
              <w:rPr>
                <w:rFonts w:ascii="Verdana" w:eastAsia="Calibri" w:hAnsi="Verdana" w:cs="Arial"/>
                <w:sz w:val="16"/>
                <w:szCs w:val="16"/>
                <w:lang w:eastAsia="es-ES"/>
              </w:rPr>
              <w:t>Subdirectora</w:t>
            </w:r>
            <w:r w:rsidRPr="00CE4EF3">
              <w:rPr>
                <w:rFonts w:ascii="Verdana" w:eastAsia="Calibri" w:hAnsi="Verdana" w:cs="Arial"/>
                <w:sz w:val="16"/>
                <w:szCs w:val="16"/>
                <w:lang w:val="pt-BR" w:eastAsia="es-ES"/>
              </w:rPr>
              <w:t xml:space="preserve"> de Gestión Contra</w:t>
            </w:r>
            <w:r w:rsidR="00FB2FD2">
              <w:rPr>
                <w:rFonts w:ascii="Verdana" w:eastAsia="Calibri" w:hAnsi="Verdana" w:cs="Arial"/>
                <w:sz w:val="16"/>
                <w:szCs w:val="16"/>
                <w:lang w:val="pt-BR" w:eastAsia="es-ES"/>
              </w:rPr>
              <w:t>c</w:t>
            </w:r>
            <w:r w:rsidRPr="00CE4EF3">
              <w:rPr>
                <w:rFonts w:ascii="Verdana" w:eastAsia="Calibri" w:hAnsi="Verdana" w:cs="Arial"/>
                <w:sz w:val="16"/>
                <w:szCs w:val="16"/>
                <w:lang w:val="pt-BR" w:eastAsia="es-ES"/>
              </w:rPr>
              <w:t>tual ANCP – CCE</w:t>
            </w:r>
          </w:p>
        </w:tc>
      </w:tr>
    </w:tbl>
    <w:p w14:paraId="0F293BF4" w14:textId="6F061C1C" w:rsidR="00127233" w:rsidRPr="00CE4EF3" w:rsidRDefault="00127233" w:rsidP="00584225">
      <w:pPr>
        <w:tabs>
          <w:tab w:val="left" w:pos="2007"/>
        </w:tabs>
        <w:spacing w:after="0" w:line="240" w:lineRule="auto"/>
        <w:jc w:val="both"/>
        <w:textAlignment w:val="baseline"/>
        <w:rPr>
          <w:rFonts w:ascii="Verdana" w:eastAsia="Times New Roman" w:hAnsi="Verdana" w:cs="Segoe UI"/>
          <w:sz w:val="18"/>
          <w:szCs w:val="18"/>
          <w:lang w:eastAsia="es-CO"/>
        </w:rPr>
      </w:pPr>
    </w:p>
    <w:sectPr w:rsidR="00127233" w:rsidRPr="00CE4EF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8E42B" w14:textId="77777777" w:rsidR="003A26D1" w:rsidRDefault="003A26D1" w:rsidP="004A1847">
      <w:pPr>
        <w:spacing w:after="0" w:line="240" w:lineRule="auto"/>
      </w:pPr>
      <w:r>
        <w:separator/>
      </w:r>
    </w:p>
  </w:endnote>
  <w:endnote w:type="continuationSeparator" w:id="0">
    <w:p w14:paraId="430A73B4" w14:textId="77777777" w:rsidR="003A26D1" w:rsidRDefault="003A26D1" w:rsidP="004A1847">
      <w:pPr>
        <w:spacing w:after="0" w:line="240" w:lineRule="auto"/>
      </w:pPr>
      <w:r>
        <w:continuationSeparator/>
      </w:r>
    </w:p>
  </w:endnote>
  <w:endnote w:type="continuationNotice" w:id="1">
    <w:p w14:paraId="3E316CCD" w14:textId="77777777" w:rsidR="00EA1630" w:rsidRDefault="00EA16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1F77B" w14:textId="77777777" w:rsidR="003A26D1" w:rsidRDefault="003A26D1" w:rsidP="004A1847">
      <w:pPr>
        <w:spacing w:after="0" w:line="240" w:lineRule="auto"/>
      </w:pPr>
      <w:r>
        <w:separator/>
      </w:r>
    </w:p>
  </w:footnote>
  <w:footnote w:type="continuationSeparator" w:id="0">
    <w:p w14:paraId="665EFA4D" w14:textId="77777777" w:rsidR="003A26D1" w:rsidRDefault="003A26D1" w:rsidP="004A1847">
      <w:pPr>
        <w:spacing w:after="0" w:line="240" w:lineRule="auto"/>
      </w:pPr>
      <w:r>
        <w:continuationSeparator/>
      </w:r>
    </w:p>
  </w:footnote>
  <w:footnote w:type="continuationNotice" w:id="1">
    <w:p w14:paraId="552CA0A5" w14:textId="77777777" w:rsidR="00EA1630" w:rsidRDefault="00EA1630">
      <w:pPr>
        <w:spacing w:after="0" w:line="240" w:lineRule="auto"/>
      </w:pPr>
    </w:p>
  </w:footnote>
  <w:footnote w:id="2">
    <w:p w14:paraId="5257CEA9" w14:textId="77777777" w:rsidR="00CE4EF3" w:rsidRPr="00045C31" w:rsidRDefault="00CE4EF3" w:rsidP="00CE4EF3">
      <w:pPr>
        <w:spacing w:after="0" w:line="240" w:lineRule="auto"/>
        <w:ind w:right="49" w:firstLine="709"/>
        <w:jc w:val="both"/>
        <w:rPr>
          <w:rFonts w:ascii="Verdana" w:hAnsi="Verdana" w:cs="Arial"/>
          <w:sz w:val="18"/>
          <w:szCs w:val="18"/>
        </w:rPr>
      </w:pPr>
      <w:r w:rsidRPr="00045C31">
        <w:rPr>
          <w:rStyle w:val="Refdenotaalpie"/>
          <w:rFonts w:ascii="Verdana" w:hAnsi="Verdana" w:cs="Arial"/>
          <w:sz w:val="18"/>
          <w:szCs w:val="18"/>
        </w:rPr>
        <w:footnoteRef/>
      </w:r>
      <w:r w:rsidRPr="00045C31">
        <w:rPr>
          <w:rFonts w:ascii="Verdana" w:hAnsi="Verdana" w:cs="Arial"/>
          <w:sz w:val="18"/>
          <w:szCs w:val="18"/>
        </w:rPr>
        <w:t xml:space="preserve"> Corte Constitucional. Sentencia C-697 del 14 de junio de 2000. M.P: Eduardo Cifuentes Muñoz.</w:t>
      </w:r>
    </w:p>
    <w:p w14:paraId="0DA00B41" w14:textId="77777777" w:rsidR="00CE4EF3" w:rsidRPr="00045C31" w:rsidRDefault="00CE4EF3" w:rsidP="00CE4EF3">
      <w:pPr>
        <w:pStyle w:val="Textonotapie"/>
        <w:ind w:right="49"/>
        <w:jc w:val="both"/>
        <w:rPr>
          <w:rFonts w:ascii="Verdana" w:hAnsi="Verdana" w:cs="Arial"/>
          <w:sz w:val="18"/>
          <w:szCs w:val="18"/>
          <w:lang w:val="es-CO"/>
        </w:rPr>
      </w:pPr>
    </w:p>
  </w:footnote>
  <w:footnote w:id="3">
    <w:p w14:paraId="4FDC78A1" w14:textId="77777777" w:rsidR="00CE4EF3" w:rsidRPr="00CE4EF3" w:rsidRDefault="00CE4EF3" w:rsidP="00CE4EF3">
      <w:pPr>
        <w:pStyle w:val="Textonotapie"/>
        <w:ind w:right="49" w:firstLine="720"/>
        <w:jc w:val="both"/>
        <w:rPr>
          <w:rFonts w:ascii="Verdana" w:hAnsi="Verdana" w:cs="Arial"/>
          <w:color w:val="000000"/>
          <w:sz w:val="18"/>
          <w:szCs w:val="18"/>
        </w:rPr>
      </w:pPr>
      <w:r w:rsidRPr="00CE4EF3">
        <w:rPr>
          <w:rStyle w:val="Refdenotaalpie"/>
          <w:rFonts w:ascii="Verdana" w:hAnsi="Verdana" w:cs="Arial"/>
          <w:color w:val="000000"/>
          <w:sz w:val="18"/>
          <w:szCs w:val="18"/>
        </w:rPr>
        <w:footnoteRef/>
      </w:r>
      <w:r w:rsidRPr="00CE4EF3">
        <w:rPr>
          <w:rFonts w:ascii="Verdana" w:hAnsi="Verdana" w:cs="Arial"/>
          <w:color w:val="000000"/>
          <w:sz w:val="18"/>
          <w:szCs w:val="18"/>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CE4EF3">
        <w:rPr>
          <w:rFonts w:ascii="Verdana" w:hAnsi="Verdana" w:cs="Arial"/>
          <w:color w:val="000000"/>
          <w:spacing w:val="-13"/>
          <w:sz w:val="18"/>
          <w:szCs w:val="18"/>
        </w:rPr>
        <w:t xml:space="preserve"> </w:t>
      </w:r>
      <w:r w:rsidRPr="00CE4EF3">
        <w:rPr>
          <w:rFonts w:ascii="Verdana" w:hAnsi="Verdana" w:cs="Arial"/>
          <w:color w:val="000000"/>
          <w:sz w:val="18"/>
          <w:szCs w:val="18"/>
        </w:rPr>
        <w:t xml:space="preserve">ingeniería”. </w:t>
      </w:r>
    </w:p>
    <w:p w14:paraId="580CA548" w14:textId="77777777" w:rsidR="00CE4EF3" w:rsidRPr="00CE4EF3" w:rsidRDefault="00CE4EF3" w:rsidP="00CE4EF3">
      <w:pPr>
        <w:pStyle w:val="Textonotapie"/>
        <w:ind w:right="49" w:firstLine="720"/>
        <w:jc w:val="both"/>
        <w:rPr>
          <w:rFonts w:ascii="Verdana" w:hAnsi="Verdana" w:cs="Arial"/>
          <w:color w:val="000000"/>
          <w:sz w:val="18"/>
          <w:szCs w:val="18"/>
          <w:lang w:val="es-CO"/>
        </w:rPr>
      </w:pPr>
    </w:p>
  </w:footnote>
  <w:footnote w:id="4">
    <w:p w14:paraId="782DB177" w14:textId="77777777" w:rsidR="00CE4EF3" w:rsidRPr="00CE4EF3" w:rsidRDefault="00CE4EF3" w:rsidP="00CE4EF3">
      <w:pPr>
        <w:spacing w:after="0" w:line="240" w:lineRule="auto"/>
        <w:ind w:right="49" w:firstLine="720"/>
        <w:jc w:val="both"/>
        <w:rPr>
          <w:rFonts w:ascii="Verdana" w:hAnsi="Verdana" w:cs="Arial"/>
          <w:color w:val="000000"/>
          <w:sz w:val="18"/>
          <w:szCs w:val="18"/>
        </w:rPr>
      </w:pPr>
      <w:r w:rsidRPr="00CE4EF3">
        <w:rPr>
          <w:rStyle w:val="Refdenotaalpie"/>
          <w:rFonts w:ascii="Verdana" w:hAnsi="Verdana" w:cs="Arial"/>
          <w:color w:val="000000"/>
          <w:sz w:val="18"/>
          <w:szCs w:val="18"/>
        </w:rPr>
        <w:footnoteRef/>
      </w:r>
      <w:r w:rsidRPr="00CE4EF3">
        <w:rPr>
          <w:rFonts w:ascii="Verdana" w:hAnsi="Verdana" w:cs="Arial"/>
          <w:color w:val="000000"/>
          <w:sz w:val="18"/>
          <w:szCs w:val="18"/>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0BFE1B2B" w14:textId="77777777" w:rsidR="00CE4EF3" w:rsidRPr="00CE4EF3" w:rsidRDefault="00CE4EF3" w:rsidP="00CE4EF3">
      <w:pPr>
        <w:spacing w:after="0" w:line="240" w:lineRule="auto"/>
        <w:ind w:right="49" w:firstLine="720"/>
        <w:jc w:val="both"/>
        <w:rPr>
          <w:rFonts w:ascii="Verdana" w:hAnsi="Verdana" w:cs="Arial"/>
          <w:color w:val="000000"/>
          <w:sz w:val="18"/>
          <w:szCs w:val="18"/>
        </w:rPr>
      </w:pPr>
    </w:p>
  </w:footnote>
  <w:footnote w:id="5">
    <w:p w14:paraId="2E64FAB1" w14:textId="77777777" w:rsidR="00CE4EF3" w:rsidRDefault="00CE4EF3" w:rsidP="00CE4EF3">
      <w:pPr>
        <w:pStyle w:val="Textonotapie"/>
        <w:ind w:right="49" w:firstLine="708"/>
        <w:jc w:val="both"/>
        <w:rPr>
          <w:rFonts w:ascii="Verdana" w:hAnsi="Verdana" w:cs="Arial"/>
          <w:sz w:val="18"/>
          <w:szCs w:val="18"/>
          <w:lang w:val="es-CO"/>
        </w:rPr>
      </w:pPr>
      <w:r w:rsidRPr="00045C31">
        <w:rPr>
          <w:rStyle w:val="Refdenotaalpie"/>
          <w:rFonts w:ascii="Verdana" w:hAnsi="Verdana"/>
          <w:sz w:val="18"/>
          <w:szCs w:val="18"/>
        </w:rPr>
        <w:footnoteRef/>
      </w:r>
      <w:r w:rsidRPr="00045C31">
        <w:rPr>
          <w:rFonts w:ascii="Verdana" w:hAnsi="Verdana"/>
          <w:sz w:val="18"/>
          <w:szCs w:val="18"/>
        </w:rPr>
        <w:t xml:space="preserve"> </w:t>
      </w:r>
      <w:r w:rsidRPr="00045C31">
        <w:rPr>
          <w:rFonts w:ascii="Verdana" w:hAnsi="Verdana" w:cs="Arial"/>
          <w:sz w:val="18"/>
          <w:szCs w:val="18"/>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72F2295F" w14:textId="77777777" w:rsidR="00CE4EF3" w:rsidRPr="00045C31" w:rsidRDefault="00CE4EF3" w:rsidP="00CE4EF3">
      <w:pPr>
        <w:pStyle w:val="Textonotapie"/>
        <w:ind w:right="49" w:firstLine="708"/>
        <w:jc w:val="both"/>
        <w:rPr>
          <w:rFonts w:ascii="Verdana" w:hAnsi="Verdana"/>
          <w:sz w:val="18"/>
          <w:szCs w:val="18"/>
          <w:lang w:val="es-CO"/>
        </w:rPr>
      </w:pPr>
    </w:p>
  </w:footnote>
  <w:footnote w:id="6">
    <w:p w14:paraId="4F2A0FE1" w14:textId="77777777" w:rsidR="00CE4EF3" w:rsidRPr="00045C31" w:rsidRDefault="00CE4EF3" w:rsidP="00CE4EF3">
      <w:pPr>
        <w:pStyle w:val="Textonotapie"/>
        <w:ind w:right="49" w:firstLine="709"/>
        <w:jc w:val="both"/>
        <w:rPr>
          <w:rFonts w:ascii="Verdana" w:hAnsi="Verdana" w:cs="Arial"/>
          <w:sz w:val="18"/>
          <w:szCs w:val="18"/>
        </w:rPr>
      </w:pPr>
      <w:r w:rsidRPr="00045C31">
        <w:rPr>
          <w:rStyle w:val="Refdenotaalpie"/>
          <w:rFonts w:ascii="Verdana" w:hAnsi="Verdana" w:cs="Arial"/>
          <w:sz w:val="18"/>
          <w:szCs w:val="18"/>
        </w:rPr>
        <w:footnoteRef/>
      </w:r>
      <w:r w:rsidRPr="00045C31">
        <w:rPr>
          <w:rFonts w:ascii="Verdana" w:hAnsi="Verdana" w:cs="Arial"/>
          <w:sz w:val="18"/>
          <w:szCs w:val="18"/>
        </w:rPr>
        <w:t xml:space="preserve"> El Consejo Profesional Nacional de Ingeniería ha reiterado esta tesis en los conceptos </w:t>
      </w:r>
      <w:r w:rsidRPr="00045C31">
        <w:rPr>
          <w:rFonts w:ascii="Verdana" w:hAnsi="Verdana" w:cs="Arial"/>
          <w:sz w:val="18"/>
          <w:szCs w:val="18"/>
          <w:lang w:val="es-ES"/>
        </w:rPr>
        <w:t>14, 15, y 68 de 2005; 18 de 2010, 39 de 2011; 78, 109 de 2012; 103 de 2013; 9 y 210 de 2015; 115 de 2016; 20 y 98 de 2018,</w:t>
      </w:r>
      <w:r w:rsidRPr="00045C31">
        <w:rPr>
          <w:rFonts w:ascii="Verdana" w:hAnsi="Verdana" w:cs="Arial"/>
          <w:sz w:val="18"/>
          <w:szCs w:val="18"/>
        </w:rPr>
        <w:t xml:space="preserve"> 34 de 2015, 39 de 2019.</w:t>
      </w:r>
    </w:p>
    <w:p w14:paraId="1BB01A02" w14:textId="77777777" w:rsidR="00CE4EF3" w:rsidRPr="00045C31" w:rsidRDefault="00CE4EF3" w:rsidP="00CE4EF3">
      <w:pPr>
        <w:pStyle w:val="Textonotapie"/>
        <w:ind w:right="49" w:firstLine="709"/>
        <w:jc w:val="both"/>
        <w:rPr>
          <w:rFonts w:ascii="Verdana" w:hAnsi="Verdana" w:cs="Arial"/>
          <w:sz w:val="18"/>
          <w:szCs w:val="18"/>
          <w:lang w:val="es-CO"/>
        </w:rPr>
      </w:pPr>
    </w:p>
  </w:footnote>
  <w:footnote w:id="7">
    <w:p w14:paraId="4DE28E73" w14:textId="77777777" w:rsidR="00CE4EF3" w:rsidRPr="00CE4EF3" w:rsidRDefault="00CE4EF3" w:rsidP="00CE4EF3">
      <w:pPr>
        <w:pStyle w:val="Textonotapie"/>
        <w:ind w:right="49" w:firstLine="720"/>
        <w:jc w:val="both"/>
        <w:rPr>
          <w:rFonts w:ascii="Verdana" w:hAnsi="Verdana" w:cs="Arial"/>
          <w:color w:val="000000"/>
          <w:sz w:val="18"/>
          <w:szCs w:val="18"/>
        </w:rPr>
      </w:pPr>
      <w:r w:rsidRPr="00CE4EF3">
        <w:rPr>
          <w:rStyle w:val="Refdenotaalpie"/>
          <w:rFonts w:ascii="Verdana" w:hAnsi="Verdana" w:cs="Arial"/>
          <w:color w:val="000000"/>
          <w:sz w:val="18"/>
          <w:szCs w:val="18"/>
        </w:rPr>
        <w:footnoteRef/>
      </w:r>
      <w:r w:rsidRPr="00CE4EF3">
        <w:rPr>
          <w:rFonts w:ascii="Verdana" w:hAnsi="Verdana" w:cs="Arial"/>
          <w:color w:val="000000"/>
          <w:sz w:val="18"/>
          <w:szCs w:val="18"/>
        </w:rPr>
        <w:t xml:space="preserve"> Corte Constitucional. Sentencia C-191 de 2005: “Para la jurisprudencia, por ejemplo, no es razonable que si existen varios profesionales que pueden ejercer idóneamente una labor (por ejemplo, la vigilancia concreta de una construcción), se obligue a que sea contratado exclusivamente uno de ellos (por ejemplo, que en toda obra se contrate a un técnico constructor); ello resulta discriminatorio, pues establece un privilegio en favor de los profesionales elegidos, dentro de un universo en el cual existen otros profesionales con el mismo o mayor nivel de idoneidad, según las normas vigentes”.</w:t>
      </w:r>
    </w:p>
    <w:p w14:paraId="077FB5CF" w14:textId="77777777" w:rsidR="00CE4EF3" w:rsidRPr="00CE4EF3" w:rsidRDefault="00CE4EF3" w:rsidP="00CE4EF3">
      <w:pPr>
        <w:pStyle w:val="Textonotapie"/>
        <w:ind w:right="49" w:firstLine="720"/>
        <w:jc w:val="both"/>
        <w:rPr>
          <w:rFonts w:ascii="Verdana" w:hAnsi="Verdana" w:cs="Arial"/>
          <w:color w:val="000000"/>
          <w:sz w:val="18"/>
          <w:szCs w:val="18"/>
          <w:lang w:val="es-CO"/>
        </w:rPr>
      </w:pPr>
    </w:p>
  </w:footnote>
  <w:footnote w:id="8">
    <w:p w14:paraId="496E8C7B" w14:textId="77777777" w:rsidR="00CE4EF3" w:rsidRPr="00045C31" w:rsidRDefault="00CE4EF3" w:rsidP="00CE4EF3">
      <w:pPr>
        <w:pStyle w:val="Textonotapie"/>
        <w:ind w:firstLine="708"/>
        <w:jc w:val="both"/>
        <w:rPr>
          <w:rFonts w:ascii="Verdana" w:hAnsi="Verdana" w:cs="Arial"/>
          <w:sz w:val="18"/>
          <w:szCs w:val="18"/>
          <w:lang w:val="es-CO"/>
        </w:rPr>
      </w:pPr>
      <w:r w:rsidRPr="00045C31">
        <w:rPr>
          <w:rStyle w:val="Refdenotaalpie"/>
          <w:rFonts w:ascii="Verdana" w:hAnsi="Verdana" w:cs="Arial"/>
          <w:sz w:val="18"/>
          <w:szCs w:val="18"/>
        </w:rPr>
        <w:footnoteRef/>
      </w:r>
      <w:r w:rsidRPr="00045C31">
        <w:rPr>
          <w:rFonts w:ascii="Verdana" w:hAnsi="Verdana" w:cs="Arial"/>
          <w:sz w:val="18"/>
          <w:szCs w:val="18"/>
        </w:rPr>
        <w:t xml:space="preserve"> Documento Base de los documentos tipo </w:t>
      </w:r>
      <w:r w:rsidRPr="00CE4EF3">
        <w:rPr>
          <w:rFonts w:ascii="Verdana" w:eastAsia="Arial" w:hAnsi="Verdana" w:cs="Arial"/>
          <w:bCs/>
          <w:color w:val="000000"/>
          <w:sz w:val="18"/>
          <w:szCs w:val="18"/>
        </w:rPr>
        <w:t xml:space="preserve">para los procesos de licitación de obra pública de infraestructura de transporte –Versión 3–, de selección abreviada de menor cuantía e interventoría de infraestructura de transporte, y de concurso de méritos para contratar la interventoría y la consultoría de estudios de ingeniería de infraestructura de transporte, </w:t>
      </w:r>
      <w:r w:rsidRPr="00045C31">
        <w:rPr>
          <w:rFonts w:ascii="Verdana" w:hAnsi="Verdana" w:cs="Arial"/>
          <w:sz w:val="18"/>
          <w:szCs w:val="18"/>
        </w:rPr>
        <w:t xml:space="preserve">numeral 2.1. “En virtud de lo previsto en la Ley 842 de 2003 y con el fin de evitar el ejercicio ilegal de la Ingeniería, la persona natural (proponente individual o integrante de la estructura plural) que pretenda participar en el presente proceso, debe acreditar que posee título como ingeniero, para lo cual debe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 El requisito de la tarjeta profesional se puede suplir con el registro de que trata el artículo 18 del Decreto 2106 de 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FD1C243" w14:textId="6D74A3CF" w:rsidR="008A446D" w:rsidRDefault="008A446D" w:rsidP="00061B2A">
    <w:pPr>
      <w:pStyle w:val="Encabezado"/>
      <w:spacing w:line="120" w:lineRule="auto"/>
    </w:pPr>
  </w:p>
  <w:p w14:paraId="72E99940" w14:textId="77777777" w:rsidR="00584225" w:rsidRDefault="0058422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B163F27"/>
    <w:multiLevelType w:val="hybridMultilevel"/>
    <w:tmpl w:val="0FD015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04842CE"/>
    <w:multiLevelType w:val="hybridMultilevel"/>
    <w:tmpl w:val="6054E8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FC739ED"/>
    <w:multiLevelType w:val="hybridMultilevel"/>
    <w:tmpl w:val="0030A6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400B48"/>
    <w:multiLevelType w:val="hybridMultilevel"/>
    <w:tmpl w:val="EACAFE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8"/>
  </w:num>
  <w:num w:numId="15" w16cid:durableId="390349800">
    <w:abstractNumId w:val="13"/>
  </w:num>
  <w:num w:numId="16" w16cid:durableId="341274352">
    <w:abstractNumId w:val="0"/>
  </w:num>
  <w:num w:numId="17" w16cid:durableId="679089576">
    <w:abstractNumId w:val="10"/>
  </w:num>
  <w:num w:numId="18" w16cid:durableId="1446120025">
    <w:abstractNumId w:val="3"/>
  </w:num>
  <w:num w:numId="19" w16cid:durableId="840582243">
    <w:abstractNumId w:val="12"/>
  </w:num>
  <w:num w:numId="20" w16cid:durableId="1103572889">
    <w:abstractNumId w:val="11"/>
  </w:num>
  <w:num w:numId="21" w16cid:durableId="16438471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93A9F"/>
    <w:rsid w:val="000A683E"/>
    <w:rsid w:val="000B19B9"/>
    <w:rsid w:val="000D0334"/>
    <w:rsid w:val="000F6486"/>
    <w:rsid w:val="00125105"/>
    <w:rsid w:val="00127233"/>
    <w:rsid w:val="00184532"/>
    <w:rsid w:val="00195549"/>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406575"/>
    <w:rsid w:val="00416186"/>
    <w:rsid w:val="0042722E"/>
    <w:rsid w:val="0044528D"/>
    <w:rsid w:val="004A1847"/>
    <w:rsid w:val="004A305D"/>
    <w:rsid w:val="004F21C4"/>
    <w:rsid w:val="004F685F"/>
    <w:rsid w:val="005566E8"/>
    <w:rsid w:val="00574867"/>
    <w:rsid w:val="00584225"/>
    <w:rsid w:val="00591460"/>
    <w:rsid w:val="00592628"/>
    <w:rsid w:val="005B1B1F"/>
    <w:rsid w:val="005C3777"/>
    <w:rsid w:val="005C5CDC"/>
    <w:rsid w:val="005D476C"/>
    <w:rsid w:val="00607D8E"/>
    <w:rsid w:val="00610812"/>
    <w:rsid w:val="006219F8"/>
    <w:rsid w:val="00650FF7"/>
    <w:rsid w:val="00665D70"/>
    <w:rsid w:val="00671DAC"/>
    <w:rsid w:val="006900D9"/>
    <w:rsid w:val="006D12F8"/>
    <w:rsid w:val="00706C16"/>
    <w:rsid w:val="00756841"/>
    <w:rsid w:val="007649AB"/>
    <w:rsid w:val="00771D0C"/>
    <w:rsid w:val="007833AC"/>
    <w:rsid w:val="00784766"/>
    <w:rsid w:val="007B268C"/>
    <w:rsid w:val="007B7171"/>
    <w:rsid w:val="007C0C0F"/>
    <w:rsid w:val="007C3DC2"/>
    <w:rsid w:val="007E5497"/>
    <w:rsid w:val="00806F5F"/>
    <w:rsid w:val="00820278"/>
    <w:rsid w:val="00857C5C"/>
    <w:rsid w:val="008843B6"/>
    <w:rsid w:val="00891928"/>
    <w:rsid w:val="008A446D"/>
    <w:rsid w:val="008D180B"/>
    <w:rsid w:val="008D3147"/>
    <w:rsid w:val="008F0EA7"/>
    <w:rsid w:val="009213DD"/>
    <w:rsid w:val="00923EEF"/>
    <w:rsid w:val="009419F9"/>
    <w:rsid w:val="00955BAD"/>
    <w:rsid w:val="0095685E"/>
    <w:rsid w:val="00961B09"/>
    <w:rsid w:val="00965334"/>
    <w:rsid w:val="0097093E"/>
    <w:rsid w:val="009A0DFA"/>
    <w:rsid w:val="009A2557"/>
    <w:rsid w:val="009B2D26"/>
    <w:rsid w:val="009C71FA"/>
    <w:rsid w:val="009C72E7"/>
    <w:rsid w:val="009D3058"/>
    <w:rsid w:val="009F3A13"/>
    <w:rsid w:val="00A122D3"/>
    <w:rsid w:val="00A17F13"/>
    <w:rsid w:val="00A20739"/>
    <w:rsid w:val="00A33C78"/>
    <w:rsid w:val="00AB0ADB"/>
    <w:rsid w:val="00AF5091"/>
    <w:rsid w:val="00B01B1A"/>
    <w:rsid w:val="00B4352A"/>
    <w:rsid w:val="00B72CD3"/>
    <w:rsid w:val="00B72FFF"/>
    <w:rsid w:val="00BC3D36"/>
    <w:rsid w:val="00BD7F72"/>
    <w:rsid w:val="00BF51BC"/>
    <w:rsid w:val="00C04FB3"/>
    <w:rsid w:val="00C330EB"/>
    <w:rsid w:val="00C754BE"/>
    <w:rsid w:val="00C76B1C"/>
    <w:rsid w:val="00CB21DC"/>
    <w:rsid w:val="00CB6357"/>
    <w:rsid w:val="00CC1B26"/>
    <w:rsid w:val="00CE4EF3"/>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A1630"/>
    <w:rsid w:val="00EC38A7"/>
    <w:rsid w:val="00EE1AA8"/>
    <w:rsid w:val="00F142A9"/>
    <w:rsid w:val="00F31EDC"/>
    <w:rsid w:val="00F462B3"/>
    <w:rsid w:val="00F5664F"/>
    <w:rsid w:val="00F666C4"/>
    <w:rsid w:val="00F76AFC"/>
    <w:rsid w:val="00FA47C0"/>
    <w:rsid w:val="00FB2FD2"/>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E4EF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boletin_de_realtoria_iii.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de-infraestructura-de-transport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A7F1FA-FD1C-4C98-B3A0-D7E89E40773E}"/>
</file>

<file path=customXml/itemProps2.xml><?xml version="1.0" encoding="utf-8"?>
<ds:datastoreItem xmlns:ds="http://schemas.openxmlformats.org/officeDocument/2006/customXml" ds:itemID="{163618BE-28CB-4D69-955E-CDA788483BED}">
  <ds:schemaRefs>
    <ds:schemaRef ds:uri="http://schemas.openxmlformats.org/package/2006/metadata/core-properties"/>
    <ds:schemaRef ds:uri="http://schemas.microsoft.com/office/infopath/2007/PartnerControls"/>
    <ds:schemaRef ds:uri="http://schemas.microsoft.com/office/2006/documentManagement/types"/>
    <ds:schemaRef ds:uri="http://purl.org/dc/terms/"/>
    <ds:schemaRef ds:uri="http://schemas.microsoft.com/office/2006/metadata/properties"/>
    <ds:schemaRef ds:uri="8ae15d26-076e-464e-81a7-6f76a0fb3917"/>
    <ds:schemaRef ds:uri="http://purl.org/dc/elements/1.1/"/>
    <ds:schemaRef ds:uri="36c82cfe-0eda-494d-b392-a9281b89aaf0"/>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4658</Words>
  <Characters>25625</Characters>
  <Application>Microsoft Office Word</Application>
  <DocSecurity>0</DocSecurity>
  <Lines>213</Lines>
  <Paragraphs>60</Paragraphs>
  <ScaleCrop>false</ScaleCrop>
  <Company/>
  <LinksUpToDate>false</LinksUpToDate>
  <CharactersWithSpaces>30223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2023-01-10T21:18:00Z</cp:lastPrinted>
  <dcterms:created xsi:type="dcterms:W3CDTF">2024-09-11T22:03:00Z</dcterms:created>
  <dcterms:modified xsi:type="dcterms:W3CDTF">2024-10-08T19:52:00Z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