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A3D5F" w14:textId="03D8B4F3" w:rsidR="00E804AA" w:rsidRPr="00580D6C" w:rsidRDefault="00E804AA" w:rsidP="009C6EA8">
      <w:pPr>
        <w:jc w:val="right"/>
        <w:rPr>
          <w:rFonts w:ascii="Arial" w:hAnsi="Arial" w:cs="Arial"/>
          <w:b/>
          <w:sz w:val="16"/>
          <w:szCs w:val="16"/>
          <w:lang w:eastAsia="es-ES"/>
        </w:rPr>
      </w:pPr>
      <w:bookmarkStart w:id="0" w:name="_Hlk28946138"/>
      <w:bookmarkStart w:id="1" w:name="_Hlk29548183"/>
      <w:bookmarkStart w:id="2" w:name="_Hlk70520488"/>
    </w:p>
    <w:p w14:paraId="5427CBC6" w14:textId="77777777" w:rsidR="009C6EA8" w:rsidRPr="00580D6C" w:rsidRDefault="009C6EA8" w:rsidP="009C6EA8">
      <w:pPr>
        <w:contextualSpacing/>
        <w:jc w:val="both"/>
        <w:rPr>
          <w:rFonts w:ascii="Arial" w:eastAsia="Calibri" w:hAnsi="Arial" w:cs="Arial"/>
          <w:b/>
          <w:sz w:val="22"/>
          <w:lang w:eastAsia="es-ES_tradnl"/>
        </w:rPr>
      </w:pPr>
    </w:p>
    <w:p w14:paraId="545F67F3" w14:textId="77777777" w:rsidR="007117F2" w:rsidRPr="00580D6C" w:rsidRDefault="007117F2" w:rsidP="007117F2">
      <w:pPr>
        <w:jc w:val="both"/>
        <w:rPr>
          <w:rFonts w:ascii="Arial" w:eastAsia="Calibri" w:hAnsi="Arial" w:cs="Arial"/>
          <w:b/>
          <w:szCs w:val="24"/>
          <w:lang w:val="es-ES_tradnl" w:eastAsia="es-ES_tradnl"/>
        </w:rPr>
      </w:pPr>
      <w:r w:rsidRPr="00580D6C">
        <w:rPr>
          <w:rFonts w:ascii="Arial" w:eastAsia="Calibri" w:hAnsi="Arial" w:cs="Arial"/>
          <w:b/>
          <w:szCs w:val="24"/>
          <w:lang w:val="es-ES_tradnl" w:eastAsia="es-ES_tradnl"/>
        </w:rPr>
        <w:t>DOCUMENTOS TIPO – Fundamento normativo – Ley 2022 de 2020</w:t>
      </w:r>
    </w:p>
    <w:p w14:paraId="6B23AA78" w14:textId="77777777" w:rsidR="007117F2" w:rsidRPr="00580D6C" w:rsidRDefault="007117F2" w:rsidP="007117F2">
      <w:pPr>
        <w:jc w:val="both"/>
        <w:rPr>
          <w:rFonts w:ascii="Arial" w:eastAsia="Calibri" w:hAnsi="Arial" w:cs="Arial"/>
          <w:b/>
          <w:szCs w:val="24"/>
          <w:lang w:val="es-ES_tradnl" w:eastAsia="es-ES_tradnl"/>
        </w:rPr>
      </w:pPr>
    </w:p>
    <w:p w14:paraId="524FAB96" w14:textId="171F1E36" w:rsidR="007117F2" w:rsidRPr="00580D6C" w:rsidRDefault="007117F2" w:rsidP="007117F2">
      <w:pPr>
        <w:jc w:val="both"/>
        <w:rPr>
          <w:rFonts w:ascii="Arial" w:eastAsia="Calibri" w:hAnsi="Arial" w:cs="Arial"/>
          <w:sz w:val="20"/>
          <w:szCs w:val="20"/>
          <w:lang w:val="es-ES_tradnl" w:eastAsia="es-ES_tradnl"/>
        </w:rPr>
      </w:pPr>
      <w:r w:rsidRPr="00580D6C">
        <w:rPr>
          <w:rFonts w:ascii="Arial" w:eastAsia="Calibri" w:hAnsi="Arial" w:cs="Arial"/>
          <w:sz w:val="20"/>
          <w:szCs w:val="20"/>
          <w:lang w:eastAsia="es-ES"/>
        </w:rPr>
        <w:t>Por otra parte</w:t>
      </w:r>
      <w:r w:rsidRPr="00580D6C">
        <w:rPr>
          <w:rFonts w:ascii="Arial" w:eastAsia="Calibri" w:hAnsi="Arial" w:cs="Arial"/>
          <w:i/>
          <w:iCs/>
          <w:sz w:val="20"/>
          <w:szCs w:val="20"/>
          <w:lang w:eastAsia="es-ES"/>
        </w:rPr>
        <w:t>,</w:t>
      </w:r>
      <w:r w:rsidRPr="00580D6C">
        <w:rPr>
          <w:rFonts w:ascii="Arial" w:eastAsia="Calibri" w:hAnsi="Arial" w:cs="Arial"/>
          <w:sz w:val="20"/>
          <w:szCs w:val="20"/>
          <w:lang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w:t>
      </w:r>
      <w:r w:rsidR="00AD053D">
        <w:rPr>
          <w:rFonts w:ascii="Arial" w:eastAsia="Calibri" w:hAnsi="Arial" w:cs="Arial"/>
          <w:sz w:val="20"/>
          <w:szCs w:val="20"/>
          <w:lang w:eastAsia="es-ES"/>
        </w:rPr>
        <w:t>“</w:t>
      </w:r>
      <w:r w:rsidRPr="00580D6C">
        <w:rPr>
          <w:rFonts w:ascii="Arial" w:eastAsia="Calibri" w:hAnsi="Arial" w:cs="Arial"/>
          <w:sz w:val="20"/>
          <w:szCs w:val="20"/>
          <w:lang w:eastAsia="es-ES"/>
        </w:rPr>
        <w:t>Por la cual se adopta el procedimiento para implementar los documentos tipo y se define el sistema para su revisión</w:t>
      </w:r>
      <w:r w:rsidR="00AD053D">
        <w:rPr>
          <w:rFonts w:ascii="Arial" w:eastAsia="Calibri" w:hAnsi="Arial" w:cs="Arial"/>
          <w:sz w:val="20"/>
          <w:szCs w:val="20"/>
          <w:lang w:eastAsia="es-ES"/>
        </w:rPr>
        <w:t>”</w:t>
      </w:r>
      <w:r w:rsidRPr="00580D6C">
        <w:rPr>
          <w:rFonts w:ascii="Arial" w:eastAsia="Calibri" w:hAnsi="Arial" w:cs="Arial"/>
          <w:sz w:val="20"/>
          <w:szCs w:val="20"/>
          <w:lang w:eastAsia="es-ES"/>
        </w:rPr>
        <w:t xml:space="preserve">. </w:t>
      </w:r>
    </w:p>
    <w:p w14:paraId="55768C35" w14:textId="77777777" w:rsidR="007117F2" w:rsidRPr="00580D6C" w:rsidRDefault="007117F2" w:rsidP="007117F2">
      <w:pPr>
        <w:spacing w:line="276" w:lineRule="auto"/>
        <w:jc w:val="both"/>
        <w:rPr>
          <w:rFonts w:ascii="Arial" w:eastAsia="Times New Roman" w:hAnsi="Arial" w:cs="Arial"/>
          <w:noProof/>
          <w:lang w:val="es-ES_tradnl" w:eastAsia="es-ES_tradnl"/>
        </w:rPr>
      </w:pPr>
    </w:p>
    <w:p w14:paraId="3FEDAA9D" w14:textId="77777777" w:rsidR="007117F2" w:rsidRPr="00580D6C" w:rsidRDefault="007117F2" w:rsidP="007117F2">
      <w:pPr>
        <w:rPr>
          <w:rFonts w:ascii="Arial" w:hAnsi="Arial" w:cs="Arial"/>
          <w:b/>
          <w:bCs/>
          <w:color w:val="000000" w:themeColor="text1"/>
        </w:rPr>
      </w:pPr>
      <w:r w:rsidRPr="00580D6C">
        <w:rPr>
          <w:rFonts w:ascii="Arial" w:hAnsi="Arial" w:cs="Arial"/>
          <w:b/>
          <w:bCs/>
          <w:color w:val="000000" w:themeColor="text1"/>
        </w:rPr>
        <w:t>DOCUMENTOS TIPO – Inalterabilidad</w:t>
      </w:r>
    </w:p>
    <w:p w14:paraId="1BB72F51" w14:textId="77777777" w:rsidR="007117F2" w:rsidRPr="00580D6C" w:rsidRDefault="007117F2" w:rsidP="007117F2">
      <w:pPr>
        <w:rPr>
          <w:rFonts w:ascii="Arial" w:hAnsi="Arial" w:cs="Arial"/>
          <w:b/>
          <w:bCs/>
          <w:color w:val="000000" w:themeColor="text1"/>
        </w:rPr>
      </w:pPr>
    </w:p>
    <w:p w14:paraId="5D9EE794" w14:textId="77777777" w:rsidR="007117F2" w:rsidRPr="00580D6C" w:rsidRDefault="007117F2" w:rsidP="007117F2">
      <w:pPr>
        <w:jc w:val="both"/>
        <w:rPr>
          <w:rFonts w:ascii="Arial" w:eastAsia="Calibri" w:hAnsi="Arial" w:cs="Arial"/>
          <w:color w:val="000000"/>
          <w:sz w:val="20"/>
          <w:szCs w:val="20"/>
          <w:lang w:val="es-ES_tradnl"/>
        </w:rPr>
      </w:pPr>
      <w:r w:rsidRPr="00580D6C">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580D6C">
        <w:rPr>
          <w:rFonts w:ascii="Arial" w:eastAsia="Calibri" w:hAnsi="Arial" w:cs="Arial"/>
          <w:i/>
          <w:iCs/>
          <w:color w:val="000000"/>
          <w:sz w:val="20"/>
          <w:szCs w:val="20"/>
          <w:lang w:val="es-ES_tradnl"/>
        </w:rPr>
        <w:t>Documentos del Proceso</w:t>
      </w:r>
      <w:r w:rsidRPr="00580D6C">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3426F89A" w14:textId="77777777" w:rsidR="007117F2" w:rsidRPr="00580D6C" w:rsidRDefault="007117F2" w:rsidP="007117F2">
      <w:pPr>
        <w:spacing w:line="276" w:lineRule="auto"/>
        <w:jc w:val="both"/>
        <w:rPr>
          <w:rFonts w:ascii="Arial" w:eastAsia="Times New Roman" w:hAnsi="Arial" w:cs="Arial"/>
          <w:noProof/>
          <w:lang w:val="es-ES_tradnl" w:eastAsia="es-ES_tradnl"/>
        </w:rPr>
      </w:pPr>
    </w:p>
    <w:p w14:paraId="561BEBA2" w14:textId="77777777" w:rsidR="007117F2" w:rsidRPr="00580D6C" w:rsidRDefault="007117F2" w:rsidP="007117F2">
      <w:pPr>
        <w:tabs>
          <w:tab w:val="left" w:pos="426"/>
        </w:tabs>
        <w:jc w:val="both"/>
        <w:rPr>
          <w:rFonts w:ascii="Arial" w:eastAsia="Calibri" w:hAnsi="Arial" w:cs="Arial"/>
          <w:b/>
          <w:noProof/>
        </w:rPr>
      </w:pPr>
      <w:r w:rsidRPr="00580D6C">
        <w:rPr>
          <w:rFonts w:ascii="Arial" w:eastAsia="Calibri" w:hAnsi="Arial" w:cs="Arial"/>
          <w:b/>
          <w:noProof/>
        </w:rPr>
        <w:t xml:space="preserve">LEY 915 DE 2004 − Artículo 67 − Contratación – Archipiélago ─ San Andres ─ Providencia ─ Santa Catalina </w:t>
      </w:r>
    </w:p>
    <w:p w14:paraId="082B8ED4" w14:textId="77777777" w:rsidR="007117F2" w:rsidRPr="00580D6C" w:rsidRDefault="007117F2" w:rsidP="007117F2">
      <w:pPr>
        <w:tabs>
          <w:tab w:val="left" w:pos="426"/>
        </w:tabs>
        <w:jc w:val="both"/>
        <w:rPr>
          <w:rFonts w:ascii="Arial" w:eastAsia="Calibri" w:hAnsi="Arial" w:cs="Arial"/>
          <w:b/>
          <w:noProof/>
        </w:rPr>
      </w:pPr>
    </w:p>
    <w:p w14:paraId="0A1320DA" w14:textId="6AC8E34C" w:rsidR="007117F2" w:rsidRPr="00580D6C" w:rsidRDefault="007117F2" w:rsidP="007117F2">
      <w:pPr>
        <w:tabs>
          <w:tab w:val="left" w:pos="426"/>
        </w:tabs>
        <w:spacing w:after="120"/>
        <w:jc w:val="both"/>
        <w:rPr>
          <w:rFonts w:ascii="Arial" w:hAnsi="Arial" w:cs="Arial"/>
          <w:sz w:val="20"/>
          <w:szCs w:val="20"/>
        </w:rPr>
      </w:pPr>
      <w:r w:rsidRPr="00580D6C">
        <w:rPr>
          <w:rFonts w:ascii="Arial" w:eastAsia="Calibri" w:hAnsi="Arial" w:cs="Arial"/>
          <w:bCs/>
          <w:noProof/>
          <w:sz w:val="20"/>
          <w:szCs w:val="20"/>
        </w:rPr>
        <w:t xml:space="preserve">[…] el Congreso de la República expidió la Ley 915 de 2004 </w:t>
      </w:r>
      <w:r w:rsidR="00AD053D">
        <w:rPr>
          <w:rFonts w:ascii="Arial" w:eastAsia="Calibri" w:hAnsi="Arial" w:cs="Arial"/>
          <w:bCs/>
          <w:noProof/>
          <w:sz w:val="20"/>
          <w:szCs w:val="20"/>
        </w:rPr>
        <w:t>“</w:t>
      </w:r>
      <w:r w:rsidRPr="00580D6C">
        <w:rPr>
          <w:rFonts w:ascii="Arial" w:eastAsia="Calibri" w:hAnsi="Arial" w:cs="Arial"/>
          <w:bCs/>
          <w:noProof/>
          <w:sz w:val="20"/>
          <w:szCs w:val="20"/>
        </w:rPr>
        <w:t>por la cual se dicta el Estatatuo Fronterizo para el Desarrollo Económico y Social del Departamento Archipiélago de Sn Andrés, Providencia y Santa Catalina</w:t>
      </w:r>
      <w:r w:rsidR="00AD053D">
        <w:rPr>
          <w:rFonts w:ascii="Arial" w:eastAsia="Calibri" w:hAnsi="Arial" w:cs="Arial"/>
          <w:bCs/>
          <w:noProof/>
          <w:sz w:val="20"/>
          <w:szCs w:val="20"/>
        </w:rPr>
        <w:t>”</w:t>
      </w:r>
      <w:r w:rsidRPr="00580D6C">
        <w:rPr>
          <w:rFonts w:ascii="Arial" w:eastAsia="Calibri" w:hAnsi="Arial" w:cs="Arial"/>
          <w:bCs/>
          <w:noProof/>
          <w:sz w:val="20"/>
          <w:szCs w:val="20"/>
        </w:rPr>
        <w:t xml:space="preserve">. Sobre la norma en mención, resulta pertienente aludir al artículo 67 […] En relación con esta aspecto, es pertienente mencionar que, pase a la existencia del régimen de contratación pública, contenido en el Estatuto General de Contratación de la Administración Pública −EGAP−, el legislador mediante el artículo en comento, </w:t>
      </w:r>
      <w:r w:rsidR="00AD053D">
        <w:rPr>
          <w:rFonts w:ascii="Arial" w:eastAsia="Calibri" w:hAnsi="Arial" w:cs="Arial"/>
          <w:bCs/>
          <w:noProof/>
          <w:sz w:val="20"/>
          <w:szCs w:val="20"/>
        </w:rPr>
        <w:t>“</w:t>
      </w:r>
      <w:r w:rsidRPr="00580D6C">
        <w:rPr>
          <w:rFonts w:ascii="Arial" w:hAnsi="Arial" w:cs="Arial"/>
          <w:sz w:val="20"/>
          <w:szCs w:val="20"/>
        </w:rPr>
        <w:t>quiso garantizar una participación real y efectiva de los raizales y residentes, exigiendo una preferencia de estos grupos poblacionales de la insular, a efectos de poder determinar una verdadera política pública de pleno empleo en este territorio</w:t>
      </w:r>
      <w:r w:rsidR="00AD053D">
        <w:rPr>
          <w:rFonts w:ascii="Arial" w:hAnsi="Arial" w:cs="Arial"/>
          <w:sz w:val="20"/>
          <w:szCs w:val="20"/>
        </w:rPr>
        <w:t>”</w:t>
      </w:r>
      <w:r w:rsidRPr="00580D6C">
        <w:rPr>
          <w:rFonts w:ascii="Arial" w:hAnsi="Arial" w:cs="Arial"/>
          <w:sz w:val="20"/>
          <w:szCs w:val="20"/>
        </w:rPr>
        <w:t xml:space="preserve">. </w:t>
      </w:r>
    </w:p>
    <w:p w14:paraId="1AE009C3" w14:textId="5B3C438E" w:rsidR="007117F2" w:rsidRDefault="007117F2" w:rsidP="007117F2">
      <w:pPr>
        <w:tabs>
          <w:tab w:val="left" w:pos="426"/>
        </w:tabs>
        <w:jc w:val="both"/>
        <w:rPr>
          <w:rFonts w:ascii="Arial" w:eastAsia="Calibri" w:hAnsi="Arial" w:cs="Arial"/>
          <w:bCs/>
          <w:noProof/>
          <w:sz w:val="20"/>
          <w:szCs w:val="20"/>
        </w:rPr>
      </w:pPr>
      <w:r w:rsidRPr="00580D6C">
        <w:rPr>
          <w:rFonts w:ascii="Arial" w:eastAsia="Calibri" w:hAnsi="Arial" w:cs="Arial"/>
          <w:bCs/>
          <w:noProof/>
          <w:sz w:val="20"/>
          <w:szCs w:val="20"/>
        </w:rPr>
        <w:t>En relación con la disposición contenida en el artículo 67 de la Ley 915 de 2004</w:t>
      </w:r>
      <w:r w:rsidRPr="00580D6C">
        <w:rPr>
          <w:rFonts w:ascii="Arial" w:hAnsi="Arial" w:cs="Arial"/>
          <w:sz w:val="20"/>
          <w:szCs w:val="20"/>
        </w:rPr>
        <w:t xml:space="preserve">, </w:t>
      </w:r>
      <w:r w:rsidRPr="00580D6C">
        <w:rPr>
          <w:rFonts w:ascii="Arial" w:eastAsia="Calibri" w:hAnsi="Arial" w:cs="Arial"/>
          <w:bCs/>
          <w:noProof/>
          <w:sz w:val="20"/>
          <w:szCs w:val="20"/>
        </w:rPr>
        <w:t xml:space="preserve">que regula la valoración en los procesos de contratación que deban desarrollarse en el departamento Archipiélago de San Andrés, Providencia y Santa Catalina, de la circunstancia de raizales y residentes,esta, −hasta el momento− no ha sido desarrollada reglamentariamente. No obstante, la Agencia Nacional de Contratación Pública – Colombia Compra Eficiente, con fundamento en la competencia establecida en el artículo 1 de la Ley 2022 de 2020, estandarizó el contenido del artículo en comento, en los documentos tipo de licitacion de obra pública de infraestrucrura de transporte – versión 3, de la forma que se señala en el siguiente numeral. </w:t>
      </w:r>
    </w:p>
    <w:p w14:paraId="31F891AD" w14:textId="22EE2993" w:rsidR="00443731" w:rsidRPr="00443731" w:rsidRDefault="00443731" w:rsidP="007117F2">
      <w:pPr>
        <w:tabs>
          <w:tab w:val="left" w:pos="426"/>
        </w:tabs>
        <w:jc w:val="both"/>
        <w:rPr>
          <w:rFonts w:ascii="Arial" w:eastAsia="Calibri" w:hAnsi="Arial" w:cs="Arial"/>
          <w:bCs/>
          <w:noProof/>
          <w:sz w:val="20"/>
          <w:szCs w:val="20"/>
        </w:rPr>
      </w:pPr>
    </w:p>
    <w:p w14:paraId="55EB1A9D" w14:textId="77777777" w:rsidR="00443731" w:rsidRDefault="00443731" w:rsidP="00443731">
      <w:pPr>
        <w:pStyle w:val="Textoindependiente"/>
        <w:spacing w:before="93" w:line="276" w:lineRule="auto"/>
        <w:jc w:val="both"/>
        <w:rPr>
          <w:iCs/>
          <w:sz w:val="20"/>
          <w:szCs w:val="20"/>
        </w:rPr>
      </w:pPr>
    </w:p>
    <w:p w14:paraId="7559A4B3" w14:textId="48759E7D" w:rsidR="00443731" w:rsidRPr="00443731" w:rsidRDefault="00443731" w:rsidP="00443731">
      <w:pPr>
        <w:pStyle w:val="Textoindependiente"/>
        <w:spacing w:before="93" w:line="276" w:lineRule="auto"/>
        <w:jc w:val="both"/>
        <w:rPr>
          <w:b/>
          <w:iCs/>
          <w:sz w:val="20"/>
          <w:szCs w:val="20"/>
        </w:rPr>
      </w:pPr>
      <w:r w:rsidRPr="00443731">
        <w:rPr>
          <w:rFonts w:eastAsia="Calibri"/>
          <w:b/>
          <w:bCs/>
          <w:lang w:eastAsia="es-ES_tradnl"/>
        </w:rPr>
        <w:t>LEY DE EMPRENDIMIENTO – Factores de desempate – numeral 5</w:t>
      </w:r>
      <w:r>
        <w:rPr>
          <w:rFonts w:eastAsia="Calibri"/>
          <w:b/>
          <w:bCs/>
          <w:lang w:eastAsia="es-ES_tradnl"/>
        </w:rPr>
        <w:t xml:space="preserve"> – Artículo 67 – Ley 915 de 2004 – Diferencias </w:t>
      </w:r>
    </w:p>
    <w:p w14:paraId="2D2B6CBE" w14:textId="52CF4A13" w:rsidR="00443731" w:rsidRPr="00443731" w:rsidRDefault="00443731" w:rsidP="00443731">
      <w:pPr>
        <w:pStyle w:val="Textoindependiente"/>
        <w:spacing w:before="93" w:line="276" w:lineRule="auto"/>
        <w:jc w:val="both"/>
        <w:rPr>
          <w:iCs/>
          <w:sz w:val="20"/>
          <w:szCs w:val="20"/>
        </w:rPr>
      </w:pPr>
      <w:r w:rsidRPr="00443731">
        <w:rPr>
          <w:iCs/>
          <w:sz w:val="20"/>
          <w:szCs w:val="20"/>
        </w:rPr>
        <w:t xml:space="preserve">Este artículo constituye una norma especial frente a lo dispuesto en el numeral 5 del artículo 35 de la Ley 2069 de 2020 pues como se indicó, hace parte del estatuto fronterizo del departamento Archipiélago de San Andrés, Providencia y Santa Catalina. Ahora, debe tenerse </w:t>
      </w:r>
      <w:proofErr w:type="gramStart"/>
      <w:r w:rsidRPr="00443731">
        <w:rPr>
          <w:iCs/>
          <w:sz w:val="20"/>
          <w:szCs w:val="20"/>
        </w:rPr>
        <w:t>encuentra,  en</w:t>
      </w:r>
      <w:proofErr w:type="gramEnd"/>
      <w:r w:rsidRPr="00443731">
        <w:rPr>
          <w:iCs/>
          <w:sz w:val="20"/>
          <w:szCs w:val="20"/>
        </w:rPr>
        <w:t xml:space="preserve"> primer lugar que, el ámbito territorial de aquella disposición se circunscribe exclusivamente al departamento Archipiélago de San Andrés, Providencia y Santa Catalina, mientras que el numeral 5 aplica para todos el territorio nacional. </w:t>
      </w:r>
    </w:p>
    <w:p w14:paraId="321CE965" w14:textId="3789125C" w:rsidR="00443731" w:rsidRPr="00443731" w:rsidRDefault="00443731" w:rsidP="00443731">
      <w:pPr>
        <w:pStyle w:val="Textoindependiente"/>
        <w:spacing w:before="93" w:line="276" w:lineRule="auto"/>
        <w:jc w:val="both"/>
        <w:rPr>
          <w:iCs/>
          <w:sz w:val="20"/>
          <w:szCs w:val="20"/>
        </w:rPr>
      </w:pPr>
      <w:r w:rsidRPr="00443731">
        <w:rPr>
          <w:iCs/>
          <w:sz w:val="20"/>
          <w:szCs w:val="20"/>
        </w:rPr>
        <w:t xml:space="preserve">En segundo lugar, se encuentra que los factores de desempate contenidos en el artículo 35 referido aplican a todos los procesos de contratación adelantados en todo el territorio nacional, sin distingo de su modalidad de selección, mientras que la regla contenida en el artículo 67 de la Ley 915 de 2004 aplica solo a los procesos de licitación pública. </w:t>
      </w:r>
      <w:r w:rsidR="00157722">
        <w:rPr>
          <w:iCs/>
          <w:sz w:val="20"/>
          <w:szCs w:val="20"/>
        </w:rPr>
        <w:t xml:space="preserve"> </w:t>
      </w:r>
      <w:r w:rsidRPr="00443731">
        <w:rPr>
          <w:rFonts w:eastAsia="Calibri"/>
          <w:bCs/>
          <w:noProof/>
          <w:sz w:val="20"/>
          <w:szCs w:val="20"/>
        </w:rPr>
        <w:t xml:space="preserve">la selección abreviada, los concursos de méritos y la mínima cuantía. </w:t>
      </w:r>
      <w:r w:rsidRPr="00443731">
        <w:rPr>
          <w:iCs/>
          <w:sz w:val="20"/>
          <w:szCs w:val="20"/>
        </w:rPr>
        <w:t xml:space="preserve">En sede de este punto, conviene reiterar que, </w:t>
      </w:r>
      <w:r w:rsidRPr="00443731">
        <w:rPr>
          <w:rFonts w:eastAsia="Calibri"/>
          <w:bCs/>
          <w:color w:val="000000" w:themeColor="text1"/>
          <w:sz w:val="20"/>
          <w:szCs w:val="20"/>
        </w:rPr>
        <w:t xml:space="preserve">tal como se indicó en la respuesta a la petición radicada por usted, identificada con radicación No. </w:t>
      </w:r>
      <w:r w:rsidRPr="00443731">
        <w:rPr>
          <w:rFonts w:eastAsia="Times New Roman"/>
          <w:bCs/>
          <w:sz w:val="20"/>
          <w:szCs w:val="20"/>
          <w:lang w:eastAsia="es-ES"/>
        </w:rPr>
        <w:t xml:space="preserve">P20230815014244, </w:t>
      </w:r>
      <w:r w:rsidRPr="00443731">
        <w:rPr>
          <w:rFonts w:eastAsia="Calibri"/>
          <w:bCs/>
          <w:noProof/>
          <w:sz w:val="20"/>
          <w:szCs w:val="20"/>
        </w:rPr>
        <w:t>para esta Agencia no es claro que lo dispuesto en el artículo 67 de la ley 915 de 2004 resulte aplicable en modalidades distintas de la licitación, al referirse la norma unicamente a este procedimiento. De esta manera, al igual que en su momento dicha norma no era aplicable a las modalidades de contratación directa y concurso público, hoy día no se encuentra que sea aplicable de manera forzosa en procedimientos como</w:t>
      </w:r>
    </w:p>
    <w:p w14:paraId="2018D65C" w14:textId="77777777" w:rsidR="00443731" w:rsidRPr="00443731" w:rsidRDefault="00443731" w:rsidP="00443731">
      <w:pPr>
        <w:pStyle w:val="Textoindependiente"/>
        <w:spacing w:before="120" w:line="276" w:lineRule="auto"/>
        <w:ind w:firstLine="720"/>
        <w:jc w:val="both"/>
        <w:rPr>
          <w:rFonts w:eastAsia="Calibri"/>
          <w:bCs/>
          <w:noProof/>
          <w:sz w:val="20"/>
          <w:szCs w:val="20"/>
        </w:rPr>
      </w:pPr>
      <w:r w:rsidRPr="00443731">
        <w:rPr>
          <w:rFonts w:eastAsia="Calibri"/>
          <w:bCs/>
          <w:noProof/>
          <w:sz w:val="20"/>
          <w:szCs w:val="20"/>
        </w:rPr>
        <w:t xml:space="preserve">Por lo cual, en la referida oportunidad se concluyó que, aun cuando el artículo 67 de la Ley 915 de 2004 solo es aplicable en los procesos de selección de contratistas mediante la modalidad de licitación pública, las entidades estatales que contratan objetos que deben ejecutarse en el territorio del Archipielago de San Andrés, Providencia y Santa Catalina, tienen a su disposición otras herramientas que les permiten implementar medidas de acción afirmativa que permitan vincular a la población raizal al ciclo de la contratación pública.  </w:t>
      </w:r>
    </w:p>
    <w:p w14:paraId="73E45904" w14:textId="77777777" w:rsidR="00443731" w:rsidRPr="00443731" w:rsidRDefault="00443731" w:rsidP="00443731">
      <w:pPr>
        <w:pStyle w:val="Textoindependiente"/>
        <w:spacing w:before="120" w:line="276" w:lineRule="auto"/>
        <w:ind w:firstLine="720"/>
        <w:jc w:val="both"/>
        <w:rPr>
          <w:rFonts w:eastAsia="Calibri"/>
          <w:bCs/>
          <w:noProof/>
          <w:sz w:val="20"/>
          <w:szCs w:val="20"/>
        </w:rPr>
      </w:pPr>
      <w:r w:rsidRPr="00443731">
        <w:rPr>
          <w:rFonts w:eastAsia="Calibri"/>
          <w:bCs/>
          <w:noProof/>
          <w:sz w:val="20"/>
          <w:szCs w:val="20"/>
        </w:rPr>
        <w:t xml:space="preserve">En tecer lugar, debe tenerse en cuenta que los sujetos de que trata el artículo 67 de la ley 915 de 2004 corresponde a raizales y residentes del departamento Archipiélago de San Andrés, Providencia y Santa Catalina, cuya definición se encuentra desarrollada con claridad en el Decreto 2762 de 1991, mientras que el ámbito subjetivo de aplicación del numeral 5 del artículo 35 de la Ley 2069 de 2020 es más amplio porque se circunscribe a población indígena, negra, afrocolombiana, raizal, palanquera, Rrom o gitanas. </w:t>
      </w:r>
    </w:p>
    <w:p w14:paraId="1A37E73D" w14:textId="77777777" w:rsidR="00443731" w:rsidRPr="00443731" w:rsidRDefault="00443731" w:rsidP="00443731">
      <w:pPr>
        <w:pStyle w:val="Textoindependiente"/>
        <w:spacing w:before="120" w:line="276" w:lineRule="auto"/>
        <w:ind w:firstLine="720"/>
        <w:jc w:val="both"/>
        <w:rPr>
          <w:color w:val="333333"/>
          <w:sz w:val="20"/>
          <w:szCs w:val="20"/>
          <w:shd w:val="clear" w:color="auto" w:fill="FFFFFF"/>
        </w:rPr>
      </w:pPr>
      <w:r w:rsidRPr="00443731">
        <w:rPr>
          <w:rFonts w:eastAsia="Calibri"/>
          <w:bCs/>
          <w:noProof/>
          <w:sz w:val="20"/>
          <w:szCs w:val="20"/>
        </w:rPr>
        <w:t xml:space="preserve">Asimismo, el artículo 67 estableció que basta con la participación efectiva de miembros de la raizal o de residentes en el departamento Archipiélago de San Andrés, Providencia y Santa Catalina, para que pueda ser valorada esta circunstancia dentro del proceso de licitación pública, mientras que el criterio establecido en el numeral 5 del artículo 35 de la Ley 2069 de 2020, establece un tope mínimo del 10% de la nomina del proponente sea raizal, para que se tenga como factor de desempate dentro de los procesos de selección de contratistas en todo el territorio nacional, en cualquiera de las modalidades de selección adelantadas en el territorio nacional.. </w:t>
      </w:r>
    </w:p>
    <w:p w14:paraId="25BDA8F2" w14:textId="2967AD2C" w:rsidR="00443731" w:rsidRPr="00443731" w:rsidRDefault="00443731" w:rsidP="007117F2">
      <w:pPr>
        <w:tabs>
          <w:tab w:val="left" w:pos="426"/>
        </w:tabs>
        <w:jc w:val="both"/>
        <w:rPr>
          <w:rFonts w:ascii="Arial" w:eastAsia="Calibri" w:hAnsi="Arial" w:cs="Arial"/>
          <w:bCs/>
          <w:noProof/>
          <w:sz w:val="20"/>
          <w:szCs w:val="20"/>
        </w:rPr>
      </w:pPr>
    </w:p>
    <w:p w14:paraId="096B4030" w14:textId="7F07D03D" w:rsidR="00443731" w:rsidRDefault="00443731" w:rsidP="007117F2">
      <w:pPr>
        <w:tabs>
          <w:tab w:val="left" w:pos="426"/>
        </w:tabs>
        <w:jc w:val="both"/>
        <w:rPr>
          <w:rFonts w:ascii="Arial" w:eastAsia="Calibri" w:hAnsi="Arial" w:cs="Arial"/>
          <w:bCs/>
          <w:noProof/>
          <w:sz w:val="20"/>
          <w:szCs w:val="20"/>
        </w:rPr>
      </w:pPr>
    </w:p>
    <w:p w14:paraId="69CCB0C4" w14:textId="77777777" w:rsidR="00443731" w:rsidRPr="00580D6C" w:rsidRDefault="00443731" w:rsidP="007117F2">
      <w:pPr>
        <w:tabs>
          <w:tab w:val="left" w:pos="426"/>
        </w:tabs>
        <w:jc w:val="both"/>
        <w:rPr>
          <w:rFonts w:ascii="Arial" w:eastAsia="Calibri" w:hAnsi="Arial" w:cs="Arial"/>
          <w:bCs/>
          <w:noProof/>
          <w:sz w:val="20"/>
          <w:szCs w:val="20"/>
        </w:rPr>
      </w:pPr>
    </w:p>
    <w:p w14:paraId="7B9AD35C" w14:textId="4FF5A803" w:rsidR="00443731" w:rsidRPr="00443731" w:rsidRDefault="00443731" w:rsidP="00443731">
      <w:pPr>
        <w:pStyle w:val="Textoindependiente"/>
        <w:spacing w:before="120" w:after="120" w:line="276" w:lineRule="auto"/>
        <w:jc w:val="both"/>
        <w:rPr>
          <w:rFonts w:eastAsia="Calibri"/>
          <w:b/>
          <w:bCs/>
          <w:noProof/>
          <w:sz w:val="22"/>
          <w:lang w:val="es-ES_tradnl"/>
        </w:rPr>
      </w:pPr>
      <w:r w:rsidRPr="00443731">
        <w:rPr>
          <w:rFonts w:eastAsia="Calibri"/>
          <w:b/>
          <w:bCs/>
          <w:noProof/>
          <w:sz w:val="22"/>
          <w:lang w:val="es-ES_tradnl"/>
        </w:rPr>
        <w:t>LEY 915 DE 2004 – Artículo 67 – Factor de ponderación – No es un factor de desempate</w:t>
      </w:r>
    </w:p>
    <w:p w14:paraId="0931BD1B" w14:textId="77777777" w:rsidR="00443731" w:rsidRDefault="00443731" w:rsidP="00443731">
      <w:pPr>
        <w:pStyle w:val="Textoindependiente"/>
        <w:spacing w:before="120" w:after="120" w:line="276" w:lineRule="auto"/>
        <w:jc w:val="both"/>
        <w:rPr>
          <w:rFonts w:eastAsia="Calibri"/>
          <w:bCs/>
          <w:noProof/>
          <w:sz w:val="20"/>
          <w:szCs w:val="20"/>
          <w:lang w:val="es-ES_tradnl"/>
        </w:rPr>
      </w:pPr>
    </w:p>
    <w:p w14:paraId="39A50415" w14:textId="0860EB5B" w:rsidR="00443731" w:rsidRPr="00443731" w:rsidRDefault="00443731" w:rsidP="00443731">
      <w:pPr>
        <w:pStyle w:val="Textoindependiente"/>
        <w:spacing w:before="120" w:after="120" w:line="276" w:lineRule="auto"/>
        <w:jc w:val="both"/>
        <w:rPr>
          <w:rFonts w:eastAsia="Calibri"/>
          <w:bCs/>
          <w:noProof/>
          <w:sz w:val="20"/>
          <w:szCs w:val="20"/>
        </w:rPr>
      </w:pPr>
      <w:r w:rsidRPr="00443731">
        <w:rPr>
          <w:rFonts w:eastAsia="Calibri"/>
          <w:bCs/>
          <w:noProof/>
          <w:sz w:val="20"/>
          <w:szCs w:val="20"/>
          <w:lang w:val="es-ES_tradnl"/>
        </w:rPr>
        <w:t>El</w:t>
      </w:r>
      <w:r w:rsidRPr="00443731">
        <w:rPr>
          <w:rFonts w:eastAsia="Calibri"/>
          <w:bCs/>
          <w:noProof/>
          <w:sz w:val="20"/>
          <w:szCs w:val="20"/>
        </w:rPr>
        <w:t xml:space="preserve"> artículo 67 constituye, como se dijo, en una medida especial  para promover la participación real y efectiva de los habitantes del territorio insultar, raizales y residentes, en los procesos de licitación pública, cuyo objeto se deba ejecutar en el Archipiélago, que constituye un factor ponderable dentro de los procesos de selección de contratistas adelantados </w:t>
      </w:r>
      <w:r w:rsidRPr="00443731">
        <w:rPr>
          <w:rFonts w:eastAsia="Calibri"/>
          <w:b/>
          <w:bCs/>
          <w:noProof/>
          <w:sz w:val="20"/>
          <w:szCs w:val="20"/>
        </w:rPr>
        <w:t xml:space="preserve">unicamente </w:t>
      </w:r>
      <w:r w:rsidRPr="00443731">
        <w:rPr>
          <w:rFonts w:eastAsia="Calibri"/>
          <w:bCs/>
          <w:noProof/>
          <w:sz w:val="20"/>
          <w:szCs w:val="20"/>
        </w:rPr>
        <w:t>bajo la modalidad de licitación pública, cuyo objeto contractual deba desarrollarase en el territorio insular.  De modo que , es una regla especial que no fue establecida propiamente como un factor de desempate, puesto que esta determinado en la norma como una circunstancia objeto de evaluación</w:t>
      </w:r>
      <w:r w:rsidRPr="00443731">
        <w:rPr>
          <w:rFonts w:eastAsia="Calibri"/>
          <w:b/>
          <w:bCs/>
          <w:noProof/>
          <w:sz w:val="20"/>
          <w:szCs w:val="20"/>
        </w:rPr>
        <w:t xml:space="preserve"> aplicable exclusivamente a </w:t>
      </w:r>
      <w:r w:rsidRPr="00443731">
        <w:rPr>
          <w:rFonts w:eastAsia="Calibri"/>
          <w:bCs/>
          <w:noProof/>
          <w:sz w:val="20"/>
          <w:szCs w:val="20"/>
        </w:rPr>
        <w:t xml:space="preserve"> </w:t>
      </w:r>
      <w:r w:rsidRPr="00443731">
        <w:rPr>
          <w:rFonts w:eastAsia="Calibri"/>
          <w:b/>
          <w:bCs/>
          <w:noProof/>
          <w:sz w:val="20"/>
          <w:szCs w:val="20"/>
        </w:rPr>
        <w:t>los procesos de selección de contratistas, tramitados bajo esa modalidad de selección</w:t>
      </w:r>
      <w:r w:rsidRPr="00443731">
        <w:rPr>
          <w:rFonts w:eastAsia="Calibri"/>
          <w:bCs/>
          <w:noProof/>
          <w:sz w:val="20"/>
          <w:szCs w:val="20"/>
        </w:rPr>
        <w:t xml:space="preserve"> </w:t>
      </w:r>
      <w:r w:rsidRPr="00443731">
        <w:rPr>
          <w:rFonts w:eastAsia="Calibri"/>
          <w:b/>
          <w:bCs/>
          <w:noProof/>
          <w:sz w:val="20"/>
          <w:szCs w:val="20"/>
        </w:rPr>
        <w:t>de licitación pública,</w:t>
      </w:r>
      <w:r w:rsidRPr="00443731">
        <w:rPr>
          <w:rFonts w:eastAsia="Calibri"/>
          <w:bCs/>
          <w:noProof/>
          <w:sz w:val="20"/>
          <w:szCs w:val="20"/>
        </w:rPr>
        <w:t xml:space="preserve">  </w:t>
      </w:r>
      <w:r w:rsidRPr="00443731">
        <w:rPr>
          <w:rFonts w:eastAsia="Calibri"/>
          <w:b/>
          <w:bCs/>
          <w:noProof/>
          <w:sz w:val="20"/>
          <w:szCs w:val="20"/>
        </w:rPr>
        <w:t xml:space="preserve">cuyo objeto contractual deba desarrollarse en el Archipiélago, </w:t>
      </w:r>
      <w:r w:rsidRPr="00443731">
        <w:rPr>
          <w:rFonts w:eastAsia="Calibri"/>
          <w:bCs/>
          <w:noProof/>
          <w:sz w:val="20"/>
          <w:szCs w:val="20"/>
        </w:rPr>
        <w:t xml:space="preserve">mientras que lo dispuesto en el numeral 5 del artículo 35 de la Ley 2069 de 2020 es un facator de desempate, y por ende,  una regla de naturaleza distinta a la contenida en el artículo 67 de la ley 915 de 2004, aplicable a todos los procesos de contratación adelantados en el territorio nacional, sin dinstingo de modalidad de selección, por lo cual, dada la naturaleza juridica distinta de ambas normas, la entrada en vigencia del artículo 35 de la Ley de emprendimiento  no afecta la vigencia de la regla establecida en el artículo 67 de la Ley 915 de 2004.  </w:t>
      </w:r>
    </w:p>
    <w:p w14:paraId="55125829" w14:textId="77777777" w:rsidR="007117F2" w:rsidRPr="00443731" w:rsidRDefault="007117F2" w:rsidP="007117F2">
      <w:pPr>
        <w:tabs>
          <w:tab w:val="left" w:pos="0"/>
        </w:tabs>
        <w:spacing w:line="276" w:lineRule="auto"/>
        <w:jc w:val="both"/>
        <w:rPr>
          <w:rFonts w:ascii="Arial" w:eastAsia="Calibri" w:hAnsi="Arial" w:cs="Arial"/>
          <w:sz w:val="20"/>
          <w:szCs w:val="20"/>
          <w:lang w:eastAsia="es-ES_tradnl"/>
        </w:rPr>
      </w:pPr>
    </w:p>
    <w:p w14:paraId="603BCB03" w14:textId="77777777" w:rsidR="00A844B9" w:rsidRPr="00443731" w:rsidRDefault="00A844B9" w:rsidP="00A844B9">
      <w:pPr>
        <w:contextualSpacing/>
        <w:jc w:val="both"/>
        <w:rPr>
          <w:rFonts w:ascii="Arial" w:eastAsia="Calibri" w:hAnsi="Arial" w:cs="Arial"/>
          <w:sz w:val="20"/>
          <w:szCs w:val="20"/>
          <w:lang w:val="es-ES_tradnl" w:eastAsia="es-ES_tradnl"/>
        </w:rPr>
      </w:pPr>
    </w:p>
    <w:p w14:paraId="091FCC17" w14:textId="77777777" w:rsidR="009C6EA8" w:rsidRPr="00580D6C" w:rsidRDefault="009C6EA8" w:rsidP="009C6EA8">
      <w:pPr>
        <w:contextualSpacing/>
        <w:jc w:val="both"/>
        <w:rPr>
          <w:rFonts w:ascii="Arial" w:eastAsia="Calibri" w:hAnsi="Arial" w:cs="Arial"/>
          <w:lang w:eastAsia="es-ES_tradnl"/>
        </w:rPr>
      </w:pPr>
    </w:p>
    <w:p w14:paraId="1F3A688C" w14:textId="77777777" w:rsidR="009C6EA8" w:rsidRPr="00580D6C" w:rsidRDefault="009C6EA8" w:rsidP="009C6EA8">
      <w:pPr>
        <w:contextualSpacing/>
        <w:jc w:val="both"/>
        <w:rPr>
          <w:rFonts w:ascii="Arial" w:eastAsia="Calibri" w:hAnsi="Arial" w:cs="Arial"/>
          <w:lang w:eastAsia="es-ES_tradnl"/>
        </w:rPr>
      </w:pPr>
    </w:p>
    <w:p w14:paraId="606FE5CD" w14:textId="77777777" w:rsidR="009C6EA8" w:rsidRPr="00580D6C" w:rsidRDefault="009C6EA8" w:rsidP="009C6EA8">
      <w:pPr>
        <w:contextualSpacing/>
        <w:jc w:val="both"/>
        <w:rPr>
          <w:rFonts w:ascii="Arial" w:eastAsia="Calibri" w:hAnsi="Arial" w:cs="Arial"/>
          <w:lang w:eastAsia="es-ES_tradnl"/>
        </w:rPr>
      </w:pPr>
    </w:p>
    <w:p w14:paraId="18C0660F" w14:textId="77777777" w:rsidR="009C6EA8" w:rsidRPr="00580D6C" w:rsidRDefault="009C6EA8" w:rsidP="009C6EA8">
      <w:pPr>
        <w:contextualSpacing/>
        <w:jc w:val="both"/>
        <w:rPr>
          <w:rFonts w:ascii="Arial" w:eastAsia="Calibri" w:hAnsi="Arial" w:cs="Arial"/>
          <w:lang w:eastAsia="es-ES_tradnl"/>
        </w:rPr>
      </w:pPr>
    </w:p>
    <w:p w14:paraId="7DF78BF0" w14:textId="77777777" w:rsidR="009C6EA8" w:rsidRPr="00580D6C" w:rsidRDefault="009C6EA8" w:rsidP="009C6EA8">
      <w:pPr>
        <w:contextualSpacing/>
        <w:jc w:val="both"/>
        <w:rPr>
          <w:rFonts w:ascii="Arial" w:eastAsia="Calibri" w:hAnsi="Arial" w:cs="Arial"/>
          <w:lang w:eastAsia="es-ES_tradnl"/>
        </w:rPr>
      </w:pPr>
    </w:p>
    <w:p w14:paraId="6553DDDE" w14:textId="17C6231B" w:rsidR="009C6EA8" w:rsidRDefault="009C6EA8" w:rsidP="009C6EA8">
      <w:pPr>
        <w:contextualSpacing/>
        <w:jc w:val="both"/>
        <w:rPr>
          <w:rFonts w:ascii="Arial" w:eastAsia="Calibri" w:hAnsi="Arial" w:cs="Arial"/>
          <w:sz w:val="22"/>
          <w:lang w:eastAsia="es-ES_tradnl"/>
        </w:rPr>
      </w:pPr>
      <w:r w:rsidRPr="006738AC">
        <w:rPr>
          <w:rFonts w:ascii="Arial" w:eastAsia="Calibri" w:hAnsi="Arial" w:cs="Arial"/>
          <w:sz w:val="22"/>
          <w:lang w:eastAsia="es-ES_tradnl"/>
        </w:rPr>
        <w:t xml:space="preserve">Bogotá D.C., </w:t>
      </w:r>
      <w:r w:rsidR="00157722">
        <w:rPr>
          <w:rFonts w:ascii="Arial" w:eastAsia="Calibri" w:hAnsi="Arial" w:cs="Arial"/>
          <w:sz w:val="22"/>
          <w:lang w:eastAsia="es-ES_tradnl"/>
        </w:rPr>
        <w:t>10 de octubre de 2023</w:t>
      </w:r>
    </w:p>
    <w:p w14:paraId="273D93CF" w14:textId="77777777" w:rsidR="00157722" w:rsidRPr="006738AC" w:rsidRDefault="00157722" w:rsidP="009C6EA8">
      <w:pPr>
        <w:contextualSpacing/>
        <w:jc w:val="both"/>
        <w:rPr>
          <w:rFonts w:ascii="Arial" w:eastAsia="Calibri" w:hAnsi="Arial" w:cs="Arial"/>
          <w:bCs/>
          <w:sz w:val="22"/>
          <w:lang w:eastAsia="es-ES_tradnl"/>
        </w:rPr>
      </w:pPr>
    </w:p>
    <w:p w14:paraId="1D15173C" w14:textId="04F12FFA" w:rsidR="009C6EA8" w:rsidRPr="006738AC" w:rsidRDefault="00157722" w:rsidP="00157722">
      <w:pPr>
        <w:jc w:val="right"/>
        <w:rPr>
          <w:rFonts w:ascii="Arial" w:hAnsi="Arial" w:cs="Arial"/>
          <w:b/>
          <w:sz w:val="22"/>
          <w:lang w:eastAsia="es-ES"/>
        </w:rPr>
      </w:pPr>
      <w:r w:rsidRPr="00157722">
        <w:rPr>
          <w:rFonts w:ascii="Arial" w:hAnsi="Arial" w:cs="Arial"/>
          <w:b/>
          <w:sz w:val="22"/>
          <w:lang w:eastAsia="es-ES"/>
        </w:rPr>
        <w:drawing>
          <wp:inline distT="0" distB="0" distL="0" distR="0" wp14:anchorId="33CA4C0F" wp14:editId="72D4A4CD">
            <wp:extent cx="3219899" cy="924054"/>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19899" cy="924054"/>
                    </a:xfrm>
                    <a:prstGeom prst="rect">
                      <a:avLst/>
                    </a:prstGeom>
                  </pic:spPr>
                </pic:pic>
              </a:graphicData>
            </a:graphic>
          </wp:inline>
        </w:drawing>
      </w:r>
    </w:p>
    <w:p w14:paraId="5F73D49A" w14:textId="6E29ED7B" w:rsidR="009C6EA8" w:rsidRPr="006738AC" w:rsidRDefault="009C6EA8" w:rsidP="009C6EA8">
      <w:pPr>
        <w:rPr>
          <w:rFonts w:ascii="Arial" w:hAnsi="Arial" w:cs="Arial"/>
          <w:b/>
          <w:sz w:val="22"/>
          <w:lang w:eastAsia="es-ES"/>
        </w:rPr>
      </w:pPr>
    </w:p>
    <w:bookmarkEnd w:id="0"/>
    <w:bookmarkEnd w:id="1"/>
    <w:bookmarkEnd w:id="2"/>
    <w:p w14:paraId="6EB27A19" w14:textId="77777777" w:rsidR="00C95361" w:rsidRPr="00B1306A" w:rsidRDefault="00C95361" w:rsidP="00C95361">
      <w:pPr>
        <w:contextualSpacing/>
        <w:jc w:val="both"/>
        <w:rPr>
          <w:rFonts w:ascii="Arial" w:eastAsia="Calibri" w:hAnsi="Arial" w:cs="Arial"/>
          <w:lang w:eastAsia="es-ES_tradnl"/>
        </w:rPr>
      </w:pPr>
      <w:r w:rsidRPr="00B1306A">
        <w:rPr>
          <w:rFonts w:ascii="Arial" w:eastAsia="Calibri" w:hAnsi="Arial" w:cs="Arial"/>
          <w:lang w:eastAsia="es-ES_tradnl"/>
        </w:rPr>
        <w:t>Señora</w:t>
      </w:r>
    </w:p>
    <w:p w14:paraId="5003152E" w14:textId="77777777" w:rsidR="00C95361" w:rsidRPr="00B1306A" w:rsidRDefault="00C95361" w:rsidP="00C95361">
      <w:pPr>
        <w:contextualSpacing/>
        <w:jc w:val="both"/>
        <w:rPr>
          <w:rFonts w:ascii="Arial" w:eastAsia="Calibri" w:hAnsi="Arial" w:cs="Arial"/>
          <w:b/>
          <w:lang w:eastAsia="es-ES_tradnl"/>
        </w:rPr>
      </w:pPr>
      <w:r w:rsidRPr="00B1306A">
        <w:rPr>
          <w:rFonts w:ascii="Arial" w:eastAsia="Calibri" w:hAnsi="Arial" w:cs="Arial"/>
          <w:b/>
          <w:lang w:eastAsia="es-ES_tradnl"/>
        </w:rPr>
        <w:t>MIREYA URIBE MOTTA</w:t>
      </w:r>
    </w:p>
    <w:p w14:paraId="2150688B" w14:textId="77777777" w:rsidR="00C95361" w:rsidRPr="00B1306A" w:rsidRDefault="00C95361" w:rsidP="00C95361">
      <w:pPr>
        <w:contextualSpacing/>
        <w:jc w:val="both"/>
        <w:rPr>
          <w:rFonts w:ascii="Arial" w:eastAsia="Calibri" w:hAnsi="Arial" w:cs="Arial"/>
          <w:bCs/>
          <w:lang w:eastAsia="es-ES_tradnl"/>
        </w:rPr>
      </w:pPr>
      <w:r w:rsidRPr="00B1306A">
        <w:rPr>
          <w:rFonts w:ascii="Arial" w:eastAsia="Calibri" w:hAnsi="Arial" w:cs="Arial"/>
          <w:lang w:eastAsia="es-ES_tradnl"/>
        </w:rPr>
        <w:t xml:space="preserve">San Andrés Isla </w:t>
      </w:r>
    </w:p>
    <w:p w14:paraId="24C76661" w14:textId="77777777" w:rsidR="00C95361" w:rsidRPr="00B1306A" w:rsidRDefault="00C95361" w:rsidP="00C95361">
      <w:pPr>
        <w:contextualSpacing/>
        <w:jc w:val="both"/>
        <w:rPr>
          <w:rFonts w:ascii="Arial" w:eastAsia="Calibri" w:hAnsi="Arial" w:cs="Arial"/>
          <w:lang w:val="es-ES_tradnl" w:eastAsia="es-ES_tradnl"/>
        </w:rPr>
      </w:pPr>
    </w:p>
    <w:p w14:paraId="10AF4E77" w14:textId="77777777" w:rsidR="00C95361" w:rsidRPr="00B1306A" w:rsidRDefault="00C95361" w:rsidP="00C95361">
      <w:pPr>
        <w:ind w:left="2124" w:firstLine="570"/>
        <w:contextualSpacing/>
        <w:rPr>
          <w:rFonts w:ascii="Arial" w:eastAsia="Calibri" w:hAnsi="Arial" w:cs="Arial"/>
          <w:b/>
          <w:bCs/>
          <w:lang w:val="es-ES_tradnl" w:eastAsia="es-ES_tradnl"/>
        </w:rPr>
      </w:pPr>
      <w:r w:rsidRPr="00B1306A">
        <w:rPr>
          <w:rFonts w:ascii="Arial" w:eastAsia="Calibri" w:hAnsi="Arial" w:cs="Arial"/>
          <w:b/>
          <w:bCs/>
          <w:lang w:val="es-ES_tradnl" w:eastAsia="es-ES_tradnl"/>
        </w:rPr>
        <w:lastRenderedPageBreak/>
        <w:t>Concepto C–414 de 2023</w:t>
      </w:r>
    </w:p>
    <w:p w14:paraId="3061D9B0" w14:textId="77777777" w:rsidR="00C95361" w:rsidRPr="00B1306A" w:rsidRDefault="00C95361" w:rsidP="00C95361">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95361" w:rsidRPr="00B1306A" w14:paraId="6DDD95BE" w14:textId="77777777" w:rsidTr="00652779">
        <w:tc>
          <w:tcPr>
            <w:tcW w:w="2689" w:type="dxa"/>
          </w:tcPr>
          <w:p w14:paraId="34E90017" w14:textId="77777777" w:rsidR="00C95361" w:rsidRPr="00B1306A" w:rsidRDefault="00C95361" w:rsidP="00652779">
            <w:pPr>
              <w:contextualSpacing/>
              <w:jc w:val="both"/>
              <w:rPr>
                <w:rFonts w:ascii="Arial" w:eastAsia="Calibri" w:hAnsi="Arial" w:cs="Arial"/>
                <w:lang w:val="es-ES_tradnl" w:eastAsia="es-ES_tradnl"/>
              </w:rPr>
            </w:pPr>
            <w:r w:rsidRPr="00B1306A">
              <w:rPr>
                <w:rFonts w:ascii="Arial" w:eastAsia="Calibri" w:hAnsi="Arial" w:cs="Arial"/>
                <w:b/>
                <w:lang w:val="es-ES_tradnl" w:eastAsia="es-ES_tradnl"/>
              </w:rPr>
              <w:t>Temas:</w:t>
            </w:r>
            <w:r w:rsidRPr="00B1306A">
              <w:rPr>
                <w:rFonts w:ascii="Arial" w:eastAsia="Calibri" w:hAnsi="Arial" w:cs="Arial"/>
                <w:lang w:val="es-ES_tradnl" w:eastAsia="es-ES_tradnl"/>
              </w:rPr>
              <w:t xml:space="preserve">                                      </w:t>
            </w:r>
          </w:p>
        </w:tc>
        <w:tc>
          <w:tcPr>
            <w:tcW w:w="6237" w:type="dxa"/>
          </w:tcPr>
          <w:p w14:paraId="120F6573" w14:textId="59757164" w:rsidR="00443731" w:rsidRPr="00443731" w:rsidRDefault="00C95361" w:rsidP="00443731">
            <w:pPr>
              <w:pStyle w:val="Textoindependiente"/>
              <w:spacing w:before="120" w:after="120" w:line="276" w:lineRule="auto"/>
              <w:jc w:val="both"/>
              <w:rPr>
                <w:rFonts w:eastAsia="Calibri"/>
                <w:b/>
                <w:bCs/>
                <w:noProof/>
                <w:sz w:val="20"/>
                <w:szCs w:val="20"/>
                <w:lang w:val="es-ES_tradnl"/>
              </w:rPr>
            </w:pPr>
            <w:r w:rsidRPr="00B1306A">
              <w:rPr>
                <w:rFonts w:eastAsia="Calibri"/>
                <w:bCs/>
                <w:lang w:eastAsia="es-ES_tradnl"/>
              </w:rPr>
              <w:t xml:space="preserve">LEY 915 DE 2004 − Artículo 67 − Contratación – Archipiélago ─ San Andres ─ Providencia ─ Santa Catalina / OCCRE − Archipiélago de San Andrés, Providencia y Santa Catalina ─ Criterios de evaluación y asignación de puntaje / LEY DE EMPRENDIMIENTO – Factores de desempate – numeral 5/ </w:t>
            </w:r>
            <w:r w:rsidR="00443731" w:rsidRPr="00443731">
              <w:rPr>
                <w:rFonts w:eastAsia="Calibri"/>
                <w:bCs/>
                <w:lang w:eastAsia="es-ES_tradnl"/>
              </w:rPr>
              <w:t>LEY 915 DE 2004 – Artículo 67 – Factor de ponderación – No es un factor de desempate</w:t>
            </w:r>
            <w:r w:rsidR="00443731">
              <w:rPr>
                <w:rFonts w:eastAsia="Calibri"/>
                <w:bCs/>
                <w:lang w:eastAsia="es-ES_tradnl"/>
              </w:rPr>
              <w:t xml:space="preserve">/ </w:t>
            </w:r>
          </w:p>
          <w:p w14:paraId="69B5534F" w14:textId="77777777" w:rsidR="00C95361" w:rsidRPr="00443731" w:rsidRDefault="00C95361" w:rsidP="00652779">
            <w:pPr>
              <w:contextualSpacing/>
              <w:jc w:val="both"/>
              <w:rPr>
                <w:rFonts w:ascii="Arial" w:eastAsia="Calibri" w:hAnsi="Arial" w:cs="Arial"/>
                <w:bCs/>
                <w:lang w:val="es-ES_tradnl" w:eastAsia="es-ES_tradnl"/>
              </w:rPr>
            </w:pPr>
          </w:p>
          <w:p w14:paraId="6C49FF8C" w14:textId="77777777" w:rsidR="00C95361" w:rsidRPr="00B1306A" w:rsidRDefault="00C95361" w:rsidP="00652779">
            <w:pPr>
              <w:contextualSpacing/>
              <w:jc w:val="both"/>
              <w:rPr>
                <w:rFonts w:ascii="Arial" w:eastAsia="Calibri" w:hAnsi="Arial" w:cs="Arial"/>
                <w:bCs/>
                <w:lang w:eastAsia="es-ES_tradnl"/>
              </w:rPr>
            </w:pPr>
          </w:p>
        </w:tc>
      </w:tr>
      <w:tr w:rsidR="00C95361" w:rsidRPr="00B1306A" w14:paraId="3819EB47" w14:textId="77777777" w:rsidTr="00652779">
        <w:trPr>
          <w:trHeight w:val="227"/>
        </w:trPr>
        <w:tc>
          <w:tcPr>
            <w:tcW w:w="2689" w:type="dxa"/>
          </w:tcPr>
          <w:p w14:paraId="68C68BD6" w14:textId="77777777" w:rsidR="00C95361" w:rsidRPr="00B1306A" w:rsidRDefault="00C95361" w:rsidP="00652779">
            <w:pPr>
              <w:contextualSpacing/>
              <w:jc w:val="both"/>
              <w:rPr>
                <w:rFonts w:ascii="Arial" w:eastAsia="Calibri" w:hAnsi="Arial" w:cs="Arial"/>
                <w:b/>
                <w:lang w:val="es-ES_tradnl" w:eastAsia="es-ES_tradnl"/>
              </w:rPr>
            </w:pPr>
            <w:r w:rsidRPr="00B1306A">
              <w:rPr>
                <w:rFonts w:ascii="Arial" w:eastAsia="Calibri" w:hAnsi="Arial" w:cs="Arial"/>
                <w:b/>
                <w:lang w:val="es-ES_tradnl" w:eastAsia="es-ES_tradnl"/>
              </w:rPr>
              <w:t>Radicación:</w:t>
            </w:r>
            <w:r w:rsidRPr="00B1306A">
              <w:rPr>
                <w:rFonts w:ascii="Arial" w:eastAsia="Calibri" w:hAnsi="Arial" w:cs="Arial"/>
                <w:lang w:val="es-ES_tradnl" w:eastAsia="es-ES_tradnl"/>
              </w:rPr>
              <w:t xml:space="preserve">                             </w:t>
            </w:r>
          </w:p>
        </w:tc>
        <w:tc>
          <w:tcPr>
            <w:tcW w:w="6237" w:type="dxa"/>
          </w:tcPr>
          <w:p w14:paraId="23EF8DA6" w14:textId="77777777" w:rsidR="00C95361" w:rsidRPr="00B1306A" w:rsidRDefault="00C95361" w:rsidP="00652779">
            <w:pPr>
              <w:contextualSpacing/>
              <w:jc w:val="both"/>
              <w:rPr>
                <w:rFonts w:ascii="Arial" w:eastAsia="Calibri" w:hAnsi="Arial" w:cs="Arial"/>
                <w:lang w:val="es-ES_tradnl" w:eastAsia="es-ES_tradnl"/>
              </w:rPr>
            </w:pPr>
            <w:r w:rsidRPr="00B1306A">
              <w:rPr>
                <w:rFonts w:ascii="Arial" w:eastAsia="Calibri" w:hAnsi="Arial" w:cs="Arial"/>
                <w:lang w:val="es-ES_tradnl" w:eastAsia="es-ES_tradnl"/>
              </w:rPr>
              <w:t>Respuesta a consulta P20230829014610</w:t>
            </w:r>
          </w:p>
        </w:tc>
      </w:tr>
    </w:tbl>
    <w:p w14:paraId="5563D1B1" w14:textId="77777777" w:rsidR="00C95361" w:rsidRPr="00B1306A" w:rsidRDefault="00C95361" w:rsidP="00C95361">
      <w:pPr>
        <w:contextualSpacing/>
        <w:jc w:val="both"/>
        <w:rPr>
          <w:rFonts w:ascii="Arial" w:eastAsia="Calibri" w:hAnsi="Arial" w:cs="Arial"/>
          <w:lang w:val="es-ES_tradnl" w:eastAsia="es-ES_tradnl"/>
        </w:rPr>
      </w:pPr>
    </w:p>
    <w:p w14:paraId="71705767" w14:textId="77777777" w:rsidR="00C95361" w:rsidRPr="00B1306A" w:rsidRDefault="00C95361" w:rsidP="00C95361">
      <w:pPr>
        <w:contextualSpacing/>
        <w:jc w:val="both"/>
        <w:rPr>
          <w:rFonts w:ascii="Arial" w:eastAsia="Times New Roman" w:hAnsi="Arial" w:cs="Arial"/>
          <w:lang w:eastAsia="es-ES"/>
        </w:rPr>
      </w:pPr>
      <w:r w:rsidRPr="00B1306A">
        <w:rPr>
          <w:rFonts w:ascii="Arial" w:eastAsia="Calibri" w:hAnsi="Arial" w:cs="Arial"/>
          <w:lang w:val="es-ES" w:eastAsia="es-ES"/>
        </w:rPr>
        <w:t xml:space="preserve">Respetada señora Motta: </w:t>
      </w:r>
    </w:p>
    <w:p w14:paraId="7DD5FE07" w14:textId="77777777" w:rsidR="00C95361" w:rsidRPr="00B1306A" w:rsidRDefault="00C95361" w:rsidP="00C95361">
      <w:pPr>
        <w:contextualSpacing/>
        <w:jc w:val="both"/>
        <w:rPr>
          <w:rFonts w:ascii="Arial" w:eastAsia="Calibri" w:hAnsi="Arial" w:cs="Arial"/>
          <w:lang w:val="es-ES_tradnl" w:eastAsia="es-ES_tradnl"/>
        </w:rPr>
      </w:pPr>
    </w:p>
    <w:p w14:paraId="157F5D3D" w14:textId="77777777" w:rsidR="00C95361" w:rsidRPr="00B1306A" w:rsidRDefault="00C95361" w:rsidP="00C95361">
      <w:pPr>
        <w:spacing w:line="276" w:lineRule="auto"/>
        <w:jc w:val="both"/>
        <w:rPr>
          <w:rFonts w:ascii="Arial" w:eastAsia="Calibri" w:hAnsi="Arial" w:cs="Arial"/>
          <w:color w:val="000000" w:themeColor="text1"/>
          <w:lang w:val="es-ES_tradnl"/>
        </w:rPr>
      </w:pPr>
      <w:r w:rsidRPr="00B1306A">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3" w:name="_Hlk99120496"/>
      <w:r w:rsidRPr="00B1306A">
        <w:rPr>
          <w:rFonts w:ascii="Arial" w:eastAsia="Arial MT" w:hAnsi="Arial" w:cs="Arial"/>
          <w:lang w:val="es-ES"/>
        </w:rPr>
        <w:t xml:space="preserve">, </w:t>
      </w:r>
      <w:bookmarkEnd w:id="3"/>
      <w:r w:rsidRPr="00B1306A">
        <w:rPr>
          <w:rFonts w:ascii="Arial" w:eastAsia="Calibri" w:hAnsi="Arial" w:cs="Arial"/>
          <w:color w:val="000000" w:themeColor="text1"/>
          <w:lang w:val="es-ES_tradnl"/>
        </w:rPr>
        <w:t>la Agencia Nacional de Contratación Pública – Colombia Compra Eficiente responde la consulta radicada el 29 de agosto de 2023.</w:t>
      </w:r>
    </w:p>
    <w:p w14:paraId="5228A907" w14:textId="77777777" w:rsidR="00C95361" w:rsidRPr="00B1306A" w:rsidRDefault="00C95361" w:rsidP="00C95361">
      <w:pPr>
        <w:pStyle w:val="Prrafodelista"/>
        <w:numPr>
          <w:ilvl w:val="0"/>
          <w:numId w:val="17"/>
        </w:numPr>
        <w:tabs>
          <w:tab w:val="left" w:pos="0"/>
          <w:tab w:val="left" w:pos="142"/>
          <w:tab w:val="left" w:pos="284"/>
        </w:tabs>
        <w:spacing w:after="160" w:line="276" w:lineRule="auto"/>
        <w:ind w:left="0" w:firstLine="0"/>
        <w:jc w:val="both"/>
        <w:rPr>
          <w:rFonts w:ascii="Arial" w:eastAsia="Calibri" w:hAnsi="Arial" w:cs="Arial"/>
          <w:b/>
          <w:color w:val="000000" w:themeColor="text1"/>
          <w:lang w:val="es-ES_tradnl"/>
        </w:rPr>
      </w:pPr>
      <w:r w:rsidRPr="00B1306A">
        <w:rPr>
          <w:rFonts w:ascii="Arial" w:eastAsia="Calibri" w:hAnsi="Arial" w:cs="Arial"/>
          <w:b/>
          <w:color w:val="000000" w:themeColor="text1"/>
          <w:lang w:val="es-ES_tradnl"/>
        </w:rPr>
        <w:t xml:space="preserve">Problemas planteados </w:t>
      </w:r>
    </w:p>
    <w:p w14:paraId="7CE95066" w14:textId="77777777" w:rsidR="00C95361" w:rsidRPr="00B1306A" w:rsidRDefault="00C95361" w:rsidP="00C95361">
      <w:pPr>
        <w:spacing w:line="276" w:lineRule="auto"/>
        <w:jc w:val="both"/>
        <w:rPr>
          <w:rFonts w:ascii="Arial" w:hAnsi="Arial" w:cs="Arial"/>
          <w:color w:val="000000" w:themeColor="text1"/>
          <w:lang w:val="es-ES"/>
        </w:rPr>
      </w:pPr>
      <w:r w:rsidRPr="00B1306A">
        <w:rPr>
          <w:rFonts w:ascii="Arial" w:hAnsi="Arial" w:cs="Arial"/>
          <w:color w:val="000000" w:themeColor="text1"/>
          <w:lang w:val="es-ES"/>
        </w:rPr>
        <w:t xml:space="preserve">En su petición realiza la siguiente consulta sobre el alcance de la aplicación del artículo 67 de la Ley 915 de </w:t>
      </w:r>
      <w:proofErr w:type="gramStart"/>
      <w:r w:rsidRPr="00B1306A">
        <w:rPr>
          <w:rFonts w:ascii="Arial" w:hAnsi="Arial" w:cs="Arial"/>
          <w:color w:val="000000" w:themeColor="text1"/>
          <w:lang w:val="es-ES"/>
        </w:rPr>
        <w:t>2004 ,</w:t>
      </w:r>
      <w:proofErr w:type="gramEnd"/>
      <w:r w:rsidRPr="00B1306A">
        <w:rPr>
          <w:rFonts w:ascii="Arial" w:hAnsi="Arial" w:cs="Arial"/>
          <w:color w:val="000000" w:themeColor="text1"/>
          <w:lang w:val="es-ES"/>
        </w:rPr>
        <w:t xml:space="preserve"> de cara con lo dispuesto en el numeral 5 del artículo 35 de la Ley 2069 de 2020:</w:t>
      </w:r>
    </w:p>
    <w:p w14:paraId="1DBE579C" w14:textId="77777777" w:rsidR="00C95361" w:rsidRPr="00B1306A" w:rsidRDefault="00C95361" w:rsidP="00C95361">
      <w:pPr>
        <w:pStyle w:val="Prrafodelista"/>
        <w:numPr>
          <w:ilvl w:val="0"/>
          <w:numId w:val="19"/>
        </w:numPr>
        <w:ind w:left="1066" w:right="709" w:hanging="357"/>
        <w:jc w:val="both"/>
        <w:rPr>
          <w:rFonts w:ascii="Arial" w:hAnsi="Arial" w:cs="Arial"/>
          <w:color w:val="000000" w:themeColor="text1"/>
          <w:sz w:val="21"/>
          <w:szCs w:val="21"/>
        </w:rPr>
      </w:pPr>
      <w:proofErr w:type="gramStart"/>
      <w:r w:rsidRPr="00B1306A">
        <w:rPr>
          <w:rFonts w:ascii="Arial" w:hAnsi="Arial" w:cs="Arial"/>
          <w:sz w:val="21"/>
          <w:szCs w:val="21"/>
        </w:rPr>
        <w:t>La ley 2069 de 2020 derogó, subrogó o modificó el criterio de desempate de la ley 915 de 2004?</w:t>
      </w:r>
      <w:proofErr w:type="gramEnd"/>
      <w:r w:rsidRPr="00B1306A">
        <w:rPr>
          <w:rFonts w:ascii="Arial" w:hAnsi="Arial" w:cs="Arial"/>
          <w:sz w:val="21"/>
          <w:szCs w:val="21"/>
        </w:rPr>
        <w:t xml:space="preserve"> </w:t>
      </w:r>
      <w:r w:rsidRPr="00B1306A">
        <w:rPr>
          <w:rFonts w:ascii="Arial" w:hAnsi="Arial" w:cs="Arial"/>
          <w:color w:val="000000" w:themeColor="text1"/>
          <w:sz w:val="21"/>
          <w:szCs w:val="21"/>
        </w:rPr>
        <w:t xml:space="preserve">  </w:t>
      </w:r>
    </w:p>
    <w:p w14:paraId="2A33CD92" w14:textId="77777777" w:rsidR="00C95361" w:rsidRPr="00B1306A" w:rsidRDefault="00C95361" w:rsidP="00C95361">
      <w:pPr>
        <w:pStyle w:val="Prrafodelista"/>
        <w:numPr>
          <w:ilvl w:val="0"/>
          <w:numId w:val="19"/>
        </w:numPr>
        <w:ind w:left="1066" w:right="709" w:hanging="357"/>
        <w:jc w:val="both"/>
        <w:rPr>
          <w:rFonts w:ascii="Arial" w:hAnsi="Arial" w:cs="Arial"/>
          <w:i/>
          <w:iCs/>
          <w:color w:val="000000" w:themeColor="text1"/>
          <w:sz w:val="21"/>
          <w:szCs w:val="21"/>
          <w:lang w:val="es-CO"/>
        </w:rPr>
      </w:pPr>
      <w:r w:rsidRPr="00B1306A">
        <w:rPr>
          <w:rFonts w:ascii="Arial" w:hAnsi="Arial" w:cs="Arial"/>
          <w:sz w:val="21"/>
          <w:szCs w:val="21"/>
        </w:rPr>
        <w:t>En caso de que la respuesta sea negativa, ¿es viable jurídicamente que las entidades públicas incluyan el criterio de desempate del artículo 67 de la ley 915 de 2004?</w:t>
      </w:r>
    </w:p>
    <w:p w14:paraId="206221F9" w14:textId="77777777" w:rsidR="00C95361" w:rsidRPr="00B1306A" w:rsidRDefault="00C95361" w:rsidP="00C95361">
      <w:pPr>
        <w:pStyle w:val="Prrafodelista"/>
        <w:numPr>
          <w:ilvl w:val="0"/>
          <w:numId w:val="19"/>
        </w:numPr>
        <w:ind w:left="1066" w:right="709" w:hanging="357"/>
        <w:jc w:val="both"/>
        <w:rPr>
          <w:rFonts w:ascii="Arial" w:hAnsi="Arial" w:cs="Arial"/>
          <w:i/>
          <w:iCs/>
          <w:color w:val="000000" w:themeColor="text1"/>
          <w:sz w:val="21"/>
          <w:szCs w:val="21"/>
          <w:lang w:val="es-CO"/>
        </w:rPr>
      </w:pPr>
      <w:r w:rsidRPr="00B1306A">
        <w:rPr>
          <w:rFonts w:ascii="Arial" w:hAnsi="Arial" w:cs="Arial"/>
          <w:sz w:val="21"/>
          <w:szCs w:val="21"/>
        </w:rPr>
        <w:t xml:space="preserve">¿En procesos de selección diferentes a licitaciones públicas se debe aplicar el criterio de ponderación y el criterio de desempate de que trata el artículo 67 de la ley 915 de </w:t>
      </w:r>
      <w:proofErr w:type="gramStart"/>
      <w:r w:rsidRPr="00B1306A">
        <w:rPr>
          <w:rFonts w:ascii="Arial" w:hAnsi="Arial" w:cs="Arial"/>
          <w:sz w:val="21"/>
          <w:szCs w:val="21"/>
        </w:rPr>
        <w:t>2004?.</w:t>
      </w:r>
      <w:proofErr w:type="gramEnd"/>
      <w:r w:rsidRPr="00B1306A">
        <w:rPr>
          <w:rFonts w:ascii="Arial" w:hAnsi="Arial" w:cs="Arial"/>
          <w:sz w:val="21"/>
          <w:szCs w:val="21"/>
        </w:rPr>
        <w:t xml:space="preserve"> </w:t>
      </w:r>
    </w:p>
    <w:p w14:paraId="6FBE0F51" w14:textId="77777777" w:rsidR="00C95361" w:rsidRPr="00B1306A" w:rsidRDefault="00C95361" w:rsidP="00C95361">
      <w:pPr>
        <w:spacing w:line="276" w:lineRule="auto"/>
        <w:jc w:val="both"/>
        <w:rPr>
          <w:rFonts w:ascii="Arial" w:hAnsi="Arial" w:cs="Arial"/>
          <w:i/>
          <w:iCs/>
          <w:color w:val="000000" w:themeColor="text1"/>
        </w:rPr>
      </w:pPr>
    </w:p>
    <w:p w14:paraId="695E89AA" w14:textId="77777777" w:rsidR="00C95361" w:rsidRPr="00B1306A" w:rsidRDefault="00C95361" w:rsidP="00C95361">
      <w:pPr>
        <w:pStyle w:val="Prrafodelista"/>
        <w:numPr>
          <w:ilvl w:val="0"/>
          <w:numId w:val="17"/>
        </w:numPr>
        <w:tabs>
          <w:tab w:val="left" w:pos="0"/>
          <w:tab w:val="left" w:pos="284"/>
        </w:tabs>
        <w:ind w:left="0" w:firstLine="0"/>
        <w:jc w:val="both"/>
        <w:rPr>
          <w:rFonts w:ascii="Arial" w:eastAsia="Calibri" w:hAnsi="Arial" w:cs="Arial"/>
          <w:b/>
          <w:color w:val="000000" w:themeColor="text1"/>
          <w:lang w:val="es-ES_tradnl"/>
        </w:rPr>
      </w:pPr>
      <w:r w:rsidRPr="00B1306A">
        <w:rPr>
          <w:rFonts w:ascii="Arial" w:eastAsia="Calibri" w:hAnsi="Arial" w:cs="Arial"/>
          <w:b/>
          <w:color w:val="000000" w:themeColor="text1"/>
          <w:lang w:val="es-ES_tradnl"/>
        </w:rPr>
        <w:t>Consideraciones</w:t>
      </w:r>
    </w:p>
    <w:p w14:paraId="6AD426AE" w14:textId="77777777" w:rsidR="00C95361" w:rsidRPr="00B1306A" w:rsidRDefault="00C95361" w:rsidP="00C95361">
      <w:pPr>
        <w:spacing w:line="276" w:lineRule="auto"/>
        <w:jc w:val="both"/>
        <w:rPr>
          <w:rFonts w:ascii="Arial" w:hAnsi="Arial" w:cs="Arial"/>
        </w:rPr>
      </w:pPr>
    </w:p>
    <w:p w14:paraId="67DCDEF0" w14:textId="77777777" w:rsidR="00C95361" w:rsidRPr="00B1306A" w:rsidRDefault="00C95361" w:rsidP="00C95361">
      <w:pPr>
        <w:spacing w:after="120" w:line="276" w:lineRule="auto"/>
        <w:jc w:val="both"/>
        <w:rPr>
          <w:rFonts w:ascii="Arial" w:hAnsi="Arial" w:cs="Arial"/>
          <w:lang w:val="es-ES"/>
        </w:rPr>
      </w:pPr>
      <w:r w:rsidRPr="00B1306A">
        <w:rPr>
          <w:rFonts w:ascii="Arial" w:hAnsi="Arial" w:cs="Aria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w:t>
      </w:r>
      <w:r w:rsidRPr="00B1306A">
        <w:rPr>
          <w:rFonts w:ascii="Arial" w:hAnsi="Arial" w:cs="Arial"/>
        </w:rPr>
        <w:lastRenderedPageBreak/>
        <w:t>públicas relacionadas en los artículos citados</w:t>
      </w:r>
      <w:bookmarkStart w:id="4" w:name="_Hlk61701014"/>
      <w:bookmarkStart w:id="5" w:name="_Hlk62136649"/>
      <w:r w:rsidRPr="00B1306A">
        <w:rPr>
          <w:rFonts w:ascii="Arial" w:hAnsi="Arial" w:cs="Arial"/>
        </w:rPr>
        <w:t xml:space="preserve">. </w:t>
      </w:r>
      <w:r w:rsidRPr="00B1306A">
        <w:rPr>
          <w:rFonts w:ascii="Arial" w:hAnsi="Arial" w:cs="Arial"/>
          <w:lang w:val="es-ES"/>
        </w:rPr>
        <w:t xml:space="preserve">Es necesario tener en cuenta que </w:t>
      </w:r>
      <w:bookmarkStart w:id="6" w:name="_Hlk61026958"/>
      <w:r w:rsidRPr="00B1306A">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1306A">
        <w:rPr>
          <w:rFonts w:ascii="Arial" w:hAnsi="Arial" w:cs="Arial"/>
        </w:rPr>
        <w:t xml:space="preserve"> de todos los partícipes de la contratación estatal.</w:t>
      </w:r>
      <w:r w:rsidRPr="00B1306A">
        <w:rPr>
          <w:rFonts w:ascii="Arial" w:hAnsi="Arial" w:cs="Arial"/>
          <w:lang w:val="es-ES"/>
        </w:rPr>
        <w:t xml:space="preserve"> </w:t>
      </w:r>
      <w:bookmarkEnd w:id="4"/>
      <w:bookmarkEnd w:id="5"/>
      <w:bookmarkEnd w:id="6"/>
    </w:p>
    <w:p w14:paraId="1F619599" w14:textId="77777777" w:rsidR="00C95361" w:rsidRPr="00B1306A" w:rsidRDefault="00C95361" w:rsidP="00C95361">
      <w:pPr>
        <w:spacing w:after="120" w:line="276" w:lineRule="auto"/>
        <w:ind w:firstLine="720"/>
        <w:jc w:val="both"/>
        <w:rPr>
          <w:rFonts w:ascii="Arial" w:eastAsia="Calibri" w:hAnsi="Arial" w:cs="Arial"/>
        </w:rPr>
      </w:pPr>
      <w:r w:rsidRPr="00B1306A">
        <w:rPr>
          <w:rFonts w:ascii="Arial" w:eastAsia="Calibri"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1306A">
        <w:rPr>
          <w:rFonts w:ascii="Arial" w:hAnsi="Arial" w:cs="Arial"/>
          <w:vertAlign w:val="superscript"/>
        </w:rPr>
        <w:footnoteReference w:id="1"/>
      </w:r>
      <w:r w:rsidRPr="00B1306A">
        <w:rPr>
          <w:rFonts w:ascii="Arial" w:eastAsia="Calibri" w:hAnsi="Arial" w:cs="Aria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w:t>
      </w:r>
    </w:p>
    <w:p w14:paraId="7DB4E472" w14:textId="77777777" w:rsidR="00C95361" w:rsidRPr="00B1306A" w:rsidRDefault="00C95361" w:rsidP="00C95361">
      <w:pPr>
        <w:spacing w:after="120" w:line="276" w:lineRule="auto"/>
        <w:ind w:firstLine="720"/>
        <w:jc w:val="both"/>
        <w:rPr>
          <w:rFonts w:ascii="Arial" w:eastAsia="Calibri" w:hAnsi="Arial" w:cs="Arial"/>
        </w:rPr>
      </w:pPr>
      <w:r w:rsidRPr="00B1306A">
        <w:rPr>
          <w:rFonts w:ascii="Arial" w:eastAsia="Calibri" w:hAnsi="Arial" w:cs="Arial"/>
        </w:rPr>
        <w:t xml:space="preserve">Asimismo, es pertinente mencionar que la Agencia Nacional de Contratación Pública – Colombia Compra Eficiente no tiene competencia para determinar la forma en la que las entidades estatales deben dar respuesta a las observaciones que se realicen en los procesos de selección. En este sentido, esta Agencia no es competente para determinar la viabilidad de la aplicación de los criterios de desempate en los procesos de selección de contratistas adelantados por las Entidades públicas. </w:t>
      </w:r>
    </w:p>
    <w:p w14:paraId="1FACEFC3" w14:textId="77777777" w:rsidR="00C95361" w:rsidRPr="00B1306A" w:rsidRDefault="00C95361" w:rsidP="00C95361">
      <w:pPr>
        <w:pStyle w:val="Textoindependiente"/>
        <w:spacing w:before="120" w:line="276" w:lineRule="auto"/>
        <w:ind w:firstLine="708"/>
        <w:jc w:val="both"/>
        <w:rPr>
          <w:rFonts w:eastAsia="Calibri"/>
          <w:sz w:val="22"/>
          <w:lang w:eastAsia="en-US"/>
        </w:rPr>
      </w:pPr>
      <w:r w:rsidRPr="00B1306A">
        <w:rPr>
          <w:rFonts w:eastAsia="Calibri"/>
          <w:sz w:val="22"/>
          <w:lang w:eastAsia="en-US"/>
        </w:rPr>
        <w:t>Sin perjuicio de lo anterior, teniendo en cuenta que la consulta se relaciona con los documentos tipo expedidos por esta Agencia, la Subdirección de Gestión Contractual –</w:t>
      </w:r>
      <w:r w:rsidRPr="00B1306A">
        <w:rPr>
          <w:rFonts w:eastAsia="Calibri"/>
          <w:sz w:val="22"/>
          <w:lang w:eastAsia="en-US"/>
        </w:rPr>
        <w:lastRenderedPageBreak/>
        <w:t>dentro de los límites de sus atribuciones, esto es, haciendo abstracción del caso particular expuesto por el peticionario– resolverá la consulta conforme a las normas generales en materia de contratación estatal.</w:t>
      </w:r>
    </w:p>
    <w:p w14:paraId="4876D98A" w14:textId="77777777" w:rsidR="00C95361" w:rsidRPr="00B1306A" w:rsidRDefault="00C95361" w:rsidP="00C95361">
      <w:pPr>
        <w:pStyle w:val="Textoindependiente"/>
        <w:spacing w:before="120" w:line="276" w:lineRule="auto"/>
        <w:ind w:firstLine="708"/>
        <w:jc w:val="both"/>
        <w:rPr>
          <w:rFonts w:eastAsia="Calibri"/>
          <w:sz w:val="22"/>
          <w:lang w:eastAsia="en-US"/>
        </w:rPr>
      </w:pPr>
      <w:r w:rsidRPr="00B1306A">
        <w:rPr>
          <w:rFonts w:eastAsia="Calibri"/>
          <w:sz w:val="22"/>
          <w:lang w:val="es-ES_tradnl"/>
        </w:rPr>
        <w:t>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C-397 del 9 de agosto de 2021, C-422 del 18 de agosto de 2022, C-403 del 6 de septiembre de 2021, C-534 del 28 de septiembre de 2021, C-576 del 13 de octubre de 2021, C-617 del 6 de diciembre de 2021, C-689 del 5 de enero de 2022, C-730 del 27 de enero de 2022, C-738 del 1 de febrero de 2022, C-741 del 1 de febrero de 2022, C-750 del 4 de febrero de 2022, C-057 del 8 de marzo de 2022, C-140 del 28 de marzo de 2022, C-199 del 13 de abril de 2022 y C-253 de 2922, entre otros</w:t>
      </w:r>
      <w:r w:rsidRPr="00B1306A">
        <w:rPr>
          <w:rStyle w:val="Refdenotaalpie"/>
          <w:rFonts w:eastAsia="Calibri"/>
          <w:sz w:val="22"/>
          <w:lang w:val="es-ES_tradnl"/>
        </w:rPr>
        <w:footnoteReference w:id="2"/>
      </w:r>
      <w:r w:rsidRPr="00B1306A">
        <w:rPr>
          <w:rFonts w:eastAsia="Calibri"/>
          <w:sz w:val="22"/>
          <w:lang w:val="es-ES_tradnl"/>
        </w:rPr>
        <w:t>. Algunas de las consideraciones de estos conceptos se reiteran a continuación.</w:t>
      </w:r>
    </w:p>
    <w:p w14:paraId="12846AD6" w14:textId="77777777" w:rsidR="00C95361" w:rsidRPr="00B1306A" w:rsidRDefault="00C95361" w:rsidP="00C95361">
      <w:pPr>
        <w:tabs>
          <w:tab w:val="left" w:pos="0"/>
        </w:tabs>
        <w:jc w:val="both"/>
        <w:rPr>
          <w:rFonts w:ascii="Arial" w:eastAsia="Calibri" w:hAnsi="Arial" w:cs="Arial"/>
          <w:bCs/>
          <w:color w:val="000000" w:themeColor="text1"/>
        </w:rPr>
      </w:pPr>
    </w:p>
    <w:p w14:paraId="7D035633" w14:textId="77777777" w:rsidR="00C95361" w:rsidRPr="00B1306A" w:rsidRDefault="00C95361" w:rsidP="00C95361">
      <w:pPr>
        <w:spacing w:line="276" w:lineRule="auto"/>
        <w:jc w:val="both"/>
        <w:rPr>
          <w:rFonts w:ascii="Arial" w:eastAsia="Calibri" w:hAnsi="Arial" w:cs="Arial"/>
          <w:b/>
          <w:bCs/>
          <w:lang w:val="es-ES_tradnl"/>
        </w:rPr>
      </w:pPr>
      <w:r w:rsidRPr="00B1306A">
        <w:rPr>
          <w:rFonts w:ascii="Arial" w:eastAsia="Calibri" w:hAnsi="Arial" w:cs="Arial"/>
          <w:b/>
          <w:bCs/>
          <w:lang w:val="es-ES_tradnl"/>
        </w:rPr>
        <w:t>2.1. Factores de desempate en la contratación estatal: concepto y características</w:t>
      </w:r>
    </w:p>
    <w:p w14:paraId="040EE728" w14:textId="77777777" w:rsidR="00C95361" w:rsidRPr="00B1306A" w:rsidRDefault="00C95361" w:rsidP="00C95361">
      <w:pPr>
        <w:spacing w:line="276" w:lineRule="auto"/>
        <w:jc w:val="both"/>
        <w:rPr>
          <w:rFonts w:ascii="Arial" w:eastAsia="Calibri" w:hAnsi="Arial" w:cs="Arial"/>
          <w:lang w:val="es-ES_tradnl"/>
        </w:rPr>
      </w:pPr>
      <w:r w:rsidRPr="00B1306A">
        <w:rPr>
          <w:rFonts w:ascii="Arial" w:eastAsia="Calibri" w:hAnsi="Arial" w:cs="Arial"/>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w:t>
      </w:r>
      <w:r w:rsidRPr="00B1306A">
        <w:rPr>
          <w:rFonts w:ascii="Arial" w:eastAsia="Calibri" w:hAnsi="Arial" w:cs="Arial"/>
          <w:lang w:val="es-ES_tradnl"/>
        </w:rPr>
        <w:lastRenderedPageBreak/>
        <w:t>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AC68A20" w14:textId="77777777" w:rsidR="00C95361" w:rsidRPr="00B1306A" w:rsidRDefault="00C95361" w:rsidP="00C95361">
      <w:pPr>
        <w:spacing w:before="120" w:line="276" w:lineRule="auto"/>
        <w:ind w:firstLine="709"/>
        <w:jc w:val="both"/>
        <w:rPr>
          <w:rFonts w:ascii="Arial" w:eastAsia="Calibri" w:hAnsi="Arial" w:cs="Arial"/>
          <w:lang w:val="es-ES_tradnl"/>
        </w:rPr>
      </w:pPr>
      <w:r w:rsidRPr="00B1306A">
        <w:rPr>
          <w:rFonts w:ascii="Arial" w:eastAsia="Calibri" w:hAnsi="Arial" w:cs="Arial"/>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3DADC7FD" w14:textId="77777777" w:rsidR="00C95361" w:rsidRPr="00B1306A" w:rsidRDefault="00C95361" w:rsidP="00C95361">
      <w:pPr>
        <w:spacing w:before="120" w:line="276" w:lineRule="auto"/>
        <w:ind w:firstLine="709"/>
        <w:jc w:val="both"/>
        <w:rPr>
          <w:rFonts w:ascii="Arial" w:eastAsia="Calibri" w:hAnsi="Arial" w:cs="Arial"/>
          <w:lang w:val="es-ES_tradnl"/>
        </w:rPr>
      </w:pPr>
      <w:r w:rsidRPr="00B1306A">
        <w:rPr>
          <w:rFonts w:ascii="Arial" w:eastAsia="Calibri" w:hAnsi="Arial" w:cs="Arial"/>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B1306A">
        <w:rPr>
          <w:rFonts w:ascii="Arial" w:hAnsi="Arial" w:cs="Arial"/>
          <w:sz w:val="21"/>
          <w:szCs w:val="21"/>
          <w:vertAlign w:val="superscript"/>
          <w:lang w:val="es-ES_tradnl"/>
        </w:rPr>
        <w:footnoteReference w:id="3"/>
      </w:r>
      <w:r w:rsidRPr="00B1306A">
        <w:rPr>
          <w:rFonts w:ascii="Arial" w:eastAsia="Calibri" w:hAnsi="Arial" w:cs="Arial"/>
          <w:lang w:val="es-ES_tradnl"/>
        </w:rPr>
        <w:t xml:space="preserve">. </w:t>
      </w:r>
    </w:p>
    <w:p w14:paraId="4EDE10FF" w14:textId="77777777" w:rsidR="00C95361" w:rsidRPr="00B1306A" w:rsidRDefault="00C95361" w:rsidP="00C95361">
      <w:pPr>
        <w:spacing w:before="120" w:line="276" w:lineRule="auto"/>
        <w:ind w:firstLine="709"/>
        <w:jc w:val="both"/>
        <w:rPr>
          <w:rFonts w:ascii="Arial" w:eastAsia="Calibri" w:hAnsi="Arial" w:cs="Arial"/>
          <w:lang w:val="es-ES_tradnl"/>
        </w:rPr>
      </w:pPr>
      <w:r w:rsidRPr="00B1306A">
        <w:rPr>
          <w:rFonts w:ascii="Arial" w:eastAsia="Calibri" w:hAnsi="Arial" w:cs="Arial"/>
          <w:lang w:val="es-ES_tradnl"/>
        </w:rPr>
        <w:lastRenderedPageBreak/>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B1306A">
        <w:rPr>
          <w:rFonts w:ascii="Arial" w:eastAsia="Calibri" w:hAnsi="Arial" w:cs="Arial"/>
          <w:vertAlign w:val="superscript"/>
          <w:lang w:val="es-ES_tradnl"/>
        </w:rPr>
        <w:footnoteReference w:id="4"/>
      </w:r>
      <w:r w:rsidRPr="00B1306A">
        <w:rPr>
          <w:rFonts w:ascii="Arial" w:eastAsia="Calibri" w:hAnsi="Arial" w:cs="Arial"/>
          <w:lang w:val="es-ES_tradnl"/>
        </w:rPr>
        <w:t xml:space="preserve">. </w:t>
      </w:r>
    </w:p>
    <w:p w14:paraId="383EE98B" w14:textId="77777777" w:rsidR="00C95361" w:rsidRPr="00B1306A" w:rsidRDefault="00C95361" w:rsidP="00C95361">
      <w:pPr>
        <w:spacing w:before="120" w:line="276" w:lineRule="auto"/>
        <w:ind w:firstLine="709"/>
        <w:jc w:val="both"/>
        <w:rPr>
          <w:rFonts w:ascii="Arial" w:eastAsia="Calibri" w:hAnsi="Arial" w:cs="Arial"/>
          <w:b/>
          <w:bCs/>
          <w:lang w:val="es-ES_tradnl"/>
        </w:rPr>
      </w:pPr>
      <w:r w:rsidRPr="00B1306A">
        <w:rPr>
          <w:rFonts w:ascii="Arial" w:eastAsia="Calibri" w:hAnsi="Arial" w:cs="Arial"/>
          <w:lang w:val="es-ES_tradnl"/>
        </w:rPr>
        <w:t xml:space="preserve">Ahora bien, en cumplimiento de los principios de reciprocidad y de </w:t>
      </w:r>
      <w:r w:rsidRPr="00B1306A">
        <w:rPr>
          <w:rFonts w:ascii="Arial" w:eastAsia="Calibri" w:hAnsi="Arial" w:cs="Arial"/>
          <w:i/>
          <w:iCs/>
          <w:lang w:val="es-ES_tradnl"/>
        </w:rPr>
        <w:t>pacta sunt servanda</w:t>
      </w:r>
      <w:r w:rsidRPr="00B1306A">
        <w:rPr>
          <w:rFonts w:ascii="Arial" w:eastAsia="Calibri" w:hAnsi="Arial" w:cs="Arial"/>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0924A58" w14:textId="77777777" w:rsidR="00C95361" w:rsidRPr="00B1306A" w:rsidRDefault="00C95361" w:rsidP="00C95361">
      <w:pPr>
        <w:spacing w:line="276" w:lineRule="auto"/>
        <w:jc w:val="both"/>
        <w:rPr>
          <w:rFonts w:ascii="Arial" w:eastAsia="Calibri" w:hAnsi="Arial" w:cs="Arial"/>
          <w:b/>
          <w:bCs/>
          <w:lang w:val="es-ES_tradnl"/>
        </w:rPr>
      </w:pPr>
      <w:r w:rsidRPr="00B1306A">
        <w:rPr>
          <w:rFonts w:ascii="Arial" w:eastAsia="Calibri" w:hAnsi="Arial" w:cs="Arial"/>
          <w:b/>
          <w:bCs/>
          <w:lang w:val="es-ES_tradnl"/>
        </w:rPr>
        <w:t>2.2. Ámbito de aplicación de la Ley 2069 de 2020: impacto sobre la contratación estatal</w:t>
      </w:r>
    </w:p>
    <w:p w14:paraId="673AEB6E" w14:textId="77777777" w:rsidR="00C95361" w:rsidRPr="00B1306A" w:rsidRDefault="00C95361" w:rsidP="00C95361">
      <w:pPr>
        <w:spacing w:line="276" w:lineRule="auto"/>
        <w:jc w:val="both"/>
        <w:rPr>
          <w:rFonts w:ascii="Arial" w:eastAsia="Calibri" w:hAnsi="Arial" w:cs="Arial"/>
          <w:lang w:val="es-ES_tradnl"/>
        </w:rPr>
      </w:pPr>
      <w:r w:rsidRPr="00B1306A">
        <w:rPr>
          <w:rFonts w:ascii="Arial" w:eastAsia="Calibri" w:hAnsi="Arial"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del artículo 189.11 de la Constitución Política, expida el decreto correspondiente que permita la cumplida ejecución de esta Ley.</w:t>
      </w:r>
    </w:p>
    <w:p w14:paraId="5A66D684" w14:textId="77777777" w:rsidR="00C95361" w:rsidRPr="00B1306A" w:rsidRDefault="00C95361" w:rsidP="00C95361">
      <w:pPr>
        <w:spacing w:before="120" w:line="276" w:lineRule="auto"/>
        <w:ind w:firstLine="709"/>
        <w:jc w:val="both"/>
        <w:rPr>
          <w:rFonts w:ascii="Arial" w:eastAsia="Calibri" w:hAnsi="Arial" w:cs="Arial"/>
          <w:lang w:val="es-ES_tradnl"/>
        </w:rPr>
      </w:pPr>
      <w:r w:rsidRPr="00B1306A">
        <w:rPr>
          <w:rFonts w:ascii="Arial" w:eastAsia="Calibri" w:hAnsi="Arial" w:cs="Arial"/>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B1306A">
        <w:rPr>
          <w:rStyle w:val="Refdenotaalpie"/>
          <w:rFonts w:ascii="Arial" w:eastAsia="Calibri" w:hAnsi="Arial" w:cs="Arial"/>
          <w:lang w:val="es-ES_tradnl"/>
        </w:rPr>
        <w:footnoteReference w:id="5"/>
      </w:r>
      <w:r w:rsidRPr="00B1306A">
        <w:rPr>
          <w:rFonts w:ascii="Arial" w:eastAsia="Calibri" w:hAnsi="Arial" w:cs="Arial"/>
          <w:lang w:val="es-ES_tradnl"/>
        </w:rPr>
        <w:t>, así como incentivos a favor de aquellas dentro del sistema de compras y contratación pública</w:t>
      </w:r>
      <w:r w:rsidRPr="00B1306A">
        <w:rPr>
          <w:rStyle w:val="Refdenotaalpie"/>
          <w:rFonts w:ascii="Arial" w:eastAsia="Calibri" w:hAnsi="Arial" w:cs="Arial"/>
          <w:lang w:val="es-ES_tradnl"/>
        </w:rPr>
        <w:footnoteReference w:id="6"/>
      </w:r>
      <w:r w:rsidRPr="00B1306A">
        <w:rPr>
          <w:rFonts w:ascii="Arial" w:eastAsia="Calibri" w:hAnsi="Arial" w:cs="Arial"/>
          <w:lang w:val="es-ES_tradnl"/>
        </w:rPr>
        <w:t xml:space="preserve">. También se consagran </w:t>
      </w:r>
      <w:r w:rsidRPr="00B1306A">
        <w:rPr>
          <w:rFonts w:ascii="Arial" w:eastAsia="Calibri" w:hAnsi="Arial" w:cs="Arial"/>
          <w:lang w:val="es-ES_tradnl"/>
        </w:rPr>
        <w:lastRenderedPageBreak/>
        <w:t>mecanismos de acceso al financiamiento</w:t>
      </w:r>
      <w:r w:rsidRPr="00B1306A">
        <w:rPr>
          <w:rStyle w:val="Refdenotaalpie"/>
          <w:rFonts w:ascii="Arial" w:eastAsia="Calibri" w:hAnsi="Arial" w:cs="Arial"/>
          <w:lang w:val="es-ES_tradnl"/>
        </w:rPr>
        <w:footnoteReference w:id="7"/>
      </w:r>
      <w:r w:rsidRPr="00B1306A">
        <w:rPr>
          <w:rFonts w:ascii="Arial" w:eastAsia="Calibri" w:hAnsi="Arial" w:cs="Arial"/>
          <w:lang w:val="es-ES_tradnl"/>
        </w:rPr>
        <w:t>, se unifican las fuentes de emprendimiento y de desarrollo empresarial, para fortalecer y promover los distintos sectores de la economía</w:t>
      </w:r>
      <w:r w:rsidRPr="00B1306A">
        <w:rPr>
          <w:rStyle w:val="Refdenotaalpie"/>
          <w:rFonts w:ascii="Arial" w:eastAsia="Calibri" w:hAnsi="Arial" w:cs="Arial"/>
          <w:lang w:val="es-ES_tradnl"/>
        </w:rPr>
        <w:footnoteReference w:id="8"/>
      </w:r>
      <w:r w:rsidRPr="00B1306A">
        <w:rPr>
          <w:rFonts w:ascii="Arial" w:eastAsia="Calibri" w:hAnsi="Arial" w:cs="Arial"/>
          <w:lang w:val="es-ES_tradnl"/>
        </w:rPr>
        <w:t xml:space="preserve"> y se prevén medidas de educación para el emprendimiento y la innovación</w:t>
      </w:r>
      <w:r w:rsidRPr="00B1306A">
        <w:rPr>
          <w:rStyle w:val="Refdenotaalpie"/>
          <w:rFonts w:ascii="Arial" w:eastAsia="Calibri" w:hAnsi="Arial" w:cs="Arial"/>
          <w:lang w:val="es-ES_tradnl"/>
        </w:rPr>
        <w:footnoteReference w:id="9"/>
      </w:r>
      <w:r w:rsidRPr="00B1306A">
        <w:rPr>
          <w:rFonts w:ascii="Arial" w:eastAsia="Calibri" w:hAnsi="Arial" w:cs="Arial"/>
          <w:lang w:val="es-ES_tradnl"/>
        </w:rPr>
        <w:t>.</w:t>
      </w:r>
    </w:p>
    <w:p w14:paraId="364073F3" w14:textId="77777777" w:rsidR="00C95361" w:rsidRPr="00B1306A" w:rsidRDefault="00C95361" w:rsidP="00C95361">
      <w:pPr>
        <w:spacing w:before="120" w:line="276" w:lineRule="auto"/>
        <w:ind w:firstLine="709"/>
        <w:jc w:val="both"/>
        <w:rPr>
          <w:rFonts w:ascii="Arial" w:eastAsia="Calibri" w:hAnsi="Arial" w:cs="Arial"/>
          <w:lang w:val="es-ES_tradnl"/>
        </w:rPr>
      </w:pPr>
      <w:bookmarkStart w:id="7" w:name="_Hlk63883948"/>
      <w:r w:rsidRPr="00B1306A">
        <w:rPr>
          <w:rFonts w:ascii="Arial" w:eastAsia="Calibri" w:hAnsi="Arial" w:cs="Arial"/>
          <w:lang w:val="es-ES_tradnl"/>
        </w:rPr>
        <w:t xml:space="preserve">La Ley 2069 de 2020 guarda </w:t>
      </w:r>
      <w:r w:rsidRPr="00B1306A">
        <w:rPr>
          <w:rFonts w:ascii="Arial" w:eastAsia="Calibri" w:hAnsi="Arial" w:cs="Arial"/>
          <w:bCs/>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8" w:name="_Hlk63692496"/>
      <w:r w:rsidRPr="00B1306A">
        <w:rPr>
          <w:rFonts w:ascii="Arial" w:eastAsia="Calibri" w:hAnsi="Arial" w:cs="Arial"/>
          <w:bCs/>
        </w:rPr>
        <w:t>“Política de formalización empresarial”</w:t>
      </w:r>
      <w:bookmarkEnd w:id="8"/>
      <w:r w:rsidRPr="00B1306A">
        <w:rPr>
          <w:rFonts w:ascii="Arial" w:eastAsia="Calibri" w:hAnsi="Arial" w:cs="Arial"/>
          <w:bCs/>
        </w:rPr>
        <w:t xml:space="preserve"> del Documento CONPES 3956 del 8 de enero de 2019</w:t>
      </w:r>
      <w:r w:rsidRPr="00B1306A">
        <w:rPr>
          <w:rStyle w:val="Refdenotaalpie"/>
          <w:rFonts w:ascii="Arial" w:eastAsia="Calibri" w:hAnsi="Arial" w:cs="Arial"/>
          <w:bCs/>
        </w:rPr>
        <w:footnoteReference w:id="10"/>
      </w:r>
      <w:r w:rsidRPr="00B1306A">
        <w:rPr>
          <w:rFonts w:ascii="Arial" w:eastAsia="Calibri" w:hAnsi="Arial" w:cs="Arial"/>
          <w:bCs/>
        </w:rPr>
        <w:t>.</w:t>
      </w:r>
      <w:bookmarkEnd w:id="7"/>
    </w:p>
    <w:p w14:paraId="61ACFDA1" w14:textId="77777777" w:rsidR="00C95361" w:rsidRPr="00B1306A" w:rsidRDefault="00C95361" w:rsidP="00C95361">
      <w:pPr>
        <w:tabs>
          <w:tab w:val="left" w:pos="709"/>
        </w:tabs>
        <w:spacing w:before="120" w:after="120" w:line="276" w:lineRule="auto"/>
        <w:jc w:val="both"/>
        <w:rPr>
          <w:rFonts w:ascii="Arial" w:eastAsia="Calibri" w:hAnsi="Arial" w:cs="Arial"/>
          <w:bCs/>
        </w:rPr>
      </w:pPr>
      <w:r w:rsidRPr="00B1306A">
        <w:rPr>
          <w:rFonts w:ascii="Arial" w:eastAsia="Calibri" w:hAnsi="Arial" w:cs="Arial"/>
          <w:bCs/>
        </w:rPr>
        <w:tab/>
        <w:t xml:space="preserve">De esta manera,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w:t>
      </w:r>
      <w:r w:rsidRPr="00B1306A">
        <w:rPr>
          <w:rFonts w:ascii="Arial" w:eastAsia="Calibri" w:hAnsi="Arial" w:cs="Arial"/>
          <w:bCs/>
        </w:rPr>
        <w:lastRenderedPageBreak/>
        <w:t>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1306A">
        <w:rPr>
          <w:rStyle w:val="Refdenotaalpie"/>
          <w:rFonts w:ascii="Arial" w:eastAsia="Calibri" w:hAnsi="Arial" w:cs="Arial"/>
          <w:bCs/>
        </w:rPr>
        <w:footnoteReference w:id="11"/>
      </w:r>
      <w:r w:rsidRPr="00B1306A">
        <w:rPr>
          <w:rFonts w:ascii="Arial" w:eastAsia="Calibri" w:hAnsi="Arial" w:cs="Arial"/>
          <w:bCs/>
        </w:rPr>
        <w:t>.</w:t>
      </w:r>
    </w:p>
    <w:p w14:paraId="448AE6D9" w14:textId="08E14BA6" w:rsidR="00C95361" w:rsidRDefault="00C95361" w:rsidP="00C95361">
      <w:pPr>
        <w:spacing w:before="120" w:line="276" w:lineRule="auto"/>
        <w:ind w:firstLine="709"/>
        <w:jc w:val="both"/>
        <w:rPr>
          <w:rFonts w:ascii="Arial" w:eastAsia="Calibri" w:hAnsi="Arial" w:cs="Arial"/>
          <w:lang w:val="es-ES_tradnl"/>
        </w:rPr>
      </w:pPr>
      <w:r w:rsidRPr="00B1306A">
        <w:rPr>
          <w:rFonts w:ascii="Arial" w:eastAsia="Calibri" w:hAnsi="Arial" w:cs="Arial"/>
          <w:lang w:val="es-ES_tradnl"/>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61FD926" w14:textId="77777777" w:rsidR="00443731" w:rsidRPr="00B1306A" w:rsidRDefault="00443731" w:rsidP="00C95361">
      <w:pPr>
        <w:spacing w:before="120" w:line="276" w:lineRule="auto"/>
        <w:ind w:firstLine="709"/>
        <w:jc w:val="both"/>
        <w:rPr>
          <w:rFonts w:ascii="Arial" w:eastAsia="Calibri" w:hAnsi="Arial" w:cs="Arial"/>
          <w:lang w:val="es-ES_tradnl"/>
        </w:rPr>
      </w:pPr>
    </w:p>
    <w:p w14:paraId="1FC6F91D" w14:textId="288DE4C0" w:rsidR="00C95361" w:rsidRDefault="00C95361" w:rsidP="00C95361">
      <w:pPr>
        <w:spacing w:line="276" w:lineRule="auto"/>
        <w:jc w:val="both"/>
        <w:rPr>
          <w:rFonts w:ascii="Arial" w:eastAsia="Calibri" w:hAnsi="Arial" w:cs="Arial"/>
          <w:b/>
          <w:bCs/>
          <w:lang w:val="es-ES_tradnl"/>
        </w:rPr>
      </w:pPr>
      <w:r w:rsidRPr="00B1306A">
        <w:rPr>
          <w:rFonts w:ascii="Arial" w:eastAsia="Calibri" w:hAnsi="Arial" w:cs="Arial"/>
          <w:b/>
          <w:bCs/>
          <w:lang w:val="es-ES_tradnl"/>
        </w:rPr>
        <w:t xml:space="preserve">2.3. Aplicación de los factores de desempate del artículo 35 de la Ley 2069 de 2020 y su incidencia frente a la aplicación del artículo 67 de la Ley 915 de 2004 </w:t>
      </w:r>
    </w:p>
    <w:p w14:paraId="668D6354" w14:textId="77777777" w:rsidR="00443731" w:rsidRPr="00B1306A" w:rsidRDefault="00443731" w:rsidP="00C95361">
      <w:pPr>
        <w:spacing w:line="276" w:lineRule="auto"/>
        <w:jc w:val="both"/>
        <w:rPr>
          <w:rFonts w:ascii="Arial" w:eastAsia="Calibri" w:hAnsi="Arial" w:cs="Arial"/>
          <w:b/>
          <w:bCs/>
          <w:lang w:val="es-ES_tradnl"/>
        </w:rPr>
      </w:pPr>
    </w:p>
    <w:p w14:paraId="2F4F7EB1" w14:textId="77777777" w:rsidR="00C95361" w:rsidRPr="00B1306A" w:rsidRDefault="00C95361" w:rsidP="00C95361">
      <w:pPr>
        <w:spacing w:line="276" w:lineRule="auto"/>
        <w:jc w:val="both"/>
        <w:rPr>
          <w:rFonts w:ascii="Arial" w:eastAsia="Calibri" w:hAnsi="Arial" w:cs="Arial"/>
          <w:lang w:val="es-ES_tradnl"/>
        </w:rPr>
      </w:pPr>
      <w:r w:rsidRPr="00B1306A">
        <w:rPr>
          <w:rFonts w:ascii="Arial" w:eastAsia="Calibri" w:hAnsi="Arial" w:cs="Arial"/>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la aplicación de dicho artículo, y el artículo 67 de la Ley 915 de 2004 en los procesos de selección abreviada para la adquisición de bienes y servicios de características técnicas uniformes adelantados en bolsa de productos, la Agencia se pronunciará sobre el alcance que otorga a tales disposiciones, sin pasar por alto la relativa novedad de la Ley 2069 de 2020 y su decreto reglamentario y la ausencia de pronunciamientos jurisprudenciales o estudios doctrinarios sobre el tema, que seguramente contribuirán a decantar la interpretación de las normas en comento. </w:t>
      </w:r>
    </w:p>
    <w:p w14:paraId="17BC05C6" w14:textId="77777777" w:rsidR="00C95361" w:rsidRPr="00B1306A" w:rsidRDefault="00C95361" w:rsidP="00C95361">
      <w:pPr>
        <w:spacing w:before="120" w:after="120" w:line="276" w:lineRule="auto"/>
        <w:ind w:firstLine="709"/>
        <w:jc w:val="both"/>
        <w:rPr>
          <w:rFonts w:ascii="Arial" w:eastAsia="Calibri" w:hAnsi="Arial" w:cs="Arial"/>
          <w:lang w:val="es-ES_tradnl"/>
        </w:rPr>
      </w:pPr>
      <w:r w:rsidRPr="00B1306A">
        <w:rPr>
          <w:rFonts w:ascii="Arial" w:eastAsia="Calibri" w:hAnsi="Arial" w:cs="Arial"/>
          <w:lang w:val="es-ES_tradnl"/>
        </w:rPr>
        <w:lastRenderedPageBreak/>
        <w:t xml:space="preserve">En efecto, el artículo 35 de la Ley 2069 de 2020 establece los factores de desempate aplicables “[…] </w:t>
      </w:r>
      <w:r w:rsidRPr="00B1306A">
        <w:rPr>
          <w:rFonts w:ascii="Arial" w:hAnsi="Arial" w:cs="Arial"/>
          <w:i/>
          <w:iCs/>
        </w:rPr>
        <w:t>en los Procesos de Contratación realizados con cargo a recursos públicos</w:t>
      </w:r>
      <w:r w:rsidRPr="00B1306A">
        <w:rPr>
          <w:rFonts w:ascii="Arial" w:hAnsi="Arial" w:cs="Arial"/>
        </w:rPr>
        <w:t xml:space="preserve">, </w:t>
      </w:r>
      <w:r w:rsidRPr="00B1306A">
        <w:rPr>
          <w:rFonts w:ascii="Arial" w:hAnsi="Arial" w:cs="Arial"/>
          <w:i/>
          <w:iCs/>
        </w:rPr>
        <w:t>los Procesos de Contratación realizados por las Entidades Estatales indistintamente de su régimen de contratación</w:t>
      </w:r>
      <w:r w:rsidRPr="00B1306A">
        <w:rPr>
          <w:rFonts w:ascii="Arial" w:hAnsi="Arial" w:cs="Arial"/>
        </w:rPr>
        <w:t xml:space="preserve">, así como los celebrados por los Procesos de Contratación de los patrimonios autónomos constituidos por Entidades Estatales […]” (énfasis fuera de texto). Conforme indica el texto de esta norma, </w:t>
      </w:r>
      <w:r w:rsidRPr="00B1306A">
        <w:rPr>
          <w:rFonts w:ascii="Arial" w:eastAsia="Calibri" w:hAnsi="Arial" w:cs="Arial"/>
          <w:lang w:val="es-ES_tradnl"/>
        </w:rPr>
        <w:t xml:space="preserve">reglamentada por el artículo </w:t>
      </w:r>
      <w:r w:rsidRPr="00B1306A">
        <w:rPr>
          <w:rFonts w:ascii="Arial" w:hAnsi="Arial" w:cs="Arial"/>
          <w:shd w:val="clear" w:color="auto" w:fill="FFFFFF"/>
        </w:rPr>
        <w:t xml:space="preserve">2.2.1.2.4.2.17 del Decreto 1082 de 2015, adicionado por el Decreto 1860 de 2021, estos factores de desempate </w:t>
      </w:r>
      <w:r w:rsidRPr="00B1306A">
        <w:rPr>
          <w:rFonts w:ascii="Arial" w:eastAsia="Calibri" w:hAnsi="Arial" w:cs="Arial"/>
          <w:i/>
          <w:iCs/>
          <w:lang w:val="es-ES_tradnl"/>
        </w:rPr>
        <w:t>no</w:t>
      </w:r>
      <w:r w:rsidRPr="00B1306A">
        <w:rPr>
          <w:rFonts w:ascii="Arial" w:eastAsia="Calibri" w:hAnsi="Arial" w:cs="Arial"/>
          <w:lang w:val="es-ES_tradnl"/>
        </w:rPr>
        <w:t xml:space="preserve"> solo son aplicables a la contratación de las entidades regidas por el EGCAP, sino también a los procesos de selección de las entidades exceptuadas, a los que realicen los patrimonios autónomos constituidos por entidades estatales, y en general, en los procesos de selección realizados con cargo a recursos públicos. Debido a que la norma no distingue entre modalidades o procedimientos, los factores de desempate son aplicables en todos los procesos de selección que se desarrollen bajo los supuestos indicados.</w:t>
      </w:r>
    </w:p>
    <w:p w14:paraId="23363C9F" w14:textId="77777777" w:rsidR="00C95361" w:rsidRPr="00B1306A" w:rsidRDefault="00C95361" w:rsidP="00C95361">
      <w:pPr>
        <w:tabs>
          <w:tab w:val="left" w:pos="0"/>
        </w:tabs>
        <w:spacing w:after="120" w:line="276" w:lineRule="auto"/>
        <w:jc w:val="both"/>
        <w:rPr>
          <w:rFonts w:ascii="Arial" w:hAnsi="Arial" w:cs="Arial"/>
        </w:rPr>
      </w:pPr>
      <w:r w:rsidRPr="00B1306A">
        <w:rPr>
          <w:rFonts w:ascii="Arial" w:eastAsia="Calibri" w:hAnsi="Arial" w:cs="Arial"/>
          <w:lang w:val="es-ES_tradnl"/>
        </w:rPr>
        <w:tab/>
        <w:t>En ese sentido, la Agencia ha estimado que la aplicación del artículo 35 de la Ley 2069 de 2020</w:t>
      </w:r>
      <w:r w:rsidRPr="00B1306A">
        <w:rPr>
          <w:rFonts w:ascii="Arial" w:hAnsi="Arial" w:cs="Arial"/>
        </w:rPr>
        <w:t xml:space="preserve"> es transversal a las distintas modalidades de contratación y los diferentes actores del sistema de compras públicas, quienes –indistintamente del régimen de contractual y el proceso de selección– deben aplicar los criterios de desempate de esta norma. </w:t>
      </w:r>
    </w:p>
    <w:p w14:paraId="72C0625F" w14:textId="77777777" w:rsidR="00C95361" w:rsidRPr="00B1306A" w:rsidRDefault="00C95361" w:rsidP="00C95361">
      <w:pPr>
        <w:tabs>
          <w:tab w:val="left" w:pos="0"/>
        </w:tabs>
        <w:spacing w:after="120" w:line="276" w:lineRule="auto"/>
        <w:jc w:val="both"/>
        <w:rPr>
          <w:rFonts w:ascii="Arial" w:eastAsia="Calibri" w:hAnsi="Arial" w:cs="Arial"/>
          <w:bCs/>
        </w:rPr>
      </w:pPr>
      <w:r w:rsidRPr="00B1306A">
        <w:rPr>
          <w:rFonts w:ascii="Arial" w:eastAsia="Calibri" w:hAnsi="Arial" w:cs="Arial"/>
          <w:bCs/>
        </w:rPr>
        <w:tab/>
        <w:t xml:space="preserve">De acuerdo con el artículo 5 de la Ley 1150 de 2007, el deber de selección objetiva supone que las entidades escojan en los procesos de selección el “[…] ofrecimiento más favorable a la entidad y a los fines que ella busca </w:t>
      </w:r>
      <w:r w:rsidRPr="00B1306A">
        <w:rPr>
          <w:rFonts w:ascii="Arial" w:hAnsi="Arial" w:cs="Arial"/>
        </w:rPr>
        <w:t>[…]</w:t>
      </w:r>
      <w:r w:rsidRPr="00B1306A">
        <w:rPr>
          <w:rFonts w:ascii="Arial" w:eastAsia="Calibri" w:hAnsi="Arial" w:cs="Arial"/>
          <w:bCs/>
        </w:rPr>
        <w:t>”</w:t>
      </w:r>
      <w:r w:rsidRPr="00B1306A">
        <w:rPr>
          <w:rStyle w:val="Refdenotaalpie"/>
          <w:rFonts w:ascii="Arial" w:eastAsia="Calibri" w:hAnsi="Arial" w:cs="Arial"/>
          <w:bCs/>
        </w:rPr>
        <w:footnoteReference w:id="12"/>
      </w:r>
      <w:r w:rsidRPr="00B1306A">
        <w:rPr>
          <w:rFonts w:ascii="Arial" w:eastAsia="Calibri" w:hAnsi="Arial" w:cs="Arial"/>
          <w:bCs/>
        </w:rPr>
        <w:t xml:space="preserve">. Esta </w:t>
      </w:r>
      <w:r w:rsidRPr="00B1306A">
        <w:rPr>
          <w:rFonts w:ascii="Arial" w:eastAsia="Calibri" w:hAnsi="Arial" w:cs="Arial"/>
          <w:bCs/>
        </w:rPr>
        <w:lastRenderedPageBreak/>
        <w:t xml:space="preserve">favorabilidad debe determinarse a partir de criterios que pueden variar de acuerdo con el objeto contractual o la modalidad de selección aplicable, los cuales, en todo caso, para que la selección sea objetiva, deben indicarse en el pliego de condiciones o documento equivalente. </w:t>
      </w:r>
    </w:p>
    <w:p w14:paraId="598AC2B5" w14:textId="77777777" w:rsidR="00C95361" w:rsidRPr="00B1306A" w:rsidRDefault="00C95361" w:rsidP="00C95361">
      <w:pPr>
        <w:tabs>
          <w:tab w:val="left" w:pos="0"/>
        </w:tabs>
        <w:spacing w:after="120" w:line="276" w:lineRule="auto"/>
        <w:jc w:val="both"/>
        <w:rPr>
          <w:rFonts w:ascii="Arial" w:eastAsia="Calibri" w:hAnsi="Arial" w:cs="Arial"/>
          <w:bCs/>
        </w:rPr>
      </w:pPr>
      <w:r w:rsidRPr="00B1306A">
        <w:rPr>
          <w:rFonts w:ascii="Arial" w:eastAsia="Calibri" w:hAnsi="Arial" w:cs="Arial"/>
          <w:bCs/>
        </w:rPr>
        <w:tab/>
        <w:t xml:space="preserve">Al respecto, el artículo 5-1 de la Ley 1150 de 2007 regula los requisitos exigibles en la generalidad de procesos de selección adelantados conforme al EGCAP, tales como la capacidad jurídica, las condiciones de experiencia, la </w:t>
      </w:r>
      <w:r w:rsidRPr="00B1306A">
        <w:rPr>
          <w:rFonts w:ascii="Arial" w:eastAsia="Calibri" w:hAnsi="Arial" w:cs="Arial"/>
          <w:bCs/>
        </w:rPr>
        <w:lastRenderedPageBreak/>
        <w:t>capacidad financiera y de organización, denominados requisitos habilitantes, los cuales –por expresa disposición legal– no otorgan puntaje. Lo anterior, ya que no se refieren a la oferta misma sino la idoneidad del oferente para asumir adecuadamente la ejecución del contrato</w:t>
      </w:r>
      <w:r w:rsidRPr="00B1306A">
        <w:rPr>
          <w:rStyle w:val="Refdenotaalpie"/>
          <w:rFonts w:ascii="Arial" w:eastAsia="Calibri" w:hAnsi="Arial" w:cs="Arial"/>
          <w:bCs/>
        </w:rPr>
        <w:footnoteReference w:id="13"/>
      </w:r>
      <w:r w:rsidRPr="00B1306A">
        <w:rPr>
          <w:rFonts w:ascii="Arial" w:eastAsia="Calibri" w:hAnsi="Arial" w:cs="Arial"/>
          <w:bCs/>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p>
    <w:p w14:paraId="3B5C7EAF" w14:textId="77777777" w:rsidR="00C95361" w:rsidRPr="00B1306A" w:rsidRDefault="00C95361" w:rsidP="00C95361">
      <w:pPr>
        <w:tabs>
          <w:tab w:val="left" w:pos="0"/>
        </w:tabs>
        <w:spacing w:after="120" w:line="276" w:lineRule="auto"/>
        <w:jc w:val="both"/>
        <w:rPr>
          <w:rFonts w:ascii="Arial" w:hAnsi="Arial" w:cs="Arial"/>
        </w:rPr>
      </w:pPr>
      <w:r w:rsidRPr="00B1306A">
        <w:rPr>
          <w:rFonts w:ascii="Arial" w:eastAsia="Calibri" w:hAnsi="Arial" w:cs="Arial"/>
          <w:bCs/>
        </w:rPr>
        <w:tab/>
        <w:t xml:space="preserve">En contraposición a los requisitos habilitantes, el artículo 5-2 de la Ley 1150 de 2007 regula los factores dirigidos a determinar cuál es la propuesta más favorable. En ese sentido, el inciso primero dispone los factores de escogencia y calificación que deben indicarse en los pliegos de condiciones. Esta norma establece que la oferta más favorable es aquella que resulte ser la más ventajosa para la entidad, una vez se realice la ponderación precisa y detallada de </w:t>
      </w:r>
      <w:r w:rsidRPr="00B1306A">
        <w:rPr>
          <w:rFonts w:ascii="Arial" w:hAnsi="Arial" w:cs="Arial"/>
        </w:rPr>
        <w:t xml:space="preserve">los factores técnicos y económicos de escogencia, de acuerdo con los parámetros establecidos en los pliegos de condiciones o equivalentes que permiten la comparación de las ofertas. Además, este numeral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costo-beneficio para la entidad. </w:t>
      </w:r>
    </w:p>
    <w:p w14:paraId="6674CCC0" w14:textId="77777777" w:rsidR="00C95361" w:rsidRPr="00B1306A" w:rsidRDefault="00C95361" w:rsidP="00C95361">
      <w:pPr>
        <w:tabs>
          <w:tab w:val="left" w:pos="0"/>
        </w:tabs>
        <w:spacing w:line="276" w:lineRule="auto"/>
        <w:jc w:val="both"/>
        <w:rPr>
          <w:rFonts w:ascii="Arial" w:hAnsi="Arial" w:cs="Arial"/>
        </w:rPr>
      </w:pPr>
      <w:r w:rsidRPr="00B1306A">
        <w:rPr>
          <w:rFonts w:ascii="Arial" w:hAnsi="Arial" w:cs="Arial"/>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las ofertas. En línea con esto último, la doctrina define los requisitos o factores ponderables como </w:t>
      </w:r>
      <w:r w:rsidRPr="00B1306A">
        <w:rPr>
          <w:rFonts w:ascii="Arial" w:hAnsi="Arial" w:cs="Arial"/>
          <w:lang w:val="es-ES_tradnl"/>
        </w:rPr>
        <w:t>“[…]</w:t>
      </w:r>
      <w:r w:rsidRPr="00B1306A">
        <w:rPr>
          <w:rFonts w:ascii="Arial" w:hAnsi="Arial" w:cs="Arial"/>
        </w:rPr>
        <w:t xml:space="preserve"> aquellas condiciones de la oferta y no de quien la presenta, que sí entrarán a ser evaluadas por la Administración y que, en consecuencia, darán lugar a la escogencia objetiva de la mejor propuesta para la entidad”</w:t>
      </w:r>
      <w:r w:rsidRPr="00B1306A">
        <w:rPr>
          <w:rStyle w:val="Refdenotaalpie"/>
          <w:rFonts w:ascii="Arial" w:hAnsi="Arial" w:cs="Arial"/>
        </w:rPr>
        <w:footnoteReference w:id="14"/>
      </w:r>
      <w:r w:rsidRPr="00B1306A">
        <w:rPr>
          <w:rFonts w:ascii="Arial" w:hAnsi="Arial" w:cs="Arial"/>
        </w:rPr>
        <w:t xml:space="preserve">. Todas estas categorías designan los </w:t>
      </w:r>
      <w:r w:rsidRPr="00B1306A">
        <w:rPr>
          <w:rFonts w:ascii="Arial" w:hAnsi="Arial" w:cs="Arial"/>
          <w:lang w:val="es-ES_tradnl"/>
        </w:rPr>
        <w:t>“[…]</w:t>
      </w:r>
      <w:r w:rsidRPr="00B1306A">
        <w:rPr>
          <w:rFonts w:ascii="Arial" w:hAnsi="Arial" w:cs="Arial"/>
        </w:rPr>
        <w:t xml:space="preserve"> factores a los cuales cabe otorgarles puntajes o que </w:t>
      </w:r>
      <w:r w:rsidRPr="00B1306A">
        <w:rPr>
          <w:rFonts w:ascii="Arial" w:hAnsi="Arial" w:cs="Arial"/>
        </w:rPr>
        <w:lastRenderedPageBreak/>
        <w:t>pueden ser ponderados, precisamente, pues estos son los factores que en últimas permiten una comparación de ofertas y una diferenciación entre ellas”</w:t>
      </w:r>
      <w:r w:rsidRPr="00B1306A">
        <w:rPr>
          <w:rStyle w:val="Refdenotaalpie"/>
          <w:rFonts w:ascii="Arial" w:hAnsi="Arial" w:cs="Arial"/>
        </w:rPr>
        <w:footnoteReference w:id="15"/>
      </w:r>
      <w:r w:rsidRPr="00B1306A">
        <w:rPr>
          <w:rFonts w:ascii="Arial" w:hAnsi="Arial" w:cs="Arial"/>
        </w:rPr>
        <w:t>. Conforme con esto, la doctrina explica que:</w:t>
      </w:r>
    </w:p>
    <w:p w14:paraId="29DFBF0A" w14:textId="77777777" w:rsidR="00C95361" w:rsidRPr="00B1306A" w:rsidRDefault="00C95361" w:rsidP="00C95361">
      <w:pPr>
        <w:tabs>
          <w:tab w:val="left" w:pos="0"/>
        </w:tabs>
        <w:spacing w:after="120"/>
        <w:ind w:left="709" w:right="709"/>
        <w:jc w:val="both"/>
        <w:rPr>
          <w:rFonts w:ascii="Arial" w:eastAsia="Calibri" w:hAnsi="Arial" w:cs="Arial"/>
          <w:bCs/>
          <w:sz w:val="21"/>
          <w:szCs w:val="21"/>
        </w:rPr>
      </w:pPr>
      <w:r w:rsidRPr="00B1306A">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7B09B95" w14:textId="77777777" w:rsidR="00C95361" w:rsidRPr="00B1306A" w:rsidRDefault="00C95361" w:rsidP="00C95361">
      <w:pPr>
        <w:tabs>
          <w:tab w:val="left" w:pos="0"/>
        </w:tabs>
        <w:ind w:left="709" w:right="709"/>
        <w:jc w:val="both"/>
        <w:rPr>
          <w:rFonts w:ascii="Arial" w:eastAsia="Calibri" w:hAnsi="Arial" w:cs="Arial"/>
          <w:bCs/>
          <w:sz w:val="21"/>
          <w:szCs w:val="21"/>
        </w:rPr>
      </w:pPr>
      <w:r w:rsidRPr="00B1306A">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1D4D5868" w14:textId="77777777" w:rsidR="00C95361" w:rsidRPr="00B1306A" w:rsidRDefault="00C95361" w:rsidP="00C95361">
      <w:pPr>
        <w:tabs>
          <w:tab w:val="left" w:pos="0"/>
        </w:tabs>
        <w:spacing w:after="120"/>
        <w:ind w:left="709" w:right="709"/>
        <w:jc w:val="both"/>
        <w:rPr>
          <w:rFonts w:ascii="Arial" w:eastAsia="Calibri" w:hAnsi="Arial" w:cs="Arial"/>
          <w:bCs/>
          <w:sz w:val="21"/>
          <w:szCs w:val="21"/>
        </w:rPr>
      </w:pPr>
      <w:r w:rsidRPr="00B1306A">
        <w:rPr>
          <w:rFonts w:ascii="Arial" w:eastAsia="Calibri" w:hAnsi="Arial" w:cs="Arial"/>
          <w:bCs/>
          <w:sz w:val="21"/>
          <w:szCs w:val="21"/>
        </w:rPr>
        <w:t>[…]</w:t>
      </w:r>
    </w:p>
    <w:p w14:paraId="3B4546E1" w14:textId="77777777" w:rsidR="00C95361" w:rsidRPr="00B1306A" w:rsidRDefault="00C95361" w:rsidP="00C95361">
      <w:pPr>
        <w:tabs>
          <w:tab w:val="left" w:pos="0"/>
        </w:tabs>
        <w:ind w:left="709" w:right="709"/>
        <w:jc w:val="both"/>
        <w:rPr>
          <w:rFonts w:ascii="Arial" w:eastAsia="Calibri" w:hAnsi="Arial" w:cs="Arial"/>
          <w:bCs/>
          <w:sz w:val="21"/>
          <w:szCs w:val="21"/>
        </w:rPr>
      </w:pPr>
      <w:r w:rsidRPr="00B1306A">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1306A">
        <w:rPr>
          <w:rStyle w:val="Refdenotaalpie"/>
          <w:rFonts w:ascii="Arial" w:eastAsia="Calibri" w:hAnsi="Arial" w:cs="Arial"/>
          <w:bCs/>
          <w:sz w:val="21"/>
          <w:szCs w:val="21"/>
        </w:rPr>
        <w:footnoteReference w:id="16"/>
      </w:r>
      <w:r w:rsidRPr="00B1306A">
        <w:rPr>
          <w:rFonts w:ascii="Arial" w:eastAsia="Calibri" w:hAnsi="Arial" w:cs="Arial"/>
          <w:bCs/>
          <w:sz w:val="21"/>
          <w:szCs w:val="21"/>
        </w:rPr>
        <w:t>.</w:t>
      </w:r>
    </w:p>
    <w:p w14:paraId="6BBCE8F2" w14:textId="77777777" w:rsidR="00C95361" w:rsidRPr="00B1306A" w:rsidRDefault="00C95361" w:rsidP="00C95361">
      <w:pPr>
        <w:tabs>
          <w:tab w:val="left" w:pos="0"/>
        </w:tabs>
        <w:ind w:left="709" w:right="709"/>
        <w:jc w:val="both"/>
        <w:rPr>
          <w:rFonts w:ascii="Arial" w:eastAsia="Calibri" w:hAnsi="Arial" w:cs="Arial"/>
          <w:bCs/>
          <w:sz w:val="21"/>
          <w:szCs w:val="21"/>
        </w:rPr>
      </w:pPr>
    </w:p>
    <w:p w14:paraId="4941897E" w14:textId="77777777" w:rsidR="00C95361" w:rsidRPr="00B1306A" w:rsidRDefault="00C95361" w:rsidP="00C95361">
      <w:pPr>
        <w:tabs>
          <w:tab w:val="left" w:pos="0"/>
        </w:tabs>
        <w:spacing w:after="120" w:line="276" w:lineRule="auto"/>
        <w:jc w:val="both"/>
        <w:rPr>
          <w:rFonts w:ascii="Arial" w:eastAsia="Calibri" w:hAnsi="Arial" w:cs="Arial"/>
          <w:bCs/>
        </w:rPr>
      </w:pPr>
      <w:r w:rsidRPr="00B1306A">
        <w:rPr>
          <w:rFonts w:ascii="Arial" w:eastAsia="Calibri" w:hAnsi="Arial" w:cs="Arial"/>
          <w:bCs/>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debe hacer adjudicatario a quien la presentó en debida forma. Es frente a estos factores que la entidad concibe el otorgamiento de puntajes, como mecanismos para ponderar y comparar los ofrecimientos, con el fin de determinar objetivamente la oferta más favorable, aplicando para ello las reglas </w:t>
      </w:r>
      <w:r w:rsidRPr="00B1306A">
        <w:rPr>
          <w:rFonts w:ascii="Arial" w:eastAsia="Calibri" w:hAnsi="Arial" w:cs="Arial"/>
          <w:bCs/>
        </w:rPr>
        <w:lastRenderedPageBreak/>
        <w:t xml:space="preserve">establecidas en el pliego o documento equivalente para la ponderación de las ofertas. </w:t>
      </w:r>
    </w:p>
    <w:p w14:paraId="72449118" w14:textId="77777777" w:rsidR="00C95361" w:rsidRPr="00B1306A" w:rsidRDefault="00C95361" w:rsidP="00C95361">
      <w:pPr>
        <w:tabs>
          <w:tab w:val="left" w:pos="0"/>
        </w:tabs>
        <w:spacing w:after="120" w:line="276" w:lineRule="auto"/>
        <w:jc w:val="both"/>
        <w:rPr>
          <w:rFonts w:ascii="Arial" w:eastAsia="Calibri" w:hAnsi="Arial" w:cs="Arial"/>
          <w:bCs/>
        </w:rPr>
      </w:pPr>
      <w:r w:rsidRPr="00B1306A">
        <w:rPr>
          <w:rFonts w:ascii="Arial" w:eastAsia="Calibri" w:hAnsi="Arial" w:cs="Arial"/>
          <w:bCs/>
        </w:rPr>
        <w:tab/>
        <w:t>En ese sentido, la asignación de puntaje es un mecanismo mediante el cual las entidades ponderan los factores de calificación ꟷ</w:t>
      </w:r>
      <w:r w:rsidRPr="00B1306A">
        <w:rPr>
          <w:rFonts w:ascii="Arial" w:eastAsia="Calibri" w:hAnsi="Arial" w:cs="Arial"/>
          <w:bCs/>
          <w:i/>
          <w:iCs/>
        </w:rPr>
        <w:t>v.g.</w:t>
      </w:r>
      <w:r w:rsidRPr="00B1306A">
        <w:rPr>
          <w:rFonts w:ascii="Arial" w:eastAsia="Calibri" w:hAnsi="Arial" w:cs="Arial"/>
          <w:bCs/>
        </w:rPr>
        <w:t xml:space="preserve"> técnicos y económicos, de calidad y precio</w:t>
      </w:r>
      <w:r w:rsidRPr="00B1306A">
        <w:rPr>
          <w:rFonts w:ascii="Arial" w:eastAsia="Calibri" w:hAnsi="Arial" w:cs="Arial"/>
          <w:bCs/>
        </w:rPr>
        <w:softHyphen/>
        <w:t>, etc.ꟷ en un determinado proceso de selección, como se desprende del literal a) del artículo 5-2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4B7F3C41" w14:textId="77777777" w:rsidR="00C95361" w:rsidRPr="00B1306A" w:rsidRDefault="00C95361" w:rsidP="00C95361">
      <w:pPr>
        <w:spacing w:after="120" w:line="276" w:lineRule="auto"/>
        <w:jc w:val="both"/>
        <w:rPr>
          <w:rFonts w:ascii="Arial" w:hAnsi="Arial" w:cs="Arial"/>
          <w:lang w:eastAsia="es-CO"/>
        </w:rPr>
      </w:pPr>
      <w:r w:rsidRPr="00B1306A">
        <w:rPr>
          <w:rFonts w:ascii="Arial" w:eastAsia="Calibri" w:hAnsi="Arial" w:cs="Arial"/>
          <w:bCs/>
        </w:rPr>
        <w:tab/>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w:t>
      </w:r>
      <w:r w:rsidRPr="00B1306A">
        <w:rPr>
          <w:rFonts w:ascii="Arial" w:eastAsia="Calibri" w:hAnsi="Arial" w:cs="Arial"/>
          <w:bCs/>
        </w:rPr>
        <w:softHyphen/>
        <w:t>-2 de la Ley 1150 de 2007, disponiendo unas pautas para la p</w:t>
      </w:r>
      <w:r w:rsidRPr="00B1306A">
        <w:rPr>
          <w:rFonts w:ascii="Arial" w:hAnsi="Arial" w:cs="Arial"/>
        </w:rPr>
        <w:t xml:space="preserve">onderación de los elementos de calidad y precio que representen la mejor relación de costo-beneficio. Conforme a este artículo, la oferta más favorable en estos casos debe determinarse ponderando en las ofertas: i) </w:t>
      </w:r>
      <w:r w:rsidRPr="00B1306A">
        <w:rPr>
          <w:rFonts w:ascii="Arial" w:hAnsi="Arial" w:cs="Arial"/>
          <w:lang w:eastAsia="es-CO"/>
        </w:rPr>
        <w:t xml:space="preserve">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w:t>
      </w:r>
      <w:r w:rsidRPr="00B1306A">
        <w:rPr>
          <w:rFonts w:ascii="Arial" w:eastAsia="Calibri" w:hAnsi="Arial" w:cs="Arial"/>
          <w:bCs/>
        </w:rPr>
        <w:t xml:space="preserve">“[…] </w:t>
      </w:r>
      <w:r w:rsidRPr="00B1306A">
        <w:rPr>
          <w:rFonts w:ascii="Arial" w:hAnsi="Arial" w:cs="Arial"/>
          <w:lang w:eastAsia="es-CO"/>
        </w:rPr>
        <w:t xml:space="preserve">restando del precio total ofrecido los valores monetarios asignados a cada una de las condiciones técnicas y económicas adicionales ofrecidas. La mejor relación costo-beneficio para la Entidad Estatal es </w:t>
      </w:r>
      <w:r w:rsidRPr="00B1306A">
        <w:rPr>
          <w:rFonts w:ascii="Arial" w:hAnsi="Arial" w:cs="Arial"/>
          <w:lang w:eastAsia="es-CO"/>
        </w:rPr>
        <w:lastRenderedPageBreak/>
        <w:t>la de la oferta que una vez aplicada la metodología anterior tenga el resultado más bajo</w:t>
      </w:r>
      <w:r w:rsidRPr="00B1306A">
        <w:rPr>
          <w:rFonts w:ascii="Arial" w:eastAsia="Calibri" w:hAnsi="Arial" w:cs="Arial"/>
          <w:bCs/>
        </w:rPr>
        <w:t xml:space="preserve"> </w:t>
      </w:r>
      <w:r w:rsidRPr="00B1306A">
        <w:rPr>
          <w:rFonts w:ascii="Arial" w:hAnsi="Arial" w:cs="Arial"/>
        </w:rPr>
        <w:t>[…]</w:t>
      </w:r>
      <w:r w:rsidRPr="00B1306A">
        <w:rPr>
          <w:rFonts w:ascii="Arial" w:eastAsia="Calibri" w:hAnsi="Arial" w:cs="Arial"/>
          <w:bCs/>
        </w:rPr>
        <w:t>”</w:t>
      </w:r>
      <w:r w:rsidRPr="00B1306A">
        <w:rPr>
          <w:rStyle w:val="Refdenotaalpie"/>
          <w:rFonts w:ascii="Arial" w:hAnsi="Arial" w:cs="Arial"/>
          <w:lang w:eastAsia="es-CO"/>
        </w:rPr>
        <w:footnoteReference w:id="17"/>
      </w:r>
      <w:r w:rsidRPr="00B1306A">
        <w:rPr>
          <w:rFonts w:ascii="Arial" w:eastAsia="Calibri" w:hAnsi="Arial" w:cs="Arial"/>
          <w:bCs/>
        </w:rPr>
        <w:t>.</w:t>
      </w:r>
    </w:p>
    <w:p w14:paraId="6B37713D" w14:textId="77777777" w:rsidR="00C95361" w:rsidRPr="00B1306A" w:rsidRDefault="00C95361" w:rsidP="00C95361">
      <w:pPr>
        <w:spacing w:after="120" w:line="276" w:lineRule="auto"/>
        <w:jc w:val="both"/>
        <w:rPr>
          <w:rFonts w:ascii="Arial" w:hAnsi="Arial" w:cs="Arial"/>
          <w:lang w:eastAsia="es-CO"/>
        </w:rPr>
      </w:pPr>
      <w:r w:rsidRPr="00B1306A">
        <w:rPr>
          <w:rFonts w:ascii="Arial" w:hAnsi="Arial" w:cs="Arial"/>
          <w:lang w:eastAsia="es-CO"/>
        </w:rPr>
        <w:tab/>
        <w:t xml:space="preserve">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 </w:t>
      </w:r>
    </w:p>
    <w:p w14:paraId="49001304" w14:textId="77777777" w:rsidR="00C95361" w:rsidRPr="00B1306A" w:rsidRDefault="00C95361" w:rsidP="00C95361">
      <w:pPr>
        <w:tabs>
          <w:tab w:val="left" w:pos="0"/>
        </w:tabs>
        <w:spacing w:after="120" w:line="276" w:lineRule="auto"/>
        <w:jc w:val="both"/>
        <w:rPr>
          <w:rFonts w:ascii="Arial" w:eastAsia="Calibri" w:hAnsi="Arial" w:cs="Arial"/>
          <w:bCs/>
          <w:lang w:val="es-ES_tradnl"/>
        </w:rPr>
      </w:pPr>
      <w:r w:rsidRPr="00B1306A">
        <w:rPr>
          <w:rFonts w:ascii="Arial" w:eastAsia="Calibri" w:hAnsi="Arial" w:cs="Arial"/>
          <w:b/>
          <w:lang w:val="es-ES_tradnl"/>
        </w:rPr>
        <w:lastRenderedPageBreak/>
        <w:tab/>
      </w:r>
      <w:r w:rsidRPr="00B1306A">
        <w:rPr>
          <w:rFonts w:ascii="Arial" w:eastAsia="Calibri" w:hAnsi="Arial" w:cs="Arial"/>
          <w:bCs/>
          <w:lang w:val="es-ES_tradnl"/>
        </w:rPr>
        <w:t xml:space="preserve">Considerando la explicación precedente, asumir que los factores de desempate del artículo 35 de la Ley 2069 de 2020 únicamente son aplicables a los procesos de selección en los que se empleen sistemas de asignación de puntaje para determinar la oferta más favorable, conduciría a entender que estos no rigen en otros procedimientos de selección. Esto dado que no habría lugar a aplicar los referidos factores de desempate en procedimientos en los que no se comparen las ofertas usando puntajes, como es el caso de los procesos en los que ponderan condiciones técnicas y económicas mínimas y adicionales para escoger la oferta que represente la mejor relación costo beneficio, procedimientos en los que también es posible que se presenten empates. </w:t>
      </w:r>
    </w:p>
    <w:p w14:paraId="22E662FC" w14:textId="77777777" w:rsidR="00C95361" w:rsidRPr="00B1306A" w:rsidRDefault="00C95361" w:rsidP="00C95361">
      <w:pPr>
        <w:tabs>
          <w:tab w:val="left" w:pos="0"/>
        </w:tabs>
        <w:spacing w:after="120" w:line="276" w:lineRule="auto"/>
        <w:jc w:val="both"/>
        <w:rPr>
          <w:rFonts w:ascii="Arial" w:eastAsia="Calibri" w:hAnsi="Arial" w:cs="Arial"/>
          <w:bCs/>
          <w:lang w:val="es-ES_tradnl"/>
        </w:rPr>
      </w:pPr>
      <w:r w:rsidRPr="00B1306A">
        <w:rPr>
          <w:rFonts w:ascii="Arial" w:eastAsia="Calibri" w:hAnsi="Arial" w:cs="Arial"/>
          <w:bCs/>
          <w:lang w:val="es-ES_tradnl"/>
        </w:rPr>
        <w:tab/>
        <w:t xml:space="preserve">Lo anterior implica que las entidades estatales tendrían a su alcance la posibilidad de determinar si aplica o no el artículo 35 de la Ley de Emprendimiento, ya que al elaborar los pliegos de condiciones están facultadas para prescindir de la asignación de puntaje, optando, por ejemplo, por alternativas en las que se valore la relación costo beneficio, lo que relevaría a la entidad de aplicar los factores de desempate. Esta consecuencia también se aprecia en caso de las entidades exceptuadas, quienes al no estar sujetas al artículo 5 de la Ley 1150 de 2007, tienen a su alcance la posibilidad de configurar procesos de selección en los que no se utilicen </w:t>
      </w:r>
      <w:r w:rsidRPr="00B1306A">
        <w:rPr>
          <w:rFonts w:ascii="Arial" w:eastAsia="Calibri" w:hAnsi="Arial" w:cs="Arial"/>
          <w:bCs/>
          <w:i/>
          <w:iCs/>
          <w:lang w:val="es-ES_tradnl"/>
        </w:rPr>
        <w:t>puntajes</w:t>
      </w:r>
      <w:r w:rsidRPr="00B1306A">
        <w:rPr>
          <w:rFonts w:ascii="Arial" w:eastAsia="Calibri" w:hAnsi="Arial" w:cs="Arial"/>
          <w:bCs/>
          <w:lang w:val="es-ES_tradnl"/>
        </w:rPr>
        <w:t xml:space="preserve"> para escoger la oferta ganadora, inaplicando de los factores de desempate del artículo 35 de la Ley 2069 de 2020.</w:t>
      </w:r>
    </w:p>
    <w:p w14:paraId="7B7031EA" w14:textId="77777777" w:rsidR="00C95361" w:rsidRPr="00B1306A" w:rsidRDefault="00C95361" w:rsidP="00C95361">
      <w:pPr>
        <w:tabs>
          <w:tab w:val="left" w:pos="0"/>
        </w:tabs>
        <w:spacing w:after="120" w:line="276" w:lineRule="auto"/>
        <w:jc w:val="both"/>
        <w:rPr>
          <w:rFonts w:ascii="Arial" w:eastAsia="Calibri" w:hAnsi="Arial" w:cs="Arial"/>
          <w:bCs/>
          <w:lang w:val="es-ES_tradnl"/>
        </w:rPr>
      </w:pPr>
      <w:r w:rsidRPr="00B1306A">
        <w:rPr>
          <w:rFonts w:ascii="Arial" w:eastAsia="Calibri" w:hAnsi="Arial" w:cs="Arial"/>
          <w:bCs/>
          <w:lang w:val="es-ES_tradnl"/>
        </w:rPr>
        <w:tab/>
        <w:t xml:space="preserve">Conforme a estas consideraciones, el entendimiento literal de la expresión </w:t>
      </w:r>
      <w:r w:rsidRPr="00B1306A">
        <w:rPr>
          <w:rFonts w:ascii="Arial" w:eastAsia="Calibri" w:hAnsi="Arial" w:cs="Arial"/>
          <w:bCs/>
          <w:i/>
          <w:iCs/>
          <w:lang w:val="es-ES_tradnl"/>
        </w:rPr>
        <w:t>puntaje total</w:t>
      </w:r>
      <w:r w:rsidRPr="00B1306A">
        <w:rPr>
          <w:rFonts w:ascii="Arial" w:eastAsia="Calibri" w:hAnsi="Arial" w:cs="Arial"/>
          <w:bCs/>
          <w:lang w:val="es-ES_tradnl"/>
        </w:rPr>
        <w:t xml:space="preserve"> contenida en el artículo 35 de la 2069 de 2020, privaría esta norma de una gran parte de su obligatoriedad, al permitir que los destinatarios eludan su aplicación. Esto implica que la finalidad transversal del artículo 35 de la Ley 2069 de 2020 quedaría cercenada por su interpretación exegética, generando consecuencias absurdas como las descritas en el párrafo precedente.  </w:t>
      </w:r>
    </w:p>
    <w:p w14:paraId="1A37CC15" w14:textId="77777777" w:rsidR="00C95361" w:rsidRPr="00B1306A" w:rsidRDefault="00C95361" w:rsidP="00C95361">
      <w:pPr>
        <w:tabs>
          <w:tab w:val="left" w:pos="0"/>
        </w:tabs>
        <w:spacing w:after="120" w:line="276" w:lineRule="auto"/>
        <w:jc w:val="both"/>
        <w:rPr>
          <w:rFonts w:ascii="Arial" w:hAnsi="Arial" w:cs="Arial"/>
        </w:rPr>
      </w:pPr>
      <w:r w:rsidRPr="00B1306A">
        <w:rPr>
          <w:rFonts w:ascii="Arial" w:eastAsia="Calibri" w:hAnsi="Arial" w:cs="Arial"/>
          <w:bCs/>
          <w:lang w:val="es-ES_tradnl"/>
        </w:rPr>
        <w:tab/>
        <w:t>En consideración a lo anterior, la Agencia no comparte la posición según la cual el artículo 35 de la Ley de Emprendimiento</w:t>
      </w:r>
      <w:r w:rsidRPr="00B1306A">
        <w:rPr>
          <w:rFonts w:ascii="Arial" w:eastAsia="Calibri" w:hAnsi="Arial" w:cs="Arial"/>
          <w:bCs/>
          <w:i/>
          <w:iCs/>
          <w:lang w:val="es-ES_tradnl"/>
        </w:rPr>
        <w:t>,</w:t>
      </w:r>
      <w:r w:rsidRPr="00B1306A">
        <w:rPr>
          <w:rFonts w:ascii="Arial" w:eastAsia="Calibri" w:hAnsi="Arial" w:cs="Arial"/>
          <w:bCs/>
          <w:lang w:val="es-ES_tradnl"/>
        </w:rPr>
        <w:t xml:space="preserve"> solo es aplicable en caso de empate en el </w:t>
      </w:r>
      <w:r w:rsidRPr="00B1306A">
        <w:rPr>
          <w:rFonts w:ascii="Arial" w:eastAsia="Calibri" w:hAnsi="Arial" w:cs="Arial"/>
          <w:bCs/>
          <w:i/>
          <w:iCs/>
          <w:lang w:val="es-ES_tradnl"/>
        </w:rPr>
        <w:t>puntaje</w:t>
      </w:r>
      <w:r w:rsidRPr="00B1306A">
        <w:rPr>
          <w:rFonts w:ascii="Arial" w:eastAsia="Calibri" w:hAnsi="Arial" w:cs="Arial"/>
          <w:bCs/>
          <w:lang w:val="es-ES_tradnl"/>
        </w:rPr>
        <w:t xml:space="preserve"> total entre dos o más ofertas. Por el contrario, </w:t>
      </w:r>
      <w:bookmarkStart w:id="10" w:name="_Hlk69752682"/>
      <w:r w:rsidRPr="00B1306A">
        <w:rPr>
          <w:rFonts w:ascii="Arial" w:eastAsia="Calibri" w:hAnsi="Arial" w:cs="Arial"/>
          <w:bCs/>
          <w:lang w:val="es-ES_tradnl"/>
        </w:rPr>
        <w:t xml:space="preserve">debe interpretarse de manera sistemática con las demás disposiciones del EGCAP, particularmente, con el artículo 5 de la Ley 1150 de 2007. Conforme a esta interpretación, la expresión </w:t>
      </w:r>
      <w:r w:rsidRPr="00B1306A">
        <w:rPr>
          <w:rFonts w:ascii="Arial" w:hAnsi="Arial" w:cs="Arial"/>
          <w:i/>
          <w:iCs/>
        </w:rPr>
        <w:t>empate en el puntaje total</w:t>
      </w:r>
      <w:r w:rsidRPr="00B1306A">
        <w:rPr>
          <w:rFonts w:ascii="Arial" w:hAnsi="Arial" w:cs="Aria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w:t>
      </w:r>
    </w:p>
    <w:p w14:paraId="699CEEA9" w14:textId="77777777" w:rsidR="00C95361" w:rsidRPr="00B1306A" w:rsidRDefault="00C95361" w:rsidP="00C95361">
      <w:pPr>
        <w:tabs>
          <w:tab w:val="left" w:pos="0"/>
        </w:tabs>
        <w:spacing w:after="120" w:line="276" w:lineRule="auto"/>
        <w:jc w:val="both"/>
        <w:rPr>
          <w:rFonts w:ascii="Arial" w:hAnsi="Arial" w:cs="Arial"/>
        </w:rPr>
      </w:pPr>
      <w:r w:rsidRPr="00B1306A">
        <w:rPr>
          <w:rFonts w:ascii="Arial" w:hAnsi="Arial" w:cs="Arial"/>
        </w:rPr>
        <w:lastRenderedPageBreak/>
        <w:tab/>
        <w:t>En ese entendido, con independencia de que la ponderación emplee puntajes,  fórmulas, criterios de relación costo – beneficio o de que el único criterio de evaluación sea el menor precio, deben aplicarse los factores de desempate del artículo 35 de la Ley 2069 de 2020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p>
    <w:bookmarkEnd w:id="10"/>
    <w:p w14:paraId="447CA99A" w14:textId="77777777" w:rsidR="00C95361" w:rsidRPr="00B1306A" w:rsidRDefault="00C95361" w:rsidP="00C95361">
      <w:pPr>
        <w:tabs>
          <w:tab w:val="left" w:pos="0"/>
        </w:tabs>
        <w:spacing w:line="276" w:lineRule="auto"/>
        <w:jc w:val="both"/>
        <w:rPr>
          <w:rFonts w:ascii="Arial" w:eastAsia="Calibri" w:hAnsi="Arial" w:cs="Arial"/>
          <w:bCs/>
          <w:lang w:val="es-ES_tradnl"/>
        </w:rPr>
      </w:pPr>
      <w:r w:rsidRPr="00B1306A">
        <w:rPr>
          <w:rFonts w:ascii="Arial" w:eastAsia="Calibri" w:hAnsi="Arial" w:cs="Arial"/>
          <w:bCs/>
          <w:lang w:val="es-ES_tradnl"/>
        </w:rPr>
        <w:tab/>
        <w:t>Esta interpretación garantiza que el artículo 35 de la Ley 2069 de 2020 cumpla la finalidad transversal con la que fue concebido, a diferencia de la interpretación restringida del mismo, que priva a la norma de una gran parte de su ámbito aplicación. En ese sentido, la interpretación sistemática está respaldada por la aplicación del principio hermenéutico del</w:t>
      </w:r>
      <w:r w:rsidRPr="00B1306A">
        <w:rPr>
          <w:rFonts w:ascii="Arial" w:eastAsia="Calibri" w:hAnsi="Arial" w:cs="Arial"/>
          <w:bCs/>
          <w:i/>
          <w:iCs/>
          <w:lang w:val="es-ES_tradnl"/>
        </w:rPr>
        <w:t xml:space="preserve"> efecto útil de las normas</w:t>
      </w:r>
      <w:r w:rsidRPr="00B1306A">
        <w:rPr>
          <w:rStyle w:val="Refdenotaalpie"/>
          <w:rFonts w:ascii="Arial" w:hAnsi="Arial" w:cs="Arial"/>
        </w:rPr>
        <w:footnoteReference w:id="18"/>
      </w:r>
      <w:r w:rsidRPr="00B1306A">
        <w:rPr>
          <w:rFonts w:ascii="Arial" w:hAnsi="Arial" w:cs="Arial"/>
        </w:rPr>
        <w:t>.</w:t>
      </w:r>
      <w:r w:rsidRPr="00B1306A">
        <w:rPr>
          <w:rFonts w:ascii="Arial" w:eastAsia="Calibri" w:hAnsi="Arial" w:cs="Arial"/>
          <w:b/>
          <w:lang w:val="es-ES_tradnl"/>
        </w:rPr>
        <w:t xml:space="preserve"> </w:t>
      </w:r>
      <w:r w:rsidRPr="00B1306A">
        <w:rPr>
          <w:rFonts w:ascii="Arial" w:eastAsia="Calibri" w:hAnsi="Arial" w:cs="Arial"/>
          <w:bCs/>
          <w:lang w:val="es-ES_tradnl"/>
        </w:rPr>
        <w:t xml:space="preserve">Por tanto, los factores de desempate de la Ley de Emprendimiento aplican a todos los procesos de selección de las entidades estatales sin importar su régimen contractual, en los que se presente esta situación entre varias ofertas, una vez comparadas las mismas ponderando los factores de evaluación de acuerdo con las reglas establecidas en el pliego de condiciones o documento equivalente. </w:t>
      </w:r>
    </w:p>
    <w:p w14:paraId="7D835B79" w14:textId="77777777" w:rsidR="00C95361" w:rsidRPr="00B1306A" w:rsidRDefault="00C95361" w:rsidP="00C95361">
      <w:pPr>
        <w:spacing w:before="120" w:line="276" w:lineRule="auto"/>
        <w:ind w:firstLine="709"/>
        <w:jc w:val="both"/>
        <w:rPr>
          <w:rFonts w:ascii="Arial" w:eastAsia="Arial" w:hAnsi="Arial" w:cs="Arial"/>
        </w:rPr>
      </w:pPr>
      <w:r w:rsidRPr="00B1306A">
        <w:rPr>
          <w:rFonts w:ascii="Arial" w:eastAsia="Arial" w:hAnsi="Arial" w:cs="Arial"/>
        </w:rPr>
        <w:t xml:space="preserve">Conforme a lo anterior, los factores de desempate regulados en el artículo 35 de la Ley 2069 de 2020 se deben tener en cuenta en todos los procedimientos de contratación estatal, pues la referida disposición, en el primer inciso, establece que aquellos rigen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Por ello, esta Agencia ha indicado que si el legislador no distinguió modalidades de selección contractual específicas –efectuadas con recursos públicos– en las que deben aplicarse los factores de desempate, no le está permitido al intérprete hacerlo. Bajo este entendimiento, dichos factores rigen en los procedimientos de licitación pública, selección abreviada –en cualquiera de sus modalidades–, concurso de méritos, contratación de mínima cuantía, pero también </w:t>
      </w:r>
      <w:r w:rsidRPr="00B1306A">
        <w:rPr>
          <w:rFonts w:ascii="Arial" w:eastAsia="Arial" w:hAnsi="Arial" w:cs="Arial"/>
        </w:rPr>
        <w:lastRenderedPageBreak/>
        <w:t xml:space="preserve">en los demás procedimientos adelantados </w:t>
      </w:r>
      <w:r w:rsidRPr="00B1306A">
        <w:rPr>
          <w:rFonts w:ascii="Arial" w:eastAsia="Arial" w:hAnsi="Arial" w:cs="Arial"/>
          <w:i/>
        </w:rPr>
        <w:t>con recursos públicos</w:t>
      </w:r>
      <w:r w:rsidRPr="00B1306A">
        <w:rPr>
          <w:rFonts w:ascii="Arial" w:eastAsia="Arial" w:hAnsi="Arial" w:cs="Arial"/>
        </w:rPr>
        <w:t xml:space="preserve"> e incluso en los procedimientos contractuales de las entidades estatales exceptuadas de la aplicación del Estatuto General de Contratación de la Administración Pública. </w:t>
      </w:r>
    </w:p>
    <w:p w14:paraId="33592BB1" w14:textId="77777777" w:rsidR="00C95361" w:rsidRPr="00B1306A" w:rsidRDefault="00C95361" w:rsidP="00C95361">
      <w:pPr>
        <w:spacing w:before="120" w:line="276" w:lineRule="auto"/>
        <w:ind w:firstLine="709"/>
        <w:jc w:val="both"/>
        <w:rPr>
          <w:rFonts w:ascii="Arial" w:hAnsi="Arial" w:cs="Arial"/>
          <w:color w:val="333333"/>
          <w:shd w:val="clear" w:color="auto" w:fill="FFFFFF"/>
        </w:rPr>
      </w:pPr>
      <w:r w:rsidRPr="00B1306A">
        <w:rPr>
          <w:rFonts w:ascii="Arial" w:eastAsia="Arial" w:hAnsi="Arial" w:cs="Arial"/>
        </w:rPr>
        <w:t xml:space="preserve">En lo que respecta al numeral 5 del artículo 35 de la Ley referida se tiene que, establece un criterio de desempate que constituye una medida afirmativa para las comunidades étnicas del país. La norma estableció como uno de los factores de </w:t>
      </w:r>
      <w:proofErr w:type="gramStart"/>
      <w:r w:rsidRPr="00B1306A">
        <w:rPr>
          <w:rFonts w:ascii="Arial" w:eastAsia="Arial" w:hAnsi="Arial" w:cs="Arial"/>
        </w:rPr>
        <w:t>desempate ,</w:t>
      </w:r>
      <w:proofErr w:type="gramEnd"/>
      <w:r w:rsidRPr="00B1306A">
        <w:rPr>
          <w:rFonts w:ascii="Arial" w:eastAsia="Arial" w:hAnsi="Arial" w:cs="Arial"/>
        </w:rPr>
        <w:t xml:space="preserve"> “</w:t>
      </w:r>
      <w:r w:rsidRPr="00B1306A">
        <w:rPr>
          <w:rFonts w:ascii="Arial" w:hAnsi="Arial" w:cs="Arial"/>
          <w:color w:val="333333"/>
          <w:shd w:val="clear" w:color="auto" w:fill="FFFFFF"/>
        </w:rPr>
        <w:t xml:space="preserve">Preferir la propuesta presentada por el oferente que acredite, en las condiciones establecidas en la ley, que por lo menos diez por ciento (10%) de su nómina pertenece a población indígena, negra, afrocolombiana, raizal, palanquera, Rrom o gitanas”. </w:t>
      </w:r>
    </w:p>
    <w:p w14:paraId="7EEDED27" w14:textId="77777777" w:rsidR="00C95361" w:rsidRPr="00B1306A" w:rsidRDefault="00C95361" w:rsidP="00C95361">
      <w:pPr>
        <w:spacing w:before="120" w:line="276" w:lineRule="auto"/>
        <w:ind w:firstLine="709"/>
        <w:jc w:val="both"/>
        <w:rPr>
          <w:rFonts w:ascii="Arial" w:hAnsi="Arial" w:cs="Arial"/>
          <w:color w:val="333333"/>
          <w:shd w:val="clear" w:color="auto" w:fill="FFFFFF"/>
        </w:rPr>
      </w:pPr>
      <w:r w:rsidRPr="00B1306A">
        <w:rPr>
          <w:rFonts w:ascii="Arial" w:hAnsi="Arial" w:cs="Arial"/>
          <w:color w:val="333333"/>
          <w:shd w:val="clear" w:color="auto" w:fill="FFFFFF"/>
        </w:rPr>
        <w:t>En consideración a que en esta norma se hace alusión a la comunidad raizal, surge el interrogante al peticionario, sobre la vigencia y aplicación del artículo 67 de la Ley 915 de la Ley 2004, con posterioridad a la entrada en vigencia del numeral 5 del artículo 35 de la Ley de emprendimiento.</w:t>
      </w:r>
    </w:p>
    <w:p w14:paraId="08AFF8CB" w14:textId="77777777" w:rsidR="00C95361" w:rsidRPr="00B1306A" w:rsidRDefault="00C95361" w:rsidP="00C95361">
      <w:pPr>
        <w:spacing w:before="120" w:line="276" w:lineRule="auto"/>
        <w:ind w:firstLine="709"/>
        <w:jc w:val="both"/>
        <w:rPr>
          <w:rFonts w:ascii="Arial" w:hAnsi="Arial" w:cs="Arial"/>
          <w:color w:val="333333"/>
          <w:shd w:val="clear" w:color="auto" w:fill="FFFFFF"/>
        </w:rPr>
      </w:pPr>
      <w:r w:rsidRPr="00B1306A">
        <w:rPr>
          <w:rFonts w:ascii="Arial" w:hAnsi="Arial" w:cs="Arial"/>
          <w:color w:val="333333"/>
          <w:shd w:val="clear" w:color="auto" w:fill="FFFFFF"/>
        </w:rPr>
        <w:t xml:space="preserve">Frente a este cuestionamiento, debe señalarse, </w:t>
      </w:r>
      <w:r w:rsidRPr="00B1306A">
        <w:rPr>
          <w:rFonts w:ascii="Arial" w:eastAsia="Arial" w:hAnsi="Arial" w:cs="Arial"/>
        </w:rPr>
        <w:t xml:space="preserve">en lo que respecta al artículo 67 de la ley 915 de 2004, que esta norma no constituye un factor de </w:t>
      </w:r>
      <w:proofErr w:type="gramStart"/>
      <w:r w:rsidRPr="00B1306A">
        <w:rPr>
          <w:rFonts w:ascii="Arial" w:eastAsia="Arial" w:hAnsi="Arial" w:cs="Arial"/>
        </w:rPr>
        <w:t>desempate</w:t>
      </w:r>
      <w:proofErr w:type="gramEnd"/>
      <w:r w:rsidRPr="00B1306A">
        <w:rPr>
          <w:rFonts w:ascii="Arial" w:eastAsia="Arial" w:hAnsi="Arial" w:cs="Arial"/>
        </w:rPr>
        <w:t xml:space="preserve"> sino que se trata de un factor ponderable, con lo que se marca una notable diferencia conceptual entre ambas disposiciones, como pasará a explicarse a continuación. </w:t>
      </w:r>
      <w:r w:rsidRPr="00B1306A">
        <w:rPr>
          <w:rFonts w:ascii="Arial" w:hAnsi="Arial" w:cs="Arial"/>
        </w:rPr>
        <w:t>El artículo 310</w:t>
      </w:r>
      <w:r w:rsidRPr="00B1306A">
        <w:rPr>
          <w:rStyle w:val="Refdenotaalpie"/>
          <w:rFonts w:ascii="Arial" w:hAnsi="Arial" w:cs="Arial"/>
        </w:rPr>
        <w:footnoteReference w:id="19"/>
      </w:r>
      <w:r w:rsidRPr="00B1306A">
        <w:rPr>
          <w:rFonts w:ascii="Arial" w:hAnsi="Arial" w:cs="Arial"/>
        </w:rPr>
        <w:t xml:space="preserve"> de la Constitución</w:t>
      </w:r>
      <w:r w:rsidRPr="00B1306A">
        <w:rPr>
          <w:rFonts w:ascii="Arial" w:hAnsi="Arial" w:cs="Arial"/>
          <w:spacing w:val="1"/>
        </w:rPr>
        <w:t xml:space="preserve"> </w:t>
      </w:r>
      <w:r w:rsidRPr="00B1306A">
        <w:rPr>
          <w:rFonts w:ascii="Arial" w:hAnsi="Arial" w:cs="Arial"/>
        </w:rPr>
        <w:t>política dispuso que “[e]l Departamento archipiélago de San Andrés, Providencia y Santa</w:t>
      </w:r>
      <w:r w:rsidRPr="00B1306A">
        <w:rPr>
          <w:rFonts w:ascii="Arial" w:hAnsi="Arial" w:cs="Arial"/>
          <w:spacing w:val="1"/>
        </w:rPr>
        <w:t xml:space="preserve"> </w:t>
      </w:r>
      <w:r w:rsidRPr="00B1306A">
        <w:rPr>
          <w:rFonts w:ascii="Arial" w:hAnsi="Arial" w:cs="Arial"/>
        </w:rPr>
        <w:t>Catalina se regirá normas especiales que, en materia administrativa, de inmigración, fiscal, de</w:t>
      </w:r>
      <w:r w:rsidRPr="00B1306A">
        <w:rPr>
          <w:rFonts w:ascii="Arial" w:hAnsi="Arial" w:cs="Arial"/>
          <w:spacing w:val="1"/>
        </w:rPr>
        <w:t xml:space="preserve"> </w:t>
      </w:r>
      <w:r w:rsidRPr="00B1306A">
        <w:rPr>
          <w:rFonts w:ascii="Arial" w:hAnsi="Arial" w:cs="Arial"/>
        </w:rPr>
        <w:t>comercio exterior, de cambios, financiera y de fomento económico, establezca el legislador”.</w:t>
      </w:r>
      <w:r w:rsidRPr="00B1306A">
        <w:rPr>
          <w:rFonts w:ascii="Arial" w:hAnsi="Arial" w:cs="Arial"/>
          <w:spacing w:val="1"/>
        </w:rPr>
        <w:t xml:space="preserve"> </w:t>
      </w:r>
      <w:r w:rsidRPr="00B1306A">
        <w:rPr>
          <w:rFonts w:ascii="Arial" w:hAnsi="Arial" w:cs="Arial"/>
        </w:rPr>
        <w:t xml:space="preserve">Asimismo, el artículo en mención establece que: </w:t>
      </w:r>
      <w:r w:rsidRPr="00B1306A">
        <w:rPr>
          <w:rFonts w:ascii="Arial" w:hAnsi="Arial" w:cs="Arial"/>
          <w:i/>
          <w:iCs/>
        </w:rPr>
        <w:t>“[m]ediante ley aprobada por la mayoría de los</w:t>
      </w:r>
      <w:r w:rsidRPr="00B1306A">
        <w:rPr>
          <w:rFonts w:ascii="Arial" w:hAnsi="Arial" w:cs="Arial"/>
          <w:i/>
          <w:iCs/>
          <w:spacing w:val="1"/>
        </w:rPr>
        <w:t xml:space="preserve"> </w:t>
      </w:r>
      <w:r w:rsidRPr="00B1306A">
        <w:rPr>
          <w:rFonts w:ascii="Arial" w:hAnsi="Arial" w:cs="Arial"/>
          <w:i/>
          <w:iCs/>
        </w:rPr>
        <w:t>miembros</w:t>
      </w:r>
      <w:r w:rsidRPr="00B1306A">
        <w:rPr>
          <w:rFonts w:ascii="Arial" w:hAnsi="Arial" w:cs="Arial"/>
          <w:i/>
          <w:iCs/>
          <w:spacing w:val="-14"/>
        </w:rPr>
        <w:t xml:space="preserve"> </w:t>
      </w:r>
      <w:r w:rsidRPr="00B1306A">
        <w:rPr>
          <w:rFonts w:ascii="Arial" w:hAnsi="Arial" w:cs="Arial"/>
          <w:i/>
          <w:iCs/>
        </w:rPr>
        <w:t>de</w:t>
      </w:r>
      <w:r w:rsidRPr="00B1306A">
        <w:rPr>
          <w:rFonts w:ascii="Arial" w:hAnsi="Arial" w:cs="Arial"/>
          <w:i/>
          <w:iCs/>
          <w:spacing w:val="-13"/>
        </w:rPr>
        <w:t xml:space="preserve"> </w:t>
      </w:r>
      <w:r w:rsidRPr="00B1306A">
        <w:rPr>
          <w:rFonts w:ascii="Arial" w:hAnsi="Arial" w:cs="Arial"/>
          <w:i/>
          <w:iCs/>
        </w:rPr>
        <w:t>cada</w:t>
      </w:r>
      <w:r w:rsidRPr="00B1306A">
        <w:rPr>
          <w:rFonts w:ascii="Arial" w:hAnsi="Arial" w:cs="Arial"/>
          <w:i/>
          <w:iCs/>
          <w:spacing w:val="-13"/>
        </w:rPr>
        <w:t xml:space="preserve"> </w:t>
      </w:r>
      <w:r w:rsidRPr="00B1306A">
        <w:rPr>
          <w:rFonts w:ascii="Arial" w:hAnsi="Arial" w:cs="Arial"/>
          <w:i/>
          <w:iCs/>
        </w:rPr>
        <w:t>Cámara</w:t>
      </w:r>
      <w:r w:rsidRPr="00B1306A">
        <w:rPr>
          <w:rFonts w:ascii="Arial" w:hAnsi="Arial" w:cs="Arial"/>
          <w:i/>
          <w:iCs/>
          <w:spacing w:val="-14"/>
        </w:rPr>
        <w:t xml:space="preserve"> </w:t>
      </w:r>
      <w:r w:rsidRPr="00B1306A">
        <w:rPr>
          <w:rFonts w:ascii="Arial" w:hAnsi="Arial" w:cs="Arial"/>
          <w:i/>
          <w:iCs/>
        </w:rPr>
        <w:t>se</w:t>
      </w:r>
      <w:r w:rsidRPr="00B1306A">
        <w:rPr>
          <w:rFonts w:ascii="Arial" w:hAnsi="Arial" w:cs="Arial"/>
          <w:i/>
          <w:iCs/>
          <w:spacing w:val="-13"/>
        </w:rPr>
        <w:t xml:space="preserve"> </w:t>
      </w:r>
      <w:r w:rsidRPr="00B1306A">
        <w:rPr>
          <w:rFonts w:ascii="Arial" w:hAnsi="Arial" w:cs="Arial"/>
          <w:i/>
          <w:iCs/>
        </w:rPr>
        <w:t>podrá</w:t>
      </w:r>
      <w:r w:rsidRPr="00B1306A">
        <w:rPr>
          <w:rFonts w:ascii="Arial" w:hAnsi="Arial" w:cs="Arial"/>
          <w:i/>
          <w:iCs/>
          <w:spacing w:val="-13"/>
        </w:rPr>
        <w:t xml:space="preserve"> </w:t>
      </w:r>
      <w:r w:rsidRPr="00B1306A">
        <w:rPr>
          <w:rFonts w:ascii="Arial" w:hAnsi="Arial" w:cs="Arial"/>
          <w:i/>
          <w:iCs/>
        </w:rPr>
        <w:t>limitar</w:t>
      </w:r>
      <w:r w:rsidRPr="00B1306A">
        <w:rPr>
          <w:rFonts w:ascii="Arial" w:hAnsi="Arial" w:cs="Arial"/>
          <w:i/>
          <w:iCs/>
          <w:spacing w:val="-13"/>
        </w:rPr>
        <w:t xml:space="preserve"> </w:t>
      </w:r>
      <w:r w:rsidRPr="00B1306A">
        <w:rPr>
          <w:rFonts w:ascii="Arial" w:hAnsi="Arial" w:cs="Arial"/>
          <w:i/>
          <w:iCs/>
        </w:rPr>
        <w:t>el</w:t>
      </w:r>
      <w:r w:rsidRPr="00B1306A">
        <w:rPr>
          <w:rFonts w:ascii="Arial" w:hAnsi="Arial" w:cs="Arial"/>
          <w:i/>
          <w:iCs/>
          <w:spacing w:val="-14"/>
        </w:rPr>
        <w:t xml:space="preserve"> </w:t>
      </w:r>
      <w:r w:rsidRPr="00B1306A">
        <w:rPr>
          <w:rFonts w:ascii="Arial" w:hAnsi="Arial" w:cs="Arial"/>
          <w:i/>
          <w:iCs/>
        </w:rPr>
        <w:t>ejercicio</w:t>
      </w:r>
      <w:r w:rsidRPr="00B1306A">
        <w:rPr>
          <w:rFonts w:ascii="Arial" w:hAnsi="Arial" w:cs="Arial"/>
          <w:i/>
          <w:iCs/>
          <w:spacing w:val="-13"/>
        </w:rPr>
        <w:t xml:space="preserve"> </w:t>
      </w:r>
      <w:r w:rsidRPr="00B1306A">
        <w:rPr>
          <w:rFonts w:ascii="Arial" w:hAnsi="Arial" w:cs="Arial"/>
          <w:i/>
          <w:iCs/>
        </w:rPr>
        <w:t>de</w:t>
      </w:r>
      <w:r w:rsidRPr="00B1306A">
        <w:rPr>
          <w:rFonts w:ascii="Arial" w:hAnsi="Arial" w:cs="Arial"/>
          <w:i/>
          <w:iCs/>
          <w:spacing w:val="-13"/>
        </w:rPr>
        <w:t xml:space="preserve"> </w:t>
      </w:r>
      <w:r w:rsidRPr="00B1306A">
        <w:rPr>
          <w:rFonts w:ascii="Arial" w:hAnsi="Arial" w:cs="Arial"/>
          <w:i/>
          <w:iCs/>
        </w:rPr>
        <w:t>los</w:t>
      </w:r>
      <w:r w:rsidRPr="00B1306A">
        <w:rPr>
          <w:rFonts w:ascii="Arial" w:hAnsi="Arial" w:cs="Arial"/>
          <w:i/>
          <w:iCs/>
          <w:spacing w:val="-13"/>
        </w:rPr>
        <w:t xml:space="preserve"> </w:t>
      </w:r>
      <w:r w:rsidRPr="00B1306A">
        <w:rPr>
          <w:rFonts w:ascii="Arial" w:hAnsi="Arial" w:cs="Arial"/>
          <w:i/>
          <w:iCs/>
        </w:rPr>
        <w:t>derechos</w:t>
      </w:r>
      <w:r w:rsidRPr="00B1306A">
        <w:rPr>
          <w:rFonts w:ascii="Arial" w:hAnsi="Arial" w:cs="Arial"/>
          <w:i/>
          <w:iCs/>
          <w:spacing w:val="-14"/>
        </w:rPr>
        <w:t xml:space="preserve"> </w:t>
      </w:r>
      <w:r w:rsidRPr="00B1306A">
        <w:rPr>
          <w:rFonts w:ascii="Arial" w:hAnsi="Arial" w:cs="Arial"/>
          <w:i/>
          <w:iCs/>
        </w:rPr>
        <w:t>de</w:t>
      </w:r>
      <w:r w:rsidRPr="00B1306A">
        <w:rPr>
          <w:rFonts w:ascii="Arial" w:hAnsi="Arial" w:cs="Arial"/>
          <w:i/>
          <w:iCs/>
          <w:spacing w:val="-13"/>
        </w:rPr>
        <w:t xml:space="preserve"> </w:t>
      </w:r>
      <w:r w:rsidRPr="00B1306A">
        <w:rPr>
          <w:rFonts w:ascii="Arial" w:hAnsi="Arial" w:cs="Arial"/>
          <w:i/>
          <w:iCs/>
        </w:rPr>
        <w:t>circulación</w:t>
      </w:r>
      <w:r w:rsidRPr="00B1306A">
        <w:rPr>
          <w:rFonts w:ascii="Arial" w:hAnsi="Arial" w:cs="Arial"/>
          <w:i/>
          <w:iCs/>
          <w:spacing w:val="-13"/>
        </w:rPr>
        <w:t xml:space="preserve"> </w:t>
      </w:r>
      <w:r w:rsidRPr="00B1306A">
        <w:rPr>
          <w:rFonts w:ascii="Arial" w:hAnsi="Arial" w:cs="Arial"/>
          <w:i/>
          <w:iCs/>
        </w:rPr>
        <w:t>y</w:t>
      </w:r>
      <w:r w:rsidRPr="00B1306A">
        <w:rPr>
          <w:rFonts w:ascii="Arial" w:hAnsi="Arial" w:cs="Arial"/>
          <w:i/>
          <w:iCs/>
          <w:spacing w:val="-13"/>
        </w:rPr>
        <w:t xml:space="preserve"> </w:t>
      </w:r>
      <w:r w:rsidRPr="00B1306A">
        <w:rPr>
          <w:rFonts w:ascii="Arial" w:hAnsi="Arial" w:cs="Arial"/>
          <w:i/>
          <w:iCs/>
        </w:rPr>
        <w:t>residencia,</w:t>
      </w:r>
      <w:r w:rsidRPr="00B1306A">
        <w:rPr>
          <w:rFonts w:ascii="Arial" w:hAnsi="Arial" w:cs="Arial"/>
          <w:i/>
          <w:iCs/>
          <w:spacing w:val="-59"/>
        </w:rPr>
        <w:t xml:space="preserve"> </w:t>
      </w:r>
      <w:r w:rsidRPr="00B1306A">
        <w:rPr>
          <w:rFonts w:ascii="Arial" w:hAnsi="Arial" w:cs="Arial"/>
          <w:i/>
          <w:iCs/>
        </w:rPr>
        <w:t>establecer</w:t>
      </w:r>
      <w:r w:rsidRPr="00B1306A">
        <w:rPr>
          <w:rFonts w:ascii="Arial" w:hAnsi="Arial" w:cs="Arial"/>
          <w:i/>
          <w:iCs/>
          <w:spacing w:val="-2"/>
        </w:rPr>
        <w:t xml:space="preserve"> </w:t>
      </w:r>
      <w:r w:rsidRPr="00B1306A">
        <w:rPr>
          <w:rFonts w:ascii="Arial" w:hAnsi="Arial" w:cs="Arial"/>
          <w:i/>
          <w:iCs/>
        </w:rPr>
        <w:t>controles</w:t>
      </w:r>
      <w:r w:rsidRPr="00B1306A">
        <w:rPr>
          <w:rFonts w:ascii="Arial" w:hAnsi="Arial" w:cs="Arial"/>
          <w:i/>
          <w:iCs/>
          <w:spacing w:val="-1"/>
        </w:rPr>
        <w:t xml:space="preserve"> </w:t>
      </w:r>
      <w:r w:rsidRPr="00B1306A">
        <w:rPr>
          <w:rFonts w:ascii="Arial" w:hAnsi="Arial" w:cs="Arial"/>
          <w:i/>
          <w:iCs/>
        </w:rPr>
        <w:t>a</w:t>
      </w:r>
      <w:r w:rsidRPr="00B1306A">
        <w:rPr>
          <w:rFonts w:ascii="Arial" w:hAnsi="Arial" w:cs="Arial"/>
          <w:i/>
          <w:iCs/>
          <w:spacing w:val="-2"/>
        </w:rPr>
        <w:t xml:space="preserve"> </w:t>
      </w:r>
      <w:r w:rsidRPr="00B1306A">
        <w:rPr>
          <w:rFonts w:ascii="Arial" w:hAnsi="Arial" w:cs="Arial"/>
          <w:i/>
          <w:iCs/>
        </w:rPr>
        <w:t>la</w:t>
      </w:r>
      <w:r w:rsidRPr="00B1306A">
        <w:rPr>
          <w:rFonts w:ascii="Arial" w:hAnsi="Arial" w:cs="Arial"/>
          <w:i/>
          <w:iCs/>
          <w:spacing w:val="-1"/>
        </w:rPr>
        <w:t xml:space="preserve"> </w:t>
      </w:r>
      <w:r w:rsidRPr="00B1306A">
        <w:rPr>
          <w:rFonts w:ascii="Arial" w:hAnsi="Arial" w:cs="Arial"/>
          <w:i/>
          <w:iCs/>
        </w:rPr>
        <w:t>densidad</w:t>
      </w:r>
      <w:r w:rsidRPr="00B1306A">
        <w:rPr>
          <w:rFonts w:ascii="Arial" w:hAnsi="Arial" w:cs="Arial"/>
          <w:i/>
          <w:iCs/>
          <w:spacing w:val="-1"/>
        </w:rPr>
        <w:t xml:space="preserve"> </w:t>
      </w:r>
      <w:r w:rsidRPr="00B1306A">
        <w:rPr>
          <w:rFonts w:ascii="Arial" w:hAnsi="Arial" w:cs="Arial"/>
          <w:i/>
          <w:iCs/>
        </w:rPr>
        <w:t>poblacional</w:t>
      </w:r>
      <w:r w:rsidRPr="00B1306A">
        <w:rPr>
          <w:rFonts w:ascii="Arial" w:hAnsi="Arial" w:cs="Arial"/>
          <w:i/>
          <w:iCs/>
          <w:spacing w:val="-2"/>
        </w:rPr>
        <w:t xml:space="preserve"> </w:t>
      </w:r>
      <w:r w:rsidRPr="00B1306A">
        <w:rPr>
          <w:rFonts w:ascii="Arial" w:hAnsi="Arial" w:cs="Arial"/>
          <w:i/>
          <w:iCs/>
        </w:rPr>
        <w:t>[…]”.</w:t>
      </w:r>
    </w:p>
    <w:p w14:paraId="61E82E87" w14:textId="77777777" w:rsidR="00C95361" w:rsidRPr="00B1306A" w:rsidRDefault="00C95361" w:rsidP="00C95361">
      <w:pPr>
        <w:pStyle w:val="Textoindependiente"/>
        <w:spacing w:before="120" w:line="276" w:lineRule="auto"/>
        <w:ind w:firstLine="708"/>
        <w:jc w:val="both"/>
        <w:rPr>
          <w:sz w:val="22"/>
        </w:rPr>
      </w:pPr>
      <w:r w:rsidRPr="00B1306A">
        <w:rPr>
          <w:sz w:val="22"/>
        </w:rPr>
        <w:t xml:space="preserve">A su vez, el artículo 42 transitorio de la Constitución política, estableció que el </w:t>
      </w:r>
      <w:r w:rsidRPr="00B1306A">
        <w:rPr>
          <w:sz w:val="22"/>
        </w:rPr>
        <w:lastRenderedPageBreak/>
        <w:t>Gobierno</w:t>
      </w:r>
      <w:r w:rsidRPr="00B1306A">
        <w:rPr>
          <w:spacing w:val="1"/>
          <w:sz w:val="22"/>
        </w:rPr>
        <w:t xml:space="preserve"> </w:t>
      </w:r>
      <w:r w:rsidRPr="00B1306A">
        <w:rPr>
          <w:sz w:val="22"/>
        </w:rPr>
        <w:t>Nacional podría adoptar las reglamentaciones necesarias para controlar la densidad de la</w:t>
      </w:r>
      <w:r w:rsidRPr="00B1306A">
        <w:rPr>
          <w:spacing w:val="1"/>
          <w:sz w:val="22"/>
        </w:rPr>
        <w:t xml:space="preserve"> </w:t>
      </w:r>
      <w:r w:rsidRPr="00B1306A">
        <w:rPr>
          <w:sz w:val="22"/>
        </w:rPr>
        <w:t>población en el Archipiélago mediante decreto, mientras el Congreso expide las leyes de que</w:t>
      </w:r>
      <w:r w:rsidRPr="00B1306A">
        <w:rPr>
          <w:spacing w:val="1"/>
          <w:sz w:val="22"/>
        </w:rPr>
        <w:t xml:space="preserve"> </w:t>
      </w:r>
      <w:r w:rsidRPr="00B1306A">
        <w:rPr>
          <w:sz w:val="22"/>
        </w:rPr>
        <w:t>trata</w:t>
      </w:r>
      <w:r w:rsidRPr="00B1306A">
        <w:rPr>
          <w:spacing w:val="-2"/>
          <w:sz w:val="22"/>
        </w:rPr>
        <w:t xml:space="preserve"> </w:t>
      </w:r>
      <w:r w:rsidRPr="00B1306A">
        <w:rPr>
          <w:sz w:val="22"/>
        </w:rPr>
        <w:t>el</w:t>
      </w:r>
      <w:r w:rsidRPr="00B1306A">
        <w:rPr>
          <w:spacing w:val="-1"/>
          <w:sz w:val="22"/>
        </w:rPr>
        <w:t xml:space="preserve"> </w:t>
      </w:r>
      <w:r w:rsidRPr="00B1306A">
        <w:rPr>
          <w:sz w:val="22"/>
        </w:rPr>
        <w:t>artículo</w:t>
      </w:r>
      <w:r w:rsidRPr="00B1306A">
        <w:rPr>
          <w:spacing w:val="-1"/>
          <w:sz w:val="22"/>
        </w:rPr>
        <w:t xml:space="preserve"> </w:t>
      </w:r>
      <w:r w:rsidRPr="00B1306A">
        <w:rPr>
          <w:sz w:val="22"/>
        </w:rPr>
        <w:t>310</w:t>
      </w:r>
      <w:r w:rsidRPr="00B1306A">
        <w:rPr>
          <w:spacing w:val="-2"/>
          <w:sz w:val="22"/>
        </w:rPr>
        <w:t xml:space="preserve"> </w:t>
      </w:r>
      <w:r w:rsidRPr="00B1306A">
        <w:rPr>
          <w:sz w:val="22"/>
        </w:rPr>
        <w:t>previamente</w:t>
      </w:r>
      <w:r w:rsidRPr="00B1306A">
        <w:rPr>
          <w:spacing w:val="-1"/>
          <w:sz w:val="22"/>
        </w:rPr>
        <w:t xml:space="preserve"> </w:t>
      </w:r>
      <w:r w:rsidRPr="00B1306A">
        <w:rPr>
          <w:sz w:val="22"/>
        </w:rPr>
        <w:t>referenciado.</w:t>
      </w:r>
    </w:p>
    <w:p w14:paraId="234DE662" w14:textId="77777777" w:rsidR="00C95361" w:rsidRPr="00B1306A" w:rsidRDefault="00C95361" w:rsidP="00C95361">
      <w:pPr>
        <w:pStyle w:val="Textoindependiente"/>
        <w:spacing w:before="120" w:line="276" w:lineRule="auto"/>
        <w:ind w:firstLine="708"/>
        <w:jc w:val="both"/>
        <w:rPr>
          <w:sz w:val="22"/>
        </w:rPr>
      </w:pPr>
      <w:r w:rsidRPr="00B1306A">
        <w:rPr>
          <w:sz w:val="22"/>
        </w:rPr>
        <w:t>De</w:t>
      </w:r>
      <w:r w:rsidRPr="00B1306A">
        <w:rPr>
          <w:spacing w:val="-9"/>
          <w:sz w:val="22"/>
        </w:rPr>
        <w:t xml:space="preserve"> </w:t>
      </w:r>
      <w:r w:rsidRPr="00B1306A">
        <w:rPr>
          <w:sz w:val="22"/>
        </w:rPr>
        <w:t>esta</w:t>
      </w:r>
      <w:r w:rsidRPr="00B1306A">
        <w:rPr>
          <w:spacing w:val="-8"/>
          <w:sz w:val="22"/>
        </w:rPr>
        <w:t xml:space="preserve"> </w:t>
      </w:r>
      <w:r w:rsidRPr="00B1306A">
        <w:rPr>
          <w:sz w:val="22"/>
        </w:rPr>
        <w:t>forma,</w:t>
      </w:r>
      <w:r w:rsidRPr="00B1306A">
        <w:rPr>
          <w:spacing w:val="-8"/>
          <w:sz w:val="22"/>
        </w:rPr>
        <w:t xml:space="preserve"> </w:t>
      </w:r>
      <w:r w:rsidRPr="00B1306A">
        <w:rPr>
          <w:sz w:val="22"/>
        </w:rPr>
        <w:t>mediante</w:t>
      </w:r>
      <w:r w:rsidRPr="00B1306A">
        <w:rPr>
          <w:spacing w:val="-8"/>
          <w:sz w:val="22"/>
        </w:rPr>
        <w:t xml:space="preserve"> </w:t>
      </w:r>
      <w:r w:rsidRPr="00B1306A">
        <w:rPr>
          <w:sz w:val="22"/>
        </w:rPr>
        <w:t>el</w:t>
      </w:r>
      <w:r w:rsidRPr="00B1306A">
        <w:rPr>
          <w:spacing w:val="-9"/>
          <w:sz w:val="22"/>
        </w:rPr>
        <w:t xml:space="preserve"> </w:t>
      </w:r>
      <w:r w:rsidRPr="00B1306A">
        <w:rPr>
          <w:sz w:val="22"/>
        </w:rPr>
        <w:t>Decreto</w:t>
      </w:r>
      <w:r w:rsidRPr="00B1306A">
        <w:rPr>
          <w:spacing w:val="-7"/>
          <w:sz w:val="22"/>
        </w:rPr>
        <w:t xml:space="preserve"> </w:t>
      </w:r>
      <w:r w:rsidRPr="00B1306A">
        <w:rPr>
          <w:sz w:val="22"/>
        </w:rPr>
        <w:t>2762</w:t>
      </w:r>
      <w:r w:rsidRPr="00B1306A">
        <w:rPr>
          <w:spacing w:val="-9"/>
          <w:sz w:val="22"/>
        </w:rPr>
        <w:t xml:space="preserve"> </w:t>
      </w:r>
      <w:r w:rsidRPr="00B1306A">
        <w:rPr>
          <w:sz w:val="22"/>
        </w:rPr>
        <w:t>de</w:t>
      </w:r>
      <w:r w:rsidRPr="00B1306A">
        <w:rPr>
          <w:spacing w:val="-8"/>
          <w:sz w:val="22"/>
        </w:rPr>
        <w:t xml:space="preserve"> </w:t>
      </w:r>
      <w:r w:rsidRPr="00B1306A">
        <w:rPr>
          <w:sz w:val="22"/>
        </w:rPr>
        <w:t>1991</w:t>
      </w:r>
      <w:r w:rsidRPr="00B1306A">
        <w:rPr>
          <w:spacing w:val="-8"/>
          <w:sz w:val="22"/>
        </w:rPr>
        <w:t xml:space="preserve"> </w:t>
      </w:r>
      <w:r w:rsidRPr="00B1306A">
        <w:rPr>
          <w:sz w:val="22"/>
        </w:rPr>
        <w:t>se</w:t>
      </w:r>
      <w:r w:rsidRPr="00B1306A">
        <w:rPr>
          <w:spacing w:val="-9"/>
          <w:sz w:val="22"/>
        </w:rPr>
        <w:t xml:space="preserve"> </w:t>
      </w:r>
      <w:r w:rsidRPr="00B1306A">
        <w:rPr>
          <w:sz w:val="22"/>
        </w:rPr>
        <w:t>adoptaron</w:t>
      </w:r>
      <w:r w:rsidRPr="00B1306A">
        <w:rPr>
          <w:spacing w:val="-7"/>
          <w:sz w:val="22"/>
        </w:rPr>
        <w:t xml:space="preserve"> </w:t>
      </w:r>
      <w:r w:rsidRPr="00B1306A">
        <w:rPr>
          <w:sz w:val="22"/>
        </w:rPr>
        <w:t>medidas</w:t>
      </w:r>
      <w:r w:rsidRPr="00B1306A">
        <w:rPr>
          <w:spacing w:val="-9"/>
          <w:sz w:val="22"/>
        </w:rPr>
        <w:t xml:space="preserve"> </w:t>
      </w:r>
      <w:r w:rsidRPr="00B1306A">
        <w:rPr>
          <w:sz w:val="22"/>
        </w:rPr>
        <w:t>para</w:t>
      </w:r>
      <w:r w:rsidRPr="00B1306A">
        <w:rPr>
          <w:spacing w:val="-8"/>
          <w:sz w:val="22"/>
        </w:rPr>
        <w:t xml:space="preserve"> </w:t>
      </w:r>
      <w:r w:rsidRPr="00B1306A">
        <w:rPr>
          <w:sz w:val="22"/>
        </w:rPr>
        <w:t>controlar</w:t>
      </w:r>
      <w:r w:rsidRPr="00B1306A">
        <w:rPr>
          <w:spacing w:val="-8"/>
          <w:sz w:val="22"/>
        </w:rPr>
        <w:t xml:space="preserve"> </w:t>
      </w:r>
      <w:r w:rsidRPr="00B1306A">
        <w:rPr>
          <w:sz w:val="22"/>
        </w:rPr>
        <w:t>la</w:t>
      </w:r>
      <w:r w:rsidRPr="00B1306A">
        <w:rPr>
          <w:spacing w:val="-59"/>
          <w:sz w:val="22"/>
        </w:rPr>
        <w:t xml:space="preserve"> </w:t>
      </w:r>
      <w:r w:rsidRPr="00B1306A">
        <w:rPr>
          <w:sz w:val="22"/>
        </w:rPr>
        <w:t>densidad poblacional en el Departamento Archipiélago de San Andrés, Providencia y Santa</w:t>
      </w:r>
      <w:r w:rsidRPr="00B1306A">
        <w:rPr>
          <w:spacing w:val="1"/>
          <w:sz w:val="22"/>
        </w:rPr>
        <w:t xml:space="preserve"> </w:t>
      </w:r>
      <w:r w:rsidRPr="00B1306A">
        <w:rPr>
          <w:sz w:val="22"/>
        </w:rPr>
        <w:t>Catalina. El artículo 22 de la mencionada disposición creó la Oficina de Control de Circulación y</w:t>
      </w:r>
      <w:r w:rsidRPr="00B1306A">
        <w:rPr>
          <w:spacing w:val="-59"/>
          <w:sz w:val="22"/>
        </w:rPr>
        <w:t xml:space="preserve"> </w:t>
      </w:r>
      <w:r w:rsidRPr="00B1306A">
        <w:rPr>
          <w:sz w:val="22"/>
        </w:rPr>
        <w:t>residencia</w:t>
      </w:r>
      <w:r w:rsidRPr="00B1306A">
        <w:rPr>
          <w:spacing w:val="-8"/>
          <w:sz w:val="22"/>
        </w:rPr>
        <w:t xml:space="preserve"> </w:t>
      </w:r>
      <w:r w:rsidRPr="00B1306A">
        <w:rPr>
          <w:sz w:val="22"/>
        </w:rPr>
        <w:t>−OCCRE−</w:t>
      </w:r>
      <w:r w:rsidRPr="00B1306A">
        <w:rPr>
          <w:spacing w:val="-7"/>
          <w:sz w:val="22"/>
        </w:rPr>
        <w:t xml:space="preserve"> </w:t>
      </w:r>
      <w:r w:rsidRPr="00B1306A">
        <w:rPr>
          <w:sz w:val="22"/>
        </w:rPr>
        <w:t>como</w:t>
      </w:r>
      <w:r w:rsidRPr="00B1306A">
        <w:rPr>
          <w:spacing w:val="-8"/>
          <w:sz w:val="22"/>
        </w:rPr>
        <w:t xml:space="preserve"> </w:t>
      </w:r>
      <w:r w:rsidRPr="00B1306A">
        <w:rPr>
          <w:sz w:val="22"/>
        </w:rPr>
        <w:t>un</w:t>
      </w:r>
      <w:r w:rsidRPr="00B1306A">
        <w:rPr>
          <w:spacing w:val="-8"/>
          <w:sz w:val="22"/>
        </w:rPr>
        <w:t xml:space="preserve"> </w:t>
      </w:r>
      <w:r w:rsidRPr="00B1306A">
        <w:rPr>
          <w:sz w:val="22"/>
        </w:rPr>
        <w:t>órgano</w:t>
      </w:r>
      <w:r w:rsidRPr="00B1306A">
        <w:rPr>
          <w:spacing w:val="-8"/>
          <w:sz w:val="22"/>
        </w:rPr>
        <w:t xml:space="preserve"> </w:t>
      </w:r>
      <w:r w:rsidRPr="00B1306A">
        <w:rPr>
          <w:sz w:val="22"/>
        </w:rPr>
        <w:t>de</w:t>
      </w:r>
      <w:r w:rsidRPr="00B1306A">
        <w:rPr>
          <w:spacing w:val="-7"/>
          <w:sz w:val="22"/>
        </w:rPr>
        <w:t xml:space="preserve"> </w:t>
      </w:r>
      <w:r w:rsidRPr="00B1306A">
        <w:rPr>
          <w:sz w:val="22"/>
        </w:rPr>
        <w:t>la</w:t>
      </w:r>
      <w:r w:rsidRPr="00B1306A">
        <w:rPr>
          <w:spacing w:val="-8"/>
          <w:sz w:val="22"/>
        </w:rPr>
        <w:t xml:space="preserve"> </w:t>
      </w:r>
      <w:r w:rsidRPr="00B1306A">
        <w:rPr>
          <w:sz w:val="22"/>
        </w:rPr>
        <w:t>administración</w:t>
      </w:r>
      <w:r w:rsidRPr="00B1306A">
        <w:rPr>
          <w:spacing w:val="-8"/>
          <w:sz w:val="22"/>
        </w:rPr>
        <w:t xml:space="preserve"> </w:t>
      </w:r>
      <w:r w:rsidRPr="00B1306A">
        <w:rPr>
          <w:sz w:val="22"/>
        </w:rPr>
        <w:t>del</w:t>
      </w:r>
      <w:r w:rsidRPr="00B1306A">
        <w:rPr>
          <w:spacing w:val="-8"/>
          <w:sz w:val="22"/>
        </w:rPr>
        <w:t xml:space="preserve"> </w:t>
      </w:r>
      <w:r w:rsidRPr="00B1306A">
        <w:rPr>
          <w:sz w:val="22"/>
        </w:rPr>
        <w:t>Departamento</w:t>
      </w:r>
      <w:r w:rsidRPr="00B1306A">
        <w:rPr>
          <w:spacing w:val="-7"/>
          <w:sz w:val="22"/>
        </w:rPr>
        <w:t xml:space="preserve"> </w:t>
      </w:r>
      <w:r w:rsidRPr="00B1306A">
        <w:rPr>
          <w:sz w:val="22"/>
        </w:rPr>
        <w:t>de</w:t>
      </w:r>
      <w:r w:rsidRPr="00B1306A">
        <w:rPr>
          <w:spacing w:val="-8"/>
          <w:sz w:val="22"/>
        </w:rPr>
        <w:t xml:space="preserve"> </w:t>
      </w:r>
      <w:r w:rsidRPr="00B1306A">
        <w:rPr>
          <w:sz w:val="22"/>
        </w:rPr>
        <w:t>San</w:t>
      </w:r>
      <w:r w:rsidRPr="00B1306A">
        <w:rPr>
          <w:spacing w:val="-8"/>
          <w:sz w:val="22"/>
        </w:rPr>
        <w:t xml:space="preserve"> </w:t>
      </w:r>
      <w:r w:rsidRPr="00B1306A">
        <w:rPr>
          <w:sz w:val="22"/>
        </w:rPr>
        <w:t>Andrés</w:t>
      </w:r>
      <w:r w:rsidRPr="00B1306A">
        <w:rPr>
          <w:spacing w:val="-7"/>
          <w:sz w:val="22"/>
        </w:rPr>
        <w:t xml:space="preserve"> </w:t>
      </w:r>
      <w:r w:rsidRPr="00B1306A">
        <w:rPr>
          <w:sz w:val="22"/>
        </w:rPr>
        <w:t>y</w:t>
      </w:r>
      <w:r w:rsidRPr="00B1306A">
        <w:rPr>
          <w:spacing w:val="-59"/>
          <w:sz w:val="22"/>
        </w:rPr>
        <w:t xml:space="preserve"> </w:t>
      </w:r>
      <w:r w:rsidRPr="00B1306A">
        <w:rPr>
          <w:sz w:val="22"/>
        </w:rPr>
        <w:t>Providencia, con la finalidad de realizar y dar cumplimiento a las disposiciones contenidas en el</w:t>
      </w:r>
      <w:r w:rsidRPr="00B1306A">
        <w:rPr>
          <w:spacing w:val="1"/>
          <w:sz w:val="22"/>
        </w:rPr>
        <w:t xml:space="preserve"> </w:t>
      </w:r>
      <w:r w:rsidRPr="00B1306A">
        <w:rPr>
          <w:sz w:val="22"/>
        </w:rPr>
        <w:t>decreto</w:t>
      </w:r>
      <w:r w:rsidRPr="00B1306A">
        <w:rPr>
          <w:spacing w:val="-2"/>
          <w:sz w:val="22"/>
        </w:rPr>
        <w:t xml:space="preserve"> </w:t>
      </w:r>
      <w:r w:rsidRPr="00B1306A">
        <w:rPr>
          <w:sz w:val="22"/>
        </w:rPr>
        <w:t>en</w:t>
      </w:r>
      <w:r w:rsidRPr="00B1306A">
        <w:rPr>
          <w:spacing w:val="-1"/>
          <w:sz w:val="22"/>
        </w:rPr>
        <w:t xml:space="preserve"> </w:t>
      </w:r>
      <w:r w:rsidRPr="00B1306A">
        <w:rPr>
          <w:sz w:val="22"/>
        </w:rPr>
        <w:t>mención.</w:t>
      </w:r>
    </w:p>
    <w:p w14:paraId="7E8C024F" w14:textId="77777777" w:rsidR="00C95361" w:rsidRPr="00B1306A" w:rsidRDefault="00C95361" w:rsidP="00C95361">
      <w:pPr>
        <w:pStyle w:val="Textoindependiente"/>
        <w:spacing w:before="120" w:line="276" w:lineRule="auto"/>
        <w:ind w:firstLine="708"/>
        <w:jc w:val="both"/>
        <w:rPr>
          <w:sz w:val="22"/>
        </w:rPr>
      </w:pPr>
      <w:r w:rsidRPr="00B1306A">
        <w:rPr>
          <w:sz w:val="22"/>
        </w:rPr>
        <w:t>Por</w:t>
      </w:r>
      <w:r w:rsidRPr="00B1306A">
        <w:rPr>
          <w:spacing w:val="-8"/>
          <w:sz w:val="22"/>
        </w:rPr>
        <w:t xml:space="preserve"> </w:t>
      </w:r>
      <w:r w:rsidRPr="00B1306A">
        <w:rPr>
          <w:sz w:val="22"/>
        </w:rPr>
        <w:t>su</w:t>
      </w:r>
      <w:r w:rsidRPr="00B1306A">
        <w:rPr>
          <w:spacing w:val="-9"/>
          <w:sz w:val="22"/>
        </w:rPr>
        <w:t xml:space="preserve"> </w:t>
      </w:r>
      <w:r w:rsidRPr="00B1306A">
        <w:rPr>
          <w:sz w:val="22"/>
        </w:rPr>
        <w:t>parte,</w:t>
      </w:r>
      <w:r w:rsidRPr="00B1306A">
        <w:rPr>
          <w:spacing w:val="-8"/>
          <w:sz w:val="22"/>
        </w:rPr>
        <w:t xml:space="preserve"> </w:t>
      </w:r>
      <w:r w:rsidRPr="00B1306A">
        <w:rPr>
          <w:sz w:val="22"/>
        </w:rPr>
        <w:t>el</w:t>
      </w:r>
      <w:r w:rsidRPr="00B1306A">
        <w:rPr>
          <w:spacing w:val="-9"/>
          <w:sz w:val="22"/>
        </w:rPr>
        <w:t xml:space="preserve"> </w:t>
      </w:r>
      <w:r w:rsidRPr="00B1306A">
        <w:rPr>
          <w:sz w:val="22"/>
        </w:rPr>
        <w:t>Congreso</w:t>
      </w:r>
      <w:r w:rsidRPr="00B1306A">
        <w:rPr>
          <w:spacing w:val="-8"/>
          <w:sz w:val="22"/>
        </w:rPr>
        <w:t xml:space="preserve"> </w:t>
      </w:r>
      <w:r w:rsidRPr="00B1306A">
        <w:rPr>
          <w:sz w:val="22"/>
        </w:rPr>
        <w:t>de</w:t>
      </w:r>
      <w:r w:rsidRPr="00B1306A">
        <w:rPr>
          <w:spacing w:val="-9"/>
          <w:sz w:val="22"/>
        </w:rPr>
        <w:t xml:space="preserve"> </w:t>
      </w:r>
      <w:r w:rsidRPr="00B1306A">
        <w:rPr>
          <w:sz w:val="22"/>
        </w:rPr>
        <w:t>la</w:t>
      </w:r>
      <w:r w:rsidRPr="00B1306A">
        <w:rPr>
          <w:spacing w:val="-8"/>
          <w:sz w:val="22"/>
        </w:rPr>
        <w:t xml:space="preserve"> </w:t>
      </w:r>
      <w:r w:rsidRPr="00B1306A">
        <w:rPr>
          <w:sz w:val="22"/>
        </w:rPr>
        <w:t>República</w:t>
      </w:r>
      <w:r w:rsidRPr="00B1306A">
        <w:rPr>
          <w:spacing w:val="-9"/>
          <w:sz w:val="22"/>
        </w:rPr>
        <w:t xml:space="preserve"> </w:t>
      </w:r>
      <w:r w:rsidRPr="00B1306A">
        <w:rPr>
          <w:sz w:val="22"/>
        </w:rPr>
        <w:t>expidió</w:t>
      </w:r>
      <w:r w:rsidRPr="00B1306A">
        <w:rPr>
          <w:spacing w:val="-9"/>
          <w:sz w:val="22"/>
        </w:rPr>
        <w:t xml:space="preserve"> </w:t>
      </w:r>
      <w:r w:rsidRPr="00B1306A">
        <w:rPr>
          <w:sz w:val="22"/>
        </w:rPr>
        <w:t>la</w:t>
      </w:r>
      <w:r w:rsidRPr="00B1306A">
        <w:rPr>
          <w:spacing w:val="-8"/>
          <w:sz w:val="22"/>
        </w:rPr>
        <w:t xml:space="preserve"> </w:t>
      </w:r>
      <w:r w:rsidRPr="00B1306A">
        <w:rPr>
          <w:sz w:val="22"/>
        </w:rPr>
        <w:t>Ley</w:t>
      </w:r>
      <w:r w:rsidRPr="00B1306A">
        <w:rPr>
          <w:spacing w:val="-9"/>
          <w:sz w:val="22"/>
        </w:rPr>
        <w:t xml:space="preserve"> </w:t>
      </w:r>
      <w:r w:rsidRPr="00B1306A">
        <w:rPr>
          <w:sz w:val="22"/>
        </w:rPr>
        <w:t>915</w:t>
      </w:r>
      <w:r w:rsidRPr="00B1306A">
        <w:rPr>
          <w:spacing w:val="-8"/>
          <w:sz w:val="22"/>
        </w:rPr>
        <w:t xml:space="preserve"> </w:t>
      </w:r>
      <w:r w:rsidRPr="00B1306A">
        <w:rPr>
          <w:sz w:val="22"/>
        </w:rPr>
        <w:t>de</w:t>
      </w:r>
      <w:r w:rsidRPr="00B1306A">
        <w:rPr>
          <w:spacing w:val="-9"/>
          <w:sz w:val="22"/>
        </w:rPr>
        <w:t xml:space="preserve"> </w:t>
      </w:r>
      <w:r w:rsidRPr="00B1306A">
        <w:rPr>
          <w:sz w:val="22"/>
        </w:rPr>
        <w:t>2004</w:t>
      </w:r>
      <w:r w:rsidRPr="00B1306A">
        <w:rPr>
          <w:spacing w:val="-8"/>
          <w:sz w:val="22"/>
        </w:rPr>
        <w:t xml:space="preserve"> </w:t>
      </w:r>
      <w:r w:rsidRPr="00B1306A">
        <w:rPr>
          <w:i/>
          <w:iCs/>
          <w:sz w:val="22"/>
        </w:rPr>
        <w:t>“por</w:t>
      </w:r>
      <w:r w:rsidRPr="00B1306A">
        <w:rPr>
          <w:i/>
          <w:iCs/>
          <w:spacing w:val="-9"/>
          <w:sz w:val="22"/>
        </w:rPr>
        <w:t xml:space="preserve"> </w:t>
      </w:r>
      <w:r w:rsidRPr="00B1306A">
        <w:rPr>
          <w:i/>
          <w:iCs/>
          <w:sz w:val="22"/>
        </w:rPr>
        <w:t>la</w:t>
      </w:r>
      <w:r w:rsidRPr="00B1306A">
        <w:rPr>
          <w:i/>
          <w:iCs/>
          <w:spacing w:val="-9"/>
          <w:sz w:val="22"/>
        </w:rPr>
        <w:t xml:space="preserve"> </w:t>
      </w:r>
      <w:r w:rsidRPr="00B1306A">
        <w:rPr>
          <w:i/>
          <w:iCs/>
          <w:sz w:val="22"/>
        </w:rPr>
        <w:t>cual</w:t>
      </w:r>
      <w:r w:rsidRPr="00B1306A">
        <w:rPr>
          <w:i/>
          <w:iCs/>
          <w:spacing w:val="-8"/>
          <w:sz w:val="22"/>
        </w:rPr>
        <w:t xml:space="preserve"> </w:t>
      </w:r>
      <w:r w:rsidRPr="00B1306A">
        <w:rPr>
          <w:i/>
          <w:iCs/>
          <w:sz w:val="22"/>
        </w:rPr>
        <w:t>se</w:t>
      </w:r>
      <w:r w:rsidRPr="00B1306A">
        <w:rPr>
          <w:i/>
          <w:iCs/>
          <w:spacing w:val="-9"/>
          <w:sz w:val="22"/>
        </w:rPr>
        <w:t xml:space="preserve"> </w:t>
      </w:r>
      <w:r w:rsidRPr="00B1306A">
        <w:rPr>
          <w:i/>
          <w:iCs/>
          <w:sz w:val="22"/>
        </w:rPr>
        <w:t>dicta</w:t>
      </w:r>
      <w:r w:rsidRPr="00B1306A">
        <w:rPr>
          <w:i/>
          <w:iCs/>
          <w:spacing w:val="-58"/>
          <w:sz w:val="22"/>
        </w:rPr>
        <w:t xml:space="preserve"> </w:t>
      </w:r>
      <w:r w:rsidRPr="00B1306A">
        <w:rPr>
          <w:i/>
          <w:iCs/>
          <w:sz w:val="22"/>
        </w:rPr>
        <w:t xml:space="preserve">el Estatuto Fronterizo para el Desarrollo Económico y Social del Departamento Archipiélago </w:t>
      </w:r>
      <w:proofErr w:type="gramStart"/>
      <w:r w:rsidRPr="00B1306A">
        <w:rPr>
          <w:i/>
          <w:iCs/>
          <w:sz w:val="22"/>
        </w:rPr>
        <w:t xml:space="preserve">de </w:t>
      </w:r>
      <w:r w:rsidRPr="00B1306A">
        <w:rPr>
          <w:i/>
          <w:iCs/>
          <w:spacing w:val="-59"/>
          <w:sz w:val="22"/>
        </w:rPr>
        <w:t xml:space="preserve"> </w:t>
      </w:r>
      <w:r w:rsidRPr="00B1306A">
        <w:rPr>
          <w:i/>
          <w:iCs/>
          <w:sz w:val="22"/>
        </w:rPr>
        <w:t>San</w:t>
      </w:r>
      <w:proofErr w:type="gramEnd"/>
      <w:r w:rsidRPr="00B1306A">
        <w:rPr>
          <w:i/>
          <w:iCs/>
          <w:sz w:val="22"/>
        </w:rPr>
        <w:t xml:space="preserve"> Andrés,</w:t>
      </w:r>
      <w:r w:rsidRPr="00B1306A">
        <w:rPr>
          <w:i/>
          <w:iCs/>
          <w:spacing w:val="-9"/>
          <w:sz w:val="22"/>
        </w:rPr>
        <w:t xml:space="preserve"> </w:t>
      </w:r>
      <w:r w:rsidRPr="00B1306A">
        <w:rPr>
          <w:i/>
          <w:iCs/>
          <w:sz w:val="22"/>
        </w:rPr>
        <w:t>Providencia</w:t>
      </w:r>
      <w:r w:rsidRPr="00B1306A">
        <w:rPr>
          <w:i/>
          <w:iCs/>
          <w:spacing w:val="-7"/>
          <w:sz w:val="22"/>
        </w:rPr>
        <w:t xml:space="preserve"> </w:t>
      </w:r>
      <w:r w:rsidRPr="00B1306A">
        <w:rPr>
          <w:i/>
          <w:iCs/>
          <w:sz w:val="22"/>
        </w:rPr>
        <w:t>y</w:t>
      </w:r>
      <w:r w:rsidRPr="00B1306A">
        <w:rPr>
          <w:i/>
          <w:iCs/>
          <w:spacing w:val="-9"/>
          <w:sz w:val="22"/>
        </w:rPr>
        <w:t xml:space="preserve"> </w:t>
      </w:r>
      <w:r w:rsidRPr="00B1306A">
        <w:rPr>
          <w:i/>
          <w:iCs/>
          <w:sz w:val="22"/>
        </w:rPr>
        <w:t>Santa</w:t>
      </w:r>
      <w:r w:rsidRPr="00B1306A">
        <w:rPr>
          <w:i/>
          <w:iCs/>
          <w:spacing w:val="-8"/>
          <w:sz w:val="22"/>
        </w:rPr>
        <w:t xml:space="preserve"> </w:t>
      </w:r>
      <w:r w:rsidRPr="00B1306A">
        <w:rPr>
          <w:i/>
          <w:iCs/>
          <w:sz w:val="22"/>
        </w:rPr>
        <w:t>Catalina”</w:t>
      </w:r>
      <w:r w:rsidRPr="00B1306A">
        <w:rPr>
          <w:sz w:val="22"/>
        </w:rPr>
        <w:t>.</w:t>
      </w:r>
      <w:r w:rsidRPr="00B1306A">
        <w:rPr>
          <w:spacing w:val="-9"/>
          <w:sz w:val="22"/>
        </w:rPr>
        <w:t xml:space="preserve"> </w:t>
      </w:r>
      <w:r w:rsidRPr="00B1306A">
        <w:rPr>
          <w:sz w:val="22"/>
        </w:rPr>
        <w:t>Sobre</w:t>
      </w:r>
      <w:r w:rsidRPr="00B1306A">
        <w:rPr>
          <w:spacing w:val="-8"/>
          <w:sz w:val="22"/>
        </w:rPr>
        <w:t xml:space="preserve"> </w:t>
      </w:r>
      <w:r w:rsidRPr="00B1306A">
        <w:rPr>
          <w:sz w:val="22"/>
        </w:rPr>
        <w:t>la</w:t>
      </w:r>
      <w:r w:rsidRPr="00B1306A">
        <w:rPr>
          <w:spacing w:val="-9"/>
          <w:sz w:val="22"/>
        </w:rPr>
        <w:t xml:space="preserve"> </w:t>
      </w:r>
      <w:r w:rsidRPr="00B1306A">
        <w:rPr>
          <w:sz w:val="22"/>
        </w:rPr>
        <w:t>norma</w:t>
      </w:r>
      <w:r w:rsidRPr="00B1306A">
        <w:rPr>
          <w:spacing w:val="-9"/>
          <w:sz w:val="22"/>
        </w:rPr>
        <w:t xml:space="preserve"> </w:t>
      </w:r>
      <w:r w:rsidRPr="00B1306A">
        <w:rPr>
          <w:sz w:val="22"/>
        </w:rPr>
        <w:t>en</w:t>
      </w:r>
      <w:r w:rsidRPr="00B1306A">
        <w:rPr>
          <w:spacing w:val="-9"/>
          <w:sz w:val="22"/>
        </w:rPr>
        <w:t xml:space="preserve"> </w:t>
      </w:r>
      <w:r w:rsidRPr="00B1306A">
        <w:rPr>
          <w:sz w:val="22"/>
        </w:rPr>
        <w:t>mención,</w:t>
      </w:r>
      <w:r w:rsidRPr="00B1306A">
        <w:rPr>
          <w:spacing w:val="-9"/>
          <w:sz w:val="22"/>
        </w:rPr>
        <w:t xml:space="preserve"> </w:t>
      </w:r>
      <w:r w:rsidRPr="00B1306A">
        <w:rPr>
          <w:sz w:val="22"/>
        </w:rPr>
        <w:t>resulta</w:t>
      </w:r>
      <w:r w:rsidRPr="00B1306A">
        <w:rPr>
          <w:spacing w:val="-9"/>
          <w:sz w:val="22"/>
        </w:rPr>
        <w:t xml:space="preserve"> </w:t>
      </w:r>
      <w:r w:rsidRPr="00B1306A">
        <w:rPr>
          <w:sz w:val="22"/>
        </w:rPr>
        <w:t>pertinente</w:t>
      </w:r>
      <w:r w:rsidRPr="00B1306A">
        <w:rPr>
          <w:spacing w:val="-8"/>
          <w:sz w:val="22"/>
        </w:rPr>
        <w:t xml:space="preserve"> </w:t>
      </w:r>
      <w:r w:rsidRPr="00B1306A">
        <w:rPr>
          <w:sz w:val="22"/>
        </w:rPr>
        <w:t>aludir</w:t>
      </w:r>
      <w:r w:rsidRPr="00B1306A">
        <w:rPr>
          <w:spacing w:val="-59"/>
          <w:sz w:val="22"/>
        </w:rPr>
        <w:t xml:space="preserve"> </w:t>
      </w:r>
      <w:r w:rsidRPr="00B1306A">
        <w:rPr>
          <w:sz w:val="22"/>
        </w:rPr>
        <w:t xml:space="preserve">al artículo 67 que dispone: “En las licitaciones de contratos </w:t>
      </w:r>
      <w:r w:rsidRPr="00B1306A">
        <w:rPr>
          <w:i/>
          <w:iCs/>
          <w:sz w:val="22"/>
        </w:rPr>
        <w:t>cuyo objeto deba ser</w:t>
      </w:r>
      <w:r w:rsidRPr="00B1306A">
        <w:rPr>
          <w:i/>
          <w:iCs/>
          <w:spacing w:val="1"/>
          <w:sz w:val="22"/>
        </w:rPr>
        <w:t xml:space="preserve"> </w:t>
      </w:r>
      <w:r w:rsidRPr="00B1306A">
        <w:rPr>
          <w:i/>
          <w:iCs/>
          <w:sz w:val="22"/>
        </w:rPr>
        <w:t>desarrollado en el territorio del departamento Archipiélago</w:t>
      </w:r>
      <w:r w:rsidRPr="00B1306A">
        <w:rPr>
          <w:sz w:val="22"/>
        </w:rPr>
        <w:t>, las entidades licitantes propenderán</w:t>
      </w:r>
      <w:r w:rsidRPr="00B1306A">
        <w:rPr>
          <w:spacing w:val="1"/>
          <w:sz w:val="22"/>
        </w:rPr>
        <w:t xml:space="preserve"> </w:t>
      </w:r>
      <w:r w:rsidRPr="00B1306A">
        <w:rPr>
          <w:sz w:val="22"/>
        </w:rPr>
        <w:t>por</w:t>
      </w:r>
      <w:r w:rsidRPr="00B1306A">
        <w:rPr>
          <w:spacing w:val="-9"/>
          <w:sz w:val="22"/>
        </w:rPr>
        <w:t xml:space="preserve"> </w:t>
      </w:r>
      <w:r w:rsidRPr="00B1306A">
        <w:rPr>
          <w:sz w:val="22"/>
        </w:rPr>
        <w:t>una</w:t>
      </w:r>
      <w:r w:rsidRPr="00B1306A">
        <w:rPr>
          <w:spacing w:val="-8"/>
          <w:sz w:val="22"/>
        </w:rPr>
        <w:t xml:space="preserve"> </w:t>
      </w:r>
      <w:r w:rsidRPr="00B1306A">
        <w:rPr>
          <w:i/>
          <w:iCs/>
          <w:sz w:val="22"/>
        </w:rPr>
        <w:t>participación</w:t>
      </w:r>
      <w:r w:rsidRPr="00B1306A">
        <w:rPr>
          <w:i/>
          <w:iCs/>
          <w:spacing w:val="-7"/>
          <w:sz w:val="22"/>
        </w:rPr>
        <w:t xml:space="preserve"> </w:t>
      </w:r>
      <w:r w:rsidRPr="00B1306A">
        <w:rPr>
          <w:i/>
          <w:iCs/>
          <w:sz w:val="22"/>
        </w:rPr>
        <w:t>real</w:t>
      </w:r>
      <w:r w:rsidRPr="00B1306A">
        <w:rPr>
          <w:i/>
          <w:iCs/>
          <w:spacing w:val="-8"/>
          <w:sz w:val="22"/>
        </w:rPr>
        <w:t xml:space="preserve"> </w:t>
      </w:r>
      <w:r w:rsidRPr="00B1306A">
        <w:rPr>
          <w:i/>
          <w:iCs/>
          <w:sz w:val="22"/>
        </w:rPr>
        <w:t>y</w:t>
      </w:r>
      <w:r w:rsidRPr="00B1306A">
        <w:rPr>
          <w:i/>
          <w:iCs/>
          <w:spacing w:val="-8"/>
          <w:sz w:val="22"/>
        </w:rPr>
        <w:t xml:space="preserve"> </w:t>
      </w:r>
      <w:r w:rsidRPr="00B1306A">
        <w:rPr>
          <w:i/>
          <w:iCs/>
          <w:sz w:val="22"/>
        </w:rPr>
        <w:t>efectiva</w:t>
      </w:r>
      <w:r w:rsidRPr="00B1306A">
        <w:rPr>
          <w:i/>
          <w:iCs/>
          <w:spacing w:val="-7"/>
          <w:sz w:val="22"/>
        </w:rPr>
        <w:t xml:space="preserve"> </w:t>
      </w:r>
      <w:r w:rsidRPr="00B1306A">
        <w:rPr>
          <w:i/>
          <w:iCs/>
          <w:sz w:val="22"/>
        </w:rPr>
        <w:t>de</w:t>
      </w:r>
      <w:r w:rsidRPr="00B1306A">
        <w:rPr>
          <w:i/>
          <w:iCs/>
          <w:spacing w:val="-8"/>
          <w:sz w:val="22"/>
        </w:rPr>
        <w:t xml:space="preserve"> </w:t>
      </w:r>
      <w:r w:rsidRPr="00B1306A">
        <w:rPr>
          <w:i/>
          <w:iCs/>
          <w:sz w:val="22"/>
        </w:rPr>
        <w:t>los</w:t>
      </w:r>
      <w:r w:rsidRPr="00B1306A">
        <w:rPr>
          <w:i/>
          <w:iCs/>
          <w:spacing w:val="-8"/>
          <w:sz w:val="22"/>
        </w:rPr>
        <w:t xml:space="preserve"> </w:t>
      </w:r>
      <w:r w:rsidRPr="00B1306A">
        <w:rPr>
          <w:i/>
          <w:iCs/>
          <w:sz w:val="22"/>
        </w:rPr>
        <w:t>raizales</w:t>
      </w:r>
      <w:r w:rsidRPr="00B1306A">
        <w:rPr>
          <w:i/>
          <w:iCs/>
          <w:spacing w:val="-8"/>
          <w:sz w:val="22"/>
        </w:rPr>
        <w:t xml:space="preserve"> </w:t>
      </w:r>
      <w:r w:rsidRPr="00B1306A">
        <w:rPr>
          <w:i/>
          <w:iCs/>
          <w:sz w:val="22"/>
        </w:rPr>
        <w:t>y</w:t>
      </w:r>
      <w:r w:rsidRPr="00B1306A">
        <w:rPr>
          <w:i/>
          <w:iCs/>
          <w:spacing w:val="-9"/>
          <w:sz w:val="22"/>
        </w:rPr>
        <w:t xml:space="preserve"> </w:t>
      </w:r>
      <w:r w:rsidRPr="00B1306A">
        <w:rPr>
          <w:i/>
          <w:iCs/>
          <w:sz w:val="22"/>
        </w:rPr>
        <w:t>residentes,</w:t>
      </w:r>
      <w:r w:rsidRPr="00B1306A">
        <w:rPr>
          <w:i/>
          <w:iCs/>
          <w:spacing w:val="-8"/>
          <w:sz w:val="22"/>
        </w:rPr>
        <w:t xml:space="preserve"> </w:t>
      </w:r>
      <w:r w:rsidRPr="00B1306A">
        <w:rPr>
          <w:i/>
          <w:iCs/>
          <w:sz w:val="22"/>
        </w:rPr>
        <w:t>valorando</w:t>
      </w:r>
      <w:r w:rsidRPr="00B1306A">
        <w:rPr>
          <w:i/>
          <w:iCs/>
          <w:spacing w:val="-8"/>
          <w:sz w:val="22"/>
        </w:rPr>
        <w:t xml:space="preserve"> </w:t>
      </w:r>
      <w:r w:rsidRPr="00B1306A">
        <w:rPr>
          <w:i/>
          <w:iCs/>
          <w:sz w:val="22"/>
        </w:rPr>
        <w:t>esta</w:t>
      </w:r>
      <w:r w:rsidRPr="00B1306A">
        <w:rPr>
          <w:i/>
          <w:iCs/>
          <w:spacing w:val="-8"/>
          <w:sz w:val="22"/>
        </w:rPr>
        <w:t xml:space="preserve"> </w:t>
      </w:r>
      <w:r w:rsidRPr="00B1306A">
        <w:rPr>
          <w:i/>
          <w:iCs/>
          <w:sz w:val="22"/>
        </w:rPr>
        <w:t>circunstancia.</w:t>
      </w:r>
      <w:r w:rsidRPr="00B1306A">
        <w:rPr>
          <w:spacing w:val="-8"/>
          <w:sz w:val="22"/>
        </w:rPr>
        <w:t xml:space="preserve"> </w:t>
      </w:r>
      <w:r w:rsidRPr="00B1306A">
        <w:rPr>
          <w:sz w:val="22"/>
        </w:rPr>
        <w:t>En</w:t>
      </w:r>
      <w:r w:rsidRPr="00B1306A">
        <w:rPr>
          <w:spacing w:val="-59"/>
          <w:sz w:val="22"/>
        </w:rPr>
        <w:t xml:space="preserve"> </w:t>
      </w:r>
      <w:r w:rsidRPr="00B1306A">
        <w:rPr>
          <w:sz w:val="22"/>
        </w:rPr>
        <w:t>igualdad</w:t>
      </w:r>
      <w:r w:rsidRPr="00B1306A">
        <w:rPr>
          <w:spacing w:val="-4"/>
          <w:sz w:val="22"/>
        </w:rPr>
        <w:t xml:space="preserve"> </w:t>
      </w:r>
      <w:r w:rsidRPr="00B1306A">
        <w:rPr>
          <w:sz w:val="22"/>
        </w:rPr>
        <w:t>de</w:t>
      </w:r>
      <w:r w:rsidRPr="00B1306A">
        <w:rPr>
          <w:spacing w:val="-3"/>
          <w:sz w:val="22"/>
        </w:rPr>
        <w:t xml:space="preserve"> </w:t>
      </w:r>
      <w:r w:rsidRPr="00B1306A">
        <w:rPr>
          <w:sz w:val="22"/>
        </w:rPr>
        <w:t>condiciones</w:t>
      </w:r>
      <w:r w:rsidRPr="00B1306A">
        <w:rPr>
          <w:spacing w:val="-3"/>
          <w:sz w:val="22"/>
        </w:rPr>
        <w:t xml:space="preserve"> </w:t>
      </w:r>
      <w:r w:rsidRPr="00B1306A">
        <w:rPr>
          <w:sz w:val="22"/>
        </w:rPr>
        <w:t>se</w:t>
      </w:r>
      <w:r w:rsidRPr="00B1306A">
        <w:rPr>
          <w:spacing w:val="-4"/>
          <w:sz w:val="22"/>
        </w:rPr>
        <w:t xml:space="preserve"> </w:t>
      </w:r>
      <w:r w:rsidRPr="00B1306A">
        <w:rPr>
          <w:sz w:val="22"/>
        </w:rPr>
        <w:t>preferirá</w:t>
      </w:r>
      <w:r w:rsidRPr="00B1306A">
        <w:rPr>
          <w:spacing w:val="-3"/>
          <w:sz w:val="22"/>
        </w:rPr>
        <w:t xml:space="preserve"> </w:t>
      </w:r>
      <w:r w:rsidRPr="00B1306A">
        <w:rPr>
          <w:sz w:val="22"/>
        </w:rPr>
        <w:t>a</w:t>
      </w:r>
      <w:r w:rsidRPr="00B1306A">
        <w:rPr>
          <w:spacing w:val="-3"/>
          <w:sz w:val="22"/>
        </w:rPr>
        <w:t xml:space="preserve"> </w:t>
      </w:r>
      <w:r w:rsidRPr="00B1306A">
        <w:rPr>
          <w:sz w:val="22"/>
        </w:rPr>
        <w:t>los</w:t>
      </w:r>
      <w:r w:rsidRPr="00B1306A">
        <w:rPr>
          <w:spacing w:val="-4"/>
          <w:sz w:val="22"/>
        </w:rPr>
        <w:t xml:space="preserve"> </w:t>
      </w:r>
      <w:r w:rsidRPr="00B1306A">
        <w:rPr>
          <w:sz w:val="22"/>
        </w:rPr>
        <w:t>raizales</w:t>
      </w:r>
      <w:r w:rsidRPr="00B1306A">
        <w:rPr>
          <w:spacing w:val="-3"/>
          <w:sz w:val="22"/>
        </w:rPr>
        <w:t xml:space="preserve"> </w:t>
      </w:r>
      <w:r w:rsidRPr="00B1306A">
        <w:rPr>
          <w:sz w:val="22"/>
        </w:rPr>
        <w:t>y</w:t>
      </w:r>
      <w:r w:rsidRPr="00B1306A">
        <w:rPr>
          <w:spacing w:val="-3"/>
          <w:sz w:val="22"/>
        </w:rPr>
        <w:t xml:space="preserve"> </w:t>
      </w:r>
      <w:r w:rsidRPr="00B1306A">
        <w:rPr>
          <w:sz w:val="22"/>
        </w:rPr>
        <w:t>residentes</w:t>
      </w:r>
      <w:r w:rsidRPr="00B1306A">
        <w:rPr>
          <w:spacing w:val="-4"/>
          <w:sz w:val="22"/>
        </w:rPr>
        <w:t xml:space="preserve"> </w:t>
      </w:r>
      <w:r w:rsidRPr="00B1306A">
        <w:rPr>
          <w:sz w:val="22"/>
        </w:rPr>
        <w:t>del</w:t>
      </w:r>
      <w:r w:rsidRPr="00B1306A">
        <w:rPr>
          <w:spacing w:val="-3"/>
          <w:sz w:val="22"/>
        </w:rPr>
        <w:t xml:space="preserve"> </w:t>
      </w:r>
      <w:r w:rsidRPr="00B1306A">
        <w:rPr>
          <w:sz w:val="22"/>
        </w:rPr>
        <w:t>departamento</w:t>
      </w:r>
      <w:r w:rsidRPr="00B1306A">
        <w:rPr>
          <w:spacing w:val="-3"/>
          <w:sz w:val="22"/>
        </w:rPr>
        <w:t xml:space="preserve"> </w:t>
      </w:r>
      <w:r w:rsidRPr="00B1306A">
        <w:rPr>
          <w:sz w:val="22"/>
        </w:rPr>
        <w:t>Archipiélago” (énfasis fuera de texto).</w:t>
      </w:r>
    </w:p>
    <w:p w14:paraId="5C418031" w14:textId="77777777" w:rsidR="00C95361" w:rsidRPr="00B1306A" w:rsidRDefault="00C95361" w:rsidP="00C95361">
      <w:pPr>
        <w:pStyle w:val="Textoindependiente"/>
        <w:spacing w:before="93" w:line="276" w:lineRule="auto"/>
        <w:ind w:firstLine="708"/>
        <w:jc w:val="both"/>
        <w:rPr>
          <w:i/>
          <w:iCs/>
          <w:sz w:val="22"/>
        </w:rPr>
      </w:pPr>
      <w:r w:rsidRPr="00B1306A">
        <w:rPr>
          <w:sz w:val="22"/>
        </w:rPr>
        <w:t>En relación con esta aspecto es pertinente mencionar que, pase a la existencia del</w:t>
      </w:r>
      <w:r w:rsidRPr="00B1306A">
        <w:rPr>
          <w:spacing w:val="1"/>
          <w:sz w:val="22"/>
        </w:rPr>
        <w:t xml:space="preserve"> </w:t>
      </w:r>
      <w:r w:rsidRPr="00B1306A">
        <w:rPr>
          <w:sz w:val="22"/>
        </w:rPr>
        <w:t>régimen</w:t>
      </w:r>
      <w:r w:rsidRPr="00B1306A">
        <w:rPr>
          <w:spacing w:val="1"/>
          <w:sz w:val="22"/>
        </w:rPr>
        <w:t xml:space="preserve"> </w:t>
      </w:r>
      <w:r w:rsidRPr="00B1306A">
        <w:rPr>
          <w:sz w:val="22"/>
        </w:rPr>
        <w:t>de</w:t>
      </w:r>
      <w:r w:rsidRPr="00B1306A">
        <w:rPr>
          <w:spacing w:val="1"/>
          <w:sz w:val="22"/>
        </w:rPr>
        <w:t xml:space="preserve"> </w:t>
      </w:r>
      <w:r w:rsidRPr="00B1306A">
        <w:rPr>
          <w:sz w:val="22"/>
        </w:rPr>
        <w:t>contratación</w:t>
      </w:r>
      <w:r w:rsidRPr="00B1306A">
        <w:rPr>
          <w:spacing w:val="1"/>
          <w:sz w:val="22"/>
        </w:rPr>
        <w:t xml:space="preserve"> </w:t>
      </w:r>
      <w:r w:rsidRPr="00B1306A">
        <w:rPr>
          <w:sz w:val="22"/>
        </w:rPr>
        <w:t>pública,</w:t>
      </w:r>
      <w:r w:rsidRPr="00B1306A">
        <w:rPr>
          <w:spacing w:val="1"/>
          <w:sz w:val="22"/>
        </w:rPr>
        <w:t xml:space="preserve"> </w:t>
      </w:r>
      <w:r w:rsidRPr="00B1306A">
        <w:rPr>
          <w:sz w:val="22"/>
        </w:rPr>
        <w:t>contenido</w:t>
      </w:r>
      <w:r w:rsidRPr="00B1306A">
        <w:rPr>
          <w:spacing w:val="1"/>
          <w:sz w:val="22"/>
        </w:rPr>
        <w:t xml:space="preserve"> </w:t>
      </w:r>
      <w:r w:rsidRPr="00B1306A">
        <w:rPr>
          <w:sz w:val="22"/>
        </w:rPr>
        <w:t>en</w:t>
      </w:r>
      <w:r w:rsidRPr="00B1306A">
        <w:rPr>
          <w:spacing w:val="1"/>
          <w:sz w:val="22"/>
        </w:rPr>
        <w:t xml:space="preserve"> </w:t>
      </w:r>
      <w:r w:rsidRPr="00B1306A">
        <w:rPr>
          <w:sz w:val="22"/>
        </w:rPr>
        <w:t>el</w:t>
      </w:r>
      <w:r w:rsidRPr="00B1306A">
        <w:rPr>
          <w:spacing w:val="1"/>
          <w:sz w:val="22"/>
        </w:rPr>
        <w:t xml:space="preserve"> </w:t>
      </w:r>
      <w:r w:rsidRPr="00B1306A">
        <w:rPr>
          <w:sz w:val="22"/>
        </w:rPr>
        <w:t>Estatuto</w:t>
      </w:r>
      <w:r w:rsidRPr="00B1306A">
        <w:rPr>
          <w:spacing w:val="1"/>
          <w:sz w:val="22"/>
        </w:rPr>
        <w:t xml:space="preserve"> </w:t>
      </w:r>
      <w:r w:rsidRPr="00B1306A">
        <w:rPr>
          <w:sz w:val="22"/>
        </w:rPr>
        <w:t>General</w:t>
      </w:r>
      <w:r w:rsidRPr="00B1306A">
        <w:rPr>
          <w:spacing w:val="1"/>
          <w:sz w:val="22"/>
        </w:rPr>
        <w:t xml:space="preserve"> </w:t>
      </w:r>
      <w:r w:rsidRPr="00B1306A">
        <w:rPr>
          <w:sz w:val="22"/>
        </w:rPr>
        <w:t>de</w:t>
      </w:r>
      <w:r w:rsidRPr="00B1306A">
        <w:rPr>
          <w:spacing w:val="1"/>
          <w:sz w:val="22"/>
        </w:rPr>
        <w:t xml:space="preserve"> </w:t>
      </w:r>
      <w:r w:rsidRPr="00B1306A">
        <w:rPr>
          <w:sz w:val="22"/>
        </w:rPr>
        <w:t>Contratación</w:t>
      </w:r>
      <w:r w:rsidRPr="00B1306A">
        <w:rPr>
          <w:spacing w:val="1"/>
          <w:sz w:val="22"/>
        </w:rPr>
        <w:t xml:space="preserve"> </w:t>
      </w:r>
      <w:r w:rsidRPr="00B1306A">
        <w:rPr>
          <w:sz w:val="22"/>
        </w:rPr>
        <w:t>de</w:t>
      </w:r>
      <w:r w:rsidRPr="00B1306A">
        <w:rPr>
          <w:spacing w:val="1"/>
          <w:sz w:val="22"/>
        </w:rPr>
        <w:t xml:space="preserve"> </w:t>
      </w:r>
      <w:r w:rsidRPr="00B1306A">
        <w:rPr>
          <w:sz w:val="22"/>
        </w:rPr>
        <w:t>la</w:t>
      </w:r>
      <w:r w:rsidRPr="00B1306A">
        <w:rPr>
          <w:spacing w:val="1"/>
          <w:sz w:val="22"/>
        </w:rPr>
        <w:t xml:space="preserve"> </w:t>
      </w:r>
      <w:r w:rsidRPr="00B1306A">
        <w:rPr>
          <w:w w:val="95"/>
          <w:sz w:val="22"/>
        </w:rPr>
        <w:t xml:space="preserve">Administración Pública −EGAP−, el legislador mediante el artículo en comento, </w:t>
      </w:r>
      <w:r w:rsidRPr="00B1306A">
        <w:rPr>
          <w:i/>
          <w:iCs/>
          <w:w w:val="95"/>
          <w:sz w:val="22"/>
        </w:rPr>
        <w:t>“quiso garantizar</w:t>
      </w:r>
      <w:r w:rsidRPr="00B1306A">
        <w:rPr>
          <w:i/>
          <w:iCs/>
          <w:spacing w:val="1"/>
          <w:w w:val="95"/>
          <w:sz w:val="22"/>
        </w:rPr>
        <w:t xml:space="preserve"> </w:t>
      </w:r>
      <w:r w:rsidRPr="00B1306A">
        <w:rPr>
          <w:i/>
          <w:iCs/>
          <w:sz w:val="22"/>
        </w:rPr>
        <w:t>una participación real y efectiva de los raizales y residentes, exigiendo una preferencia de estos</w:t>
      </w:r>
      <w:r w:rsidRPr="00B1306A">
        <w:rPr>
          <w:i/>
          <w:iCs/>
          <w:spacing w:val="1"/>
          <w:sz w:val="22"/>
        </w:rPr>
        <w:t xml:space="preserve"> </w:t>
      </w:r>
      <w:r w:rsidRPr="00B1306A">
        <w:rPr>
          <w:i/>
          <w:iCs/>
          <w:sz w:val="22"/>
        </w:rPr>
        <w:t>grupos poblacionales de la insular, a efectos de poder determinar una verdadera política pública</w:t>
      </w:r>
      <w:r w:rsidRPr="00B1306A">
        <w:rPr>
          <w:i/>
          <w:iCs/>
          <w:spacing w:val="-59"/>
          <w:sz w:val="22"/>
        </w:rPr>
        <w:t xml:space="preserve"> </w:t>
      </w:r>
      <w:r w:rsidRPr="00B1306A">
        <w:rPr>
          <w:i/>
          <w:iCs/>
          <w:sz w:val="22"/>
        </w:rPr>
        <w:t>de</w:t>
      </w:r>
      <w:r w:rsidRPr="00B1306A">
        <w:rPr>
          <w:i/>
          <w:iCs/>
          <w:spacing w:val="-2"/>
          <w:sz w:val="22"/>
        </w:rPr>
        <w:t xml:space="preserve"> </w:t>
      </w:r>
      <w:r w:rsidRPr="00B1306A">
        <w:rPr>
          <w:i/>
          <w:iCs/>
          <w:sz w:val="22"/>
        </w:rPr>
        <w:t>pleno</w:t>
      </w:r>
      <w:r w:rsidRPr="00B1306A">
        <w:rPr>
          <w:i/>
          <w:iCs/>
          <w:spacing w:val="-1"/>
          <w:sz w:val="22"/>
        </w:rPr>
        <w:t xml:space="preserve"> </w:t>
      </w:r>
      <w:r w:rsidRPr="00B1306A">
        <w:rPr>
          <w:i/>
          <w:iCs/>
          <w:sz w:val="22"/>
        </w:rPr>
        <w:t>empleo</w:t>
      </w:r>
      <w:r w:rsidRPr="00B1306A">
        <w:rPr>
          <w:i/>
          <w:iCs/>
          <w:spacing w:val="-1"/>
          <w:sz w:val="22"/>
        </w:rPr>
        <w:t xml:space="preserve"> </w:t>
      </w:r>
      <w:r w:rsidRPr="00B1306A">
        <w:rPr>
          <w:i/>
          <w:iCs/>
          <w:sz w:val="22"/>
        </w:rPr>
        <w:t>en</w:t>
      </w:r>
      <w:r w:rsidRPr="00B1306A">
        <w:rPr>
          <w:i/>
          <w:iCs/>
          <w:spacing w:val="-1"/>
          <w:sz w:val="22"/>
        </w:rPr>
        <w:t xml:space="preserve"> </w:t>
      </w:r>
      <w:r w:rsidRPr="00B1306A">
        <w:rPr>
          <w:i/>
          <w:iCs/>
          <w:sz w:val="22"/>
        </w:rPr>
        <w:t>este</w:t>
      </w:r>
      <w:r w:rsidRPr="00B1306A">
        <w:rPr>
          <w:i/>
          <w:iCs/>
          <w:spacing w:val="-1"/>
          <w:sz w:val="22"/>
        </w:rPr>
        <w:t xml:space="preserve"> </w:t>
      </w:r>
      <w:r w:rsidRPr="00B1306A">
        <w:rPr>
          <w:i/>
          <w:iCs/>
          <w:sz w:val="22"/>
        </w:rPr>
        <w:t>territorio”</w:t>
      </w:r>
      <w:r w:rsidRPr="00B1306A">
        <w:rPr>
          <w:rStyle w:val="Refdenotaalpie"/>
          <w:i/>
          <w:iCs/>
          <w:sz w:val="22"/>
        </w:rPr>
        <w:footnoteReference w:id="20"/>
      </w:r>
      <w:r w:rsidRPr="00B1306A">
        <w:rPr>
          <w:i/>
          <w:iCs/>
          <w:sz w:val="22"/>
        </w:rPr>
        <w:t>.</w:t>
      </w:r>
    </w:p>
    <w:p w14:paraId="57DFBC6E" w14:textId="77777777" w:rsidR="00C95361" w:rsidRPr="00B1306A" w:rsidRDefault="00C95361" w:rsidP="00C95361">
      <w:pPr>
        <w:pStyle w:val="Textoindependiente"/>
        <w:spacing w:before="93" w:line="276" w:lineRule="auto"/>
        <w:ind w:firstLine="708"/>
        <w:jc w:val="both"/>
        <w:rPr>
          <w:iCs/>
        </w:rPr>
      </w:pPr>
      <w:r w:rsidRPr="00B1306A">
        <w:rPr>
          <w:iCs/>
          <w:sz w:val="22"/>
        </w:rPr>
        <w:t xml:space="preserve">Este artículo constituye una norma especial frente a lo dispuesto en el numeral 5 del artículo 35 de la Ley 2069 de 2020 pues como se indicó, hace parte del estatuto fronterizo del departamento Archipiélago de San Andrés, Providencia y Santa Catalina. Ahora, debe tenerse </w:t>
      </w:r>
      <w:proofErr w:type="gramStart"/>
      <w:r w:rsidRPr="00B1306A">
        <w:rPr>
          <w:iCs/>
          <w:sz w:val="22"/>
        </w:rPr>
        <w:t>encuentra,  en</w:t>
      </w:r>
      <w:proofErr w:type="gramEnd"/>
      <w:r w:rsidRPr="00B1306A">
        <w:rPr>
          <w:iCs/>
          <w:sz w:val="22"/>
        </w:rPr>
        <w:t xml:space="preserve"> primer lugar que, el ámbito territorial de aquella disposición se circunscribe exclusivamente al departamento Archipiélago de San Andrés, Providencia y Santa Catalina, mientras que el numeral 5 aplica para todos el territorio nacional.</w:t>
      </w:r>
      <w:r w:rsidRPr="00B1306A">
        <w:rPr>
          <w:iCs/>
        </w:rPr>
        <w:t xml:space="preserve"> </w:t>
      </w:r>
    </w:p>
    <w:p w14:paraId="3D4C9FA1" w14:textId="77777777" w:rsidR="00C95361" w:rsidRPr="00B1306A" w:rsidRDefault="00C95361" w:rsidP="00C95361">
      <w:pPr>
        <w:pStyle w:val="Textoindependiente"/>
        <w:spacing w:before="93" w:line="276" w:lineRule="auto"/>
        <w:ind w:firstLine="708"/>
        <w:jc w:val="both"/>
        <w:rPr>
          <w:iCs/>
          <w:sz w:val="22"/>
        </w:rPr>
      </w:pPr>
      <w:r w:rsidRPr="00B1306A">
        <w:rPr>
          <w:iCs/>
          <w:sz w:val="22"/>
        </w:rPr>
        <w:t xml:space="preserve">En segundo lugar, se encuentra que los factores de desempate contenidos en el artículo 35 referido aplican a todos los procesos de contratación adelantados en todo el territorio nacional, sin distingo de su modalidad de selección, mientras que la regla contenida en el artículo 67 de la Ley 915 de 2004 aplica solo a los procesos de licitación pública. </w:t>
      </w:r>
    </w:p>
    <w:p w14:paraId="3F94AAE5" w14:textId="77777777" w:rsidR="00C95361" w:rsidRPr="00B1306A" w:rsidRDefault="00C95361" w:rsidP="00C95361">
      <w:pPr>
        <w:pStyle w:val="Textoindependiente"/>
        <w:spacing w:before="93" w:line="276" w:lineRule="auto"/>
        <w:ind w:firstLine="708"/>
        <w:jc w:val="both"/>
        <w:rPr>
          <w:sz w:val="22"/>
        </w:rPr>
      </w:pPr>
      <w:r w:rsidRPr="00B1306A">
        <w:rPr>
          <w:iCs/>
          <w:sz w:val="22"/>
        </w:rPr>
        <w:t xml:space="preserve">En sede de este punto, conviene reiterar que, </w:t>
      </w:r>
      <w:r w:rsidRPr="00B1306A">
        <w:rPr>
          <w:rFonts w:eastAsia="Calibri"/>
          <w:bCs/>
          <w:color w:val="000000" w:themeColor="text1"/>
          <w:sz w:val="22"/>
        </w:rPr>
        <w:t xml:space="preserve">tal como se indicó en la respuesta a </w:t>
      </w:r>
      <w:r w:rsidRPr="00B1306A">
        <w:rPr>
          <w:rFonts w:eastAsia="Calibri"/>
          <w:bCs/>
          <w:color w:val="000000" w:themeColor="text1"/>
          <w:sz w:val="22"/>
        </w:rPr>
        <w:lastRenderedPageBreak/>
        <w:t xml:space="preserve">la petición radicada por usted, identificada con radicación No. </w:t>
      </w:r>
      <w:r w:rsidRPr="00B1306A">
        <w:rPr>
          <w:rFonts w:eastAsia="Times New Roman"/>
          <w:bCs/>
          <w:sz w:val="22"/>
          <w:lang w:eastAsia="es-ES"/>
        </w:rPr>
        <w:t>P20230815014244</w:t>
      </w:r>
      <w:r w:rsidRPr="00B1306A">
        <w:rPr>
          <w:rFonts w:eastAsia="Times New Roman"/>
          <w:bCs/>
          <w:lang w:eastAsia="es-ES"/>
        </w:rPr>
        <w:t xml:space="preserve">, </w:t>
      </w:r>
      <w:r w:rsidRPr="00B1306A">
        <w:rPr>
          <w:rFonts w:eastAsia="Calibri"/>
          <w:bCs/>
          <w:noProof/>
          <w:sz w:val="22"/>
        </w:rPr>
        <w:t xml:space="preserve">para esta Agencia no es claro que lo dispuesto en el artículo 67 de la ley 915 de 2004 resulte aplicable en modalidades distintas de la licitación, al referirse la norma unicamente a este procedimiento. De esta manera, al igual que en su momento dicha norma no era aplicable a las modalidades de contratación directa y concurso público, hoy día no se encuentra que sea aplicable de manera forzosa en procedimientos como la selección abreviada, los concursos de méritos y la mínima cuantía. </w:t>
      </w:r>
    </w:p>
    <w:p w14:paraId="456CF100" w14:textId="77777777" w:rsidR="00C95361" w:rsidRPr="00B1306A" w:rsidRDefault="00C95361" w:rsidP="00C95361">
      <w:pPr>
        <w:pStyle w:val="Textoindependiente"/>
        <w:spacing w:before="120" w:line="276" w:lineRule="auto"/>
        <w:ind w:firstLine="720"/>
        <w:jc w:val="both"/>
        <w:rPr>
          <w:rFonts w:eastAsia="Calibri"/>
          <w:bCs/>
          <w:noProof/>
          <w:sz w:val="22"/>
        </w:rPr>
      </w:pPr>
      <w:r w:rsidRPr="00B1306A">
        <w:rPr>
          <w:rFonts w:eastAsia="Calibri"/>
          <w:bCs/>
          <w:noProof/>
          <w:sz w:val="22"/>
        </w:rPr>
        <w:t>Sin perjuicio, claro está, de que tratandose de la contratación adelantada en el departamento Archipiélago de San Andrés, Providencia y Santa Catalina, en los que se apliquen modalidades distintas de la licitación no  se puedan o no se deban aplicar medidas de acción afirmativa en favor de la comunidad raizal. Lo anterior por cuanto, considerando la especial protección de la que es objeto la población raizal, por ejemplo, es posible implementar factores de evaluación que permitan ponderar la relación calidad-precio a partir de criterios sociales dirigidos a generar la inserción sociolaboral de población raizal, lo cual es permitido por el artículo 2.2.1.1.2.2.2. del Decreto 1082 de 2015</w:t>
      </w:r>
      <w:r w:rsidRPr="00B1306A">
        <w:rPr>
          <w:rStyle w:val="Refdenotaalpie"/>
          <w:rFonts w:eastAsia="Calibri"/>
          <w:bCs/>
          <w:noProof/>
          <w:sz w:val="22"/>
        </w:rPr>
        <w:footnoteReference w:id="21"/>
      </w:r>
      <w:r w:rsidRPr="00B1306A">
        <w:rPr>
          <w:rFonts w:eastAsia="Calibri"/>
          <w:bCs/>
          <w:noProof/>
          <w:sz w:val="22"/>
        </w:rPr>
        <w:t>.  Otro ejemplo es la posibilidad de adelantar convocatorias limitadas a mipymes con domicilio dentro el archipielago, para los contratos que deban ejecutarse allí. También es posible aplicar clausulas sociales que promuevan la contratación de población raizal en determinadas condiciones determinadas en la propia minuta del contrato.</w:t>
      </w:r>
    </w:p>
    <w:p w14:paraId="7F6676B8" w14:textId="77777777" w:rsidR="00C95361" w:rsidRPr="00B1306A" w:rsidRDefault="00C95361" w:rsidP="00C95361">
      <w:pPr>
        <w:pStyle w:val="Textoindependiente"/>
        <w:spacing w:before="120" w:line="276" w:lineRule="auto"/>
        <w:ind w:firstLine="720"/>
        <w:jc w:val="both"/>
        <w:rPr>
          <w:rFonts w:eastAsia="Calibri"/>
          <w:bCs/>
          <w:noProof/>
          <w:sz w:val="22"/>
        </w:rPr>
      </w:pPr>
      <w:r w:rsidRPr="00B1306A">
        <w:rPr>
          <w:rFonts w:eastAsia="Calibri"/>
          <w:bCs/>
          <w:noProof/>
          <w:sz w:val="22"/>
        </w:rPr>
        <w:t xml:space="preserve">Por lo cual, en la referida oportunidad se concluyó que, aun cuando el artículo 67 de la Ley 915 de 2004 solo es aplicable en los procesos de selección de contratistas mediante la modalidad de licitación pública, las entidades estatales que contratan objetos que deben </w:t>
      </w:r>
      <w:r w:rsidRPr="00B1306A">
        <w:rPr>
          <w:rFonts w:eastAsia="Calibri"/>
          <w:bCs/>
          <w:noProof/>
          <w:sz w:val="22"/>
        </w:rPr>
        <w:lastRenderedPageBreak/>
        <w:t xml:space="preserve">ejecutarse en el territorio del Archipielago de San Andrés, Providencia y Santa Catalina, tienen a su disposición otras herramientas que les permiten implementar medidas de acción afirmativa que permitan vincular a la población raizal al ciclo de la contratación pública.  </w:t>
      </w:r>
    </w:p>
    <w:p w14:paraId="18E57C5D" w14:textId="77777777" w:rsidR="00C95361" w:rsidRPr="00B1306A" w:rsidRDefault="00C95361" w:rsidP="00C95361">
      <w:pPr>
        <w:pStyle w:val="Textoindependiente"/>
        <w:spacing w:before="120" w:line="276" w:lineRule="auto"/>
        <w:ind w:firstLine="720"/>
        <w:jc w:val="both"/>
        <w:rPr>
          <w:rFonts w:eastAsia="Calibri"/>
          <w:bCs/>
          <w:noProof/>
          <w:sz w:val="22"/>
        </w:rPr>
      </w:pPr>
      <w:r w:rsidRPr="00B1306A">
        <w:rPr>
          <w:rFonts w:eastAsia="Calibri"/>
          <w:bCs/>
          <w:noProof/>
          <w:sz w:val="22"/>
        </w:rPr>
        <w:t xml:space="preserve">En tecer lugar, debe tenerse en cuenta que los sujetos de que trata el artículo 67 de la ley 915 de 2004 corresponde a raizales y residentes del departamento Archipiélago de San Andrés, Providencia y Santa Catalina, cuya definición se encuentra desarrollada con claridad en el Decreto 2762 de 1991, mientras que el ámbito subjetivo de aplicación del numeral 5 del artículo 35 de la Ley 2069 de 2020 es más amplio porque se circunscribe a población indígena, negra, afrocolombiana, raizal, palanquera, Rrom o gitanas. </w:t>
      </w:r>
    </w:p>
    <w:p w14:paraId="36E0B7A7" w14:textId="77777777" w:rsidR="00C95361" w:rsidRPr="00B1306A" w:rsidRDefault="00C95361" w:rsidP="00C95361">
      <w:pPr>
        <w:pStyle w:val="Textoindependiente"/>
        <w:spacing w:before="120" w:line="276" w:lineRule="auto"/>
        <w:ind w:firstLine="720"/>
        <w:jc w:val="both"/>
        <w:rPr>
          <w:color w:val="333333"/>
          <w:sz w:val="22"/>
          <w:shd w:val="clear" w:color="auto" w:fill="FFFFFF"/>
        </w:rPr>
      </w:pPr>
      <w:r w:rsidRPr="00B1306A">
        <w:rPr>
          <w:rFonts w:eastAsia="Calibri"/>
          <w:bCs/>
          <w:noProof/>
          <w:sz w:val="22"/>
        </w:rPr>
        <w:t xml:space="preserve">Asimismo, el artículo 67 estableció que basta con la participación efectiva de miembros de la raizal o de residentes en el departamento Archipiélago de San Andrés, Providencia y Santa Catalina, para que pueda ser valorada esta circunstancia dentro del proceso de licitación pública, mientras que el criterio establecido en el numeral 5 del artículo 35 de la Ley 2069 de 2020, establece un tope mínimo del 10% de la nomina del proponente sea raizal, para que se tenga como factor de desempate dentro de los procesos de selección de contratistas en todo el territorio nacional, en cualquiera de las modalidades de selección adelantadas en el territorio nacional.. </w:t>
      </w:r>
    </w:p>
    <w:p w14:paraId="65F26086" w14:textId="77777777" w:rsidR="00C95361" w:rsidRPr="00B1306A" w:rsidRDefault="00C95361" w:rsidP="00C95361">
      <w:pPr>
        <w:pStyle w:val="Textoindependiente"/>
        <w:spacing w:before="120" w:line="276" w:lineRule="auto"/>
        <w:ind w:firstLine="720"/>
        <w:jc w:val="both"/>
        <w:rPr>
          <w:rFonts w:eastAsia="Calibri"/>
          <w:bCs/>
          <w:noProof/>
          <w:sz w:val="22"/>
        </w:rPr>
      </w:pPr>
      <w:r w:rsidRPr="00B1306A">
        <w:rPr>
          <w:rFonts w:eastAsia="Calibri"/>
          <w:bCs/>
          <w:noProof/>
          <w:sz w:val="22"/>
        </w:rPr>
        <w:t xml:space="preserve">En conclusión, </w:t>
      </w:r>
      <w:r w:rsidRPr="00B1306A">
        <w:rPr>
          <w:rFonts w:eastAsia="Calibri"/>
          <w:bCs/>
          <w:noProof/>
          <w:sz w:val="22"/>
          <w:lang w:val="es-ES_tradnl"/>
        </w:rPr>
        <w:t>El</w:t>
      </w:r>
      <w:r w:rsidRPr="00B1306A">
        <w:rPr>
          <w:rFonts w:eastAsia="Calibri"/>
          <w:bCs/>
          <w:noProof/>
          <w:sz w:val="22"/>
        </w:rPr>
        <w:t xml:space="preserve"> artículo 67 constituye, como se dijo, en una medida especial  para promover la participación real y efectiva de los habitantes del territorio insultar, raizales y residentes, en los procesos de licitación pública, cuyo objeto se deba ejecutar en el Archipiélago, que constituye un factor ponderable dentro de los procesos de selección de contratistas adelantados </w:t>
      </w:r>
      <w:r w:rsidRPr="00B1306A">
        <w:rPr>
          <w:rFonts w:eastAsia="Calibri"/>
          <w:b/>
          <w:bCs/>
          <w:noProof/>
          <w:sz w:val="22"/>
        </w:rPr>
        <w:t xml:space="preserve">unicamente </w:t>
      </w:r>
      <w:r w:rsidRPr="00B1306A">
        <w:rPr>
          <w:rFonts w:eastAsia="Calibri"/>
          <w:bCs/>
          <w:noProof/>
          <w:sz w:val="22"/>
        </w:rPr>
        <w:t>bajo la modalidad de licitación pública, cuyo objeto contractual deba desarrollarase en el territorio insular.  De modo que , es una regla especial que no fue establecida propiamente como un factor de desempate, puesto que esta determinado en la norma como una circunstancia objeto de evaluación</w:t>
      </w:r>
      <w:r w:rsidRPr="00B1306A">
        <w:rPr>
          <w:rFonts w:eastAsia="Calibri"/>
          <w:b/>
          <w:bCs/>
          <w:noProof/>
          <w:sz w:val="22"/>
        </w:rPr>
        <w:t xml:space="preserve"> aplicable exclusivamente a </w:t>
      </w:r>
      <w:r w:rsidRPr="00B1306A">
        <w:rPr>
          <w:rFonts w:eastAsia="Calibri"/>
          <w:bCs/>
          <w:noProof/>
          <w:sz w:val="22"/>
        </w:rPr>
        <w:t xml:space="preserve"> </w:t>
      </w:r>
      <w:r w:rsidRPr="00B1306A">
        <w:rPr>
          <w:rFonts w:eastAsia="Calibri"/>
          <w:b/>
          <w:bCs/>
          <w:noProof/>
          <w:sz w:val="22"/>
        </w:rPr>
        <w:t>los procesos de selección de contratistas, tramitados bajo esa modalidad de selección</w:t>
      </w:r>
      <w:r w:rsidRPr="00B1306A">
        <w:rPr>
          <w:rFonts w:eastAsia="Calibri"/>
          <w:bCs/>
          <w:noProof/>
          <w:sz w:val="22"/>
        </w:rPr>
        <w:t xml:space="preserve"> </w:t>
      </w:r>
      <w:r w:rsidRPr="00B1306A">
        <w:rPr>
          <w:rFonts w:eastAsia="Calibri"/>
          <w:b/>
          <w:bCs/>
          <w:noProof/>
          <w:sz w:val="22"/>
        </w:rPr>
        <w:t>de licitación pública,</w:t>
      </w:r>
      <w:r w:rsidRPr="00B1306A">
        <w:rPr>
          <w:rFonts w:eastAsia="Calibri"/>
          <w:bCs/>
          <w:noProof/>
          <w:sz w:val="22"/>
        </w:rPr>
        <w:t xml:space="preserve">  </w:t>
      </w:r>
      <w:r w:rsidRPr="00B1306A">
        <w:rPr>
          <w:rFonts w:eastAsia="Calibri"/>
          <w:b/>
          <w:bCs/>
          <w:noProof/>
          <w:sz w:val="22"/>
        </w:rPr>
        <w:t xml:space="preserve">cuyo objeto contractual deba desarrollarse en el Archipiélago, </w:t>
      </w:r>
      <w:r w:rsidRPr="00B1306A">
        <w:rPr>
          <w:rFonts w:eastAsia="Calibri"/>
          <w:bCs/>
          <w:noProof/>
          <w:sz w:val="22"/>
        </w:rPr>
        <w:t xml:space="preserve">mientras que lo dispuesto en el numeral 5 del artículo 35 de la Ley 2069 de 2020 es un facator de desempate, y por ende,  una regla de naturaleza distinta a la contenida en el artículo 67 de la ley 915 de 2004, aplicable a todos los procesos de contratación adelantados en el territorio nacional, sin dinstingo de modalidad de selección, por lo cual, dada la naturaleza juridica distinta de ambas normas, la entrada en vigencia del artículo 35 de la Ley de emprendimiento  no afecta la vigencia de la regla establecida en el artículo 67 de la Ley 915 de 2004.  </w:t>
      </w:r>
    </w:p>
    <w:p w14:paraId="1E6DF33C" w14:textId="77777777" w:rsidR="00C95361" w:rsidRPr="00B1306A" w:rsidRDefault="00C95361" w:rsidP="00C95361">
      <w:pPr>
        <w:tabs>
          <w:tab w:val="left" w:pos="0"/>
        </w:tabs>
        <w:jc w:val="both"/>
        <w:rPr>
          <w:rFonts w:ascii="Arial" w:eastAsia="Calibri" w:hAnsi="Arial" w:cs="Arial"/>
          <w:b/>
          <w:color w:val="000000" w:themeColor="text1"/>
          <w:lang w:val="es-ES_tradnl"/>
        </w:rPr>
      </w:pPr>
      <w:r w:rsidRPr="00B1306A">
        <w:rPr>
          <w:rFonts w:ascii="Arial" w:eastAsia="Calibri" w:hAnsi="Arial" w:cs="Arial"/>
          <w:b/>
          <w:color w:val="000000" w:themeColor="text1"/>
          <w:lang w:val="es-ES_tradnl"/>
        </w:rPr>
        <w:t>3. Respuesta</w:t>
      </w:r>
    </w:p>
    <w:p w14:paraId="7B19169E" w14:textId="77777777" w:rsidR="00C95361" w:rsidRPr="00B1306A" w:rsidRDefault="00C95361" w:rsidP="00C95361">
      <w:pPr>
        <w:pStyle w:val="Prrafodelista"/>
        <w:ind w:right="709"/>
        <w:jc w:val="both"/>
        <w:rPr>
          <w:rFonts w:ascii="Arial" w:hAnsi="Arial" w:cs="Arial"/>
          <w:color w:val="000000" w:themeColor="text1"/>
          <w:sz w:val="21"/>
          <w:szCs w:val="21"/>
          <w:lang w:val="es-ES_tradnl"/>
        </w:rPr>
      </w:pPr>
    </w:p>
    <w:p w14:paraId="0C8592BA" w14:textId="77777777" w:rsidR="00C95361" w:rsidRPr="00680ABB" w:rsidRDefault="00C95361" w:rsidP="00C95361">
      <w:pPr>
        <w:pStyle w:val="Prrafodelista"/>
        <w:numPr>
          <w:ilvl w:val="0"/>
          <w:numId w:val="20"/>
        </w:numPr>
        <w:tabs>
          <w:tab w:val="left" w:pos="2712"/>
        </w:tabs>
        <w:spacing w:line="276" w:lineRule="auto"/>
        <w:ind w:left="709" w:right="709"/>
        <w:jc w:val="both"/>
        <w:rPr>
          <w:rFonts w:ascii="Arial" w:hAnsi="Arial" w:cs="Arial"/>
          <w:i/>
          <w:iCs/>
          <w:color w:val="000000" w:themeColor="text1"/>
          <w:sz w:val="21"/>
          <w:szCs w:val="21"/>
          <w:lang w:val="es-CO"/>
        </w:rPr>
      </w:pPr>
      <w:proofErr w:type="gramStart"/>
      <w:r w:rsidRPr="00680ABB">
        <w:rPr>
          <w:rFonts w:ascii="Arial" w:hAnsi="Arial" w:cs="Arial"/>
          <w:sz w:val="21"/>
          <w:szCs w:val="21"/>
        </w:rPr>
        <w:t>La ley 2069 de 2020 derogó, subrogó o modificó el criterio de desempate de la ley 915 de 2004?</w:t>
      </w:r>
      <w:proofErr w:type="gramEnd"/>
      <w:r w:rsidRPr="00680ABB">
        <w:rPr>
          <w:rFonts w:ascii="Arial" w:hAnsi="Arial" w:cs="Arial"/>
          <w:sz w:val="21"/>
          <w:szCs w:val="21"/>
        </w:rPr>
        <w:t xml:space="preserve"> </w:t>
      </w:r>
      <w:r w:rsidRPr="00680ABB">
        <w:rPr>
          <w:rFonts w:ascii="Arial" w:hAnsi="Arial" w:cs="Arial"/>
          <w:color w:val="000000" w:themeColor="text1"/>
          <w:sz w:val="21"/>
          <w:szCs w:val="21"/>
        </w:rPr>
        <w:t xml:space="preserve"> </w:t>
      </w:r>
    </w:p>
    <w:p w14:paraId="7B5AAFA0" w14:textId="77777777" w:rsidR="00C95361" w:rsidRPr="00680ABB" w:rsidRDefault="00C95361" w:rsidP="00C95361">
      <w:pPr>
        <w:pStyle w:val="Prrafodelista"/>
        <w:numPr>
          <w:ilvl w:val="0"/>
          <w:numId w:val="20"/>
        </w:numPr>
        <w:tabs>
          <w:tab w:val="left" w:pos="2712"/>
        </w:tabs>
        <w:spacing w:line="276" w:lineRule="auto"/>
        <w:ind w:left="709" w:right="709"/>
        <w:jc w:val="both"/>
        <w:rPr>
          <w:rFonts w:ascii="Arial" w:hAnsi="Arial" w:cs="Arial"/>
          <w:i/>
          <w:iCs/>
          <w:color w:val="000000" w:themeColor="text1"/>
          <w:sz w:val="21"/>
          <w:szCs w:val="21"/>
          <w:lang w:val="es-CO"/>
        </w:rPr>
      </w:pPr>
      <w:r w:rsidRPr="00680ABB">
        <w:rPr>
          <w:rFonts w:ascii="Arial" w:hAnsi="Arial" w:cs="Arial"/>
          <w:sz w:val="21"/>
          <w:szCs w:val="21"/>
        </w:rPr>
        <w:lastRenderedPageBreak/>
        <w:t>En caso de que la respuesta sea negativa, ¿es viable jurídicamente que las entidades públicas incluyan el criterio de desempate del artículo 67 de la ley 915 de 2004?</w:t>
      </w:r>
    </w:p>
    <w:p w14:paraId="611086F5" w14:textId="77777777" w:rsidR="00C95361" w:rsidRPr="00B1306A" w:rsidRDefault="00C95361" w:rsidP="00C95361">
      <w:pPr>
        <w:pStyle w:val="Prrafodelista"/>
        <w:numPr>
          <w:ilvl w:val="0"/>
          <w:numId w:val="20"/>
        </w:numPr>
        <w:ind w:left="709" w:right="709" w:hanging="357"/>
        <w:jc w:val="both"/>
        <w:rPr>
          <w:rFonts w:ascii="Arial" w:hAnsi="Arial" w:cs="Arial"/>
          <w:i/>
          <w:iCs/>
          <w:color w:val="000000" w:themeColor="text1"/>
          <w:sz w:val="21"/>
          <w:szCs w:val="21"/>
          <w:lang w:val="es-CO"/>
        </w:rPr>
      </w:pPr>
      <w:r w:rsidRPr="00B1306A">
        <w:rPr>
          <w:rFonts w:ascii="Arial" w:hAnsi="Arial" w:cs="Arial"/>
          <w:sz w:val="21"/>
          <w:szCs w:val="21"/>
        </w:rPr>
        <w:t xml:space="preserve">¿En procesos de selección diferentes a licitaciones públicas se debe aplicar el criterio de ponderación y el criterio de desempate de que trata el artículo 67 de la ley 915 de </w:t>
      </w:r>
      <w:proofErr w:type="gramStart"/>
      <w:r w:rsidRPr="00B1306A">
        <w:rPr>
          <w:rFonts w:ascii="Arial" w:hAnsi="Arial" w:cs="Arial"/>
          <w:sz w:val="21"/>
          <w:szCs w:val="21"/>
        </w:rPr>
        <w:t>2004?.</w:t>
      </w:r>
      <w:proofErr w:type="gramEnd"/>
      <w:r w:rsidRPr="00B1306A">
        <w:rPr>
          <w:rFonts w:ascii="Arial" w:hAnsi="Arial" w:cs="Arial"/>
          <w:sz w:val="21"/>
          <w:szCs w:val="21"/>
        </w:rPr>
        <w:t xml:space="preserve"> </w:t>
      </w:r>
    </w:p>
    <w:p w14:paraId="52164C54" w14:textId="77777777" w:rsidR="00C95361" w:rsidRPr="00B1306A" w:rsidRDefault="00C95361" w:rsidP="00C95361">
      <w:pPr>
        <w:spacing w:line="276" w:lineRule="auto"/>
        <w:jc w:val="both"/>
        <w:rPr>
          <w:rStyle w:val="normaltextrun"/>
          <w:rFonts w:ascii="Arial" w:hAnsi="Arial" w:cs="Arial"/>
        </w:rPr>
      </w:pPr>
    </w:p>
    <w:p w14:paraId="3C7B1EDD" w14:textId="77777777" w:rsidR="00C95361" w:rsidRPr="00B1306A" w:rsidRDefault="00C95361" w:rsidP="00C95361">
      <w:pPr>
        <w:spacing w:after="120" w:line="276" w:lineRule="auto"/>
        <w:ind w:firstLine="720"/>
        <w:jc w:val="both"/>
        <w:rPr>
          <w:rFonts w:ascii="Arial" w:eastAsia="Calibri" w:hAnsi="Arial" w:cs="Arial"/>
        </w:rPr>
      </w:pPr>
      <w:r w:rsidRPr="00B1306A">
        <w:rPr>
          <w:rFonts w:ascii="Arial" w:eastAsia="Calibri" w:hAnsi="Arial" w:cs="Arial"/>
        </w:rPr>
        <w:t xml:space="preserve">La Agencia Nacional de Contratación Pública – Colombia Compra Eficiente no tiene competencia para determinar la forma en la que las entidades estatales deben dar respuesta a las observaciones que se realicen en los procesos de selección. En este sentido, esta Agencia no es competente para determinar la viabilidad de la aplicación de los criterios de desempate en los procesos de selección de contratistas adelantados por las Entidades públicas. </w:t>
      </w:r>
    </w:p>
    <w:p w14:paraId="5A5BD0C9" w14:textId="77777777" w:rsidR="00C95361" w:rsidRPr="00B1306A" w:rsidRDefault="00C95361" w:rsidP="00C95361">
      <w:pPr>
        <w:pStyle w:val="Textoindependiente"/>
        <w:spacing w:before="120" w:line="276" w:lineRule="auto"/>
        <w:ind w:firstLine="708"/>
        <w:jc w:val="both"/>
        <w:rPr>
          <w:rFonts w:eastAsia="Calibri"/>
          <w:sz w:val="22"/>
          <w:lang w:eastAsia="en-US"/>
        </w:rPr>
      </w:pPr>
      <w:r w:rsidRPr="00B1306A">
        <w:rPr>
          <w:rFonts w:eastAsia="Calibri"/>
          <w:sz w:val="22"/>
          <w:lang w:eastAsia="en-US"/>
        </w:rPr>
        <w:t>Sin perjuicio de lo anterior, teniendo en cuenta que la consulta se relaciona con los documentos tipo expedidos por esta Agencia, la Subdirección de Gestión Contractual –dentro de los límites de sus atribuciones, esto es, haciendo abstracción del caso particular expuesto por el peticionario– resolverá la consulta conforme a las normas generales en materia de contratación estatal.</w:t>
      </w:r>
    </w:p>
    <w:p w14:paraId="0F659A52" w14:textId="77777777" w:rsidR="00C95361" w:rsidRPr="00B1306A" w:rsidRDefault="00C95361" w:rsidP="00C95361">
      <w:pPr>
        <w:spacing w:before="120" w:line="276" w:lineRule="auto"/>
        <w:ind w:firstLine="709"/>
        <w:jc w:val="both"/>
        <w:rPr>
          <w:rFonts w:ascii="Arial" w:eastAsia="Arial" w:hAnsi="Arial" w:cs="Arial"/>
        </w:rPr>
      </w:pPr>
      <w:r w:rsidRPr="00B1306A">
        <w:rPr>
          <w:rFonts w:ascii="Arial" w:eastAsia="Arial" w:hAnsi="Arial" w:cs="Arial"/>
        </w:rPr>
        <w:t xml:space="preserve">Los factores de desempate regulados en el artículo 35 de la Ley 2069 de 2020 se deben tener en cuenta en todos los procedimientos de contratación estatal, pues la referida disposición, en el primer inciso, establece que aquellos rigen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Por ello, esta Agencia ha indicado que si el legislador no distinguió modalidades de selección contractual específicas –efectuadas con recursos públicos– en las que deben aplicarse los factores de desempate, no le está permitido al intérprete hacerlo. Bajo este entendimiento, dichos factores rigen en los procedimientos de licitación pública, selección abreviada –en cualquiera de sus modalidades–, concurso de méritos, contratación de mínima cuantía, pero también en los demás procedimientos adelantados </w:t>
      </w:r>
      <w:r w:rsidRPr="00B1306A">
        <w:rPr>
          <w:rFonts w:ascii="Arial" w:eastAsia="Arial" w:hAnsi="Arial" w:cs="Arial"/>
          <w:i/>
        </w:rPr>
        <w:t>con recursos públicos</w:t>
      </w:r>
      <w:r w:rsidRPr="00B1306A">
        <w:rPr>
          <w:rFonts w:ascii="Arial" w:eastAsia="Arial" w:hAnsi="Arial" w:cs="Arial"/>
        </w:rPr>
        <w:t xml:space="preserve"> e incluso en los procedimientos contractuales de las entidades estatales exceptuadas de la aplicación del Estatuto General de Contratación de la Administración Pública. </w:t>
      </w:r>
    </w:p>
    <w:p w14:paraId="47DDF376" w14:textId="77777777" w:rsidR="00C95361" w:rsidRPr="00B1306A" w:rsidRDefault="00C95361" w:rsidP="00C95361">
      <w:pPr>
        <w:pStyle w:val="Textoindependiente"/>
        <w:spacing w:before="120" w:line="276" w:lineRule="auto"/>
        <w:ind w:firstLine="708"/>
        <w:jc w:val="both"/>
        <w:rPr>
          <w:sz w:val="22"/>
        </w:rPr>
      </w:pPr>
      <w:r w:rsidRPr="00B1306A">
        <w:rPr>
          <w:rFonts w:eastAsia="Arial"/>
          <w:sz w:val="22"/>
        </w:rPr>
        <w:t xml:space="preserve">[…] [E]n lo que respecta al artículo 67 de la ley 915 de 2004, que esta norma no constituye un factor de </w:t>
      </w:r>
      <w:proofErr w:type="gramStart"/>
      <w:r w:rsidRPr="00B1306A">
        <w:rPr>
          <w:rFonts w:eastAsia="Arial"/>
          <w:sz w:val="22"/>
        </w:rPr>
        <w:t>desempate</w:t>
      </w:r>
      <w:proofErr w:type="gramEnd"/>
      <w:r w:rsidRPr="00B1306A">
        <w:rPr>
          <w:rFonts w:eastAsia="Arial"/>
          <w:sz w:val="22"/>
        </w:rPr>
        <w:t xml:space="preserve"> sino que se trata de un factor ponderable, con lo que se </w:t>
      </w:r>
      <w:r w:rsidRPr="00B1306A">
        <w:rPr>
          <w:rFonts w:eastAsia="Arial"/>
          <w:sz w:val="22"/>
        </w:rPr>
        <w:lastRenderedPageBreak/>
        <w:t>marca una notable diferencia conceptual entre ambas disposiciones, como pasará a explicarse a continuación. [..]</w:t>
      </w:r>
      <w:r w:rsidRPr="00B1306A">
        <w:rPr>
          <w:sz w:val="22"/>
        </w:rPr>
        <w:t>el</w:t>
      </w:r>
      <w:r w:rsidRPr="00B1306A">
        <w:rPr>
          <w:spacing w:val="-9"/>
          <w:sz w:val="22"/>
        </w:rPr>
        <w:t xml:space="preserve"> </w:t>
      </w:r>
      <w:r w:rsidRPr="00B1306A">
        <w:rPr>
          <w:sz w:val="22"/>
        </w:rPr>
        <w:t>Congreso</w:t>
      </w:r>
      <w:r w:rsidRPr="00B1306A">
        <w:rPr>
          <w:spacing w:val="-8"/>
          <w:sz w:val="22"/>
        </w:rPr>
        <w:t xml:space="preserve"> </w:t>
      </w:r>
      <w:r w:rsidRPr="00B1306A">
        <w:rPr>
          <w:sz w:val="22"/>
        </w:rPr>
        <w:t>de</w:t>
      </w:r>
      <w:r w:rsidRPr="00B1306A">
        <w:rPr>
          <w:spacing w:val="-9"/>
          <w:sz w:val="22"/>
        </w:rPr>
        <w:t xml:space="preserve"> </w:t>
      </w:r>
      <w:r w:rsidRPr="00B1306A">
        <w:rPr>
          <w:sz w:val="22"/>
        </w:rPr>
        <w:t>la</w:t>
      </w:r>
      <w:r w:rsidRPr="00B1306A">
        <w:rPr>
          <w:spacing w:val="-8"/>
          <w:sz w:val="22"/>
        </w:rPr>
        <w:t xml:space="preserve"> </w:t>
      </w:r>
      <w:r w:rsidRPr="00B1306A">
        <w:rPr>
          <w:sz w:val="22"/>
        </w:rPr>
        <w:t>República</w:t>
      </w:r>
      <w:r w:rsidRPr="00B1306A">
        <w:rPr>
          <w:spacing w:val="-9"/>
          <w:sz w:val="22"/>
        </w:rPr>
        <w:t xml:space="preserve"> </w:t>
      </w:r>
      <w:r w:rsidRPr="00B1306A">
        <w:rPr>
          <w:sz w:val="22"/>
        </w:rPr>
        <w:t>expidió</w:t>
      </w:r>
      <w:r w:rsidRPr="00B1306A">
        <w:rPr>
          <w:spacing w:val="-9"/>
          <w:sz w:val="22"/>
        </w:rPr>
        <w:t xml:space="preserve"> </w:t>
      </w:r>
      <w:r w:rsidRPr="00B1306A">
        <w:rPr>
          <w:sz w:val="22"/>
        </w:rPr>
        <w:t>la</w:t>
      </w:r>
      <w:r w:rsidRPr="00B1306A">
        <w:rPr>
          <w:spacing w:val="-8"/>
          <w:sz w:val="22"/>
        </w:rPr>
        <w:t xml:space="preserve"> </w:t>
      </w:r>
      <w:r w:rsidRPr="00B1306A">
        <w:rPr>
          <w:sz w:val="22"/>
        </w:rPr>
        <w:t>Ley</w:t>
      </w:r>
      <w:r w:rsidRPr="00B1306A">
        <w:rPr>
          <w:spacing w:val="-9"/>
          <w:sz w:val="22"/>
        </w:rPr>
        <w:t xml:space="preserve"> </w:t>
      </w:r>
      <w:r w:rsidRPr="00B1306A">
        <w:rPr>
          <w:sz w:val="22"/>
        </w:rPr>
        <w:t>915</w:t>
      </w:r>
      <w:r w:rsidRPr="00B1306A">
        <w:rPr>
          <w:spacing w:val="-8"/>
          <w:sz w:val="22"/>
        </w:rPr>
        <w:t xml:space="preserve"> </w:t>
      </w:r>
      <w:r w:rsidRPr="00B1306A">
        <w:rPr>
          <w:sz w:val="22"/>
        </w:rPr>
        <w:t>de</w:t>
      </w:r>
      <w:r w:rsidRPr="00B1306A">
        <w:rPr>
          <w:spacing w:val="-9"/>
          <w:sz w:val="22"/>
        </w:rPr>
        <w:t xml:space="preserve"> </w:t>
      </w:r>
      <w:r w:rsidRPr="00B1306A">
        <w:rPr>
          <w:sz w:val="22"/>
        </w:rPr>
        <w:t>2004</w:t>
      </w:r>
      <w:r w:rsidRPr="00B1306A">
        <w:rPr>
          <w:spacing w:val="-8"/>
          <w:sz w:val="22"/>
        </w:rPr>
        <w:t xml:space="preserve"> </w:t>
      </w:r>
      <w:r w:rsidRPr="00B1306A">
        <w:rPr>
          <w:i/>
          <w:iCs/>
          <w:sz w:val="22"/>
        </w:rPr>
        <w:t>“por</w:t>
      </w:r>
      <w:r w:rsidRPr="00B1306A">
        <w:rPr>
          <w:i/>
          <w:iCs/>
          <w:spacing w:val="-9"/>
          <w:sz w:val="22"/>
        </w:rPr>
        <w:t xml:space="preserve"> </w:t>
      </w:r>
      <w:r w:rsidRPr="00B1306A">
        <w:rPr>
          <w:i/>
          <w:iCs/>
          <w:sz w:val="22"/>
        </w:rPr>
        <w:t>la</w:t>
      </w:r>
      <w:r w:rsidRPr="00B1306A">
        <w:rPr>
          <w:i/>
          <w:iCs/>
          <w:spacing w:val="-9"/>
          <w:sz w:val="22"/>
        </w:rPr>
        <w:t xml:space="preserve"> </w:t>
      </w:r>
      <w:r w:rsidRPr="00B1306A">
        <w:rPr>
          <w:i/>
          <w:iCs/>
          <w:sz w:val="22"/>
        </w:rPr>
        <w:t>cual</w:t>
      </w:r>
      <w:r w:rsidRPr="00B1306A">
        <w:rPr>
          <w:i/>
          <w:iCs/>
          <w:spacing w:val="-8"/>
          <w:sz w:val="22"/>
        </w:rPr>
        <w:t xml:space="preserve"> </w:t>
      </w:r>
      <w:r w:rsidRPr="00B1306A">
        <w:rPr>
          <w:i/>
          <w:iCs/>
          <w:sz w:val="22"/>
        </w:rPr>
        <w:t>se</w:t>
      </w:r>
      <w:r w:rsidRPr="00B1306A">
        <w:rPr>
          <w:i/>
          <w:iCs/>
          <w:spacing w:val="-9"/>
          <w:sz w:val="22"/>
        </w:rPr>
        <w:t xml:space="preserve"> </w:t>
      </w:r>
      <w:r w:rsidRPr="00B1306A">
        <w:rPr>
          <w:i/>
          <w:iCs/>
          <w:sz w:val="22"/>
        </w:rPr>
        <w:t>dicta</w:t>
      </w:r>
      <w:r w:rsidRPr="00B1306A">
        <w:rPr>
          <w:i/>
          <w:iCs/>
          <w:spacing w:val="-58"/>
          <w:sz w:val="22"/>
        </w:rPr>
        <w:t xml:space="preserve"> </w:t>
      </w:r>
      <w:r w:rsidRPr="00B1306A">
        <w:rPr>
          <w:i/>
          <w:iCs/>
          <w:sz w:val="22"/>
        </w:rPr>
        <w:t xml:space="preserve">el Estatuto Fronterizo para el Desarrollo Económico y Social del Departamento Archipiélago </w:t>
      </w:r>
      <w:proofErr w:type="gramStart"/>
      <w:r w:rsidRPr="00B1306A">
        <w:rPr>
          <w:i/>
          <w:iCs/>
          <w:sz w:val="22"/>
        </w:rPr>
        <w:t xml:space="preserve">de </w:t>
      </w:r>
      <w:r w:rsidRPr="00B1306A">
        <w:rPr>
          <w:i/>
          <w:iCs/>
          <w:spacing w:val="-59"/>
          <w:sz w:val="22"/>
        </w:rPr>
        <w:t xml:space="preserve"> </w:t>
      </w:r>
      <w:r w:rsidRPr="00B1306A">
        <w:rPr>
          <w:i/>
          <w:iCs/>
          <w:sz w:val="22"/>
        </w:rPr>
        <w:t>San</w:t>
      </w:r>
      <w:proofErr w:type="gramEnd"/>
      <w:r w:rsidRPr="00B1306A">
        <w:rPr>
          <w:i/>
          <w:iCs/>
          <w:sz w:val="22"/>
        </w:rPr>
        <w:t xml:space="preserve"> Andrés,</w:t>
      </w:r>
      <w:r w:rsidRPr="00B1306A">
        <w:rPr>
          <w:i/>
          <w:iCs/>
          <w:spacing w:val="-9"/>
          <w:sz w:val="22"/>
        </w:rPr>
        <w:t xml:space="preserve"> </w:t>
      </w:r>
      <w:r w:rsidRPr="00B1306A">
        <w:rPr>
          <w:i/>
          <w:iCs/>
          <w:sz w:val="22"/>
        </w:rPr>
        <w:t>Providencia</w:t>
      </w:r>
      <w:r w:rsidRPr="00B1306A">
        <w:rPr>
          <w:i/>
          <w:iCs/>
          <w:spacing w:val="-7"/>
          <w:sz w:val="22"/>
        </w:rPr>
        <w:t xml:space="preserve"> </w:t>
      </w:r>
      <w:r w:rsidRPr="00B1306A">
        <w:rPr>
          <w:i/>
          <w:iCs/>
          <w:sz w:val="22"/>
        </w:rPr>
        <w:t>y</w:t>
      </w:r>
      <w:r w:rsidRPr="00B1306A">
        <w:rPr>
          <w:i/>
          <w:iCs/>
          <w:spacing w:val="-9"/>
          <w:sz w:val="22"/>
        </w:rPr>
        <w:t xml:space="preserve"> </w:t>
      </w:r>
      <w:r w:rsidRPr="00B1306A">
        <w:rPr>
          <w:i/>
          <w:iCs/>
          <w:sz w:val="22"/>
        </w:rPr>
        <w:t>Santa</w:t>
      </w:r>
      <w:r w:rsidRPr="00B1306A">
        <w:rPr>
          <w:i/>
          <w:iCs/>
          <w:spacing w:val="-8"/>
          <w:sz w:val="22"/>
        </w:rPr>
        <w:t xml:space="preserve"> </w:t>
      </w:r>
      <w:r w:rsidRPr="00B1306A">
        <w:rPr>
          <w:i/>
          <w:iCs/>
          <w:sz w:val="22"/>
        </w:rPr>
        <w:t>Catalina”</w:t>
      </w:r>
      <w:r w:rsidRPr="00B1306A">
        <w:rPr>
          <w:sz w:val="22"/>
        </w:rPr>
        <w:t>.</w:t>
      </w:r>
      <w:r w:rsidRPr="00B1306A">
        <w:rPr>
          <w:spacing w:val="-9"/>
          <w:sz w:val="22"/>
        </w:rPr>
        <w:t xml:space="preserve"> </w:t>
      </w:r>
      <w:r w:rsidRPr="00B1306A">
        <w:rPr>
          <w:sz w:val="22"/>
        </w:rPr>
        <w:t>Sobre</w:t>
      </w:r>
      <w:r w:rsidRPr="00B1306A">
        <w:rPr>
          <w:spacing w:val="-8"/>
          <w:sz w:val="22"/>
        </w:rPr>
        <w:t xml:space="preserve"> </w:t>
      </w:r>
      <w:r w:rsidRPr="00B1306A">
        <w:rPr>
          <w:sz w:val="22"/>
        </w:rPr>
        <w:t>la</w:t>
      </w:r>
      <w:r w:rsidRPr="00B1306A">
        <w:rPr>
          <w:spacing w:val="-9"/>
          <w:sz w:val="22"/>
        </w:rPr>
        <w:t xml:space="preserve"> </w:t>
      </w:r>
      <w:r w:rsidRPr="00B1306A">
        <w:rPr>
          <w:sz w:val="22"/>
        </w:rPr>
        <w:t>norma</w:t>
      </w:r>
      <w:r w:rsidRPr="00B1306A">
        <w:rPr>
          <w:spacing w:val="-9"/>
          <w:sz w:val="22"/>
        </w:rPr>
        <w:t xml:space="preserve"> </w:t>
      </w:r>
      <w:r w:rsidRPr="00B1306A">
        <w:rPr>
          <w:sz w:val="22"/>
        </w:rPr>
        <w:t>en</w:t>
      </w:r>
      <w:r w:rsidRPr="00B1306A">
        <w:rPr>
          <w:spacing w:val="-9"/>
          <w:sz w:val="22"/>
        </w:rPr>
        <w:t xml:space="preserve"> </w:t>
      </w:r>
      <w:r w:rsidRPr="00B1306A">
        <w:rPr>
          <w:sz w:val="22"/>
        </w:rPr>
        <w:t>mención,</w:t>
      </w:r>
      <w:r w:rsidRPr="00B1306A">
        <w:rPr>
          <w:spacing w:val="-9"/>
          <w:sz w:val="22"/>
        </w:rPr>
        <w:t xml:space="preserve"> </w:t>
      </w:r>
      <w:r w:rsidRPr="00B1306A">
        <w:rPr>
          <w:sz w:val="22"/>
        </w:rPr>
        <w:t>resulta</w:t>
      </w:r>
      <w:r w:rsidRPr="00B1306A">
        <w:rPr>
          <w:spacing w:val="-9"/>
          <w:sz w:val="22"/>
        </w:rPr>
        <w:t xml:space="preserve"> </w:t>
      </w:r>
      <w:r w:rsidRPr="00B1306A">
        <w:rPr>
          <w:sz w:val="22"/>
        </w:rPr>
        <w:t>pertinente</w:t>
      </w:r>
      <w:r w:rsidRPr="00B1306A">
        <w:rPr>
          <w:spacing w:val="-8"/>
          <w:sz w:val="22"/>
        </w:rPr>
        <w:t xml:space="preserve"> </w:t>
      </w:r>
      <w:r w:rsidRPr="00B1306A">
        <w:rPr>
          <w:sz w:val="22"/>
        </w:rPr>
        <w:t>aludir</w:t>
      </w:r>
      <w:r w:rsidRPr="00B1306A">
        <w:rPr>
          <w:spacing w:val="-59"/>
          <w:sz w:val="22"/>
        </w:rPr>
        <w:t xml:space="preserve"> </w:t>
      </w:r>
      <w:r w:rsidRPr="00B1306A">
        <w:rPr>
          <w:sz w:val="22"/>
        </w:rPr>
        <w:t xml:space="preserve">al artículo 67 que dispone: “En las licitaciones de contratos </w:t>
      </w:r>
      <w:r w:rsidRPr="00B1306A">
        <w:rPr>
          <w:i/>
          <w:iCs/>
          <w:sz w:val="22"/>
        </w:rPr>
        <w:t>cuyo objeto deba ser</w:t>
      </w:r>
      <w:r w:rsidRPr="00B1306A">
        <w:rPr>
          <w:i/>
          <w:iCs/>
          <w:spacing w:val="1"/>
          <w:sz w:val="22"/>
        </w:rPr>
        <w:t xml:space="preserve"> </w:t>
      </w:r>
      <w:r w:rsidRPr="00B1306A">
        <w:rPr>
          <w:i/>
          <w:iCs/>
          <w:sz w:val="22"/>
        </w:rPr>
        <w:t>desarrollado en el territorio del departamento Archipiélago</w:t>
      </w:r>
      <w:r w:rsidRPr="00B1306A">
        <w:rPr>
          <w:sz w:val="22"/>
        </w:rPr>
        <w:t>, las entidades licitantes propenderán</w:t>
      </w:r>
      <w:r w:rsidRPr="00B1306A">
        <w:rPr>
          <w:spacing w:val="1"/>
          <w:sz w:val="22"/>
        </w:rPr>
        <w:t xml:space="preserve"> </w:t>
      </w:r>
      <w:r w:rsidRPr="00B1306A">
        <w:rPr>
          <w:sz w:val="22"/>
        </w:rPr>
        <w:t>por</w:t>
      </w:r>
      <w:r w:rsidRPr="00B1306A">
        <w:rPr>
          <w:spacing w:val="-9"/>
          <w:sz w:val="22"/>
        </w:rPr>
        <w:t xml:space="preserve"> </w:t>
      </w:r>
      <w:r w:rsidRPr="00B1306A">
        <w:rPr>
          <w:sz w:val="22"/>
        </w:rPr>
        <w:t>una</w:t>
      </w:r>
      <w:r w:rsidRPr="00B1306A">
        <w:rPr>
          <w:spacing w:val="-8"/>
          <w:sz w:val="22"/>
        </w:rPr>
        <w:t xml:space="preserve"> </w:t>
      </w:r>
      <w:r w:rsidRPr="00B1306A">
        <w:rPr>
          <w:i/>
          <w:iCs/>
          <w:sz w:val="22"/>
        </w:rPr>
        <w:t>participación</w:t>
      </w:r>
      <w:r w:rsidRPr="00B1306A">
        <w:rPr>
          <w:i/>
          <w:iCs/>
          <w:spacing w:val="-7"/>
          <w:sz w:val="22"/>
        </w:rPr>
        <w:t xml:space="preserve"> </w:t>
      </w:r>
      <w:r w:rsidRPr="00B1306A">
        <w:rPr>
          <w:i/>
          <w:iCs/>
          <w:sz w:val="22"/>
        </w:rPr>
        <w:t>real</w:t>
      </w:r>
      <w:r w:rsidRPr="00B1306A">
        <w:rPr>
          <w:i/>
          <w:iCs/>
          <w:spacing w:val="-8"/>
          <w:sz w:val="22"/>
        </w:rPr>
        <w:t xml:space="preserve"> </w:t>
      </w:r>
      <w:r w:rsidRPr="00B1306A">
        <w:rPr>
          <w:i/>
          <w:iCs/>
          <w:sz w:val="22"/>
        </w:rPr>
        <w:t>y</w:t>
      </w:r>
      <w:r w:rsidRPr="00B1306A">
        <w:rPr>
          <w:i/>
          <w:iCs/>
          <w:spacing w:val="-8"/>
          <w:sz w:val="22"/>
        </w:rPr>
        <w:t xml:space="preserve"> </w:t>
      </w:r>
      <w:r w:rsidRPr="00B1306A">
        <w:rPr>
          <w:i/>
          <w:iCs/>
          <w:sz w:val="22"/>
        </w:rPr>
        <w:t>efectiva</w:t>
      </w:r>
      <w:r w:rsidRPr="00B1306A">
        <w:rPr>
          <w:i/>
          <w:iCs/>
          <w:spacing w:val="-7"/>
          <w:sz w:val="22"/>
        </w:rPr>
        <w:t xml:space="preserve"> </w:t>
      </w:r>
      <w:r w:rsidRPr="00B1306A">
        <w:rPr>
          <w:i/>
          <w:iCs/>
          <w:sz w:val="22"/>
        </w:rPr>
        <w:t>de</w:t>
      </w:r>
      <w:r w:rsidRPr="00B1306A">
        <w:rPr>
          <w:i/>
          <w:iCs/>
          <w:spacing w:val="-8"/>
          <w:sz w:val="22"/>
        </w:rPr>
        <w:t xml:space="preserve"> </w:t>
      </w:r>
      <w:r w:rsidRPr="00B1306A">
        <w:rPr>
          <w:i/>
          <w:iCs/>
          <w:sz w:val="22"/>
        </w:rPr>
        <w:t>los</w:t>
      </w:r>
      <w:r w:rsidRPr="00B1306A">
        <w:rPr>
          <w:i/>
          <w:iCs/>
          <w:spacing w:val="-8"/>
          <w:sz w:val="22"/>
        </w:rPr>
        <w:t xml:space="preserve"> </w:t>
      </w:r>
      <w:r w:rsidRPr="00B1306A">
        <w:rPr>
          <w:i/>
          <w:iCs/>
          <w:sz w:val="22"/>
        </w:rPr>
        <w:t>raizales</w:t>
      </w:r>
      <w:r w:rsidRPr="00B1306A">
        <w:rPr>
          <w:i/>
          <w:iCs/>
          <w:spacing w:val="-8"/>
          <w:sz w:val="22"/>
        </w:rPr>
        <w:t xml:space="preserve"> </w:t>
      </w:r>
      <w:r w:rsidRPr="00B1306A">
        <w:rPr>
          <w:i/>
          <w:iCs/>
          <w:sz w:val="22"/>
        </w:rPr>
        <w:t>y</w:t>
      </w:r>
      <w:r w:rsidRPr="00B1306A">
        <w:rPr>
          <w:i/>
          <w:iCs/>
          <w:spacing w:val="-9"/>
          <w:sz w:val="22"/>
        </w:rPr>
        <w:t xml:space="preserve"> </w:t>
      </w:r>
      <w:r w:rsidRPr="00B1306A">
        <w:rPr>
          <w:i/>
          <w:iCs/>
          <w:sz w:val="22"/>
        </w:rPr>
        <w:t>residentes,</w:t>
      </w:r>
      <w:r w:rsidRPr="00B1306A">
        <w:rPr>
          <w:i/>
          <w:iCs/>
          <w:spacing w:val="-8"/>
          <w:sz w:val="22"/>
        </w:rPr>
        <w:t xml:space="preserve"> </w:t>
      </w:r>
      <w:r w:rsidRPr="00B1306A">
        <w:rPr>
          <w:i/>
          <w:iCs/>
          <w:sz w:val="22"/>
        </w:rPr>
        <w:t>valorando</w:t>
      </w:r>
      <w:r w:rsidRPr="00B1306A">
        <w:rPr>
          <w:i/>
          <w:iCs/>
          <w:spacing w:val="-8"/>
          <w:sz w:val="22"/>
        </w:rPr>
        <w:t xml:space="preserve"> </w:t>
      </w:r>
      <w:r w:rsidRPr="00B1306A">
        <w:rPr>
          <w:i/>
          <w:iCs/>
          <w:sz w:val="22"/>
        </w:rPr>
        <w:t>esta</w:t>
      </w:r>
      <w:r w:rsidRPr="00B1306A">
        <w:rPr>
          <w:i/>
          <w:iCs/>
          <w:spacing w:val="-8"/>
          <w:sz w:val="22"/>
        </w:rPr>
        <w:t xml:space="preserve"> </w:t>
      </w:r>
      <w:r w:rsidRPr="00B1306A">
        <w:rPr>
          <w:i/>
          <w:iCs/>
          <w:sz w:val="22"/>
        </w:rPr>
        <w:t>circunstancia.</w:t>
      </w:r>
      <w:r w:rsidRPr="00B1306A">
        <w:rPr>
          <w:spacing w:val="-8"/>
          <w:sz w:val="22"/>
        </w:rPr>
        <w:t xml:space="preserve"> </w:t>
      </w:r>
      <w:r w:rsidRPr="00B1306A">
        <w:rPr>
          <w:sz w:val="22"/>
        </w:rPr>
        <w:t>En</w:t>
      </w:r>
      <w:r w:rsidRPr="00B1306A">
        <w:rPr>
          <w:spacing w:val="-59"/>
          <w:sz w:val="22"/>
        </w:rPr>
        <w:t xml:space="preserve"> </w:t>
      </w:r>
      <w:r w:rsidRPr="00B1306A">
        <w:rPr>
          <w:sz w:val="22"/>
        </w:rPr>
        <w:t>igualdad</w:t>
      </w:r>
      <w:r w:rsidRPr="00B1306A">
        <w:rPr>
          <w:spacing w:val="-4"/>
          <w:sz w:val="22"/>
        </w:rPr>
        <w:t xml:space="preserve"> </w:t>
      </w:r>
      <w:r w:rsidRPr="00B1306A">
        <w:rPr>
          <w:sz w:val="22"/>
        </w:rPr>
        <w:t>de</w:t>
      </w:r>
      <w:r w:rsidRPr="00B1306A">
        <w:rPr>
          <w:spacing w:val="-3"/>
          <w:sz w:val="22"/>
        </w:rPr>
        <w:t xml:space="preserve"> </w:t>
      </w:r>
      <w:r w:rsidRPr="00B1306A">
        <w:rPr>
          <w:sz w:val="22"/>
        </w:rPr>
        <w:t>condiciones</w:t>
      </w:r>
      <w:r w:rsidRPr="00B1306A">
        <w:rPr>
          <w:spacing w:val="-3"/>
          <w:sz w:val="22"/>
        </w:rPr>
        <w:t xml:space="preserve"> </w:t>
      </w:r>
      <w:r w:rsidRPr="00B1306A">
        <w:rPr>
          <w:sz w:val="22"/>
        </w:rPr>
        <w:t>se</w:t>
      </w:r>
      <w:r w:rsidRPr="00B1306A">
        <w:rPr>
          <w:spacing w:val="-4"/>
          <w:sz w:val="22"/>
        </w:rPr>
        <w:t xml:space="preserve"> </w:t>
      </w:r>
      <w:r w:rsidRPr="00B1306A">
        <w:rPr>
          <w:sz w:val="22"/>
        </w:rPr>
        <w:t>preferirá</w:t>
      </w:r>
      <w:r w:rsidRPr="00B1306A">
        <w:rPr>
          <w:spacing w:val="-3"/>
          <w:sz w:val="22"/>
        </w:rPr>
        <w:t xml:space="preserve"> </w:t>
      </w:r>
      <w:r w:rsidRPr="00B1306A">
        <w:rPr>
          <w:sz w:val="22"/>
        </w:rPr>
        <w:t>a</w:t>
      </w:r>
      <w:r w:rsidRPr="00B1306A">
        <w:rPr>
          <w:spacing w:val="-3"/>
          <w:sz w:val="22"/>
        </w:rPr>
        <w:t xml:space="preserve"> </w:t>
      </w:r>
      <w:r w:rsidRPr="00B1306A">
        <w:rPr>
          <w:sz w:val="22"/>
        </w:rPr>
        <w:t>los</w:t>
      </w:r>
      <w:r w:rsidRPr="00B1306A">
        <w:rPr>
          <w:spacing w:val="-4"/>
          <w:sz w:val="22"/>
        </w:rPr>
        <w:t xml:space="preserve"> </w:t>
      </w:r>
      <w:r w:rsidRPr="00B1306A">
        <w:rPr>
          <w:sz w:val="22"/>
        </w:rPr>
        <w:t>raizales</w:t>
      </w:r>
      <w:r w:rsidRPr="00B1306A">
        <w:rPr>
          <w:spacing w:val="-3"/>
          <w:sz w:val="22"/>
        </w:rPr>
        <w:t xml:space="preserve"> </w:t>
      </w:r>
      <w:r w:rsidRPr="00B1306A">
        <w:rPr>
          <w:sz w:val="22"/>
        </w:rPr>
        <w:t>y</w:t>
      </w:r>
      <w:r w:rsidRPr="00B1306A">
        <w:rPr>
          <w:spacing w:val="-3"/>
          <w:sz w:val="22"/>
        </w:rPr>
        <w:t xml:space="preserve"> </w:t>
      </w:r>
      <w:r w:rsidRPr="00B1306A">
        <w:rPr>
          <w:sz w:val="22"/>
        </w:rPr>
        <w:t>residentes</w:t>
      </w:r>
      <w:r w:rsidRPr="00B1306A">
        <w:rPr>
          <w:spacing w:val="-4"/>
          <w:sz w:val="22"/>
        </w:rPr>
        <w:t xml:space="preserve"> </w:t>
      </w:r>
      <w:r w:rsidRPr="00B1306A">
        <w:rPr>
          <w:sz w:val="22"/>
        </w:rPr>
        <w:t>del</w:t>
      </w:r>
      <w:r w:rsidRPr="00B1306A">
        <w:rPr>
          <w:spacing w:val="-3"/>
          <w:sz w:val="22"/>
        </w:rPr>
        <w:t xml:space="preserve"> </w:t>
      </w:r>
      <w:r w:rsidRPr="00B1306A">
        <w:rPr>
          <w:sz w:val="22"/>
        </w:rPr>
        <w:t>departamento</w:t>
      </w:r>
      <w:r w:rsidRPr="00B1306A">
        <w:rPr>
          <w:spacing w:val="-3"/>
          <w:sz w:val="22"/>
        </w:rPr>
        <w:t xml:space="preserve"> </w:t>
      </w:r>
      <w:r w:rsidRPr="00B1306A">
        <w:rPr>
          <w:sz w:val="22"/>
        </w:rPr>
        <w:t>Archipiélago” (énfasis fuera de texto).</w:t>
      </w:r>
    </w:p>
    <w:p w14:paraId="28D1CE22" w14:textId="77777777" w:rsidR="00C95361" w:rsidRPr="00B1306A" w:rsidRDefault="00C95361" w:rsidP="00C95361">
      <w:pPr>
        <w:pStyle w:val="Textoindependiente"/>
        <w:spacing w:before="93" w:line="276" w:lineRule="auto"/>
        <w:ind w:firstLine="708"/>
        <w:jc w:val="both"/>
        <w:rPr>
          <w:i/>
          <w:iCs/>
          <w:sz w:val="22"/>
        </w:rPr>
      </w:pPr>
      <w:r w:rsidRPr="00B1306A">
        <w:rPr>
          <w:sz w:val="22"/>
        </w:rPr>
        <w:t>En relación con esta aspecto es pertinente mencionar que, pase a la existencia del</w:t>
      </w:r>
      <w:r w:rsidRPr="00B1306A">
        <w:rPr>
          <w:spacing w:val="1"/>
          <w:sz w:val="22"/>
        </w:rPr>
        <w:t xml:space="preserve"> </w:t>
      </w:r>
      <w:r w:rsidRPr="00B1306A">
        <w:rPr>
          <w:sz w:val="22"/>
        </w:rPr>
        <w:t>régimen</w:t>
      </w:r>
      <w:r w:rsidRPr="00B1306A">
        <w:rPr>
          <w:spacing w:val="1"/>
          <w:sz w:val="22"/>
        </w:rPr>
        <w:t xml:space="preserve"> </w:t>
      </w:r>
      <w:r w:rsidRPr="00B1306A">
        <w:rPr>
          <w:sz w:val="22"/>
        </w:rPr>
        <w:t>de</w:t>
      </w:r>
      <w:r w:rsidRPr="00B1306A">
        <w:rPr>
          <w:spacing w:val="1"/>
          <w:sz w:val="22"/>
        </w:rPr>
        <w:t xml:space="preserve"> </w:t>
      </w:r>
      <w:r w:rsidRPr="00B1306A">
        <w:rPr>
          <w:sz w:val="22"/>
        </w:rPr>
        <w:t>contratación</w:t>
      </w:r>
      <w:r w:rsidRPr="00B1306A">
        <w:rPr>
          <w:spacing w:val="1"/>
          <w:sz w:val="22"/>
        </w:rPr>
        <w:t xml:space="preserve"> </w:t>
      </w:r>
      <w:r w:rsidRPr="00B1306A">
        <w:rPr>
          <w:sz w:val="22"/>
        </w:rPr>
        <w:t>pública,</w:t>
      </w:r>
      <w:r w:rsidRPr="00B1306A">
        <w:rPr>
          <w:spacing w:val="1"/>
          <w:sz w:val="22"/>
        </w:rPr>
        <w:t xml:space="preserve"> </w:t>
      </w:r>
      <w:r w:rsidRPr="00B1306A">
        <w:rPr>
          <w:sz w:val="22"/>
        </w:rPr>
        <w:t>contenido</w:t>
      </w:r>
      <w:r w:rsidRPr="00B1306A">
        <w:rPr>
          <w:spacing w:val="1"/>
          <w:sz w:val="22"/>
        </w:rPr>
        <w:t xml:space="preserve"> </w:t>
      </w:r>
      <w:r w:rsidRPr="00B1306A">
        <w:rPr>
          <w:sz w:val="22"/>
        </w:rPr>
        <w:t>en</w:t>
      </w:r>
      <w:r w:rsidRPr="00B1306A">
        <w:rPr>
          <w:spacing w:val="1"/>
          <w:sz w:val="22"/>
        </w:rPr>
        <w:t xml:space="preserve"> </w:t>
      </w:r>
      <w:r w:rsidRPr="00B1306A">
        <w:rPr>
          <w:sz w:val="22"/>
        </w:rPr>
        <w:t>el</w:t>
      </w:r>
      <w:r w:rsidRPr="00B1306A">
        <w:rPr>
          <w:spacing w:val="1"/>
          <w:sz w:val="22"/>
        </w:rPr>
        <w:t xml:space="preserve"> </w:t>
      </w:r>
      <w:r w:rsidRPr="00B1306A">
        <w:rPr>
          <w:sz w:val="22"/>
        </w:rPr>
        <w:t>Estatuto</w:t>
      </w:r>
      <w:r w:rsidRPr="00B1306A">
        <w:rPr>
          <w:spacing w:val="1"/>
          <w:sz w:val="22"/>
        </w:rPr>
        <w:t xml:space="preserve"> </w:t>
      </w:r>
      <w:r w:rsidRPr="00B1306A">
        <w:rPr>
          <w:sz w:val="22"/>
        </w:rPr>
        <w:t>General</w:t>
      </w:r>
      <w:r w:rsidRPr="00B1306A">
        <w:rPr>
          <w:spacing w:val="1"/>
          <w:sz w:val="22"/>
        </w:rPr>
        <w:t xml:space="preserve"> </w:t>
      </w:r>
      <w:r w:rsidRPr="00B1306A">
        <w:rPr>
          <w:sz w:val="22"/>
        </w:rPr>
        <w:t>de</w:t>
      </w:r>
      <w:r w:rsidRPr="00B1306A">
        <w:rPr>
          <w:spacing w:val="1"/>
          <w:sz w:val="22"/>
        </w:rPr>
        <w:t xml:space="preserve"> </w:t>
      </w:r>
      <w:r w:rsidRPr="00B1306A">
        <w:rPr>
          <w:sz w:val="22"/>
        </w:rPr>
        <w:t>Contratación</w:t>
      </w:r>
      <w:r w:rsidRPr="00B1306A">
        <w:rPr>
          <w:spacing w:val="1"/>
          <w:sz w:val="22"/>
        </w:rPr>
        <w:t xml:space="preserve"> </w:t>
      </w:r>
      <w:r w:rsidRPr="00B1306A">
        <w:rPr>
          <w:sz w:val="22"/>
        </w:rPr>
        <w:t>de</w:t>
      </w:r>
      <w:r w:rsidRPr="00B1306A">
        <w:rPr>
          <w:spacing w:val="1"/>
          <w:sz w:val="22"/>
        </w:rPr>
        <w:t xml:space="preserve"> </w:t>
      </w:r>
      <w:r w:rsidRPr="00B1306A">
        <w:rPr>
          <w:sz w:val="22"/>
        </w:rPr>
        <w:t>la</w:t>
      </w:r>
      <w:r w:rsidRPr="00B1306A">
        <w:rPr>
          <w:spacing w:val="1"/>
          <w:sz w:val="22"/>
        </w:rPr>
        <w:t xml:space="preserve"> </w:t>
      </w:r>
      <w:r w:rsidRPr="00B1306A">
        <w:rPr>
          <w:w w:val="95"/>
          <w:sz w:val="22"/>
        </w:rPr>
        <w:t xml:space="preserve">Administración Pública −EGAP−, el legislador mediante el artículo en comento, </w:t>
      </w:r>
      <w:r w:rsidRPr="00B1306A">
        <w:rPr>
          <w:i/>
          <w:iCs/>
          <w:w w:val="95"/>
          <w:sz w:val="22"/>
        </w:rPr>
        <w:t>“quiso garantizar</w:t>
      </w:r>
      <w:r w:rsidRPr="00B1306A">
        <w:rPr>
          <w:i/>
          <w:iCs/>
          <w:spacing w:val="1"/>
          <w:w w:val="95"/>
          <w:sz w:val="22"/>
        </w:rPr>
        <w:t xml:space="preserve"> </w:t>
      </w:r>
      <w:r w:rsidRPr="00B1306A">
        <w:rPr>
          <w:i/>
          <w:iCs/>
          <w:sz w:val="22"/>
        </w:rPr>
        <w:t>una participación real y efectiva de los raizales y residentes, exigiendo una preferencia de estos</w:t>
      </w:r>
      <w:r w:rsidRPr="00B1306A">
        <w:rPr>
          <w:i/>
          <w:iCs/>
          <w:spacing w:val="1"/>
          <w:sz w:val="22"/>
        </w:rPr>
        <w:t xml:space="preserve"> </w:t>
      </w:r>
      <w:r w:rsidRPr="00B1306A">
        <w:rPr>
          <w:i/>
          <w:iCs/>
          <w:sz w:val="22"/>
        </w:rPr>
        <w:t>grupos poblacionales de la insular, a efectos de poder determinar una verdadera política pública</w:t>
      </w:r>
      <w:r w:rsidRPr="00B1306A">
        <w:rPr>
          <w:i/>
          <w:iCs/>
          <w:spacing w:val="-59"/>
          <w:sz w:val="22"/>
        </w:rPr>
        <w:t xml:space="preserve"> </w:t>
      </w:r>
      <w:r w:rsidRPr="00B1306A">
        <w:rPr>
          <w:i/>
          <w:iCs/>
          <w:sz w:val="22"/>
        </w:rPr>
        <w:t>de</w:t>
      </w:r>
      <w:r w:rsidRPr="00B1306A">
        <w:rPr>
          <w:i/>
          <w:iCs/>
          <w:spacing w:val="-2"/>
          <w:sz w:val="22"/>
        </w:rPr>
        <w:t xml:space="preserve"> </w:t>
      </w:r>
      <w:r w:rsidRPr="00B1306A">
        <w:rPr>
          <w:i/>
          <w:iCs/>
          <w:sz w:val="22"/>
        </w:rPr>
        <w:t>pleno</w:t>
      </w:r>
      <w:r w:rsidRPr="00B1306A">
        <w:rPr>
          <w:i/>
          <w:iCs/>
          <w:spacing w:val="-1"/>
          <w:sz w:val="22"/>
        </w:rPr>
        <w:t xml:space="preserve"> </w:t>
      </w:r>
      <w:r w:rsidRPr="00B1306A">
        <w:rPr>
          <w:i/>
          <w:iCs/>
          <w:sz w:val="22"/>
        </w:rPr>
        <w:t>empleo</w:t>
      </w:r>
      <w:r w:rsidRPr="00B1306A">
        <w:rPr>
          <w:i/>
          <w:iCs/>
          <w:spacing w:val="-1"/>
          <w:sz w:val="22"/>
        </w:rPr>
        <w:t xml:space="preserve"> </w:t>
      </w:r>
      <w:r w:rsidRPr="00B1306A">
        <w:rPr>
          <w:i/>
          <w:iCs/>
          <w:sz w:val="22"/>
        </w:rPr>
        <w:t>en</w:t>
      </w:r>
      <w:r w:rsidRPr="00B1306A">
        <w:rPr>
          <w:i/>
          <w:iCs/>
          <w:spacing w:val="-1"/>
          <w:sz w:val="22"/>
        </w:rPr>
        <w:t xml:space="preserve"> </w:t>
      </w:r>
      <w:r w:rsidRPr="00B1306A">
        <w:rPr>
          <w:i/>
          <w:iCs/>
          <w:sz w:val="22"/>
        </w:rPr>
        <w:t>este</w:t>
      </w:r>
      <w:r w:rsidRPr="00B1306A">
        <w:rPr>
          <w:i/>
          <w:iCs/>
          <w:spacing w:val="-1"/>
          <w:sz w:val="22"/>
        </w:rPr>
        <w:t xml:space="preserve"> </w:t>
      </w:r>
      <w:r w:rsidRPr="00B1306A">
        <w:rPr>
          <w:i/>
          <w:iCs/>
          <w:sz w:val="22"/>
        </w:rPr>
        <w:t>territorio”.</w:t>
      </w:r>
    </w:p>
    <w:p w14:paraId="13DDC725" w14:textId="77777777" w:rsidR="00C95361" w:rsidRPr="00B1306A" w:rsidRDefault="00C95361" w:rsidP="00C95361">
      <w:pPr>
        <w:pStyle w:val="Textoindependiente"/>
        <w:spacing w:before="120" w:after="120" w:line="276" w:lineRule="auto"/>
        <w:ind w:firstLine="720"/>
        <w:jc w:val="both"/>
        <w:rPr>
          <w:rFonts w:eastAsia="Calibri"/>
          <w:bCs/>
          <w:noProof/>
          <w:sz w:val="22"/>
        </w:rPr>
      </w:pPr>
      <w:r w:rsidRPr="00B1306A">
        <w:rPr>
          <w:rFonts w:eastAsia="Calibri"/>
          <w:bCs/>
          <w:noProof/>
          <w:sz w:val="22"/>
          <w:lang w:val="es-ES_tradnl"/>
        </w:rPr>
        <w:t>[…] El</w:t>
      </w:r>
      <w:r w:rsidRPr="00B1306A">
        <w:rPr>
          <w:rFonts w:eastAsia="Calibri"/>
          <w:bCs/>
          <w:noProof/>
          <w:sz w:val="22"/>
        </w:rPr>
        <w:t xml:space="preserve"> artículo 67 constituye, como se dijo, en una medida especial  para promover la participación real y efectiva de los habitantes del territorio insultar, raizales y residentes, en los procesos de licitación pública, cuyo objeto se deba ejecutar en el Archipiélago, que constituye un factor ponderable dentro de los procesos de selección de contratistas adelantados </w:t>
      </w:r>
      <w:r w:rsidRPr="00B1306A">
        <w:rPr>
          <w:rFonts w:eastAsia="Calibri"/>
          <w:b/>
          <w:bCs/>
          <w:noProof/>
          <w:sz w:val="22"/>
        </w:rPr>
        <w:t xml:space="preserve">unicamente </w:t>
      </w:r>
      <w:r w:rsidRPr="00B1306A">
        <w:rPr>
          <w:rFonts w:eastAsia="Calibri"/>
          <w:bCs/>
          <w:noProof/>
          <w:sz w:val="22"/>
        </w:rPr>
        <w:t>bajo la modalidad de licitación pública, cuyo objeto contractual deba desarrollarase en el territorio insular.  De modo que , es una regla especial que no fue establecida propiamente como un factor de desempate, puesto que esta determinado en la norma como una circunstancia objeto de evaluación</w:t>
      </w:r>
      <w:r w:rsidRPr="00B1306A">
        <w:rPr>
          <w:rFonts w:eastAsia="Calibri"/>
          <w:b/>
          <w:bCs/>
          <w:noProof/>
          <w:sz w:val="22"/>
        </w:rPr>
        <w:t xml:space="preserve"> aplicable exclusivamente a </w:t>
      </w:r>
      <w:r w:rsidRPr="00B1306A">
        <w:rPr>
          <w:rFonts w:eastAsia="Calibri"/>
          <w:bCs/>
          <w:noProof/>
          <w:sz w:val="22"/>
        </w:rPr>
        <w:t xml:space="preserve"> </w:t>
      </w:r>
      <w:r w:rsidRPr="00B1306A">
        <w:rPr>
          <w:rFonts w:eastAsia="Calibri"/>
          <w:b/>
          <w:bCs/>
          <w:noProof/>
          <w:sz w:val="22"/>
        </w:rPr>
        <w:t>los procesos de selección de contratistas, tramitados bajo esa modalidad de selección</w:t>
      </w:r>
      <w:r w:rsidRPr="00B1306A">
        <w:rPr>
          <w:rFonts w:eastAsia="Calibri"/>
          <w:bCs/>
          <w:noProof/>
          <w:sz w:val="22"/>
        </w:rPr>
        <w:t xml:space="preserve"> </w:t>
      </w:r>
      <w:r w:rsidRPr="00B1306A">
        <w:rPr>
          <w:rFonts w:eastAsia="Calibri"/>
          <w:b/>
          <w:bCs/>
          <w:noProof/>
          <w:sz w:val="22"/>
        </w:rPr>
        <w:t>de licitación pública,</w:t>
      </w:r>
      <w:r w:rsidRPr="00B1306A">
        <w:rPr>
          <w:rFonts w:eastAsia="Calibri"/>
          <w:bCs/>
          <w:noProof/>
          <w:sz w:val="22"/>
        </w:rPr>
        <w:t xml:space="preserve">  </w:t>
      </w:r>
      <w:r w:rsidRPr="00B1306A">
        <w:rPr>
          <w:rFonts w:eastAsia="Calibri"/>
          <w:b/>
          <w:bCs/>
          <w:noProof/>
          <w:sz w:val="22"/>
        </w:rPr>
        <w:t xml:space="preserve">cuyo objeto contractual deba desarrollarse en el Archipiélago, </w:t>
      </w:r>
      <w:r w:rsidRPr="00B1306A">
        <w:rPr>
          <w:rFonts w:eastAsia="Calibri"/>
          <w:bCs/>
          <w:noProof/>
          <w:sz w:val="22"/>
        </w:rPr>
        <w:t xml:space="preserve">mientras que lo dispuesto en el numeral 5 del artículo 35 de la Ley 2069 de 2020 es un facator de desempate, y por ende,  una regla de naturaleza distinta a la contenida en el artículo 67 de la ley 915 de 2004, aplicable a todos los procesos de contratación adelantados en el territorio nacional, sin dinstingo de modalidad de selección, por lo cual, dada la naturaleza juridica distinta de ambas normas, la entrada en vigencia del artículo 35 de la Ley de emprendimiento  no afecta la vigencia de la regla establecida en el artículo 67 de la Ley 915 de 2004.  </w:t>
      </w:r>
    </w:p>
    <w:p w14:paraId="3E2D9349" w14:textId="77777777" w:rsidR="00C95361" w:rsidRPr="00B1306A" w:rsidRDefault="00C95361" w:rsidP="00C95361">
      <w:pPr>
        <w:spacing w:line="276" w:lineRule="auto"/>
        <w:jc w:val="both"/>
        <w:rPr>
          <w:rFonts w:ascii="Arial" w:eastAsia="Arial" w:hAnsi="Arial" w:cs="Arial"/>
          <w:lang w:val="es-ES" w:eastAsia="es-ES" w:bidi="es-ES"/>
        </w:rPr>
      </w:pPr>
      <w:r w:rsidRPr="00B1306A">
        <w:rPr>
          <w:rFonts w:ascii="Arial" w:eastAsia="Calibri" w:hAnsi="Arial" w:cs="Arial"/>
        </w:rPr>
        <w:t>Este concepto tiene el alcance previsto en el artículo 28 del Código de Procedimiento Administrativo y de lo Contencioso Administrativo.</w:t>
      </w:r>
    </w:p>
    <w:p w14:paraId="75781DE0" w14:textId="77777777" w:rsidR="00C95361" w:rsidRPr="00B1306A" w:rsidRDefault="00C95361" w:rsidP="00C95361">
      <w:pPr>
        <w:widowControl w:val="0"/>
        <w:autoSpaceDE w:val="0"/>
        <w:autoSpaceDN w:val="0"/>
        <w:spacing w:line="276" w:lineRule="auto"/>
        <w:rPr>
          <w:rFonts w:ascii="Arial" w:eastAsia="Arial" w:hAnsi="Arial" w:cs="Arial"/>
          <w:lang w:val="es-ES" w:eastAsia="es-ES" w:bidi="es-ES"/>
        </w:rPr>
      </w:pPr>
    </w:p>
    <w:p w14:paraId="1C1F09B9" w14:textId="77777777" w:rsidR="00C95361" w:rsidRPr="00B1306A" w:rsidRDefault="00C95361" w:rsidP="00C95361">
      <w:pPr>
        <w:widowControl w:val="0"/>
        <w:autoSpaceDE w:val="0"/>
        <w:autoSpaceDN w:val="0"/>
        <w:spacing w:line="276" w:lineRule="auto"/>
        <w:jc w:val="both"/>
        <w:rPr>
          <w:rFonts w:ascii="Arial" w:eastAsia="Arial" w:hAnsi="Arial" w:cs="Arial"/>
          <w:lang w:val="es-ES" w:eastAsia="es-CO" w:bidi="es-ES"/>
        </w:rPr>
      </w:pPr>
      <w:bookmarkStart w:id="11" w:name="_Hlk50370367"/>
      <w:r w:rsidRPr="00B1306A">
        <w:rPr>
          <w:rFonts w:ascii="Arial" w:eastAsia="Arial" w:hAnsi="Arial" w:cs="Arial"/>
          <w:lang w:val="es-ES" w:eastAsia="es-CO" w:bidi="es-ES"/>
        </w:rPr>
        <w:t>Atentamente,</w:t>
      </w:r>
      <w:bookmarkEnd w:id="11"/>
    </w:p>
    <w:p w14:paraId="6DC4AEAF" w14:textId="67E28CC3" w:rsidR="00C95361" w:rsidRPr="00B1306A" w:rsidRDefault="00157722" w:rsidP="00C95361">
      <w:pPr>
        <w:widowControl w:val="0"/>
        <w:autoSpaceDE w:val="0"/>
        <w:autoSpaceDN w:val="0"/>
        <w:spacing w:after="18"/>
        <w:jc w:val="center"/>
        <w:rPr>
          <w:rFonts w:ascii="Arial" w:eastAsia="Arial" w:hAnsi="Arial" w:cs="Arial"/>
          <w:lang w:val="es-ES" w:eastAsia="es-CO" w:bidi="es-ES"/>
        </w:rPr>
      </w:pPr>
      <w:bookmarkStart w:id="12" w:name="_GoBack"/>
      <w:r>
        <w:rPr>
          <w:rFonts w:ascii="Arial" w:eastAsia="Arial" w:hAnsi="Arial" w:cs="Arial"/>
          <w:noProof/>
          <w:lang w:val="en-US"/>
        </w:rPr>
        <w:lastRenderedPageBreak/>
        <w:drawing>
          <wp:inline distT="0" distB="0" distL="0" distR="0" wp14:anchorId="793F10B1" wp14:editId="0744E728">
            <wp:extent cx="3153215" cy="1209844"/>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rma dra nohelia.png"/>
                    <pic:cNvPicPr/>
                  </pic:nvPicPr>
                  <pic:blipFill>
                    <a:blip r:embed="rId9">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bookmarkEnd w:id="12"/>
    </w:p>
    <w:p w14:paraId="2D6E5D6C" w14:textId="77777777" w:rsidR="00C95361" w:rsidRPr="00B1306A" w:rsidRDefault="00C95361" w:rsidP="00C95361">
      <w:pPr>
        <w:widowControl w:val="0"/>
        <w:autoSpaceDE w:val="0"/>
        <w:autoSpaceDN w:val="0"/>
        <w:spacing w:after="18"/>
        <w:jc w:val="center"/>
        <w:rPr>
          <w:rFonts w:ascii="Arial" w:eastAsia="Arial" w:hAnsi="Arial" w:cs="Arial"/>
          <w:lang w:val="es-ES" w:eastAsia="es-CO" w:bidi="es-ES"/>
        </w:rPr>
      </w:pPr>
    </w:p>
    <w:p w14:paraId="7E02B6CC" w14:textId="77777777" w:rsidR="00C95361" w:rsidRPr="00B1306A" w:rsidRDefault="00C95361" w:rsidP="00C95361">
      <w:pPr>
        <w:widowControl w:val="0"/>
        <w:autoSpaceDE w:val="0"/>
        <w:autoSpaceDN w:val="0"/>
        <w:spacing w:after="18"/>
        <w:jc w:val="center"/>
        <w:rPr>
          <w:rFonts w:ascii="Arial" w:eastAsia="Arial" w:hAnsi="Arial" w:cs="Arial"/>
          <w:lang w:val="es-ES" w:eastAsia="es-CO" w:bidi="es-ES"/>
        </w:rPr>
      </w:pP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C95361" w:rsidRPr="00B1306A" w14:paraId="26E20EAE" w14:textId="77777777" w:rsidTr="00652779">
        <w:trPr>
          <w:trHeight w:val="286"/>
        </w:trPr>
        <w:tc>
          <w:tcPr>
            <w:tcW w:w="817" w:type="dxa"/>
            <w:vAlign w:val="center"/>
            <w:hideMark/>
          </w:tcPr>
          <w:p w14:paraId="492BA3A6" w14:textId="77777777" w:rsidR="00C95361" w:rsidRPr="00B1306A" w:rsidRDefault="00C95361" w:rsidP="00652779">
            <w:pPr>
              <w:rPr>
                <w:rFonts w:ascii="Arial" w:eastAsia="Arial" w:hAnsi="Arial" w:cs="Arial"/>
                <w:sz w:val="14"/>
                <w:szCs w:val="14"/>
                <w:lang w:val="es-ES" w:eastAsia="es-ES" w:bidi="es-ES"/>
              </w:rPr>
            </w:pPr>
            <w:bookmarkStart w:id="13" w:name="_Hlk70523608"/>
            <w:r w:rsidRPr="00B1306A">
              <w:rPr>
                <w:rFonts w:ascii="Arial" w:eastAsia="Arial" w:hAnsi="Arial" w:cs="Arial"/>
                <w:sz w:val="14"/>
                <w:szCs w:val="14"/>
                <w:lang w:val="es-ES" w:eastAsia="es-ES" w:bidi="es-ES"/>
              </w:rPr>
              <w:t>Elaboró:</w:t>
            </w:r>
          </w:p>
        </w:tc>
        <w:tc>
          <w:tcPr>
            <w:tcW w:w="4003" w:type="dxa"/>
            <w:tcBorders>
              <w:top w:val="nil"/>
              <w:left w:val="nil"/>
              <w:bottom w:val="dotted" w:sz="4" w:space="0" w:color="7F7F7F" w:themeColor="text1" w:themeTint="80"/>
              <w:right w:val="nil"/>
            </w:tcBorders>
            <w:vAlign w:val="center"/>
            <w:hideMark/>
          </w:tcPr>
          <w:p w14:paraId="2A31F4BE"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eastAsia="es-ES" w:bidi="es-ES"/>
              </w:rPr>
              <w:t>Nina María Padrón Ballestas</w:t>
            </w:r>
          </w:p>
          <w:p w14:paraId="5986E3E8"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Contratista de la Subdirección de Gestión Contractual</w:t>
            </w:r>
          </w:p>
        </w:tc>
      </w:tr>
      <w:tr w:rsidR="00C95361" w:rsidRPr="00B1306A" w14:paraId="36BEAC46" w14:textId="77777777" w:rsidTr="00652779">
        <w:trPr>
          <w:trHeight w:val="299"/>
        </w:trPr>
        <w:tc>
          <w:tcPr>
            <w:tcW w:w="817" w:type="dxa"/>
            <w:vAlign w:val="center"/>
            <w:hideMark/>
          </w:tcPr>
          <w:p w14:paraId="4959E30E"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Revisó: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1868729F"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Juan David Cárdenas Cabeza</w:t>
            </w:r>
          </w:p>
          <w:p w14:paraId="7A01EBC4"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 xml:space="preserve">Contratista de la Subdirección de Gestión Contractual </w:t>
            </w:r>
          </w:p>
        </w:tc>
      </w:tr>
      <w:tr w:rsidR="00C95361" w:rsidRPr="00B1306A" w14:paraId="10EA5297" w14:textId="77777777" w:rsidTr="00652779">
        <w:trPr>
          <w:trHeight w:val="272"/>
        </w:trPr>
        <w:tc>
          <w:tcPr>
            <w:tcW w:w="817" w:type="dxa"/>
            <w:vAlign w:val="center"/>
            <w:hideMark/>
          </w:tcPr>
          <w:p w14:paraId="4BE3CCD3"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Aprobó: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7D359ADB"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Nohelia del Carmen Zawady Palacio</w:t>
            </w:r>
          </w:p>
          <w:p w14:paraId="0C82CC75" w14:textId="77777777" w:rsidR="00C95361" w:rsidRPr="00B1306A" w:rsidRDefault="00C95361" w:rsidP="00652779">
            <w:pPr>
              <w:rPr>
                <w:rFonts w:ascii="Arial" w:eastAsia="Arial" w:hAnsi="Arial" w:cs="Arial"/>
                <w:sz w:val="14"/>
                <w:szCs w:val="14"/>
                <w:lang w:val="es-ES" w:eastAsia="es-ES" w:bidi="es-ES"/>
              </w:rPr>
            </w:pPr>
            <w:r w:rsidRPr="00B1306A">
              <w:rPr>
                <w:rFonts w:ascii="Arial" w:eastAsia="Arial" w:hAnsi="Arial" w:cs="Arial"/>
                <w:sz w:val="14"/>
                <w:szCs w:val="14"/>
                <w:lang w:val="es-ES" w:eastAsia="es-ES" w:bidi="es-ES"/>
              </w:rPr>
              <w:t>Subdirector de Gestión Contractual ANCP – CCE</w:t>
            </w:r>
          </w:p>
        </w:tc>
      </w:tr>
      <w:bookmarkEnd w:id="13"/>
    </w:tbl>
    <w:p w14:paraId="086F132C" w14:textId="77777777" w:rsidR="00C95361" w:rsidRPr="00B1306A" w:rsidRDefault="00C95361" w:rsidP="00C95361">
      <w:pPr>
        <w:widowControl w:val="0"/>
        <w:autoSpaceDE w:val="0"/>
        <w:autoSpaceDN w:val="0"/>
        <w:spacing w:after="18"/>
        <w:jc w:val="center"/>
        <w:rPr>
          <w:rFonts w:ascii="Arial" w:eastAsia="Arial" w:hAnsi="Arial" w:cs="Arial"/>
          <w:lang w:val="es-ES" w:eastAsia="es-CO" w:bidi="es-ES"/>
        </w:rPr>
      </w:pPr>
    </w:p>
    <w:p w14:paraId="283F27D2" w14:textId="77777777" w:rsidR="00C95361" w:rsidRPr="00B1306A" w:rsidRDefault="00C95361" w:rsidP="00C95361">
      <w:pPr>
        <w:widowControl w:val="0"/>
        <w:autoSpaceDE w:val="0"/>
        <w:autoSpaceDN w:val="0"/>
        <w:rPr>
          <w:rFonts w:ascii="Arial" w:eastAsia="Arial" w:hAnsi="Arial" w:cs="Arial"/>
          <w:lang w:val="es-ES" w:eastAsia="es-ES" w:bidi="es-ES"/>
        </w:rPr>
      </w:pPr>
    </w:p>
    <w:p w14:paraId="19E77CE8" w14:textId="77777777" w:rsidR="00C95361" w:rsidRPr="00B1306A" w:rsidRDefault="00C95361" w:rsidP="00C95361">
      <w:pPr>
        <w:widowControl w:val="0"/>
        <w:autoSpaceDE w:val="0"/>
        <w:autoSpaceDN w:val="0"/>
        <w:rPr>
          <w:rFonts w:ascii="Arial" w:eastAsia="Arial" w:hAnsi="Arial" w:cs="Arial"/>
          <w:lang w:val="es-ES" w:eastAsia="es-ES" w:bidi="es-ES"/>
        </w:rPr>
      </w:pPr>
    </w:p>
    <w:p w14:paraId="60AF8D0C" w14:textId="77777777" w:rsidR="00C95361" w:rsidRPr="00B1306A" w:rsidRDefault="00C95361" w:rsidP="00C95361">
      <w:pPr>
        <w:widowControl w:val="0"/>
        <w:autoSpaceDE w:val="0"/>
        <w:autoSpaceDN w:val="0"/>
        <w:spacing w:line="276" w:lineRule="auto"/>
        <w:jc w:val="both"/>
        <w:rPr>
          <w:rFonts w:ascii="Arial" w:eastAsia="Times New Roman" w:hAnsi="Arial" w:cs="Arial"/>
          <w:sz w:val="18"/>
          <w:szCs w:val="18"/>
          <w:lang w:val="es-ES_tradnl" w:eastAsia="es-CO" w:bidi="es-ES"/>
        </w:rPr>
      </w:pPr>
    </w:p>
    <w:p w14:paraId="49C2EB1D" w14:textId="77777777" w:rsidR="00C95361" w:rsidRPr="00B1306A" w:rsidRDefault="00C95361" w:rsidP="00C95361">
      <w:pPr>
        <w:rPr>
          <w:rFonts w:ascii="Arial" w:hAnsi="Arial" w:cs="Arial"/>
          <w:lang w:val="es-ES_tradnl"/>
        </w:rPr>
      </w:pPr>
    </w:p>
    <w:p w14:paraId="62E00FB1" w14:textId="77777777" w:rsidR="00E804AA" w:rsidRPr="00580D6C" w:rsidRDefault="00E804AA" w:rsidP="00E54240">
      <w:pPr>
        <w:contextualSpacing/>
        <w:jc w:val="both"/>
        <w:rPr>
          <w:rFonts w:ascii="Arial" w:hAnsi="Arial" w:cs="Arial"/>
          <w:color w:val="000000"/>
          <w:sz w:val="22"/>
          <w:lang w:val="es-ES_tradnl"/>
        </w:rPr>
      </w:pPr>
    </w:p>
    <w:sectPr w:rsidR="00E804AA" w:rsidRPr="00580D6C" w:rsidSect="00D44F32">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FE143" w14:textId="77777777" w:rsidR="007C6C86" w:rsidRDefault="007C6C86" w:rsidP="00DD4F22">
      <w:r>
        <w:separator/>
      </w:r>
    </w:p>
  </w:endnote>
  <w:endnote w:type="continuationSeparator" w:id="0">
    <w:p w14:paraId="09FAF304" w14:textId="77777777" w:rsidR="007C6C86" w:rsidRDefault="007C6C86" w:rsidP="00DD4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41C1" w14:textId="77777777" w:rsidR="00580D6C" w:rsidRDefault="00580D6C">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62336"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580D6C" w:rsidRPr="00080DA3" w14:paraId="43CC8C72" w14:textId="77777777" w:rsidTr="00D44F32">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F78577D" w14:textId="77777777" w:rsidR="00580D6C" w:rsidRPr="003F3941" w:rsidRDefault="00580D6C" w:rsidP="00D44F32">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C1301A" w14:textId="77777777" w:rsidR="00580D6C" w:rsidRPr="003F3941" w:rsidRDefault="00580D6C" w:rsidP="00D44F32">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C5F192E" w14:textId="77777777" w:rsidR="00580D6C" w:rsidRPr="003F3941" w:rsidRDefault="00580D6C" w:rsidP="00D44F32">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55DB58" w14:textId="2122F5B2" w:rsidR="00580D6C" w:rsidRPr="003F3941" w:rsidRDefault="00580D6C" w:rsidP="00D44F32">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157722">
            <w:rPr>
              <w:rFonts w:ascii="Century Gothic" w:hAnsi="Century Gothic"/>
              <w:b/>
              <w:bCs/>
              <w:noProof/>
              <w:sz w:val="16"/>
              <w:szCs w:val="16"/>
            </w:rPr>
            <w:t>23</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157722">
            <w:rPr>
              <w:rFonts w:ascii="Century Gothic" w:hAnsi="Century Gothic"/>
              <w:b/>
              <w:bCs/>
              <w:noProof/>
              <w:sz w:val="16"/>
              <w:szCs w:val="16"/>
            </w:rPr>
            <w:t>25</w:t>
          </w:r>
          <w:r w:rsidRPr="003F3941">
            <w:rPr>
              <w:rFonts w:ascii="Century Gothic" w:hAnsi="Century Gothic"/>
              <w:b/>
              <w:bCs/>
              <w:sz w:val="16"/>
              <w:szCs w:val="16"/>
            </w:rPr>
            <w:fldChar w:fldCharType="end"/>
          </w:r>
        </w:p>
      </w:tc>
    </w:tr>
  </w:tbl>
  <w:p w14:paraId="1934C436" w14:textId="77777777" w:rsidR="00580D6C" w:rsidRDefault="00580D6C" w:rsidP="00D44F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B2062" w14:textId="77777777" w:rsidR="007C6C86" w:rsidRDefault="007C6C86" w:rsidP="00DD4F22">
      <w:r>
        <w:separator/>
      </w:r>
    </w:p>
  </w:footnote>
  <w:footnote w:type="continuationSeparator" w:id="0">
    <w:p w14:paraId="5786EE25" w14:textId="77777777" w:rsidR="007C6C86" w:rsidRDefault="007C6C86" w:rsidP="00DD4F22">
      <w:r>
        <w:continuationSeparator/>
      </w:r>
    </w:p>
  </w:footnote>
  <w:footnote w:id="1">
    <w:p w14:paraId="6CCA3FD5" w14:textId="77777777" w:rsidR="00C95361" w:rsidRPr="005D4648" w:rsidRDefault="00C95361" w:rsidP="00C95361">
      <w:pPr>
        <w:pStyle w:val="Textonotapie"/>
        <w:ind w:firstLine="708"/>
        <w:jc w:val="both"/>
        <w:rPr>
          <w:rFonts w:ascii="Century Gothic" w:hAnsi="Century Gothic" w:cs="Arial"/>
          <w:sz w:val="16"/>
          <w:szCs w:val="16"/>
        </w:rPr>
      </w:pPr>
      <w:r w:rsidRPr="005D4648">
        <w:rPr>
          <w:rStyle w:val="Refdenotaalpie"/>
          <w:rFonts w:ascii="Century Gothic" w:hAnsi="Century Gothic" w:cs="Arial"/>
          <w:sz w:val="16"/>
          <w:szCs w:val="16"/>
        </w:rPr>
        <w:footnoteRef/>
      </w:r>
      <w:r w:rsidRPr="005D4648">
        <w:rPr>
          <w:rFonts w:ascii="Century Gothic" w:hAnsi="Century Gothic" w:cs="Arial"/>
          <w:sz w:val="16"/>
          <w:szCs w:val="16"/>
        </w:rPr>
        <w:t xml:space="preserve"> La Agencia Nacional de Contratación Pública </w:t>
      </w:r>
      <w:r w:rsidRPr="005D4648">
        <w:rPr>
          <w:rFonts w:ascii="Arial" w:hAnsi="Arial" w:cs="Arial"/>
          <w:sz w:val="16"/>
          <w:szCs w:val="16"/>
        </w:rPr>
        <w:t>‒</w:t>
      </w:r>
      <w:r w:rsidRPr="005D4648">
        <w:rPr>
          <w:rFonts w:ascii="Century Gothic" w:hAnsi="Century Gothic" w:cs="Arial"/>
          <w:sz w:val="16"/>
          <w:szCs w:val="16"/>
        </w:rPr>
        <w:t xml:space="preserve"> Colombia Compra Eficiente fue creada por el Decreto Ley 4170 de 2011. Su objetivo es servir como ente rector de la pol</w:t>
      </w:r>
      <w:r w:rsidRPr="005D4648">
        <w:rPr>
          <w:rFonts w:ascii="Century Gothic" w:hAnsi="Century Gothic" w:cs="Century Gothic"/>
          <w:sz w:val="16"/>
          <w:szCs w:val="16"/>
        </w:rPr>
        <w:t>í</w:t>
      </w:r>
      <w:r w:rsidRPr="005D4648">
        <w:rPr>
          <w:rFonts w:ascii="Century Gothic" w:hAnsi="Century Gothic" w:cs="Arial"/>
          <w:sz w:val="16"/>
          <w:szCs w:val="16"/>
        </w:rPr>
        <w:t>tica de compras y contrataci</w:t>
      </w:r>
      <w:r w:rsidRPr="005D4648">
        <w:rPr>
          <w:rFonts w:ascii="Century Gothic" w:hAnsi="Century Gothic" w:cs="Century Gothic"/>
          <w:sz w:val="16"/>
          <w:szCs w:val="16"/>
        </w:rPr>
        <w:t>ó</w:t>
      </w:r>
      <w:r w:rsidRPr="005D4648">
        <w:rPr>
          <w:rFonts w:ascii="Century Gothic" w:hAnsi="Century Gothic" w:cs="Arial"/>
          <w:sz w:val="16"/>
          <w:szCs w:val="16"/>
        </w:rPr>
        <w:t xml:space="preserve">n del Estado. Para tales fines, como </w:t>
      </w:r>
      <w:r w:rsidRPr="005D4648">
        <w:rPr>
          <w:rFonts w:ascii="Century Gothic" w:hAnsi="Century Gothic" w:cs="Century Gothic"/>
          <w:sz w:val="16"/>
          <w:szCs w:val="16"/>
        </w:rPr>
        <w:t>ó</w:t>
      </w:r>
      <w:r w:rsidRPr="005D4648">
        <w:rPr>
          <w:rFonts w:ascii="Century Gothic" w:hAnsi="Century Gothic" w:cs="Arial"/>
          <w:sz w:val="16"/>
          <w:szCs w:val="16"/>
        </w:rPr>
        <w:t>rgano t</w:t>
      </w:r>
      <w:r w:rsidRPr="005D4648">
        <w:rPr>
          <w:rFonts w:ascii="Century Gothic" w:hAnsi="Century Gothic" w:cs="Century Gothic"/>
          <w:sz w:val="16"/>
          <w:szCs w:val="16"/>
        </w:rPr>
        <w:t>é</w:t>
      </w:r>
      <w:r w:rsidRPr="005D4648">
        <w:rPr>
          <w:rFonts w:ascii="Century Gothic" w:hAnsi="Century Gothic" w:cs="Arial"/>
          <w:sz w:val="16"/>
          <w:szCs w:val="16"/>
        </w:rPr>
        <w:t>cnico especializado, le corresponde formular pol</w:t>
      </w:r>
      <w:r w:rsidRPr="005D4648">
        <w:rPr>
          <w:rFonts w:ascii="Century Gothic" w:hAnsi="Century Gothic" w:cs="Century Gothic"/>
          <w:sz w:val="16"/>
          <w:szCs w:val="16"/>
        </w:rPr>
        <w:t>í</w:t>
      </w:r>
      <w:r w:rsidRPr="005D4648">
        <w:rPr>
          <w:rFonts w:ascii="Century Gothic" w:hAnsi="Century Gothic" w:cs="Arial"/>
          <w:sz w:val="16"/>
          <w:szCs w:val="16"/>
        </w:rPr>
        <w:t>ticas p</w:t>
      </w:r>
      <w:r w:rsidRPr="005D4648">
        <w:rPr>
          <w:rFonts w:ascii="Century Gothic" w:hAnsi="Century Gothic" w:cs="Century Gothic"/>
          <w:sz w:val="16"/>
          <w:szCs w:val="16"/>
        </w:rPr>
        <w:t>ú</w:t>
      </w:r>
      <w:r w:rsidRPr="005D4648">
        <w:rPr>
          <w:rFonts w:ascii="Century Gothic" w:hAnsi="Century Gothic" w:cs="Arial"/>
          <w:sz w:val="16"/>
          <w:szCs w:val="16"/>
        </w:rPr>
        <w:t>blicas y normas y unificar los procesos de contrataci</w:t>
      </w:r>
      <w:r w:rsidRPr="005D4648">
        <w:rPr>
          <w:rFonts w:ascii="Century Gothic" w:hAnsi="Century Gothic" w:cs="Century Gothic"/>
          <w:sz w:val="16"/>
          <w:szCs w:val="16"/>
        </w:rPr>
        <w:t>ó</w:t>
      </w:r>
      <w:r w:rsidRPr="005D4648">
        <w:rPr>
          <w:rFonts w:ascii="Century Gothic" w:hAnsi="Century Gothic" w:cs="Arial"/>
          <w:sz w:val="16"/>
          <w:szCs w:val="16"/>
        </w:rPr>
        <w:t>n estatal, con el fin de lograr una mayor eficiencia, transparencia y optimizaci</w:t>
      </w:r>
      <w:r w:rsidRPr="005D4648">
        <w:rPr>
          <w:rFonts w:ascii="Century Gothic" w:hAnsi="Century Gothic" w:cs="Century Gothic"/>
          <w:sz w:val="16"/>
          <w:szCs w:val="16"/>
        </w:rPr>
        <w:t>ó</w:t>
      </w:r>
      <w:r w:rsidRPr="005D4648">
        <w:rPr>
          <w:rFonts w:ascii="Century Gothic" w:hAnsi="Century Gothic" w:cs="Arial"/>
          <w:sz w:val="16"/>
          <w:szCs w:val="16"/>
        </w:rPr>
        <w:t>n de los recursos del Estado. El art</w:t>
      </w:r>
      <w:r w:rsidRPr="005D4648">
        <w:rPr>
          <w:rFonts w:ascii="Century Gothic" w:hAnsi="Century Gothic" w:cs="Century Gothic"/>
          <w:sz w:val="16"/>
          <w:szCs w:val="16"/>
        </w:rPr>
        <w:t>í</w:t>
      </w:r>
      <w:r w:rsidRPr="005D4648">
        <w:rPr>
          <w:rFonts w:ascii="Century Gothic" w:hAnsi="Century Gothic" w:cs="Arial"/>
          <w:sz w:val="16"/>
          <w:szCs w:val="16"/>
        </w:rPr>
        <w:t xml:space="preserve">culo 3 </w:t>
      </w:r>
      <w:r w:rsidRPr="005D4648">
        <w:rPr>
          <w:rFonts w:ascii="Century Gothic" w:hAnsi="Century Gothic" w:cs="Arial"/>
          <w:i/>
          <w:iCs/>
          <w:sz w:val="16"/>
          <w:szCs w:val="16"/>
        </w:rPr>
        <w:t xml:space="preserve">ibidem </w:t>
      </w:r>
      <w:r w:rsidRPr="005D4648">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5FFD002" w14:textId="77777777" w:rsidR="00C95361" w:rsidRPr="005D4648" w:rsidRDefault="00C95361" w:rsidP="00C95361">
      <w:pPr>
        <w:pStyle w:val="Textonotapie"/>
        <w:ind w:firstLine="708"/>
        <w:jc w:val="both"/>
        <w:rPr>
          <w:rFonts w:ascii="Century Gothic" w:hAnsi="Century Gothic" w:cs="Arial"/>
          <w:sz w:val="16"/>
          <w:szCs w:val="16"/>
          <w:lang w:val="es-ES"/>
        </w:rPr>
      </w:pPr>
    </w:p>
  </w:footnote>
  <w:footnote w:id="2">
    <w:p w14:paraId="61DB997E" w14:textId="77777777" w:rsidR="00C95361" w:rsidRDefault="00C95361" w:rsidP="00C95361">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409C5C87" w14:textId="77777777" w:rsidR="00C95361" w:rsidRDefault="00C95361" w:rsidP="00C95361">
      <w:pPr>
        <w:pStyle w:val="Textonotapie"/>
        <w:ind w:firstLine="708"/>
        <w:jc w:val="both"/>
        <w:rPr>
          <w:rFonts w:ascii="Arial" w:hAnsi="Arial" w:cs="Arial"/>
          <w:sz w:val="19"/>
          <w:szCs w:val="19"/>
          <w:lang w:val="es-CO"/>
        </w:rPr>
      </w:pPr>
    </w:p>
  </w:footnote>
  <w:footnote w:id="3">
    <w:p w14:paraId="49967425" w14:textId="77777777" w:rsidR="00C95361" w:rsidRPr="009E020C" w:rsidRDefault="00C95361" w:rsidP="00C95361">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Consejo de Estado. Sección Tercera. Sentencia del 29 de octubre de 2.015. Consejera Ponente: Stella Conto Díaz Del Castillo. Expediente: 31.918.</w:t>
      </w:r>
    </w:p>
    <w:p w14:paraId="2BF285C3" w14:textId="77777777" w:rsidR="00C95361" w:rsidRPr="009E020C" w:rsidRDefault="00C95361" w:rsidP="00C95361">
      <w:pPr>
        <w:pStyle w:val="Car1"/>
        <w:ind w:firstLine="709"/>
        <w:jc w:val="both"/>
        <w:rPr>
          <w:rFonts w:ascii="Arial" w:hAnsi="Arial" w:cs="Arial"/>
          <w:sz w:val="19"/>
          <w:szCs w:val="19"/>
          <w:lang w:val="es-ES"/>
        </w:rPr>
      </w:pPr>
    </w:p>
  </w:footnote>
  <w:footnote w:id="4">
    <w:p w14:paraId="120246E9" w14:textId="77777777" w:rsidR="00C95361" w:rsidRPr="009E020C" w:rsidRDefault="00C95361" w:rsidP="00C95361">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Corte Constitucional. Sentencia T-684A del 14 de septiembre de 2011. Magistrado Ponente: Mauricio González Cuervo.</w:t>
      </w:r>
    </w:p>
    <w:p w14:paraId="7C670D8A" w14:textId="77777777" w:rsidR="00C95361" w:rsidRPr="009E020C" w:rsidRDefault="00C95361" w:rsidP="00C95361">
      <w:pPr>
        <w:pStyle w:val="Car1"/>
        <w:ind w:firstLine="709"/>
        <w:jc w:val="both"/>
        <w:rPr>
          <w:rFonts w:ascii="Arial" w:hAnsi="Arial" w:cs="Arial"/>
          <w:sz w:val="19"/>
          <w:szCs w:val="19"/>
          <w:lang w:val="es-ES"/>
        </w:rPr>
      </w:pPr>
    </w:p>
  </w:footnote>
  <w:footnote w:id="5">
    <w:p w14:paraId="187F707B" w14:textId="77777777" w:rsidR="00C95361" w:rsidRPr="008640C4" w:rsidRDefault="00C95361" w:rsidP="00C9536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C0AD035" w14:textId="77777777" w:rsidR="00C95361" w:rsidRPr="008640C4" w:rsidRDefault="00C95361" w:rsidP="00C95361">
      <w:pPr>
        <w:pStyle w:val="Textonotapie"/>
        <w:ind w:firstLine="709"/>
        <w:jc w:val="both"/>
        <w:rPr>
          <w:rFonts w:ascii="Arial" w:hAnsi="Arial" w:cs="Arial"/>
          <w:sz w:val="19"/>
          <w:szCs w:val="19"/>
          <w:lang w:val="es-ES"/>
        </w:rPr>
      </w:pPr>
    </w:p>
  </w:footnote>
  <w:footnote w:id="6">
    <w:p w14:paraId="75E283ED" w14:textId="77777777" w:rsidR="00C95361" w:rsidRPr="008640C4" w:rsidRDefault="00C95361" w:rsidP="00C9536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0DEC12E9" w14:textId="77777777" w:rsidR="00C95361" w:rsidRPr="008640C4" w:rsidRDefault="00C95361" w:rsidP="00C95361">
      <w:pPr>
        <w:pStyle w:val="Textonotapie"/>
        <w:ind w:firstLine="709"/>
        <w:jc w:val="both"/>
        <w:rPr>
          <w:rFonts w:ascii="Arial" w:hAnsi="Arial" w:cs="Arial"/>
          <w:sz w:val="19"/>
          <w:szCs w:val="19"/>
          <w:lang w:val="es-ES"/>
        </w:rPr>
      </w:pPr>
    </w:p>
  </w:footnote>
  <w:footnote w:id="7">
    <w:p w14:paraId="349E3934" w14:textId="77777777" w:rsidR="00C95361" w:rsidRPr="008640C4" w:rsidRDefault="00C95361" w:rsidP="00C9536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5056173" w14:textId="77777777" w:rsidR="00C95361" w:rsidRPr="008640C4" w:rsidRDefault="00C95361" w:rsidP="00C95361">
      <w:pPr>
        <w:pStyle w:val="Textonotapie"/>
        <w:ind w:firstLine="709"/>
        <w:jc w:val="both"/>
        <w:rPr>
          <w:rFonts w:ascii="Arial" w:hAnsi="Arial" w:cs="Arial"/>
          <w:sz w:val="19"/>
          <w:szCs w:val="19"/>
          <w:lang w:val="es-ES"/>
        </w:rPr>
      </w:pPr>
    </w:p>
  </w:footnote>
  <w:footnote w:id="8">
    <w:p w14:paraId="2A783F49" w14:textId="77777777" w:rsidR="00C95361" w:rsidRPr="008640C4" w:rsidRDefault="00C95361" w:rsidP="00C9536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220AA6F" w14:textId="77777777" w:rsidR="00C95361" w:rsidRPr="008640C4" w:rsidRDefault="00C95361" w:rsidP="00C95361">
      <w:pPr>
        <w:pStyle w:val="Textonotapie"/>
        <w:ind w:firstLine="709"/>
        <w:jc w:val="both"/>
        <w:rPr>
          <w:rFonts w:ascii="Arial" w:hAnsi="Arial" w:cs="Arial"/>
          <w:sz w:val="19"/>
          <w:szCs w:val="19"/>
          <w:lang w:val="es-ES"/>
        </w:rPr>
      </w:pPr>
    </w:p>
  </w:footnote>
  <w:footnote w:id="9">
    <w:p w14:paraId="1A375924" w14:textId="77777777" w:rsidR="00C95361" w:rsidRPr="008640C4" w:rsidRDefault="00C95361" w:rsidP="00C9536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5863745F" w14:textId="77777777" w:rsidR="00C95361" w:rsidRPr="008640C4" w:rsidRDefault="00C95361" w:rsidP="00C95361">
      <w:pPr>
        <w:pStyle w:val="Textonotapie"/>
        <w:ind w:firstLine="709"/>
        <w:jc w:val="both"/>
        <w:rPr>
          <w:rFonts w:ascii="Arial" w:hAnsi="Arial" w:cs="Arial"/>
          <w:sz w:val="19"/>
          <w:szCs w:val="19"/>
          <w:lang w:val="es-ES"/>
        </w:rPr>
      </w:pPr>
    </w:p>
  </w:footnote>
  <w:footnote w:id="10">
    <w:p w14:paraId="7A74467C" w14:textId="77777777" w:rsidR="00C95361" w:rsidRPr="001F5C3E" w:rsidRDefault="00C95361" w:rsidP="00C95361">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w:t>
      </w:r>
      <w:r>
        <w:rPr>
          <w:rFonts w:ascii="Arial" w:hAnsi="Arial" w:cs="Arial"/>
          <w:bCs/>
          <w:color w:val="000000" w:themeColor="text1"/>
          <w:sz w:val="19"/>
          <w:szCs w:val="19"/>
        </w:rPr>
        <w:t>“</w:t>
      </w:r>
      <w:r w:rsidRPr="001F5C3E">
        <w:rPr>
          <w:rFonts w:ascii="Arial" w:hAnsi="Arial" w:cs="Arial"/>
          <w:bCs/>
          <w:color w:val="000000" w:themeColor="text1"/>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color w:val="000000" w:themeColor="text1"/>
          <w:sz w:val="19"/>
          <w:szCs w:val="19"/>
        </w:rPr>
        <w:t>”</w:t>
      </w:r>
      <w:r w:rsidRPr="001F5C3E">
        <w:rPr>
          <w:rFonts w:ascii="Arial" w:hAnsi="Arial" w:cs="Arial"/>
          <w:bCs/>
          <w:color w:val="000000" w:themeColor="text1"/>
          <w:sz w:val="19"/>
          <w:szCs w:val="19"/>
        </w:rPr>
        <w:t xml:space="preserve"> (Cfr. </w:t>
      </w:r>
      <w:r w:rsidRPr="001F5C3E">
        <w:rPr>
          <w:rFonts w:ascii="Arial" w:hAnsi="Arial" w:cs="Arial"/>
          <w:color w:val="000000" w:themeColor="text1"/>
          <w:sz w:val="19"/>
          <w:szCs w:val="19"/>
        </w:rPr>
        <w:t xml:space="preserve">CONSEJO NACIONAL DE POLÍTICA ECONÓMICA Y SOCIAL. Documento 3956 del 8 de enero de 2019: </w:t>
      </w:r>
      <w:r>
        <w:rPr>
          <w:rFonts w:ascii="Arial" w:hAnsi="Arial" w:cs="Arial"/>
          <w:color w:val="000000" w:themeColor="text1"/>
          <w:sz w:val="19"/>
          <w:szCs w:val="19"/>
        </w:rPr>
        <w:t>“</w:t>
      </w:r>
      <w:r w:rsidRPr="001F5C3E">
        <w:rPr>
          <w:rFonts w:ascii="Arial" w:hAnsi="Arial" w:cs="Arial"/>
          <w:color w:val="000000" w:themeColor="text1"/>
          <w:sz w:val="19"/>
          <w:szCs w:val="19"/>
        </w:rPr>
        <w:t>Política de formalización empresarial</w:t>
      </w:r>
      <w:r>
        <w:rPr>
          <w:rFonts w:ascii="Arial" w:hAnsi="Arial" w:cs="Arial"/>
          <w:color w:val="000000" w:themeColor="text1"/>
          <w:sz w:val="19"/>
          <w:szCs w:val="19"/>
        </w:rPr>
        <w:t>”</w:t>
      </w:r>
      <w:r w:rsidRPr="001F5C3E">
        <w:rPr>
          <w:rFonts w:ascii="Arial" w:hAnsi="Arial" w:cs="Arial"/>
          <w:color w:val="000000" w:themeColor="text1"/>
          <w:sz w:val="19"/>
          <w:szCs w:val="19"/>
        </w:rPr>
        <w:t xml:space="preserve">.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59C10B6A" w14:textId="77777777" w:rsidR="00C95361" w:rsidRPr="00AA2812" w:rsidRDefault="00C95361" w:rsidP="00C95361">
      <w:pPr>
        <w:pStyle w:val="Textonotapie"/>
        <w:ind w:firstLine="708"/>
        <w:jc w:val="both"/>
        <w:rPr>
          <w:rFonts w:ascii="Arial" w:hAnsi="Arial" w:cs="Arial"/>
          <w:sz w:val="19"/>
          <w:szCs w:val="19"/>
          <w:lang w:val="es-ES"/>
        </w:rPr>
      </w:pPr>
    </w:p>
  </w:footnote>
  <w:footnote w:id="11">
    <w:p w14:paraId="5DDFD1D3" w14:textId="77777777" w:rsidR="00C95361" w:rsidRPr="00A1541C" w:rsidRDefault="00C95361" w:rsidP="00C95361">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9" w:name="_Hlk63862868"/>
      <w:r>
        <w:rPr>
          <w:rFonts w:ascii="Arial" w:hAnsi="Arial" w:cs="Arial"/>
          <w:sz w:val="19"/>
          <w:szCs w:val="19"/>
        </w:rPr>
        <w:t xml:space="preserve">CONGRESO DE LA REPÚBLICA. Gaceta No. 670 del 11 de agosto de 2020. Exposición de motivos del Proyecto de Ley No. 122 de 2020 Cámara. p. 13. </w:t>
      </w:r>
      <w:bookmarkEnd w:id="9"/>
    </w:p>
  </w:footnote>
  <w:footnote w:id="12">
    <w:p w14:paraId="6E817034" w14:textId="77777777" w:rsidR="00C95361" w:rsidRPr="007B1929" w:rsidRDefault="00C95361" w:rsidP="00C9536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76BA71F3"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69B2693E"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C7C5400"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48AF7418"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0E058C5F"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05E6CF37"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02A81506"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053B48D2"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 </w:t>
      </w:r>
    </w:p>
    <w:p w14:paraId="4E655843"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Parágrafo 1°.</w:t>
      </w:r>
      <w:r w:rsidRPr="007B1929">
        <w:rPr>
          <w:rFonts w:ascii="Arial" w:hAnsi="Arial" w:cs="Arial"/>
          <w:b/>
          <w:bCs/>
          <w:sz w:val="19"/>
          <w:szCs w:val="19"/>
          <w:lang w:eastAsia="es-CO"/>
        </w:rPr>
        <w:t> </w:t>
      </w:r>
      <w:r w:rsidRPr="007B1929">
        <w:rPr>
          <w:rFonts w:ascii="Arial" w:hAnsi="Arial" w:cs="Arial"/>
          <w:sz w:val="19"/>
          <w:szCs w:val="19"/>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20F7E71C" w14:textId="77777777" w:rsidR="00C95361" w:rsidRPr="007B1929" w:rsidRDefault="00C95361" w:rsidP="00C95361">
      <w:pPr>
        <w:ind w:firstLine="708"/>
        <w:jc w:val="both"/>
        <w:rPr>
          <w:rFonts w:ascii="Arial" w:hAnsi="Arial" w:cs="Arial"/>
          <w:sz w:val="19"/>
          <w:szCs w:val="19"/>
          <w:lang w:eastAsia="es-CO"/>
        </w:rPr>
      </w:pPr>
      <w:r>
        <w:rPr>
          <w:rFonts w:ascii="Arial" w:eastAsia="Calibri" w:hAnsi="Arial" w:cs="Arial"/>
          <w:bCs/>
          <w:sz w:val="19"/>
          <w:szCs w:val="19"/>
        </w:rPr>
        <w:t>“</w:t>
      </w:r>
      <w:r w:rsidRPr="007B1929">
        <w:rPr>
          <w:rFonts w:ascii="Arial" w:hAnsi="Arial" w:cs="Arial"/>
          <w:sz w:val="19"/>
          <w:szCs w:val="19"/>
          <w:lang w:eastAsia="es-CO"/>
        </w:rPr>
        <w:t>Durante el término otorgado para subsanar las ofertas, los proponentes no podrán acreditar circunstancias ocurridas con posterioridad al cierre del proceso. </w:t>
      </w:r>
    </w:p>
    <w:p w14:paraId="6169F37D" w14:textId="77777777" w:rsidR="00C95361" w:rsidRPr="007B1929" w:rsidRDefault="00C95361" w:rsidP="00C9536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Parágrafo 2°. Las certificaciones de sistemas de gestión de calidad no serán objeto de calificación, ni podrán establecerse como documento habilitante para participar en licitaciones o concursos. </w:t>
      </w:r>
    </w:p>
    <w:p w14:paraId="38AEE5D7" w14:textId="77777777" w:rsidR="00C95361" w:rsidRPr="007B1929" w:rsidRDefault="00C95361" w:rsidP="00C95361">
      <w:pPr>
        <w:ind w:firstLine="708"/>
        <w:jc w:val="both"/>
        <w:rPr>
          <w:rFonts w:ascii="Arial" w:hAnsi="Arial" w:cs="Arial"/>
          <w:sz w:val="19"/>
          <w:szCs w:val="19"/>
          <w:lang w:eastAsia="es-CO"/>
        </w:rPr>
      </w:pPr>
      <w:r>
        <w:rPr>
          <w:rFonts w:ascii="Arial" w:eastAsia="Calibri" w:hAnsi="Arial" w:cs="Arial"/>
          <w:bCs/>
          <w:sz w:val="19"/>
          <w:szCs w:val="19"/>
        </w:rPr>
        <w:t>“</w:t>
      </w:r>
      <w:r w:rsidRPr="007B1929">
        <w:rPr>
          <w:rFonts w:ascii="Arial" w:hAnsi="Arial" w:cs="Arial"/>
          <w:sz w:val="19"/>
          <w:szCs w:val="19"/>
          <w:lang w:eastAsia="es-CO"/>
        </w:rPr>
        <w:t>Parágrafo 3°. La no entrega de la garantía de seriedad junto con la propuesta no será subsanable y será causal de rechazo de la misma. </w:t>
      </w:r>
    </w:p>
    <w:p w14:paraId="28B4445F" w14:textId="77777777" w:rsidR="00C95361" w:rsidRPr="007B1929" w:rsidRDefault="00C95361" w:rsidP="00C95361">
      <w:pPr>
        <w:ind w:firstLine="708"/>
        <w:jc w:val="both"/>
        <w:rPr>
          <w:rFonts w:ascii="Arial" w:hAnsi="Arial" w:cs="Arial"/>
          <w:sz w:val="19"/>
          <w:szCs w:val="19"/>
          <w:lang w:eastAsia="es-CO"/>
        </w:rPr>
      </w:pPr>
      <w:r>
        <w:rPr>
          <w:rFonts w:ascii="Arial" w:eastAsia="Calibri" w:hAnsi="Arial" w:cs="Arial"/>
          <w:bCs/>
          <w:sz w:val="19"/>
          <w:szCs w:val="19"/>
        </w:rPr>
        <w:t>“</w:t>
      </w:r>
      <w:r w:rsidRPr="007B1929">
        <w:rPr>
          <w:rFonts w:ascii="Arial" w:hAnsi="Arial" w:cs="Arial"/>
          <w:sz w:val="19"/>
          <w:szCs w:val="19"/>
          <w:lang w:eastAsia="es-CO"/>
        </w:rPr>
        <w:t>Parágrafo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26AFAD21" w14:textId="77777777" w:rsidR="00C95361" w:rsidRPr="001679EF" w:rsidRDefault="00C95361" w:rsidP="00C95361">
      <w:pPr>
        <w:jc w:val="both"/>
      </w:pPr>
      <w:r w:rsidRPr="007B1929">
        <w:rPr>
          <w:rFonts w:ascii="Arial" w:hAnsi="Arial" w:cs="Arial"/>
          <w:sz w:val="19"/>
          <w:szCs w:val="19"/>
          <w:lang w:eastAsia="es-CO"/>
        </w:rPr>
        <w:t>  </w:t>
      </w:r>
      <w:r w:rsidRPr="007B1929">
        <w:rPr>
          <w:rFonts w:ascii="Arial" w:hAnsi="Arial" w:cs="Arial"/>
          <w:sz w:val="19"/>
          <w:szCs w:val="19"/>
          <w:lang w:eastAsia="es-CO"/>
        </w:rPr>
        <w:tab/>
      </w:r>
      <w:r>
        <w:rPr>
          <w:rFonts w:ascii="Arial" w:eastAsia="Calibri" w:hAnsi="Arial" w:cs="Arial"/>
          <w:bCs/>
          <w:sz w:val="19"/>
          <w:szCs w:val="19"/>
        </w:rPr>
        <w:t>“</w:t>
      </w:r>
      <w:r w:rsidRPr="007B1929">
        <w:rPr>
          <w:rFonts w:ascii="Arial" w:hAnsi="Arial" w:cs="Arial"/>
          <w:sz w:val="19"/>
          <w:szCs w:val="19"/>
          <w:lang w:eastAsia="es-CO"/>
        </w:rPr>
        <w:t>Parágrafo 5°. En los procesos de contratación, las entidades estatales deberán aceptar la experiencia adquirida por los proponentes a través de la ejecución de contratos con particulares</w:t>
      </w:r>
      <w:r>
        <w:rPr>
          <w:rFonts w:ascii="Arial" w:eastAsia="Calibri" w:hAnsi="Arial" w:cs="Arial"/>
          <w:bCs/>
          <w:sz w:val="19"/>
          <w:szCs w:val="19"/>
        </w:rPr>
        <w:t>”</w:t>
      </w:r>
      <w:r w:rsidRPr="007B1929">
        <w:rPr>
          <w:rFonts w:ascii="Arial" w:eastAsia="Calibri" w:hAnsi="Arial" w:cs="Arial"/>
          <w:bCs/>
          <w:sz w:val="19"/>
          <w:szCs w:val="19"/>
        </w:rPr>
        <w:t>.</w:t>
      </w:r>
      <w:r>
        <w:t xml:space="preserve"> </w:t>
      </w:r>
    </w:p>
  </w:footnote>
  <w:footnote w:id="13">
    <w:p w14:paraId="3C91A2CE" w14:textId="77777777" w:rsidR="00C95361" w:rsidRDefault="00C95361" w:rsidP="00C95361">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3A1F8E2E" w14:textId="77777777" w:rsidR="00C95361" w:rsidRPr="00705806" w:rsidRDefault="00C95361" w:rsidP="00C95361">
      <w:pPr>
        <w:pStyle w:val="Textonotapie"/>
        <w:ind w:firstLine="708"/>
        <w:jc w:val="both"/>
        <w:rPr>
          <w:rFonts w:ascii="Arial" w:hAnsi="Arial" w:cs="Arial"/>
          <w:sz w:val="19"/>
          <w:szCs w:val="19"/>
          <w:lang w:val="es-CO"/>
        </w:rPr>
      </w:pPr>
    </w:p>
  </w:footnote>
  <w:footnote w:id="14">
    <w:p w14:paraId="679E5047" w14:textId="77777777" w:rsidR="00C95361" w:rsidRDefault="00C95361" w:rsidP="00C9536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3F7A9E44" w14:textId="77777777" w:rsidR="00C95361" w:rsidRPr="00420547" w:rsidRDefault="00C95361" w:rsidP="00C95361">
      <w:pPr>
        <w:pStyle w:val="Textonotapie"/>
        <w:ind w:firstLine="708"/>
        <w:jc w:val="both"/>
        <w:rPr>
          <w:rFonts w:ascii="Arial" w:hAnsi="Arial" w:cs="Arial"/>
          <w:sz w:val="19"/>
          <w:szCs w:val="19"/>
          <w:lang w:val="es-CO"/>
        </w:rPr>
      </w:pPr>
    </w:p>
  </w:footnote>
  <w:footnote w:id="15">
    <w:p w14:paraId="5E1674D0" w14:textId="77777777" w:rsidR="00C95361" w:rsidRDefault="00C95361" w:rsidP="00C95361">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1E8C2ECC" w14:textId="77777777" w:rsidR="00C95361" w:rsidRPr="00705806" w:rsidRDefault="00C95361" w:rsidP="00C95361">
      <w:pPr>
        <w:pStyle w:val="Textonotapie"/>
        <w:ind w:firstLine="708"/>
        <w:jc w:val="both"/>
        <w:rPr>
          <w:rFonts w:ascii="Arial" w:hAnsi="Arial" w:cs="Arial"/>
          <w:sz w:val="19"/>
          <w:szCs w:val="19"/>
          <w:lang w:val="es-CO"/>
        </w:rPr>
      </w:pPr>
    </w:p>
  </w:footnote>
  <w:footnote w:id="16">
    <w:p w14:paraId="02EC1CC8" w14:textId="77777777" w:rsidR="00C95361" w:rsidRPr="00705806" w:rsidRDefault="00C95361" w:rsidP="00C95361">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17">
    <w:p w14:paraId="3718E1E0" w14:textId="77777777" w:rsidR="00C95361" w:rsidRPr="00C93A42" w:rsidRDefault="00C95361" w:rsidP="00C95361">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Decreto 1082 de 2015 </w:t>
      </w:r>
      <w:r>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509E1136"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5B07365B"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3EBD36EC"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7BF0CADB"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5FA32C91"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11F19E01" w14:textId="77777777" w:rsidR="00C95361" w:rsidRPr="00C93A42" w:rsidRDefault="00C95361" w:rsidP="00C95361">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7D475258" w14:textId="77777777" w:rsidR="00C95361" w:rsidRPr="00C93A42" w:rsidRDefault="00C95361" w:rsidP="00C95361">
      <w:pPr>
        <w:jc w:val="both"/>
      </w:pPr>
      <w:r w:rsidRPr="00C93A42">
        <w:rPr>
          <w:rFonts w:ascii="Arial" w:hAnsi="Arial" w:cs="Arial"/>
          <w:sz w:val="19"/>
          <w:szCs w:val="19"/>
          <w:lang w:eastAsia="es-CO"/>
        </w:rPr>
        <w:t>  </w:t>
      </w:r>
      <w:r w:rsidRPr="00C93A42">
        <w:rPr>
          <w:rFonts w:ascii="Arial" w:hAnsi="Arial" w:cs="Arial"/>
          <w:sz w:val="19"/>
          <w:szCs w:val="19"/>
          <w:lang w:eastAsia="es-CO"/>
        </w:rPr>
        <w:tab/>
      </w:r>
      <w:r>
        <w:rPr>
          <w:rFonts w:ascii="Arial" w:eastAsia="Calibri" w:hAnsi="Arial" w:cs="Arial"/>
          <w:bCs/>
          <w:sz w:val="19"/>
          <w:szCs w:val="19"/>
        </w:rPr>
        <w:t>“</w:t>
      </w:r>
      <w:r w:rsidRPr="00C93A42">
        <w:rPr>
          <w:rFonts w:ascii="Arial" w:hAnsi="Arial" w:cs="Arial"/>
          <w:sz w:val="19"/>
          <w:szCs w:val="19"/>
          <w:lang w:eastAsia="es-CO"/>
        </w:rPr>
        <w:t>La Entidad Estatal debe adjudicar al oferente que presentó la oferta con la mejor relación costo-beneficio y suscribir el contrato por el precio total ofrecido</w:t>
      </w:r>
      <w:r>
        <w:rPr>
          <w:rFonts w:ascii="Arial" w:eastAsia="Calibri" w:hAnsi="Arial" w:cs="Arial"/>
          <w:bCs/>
          <w:sz w:val="19"/>
          <w:szCs w:val="19"/>
        </w:rPr>
        <w:t>”</w:t>
      </w:r>
      <w:r w:rsidRPr="00C93A42">
        <w:rPr>
          <w:rFonts w:ascii="Arial" w:hAnsi="Arial" w:cs="Arial"/>
          <w:sz w:val="19"/>
          <w:szCs w:val="19"/>
          <w:lang w:eastAsia="es-CO"/>
        </w:rPr>
        <w:t>. </w:t>
      </w:r>
    </w:p>
  </w:footnote>
  <w:footnote w:id="18">
    <w:p w14:paraId="342EECD6" w14:textId="77777777" w:rsidR="00C95361" w:rsidRPr="00576186" w:rsidRDefault="00C95361" w:rsidP="00C95361">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Según este principio, </w:t>
      </w:r>
      <w:r>
        <w:rPr>
          <w:rFonts w:ascii="Arial" w:hAnsi="Arial" w:cs="Arial"/>
          <w:sz w:val="19"/>
          <w:szCs w:val="19"/>
        </w:rPr>
        <w:t>“</w:t>
      </w:r>
      <w:r w:rsidRPr="00576186">
        <w:rPr>
          <w:rFonts w:ascii="Arial" w:hAnsi="Arial" w:cs="Arial"/>
          <w:sz w:val="19"/>
          <w:szCs w:val="19"/>
        </w:rPr>
        <w:t>[…] en caso de perplejidades hermenéuticas, el operador jurídico debe preferir, entre las diversas interpretaciones de las disposiciones aplicables al caso, aquella que produzca efectos, sobre aquella que no, o sobre aquella que sea superflua o irrazonable […]</w:t>
      </w:r>
      <w:r>
        <w:rPr>
          <w:rFonts w:ascii="Arial" w:hAnsi="Arial" w:cs="Arial"/>
          <w:sz w:val="19"/>
          <w:szCs w:val="19"/>
        </w:rPr>
        <w:t>”</w:t>
      </w:r>
      <w:r w:rsidRPr="00576186">
        <w:rPr>
          <w:rFonts w:ascii="Arial" w:hAnsi="Arial" w:cs="Arial"/>
          <w:sz w:val="19"/>
          <w:szCs w:val="19"/>
        </w:rPr>
        <w:t xml:space="preserve">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 w:id="19">
    <w:p w14:paraId="074092C1" w14:textId="77777777" w:rsidR="00C95361" w:rsidRPr="00D97515" w:rsidRDefault="00C95361" w:rsidP="00C95361">
      <w:pPr>
        <w:ind w:firstLine="706"/>
        <w:jc w:val="both"/>
        <w:rPr>
          <w:rFonts w:ascii="Century Gothic" w:hAnsi="Century Gothic" w:cs="Arial"/>
          <w:sz w:val="15"/>
          <w:szCs w:val="15"/>
        </w:rPr>
      </w:pPr>
      <w:r w:rsidRPr="00D97515">
        <w:rPr>
          <w:rStyle w:val="Refdenotaalpie"/>
          <w:rFonts w:ascii="Century Gothic" w:hAnsi="Century Gothic" w:cs="Arial"/>
          <w:sz w:val="15"/>
          <w:szCs w:val="15"/>
        </w:rPr>
        <w:footnoteRef/>
      </w:r>
      <w:r w:rsidRPr="00D97515">
        <w:rPr>
          <w:rFonts w:ascii="Century Gothic" w:hAnsi="Century Gothic" w:cs="Arial"/>
          <w:sz w:val="15"/>
          <w:szCs w:val="15"/>
        </w:rPr>
        <w:t xml:space="preserve"> </w:t>
      </w:r>
      <w:r w:rsidRPr="00D97515">
        <w:rPr>
          <w:rFonts w:ascii="Century Gothic" w:hAnsi="Century Gothic" w:cs="Arial"/>
          <w:i/>
          <w:iCs/>
          <w:sz w:val="15"/>
          <w:szCs w:val="15"/>
        </w:rPr>
        <w:t>"Artículo 310. El Departamento Archipiélago de San Andrés, Providencia y Santa Catalina se regirá,</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además de las normas previstas en la Constitución y las leyes para los otros departamentos, por las normas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 xml:space="preserve">especiales </w:t>
      </w:r>
      <w:proofErr w:type="gramStart"/>
      <w:r w:rsidRPr="00D97515">
        <w:rPr>
          <w:rFonts w:ascii="Century Gothic" w:hAnsi="Century Gothic" w:cs="Arial"/>
          <w:i/>
          <w:iCs/>
          <w:sz w:val="15"/>
          <w:szCs w:val="15"/>
        </w:rPr>
        <w:t>que</w:t>
      </w:r>
      <w:proofErr w:type="gramEnd"/>
      <w:r w:rsidRPr="00D97515">
        <w:rPr>
          <w:rFonts w:ascii="Century Gothic" w:hAnsi="Century Gothic" w:cs="Arial"/>
          <w:i/>
          <w:iCs/>
          <w:sz w:val="15"/>
          <w:szCs w:val="15"/>
        </w:rPr>
        <w:t xml:space="preserve"> en materia administrativa, de inmigración, fiscal, de comercio exterior, de cambios, financiera y</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fomento</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económico</w:t>
      </w:r>
      <w:r w:rsidRPr="00D97515">
        <w:rPr>
          <w:rFonts w:ascii="Century Gothic" w:hAnsi="Century Gothic" w:cs="Arial"/>
          <w:i/>
          <w:iCs/>
          <w:spacing w:val="-4"/>
          <w:sz w:val="15"/>
          <w:szCs w:val="15"/>
        </w:rPr>
        <w:t xml:space="preserve"> </w:t>
      </w:r>
      <w:r w:rsidRPr="00D97515">
        <w:rPr>
          <w:rFonts w:ascii="Century Gothic" w:hAnsi="Century Gothic" w:cs="Arial"/>
          <w:i/>
          <w:iCs/>
          <w:sz w:val="15"/>
          <w:szCs w:val="15"/>
        </w:rPr>
        <w:t>establezca</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el</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legislador.</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Mediante</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ley</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aprobada</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por</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4"/>
          <w:sz w:val="15"/>
          <w:szCs w:val="15"/>
        </w:rPr>
        <w:t xml:space="preserve"> </w:t>
      </w:r>
      <w:r w:rsidRPr="00D97515">
        <w:rPr>
          <w:rFonts w:ascii="Century Gothic" w:hAnsi="Century Gothic" w:cs="Arial"/>
          <w:i/>
          <w:iCs/>
          <w:sz w:val="15"/>
          <w:szCs w:val="15"/>
        </w:rPr>
        <w:t>mayoría</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los</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miembros</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5"/>
          <w:sz w:val="15"/>
          <w:szCs w:val="15"/>
        </w:rPr>
        <w:t xml:space="preserve"> </w:t>
      </w:r>
      <w:r w:rsidRPr="00D97515">
        <w:rPr>
          <w:rFonts w:ascii="Century Gothic" w:hAnsi="Century Gothic" w:cs="Arial"/>
          <w:i/>
          <w:iCs/>
          <w:sz w:val="15"/>
          <w:szCs w:val="15"/>
        </w:rPr>
        <w:t>cada</w:t>
      </w:r>
      <w:r w:rsidRPr="00D97515">
        <w:rPr>
          <w:rFonts w:ascii="Century Gothic" w:hAnsi="Century Gothic" w:cs="Arial"/>
          <w:i/>
          <w:iCs/>
          <w:spacing w:val="-51"/>
          <w:sz w:val="15"/>
          <w:szCs w:val="15"/>
        </w:rPr>
        <w:t xml:space="preserve"> </w:t>
      </w:r>
      <w:r w:rsidRPr="00D97515">
        <w:rPr>
          <w:rFonts w:ascii="Century Gothic" w:hAnsi="Century Gothic" w:cs="Arial"/>
          <w:i/>
          <w:iCs/>
          <w:spacing w:val="-1"/>
          <w:sz w:val="15"/>
          <w:szCs w:val="15"/>
        </w:rPr>
        <w:t>cámara</w:t>
      </w:r>
      <w:r w:rsidRPr="00D97515">
        <w:rPr>
          <w:rFonts w:ascii="Century Gothic" w:hAnsi="Century Gothic" w:cs="Arial"/>
          <w:i/>
          <w:iCs/>
          <w:spacing w:val="-13"/>
          <w:sz w:val="15"/>
          <w:szCs w:val="15"/>
        </w:rPr>
        <w:t xml:space="preserve"> </w:t>
      </w:r>
      <w:r w:rsidRPr="00D97515">
        <w:rPr>
          <w:rFonts w:ascii="Century Gothic" w:hAnsi="Century Gothic" w:cs="Arial"/>
          <w:i/>
          <w:iCs/>
          <w:spacing w:val="-1"/>
          <w:sz w:val="15"/>
          <w:szCs w:val="15"/>
        </w:rPr>
        <w:t>se</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podrá</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limitar</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el</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ejercicio</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de</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los</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derechos</w:t>
      </w:r>
      <w:r w:rsidRPr="00D97515">
        <w:rPr>
          <w:rFonts w:ascii="Century Gothic" w:hAnsi="Century Gothic" w:cs="Arial"/>
          <w:i/>
          <w:iCs/>
          <w:spacing w:val="-12"/>
          <w:sz w:val="15"/>
          <w:szCs w:val="15"/>
        </w:rPr>
        <w:t xml:space="preserve"> </w:t>
      </w:r>
      <w:r w:rsidRPr="00D97515">
        <w:rPr>
          <w:rFonts w:ascii="Century Gothic" w:hAnsi="Century Gothic" w:cs="Arial"/>
          <w:i/>
          <w:iCs/>
          <w:spacing w:val="-1"/>
          <w:sz w:val="15"/>
          <w:szCs w:val="15"/>
        </w:rPr>
        <w:t>de</w:t>
      </w:r>
      <w:r w:rsidRPr="00D97515">
        <w:rPr>
          <w:rFonts w:ascii="Century Gothic" w:hAnsi="Century Gothic" w:cs="Arial"/>
          <w:i/>
          <w:iCs/>
          <w:spacing w:val="-13"/>
          <w:sz w:val="15"/>
          <w:szCs w:val="15"/>
        </w:rPr>
        <w:t xml:space="preserve"> </w:t>
      </w:r>
      <w:r w:rsidRPr="00D97515">
        <w:rPr>
          <w:rFonts w:ascii="Century Gothic" w:hAnsi="Century Gothic" w:cs="Arial"/>
          <w:i/>
          <w:iCs/>
          <w:sz w:val="15"/>
          <w:szCs w:val="15"/>
        </w:rPr>
        <w:t>circulación</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y</w:t>
      </w:r>
      <w:r w:rsidRPr="00D97515">
        <w:rPr>
          <w:rFonts w:ascii="Century Gothic" w:hAnsi="Century Gothic" w:cs="Arial"/>
          <w:i/>
          <w:iCs/>
          <w:spacing w:val="-11"/>
          <w:sz w:val="15"/>
          <w:szCs w:val="15"/>
        </w:rPr>
        <w:t xml:space="preserve"> </w:t>
      </w:r>
      <w:r w:rsidRPr="00D97515">
        <w:rPr>
          <w:rFonts w:ascii="Century Gothic" w:hAnsi="Century Gothic" w:cs="Arial"/>
          <w:i/>
          <w:iCs/>
          <w:sz w:val="15"/>
          <w:szCs w:val="15"/>
        </w:rPr>
        <w:t>residencia,</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establecer</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controles</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a</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densidad</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población,</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regular</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el</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uso</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del</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suelo</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y</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someter</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a</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condiciones</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especiales</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enajenación</w:t>
      </w:r>
      <w:r w:rsidRPr="00D97515">
        <w:rPr>
          <w:rFonts w:ascii="Century Gothic" w:hAnsi="Century Gothic" w:cs="Arial"/>
          <w:i/>
          <w:iCs/>
          <w:spacing w:val="-7"/>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bienes</w:t>
      </w:r>
      <w:r w:rsidRPr="00D97515">
        <w:rPr>
          <w:rFonts w:ascii="Century Gothic" w:hAnsi="Century Gothic" w:cs="Arial"/>
          <w:i/>
          <w:iCs/>
          <w:spacing w:val="-8"/>
          <w:sz w:val="15"/>
          <w:szCs w:val="15"/>
        </w:rPr>
        <w:t xml:space="preserve"> </w:t>
      </w:r>
      <w:r w:rsidRPr="00D97515">
        <w:rPr>
          <w:rFonts w:ascii="Century Gothic" w:hAnsi="Century Gothic" w:cs="Arial"/>
          <w:i/>
          <w:iCs/>
          <w:sz w:val="15"/>
          <w:szCs w:val="15"/>
        </w:rPr>
        <w:t>inmuebles</w:t>
      </w:r>
      <w:r w:rsidRPr="00D97515">
        <w:rPr>
          <w:rFonts w:ascii="Century Gothic" w:hAnsi="Century Gothic" w:cs="Arial"/>
          <w:i/>
          <w:iCs/>
          <w:spacing w:val="1"/>
          <w:sz w:val="15"/>
          <w:szCs w:val="15"/>
        </w:rPr>
        <w:t xml:space="preserve"> </w:t>
      </w:r>
      <w:r w:rsidRPr="00D97515">
        <w:rPr>
          <w:rFonts w:ascii="Century Gothic" w:hAnsi="Century Gothic" w:cs="Arial"/>
          <w:i/>
          <w:iCs/>
          <w:spacing w:val="-1"/>
          <w:sz w:val="15"/>
          <w:szCs w:val="15"/>
        </w:rPr>
        <w:t xml:space="preserve">con el fin de proteger la identidad cultural de las comunidades </w:t>
      </w:r>
      <w:r w:rsidRPr="00D97515">
        <w:rPr>
          <w:rFonts w:ascii="Century Gothic" w:hAnsi="Century Gothic" w:cs="Arial"/>
          <w:i/>
          <w:iCs/>
          <w:sz w:val="15"/>
          <w:szCs w:val="15"/>
        </w:rPr>
        <w:t>nativas y preservar el ambiente y los recursos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naturales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del</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Archipiélago.</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Mediante</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creación</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los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municipios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a</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que</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hubiere</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lugar,</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la</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Asamblea</w:t>
      </w:r>
      <w:r w:rsidRPr="00D97515">
        <w:rPr>
          <w:rFonts w:ascii="Century Gothic" w:hAnsi="Century Gothic" w:cs="Arial"/>
          <w:i/>
          <w:iCs/>
          <w:spacing w:val="1"/>
          <w:sz w:val="15"/>
          <w:szCs w:val="15"/>
        </w:rPr>
        <w:t xml:space="preserve"> </w:t>
      </w:r>
      <w:r w:rsidRPr="00D97515">
        <w:rPr>
          <w:rFonts w:ascii="Century Gothic" w:hAnsi="Century Gothic" w:cs="Arial"/>
          <w:i/>
          <w:iCs/>
          <w:spacing w:val="-1"/>
          <w:sz w:val="15"/>
          <w:szCs w:val="15"/>
        </w:rPr>
        <w:t>Departamental</w:t>
      </w:r>
      <w:r w:rsidRPr="00D97515">
        <w:rPr>
          <w:rFonts w:ascii="Century Gothic" w:hAnsi="Century Gothic" w:cs="Arial"/>
          <w:i/>
          <w:iCs/>
          <w:spacing w:val="-3"/>
          <w:sz w:val="15"/>
          <w:szCs w:val="15"/>
        </w:rPr>
        <w:t xml:space="preserve"> </w:t>
      </w:r>
      <w:r w:rsidRPr="00D97515">
        <w:rPr>
          <w:rFonts w:ascii="Century Gothic" w:hAnsi="Century Gothic" w:cs="Arial"/>
          <w:i/>
          <w:iCs/>
          <w:spacing w:val="-1"/>
          <w:sz w:val="15"/>
          <w:szCs w:val="15"/>
        </w:rPr>
        <w:t>garantizará</w:t>
      </w:r>
      <w:r w:rsidRPr="00D97515">
        <w:rPr>
          <w:rFonts w:ascii="Century Gothic" w:hAnsi="Century Gothic" w:cs="Arial"/>
          <w:i/>
          <w:iCs/>
          <w:spacing w:val="-3"/>
          <w:sz w:val="15"/>
          <w:szCs w:val="15"/>
        </w:rPr>
        <w:t xml:space="preserve"> </w:t>
      </w:r>
      <w:r w:rsidRPr="00D97515">
        <w:rPr>
          <w:rFonts w:ascii="Century Gothic" w:hAnsi="Century Gothic" w:cs="Arial"/>
          <w:i/>
          <w:iCs/>
          <w:spacing w:val="-1"/>
          <w:sz w:val="15"/>
          <w:szCs w:val="15"/>
        </w:rPr>
        <w:t>la</w:t>
      </w:r>
      <w:r w:rsidRPr="00D97515">
        <w:rPr>
          <w:rFonts w:ascii="Century Gothic" w:hAnsi="Century Gothic" w:cs="Arial"/>
          <w:i/>
          <w:iCs/>
          <w:spacing w:val="-3"/>
          <w:sz w:val="15"/>
          <w:szCs w:val="15"/>
        </w:rPr>
        <w:t xml:space="preserve"> </w:t>
      </w:r>
      <w:r w:rsidRPr="00D97515">
        <w:rPr>
          <w:rFonts w:ascii="Century Gothic" w:hAnsi="Century Gothic" w:cs="Arial"/>
          <w:i/>
          <w:iCs/>
          <w:spacing w:val="-1"/>
          <w:sz w:val="15"/>
          <w:szCs w:val="15"/>
        </w:rPr>
        <w:t>expresión</w:t>
      </w:r>
      <w:r w:rsidRPr="00D97515">
        <w:rPr>
          <w:rFonts w:ascii="Century Gothic" w:hAnsi="Century Gothic" w:cs="Arial"/>
          <w:i/>
          <w:iCs/>
          <w:spacing w:val="-3"/>
          <w:sz w:val="15"/>
          <w:szCs w:val="15"/>
        </w:rPr>
        <w:t xml:space="preserve"> </w:t>
      </w:r>
      <w:r w:rsidRPr="00D97515">
        <w:rPr>
          <w:rFonts w:ascii="Century Gothic" w:hAnsi="Century Gothic" w:cs="Arial"/>
          <w:i/>
          <w:iCs/>
          <w:spacing w:val="-1"/>
          <w:sz w:val="15"/>
          <w:szCs w:val="15"/>
        </w:rPr>
        <w:t>institucional</w:t>
      </w:r>
      <w:r w:rsidRPr="00D97515">
        <w:rPr>
          <w:rFonts w:ascii="Century Gothic" w:hAnsi="Century Gothic" w:cs="Arial"/>
          <w:i/>
          <w:iCs/>
          <w:spacing w:val="-11"/>
          <w:sz w:val="15"/>
          <w:szCs w:val="15"/>
        </w:rPr>
        <w:t xml:space="preserve"> </w:t>
      </w:r>
      <w:r w:rsidRPr="00D97515">
        <w:rPr>
          <w:rFonts w:ascii="Century Gothic" w:hAnsi="Century Gothic" w:cs="Arial"/>
          <w:i/>
          <w:iCs/>
          <w:spacing w:val="-1"/>
          <w:sz w:val="15"/>
          <w:szCs w:val="15"/>
        </w:rPr>
        <w:t>de</w:t>
      </w:r>
      <w:r w:rsidRPr="00D97515">
        <w:rPr>
          <w:rFonts w:ascii="Century Gothic" w:hAnsi="Century Gothic" w:cs="Arial"/>
          <w:i/>
          <w:iCs/>
          <w:spacing w:val="-10"/>
          <w:sz w:val="15"/>
          <w:szCs w:val="15"/>
        </w:rPr>
        <w:t xml:space="preserve"> </w:t>
      </w:r>
      <w:r w:rsidRPr="00D97515">
        <w:rPr>
          <w:rFonts w:ascii="Century Gothic" w:hAnsi="Century Gothic" w:cs="Arial"/>
          <w:i/>
          <w:iCs/>
          <w:spacing w:val="-1"/>
          <w:sz w:val="15"/>
          <w:szCs w:val="15"/>
        </w:rPr>
        <w:t>las</w:t>
      </w:r>
      <w:r w:rsidRPr="00D97515">
        <w:rPr>
          <w:rFonts w:ascii="Century Gothic" w:hAnsi="Century Gothic" w:cs="Arial"/>
          <w:i/>
          <w:iCs/>
          <w:spacing w:val="-14"/>
          <w:sz w:val="15"/>
          <w:szCs w:val="15"/>
        </w:rPr>
        <w:t xml:space="preserve"> </w:t>
      </w:r>
      <w:r w:rsidRPr="00D97515">
        <w:rPr>
          <w:rFonts w:ascii="Century Gothic" w:hAnsi="Century Gothic" w:cs="Arial"/>
          <w:i/>
          <w:iCs/>
          <w:spacing w:val="-1"/>
          <w:sz w:val="15"/>
          <w:szCs w:val="15"/>
        </w:rPr>
        <w:t>comunidades</w:t>
      </w:r>
      <w:r w:rsidRPr="00D97515">
        <w:rPr>
          <w:rFonts w:ascii="Century Gothic" w:hAnsi="Century Gothic" w:cs="Arial"/>
          <w:i/>
          <w:iCs/>
          <w:spacing w:val="-13"/>
          <w:sz w:val="15"/>
          <w:szCs w:val="15"/>
        </w:rPr>
        <w:t xml:space="preserve"> </w:t>
      </w:r>
      <w:r w:rsidRPr="00D97515">
        <w:rPr>
          <w:rFonts w:ascii="Century Gothic" w:hAnsi="Century Gothic" w:cs="Arial"/>
          <w:i/>
          <w:iCs/>
          <w:sz w:val="15"/>
          <w:szCs w:val="15"/>
        </w:rPr>
        <w:t>raizales</w:t>
      </w:r>
      <w:r w:rsidRPr="00D97515">
        <w:rPr>
          <w:rFonts w:ascii="Century Gothic" w:hAnsi="Century Gothic" w:cs="Arial"/>
          <w:i/>
          <w:iCs/>
          <w:spacing w:val="-14"/>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10"/>
          <w:sz w:val="15"/>
          <w:szCs w:val="15"/>
        </w:rPr>
        <w:t xml:space="preserve"> </w:t>
      </w:r>
      <w:r w:rsidRPr="00D97515">
        <w:rPr>
          <w:rFonts w:ascii="Century Gothic" w:hAnsi="Century Gothic" w:cs="Arial"/>
          <w:i/>
          <w:iCs/>
          <w:sz w:val="15"/>
          <w:szCs w:val="15"/>
        </w:rPr>
        <w:t>San</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Andrés.</w:t>
      </w:r>
      <w:r w:rsidRPr="00D97515">
        <w:rPr>
          <w:rFonts w:ascii="Century Gothic" w:hAnsi="Century Gothic" w:cs="Arial"/>
          <w:i/>
          <w:iCs/>
          <w:spacing w:val="-9"/>
          <w:sz w:val="15"/>
          <w:szCs w:val="15"/>
        </w:rPr>
        <w:t xml:space="preserve"> </w:t>
      </w:r>
      <w:r w:rsidRPr="00D97515">
        <w:rPr>
          <w:rFonts w:ascii="Century Gothic" w:hAnsi="Century Gothic" w:cs="Arial"/>
          <w:i/>
          <w:iCs/>
          <w:sz w:val="15"/>
          <w:szCs w:val="15"/>
        </w:rPr>
        <w:t>El</w:t>
      </w:r>
      <w:r w:rsidRPr="00D97515">
        <w:rPr>
          <w:rFonts w:ascii="Century Gothic" w:hAnsi="Century Gothic" w:cs="Arial"/>
          <w:i/>
          <w:iCs/>
          <w:spacing w:val="-12"/>
          <w:sz w:val="15"/>
          <w:szCs w:val="15"/>
        </w:rPr>
        <w:t xml:space="preserve"> </w:t>
      </w:r>
      <w:r w:rsidRPr="00D97515">
        <w:rPr>
          <w:rFonts w:ascii="Century Gothic" w:hAnsi="Century Gothic" w:cs="Arial"/>
          <w:i/>
          <w:iCs/>
          <w:sz w:val="15"/>
          <w:szCs w:val="15"/>
        </w:rPr>
        <w:t>municipio</w:t>
      </w:r>
      <w:r w:rsidRPr="00D97515">
        <w:rPr>
          <w:rFonts w:ascii="Century Gothic" w:hAnsi="Century Gothic" w:cs="Arial"/>
          <w:i/>
          <w:iCs/>
          <w:spacing w:val="-6"/>
          <w:sz w:val="15"/>
          <w:szCs w:val="15"/>
        </w:rPr>
        <w:t xml:space="preserve"> </w:t>
      </w:r>
      <w:r w:rsidRPr="00D97515">
        <w:rPr>
          <w:rFonts w:ascii="Century Gothic" w:hAnsi="Century Gothic" w:cs="Arial"/>
          <w:i/>
          <w:iCs/>
          <w:sz w:val="15"/>
          <w:szCs w:val="15"/>
        </w:rPr>
        <w:t>de</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Providencia tendrá en las rentas departamentales una participación no inferior del 20% del valor total de dichas</w:t>
      </w:r>
      <w:r w:rsidRPr="00D97515">
        <w:rPr>
          <w:rFonts w:ascii="Century Gothic" w:hAnsi="Century Gothic" w:cs="Arial"/>
          <w:i/>
          <w:iCs/>
          <w:spacing w:val="1"/>
          <w:sz w:val="15"/>
          <w:szCs w:val="15"/>
        </w:rPr>
        <w:t xml:space="preserve"> </w:t>
      </w:r>
      <w:r w:rsidRPr="00D97515">
        <w:rPr>
          <w:rFonts w:ascii="Century Gothic" w:hAnsi="Century Gothic" w:cs="Arial"/>
          <w:i/>
          <w:iCs/>
          <w:sz w:val="15"/>
          <w:szCs w:val="15"/>
        </w:rPr>
        <w:t>rentas”.</w:t>
      </w:r>
    </w:p>
    <w:p w14:paraId="534AB4C1" w14:textId="77777777" w:rsidR="00C95361" w:rsidRPr="00D97515" w:rsidRDefault="00C95361" w:rsidP="00C95361">
      <w:pPr>
        <w:pStyle w:val="Textonotapie"/>
        <w:rPr>
          <w:rFonts w:ascii="Century Gothic" w:hAnsi="Century Gothic" w:cs="Arial"/>
          <w:sz w:val="15"/>
          <w:szCs w:val="15"/>
          <w:lang w:val="es-CO"/>
        </w:rPr>
      </w:pPr>
    </w:p>
  </w:footnote>
  <w:footnote w:id="20">
    <w:p w14:paraId="74052441" w14:textId="77777777" w:rsidR="00C95361" w:rsidRPr="00D97515" w:rsidRDefault="00C95361" w:rsidP="00C95361">
      <w:pPr>
        <w:pStyle w:val="Textonotapie"/>
        <w:ind w:firstLine="720"/>
        <w:rPr>
          <w:rFonts w:ascii="Century Gothic" w:hAnsi="Century Gothic" w:cs="Arial"/>
          <w:sz w:val="15"/>
          <w:szCs w:val="15"/>
          <w:lang w:val="es-CO"/>
        </w:rPr>
      </w:pPr>
      <w:r w:rsidRPr="00D97515">
        <w:rPr>
          <w:rStyle w:val="Refdenotaalpie"/>
          <w:rFonts w:ascii="Century Gothic" w:hAnsi="Century Gothic" w:cs="Arial"/>
          <w:sz w:val="15"/>
          <w:szCs w:val="15"/>
        </w:rPr>
        <w:footnoteRef/>
      </w:r>
      <w:r w:rsidRPr="00D97515">
        <w:rPr>
          <w:rFonts w:ascii="Century Gothic" w:hAnsi="Century Gothic" w:cs="Arial"/>
          <w:sz w:val="15"/>
          <w:szCs w:val="15"/>
        </w:rPr>
        <w:t xml:space="preserve"> Tribunal</w:t>
      </w:r>
      <w:r w:rsidRPr="00D97515">
        <w:rPr>
          <w:rFonts w:ascii="Century Gothic" w:hAnsi="Century Gothic" w:cs="Arial"/>
          <w:spacing w:val="-5"/>
          <w:sz w:val="15"/>
          <w:szCs w:val="15"/>
        </w:rPr>
        <w:t xml:space="preserve"> </w:t>
      </w:r>
      <w:r w:rsidRPr="00D97515">
        <w:rPr>
          <w:rFonts w:ascii="Century Gothic" w:hAnsi="Century Gothic" w:cs="Arial"/>
          <w:sz w:val="15"/>
          <w:szCs w:val="15"/>
        </w:rPr>
        <w:t>Contencioso</w:t>
      </w:r>
      <w:r w:rsidRPr="00D97515">
        <w:rPr>
          <w:rFonts w:ascii="Century Gothic" w:hAnsi="Century Gothic" w:cs="Arial"/>
          <w:spacing w:val="-5"/>
          <w:sz w:val="15"/>
          <w:szCs w:val="15"/>
        </w:rPr>
        <w:t xml:space="preserve"> </w:t>
      </w:r>
      <w:r w:rsidRPr="00D97515">
        <w:rPr>
          <w:rFonts w:ascii="Century Gothic" w:hAnsi="Century Gothic" w:cs="Arial"/>
          <w:sz w:val="15"/>
          <w:szCs w:val="15"/>
        </w:rPr>
        <w:t>Administrativo</w:t>
      </w:r>
      <w:r w:rsidRPr="00D97515">
        <w:rPr>
          <w:rFonts w:ascii="Century Gothic" w:hAnsi="Century Gothic" w:cs="Arial"/>
          <w:spacing w:val="-5"/>
          <w:sz w:val="15"/>
          <w:szCs w:val="15"/>
        </w:rPr>
        <w:t xml:space="preserve"> </w:t>
      </w:r>
      <w:r w:rsidRPr="00D97515">
        <w:rPr>
          <w:rFonts w:ascii="Century Gothic" w:hAnsi="Century Gothic" w:cs="Arial"/>
          <w:sz w:val="15"/>
          <w:szCs w:val="15"/>
        </w:rPr>
        <w:t>de</w:t>
      </w:r>
      <w:r w:rsidRPr="00D97515">
        <w:rPr>
          <w:rFonts w:ascii="Century Gothic" w:hAnsi="Century Gothic" w:cs="Arial"/>
          <w:spacing w:val="-5"/>
          <w:sz w:val="15"/>
          <w:szCs w:val="15"/>
        </w:rPr>
        <w:t xml:space="preserve"> </w:t>
      </w:r>
      <w:r w:rsidRPr="00D97515">
        <w:rPr>
          <w:rFonts w:ascii="Century Gothic" w:hAnsi="Century Gothic" w:cs="Arial"/>
          <w:sz w:val="15"/>
          <w:szCs w:val="15"/>
        </w:rPr>
        <w:t>San</w:t>
      </w:r>
      <w:r w:rsidRPr="00D97515">
        <w:rPr>
          <w:rFonts w:ascii="Century Gothic" w:hAnsi="Century Gothic" w:cs="Arial"/>
          <w:spacing w:val="-5"/>
          <w:sz w:val="15"/>
          <w:szCs w:val="15"/>
        </w:rPr>
        <w:t xml:space="preserve"> </w:t>
      </w:r>
      <w:r w:rsidRPr="00D97515">
        <w:rPr>
          <w:rFonts w:ascii="Century Gothic" w:hAnsi="Century Gothic" w:cs="Arial"/>
          <w:sz w:val="15"/>
          <w:szCs w:val="15"/>
        </w:rPr>
        <w:t>Andrés,</w:t>
      </w:r>
      <w:r w:rsidRPr="00D97515">
        <w:rPr>
          <w:rFonts w:ascii="Century Gothic" w:hAnsi="Century Gothic" w:cs="Arial"/>
          <w:spacing w:val="-5"/>
          <w:sz w:val="15"/>
          <w:szCs w:val="15"/>
        </w:rPr>
        <w:t xml:space="preserve"> </w:t>
      </w:r>
      <w:r w:rsidRPr="00D97515">
        <w:rPr>
          <w:rFonts w:ascii="Century Gothic" w:hAnsi="Century Gothic" w:cs="Arial"/>
          <w:sz w:val="15"/>
          <w:szCs w:val="15"/>
        </w:rPr>
        <w:t>Providencia</w:t>
      </w:r>
      <w:r w:rsidRPr="00D97515">
        <w:rPr>
          <w:rFonts w:ascii="Century Gothic" w:hAnsi="Century Gothic" w:cs="Arial"/>
          <w:spacing w:val="-5"/>
          <w:sz w:val="15"/>
          <w:szCs w:val="15"/>
        </w:rPr>
        <w:t xml:space="preserve"> </w:t>
      </w:r>
      <w:r w:rsidRPr="00D97515">
        <w:rPr>
          <w:rFonts w:ascii="Century Gothic" w:hAnsi="Century Gothic" w:cs="Arial"/>
          <w:sz w:val="15"/>
          <w:szCs w:val="15"/>
        </w:rPr>
        <w:t>y</w:t>
      </w:r>
      <w:r w:rsidRPr="00D97515">
        <w:rPr>
          <w:rFonts w:ascii="Century Gothic" w:hAnsi="Century Gothic" w:cs="Arial"/>
          <w:spacing w:val="-5"/>
          <w:sz w:val="15"/>
          <w:szCs w:val="15"/>
        </w:rPr>
        <w:t xml:space="preserve"> </w:t>
      </w:r>
      <w:r w:rsidRPr="00D97515">
        <w:rPr>
          <w:rFonts w:ascii="Century Gothic" w:hAnsi="Century Gothic" w:cs="Arial"/>
          <w:sz w:val="15"/>
          <w:szCs w:val="15"/>
        </w:rPr>
        <w:t>Santa</w:t>
      </w:r>
      <w:r w:rsidRPr="00D97515">
        <w:rPr>
          <w:rFonts w:ascii="Century Gothic" w:hAnsi="Century Gothic" w:cs="Arial"/>
          <w:spacing w:val="-5"/>
          <w:sz w:val="15"/>
          <w:szCs w:val="15"/>
        </w:rPr>
        <w:t xml:space="preserve"> </w:t>
      </w:r>
      <w:r w:rsidRPr="00D97515">
        <w:rPr>
          <w:rFonts w:ascii="Century Gothic" w:hAnsi="Century Gothic" w:cs="Arial"/>
          <w:sz w:val="15"/>
          <w:szCs w:val="15"/>
        </w:rPr>
        <w:t>catalina,</w:t>
      </w:r>
      <w:r w:rsidRPr="00D97515">
        <w:rPr>
          <w:rFonts w:ascii="Century Gothic" w:hAnsi="Century Gothic" w:cs="Arial"/>
          <w:spacing w:val="-5"/>
          <w:sz w:val="15"/>
          <w:szCs w:val="15"/>
        </w:rPr>
        <w:t xml:space="preserve"> </w:t>
      </w:r>
      <w:r w:rsidRPr="00D97515">
        <w:rPr>
          <w:rFonts w:ascii="Century Gothic" w:hAnsi="Century Gothic" w:cs="Arial"/>
          <w:sz w:val="15"/>
          <w:szCs w:val="15"/>
        </w:rPr>
        <w:t>Rad.</w:t>
      </w:r>
      <w:r w:rsidRPr="00D97515">
        <w:rPr>
          <w:rFonts w:ascii="Century Gothic" w:hAnsi="Century Gothic" w:cs="Arial"/>
          <w:spacing w:val="-5"/>
          <w:sz w:val="15"/>
          <w:szCs w:val="15"/>
        </w:rPr>
        <w:t xml:space="preserve"> </w:t>
      </w:r>
      <w:r w:rsidRPr="00D97515">
        <w:rPr>
          <w:rFonts w:ascii="Century Gothic" w:hAnsi="Century Gothic" w:cs="Arial"/>
          <w:sz w:val="15"/>
          <w:szCs w:val="15"/>
        </w:rPr>
        <w:t>88-</w:t>
      </w:r>
      <w:r w:rsidRPr="00D97515">
        <w:rPr>
          <w:rFonts w:ascii="Century Gothic" w:hAnsi="Century Gothic" w:cs="Arial"/>
          <w:spacing w:val="-6"/>
          <w:sz w:val="15"/>
          <w:szCs w:val="15"/>
        </w:rPr>
        <w:t xml:space="preserve"> </w:t>
      </w:r>
      <w:r w:rsidRPr="00D97515">
        <w:rPr>
          <w:rFonts w:ascii="Century Gothic" w:hAnsi="Century Gothic" w:cs="Arial"/>
          <w:sz w:val="15"/>
          <w:szCs w:val="15"/>
        </w:rPr>
        <w:t>001-33-</w:t>
      </w:r>
      <w:r w:rsidRPr="00D97515">
        <w:rPr>
          <w:rFonts w:ascii="Century Gothic" w:hAnsi="Century Gothic" w:cs="Arial"/>
          <w:spacing w:val="1"/>
          <w:sz w:val="15"/>
          <w:szCs w:val="15"/>
        </w:rPr>
        <w:t xml:space="preserve"> </w:t>
      </w:r>
      <w:r w:rsidRPr="00D97515">
        <w:rPr>
          <w:rFonts w:ascii="Century Gothic" w:hAnsi="Century Gothic" w:cs="Arial"/>
          <w:sz w:val="15"/>
          <w:szCs w:val="15"/>
        </w:rPr>
        <w:t>31-001-2007-000338-00</w:t>
      </w:r>
      <w:r w:rsidRPr="00D97515">
        <w:rPr>
          <w:rFonts w:ascii="Century Gothic" w:hAnsi="Century Gothic" w:cs="Arial"/>
          <w:spacing w:val="-3"/>
          <w:sz w:val="15"/>
          <w:szCs w:val="15"/>
        </w:rPr>
        <w:t xml:space="preserve"> </w:t>
      </w:r>
      <w:r w:rsidRPr="00D97515">
        <w:rPr>
          <w:rFonts w:ascii="Century Gothic" w:hAnsi="Century Gothic" w:cs="Arial"/>
          <w:sz w:val="15"/>
          <w:szCs w:val="15"/>
        </w:rPr>
        <w:t>Acción</w:t>
      </w:r>
      <w:r w:rsidRPr="00D97515">
        <w:rPr>
          <w:rFonts w:ascii="Century Gothic" w:hAnsi="Century Gothic" w:cs="Arial"/>
          <w:spacing w:val="-2"/>
          <w:sz w:val="15"/>
          <w:szCs w:val="15"/>
        </w:rPr>
        <w:t xml:space="preserve"> </w:t>
      </w:r>
      <w:r w:rsidRPr="00D97515">
        <w:rPr>
          <w:rFonts w:ascii="Century Gothic" w:hAnsi="Century Gothic" w:cs="Arial"/>
          <w:sz w:val="15"/>
          <w:szCs w:val="15"/>
        </w:rPr>
        <w:t>de</w:t>
      </w:r>
      <w:r w:rsidRPr="00D97515">
        <w:rPr>
          <w:rFonts w:ascii="Century Gothic" w:hAnsi="Century Gothic" w:cs="Arial"/>
          <w:spacing w:val="-3"/>
          <w:sz w:val="15"/>
          <w:szCs w:val="15"/>
        </w:rPr>
        <w:t xml:space="preserve"> </w:t>
      </w:r>
      <w:r w:rsidRPr="00D97515">
        <w:rPr>
          <w:rFonts w:ascii="Century Gothic" w:hAnsi="Century Gothic" w:cs="Arial"/>
          <w:sz w:val="15"/>
          <w:szCs w:val="15"/>
        </w:rPr>
        <w:t>Cumplimiento,</w:t>
      </w:r>
      <w:r w:rsidRPr="00D97515">
        <w:rPr>
          <w:rFonts w:ascii="Century Gothic" w:hAnsi="Century Gothic" w:cs="Arial"/>
          <w:spacing w:val="-2"/>
          <w:sz w:val="15"/>
          <w:szCs w:val="15"/>
        </w:rPr>
        <w:t xml:space="preserve"> </w:t>
      </w:r>
      <w:r w:rsidRPr="00D97515">
        <w:rPr>
          <w:rFonts w:ascii="Century Gothic" w:hAnsi="Century Gothic" w:cs="Arial"/>
          <w:sz w:val="15"/>
          <w:szCs w:val="15"/>
        </w:rPr>
        <w:t>Sentencia</w:t>
      </w:r>
      <w:r w:rsidRPr="00D97515">
        <w:rPr>
          <w:rFonts w:ascii="Century Gothic" w:hAnsi="Century Gothic" w:cs="Arial"/>
          <w:spacing w:val="-2"/>
          <w:sz w:val="15"/>
          <w:szCs w:val="15"/>
        </w:rPr>
        <w:t xml:space="preserve"> </w:t>
      </w:r>
      <w:r w:rsidRPr="00D97515">
        <w:rPr>
          <w:rFonts w:ascii="Century Gothic" w:hAnsi="Century Gothic" w:cs="Arial"/>
          <w:sz w:val="15"/>
          <w:szCs w:val="15"/>
        </w:rPr>
        <w:t>del</w:t>
      </w:r>
      <w:r w:rsidRPr="00D97515">
        <w:rPr>
          <w:rFonts w:ascii="Century Gothic" w:hAnsi="Century Gothic" w:cs="Arial"/>
          <w:spacing w:val="-3"/>
          <w:sz w:val="15"/>
          <w:szCs w:val="15"/>
        </w:rPr>
        <w:t xml:space="preserve"> </w:t>
      </w:r>
      <w:r w:rsidRPr="00D97515">
        <w:rPr>
          <w:rFonts w:ascii="Century Gothic" w:hAnsi="Century Gothic" w:cs="Arial"/>
          <w:sz w:val="15"/>
          <w:szCs w:val="15"/>
        </w:rPr>
        <w:t>17</w:t>
      </w:r>
      <w:r w:rsidRPr="00D97515">
        <w:rPr>
          <w:rFonts w:ascii="Century Gothic" w:hAnsi="Century Gothic" w:cs="Arial"/>
          <w:spacing w:val="-2"/>
          <w:sz w:val="15"/>
          <w:szCs w:val="15"/>
        </w:rPr>
        <w:t xml:space="preserve"> </w:t>
      </w:r>
      <w:r w:rsidRPr="00D97515">
        <w:rPr>
          <w:rFonts w:ascii="Century Gothic" w:hAnsi="Century Gothic" w:cs="Arial"/>
          <w:sz w:val="15"/>
          <w:szCs w:val="15"/>
        </w:rPr>
        <w:t>de</w:t>
      </w:r>
      <w:r w:rsidRPr="00D97515">
        <w:rPr>
          <w:rFonts w:ascii="Century Gothic" w:hAnsi="Century Gothic" w:cs="Arial"/>
          <w:spacing w:val="-2"/>
          <w:sz w:val="15"/>
          <w:szCs w:val="15"/>
        </w:rPr>
        <w:t xml:space="preserve"> </w:t>
      </w:r>
      <w:r w:rsidRPr="00D97515">
        <w:rPr>
          <w:rFonts w:ascii="Century Gothic" w:hAnsi="Century Gothic" w:cs="Arial"/>
          <w:sz w:val="15"/>
          <w:szCs w:val="15"/>
        </w:rPr>
        <w:t>octubre</w:t>
      </w:r>
      <w:r w:rsidRPr="00D97515">
        <w:rPr>
          <w:rFonts w:ascii="Century Gothic" w:hAnsi="Century Gothic" w:cs="Arial"/>
          <w:spacing w:val="-3"/>
          <w:sz w:val="15"/>
          <w:szCs w:val="15"/>
        </w:rPr>
        <w:t xml:space="preserve"> </w:t>
      </w:r>
      <w:r w:rsidRPr="00D97515">
        <w:rPr>
          <w:rFonts w:ascii="Century Gothic" w:hAnsi="Century Gothic" w:cs="Arial"/>
          <w:sz w:val="15"/>
          <w:szCs w:val="15"/>
        </w:rPr>
        <w:t>de</w:t>
      </w:r>
      <w:r w:rsidRPr="00D97515">
        <w:rPr>
          <w:rFonts w:ascii="Century Gothic" w:hAnsi="Century Gothic" w:cs="Arial"/>
          <w:spacing w:val="-2"/>
          <w:sz w:val="15"/>
          <w:szCs w:val="15"/>
        </w:rPr>
        <w:t xml:space="preserve"> </w:t>
      </w:r>
      <w:r w:rsidRPr="00D97515">
        <w:rPr>
          <w:rFonts w:ascii="Century Gothic" w:hAnsi="Century Gothic" w:cs="Arial"/>
          <w:sz w:val="15"/>
          <w:szCs w:val="15"/>
        </w:rPr>
        <w:t>2007.</w:t>
      </w:r>
    </w:p>
  </w:footnote>
  <w:footnote w:id="21">
    <w:p w14:paraId="044CD125" w14:textId="77777777" w:rsidR="00C95361" w:rsidRPr="00D97515" w:rsidRDefault="00C95361" w:rsidP="00C95361">
      <w:pPr>
        <w:pStyle w:val="Textonotapie"/>
        <w:ind w:firstLine="708"/>
        <w:jc w:val="both"/>
        <w:rPr>
          <w:rFonts w:ascii="Century Gothic" w:hAnsi="Century Gothic"/>
          <w:sz w:val="15"/>
          <w:szCs w:val="15"/>
        </w:rPr>
      </w:pPr>
      <w:r w:rsidRPr="00D97515">
        <w:rPr>
          <w:rStyle w:val="Refdenotaalpie"/>
          <w:rFonts w:ascii="Century Gothic" w:hAnsi="Century Gothic"/>
          <w:sz w:val="15"/>
          <w:szCs w:val="15"/>
        </w:rPr>
        <w:footnoteRef/>
      </w:r>
      <w:r w:rsidRPr="00D97515">
        <w:rPr>
          <w:rFonts w:ascii="Century Gothic" w:hAnsi="Century Gothic"/>
          <w:sz w:val="15"/>
          <w:szCs w:val="15"/>
        </w:rPr>
        <w:t xml:space="preserve"> Decreto 1082 de 2015: “Artículo 2.2.1.1.2.2.2. Ofrecimiento más favorable. La Entidad Estatal debe determinar la oferta más favorable teniendo en cuenta las normas aplicables a cada modalidad de selección del contratista. </w:t>
      </w:r>
    </w:p>
    <w:p w14:paraId="120031EA"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w:t>
      </w:r>
    </w:p>
    <w:p w14:paraId="2C879DB3"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Si la Entidad Estatal decide determinar la oferta de acuerdo con el literal (b) anterior debe señalar en los pliegos de condiciones: </w:t>
      </w:r>
    </w:p>
    <w:p w14:paraId="69B99EA3"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w:t>
      </w:r>
    </w:p>
    <w:p w14:paraId="1107BF6A"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Parágrafo. Los criterios de calidad para evaluar la mejor relación calidad precio podrán incluir criterios ambientales o sociales vinculados al objeto del contrato. </w:t>
      </w:r>
    </w:p>
    <w:p w14:paraId="71470412"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 </w:t>
      </w:r>
    </w:p>
    <w:p w14:paraId="4C741A14"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 </w:t>
      </w:r>
    </w:p>
    <w:p w14:paraId="1D194EB4" w14:textId="77777777" w:rsidR="00C95361" w:rsidRPr="00D97515" w:rsidRDefault="00C95361" w:rsidP="00C95361">
      <w:pPr>
        <w:pStyle w:val="Textonotapie"/>
        <w:ind w:firstLine="708"/>
        <w:jc w:val="both"/>
        <w:rPr>
          <w:rFonts w:ascii="Century Gothic" w:hAnsi="Century Gothic"/>
          <w:sz w:val="15"/>
          <w:szCs w:val="15"/>
        </w:rPr>
      </w:pPr>
      <w:r w:rsidRPr="00D97515">
        <w:rPr>
          <w:rFonts w:ascii="Century Gothic" w:hAnsi="Century Gothic"/>
          <w:sz w:val="15"/>
          <w:szCs w:val="15"/>
        </w:rPr>
        <w:t xml:space="preserve">En el marco de las competencias atribuidas por el Decreto Ley 4170 de 2011, la Agencia Nacional de Contratación Pública -Colombia Compra Eficiente adoptará instrumentos dirigidos a orientar a las Entidades Estatales en la aplicación de estos criterios sociales y ambientales”.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3219E" w14:textId="77777777" w:rsidR="00580D6C" w:rsidRDefault="00580D6C">
    <w:pPr>
      <w:pStyle w:val="Encabezado"/>
    </w:pPr>
    <w:r>
      <w:rPr>
        <w:noProof/>
        <w:lang w:val="en-US"/>
      </w:rPr>
      <w:drawing>
        <wp:anchor distT="0" distB="0" distL="114300" distR="114300" simplePos="0" relativeHeight="251659264"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63360"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6131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C1D7240" w14:textId="77777777" w:rsidR="00580D6C" w:rsidRDefault="00580D6C">
    <w:pPr>
      <w:pStyle w:val="Encabezado"/>
    </w:pPr>
  </w:p>
  <w:p w14:paraId="10B508E0" w14:textId="77777777" w:rsidR="00580D6C" w:rsidRDefault="00580D6C">
    <w:pPr>
      <w:pStyle w:val="Encabezado"/>
    </w:pPr>
  </w:p>
  <w:p w14:paraId="0C22242A" w14:textId="77777777" w:rsidR="00580D6C" w:rsidRPr="004A305D" w:rsidRDefault="00580D6C" w:rsidP="00D44F32">
    <w:pPr>
      <w:rPr>
        <w:rFonts w:ascii="Century Gothic" w:hAnsi="Century Gothic"/>
        <w:color w:val="002060"/>
        <w:sz w:val="16"/>
        <w:szCs w:val="16"/>
      </w:rPr>
    </w:pPr>
    <w:r w:rsidRPr="004A305D">
      <w:rPr>
        <w:rFonts w:ascii="Century Gothic" w:hAnsi="Century Gothic"/>
        <w:color w:val="002060"/>
        <w:sz w:val="16"/>
        <w:szCs w:val="16"/>
      </w:rPr>
      <w:t>FORMATO PQRSD</w:t>
    </w:r>
  </w:p>
  <w:p w14:paraId="14D207DF" w14:textId="77777777" w:rsidR="00580D6C" w:rsidRPr="004A305D" w:rsidRDefault="00580D6C" w:rsidP="00D44F32">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5884BAB8" w14:textId="77777777" w:rsidR="00580D6C" w:rsidRPr="004A305D" w:rsidRDefault="00580D6C" w:rsidP="00D44F32">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FC1456" w14:textId="77777777" w:rsidR="00580D6C" w:rsidRDefault="00580D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5AC4196"/>
    <w:multiLevelType w:val="hybridMultilevel"/>
    <w:tmpl w:val="B3D203DE"/>
    <w:lvl w:ilvl="0" w:tplc="18CEE408">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C1CF8"/>
    <w:multiLevelType w:val="hybridMultilevel"/>
    <w:tmpl w:val="A1D260C6"/>
    <w:lvl w:ilvl="0" w:tplc="EC6ED7D4">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E07C5C"/>
    <w:multiLevelType w:val="hybridMultilevel"/>
    <w:tmpl w:val="A1D260C6"/>
    <w:lvl w:ilvl="0" w:tplc="EC6ED7D4">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7" w15:restartNumberingAfterBreak="0">
    <w:nsid w:val="5D5D0393"/>
    <w:multiLevelType w:val="multilevel"/>
    <w:tmpl w:val="8DB6E4DC"/>
    <w:lvl w:ilvl="0">
      <w:start w:val="2"/>
      <w:numFmt w:val="decimal"/>
      <w:lvlText w:val="%1"/>
      <w:lvlJc w:val="left"/>
      <w:pPr>
        <w:ind w:left="118" w:hanging="449"/>
      </w:pPr>
      <w:rPr>
        <w:rFonts w:hint="default"/>
        <w:lang w:val="es-ES" w:eastAsia="en-US" w:bidi="ar-SA"/>
      </w:rPr>
    </w:lvl>
    <w:lvl w:ilvl="1">
      <w:start w:val="3"/>
      <w:numFmt w:val="decimal"/>
      <w:lvlText w:val="%1.%2"/>
      <w:lvlJc w:val="left"/>
      <w:pPr>
        <w:ind w:left="118" w:hanging="449"/>
      </w:pPr>
      <w:rPr>
        <w:rFonts w:ascii="Arial" w:eastAsia="Arial" w:hAnsi="Arial" w:cs="Arial" w:hint="default"/>
        <w:b/>
        <w:bCs/>
        <w:spacing w:val="-1"/>
        <w:w w:val="100"/>
        <w:sz w:val="22"/>
        <w:szCs w:val="22"/>
        <w:lang w:val="es-ES" w:eastAsia="en-US" w:bidi="ar-SA"/>
      </w:rPr>
    </w:lvl>
    <w:lvl w:ilvl="2">
      <w:start w:val="1"/>
      <w:numFmt w:val="upperLetter"/>
      <w:lvlText w:val="%3."/>
      <w:lvlJc w:val="left"/>
      <w:pPr>
        <w:ind w:left="1184" w:hanging="357"/>
      </w:pPr>
      <w:rPr>
        <w:rFonts w:ascii="Arial MT" w:eastAsia="Arial MT" w:hAnsi="Arial MT" w:cs="Arial MT" w:hint="default"/>
        <w:spacing w:val="-1"/>
        <w:w w:val="100"/>
        <w:sz w:val="21"/>
        <w:szCs w:val="21"/>
        <w:lang w:val="es-ES" w:eastAsia="en-US" w:bidi="ar-SA"/>
      </w:rPr>
    </w:lvl>
    <w:lvl w:ilvl="3">
      <w:numFmt w:val="bullet"/>
      <w:lvlText w:val="•"/>
      <w:lvlJc w:val="left"/>
      <w:pPr>
        <w:ind w:left="3073" w:hanging="357"/>
      </w:pPr>
      <w:rPr>
        <w:rFonts w:hint="default"/>
        <w:lang w:val="es-ES" w:eastAsia="en-US" w:bidi="ar-SA"/>
      </w:rPr>
    </w:lvl>
    <w:lvl w:ilvl="4">
      <w:numFmt w:val="bullet"/>
      <w:lvlText w:val="•"/>
      <w:lvlJc w:val="left"/>
      <w:pPr>
        <w:ind w:left="4020" w:hanging="357"/>
      </w:pPr>
      <w:rPr>
        <w:rFonts w:hint="default"/>
        <w:lang w:val="es-ES" w:eastAsia="en-US" w:bidi="ar-SA"/>
      </w:rPr>
    </w:lvl>
    <w:lvl w:ilvl="5">
      <w:numFmt w:val="bullet"/>
      <w:lvlText w:val="•"/>
      <w:lvlJc w:val="left"/>
      <w:pPr>
        <w:ind w:left="4966" w:hanging="357"/>
      </w:pPr>
      <w:rPr>
        <w:rFonts w:hint="default"/>
        <w:lang w:val="es-ES" w:eastAsia="en-US" w:bidi="ar-SA"/>
      </w:rPr>
    </w:lvl>
    <w:lvl w:ilvl="6">
      <w:numFmt w:val="bullet"/>
      <w:lvlText w:val="•"/>
      <w:lvlJc w:val="left"/>
      <w:pPr>
        <w:ind w:left="5913" w:hanging="357"/>
      </w:pPr>
      <w:rPr>
        <w:rFonts w:hint="default"/>
        <w:lang w:val="es-ES" w:eastAsia="en-US" w:bidi="ar-SA"/>
      </w:rPr>
    </w:lvl>
    <w:lvl w:ilvl="7">
      <w:numFmt w:val="bullet"/>
      <w:lvlText w:val="•"/>
      <w:lvlJc w:val="left"/>
      <w:pPr>
        <w:ind w:left="6860" w:hanging="357"/>
      </w:pPr>
      <w:rPr>
        <w:rFonts w:hint="default"/>
        <w:lang w:val="es-ES" w:eastAsia="en-US" w:bidi="ar-SA"/>
      </w:rPr>
    </w:lvl>
    <w:lvl w:ilvl="8">
      <w:numFmt w:val="bullet"/>
      <w:lvlText w:val="•"/>
      <w:lvlJc w:val="left"/>
      <w:pPr>
        <w:ind w:left="7806" w:hanging="357"/>
      </w:pPr>
      <w:rPr>
        <w:rFonts w:hint="default"/>
        <w:lang w:val="es-ES" w:eastAsia="en-US" w:bidi="ar-SA"/>
      </w:rPr>
    </w:lvl>
  </w:abstractNum>
  <w:abstractNum w:abstractNumId="18"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9"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4"/>
  </w:num>
  <w:num w:numId="3">
    <w:abstractNumId w:val="12"/>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9"/>
  </w:num>
  <w:num w:numId="7">
    <w:abstractNumId w:val="14"/>
  </w:num>
  <w:num w:numId="8">
    <w:abstractNumId w:val="8"/>
  </w:num>
  <w:num w:numId="9">
    <w:abstractNumId w:val="9"/>
  </w:num>
  <w:num w:numId="10">
    <w:abstractNumId w:val="5"/>
  </w:num>
  <w:num w:numId="11">
    <w:abstractNumId w:val="0"/>
  </w:num>
  <w:num w:numId="12">
    <w:abstractNumId w:val="1"/>
  </w:num>
  <w:num w:numId="13">
    <w:abstractNumId w:val="11"/>
  </w:num>
  <w:num w:numId="14">
    <w:abstractNumId w:val="10"/>
  </w:num>
  <w:num w:numId="15">
    <w:abstractNumId w:val="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18"/>
    <w:lvlOverride w:ilvl="0">
      <w:startOverride w:val="1"/>
    </w:lvlOverride>
    <w:lvlOverride w:ilvl="1"/>
    <w:lvlOverride w:ilvl="2"/>
    <w:lvlOverride w:ilvl="3"/>
    <w:lvlOverride w:ilvl="4"/>
    <w:lvlOverride w:ilvl="5"/>
    <w:lvlOverride w:ilvl="6"/>
    <w:lvlOverride w:ilvl="7"/>
    <w:lvlOverride w:ilvl="8"/>
  </w:num>
  <w:num w:numId="17">
    <w:abstractNumId w:val="2"/>
  </w:num>
  <w:num w:numId="18">
    <w:abstractNumId w:val="3"/>
  </w:num>
  <w:num w:numId="19">
    <w:abstractNumId w:val="15"/>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22"/>
    <w:rsid w:val="00004D21"/>
    <w:rsid w:val="00067431"/>
    <w:rsid w:val="00077D9E"/>
    <w:rsid w:val="00091216"/>
    <w:rsid w:val="000A0209"/>
    <w:rsid w:val="000A1C6A"/>
    <w:rsid w:val="000B25A6"/>
    <w:rsid w:val="000B58CB"/>
    <w:rsid w:val="000C452A"/>
    <w:rsid w:val="000E54A8"/>
    <w:rsid w:val="000F353F"/>
    <w:rsid w:val="00112AE8"/>
    <w:rsid w:val="00117F3D"/>
    <w:rsid w:val="00120B4E"/>
    <w:rsid w:val="00126942"/>
    <w:rsid w:val="00130E32"/>
    <w:rsid w:val="00146588"/>
    <w:rsid w:val="00151C7E"/>
    <w:rsid w:val="00157722"/>
    <w:rsid w:val="00163273"/>
    <w:rsid w:val="001A04B3"/>
    <w:rsid w:val="001A4491"/>
    <w:rsid w:val="001C170E"/>
    <w:rsid w:val="001E119A"/>
    <w:rsid w:val="001E662A"/>
    <w:rsid w:val="001F4135"/>
    <w:rsid w:val="00210AB4"/>
    <w:rsid w:val="002249D7"/>
    <w:rsid w:val="0023168A"/>
    <w:rsid w:val="00241E98"/>
    <w:rsid w:val="002427EA"/>
    <w:rsid w:val="002440CE"/>
    <w:rsid w:val="00254798"/>
    <w:rsid w:val="002A5EE8"/>
    <w:rsid w:val="002F1082"/>
    <w:rsid w:val="002F26D6"/>
    <w:rsid w:val="00302FA7"/>
    <w:rsid w:val="0037143C"/>
    <w:rsid w:val="00381034"/>
    <w:rsid w:val="0039193E"/>
    <w:rsid w:val="003A58B2"/>
    <w:rsid w:val="003E4507"/>
    <w:rsid w:val="003F042A"/>
    <w:rsid w:val="003F3C52"/>
    <w:rsid w:val="00400C34"/>
    <w:rsid w:val="00443731"/>
    <w:rsid w:val="00456B75"/>
    <w:rsid w:val="0047417A"/>
    <w:rsid w:val="0048146C"/>
    <w:rsid w:val="0049730B"/>
    <w:rsid w:val="004D24C8"/>
    <w:rsid w:val="004D7E93"/>
    <w:rsid w:val="004F0626"/>
    <w:rsid w:val="005203A2"/>
    <w:rsid w:val="00550CB2"/>
    <w:rsid w:val="00557ACD"/>
    <w:rsid w:val="00572576"/>
    <w:rsid w:val="00576BBE"/>
    <w:rsid w:val="00580D6C"/>
    <w:rsid w:val="005A3E4A"/>
    <w:rsid w:val="005B7740"/>
    <w:rsid w:val="00635A67"/>
    <w:rsid w:val="006561BA"/>
    <w:rsid w:val="006738AC"/>
    <w:rsid w:val="00674BE7"/>
    <w:rsid w:val="006A09C3"/>
    <w:rsid w:val="006D118F"/>
    <w:rsid w:val="006F786C"/>
    <w:rsid w:val="007117F2"/>
    <w:rsid w:val="00743AB2"/>
    <w:rsid w:val="00745B1C"/>
    <w:rsid w:val="00747F0B"/>
    <w:rsid w:val="0075722B"/>
    <w:rsid w:val="007C6C86"/>
    <w:rsid w:val="007D66BE"/>
    <w:rsid w:val="007F4B50"/>
    <w:rsid w:val="0080087A"/>
    <w:rsid w:val="00837A76"/>
    <w:rsid w:val="0085260A"/>
    <w:rsid w:val="0085504A"/>
    <w:rsid w:val="00857080"/>
    <w:rsid w:val="0085789D"/>
    <w:rsid w:val="00862150"/>
    <w:rsid w:val="00870F64"/>
    <w:rsid w:val="00883768"/>
    <w:rsid w:val="008A79C0"/>
    <w:rsid w:val="0091422B"/>
    <w:rsid w:val="0092093D"/>
    <w:rsid w:val="009348E3"/>
    <w:rsid w:val="00942D9E"/>
    <w:rsid w:val="00965553"/>
    <w:rsid w:val="009C23D4"/>
    <w:rsid w:val="009C5ED6"/>
    <w:rsid w:val="009C6EA8"/>
    <w:rsid w:val="00A16565"/>
    <w:rsid w:val="00A17A93"/>
    <w:rsid w:val="00A42330"/>
    <w:rsid w:val="00A5002D"/>
    <w:rsid w:val="00A81A3E"/>
    <w:rsid w:val="00A83661"/>
    <w:rsid w:val="00A844B9"/>
    <w:rsid w:val="00A86A60"/>
    <w:rsid w:val="00AA4627"/>
    <w:rsid w:val="00AA57CF"/>
    <w:rsid w:val="00AB5D9E"/>
    <w:rsid w:val="00AD053D"/>
    <w:rsid w:val="00AF3095"/>
    <w:rsid w:val="00B12535"/>
    <w:rsid w:val="00B17B01"/>
    <w:rsid w:val="00B203A9"/>
    <w:rsid w:val="00B23F9E"/>
    <w:rsid w:val="00B7424D"/>
    <w:rsid w:val="00B8260E"/>
    <w:rsid w:val="00B86172"/>
    <w:rsid w:val="00BB7D32"/>
    <w:rsid w:val="00BE299E"/>
    <w:rsid w:val="00BE5AEE"/>
    <w:rsid w:val="00BF6951"/>
    <w:rsid w:val="00C6388A"/>
    <w:rsid w:val="00C639DB"/>
    <w:rsid w:val="00C6633F"/>
    <w:rsid w:val="00C94851"/>
    <w:rsid w:val="00C95361"/>
    <w:rsid w:val="00C958D3"/>
    <w:rsid w:val="00CA7DBA"/>
    <w:rsid w:val="00CC35E6"/>
    <w:rsid w:val="00CC3918"/>
    <w:rsid w:val="00D132EE"/>
    <w:rsid w:val="00D44F32"/>
    <w:rsid w:val="00D51F27"/>
    <w:rsid w:val="00D72E20"/>
    <w:rsid w:val="00D814EB"/>
    <w:rsid w:val="00D84076"/>
    <w:rsid w:val="00D85650"/>
    <w:rsid w:val="00DC5863"/>
    <w:rsid w:val="00DD4F22"/>
    <w:rsid w:val="00DF7DA4"/>
    <w:rsid w:val="00E0145C"/>
    <w:rsid w:val="00E015A7"/>
    <w:rsid w:val="00E2686F"/>
    <w:rsid w:val="00E54240"/>
    <w:rsid w:val="00E5669E"/>
    <w:rsid w:val="00E56F63"/>
    <w:rsid w:val="00E61381"/>
    <w:rsid w:val="00E804AA"/>
    <w:rsid w:val="00EA1D40"/>
    <w:rsid w:val="00EC4094"/>
    <w:rsid w:val="00F01757"/>
    <w:rsid w:val="00F076BA"/>
    <w:rsid w:val="00F50CEF"/>
    <w:rsid w:val="00F51644"/>
    <w:rsid w:val="00F51B32"/>
    <w:rsid w:val="00F846FC"/>
    <w:rsid w:val="00F96691"/>
    <w:rsid w:val="00FD1475"/>
    <w:rsid w:val="00FD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817542E0-B457-4882-8BCF-7B8E4BE6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F22"/>
    <w:rPr>
      <w:rFonts w:ascii="Arial" w:eastAsia="Arial" w:hAnsi="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customStyle="1" w:styleId="EncabezadoCar">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customStyle="1" w:styleId="PiedepginaCar">
    <w:name w:val="Pie de página Car"/>
    <w:basedOn w:val="Fuentedeprrafopredeter"/>
    <w:link w:val="Piedepgina"/>
    <w:uiPriority w:val="99"/>
    <w:rsid w:val="00DD4F22"/>
    <w:rPr>
      <w:lang w:val="es-CO"/>
    </w:rPr>
  </w:style>
  <w:style w:type="paragraph" w:customStyle="1" w:styleId="Default">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customStyle="1" w:styleId="TextonotapieCar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customStyle="1" w:styleId="normaltextrun">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DD4F22"/>
    <w:rPr>
      <w:rFonts w:ascii="Geomanist" w:eastAsiaTheme="majorEastAsia" w:hAnsi="Geomanist"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customStyle="1" w:styleId="TextocomentarioCar">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customStyle="1" w:styleId="AsuntodelcomentarioCar">
    <w:name w:val="Asunto del comentario Car"/>
    <w:basedOn w:val="TextocomentarioCar"/>
    <w:link w:val="Asuntodelcomentario"/>
    <w:uiPriority w:val="99"/>
    <w:semiHidden/>
    <w:rsid w:val="00DD4F22"/>
    <w:rPr>
      <w:b/>
      <w:bCs/>
      <w:sz w:val="20"/>
      <w:szCs w:val="20"/>
      <w:lang w:val="es-CO"/>
    </w:rPr>
  </w:style>
  <w:style w:type="paragraph" w:customStyle="1" w:styleId="Appelnotedebasde">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customStyle="1" w:styleId="Tablaconcuadrcula1">
    <w:name w:val="Tabla con cuadrícula1"/>
    <w:basedOn w:val="Tablanormal"/>
    <w:next w:val="Tablaconcuadrcula"/>
    <w:uiPriority w:val="59"/>
    <w:qFormat/>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4F22"/>
    <w:pPr>
      <w:spacing w:before="100" w:beforeAutospacing="1" w:after="100" w:afterAutospacing="1"/>
    </w:pPr>
    <w:rPr>
      <w:rFonts w:ascii="Times New Roman" w:eastAsia="Times New Roman" w:hAnsi="Times New Roman" w:cs="Times New Roman"/>
      <w:szCs w:val="24"/>
      <w:lang w:eastAsia="es-CO"/>
    </w:rPr>
  </w:style>
  <w:style w:type="character" w:customStyle="1" w:styleId="eop">
    <w:name w:val="eop"/>
    <w:basedOn w:val="Fuentedeprrafopredeter"/>
    <w:rsid w:val="00DD4F22"/>
  </w:style>
  <w:style w:type="paragraph" w:styleId="NormalWeb">
    <w:name w:val="Normal (Web)"/>
    <w:basedOn w:val="Normal"/>
    <w:link w:val="NormalWebCar"/>
    <w:uiPriority w:val="99"/>
    <w:unhideWhenUsed/>
    <w:rsid w:val="00DD4F22"/>
    <w:pPr>
      <w:spacing w:before="100" w:beforeAutospacing="1" w:after="100" w:afterAutospacing="1"/>
    </w:pPr>
    <w:rPr>
      <w:rFonts w:ascii="Times New Roman" w:eastAsia="Times New Roman" w:hAnsi="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D4F22"/>
    <w:rPr>
      <w:rFonts w:ascii="Arial" w:eastAsiaTheme="minorEastAsia" w:hAnsi="Arial" w:cs="Arial"/>
      <w:lang w:val="es-CO" w:eastAsia="es-CO"/>
    </w:rPr>
  </w:style>
  <w:style w:type="table" w:customStyle="1" w:styleId="Tablaconcuadrcula2">
    <w:name w:val="Tabla con cuadrícula2"/>
    <w:basedOn w:val="Tablanormal"/>
    <w:next w:val="Tablaconcuadrcula"/>
    <w:uiPriority w:val="59"/>
    <w:qFormat/>
    <w:rsid w:val="00DD4F22"/>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1"/>
    <w:qFormat/>
    <w:rsid w:val="00DD4F22"/>
    <w:pPr>
      <w:spacing w:after="0" w:line="240" w:lineRule="auto"/>
    </w:pPr>
    <w:rPr>
      <w:lang w:val="es-CO"/>
    </w:rPr>
  </w:style>
  <w:style w:type="character" w:customStyle="1" w:styleId="Hipervnculo1">
    <w:name w:val="Hipervínculo1"/>
    <w:basedOn w:val="Fuentedeprrafopredeter"/>
    <w:uiPriority w:val="99"/>
    <w:unhideWhenUsed/>
    <w:rsid w:val="00E0145C"/>
    <w:rPr>
      <w:color w:val="F2F2F2"/>
      <w:u w:val="single"/>
    </w:rPr>
  </w:style>
  <w:style w:type="character" w:customStyle="1" w:styleId="baj">
    <w:name w:val="b_aj"/>
    <w:basedOn w:val="Fuentedeprrafopredeter"/>
    <w:rsid w:val="00870F6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57080"/>
    <w:rPr>
      <w:rFonts w:ascii="Geomanist Light" w:hAnsi="Geomanist Light"/>
      <w:lang w:val="es-ES"/>
    </w:rPr>
  </w:style>
  <w:style w:type="table" w:customStyle="1" w:styleId="Tablaconcuadrcula11">
    <w:name w:val="Tabla con cuadrícula11"/>
    <w:basedOn w:val="Tablanormal"/>
    <w:next w:val="Tablaconcuadrcula"/>
    <w:uiPriority w:val="59"/>
    <w:rsid w:val="00857080"/>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7080"/>
    <w:rPr>
      <w:rFonts w:ascii="Segoe UI" w:hAnsi="Segoe UI" w:cs="Segoe UI"/>
      <w:sz w:val="18"/>
      <w:szCs w:val="18"/>
      <w:lang w:val="es-MX"/>
    </w:rPr>
  </w:style>
  <w:style w:type="character" w:customStyle="1" w:styleId="NormalWebCar">
    <w:name w:val="Normal (Web) Car"/>
    <w:link w:val="NormalWeb"/>
    <w:uiPriority w:val="99"/>
    <w:rsid w:val="00CC3918"/>
    <w:rPr>
      <w:rFonts w:ascii="Times New Roman" w:eastAsia="Times New Roman" w:hAnsi="Times New Roman" w:cs="Times New Roman"/>
      <w:sz w:val="24"/>
      <w:szCs w:val="24"/>
      <w:lang w:val="es-MX" w:eastAsia="es-CO"/>
    </w:rPr>
  </w:style>
  <w:style w:type="table" w:customStyle="1" w:styleId="TableNormal">
    <w:name w:val="Table Normal"/>
    <w:uiPriority w:val="2"/>
    <w:semiHidden/>
    <w:unhideWhenUsed/>
    <w:qFormat/>
    <w:rsid w:val="00635A67"/>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5A67"/>
    <w:pPr>
      <w:widowControl w:val="0"/>
      <w:autoSpaceDE w:val="0"/>
      <w:autoSpaceDN w:val="0"/>
      <w:spacing w:line="201" w:lineRule="exact"/>
      <w:ind w:left="104"/>
    </w:pPr>
    <w:rPr>
      <w:rFonts w:ascii="Arial MT" w:eastAsia="Arial MT" w:hAnsi="Arial MT" w:cs="Arial MT"/>
      <w:sz w:val="22"/>
      <w:lang w:val="es-ES"/>
    </w:rPr>
  </w:style>
  <w:style w:type="paragraph" w:customStyle="1" w:styleId="Car1">
    <w:name w:val="Car1"/>
    <w:basedOn w:val="Normal"/>
    <w:next w:val="Textonotapie"/>
    <w:uiPriority w:val="99"/>
    <w:unhideWhenUsed/>
    <w:qFormat/>
    <w:rsid w:val="001E119A"/>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18386">
      <w:bodyDiv w:val="1"/>
      <w:marLeft w:val="0"/>
      <w:marRight w:val="0"/>
      <w:marTop w:val="0"/>
      <w:marBottom w:val="0"/>
      <w:divBdr>
        <w:top w:val="none" w:sz="0" w:space="0" w:color="auto"/>
        <w:left w:val="none" w:sz="0" w:space="0" w:color="auto"/>
        <w:bottom w:val="none" w:sz="0" w:space="0" w:color="auto"/>
        <w:right w:val="none" w:sz="0" w:space="0" w:color="auto"/>
      </w:divBdr>
      <w:divsChild>
        <w:div w:id="2104718335">
          <w:marLeft w:val="0"/>
          <w:marRight w:val="0"/>
          <w:marTop w:val="0"/>
          <w:marBottom w:val="0"/>
          <w:divBdr>
            <w:top w:val="none" w:sz="0" w:space="0" w:color="auto"/>
            <w:left w:val="none" w:sz="0" w:space="0" w:color="auto"/>
            <w:bottom w:val="none" w:sz="0" w:space="0" w:color="auto"/>
            <w:right w:val="none" w:sz="0" w:space="0" w:color="auto"/>
          </w:divBdr>
        </w:div>
      </w:divsChild>
    </w:div>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1142500750">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E0CCDB-AB8A-48F4-8EA2-89A1E9BC815E}">
  <ds:schemaRefs>
    <ds:schemaRef ds:uri="http://schemas.openxmlformats.org/officeDocument/2006/bibliography"/>
  </ds:schemaRefs>
</ds:datastoreItem>
</file>

<file path=customXml/itemProps2.xml><?xml version="1.0" encoding="utf-8"?>
<ds:datastoreItem xmlns:ds="http://schemas.openxmlformats.org/officeDocument/2006/customXml" ds:itemID="{44E1BF2A-CBA7-49A7-87E0-E1053988BDFF}"/>
</file>

<file path=customXml/itemProps3.xml><?xml version="1.0" encoding="utf-8"?>
<ds:datastoreItem xmlns:ds="http://schemas.openxmlformats.org/officeDocument/2006/customXml" ds:itemID="{1094E8BE-AC4C-400C-A801-2350ACFE7D45}"/>
</file>

<file path=customXml/itemProps4.xml><?xml version="1.0" encoding="utf-8"?>
<ds:datastoreItem xmlns:ds="http://schemas.openxmlformats.org/officeDocument/2006/customXml" ds:itemID="{673C17D3-85BB-4F03-9F42-437EBC17B33B}"/>
</file>

<file path=docProps/app.xml><?xml version="1.0" encoding="utf-8"?>
<Properties xmlns="http://schemas.openxmlformats.org/officeDocument/2006/extended-properties" xmlns:vt="http://schemas.openxmlformats.org/officeDocument/2006/docPropsVTypes">
  <Template>Normal</Template>
  <TotalTime>1023</TotalTime>
  <Pages>25</Pages>
  <Words>8063</Words>
  <Characters>45965</Characters>
  <Application>Microsoft Office Word</Application>
  <DocSecurity>0</DocSecurity>
  <Lines>383</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Nina Padron</cp:lastModifiedBy>
  <cp:revision>35</cp:revision>
  <dcterms:created xsi:type="dcterms:W3CDTF">2023-10-08T23:19:00Z</dcterms:created>
  <dcterms:modified xsi:type="dcterms:W3CDTF">2023-10-11T18:38:00Z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