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9D325" w14:textId="77777777" w:rsidR="008977FB" w:rsidRPr="008977FB" w:rsidRDefault="008977FB" w:rsidP="008977FB">
      <w:pPr>
        <w:spacing w:line="276" w:lineRule="auto"/>
        <w:jc w:val="right"/>
        <w:rPr>
          <w:rFonts w:ascii="Arial" w:eastAsia="Calibri" w:hAnsi="Arial" w:cs="Arial"/>
          <w:bCs/>
          <w:noProof/>
          <w:sz w:val="16"/>
          <w:szCs w:val="16"/>
          <w:lang w:val="es-ES_tradnl" w:eastAsia="es-ES"/>
        </w:rPr>
      </w:pPr>
      <w:r w:rsidRPr="008977FB">
        <w:rPr>
          <w:rFonts w:ascii="Arial" w:eastAsia="Calibri" w:hAnsi="Arial" w:cs="Arial"/>
          <w:b/>
          <w:noProof/>
          <w:sz w:val="21"/>
          <w:szCs w:val="21"/>
          <w:lang w:val="es-ES_tradnl" w:eastAsia="es-ES"/>
        </w:rPr>
        <w:tab/>
      </w:r>
      <w:r w:rsidRPr="008977FB">
        <w:rPr>
          <w:rFonts w:ascii="Arial" w:eastAsia="Calibri" w:hAnsi="Arial" w:cs="Arial"/>
          <w:bCs/>
          <w:noProof/>
          <w:sz w:val="16"/>
          <w:szCs w:val="16"/>
          <w:lang w:val="es-ES_tradnl" w:eastAsia="es-ES"/>
        </w:rPr>
        <w:t>CCE-DES-FM-17</w:t>
      </w:r>
    </w:p>
    <w:p w14:paraId="37960AEF" w14:textId="77777777" w:rsidR="008977FB" w:rsidRPr="008977FB" w:rsidRDefault="008977FB" w:rsidP="008977FB">
      <w:pPr>
        <w:spacing w:line="276" w:lineRule="auto"/>
        <w:jc w:val="both"/>
        <w:rPr>
          <w:rFonts w:ascii="Arial" w:eastAsia="Calibri" w:hAnsi="Arial" w:cs="Arial"/>
          <w:b/>
          <w:noProof/>
          <w:sz w:val="16"/>
          <w:szCs w:val="16"/>
          <w:lang w:val="es-ES_tradnl" w:eastAsia="en-US"/>
        </w:rPr>
      </w:pPr>
    </w:p>
    <w:p w14:paraId="122E3A29" w14:textId="77777777" w:rsidR="008977FB" w:rsidRPr="008977FB" w:rsidRDefault="008977FB" w:rsidP="008977FB">
      <w:pPr>
        <w:jc w:val="both"/>
        <w:rPr>
          <w:rFonts w:ascii="Arial" w:eastAsia="Calibri" w:hAnsi="Arial" w:cs="Arial"/>
          <w:b/>
          <w:bCs/>
          <w:sz w:val="22"/>
          <w:szCs w:val="22"/>
          <w:lang w:val="es-ES" w:eastAsia="en-US"/>
        </w:rPr>
      </w:pPr>
      <w:r w:rsidRPr="008977FB">
        <w:rPr>
          <w:rFonts w:ascii="Arial" w:eastAsia="Calibri" w:hAnsi="Arial" w:cs="Arial"/>
          <w:b/>
          <w:bCs/>
          <w:sz w:val="22"/>
          <w:szCs w:val="22"/>
          <w:lang w:val="es-ES" w:eastAsia="en-US"/>
        </w:rPr>
        <w:t xml:space="preserve">CONTRATO DE PRESTACIÓN DE SERVICIOS </w:t>
      </w:r>
      <w:r w:rsidRPr="008977FB">
        <w:rPr>
          <w:rFonts w:ascii="Arial" w:eastAsia="Calibri" w:hAnsi="Arial" w:cs="Arial"/>
          <w:b/>
          <w:bCs/>
          <w:sz w:val="22"/>
          <w:szCs w:val="22"/>
          <w:lang w:val="es-MX" w:eastAsia="en-US"/>
        </w:rPr>
        <w:t>–</w:t>
      </w:r>
      <w:r w:rsidRPr="008977FB">
        <w:rPr>
          <w:rFonts w:ascii="Arial" w:eastAsia="Calibri" w:hAnsi="Arial" w:cs="Arial"/>
          <w:b/>
          <w:bCs/>
          <w:sz w:val="22"/>
          <w:szCs w:val="22"/>
          <w:lang w:val="es-ES" w:eastAsia="en-US"/>
        </w:rPr>
        <w:t xml:space="preserve"> Concepto </w:t>
      </w:r>
      <w:r w:rsidRPr="008977FB">
        <w:rPr>
          <w:rFonts w:ascii="Arial" w:eastAsia="Calibri" w:hAnsi="Arial" w:cs="Arial"/>
          <w:b/>
          <w:bCs/>
          <w:sz w:val="22"/>
          <w:szCs w:val="22"/>
          <w:lang w:val="es-MX" w:eastAsia="en-US"/>
        </w:rPr>
        <w:t>–</w:t>
      </w:r>
      <w:r w:rsidRPr="008977FB">
        <w:rPr>
          <w:rFonts w:ascii="Arial" w:eastAsia="Calibri" w:hAnsi="Arial" w:cs="Arial"/>
          <w:b/>
          <w:bCs/>
          <w:sz w:val="22"/>
          <w:szCs w:val="22"/>
          <w:lang w:val="es-ES" w:eastAsia="en-US"/>
        </w:rPr>
        <w:t xml:space="preserve"> Requisitos </w:t>
      </w:r>
      <w:r w:rsidRPr="008977FB">
        <w:rPr>
          <w:rFonts w:ascii="Arial" w:eastAsia="Calibri" w:hAnsi="Arial" w:cs="Arial"/>
          <w:b/>
          <w:bCs/>
          <w:sz w:val="22"/>
          <w:szCs w:val="22"/>
          <w:lang w:val="es-MX" w:eastAsia="en-US"/>
        </w:rPr>
        <w:t>–</w:t>
      </w:r>
      <w:r w:rsidRPr="008977FB">
        <w:rPr>
          <w:rFonts w:ascii="Arial" w:eastAsia="Calibri" w:hAnsi="Arial" w:cs="Arial"/>
          <w:b/>
          <w:bCs/>
          <w:sz w:val="22"/>
          <w:szCs w:val="22"/>
          <w:lang w:val="es-ES" w:eastAsia="en-US"/>
        </w:rPr>
        <w:t xml:space="preserve"> Límites </w:t>
      </w:r>
      <w:r w:rsidRPr="008977FB">
        <w:rPr>
          <w:rFonts w:ascii="Arial" w:eastAsia="Calibri" w:hAnsi="Arial" w:cs="Arial"/>
          <w:b/>
          <w:bCs/>
          <w:sz w:val="22"/>
          <w:szCs w:val="22"/>
          <w:lang w:val="es-MX" w:eastAsia="en-US"/>
        </w:rPr>
        <w:t xml:space="preserve">– </w:t>
      </w:r>
      <w:r w:rsidRPr="008977FB">
        <w:rPr>
          <w:rFonts w:ascii="Arial" w:eastAsia="Calibri" w:hAnsi="Arial" w:cs="Arial"/>
          <w:b/>
          <w:bCs/>
          <w:sz w:val="22"/>
          <w:szCs w:val="22"/>
          <w:lang w:val="es-ES" w:eastAsia="en-US"/>
        </w:rPr>
        <w:t>Celebración</w:t>
      </w:r>
    </w:p>
    <w:p w14:paraId="1279E760" w14:textId="77777777" w:rsidR="008977FB" w:rsidRPr="008977FB" w:rsidRDefault="008977FB" w:rsidP="008977FB">
      <w:pPr>
        <w:jc w:val="both"/>
        <w:rPr>
          <w:rFonts w:ascii="Arial" w:eastAsia="Calibri" w:hAnsi="Arial" w:cs="Arial"/>
          <w:sz w:val="20"/>
          <w:szCs w:val="20"/>
          <w:lang w:val="es-ES" w:eastAsia="en-US"/>
        </w:rPr>
      </w:pPr>
    </w:p>
    <w:p w14:paraId="69AE155B" w14:textId="5166FE24" w:rsidR="008977FB" w:rsidRPr="008977FB" w:rsidRDefault="005D1FF1" w:rsidP="008977FB">
      <w:pPr>
        <w:jc w:val="both"/>
        <w:rPr>
          <w:rFonts w:ascii="Arial" w:eastAsia="Calibri" w:hAnsi="Arial" w:cs="Arial"/>
          <w:sz w:val="20"/>
          <w:szCs w:val="20"/>
          <w:lang w:val="es-ES" w:eastAsia="en-US"/>
        </w:rPr>
      </w:pPr>
      <w:r w:rsidRPr="005D1FF1">
        <w:rPr>
          <w:rFonts w:ascii="Arial" w:eastAsia="Calibri" w:hAnsi="Arial" w:cs="Arial"/>
          <w:sz w:val="20"/>
          <w:szCs w:val="20"/>
          <w:lang w:val="es-ES" w:eastAsia="en-US"/>
        </w:rPr>
        <w:t xml:space="preserve">El contrato de prestación de servicios profesionales es un tipo de negocio previsto en el Estatuto General de Contratación de la Administración Pública, que pueden celebrar las entidades estatales. </w:t>
      </w:r>
      <w:r w:rsidR="008977FB" w:rsidRPr="008977FB">
        <w:rPr>
          <w:rFonts w:ascii="Arial" w:eastAsia="Calibri" w:hAnsi="Arial" w:cs="Arial"/>
          <w:sz w:val="20"/>
          <w:szCs w:val="20"/>
          <w:lang w:val="es-ES" w:eastAsia="en-US"/>
        </w:rPr>
        <w:t>Sus principales características son: i) Solo puede celebrarse para realizar «actividades relacionadas con la administración o funcionamiento de la entidad», es decir, que hagan parte de su giro ordinario o quehacer cotidiano.</w:t>
      </w:r>
      <w:r>
        <w:rPr>
          <w:rFonts w:ascii="Arial" w:eastAsia="Calibri" w:hAnsi="Arial" w:cs="Arial"/>
          <w:sz w:val="20"/>
          <w:szCs w:val="20"/>
          <w:lang w:val="es-ES" w:eastAsia="en-US"/>
        </w:rPr>
        <w:t xml:space="preserve"> </w:t>
      </w:r>
      <w:r w:rsidRPr="005D1FF1">
        <w:rPr>
          <w:rFonts w:ascii="Arial" w:eastAsia="Calibri" w:hAnsi="Arial" w:cs="Arial"/>
          <w:sz w:val="20"/>
          <w:szCs w:val="20"/>
          <w:lang w:val="es-ES" w:eastAsia="en-US"/>
        </w:rPr>
        <w:t xml:space="preserve">ii)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por lo que es necesario contratar los servicios de una persona natural que tenga el conocimiento y la experiencia en el </w:t>
      </w:r>
      <w:proofErr w:type="spellStart"/>
      <w:r w:rsidRPr="005D1FF1">
        <w:rPr>
          <w:rFonts w:ascii="Arial" w:eastAsia="Calibri" w:hAnsi="Arial" w:cs="Arial"/>
          <w:sz w:val="20"/>
          <w:szCs w:val="20"/>
          <w:lang w:val="es-ES" w:eastAsia="en-US"/>
        </w:rPr>
        <w:t>tema.</w:t>
      </w:r>
      <w:r w:rsidR="008977FB" w:rsidRPr="008977FB">
        <w:rPr>
          <w:rFonts w:ascii="Arial" w:eastAsia="Calibri" w:hAnsi="Arial" w:cs="Arial"/>
          <w:sz w:val="20"/>
          <w:szCs w:val="20"/>
          <w:lang w:val="es-ES" w:eastAsia="en-US"/>
        </w:rPr>
        <w:t>iii</w:t>
      </w:r>
      <w:proofErr w:type="spellEnd"/>
      <w:r w:rsidR="008977FB" w:rsidRPr="008977FB">
        <w:rPr>
          <w:rFonts w:ascii="Arial" w:eastAsia="Calibri" w:hAnsi="Arial" w:cs="Arial"/>
          <w:sz w:val="20"/>
          <w:szCs w:val="20"/>
          <w:lang w:val="es-ES" w:eastAsia="en-U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008977FB" w:rsidRPr="008977FB">
        <w:rPr>
          <w:rFonts w:ascii="Arial" w:eastAsia="Calibri" w:hAnsi="Arial" w:cs="Arial"/>
          <w:i/>
          <w:sz w:val="20"/>
          <w:szCs w:val="20"/>
          <w:lang w:val="es-ES" w:eastAsia="en-US"/>
        </w:rPr>
        <w:t>subordinación y dependencia</w:t>
      </w:r>
      <w:r w:rsidR="008977FB" w:rsidRPr="008977FB">
        <w:rPr>
          <w:rFonts w:ascii="Arial" w:eastAsia="Calibri" w:hAnsi="Arial" w:cs="Arial"/>
          <w:sz w:val="20"/>
          <w:szCs w:val="20"/>
          <w:lang w:val="es-ES" w:eastAsia="en-US"/>
        </w:rPr>
        <w:t xml:space="preserve"> que es uno de los elementos constitutivos del vínculo laboral. iv) Debe ser temporal. v) Hacen parte del género denominado </w:t>
      </w:r>
      <w:r w:rsidR="008977FB" w:rsidRPr="008977FB">
        <w:rPr>
          <w:rFonts w:ascii="Arial" w:eastAsia="Calibri" w:hAnsi="Arial" w:cs="Arial"/>
          <w:i/>
          <w:sz w:val="20"/>
          <w:szCs w:val="20"/>
          <w:lang w:val="es-ES" w:eastAsia="en-US"/>
        </w:rPr>
        <w:t>contratos de prestación de servicios</w:t>
      </w:r>
      <w:r w:rsidR="008977FB" w:rsidRPr="008977FB">
        <w:rPr>
          <w:rFonts w:ascii="Arial" w:eastAsia="Calibri" w:hAnsi="Arial" w:cs="Arial"/>
          <w:sz w:val="20"/>
          <w:szCs w:val="20"/>
          <w:lang w:val="es-ES" w:eastAsia="en-U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10CF30CB" w14:textId="77777777" w:rsidR="008977FB" w:rsidRDefault="008977FB" w:rsidP="008977FB">
      <w:pPr>
        <w:jc w:val="both"/>
        <w:rPr>
          <w:rFonts w:ascii="Arial" w:hAnsi="Arial" w:cs="Arial"/>
          <w:b/>
          <w:bCs/>
          <w:sz w:val="22"/>
          <w:lang w:val="es-ES"/>
        </w:rPr>
      </w:pPr>
    </w:p>
    <w:p w14:paraId="1B7EB08F" w14:textId="5AFD3DCA" w:rsidR="008977FB" w:rsidRDefault="008977FB" w:rsidP="008977FB">
      <w:pPr>
        <w:jc w:val="both"/>
        <w:rPr>
          <w:rFonts w:ascii="Arial" w:hAnsi="Arial" w:cs="Arial"/>
          <w:b/>
          <w:bCs/>
          <w:sz w:val="22"/>
          <w:lang w:val="es-ES"/>
        </w:rPr>
      </w:pPr>
      <w:r w:rsidRPr="006C04B6">
        <w:rPr>
          <w:rFonts w:ascii="Arial" w:hAnsi="Arial" w:cs="Arial"/>
          <w:b/>
          <w:bCs/>
          <w:sz w:val="22"/>
          <w:lang w:val="es-ES"/>
        </w:rPr>
        <w:t xml:space="preserve">LIQUIDACIÓN DEL CONTRATO – Noción </w:t>
      </w:r>
    </w:p>
    <w:p w14:paraId="403856E8" w14:textId="77777777" w:rsidR="008977FB" w:rsidRPr="008977FB" w:rsidRDefault="008977FB" w:rsidP="008977FB">
      <w:pPr>
        <w:jc w:val="both"/>
        <w:rPr>
          <w:rFonts w:ascii="Arial" w:hAnsi="Arial" w:cs="Arial"/>
          <w:b/>
          <w:bCs/>
          <w:sz w:val="22"/>
          <w:lang w:val="es-ES"/>
        </w:rPr>
      </w:pPr>
    </w:p>
    <w:p w14:paraId="66481B77" w14:textId="77777777" w:rsidR="008977FB" w:rsidRPr="006C04B6" w:rsidRDefault="008977FB" w:rsidP="008977FB">
      <w:pPr>
        <w:jc w:val="both"/>
        <w:rPr>
          <w:rFonts w:ascii="Arial" w:hAnsi="Arial" w:cs="Arial"/>
          <w:sz w:val="20"/>
          <w:szCs w:val="20"/>
          <w:lang w:val="es-ES"/>
        </w:rPr>
      </w:pPr>
      <w:r w:rsidRPr="006C04B6">
        <w:rPr>
          <w:rFonts w:ascii="Arial" w:hAnsi="Arial" w:cs="Arial"/>
          <w:sz w:val="20"/>
          <w:szCs w:val="20"/>
          <w:lang w:val="es-ES"/>
        </w:rPr>
        <w:t>La fase de liquidación de los contratos estatales es el momento en el cual las partes realizan el balance de la ejecución del acuerdo de voluntades. Dicho balance, según el artículo 60 de la Ley 80 de 1993, tiene como objetivo que tanto el contratante como el contratista se declaren a paz y salvo</w:t>
      </w:r>
      <w:r>
        <w:rPr>
          <w:rFonts w:ascii="Arial" w:hAnsi="Arial" w:cs="Arial"/>
          <w:sz w:val="20"/>
          <w:szCs w:val="20"/>
          <w:lang w:val="es-ES"/>
        </w:rPr>
        <w:t>, pudiendo</w:t>
      </w:r>
      <w:r w:rsidRPr="006C04B6">
        <w:rPr>
          <w:rFonts w:ascii="Arial" w:hAnsi="Arial" w:cs="Arial"/>
          <w:sz w:val="20"/>
          <w:szCs w:val="20"/>
          <w:lang w:val="es-ES"/>
        </w:rPr>
        <w:t xml:space="preserve"> utiliza</w:t>
      </w:r>
      <w:r>
        <w:rPr>
          <w:rFonts w:ascii="Arial" w:hAnsi="Arial" w:cs="Arial"/>
          <w:sz w:val="20"/>
          <w:szCs w:val="20"/>
          <w:lang w:val="es-ES"/>
        </w:rPr>
        <w:t>r</w:t>
      </w:r>
      <w:r w:rsidRPr="006C04B6">
        <w:rPr>
          <w:rFonts w:ascii="Arial" w:hAnsi="Arial" w:cs="Arial"/>
          <w:sz w:val="20"/>
          <w:szCs w:val="20"/>
          <w:lang w:val="es-ES"/>
        </w:rPr>
        <w:t xml:space="preserve"> los instrumentos de la conciliación y la transacción, entre otros. </w:t>
      </w:r>
    </w:p>
    <w:p w14:paraId="775282F0" w14:textId="77777777" w:rsidR="008977FB" w:rsidRPr="006C04B6" w:rsidRDefault="008977FB" w:rsidP="008977FB">
      <w:pPr>
        <w:jc w:val="both"/>
        <w:rPr>
          <w:rFonts w:ascii="Arial" w:hAnsi="Arial" w:cs="Arial"/>
          <w:sz w:val="20"/>
          <w:szCs w:val="20"/>
          <w:lang w:val="es-ES"/>
        </w:rPr>
      </w:pPr>
    </w:p>
    <w:p w14:paraId="337621CE" w14:textId="4C6AEB08" w:rsidR="008977FB" w:rsidRDefault="008977FB" w:rsidP="008977FB">
      <w:pPr>
        <w:jc w:val="both"/>
        <w:rPr>
          <w:rFonts w:ascii="Arial" w:hAnsi="Arial" w:cs="Arial"/>
          <w:sz w:val="20"/>
          <w:szCs w:val="20"/>
          <w:lang w:val="es-ES"/>
        </w:rPr>
      </w:pPr>
      <w:r w:rsidRPr="006C04B6">
        <w:rPr>
          <w:rFonts w:ascii="Arial" w:hAnsi="Arial" w:cs="Arial"/>
          <w:sz w:val="20"/>
          <w:szCs w:val="20"/>
          <w:lang w:val="es-ES"/>
        </w:rPr>
        <w:t>[…] La liquidación del contrato estatal implica una actuación posterior a la terminación normal o anormal del acuerdo.</w:t>
      </w:r>
    </w:p>
    <w:p w14:paraId="3CC76933" w14:textId="491B9475" w:rsidR="008977FB" w:rsidRDefault="008977FB" w:rsidP="008977FB">
      <w:pPr>
        <w:jc w:val="both"/>
        <w:rPr>
          <w:rFonts w:ascii="Arial" w:hAnsi="Arial" w:cs="Arial"/>
          <w:sz w:val="20"/>
          <w:szCs w:val="20"/>
          <w:lang w:val="es-ES"/>
        </w:rPr>
      </w:pPr>
    </w:p>
    <w:p w14:paraId="421B188E" w14:textId="3433C120" w:rsidR="008977FB" w:rsidRPr="008977FB" w:rsidRDefault="008977FB" w:rsidP="008977FB">
      <w:pPr>
        <w:jc w:val="both"/>
        <w:rPr>
          <w:rFonts w:ascii="Arial" w:hAnsi="Arial" w:cs="Arial"/>
          <w:b/>
          <w:bCs/>
          <w:sz w:val="22"/>
          <w:szCs w:val="22"/>
          <w:lang w:val="es-ES"/>
        </w:rPr>
      </w:pPr>
      <w:r w:rsidRPr="008977FB">
        <w:rPr>
          <w:rFonts w:ascii="Arial" w:hAnsi="Arial" w:cs="Arial"/>
          <w:b/>
          <w:bCs/>
          <w:sz w:val="22"/>
          <w:szCs w:val="22"/>
          <w:lang w:val="es-ES"/>
        </w:rPr>
        <w:t xml:space="preserve">LIQUIDACIÓN DEL CONTRATO – Excepción – Contrato de </w:t>
      </w:r>
      <w:r w:rsidR="001F42C6">
        <w:rPr>
          <w:rFonts w:ascii="Arial" w:hAnsi="Arial" w:cs="Arial"/>
          <w:b/>
          <w:bCs/>
          <w:sz w:val="22"/>
          <w:szCs w:val="22"/>
          <w:lang w:val="es-ES"/>
        </w:rPr>
        <w:t>p</w:t>
      </w:r>
      <w:r w:rsidRPr="008977FB">
        <w:rPr>
          <w:rFonts w:ascii="Arial" w:hAnsi="Arial" w:cs="Arial"/>
          <w:b/>
          <w:bCs/>
          <w:sz w:val="22"/>
          <w:szCs w:val="22"/>
          <w:lang w:val="es-ES"/>
        </w:rPr>
        <w:t xml:space="preserve">restación de servicios </w:t>
      </w:r>
    </w:p>
    <w:p w14:paraId="2FC8D41A" w14:textId="77777777" w:rsidR="008977FB" w:rsidRDefault="008977FB" w:rsidP="002D70FC">
      <w:pPr>
        <w:jc w:val="both"/>
        <w:rPr>
          <w:rFonts w:ascii="Arial" w:eastAsia="Arial" w:hAnsi="Arial" w:cs="Arial"/>
          <w:sz w:val="22"/>
          <w:szCs w:val="22"/>
          <w:lang w:val="es-ES" w:eastAsia="en-US"/>
        </w:rPr>
      </w:pPr>
    </w:p>
    <w:p w14:paraId="4436486C" w14:textId="2F4056BD" w:rsidR="00D059DA" w:rsidRPr="002D70FC" w:rsidRDefault="005D1FF1" w:rsidP="00D059DA">
      <w:pPr>
        <w:jc w:val="both"/>
        <w:rPr>
          <w:rFonts w:ascii="Arial" w:eastAsia="Calibri" w:hAnsi="Arial" w:cs="Arial"/>
          <w:b/>
          <w:sz w:val="22"/>
          <w:szCs w:val="22"/>
          <w:lang w:val="es-ES" w:eastAsia="en-US"/>
        </w:rPr>
      </w:pPr>
      <w:r w:rsidRPr="005D1FF1">
        <w:rPr>
          <w:rFonts w:ascii="Arial" w:eastAsia="Arial" w:hAnsi="Arial" w:cs="Arial"/>
          <w:sz w:val="20"/>
          <w:szCs w:val="20"/>
          <w:lang w:val="es-ES" w:eastAsia="en-US"/>
        </w:rPr>
        <w:t>En un principio, la liquidación no es obligatoria en los contratos de prestación de servicios profesionales y de apoyo a la gestión, pues de acuerdo con la naturaleza de este contrato no reviste una complejidad que implique hacer un ajuste final de cuentas, reconociendo saldos a favor para alguna de las partes. Sin embargo, existen casos donde estos contratos tengan una importancia y relevancia que establezcan obligaciones que hagan difícil hacer un ajuste de cuentas con la simple cuenta de cobro, o que conlleve a discrepancia y controversias, razón por la que la ley no prohíbe, por un lado, que se pacte la liquidación como cláusula accidental y, por otro, que las partes consideren necesaria la liquidación al finalizar el contrato. En ambos casos, la liquidación será facultativa.</w:t>
      </w:r>
      <w:r w:rsidRPr="005D1FF1" w:rsidDel="005D1FF1">
        <w:rPr>
          <w:rFonts w:ascii="Arial" w:eastAsia="Arial" w:hAnsi="Arial" w:cs="Arial"/>
          <w:sz w:val="20"/>
          <w:szCs w:val="20"/>
          <w:lang w:val="es-ES" w:eastAsia="en-US"/>
        </w:rPr>
        <w:t xml:space="preserve"> </w:t>
      </w:r>
    </w:p>
    <w:p w14:paraId="21EA1695" w14:textId="7C304625" w:rsidR="00454589" w:rsidRPr="00337B9F" w:rsidRDefault="00203878" w:rsidP="00307833">
      <w:pPr>
        <w:spacing w:after="200" w:line="276" w:lineRule="auto"/>
        <w:jc w:val="both"/>
        <w:rPr>
          <w:rFonts w:ascii="Arial" w:eastAsia="Calibri" w:hAnsi="Arial" w:cs="Arial"/>
          <w:b/>
          <w:bCs/>
          <w:sz w:val="20"/>
          <w:szCs w:val="20"/>
          <w:lang w:val="es-ES_tradnl"/>
        </w:rPr>
      </w:pPr>
      <w:r w:rsidRPr="00337B9F">
        <w:rPr>
          <w:rFonts w:ascii="Arial" w:eastAsia="Calibri" w:hAnsi="Arial" w:cs="Arial"/>
          <w:b/>
          <w:bCs/>
          <w:sz w:val="20"/>
          <w:szCs w:val="20"/>
          <w:lang w:val="es-ES_tradnl"/>
        </w:rPr>
        <w:t xml:space="preserve">    </w:t>
      </w:r>
      <w:r w:rsidR="00C5587F" w:rsidRPr="00337B9F">
        <w:rPr>
          <w:rFonts w:ascii="Arial" w:eastAsia="Calibri" w:hAnsi="Arial" w:cs="Arial"/>
          <w:b/>
          <w:bCs/>
          <w:sz w:val="20"/>
          <w:szCs w:val="20"/>
          <w:lang w:val="es-ES_tradnl"/>
        </w:rPr>
        <w:br w:type="page"/>
      </w:r>
    </w:p>
    <w:p w14:paraId="709AB681" w14:textId="77777777" w:rsidR="00A07F12" w:rsidRPr="00E4689D" w:rsidRDefault="00A07F12" w:rsidP="00337B9F">
      <w:pPr>
        <w:spacing w:line="276" w:lineRule="auto"/>
        <w:jc w:val="both"/>
        <w:rPr>
          <w:rFonts w:ascii="Arial" w:eastAsia="Calibri" w:hAnsi="Arial" w:cs="Arial"/>
          <w:b/>
          <w:bCs/>
          <w:sz w:val="22"/>
          <w:szCs w:val="22"/>
          <w:lang w:val="es-ES_tradnl"/>
        </w:rPr>
      </w:pPr>
    </w:p>
    <w:p w14:paraId="7F8781BE" w14:textId="77777777" w:rsidR="00C5587F" w:rsidRPr="00337B9F" w:rsidRDefault="00C5587F">
      <w:pPr>
        <w:rPr>
          <w:rFonts w:ascii="Arial" w:hAnsi="Arial" w:cs="Arial"/>
          <w:sz w:val="22"/>
          <w:szCs w:val="20"/>
        </w:rPr>
      </w:pPr>
    </w:p>
    <w:p w14:paraId="7CD7CCFE" w14:textId="1F13C6DA" w:rsidR="00D059DA" w:rsidRPr="00900530" w:rsidRDefault="00D059DA" w:rsidP="00D059DA">
      <w:pPr>
        <w:rPr>
          <w:rFonts w:ascii="Arial" w:eastAsia="Arial" w:hAnsi="Arial" w:cs="Arial"/>
          <w:b/>
          <w:sz w:val="22"/>
          <w:szCs w:val="22"/>
          <w:lang w:val="es-MX" w:eastAsia="en-US"/>
        </w:rPr>
      </w:pPr>
      <w:bookmarkStart w:id="0" w:name="_Hlk64030265"/>
      <w:r>
        <w:rPr>
          <w:rFonts w:ascii="Arial" w:hAnsi="Arial" w:cs="Arial"/>
          <w:sz w:val="22"/>
          <w:szCs w:val="20"/>
        </w:rPr>
        <w:t>Bogotá D.C.</w:t>
      </w:r>
      <w:bookmarkEnd w:id="0"/>
      <w:r>
        <w:rPr>
          <w:rFonts w:ascii="Arial" w:hAnsi="Arial" w:cs="Arial"/>
          <w:sz w:val="22"/>
          <w:szCs w:val="20"/>
        </w:rPr>
        <w:t xml:space="preserve">, </w:t>
      </w:r>
      <w:r w:rsidR="00EE6C68">
        <w:rPr>
          <w:rFonts w:ascii="Arial" w:eastAsia="Arial" w:hAnsi="Arial" w:cs="Arial"/>
          <w:b/>
          <w:bCs/>
          <w:sz w:val="22"/>
          <w:szCs w:val="22"/>
          <w:lang w:val="es-MX" w:eastAsia="en-US"/>
        </w:rPr>
        <w:t>18/08/2021</w:t>
      </w:r>
    </w:p>
    <w:p w14:paraId="4D2C59F8" w14:textId="77777777" w:rsidR="00A07F12" w:rsidRPr="00337B9F" w:rsidRDefault="00A07F12" w:rsidP="00900530">
      <w:pPr>
        <w:rPr>
          <w:rFonts w:ascii="Arial" w:hAnsi="Arial" w:cs="Arial"/>
          <w:bCs/>
          <w:color w:val="000000" w:themeColor="text1"/>
          <w:sz w:val="22"/>
          <w:lang w:val="es-ES_tradnl"/>
        </w:rPr>
      </w:pPr>
      <w:bookmarkStart w:id="1" w:name="_Hlk72829753"/>
    </w:p>
    <w:p w14:paraId="26B62A97" w14:textId="196D086C" w:rsidR="00A07F12" w:rsidRPr="00337B9F" w:rsidRDefault="00130B4E" w:rsidP="00130B4E">
      <w:pPr>
        <w:jc w:val="right"/>
        <w:rPr>
          <w:rFonts w:ascii="Arial" w:hAnsi="Arial" w:cs="Arial"/>
          <w:bCs/>
          <w:color w:val="000000" w:themeColor="text1"/>
          <w:sz w:val="22"/>
          <w:lang w:val="es-ES_tradnl"/>
        </w:rPr>
      </w:pPr>
      <w:r>
        <w:rPr>
          <w:noProof/>
          <w:sz w:val="20"/>
        </w:rPr>
        <w:drawing>
          <wp:inline distT="0" distB="0" distL="0" distR="0" wp14:anchorId="06E8D92D" wp14:editId="2DE040D5">
            <wp:extent cx="2379945" cy="608838"/>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12C8F066" w14:textId="68C6163D" w:rsidR="00900530" w:rsidRPr="00337B9F" w:rsidRDefault="00DE22D3" w:rsidP="00900530">
      <w:pPr>
        <w:rPr>
          <w:rFonts w:ascii="Arial" w:hAnsi="Arial" w:cs="Arial"/>
          <w:bCs/>
          <w:color w:val="000000" w:themeColor="text1"/>
          <w:sz w:val="22"/>
          <w:lang w:val="es-ES_tradnl"/>
        </w:rPr>
      </w:pPr>
      <w:r>
        <w:rPr>
          <w:rFonts w:ascii="Arial" w:hAnsi="Arial" w:cs="Arial"/>
          <w:bCs/>
          <w:color w:val="000000" w:themeColor="text1"/>
          <w:sz w:val="22"/>
          <w:lang w:val="es-ES_tradnl"/>
        </w:rPr>
        <w:t>Doctora</w:t>
      </w:r>
    </w:p>
    <w:p w14:paraId="41BB2B8F" w14:textId="2D8669A8" w:rsidR="00900530" w:rsidRPr="00337B9F" w:rsidRDefault="00DE22D3" w:rsidP="00900530">
      <w:pPr>
        <w:jc w:val="both"/>
        <w:rPr>
          <w:rFonts w:ascii="Arial" w:hAnsi="Arial" w:cs="Arial"/>
          <w:b/>
          <w:color w:val="000000" w:themeColor="text1"/>
          <w:sz w:val="22"/>
          <w:lang w:val="es-ES_tradnl"/>
        </w:rPr>
      </w:pPr>
      <w:r>
        <w:rPr>
          <w:rFonts w:ascii="Arial" w:hAnsi="Arial" w:cs="Arial"/>
          <w:b/>
          <w:color w:val="000000" w:themeColor="text1"/>
          <w:sz w:val="22"/>
          <w:lang w:val="es-ES_tradnl"/>
        </w:rPr>
        <w:t>Mónica Andrea Cerón Bacca</w:t>
      </w:r>
    </w:p>
    <w:p w14:paraId="6E4BD78B" w14:textId="7D38091D" w:rsidR="00DE22D3" w:rsidRDefault="00DE22D3" w:rsidP="00900530">
      <w:pPr>
        <w:jc w:val="both"/>
        <w:rPr>
          <w:rFonts w:ascii="Arial" w:hAnsi="Arial" w:cs="Arial"/>
          <w:bCs/>
          <w:color w:val="000000" w:themeColor="text1"/>
          <w:sz w:val="22"/>
          <w:lang w:val="es-ES_tradnl"/>
        </w:rPr>
      </w:pPr>
      <w:r>
        <w:rPr>
          <w:rFonts w:ascii="Arial" w:hAnsi="Arial" w:cs="Arial"/>
          <w:bCs/>
          <w:color w:val="000000" w:themeColor="text1"/>
          <w:sz w:val="22"/>
          <w:lang w:val="es-ES_tradnl"/>
        </w:rPr>
        <w:t>Jefe de la Oficina Asesora Jurídica</w:t>
      </w:r>
    </w:p>
    <w:p w14:paraId="69C29771" w14:textId="6EAA9F76" w:rsidR="00DE22D3" w:rsidRDefault="00DE22D3" w:rsidP="00900530">
      <w:pPr>
        <w:jc w:val="both"/>
        <w:rPr>
          <w:rFonts w:ascii="Arial" w:hAnsi="Arial" w:cs="Arial"/>
          <w:bCs/>
          <w:color w:val="000000" w:themeColor="text1"/>
          <w:sz w:val="22"/>
          <w:lang w:val="es-ES_tradnl"/>
        </w:rPr>
      </w:pPr>
      <w:r>
        <w:rPr>
          <w:rFonts w:ascii="Arial" w:hAnsi="Arial" w:cs="Arial"/>
          <w:bCs/>
          <w:color w:val="000000" w:themeColor="text1"/>
          <w:sz w:val="22"/>
          <w:lang w:val="es-ES_tradnl"/>
        </w:rPr>
        <w:t xml:space="preserve">Instituto Municipal de la Reforma Urbana y Vivienda de Pasto </w:t>
      </w:r>
    </w:p>
    <w:p w14:paraId="4482E7C3" w14:textId="62A2AF52" w:rsidR="00900530" w:rsidRPr="00337B9F" w:rsidRDefault="00DE22D3" w:rsidP="00900530">
      <w:pPr>
        <w:jc w:val="both"/>
        <w:rPr>
          <w:rFonts w:ascii="Arial" w:hAnsi="Arial" w:cs="Arial"/>
          <w:bCs/>
          <w:color w:val="000000" w:themeColor="text1"/>
          <w:sz w:val="22"/>
          <w:lang w:val="es-ES_tradnl"/>
        </w:rPr>
      </w:pPr>
      <w:r>
        <w:rPr>
          <w:rFonts w:ascii="Arial" w:hAnsi="Arial" w:cs="Arial"/>
          <w:bCs/>
          <w:color w:val="000000" w:themeColor="text1"/>
          <w:sz w:val="22"/>
          <w:lang w:val="es-ES_tradnl"/>
        </w:rPr>
        <w:t>Pasto</w:t>
      </w:r>
      <w:r w:rsidR="00216DB1">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Nariño</w:t>
      </w:r>
    </w:p>
    <w:p w14:paraId="6D02035F" w14:textId="77777777" w:rsidR="00900530" w:rsidRPr="00337B9F" w:rsidRDefault="00900530" w:rsidP="00900530">
      <w:pPr>
        <w:jc w:val="both"/>
        <w:rPr>
          <w:rFonts w:ascii="Arial" w:hAnsi="Arial" w:cs="Arial"/>
          <w:b/>
          <w:color w:val="000000" w:themeColor="text1"/>
          <w:sz w:val="22"/>
          <w:lang w:val="es-ES_tradnl"/>
        </w:rPr>
      </w:pPr>
    </w:p>
    <w:p w14:paraId="7FEA18D2" w14:textId="77777777" w:rsidR="0031674D" w:rsidRPr="00337B9F" w:rsidRDefault="0031674D" w:rsidP="00B95C30">
      <w:pPr>
        <w:jc w:val="both"/>
        <w:rPr>
          <w:rFonts w:ascii="Arial" w:eastAsia="Calibri" w:hAnsi="Arial" w:cs="Arial"/>
          <w:color w:val="000000" w:themeColor="text1"/>
          <w:sz w:val="22"/>
          <w:lang w:val="es-ES_tradnl"/>
        </w:rPr>
      </w:pPr>
    </w:p>
    <w:p w14:paraId="12E66182" w14:textId="23AFDD43" w:rsidR="00B95C30" w:rsidRPr="00337B9F" w:rsidRDefault="0031674D" w:rsidP="006E3937">
      <w:pPr>
        <w:rPr>
          <w:rFonts w:ascii="Arial" w:eastAsia="Calibri" w:hAnsi="Arial" w:cs="Arial"/>
          <w:b/>
          <w:bCs/>
          <w:color w:val="000000" w:themeColor="text1"/>
          <w:sz w:val="22"/>
          <w:lang w:val="es-ES_tradnl"/>
        </w:rPr>
      </w:pPr>
      <w:r w:rsidRPr="00337B9F">
        <w:rPr>
          <w:rFonts w:ascii="Arial" w:eastAsia="Calibri" w:hAnsi="Arial" w:cs="Arial"/>
          <w:b/>
          <w:bCs/>
          <w:color w:val="000000" w:themeColor="text1"/>
          <w:sz w:val="22"/>
          <w:lang w:val="es-ES_tradnl"/>
        </w:rPr>
        <w:t xml:space="preserve">                                            </w:t>
      </w:r>
      <w:r w:rsidR="00B95C30" w:rsidRPr="00337B9F">
        <w:rPr>
          <w:rFonts w:ascii="Arial" w:eastAsia="Calibri" w:hAnsi="Arial" w:cs="Arial"/>
          <w:b/>
          <w:bCs/>
          <w:color w:val="000000" w:themeColor="text1"/>
          <w:sz w:val="22"/>
          <w:lang w:val="es-ES_tradnl"/>
        </w:rPr>
        <w:t xml:space="preserve">Concepto C ‒ </w:t>
      </w:r>
      <w:r w:rsidR="000B6524">
        <w:rPr>
          <w:rFonts w:ascii="Arial" w:eastAsia="Calibri" w:hAnsi="Arial" w:cs="Arial"/>
          <w:b/>
          <w:bCs/>
          <w:color w:val="000000" w:themeColor="text1"/>
          <w:sz w:val="22"/>
          <w:lang w:val="es-ES_tradnl"/>
        </w:rPr>
        <w:t>417</w:t>
      </w:r>
      <w:r w:rsidR="00B95C30" w:rsidRPr="00337B9F">
        <w:rPr>
          <w:rFonts w:ascii="Arial" w:eastAsia="Calibri" w:hAnsi="Arial" w:cs="Arial"/>
          <w:b/>
          <w:bCs/>
          <w:color w:val="000000" w:themeColor="text1"/>
          <w:sz w:val="22"/>
          <w:lang w:val="es-ES_tradnl"/>
        </w:rPr>
        <w:t xml:space="preserve"> de 202</w:t>
      </w:r>
      <w:r w:rsidR="005E781C" w:rsidRPr="00337B9F">
        <w:rPr>
          <w:rFonts w:ascii="Arial" w:eastAsia="Calibri" w:hAnsi="Arial" w:cs="Arial"/>
          <w:b/>
          <w:bCs/>
          <w:color w:val="000000" w:themeColor="text1"/>
          <w:sz w:val="22"/>
          <w:lang w:val="es-ES_tradnl"/>
        </w:rPr>
        <w:t>1</w:t>
      </w:r>
    </w:p>
    <w:p w14:paraId="1BD594F9" w14:textId="77777777" w:rsidR="00B95C30" w:rsidRPr="00337B9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37B9F" w14:paraId="19DFC051" w14:textId="77777777" w:rsidTr="008F4163">
        <w:tc>
          <w:tcPr>
            <w:tcW w:w="2689" w:type="dxa"/>
          </w:tcPr>
          <w:p w14:paraId="6BC0D1AC" w14:textId="77777777" w:rsidR="00B95C30" w:rsidRPr="00337B9F" w:rsidRDefault="00B95C30" w:rsidP="008F4163">
            <w:pPr>
              <w:jc w:val="both"/>
              <w:rPr>
                <w:rFonts w:ascii="Arial" w:eastAsia="Calibri" w:hAnsi="Arial" w:cs="Arial"/>
                <w:color w:val="000000" w:themeColor="text1"/>
                <w:sz w:val="22"/>
                <w:lang w:val="es-ES_tradnl"/>
              </w:rPr>
            </w:pPr>
            <w:r w:rsidRPr="00337B9F">
              <w:rPr>
                <w:rFonts w:ascii="Arial" w:eastAsia="Calibri" w:hAnsi="Arial" w:cs="Arial"/>
                <w:b/>
                <w:color w:val="000000" w:themeColor="text1"/>
                <w:sz w:val="22"/>
                <w:lang w:val="es-ES_tradnl"/>
              </w:rPr>
              <w:t>Temas:</w:t>
            </w:r>
            <w:r w:rsidRPr="00337B9F">
              <w:rPr>
                <w:rFonts w:ascii="Arial" w:eastAsia="Calibri" w:hAnsi="Arial" w:cs="Arial"/>
                <w:color w:val="000000" w:themeColor="text1"/>
                <w:sz w:val="22"/>
                <w:lang w:val="es-ES_tradnl"/>
              </w:rPr>
              <w:t xml:space="preserve">                                      </w:t>
            </w:r>
          </w:p>
        </w:tc>
        <w:tc>
          <w:tcPr>
            <w:tcW w:w="6237" w:type="dxa"/>
          </w:tcPr>
          <w:p w14:paraId="5F389CAF" w14:textId="6A8A75C4" w:rsidR="00B95C30" w:rsidRPr="008977FB" w:rsidRDefault="008977FB" w:rsidP="008977FB">
            <w:pPr>
              <w:jc w:val="both"/>
              <w:rPr>
                <w:rFonts w:ascii="Arial" w:eastAsia="Calibri" w:hAnsi="Arial" w:cs="Arial"/>
                <w:color w:val="000000" w:themeColor="text1"/>
                <w:sz w:val="22"/>
                <w:lang w:val="es-ES"/>
              </w:rPr>
            </w:pPr>
            <w:r w:rsidRPr="008977FB">
              <w:rPr>
                <w:rFonts w:ascii="Arial" w:eastAsia="Calibri" w:hAnsi="Arial" w:cs="Arial"/>
                <w:color w:val="000000" w:themeColor="text1"/>
                <w:sz w:val="22"/>
                <w:lang w:val="es-ES"/>
              </w:rPr>
              <w:t>CONTRATO DE PRESTACIÓN DE SERVICIOS – Concepto – Requisitos – Límites – Celebración</w:t>
            </w:r>
            <w:r>
              <w:rPr>
                <w:rFonts w:ascii="Arial" w:eastAsia="Calibri" w:hAnsi="Arial" w:cs="Arial"/>
                <w:color w:val="000000" w:themeColor="text1"/>
                <w:sz w:val="22"/>
                <w:lang w:val="es-ES"/>
              </w:rPr>
              <w:t xml:space="preserve"> / </w:t>
            </w:r>
            <w:r w:rsidRPr="008977FB">
              <w:rPr>
                <w:rFonts w:ascii="Arial" w:eastAsia="Calibri" w:hAnsi="Arial" w:cs="Arial"/>
                <w:color w:val="000000" w:themeColor="text1"/>
                <w:sz w:val="22"/>
                <w:lang w:val="es-ES"/>
              </w:rPr>
              <w:t>LIQUIDACIÓN DEL CONTRATO – Noción</w:t>
            </w:r>
            <w:r>
              <w:rPr>
                <w:rFonts w:ascii="Arial" w:eastAsia="Calibri" w:hAnsi="Arial" w:cs="Arial"/>
                <w:color w:val="000000" w:themeColor="text1"/>
                <w:sz w:val="22"/>
                <w:lang w:val="es-ES"/>
              </w:rPr>
              <w:t xml:space="preserve"> / </w:t>
            </w:r>
            <w:r w:rsidRPr="008977FB">
              <w:rPr>
                <w:rFonts w:ascii="Arial" w:eastAsia="Calibri" w:hAnsi="Arial" w:cs="Arial"/>
                <w:color w:val="000000" w:themeColor="text1"/>
                <w:sz w:val="22"/>
                <w:lang w:val="es-ES"/>
              </w:rPr>
              <w:t xml:space="preserve">LIQUIDACIÓN DEL CONTRATO – Excepción – Contrato de </w:t>
            </w:r>
            <w:r>
              <w:rPr>
                <w:rFonts w:ascii="Arial" w:eastAsia="Calibri" w:hAnsi="Arial" w:cs="Arial"/>
                <w:color w:val="000000" w:themeColor="text1"/>
                <w:sz w:val="22"/>
                <w:lang w:val="es-ES"/>
              </w:rPr>
              <w:t>p</w:t>
            </w:r>
            <w:r w:rsidRPr="008977FB">
              <w:rPr>
                <w:rFonts w:ascii="Arial" w:eastAsia="Calibri" w:hAnsi="Arial" w:cs="Arial"/>
                <w:color w:val="000000" w:themeColor="text1"/>
                <w:sz w:val="22"/>
                <w:lang w:val="es-ES"/>
              </w:rPr>
              <w:t>restación de</w:t>
            </w:r>
            <w:r>
              <w:rPr>
                <w:rFonts w:ascii="Arial" w:eastAsia="Calibri" w:hAnsi="Arial" w:cs="Arial"/>
                <w:color w:val="000000" w:themeColor="text1"/>
                <w:sz w:val="22"/>
                <w:lang w:val="es-ES"/>
              </w:rPr>
              <w:t xml:space="preserve"> servicios</w:t>
            </w:r>
          </w:p>
        </w:tc>
      </w:tr>
      <w:tr w:rsidR="00B95C30" w:rsidRPr="00337B9F" w14:paraId="27CD52AB" w14:textId="77777777" w:rsidTr="008F4163">
        <w:tc>
          <w:tcPr>
            <w:tcW w:w="2689" w:type="dxa"/>
          </w:tcPr>
          <w:p w14:paraId="37E195A1" w14:textId="1BA218D5" w:rsidR="00B95C30" w:rsidRPr="00337B9F" w:rsidRDefault="00B95C30" w:rsidP="008F4163">
            <w:pPr>
              <w:spacing w:before="120"/>
              <w:jc w:val="both"/>
              <w:rPr>
                <w:rFonts w:ascii="Arial" w:eastAsia="Calibri" w:hAnsi="Arial" w:cs="Arial"/>
                <w:b/>
                <w:color w:val="000000" w:themeColor="text1"/>
                <w:sz w:val="22"/>
                <w:lang w:val="es-ES_tradnl"/>
              </w:rPr>
            </w:pPr>
            <w:r w:rsidRPr="00337B9F">
              <w:rPr>
                <w:rFonts w:ascii="Arial" w:eastAsia="Calibri" w:hAnsi="Arial" w:cs="Arial"/>
                <w:b/>
                <w:color w:val="000000" w:themeColor="text1"/>
                <w:sz w:val="22"/>
                <w:lang w:val="es-ES_tradnl"/>
              </w:rPr>
              <w:t>Radicación:</w:t>
            </w:r>
            <w:r w:rsidRPr="00337B9F">
              <w:rPr>
                <w:rFonts w:ascii="Arial" w:eastAsia="Calibri" w:hAnsi="Arial" w:cs="Arial"/>
                <w:color w:val="000000" w:themeColor="text1"/>
                <w:sz w:val="22"/>
                <w:lang w:val="es-ES_tradnl"/>
              </w:rPr>
              <w:t xml:space="preserve">                              </w:t>
            </w:r>
          </w:p>
        </w:tc>
        <w:tc>
          <w:tcPr>
            <w:tcW w:w="6237" w:type="dxa"/>
          </w:tcPr>
          <w:p w14:paraId="1B0D46F9" w14:textId="1F6EC95B" w:rsidR="005D1FF1" w:rsidRPr="005D1FF1" w:rsidRDefault="00900530" w:rsidP="005D1FF1">
            <w:pPr>
              <w:spacing w:before="120"/>
              <w:jc w:val="both"/>
              <w:rPr>
                <w:rFonts w:ascii="Arial" w:eastAsia="Arial" w:hAnsi="Arial" w:cs="Arial"/>
                <w:sz w:val="22"/>
                <w:szCs w:val="22"/>
                <w:lang w:eastAsia="en-US"/>
              </w:rPr>
            </w:pPr>
            <w:r w:rsidRPr="00337B9F">
              <w:rPr>
                <w:rFonts w:ascii="Arial" w:eastAsia="Arial" w:hAnsi="Arial" w:cs="Arial"/>
                <w:sz w:val="22"/>
                <w:szCs w:val="22"/>
                <w:lang w:val="es-ES" w:eastAsia="en-US"/>
              </w:rPr>
              <w:t>Respuesta</w:t>
            </w:r>
            <w:r w:rsidR="005D1FF1">
              <w:rPr>
                <w:rFonts w:ascii="Arial" w:eastAsia="Arial" w:hAnsi="Arial" w:cs="Arial"/>
                <w:sz w:val="22"/>
                <w:szCs w:val="22"/>
                <w:lang w:val="es-ES" w:eastAsia="en-US"/>
              </w:rPr>
              <w:t xml:space="preserve"> </w:t>
            </w:r>
            <w:r w:rsidRPr="00337B9F">
              <w:rPr>
                <w:rFonts w:ascii="Arial" w:eastAsia="Arial" w:hAnsi="Arial" w:cs="Arial"/>
                <w:sz w:val="22"/>
                <w:szCs w:val="22"/>
                <w:lang w:val="es-ES" w:eastAsia="en-US"/>
              </w:rPr>
              <w:t>a</w:t>
            </w:r>
            <w:r w:rsidR="005D1FF1">
              <w:rPr>
                <w:rFonts w:ascii="Arial" w:eastAsia="Arial" w:hAnsi="Arial" w:cs="Arial"/>
                <w:sz w:val="22"/>
                <w:szCs w:val="22"/>
                <w:lang w:val="es-ES" w:eastAsia="en-US"/>
              </w:rPr>
              <w:t xml:space="preserve"> las</w:t>
            </w:r>
            <w:r w:rsidRPr="00337B9F">
              <w:rPr>
                <w:rFonts w:ascii="Arial" w:eastAsia="Arial" w:hAnsi="Arial" w:cs="Arial"/>
                <w:sz w:val="22"/>
                <w:szCs w:val="22"/>
                <w:lang w:val="es-ES" w:eastAsia="en-US"/>
              </w:rPr>
              <w:t xml:space="preserve"> consulta</w:t>
            </w:r>
            <w:r w:rsidR="005D1FF1">
              <w:rPr>
                <w:rFonts w:ascii="Arial" w:eastAsia="Arial" w:hAnsi="Arial" w:cs="Arial"/>
                <w:sz w:val="22"/>
                <w:szCs w:val="22"/>
                <w:lang w:val="es-ES" w:eastAsia="en-US"/>
              </w:rPr>
              <w:t>s</w:t>
            </w:r>
            <w:r w:rsidRPr="00337B9F">
              <w:rPr>
                <w:rFonts w:ascii="Arial" w:eastAsia="Arial" w:hAnsi="Arial" w:cs="Arial"/>
                <w:sz w:val="22"/>
                <w:szCs w:val="22"/>
                <w:lang w:val="es-ES" w:eastAsia="en-US"/>
              </w:rPr>
              <w:t xml:space="preserve"> # </w:t>
            </w:r>
            <w:r w:rsidR="00DE22D3" w:rsidRPr="00DE22D3">
              <w:rPr>
                <w:rFonts w:ascii="Arial" w:eastAsia="Arial" w:hAnsi="Arial" w:cs="Arial"/>
                <w:sz w:val="22"/>
                <w:szCs w:val="22"/>
                <w:lang w:val="es-ES" w:eastAsia="en-US"/>
              </w:rPr>
              <w:t>P20210702005851</w:t>
            </w:r>
            <w:r w:rsidR="005D1FF1">
              <w:rPr>
                <w:rFonts w:ascii="Arial" w:eastAsia="Arial" w:hAnsi="Arial" w:cs="Arial"/>
                <w:sz w:val="22"/>
                <w:szCs w:val="22"/>
                <w:lang w:val="es-ES" w:eastAsia="en-US"/>
              </w:rPr>
              <w:t xml:space="preserve"> y </w:t>
            </w:r>
            <w:r w:rsidR="005D1FF1" w:rsidRPr="005D1FF1">
              <w:rPr>
                <w:rFonts w:ascii="Arial" w:eastAsia="Arial" w:hAnsi="Arial" w:cs="Arial"/>
                <w:sz w:val="22"/>
                <w:szCs w:val="22"/>
                <w:lang w:eastAsia="en-US"/>
              </w:rPr>
              <w:t>P20210714006209</w:t>
            </w:r>
          </w:p>
          <w:p w14:paraId="09088B1B" w14:textId="67687FA4" w:rsidR="00B95C30" w:rsidRPr="00337B9F" w:rsidRDefault="00B95C30" w:rsidP="008F4163">
            <w:pPr>
              <w:spacing w:before="120"/>
              <w:jc w:val="both"/>
              <w:rPr>
                <w:rFonts w:ascii="Arial" w:eastAsia="Calibri" w:hAnsi="Arial" w:cs="Arial"/>
                <w:color w:val="000000" w:themeColor="text1"/>
                <w:sz w:val="22"/>
                <w:lang w:val="es-ES_tradnl"/>
              </w:rPr>
            </w:pPr>
          </w:p>
        </w:tc>
      </w:tr>
    </w:tbl>
    <w:p w14:paraId="69729BEF" w14:textId="77777777" w:rsidR="00096D30" w:rsidRPr="00337B9F" w:rsidRDefault="00096D30" w:rsidP="003C3339">
      <w:pPr>
        <w:jc w:val="both"/>
        <w:rPr>
          <w:rFonts w:ascii="Arial" w:eastAsia="Calibri" w:hAnsi="Arial" w:cs="Arial"/>
          <w:color w:val="000000" w:themeColor="text1"/>
          <w:sz w:val="22"/>
          <w:lang w:val="es-ES_tradnl"/>
        </w:rPr>
      </w:pPr>
    </w:p>
    <w:p w14:paraId="43664A51" w14:textId="77777777" w:rsidR="00096D30" w:rsidRPr="00337B9F" w:rsidRDefault="00096D30" w:rsidP="003C3339">
      <w:pPr>
        <w:jc w:val="both"/>
        <w:rPr>
          <w:rFonts w:ascii="Arial" w:eastAsia="Calibri" w:hAnsi="Arial" w:cs="Arial"/>
          <w:color w:val="000000" w:themeColor="text1"/>
          <w:sz w:val="22"/>
          <w:lang w:val="es-ES_tradnl"/>
        </w:rPr>
      </w:pPr>
    </w:p>
    <w:p w14:paraId="1CF4AEA0" w14:textId="61C8C406" w:rsidR="003C3339" w:rsidRPr="00337B9F" w:rsidRDefault="003C3339" w:rsidP="003C3339">
      <w:pPr>
        <w:jc w:val="both"/>
        <w:rPr>
          <w:rFonts w:ascii="Arial" w:eastAsia="Calibri" w:hAnsi="Arial" w:cs="Arial"/>
          <w:color w:val="000000" w:themeColor="text1"/>
          <w:sz w:val="22"/>
          <w:lang w:val="es-ES_tradnl"/>
        </w:rPr>
      </w:pPr>
      <w:r w:rsidRPr="00337B9F">
        <w:rPr>
          <w:rFonts w:ascii="Arial" w:eastAsia="Calibri" w:hAnsi="Arial" w:cs="Arial"/>
          <w:color w:val="000000" w:themeColor="text1"/>
          <w:sz w:val="22"/>
          <w:lang w:val="es-ES_tradnl"/>
        </w:rPr>
        <w:t>Estimad</w:t>
      </w:r>
      <w:r w:rsidR="00AC761E">
        <w:rPr>
          <w:rFonts w:ascii="Arial" w:eastAsia="Calibri" w:hAnsi="Arial" w:cs="Arial"/>
          <w:color w:val="000000" w:themeColor="text1"/>
          <w:sz w:val="22"/>
          <w:lang w:val="es-ES_tradnl"/>
        </w:rPr>
        <w:t xml:space="preserve">a </w:t>
      </w:r>
      <w:r w:rsidR="00DE22D3">
        <w:rPr>
          <w:rFonts w:ascii="Arial" w:eastAsia="Calibri" w:hAnsi="Arial" w:cs="Arial"/>
          <w:color w:val="000000" w:themeColor="text1"/>
          <w:sz w:val="22"/>
          <w:lang w:val="es-ES_tradnl"/>
        </w:rPr>
        <w:t>doctora</w:t>
      </w:r>
      <w:r w:rsidR="00AC761E">
        <w:rPr>
          <w:rFonts w:ascii="Arial" w:eastAsia="Calibri" w:hAnsi="Arial" w:cs="Arial"/>
          <w:color w:val="000000" w:themeColor="text1"/>
          <w:sz w:val="22"/>
          <w:lang w:val="es-ES_tradnl"/>
        </w:rPr>
        <w:t xml:space="preserve"> </w:t>
      </w:r>
      <w:r w:rsidR="00DE22D3">
        <w:rPr>
          <w:rFonts w:ascii="Arial" w:eastAsia="Calibri" w:hAnsi="Arial" w:cs="Arial"/>
          <w:color w:val="000000" w:themeColor="text1"/>
          <w:sz w:val="22"/>
          <w:lang w:val="es-ES_tradnl"/>
        </w:rPr>
        <w:t>Cerón</w:t>
      </w:r>
      <w:r w:rsidR="00AC761E">
        <w:rPr>
          <w:rFonts w:ascii="Arial" w:eastAsia="Calibri" w:hAnsi="Arial" w:cs="Arial"/>
          <w:color w:val="000000" w:themeColor="text1"/>
          <w:sz w:val="22"/>
          <w:lang w:val="es-ES_tradnl"/>
        </w:rPr>
        <w:t xml:space="preserve"> </w:t>
      </w:r>
      <w:r w:rsidR="00DE22D3">
        <w:rPr>
          <w:rFonts w:ascii="Arial" w:eastAsia="Calibri" w:hAnsi="Arial" w:cs="Arial"/>
          <w:color w:val="000000" w:themeColor="text1"/>
          <w:sz w:val="22"/>
          <w:lang w:val="es-ES_tradnl"/>
        </w:rPr>
        <w:t>Bacca</w:t>
      </w:r>
      <w:r w:rsidRPr="00337B9F">
        <w:rPr>
          <w:rFonts w:ascii="Arial" w:eastAsia="Calibri" w:hAnsi="Arial" w:cs="Arial"/>
          <w:color w:val="000000" w:themeColor="text1"/>
          <w:sz w:val="22"/>
          <w:lang w:val="es-ES_tradnl"/>
        </w:rPr>
        <w:t>:</w:t>
      </w:r>
    </w:p>
    <w:p w14:paraId="1EAE5543" w14:textId="77777777" w:rsidR="00DD5B04" w:rsidRPr="00337B9F" w:rsidRDefault="00DD5B04" w:rsidP="00DF76A2">
      <w:pPr>
        <w:jc w:val="both"/>
        <w:rPr>
          <w:rFonts w:ascii="Arial" w:eastAsia="Calibri" w:hAnsi="Arial" w:cs="Arial"/>
          <w:color w:val="000000" w:themeColor="text1"/>
          <w:sz w:val="22"/>
          <w:lang w:val="es-ES_tradnl"/>
        </w:rPr>
      </w:pPr>
    </w:p>
    <w:p w14:paraId="2109B2D3" w14:textId="7FEE3B1D" w:rsidR="00DD5B04" w:rsidRPr="005D1FF1" w:rsidRDefault="00DD5B04" w:rsidP="005D1FF1">
      <w:pPr>
        <w:spacing w:before="120"/>
        <w:jc w:val="both"/>
        <w:rPr>
          <w:rFonts w:ascii="Arial" w:eastAsia="Arial" w:hAnsi="Arial" w:cs="Arial"/>
          <w:sz w:val="22"/>
          <w:szCs w:val="22"/>
          <w:lang w:eastAsia="en-US"/>
        </w:rPr>
      </w:pPr>
      <w:r w:rsidRPr="00337B9F">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1674D" w:rsidRPr="00337B9F">
        <w:rPr>
          <w:rFonts w:ascii="Arial" w:eastAsia="Calibri" w:hAnsi="Arial" w:cs="Arial"/>
          <w:color w:val="000000" w:themeColor="text1"/>
          <w:sz w:val="22"/>
          <w:lang w:val="es-ES_tradnl"/>
        </w:rPr>
        <w:t>–</w:t>
      </w:r>
      <w:r w:rsidRPr="00337B9F">
        <w:rPr>
          <w:rFonts w:ascii="Arial" w:eastAsia="Calibri" w:hAnsi="Arial" w:cs="Arial"/>
          <w:color w:val="000000" w:themeColor="text1"/>
          <w:sz w:val="22"/>
          <w:lang w:val="es-ES_tradnl"/>
        </w:rPr>
        <w:t xml:space="preserve"> Colombia Compra Eficiente</w:t>
      </w:r>
      <w:r w:rsidR="008C3C57" w:rsidRPr="00337B9F">
        <w:rPr>
          <w:rFonts w:ascii="Arial" w:eastAsia="Calibri" w:hAnsi="Arial" w:cs="Arial"/>
          <w:color w:val="000000" w:themeColor="text1"/>
          <w:sz w:val="22"/>
          <w:lang w:val="es-ES_tradnl"/>
        </w:rPr>
        <w:t xml:space="preserve"> </w:t>
      </w:r>
      <w:r w:rsidRPr="00337B9F">
        <w:rPr>
          <w:rFonts w:ascii="Arial" w:eastAsia="Calibri" w:hAnsi="Arial" w:cs="Arial"/>
          <w:color w:val="000000" w:themeColor="text1"/>
          <w:sz w:val="22"/>
          <w:lang w:val="es-ES_tradnl"/>
        </w:rPr>
        <w:t xml:space="preserve">responde </w:t>
      </w:r>
      <w:r w:rsidR="005D1FF1">
        <w:rPr>
          <w:rFonts w:ascii="Arial" w:eastAsia="Calibri" w:hAnsi="Arial" w:cs="Arial"/>
          <w:color w:val="000000" w:themeColor="text1"/>
          <w:sz w:val="22"/>
          <w:lang w:val="es-ES_tradnl"/>
        </w:rPr>
        <w:t xml:space="preserve">a </w:t>
      </w:r>
      <w:r w:rsidRPr="00337B9F">
        <w:rPr>
          <w:rFonts w:ascii="Arial" w:eastAsia="Calibri" w:hAnsi="Arial" w:cs="Arial"/>
          <w:color w:val="000000" w:themeColor="text1"/>
          <w:sz w:val="22"/>
          <w:lang w:val="es-ES_tradnl"/>
        </w:rPr>
        <w:t>su</w:t>
      </w:r>
      <w:r w:rsidR="005D1FF1">
        <w:rPr>
          <w:rFonts w:ascii="Arial" w:eastAsia="Calibri" w:hAnsi="Arial" w:cs="Arial"/>
          <w:color w:val="000000" w:themeColor="text1"/>
          <w:sz w:val="22"/>
          <w:lang w:val="es-ES_tradnl"/>
        </w:rPr>
        <w:t>s</w:t>
      </w:r>
      <w:r w:rsidRPr="00337B9F">
        <w:rPr>
          <w:rFonts w:ascii="Arial" w:eastAsia="Calibri" w:hAnsi="Arial" w:cs="Arial"/>
          <w:color w:val="000000" w:themeColor="text1"/>
          <w:sz w:val="22"/>
          <w:lang w:val="es-ES_tradnl"/>
        </w:rPr>
        <w:t xml:space="preserve"> consulta</w:t>
      </w:r>
      <w:r w:rsidR="005D1FF1">
        <w:rPr>
          <w:rFonts w:ascii="Arial" w:eastAsia="Calibri" w:hAnsi="Arial" w:cs="Arial"/>
          <w:color w:val="000000" w:themeColor="text1"/>
          <w:sz w:val="22"/>
          <w:lang w:val="es-ES_tradnl"/>
        </w:rPr>
        <w:t>s realizadas</w:t>
      </w:r>
      <w:r w:rsidRPr="00337B9F">
        <w:rPr>
          <w:rFonts w:ascii="Arial" w:eastAsia="Calibri" w:hAnsi="Arial" w:cs="Arial"/>
          <w:color w:val="000000" w:themeColor="text1"/>
          <w:sz w:val="22"/>
          <w:lang w:val="es-ES_tradnl"/>
        </w:rPr>
        <w:t xml:space="preserve"> el </w:t>
      </w:r>
      <w:r w:rsidR="00DE22D3">
        <w:rPr>
          <w:rFonts w:ascii="Arial" w:eastAsia="Calibri" w:hAnsi="Arial" w:cs="Arial"/>
          <w:color w:val="000000" w:themeColor="text1"/>
          <w:sz w:val="22"/>
          <w:lang w:val="es-ES_tradnl"/>
        </w:rPr>
        <w:t>2</w:t>
      </w:r>
      <w:r w:rsidR="00FD4AF3" w:rsidRPr="00337B9F">
        <w:rPr>
          <w:rFonts w:ascii="Arial" w:eastAsia="Calibri" w:hAnsi="Arial" w:cs="Arial"/>
          <w:color w:val="000000" w:themeColor="text1"/>
          <w:sz w:val="22"/>
          <w:lang w:val="es-ES_tradnl"/>
        </w:rPr>
        <w:t xml:space="preserve"> de </w:t>
      </w:r>
      <w:r w:rsidR="00216DB1">
        <w:rPr>
          <w:rFonts w:ascii="Arial" w:eastAsia="Calibri" w:hAnsi="Arial" w:cs="Arial"/>
          <w:color w:val="000000" w:themeColor="text1"/>
          <w:sz w:val="22"/>
          <w:lang w:val="es-ES_tradnl"/>
        </w:rPr>
        <w:t>julio</w:t>
      </w:r>
      <w:r w:rsidRPr="00337B9F">
        <w:rPr>
          <w:rFonts w:ascii="Arial" w:eastAsia="Calibri" w:hAnsi="Arial" w:cs="Arial"/>
          <w:color w:val="000000" w:themeColor="text1"/>
          <w:sz w:val="22"/>
          <w:lang w:val="es-ES_tradnl"/>
        </w:rPr>
        <w:t xml:space="preserve"> del</w:t>
      </w:r>
      <w:r w:rsidR="007E74BF" w:rsidRPr="00337B9F">
        <w:rPr>
          <w:rFonts w:ascii="Arial" w:eastAsia="Calibri" w:hAnsi="Arial" w:cs="Arial"/>
          <w:color w:val="000000" w:themeColor="text1"/>
          <w:sz w:val="22"/>
          <w:lang w:val="es-ES_tradnl"/>
        </w:rPr>
        <w:t xml:space="preserve"> </w:t>
      </w:r>
      <w:r w:rsidRPr="00337B9F">
        <w:rPr>
          <w:rFonts w:ascii="Arial" w:eastAsia="Calibri" w:hAnsi="Arial" w:cs="Arial"/>
          <w:color w:val="000000" w:themeColor="text1"/>
          <w:sz w:val="22"/>
          <w:lang w:val="es-ES_tradnl"/>
        </w:rPr>
        <w:t>202</w:t>
      </w:r>
      <w:r w:rsidR="00FB0880" w:rsidRPr="00337B9F">
        <w:rPr>
          <w:rFonts w:ascii="Arial" w:eastAsia="Calibri" w:hAnsi="Arial" w:cs="Arial"/>
          <w:color w:val="000000" w:themeColor="text1"/>
          <w:sz w:val="22"/>
          <w:lang w:val="es-ES_tradnl"/>
        </w:rPr>
        <w:t>1</w:t>
      </w:r>
      <w:r w:rsidR="005D1FF1">
        <w:rPr>
          <w:rFonts w:ascii="Arial" w:eastAsia="Calibri" w:hAnsi="Arial" w:cs="Arial"/>
          <w:color w:val="000000" w:themeColor="text1"/>
          <w:sz w:val="22"/>
          <w:lang w:val="es-ES_tradnl"/>
        </w:rPr>
        <w:t xml:space="preserve">, radicado de entrada </w:t>
      </w:r>
      <w:r w:rsidR="005D1FF1" w:rsidRPr="00DE22D3">
        <w:rPr>
          <w:rFonts w:ascii="Arial" w:eastAsia="Arial" w:hAnsi="Arial" w:cs="Arial"/>
          <w:sz w:val="22"/>
          <w:szCs w:val="22"/>
          <w:lang w:val="es-ES" w:eastAsia="en-US"/>
        </w:rPr>
        <w:t>P20210702005851</w:t>
      </w:r>
      <w:r w:rsidR="005D1FF1">
        <w:rPr>
          <w:rFonts w:ascii="Arial" w:eastAsia="Arial" w:hAnsi="Arial" w:cs="Arial"/>
          <w:sz w:val="22"/>
          <w:szCs w:val="22"/>
          <w:lang w:val="es-ES" w:eastAsia="en-US"/>
        </w:rPr>
        <w:t xml:space="preserve"> y </w:t>
      </w:r>
      <w:r w:rsidR="005D1FF1" w:rsidRPr="00C04F59">
        <w:rPr>
          <w:rFonts w:ascii="Arial" w:eastAsia="Arial" w:hAnsi="Arial" w:cs="Arial"/>
          <w:sz w:val="22"/>
          <w:szCs w:val="22"/>
          <w:lang w:eastAsia="en-US"/>
        </w:rPr>
        <w:t>P20210714006209</w:t>
      </w:r>
      <w:r w:rsidR="005D1FF1">
        <w:rPr>
          <w:rFonts w:ascii="Arial" w:eastAsia="Arial" w:hAnsi="Arial" w:cs="Arial"/>
          <w:sz w:val="22"/>
          <w:szCs w:val="22"/>
          <w:lang w:eastAsia="en-US"/>
        </w:rPr>
        <w:t xml:space="preserve"> del 15 de julio de 2021.</w:t>
      </w:r>
    </w:p>
    <w:p w14:paraId="0C1E0712" w14:textId="77777777" w:rsidR="00DD5B04" w:rsidRPr="00337B9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37B9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37B9F">
        <w:rPr>
          <w:rFonts w:ascii="Arial" w:eastAsia="Calibri" w:hAnsi="Arial" w:cs="Arial"/>
          <w:b/>
          <w:color w:val="000000" w:themeColor="text1"/>
          <w:sz w:val="22"/>
          <w:lang w:val="es-ES_tradnl"/>
        </w:rPr>
        <w:t xml:space="preserve">Problema planteado </w:t>
      </w:r>
    </w:p>
    <w:p w14:paraId="224B43D3" w14:textId="77777777" w:rsidR="00DD5B04" w:rsidRPr="00755014" w:rsidRDefault="00DD5B04" w:rsidP="00DF76A2">
      <w:pPr>
        <w:tabs>
          <w:tab w:val="left" w:pos="426"/>
        </w:tabs>
        <w:spacing w:line="276" w:lineRule="auto"/>
        <w:jc w:val="both"/>
        <w:rPr>
          <w:rFonts w:ascii="Arial" w:eastAsia="Calibri" w:hAnsi="Arial" w:cs="Arial"/>
          <w:bCs/>
          <w:color w:val="000000" w:themeColor="text1"/>
          <w:sz w:val="22"/>
          <w:lang w:val="es-ES_tradnl"/>
        </w:rPr>
      </w:pPr>
    </w:p>
    <w:p w14:paraId="5E53861E" w14:textId="068FD4C3" w:rsidR="00DE22D3" w:rsidRDefault="00900530" w:rsidP="00D059DA">
      <w:pPr>
        <w:spacing w:line="276" w:lineRule="auto"/>
        <w:jc w:val="both"/>
        <w:rPr>
          <w:rFonts w:ascii="Arial" w:hAnsi="Arial" w:cs="Arial"/>
          <w:color w:val="000000" w:themeColor="text1"/>
          <w:sz w:val="22"/>
          <w:lang w:val="es-ES_tradnl"/>
        </w:rPr>
      </w:pPr>
      <w:bookmarkStart w:id="2" w:name="_Hlk76972941"/>
      <w:r w:rsidRPr="00337B9F">
        <w:rPr>
          <w:rFonts w:ascii="Arial" w:hAnsi="Arial" w:cs="Arial"/>
          <w:color w:val="000000" w:themeColor="text1"/>
          <w:sz w:val="22"/>
          <w:lang w:val="es-ES_tradnl"/>
        </w:rPr>
        <w:t xml:space="preserve">Usted </w:t>
      </w:r>
      <w:r w:rsidR="00003E0D">
        <w:rPr>
          <w:rFonts w:ascii="Arial" w:hAnsi="Arial" w:cs="Arial"/>
          <w:color w:val="000000" w:themeColor="text1"/>
          <w:sz w:val="22"/>
          <w:lang w:val="es-ES_tradnl"/>
        </w:rPr>
        <w:t>realiza</w:t>
      </w:r>
      <w:r w:rsidR="00216DB1">
        <w:rPr>
          <w:rFonts w:ascii="Arial" w:hAnsi="Arial" w:cs="Arial"/>
          <w:color w:val="000000" w:themeColor="text1"/>
          <w:sz w:val="22"/>
          <w:lang w:val="es-ES_tradnl"/>
        </w:rPr>
        <w:t xml:space="preserve"> </w:t>
      </w:r>
      <w:r w:rsidR="00DE22D3">
        <w:rPr>
          <w:rFonts w:ascii="Arial" w:hAnsi="Arial" w:cs="Arial"/>
          <w:color w:val="000000" w:themeColor="text1"/>
          <w:sz w:val="22"/>
          <w:lang w:val="es-ES_tradnl"/>
        </w:rPr>
        <w:t xml:space="preserve">la siguiente consulta: </w:t>
      </w:r>
      <w:bookmarkStart w:id="3" w:name="_Hlk77058012"/>
      <w:r w:rsidR="00DE22D3">
        <w:rPr>
          <w:rFonts w:ascii="Arial" w:hAnsi="Arial" w:cs="Arial"/>
          <w:color w:val="000000" w:themeColor="text1"/>
          <w:sz w:val="22"/>
        </w:rPr>
        <w:t>«[…] se</w:t>
      </w:r>
      <w:r w:rsidR="00216DB1">
        <w:rPr>
          <w:rFonts w:ascii="Arial" w:hAnsi="Arial" w:cs="Arial"/>
          <w:color w:val="000000" w:themeColor="text1"/>
          <w:sz w:val="22"/>
          <w:lang w:val="es-ES_tradnl"/>
        </w:rPr>
        <w:t xml:space="preserve"> </w:t>
      </w:r>
      <w:r w:rsidR="00DE22D3">
        <w:rPr>
          <w:rFonts w:ascii="Arial" w:hAnsi="Arial" w:cs="Arial"/>
          <w:color w:val="000000" w:themeColor="text1"/>
          <w:sz w:val="22"/>
          <w:lang w:val="es-ES_tradnl"/>
        </w:rPr>
        <w:t>informe la pertinencia de suscribir un Acta de Liquidación bilateral en los contratos de prestación de servicios que terminan de forma anormal, por ejemplo, por la solicitud del contratista de terminación anticipada del mismo».</w:t>
      </w:r>
      <w:bookmarkEnd w:id="3"/>
    </w:p>
    <w:bookmarkEnd w:id="2"/>
    <w:p w14:paraId="7C90D8BB" w14:textId="77777777" w:rsidR="00900530" w:rsidRPr="00216DB1" w:rsidRDefault="00900530" w:rsidP="00900530">
      <w:pPr>
        <w:jc w:val="both"/>
        <w:rPr>
          <w:rFonts w:ascii="Arial" w:hAnsi="Arial" w:cs="Arial"/>
          <w:color w:val="000000" w:themeColor="text1"/>
          <w:sz w:val="21"/>
          <w:szCs w:val="21"/>
        </w:rPr>
      </w:pPr>
    </w:p>
    <w:p w14:paraId="4805B484" w14:textId="77777777" w:rsidR="00F80411" w:rsidRPr="00337B9F"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37B9F">
        <w:rPr>
          <w:rFonts w:ascii="Arial" w:eastAsia="Calibri" w:hAnsi="Arial" w:cs="Arial"/>
          <w:b/>
          <w:color w:val="000000" w:themeColor="text1"/>
          <w:sz w:val="22"/>
          <w:lang w:val="es-ES_tradnl"/>
        </w:rPr>
        <w:t>Consideraciones</w:t>
      </w:r>
    </w:p>
    <w:p w14:paraId="1DEB17ED" w14:textId="29A7EE23" w:rsidR="00F80411" w:rsidRDefault="00F80411" w:rsidP="00F80411">
      <w:pPr>
        <w:spacing w:line="276" w:lineRule="auto"/>
        <w:jc w:val="both"/>
        <w:rPr>
          <w:rFonts w:ascii="Arial" w:eastAsia="Calibri" w:hAnsi="Arial" w:cs="Arial"/>
          <w:color w:val="000000" w:themeColor="text1"/>
          <w:sz w:val="22"/>
          <w:szCs w:val="22"/>
          <w:lang w:val="es-ES_tradnl"/>
        </w:rPr>
      </w:pPr>
    </w:p>
    <w:p w14:paraId="7E87BA87" w14:textId="715EBF58" w:rsidR="00DE22D3" w:rsidRDefault="00DE22D3" w:rsidP="005D1FF1">
      <w:pPr>
        <w:spacing w:after="120"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lastRenderedPageBreak/>
        <w:t xml:space="preserve">Para resolver esta consulta se analizarán los siguientes temas: i) características del contrato de prestación de servicios profesionales y de apoyo a la gestión y ii) la liquidación de los contratos de prestación de servicios. </w:t>
      </w:r>
    </w:p>
    <w:p w14:paraId="780C9D75" w14:textId="5ADF7DE4" w:rsidR="00DE22D3" w:rsidRDefault="00DE22D3" w:rsidP="000B79C1">
      <w:pPr>
        <w:spacing w:line="276" w:lineRule="auto"/>
        <w:ind w:firstLine="709"/>
        <w:jc w:val="both"/>
        <w:rPr>
          <w:rFonts w:ascii="Arial" w:hAnsi="Arial" w:cs="Arial"/>
          <w:noProof/>
          <w:sz w:val="22"/>
          <w:lang w:val="es-ES"/>
        </w:rPr>
      </w:pPr>
      <w:r w:rsidRPr="00373E13">
        <w:rPr>
          <w:rFonts w:ascii="Arial" w:hAnsi="Arial" w:cs="Arial"/>
          <w:noProof/>
          <w:sz w:val="22"/>
          <w:lang w:val="es-ES_tradnl"/>
        </w:rPr>
        <w:t xml:space="preserve">La </w:t>
      </w:r>
      <w:r w:rsidRPr="00373E13">
        <w:rPr>
          <w:rFonts w:ascii="Arial" w:hAnsi="Arial" w:cs="Arial"/>
          <w:sz w:val="22"/>
        </w:rPr>
        <w:t xml:space="preserve">Agencia Nacional de Contratación Pública </w:t>
      </w:r>
      <w:r w:rsidR="003D692D">
        <w:rPr>
          <w:rFonts w:ascii="Arial" w:hAnsi="Arial" w:cs="Arial"/>
          <w:sz w:val="22"/>
        </w:rPr>
        <w:t>–</w:t>
      </w:r>
      <w:r w:rsidRPr="00373E13">
        <w:rPr>
          <w:rFonts w:ascii="Arial" w:hAnsi="Arial" w:cs="Arial"/>
          <w:sz w:val="22"/>
        </w:rPr>
        <w:t xml:space="preserve"> Colombia Compra Eficiente</w:t>
      </w:r>
      <w:r w:rsidRPr="00373E13">
        <w:rPr>
          <w:rFonts w:ascii="Arial" w:hAnsi="Arial" w:cs="Arial"/>
          <w:noProof/>
          <w:sz w:val="22"/>
          <w:lang w:val="es-ES_tradnl"/>
        </w:rPr>
        <w:t xml:space="preserve"> se pronunció sobre el contrato de prestación de servicios profesionales y de apoyo a la gestión en los conceptos con radicados No. C-138, C-005, C-006 y C-018 del 11 de mayo de 2020; C-175, C-320, C-053, C-255, C-282 y C-293 del 12 de mayo de 2020, C-288 del 27 de mayo de 2020, C-345 del 13 de mayo de 2020, C-484 del 6 de agosto de 2020</w:t>
      </w:r>
      <w:r>
        <w:rPr>
          <w:rFonts w:ascii="Arial" w:hAnsi="Arial" w:cs="Arial"/>
          <w:noProof/>
          <w:sz w:val="22"/>
          <w:lang w:val="es-ES_tradnl"/>
        </w:rPr>
        <w:t>,</w:t>
      </w:r>
      <w:r w:rsidRPr="00373E13">
        <w:rPr>
          <w:rFonts w:ascii="Arial" w:hAnsi="Arial" w:cs="Arial"/>
          <w:noProof/>
          <w:sz w:val="22"/>
          <w:lang w:val="es-ES_tradnl"/>
        </w:rPr>
        <w:t xml:space="preserve"> C-608 del 1 de octubre de 2020</w:t>
      </w:r>
      <w:r>
        <w:rPr>
          <w:rFonts w:ascii="Arial" w:hAnsi="Arial" w:cs="Arial"/>
          <w:noProof/>
          <w:sz w:val="22"/>
          <w:lang w:val="es-ES_tradnl"/>
        </w:rPr>
        <w:t>, C-739 del 16 de diciembre de 2020, entre otros. De igual forma</w:t>
      </w:r>
      <w:r w:rsidRPr="00373E13">
        <w:rPr>
          <w:rFonts w:ascii="Arial" w:hAnsi="Arial" w:cs="Arial"/>
          <w:noProof/>
          <w:sz w:val="22"/>
          <w:lang w:val="es-ES_tradnl"/>
        </w:rPr>
        <w:t xml:space="preserve">, </w:t>
      </w:r>
      <w:r>
        <w:rPr>
          <w:rFonts w:ascii="Arial" w:hAnsi="Arial" w:cs="Arial"/>
          <w:noProof/>
          <w:sz w:val="22"/>
          <w:lang w:val="es-ES_tradnl"/>
        </w:rPr>
        <w:t xml:space="preserve">la Agencia </w:t>
      </w:r>
      <w:r w:rsidRPr="00373E13">
        <w:rPr>
          <w:rFonts w:ascii="Arial" w:hAnsi="Arial" w:cs="Arial"/>
          <w:noProof/>
          <w:sz w:val="22"/>
          <w:lang w:val="es-ES_tradnl"/>
        </w:rPr>
        <w:t xml:space="preserve">trató el tema de </w:t>
      </w:r>
      <w:r>
        <w:rPr>
          <w:rFonts w:ascii="Arial" w:hAnsi="Arial" w:cs="Arial"/>
          <w:noProof/>
          <w:sz w:val="22"/>
          <w:lang w:val="es-ES_tradnl"/>
        </w:rPr>
        <w:t xml:space="preserve">la </w:t>
      </w:r>
      <w:r w:rsidRPr="00373E13">
        <w:rPr>
          <w:rFonts w:ascii="Arial" w:hAnsi="Arial" w:cs="Arial"/>
          <w:noProof/>
          <w:sz w:val="22"/>
          <w:lang w:val="es-ES_tradnl"/>
        </w:rPr>
        <w:t>liquidación del contrato de prestación de servicios profesionales y de apoyo a la ges</w:t>
      </w:r>
      <w:r>
        <w:rPr>
          <w:rFonts w:ascii="Arial" w:hAnsi="Arial" w:cs="Arial"/>
          <w:noProof/>
          <w:sz w:val="22"/>
          <w:lang w:val="es-ES_tradnl"/>
        </w:rPr>
        <w:t>t</w:t>
      </w:r>
      <w:r w:rsidRPr="00373E13">
        <w:rPr>
          <w:rFonts w:ascii="Arial" w:hAnsi="Arial" w:cs="Arial"/>
          <w:noProof/>
          <w:sz w:val="22"/>
          <w:lang w:val="es-ES_tradnl"/>
        </w:rPr>
        <w:t>ión</w:t>
      </w:r>
      <w:r w:rsidRPr="00DE22D3">
        <w:rPr>
          <w:rFonts w:ascii="Arial" w:hAnsi="Arial" w:cs="Arial"/>
          <w:noProof/>
          <w:sz w:val="22"/>
          <w:lang w:val="es-ES_tradnl"/>
        </w:rPr>
        <w:t xml:space="preserve"> </w:t>
      </w:r>
      <w:r w:rsidRPr="00373E13">
        <w:rPr>
          <w:rFonts w:ascii="Arial" w:hAnsi="Arial" w:cs="Arial"/>
          <w:noProof/>
          <w:sz w:val="22"/>
          <w:lang w:val="es-ES_tradnl"/>
        </w:rPr>
        <w:t>en los conceptos No. 4201912000004390 del 14 de agosto de 2019, 4201912000005860 del 30 de septiembre de 2019</w:t>
      </w:r>
      <w:r>
        <w:rPr>
          <w:rFonts w:ascii="Arial" w:hAnsi="Arial" w:cs="Arial"/>
          <w:noProof/>
          <w:sz w:val="22"/>
          <w:lang w:val="es-ES_tradnl"/>
        </w:rPr>
        <w:t>,</w:t>
      </w:r>
      <w:r w:rsidRPr="00373E13">
        <w:rPr>
          <w:rFonts w:ascii="Arial" w:hAnsi="Arial" w:cs="Arial"/>
          <w:noProof/>
          <w:sz w:val="22"/>
          <w:lang w:val="es-ES_tradnl"/>
        </w:rPr>
        <w:t xml:space="preserve"> 4201913000006142 del 7 de octubre de 2019</w:t>
      </w:r>
      <w:r>
        <w:rPr>
          <w:rFonts w:ascii="Arial" w:hAnsi="Arial" w:cs="Arial"/>
          <w:noProof/>
          <w:sz w:val="22"/>
          <w:lang w:val="es-ES_tradnl"/>
        </w:rPr>
        <w:t xml:space="preserve">, </w:t>
      </w:r>
      <w:r w:rsidRPr="00DE22D3">
        <w:rPr>
          <w:rFonts w:ascii="Arial" w:hAnsi="Arial" w:cs="Arial"/>
          <w:noProof/>
          <w:sz w:val="22"/>
          <w:lang w:val="es-ES"/>
        </w:rPr>
        <w:t>2201913000008915</w:t>
      </w:r>
      <w:r>
        <w:rPr>
          <w:rFonts w:ascii="Arial" w:hAnsi="Arial" w:cs="Arial"/>
          <w:noProof/>
          <w:sz w:val="22"/>
          <w:lang w:val="es-ES"/>
        </w:rPr>
        <w:t xml:space="preserve"> del 3 de diciembre del 2019 y C-739 del 16 de diciembre del 2020. En lo pertinente, las consideraciones y tesis expuesta en estos conceptos se reitera a continuación.</w:t>
      </w:r>
    </w:p>
    <w:p w14:paraId="73FA294C" w14:textId="77777777" w:rsidR="000B79C1" w:rsidRPr="00DE22D3" w:rsidRDefault="000B79C1" w:rsidP="005D1FF1">
      <w:pPr>
        <w:spacing w:line="276" w:lineRule="auto"/>
        <w:ind w:firstLine="709"/>
        <w:jc w:val="both"/>
        <w:rPr>
          <w:rFonts w:ascii="Arial" w:hAnsi="Arial" w:cs="Arial"/>
          <w:noProof/>
          <w:sz w:val="22"/>
          <w:lang w:val="es-ES_tradnl"/>
        </w:rPr>
      </w:pPr>
    </w:p>
    <w:p w14:paraId="2D9C88DF" w14:textId="039A3547" w:rsidR="00D059DA" w:rsidRDefault="00DE22D3" w:rsidP="000B79C1">
      <w:pPr>
        <w:spacing w:line="276" w:lineRule="auto"/>
        <w:jc w:val="both"/>
        <w:rPr>
          <w:rFonts w:ascii="Arial" w:hAnsi="Arial" w:cs="Arial"/>
          <w:b/>
          <w:bCs/>
          <w:noProof/>
          <w:sz w:val="22"/>
          <w:lang w:val="es-ES_tradnl"/>
        </w:rPr>
      </w:pPr>
      <w:r w:rsidRPr="00373E13">
        <w:rPr>
          <w:rFonts w:ascii="Arial" w:hAnsi="Arial" w:cs="Arial"/>
          <w:b/>
          <w:bCs/>
          <w:noProof/>
          <w:sz w:val="22"/>
          <w:lang w:val="es-ES_tradnl"/>
        </w:rPr>
        <w:t>2.1. Contrato de prestación de servicios profesionales y de apoyo a la gestión. Requisitos y límites para celebrarlo</w:t>
      </w:r>
    </w:p>
    <w:p w14:paraId="4DFA8C34" w14:textId="77777777" w:rsidR="000B79C1" w:rsidRPr="00DE22D3" w:rsidRDefault="000B79C1" w:rsidP="005D1FF1">
      <w:pPr>
        <w:spacing w:line="276" w:lineRule="auto"/>
        <w:jc w:val="both"/>
        <w:rPr>
          <w:rFonts w:ascii="Arial" w:hAnsi="Arial" w:cs="Arial"/>
          <w:b/>
          <w:bCs/>
          <w:noProof/>
          <w:sz w:val="22"/>
          <w:lang w:val="es-ES_tradnl"/>
        </w:rPr>
      </w:pPr>
    </w:p>
    <w:p w14:paraId="23DD4675" w14:textId="4AED7576" w:rsidR="00DE22D3" w:rsidRPr="00DE22D3" w:rsidRDefault="00DE22D3" w:rsidP="00DE22D3">
      <w:pPr>
        <w:spacing w:line="276" w:lineRule="auto"/>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El contrato de prestación de servicios profesionales es un tipo de negocio previsto en el Estatuto General de Contratación de la Administración Pública, que pueden celebrar las entidades estatales. Se trata de un contrato típico definido en el artículo 32.3 de la Ley 80 de 1993, que establece:</w:t>
      </w:r>
    </w:p>
    <w:p w14:paraId="7AE4B032" w14:textId="77777777" w:rsidR="00DE22D3" w:rsidRPr="00DE22D3" w:rsidRDefault="00DE22D3" w:rsidP="00DE22D3">
      <w:pPr>
        <w:spacing w:line="276" w:lineRule="auto"/>
        <w:jc w:val="both"/>
        <w:rPr>
          <w:rFonts w:ascii="Arial" w:eastAsia="Calibri" w:hAnsi="Arial" w:cs="Arial"/>
          <w:noProof/>
          <w:sz w:val="22"/>
          <w:szCs w:val="22"/>
          <w:lang w:val="es-ES_tradnl" w:eastAsia="en-US"/>
        </w:rPr>
      </w:pPr>
    </w:p>
    <w:p w14:paraId="3248691F" w14:textId="77777777" w:rsidR="00DE22D3" w:rsidRPr="00DE22D3" w:rsidRDefault="00DE22D3" w:rsidP="00DE22D3">
      <w:pPr>
        <w:spacing w:after="120"/>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3.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1EF5A6F3" w14:textId="77777777" w:rsidR="00DE22D3" w:rsidRPr="00DE22D3" w:rsidRDefault="00DE22D3" w:rsidP="00DE22D3">
      <w:pPr>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En ningún caso estos contratos generan relación laboral ni prestaciones sociales y se celebrarán por el término estrictamente indispensable.</w:t>
      </w:r>
    </w:p>
    <w:p w14:paraId="51128634" w14:textId="77777777" w:rsidR="00DE22D3" w:rsidRPr="00DE22D3" w:rsidRDefault="00DE22D3" w:rsidP="00DE22D3">
      <w:pPr>
        <w:tabs>
          <w:tab w:val="left" w:pos="284"/>
        </w:tabs>
        <w:spacing w:line="276" w:lineRule="auto"/>
        <w:contextualSpacing/>
        <w:jc w:val="both"/>
        <w:rPr>
          <w:rFonts w:ascii="Arial" w:eastAsia="Calibri" w:hAnsi="Arial" w:cs="Arial"/>
          <w:b/>
          <w:noProof/>
          <w:sz w:val="22"/>
          <w:szCs w:val="22"/>
          <w:lang w:val="es-ES_tradnl" w:eastAsia="en-US"/>
        </w:rPr>
      </w:pPr>
    </w:p>
    <w:p w14:paraId="4EB34F22"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Su celebración se formaliza a través de la modalidad de contratación directa, como lo dispone el artículo 2, numeral 4º, literal h), de la Ley 1150 de 2007:</w:t>
      </w:r>
    </w:p>
    <w:p w14:paraId="4FEFA7D0"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p>
    <w:p w14:paraId="3805B5F2" w14:textId="77777777" w:rsidR="00DE22D3" w:rsidRPr="00DE22D3" w:rsidRDefault="00DE22D3" w:rsidP="00DE22D3">
      <w:pPr>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w:t>
      </w:r>
    </w:p>
    <w:p w14:paraId="4E21E785" w14:textId="77777777" w:rsidR="00DE22D3" w:rsidRPr="00DE22D3" w:rsidRDefault="00DE22D3" w:rsidP="00DE22D3">
      <w:pPr>
        <w:spacing w:after="120"/>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Contratación directa. La modalidad de selección de contratación directa, solamente procederá en los siguientes casos:</w:t>
      </w:r>
    </w:p>
    <w:p w14:paraId="05BBB4A8" w14:textId="77777777" w:rsidR="00DE22D3" w:rsidRPr="00DE22D3" w:rsidRDefault="00DE22D3" w:rsidP="00DE22D3">
      <w:pPr>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w:t>
      </w:r>
    </w:p>
    <w:p w14:paraId="0D0E549F" w14:textId="77777777" w:rsidR="00DE22D3" w:rsidRPr="00DE22D3" w:rsidRDefault="00DE22D3" w:rsidP="00DE22D3">
      <w:pPr>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lastRenderedPageBreak/>
        <w:t>h) Para la prestación de servicios profesionales y de apoyo a la gestión, o para la ejecución de trabajos artísticos que sólo puedan encomendarse a determinadas personas naturales</w:t>
      </w:r>
    </w:p>
    <w:p w14:paraId="79D10517" w14:textId="77777777" w:rsidR="00DE22D3" w:rsidRPr="00DE22D3" w:rsidRDefault="00DE22D3" w:rsidP="00DE22D3">
      <w:pPr>
        <w:spacing w:line="276" w:lineRule="auto"/>
        <w:ind w:right="709"/>
        <w:jc w:val="both"/>
        <w:rPr>
          <w:rFonts w:ascii="Arial" w:eastAsia="Calibri" w:hAnsi="Arial" w:cs="Arial"/>
          <w:noProof/>
          <w:sz w:val="22"/>
          <w:szCs w:val="22"/>
          <w:lang w:val="es-ES_tradnl" w:eastAsia="en-US"/>
        </w:rPr>
      </w:pPr>
    </w:p>
    <w:p w14:paraId="62BD3F6F"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A partir de estas disposiciones, entre otras de rango legal y reglamentario que complementan su regulación, y de los pronunciamientos judiciales más destacados, es posible resaltar las siguientes características de este contrato:</w:t>
      </w:r>
    </w:p>
    <w:p w14:paraId="11377DBD" w14:textId="77777777" w:rsidR="00DE22D3" w:rsidRPr="00DE22D3" w:rsidRDefault="00DE22D3" w:rsidP="00DE22D3">
      <w:pPr>
        <w:spacing w:before="120" w:after="120"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i) Solo puede celebrarse para realizar «actividades relacionadas con la administración o funcionamiento de la entidad», es decir, que hagan parte de su giro ordinario o quehacer cotidiano.</w:t>
      </w:r>
    </w:p>
    <w:p w14:paraId="18DF6B2B" w14:textId="6A66EBC3" w:rsidR="00DE22D3" w:rsidRPr="00DE22D3" w:rsidRDefault="00DE22D3" w:rsidP="00DE22D3">
      <w:pPr>
        <w:spacing w:before="120" w:after="120"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ii)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por l</w:t>
      </w:r>
      <w:r w:rsidR="002D72F6">
        <w:rPr>
          <w:rFonts w:ascii="Arial" w:eastAsia="Calibri" w:hAnsi="Arial" w:cs="Arial"/>
          <w:noProof/>
          <w:sz w:val="22"/>
          <w:szCs w:val="22"/>
          <w:lang w:val="es-ES_tradnl" w:eastAsia="en-US"/>
        </w:rPr>
        <w:t>o que</w:t>
      </w:r>
      <w:r w:rsidRPr="00DE22D3">
        <w:rPr>
          <w:rFonts w:ascii="Arial" w:eastAsia="Calibri" w:hAnsi="Arial" w:cs="Arial"/>
          <w:noProof/>
          <w:sz w:val="22"/>
          <w:szCs w:val="22"/>
          <w:lang w:val="es-ES_tradnl" w:eastAsia="en-US"/>
        </w:rPr>
        <w:t xml:space="preserve"> es necesario contratar los servicios de una persona natural que tenga el conocimiento y la experiencia en el tema.</w:t>
      </w:r>
    </w:p>
    <w:p w14:paraId="4E1F0A3E" w14:textId="76793E94" w:rsidR="00DE22D3" w:rsidRPr="00DE22D3" w:rsidRDefault="00DE22D3" w:rsidP="00DE22D3">
      <w:pPr>
        <w:spacing w:before="120" w:after="120"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iii) Si bien se celebran para obtener la prestación personal de un servicio, se diferencian del contrato de trabajo</w:t>
      </w:r>
      <w:r w:rsidRPr="00DE22D3">
        <w:rPr>
          <w:rFonts w:ascii="Arial" w:eastAsia="Calibri" w:hAnsi="Arial" w:cs="Arial"/>
          <w:noProof/>
          <w:sz w:val="22"/>
          <w:szCs w:val="22"/>
          <w:vertAlign w:val="superscript"/>
          <w:lang w:val="es-ES_tradnl" w:eastAsia="en-US"/>
        </w:rPr>
        <w:footnoteReference w:id="2"/>
      </w:r>
      <w:r w:rsidRPr="00DE22D3">
        <w:rPr>
          <w:rFonts w:ascii="Arial" w:eastAsia="Calibri" w:hAnsi="Arial" w:cs="Arial"/>
          <w:noProof/>
          <w:sz w:val="22"/>
          <w:szCs w:val="22"/>
          <w:lang w:val="es-ES_tradnl" w:eastAsia="en-US"/>
        </w:rPr>
        <w:t xml:space="preserve"> en que quien celebra el contrato de prestación de servicios debe mantener autonomía e independencia en la ejecución de la labor, lo que significa que no debe existir </w:t>
      </w:r>
      <w:r w:rsidRPr="00DE22D3">
        <w:rPr>
          <w:rFonts w:ascii="Arial" w:eastAsia="Calibri" w:hAnsi="Arial" w:cs="Arial"/>
          <w:i/>
          <w:noProof/>
          <w:sz w:val="22"/>
          <w:szCs w:val="22"/>
          <w:lang w:val="es-ES_tradnl" w:eastAsia="en-US"/>
        </w:rPr>
        <w:t xml:space="preserve">subordinación </w:t>
      </w:r>
      <w:r w:rsidRPr="00DE22D3">
        <w:rPr>
          <w:rFonts w:ascii="Arial" w:eastAsia="Calibri" w:hAnsi="Arial" w:cs="Arial"/>
          <w:iCs/>
          <w:noProof/>
          <w:sz w:val="22"/>
          <w:szCs w:val="22"/>
          <w:lang w:val="es-ES_tradnl" w:eastAsia="en-US"/>
        </w:rPr>
        <w:t>ni</w:t>
      </w:r>
      <w:r w:rsidRPr="00DE22D3">
        <w:rPr>
          <w:rFonts w:ascii="Arial" w:eastAsia="Calibri" w:hAnsi="Arial" w:cs="Arial"/>
          <w:i/>
          <w:noProof/>
          <w:sz w:val="22"/>
          <w:szCs w:val="22"/>
          <w:lang w:val="es-ES_tradnl" w:eastAsia="en-US"/>
        </w:rPr>
        <w:t xml:space="preserve"> dependencia</w:t>
      </w:r>
      <w:r w:rsidRPr="00DE22D3">
        <w:rPr>
          <w:rFonts w:ascii="Arial" w:eastAsia="Calibri" w:hAnsi="Arial" w:cs="Arial"/>
          <w:iCs/>
          <w:noProof/>
          <w:sz w:val="22"/>
          <w:szCs w:val="22"/>
          <w:lang w:val="es-ES_tradnl" w:eastAsia="en-US"/>
        </w:rPr>
        <w:t>,</w:t>
      </w:r>
      <w:r w:rsidRPr="00DE22D3">
        <w:rPr>
          <w:rFonts w:ascii="Arial" w:eastAsia="Calibri" w:hAnsi="Arial" w:cs="Arial"/>
          <w:noProof/>
          <w:sz w:val="22"/>
          <w:szCs w:val="22"/>
          <w:lang w:val="es-ES_tradnl" w:eastAsia="en-US"/>
        </w:rPr>
        <w:t xml:space="preserve"> que es uno de los elementos constitutivos del vínculo laboral. Por eso, el artículo 32, numeral 3º, de la Ley 80 de 1993 </w:t>
      </w:r>
      <w:r w:rsidR="00B61B3F">
        <w:rPr>
          <w:rFonts w:ascii="Arial" w:eastAsia="Calibri" w:hAnsi="Arial" w:cs="Arial"/>
          <w:noProof/>
          <w:sz w:val="22"/>
          <w:szCs w:val="22"/>
          <w:lang w:val="es-ES_tradnl" w:eastAsia="en-US"/>
        </w:rPr>
        <w:t>dispone</w:t>
      </w:r>
      <w:r w:rsidR="00B61B3F" w:rsidRPr="00DE22D3">
        <w:rPr>
          <w:rFonts w:ascii="Arial" w:eastAsia="Calibri" w:hAnsi="Arial" w:cs="Arial"/>
          <w:noProof/>
          <w:sz w:val="22"/>
          <w:szCs w:val="22"/>
          <w:lang w:val="es-ES_tradnl" w:eastAsia="en-US"/>
        </w:rPr>
        <w:t xml:space="preserve"> </w:t>
      </w:r>
      <w:r w:rsidRPr="00DE22D3">
        <w:rPr>
          <w:rFonts w:ascii="Arial" w:eastAsia="Calibri" w:hAnsi="Arial" w:cs="Arial"/>
          <w:noProof/>
          <w:sz w:val="22"/>
          <w:szCs w:val="22"/>
          <w:lang w:val="es-ES_tradnl" w:eastAsia="en-US"/>
        </w:rPr>
        <w:t xml:space="preserve">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DE22D3">
        <w:rPr>
          <w:rFonts w:ascii="Arial" w:eastAsia="Calibri" w:hAnsi="Arial" w:cs="Arial"/>
          <w:i/>
          <w:noProof/>
          <w:sz w:val="22"/>
          <w:szCs w:val="22"/>
          <w:lang w:val="es-ES_tradnl" w:eastAsia="en-US"/>
        </w:rPr>
        <w:t>no pueden</w:t>
      </w:r>
      <w:r w:rsidRPr="00DE22D3">
        <w:rPr>
          <w:rFonts w:ascii="Arial" w:eastAsia="Calibri" w:hAnsi="Arial" w:cs="Arial"/>
          <w:noProof/>
          <w:sz w:val="22"/>
          <w:szCs w:val="22"/>
          <w:lang w:val="es-ES_tradnl" w:eastAsia="en-US"/>
        </w:rPr>
        <w:t xml:space="preserve"> generar relación laboral, ni dar lugar a que las entidades estatales paguen por su cuenta los aportes al Sistema de Seguridad Social Integral del contratista. </w:t>
      </w:r>
      <w:r w:rsidR="00575481">
        <w:rPr>
          <w:rFonts w:ascii="Arial" w:eastAsia="Calibri" w:hAnsi="Arial" w:cs="Arial"/>
          <w:noProof/>
          <w:sz w:val="22"/>
          <w:szCs w:val="22"/>
          <w:lang w:val="es-ES_tradnl" w:eastAsia="en-US"/>
        </w:rPr>
        <w:t>C</w:t>
      </w:r>
      <w:r w:rsidRPr="00DE22D3">
        <w:rPr>
          <w:rFonts w:ascii="Arial" w:eastAsia="Calibri" w:hAnsi="Arial" w:cs="Arial"/>
          <w:noProof/>
          <w:sz w:val="22"/>
          <w:szCs w:val="22"/>
          <w:lang w:val="es-ES_tradnl" w:eastAsia="en-US"/>
        </w:rPr>
        <w:t>omo se indicó, no puede existir subordinación y dependencia</w:t>
      </w:r>
      <w:r w:rsidR="00575481">
        <w:rPr>
          <w:rFonts w:ascii="Arial" w:eastAsia="Calibri" w:hAnsi="Arial" w:cs="Arial"/>
          <w:noProof/>
          <w:sz w:val="22"/>
          <w:szCs w:val="22"/>
          <w:lang w:val="es-ES_tradnl" w:eastAsia="en-US"/>
        </w:rPr>
        <w:t>, por lo que</w:t>
      </w:r>
      <w:r w:rsidRPr="00DE22D3">
        <w:rPr>
          <w:rFonts w:ascii="Arial" w:eastAsia="Calibri" w:hAnsi="Arial" w:cs="Arial"/>
          <w:noProof/>
          <w:sz w:val="22"/>
          <w:szCs w:val="22"/>
          <w:lang w:val="es-ES_tradnl" w:eastAsia="en-US"/>
        </w:rPr>
        <w:t xml:space="preserve"> la relación laboral está proscrita y el contratista es quien, como «trabajador independiente» –como lo califican </w:t>
      </w:r>
      <w:r w:rsidRPr="00DE22D3">
        <w:rPr>
          <w:rFonts w:ascii="Arial" w:eastAsia="Calibri" w:hAnsi="Arial" w:cs="Arial"/>
          <w:noProof/>
          <w:sz w:val="22"/>
          <w:szCs w:val="22"/>
          <w:lang w:val="es-ES_tradnl" w:eastAsia="en-US"/>
        </w:rPr>
        <w:lastRenderedPageBreak/>
        <w:t>las normas de la seguridad social– debe cotizar por su cuenta y riesgo al Sistema de Seguridad Social Integral</w:t>
      </w:r>
      <w:r w:rsidRPr="00DE22D3">
        <w:rPr>
          <w:rFonts w:ascii="Arial" w:eastAsia="Calibri" w:hAnsi="Arial" w:cs="Arial"/>
          <w:noProof/>
          <w:sz w:val="22"/>
          <w:szCs w:val="22"/>
          <w:vertAlign w:val="superscript"/>
          <w:lang w:val="es-ES_tradnl" w:eastAsia="en-US"/>
        </w:rPr>
        <w:footnoteReference w:id="3"/>
      </w:r>
      <w:r w:rsidRPr="00DE22D3">
        <w:rPr>
          <w:rFonts w:ascii="Arial" w:eastAsia="Calibri" w:hAnsi="Arial" w:cs="Arial"/>
          <w:noProof/>
          <w:sz w:val="22"/>
          <w:szCs w:val="22"/>
          <w:lang w:val="es-ES_tradnl" w:eastAsia="en-US"/>
        </w:rPr>
        <w:t xml:space="preserve">. </w:t>
      </w:r>
    </w:p>
    <w:p w14:paraId="17D8BA27" w14:textId="77777777" w:rsidR="00DE22D3" w:rsidRPr="00DE22D3" w:rsidRDefault="00DE22D3" w:rsidP="00DE22D3">
      <w:pPr>
        <w:spacing w:before="120" w:after="120"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 xml:space="preserve">A pesar de este mandato deontológico, es posible que en la práctica se configure una relación laboral, pues el contrato de trabajo es </w:t>
      </w:r>
      <w:r w:rsidRPr="00DE22D3">
        <w:rPr>
          <w:rFonts w:ascii="Arial" w:eastAsia="Calibri" w:hAnsi="Arial" w:cs="Arial"/>
          <w:i/>
          <w:iCs/>
          <w:noProof/>
          <w:sz w:val="22"/>
          <w:szCs w:val="22"/>
          <w:lang w:val="es-ES_tradnl" w:eastAsia="en-US"/>
        </w:rPr>
        <w:t xml:space="preserve">de </w:t>
      </w:r>
      <w:r w:rsidRPr="00DE22D3">
        <w:rPr>
          <w:rFonts w:ascii="Arial" w:eastAsia="Calibri" w:hAnsi="Arial" w:cs="Arial"/>
          <w:i/>
          <w:noProof/>
          <w:sz w:val="22"/>
          <w:szCs w:val="22"/>
          <w:lang w:val="es-ES_tradnl" w:eastAsia="en-US"/>
        </w:rPr>
        <w:t>realidad</w:t>
      </w:r>
      <w:r w:rsidRPr="00DE22D3">
        <w:rPr>
          <w:rFonts w:ascii="Arial" w:eastAsia="Calibri" w:hAnsi="Arial" w:cs="Arial"/>
          <w:noProof/>
          <w:sz w:val="22"/>
          <w:szCs w:val="22"/>
          <w:lang w:val="es-ES_tradnl" w:eastAsia="en-US"/>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DE22D3">
        <w:rPr>
          <w:rFonts w:ascii="Arial" w:eastAsia="Calibri" w:hAnsi="Arial" w:cs="Arial"/>
          <w:noProof/>
          <w:sz w:val="22"/>
          <w:szCs w:val="22"/>
          <w:vertAlign w:val="superscript"/>
          <w:lang w:val="es-ES_tradnl" w:eastAsia="en-US"/>
        </w:rPr>
        <w:footnoteReference w:id="4"/>
      </w:r>
      <w:r w:rsidRPr="00DE22D3">
        <w:rPr>
          <w:rFonts w:ascii="Arial" w:eastAsia="Calibri" w:hAnsi="Arial" w:cs="Arial"/>
          <w:noProof/>
          <w:sz w:val="22"/>
          <w:szCs w:val="22"/>
          <w:lang w:val="es-ES_tradnl" w:eastAsia="en-US"/>
        </w:rPr>
        <w:t>.</w:t>
      </w:r>
    </w:p>
    <w:p w14:paraId="706A2489"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iv) Deben ser temporales. Así lo consideró la Corte Constitucional, en la misma providencia a la que se aludió antes, expresando que:</w:t>
      </w:r>
    </w:p>
    <w:p w14:paraId="330888B7"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p>
    <w:p w14:paraId="6971B283" w14:textId="77777777" w:rsidR="00DE22D3" w:rsidRPr="00DE22D3" w:rsidRDefault="00DE22D3" w:rsidP="00DE22D3">
      <w:pPr>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DE22D3">
        <w:rPr>
          <w:rFonts w:ascii="Arial" w:eastAsia="Calibri" w:hAnsi="Arial" w:cs="Arial"/>
          <w:noProof/>
          <w:sz w:val="21"/>
          <w:szCs w:val="21"/>
          <w:vertAlign w:val="superscript"/>
          <w:lang w:val="es-ES_tradnl" w:eastAsia="en-US"/>
        </w:rPr>
        <w:footnoteReference w:id="5"/>
      </w:r>
      <w:r w:rsidRPr="00DE22D3">
        <w:rPr>
          <w:rFonts w:ascii="Arial" w:eastAsia="Calibri" w:hAnsi="Arial" w:cs="Arial"/>
          <w:noProof/>
          <w:sz w:val="21"/>
          <w:szCs w:val="21"/>
          <w:lang w:val="es-ES_tradnl" w:eastAsia="en-US"/>
        </w:rPr>
        <w:t>.</w:t>
      </w:r>
    </w:p>
    <w:p w14:paraId="49DA4A38"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p>
    <w:p w14:paraId="565E1F22"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 xml:space="preserve">v) El contrato de prestación de servicios profesionales hace parte del género </w:t>
      </w:r>
      <w:r w:rsidRPr="00DE22D3">
        <w:rPr>
          <w:rFonts w:ascii="Arial" w:eastAsia="Calibri" w:hAnsi="Arial" w:cs="Arial"/>
          <w:i/>
          <w:noProof/>
          <w:sz w:val="22"/>
          <w:szCs w:val="22"/>
          <w:lang w:val="es-ES_tradnl" w:eastAsia="en-US"/>
        </w:rPr>
        <w:t>contrato de prestación de servicios</w:t>
      </w:r>
      <w:r w:rsidRPr="00DE22D3">
        <w:rPr>
          <w:rFonts w:ascii="Arial" w:eastAsia="Calibri" w:hAnsi="Arial" w:cs="Arial"/>
          <w:noProof/>
          <w:sz w:val="22"/>
          <w:szCs w:val="22"/>
          <w:lang w:val="es-ES_tradnl" w:eastAsia="en-US"/>
        </w:rPr>
        <w:t xml:space="preserve">, al cual también pertenece, como especie, el contrato </w:t>
      </w:r>
      <w:r w:rsidRPr="00DE22D3">
        <w:rPr>
          <w:rFonts w:ascii="Arial" w:eastAsia="Calibri" w:hAnsi="Arial" w:cs="Arial"/>
          <w:noProof/>
          <w:sz w:val="22"/>
          <w:szCs w:val="22"/>
          <w:lang w:val="es-ES_tradnl" w:eastAsia="en-US"/>
        </w:rPr>
        <w:lastRenderedPageBreak/>
        <w:t>de prestación de servicios de apoyo a la gestión</w:t>
      </w:r>
      <w:r w:rsidRPr="00DE22D3">
        <w:rPr>
          <w:rFonts w:ascii="Arial" w:eastAsia="Calibri" w:hAnsi="Arial" w:cs="Arial"/>
          <w:noProof/>
          <w:sz w:val="22"/>
          <w:szCs w:val="22"/>
          <w:vertAlign w:val="superscript"/>
          <w:lang w:val="es-ES_tradnl" w:eastAsia="en-US"/>
        </w:rPr>
        <w:footnoteReference w:id="6"/>
      </w:r>
      <w:r w:rsidRPr="00DE22D3">
        <w:rPr>
          <w:rFonts w:ascii="Arial" w:eastAsia="Calibri" w:hAnsi="Arial" w:cs="Arial"/>
          <w:noProof/>
          <w:sz w:val="22"/>
          <w:szCs w:val="22"/>
          <w:lang w:val="es-ES_tradnl" w:eastAsia="en-US"/>
        </w:rPr>
        <w:t xml:space="preserve">. La diferencia entre el contrato de prestación de servicios </w:t>
      </w:r>
      <w:r w:rsidRPr="00DE22D3">
        <w:rPr>
          <w:rFonts w:ascii="Arial" w:eastAsia="Calibri" w:hAnsi="Arial" w:cs="Arial"/>
          <w:i/>
          <w:noProof/>
          <w:sz w:val="22"/>
          <w:szCs w:val="22"/>
          <w:lang w:val="es-ES_tradnl" w:eastAsia="en-US"/>
        </w:rPr>
        <w:t>profesionales</w:t>
      </w:r>
      <w:r w:rsidRPr="00DE22D3">
        <w:rPr>
          <w:rFonts w:ascii="Arial" w:eastAsia="Calibri" w:hAnsi="Arial" w:cs="Arial"/>
          <w:noProof/>
          <w:sz w:val="22"/>
          <w:szCs w:val="22"/>
          <w:lang w:val="es-ES_tradnl" w:eastAsia="en-US"/>
        </w:rPr>
        <w:t xml:space="preserve"> con la otra especie del género radica en su contenido intelectual, y en la formación que se exige para desempeñar la labor. Así lo consideró el Consejo de Estado, en la sentencia de unificación del 2 de diciembre de 2013, al indicar, respecto del contrato de prestación de servicios profesionales, que:</w:t>
      </w:r>
    </w:p>
    <w:p w14:paraId="73DD3E8E"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p>
    <w:p w14:paraId="09B5BA4F" w14:textId="77777777" w:rsidR="00DE22D3" w:rsidRPr="00DE22D3" w:rsidRDefault="00DE22D3" w:rsidP="00DE22D3">
      <w:pPr>
        <w:spacing w:after="120"/>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p>
    <w:p w14:paraId="1BB931C2" w14:textId="77777777" w:rsidR="00DE22D3" w:rsidRPr="00DE22D3" w:rsidRDefault="00DE22D3" w:rsidP="00DE22D3">
      <w:pPr>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Dentro de su objeto contractual pueden tener lugar actividades operativas, logísticas o asistenciales, siempre que satisfaga los requisitos antes mencionados y sea acorde con las necesidades de la Administración y el principio de planeación</w:t>
      </w:r>
      <w:r w:rsidRPr="00DE22D3">
        <w:rPr>
          <w:rFonts w:ascii="Arial" w:eastAsia="Calibri" w:hAnsi="Arial" w:cs="Arial"/>
          <w:noProof/>
          <w:sz w:val="21"/>
          <w:szCs w:val="21"/>
          <w:vertAlign w:val="superscript"/>
          <w:lang w:val="es-ES_tradnl" w:eastAsia="en-US"/>
        </w:rPr>
        <w:footnoteReference w:id="7"/>
      </w:r>
      <w:r w:rsidRPr="00DE22D3">
        <w:rPr>
          <w:rFonts w:ascii="Arial" w:eastAsia="Calibri" w:hAnsi="Arial" w:cs="Arial"/>
          <w:noProof/>
          <w:sz w:val="21"/>
          <w:szCs w:val="21"/>
          <w:lang w:val="es-ES_tradnl" w:eastAsia="en-US"/>
        </w:rPr>
        <w:t>.</w:t>
      </w:r>
    </w:p>
    <w:p w14:paraId="2AB696C6"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p>
    <w:p w14:paraId="39C305B8"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Ese objeto, según la sentencia, se diferencia del objeto del contrato de prestación de servicios de apoyo a la gestión, porque en este no se requieren conocimientos profesionales para ejecutar la actividad. Así lo sostuvo el Consejo de Estado:</w:t>
      </w:r>
    </w:p>
    <w:p w14:paraId="09BF2AE1"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p>
    <w:p w14:paraId="05DCB4B6" w14:textId="77777777" w:rsidR="00DE22D3" w:rsidRPr="00DE22D3" w:rsidRDefault="00DE22D3" w:rsidP="00DE22D3">
      <w:pPr>
        <w:spacing w:after="120"/>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F0D5BB7" w14:textId="77777777" w:rsidR="00DE22D3" w:rsidRPr="00DE22D3" w:rsidRDefault="00DE22D3" w:rsidP="00DE22D3">
      <w:pPr>
        <w:spacing w:after="120"/>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lastRenderedPageBreak/>
        <w:t>Aunque también se caracteriza por el desempeño de actividad intelectiva, ésta se enmarca en un saber propiamente técnico; igualmente involucra actividades en donde prima el esfuerzo físico o mecánico, en donde no se requiere de personal profesional.</w:t>
      </w:r>
    </w:p>
    <w:p w14:paraId="3E848520" w14:textId="77777777" w:rsidR="00DE22D3" w:rsidRPr="00DE22D3" w:rsidRDefault="00DE22D3" w:rsidP="00DE22D3">
      <w:pPr>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Dentro de su objeto contractual pueden tener lugar actividades operativas, logísticas o asistenciales, siempre que satisfaga los requisitos antes mencionados y sea acorde con las necesidades de la Administración y el principio de planeación</w:t>
      </w:r>
      <w:r w:rsidRPr="00DE22D3">
        <w:rPr>
          <w:rFonts w:ascii="Arial" w:eastAsia="Calibri" w:hAnsi="Arial" w:cs="Arial"/>
          <w:noProof/>
          <w:sz w:val="21"/>
          <w:szCs w:val="21"/>
          <w:vertAlign w:val="superscript"/>
          <w:lang w:val="es-ES_tradnl" w:eastAsia="en-US"/>
        </w:rPr>
        <w:footnoteReference w:id="8"/>
      </w:r>
      <w:r w:rsidRPr="00DE22D3">
        <w:rPr>
          <w:rFonts w:ascii="Arial" w:eastAsia="Calibri" w:hAnsi="Arial" w:cs="Arial"/>
          <w:noProof/>
          <w:sz w:val="21"/>
          <w:szCs w:val="21"/>
          <w:lang w:val="es-ES_tradnl" w:eastAsia="en-US"/>
        </w:rPr>
        <w:t>.</w:t>
      </w:r>
    </w:p>
    <w:p w14:paraId="7CF3EA06"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p>
    <w:p w14:paraId="3465DA5F" w14:textId="77777777" w:rsidR="00DE22D3" w:rsidRPr="00DE22D3" w:rsidRDefault="00DE22D3" w:rsidP="00DE22D3">
      <w:pPr>
        <w:spacing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En relación con el contrato de prestación de servicios artísticos que solo pueden encomendarse a determinadas personas naturales, el fallo explica que:</w:t>
      </w:r>
    </w:p>
    <w:p w14:paraId="42774175" w14:textId="77777777" w:rsidR="00DE22D3" w:rsidRPr="00DE22D3" w:rsidRDefault="00DE22D3" w:rsidP="00DE22D3">
      <w:pPr>
        <w:spacing w:line="276" w:lineRule="auto"/>
        <w:ind w:left="709" w:right="709"/>
        <w:jc w:val="both"/>
        <w:rPr>
          <w:rFonts w:ascii="Arial" w:eastAsia="Calibri" w:hAnsi="Arial" w:cs="Arial"/>
          <w:noProof/>
          <w:sz w:val="21"/>
          <w:szCs w:val="21"/>
          <w:lang w:val="es-ES_tradnl" w:eastAsia="en-US"/>
        </w:rPr>
      </w:pPr>
    </w:p>
    <w:p w14:paraId="74170243" w14:textId="77777777" w:rsidR="00DE22D3" w:rsidRPr="00DE22D3" w:rsidRDefault="00DE22D3" w:rsidP="00DE22D3">
      <w:pPr>
        <w:ind w:left="709" w:right="709"/>
        <w:jc w:val="both"/>
        <w:rPr>
          <w:rFonts w:ascii="Arial" w:eastAsia="Calibri" w:hAnsi="Arial" w:cs="Arial"/>
          <w:noProof/>
          <w:sz w:val="21"/>
          <w:szCs w:val="21"/>
          <w:lang w:val="es-ES_tradnl" w:eastAsia="en-US"/>
        </w:rPr>
      </w:pPr>
      <w:r w:rsidRPr="00DE22D3">
        <w:rPr>
          <w:rFonts w:ascii="Arial" w:eastAsia="Calibri" w:hAnsi="Arial" w:cs="Arial"/>
          <w:noProof/>
          <w:sz w:val="21"/>
          <w:szCs w:val="21"/>
          <w:lang w:val="es-ES_tradnl" w:eastAsia="en-US"/>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DE22D3">
        <w:rPr>
          <w:rFonts w:ascii="Arial" w:eastAsia="Calibri" w:hAnsi="Arial" w:cs="Arial"/>
          <w:noProof/>
          <w:sz w:val="21"/>
          <w:szCs w:val="21"/>
          <w:vertAlign w:val="superscript"/>
          <w:lang w:val="es-ES_tradnl" w:eastAsia="en-US"/>
        </w:rPr>
        <w:footnoteReference w:id="9"/>
      </w:r>
      <w:r w:rsidRPr="00DE22D3">
        <w:rPr>
          <w:rFonts w:ascii="Arial" w:eastAsia="Calibri" w:hAnsi="Arial" w:cs="Arial"/>
          <w:noProof/>
          <w:sz w:val="21"/>
          <w:szCs w:val="21"/>
          <w:lang w:val="es-ES_tradnl" w:eastAsia="en-US"/>
        </w:rPr>
        <w:t>.</w:t>
      </w:r>
    </w:p>
    <w:p w14:paraId="31BEBF99" w14:textId="77777777" w:rsidR="00DE22D3" w:rsidRPr="00DE22D3" w:rsidRDefault="00DE22D3" w:rsidP="00DE22D3">
      <w:pPr>
        <w:spacing w:line="276" w:lineRule="auto"/>
        <w:ind w:left="709" w:right="709"/>
        <w:jc w:val="both"/>
        <w:rPr>
          <w:rFonts w:ascii="Arial" w:eastAsia="Calibri" w:hAnsi="Arial" w:cs="Arial"/>
          <w:noProof/>
          <w:sz w:val="21"/>
          <w:szCs w:val="21"/>
          <w:lang w:val="es-ES_tradnl" w:eastAsia="en-US"/>
        </w:rPr>
      </w:pPr>
    </w:p>
    <w:p w14:paraId="1E3F6143" w14:textId="2462BE03" w:rsidR="00480EC8" w:rsidRDefault="00DE22D3">
      <w:pPr>
        <w:spacing w:after="120"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vi) Se celebran a través de la modalidad de contratación directa, independientemente de la cuantía y del tipo de servicio profesional, siempre que su objeto no sea la consultoría, pues, como lo indicó el Consejo de Estado en la sentencia de unificación jurisprudencial, si bien en ambos existe un componente intelectual y profesional, el objeto del contrato de consultoría es especial y debe celebrarse, por regla general, mediante un concurso de méritos</w:t>
      </w:r>
      <w:r w:rsidRPr="00DE22D3">
        <w:rPr>
          <w:rFonts w:ascii="Arial" w:eastAsia="Calibri" w:hAnsi="Arial" w:cs="Arial"/>
          <w:noProof/>
          <w:sz w:val="22"/>
          <w:szCs w:val="22"/>
          <w:vertAlign w:val="superscript"/>
          <w:lang w:val="es-ES_tradnl" w:eastAsia="en-US"/>
        </w:rPr>
        <w:footnoteReference w:id="10"/>
      </w:r>
      <w:r w:rsidRPr="00DE22D3">
        <w:rPr>
          <w:rFonts w:ascii="Arial" w:eastAsia="Calibri" w:hAnsi="Arial" w:cs="Arial"/>
          <w:noProof/>
          <w:sz w:val="22"/>
          <w:szCs w:val="22"/>
          <w:lang w:val="es-ES_tradnl" w:eastAsia="en-US"/>
        </w:rPr>
        <w:t>. Debe aclararse que no suscribirse un contrato de prestación de servicios profesionales para ejecutar labores que se enmarcan en los otros contratos tipificados en el artículo 32 de la Ley 80 de 1993, como, por ejemplo, la construcción de una obra.</w:t>
      </w:r>
    </w:p>
    <w:p w14:paraId="6F9E66D2" w14:textId="0BCEF951" w:rsidR="00DE22D3" w:rsidRPr="00DE22D3" w:rsidRDefault="00DE22D3" w:rsidP="00480EC8">
      <w:pPr>
        <w:spacing w:after="120"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lastRenderedPageBreak/>
        <w:t>vii) Para celebrarlo no se requiere expedir un acto administrativo de justificación de la contratación directa</w:t>
      </w:r>
      <w:r w:rsidRPr="00DE22D3">
        <w:rPr>
          <w:rFonts w:ascii="Arial" w:eastAsia="Calibri" w:hAnsi="Arial" w:cs="Arial"/>
          <w:noProof/>
          <w:sz w:val="22"/>
          <w:szCs w:val="22"/>
          <w:vertAlign w:val="superscript"/>
          <w:lang w:val="es-ES_tradnl" w:eastAsia="en-US"/>
        </w:rPr>
        <w:footnoteReference w:id="11"/>
      </w:r>
      <w:r w:rsidRPr="00DE22D3">
        <w:rPr>
          <w:rFonts w:ascii="Arial" w:eastAsia="Calibri" w:hAnsi="Arial" w:cs="Arial"/>
          <w:noProof/>
          <w:sz w:val="22"/>
          <w:szCs w:val="22"/>
          <w:lang w:val="es-ES_tradnl" w:eastAsia="en-US"/>
        </w:rPr>
        <w:t>.</w:t>
      </w:r>
    </w:p>
    <w:p w14:paraId="2ADB7B07" w14:textId="77777777" w:rsidR="00DE22D3" w:rsidRPr="00DE22D3" w:rsidRDefault="00DE22D3" w:rsidP="00DE22D3">
      <w:pPr>
        <w:spacing w:before="120" w:after="120"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viii) El contrato admite la inclusión de cláusulas excepcionales. En los contratos de prestación de servicios profesionales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Pr="00DE22D3">
        <w:rPr>
          <w:rFonts w:ascii="Arial" w:eastAsia="Calibri" w:hAnsi="Arial" w:cs="Arial"/>
          <w:noProof/>
          <w:sz w:val="22"/>
          <w:szCs w:val="22"/>
          <w:vertAlign w:val="superscript"/>
          <w:lang w:val="es-ES_tradnl" w:eastAsia="en-US"/>
        </w:rPr>
        <w:footnoteReference w:id="12"/>
      </w:r>
      <w:r w:rsidRPr="00DE22D3">
        <w:rPr>
          <w:rFonts w:ascii="Arial" w:eastAsia="Calibri" w:hAnsi="Arial" w:cs="Arial"/>
          <w:noProof/>
          <w:sz w:val="22"/>
          <w:szCs w:val="22"/>
          <w:lang w:val="es-ES_tradnl" w:eastAsia="en-US"/>
        </w:rPr>
        <w:t>.</w:t>
      </w:r>
    </w:p>
    <w:p w14:paraId="410B9562" w14:textId="77777777" w:rsidR="00DE22D3" w:rsidRPr="00DE22D3" w:rsidRDefault="00DE22D3" w:rsidP="00DE22D3">
      <w:pPr>
        <w:spacing w:before="120" w:after="120"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ix) No es obligatorio liquidar estos contratos, como lo establece el artículo 217 del Decreto 019 de 2012, que modificó el artículo 60 de la Ley 80 de 1993</w:t>
      </w:r>
      <w:r w:rsidRPr="00DE22D3">
        <w:rPr>
          <w:rFonts w:ascii="Arial" w:eastAsia="Calibri" w:hAnsi="Arial" w:cs="Arial"/>
          <w:noProof/>
          <w:sz w:val="22"/>
          <w:szCs w:val="22"/>
          <w:vertAlign w:val="superscript"/>
          <w:lang w:val="es-ES_tradnl" w:eastAsia="en-US"/>
        </w:rPr>
        <w:footnoteReference w:id="13"/>
      </w:r>
      <w:r w:rsidRPr="00DE22D3">
        <w:rPr>
          <w:rFonts w:ascii="Arial" w:eastAsia="Calibri" w:hAnsi="Arial" w:cs="Arial"/>
          <w:noProof/>
          <w:sz w:val="22"/>
          <w:szCs w:val="22"/>
          <w:lang w:val="es-ES_tradnl" w:eastAsia="en-US"/>
        </w:rPr>
        <w:t>.</w:t>
      </w:r>
    </w:p>
    <w:p w14:paraId="746EA245" w14:textId="77777777" w:rsidR="00DE22D3" w:rsidRPr="00DE22D3" w:rsidRDefault="00DE22D3" w:rsidP="00DE22D3">
      <w:pPr>
        <w:spacing w:before="120" w:after="120"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t>x) Para celebrarlos no se requiere estar inscrito en el Registro Único de Proponentes –RUP–, como lo expresa el artículo 6 de la Ley 1150 de 2007</w:t>
      </w:r>
      <w:r w:rsidRPr="00DE22D3">
        <w:rPr>
          <w:rFonts w:ascii="Arial" w:eastAsia="Calibri" w:hAnsi="Arial" w:cs="Arial"/>
          <w:noProof/>
          <w:sz w:val="22"/>
          <w:szCs w:val="22"/>
          <w:vertAlign w:val="superscript"/>
          <w:lang w:val="es-ES_tradnl" w:eastAsia="en-US"/>
        </w:rPr>
        <w:footnoteReference w:id="14"/>
      </w:r>
      <w:r w:rsidRPr="00DE22D3">
        <w:rPr>
          <w:rFonts w:ascii="Arial" w:eastAsia="Calibri" w:hAnsi="Arial" w:cs="Arial"/>
          <w:noProof/>
          <w:sz w:val="22"/>
          <w:szCs w:val="22"/>
          <w:lang w:val="es-ES_tradnl" w:eastAsia="en-US"/>
        </w:rPr>
        <w:t>.</w:t>
      </w:r>
    </w:p>
    <w:p w14:paraId="535430D1" w14:textId="4F0CDB98" w:rsidR="00DE22D3" w:rsidRDefault="00DE22D3" w:rsidP="005D1FF1">
      <w:pPr>
        <w:spacing w:line="276" w:lineRule="auto"/>
        <w:ind w:firstLine="709"/>
        <w:jc w:val="both"/>
        <w:rPr>
          <w:rFonts w:ascii="Arial" w:eastAsia="Calibri" w:hAnsi="Arial" w:cs="Arial"/>
          <w:noProof/>
          <w:sz w:val="22"/>
          <w:szCs w:val="22"/>
          <w:lang w:val="es-ES_tradnl" w:eastAsia="en-US"/>
        </w:rPr>
      </w:pPr>
      <w:r w:rsidRPr="00DE22D3">
        <w:rPr>
          <w:rFonts w:ascii="Arial" w:eastAsia="Calibri" w:hAnsi="Arial" w:cs="Arial"/>
          <w:noProof/>
          <w:sz w:val="22"/>
          <w:szCs w:val="22"/>
          <w:lang w:val="es-ES_tradnl" w:eastAsia="en-US"/>
        </w:rPr>
        <w:lastRenderedPageBreak/>
        <w:t>xi) No es necesario que el Estado exija garantías</w:t>
      </w:r>
      <w:r w:rsidRPr="00DE22D3">
        <w:rPr>
          <w:rFonts w:ascii="Arial" w:eastAsia="Calibri" w:hAnsi="Arial" w:cs="Arial"/>
          <w:noProof/>
          <w:sz w:val="22"/>
          <w:szCs w:val="22"/>
          <w:vertAlign w:val="superscript"/>
          <w:lang w:val="es-ES_tradnl" w:eastAsia="en-US"/>
        </w:rPr>
        <w:footnoteReference w:id="15"/>
      </w:r>
      <w:r w:rsidRPr="00DE22D3">
        <w:rPr>
          <w:rFonts w:ascii="Arial" w:eastAsia="Calibri" w:hAnsi="Arial" w:cs="Arial"/>
          <w:noProof/>
          <w:sz w:val="22"/>
          <w:szCs w:val="22"/>
          <w:lang w:val="es-ES_tradnl" w:eastAsia="en-US"/>
        </w:rPr>
        <w:t>.</w:t>
      </w:r>
    </w:p>
    <w:p w14:paraId="3B513E72" w14:textId="77777777" w:rsidR="008E66A1" w:rsidRPr="00DE22D3" w:rsidRDefault="008E66A1" w:rsidP="005D1FF1">
      <w:pPr>
        <w:spacing w:line="276" w:lineRule="auto"/>
        <w:ind w:firstLine="709"/>
        <w:jc w:val="both"/>
        <w:rPr>
          <w:rFonts w:ascii="Arial" w:eastAsia="Calibri" w:hAnsi="Arial" w:cs="Arial"/>
          <w:noProof/>
          <w:sz w:val="22"/>
          <w:szCs w:val="22"/>
          <w:lang w:val="es-ES_tradnl" w:eastAsia="en-US"/>
        </w:rPr>
      </w:pPr>
    </w:p>
    <w:p w14:paraId="22B7B888" w14:textId="2D928791" w:rsidR="00A06593" w:rsidRDefault="00DE22D3" w:rsidP="008E66A1">
      <w:pPr>
        <w:tabs>
          <w:tab w:val="left" w:pos="0"/>
        </w:tabs>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2.2. Liquidación de los contratos de prestación de servicios</w:t>
      </w:r>
    </w:p>
    <w:p w14:paraId="69677F71" w14:textId="77777777" w:rsidR="008E66A1" w:rsidRDefault="008E66A1" w:rsidP="005D1FF1">
      <w:pPr>
        <w:tabs>
          <w:tab w:val="left" w:pos="0"/>
        </w:tabs>
        <w:spacing w:line="276" w:lineRule="auto"/>
        <w:jc w:val="both"/>
        <w:rPr>
          <w:rFonts w:ascii="Arial" w:eastAsia="Calibri" w:hAnsi="Arial" w:cs="Arial"/>
          <w:b/>
          <w:color w:val="000000" w:themeColor="text1"/>
          <w:sz w:val="22"/>
          <w:lang w:val="es-ES_tradnl"/>
        </w:rPr>
      </w:pPr>
    </w:p>
    <w:p w14:paraId="66F319D0" w14:textId="77777777" w:rsidR="008977FB" w:rsidRPr="008977FB" w:rsidRDefault="008977FB" w:rsidP="008977FB">
      <w:pPr>
        <w:widowControl w:val="0"/>
        <w:autoSpaceDE w:val="0"/>
        <w:autoSpaceDN w:val="0"/>
        <w:spacing w:line="276" w:lineRule="auto"/>
        <w:ind w:right="108"/>
        <w:jc w:val="both"/>
        <w:rPr>
          <w:rFonts w:ascii="Arial" w:eastAsia="Arial" w:hAnsi="Arial" w:cs="Arial"/>
          <w:sz w:val="22"/>
          <w:szCs w:val="22"/>
          <w:lang w:val="es-ES" w:eastAsia="en-US"/>
        </w:rPr>
      </w:pPr>
      <w:r w:rsidRPr="008977FB">
        <w:rPr>
          <w:rFonts w:ascii="Arial" w:eastAsia="Arial" w:hAnsi="Arial" w:cs="Arial"/>
          <w:sz w:val="22"/>
          <w:szCs w:val="22"/>
          <w:lang w:val="es-ES" w:eastAsia="en-US"/>
        </w:rPr>
        <w:t>La fase de liquidación de los contratos estatales es el momento en el cual las partes realizan el balance de la ejecución del acuerdo de voluntades. Dicho balance, según el artículo 60 de la Ley 80 de 1993, tiene como objetivo que tanto el contratante como el contratista se declaren a paz y salvo, pudiendo utilizar los instrumentos de la conciliación y la transacción, entre otros. En efecto, el artículo 60 de la Ley 80 de 1993 dispone:</w:t>
      </w:r>
    </w:p>
    <w:p w14:paraId="17323215" w14:textId="77777777" w:rsidR="008977FB" w:rsidRPr="008977FB" w:rsidRDefault="008977FB" w:rsidP="008977FB">
      <w:pPr>
        <w:widowControl w:val="0"/>
        <w:autoSpaceDE w:val="0"/>
        <w:autoSpaceDN w:val="0"/>
        <w:ind w:right="108"/>
        <w:jc w:val="both"/>
        <w:rPr>
          <w:rFonts w:ascii="Arial" w:eastAsia="Arial" w:hAnsi="Arial" w:cs="Arial"/>
          <w:sz w:val="22"/>
          <w:szCs w:val="22"/>
          <w:lang w:val="es-ES" w:eastAsia="en-US"/>
        </w:rPr>
      </w:pPr>
    </w:p>
    <w:p w14:paraId="7BB80A38" w14:textId="77777777" w:rsidR="008977FB" w:rsidRPr="008977FB" w:rsidRDefault="008977FB" w:rsidP="008977FB">
      <w:pPr>
        <w:widowControl w:val="0"/>
        <w:autoSpaceDE w:val="0"/>
        <w:autoSpaceDN w:val="0"/>
        <w:ind w:left="709" w:right="709"/>
        <w:jc w:val="both"/>
        <w:rPr>
          <w:rFonts w:ascii="Arial" w:eastAsia="Arial" w:hAnsi="Arial" w:cs="Arial"/>
          <w:sz w:val="21"/>
          <w:szCs w:val="21"/>
          <w:lang w:val="es-ES" w:eastAsia="en-US"/>
        </w:rPr>
      </w:pPr>
      <w:r w:rsidRPr="008977FB">
        <w:rPr>
          <w:rFonts w:ascii="Arial" w:eastAsia="Arial" w:hAnsi="Arial" w:cs="Arial"/>
          <w:sz w:val="21"/>
          <w:szCs w:val="21"/>
          <w:lang w:val="es-ES" w:eastAsia="en-US"/>
        </w:rPr>
        <w:t>Los contratos de tracto sucesivo</w:t>
      </w:r>
      <w:r w:rsidRPr="008977FB">
        <w:rPr>
          <w:rFonts w:ascii="Arial" w:eastAsia="Arial" w:hAnsi="Arial" w:cs="Arial"/>
          <w:sz w:val="21"/>
          <w:szCs w:val="21"/>
          <w:vertAlign w:val="superscript"/>
          <w:lang w:val="es-ES" w:eastAsia="en-US"/>
        </w:rPr>
        <w:footnoteReference w:id="16"/>
      </w:r>
      <w:r w:rsidRPr="008977FB">
        <w:rPr>
          <w:rFonts w:ascii="Arial" w:eastAsia="Arial" w:hAnsi="Arial" w:cs="Arial"/>
          <w:sz w:val="21"/>
          <w:szCs w:val="21"/>
          <w:lang w:val="es-ES" w:eastAsia="en-US"/>
        </w:rPr>
        <w:t xml:space="preserve">, aquellos cuya ejecución o cumplimiento se prolongue en el tiempo y los demás que lo requieran, serán objeto de liquidación. </w:t>
      </w:r>
    </w:p>
    <w:p w14:paraId="5E6D0831" w14:textId="77777777" w:rsidR="008977FB" w:rsidRPr="008977FB" w:rsidRDefault="008977FB" w:rsidP="008977FB">
      <w:pPr>
        <w:widowControl w:val="0"/>
        <w:autoSpaceDE w:val="0"/>
        <w:autoSpaceDN w:val="0"/>
        <w:ind w:left="709" w:right="709"/>
        <w:jc w:val="both"/>
        <w:rPr>
          <w:rFonts w:ascii="Arial" w:eastAsia="Arial" w:hAnsi="Arial" w:cs="Arial"/>
          <w:sz w:val="21"/>
          <w:szCs w:val="21"/>
          <w:lang w:val="es-ES" w:eastAsia="en-US"/>
        </w:rPr>
      </w:pPr>
    </w:p>
    <w:p w14:paraId="17E037C4" w14:textId="77777777" w:rsidR="008977FB" w:rsidRPr="008977FB" w:rsidRDefault="008977FB" w:rsidP="008977FB">
      <w:pPr>
        <w:widowControl w:val="0"/>
        <w:autoSpaceDE w:val="0"/>
        <w:autoSpaceDN w:val="0"/>
        <w:ind w:left="709" w:right="709"/>
        <w:jc w:val="both"/>
        <w:rPr>
          <w:rFonts w:ascii="Arial" w:eastAsia="Arial" w:hAnsi="Arial" w:cs="Arial"/>
          <w:sz w:val="21"/>
          <w:szCs w:val="21"/>
          <w:lang w:val="es-ES" w:eastAsia="en-US"/>
        </w:rPr>
      </w:pPr>
      <w:r w:rsidRPr="008977FB">
        <w:rPr>
          <w:rFonts w:ascii="Arial" w:eastAsia="Arial" w:hAnsi="Arial" w:cs="Arial"/>
          <w:sz w:val="21"/>
          <w:szCs w:val="21"/>
          <w:lang w:val="es-ES" w:eastAsia="en-US"/>
        </w:rPr>
        <w:t xml:space="preserve">También en esta etapa las partes acordarán los ajustes, revisiones y reconocimientos a que haya lugar. </w:t>
      </w:r>
    </w:p>
    <w:p w14:paraId="0FC80644" w14:textId="77777777" w:rsidR="008977FB" w:rsidRPr="008977FB" w:rsidRDefault="008977FB" w:rsidP="008977FB">
      <w:pPr>
        <w:widowControl w:val="0"/>
        <w:autoSpaceDE w:val="0"/>
        <w:autoSpaceDN w:val="0"/>
        <w:ind w:left="709" w:right="709"/>
        <w:jc w:val="both"/>
        <w:rPr>
          <w:rFonts w:ascii="Arial" w:eastAsia="Arial" w:hAnsi="Arial" w:cs="Arial"/>
          <w:sz w:val="21"/>
          <w:szCs w:val="21"/>
          <w:lang w:val="es-ES" w:eastAsia="en-US"/>
        </w:rPr>
      </w:pPr>
    </w:p>
    <w:p w14:paraId="07A50AB1" w14:textId="77777777" w:rsidR="008977FB" w:rsidRPr="008977FB" w:rsidRDefault="008977FB" w:rsidP="008977FB">
      <w:pPr>
        <w:widowControl w:val="0"/>
        <w:autoSpaceDE w:val="0"/>
        <w:autoSpaceDN w:val="0"/>
        <w:ind w:left="709" w:right="709"/>
        <w:jc w:val="both"/>
        <w:rPr>
          <w:rFonts w:ascii="Arial" w:eastAsia="Arial" w:hAnsi="Arial" w:cs="Arial"/>
          <w:sz w:val="21"/>
          <w:szCs w:val="21"/>
          <w:lang w:val="es-ES" w:eastAsia="en-US"/>
        </w:rPr>
      </w:pPr>
      <w:r w:rsidRPr="008977FB">
        <w:rPr>
          <w:rFonts w:ascii="Arial" w:eastAsia="Arial" w:hAnsi="Arial" w:cs="Arial"/>
          <w:sz w:val="21"/>
          <w:szCs w:val="21"/>
          <w:lang w:val="es-ES" w:eastAsia="en-US"/>
        </w:rPr>
        <w:t xml:space="preserve">En el acta de liquidación constarán los acuerdos, conciliaciones y transacciones a que llegaren las partes para poner fin a las divergencias presentadas y poder declararse a paz y salvo. </w:t>
      </w:r>
    </w:p>
    <w:p w14:paraId="6197CD50" w14:textId="77777777" w:rsidR="008977FB" w:rsidRPr="008977FB" w:rsidRDefault="008977FB" w:rsidP="008977FB">
      <w:pPr>
        <w:widowControl w:val="0"/>
        <w:autoSpaceDE w:val="0"/>
        <w:autoSpaceDN w:val="0"/>
        <w:ind w:left="709" w:right="709"/>
        <w:jc w:val="both"/>
        <w:rPr>
          <w:rFonts w:ascii="Arial" w:eastAsia="Arial" w:hAnsi="Arial" w:cs="Arial"/>
          <w:sz w:val="21"/>
          <w:szCs w:val="21"/>
          <w:lang w:val="es-ES" w:eastAsia="en-US"/>
        </w:rPr>
      </w:pPr>
    </w:p>
    <w:p w14:paraId="17AC6BED" w14:textId="77777777" w:rsidR="008977FB" w:rsidRPr="008977FB" w:rsidRDefault="008977FB" w:rsidP="008977FB">
      <w:pPr>
        <w:widowControl w:val="0"/>
        <w:autoSpaceDE w:val="0"/>
        <w:autoSpaceDN w:val="0"/>
        <w:ind w:left="709" w:right="709"/>
        <w:jc w:val="both"/>
        <w:rPr>
          <w:rFonts w:ascii="Arial" w:eastAsia="Arial" w:hAnsi="Arial" w:cs="Arial"/>
          <w:sz w:val="21"/>
          <w:szCs w:val="21"/>
          <w:lang w:val="es-ES" w:eastAsia="en-US"/>
        </w:rPr>
      </w:pPr>
      <w:r w:rsidRPr="008977FB">
        <w:rPr>
          <w:rFonts w:ascii="Arial" w:eastAsia="Arial" w:hAnsi="Arial" w:cs="Arial"/>
          <w:sz w:val="21"/>
          <w:szCs w:val="21"/>
          <w:lang w:val="es-ES" w:eastAsia="en-US"/>
        </w:rPr>
        <w:t xml:space="preserve">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 contrato. </w:t>
      </w:r>
    </w:p>
    <w:p w14:paraId="4CB53239" w14:textId="77777777" w:rsidR="008977FB" w:rsidRPr="008977FB" w:rsidRDefault="008977FB" w:rsidP="008977FB">
      <w:pPr>
        <w:widowControl w:val="0"/>
        <w:autoSpaceDE w:val="0"/>
        <w:autoSpaceDN w:val="0"/>
        <w:ind w:left="709" w:right="709"/>
        <w:jc w:val="both"/>
        <w:rPr>
          <w:rFonts w:ascii="Arial" w:eastAsia="Arial" w:hAnsi="Arial" w:cs="Arial"/>
          <w:sz w:val="21"/>
          <w:szCs w:val="21"/>
          <w:lang w:val="es-ES" w:eastAsia="en-US"/>
        </w:rPr>
      </w:pPr>
    </w:p>
    <w:p w14:paraId="5E54875A" w14:textId="77777777" w:rsidR="008977FB" w:rsidRPr="008977FB" w:rsidRDefault="008977FB" w:rsidP="008977FB">
      <w:pPr>
        <w:widowControl w:val="0"/>
        <w:autoSpaceDE w:val="0"/>
        <w:autoSpaceDN w:val="0"/>
        <w:ind w:left="709" w:right="709"/>
        <w:jc w:val="both"/>
        <w:rPr>
          <w:rFonts w:ascii="Arial" w:eastAsia="Arial" w:hAnsi="Arial" w:cs="Arial"/>
          <w:sz w:val="21"/>
          <w:szCs w:val="21"/>
          <w:lang w:val="es-ES" w:eastAsia="en-US"/>
        </w:rPr>
      </w:pPr>
      <w:r w:rsidRPr="008977FB">
        <w:rPr>
          <w:rFonts w:ascii="Arial" w:eastAsia="Arial" w:hAnsi="Arial" w:cs="Arial"/>
          <w:sz w:val="21"/>
          <w:szCs w:val="21"/>
          <w:lang w:val="es-ES" w:eastAsia="en-US"/>
        </w:rPr>
        <w:t>La liquidación a que se refiere el presente artículo no será obligatoria en los contratos de prestación de servicios profesionales y de apoyo a la gestión.</w:t>
      </w:r>
    </w:p>
    <w:p w14:paraId="6BD96EF2" w14:textId="77777777" w:rsidR="008977FB" w:rsidRPr="008977FB" w:rsidRDefault="008977FB" w:rsidP="008977FB">
      <w:pPr>
        <w:widowControl w:val="0"/>
        <w:autoSpaceDE w:val="0"/>
        <w:autoSpaceDN w:val="0"/>
        <w:jc w:val="both"/>
        <w:rPr>
          <w:rFonts w:ascii="Arial" w:eastAsia="Arial" w:hAnsi="Arial" w:cs="Arial"/>
          <w:sz w:val="22"/>
          <w:szCs w:val="22"/>
          <w:lang w:val="es-ES" w:eastAsia="en-US"/>
        </w:rPr>
      </w:pPr>
    </w:p>
    <w:p w14:paraId="49E816E9" w14:textId="7B203182" w:rsidR="00DE22D3" w:rsidRPr="008977FB" w:rsidRDefault="008977FB" w:rsidP="005D1FF1">
      <w:pPr>
        <w:spacing w:after="120" w:line="276" w:lineRule="auto"/>
        <w:ind w:firstLine="709"/>
        <w:jc w:val="both"/>
        <w:textAlignment w:val="baseline"/>
        <w:rPr>
          <w:rFonts w:ascii="Arial" w:eastAsia="Calibri" w:hAnsi="Arial" w:cs="Arial"/>
          <w:b/>
          <w:color w:val="000000" w:themeColor="text1"/>
          <w:sz w:val="22"/>
        </w:rPr>
      </w:pPr>
      <w:r w:rsidRPr="008977FB">
        <w:rPr>
          <w:rFonts w:ascii="Arial" w:hAnsi="Arial" w:cs="Arial"/>
          <w:sz w:val="22"/>
          <w:szCs w:val="22"/>
          <w:lang w:eastAsia="es-CO"/>
        </w:rPr>
        <w:lastRenderedPageBreak/>
        <w:t>La liquidación del contrato estatal implica una actuación posterior a la terminación normal</w:t>
      </w:r>
      <w:r w:rsidRPr="008977FB">
        <w:rPr>
          <w:rFonts w:ascii="Arial" w:hAnsi="Arial" w:cs="Arial"/>
          <w:sz w:val="22"/>
          <w:szCs w:val="22"/>
          <w:vertAlign w:val="superscript"/>
          <w:lang w:eastAsia="es-CO"/>
        </w:rPr>
        <w:footnoteReference w:id="17"/>
      </w:r>
      <w:r w:rsidRPr="008977FB">
        <w:rPr>
          <w:rFonts w:ascii="Arial" w:hAnsi="Arial" w:cs="Arial"/>
          <w:sz w:val="22"/>
          <w:szCs w:val="22"/>
          <w:vertAlign w:val="superscript"/>
          <w:lang w:eastAsia="es-CO"/>
        </w:rPr>
        <w:t xml:space="preserve"> </w:t>
      </w:r>
      <w:r w:rsidRPr="008977FB">
        <w:rPr>
          <w:rFonts w:ascii="Arial" w:hAnsi="Arial" w:cs="Arial"/>
          <w:sz w:val="22"/>
          <w:szCs w:val="22"/>
          <w:lang w:eastAsia="es-CO"/>
        </w:rPr>
        <w:t>o anormal</w:t>
      </w:r>
      <w:r w:rsidRPr="008977FB">
        <w:rPr>
          <w:rFonts w:ascii="Arial" w:hAnsi="Arial" w:cs="Arial"/>
          <w:sz w:val="22"/>
          <w:szCs w:val="22"/>
          <w:vertAlign w:val="superscript"/>
          <w:lang w:eastAsia="es-CO"/>
        </w:rPr>
        <w:footnoteReference w:id="18"/>
      </w:r>
      <w:r w:rsidRPr="008977FB">
        <w:rPr>
          <w:rFonts w:ascii="Arial" w:hAnsi="Arial" w:cs="Arial"/>
          <w:sz w:val="22"/>
          <w:szCs w:val="22"/>
          <w:vertAlign w:val="superscript"/>
          <w:lang w:eastAsia="es-CO"/>
        </w:rPr>
        <w:t xml:space="preserve"> </w:t>
      </w:r>
      <w:r w:rsidRPr="008977FB">
        <w:rPr>
          <w:rFonts w:ascii="Arial" w:hAnsi="Arial" w:cs="Arial"/>
          <w:sz w:val="22"/>
          <w:szCs w:val="22"/>
          <w:lang w:eastAsia="es-CO"/>
        </w:rPr>
        <w:t>del acuerdo. Según la Sección Tercera del Consejo de Estado, la liquidación es la actuación «mediante la cual lo que se busca es determinar si existen prestaciones, obligaciones o derechos a cargo o en favor de cada una de las partes, para de ésta forma realizar un balance final o un corte definitivo de las cuentas derivadas de la relación negocial, definiéndose en últimas quién le debe a quién y cuánto, bien por las partes de común acuerdo, por la administración unilateralmente o en su caso por el juez, es decir para dar así finiquito y paz y salvo a la relación negocial»</w:t>
      </w:r>
      <w:r w:rsidRPr="008977FB">
        <w:rPr>
          <w:rFonts w:ascii="Arial" w:hAnsi="Arial" w:cs="Arial"/>
          <w:sz w:val="22"/>
          <w:szCs w:val="22"/>
          <w:vertAlign w:val="superscript"/>
          <w:lang w:eastAsia="es-CO"/>
        </w:rPr>
        <w:footnoteReference w:id="19"/>
      </w:r>
      <w:r w:rsidRPr="008977FB">
        <w:rPr>
          <w:rFonts w:ascii="Arial" w:hAnsi="Arial" w:cs="Arial"/>
          <w:sz w:val="22"/>
          <w:szCs w:val="22"/>
          <w:lang w:eastAsia="es-CO"/>
        </w:rPr>
        <w:t>.</w:t>
      </w:r>
    </w:p>
    <w:p w14:paraId="6DA2DF53" w14:textId="44DBBC9A" w:rsidR="0060131B" w:rsidRPr="0060131B" w:rsidRDefault="00175792" w:rsidP="008977FB">
      <w:pPr>
        <w:pStyle w:val="Textoindependiente"/>
        <w:ind w:firstLine="709"/>
        <w:jc w:val="both"/>
        <w:rPr>
          <w:rFonts w:ascii="Arial" w:eastAsia="Arial" w:hAnsi="Arial" w:cs="Arial"/>
          <w:lang w:val="es-ES" w:eastAsia="en-US"/>
        </w:rPr>
      </w:pPr>
      <w:r>
        <w:rPr>
          <w:rStyle w:val="normaltextrun"/>
          <w:rFonts w:ascii="Arial" w:hAnsi="Arial" w:cs="Arial"/>
          <w:color w:val="000000"/>
          <w:shd w:val="clear" w:color="auto" w:fill="FFFFFF"/>
        </w:rPr>
        <w:t xml:space="preserve">El mencionado artículo 60 de la Ley 80 de 1993, modificado por el artículo 217 del Decreto 19 de 2012, como se observó, establece que «[…] La liquidación a que se refiere el presente artículo no será obligatoria en los contratos de prestación de servicios profesionales y de apoyo a la gestión». En ese sentido, se exceptúa a los contratos de prestación de servicios profesionales y de apoyo a la gestión del deber de liquidación, pero las entidades, en ejercicio de su autonomía y de considerarlo necesario, pueden </w:t>
      </w:r>
      <w:r w:rsidR="009963C3">
        <w:rPr>
          <w:rStyle w:val="normaltextrun"/>
          <w:rFonts w:ascii="Arial" w:hAnsi="Arial" w:cs="Arial"/>
          <w:color w:val="000000"/>
          <w:shd w:val="clear" w:color="auto" w:fill="FFFFFF"/>
        </w:rPr>
        <w:t xml:space="preserve">pactar la liquidación de </w:t>
      </w:r>
      <w:r>
        <w:rPr>
          <w:rStyle w:val="normaltextrun"/>
          <w:rFonts w:ascii="Arial" w:hAnsi="Arial" w:cs="Arial"/>
          <w:color w:val="000000"/>
          <w:shd w:val="clear" w:color="auto" w:fill="FFFFFF"/>
        </w:rPr>
        <w:t>dichos contratos, ya que la norma los exceptúa, pero no lo prohíbe.</w:t>
      </w:r>
      <w:r>
        <w:rPr>
          <w:rStyle w:val="eop"/>
          <w:rFonts w:ascii="Arial" w:hAnsi="Arial" w:cs="Arial"/>
          <w:color w:val="000000"/>
          <w:shd w:val="clear" w:color="auto" w:fill="FFFFFF"/>
        </w:rPr>
        <w:t> </w:t>
      </w:r>
      <w:r w:rsidRPr="00DE22D3" w:rsidDel="00175792">
        <w:rPr>
          <w:rFonts w:ascii="Arial" w:eastAsia="Calibri" w:hAnsi="Arial" w:cs="Arial"/>
          <w:bCs/>
          <w:color w:val="000000" w:themeColor="text1"/>
          <w:lang w:val="es-ES"/>
        </w:rPr>
        <w:t xml:space="preserve"> </w:t>
      </w:r>
    </w:p>
    <w:p w14:paraId="6F2B93D7" w14:textId="3CDF293A" w:rsidR="0060131B" w:rsidRPr="0060131B" w:rsidRDefault="0060131B" w:rsidP="0060131B">
      <w:pPr>
        <w:widowControl w:val="0"/>
        <w:autoSpaceDE w:val="0"/>
        <w:autoSpaceDN w:val="0"/>
        <w:spacing w:after="120" w:line="276" w:lineRule="auto"/>
        <w:ind w:firstLine="709"/>
        <w:jc w:val="both"/>
        <w:rPr>
          <w:rFonts w:ascii="Arial" w:eastAsia="Arial" w:hAnsi="Arial" w:cs="Arial"/>
          <w:sz w:val="22"/>
          <w:szCs w:val="22"/>
          <w:lang w:val="es-ES" w:eastAsia="en-US"/>
        </w:rPr>
      </w:pPr>
      <w:r w:rsidRPr="0060131B">
        <w:rPr>
          <w:rFonts w:ascii="Arial" w:eastAsia="Arial" w:hAnsi="Arial" w:cs="Arial"/>
          <w:sz w:val="22"/>
          <w:szCs w:val="22"/>
          <w:lang w:val="es-ES" w:eastAsia="en-US"/>
        </w:rPr>
        <w:t xml:space="preserve">En este contexto, cabe preguntarse si está norma señala que estos contratos no requieren liquidación. Para la Contraloría General de la República, en el </w:t>
      </w:r>
      <w:r w:rsidR="00CF14B7">
        <w:rPr>
          <w:rFonts w:ascii="Arial" w:eastAsia="Arial" w:hAnsi="Arial" w:cs="Arial"/>
          <w:sz w:val="22"/>
          <w:szCs w:val="22"/>
          <w:lang w:val="es-ES" w:eastAsia="en-US"/>
        </w:rPr>
        <w:t>C</w:t>
      </w:r>
      <w:r w:rsidRPr="0060131B">
        <w:rPr>
          <w:rFonts w:ascii="Arial" w:eastAsia="Arial" w:hAnsi="Arial" w:cs="Arial"/>
          <w:sz w:val="22"/>
          <w:szCs w:val="22"/>
          <w:lang w:val="es-ES" w:eastAsia="en-US"/>
        </w:rPr>
        <w:t>oncepto 14.612 de 6 de marzo de 2012, analizó el artículo 217 del Decreto Ley 019 de 2012, señalando que esta busca liberar a la Administración de trámites que recarguen innecesariamente su ejercicio institucional, permitiendo que la misma entidad, de acuerdo con su autonomía, liquide o no el contrato.</w:t>
      </w:r>
    </w:p>
    <w:p w14:paraId="75D389A7" w14:textId="4D565CF6" w:rsidR="0060131B" w:rsidRPr="0060131B" w:rsidRDefault="0060131B" w:rsidP="0060131B">
      <w:pPr>
        <w:widowControl w:val="0"/>
        <w:autoSpaceDE w:val="0"/>
        <w:autoSpaceDN w:val="0"/>
        <w:spacing w:line="276" w:lineRule="auto"/>
        <w:ind w:firstLine="709"/>
        <w:jc w:val="both"/>
        <w:rPr>
          <w:rFonts w:ascii="Arial" w:eastAsia="Arial" w:hAnsi="Arial" w:cs="Arial"/>
          <w:sz w:val="22"/>
          <w:szCs w:val="22"/>
          <w:lang w:val="es-ES" w:eastAsia="en-US"/>
        </w:rPr>
      </w:pPr>
      <w:r w:rsidRPr="0060131B">
        <w:rPr>
          <w:rFonts w:ascii="Arial" w:eastAsia="Arial" w:hAnsi="Arial" w:cs="Arial"/>
          <w:sz w:val="22"/>
          <w:szCs w:val="22"/>
          <w:lang w:val="es-ES" w:eastAsia="en-US"/>
        </w:rPr>
        <w:t xml:space="preserve">Así, la liquidación no </w:t>
      </w:r>
      <w:r w:rsidR="00470F99">
        <w:rPr>
          <w:rFonts w:ascii="Arial" w:eastAsia="Arial" w:hAnsi="Arial" w:cs="Arial"/>
          <w:sz w:val="22"/>
          <w:szCs w:val="22"/>
          <w:lang w:val="es-ES" w:eastAsia="en-US"/>
        </w:rPr>
        <w:t xml:space="preserve">es </w:t>
      </w:r>
      <w:r w:rsidR="006A0396">
        <w:rPr>
          <w:rFonts w:ascii="Arial" w:eastAsia="Arial" w:hAnsi="Arial" w:cs="Arial"/>
          <w:sz w:val="22"/>
          <w:szCs w:val="22"/>
          <w:lang w:val="es-ES" w:eastAsia="en-US"/>
        </w:rPr>
        <w:t>obligatoria</w:t>
      </w:r>
      <w:r w:rsidRPr="0060131B">
        <w:rPr>
          <w:rFonts w:ascii="Arial" w:eastAsia="Arial" w:hAnsi="Arial" w:cs="Arial"/>
          <w:sz w:val="22"/>
          <w:szCs w:val="22"/>
          <w:lang w:val="es-ES" w:eastAsia="en-US"/>
        </w:rPr>
        <w:t xml:space="preserve"> en los contratos de prestación de servicios profesionales y de apoyo a la gestión, pues de acuerdo con la naturaleza de este contrato no reviste una complejidad que implique hacer un ajuste final de cuentas, reconociendo saldos a favor para alguna de las partes. Sin embargo, existen casos donde estos contratos tengan una importancia y relevancia que establezcan obligaciones que hagan difícil hacer un ajuste de cuentas con la simple cuenta de cobro, o que conlleve a discrepancia y controversias, razón por la que la ley </w:t>
      </w:r>
      <w:r w:rsidR="00360AF7">
        <w:rPr>
          <w:rFonts w:ascii="Arial" w:eastAsia="Arial" w:hAnsi="Arial" w:cs="Arial"/>
          <w:sz w:val="22"/>
          <w:szCs w:val="22"/>
          <w:lang w:val="es-ES" w:eastAsia="en-US"/>
        </w:rPr>
        <w:t>no prohíbe</w:t>
      </w:r>
      <w:r w:rsidR="00312D1C">
        <w:rPr>
          <w:rFonts w:ascii="Arial" w:eastAsia="Arial" w:hAnsi="Arial" w:cs="Arial"/>
          <w:sz w:val="22"/>
          <w:szCs w:val="22"/>
          <w:lang w:val="es-ES" w:eastAsia="en-US"/>
        </w:rPr>
        <w:t>,</w:t>
      </w:r>
      <w:r w:rsidRPr="0060131B">
        <w:rPr>
          <w:rFonts w:ascii="Arial" w:eastAsia="Arial" w:hAnsi="Arial" w:cs="Arial"/>
          <w:sz w:val="22"/>
          <w:szCs w:val="22"/>
          <w:lang w:val="es-ES" w:eastAsia="en-US"/>
        </w:rPr>
        <w:t xml:space="preserve"> por un lado, que se pacte la liquidación </w:t>
      </w:r>
      <w:r w:rsidRPr="0060131B">
        <w:rPr>
          <w:rFonts w:ascii="Arial" w:eastAsia="Arial" w:hAnsi="Arial" w:cs="Arial"/>
          <w:sz w:val="22"/>
          <w:szCs w:val="22"/>
          <w:lang w:val="es-ES" w:eastAsia="en-US"/>
        </w:rPr>
        <w:lastRenderedPageBreak/>
        <w:t>como cláusula accidental</w:t>
      </w:r>
      <w:r w:rsidRPr="0060131B">
        <w:rPr>
          <w:rFonts w:ascii="Arial" w:eastAsia="Arial" w:hAnsi="Arial" w:cs="Arial"/>
          <w:sz w:val="22"/>
          <w:szCs w:val="22"/>
          <w:vertAlign w:val="superscript"/>
          <w:lang w:val="es-ES" w:eastAsia="en-US"/>
        </w:rPr>
        <w:footnoteReference w:id="20"/>
      </w:r>
      <w:r w:rsidRPr="0060131B">
        <w:rPr>
          <w:rFonts w:ascii="Arial" w:eastAsia="Arial" w:hAnsi="Arial" w:cs="Arial"/>
          <w:sz w:val="22"/>
          <w:szCs w:val="22"/>
          <w:lang w:val="es-ES" w:eastAsia="en-US"/>
        </w:rPr>
        <w:t xml:space="preserve"> y</w:t>
      </w:r>
      <w:r w:rsidR="00B74EDE">
        <w:rPr>
          <w:rFonts w:ascii="Arial" w:eastAsia="Arial" w:hAnsi="Arial" w:cs="Arial"/>
          <w:sz w:val="22"/>
          <w:szCs w:val="22"/>
          <w:lang w:val="es-ES" w:eastAsia="en-US"/>
        </w:rPr>
        <w:t>,</w:t>
      </w:r>
      <w:r w:rsidRPr="0060131B">
        <w:rPr>
          <w:rFonts w:ascii="Arial" w:eastAsia="Arial" w:hAnsi="Arial" w:cs="Arial"/>
          <w:sz w:val="22"/>
          <w:szCs w:val="22"/>
          <w:lang w:val="es-ES" w:eastAsia="en-US"/>
        </w:rPr>
        <w:t xml:space="preserve"> por otro, que </w:t>
      </w:r>
      <w:r w:rsidR="00A11655">
        <w:rPr>
          <w:rFonts w:ascii="Arial" w:eastAsia="Arial" w:hAnsi="Arial" w:cs="Arial"/>
          <w:sz w:val="22"/>
          <w:szCs w:val="22"/>
          <w:lang w:val="es-ES" w:eastAsia="en-US"/>
        </w:rPr>
        <w:t>las partes</w:t>
      </w:r>
      <w:r w:rsidRPr="0060131B">
        <w:rPr>
          <w:rFonts w:ascii="Arial" w:eastAsia="Arial" w:hAnsi="Arial" w:cs="Arial"/>
          <w:sz w:val="22"/>
          <w:szCs w:val="22"/>
          <w:lang w:val="es-ES" w:eastAsia="en-US"/>
        </w:rPr>
        <w:t xml:space="preserve"> considere</w:t>
      </w:r>
      <w:r w:rsidR="00A11655">
        <w:rPr>
          <w:rFonts w:ascii="Arial" w:eastAsia="Arial" w:hAnsi="Arial" w:cs="Arial"/>
          <w:sz w:val="22"/>
          <w:szCs w:val="22"/>
          <w:lang w:val="es-ES" w:eastAsia="en-US"/>
        </w:rPr>
        <w:t>n</w:t>
      </w:r>
      <w:r w:rsidRPr="0060131B">
        <w:rPr>
          <w:rFonts w:ascii="Arial" w:eastAsia="Arial" w:hAnsi="Arial" w:cs="Arial"/>
          <w:sz w:val="22"/>
          <w:szCs w:val="22"/>
          <w:lang w:val="es-ES" w:eastAsia="en-US"/>
        </w:rPr>
        <w:t xml:space="preserve"> necesaria la liquidación al finalizar el contrato. </w:t>
      </w:r>
      <w:r w:rsidR="00096FFF">
        <w:rPr>
          <w:rFonts w:ascii="Arial" w:eastAsia="Arial" w:hAnsi="Arial" w:cs="Arial"/>
          <w:sz w:val="22"/>
          <w:szCs w:val="22"/>
          <w:lang w:val="es-ES" w:eastAsia="en-US"/>
        </w:rPr>
        <w:t>Sobre este último punto</w:t>
      </w:r>
      <w:r w:rsidRPr="0060131B">
        <w:rPr>
          <w:rFonts w:ascii="Arial" w:eastAsia="Arial" w:hAnsi="Arial" w:cs="Arial"/>
          <w:sz w:val="22"/>
          <w:szCs w:val="22"/>
          <w:lang w:val="es-ES" w:eastAsia="en-US"/>
        </w:rPr>
        <w:t xml:space="preserve">, el </w:t>
      </w:r>
      <w:r w:rsidR="00096FFF">
        <w:rPr>
          <w:rFonts w:ascii="Arial" w:eastAsia="Arial" w:hAnsi="Arial" w:cs="Arial"/>
          <w:sz w:val="22"/>
          <w:szCs w:val="22"/>
          <w:lang w:val="es-ES" w:eastAsia="en-US"/>
        </w:rPr>
        <w:t>C</w:t>
      </w:r>
      <w:r w:rsidRPr="0060131B">
        <w:rPr>
          <w:rFonts w:ascii="Arial" w:eastAsia="Arial" w:hAnsi="Arial" w:cs="Arial"/>
          <w:sz w:val="22"/>
          <w:szCs w:val="22"/>
          <w:lang w:val="es-ES" w:eastAsia="en-US"/>
        </w:rPr>
        <w:t>oncepto de la Contraloría General de la Republica</w:t>
      </w:r>
      <w:r w:rsidRPr="0060131B">
        <w:rPr>
          <w:rFonts w:ascii="Arial" w:eastAsia="Arial" w:hAnsi="Arial" w:cs="Arial"/>
          <w:spacing w:val="-7"/>
          <w:sz w:val="22"/>
          <w:szCs w:val="22"/>
          <w:lang w:val="es-ES" w:eastAsia="en-US"/>
        </w:rPr>
        <w:t xml:space="preserve"> </w:t>
      </w:r>
      <w:r w:rsidRPr="0060131B">
        <w:rPr>
          <w:rFonts w:ascii="Arial" w:eastAsia="Arial" w:hAnsi="Arial" w:cs="Arial"/>
          <w:sz w:val="22"/>
          <w:szCs w:val="22"/>
          <w:lang w:val="es-ES" w:eastAsia="en-US"/>
        </w:rPr>
        <w:t>considera</w:t>
      </w:r>
      <w:r w:rsidR="00096FFF">
        <w:rPr>
          <w:rFonts w:ascii="Arial" w:eastAsia="Arial" w:hAnsi="Arial" w:cs="Arial"/>
          <w:sz w:val="22"/>
          <w:szCs w:val="22"/>
          <w:lang w:val="es-ES" w:eastAsia="en-US"/>
        </w:rPr>
        <w:t xml:space="preserve"> lo siguiente</w:t>
      </w:r>
      <w:r w:rsidRPr="0060131B">
        <w:rPr>
          <w:rFonts w:ascii="Arial" w:eastAsia="Arial" w:hAnsi="Arial" w:cs="Arial"/>
          <w:sz w:val="22"/>
          <w:szCs w:val="22"/>
          <w:lang w:val="es-ES" w:eastAsia="en-US"/>
        </w:rPr>
        <w:t>:</w:t>
      </w:r>
    </w:p>
    <w:p w14:paraId="4F54B0E5" w14:textId="77777777" w:rsidR="0060131B" w:rsidRPr="005D1FF1" w:rsidRDefault="0060131B" w:rsidP="005D1FF1">
      <w:pPr>
        <w:widowControl w:val="0"/>
        <w:autoSpaceDE w:val="0"/>
        <w:autoSpaceDN w:val="0"/>
        <w:spacing w:before="3" w:line="276" w:lineRule="auto"/>
        <w:rPr>
          <w:rFonts w:ascii="Arial" w:eastAsia="Arial" w:hAnsi="Arial" w:cs="Arial"/>
          <w:sz w:val="22"/>
          <w:szCs w:val="22"/>
          <w:lang w:val="es-ES" w:eastAsia="en-US"/>
        </w:rPr>
      </w:pPr>
    </w:p>
    <w:p w14:paraId="7F132A50" w14:textId="0539253C" w:rsidR="0060131B" w:rsidRPr="0060131B" w:rsidRDefault="00096FFF" w:rsidP="0060131B">
      <w:pPr>
        <w:widowControl w:val="0"/>
        <w:autoSpaceDE w:val="0"/>
        <w:autoSpaceDN w:val="0"/>
        <w:spacing w:before="1"/>
        <w:ind w:left="709" w:right="717"/>
        <w:jc w:val="both"/>
        <w:rPr>
          <w:rFonts w:ascii="Arial" w:eastAsia="Arial" w:hAnsi="Arial" w:cs="Arial"/>
          <w:sz w:val="21"/>
          <w:szCs w:val="22"/>
          <w:lang w:val="es-ES" w:eastAsia="en-US"/>
        </w:rPr>
      </w:pPr>
      <w:r>
        <w:rPr>
          <w:rFonts w:ascii="Arial" w:eastAsia="Arial" w:hAnsi="Arial" w:cs="Arial"/>
          <w:sz w:val="21"/>
          <w:szCs w:val="22"/>
          <w:lang w:val="es-ES" w:eastAsia="en-US"/>
        </w:rPr>
        <w:t xml:space="preserve">[…] </w:t>
      </w:r>
      <w:r w:rsidR="0060131B" w:rsidRPr="0060131B">
        <w:rPr>
          <w:rFonts w:ascii="Arial" w:eastAsia="Arial" w:hAnsi="Arial" w:cs="Arial"/>
          <w:sz w:val="21"/>
          <w:szCs w:val="22"/>
          <w:lang w:val="es-ES" w:eastAsia="en-US"/>
        </w:rPr>
        <w:t>en principio, no será necesario proceder a la liquidación de los contratos de prestación de servicios profesionales y de apoyo a la gestión. No obstante -y es aquí donde juega el aspecto de la conveniencia- habrá casos en los cuales por la complejidad del contrato y de las prestaciones de las partes puede ser necesario proceder a la liquidación del contrato con el propósito de finiquitar de manera definitiva las prestaciones recíprocas de las partes, especialmente si cabe razonablemente deducir el eventual ejercicio de acciones de orden contencioso en lo</w:t>
      </w:r>
      <w:r w:rsidR="0060131B" w:rsidRPr="0060131B">
        <w:rPr>
          <w:rFonts w:ascii="Carlito" w:eastAsia="Arial" w:hAnsi="Carlito" w:cs="Arial"/>
          <w:position w:val="6"/>
          <w:sz w:val="13"/>
          <w:szCs w:val="22"/>
          <w:lang w:val="es-ES" w:eastAsia="en-US"/>
        </w:rPr>
        <w:t xml:space="preserve"> </w:t>
      </w:r>
      <w:r w:rsidR="0060131B" w:rsidRPr="0060131B">
        <w:rPr>
          <w:rFonts w:ascii="Arial" w:eastAsia="Arial" w:hAnsi="Arial" w:cs="Arial"/>
          <w:sz w:val="21"/>
          <w:szCs w:val="22"/>
          <w:lang w:val="es-ES" w:eastAsia="en-US"/>
        </w:rPr>
        <w:t>referente a la ejecución contractual. Por supuesto -y esto se sobre entiende- en aquellos casos será necesario que el supervisor del contrato, como encargado de la verificación adecuada ejecución contractual, informe oportunamente a la autoridad competente acerca de la necesidad de dar inicio al trámite de liquidación contractual ofreciendo la justificación del caso. Entendemos que tal justificación es necesaria, toda vez que un entendimiento diverso daría al traste con la pretensión del legislador extraordinario de liberar a la administración pública y a los administrados del cumplimiento de trámites que pueden resultar innecesarios en las relaciones que sostengan.</w:t>
      </w:r>
    </w:p>
    <w:p w14:paraId="1D4B3933" w14:textId="77777777" w:rsidR="0060131B" w:rsidRPr="005D1FF1" w:rsidRDefault="0060131B" w:rsidP="005D1FF1">
      <w:pPr>
        <w:widowControl w:val="0"/>
        <w:autoSpaceDE w:val="0"/>
        <w:autoSpaceDN w:val="0"/>
        <w:spacing w:before="5" w:line="276" w:lineRule="auto"/>
        <w:rPr>
          <w:rFonts w:ascii="Arial" w:eastAsia="Arial" w:hAnsi="Arial" w:cs="Arial"/>
          <w:sz w:val="22"/>
          <w:szCs w:val="22"/>
          <w:lang w:val="es-ES" w:eastAsia="en-US"/>
        </w:rPr>
      </w:pPr>
    </w:p>
    <w:p w14:paraId="54A7BADC" w14:textId="7A5B2E93" w:rsidR="0060131B" w:rsidRDefault="0060131B" w:rsidP="005D1FF1">
      <w:pPr>
        <w:widowControl w:val="0"/>
        <w:autoSpaceDE w:val="0"/>
        <w:autoSpaceDN w:val="0"/>
        <w:spacing w:line="276" w:lineRule="auto"/>
        <w:ind w:firstLine="709"/>
        <w:jc w:val="both"/>
        <w:rPr>
          <w:rFonts w:ascii="Arial" w:eastAsia="Arial" w:hAnsi="Arial" w:cs="Arial"/>
          <w:sz w:val="22"/>
          <w:szCs w:val="22"/>
          <w:lang w:val="es-ES" w:eastAsia="en-US"/>
        </w:rPr>
      </w:pPr>
      <w:r>
        <w:rPr>
          <w:rFonts w:ascii="Arial" w:eastAsia="Arial" w:hAnsi="Arial" w:cs="Arial"/>
          <w:sz w:val="22"/>
          <w:szCs w:val="22"/>
          <w:lang w:val="es-ES" w:eastAsia="en-US"/>
        </w:rPr>
        <w:t>Bajo ese entendido, se aclara, que en el caso de que un contrato de prestación de servicios termine de manera anticipada, no implica</w:t>
      </w:r>
      <w:r w:rsidR="00EA3D3E">
        <w:rPr>
          <w:rFonts w:ascii="Arial" w:eastAsia="Arial" w:hAnsi="Arial" w:cs="Arial"/>
          <w:sz w:val="22"/>
          <w:szCs w:val="22"/>
          <w:lang w:val="es-ES" w:eastAsia="en-US"/>
        </w:rPr>
        <w:t xml:space="preserve"> </w:t>
      </w:r>
      <w:r>
        <w:rPr>
          <w:rFonts w:ascii="Arial" w:eastAsia="Arial" w:hAnsi="Arial" w:cs="Arial"/>
          <w:sz w:val="22"/>
          <w:szCs w:val="22"/>
          <w:lang w:val="es-ES" w:eastAsia="en-US"/>
        </w:rPr>
        <w:t>necesariamente su liquidación, pues ante este evento, la</w:t>
      </w:r>
      <w:r w:rsidR="00C60115">
        <w:rPr>
          <w:rFonts w:ascii="Arial" w:eastAsia="Arial" w:hAnsi="Arial" w:cs="Arial"/>
          <w:sz w:val="22"/>
          <w:szCs w:val="22"/>
          <w:lang w:val="es-ES" w:eastAsia="en-US"/>
        </w:rPr>
        <w:t xml:space="preserve">s partes </w:t>
      </w:r>
      <w:r>
        <w:rPr>
          <w:rFonts w:ascii="Arial" w:eastAsia="Arial" w:hAnsi="Arial" w:cs="Arial"/>
          <w:sz w:val="22"/>
          <w:szCs w:val="22"/>
          <w:lang w:val="es-ES" w:eastAsia="en-US"/>
        </w:rPr>
        <w:t>deberá</w:t>
      </w:r>
      <w:r w:rsidR="00AF2584">
        <w:rPr>
          <w:rFonts w:ascii="Arial" w:eastAsia="Arial" w:hAnsi="Arial" w:cs="Arial"/>
          <w:sz w:val="22"/>
          <w:szCs w:val="22"/>
          <w:lang w:val="es-ES" w:eastAsia="en-US"/>
        </w:rPr>
        <w:t>n</w:t>
      </w:r>
      <w:r>
        <w:rPr>
          <w:rFonts w:ascii="Arial" w:eastAsia="Arial" w:hAnsi="Arial" w:cs="Arial"/>
          <w:sz w:val="22"/>
          <w:szCs w:val="22"/>
          <w:lang w:val="es-ES" w:eastAsia="en-US"/>
        </w:rPr>
        <w:t xml:space="preserve"> valorar si dadas </w:t>
      </w:r>
      <w:r w:rsidR="00EA3D3E">
        <w:rPr>
          <w:rFonts w:ascii="Arial" w:eastAsia="Arial" w:hAnsi="Arial" w:cs="Arial"/>
          <w:sz w:val="22"/>
          <w:szCs w:val="22"/>
          <w:lang w:val="es-ES" w:eastAsia="en-US"/>
        </w:rPr>
        <w:t>las características</w:t>
      </w:r>
      <w:r>
        <w:rPr>
          <w:rFonts w:ascii="Arial" w:eastAsia="Arial" w:hAnsi="Arial" w:cs="Arial"/>
          <w:sz w:val="22"/>
          <w:szCs w:val="22"/>
          <w:lang w:val="es-ES" w:eastAsia="en-US"/>
        </w:rPr>
        <w:t xml:space="preserve"> del contrato </w:t>
      </w:r>
      <w:r w:rsidR="00EA3D3E">
        <w:rPr>
          <w:rFonts w:ascii="Arial" w:eastAsia="Arial" w:hAnsi="Arial" w:cs="Arial"/>
          <w:sz w:val="22"/>
          <w:szCs w:val="22"/>
          <w:lang w:val="es-ES" w:eastAsia="en-US"/>
        </w:rPr>
        <w:t>o</w:t>
      </w:r>
      <w:r>
        <w:rPr>
          <w:rFonts w:ascii="Arial" w:eastAsia="Arial" w:hAnsi="Arial" w:cs="Arial"/>
          <w:sz w:val="22"/>
          <w:szCs w:val="22"/>
          <w:lang w:val="es-ES" w:eastAsia="en-US"/>
        </w:rPr>
        <w:t xml:space="preserve"> </w:t>
      </w:r>
      <w:r w:rsidR="00EA3D3E">
        <w:rPr>
          <w:rFonts w:ascii="Arial" w:eastAsia="Arial" w:hAnsi="Arial" w:cs="Arial"/>
          <w:sz w:val="22"/>
          <w:szCs w:val="22"/>
          <w:lang w:val="es-ES" w:eastAsia="en-US"/>
        </w:rPr>
        <w:t>ante la eventual controversia en torno a su ejecución, justifican que este deba liquidarse. Por otro lado</w:t>
      </w:r>
      <w:r w:rsidRPr="0060131B">
        <w:rPr>
          <w:rFonts w:ascii="Arial" w:eastAsia="Arial" w:hAnsi="Arial" w:cs="Arial"/>
          <w:sz w:val="22"/>
          <w:szCs w:val="22"/>
          <w:lang w:val="es-ES" w:eastAsia="en-US"/>
        </w:rPr>
        <w:t xml:space="preserve">, de acuerdo con la voluntad de </w:t>
      </w:r>
      <w:r w:rsidR="00A23D9C">
        <w:rPr>
          <w:rFonts w:ascii="Arial" w:eastAsia="Arial" w:hAnsi="Arial" w:cs="Arial"/>
          <w:sz w:val="22"/>
          <w:szCs w:val="22"/>
          <w:lang w:val="es-ES" w:eastAsia="en-US"/>
        </w:rPr>
        <w:t>los contratantes</w:t>
      </w:r>
      <w:r w:rsidRPr="0060131B">
        <w:rPr>
          <w:rFonts w:ascii="Arial" w:eastAsia="Arial" w:hAnsi="Arial" w:cs="Arial"/>
          <w:sz w:val="22"/>
          <w:szCs w:val="22"/>
          <w:lang w:val="es-ES" w:eastAsia="en-US"/>
        </w:rPr>
        <w:t>, es posible que se pacte liquidar el contrato de prestación de servicios y</w:t>
      </w:r>
      <w:r w:rsidR="009B798E">
        <w:rPr>
          <w:rFonts w:ascii="Arial" w:eastAsia="Arial" w:hAnsi="Arial" w:cs="Arial"/>
          <w:sz w:val="22"/>
          <w:szCs w:val="22"/>
          <w:lang w:val="es-ES" w:eastAsia="en-US"/>
        </w:rPr>
        <w:t>,</w:t>
      </w:r>
      <w:r w:rsidRPr="0060131B">
        <w:rPr>
          <w:rFonts w:ascii="Arial" w:eastAsia="Arial" w:hAnsi="Arial" w:cs="Arial"/>
          <w:sz w:val="22"/>
          <w:szCs w:val="22"/>
          <w:lang w:val="es-ES" w:eastAsia="en-US"/>
        </w:rPr>
        <w:t xml:space="preserve"> en este sentido, </w:t>
      </w:r>
      <w:r w:rsidR="006F7C4A">
        <w:rPr>
          <w:rFonts w:ascii="Arial" w:eastAsia="Arial" w:hAnsi="Arial" w:cs="Arial"/>
          <w:sz w:val="22"/>
          <w:szCs w:val="22"/>
          <w:lang w:val="es-ES" w:eastAsia="en-US"/>
        </w:rPr>
        <w:t>aplica</w:t>
      </w:r>
      <w:r w:rsidR="006F7C4A" w:rsidRPr="0060131B">
        <w:rPr>
          <w:rFonts w:ascii="Arial" w:eastAsia="Arial" w:hAnsi="Arial" w:cs="Arial"/>
          <w:sz w:val="22"/>
          <w:szCs w:val="22"/>
          <w:lang w:val="es-ES" w:eastAsia="en-US"/>
        </w:rPr>
        <w:t xml:space="preserve"> </w:t>
      </w:r>
      <w:r w:rsidRPr="0060131B">
        <w:rPr>
          <w:rFonts w:ascii="Arial" w:eastAsia="Arial" w:hAnsi="Arial" w:cs="Arial"/>
          <w:sz w:val="22"/>
          <w:szCs w:val="22"/>
          <w:lang w:val="es-ES" w:eastAsia="en-US"/>
        </w:rPr>
        <w:t xml:space="preserve">el principio </w:t>
      </w:r>
      <w:r w:rsidRPr="0060131B">
        <w:rPr>
          <w:rFonts w:ascii="Arial" w:eastAsia="Arial" w:hAnsi="Arial" w:cs="Arial"/>
          <w:i/>
          <w:sz w:val="22"/>
          <w:szCs w:val="22"/>
          <w:lang w:val="es-ES" w:eastAsia="en-US"/>
        </w:rPr>
        <w:t xml:space="preserve">pacta </w:t>
      </w:r>
      <w:proofErr w:type="spellStart"/>
      <w:r w:rsidRPr="0060131B">
        <w:rPr>
          <w:rFonts w:ascii="Arial" w:eastAsia="Arial" w:hAnsi="Arial" w:cs="Arial"/>
          <w:i/>
          <w:sz w:val="22"/>
          <w:szCs w:val="22"/>
          <w:lang w:val="es-ES" w:eastAsia="en-US"/>
        </w:rPr>
        <w:t>sunt</w:t>
      </w:r>
      <w:proofErr w:type="spellEnd"/>
      <w:r w:rsidRPr="0060131B">
        <w:rPr>
          <w:rFonts w:ascii="Arial" w:eastAsia="Arial" w:hAnsi="Arial" w:cs="Arial"/>
          <w:i/>
          <w:sz w:val="22"/>
          <w:szCs w:val="22"/>
          <w:lang w:val="es-ES" w:eastAsia="en-US"/>
        </w:rPr>
        <w:t xml:space="preserve"> </w:t>
      </w:r>
      <w:proofErr w:type="spellStart"/>
      <w:r w:rsidRPr="0060131B">
        <w:rPr>
          <w:rFonts w:ascii="Arial" w:eastAsia="Arial" w:hAnsi="Arial" w:cs="Arial"/>
          <w:i/>
          <w:sz w:val="22"/>
          <w:szCs w:val="22"/>
          <w:lang w:val="es-ES" w:eastAsia="en-US"/>
        </w:rPr>
        <w:t>servanda</w:t>
      </w:r>
      <w:proofErr w:type="spellEnd"/>
      <w:r w:rsidRPr="0060131B">
        <w:rPr>
          <w:rFonts w:ascii="Arial" w:eastAsia="Arial" w:hAnsi="Arial" w:cs="Arial"/>
          <w:sz w:val="22"/>
          <w:szCs w:val="22"/>
          <w:vertAlign w:val="superscript"/>
          <w:lang w:val="es-ES" w:eastAsia="en-US"/>
        </w:rPr>
        <w:footnoteReference w:id="21"/>
      </w:r>
      <w:r w:rsidRPr="0060131B">
        <w:rPr>
          <w:rFonts w:ascii="Arial" w:eastAsia="Arial" w:hAnsi="Arial" w:cs="Arial"/>
          <w:sz w:val="22"/>
          <w:szCs w:val="22"/>
          <w:lang w:val="es-ES" w:eastAsia="en-US"/>
        </w:rPr>
        <w:t>.</w:t>
      </w:r>
      <w:r w:rsidR="00A27846">
        <w:rPr>
          <w:rFonts w:ascii="Arial" w:eastAsia="Arial" w:hAnsi="Arial" w:cs="Arial"/>
          <w:sz w:val="22"/>
          <w:szCs w:val="22"/>
          <w:lang w:val="es-ES" w:eastAsia="en-US"/>
        </w:rPr>
        <w:t xml:space="preserve"> En ambos casos</w:t>
      </w:r>
      <w:r w:rsidR="007076E5">
        <w:rPr>
          <w:rFonts w:ascii="Arial" w:eastAsia="Arial" w:hAnsi="Arial" w:cs="Arial"/>
          <w:sz w:val="22"/>
          <w:szCs w:val="22"/>
          <w:lang w:val="es-ES" w:eastAsia="en-US"/>
        </w:rPr>
        <w:t>, la liquidación será facultativa.</w:t>
      </w:r>
    </w:p>
    <w:p w14:paraId="53EBE3D8" w14:textId="77777777" w:rsidR="00DE22D3" w:rsidRPr="0060131B" w:rsidRDefault="00DE22D3" w:rsidP="00D059DA">
      <w:pPr>
        <w:tabs>
          <w:tab w:val="left" w:pos="0"/>
        </w:tabs>
        <w:jc w:val="both"/>
        <w:rPr>
          <w:rFonts w:ascii="Arial" w:eastAsia="Calibri" w:hAnsi="Arial" w:cs="Arial"/>
          <w:b/>
          <w:color w:val="000000" w:themeColor="text1"/>
          <w:sz w:val="22"/>
          <w:lang w:val="es-ES"/>
        </w:rPr>
      </w:pPr>
    </w:p>
    <w:p w14:paraId="37CA9805" w14:textId="74A99BE5" w:rsidR="00DD5B04" w:rsidRPr="00337B9F" w:rsidRDefault="004177A6" w:rsidP="00510DE9">
      <w:pPr>
        <w:tabs>
          <w:tab w:val="left" w:pos="0"/>
        </w:tabs>
        <w:jc w:val="both"/>
        <w:rPr>
          <w:rFonts w:ascii="Arial" w:eastAsia="Calibri" w:hAnsi="Arial" w:cs="Arial"/>
          <w:b/>
          <w:color w:val="000000" w:themeColor="text1"/>
          <w:sz w:val="22"/>
          <w:lang w:val="es-ES_tradnl"/>
        </w:rPr>
      </w:pPr>
      <w:r w:rsidRPr="00337B9F">
        <w:rPr>
          <w:rFonts w:ascii="Arial" w:eastAsia="Calibri" w:hAnsi="Arial" w:cs="Arial"/>
          <w:b/>
          <w:color w:val="000000" w:themeColor="text1"/>
          <w:sz w:val="22"/>
          <w:lang w:val="es-ES_tradnl"/>
        </w:rPr>
        <w:t>3</w:t>
      </w:r>
      <w:r w:rsidR="00B011A9" w:rsidRPr="00337B9F">
        <w:rPr>
          <w:rFonts w:ascii="Arial" w:eastAsia="Calibri" w:hAnsi="Arial" w:cs="Arial"/>
          <w:b/>
          <w:color w:val="000000" w:themeColor="text1"/>
          <w:sz w:val="22"/>
          <w:lang w:val="es-ES_tradnl"/>
        </w:rPr>
        <w:t xml:space="preserve">. </w:t>
      </w:r>
      <w:r w:rsidR="00DD5B04" w:rsidRPr="00337B9F">
        <w:rPr>
          <w:rFonts w:ascii="Arial" w:eastAsia="Calibri" w:hAnsi="Arial" w:cs="Arial"/>
          <w:b/>
          <w:color w:val="000000" w:themeColor="text1"/>
          <w:sz w:val="22"/>
          <w:lang w:val="es-ES_tradnl"/>
        </w:rPr>
        <w:t>Respuesta</w:t>
      </w:r>
      <w:r w:rsidR="002A7D84" w:rsidRPr="00337B9F">
        <w:rPr>
          <w:rFonts w:ascii="Arial" w:eastAsia="Calibri" w:hAnsi="Arial" w:cs="Arial"/>
          <w:b/>
          <w:color w:val="000000" w:themeColor="text1"/>
          <w:sz w:val="22"/>
          <w:lang w:val="es-ES_tradnl"/>
        </w:rPr>
        <w:t>s</w:t>
      </w:r>
    </w:p>
    <w:p w14:paraId="0B74D5B8" w14:textId="7F0A7F13" w:rsidR="00C4581D" w:rsidRPr="00337B9F" w:rsidRDefault="00C4581D" w:rsidP="00755014">
      <w:pPr>
        <w:tabs>
          <w:tab w:val="left" w:pos="0"/>
        </w:tabs>
        <w:spacing w:line="276" w:lineRule="auto"/>
        <w:jc w:val="both"/>
        <w:rPr>
          <w:rFonts w:ascii="Arial" w:eastAsia="Calibri" w:hAnsi="Arial" w:cs="Arial"/>
          <w:color w:val="000000" w:themeColor="text1"/>
          <w:sz w:val="22"/>
          <w:lang w:val="es-ES_tradnl"/>
        </w:rPr>
      </w:pPr>
    </w:p>
    <w:p w14:paraId="6B2F4515" w14:textId="550AFC19" w:rsidR="008977FB" w:rsidRPr="0062425B" w:rsidRDefault="00EA3D3E" w:rsidP="0062425B">
      <w:pPr>
        <w:spacing w:after="120"/>
        <w:ind w:left="709" w:right="709"/>
        <w:jc w:val="both"/>
        <w:rPr>
          <w:rFonts w:ascii="Arial" w:hAnsi="Arial" w:cs="Arial"/>
          <w:color w:val="000000" w:themeColor="text1"/>
          <w:sz w:val="21"/>
          <w:szCs w:val="21"/>
        </w:rPr>
      </w:pPr>
      <w:r w:rsidRPr="00EA3D3E">
        <w:rPr>
          <w:rFonts w:ascii="Arial" w:hAnsi="Arial" w:cs="Arial"/>
          <w:color w:val="000000" w:themeColor="text1"/>
          <w:sz w:val="21"/>
          <w:szCs w:val="21"/>
        </w:rPr>
        <w:t>«[…] se</w:t>
      </w:r>
      <w:r w:rsidRPr="00EA3D3E">
        <w:rPr>
          <w:rFonts w:ascii="Arial" w:hAnsi="Arial" w:cs="Arial"/>
          <w:color w:val="000000" w:themeColor="text1"/>
          <w:sz w:val="21"/>
          <w:szCs w:val="21"/>
          <w:lang w:val="es-ES_tradnl"/>
        </w:rPr>
        <w:t xml:space="preserve"> informe la pertinencia de suscribir un Acta de Liquidación bilateral en los contratos de prestación de servicios que terminan de forma anormal, por ejemplo, por la solicitud del contratista de terminación anticipada del mismo».</w:t>
      </w:r>
    </w:p>
    <w:p w14:paraId="2B2E74B3" w14:textId="15F49E70" w:rsidR="00DE6469" w:rsidRDefault="008977FB" w:rsidP="00DE6469">
      <w:pPr>
        <w:spacing w:before="120" w:after="120" w:line="276" w:lineRule="auto"/>
        <w:jc w:val="both"/>
        <w:rPr>
          <w:rFonts w:ascii="Arial" w:eastAsia="Calibri" w:hAnsi="Arial" w:cs="Arial"/>
          <w:sz w:val="22"/>
          <w:szCs w:val="22"/>
          <w:lang w:val="es-ES" w:eastAsia="en-US"/>
        </w:rPr>
      </w:pPr>
      <w:r>
        <w:rPr>
          <w:rFonts w:ascii="Arial" w:eastAsia="Arial" w:hAnsi="Arial" w:cs="Arial"/>
          <w:sz w:val="22"/>
          <w:szCs w:val="22"/>
          <w:lang w:val="es-ES" w:eastAsia="en-US"/>
        </w:rPr>
        <w:lastRenderedPageBreak/>
        <w:t xml:space="preserve">En un principio, </w:t>
      </w:r>
      <w:r w:rsidR="00DE6469" w:rsidRPr="00DE6469">
        <w:rPr>
          <w:rFonts w:ascii="Arial" w:eastAsia="Arial" w:hAnsi="Arial" w:cs="Arial"/>
          <w:sz w:val="22"/>
          <w:szCs w:val="22"/>
          <w:lang w:val="es-ES" w:eastAsia="en-US"/>
        </w:rPr>
        <w:t xml:space="preserve">la liquidación no es </w:t>
      </w:r>
      <w:r w:rsidR="006A0396">
        <w:rPr>
          <w:rFonts w:ascii="Arial" w:eastAsia="Arial" w:hAnsi="Arial" w:cs="Arial"/>
          <w:sz w:val="22"/>
          <w:szCs w:val="22"/>
          <w:lang w:val="es-ES" w:eastAsia="en-US"/>
        </w:rPr>
        <w:t>obligatoria</w:t>
      </w:r>
      <w:r w:rsidR="00DE6469" w:rsidRPr="00DE6469">
        <w:rPr>
          <w:rFonts w:ascii="Arial" w:eastAsia="Arial" w:hAnsi="Arial" w:cs="Arial"/>
          <w:sz w:val="22"/>
          <w:szCs w:val="22"/>
          <w:lang w:val="es-ES" w:eastAsia="en-US"/>
        </w:rPr>
        <w:t xml:space="preserve"> en los contratos de prestación de servicios profesionales y de apoyo a la gestión, pues de acuerdo con la naturaleza de este contrato no reviste una complejidad que implique hacer un ajuste final de cuentas, reconociendo saldos a favor para alguna de las partes. Sin embargo, existen casos donde estos contratos tengan una importancia y relevancia que establezcan obligaciones que hagan difícil hacer un ajuste de cuentas con la simple cuenta de cobro, o que conlleve a discrepancia y controversias, razón por la que la ley </w:t>
      </w:r>
      <w:r w:rsidR="00EF745E">
        <w:rPr>
          <w:rFonts w:ascii="Arial" w:eastAsia="Arial" w:hAnsi="Arial" w:cs="Arial"/>
          <w:sz w:val="22"/>
          <w:szCs w:val="22"/>
          <w:lang w:val="es-ES" w:eastAsia="en-US"/>
        </w:rPr>
        <w:t>no prohíbe</w:t>
      </w:r>
      <w:r w:rsidR="00DE6469" w:rsidRPr="00DE6469">
        <w:rPr>
          <w:rFonts w:ascii="Arial" w:eastAsia="Arial" w:hAnsi="Arial" w:cs="Arial"/>
          <w:sz w:val="22"/>
          <w:szCs w:val="22"/>
          <w:lang w:val="es-ES" w:eastAsia="en-US"/>
        </w:rPr>
        <w:t>, por un lado, que se pacte la liquidación como cláusula accidental y, por otro, que las partes consideren necesaria la liquidación al finalizar el contrato</w:t>
      </w:r>
      <w:r w:rsidR="007076E5">
        <w:rPr>
          <w:rFonts w:ascii="Arial" w:eastAsia="Arial" w:hAnsi="Arial" w:cs="Arial"/>
          <w:sz w:val="22"/>
          <w:szCs w:val="22"/>
          <w:lang w:val="es-ES" w:eastAsia="en-US"/>
        </w:rPr>
        <w:t>. En ambos casos, la liquidación será facultativa.</w:t>
      </w:r>
    </w:p>
    <w:p w14:paraId="37091687" w14:textId="7D6EA0A6" w:rsidR="00F740A0" w:rsidRPr="008977FB" w:rsidRDefault="00F740A0" w:rsidP="005D1FF1">
      <w:pPr>
        <w:spacing w:before="120" w:line="276" w:lineRule="auto"/>
        <w:jc w:val="both"/>
        <w:rPr>
          <w:rFonts w:ascii="Arial" w:eastAsia="Arial" w:hAnsi="Arial" w:cs="Arial"/>
          <w:sz w:val="22"/>
          <w:szCs w:val="22"/>
          <w:lang w:val="es-ES" w:eastAsia="en-US"/>
        </w:rPr>
      </w:pPr>
    </w:p>
    <w:p w14:paraId="7B2C921D" w14:textId="6360A462" w:rsidR="00DD5B04" w:rsidRPr="00337B9F" w:rsidRDefault="00DD5B04" w:rsidP="00DF76A2">
      <w:pPr>
        <w:spacing w:line="276" w:lineRule="auto"/>
        <w:jc w:val="both"/>
        <w:rPr>
          <w:rFonts w:ascii="Arial" w:hAnsi="Arial" w:cs="Arial"/>
          <w:color w:val="000000" w:themeColor="text1"/>
          <w:sz w:val="22"/>
          <w:lang w:val="es-ES_tradnl"/>
        </w:rPr>
      </w:pPr>
      <w:r w:rsidRPr="00337B9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37B9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337B9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Atentamente,</w:t>
      </w:r>
    </w:p>
    <w:p w14:paraId="692FC307" w14:textId="210AA6B5" w:rsidR="00921304" w:rsidRPr="00337B9F"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1ED4E5CA" w:rsidR="00921304" w:rsidRPr="00337B9F" w:rsidRDefault="00130B4E"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rPr>
        <w:drawing>
          <wp:inline distT="0" distB="0" distL="0" distR="0" wp14:anchorId="688049DA" wp14:editId="1C9E1760">
            <wp:extent cx="2514600" cy="1117600"/>
            <wp:effectExtent l="0" t="0" r="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7600"/>
                    </a:xfrm>
                    <a:prstGeom prst="rect">
                      <a:avLst/>
                    </a:prstGeom>
                    <a:noFill/>
                    <a:ln>
                      <a:noFill/>
                    </a:ln>
                  </pic:spPr>
                </pic:pic>
              </a:graphicData>
            </a:graphic>
          </wp:inline>
        </w:drawing>
      </w:r>
    </w:p>
    <w:p w14:paraId="5CBAE239" w14:textId="77777777" w:rsidR="00425C43" w:rsidRPr="00337B9F" w:rsidRDefault="00425C43" w:rsidP="00B37657">
      <w:pPr>
        <w:jc w:val="center"/>
        <w:rPr>
          <w:rFonts w:ascii="Arial" w:hAnsi="Arial" w:cs="Arial"/>
          <w:color w:val="000000" w:themeColor="text1"/>
          <w:sz w:val="18"/>
          <w:szCs w:val="20"/>
          <w:lang w:val="es-ES_tradnl" w:eastAsia="es-CO"/>
        </w:rPr>
      </w:pPr>
    </w:p>
    <w:p w14:paraId="49730030" w14:textId="217D35F3" w:rsidR="00DD5B04" w:rsidRPr="00337B9F"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337B9F" w14:paraId="0C7DC5F7" w14:textId="77777777" w:rsidTr="008F4163">
        <w:trPr>
          <w:trHeight w:val="315"/>
        </w:trPr>
        <w:tc>
          <w:tcPr>
            <w:tcW w:w="812" w:type="dxa"/>
            <w:vAlign w:val="center"/>
            <w:hideMark/>
          </w:tcPr>
          <w:p w14:paraId="5BDB1AC9" w14:textId="77777777" w:rsidR="00DD5B04" w:rsidRPr="00337B9F" w:rsidRDefault="00DD5B04"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337B9F" w:rsidRDefault="001A422D" w:rsidP="00B253CE">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David Torres Rojas</w:t>
            </w:r>
          </w:p>
          <w:p w14:paraId="240C71FD" w14:textId="490C7B4C" w:rsidR="00DD5B04" w:rsidRPr="00337B9F" w:rsidRDefault="001A422D"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Contratista</w:t>
            </w:r>
            <w:r w:rsidR="00B253CE" w:rsidRPr="00337B9F">
              <w:rPr>
                <w:rFonts w:ascii="Arial" w:hAnsi="Arial" w:cs="Arial"/>
                <w:color w:val="000000" w:themeColor="text1"/>
                <w:sz w:val="16"/>
                <w:szCs w:val="16"/>
                <w:lang w:val="es-ES_tradnl" w:eastAsia="es-ES"/>
              </w:rPr>
              <w:t xml:space="preserve"> de la Subdirección de Gestión Contractual</w:t>
            </w:r>
          </w:p>
        </w:tc>
      </w:tr>
      <w:tr w:rsidR="00DD5B04" w:rsidRPr="00337B9F" w14:paraId="2F8FD650" w14:textId="77777777" w:rsidTr="008F4163">
        <w:trPr>
          <w:trHeight w:val="330"/>
        </w:trPr>
        <w:tc>
          <w:tcPr>
            <w:tcW w:w="812" w:type="dxa"/>
            <w:vAlign w:val="center"/>
            <w:hideMark/>
          </w:tcPr>
          <w:p w14:paraId="50203A0B" w14:textId="77777777" w:rsidR="00DD5B04" w:rsidRPr="00337B9F" w:rsidRDefault="00DD5B04"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8430DF" w14:textId="6D552161" w:rsidR="001A422D" w:rsidRPr="00337B9F" w:rsidRDefault="00EA3D3E" w:rsidP="001A422D">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Montoya Penagos</w:t>
            </w:r>
          </w:p>
          <w:p w14:paraId="130B3228" w14:textId="7C53AC3B" w:rsidR="00DD5B04" w:rsidRPr="00337B9F" w:rsidRDefault="001A422D" w:rsidP="001A422D">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Gestor T1-15 de la Subdirección de Gestión Contractual</w:t>
            </w:r>
          </w:p>
        </w:tc>
      </w:tr>
      <w:tr w:rsidR="00DD5B04" w:rsidRPr="00C440B6" w14:paraId="0FCBCA4A" w14:textId="77777777" w:rsidTr="008F4163">
        <w:trPr>
          <w:trHeight w:val="300"/>
        </w:trPr>
        <w:tc>
          <w:tcPr>
            <w:tcW w:w="812" w:type="dxa"/>
            <w:vAlign w:val="center"/>
            <w:hideMark/>
          </w:tcPr>
          <w:p w14:paraId="3C1D943A" w14:textId="77777777" w:rsidR="00DD5B04" w:rsidRPr="00337B9F" w:rsidRDefault="00DD5B04"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337B9F" w:rsidRDefault="00C05A61"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 xml:space="preserve">Jorge </w:t>
            </w:r>
            <w:r w:rsidR="00647A36" w:rsidRPr="00337B9F">
              <w:rPr>
                <w:rFonts w:ascii="Arial" w:hAnsi="Arial" w:cs="Arial"/>
                <w:color w:val="000000" w:themeColor="text1"/>
                <w:sz w:val="16"/>
                <w:szCs w:val="16"/>
                <w:lang w:val="es-ES_tradnl" w:eastAsia="es-ES"/>
              </w:rPr>
              <w:t xml:space="preserve">Augusto </w:t>
            </w:r>
            <w:r w:rsidRPr="00337B9F">
              <w:rPr>
                <w:rFonts w:ascii="Arial" w:hAnsi="Arial" w:cs="Arial"/>
                <w:color w:val="000000" w:themeColor="text1"/>
                <w:sz w:val="16"/>
                <w:szCs w:val="16"/>
                <w:lang w:val="es-ES_tradnl" w:eastAsia="es-ES"/>
              </w:rPr>
              <w:t>Tirado Navarro</w:t>
            </w:r>
          </w:p>
          <w:p w14:paraId="1ADC483B" w14:textId="0B6A3583" w:rsidR="00DD5B04" w:rsidRPr="00C440B6" w:rsidRDefault="00DD5B04"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Subdirector de Gestión Contractual</w:t>
            </w:r>
            <w:r w:rsidR="005F5694" w:rsidRPr="00337B9F">
              <w:rPr>
                <w:rFonts w:ascii="Arial" w:hAnsi="Arial" w:cs="Arial"/>
                <w:color w:val="000000" w:themeColor="text1"/>
                <w:sz w:val="16"/>
                <w:szCs w:val="16"/>
                <w:lang w:val="es-ES_tradnl" w:eastAsia="es-ES"/>
              </w:rPr>
              <w:t xml:space="preserve"> ANCP – CCE</w:t>
            </w:r>
          </w:p>
        </w:tc>
      </w:tr>
      <w:bookmarkEnd w:id="1"/>
    </w:tbl>
    <w:p w14:paraId="35B56F46" w14:textId="77777777" w:rsidR="00746E08" w:rsidRPr="00C440B6" w:rsidRDefault="00746E08" w:rsidP="00215B8E">
      <w:pPr>
        <w:jc w:val="both"/>
        <w:rPr>
          <w:rFonts w:ascii="Arial" w:hAnsi="Arial" w:cs="Arial"/>
          <w:lang w:val="es-ES_tradnl"/>
        </w:rPr>
      </w:pPr>
    </w:p>
    <w:sectPr w:rsidR="00746E08" w:rsidRPr="00C440B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3DD9E7" w14:textId="77777777" w:rsidR="00061305" w:rsidRDefault="00061305">
      <w:r>
        <w:separator/>
      </w:r>
    </w:p>
  </w:endnote>
  <w:endnote w:type="continuationSeparator" w:id="0">
    <w:p w14:paraId="7969C797" w14:textId="77777777" w:rsidR="00061305" w:rsidRDefault="00061305">
      <w:r>
        <w:continuationSeparator/>
      </w:r>
    </w:p>
  </w:endnote>
  <w:endnote w:type="continuationNotice" w:id="1">
    <w:p w14:paraId="2471BD8C" w14:textId="77777777" w:rsidR="00061305" w:rsidRDefault="000613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panose1 w:val="020B0604020202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D059DA" w:rsidRDefault="008F4163"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PAGE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4A7FD9" w14:textId="77777777" w:rsidR="00061305" w:rsidRDefault="00061305">
      <w:r>
        <w:separator/>
      </w:r>
    </w:p>
  </w:footnote>
  <w:footnote w:type="continuationSeparator" w:id="0">
    <w:p w14:paraId="371E51ED" w14:textId="77777777" w:rsidR="00061305" w:rsidRDefault="00061305">
      <w:r>
        <w:continuationSeparator/>
      </w:r>
    </w:p>
  </w:footnote>
  <w:footnote w:type="continuationNotice" w:id="1">
    <w:p w14:paraId="3D28F907" w14:textId="77777777" w:rsidR="00061305" w:rsidRDefault="00061305"/>
  </w:footnote>
  <w:footnote w:id="2">
    <w:p w14:paraId="5FE1B696"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71269193" w14:textId="77777777" w:rsidR="00DE22D3" w:rsidRPr="0060131B" w:rsidRDefault="00DE22D3" w:rsidP="00DE22D3">
      <w:pPr>
        <w:pStyle w:val="Textonotapie"/>
        <w:ind w:firstLine="709"/>
        <w:jc w:val="both"/>
        <w:rPr>
          <w:rFonts w:ascii="Arial" w:hAnsi="Arial" w:cs="Arial"/>
          <w:sz w:val="19"/>
          <w:szCs w:val="19"/>
          <w:lang w:val="es-ES"/>
        </w:rPr>
      </w:pPr>
      <w:r w:rsidRPr="0060131B">
        <w:rPr>
          <w:rFonts w:ascii="Arial" w:hAnsi="Arial" w:cs="Arial"/>
          <w:sz w:val="19"/>
          <w:szCs w:val="19"/>
          <w:lang w:val="es-ES"/>
        </w:rPr>
        <w:t>»2. Quien presta el servicio se denomina trabajador, quien lo recibe y remunera, empleador, y la remuneración, cualquiera que sea su forma, salario».</w:t>
      </w:r>
    </w:p>
    <w:p w14:paraId="6FABA29F" w14:textId="77777777" w:rsidR="00DE22D3" w:rsidRPr="0060131B" w:rsidRDefault="00DE22D3" w:rsidP="00DE22D3">
      <w:pPr>
        <w:pStyle w:val="Textonotapie"/>
        <w:ind w:firstLine="709"/>
        <w:jc w:val="both"/>
        <w:rPr>
          <w:rFonts w:ascii="Arial" w:hAnsi="Arial" w:cs="Arial"/>
          <w:sz w:val="19"/>
          <w:szCs w:val="19"/>
          <w:lang w:val="es-ES"/>
        </w:rPr>
      </w:pPr>
    </w:p>
  </w:footnote>
  <w:footnote w:id="3">
    <w:p w14:paraId="268A8F18"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 xml:space="preserve">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w:t>
      </w:r>
      <w:proofErr w:type="spellStart"/>
      <w:r w:rsidRPr="0060131B">
        <w:rPr>
          <w:rFonts w:ascii="Arial" w:hAnsi="Arial" w:cs="Arial"/>
          <w:sz w:val="19"/>
          <w:szCs w:val="19"/>
          <w:lang w:val="es-ES"/>
        </w:rPr>
        <w:t>mensualizado</w:t>
      </w:r>
      <w:proofErr w:type="spellEnd"/>
      <w:r w:rsidRPr="0060131B">
        <w:rPr>
          <w:rFonts w:ascii="Arial" w:hAnsi="Arial" w:cs="Arial"/>
          <w:sz w:val="19"/>
          <w:szCs w:val="19"/>
          <w:lang w:val="es-ES"/>
        </w:rPr>
        <w:t xml:space="preserve"> del contrato, sin incluir el valor del Impuesto al Valor Agregado (IVA).</w:t>
      </w:r>
    </w:p>
    <w:p w14:paraId="2CA063C3" w14:textId="77777777" w:rsidR="00DE22D3" w:rsidRPr="0060131B" w:rsidRDefault="00DE22D3" w:rsidP="00DE22D3">
      <w:pPr>
        <w:pStyle w:val="Textonotapie"/>
        <w:ind w:firstLine="709"/>
        <w:jc w:val="both"/>
        <w:rPr>
          <w:rFonts w:ascii="Arial" w:hAnsi="Arial" w:cs="Arial"/>
          <w:sz w:val="19"/>
          <w:szCs w:val="19"/>
          <w:lang w:val="es-ES"/>
        </w:rPr>
      </w:pPr>
      <w:proofErr w:type="gramStart"/>
      <w:r w:rsidRPr="0060131B">
        <w:rPr>
          <w:rFonts w:ascii="Arial" w:hAnsi="Arial" w:cs="Arial"/>
          <w:sz w:val="19"/>
          <w:szCs w:val="19"/>
          <w:lang w:val="es-ES"/>
        </w:rPr>
        <w:t>»Los</w:t>
      </w:r>
      <w:proofErr w:type="gramEnd"/>
      <w:r w:rsidRPr="0060131B">
        <w:rPr>
          <w:rFonts w:ascii="Arial" w:hAnsi="Arial" w:cs="Arial"/>
          <w:sz w:val="19"/>
          <w:szCs w:val="19"/>
          <w:lang w:val="es-ES"/>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w:t>
      </w:r>
      <w:proofErr w:type="spellStart"/>
      <w:r w:rsidRPr="0060131B">
        <w:rPr>
          <w:rFonts w:ascii="Arial" w:hAnsi="Arial" w:cs="Arial"/>
          <w:sz w:val="19"/>
          <w:szCs w:val="19"/>
          <w:lang w:val="es-ES"/>
        </w:rPr>
        <w:t>mensualizado</w:t>
      </w:r>
      <w:proofErr w:type="spellEnd"/>
      <w:r w:rsidRPr="0060131B">
        <w:rPr>
          <w:rFonts w:ascii="Arial" w:hAnsi="Arial" w:cs="Arial"/>
          <w:sz w:val="19"/>
          <w:szCs w:val="19"/>
          <w:lang w:val="es-ES"/>
        </w:rPr>
        <w:t xml:space="preserve">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01FF3BA" w14:textId="77777777" w:rsidR="00DE22D3" w:rsidRPr="0060131B" w:rsidRDefault="00DE22D3" w:rsidP="00DE22D3">
      <w:pPr>
        <w:pStyle w:val="Textonotapie"/>
        <w:ind w:firstLine="709"/>
        <w:jc w:val="both"/>
        <w:rPr>
          <w:rFonts w:ascii="Arial" w:hAnsi="Arial" w:cs="Arial"/>
          <w:sz w:val="19"/>
          <w:szCs w:val="19"/>
          <w:lang w:val="es-ES"/>
        </w:rPr>
      </w:pPr>
      <w:proofErr w:type="gramStart"/>
      <w:r w:rsidRPr="0060131B">
        <w:rPr>
          <w:rFonts w:ascii="Arial" w:hAnsi="Arial" w:cs="Arial"/>
          <w:sz w:val="19"/>
          <w:szCs w:val="19"/>
          <w:lang w:val="es-ES"/>
        </w:rPr>
        <w:t>»El</w:t>
      </w:r>
      <w:proofErr w:type="gramEnd"/>
      <w:r w:rsidRPr="0060131B">
        <w:rPr>
          <w:rFonts w:ascii="Arial" w:hAnsi="Arial" w:cs="Arial"/>
          <w:sz w:val="19"/>
          <w:szCs w:val="19"/>
          <w:lang w:val="es-ES"/>
        </w:rPr>
        <w:t xml:space="preserve"> Gobierno nacional reglamentará el mecanismo para realizar la mensualización de que trata el presente artículo.</w:t>
      </w:r>
    </w:p>
    <w:p w14:paraId="04D5EFC7" w14:textId="77777777" w:rsidR="00DE22D3" w:rsidRPr="0060131B" w:rsidRDefault="00DE22D3" w:rsidP="00DE22D3">
      <w:pPr>
        <w:pStyle w:val="Textonotapie"/>
        <w:ind w:firstLine="709"/>
        <w:jc w:val="both"/>
        <w:rPr>
          <w:rFonts w:ascii="Arial" w:hAnsi="Arial" w:cs="Arial"/>
          <w:sz w:val="19"/>
          <w:szCs w:val="19"/>
          <w:lang w:val="es-ES"/>
        </w:rPr>
      </w:pPr>
      <w:r w:rsidRPr="0060131B">
        <w:rPr>
          <w:rFonts w:ascii="Arial" w:hAnsi="Arial" w:cs="Arial"/>
          <w:sz w:val="19"/>
          <w:szCs w:val="19"/>
          <w:lang w:val="es-ES"/>
        </w:rPr>
        <w:t>[…]».</w:t>
      </w:r>
    </w:p>
    <w:p w14:paraId="1E5C6A87" w14:textId="77777777" w:rsidR="00DE22D3" w:rsidRPr="0060131B" w:rsidRDefault="00DE22D3" w:rsidP="00DE22D3">
      <w:pPr>
        <w:pStyle w:val="Textonotapie"/>
        <w:ind w:firstLine="709"/>
        <w:jc w:val="both"/>
        <w:rPr>
          <w:rFonts w:ascii="Arial" w:hAnsi="Arial" w:cs="Arial"/>
          <w:sz w:val="19"/>
          <w:szCs w:val="19"/>
          <w:lang w:val="es-ES"/>
        </w:rPr>
      </w:pPr>
    </w:p>
  </w:footnote>
  <w:footnote w:id="4">
    <w:p w14:paraId="5A6F9096"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Corte Constitucional. Sentencia C-154 de 1997. MP: Hernando Herrera Vergara.</w:t>
      </w:r>
    </w:p>
    <w:p w14:paraId="050AB8A4" w14:textId="77777777" w:rsidR="00DE22D3" w:rsidRPr="0060131B" w:rsidRDefault="00DE22D3" w:rsidP="00DE22D3">
      <w:pPr>
        <w:pStyle w:val="Textonotapie"/>
        <w:ind w:firstLine="709"/>
        <w:jc w:val="both"/>
        <w:rPr>
          <w:rFonts w:ascii="Arial" w:hAnsi="Arial" w:cs="Arial"/>
          <w:sz w:val="19"/>
          <w:szCs w:val="19"/>
          <w:lang w:val="es-ES"/>
        </w:rPr>
      </w:pPr>
    </w:p>
  </w:footnote>
  <w:footnote w:id="5">
    <w:p w14:paraId="075A1F82"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Ibíd.</w:t>
      </w:r>
    </w:p>
    <w:p w14:paraId="27776CFC" w14:textId="77777777" w:rsidR="00DE22D3" w:rsidRPr="0060131B" w:rsidRDefault="00DE22D3" w:rsidP="00DE22D3">
      <w:pPr>
        <w:pStyle w:val="Textonotapie"/>
        <w:ind w:firstLine="709"/>
        <w:jc w:val="both"/>
        <w:rPr>
          <w:rFonts w:ascii="Arial" w:hAnsi="Arial" w:cs="Arial"/>
          <w:sz w:val="19"/>
          <w:szCs w:val="19"/>
          <w:lang w:val="es-ES"/>
        </w:rPr>
      </w:pPr>
    </w:p>
  </w:footnote>
  <w:footnote w:id="6">
    <w:p w14:paraId="2B9CC036"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786A817" w14:textId="77777777" w:rsidR="00DE22D3" w:rsidRPr="0060131B" w:rsidRDefault="00DE22D3" w:rsidP="00DE22D3">
      <w:pPr>
        <w:pStyle w:val="Textonotapie"/>
        <w:ind w:firstLine="709"/>
        <w:jc w:val="both"/>
        <w:rPr>
          <w:rFonts w:ascii="Arial" w:hAnsi="Arial" w:cs="Arial"/>
          <w:sz w:val="19"/>
          <w:szCs w:val="19"/>
          <w:lang w:val="es-ES"/>
        </w:rPr>
      </w:pPr>
      <w:proofErr w:type="gramStart"/>
      <w:r w:rsidRPr="0060131B">
        <w:rPr>
          <w:rFonts w:ascii="Arial" w:hAnsi="Arial" w:cs="Arial"/>
          <w:sz w:val="19"/>
          <w:szCs w:val="19"/>
          <w:lang w:val="es-ES"/>
        </w:rPr>
        <w:t>»Los</w:t>
      </w:r>
      <w:proofErr w:type="gramEnd"/>
      <w:r w:rsidRPr="0060131B">
        <w:rPr>
          <w:rFonts w:ascii="Arial" w:hAnsi="Arial" w:cs="Arial"/>
          <w:sz w:val="19"/>
          <w:szCs w:val="19"/>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3EB5757" w14:textId="77777777" w:rsidR="00DE22D3" w:rsidRPr="0060131B" w:rsidRDefault="00DE22D3" w:rsidP="00DE22D3">
      <w:pPr>
        <w:pStyle w:val="Textonotapie"/>
        <w:ind w:firstLine="709"/>
        <w:jc w:val="both"/>
        <w:rPr>
          <w:rFonts w:ascii="Arial" w:hAnsi="Arial" w:cs="Arial"/>
          <w:sz w:val="19"/>
          <w:szCs w:val="19"/>
          <w:lang w:val="es-ES"/>
        </w:rPr>
      </w:pPr>
      <w:proofErr w:type="gramStart"/>
      <w:r w:rsidRPr="0060131B">
        <w:rPr>
          <w:rFonts w:ascii="Arial" w:hAnsi="Arial" w:cs="Arial"/>
          <w:sz w:val="19"/>
          <w:szCs w:val="19"/>
          <w:lang w:val="es-ES"/>
        </w:rPr>
        <w:t>»La</w:t>
      </w:r>
      <w:proofErr w:type="gramEnd"/>
      <w:r w:rsidRPr="0060131B">
        <w:rPr>
          <w:rFonts w:ascii="Arial" w:hAnsi="Arial" w:cs="Arial"/>
          <w:sz w:val="19"/>
          <w:szCs w:val="19"/>
          <w:lang w:val="es-ES"/>
        </w:rPr>
        <w:t xml:space="preserve"> Entidad Estatal, para la contratación de trabajos artísticos que solamente puedan en­comendarse a determinadas personas naturales, debe justificar esta situación en los estudios y documentos previos».</w:t>
      </w:r>
    </w:p>
    <w:p w14:paraId="36828E68" w14:textId="77777777" w:rsidR="00DE22D3" w:rsidRPr="0060131B" w:rsidRDefault="00DE22D3" w:rsidP="00DE22D3">
      <w:pPr>
        <w:pStyle w:val="Textonotapie"/>
        <w:ind w:firstLine="709"/>
        <w:jc w:val="both"/>
        <w:rPr>
          <w:rFonts w:ascii="Arial" w:hAnsi="Arial" w:cs="Arial"/>
          <w:sz w:val="19"/>
          <w:szCs w:val="19"/>
          <w:lang w:val="es-ES"/>
        </w:rPr>
      </w:pPr>
    </w:p>
  </w:footnote>
  <w:footnote w:id="7">
    <w:p w14:paraId="499DF18A"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 xml:space="preserve">Consejo de Estado. Sección Tercera. Subsección C. Sentencia del 2 de diciembre de 2013. </w:t>
      </w:r>
      <w:proofErr w:type="spellStart"/>
      <w:r w:rsidRPr="0060131B">
        <w:rPr>
          <w:rFonts w:ascii="Arial" w:hAnsi="Arial" w:cs="Arial"/>
          <w:sz w:val="19"/>
          <w:szCs w:val="19"/>
          <w:lang w:val="es-ES"/>
        </w:rPr>
        <w:t>Exp</w:t>
      </w:r>
      <w:proofErr w:type="spellEnd"/>
      <w:r w:rsidRPr="0060131B">
        <w:rPr>
          <w:rFonts w:ascii="Arial" w:hAnsi="Arial" w:cs="Arial"/>
          <w:sz w:val="19"/>
          <w:szCs w:val="19"/>
          <w:lang w:val="es-ES"/>
        </w:rPr>
        <w:t xml:space="preserve">. 41719. Consejero Ponente: Jaime Orlando </w:t>
      </w:r>
      <w:proofErr w:type="spellStart"/>
      <w:r w:rsidRPr="0060131B">
        <w:rPr>
          <w:rFonts w:ascii="Arial" w:hAnsi="Arial" w:cs="Arial"/>
          <w:sz w:val="19"/>
          <w:szCs w:val="19"/>
          <w:lang w:val="es-ES"/>
        </w:rPr>
        <w:t>Santofimio</w:t>
      </w:r>
      <w:proofErr w:type="spellEnd"/>
      <w:r w:rsidRPr="0060131B">
        <w:rPr>
          <w:rFonts w:ascii="Arial" w:hAnsi="Arial" w:cs="Arial"/>
          <w:sz w:val="19"/>
          <w:szCs w:val="19"/>
          <w:lang w:val="es-ES"/>
        </w:rPr>
        <w:t xml:space="preserve"> Gamboa.</w:t>
      </w:r>
    </w:p>
    <w:p w14:paraId="4B481918" w14:textId="77777777" w:rsidR="00DE22D3" w:rsidRPr="0060131B" w:rsidRDefault="00DE22D3" w:rsidP="00DE22D3">
      <w:pPr>
        <w:pStyle w:val="Textonotapie"/>
        <w:ind w:firstLine="709"/>
        <w:jc w:val="both"/>
        <w:rPr>
          <w:rFonts w:ascii="Arial" w:hAnsi="Arial" w:cs="Arial"/>
          <w:sz w:val="19"/>
          <w:szCs w:val="19"/>
          <w:lang w:val="es-ES"/>
        </w:rPr>
      </w:pPr>
    </w:p>
  </w:footnote>
  <w:footnote w:id="8">
    <w:p w14:paraId="27F77F05"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Ibíd.</w:t>
      </w:r>
    </w:p>
    <w:p w14:paraId="5CD0995D" w14:textId="77777777" w:rsidR="00DE22D3" w:rsidRPr="0060131B" w:rsidRDefault="00DE22D3" w:rsidP="00DE22D3">
      <w:pPr>
        <w:pStyle w:val="Textonotapie"/>
        <w:jc w:val="both"/>
        <w:rPr>
          <w:rFonts w:ascii="Arial" w:hAnsi="Arial" w:cs="Arial"/>
          <w:sz w:val="19"/>
          <w:szCs w:val="19"/>
          <w:lang w:val="es-ES"/>
        </w:rPr>
      </w:pPr>
    </w:p>
  </w:footnote>
  <w:footnote w:id="9">
    <w:p w14:paraId="4998679E"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Ibíd.</w:t>
      </w:r>
    </w:p>
    <w:p w14:paraId="76CBE246" w14:textId="77777777" w:rsidR="00DE22D3" w:rsidRPr="0060131B" w:rsidRDefault="00DE22D3" w:rsidP="00DE22D3">
      <w:pPr>
        <w:pStyle w:val="Textonotapie"/>
        <w:ind w:firstLine="709"/>
        <w:jc w:val="both"/>
        <w:rPr>
          <w:rFonts w:ascii="Arial" w:hAnsi="Arial" w:cs="Arial"/>
          <w:sz w:val="19"/>
          <w:szCs w:val="19"/>
          <w:lang w:val="es-ES"/>
        </w:rPr>
      </w:pPr>
    </w:p>
  </w:footnote>
  <w:footnote w:id="10">
    <w:p w14:paraId="06B49B62"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 xml:space="preserve">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w:t>
      </w:r>
      <w:proofErr w:type="spellStart"/>
      <w:r w:rsidRPr="0060131B">
        <w:rPr>
          <w:rFonts w:ascii="Arial" w:hAnsi="Arial" w:cs="Arial"/>
          <w:sz w:val="19"/>
          <w:szCs w:val="19"/>
          <w:lang w:val="es-ES"/>
        </w:rPr>
        <w:t>prefactibilidad</w:t>
      </w:r>
      <w:proofErr w:type="spellEnd"/>
      <w:r w:rsidRPr="0060131B">
        <w:rPr>
          <w:rFonts w:ascii="Arial" w:hAnsi="Arial" w:cs="Arial"/>
          <w:sz w:val="19"/>
          <w:szCs w:val="19"/>
          <w:lang w:val="es-ES"/>
        </w:rPr>
        <w:t xml:space="preserve"> o factibilidad para programas o proyectos específicos, así como a las asesorías técnicas de coordinación, control y supervisión.</w:t>
      </w:r>
    </w:p>
    <w:p w14:paraId="59B9AD21" w14:textId="77777777" w:rsidR="00DE22D3" w:rsidRPr="0060131B" w:rsidRDefault="00DE22D3" w:rsidP="00DE22D3">
      <w:pPr>
        <w:pStyle w:val="Textonotapie"/>
        <w:ind w:firstLine="709"/>
        <w:jc w:val="both"/>
        <w:rPr>
          <w:rFonts w:ascii="Arial" w:hAnsi="Arial" w:cs="Arial"/>
          <w:sz w:val="19"/>
          <w:szCs w:val="19"/>
          <w:lang w:val="es-ES"/>
        </w:rPr>
      </w:pPr>
      <w:proofErr w:type="gramStart"/>
      <w:r w:rsidRPr="0060131B">
        <w:rPr>
          <w:rFonts w:ascii="Arial" w:hAnsi="Arial" w:cs="Arial"/>
          <w:sz w:val="19"/>
          <w:szCs w:val="19"/>
          <w:lang w:val="es-ES"/>
        </w:rPr>
        <w:t>»Son</w:t>
      </w:r>
      <w:proofErr w:type="gramEnd"/>
      <w:r w:rsidRPr="0060131B">
        <w:rPr>
          <w:rFonts w:ascii="Arial" w:hAnsi="Arial" w:cs="Arial"/>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4333C379" w14:textId="77777777" w:rsidR="00DE22D3" w:rsidRPr="0060131B" w:rsidRDefault="00DE22D3" w:rsidP="00DE22D3">
      <w:pPr>
        <w:pStyle w:val="Textonotapie"/>
        <w:ind w:firstLine="709"/>
        <w:jc w:val="both"/>
        <w:rPr>
          <w:rFonts w:ascii="Arial" w:hAnsi="Arial" w:cs="Arial"/>
          <w:sz w:val="19"/>
          <w:szCs w:val="19"/>
          <w:lang w:val="es-ES"/>
        </w:rPr>
      </w:pPr>
      <w:proofErr w:type="gramStart"/>
      <w:r w:rsidRPr="0060131B">
        <w:rPr>
          <w:rFonts w:ascii="Arial" w:hAnsi="Arial" w:cs="Arial"/>
          <w:sz w:val="19"/>
          <w:szCs w:val="19"/>
          <w:lang w:val="es-ES"/>
        </w:rPr>
        <w:t>»Ninguna</w:t>
      </w:r>
      <w:proofErr w:type="gramEnd"/>
      <w:r w:rsidRPr="0060131B">
        <w:rPr>
          <w:rFonts w:ascii="Arial" w:hAnsi="Arial" w:cs="Arial"/>
          <w:sz w:val="19"/>
          <w:szCs w:val="19"/>
          <w:lang w:val="es-ES"/>
        </w:rPr>
        <w:t xml:space="preserve"> orden del interventor de una obra podrá darse verbalmente. Es obligatorio para el interventor entregar por escrito sus órdenes o sugerencias y ellas deben </w:t>
      </w:r>
      <w:proofErr w:type="gramStart"/>
      <w:r w:rsidRPr="0060131B">
        <w:rPr>
          <w:rFonts w:ascii="Arial" w:hAnsi="Arial" w:cs="Arial"/>
          <w:sz w:val="19"/>
          <w:szCs w:val="19"/>
          <w:lang w:val="es-ES"/>
        </w:rPr>
        <w:t>enmarcarse dentro de</w:t>
      </w:r>
      <w:proofErr w:type="gramEnd"/>
      <w:r w:rsidRPr="0060131B">
        <w:rPr>
          <w:rFonts w:ascii="Arial" w:hAnsi="Arial" w:cs="Arial"/>
          <w:sz w:val="19"/>
          <w:szCs w:val="19"/>
          <w:lang w:val="es-ES"/>
        </w:rPr>
        <w:t xml:space="preserve"> los términos del respectivo contrato».</w:t>
      </w:r>
    </w:p>
    <w:p w14:paraId="33DED5CB" w14:textId="77777777" w:rsidR="00DE22D3" w:rsidRPr="0060131B" w:rsidRDefault="00DE22D3" w:rsidP="00DE22D3">
      <w:pPr>
        <w:pStyle w:val="Textonotapie"/>
        <w:ind w:firstLine="709"/>
        <w:jc w:val="both"/>
        <w:rPr>
          <w:rFonts w:ascii="Arial" w:hAnsi="Arial" w:cs="Arial"/>
          <w:sz w:val="19"/>
          <w:szCs w:val="19"/>
          <w:lang w:val="es-ES"/>
        </w:rPr>
      </w:pPr>
    </w:p>
  </w:footnote>
  <w:footnote w:id="11">
    <w:p w14:paraId="06BCA89D"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0E9D36AD" w14:textId="77777777" w:rsidR="00DE22D3" w:rsidRPr="0060131B" w:rsidRDefault="00DE22D3" w:rsidP="00DE22D3">
      <w:pPr>
        <w:pStyle w:val="Textonotapie"/>
        <w:ind w:firstLine="709"/>
        <w:jc w:val="both"/>
        <w:rPr>
          <w:rFonts w:ascii="Arial" w:hAnsi="Arial" w:cs="Arial"/>
          <w:sz w:val="19"/>
          <w:szCs w:val="19"/>
          <w:lang w:val="es-ES"/>
        </w:rPr>
      </w:pPr>
      <w:r w:rsidRPr="0060131B">
        <w:rPr>
          <w:rFonts w:ascii="Arial" w:hAnsi="Arial" w:cs="Arial"/>
          <w:sz w:val="19"/>
          <w:szCs w:val="19"/>
          <w:lang w:val="es-ES"/>
        </w:rPr>
        <w:t>»1. La causal que invoca para contratar directamente.</w:t>
      </w:r>
    </w:p>
    <w:p w14:paraId="404741B2" w14:textId="77777777" w:rsidR="00DE22D3" w:rsidRPr="0060131B" w:rsidRDefault="00DE22D3" w:rsidP="00DE22D3">
      <w:pPr>
        <w:pStyle w:val="Textonotapie"/>
        <w:ind w:firstLine="709"/>
        <w:jc w:val="both"/>
        <w:rPr>
          <w:rFonts w:ascii="Arial" w:hAnsi="Arial" w:cs="Arial"/>
          <w:sz w:val="19"/>
          <w:szCs w:val="19"/>
          <w:lang w:val="es-ES"/>
        </w:rPr>
      </w:pPr>
      <w:r w:rsidRPr="0060131B">
        <w:rPr>
          <w:rFonts w:ascii="Arial" w:hAnsi="Arial" w:cs="Arial"/>
          <w:sz w:val="19"/>
          <w:szCs w:val="19"/>
          <w:lang w:val="es-ES"/>
        </w:rPr>
        <w:t>»2. El objeto del contrato.</w:t>
      </w:r>
    </w:p>
    <w:p w14:paraId="08B02202" w14:textId="77777777" w:rsidR="00DE22D3" w:rsidRPr="0060131B" w:rsidRDefault="00DE22D3" w:rsidP="00DE22D3">
      <w:pPr>
        <w:pStyle w:val="Textonotapie"/>
        <w:ind w:firstLine="709"/>
        <w:jc w:val="both"/>
        <w:rPr>
          <w:rFonts w:ascii="Arial" w:hAnsi="Arial" w:cs="Arial"/>
          <w:sz w:val="19"/>
          <w:szCs w:val="19"/>
          <w:lang w:val="es-ES"/>
        </w:rPr>
      </w:pPr>
      <w:r w:rsidRPr="0060131B">
        <w:rPr>
          <w:rFonts w:ascii="Arial" w:hAnsi="Arial" w:cs="Arial"/>
          <w:sz w:val="19"/>
          <w:szCs w:val="19"/>
          <w:lang w:val="es-ES"/>
        </w:rPr>
        <w:t>»3. El presupuesto para la contratación y las condiciones que exigirá al contratista.</w:t>
      </w:r>
    </w:p>
    <w:p w14:paraId="6815601F" w14:textId="77777777" w:rsidR="00DE22D3" w:rsidRPr="0060131B" w:rsidRDefault="00DE22D3" w:rsidP="00DE22D3">
      <w:pPr>
        <w:pStyle w:val="Textonotapie"/>
        <w:ind w:firstLine="709"/>
        <w:jc w:val="both"/>
        <w:rPr>
          <w:rFonts w:ascii="Arial" w:hAnsi="Arial" w:cs="Arial"/>
          <w:sz w:val="19"/>
          <w:szCs w:val="19"/>
          <w:lang w:val="es-ES"/>
        </w:rPr>
      </w:pPr>
      <w:r w:rsidRPr="0060131B">
        <w:rPr>
          <w:rFonts w:ascii="Arial" w:hAnsi="Arial" w:cs="Arial"/>
          <w:sz w:val="19"/>
          <w:szCs w:val="19"/>
          <w:lang w:val="es-ES"/>
        </w:rPr>
        <w:t>»4. El lugar en el cual los interesados pueden consultar los estudios y documentos previos.</w:t>
      </w:r>
    </w:p>
    <w:p w14:paraId="17156459" w14:textId="77777777" w:rsidR="00DE22D3" w:rsidRPr="0060131B" w:rsidRDefault="00DE22D3" w:rsidP="00DE22D3">
      <w:pPr>
        <w:pStyle w:val="Textonotapie"/>
        <w:ind w:firstLine="709"/>
        <w:jc w:val="both"/>
        <w:rPr>
          <w:rFonts w:ascii="Arial" w:hAnsi="Arial" w:cs="Arial"/>
          <w:sz w:val="19"/>
          <w:szCs w:val="19"/>
          <w:lang w:val="es-ES"/>
        </w:rPr>
      </w:pPr>
      <w:proofErr w:type="gramStart"/>
      <w:r w:rsidRPr="0060131B">
        <w:rPr>
          <w:rFonts w:ascii="Arial" w:hAnsi="Arial" w:cs="Arial"/>
          <w:sz w:val="19"/>
          <w:szCs w:val="19"/>
          <w:lang w:val="es-ES"/>
        </w:rPr>
        <w:t>»Este</w:t>
      </w:r>
      <w:proofErr w:type="gramEnd"/>
      <w:r w:rsidRPr="0060131B">
        <w:rPr>
          <w:rFonts w:ascii="Arial" w:hAnsi="Arial" w:cs="Arial"/>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2AB77111" w14:textId="77777777" w:rsidR="00DE22D3" w:rsidRPr="0060131B" w:rsidRDefault="00DE22D3" w:rsidP="00DE22D3">
      <w:pPr>
        <w:pStyle w:val="Textonotapie"/>
        <w:ind w:firstLine="709"/>
        <w:jc w:val="both"/>
        <w:rPr>
          <w:rFonts w:ascii="Arial" w:hAnsi="Arial" w:cs="Arial"/>
          <w:sz w:val="19"/>
          <w:szCs w:val="19"/>
        </w:rPr>
      </w:pPr>
    </w:p>
    <w:p w14:paraId="5A795EA2"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 xml:space="preserve">La norma expresa: «Art. 14. </w:t>
      </w:r>
      <w:r w:rsidRPr="0060131B">
        <w:rPr>
          <w:rFonts w:ascii="Arial" w:hAnsi="Arial" w:cs="Arial"/>
          <w:sz w:val="19"/>
          <w:szCs w:val="19"/>
        </w:rPr>
        <w:t>P</w:t>
      </w:r>
      <w:r w:rsidRPr="0060131B">
        <w:rPr>
          <w:rFonts w:ascii="Arial" w:hAnsi="Arial" w:cs="Arial"/>
          <w:sz w:val="19"/>
          <w:szCs w:val="19"/>
          <w:lang w:val="es-ES"/>
        </w:rPr>
        <w:t>ara el cumplimiento de los fines de la contratación, las entidades estatales al celebrar un contrato:</w:t>
      </w:r>
    </w:p>
    <w:p w14:paraId="7D30554C" w14:textId="77777777" w:rsidR="00DE22D3" w:rsidRPr="0060131B" w:rsidRDefault="00DE22D3" w:rsidP="00DE22D3">
      <w:pPr>
        <w:pStyle w:val="Textonotapie"/>
        <w:ind w:firstLine="709"/>
        <w:jc w:val="both"/>
        <w:rPr>
          <w:rFonts w:ascii="Arial" w:hAnsi="Arial" w:cs="Arial"/>
          <w:sz w:val="19"/>
          <w:szCs w:val="19"/>
          <w:lang w:val="es-ES"/>
        </w:rPr>
      </w:pPr>
      <w:r w:rsidRPr="0060131B">
        <w:rPr>
          <w:rFonts w:ascii="Arial" w:hAnsi="Arial" w:cs="Arial"/>
          <w:sz w:val="19"/>
          <w:szCs w:val="19"/>
          <w:lang w:val="es-ES"/>
        </w:rPr>
        <w:t>[…]</w:t>
      </w:r>
    </w:p>
    <w:p w14:paraId="42454CC1" w14:textId="77777777" w:rsidR="00DE22D3" w:rsidRPr="0060131B" w:rsidRDefault="00DE22D3" w:rsidP="00DE22D3">
      <w:pPr>
        <w:pStyle w:val="Textonotapie"/>
        <w:ind w:firstLine="709"/>
        <w:jc w:val="both"/>
        <w:rPr>
          <w:rFonts w:ascii="Arial" w:hAnsi="Arial" w:cs="Arial"/>
          <w:sz w:val="19"/>
          <w:szCs w:val="19"/>
          <w:lang w:val="es-ES"/>
        </w:rPr>
      </w:pPr>
      <w:proofErr w:type="gramStart"/>
      <w:r w:rsidRPr="0060131B">
        <w:rPr>
          <w:rFonts w:ascii="Arial" w:hAnsi="Arial" w:cs="Arial"/>
          <w:sz w:val="19"/>
          <w:szCs w:val="19"/>
          <w:lang w:val="es-ES"/>
        </w:rPr>
        <w:t>»2o.</w:t>
      </w:r>
      <w:proofErr w:type="gramEnd"/>
      <w:r w:rsidRPr="0060131B">
        <w:rPr>
          <w:rFonts w:ascii="Arial" w:hAnsi="Arial" w:cs="Arial"/>
          <w:sz w:val="19"/>
          <w:szCs w:val="19"/>
          <w:lang w:val="es-ES"/>
        </w:rPr>
        <w:t xml:space="preserve">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79E6399" w14:textId="77777777" w:rsidR="00DE22D3" w:rsidRPr="0060131B" w:rsidRDefault="00DE22D3" w:rsidP="00DE22D3">
      <w:pPr>
        <w:pStyle w:val="Textonotapie"/>
        <w:ind w:firstLine="709"/>
        <w:jc w:val="both"/>
        <w:rPr>
          <w:rFonts w:ascii="Arial" w:hAnsi="Arial" w:cs="Arial"/>
          <w:sz w:val="19"/>
          <w:szCs w:val="19"/>
          <w:lang w:val="es-ES"/>
        </w:rPr>
      </w:pPr>
      <w:proofErr w:type="gramStart"/>
      <w:r w:rsidRPr="0060131B">
        <w:rPr>
          <w:rFonts w:ascii="Arial" w:hAnsi="Arial" w:cs="Arial"/>
          <w:sz w:val="19"/>
          <w:szCs w:val="19"/>
          <w:lang w:val="es-ES"/>
        </w:rPr>
        <w:t>»Las</w:t>
      </w:r>
      <w:proofErr w:type="gramEnd"/>
      <w:r w:rsidRPr="0060131B">
        <w:rPr>
          <w:rFonts w:ascii="Arial" w:hAnsi="Arial" w:cs="Arial"/>
          <w:sz w:val="19"/>
          <w:szCs w:val="19"/>
          <w:lang w:val="es-ES"/>
        </w:rPr>
        <w:t xml:space="preserve"> entidades estatales podrán pactar estas cláusulas en los contratos de suministro y de prestación de servicios.</w:t>
      </w:r>
    </w:p>
    <w:p w14:paraId="125FDC78" w14:textId="77777777" w:rsidR="00DE22D3" w:rsidRPr="0060131B" w:rsidRDefault="00DE22D3" w:rsidP="00DE22D3">
      <w:pPr>
        <w:pStyle w:val="Textonotapie"/>
        <w:ind w:firstLine="709"/>
        <w:jc w:val="both"/>
        <w:rPr>
          <w:rFonts w:ascii="Arial" w:hAnsi="Arial" w:cs="Arial"/>
          <w:sz w:val="19"/>
          <w:szCs w:val="19"/>
          <w:lang w:val="es-ES"/>
        </w:rPr>
      </w:pPr>
      <w:r w:rsidRPr="0060131B">
        <w:rPr>
          <w:rFonts w:ascii="Arial" w:hAnsi="Arial" w:cs="Arial"/>
          <w:sz w:val="19"/>
          <w:szCs w:val="19"/>
          <w:lang w:val="es-ES"/>
        </w:rPr>
        <w:t>[…]».</w:t>
      </w:r>
    </w:p>
    <w:p w14:paraId="0299B30D" w14:textId="77777777" w:rsidR="00DE22D3" w:rsidRPr="0060131B" w:rsidRDefault="00DE22D3" w:rsidP="00DE22D3">
      <w:pPr>
        <w:pStyle w:val="Textonotapie"/>
        <w:ind w:firstLine="709"/>
        <w:jc w:val="both"/>
        <w:rPr>
          <w:rFonts w:ascii="Arial" w:hAnsi="Arial" w:cs="Arial"/>
          <w:sz w:val="19"/>
          <w:szCs w:val="19"/>
          <w:lang w:val="es-ES"/>
        </w:rPr>
      </w:pPr>
    </w:p>
  </w:footnote>
  <w:footnote w:id="13">
    <w:p w14:paraId="5D76A9D3"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La norma dispone: «La liquidación a que se refiere el presente artículo no será obligatoria en los contratos de prestación de servicios profesionales y de apoyo a la gestión».</w:t>
      </w:r>
    </w:p>
    <w:p w14:paraId="2C5DF506" w14:textId="77777777" w:rsidR="00DE22D3" w:rsidRPr="0060131B" w:rsidRDefault="00DE22D3" w:rsidP="00DE22D3">
      <w:pPr>
        <w:pStyle w:val="Textonotapie"/>
        <w:ind w:firstLine="709"/>
        <w:jc w:val="both"/>
        <w:rPr>
          <w:rFonts w:ascii="Arial" w:hAnsi="Arial" w:cs="Arial"/>
          <w:sz w:val="19"/>
          <w:szCs w:val="19"/>
          <w:lang w:val="es-ES"/>
        </w:rPr>
      </w:pPr>
    </w:p>
  </w:footnote>
  <w:footnote w:id="14">
    <w:p w14:paraId="2B8DAAD7" w14:textId="77777777" w:rsidR="00DE22D3" w:rsidRPr="0060131B" w:rsidRDefault="00DE22D3" w:rsidP="00DE22D3">
      <w:pPr>
        <w:pStyle w:val="Textonotapie"/>
        <w:ind w:firstLine="709"/>
        <w:jc w:val="both"/>
        <w:rPr>
          <w:rFonts w:ascii="Arial" w:hAnsi="Arial" w:cs="Arial"/>
          <w:sz w:val="19"/>
          <w:szCs w:val="19"/>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rPr>
        <w:t>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4DFD4C4" w14:textId="77777777" w:rsidR="00DE22D3" w:rsidRPr="0060131B" w:rsidRDefault="00DE22D3" w:rsidP="00DE22D3">
      <w:pPr>
        <w:pStyle w:val="Textonotapie"/>
        <w:ind w:firstLine="709"/>
        <w:jc w:val="both"/>
        <w:rPr>
          <w:rFonts w:ascii="Arial" w:hAnsi="Arial" w:cs="Arial"/>
          <w:sz w:val="19"/>
          <w:szCs w:val="19"/>
        </w:rPr>
      </w:pPr>
      <w:r w:rsidRPr="0060131B">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9F25B2A" w14:textId="77777777" w:rsidR="00DE22D3" w:rsidRPr="0060131B" w:rsidRDefault="00DE22D3" w:rsidP="00DE22D3">
      <w:pPr>
        <w:pStyle w:val="Textonotapie"/>
        <w:ind w:firstLine="709"/>
        <w:jc w:val="both"/>
        <w:rPr>
          <w:rFonts w:ascii="Arial" w:hAnsi="Arial" w:cs="Arial"/>
          <w:sz w:val="19"/>
          <w:szCs w:val="19"/>
        </w:rPr>
      </w:pPr>
      <w:r w:rsidRPr="0060131B">
        <w:rPr>
          <w:rFonts w:ascii="Arial" w:hAnsi="Arial" w:cs="Arial"/>
          <w:sz w:val="19"/>
          <w:szCs w:val="19"/>
        </w:rPr>
        <w:t>[…]».</w:t>
      </w:r>
    </w:p>
    <w:p w14:paraId="71A02CC0" w14:textId="77777777" w:rsidR="00DE22D3" w:rsidRPr="0060131B" w:rsidRDefault="00DE22D3" w:rsidP="00DE22D3">
      <w:pPr>
        <w:pStyle w:val="Textonotapie"/>
        <w:ind w:firstLine="709"/>
        <w:jc w:val="both"/>
        <w:rPr>
          <w:rFonts w:ascii="Arial" w:hAnsi="Arial" w:cs="Arial"/>
          <w:sz w:val="19"/>
          <w:szCs w:val="19"/>
          <w:lang w:val="es-ES"/>
        </w:rPr>
      </w:pPr>
    </w:p>
  </w:footnote>
  <w:footnote w:id="15">
    <w:p w14:paraId="28E1C16E" w14:textId="77777777" w:rsidR="00DE22D3" w:rsidRPr="0060131B" w:rsidRDefault="00DE22D3" w:rsidP="00DE22D3">
      <w:pPr>
        <w:pStyle w:val="Textonotapie"/>
        <w:ind w:firstLine="709"/>
        <w:jc w:val="both"/>
        <w:rPr>
          <w:rFonts w:ascii="Arial" w:hAnsi="Arial" w:cs="Arial"/>
          <w:sz w:val="19"/>
          <w:szCs w:val="19"/>
          <w:lang w:val="es-ES"/>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0DF750F2" w14:textId="77777777" w:rsidR="008977FB" w:rsidRPr="00283535" w:rsidRDefault="008977FB" w:rsidP="008977FB">
      <w:pPr>
        <w:pStyle w:val="Textonotapie"/>
        <w:ind w:firstLine="708"/>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rPr>
        <w:t>Es decir, aquellos de ejecución sucesiva o de cumplimiento escalonado de obligaciones que no pueden ser cumplidas en el mismo instante en que el acuerdo nace a la vida jurídica, bien por su naturaleza o por la voluntad de las partes, como sucede con los contratos de arrendamiento o los de concesión.</w:t>
      </w:r>
    </w:p>
    <w:p w14:paraId="63E91F71" w14:textId="77777777" w:rsidR="008977FB" w:rsidRPr="00283535" w:rsidRDefault="008977FB" w:rsidP="008977FB">
      <w:pPr>
        <w:pStyle w:val="Textonotapie"/>
        <w:ind w:left="181" w:right="108"/>
        <w:jc w:val="both"/>
        <w:rPr>
          <w:rFonts w:ascii="Arial" w:hAnsi="Arial" w:cs="Arial"/>
          <w:sz w:val="19"/>
          <w:szCs w:val="19"/>
        </w:rPr>
      </w:pPr>
    </w:p>
  </w:footnote>
  <w:footnote w:id="17">
    <w:p w14:paraId="01680F7E" w14:textId="77777777" w:rsidR="008977FB" w:rsidRPr="00283535" w:rsidRDefault="008977FB" w:rsidP="008977FB">
      <w:pPr>
        <w:ind w:left="181" w:right="108" w:firstLine="707"/>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rPr>
        <w:t>Vencimiento del plazo de ejecución, cumplimiento del objeto o el acaecimiento de la condición resolutoria expresa, pactada por las partes.</w:t>
      </w:r>
    </w:p>
    <w:p w14:paraId="1026F54C" w14:textId="77777777" w:rsidR="008977FB" w:rsidRPr="00283535" w:rsidRDefault="008977FB" w:rsidP="008977FB">
      <w:pPr>
        <w:ind w:left="181" w:right="108" w:firstLine="707"/>
        <w:jc w:val="both"/>
        <w:rPr>
          <w:rFonts w:ascii="Arial" w:hAnsi="Arial" w:cs="Arial"/>
          <w:sz w:val="19"/>
          <w:szCs w:val="19"/>
        </w:rPr>
      </w:pPr>
    </w:p>
  </w:footnote>
  <w:footnote w:id="18">
    <w:p w14:paraId="419D11A5" w14:textId="77777777" w:rsidR="008977FB" w:rsidRPr="00283535" w:rsidRDefault="008977FB" w:rsidP="008977FB">
      <w:pPr>
        <w:ind w:left="181" w:right="108" w:firstLine="707"/>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rPr>
        <w:t>Declaratoria de caducidad, terminación unilateral, mutuo acuerdo, renuncia del contratista (cuando hay una modificación unilateral altere en un 20 % o más el valor inicial del contrato o cuando sobreviene una inhabilidad o incompatibilidad y no se pueda ceder el contrato) o evento de fuerza mayor.</w:t>
      </w:r>
    </w:p>
    <w:p w14:paraId="41BAAC4A" w14:textId="77777777" w:rsidR="008977FB" w:rsidRPr="00283535" w:rsidRDefault="008977FB" w:rsidP="008977FB">
      <w:pPr>
        <w:ind w:left="181" w:right="108" w:firstLine="707"/>
        <w:jc w:val="both"/>
        <w:rPr>
          <w:rFonts w:ascii="Arial" w:hAnsi="Arial" w:cs="Arial"/>
          <w:sz w:val="19"/>
          <w:szCs w:val="19"/>
        </w:rPr>
      </w:pPr>
    </w:p>
  </w:footnote>
  <w:footnote w:id="19">
    <w:p w14:paraId="31705DAA" w14:textId="77777777" w:rsidR="008977FB" w:rsidRDefault="008977FB" w:rsidP="008977FB">
      <w:pPr>
        <w:ind w:left="181" w:right="108" w:firstLine="707"/>
        <w:jc w:val="both"/>
        <w:rPr>
          <w:rStyle w:val="normaltextrun"/>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w:t>
      </w:r>
      <w:r>
        <w:rPr>
          <w:rFonts w:ascii="Arial" w:hAnsi="Arial" w:cs="Arial"/>
          <w:sz w:val="19"/>
          <w:szCs w:val="19"/>
        </w:rPr>
        <w:t xml:space="preserve">Consejo de Estado. Sección tercera. Sentencia </w:t>
      </w:r>
      <w:r w:rsidRPr="00283535">
        <w:rPr>
          <w:rStyle w:val="normaltextrun"/>
          <w:rFonts w:ascii="Arial" w:hAnsi="Arial" w:cs="Arial"/>
          <w:sz w:val="19"/>
          <w:szCs w:val="19"/>
        </w:rPr>
        <w:t>del 10 de noviembre de 2016</w:t>
      </w:r>
      <w:r>
        <w:rPr>
          <w:rStyle w:val="normaltextrun"/>
          <w:rFonts w:ascii="Arial" w:hAnsi="Arial" w:cs="Arial"/>
          <w:sz w:val="19"/>
          <w:szCs w:val="19"/>
        </w:rPr>
        <w:t>. Exp.</w:t>
      </w:r>
      <w:r w:rsidRPr="00283535">
        <w:rPr>
          <w:rStyle w:val="normaltextrun"/>
          <w:rFonts w:ascii="Arial" w:hAnsi="Arial" w:cs="Arial"/>
          <w:sz w:val="19"/>
          <w:szCs w:val="19"/>
        </w:rPr>
        <w:t xml:space="preserve"> 56.179</w:t>
      </w:r>
      <w:r>
        <w:rPr>
          <w:rStyle w:val="normaltextrun"/>
          <w:rFonts w:ascii="Arial" w:hAnsi="Arial" w:cs="Arial"/>
          <w:sz w:val="19"/>
          <w:szCs w:val="19"/>
        </w:rPr>
        <w:t xml:space="preserve">. C.P. </w:t>
      </w:r>
      <w:r w:rsidRPr="00283535">
        <w:rPr>
          <w:rStyle w:val="normaltextrun"/>
          <w:rFonts w:ascii="Arial" w:hAnsi="Arial" w:cs="Arial"/>
          <w:sz w:val="19"/>
          <w:szCs w:val="19"/>
        </w:rPr>
        <w:t>Jaime Orlando Santofimio Gamboa</w:t>
      </w:r>
      <w:r>
        <w:rPr>
          <w:rStyle w:val="normaltextrun"/>
          <w:rFonts w:ascii="Arial" w:hAnsi="Arial" w:cs="Arial"/>
          <w:sz w:val="19"/>
          <w:szCs w:val="19"/>
        </w:rPr>
        <w:t>.</w:t>
      </w:r>
    </w:p>
    <w:p w14:paraId="3EC600E0" w14:textId="77777777" w:rsidR="008977FB" w:rsidRPr="00283535" w:rsidRDefault="008977FB" w:rsidP="008977FB">
      <w:pPr>
        <w:ind w:left="181" w:right="108" w:firstLine="707"/>
        <w:jc w:val="both"/>
        <w:rPr>
          <w:rFonts w:ascii="Arial" w:hAnsi="Arial" w:cs="Arial"/>
          <w:sz w:val="19"/>
          <w:szCs w:val="19"/>
        </w:rPr>
      </w:pPr>
    </w:p>
  </w:footnote>
  <w:footnote w:id="20">
    <w:p w14:paraId="5A663941" w14:textId="77777777" w:rsidR="0060131B" w:rsidRPr="0060131B" w:rsidRDefault="0060131B" w:rsidP="0060131B">
      <w:pPr>
        <w:spacing w:line="242" w:lineRule="auto"/>
        <w:ind w:left="300" w:right="113" w:firstLine="707"/>
        <w:jc w:val="both"/>
        <w:rPr>
          <w:rFonts w:ascii="Arial" w:hAnsi="Arial" w:cs="Arial"/>
          <w:sz w:val="19"/>
          <w:szCs w:val="19"/>
        </w:rPr>
      </w:pP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rPr>
        <w:t>Código Civil: “Artículo 1501.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p w14:paraId="1EAF5B5E" w14:textId="77777777" w:rsidR="0060131B" w:rsidRPr="0060131B" w:rsidRDefault="0060131B" w:rsidP="0060131B">
      <w:pPr>
        <w:pStyle w:val="Textonotapie"/>
        <w:ind w:left="300" w:right="113"/>
        <w:jc w:val="both"/>
        <w:rPr>
          <w:rFonts w:ascii="Arial" w:hAnsi="Arial" w:cs="Arial"/>
          <w:sz w:val="19"/>
          <w:szCs w:val="19"/>
          <w:lang w:val="es-CO"/>
        </w:rPr>
      </w:pPr>
    </w:p>
  </w:footnote>
  <w:footnote w:id="21">
    <w:p w14:paraId="4850D614" w14:textId="77777777" w:rsidR="0060131B" w:rsidRPr="0060131B" w:rsidRDefault="0060131B" w:rsidP="0060131B">
      <w:pPr>
        <w:pStyle w:val="Textonotapie"/>
        <w:ind w:left="300" w:right="113" w:firstLine="420"/>
        <w:jc w:val="both"/>
        <w:rPr>
          <w:rFonts w:ascii="Arial" w:hAnsi="Arial" w:cs="Arial"/>
          <w:sz w:val="19"/>
          <w:szCs w:val="19"/>
        </w:rPr>
      </w:pPr>
      <w:r w:rsidRPr="0060131B">
        <w:rPr>
          <w:rFonts w:ascii="Arial" w:hAnsi="Arial" w:cs="Arial"/>
          <w:sz w:val="19"/>
          <w:szCs w:val="19"/>
        </w:rPr>
        <w:t xml:space="preserve">     </w:t>
      </w:r>
      <w:r w:rsidRPr="0060131B">
        <w:rPr>
          <w:rStyle w:val="Refdenotaalpie"/>
          <w:rFonts w:ascii="Arial" w:hAnsi="Arial" w:cs="Arial"/>
          <w:sz w:val="19"/>
          <w:szCs w:val="19"/>
        </w:rPr>
        <w:footnoteRef/>
      </w:r>
      <w:r w:rsidRPr="0060131B">
        <w:rPr>
          <w:rFonts w:ascii="Arial" w:hAnsi="Arial" w:cs="Arial"/>
          <w:sz w:val="19"/>
          <w:szCs w:val="19"/>
        </w:rPr>
        <w:t xml:space="preserve"> </w:t>
      </w:r>
      <w:r w:rsidRPr="0060131B">
        <w:rPr>
          <w:rFonts w:ascii="Arial" w:hAnsi="Arial" w:cs="Arial"/>
          <w:sz w:val="19"/>
          <w:szCs w:val="19"/>
        </w:rPr>
        <w:t>Código Civil: “Artículo 1602: Todo contrato legalmente celebrado es una ley para los contratantes, y no puede ser invalidado sino por su consentimiento mutuo o por causas legales”.</w:t>
      </w:r>
    </w:p>
    <w:p w14:paraId="60318831" w14:textId="77777777" w:rsidR="0060131B" w:rsidRPr="0060131B" w:rsidRDefault="0060131B" w:rsidP="0060131B">
      <w:pPr>
        <w:pStyle w:val="Textonotapie"/>
        <w:ind w:left="300" w:right="113"/>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0B"/>
    <w:rsid w:val="00003C5C"/>
    <w:rsid w:val="00003D39"/>
    <w:rsid w:val="00003E0D"/>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AA8"/>
    <w:rsid w:val="0002256F"/>
    <w:rsid w:val="00023DAE"/>
    <w:rsid w:val="00024896"/>
    <w:rsid w:val="000255FA"/>
    <w:rsid w:val="00025D0A"/>
    <w:rsid w:val="000263F0"/>
    <w:rsid w:val="00026407"/>
    <w:rsid w:val="00026608"/>
    <w:rsid w:val="00027787"/>
    <w:rsid w:val="000278D2"/>
    <w:rsid w:val="00027B18"/>
    <w:rsid w:val="00030DFB"/>
    <w:rsid w:val="00031364"/>
    <w:rsid w:val="000315E1"/>
    <w:rsid w:val="0003236E"/>
    <w:rsid w:val="0003339A"/>
    <w:rsid w:val="00033CD6"/>
    <w:rsid w:val="000341F2"/>
    <w:rsid w:val="00035046"/>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305"/>
    <w:rsid w:val="00061D06"/>
    <w:rsid w:val="00062CDD"/>
    <w:rsid w:val="00062DB3"/>
    <w:rsid w:val="00063472"/>
    <w:rsid w:val="000640AF"/>
    <w:rsid w:val="00064940"/>
    <w:rsid w:val="00064CAE"/>
    <w:rsid w:val="00064DB7"/>
    <w:rsid w:val="00064FA7"/>
    <w:rsid w:val="00065195"/>
    <w:rsid w:val="0006536C"/>
    <w:rsid w:val="0006626E"/>
    <w:rsid w:val="000674D5"/>
    <w:rsid w:val="00070AF1"/>
    <w:rsid w:val="000714DE"/>
    <w:rsid w:val="000717A5"/>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6FF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71B"/>
    <w:rsid w:val="000B2A1A"/>
    <w:rsid w:val="000B2B86"/>
    <w:rsid w:val="000B3051"/>
    <w:rsid w:val="000B419B"/>
    <w:rsid w:val="000B4E54"/>
    <w:rsid w:val="000B5781"/>
    <w:rsid w:val="000B5CB1"/>
    <w:rsid w:val="000B6524"/>
    <w:rsid w:val="000B75F4"/>
    <w:rsid w:val="000B79C1"/>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0B4E"/>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2E6"/>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4F7D"/>
    <w:rsid w:val="00175792"/>
    <w:rsid w:val="00175BE2"/>
    <w:rsid w:val="00175E49"/>
    <w:rsid w:val="0017649F"/>
    <w:rsid w:val="0017655B"/>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27E1"/>
    <w:rsid w:val="001A3011"/>
    <w:rsid w:val="001A3078"/>
    <w:rsid w:val="001A422D"/>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863"/>
    <w:rsid w:val="001F1A52"/>
    <w:rsid w:val="001F2356"/>
    <w:rsid w:val="001F2A68"/>
    <w:rsid w:val="001F2C47"/>
    <w:rsid w:val="001F327D"/>
    <w:rsid w:val="001F42C6"/>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429"/>
    <w:rsid w:val="002169A0"/>
    <w:rsid w:val="00216DB1"/>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5F23"/>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82E"/>
    <w:rsid w:val="002748F1"/>
    <w:rsid w:val="00274DB5"/>
    <w:rsid w:val="00275BB1"/>
    <w:rsid w:val="0027770B"/>
    <w:rsid w:val="00277933"/>
    <w:rsid w:val="00277F8D"/>
    <w:rsid w:val="00277FA7"/>
    <w:rsid w:val="00280046"/>
    <w:rsid w:val="00280B4F"/>
    <w:rsid w:val="00280F3D"/>
    <w:rsid w:val="0028106A"/>
    <w:rsid w:val="00281EB4"/>
    <w:rsid w:val="002827DE"/>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704D"/>
    <w:rsid w:val="002D04C9"/>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D70FC"/>
    <w:rsid w:val="002D72F6"/>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0DBC"/>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2D1C"/>
    <w:rsid w:val="003132BB"/>
    <w:rsid w:val="00313337"/>
    <w:rsid w:val="00313447"/>
    <w:rsid w:val="00313748"/>
    <w:rsid w:val="00313EA3"/>
    <w:rsid w:val="00314350"/>
    <w:rsid w:val="003151FE"/>
    <w:rsid w:val="00315365"/>
    <w:rsid w:val="00315457"/>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B9F"/>
    <w:rsid w:val="00337CA8"/>
    <w:rsid w:val="0034083B"/>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64C"/>
    <w:rsid w:val="00356F87"/>
    <w:rsid w:val="00357E83"/>
    <w:rsid w:val="00360AF7"/>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97"/>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92D"/>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50846"/>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6DB"/>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0F99"/>
    <w:rsid w:val="00471DF7"/>
    <w:rsid w:val="004734CF"/>
    <w:rsid w:val="00473F33"/>
    <w:rsid w:val="0047586C"/>
    <w:rsid w:val="00475C5A"/>
    <w:rsid w:val="00475C9C"/>
    <w:rsid w:val="0047676B"/>
    <w:rsid w:val="0047771F"/>
    <w:rsid w:val="0047773C"/>
    <w:rsid w:val="00477C5F"/>
    <w:rsid w:val="00480050"/>
    <w:rsid w:val="0048011C"/>
    <w:rsid w:val="004808DE"/>
    <w:rsid w:val="00480EC8"/>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13"/>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55"/>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4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247"/>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371"/>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1FF1"/>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1B"/>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25B"/>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8F8"/>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6CE4"/>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0E92"/>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0396"/>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421"/>
    <w:rsid w:val="006C37CA"/>
    <w:rsid w:val="006C39AE"/>
    <w:rsid w:val="006C40D2"/>
    <w:rsid w:val="006C4B85"/>
    <w:rsid w:val="006C4BBD"/>
    <w:rsid w:val="006C4CEB"/>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3661"/>
    <w:rsid w:val="006F36EA"/>
    <w:rsid w:val="006F4147"/>
    <w:rsid w:val="006F4315"/>
    <w:rsid w:val="006F4CB0"/>
    <w:rsid w:val="006F4F78"/>
    <w:rsid w:val="006F547E"/>
    <w:rsid w:val="006F5CCF"/>
    <w:rsid w:val="006F6F04"/>
    <w:rsid w:val="006F71F5"/>
    <w:rsid w:val="006F72A8"/>
    <w:rsid w:val="006F79BB"/>
    <w:rsid w:val="006F7C4A"/>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6E5"/>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22F"/>
    <w:rsid w:val="00744E80"/>
    <w:rsid w:val="00744F9E"/>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014"/>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3F98"/>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5F"/>
    <w:rsid w:val="007F7961"/>
    <w:rsid w:val="007F7AF6"/>
    <w:rsid w:val="007F7B37"/>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DCB"/>
    <w:rsid w:val="00872F97"/>
    <w:rsid w:val="00874607"/>
    <w:rsid w:val="008747E9"/>
    <w:rsid w:val="00874915"/>
    <w:rsid w:val="00874B89"/>
    <w:rsid w:val="00874C21"/>
    <w:rsid w:val="00875403"/>
    <w:rsid w:val="00875434"/>
    <w:rsid w:val="00875C1F"/>
    <w:rsid w:val="00876215"/>
    <w:rsid w:val="0087646C"/>
    <w:rsid w:val="00876815"/>
    <w:rsid w:val="00876D92"/>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7FB"/>
    <w:rsid w:val="00897875"/>
    <w:rsid w:val="00897B8F"/>
    <w:rsid w:val="008A00D9"/>
    <w:rsid w:val="008A07D5"/>
    <w:rsid w:val="008A1C96"/>
    <w:rsid w:val="008A1FB7"/>
    <w:rsid w:val="008A229A"/>
    <w:rsid w:val="008A2738"/>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26EE"/>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8C6"/>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66A1"/>
    <w:rsid w:val="008E710F"/>
    <w:rsid w:val="008E7214"/>
    <w:rsid w:val="008E7497"/>
    <w:rsid w:val="008E7884"/>
    <w:rsid w:val="008E7D6E"/>
    <w:rsid w:val="008F0F51"/>
    <w:rsid w:val="008F1056"/>
    <w:rsid w:val="008F2E8D"/>
    <w:rsid w:val="008F361D"/>
    <w:rsid w:val="008F387B"/>
    <w:rsid w:val="008F3906"/>
    <w:rsid w:val="008F3DD9"/>
    <w:rsid w:val="008F4163"/>
    <w:rsid w:val="008F4814"/>
    <w:rsid w:val="008F4B18"/>
    <w:rsid w:val="008F4DA6"/>
    <w:rsid w:val="008F538E"/>
    <w:rsid w:val="008F5A20"/>
    <w:rsid w:val="008F5ABA"/>
    <w:rsid w:val="008F6157"/>
    <w:rsid w:val="008F6354"/>
    <w:rsid w:val="008F71AB"/>
    <w:rsid w:val="008F7905"/>
    <w:rsid w:val="008F7989"/>
    <w:rsid w:val="00900530"/>
    <w:rsid w:val="00900912"/>
    <w:rsid w:val="00901F1D"/>
    <w:rsid w:val="009028E8"/>
    <w:rsid w:val="00902E5C"/>
    <w:rsid w:val="0090331D"/>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4CB"/>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370"/>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3C3"/>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422F"/>
    <w:rsid w:val="009B46BC"/>
    <w:rsid w:val="009B4D1A"/>
    <w:rsid w:val="009B519D"/>
    <w:rsid w:val="009B558B"/>
    <w:rsid w:val="009B6D21"/>
    <w:rsid w:val="009B78ED"/>
    <w:rsid w:val="009B798E"/>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3847"/>
    <w:rsid w:val="009F4990"/>
    <w:rsid w:val="009F4F25"/>
    <w:rsid w:val="009F59C2"/>
    <w:rsid w:val="009F7263"/>
    <w:rsid w:val="009F72BF"/>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593"/>
    <w:rsid w:val="00A066C3"/>
    <w:rsid w:val="00A06754"/>
    <w:rsid w:val="00A069E0"/>
    <w:rsid w:val="00A06E4A"/>
    <w:rsid w:val="00A070E9"/>
    <w:rsid w:val="00A078FB"/>
    <w:rsid w:val="00A07F12"/>
    <w:rsid w:val="00A10209"/>
    <w:rsid w:val="00A1036D"/>
    <w:rsid w:val="00A1069F"/>
    <w:rsid w:val="00A10ACA"/>
    <w:rsid w:val="00A10D08"/>
    <w:rsid w:val="00A11655"/>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3D9C"/>
    <w:rsid w:val="00A24560"/>
    <w:rsid w:val="00A25B0F"/>
    <w:rsid w:val="00A25BBB"/>
    <w:rsid w:val="00A2755F"/>
    <w:rsid w:val="00A27846"/>
    <w:rsid w:val="00A27FB6"/>
    <w:rsid w:val="00A30121"/>
    <w:rsid w:val="00A30368"/>
    <w:rsid w:val="00A3043A"/>
    <w:rsid w:val="00A30E02"/>
    <w:rsid w:val="00A30F6A"/>
    <w:rsid w:val="00A31060"/>
    <w:rsid w:val="00A31C3E"/>
    <w:rsid w:val="00A31DE3"/>
    <w:rsid w:val="00A34538"/>
    <w:rsid w:val="00A34677"/>
    <w:rsid w:val="00A3540F"/>
    <w:rsid w:val="00A35630"/>
    <w:rsid w:val="00A35914"/>
    <w:rsid w:val="00A36189"/>
    <w:rsid w:val="00A37E73"/>
    <w:rsid w:val="00A37FB6"/>
    <w:rsid w:val="00A40640"/>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C761E"/>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584"/>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B3F"/>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DE"/>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0CA6"/>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44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05C"/>
    <w:rsid w:val="00C3711C"/>
    <w:rsid w:val="00C37256"/>
    <w:rsid w:val="00C379CA"/>
    <w:rsid w:val="00C37A7B"/>
    <w:rsid w:val="00C37DC1"/>
    <w:rsid w:val="00C37FFE"/>
    <w:rsid w:val="00C40B50"/>
    <w:rsid w:val="00C40C41"/>
    <w:rsid w:val="00C419E3"/>
    <w:rsid w:val="00C419F4"/>
    <w:rsid w:val="00C41E6A"/>
    <w:rsid w:val="00C42247"/>
    <w:rsid w:val="00C428E7"/>
    <w:rsid w:val="00C438A2"/>
    <w:rsid w:val="00C439BE"/>
    <w:rsid w:val="00C440B6"/>
    <w:rsid w:val="00C451B2"/>
    <w:rsid w:val="00C4539B"/>
    <w:rsid w:val="00C45466"/>
    <w:rsid w:val="00C455C1"/>
    <w:rsid w:val="00C4581D"/>
    <w:rsid w:val="00C4590C"/>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0115"/>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4B7"/>
    <w:rsid w:val="00CF1ABB"/>
    <w:rsid w:val="00CF1E1D"/>
    <w:rsid w:val="00CF24FE"/>
    <w:rsid w:val="00CF287F"/>
    <w:rsid w:val="00CF2B86"/>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6A8"/>
    <w:rsid w:val="00D03AC3"/>
    <w:rsid w:val="00D03D2D"/>
    <w:rsid w:val="00D03E7B"/>
    <w:rsid w:val="00D0401A"/>
    <w:rsid w:val="00D047E0"/>
    <w:rsid w:val="00D04B9F"/>
    <w:rsid w:val="00D04D43"/>
    <w:rsid w:val="00D04FFB"/>
    <w:rsid w:val="00D055FE"/>
    <w:rsid w:val="00D058E9"/>
    <w:rsid w:val="00D059DA"/>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2CE"/>
    <w:rsid w:val="00D34B25"/>
    <w:rsid w:val="00D34C7F"/>
    <w:rsid w:val="00D34F4E"/>
    <w:rsid w:val="00D357F3"/>
    <w:rsid w:val="00D35C0E"/>
    <w:rsid w:val="00D36FBF"/>
    <w:rsid w:val="00D373A8"/>
    <w:rsid w:val="00D379A5"/>
    <w:rsid w:val="00D37BB3"/>
    <w:rsid w:val="00D401BE"/>
    <w:rsid w:val="00D401D4"/>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24"/>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625"/>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3165"/>
    <w:rsid w:val="00DB31EE"/>
    <w:rsid w:val="00DB4292"/>
    <w:rsid w:val="00DB5023"/>
    <w:rsid w:val="00DB5580"/>
    <w:rsid w:val="00DB6E46"/>
    <w:rsid w:val="00DB7117"/>
    <w:rsid w:val="00DB7760"/>
    <w:rsid w:val="00DB7A7F"/>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E18"/>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22D3"/>
    <w:rsid w:val="00DE3119"/>
    <w:rsid w:val="00DE3C24"/>
    <w:rsid w:val="00DE3FF0"/>
    <w:rsid w:val="00DE4105"/>
    <w:rsid w:val="00DE4BEA"/>
    <w:rsid w:val="00DE5189"/>
    <w:rsid w:val="00DE5DA0"/>
    <w:rsid w:val="00DE6469"/>
    <w:rsid w:val="00DE7108"/>
    <w:rsid w:val="00DE78D1"/>
    <w:rsid w:val="00DE78FF"/>
    <w:rsid w:val="00DE7EFB"/>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689D"/>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1DC"/>
    <w:rsid w:val="00E922B8"/>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3E"/>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D5"/>
    <w:rsid w:val="00EC7CF2"/>
    <w:rsid w:val="00ED046C"/>
    <w:rsid w:val="00ED053A"/>
    <w:rsid w:val="00ED1E7F"/>
    <w:rsid w:val="00ED1F03"/>
    <w:rsid w:val="00ED249D"/>
    <w:rsid w:val="00ED2D27"/>
    <w:rsid w:val="00ED3347"/>
    <w:rsid w:val="00ED3441"/>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6C68"/>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095"/>
    <w:rsid w:val="00EF745E"/>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3E20"/>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387F"/>
    <w:rsid w:val="00F44120"/>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2CE"/>
    <w:rsid w:val="00F6133C"/>
    <w:rsid w:val="00F613F0"/>
    <w:rsid w:val="00F61405"/>
    <w:rsid w:val="00F61636"/>
    <w:rsid w:val="00F62227"/>
    <w:rsid w:val="00F624A7"/>
    <w:rsid w:val="00F62AB6"/>
    <w:rsid w:val="00F65A3C"/>
    <w:rsid w:val="00F66009"/>
    <w:rsid w:val="00F66282"/>
    <w:rsid w:val="00F6639E"/>
    <w:rsid w:val="00F670E9"/>
    <w:rsid w:val="00F67AF1"/>
    <w:rsid w:val="00F67D8B"/>
    <w:rsid w:val="00F700CD"/>
    <w:rsid w:val="00F701C5"/>
    <w:rsid w:val="00F70246"/>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C11"/>
    <w:rsid w:val="00F77021"/>
    <w:rsid w:val="00F770AB"/>
    <w:rsid w:val="00F77DD4"/>
    <w:rsid w:val="00F77E61"/>
    <w:rsid w:val="00F80221"/>
    <w:rsid w:val="00F80411"/>
    <w:rsid w:val="00F80A0A"/>
    <w:rsid w:val="00F80C81"/>
    <w:rsid w:val="00F815AC"/>
    <w:rsid w:val="00F83273"/>
    <w:rsid w:val="00F83B33"/>
    <w:rsid w:val="00F83CAE"/>
    <w:rsid w:val="00F840BF"/>
    <w:rsid w:val="00F8427A"/>
    <w:rsid w:val="00F843DF"/>
    <w:rsid w:val="00F84646"/>
    <w:rsid w:val="00F84899"/>
    <w:rsid w:val="00F8529D"/>
    <w:rsid w:val="00F85585"/>
    <w:rsid w:val="00F859F0"/>
    <w:rsid w:val="00F85CC1"/>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06"/>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0DA5"/>
    <w:rsid w:val="00FE141E"/>
    <w:rsid w:val="00FE144E"/>
    <w:rsid w:val="00FE1768"/>
    <w:rsid w:val="00FE185F"/>
    <w:rsid w:val="00FE1DD5"/>
    <w:rsid w:val="00FE24F4"/>
    <w:rsid w:val="00FE2560"/>
    <w:rsid w:val="00FE35D0"/>
    <w:rsid w:val="00FE42ED"/>
    <w:rsid w:val="00FE4E06"/>
    <w:rsid w:val="00FE55A7"/>
    <w:rsid w:val="00FE5C5A"/>
    <w:rsid w:val="00FE601E"/>
    <w:rsid w:val="00FE6432"/>
    <w:rsid w:val="00FE72A0"/>
    <w:rsid w:val="00FF0050"/>
    <w:rsid w:val="00FF045F"/>
    <w:rsid w:val="00FF13D4"/>
    <w:rsid w:val="00FF2053"/>
    <w:rsid w:val="00FF3B37"/>
    <w:rsid w:val="00FF3CC7"/>
    <w:rsid w:val="00FF3D6F"/>
    <w:rsid w:val="00FF441A"/>
    <w:rsid w:val="00FF4932"/>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87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Car1">
    <w:name w:val="Car1"/>
    <w:basedOn w:val="Normal"/>
    <w:next w:val="Textonotapie"/>
    <w:uiPriority w:val="99"/>
    <w:unhideWhenUsed/>
    <w:qFormat/>
    <w:rsid w:val="00216DB1"/>
    <w:rPr>
      <w:rFonts w:ascii="Calibri" w:eastAsia="Calibri" w:hAnsi="Calibri"/>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381855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2923925">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6688303">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0076391">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288735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0596256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3343191">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87802">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74763">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05469">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327E35A2-0AF1-43DA-9924-0D6ADE51F14B}"/>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12</TotalTime>
  <Pages>12</Pages>
  <Words>3602</Words>
  <Characters>19812</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Torres</cp:lastModifiedBy>
  <cp:revision>6</cp:revision>
  <cp:lastPrinted>2020-01-30T15:05:00Z</cp:lastPrinted>
  <dcterms:created xsi:type="dcterms:W3CDTF">2021-08-18T18:26:00Z</dcterms:created>
  <dcterms:modified xsi:type="dcterms:W3CDTF">2021-08-18T19:40:00Z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