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21EDB" w14:textId="77777777" w:rsidR="00D13D0B" w:rsidRPr="00D13D0B" w:rsidRDefault="00D13D0B" w:rsidP="00D13D0B">
      <w:pPr>
        <w:spacing w:after="0" w:line="240" w:lineRule="auto"/>
        <w:jc w:val="right"/>
        <w:rPr>
          <w:rFonts w:ascii="Arial" w:eastAsia="Times New Roman" w:hAnsi="Arial" w:cs="Arial"/>
          <w:b/>
          <w:color w:val="000000" w:themeColor="text1"/>
          <w:sz w:val="16"/>
          <w:szCs w:val="16"/>
          <w:lang w:eastAsia="es-ES"/>
        </w:rPr>
      </w:pPr>
      <w:r w:rsidRPr="00D13D0B">
        <w:rPr>
          <w:rFonts w:ascii="Arial" w:eastAsia="Times New Roman" w:hAnsi="Arial" w:cs="Arial"/>
          <w:b/>
          <w:color w:val="000000" w:themeColor="text1"/>
          <w:sz w:val="16"/>
          <w:szCs w:val="16"/>
          <w:lang w:eastAsia="es-ES"/>
        </w:rPr>
        <w:tab/>
        <w:t>CCE-DES-FM-17</w:t>
      </w:r>
    </w:p>
    <w:p w14:paraId="39A685DC" w14:textId="77777777" w:rsidR="00D13D0B" w:rsidRPr="00D13D0B" w:rsidRDefault="00D13D0B" w:rsidP="00D13D0B">
      <w:pPr>
        <w:spacing w:after="0" w:line="240" w:lineRule="auto"/>
        <w:jc w:val="both"/>
        <w:rPr>
          <w:rFonts w:ascii="Arial" w:eastAsia="Calibri" w:hAnsi="Arial" w:cs="Arial"/>
          <w:b/>
          <w:bCs/>
          <w:color w:val="000000" w:themeColor="text1"/>
          <w:szCs w:val="20"/>
          <w:highlight w:val="yellow"/>
          <w:lang w:val="es-ES_tradnl"/>
        </w:rPr>
      </w:pPr>
    </w:p>
    <w:p w14:paraId="446A1BA5" w14:textId="77777777" w:rsidR="00D13D0B" w:rsidRPr="00D13D0B" w:rsidRDefault="00D13D0B" w:rsidP="00D13D0B">
      <w:pPr>
        <w:spacing w:after="0" w:line="240" w:lineRule="auto"/>
        <w:jc w:val="both"/>
        <w:rPr>
          <w:rFonts w:ascii="Arial" w:eastAsia="Calibri" w:hAnsi="Arial" w:cs="Arial"/>
          <w:b/>
          <w:sz w:val="22"/>
          <w:szCs w:val="24"/>
          <w:lang w:val="es-ES_tradnl" w:eastAsia="en-GB"/>
        </w:rPr>
      </w:pPr>
      <w:r w:rsidRPr="00D13D0B">
        <w:rPr>
          <w:rFonts w:ascii="Arial" w:eastAsia="Calibri" w:hAnsi="Arial" w:cs="Arial"/>
          <w:b/>
          <w:sz w:val="22"/>
          <w:szCs w:val="24"/>
          <w:lang w:val="es-ES_tradnl" w:eastAsia="en-GB"/>
        </w:rPr>
        <w:t>DOCUMENTOS TIPO – Obligatoriedad – Inalterabilidad</w:t>
      </w:r>
    </w:p>
    <w:p w14:paraId="35B350CC" w14:textId="77777777" w:rsidR="00D13D0B" w:rsidRPr="00D13D0B" w:rsidRDefault="00D13D0B" w:rsidP="00D13D0B">
      <w:pPr>
        <w:spacing w:after="0" w:line="240" w:lineRule="auto"/>
        <w:jc w:val="both"/>
        <w:rPr>
          <w:rFonts w:ascii="Arial" w:eastAsia="Calibri" w:hAnsi="Arial" w:cs="Arial"/>
          <w:szCs w:val="20"/>
          <w:lang w:val="es-ES_tradnl" w:eastAsia="en-GB"/>
        </w:rPr>
      </w:pPr>
    </w:p>
    <w:p w14:paraId="173B3846" w14:textId="7FB0CC20" w:rsidR="0012206D" w:rsidRPr="00D13D0B" w:rsidRDefault="0012206D" w:rsidP="0012206D">
      <w:pPr>
        <w:spacing w:after="0" w:line="240" w:lineRule="auto"/>
        <w:jc w:val="both"/>
        <w:rPr>
          <w:rFonts w:ascii="Arial" w:eastAsia="Calibri" w:hAnsi="Arial" w:cs="Arial"/>
          <w:szCs w:val="20"/>
          <w:lang w:eastAsia="en-GB"/>
        </w:rPr>
      </w:pPr>
      <w:r w:rsidRPr="0012206D">
        <w:rPr>
          <w:rFonts w:ascii="Arial" w:eastAsia="Calibri" w:hAnsi="Arial" w:cs="Arial"/>
          <w:szCs w:val="20"/>
          <w:lang w:eastAsia="en-GB"/>
        </w:rPr>
        <w:t xml:space="preserve">[…] </w:t>
      </w:r>
      <w:r w:rsidRPr="00D13D0B">
        <w:rPr>
          <w:rFonts w:ascii="Arial" w:eastAsia="Calibri" w:hAnsi="Arial" w:cs="Arial"/>
          <w:szCs w:val="20"/>
          <w:lang w:eastAsia="en-GB"/>
        </w:rPr>
        <w:t xml:space="preserve">la Ley 2022 de 2020 señala que los documentos tipo adoptados por la Agencia Nacional de Contratación Pública son de </w:t>
      </w:r>
      <w:r w:rsidRPr="00D13D0B">
        <w:rPr>
          <w:rFonts w:ascii="Arial" w:eastAsia="Calibri" w:hAnsi="Arial" w:cs="Arial"/>
          <w:i/>
          <w:szCs w:val="20"/>
          <w:lang w:eastAsia="en-GB"/>
        </w:rPr>
        <w:t>obligatorio</w:t>
      </w:r>
      <w:r w:rsidRPr="00D13D0B">
        <w:rPr>
          <w:rFonts w:ascii="Arial" w:eastAsia="Calibri" w:hAnsi="Arial" w:cs="Arial"/>
          <w:szCs w:val="20"/>
          <w:lang w:eastAsia="en-GB"/>
        </w:rPr>
        <w:t xml:space="preserve"> cumplimiento por todas las entidades públicas, cuyo régimen de contratación sea el Estatuto General de la Contratación de la Administración Pública ‒EGCAP‒. Esta obligatoriedad implica que las entidades estatales tengan que adelantar los procesos de contratación bajo las condiciones establecidas en los documentos tipo que rijan para el objeto a contratar, sin que puedan variarse los requisitos fijados en ellos. Lo anterior, por cuanto los documentos tipo se caracterizan por ser inalterables, es decir, que las entidades públicas carecen de la facultad de modificarlos, con excepción de aquellos aspectos que pueden diligenciar, es decir, las descripciones que están incluidas entre corchetes y resaltadas en gris en cada uno de los documentos tipo. </w:t>
      </w:r>
    </w:p>
    <w:p w14:paraId="28CF7E26" w14:textId="77777777" w:rsidR="00D13D0B" w:rsidRPr="00D13D0B" w:rsidRDefault="00D13D0B" w:rsidP="0012206D">
      <w:pPr>
        <w:spacing w:after="0" w:line="240" w:lineRule="auto"/>
        <w:jc w:val="both"/>
        <w:rPr>
          <w:rFonts w:ascii="Arial" w:eastAsia="Calibri" w:hAnsi="Arial" w:cs="Arial"/>
          <w:b/>
          <w:sz w:val="22"/>
        </w:rPr>
      </w:pPr>
    </w:p>
    <w:p w14:paraId="3B2738D8" w14:textId="77777777" w:rsidR="00D13D0B" w:rsidRPr="00D13D0B" w:rsidRDefault="00D13D0B" w:rsidP="004A5A0D">
      <w:pPr>
        <w:spacing w:after="0" w:line="240" w:lineRule="auto"/>
        <w:jc w:val="both"/>
        <w:rPr>
          <w:rFonts w:ascii="Arial" w:eastAsia="Calibri" w:hAnsi="Arial" w:cs="Arial"/>
          <w:b/>
          <w:sz w:val="22"/>
        </w:rPr>
      </w:pPr>
      <w:r w:rsidRPr="00D13D0B">
        <w:rPr>
          <w:rFonts w:ascii="Arial" w:eastAsia="Calibri" w:hAnsi="Arial" w:cs="Arial"/>
          <w:b/>
          <w:bCs/>
          <w:sz w:val="22"/>
          <w:szCs w:val="24"/>
          <w:lang w:val="es-ES_tradnl" w:eastAsia="en-GB"/>
        </w:rPr>
        <w:t>DOCUMENTOS TIPO – Infraestructura social – Sectores – Educativo – Salud – Cultura, recreación y deporte</w:t>
      </w:r>
    </w:p>
    <w:p w14:paraId="6ABC836B" w14:textId="77777777" w:rsidR="00D13D0B" w:rsidRPr="00D13D0B" w:rsidRDefault="00D13D0B" w:rsidP="004A5A0D">
      <w:pPr>
        <w:spacing w:after="0" w:line="240" w:lineRule="auto"/>
        <w:jc w:val="both"/>
        <w:rPr>
          <w:rFonts w:ascii="Arial" w:eastAsia="Calibri" w:hAnsi="Arial" w:cs="Arial"/>
          <w:szCs w:val="20"/>
        </w:rPr>
      </w:pPr>
    </w:p>
    <w:p w14:paraId="696B0F88" w14:textId="77777777" w:rsidR="002E2A7B" w:rsidRPr="00D13D0B" w:rsidRDefault="00D13D0B" w:rsidP="004A5A0D">
      <w:pPr>
        <w:spacing w:after="120" w:line="240" w:lineRule="auto"/>
        <w:jc w:val="both"/>
        <w:rPr>
          <w:rFonts w:ascii="Arial" w:eastAsia="Times New Roman" w:hAnsi="Arial" w:cs="Arial"/>
          <w:szCs w:val="20"/>
          <w:lang w:val="es-ES" w:eastAsia="en-GB"/>
        </w:rPr>
      </w:pPr>
      <w:r w:rsidRPr="00D13D0B">
        <w:rPr>
          <w:rFonts w:ascii="Arial" w:eastAsia="Calibri" w:hAnsi="Arial" w:cs="Arial"/>
          <w:bCs/>
          <w:szCs w:val="20"/>
          <w:lang w:val="es-ES" w:eastAsia="en-GB"/>
        </w:rPr>
        <w:t xml:space="preserve">[…] </w:t>
      </w:r>
      <w:r w:rsidR="002E2A7B" w:rsidRPr="00D13D0B">
        <w:rPr>
          <w:rFonts w:ascii="Arial" w:eastAsia="Times New Roman" w:hAnsi="Arial" w:cs="Arial"/>
          <w:szCs w:val="20"/>
          <w:lang w:val="es-ES" w:eastAsia="en-GB"/>
        </w:rPr>
        <w:t xml:space="preserve">en materia de infraestructura social debe tenerse en cuenta que existen dos (2) clases de documentos tipo que se integran en cada proceso:  i) los documentos </w:t>
      </w:r>
      <w:r w:rsidR="002E2A7B" w:rsidRPr="00D13D0B">
        <w:rPr>
          <w:rFonts w:ascii="Arial" w:eastAsia="Times New Roman" w:hAnsi="Arial" w:cs="Arial"/>
          <w:i/>
          <w:szCs w:val="20"/>
          <w:lang w:val="es-ES" w:eastAsia="en-GB"/>
        </w:rPr>
        <w:t>transversales</w:t>
      </w:r>
      <w:r w:rsidR="002E2A7B" w:rsidRPr="00D13D0B">
        <w:rPr>
          <w:rFonts w:ascii="Arial" w:eastAsia="Times New Roman" w:hAnsi="Arial" w:cs="Arial"/>
          <w:szCs w:val="20"/>
          <w:lang w:val="es-ES" w:eastAsia="en-GB"/>
        </w:rPr>
        <w:t xml:space="preserve"> a todos los sectores de infraestructura social, es decir, el documento base, los anexos, los formatos, los formularios y las matrices adoptados mediante la Resolución No. 219 de 2021; y ii) los documentos tipo </w:t>
      </w:r>
      <w:r w:rsidR="002E2A7B" w:rsidRPr="00D13D0B">
        <w:rPr>
          <w:rFonts w:ascii="Arial" w:eastAsia="Times New Roman" w:hAnsi="Arial" w:cs="Arial"/>
          <w:i/>
          <w:szCs w:val="20"/>
          <w:lang w:val="es-ES" w:eastAsia="en-GB"/>
        </w:rPr>
        <w:t>complementarios</w:t>
      </w:r>
      <w:r w:rsidR="002E2A7B" w:rsidRPr="00D13D0B">
        <w:rPr>
          <w:rFonts w:ascii="Arial" w:eastAsia="Times New Roman" w:hAnsi="Arial" w:cs="Arial"/>
          <w:iCs/>
          <w:szCs w:val="20"/>
          <w:lang w:val="es-ES" w:eastAsia="en-GB"/>
        </w:rPr>
        <w:t>,</w:t>
      </w:r>
      <w:r w:rsidR="002E2A7B" w:rsidRPr="00D13D0B">
        <w:rPr>
          <w:rFonts w:ascii="Arial" w:eastAsia="Times New Roman" w:hAnsi="Arial" w:cs="Arial"/>
          <w:i/>
          <w:szCs w:val="20"/>
          <w:lang w:val="es-ES" w:eastAsia="en-GB"/>
        </w:rPr>
        <w:t xml:space="preserve"> </w:t>
      </w:r>
      <w:r w:rsidR="002E2A7B" w:rsidRPr="00D13D0B">
        <w:rPr>
          <w:rFonts w:ascii="Arial" w:eastAsia="Times New Roman" w:hAnsi="Arial" w:cs="Arial"/>
          <w:szCs w:val="20"/>
          <w:lang w:val="es-ES" w:eastAsia="en-GB"/>
        </w:rPr>
        <w:t>referentes a la matriz de experiencia y el glosario, los cuales han sido adoptados en la resolución para cada sector específico.</w:t>
      </w:r>
    </w:p>
    <w:p w14:paraId="4B3FB61D" w14:textId="77777777" w:rsidR="002E2A7B" w:rsidRPr="00D13D0B" w:rsidRDefault="002E2A7B" w:rsidP="004A5A0D">
      <w:pPr>
        <w:spacing w:after="0" w:line="240" w:lineRule="auto"/>
        <w:jc w:val="both"/>
        <w:rPr>
          <w:rFonts w:ascii="Arial" w:eastAsia="Times New Roman" w:hAnsi="Arial" w:cs="Arial"/>
          <w:i/>
          <w:iCs/>
          <w:szCs w:val="20"/>
        </w:rPr>
      </w:pPr>
      <w:r w:rsidRPr="00D13D0B">
        <w:rPr>
          <w:rFonts w:ascii="Arial" w:eastAsia="Times New Roman" w:hAnsi="Arial" w:cs="Arial"/>
          <w:szCs w:val="20"/>
        </w:rPr>
        <w:t>De esta forma, esta Agencia expidió distintos actos administrativos a partir de los cuales se adoptaron la «Matriz – Experiencia» y el «Anexo – Glosario». Así las cosas, la Agencia expidió: i) la Resolución 220 del 6 de agosto de 2021, «Por la cual se adoptan los documentos tipo complementarios para los procesos de licitación de obra pública de infraestructura social relacionados con el sector educativo»;</w:t>
      </w:r>
      <w:r w:rsidRPr="00D13D0B">
        <w:rPr>
          <w:rFonts w:ascii="Arial" w:eastAsia="Times New Roman" w:hAnsi="Arial" w:cs="Arial"/>
          <w:i/>
          <w:iCs/>
          <w:szCs w:val="20"/>
        </w:rPr>
        <w:t xml:space="preserve"> </w:t>
      </w:r>
      <w:r w:rsidRPr="00D13D0B">
        <w:rPr>
          <w:rFonts w:ascii="Arial" w:eastAsia="Times New Roman" w:hAnsi="Arial" w:cs="Arial"/>
          <w:szCs w:val="20"/>
        </w:rPr>
        <w:t>ii)</w:t>
      </w:r>
      <w:r w:rsidRPr="00D13D0B">
        <w:rPr>
          <w:rFonts w:ascii="Arial" w:eastAsia="Times New Roman" w:hAnsi="Arial" w:cs="Arial"/>
          <w:i/>
          <w:iCs/>
          <w:szCs w:val="20"/>
        </w:rPr>
        <w:t xml:space="preserve"> </w:t>
      </w:r>
      <w:r w:rsidRPr="00D13D0B">
        <w:rPr>
          <w:rFonts w:ascii="Arial" w:eastAsia="Times New Roman" w:hAnsi="Arial" w:cs="Arial"/>
          <w:szCs w:val="20"/>
        </w:rPr>
        <w:t>la Resolución 392 del 18 de noviembre de 2021, «Por la cual se adoptan los documentos tipo complementarios para los procesos de licitación de obra pública de infraestructura social relacionados con el sector salud»; y iii) la Resolución 454 del 16 de diciembre de 2021,</w:t>
      </w:r>
      <w:r w:rsidRPr="00D13D0B">
        <w:rPr>
          <w:szCs w:val="20"/>
        </w:rPr>
        <w:t xml:space="preserve"> </w:t>
      </w:r>
      <w:r w:rsidRPr="00D13D0B">
        <w:rPr>
          <w:rFonts w:ascii="Arial" w:eastAsia="Times New Roman" w:hAnsi="Arial" w:cs="Arial"/>
          <w:szCs w:val="20"/>
        </w:rPr>
        <w:t>«Por la cual se adoptan los documentos tipo complementarios para los procesos de licitación de obra pública de infraestructura social relacionados con el sector cultura, recreación y deporte»</w:t>
      </w:r>
      <w:r w:rsidRPr="00D13D0B">
        <w:rPr>
          <w:rFonts w:ascii="Arial" w:eastAsia="Times New Roman" w:hAnsi="Arial" w:cs="Arial"/>
          <w:i/>
          <w:iCs/>
          <w:szCs w:val="20"/>
        </w:rPr>
        <w:t>.</w:t>
      </w:r>
    </w:p>
    <w:p w14:paraId="47A534BA" w14:textId="77777777" w:rsidR="00D13D0B" w:rsidRPr="00D13D0B" w:rsidRDefault="00D13D0B" w:rsidP="004A5A0D">
      <w:pPr>
        <w:spacing w:after="0" w:line="240" w:lineRule="auto"/>
        <w:jc w:val="both"/>
        <w:rPr>
          <w:rFonts w:ascii="Arial" w:eastAsia="Times New Roman" w:hAnsi="Arial" w:cs="Arial"/>
          <w:i/>
          <w:iCs/>
          <w:szCs w:val="20"/>
        </w:rPr>
      </w:pPr>
    </w:p>
    <w:p w14:paraId="27E49E3C" w14:textId="77777777" w:rsidR="00D13D0B" w:rsidRPr="00D13D0B" w:rsidRDefault="00D13D0B" w:rsidP="00D13D0B">
      <w:pPr>
        <w:spacing w:after="0" w:line="240" w:lineRule="auto"/>
        <w:jc w:val="both"/>
        <w:rPr>
          <w:rFonts w:ascii="Arial" w:eastAsia="Calibri" w:hAnsi="Arial" w:cs="Arial"/>
          <w:b/>
          <w:sz w:val="22"/>
        </w:rPr>
      </w:pPr>
      <w:r w:rsidRPr="00D13D0B">
        <w:rPr>
          <w:rFonts w:ascii="Arial" w:eastAsia="Calibri" w:hAnsi="Arial" w:cs="Arial"/>
          <w:b/>
          <w:bCs/>
          <w:sz w:val="22"/>
          <w:lang w:val="es-ES_tradnl" w:eastAsia="en-GB"/>
        </w:rPr>
        <w:t xml:space="preserve">DOCUMENTOS TIPO – Infraestructura social – Sectores – Educativo – Salud – Cultura, recreación y deporte – Matriz de experiencia – Aplicación </w:t>
      </w:r>
    </w:p>
    <w:p w14:paraId="08973566" w14:textId="77777777" w:rsidR="00D13D0B" w:rsidRPr="00D13D0B" w:rsidRDefault="00D13D0B" w:rsidP="00D13D0B">
      <w:pPr>
        <w:shd w:val="clear" w:color="auto" w:fill="FFFFFF"/>
        <w:spacing w:after="0" w:line="240" w:lineRule="auto"/>
        <w:jc w:val="both"/>
        <w:rPr>
          <w:rFonts w:ascii="Arial" w:eastAsia="Calibri" w:hAnsi="Arial" w:cs="Arial"/>
          <w:szCs w:val="20"/>
          <w:lang w:val="es-MX"/>
        </w:rPr>
      </w:pPr>
    </w:p>
    <w:p w14:paraId="2A8411A2" w14:textId="77777777" w:rsidR="00CD0E87" w:rsidRPr="00D13D0B" w:rsidRDefault="00CD0E87" w:rsidP="00CD0E87">
      <w:pPr>
        <w:spacing w:after="120" w:line="240" w:lineRule="auto"/>
        <w:jc w:val="both"/>
        <w:rPr>
          <w:rFonts w:ascii="Arial" w:eastAsia="Times New Roman" w:hAnsi="Arial" w:cs="Arial"/>
          <w:szCs w:val="20"/>
          <w:lang w:val="es-ES" w:eastAsia="en-GB"/>
        </w:rPr>
      </w:pPr>
      <w:r w:rsidRPr="00D13D0B">
        <w:rPr>
          <w:rFonts w:ascii="Arial" w:eastAsia="Times New Roman" w:hAnsi="Arial" w:cs="Arial"/>
          <w:szCs w:val="20"/>
          <w:lang w:val="es-ES" w:eastAsia="en-GB"/>
        </w:rPr>
        <w:t xml:space="preserve">Las Resoluciones 220, 392 y 454 del 2021, en el artículo 2, desarrollan el «Anexo − Glosario» y la «Matriz − Experiencia» de cada sector en particular −educativo; salud; cultura, recreación y deporte− de los documentos tipo complementarios de licitación de obra pública de infraestructura social, lo que significa que estos documentos definen el alcance para cada sector. </w:t>
      </w:r>
    </w:p>
    <w:p w14:paraId="27A53F4E" w14:textId="77777777" w:rsidR="00CD0E87" w:rsidRPr="00D13D0B" w:rsidRDefault="00CD0E87" w:rsidP="00CD0E87">
      <w:pPr>
        <w:spacing w:after="120" w:line="240" w:lineRule="auto"/>
        <w:jc w:val="both"/>
        <w:rPr>
          <w:rFonts w:ascii="Arial" w:eastAsia="Calibri" w:hAnsi="Arial" w:cs="Arial"/>
          <w:color w:val="0D0D0D"/>
          <w:szCs w:val="20"/>
          <w:lang w:val="es-MX"/>
        </w:rPr>
      </w:pPr>
      <w:r w:rsidRPr="00D13D0B">
        <w:rPr>
          <w:rFonts w:ascii="Arial" w:eastAsia="Times New Roman" w:hAnsi="Arial" w:cs="Arial"/>
          <w:szCs w:val="20"/>
          <w:lang w:val="es-ES" w:eastAsia="en-GB"/>
        </w:rPr>
        <w:t xml:space="preserve">De esta forma, la Matriz de experiencia de cada sector mencionado </w:t>
      </w:r>
      <w:r w:rsidRPr="00D13D0B">
        <w:rPr>
          <w:rFonts w:ascii="Arial" w:eastAsia="Calibri" w:hAnsi="Arial" w:cs="Arial"/>
          <w:color w:val="0D0D0D"/>
          <w:szCs w:val="20"/>
          <w:lang w:val="es-MX"/>
        </w:rPr>
        <w:t>consta de unas celdas en las que se describe la experiencia requerida en relación con el objeto a contratar</w:t>
      </w:r>
      <w:r w:rsidRPr="00D13D0B">
        <w:rPr>
          <w:rFonts w:ascii="Arial" w:eastAsia="Times New Roman" w:hAnsi="Arial" w:cs="Arial"/>
          <w:szCs w:val="20"/>
          <w:lang w:val="es-ES" w:eastAsia="en-GB"/>
        </w:rPr>
        <w:t xml:space="preserve">, señalando, además, los proyectos o contratos concretos a los cuales aplican los documentos tipo de cada uno de los sectores, en el entendido de que aplicarán a los procesos contractuales cuyo objeto se relacione con alguna de las actividades establecidas de forma detallada en la Matriz de experiencia respectiva. </w:t>
      </w:r>
      <w:r w:rsidRPr="00D13D0B">
        <w:rPr>
          <w:rFonts w:ascii="Arial" w:eastAsia="Calibri" w:hAnsi="Arial" w:cs="Arial"/>
          <w:color w:val="0D0D0D"/>
          <w:szCs w:val="20"/>
          <w:lang w:val="es-MX"/>
        </w:rPr>
        <w:t xml:space="preserve">Por otro lado, el «Anexo 3 – Glosario», contiene las definiciones de los términos usados en los documentos del proceso. Utilizando estos dos documentos, la entidad estatal puede definir si el objeto a contratarse debe aplicar los documentos tipo de licitación de obra pública de infraestructura social relacionados con el sector educativo, salud y cultura, recreación y deporte −según corresponda−. </w:t>
      </w:r>
    </w:p>
    <w:p w14:paraId="725DAB2E" w14:textId="77777777" w:rsidR="00D13D0B" w:rsidRPr="00D13D0B" w:rsidRDefault="00D13D0B" w:rsidP="00D13D0B">
      <w:pPr>
        <w:spacing w:after="120" w:line="240" w:lineRule="auto"/>
        <w:jc w:val="both"/>
        <w:rPr>
          <w:rFonts w:ascii="Arial" w:eastAsia="Times New Roman" w:hAnsi="Arial" w:cs="Arial"/>
          <w:i/>
          <w:iCs/>
          <w:szCs w:val="20"/>
        </w:rPr>
      </w:pPr>
    </w:p>
    <w:p w14:paraId="0E7CF934" w14:textId="77777777" w:rsidR="00D13D0B" w:rsidRPr="00D13D0B" w:rsidRDefault="00D13D0B" w:rsidP="00D13D0B">
      <w:pPr>
        <w:widowControl w:val="0"/>
        <w:autoSpaceDE w:val="0"/>
        <w:autoSpaceDN w:val="0"/>
        <w:spacing w:after="0"/>
        <w:rPr>
          <w:rFonts w:ascii="Arial" w:eastAsia="Times New Roman" w:hAnsi="Arial" w:cs="Arial"/>
          <w:sz w:val="22"/>
          <w:lang w:val="es-ES" w:eastAsia="es-ES"/>
        </w:rPr>
      </w:pPr>
    </w:p>
    <w:p w14:paraId="75F68D1A" w14:textId="62B2E806" w:rsidR="00D13D0B" w:rsidRPr="00D13D0B" w:rsidRDefault="0012206D" w:rsidP="0012206D">
      <w:pPr>
        <w:widowControl w:val="0"/>
        <w:autoSpaceDE w:val="0"/>
        <w:autoSpaceDN w:val="0"/>
        <w:spacing w:after="0"/>
        <w:jc w:val="right"/>
        <w:rPr>
          <w:rFonts w:ascii="Arial" w:eastAsia="Times New Roman" w:hAnsi="Arial" w:cs="Arial"/>
          <w:sz w:val="22"/>
          <w:lang w:val="es-ES" w:eastAsia="es-ES"/>
        </w:rPr>
      </w:pPr>
      <w:r>
        <w:rPr>
          <w:noProof/>
        </w:rPr>
        <w:drawing>
          <wp:inline distT="0" distB="0" distL="0" distR="0" wp14:anchorId="047C247F" wp14:editId="2990C859">
            <wp:extent cx="3341411" cy="942975"/>
            <wp:effectExtent l="0" t="0" r="0" b="0"/>
            <wp:docPr id="9" name="Imagen 9"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rotWithShape="1">
                    <a:blip r:embed="rId10"/>
                    <a:srcRect l="52211" t="34825" r="19038" b="50743"/>
                    <a:stretch/>
                  </pic:blipFill>
                  <pic:spPr bwMode="auto">
                    <a:xfrm>
                      <a:off x="0" y="0"/>
                      <a:ext cx="3347976" cy="944828"/>
                    </a:xfrm>
                    <a:prstGeom prst="rect">
                      <a:avLst/>
                    </a:prstGeom>
                    <a:ln>
                      <a:noFill/>
                    </a:ln>
                    <a:extLst>
                      <a:ext uri="{53640926-AAD7-44D8-BBD7-CCE9431645EC}">
                        <a14:shadowObscured xmlns:a14="http://schemas.microsoft.com/office/drawing/2010/main"/>
                      </a:ext>
                    </a:extLst>
                  </pic:spPr>
                </pic:pic>
              </a:graphicData>
            </a:graphic>
          </wp:inline>
        </w:drawing>
      </w:r>
    </w:p>
    <w:p w14:paraId="0E900733" w14:textId="77777777" w:rsidR="00D13D0B" w:rsidRPr="00D13D0B" w:rsidRDefault="00D13D0B" w:rsidP="00D13D0B">
      <w:pPr>
        <w:widowControl w:val="0"/>
        <w:autoSpaceDE w:val="0"/>
        <w:autoSpaceDN w:val="0"/>
        <w:spacing w:after="0"/>
        <w:rPr>
          <w:rFonts w:ascii="Arial" w:eastAsia="Times New Roman" w:hAnsi="Arial" w:cs="Arial"/>
          <w:sz w:val="22"/>
          <w:lang w:val="es-ES" w:eastAsia="es-ES"/>
        </w:rPr>
      </w:pPr>
    </w:p>
    <w:p w14:paraId="4670E09B" w14:textId="62C727B8" w:rsidR="00D13D0B" w:rsidRPr="00D13D0B" w:rsidRDefault="0012206D" w:rsidP="0012206D">
      <w:pPr>
        <w:widowControl w:val="0"/>
        <w:autoSpaceDE w:val="0"/>
        <w:autoSpaceDN w:val="0"/>
        <w:spacing w:after="0"/>
        <w:rPr>
          <w:rFonts w:ascii="Arial" w:eastAsia="Times New Roman" w:hAnsi="Arial" w:cs="Arial"/>
          <w:sz w:val="22"/>
          <w:lang w:val="es-ES" w:eastAsia="es-ES"/>
        </w:rPr>
      </w:pPr>
      <w:r w:rsidRPr="00B74F36">
        <w:rPr>
          <w:rFonts w:ascii="Arial" w:hAnsi="Arial" w:cs="Arial"/>
          <w:sz w:val="22"/>
        </w:rPr>
        <w:t>Bogotá, 05 Julio 2022</w:t>
      </w:r>
    </w:p>
    <w:p w14:paraId="7365732C" w14:textId="77777777" w:rsidR="00D13D0B" w:rsidRPr="00D13D0B" w:rsidRDefault="00D13D0B" w:rsidP="00D13D0B">
      <w:pPr>
        <w:widowControl w:val="0"/>
        <w:autoSpaceDE w:val="0"/>
        <w:autoSpaceDN w:val="0"/>
        <w:spacing w:after="0"/>
        <w:rPr>
          <w:rFonts w:ascii="Arial" w:eastAsia="Times New Roman" w:hAnsi="Arial" w:cs="Arial"/>
          <w:sz w:val="22"/>
          <w:lang w:val="es-ES" w:eastAsia="es-ES"/>
        </w:rPr>
      </w:pPr>
    </w:p>
    <w:p w14:paraId="7EC49B04" w14:textId="77777777" w:rsidR="00D13D0B" w:rsidRPr="00D13D0B" w:rsidRDefault="00D13D0B" w:rsidP="00D13D0B">
      <w:pPr>
        <w:spacing w:after="0"/>
        <w:rPr>
          <w:rFonts w:ascii="Arial" w:eastAsia="Calibri" w:hAnsi="Arial" w:cs="Arial"/>
          <w:color w:val="000000" w:themeColor="text1"/>
          <w:sz w:val="22"/>
          <w:szCs w:val="24"/>
          <w:lang w:eastAsia="es-MX"/>
        </w:rPr>
      </w:pPr>
      <w:r w:rsidRPr="00D13D0B">
        <w:rPr>
          <w:rFonts w:ascii="Arial" w:eastAsia="Calibri" w:hAnsi="Arial" w:cs="Arial"/>
          <w:color w:val="000000" w:themeColor="text1"/>
          <w:sz w:val="22"/>
          <w:szCs w:val="24"/>
          <w:lang w:eastAsia="es-MX"/>
        </w:rPr>
        <w:t>Señor</w:t>
      </w:r>
    </w:p>
    <w:p w14:paraId="577BD3E6" w14:textId="77777777" w:rsidR="00D13D0B" w:rsidRPr="00D13D0B" w:rsidRDefault="00D13D0B" w:rsidP="00D13D0B">
      <w:pPr>
        <w:spacing w:after="0"/>
        <w:rPr>
          <w:rFonts w:ascii="Arial" w:eastAsia="Calibri" w:hAnsi="Arial" w:cs="Arial"/>
          <w:b/>
          <w:bCs/>
          <w:color w:val="000000" w:themeColor="text1"/>
          <w:sz w:val="22"/>
          <w:szCs w:val="24"/>
          <w:lang w:eastAsia="es-MX"/>
        </w:rPr>
      </w:pPr>
      <w:r w:rsidRPr="00D13D0B">
        <w:rPr>
          <w:rFonts w:ascii="Arial" w:hAnsi="Arial" w:cs="Arial"/>
          <w:b/>
          <w:bCs/>
          <w:sz w:val="22"/>
        </w:rPr>
        <w:t>Ricardo Antonio Lezama Serrano</w:t>
      </w:r>
    </w:p>
    <w:p w14:paraId="447D0AAD" w14:textId="77777777" w:rsidR="00D13D0B" w:rsidRPr="00D13D0B" w:rsidRDefault="00D13D0B" w:rsidP="00D13D0B">
      <w:pPr>
        <w:spacing w:after="0" w:line="240" w:lineRule="auto"/>
        <w:rPr>
          <w:rFonts w:ascii="Arial" w:eastAsia="Calibri" w:hAnsi="Arial" w:cs="Arial"/>
          <w:b/>
          <w:color w:val="000000" w:themeColor="text1"/>
          <w:sz w:val="22"/>
          <w:szCs w:val="24"/>
          <w:lang w:eastAsia="es-MX"/>
        </w:rPr>
      </w:pPr>
      <w:r w:rsidRPr="00D13D0B">
        <w:rPr>
          <w:rFonts w:ascii="Arial" w:hAnsi="Arial" w:cs="Arial"/>
          <w:sz w:val="22"/>
        </w:rPr>
        <w:t>Bogotá D.C</w:t>
      </w:r>
    </w:p>
    <w:p w14:paraId="0C0F6CD0" w14:textId="77777777" w:rsidR="00D13D0B" w:rsidRPr="00D13D0B" w:rsidRDefault="00D13D0B" w:rsidP="00D13D0B">
      <w:pPr>
        <w:spacing w:after="0" w:line="240" w:lineRule="auto"/>
        <w:rPr>
          <w:rFonts w:ascii="Arial" w:eastAsia="Calibri" w:hAnsi="Arial" w:cs="Arial"/>
          <w:b/>
          <w:color w:val="000000" w:themeColor="text1"/>
          <w:sz w:val="22"/>
          <w:szCs w:val="24"/>
          <w:lang w:eastAsia="es-MX"/>
        </w:rPr>
      </w:pPr>
    </w:p>
    <w:p w14:paraId="46CE127F" w14:textId="77777777" w:rsidR="00D13D0B" w:rsidRPr="00D13D0B" w:rsidRDefault="00D13D0B" w:rsidP="00D13D0B">
      <w:pPr>
        <w:spacing w:after="0" w:line="240" w:lineRule="auto"/>
        <w:rPr>
          <w:rFonts w:ascii="Arial" w:eastAsia="Calibri" w:hAnsi="Arial" w:cs="Arial"/>
          <w:b/>
          <w:color w:val="000000" w:themeColor="text1"/>
          <w:sz w:val="22"/>
          <w:szCs w:val="24"/>
          <w:lang w:eastAsia="es-MX"/>
        </w:rPr>
      </w:pPr>
      <w:r w:rsidRPr="00D13D0B">
        <w:rPr>
          <w:rFonts w:ascii="Arial" w:eastAsia="Calibri" w:hAnsi="Arial" w:cs="Arial"/>
          <w:b/>
          <w:color w:val="000000" w:themeColor="text1"/>
          <w:sz w:val="22"/>
          <w:szCs w:val="24"/>
          <w:lang w:eastAsia="es-MX"/>
        </w:rPr>
        <w:t xml:space="preserve">                                        Concepto C – 419 de 2022 </w:t>
      </w:r>
    </w:p>
    <w:p w14:paraId="6AA86F0C" w14:textId="77777777" w:rsidR="00D13D0B" w:rsidRPr="00D13D0B" w:rsidRDefault="00D13D0B" w:rsidP="00D13D0B">
      <w:pPr>
        <w:spacing w:after="0" w:line="240" w:lineRule="auto"/>
        <w:rPr>
          <w:rFonts w:ascii="Arial" w:eastAsia="Calibri" w:hAnsi="Arial" w:cs="Arial"/>
          <w:b/>
          <w:color w:val="000000" w:themeColor="text1"/>
          <w:sz w:val="22"/>
          <w:szCs w:val="24"/>
          <w:lang w:eastAsia="es-MX"/>
        </w:rPr>
      </w:pPr>
    </w:p>
    <w:tbl>
      <w:tblPr>
        <w:tblStyle w:val="Tablaconcuadrcula"/>
        <w:tblW w:w="86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272"/>
      </w:tblGrid>
      <w:tr w:rsidR="00D13D0B" w:rsidRPr="00D13D0B" w14:paraId="3E197FCC" w14:textId="77777777" w:rsidTr="00271A52">
        <w:trPr>
          <w:trHeight w:val="1120"/>
        </w:trPr>
        <w:tc>
          <w:tcPr>
            <w:tcW w:w="2410" w:type="dxa"/>
          </w:tcPr>
          <w:p w14:paraId="5AB90230" w14:textId="77777777" w:rsidR="00D13D0B" w:rsidRPr="00D13D0B" w:rsidRDefault="00D13D0B" w:rsidP="00D13D0B">
            <w:pPr>
              <w:widowControl w:val="0"/>
              <w:autoSpaceDE w:val="0"/>
              <w:autoSpaceDN w:val="0"/>
              <w:spacing w:after="0"/>
              <w:jc w:val="both"/>
              <w:rPr>
                <w:rFonts w:ascii="Arial" w:eastAsia="Calibri" w:hAnsi="Arial" w:cs="Arial"/>
                <w:b/>
                <w:bCs/>
                <w:sz w:val="22"/>
              </w:rPr>
            </w:pPr>
            <w:r w:rsidRPr="00D13D0B">
              <w:rPr>
                <w:rFonts w:ascii="Arial" w:eastAsia="Calibri" w:hAnsi="Arial" w:cs="Arial"/>
                <w:b/>
                <w:color w:val="000000" w:themeColor="text1"/>
                <w:sz w:val="22"/>
              </w:rPr>
              <w:t>Temas:</w:t>
            </w:r>
            <w:r w:rsidRPr="00D13D0B">
              <w:rPr>
                <w:rFonts w:ascii="Arial" w:eastAsia="Calibri" w:hAnsi="Arial" w:cs="Arial"/>
                <w:color w:val="000000" w:themeColor="text1"/>
                <w:szCs w:val="20"/>
              </w:rPr>
              <w:t xml:space="preserve">   </w:t>
            </w:r>
          </w:p>
        </w:tc>
        <w:tc>
          <w:tcPr>
            <w:tcW w:w="6272" w:type="dxa"/>
          </w:tcPr>
          <w:p w14:paraId="0695DBAF" w14:textId="77777777" w:rsidR="00D13D0B" w:rsidRPr="00D13D0B" w:rsidRDefault="00D13D0B" w:rsidP="00D13D0B">
            <w:pPr>
              <w:spacing w:after="120" w:line="240" w:lineRule="auto"/>
              <w:jc w:val="both"/>
              <w:rPr>
                <w:rFonts w:ascii="Arial" w:eastAsia="Times New Roman" w:hAnsi="Arial" w:cs="Arial"/>
                <w:sz w:val="22"/>
                <w:lang w:eastAsia="es-MX"/>
              </w:rPr>
            </w:pPr>
            <w:r w:rsidRPr="00D13D0B">
              <w:rPr>
                <w:rFonts w:ascii="Arial" w:eastAsia="Calibri" w:hAnsi="Arial" w:cs="Arial"/>
                <w:bCs/>
                <w:sz w:val="22"/>
                <w:szCs w:val="24"/>
                <w:lang w:val="es-ES_tradnl" w:eastAsia="en-GB"/>
              </w:rPr>
              <w:t xml:space="preserve">DOCUMENTOS TIPO – Obligatoriedad – Inalterabilidad / DOCUMENTOS TIPO – Infraestructura social – Sectores – Educativo – Salud – Cultura, recreación y deporte / </w:t>
            </w:r>
            <w:r w:rsidRPr="00D13D0B">
              <w:rPr>
                <w:rFonts w:ascii="Arial" w:eastAsia="Calibri" w:hAnsi="Arial" w:cs="Arial"/>
                <w:bCs/>
                <w:sz w:val="22"/>
                <w:lang w:val="es-ES_tradnl" w:eastAsia="en-GB"/>
              </w:rPr>
              <w:t xml:space="preserve">DOCUMENTOS TIPO – Infraestructura social – Sectores – Educativo – Salud – Cultura, recreación y deporte – Matriz de experiencia – Aplicación </w:t>
            </w:r>
          </w:p>
        </w:tc>
      </w:tr>
      <w:tr w:rsidR="00D13D0B" w:rsidRPr="00D13D0B" w14:paraId="75357A10" w14:textId="77777777" w:rsidTr="00271A52">
        <w:trPr>
          <w:trHeight w:val="126"/>
        </w:trPr>
        <w:tc>
          <w:tcPr>
            <w:tcW w:w="2410" w:type="dxa"/>
          </w:tcPr>
          <w:p w14:paraId="734889ED" w14:textId="77777777" w:rsidR="00D13D0B" w:rsidRPr="00D13D0B" w:rsidRDefault="00D13D0B" w:rsidP="00D13D0B">
            <w:pPr>
              <w:spacing w:after="0" w:line="240" w:lineRule="auto"/>
              <w:jc w:val="both"/>
              <w:rPr>
                <w:rFonts w:ascii="Arial" w:eastAsia="Calibri" w:hAnsi="Arial" w:cs="Arial"/>
                <w:color w:val="000000" w:themeColor="text1"/>
                <w:sz w:val="22"/>
                <w:lang w:eastAsia="es-MX"/>
              </w:rPr>
            </w:pPr>
            <w:r w:rsidRPr="00D13D0B">
              <w:rPr>
                <w:rFonts w:ascii="Arial" w:eastAsia="Calibri" w:hAnsi="Arial" w:cs="Arial"/>
                <w:b/>
                <w:color w:val="000000" w:themeColor="text1"/>
                <w:sz w:val="22"/>
                <w:lang w:eastAsia="es-MX"/>
              </w:rPr>
              <w:t>Radicación:</w:t>
            </w:r>
            <w:r w:rsidRPr="00D13D0B">
              <w:rPr>
                <w:rFonts w:ascii="Arial" w:eastAsia="Calibri" w:hAnsi="Arial" w:cs="Arial"/>
                <w:color w:val="000000" w:themeColor="text1"/>
                <w:sz w:val="22"/>
                <w:lang w:eastAsia="es-MX"/>
              </w:rPr>
              <w:t xml:space="preserve">                              </w:t>
            </w:r>
          </w:p>
        </w:tc>
        <w:tc>
          <w:tcPr>
            <w:tcW w:w="6272" w:type="dxa"/>
          </w:tcPr>
          <w:p w14:paraId="40E03A9D" w14:textId="77777777" w:rsidR="00D13D0B" w:rsidRPr="00D13D0B" w:rsidRDefault="00D13D0B" w:rsidP="00D13D0B">
            <w:pPr>
              <w:spacing w:after="0" w:line="240" w:lineRule="auto"/>
              <w:jc w:val="both"/>
              <w:rPr>
                <w:rFonts w:ascii="Arial" w:eastAsia="Calibri" w:hAnsi="Arial" w:cs="Arial"/>
                <w:color w:val="000000" w:themeColor="text1"/>
                <w:sz w:val="22"/>
                <w:lang w:eastAsia="es-MX"/>
              </w:rPr>
            </w:pPr>
            <w:r w:rsidRPr="00D13D0B">
              <w:rPr>
                <w:rFonts w:ascii="Arial" w:eastAsia="Calibri" w:hAnsi="Arial" w:cs="Arial"/>
                <w:color w:val="000000" w:themeColor="text1"/>
                <w:sz w:val="22"/>
                <w:lang w:eastAsia="es-MX"/>
              </w:rPr>
              <w:t>Respuesta a consulta P20220517004856</w:t>
            </w:r>
          </w:p>
        </w:tc>
      </w:tr>
    </w:tbl>
    <w:p w14:paraId="1F98C0A2" w14:textId="77777777" w:rsidR="00D13D0B" w:rsidRPr="00D13D0B" w:rsidRDefault="00D13D0B" w:rsidP="00D13D0B">
      <w:pPr>
        <w:spacing w:after="0"/>
        <w:rPr>
          <w:rFonts w:ascii="Times New Roman" w:eastAsia="Times New Roman" w:hAnsi="Times New Roman" w:cs="Times New Roman"/>
          <w:sz w:val="24"/>
          <w:szCs w:val="24"/>
          <w:lang w:eastAsia="es-MX"/>
        </w:rPr>
      </w:pPr>
    </w:p>
    <w:p w14:paraId="4222D467" w14:textId="77777777" w:rsidR="00D13D0B" w:rsidRPr="00D13D0B" w:rsidRDefault="00D13D0B" w:rsidP="00D13D0B">
      <w:pPr>
        <w:tabs>
          <w:tab w:val="left" w:pos="3736"/>
        </w:tabs>
        <w:spacing w:after="0"/>
        <w:rPr>
          <w:rFonts w:ascii="Arial" w:eastAsia="Calibri" w:hAnsi="Arial" w:cs="Arial"/>
          <w:color w:val="000000" w:themeColor="text1"/>
          <w:sz w:val="22"/>
          <w:szCs w:val="24"/>
          <w:lang w:eastAsia="es-MX"/>
        </w:rPr>
      </w:pPr>
      <w:r w:rsidRPr="00D13D0B">
        <w:rPr>
          <w:rFonts w:ascii="Arial" w:eastAsia="Calibri" w:hAnsi="Arial" w:cs="Arial"/>
          <w:color w:val="000000" w:themeColor="text1"/>
          <w:sz w:val="22"/>
          <w:szCs w:val="24"/>
          <w:lang w:eastAsia="es-MX"/>
        </w:rPr>
        <w:t>Estimado Señor</w:t>
      </w:r>
      <w:r w:rsidRPr="00D13D0B">
        <w:rPr>
          <w:rFonts w:ascii="Arial" w:hAnsi="Arial" w:cs="Arial"/>
          <w:b/>
          <w:bCs/>
          <w:sz w:val="22"/>
        </w:rPr>
        <w:t xml:space="preserve"> </w:t>
      </w:r>
      <w:r w:rsidRPr="00D13D0B">
        <w:rPr>
          <w:rFonts w:ascii="Arial" w:hAnsi="Arial" w:cs="Arial"/>
          <w:sz w:val="22"/>
        </w:rPr>
        <w:t>Lezama Serrano</w:t>
      </w:r>
      <w:r w:rsidRPr="00D13D0B">
        <w:rPr>
          <w:rFonts w:ascii="Arial" w:eastAsia="Calibri" w:hAnsi="Arial" w:cs="Arial"/>
          <w:color w:val="000000" w:themeColor="text1"/>
          <w:sz w:val="22"/>
          <w:szCs w:val="24"/>
          <w:lang w:eastAsia="es-MX"/>
        </w:rPr>
        <w:t xml:space="preserve">: </w:t>
      </w:r>
      <w:r w:rsidRPr="00D13D0B">
        <w:rPr>
          <w:rFonts w:ascii="Arial" w:eastAsia="Calibri" w:hAnsi="Arial" w:cs="Arial"/>
          <w:color w:val="000000" w:themeColor="text1"/>
          <w:sz w:val="22"/>
          <w:szCs w:val="24"/>
          <w:lang w:eastAsia="es-MX"/>
        </w:rPr>
        <w:tab/>
      </w:r>
    </w:p>
    <w:p w14:paraId="4D3B4D2E" w14:textId="77777777" w:rsidR="00D13D0B" w:rsidRPr="00D13D0B" w:rsidRDefault="00D13D0B" w:rsidP="00D13D0B">
      <w:pPr>
        <w:spacing w:after="0"/>
        <w:rPr>
          <w:rFonts w:ascii="Arial" w:eastAsia="Calibri" w:hAnsi="Arial" w:cs="Arial"/>
          <w:color w:val="000000" w:themeColor="text1"/>
          <w:sz w:val="22"/>
          <w:lang w:eastAsia="es-MX"/>
        </w:rPr>
      </w:pPr>
    </w:p>
    <w:p w14:paraId="770CCEC6" w14:textId="77777777" w:rsidR="00D13D0B" w:rsidRPr="00D13D0B" w:rsidRDefault="00D13D0B" w:rsidP="00D13D0B">
      <w:pPr>
        <w:spacing w:after="0"/>
        <w:jc w:val="both"/>
        <w:rPr>
          <w:rFonts w:ascii="Arial" w:eastAsia="Calibri" w:hAnsi="Arial" w:cs="Arial"/>
          <w:color w:val="000000" w:themeColor="text1"/>
          <w:sz w:val="22"/>
          <w:lang w:eastAsia="es-MX"/>
        </w:rPr>
      </w:pPr>
      <w:r w:rsidRPr="00D13D0B">
        <w:rPr>
          <w:rFonts w:ascii="Arial" w:eastAsia="Calibri" w:hAnsi="Arial" w:cs="Arial"/>
          <w:sz w:val="22"/>
          <w:lang w:val="es-MX" w:eastAsia="es-MX"/>
        </w:rPr>
        <w:t>En ejercicio de la competencia otorgada por los artículos 11, numeral 8º, y 3º, numeral 5º, del Decreto Ley 4170 de 2011,</w:t>
      </w:r>
      <w:r w:rsidRPr="00D13D0B">
        <w:rPr>
          <w:rFonts w:ascii="Arial" w:eastAsia="Calibri" w:hAnsi="Arial" w:cs="Arial"/>
          <w:color w:val="000000" w:themeColor="text1"/>
          <w:sz w:val="22"/>
          <w:lang w:val="es-ES_tradnl" w:eastAsia="es-MX"/>
        </w:rPr>
        <w:t xml:space="preserve"> </w:t>
      </w:r>
      <w:r w:rsidRPr="00D13D0B">
        <w:rPr>
          <w:rFonts w:ascii="Arial" w:eastAsia="Calibri" w:hAnsi="Arial" w:cs="Arial"/>
          <w:sz w:val="22"/>
          <w:lang w:val="es-MX" w:eastAsia="es-MX"/>
        </w:rPr>
        <w:t xml:space="preserve">la Agencia Nacional de Contratación Pública − Colombia Compra Eficiente responde su consulta </w:t>
      </w:r>
      <w:r w:rsidRPr="00D13D0B">
        <w:rPr>
          <w:rFonts w:ascii="Arial" w:eastAsia="Calibri" w:hAnsi="Arial" w:cs="Arial"/>
          <w:color w:val="000000" w:themeColor="text1"/>
          <w:sz w:val="22"/>
          <w:lang w:eastAsia="es-MX"/>
        </w:rPr>
        <w:t xml:space="preserve">del 17 de mayo de 2022. </w:t>
      </w:r>
    </w:p>
    <w:p w14:paraId="416585CE" w14:textId="77777777" w:rsidR="00D13D0B" w:rsidRPr="00D13D0B" w:rsidRDefault="00D13D0B" w:rsidP="00D13D0B">
      <w:pPr>
        <w:spacing w:after="0"/>
        <w:contextualSpacing/>
        <w:rPr>
          <w:rFonts w:ascii="Arial" w:eastAsia="Calibri" w:hAnsi="Arial" w:cs="Arial"/>
          <w:color w:val="000000" w:themeColor="text1"/>
          <w:sz w:val="22"/>
          <w:lang w:val="es-MX"/>
        </w:rPr>
      </w:pPr>
    </w:p>
    <w:p w14:paraId="6ECAFDAF" w14:textId="77777777" w:rsidR="00D13D0B" w:rsidRPr="00D13D0B" w:rsidRDefault="00D13D0B" w:rsidP="00D13D0B">
      <w:pPr>
        <w:tabs>
          <w:tab w:val="left" w:pos="0"/>
        </w:tabs>
        <w:spacing w:after="0"/>
        <w:jc w:val="both"/>
        <w:rPr>
          <w:rFonts w:ascii="Arial" w:eastAsia="Calibri" w:hAnsi="Arial" w:cs="Arial"/>
          <w:b/>
          <w:color w:val="000000" w:themeColor="text1"/>
          <w:sz w:val="22"/>
          <w:szCs w:val="24"/>
          <w:lang w:eastAsia="es-MX"/>
        </w:rPr>
      </w:pPr>
      <w:r w:rsidRPr="00D13D0B">
        <w:rPr>
          <w:rFonts w:ascii="Arial" w:eastAsia="Calibri" w:hAnsi="Arial" w:cs="Arial"/>
          <w:b/>
          <w:color w:val="000000" w:themeColor="text1"/>
          <w:sz w:val="22"/>
          <w:szCs w:val="24"/>
          <w:lang w:eastAsia="es-MX"/>
        </w:rPr>
        <w:t>1. Problemas planteados</w:t>
      </w:r>
    </w:p>
    <w:p w14:paraId="7C731835" w14:textId="77777777" w:rsidR="00D13D0B" w:rsidRPr="00D13D0B" w:rsidRDefault="00D13D0B" w:rsidP="00D13D0B">
      <w:pPr>
        <w:spacing w:after="0" w:line="240" w:lineRule="auto"/>
        <w:rPr>
          <w:rFonts w:ascii="Arial" w:eastAsia="Calibri" w:hAnsi="Arial" w:cs="Arial"/>
          <w:color w:val="000000" w:themeColor="text1"/>
          <w:sz w:val="22"/>
          <w:szCs w:val="24"/>
          <w:lang w:eastAsia="es-MX"/>
        </w:rPr>
      </w:pPr>
    </w:p>
    <w:p w14:paraId="6674B059" w14:textId="77777777" w:rsidR="00D13D0B" w:rsidRPr="00D13D0B" w:rsidRDefault="00D13D0B" w:rsidP="00D13D0B">
      <w:pPr>
        <w:spacing w:after="0"/>
        <w:jc w:val="both"/>
        <w:rPr>
          <w:rFonts w:ascii="Arial" w:hAnsi="Arial" w:cs="Arial"/>
          <w:sz w:val="22"/>
        </w:rPr>
      </w:pPr>
      <w:r w:rsidRPr="00D13D0B">
        <w:rPr>
          <w:rFonts w:ascii="Arial" w:hAnsi="Arial" w:cs="Arial"/>
          <w:sz w:val="22"/>
        </w:rPr>
        <w:t>En relación con los documentos tipo de licitación de obra pública de infraestructura social, relacionados con los sectores el sector salud, educativo y cultura, recreación y deporte, usted realiza la siguiente pregunta: «[¿] el sector defensa, que contrata mantenimiento de sus colegios, centros vacacionales, viviendas, mediante licitación, está dentro de la obligatoriedad de los pliegos tipo de infraestructura social?</w:t>
      </w:r>
      <w:bookmarkStart w:id="0" w:name="_Hlk103768430"/>
      <w:r w:rsidRPr="00D13D0B">
        <w:rPr>
          <w:rFonts w:ascii="Arial" w:hAnsi="Arial" w:cs="Arial"/>
          <w:sz w:val="22"/>
        </w:rPr>
        <w:t xml:space="preserve">». </w:t>
      </w:r>
    </w:p>
    <w:bookmarkEnd w:id="0"/>
    <w:p w14:paraId="259E335B" w14:textId="77777777" w:rsidR="00D13D0B" w:rsidRPr="00D13D0B" w:rsidRDefault="00D13D0B" w:rsidP="00D13D0B">
      <w:pPr>
        <w:spacing w:after="0"/>
        <w:jc w:val="both"/>
        <w:rPr>
          <w:rFonts w:ascii="Arial" w:eastAsia="Calibri" w:hAnsi="Arial" w:cs="Arial"/>
          <w:sz w:val="22"/>
          <w:lang w:eastAsia="es-MX"/>
        </w:rPr>
      </w:pPr>
    </w:p>
    <w:p w14:paraId="4124E88D" w14:textId="77777777" w:rsidR="00D13D0B" w:rsidRPr="00D13D0B" w:rsidRDefault="00D13D0B" w:rsidP="00D13D0B">
      <w:pPr>
        <w:spacing w:after="0"/>
        <w:jc w:val="both"/>
        <w:rPr>
          <w:rFonts w:ascii="Arial" w:eastAsia="Calibri" w:hAnsi="Arial" w:cs="Arial"/>
          <w:color w:val="000000" w:themeColor="text1"/>
          <w:sz w:val="22"/>
          <w:szCs w:val="24"/>
          <w:lang w:eastAsia="es-MX"/>
        </w:rPr>
      </w:pPr>
      <w:r w:rsidRPr="00D13D0B">
        <w:rPr>
          <w:rFonts w:ascii="Arial" w:eastAsia="Calibri" w:hAnsi="Arial" w:cs="Arial"/>
          <w:b/>
          <w:color w:val="000000" w:themeColor="text1"/>
          <w:sz w:val="22"/>
          <w:szCs w:val="24"/>
          <w:lang w:eastAsia="es-MX"/>
        </w:rPr>
        <w:t>2. Consideraciones</w:t>
      </w:r>
    </w:p>
    <w:p w14:paraId="3FFA2F6E" w14:textId="77777777" w:rsidR="00D13D0B" w:rsidRPr="00D13D0B" w:rsidRDefault="00D13D0B" w:rsidP="00D13D0B">
      <w:pPr>
        <w:spacing w:after="0"/>
        <w:jc w:val="both"/>
        <w:rPr>
          <w:rFonts w:ascii="Arial" w:eastAsia="Calibri" w:hAnsi="Arial" w:cs="Arial"/>
          <w:color w:val="000000" w:themeColor="text1"/>
          <w:sz w:val="22"/>
          <w:szCs w:val="24"/>
          <w:lang w:eastAsia="es-MX"/>
        </w:rPr>
      </w:pPr>
    </w:p>
    <w:p w14:paraId="7BFA705D" w14:textId="77777777" w:rsidR="00D13D0B" w:rsidRPr="00D13D0B" w:rsidRDefault="00D13D0B" w:rsidP="00D13D0B">
      <w:pPr>
        <w:spacing w:after="120"/>
        <w:jc w:val="both"/>
        <w:rPr>
          <w:rFonts w:ascii="Arial" w:eastAsia="Calibri" w:hAnsi="Arial" w:cs="Arial"/>
          <w:sz w:val="22"/>
          <w:lang w:val="es-ES_tradnl" w:eastAsia="es-ES_tradnl"/>
        </w:rPr>
      </w:pPr>
      <w:r w:rsidRPr="00D13D0B">
        <w:rPr>
          <w:rFonts w:ascii="Arial" w:eastAsia="Calibri" w:hAnsi="Arial" w:cs="Arial"/>
          <w:sz w:val="22"/>
          <w:lang w:val="es-ES_tradnl" w:eastAsia="es-ES_tradnl"/>
        </w:rPr>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atribuciones para </w:t>
      </w:r>
      <w:r w:rsidRPr="00D13D0B">
        <w:rPr>
          <w:rFonts w:ascii="Arial" w:eastAsia="Calibri" w:hAnsi="Arial" w:cs="Arial"/>
          <w:sz w:val="22"/>
          <w:lang w:val="es-ES_tradnl" w:eastAsia="es-ES_tradnl"/>
        </w:rPr>
        <w:lastRenderedPageBreak/>
        <w:t>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w:t>
      </w:r>
    </w:p>
    <w:p w14:paraId="51B5A515" w14:textId="77777777" w:rsidR="00D13D0B" w:rsidRPr="00D13D0B" w:rsidRDefault="00D13D0B" w:rsidP="00D13D0B">
      <w:pPr>
        <w:tabs>
          <w:tab w:val="left" w:pos="426"/>
        </w:tabs>
        <w:spacing w:after="120"/>
        <w:jc w:val="both"/>
        <w:rPr>
          <w:rFonts w:ascii="Arial" w:eastAsia="Calibri" w:hAnsi="Arial" w:cs="Arial"/>
          <w:bCs/>
          <w:sz w:val="22"/>
        </w:rPr>
      </w:pPr>
      <w:r w:rsidRPr="00D13D0B">
        <w:rPr>
          <w:rFonts w:ascii="Arial" w:eastAsia="Calibri" w:hAnsi="Arial" w:cs="Arial"/>
          <w:sz w:val="22"/>
          <w:lang w:val="es-ES_tradnl" w:eastAsia="es-ES_tradnl"/>
        </w:rPr>
        <w:tab/>
      </w:r>
      <w:r w:rsidRPr="00D13D0B">
        <w:rPr>
          <w:rFonts w:ascii="Arial" w:eastAsia="Calibri" w:hAnsi="Arial" w:cs="Arial"/>
          <w:sz w:val="22"/>
          <w:lang w:val="es-ES_tradnl" w:eastAsia="es-ES_tradnl"/>
        </w:rPr>
        <w:tab/>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w:t>
      </w:r>
      <w:r w:rsidRPr="00D13D0B">
        <w:rPr>
          <w:rFonts w:ascii="Arial" w:eastAsia="Calibri" w:hAnsi="Arial" w:cs="Arial"/>
          <w:bCs/>
          <w:sz w:val="22"/>
        </w:rPr>
        <w:t>que adelanta el procedimiento de selección y, en caso de conflicto, a las autoridades judiciales, fiscales y disciplinarias.</w:t>
      </w:r>
    </w:p>
    <w:p w14:paraId="408AF5DD" w14:textId="77777777" w:rsidR="00D13D0B" w:rsidRPr="00D13D0B" w:rsidRDefault="00D13D0B" w:rsidP="00D13D0B">
      <w:pPr>
        <w:tabs>
          <w:tab w:val="left" w:pos="426"/>
        </w:tabs>
        <w:spacing w:after="120"/>
        <w:jc w:val="both"/>
        <w:rPr>
          <w:rFonts w:ascii="Arial" w:eastAsia="Calibri" w:hAnsi="Arial" w:cs="Arial"/>
          <w:bCs/>
          <w:sz w:val="22"/>
        </w:rPr>
      </w:pPr>
      <w:r w:rsidRPr="00D13D0B">
        <w:rPr>
          <w:rFonts w:ascii="Arial" w:eastAsia="Calibri" w:hAnsi="Arial" w:cs="Arial"/>
          <w:bCs/>
          <w:sz w:val="22"/>
        </w:rPr>
        <w:tab/>
      </w:r>
      <w:r w:rsidRPr="00D13D0B">
        <w:rPr>
          <w:rFonts w:ascii="Arial" w:eastAsia="Calibri" w:hAnsi="Arial" w:cs="Arial"/>
          <w:bCs/>
          <w:sz w:val="22"/>
        </w:rPr>
        <w:tab/>
        <w:t>Bajo estas consideraciones,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2E06F3F5" w14:textId="77777777" w:rsidR="00D13D0B" w:rsidRPr="00D13D0B" w:rsidRDefault="00D13D0B" w:rsidP="00D13D0B">
      <w:pPr>
        <w:spacing w:after="120"/>
        <w:jc w:val="both"/>
        <w:rPr>
          <w:rFonts w:ascii="Arial" w:eastAsia="Times New Roman" w:hAnsi="Arial" w:cs="Arial"/>
          <w:color w:val="0D0D0D"/>
          <w:sz w:val="22"/>
          <w:szCs w:val="24"/>
          <w:bdr w:val="none" w:sz="0" w:space="0" w:color="auto" w:frame="1"/>
          <w:lang w:eastAsia="es-CO"/>
        </w:rPr>
      </w:pPr>
      <w:r w:rsidRPr="00D13D0B">
        <w:rPr>
          <w:rFonts w:ascii="Arial" w:eastAsia="Calibri" w:hAnsi="Arial" w:cs="Arial"/>
          <w:bCs/>
          <w:sz w:val="22"/>
        </w:rPr>
        <w:tab/>
        <w:t>Por</w:t>
      </w:r>
      <w:r w:rsidRPr="00D13D0B">
        <w:rPr>
          <w:rFonts w:ascii="Arial" w:eastAsia="Calibri" w:hAnsi="Arial" w:cs="Arial"/>
          <w:color w:val="000000" w:themeColor="text1"/>
          <w:sz w:val="22"/>
          <w:lang w:val="es-ES"/>
        </w:rPr>
        <w:t xml:space="preserve"> ello,</w:t>
      </w:r>
      <w:r w:rsidRPr="00D13D0B">
        <w:rPr>
          <w:rFonts w:ascii="Arial" w:eastAsia="Calibri" w:hAnsi="Arial" w:cs="Arial"/>
          <w:sz w:val="22"/>
          <w:lang w:val="es-ES_tradnl" w:eastAsia="es-ES_tradnl"/>
        </w:rPr>
        <w:t xml:space="preserve"> </w:t>
      </w:r>
      <w:r w:rsidRPr="00D13D0B">
        <w:rPr>
          <w:rFonts w:ascii="Arial" w:eastAsia="Calibri" w:hAnsi="Arial" w:cs="Arial"/>
          <w:color w:val="000000" w:themeColor="text1"/>
          <w:sz w:val="22"/>
          <w:lang w:val="es-ES"/>
        </w:rPr>
        <w:t xml:space="preserve">la Subdirección, dentro de los límites de sus atribuciones, resolverá la consulta conforme a las normas generales en materia de contratación estatal. Con este objetivo se analizarán los siguientes temas: </w:t>
      </w:r>
      <w:r w:rsidRPr="00D13D0B">
        <w:rPr>
          <w:rFonts w:ascii="Arial" w:eastAsia="Calibri" w:hAnsi="Arial" w:cs="Arial"/>
          <w:sz w:val="22"/>
          <w:szCs w:val="24"/>
          <w:lang w:eastAsia="en-GB"/>
        </w:rPr>
        <w:t>i) ámbito de aplicación, obligatoriedad e inalterabilidad de los documentos tipo, ii) documentos tipo complementarios para los procesos de licitación de obra pública de infraestructura social relacionados con el sector educativo, salud y cultura, recreación y deporte y iii)</w:t>
      </w:r>
      <w:r w:rsidRPr="00D13D0B">
        <w:rPr>
          <w:rFonts w:ascii="Arial" w:eastAsia="Calibri" w:hAnsi="Arial" w:cs="Arial"/>
          <w:b/>
          <w:bCs/>
          <w:sz w:val="22"/>
          <w:szCs w:val="24"/>
          <w:lang w:eastAsia="en-GB"/>
        </w:rPr>
        <w:t xml:space="preserve"> </w:t>
      </w:r>
      <w:r w:rsidRPr="00D13D0B">
        <w:rPr>
          <w:rFonts w:ascii="Arial" w:eastAsia="Times New Roman" w:hAnsi="Arial" w:cs="Arial"/>
          <w:sz w:val="22"/>
          <w:lang w:eastAsia="es-MX"/>
        </w:rPr>
        <w:t xml:space="preserve">aplicación de la Matriz de experiencia de los documentos tipo </w:t>
      </w:r>
      <w:r w:rsidRPr="00D13D0B">
        <w:rPr>
          <w:rFonts w:ascii="Arial" w:eastAsia="Calibri" w:hAnsi="Arial" w:cs="Arial"/>
          <w:sz w:val="22"/>
          <w:szCs w:val="24"/>
          <w:lang w:eastAsia="en-GB"/>
        </w:rPr>
        <w:t>complementarios para los procesos de licitación de obra pública de infraestructura social relacionados con el sector educativo, salud y cultura, recreación y deporte.</w:t>
      </w:r>
      <w:r w:rsidRPr="00D13D0B">
        <w:rPr>
          <w:rFonts w:ascii="Arial" w:eastAsia="Calibri" w:hAnsi="Arial" w:cs="Arial"/>
          <w:b/>
          <w:bCs/>
          <w:sz w:val="22"/>
          <w:szCs w:val="24"/>
          <w:lang w:eastAsia="en-GB"/>
        </w:rPr>
        <w:t xml:space="preserve"> </w:t>
      </w:r>
    </w:p>
    <w:p w14:paraId="5BC9BB38" w14:textId="77777777" w:rsidR="00D13D0B" w:rsidRPr="00D13D0B" w:rsidRDefault="00D13D0B" w:rsidP="00D13D0B">
      <w:pPr>
        <w:spacing w:after="120"/>
        <w:ind w:firstLine="708"/>
        <w:jc w:val="both"/>
        <w:rPr>
          <w:rFonts w:ascii="Arial" w:eastAsia="Calibri" w:hAnsi="Arial" w:cs="Arial"/>
          <w:sz w:val="22"/>
          <w:lang w:val="es-ES_tradnl" w:eastAsia="es-ES_tradnl"/>
        </w:rPr>
      </w:pPr>
      <w:r w:rsidRPr="00D13D0B">
        <w:rPr>
          <w:rFonts w:ascii="Arial" w:eastAsia="Calibri" w:hAnsi="Arial" w:cs="Arial"/>
          <w:sz w:val="22"/>
          <w:lang w:val="es-ES_tradnl" w:eastAsia="es-ES_tradnl"/>
        </w:rPr>
        <w:t xml:space="preserve">La Agencia Nacional de Contratación Pública – Colombia Compra Eficiente analizó el fundamento normativo de los pliegos de condiciones tipo en la contratación estatal, entre otros, en los siguientes conceptos: </w:t>
      </w:r>
      <w:r w:rsidRPr="00D13D0B">
        <w:rPr>
          <w:rFonts w:ascii="Arial" w:eastAsia="Times New Roman" w:hAnsi="Arial" w:cs="Arial"/>
          <w:sz w:val="22"/>
          <w:lang w:val="es-ES_tradnl" w:eastAsia="es-ES_tradnl"/>
        </w:rPr>
        <w:t xml:space="preserve">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w:t>
      </w:r>
      <w:r w:rsidRPr="00D13D0B">
        <w:rPr>
          <w:rFonts w:ascii="Arial" w:eastAsia="Times New Roman" w:hAnsi="Arial" w:cs="Arial"/>
          <w:sz w:val="22"/>
          <w:lang w:val="es-ES_tradnl" w:eastAsia="es-ES_tradnl"/>
        </w:rPr>
        <w:lastRenderedPageBreak/>
        <w:t>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w:t>
      </w:r>
      <w:r w:rsidRPr="00D13D0B">
        <w:rPr>
          <w:rFonts w:ascii="Arial" w:eastAsia="Calibri" w:hAnsi="Arial" w:cs="Arial"/>
          <w:sz w:val="22"/>
          <w:lang w:val="es-ES_tradnl" w:eastAsia="es-ES_tradnl"/>
        </w:rPr>
        <w:t xml:space="preserve">,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y C-643 del 17 de noviembre de 2021, C-690 del 27 de diciembre de 2022, C-706 del 17 de enero de 2022, C-679 del 24 de enero de 2022, C-066 del 28 de enero de 2022, C-705 del 5 de enero de 2022, C-753 del 6 de febrero de 2022, C-011 del 18 de febrero de 2022, C-033 del 4 de marzo de 2022, C-060 del 10 de marzo de 2022, C-086 del 15 de marzo de 2022, C-130 del 22 de marzo de 2022, C-110 del 23 de marzo de 2022, C-137 del 29 de marzo de 2022, C-311 del 16 de mayo de 2022 y C-344 del 9 de junio de 2022. </w:t>
      </w:r>
    </w:p>
    <w:p w14:paraId="65203C8B" w14:textId="77777777" w:rsidR="00D13D0B" w:rsidRPr="00D13D0B" w:rsidRDefault="00D13D0B" w:rsidP="00D13D0B">
      <w:pPr>
        <w:spacing w:after="0"/>
        <w:ind w:firstLine="709"/>
        <w:jc w:val="both"/>
        <w:rPr>
          <w:rFonts w:ascii="Arial" w:eastAsia="Calibri" w:hAnsi="Arial" w:cs="Arial"/>
          <w:sz w:val="22"/>
        </w:rPr>
      </w:pPr>
      <w:r w:rsidRPr="00D13D0B">
        <w:rPr>
          <w:rFonts w:ascii="Arial" w:eastAsia="Times New Roman" w:hAnsi="Arial" w:cs="Arial"/>
          <w:noProof/>
          <w:color w:val="000000"/>
          <w:sz w:val="22"/>
          <w:szCs w:val="24"/>
          <w:lang w:val="es-MX" w:eastAsia="es-ES_tradnl"/>
        </w:rPr>
        <w:t xml:space="preserve">De otra parte, </w:t>
      </w:r>
      <w:r w:rsidRPr="00D13D0B">
        <w:rPr>
          <w:rFonts w:ascii="Arial" w:eastAsia="Calibri" w:hAnsi="Arial" w:cs="Arial"/>
          <w:color w:val="000000" w:themeColor="text1"/>
          <w:sz w:val="22"/>
          <w:lang w:val="es-ES_tradnl"/>
        </w:rPr>
        <w:t xml:space="preserve"> la Agencia Nacional de Contratación Pública – Colombia Compra Eficiente ha estudiado el ámbito de aplicación de los documentos tipo en los conceptos C-645 del 6 de noviembre de 2020, C-673 del 11 de noviembre de 2020, C-692 del 27 de noviembre de 2020, C-778 del 18 de enero de 2021, C-021 del 22 de febrero de 2021, C-091 del 23 de marzo de 2021, C-200 del 14 de mayo de 2021, C-231 del 24 de mayo de 2021, C-267 de 2 de junio de 2021, C-370 del 28 de julio de 2021,  C-380 del 29 de julio de 2021 y C-493 del 14 de septiembre de 2021, entre otros. Finalmente, en los conceptos C-375 del 27 de septiembre de 2021, C-536 del 29 de septiembre de 2021, </w:t>
      </w:r>
      <w:r w:rsidRPr="00D13D0B">
        <w:rPr>
          <w:rFonts w:ascii="Arial" w:eastAsia="Calibri" w:hAnsi="Arial" w:cs="Arial"/>
          <w:color w:val="000000" w:themeColor="text1"/>
          <w:sz w:val="22"/>
        </w:rPr>
        <w:t xml:space="preserve">P20210826007696 del 6 de octubre de 2021, C-729 del 24 de enero de 2022, C-090 del 16 de marzo de 2022 y </w:t>
      </w:r>
      <w:r w:rsidRPr="00D13D0B">
        <w:rPr>
          <w:rFonts w:ascii="Arial" w:eastAsia="Calibri" w:hAnsi="Arial" w:cs="Arial"/>
          <w:sz w:val="22"/>
          <w:lang w:val="es-ES_tradnl" w:eastAsia="es-ES_tradnl"/>
        </w:rPr>
        <w:t xml:space="preserve">C-344 del 9 de junio de 2022 </w:t>
      </w:r>
      <w:r w:rsidRPr="00D13D0B">
        <w:rPr>
          <w:rFonts w:ascii="Arial" w:eastAsia="Calibri" w:hAnsi="Arial" w:cs="Arial"/>
          <w:color w:val="000000" w:themeColor="text1"/>
          <w:sz w:val="22"/>
        </w:rPr>
        <w:t xml:space="preserve">se analizó la aplicación de los documentos tipo </w:t>
      </w:r>
      <w:r w:rsidRPr="00D13D0B">
        <w:rPr>
          <w:rFonts w:ascii="Arial" w:eastAsia="Calibri" w:hAnsi="Arial" w:cs="Arial"/>
          <w:sz w:val="22"/>
        </w:rPr>
        <w:t>complementarios para los procesos de licitación de obra pública de infraestructura social.</w:t>
      </w:r>
      <w:r w:rsidRPr="00D13D0B">
        <w:rPr>
          <w:rFonts w:ascii="Arial" w:eastAsia="Calibri" w:hAnsi="Arial" w:cs="Arial"/>
          <w:color w:val="000000" w:themeColor="text1"/>
          <w:sz w:val="22"/>
          <w:lang w:val="es-ES_tradnl"/>
        </w:rPr>
        <w:t xml:space="preserve"> </w:t>
      </w:r>
      <w:r w:rsidRPr="00D13D0B">
        <w:rPr>
          <w:rFonts w:ascii="Arial" w:eastAsia="Calibri" w:hAnsi="Arial" w:cs="Arial"/>
          <w:sz w:val="22"/>
        </w:rPr>
        <w:t xml:space="preserve">Las tesis expuestas en los anteriores conceptos se reiteran a continuación y se complementan en lo pertinente: </w:t>
      </w:r>
    </w:p>
    <w:p w14:paraId="20BF7B3D" w14:textId="77777777" w:rsidR="00D13D0B" w:rsidRPr="00D13D0B" w:rsidRDefault="00D13D0B" w:rsidP="00D13D0B">
      <w:pPr>
        <w:spacing w:after="0"/>
        <w:ind w:firstLine="709"/>
        <w:jc w:val="both"/>
        <w:rPr>
          <w:rFonts w:ascii="Arial" w:eastAsia="Calibri" w:hAnsi="Arial" w:cs="Arial"/>
          <w:sz w:val="22"/>
        </w:rPr>
      </w:pPr>
    </w:p>
    <w:p w14:paraId="6CE7855C" w14:textId="77777777" w:rsidR="00D13D0B" w:rsidRPr="00D13D0B" w:rsidRDefault="00D13D0B" w:rsidP="00D13D0B">
      <w:pPr>
        <w:spacing w:after="0" w:line="240" w:lineRule="auto"/>
        <w:jc w:val="both"/>
        <w:rPr>
          <w:rFonts w:ascii="Arial" w:eastAsia="Times New Roman" w:hAnsi="Arial" w:cs="Arial"/>
          <w:color w:val="0D0D0D"/>
          <w:sz w:val="22"/>
          <w:szCs w:val="24"/>
          <w:bdr w:val="none" w:sz="0" w:space="0" w:color="auto" w:frame="1"/>
          <w:lang w:eastAsia="es-CO"/>
        </w:rPr>
      </w:pPr>
      <w:r w:rsidRPr="00D13D0B">
        <w:rPr>
          <w:rFonts w:ascii="Arial" w:eastAsia="Calibri" w:hAnsi="Arial" w:cs="Arial"/>
          <w:b/>
          <w:sz w:val="22"/>
          <w:szCs w:val="24"/>
          <w:lang w:eastAsia="en-GB"/>
        </w:rPr>
        <w:t xml:space="preserve">2.1. Ámbito de aplicación, obligatoriedad e inalterabilidad de los documentos tipo </w:t>
      </w:r>
    </w:p>
    <w:p w14:paraId="08F40F17" w14:textId="77777777" w:rsidR="00D13D0B" w:rsidRPr="00D13D0B" w:rsidRDefault="00D13D0B" w:rsidP="00D13D0B">
      <w:pPr>
        <w:spacing w:after="0" w:line="240" w:lineRule="auto"/>
        <w:jc w:val="both"/>
        <w:rPr>
          <w:rFonts w:ascii="Arial" w:eastAsia="Calibri" w:hAnsi="Arial" w:cs="Arial"/>
          <w:b/>
          <w:sz w:val="22"/>
          <w:szCs w:val="24"/>
          <w:lang w:eastAsia="en-GB"/>
        </w:rPr>
      </w:pPr>
    </w:p>
    <w:p w14:paraId="15F391CA" w14:textId="77777777" w:rsidR="00D13D0B" w:rsidRPr="00D13D0B" w:rsidRDefault="00D13D0B" w:rsidP="00D13D0B">
      <w:pPr>
        <w:spacing w:after="0"/>
        <w:jc w:val="both"/>
        <w:rPr>
          <w:rFonts w:ascii="Arial" w:eastAsia="Times New Roman" w:hAnsi="Arial" w:cs="Arial"/>
          <w:color w:val="0D0D0D"/>
          <w:sz w:val="22"/>
          <w:szCs w:val="24"/>
          <w:bdr w:val="none" w:sz="0" w:space="0" w:color="auto" w:frame="1"/>
          <w:lang w:eastAsia="es-CO"/>
        </w:rPr>
      </w:pPr>
      <w:r w:rsidRPr="00D13D0B">
        <w:rPr>
          <w:rFonts w:ascii="Arial" w:eastAsia="Times New Roman" w:hAnsi="Arial" w:cs="Arial"/>
          <w:color w:val="0D0D0D"/>
          <w:sz w:val="22"/>
          <w:szCs w:val="24"/>
          <w:bdr w:val="none" w:sz="0" w:space="0" w:color="auto" w:frame="1"/>
          <w:lang w:eastAsia="es-CO"/>
        </w:rPr>
        <w:t xml:space="preserve">Los documentos tipo surgen con la expedición de la Ley 1150 de 2007 cuando el legislador facultó al Gobierno Nacional para adoptarlos en la compra o suministro de </w:t>
      </w:r>
      <w:r w:rsidRPr="00D13D0B">
        <w:rPr>
          <w:rFonts w:ascii="Arial" w:eastAsia="Times New Roman" w:hAnsi="Arial" w:cs="Arial"/>
          <w:color w:val="0D0D0D"/>
          <w:sz w:val="22"/>
          <w:szCs w:val="24"/>
          <w:bdr w:val="none" w:sz="0" w:space="0" w:color="auto" w:frame="1"/>
          <w:lang w:eastAsia="es-CO"/>
        </w:rPr>
        <w:lastRenderedPageBreak/>
        <w:t>bienes y servicios de características técnicas uniformes</w:t>
      </w:r>
      <w:r w:rsidRPr="00D13D0B">
        <w:rPr>
          <w:rFonts w:ascii="Arial" w:eastAsia="Times New Roman" w:hAnsi="Arial" w:cs="Arial"/>
          <w:color w:val="0D0D0D"/>
          <w:sz w:val="22"/>
          <w:szCs w:val="24"/>
          <w:bdr w:val="none" w:sz="0" w:space="0" w:color="auto" w:frame="1"/>
          <w:vertAlign w:val="superscript"/>
          <w:lang w:eastAsia="es-CO"/>
        </w:rPr>
        <w:footnoteReference w:id="2"/>
      </w:r>
      <w:r w:rsidRPr="00D13D0B">
        <w:rPr>
          <w:rFonts w:ascii="Arial" w:eastAsia="Times New Roman" w:hAnsi="Arial" w:cs="Arial"/>
          <w:color w:val="0D0D0D"/>
          <w:sz w:val="22"/>
          <w:szCs w:val="24"/>
          <w:bdr w:val="none" w:sz="0" w:space="0" w:color="auto" w:frame="1"/>
          <w:lang w:eastAsia="es-CO"/>
        </w:rPr>
        <w:t>. Posteriormente, la Ley 1882 de 2018 en el artículo 4, adiciona el parágrafo 7º al artículo 2 de la Ley 1150 de 2007, y establece la obligatoriedad de la adopción de documentos tipo para algunos contratos, en los siguientes términos: </w:t>
      </w:r>
    </w:p>
    <w:p w14:paraId="3C2CC135" w14:textId="77777777" w:rsidR="00D13D0B" w:rsidRPr="00D13D0B" w:rsidRDefault="00D13D0B" w:rsidP="00D13D0B">
      <w:pPr>
        <w:shd w:val="clear" w:color="auto" w:fill="FFFFFF"/>
        <w:spacing w:after="0"/>
        <w:ind w:firstLine="709"/>
        <w:jc w:val="both"/>
        <w:rPr>
          <w:rFonts w:ascii="Arial" w:eastAsia="Times New Roman" w:hAnsi="Arial" w:cs="Arial"/>
          <w:color w:val="0D0D0D"/>
          <w:sz w:val="22"/>
          <w:szCs w:val="24"/>
          <w:bdr w:val="none" w:sz="0" w:space="0" w:color="auto" w:frame="1"/>
          <w:lang w:eastAsia="es-CO"/>
        </w:rPr>
      </w:pPr>
    </w:p>
    <w:p w14:paraId="1BFCEB64" w14:textId="77777777" w:rsidR="00D13D0B" w:rsidRPr="00D13D0B" w:rsidRDefault="00D13D0B" w:rsidP="00D13D0B">
      <w:pPr>
        <w:shd w:val="clear" w:color="auto" w:fill="FFFFFF"/>
        <w:spacing w:after="0" w:line="240" w:lineRule="auto"/>
        <w:ind w:left="709" w:right="709"/>
        <w:jc w:val="both"/>
        <w:rPr>
          <w:rFonts w:ascii="Arial" w:eastAsia="Times New Roman" w:hAnsi="Arial" w:cs="Arial"/>
          <w:color w:val="0D0D0D"/>
          <w:sz w:val="21"/>
          <w:szCs w:val="21"/>
          <w:bdr w:val="none" w:sz="0" w:space="0" w:color="auto" w:frame="1"/>
          <w:lang w:eastAsia="es-CO"/>
        </w:rPr>
      </w:pPr>
      <w:r w:rsidRPr="00D13D0B">
        <w:rPr>
          <w:rFonts w:ascii="Arial" w:eastAsia="Times New Roman" w:hAnsi="Arial" w:cs="Arial"/>
          <w:color w:val="0D0D0D"/>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D13D0B">
        <w:rPr>
          <w:rFonts w:ascii="Arial" w:eastAsia="Times New Roman" w:hAnsi="Arial" w:cs="Arial"/>
          <w:i/>
          <w:iCs/>
          <w:color w:val="0D0D0D"/>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D13D0B">
        <w:rPr>
          <w:rFonts w:ascii="Arial" w:eastAsia="Times New Roman" w:hAnsi="Arial" w:cs="Arial"/>
          <w:color w:val="0D0D0D"/>
          <w:sz w:val="21"/>
          <w:szCs w:val="21"/>
          <w:bdr w:val="none" w:sz="0" w:space="0" w:color="auto" w:frame="1"/>
          <w:lang w:eastAsia="es-CO"/>
        </w:rPr>
        <w:t> […] </w:t>
      </w:r>
      <w:r w:rsidRPr="00D13D0B">
        <w:rPr>
          <w:rFonts w:ascii="Arial" w:eastAsia="Times New Roman" w:hAnsi="Arial" w:cs="Arial"/>
          <w:i/>
          <w:iCs/>
          <w:color w:val="0D0D0D"/>
          <w:sz w:val="21"/>
          <w:szCs w:val="21"/>
          <w:bdr w:val="none" w:sz="0" w:space="0" w:color="auto" w:frame="1"/>
          <w:lang w:eastAsia="es-CO"/>
        </w:rPr>
        <w:t>teniendo en cuenta la naturaleza y cuantía de los contratos</w:t>
      </w:r>
      <w:r w:rsidRPr="00D13D0B">
        <w:rPr>
          <w:rFonts w:ascii="Arial" w:eastAsia="Times New Roman" w:hAnsi="Arial" w:cs="Arial"/>
          <w:color w:val="0D0D0D"/>
          <w:sz w:val="21"/>
          <w:szCs w:val="21"/>
          <w:bdr w:val="none" w:sz="0" w:space="0" w:color="auto" w:frame="1"/>
          <w:lang w:eastAsia="es-CO"/>
        </w:rPr>
        <w:t> […] (Énfasis fuera de texto). </w:t>
      </w:r>
    </w:p>
    <w:p w14:paraId="50DF2CB3" w14:textId="77777777" w:rsidR="00D13D0B" w:rsidRPr="00D13D0B" w:rsidRDefault="00D13D0B" w:rsidP="00D13D0B">
      <w:pPr>
        <w:spacing w:after="0"/>
        <w:jc w:val="both"/>
        <w:rPr>
          <w:rFonts w:ascii="Arial" w:eastAsia="Calibri" w:hAnsi="Arial" w:cs="Arial"/>
          <w:sz w:val="22"/>
          <w:szCs w:val="24"/>
          <w:lang w:val="es-ES" w:eastAsia="en-GB"/>
        </w:rPr>
      </w:pPr>
      <w:r w:rsidRPr="00D13D0B">
        <w:rPr>
          <w:rFonts w:ascii="Arial" w:eastAsia="Calibri" w:hAnsi="Arial" w:cs="Arial"/>
          <w:sz w:val="22"/>
          <w:szCs w:val="24"/>
          <w:lang w:val="es-ES" w:eastAsia="en-GB"/>
        </w:rPr>
        <w:tab/>
      </w:r>
    </w:p>
    <w:p w14:paraId="1CC2B2E9" w14:textId="77777777" w:rsidR="00D13D0B" w:rsidRPr="00D13D0B" w:rsidRDefault="00D13D0B" w:rsidP="00D13D0B">
      <w:pPr>
        <w:spacing w:after="120"/>
        <w:ind w:firstLine="708"/>
        <w:jc w:val="both"/>
        <w:rPr>
          <w:rFonts w:ascii="Arial" w:eastAsia="Calibri" w:hAnsi="Arial" w:cs="Arial"/>
          <w:color w:val="0D0D0D"/>
          <w:sz w:val="22"/>
          <w:szCs w:val="24"/>
          <w:lang w:val="es-ES" w:eastAsia="en-GB"/>
        </w:rPr>
      </w:pPr>
      <w:r w:rsidRPr="00D13D0B">
        <w:rPr>
          <w:rFonts w:ascii="Arial" w:eastAsia="Calibri" w:hAnsi="Arial" w:cs="Arial"/>
          <w:sz w:val="22"/>
          <w:szCs w:val="24"/>
          <w:lang w:val="es-ES" w:eastAsia="en-GB"/>
        </w:rPr>
        <w:t>La redacción original del artículo 4 de la Ley 1882 de 2018 establecía que al Gobierno Nacional le correspondía adoptar los documentos tipo, pero p</w:t>
      </w:r>
      <w:r w:rsidRPr="00D13D0B">
        <w:rPr>
          <w:rFonts w:ascii="Arial" w:eastAsia="Calibri" w:hAnsi="Arial" w:cs="Arial"/>
          <w:color w:val="0D0D0D"/>
          <w:sz w:val="22"/>
          <w:szCs w:val="24"/>
          <w:lang w:val="es-ES" w:eastAsia="en-GB"/>
        </w:rPr>
        <w:t>osteriormente, la Ley 2022 del 22 de julio de 2020 otorgó esta competencia a la Agencia Nacional de Contratación Pública – Colombia Compra Eficiente. Así, el artículo 1 de esta Ley modificó el artículo 4 de la Ley 1882 de 2018 en relación con: i) el sujeto encargado de la adopción de los documentos tipo, pues la competencia había sido otorgada al Gobierno Nacional, pero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 responsabilidad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D13D0B">
        <w:rPr>
          <w:rFonts w:ascii="Arial" w:eastAsia="Calibri" w:hAnsi="Arial" w:cs="Arial"/>
          <w:color w:val="0D0D0D"/>
          <w:sz w:val="22"/>
          <w:szCs w:val="24"/>
          <w:vertAlign w:val="superscript"/>
          <w:lang w:val="es-ES" w:eastAsia="en-GB"/>
        </w:rPr>
        <w:footnoteReference w:id="3"/>
      </w:r>
      <w:r w:rsidRPr="00D13D0B">
        <w:rPr>
          <w:rFonts w:ascii="Arial" w:eastAsia="Calibri" w:hAnsi="Arial" w:cs="Arial"/>
          <w:color w:val="0D0D0D"/>
          <w:sz w:val="22"/>
          <w:szCs w:val="24"/>
          <w:lang w:val="es-ES" w:eastAsia="en-GB"/>
        </w:rPr>
        <w:t xml:space="preserve">. </w:t>
      </w:r>
    </w:p>
    <w:p w14:paraId="74564CFD" w14:textId="77777777" w:rsidR="00D13D0B" w:rsidRPr="00D13D0B" w:rsidRDefault="00D13D0B" w:rsidP="00D13D0B">
      <w:pPr>
        <w:spacing w:before="120" w:after="120"/>
        <w:ind w:firstLine="708"/>
        <w:jc w:val="both"/>
        <w:rPr>
          <w:rFonts w:ascii="Arial" w:eastAsia="Calibri" w:hAnsi="Arial" w:cs="Arial"/>
          <w:sz w:val="22"/>
          <w:szCs w:val="24"/>
          <w:lang w:eastAsia="en-GB"/>
        </w:rPr>
      </w:pPr>
      <w:r w:rsidRPr="00D13D0B">
        <w:rPr>
          <w:rFonts w:ascii="Arial" w:eastAsia="Calibri" w:hAnsi="Arial" w:cs="Arial"/>
          <w:sz w:val="22"/>
          <w:szCs w:val="24"/>
          <w:lang w:eastAsia="en-GB"/>
        </w:rPr>
        <w:lastRenderedPageBreak/>
        <w:t xml:space="preserve">Además, la Ley 2022 de 2020 señala que los documentos tipo adoptados por la Agencia Nacional de Contratación Pública son de </w:t>
      </w:r>
      <w:r w:rsidRPr="00D13D0B">
        <w:rPr>
          <w:rFonts w:ascii="Arial" w:eastAsia="Calibri" w:hAnsi="Arial" w:cs="Arial"/>
          <w:i/>
          <w:sz w:val="22"/>
          <w:szCs w:val="24"/>
          <w:lang w:eastAsia="en-GB"/>
        </w:rPr>
        <w:t>obligatorio</w:t>
      </w:r>
      <w:r w:rsidRPr="00D13D0B">
        <w:rPr>
          <w:rFonts w:ascii="Arial" w:eastAsia="Calibri" w:hAnsi="Arial" w:cs="Arial"/>
          <w:sz w:val="22"/>
          <w:szCs w:val="24"/>
          <w:lang w:eastAsia="en-GB"/>
        </w:rPr>
        <w:t xml:space="preserve"> cumplimiento por todas las entidades públicas, cuyo régimen de contratación sea el Estatuto General de la Contratación de la Administración Pública ‒EGCAP‒. Esta obligatoriedad implica que las entidades estatales tengan que adelantar los procesos de contratación bajo las condiciones establecidas en los documentos tipo que rijan para el objeto a contratar, sin que puedan variarse los requisitos fijados en ellos. Lo anterior, por cuanto los documentos tipo se caracterizan por ser inalterables, es decir, que las entidades públicas carecen de la facultad de modificarlos, con excepción de aquellos aspectos que pueden diligenciar, es decir, las descripciones que están incluidas entre corchetes y resaltadas en gris en cada uno de los documentos tipo. </w:t>
      </w:r>
    </w:p>
    <w:p w14:paraId="2DD47687" w14:textId="77777777" w:rsidR="00D13D0B" w:rsidRPr="00D13D0B" w:rsidRDefault="00D13D0B" w:rsidP="00D13D0B">
      <w:pPr>
        <w:spacing w:before="120" w:after="120"/>
        <w:ind w:firstLine="708"/>
        <w:jc w:val="both"/>
        <w:rPr>
          <w:rFonts w:ascii="Arial" w:eastAsia="Calibri" w:hAnsi="Arial" w:cs="Arial"/>
          <w:color w:val="000000"/>
          <w:sz w:val="22"/>
          <w:szCs w:val="24"/>
          <w:lang w:val="es-ES_tradnl" w:eastAsia="en-GB"/>
        </w:rPr>
      </w:pPr>
      <w:r w:rsidRPr="00D13D0B">
        <w:rPr>
          <w:rFonts w:ascii="Arial" w:eastAsia="Calibri" w:hAnsi="Arial" w:cs="Arial"/>
          <w:color w:val="000000"/>
          <w:sz w:val="22"/>
          <w:szCs w:val="24"/>
          <w:lang w:eastAsia="en-GB"/>
        </w:rPr>
        <w:t>Esta es una regla que está consagrada en la</w:t>
      </w:r>
      <w:r w:rsidRPr="00D13D0B">
        <w:rPr>
          <w:rFonts w:ascii="Arial" w:eastAsia="Calibri" w:hAnsi="Arial" w:cs="Arial"/>
          <w:color w:val="000000"/>
          <w:sz w:val="22"/>
          <w:szCs w:val="24"/>
          <w:lang w:val="es-ES_tradnl" w:eastAsia="en-GB"/>
        </w:rPr>
        <w:t xml:space="preserve">s resoluciones expedidas por la Agencia Nacional de Contratación Pública – Colombia Compra Eficiente, mediante las cuales se han adoptado los distintos documentos. Por ello, la inalterabilidad es una prohibición que consiste en que las entidades estatales no pueden incluir o modificar en los </w:t>
      </w:r>
      <w:r w:rsidRPr="00D13D0B">
        <w:rPr>
          <w:rFonts w:ascii="Arial" w:eastAsia="Calibri" w:hAnsi="Arial" w:cs="Arial"/>
          <w:i/>
          <w:iCs/>
          <w:color w:val="000000"/>
          <w:sz w:val="22"/>
          <w:szCs w:val="24"/>
          <w:lang w:val="es-ES_tradnl" w:eastAsia="en-GB"/>
        </w:rPr>
        <w:t>Documentos del Proceso</w:t>
      </w:r>
      <w:r w:rsidRPr="00D13D0B">
        <w:rPr>
          <w:rFonts w:ascii="Arial" w:eastAsia="Calibri" w:hAnsi="Arial" w:cs="Arial"/>
          <w:color w:val="000000"/>
          <w:sz w:val="22"/>
          <w:szCs w:val="24"/>
          <w:lang w:val="es-ES_tradnl" w:eastAsia="en-GB"/>
        </w:rPr>
        <w:t xml:space="preserve"> las condiciones habilitantes, los factores técnicos y económicos de escogencia y los sistemas de ponderación distintos a los señalados en los documentos tipo.  </w:t>
      </w:r>
    </w:p>
    <w:p w14:paraId="4AD3F32E" w14:textId="77777777" w:rsidR="00D13D0B" w:rsidRPr="00D13D0B" w:rsidRDefault="00D13D0B" w:rsidP="00D13D0B">
      <w:pPr>
        <w:spacing w:after="0"/>
        <w:ind w:firstLine="708"/>
        <w:jc w:val="both"/>
        <w:rPr>
          <w:rFonts w:ascii="Arial" w:eastAsia="Calibri" w:hAnsi="Arial" w:cs="Arial"/>
          <w:color w:val="000000"/>
          <w:sz w:val="22"/>
          <w:szCs w:val="24"/>
          <w:lang w:val="es-ES_tradnl" w:eastAsia="en-GB"/>
        </w:rPr>
      </w:pPr>
      <w:r w:rsidRPr="00D13D0B">
        <w:rPr>
          <w:rFonts w:ascii="Arial" w:eastAsia="Calibri" w:hAnsi="Arial" w:cs="Arial"/>
          <w:color w:val="000000"/>
          <w:sz w:val="22"/>
          <w:szCs w:val="24"/>
          <w:lang w:val="es-ES_tradnl" w:eastAsia="en-GB"/>
        </w:rPr>
        <w:t>En consecuencia, las condiciones establecidas en los documentos tipo son de obligatorio cumplimiento para las entidades sometidas al Estatuto General de Contratación de la Administración Pública que adelanten procesos que deban regirse por su contenido, y su alcance y ámbito de aplicación está definido en las resoluciones que los adoptan dentro del sistema de compra pública.</w:t>
      </w:r>
    </w:p>
    <w:p w14:paraId="40251942" w14:textId="77777777" w:rsidR="00D13D0B" w:rsidRPr="00D13D0B" w:rsidRDefault="00D13D0B" w:rsidP="00D13D0B">
      <w:pPr>
        <w:spacing w:after="0"/>
        <w:ind w:firstLine="708"/>
        <w:jc w:val="both"/>
        <w:rPr>
          <w:rFonts w:ascii="Arial" w:eastAsia="Calibri" w:hAnsi="Arial" w:cs="Arial"/>
          <w:color w:val="000000"/>
          <w:sz w:val="22"/>
          <w:szCs w:val="24"/>
          <w:lang w:val="es-ES_tradnl" w:eastAsia="en-GB"/>
        </w:rPr>
      </w:pPr>
    </w:p>
    <w:p w14:paraId="6A46C1E1" w14:textId="77777777" w:rsidR="00D13D0B" w:rsidRPr="00D13D0B" w:rsidRDefault="00D13D0B" w:rsidP="00D13D0B">
      <w:pPr>
        <w:spacing w:after="0" w:line="240" w:lineRule="auto"/>
        <w:jc w:val="both"/>
        <w:rPr>
          <w:rFonts w:ascii="Arial" w:eastAsia="Calibri" w:hAnsi="Arial" w:cs="Arial"/>
          <w:b/>
          <w:bCs/>
          <w:sz w:val="22"/>
          <w:szCs w:val="24"/>
          <w:lang w:eastAsia="en-GB"/>
        </w:rPr>
      </w:pPr>
      <w:r w:rsidRPr="00D13D0B">
        <w:rPr>
          <w:rFonts w:ascii="Arial" w:eastAsia="Calibri" w:hAnsi="Arial" w:cs="Arial"/>
          <w:b/>
          <w:sz w:val="22"/>
          <w:szCs w:val="24"/>
          <w:lang w:eastAsia="en-GB"/>
        </w:rPr>
        <w:t xml:space="preserve">2.2. </w:t>
      </w:r>
      <w:r w:rsidRPr="00D13D0B">
        <w:rPr>
          <w:rFonts w:ascii="Arial" w:eastAsia="Calibri" w:hAnsi="Arial" w:cs="Arial"/>
          <w:b/>
          <w:bCs/>
          <w:sz w:val="22"/>
          <w:szCs w:val="24"/>
          <w:lang w:eastAsia="en-GB"/>
        </w:rPr>
        <w:t xml:space="preserve">Documentos tipo complementarios para los procesos de licitación de obra pública de infraestructura social relacionados con el sector educativo, salud y cultura, recreación y deporte </w:t>
      </w:r>
    </w:p>
    <w:p w14:paraId="3788CAD3" w14:textId="77777777" w:rsidR="00D13D0B" w:rsidRPr="00D13D0B" w:rsidRDefault="00D13D0B" w:rsidP="00D13D0B">
      <w:pPr>
        <w:spacing w:after="0" w:line="240" w:lineRule="auto"/>
        <w:jc w:val="both"/>
        <w:rPr>
          <w:rFonts w:ascii="Arial" w:eastAsia="Calibri" w:hAnsi="Arial" w:cs="Arial"/>
          <w:b/>
          <w:sz w:val="22"/>
          <w:szCs w:val="24"/>
          <w:lang w:eastAsia="en-GB"/>
        </w:rPr>
      </w:pPr>
    </w:p>
    <w:p w14:paraId="15D9E4AF" w14:textId="77777777" w:rsidR="00D13D0B" w:rsidRPr="00D13D0B" w:rsidRDefault="00D13D0B" w:rsidP="00D13D0B">
      <w:pPr>
        <w:spacing w:after="0"/>
        <w:jc w:val="both"/>
        <w:rPr>
          <w:rFonts w:ascii="Arial" w:eastAsia="Times New Roman" w:hAnsi="Arial" w:cs="Arial"/>
          <w:sz w:val="22"/>
          <w:szCs w:val="24"/>
          <w:lang w:val="es-ES" w:eastAsia="en-GB"/>
        </w:rPr>
      </w:pPr>
      <w:r w:rsidRPr="00D13D0B">
        <w:rPr>
          <w:rFonts w:ascii="Arial" w:eastAsia="Calibri" w:hAnsi="Arial" w:cs="Arial"/>
          <w:sz w:val="22"/>
          <w:szCs w:val="24"/>
          <w:lang w:eastAsia="en-GB"/>
        </w:rPr>
        <w:lastRenderedPageBreak/>
        <w:t xml:space="preserve">En desarrollo de la Ley 2022 de 2020, la Agencia Nacional de Contratación Pública – Colombia Compra Eficiente expidió la Resolución 219 </w:t>
      </w:r>
      <w:r w:rsidRPr="00D13D0B">
        <w:rPr>
          <w:rFonts w:ascii="Arial" w:eastAsia="Times New Roman" w:hAnsi="Arial" w:cs="Arial"/>
          <w:bCs/>
          <w:color w:val="000000"/>
          <w:sz w:val="22"/>
          <w:szCs w:val="24"/>
          <w:lang w:eastAsia="es-ES_tradnl"/>
        </w:rPr>
        <w:t xml:space="preserve">del 6 de agosto </w:t>
      </w:r>
      <w:r w:rsidRPr="00D13D0B">
        <w:rPr>
          <w:rFonts w:ascii="Arial" w:eastAsia="Calibri" w:hAnsi="Arial" w:cs="Arial"/>
          <w:sz w:val="22"/>
          <w:szCs w:val="24"/>
          <w:lang w:eastAsia="en-GB"/>
        </w:rPr>
        <w:t>de 2021, «Por la cual se adoptan los documentos tipo para los procesos de licitación de obra pública de infraestructura social». Dentro de esta categoría fue incluida la infraestructura asociada a los sectores de la salud, el educativo y el de cultura, recreación y deporte,</w:t>
      </w:r>
      <w:r w:rsidRPr="00D13D0B">
        <w:rPr>
          <w:rFonts w:ascii="Arial" w:eastAsia="Times New Roman" w:hAnsi="Arial" w:cs="Arial"/>
          <w:sz w:val="22"/>
          <w:szCs w:val="24"/>
          <w:lang w:val="es-ES" w:eastAsia="en-GB"/>
        </w:rPr>
        <w:t xml:space="preserve"> tal como lo establece</w:t>
      </w:r>
      <w:r w:rsidRPr="00D13D0B">
        <w:rPr>
          <w:rFonts w:ascii="Arial" w:eastAsia="Times New Roman" w:hAnsi="Arial" w:cs="Arial"/>
          <w:color w:val="000000"/>
          <w:sz w:val="22"/>
          <w:szCs w:val="24"/>
          <w:lang w:val="es-ES" w:eastAsia="en-GB"/>
        </w:rPr>
        <w:t xml:space="preserve"> </w:t>
      </w:r>
      <w:r w:rsidRPr="00D13D0B">
        <w:rPr>
          <w:rFonts w:ascii="Arial" w:eastAsia="Times New Roman" w:hAnsi="Arial" w:cs="Arial"/>
          <w:sz w:val="22"/>
          <w:szCs w:val="24"/>
          <w:lang w:val="es-ES" w:eastAsia="en-GB"/>
        </w:rPr>
        <w:t xml:space="preserve">el parágrafo 2 del artículo 2 de la resolución indicada, de la siguiente manera: </w:t>
      </w:r>
    </w:p>
    <w:p w14:paraId="6326D3DB" w14:textId="77777777" w:rsidR="00D13D0B" w:rsidRPr="00D13D0B" w:rsidRDefault="00D13D0B" w:rsidP="00D13D0B">
      <w:pPr>
        <w:spacing w:after="0" w:line="240" w:lineRule="auto"/>
        <w:jc w:val="both"/>
        <w:rPr>
          <w:rFonts w:ascii="Arial" w:eastAsia="Times New Roman" w:hAnsi="Arial" w:cs="Arial"/>
          <w:sz w:val="22"/>
          <w:szCs w:val="24"/>
          <w:lang w:val="es-ES" w:eastAsia="en-GB"/>
        </w:rPr>
      </w:pPr>
    </w:p>
    <w:p w14:paraId="639A60EF" w14:textId="77777777" w:rsidR="00D13D0B" w:rsidRPr="00D13D0B" w:rsidRDefault="00D13D0B" w:rsidP="00D13D0B">
      <w:pPr>
        <w:spacing w:after="0" w:line="240" w:lineRule="auto"/>
        <w:ind w:left="709" w:right="709"/>
        <w:jc w:val="both"/>
        <w:rPr>
          <w:rFonts w:ascii="Arial" w:eastAsia="Times New Roman" w:hAnsi="Arial" w:cs="Arial"/>
          <w:sz w:val="21"/>
          <w:szCs w:val="21"/>
          <w:lang w:val="es-ES" w:eastAsia="en-GB"/>
        </w:rPr>
      </w:pPr>
      <w:r w:rsidRPr="00D13D0B">
        <w:rPr>
          <w:rFonts w:ascii="Arial" w:eastAsia="Times New Roman" w:hAnsi="Arial" w:cs="Arial"/>
          <w:sz w:val="21"/>
          <w:szCs w:val="21"/>
          <w:lang w:val="es-ES" w:eastAsia="en-GB"/>
        </w:rPr>
        <w:t xml:space="preserve">Estos documentos tipo aplicarán a los proyectos de infraestructura social, tales como, </w:t>
      </w:r>
      <w:r w:rsidRPr="00D13D0B">
        <w:rPr>
          <w:rFonts w:ascii="Arial" w:eastAsia="Times New Roman" w:hAnsi="Arial" w:cs="Arial"/>
          <w:i/>
          <w:iCs/>
          <w:sz w:val="21"/>
          <w:szCs w:val="21"/>
          <w:lang w:val="es-ES" w:eastAsia="en-GB"/>
        </w:rPr>
        <w:t>sector educativo</w:t>
      </w:r>
      <w:r w:rsidRPr="00D13D0B">
        <w:rPr>
          <w:rFonts w:ascii="Arial" w:eastAsia="Times New Roman" w:hAnsi="Arial" w:cs="Arial"/>
          <w:sz w:val="21"/>
          <w:szCs w:val="21"/>
          <w:lang w:val="es-ES" w:eastAsia="en-GB"/>
        </w:rPr>
        <w:t xml:space="preserve">, sector salud y sector cultural, recreación y deporte, </w:t>
      </w:r>
      <w:r w:rsidRPr="00D13D0B">
        <w:rPr>
          <w:rFonts w:ascii="Arial" w:eastAsia="Times New Roman" w:hAnsi="Arial" w:cs="Arial"/>
          <w:i/>
          <w:iCs/>
          <w:sz w:val="21"/>
          <w:szCs w:val="21"/>
          <w:lang w:val="es-ES" w:eastAsia="en-GB"/>
        </w:rPr>
        <w:t>de conformidad con cada una de las resoluciones que expida la Agencia Nacional de Contratación Pública -Colombia Compra Eficiente-</w:t>
      </w:r>
      <w:r w:rsidRPr="00D13D0B">
        <w:rPr>
          <w:rFonts w:ascii="Arial" w:eastAsia="Times New Roman" w:hAnsi="Arial" w:cs="Arial"/>
          <w:sz w:val="21"/>
          <w:szCs w:val="21"/>
          <w:lang w:val="es-ES" w:eastAsia="en-GB"/>
        </w:rPr>
        <w:t>, donde se precisará el alcance concreto de estos documentos tipo; sin perjuicio de que se incluyan otros tipos de infraestructura social. (Énfasis fuera del texto)</w:t>
      </w:r>
    </w:p>
    <w:p w14:paraId="34858BA3" w14:textId="77777777" w:rsidR="00D13D0B" w:rsidRPr="00D13D0B" w:rsidRDefault="00D13D0B" w:rsidP="00D13D0B">
      <w:pPr>
        <w:spacing w:after="0"/>
        <w:jc w:val="both"/>
        <w:rPr>
          <w:rFonts w:ascii="Arial" w:eastAsia="Times New Roman" w:hAnsi="Arial" w:cs="Arial"/>
          <w:sz w:val="22"/>
          <w:szCs w:val="24"/>
          <w:lang w:val="es-ES" w:eastAsia="en-GB"/>
        </w:rPr>
      </w:pPr>
      <w:r w:rsidRPr="00D13D0B">
        <w:rPr>
          <w:rFonts w:ascii="Arial" w:eastAsia="Times New Roman" w:hAnsi="Arial" w:cs="Arial"/>
          <w:sz w:val="22"/>
          <w:szCs w:val="24"/>
          <w:lang w:val="es-ES" w:eastAsia="en-GB"/>
        </w:rPr>
        <w:tab/>
      </w:r>
    </w:p>
    <w:p w14:paraId="024ACBC1" w14:textId="77777777" w:rsidR="00D13D0B" w:rsidRPr="00D13D0B" w:rsidRDefault="00D13D0B" w:rsidP="00D13D0B">
      <w:pPr>
        <w:spacing w:after="0"/>
        <w:ind w:firstLine="708"/>
        <w:jc w:val="both"/>
        <w:rPr>
          <w:rFonts w:ascii="Arial" w:eastAsia="Times New Roman" w:hAnsi="Arial" w:cs="Arial"/>
          <w:sz w:val="22"/>
          <w:szCs w:val="24"/>
          <w:lang w:val="es-ES" w:eastAsia="en-GB"/>
        </w:rPr>
      </w:pPr>
      <w:r w:rsidRPr="00D13D0B">
        <w:rPr>
          <w:rFonts w:ascii="Arial" w:eastAsia="Times New Roman" w:hAnsi="Arial" w:cs="Arial"/>
          <w:sz w:val="22"/>
          <w:szCs w:val="24"/>
          <w:lang w:val="es-ES" w:eastAsia="en-GB"/>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0A774EEF" w14:textId="77777777" w:rsidR="00D13D0B" w:rsidRPr="00D13D0B" w:rsidRDefault="00D13D0B" w:rsidP="00D13D0B">
      <w:pPr>
        <w:spacing w:before="120" w:after="120"/>
        <w:ind w:firstLine="708"/>
        <w:jc w:val="both"/>
        <w:rPr>
          <w:rFonts w:ascii="Arial" w:eastAsia="Times New Roman" w:hAnsi="Arial" w:cs="Arial"/>
          <w:bCs/>
          <w:color w:val="000000"/>
          <w:sz w:val="22"/>
          <w:szCs w:val="24"/>
          <w:lang w:val="es-ES" w:eastAsia="es-ES_tradnl"/>
        </w:rPr>
      </w:pPr>
      <w:r w:rsidRPr="00D13D0B">
        <w:rPr>
          <w:rFonts w:ascii="Arial" w:eastAsia="Times New Roman" w:hAnsi="Arial" w:cs="Arial"/>
          <w:sz w:val="22"/>
          <w:lang w:val="es-ES" w:eastAsia="en-GB"/>
        </w:rPr>
        <w:t>Así lo señala el parágrafo 3 del artículo 2 que dispone lo siguiente:</w:t>
      </w:r>
      <w:r w:rsidRPr="00D13D0B">
        <w:rPr>
          <w:rFonts w:ascii="Arial" w:eastAsia="Calibri" w:hAnsi="Arial" w:cs="Arial"/>
          <w:sz w:val="22"/>
          <w:lang w:eastAsia="en-GB"/>
        </w:rPr>
        <w:t xml:space="preserve"> «</w:t>
      </w:r>
      <w:r w:rsidRPr="00D13D0B">
        <w:rPr>
          <w:rFonts w:ascii="Arial" w:eastAsia="Times New Roman" w:hAnsi="Arial" w:cs="Arial"/>
          <w:sz w:val="22"/>
          <w:lang w:val="es-ES" w:eastAsia="en-GB"/>
        </w:rPr>
        <w:t>Los documentos tipo de infraestructura social empezarán a regir para cada sector, esto es, educativo, salud y cultura, recreación y deporte, de acuerdo con lo dispuesto en las resoluciones mediante las cuales se adopten cada una de las matrices de experiencia y glosarios aplicables a cada sector</w:t>
      </w:r>
      <w:r w:rsidRPr="00D13D0B">
        <w:rPr>
          <w:rFonts w:ascii="Arial" w:eastAsia="Calibri" w:hAnsi="Arial" w:cs="Arial"/>
          <w:sz w:val="22"/>
          <w:lang w:eastAsia="en-GB"/>
        </w:rPr>
        <w:t>».</w:t>
      </w:r>
      <w:r w:rsidRPr="00D13D0B">
        <w:rPr>
          <w:rFonts w:ascii="Arial" w:eastAsia="Times New Roman" w:hAnsi="Arial" w:cs="Arial"/>
          <w:sz w:val="22"/>
          <w:lang w:val="es-ES" w:eastAsia="en-GB"/>
        </w:rPr>
        <w:t xml:space="preserve"> En concordancia, el «Documento Base» de </w:t>
      </w:r>
      <w:r w:rsidRPr="00D13D0B">
        <w:rPr>
          <w:rFonts w:ascii="Arial" w:eastAsia="Calibri" w:hAnsi="Arial" w:cs="Arial"/>
          <w:sz w:val="22"/>
          <w:lang w:eastAsia="en-GB"/>
        </w:rPr>
        <w:t>licitación de obra pública de infraestructura social</w:t>
      </w:r>
      <w:r w:rsidRPr="00D13D0B">
        <w:rPr>
          <w:rFonts w:ascii="Arial" w:eastAsia="Times New Roman" w:hAnsi="Arial" w:cs="Arial"/>
          <w:sz w:val="22"/>
          <w:vertAlign w:val="superscript"/>
          <w:lang w:val="es-ES" w:eastAsia="en-GB"/>
        </w:rPr>
        <w:footnoteReference w:id="4"/>
      </w:r>
      <w:r w:rsidRPr="00D13D0B">
        <w:rPr>
          <w:rFonts w:ascii="Arial" w:eastAsia="Calibri" w:hAnsi="Arial" w:cs="Arial"/>
          <w:sz w:val="22"/>
          <w:lang w:eastAsia="en-GB"/>
        </w:rPr>
        <w:t xml:space="preserve"> prescribe en la parte introductoria que «</w:t>
      </w:r>
      <w:r w:rsidRPr="00D13D0B">
        <w:rPr>
          <w:rFonts w:ascii="Arial" w:eastAsia="Times New Roman" w:hAnsi="Arial" w:cs="Arial"/>
          <w:bCs/>
          <w:color w:val="000000"/>
          <w:sz w:val="22"/>
          <w:lang w:eastAsia="es-CO"/>
        </w:rPr>
        <w:t>Este Documento Tipo de “infraestructura social” aplica a los procesos que correspondan a las actividades definidas en las matrices de experiencia, expedidas por la Agencia Nacional de Contratación Pública – Colombia Compra Eficiente para los sectores educativo, salud y cultura, recreación y deporte, sin perjuicio de que dicha Agencia incluya otros tipos de “infraestructura social”</w:t>
      </w:r>
      <w:r w:rsidRPr="00D13D0B">
        <w:rPr>
          <w:rFonts w:ascii="Arial" w:eastAsia="Calibri" w:hAnsi="Arial" w:cs="Arial"/>
          <w:sz w:val="22"/>
          <w:lang w:eastAsia="en-GB"/>
        </w:rPr>
        <w:t>».</w:t>
      </w:r>
    </w:p>
    <w:p w14:paraId="1E1BD390" w14:textId="77777777" w:rsidR="00D13D0B" w:rsidRPr="00D13D0B" w:rsidRDefault="00D13D0B" w:rsidP="00D13D0B">
      <w:pPr>
        <w:spacing w:before="120" w:after="120"/>
        <w:ind w:firstLine="708"/>
        <w:jc w:val="both"/>
        <w:rPr>
          <w:rFonts w:ascii="Arial" w:eastAsia="Times New Roman" w:hAnsi="Arial" w:cs="Arial"/>
          <w:sz w:val="22"/>
          <w:szCs w:val="24"/>
          <w:lang w:val="es-ES" w:eastAsia="en-GB"/>
        </w:rPr>
      </w:pPr>
      <w:r w:rsidRPr="00D13D0B">
        <w:rPr>
          <w:rFonts w:ascii="Arial" w:eastAsia="Times New Roman" w:hAnsi="Arial" w:cs="Arial"/>
          <w:bCs/>
          <w:color w:val="000000"/>
          <w:sz w:val="22"/>
          <w:szCs w:val="24"/>
          <w:lang w:val="es-ES" w:eastAsia="es-ES_tradnl"/>
        </w:rPr>
        <w:t xml:space="preserve">Cabe anotar que </w:t>
      </w:r>
      <w:r w:rsidRPr="00D13D0B">
        <w:rPr>
          <w:rFonts w:ascii="Arial" w:eastAsia="Times New Roman" w:hAnsi="Arial" w:cs="Arial"/>
          <w:bCs/>
          <w:color w:val="000000"/>
          <w:sz w:val="22"/>
          <w:szCs w:val="24"/>
          <w:lang w:eastAsia="es-ES_tradnl"/>
        </w:rPr>
        <w:t xml:space="preserve">la Resolución 219 del 6 de agosto de 2021 contiene los documentos tipo que aplican </w:t>
      </w:r>
      <w:r w:rsidRPr="00D13D0B">
        <w:rPr>
          <w:rFonts w:ascii="Arial" w:eastAsia="Times New Roman" w:hAnsi="Arial" w:cs="Arial"/>
          <w:sz w:val="22"/>
          <w:szCs w:val="24"/>
          <w:lang w:val="es-ES" w:eastAsia="en-GB"/>
        </w:rPr>
        <w:t>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2C8FF047" w14:textId="77777777" w:rsidR="00D13D0B" w:rsidRPr="00D13D0B" w:rsidRDefault="00D13D0B" w:rsidP="00D13D0B">
      <w:pPr>
        <w:spacing w:before="120" w:after="120"/>
        <w:ind w:firstLine="708"/>
        <w:jc w:val="both"/>
        <w:rPr>
          <w:rFonts w:ascii="Arial" w:eastAsia="Times New Roman" w:hAnsi="Arial" w:cs="Arial"/>
          <w:sz w:val="22"/>
          <w:szCs w:val="24"/>
          <w:lang w:val="es-ES" w:eastAsia="en-GB"/>
        </w:rPr>
      </w:pPr>
      <w:r w:rsidRPr="00D13D0B">
        <w:rPr>
          <w:rFonts w:ascii="Arial" w:eastAsia="Times New Roman" w:hAnsi="Arial" w:cs="Arial"/>
          <w:sz w:val="22"/>
          <w:szCs w:val="24"/>
          <w:lang w:val="es-ES" w:eastAsia="en-GB"/>
        </w:rPr>
        <w:t xml:space="preserve">En consecuencia, en materia de infraestructura social debe tenerse en cuenta que existen dos (2) clases de documentos tipo que se integran en cada proceso:  i) los </w:t>
      </w:r>
      <w:r w:rsidRPr="00D13D0B">
        <w:rPr>
          <w:rFonts w:ascii="Arial" w:eastAsia="Times New Roman" w:hAnsi="Arial" w:cs="Arial"/>
          <w:sz w:val="22"/>
          <w:szCs w:val="24"/>
          <w:lang w:val="es-ES" w:eastAsia="en-GB"/>
        </w:rPr>
        <w:lastRenderedPageBreak/>
        <w:t xml:space="preserve">documentos </w:t>
      </w:r>
      <w:r w:rsidRPr="00D13D0B">
        <w:rPr>
          <w:rFonts w:ascii="Arial" w:eastAsia="Times New Roman" w:hAnsi="Arial" w:cs="Arial"/>
          <w:i/>
          <w:sz w:val="22"/>
          <w:szCs w:val="24"/>
          <w:lang w:val="es-ES" w:eastAsia="en-GB"/>
        </w:rPr>
        <w:t>transversales</w:t>
      </w:r>
      <w:r w:rsidRPr="00D13D0B">
        <w:rPr>
          <w:rFonts w:ascii="Arial" w:eastAsia="Times New Roman" w:hAnsi="Arial" w:cs="Arial"/>
          <w:sz w:val="22"/>
          <w:szCs w:val="24"/>
          <w:lang w:val="es-ES" w:eastAsia="en-GB"/>
        </w:rPr>
        <w:t xml:space="preserve"> a todos los sectores de infraestructura social, es decir, el documento base, los anexos, los formatos, los formularios y las matrices adoptados mediante la Resolución No. 219 de 2021; y ii) los documentos tipo </w:t>
      </w:r>
      <w:r w:rsidRPr="00D13D0B">
        <w:rPr>
          <w:rFonts w:ascii="Arial" w:eastAsia="Times New Roman" w:hAnsi="Arial" w:cs="Arial"/>
          <w:i/>
          <w:sz w:val="22"/>
          <w:szCs w:val="24"/>
          <w:lang w:val="es-ES" w:eastAsia="en-GB"/>
        </w:rPr>
        <w:t>complementarios</w:t>
      </w:r>
      <w:r w:rsidRPr="00D13D0B">
        <w:rPr>
          <w:rFonts w:ascii="Arial" w:eastAsia="Times New Roman" w:hAnsi="Arial" w:cs="Arial"/>
          <w:iCs/>
          <w:sz w:val="22"/>
          <w:szCs w:val="24"/>
          <w:lang w:val="es-ES" w:eastAsia="en-GB"/>
        </w:rPr>
        <w:t>,</w:t>
      </w:r>
      <w:r w:rsidRPr="00D13D0B">
        <w:rPr>
          <w:rFonts w:ascii="Arial" w:eastAsia="Times New Roman" w:hAnsi="Arial" w:cs="Arial"/>
          <w:i/>
          <w:sz w:val="22"/>
          <w:szCs w:val="24"/>
          <w:lang w:val="es-ES" w:eastAsia="en-GB"/>
        </w:rPr>
        <w:t xml:space="preserve"> </w:t>
      </w:r>
      <w:r w:rsidRPr="00D13D0B">
        <w:rPr>
          <w:rFonts w:ascii="Arial" w:eastAsia="Times New Roman" w:hAnsi="Arial" w:cs="Arial"/>
          <w:sz w:val="22"/>
          <w:szCs w:val="24"/>
          <w:lang w:val="es-ES" w:eastAsia="en-GB"/>
        </w:rPr>
        <w:t>referentes a la matriz de experiencia y el glosario, los cuales han sido adoptados en la resolución para cada sector específico.</w:t>
      </w:r>
    </w:p>
    <w:p w14:paraId="2901AE7F" w14:textId="77777777" w:rsidR="00D13D0B" w:rsidRPr="00D13D0B" w:rsidRDefault="00D13D0B" w:rsidP="00D13D0B">
      <w:pPr>
        <w:spacing w:after="0"/>
        <w:ind w:firstLine="708"/>
        <w:jc w:val="both"/>
        <w:rPr>
          <w:rFonts w:ascii="Arial" w:eastAsia="Times New Roman" w:hAnsi="Arial" w:cs="Arial"/>
          <w:i/>
          <w:iCs/>
          <w:sz w:val="22"/>
        </w:rPr>
      </w:pPr>
      <w:r w:rsidRPr="00D13D0B">
        <w:rPr>
          <w:rFonts w:ascii="Arial" w:eastAsia="Times New Roman" w:hAnsi="Arial" w:cs="Arial"/>
          <w:sz w:val="22"/>
        </w:rPr>
        <w:t>De esta forma, esta Agencia expidió distintos actos administrativos a partir de los cuales se adoptaron la</w:t>
      </w:r>
      <w:r w:rsidRPr="00D13D0B">
        <w:rPr>
          <w:rFonts w:ascii="Arial" w:eastAsia="Times New Roman" w:hAnsi="Arial" w:cs="Arial"/>
          <w:szCs w:val="20"/>
        </w:rPr>
        <w:t xml:space="preserve"> </w:t>
      </w:r>
      <w:r w:rsidRPr="00D13D0B">
        <w:rPr>
          <w:rFonts w:ascii="Arial" w:eastAsia="Times New Roman" w:hAnsi="Arial" w:cs="Arial"/>
          <w:sz w:val="22"/>
        </w:rPr>
        <w:t>«Matriz – Experiencia» y el «Anexo – Glosario». Así las cosas, la Agencia expidió: i) la Resolución 220 del 6 de agosto de 2021, «Por la cual se adoptan los documentos tipo complementarios para los procesos de licitación de obra pública de infraestructura social relacionados con el sector educativo»;</w:t>
      </w:r>
      <w:r w:rsidRPr="00D13D0B">
        <w:rPr>
          <w:rFonts w:ascii="Arial" w:eastAsia="Times New Roman" w:hAnsi="Arial" w:cs="Arial"/>
          <w:i/>
          <w:iCs/>
          <w:sz w:val="22"/>
        </w:rPr>
        <w:t xml:space="preserve"> </w:t>
      </w:r>
      <w:r w:rsidRPr="00D13D0B">
        <w:rPr>
          <w:rFonts w:ascii="Arial" w:eastAsia="Times New Roman" w:hAnsi="Arial" w:cs="Arial"/>
          <w:sz w:val="22"/>
        </w:rPr>
        <w:t>ii)</w:t>
      </w:r>
      <w:r w:rsidRPr="00D13D0B">
        <w:rPr>
          <w:rFonts w:ascii="Arial" w:eastAsia="Times New Roman" w:hAnsi="Arial" w:cs="Arial"/>
          <w:i/>
          <w:iCs/>
          <w:sz w:val="22"/>
        </w:rPr>
        <w:t xml:space="preserve"> </w:t>
      </w:r>
      <w:r w:rsidRPr="00D13D0B">
        <w:rPr>
          <w:rFonts w:ascii="Arial" w:eastAsia="Times New Roman" w:hAnsi="Arial" w:cs="Arial"/>
          <w:sz w:val="22"/>
        </w:rPr>
        <w:t>la Resolución 392 del 18 de noviembre de 2021, «Por la cual se adoptan los documentos tipo complementarios para los procesos de licitación de obra pública de infraestructura social relacionados con el sector salud»; y iii) la Resolución 454 del 16 de diciembre de 2021,</w:t>
      </w:r>
      <w:r w:rsidRPr="00D13D0B">
        <w:rPr>
          <w:sz w:val="22"/>
        </w:rPr>
        <w:t xml:space="preserve"> </w:t>
      </w:r>
      <w:r w:rsidRPr="00D13D0B">
        <w:rPr>
          <w:rFonts w:ascii="Arial" w:eastAsia="Times New Roman" w:hAnsi="Arial" w:cs="Arial"/>
          <w:sz w:val="22"/>
        </w:rPr>
        <w:t>«Por la cual se adoptan los documentos tipo complementarios para los procesos de licitación de obra pública de infraestructura social relacionados con el sector cultura, recreación y deporte»</w:t>
      </w:r>
      <w:r w:rsidRPr="00D13D0B">
        <w:rPr>
          <w:rFonts w:ascii="Arial" w:eastAsia="Times New Roman" w:hAnsi="Arial" w:cs="Arial"/>
          <w:i/>
          <w:iCs/>
          <w:sz w:val="22"/>
        </w:rPr>
        <w:t>.</w:t>
      </w:r>
    </w:p>
    <w:p w14:paraId="40900009" w14:textId="77777777" w:rsidR="00D13D0B" w:rsidRPr="00D13D0B" w:rsidRDefault="00D13D0B" w:rsidP="00D13D0B">
      <w:pPr>
        <w:spacing w:after="0"/>
        <w:ind w:firstLine="708"/>
        <w:jc w:val="both"/>
        <w:rPr>
          <w:rFonts w:ascii="Arial" w:eastAsia="Times New Roman" w:hAnsi="Arial" w:cs="Arial"/>
          <w:sz w:val="22"/>
          <w:szCs w:val="24"/>
          <w:lang w:val="es-ES" w:eastAsia="en-GB"/>
        </w:rPr>
      </w:pPr>
    </w:p>
    <w:p w14:paraId="6F5E3CCF" w14:textId="77777777" w:rsidR="00D13D0B" w:rsidRPr="00D13D0B" w:rsidRDefault="00D13D0B" w:rsidP="00D13D0B">
      <w:pPr>
        <w:spacing w:after="0" w:line="240" w:lineRule="auto"/>
        <w:jc w:val="both"/>
        <w:rPr>
          <w:rFonts w:ascii="Arial" w:eastAsia="Times New Roman" w:hAnsi="Arial" w:cs="Arial"/>
          <w:b/>
          <w:bCs/>
          <w:sz w:val="22"/>
          <w:lang w:eastAsia="es-MX"/>
        </w:rPr>
      </w:pPr>
      <w:r w:rsidRPr="00D13D0B">
        <w:rPr>
          <w:rFonts w:ascii="Arial" w:eastAsia="Calibri" w:hAnsi="Arial" w:cs="Arial"/>
          <w:b/>
          <w:color w:val="000000"/>
          <w:sz w:val="22"/>
          <w:lang w:eastAsia="es-ES_tradnl"/>
        </w:rPr>
        <w:t xml:space="preserve">2.3. </w:t>
      </w:r>
      <w:r w:rsidRPr="00D13D0B">
        <w:rPr>
          <w:rFonts w:ascii="Arial" w:eastAsia="Times New Roman" w:hAnsi="Arial" w:cs="Arial"/>
          <w:b/>
          <w:bCs/>
          <w:sz w:val="22"/>
          <w:lang w:eastAsia="es-MX"/>
        </w:rPr>
        <w:t xml:space="preserve">Aplicación de la Matriz de experiencia de los documentos tipo </w:t>
      </w:r>
      <w:r w:rsidRPr="00D13D0B">
        <w:rPr>
          <w:rFonts w:ascii="Arial" w:eastAsia="Calibri" w:hAnsi="Arial" w:cs="Arial"/>
          <w:b/>
          <w:bCs/>
          <w:sz w:val="22"/>
          <w:szCs w:val="24"/>
          <w:lang w:eastAsia="en-GB"/>
        </w:rPr>
        <w:t>complementarios para los procesos de licitación de obra pública de infraestructura social relacionados con el sector educativo, salud y cultura, recreación y deporte</w:t>
      </w:r>
    </w:p>
    <w:p w14:paraId="0D4FCA23" w14:textId="77777777" w:rsidR="00D13D0B" w:rsidRPr="00D13D0B" w:rsidRDefault="00D13D0B" w:rsidP="00D13D0B">
      <w:pPr>
        <w:shd w:val="clear" w:color="auto" w:fill="FFFFFF"/>
        <w:spacing w:after="0"/>
        <w:jc w:val="both"/>
        <w:rPr>
          <w:rFonts w:ascii="Arial" w:eastAsia="Calibri" w:hAnsi="Arial" w:cs="Arial"/>
          <w:sz w:val="22"/>
          <w:lang w:val="es-MX"/>
        </w:rPr>
      </w:pPr>
    </w:p>
    <w:p w14:paraId="490A5AC9" w14:textId="77777777" w:rsidR="00D13D0B" w:rsidRPr="00D13D0B" w:rsidRDefault="00D13D0B" w:rsidP="00D13D0B">
      <w:pPr>
        <w:spacing w:after="120"/>
        <w:jc w:val="both"/>
        <w:rPr>
          <w:rFonts w:ascii="Arial" w:eastAsia="Times New Roman" w:hAnsi="Arial" w:cs="Arial"/>
          <w:sz w:val="22"/>
          <w:szCs w:val="24"/>
          <w:lang w:val="es-ES" w:eastAsia="en-GB"/>
        </w:rPr>
      </w:pPr>
      <w:r w:rsidRPr="00D13D0B">
        <w:rPr>
          <w:rFonts w:ascii="Arial" w:eastAsia="Times New Roman" w:hAnsi="Arial" w:cs="Arial"/>
          <w:sz w:val="22"/>
          <w:szCs w:val="24"/>
          <w:lang w:val="es-ES" w:eastAsia="en-GB"/>
        </w:rPr>
        <w:t xml:space="preserve">Las Resoluciones 220, 392 y 454 del 2021, en el artículo 2, desarrollan el «Anexo − Glosario» y la «Matriz − Experiencia» de cada sector en particular −educativo; salud; cultura, recreación y deporte− de los documentos tipo complementarios de licitación de obra pública de infraestructura social, lo que significa que estos documentos definen el alcance para cada sector. </w:t>
      </w:r>
    </w:p>
    <w:p w14:paraId="2D49A218" w14:textId="77777777" w:rsidR="00D13D0B" w:rsidRPr="00D13D0B" w:rsidRDefault="00D13D0B" w:rsidP="00D13D0B">
      <w:pPr>
        <w:spacing w:after="120"/>
        <w:ind w:firstLine="708"/>
        <w:jc w:val="both"/>
        <w:rPr>
          <w:rFonts w:ascii="Arial" w:eastAsia="Calibri" w:hAnsi="Arial" w:cs="Arial"/>
          <w:color w:val="0D0D0D"/>
          <w:sz w:val="22"/>
          <w:lang w:val="es-MX"/>
        </w:rPr>
      </w:pPr>
      <w:r w:rsidRPr="00D13D0B">
        <w:rPr>
          <w:rFonts w:ascii="Arial" w:eastAsia="Times New Roman" w:hAnsi="Arial" w:cs="Arial"/>
          <w:sz w:val="22"/>
          <w:szCs w:val="24"/>
          <w:lang w:val="es-ES" w:eastAsia="en-GB"/>
        </w:rPr>
        <w:t xml:space="preserve">De esta forma, la Matriz de experiencia de cada sector mencionado </w:t>
      </w:r>
      <w:r w:rsidRPr="00D13D0B">
        <w:rPr>
          <w:rFonts w:ascii="Arial" w:eastAsia="Calibri" w:hAnsi="Arial" w:cs="Arial"/>
          <w:color w:val="0D0D0D"/>
          <w:sz w:val="22"/>
          <w:lang w:val="es-MX"/>
        </w:rPr>
        <w:t>consta de unas celdas en las que se describe la experiencia requerida en relación con el objeto a contratar</w:t>
      </w:r>
      <w:r w:rsidRPr="00D13D0B">
        <w:rPr>
          <w:rFonts w:ascii="Arial" w:eastAsia="Times New Roman" w:hAnsi="Arial" w:cs="Arial"/>
          <w:sz w:val="22"/>
          <w:szCs w:val="24"/>
          <w:lang w:val="es-ES" w:eastAsia="en-GB"/>
        </w:rPr>
        <w:t xml:space="preserve">, señalando, además, los proyectos o contratos concretos a los cuales aplican los documentos tipo de cada uno de los sectores, en el entendido de que aplicarán a los procesos contractuales cuyo objeto se relacione con alguna de las actividades establecidas de forma detallada en la Matriz de experiencia respectiva. </w:t>
      </w:r>
      <w:r w:rsidRPr="00D13D0B">
        <w:rPr>
          <w:rFonts w:ascii="Arial" w:eastAsia="Calibri" w:hAnsi="Arial" w:cs="Arial"/>
          <w:color w:val="0D0D0D"/>
          <w:sz w:val="22"/>
          <w:lang w:val="es-MX"/>
        </w:rPr>
        <w:t xml:space="preserve">Por otro lado, el «Anexo 3 – Glosario», contiene las definiciones de los términos usados en los documentos del proceso. Utilizando estos dos documentos, la entidad estatal puede definir si el objeto a contratarse debe aplicar los documentos tipo de licitación de obra pública de infraestructura social relacionados con el sector educativo, salud y cultura, recreación y deporte −según corresponda−. </w:t>
      </w:r>
    </w:p>
    <w:p w14:paraId="7CDC3AB9" w14:textId="77777777" w:rsidR="00D13D0B" w:rsidRPr="00D13D0B" w:rsidRDefault="00D13D0B" w:rsidP="00D13D0B">
      <w:pPr>
        <w:spacing w:before="120" w:after="120"/>
        <w:ind w:firstLine="709"/>
        <w:jc w:val="both"/>
        <w:rPr>
          <w:rFonts w:ascii="Arial" w:eastAsia="Calibri" w:hAnsi="Arial" w:cs="Arial"/>
          <w:color w:val="0D0D0D"/>
          <w:sz w:val="22"/>
          <w:lang w:val="es-MX"/>
        </w:rPr>
      </w:pPr>
      <w:r w:rsidRPr="00D13D0B">
        <w:rPr>
          <w:rFonts w:ascii="Arial" w:eastAsia="Calibri" w:hAnsi="Arial" w:cs="Arial"/>
          <w:color w:val="0D0D0D"/>
          <w:sz w:val="22"/>
          <w:lang w:val="es-MX"/>
        </w:rPr>
        <w:t xml:space="preserve">De acuerdo con lo anterior, la Matriz de experiencia, cumple una doble función. Por un lado, sirve para estandarizar las condiciones de experiencia, conforme al parágrafo 7 del artículo 2 de la Ley 1150 de 2007. De otro lado, dicha matriz permite determinar el ámbito de aplicación de los documentos tipo complementarios de licitación de obra pública de infraestructura social, respecto de objetos contractuales asociados, </w:t>
      </w:r>
      <w:r w:rsidRPr="00D13D0B">
        <w:rPr>
          <w:rFonts w:ascii="Arial" w:eastAsia="Calibri" w:hAnsi="Arial" w:cs="Arial"/>
          <w:color w:val="0D0D0D"/>
          <w:sz w:val="22"/>
          <w:lang w:val="es-MX"/>
        </w:rPr>
        <w:lastRenderedPageBreak/>
        <w:t>ya que son las actividades descritas en esta las que, obligatoriamente, deben contratarse aplicando estos documentos tipo.</w:t>
      </w:r>
    </w:p>
    <w:p w14:paraId="27C5BA67" w14:textId="77777777" w:rsidR="00D13D0B" w:rsidRPr="00D13D0B" w:rsidRDefault="00D13D0B" w:rsidP="00D13D0B">
      <w:pPr>
        <w:spacing w:before="120" w:after="120"/>
        <w:ind w:firstLine="709"/>
        <w:jc w:val="both"/>
        <w:rPr>
          <w:rFonts w:ascii="Arial" w:eastAsia="Calibri" w:hAnsi="Arial" w:cs="Arial"/>
          <w:color w:val="0D0D0D"/>
          <w:sz w:val="22"/>
          <w:lang w:val="es-MX"/>
        </w:rPr>
      </w:pPr>
      <w:r w:rsidRPr="00D13D0B">
        <w:rPr>
          <w:rFonts w:ascii="Arial" w:eastAsia="Calibri" w:hAnsi="Arial" w:cs="Arial"/>
          <w:color w:val="0D0D0D"/>
          <w:sz w:val="22"/>
          <w:lang w:val="es-MX"/>
        </w:rPr>
        <w:t>De esta manera, para saber a qué actividades deben aplicarse los documentos tipo de licitación de obra pública de infraestructura social relacionados con el sector educativo, salud y cultura, recreación y deporte,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678CCA2C" w14:textId="77777777" w:rsidR="00D13D0B" w:rsidRPr="00D13D0B" w:rsidRDefault="00D13D0B" w:rsidP="00D13D0B">
      <w:pPr>
        <w:spacing w:after="0"/>
        <w:ind w:firstLine="708"/>
        <w:jc w:val="both"/>
        <w:rPr>
          <w:rFonts w:ascii="Arial" w:eastAsia="Times New Roman" w:hAnsi="Arial" w:cs="Arial"/>
          <w:color w:val="000000"/>
          <w:sz w:val="22"/>
          <w:bdr w:val="none" w:sz="0" w:space="0" w:color="auto" w:frame="1"/>
          <w:lang w:val="es-ES_tradnl" w:eastAsia="es-MX"/>
        </w:rPr>
      </w:pPr>
      <w:r w:rsidRPr="00D13D0B">
        <w:rPr>
          <w:rFonts w:ascii="Arial" w:eastAsia="Calibri" w:hAnsi="Arial" w:cs="Arial"/>
          <w:color w:val="0D0D0D"/>
          <w:sz w:val="22"/>
          <w:lang w:val="es-MX"/>
        </w:rPr>
        <w:t>En este sentido, l</w:t>
      </w:r>
      <w:r w:rsidRPr="00D13D0B">
        <w:rPr>
          <w:rFonts w:ascii="Arial" w:eastAsia="Times New Roman" w:hAnsi="Arial" w:cs="Arial"/>
          <w:color w:val="000000"/>
          <w:sz w:val="22"/>
          <w:bdr w:val="none" w:sz="0" w:space="0" w:color="auto" w:frame="1"/>
          <w:lang w:val="es-ES_tradnl" w:eastAsia="es-MX"/>
        </w:rPr>
        <w:t xml:space="preserve">a experiencia general y específica que puede exigir la entidad estatal y que deben acreditar los proponentes están detalladas de manera expresa en la Matriz </w:t>
      </w:r>
      <w:r w:rsidRPr="00D13D0B">
        <w:rPr>
          <w:rFonts w:ascii="Arial" w:eastAsia="Calibri" w:hAnsi="Arial" w:cs="Arial"/>
          <w:sz w:val="22"/>
          <w:lang w:val="es-MX"/>
        </w:rPr>
        <w:t>adoptada para cada uno de los sectores −educativo, salud y cultura, recreación y deporte− de los documentos tipo de licitación de obra pública de infraestructura social</w:t>
      </w:r>
      <w:r w:rsidRPr="00D13D0B">
        <w:rPr>
          <w:rFonts w:ascii="Arial" w:eastAsia="Times New Roman" w:hAnsi="Arial" w:cs="Arial"/>
          <w:color w:val="000000"/>
          <w:sz w:val="22"/>
          <w:bdr w:val="none" w:sz="0" w:space="0" w:color="auto" w:frame="1"/>
          <w:lang w:val="es-ES_tradnl" w:eastAsia="es-MX"/>
        </w:rPr>
        <w:t xml:space="preserve">. </w:t>
      </w:r>
    </w:p>
    <w:p w14:paraId="1F34E223" w14:textId="77777777" w:rsidR="00D13D0B" w:rsidRPr="00D13D0B" w:rsidRDefault="00D13D0B" w:rsidP="00D13D0B">
      <w:pPr>
        <w:spacing w:before="120" w:after="120"/>
        <w:ind w:firstLine="708"/>
        <w:jc w:val="both"/>
        <w:rPr>
          <w:rFonts w:ascii="Arial" w:eastAsia="Times New Roman" w:hAnsi="Arial" w:cs="Arial"/>
          <w:color w:val="000000"/>
          <w:sz w:val="22"/>
          <w:bdr w:val="none" w:sz="0" w:space="0" w:color="auto" w:frame="1"/>
          <w:lang w:val="es-ES_tradnl" w:eastAsia="es-MX"/>
        </w:rPr>
      </w:pPr>
      <w:r w:rsidRPr="00D13D0B">
        <w:rPr>
          <w:rFonts w:ascii="Arial" w:eastAsia="Times New Roman" w:hAnsi="Arial" w:cs="Arial"/>
          <w:color w:val="000000"/>
          <w:sz w:val="22"/>
          <w:bdr w:val="none" w:sz="0" w:space="0" w:color="auto" w:frame="1"/>
          <w:lang w:val="es-ES_tradnl" w:eastAsia="es-MX"/>
        </w:rPr>
        <w:t>Siguiendo el procedimiento referido, cada entidad estatal deberá determinar la experiencia general y específica que debe acreditarse en cada procedimiento de selección, en función del objeto contractual. En desarrollo de ese análisis, teniendo en cuenta también las definiciones del Glosario, la entidad estatal deberá determinar si el objeto contractual se enmarca en alguno de los tipos de actividades, identificadas con un número y su descripción en la Matriz de experiencia. De esta manera, deberá aplicar estrictamente lo contenido en dicha matriz. Por tanto, no podrá incluir, modificar, suprimir o alterar las condiciones de experiencia allí establecidas, salvo cuando de forma expresa esta lo determine.</w:t>
      </w:r>
    </w:p>
    <w:p w14:paraId="4AD41E9F" w14:textId="77777777" w:rsidR="00D13D0B" w:rsidRPr="00D13D0B" w:rsidRDefault="00D13D0B" w:rsidP="00D13D0B">
      <w:pPr>
        <w:spacing w:before="120" w:after="0"/>
        <w:ind w:firstLine="708"/>
        <w:jc w:val="both"/>
        <w:rPr>
          <w:rFonts w:ascii="Arial" w:hAnsi="Arial" w:cs="Arial"/>
          <w:color w:val="000000" w:themeColor="text1"/>
          <w:sz w:val="22"/>
          <w:lang w:val="es-MX"/>
        </w:rPr>
      </w:pPr>
      <w:r w:rsidRPr="00D13D0B">
        <w:rPr>
          <w:rFonts w:ascii="Arial" w:hAnsi="Arial" w:cs="Arial"/>
          <w:color w:val="000000" w:themeColor="text1"/>
          <w:sz w:val="22"/>
          <w:lang w:val="es-MX"/>
        </w:rPr>
        <w:t>De esta manera, la entidad estatal que adelanta un proceso de contratación de licitación de obra pública de infraestructura social asociado al sector educativo, salud o cultura, recreación y deporte, debe definir la experiencia exigible, teniendo en cuenta las condiciones fijadas en la Matriz de experiencia, de acuerdo con los siguientes pasos</w:t>
      </w:r>
      <w:r w:rsidRPr="00D13D0B">
        <w:rPr>
          <w:rFonts w:ascii="Arial" w:hAnsi="Arial" w:cs="Arial"/>
          <w:color w:val="000000" w:themeColor="text1"/>
          <w:sz w:val="22"/>
          <w:vertAlign w:val="superscript"/>
          <w:lang w:val="es-MX"/>
        </w:rPr>
        <w:footnoteReference w:id="5"/>
      </w:r>
      <w:r w:rsidRPr="00D13D0B">
        <w:rPr>
          <w:rFonts w:ascii="Arial" w:hAnsi="Arial" w:cs="Arial"/>
          <w:color w:val="000000" w:themeColor="text1"/>
          <w:sz w:val="22"/>
          <w:lang w:val="es-MX"/>
        </w:rPr>
        <w:t>:</w:t>
      </w:r>
    </w:p>
    <w:p w14:paraId="46A7A5A9" w14:textId="77777777" w:rsidR="00D13D0B" w:rsidRPr="00D13D0B" w:rsidRDefault="00D13D0B" w:rsidP="00D13D0B">
      <w:pPr>
        <w:spacing w:before="120" w:after="0"/>
        <w:ind w:firstLine="708"/>
        <w:jc w:val="both"/>
        <w:rPr>
          <w:rFonts w:ascii="Arial" w:hAnsi="Arial" w:cs="Arial"/>
          <w:color w:val="000000" w:themeColor="text1"/>
          <w:sz w:val="22"/>
          <w:lang w:val="es-MX"/>
        </w:rPr>
      </w:pPr>
      <w:r w:rsidRPr="00D13D0B">
        <w:rPr>
          <w:rFonts w:ascii="Arial" w:hAnsi="Arial" w:cs="Arial"/>
          <w:color w:val="000000" w:themeColor="text1"/>
          <w:sz w:val="22"/>
          <w:lang w:val="es-MX"/>
        </w:rPr>
        <w:t xml:space="preserve">a) </w:t>
      </w:r>
      <w:r w:rsidRPr="00D13D0B">
        <w:rPr>
          <w:rFonts w:ascii="Arial" w:hAnsi="Arial" w:cs="Arial"/>
          <w:sz w:val="22"/>
          <w:lang w:val="es-MX"/>
        </w:rPr>
        <w:t xml:space="preserve">Determinar la matriz de experiencia aplicable en atención al tipo de proyecto de infraestructura social a contratarse, ya sea de educación, salud o recreación, cultura y deporte. </w:t>
      </w:r>
    </w:p>
    <w:p w14:paraId="288B0D74" w14:textId="77777777" w:rsidR="00D13D0B" w:rsidRPr="00D13D0B" w:rsidRDefault="00D13D0B" w:rsidP="00D13D0B">
      <w:pPr>
        <w:spacing w:before="120" w:after="0"/>
        <w:ind w:firstLine="708"/>
        <w:jc w:val="both"/>
        <w:rPr>
          <w:rFonts w:ascii="Arial" w:hAnsi="Arial" w:cs="Arial"/>
          <w:color w:val="000000" w:themeColor="text1"/>
          <w:sz w:val="22"/>
          <w:lang w:val="es-MX"/>
        </w:rPr>
      </w:pPr>
      <w:r w:rsidRPr="00D13D0B">
        <w:rPr>
          <w:rFonts w:ascii="Arial" w:hAnsi="Arial" w:cs="Arial"/>
          <w:color w:val="000000" w:themeColor="text1"/>
          <w:sz w:val="22"/>
          <w:lang w:val="es-MX"/>
        </w:rPr>
        <w:t>b) Identificada la respectiva Matriz de experiencia, la entidad deberá determinar el tipo de infraestructura sobre el cual recae la obra a ejecutar. Los tipos de infraestructuras se encuentran establecidos como un «título principal» en la Matriz de experiencia, el cual permitirá a la entidad establecer cuál sería la «actividad a contratar» requerida.</w:t>
      </w:r>
    </w:p>
    <w:p w14:paraId="798FD26F" w14:textId="77777777" w:rsidR="00D13D0B" w:rsidRPr="00D13D0B" w:rsidRDefault="00D13D0B" w:rsidP="00D13D0B">
      <w:pPr>
        <w:spacing w:before="120" w:after="0"/>
        <w:ind w:firstLine="708"/>
        <w:jc w:val="both"/>
        <w:rPr>
          <w:rFonts w:ascii="Arial" w:hAnsi="Arial" w:cs="Arial"/>
          <w:color w:val="000000" w:themeColor="text1"/>
          <w:sz w:val="22"/>
          <w:lang w:val="es-MX"/>
        </w:rPr>
      </w:pPr>
      <w:r w:rsidRPr="00D13D0B">
        <w:rPr>
          <w:rFonts w:ascii="Arial" w:hAnsi="Arial" w:cs="Arial"/>
          <w:color w:val="000000" w:themeColor="text1"/>
          <w:sz w:val="22"/>
          <w:lang w:val="es-MX"/>
        </w:rPr>
        <w:lastRenderedPageBreak/>
        <w:t>c) Definido el tipo de infraestructura, la columna denominada como «ACTIVIDAD A CONTRATAR» dispone las diferentes actividades contempladas en la Matriz de experiencia. Por lo tanto, la entidad identificará y establecerá la actividad a contratar en la cual se enmarca su proceso de contratación.</w:t>
      </w:r>
    </w:p>
    <w:p w14:paraId="1D88EE7A" w14:textId="77777777" w:rsidR="00D13D0B" w:rsidRPr="00D13D0B" w:rsidRDefault="00D13D0B" w:rsidP="00D13D0B">
      <w:pPr>
        <w:spacing w:before="120" w:after="120"/>
        <w:ind w:firstLine="708"/>
        <w:jc w:val="both"/>
        <w:rPr>
          <w:rFonts w:ascii="Arial" w:hAnsi="Arial" w:cs="Arial"/>
          <w:color w:val="000000" w:themeColor="text1"/>
          <w:sz w:val="22"/>
          <w:lang w:val="es-MX"/>
        </w:rPr>
      </w:pPr>
      <w:r w:rsidRPr="00D13D0B">
        <w:rPr>
          <w:rFonts w:ascii="Arial" w:hAnsi="Arial" w:cs="Arial"/>
          <w:color w:val="000000" w:themeColor="text1"/>
          <w:sz w:val="22"/>
          <w:lang w:val="es-MX"/>
        </w:rPr>
        <w:t xml:space="preserve">d) Una vez determinada la «actividad a contratar» requerida por la entidad estatal, se procederá a identificar la experiencia general, específica y el porcentaje de dimensionamiento. Es importante mencionar que ciertas actividades a contratar contemplan como parte del requisito de experiencia específica un «% de dimensionamiento» el cual se encuentra en función de una magnitud física establecida; y que dicho porcentaje de dimensionamiento se determina en función del rango de valores expresados en SMMLV en el cual se encuentre el valor del presupuesto oficial del proceso de contratación. Finalmente, es necesario tener en cuenta que el valor de «% de dimensionamiento» establecerá el valor por el cual será reemplazado el factor (F%). </w:t>
      </w:r>
    </w:p>
    <w:p w14:paraId="2931856E" w14:textId="77777777" w:rsidR="00D13D0B" w:rsidRPr="00D13D0B" w:rsidRDefault="00D13D0B" w:rsidP="00D13D0B">
      <w:pPr>
        <w:spacing w:before="120" w:after="120"/>
        <w:ind w:firstLine="709"/>
        <w:jc w:val="both"/>
        <w:rPr>
          <w:rFonts w:ascii="Arial" w:eastAsia="Times New Roman" w:hAnsi="Arial" w:cs="Arial"/>
          <w:sz w:val="22"/>
          <w:szCs w:val="24"/>
          <w:lang w:val="es-ES" w:eastAsia="en-GB"/>
        </w:rPr>
      </w:pPr>
      <w:r w:rsidRPr="00D13D0B">
        <w:rPr>
          <w:rFonts w:ascii="Arial" w:hAnsi="Arial" w:cs="Arial"/>
          <w:color w:val="000000" w:themeColor="text1"/>
          <w:sz w:val="22"/>
          <w:lang w:val="es-MX"/>
        </w:rPr>
        <w:t>e) Establecidos los requisitos de experiencia exigibles, la entidad deberá consignarlos en los apartados grises entre corchetes del literal A del numeral 3.5.1 del documento base, para que los oferentes puedan conocer los requisitos de experiencia general y específica exigidos por la entidad.</w:t>
      </w:r>
    </w:p>
    <w:p w14:paraId="6BD88EE5" w14:textId="77777777" w:rsidR="00D13D0B" w:rsidRPr="00D13D0B" w:rsidRDefault="00D13D0B" w:rsidP="00D13D0B">
      <w:pPr>
        <w:spacing w:after="120"/>
        <w:ind w:firstLine="709"/>
        <w:jc w:val="both"/>
        <w:rPr>
          <w:rFonts w:ascii="Arial" w:eastAsia="Calibri" w:hAnsi="Arial" w:cs="Arial"/>
          <w:color w:val="0D0D0D"/>
          <w:sz w:val="22"/>
          <w:lang w:val="es-MX"/>
        </w:rPr>
      </w:pPr>
      <w:r w:rsidRPr="00D13D0B">
        <w:rPr>
          <w:rFonts w:ascii="Arial" w:eastAsia="Calibri" w:hAnsi="Arial" w:cs="Arial"/>
          <w:color w:val="000000" w:themeColor="text1"/>
          <w:sz w:val="22"/>
          <w:lang w:val="es-ES_tradnl"/>
        </w:rPr>
        <w:t>De acuerdo con lo anterior, en relación con la consulta,</w:t>
      </w:r>
      <w:r w:rsidRPr="00D13D0B">
        <w:rPr>
          <w:rFonts w:ascii="Arial" w:eastAsia="Calibri" w:hAnsi="Arial" w:cs="Arial"/>
          <w:color w:val="0D0D0D"/>
          <w:sz w:val="22"/>
          <w:lang w:val="es-MX"/>
        </w:rPr>
        <w:t xml:space="preserve"> se indaga si </w:t>
      </w:r>
      <w:r w:rsidRPr="00D13D0B">
        <w:rPr>
          <w:rFonts w:ascii="Arial" w:hAnsi="Arial" w:cs="Arial"/>
          <w:sz w:val="22"/>
        </w:rPr>
        <w:t xml:space="preserve">encaja dentro de la infraestructura social un proceso contractual de obra pública en el que su objeto tenga que ver con mantenimiento de colegios, centros vacacionales y viviendas, del sector defensa. Al respecto, informamos que </w:t>
      </w:r>
      <w:r w:rsidRPr="00D13D0B">
        <w:rPr>
          <w:rFonts w:ascii="Arial" w:eastAsia="Calibri" w:hAnsi="Arial" w:cs="Arial"/>
          <w:color w:val="0D0D0D"/>
          <w:sz w:val="22"/>
          <w:lang w:val="es-MX"/>
        </w:rPr>
        <w:t>revisada la matriz de los documentos tipo de infraestructura social de los sectores educativo, salud y cultura, recreación y deporte, el objeto contractual a ejecutar −</w:t>
      </w:r>
      <w:r w:rsidRPr="00D13D0B">
        <w:rPr>
          <w:rFonts w:ascii="Arial" w:hAnsi="Arial" w:cs="Arial"/>
          <w:sz w:val="22"/>
        </w:rPr>
        <w:t>mantenimiento de colegios</w:t>
      </w:r>
      <w:r w:rsidRPr="00D13D0B">
        <w:rPr>
          <w:rFonts w:ascii="Arial" w:eastAsia="Calibri" w:hAnsi="Arial" w:cs="Arial"/>
          <w:color w:val="0D0D0D"/>
          <w:sz w:val="22"/>
          <w:lang w:val="es-MX"/>
        </w:rPr>
        <w:t xml:space="preserve">− podría enmarcarse dentro alguna de las siguientes actividades a contratar de la «Matriz – Experiencia» de los documentos tipo de licitación de obra pública de infraestructura social relacionados con el sector educativo: </w:t>
      </w:r>
    </w:p>
    <w:p w14:paraId="6DEEE166" w14:textId="77777777" w:rsidR="00D13D0B" w:rsidRPr="00D13D0B" w:rsidRDefault="00D13D0B" w:rsidP="00D13D0B">
      <w:pPr>
        <w:spacing w:after="120"/>
        <w:ind w:firstLine="708"/>
        <w:jc w:val="both"/>
        <w:rPr>
          <w:rFonts w:ascii="Arial" w:eastAsia="Calibri" w:hAnsi="Arial" w:cs="Arial"/>
          <w:color w:val="0D0D0D"/>
          <w:sz w:val="22"/>
          <w:lang w:val="es-MX"/>
        </w:rPr>
      </w:pPr>
      <w:r w:rsidRPr="00D13D0B">
        <w:rPr>
          <w:rFonts w:ascii="Arial" w:eastAsia="Calibri" w:hAnsi="Arial" w:cs="Arial"/>
          <w:color w:val="0D0D0D"/>
          <w:sz w:val="22"/>
          <w:lang w:val="es-MX"/>
        </w:rPr>
        <w:t xml:space="preserve">En obras en infraestructura vertical en instituciones educativas, en las actividades: «1.2. PROYECTOS DE TERMINACIÓN Y/O MEJORAMIENTO Y/O REMODELACIÓN Y/O ADECUACIÓN Y/O MODIFICACIÓN Y/O MANTENIMIENTO Y/O REHABILITACIÓN DE INSTITUCIONES EDUCATIVAS, 1.7. PROYECTOS DE CONSTRUCCIÓN Y/O MEJORAMIENTO Y/O AMPLIACIÓN Y/O ADECUACIÓN Y/O MANTENIMIENTO Y/O INTERVENCIÓN DE COMEDORES O ZONAS DE ALIMENTACIÓN DE INSTITUCIONES EDUCATIVAS, 1.8. PROYECTOS DE CONSTRUCCIÓN Y/O MANTENIMIENTO Y/O ADECUACUÓN Y/O OPTIMIZACIÓN Y/O MEJORAMIENTO Y/O INTERVENCIÓN DE BATERIAS SANITARIAS Y/O REDES HIDROSANITARIAS Y/O REDES CONTRA INCENDIOS EN INSTITUCIONES EDUCATIVAS, 1.9. PROYECTOS DE MANTENIMIENTO Y/O ADECUACIONES Y/O REPARACIONES LOCATIVAS DE INSTITUCIONES EDUCATIVAS, 1.10. PROYECTOS DE MANTENIMIENTO O INTERVENCIÓN DE CUBIERTAS DE INSTITUCIONES EDUCATIVAS, 1.11. PROYECTOS DE CONSTRUCCIÓN Y/O MEJORAMIENTO Y/O ADECUACIÓN Y/O MANTENIMIENTO Y/O REMODELACIÓN </w:t>
      </w:r>
      <w:r w:rsidRPr="00D13D0B">
        <w:rPr>
          <w:rFonts w:ascii="Arial" w:eastAsia="Calibri" w:hAnsi="Arial" w:cs="Arial"/>
          <w:color w:val="0D0D0D"/>
          <w:sz w:val="22"/>
          <w:lang w:val="es-MX"/>
        </w:rPr>
        <w:lastRenderedPageBreak/>
        <w:t xml:space="preserve">Y/O INTERVENCIÓN DE AUDITORIOS DE INSTITUCIONES EDUCATIVAS, 1.12 PROYECTOS DE CONSTRUCCIÓN Y/O MEJORAMIENTO Y/O ADECUACIÓN Y/O MANTENIMIENTO Y/O REMODELACIÓN Y/O RESTAURACIÓN Y/O INTERVENCIÓN DE INSTITUCIONES EDUCATIVAS EN BIENES DE INTERÉS CULTURAL Y/O PATRIMONIAL, 1.13. PROYECTOS DE CONSTRUCCIÓN Y/O MANTENIMIENTO Y/O ADECUACIÓN Y/O OPTIMIZACIÓN Y/O MEJORAMIENTO Y/O INTERVENCIÓN DE REDES ELÉCTRICAS Y/O DE DATOS EN INSTITUCIONES EDUCATIVAS y 1.14. PROYECTOS DE CONSTRUCCIÓN Y/O MANTENIMIENTO Y/O ADECUACIÓN Y/O OPTIMIZACIÓN Y/O MEJORAMIENTO Y/O INTERVENCIÓN DE LABORATORIOS EN INSTITUCIONES EDUCATIVAS». </w:t>
      </w:r>
    </w:p>
    <w:p w14:paraId="0049E9CA" w14:textId="77777777" w:rsidR="00D13D0B" w:rsidRPr="00D13D0B" w:rsidRDefault="00D13D0B" w:rsidP="00D13D0B">
      <w:pPr>
        <w:spacing w:before="120" w:after="120"/>
        <w:ind w:firstLine="708"/>
        <w:jc w:val="both"/>
        <w:rPr>
          <w:sz w:val="22"/>
        </w:rPr>
      </w:pPr>
      <w:r w:rsidRPr="00D13D0B">
        <w:rPr>
          <w:rFonts w:ascii="Arial" w:eastAsia="Calibri" w:hAnsi="Arial" w:cs="Arial"/>
          <w:color w:val="0D0D0D"/>
          <w:sz w:val="22"/>
          <w:lang w:val="es-MX"/>
        </w:rPr>
        <w:t xml:space="preserve">Como se aprecia, las anteriores actividades de la matriz de experiencia de los documentos tipo de licitación de obra pública de infraestructura social aplicables al sector educativo, contemplan mantenimiento sobre infraestructura vertical en instituciones educativas. De esta forma, </w:t>
      </w:r>
      <w:r w:rsidRPr="00D13D0B">
        <w:rPr>
          <w:rFonts w:ascii="Arial" w:eastAsia="Calibri" w:hAnsi="Arial" w:cs="Arial"/>
          <w:color w:val="0D0D0D"/>
          <w:sz w:val="22"/>
        </w:rPr>
        <w:t>en cada caso concreto, l</w:t>
      </w:r>
      <w:r w:rsidRPr="00D13D0B">
        <w:rPr>
          <w:rFonts w:ascii="Arial" w:eastAsia="Calibri" w:hAnsi="Arial" w:cs="Arial"/>
          <w:color w:val="0D0D0D"/>
          <w:sz w:val="22"/>
          <w:lang w:val="es-MX"/>
        </w:rPr>
        <w:t xml:space="preserve">a entidad encargada de adelantar el proceso de selección deberá analizar si el objeto del contrato encaja en alguna de las actividades anteriormente mencionadas o dentro de los otros tipo de obras descritas en la matriz de experiencia de estos documentos tipo, como son las actividades de obra en infraestructura recreodeportiva y cultural en instituciones educativas o obras en vías de acceso y/o parqueaderos y/o zonas de circulación (vehicular y/o peatonal) en instituciones educativas. </w:t>
      </w:r>
    </w:p>
    <w:p w14:paraId="2E9A94DE" w14:textId="77777777" w:rsidR="00D13D0B" w:rsidRPr="00D13D0B" w:rsidRDefault="00D13D0B" w:rsidP="00D13D0B">
      <w:pPr>
        <w:spacing w:before="120" w:after="120"/>
        <w:ind w:firstLine="708"/>
        <w:jc w:val="both"/>
        <w:rPr>
          <w:rFonts w:ascii="Arial" w:eastAsia="Calibri" w:hAnsi="Arial" w:cs="Arial"/>
          <w:color w:val="0D0D0D"/>
          <w:sz w:val="22"/>
          <w:lang w:val="es-MX"/>
        </w:rPr>
      </w:pPr>
      <w:r w:rsidRPr="00D13D0B">
        <w:rPr>
          <w:rFonts w:ascii="Arial" w:eastAsia="Calibri" w:hAnsi="Arial" w:cs="Arial"/>
          <w:color w:val="0D0D0D"/>
          <w:sz w:val="22"/>
          <w:lang w:val="es-MX"/>
        </w:rPr>
        <w:t xml:space="preserve">Así, si la actividad de mantenimiento por la que usted indaga se encuentra dentro de las actividades descritas o incluso si encuadra en alguna otra «actividad a contratar» de la matriz de experiencia del sector educativo −aunque no se hayan mencionado en la lista precedente−, se deberán aplicar los documentos tipo señalados. Por el contrario, si el mantenimiento no se encuentra dentro de las entidades previstas en la matriz de experiencia de los documentos tipo de licitación de obra pública de infraestructura social del sector educativo, la entidad no está obligada a aplicar estos documentos tipo para la actividad de mantenimiento de colegios. </w:t>
      </w:r>
    </w:p>
    <w:p w14:paraId="7B4DE21C" w14:textId="77777777" w:rsidR="00D13D0B" w:rsidRPr="00D13D0B" w:rsidRDefault="00D13D0B" w:rsidP="00D13D0B">
      <w:pPr>
        <w:spacing w:after="120"/>
        <w:ind w:firstLine="708"/>
        <w:jc w:val="both"/>
        <w:rPr>
          <w:rFonts w:ascii="Arial" w:eastAsia="Calibri" w:hAnsi="Arial" w:cs="Arial"/>
          <w:sz w:val="22"/>
          <w:lang w:val="es-MX"/>
        </w:rPr>
      </w:pPr>
      <w:r w:rsidRPr="00D13D0B">
        <w:rPr>
          <w:rFonts w:ascii="Arial" w:eastAsia="Calibri" w:hAnsi="Arial" w:cs="Arial"/>
          <w:color w:val="0D0D0D"/>
          <w:sz w:val="22"/>
          <w:lang w:val="es-MX"/>
        </w:rPr>
        <w:t xml:space="preserve">Ahora bien, en relación con la actividad de mantenimiento de centros vacacionales y viviendas del sector defensa, revisadas </w:t>
      </w:r>
      <w:r w:rsidRPr="00D13D0B">
        <w:rPr>
          <w:rFonts w:ascii="Arial" w:hAnsi="Arial" w:cs="Arial"/>
          <w:sz w:val="22"/>
        </w:rPr>
        <w:t xml:space="preserve">las </w:t>
      </w:r>
      <w:r w:rsidRPr="00D13D0B">
        <w:rPr>
          <w:rFonts w:ascii="Arial" w:eastAsia="Calibri" w:hAnsi="Arial" w:cs="Arial"/>
          <w:sz w:val="22"/>
        </w:rPr>
        <w:t>m</w:t>
      </w:r>
      <w:r w:rsidRPr="00D13D0B">
        <w:rPr>
          <w:rFonts w:ascii="Arial" w:eastAsia="Calibri" w:hAnsi="Arial" w:cs="Arial"/>
          <w:sz w:val="22"/>
          <w:lang w:val="es-MX"/>
        </w:rPr>
        <w:t xml:space="preserve">atrices de experiencia adoptadas para cada documento tipo del sector de infraestructura social, y la de los demás documentos tipo, en donde se identifican las actividades frente a las cuales las entidades están obligadas a utilizar estos documentos, no están previstas actividades de mantenimiento en centro centros vacacionales o en viviendas del sector defensa. </w:t>
      </w:r>
    </w:p>
    <w:p w14:paraId="75E8561D" w14:textId="77777777" w:rsidR="00D13D0B" w:rsidRPr="00D13D0B" w:rsidRDefault="00D13D0B" w:rsidP="00D13D0B">
      <w:pPr>
        <w:spacing w:after="120"/>
        <w:ind w:firstLine="708"/>
        <w:jc w:val="both"/>
        <w:rPr>
          <w:rFonts w:ascii="Arial" w:eastAsia="Calibri" w:hAnsi="Arial" w:cs="Arial"/>
          <w:color w:val="0D0D0D"/>
          <w:sz w:val="22"/>
          <w:lang w:val="es-MX"/>
        </w:rPr>
      </w:pPr>
      <w:r w:rsidRPr="00D13D0B">
        <w:rPr>
          <w:rFonts w:ascii="Arial" w:eastAsia="Calibri" w:hAnsi="Arial" w:cs="Arial"/>
          <w:color w:val="0D0D0D"/>
          <w:sz w:val="22"/>
          <w:lang w:val="es-MX"/>
        </w:rPr>
        <w:t xml:space="preserve">Lo anterior significa que las entidades tendrán la libertad para definir las condiciones habilitantes, los factores de evaluación y los demás requisitos que representan buenas prácticas contractuales para contratar los proyectos de mantenimiento de centro vacacionales y viviendas del sector defensa, en la modalidad de selección de licitación pública, siempre y cuando estas últimas no se enmarquen dentro de las actividades previstas en las matrices de experiencia adoptadas para cada uno de los documentos tipo expedidos por esta Agencia. </w:t>
      </w:r>
    </w:p>
    <w:p w14:paraId="6D3C7FCF" w14:textId="77777777" w:rsidR="00D13D0B" w:rsidRPr="00D13D0B" w:rsidRDefault="00D13D0B" w:rsidP="00D13D0B">
      <w:pPr>
        <w:autoSpaceDE w:val="0"/>
        <w:autoSpaceDN w:val="0"/>
        <w:adjustRightInd w:val="0"/>
        <w:spacing w:after="120"/>
        <w:ind w:firstLine="708"/>
        <w:jc w:val="both"/>
        <w:rPr>
          <w:rFonts w:ascii="Arial" w:eastAsia="Calibri" w:hAnsi="Arial" w:cs="Arial"/>
          <w:color w:val="0D0D0D"/>
          <w:sz w:val="22"/>
          <w:lang w:val="es-MX"/>
        </w:rPr>
      </w:pPr>
      <w:r w:rsidRPr="00D13D0B">
        <w:rPr>
          <w:rFonts w:ascii="Arial" w:eastAsia="Calibri" w:hAnsi="Arial" w:cs="Arial"/>
          <w:color w:val="0D0D0D"/>
          <w:sz w:val="22"/>
          <w:lang w:val="es-MX"/>
        </w:rPr>
        <w:lastRenderedPageBreak/>
        <w:t xml:space="preserve">En todo caso, es pertinente señalar que mediante las Resoluciones 248 y 249 del 2020, la Agencia Nacional de Contratación Pública – Colombia Compra Eficiente adoptó documentos tipo aplicables para obras de infraestructura de agua potable y saneamiento básico, −respectivamente− en la modalidad de selección de licitación pública y en la modalidad de llave en mano. En la matriz 1- experiencia de estos documentos tipo, en donde se señalan las actividades sobre las cuales estos resultan obligatorios, se señala como tipo de infraestructura «6. UNIDADES SANITARIAS PARA VIVIENDA RURAL DISPERSA» y dentro de sus actividades la de «6.2 PROYECTOS DE OPTIMIZACIÓN Y/O MEJORAMIENTO Y/O ADECUACIÓN Y/O AMPLIACIÓN Y/O REFORZAMIENTO Y/O REHABILITACIÓN Y/O MANTENIMIENTO DE UNIDADES SANITARIAS». </w:t>
      </w:r>
    </w:p>
    <w:p w14:paraId="450009FB" w14:textId="77777777" w:rsidR="00D13D0B" w:rsidRPr="00D13D0B" w:rsidRDefault="00D13D0B" w:rsidP="00D13D0B">
      <w:pPr>
        <w:spacing w:after="0"/>
        <w:ind w:firstLine="709"/>
        <w:jc w:val="both"/>
        <w:rPr>
          <w:rFonts w:ascii="Arial" w:eastAsia="Times New Roman" w:hAnsi="Arial" w:cs="Arial"/>
          <w:sz w:val="22"/>
          <w:szCs w:val="24"/>
          <w:lang w:eastAsia="es-ES_tradnl"/>
        </w:rPr>
      </w:pPr>
      <w:r w:rsidRPr="00D13D0B">
        <w:rPr>
          <w:rFonts w:ascii="Arial" w:eastAsia="Calibri" w:hAnsi="Arial" w:cs="Arial"/>
          <w:color w:val="000000"/>
          <w:sz w:val="22"/>
          <w:lang w:eastAsia="es-ES_tradnl"/>
        </w:rPr>
        <w:t>Sin perjuicio de las aclaraciones anteriores</w:t>
      </w:r>
      <w:r w:rsidRPr="00D13D0B">
        <w:rPr>
          <w:rFonts w:ascii="Arial" w:eastAsia="Times New Roman" w:hAnsi="Arial" w:cs="Arial"/>
          <w:sz w:val="22"/>
          <w:lang w:eastAsia="es-ES_tradnl"/>
        </w:rPr>
        <w:t xml:space="preserve">, debe advertirse que es la entidad contratante, al momento </w:t>
      </w:r>
      <w:r w:rsidRPr="00D13D0B">
        <w:rPr>
          <w:rFonts w:ascii="Arial" w:eastAsia="Times New Roman" w:hAnsi="Arial" w:cs="Arial"/>
          <w:sz w:val="22"/>
          <w:szCs w:val="24"/>
          <w:lang w:eastAsia="es-ES_tradnl"/>
        </w:rPr>
        <w:t xml:space="preserve">de adelantar sus actividades de planeación de cada proceso contractual, quien debe determinar si de acuerdo con las particularidades del contrato a ejecutar, este encaja o no dentro de alguna de las actividades de la Matriz de experiencia </w:t>
      </w:r>
      <w:r w:rsidRPr="00D13D0B">
        <w:rPr>
          <w:rFonts w:ascii="Arial" w:eastAsia="Calibri" w:hAnsi="Arial" w:cs="Arial"/>
          <w:color w:val="0D0D0D"/>
          <w:sz w:val="22"/>
          <w:lang w:val="es-MX"/>
        </w:rPr>
        <w:t>de los documentos tipo para los sectores educativo, salud y cultura, recreación y deporte</w:t>
      </w:r>
      <w:r w:rsidRPr="00D13D0B">
        <w:rPr>
          <w:rFonts w:ascii="Arial" w:eastAsia="Times New Roman" w:hAnsi="Arial" w:cs="Arial"/>
          <w:sz w:val="22"/>
          <w:szCs w:val="24"/>
          <w:lang w:eastAsia="es-ES_tradnl"/>
        </w:rPr>
        <w:t xml:space="preserve">, o de otros documentos adoptados por esta Agencia y si en consecuencia deben aplicarse o no estos documentos tipo, conforme a los parámetros indicados en este concepto. Lo anterior sin que pueda apartarse de su aplicación cuando materialmente el objeto a contratar corresponde con alguna actividad de contemplada en dicha matriz. </w:t>
      </w:r>
    </w:p>
    <w:p w14:paraId="2D8BBDAC" w14:textId="77777777" w:rsidR="00D13D0B" w:rsidRPr="00D13D0B" w:rsidRDefault="00D13D0B" w:rsidP="00D13D0B">
      <w:pPr>
        <w:spacing w:after="0"/>
        <w:ind w:firstLine="709"/>
        <w:jc w:val="both"/>
        <w:rPr>
          <w:rFonts w:ascii="Arial" w:eastAsia="Times New Roman" w:hAnsi="Arial" w:cs="Arial"/>
          <w:color w:val="0D0D0D"/>
          <w:sz w:val="22"/>
          <w:szCs w:val="24"/>
          <w:bdr w:val="none" w:sz="0" w:space="0" w:color="auto" w:frame="1"/>
          <w:lang w:eastAsia="es-CO"/>
        </w:rPr>
      </w:pPr>
    </w:p>
    <w:p w14:paraId="64F84101" w14:textId="77777777" w:rsidR="00D13D0B" w:rsidRPr="00D13D0B" w:rsidRDefault="00D13D0B" w:rsidP="00D13D0B">
      <w:pPr>
        <w:spacing w:after="0"/>
        <w:jc w:val="both"/>
        <w:rPr>
          <w:rFonts w:ascii="Arial" w:eastAsia="Times New Roman" w:hAnsi="Arial" w:cs="Arial"/>
          <w:b/>
          <w:bCs/>
          <w:sz w:val="22"/>
          <w:lang w:eastAsia="es-MX"/>
        </w:rPr>
      </w:pPr>
      <w:r w:rsidRPr="00D13D0B">
        <w:rPr>
          <w:rFonts w:ascii="Arial" w:eastAsia="Times New Roman" w:hAnsi="Arial" w:cs="Arial"/>
          <w:b/>
          <w:bCs/>
          <w:sz w:val="22"/>
          <w:lang w:eastAsia="es-MX"/>
        </w:rPr>
        <w:t xml:space="preserve">3. Respuesta: </w:t>
      </w:r>
    </w:p>
    <w:p w14:paraId="22E2B52E" w14:textId="77777777" w:rsidR="00D13D0B" w:rsidRPr="00D13D0B" w:rsidRDefault="00D13D0B" w:rsidP="00D13D0B">
      <w:pPr>
        <w:spacing w:after="0" w:line="240" w:lineRule="auto"/>
        <w:ind w:left="709" w:right="709"/>
        <w:jc w:val="both"/>
        <w:rPr>
          <w:rFonts w:ascii="Arial" w:hAnsi="Arial" w:cs="Arial"/>
          <w:sz w:val="16"/>
          <w:szCs w:val="16"/>
        </w:rPr>
      </w:pPr>
    </w:p>
    <w:p w14:paraId="6E4D7C2D" w14:textId="77777777" w:rsidR="00D13D0B" w:rsidRPr="00D13D0B" w:rsidRDefault="00D13D0B" w:rsidP="00D13D0B">
      <w:pPr>
        <w:spacing w:after="0" w:line="240" w:lineRule="auto"/>
        <w:ind w:left="709" w:right="709"/>
        <w:jc w:val="both"/>
        <w:rPr>
          <w:rFonts w:ascii="Arial" w:hAnsi="Arial" w:cs="Arial"/>
          <w:sz w:val="21"/>
          <w:szCs w:val="21"/>
        </w:rPr>
      </w:pPr>
      <w:r w:rsidRPr="00D13D0B">
        <w:rPr>
          <w:rFonts w:ascii="Arial" w:hAnsi="Arial" w:cs="Arial"/>
          <w:sz w:val="21"/>
          <w:szCs w:val="21"/>
        </w:rPr>
        <w:t>¿«el sector defensa, que contrata mantenimiento de sus colegios, centros vacacionales, viviendas, mediante licitación, está dentro de la obligatoriedad de los pliegos tipo del infraestructura social?</w:t>
      </w:r>
    </w:p>
    <w:p w14:paraId="2DA1BBB7" w14:textId="77777777" w:rsidR="00D13D0B" w:rsidRPr="00D13D0B" w:rsidRDefault="00D13D0B" w:rsidP="00D13D0B">
      <w:pPr>
        <w:spacing w:after="0" w:line="240" w:lineRule="auto"/>
        <w:ind w:right="709"/>
        <w:jc w:val="both"/>
        <w:rPr>
          <w:rFonts w:ascii="Arial" w:hAnsi="Arial" w:cs="Arial"/>
          <w:sz w:val="16"/>
          <w:szCs w:val="16"/>
        </w:rPr>
      </w:pPr>
    </w:p>
    <w:p w14:paraId="30AB2E94" w14:textId="77777777" w:rsidR="00D13D0B" w:rsidRPr="00D13D0B" w:rsidRDefault="00D13D0B" w:rsidP="00D13D0B">
      <w:pPr>
        <w:spacing w:after="120"/>
        <w:jc w:val="both"/>
        <w:rPr>
          <w:rFonts w:ascii="Arial" w:eastAsia="Calibri" w:hAnsi="Arial" w:cs="Arial"/>
          <w:sz w:val="22"/>
          <w:szCs w:val="24"/>
          <w:lang w:eastAsia="en-GB"/>
        </w:rPr>
      </w:pPr>
      <w:r w:rsidRPr="00D13D0B">
        <w:rPr>
          <w:rFonts w:ascii="Arial" w:eastAsia="Calibri" w:hAnsi="Arial" w:cs="Arial"/>
          <w:sz w:val="22"/>
          <w:szCs w:val="24"/>
          <w:lang w:eastAsia="en-GB"/>
        </w:rPr>
        <w:t xml:space="preserve">Conforme a lo expuesto, la Ley 2022 de 2020 señala que los documentos tipo adoptados por la Agencia Nacional de Contratación Pública son de </w:t>
      </w:r>
      <w:r w:rsidRPr="00D13D0B">
        <w:rPr>
          <w:rFonts w:ascii="Arial" w:eastAsia="Calibri" w:hAnsi="Arial" w:cs="Arial"/>
          <w:i/>
          <w:sz w:val="22"/>
          <w:szCs w:val="24"/>
          <w:lang w:eastAsia="en-GB"/>
        </w:rPr>
        <w:t>obligatorio</w:t>
      </w:r>
      <w:r w:rsidRPr="00D13D0B">
        <w:rPr>
          <w:rFonts w:ascii="Arial" w:eastAsia="Calibri" w:hAnsi="Arial" w:cs="Arial"/>
          <w:sz w:val="22"/>
          <w:szCs w:val="24"/>
          <w:lang w:eastAsia="en-GB"/>
        </w:rPr>
        <w:t xml:space="preserve"> cumplimiento por todas las entidades públicas, cuyo régimen de contratación sea el Estatuto General de la Contratación de la Administración Pública ‒EGCAP‒. </w:t>
      </w:r>
    </w:p>
    <w:p w14:paraId="3226A81A" w14:textId="77777777" w:rsidR="00D13D0B" w:rsidRPr="00D13D0B" w:rsidRDefault="00D13D0B" w:rsidP="00D13D0B">
      <w:pPr>
        <w:spacing w:after="120"/>
        <w:ind w:firstLine="708"/>
        <w:jc w:val="both"/>
        <w:rPr>
          <w:rFonts w:ascii="Arial" w:eastAsia="Times New Roman" w:hAnsi="Arial" w:cs="Arial"/>
          <w:sz w:val="22"/>
          <w:lang w:eastAsia="es-MX"/>
        </w:rPr>
      </w:pPr>
      <w:r w:rsidRPr="00D13D0B">
        <w:rPr>
          <w:rFonts w:ascii="Arial" w:eastAsia="Times New Roman" w:hAnsi="Arial" w:cs="Arial"/>
          <w:sz w:val="22"/>
          <w:lang w:eastAsia="es-MX"/>
        </w:rPr>
        <w:t>Ahora bien, de acuerdo con la interpretación de las normas generales del sistema de compras públicas, cada una de las resoluciones por las cuales se han adoptado los documentos tipo de licitación de obra pública de infraestructura social relacionados con el sector educativo, salud y cultura, recreación y deporte, están relacionadas con un sector y un objeto contractual específico. Esto de tal manera que las entidades estatales regidas por el Estatuto General de Contratación de la Administración Pública, al momento de adelantar un proceso de contratación asociado a uno de los sectores para los que se han implementado estos documentos tipo, deben consultar el contenido respectivo para determinar si la modalidad de escogencia y el objeto a contratar son o no subsumibles dentro de lo dispuesto en aquellos. De ser esto así, la entidad estará obligada a adelantar el proceso de contratación aplicando los documentos tipo del caso.</w:t>
      </w:r>
    </w:p>
    <w:p w14:paraId="100BBA1A" w14:textId="77777777" w:rsidR="00D13D0B" w:rsidRPr="00D13D0B" w:rsidRDefault="00D13D0B" w:rsidP="00D13D0B">
      <w:pPr>
        <w:spacing w:after="120"/>
        <w:ind w:firstLine="708"/>
        <w:jc w:val="both"/>
        <w:rPr>
          <w:rFonts w:ascii="Arial" w:eastAsia="Times New Roman" w:hAnsi="Arial" w:cs="Arial"/>
          <w:sz w:val="22"/>
          <w:szCs w:val="24"/>
          <w:lang w:val="es-ES" w:eastAsia="en-GB"/>
        </w:rPr>
      </w:pPr>
      <w:r w:rsidRPr="00D13D0B">
        <w:rPr>
          <w:rFonts w:ascii="Arial" w:eastAsia="Times New Roman" w:hAnsi="Arial" w:cs="Arial"/>
          <w:sz w:val="22"/>
          <w:szCs w:val="24"/>
          <w:lang w:val="es-ES" w:eastAsia="en-GB"/>
        </w:rPr>
        <w:lastRenderedPageBreak/>
        <w:t xml:space="preserve">Las Resoluciones 220, 392 y 454 del 2021, en el artículo 2, desarrollan el «Anexo − Glosario» y la «Matriz − Experiencia» de cada sector en particular −educativo; salud; cultura, recreación y deporte− de los documentos tipo complementarios de licitación de obra pública de infraestructura social, lo que significa que estos documentos definen el alcance para cada sector. </w:t>
      </w:r>
    </w:p>
    <w:p w14:paraId="2CEF23F4" w14:textId="77777777" w:rsidR="00D13D0B" w:rsidRPr="00D13D0B" w:rsidRDefault="00D13D0B" w:rsidP="00D13D0B">
      <w:pPr>
        <w:spacing w:after="120"/>
        <w:ind w:firstLine="708"/>
        <w:jc w:val="both"/>
        <w:rPr>
          <w:rFonts w:ascii="Arial" w:eastAsia="Calibri" w:hAnsi="Arial" w:cs="Arial"/>
          <w:color w:val="0D0D0D"/>
          <w:sz w:val="22"/>
          <w:lang w:val="es-MX"/>
        </w:rPr>
      </w:pPr>
      <w:r w:rsidRPr="00D13D0B">
        <w:rPr>
          <w:rFonts w:ascii="Arial" w:eastAsia="Times New Roman" w:hAnsi="Arial" w:cs="Arial"/>
          <w:sz w:val="22"/>
          <w:szCs w:val="24"/>
          <w:lang w:val="es-ES" w:eastAsia="en-GB"/>
        </w:rPr>
        <w:t xml:space="preserve">De esta forma, la Matriz de experiencia de cada sector mencionado </w:t>
      </w:r>
      <w:r w:rsidRPr="00D13D0B">
        <w:rPr>
          <w:rFonts w:ascii="Arial" w:eastAsia="Calibri" w:hAnsi="Arial" w:cs="Arial"/>
          <w:color w:val="0D0D0D"/>
          <w:sz w:val="22"/>
          <w:lang w:val="es-MX"/>
        </w:rPr>
        <w:t>consta de unas celdas en las que se describe la experiencia requerida en relación con el objeto a contratar</w:t>
      </w:r>
      <w:r w:rsidRPr="00D13D0B">
        <w:rPr>
          <w:rFonts w:ascii="Arial" w:eastAsia="Times New Roman" w:hAnsi="Arial" w:cs="Arial"/>
          <w:sz w:val="22"/>
          <w:szCs w:val="24"/>
          <w:lang w:val="es-ES" w:eastAsia="en-GB"/>
        </w:rPr>
        <w:t xml:space="preserve">, señalando, además, los proyectos o contratos concretos a los cuales aplican los documentos tipo de cada uno de los sectores, en el entendido de que aplicarán a los procesos contractuales cuyo objeto se relacione con alguna de las actividades establecidas de forma detallada en la Matriz de experiencia respectiva. </w:t>
      </w:r>
      <w:r w:rsidRPr="00D13D0B">
        <w:rPr>
          <w:rFonts w:ascii="Arial" w:eastAsia="Calibri" w:hAnsi="Arial" w:cs="Arial"/>
          <w:color w:val="0D0D0D"/>
          <w:sz w:val="22"/>
          <w:lang w:val="es-MX"/>
        </w:rPr>
        <w:t xml:space="preserve">Por otro lado, el «Anexo 3 – Glosario», contiene las definiciones de los términos usados en los documentos del proceso. Utilizando estos dos documentos, la entidad estatal puede definir si el objeto a contratarse debe aplicar los documentos tipo de licitación de obra pública de infraestructura social relacionados con el sector educativo, salud y cultura, recreación y deporte −según corresponda−. </w:t>
      </w:r>
    </w:p>
    <w:p w14:paraId="6D431D6E" w14:textId="77777777" w:rsidR="00D13D0B" w:rsidRPr="00D13D0B" w:rsidRDefault="00D13D0B" w:rsidP="00D13D0B">
      <w:pPr>
        <w:spacing w:before="120" w:after="120"/>
        <w:ind w:firstLine="709"/>
        <w:jc w:val="both"/>
        <w:rPr>
          <w:rFonts w:ascii="Arial" w:eastAsia="Calibri" w:hAnsi="Arial" w:cs="Arial"/>
          <w:color w:val="0D0D0D"/>
          <w:sz w:val="22"/>
          <w:lang w:val="es-MX"/>
        </w:rPr>
      </w:pPr>
      <w:r w:rsidRPr="00D13D0B">
        <w:rPr>
          <w:rFonts w:ascii="Arial" w:eastAsia="Times New Roman" w:hAnsi="Arial" w:cs="Arial"/>
          <w:sz w:val="22"/>
          <w:szCs w:val="24"/>
          <w:lang w:val="es-ES" w:eastAsia="en-GB"/>
        </w:rPr>
        <w:t>Así las cosas</w:t>
      </w:r>
      <w:r w:rsidRPr="00D13D0B">
        <w:rPr>
          <w:rFonts w:ascii="Arial" w:eastAsia="Calibri" w:hAnsi="Arial" w:cs="Arial"/>
          <w:color w:val="0D0D0D"/>
          <w:sz w:val="22"/>
          <w:lang w:val="es-MX"/>
        </w:rPr>
        <w:t>, para saber a qué actividades deben aplicarse los documentos tipo de licitación de obra pública de infraestructura social relacionados con el sector educativo, salud y cultura, recreación y deporte,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42CD0457" w14:textId="77777777" w:rsidR="00D13D0B" w:rsidRPr="00D13D0B" w:rsidRDefault="00D13D0B" w:rsidP="00D13D0B">
      <w:pPr>
        <w:spacing w:after="120"/>
        <w:ind w:firstLine="709"/>
        <w:jc w:val="both"/>
        <w:rPr>
          <w:rFonts w:ascii="Arial" w:eastAsia="Calibri" w:hAnsi="Arial" w:cs="Arial"/>
          <w:color w:val="0D0D0D"/>
          <w:sz w:val="22"/>
          <w:lang w:val="es-MX"/>
        </w:rPr>
      </w:pPr>
      <w:r w:rsidRPr="00D13D0B">
        <w:rPr>
          <w:rFonts w:ascii="Arial" w:eastAsia="Calibri" w:hAnsi="Arial" w:cs="Arial"/>
          <w:color w:val="0D0D0D"/>
          <w:sz w:val="22"/>
          <w:lang w:val="es-MX"/>
        </w:rPr>
        <w:t xml:space="preserve">Por tanto, </w:t>
      </w:r>
      <w:r w:rsidRPr="00D13D0B">
        <w:rPr>
          <w:rFonts w:ascii="Arial" w:hAnsi="Arial" w:cs="Arial"/>
          <w:sz w:val="22"/>
        </w:rPr>
        <w:t xml:space="preserve">informamos que si la actividad por la que usted pregunta recae sobre infraestructura de instituciones educativas, en edificaciones del sector salud, en infraestructura cultural o recreo deportiva, aplicaran los documentos tipo cuando el objeto contractual esté relacionado con algunas de las actividades previstas en la matriz de experiencia. </w:t>
      </w:r>
      <w:r w:rsidRPr="00D13D0B">
        <w:rPr>
          <w:rFonts w:ascii="Arial" w:eastAsia="Calibri" w:hAnsi="Arial" w:cs="Arial"/>
          <w:color w:val="0D0D0D"/>
          <w:sz w:val="22"/>
        </w:rPr>
        <w:t>En cada caso concreto, l</w:t>
      </w:r>
      <w:r w:rsidRPr="00D13D0B">
        <w:rPr>
          <w:rFonts w:ascii="Arial" w:eastAsia="Calibri" w:hAnsi="Arial" w:cs="Arial"/>
          <w:color w:val="0D0D0D"/>
          <w:sz w:val="22"/>
          <w:lang w:val="es-MX"/>
        </w:rPr>
        <w:t>a entidad encargada de adelantar el proceso de selección deberá analizar si el objeto del contrato encaja en alguna de las actividades relacionadas en las Resoluciones Nos. 220, 392 y 454 de 2021.</w:t>
      </w:r>
    </w:p>
    <w:p w14:paraId="4E2C4F5A" w14:textId="77777777" w:rsidR="00D13D0B" w:rsidRPr="00D13D0B" w:rsidRDefault="00D13D0B" w:rsidP="00D13D0B">
      <w:pPr>
        <w:spacing w:before="120" w:after="120"/>
        <w:ind w:firstLine="708"/>
        <w:jc w:val="both"/>
        <w:rPr>
          <w:rFonts w:ascii="Arial" w:eastAsia="Calibri" w:hAnsi="Arial" w:cs="Arial"/>
          <w:color w:val="0D0D0D"/>
          <w:sz w:val="22"/>
          <w:lang w:val="es-MX"/>
        </w:rPr>
      </w:pPr>
      <w:r w:rsidRPr="00D13D0B">
        <w:rPr>
          <w:rFonts w:ascii="Arial" w:eastAsia="Calibri" w:hAnsi="Arial" w:cs="Arial"/>
          <w:color w:val="0D0D0D"/>
          <w:sz w:val="22"/>
          <w:lang w:val="es-MX"/>
        </w:rPr>
        <w:t xml:space="preserve"> Así, si la actividad de mantenimiento por la que usted indaga se encuentra dentro de las actividades descritas en el punto 2.3 de este concepto o incluso si encuadra en alguna otra «actividad a contratar» de la matriz de experiencia del sector educativo −aunque no se hayan mencionado en la lista precedente−, se deberán aplicar los documentos tipo señalados. Por el contrario, si el mantenimiento no se encuentra dentro de las entidades previstas en la matriz de experiencia de los documentos tipo de licitación de obra pública de infraestructura social del sector educativo, la entidad no está obligada a aplicar estos documentos tipo para la actividad de mantenimiento de colegios. </w:t>
      </w:r>
    </w:p>
    <w:p w14:paraId="14ED100E" w14:textId="77777777" w:rsidR="00D13D0B" w:rsidRPr="00D13D0B" w:rsidRDefault="00D13D0B" w:rsidP="00D13D0B">
      <w:pPr>
        <w:spacing w:after="120"/>
        <w:ind w:firstLine="708"/>
        <w:jc w:val="both"/>
        <w:rPr>
          <w:rFonts w:ascii="Arial" w:eastAsia="Calibri" w:hAnsi="Arial" w:cs="Arial"/>
          <w:sz w:val="22"/>
          <w:lang w:val="es-MX"/>
        </w:rPr>
      </w:pPr>
      <w:r w:rsidRPr="00D13D0B">
        <w:rPr>
          <w:rFonts w:ascii="Arial" w:eastAsia="Calibri" w:hAnsi="Arial" w:cs="Arial"/>
          <w:color w:val="0D0D0D"/>
          <w:sz w:val="22"/>
          <w:lang w:val="es-MX"/>
        </w:rPr>
        <w:lastRenderedPageBreak/>
        <w:t xml:space="preserve">Ahora bien, en relación con la actividad de mantenimiento de centros vacacionales y viviendas del sector defensa, revisadas </w:t>
      </w:r>
      <w:r w:rsidRPr="00D13D0B">
        <w:rPr>
          <w:rFonts w:ascii="Arial" w:hAnsi="Arial" w:cs="Arial"/>
          <w:sz w:val="22"/>
        </w:rPr>
        <w:t xml:space="preserve">las </w:t>
      </w:r>
      <w:r w:rsidRPr="00D13D0B">
        <w:rPr>
          <w:rFonts w:ascii="Arial" w:eastAsia="Calibri" w:hAnsi="Arial" w:cs="Arial"/>
          <w:sz w:val="22"/>
        </w:rPr>
        <w:t>matrices</w:t>
      </w:r>
      <w:r w:rsidRPr="00D13D0B">
        <w:rPr>
          <w:rFonts w:ascii="Arial" w:eastAsia="Calibri" w:hAnsi="Arial" w:cs="Arial"/>
          <w:sz w:val="22"/>
          <w:lang w:val="es-MX"/>
        </w:rPr>
        <w:t xml:space="preserve"> de experiencia adoptadas para cada documento tipo del sector de infraestructura social, y la de los demás documentos tipo, en donde se identifican las actividades frente a las cuales las entidades están obligadas a utilizar estos documentos, no están previstas actividades de mantenimiento en centro centros vacacionales o en viviendas del sector defensa. </w:t>
      </w:r>
    </w:p>
    <w:p w14:paraId="658DB330" w14:textId="77777777" w:rsidR="00D13D0B" w:rsidRPr="00D13D0B" w:rsidRDefault="00D13D0B" w:rsidP="00D13D0B">
      <w:pPr>
        <w:spacing w:after="120"/>
        <w:ind w:firstLine="708"/>
        <w:jc w:val="both"/>
        <w:rPr>
          <w:rFonts w:ascii="Arial" w:eastAsia="Calibri" w:hAnsi="Arial" w:cs="Arial"/>
          <w:color w:val="0D0D0D"/>
          <w:sz w:val="22"/>
          <w:lang w:val="es-MX"/>
        </w:rPr>
      </w:pPr>
      <w:r w:rsidRPr="00D13D0B">
        <w:rPr>
          <w:rFonts w:ascii="Arial" w:eastAsia="Calibri" w:hAnsi="Arial" w:cs="Arial"/>
          <w:color w:val="0D0D0D"/>
          <w:sz w:val="22"/>
          <w:lang w:val="es-MX"/>
        </w:rPr>
        <w:t xml:space="preserve">Lo anterior significa que las entidades tendrán la libertad para definir las condiciones habilitantes, los factores de evaluación y los demás requisitos que representan buenas prácticas contractuales para contratar los proyectos de mantenimiento de centro vacacionales y viviendas del sector defensa, en la modalidad de selección de licitación pública, siempre y cuando estas últimas no se enmarquen dentro de las actividades previstas en las matrices de experiencia adoptadas para cada uno de los documentos tipo expedidos por esta Agencia. </w:t>
      </w:r>
    </w:p>
    <w:p w14:paraId="08202AEF" w14:textId="77777777" w:rsidR="00D13D0B" w:rsidRPr="00D13D0B" w:rsidRDefault="00D13D0B" w:rsidP="00D13D0B">
      <w:pPr>
        <w:spacing w:after="0"/>
        <w:ind w:firstLine="709"/>
        <w:jc w:val="both"/>
        <w:rPr>
          <w:rFonts w:ascii="Arial" w:eastAsia="Times New Roman" w:hAnsi="Arial" w:cs="Arial"/>
          <w:sz w:val="22"/>
          <w:szCs w:val="24"/>
          <w:lang w:eastAsia="es-ES_tradnl"/>
        </w:rPr>
      </w:pPr>
      <w:r w:rsidRPr="00D13D0B">
        <w:rPr>
          <w:rFonts w:ascii="Arial" w:eastAsia="Calibri" w:hAnsi="Arial" w:cs="Arial"/>
          <w:color w:val="000000"/>
          <w:sz w:val="22"/>
          <w:lang w:eastAsia="es-ES_tradnl"/>
        </w:rPr>
        <w:t>Sin perjuicio de las aclaraciones anteriores</w:t>
      </w:r>
      <w:r w:rsidRPr="00D13D0B">
        <w:rPr>
          <w:rFonts w:ascii="Arial" w:eastAsia="Times New Roman" w:hAnsi="Arial" w:cs="Arial"/>
          <w:sz w:val="22"/>
          <w:lang w:eastAsia="es-ES_tradnl"/>
        </w:rPr>
        <w:t xml:space="preserve">, debe advertirse que es la entidad contratante, al momento </w:t>
      </w:r>
      <w:r w:rsidRPr="00D13D0B">
        <w:rPr>
          <w:rFonts w:ascii="Arial" w:eastAsia="Times New Roman" w:hAnsi="Arial" w:cs="Arial"/>
          <w:sz w:val="22"/>
          <w:szCs w:val="24"/>
          <w:lang w:eastAsia="es-ES_tradnl"/>
        </w:rPr>
        <w:t xml:space="preserve">de adelantar sus actividades de planeación de cada proceso contractual, quien debe determinar si de acuerdo con las particularidades del contrato a ejecutar, este encaja o no dentro de alguna de las actividades de la Matriz de experiencia </w:t>
      </w:r>
      <w:r w:rsidRPr="00D13D0B">
        <w:rPr>
          <w:rFonts w:ascii="Arial" w:eastAsia="Calibri" w:hAnsi="Arial" w:cs="Arial"/>
          <w:color w:val="0D0D0D"/>
          <w:sz w:val="22"/>
          <w:lang w:val="es-MX"/>
        </w:rPr>
        <w:t>de los documentos tipo para los sectores educativo, salud y cultura, recreación y deporte</w:t>
      </w:r>
      <w:r w:rsidRPr="00D13D0B">
        <w:rPr>
          <w:rFonts w:ascii="Arial" w:eastAsia="Times New Roman" w:hAnsi="Arial" w:cs="Arial"/>
          <w:sz w:val="22"/>
          <w:szCs w:val="24"/>
          <w:lang w:eastAsia="es-ES_tradnl"/>
        </w:rPr>
        <w:t xml:space="preserve">, o de otros documentos adoptados por esta Agencia y si en consecuencia deben aplicarse o no estos documentos tipo, conforme a los parámetros indicados en este concepto. Lo anterior sin que pueda apartarse de su aplicación cuando materialmente el objeto a contratar corresponde con alguna actividad de contemplada en dicha matriz. </w:t>
      </w:r>
    </w:p>
    <w:p w14:paraId="551BB4EA" w14:textId="77777777" w:rsidR="00D13D0B" w:rsidRPr="00D13D0B" w:rsidRDefault="00D13D0B" w:rsidP="00D13D0B">
      <w:pPr>
        <w:spacing w:after="0" w:line="240" w:lineRule="auto"/>
        <w:ind w:right="709"/>
        <w:jc w:val="both"/>
        <w:rPr>
          <w:rFonts w:ascii="Arial" w:eastAsia="Calibri" w:hAnsi="Arial" w:cs="Arial"/>
          <w:sz w:val="21"/>
          <w:szCs w:val="21"/>
          <w:lang w:eastAsia="es-MX"/>
        </w:rPr>
      </w:pPr>
    </w:p>
    <w:p w14:paraId="22F867A6" w14:textId="77777777" w:rsidR="00D13D0B" w:rsidRPr="00D13D0B" w:rsidRDefault="00D13D0B" w:rsidP="00D13D0B">
      <w:pPr>
        <w:spacing w:after="0"/>
        <w:jc w:val="both"/>
        <w:rPr>
          <w:rFonts w:ascii="Arial" w:hAnsi="Arial" w:cs="Arial"/>
          <w:noProof/>
          <w:sz w:val="22"/>
          <w:lang w:val="es-ES_tradnl"/>
        </w:rPr>
      </w:pPr>
      <w:r w:rsidRPr="00D13D0B">
        <w:rPr>
          <w:rFonts w:ascii="Arial" w:eastAsia="Calibri" w:hAnsi="Arial" w:cs="Arial"/>
          <w:color w:val="000000" w:themeColor="text1"/>
          <w:sz w:val="22"/>
          <w:lang w:eastAsia="es-MX"/>
        </w:rPr>
        <w:t>Este concepto tiene el alcance previsto en el artículo 28 del Cód</w:t>
      </w:r>
      <w:r w:rsidRPr="00D13D0B">
        <w:rPr>
          <w:rFonts w:ascii="Arial" w:eastAsia="Calibri" w:hAnsi="Arial" w:cs="Arial"/>
          <w:color w:val="000000" w:themeColor="text1"/>
          <w:sz w:val="22"/>
          <w:szCs w:val="24"/>
          <w:lang w:eastAsia="es-MX"/>
        </w:rPr>
        <w:t>igo de Procedimiento Administrativo y de lo Contencioso Administrativo.</w:t>
      </w:r>
    </w:p>
    <w:p w14:paraId="2EAD21B3" w14:textId="77777777" w:rsidR="00D13D0B" w:rsidRPr="00D13D0B" w:rsidRDefault="00D13D0B" w:rsidP="00D13D0B">
      <w:pPr>
        <w:spacing w:after="0"/>
        <w:jc w:val="both"/>
        <w:rPr>
          <w:rFonts w:ascii="Arial" w:eastAsia="Times New Roman" w:hAnsi="Arial" w:cs="Arial"/>
          <w:color w:val="000000" w:themeColor="text1"/>
          <w:sz w:val="14"/>
          <w:szCs w:val="16"/>
          <w:lang w:eastAsia="es-CO"/>
        </w:rPr>
      </w:pPr>
    </w:p>
    <w:p w14:paraId="42F29410" w14:textId="77777777" w:rsidR="00D13D0B" w:rsidRPr="00D13D0B" w:rsidRDefault="00D13D0B" w:rsidP="00D13D0B">
      <w:pPr>
        <w:spacing w:after="160"/>
        <w:jc w:val="both"/>
        <w:rPr>
          <w:rFonts w:ascii="Arial" w:eastAsia="Times New Roman" w:hAnsi="Arial" w:cs="Arial"/>
          <w:color w:val="000000" w:themeColor="text1"/>
          <w:sz w:val="22"/>
          <w:szCs w:val="24"/>
          <w:lang w:eastAsia="es-CO"/>
        </w:rPr>
      </w:pPr>
      <w:r w:rsidRPr="00D13D0B">
        <w:rPr>
          <w:rFonts w:ascii="Arial" w:eastAsia="Times New Roman" w:hAnsi="Arial" w:cs="Arial"/>
          <w:color w:val="000000" w:themeColor="text1"/>
          <w:sz w:val="22"/>
          <w:szCs w:val="24"/>
          <w:lang w:eastAsia="es-CO"/>
        </w:rPr>
        <w:t>Atentamente,</w:t>
      </w:r>
    </w:p>
    <w:p w14:paraId="6F2700F4" w14:textId="77777777" w:rsidR="00D13D0B" w:rsidRPr="00D13D0B" w:rsidRDefault="00D13D0B" w:rsidP="00D13D0B">
      <w:pPr>
        <w:spacing w:after="0" w:line="240" w:lineRule="auto"/>
        <w:jc w:val="center"/>
        <w:rPr>
          <w:rFonts w:ascii="Arial" w:eastAsia="Times New Roman" w:hAnsi="Arial" w:cs="Arial"/>
          <w:color w:val="000000" w:themeColor="text1"/>
          <w:sz w:val="18"/>
          <w:szCs w:val="20"/>
          <w:lang w:eastAsia="es-CO"/>
        </w:rPr>
      </w:pPr>
      <w:r w:rsidRPr="00D13D0B">
        <w:rPr>
          <w:noProof/>
          <w:sz w:val="22"/>
          <w:lang w:eastAsia="es-ES"/>
        </w:rPr>
        <w:drawing>
          <wp:inline distT="0" distB="0" distL="0" distR="0" wp14:anchorId="4D996FA6" wp14:editId="125D0F8B">
            <wp:extent cx="2381250" cy="1114425"/>
            <wp:effectExtent l="0" t="0" r="0" b="9525"/>
            <wp:docPr id="7" name="Imagen 7" descr="Un 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Un dibujo de una persona&#10;&#10;Descripción generada automáticamente con confianza media"/>
                    <pic:cNvPicPr/>
                  </pic:nvPicPr>
                  <pic:blipFill>
                    <a:blip r:embed="rId11"/>
                    <a:stretch>
                      <a:fillRect/>
                    </a:stretch>
                  </pic:blipFill>
                  <pic:spPr>
                    <a:xfrm>
                      <a:off x="0" y="0"/>
                      <a:ext cx="2381250" cy="1114425"/>
                    </a:xfrm>
                    <a:prstGeom prst="rect">
                      <a:avLst/>
                    </a:prstGeom>
                  </pic:spPr>
                </pic:pic>
              </a:graphicData>
            </a:graphic>
          </wp:inline>
        </w:drawing>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13D0B" w:rsidRPr="00D13D0B" w14:paraId="6FF50588" w14:textId="77777777" w:rsidTr="00271A52">
        <w:trPr>
          <w:trHeight w:val="315"/>
        </w:trPr>
        <w:tc>
          <w:tcPr>
            <w:tcW w:w="812" w:type="dxa"/>
            <w:vAlign w:val="center"/>
            <w:hideMark/>
          </w:tcPr>
          <w:p w14:paraId="465C73FF" w14:textId="77777777" w:rsidR="00D13D0B" w:rsidRPr="00D13D0B" w:rsidRDefault="00D13D0B" w:rsidP="00D13D0B">
            <w:pPr>
              <w:spacing w:after="0" w:line="240" w:lineRule="auto"/>
              <w:rPr>
                <w:rFonts w:ascii="Arial" w:eastAsia="Calibri" w:hAnsi="Arial" w:cs="Arial"/>
                <w:sz w:val="16"/>
                <w:szCs w:val="16"/>
                <w:lang w:val="es-ES_tradnl" w:eastAsia="es-ES"/>
              </w:rPr>
            </w:pPr>
            <w:r w:rsidRPr="00D13D0B">
              <w:rPr>
                <w:rFonts w:ascii="Arial" w:eastAsia="Calibri"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63DAD214" w14:textId="77777777" w:rsidR="00D13D0B" w:rsidRPr="00D13D0B" w:rsidRDefault="00D13D0B" w:rsidP="00D13D0B">
            <w:pPr>
              <w:spacing w:after="0" w:line="240" w:lineRule="auto"/>
              <w:rPr>
                <w:rFonts w:ascii="Arial" w:eastAsia="Calibri" w:hAnsi="Arial" w:cs="Arial"/>
                <w:sz w:val="16"/>
                <w:szCs w:val="16"/>
                <w:lang w:val="es-ES_tradnl" w:eastAsia="es-ES"/>
              </w:rPr>
            </w:pPr>
            <w:r w:rsidRPr="00D13D0B">
              <w:rPr>
                <w:rFonts w:ascii="Arial" w:eastAsia="Calibri" w:hAnsi="Arial" w:cs="Arial"/>
                <w:sz w:val="16"/>
                <w:szCs w:val="16"/>
                <w:lang w:val="es-ES_tradnl" w:eastAsia="es-ES"/>
              </w:rPr>
              <w:t>Carlos Mario Castrillón Endo</w:t>
            </w:r>
          </w:p>
          <w:p w14:paraId="5CBA3E4D" w14:textId="77777777" w:rsidR="00D13D0B" w:rsidRPr="00D13D0B" w:rsidRDefault="00D13D0B" w:rsidP="00D13D0B">
            <w:pPr>
              <w:spacing w:after="0" w:line="240" w:lineRule="auto"/>
              <w:rPr>
                <w:rFonts w:ascii="Arial" w:eastAsia="Calibri" w:hAnsi="Arial" w:cs="Arial"/>
                <w:sz w:val="16"/>
                <w:szCs w:val="16"/>
                <w:lang w:val="es-ES_tradnl" w:eastAsia="es-ES"/>
              </w:rPr>
            </w:pPr>
            <w:r w:rsidRPr="00D13D0B">
              <w:rPr>
                <w:rFonts w:ascii="Arial" w:eastAsia="Calibri" w:hAnsi="Arial" w:cs="Arial"/>
                <w:sz w:val="16"/>
                <w:szCs w:val="16"/>
                <w:lang w:val="es-ES_tradnl" w:eastAsia="es-ES"/>
              </w:rPr>
              <w:t>Contratista de la Subdirección de Gestión Contractual</w:t>
            </w:r>
          </w:p>
        </w:tc>
      </w:tr>
      <w:tr w:rsidR="00D13D0B" w:rsidRPr="00D13D0B" w14:paraId="47D12830" w14:textId="77777777" w:rsidTr="00271A52">
        <w:trPr>
          <w:trHeight w:val="330"/>
        </w:trPr>
        <w:tc>
          <w:tcPr>
            <w:tcW w:w="812" w:type="dxa"/>
            <w:vAlign w:val="center"/>
            <w:hideMark/>
          </w:tcPr>
          <w:p w14:paraId="25E23263" w14:textId="77777777" w:rsidR="00D13D0B" w:rsidRPr="00D13D0B" w:rsidRDefault="00D13D0B" w:rsidP="00D13D0B">
            <w:pPr>
              <w:spacing w:after="0" w:line="240" w:lineRule="auto"/>
              <w:rPr>
                <w:rFonts w:ascii="Arial" w:eastAsia="Calibri" w:hAnsi="Arial" w:cs="Arial"/>
                <w:sz w:val="16"/>
                <w:szCs w:val="16"/>
                <w:lang w:val="es-ES_tradnl" w:eastAsia="es-ES"/>
              </w:rPr>
            </w:pPr>
            <w:r w:rsidRPr="00D13D0B">
              <w:rPr>
                <w:rFonts w:ascii="Arial" w:eastAsia="Calibri"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71B3BCBB" w14:textId="77777777" w:rsidR="00D13D0B" w:rsidRPr="00D13D0B" w:rsidRDefault="00D13D0B" w:rsidP="00D13D0B">
            <w:pPr>
              <w:spacing w:after="0" w:line="240" w:lineRule="auto"/>
              <w:rPr>
                <w:rFonts w:ascii="Arial" w:eastAsia="Calibri" w:hAnsi="Arial" w:cs="Arial"/>
                <w:sz w:val="16"/>
                <w:szCs w:val="16"/>
                <w:lang w:val="es-ES_tradnl" w:eastAsia="es-ES"/>
              </w:rPr>
            </w:pPr>
            <w:r w:rsidRPr="00D13D0B">
              <w:rPr>
                <w:rFonts w:ascii="Arial" w:eastAsia="Calibri" w:hAnsi="Arial" w:cs="Arial"/>
                <w:sz w:val="16"/>
                <w:szCs w:val="16"/>
                <w:lang w:val="es-ES_tradnl" w:eastAsia="es-ES"/>
              </w:rPr>
              <w:t xml:space="preserve">Alejandro Sarmiento Cantillo </w:t>
            </w:r>
          </w:p>
          <w:p w14:paraId="175C37B0" w14:textId="77777777" w:rsidR="00D13D0B" w:rsidRPr="00D13D0B" w:rsidRDefault="00D13D0B" w:rsidP="00D13D0B">
            <w:pPr>
              <w:spacing w:after="0" w:line="240" w:lineRule="auto"/>
              <w:rPr>
                <w:rFonts w:ascii="Arial" w:eastAsia="Calibri" w:hAnsi="Arial" w:cs="Arial"/>
                <w:sz w:val="16"/>
                <w:szCs w:val="16"/>
                <w:lang w:val="es-ES_tradnl" w:eastAsia="es-ES"/>
              </w:rPr>
            </w:pPr>
            <w:r w:rsidRPr="00D13D0B">
              <w:rPr>
                <w:rFonts w:ascii="Arial" w:hAnsi="Arial" w:cs="Arial"/>
                <w:color w:val="000000" w:themeColor="text1"/>
                <w:sz w:val="16"/>
                <w:szCs w:val="16"/>
                <w:lang w:val="es-ES_tradnl" w:eastAsia="es-ES"/>
              </w:rPr>
              <w:t xml:space="preserve">Gestor T1-15 de la Subdirección de Gestión Contractual  </w:t>
            </w:r>
          </w:p>
        </w:tc>
      </w:tr>
      <w:tr w:rsidR="00D13D0B" w:rsidRPr="00D13D0B" w14:paraId="392F202C" w14:textId="77777777" w:rsidTr="00271A52">
        <w:trPr>
          <w:trHeight w:val="300"/>
        </w:trPr>
        <w:tc>
          <w:tcPr>
            <w:tcW w:w="812" w:type="dxa"/>
            <w:vAlign w:val="center"/>
            <w:hideMark/>
          </w:tcPr>
          <w:p w14:paraId="3DFF9DB1" w14:textId="77777777" w:rsidR="00D13D0B" w:rsidRPr="00D13D0B" w:rsidRDefault="00D13D0B" w:rsidP="00D13D0B">
            <w:pPr>
              <w:spacing w:after="0" w:line="240" w:lineRule="auto"/>
              <w:rPr>
                <w:rFonts w:ascii="Arial" w:eastAsia="Calibri" w:hAnsi="Arial" w:cs="Arial"/>
                <w:sz w:val="16"/>
                <w:szCs w:val="16"/>
                <w:lang w:val="es-ES_tradnl" w:eastAsia="es-ES"/>
              </w:rPr>
            </w:pPr>
            <w:r w:rsidRPr="00D13D0B">
              <w:rPr>
                <w:rFonts w:ascii="Arial" w:eastAsia="Calibri"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12516A7E" w14:textId="77777777" w:rsidR="00D13D0B" w:rsidRPr="00D13D0B" w:rsidRDefault="00D13D0B" w:rsidP="00D13D0B">
            <w:pPr>
              <w:spacing w:after="0" w:line="240" w:lineRule="auto"/>
              <w:rPr>
                <w:rFonts w:ascii="Arial" w:eastAsia="Calibri" w:hAnsi="Arial" w:cs="Arial"/>
                <w:sz w:val="16"/>
                <w:szCs w:val="16"/>
                <w:lang w:val="pt-BR" w:eastAsia="es-ES"/>
              </w:rPr>
            </w:pPr>
            <w:r w:rsidRPr="00D13D0B">
              <w:rPr>
                <w:rFonts w:ascii="Arial" w:eastAsia="Calibri" w:hAnsi="Arial" w:cs="Arial"/>
                <w:sz w:val="16"/>
                <w:szCs w:val="16"/>
                <w:lang w:val="pt-BR" w:eastAsia="es-ES"/>
              </w:rPr>
              <w:t>Juan David Marín López</w:t>
            </w:r>
          </w:p>
          <w:p w14:paraId="586F196C" w14:textId="77777777" w:rsidR="00D13D0B" w:rsidRPr="00D13D0B" w:rsidRDefault="00D13D0B" w:rsidP="00D13D0B">
            <w:pPr>
              <w:spacing w:after="0" w:line="240" w:lineRule="auto"/>
              <w:rPr>
                <w:rFonts w:ascii="Arial" w:eastAsia="Calibri" w:hAnsi="Arial" w:cs="Arial"/>
                <w:sz w:val="16"/>
                <w:szCs w:val="16"/>
                <w:lang w:val="pt-BR" w:eastAsia="es-ES"/>
              </w:rPr>
            </w:pPr>
            <w:r w:rsidRPr="00D13D0B">
              <w:rPr>
                <w:rFonts w:ascii="Arial" w:eastAsia="Calibri" w:hAnsi="Arial" w:cs="Arial"/>
                <w:sz w:val="16"/>
                <w:szCs w:val="16"/>
                <w:lang w:val="pt-BR" w:eastAsia="es-ES"/>
              </w:rPr>
              <w:t>Subdirector de Gestión Contractual ANCP – CCE (E)</w:t>
            </w:r>
          </w:p>
        </w:tc>
      </w:tr>
    </w:tbl>
    <w:p w14:paraId="5FF20CF4" w14:textId="77777777" w:rsidR="00D13D0B" w:rsidRPr="00D13D0B" w:rsidRDefault="00D13D0B" w:rsidP="00D13D0B">
      <w:pPr>
        <w:spacing w:after="160" w:line="259" w:lineRule="auto"/>
        <w:rPr>
          <w:sz w:val="22"/>
        </w:rPr>
      </w:pPr>
    </w:p>
    <w:p w14:paraId="63E7C5BA" w14:textId="77777777" w:rsidR="00D13D0B" w:rsidRPr="00D13D0B" w:rsidRDefault="00D13D0B" w:rsidP="00D13D0B">
      <w:pPr>
        <w:spacing w:after="160" w:line="259" w:lineRule="auto"/>
        <w:rPr>
          <w:sz w:val="22"/>
        </w:rPr>
      </w:pPr>
    </w:p>
    <w:p w14:paraId="1A8BB3E3" w14:textId="77777777" w:rsidR="001D0AB2" w:rsidRDefault="001D0AB2" w:rsidP="00E31E7C">
      <w:pPr>
        <w:spacing w:after="0"/>
        <w:rPr>
          <w:rFonts w:ascii="Arial" w:eastAsia="Times New Roman" w:hAnsi="Arial" w:cs="Arial"/>
          <w:color w:val="4E4D4D"/>
          <w:sz w:val="22"/>
          <w:szCs w:val="24"/>
          <w:lang w:eastAsia="es-ES"/>
        </w:rPr>
      </w:pPr>
    </w:p>
    <w:sectPr w:rsidR="001D0AB2" w:rsidSect="00C734A4">
      <w:headerReference w:type="even" r:id="rId12"/>
      <w:headerReference w:type="default" r:id="rId13"/>
      <w:footerReference w:type="even" r:id="rId14"/>
      <w:footerReference w:type="default" r:id="rId15"/>
      <w:headerReference w:type="first" r:id="rId16"/>
      <w:footerReference w:type="first" r:id="rId17"/>
      <w:pgSz w:w="11906" w:h="16838" w:code="9"/>
      <w:pgMar w:top="1417" w:right="1701" w:bottom="1417" w:left="170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688E6" w14:textId="77777777" w:rsidR="00BC1946" w:rsidRDefault="00BC1946">
      <w:pPr>
        <w:spacing w:after="0" w:line="240" w:lineRule="auto"/>
      </w:pPr>
      <w:r>
        <w:separator/>
      </w:r>
    </w:p>
  </w:endnote>
  <w:endnote w:type="continuationSeparator" w:id="0">
    <w:p w14:paraId="5833404B" w14:textId="77777777" w:rsidR="00BC1946" w:rsidRDefault="00BC1946">
      <w:pPr>
        <w:spacing w:after="0" w:line="240" w:lineRule="auto"/>
      </w:pPr>
      <w:r>
        <w:continuationSeparator/>
      </w:r>
    </w:p>
  </w:endnote>
  <w:endnote w:type="continuationNotice" w:id="1">
    <w:p w14:paraId="5E69C522" w14:textId="77777777" w:rsidR="00BC1946" w:rsidRDefault="00BC19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Nova">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5A7AB" w14:textId="77777777" w:rsidR="00324DF1" w:rsidRDefault="00324DF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046C8" w14:textId="5BB8657B" w:rsidR="00C734A4" w:rsidRPr="001A35B9" w:rsidRDefault="00C734A4" w:rsidP="00C734A4">
    <w:pPr>
      <w:pStyle w:val="Piedepgina"/>
      <w:jc w:val="right"/>
      <w:rPr>
        <w:color w:val="7F7F7F" w:themeColor="text1" w:themeTint="80"/>
        <w:sz w:val="16"/>
        <w:szCs w:val="16"/>
      </w:rPr>
    </w:pPr>
  </w:p>
  <w:p w14:paraId="62182AD7" w14:textId="6B452CEF" w:rsidR="00C734A4" w:rsidRDefault="227F1E8B" w:rsidP="00C734A4">
    <w:pPr>
      <w:pStyle w:val="Piedepgina"/>
      <w:jc w:val="center"/>
    </w:pPr>
    <w:r>
      <w:rPr>
        <w:noProof/>
      </w:rPr>
      <w:drawing>
        <wp:inline distT="0" distB="0" distL="0" distR="0" wp14:anchorId="11EA9605" wp14:editId="24023BF5">
          <wp:extent cx="5400040" cy="757643"/>
          <wp:effectExtent l="0" t="0" r="0" b="444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pic:nvPicPr>
                <pic:blipFill>
                  <a:blip r:embed="rId1">
                    <a:extLst>
                      <a:ext uri="{28A0092B-C50C-407E-A947-70E740481C1C}">
                        <a14:useLocalDpi xmlns:a14="http://schemas.microsoft.com/office/drawing/2010/main" val="0"/>
                      </a:ext>
                    </a:extLst>
                  </a:blip>
                  <a:stretch>
                    <a:fillRect/>
                  </a:stretch>
                </pic:blipFill>
                <pic:spPr>
                  <a:xfrm>
                    <a:off x="0" y="0"/>
                    <a:ext cx="5400040" cy="757643"/>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418"/>
      <w:gridCol w:w="836"/>
      <w:gridCol w:w="1897"/>
      <w:gridCol w:w="694"/>
      <w:gridCol w:w="2454"/>
      <w:gridCol w:w="1334"/>
    </w:tblGrid>
    <w:tr w:rsidR="00A278E7" w:rsidRPr="00761634" w14:paraId="656BCD9D" w14:textId="77777777" w:rsidTr="00411765">
      <w:trPr>
        <w:trHeight w:val="229"/>
        <w:jc w:val="center"/>
      </w:trPr>
      <w:tc>
        <w:tcPr>
          <w:tcW w:w="866"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67ABBCA" w14:textId="77777777" w:rsidR="00A278E7" w:rsidRPr="004D6961" w:rsidRDefault="00A278E7" w:rsidP="00A278E7">
          <w:pPr>
            <w:pStyle w:val="Piedepgina"/>
            <w:jc w:val="center"/>
            <w:rPr>
              <w:sz w:val="18"/>
              <w:szCs w:val="18"/>
            </w:rPr>
          </w:pPr>
          <w:r w:rsidRPr="004D6961">
            <w:rPr>
              <w:sz w:val="18"/>
              <w:szCs w:val="18"/>
            </w:rPr>
            <w:t>Versión:</w:t>
          </w:r>
        </w:p>
      </w:tc>
      <w:tc>
        <w:tcPr>
          <w:tcW w:w="421"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D830B72" w14:textId="77777777" w:rsidR="00A278E7" w:rsidRPr="004D6961" w:rsidRDefault="00A278E7" w:rsidP="00A278E7">
          <w:pPr>
            <w:pStyle w:val="Piedepgina"/>
            <w:jc w:val="center"/>
            <w:rPr>
              <w:sz w:val="18"/>
              <w:szCs w:val="18"/>
            </w:rPr>
          </w:pPr>
          <w:r w:rsidRPr="004D6961">
            <w:rPr>
              <w:sz w:val="18"/>
              <w:szCs w:val="18"/>
            </w:rPr>
            <w:t>0</w:t>
          </w:r>
          <w:r>
            <w:rPr>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575B172A" w14:textId="77777777" w:rsidR="00A278E7" w:rsidRPr="004D6961" w:rsidRDefault="00A278E7" w:rsidP="00A278E7">
          <w:pPr>
            <w:pStyle w:val="Piedepgina"/>
            <w:jc w:val="center"/>
            <w:rPr>
              <w:sz w:val="18"/>
              <w:szCs w:val="18"/>
            </w:rPr>
          </w:pPr>
          <w:r w:rsidRPr="004D6961">
            <w:rPr>
              <w:sz w:val="18"/>
              <w:szCs w:val="18"/>
            </w:rPr>
            <w:t>Código:</w:t>
          </w:r>
        </w:p>
      </w:tc>
      <w:tc>
        <w:tcPr>
          <w:tcW w:w="207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5C947EBF" w14:textId="77777777" w:rsidR="00A278E7" w:rsidRPr="004D6961" w:rsidRDefault="00A278E7" w:rsidP="00A278E7">
          <w:pPr>
            <w:pStyle w:val="Encabezado"/>
            <w:tabs>
              <w:tab w:val="center" w:pos="5400"/>
            </w:tabs>
            <w:jc w:val="right"/>
            <w:rPr>
              <w:color w:val="404040" w:themeColor="text1" w:themeTint="BF"/>
              <w:sz w:val="18"/>
              <w:szCs w:val="18"/>
            </w:rPr>
          </w:pPr>
          <w:r w:rsidRPr="004D6961">
            <w:rPr>
              <w:color w:val="404040" w:themeColor="text1" w:themeTint="BF"/>
              <w:sz w:val="18"/>
              <w:szCs w:val="18"/>
            </w:rPr>
            <w:t>CCE-DES-FM-17</w:t>
          </w:r>
        </w:p>
      </w:tc>
      <w:tc>
        <w:tcPr>
          <w:tcW w:w="241"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7CF5315" w14:textId="77777777" w:rsidR="00A278E7" w:rsidRPr="004D6961" w:rsidRDefault="00A278E7" w:rsidP="00A278E7">
          <w:pPr>
            <w:pStyle w:val="Piedepgina"/>
            <w:jc w:val="center"/>
            <w:rPr>
              <w:sz w:val="18"/>
              <w:szCs w:val="18"/>
            </w:rPr>
          </w:pPr>
          <w:r w:rsidRPr="004D6961">
            <w:rPr>
              <w:sz w:val="18"/>
              <w:szCs w:val="18"/>
            </w:rPr>
            <w:t>Fecha:</w:t>
          </w:r>
        </w:p>
      </w:tc>
      <w:tc>
        <w:tcPr>
          <w:tcW w:w="264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7B32378" w14:textId="77777777" w:rsidR="00A278E7" w:rsidRPr="004D6961" w:rsidRDefault="00A278E7" w:rsidP="00A278E7">
          <w:pPr>
            <w:pStyle w:val="Piedepgina"/>
            <w:jc w:val="center"/>
            <w:rPr>
              <w:sz w:val="18"/>
              <w:szCs w:val="18"/>
            </w:rPr>
          </w:pPr>
          <w:r>
            <w:rPr>
              <w:sz w:val="18"/>
              <w:szCs w:val="18"/>
            </w:rPr>
            <w:t>03</w:t>
          </w:r>
          <w:r w:rsidRPr="004D6961">
            <w:rPr>
              <w:sz w:val="18"/>
              <w:szCs w:val="18"/>
            </w:rPr>
            <w:t xml:space="preserve"> de </w:t>
          </w:r>
          <w:r>
            <w:rPr>
              <w:sz w:val="18"/>
              <w:szCs w:val="18"/>
            </w:rPr>
            <w:t>noviembre</w:t>
          </w:r>
          <w:r w:rsidRPr="004D6961">
            <w:rPr>
              <w:sz w:val="18"/>
              <w:szCs w:val="18"/>
            </w:rPr>
            <w:t xml:space="preserve"> de 2021</w:t>
          </w:r>
        </w:p>
      </w:tc>
      <w:tc>
        <w:tcPr>
          <w:tcW w:w="1416"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E64A071" w14:textId="59F1D265" w:rsidR="00A278E7" w:rsidRPr="004D6961" w:rsidRDefault="00A278E7" w:rsidP="00A278E7">
          <w:pPr>
            <w:pStyle w:val="Piedepgina"/>
            <w:jc w:val="right"/>
            <w:rPr>
              <w:sz w:val="18"/>
              <w:szCs w:val="18"/>
            </w:rPr>
          </w:pPr>
          <w:r w:rsidRPr="004D6961">
            <w:rPr>
              <w:sz w:val="18"/>
              <w:szCs w:val="18"/>
            </w:rPr>
            <w:t xml:space="preserve">Página </w:t>
          </w:r>
          <w:r w:rsidRPr="004D6961">
            <w:rPr>
              <w:b/>
              <w:bCs/>
              <w:sz w:val="18"/>
              <w:szCs w:val="18"/>
            </w:rPr>
            <w:fldChar w:fldCharType="begin"/>
          </w:r>
          <w:r w:rsidRPr="004D6961">
            <w:rPr>
              <w:b/>
              <w:bCs/>
              <w:sz w:val="18"/>
              <w:szCs w:val="18"/>
            </w:rPr>
            <w:instrText>PAGE  \* Arabic  \* MERGEFORMAT</w:instrText>
          </w:r>
          <w:r w:rsidRPr="004D6961">
            <w:rPr>
              <w:b/>
              <w:bCs/>
              <w:sz w:val="18"/>
              <w:szCs w:val="18"/>
            </w:rPr>
            <w:fldChar w:fldCharType="separate"/>
          </w:r>
          <w:r w:rsidRPr="004D6961">
            <w:rPr>
              <w:b/>
              <w:bCs/>
              <w:sz w:val="18"/>
              <w:szCs w:val="18"/>
            </w:rPr>
            <w:t>1</w:t>
          </w:r>
          <w:r w:rsidRPr="004D6961">
            <w:rPr>
              <w:b/>
              <w:bCs/>
              <w:sz w:val="18"/>
              <w:szCs w:val="18"/>
            </w:rPr>
            <w:fldChar w:fldCharType="end"/>
          </w:r>
          <w:r w:rsidRPr="004D6961">
            <w:rPr>
              <w:sz w:val="18"/>
              <w:szCs w:val="18"/>
            </w:rPr>
            <w:t xml:space="preserve"> de </w:t>
          </w:r>
          <w:r>
            <w:rPr>
              <w:b/>
              <w:bCs/>
              <w:sz w:val="18"/>
              <w:szCs w:val="18"/>
            </w:rPr>
            <w:t>1</w:t>
          </w:r>
        </w:p>
      </w:tc>
    </w:tr>
  </w:tbl>
  <w:p w14:paraId="57D9CBFA" w14:textId="77777777" w:rsidR="00A278E7" w:rsidRDefault="00A278E7" w:rsidP="00C734A4">
    <w:pPr>
      <w:pStyle w:val="Piedepgin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69803" w14:textId="77777777" w:rsidR="00C734A4" w:rsidRDefault="227F1E8B" w:rsidP="00C734A4">
    <w:pPr>
      <w:pStyle w:val="Piedepgina"/>
      <w:jc w:val="center"/>
    </w:pPr>
    <w:r>
      <w:rPr>
        <w:noProof/>
      </w:rPr>
      <w:drawing>
        <wp:inline distT="0" distB="0" distL="0" distR="0" wp14:anchorId="200708FF" wp14:editId="0116056F">
          <wp:extent cx="1562642" cy="365821"/>
          <wp:effectExtent l="0" t="0" r="0" b="0"/>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
                    <a:extLst>
                      <a:ext uri="{28A0092B-C50C-407E-A947-70E740481C1C}">
                        <a14:useLocalDpi xmlns:a14="http://schemas.microsoft.com/office/drawing/2010/main" val="0"/>
                      </a:ext>
                    </a:extLst>
                  </a:blip>
                  <a:stretch>
                    <a:fillRect/>
                  </a:stretch>
                </pic:blipFill>
                <pic:spPr>
                  <a:xfrm>
                    <a:off x="0" y="0"/>
                    <a:ext cx="1562642" cy="365821"/>
                  </a:xfrm>
                  <a:prstGeom prst="rect">
                    <a:avLst/>
                  </a:prstGeom>
                </pic:spPr>
              </pic:pic>
            </a:graphicData>
          </a:graphic>
        </wp:inline>
      </w:drawing>
    </w:r>
  </w:p>
  <w:p w14:paraId="3BA2720C" w14:textId="77777777" w:rsidR="00C734A4" w:rsidRPr="009A67BC" w:rsidRDefault="227F1E8B" w:rsidP="00C734A4">
    <w:pPr>
      <w:pStyle w:val="Piedepgina"/>
    </w:pPr>
    <w:r>
      <w:rPr>
        <w:noProof/>
      </w:rPr>
      <w:drawing>
        <wp:inline distT="0" distB="0" distL="0" distR="0" wp14:anchorId="5E3D0037" wp14:editId="6E154846">
          <wp:extent cx="5607050" cy="362585"/>
          <wp:effectExtent l="0" t="0" r="635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2">
                    <a:extLst>
                      <a:ext uri="{28A0092B-C50C-407E-A947-70E740481C1C}">
                        <a14:useLocalDpi xmlns:a14="http://schemas.microsoft.com/office/drawing/2010/main" val="0"/>
                      </a:ext>
                    </a:extLst>
                  </a:blip>
                  <a:stretch>
                    <a:fillRect/>
                  </a:stretch>
                </pic:blipFill>
                <pic:spPr>
                  <a:xfrm>
                    <a:off x="0" y="0"/>
                    <a:ext cx="5607050" cy="36258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5D4DA" w14:textId="77777777" w:rsidR="00BC1946" w:rsidRDefault="00BC1946">
      <w:pPr>
        <w:spacing w:after="0" w:line="240" w:lineRule="auto"/>
      </w:pPr>
      <w:r>
        <w:separator/>
      </w:r>
    </w:p>
  </w:footnote>
  <w:footnote w:type="continuationSeparator" w:id="0">
    <w:p w14:paraId="209C22B2" w14:textId="77777777" w:rsidR="00BC1946" w:rsidRDefault="00BC1946">
      <w:pPr>
        <w:spacing w:after="0" w:line="240" w:lineRule="auto"/>
      </w:pPr>
      <w:r>
        <w:continuationSeparator/>
      </w:r>
    </w:p>
  </w:footnote>
  <w:footnote w:type="continuationNotice" w:id="1">
    <w:p w14:paraId="118F8361" w14:textId="77777777" w:rsidR="00BC1946" w:rsidRDefault="00BC1946">
      <w:pPr>
        <w:spacing w:after="0" w:line="240" w:lineRule="auto"/>
      </w:pPr>
    </w:p>
  </w:footnote>
  <w:footnote w:id="2">
    <w:p w14:paraId="172A11FA" w14:textId="77777777" w:rsidR="00D13D0B" w:rsidRPr="00C2278F" w:rsidRDefault="00D13D0B" w:rsidP="00D13D0B">
      <w:pPr>
        <w:pStyle w:val="Textonotapie"/>
        <w:ind w:firstLine="709"/>
        <w:jc w:val="both"/>
        <w:rPr>
          <w:rFonts w:ascii="Arial" w:hAnsi="Arial" w:cs="Arial"/>
          <w:sz w:val="19"/>
          <w:szCs w:val="19"/>
        </w:rPr>
      </w:pPr>
      <w:r w:rsidRPr="00C2278F">
        <w:rPr>
          <w:rStyle w:val="Refdenotaalpie"/>
          <w:rFonts w:ascii="Arial" w:hAnsi="Arial" w:cs="Arial"/>
          <w:sz w:val="19"/>
          <w:szCs w:val="19"/>
        </w:rPr>
        <w:footnoteRef/>
      </w:r>
      <w:r w:rsidRPr="00C2278F">
        <w:rPr>
          <w:rFonts w:ascii="Arial" w:hAnsi="Arial" w:cs="Arial"/>
          <w:sz w:val="19"/>
          <w:szCs w:val="19"/>
        </w:rPr>
        <w:t xml:space="preserve"> </w:t>
      </w:r>
      <w:r w:rsidRPr="00C2278F">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footnote>
  <w:footnote w:id="3">
    <w:p w14:paraId="44006C6D" w14:textId="77777777" w:rsidR="00D13D0B" w:rsidRPr="00C2278F" w:rsidRDefault="00D13D0B" w:rsidP="00D13D0B">
      <w:pPr>
        <w:pStyle w:val="Textonotapie"/>
        <w:ind w:firstLine="708"/>
        <w:jc w:val="both"/>
        <w:rPr>
          <w:rFonts w:ascii="Arial" w:hAnsi="Arial" w:cs="Arial"/>
          <w:sz w:val="19"/>
          <w:szCs w:val="19"/>
        </w:rPr>
      </w:pPr>
      <w:r w:rsidRPr="00C2278F">
        <w:rPr>
          <w:rStyle w:val="Refdenotaalpie"/>
          <w:rFonts w:ascii="Arial" w:hAnsi="Arial" w:cs="Arial"/>
          <w:sz w:val="19"/>
          <w:szCs w:val="19"/>
        </w:rPr>
        <w:footnoteRef/>
      </w:r>
      <w:r w:rsidRPr="00C2278F">
        <w:rPr>
          <w:rFonts w:ascii="Arial" w:hAnsi="Arial" w:cs="Arial"/>
          <w:sz w:val="19"/>
          <w:szCs w:val="19"/>
        </w:rPr>
        <w:t xml:space="preserve"> El artículo 1 de la Ley 2022 de 2020 modifica el artículo 4 de la Ley 1882 de 2018, el cual adicionó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F4C6BCF" w14:textId="77777777" w:rsidR="00D13D0B" w:rsidRPr="00C2278F" w:rsidRDefault="00D13D0B" w:rsidP="00D13D0B">
      <w:pPr>
        <w:pStyle w:val="Textonotapie"/>
        <w:ind w:firstLine="708"/>
        <w:jc w:val="both"/>
        <w:rPr>
          <w:rFonts w:ascii="Arial" w:hAnsi="Arial" w:cs="Arial"/>
          <w:sz w:val="19"/>
          <w:szCs w:val="19"/>
        </w:rPr>
      </w:pPr>
      <w:r w:rsidRPr="00C2278F">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1D0D8B7" w14:textId="77777777" w:rsidR="00D13D0B" w:rsidRPr="00C2278F" w:rsidRDefault="00D13D0B" w:rsidP="00D13D0B">
      <w:pPr>
        <w:pStyle w:val="Textonotapie"/>
        <w:ind w:firstLine="708"/>
        <w:jc w:val="both"/>
        <w:rPr>
          <w:rFonts w:ascii="Arial" w:hAnsi="Arial" w:cs="Arial"/>
          <w:sz w:val="19"/>
          <w:szCs w:val="19"/>
        </w:rPr>
      </w:pPr>
      <w:r w:rsidRPr="00C2278F">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1416A945" w14:textId="77777777" w:rsidR="00D13D0B" w:rsidRPr="00C2278F" w:rsidRDefault="00D13D0B" w:rsidP="00D13D0B">
      <w:pPr>
        <w:pStyle w:val="Textonotapie"/>
        <w:ind w:firstLine="708"/>
        <w:jc w:val="both"/>
        <w:rPr>
          <w:rFonts w:ascii="Arial" w:hAnsi="Arial" w:cs="Arial"/>
          <w:sz w:val="19"/>
          <w:szCs w:val="19"/>
        </w:rPr>
      </w:pPr>
      <w:r w:rsidRPr="00C2278F">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446865CD" w14:textId="77777777" w:rsidR="00D13D0B" w:rsidRPr="00C2278F" w:rsidRDefault="00D13D0B" w:rsidP="00D13D0B">
      <w:pPr>
        <w:pStyle w:val="Textonotapie"/>
        <w:ind w:firstLine="708"/>
        <w:jc w:val="both"/>
        <w:rPr>
          <w:rFonts w:ascii="Arial" w:hAnsi="Arial" w:cs="Arial"/>
          <w:sz w:val="19"/>
          <w:szCs w:val="19"/>
          <w:lang w:val="es-ES"/>
        </w:rPr>
      </w:pPr>
      <w:r w:rsidRPr="00C2278F">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4">
    <w:p w14:paraId="741649FA" w14:textId="77777777" w:rsidR="00D13D0B" w:rsidRPr="00C2278F" w:rsidRDefault="00D13D0B" w:rsidP="00D13D0B">
      <w:pPr>
        <w:pStyle w:val="Textonotapie"/>
        <w:ind w:firstLine="708"/>
        <w:jc w:val="both"/>
        <w:rPr>
          <w:rFonts w:ascii="Arial" w:hAnsi="Arial" w:cs="Arial"/>
          <w:sz w:val="19"/>
          <w:szCs w:val="19"/>
          <w:lang w:val="es-ES"/>
        </w:rPr>
      </w:pPr>
      <w:r w:rsidRPr="00C2278F">
        <w:rPr>
          <w:rStyle w:val="Refdenotaalpie"/>
          <w:rFonts w:ascii="Arial" w:hAnsi="Arial" w:cs="Arial"/>
          <w:sz w:val="19"/>
          <w:szCs w:val="19"/>
        </w:rPr>
        <w:footnoteRef/>
      </w:r>
      <w:r w:rsidRPr="00C2278F">
        <w:rPr>
          <w:rFonts w:ascii="Arial" w:hAnsi="Arial" w:cs="Arial"/>
          <w:sz w:val="19"/>
          <w:szCs w:val="19"/>
        </w:rPr>
        <w:t xml:space="preserve"> Código: CCE-EICP-GI-14. Versión 1</w:t>
      </w:r>
    </w:p>
  </w:footnote>
  <w:footnote w:id="5">
    <w:p w14:paraId="1620FA3A" w14:textId="77777777" w:rsidR="00D13D0B" w:rsidRPr="00F83716" w:rsidRDefault="00D13D0B" w:rsidP="00D13D0B">
      <w:pPr>
        <w:pStyle w:val="Textonotapie"/>
        <w:ind w:firstLine="708"/>
        <w:jc w:val="both"/>
        <w:rPr>
          <w:rFonts w:ascii="Arial" w:hAnsi="Arial" w:cs="Arial"/>
          <w:sz w:val="19"/>
          <w:szCs w:val="19"/>
          <w:lang w:val="es-CO"/>
        </w:rPr>
      </w:pPr>
      <w:r w:rsidRPr="00C2278F">
        <w:rPr>
          <w:rStyle w:val="Refdenotaalpie"/>
          <w:rFonts w:ascii="Arial" w:hAnsi="Arial" w:cs="Arial"/>
          <w:sz w:val="19"/>
          <w:szCs w:val="19"/>
        </w:rPr>
        <w:footnoteRef/>
      </w:r>
      <w:r w:rsidRPr="00C2278F">
        <w:rPr>
          <w:rFonts w:ascii="Arial" w:hAnsi="Arial" w:cs="Arial"/>
          <w:sz w:val="19"/>
          <w:szCs w:val="19"/>
        </w:rPr>
        <w:t xml:space="preserve"> </w:t>
      </w:r>
      <w:r w:rsidRPr="00F83716">
        <w:rPr>
          <w:rFonts w:ascii="Arial" w:hAnsi="Arial" w:cs="Arial"/>
          <w:sz w:val="19"/>
          <w:szCs w:val="19"/>
        </w:rPr>
        <w:t xml:space="preserve">Estos parámetros se encuentran dispuestos </w:t>
      </w:r>
      <w:r w:rsidRPr="00C2278F">
        <w:rPr>
          <w:rFonts w:ascii="Arial" w:hAnsi="Arial" w:cs="Arial"/>
          <w:sz w:val="19"/>
          <w:szCs w:val="19"/>
        </w:rPr>
        <w:t xml:space="preserve">de forma gráfica </w:t>
      </w:r>
      <w:r w:rsidRPr="00F83716">
        <w:rPr>
          <w:rFonts w:ascii="Arial" w:hAnsi="Arial" w:cs="Arial"/>
          <w:sz w:val="19"/>
          <w:szCs w:val="19"/>
        </w:rPr>
        <w:t xml:space="preserve">en </w:t>
      </w:r>
      <w:r w:rsidRPr="00C2278F">
        <w:rPr>
          <w:rFonts w:ascii="Arial" w:hAnsi="Arial" w:cs="Arial"/>
          <w:sz w:val="19"/>
          <w:szCs w:val="19"/>
          <w:lang w:val="es-CO"/>
        </w:rPr>
        <w:t>l</w:t>
      </w:r>
      <w:r w:rsidRPr="00F83716">
        <w:rPr>
          <w:rFonts w:ascii="Arial" w:hAnsi="Arial" w:cs="Arial"/>
          <w:sz w:val="19"/>
          <w:szCs w:val="19"/>
          <w:lang w:val="es-CO"/>
        </w:rPr>
        <w:t xml:space="preserve">a segunda página “Interpretación de la matriz 1 – experiencia” de cada una de las Matrices de experiencia adoptadas mediante las </w:t>
      </w:r>
      <w:r w:rsidRPr="00F83716">
        <w:rPr>
          <w:rFonts w:ascii="Arial" w:eastAsia="Times New Roman" w:hAnsi="Arial" w:cs="Arial"/>
          <w:sz w:val="19"/>
          <w:szCs w:val="19"/>
          <w:lang w:val="es-ES" w:eastAsia="en-GB"/>
        </w:rPr>
        <w:t>Resoluciones Nos. 220, 392 y 454 del 2021</w:t>
      </w:r>
      <w:r w:rsidRPr="00C2278F">
        <w:rPr>
          <w:rFonts w:ascii="Arial" w:eastAsia="Times New Roman" w:hAnsi="Arial" w:cs="Arial"/>
          <w:sz w:val="19"/>
          <w:szCs w:val="19"/>
          <w:lang w:val="es-ES" w:eastAsia="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5DE6F" w14:textId="77777777" w:rsidR="00324DF1" w:rsidRDefault="00324DF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6719E" w14:textId="1B36A60C" w:rsidR="00A278E7" w:rsidRDefault="00A278E7">
    <w:pPr>
      <w:pStyle w:val="Encabezado"/>
    </w:pPr>
    <w:r>
      <w:rPr>
        <w:noProof/>
      </w:rPr>
      <w:drawing>
        <wp:anchor distT="0" distB="0" distL="114300" distR="114300" simplePos="0" relativeHeight="251658240" behindDoc="0" locked="0" layoutInCell="1" allowOverlap="1" wp14:anchorId="5C1F6C64" wp14:editId="512586F8">
          <wp:simplePos x="0" y="0"/>
          <wp:positionH relativeFrom="column">
            <wp:posOffset>2357054</wp:posOffset>
          </wp:positionH>
          <wp:positionV relativeFrom="paragraph">
            <wp:posOffset>-356870</wp:posOffset>
          </wp:positionV>
          <wp:extent cx="3157855" cy="713105"/>
          <wp:effectExtent l="0" t="0" r="444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71310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0692F" w14:textId="77777777" w:rsidR="00C734A4" w:rsidRDefault="00C6679A" w:rsidP="00C734A4">
    <w:pPr>
      <w:pStyle w:val="Encabezado"/>
      <w:jc w:val="right"/>
      <w:rPr>
        <w:b/>
      </w:rPr>
    </w:pPr>
    <w:r>
      <w:rPr>
        <w:noProof/>
        <w:lang w:val="es-419" w:eastAsia="es-419"/>
      </w:rPr>
      <w:drawing>
        <wp:inline distT="0" distB="0" distL="0" distR="0" wp14:anchorId="19EF1C70" wp14:editId="0522B85A">
          <wp:extent cx="1500803" cy="616644"/>
          <wp:effectExtent l="0" t="0" r="4445"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500803" cy="616644"/>
                  </a:xfrm>
                  <a:prstGeom prst="rect">
                    <a:avLst/>
                  </a:prstGeom>
                  <a:ln>
                    <a:noFill/>
                  </a:ln>
                  <a:extLst>
                    <a:ext uri="{53640926-AAD7-44D8-BBD7-CCE9431645EC}">
                      <a14:shadowObscured xmlns:a14="http://schemas.microsoft.com/office/drawing/2010/main"/>
                    </a:ext>
                  </a:extLst>
                </pic:spPr>
              </pic:pic>
            </a:graphicData>
          </a:graphic>
        </wp:inline>
      </w:drawing>
    </w:r>
  </w:p>
  <w:p w14:paraId="16902B7C" w14:textId="77777777" w:rsidR="00C734A4" w:rsidRPr="006D761F" w:rsidRDefault="00C6679A" w:rsidP="00C734A4">
    <w:pPr>
      <w:pStyle w:val="Ttulo1"/>
      <w:rPr>
        <w:sz w:val="24"/>
        <w:szCs w:val="24"/>
      </w:rPr>
    </w:pPr>
    <w:r w:rsidRPr="006D761F">
      <w:rPr>
        <w:sz w:val="24"/>
        <w:szCs w:val="24"/>
      </w:rPr>
      <w:t>TÍTULO DEL DOCUMENTO</w:t>
    </w:r>
  </w:p>
  <w:p w14:paraId="33E0EDBE" w14:textId="77777777" w:rsidR="00C734A4" w:rsidRPr="00B30435" w:rsidRDefault="00C6679A" w:rsidP="00C734A4">
    <w:pPr>
      <w:rPr>
        <w:color w:val="E7E6E6" w:themeColor="background2"/>
      </w:rPr>
    </w:pPr>
    <w:r w:rsidRPr="006D761F">
      <w:rPr>
        <w:color w:val="E7E6E6" w:themeColor="background2"/>
      </w:rPr>
      <w:t>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29401084">
    <w:abstractNumId w:val="1"/>
  </w:num>
  <w:num w:numId="2" w16cid:durableId="1607814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79A"/>
    <w:rsid w:val="0005292D"/>
    <w:rsid w:val="000B5EE9"/>
    <w:rsid w:val="0012206D"/>
    <w:rsid w:val="001A778B"/>
    <w:rsid w:val="001D0AB2"/>
    <w:rsid w:val="001E7DC5"/>
    <w:rsid w:val="00280935"/>
    <w:rsid w:val="002C3E3D"/>
    <w:rsid w:val="002E2A7B"/>
    <w:rsid w:val="00324DF1"/>
    <w:rsid w:val="00375C99"/>
    <w:rsid w:val="003C0A57"/>
    <w:rsid w:val="003C2DC7"/>
    <w:rsid w:val="003C779C"/>
    <w:rsid w:val="00402F91"/>
    <w:rsid w:val="00413CBA"/>
    <w:rsid w:val="004A5A0D"/>
    <w:rsid w:val="00550D7E"/>
    <w:rsid w:val="00570827"/>
    <w:rsid w:val="005B1AFC"/>
    <w:rsid w:val="005B7BD3"/>
    <w:rsid w:val="00623866"/>
    <w:rsid w:val="00633D52"/>
    <w:rsid w:val="006C3A3A"/>
    <w:rsid w:val="006F778C"/>
    <w:rsid w:val="007132F8"/>
    <w:rsid w:val="00720DD0"/>
    <w:rsid w:val="0072471B"/>
    <w:rsid w:val="008364BD"/>
    <w:rsid w:val="00874EDF"/>
    <w:rsid w:val="008C19FE"/>
    <w:rsid w:val="008F0885"/>
    <w:rsid w:val="008F2D10"/>
    <w:rsid w:val="009814A6"/>
    <w:rsid w:val="009C2D0F"/>
    <w:rsid w:val="00A278E7"/>
    <w:rsid w:val="00A62C3D"/>
    <w:rsid w:val="00A96C5D"/>
    <w:rsid w:val="00AF6407"/>
    <w:rsid w:val="00B056B0"/>
    <w:rsid w:val="00B55159"/>
    <w:rsid w:val="00B74F36"/>
    <w:rsid w:val="00B75EE4"/>
    <w:rsid w:val="00BC1946"/>
    <w:rsid w:val="00BC4B21"/>
    <w:rsid w:val="00BD13E4"/>
    <w:rsid w:val="00C07C2C"/>
    <w:rsid w:val="00C3194D"/>
    <w:rsid w:val="00C6679A"/>
    <w:rsid w:val="00C734A4"/>
    <w:rsid w:val="00CD0E87"/>
    <w:rsid w:val="00D13D0B"/>
    <w:rsid w:val="00D5539D"/>
    <w:rsid w:val="00D6004C"/>
    <w:rsid w:val="00D73C62"/>
    <w:rsid w:val="00DB6853"/>
    <w:rsid w:val="00E31E7C"/>
    <w:rsid w:val="00E36E86"/>
    <w:rsid w:val="00E70829"/>
    <w:rsid w:val="00ED16F0"/>
    <w:rsid w:val="00FD14CF"/>
    <w:rsid w:val="077B4AF0"/>
    <w:rsid w:val="1658FFDC"/>
    <w:rsid w:val="21E1E5B4"/>
    <w:rsid w:val="227F1E8B"/>
    <w:rsid w:val="35CADC15"/>
    <w:rsid w:val="3A2BF20F"/>
    <w:rsid w:val="51BF09E0"/>
    <w:rsid w:val="78796788"/>
    <w:rsid w:val="7BA7EA47"/>
    <w:rsid w:val="7E5E14B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0381F"/>
  <w15:chartTrackingRefBased/>
  <w15:docId w15:val="{044861D1-EB9F-4CB2-9902-98FAB9EE5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79A"/>
    <w:pPr>
      <w:spacing w:after="200" w:line="276" w:lineRule="auto"/>
    </w:pPr>
    <w:rPr>
      <w:sz w:val="20"/>
    </w:rPr>
  </w:style>
  <w:style w:type="paragraph" w:styleId="Ttulo1">
    <w:name w:val="heading 1"/>
    <w:aliases w:val="Titulo 1 CCE"/>
    <w:basedOn w:val="Normal"/>
    <w:next w:val="Normal"/>
    <w:link w:val="Ttulo1Car"/>
    <w:uiPriority w:val="9"/>
    <w:qFormat/>
    <w:rsid w:val="00C6679A"/>
    <w:pPr>
      <w:keepNext/>
      <w:keepLines/>
      <w:spacing w:before="480" w:after="0"/>
      <w:jc w:val="both"/>
      <w:outlineLvl w:val="0"/>
    </w:pPr>
    <w:rPr>
      <w:rFonts w:asciiTheme="majorHAnsi" w:eastAsiaTheme="majorEastAsia" w:hAnsiTheme="majorHAnsi" w:cstheme="majorBidi"/>
      <w:b/>
      <w:bCs/>
      <w:color w:val="E7E6E6" w:themeColor="background2"/>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itulo 1 CCE Car"/>
    <w:basedOn w:val="Fuentedeprrafopredeter"/>
    <w:link w:val="Ttulo1"/>
    <w:uiPriority w:val="9"/>
    <w:rsid w:val="00C6679A"/>
    <w:rPr>
      <w:rFonts w:asciiTheme="majorHAnsi" w:eastAsiaTheme="majorEastAsia" w:hAnsiTheme="majorHAnsi" w:cstheme="majorBidi"/>
      <w:b/>
      <w:bCs/>
      <w:color w:val="E7E6E6" w:themeColor="background2"/>
      <w:sz w:val="20"/>
      <w:szCs w:val="28"/>
    </w:rPr>
  </w:style>
  <w:style w:type="paragraph" w:styleId="Encabezado">
    <w:name w:val="header"/>
    <w:basedOn w:val="Normal"/>
    <w:link w:val="EncabezadoCar"/>
    <w:uiPriority w:val="99"/>
    <w:unhideWhenUsed/>
    <w:rsid w:val="00C6679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6679A"/>
    <w:rPr>
      <w:sz w:val="20"/>
    </w:rPr>
  </w:style>
  <w:style w:type="paragraph" w:styleId="Piedepgina">
    <w:name w:val="footer"/>
    <w:basedOn w:val="Normal"/>
    <w:link w:val="PiedepginaCar"/>
    <w:uiPriority w:val="99"/>
    <w:unhideWhenUsed/>
    <w:rsid w:val="00C6679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6679A"/>
    <w:rPr>
      <w:sz w:val="20"/>
    </w:rPr>
  </w:style>
  <w:style w:type="paragraph" w:styleId="Prrafodelista">
    <w:name w:val="List Paragraph"/>
    <w:basedOn w:val="Normal"/>
    <w:uiPriority w:val="34"/>
    <w:qFormat/>
    <w:rsid w:val="00C6679A"/>
    <w:pPr>
      <w:spacing w:after="160" w:line="259" w:lineRule="auto"/>
      <w:ind w:left="720"/>
      <w:contextualSpacing/>
    </w:pPr>
    <w:rPr>
      <w:rFonts w:ascii="Arial Nova" w:hAnsi="Arial Nova"/>
      <w:sz w:val="22"/>
      <w:lang w:val="es-ES"/>
    </w:rPr>
  </w:style>
  <w:style w:type="table" w:styleId="Tablaconcuadrcula">
    <w:name w:val="Table Grid"/>
    <w:basedOn w:val="Tablanormal"/>
    <w:uiPriority w:val="39"/>
    <w:qFormat/>
    <w:rsid w:val="00C6679A"/>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9C2D0F"/>
    <w:rPr>
      <w:sz w:val="16"/>
      <w:szCs w:val="16"/>
    </w:rPr>
  </w:style>
  <w:style w:type="paragraph" w:styleId="Textocomentario">
    <w:name w:val="annotation text"/>
    <w:basedOn w:val="Normal"/>
    <w:link w:val="TextocomentarioCar"/>
    <w:uiPriority w:val="99"/>
    <w:semiHidden/>
    <w:unhideWhenUsed/>
    <w:rsid w:val="009C2D0F"/>
    <w:pPr>
      <w:spacing w:line="240" w:lineRule="auto"/>
    </w:pPr>
    <w:rPr>
      <w:szCs w:val="20"/>
    </w:rPr>
  </w:style>
  <w:style w:type="character" w:customStyle="1" w:styleId="TextocomentarioCar">
    <w:name w:val="Texto comentario Car"/>
    <w:basedOn w:val="Fuentedeprrafopredeter"/>
    <w:link w:val="Textocomentario"/>
    <w:uiPriority w:val="99"/>
    <w:semiHidden/>
    <w:rsid w:val="009C2D0F"/>
    <w:rPr>
      <w:sz w:val="20"/>
      <w:szCs w:val="20"/>
    </w:rPr>
  </w:style>
  <w:style w:type="paragraph" w:styleId="Asuntodelcomentario">
    <w:name w:val="annotation subject"/>
    <w:basedOn w:val="Textocomentario"/>
    <w:next w:val="Textocomentario"/>
    <w:link w:val="AsuntodelcomentarioCar"/>
    <w:uiPriority w:val="99"/>
    <w:semiHidden/>
    <w:unhideWhenUsed/>
    <w:rsid w:val="009C2D0F"/>
    <w:rPr>
      <w:b/>
      <w:bCs/>
    </w:rPr>
  </w:style>
  <w:style w:type="character" w:customStyle="1" w:styleId="AsuntodelcomentarioCar">
    <w:name w:val="Asunto del comentario Car"/>
    <w:basedOn w:val="TextocomentarioCar"/>
    <w:link w:val="Asuntodelcomentario"/>
    <w:uiPriority w:val="99"/>
    <w:semiHidden/>
    <w:rsid w:val="009C2D0F"/>
    <w:rPr>
      <w:b/>
      <w:bCs/>
      <w:sz w:val="20"/>
      <w:szCs w:val="20"/>
    </w:rPr>
  </w:style>
  <w:style w:type="paragraph" w:styleId="Textodeglobo">
    <w:name w:val="Balloon Text"/>
    <w:basedOn w:val="Normal"/>
    <w:link w:val="TextodegloboCar"/>
    <w:uiPriority w:val="99"/>
    <w:semiHidden/>
    <w:unhideWhenUsed/>
    <w:rsid w:val="009C2D0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C2D0F"/>
    <w:rPr>
      <w:rFonts w:ascii="Segoe UI" w:hAnsi="Segoe UI" w:cs="Segoe UI"/>
      <w:sz w:val="18"/>
      <w:szCs w:val="18"/>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E31E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E31E7C"/>
    <w:pPr>
      <w:spacing w:after="0" w:line="240" w:lineRule="auto"/>
    </w:pPr>
    <w:rPr>
      <w:szCs w:val="20"/>
      <w:lang w:val="es-MX"/>
    </w:rPr>
  </w:style>
  <w:style w:type="character" w:customStyle="1" w:styleId="TextonotapieCar1">
    <w:name w:val="Texto nota pie Car1"/>
    <w:basedOn w:val="Fuentedeprrafopredeter"/>
    <w:uiPriority w:val="99"/>
    <w:semiHidden/>
    <w:rsid w:val="00E31E7C"/>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E31E7C"/>
    <w:rPr>
      <w:vertAlign w:val="superscript"/>
    </w:rPr>
  </w:style>
  <w:style w:type="paragraph" w:customStyle="1" w:styleId="Appelnotedebasde">
    <w:name w:val="Appel note de bas de..."/>
    <w:basedOn w:val="Normal"/>
    <w:link w:val="Refdenotaalpie"/>
    <w:uiPriority w:val="99"/>
    <w:rsid w:val="00E31E7C"/>
    <w:pPr>
      <w:spacing w:after="160" w:line="240" w:lineRule="exact"/>
    </w:pPr>
    <w:rPr>
      <w:sz w:val="22"/>
      <w:vertAlign w:val="superscript"/>
    </w:rPr>
  </w:style>
  <w:style w:type="table" w:customStyle="1" w:styleId="Tablaconcuadrcula1">
    <w:name w:val="Tabla con cuadrícula1"/>
    <w:basedOn w:val="Tablanormal"/>
    <w:next w:val="Tablaconcuadrcula"/>
    <w:uiPriority w:val="39"/>
    <w:rsid w:val="00E31E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495627">
      <w:bodyDiv w:val="1"/>
      <w:marLeft w:val="0"/>
      <w:marRight w:val="0"/>
      <w:marTop w:val="0"/>
      <w:marBottom w:val="0"/>
      <w:divBdr>
        <w:top w:val="none" w:sz="0" w:space="0" w:color="auto"/>
        <w:left w:val="none" w:sz="0" w:space="0" w:color="auto"/>
        <w:bottom w:val="none" w:sz="0" w:space="0" w:color="auto"/>
        <w:right w:val="none" w:sz="0" w:space="0" w:color="auto"/>
      </w:divBdr>
    </w:div>
    <w:div w:id="342051916">
      <w:bodyDiv w:val="1"/>
      <w:marLeft w:val="0"/>
      <w:marRight w:val="0"/>
      <w:marTop w:val="0"/>
      <w:marBottom w:val="0"/>
      <w:divBdr>
        <w:top w:val="none" w:sz="0" w:space="0" w:color="auto"/>
        <w:left w:val="none" w:sz="0" w:space="0" w:color="auto"/>
        <w:bottom w:val="none" w:sz="0" w:space="0" w:color="auto"/>
        <w:right w:val="none" w:sz="0" w:space="0" w:color="auto"/>
      </w:divBdr>
    </w:div>
    <w:div w:id="467283809">
      <w:bodyDiv w:val="1"/>
      <w:marLeft w:val="0"/>
      <w:marRight w:val="0"/>
      <w:marTop w:val="0"/>
      <w:marBottom w:val="0"/>
      <w:divBdr>
        <w:top w:val="none" w:sz="0" w:space="0" w:color="auto"/>
        <w:left w:val="none" w:sz="0" w:space="0" w:color="auto"/>
        <w:bottom w:val="none" w:sz="0" w:space="0" w:color="auto"/>
        <w:right w:val="none" w:sz="0" w:space="0" w:color="auto"/>
      </w:divBdr>
    </w:div>
    <w:div w:id="560482300">
      <w:bodyDiv w:val="1"/>
      <w:marLeft w:val="0"/>
      <w:marRight w:val="0"/>
      <w:marTop w:val="0"/>
      <w:marBottom w:val="0"/>
      <w:divBdr>
        <w:top w:val="none" w:sz="0" w:space="0" w:color="auto"/>
        <w:left w:val="none" w:sz="0" w:space="0" w:color="auto"/>
        <w:bottom w:val="none" w:sz="0" w:space="0" w:color="auto"/>
        <w:right w:val="none" w:sz="0" w:space="0" w:color="auto"/>
      </w:divBdr>
    </w:div>
    <w:div w:id="873688520">
      <w:bodyDiv w:val="1"/>
      <w:marLeft w:val="0"/>
      <w:marRight w:val="0"/>
      <w:marTop w:val="0"/>
      <w:marBottom w:val="0"/>
      <w:divBdr>
        <w:top w:val="none" w:sz="0" w:space="0" w:color="auto"/>
        <w:left w:val="none" w:sz="0" w:space="0" w:color="auto"/>
        <w:bottom w:val="none" w:sz="0" w:space="0" w:color="auto"/>
        <w:right w:val="none" w:sz="0" w:space="0" w:color="auto"/>
      </w:divBdr>
    </w:div>
    <w:div w:id="892891451">
      <w:bodyDiv w:val="1"/>
      <w:marLeft w:val="0"/>
      <w:marRight w:val="0"/>
      <w:marTop w:val="0"/>
      <w:marBottom w:val="0"/>
      <w:divBdr>
        <w:top w:val="none" w:sz="0" w:space="0" w:color="auto"/>
        <w:left w:val="none" w:sz="0" w:space="0" w:color="auto"/>
        <w:bottom w:val="none" w:sz="0" w:space="0" w:color="auto"/>
        <w:right w:val="none" w:sz="0" w:space="0" w:color="auto"/>
      </w:divBdr>
    </w:div>
    <w:div w:id="1179662465">
      <w:bodyDiv w:val="1"/>
      <w:marLeft w:val="0"/>
      <w:marRight w:val="0"/>
      <w:marTop w:val="0"/>
      <w:marBottom w:val="0"/>
      <w:divBdr>
        <w:top w:val="none" w:sz="0" w:space="0" w:color="auto"/>
        <w:left w:val="none" w:sz="0" w:space="0" w:color="auto"/>
        <w:bottom w:val="none" w:sz="0" w:space="0" w:color="auto"/>
        <w:right w:val="none" w:sz="0" w:space="0" w:color="auto"/>
      </w:divBdr>
    </w:div>
    <w:div w:id="1254895062">
      <w:bodyDiv w:val="1"/>
      <w:marLeft w:val="0"/>
      <w:marRight w:val="0"/>
      <w:marTop w:val="0"/>
      <w:marBottom w:val="0"/>
      <w:divBdr>
        <w:top w:val="none" w:sz="0" w:space="0" w:color="auto"/>
        <w:left w:val="none" w:sz="0" w:space="0" w:color="auto"/>
        <w:bottom w:val="none" w:sz="0" w:space="0" w:color="auto"/>
        <w:right w:val="none" w:sz="0" w:space="0" w:color="auto"/>
      </w:divBdr>
    </w:div>
    <w:div w:id="1362979542">
      <w:bodyDiv w:val="1"/>
      <w:marLeft w:val="0"/>
      <w:marRight w:val="0"/>
      <w:marTop w:val="0"/>
      <w:marBottom w:val="0"/>
      <w:divBdr>
        <w:top w:val="none" w:sz="0" w:space="0" w:color="auto"/>
        <w:left w:val="none" w:sz="0" w:space="0" w:color="auto"/>
        <w:bottom w:val="none" w:sz="0" w:space="0" w:color="auto"/>
        <w:right w:val="none" w:sz="0" w:space="0" w:color="auto"/>
      </w:divBdr>
    </w:div>
    <w:div w:id="1532186177">
      <w:bodyDiv w:val="1"/>
      <w:marLeft w:val="0"/>
      <w:marRight w:val="0"/>
      <w:marTop w:val="0"/>
      <w:marBottom w:val="0"/>
      <w:divBdr>
        <w:top w:val="none" w:sz="0" w:space="0" w:color="auto"/>
        <w:left w:val="none" w:sz="0" w:space="0" w:color="auto"/>
        <w:bottom w:val="none" w:sz="0" w:space="0" w:color="auto"/>
        <w:right w:val="none" w:sz="0" w:space="0" w:color="auto"/>
      </w:divBdr>
    </w:div>
    <w:div w:id="1591574366">
      <w:bodyDiv w:val="1"/>
      <w:marLeft w:val="0"/>
      <w:marRight w:val="0"/>
      <w:marTop w:val="0"/>
      <w:marBottom w:val="0"/>
      <w:divBdr>
        <w:top w:val="none" w:sz="0" w:space="0" w:color="auto"/>
        <w:left w:val="none" w:sz="0" w:space="0" w:color="auto"/>
        <w:bottom w:val="none" w:sz="0" w:space="0" w:color="auto"/>
        <w:right w:val="none" w:sz="0" w:space="0" w:color="auto"/>
      </w:divBdr>
    </w:div>
    <w:div w:id="1868179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7.jp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Sergio Enrique Caballero Lesmes</DisplayName>
        <AccountId>175</AccountId>
        <AccountType/>
      </UserInfo>
      <UserInfo>
        <DisplayName>Luis Alfredo Reyes Castro</DisplayName>
        <AccountId>86</AccountId>
        <AccountType/>
      </UserInfo>
    </SharedWithUsers>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131D78-4FEF-43DC-A656-9786E9FBC080}"/>
</file>

<file path=customXml/itemProps2.xml><?xml version="1.0" encoding="utf-8"?>
<ds:datastoreItem xmlns:ds="http://schemas.openxmlformats.org/officeDocument/2006/customXml" ds:itemID="{F5A7B38C-6370-4BB8-A1BD-9E85A3692C1F}">
  <ds:schemaRefs>
    <ds:schemaRef ds:uri="http://schemas.microsoft.com/office/2006/metadata/properties"/>
    <ds:schemaRef ds:uri="http://schemas.microsoft.com/office/infopath/2007/PartnerControls"/>
    <ds:schemaRef ds:uri="http://schemas.microsoft.com/office/2006/documentManagement/types"/>
    <ds:schemaRef ds:uri="http://www.w3.org/XML/1998/namespace"/>
    <ds:schemaRef ds:uri="http://schemas.openxmlformats.org/package/2006/metadata/core-properties"/>
    <ds:schemaRef ds:uri="http://purl.org/dc/dcmitype/"/>
    <ds:schemaRef ds:uri="http://purl.org/dc/elements/1.1/"/>
    <ds:schemaRef ds:uri="8ae15d26-076e-464e-81a7-6f76a0fb3917"/>
    <ds:schemaRef ds:uri="cabc2350-70b2-4dba-bb42-96a3175f4d5a"/>
    <ds:schemaRef ds:uri="http://purl.org/dc/terms/"/>
  </ds:schemaRefs>
</ds:datastoreItem>
</file>

<file path=customXml/itemProps3.xml><?xml version="1.0" encoding="utf-8"?>
<ds:datastoreItem xmlns:ds="http://schemas.openxmlformats.org/officeDocument/2006/customXml" ds:itemID="{60901AD2-FE07-49F9-A27A-3C08B5CFFD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6228</Words>
  <Characters>34259</Characters>
  <Application>Microsoft Office Word</Application>
  <DocSecurity>0</DocSecurity>
  <Lines>285</Lines>
  <Paragraphs>80</Paragraphs>
  <ScaleCrop>false</ScaleCrop>
  <Company/>
  <LinksUpToDate>false</LinksUpToDate>
  <CharactersWithSpaces>40407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Londoño</dc:creator>
  <cp:keywords/>
  <dc:description/>
  <cp:lastModifiedBy>Carlos Mario</cp:lastModifiedBy>
  <cp:revision>8</cp:revision>
  <dcterms:created xsi:type="dcterms:W3CDTF">2022-07-05T16:38:00Z</dcterms:created>
  <dcterms:modified xsi:type="dcterms:W3CDTF">2022-07-11T14:21:00Z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