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D839" w14:textId="77777777" w:rsidR="00491EDE" w:rsidRPr="00DF3EEC" w:rsidRDefault="00491EDE" w:rsidP="00491EDE">
      <w:pPr>
        <w:spacing w:after="0" w:line="240" w:lineRule="auto"/>
        <w:jc w:val="both"/>
        <w:rPr>
          <w:rFonts w:ascii="Verdana" w:eastAsia="Calibri" w:hAnsi="Verdana" w:cs="Times New Roman"/>
          <w:b/>
          <w:bCs/>
          <w:color w:val="000000"/>
        </w:rPr>
      </w:pPr>
      <w:bookmarkStart w:id="0" w:name="_Hlk143780582"/>
      <w:r w:rsidRPr="00DF3EEC">
        <w:rPr>
          <w:rFonts w:ascii="Verdana" w:eastAsia="Calibri" w:hAnsi="Verdana" w:cs="Times New Roman"/>
          <w:b/>
          <w:bCs/>
          <w:color w:val="000000"/>
        </w:rPr>
        <w:t xml:space="preserve">CAPACIDAD RESIDUAL – Documentos Tipo – Causales de rechazo de la oferta </w:t>
      </w:r>
    </w:p>
    <w:p w14:paraId="3FE4E829" w14:textId="77777777" w:rsidR="00491EDE" w:rsidRPr="00DF3EEC" w:rsidRDefault="00491EDE" w:rsidP="00491EDE">
      <w:pPr>
        <w:spacing w:after="0"/>
        <w:jc w:val="both"/>
        <w:rPr>
          <w:rFonts w:ascii="Verdana" w:eastAsia="Calibri" w:hAnsi="Verdana" w:cs="Times New Roman"/>
        </w:rPr>
      </w:pPr>
    </w:p>
    <w:p w14:paraId="4BAB447C" w14:textId="77777777" w:rsidR="00491EDE" w:rsidRPr="006B04D6" w:rsidRDefault="00491EDE" w:rsidP="00491EDE">
      <w:pPr>
        <w:spacing w:after="0"/>
        <w:jc w:val="both"/>
        <w:rPr>
          <w:rFonts w:ascii="Verdana" w:eastAsia="Calibri" w:hAnsi="Verdana" w:cs="Times New Roman"/>
          <w:sz w:val="20"/>
          <w:szCs w:val="20"/>
        </w:rPr>
      </w:pPr>
      <w:r w:rsidRPr="006B04D6">
        <w:rPr>
          <w:rFonts w:ascii="Verdana" w:eastAsia="Calibri" w:hAnsi="Verdana" w:cs="Times New Roman"/>
          <w:sz w:val="20"/>
          <w:szCs w:val="20"/>
        </w:rPr>
        <w:t xml:space="preserve">La Capacidad Residual es un requisito habilitante que está sujeto a la posibilidad de solicitarle aclaración, con el fin de esclarecer dudas sobre aspectos de la información presentada por el proponente y de igual forma, esa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046F2FDA" w14:textId="77777777" w:rsidR="00491EDE" w:rsidRPr="006B04D6" w:rsidRDefault="00491EDE" w:rsidP="00491EDE">
      <w:pPr>
        <w:spacing w:after="0"/>
        <w:jc w:val="both"/>
        <w:rPr>
          <w:rFonts w:ascii="Verdana" w:eastAsia="Calibri" w:hAnsi="Verdana" w:cs="Times New Roman"/>
          <w:sz w:val="20"/>
          <w:szCs w:val="20"/>
        </w:rPr>
      </w:pPr>
    </w:p>
    <w:p w14:paraId="388B79C4" w14:textId="77777777" w:rsidR="00491EDE" w:rsidRPr="006B04D6" w:rsidRDefault="00491EDE" w:rsidP="00491EDE">
      <w:pPr>
        <w:spacing w:after="0"/>
        <w:jc w:val="both"/>
        <w:rPr>
          <w:rFonts w:ascii="Verdana" w:eastAsia="Calibri" w:hAnsi="Verdana" w:cs="Times New Roman"/>
          <w:sz w:val="20"/>
          <w:szCs w:val="20"/>
        </w:rPr>
      </w:pPr>
      <w:r w:rsidRPr="006B04D6">
        <w:rPr>
          <w:rFonts w:ascii="Verdana" w:eastAsia="Calibri" w:hAnsi="Verdana" w:cs="Times New Roman"/>
          <w:sz w:val="20"/>
          <w:szCs w:val="20"/>
        </w:rPr>
        <w:t>(…)</w:t>
      </w:r>
    </w:p>
    <w:p w14:paraId="59CB1730" w14:textId="77777777" w:rsidR="00491EDE" w:rsidRPr="006B04D6" w:rsidRDefault="00491EDE" w:rsidP="00491EDE">
      <w:pPr>
        <w:spacing w:after="0"/>
        <w:jc w:val="both"/>
        <w:rPr>
          <w:rFonts w:ascii="Verdana" w:eastAsia="Calibri" w:hAnsi="Verdana" w:cs="Times New Roman"/>
          <w:sz w:val="20"/>
          <w:szCs w:val="20"/>
        </w:rPr>
      </w:pPr>
    </w:p>
    <w:p w14:paraId="5F45751C" w14:textId="77777777" w:rsidR="00491EDE" w:rsidRPr="006B04D6" w:rsidRDefault="00491EDE" w:rsidP="00491EDE">
      <w:pPr>
        <w:spacing w:after="0"/>
        <w:jc w:val="both"/>
        <w:rPr>
          <w:rFonts w:ascii="Verdana" w:eastAsia="Calibri" w:hAnsi="Verdana" w:cs="Times New Roman"/>
          <w:sz w:val="20"/>
          <w:szCs w:val="20"/>
        </w:rPr>
      </w:pPr>
      <w:r w:rsidRPr="006B04D6">
        <w:rPr>
          <w:rFonts w:ascii="Verdana" w:eastAsia="Calibri" w:hAnsi="Verdana" w:cs="Times New Roman"/>
          <w:sz w:val="20"/>
          <w:szCs w:val="20"/>
        </w:rPr>
        <w:t>El numeral 3.1</w:t>
      </w:r>
      <w:r>
        <w:rPr>
          <w:rFonts w:ascii="Verdana" w:eastAsia="Calibri" w:hAnsi="Verdana" w:cs="Times New Roman"/>
          <w:sz w:val="20"/>
          <w:szCs w:val="20"/>
        </w:rPr>
        <w:t>1</w:t>
      </w:r>
      <w:r w:rsidRPr="006B04D6">
        <w:rPr>
          <w:rFonts w:ascii="Verdana" w:eastAsia="Calibri" w:hAnsi="Verdana" w:cs="Times New Roman"/>
          <w:sz w:val="20"/>
          <w:szCs w:val="20"/>
        </w:rPr>
        <w:t xml:space="preserve"> del documento base </w:t>
      </w:r>
      <w:r>
        <w:rPr>
          <w:rFonts w:ascii="Verdana" w:eastAsia="Calibri" w:hAnsi="Verdana" w:cs="Times New Roman"/>
          <w:sz w:val="20"/>
          <w:szCs w:val="20"/>
        </w:rPr>
        <w:t xml:space="preserve">de los documentos tipo de licitación de obra pública de infraestructura de transporte </w:t>
      </w:r>
      <w:r w:rsidRPr="006B04D6">
        <w:rPr>
          <w:rFonts w:ascii="Verdana" w:eastAsia="Calibri" w:hAnsi="Verdana" w:cs="Times New Roman"/>
          <w:sz w:val="20"/>
          <w:szCs w:val="20"/>
        </w:rPr>
        <w:t xml:space="preserve">– Versión </w:t>
      </w:r>
      <w:r>
        <w:rPr>
          <w:rFonts w:ascii="Verdana" w:eastAsia="Calibri" w:hAnsi="Verdana" w:cs="Times New Roman"/>
          <w:sz w:val="20"/>
          <w:szCs w:val="20"/>
        </w:rPr>
        <w:t>4</w:t>
      </w:r>
      <w:r w:rsidRPr="006B04D6">
        <w:rPr>
          <w:rFonts w:ascii="Verdana" w:eastAsia="Calibri" w:hAnsi="Verdana" w:cs="Times New Roman"/>
          <w:sz w:val="20"/>
          <w:szCs w:val="20"/>
        </w:rPr>
        <w:t xml:space="preserve">, establece como requisito habilitante la capacidad residual. En este documento tipo, al menos tres causales de rechazo del numeral 1.15 se relacionan con la capacidad residual como requisito habilitante, esto es, los literales E, H y </w:t>
      </w:r>
      <w:r>
        <w:rPr>
          <w:rFonts w:ascii="Verdana" w:eastAsia="Calibri" w:hAnsi="Verdana" w:cs="Times New Roman"/>
          <w:sz w:val="20"/>
          <w:szCs w:val="20"/>
        </w:rPr>
        <w:t>X</w:t>
      </w:r>
      <w:r w:rsidRPr="006B04D6">
        <w:rPr>
          <w:rFonts w:ascii="Verdana" w:eastAsia="Calibri" w:hAnsi="Verdana" w:cs="Times New Roman"/>
          <w:sz w:val="20"/>
          <w:szCs w:val="20"/>
        </w:rPr>
        <w:t>.</w:t>
      </w:r>
    </w:p>
    <w:p w14:paraId="06AAA9DD" w14:textId="77777777" w:rsidR="00491EDE" w:rsidRPr="00DF3EEC" w:rsidRDefault="00491EDE" w:rsidP="00491EDE">
      <w:pPr>
        <w:spacing w:after="0"/>
        <w:jc w:val="both"/>
        <w:rPr>
          <w:rFonts w:ascii="Verdana" w:eastAsia="Calibri" w:hAnsi="Verdana" w:cs="Times New Roman"/>
          <w:lang w:val="es-ES"/>
        </w:rPr>
      </w:pPr>
    </w:p>
    <w:p w14:paraId="5C432BF8" w14:textId="77777777" w:rsidR="00491EDE" w:rsidRPr="00DF3EEC" w:rsidRDefault="00491EDE" w:rsidP="00491EDE">
      <w:pPr>
        <w:spacing w:after="0"/>
        <w:jc w:val="both"/>
        <w:rPr>
          <w:rFonts w:ascii="Verdana" w:eastAsia="Calibri" w:hAnsi="Verdana" w:cs="Times New Roman"/>
          <w:b/>
          <w:bCs/>
        </w:rPr>
      </w:pPr>
      <w:r w:rsidRPr="00DF3EEC">
        <w:rPr>
          <w:rFonts w:ascii="Verdana" w:eastAsia="Calibri" w:hAnsi="Verdana" w:cs="Times New Roman"/>
          <w:b/>
          <w:bCs/>
        </w:rPr>
        <w:t>SALDOS DE CONTRATOS EN EJECUCIÓN – Requisito Habilitante – Subsanación Deber de reportar la totalidad de contratos</w:t>
      </w:r>
    </w:p>
    <w:p w14:paraId="17FABB23" w14:textId="77777777" w:rsidR="00491EDE" w:rsidRPr="00DF3EEC" w:rsidRDefault="00491EDE" w:rsidP="00491EDE">
      <w:pPr>
        <w:spacing w:after="0"/>
        <w:jc w:val="both"/>
        <w:rPr>
          <w:rFonts w:ascii="Verdana" w:eastAsia="Calibri" w:hAnsi="Verdana" w:cs="Times New Roman"/>
          <w:b/>
          <w:bCs/>
        </w:rPr>
      </w:pPr>
    </w:p>
    <w:p w14:paraId="08E9F2BA" w14:textId="77777777" w:rsidR="00491EDE" w:rsidRPr="006B04D6" w:rsidRDefault="00491EDE" w:rsidP="00491EDE">
      <w:pPr>
        <w:spacing w:after="0"/>
        <w:jc w:val="both"/>
        <w:rPr>
          <w:rFonts w:ascii="Verdana" w:eastAsia="Calibri" w:hAnsi="Verdana" w:cs="Times New Roman"/>
          <w:sz w:val="20"/>
          <w:szCs w:val="20"/>
        </w:rPr>
      </w:pPr>
      <w:r w:rsidRPr="006B04D6">
        <w:rPr>
          <w:rFonts w:ascii="Verdana" w:eastAsia="Calibri" w:hAnsi="Verdana" w:cs="Times New Roman"/>
          <w:sz w:val="20"/>
          <w:szCs w:val="20"/>
        </w:rPr>
        <w:t>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12118837" w14:textId="77777777" w:rsidR="00491EDE" w:rsidRPr="006B04D6" w:rsidRDefault="00491EDE" w:rsidP="00491EDE">
      <w:pPr>
        <w:spacing w:after="0"/>
        <w:jc w:val="both"/>
        <w:rPr>
          <w:rFonts w:ascii="Verdana" w:eastAsia="Calibri" w:hAnsi="Verdana" w:cs="Times New Roman"/>
          <w:sz w:val="20"/>
          <w:szCs w:val="20"/>
        </w:rPr>
      </w:pPr>
    </w:p>
    <w:p w14:paraId="45A353C3" w14:textId="77777777" w:rsidR="00491EDE" w:rsidRPr="006B04D6" w:rsidRDefault="00491EDE" w:rsidP="00491EDE">
      <w:pPr>
        <w:spacing w:after="0"/>
        <w:jc w:val="both"/>
        <w:rPr>
          <w:rFonts w:ascii="Verdana" w:eastAsia="Calibri" w:hAnsi="Verdana" w:cs="Times New Roman"/>
          <w:sz w:val="20"/>
          <w:szCs w:val="20"/>
        </w:rPr>
      </w:pPr>
      <w:r w:rsidRPr="006B04D6">
        <w:rPr>
          <w:rFonts w:ascii="Verdana" w:eastAsia="Calibri" w:hAnsi="Verdana" w:cs="Times New Roman"/>
          <w:sz w:val="20"/>
          <w:szCs w:val="20"/>
        </w:rPr>
        <w:t xml:space="preserve">i) La causal del literal </w:t>
      </w:r>
      <w:r>
        <w:rPr>
          <w:rFonts w:ascii="Verdana" w:eastAsia="Calibri" w:hAnsi="Verdana" w:cs="Times New Roman"/>
          <w:sz w:val="20"/>
          <w:szCs w:val="20"/>
        </w:rPr>
        <w:t>X</w:t>
      </w:r>
      <w:r w:rsidRPr="006B04D6">
        <w:rPr>
          <w:rFonts w:ascii="Verdana" w:eastAsia="Calibri" w:hAnsi="Verdana" w:cs="Times New Roman"/>
          <w:sz w:val="20"/>
          <w:szCs w:val="20"/>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25D13902" w14:textId="77777777" w:rsidR="00491EDE" w:rsidRPr="006B04D6" w:rsidRDefault="00491EDE" w:rsidP="00491EDE">
      <w:pPr>
        <w:spacing w:after="0"/>
        <w:jc w:val="both"/>
        <w:rPr>
          <w:rFonts w:ascii="Verdana" w:eastAsia="Calibri" w:hAnsi="Verdana" w:cs="Times New Roman"/>
          <w:sz w:val="20"/>
          <w:szCs w:val="20"/>
        </w:rPr>
      </w:pPr>
    </w:p>
    <w:p w14:paraId="6684BB0B" w14:textId="77777777" w:rsidR="00491EDE" w:rsidRPr="006B04D6" w:rsidRDefault="00491EDE" w:rsidP="00491EDE">
      <w:pPr>
        <w:spacing w:after="0"/>
        <w:jc w:val="both"/>
        <w:rPr>
          <w:rFonts w:ascii="Verdana" w:eastAsia="Calibri" w:hAnsi="Verdana" w:cs="Times New Roman"/>
          <w:sz w:val="20"/>
          <w:szCs w:val="20"/>
        </w:rPr>
      </w:pPr>
      <w:proofErr w:type="spellStart"/>
      <w:r w:rsidRPr="006B04D6">
        <w:rPr>
          <w:rFonts w:ascii="Verdana" w:eastAsia="Calibri" w:hAnsi="Verdana" w:cs="Times New Roman"/>
          <w:sz w:val="20"/>
          <w:szCs w:val="20"/>
        </w:rPr>
        <w:t>ii</w:t>
      </w:r>
      <w:proofErr w:type="spellEnd"/>
      <w:r w:rsidRPr="006B04D6">
        <w:rPr>
          <w:rFonts w:ascii="Verdana" w:eastAsia="Calibri" w:hAnsi="Verdana" w:cs="Times New Roman"/>
          <w:sz w:val="20"/>
          <w:szCs w:val="20"/>
        </w:rPr>
        <w:t>) Lo anterior, sin perjuicio de que para el proponente tenga consecuencias omitir o errar en la información específica de cada contrato –esto es, la cuantía o el plazo, entre otros–</w:t>
      </w:r>
      <w:r w:rsidRPr="006B04D6">
        <w:rPr>
          <w:rFonts w:ascii="Verdana" w:eastAsia="Calibri" w:hAnsi="Verdana" w:cs="Times New Roman"/>
          <w:sz w:val="20"/>
          <w:szCs w:val="20"/>
        </w:rPr>
        <w:lastRenderedPageBreak/>
        <w:t xml:space="preserve">, pues la entidad podrá requerirlo para que aclare la información y, en caso de no responder, rechazar la propuesta por la causal que consagra el literal E del numeral 1.15. </w:t>
      </w:r>
    </w:p>
    <w:p w14:paraId="0D08937A" w14:textId="77777777" w:rsidR="00491EDE" w:rsidRPr="006B04D6" w:rsidRDefault="00491EDE" w:rsidP="00491EDE">
      <w:pPr>
        <w:spacing w:after="0"/>
        <w:jc w:val="both"/>
        <w:rPr>
          <w:rFonts w:ascii="Verdana" w:eastAsia="Calibri" w:hAnsi="Verdana" w:cs="Times New Roman"/>
          <w:sz w:val="20"/>
          <w:szCs w:val="20"/>
        </w:rPr>
      </w:pPr>
    </w:p>
    <w:p w14:paraId="1D0E7A2D" w14:textId="77777777" w:rsidR="00491EDE" w:rsidRPr="006B04D6" w:rsidRDefault="00491EDE" w:rsidP="00491EDE">
      <w:pPr>
        <w:spacing w:after="0"/>
        <w:jc w:val="both"/>
        <w:rPr>
          <w:rFonts w:ascii="Verdana" w:eastAsia="Calibri" w:hAnsi="Verdana" w:cs="Times New Roman"/>
          <w:sz w:val="20"/>
          <w:szCs w:val="20"/>
        </w:rPr>
      </w:pPr>
      <w:proofErr w:type="spellStart"/>
      <w:r w:rsidRPr="006B04D6">
        <w:rPr>
          <w:rFonts w:ascii="Verdana" w:eastAsia="Calibri" w:hAnsi="Verdana" w:cs="Times New Roman"/>
          <w:sz w:val="20"/>
          <w:szCs w:val="20"/>
        </w:rPr>
        <w:t>iii</w:t>
      </w:r>
      <w:proofErr w:type="spellEnd"/>
      <w:r w:rsidRPr="006B04D6">
        <w:rPr>
          <w:rFonts w:ascii="Verdana" w:eastAsia="Calibri" w:hAnsi="Verdana" w:cs="Times New Roman"/>
          <w:sz w:val="20"/>
          <w:szCs w:val="20"/>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4F71D56E" w14:textId="77777777" w:rsidR="00491EDE" w:rsidRPr="00DF3EEC" w:rsidRDefault="00491EDE" w:rsidP="00491EDE">
      <w:pPr>
        <w:spacing w:after="120" w:line="240" w:lineRule="auto"/>
        <w:jc w:val="both"/>
        <w:rPr>
          <w:rFonts w:ascii="Verdana" w:eastAsia="Calibri" w:hAnsi="Verdana" w:cs="Times New Roman"/>
        </w:rPr>
      </w:pPr>
    </w:p>
    <w:p w14:paraId="5D15C8EE" w14:textId="77777777" w:rsidR="00491EDE" w:rsidRPr="00DF3EEC" w:rsidRDefault="00491EDE" w:rsidP="00491EDE">
      <w:pPr>
        <w:rPr>
          <w:rFonts w:ascii="Verdana" w:eastAsia="Calibri" w:hAnsi="Verdana" w:cs="Times New Roman"/>
        </w:rPr>
      </w:pPr>
      <w:r w:rsidRPr="00DF3EEC">
        <w:rPr>
          <w:rFonts w:ascii="Verdana" w:eastAsia="Calibri" w:hAnsi="Verdana" w:cs="Times New Roman"/>
        </w:rPr>
        <w:br w:type="page"/>
      </w:r>
    </w:p>
    <w:p w14:paraId="27CA48D9" w14:textId="2E194051" w:rsidR="00491EDE" w:rsidRPr="00DF3EEC" w:rsidRDefault="00CC3A0D" w:rsidP="00491EDE">
      <w:pPr>
        <w:spacing w:after="0"/>
        <w:rPr>
          <w:rFonts w:ascii="Verdana" w:eastAsia="Calibri" w:hAnsi="Verdana" w:cs="Times New Roman"/>
        </w:rPr>
      </w:pPr>
      <w:r w:rsidRPr="0051621A">
        <w:rPr>
          <w:rFonts w:ascii="Verdana" w:eastAsia="Times New Roman" w:hAnsi="Verdana" w:cs="Segoe UI"/>
          <w:noProof/>
          <w:sz w:val="18"/>
          <w:szCs w:val="18"/>
          <w:lang w:eastAsia="es-CO"/>
        </w:rPr>
        <w:lastRenderedPageBreak/>
        <w:drawing>
          <wp:anchor distT="0" distB="0" distL="114300" distR="114300" simplePos="0" relativeHeight="251658240" behindDoc="0" locked="0" layoutInCell="1" allowOverlap="1" wp14:anchorId="64BBF816" wp14:editId="34AB5F40">
            <wp:simplePos x="0" y="0"/>
            <wp:positionH relativeFrom="margin">
              <wp:posOffset>2640965</wp:posOffset>
            </wp:positionH>
            <wp:positionV relativeFrom="paragraph">
              <wp:posOffset>117475</wp:posOffset>
            </wp:positionV>
            <wp:extent cx="2969895" cy="930275"/>
            <wp:effectExtent l="0" t="0" r="1905" b="3175"/>
            <wp:wrapSquare wrapText="bothSides"/>
            <wp:docPr id="156209553"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9553"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69895" cy="930275"/>
                    </a:xfrm>
                    <a:prstGeom prst="rect">
                      <a:avLst/>
                    </a:prstGeom>
                  </pic:spPr>
                </pic:pic>
              </a:graphicData>
            </a:graphic>
            <wp14:sizeRelH relativeFrom="margin">
              <wp14:pctWidth>0</wp14:pctWidth>
            </wp14:sizeRelH>
            <wp14:sizeRelV relativeFrom="margin">
              <wp14:pctHeight>0</wp14:pctHeight>
            </wp14:sizeRelV>
          </wp:anchor>
        </w:drawing>
      </w:r>
      <w:r w:rsidR="00491EDE" w:rsidRPr="00DF3EEC">
        <w:rPr>
          <w:rFonts w:ascii="Verdana" w:eastAsia="Calibri" w:hAnsi="Verdana" w:cs="Times New Roman"/>
        </w:rPr>
        <w:t>Bogotá D.C.,</w:t>
      </w:r>
      <w:r w:rsidR="0051621A">
        <w:rPr>
          <w:rFonts w:ascii="Verdana" w:eastAsia="Calibri" w:hAnsi="Verdana" w:cs="Times New Roman"/>
        </w:rPr>
        <w:t xml:space="preserve"> 22 de abril de 2025</w:t>
      </w:r>
      <w:r w:rsidR="00491EDE" w:rsidRPr="00DF3EEC">
        <w:rPr>
          <w:rFonts w:ascii="Verdana" w:eastAsia="Calibri" w:hAnsi="Verdana" w:cs="Times New Roman"/>
        </w:rPr>
        <w:tab/>
      </w:r>
    </w:p>
    <w:bookmarkEnd w:id="0"/>
    <w:p w14:paraId="16598660" w14:textId="77777777" w:rsidR="00491EDE" w:rsidRDefault="00491EDE" w:rsidP="00491EDE">
      <w:pPr>
        <w:spacing w:after="0" w:line="240" w:lineRule="auto"/>
        <w:textAlignment w:val="baseline"/>
        <w:rPr>
          <w:rFonts w:ascii="Verdana" w:eastAsia="Times New Roman" w:hAnsi="Verdana" w:cs="Segoe UI"/>
          <w:sz w:val="18"/>
          <w:szCs w:val="18"/>
          <w:lang w:eastAsia="es-CO"/>
        </w:rPr>
      </w:pPr>
    </w:p>
    <w:p w14:paraId="28AD6994" w14:textId="415D29CC" w:rsidR="0051621A" w:rsidRPr="00DF3EEC" w:rsidRDefault="0051621A" w:rsidP="0051621A">
      <w:pPr>
        <w:spacing w:after="0" w:line="240" w:lineRule="auto"/>
        <w:jc w:val="right"/>
        <w:textAlignment w:val="baseline"/>
        <w:rPr>
          <w:rFonts w:ascii="Verdana" w:eastAsia="Times New Roman" w:hAnsi="Verdana" w:cs="Segoe UI"/>
          <w:sz w:val="18"/>
          <w:szCs w:val="18"/>
          <w:lang w:eastAsia="es-CO"/>
        </w:rPr>
      </w:pPr>
    </w:p>
    <w:p w14:paraId="0384C6AD" w14:textId="77777777" w:rsidR="00491EDE" w:rsidRPr="00DF3EEC" w:rsidRDefault="00491EDE" w:rsidP="00491EDE">
      <w:pPr>
        <w:spacing w:after="0" w:line="240" w:lineRule="auto"/>
        <w:jc w:val="both"/>
        <w:rPr>
          <w:rFonts w:ascii="Verdana" w:eastAsia="Times New Roman" w:hAnsi="Verdana" w:cs="Times New Roman"/>
          <w:lang w:val="es-ES_tradnl" w:eastAsia="es-ES_tradnl"/>
        </w:rPr>
      </w:pPr>
      <w:r w:rsidRPr="00DF3EEC">
        <w:rPr>
          <w:rFonts w:ascii="Verdana" w:eastAsia="Times New Roman" w:hAnsi="Verdana" w:cs="Times New Roman"/>
          <w:lang w:val="es-ES_tradnl" w:eastAsia="es-ES_tradnl"/>
        </w:rPr>
        <w:t>Señor</w:t>
      </w:r>
    </w:p>
    <w:p w14:paraId="17C69E5C" w14:textId="77777777" w:rsidR="00491EDE" w:rsidRPr="00DF3EEC" w:rsidRDefault="00491EDE" w:rsidP="00491EDE">
      <w:pPr>
        <w:spacing w:after="0" w:line="240" w:lineRule="auto"/>
        <w:rPr>
          <w:rFonts w:ascii="Verdana" w:eastAsia="Times New Roman" w:hAnsi="Verdana" w:cs="Times New Roman"/>
          <w:lang w:val="es-ES_tradnl" w:eastAsia="es-ES_tradnl"/>
        </w:rPr>
      </w:pPr>
      <w:r>
        <w:rPr>
          <w:rFonts w:ascii="Verdana" w:eastAsia="Times New Roman" w:hAnsi="Verdana" w:cs="Times New Roman"/>
          <w:b/>
          <w:bCs/>
          <w:lang w:val="es-ES_tradnl" w:eastAsia="es-ES_tradnl"/>
        </w:rPr>
        <w:t xml:space="preserve">Jorge Luis Vargas </w:t>
      </w:r>
      <w:r w:rsidRPr="00DF3EEC">
        <w:rPr>
          <w:rFonts w:ascii="Verdana" w:eastAsia="Times New Roman" w:hAnsi="Verdana" w:cs="Times New Roman"/>
          <w:lang w:val="es-ES_tradnl" w:eastAsia="es-ES_tradnl"/>
        </w:rPr>
        <w:t xml:space="preserve"> </w:t>
      </w:r>
    </w:p>
    <w:p w14:paraId="39B5FC26" w14:textId="77777777" w:rsidR="00491EDE" w:rsidRDefault="00491EDE" w:rsidP="00491EDE">
      <w:pPr>
        <w:spacing w:after="0" w:line="240" w:lineRule="auto"/>
        <w:rPr>
          <w:rFonts w:ascii="Verdana" w:eastAsia="Times New Roman" w:hAnsi="Verdana" w:cs="Times New Roman"/>
          <w:lang w:val="es-ES_tradnl" w:eastAsia="es-ES_tradnl"/>
        </w:rPr>
      </w:pPr>
      <w:r>
        <w:rPr>
          <w:rFonts w:ascii="Verdana" w:eastAsia="Times New Roman" w:hAnsi="Verdana" w:cs="Times New Roman"/>
          <w:lang w:val="es-ES_tradnl" w:eastAsia="es-ES_tradnl"/>
        </w:rPr>
        <w:t>Popayán, Cauca</w:t>
      </w:r>
    </w:p>
    <w:p w14:paraId="159717A6" w14:textId="77777777" w:rsidR="00491EDE" w:rsidRPr="00DF3EEC" w:rsidRDefault="00491EDE" w:rsidP="00491EDE">
      <w:pPr>
        <w:spacing w:after="0" w:line="240" w:lineRule="auto"/>
        <w:rPr>
          <w:rFonts w:ascii="Verdana" w:eastAsia="Times New Roman" w:hAnsi="Verdana" w:cs="Times New Roman"/>
          <w:lang w:val="es-ES_tradnl" w:eastAsia="es-ES_tradnl"/>
        </w:rPr>
      </w:pPr>
    </w:p>
    <w:tbl>
      <w:tblPr>
        <w:tblStyle w:val="Tablaconcuadrcula"/>
        <w:tblW w:w="899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7"/>
        <w:gridCol w:w="6127"/>
      </w:tblGrid>
      <w:tr w:rsidR="00491EDE" w:rsidRPr="00DF3EEC" w14:paraId="059899D4" w14:textId="77777777" w:rsidTr="00CC3A0D">
        <w:trPr>
          <w:trHeight w:val="789"/>
        </w:trPr>
        <w:tc>
          <w:tcPr>
            <w:tcW w:w="2867" w:type="dxa"/>
          </w:tcPr>
          <w:p w14:paraId="6072E69D" w14:textId="77777777" w:rsidR="00491EDE" w:rsidRPr="00DF3EEC" w:rsidRDefault="00491EDE" w:rsidP="00413573">
            <w:pPr>
              <w:jc w:val="both"/>
              <w:rPr>
                <w:rFonts w:ascii="Verdana" w:eastAsia="Times New Roman" w:hAnsi="Verdana" w:cs="Times New Roman"/>
                <w:lang w:val="es-ES_tradnl" w:eastAsia="es-ES_tradnl"/>
              </w:rPr>
            </w:pPr>
          </w:p>
        </w:tc>
        <w:tc>
          <w:tcPr>
            <w:tcW w:w="6127" w:type="dxa"/>
          </w:tcPr>
          <w:p w14:paraId="3305EE6D" w14:textId="16DB594E" w:rsidR="00491EDE" w:rsidRPr="00DF3EEC" w:rsidRDefault="00491EDE" w:rsidP="00413573">
            <w:pPr>
              <w:jc w:val="both"/>
              <w:rPr>
                <w:rFonts w:ascii="Verdana" w:eastAsia="Times New Roman" w:hAnsi="Verdana" w:cs="Times New Roman"/>
                <w:b/>
                <w:bCs/>
                <w:lang w:val="es-ES_tradnl" w:eastAsia="es-ES_tradnl"/>
              </w:rPr>
            </w:pPr>
            <w:r w:rsidRPr="00DF3EEC">
              <w:rPr>
                <w:rFonts w:ascii="Verdana" w:eastAsia="Times New Roman" w:hAnsi="Verdana" w:cs="Times New Roman"/>
                <w:b/>
                <w:bCs/>
                <w:lang w:val="es-ES_tradnl" w:eastAsia="es-ES_tradnl"/>
              </w:rPr>
              <w:t>Concepto C-4</w:t>
            </w:r>
            <w:r>
              <w:rPr>
                <w:rFonts w:ascii="Verdana" w:eastAsia="Times New Roman" w:hAnsi="Verdana" w:cs="Times New Roman"/>
                <w:b/>
                <w:bCs/>
                <w:lang w:val="es-ES_tradnl" w:eastAsia="es-ES_tradnl"/>
              </w:rPr>
              <w:t>19</w:t>
            </w:r>
            <w:r w:rsidRPr="00DF3EEC">
              <w:rPr>
                <w:rFonts w:ascii="Verdana" w:eastAsia="Times New Roman" w:hAnsi="Verdana" w:cs="Times New Roman"/>
                <w:b/>
                <w:bCs/>
                <w:lang w:val="es-ES_tradnl" w:eastAsia="es-ES_tradnl"/>
              </w:rPr>
              <w:t xml:space="preserve"> de 202</w:t>
            </w:r>
            <w:r>
              <w:rPr>
                <w:rFonts w:ascii="Verdana" w:eastAsia="Times New Roman" w:hAnsi="Verdana" w:cs="Times New Roman"/>
                <w:b/>
                <w:bCs/>
                <w:lang w:val="es-ES_tradnl" w:eastAsia="es-ES_tradnl"/>
              </w:rPr>
              <w:t>5</w:t>
            </w:r>
          </w:p>
        </w:tc>
      </w:tr>
      <w:tr w:rsidR="00491EDE" w:rsidRPr="00DF3EEC" w14:paraId="7F2108F0" w14:textId="77777777" w:rsidTr="00CC3A0D">
        <w:trPr>
          <w:trHeight w:val="789"/>
        </w:trPr>
        <w:tc>
          <w:tcPr>
            <w:tcW w:w="2867" w:type="dxa"/>
          </w:tcPr>
          <w:p w14:paraId="4A51FF68" w14:textId="77777777" w:rsidR="00491EDE" w:rsidRPr="00DF3EEC" w:rsidRDefault="00491EDE" w:rsidP="00413573">
            <w:pPr>
              <w:jc w:val="both"/>
              <w:rPr>
                <w:rFonts w:ascii="Verdana" w:eastAsia="Times New Roman" w:hAnsi="Verdana" w:cs="Times New Roman"/>
                <w:lang w:val="es-ES_tradnl" w:eastAsia="es-ES_tradnl"/>
              </w:rPr>
            </w:pPr>
            <w:r w:rsidRPr="00DF3EEC">
              <w:rPr>
                <w:rFonts w:ascii="Verdana" w:eastAsia="Times New Roman" w:hAnsi="Verdana" w:cs="Times New Roman"/>
                <w:lang w:val="es-ES_tradnl" w:eastAsia="es-ES_tradnl"/>
              </w:rPr>
              <w:t xml:space="preserve">Temas:                   </w:t>
            </w:r>
          </w:p>
        </w:tc>
        <w:tc>
          <w:tcPr>
            <w:tcW w:w="6127" w:type="dxa"/>
          </w:tcPr>
          <w:p w14:paraId="4F83675C" w14:textId="2C4A3FA3" w:rsidR="00491EDE" w:rsidRPr="0014513E" w:rsidRDefault="00491EDE" w:rsidP="00413573">
            <w:pPr>
              <w:spacing w:line="276" w:lineRule="auto"/>
              <w:jc w:val="both"/>
              <w:rPr>
                <w:rFonts w:ascii="Verdana" w:eastAsia="Calibri" w:hAnsi="Verdana" w:cs="Times New Roman"/>
                <w:lang w:val="es-ES" w:eastAsia="es-ES"/>
              </w:rPr>
            </w:pPr>
            <w:r w:rsidRPr="006B04D6">
              <w:rPr>
                <w:rFonts w:ascii="Verdana" w:eastAsia="Calibri" w:hAnsi="Verdana" w:cs="Times New Roman"/>
                <w:lang w:val="es-ES" w:eastAsia="es-ES"/>
              </w:rPr>
              <w:t xml:space="preserve">CAPACIDAD RESIDUAL – Documentos Tipo – Causales de rechazo de la oferta / SALDOS DE CONTRATOS EN EJECUCIÓN – Requisito Habilitante – Subsanación – </w:t>
            </w:r>
            <w:r>
              <w:rPr>
                <w:rFonts w:ascii="Verdana" w:eastAsia="Calibri" w:hAnsi="Verdana" w:cs="Times New Roman"/>
                <w:lang w:val="es-ES" w:eastAsia="es-ES"/>
              </w:rPr>
              <w:t>D</w:t>
            </w:r>
            <w:r w:rsidRPr="006B04D6">
              <w:rPr>
                <w:rFonts w:ascii="Verdana" w:eastAsia="Calibri" w:hAnsi="Verdana" w:cs="Times New Roman"/>
                <w:lang w:val="es-ES" w:eastAsia="es-ES"/>
              </w:rPr>
              <w:t>eber de reportar la totalidad de contratos.</w:t>
            </w:r>
          </w:p>
        </w:tc>
      </w:tr>
      <w:tr w:rsidR="00491EDE" w:rsidRPr="00DF3EEC" w14:paraId="20087C63" w14:textId="77777777" w:rsidTr="00CC3A0D">
        <w:trPr>
          <w:trHeight w:val="243"/>
        </w:trPr>
        <w:tc>
          <w:tcPr>
            <w:tcW w:w="2867" w:type="dxa"/>
          </w:tcPr>
          <w:p w14:paraId="3160DB32" w14:textId="77777777" w:rsidR="00491EDE" w:rsidRPr="00DF3EEC" w:rsidRDefault="00491EDE" w:rsidP="00413573">
            <w:pPr>
              <w:jc w:val="both"/>
              <w:rPr>
                <w:rFonts w:ascii="Verdana" w:eastAsia="Times New Roman" w:hAnsi="Verdana" w:cs="Times New Roman"/>
                <w:lang w:val="es-ES_tradnl" w:eastAsia="es-ES_tradnl"/>
              </w:rPr>
            </w:pPr>
            <w:r w:rsidRPr="00DF3EEC">
              <w:rPr>
                <w:rFonts w:ascii="Verdana" w:eastAsia="Times New Roman" w:hAnsi="Verdana" w:cs="Times New Roman"/>
                <w:lang w:val="es-ES_tradnl" w:eastAsia="es-ES_tradnl"/>
              </w:rPr>
              <w:t xml:space="preserve">Radicación:               </w:t>
            </w:r>
          </w:p>
        </w:tc>
        <w:tc>
          <w:tcPr>
            <w:tcW w:w="6127" w:type="dxa"/>
          </w:tcPr>
          <w:p w14:paraId="6BC5D851" w14:textId="77777777" w:rsidR="00491EDE" w:rsidRPr="00DF3EEC" w:rsidRDefault="00491EDE" w:rsidP="00413573">
            <w:pPr>
              <w:jc w:val="both"/>
              <w:rPr>
                <w:rFonts w:ascii="Verdana" w:eastAsia="Times New Roman" w:hAnsi="Verdana" w:cs="Times New Roman"/>
                <w:lang w:val="es-ES_tradnl" w:eastAsia="es-ES_tradnl"/>
              </w:rPr>
            </w:pPr>
            <w:r w:rsidRPr="00DF3EEC">
              <w:rPr>
                <w:rFonts w:ascii="Verdana" w:eastAsia="Times New Roman" w:hAnsi="Verdana" w:cs="Times New Roman"/>
                <w:lang w:val="es-ES_tradnl" w:eastAsia="es-ES_tradnl"/>
              </w:rPr>
              <w:t xml:space="preserve">Respuesta a consulta con radicado No. P20250404003244 </w:t>
            </w:r>
          </w:p>
        </w:tc>
      </w:tr>
    </w:tbl>
    <w:p w14:paraId="0098973E" w14:textId="77777777" w:rsidR="00491EDE" w:rsidRPr="00DF3EEC" w:rsidRDefault="00491EDE" w:rsidP="00491EDE">
      <w:pPr>
        <w:spacing w:after="0" w:line="240" w:lineRule="auto"/>
        <w:jc w:val="both"/>
        <w:rPr>
          <w:rFonts w:ascii="Verdana" w:eastAsia="Times New Roman" w:hAnsi="Verdana" w:cs="Times New Roman"/>
          <w:lang w:val="es-ES_tradnl" w:eastAsia="es-ES_tradnl"/>
        </w:rPr>
      </w:pPr>
    </w:p>
    <w:p w14:paraId="78EEDE9E" w14:textId="77777777" w:rsidR="00491EDE" w:rsidRPr="00DF3EEC" w:rsidRDefault="00491EDE" w:rsidP="00491EDE">
      <w:pPr>
        <w:spacing w:after="0" w:line="276" w:lineRule="auto"/>
        <w:jc w:val="both"/>
        <w:rPr>
          <w:rFonts w:ascii="Verdana" w:eastAsia="Times New Roman" w:hAnsi="Verdana" w:cs="Times New Roman"/>
          <w:lang w:val="es-ES_tradnl" w:eastAsia="es-ES_tradnl"/>
        </w:rPr>
      </w:pPr>
      <w:r w:rsidRPr="00DF3EEC">
        <w:rPr>
          <w:rFonts w:ascii="Verdana" w:eastAsia="Times New Roman" w:hAnsi="Verdana" w:cs="Times New Roman"/>
          <w:lang w:val="es-ES_tradnl" w:eastAsia="es-ES_tradnl"/>
        </w:rPr>
        <w:t xml:space="preserve">Estimado señor </w:t>
      </w:r>
      <w:r>
        <w:rPr>
          <w:rFonts w:ascii="Verdana" w:eastAsia="Times New Roman" w:hAnsi="Verdana" w:cs="Times New Roman"/>
          <w:lang w:val="es-ES_tradnl" w:eastAsia="es-ES_tradnl"/>
        </w:rPr>
        <w:t>Vargas</w:t>
      </w:r>
      <w:r w:rsidRPr="00DF3EEC">
        <w:rPr>
          <w:rFonts w:ascii="Verdana" w:eastAsia="Times New Roman" w:hAnsi="Verdana" w:cs="Times New Roman"/>
          <w:lang w:val="es-ES_tradnl" w:eastAsia="es-ES_tradnl"/>
        </w:rPr>
        <w:t xml:space="preserve">: </w:t>
      </w:r>
    </w:p>
    <w:p w14:paraId="7EDF3CF8" w14:textId="77777777" w:rsidR="00491EDE" w:rsidRPr="00DF3EEC" w:rsidRDefault="00491EDE" w:rsidP="00491EDE">
      <w:pPr>
        <w:tabs>
          <w:tab w:val="left" w:pos="3768"/>
        </w:tabs>
        <w:spacing w:after="0" w:line="276" w:lineRule="auto"/>
        <w:jc w:val="both"/>
        <w:rPr>
          <w:rFonts w:ascii="Verdana" w:eastAsia="Calibri" w:hAnsi="Verdana" w:cs="Times New Roman"/>
          <w:color w:val="000000"/>
          <w:lang w:val="es-ES" w:eastAsia="es-ES"/>
        </w:rPr>
      </w:pPr>
      <w:r w:rsidRPr="00DF3EEC">
        <w:rPr>
          <w:rFonts w:ascii="Verdana" w:eastAsia="Calibri" w:hAnsi="Verdana" w:cs="Times New Roman"/>
          <w:color w:val="000000"/>
          <w:lang w:val="es-ES" w:eastAsia="es-ES"/>
        </w:rPr>
        <w:tab/>
      </w:r>
    </w:p>
    <w:p w14:paraId="5532FF49" w14:textId="77777777" w:rsidR="00491EDE" w:rsidRPr="00DF3EEC" w:rsidRDefault="00491EDE" w:rsidP="00491EDE">
      <w:pPr>
        <w:spacing w:after="0" w:line="276" w:lineRule="auto"/>
        <w:jc w:val="both"/>
        <w:rPr>
          <w:rFonts w:ascii="Verdana" w:eastAsia="Calibri" w:hAnsi="Verdana" w:cs="Times New Roman"/>
          <w:lang w:val="es-ES_tradnl"/>
        </w:rPr>
      </w:pPr>
      <w:r w:rsidRPr="00DF3EEC">
        <w:rPr>
          <w:rFonts w:ascii="Verdana" w:eastAsia="Calibri" w:hAnsi="Verdana" w:cs="Times New Roman"/>
          <w:lang w:val="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Times New Roman"/>
          <w:lang w:val="es-ES_tradnl"/>
        </w:rPr>
        <w:t>04</w:t>
      </w:r>
      <w:r w:rsidRPr="00DF3EEC">
        <w:rPr>
          <w:rFonts w:ascii="Verdana" w:eastAsia="Calibri" w:hAnsi="Verdana" w:cs="Times New Roman"/>
          <w:lang w:val="es-ES_tradnl"/>
        </w:rPr>
        <w:t xml:space="preserve"> de </w:t>
      </w:r>
      <w:r>
        <w:rPr>
          <w:rFonts w:ascii="Verdana" w:eastAsia="Calibri" w:hAnsi="Verdana" w:cs="Times New Roman"/>
          <w:lang w:val="es-ES_tradnl"/>
        </w:rPr>
        <w:t>abril</w:t>
      </w:r>
      <w:r w:rsidRPr="00DF3EEC">
        <w:rPr>
          <w:rFonts w:ascii="Verdana" w:eastAsia="Calibri" w:hAnsi="Verdana" w:cs="Times New Roman"/>
          <w:lang w:val="es-ES_tradnl"/>
        </w:rPr>
        <w:t xml:space="preserve"> de 202</w:t>
      </w:r>
      <w:r>
        <w:rPr>
          <w:rFonts w:ascii="Verdana" w:eastAsia="Calibri" w:hAnsi="Verdana" w:cs="Times New Roman"/>
          <w:lang w:val="es-ES_tradnl"/>
        </w:rPr>
        <w:t>5</w:t>
      </w:r>
      <w:r w:rsidRPr="00DF3EEC">
        <w:rPr>
          <w:rFonts w:ascii="Verdana" w:eastAsia="Calibri" w:hAnsi="Verdana" w:cs="Times New Roman"/>
          <w:lang w:val="es-ES_tradnl"/>
        </w:rPr>
        <w:t xml:space="preserve">, en la cual manifiesta lo siguiente: </w:t>
      </w:r>
    </w:p>
    <w:p w14:paraId="207883D7" w14:textId="77777777" w:rsidR="00491EDE" w:rsidRPr="00DF3EEC" w:rsidRDefault="00491EDE" w:rsidP="00491EDE">
      <w:pPr>
        <w:tabs>
          <w:tab w:val="left" w:pos="142"/>
          <w:tab w:val="left" w:pos="284"/>
        </w:tabs>
        <w:spacing w:line="240" w:lineRule="auto"/>
        <w:contextualSpacing/>
        <w:jc w:val="both"/>
        <w:rPr>
          <w:rFonts w:ascii="Verdana" w:eastAsia="Calibri" w:hAnsi="Verdana" w:cs="Times New Roman"/>
          <w:sz w:val="20"/>
          <w:szCs w:val="20"/>
          <w:lang w:val="es-ES_tradnl"/>
        </w:rPr>
      </w:pPr>
    </w:p>
    <w:p w14:paraId="4A668D4C" w14:textId="77777777" w:rsidR="00491EDE" w:rsidRDefault="00491EDE" w:rsidP="00491EDE">
      <w:pPr>
        <w:spacing w:after="0" w:line="240" w:lineRule="auto"/>
        <w:ind w:left="709" w:right="616"/>
        <w:jc w:val="both"/>
        <w:rPr>
          <w:rFonts w:ascii="Verdana" w:eastAsia="Calibri" w:hAnsi="Verdana" w:cs="Times New Roman"/>
          <w:sz w:val="21"/>
          <w:szCs w:val="21"/>
        </w:rPr>
      </w:pPr>
      <w:bookmarkStart w:id="1" w:name="_Hlk95313578"/>
      <w:r w:rsidRPr="00DF3EEC">
        <w:rPr>
          <w:rFonts w:ascii="Verdana" w:eastAsia="Calibri" w:hAnsi="Verdana" w:cs="Times New Roman"/>
          <w:sz w:val="21"/>
          <w:szCs w:val="21"/>
          <w:lang w:val="es-ES"/>
        </w:rPr>
        <w:t>“</w:t>
      </w:r>
      <w:bookmarkEnd w:id="1"/>
      <w:r w:rsidRPr="00DF3EEC">
        <w:rPr>
          <w:rFonts w:ascii="Verdana" w:eastAsia="Calibri" w:hAnsi="Verdana" w:cs="Times New Roman"/>
          <w:sz w:val="21"/>
          <w:szCs w:val="21"/>
        </w:rPr>
        <w:t xml:space="preserve">Solicito amablemente me den un concepto del mismo modo que el Concepto C- 421 de 2024 del 13 de septiembre de 2024, el cual por favor haga alusión al documento base de obra de infraestructura de transporte para procesos de licitación pública – Versión 4. Ya que cuando se dio respuesta mediante el Concepto C- 421 de 2024 , solo hace referencia a la Versión 3 del documento base de obra de infraestructura de transporte, Debido a que al momento de emitir el Concepto C- 421 de 2024 , aun no se encontraba en aplicación la versión de 4 de estos , si no que se adoptaron a los procesos publicados a partir del 3 de febrero de 2025y ya se encuentran en vigencia actualmente, ya que en la V- 4 del documento base de obra de infraestructura de transporte licitación </w:t>
      </w:r>
      <w:proofErr w:type="spellStart"/>
      <w:r w:rsidRPr="00DF3EEC">
        <w:rPr>
          <w:rFonts w:ascii="Verdana" w:eastAsia="Calibri" w:hAnsi="Verdana" w:cs="Times New Roman"/>
          <w:sz w:val="21"/>
          <w:szCs w:val="21"/>
        </w:rPr>
        <w:t>Publica</w:t>
      </w:r>
      <w:proofErr w:type="spellEnd"/>
      <w:r w:rsidRPr="00DF3EEC">
        <w:rPr>
          <w:rFonts w:ascii="Verdana" w:eastAsia="Calibri" w:hAnsi="Verdana" w:cs="Times New Roman"/>
          <w:sz w:val="21"/>
          <w:szCs w:val="21"/>
        </w:rPr>
        <w:t xml:space="preserve"> , los literales cambian , el literal Z Cambia por el literal X y el numeral 3.10 por el </w:t>
      </w:r>
      <w:proofErr w:type="gramStart"/>
      <w:r w:rsidRPr="00DF3EEC">
        <w:rPr>
          <w:rFonts w:ascii="Verdana" w:eastAsia="Calibri" w:hAnsi="Verdana" w:cs="Times New Roman"/>
          <w:sz w:val="21"/>
          <w:szCs w:val="21"/>
        </w:rPr>
        <w:t>3.11 ,</w:t>
      </w:r>
      <w:proofErr w:type="gramEnd"/>
      <w:r w:rsidRPr="00DF3EEC">
        <w:rPr>
          <w:rFonts w:ascii="Verdana" w:eastAsia="Calibri" w:hAnsi="Verdana" w:cs="Times New Roman"/>
          <w:sz w:val="21"/>
          <w:szCs w:val="21"/>
        </w:rPr>
        <w:t xml:space="preserve"> dando esta respuesta daría mayor claridad a las proveedores y entidades estatales que aplican los documentos tipo</w:t>
      </w:r>
      <w:proofErr w:type="gramStart"/>
      <w:r w:rsidRPr="00DF3EEC">
        <w:rPr>
          <w:rFonts w:ascii="Verdana" w:eastAsia="Calibri" w:hAnsi="Verdana" w:cs="Times New Roman"/>
          <w:sz w:val="21"/>
          <w:szCs w:val="21"/>
        </w:rPr>
        <w:t>”.(</w:t>
      </w:r>
      <w:proofErr w:type="gramEnd"/>
      <w:r w:rsidRPr="00DF3EEC">
        <w:rPr>
          <w:rFonts w:ascii="Verdana" w:eastAsia="Calibri" w:hAnsi="Verdana" w:cs="Times New Roman"/>
          <w:sz w:val="21"/>
          <w:szCs w:val="21"/>
        </w:rPr>
        <w:t>Sic)</w:t>
      </w:r>
    </w:p>
    <w:p w14:paraId="5B476D4E" w14:textId="77777777" w:rsidR="00491EDE" w:rsidRPr="00DF3EEC" w:rsidRDefault="00491EDE" w:rsidP="00491EDE">
      <w:pPr>
        <w:spacing w:after="0" w:line="240" w:lineRule="auto"/>
        <w:ind w:left="709" w:right="616"/>
        <w:jc w:val="both"/>
        <w:rPr>
          <w:rFonts w:ascii="Verdana" w:eastAsia="Calibri" w:hAnsi="Verdana" w:cs="Times New Roman"/>
          <w:sz w:val="21"/>
          <w:szCs w:val="21"/>
          <w:lang w:val="es-ES_tradnl"/>
        </w:rPr>
      </w:pPr>
    </w:p>
    <w:p w14:paraId="5E393B3A" w14:textId="77777777" w:rsidR="00491EDE" w:rsidRPr="00DF3EEC" w:rsidRDefault="00491EDE" w:rsidP="00491EDE">
      <w:pPr>
        <w:spacing w:after="120" w:line="276" w:lineRule="auto"/>
        <w:ind w:firstLine="709"/>
        <w:jc w:val="both"/>
        <w:rPr>
          <w:rFonts w:ascii="Verdana" w:eastAsia="Calibri" w:hAnsi="Verdana" w:cs="Times New Roman"/>
          <w:lang w:val="es-ES"/>
        </w:rPr>
      </w:pPr>
      <w:r w:rsidRPr="00DF3EEC">
        <w:rPr>
          <w:rFonts w:ascii="Verdana" w:eastAsia="Calibri" w:hAnsi="Verdana" w:cs="Times New Roman"/>
          <w:lang w:val="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F3EEC">
        <w:rPr>
          <w:rFonts w:ascii="Calibri" w:eastAsia="Calibri" w:hAnsi="Calibri" w:cs="Times New Roman"/>
        </w:rPr>
        <w:tab/>
      </w:r>
    </w:p>
    <w:p w14:paraId="54A1FD81" w14:textId="77777777" w:rsidR="00491EDE" w:rsidRPr="00DF3EEC" w:rsidRDefault="00491EDE" w:rsidP="00491EDE">
      <w:pPr>
        <w:spacing w:after="0" w:line="276" w:lineRule="auto"/>
        <w:ind w:firstLine="709"/>
        <w:jc w:val="both"/>
        <w:rPr>
          <w:rFonts w:ascii="Verdana" w:eastAsia="Calibri" w:hAnsi="Verdana" w:cs="Times New Roman"/>
          <w:lang w:val="es-ES"/>
        </w:rPr>
      </w:pPr>
      <w:r w:rsidRPr="00DF3EEC">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5872B1B" w14:textId="77777777" w:rsidR="00491EDE" w:rsidRPr="00DF3EEC" w:rsidRDefault="00491EDE" w:rsidP="00491EDE">
      <w:pPr>
        <w:spacing w:after="0" w:line="276" w:lineRule="auto"/>
        <w:ind w:firstLine="709"/>
        <w:jc w:val="both"/>
        <w:rPr>
          <w:rFonts w:ascii="Verdana" w:eastAsia="Calibri" w:hAnsi="Verdana" w:cs="Times New Roman"/>
          <w:color w:val="000000"/>
          <w:lang w:val="es-ES" w:eastAsia="es-ES"/>
        </w:rPr>
      </w:pPr>
    </w:p>
    <w:p w14:paraId="0D8DA492" w14:textId="77777777" w:rsidR="00491EDE" w:rsidRPr="00DF3EEC" w:rsidRDefault="00491EDE" w:rsidP="00491EDE">
      <w:pPr>
        <w:numPr>
          <w:ilvl w:val="0"/>
          <w:numId w:val="16"/>
        </w:numPr>
        <w:tabs>
          <w:tab w:val="left" w:pos="142"/>
          <w:tab w:val="left" w:pos="284"/>
        </w:tabs>
        <w:spacing w:after="0" w:line="276" w:lineRule="auto"/>
        <w:jc w:val="both"/>
        <w:rPr>
          <w:rFonts w:ascii="Verdana" w:eastAsia="Century Gothic" w:hAnsi="Verdana" w:cs="Times New Roman"/>
          <w:b/>
          <w:bCs/>
          <w:lang w:val="es-ES"/>
        </w:rPr>
      </w:pPr>
      <w:r w:rsidRPr="00DF3EEC">
        <w:rPr>
          <w:rFonts w:ascii="Verdana" w:eastAsia="Century Gothic" w:hAnsi="Verdana" w:cs="Times New Roman"/>
          <w:b/>
          <w:bCs/>
          <w:lang w:val="es-ES"/>
        </w:rPr>
        <w:t>Problema planteado:</w:t>
      </w:r>
    </w:p>
    <w:p w14:paraId="0DEF2EE3" w14:textId="77777777" w:rsidR="00491EDE" w:rsidRPr="00DF3EEC" w:rsidRDefault="00491EDE" w:rsidP="00491EDE">
      <w:pPr>
        <w:tabs>
          <w:tab w:val="left" w:pos="426"/>
        </w:tabs>
        <w:spacing w:after="0" w:line="276" w:lineRule="auto"/>
        <w:jc w:val="both"/>
        <w:rPr>
          <w:rFonts w:ascii="Verdana" w:eastAsia="Century Gothic" w:hAnsi="Verdana" w:cs="Times New Roman"/>
          <w:lang w:val="es-ES"/>
        </w:rPr>
      </w:pPr>
    </w:p>
    <w:p w14:paraId="2BE676A2" w14:textId="18737742" w:rsidR="00491EDE" w:rsidRPr="00DF3EEC" w:rsidRDefault="00491EDE" w:rsidP="00491EDE">
      <w:pPr>
        <w:spacing w:after="0" w:line="276" w:lineRule="auto"/>
        <w:jc w:val="both"/>
        <w:rPr>
          <w:rFonts w:ascii="Verdana" w:eastAsia="Calibri" w:hAnsi="Verdana" w:cs="Times New Roman"/>
          <w:lang w:val="es-ES_tradnl"/>
        </w:rPr>
      </w:pPr>
      <w:r w:rsidRPr="006B04D6">
        <w:rPr>
          <w:rFonts w:ascii="Verdana" w:eastAsia="Calibri" w:hAnsi="Verdana" w:cs="Times New Roman"/>
          <w:lang w:val="es-ES_tradnl"/>
        </w:rPr>
        <w:t xml:space="preserve">De acuerdo con el contenido de su solicitud, esta Agencia resolverá los siguientes problemas jurídico: </w:t>
      </w:r>
      <w:r w:rsidRPr="006B04D6">
        <w:rPr>
          <w:rFonts w:ascii="Verdana" w:eastAsia="Century Gothic" w:hAnsi="Verdana" w:cs="Times New Roman"/>
        </w:rPr>
        <w:t>¿Al momento del cierre el proponente puede incluir información de contratos adicionales en el formato 5</w:t>
      </w:r>
      <w:r w:rsidR="00355F5A">
        <w:rPr>
          <w:rFonts w:ascii="Verdana" w:eastAsia="Century Gothic" w:hAnsi="Verdana" w:cs="Times New Roman"/>
        </w:rPr>
        <w:t xml:space="preserve"> </w:t>
      </w:r>
      <w:r w:rsidR="00623E63">
        <w:rPr>
          <w:rFonts w:ascii="Verdana" w:eastAsia="Calibri" w:hAnsi="Verdana" w:cs="Times New Roman"/>
          <w:lang w:val="es-ES"/>
        </w:rPr>
        <w:t xml:space="preserve">de los documentos tipo de licitación de obra pública </w:t>
      </w:r>
      <w:r w:rsidR="00623E63" w:rsidRPr="00DF3EEC">
        <w:rPr>
          <w:rFonts w:ascii="Verdana" w:eastAsia="Calibri" w:hAnsi="Verdana" w:cs="Times New Roman"/>
          <w:lang w:val="es-ES"/>
        </w:rPr>
        <w:t xml:space="preserve">de </w:t>
      </w:r>
      <w:r w:rsidR="00623E63">
        <w:rPr>
          <w:rFonts w:ascii="Verdana" w:eastAsia="Calibri" w:hAnsi="Verdana" w:cs="Times New Roman"/>
          <w:lang w:val="es-ES"/>
        </w:rPr>
        <w:t xml:space="preserve">infraestructura de </w:t>
      </w:r>
      <w:r w:rsidR="00623E63" w:rsidRPr="00DF3EEC">
        <w:rPr>
          <w:rFonts w:ascii="Verdana" w:eastAsia="Calibri" w:hAnsi="Verdana" w:cs="Times New Roman"/>
          <w:lang w:val="es-ES"/>
        </w:rPr>
        <w:t>transporte</w:t>
      </w:r>
      <w:r w:rsidR="00623E63">
        <w:rPr>
          <w:rFonts w:ascii="Verdana" w:eastAsia="Calibri" w:hAnsi="Verdana" w:cs="Times New Roman"/>
          <w:lang w:val="es-ES"/>
        </w:rPr>
        <w:t xml:space="preserve"> </w:t>
      </w:r>
      <w:r w:rsidR="00623E63" w:rsidRPr="00DF3EEC">
        <w:rPr>
          <w:rFonts w:ascii="Verdana" w:eastAsia="Calibri" w:hAnsi="Verdana" w:cs="Times New Roman"/>
          <w:lang w:val="es-ES"/>
        </w:rPr>
        <w:t xml:space="preserve">– Versión </w:t>
      </w:r>
      <w:r w:rsidR="00623E63">
        <w:rPr>
          <w:rFonts w:ascii="Verdana" w:eastAsia="Calibri" w:hAnsi="Verdana" w:cs="Times New Roman"/>
          <w:lang w:val="es-ES"/>
        </w:rPr>
        <w:t>4</w:t>
      </w:r>
      <w:r w:rsidRPr="006B04D6">
        <w:rPr>
          <w:rFonts w:ascii="Verdana" w:eastAsia="Century Gothic" w:hAnsi="Verdana" w:cs="Times New Roman"/>
        </w:rPr>
        <w:t>?</w:t>
      </w:r>
    </w:p>
    <w:p w14:paraId="4361F939" w14:textId="77777777" w:rsidR="00491EDE" w:rsidRPr="00DF3EEC" w:rsidRDefault="00491EDE" w:rsidP="00491EDE">
      <w:pPr>
        <w:spacing w:after="0" w:line="276" w:lineRule="auto"/>
        <w:jc w:val="both"/>
        <w:rPr>
          <w:rFonts w:ascii="Verdana" w:eastAsia="Century Gothic" w:hAnsi="Verdana" w:cs="Times New Roman"/>
        </w:rPr>
      </w:pPr>
      <w:r w:rsidRPr="00DF3EEC">
        <w:rPr>
          <w:rFonts w:ascii="Verdana" w:eastAsia="Calibri" w:hAnsi="Verdana" w:cs="Times New Roman"/>
          <w:lang w:val="es-ES_tradnl"/>
        </w:rPr>
        <w:t xml:space="preserve"> </w:t>
      </w:r>
    </w:p>
    <w:p w14:paraId="20A2C76A" w14:textId="77777777" w:rsidR="00491EDE" w:rsidRPr="00DF3EEC" w:rsidRDefault="00491EDE" w:rsidP="00491EDE">
      <w:pPr>
        <w:numPr>
          <w:ilvl w:val="0"/>
          <w:numId w:val="16"/>
        </w:numPr>
        <w:tabs>
          <w:tab w:val="left" w:pos="142"/>
          <w:tab w:val="left" w:pos="284"/>
        </w:tabs>
        <w:spacing w:after="0" w:line="276" w:lineRule="auto"/>
        <w:jc w:val="both"/>
        <w:rPr>
          <w:rFonts w:ascii="Verdana" w:eastAsia="Century Gothic" w:hAnsi="Verdana" w:cs="Times New Roman"/>
          <w:b/>
          <w:bCs/>
          <w:lang w:val="es-ES"/>
        </w:rPr>
      </w:pPr>
      <w:r w:rsidRPr="00DF3EEC">
        <w:rPr>
          <w:rFonts w:ascii="Verdana" w:eastAsia="Century Gothic" w:hAnsi="Verdana" w:cs="Times New Roman"/>
          <w:b/>
          <w:bCs/>
          <w:lang w:val="es-ES"/>
        </w:rPr>
        <w:t>Respuesta:</w:t>
      </w:r>
    </w:p>
    <w:p w14:paraId="1FC900D5" w14:textId="77777777" w:rsidR="00491EDE" w:rsidRPr="00DF3EEC" w:rsidRDefault="00491EDE" w:rsidP="00491EDE">
      <w:pPr>
        <w:tabs>
          <w:tab w:val="left" w:pos="142"/>
          <w:tab w:val="left" w:pos="284"/>
        </w:tabs>
        <w:spacing w:after="0" w:line="276" w:lineRule="auto"/>
        <w:jc w:val="both"/>
        <w:rPr>
          <w:rFonts w:ascii="Verdana" w:eastAsia="Century Gothic" w:hAnsi="Verdana" w:cs="Times New Roman"/>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91EDE" w:rsidRPr="00DF3EEC" w14:paraId="1C3FC1FD" w14:textId="77777777" w:rsidTr="00413573">
        <w:tc>
          <w:tcPr>
            <w:tcW w:w="8828" w:type="dxa"/>
            <w:shd w:val="clear" w:color="auto" w:fill="auto"/>
          </w:tcPr>
          <w:p w14:paraId="7D319E40" w14:textId="77777777" w:rsidR="00491EDE" w:rsidRDefault="00491EDE" w:rsidP="00413573">
            <w:pPr>
              <w:spacing w:line="276" w:lineRule="auto"/>
              <w:jc w:val="both"/>
              <w:rPr>
                <w:rFonts w:ascii="Verdana" w:eastAsia="Calibri" w:hAnsi="Verdana" w:cs="Times New Roman"/>
                <w:bCs/>
                <w:color w:val="000000"/>
                <w:lang w:val="es-MX"/>
              </w:rPr>
            </w:pPr>
            <w:r w:rsidRPr="00DF3EEC">
              <w:rPr>
                <w:rFonts w:ascii="Verdana" w:eastAsia="Calibri" w:hAnsi="Verdana" w:cs="Times New Roman"/>
                <w:bCs/>
                <w:color w:val="000000"/>
                <w:lang w:val="es-MX"/>
              </w:rPr>
              <w:t>El numeral 3.1</w:t>
            </w:r>
            <w:r>
              <w:rPr>
                <w:rFonts w:ascii="Verdana" w:eastAsia="Calibri" w:hAnsi="Verdana" w:cs="Times New Roman"/>
                <w:bCs/>
                <w:color w:val="000000"/>
                <w:lang w:val="es-MX"/>
              </w:rPr>
              <w:t>1</w:t>
            </w:r>
            <w:r w:rsidRPr="00DF3EEC">
              <w:rPr>
                <w:rFonts w:ascii="Verdana" w:eastAsia="Calibri" w:hAnsi="Verdana" w:cs="Times New Roman"/>
                <w:bCs/>
                <w:color w:val="000000"/>
                <w:lang w:val="es-MX"/>
              </w:rPr>
              <w:t xml:space="preserve"> del documento base </w:t>
            </w:r>
            <w:r>
              <w:rPr>
                <w:rFonts w:ascii="Verdana" w:eastAsia="Calibri" w:hAnsi="Verdana" w:cs="Times New Roman"/>
                <w:lang w:val="es-ES"/>
              </w:rPr>
              <w:t xml:space="preserve">del documento tipo licitación de obra pública </w:t>
            </w:r>
            <w:r w:rsidRPr="00DF3EEC">
              <w:rPr>
                <w:rFonts w:ascii="Verdana" w:eastAsia="Calibri" w:hAnsi="Verdana" w:cs="Times New Roman"/>
                <w:lang w:val="es-ES"/>
              </w:rPr>
              <w:t xml:space="preserve">de </w:t>
            </w:r>
            <w:r>
              <w:rPr>
                <w:rFonts w:ascii="Verdana" w:eastAsia="Calibri" w:hAnsi="Verdana" w:cs="Times New Roman"/>
                <w:lang w:val="es-ES"/>
              </w:rPr>
              <w:t xml:space="preserve">infraestructura de </w:t>
            </w:r>
            <w:r w:rsidRPr="00DF3EEC">
              <w:rPr>
                <w:rFonts w:ascii="Verdana" w:eastAsia="Calibri" w:hAnsi="Verdana" w:cs="Times New Roman"/>
                <w:lang w:val="es-ES"/>
              </w:rPr>
              <w:t>transporte</w:t>
            </w:r>
            <w:r>
              <w:rPr>
                <w:rFonts w:ascii="Verdana" w:eastAsia="Calibri" w:hAnsi="Verdana" w:cs="Times New Roman"/>
                <w:lang w:val="es-ES"/>
              </w:rPr>
              <w:t xml:space="preserve"> </w:t>
            </w:r>
            <w:r w:rsidRPr="00DF3EEC">
              <w:rPr>
                <w:rFonts w:ascii="Verdana" w:eastAsia="Calibri" w:hAnsi="Verdana" w:cs="Times New Roman"/>
                <w:lang w:val="es-ES"/>
              </w:rPr>
              <w:t xml:space="preserve">– Versión </w:t>
            </w:r>
            <w:r>
              <w:rPr>
                <w:rFonts w:ascii="Verdana" w:eastAsia="Calibri" w:hAnsi="Verdana" w:cs="Times New Roman"/>
                <w:lang w:val="es-ES"/>
              </w:rPr>
              <w:t>4</w:t>
            </w:r>
            <w:r w:rsidRPr="00DF3EEC">
              <w:rPr>
                <w:rFonts w:ascii="Verdana" w:eastAsia="Calibri" w:hAnsi="Verdana" w:cs="Times New Roman"/>
                <w:lang w:val="es-ES"/>
              </w:rPr>
              <w:t xml:space="preserve">, </w:t>
            </w:r>
            <w:r w:rsidRPr="00DF3EEC">
              <w:rPr>
                <w:rFonts w:ascii="Verdana" w:eastAsia="Calibri" w:hAnsi="Verdana" w:cs="Times New Roman"/>
                <w:bCs/>
                <w:color w:val="000000"/>
                <w:lang w:val="es-MX"/>
              </w:rPr>
              <w:t xml:space="preserve">establece como requisito habilitante la capacidad residual. En este documento tipo, al menos tres causales de rechazo del numeral 1.15 se relacionan con la capacidad residual como requisito habilitante, esto es, los literales E, H y </w:t>
            </w:r>
            <w:r>
              <w:rPr>
                <w:rFonts w:ascii="Verdana" w:eastAsia="Calibri" w:hAnsi="Verdana" w:cs="Times New Roman"/>
                <w:bCs/>
                <w:color w:val="000000"/>
                <w:lang w:val="es-MX"/>
              </w:rPr>
              <w:t>X. Estas causales disponen lo siguiente:</w:t>
            </w:r>
          </w:p>
          <w:p w14:paraId="73910A43" w14:textId="77777777" w:rsidR="00491EDE" w:rsidRDefault="00491EDE" w:rsidP="00413573">
            <w:pPr>
              <w:spacing w:line="276" w:lineRule="auto"/>
              <w:jc w:val="both"/>
              <w:rPr>
                <w:rFonts w:ascii="Verdana" w:eastAsia="Calibri" w:hAnsi="Verdana" w:cs="Times New Roman"/>
                <w:bCs/>
                <w:color w:val="000000"/>
                <w:lang w:val="es-MX"/>
              </w:rPr>
            </w:pPr>
          </w:p>
          <w:p w14:paraId="1E43A6DA" w14:textId="77777777" w:rsidR="00491EDE" w:rsidRPr="00413573" w:rsidRDefault="00491EDE" w:rsidP="00413573">
            <w:pPr>
              <w:ind w:left="709" w:right="709" w:firstLine="33"/>
              <w:rPr>
                <w:rFonts w:ascii="Verdana" w:hAnsi="Verdana"/>
                <w:b/>
                <w:bCs/>
                <w:sz w:val="21"/>
                <w:szCs w:val="21"/>
              </w:rPr>
            </w:pPr>
            <w:r w:rsidRPr="00413573">
              <w:rPr>
                <w:rFonts w:ascii="Verdana" w:hAnsi="Verdana"/>
                <w:b/>
                <w:bCs/>
                <w:sz w:val="21"/>
                <w:szCs w:val="21"/>
              </w:rPr>
              <w:t>1.15 CAUSALES DE RECHAZO</w:t>
            </w:r>
          </w:p>
          <w:p w14:paraId="2464AC13" w14:textId="77777777" w:rsidR="00491EDE" w:rsidRPr="004C0D66" w:rsidRDefault="00491EDE" w:rsidP="00413573">
            <w:pPr>
              <w:spacing w:after="120"/>
              <w:ind w:left="709" w:right="709"/>
              <w:rPr>
                <w:rFonts w:ascii="Verdana" w:hAnsi="Verdana"/>
                <w:sz w:val="21"/>
                <w:szCs w:val="21"/>
                <w:lang w:val="es-MX"/>
              </w:rPr>
            </w:pPr>
            <w:r w:rsidRPr="00413573">
              <w:rPr>
                <w:rFonts w:ascii="Verdana" w:hAnsi="Verdana"/>
                <w:sz w:val="21"/>
                <w:szCs w:val="21"/>
                <w:lang w:val="es-MX"/>
              </w:rPr>
              <w:lastRenderedPageBreak/>
              <w:t xml:space="preserve">Son causales de rechazo de las propuestas las siguientes </w:t>
            </w:r>
            <w:r w:rsidRPr="00413573">
              <w:rPr>
                <w:rFonts w:ascii="Verdana" w:hAnsi="Verdana"/>
                <w:sz w:val="21"/>
                <w:szCs w:val="21"/>
                <w:highlight w:val="lightGray"/>
                <w:lang w:val="es-MX"/>
              </w:rPr>
              <w:t>[Las entidades no podrán incluir causales de rechazo distintas a las señaladas en la presente sección]</w:t>
            </w:r>
            <w:r w:rsidRPr="00413573">
              <w:rPr>
                <w:rFonts w:ascii="Verdana" w:hAnsi="Verdana"/>
                <w:sz w:val="21"/>
                <w:szCs w:val="21"/>
                <w:lang w:val="es-MX"/>
              </w:rPr>
              <w:t>:</w:t>
            </w:r>
          </w:p>
          <w:p w14:paraId="452A1531" w14:textId="77777777" w:rsidR="00491EDE" w:rsidRPr="00413573" w:rsidRDefault="00491EDE" w:rsidP="00413573">
            <w:pPr>
              <w:spacing w:after="120"/>
              <w:ind w:left="709" w:right="709"/>
              <w:rPr>
                <w:rFonts w:ascii="Verdana" w:hAnsi="Verdana"/>
                <w:sz w:val="21"/>
                <w:szCs w:val="21"/>
                <w:lang w:val="es-MX"/>
              </w:rPr>
            </w:pPr>
            <w:r w:rsidRPr="004C0D66">
              <w:rPr>
                <w:rFonts w:ascii="Verdana" w:hAnsi="Verdana"/>
                <w:sz w:val="21"/>
                <w:szCs w:val="21"/>
                <w:lang w:val="es-MX"/>
              </w:rPr>
              <w:t>(…)</w:t>
            </w:r>
          </w:p>
          <w:p w14:paraId="7A7BCCCB" w14:textId="77777777" w:rsidR="00491EDE" w:rsidRPr="00413573" w:rsidRDefault="00491EDE" w:rsidP="00491EDE">
            <w:pPr>
              <w:pStyle w:val="Prrafodelista"/>
              <w:numPr>
                <w:ilvl w:val="0"/>
                <w:numId w:val="22"/>
              </w:numPr>
              <w:spacing w:after="120"/>
              <w:ind w:left="992" w:right="709" w:hanging="283"/>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7A6C7956" w14:textId="77777777" w:rsidR="00491EDE" w:rsidRPr="00413573" w:rsidRDefault="00491EDE" w:rsidP="00413573">
            <w:pPr>
              <w:pStyle w:val="Prrafodelista"/>
              <w:spacing w:after="120"/>
              <w:ind w:left="709" w:right="709" w:firstLine="283"/>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w:t>
            </w:r>
          </w:p>
          <w:p w14:paraId="2E77C02B" w14:textId="77777777" w:rsidR="00491EDE" w:rsidRDefault="00491EDE" w:rsidP="00491EDE">
            <w:pPr>
              <w:pStyle w:val="Prrafodelista"/>
              <w:numPr>
                <w:ilvl w:val="0"/>
                <w:numId w:val="23"/>
              </w:numPr>
              <w:spacing w:after="120"/>
              <w:ind w:left="1040" w:right="709"/>
              <w:contextualSpacing w:val="0"/>
              <w:jc w:val="both"/>
              <w:rPr>
                <w:rFonts w:ascii="Verdana" w:eastAsia="Arial" w:hAnsi="Verdana" w:cs="Arial"/>
                <w:sz w:val="21"/>
                <w:szCs w:val="21"/>
                <w:lang w:val="es-MX"/>
              </w:rPr>
            </w:pPr>
            <w:r w:rsidRPr="00413573">
              <w:rPr>
                <w:rFonts w:ascii="Verdana" w:eastAsia="Arial" w:hAnsi="Verdana" w:cs="Arial"/>
                <w:sz w:val="21"/>
                <w:szCs w:val="21"/>
                <w:lang w:val="es-MX"/>
              </w:rPr>
              <w:t>Que el proponente aporte información inexacta sobre la cual pueda existir una posible falsedad en los términos de la sección 1.11 del Documento Base</w:t>
            </w:r>
            <w:r>
              <w:rPr>
                <w:rFonts w:ascii="Verdana" w:eastAsia="Arial" w:hAnsi="Verdana" w:cs="Arial"/>
                <w:sz w:val="21"/>
                <w:szCs w:val="21"/>
                <w:lang w:val="es-MX"/>
              </w:rPr>
              <w:t>.</w:t>
            </w:r>
          </w:p>
          <w:p w14:paraId="43140910" w14:textId="77777777" w:rsidR="00491EDE" w:rsidRPr="00413573" w:rsidRDefault="00491EDE" w:rsidP="00413573">
            <w:pPr>
              <w:pStyle w:val="Prrafodelista"/>
              <w:spacing w:after="120"/>
              <w:ind w:left="1040" w:right="709"/>
              <w:contextualSpacing w:val="0"/>
              <w:jc w:val="both"/>
              <w:rPr>
                <w:rFonts w:ascii="Verdana" w:eastAsia="Arial" w:hAnsi="Verdana" w:cs="Arial"/>
                <w:sz w:val="21"/>
                <w:szCs w:val="21"/>
                <w:lang w:val="es-MX"/>
              </w:rPr>
            </w:pPr>
            <w:r>
              <w:rPr>
                <w:rFonts w:ascii="Verdana" w:eastAsia="Arial" w:hAnsi="Verdana" w:cs="Arial"/>
                <w:sz w:val="21"/>
                <w:szCs w:val="21"/>
                <w:lang w:val="es-MX"/>
              </w:rPr>
              <w:t>(…)</w:t>
            </w:r>
          </w:p>
          <w:p w14:paraId="72AC83AD" w14:textId="77777777" w:rsidR="00491EDE" w:rsidRPr="00413573" w:rsidRDefault="00491EDE" w:rsidP="00491EDE">
            <w:pPr>
              <w:pStyle w:val="Prrafodelista"/>
              <w:numPr>
                <w:ilvl w:val="0"/>
                <w:numId w:val="24"/>
              </w:numPr>
              <w:spacing w:after="120"/>
              <w:ind w:right="709"/>
              <w:jc w:val="both"/>
              <w:rPr>
                <w:rFonts w:ascii="Verdana" w:eastAsia="Arial" w:hAnsi="Verdana" w:cs="Arial"/>
                <w:sz w:val="21"/>
                <w:szCs w:val="21"/>
                <w:lang w:val="es-MX"/>
              </w:rPr>
            </w:pPr>
            <w:r w:rsidRPr="00413573">
              <w:rPr>
                <w:rFonts w:ascii="Verdana" w:eastAsia="Arial" w:hAnsi="Verdana" w:cs="Arial"/>
                <w:sz w:val="21"/>
                <w:szCs w:val="21"/>
                <w:lang w:val="es-MX"/>
              </w:rPr>
              <w:t>No informar todos los contratos que el proponente tenga en ejecución antes del cierre, necesarios para acreditar su capacidad residual conforme a la sección 3.11.</w:t>
            </w:r>
          </w:p>
          <w:p w14:paraId="5F446E05" w14:textId="77777777" w:rsidR="00491EDE" w:rsidRPr="00413573" w:rsidRDefault="00491EDE" w:rsidP="00413573">
            <w:pPr>
              <w:ind w:left="1069"/>
              <w:contextualSpacing/>
              <w:jc w:val="both"/>
              <w:rPr>
                <w:rFonts w:ascii="Verdana" w:eastAsia="Calibri" w:hAnsi="Verdana" w:cs="Times New Roman"/>
                <w:sz w:val="21"/>
                <w:szCs w:val="21"/>
                <w:lang w:val="es-ES"/>
              </w:rPr>
            </w:pPr>
            <w:r w:rsidRPr="004C0D66">
              <w:rPr>
                <w:rFonts w:ascii="Verdana" w:eastAsia="Calibri" w:hAnsi="Verdana" w:cs="Times New Roman"/>
                <w:sz w:val="21"/>
                <w:szCs w:val="21"/>
                <w:lang w:val="es-ES"/>
              </w:rPr>
              <w:t xml:space="preserve">(…)”. </w:t>
            </w:r>
          </w:p>
          <w:p w14:paraId="5F3D9E7D" w14:textId="77777777" w:rsidR="00491EDE" w:rsidRDefault="00491EDE" w:rsidP="00413573">
            <w:pPr>
              <w:ind w:left="720"/>
              <w:jc w:val="both"/>
              <w:rPr>
                <w:rFonts w:ascii="Verdana" w:eastAsia="Calibri" w:hAnsi="Verdana" w:cs="Times New Roman"/>
                <w:bCs/>
                <w:color w:val="000000"/>
                <w:lang w:val="es-MX"/>
              </w:rPr>
            </w:pPr>
          </w:p>
          <w:p w14:paraId="59F61818" w14:textId="77777777" w:rsidR="00491EDE" w:rsidRPr="00DF3EEC" w:rsidRDefault="00491EDE" w:rsidP="00413573">
            <w:pPr>
              <w:spacing w:line="276" w:lineRule="auto"/>
              <w:contextualSpacing/>
              <w:jc w:val="both"/>
              <w:rPr>
                <w:rFonts w:ascii="Verdana" w:eastAsia="Calibri" w:hAnsi="Verdana" w:cs="Times New Roman"/>
                <w:lang w:val="es-ES"/>
              </w:rPr>
            </w:pPr>
            <w:r w:rsidRPr="00DF3EEC">
              <w:rPr>
                <w:rFonts w:ascii="Verdana" w:eastAsia="Calibri" w:hAnsi="Verdana" w:cs="Times New Roman"/>
                <w:lang w:val="es-ES"/>
              </w:rPr>
              <w:t xml:space="preserve">i) La causal del literal </w:t>
            </w:r>
            <w:r>
              <w:rPr>
                <w:rFonts w:ascii="Verdana" w:eastAsia="Calibri" w:hAnsi="Verdana" w:cs="Times New Roman"/>
                <w:lang w:val="es-ES"/>
              </w:rPr>
              <w:t>X</w:t>
            </w:r>
            <w:r w:rsidRPr="00DF3EEC">
              <w:rPr>
                <w:rFonts w:ascii="Verdana" w:eastAsia="Calibri" w:hAnsi="Verdana" w:cs="Times New Roman"/>
                <w:lang w:val="es-ES"/>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w:t>
            </w:r>
            <w:r>
              <w:rPr>
                <w:rFonts w:ascii="Verdana" w:eastAsia="Calibri" w:hAnsi="Verdana" w:cs="Times New Roman"/>
                <w:lang w:val="es-ES"/>
              </w:rPr>
              <w:t>X</w:t>
            </w:r>
            <w:r w:rsidRPr="00DF3EEC">
              <w:rPr>
                <w:rFonts w:ascii="Verdana" w:eastAsia="Calibri" w:hAnsi="Verdana" w:cs="Times New Roman"/>
                <w:lang w:val="es-ES"/>
              </w:rPr>
              <w:t xml:space="preserve"> es objetiva, pues solo aplica ante la omisión del proponente de informar el número total de contratos en ejecución antes del cierre</w:t>
            </w:r>
            <w:r>
              <w:rPr>
                <w:rFonts w:ascii="Verdana" w:eastAsia="Calibri" w:hAnsi="Verdana" w:cs="Times New Roman"/>
                <w:lang w:val="es-ES"/>
              </w:rPr>
              <w:t xml:space="preserve"> del proceso, es decir, </w:t>
            </w:r>
            <w:r w:rsidRPr="008E282D">
              <w:rPr>
                <w:rFonts w:ascii="Verdana" w:eastAsia="Calibri" w:hAnsi="Verdana" w:cs="Times New Roman"/>
                <w:lang w:val="es-ES"/>
              </w:rPr>
              <w:t xml:space="preserve">opera también </w:t>
            </w:r>
            <w:r w:rsidRPr="00526817">
              <w:rPr>
                <w:rFonts w:ascii="Verdana" w:eastAsia="Calibri" w:hAnsi="Verdana" w:cs="Times New Roman"/>
                <w:lang w:val="es-ES"/>
              </w:rPr>
              <w:t>cuando no se aporte con la oferta el Formato 5, sólo si, con ello se está omitiendo informar contratos que tenga en ejecución el proponente.</w:t>
            </w:r>
          </w:p>
          <w:p w14:paraId="51074621" w14:textId="77777777" w:rsidR="00491EDE" w:rsidRPr="00DF3EEC" w:rsidRDefault="00491EDE" w:rsidP="00413573">
            <w:pPr>
              <w:spacing w:line="276" w:lineRule="auto"/>
              <w:ind w:left="720"/>
              <w:contextualSpacing/>
              <w:jc w:val="both"/>
              <w:rPr>
                <w:rFonts w:ascii="Verdana" w:eastAsia="Calibri" w:hAnsi="Verdana" w:cs="Times New Roman"/>
                <w:lang w:val="es-ES"/>
              </w:rPr>
            </w:pPr>
          </w:p>
          <w:p w14:paraId="1F1A5208" w14:textId="77777777" w:rsidR="00491EDE" w:rsidRPr="00DF3EEC" w:rsidRDefault="00491EDE" w:rsidP="00413573">
            <w:pPr>
              <w:spacing w:line="276" w:lineRule="auto"/>
              <w:contextualSpacing/>
              <w:jc w:val="both"/>
              <w:rPr>
                <w:rFonts w:ascii="Verdana" w:eastAsia="Calibri" w:hAnsi="Verdana" w:cs="Times New Roman"/>
                <w:lang w:val="es-ES"/>
              </w:rPr>
            </w:pPr>
            <w:proofErr w:type="spellStart"/>
            <w:r w:rsidRPr="00DF3EEC">
              <w:rPr>
                <w:rFonts w:ascii="Verdana" w:eastAsia="Calibri" w:hAnsi="Verdana" w:cs="Times New Roman"/>
                <w:lang w:val="es-ES"/>
              </w:rPr>
              <w:t>ii</w:t>
            </w:r>
            <w:proofErr w:type="spellEnd"/>
            <w:r w:rsidRPr="00DF3EEC">
              <w:rPr>
                <w:rFonts w:ascii="Verdana" w:eastAsia="Calibri" w:hAnsi="Verdana" w:cs="Times New Roman"/>
                <w:lang w:val="es-ES"/>
              </w:rPr>
              <w:t xml:space="preserve">) Lo anterior, sin perjuicio de que para el proponente tenga consecuencias omitir o errar en la información específica de cada contrato –esto es, la cuantía o el plazo, entre otros–, pues la entidad podrá requerirlo para que aclare la </w:t>
            </w:r>
            <w:r w:rsidRPr="00DF3EEC">
              <w:rPr>
                <w:rFonts w:ascii="Verdana" w:eastAsia="Calibri" w:hAnsi="Verdana" w:cs="Times New Roman"/>
                <w:lang w:val="es-ES"/>
              </w:rPr>
              <w:lastRenderedPageBreak/>
              <w:t xml:space="preserve">información y, en caso de no responder, rechazar la propuesta por la causal que consagra el literal E del numeral 1.15. </w:t>
            </w:r>
          </w:p>
          <w:p w14:paraId="4FC9C1EA" w14:textId="77777777" w:rsidR="00491EDE" w:rsidRPr="00DF3EEC" w:rsidRDefault="00491EDE" w:rsidP="00413573">
            <w:pPr>
              <w:spacing w:line="276" w:lineRule="auto"/>
              <w:ind w:left="720"/>
              <w:contextualSpacing/>
              <w:jc w:val="both"/>
              <w:rPr>
                <w:rFonts w:ascii="Verdana" w:eastAsia="Calibri" w:hAnsi="Verdana" w:cs="Times New Roman"/>
                <w:lang w:val="es-ES"/>
              </w:rPr>
            </w:pPr>
          </w:p>
          <w:p w14:paraId="0A211304" w14:textId="77777777" w:rsidR="00491EDE" w:rsidRPr="00DF3EEC" w:rsidRDefault="00491EDE" w:rsidP="00413573">
            <w:pPr>
              <w:spacing w:line="276" w:lineRule="auto"/>
              <w:contextualSpacing/>
              <w:jc w:val="both"/>
              <w:rPr>
                <w:rFonts w:ascii="Verdana" w:eastAsia="Calibri" w:hAnsi="Verdana" w:cs="Times New Roman"/>
                <w:lang w:val="es-ES"/>
              </w:rPr>
            </w:pPr>
            <w:proofErr w:type="spellStart"/>
            <w:r w:rsidRPr="00DF3EEC">
              <w:rPr>
                <w:rFonts w:ascii="Verdana" w:eastAsia="Calibri" w:hAnsi="Verdana" w:cs="Times New Roman"/>
                <w:lang w:val="es-ES"/>
              </w:rPr>
              <w:t>iii</w:t>
            </w:r>
            <w:proofErr w:type="spellEnd"/>
            <w:r w:rsidRPr="00DF3EEC">
              <w:rPr>
                <w:rFonts w:ascii="Verdana" w:eastAsia="Calibri" w:hAnsi="Verdana" w:cs="Times New Roman"/>
                <w:lang w:val="es-ES"/>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31E32E3C" w14:textId="77777777" w:rsidR="00491EDE" w:rsidRDefault="00491EDE" w:rsidP="00413573">
            <w:pPr>
              <w:jc w:val="both"/>
              <w:rPr>
                <w:rFonts w:ascii="Verdana" w:eastAsia="Calibri" w:hAnsi="Verdana" w:cs="Times New Roman"/>
                <w:bCs/>
                <w:color w:val="000000"/>
                <w:lang w:val="es-MX"/>
              </w:rPr>
            </w:pPr>
          </w:p>
          <w:p w14:paraId="73718CF5" w14:textId="77777777" w:rsidR="00491EDE" w:rsidRPr="006B04D6" w:rsidRDefault="00491EDE" w:rsidP="00413573">
            <w:pPr>
              <w:spacing w:line="276" w:lineRule="auto"/>
              <w:jc w:val="both"/>
              <w:rPr>
                <w:rFonts w:ascii="Verdana" w:eastAsia="Calibri" w:hAnsi="Verdana" w:cs="Times New Roman"/>
                <w:lang w:val="es-ES"/>
              </w:rPr>
            </w:pPr>
            <w:r>
              <w:rPr>
                <w:rFonts w:ascii="Verdana" w:eastAsia="Calibri" w:hAnsi="Verdana" w:cs="Times New Roman"/>
                <w:lang w:val="es-ES"/>
              </w:rPr>
              <w:t>E</w:t>
            </w:r>
            <w:r w:rsidRPr="006B04D6">
              <w:rPr>
                <w:rFonts w:ascii="Verdana" w:eastAsia="Calibri" w:hAnsi="Verdana" w:cs="Times New Roman"/>
                <w:lang w:val="es-ES"/>
              </w:rPr>
              <w:t>s importante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w:t>
            </w:r>
          </w:p>
          <w:p w14:paraId="6639990C" w14:textId="77777777" w:rsidR="00491EDE" w:rsidRPr="00DF3EEC" w:rsidRDefault="00491EDE" w:rsidP="00413573">
            <w:pPr>
              <w:jc w:val="both"/>
              <w:rPr>
                <w:rFonts w:ascii="Verdana" w:eastAsia="Calibri" w:hAnsi="Verdana" w:cs="Times New Roman"/>
                <w:bCs/>
                <w:color w:val="000000"/>
                <w:lang w:val="es-MX"/>
              </w:rPr>
            </w:pPr>
          </w:p>
          <w:p w14:paraId="4AB15FEA" w14:textId="77777777" w:rsidR="00491EDE" w:rsidRPr="006B04D6" w:rsidRDefault="00491EDE" w:rsidP="00413573">
            <w:pPr>
              <w:spacing w:line="276" w:lineRule="auto"/>
              <w:jc w:val="both"/>
              <w:rPr>
                <w:rFonts w:ascii="Arial" w:hAnsi="Arial" w:cs="Arial"/>
              </w:rPr>
            </w:pPr>
            <w:r w:rsidRPr="006B04D6">
              <w:rPr>
                <w:rFonts w:ascii="Verdana" w:hAnsi="Verdana" w:cs="Arial"/>
              </w:rPr>
              <w:t>Como se expresó, la causal del literal X procede cuando el proponente no informa todos los contratos de obra, fenómeno que se verifica con el formato 5. En este supuesto, lo que genera el rechazo de la oferta no es la ausencia de la información del contrato omitido, sino el hecho de haberse omitido anexar el documento mediante el cual se acredita la capacidad residual, correspondiente a el Formato 5, en caso de tener efectivamente contratos en ejecución. Incluso, en el evento en que el proponente “corrija” el error y aporte el formato 5, informando la existencia de contratos en ejecución no reportados al momento del cierre del proceso, implica aceptar que ocurrió la causal del literal X, esto es, que el proponente incumplió su obligación de informar todos los contratos de obra que tenía en ejecución al momento del cierre del proceso de selección</w:t>
            </w:r>
            <w:r w:rsidRPr="006B04D6">
              <w:rPr>
                <w:rFonts w:ascii="Arial" w:hAnsi="Arial" w:cs="Arial"/>
              </w:rPr>
              <w:t xml:space="preserve">. </w:t>
            </w:r>
          </w:p>
          <w:p w14:paraId="11B965D5" w14:textId="77777777" w:rsidR="00491EDE" w:rsidRDefault="00491EDE" w:rsidP="00413573">
            <w:pPr>
              <w:spacing w:line="276" w:lineRule="auto"/>
              <w:jc w:val="both"/>
              <w:rPr>
                <w:rFonts w:ascii="Verdana" w:eastAsia="Calibri" w:hAnsi="Verdana" w:cs="Times New Roman"/>
                <w:bCs/>
                <w:color w:val="000000"/>
                <w:lang w:val="es-MX"/>
              </w:rPr>
            </w:pPr>
          </w:p>
          <w:p w14:paraId="10845D58" w14:textId="77777777" w:rsidR="00491EDE" w:rsidRPr="006B04D6" w:rsidRDefault="00491EDE" w:rsidP="00413573">
            <w:pPr>
              <w:spacing w:line="276" w:lineRule="auto"/>
              <w:jc w:val="both"/>
              <w:rPr>
                <w:rFonts w:ascii="Verdana" w:eastAsia="Calibri" w:hAnsi="Verdana" w:cs="Times New Roman"/>
                <w:lang w:val="es-ES"/>
              </w:rPr>
            </w:pPr>
            <w:r w:rsidRPr="006B04D6">
              <w:rPr>
                <w:rFonts w:ascii="Verdana" w:eastAsia="Calibri" w:hAnsi="Verdana" w:cs="Times New Roman"/>
                <w:lang w:val="es-ES"/>
              </w:rPr>
              <w:lastRenderedPageBreak/>
              <w:t>Por lo anterior, aunque la causal de rechazo del literal X del numeral 1.15 de los documentos tipo se relacionan con la capacidad residual como requisito habilitante, esta se aplica cuando el proponente deja de informar la totalidad de los contratos que tiene en ejecución antes del cierre o no reporta la información de los contratos exigida en el documento base, es decir en el formato, y efectivamente tiene contratos en ejecución omitiendo su información.</w:t>
            </w:r>
          </w:p>
          <w:p w14:paraId="40FDBEF4" w14:textId="77777777" w:rsidR="00491EDE" w:rsidRDefault="00491EDE" w:rsidP="00413573">
            <w:pPr>
              <w:spacing w:line="276" w:lineRule="auto"/>
              <w:jc w:val="both"/>
              <w:rPr>
                <w:rFonts w:ascii="Verdana" w:eastAsia="Calibri" w:hAnsi="Verdana" w:cs="Times New Roman"/>
                <w:bCs/>
                <w:color w:val="000000"/>
                <w:lang w:val="es-MX"/>
              </w:rPr>
            </w:pPr>
          </w:p>
          <w:p w14:paraId="61936324" w14:textId="77777777" w:rsidR="00491EDE" w:rsidRPr="00DF3EEC" w:rsidRDefault="00491EDE" w:rsidP="00413573">
            <w:pPr>
              <w:spacing w:line="276" w:lineRule="auto"/>
              <w:jc w:val="both"/>
              <w:rPr>
                <w:rFonts w:ascii="Verdana" w:eastAsia="Calibri" w:hAnsi="Verdana" w:cs="Times New Roman"/>
                <w:lang w:val="es-ES"/>
              </w:rPr>
            </w:pPr>
            <w:r w:rsidRPr="00DF3EEC">
              <w:rPr>
                <w:rFonts w:ascii="Verdana" w:eastAsia="Calibri" w:hAnsi="Verdana" w:cs="Times New Roman"/>
                <w:lang w:val="es-ES"/>
              </w:rPr>
              <w:t>En relación con el literal H del numeral 1.15. del documento base, en el entendido de que el supuesto de hecho de esa causal, esto es, lo que genera el rechazo de la oferta, es la acción del proponente de aportar “</w:t>
            </w:r>
            <w:r>
              <w:rPr>
                <w:rFonts w:ascii="Verdana" w:eastAsia="Calibri" w:hAnsi="Verdana" w:cs="Times New Roman"/>
                <w:lang w:val="es-ES"/>
              </w:rPr>
              <w:t>(…)</w:t>
            </w:r>
            <w:r w:rsidRPr="00DF3EEC">
              <w:rPr>
                <w:rFonts w:ascii="Verdana" w:eastAsia="Calibri" w:hAnsi="Verdana" w:cs="Times New Roman"/>
                <w:lang w:val="es-ES"/>
              </w:rPr>
              <w:t xml:space="preserve"> información inexacta sobre la cual pueda existir una posible falsedad </w:t>
            </w:r>
            <w:r>
              <w:rPr>
                <w:rFonts w:ascii="Verdana" w:eastAsia="Calibri" w:hAnsi="Verdana" w:cs="Times New Roman"/>
                <w:lang w:val="es-ES"/>
              </w:rPr>
              <w:t>(</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no la ausencia de la información que podría haberse tomado del contrato viciado de falsedad. 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w:t>
            </w:r>
            <w:proofErr w:type="spellStart"/>
            <w:r w:rsidRPr="00DF3EEC">
              <w:rPr>
                <w:rFonts w:ascii="Verdana" w:eastAsia="Calibri" w:hAnsi="Verdana" w:cs="Times New Roman"/>
                <w:lang w:val="es-ES"/>
              </w:rPr>
              <w:t>causal</w:t>
            </w:r>
            <w:proofErr w:type="spellEnd"/>
            <w:r w:rsidRPr="00DF3EEC">
              <w:rPr>
                <w:rFonts w:ascii="Verdana" w:eastAsia="Calibri" w:hAnsi="Verdana" w:cs="Times New Roman"/>
                <w:lang w:val="es-ES"/>
              </w:rPr>
              <w:t xml:space="preserve">.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 </w:t>
            </w:r>
          </w:p>
          <w:p w14:paraId="6E4F475F" w14:textId="77777777" w:rsidR="00491EDE" w:rsidRPr="00DF3EEC" w:rsidRDefault="00491EDE" w:rsidP="00413573">
            <w:pPr>
              <w:spacing w:line="276" w:lineRule="auto"/>
              <w:jc w:val="both"/>
              <w:rPr>
                <w:rFonts w:ascii="Verdana" w:eastAsia="Calibri" w:hAnsi="Verdana" w:cs="Times New Roman"/>
                <w:bCs/>
                <w:color w:val="000000"/>
                <w:lang w:val="es-MX"/>
              </w:rPr>
            </w:pPr>
          </w:p>
          <w:p w14:paraId="72720BE8" w14:textId="77777777" w:rsidR="00491EDE" w:rsidRPr="00DF3EEC" w:rsidRDefault="00491EDE" w:rsidP="00413573">
            <w:pPr>
              <w:spacing w:line="276" w:lineRule="auto"/>
              <w:jc w:val="both"/>
              <w:rPr>
                <w:rFonts w:ascii="Verdana" w:eastAsia="Calibri" w:hAnsi="Verdana" w:cs="Times New Roman"/>
                <w:bCs/>
                <w:color w:val="000000"/>
                <w:lang w:val="es-MX"/>
              </w:rPr>
            </w:pPr>
            <w:r w:rsidRPr="00DF3EEC">
              <w:rPr>
                <w:rFonts w:ascii="Verdana" w:eastAsia="Calibri" w:hAnsi="Verdana" w:cs="Times New Roman"/>
                <w:bCs/>
                <w:color w:val="000000"/>
                <w:lang w:val="es-MX"/>
              </w:rPr>
              <w:t xml:space="preserve">Ahora bien, en congruencia con lo explicado en el numeral anterior, es importante tener en cuenta que la causal de rechazo del literal </w:t>
            </w:r>
            <w:r>
              <w:rPr>
                <w:rFonts w:ascii="Verdana" w:eastAsia="Calibri" w:hAnsi="Verdana" w:cs="Times New Roman"/>
                <w:bCs/>
                <w:color w:val="000000"/>
                <w:lang w:val="es-MX"/>
              </w:rPr>
              <w:t>X</w:t>
            </w:r>
            <w:r w:rsidRPr="00DF3EEC">
              <w:rPr>
                <w:rFonts w:ascii="Verdana" w:eastAsia="Calibri" w:hAnsi="Verdana" w:cs="Times New Roman"/>
                <w:bCs/>
                <w:color w:val="000000"/>
                <w:lang w:val="es-MX"/>
              </w:rPr>
              <w:t xml:space="preserve"> del numeral 1.15 del pliego aplica por “No informar todos los contratos que el Proponente tenga en ejecución antes del cierre, necesarios para acreditar su capacidad residual conforme a la sección 3.1</w:t>
            </w:r>
            <w:r>
              <w:rPr>
                <w:rFonts w:ascii="Verdana" w:eastAsia="Calibri" w:hAnsi="Verdana" w:cs="Times New Roman"/>
                <w:bCs/>
                <w:color w:val="000000"/>
                <w:lang w:val="es-MX"/>
              </w:rPr>
              <w:t>1</w:t>
            </w:r>
            <w:r w:rsidRPr="00DF3EEC">
              <w:rPr>
                <w:rFonts w:ascii="Verdana" w:eastAsia="Calibri" w:hAnsi="Verdana" w:cs="Times New Roman"/>
                <w:bCs/>
                <w:color w:val="000000"/>
                <w:lang w:val="es-MX"/>
              </w:rPr>
              <w:t>”. Para estos efectos, conforme a las definiciones previstas en la Guía para Determinar y Verificar la Capacidad Residual del Proponente en los Procesos de Contratación de Obra Pública, el numeral II del literal E del numeral 3.1</w:t>
            </w:r>
            <w:r>
              <w:rPr>
                <w:rFonts w:ascii="Verdana" w:eastAsia="Calibri" w:hAnsi="Verdana" w:cs="Times New Roman"/>
                <w:bCs/>
                <w:color w:val="000000"/>
                <w:lang w:val="es-MX"/>
              </w:rPr>
              <w:t>1</w:t>
            </w:r>
            <w:r w:rsidRPr="00DF3EEC">
              <w:rPr>
                <w:rFonts w:ascii="Verdana" w:eastAsia="Calibri" w:hAnsi="Verdana" w:cs="Times New Roman"/>
                <w:bCs/>
                <w:color w:val="000000"/>
                <w:lang w:val="es-MX"/>
              </w:rPr>
              <w:t xml:space="preserve">.2 del documento base dispone que “Los contratos de obras civiles en ejecución son aquellos que a la fecha de presentación de la oferta obligan al proponente con entidades estatales y con entidades privadas para ejecutar obras civiles. Estas incluyen las obras civiles </w:t>
            </w:r>
            <w:r w:rsidRPr="00DF3EEC">
              <w:rPr>
                <w:rFonts w:ascii="Verdana" w:eastAsia="Calibri" w:hAnsi="Verdana" w:cs="Times New Roman"/>
                <w:bCs/>
                <w:color w:val="000000"/>
                <w:lang w:val="es-MX"/>
              </w:rPr>
              <w:lastRenderedPageBreak/>
              <w:t xml:space="preserve">de los contratos de concesión y los contratos de obra suscritos con concesionarios, así como, los contratos suspendidos y aquellos que no tengan acta de inicio. No se entenderán como contratos en ejecución los que se encuentren en liquidación”. </w:t>
            </w:r>
          </w:p>
        </w:tc>
      </w:tr>
    </w:tbl>
    <w:p w14:paraId="5501C061" w14:textId="77777777" w:rsidR="00491EDE" w:rsidRPr="00DF3EEC" w:rsidRDefault="00491EDE" w:rsidP="00491EDE">
      <w:pPr>
        <w:tabs>
          <w:tab w:val="left" w:pos="142"/>
          <w:tab w:val="left" w:pos="284"/>
        </w:tabs>
        <w:spacing w:after="0" w:line="276" w:lineRule="auto"/>
        <w:jc w:val="both"/>
        <w:rPr>
          <w:rFonts w:ascii="Verdana" w:eastAsia="Century Gothic" w:hAnsi="Verdana" w:cs="Times New Roman"/>
          <w:b/>
          <w:bCs/>
          <w:lang w:val="es-ES"/>
        </w:rPr>
      </w:pPr>
    </w:p>
    <w:p w14:paraId="3F3E2F4A" w14:textId="77777777" w:rsidR="00491EDE" w:rsidRPr="00DF3EEC" w:rsidRDefault="00491EDE" w:rsidP="00491EDE">
      <w:pPr>
        <w:numPr>
          <w:ilvl w:val="0"/>
          <w:numId w:val="16"/>
        </w:numPr>
        <w:tabs>
          <w:tab w:val="left" w:pos="142"/>
          <w:tab w:val="left" w:pos="284"/>
        </w:tabs>
        <w:spacing w:after="0" w:line="276" w:lineRule="auto"/>
        <w:jc w:val="both"/>
        <w:rPr>
          <w:rFonts w:ascii="Verdana" w:eastAsia="Century Gothic" w:hAnsi="Verdana" w:cs="Times New Roman"/>
          <w:b/>
          <w:bCs/>
          <w:lang w:val="es-ES"/>
        </w:rPr>
      </w:pPr>
      <w:r w:rsidRPr="00DF3EEC">
        <w:rPr>
          <w:rFonts w:ascii="Verdana" w:eastAsia="Century Gothic" w:hAnsi="Verdana" w:cs="Times New Roman"/>
          <w:b/>
          <w:bCs/>
          <w:lang w:val="es-ES"/>
        </w:rPr>
        <w:t>Razones de la respuesta:</w:t>
      </w:r>
    </w:p>
    <w:p w14:paraId="4FA912DB" w14:textId="77777777" w:rsidR="00491EDE" w:rsidRPr="00DF3EEC" w:rsidRDefault="00491EDE" w:rsidP="00491EDE">
      <w:pPr>
        <w:spacing w:after="0" w:line="276" w:lineRule="auto"/>
        <w:jc w:val="both"/>
        <w:rPr>
          <w:rFonts w:ascii="Verdana" w:eastAsia="Calibri" w:hAnsi="Verdana" w:cs="Times New Roman"/>
          <w:color w:val="7030A0"/>
          <w:lang w:val="es-ES"/>
        </w:rPr>
      </w:pPr>
    </w:p>
    <w:p w14:paraId="244547C2" w14:textId="77777777" w:rsidR="00491EDE" w:rsidRPr="00DF3EEC" w:rsidRDefault="00491EDE" w:rsidP="00491EDE">
      <w:pPr>
        <w:spacing w:after="0" w:line="276" w:lineRule="auto"/>
        <w:jc w:val="both"/>
        <w:rPr>
          <w:rFonts w:ascii="Verdana" w:eastAsia="Calibri" w:hAnsi="Verdana" w:cs="Times New Roman"/>
          <w:lang w:val="es-ES"/>
        </w:rPr>
      </w:pPr>
      <w:r w:rsidRPr="00DF3EEC">
        <w:rPr>
          <w:rFonts w:ascii="Verdana" w:eastAsia="Calibri" w:hAnsi="Verdana" w:cs="Times New Roman"/>
          <w:lang w:val="es-ES"/>
        </w:rPr>
        <w:t xml:space="preserve">Lo anterior se sustenta en las siguientes consideraciones: </w:t>
      </w:r>
    </w:p>
    <w:p w14:paraId="10DE9C0B" w14:textId="77777777" w:rsidR="00491EDE" w:rsidRPr="00DF3EEC" w:rsidRDefault="00491EDE" w:rsidP="00491EDE">
      <w:pPr>
        <w:spacing w:after="0" w:line="276" w:lineRule="auto"/>
        <w:jc w:val="both"/>
        <w:rPr>
          <w:rFonts w:ascii="Verdana" w:eastAsia="Calibri" w:hAnsi="Verdana" w:cs="Times New Roman"/>
          <w:color w:val="7030A0"/>
          <w:lang w:val="es-ES"/>
        </w:rPr>
      </w:pPr>
    </w:p>
    <w:p w14:paraId="47151F2C" w14:textId="77777777" w:rsidR="00491EDE" w:rsidRPr="00AA1097" w:rsidRDefault="00491EDE" w:rsidP="00491EDE">
      <w:pPr>
        <w:numPr>
          <w:ilvl w:val="0"/>
          <w:numId w:val="20"/>
        </w:numPr>
        <w:snapToGrid w:val="0"/>
        <w:spacing w:after="0" w:line="276" w:lineRule="auto"/>
        <w:jc w:val="both"/>
        <w:rPr>
          <w:rFonts w:ascii="Verdana" w:eastAsia="Calibri" w:hAnsi="Verdana" w:cs="Arial"/>
          <w:lang w:val="es-ES_tradnl"/>
        </w:rPr>
      </w:pPr>
      <w:r w:rsidRPr="00AA1097">
        <w:rPr>
          <w:rFonts w:ascii="Verdana" w:eastAsia="Calibri" w:hAnsi="Verdana" w:cs="Arial"/>
          <w:lang w:val="es-ES_tradnl"/>
        </w:rPr>
        <w:t xml:space="preserve">Los documentos tipo expedidos por la Agencia Nacional de Contratación Pública </w:t>
      </w:r>
      <w:r w:rsidRPr="00AA1097">
        <w:rPr>
          <w:rFonts w:ascii="Symbol" w:eastAsia="Symbol" w:hAnsi="Symbol" w:cs="Symbol"/>
          <w:lang w:val="es-ES_tradnl"/>
        </w:rPr>
        <w:t>-</w:t>
      </w:r>
      <w:r w:rsidRPr="00AA1097">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059B846" w14:textId="77777777" w:rsidR="00491EDE" w:rsidRPr="00AA1097" w:rsidRDefault="00491EDE" w:rsidP="00491EDE">
      <w:pPr>
        <w:spacing w:after="0"/>
        <w:rPr>
          <w:rFonts w:ascii="Verdana" w:eastAsia="Calibri" w:hAnsi="Verdana" w:cs="Arial"/>
          <w:bCs/>
        </w:rPr>
      </w:pPr>
    </w:p>
    <w:p w14:paraId="5CFF0E60" w14:textId="77777777" w:rsidR="00491EDE" w:rsidRPr="00C33264" w:rsidRDefault="00491EDE" w:rsidP="00491EDE">
      <w:pPr>
        <w:numPr>
          <w:ilvl w:val="0"/>
          <w:numId w:val="20"/>
        </w:numPr>
        <w:spacing w:after="0" w:line="276" w:lineRule="auto"/>
        <w:jc w:val="both"/>
        <w:rPr>
          <w:rFonts w:ascii="Verdana" w:eastAsia="Calibri" w:hAnsi="Verdana" w:cs="Arial"/>
          <w:bCs/>
        </w:rPr>
      </w:pPr>
      <w:r w:rsidRPr="00AA1097">
        <w:rPr>
          <w:rFonts w:ascii="Verdana" w:eastAsia="Calibri"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AA1097">
        <w:rPr>
          <w:rFonts w:ascii="Verdana" w:eastAsia="Calibri" w:hAnsi="Verdana" w:cs="Times New Roman"/>
          <w:vertAlign w:val="superscript"/>
          <w:lang w:val="es-ES_tradnl"/>
        </w:rPr>
        <w:footnoteReference w:id="2"/>
      </w:r>
    </w:p>
    <w:p w14:paraId="3FD75483" w14:textId="77777777" w:rsidR="00491EDE" w:rsidRDefault="00491EDE" w:rsidP="00491EDE">
      <w:pPr>
        <w:pStyle w:val="Prrafodelista"/>
        <w:spacing w:after="0"/>
        <w:contextualSpacing w:val="0"/>
        <w:rPr>
          <w:rFonts w:ascii="Verdana" w:eastAsia="Calibri" w:hAnsi="Verdana" w:cs="Arial"/>
          <w:bCs/>
        </w:rPr>
      </w:pPr>
    </w:p>
    <w:p w14:paraId="42D2050C" w14:textId="77777777" w:rsidR="00491EDE" w:rsidRDefault="00491EDE" w:rsidP="00491EDE">
      <w:pPr>
        <w:numPr>
          <w:ilvl w:val="0"/>
          <w:numId w:val="17"/>
        </w:numPr>
        <w:spacing w:after="0" w:line="276" w:lineRule="auto"/>
        <w:ind w:left="644"/>
        <w:jc w:val="both"/>
        <w:rPr>
          <w:rFonts w:ascii="Verdana" w:eastAsia="Calibri" w:hAnsi="Verdana" w:cs="Arial"/>
          <w:bCs/>
          <w:lang w:val="es-ES_tradnl"/>
        </w:rPr>
      </w:pPr>
      <w:r>
        <w:rPr>
          <w:rFonts w:ascii="Verdana" w:eastAsia="Calibri" w:hAnsi="Verdana" w:cs="Arial"/>
          <w:bCs/>
          <w:lang w:val="es-ES_tradnl"/>
        </w:rPr>
        <w:t xml:space="preserve">En </w:t>
      </w:r>
      <w:r w:rsidRPr="00307686">
        <w:rPr>
          <w:rFonts w:ascii="Verdana" w:eastAsia="Calibri" w:hAnsi="Verdana" w:cs="Arial"/>
          <w:bCs/>
          <w:lang w:val="es-ES_tradnl"/>
        </w:rPr>
        <w:t>el sector de infraestructura de transporte, la Agencia Nacional de Contratación Pública – Colombia Compra Eficiente ha expedido Documentos Tipo</w:t>
      </w:r>
      <w:r w:rsidRPr="00307686">
        <w:rPr>
          <w:rFonts w:ascii="Verdana" w:eastAsia="Calibri" w:hAnsi="Verdana" w:cs="Arial"/>
          <w:bCs/>
          <w:vertAlign w:val="superscript"/>
          <w:lang w:val="es-ES_tradnl"/>
        </w:rPr>
        <w:footnoteReference w:id="3"/>
      </w:r>
      <w:r w:rsidRPr="00307686">
        <w:rPr>
          <w:rFonts w:ascii="Verdana" w:eastAsia="Calibri" w:hAnsi="Verdana" w:cs="Arial"/>
          <w:bCs/>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w:t>
      </w:r>
      <w:r w:rsidRPr="00307686">
        <w:rPr>
          <w:rFonts w:ascii="Verdana" w:eastAsia="Calibri" w:hAnsi="Verdana" w:cs="Arial"/>
          <w:bCs/>
          <w:lang w:val="es-ES_tradnl"/>
        </w:rPr>
        <w:lastRenderedPageBreak/>
        <w:t>contratar la interventoría y la consultoría de estudios de ingeniería de infraestructura de transporte</w:t>
      </w:r>
      <w:r>
        <w:rPr>
          <w:rStyle w:val="Refdenotaalpie"/>
          <w:rFonts w:ascii="Verdana" w:eastAsia="Calibri" w:hAnsi="Verdana" w:cs="Arial"/>
          <w:bCs/>
          <w:lang w:val="es-ES_tradnl"/>
        </w:rPr>
        <w:footnoteReference w:id="4"/>
      </w:r>
      <w:r w:rsidRPr="00307686">
        <w:rPr>
          <w:rFonts w:ascii="Verdana" w:eastAsia="Calibri" w:hAnsi="Verdana" w:cs="Arial"/>
          <w:bCs/>
          <w:lang w:val="es-ES_tradnl"/>
        </w:rPr>
        <w:t xml:space="preserve">. </w:t>
      </w:r>
    </w:p>
    <w:p w14:paraId="0E1886F0" w14:textId="77777777" w:rsidR="00491EDE" w:rsidRDefault="00491EDE" w:rsidP="00491EDE">
      <w:pPr>
        <w:spacing w:after="0" w:line="276" w:lineRule="auto"/>
        <w:jc w:val="both"/>
        <w:rPr>
          <w:rFonts w:ascii="Verdana" w:eastAsia="Calibri" w:hAnsi="Verdana" w:cs="Arial"/>
          <w:bCs/>
          <w:lang w:val="es-ES_tradnl"/>
        </w:rPr>
      </w:pPr>
    </w:p>
    <w:p w14:paraId="5DFD560A" w14:textId="77777777" w:rsidR="00491EDE" w:rsidRPr="00647365" w:rsidRDefault="00491EDE" w:rsidP="00491EDE">
      <w:pPr>
        <w:pStyle w:val="Prrafodelista"/>
        <w:numPr>
          <w:ilvl w:val="0"/>
          <w:numId w:val="17"/>
        </w:numPr>
        <w:snapToGrid w:val="0"/>
        <w:spacing w:after="0" w:line="276" w:lineRule="auto"/>
        <w:ind w:left="644"/>
        <w:jc w:val="both"/>
        <w:rPr>
          <w:rFonts w:ascii="Verdana" w:eastAsia="Calibri" w:hAnsi="Verdana" w:cs="Arial"/>
        </w:rPr>
      </w:pPr>
      <w:r w:rsidRPr="00647365">
        <w:rPr>
          <w:rFonts w:ascii="Verdana" w:eastAsia="Calibri" w:hAnsi="Verdana" w:cs="Arial"/>
        </w:rPr>
        <w:t>La Ley 2022 de 2020</w:t>
      </w:r>
      <w:r>
        <w:rPr>
          <w:rFonts w:ascii="Verdana" w:eastAsia="Calibri" w:hAnsi="Verdana" w:cs="Arial"/>
        </w:rPr>
        <w:t xml:space="preserve"> indicó</w:t>
      </w:r>
      <w:r w:rsidRPr="00647365">
        <w:rPr>
          <w:rFonts w:ascii="Verdana" w:eastAsia="Calibri" w:hAnsi="Verdana" w:cs="Arial"/>
        </w:rPr>
        <w:t xml:space="preserve"> que la Agencia Nacional de Contratación Pública </w:t>
      </w:r>
      <w:r w:rsidRPr="00647365">
        <w:rPr>
          <w:rFonts w:ascii="Verdana" w:eastAsia="Calibri" w:hAnsi="Verdana" w:cs="Arial"/>
          <w:bCs/>
          <w:lang w:val="es-ES_tradnl"/>
        </w:rPr>
        <w:t xml:space="preserve">– Colombia Compra Eficiente, debe revisar constantemente el contenido de los documentos tipo que expida. En desarrollo de este deber, </w:t>
      </w:r>
      <w:r w:rsidRPr="00647365">
        <w:rPr>
          <w:rFonts w:ascii="Verdana" w:eastAsia="Calibri" w:hAnsi="Verdana" w:cs="Arial"/>
        </w:rPr>
        <w:t xml:space="preserve">esta agencia estableció un procedimiento para recibir y revisar los comentarios </w:t>
      </w:r>
      <w:r>
        <w:rPr>
          <w:rFonts w:ascii="Verdana" w:eastAsia="Calibri" w:hAnsi="Verdana" w:cs="Arial"/>
        </w:rPr>
        <w:t xml:space="preserve">a los documentos tipo de infraestructura de transporte, realizados por todos </w:t>
      </w:r>
      <w:r w:rsidRPr="00647365">
        <w:rPr>
          <w:rFonts w:ascii="Verdana" w:eastAsia="Calibri" w:hAnsi="Verdana" w:cs="Arial"/>
        </w:rPr>
        <w:t>los partícipes del sistema de la compra pública en el primero y parte del segundo semestre del año 2024. Como consecuencia de ello, se expidieron los diferentes actos administrativos por medio de los cuales se adoptaron</w:t>
      </w:r>
      <w:r>
        <w:rPr>
          <w:rFonts w:ascii="Verdana" w:eastAsia="Calibri" w:hAnsi="Verdana" w:cs="Arial"/>
        </w:rPr>
        <w:t xml:space="preserve"> y/o modificaron</w:t>
      </w:r>
      <w:r w:rsidRPr="00647365">
        <w:rPr>
          <w:rFonts w:ascii="Verdana" w:eastAsia="Calibri" w:hAnsi="Verdana" w:cs="Arial"/>
        </w:rPr>
        <w:t xml:space="preserve"> los documentos tipo del sector de infraestructura de transporte</w:t>
      </w:r>
      <w:r>
        <w:rPr>
          <w:rFonts w:ascii="Verdana" w:eastAsia="Calibri" w:hAnsi="Verdana" w:cs="Arial"/>
        </w:rPr>
        <w:t>,</w:t>
      </w:r>
      <w:r w:rsidRPr="00647365">
        <w:rPr>
          <w:rFonts w:ascii="Verdana" w:eastAsia="Calibri" w:hAnsi="Verdana" w:cs="Arial"/>
        </w:rPr>
        <w:t xml:space="preserve"> y en simultaneo se publicaron las respuestas a todas las observaciones y/o comentarios realizados a los proyectos de documentos tipo. </w:t>
      </w:r>
    </w:p>
    <w:p w14:paraId="5ADAA7F4" w14:textId="77777777" w:rsidR="00491EDE" w:rsidRDefault="00491EDE" w:rsidP="00491EDE">
      <w:pPr>
        <w:spacing w:after="0" w:line="276" w:lineRule="auto"/>
        <w:ind w:left="644"/>
        <w:jc w:val="both"/>
        <w:rPr>
          <w:rFonts w:ascii="Verdana" w:eastAsia="Calibri" w:hAnsi="Verdana" w:cs="Arial"/>
          <w:bCs/>
          <w:lang w:val="es-ES_tradnl"/>
        </w:rPr>
      </w:pPr>
    </w:p>
    <w:p w14:paraId="116A322E" w14:textId="77777777" w:rsidR="00491EDE" w:rsidRDefault="00491EDE" w:rsidP="00491EDE">
      <w:pPr>
        <w:numPr>
          <w:ilvl w:val="0"/>
          <w:numId w:val="17"/>
        </w:numPr>
        <w:spacing w:after="0" w:line="276" w:lineRule="auto"/>
        <w:ind w:left="644"/>
        <w:jc w:val="both"/>
        <w:rPr>
          <w:rFonts w:ascii="Verdana" w:eastAsia="Calibri" w:hAnsi="Verdana" w:cs="Arial"/>
          <w:bCs/>
          <w:lang w:val="es-ES_tradnl"/>
        </w:rPr>
      </w:pPr>
      <w:r>
        <w:rPr>
          <w:rFonts w:ascii="Verdana" w:eastAsia="Calibri" w:hAnsi="Verdana" w:cs="Arial"/>
        </w:rPr>
        <w:t>Así, l</w:t>
      </w:r>
      <w:r w:rsidRPr="00647365">
        <w:rPr>
          <w:rFonts w:ascii="Verdana" w:eastAsia="Calibri" w:hAnsi="Verdana" w:cs="Arial"/>
        </w:rPr>
        <w:t>os Documentos tipo para la contratación de obra pública de infraestructura de transporte fueron modificados después de surtir el procedimiento interno establecido por esta agencia.</w:t>
      </w:r>
      <w:r>
        <w:rPr>
          <w:rFonts w:ascii="Verdana" w:eastAsia="Calibri" w:hAnsi="Verdana" w:cs="Arial"/>
        </w:rPr>
        <w:t xml:space="preserve"> </w:t>
      </w:r>
      <w:r w:rsidRPr="00647365">
        <w:rPr>
          <w:rFonts w:ascii="Verdana" w:eastAsia="Calibri" w:hAnsi="Verdana" w:cs="Arial"/>
        </w:rPr>
        <w:t>En la actualización de estos documentos tipo</w:t>
      </w:r>
      <w:r>
        <w:rPr>
          <w:rFonts w:ascii="Verdana" w:eastAsia="Calibri" w:hAnsi="Verdana" w:cs="Arial"/>
        </w:rPr>
        <w:t xml:space="preserve">, participaron entidades técnicas y especializadas del sector transporte, tales como el Instituto Nacional de Vías – INVIAS, el Instituto de Desarrollo Urbano – UDU, el Instituto de Infraestructura y </w:t>
      </w:r>
      <w:r>
        <w:rPr>
          <w:rFonts w:ascii="Verdana" w:eastAsia="Calibri" w:hAnsi="Verdana" w:cs="Arial"/>
        </w:rPr>
        <w:lastRenderedPageBreak/>
        <w:t xml:space="preserve">Concesiones de Cundinamarca – ICCU, entre otras. </w:t>
      </w:r>
      <w:r>
        <w:rPr>
          <w:rFonts w:ascii="Verdana" w:eastAsia="Calibri" w:hAnsi="Verdana" w:cs="Arial"/>
          <w:bCs/>
          <w:lang w:val="es-ES_tradnl"/>
        </w:rPr>
        <w:t xml:space="preserve">Por lo anterior, mediante la Resolución 465 del 10 de septiembre de 2024, esta Agencia adoptó la versión 4 de los documentos tipo para los procesos de selección de licitación de obra pública del sector de infraestructura de transporte, y a su vez se derogó la Resolución 240 de 2020, la cual, había acogido la versión 3 de esos documentos. De acuerdo con el artículo octavo de la Resolución 465 de 2024 los documentos tipo que se adoptan aplican para los procesos de selección cuyo aviso de convocatoria se publique a partir del 3 de febrero de 2025. </w:t>
      </w:r>
    </w:p>
    <w:p w14:paraId="3213CFD3" w14:textId="77777777" w:rsidR="00491EDE" w:rsidRPr="00AA1097" w:rsidRDefault="00491EDE" w:rsidP="00491EDE">
      <w:pPr>
        <w:spacing w:after="0"/>
        <w:rPr>
          <w:rFonts w:ascii="Verdana" w:eastAsia="Calibri" w:hAnsi="Verdana" w:cs="Arial"/>
          <w:bCs/>
          <w:lang w:val="es-ES"/>
        </w:rPr>
      </w:pPr>
    </w:p>
    <w:p w14:paraId="3D18A593" w14:textId="77777777" w:rsidR="00491EDE" w:rsidRPr="00AA1097" w:rsidRDefault="00491EDE" w:rsidP="00491EDE">
      <w:pPr>
        <w:numPr>
          <w:ilvl w:val="0"/>
          <w:numId w:val="21"/>
        </w:numPr>
        <w:snapToGrid w:val="0"/>
        <w:spacing w:after="0" w:line="276" w:lineRule="auto"/>
        <w:jc w:val="both"/>
        <w:rPr>
          <w:rFonts w:ascii="Verdana" w:eastAsia="Times New Roman" w:hAnsi="Verdana" w:cs="Arial"/>
          <w:shd w:val="clear" w:color="auto" w:fill="FFFFFF"/>
          <w:lang w:val="es-ES" w:eastAsia="es-ES"/>
        </w:rPr>
      </w:pPr>
      <w:r w:rsidRPr="00AA1097">
        <w:rPr>
          <w:rFonts w:ascii="Verdana" w:eastAsia="Times New Roman" w:hAnsi="Verdana" w:cs="Arial"/>
          <w:shd w:val="clear" w:color="auto" w:fill="FFFFFF"/>
          <w:lang w:val="es-ES"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AA1097">
        <w:rPr>
          <w:rFonts w:ascii="Verdana" w:eastAsia="Times New Roman" w:hAnsi="Verdana" w:cs="Arial"/>
          <w:highlight w:val="lightGray"/>
          <w:shd w:val="clear" w:color="auto" w:fill="FFFFFF"/>
          <w:lang w:val="es-ES" w:eastAsia="es-ES"/>
        </w:rPr>
        <w:t>–[texto]–</w:t>
      </w:r>
      <w:r w:rsidRPr="00AA1097">
        <w:rPr>
          <w:rFonts w:ascii="Verdana" w:eastAsia="Times New Roman" w:hAnsi="Verdana" w:cs="Arial"/>
          <w:shd w:val="clear" w:color="auto" w:fill="FFFFFF"/>
          <w:lang w:val="es-ES" w:eastAsia="es-ES"/>
        </w:rPr>
        <w:t>, para lo cual deberán observarse las instrucciones contenidas en los mismos para su diligenciamiento.</w:t>
      </w:r>
    </w:p>
    <w:p w14:paraId="7594BCA9" w14:textId="77777777" w:rsidR="00491EDE" w:rsidRPr="00AA1097" w:rsidRDefault="00491EDE" w:rsidP="00491EDE">
      <w:pPr>
        <w:snapToGrid w:val="0"/>
        <w:spacing w:after="0" w:line="276" w:lineRule="auto"/>
        <w:ind w:left="720"/>
        <w:contextualSpacing/>
        <w:jc w:val="both"/>
        <w:rPr>
          <w:rFonts w:ascii="Verdana" w:eastAsia="Times New Roman" w:hAnsi="Verdana" w:cs="Arial"/>
          <w:shd w:val="clear" w:color="auto" w:fill="FFFFFF"/>
          <w:lang w:val="es-ES" w:eastAsia="es-ES"/>
        </w:rPr>
      </w:pPr>
    </w:p>
    <w:p w14:paraId="66168B70" w14:textId="77777777" w:rsidR="00491EDE" w:rsidRPr="00DF3EEC" w:rsidRDefault="00491EDE" w:rsidP="00491EDE">
      <w:pPr>
        <w:numPr>
          <w:ilvl w:val="0"/>
          <w:numId w:val="17"/>
        </w:numPr>
        <w:snapToGrid w:val="0"/>
        <w:spacing w:after="0" w:line="276" w:lineRule="auto"/>
        <w:jc w:val="both"/>
        <w:rPr>
          <w:rFonts w:ascii="Verdana" w:eastAsia="Times New Roman" w:hAnsi="Verdana" w:cs="Arial"/>
          <w:shd w:val="clear" w:color="auto" w:fill="FFFFFF"/>
          <w:lang w:val="es-ES_tradnl" w:eastAsia="es-ES_tradnl"/>
        </w:rPr>
      </w:pPr>
      <w:r w:rsidRPr="00AA1097">
        <w:rPr>
          <w:rFonts w:ascii="Verdana" w:eastAsia="Times New Roman" w:hAnsi="Verdana" w:cs="Arial"/>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9F04532" w14:textId="77777777" w:rsidR="00491EDE" w:rsidRPr="00DF3EEC" w:rsidRDefault="00491EDE" w:rsidP="00491EDE">
      <w:pPr>
        <w:spacing w:after="0" w:line="276" w:lineRule="auto"/>
        <w:ind w:left="720"/>
        <w:contextualSpacing/>
        <w:jc w:val="both"/>
        <w:rPr>
          <w:rFonts w:ascii="Verdana" w:eastAsia="Calibri" w:hAnsi="Verdana" w:cs="Times New Roman"/>
          <w:lang w:val="es-ES"/>
        </w:rPr>
      </w:pPr>
    </w:p>
    <w:p w14:paraId="619B4C27" w14:textId="77777777" w:rsidR="00491EDE" w:rsidRPr="00DF3EEC" w:rsidRDefault="00491EDE" w:rsidP="00491EDE">
      <w:pPr>
        <w:numPr>
          <w:ilvl w:val="0"/>
          <w:numId w:val="17"/>
        </w:numPr>
        <w:spacing w:after="0" w:line="276" w:lineRule="auto"/>
        <w:contextualSpacing/>
        <w:jc w:val="both"/>
        <w:rPr>
          <w:rFonts w:ascii="Verdana" w:eastAsia="Calibri" w:hAnsi="Verdana" w:cs="Times New Roman"/>
          <w:lang w:val="es-ES"/>
        </w:rPr>
      </w:pPr>
      <w:r w:rsidRPr="00DF3EEC">
        <w:rPr>
          <w:rFonts w:ascii="Verdana" w:eastAsia="Calibri" w:hAnsi="Verdana" w:cs="Times New Roman"/>
          <w:lang w:val="es-ES"/>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1DC56ED4" w14:textId="77777777" w:rsidR="00491EDE" w:rsidRPr="00DF3EEC" w:rsidRDefault="00491EDE" w:rsidP="00491EDE">
      <w:pPr>
        <w:spacing w:after="0" w:line="276" w:lineRule="auto"/>
        <w:ind w:left="720"/>
        <w:contextualSpacing/>
        <w:jc w:val="both"/>
        <w:rPr>
          <w:rFonts w:ascii="Verdana" w:eastAsia="Calibri" w:hAnsi="Verdana" w:cs="Times New Roman"/>
          <w:lang w:val="es-ES"/>
        </w:rPr>
      </w:pPr>
    </w:p>
    <w:p w14:paraId="3A397BC1" w14:textId="77777777" w:rsidR="00491EDE" w:rsidRPr="00DF3EEC" w:rsidRDefault="00491EDE" w:rsidP="00491EDE">
      <w:pPr>
        <w:spacing w:after="0" w:line="240" w:lineRule="auto"/>
        <w:ind w:left="720" w:right="709"/>
        <w:contextualSpacing/>
        <w:jc w:val="both"/>
        <w:rPr>
          <w:rFonts w:ascii="Verdana" w:eastAsia="Calibri" w:hAnsi="Verdana" w:cs="Times New Roman"/>
          <w:sz w:val="21"/>
          <w:szCs w:val="21"/>
          <w:lang w:val="es-ES"/>
        </w:rPr>
      </w:pPr>
      <w:r w:rsidRPr="00DF3EEC">
        <w:rPr>
          <w:rFonts w:ascii="Verdana" w:eastAsia="Calibri" w:hAnsi="Verdana" w:cs="Times New Roman"/>
          <w:sz w:val="21"/>
          <w:szCs w:val="21"/>
          <w:lang w:val="es-ES"/>
        </w:rPr>
        <w:t xml:space="preserve">“Quiere con esto destacar la Sala que las causales de rechazo de las propuestas pueden ser legales y por lo mismo generan el efecto del descarte o exclusión de la oferta </w:t>
      </w:r>
      <w:proofErr w:type="spellStart"/>
      <w:r w:rsidRPr="00DF3EEC">
        <w:rPr>
          <w:rFonts w:ascii="Verdana" w:eastAsia="Calibri" w:hAnsi="Verdana" w:cs="Times New Roman"/>
          <w:sz w:val="21"/>
          <w:szCs w:val="21"/>
          <w:lang w:val="es-ES"/>
        </w:rPr>
        <w:t>ope</w:t>
      </w:r>
      <w:proofErr w:type="spellEnd"/>
      <w:r w:rsidRPr="00DF3EEC">
        <w:rPr>
          <w:rFonts w:ascii="Verdana" w:eastAsia="Calibri" w:hAnsi="Verdana" w:cs="Times New Roman"/>
          <w:sz w:val="21"/>
          <w:szCs w:val="21"/>
          <w:lang w:val="es-ES"/>
        </w:rPr>
        <w:t xml:space="preserve"> </w:t>
      </w:r>
      <w:proofErr w:type="spellStart"/>
      <w:r w:rsidRPr="00DF3EEC">
        <w:rPr>
          <w:rFonts w:ascii="Verdana" w:eastAsia="Calibri" w:hAnsi="Verdana" w:cs="Times New Roman"/>
          <w:sz w:val="21"/>
          <w:szCs w:val="21"/>
          <w:lang w:val="es-ES"/>
        </w:rPr>
        <w:t>legis</w:t>
      </w:r>
      <w:proofErr w:type="spellEnd"/>
      <w:r w:rsidRPr="00DF3EEC">
        <w:rPr>
          <w:rFonts w:ascii="Verdana" w:eastAsia="Calibri" w:hAnsi="Verdana" w:cs="Times New Roman"/>
          <w:sz w:val="21"/>
          <w:szCs w:val="21"/>
          <w:lang w:val="es-ES"/>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w:t>
      </w:r>
      <w:r w:rsidRPr="00DF3EEC">
        <w:rPr>
          <w:rFonts w:ascii="Verdana" w:eastAsia="Calibri" w:hAnsi="Verdana" w:cs="Times New Roman"/>
          <w:sz w:val="21"/>
          <w:szCs w:val="21"/>
          <w:lang w:val="es-ES"/>
        </w:rPr>
        <w:lastRenderedPageBreak/>
        <w:t>de la entidad y los fines de la contratación y que de soslayarse se comprometería el cumplimiento de los principios de transparencia, economía y responsabilidad, así como el deber de selección objetiva en la contratación”</w:t>
      </w:r>
      <w:r>
        <w:rPr>
          <w:rStyle w:val="Refdenotaalpie"/>
          <w:rFonts w:ascii="Verdana" w:eastAsia="Calibri" w:hAnsi="Verdana" w:cs="Times New Roman"/>
          <w:sz w:val="21"/>
          <w:szCs w:val="21"/>
          <w:lang w:val="es-ES"/>
        </w:rPr>
        <w:footnoteReference w:id="5"/>
      </w:r>
      <w:r>
        <w:rPr>
          <w:rFonts w:ascii="Verdana" w:eastAsia="Calibri" w:hAnsi="Verdana" w:cs="Times New Roman"/>
          <w:sz w:val="21"/>
          <w:szCs w:val="21"/>
          <w:lang w:val="es-ES"/>
        </w:rPr>
        <w:t>.</w:t>
      </w:r>
    </w:p>
    <w:p w14:paraId="4A4D728E" w14:textId="77777777" w:rsidR="00491EDE" w:rsidRPr="00DF3EEC" w:rsidRDefault="00491EDE" w:rsidP="00491EDE">
      <w:pPr>
        <w:spacing w:after="0" w:line="276" w:lineRule="auto"/>
        <w:ind w:left="720"/>
        <w:contextualSpacing/>
        <w:jc w:val="both"/>
        <w:rPr>
          <w:rFonts w:ascii="Verdana" w:eastAsia="Calibri" w:hAnsi="Verdana" w:cs="Times New Roman"/>
          <w:lang w:val="es-ES"/>
        </w:rPr>
      </w:pPr>
    </w:p>
    <w:p w14:paraId="18308A74" w14:textId="77777777" w:rsidR="00491EDE" w:rsidRPr="00DF3EEC" w:rsidRDefault="00491EDE" w:rsidP="00491EDE">
      <w:pPr>
        <w:numPr>
          <w:ilvl w:val="0"/>
          <w:numId w:val="19"/>
        </w:numPr>
        <w:spacing w:line="276" w:lineRule="auto"/>
        <w:contextualSpacing/>
        <w:jc w:val="both"/>
        <w:rPr>
          <w:rFonts w:ascii="Verdana" w:eastAsia="Calibri" w:hAnsi="Verdana" w:cs="Times New Roman"/>
          <w:lang w:val="es-ES"/>
        </w:rPr>
      </w:pPr>
      <w:r w:rsidRPr="00DF3EEC">
        <w:rPr>
          <w:rFonts w:ascii="Verdana" w:eastAsia="Calibri" w:hAnsi="Verdana" w:cs="Times New Roman"/>
          <w:lang w:val="es-ES"/>
        </w:rPr>
        <w:t xml:space="preserve">La Capacidad Residual es un requisito habilitante que está sujeto a la posibilidad de solicitarle aclaración, con el fin de esclarecer dudas sobre aspectos de la información presentada por el proponente y de igual forma, </w:t>
      </w:r>
      <w:proofErr w:type="spellStart"/>
      <w:r w:rsidRPr="00DF3EEC">
        <w:rPr>
          <w:rFonts w:ascii="Verdana" w:eastAsia="Calibri" w:hAnsi="Verdana" w:cs="Times New Roman"/>
          <w:lang w:val="es-ES"/>
        </w:rPr>
        <w:t>es</w:t>
      </w:r>
      <w:r>
        <w:rPr>
          <w:rFonts w:ascii="Verdana" w:eastAsia="Calibri" w:hAnsi="Verdana" w:cs="Times New Roman"/>
          <w:lang w:val="es-ES"/>
        </w:rPr>
        <w:t>t</w:t>
      </w:r>
      <w:r w:rsidRPr="00DF3EEC">
        <w:rPr>
          <w:rFonts w:ascii="Verdana" w:eastAsia="Calibri" w:hAnsi="Verdana" w:cs="Times New Roman"/>
          <w:lang w:val="es-ES"/>
        </w:rPr>
        <w:t>a</w:t>
      </w:r>
      <w:proofErr w:type="spellEnd"/>
      <w:r w:rsidRPr="00DF3EEC">
        <w:rPr>
          <w:rFonts w:ascii="Verdana" w:eastAsia="Calibri" w:hAnsi="Verdana" w:cs="Times New Roman"/>
          <w:lang w:val="es-ES"/>
        </w:rPr>
        <w:t xml:space="preserve"> sujeta a la posibilidad de subsanar la ausencia de requisitos, siempre que se cumpla con los límites temporales y materiales descritos en este concepto,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193C47F4"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38A11DE1" w14:textId="77777777" w:rsidR="00491EDE" w:rsidRDefault="00491EDE" w:rsidP="00491EDE">
      <w:pPr>
        <w:numPr>
          <w:ilvl w:val="0"/>
          <w:numId w:val="19"/>
        </w:numPr>
        <w:spacing w:after="0" w:line="276" w:lineRule="auto"/>
        <w:jc w:val="both"/>
        <w:rPr>
          <w:rFonts w:ascii="Verdana" w:eastAsia="Calibri" w:hAnsi="Verdana" w:cs="Times New Roman"/>
          <w:lang w:val="es-ES"/>
        </w:rPr>
      </w:pPr>
      <w:r w:rsidRPr="00DF3EEC">
        <w:rPr>
          <w:rFonts w:ascii="Verdana" w:eastAsia="Calibri" w:hAnsi="Verdana" w:cs="Times New Roman"/>
          <w:lang w:val="es-ES"/>
        </w:rPr>
        <w:t>El numeral 3.1</w:t>
      </w:r>
      <w:r>
        <w:rPr>
          <w:rFonts w:ascii="Verdana" w:eastAsia="Calibri" w:hAnsi="Verdana" w:cs="Times New Roman"/>
          <w:lang w:val="es-ES"/>
        </w:rPr>
        <w:t>1</w:t>
      </w:r>
      <w:r w:rsidRPr="00DF3EEC">
        <w:rPr>
          <w:rFonts w:ascii="Verdana" w:eastAsia="Calibri" w:hAnsi="Verdana" w:cs="Times New Roman"/>
          <w:lang w:val="es-ES"/>
        </w:rPr>
        <w:t xml:space="preserve"> del documento base </w:t>
      </w:r>
      <w:r>
        <w:rPr>
          <w:rFonts w:ascii="Verdana" w:eastAsia="Calibri" w:hAnsi="Verdana" w:cs="Times New Roman"/>
          <w:lang w:val="es-ES"/>
        </w:rPr>
        <w:t xml:space="preserve">de licitación de obra pública </w:t>
      </w:r>
      <w:r w:rsidRPr="00DF3EEC">
        <w:rPr>
          <w:rFonts w:ascii="Verdana" w:eastAsia="Calibri" w:hAnsi="Verdana" w:cs="Times New Roman"/>
          <w:lang w:val="es-ES"/>
        </w:rPr>
        <w:t xml:space="preserve">de </w:t>
      </w:r>
      <w:r>
        <w:rPr>
          <w:rFonts w:ascii="Verdana" w:eastAsia="Calibri" w:hAnsi="Verdana" w:cs="Times New Roman"/>
          <w:lang w:val="es-ES"/>
        </w:rPr>
        <w:t xml:space="preserve">infraestructura de </w:t>
      </w:r>
      <w:r w:rsidRPr="00DF3EEC">
        <w:rPr>
          <w:rFonts w:ascii="Verdana" w:eastAsia="Calibri" w:hAnsi="Verdana" w:cs="Times New Roman"/>
          <w:lang w:val="es-ES"/>
        </w:rPr>
        <w:t>transporte</w:t>
      </w:r>
      <w:r>
        <w:rPr>
          <w:rFonts w:ascii="Verdana" w:eastAsia="Calibri" w:hAnsi="Verdana" w:cs="Times New Roman"/>
          <w:lang w:val="es-ES"/>
        </w:rPr>
        <w:t xml:space="preserve"> </w:t>
      </w:r>
      <w:r w:rsidRPr="00DF3EEC">
        <w:rPr>
          <w:rFonts w:ascii="Verdana" w:eastAsia="Calibri" w:hAnsi="Verdana" w:cs="Times New Roman"/>
          <w:lang w:val="es-ES"/>
        </w:rPr>
        <w:t xml:space="preserve">– Versión </w:t>
      </w:r>
      <w:r>
        <w:rPr>
          <w:rFonts w:ascii="Verdana" w:eastAsia="Calibri" w:hAnsi="Verdana" w:cs="Times New Roman"/>
          <w:lang w:val="es-ES"/>
        </w:rPr>
        <w:t>4</w:t>
      </w:r>
      <w:r w:rsidRPr="00DF3EEC">
        <w:rPr>
          <w:rFonts w:ascii="Verdana" w:eastAsia="Calibri" w:hAnsi="Verdana" w:cs="Times New Roman"/>
          <w:lang w:val="es-ES"/>
        </w:rPr>
        <w:t xml:space="preserve">, establece como requisito habilitante la capacidad residual. En este documento tipo, al menos tres causales de rechazo del numeral 1.15 se relacionan con la capacidad residual como requisito habilitante, esto es, los </w:t>
      </w:r>
      <w:r w:rsidRPr="00526817">
        <w:rPr>
          <w:rFonts w:ascii="Verdana" w:eastAsia="Calibri" w:hAnsi="Verdana" w:cs="Times New Roman"/>
          <w:lang w:val="es-ES"/>
        </w:rPr>
        <w:t>literales E, H y X.</w:t>
      </w:r>
      <w:r>
        <w:rPr>
          <w:rFonts w:ascii="Verdana" w:eastAsia="Calibri" w:hAnsi="Verdana" w:cs="Times New Roman"/>
          <w:lang w:val="es-ES"/>
        </w:rPr>
        <w:t xml:space="preserve"> Estas causales disponen lo siguiente:</w:t>
      </w:r>
    </w:p>
    <w:p w14:paraId="18040A19" w14:textId="77777777" w:rsidR="00491EDE" w:rsidRPr="006B04D6" w:rsidRDefault="00491EDE" w:rsidP="00491EDE">
      <w:pPr>
        <w:pStyle w:val="Prrafodelista"/>
        <w:spacing w:after="0"/>
        <w:contextualSpacing w:val="0"/>
        <w:rPr>
          <w:rFonts w:ascii="Verdana" w:eastAsia="Calibri" w:hAnsi="Verdana" w:cs="Times New Roman"/>
          <w:sz w:val="21"/>
          <w:szCs w:val="21"/>
        </w:rPr>
      </w:pPr>
    </w:p>
    <w:p w14:paraId="6E040DE3" w14:textId="77777777" w:rsidR="00491EDE" w:rsidRPr="006B04D6" w:rsidRDefault="00491EDE" w:rsidP="00491EDE">
      <w:pPr>
        <w:ind w:left="709" w:right="709" w:firstLine="708"/>
        <w:rPr>
          <w:rFonts w:ascii="Verdana" w:hAnsi="Verdana"/>
          <w:b/>
          <w:bCs/>
          <w:sz w:val="21"/>
          <w:szCs w:val="21"/>
        </w:rPr>
      </w:pPr>
      <w:bookmarkStart w:id="2" w:name="_Toc176242637"/>
      <w:r w:rsidRPr="006B04D6">
        <w:rPr>
          <w:rFonts w:ascii="Verdana" w:hAnsi="Verdana"/>
          <w:b/>
          <w:bCs/>
          <w:sz w:val="21"/>
          <w:szCs w:val="21"/>
        </w:rPr>
        <w:t>1.15 CAUSALES DE RECHAZO</w:t>
      </w:r>
      <w:bookmarkEnd w:id="2"/>
    </w:p>
    <w:p w14:paraId="2C95AF22" w14:textId="77777777" w:rsidR="00491EDE" w:rsidRPr="004C0D66" w:rsidRDefault="00491EDE" w:rsidP="00491EDE">
      <w:pPr>
        <w:spacing w:after="120" w:line="240" w:lineRule="auto"/>
        <w:ind w:left="709" w:right="709"/>
        <w:rPr>
          <w:rFonts w:ascii="Verdana" w:hAnsi="Verdana"/>
          <w:sz w:val="21"/>
          <w:szCs w:val="21"/>
          <w:lang w:val="es-MX"/>
        </w:rPr>
      </w:pPr>
      <w:r w:rsidRPr="006B04D6">
        <w:rPr>
          <w:rFonts w:ascii="Verdana" w:hAnsi="Verdana"/>
          <w:sz w:val="21"/>
          <w:szCs w:val="21"/>
          <w:lang w:val="es-MX"/>
        </w:rPr>
        <w:t xml:space="preserve">Son causales de rechazo de las propuestas las siguientes </w:t>
      </w:r>
      <w:r w:rsidRPr="006B04D6">
        <w:rPr>
          <w:rFonts w:ascii="Verdana" w:hAnsi="Verdana"/>
          <w:sz w:val="21"/>
          <w:szCs w:val="21"/>
          <w:highlight w:val="lightGray"/>
          <w:lang w:val="es-MX"/>
        </w:rPr>
        <w:t>[Las entidades no podrán incluir causales de rechazo distintas a las señaladas en la presente sección]</w:t>
      </w:r>
      <w:r w:rsidRPr="006B04D6">
        <w:rPr>
          <w:rFonts w:ascii="Verdana" w:hAnsi="Verdana"/>
          <w:sz w:val="21"/>
          <w:szCs w:val="21"/>
          <w:lang w:val="es-MX"/>
        </w:rPr>
        <w:t>:</w:t>
      </w:r>
    </w:p>
    <w:p w14:paraId="056C73F6" w14:textId="77777777" w:rsidR="00491EDE" w:rsidRPr="006B04D6" w:rsidRDefault="00491EDE" w:rsidP="00491EDE">
      <w:pPr>
        <w:spacing w:after="120" w:line="240" w:lineRule="auto"/>
        <w:ind w:left="709" w:right="709"/>
        <w:rPr>
          <w:rFonts w:ascii="Verdana" w:hAnsi="Verdana"/>
          <w:sz w:val="21"/>
          <w:szCs w:val="21"/>
          <w:lang w:val="es-MX"/>
        </w:rPr>
      </w:pPr>
      <w:r w:rsidRPr="004C0D66">
        <w:rPr>
          <w:rFonts w:ascii="Verdana" w:hAnsi="Verdana"/>
          <w:sz w:val="21"/>
          <w:szCs w:val="21"/>
          <w:lang w:val="es-MX"/>
        </w:rPr>
        <w:t>(…)</w:t>
      </w:r>
    </w:p>
    <w:p w14:paraId="2CA95838" w14:textId="77777777" w:rsidR="00491EDE" w:rsidRPr="00CF3424" w:rsidRDefault="00491EDE" w:rsidP="00491EDE">
      <w:pPr>
        <w:pStyle w:val="Prrafodelista"/>
        <w:numPr>
          <w:ilvl w:val="0"/>
          <w:numId w:val="25"/>
        </w:numPr>
        <w:spacing w:after="12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77AA2A7E" w14:textId="77777777" w:rsidR="00491EDE" w:rsidRPr="006B04D6" w:rsidRDefault="00491EDE" w:rsidP="00491EDE">
      <w:pPr>
        <w:pStyle w:val="Prrafodelista"/>
        <w:spacing w:after="120" w:line="240" w:lineRule="auto"/>
        <w:ind w:left="709" w:right="709" w:firstLine="283"/>
        <w:contextualSpacing w:val="0"/>
        <w:jc w:val="both"/>
        <w:rPr>
          <w:rFonts w:ascii="Verdana" w:eastAsia="Arial" w:hAnsi="Verdana" w:cs="Arial"/>
          <w:sz w:val="21"/>
          <w:szCs w:val="21"/>
          <w:lang w:val="es-MX"/>
        </w:rPr>
      </w:pPr>
      <w:r w:rsidRPr="006B04D6">
        <w:rPr>
          <w:rFonts w:ascii="Verdana" w:eastAsia="Arial" w:hAnsi="Verdana" w:cs="Arial"/>
          <w:sz w:val="21"/>
          <w:szCs w:val="21"/>
          <w:lang w:val="es-MX"/>
        </w:rPr>
        <w:t>(…)</w:t>
      </w:r>
    </w:p>
    <w:p w14:paraId="562D0EEB" w14:textId="77777777" w:rsidR="00491EDE" w:rsidRPr="00CF3424" w:rsidRDefault="00491EDE" w:rsidP="00491EDE">
      <w:pPr>
        <w:pStyle w:val="Prrafodelista"/>
        <w:numPr>
          <w:ilvl w:val="0"/>
          <w:numId w:val="26"/>
        </w:numPr>
        <w:spacing w:after="12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lastRenderedPageBreak/>
        <w:t>Que el proponente aporte información inexacta sobre la cual pueda existir una posible falsedad en los términos de la sección 1.11 del Documento Base.</w:t>
      </w:r>
    </w:p>
    <w:p w14:paraId="19A243FC" w14:textId="77777777" w:rsidR="00491EDE" w:rsidRPr="006B04D6" w:rsidRDefault="00491EDE" w:rsidP="00491EDE">
      <w:pPr>
        <w:pStyle w:val="Prrafodelista"/>
        <w:spacing w:after="120" w:line="240" w:lineRule="auto"/>
        <w:ind w:left="1040" w:right="709"/>
        <w:contextualSpacing w:val="0"/>
        <w:jc w:val="both"/>
        <w:rPr>
          <w:rFonts w:ascii="Verdana" w:eastAsia="Arial" w:hAnsi="Verdana" w:cs="Arial"/>
          <w:sz w:val="21"/>
          <w:szCs w:val="21"/>
          <w:lang w:val="es-MX"/>
        </w:rPr>
      </w:pPr>
      <w:r>
        <w:rPr>
          <w:rFonts w:ascii="Verdana" w:eastAsia="Arial" w:hAnsi="Verdana" w:cs="Arial"/>
          <w:sz w:val="21"/>
          <w:szCs w:val="21"/>
          <w:lang w:val="es-MX"/>
        </w:rPr>
        <w:t>(…)</w:t>
      </w:r>
    </w:p>
    <w:p w14:paraId="0116E2A2" w14:textId="77777777" w:rsidR="00491EDE" w:rsidRPr="00CF3424" w:rsidRDefault="00491EDE" w:rsidP="00491EDE">
      <w:pPr>
        <w:pStyle w:val="Prrafodelista"/>
        <w:numPr>
          <w:ilvl w:val="0"/>
          <w:numId w:val="27"/>
        </w:numPr>
        <w:spacing w:after="120" w:line="240" w:lineRule="auto"/>
        <w:ind w:right="709"/>
        <w:jc w:val="both"/>
        <w:rPr>
          <w:rFonts w:ascii="Verdana" w:eastAsia="Arial" w:hAnsi="Verdana" w:cs="Arial"/>
          <w:sz w:val="21"/>
          <w:szCs w:val="21"/>
          <w:lang w:val="es-MX"/>
        </w:rPr>
      </w:pPr>
      <w:r w:rsidRPr="00CF3424">
        <w:rPr>
          <w:rFonts w:ascii="Verdana" w:eastAsia="Arial" w:hAnsi="Verdana" w:cs="Arial"/>
          <w:sz w:val="21"/>
          <w:szCs w:val="21"/>
          <w:lang w:val="es-MX"/>
        </w:rPr>
        <w:t>No informar todos los contratos que el proponente tenga en ejecución antes del cierre, necesarios para acreditar su capacidad residual conforme a la sección 3.11.</w:t>
      </w:r>
    </w:p>
    <w:p w14:paraId="66010A49" w14:textId="77777777" w:rsidR="00491EDE" w:rsidRPr="006B04D6" w:rsidRDefault="00491EDE" w:rsidP="00491EDE">
      <w:pPr>
        <w:spacing w:line="240" w:lineRule="auto"/>
        <w:ind w:left="1069"/>
        <w:contextualSpacing/>
        <w:jc w:val="both"/>
        <w:rPr>
          <w:rFonts w:ascii="Verdana" w:eastAsia="Calibri" w:hAnsi="Verdana" w:cs="Times New Roman"/>
          <w:sz w:val="21"/>
          <w:szCs w:val="21"/>
          <w:lang w:val="es-ES"/>
        </w:rPr>
      </w:pPr>
      <w:r w:rsidRPr="004C0D66">
        <w:rPr>
          <w:rFonts w:ascii="Verdana" w:eastAsia="Calibri" w:hAnsi="Verdana" w:cs="Times New Roman"/>
          <w:sz w:val="21"/>
          <w:szCs w:val="21"/>
          <w:lang w:val="es-ES"/>
        </w:rPr>
        <w:t xml:space="preserve">(…)”. </w:t>
      </w:r>
    </w:p>
    <w:p w14:paraId="50F47D85" w14:textId="77777777" w:rsidR="00491EDE" w:rsidRPr="00DF3EEC" w:rsidRDefault="00491EDE" w:rsidP="00491EDE">
      <w:pPr>
        <w:ind w:left="720"/>
        <w:contextualSpacing/>
        <w:rPr>
          <w:rFonts w:ascii="Verdana" w:eastAsia="Calibri" w:hAnsi="Verdana" w:cs="Times New Roman"/>
          <w:lang w:val="es-ES"/>
        </w:rPr>
      </w:pPr>
    </w:p>
    <w:p w14:paraId="4E8024F1" w14:textId="77777777" w:rsidR="00491EDE" w:rsidRPr="00DF3EEC" w:rsidRDefault="00491EDE" w:rsidP="00491EDE">
      <w:pPr>
        <w:numPr>
          <w:ilvl w:val="0"/>
          <w:numId w:val="19"/>
        </w:numPr>
        <w:spacing w:line="276" w:lineRule="auto"/>
        <w:contextualSpacing/>
        <w:jc w:val="both"/>
        <w:rPr>
          <w:rFonts w:ascii="Verdana" w:eastAsia="Calibri" w:hAnsi="Verdana" w:cs="Times New Roman"/>
          <w:lang w:val="es-ES"/>
        </w:rPr>
      </w:pPr>
      <w:r w:rsidRPr="00DF3EEC">
        <w:rPr>
          <w:rFonts w:ascii="Verdana" w:eastAsia="Calibri" w:hAnsi="Verdana" w:cs="Times New Roman"/>
          <w:lang w:val="es-ES"/>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25161249"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5AC8411A" w14:textId="77777777" w:rsidR="00491EDE" w:rsidRPr="00DF3EEC" w:rsidRDefault="00491EDE" w:rsidP="00491EDE">
      <w:pPr>
        <w:spacing w:line="276" w:lineRule="auto"/>
        <w:ind w:left="720"/>
        <w:contextualSpacing/>
        <w:jc w:val="both"/>
        <w:rPr>
          <w:rFonts w:ascii="Verdana" w:eastAsia="Calibri" w:hAnsi="Verdana" w:cs="Times New Roman"/>
          <w:lang w:val="es-ES"/>
        </w:rPr>
      </w:pPr>
      <w:r w:rsidRPr="00DF3EEC">
        <w:rPr>
          <w:rFonts w:ascii="Verdana" w:eastAsia="Calibri" w:hAnsi="Verdana" w:cs="Times New Roman"/>
          <w:lang w:val="es-ES"/>
        </w:rPr>
        <w:t xml:space="preserve">i) La causal del literal </w:t>
      </w:r>
      <w:r>
        <w:rPr>
          <w:rFonts w:ascii="Verdana" w:eastAsia="Calibri" w:hAnsi="Verdana" w:cs="Times New Roman"/>
          <w:lang w:val="es-ES"/>
        </w:rPr>
        <w:t>X</w:t>
      </w:r>
      <w:r w:rsidRPr="00DF3EEC">
        <w:rPr>
          <w:rFonts w:ascii="Verdana" w:eastAsia="Calibri" w:hAnsi="Verdana" w:cs="Times New Roman"/>
          <w:lang w:val="es-ES"/>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w:t>
      </w:r>
      <w:r>
        <w:rPr>
          <w:rFonts w:ascii="Verdana" w:eastAsia="Calibri" w:hAnsi="Verdana" w:cs="Times New Roman"/>
          <w:lang w:val="es-ES"/>
        </w:rPr>
        <w:t>X</w:t>
      </w:r>
      <w:r w:rsidRPr="00DF3EEC">
        <w:rPr>
          <w:rFonts w:ascii="Verdana" w:eastAsia="Calibri" w:hAnsi="Verdana" w:cs="Times New Roman"/>
          <w:lang w:val="es-ES"/>
        </w:rPr>
        <w:t xml:space="preserve"> es objetiva, pues solo aplica ante la omisión del proponente de informar el número total de contratos en ejecución antes del cierre</w:t>
      </w:r>
      <w:r>
        <w:rPr>
          <w:rFonts w:ascii="Verdana" w:eastAsia="Calibri" w:hAnsi="Verdana" w:cs="Times New Roman"/>
          <w:lang w:val="es-ES"/>
        </w:rPr>
        <w:t xml:space="preserve"> del proceso, es decir, </w:t>
      </w:r>
      <w:r w:rsidRPr="008E282D">
        <w:rPr>
          <w:rFonts w:ascii="Verdana" w:eastAsia="Calibri" w:hAnsi="Verdana" w:cs="Times New Roman"/>
          <w:lang w:val="es-ES"/>
        </w:rPr>
        <w:t xml:space="preserve">opera también </w:t>
      </w:r>
      <w:r w:rsidRPr="00526817">
        <w:rPr>
          <w:rFonts w:ascii="Verdana" w:eastAsia="Calibri" w:hAnsi="Verdana" w:cs="Times New Roman"/>
          <w:lang w:val="es-ES"/>
        </w:rPr>
        <w:t>cuando no se aporte con la oferta el Formato 5, sólo si, con ello se está omitiendo informar contratos que tenga en ejecución el proponente.</w:t>
      </w:r>
    </w:p>
    <w:p w14:paraId="4F766054"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0B5A6736" w14:textId="77777777" w:rsidR="00491EDE" w:rsidRPr="00DF3EEC" w:rsidRDefault="00491EDE" w:rsidP="00491EDE">
      <w:pPr>
        <w:spacing w:line="276" w:lineRule="auto"/>
        <w:ind w:left="720"/>
        <w:contextualSpacing/>
        <w:jc w:val="both"/>
        <w:rPr>
          <w:rFonts w:ascii="Verdana" w:eastAsia="Calibri" w:hAnsi="Verdana" w:cs="Times New Roman"/>
          <w:lang w:val="es-ES"/>
        </w:rPr>
      </w:pPr>
      <w:proofErr w:type="spellStart"/>
      <w:r w:rsidRPr="00DF3EEC">
        <w:rPr>
          <w:rFonts w:ascii="Verdana" w:eastAsia="Calibri" w:hAnsi="Verdana" w:cs="Times New Roman"/>
          <w:lang w:val="es-ES"/>
        </w:rPr>
        <w:t>ii</w:t>
      </w:r>
      <w:proofErr w:type="spellEnd"/>
      <w:r w:rsidRPr="00DF3EEC">
        <w:rPr>
          <w:rFonts w:ascii="Verdana" w:eastAsia="Calibri" w:hAnsi="Verdana" w:cs="Times New Roman"/>
          <w:lang w:val="es-ES"/>
        </w:rPr>
        <w:t xml:space="preserve">) Lo anterior, sin perjuicio de que para el proponente tenga consecuencias omitir o errar en la información específica de cada contrato </w:t>
      </w:r>
      <w:r w:rsidRPr="00DF3EEC">
        <w:rPr>
          <w:rFonts w:ascii="Verdana" w:eastAsia="Calibri" w:hAnsi="Verdana" w:cs="Times New Roman"/>
          <w:lang w:val="es-ES"/>
        </w:rPr>
        <w:lastRenderedPageBreak/>
        <w:t xml:space="preserve">–esto es, la cuantía o el plazo, entre otros–, pues la entidad podrá requerirlo para que aclare la información y, en caso de no responder, rechazar la propuesta por la causal que consagra el literal E del numeral 1.15. </w:t>
      </w:r>
    </w:p>
    <w:p w14:paraId="26363D4A"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09D9FBFB" w14:textId="77777777" w:rsidR="00491EDE" w:rsidRPr="00DF3EEC" w:rsidRDefault="00491EDE" w:rsidP="00491EDE">
      <w:pPr>
        <w:spacing w:line="276" w:lineRule="auto"/>
        <w:ind w:left="720"/>
        <w:contextualSpacing/>
        <w:jc w:val="both"/>
        <w:rPr>
          <w:rFonts w:ascii="Verdana" w:eastAsia="Calibri" w:hAnsi="Verdana" w:cs="Times New Roman"/>
          <w:lang w:val="es-ES"/>
        </w:rPr>
      </w:pPr>
      <w:proofErr w:type="spellStart"/>
      <w:r w:rsidRPr="00DF3EEC">
        <w:rPr>
          <w:rFonts w:ascii="Verdana" w:eastAsia="Calibri" w:hAnsi="Verdana" w:cs="Times New Roman"/>
          <w:lang w:val="es-ES"/>
        </w:rPr>
        <w:t>iii</w:t>
      </w:r>
      <w:proofErr w:type="spellEnd"/>
      <w:r w:rsidRPr="00DF3EEC">
        <w:rPr>
          <w:rFonts w:ascii="Verdana" w:eastAsia="Calibri" w:hAnsi="Verdana" w:cs="Times New Roman"/>
          <w:lang w:val="es-ES"/>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0AA4733A"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61E51D88" w14:textId="77777777" w:rsidR="00491EDE" w:rsidRPr="00DF3EEC" w:rsidRDefault="00491EDE" w:rsidP="00491EDE">
      <w:pPr>
        <w:numPr>
          <w:ilvl w:val="0"/>
          <w:numId w:val="19"/>
        </w:numPr>
        <w:spacing w:after="0" w:line="276" w:lineRule="auto"/>
        <w:jc w:val="both"/>
        <w:rPr>
          <w:rFonts w:ascii="Verdana" w:eastAsia="Calibri" w:hAnsi="Verdana" w:cs="Times New Roman"/>
          <w:lang w:val="es-ES"/>
        </w:rPr>
      </w:pPr>
      <w:r w:rsidRPr="00DF3EEC">
        <w:rPr>
          <w:rFonts w:ascii="Verdana" w:eastAsia="Calibri" w:hAnsi="Verdana" w:cs="Times New Roman"/>
          <w:lang w:val="es-ES"/>
        </w:rPr>
        <w:t xml:space="preserve">En relación con las reglas de </w:t>
      </w:r>
      <w:proofErr w:type="spellStart"/>
      <w:r w:rsidRPr="00DF3EEC">
        <w:rPr>
          <w:rFonts w:ascii="Verdana" w:eastAsia="Calibri" w:hAnsi="Verdana" w:cs="Times New Roman"/>
          <w:lang w:val="es-ES"/>
        </w:rPr>
        <w:t>subsanabilidad</w:t>
      </w:r>
      <w:proofErr w:type="spellEnd"/>
      <w:r w:rsidRPr="00DF3EEC">
        <w:rPr>
          <w:rFonts w:ascii="Verdana" w:eastAsia="Calibri" w:hAnsi="Verdana" w:cs="Times New Roman"/>
          <w:lang w:val="es-ES"/>
        </w:rPr>
        <w:t xml:space="preserve">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w:t>
      </w:r>
      <w:r>
        <w:rPr>
          <w:rFonts w:ascii="Verdana" w:eastAsia="Calibri" w:hAnsi="Verdana" w:cs="Times New Roman"/>
          <w:lang w:val="es-ES"/>
        </w:rPr>
        <w:t>X</w:t>
      </w:r>
      <w:r w:rsidRPr="00DF3EEC">
        <w:rPr>
          <w:rFonts w:ascii="Verdana" w:eastAsia="Calibri" w:hAnsi="Verdana" w:cs="Times New Roman"/>
          <w:lang w:val="es-ES"/>
        </w:rPr>
        <w:t>,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2DAAE3B7" w14:textId="77777777" w:rsidR="00491EDE" w:rsidRPr="00DF3EEC" w:rsidRDefault="00491EDE" w:rsidP="00491EDE">
      <w:pPr>
        <w:spacing w:after="0" w:line="276" w:lineRule="auto"/>
        <w:ind w:left="720"/>
        <w:jc w:val="both"/>
        <w:rPr>
          <w:rFonts w:ascii="Verdana" w:eastAsia="Calibri" w:hAnsi="Verdana" w:cs="Times New Roman"/>
          <w:lang w:val="es-ES"/>
        </w:rPr>
      </w:pPr>
    </w:p>
    <w:p w14:paraId="0FEEC03F" w14:textId="77777777" w:rsidR="00491EDE" w:rsidRDefault="00491EDE" w:rsidP="00491EDE">
      <w:pPr>
        <w:pStyle w:val="Prrafodelista"/>
        <w:numPr>
          <w:ilvl w:val="0"/>
          <w:numId w:val="19"/>
        </w:numPr>
        <w:spacing w:after="0" w:line="276" w:lineRule="auto"/>
        <w:contextualSpacing w:val="0"/>
        <w:jc w:val="both"/>
        <w:rPr>
          <w:rFonts w:ascii="Verdana" w:eastAsia="Calibri" w:hAnsi="Verdana" w:cs="Times New Roman"/>
        </w:rPr>
      </w:pPr>
      <w:r w:rsidRPr="006B04D6">
        <w:rPr>
          <w:rFonts w:ascii="Verdana" w:eastAsia="Calibri" w:hAnsi="Verdana" w:cs="Times New Roman"/>
        </w:rPr>
        <w:t>Ahora bien, es importante precisar que lo expresado en el párrafo precedente no contradice lo dispuesto en el artículo 5, parágrafo 1, de la Ley 1150 de 2007, adicionado por el artículo 5 de la Ley 1882 de 2018, norma que dispone que “</w:t>
      </w:r>
      <w:r>
        <w:rPr>
          <w:rFonts w:ascii="Verdana" w:eastAsia="Calibri" w:hAnsi="Verdana" w:cs="Times New Roman"/>
        </w:rPr>
        <w:t>(</w:t>
      </w:r>
      <w:r w:rsidRPr="006B04D6">
        <w:rPr>
          <w:rFonts w:ascii="Verdana" w:eastAsia="Calibri" w:hAnsi="Verdana" w:cs="Times New Roman"/>
        </w:rPr>
        <w:t>…</w:t>
      </w:r>
      <w:r>
        <w:rPr>
          <w:rFonts w:ascii="Verdana" w:eastAsia="Calibri" w:hAnsi="Verdana" w:cs="Times New Roman"/>
        </w:rPr>
        <w:t>)</w:t>
      </w:r>
      <w:r w:rsidRPr="006B04D6">
        <w:rPr>
          <w:rFonts w:ascii="Verdana" w:eastAsia="Calibri" w:hAnsi="Verdana" w:cs="Times New Roman"/>
        </w:rPr>
        <w:t xml:space="preserve"> 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w:t>
      </w:r>
    </w:p>
    <w:p w14:paraId="5551DF6B" w14:textId="77777777" w:rsidR="00491EDE" w:rsidRPr="006B04D6" w:rsidRDefault="00491EDE" w:rsidP="00491EDE">
      <w:pPr>
        <w:pStyle w:val="Prrafodelista"/>
        <w:rPr>
          <w:rFonts w:ascii="Verdana" w:eastAsia="Calibri" w:hAnsi="Verdana" w:cs="Times New Roman"/>
        </w:rPr>
      </w:pPr>
    </w:p>
    <w:p w14:paraId="40F4DDFE" w14:textId="77777777" w:rsidR="00491EDE" w:rsidRPr="006B04D6" w:rsidRDefault="00491EDE" w:rsidP="00491EDE">
      <w:pPr>
        <w:pStyle w:val="Prrafodelista"/>
        <w:numPr>
          <w:ilvl w:val="0"/>
          <w:numId w:val="19"/>
        </w:numPr>
        <w:spacing w:after="0" w:line="276" w:lineRule="auto"/>
        <w:contextualSpacing w:val="0"/>
        <w:jc w:val="both"/>
        <w:rPr>
          <w:rFonts w:ascii="Verdana" w:hAnsi="Verdana" w:cs="Arial"/>
        </w:rPr>
      </w:pPr>
      <w:r w:rsidRPr="006B04D6">
        <w:rPr>
          <w:rFonts w:ascii="Verdana" w:hAnsi="Verdana" w:cs="Arial"/>
        </w:rPr>
        <w:lastRenderedPageBreak/>
        <w:t xml:space="preserve">Como se expresó, la causal del literal X procede cuando el proponente no informa todos los contratos de obra, fenómeno que se verifica con el formato 5. En este supuesto, lo que genera el rechazo de la oferta no es la ausencia de la información del contrato omitido, sino el hecho de haberse omitido anexar el documento mediante el cual se acredita la capacidad residual, correspondiente a el Formato 5, en caso de tener efectivamente contratos en ejecución. Incluso, en el evento en que el proponente “corrija” el error y aporte el formato 5, informando la existencia de contratos en ejecución no reportados al momento del cierre del proceso, implica aceptar que ocurrió la causal del literal X, esto es, que el proponente incumplió su obligación de informar todos los contratos de obra que tenía en ejecución al momento del cierre del proceso de selección. </w:t>
      </w:r>
    </w:p>
    <w:p w14:paraId="0CF5361D" w14:textId="77777777" w:rsidR="00491EDE" w:rsidRPr="00DF3EEC" w:rsidRDefault="00491EDE" w:rsidP="00491EDE">
      <w:pPr>
        <w:spacing w:after="0" w:line="276" w:lineRule="auto"/>
        <w:ind w:left="720"/>
        <w:jc w:val="both"/>
        <w:rPr>
          <w:rFonts w:ascii="Verdana" w:eastAsia="Calibri" w:hAnsi="Verdana" w:cs="Times New Roman"/>
          <w:lang w:val="es-ES"/>
        </w:rPr>
      </w:pPr>
    </w:p>
    <w:p w14:paraId="3629AC09" w14:textId="77777777" w:rsidR="00491EDE" w:rsidRPr="006B04D6" w:rsidRDefault="00491EDE" w:rsidP="00491EDE">
      <w:pPr>
        <w:pStyle w:val="Prrafodelista"/>
        <w:numPr>
          <w:ilvl w:val="0"/>
          <w:numId w:val="19"/>
        </w:numPr>
        <w:spacing w:after="0" w:line="276" w:lineRule="auto"/>
        <w:contextualSpacing w:val="0"/>
        <w:jc w:val="both"/>
        <w:rPr>
          <w:rFonts w:ascii="Verdana" w:eastAsia="Calibri" w:hAnsi="Verdana" w:cs="Times New Roman"/>
        </w:rPr>
      </w:pPr>
      <w:r w:rsidRPr="006B04D6">
        <w:rPr>
          <w:rFonts w:ascii="Verdana" w:eastAsia="Calibri" w:hAnsi="Verdana" w:cs="Times New Roman"/>
        </w:rPr>
        <w:t xml:space="preserve">Por lo anterior, aunque la causal de rechazo del literal </w:t>
      </w:r>
      <w:r>
        <w:rPr>
          <w:rFonts w:ascii="Verdana" w:eastAsia="Calibri" w:hAnsi="Verdana" w:cs="Times New Roman"/>
        </w:rPr>
        <w:t>X</w:t>
      </w:r>
      <w:r w:rsidRPr="006B04D6">
        <w:rPr>
          <w:rFonts w:ascii="Verdana" w:eastAsia="Calibri" w:hAnsi="Verdana" w:cs="Times New Roman"/>
        </w:rPr>
        <w:t xml:space="preserve"> del numeral 1.15 de los documentos tipo se relacionan con la capacidad residual como requisito habilitante, esta se aplica cuando el proponente deja de informar la totalidad de los contratos que tiene en ejecución antes del cierre o no reporta la información de los contratos exigida en el documento base, es decir en el formato, y efectivamente tiene contratos en ejecución omitiendo su información.</w:t>
      </w:r>
    </w:p>
    <w:p w14:paraId="77B9A344" w14:textId="77777777" w:rsidR="00491EDE" w:rsidRPr="00DF3EEC" w:rsidRDefault="00491EDE" w:rsidP="00491EDE">
      <w:pPr>
        <w:spacing w:after="0" w:line="276" w:lineRule="auto"/>
        <w:ind w:left="720"/>
        <w:jc w:val="both"/>
        <w:rPr>
          <w:rFonts w:ascii="Verdana" w:eastAsia="Calibri" w:hAnsi="Verdana" w:cs="Times New Roman"/>
          <w:lang w:val="es-ES"/>
        </w:rPr>
      </w:pPr>
      <w:r w:rsidRPr="00DF3EEC">
        <w:rPr>
          <w:rFonts w:ascii="Verdana" w:eastAsia="Calibri" w:hAnsi="Verdana" w:cs="Times New Roman"/>
          <w:lang w:val="es-ES"/>
        </w:rPr>
        <w:t xml:space="preserve"> </w:t>
      </w:r>
    </w:p>
    <w:p w14:paraId="27B96B47" w14:textId="77777777" w:rsidR="00491EDE" w:rsidRPr="00DF3EEC" w:rsidRDefault="00491EDE" w:rsidP="00491EDE">
      <w:pPr>
        <w:numPr>
          <w:ilvl w:val="0"/>
          <w:numId w:val="19"/>
        </w:numPr>
        <w:spacing w:after="0" w:line="276" w:lineRule="auto"/>
        <w:jc w:val="both"/>
        <w:rPr>
          <w:rFonts w:ascii="Verdana" w:eastAsia="Calibri" w:hAnsi="Verdana" w:cs="Times New Roman"/>
          <w:lang w:val="es-ES"/>
        </w:rPr>
      </w:pPr>
      <w:r w:rsidRPr="00DF3EEC">
        <w:rPr>
          <w:rFonts w:ascii="Verdana" w:eastAsia="Calibri" w:hAnsi="Verdana" w:cs="Times New Roman"/>
          <w:lang w:val="es-ES"/>
        </w:rPr>
        <w:t>En relación con el literal H del numeral 1.15. del documento base, en el entendido de que el supuesto de hecho de esa causal, esto es, lo que genera el rechazo de la oferta, es la acción del proponente de aportar “</w:t>
      </w:r>
      <w:r>
        <w:rPr>
          <w:rFonts w:ascii="Verdana" w:eastAsia="Calibri" w:hAnsi="Verdana" w:cs="Times New Roman"/>
          <w:lang w:val="es-ES"/>
        </w:rPr>
        <w:t>(…)</w:t>
      </w:r>
      <w:r w:rsidRPr="00DF3EEC">
        <w:rPr>
          <w:rFonts w:ascii="Verdana" w:eastAsia="Calibri" w:hAnsi="Verdana" w:cs="Times New Roman"/>
          <w:lang w:val="es-ES"/>
        </w:rPr>
        <w:t xml:space="preserve"> información inexacta sobre la cual pueda existir una posible falsedad </w:t>
      </w:r>
      <w:r>
        <w:rPr>
          <w:rFonts w:ascii="Verdana" w:eastAsia="Calibri" w:hAnsi="Verdana" w:cs="Times New Roman"/>
          <w:lang w:val="es-ES"/>
        </w:rPr>
        <w:t>(</w:t>
      </w:r>
      <w:r w:rsidRPr="00DF3EEC">
        <w:rPr>
          <w:rFonts w:ascii="Verdana" w:eastAsia="Calibri" w:hAnsi="Verdana" w:cs="Times New Roman"/>
          <w:lang w:val="es-ES"/>
        </w:rPr>
        <w:t>…</w:t>
      </w:r>
      <w:r>
        <w:rPr>
          <w:rFonts w:ascii="Verdana" w:eastAsia="Calibri" w:hAnsi="Verdana" w:cs="Times New Roman"/>
          <w:lang w:val="es-ES"/>
        </w:rPr>
        <w:t>)</w:t>
      </w:r>
      <w:r w:rsidRPr="00DF3EEC">
        <w:rPr>
          <w:rFonts w:ascii="Verdana" w:eastAsia="Calibri" w:hAnsi="Verdana" w:cs="Times New Roman"/>
          <w:lang w:val="es-ES"/>
        </w:rPr>
        <w:t xml:space="preserve">”, no la ausencia de la información que podría haberse tomado del contrato viciado de falsedad. 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w:t>
      </w:r>
      <w:proofErr w:type="spellStart"/>
      <w:r w:rsidRPr="00DF3EEC">
        <w:rPr>
          <w:rFonts w:ascii="Verdana" w:eastAsia="Calibri" w:hAnsi="Verdana" w:cs="Times New Roman"/>
          <w:lang w:val="es-ES"/>
        </w:rPr>
        <w:t>causal</w:t>
      </w:r>
      <w:proofErr w:type="spellEnd"/>
      <w:r w:rsidRPr="00DF3EEC">
        <w:rPr>
          <w:rFonts w:ascii="Verdana" w:eastAsia="Calibri" w:hAnsi="Verdana" w:cs="Times New Roman"/>
          <w:lang w:val="es-ES"/>
        </w:rPr>
        <w:t xml:space="preserve">. Por ello, si el proponente omite o se equivoca en la información específica de un </w:t>
      </w:r>
      <w:r w:rsidRPr="00DF3EEC">
        <w:rPr>
          <w:rFonts w:ascii="Verdana" w:eastAsia="Calibri" w:hAnsi="Verdana" w:cs="Times New Roman"/>
          <w:lang w:val="es-ES"/>
        </w:rPr>
        <w:lastRenderedPageBreak/>
        <w:t xml:space="preserve">contrato incluido en el formato respectivo, la entidad podrá requerirlo para que aclare la información y, en caso de no responder, rechazar la propuesta por la causal que consagra el literal E del numeral 1.15. </w:t>
      </w:r>
    </w:p>
    <w:p w14:paraId="0F555B23" w14:textId="77777777" w:rsidR="00491EDE" w:rsidRPr="00DF3EEC" w:rsidRDefault="00491EDE" w:rsidP="00491EDE">
      <w:pPr>
        <w:spacing w:line="276" w:lineRule="auto"/>
        <w:ind w:left="720"/>
        <w:contextualSpacing/>
        <w:jc w:val="both"/>
        <w:rPr>
          <w:rFonts w:ascii="Verdana" w:eastAsia="Calibri" w:hAnsi="Verdana" w:cs="Times New Roman"/>
          <w:lang w:val="es-ES"/>
        </w:rPr>
      </w:pPr>
    </w:p>
    <w:p w14:paraId="5896071C" w14:textId="77777777" w:rsidR="00491EDE" w:rsidRPr="00DF3EEC" w:rsidRDefault="00491EDE" w:rsidP="00491EDE">
      <w:pPr>
        <w:numPr>
          <w:ilvl w:val="0"/>
          <w:numId w:val="19"/>
        </w:numPr>
        <w:spacing w:line="276" w:lineRule="auto"/>
        <w:contextualSpacing/>
        <w:jc w:val="both"/>
        <w:rPr>
          <w:rFonts w:ascii="Verdana" w:eastAsia="Calibri" w:hAnsi="Verdana" w:cs="Times New Roman"/>
          <w:lang w:val="es-ES"/>
        </w:rPr>
      </w:pPr>
      <w:r w:rsidRPr="00DF3EEC">
        <w:rPr>
          <w:rFonts w:ascii="Verdana" w:eastAsia="Calibri" w:hAnsi="Verdana" w:cs="Times New Roman"/>
          <w:lang w:val="es-ES"/>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0E9B9C42" w14:textId="77777777" w:rsidR="00491EDE" w:rsidRPr="00DF3EEC" w:rsidRDefault="00491EDE" w:rsidP="00491EDE">
      <w:pPr>
        <w:ind w:left="720"/>
        <w:contextualSpacing/>
        <w:rPr>
          <w:rFonts w:ascii="Verdana" w:eastAsia="Calibri" w:hAnsi="Verdana" w:cs="Times New Roman"/>
          <w:lang w:val="es-ES"/>
        </w:rPr>
      </w:pPr>
    </w:p>
    <w:p w14:paraId="02C656B7" w14:textId="77777777" w:rsidR="00491EDE" w:rsidRPr="00DF3EEC" w:rsidRDefault="00491EDE" w:rsidP="00491EDE">
      <w:pPr>
        <w:numPr>
          <w:ilvl w:val="0"/>
          <w:numId w:val="19"/>
        </w:numPr>
        <w:spacing w:after="0" w:line="276" w:lineRule="auto"/>
        <w:jc w:val="both"/>
        <w:rPr>
          <w:rFonts w:ascii="Verdana" w:eastAsia="Calibri" w:hAnsi="Verdana" w:cs="Times New Roman"/>
          <w:lang w:val="es-ES"/>
        </w:rPr>
      </w:pPr>
      <w:r w:rsidRPr="00DF3EEC">
        <w:rPr>
          <w:rFonts w:ascii="Verdana" w:eastAsia="Calibri" w:hAnsi="Verdana" w:cs="Times New Roman"/>
          <w:lang w:val="es-ES"/>
        </w:rPr>
        <w:t xml:space="preserve">En relación con la información contractual no incluida que pueda afectar la capacidad residual del proponente, el pliego de condiciones del “Documento Tipo – Versión </w:t>
      </w:r>
      <w:r>
        <w:rPr>
          <w:rFonts w:ascii="Verdana" w:eastAsia="Calibri" w:hAnsi="Verdana" w:cs="Times New Roman"/>
          <w:lang w:val="es-ES"/>
        </w:rPr>
        <w:t>4</w:t>
      </w:r>
      <w:r w:rsidRPr="00DF3EEC">
        <w:rPr>
          <w:rFonts w:ascii="Verdana" w:eastAsia="Calibri" w:hAnsi="Verdana" w:cs="Times New Roman"/>
          <w:lang w:val="es-ES"/>
        </w:rPr>
        <w:t>” de licitación para obra pública de infraestructura de transporte estableció una regla especial en el numeral 3.1</w:t>
      </w:r>
      <w:r>
        <w:rPr>
          <w:rFonts w:ascii="Verdana" w:eastAsia="Calibri" w:hAnsi="Verdana" w:cs="Times New Roman"/>
          <w:lang w:val="es-ES"/>
        </w:rPr>
        <w:t>1</w:t>
      </w:r>
      <w:r w:rsidRPr="00DF3EEC">
        <w:rPr>
          <w:rFonts w:ascii="Verdana" w:eastAsia="Calibri" w:hAnsi="Verdana" w:cs="Times New Roman"/>
          <w:lang w:val="es-ES"/>
        </w:rPr>
        <w:t>.</w:t>
      </w:r>
    </w:p>
    <w:p w14:paraId="0DF94994" w14:textId="77777777" w:rsidR="00491EDE" w:rsidRPr="00DF3EEC" w:rsidRDefault="00491EDE" w:rsidP="00491EDE">
      <w:pPr>
        <w:spacing w:after="0" w:line="276" w:lineRule="auto"/>
        <w:ind w:left="720"/>
        <w:jc w:val="both"/>
        <w:rPr>
          <w:rFonts w:ascii="Verdana" w:eastAsia="Calibri" w:hAnsi="Verdana" w:cs="Times New Roman"/>
          <w:lang w:val="es-ES"/>
        </w:rPr>
      </w:pPr>
    </w:p>
    <w:p w14:paraId="2F8874DB" w14:textId="77777777" w:rsidR="00491EDE" w:rsidRPr="006B04D6" w:rsidRDefault="00491EDE" w:rsidP="00491EDE">
      <w:pPr>
        <w:pStyle w:val="Prrafodelista"/>
        <w:numPr>
          <w:ilvl w:val="0"/>
          <w:numId w:val="19"/>
        </w:numPr>
        <w:spacing w:after="0" w:line="276" w:lineRule="auto"/>
        <w:contextualSpacing w:val="0"/>
        <w:jc w:val="both"/>
        <w:rPr>
          <w:rFonts w:ascii="Verdana" w:eastAsia="Calibri" w:hAnsi="Verdana" w:cs="Times New Roman"/>
        </w:rPr>
      </w:pPr>
      <w:r w:rsidRPr="006B04D6">
        <w:rPr>
          <w:rFonts w:ascii="Verdana" w:eastAsia="Calibri" w:hAnsi="Verdana" w:cs="Times New Roman"/>
        </w:rPr>
        <w:t>De conformidad con esta regla, el rechazo de la oferta procede cuando en ejercicio de la potestad verificadora se advierta que luego de agotar la posibilidad de subsanación o aclaración el proponente dejó de incluir información que afecta la capacidad,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“Que el Proponente aporte información inexacta sobre la cual pueda existir una posible falsedad en los términos de la sección 1.11”.</w:t>
      </w:r>
    </w:p>
    <w:p w14:paraId="20F7C7FB" w14:textId="77777777" w:rsidR="00491EDE" w:rsidRPr="00DF3EEC" w:rsidRDefault="00491EDE" w:rsidP="00491EDE">
      <w:pPr>
        <w:spacing w:after="0" w:line="276" w:lineRule="auto"/>
        <w:ind w:left="720"/>
        <w:jc w:val="both"/>
        <w:rPr>
          <w:rFonts w:ascii="Verdana" w:eastAsia="Calibri" w:hAnsi="Verdana" w:cs="Times New Roman"/>
          <w:lang w:val="es-ES"/>
        </w:rPr>
      </w:pPr>
    </w:p>
    <w:p w14:paraId="5CBFBA87" w14:textId="77777777" w:rsidR="00491EDE" w:rsidRPr="00DF3EEC" w:rsidRDefault="00491EDE" w:rsidP="00491EDE">
      <w:pPr>
        <w:numPr>
          <w:ilvl w:val="0"/>
          <w:numId w:val="19"/>
        </w:numPr>
        <w:spacing w:after="0" w:line="276" w:lineRule="auto"/>
        <w:jc w:val="both"/>
        <w:rPr>
          <w:rFonts w:ascii="Verdana" w:eastAsia="Calibri" w:hAnsi="Verdana" w:cs="Times New Roman"/>
          <w:lang w:val="es-ES"/>
        </w:rPr>
      </w:pPr>
      <w:r w:rsidRPr="00DF3EEC">
        <w:rPr>
          <w:rFonts w:ascii="Verdana" w:eastAsia="Calibri" w:hAnsi="Verdana" w:cs="Times New Roman"/>
          <w:lang w:val="es-ES"/>
        </w:rPr>
        <w:t xml:space="preserve">En todo caso, resulta pertinente mencionar que, debe ser la Entidad Estatal quien determine si alguno de los supuestos de hecho contenidos en las causales de rechazo contenidas del numeral 1.15 del </w:t>
      </w:r>
      <w:r>
        <w:rPr>
          <w:rFonts w:ascii="Verdana" w:eastAsia="Calibri" w:hAnsi="Verdana" w:cs="Times New Roman"/>
          <w:lang w:val="es-ES"/>
        </w:rPr>
        <w:t>d</w:t>
      </w:r>
      <w:r w:rsidRPr="00DF3EEC">
        <w:rPr>
          <w:rFonts w:ascii="Verdana" w:eastAsia="Calibri" w:hAnsi="Verdana" w:cs="Times New Roman"/>
          <w:lang w:val="es-ES"/>
        </w:rPr>
        <w:t xml:space="preserve">ocumento </w:t>
      </w:r>
      <w:r>
        <w:rPr>
          <w:rFonts w:ascii="Verdana" w:eastAsia="Calibri" w:hAnsi="Verdana" w:cs="Times New Roman"/>
          <w:lang w:val="es-ES"/>
        </w:rPr>
        <w:lastRenderedPageBreak/>
        <w:t>b</w:t>
      </w:r>
      <w:r w:rsidRPr="00DF3EEC">
        <w:rPr>
          <w:rFonts w:ascii="Verdana" w:eastAsia="Calibri" w:hAnsi="Verdana" w:cs="Times New Roman"/>
          <w:lang w:val="es-ES"/>
        </w:rPr>
        <w:t xml:space="preserve">ase de los </w:t>
      </w:r>
      <w:r>
        <w:rPr>
          <w:rFonts w:ascii="Verdana" w:eastAsia="Calibri" w:hAnsi="Verdana" w:cs="Times New Roman"/>
          <w:lang w:val="es-ES"/>
        </w:rPr>
        <w:t>documentos tipo de licitación de obra pública de infraestructura de transporte</w:t>
      </w:r>
      <w:r w:rsidRPr="00DF3EEC">
        <w:rPr>
          <w:rFonts w:ascii="Verdana" w:eastAsia="Calibri" w:hAnsi="Verdana" w:cs="Times New Roman"/>
          <w:lang w:val="es-ES"/>
        </w:rPr>
        <w:t xml:space="preserve">– Versión </w:t>
      </w:r>
      <w:r>
        <w:rPr>
          <w:rFonts w:ascii="Verdana" w:eastAsia="Calibri" w:hAnsi="Verdana" w:cs="Times New Roman"/>
          <w:lang w:val="es-ES"/>
        </w:rPr>
        <w:t>4”</w:t>
      </w:r>
      <w:r w:rsidRPr="00DF3EEC">
        <w:rPr>
          <w:rFonts w:ascii="Verdana" w:eastAsia="Calibri" w:hAnsi="Verdana" w:cs="Times New Roman"/>
          <w:lang w:val="es-ES"/>
        </w:rPr>
        <w:t>, aplican frente a cada situación particular.</w:t>
      </w:r>
    </w:p>
    <w:p w14:paraId="4263BEC9" w14:textId="77777777" w:rsidR="00491EDE" w:rsidRPr="00DF3EEC" w:rsidRDefault="00491EDE" w:rsidP="00491EDE">
      <w:pPr>
        <w:spacing w:after="0" w:line="276" w:lineRule="auto"/>
        <w:ind w:left="720"/>
        <w:jc w:val="both"/>
        <w:rPr>
          <w:rFonts w:ascii="Verdana" w:eastAsia="Calibri" w:hAnsi="Verdana" w:cs="Times New Roman"/>
          <w:lang w:val="es-ES"/>
        </w:rPr>
      </w:pPr>
    </w:p>
    <w:p w14:paraId="079AF486" w14:textId="77777777" w:rsidR="00491EDE" w:rsidRPr="006B04D6" w:rsidRDefault="00491EDE" w:rsidP="00491EDE">
      <w:pPr>
        <w:pStyle w:val="Prrafodelista"/>
        <w:numPr>
          <w:ilvl w:val="0"/>
          <w:numId w:val="19"/>
        </w:numPr>
        <w:spacing w:after="0"/>
        <w:contextualSpacing w:val="0"/>
        <w:jc w:val="both"/>
        <w:rPr>
          <w:lang w:val="es-MX"/>
        </w:rPr>
      </w:pPr>
      <w:r w:rsidRPr="00DF3EEC">
        <w:rPr>
          <w:rFonts w:ascii="Verdana" w:eastAsia="Calibri" w:hAnsi="Verdana" w:cs="Times New Roman"/>
        </w:rPr>
        <w:t xml:space="preserve">Finalmente, en congruencia con lo explicado en el numeral anterior, es importante tener en cuenta que la causal de rechazo del literal </w:t>
      </w:r>
      <w:r>
        <w:rPr>
          <w:rFonts w:ascii="Verdana" w:eastAsia="Calibri" w:hAnsi="Verdana" w:cs="Times New Roman"/>
        </w:rPr>
        <w:t>X</w:t>
      </w:r>
      <w:r w:rsidRPr="00DF3EEC">
        <w:rPr>
          <w:rFonts w:ascii="Verdana" w:eastAsia="Calibri" w:hAnsi="Verdana" w:cs="Times New Roman"/>
        </w:rPr>
        <w:t xml:space="preserve"> del numeral 1.15 del pliego aplica por “No informar todos los contratos que el Proponente tenga en ejecución antes del cierre, necesarios para acreditar su capacidad residual conforme a la sección 3.1</w:t>
      </w:r>
      <w:r>
        <w:rPr>
          <w:rFonts w:ascii="Verdana" w:eastAsia="Calibri" w:hAnsi="Verdana" w:cs="Times New Roman"/>
        </w:rPr>
        <w:t>1</w:t>
      </w:r>
      <w:r w:rsidRPr="00DF3EEC">
        <w:rPr>
          <w:rFonts w:ascii="Verdana" w:eastAsia="Calibri" w:hAnsi="Verdana" w:cs="Times New Roman"/>
        </w:rPr>
        <w:t>”. Para estos efectos, conforme a las definiciones previstas en la Guía para Determinar y Verificar la Capacidad Residual del Proponente en los Procesos de Contratación de Obra Pública</w:t>
      </w:r>
      <w:r>
        <w:rPr>
          <w:rFonts w:ascii="Verdana" w:eastAsia="Calibri" w:hAnsi="Verdana" w:cs="Times New Roman"/>
        </w:rPr>
        <w:t xml:space="preserve">, y </w:t>
      </w:r>
      <w:r w:rsidRPr="00DF3EEC">
        <w:rPr>
          <w:rFonts w:ascii="Verdana" w:eastAsia="Calibri" w:hAnsi="Verdana" w:cs="Times New Roman"/>
        </w:rPr>
        <w:t>el numeral II del literal E del numeral 3.1</w:t>
      </w:r>
      <w:r>
        <w:rPr>
          <w:rFonts w:ascii="Verdana" w:eastAsia="Calibri" w:hAnsi="Verdana" w:cs="Times New Roman"/>
        </w:rPr>
        <w:t>1</w:t>
      </w:r>
      <w:r w:rsidRPr="00DF3EEC">
        <w:rPr>
          <w:rFonts w:ascii="Verdana" w:eastAsia="Calibri" w:hAnsi="Verdana" w:cs="Times New Roman"/>
        </w:rPr>
        <w:t>.2 del documento base dispone que “</w:t>
      </w:r>
      <w:r w:rsidRPr="006B04D6">
        <w:rPr>
          <w:rFonts w:ascii="Verdana" w:eastAsia="Calibri" w:hAnsi="Verdana" w:cs="Times New Roman"/>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5EA36170" w14:textId="77777777" w:rsidR="00491EDE" w:rsidRPr="00DF3EEC" w:rsidRDefault="00491EDE" w:rsidP="00491EDE">
      <w:pPr>
        <w:spacing w:after="0"/>
        <w:ind w:left="720"/>
        <w:rPr>
          <w:rFonts w:ascii="Verdana" w:eastAsia="Calibri" w:hAnsi="Verdana" w:cs="Times New Roman"/>
          <w:lang w:val="es-ES"/>
        </w:rPr>
      </w:pPr>
    </w:p>
    <w:p w14:paraId="3CDDFEB2" w14:textId="77777777" w:rsidR="00491EDE" w:rsidRPr="006B04D6" w:rsidRDefault="00491EDE" w:rsidP="00491EDE">
      <w:pPr>
        <w:pStyle w:val="Prrafodelista"/>
        <w:numPr>
          <w:ilvl w:val="0"/>
          <w:numId w:val="19"/>
        </w:numPr>
        <w:spacing w:after="0"/>
        <w:jc w:val="both"/>
        <w:rPr>
          <w:rFonts w:ascii="Verdana" w:eastAsia="Calibri" w:hAnsi="Verdana" w:cs="Times New Roman"/>
        </w:rPr>
      </w:pPr>
      <w:r w:rsidRPr="006B04D6">
        <w:rPr>
          <w:rFonts w:ascii="Verdana" w:eastAsia="Calibri" w:hAnsi="Verdana" w:cs="Times New Roman"/>
        </w:rPr>
        <w:t>Como se observa, la definición solo aplica a los contratos perfeccionados, aunque estos estén suspendidos o no tengan acta de inicio, es decir aquellos que a la fecha de presentación de la oferta obligan al contratista, por lo cual, no se entenderá como Contratos en Ejecución los que se encuentren en etapa de liquidación o que ya fueron liquidados, por ende estos no deberán ser reportados por el proponente para efectos de calcular su capacidad residual, y su no presentación, no implica para el proponente incurrir en la causal de rechazo del literal X del numeral 1.15 de los documentos tipo.</w:t>
      </w:r>
    </w:p>
    <w:p w14:paraId="2B80D9EB" w14:textId="77777777" w:rsidR="00491EDE" w:rsidRPr="00DF3EEC" w:rsidRDefault="00491EDE" w:rsidP="00491EDE">
      <w:pPr>
        <w:ind w:left="720"/>
        <w:contextualSpacing/>
        <w:jc w:val="both"/>
        <w:rPr>
          <w:rFonts w:ascii="Verdana" w:eastAsia="Calibri" w:hAnsi="Verdana" w:cs="Times New Roman"/>
          <w:lang w:val="es-ES"/>
        </w:rPr>
      </w:pPr>
    </w:p>
    <w:p w14:paraId="0934CB64" w14:textId="77777777" w:rsidR="00491EDE" w:rsidRPr="00526817" w:rsidRDefault="00491EDE" w:rsidP="00491EDE">
      <w:pPr>
        <w:numPr>
          <w:ilvl w:val="0"/>
          <w:numId w:val="19"/>
        </w:numPr>
        <w:spacing w:after="0" w:line="276" w:lineRule="auto"/>
        <w:contextualSpacing/>
        <w:jc w:val="both"/>
        <w:rPr>
          <w:rFonts w:ascii="Verdana" w:eastAsia="Calibri" w:hAnsi="Verdana" w:cs="Times New Roman"/>
          <w:i/>
          <w:iCs/>
          <w:lang w:val="es-ES"/>
        </w:rPr>
      </w:pPr>
      <w:r w:rsidRPr="00526817">
        <w:rPr>
          <w:rFonts w:ascii="Verdana" w:eastAsia="Calibri" w:hAnsi="Verdana" w:cs="Times New Roman"/>
          <w:bCs/>
          <w:color w:val="000000"/>
          <w:lang w:val="es-MX"/>
        </w:rPr>
        <w:t xml:space="preserve">Ahora bien, particularmente, </w:t>
      </w:r>
      <w:bookmarkStart w:id="3" w:name="_Hlk100139879"/>
      <w:r w:rsidRPr="00526817">
        <w:rPr>
          <w:rFonts w:ascii="Verdana" w:eastAsia="Calibri" w:hAnsi="Verdana" w:cs="Times New Roman"/>
          <w:bCs/>
          <w:color w:val="000000"/>
          <w:lang w:val="es-MX"/>
        </w:rPr>
        <w:t xml:space="preserve">respecto del factor de saldos de los contratos en ejecución </w:t>
      </w:r>
      <w:r w:rsidRPr="00526817">
        <w:rPr>
          <w:rFonts w:ascii="Verdana" w:eastAsia="Calibri" w:hAnsi="Verdana" w:cs="Times New Roman"/>
          <w:bCs/>
          <w:color w:val="000000"/>
          <w:lang w:val="es-ES"/>
        </w:rPr>
        <w:t>“SCE”,</w:t>
      </w:r>
      <w:r w:rsidRPr="00526817">
        <w:rPr>
          <w:rFonts w:ascii="Verdana" w:eastAsia="Calibri" w:hAnsi="Verdana" w:cs="Times New Roman"/>
          <w:lang w:val="es-ES"/>
        </w:rPr>
        <w:t xml:space="preserve"> es necesario tener en cuenta que la Guía para Determinar y Verificar la Capacidad Residual del Proponente en los Procesos de Contratación de Obra Pública</w:t>
      </w:r>
      <w:r w:rsidRPr="00526817">
        <w:rPr>
          <w:rFonts w:ascii="Verdana" w:eastAsia="Calibri" w:hAnsi="Verdana" w:cs="Times New Roman"/>
          <w:i/>
          <w:iCs/>
          <w:lang w:val="es-ES"/>
        </w:rPr>
        <w:t xml:space="preserve">, </w:t>
      </w:r>
      <w:r w:rsidRPr="00526817">
        <w:rPr>
          <w:rFonts w:ascii="Verdana" w:eastAsia="Calibri" w:hAnsi="Verdana" w:cs="Times New Roman"/>
          <w:lang w:val="es-ES"/>
        </w:rPr>
        <w:t xml:space="preserve">define a este factor </w:t>
      </w:r>
      <w:r w:rsidRPr="00526817">
        <w:rPr>
          <w:rFonts w:ascii="Verdana" w:eastAsia="Calibri" w:hAnsi="Verdana" w:cs="Times New Roman"/>
          <w:bCs/>
          <w:color w:val="000000"/>
          <w:lang w:val="es-ES"/>
        </w:rPr>
        <w:t>como “(…) la sumatoria de los saldos de los Contratos en Ejecución que tienen por ejecutar un período inferior a 360 días, es decir, 12 meses</w:t>
      </w:r>
      <w:bookmarkEnd w:id="3"/>
      <w:r w:rsidRPr="00526817">
        <w:rPr>
          <w:rFonts w:ascii="Verdana" w:eastAsia="Calibri" w:hAnsi="Verdana" w:cs="Times New Roman"/>
          <w:bCs/>
          <w:color w:val="000000"/>
          <w:lang w:val="es-ES"/>
        </w:rPr>
        <w:t>”. Así mismo, define los</w:t>
      </w:r>
      <w:r w:rsidRPr="00526817">
        <w:rPr>
          <w:rFonts w:ascii="Verdana" w:eastAsia="Calibri" w:hAnsi="Verdana" w:cs="Times New Roman"/>
          <w:lang w:val="es-ES"/>
        </w:rPr>
        <w:t xml:space="preserve"> </w:t>
      </w:r>
      <w:bookmarkStart w:id="4" w:name="_Hlk78819022"/>
      <w:r w:rsidRPr="00526817">
        <w:rPr>
          <w:rFonts w:ascii="Verdana" w:eastAsia="Calibri" w:hAnsi="Verdana" w:cs="Times New Roman"/>
          <w:i/>
          <w:iCs/>
          <w:lang w:val="es-ES"/>
        </w:rPr>
        <w:t>Contratos en Ejecución</w:t>
      </w:r>
      <w:r w:rsidRPr="00526817">
        <w:rPr>
          <w:rFonts w:ascii="Verdana" w:eastAsia="Calibri" w:hAnsi="Verdana" w:cs="Times New Roman"/>
          <w:lang w:val="es-ES"/>
        </w:rPr>
        <w:t xml:space="preserve"> </w:t>
      </w:r>
      <w:bookmarkEnd w:id="4"/>
      <w:r w:rsidRPr="00526817">
        <w:rPr>
          <w:rFonts w:ascii="Verdana" w:eastAsia="Calibri" w:hAnsi="Verdana" w:cs="Times New Roman"/>
          <w:lang w:val="es-ES"/>
        </w:rPr>
        <w:t xml:space="preserve">de la siguiente manera: </w:t>
      </w:r>
      <w:r w:rsidRPr="00526817">
        <w:rPr>
          <w:rFonts w:ascii="Verdana" w:eastAsia="Calibri" w:hAnsi="Verdana" w:cs="Times New Roman"/>
          <w:i/>
          <w:iCs/>
          <w:lang w:val="es-ES"/>
        </w:rPr>
        <w:t xml:space="preserve"> </w:t>
      </w:r>
    </w:p>
    <w:p w14:paraId="496B6596" w14:textId="77777777" w:rsidR="00491EDE" w:rsidRPr="00526817" w:rsidRDefault="00491EDE" w:rsidP="00491EDE">
      <w:pPr>
        <w:spacing w:after="0" w:line="276" w:lineRule="auto"/>
        <w:jc w:val="both"/>
        <w:rPr>
          <w:rFonts w:ascii="Verdana" w:eastAsia="Calibri" w:hAnsi="Verdana" w:cs="Times New Roman"/>
          <w:i/>
          <w:iCs/>
          <w:sz w:val="20"/>
          <w:szCs w:val="20"/>
        </w:rPr>
      </w:pPr>
    </w:p>
    <w:p w14:paraId="3825166A" w14:textId="77777777" w:rsidR="00491EDE" w:rsidRPr="00526817" w:rsidRDefault="00491EDE" w:rsidP="00491EDE">
      <w:pPr>
        <w:spacing w:after="0" w:line="240" w:lineRule="auto"/>
        <w:ind w:left="709" w:right="709"/>
        <w:jc w:val="both"/>
        <w:rPr>
          <w:rFonts w:ascii="Verdana" w:eastAsia="Calibri" w:hAnsi="Verdana" w:cs="Times New Roman"/>
          <w:i/>
          <w:iCs/>
          <w:sz w:val="20"/>
          <w:szCs w:val="20"/>
        </w:rPr>
      </w:pPr>
      <w:r w:rsidRPr="00526817">
        <w:rPr>
          <w:rFonts w:ascii="Verdana" w:eastAsia="Calibri" w:hAnsi="Verdana" w:cs="Times New Roman"/>
          <w:i/>
          <w:iCs/>
          <w:sz w:val="20"/>
          <w:szCs w:val="20"/>
        </w:rPr>
        <w:lastRenderedPageBreak/>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que se encuentren suspendidos y aquellos que no tengan acta de inicio.   No se entenderá como Contratos en Ejecución los que se encuentren en etapa de liquidación o ya fueron liquidados”</w:t>
      </w:r>
      <w:r w:rsidRPr="00526817">
        <w:rPr>
          <w:rStyle w:val="Refdenotaalpie"/>
          <w:rFonts w:ascii="Verdana" w:eastAsia="Calibri" w:hAnsi="Verdana" w:cs="Times New Roman"/>
          <w:i/>
          <w:iCs/>
          <w:sz w:val="20"/>
          <w:szCs w:val="20"/>
        </w:rPr>
        <w:footnoteReference w:id="6"/>
      </w:r>
      <w:r w:rsidRPr="00526817">
        <w:rPr>
          <w:rFonts w:ascii="Verdana" w:eastAsia="Calibri" w:hAnsi="Verdana" w:cs="Times New Roman"/>
          <w:i/>
          <w:iCs/>
          <w:sz w:val="20"/>
          <w:szCs w:val="20"/>
        </w:rPr>
        <w:t xml:space="preserve">. </w:t>
      </w:r>
    </w:p>
    <w:p w14:paraId="01D9C212" w14:textId="77777777" w:rsidR="00491EDE" w:rsidRPr="00526817" w:rsidRDefault="00491EDE" w:rsidP="00491EDE">
      <w:pPr>
        <w:spacing w:after="0" w:line="276" w:lineRule="auto"/>
        <w:ind w:right="709"/>
        <w:jc w:val="both"/>
        <w:rPr>
          <w:rFonts w:ascii="Verdana" w:eastAsia="Calibri" w:hAnsi="Verdana" w:cs="Times New Roman"/>
        </w:rPr>
      </w:pPr>
    </w:p>
    <w:p w14:paraId="19F6CCB0" w14:textId="77777777" w:rsidR="00491EDE" w:rsidRPr="00526817" w:rsidRDefault="00491EDE" w:rsidP="00491EDE">
      <w:pPr>
        <w:numPr>
          <w:ilvl w:val="0"/>
          <w:numId w:val="19"/>
        </w:numPr>
        <w:spacing w:after="0" w:line="276" w:lineRule="auto"/>
        <w:contextualSpacing/>
        <w:jc w:val="both"/>
        <w:rPr>
          <w:rFonts w:ascii="Verdana" w:eastAsia="Calibri" w:hAnsi="Verdana" w:cs="Times New Roman"/>
          <w:lang w:val="es-MX"/>
        </w:rPr>
      </w:pPr>
      <w:bookmarkStart w:id="5" w:name="_Hlk100139912"/>
      <w:bookmarkStart w:id="6" w:name="_Hlk103609030"/>
      <w:r w:rsidRPr="00526817">
        <w:rPr>
          <w:rFonts w:ascii="Verdana" w:eastAsia="Calibri" w:hAnsi="Verdana" w:cs="Times New Roman"/>
          <w:lang w:val="es-ES"/>
        </w:rPr>
        <w:t>En este sentido, los saldos pendientes se derivan de las obligaciones que se encuentran en ejecución al momento de la presentación de la oferta y se refieren a contratos cuyo objeto sea la ejecución de obras civiles</w:t>
      </w:r>
      <w:bookmarkEnd w:id="5"/>
      <w:r w:rsidRPr="00526817">
        <w:rPr>
          <w:rFonts w:ascii="Verdana" w:eastAsia="Calibri" w:hAnsi="Verdana" w:cs="Times New Roman"/>
          <w:lang w:val="es-ES"/>
        </w:rPr>
        <w:t xml:space="preserve">. </w:t>
      </w:r>
      <w:bookmarkStart w:id="7" w:name="_Hlk100139986"/>
      <w:r w:rsidRPr="00526817">
        <w:rPr>
          <w:rFonts w:ascii="Verdana" w:eastAsia="Calibri" w:hAnsi="Verdana" w:cs="Times New Roman"/>
          <w:lang w:val="es-ES"/>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526817">
        <w:rPr>
          <w:rFonts w:ascii="Verdana" w:eastAsia="Calibri" w:hAnsi="Verdana" w:cs="Times New Roman"/>
          <w:b/>
          <w:color w:val="000000"/>
          <w:lang w:val="es-ES"/>
        </w:rPr>
        <w:t>“</w:t>
      </w:r>
      <w:r w:rsidRPr="00526817">
        <w:rPr>
          <w:rFonts w:ascii="Verdana" w:eastAsia="Calibri" w:hAnsi="Verdana" w:cs="Times New Roman"/>
          <w:bCs/>
          <w:color w:val="000000"/>
          <w:lang w:val="es-ES"/>
        </w:rPr>
        <w:t>CRP</w:t>
      </w:r>
      <w:r w:rsidRPr="00526817">
        <w:rPr>
          <w:rFonts w:ascii="Verdana" w:eastAsia="Calibri" w:hAnsi="Verdana" w:cs="Times New Roman"/>
          <w:b/>
          <w:color w:val="000000"/>
          <w:lang w:val="es-ES"/>
        </w:rPr>
        <w:t>”</w:t>
      </w:r>
      <w:r w:rsidRPr="00526817">
        <w:rPr>
          <w:rFonts w:ascii="Verdana" w:eastAsia="Calibri" w:hAnsi="Verdana" w:cs="Times New Roman"/>
          <w:lang w:val="es-ES"/>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6"/>
      <w:bookmarkEnd w:id="7"/>
      <w:r w:rsidRPr="00526817">
        <w:rPr>
          <w:rFonts w:ascii="Verdana" w:eastAsia="Calibri" w:hAnsi="Verdana" w:cs="Times New Roman"/>
          <w:lang w:val="es-ES"/>
        </w:rPr>
        <w:t xml:space="preserve">. </w:t>
      </w:r>
      <w:r w:rsidRPr="00526817">
        <w:rPr>
          <w:rFonts w:ascii="Verdana" w:eastAsia="Calibri" w:hAnsi="Verdana" w:cs="Times New Roman"/>
          <w:lang w:val="es-MX"/>
        </w:rPr>
        <w:t>Por lo demás, en dicha guía también se precisa que:</w:t>
      </w:r>
    </w:p>
    <w:p w14:paraId="2C172C7F" w14:textId="77777777" w:rsidR="00491EDE" w:rsidRPr="00526817" w:rsidRDefault="00491EDE" w:rsidP="00491EDE">
      <w:pPr>
        <w:spacing w:after="0" w:line="276" w:lineRule="auto"/>
        <w:ind w:firstLine="709"/>
        <w:jc w:val="both"/>
        <w:rPr>
          <w:rFonts w:ascii="Verdana" w:eastAsia="Calibri" w:hAnsi="Verdana" w:cs="Times New Roman"/>
          <w:lang w:val="es-MX"/>
        </w:rPr>
      </w:pPr>
    </w:p>
    <w:p w14:paraId="1012C33B" w14:textId="77777777" w:rsidR="00491EDE" w:rsidRPr="006B04D6" w:rsidRDefault="00491EDE" w:rsidP="00491EDE">
      <w:pPr>
        <w:spacing w:after="120" w:line="240" w:lineRule="auto"/>
        <w:ind w:left="709" w:right="709"/>
        <w:jc w:val="both"/>
        <w:rPr>
          <w:rFonts w:ascii="Verdana" w:eastAsia="Calibri" w:hAnsi="Verdana" w:cs="Times New Roman"/>
          <w:i/>
          <w:iCs/>
          <w:sz w:val="21"/>
          <w:szCs w:val="21"/>
        </w:rPr>
      </w:pPr>
      <w:bookmarkStart w:id="8" w:name="_Hlk100140013"/>
      <w:r w:rsidRPr="006B04D6">
        <w:rPr>
          <w:rFonts w:ascii="Verdana" w:eastAsia="Calibri" w:hAnsi="Verdana" w:cs="Times New Roman"/>
          <w:i/>
          <w:iCs/>
          <w:sz w:val="21"/>
          <w:szCs w:val="21"/>
        </w:rPr>
        <w:t>“El cálculo del Saldo de los Contratos en Ejecución (SCE) debe hacerse linealmente calculando una ejecución diaria equivalente al valor del contrato dividido por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8"/>
      <w:r w:rsidRPr="006B04D6">
        <w:rPr>
          <w:rFonts w:ascii="Verdana" w:eastAsia="Calibri" w:hAnsi="Verdana" w:cs="Times New Roman"/>
          <w:i/>
          <w:iCs/>
          <w:sz w:val="21"/>
          <w:szCs w:val="21"/>
        </w:rPr>
        <w:t>.</w:t>
      </w:r>
    </w:p>
    <w:p w14:paraId="3AD85FAA" w14:textId="77777777" w:rsidR="00491EDE" w:rsidRPr="006B04D6" w:rsidRDefault="00491EDE" w:rsidP="00491EDE">
      <w:pPr>
        <w:spacing w:after="120" w:line="240" w:lineRule="auto"/>
        <w:ind w:left="709" w:right="709"/>
        <w:jc w:val="both"/>
        <w:rPr>
          <w:rFonts w:ascii="Verdana" w:eastAsia="Calibri" w:hAnsi="Verdana" w:cs="Times New Roman"/>
          <w:i/>
          <w:iCs/>
          <w:sz w:val="21"/>
          <w:szCs w:val="21"/>
          <w:lang w:val="es-MX"/>
        </w:rPr>
      </w:pPr>
      <w:r w:rsidRPr="006B04D6">
        <w:rPr>
          <w:rFonts w:ascii="Verdana" w:eastAsia="Calibri" w:hAnsi="Verdana" w:cs="Times New Roman"/>
          <w:i/>
          <w:iCs/>
          <w:sz w:val="21"/>
          <w:szCs w:val="21"/>
          <w:lang w:val="es-MX"/>
        </w:rPr>
        <w:t>(…)</w:t>
      </w:r>
    </w:p>
    <w:p w14:paraId="19DABD33" w14:textId="77777777" w:rsidR="00491EDE" w:rsidRPr="006B04D6" w:rsidRDefault="00491EDE" w:rsidP="00491EDE">
      <w:pPr>
        <w:spacing w:after="120" w:line="240" w:lineRule="auto"/>
        <w:ind w:left="709" w:right="709"/>
        <w:jc w:val="both"/>
        <w:rPr>
          <w:rFonts w:ascii="Verdana" w:eastAsia="Calibri" w:hAnsi="Verdana" w:cs="Times New Roman"/>
          <w:i/>
          <w:iCs/>
          <w:sz w:val="21"/>
          <w:szCs w:val="21"/>
        </w:rPr>
      </w:pPr>
      <w:r w:rsidRPr="006B04D6">
        <w:rPr>
          <w:rFonts w:ascii="Verdana" w:eastAsia="Calibri" w:hAnsi="Verdana" w:cs="Times New Roman"/>
          <w:i/>
          <w:iCs/>
          <w:sz w:val="21"/>
          <w:szCs w:val="21"/>
        </w:rPr>
        <w:lastRenderedPageBreak/>
        <w:t>Si un contrato se encuentra suspendido, el cálculo del Saldo del Contrato en Ejecución (SCE) de dicho contrato debe calcularse asumiendo que lo que falta por ejecutar empezará a ejecutarse en la fecha de la presentación de la oferta del Proceso de Contratación.” (Énfasis fuera de texto)</w:t>
      </w:r>
    </w:p>
    <w:p w14:paraId="77990918" w14:textId="77777777" w:rsidR="00491EDE" w:rsidRPr="00526817" w:rsidRDefault="00491EDE" w:rsidP="00491EDE">
      <w:pPr>
        <w:spacing w:after="0" w:line="276" w:lineRule="auto"/>
        <w:ind w:firstLine="709"/>
        <w:jc w:val="both"/>
        <w:rPr>
          <w:rFonts w:ascii="Verdana" w:eastAsia="Calibri" w:hAnsi="Verdana" w:cs="Times New Roman"/>
        </w:rPr>
      </w:pPr>
    </w:p>
    <w:p w14:paraId="44FEC711" w14:textId="77777777" w:rsidR="00491EDE" w:rsidRPr="00526817" w:rsidRDefault="00491EDE" w:rsidP="00491EDE">
      <w:pPr>
        <w:numPr>
          <w:ilvl w:val="0"/>
          <w:numId w:val="19"/>
        </w:numPr>
        <w:spacing w:after="0" w:line="276" w:lineRule="auto"/>
        <w:contextualSpacing/>
        <w:jc w:val="both"/>
        <w:rPr>
          <w:rFonts w:ascii="Verdana" w:eastAsia="Calibri" w:hAnsi="Verdana" w:cs="Times New Roman"/>
          <w:lang w:val="es-ES"/>
        </w:rPr>
      </w:pPr>
      <w:r w:rsidRPr="00526817">
        <w:rPr>
          <w:rFonts w:ascii="Verdana" w:eastAsia="Calibri" w:hAnsi="Verdana" w:cs="Times New Roman"/>
          <w:lang w:val="es-ES"/>
        </w:rPr>
        <w:t xml:space="preserve">De este modo, para acreditar el factor </w:t>
      </w:r>
      <w:r w:rsidRPr="00526817">
        <w:rPr>
          <w:rFonts w:ascii="Verdana" w:eastAsia="Calibri" w:hAnsi="Verdana" w:cs="Times New Roman"/>
          <w:bCs/>
          <w:color w:val="000000"/>
          <w:lang w:val="es-MX"/>
        </w:rPr>
        <w:t xml:space="preserve">saldos de los contratos en ejecución </w:t>
      </w:r>
      <w:r w:rsidRPr="00526817">
        <w:rPr>
          <w:rFonts w:ascii="Verdana" w:eastAsia="Calibri" w:hAnsi="Verdana" w:cs="Times New Roman"/>
          <w:bCs/>
          <w:color w:val="000000"/>
          <w:lang w:val="es-ES"/>
        </w:rPr>
        <w:t>“SCE”,</w:t>
      </w:r>
      <w:r w:rsidRPr="00526817">
        <w:rPr>
          <w:rFonts w:ascii="Verdana" w:eastAsia="Calibri" w:hAnsi="Verdana" w:cs="Times New Roman"/>
          <w:lang w:val="es-ES"/>
        </w:rPr>
        <w:t xml:space="preserve">  como lo establece la Guía, el proponente debe presentar la lista de contratos de obras civiles en ejecución, tanto a nivel nacional como internacional señalando: i) el valor del contrato; </w:t>
      </w:r>
      <w:proofErr w:type="spellStart"/>
      <w:r w:rsidRPr="00526817">
        <w:rPr>
          <w:rFonts w:ascii="Verdana" w:eastAsia="Calibri" w:hAnsi="Verdana" w:cs="Times New Roman"/>
          <w:lang w:val="es-ES"/>
        </w:rPr>
        <w:t>ii</w:t>
      </w:r>
      <w:proofErr w:type="spellEnd"/>
      <w:r w:rsidRPr="00526817">
        <w:rPr>
          <w:rFonts w:ascii="Verdana" w:eastAsia="Calibri" w:hAnsi="Verdana" w:cs="Times New Roman"/>
          <w:lang w:val="es-ES"/>
        </w:rPr>
        <w:t xml:space="preserve">) el plazo del contrato en meses; </w:t>
      </w:r>
      <w:proofErr w:type="spellStart"/>
      <w:r w:rsidRPr="00526817">
        <w:rPr>
          <w:rFonts w:ascii="Verdana" w:eastAsia="Calibri" w:hAnsi="Verdana" w:cs="Times New Roman"/>
          <w:lang w:val="es-ES"/>
        </w:rPr>
        <w:t>iii</w:t>
      </w:r>
      <w:proofErr w:type="spellEnd"/>
      <w:r w:rsidRPr="00526817">
        <w:rPr>
          <w:rFonts w:ascii="Verdana" w:eastAsia="Calibri" w:hAnsi="Verdana" w:cs="Times New Roman"/>
          <w:lang w:val="es-ES"/>
        </w:rPr>
        <w:t xml:space="preserve">) la fecha de inicio de las obras objeto del contrato (día, mes, año); </w:t>
      </w:r>
      <w:proofErr w:type="spellStart"/>
      <w:r w:rsidRPr="00526817">
        <w:rPr>
          <w:rFonts w:ascii="Verdana" w:eastAsia="Calibri" w:hAnsi="Verdana" w:cs="Times New Roman"/>
          <w:lang w:val="es-ES"/>
        </w:rPr>
        <w:t>iv</w:t>
      </w:r>
      <w:proofErr w:type="spellEnd"/>
      <w:r w:rsidRPr="00526817">
        <w:rPr>
          <w:rFonts w:ascii="Verdana" w:eastAsia="Calibri" w:hAnsi="Verdana" w:cs="Times New Roman"/>
          <w:lang w:val="es-ES"/>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526817">
        <w:rPr>
          <w:rFonts w:ascii="Verdana" w:eastAsia="Calibri" w:hAnsi="Verdana" w:cs="Times New Roman"/>
          <w:bCs/>
          <w:color w:val="000000"/>
          <w:lang w:val="es-ES"/>
        </w:rPr>
        <w:t xml:space="preserve">“SCE” </w:t>
      </w:r>
      <w:r w:rsidRPr="00526817">
        <w:rPr>
          <w:rFonts w:ascii="Verdana" w:eastAsia="Calibri" w:hAnsi="Verdana" w:cs="Times New Roman"/>
          <w:lang w:val="es-ES"/>
        </w:rPr>
        <w:t xml:space="preserve">en los documentos tipo de licitación de obra pública para infraestructura de transporte – versión4, </w:t>
      </w:r>
      <w:bookmarkStart w:id="9" w:name="_Hlk100140108"/>
      <w:r w:rsidRPr="00526817">
        <w:rPr>
          <w:rFonts w:ascii="Verdana" w:eastAsia="Calibri" w:hAnsi="Verdana" w:cs="Times New Roman"/>
          <w:lang w:val="es-ES"/>
        </w:rPr>
        <w:t>el literal E del numeral 3.11.2 del documento base</w:t>
      </w:r>
      <w:bookmarkEnd w:id="9"/>
      <w:r w:rsidRPr="00526817">
        <w:rPr>
          <w:rFonts w:ascii="Verdana" w:eastAsia="Calibri" w:hAnsi="Verdana" w:cs="Times New Roman"/>
          <w:lang w:val="es-ES"/>
        </w:rPr>
        <w:t xml:space="preserve"> señala lo siguiente:</w:t>
      </w:r>
    </w:p>
    <w:p w14:paraId="7D27BFFF" w14:textId="77777777" w:rsidR="00491EDE" w:rsidRPr="00526817" w:rsidRDefault="00491EDE" w:rsidP="00491EDE">
      <w:pPr>
        <w:spacing w:after="0" w:line="276" w:lineRule="auto"/>
        <w:ind w:firstLine="709"/>
        <w:jc w:val="both"/>
        <w:rPr>
          <w:rFonts w:ascii="Verdana" w:eastAsia="Calibri" w:hAnsi="Verdana" w:cs="Times New Roman"/>
        </w:rPr>
      </w:pPr>
    </w:p>
    <w:p w14:paraId="78FD9E42" w14:textId="77777777" w:rsidR="00491EDE" w:rsidRPr="006B04D6" w:rsidRDefault="00491EDE" w:rsidP="00491EDE">
      <w:pPr>
        <w:spacing w:after="120" w:line="240" w:lineRule="auto"/>
        <w:ind w:left="708" w:right="709"/>
        <w:jc w:val="both"/>
        <w:rPr>
          <w:rFonts w:ascii="Verdana" w:eastAsia="Arial," w:hAnsi="Verdana" w:cs="Times New Roman"/>
          <w:sz w:val="21"/>
          <w:szCs w:val="21"/>
        </w:rPr>
      </w:pPr>
      <w:r w:rsidRPr="006B04D6">
        <w:rPr>
          <w:rFonts w:ascii="Verdana" w:eastAsia="Calibri" w:hAnsi="Verdana" w:cs="Times New Roman"/>
          <w:sz w:val="21"/>
          <w:szCs w:val="21"/>
        </w:rPr>
        <w:t>“Para</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acreditar</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el</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factor</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(SCE)</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el</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Proponente</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tendrá</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en</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cuenta</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lo</w:t>
      </w:r>
      <w:r w:rsidRPr="006B04D6">
        <w:rPr>
          <w:rFonts w:ascii="Verdana" w:eastAsia="Arial," w:hAnsi="Verdana" w:cs="Times New Roman"/>
          <w:sz w:val="21"/>
          <w:szCs w:val="21"/>
        </w:rPr>
        <w:t xml:space="preserve"> </w:t>
      </w:r>
      <w:r w:rsidRPr="006B04D6">
        <w:rPr>
          <w:rFonts w:ascii="Verdana" w:eastAsia="Calibri" w:hAnsi="Verdana" w:cs="Times New Roman"/>
          <w:sz w:val="21"/>
          <w:szCs w:val="21"/>
        </w:rPr>
        <w:t>siguiente:</w:t>
      </w:r>
      <w:r w:rsidRPr="006B04D6">
        <w:rPr>
          <w:rFonts w:ascii="Verdana" w:eastAsia="Arial," w:hAnsi="Verdana" w:cs="Times New Roman"/>
          <w:sz w:val="21"/>
          <w:szCs w:val="21"/>
        </w:rPr>
        <w:t xml:space="preserve"> </w:t>
      </w:r>
    </w:p>
    <w:p w14:paraId="34AD374C" w14:textId="77777777" w:rsidR="00491EDE" w:rsidRPr="006B04D6" w:rsidRDefault="00491EDE" w:rsidP="00491EDE">
      <w:pPr>
        <w:spacing w:after="120" w:line="240" w:lineRule="auto"/>
        <w:ind w:right="709" w:firstLine="709"/>
        <w:jc w:val="both"/>
        <w:rPr>
          <w:rFonts w:ascii="Verdana" w:eastAsia="Arial," w:hAnsi="Verdana" w:cs="Times New Roman"/>
          <w:sz w:val="21"/>
          <w:szCs w:val="21"/>
        </w:rPr>
      </w:pPr>
      <w:r w:rsidRPr="006B04D6">
        <w:rPr>
          <w:rFonts w:ascii="Verdana" w:eastAsia="Arial," w:hAnsi="Verdana" w:cs="Times New Roman"/>
          <w:sz w:val="21"/>
          <w:szCs w:val="21"/>
        </w:rPr>
        <w:t>(…)</w:t>
      </w:r>
    </w:p>
    <w:p w14:paraId="742F390C" w14:textId="77777777" w:rsidR="00491EDE" w:rsidRPr="006B04D6" w:rsidRDefault="00491EDE" w:rsidP="00491EDE">
      <w:pPr>
        <w:spacing w:after="120" w:line="240" w:lineRule="auto"/>
        <w:ind w:left="1134" w:right="709" w:hanging="425"/>
        <w:jc w:val="both"/>
        <w:rPr>
          <w:rFonts w:ascii="Verdana" w:eastAsia="Arial" w:hAnsi="Verdana" w:cs="Times New Roman"/>
          <w:sz w:val="21"/>
          <w:szCs w:val="21"/>
          <w:lang w:val="es-MX"/>
        </w:rPr>
      </w:pPr>
      <w:r w:rsidRPr="006B04D6">
        <w:rPr>
          <w:rFonts w:ascii="Verdana" w:eastAsia="Arial" w:hAnsi="Verdana" w:cs="Times New Roman"/>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52AC646A" w14:textId="77777777" w:rsidR="00491EDE" w:rsidRPr="006B04D6" w:rsidRDefault="00491EDE" w:rsidP="00491EDE">
      <w:pPr>
        <w:spacing w:after="120" w:line="240" w:lineRule="auto"/>
        <w:ind w:left="1134" w:right="709" w:hanging="425"/>
        <w:jc w:val="both"/>
        <w:rPr>
          <w:rFonts w:ascii="Verdana" w:eastAsia="Arial" w:hAnsi="Verdana" w:cs="Times New Roman"/>
          <w:sz w:val="21"/>
          <w:szCs w:val="21"/>
          <w:lang w:val="es-MX"/>
        </w:rPr>
      </w:pPr>
      <w:r w:rsidRPr="006B04D6">
        <w:rPr>
          <w:rFonts w:ascii="Verdana" w:eastAsia="Arial" w:hAnsi="Verdana" w:cs="Times New Roman"/>
          <w:sz w:val="21"/>
          <w:szCs w:val="21"/>
          <w:lang w:val="es-MX"/>
        </w:rPr>
        <w:t>III. Se tendrán en cuenta los contratos de obras civiles en ejecución suscritos por el proponente o por sociedades, consorcios o uniones temporales en los cuales el proponente tenga participación</w:t>
      </w:r>
      <w:r w:rsidRPr="00526817">
        <w:rPr>
          <w:rFonts w:ascii="Verdana" w:eastAsia="Arial" w:hAnsi="Verdana" w:cs="Times New Roman"/>
          <w:sz w:val="21"/>
          <w:szCs w:val="21"/>
          <w:lang w:val="es-MX"/>
        </w:rPr>
        <w:t>.</w:t>
      </w:r>
    </w:p>
    <w:p w14:paraId="3A951571" w14:textId="77777777" w:rsidR="00491EDE" w:rsidRPr="006B04D6" w:rsidRDefault="00491EDE" w:rsidP="00491EDE">
      <w:pPr>
        <w:spacing w:after="120" w:line="240" w:lineRule="auto"/>
        <w:ind w:left="1134" w:right="709" w:hanging="425"/>
        <w:jc w:val="both"/>
        <w:rPr>
          <w:rFonts w:ascii="Verdana" w:eastAsia="Arial" w:hAnsi="Verdana" w:cs="Times New Roman"/>
          <w:i/>
          <w:iCs/>
          <w:sz w:val="21"/>
          <w:szCs w:val="21"/>
          <w:lang w:val="es-MX"/>
        </w:rPr>
      </w:pPr>
      <w:r w:rsidRPr="006B04D6">
        <w:rPr>
          <w:rFonts w:ascii="Verdana" w:eastAsia="Arial" w:hAnsi="Verdana" w:cs="Times New Roman"/>
          <w:sz w:val="21"/>
          <w:szCs w:val="21"/>
          <w:lang w:val="es-MX"/>
        </w:rPr>
        <w:t xml:space="preserve">IV. </w:t>
      </w:r>
      <w:bookmarkStart w:id="10" w:name="_Hlk100140218"/>
      <w:r w:rsidRPr="006B04D6">
        <w:rPr>
          <w:rFonts w:ascii="Verdana" w:eastAsia="Arial" w:hAnsi="Verdana" w:cs="Times New Roman"/>
          <w:sz w:val="21"/>
          <w:szCs w:val="21"/>
          <w:lang w:val="es-MX"/>
        </w:rPr>
        <w:t>Si</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un</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contrato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encuentra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suspendido,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cálculo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(SCE)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dicho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contrato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debe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efectuarse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asumiendo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que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lo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que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falta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por</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ejecutar</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iniciara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en</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la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fecha de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presentación</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la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oferta</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lastRenderedPageBreak/>
        <w:t>Proceso de Contratación.</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Si</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contrato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está</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suspendido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Proponente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debe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informar</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el</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saldo</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pendiente</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por</w:t>
      </w:r>
      <w:r w:rsidRPr="006B04D6">
        <w:rPr>
          <w:rFonts w:ascii="Verdana" w:eastAsia="Arial," w:hAnsi="Verdana" w:cs="Times New Roman"/>
          <w:sz w:val="21"/>
          <w:szCs w:val="21"/>
          <w:lang w:val="es-MX"/>
        </w:rPr>
        <w:t xml:space="preserve"> </w:t>
      </w:r>
      <w:r w:rsidRPr="006B04D6">
        <w:rPr>
          <w:rFonts w:ascii="Verdana" w:eastAsia="Arial" w:hAnsi="Verdana" w:cs="Times New Roman"/>
          <w:sz w:val="21"/>
          <w:szCs w:val="21"/>
          <w:lang w:val="es-MX"/>
        </w:rPr>
        <w:t>ejecutar</w:t>
      </w:r>
      <w:bookmarkEnd w:id="10"/>
      <w:r w:rsidRPr="006B04D6">
        <w:rPr>
          <w:rFonts w:ascii="Verdana" w:eastAsia="Arial" w:hAnsi="Verdana" w:cs="Times New Roman"/>
          <w:sz w:val="21"/>
          <w:szCs w:val="21"/>
          <w:lang w:val="es-MX"/>
        </w:rPr>
        <w:t>.</w:t>
      </w:r>
      <w:r w:rsidRPr="006B04D6">
        <w:rPr>
          <w:rFonts w:ascii="Verdana" w:eastAsia="Arial" w:hAnsi="Verdana" w:cs="Times New Roman"/>
          <w:i/>
          <w:iCs/>
          <w:sz w:val="21"/>
          <w:szCs w:val="21"/>
          <w:lang w:val="es-MX"/>
        </w:rPr>
        <w:t xml:space="preserve"> </w:t>
      </w:r>
    </w:p>
    <w:p w14:paraId="04646F37" w14:textId="77777777" w:rsidR="00491EDE" w:rsidRPr="006B04D6" w:rsidRDefault="00491EDE" w:rsidP="00491EDE">
      <w:pPr>
        <w:spacing w:after="0" w:line="240" w:lineRule="auto"/>
        <w:ind w:left="1134" w:right="709" w:hanging="425"/>
        <w:jc w:val="both"/>
        <w:rPr>
          <w:rFonts w:ascii="Verdana" w:eastAsia="Arial" w:hAnsi="Verdana" w:cs="Times New Roman"/>
          <w:sz w:val="21"/>
          <w:szCs w:val="21"/>
          <w:lang w:val="es-MX"/>
        </w:rPr>
      </w:pPr>
      <w:r w:rsidRPr="006B04D6">
        <w:rPr>
          <w:rFonts w:ascii="Verdana" w:eastAsia="Arial" w:hAnsi="Verdana" w:cs="Times New Roman"/>
          <w:sz w:val="21"/>
          <w:szCs w:val="21"/>
          <w:lang w:val="es-MX"/>
        </w:rPr>
        <w:t xml:space="preserve">V.  </w:t>
      </w:r>
      <w:bookmarkStart w:id="11" w:name="_Hlk100140164"/>
      <w:r w:rsidRPr="006B04D6">
        <w:rPr>
          <w:rFonts w:ascii="Verdana" w:eastAsia="Arial" w:hAnsi="Verdana" w:cs="Times New Roman"/>
          <w:sz w:val="21"/>
          <w:szCs w:val="21"/>
          <w:lang w:val="es-MX"/>
        </w:rPr>
        <w:t>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w:t>
      </w:r>
      <w:bookmarkEnd w:id="11"/>
      <w:r w:rsidRPr="006B04D6">
        <w:rPr>
          <w:rFonts w:ascii="Verdana" w:eastAsia="Arial" w:hAnsi="Verdana" w:cs="Times New Roman"/>
          <w:sz w:val="21"/>
          <w:szCs w:val="21"/>
          <w:lang w:val="es-MX"/>
        </w:rPr>
        <w:t>.</w:t>
      </w:r>
      <w:r w:rsidRPr="006B04D6">
        <w:rPr>
          <w:rFonts w:ascii="Verdana" w:eastAsia="Calibri" w:hAnsi="Verdana" w:cs="Times New Roman"/>
          <w:sz w:val="21"/>
          <w:szCs w:val="21"/>
        </w:rPr>
        <w:t xml:space="preserve"> </w:t>
      </w:r>
    </w:p>
    <w:p w14:paraId="1C0B3852" w14:textId="77777777" w:rsidR="00491EDE" w:rsidRPr="00526817" w:rsidRDefault="00491EDE" w:rsidP="00491EDE">
      <w:pPr>
        <w:spacing w:after="0" w:line="276" w:lineRule="auto"/>
        <w:jc w:val="both"/>
        <w:rPr>
          <w:rFonts w:ascii="Verdana" w:eastAsia="Arial," w:hAnsi="Verdana" w:cs="Times New Roman"/>
          <w:lang w:val="es-MX"/>
        </w:rPr>
      </w:pPr>
    </w:p>
    <w:p w14:paraId="757C6320" w14:textId="77777777" w:rsidR="00491EDE" w:rsidRPr="00526817" w:rsidRDefault="00491EDE" w:rsidP="00491EDE">
      <w:pPr>
        <w:numPr>
          <w:ilvl w:val="0"/>
          <w:numId w:val="19"/>
        </w:numPr>
        <w:spacing w:after="0" w:line="276" w:lineRule="auto"/>
        <w:jc w:val="both"/>
        <w:rPr>
          <w:rFonts w:ascii="Verdana" w:eastAsia="Calibri" w:hAnsi="Verdana" w:cs="Times New Roman"/>
          <w:lang w:val="es-ES"/>
        </w:rPr>
      </w:pPr>
      <w:r w:rsidRPr="00526817">
        <w:rPr>
          <w:rFonts w:ascii="Verdana" w:eastAsia="Arial," w:hAnsi="Verdana" w:cs="Times New Roman"/>
          <w:lang w:val="es-ES"/>
        </w:rPr>
        <w:t xml:space="preserve">Como se aprecia, los apartados transcritos del documento base están en armonía con lo dispuesto en la </w:t>
      </w:r>
      <w:r w:rsidRPr="00526817">
        <w:rPr>
          <w:rFonts w:ascii="Verdana" w:eastAsia="Calibri" w:hAnsi="Verdana" w:cs="Times New Roman"/>
          <w:lang w:val="es-ES"/>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526817">
        <w:rPr>
          <w:rFonts w:ascii="Verdana" w:eastAsia="Calibri" w:hAnsi="Verdana" w:cs="Times New Roman"/>
          <w:color w:val="000000"/>
          <w:lang w:val="es-MX"/>
        </w:rPr>
        <w:t xml:space="preserve">el artículo 2.2.1.1.1.6.4 del Decreto 1082 de 2015, en virtud del cual, para efectos de </w:t>
      </w:r>
      <w:r w:rsidRPr="00526817">
        <w:rPr>
          <w:rFonts w:ascii="Verdana" w:eastAsia="Calibri" w:hAnsi="Verdana" w:cs="Times New Roman"/>
          <w:lang w:val="es-MX"/>
        </w:rPr>
        <w:t xml:space="preserve">acreditar la capacidad residual del proponente, se requiere el listado de contratos de obra civiles en ejecución suscritos con entidades estatales y con entidades privadas. </w:t>
      </w:r>
    </w:p>
    <w:p w14:paraId="3FF3AB73" w14:textId="77777777" w:rsidR="00491EDE" w:rsidRPr="00DF3EEC" w:rsidRDefault="00491EDE" w:rsidP="00491EDE">
      <w:pPr>
        <w:widowControl w:val="0"/>
        <w:autoSpaceDE w:val="0"/>
        <w:autoSpaceDN w:val="0"/>
        <w:spacing w:after="0" w:line="276" w:lineRule="auto"/>
        <w:ind w:left="708" w:hanging="708"/>
        <w:jc w:val="both"/>
        <w:rPr>
          <w:rFonts w:ascii="Verdana" w:eastAsia="Calibri" w:hAnsi="Verdana" w:cs="Times New Roman"/>
        </w:rPr>
      </w:pPr>
    </w:p>
    <w:p w14:paraId="0205391E" w14:textId="77777777" w:rsidR="00491EDE" w:rsidRPr="00DF3EEC" w:rsidRDefault="00491EDE" w:rsidP="00491EDE">
      <w:pPr>
        <w:numPr>
          <w:ilvl w:val="0"/>
          <w:numId w:val="16"/>
        </w:numPr>
        <w:tabs>
          <w:tab w:val="left" w:pos="142"/>
          <w:tab w:val="left" w:pos="284"/>
        </w:tabs>
        <w:spacing w:after="0" w:line="276" w:lineRule="auto"/>
        <w:jc w:val="both"/>
        <w:rPr>
          <w:rFonts w:ascii="Verdana" w:eastAsia="Century Gothic" w:hAnsi="Verdana" w:cs="Times New Roman"/>
          <w:b/>
          <w:bCs/>
          <w:lang w:val="es-ES"/>
        </w:rPr>
      </w:pPr>
      <w:r w:rsidRPr="00DF3EEC">
        <w:rPr>
          <w:rFonts w:ascii="Verdana" w:eastAsia="Century Gothic" w:hAnsi="Verdana" w:cs="Times New Roman"/>
          <w:b/>
          <w:bCs/>
          <w:lang w:val="es-ES"/>
        </w:rPr>
        <w:t>Referencias normativas, jurisprudenciales y otras fuentes:</w:t>
      </w:r>
    </w:p>
    <w:p w14:paraId="1D6CDB50" w14:textId="77777777" w:rsidR="00491EDE" w:rsidRPr="00DF3EEC" w:rsidRDefault="00491EDE" w:rsidP="00491EDE">
      <w:pPr>
        <w:widowControl w:val="0"/>
        <w:autoSpaceDE w:val="0"/>
        <w:autoSpaceDN w:val="0"/>
        <w:spacing w:after="0" w:line="276" w:lineRule="auto"/>
        <w:jc w:val="both"/>
        <w:rPr>
          <w:rFonts w:ascii="Verdana" w:eastAsia="Calibri" w:hAnsi="Verdana" w:cs="Times New Roman"/>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91EDE" w:rsidRPr="00DF3EEC" w14:paraId="12D60CF5" w14:textId="77777777" w:rsidTr="00413573">
        <w:trPr>
          <w:trHeight w:val="870"/>
        </w:trPr>
        <w:tc>
          <w:tcPr>
            <w:tcW w:w="8647" w:type="dxa"/>
          </w:tcPr>
          <w:p w14:paraId="7426545E" w14:textId="77777777" w:rsidR="00491EDE" w:rsidRPr="00DF3EEC" w:rsidRDefault="00491EDE" w:rsidP="00491EDE">
            <w:pPr>
              <w:widowControl w:val="0"/>
              <w:numPr>
                <w:ilvl w:val="0"/>
                <w:numId w:val="18"/>
              </w:numPr>
              <w:autoSpaceDE w:val="0"/>
              <w:autoSpaceDN w:val="0"/>
              <w:spacing w:line="276" w:lineRule="auto"/>
              <w:jc w:val="both"/>
              <w:rPr>
                <w:rFonts w:ascii="Verdana" w:eastAsia="Calibri" w:hAnsi="Verdana" w:cs="Times New Roman"/>
                <w:lang w:val="es-ES"/>
              </w:rPr>
            </w:pPr>
            <w:r w:rsidRPr="00DF3EEC">
              <w:rPr>
                <w:rFonts w:ascii="Verdana" w:eastAsia="Calibri" w:hAnsi="Verdana" w:cs="Times New Roman"/>
                <w:lang w:val="es-ES"/>
              </w:rPr>
              <w:t xml:space="preserve">Ley 2022 de 2020, artículo 1. </w:t>
            </w:r>
          </w:p>
          <w:p w14:paraId="7D7F95DA" w14:textId="77777777" w:rsidR="00491EDE" w:rsidRPr="00DF3EEC" w:rsidRDefault="00491EDE" w:rsidP="00491EDE">
            <w:pPr>
              <w:widowControl w:val="0"/>
              <w:numPr>
                <w:ilvl w:val="0"/>
                <w:numId w:val="18"/>
              </w:numPr>
              <w:autoSpaceDE w:val="0"/>
              <w:autoSpaceDN w:val="0"/>
              <w:spacing w:line="276" w:lineRule="auto"/>
              <w:jc w:val="both"/>
              <w:rPr>
                <w:rFonts w:ascii="Verdana" w:eastAsia="Calibri" w:hAnsi="Verdana" w:cs="Times New Roman"/>
                <w:lang w:val="es-ES"/>
              </w:rPr>
            </w:pPr>
            <w:r w:rsidRPr="00DF3EEC">
              <w:rPr>
                <w:rFonts w:ascii="Verdana" w:eastAsia="Calibri" w:hAnsi="Verdana" w:cs="Times New Roman"/>
                <w:lang w:val="es-ES"/>
              </w:rPr>
              <w:t>Ley 1150 de 2007, artículo 5.</w:t>
            </w:r>
          </w:p>
          <w:p w14:paraId="22A4C834" w14:textId="77777777" w:rsidR="00491EDE" w:rsidRPr="00DF3EEC" w:rsidRDefault="00491EDE" w:rsidP="00491EDE">
            <w:pPr>
              <w:widowControl w:val="0"/>
              <w:numPr>
                <w:ilvl w:val="0"/>
                <w:numId w:val="18"/>
              </w:numPr>
              <w:autoSpaceDE w:val="0"/>
              <w:autoSpaceDN w:val="0"/>
              <w:spacing w:line="276" w:lineRule="auto"/>
              <w:jc w:val="both"/>
              <w:rPr>
                <w:rFonts w:ascii="Verdana" w:eastAsia="Calibri" w:hAnsi="Verdana" w:cs="Times New Roman"/>
                <w:lang w:val="es-ES"/>
              </w:rPr>
            </w:pPr>
            <w:r w:rsidRPr="00DF3EEC">
              <w:rPr>
                <w:rFonts w:ascii="Verdana" w:eastAsia="Calibri" w:hAnsi="Verdana" w:cs="Times New Roman"/>
                <w:lang w:val="es-ES"/>
              </w:rPr>
              <w:t xml:space="preserve">Documentos tipo de licitación de obra pública de infraestructura de transporte – versión </w:t>
            </w:r>
            <w:r>
              <w:rPr>
                <w:rFonts w:ascii="Verdana" w:eastAsia="Calibri" w:hAnsi="Verdana" w:cs="Times New Roman"/>
                <w:lang w:val="es-ES"/>
              </w:rPr>
              <w:t>4</w:t>
            </w:r>
            <w:r w:rsidRPr="00DF3EEC">
              <w:rPr>
                <w:rFonts w:ascii="Verdana" w:eastAsia="Calibri" w:hAnsi="Verdana" w:cs="Times New Roman"/>
                <w:lang w:val="es-ES"/>
              </w:rPr>
              <w:t xml:space="preserve"> –. </w:t>
            </w:r>
            <w:r>
              <w:rPr>
                <w:rFonts w:ascii="Verdana" w:eastAsia="Calibri" w:hAnsi="Verdana" w:cs="Arial"/>
                <w:bCs/>
                <w:lang w:val="es-ES_tradnl"/>
              </w:rPr>
              <w:t>Resolución 465 del 10 de septiembre de 2024</w:t>
            </w:r>
            <w:r>
              <w:rPr>
                <w:rFonts w:ascii="Verdana" w:eastAsia="Calibri" w:hAnsi="Verdana" w:cs="Times New Roman"/>
                <w:lang w:val="es-ES"/>
              </w:rPr>
              <w:t xml:space="preserve"> </w:t>
            </w:r>
            <w:r w:rsidRPr="00DF3EEC">
              <w:rPr>
                <w:rFonts w:ascii="Verdana" w:eastAsia="Calibri" w:hAnsi="Verdana" w:cs="Times New Roman"/>
                <w:lang w:val="es-ES"/>
              </w:rPr>
              <w:t xml:space="preserve">de la Agencia Nacional de Contratación Pública – Colombia Compra Eficiente. Disponible en: </w:t>
            </w:r>
            <w:hyperlink r:id="rId11" w:history="1">
              <w:r w:rsidRPr="0095587C">
                <w:rPr>
                  <w:rStyle w:val="Hipervnculo"/>
                  <w:rFonts w:ascii="Verdana" w:eastAsia="Calibri" w:hAnsi="Verdana" w:cs="Times New Roman"/>
                  <w:lang w:val="es-ES"/>
                </w:rPr>
                <w:t>https://www.colombiacompra.gov.co/normativa-y-relatoria/documentos-tipo</w:t>
              </w:r>
            </w:hyperlink>
            <w:r>
              <w:rPr>
                <w:rFonts w:ascii="Verdana" w:eastAsia="Calibri" w:hAnsi="Verdana" w:cs="Times New Roman"/>
                <w:lang w:val="es-ES"/>
              </w:rPr>
              <w:t xml:space="preserve"> </w:t>
            </w:r>
          </w:p>
          <w:p w14:paraId="26A13E0C" w14:textId="77777777" w:rsidR="00491EDE" w:rsidRPr="00DF3EEC" w:rsidRDefault="00491EDE" w:rsidP="00491EDE">
            <w:pPr>
              <w:widowControl w:val="0"/>
              <w:numPr>
                <w:ilvl w:val="0"/>
                <w:numId w:val="18"/>
              </w:numPr>
              <w:autoSpaceDE w:val="0"/>
              <w:autoSpaceDN w:val="0"/>
              <w:spacing w:line="276" w:lineRule="auto"/>
              <w:jc w:val="both"/>
              <w:rPr>
                <w:rFonts w:ascii="Verdana" w:eastAsia="Calibri" w:hAnsi="Verdana" w:cs="Times New Roman"/>
                <w:lang w:val="es-ES_tradnl"/>
              </w:rPr>
            </w:pPr>
            <w:r w:rsidRPr="00DF3EEC">
              <w:rPr>
                <w:rFonts w:ascii="Verdana" w:eastAsia="Calibri" w:hAnsi="Verdana" w:cs="Times New Roman"/>
                <w:lang w:val="es-ES"/>
              </w:rPr>
              <w:t xml:space="preserve">Guía para Determinar y Verificar la Capacidad Residual del Proponente en los Procesos de Contratación de Obra Pública. Disponible en: </w:t>
            </w:r>
            <w:hyperlink r:id="rId12" w:history="1">
              <w:r w:rsidRPr="006B04D6">
                <w:rPr>
                  <w:rStyle w:val="Hipervnculo"/>
                  <w:rFonts w:ascii="Verdana" w:eastAsia="Calibri" w:hAnsi="Verdana" w:cs="Times New Roman"/>
                  <w:lang w:val="es-ES"/>
                </w:rPr>
                <w:t>https://operaciones.colombiacompra.gov.co/sites/cce_public/files/cce_documents/cce-eicp-gi-22_guia_capacidad_residual_de_contratacion_v1_29-09-2023_.pdf</w:t>
              </w:r>
            </w:hyperlink>
            <w:r w:rsidRPr="006B04D6">
              <w:rPr>
                <w:rStyle w:val="Hipervnculo"/>
                <w:rFonts w:ascii="Verdana" w:eastAsia="Calibri" w:hAnsi="Verdana" w:cs="Times New Roman"/>
                <w:lang w:val="es-ES"/>
              </w:rPr>
              <w:t xml:space="preserve"> </w:t>
            </w:r>
          </w:p>
        </w:tc>
      </w:tr>
    </w:tbl>
    <w:p w14:paraId="38BBC821" w14:textId="77777777" w:rsidR="00491EDE" w:rsidRPr="00DF3EEC" w:rsidRDefault="00491EDE" w:rsidP="00491EDE">
      <w:pPr>
        <w:widowControl w:val="0"/>
        <w:autoSpaceDE w:val="0"/>
        <w:autoSpaceDN w:val="0"/>
        <w:spacing w:after="0" w:line="276" w:lineRule="auto"/>
        <w:jc w:val="both"/>
        <w:rPr>
          <w:rFonts w:ascii="Verdana" w:eastAsia="Calibri" w:hAnsi="Verdana" w:cs="Times New Roman"/>
        </w:rPr>
      </w:pPr>
    </w:p>
    <w:p w14:paraId="16F96B83" w14:textId="77777777" w:rsidR="00491EDE" w:rsidRPr="00DF3EEC" w:rsidRDefault="00491EDE" w:rsidP="00491EDE">
      <w:pPr>
        <w:widowControl w:val="0"/>
        <w:autoSpaceDE w:val="0"/>
        <w:autoSpaceDN w:val="0"/>
        <w:spacing w:after="0" w:line="276" w:lineRule="auto"/>
        <w:jc w:val="both"/>
        <w:rPr>
          <w:rFonts w:ascii="Verdana" w:eastAsia="Calibri" w:hAnsi="Verdana" w:cs="Times New Roman"/>
        </w:rPr>
      </w:pPr>
    </w:p>
    <w:p w14:paraId="799E4C0A" w14:textId="77777777" w:rsidR="00491EDE" w:rsidRPr="00DF3EEC" w:rsidRDefault="00491EDE" w:rsidP="00491EDE">
      <w:pPr>
        <w:numPr>
          <w:ilvl w:val="0"/>
          <w:numId w:val="16"/>
        </w:numPr>
        <w:tabs>
          <w:tab w:val="left" w:pos="142"/>
          <w:tab w:val="left" w:pos="284"/>
        </w:tabs>
        <w:spacing w:after="0" w:line="276" w:lineRule="auto"/>
        <w:jc w:val="both"/>
        <w:rPr>
          <w:rFonts w:ascii="Verdana" w:eastAsia="Century Gothic" w:hAnsi="Verdana" w:cs="Times New Roman"/>
          <w:b/>
          <w:bCs/>
          <w:lang w:val="es-ES"/>
        </w:rPr>
      </w:pPr>
      <w:r w:rsidRPr="00DF3EEC">
        <w:rPr>
          <w:rFonts w:ascii="Verdana" w:eastAsia="Century Gothic" w:hAnsi="Verdana" w:cs="Times New Roman"/>
          <w:b/>
          <w:bCs/>
          <w:lang w:val="es-ES"/>
        </w:rPr>
        <w:t>Doctrina de la Agencia Nacional de Contratación Pública:</w:t>
      </w:r>
    </w:p>
    <w:p w14:paraId="48D81877" w14:textId="77777777" w:rsidR="00491EDE" w:rsidRPr="00DF3EEC" w:rsidRDefault="00491EDE" w:rsidP="00491EDE">
      <w:pPr>
        <w:widowControl w:val="0"/>
        <w:autoSpaceDE w:val="0"/>
        <w:autoSpaceDN w:val="0"/>
        <w:spacing w:after="0" w:line="276" w:lineRule="auto"/>
        <w:jc w:val="both"/>
        <w:rPr>
          <w:rFonts w:ascii="Verdana" w:eastAsia="Calibri" w:hAnsi="Verdana" w:cs="Times New Roman"/>
        </w:rPr>
      </w:pPr>
    </w:p>
    <w:p w14:paraId="252F5863" w14:textId="77777777" w:rsidR="00491EDE" w:rsidRDefault="00491EDE" w:rsidP="00491EDE">
      <w:pPr>
        <w:widowControl w:val="0"/>
        <w:autoSpaceDE w:val="0"/>
        <w:autoSpaceDN w:val="0"/>
        <w:spacing w:after="0" w:line="276" w:lineRule="auto"/>
        <w:jc w:val="both"/>
        <w:rPr>
          <w:rFonts w:ascii="Verdana" w:eastAsia="Calibri" w:hAnsi="Verdana" w:cs="Times New Roman"/>
        </w:rPr>
      </w:pPr>
      <w:r w:rsidRPr="00DF3EEC">
        <w:rPr>
          <w:rFonts w:ascii="Verdana" w:eastAsia="Calibri" w:hAnsi="Verdana" w:cs="Times New Roman"/>
          <w:shd w:val="clear" w:color="auto" w:fill="FFFFFF"/>
          <w:lang w:val="es-ES"/>
        </w:rPr>
        <w:lastRenderedPageBreak/>
        <w:t xml:space="preserve">La Agencia Nacional de Contratación Pública − Colombia Compra Eficiente se pronunció sobre las causales de rechazo incorporadas en los pliegos de condiciones, en los conceptos 2201913000007117 del 25 de septiembre de 2019, 2201913000009538 del 23 de diciembre de 2019, 20240531007971 del 31 de mayo de 2024, C- 716 del 30 de octubre de 2020, C-096 del 24 de marzo de 2021, C-056 del 20 de abril de 2021, C-078 del 15 de marzo de 2022, C-321 del 17 de mayo de 2022, C-113 del 22 de marzo de 2022, C-178, C-186 del 12 de abril de 2022, C-849 de 7 de diciembre de 2022, C- 053 de 28 de marzo de 2023, </w:t>
      </w:r>
      <w:r>
        <w:rPr>
          <w:rFonts w:ascii="Verdana" w:eastAsia="Calibri" w:hAnsi="Verdana" w:cs="Times New Roman"/>
          <w:shd w:val="clear" w:color="auto" w:fill="FFFFFF"/>
          <w:lang w:val="es-ES"/>
        </w:rPr>
        <w:t xml:space="preserve">C-265 del 26 de julio de 2023, </w:t>
      </w:r>
      <w:r w:rsidRPr="00DF3EEC">
        <w:rPr>
          <w:rFonts w:ascii="Verdana" w:eastAsia="Calibri" w:hAnsi="Verdana" w:cs="Times New Roman"/>
          <w:shd w:val="clear" w:color="auto" w:fill="FFFFFF"/>
          <w:lang w:val="es-ES"/>
        </w:rPr>
        <w:t>C-280 del 06 de junio de 2023, C-271 del 15 de agosto de 2023, C-406 del 2 de octubre de 2023</w:t>
      </w:r>
      <w:r>
        <w:rPr>
          <w:rFonts w:ascii="Verdana" w:eastAsia="Calibri" w:hAnsi="Verdana" w:cs="Times New Roman"/>
          <w:shd w:val="clear" w:color="auto" w:fill="FFFFFF"/>
          <w:lang w:val="es-ES"/>
        </w:rPr>
        <w:t xml:space="preserve">, C-421 del 13 de septiembre de 2024 y C-232 del 01 de abril de 2025, </w:t>
      </w:r>
      <w:r w:rsidRPr="00DF3EEC">
        <w:rPr>
          <w:rFonts w:ascii="Verdana" w:eastAsia="Calibri" w:hAnsi="Verdana" w:cs="Times New Roman"/>
          <w:shd w:val="clear" w:color="auto" w:fill="FFFFFF"/>
          <w:lang w:val="es-ES"/>
        </w:rPr>
        <w:t xml:space="preserve">entre otros. </w:t>
      </w:r>
    </w:p>
    <w:p w14:paraId="245E8890" w14:textId="77777777" w:rsidR="00491EDE" w:rsidRPr="005A2C7B" w:rsidRDefault="00491EDE" w:rsidP="00491EDE">
      <w:pPr>
        <w:widowControl w:val="0"/>
        <w:autoSpaceDE w:val="0"/>
        <w:autoSpaceDN w:val="0"/>
        <w:spacing w:after="120" w:line="276" w:lineRule="auto"/>
        <w:jc w:val="both"/>
        <w:rPr>
          <w:rFonts w:ascii="Verdana" w:eastAsia="Times New Roman" w:hAnsi="Verdana" w:cs="Arial"/>
          <w:shd w:val="clear" w:color="auto" w:fill="FFFFFF"/>
          <w:lang w:val="es-ES"/>
        </w:rPr>
      </w:pPr>
      <w:r w:rsidRPr="005A2C7B">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5A2C7B">
          <w:rPr>
            <w:rFonts w:ascii="Verdana" w:eastAsia="Times New Roman" w:hAnsi="Verdana" w:cs="Arial"/>
            <w:shd w:val="clear" w:color="auto" w:fill="FFFFFF"/>
            <w:lang w:val="es-ES"/>
          </w:rPr>
          <w:t>https://relatoria.colombiacompra.gov.co/</w:t>
        </w:r>
      </w:hyperlink>
      <w:r w:rsidRPr="005A2C7B">
        <w:rPr>
          <w:rFonts w:ascii="Verdana" w:eastAsia="Times New Roman" w:hAnsi="Verdana" w:cs="Arial"/>
          <w:shd w:val="clear" w:color="auto" w:fill="FFFFFF"/>
          <w:lang w:val="es-ES"/>
        </w:rPr>
        <w:t> .</w:t>
      </w:r>
    </w:p>
    <w:p w14:paraId="59A9B16F" w14:textId="77777777" w:rsidR="00491EDE" w:rsidRPr="005A2C7B" w:rsidRDefault="00491EDE" w:rsidP="00491EDE">
      <w:pPr>
        <w:shd w:val="clear" w:color="auto" w:fill="FFFFFF"/>
        <w:spacing w:after="120" w:line="240" w:lineRule="auto"/>
        <w:jc w:val="both"/>
        <w:rPr>
          <w:rFonts w:ascii="Verdana" w:hAnsi="Verdana"/>
          <w:color w:val="212121"/>
        </w:rPr>
      </w:pPr>
      <w:r w:rsidRPr="005A2C7B">
        <w:rPr>
          <w:rFonts w:ascii="Verdana" w:hAnsi="Verdana"/>
          <w:color w:val="000000"/>
        </w:rPr>
        <w:t>Te informamos que ya se encuentra disponible la </w:t>
      </w:r>
      <w:r w:rsidRPr="005A2C7B">
        <w:rPr>
          <w:rFonts w:ascii="Verdana" w:hAnsi="Verdana"/>
          <w:b/>
          <w:bCs/>
          <w:color w:val="000000"/>
        </w:rPr>
        <w:t>Cartilla para incentivar y fortalecer el acceso a las compras y contratación pública de los pueblos y comunidades étnicas en Colombia.</w:t>
      </w:r>
      <w:r w:rsidRPr="005A2C7B">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ooltip="Original URL:&#10;https://www.colombiacompra.gov.co/manuales-guias-y-pliegos-tipo/manuales-y-guias/cartilla-para-incentivar-y-fortalecer-el-acceso-las&#10;&#10;Click to follow link." w:history="1">
        <w:r w:rsidRPr="005A2C7B">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5E08E735" w14:textId="77777777" w:rsidR="00491EDE" w:rsidRPr="005A2C7B" w:rsidRDefault="00491EDE" w:rsidP="00491EDE">
      <w:pPr>
        <w:jc w:val="both"/>
        <w:rPr>
          <w:rFonts w:ascii="Verdana" w:hAnsi="Verdana"/>
          <w:color w:val="212121"/>
        </w:rPr>
      </w:pPr>
      <w:r w:rsidRPr="005A2C7B">
        <w:rPr>
          <w:rFonts w:ascii="Verdana" w:hAnsi="Verdana"/>
          <w:color w:val="000000"/>
        </w:rPr>
        <w:t>De otra parte, te informamos que, con el objetivo de garantizar un conocimiento adecuado de las </w:t>
      </w:r>
      <w:r w:rsidRPr="005A2C7B">
        <w:rPr>
          <w:rFonts w:ascii="Verdana" w:hAnsi="Verdana"/>
          <w:b/>
          <w:bCs/>
          <w:color w:val="000000"/>
        </w:rPr>
        <w:t>modificaciones y/o actualizaciones realizadas a los Documentos Tipo</w:t>
      </w:r>
      <w:r w:rsidRPr="005A2C7B">
        <w:rPr>
          <w:rFonts w:ascii="Verdana" w:hAnsi="Verdana"/>
          <w:color w:val="000000"/>
        </w:rPr>
        <w:t>, hemos programado una serie de </w:t>
      </w:r>
      <w:r w:rsidRPr="005A2C7B">
        <w:rPr>
          <w:rFonts w:ascii="Verdana" w:hAnsi="Verdana"/>
          <w:b/>
          <w:bCs/>
          <w:color w:val="000000"/>
        </w:rPr>
        <w:t>capacitaciones </w:t>
      </w:r>
      <w:r w:rsidRPr="005A2C7B">
        <w:rPr>
          <w:rFonts w:ascii="Verdana" w:hAnsi="Verdana"/>
          <w:color w:val="000000"/>
        </w:rPr>
        <w:t>dirigidas a todos los actores involucrados en los procesos de selección. Podrás conocer la programación y realizar tu inscripción a estas capacitaciones a través del siguiente enlace: </w:t>
      </w:r>
      <w:hyperlink r:id="rId15" w:tooltip="Original URL:&#10;https://www.colombiacompra.gov.co/ciudadanos/calendario&#10;&#10;Click to follow link." w:history="1">
        <w:r w:rsidRPr="005A2C7B">
          <w:rPr>
            <w:rFonts w:ascii="Verdana" w:hAnsi="Verdana"/>
            <w:color w:val="467886"/>
            <w:u w:val="single"/>
          </w:rPr>
          <w:t>Calendario | Colombia Compra Eficiente | Agencia Nacional de Contratación Pública</w:t>
        </w:r>
      </w:hyperlink>
    </w:p>
    <w:p w14:paraId="169ACE13" w14:textId="77777777" w:rsidR="00491EDE" w:rsidRPr="005A2C7B" w:rsidRDefault="00491EDE" w:rsidP="00491EDE">
      <w:pPr>
        <w:spacing w:after="0"/>
        <w:jc w:val="both"/>
        <w:rPr>
          <w:rFonts w:ascii="Verdana" w:hAnsi="Verdana"/>
          <w:color w:val="212121"/>
        </w:rPr>
      </w:pPr>
      <w:r w:rsidRPr="005A2C7B">
        <w:rPr>
          <w:rFonts w:ascii="Verdana" w:hAnsi="Verdana"/>
          <w:color w:val="000000"/>
        </w:rPr>
        <w:t>También, te contamos que ya publicamos </w:t>
      </w:r>
      <w:r w:rsidRPr="005A2C7B">
        <w:rPr>
          <w:rFonts w:ascii="Verdana" w:hAnsi="Verdana"/>
          <w:b/>
          <w:bCs/>
          <w:color w:val="000000"/>
        </w:rPr>
        <w:t>la nueva Guía de Contratación Pública Sostenible y Socialmente Responsable</w:t>
      </w:r>
      <w:r w:rsidRPr="005A2C7B">
        <w:rPr>
          <w:rFonts w:ascii="Verdana" w:hAnsi="Verdana"/>
          <w:color w:val="000000"/>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5A2C7B">
        <w:rPr>
          <w:rFonts w:ascii="Verdana" w:hAnsi="Verdana"/>
          <w:color w:val="000000"/>
        </w:rPr>
        <w:lastRenderedPageBreak/>
        <w:t>en el siguiente enlace: </w:t>
      </w:r>
      <w:hyperlink r:id="rId16" w:tooltip="Original URL:&#10;https://www.colombiacompra.gov.co/manuales-guias-y-pliegos-tipo/manuales-y-guias/guia-de-contratacion-publica-sostenible-y-socialmente&#10;&#10;Click to follow link." w:history="1">
        <w:r w:rsidRPr="005A2C7B">
          <w:rPr>
            <w:rFonts w:ascii="Verdana" w:hAnsi="Verdana"/>
            <w:color w:val="467886"/>
            <w:u w:val="single"/>
          </w:rPr>
          <w:t>Guía de Contratación Pública Sostenible y Socialmente Responsable | Colombia Compra Eficiente | Agencia Nacional de Contratación Pública</w:t>
        </w:r>
      </w:hyperlink>
    </w:p>
    <w:p w14:paraId="4BE05F02" w14:textId="77777777" w:rsidR="00491EDE" w:rsidRPr="005A2C7B" w:rsidRDefault="00491EDE" w:rsidP="00491EDE">
      <w:pPr>
        <w:spacing w:after="0"/>
        <w:jc w:val="both"/>
        <w:rPr>
          <w:rFonts w:ascii="Verdana" w:hAnsi="Verdana"/>
          <w:color w:val="212121"/>
        </w:rPr>
      </w:pPr>
    </w:p>
    <w:p w14:paraId="79A99ABA" w14:textId="77777777" w:rsidR="00491EDE" w:rsidRPr="005A2C7B" w:rsidRDefault="00491EDE" w:rsidP="00491EDE">
      <w:pPr>
        <w:spacing w:after="0" w:line="240" w:lineRule="auto"/>
        <w:jc w:val="both"/>
        <w:rPr>
          <w:rFonts w:ascii="Verdana" w:eastAsia="Calibri" w:hAnsi="Verdana" w:cs="Times New Roman"/>
        </w:rPr>
      </w:pPr>
      <w:r w:rsidRPr="005A2C7B">
        <w:rPr>
          <w:rFonts w:ascii="Verdana" w:hAnsi="Verdana"/>
        </w:rPr>
        <w:t xml:space="preserve">Por último, lo invitamos a seguirnos en las redes sociales en las cuales se difunde información institucional: </w:t>
      </w:r>
    </w:p>
    <w:p w14:paraId="7AA1CAF3" w14:textId="77777777" w:rsidR="00491EDE" w:rsidRPr="005A2C7B" w:rsidRDefault="00491EDE" w:rsidP="00491EDE">
      <w:pPr>
        <w:spacing w:after="0" w:line="240" w:lineRule="auto"/>
        <w:jc w:val="both"/>
        <w:rPr>
          <w:rFonts w:ascii="Verdana" w:hAnsi="Verdana"/>
        </w:rPr>
      </w:pPr>
    </w:p>
    <w:p w14:paraId="2BF3D65F" w14:textId="77777777" w:rsidR="00491EDE" w:rsidRPr="005A2C7B" w:rsidRDefault="00491EDE" w:rsidP="00491EDE">
      <w:pPr>
        <w:spacing w:after="0" w:line="240" w:lineRule="auto"/>
        <w:jc w:val="both"/>
        <w:rPr>
          <w:rFonts w:ascii="Verdana" w:hAnsi="Verdana"/>
        </w:rPr>
      </w:pPr>
      <w:r w:rsidRPr="005A2C7B">
        <w:rPr>
          <w:rFonts w:ascii="Verdana" w:hAnsi="Verdana"/>
        </w:rPr>
        <w:t xml:space="preserve">Twitter: </w:t>
      </w:r>
      <w:r w:rsidRPr="005A2C7B">
        <w:rPr>
          <w:rFonts w:ascii="Verdana" w:eastAsia="Calibri" w:hAnsi="Verdana" w:cs="Times New Roman"/>
          <w:color w:val="4472C4" w:themeColor="accent1"/>
          <w:u w:val="single"/>
        </w:rPr>
        <w:t>@colombiacompra</w:t>
      </w:r>
      <w:r w:rsidRPr="005A2C7B">
        <w:rPr>
          <w:rFonts w:ascii="Verdana" w:eastAsia="Calibri" w:hAnsi="Verdana" w:cs="Times New Roman"/>
          <w:color w:val="4472C4" w:themeColor="accent1"/>
        </w:rPr>
        <w:t xml:space="preserve"> </w:t>
      </w:r>
    </w:p>
    <w:p w14:paraId="4473CB5C" w14:textId="77777777" w:rsidR="00491EDE" w:rsidRPr="005A2C7B" w:rsidRDefault="00491EDE" w:rsidP="00491EDE">
      <w:pPr>
        <w:spacing w:after="0" w:line="240" w:lineRule="auto"/>
        <w:jc w:val="both"/>
        <w:rPr>
          <w:rFonts w:ascii="Verdana" w:hAnsi="Verdana"/>
        </w:rPr>
      </w:pPr>
      <w:r w:rsidRPr="005A2C7B">
        <w:rPr>
          <w:rFonts w:ascii="Verdana" w:hAnsi="Verdana"/>
        </w:rPr>
        <w:t xml:space="preserve">Facebook: </w:t>
      </w:r>
      <w:proofErr w:type="spellStart"/>
      <w:r w:rsidRPr="005A2C7B">
        <w:rPr>
          <w:rFonts w:ascii="Verdana" w:eastAsia="Calibri" w:hAnsi="Verdana" w:cs="Times New Roman"/>
          <w:color w:val="4472C4" w:themeColor="accent1"/>
          <w:u w:val="single"/>
        </w:rPr>
        <w:t>ColombiaCompraEficiente</w:t>
      </w:r>
      <w:proofErr w:type="spellEnd"/>
    </w:p>
    <w:p w14:paraId="294D61E3" w14:textId="77777777" w:rsidR="00491EDE" w:rsidRPr="005A2C7B" w:rsidRDefault="00491EDE" w:rsidP="00491EDE">
      <w:pPr>
        <w:spacing w:after="0" w:line="240" w:lineRule="auto"/>
        <w:jc w:val="both"/>
        <w:rPr>
          <w:rFonts w:ascii="Verdana" w:hAnsi="Verdana"/>
        </w:rPr>
      </w:pPr>
      <w:r w:rsidRPr="005A2C7B">
        <w:rPr>
          <w:rFonts w:ascii="Verdana" w:hAnsi="Verdana"/>
        </w:rPr>
        <w:t xml:space="preserve">LinkedIn: </w:t>
      </w:r>
      <w:r w:rsidRPr="005A2C7B">
        <w:rPr>
          <w:rFonts w:ascii="Verdana" w:eastAsia="Calibri" w:hAnsi="Verdana" w:cs="Times New Roman"/>
          <w:color w:val="4472C4" w:themeColor="accent1"/>
          <w:u w:val="single"/>
        </w:rPr>
        <w:t>Agencia Nacional de Contratación Pública - Colombia Compra Eficiente</w:t>
      </w:r>
      <w:r w:rsidRPr="005A2C7B">
        <w:rPr>
          <w:rFonts w:ascii="Verdana" w:eastAsia="Calibri" w:hAnsi="Verdana" w:cs="Times New Roman"/>
          <w:color w:val="4472C4" w:themeColor="accent1"/>
        </w:rPr>
        <w:t xml:space="preserve"> </w:t>
      </w:r>
      <w:r w:rsidRPr="005A2C7B">
        <w:rPr>
          <w:rFonts w:ascii="Verdana" w:hAnsi="Verdana"/>
        </w:rPr>
        <w:t xml:space="preserve">Instagram: </w:t>
      </w:r>
      <w:r w:rsidRPr="005A2C7B">
        <w:rPr>
          <w:rFonts w:ascii="Verdana" w:eastAsia="Calibri" w:hAnsi="Verdana" w:cs="Times New Roman"/>
          <w:color w:val="4472C4" w:themeColor="accent1"/>
          <w:u w:val="single"/>
        </w:rPr>
        <w:t>@colombiacompraeficiente_cce</w:t>
      </w:r>
    </w:p>
    <w:p w14:paraId="18B116A9" w14:textId="77777777" w:rsidR="00491EDE" w:rsidRPr="005A2C7B" w:rsidRDefault="00491EDE" w:rsidP="00491EDE">
      <w:pPr>
        <w:widowControl w:val="0"/>
        <w:autoSpaceDE w:val="0"/>
        <w:autoSpaceDN w:val="0"/>
        <w:spacing w:after="0" w:line="276" w:lineRule="auto"/>
        <w:jc w:val="both"/>
        <w:rPr>
          <w:rFonts w:ascii="Verdana" w:hAnsi="Verdana"/>
        </w:rPr>
      </w:pPr>
    </w:p>
    <w:p w14:paraId="5CBF1906" w14:textId="77777777" w:rsidR="00491EDE" w:rsidRPr="005A2C7B" w:rsidRDefault="00491EDE" w:rsidP="00491EDE">
      <w:pPr>
        <w:widowControl w:val="0"/>
        <w:autoSpaceDE w:val="0"/>
        <w:autoSpaceDN w:val="0"/>
        <w:spacing w:after="0" w:line="276" w:lineRule="auto"/>
        <w:jc w:val="both"/>
        <w:rPr>
          <w:rFonts w:ascii="Verdana" w:eastAsia="Calibri" w:hAnsi="Verdana" w:cs="Arial"/>
          <w:lang w:val="es-ES_tradnl"/>
        </w:rPr>
      </w:pPr>
      <w:r w:rsidRPr="005A2C7B">
        <w:rPr>
          <w:rFonts w:ascii="Verdana" w:eastAsia="Calibri" w:hAnsi="Verdana" w:cs="Arial"/>
        </w:rPr>
        <w:t>Este concepto tiene el alcance previsto en el artículo 28 del Código de Procedimiento Administrativo y de lo Contencioso Administrativo.</w:t>
      </w:r>
    </w:p>
    <w:p w14:paraId="2A2FEDE6" w14:textId="77777777" w:rsidR="00491EDE" w:rsidRPr="005A2C7B" w:rsidRDefault="00491EDE" w:rsidP="00491EDE">
      <w:pPr>
        <w:widowControl w:val="0"/>
        <w:autoSpaceDE w:val="0"/>
        <w:autoSpaceDN w:val="0"/>
        <w:spacing w:after="0" w:line="276" w:lineRule="auto"/>
        <w:jc w:val="both"/>
        <w:rPr>
          <w:rFonts w:ascii="Verdana" w:eastAsia="Calibri" w:hAnsi="Verdana" w:cs="Arial"/>
        </w:rPr>
      </w:pPr>
    </w:p>
    <w:p w14:paraId="0BC6478E" w14:textId="77777777" w:rsidR="00491EDE" w:rsidRPr="005A2C7B" w:rsidRDefault="00491EDE" w:rsidP="00491EDE">
      <w:pPr>
        <w:spacing w:after="0" w:line="240" w:lineRule="auto"/>
        <w:rPr>
          <w:rFonts w:ascii="Verdana" w:eastAsia="Calibri" w:hAnsi="Verdana" w:cs="Arial"/>
          <w:lang w:eastAsia="es-CO"/>
        </w:rPr>
      </w:pPr>
      <w:r w:rsidRPr="005A2C7B">
        <w:rPr>
          <w:rFonts w:ascii="Verdana" w:eastAsia="Times New Roman" w:hAnsi="Verdana" w:cs="Arial"/>
          <w:lang w:eastAsia="es-CO"/>
        </w:rPr>
        <w:t>Atentamente,</w:t>
      </w:r>
      <w:r w:rsidRPr="005A2C7B">
        <w:rPr>
          <w:rFonts w:ascii="Verdana" w:eastAsia="Calibri" w:hAnsi="Verdana" w:cs="Arial"/>
          <w:lang w:eastAsia="es-CO"/>
        </w:rPr>
        <w:t xml:space="preserve"> </w:t>
      </w:r>
    </w:p>
    <w:p w14:paraId="50B3D280" w14:textId="6F336F54" w:rsidR="00491EDE" w:rsidRPr="005A2C7B" w:rsidRDefault="00704F64" w:rsidP="00704F64">
      <w:pPr>
        <w:tabs>
          <w:tab w:val="left" w:pos="1320"/>
        </w:tabs>
        <w:jc w:val="center"/>
        <w:rPr>
          <w:rFonts w:ascii="Verdana" w:hAnsi="Verdana"/>
        </w:rPr>
      </w:pPr>
      <w:r w:rsidRPr="004D5C25">
        <w:rPr>
          <w:rFonts w:ascii="Century Gothic" w:hAnsi="Century Gothic"/>
          <w:noProof/>
        </w:rPr>
        <w:drawing>
          <wp:inline distT="0" distB="0" distL="0" distR="0" wp14:anchorId="2342E167" wp14:editId="57CDF7DF">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91EDE" w:rsidRPr="00C865D4" w14:paraId="3A6D745D" w14:textId="77777777" w:rsidTr="00413573">
        <w:trPr>
          <w:trHeight w:val="315"/>
        </w:trPr>
        <w:tc>
          <w:tcPr>
            <w:tcW w:w="893" w:type="dxa"/>
            <w:vAlign w:val="center"/>
            <w:hideMark/>
          </w:tcPr>
          <w:p w14:paraId="03CD894A" w14:textId="77777777" w:rsidR="00491EDE" w:rsidRPr="00C865D4" w:rsidRDefault="00491EDE" w:rsidP="00413573">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F189B91" w14:textId="369839D6" w:rsidR="00491EDE" w:rsidRPr="00C865D4" w:rsidRDefault="00491EDE" w:rsidP="00413573">
            <w:pPr>
              <w:rPr>
                <w:rFonts w:ascii="Verdana" w:eastAsia="Arial" w:hAnsi="Verdana" w:cs="Arial"/>
                <w:sz w:val="16"/>
                <w:szCs w:val="16"/>
                <w:lang w:val="es-ES"/>
              </w:rPr>
            </w:pPr>
            <w:r w:rsidRPr="00C865D4">
              <w:rPr>
                <w:rFonts w:ascii="Verdana" w:eastAsia="Arial" w:hAnsi="Verdana" w:cs="Arial"/>
                <w:sz w:val="16"/>
                <w:szCs w:val="16"/>
                <w:lang w:val="es-ES"/>
              </w:rPr>
              <w:t xml:space="preserve">Carlos Mario </w:t>
            </w:r>
            <w:r w:rsidR="008D3B57" w:rsidRPr="00C865D4">
              <w:rPr>
                <w:rFonts w:ascii="Verdana" w:eastAsia="Arial" w:hAnsi="Verdana" w:cs="Arial"/>
                <w:sz w:val="16"/>
                <w:szCs w:val="16"/>
                <w:lang w:val="es-ES"/>
              </w:rPr>
              <w:t>Castrillón</w:t>
            </w:r>
            <w:r w:rsidRPr="00C865D4">
              <w:rPr>
                <w:rFonts w:ascii="Verdana" w:eastAsia="Arial" w:hAnsi="Verdana" w:cs="Arial"/>
                <w:sz w:val="16"/>
                <w:szCs w:val="16"/>
                <w:lang w:val="es-ES"/>
              </w:rPr>
              <w:t xml:space="preserve"> Endo </w:t>
            </w:r>
          </w:p>
          <w:p w14:paraId="6E151903" w14:textId="77777777" w:rsidR="00491EDE" w:rsidRPr="00C865D4" w:rsidRDefault="00491EDE" w:rsidP="00413573">
            <w:pPr>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tc>
      </w:tr>
      <w:tr w:rsidR="00491EDE" w:rsidRPr="00C865D4" w14:paraId="3CA348FB" w14:textId="77777777" w:rsidTr="00413573">
        <w:trPr>
          <w:trHeight w:val="330"/>
        </w:trPr>
        <w:tc>
          <w:tcPr>
            <w:tcW w:w="893" w:type="dxa"/>
            <w:vAlign w:val="center"/>
            <w:hideMark/>
          </w:tcPr>
          <w:p w14:paraId="1415D966" w14:textId="77777777" w:rsidR="00491EDE" w:rsidRPr="00C865D4" w:rsidRDefault="00491EDE" w:rsidP="00413573">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2541C7B7" w14:textId="77777777" w:rsidR="00491EDE" w:rsidRDefault="00491EDE" w:rsidP="00413573">
            <w:pPr>
              <w:textAlignment w:val="baseline"/>
              <w:rPr>
                <w:rFonts w:ascii="Verdana" w:eastAsia="Times New Roman" w:hAnsi="Verdana" w:cs="Arial"/>
                <w:sz w:val="16"/>
                <w:szCs w:val="16"/>
                <w:lang w:val="es-ES_tradnl" w:eastAsia="es-ES_tradnl"/>
              </w:rPr>
            </w:pPr>
            <w:r>
              <w:rPr>
                <w:rFonts w:ascii="Verdana" w:eastAsia="Times New Roman" w:hAnsi="Verdana" w:cs="Arial"/>
                <w:sz w:val="16"/>
                <w:szCs w:val="16"/>
                <w:lang w:val="es-ES_tradnl" w:eastAsia="es-ES_tradnl"/>
              </w:rPr>
              <w:t>Martha Alicia Romero Vargas</w:t>
            </w:r>
          </w:p>
          <w:p w14:paraId="67979105" w14:textId="77777777" w:rsidR="00491EDE" w:rsidRPr="00C865D4" w:rsidRDefault="00491EDE" w:rsidP="00413573">
            <w:pPr>
              <w:textAlignment w:val="baseline"/>
              <w:rPr>
                <w:rFonts w:ascii="Verdana" w:eastAsia="Times New Roman" w:hAnsi="Verdana" w:cs="Segoe UI"/>
                <w:sz w:val="16"/>
                <w:szCs w:val="16"/>
                <w:lang w:val="es-ES_tradnl" w:eastAsia="es-ES_tradnl"/>
              </w:rPr>
            </w:pPr>
            <w:r>
              <w:rPr>
                <w:rFonts w:ascii="Verdana" w:eastAsia="Times New Roman" w:hAnsi="Verdana" w:cs="Arial"/>
                <w:sz w:val="16"/>
                <w:szCs w:val="16"/>
                <w:lang w:val="es-ES_tradnl" w:eastAsia="es-ES_tradnl"/>
              </w:rPr>
              <w:t>Gestor T1-15 de la Subdirección de Gestión Contractual</w:t>
            </w:r>
          </w:p>
        </w:tc>
      </w:tr>
      <w:tr w:rsidR="00491EDE" w:rsidRPr="00C865D4" w14:paraId="0988AA4C" w14:textId="77777777" w:rsidTr="00413573">
        <w:trPr>
          <w:trHeight w:val="300"/>
        </w:trPr>
        <w:tc>
          <w:tcPr>
            <w:tcW w:w="893" w:type="dxa"/>
            <w:vAlign w:val="center"/>
          </w:tcPr>
          <w:p w14:paraId="5F3388B1" w14:textId="77777777" w:rsidR="00491EDE" w:rsidRPr="00C865D4" w:rsidRDefault="00491EDE" w:rsidP="00413573">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70FE164" w14:textId="77777777" w:rsidR="00491EDE" w:rsidRPr="00C865D4" w:rsidRDefault="00491EDE" w:rsidP="00413573">
            <w:pPr>
              <w:rPr>
                <w:rFonts w:ascii="Verdana" w:eastAsia="Calibri" w:hAnsi="Verdana" w:cs="Arial"/>
                <w:sz w:val="16"/>
                <w:szCs w:val="16"/>
                <w:lang w:val="es-ES" w:eastAsia="es-ES"/>
              </w:rPr>
            </w:pPr>
            <w:r w:rsidRPr="00C865D4">
              <w:rPr>
                <w:rFonts w:ascii="Verdana" w:eastAsia="Calibri" w:hAnsi="Verdana" w:cs="Arial"/>
                <w:sz w:val="16"/>
                <w:szCs w:val="16"/>
                <w:lang w:val="es-ES" w:eastAsia="es-ES"/>
              </w:rPr>
              <w:t xml:space="preserve">Carolina Quintero </w:t>
            </w:r>
            <w:proofErr w:type="spellStart"/>
            <w:r w:rsidRPr="00C865D4">
              <w:rPr>
                <w:rFonts w:ascii="Verdana" w:eastAsia="Calibri" w:hAnsi="Verdana" w:cs="Arial"/>
                <w:sz w:val="16"/>
                <w:szCs w:val="16"/>
                <w:lang w:val="es-ES" w:eastAsia="es-ES"/>
              </w:rPr>
              <w:t>Gacharná</w:t>
            </w:r>
            <w:proofErr w:type="spellEnd"/>
          </w:p>
          <w:p w14:paraId="1746932C" w14:textId="77777777" w:rsidR="00491EDE" w:rsidRPr="00C865D4" w:rsidRDefault="00491EDE" w:rsidP="00413573">
            <w:pPr>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tbl>
    <w:p w14:paraId="5AF9D8A2" w14:textId="77777777" w:rsidR="00491EDE" w:rsidRPr="00C865D4" w:rsidRDefault="00491EDE" w:rsidP="00491EDE">
      <w:pPr>
        <w:tabs>
          <w:tab w:val="left" w:pos="1320"/>
        </w:tabs>
        <w:rPr>
          <w:rFonts w:ascii="Century Gothic" w:hAnsi="Century Gothic"/>
        </w:rPr>
      </w:pPr>
    </w:p>
    <w:p w14:paraId="3DF8B371" w14:textId="77777777" w:rsidR="00491EDE" w:rsidRDefault="00491EDE" w:rsidP="00491EDE">
      <w:pPr>
        <w:widowControl w:val="0"/>
        <w:autoSpaceDE w:val="0"/>
        <w:autoSpaceDN w:val="0"/>
        <w:spacing w:after="0" w:line="276" w:lineRule="auto"/>
        <w:jc w:val="both"/>
      </w:pPr>
    </w:p>
    <w:p w14:paraId="0908C1CF" w14:textId="77777777" w:rsidR="00491EDE" w:rsidRPr="00DF3EEC" w:rsidRDefault="00491EDE" w:rsidP="00491EDE">
      <w:pPr>
        <w:widowControl w:val="0"/>
        <w:autoSpaceDE w:val="0"/>
        <w:autoSpaceDN w:val="0"/>
        <w:spacing w:after="0" w:line="276" w:lineRule="auto"/>
        <w:jc w:val="both"/>
        <w:rPr>
          <w:rFonts w:ascii="Verdana" w:eastAsia="Calibri" w:hAnsi="Verdana" w:cs="Times New Roman"/>
        </w:rPr>
      </w:pPr>
    </w:p>
    <w:p w14:paraId="2FFFC7D1" w14:textId="77777777" w:rsidR="00491EDE" w:rsidRPr="00DF3EEC" w:rsidRDefault="00491EDE" w:rsidP="00491EDE">
      <w:pPr>
        <w:spacing w:after="0"/>
        <w:jc w:val="both"/>
        <w:rPr>
          <w:rFonts w:ascii="Verdana" w:eastAsia="Calibri" w:hAnsi="Verdana" w:cs="Times New Roman"/>
        </w:rPr>
      </w:pPr>
    </w:p>
    <w:p w14:paraId="02A15773" w14:textId="77777777" w:rsidR="00491EDE" w:rsidRDefault="00491EDE" w:rsidP="00491EDE"/>
    <w:p w14:paraId="3900974D" w14:textId="77777777" w:rsidR="003D5B0D" w:rsidRPr="000A510D" w:rsidRDefault="003D5B0D" w:rsidP="000A510D"/>
    <w:sectPr w:rsidR="003D5B0D" w:rsidRPr="000A510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54003" w14:textId="77777777" w:rsidR="00841545" w:rsidRDefault="00841545" w:rsidP="004A1847">
      <w:pPr>
        <w:spacing w:after="0" w:line="240" w:lineRule="auto"/>
      </w:pPr>
      <w:r>
        <w:separator/>
      </w:r>
    </w:p>
  </w:endnote>
  <w:endnote w:type="continuationSeparator" w:id="0">
    <w:p w14:paraId="20B04BB8" w14:textId="77777777" w:rsidR="00841545" w:rsidRDefault="00841545" w:rsidP="004A1847">
      <w:pPr>
        <w:spacing w:after="0" w:line="240" w:lineRule="auto"/>
      </w:pPr>
      <w:r>
        <w:continuationSeparator/>
      </w:r>
    </w:p>
  </w:endnote>
  <w:endnote w:type="continuationNotice" w:id="1">
    <w:p w14:paraId="3DCAFFB7" w14:textId="77777777" w:rsidR="00841545" w:rsidRDefault="00841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76A1C" w14:textId="77777777" w:rsidR="00841545" w:rsidRDefault="00841545" w:rsidP="004A1847">
      <w:pPr>
        <w:spacing w:after="0" w:line="240" w:lineRule="auto"/>
      </w:pPr>
      <w:r>
        <w:separator/>
      </w:r>
    </w:p>
  </w:footnote>
  <w:footnote w:type="continuationSeparator" w:id="0">
    <w:p w14:paraId="52A6D25F" w14:textId="77777777" w:rsidR="00841545" w:rsidRDefault="00841545" w:rsidP="004A1847">
      <w:pPr>
        <w:spacing w:after="0" w:line="240" w:lineRule="auto"/>
      </w:pPr>
      <w:r>
        <w:continuationSeparator/>
      </w:r>
    </w:p>
  </w:footnote>
  <w:footnote w:type="continuationNotice" w:id="1">
    <w:p w14:paraId="3642A278" w14:textId="77777777" w:rsidR="00841545" w:rsidRDefault="00841545">
      <w:pPr>
        <w:spacing w:after="0" w:line="240" w:lineRule="auto"/>
      </w:pPr>
    </w:p>
  </w:footnote>
  <w:footnote w:id="2">
    <w:p w14:paraId="390ECFAC" w14:textId="77777777" w:rsidR="00491EDE" w:rsidRPr="00307686" w:rsidRDefault="00491EDE" w:rsidP="00491EDE">
      <w:pPr>
        <w:pStyle w:val="Textonotapie"/>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1"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p w14:paraId="0841C2D8" w14:textId="77777777" w:rsidR="00491EDE" w:rsidRPr="00307686" w:rsidRDefault="00491EDE" w:rsidP="00491EDE">
      <w:pPr>
        <w:pStyle w:val="Textonotapie"/>
        <w:rPr>
          <w:rFonts w:ascii="Verdana" w:hAnsi="Verdana"/>
          <w:sz w:val="16"/>
          <w:szCs w:val="16"/>
        </w:rPr>
      </w:pPr>
    </w:p>
  </w:footnote>
  <w:footnote w:id="3">
    <w:p w14:paraId="5DDC8546" w14:textId="77777777" w:rsidR="00491EDE" w:rsidRPr="00307686" w:rsidRDefault="00491EDE" w:rsidP="00491EDE">
      <w:pPr>
        <w:pStyle w:val="Textonotapie"/>
        <w:ind w:firstLine="709"/>
        <w:jc w:val="both"/>
        <w:rPr>
          <w:rFonts w:ascii="Verdana" w:hAnsi="Verdana"/>
          <w:sz w:val="16"/>
          <w:szCs w:val="16"/>
        </w:rPr>
      </w:pPr>
      <w:r w:rsidRPr="00307686">
        <w:rPr>
          <w:rStyle w:val="Refdenotaalpie"/>
          <w:rFonts w:ascii="Verdana" w:hAnsi="Verdana"/>
          <w:sz w:val="16"/>
          <w:szCs w:val="16"/>
        </w:rPr>
        <w:footnoteRef/>
      </w:r>
      <w:r w:rsidRPr="00307686">
        <w:rPr>
          <w:rFonts w:ascii="Verdana" w:hAnsi="Verdana"/>
          <w:sz w:val="16"/>
          <w:szCs w:val="16"/>
        </w:rPr>
        <w:t xml:space="preserve"> Estos Documentos Tipo pueden ser consultados en la página web de Colombia Compra Eficiente, a través del siguiente enlace: </w:t>
      </w:r>
      <w:hyperlink r:id="rId2" w:history="1">
        <w:r w:rsidRPr="00307686">
          <w:rPr>
            <w:rStyle w:val="Hipervnculo"/>
            <w:rFonts w:ascii="Verdana" w:hAnsi="Verdana"/>
            <w:sz w:val="16"/>
            <w:szCs w:val="16"/>
          </w:rPr>
          <w:t>https://www.colombiacompra.gov.co/documentos-tipo/documentos-tipo</w:t>
        </w:r>
      </w:hyperlink>
      <w:r w:rsidRPr="00307686">
        <w:rPr>
          <w:rFonts w:ascii="Verdana" w:hAnsi="Verdana"/>
          <w:sz w:val="16"/>
          <w:szCs w:val="16"/>
        </w:rPr>
        <w:t xml:space="preserve"> </w:t>
      </w:r>
    </w:p>
  </w:footnote>
  <w:footnote w:id="4">
    <w:p w14:paraId="6FF1C018" w14:textId="77777777" w:rsidR="00491EDE" w:rsidRDefault="00491EDE" w:rsidP="00491EDE">
      <w:pPr>
        <w:spacing w:after="0" w:line="276" w:lineRule="auto"/>
        <w:jc w:val="both"/>
        <w:rPr>
          <w:rFonts w:ascii="Verdana" w:hAnsi="Verdana"/>
          <w:sz w:val="16"/>
          <w:szCs w:val="16"/>
        </w:rPr>
      </w:pPr>
    </w:p>
    <w:p w14:paraId="2863479D" w14:textId="77777777" w:rsidR="00491EDE" w:rsidRPr="00307686" w:rsidRDefault="00491EDE" w:rsidP="00491EDE">
      <w:pPr>
        <w:spacing w:after="0" w:line="276" w:lineRule="auto"/>
        <w:ind w:firstLine="708"/>
        <w:jc w:val="both"/>
        <w:rPr>
          <w:rFonts w:ascii="Verdana" w:eastAsia="Calibri" w:hAnsi="Verdana" w:cs="Arial"/>
          <w:bCs/>
          <w:sz w:val="16"/>
          <w:szCs w:val="16"/>
        </w:rPr>
      </w:pPr>
      <w:r w:rsidRPr="00307686">
        <w:rPr>
          <w:rStyle w:val="Refdenotaalpie"/>
          <w:rFonts w:ascii="Verdana" w:hAnsi="Verdana"/>
          <w:sz w:val="16"/>
          <w:szCs w:val="16"/>
        </w:rPr>
        <w:footnoteRef/>
      </w:r>
      <w:r w:rsidRPr="00307686">
        <w:rPr>
          <w:rFonts w:ascii="Verdana" w:hAnsi="Verdana"/>
          <w:sz w:val="16"/>
          <w:szCs w:val="16"/>
        </w:rPr>
        <w:t xml:space="preserve"> </w:t>
      </w:r>
      <w:r w:rsidRPr="00307686">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03BF2549" w14:textId="77777777" w:rsidR="00491EDE" w:rsidRDefault="00491EDE" w:rsidP="00491EDE">
      <w:pPr>
        <w:spacing w:after="0" w:line="276" w:lineRule="auto"/>
        <w:jc w:val="both"/>
        <w:rPr>
          <w:rFonts w:ascii="Verdana" w:eastAsia="Calibri" w:hAnsi="Verdana" w:cs="Arial"/>
          <w:bCs/>
          <w:sz w:val="16"/>
          <w:szCs w:val="16"/>
        </w:rPr>
      </w:pPr>
    </w:p>
    <w:p w14:paraId="57060D6D" w14:textId="77777777" w:rsidR="00491EDE" w:rsidRPr="00307686" w:rsidRDefault="00491EDE" w:rsidP="00491ED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E3DF95F" w14:textId="77777777" w:rsidR="00491EDE" w:rsidRDefault="00491EDE" w:rsidP="00491EDE">
      <w:pPr>
        <w:spacing w:after="0" w:line="276" w:lineRule="auto"/>
        <w:jc w:val="both"/>
        <w:rPr>
          <w:rFonts w:ascii="Verdana" w:eastAsia="Calibri" w:hAnsi="Verdana" w:cs="Arial"/>
          <w:bCs/>
          <w:sz w:val="16"/>
          <w:szCs w:val="16"/>
        </w:rPr>
      </w:pPr>
    </w:p>
    <w:p w14:paraId="4A948522" w14:textId="77777777" w:rsidR="00491EDE" w:rsidRPr="00307686" w:rsidRDefault="00491EDE" w:rsidP="00491ED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3EC4381A" w14:textId="77777777" w:rsidR="00491EDE" w:rsidRDefault="00491EDE" w:rsidP="00491EDE">
      <w:pPr>
        <w:spacing w:after="0" w:line="276" w:lineRule="auto"/>
        <w:jc w:val="both"/>
        <w:rPr>
          <w:rFonts w:ascii="Verdana" w:eastAsia="Calibri" w:hAnsi="Verdana" w:cs="Arial"/>
          <w:bCs/>
          <w:sz w:val="16"/>
          <w:szCs w:val="16"/>
        </w:rPr>
      </w:pPr>
    </w:p>
    <w:p w14:paraId="08A9139E" w14:textId="77777777" w:rsidR="00491EDE" w:rsidRPr="00307686" w:rsidRDefault="00491EDE" w:rsidP="00491ED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9624387" w14:textId="77777777" w:rsidR="00491EDE" w:rsidRPr="00307686" w:rsidRDefault="00491EDE" w:rsidP="00491EDE">
      <w:pPr>
        <w:spacing w:after="0" w:line="276" w:lineRule="auto"/>
        <w:ind w:left="720"/>
        <w:jc w:val="both"/>
        <w:rPr>
          <w:rFonts w:ascii="Verdana" w:eastAsia="Calibri" w:hAnsi="Verdana" w:cs="Arial"/>
          <w:bCs/>
          <w:sz w:val="16"/>
          <w:szCs w:val="16"/>
        </w:rPr>
      </w:pPr>
    </w:p>
    <w:p w14:paraId="29C5758D" w14:textId="77777777" w:rsidR="00491EDE" w:rsidRPr="00307686" w:rsidRDefault="00491EDE" w:rsidP="00491EDE">
      <w:pPr>
        <w:spacing w:after="0" w:line="276" w:lineRule="auto"/>
        <w:ind w:firstLine="708"/>
        <w:jc w:val="both"/>
        <w:rPr>
          <w:rFonts w:ascii="Verdana" w:eastAsia="Calibri" w:hAnsi="Verdana" w:cs="Arial"/>
          <w:bCs/>
          <w:sz w:val="16"/>
          <w:szCs w:val="16"/>
        </w:rPr>
      </w:pPr>
      <w:r w:rsidRPr="00307686">
        <w:rPr>
          <w:rFonts w:ascii="Verdana" w:eastAsia="Calibri" w:hAnsi="Verdana" w:cs="Arial"/>
          <w:bCs/>
          <w:sz w:val="16"/>
          <w:szCs w:val="16"/>
        </w:rPr>
        <w:t xml:space="preserve">Resolución 464 del 10 de septiembre de 2024: “Por la cual se actualizan los documentos tipo para los procesos de obra pública de infraestructura de transporte adelantados bajo la modalidad de mínima cuantía”. </w:t>
      </w:r>
    </w:p>
    <w:p w14:paraId="173B5E18" w14:textId="77777777" w:rsidR="00491EDE" w:rsidRPr="00307686" w:rsidRDefault="00491EDE" w:rsidP="00491EDE">
      <w:pPr>
        <w:pStyle w:val="Textonotapie"/>
        <w:rPr>
          <w:rFonts w:ascii="Verdana" w:hAnsi="Verdana"/>
          <w:sz w:val="16"/>
          <w:szCs w:val="16"/>
          <w:lang w:val="es-CO"/>
        </w:rPr>
      </w:pPr>
    </w:p>
  </w:footnote>
  <w:footnote w:id="5">
    <w:p w14:paraId="5B957737" w14:textId="77777777" w:rsidR="00491EDE" w:rsidRPr="006F3C62" w:rsidRDefault="00491EDE" w:rsidP="00491EDE">
      <w:pPr>
        <w:pStyle w:val="Textonotapie"/>
        <w:rPr>
          <w:lang w:val="es-CO"/>
        </w:rPr>
      </w:pPr>
      <w:r>
        <w:rPr>
          <w:rStyle w:val="Refdenotaalpie"/>
        </w:rPr>
        <w:footnoteRef/>
      </w:r>
      <w:r>
        <w:t xml:space="preserve"> </w:t>
      </w:r>
      <w:r w:rsidRPr="00695BC0">
        <w:t>Consejo de Estado. Sección Tercera. Sentencia del 27 de abril de 2011. Exp. 18.293. C.P. Ruth Stella Correa Palacio.</w:t>
      </w:r>
    </w:p>
  </w:footnote>
  <w:footnote w:id="6">
    <w:p w14:paraId="100B512D" w14:textId="77777777" w:rsidR="00491EDE" w:rsidRPr="006B04D6" w:rsidRDefault="00491EDE" w:rsidP="00491EDE">
      <w:pPr>
        <w:pStyle w:val="Textonotapie"/>
        <w:jc w:val="both"/>
        <w:rPr>
          <w:lang w:val="es-CO"/>
        </w:rPr>
      </w:pPr>
      <w:r>
        <w:rPr>
          <w:rStyle w:val="Refdenotaalpie"/>
        </w:rPr>
        <w:footnoteRef/>
      </w:r>
      <w:r>
        <w:t xml:space="preserve"> </w:t>
      </w:r>
      <w:r>
        <w:rPr>
          <w:lang w:val="es-CO"/>
        </w:rPr>
        <w:t>La guía puede consultarse en el siguiente enlace:</w:t>
      </w:r>
      <w:r w:rsidRPr="000E2BE0">
        <w:rPr>
          <w:lang w:val="es-CO"/>
        </w:rPr>
        <w:t xml:space="preserve"> </w:t>
      </w:r>
      <w:hyperlink r:id="rId3" w:history="1">
        <w:r w:rsidRPr="0095587C">
          <w:rPr>
            <w:rStyle w:val="Hipervnculo"/>
            <w:lang w:val="es-CO"/>
          </w:rPr>
          <w:t>https://operaciones.colombiacompra.gov.co/sites/cce_public/files/cce_documents/cce-eicp-gi-22_guia_capacidad_residual_de_contratacion_v1_29-09-2023_.pdf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0B24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88250658" o:spid="_x0000_i1025" type="#_x0000_t75" style="width:11.55pt;height:11.55pt;visibility:visible;mso-wrap-style:square">
            <v:imagedata r:id="rId1" o:title=""/>
          </v:shape>
        </w:pict>
      </mc:Choice>
      <mc:Fallback>
        <w:drawing>
          <wp:inline distT="0" distB="0" distL="0" distR="0" wp14:anchorId="19744F8E" wp14:editId="1E1CC4B1">
            <wp:extent cx="146685" cy="146685"/>
            <wp:effectExtent l="0" t="0" r="0" b="0"/>
            <wp:docPr id="388250658" name="Imagen 38825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E61F13"/>
    <w:multiLevelType w:val="hybridMultilevel"/>
    <w:tmpl w:val="38CAE98E"/>
    <w:lvl w:ilvl="0" w:tplc="27FC50F4">
      <w:start w:val="8"/>
      <w:numFmt w:val="upperLetter"/>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B7823D2"/>
    <w:multiLevelType w:val="hybridMultilevel"/>
    <w:tmpl w:val="4B6E0E92"/>
    <w:lvl w:ilvl="0" w:tplc="AE34832A">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5AF195D"/>
    <w:multiLevelType w:val="hybridMultilevel"/>
    <w:tmpl w:val="91B8C6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6976054"/>
    <w:multiLevelType w:val="hybridMultilevel"/>
    <w:tmpl w:val="A4BE882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49E34183"/>
    <w:multiLevelType w:val="hybridMultilevel"/>
    <w:tmpl w:val="F4447764"/>
    <w:lvl w:ilvl="0" w:tplc="98B4AE16">
      <w:start w:val="2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2"/>
  </w:num>
  <w:num w:numId="7" w16cid:durableId="1946422806">
    <w:abstractNumId w:val="7"/>
  </w:num>
  <w:num w:numId="8" w16cid:durableId="152644682">
    <w:abstractNumId w:val="21"/>
  </w:num>
  <w:num w:numId="9" w16cid:durableId="1317221377">
    <w:abstractNumId w:val="9"/>
  </w:num>
  <w:num w:numId="10" w16cid:durableId="1471245386">
    <w:abstractNumId w:val="20"/>
  </w:num>
  <w:num w:numId="11" w16cid:durableId="289172385">
    <w:abstractNumId w:val="10"/>
  </w:num>
  <w:num w:numId="12" w16cid:durableId="1470781324">
    <w:abstractNumId w:val="1"/>
  </w:num>
  <w:num w:numId="13" w16cid:durableId="1512908409">
    <w:abstractNumId w:val="3"/>
  </w:num>
  <w:num w:numId="14" w16cid:durableId="895897244">
    <w:abstractNumId w:val="23"/>
  </w:num>
  <w:num w:numId="15" w16cid:durableId="390349800">
    <w:abstractNumId w:val="18"/>
  </w:num>
  <w:num w:numId="16" w16cid:durableId="153760126">
    <w:abstractNumId w:val="0"/>
  </w:num>
  <w:num w:numId="17" w16cid:durableId="1857033774">
    <w:abstractNumId w:val="6"/>
  </w:num>
  <w:num w:numId="18" w16cid:durableId="1770733962">
    <w:abstractNumId w:val="12"/>
  </w:num>
  <w:num w:numId="19" w16cid:durableId="1390491996">
    <w:abstractNumId w:val="15"/>
  </w:num>
  <w:num w:numId="20" w16cid:durableId="64567968">
    <w:abstractNumId w:val="19"/>
  </w:num>
  <w:num w:numId="21" w16cid:durableId="1962295211">
    <w:abstractNumId w:val="16"/>
  </w:num>
  <w:num w:numId="22" w16cid:durableId="1461653283">
    <w:abstractNumId w:val="13"/>
  </w:num>
  <w:num w:numId="23" w16cid:durableId="1221943969">
    <w:abstractNumId w:val="11"/>
  </w:num>
  <w:num w:numId="24" w16cid:durableId="275064055">
    <w:abstractNumId w:val="17"/>
  </w:num>
  <w:num w:numId="25" w16cid:durableId="1548419692">
    <w:abstractNumId w:val="24"/>
  </w:num>
  <w:num w:numId="26" w16cid:durableId="1443304022">
    <w:abstractNumId w:val="4"/>
  </w:num>
  <w:num w:numId="27" w16cid:durableId="5010510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510D"/>
    <w:rsid w:val="000A683E"/>
    <w:rsid w:val="000B19B9"/>
    <w:rsid w:val="000D0334"/>
    <w:rsid w:val="000F6486"/>
    <w:rsid w:val="00125105"/>
    <w:rsid w:val="00127233"/>
    <w:rsid w:val="0014513E"/>
    <w:rsid w:val="001511A0"/>
    <w:rsid w:val="0015271F"/>
    <w:rsid w:val="001D0CCF"/>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5F5A"/>
    <w:rsid w:val="00374F5E"/>
    <w:rsid w:val="00377E3E"/>
    <w:rsid w:val="003A779E"/>
    <w:rsid w:val="003D0F4D"/>
    <w:rsid w:val="003D5B0D"/>
    <w:rsid w:val="003E0499"/>
    <w:rsid w:val="003F3941"/>
    <w:rsid w:val="00406575"/>
    <w:rsid w:val="00414C74"/>
    <w:rsid w:val="0042722E"/>
    <w:rsid w:val="0044528D"/>
    <w:rsid w:val="00491EDE"/>
    <w:rsid w:val="004A1847"/>
    <w:rsid w:val="004A305D"/>
    <w:rsid w:val="004F21C4"/>
    <w:rsid w:val="004F685F"/>
    <w:rsid w:val="0051621A"/>
    <w:rsid w:val="005566E8"/>
    <w:rsid w:val="00574867"/>
    <w:rsid w:val="00591460"/>
    <w:rsid w:val="005B3816"/>
    <w:rsid w:val="005C3777"/>
    <w:rsid w:val="005C5CDC"/>
    <w:rsid w:val="005D476C"/>
    <w:rsid w:val="006219F8"/>
    <w:rsid w:val="00623E63"/>
    <w:rsid w:val="00665D70"/>
    <w:rsid w:val="006900D9"/>
    <w:rsid w:val="00704F64"/>
    <w:rsid w:val="00706C16"/>
    <w:rsid w:val="00756841"/>
    <w:rsid w:val="007649AB"/>
    <w:rsid w:val="00771D0C"/>
    <w:rsid w:val="007833AC"/>
    <w:rsid w:val="007B268C"/>
    <w:rsid w:val="007B7171"/>
    <w:rsid w:val="007C0C0F"/>
    <w:rsid w:val="007C3DC2"/>
    <w:rsid w:val="007E5497"/>
    <w:rsid w:val="00806F5F"/>
    <w:rsid w:val="00820278"/>
    <w:rsid w:val="00831347"/>
    <w:rsid w:val="00841545"/>
    <w:rsid w:val="00867F95"/>
    <w:rsid w:val="008843B6"/>
    <w:rsid w:val="0089168F"/>
    <w:rsid w:val="00891928"/>
    <w:rsid w:val="008A446D"/>
    <w:rsid w:val="008C3D1A"/>
    <w:rsid w:val="008D180B"/>
    <w:rsid w:val="008D3B57"/>
    <w:rsid w:val="008F0EA7"/>
    <w:rsid w:val="00917784"/>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9182D"/>
    <w:rsid w:val="00AB0ADB"/>
    <w:rsid w:val="00AC0F4A"/>
    <w:rsid w:val="00B01B1A"/>
    <w:rsid w:val="00B26ADC"/>
    <w:rsid w:val="00B27F58"/>
    <w:rsid w:val="00B66319"/>
    <w:rsid w:val="00B72CD3"/>
    <w:rsid w:val="00B72FFF"/>
    <w:rsid w:val="00B94BE3"/>
    <w:rsid w:val="00BC3D36"/>
    <w:rsid w:val="00BD7F72"/>
    <w:rsid w:val="00C045DC"/>
    <w:rsid w:val="00C04FB3"/>
    <w:rsid w:val="00C330EB"/>
    <w:rsid w:val="00C41061"/>
    <w:rsid w:val="00C754BE"/>
    <w:rsid w:val="00C76B1C"/>
    <w:rsid w:val="00CB6357"/>
    <w:rsid w:val="00CC1B26"/>
    <w:rsid w:val="00CC3A0D"/>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045D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C045D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eicp-gi-22_guia_capacidad_residual_de_contratacion_v1_29-09-2023_.pdf"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peraciones.colombiacompra.gov.co/sites/cce_public/files/cce_documents/cce-eicp-gi-22_guia_capacidad_residual_de_contratacion_v1_29-09-2023_.pdf" TargetMode="External"/><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2CCBE-328F-499D-8B3F-A90F85E0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7009</Words>
  <Characters>38551</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2025-04-19T12:58:00Z</dcterms:created>
  <dcterms:modified xsi:type="dcterms:W3CDTF">2025-04-22T16:57:00Z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