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AA3DD83" w14:textId="4B797082" w:rsidR="00FA0383" w:rsidRPr="008E7379" w:rsidRDefault="00FA0383" w:rsidP="00FA0383">
      <w:pPr>
        <w:spacing w:after="0"/>
        <w:rPr>
          <w:rFonts w:ascii="Verdana" w:hAnsi="Verdana"/>
          <w:b/>
        </w:rPr>
      </w:pPr>
      <w:bookmarkStart w:id="0" w:name="_Hlk143780582"/>
      <w:r w:rsidRPr="008E7379">
        <w:rPr>
          <w:rFonts w:ascii="Verdana" w:eastAsia="Calibri" w:hAnsi="Verdana" w:cs="Arial"/>
          <w:b/>
          <w:lang w:val="es-ES" w:eastAsia="es-ES"/>
        </w:rPr>
        <w:t>ASOCIACIONES PÚBLICO POPULARES – Tipología contractual – Objeto</w:t>
      </w:r>
    </w:p>
    <w:p w14:paraId="25B972F6" w14:textId="18A43EAB" w:rsidR="00FA0383" w:rsidRDefault="00FA0383" w:rsidP="00EE32A8">
      <w:pPr>
        <w:spacing w:after="0"/>
        <w:rPr>
          <w:rFonts w:ascii="Verdana" w:hAnsi="Verdana"/>
        </w:rPr>
      </w:pPr>
    </w:p>
    <w:p w14:paraId="60A56503" w14:textId="77777777" w:rsidR="008E7379" w:rsidRPr="001451C0" w:rsidRDefault="008E7379" w:rsidP="008E7379">
      <w:pPr>
        <w:spacing w:after="0" w:line="240" w:lineRule="auto"/>
        <w:jc w:val="both"/>
        <w:rPr>
          <w:rFonts w:ascii="Verdana" w:eastAsia="Calibri" w:hAnsi="Verdana" w:cs="Arial"/>
          <w:bCs/>
          <w:color w:val="000000" w:themeColor="text1"/>
          <w:sz w:val="20"/>
          <w:szCs w:val="20"/>
        </w:rPr>
      </w:pPr>
      <w:r w:rsidRPr="001451C0">
        <w:rPr>
          <w:rFonts w:ascii="Verdana" w:eastAsia="Calibri" w:hAnsi="Verdana" w:cs="Arial"/>
          <w:bCs/>
          <w:color w:val="000000" w:themeColor="text1"/>
          <w:sz w:val="20"/>
          <w:szCs w:val="20"/>
        </w:rPr>
        <w:t xml:space="preserve">Como causal de contratación directa, no se incluyó a través de la modificación expresa del artículo 2, numeral 4 de la Ley 1150 de 2007. Con esto el Congreso de la República dota a las Asociaciones Público-Populares de una sustantividad propia como tipología contractual, aspecto que es congruente con el fortalecimiento de la </w:t>
      </w:r>
      <w:r w:rsidRPr="001451C0">
        <w:rPr>
          <w:rFonts w:ascii="Verdana" w:eastAsia="Calibri" w:hAnsi="Verdana" w:cs="Arial"/>
          <w:bCs/>
          <w:i/>
          <w:iCs/>
          <w:color w:val="000000" w:themeColor="text1"/>
          <w:sz w:val="20"/>
          <w:szCs w:val="20"/>
        </w:rPr>
        <w:t>Economía Popular y Comunitaria</w:t>
      </w:r>
      <w:r w:rsidRPr="001451C0">
        <w:rPr>
          <w:rFonts w:ascii="Verdana" w:eastAsia="Calibri" w:hAnsi="Verdana" w:cs="Arial"/>
          <w:bCs/>
          <w:color w:val="000000" w:themeColor="text1"/>
          <w:sz w:val="20"/>
          <w:szCs w:val="20"/>
        </w:rPr>
        <w:t xml:space="preserve"> como eje de las Bases del Plan Nacional de Desarrollo. Así, dichas asociaciones complementan el listado del artículo 32 de la Ley 80 de 1993.</w:t>
      </w:r>
    </w:p>
    <w:p w14:paraId="44211FF2" w14:textId="77777777" w:rsidR="008E7379" w:rsidRPr="001451C0" w:rsidRDefault="008E7379" w:rsidP="008E7379">
      <w:pPr>
        <w:spacing w:after="0" w:line="240" w:lineRule="auto"/>
        <w:jc w:val="both"/>
        <w:rPr>
          <w:rFonts w:ascii="Verdana" w:eastAsia="Calibri" w:hAnsi="Verdana" w:cs="Arial"/>
          <w:bCs/>
          <w:color w:val="000000" w:themeColor="text1"/>
          <w:sz w:val="20"/>
          <w:szCs w:val="20"/>
          <w:lang w:eastAsia="es-ES_tradnl"/>
        </w:rPr>
      </w:pPr>
    </w:p>
    <w:p w14:paraId="45D36A6B" w14:textId="77777777" w:rsidR="008E7379" w:rsidRPr="001451C0" w:rsidRDefault="008E7379" w:rsidP="008E7379">
      <w:pPr>
        <w:spacing w:after="0" w:line="240" w:lineRule="auto"/>
        <w:jc w:val="both"/>
        <w:rPr>
          <w:rFonts w:ascii="Verdana" w:eastAsia="Calibri" w:hAnsi="Verdana" w:cs="Arial"/>
          <w:bCs/>
          <w:color w:val="000000" w:themeColor="text1"/>
          <w:sz w:val="20"/>
          <w:szCs w:val="20"/>
        </w:rPr>
      </w:pPr>
      <w:r w:rsidRPr="001451C0">
        <w:rPr>
          <w:rFonts w:ascii="Verdana" w:eastAsia="Calibri" w:hAnsi="Verdana" w:cs="Arial"/>
          <w:i/>
          <w:iCs/>
          <w:color w:val="000000" w:themeColor="text1"/>
          <w:sz w:val="20"/>
          <w:szCs w:val="20"/>
          <w:lang w:val="es-ES_tradnl"/>
        </w:rPr>
        <w:t>Respecto al objeto</w:t>
      </w:r>
      <w:r w:rsidRPr="001451C0">
        <w:rPr>
          <w:rFonts w:ascii="Verdana" w:eastAsia="Calibri" w:hAnsi="Verdana" w:cs="Arial"/>
          <w:color w:val="000000" w:themeColor="text1"/>
          <w:sz w:val="20"/>
          <w:szCs w:val="20"/>
          <w:lang w:val="es-ES_tradnl"/>
        </w:rPr>
        <w:t xml:space="preserve">, las </w:t>
      </w:r>
      <w:r w:rsidRPr="001451C0">
        <w:rPr>
          <w:rFonts w:ascii="Verdana" w:eastAsia="Calibri" w:hAnsi="Verdana" w:cs="Arial"/>
          <w:bCs/>
          <w:color w:val="000000" w:themeColor="text1"/>
          <w:sz w:val="20"/>
          <w:szCs w:val="20"/>
        </w:rPr>
        <w:t xml:space="preserve">Asociaciones Público Populares se caracterizan por su contenido, el cual debe estar relacionado con alguno de los siguientes aspectos: i) infraestructura social, vivienda rural, vías terciarias y caminos vecinales; </w:t>
      </w:r>
      <w:proofErr w:type="spellStart"/>
      <w:r w:rsidRPr="001451C0">
        <w:rPr>
          <w:rFonts w:ascii="Verdana" w:eastAsia="Calibri" w:hAnsi="Verdana" w:cs="Arial"/>
          <w:bCs/>
          <w:color w:val="000000" w:themeColor="text1"/>
          <w:sz w:val="20"/>
          <w:szCs w:val="20"/>
        </w:rPr>
        <w:t>ii</w:t>
      </w:r>
      <w:proofErr w:type="spellEnd"/>
      <w:r w:rsidRPr="001451C0">
        <w:rPr>
          <w:rFonts w:ascii="Verdana" w:eastAsia="Calibri" w:hAnsi="Verdana" w:cs="Arial"/>
          <w:bCs/>
          <w:color w:val="000000" w:themeColor="text1"/>
          <w:sz w:val="20"/>
          <w:szCs w:val="20"/>
        </w:rPr>
        <w:t xml:space="preserve">) cultura; </w:t>
      </w:r>
      <w:proofErr w:type="spellStart"/>
      <w:r w:rsidRPr="001451C0">
        <w:rPr>
          <w:rFonts w:ascii="Verdana" w:eastAsia="Calibri" w:hAnsi="Verdana" w:cs="Arial"/>
          <w:bCs/>
          <w:color w:val="000000" w:themeColor="text1"/>
          <w:sz w:val="20"/>
          <w:szCs w:val="20"/>
        </w:rPr>
        <w:t>iii</w:t>
      </w:r>
      <w:proofErr w:type="spellEnd"/>
      <w:r w:rsidRPr="001451C0">
        <w:rPr>
          <w:rFonts w:ascii="Verdana" w:eastAsia="Calibri" w:hAnsi="Verdana" w:cs="Arial"/>
          <w:bCs/>
          <w:color w:val="000000" w:themeColor="text1"/>
          <w:sz w:val="20"/>
          <w:szCs w:val="20"/>
        </w:rPr>
        <w:t xml:space="preserve">) infraestructura productiva local; </w:t>
      </w:r>
      <w:proofErr w:type="spellStart"/>
      <w:r w:rsidRPr="001451C0">
        <w:rPr>
          <w:rFonts w:ascii="Verdana" w:eastAsia="Calibri" w:hAnsi="Verdana" w:cs="Arial"/>
          <w:bCs/>
          <w:color w:val="000000" w:themeColor="text1"/>
          <w:sz w:val="20"/>
          <w:szCs w:val="20"/>
        </w:rPr>
        <w:t>iv</w:t>
      </w:r>
      <w:proofErr w:type="spellEnd"/>
      <w:r w:rsidRPr="001451C0">
        <w:rPr>
          <w:rFonts w:ascii="Verdana" w:eastAsia="Calibri" w:hAnsi="Verdana" w:cs="Arial"/>
          <w:bCs/>
          <w:color w:val="000000" w:themeColor="text1"/>
          <w:sz w:val="20"/>
          <w:szCs w:val="20"/>
        </w:rPr>
        <w:t xml:space="preserve">) proyectos de eficiencia energética; v) producción de alimentos; vi) gestión comunitaria del agua; </w:t>
      </w:r>
      <w:proofErr w:type="spellStart"/>
      <w:r w:rsidRPr="001451C0">
        <w:rPr>
          <w:rFonts w:ascii="Verdana" w:eastAsia="Calibri" w:hAnsi="Verdana" w:cs="Arial"/>
          <w:bCs/>
          <w:color w:val="000000" w:themeColor="text1"/>
          <w:sz w:val="20"/>
          <w:szCs w:val="20"/>
        </w:rPr>
        <w:t>vii</w:t>
      </w:r>
      <w:proofErr w:type="spellEnd"/>
      <w:r w:rsidRPr="001451C0">
        <w:rPr>
          <w:rFonts w:ascii="Verdana" w:eastAsia="Calibri" w:hAnsi="Verdana" w:cs="Arial"/>
          <w:bCs/>
          <w:color w:val="000000" w:themeColor="text1"/>
          <w:sz w:val="20"/>
          <w:szCs w:val="20"/>
        </w:rPr>
        <w:t xml:space="preserve">) saneamiento básico; </w:t>
      </w:r>
      <w:proofErr w:type="spellStart"/>
      <w:r w:rsidRPr="001451C0">
        <w:rPr>
          <w:rFonts w:ascii="Verdana" w:eastAsia="Calibri" w:hAnsi="Verdana" w:cs="Arial"/>
          <w:bCs/>
          <w:color w:val="000000" w:themeColor="text1"/>
          <w:sz w:val="20"/>
          <w:szCs w:val="20"/>
        </w:rPr>
        <w:t>viii</w:t>
      </w:r>
      <w:proofErr w:type="spellEnd"/>
      <w:r w:rsidRPr="001451C0">
        <w:rPr>
          <w:rFonts w:ascii="Verdana" w:eastAsia="Calibri" w:hAnsi="Verdana" w:cs="Arial"/>
          <w:bCs/>
          <w:color w:val="000000" w:themeColor="text1"/>
          <w:sz w:val="20"/>
          <w:szCs w:val="20"/>
        </w:rPr>
        <w:t xml:space="preserve">) economía del cuidado; </w:t>
      </w:r>
      <w:proofErr w:type="spellStart"/>
      <w:r w:rsidRPr="001451C0">
        <w:rPr>
          <w:rFonts w:ascii="Verdana" w:eastAsia="Calibri" w:hAnsi="Verdana" w:cs="Arial"/>
          <w:bCs/>
          <w:color w:val="000000" w:themeColor="text1"/>
          <w:sz w:val="20"/>
          <w:szCs w:val="20"/>
        </w:rPr>
        <w:t>ix</w:t>
      </w:r>
      <w:proofErr w:type="spellEnd"/>
      <w:r w:rsidRPr="001451C0">
        <w:rPr>
          <w:rFonts w:ascii="Verdana" w:eastAsia="Calibri" w:hAnsi="Verdana" w:cs="Arial"/>
          <w:bCs/>
          <w:color w:val="000000" w:themeColor="text1"/>
          <w:sz w:val="20"/>
          <w:szCs w:val="20"/>
        </w:rPr>
        <w:t>) fortalecimiento ambiental y comunitario; y x) adquisición de productos de origen o destinación agropecuarios. Cualquier objeto que no pertenezca al listado anterior, aunque esté dentro de la mínima cuantía, no podrá contratarse directamente, por lo que deberán aplicarse los demás procesos de selección establecidos en el artículo 2 de la Ley 1150 de 2007.</w:t>
      </w:r>
    </w:p>
    <w:p w14:paraId="5AA66D1A" w14:textId="77777777" w:rsidR="008E7379" w:rsidRPr="001451C0" w:rsidRDefault="008E7379" w:rsidP="008E7379">
      <w:pPr>
        <w:spacing w:after="0" w:line="240" w:lineRule="auto"/>
        <w:rPr>
          <w:rFonts w:ascii="Verdana" w:eastAsia="Geomanist Light" w:hAnsi="Verdana" w:cs="Arial"/>
          <w:color w:val="000000" w:themeColor="text1"/>
          <w:sz w:val="20"/>
          <w:szCs w:val="20"/>
        </w:rPr>
      </w:pPr>
    </w:p>
    <w:p w14:paraId="3DB45D4E" w14:textId="77777777" w:rsidR="008E7379" w:rsidRPr="00CF2301" w:rsidRDefault="008E7379" w:rsidP="008E7379">
      <w:pPr>
        <w:spacing w:after="0" w:line="240" w:lineRule="auto"/>
        <w:jc w:val="both"/>
        <w:rPr>
          <w:rFonts w:ascii="Verdana" w:eastAsia="Calibri" w:hAnsi="Verdana" w:cs="Arial"/>
          <w:b/>
          <w:lang w:val="es-ES"/>
        </w:rPr>
      </w:pPr>
      <w:r w:rsidRPr="00CF2301">
        <w:rPr>
          <w:rFonts w:ascii="Verdana" w:eastAsia="Calibri" w:hAnsi="Verdana" w:cs="Arial"/>
          <w:b/>
          <w:lang w:val="es-ES"/>
        </w:rPr>
        <w:t>ECONOMÍA POPULAR Y COMUNITARIA – Personas naturales y ESAL</w:t>
      </w:r>
    </w:p>
    <w:p w14:paraId="4B6C5187" w14:textId="77777777" w:rsidR="008E7379" w:rsidRPr="00CF2301" w:rsidRDefault="008E7379" w:rsidP="008E7379">
      <w:pPr>
        <w:spacing w:after="0" w:line="240" w:lineRule="auto"/>
        <w:jc w:val="both"/>
        <w:rPr>
          <w:rFonts w:ascii="Verdana" w:eastAsia="Calibri" w:hAnsi="Verdana" w:cs="Arial"/>
          <w:b/>
          <w:sz w:val="20"/>
          <w:szCs w:val="20"/>
          <w:lang w:val="es-ES"/>
        </w:rPr>
      </w:pPr>
    </w:p>
    <w:p w14:paraId="158079DE" w14:textId="77777777" w:rsidR="008E7379" w:rsidRPr="00CF2301" w:rsidRDefault="008E7379" w:rsidP="008E7379">
      <w:pPr>
        <w:spacing w:after="0" w:line="240" w:lineRule="auto"/>
        <w:jc w:val="both"/>
        <w:rPr>
          <w:rFonts w:ascii="Verdana" w:eastAsia="Calibri" w:hAnsi="Verdana" w:cs="Arial"/>
          <w:bCs/>
          <w:color w:val="000000" w:themeColor="text1"/>
          <w:sz w:val="20"/>
          <w:szCs w:val="20"/>
        </w:rPr>
      </w:pPr>
      <w:r w:rsidRPr="00CF2301">
        <w:rPr>
          <w:rFonts w:ascii="Verdana" w:eastAsia="Calibri" w:hAnsi="Verdana" w:cs="Arial"/>
          <w:bCs/>
          <w:i/>
          <w:iCs/>
          <w:color w:val="000000" w:themeColor="text1"/>
          <w:sz w:val="20"/>
          <w:szCs w:val="20"/>
        </w:rPr>
        <w:t>Respecto a los sujetos</w:t>
      </w:r>
      <w:r w:rsidRPr="00CF2301">
        <w:rPr>
          <w:rFonts w:ascii="Verdana" w:eastAsia="Calibri" w:hAnsi="Verdana" w:cs="Arial"/>
          <w:bCs/>
          <w:color w:val="000000" w:themeColor="text1"/>
          <w:sz w:val="20"/>
          <w:szCs w:val="20"/>
        </w:rPr>
        <w:t xml:space="preserve">, la norma menciona a las “personas naturales o entidades sin ánimo de lucro que hagan parte de la economía popular y comunitaria”. Esto significa que las Asociaciones Público - Populares no aplican a las personas jurídicas constituidas con sujeción al Código de Comercio, especialmente, cuando la causa del contrato de sociedad es el </w:t>
      </w:r>
      <w:r w:rsidRPr="00CF2301">
        <w:rPr>
          <w:rFonts w:ascii="Verdana" w:eastAsia="Calibri" w:hAnsi="Verdana" w:cs="Arial"/>
          <w:bCs/>
          <w:i/>
          <w:iCs/>
          <w:color w:val="000000" w:themeColor="text1"/>
          <w:sz w:val="20"/>
          <w:szCs w:val="20"/>
        </w:rPr>
        <w:t xml:space="preserve">animus </w:t>
      </w:r>
      <w:proofErr w:type="spellStart"/>
      <w:r w:rsidRPr="00CF2301">
        <w:rPr>
          <w:rFonts w:ascii="Verdana" w:eastAsia="Calibri" w:hAnsi="Verdana" w:cs="Arial"/>
          <w:bCs/>
          <w:i/>
          <w:iCs/>
          <w:color w:val="000000" w:themeColor="text1"/>
          <w:sz w:val="20"/>
          <w:szCs w:val="20"/>
        </w:rPr>
        <w:t>lucrandi</w:t>
      </w:r>
      <w:proofErr w:type="spellEnd"/>
      <w:r w:rsidRPr="00CF2301">
        <w:rPr>
          <w:rFonts w:ascii="Verdana" w:eastAsia="Calibri" w:hAnsi="Verdana" w:cs="Arial"/>
          <w:bCs/>
          <w:color w:val="000000" w:themeColor="text1"/>
          <w:sz w:val="20"/>
          <w:szCs w:val="20"/>
        </w:rPr>
        <w:t xml:space="preserve">. En contraste, </w:t>
      </w:r>
      <w:r w:rsidRPr="00CF2301">
        <w:rPr>
          <w:rFonts w:ascii="Verdana" w:eastAsia="Calibri" w:hAnsi="Verdana" w:cs="Arial"/>
          <w:color w:val="000000" w:themeColor="text1"/>
          <w:sz w:val="20"/>
          <w:szCs w:val="20"/>
          <w:lang w:val="es-ES_tradnl"/>
        </w:rPr>
        <w:t xml:space="preserve">las corporaciones y fundaciones de beneficencia pública previstas en los artículos 633 y siguientes del Código Civil carecen de este último elemento. Ello no significa que las sociedades comerciales estén excluidas del sistema de compras públicas, pues podrán concurrir a los demás procesos de selección del artículo 2 de la Ley 1150 de 2007, no obstante, no podrán celebrar contratos de Asociación Público – Popular, por no ser destinatarias del artículo 100 de la Ley del Plan Nacional de Desarrollo. </w:t>
      </w:r>
    </w:p>
    <w:p w14:paraId="7CCFFA9C" w14:textId="77777777" w:rsidR="008E7379" w:rsidRPr="00CF2301" w:rsidRDefault="008E7379" w:rsidP="008E7379">
      <w:pPr>
        <w:spacing w:after="0" w:line="240" w:lineRule="auto"/>
        <w:rPr>
          <w:rFonts w:ascii="Verdana" w:eastAsia="Geomanist Light" w:hAnsi="Verdana" w:cs="Arial"/>
          <w:color w:val="000000" w:themeColor="text1"/>
          <w:sz w:val="20"/>
          <w:szCs w:val="20"/>
        </w:rPr>
      </w:pPr>
    </w:p>
    <w:p w14:paraId="51CE1F04" w14:textId="77777777" w:rsidR="008E7379" w:rsidRPr="00CF2301" w:rsidRDefault="008E7379" w:rsidP="008E7379">
      <w:pPr>
        <w:tabs>
          <w:tab w:val="left" w:pos="426"/>
        </w:tabs>
        <w:spacing w:after="0" w:line="240" w:lineRule="auto"/>
        <w:jc w:val="both"/>
        <w:rPr>
          <w:rFonts w:ascii="Verdana" w:hAnsi="Verdana" w:cs="Arial"/>
          <w:b/>
          <w:lang w:eastAsia="es-CO"/>
        </w:rPr>
      </w:pPr>
      <w:r w:rsidRPr="00CF2301">
        <w:rPr>
          <w:rFonts w:ascii="Verdana" w:hAnsi="Verdana" w:cs="Arial"/>
          <w:b/>
          <w:lang w:eastAsia="es-CO"/>
        </w:rPr>
        <w:t xml:space="preserve">ASOCIACIONES PÚBLICO POPULARES – Celebración – Requisitos  </w:t>
      </w:r>
    </w:p>
    <w:p w14:paraId="6B88CF77" w14:textId="77777777" w:rsidR="008E7379" w:rsidRPr="00CF2301" w:rsidRDefault="008E7379" w:rsidP="008E7379">
      <w:pPr>
        <w:spacing w:after="0" w:line="240" w:lineRule="auto"/>
        <w:jc w:val="both"/>
        <w:rPr>
          <w:rFonts w:ascii="Verdana" w:hAnsi="Verdana" w:cs="Arial"/>
          <w:b/>
          <w:sz w:val="20"/>
          <w:szCs w:val="20"/>
          <w:lang w:eastAsia="es-CO"/>
        </w:rPr>
      </w:pPr>
    </w:p>
    <w:p w14:paraId="7A8C0176" w14:textId="77777777" w:rsidR="008E7379" w:rsidRPr="00CF2301" w:rsidRDefault="008E7379" w:rsidP="008E7379">
      <w:pPr>
        <w:spacing w:after="0" w:line="240" w:lineRule="auto"/>
        <w:jc w:val="both"/>
        <w:rPr>
          <w:rFonts w:ascii="Verdana" w:eastAsia="Arial" w:hAnsi="Verdana" w:cs="Arial"/>
          <w:color w:val="000000"/>
          <w:sz w:val="20"/>
          <w:szCs w:val="20"/>
        </w:rPr>
      </w:pPr>
      <w:r w:rsidRPr="00CF2301">
        <w:rPr>
          <w:rFonts w:ascii="Verdana" w:eastAsia="Calibri" w:hAnsi="Verdana" w:cs="Arial"/>
          <w:bCs/>
          <w:color w:val="000000" w:themeColor="text1"/>
          <w:sz w:val="20"/>
          <w:szCs w:val="20"/>
        </w:rPr>
        <w:t xml:space="preserve">Para la celebración de este tipo de contratos, </w:t>
      </w:r>
      <w:r w:rsidRPr="00CF2301">
        <w:rPr>
          <w:rFonts w:ascii="Verdana" w:eastAsia="Arial" w:hAnsi="Verdana" w:cs="Arial"/>
          <w:color w:val="000000"/>
          <w:sz w:val="20"/>
          <w:szCs w:val="20"/>
        </w:rPr>
        <w:t xml:space="preserve">el artículo 2.2.16.1.5 </w:t>
      </w:r>
      <w:r w:rsidRPr="00CF2301">
        <w:rPr>
          <w:rFonts w:ascii="Verdana" w:eastAsia="Arial" w:hAnsi="Verdana" w:cs="Arial"/>
          <w:i/>
          <w:iCs/>
          <w:color w:val="000000"/>
          <w:sz w:val="20"/>
          <w:szCs w:val="20"/>
        </w:rPr>
        <w:t>ibidem</w:t>
      </w:r>
      <w:r w:rsidRPr="00CF2301">
        <w:rPr>
          <w:rFonts w:ascii="Verdana" w:eastAsia="Arial" w:hAnsi="Verdana" w:cs="Arial"/>
          <w:color w:val="000000"/>
          <w:sz w:val="20"/>
          <w:szCs w:val="20"/>
        </w:rPr>
        <w:t xml:space="preserve"> impone una carga argumentativa que se desdobla en dos (2) frentes. Por un lado, es necesario justificar el uso de la</w:t>
      </w:r>
      <w:r w:rsidRPr="00CF2301">
        <w:rPr>
          <w:rFonts w:ascii="Verdana" w:eastAsia="Calibri" w:hAnsi="Verdana" w:cs="Arial"/>
          <w:color w:val="000000" w:themeColor="text1"/>
          <w:sz w:val="20"/>
          <w:szCs w:val="20"/>
        </w:rPr>
        <w:t xml:space="preserve"> Asociación Público Popular</w:t>
      </w:r>
      <w:r w:rsidRPr="00CF2301">
        <w:rPr>
          <w:rFonts w:ascii="Verdana" w:eastAsia="Arial" w:hAnsi="Verdana" w:cs="Arial"/>
          <w:color w:val="000000"/>
          <w:sz w:val="20"/>
          <w:szCs w:val="20"/>
        </w:rPr>
        <w:t xml:space="preserve"> y, por otro, es necesario identificar el perfil del contratista. Lo primero exige tener en cuenta el objeto y propósito de la tipología contractual prevista en la Ley 2294 de 2023, aspectos que sirven para determinar si es conveniente o no la contratación directa. Por su parte, lo segundo requiere identificar previamente la persona natural o a la entidad sin ánimo de lucro perteneciente a la </w:t>
      </w:r>
      <w:r w:rsidRPr="00CF2301">
        <w:rPr>
          <w:rFonts w:ascii="Verdana" w:eastAsia="Arial" w:hAnsi="Verdana" w:cs="Arial"/>
          <w:i/>
          <w:iCs/>
          <w:color w:val="000000"/>
          <w:sz w:val="20"/>
          <w:szCs w:val="20"/>
        </w:rPr>
        <w:t>Economía Popular y Comunitaria</w:t>
      </w:r>
      <w:r w:rsidRPr="00CF2301">
        <w:rPr>
          <w:rFonts w:ascii="Verdana" w:eastAsia="Arial" w:hAnsi="Verdana" w:cs="Arial"/>
          <w:color w:val="000000"/>
          <w:sz w:val="20"/>
          <w:szCs w:val="20"/>
        </w:rPr>
        <w:t xml:space="preserve"> que tenga la capacidad para ejecutar las obligaciones. </w:t>
      </w:r>
    </w:p>
    <w:p w14:paraId="6821082C" w14:textId="77777777" w:rsidR="008E7379" w:rsidRPr="00CF2301" w:rsidRDefault="008E7379" w:rsidP="008E7379">
      <w:pPr>
        <w:spacing w:after="0" w:line="240" w:lineRule="auto"/>
        <w:jc w:val="both"/>
        <w:rPr>
          <w:rFonts w:ascii="Verdana" w:eastAsia="Arial" w:hAnsi="Verdana" w:cs="Arial"/>
          <w:color w:val="000000"/>
          <w:sz w:val="20"/>
          <w:szCs w:val="20"/>
        </w:rPr>
      </w:pPr>
    </w:p>
    <w:p w14:paraId="56436702" w14:textId="77777777" w:rsidR="008E7379" w:rsidRPr="00CF2301" w:rsidRDefault="008E7379" w:rsidP="008E7379">
      <w:pPr>
        <w:spacing w:after="0" w:line="240" w:lineRule="auto"/>
        <w:jc w:val="both"/>
        <w:rPr>
          <w:rFonts w:ascii="Verdana" w:eastAsia="Arial" w:hAnsi="Verdana" w:cs="Arial"/>
          <w:color w:val="000000"/>
          <w:sz w:val="20"/>
          <w:szCs w:val="20"/>
        </w:rPr>
      </w:pPr>
      <w:r w:rsidRPr="00CF2301">
        <w:rPr>
          <w:rFonts w:ascii="Verdana" w:eastAsia="Arial" w:hAnsi="Verdana" w:cs="Arial"/>
          <w:color w:val="000000"/>
          <w:sz w:val="20"/>
          <w:szCs w:val="20"/>
        </w:rPr>
        <w:t xml:space="preserve">Esto último se complementa con el artículo 2.2.16.1.6 del Decreto 1082 de 2015, adicionado por el Decreto 874 de 2023, el cual exige lo siguiente: i) la persona natural </w:t>
      </w:r>
      <w:r w:rsidRPr="00CF2301">
        <w:rPr>
          <w:rFonts w:ascii="Verdana" w:eastAsia="Arial" w:hAnsi="Verdana" w:cs="Arial"/>
          <w:color w:val="000000"/>
          <w:sz w:val="20"/>
          <w:szCs w:val="20"/>
        </w:rPr>
        <w:lastRenderedPageBreak/>
        <w:t xml:space="preserve">o la entidad sin ánimo de lucro debe hacer parte de la Economía Popular y Comunitaria, en el marco de lo establecido en el artículo 2.2.16.1.4 </w:t>
      </w:r>
      <w:r w:rsidRPr="00CF2301">
        <w:rPr>
          <w:rFonts w:ascii="Verdana" w:eastAsia="Arial" w:hAnsi="Verdana" w:cs="Arial"/>
          <w:i/>
          <w:iCs/>
          <w:color w:val="000000"/>
          <w:sz w:val="20"/>
          <w:szCs w:val="20"/>
        </w:rPr>
        <w:t>ibidem</w:t>
      </w:r>
      <w:r w:rsidRPr="00CF2301">
        <w:rPr>
          <w:rFonts w:ascii="Verdana" w:eastAsia="Arial" w:hAnsi="Verdana" w:cs="Arial"/>
          <w:color w:val="000000"/>
          <w:sz w:val="20"/>
          <w:szCs w:val="20"/>
        </w:rPr>
        <w:t xml:space="preserve">; </w:t>
      </w:r>
      <w:proofErr w:type="spellStart"/>
      <w:r w:rsidRPr="00CF2301">
        <w:rPr>
          <w:rFonts w:ascii="Verdana" w:eastAsia="Arial" w:hAnsi="Verdana" w:cs="Arial"/>
          <w:color w:val="000000"/>
          <w:sz w:val="20"/>
          <w:szCs w:val="20"/>
        </w:rPr>
        <w:t>ii</w:t>
      </w:r>
      <w:proofErr w:type="spellEnd"/>
      <w:r w:rsidRPr="00CF2301">
        <w:rPr>
          <w:rFonts w:ascii="Verdana" w:eastAsia="Arial" w:hAnsi="Verdana" w:cs="Arial"/>
          <w:color w:val="000000"/>
          <w:sz w:val="20"/>
          <w:szCs w:val="20"/>
        </w:rPr>
        <w:t xml:space="preserve">) para el caso de las entidades sin ánimo de lucro, es necesario que su objeto social tenga relación con la ejecución de obras o la adquisición de bienes y servicios contempladas en el artículo 100 de la Ley 2294 de 2023; y </w:t>
      </w:r>
      <w:proofErr w:type="spellStart"/>
      <w:r w:rsidRPr="00CF2301">
        <w:rPr>
          <w:rFonts w:ascii="Verdana" w:eastAsia="Arial" w:hAnsi="Verdana" w:cs="Arial"/>
          <w:color w:val="000000"/>
          <w:sz w:val="20"/>
          <w:szCs w:val="20"/>
        </w:rPr>
        <w:t>iii</w:t>
      </w:r>
      <w:proofErr w:type="spellEnd"/>
      <w:r w:rsidRPr="00CF2301">
        <w:rPr>
          <w:rFonts w:ascii="Verdana" w:eastAsia="Arial" w:hAnsi="Verdana" w:cs="Arial"/>
          <w:color w:val="000000"/>
          <w:sz w:val="20"/>
          <w:szCs w:val="20"/>
        </w:rPr>
        <w:t xml:space="preserve">) la persona natural o la entidad sin ánimo de lucro deberán cumplir con la normativa aplicable a los oficios, ocupaciones u objetos sociales que desempeñen, dependiendo de su sector económico y naturaleza. </w:t>
      </w:r>
    </w:p>
    <w:p w14:paraId="369A3ADB" w14:textId="093E709D" w:rsidR="00FA0383" w:rsidRDefault="00FA0383" w:rsidP="00EE32A8">
      <w:pPr>
        <w:spacing w:after="0"/>
        <w:rPr>
          <w:rFonts w:ascii="Verdana" w:eastAsia="Calibri" w:hAnsi="Verdana" w:cs="Arial"/>
          <w:lang w:val="es-ES" w:eastAsia="es-ES"/>
        </w:rPr>
      </w:pPr>
    </w:p>
    <w:p w14:paraId="3B72E2F2" w14:textId="61B23FAF" w:rsidR="008E7379" w:rsidRDefault="008E7379" w:rsidP="00EE32A8">
      <w:pPr>
        <w:spacing w:after="0"/>
        <w:rPr>
          <w:rFonts w:ascii="Verdana" w:eastAsia="Calibri" w:hAnsi="Verdana" w:cs="Arial"/>
          <w:lang w:val="es-ES" w:eastAsia="es-ES"/>
        </w:rPr>
      </w:pPr>
    </w:p>
    <w:p w14:paraId="0E41F4D8" w14:textId="4D6F3370" w:rsidR="008E7379" w:rsidRDefault="008E7379" w:rsidP="00EE32A8">
      <w:pPr>
        <w:spacing w:after="0"/>
        <w:rPr>
          <w:rFonts w:ascii="Verdana" w:eastAsia="Calibri" w:hAnsi="Verdana" w:cs="Arial"/>
          <w:lang w:val="es-ES" w:eastAsia="es-ES"/>
        </w:rPr>
      </w:pPr>
    </w:p>
    <w:p w14:paraId="3E151FDC" w14:textId="3EA44652" w:rsidR="008E7379" w:rsidRDefault="008E7379" w:rsidP="00EE32A8">
      <w:pPr>
        <w:spacing w:after="0"/>
        <w:rPr>
          <w:rFonts w:ascii="Verdana" w:eastAsia="Calibri" w:hAnsi="Verdana" w:cs="Arial"/>
          <w:lang w:val="es-ES" w:eastAsia="es-ES"/>
        </w:rPr>
      </w:pPr>
    </w:p>
    <w:p w14:paraId="3F2A87AA" w14:textId="5A7B7CB3" w:rsidR="008E7379" w:rsidRDefault="008E7379" w:rsidP="00EE32A8">
      <w:pPr>
        <w:spacing w:after="0"/>
        <w:rPr>
          <w:rFonts w:ascii="Verdana" w:eastAsia="Calibri" w:hAnsi="Verdana" w:cs="Arial"/>
          <w:lang w:val="es-ES" w:eastAsia="es-ES"/>
        </w:rPr>
      </w:pPr>
    </w:p>
    <w:p w14:paraId="4E6BBF76" w14:textId="2DB7E6CA" w:rsidR="008E7379" w:rsidRDefault="008E7379" w:rsidP="00EE32A8">
      <w:pPr>
        <w:spacing w:after="0"/>
        <w:rPr>
          <w:rFonts w:ascii="Verdana" w:eastAsia="Calibri" w:hAnsi="Verdana" w:cs="Arial"/>
          <w:lang w:val="es-ES" w:eastAsia="es-ES"/>
        </w:rPr>
      </w:pPr>
    </w:p>
    <w:p w14:paraId="031D99F8" w14:textId="4FEBB712" w:rsidR="008E7379" w:rsidRDefault="008E7379" w:rsidP="00EE32A8">
      <w:pPr>
        <w:spacing w:after="0"/>
        <w:rPr>
          <w:rFonts w:ascii="Verdana" w:eastAsia="Calibri" w:hAnsi="Verdana" w:cs="Arial"/>
          <w:lang w:val="es-ES" w:eastAsia="es-ES"/>
        </w:rPr>
      </w:pPr>
    </w:p>
    <w:p w14:paraId="20DB01FC" w14:textId="06135B36" w:rsidR="008E7379" w:rsidRDefault="008E7379" w:rsidP="00EE32A8">
      <w:pPr>
        <w:spacing w:after="0"/>
        <w:rPr>
          <w:rFonts w:ascii="Verdana" w:eastAsia="Calibri" w:hAnsi="Verdana" w:cs="Arial"/>
          <w:lang w:val="es-ES" w:eastAsia="es-ES"/>
        </w:rPr>
      </w:pPr>
    </w:p>
    <w:p w14:paraId="2F9ED9CB" w14:textId="4CA52CEA" w:rsidR="008E7379" w:rsidRDefault="008E7379" w:rsidP="00EE32A8">
      <w:pPr>
        <w:spacing w:after="0"/>
        <w:rPr>
          <w:rFonts w:ascii="Verdana" w:eastAsia="Calibri" w:hAnsi="Verdana" w:cs="Arial"/>
          <w:lang w:val="es-ES" w:eastAsia="es-ES"/>
        </w:rPr>
      </w:pPr>
    </w:p>
    <w:p w14:paraId="77B8EB7D" w14:textId="632F76A0" w:rsidR="008E7379" w:rsidRDefault="008E7379" w:rsidP="00EE32A8">
      <w:pPr>
        <w:spacing w:after="0"/>
        <w:rPr>
          <w:rFonts w:ascii="Verdana" w:eastAsia="Calibri" w:hAnsi="Verdana" w:cs="Arial"/>
          <w:lang w:val="es-ES" w:eastAsia="es-ES"/>
        </w:rPr>
      </w:pPr>
    </w:p>
    <w:p w14:paraId="2EE6B0B1" w14:textId="27FA38DE" w:rsidR="008E7379" w:rsidRDefault="008E7379" w:rsidP="00EE32A8">
      <w:pPr>
        <w:spacing w:after="0"/>
        <w:rPr>
          <w:rFonts w:ascii="Verdana" w:eastAsia="Calibri" w:hAnsi="Verdana" w:cs="Arial"/>
          <w:lang w:val="es-ES" w:eastAsia="es-ES"/>
        </w:rPr>
      </w:pPr>
    </w:p>
    <w:p w14:paraId="4564657B" w14:textId="52999DCB" w:rsidR="008E7379" w:rsidRDefault="008E7379" w:rsidP="00EE32A8">
      <w:pPr>
        <w:spacing w:after="0"/>
        <w:rPr>
          <w:rFonts w:ascii="Verdana" w:eastAsia="Calibri" w:hAnsi="Verdana" w:cs="Arial"/>
          <w:lang w:val="es-ES" w:eastAsia="es-ES"/>
        </w:rPr>
      </w:pPr>
    </w:p>
    <w:p w14:paraId="6A4760A4" w14:textId="758414E1" w:rsidR="008E7379" w:rsidRDefault="008E7379" w:rsidP="00EE32A8">
      <w:pPr>
        <w:spacing w:after="0"/>
        <w:rPr>
          <w:rFonts w:ascii="Verdana" w:eastAsia="Calibri" w:hAnsi="Verdana" w:cs="Arial"/>
          <w:lang w:val="es-ES" w:eastAsia="es-ES"/>
        </w:rPr>
      </w:pPr>
    </w:p>
    <w:p w14:paraId="6721E815" w14:textId="6856F791" w:rsidR="008E7379" w:rsidRDefault="008E7379" w:rsidP="00EE32A8">
      <w:pPr>
        <w:spacing w:after="0"/>
        <w:rPr>
          <w:rFonts w:ascii="Verdana" w:eastAsia="Calibri" w:hAnsi="Verdana" w:cs="Arial"/>
          <w:lang w:val="es-ES" w:eastAsia="es-ES"/>
        </w:rPr>
      </w:pPr>
    </w:p>
    <w:p w14:paraId="6B647547" w14:textId="0EEBC756" w:rsidR="008E7379" w:rsidRDefault="008E7379" w:rsidP="00EE32A8">
      <w:pPr>
        <w:spacing w:after="0"/>
        <w:rPr>
          <w:rFonts w:ascii="Verdana" w:eastAsia="Calibri" w:hAnsi="Verdana" w:cs="Arial"/>
          <w:lang w:val="es-ES" w:eastAsia="es-ES"/>
        </w:rPr>
      </w:pPr>
    </w:p>
    <w:p w14:paraId="064AEBC3" w14:textId="363E37D4" w:rsidR="008E7379" w:rsidRDefault="008E7379" w:rsidP="00EE32A8">
      <w:pPr>
        <w:spacing w:after="0"/>
        <w:rPr>
          <w:rFonts w:ascii="Verdana" w:eastAsia="Calibri" w:hAnsi="Verdana" w:cs="Arial"/>
          <w:lang w:val="es-ES" w:eastAsia="es-ES"/>
        </w:rPr>
      </w:pPr>
    </w:p>
    <w:p w14:paraId="0BF0828E" w14:textId="4B2BA20A" w:rsidR="008E7379" w:rsidRDefault="008E7379" w:rsidP="00EE32A8">
      <w:pPr>
        <w:spacing w:after="0"/>
        <w:rPr>
          <w:rFonts w:ascii="Verdana" w:eastAsia="Calibri" w:hAnsi="Verdana" w:cs="Arial"/>
          <w:lang w:val="es-ES" w:eastAsia="es-ES"/>
        </w:rPr>
      </w:pPr>
    </w:p>
    <w:p w14:paraId="63F42DC7" w14:textId="0852D31E" w:rsidR="008E7379" w:rsidRDefault="008E7379" w:rsidP="00EE32A8">
      <w:pPr>
        <w:spacing w:after="0"/>
        <w:rPr>
          <w:rFonts w:ascii="Verdana" w:eastAsia="Calibri" w:hAnsi="Verdana" w:cs="Arial"/>
          <w:lang w:val="es-ES" w:eastAsia="es-ES"/>
        </w:rPr>
      </w:pPr>
    </w:p>
    <w:p w14:paraId="6C79DAF2" w14:textId="385CEA50" w:rsidR="008E7379" w:rsidRDefault="008E7379" w:rsidP="00EE32A8">
      <w:pPr>
        <w:spacing w:after="0"/>
        <w:rPr>
          <w:rFonts w:ascii="Verdana" w:eastAsia="Calibri" w:hAnsi="Verdana" w:cs="Arial"/>
          <w:lang w:val="es-ES" w:eastAsia="es-ES"/>
        </w:rPr>
      </w:pPr>
    </w:p>
    <w:p w14:paraId="5F95BE3A" w14:textId="5E866653" w:rsidR="008E7379" w:rsidRDefault="008E7379" w:rsidP="00EE32A8">
      <w:pPr>
        <w:spacing w:after="0"/>
        <w:rPr>
          <w:rFonts w:ascii="Verdana" w:eastAsia="Calibri" w:hAnsi="Verdana" w:cs="Arial"/>
          <w:lang w:val="es-ES" w:eastAsia="es-ES"/>
        </w:rPr>
      </w:pPr>
    </w:p>
    <w:p w14:paraId="65106481" w14:textId="1D0CFCA8" w:rsidR="008E7379" w:rsidRDefault="008E7379" w:rsidP="00EE32A8">
      <w:pPr>
        <w:spacing w:after="0"/>
        <w:rPr>
          <w:rFonts w:ascii="Verdana" w:eastAsia="Calibri" w:hAnsi="Verdana" w:cs="Arial"/>
          <w:lang w:val="es-ES" w:eastAsia="es-ES"/>
        </w:rPr>
      </w:pPr>
    </w:p>
    <w:p w14:paraId="1645683D" w14:textId="44B01DFA" w:rsidR="008E7379" w:rsidRDefault="008E7379" w:rsidP="00EE32A8">
      <w:pPr>
        <w:spacing w:after="0"/>
        <w:rPr>
          <w:rFonts w:ascii="Verdana" w:eastAsia="Calibri" w:hAnsi="Verdana" w:cs="Arial"/>
          <w:lang w:val="es-ES" w:eastAsia="es-ES"/>
        </w:rPr>
      </w:pPr>
    </w:p>
    <w:p w14:paraId="337AD05F" w14:textId="75B9103E" w:rsidR="008E7379" w:rsidRDefault="008E7379" w:rsidP="00EE32A8">
      <w:pPr>
        <w:spacing w:after="0"/>
        <w:rPr>
          <w:rFonts w:ascii="Verdana" w:eastAsia="Calibri" w:hAnsi="Verdana" w:cs="Arial"/>
          <w:lang w:val="es-ES" w:eastAsia="es-ES"/>
        </w:rPr>
      </w:pPr>
    </w:p>
    <w:p w14:paraId="57B11A0D" w14:textId="65EE2CF3" w:rsidR="008E7379" w:rsidRDefault="008E7379" w:rsidP="00EE32A8">
      <w:pPr>
        <w:spacing w:after="0"/>
        <w:rPr>
          <w:rFonts w:ascii="Verdana" w:eastAsia="Calibri" w:hAnsi="Verdana" w:cs="Arial"/>
          <w:lang w:val="es-ES" w:eastAsia="es-ES"/>
        </w:rPr>
      </w:pPr>
    </w:p>
    <w:p w14:paraId="7D3F5C36" w14:textId="49D076F9" w:rsidR="008E7379" w:rsidRDefault="008E7379" w:rsidP="00EE32A8">
      <w:pPr>
        <w:spacing w:after="0"/>
        <w:rPr>
          <w:rFonts w:ascii="Verdana" w:eastAsia="Calibri" w:hAnsi="Verdana" w:cs="Arial"/>
          <w:lang w:val="es-ES" w:eastAsia="es-ES"/>
        </w:rPr>
      </w:pPr>
    </w:p>
    <w:p w14:paraId="5D70FB1B" w14:textId="72AB173F" w:rsidR="008E7379" w:rsidRDefault="008E7379" w:rsidP="00EE32A8">
      <w:pPr>
        <w:spacing w:after="0"/>
        <w:rPr>
          <w:rFonts w:ascii="Verdana" w:eastAsia="Calibri" w:hAnsi="Verdana" w:cs="Arial"/>
          <w:lang w:val="es-ES" w:eastAsia="es-ES"/>
        </w:rPr>
      </w:pPr>
    </w:p>
    <w:p w14:paraId="28A7B769" w14:textId="786B9344" w:rsidR="008E7379" w:rsidRDefault="008E7379" w:rsidP="00EE32A8">
      <w:pPr>
        <w:spacing w:after="0"/>
        <w:rPr>
          <w:rFonts w:ascii="Verdana" w:eastAsia="Calibri" w:hAnsi="Verdana" w:cs="Arial"/>
          <w:lang w:val="es-ES" w:eastAsia="es-ES"/>
        </w:rPr>
      </w:pPr>
    </w:p>
    <w:p w14:paraId="51FDA17F" w14:textId="40EE9103" w:rsidR="008E7379" w:rsidRDefault="008E7379" w:rsidP="00EE32A8">
      <w:pPr>
        <w:spacing w:after="0"/>
        <w:rPr>
          <w:rFonts w:ascii="Verdana" w:eastAsia="Calibri" w:hAnsi="Verdana" w:cs="Arial"/>
          <w:lang w:val="es-ES" w:eastAsia="es-ES"/>
        </w:rPr>
      </w:pPr>
    </w:p>
    <w:p w14:paraId="1B3DEC5F" w14:textId="081AACAB" w:rsidR="008E7379" w:rsidRDefault="008E7379" w:rsidP="00EE32A8">
      <w:pPr>
        <w:spacing w:after="0"/>
        <w:rPr>
          <w:rFonts w:ascii="Verdana" w:eastAsia="Calibri" w:hAnsi="Verdana" w:cs="Arial"/>
          <w:lang w:val="es-ES" w:eastAsia="es-ES"/>
        </w:rPr>
      </w:pPr>
    </w:p>
    <w:p w14:paraId="025EC530" w14:textId="3A9A3D30" w:rsidR="008E7379" w:rsidRDefault="008E7379" w:rsidP="00EE32A8">
      <w:pPr>
        <w:spacing w:after="0"/>
        <w:rPr>
          <w:rFonts w:ascii="Verdana" w:eastAsia="Calibri" w:hAnsi="Verdana" w:cs="Arial"/>
          <w:lang w:val="es-ES" w:eastAsia="es-ES"/>
        </w:rPr>
      </w:pPr>
    </w:p>
    <w:p w14:paraId="4A2A316E" w14:textId="173D5BFA" w:rsidR="008E7379" w:rsidRDefault="008E7379" w:rsidP="00EE32A8">
      <w:pPr>
        <w:spacing w:after="0"/>
        <w:rPr>
          <w:rFonts w:ascii="Verdana" w:eastAsia="Calibri" w:hAnsi="Verdana" w:cs="Arial"/>
          <w:lang w:val="es-ES" w:eastAsia="es-ES"/>
        </w:rPr>
      </w:pPr>
    </w:p>
    <w:p w14:paraId="27FE3481" w14:textId="11394FA0" w:rsidR="008E7379" w:rsidRDefault="008E7379" w:rsidP="00EE32A8">
      <w:pPr>
        <w:spacing w:after="0"/>
        <w:rPr>
          <w:rFonts w:ascii="Verdana" w:eastAsia="Calibri" w:hAnsi="Verdana" w:cs="Arial"/>
          <w:lang w:val="es-ES" w:eastAsia="es-ES"/>
        </w:rPr>
      </w:pPr>
    </w:p>
    <w:p w14:paraId="5EB07A60" w14:textId="77777777" w:rsidR="008E7379" w:rsidRDefault="008E7379" w:rsidP="00EE32A8">
      <w:pPr>
        <w:spacing w:after="0"/>
        <w:rPr>
          <w:rFonts w:ascii="Verdana" w:eastAsia="Calibri" w:hAnsi="Verdana" w:cs="Arial"/>
          <w:lang w:val="es-ES" w:eastAsia="es-ES"/>
        </w:rPr>
      </w:pPr>
    </w:p>
    <w:p w14:paraId="656A2A42" w14:textId="2FF2D54A" w:rsidR="00FA0383" w:rsidRDefault="00FA0383" w:rsidP="00EE32A8">
      <w:pPr>
        <w:spacing w:after="0"/>
        <w:rPr>
          <w:rFonts w:ascii="Verdana" w:eastAsia="Calibri" w:hAnsi="Verdana" w:cs="Arial"/>
          <w:lang w:val="es-ES" w:eastAsia="es-ES"/>
        </w:rPr>
      </w:pPr>
    </w:p>
    <w:p w14:paraId="11ED54B9" w14:textId="1AE12649" w:rsidR="00FA0383" w:rsidRDefault="00FA0383" w:rsidP="00EE32A8">
      <w:pPr>
        <w:spacing w:after="0"/>
        <w:rPr>
          <w:rFonts w:ascii="Verdana" w:eastAsia="Calibri" w:hAnsi="Verdana" w:cs="Arial"/>
          <w:lang w:val="es-ES" w:eastAsia="es-ES"/>
        </w:rPr>
      </w:pPr>
    </w:p>
    <w:p w14:paraId="4A867D3D" w14:textId="77777777" w:rsidR="00FA0383" w:rsidRDefault="00FA0383" w:rsidP="00EE32A8">
      <w:pPr>
        <w:spacing w:after="0"/>
        <w:rPr>
          <w:rFonts w:ascii="Verdana" w:hAnsi="Verdana"/>
        </w:rPr>
      </w:pPr>
    </w:p>
    <w:p w14:paraId="449C48FD" w14:textId="51B6C546" w:rsidR="00EE32A8" w:rsidRPr="000E39A3" w:rsidRDefault="00FA0383" w:rsidP="00EE32A8">
      <w:pPr>
        <w:spacing w:after="0"/>
      </w:pPr>
      <w:r>
        <w:rPr>
          <w:rFonts w:ascii="Verdana" w:hAnsi="Verdana"/>
        </w:rPr>
        <w:t>Bogotá D.C., 12 de mayo de 2025</w:t>
      </w:r>
      <w:r w:rsidR="00EE32A8" w:rsidRPr="0044528D">
        <w:rPr>
          <w:rFonts w:ascii="Verdana" w:hAnsi="Verdana"/>
        </w:rPr>
        <w:tab/>
      </w:r>
    </w:p>
    <w:p w14:paraId="01D444CB" w14:textId="18F0EAA9" w:rsidR="00FA0383" w:rsidRDefault="008E7379" w:rsidP="00EE32A8">
      <w:pPr>
        <w:spacing w:after="0"/>
        <w:rPr>
          <w:rFonts w:ascii="Verdana" w:hAnsi="Verdana"/>
        </w:rPr>
      </w:pPr>
      <w:r w:rsidRPr="00FA0383">
        <w:rPr>
          <w:rFonts w:ascii="Verdana" w:hAnsi="Verdana" w:cs="Arial"/>
          <w:b/>
          <w:bCs/>
          <w:noProof/>
          <w:lang w:val="en-US"/>
        </w:rPr>
        <w:drawing>
          <wp:anchor distT="0" distB="0" distL="114300" distR="114300" simplePos="0" relativeHeight="251658240" behindDoc="0" locked="0" layoutInCell="1" allowOverlap="1" wp14:anchorId="304B7959" wp14:editId="3849C3A2">
            <wp:simplePos x="0" y="0"/>
            <wp:positionH relativeFrom="margin">
              <wp:align>right</wp:align>
            </wp:positionH>
            <wp:positionV relativeFrom="paragraph">
              <wp:posOffset>187960</wp:posOffset>
            </wp:positionV>
            <wp:extent cx="2787650" cy="771525"/>
            <wp:effectExtent l="0" t="0" r="0" b="9525"/>
            <wp:wrapSquare wrapText="bothSides"/>
            <wp:docPr id="2" name="Imagen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2787650" cy="771525"/>
                    </a:xfrm>
                    <a:prstGeom prst="rect">
                      <a:avLst/>
                    </a:prstGeom>
                    <a:noFill/>
                    <a:ln>
                      <a:noFill/>
                    </a:ln>
                  </pic:spPr>
                </pic:pic>
              </a:graphicData>
            </a:graphic>
            <wp14:sizeRelH relativeFrom="margin">
              <wp14:pctWidth>0</wp14:pctWidth>
            </wp14:sizeRelH>
            <wp14:sizeRelV relativeFrom="margin">
              <wp14:pctHeight>0</wp14:pctHeight>
            </wp14:sizeRelV>
          </wp:anchor>
        </w:drawing>
      </w:r>
    </w:p>
    <w:p w14:paraId="6E10E685" w14:textId="61551AC5" w:rsidR="00FA0383" w:rsidRPr="000E39A3" w:rsidRDefault="00FA0383" w:rsidP="00EE32A8">
      <w:pPr>
        <w:spacing w:after="0"/>
        <w:rPr>
          <w:rFonts w:ascii="Verdana" w:hAnsi="Verdana"/>
        </w:rPr>
      </w:pPr>
    </w:p>
    <w:p w14:paraId="7AD993E8" w14:textId="321E84F6" w:rsidR="00EE32A8" w:rsidRPr="000E39A3" w:rsidRDefault="00EE32A8" w:rsidP="00EE32A8">
      <w:pPr>
        <w:spacing w:after="0" w:line="240" w:lineRule="auto"/>
        <w:jc w:val="both"/>
        <w:rPr>
          <w:rFonts w:ascii="Verdana" w:hAnsi="Verdana" w:cs="Arial"/>
          <w:bCs/>
          <w:lang w:val="es-ES" w:eastAsia="es-ES" w:bidi="es-ES"/>
        </w:rPr>
      </w:pPr>
    </w:p>
    <w:p w14:paraId="080C178E" w14:textId="77777777" w:rsidR="00EE32A8" w:rsidRPr="000E39A3" w:rsidRDefault="00EE32A8" w:rsidP="00EE32A8">
      <w:pPr>
        <w:spacing w:after="0" w:line="240" w:lineRule="auto"/>
        <w:jc w:val="both"/>
        <w:rPr>
          <w:rFonts w:ascii="Verdana" w:hAnsi="Verdana" w:cs="Arial"/>
          <w:bCs/>
          <w:lang w:eastAsia="es-ES" w:bidi="es-ES"/>
        </w:rPr>
      </w:pPr>
      <w:r w:rsidRPr="000E39A3">
        <w:rPr>
          <w:rFonts w:ascii="Verdana" w:hAnsi="Verdana" w:cs="Arial"/>
          <w:bCs/>
          <w:lang w:eastAsia="es-ES" w:bidi="es-ES"/>
        </w:rPr>
        <w:t>Señor</w:t>
      </w:r>
    </w:p>
    <w:p w14:paraId="52F06832" w14:textId="5C6BB8C6" w:rsidR="00EE32A8" w:rsidRPr="000E39A3" w:rsidRDefault="00EE32A8" w:rsidP="00EE32A8">
      <w:pPr>
        <w:spacing w:after="0" w:line="240" w:lineRule="auto"/>
        <w:jc w:val="both"/>
        <w:rPr>
          <w:rFonts w:ascii="Verdana" w:hAnsi="Verdana" w:cs="Arial"/>
          <w:b/>
          <w:bCs/>
          <w:lang w:eastAsia="es-ES" w:bidi="es-ES"/>
        </w:rPr>
      </w:pPr>
      <w:r w:rsidRPr="000E39A3">
        <w:rPr>
          <w:rFonts w:ascii="Verdana" w:hAnsi="Verdana" w:cs="Arial"/>
          <w:b/>
          <w:bCs/>
          <w:lang w:eastAsia="es-ES" w:bidi="es-ES"/>
        </w:rPr>
        <w:t xml:space="preserve">Julián Andrés Pérez </w:t>
      </w:r>
      <w:proofErr w:type="spellStart"/>
      <w:r w:rsidRPr="000E39A3">
        <w:rPr>
          <w:rFonts w:ascii="Verdana" w:hAnsi="Verdana" w:cs="Arial"/>
          <w:b/>
          <w:bCs/>
          <w:lang w:eastAsia="es-ES" w:bidi="es-ES"/>
        </w:rPr>
        <w:t>Ortíz</w:t>
      </w:r>
      <w:proofErr w:type="spellEnd"/>
      <w:r w:rsidR="00FA0383" w:rsidRPr="00FA0383">
        <w:rPr>
          <w:rFonts w:ascii="Verdana" w:hAnsi="Verdana" w:cs="Arial"/>
          <w:b/>
          <w:bCs/>
          <w:lang w:eastAsia="es-ES" w:bidi="es-ES"/>
        </w:rPr>
        <w:t xml:space="preserve"> </w:t>
      </w:r>
    </w:p>
    <w:p w14:paraId="6BDA162F" w14:textId="77777777" w:rsidR="00EE32A8" w:rsidRPr="000E39A3" w:rsidRDefault="00EE32A8" w:rsidP="00EE32A8">
      <w:pPr>
        <w:spacing w:after="0" w:line="240" w:lineRule="auto"/>
        <w:jc w:val="both"/>
        <w:rPr>
          <w:rFonts w:ascii="Verdana" w:hAnsi="Verdana"/>
        </w:rPr>
      </w:pPr>
      <w:hyperlink r:id="rId12" w:history="1">
        <w:r w:rsidRPr="000E39A3">
          <w:rPr>
            <w:rFonts w:ascii="Verdana" w:hAnsi="Verdana"/>
            <w:color w:val="0000FF"/>
            <w:u w:val="single"/>
          </w:rPr>
          <w:t>juliperort@hotmail.com</w:t>
        </w:r>
      </w:hyperlink>
      <w:r w:rsidRPr="000E39A3">
        <w:rPr>
          <w:rFonts w:ascii="Verdana" w:hAnsi="Verdana"/>
        </w:rPr>
        <w:t xml:space="preserve"> </w:t>
      </w:r>
    </w:p>
    <w:p w14:paraId="289208FB" w14:textId="77777777" w:rsidR="00EE32A8" w:rsidRPr="000E39A3" w:rsidRDefault="00EE32A8" w:rsidP="00EE32A8">
      <w:pPr>
        <w:spacing w:after="0" w:line="240" w:lineRule="auto"/>
        <w:jc w:val="both"/>
        <w:rPr>
          <w:rFonts w:ascii="Verdana" w:hAnsi="Verdana" w:cs="Arial"/>
          <w:bCs/>
          <w:lang w:val="es-MX" w:eastAsia="es-ES" w:bidi="es-ES"/>
        </w:rPr>
      </w:pPr>
      <w:r w:rsidRPr="000E39A3">
        <w:rPr>
          <w:rFonts w:ascii="Verdana" w:hAnsi="Verdana" w:cs="Arial"/>
          <w:bCs/>
          <w:lang w:val="es-MX" w:eastAsia="es-ES" w:bidi="es-ES"/>
        </w:rPr>
        <w:t xml:space="preserve">Bogotá D.C. </w:t>
      </w:r>
    </w:p>
    <w:p w14:paraId="056F3B10" w14:textId="77777777" w:rsidR="00EE32A8" w:rsidRPr="000E39A3" w:rsidRDefault="00EE32A8" w:rsidP="00EE32A8">
      <w:pPr>
        <w:spacing w:after="0" w:line="240" w:lineRule="auto"/>
        <w:jc w:val="both"/>
        <w:rPr>
          <w:rFonts w:ascii="Verdana" w:hAnsi="Verdana" w:cs="Arial"/>
          <w:b/>
          <w:bCs/>
          <w:lang w:val="es-ES_tradnl" w:eastAsia="es-ES" w:bidi="es-ES"/>
        </w:rPr>
      </w:pPr>
    </w:p>
    <w:p w14:paraId="173978EE" w14:textId="77777777" w:rsidR="00EE32A8" w:rsidRPr="000E39A3" w:rsidRDefault="00EE32A8" w:rsidP="00EE32A8">
      <w:pPr>
        <w:tabs>
          <w:tab w:val="left" w:pos="7184"/>
        </w:tabs>
        <w:spacing w:after="0" w:line="240" w:lineRule="auto"/>
        <w:jc w:val="both"/>
        <w:rPr>
          <w:rFonts w:ascii="Verdana" w:hAnsi="Verdana" w:cs="Arial"/>
          <w:b/>
          <w:bCs/>
          <w:lang w:val="es-ES_tradnl" w:eastAsia="es-ES" w:bidi="es-ES"/>
        </w:rPr>
      </w:pPr>
      <w:r w:rsidRPr="000E39A3">
        <w:rPr>
          <w:rFonts w:ascii="Verdana" w:hAnsi="Verdana" w:cs="Arial"/>
          <w:b/>
          <w:bCs/>
          <w:lang w:val="es-ES_tradnl" w:eastAsia="es-ES" w:bidi="es-ES"/>
        </w:rPr>
        <w:tab/>
      </w:r>
    </w:p>
    <w:tbl>
      <w:tblPr>
        <w:tblStyle w:val="Tablaconcuadrcula11"/>
        <w:tblW w:w="8931"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4A0" w:firstRow="1" w:lastRow="0" w:firstColumn="1" w:lastColumn="0" w:noHBand="0" w:noVBand="1"/>
      </w:tblPr>
      <w:tblGrid>
        <w:gridCol w:w="2689"/>
        <w:gridCol w:w="6242"/>
      </w:tblGrid>
      <w:tr w:rsidR="00EE32A8" w:rsidRPr="000E39A3" w14:paraId="0B95E279" w14:textId="77777777" w:rsidTr="005258B7">
        <w:trPr>
          <w:trHeight w:val="312"/>
        </w:trPr>
        <w:tc>
          <w:tcPr>
            <w:tcW w:w="2689" w:type="dxa"/>
          </w:tcPr>
          <w:p w14:paraId="12E10B12" w14:textId="77777777" w:rsidR="00EE32A8" w:rsidRPr="000E39A3" w:rsidRDefault="00EE32A8" w:rsidP="005258B7">
            <w:pPr>
              <w:jc w:val="both"/>
              <w:rPr>
                <w:rFonts w:ascii="Verdana" w:hAnsi="Verdana" w:cs="Arial"/>
                <w:b/>
                <w:bCs/>
                <w:lang w:val="es-ES_tradnl" w:eastAsia="es-ES" w:bidi="es-ES"/>
              </w:rPr>
            </w:pPr>
          </w:p>
        </w:tc>
        <w:tc>
          <w:tcPr>
            <w:tcW w:w="6242" w:type="dxa"/>
          </w:tcPr>
          <w:p w14:paraId="5E726563" w14:textId="77777777" w:rsidR="00EE32A8" w:rsidRPr="000E39A3" w:rsidRDefault="00EE32A8" w:rsidP="005258B7">
            <w:pPr>
              <w:tabs>
                <w:tab w:val="right" w:pos="6242"/>
              </w:tabs>
              <w:jc w:val="both"/>
              <w:rPr>
                <w:rFonts w:ascii="Verdana" w:hAnsi="Verdana" w:cs="Arial"/>
                <w:b/>
                <w:bCs/>
                <w:lang w:val="es-MX" w:eastAsia="es-ES" w:bidi="es-ES"/>
              </w:rPr>
            </w:pPr>
            <w:r w:rsidRPr="000E39A3">
              <w:rPr>
                <w:rFonts w:ascii="Verdana" w:hAnsi="Verdana" w:cs="Arial"/>
                <w:b/>
                <w:bCs/>
                <w:lang w:val="es-MX" w:eastAsia="es-ES" w:bidi="es-ES"/>
              </w:rPr>
              <w:t>Concepto C- 420 de 2025</w:t>
            </w:r>
            <w:r w:rsidRPr="000E39A3">
              <w:rPr>
                <w:rFonts w:ascii="Verdana" w:hAnsi="Verdana" w:cs="Arial"/>
                <w:b/>
                <w:bCs/>
                <w:lang w:val="es-MX" w:eastAsia="es-ES" w:bidi="es-ES"/>
              </w:rPr>
              <w:tab/>
            </w:r>
          </w:p>
          <w:p w14:paraId="65A87B7A" w14:textId="77777777" w:rsidR="00EE32A8" w:rsidRPr="000E39A3" w:rsidRDefault="00EE32A8" w:rsidP="005258B7">
            <w:pPr>
              <w:jc w:val="both"/>
              <w:rPr>
                <w:rFonts w:ascii="Verdana" w:hAnsi="Verdana" w:cs="Arial"/>
                <w:b/>
                <w:bCs/>
                <w:lang w:val="es-MX" w:eastAsia="es-ES" w:bidi="es-ES"/>
              </w:rPr>
            </w:pPr>
          </w:p>
        </w:tc>
      </w:tr>
      <w:tr w:rsidR="00EE32A8" w:rsidRPr="000E39A3" w14:paraId="698DE668" w14:textId="77777777" w:rsidTr="005258B7">
        <w:trPr>
          <w:trHeight w:val="884"/>
        </w:trPr>
        <w:tc>
          <w:tcPr>
            <w:tcW w:w="2689" w:type="dxa"/>
          </w:tcPr>
          <w:p w14:paraId="101DE5B2" w14:textId="77777777" w:rsidR="00EE32A8" w:rsidRPr="000E39A3" w:rsidRDefault="00EE32A8" w:rsidP="005258B7">
            <w:pPr>
              <w:jc w:val="both"/>
              <w:rPr>
                <w:rFonts w:ascii="Verdana" w:hAnsi="Verdana" w:cs="Arial"/>
                <w:b/>
                <w:bCs/>
                <w:lang w:val="es-MX" w:eastAsia="es-ES" w:bidi="es-ES"/>
              </w:rPr>
            </w:pPr>
            <w:r w:rsidRPr="000E39A3">
              <w:rPr>
                <w:rFonts w:ascii="Verdana" w:hAnsi="Verdana" w:cs="Arial"/>
                <w:b/>
                <w:bCs/>
                <w:lang w:val="es-MX" w:eastAsia="es-ES" w:bidi="es-ES"/>
              </w:rPr>
              <w:t xml:space="preserve">Temas:                   </w:t>
            </w:r>
          </w:p>
        </w:tc>
        <w:tc>
          <w:tcPr>
            <w:tcW w:w="6242" w:type="dxa"/>
          </w:tcPr>
          <w:p w14:paraId="660197CE" w14:textId="77777777" w:rsidR="00EE32A8" w:rsidRPr="000E39A3" w:rsidRDefault="00EE32A8" w:rsidP="005258B7">
            <w:pPr>
              <w:jc w:val="both"/>
              <w:rPr>
                <w:rFonts w:ascii="Verdana" w:hAnsi="Verdana" w:cs="Arial"/>
                <w:bCs/>
                <w:lang w:val="es-MX" w:eastAsia="es-ES" w:bidi="es-ES"/>
              </w:rPr>
            </w:pPr>
            <w:r w:rsidRPr="000E39A3">
              <w:rPr>
                <w:rFonts w:ascii="Verdana" w:eastAsia="Calibri" w:hAnsi="Verdana" w:cs="Arial"/>
                <w:lang w:val="es-ES" w:eastAsia="es-ES"/>
              </w:rPr>
              <w:t>ASOCIACIONES PÚBLICO POPULARES – Tipología contractual – Objeto / ECONOMÍA POPULAR Y COMUNITARIA – Personas naturales y ESAL / ASOCIACIONES PÚBLICO POPULARES – Celebración – Requisitos</w:t>
            </w:r>
          </w:p>
          <w:p w14:paraId="6629B83D" w14:textId="77777777" w:rsidR="00EE32A8" w:rsidRPr="000E39A3" w:rsidRDefault="00EE32A8" w:rsidP="005258B7">
            <w:pPr>
              <w:jc w:val="both"/>
              <w:rPr>
                <w:rFonts w:ascii="Verdana" w:hAnsi="Verdana" w:cs="Arial"/>
                <w:bCs/>
                <w:lang w:val="es-MX" w:eastAsia="es-ES" w:bidi="es-ES"/>
              </w:rPr>
            </w:pPr>
          </w:p>
        </w:tc>
      </w:tr>
      <w:tr w:rsidR="00EE32A8" w:rsidRPr="000E39A3" w14:paraId="49D24295" w14:textId="77777777" w:rsidTr="005258B7">
        <w:tc>
          <w:tcPr>
            <w:tcW w:w="2689" w:type="dxa"/>
          </w:tcPr>
          <w:p w14:paraId="03CD135A" w14:textId="77777777" w:rsidR="00EE32A8" w:rsidRPr="000E39A3" w:rsidRDefault="00EE32A8" w:rsidP="005258B7">
            <w:pPr>
              <w:jc w:val="both"/>
              <w:rPr>
                <w:rFonts w:ascii="Verdana" w:hAnsi="Verdana" w:cs="Arial"/>
                <w:b/>
                <w:bCs/>
                <w:lang w:val="es-MX" w:eastAsia="es-ES" w:bidi="es-ES"/>
              </w:rPr>
            </w:pPr>
            <w:r w:rsidRPr="000E39A3">
              <w:rPr>
                <w:rFonts w:ascii="Verdana" w:hAnsi="Verdana" w:cs="Arial"/>
                <w:b/>
                <w:bCs/>
                <w:lang w:val="es-MX" w:eastAsia="es-ES" w:bidi="es-ES"/>
              </w:rPr>
              <w:t xml:space="preserve">Radicación:               </w:t>
            </w:r>
          </w:p>
        </w:tc>
        <w:tc>
          <w:tcPr>
            <w:tcW w:w="6242" w:type="dxa"/>
          </w:tcPr>
          <w:p w14:paraId="6D6C28ED" w14:textId="77777777" w:rsidR="00EE32A8" w:rsidRPr="000E39A3" w:rsidRDefault="00EE32A8" w:rsidP="005258B7">
            <w:pPr>
              <w:jc w:val="both"/>
              <w:rPr>
                <w:rFonts w:ascii="Verdana" w:hAnsi="Verdana" w:cs="Arial"/>
                <w:bCs/>
                <w:lang w:val="es-MX" w:eastAsia="es-ES" w:bidi="es-ES"/>
              </w:rPr>
            </w:pPr>
            <w:r w:rsidRPr="000E39A3">
              <w:rPr>
                <w:rFonts w:ascii="Verdana" w:hAnsi="Verdana" w:cs="Arial"/>
                <w:bCs/>
                <w:lang w:val="es-MX" w:eastAsia="es-ES" w:bidi="es-ES"/>
              </w:rPr>
              <w:t xml:space="preserve">Respuesta a consulta con radicado No. </w:t>
            </w:r>
            <w:r w:rsidRPr="000E39A3">
              <w:rPr>
                <w:rFonts w:ascii="Verdana" w:hAnsi="Verdana" w:cs="Segoe UI"/>
                <w:shd w:val="clear" w:color="auto" w:fill="FFFFFF"/>
              </w:rPr>
              <w:t>P20250405003270.</w:t>
            </w:r>
          </w:p>
          <w:p w14:paraId="696B0601" w14:textId="77777777" w:rsidR="00EE32A8" w:rsidRPr="000E39A3" w:rsidRDefault="00EE32A8" w:rsidP="005258B7">
            <w:pPr>
              <w:jc w:val="both"/>
              <w:rPr>
                <w:rFonts w:ascii="Verdana" w:hAnsi="Verdana" w:cs="Arial"/>
                <w:bCs/>
                <w:lang w:val="es-MX" w:eastAsia="es-ES" w:bidi="es-ES"/>
              </w:rPr>
            </w:pPr>
          </w:p>
        </w:tc>
      </w:tr>
    </w:tbl>
    <w:p w14:paraId="22512F63" w14:textId="77777777" w:rsidR="00EE32A8" w:rsidRPr="000E39A3" w:rsidRDefault="00EE32A8" w:rsidP="00EE32A8">
      <w:pPr>
        <w:spacing w:after="0" w:line="240" w:lineRule="auto"/>
        <w:jc w:val="both"/>
        <w:rPr>
          <w:rFonts w:ascii="Verdana" w:hAnsi="Verdana" w:cs="Arial"/>
          <w:bCs/>
          <w:lang w:val="es-ES_tradnl" w:eastAsia="es-ES" w:bidi="es-ES"/>
        </w:rPr>
      </w:pPr>
    </w:p>
    <w:p w14:paraId="1F93B9F7" w14:textId="77777777" w:rsidR="00EE32A8" w:rsidRPr="000E39A3" w:rsidRDefault="00EE32A8" w:rsidP="00EE32A8">
      <w:pPr>
        <w:spacing w:after="0" w:line="240" w:lineRule="auto"/>
        <w:jc w:val="both"/>
        <w:rPr>
          <w:rFonts w:ascii="Verdana" w:hAnsi="Verdana" w:cs="Arial"/>
          <w:bCs/>
          <w:lang w:val="es-MX" w:eastAsia="es-ES" w:bidi="es-ES"/>
        </w:rPr>
      </w:pPr>
      <w:r w:rsidRPr="000E39A3">
        <w:rPr>
          <w:rFonts w:ascii="Verdana" w:hAnsi="Verdana" w:cs="Arial"/>
          <w:bCs/>
          <w:lang w:val="es-MX" w:eastAsia="es-ES" w:bidi="es-ES"/>
        </w:rPr>
        <w:t>Estimado Señor Julián:</w:t>
      </w:r>
    </w:p>
    <w:p w14:paraId="0151F9C6" w14:textId="77777777" w:rsidR="00EE32A8" w:rsidRPr="000E39A3" w:rsidRDefault="00EE32A8" w:rsidP="00EE32A8">
      <w:pPr>
        <w:spacing w:after="0" w:line="240" w:lineRule="auto"/>
        <w:jc w:val="both"/>
        <w:rPr>
          <w:rFonts w:ascii="Verdana" w:hAnsi="Verdana" w:cs="Arial"/>
          <w:bCs/>
          <w:lang w:val="es-ES" w:eastAsia="es-ES" w:bidi="es-ES"/>
        </w:rPr>
      </w:pPr>
      <w:r w:rsidRPr="000E39A3">
        <w:rPr>
          <w:rFonts w:ascii="Verdana" w:hAnsi="Verdana" w:cs="Arial"/>
          <w:bCs/>
          <w:lang w:val="es-ES" w:eastAsia="es-ES" w:bidi="es-ES"/>
        </w:rPr>
        <w:tab/>
      </w:r>
    </w:p>
    <w:p w14:paraId="40E7C785" w14:textId="77777777" w:rsidR="00EE32A8" w:rsidRPr="000E39A3" w:rsidRDefault="00EE32A8" w:rsidP="00EE32A8">
      <w:pPr>
        <w:spacing w:after="0" w:line="276" w:lineRule="auto"/>
        <w:jc w:val="both"/>
        <w:rPr>
          <w:rFonts w:ascii="Verdana" w:hAnsi="Verdana" w:cs="Arial"/>
          <w:bCs/>
          <w:lang w:val="es-ES" w:eastAsia="es-ES" w:bidi="es-ES"/>
        </w:rPr>
      </w:pPr>
      <w:r w:rsidRPr="000E39A3">
        <w:rPr>
          <w:rFonts w:ascii="Verdana" w:hAnsi="Verdana" w:cs="Arial"/>
          <w:bCs/>
          <w:lang w:val="es-ES" w:eastAsia="es-ES" w:bidi="es-ES"/>
        </w:rPr>
        <w:t xml:space="preserve">En ejercicio de la competencia otorgada por los artículos 3, numeral 5º, y 11, numeral 8º, del Decreto Ley 4170 de 2011, </w:t>
      </w:r>
      <w:r w:rsidRPr="000E39A3">
        <w:rPr>
          <w:rFonts w:ascii="Verdana" w:hAnsi="Verdana" w:cs="Arial"/>
          <w:bCs/>
          <w:lang w:eastAsia="es-ES" w:bidi="es-ES"/>
        </w:rPr>
        <w:t xml:space="preserve">así como lo establecido en el artículo 4 de la Resolución 1707 de 2018 expedida por esta Entidad, </w:t>
      </w:r>
      <w:r w:rsidRPr="000E39A3">
        <w:rPr>
          <w:rFonts w:ascii="Verdana" w:hAnsi="Verdana" w:cs="Arial"/>
          <w:bCs/>
          <w:lang w:val="es-ES" w:eastAsia="es-ES" w:bidi="es-ES"/>
        </w:rPr>
        <w:t xml:space="preserve">la Agencia Nacional de Contratación Pública – Colombia Compra Eficiente– responde su solicitud de consulta de fecha del 5 de abril de 2025, en la cual manifiesta lo siguiente: </w:t>
      </w:r>
    </w:p>
    <w:p w14:paraId="16DE01B3" w14:textId="77777777" w:rsidR="00EE32A8" w:rsidRPr="000E39A3" w:rsidRDefault="00EE32A8" w:rsidP="00EE32A8">
      <w:pPr>
        <w:spacing w:after="0" w:line="240" w:lineRule="auto"/>
        <w:ind w:right="709"/>
        <w:jc w:val="both"/>
        <w:rPr>
          <w:rFonts w:ascii="Verdana" w:hAnsi="Verdana" w:cs="Arial"/>
          <w:bCs/>
          <w:sz w:val="20"/>
          <w:szCs w:val="20"/>
          <w:lang w:eastAsia="es-ES" w:bidi="es-ES"/>
        </w:rPr>
      </w:pPr>
    </w:p>
    <w:p w14:paraId="5DF400CC" w14:textId="4C29CA07" w:rsidR="00EE32A8" w:rsidRDefault="00EE32A8" w:rsidP="00EE32A8">
      <w:pPr>
        <w:spacing w:after="0" w:line="240" w:lineRule="auto"/>
        <w:ind w:left="709" w:right="709"/>
        <w:jc w:val="both"/>
        <w:rPr>
          <w:rFonts w:ascii="Verdana" w:hAnsi="Verdana" w:cs="Arial"/>
          <w:bCs/>
          <w:i/>
          <w:iCs/>
          <w:sz w:val="20"/>
          <w:szCs w:val="20"/>
          <w:lang w:eastAsia="es-ES" w:bidi="es-ES"/>
        </w:rPr>
      </w:pPr>
      <w:r>
        <w:rPr>
          <w:rFonts w:ascii="Verdana" w:hAnsi="Verdana" w:cs="Arial"/>
          <w:bCs/>
          <w:i/>
          <w:iCs/>
          <w:sz w:val="20"/>
          <w:szCs w:val="20"/>
          <w:lang w:eastAsia="es-ES" w:bidi="es-ES"/>
        </w:rPr>
        <w:t>“</w:t>
      </w:r>
      <w:r w:rsidRPr="000E39A3">
        <w:rPr>
          <w:rFonts w:ascii="Verdana" w:hAnsi="Verdana" w:cs="Arial"/>
          <w:bCs/>
          <w:i/>
          <w:iCs/>
          <w:sz w:val="20"/>
          <w:szCs w:val="20"/>
          <w:lang w:eastAsia="es-ES" w:bidi="es-ES"/>
        </w:rPr>
        <w:t xml:space="preserve">La persona natural o la entidad sin ánimo de lucro debe hacer </w:t>
      </w:r>
      <w:r w:rsidRPr="000E39A3">
        <w:rPr>
          <w:rFonts w:ascii="Verdana" w:hAnsi="Verdana" w:cs="Arial"/>
          <w:b/>
          <w:bCs/>
          <w:i/>
          <w:iCs/>
          <w:sz w:val="20"/>
          <w:szCs w:val="20"/>
          <w:lang w:eastAsia="es-ES" w:bidi="es-ES"/>
        </w:rPr>
        <w:t>parte de la economía popular y comunitaria</w:t>
      </w:r>
      <w:r w:rsidRPr="000E39A3">
        <w:rPr>
          <w:rFonts w:ascii="Verdana" w:hAnsi="Verdana" w:cs="Arial"/>
          <w:bCs/>
          <w:i/>
          <w:iCs/>
          <w:sz w:val="20"/>
          <w:szCs w:val="20"/>
          <w:lang w:eastAsia="es-ES" w:bidi="es-ES"/>
        </w:rPr>
        <w:t>, en el marco de lo establecid</w:t>
      </w:r>
      <w:r w:rsidR="008E7379">
        <w:rPr>
          <w:rFonts w:ascii="Verdana" w:hAnsi="Verdana" w:cs="Arial"/>
          <w:bCs/>
          <w:i/>
          <w:iCs/>
          <w:sz w:val="20"/>
          <w:szCs w:val="20"/>
          <w:lang w:eastAsia="es-ES" w:bidi="es-ES"/>
        </w:rPr>
        <w:t>o en el Artículo 2.2.16.1.4 del</w:t>
      </w:r>
      <w:r w:rsidRPr="000E39A3">
        <w:rPr>
          <w:rFonts w:ascii="Verdana" w:hAnsi="Verdana" w:cs="Arial"/>
          <w:bCs/>
          <w:i/>
          <w:iCs/>
          <w:sz w:val="20"/>
          <w:szCs w:val="20"/>
          <w:lang w:eastAsia="es-ES" w:bidi="es-ES"/>
        </w:rPr>
        <w:t xml:space="preserve"> presente Título. </w:t>
      </w:r>
    </w:p>
    <w:p w14:paraId="74CF8AF7" w14:textId="77777777" w:rsidR="00EE32A8" w:rsidRPr="000E39A3" w:rsidRDefault="00EE32A8" w:rsidP="00EE32A8">
      <w:pPr>
        <w:spacing w:after="0" w:line="240" w:lineRule="auto"/>
        <w:ind w:left="709" w:right="709"/>
        <w:jc w:val="both"/>
        <w:rPr>
          <w:rFonts w:ascii="Verdana" w:hAnsi="Verdana" w:cs="Arial"/>
          <w:bCs/>
          <w:sz w:val="20"/>
          <w:szCs w:val="20"/>
          <w:lang w:eastAsia="es-ES" w:bidi="es-ES"/>
        </w:rPr>
      </w:pPr>
    </w:p>
    <w:p w14:paraId="59132568" w14:textId="77777777" w:rsidR="00EE32A8" w:rsidRPr="000E39A3" w:rsidRDefault="00EE32A8" w:rsidP="00EE32A8">
      <w:pPr>
        <w:spacing w:after="0" w:line="240" w:lineRule="auto"/>
        <w:ind w:left="709" w:right="709"/>
        <w:jc w:val="both"/>
        <w:rPr>
          <w:rFonts w:ascii="Verdana" w:hAnsi="Verdana" w:cs="Arial"/>
          <w:bCs/>
          <w:sz w:val="20"/>
          <w:szCs w:val="20"/>
          <w:lang w:eastAsia="es-ES" w:bidi="es-ES"/>
        </w:rPr>
      </w:pPr>
      <w:r w:rsidRPr="000E39A3">
        <w:rPr>
          <w:rFonts w:ascii="Verdana" w:hAnsi="Verdana" w:cs="Arial"/>
          <w:bCs/>
          <w:sz w:val="20"/>
          <w:szCs w:val="20"/>
          <w:lang w:eastAsia="es-ES" w:bidi="es-ES"/>
        </w:rPr>
        <w:t>En vista de lo anterior, y con el fin de garantizar la selección objetiva del contratista, así como salvaguardar los principios rectores de la contratación estatal como lo son el de planeación, trasparencia, economía y demás, se acude a ustedes para que se resuelvan las siguientes inquietudes y se emita el concepto respectivo:</w:t>
      </w:r>
    </w:p>
    <w:p w14:paraId="4E8EF467" w14:textId="77777777" w:rsidR="00EE32A8" w:rsidRDefault="00EE32A8" w:rsidP="00EE32A8">
      <w:pPr>
        <w:spacing w:after="0" w:line="240" w:lineRule="auto"/>
        <w:ind w:left="709" w:right="709"/>
        <w:jc w:val="both"/>
        <w:rPr>
          <w:rFonts w:ascii="Verdana" w:hAnsi="Verdana" w:cs="Arial"/>
          <w:bCs/>
          <w:sz w:val="20"/>
          <w:szCs w:val="20"/>
          <w:lang w:eastAsia="es-ES" w:bidi="es-ES"/>
        </w:rPr>
      </w:pPr>
    </w:p>
    <w:p w14:paraId="5D42E34A" w14:textId="77777777" w:rsidR="00EE32A8" w:rsidRPr="000E39A3" w:rsidRDefault="00EE32A8" w:rsidP="00EE32A8">
      <w:pPr>
        <w:spacing w:after="0" w:line="240" w:lineRule="auto"/>
        <w:ind w:left="709" w:right="709"/>
        <w:jc w:val="both"/>
        <w:rPr>
          <w:rFonts w:ascii="Verdana" w:hAnsi="Verdana" w:cs="Arial"/>
          <w:bCs/>
          <w:sz w:val="20"/>
          <w:szCs w:val="20"/>
          <w:lang w:eastAsia="es-ES" w:bidi="es-ES"/>
        </w:rPr>
      </w:pPr>
      <w:r w:rsidRPr="000E39A3">
        <w:rPr>
          <w:rFonts w:ascii="Verdana" w:hAnsi="Verdana" w:cs="Arial"/>
          <w:bCs/>
          <w:sz w:val="20"/>
          <w:szCs w:val="20"/>
          <w:lang w:eastAsia="es-ES" w:bidi="es-ES"/>
        </w:rPr>
        <w:t>¿Qué requisito o requisitos documentales se deben exigir para que el futuro contratista acredite que hace parte de la economía popular y comunitaria?</w:t>
      </w:r>
    </w:p>
    <w:p w14:paraId="6A167FD9" w14:textId="77777777" w:rsidR="00EE32A8" w:rsidRDefault="00EE32A8" w:rsidP="00EE32A8">
      <w:pPr>
        <w:spacing w:after="0" w:line="240" w:lineRule="auto"/>
        <w:ind w:left="709" w:right="709"/>
        <w:jc w:val="both"/>
        <w:rPr>
          <w:rFonts w:ascii="Verdana" w:hAnsi="Verdana" w:cs="Arial"/>
          <w:bCs/>
          <w:sz w:val="20"/>
          <w:szCs w:val="20"/>
          <w:lang w:eastAsia="es-ES" w:bidi="es-ES"/>
        </w:rPr>
      </w:pPr>
      <w:r w:rsidRPr="000E39A3">
        <w:rPr>
          <w:rFonts w:ascii="Verdana" w:hAnsi="Verdana" w:cs="Arial"/>
          <w:bCs/>
          <w:sz w:val="20"/>
          <w:szCs w:val="20"/>
          <w:lang w:eastAsia="es-ES" w:bidi="es-ES"/>
        </w:rPr>
        <w:lastRenderedPageBreak/>
        <w:t>¿Existe algún registro para clasificar la población que hace parte de la Economía Popular y comunitaria y que pueda ser consultado por las entidades que quieran adquirir bienes o servicios a través de este tipo de contratación y así no incurrir en contratar con personas naturales o entidades sin ánimo de lucro que no hagan parte de este tipo de economía?</w:t>
      </w:r>
    </w:p>
    <w:p w14:paraId="7C338C3C" w14:textId="77777777" w:rsidR="00EE32A8" w:rsidRDefault="00EE32A8" w:rsidP="00EE32A8">
      <w:pPr>
        <w:spacing w:after="0" w:line="240" w:lineRule="auto"/>
        <w:ind w:left="709" w:right="709"/>
        <w:jc w:val="both"/>
        <w:rPr>
          <w:rFonts w:ascii="Verdana" w:hAnsi="Verdana" w:cs="Arial"/>
          <w:bCs/>
          <w:sz w:val="20"/>
          <w:szCs w:val="20"/>
          <w:lang w:eastAsia="es-ES" w:bidi="es-ES"/>
        </w:rPr>
      </w:pPr>
      <w:r w:rsidRPr="000E39A3">
        <w:rPr>
          <w:rFonts w:ascii="Verdana" w:hAnsi="Verdana" w:cs="Arial"/>
          <w:bCs/>
          <w:sz w:val="20"/>
          <w:szCs w:val="20"/>
          <w:lang w:eastAsia="es-ES" w:bidi="es-ES"/>
        </w:rPr>
        <w:t>¿Se debe solicitar idoneidad y experiencia al futuro contratista que vaya a desarrollar actividades en un contrato que se suscrita directamente a través de Asociación Publico Popular?</w:t>
      </w:r>
    </w:p>
    <w:p w14:paraId="6097C2EB" w14:textId="77777777" w:rsidR="00EE32A8" w:rsidRPr="000E39A3" w:rsidRDefault="00EE32A8" w:rsidP="00EE32A8">
      <w:pPr>
        <w:spacing w:after="0" w:line="240" w:lineRule="auto"/>
        <w:ind w:left="709" w:right="709"/>
        <w:jc w:val="both"/>
        <w:rPr>
          <w:rFonts w:ascii="Verdana" w:hAnsi="Verdana" w:cs="Arial"/>
          <w:bCs/>
          <w:sz w:val="20"/>
          <w:szCs w:val="20"/>
          <w:lang w:eastAsia="es-ES" w:bidi="es-ES"/>
        </w:rPr>
      </w:pPr>
      <w:r w:rsidRPr="000E39A3">
        <w:rPr>
          <w:rFonts w:ascii="Verdana" w:hAnsi="Verdana" w:cs="Arial"/>
          <w:bCs/>
          <w:sz w:val="20"/>
          <w:szCs w:val="20"/>
          <w:lang w:eastAsia="es-ES" w:bidi="es-ES"/>
        </w:rPr>
        <w:t>¿De requerirse acreditar idoneidad y experiencia de parte del futuro contratista para el uso de esta tipología de asociación Publico Popular, que documentos o requisitos debería exigir una entidad pública, para que el contratista acredite lo ya mencionado?</w:t>
      </w:r>
      <w:r>
        <w:rPr>
          <w:rFonts w:ascii="Verdana" w:hAnsi="Verdana" w:cs="Arial"/>
          <w:bCs/>
          <w:sz w:val="20"/>
          <w:szCs w:val="20"/>
          <w:lang w:eastAsia="es-ES" w:bidi="es-ES"/>
        </w:rPr>
        <w:t>”</w:t>
      </w:r>
      <w:r w:rsidRPr="000E39A3">
        <w:rPr>
          <w:rFonts w:ascii="Verdana" w:hAnsi="Verdana" w:cs="Arial"/>
          <w:bCs/>
          <w:sz w:val="20"/>
          <w:szCs w:val="20"/>
          <w:lang w:eastAsia="es-ES" w:bidi="es-ES"/>
        </w:rPr>
        <w:t xml:space="preserve"> (énfasis fuera de texto). </w:t>
      </w:r>
    </w:p>
    <w:p w14:paraId="391DAB94" w14:textId="77777777" w:rsidR="00EE32A8" w:rsidRPr="008238BF" w:rsidRDefault="00EE32A8" w:rsidP="00EE32A8">
      <w:pPr>
        <w:spacing w:after="0" w:line="276" w:lineRule="auto"/>
        <w:ind w:left="709" w:right="709"/>
        <w:jc w:val="both"/>
        <w:rPr>
          <w:rFonts w:ascii="Verdana" w:hAnsi="Verdana" w:cs="Arial"/>
          <w:bCs/>
          <w:lang w:val="es-ES" w:eastAsia="es-ES" w:bidi="es-ES"/>
        </w:rPr>
      </w:pPr>
    </w:p>
    <w:p w14:paraId="424C306C" w14:textId="77777777" w:rsidR="00EE32A8" w:rsidRPr="000E39A3" w:rsidRDefault="00EE32A8" w:rsidP="00EE32A8">
      <w:pPr>
        <w:spacing w:after="120" w:line="276" w:lineRule="auto"/>
        <w:ind w:firstLine="709"/>
        <w:jc w:val="both"/>
        <w:rPr>
          <w:rFonts w:ascii="Verdana" w:eastAsia="Calibri" w:hAnsi="Verdana" w:cs="Times New Roman"/>
          <w:lang w:val="es-ES"/>
        </w:rPr>
      </w:pPr>
      <w:r w:rsidRPr="000E39A3">
        <w:rPr>
          <w:rFonts w:ascii="Verdana" w:eastAsia="Calibri" w:hAnsi="Verdana" w:cs="Times New Roman"/>
          <w:lang w:val="es-ES"/>
        </w:rPr>
        <w:t>De manera preliminar, resulta necesario acotar que esta entidad solo tiene competencia para responder consultas sobre la aplicación de normas de carácter general en materia de compras y contratación pública. En ese sentido, resolver casos particulares desborda las atribuciones asignadas por el legislador extraordinario, que no concibió a Colombia Compra Eficiente como una autoridad para solucionar problemas jurídicos particulares de todos los partícipes del sistema de compra pública. La competencia de esta entidad se fija con límites claros, con el objeto de evitar que la Agencia actúe como una instancia de validación de las actuaciones de las entidades sujetas a la Ley 80 de 1993 o de los demás participantes de la contratación pública. Esta competencia de interpretación de normas generales, por definición, no puede extenderse a la resolución de controversias, ni a brindar asesorías sobre casos puntuales, ni a determinar grados de responsabilidad por las actuaciones de los diferentes participes del sistema de compra pública.</w:t>
      </w:r>
    </w:p>
    <w:p w14:paraId="7FEA6909" w14:textId="77777777" w:rsidR="00EE32A8" w:rsidRPr="000E39A3" w:rsidRDefault="00EE32A8" w:rsidP="00EE32A8">
      <w:pPr>
        <w:spacing w:after="0" w:line="276" w:lineRule="auto"/>
        <w:ind w:firstLine="708"/>
        <w:jc w:val="both"/>
        <w:rPr>
          <w:rFonts w:ascii="Verdana" w:eastAsia="Calibri" w:hAnsi="Verdana" w:cs="Times New Roman"/>
          <w:lang w:val="es-ES"/>
        </w:rPr>
      </w:pPr>
      <w:r w:rsidRPr="000E39A3">
        <w:rPr>
          <w:rFonts w:ascii="Verdana" w:eastAsia="Calibri" w:hAnsi="Verdana" w:cs="Times New Roman"/>
          <w:lang w:val="es-ES"/>
        </w:rPr>
        <w:t xml:space="preserve">Conforme lo expuesto, en aras de satisfacer el derecho fundamental de petición se resolverá su consulta dentro de los límites de la referida competencia consultiva, esto es, haciendo abstracción de las circunstancias particulares y concretas mencionadas en su petición, pero </w:t>
      </w:r>
      <w:r>
        <w:rPr>
          <w:rFonts w:ascii="Verdana" w:eastAsia="Calibri" w:hAnsi="Verdana" w:cs="Times New Roman"/>
          <w:lang w:val="es-ES"/>
        </w:rPr>
        <w:t>señalan</w:t>
      </w:r>
      <w:r w:rsidRPr="000E39A3">
        <w:rPr>
          <w:rFonts w:ascii="Verdana" w:eastAsia="Calibri" w:hAnsi="Verdana" w:cs="Times New Roman"/>
          <w:lang w:val="es-ES"/>
        </w:rPr>
        <w:t xml:space="preserve">do </w:t>
      </w:r>
      <w:r>
        <w:rPr>
          <w:rFonts w:ascii="Verdana" w:eastAsia="Calibri" w:hAnsi="Verdana" w:cs="Times New Roman"/>
          <w:lang w:val="es-ES"/>
        </w:rPr>
        <w:t>alg</w:t>
      </w:r>
      <w:r w:rsidRPr="000E39A3">
        <w:rPr>
          <w:rFonts w:ascii="Verdana" w:eastAsia="Calibri" w:hAnsi="Verdana" w:cs="Times New Roman"/>
          <w:lang w:val="es-ES"/>
        </w:rPr>
        <w:t>unas consideraciones sobre las normas generales relacionadas con el problema jurídico de su consulta.</w:t>
      </w:r>
    </w:p>
    <w:p w14:paraId="71366594" w14:textId="2E00F3EA" w:rsidR="00EE32A8" w:rsidRPr="000E39A3" w:rsidRDefault="00EE32A8" w:rsidP="00EE32A8">
      <w:pPr>
        <w:spacing w:after="0" w:line="276" w:lineRule="auto"/>
        <w:rPr>
          <w:rFonts w:ascii="Verdana" w:eastAsia="Calibri" w:hAnsi="Verdana" w:cs="Times New Roman"/>
          <w:lang w:val="es-ES"/>
        </w:rPr>
      </w:pPr>
    </w:p>
    <w:p w14:paraId="4EE3C33E" w14:textId="77777777" w:rsidR="00EE32A8" w:rsidRPr="000E39A3" w:rsidRDefault="00EE32A8" w:rsidP="00EE32A8">
      <w:pPr>
        <w:numPr>
          <w:ilvl w:val="0"/>
          <w:numId w:val="19"/>
        </w:numPr>
        <w:spacing w:after="0" w:line="276" w:lineRule="auto"/>
        <w:ind w:left="720"/>
        <w:rPr>
          <w:rFonts w:ascii="Verdana" w:eastAsia="Calibri" w:hAnsi="Verdana" w:cs="Times New Roman"/>
          <w:b/>
          <w:bCs/>
          <w:lang w:val="es-ES"/>
        </w:rPr>
      </w:pPr>
      <w:r w:rsidRPr="000E39A3">
        <w:rPr>
          <w:rFonts w:ascii="Verdana" w:eastAsia="Calibri" w:hAnsi="Verdana" w:cs="Times New Roman"/>
          <w:b/>
          <w:bCs/>
          <w:lang w:val="es-ES"/>
        </w:rPr>
        <w:t>Problema planteado:</w:t>
      </w:r>
    </w:p>
    <w:p w14:paraId="12C611B2" w14:textId="77777777" w:rsidR="00EE32A8" w:rsidRPr="000E39A3" w:rsidRDefault="00EE32A8" w:rsidP="00EE32A8">
      <w:pPr>
        <w:spacing w:after="0" w:line="276" w:lineRule="auto"/>
        <w:rPr>
          <w:rFonts w:ascii="Verdana" w:eastAsia="Calibri" w:hAnsi="Verdana" w:cs="Times New Roman"/>
        </w:rPr>
      </w:pPr>
    </w:p>
    <w:p w14:paraId="53A189EB" w14:textId="77777777" w:rsidR="00EE32A8" w:rsidRPr="000E39A3" w:rsidRDefault="00EE32A8" w:rsidP="00EE32A8">
      <w:pPr>
        <w:spacing w:after="0" w:line="276" w:lineRule="auto"/>
        <w:jc w:val="both"/>
        <w:rPr>
          <w:rFonts w:ascii="Verdana" w:eastAsia="Calibri" w:hAnsi="Verdana" w:cs="Times New Roman"/>
        </w:rPr>
      </w:pPr>
      <w:r w:rsidRPr="000E39A3">
        <w:rPr>
          <w:rFonts w:ascii="Verdana" w:eastAsia="Calibri" w:hAnsi="Verdana" w:cs="Times New Roman"/>
        </w:rPr>
        <w:t xml:space="preserve">De acuerdo con el contenido de su solicitud, esta Agencia procede a resolver los siguientes problemas jurídicos: </w:t>
      </w:r>
      <w:r w:rsidRPr="00FC3FC0">
        <w:rPr>
          <w:rFonts w:ascii="Verdana" w:eastAsia="Calibri" w:hAnsi="Verdana" w:cs="Times New Roman"/>
        </w:rPr>
        <w:t xml:space="preserve">i) ¿Cuáles son los requisitos para que personas naturales y entidades sin ánimo de lucro sean acreditadas como actores de la </w:t>
      </w:r>
      <w:r w:rsidRPr="008238BF">
        <w:rPr>
          <w:rFonts w:ascii="Verdana" w:eastAsia="Calibri" w:hAnsi="Verdana" w:cs="Times New Roman"/>
        </w:rPr>
        <w:t xml:space="preserve">Economía Popular </w:t>
      </w:r>
      <w:r w:rsidRPr="00FC3FC0">
        <w:rPr>
          <w:rFonts w:ascii="Verdana" w:eastAsia="Calibri" w:hAnsi="Verdana" w:cs="Times New Roman"/>
        </w:rPr>
        <w:t xml:space="preserve">y </w:t>
      </w:r>
      <w:r w:rsidRPr="008238BF">
        <w:rPr>
          <w:rFonts w:ascii="Verdana" w:eastAsia="Calibri" w:hAnsi="Verdana" w:cs="Times New Roman"/>
        </w:rPr>
        <w:t xml:space="preserve">Comunitaria </w:t>
      </w:r>
      <w:r w:rsidRPr="00FC3FC0">
        <w:rPr>
          <w:rFonts w:ascii="Verdana" w:eastAsia="Calibri" w:hAnsi="Verdana" w:cs="Times New Roman"/>
        </w:rPr>
        <w:t xml:space="preserve">para efectos de suscribir contratos de </w:t>
      </w:r>
      <w:r w:rsidRPr="00FC3FC0">
        <w:rPr>
          <w:rFonts w:ascii="Verdana" w:eastAsia="Calibri" w:hAnsi="Verdana" w:cs="Times New Roman"/>
        </w:rPr>
        <w:lastRenderedPageBreak/>
        <w:t xml:space="preserve">asociación público populares?; </w:t>
      </w:r>
      <w:proofErr w:type="spellStart"/>
      <w:r w:rsidRPr="00FC3FC0">
        <w:rPr>
          <w:rFonts w:ascii="Verdana" w:eastAsia="Calibri" w:hAnsi="Verdana" w:cs="Times New Roman"/>
        </w:rPr>
        <w:t>ii</w:t>
      </w:r>
      <w:proofErr w:type="spellEnd"/>
      <w:r w:rsidRPr="00FC3FC0">
        <w:rPr>
          <w:rFonts w:ascii="Verdana" w:eastAsia="Calibri" w:hAnsi="Verdana" w:cs="Times New Roman"/>
        </w:rPr>
        <w:t xml:space="preserve">) </w:t>
      </w:r>
      <w:r w:rsidRPr="008238BF">
        <w:rPr>
          <w:rFonts w:ascii="Verdana" w:eastAsia="Calibri" w:hAnsi="Verdana" w:cs="Times New Roman"/>
        </w:rPr>
        <w:t xml:space="preserve">¿Cómo se debe acreditar el cumplimiento de dichos requisitos? y; </w:t>
      </w:r>
      <w:proofErr w:type="spellStart"/>
      <w:r w:rsidRPr="008238BF">
        <w:rPr>
          <w:rFonts w:ascii="Verdana" w:eastAsia="Calibri" w:hAnsi="Verdana" w:cs="Times New Roman"/>
        </w:rPr>
        <w:t>iii</w:t>
      </w:r>
      <w:proofErr w:type="spellEnd"/>
      <w:r w:rsidRPr="008238BF">
        <w:rPr>
          <w:rFonts w:ascii="Verdana" w:eastAsia="Calibri" w:hAnsi="Verdana" w:cs="Times New Roman"/>
        </w:rPr>
        <w:t xml:space="preserve">) </w:t>
      </w:r>
      <w:r w:rsidRPr="00FC3FC0">
        <w:rPr>
          <w:rFonts w:ascii="Verdana" w:eastAsia="Calibri" w:hAnsi="Verdana" w:cs="Times New Roman"/>
        </w:rPr>
        <w:t>¿</w:t>
      </w:r>
      <w:r w:rsidRPr="008238BF">
        <w:rPr>
          <w:rFonts w:ascii="Verdana" w:eastAsia="Calibri" w:hAnsi="Verdana" w:cs="Times New Roman"/>
        </w:rPr>
        <w:t>E</w:t>
      </w:r>
      <w:r w:rsidRPr="00FC3FC0">
        <w:rPr>
          <w:rFonts w:ascii="Verdana" w:eastAsia="Calibri" w:hAnsi="Verdana" w:cs="Times New Roman"/>
        </w:rPr>
        <w:t>xiste un registro para determinar si la persona natural o la entidad sin ánimo de lucro pertenece a aquellas de las que se denominan asociaciones público populares?</w:t>
      </w:r>
    </w:p>
    <w:p w14:paraId="7734D54F" w14:textId="77777777" w:rsidR="00EE32A8" w:rsidRPr="000E39A3" w:rsidRDefault="00EE32A8" w:rsidP="00EE32A8">
      <w:pPr>
        <w:spacing w:after="0" w:line="276" w:lineRule="auto"/>
        <w:jc w:val="both"/>
        <w:rPr>
          <w:rFonts w:ascii="Verdana" w:eastAsia="Calibri" w:hAnsi="Verdana" w:cs="Times New Roman"/>
        </w:rPr>
      </w:pPr>
    </w:p>
    <w:p w14:paraId="40E828D7" w14:textId="77777777" w:rsidR="00EE32A8" w:rsidRPr="000E39A3" w:rsidRDefault="00EE32A8" w:rsidP="00EE32A8">
      <w:pPr>
        <w:numPr>
          <w:ilvl w:val="0"/>
          <w:numId w:val="19"/>
        </w:numPr>
        <w:spacing w:after="0" w:line="276" w:lineRule="auto"/>
        <w:rPr>
          <w:rFonts w:ascii="Verdana" w:eastAsia="Calibri" w:hAnsi="Verdana" w:cs="Times New Roman"/>
          <w:b/>
          <w:bCs/>
          <w:lang w:val="es-ES"/>
        </w:rPr>
      </w:pPr>
      <w:r w:rsidRPr="000E39A3">
        <w:rPr>
          <w:rFonts w:ascii="Verdana" w:eastAsia="Calibri" w:hAnsi="Verdana" w:cs="Times New Roman"/>
          <w:b/>
          <w:bCs/>
          <w:lang w:val="es-ES"/>
        </w:rPr>
        <w:t>Respuesta:</w:t>
      </w:r>
    </w:p>
    <w:p w14:paraId="2573A4BC" w14:textId="77777777" w:rsidR="00EE32A8" w:rsidRPr="000E39A3" w:rsidRDefault="00EE32A8" w:rsidP="00EE32A8">
      <w:pPr>
        <w:spacing w:after="0" w:line="276" w:lineRule="auto"/>
        <w:jc w:val="both"/>
        <w:rPr>
          <w:rFonts w:ascii="Verdana" w:hAnsi="Verdana" w:cs="Arial"/>
          <w:bCs/>
          <w:lang w:val="es-ES" w:eastAsia="es-ES" w:bidi="es-ES"/>
        </w:rPr>
      </w:pPr>
    </w:p>
    <w:tbl>
      <w:tblPr>
        <w:tblStyle w:val="Tablaconcuadrcula11"/>
        <w:tblW w:w="8647" w:type="dxa"/>
        <w:jc w:val="center"/>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Layout w:type="fixed"/>
        <w:tblLook w:val="04A0" w:firstRow="1" w:lastRow="0" w:firstColumn="1" w:lastColumn="0" w:noHBand="0" w:noVBand="1"/>
      </w:tblPr>
      <w:tblGrid>
        <w:gridCol w:w="8647"/>
      </w:tblGrid>
      <w:tr w:rsidR="00EE32A8" w:rsidRPr="000E39A3" w14:paraId="299C55D8" w14:textId="77777777" w:rsidTr="005258B7">
        <w:trPr>
          <w:trHeight w:val="870"/>
          <w:jc w:val="center"/>
        </w:trPr>
        <w:tc>
          <w:tcPr>
            <w:tcW w:w="8647" w:type="dxa"/>
          </w:tcPr>
          <w:p w14:paraId="608397F6" w14:textId="77777777" w:rsidR="00EE32A8" w:rsidRPr="000E39A3" w:rsidRDefault="00EE32A8" w:rsidP="005258B7">
            <w:pPr>
              <w:spacing w:line="276" w:lineRule="auto"/>
              <w:jc w:val="both"/>
              <w:rPr>
                <w:rFonts w:ascii="Verdana" w:hAnsi="Verdana" w:cs="Arial"/>
                <w:bCs/>
              </w:rPr>
            </w:pPr>
            <w:r w:rsidRPr="000E39A3">
              <w:rPr>
                <w:rFonts w:ascii="Verdana" w:hAnsi="Verdana" w:cs="Arial"/>
                <w:bCs/>
              </w:rPr>
              <w:t>Para responder a estos tres problemas jurídicos se señala lo siguiente:</w:t>
            </w:r>
          </w:p>
          <w:p w14:paraId="3369A623" w14:textId="77777777" w:rsidR="00EE32A8" w:rsidRPr="000E39A3" w:rsidRDefault="00EE32A8" w:rsidP="005258B7">
            <w:pPr>
              <w:spacing w:line="276" w:lineRule="auto"/>
              <w:jc w:val="both"/>
              <w:rPr>
                <w:rFonts w:ascii="Verdana" w:hAnsi="Verdana" w:cs="Arial"/>
                <w:bCs/>
              </w:rPr>
            </w:pPr>
          </w:p>
          <w:p w14:paraId="77176A86" w14:textId="77777777" w:rsidR="00EE32A8" w:rsidRPr="008238BF" w:rsidRDefault="00EE32A8" w:rsidP="005258B7">
            <w:pPr>
              <w:spacing w:after="120" w:line="276" w:lineRule="auto"/>
              <w:jc w:val="both"/>
              <w:rPr>
                <w:rFonts w:ascii="Verdana" w:eastAsia="Arial" w:hAnsi="Verdana" w:cs="Arial"/>
                <w:color w:val="000000"/>
              </w:rPr>
            </w:pPr>
            <w:r w:rsidRPr="008238BF">
              <w:rPr>
                <w:rFonts w:ascii="Verdana" w:eastAsia="Arial" w:hAnsi="Verdana" w:cs="Arial"/>
                <w:color w:val="000000"/>
              </w:rPr>
              <w:t xml:space="preserve">i. Las Asociaciones Público-Populares son una tipología particular de contrato estatal, consagrada en el Plan Nacional de Desarrollo 2022-2026, adoptado mediante la Ley 2294 de 2023, que se caracteriza por la finalidad del objeto contractual y los sujetos habilitados para su suscripción. De acuerdo con el artículo 100 de la Ley 2294 de 2023, el objeto de estos contratos es la adquisición de obras, bienes o servicios relacionados con alguna de los siguientes aspectos: i) infraestructura social, vivienda rural, vías terciarias y caminos vecinales; </w:t>
            </w:r>
            <w:proofErr w:type="spellStart"/>
            <w:r w:rsidRPr="008238BF">
              <w:rPr>
                <w:rFonts w:ascii="Verdana" w:eastAsia="Arial" w:hAnsi="Verdana" w:cs="Arial"/>
                <w:color w:val="000000"/>
              </w:rPr>
              <w:t>ii</w:t>
            </w:r>
            <w:proofErr w:type="spellEnd"/>
            <w:r w:rsidRPr="008238BF">
              <w:rPr>
                <w:rFonts w:ascii="Verdana" w:eastAsia="Arial" w:hAnsi="Verdana" w:cs="Arial"/>
                <w:color w:val="000000"/>
              </w:rPr>
              <w:t xml:space="preserve">) cultura; </w:t>
            </w:r>
            <w:proofErr w:type="spellStart"/>
            <w:r w:rsidRPr="008238BF">
              <w:rPr>
                <w:rFonts w:ascii="Verdana" w:eastAsia="Arial" w:hAnsi="Verdana" w:cs="Arial"/>
                <w:color w:val="000000"/>
              </w:rPr>
              <w:t>iii</w:t>
            </w:r>
            <w:proofErr w:type="spellEnd"/>
            <w:r w:rsidRPr="008238BF">
              <w:rPr>
                <w:rFonts w:ascii="Verdana" w:eastAsia="Arial" w:hAnsi="Verdana" w:cs="Arial"/>
                <w:color w:val="000000"/>
              </w:rPr>
              <w:t xml:space="preserve">) infraestructura productiva local; </w:t>
            </w:r>
            <w:proofErr w:type="spellStart"/>
            <w:r w:rsidRPr="008238BF">
              <w:rPr>
                <w:rFonts w:ascii="Verdana" w:eastAsia="Arial" w:hAnsi="Verdana" w:cs="Arial"/>
                <w:color w:val="000000"/>
              </w:rPr>
              <w:t>iv</w:t>
            </w:r>
            <w:proofErr w:type="spellEnd"/>
            <w:r w:rsidRPr="008238BF">
              <w:rPr>
                <w:rFonts w:ascii="Verdana" w:eastAsia="Arial" w:hAnsi="Verdana" w:cs="Arial"/>
                <w:color w:val="000000"/>
              </w:rPr>
              <w:t xml:space="preserve">) proyectos de eficiencia energética; v) producción de alimentos; vi) gestión comunitaria del agua; </w:t>
            </w:r>
            <w:proofErr w:type="spellStart"/>
            <w:r w:rsidRPr="008238BF">
              <w:rPr>
                <w:rFonts w:ascii="Verdana" w:eastAsia="Arial" w:hAnsi="Verdana" w:cs="Arial"/>
                <w:color w:val="000000"/>
              </w:rPr>
              <w:t>vii</w:t>
            </w:r>
            <w:proofErr w:type="spellEnd"/>
            <w:r w:rsidRPr="008238BF">
              <w:rPr>
                <w:rFonts w:ascii="Verdana" w:eastAsia="Arial" w:hAnsi="Verdana" w:cs="Arial"/>
                <w:color w:val="000000"/>
              </w:rPr>
              <w:t xml:space="preserve">) saneamiento básico; </w:t>
            </w:r>
            <w:proofErr w:type="spellStart"/>
            <w:r w:rsidRPr="008238BF">
              <w:rPr>
                <w:rFonts w:ascii="Verdana" w:eastAsia="Arial" w:hAnsi="Verdana" w:cs="Arial"/>
                <w:color w:val="000000"/>
              </w:rPr>
              <w:t>viii</w:t>
            </w:r>
            <w:proofErr w:type="spellEnd"/>
            <w:r w:rsidRPr="008238BF">
              <w:rPr>
                <w:rFonts w:ascii="Verdana" w:eastAsia="Arial" w:hAnsi="Verdana" w:cs="Arial"/>
                <w:color w:val="000000"/>
              </w:rPr>
              <w:t xml:space="preserve">) economía del cuidado; </w:t>
            </w:r>
            <w:proofErr w:type="spellStart"/>
            <w:r w:rsidRPr="008238BF">
              <w:rPr>
                <w:rFonts w:ascii="Verdana" w:eastAsia="Arial" w:hAnsi="Verdana" w:cs="Arial"/>
                <w:color w:val="000000"/>
              </w:rPr>
              <w:t>ix</w:t>
            </w:r>
            <w:proofErr w:type="spellEnd"/>
            <w:r w:rsidRPr="008238BF">
              <w:rPr>
                <w:rFonts w:ascii="Verdana" w:eastAsia="Arial" w:hAnsi="Verdana" w:cs="Arial"/>
                <w:color w:val="000000"/>
              </w:rPr>
              <w:t xml:space="preserve">) fortalecimiento ambiental y comunitario; y x) adquisición de productos de origen o destinación agropecuarios. </w:t>
            </w:r>
          </w:p>
          <w:p w14:paraId="585E8067" w14:textId="77777777" w:rsidR="00EE32A8" w:rsidRPr="000E39A3" w:rsidRDefault="00EE32A8" w:rsidP="005258B7">
            <w:pPr>
              <w:spacing w:after="120" w:line="276" w:lineRule="auto"/>
              <w:ind w:firstLine="709"/>
              <w:jc w:val="both"/>
              <w:rPr>
                <w:rFonts w:ascii="Verdana" w:eastAsia="Calibri" w:hAnsi="Verdana" w:cs="Arial"/>
                <w:bCs/>
                <w:color w:val="000000" w:themeColor="text1"/>
              </w:rPr>
            </w:pPr>
            <w:r w:rsidRPr="000E39A3">
              <w:rPr>
                <w:rFonts w:ascii="Verdana" w:eastAsia="Arial" w:hAnsi="Verdana" w:cs="Arial"/>
                <w:color w:val="000000"/>
              </w:rPr>
              <w:t>En las condiciones</w:t>
            </w:r>
            <w:r w:rsidRPr="008238BF">
              <w:rPr>
                <w:rFonts w:ascii="Verdana" w:eastAsia="Arial" w:hAnsi="Verdana" w:cs="Arial"/>
                <w:color w:val="000000"/>
              </w:rPr>
              <w:t xml:space="preserve"> del artículo </w:t>
            </w:r>
            <w:r w:rsidRPr="000E39A3">
              <w:rPr>
                <w:rFonts w:ascii="Verdana" w:eastAsia="Calibri" w:hAnsi="Verdana" w:cs="Arial"/>
                <w:bCs/>
                <w:color w:val="000000"/>
              </w:rPr>
              <w:t xml:space="preserve">2.2.16.1.4 del Decreto 1082 de 2015, la ejecución de estos objetos puede contratarse con personas naturales o entidades sin ánimo de lucro que hagan parte de la denominada </w:t>
            </w:r>
            <w:r w:rsidRPr="000E39A3">
              <w:rPr>
                <w:rFonts w:ascii="Verdana" w:eastAsia="Calibri" w:hAnsi="Verdana" w:cs="Arial"/>
                <w:bCs/>
                <w:i/>
                <w:iCs/>
                <w:color w:val="000000"/>
              </w:rPr>
              <w:t>Economía Popular y Comunitaria</w:t>
            </w:r>
            <w:r w:rsidRPr="000E39A3">
              <w:rPr>
                <w:rFonts w:ascii="Verdana" w:eastAsia="Calibri" w:hAnsi="Verdana" w:cs="Arial"/>
                <w:bCs/>
                <w:color w:val="000000"/>
              </w:rPr>
              <w:t xml:space="preserve">. Sin embargo, cualquier objeto que no pertenezca </w:t>
            </w:r>
            <w:r w:rsidRPr="000E39A3">
              <w:rPr>
                <w:rFonts w:ascii="Verdana" w:eastAsia="Calibri" w:hAnsi="Verdana" w:cs="Arial"/>
                <w:bCs/>
                <w:color w:val="000000" w:themeColor="text1"/>
              </w:rPr>
              <w:t>al listado anterior, aunque esté dentro de la mínima cuantía, no podrá contratarse directamente, por lo que deberán aplicarse los demás procesos de selección establecidos en el artículo 2 de la Ley 1150 de 2007.</w:t>
            </w:r>
          </w:p>
          <w:p w14:paraId="3C70D4A6" w14:textId="77777777" w:rsidR="00EE32A8" w:rsidRPr="000E39A3" w:rsidRDefault="00EE32A8" w:rsidP="005258B7">
            <w:pPr>
              <w:spacing w:after="120" w:line="276" w:lineRule="auto"/>
              <w:ind w:firstLine="731"/>
              <w:jc w:val="both"/>
              <w:rPr>
                <w:rFonts w:ascii="Verdana" w:eastAsia="Arial" w:hAnsi="Verdana" w:cs="Arial"/>
                <w:color w:val="000000"/>
              </w:rPr>
            </w:pPr>
            <w:r w:rsidRPr="000E39A3">
              <w:rPr>
                <w:rFonts w:ascii="Verdana" w:eastAsia="Calibri" w:hAnsi="Verdana" w:cs="Arial"/>
                <w:bCs/>
                <w:color w:val="000000"/>
              </w:rPr>
              <w:t xml:space="preserve">Para la celebración de este tipo de contratos, </w:t>
            </w:r>
            <w:r w:rsidRPr="000E39A3">
              <w:rPr>
                <w:rFonts w:ascii="Verdana" w:eastAsia="Arial" w:hAnsi="Verdana" w:cs="Arial"/>
                <w:color w:val="000000"/>
              </w:rPr>
              <w:t xml:space="preserve">el artículo 2.2.16.1.5 </w:t>
            </w:r>
            <w:r w:rsidRPr="000E39A3">
              <w:rPr>
                <w:rFonts w:ascii="Verdana" w:eastAsia="Arial" w:hAnsi="Verdana" w:cs="Arial"/>
                <w:i/>
                <w:iCs/>
                <w:color w:val="000000"/>
              </w:rPr>
              <w:t>ibidem</w:t>
            </w:r>
            <w:r w:rsidRPr="008238BF">
              <w:rPr>
                <w:rFonts w:ascii="Verdana" w:eastAsia="Arial" w:hAnsi="Verdana" w:cs="Arial"/>
                <w:color w:val="000000"/>
              </w:rPr>
              <w:t>, adicionado por el Decreto 874 de 2023,</w:t>
            </w:r>
            <w:r w:rsidRPr="000E39A3">
              <w:rPr>
                <w:rFonts w:ascii="Verdana" w:eastAsia="Arial" w:hAnsi="Verdana" w:cs="Arial"/>
                <w:color w:val="000000"/>
              </w:rPr>
              <w:t xml:space="preserve"> impone una carga argumentativa que se desdobla en dos (2) frentes. Por un lado, es necesario justificar el uso de la</w:t>
            </w:r>
            <w:r w:rsidRPr="000E39A3">
              <w:rPr>
                <w:rFonts w:ascii="Verdana" w:eastAsia="Calibri" w:hAnsi="Verdana" w:cs="Arial"/>
                <w:color w:val="000000"/>
              </w:rPr>
              <w:t xml:space="preserve"> Asociación Público Popular</w:t>
            </w:r>
            <w:r w:rsidRPr="000E39A3">
              <w:rPr>
                <w:rFonts w:ascii="Verdana" w:eastAsia="Arial" w:hAnsi="Verdana" w:cs="Arial"/>
                <w:color w:val="000000"/>
              </w:rPr>
              <w:t xml:space="preserve"> y, por otro, es necesario identificar el perfil del contratista. Lo primero exige tener en cuenta el objeto y propósito de la tipología contractual prevista en la Ley 2294 de 2023, aspectos que sirven para determinar si es conveniente o no la contratación directa. Por su parte, lo segundo requiere identificar previamente la persona </w:t>
            </w:r>
            <w:r w:rsidRPr="000E39A3">
              <w:rPr>
                <w:rFonts w:ascii="Verdana" w:eastAsia="Arial" w:hAnsi="Verdana" w:cs="Arial"/>
                <w:color w:val="000000"/>
              </w:rPr>
              <w:lastRenderedPageBreak/>
              <w:t xml:space="preserve">natural o a la entidad sin ánimo de lucro perteneciente a la </w:t>
            </w:r>
            <w:r w:rsidRPr="000E39A3">
              <w:rPr>
                <w:rFonts w:ascii="Verdana" w:eastAsia="Arial" w:hAnsi="Verdana" w:cs="Arial"/>
                <w:i/>
                <w:iCs/>
                <w:color w:val="000000"/>
              </w:rPr>
              <w:t>Economía Popular y Comunitaria</w:t>
            </w:r>
            <w:r w:rsidRPr="000E39A3">
              <w:rPr>
                <w:rFonts w:ascii="Verdana" w:eastAsia="Arial" w:hAnsi="Verdana" w:cs="Arial"/>
                <w:color w:val="000000"/>
              </w:rPr>
              <w:t xml:space="preserve"> que tenga la capacidad para ejecutar las obligaciones. </w:t>
            </w:r>
          </w:p>
          <w:p w14:paraId="4F9AA6FE" w14:textId="77777777" w:rsidR="00EE32A8" w:rsidRPr="000E39A3" w:rsidRDefault="00EE32A8" w:rsidP="005258B7">
            <w:pPr>
              <w:spacing w:after="120" w:line="276" w:lineRule="auto"/>
              <w:ind w:firstLine="709"/>
              <w:jc w:val="both"/>
              <w:rPr>
                <w:rFonts w:ascii="Verdana" w:eastAsia="Arial" w:hAnsi="Verdana" w:cs="Arial"/>
                <w:color w:val="000000"/>
              </w:rPr>
            </w:pPr>
            <w:r w:rsidRPr="000E39A3">
              <w:rPr>
                <w:rFonts w:ascii="Verdana" w:eastAsia="Arial" w:hAnsi="Verdana" w:cs="Arial"/>
                <w:color w:val="000000"/>
              </w:rPr>
              <w:t xml:space="preserve">Esto último se complementa con el artículo 2.2.16.1.6 del Decreto 1082 de 2015, adicionado por el Decreto 874 de 2023, el cual exige lo siguiente: i) la persona natural o la entidad sin ánimo de lucro debe hacer parte de la Economía Popular y Comunitaria, en el marco de lo establecido en el artículo 2.2.16.1.4 </w:t>
            </w:r>
            <w:r w:rsidRPr="000E39A3">
              <w:rPr>
                <w:rFonts w:ascii="Verdana" w:eastAsia="Arial" w:hAnsi="Verdana" w:cs="Arial"/>
                <w:i/>
                <w:iCs/>
                <w:color w:val="000000"/>
              </w:rPr>
              <w:t>ibidem</w:t>
            </w:r>
            <w:r w:rsidRPr="000E39A3">
              <w:rPr>
                <w:rFonts w:ascii="Verdana" w:eastAsia="Arial" w:hAnsi="Verdana" w:cs="Arial"/>
                <w:color w:val="000000"/>
              </w:rPr>
              <w:t xml:space="preserve">; </w:t>
            </w:r>
            <w:proofErr w:type="spellStart"/>
            <w:r w:rsidRPr="000E39A3">
              <w:rPr>
                <w:rFonts w:ascii="Verdana" w:eastAsia="Arial" w:hAnsi="Verdana" w:cs="Arial"/>
                <w:color w:val="000000"/>
              </w:rPr>
              <w:t>ii</w:t>
            </w:r>
            <w:proofErr w:type="spellEnd"/>
            <w:r w:rsidRPr="000E39A3">
              <w:rPr>
                <w:rFonts w:ascii="Verdana" w:eastAsia="Arial" w:hAnsi="Verdana" w:cs="Arial"/>
                <w:color w:val="000000"/>
              </w:rPr>
              <w:t xml:space="preserve">) para el caso de las entidades sin ánimo de lucro, es necesario que su objeto social tenga relación con la ejecución de obras o la adquisición de bienes y servicios contempladas en el artículo 100 de la Ley 2294 de 2023; y </w:t>
            </w:r>
            <w:proofErr w:type="spellStart"/>
            <w:r w:rsidRPr="000E39A3">
              <w:rPr>
                <w:rFonts w:ascii="Verdana" w:eastAsia="Arial" w:hAnsi="Verdana" w:cs="Arial"/>
                <w:color w:val="000000"/>
              </w:rPr>
              <w:t>iii</w:t>
            </w:r>
            <w:proofErr w:type="spellEnd"/>
            <w:r w:rsidRPr="000E39A3">
              <w:rPr>
                <w:rFonts w:ascii="Verdana" w:eastAsia="Arial" w:hAnsi="Verdana" w:cs="Arial"/>
                <w:color w:val="000000"/>
              </w:rPr>
              <w:t xml:space="preserve">) la persona natural o la entidad sin ánimo de lucro deberán cumplir con la normativa aplicable a los oficios, ocupaciones u objetos sociales que desempeñen, dependiendo de su sector económico y naturaleza. </w:t>
            </w:r>
          </w:p>
          <w:p w14:paraId="7B052B12" w14:textId="77777777" w:rsidR="00EE32A8" w:rsidRPr="00CF2301" w:rsidRDefault="00EE32A8" w:rsidP="005258B7">
            <w:pPr>
              <w:pBdr>
                <w:top w:val="nil"/>
                <w:left w:val="nil"/>
                <w:bottom w:val="nil"/>
                <w:right w:val="nil"/>
                <w:between w:val="nil"/>
              </w:pBdr>
              <w:spacing w:line="276" w:lineRule="auto"/>
              <w:ind w:firstLine="708"/>
              <w:jc w:val="both"/>
              <w:rPr>
                <w:rFonts w:ascii="Verdana" w:eastAsia="Arial" w:hAnsi="Verdana" w:cs="Arial"/>
                <w:color w:val="000000"/>
              </w:rPr>
            </w:pPr>
            <w:r w:rsidRPr="00CF2301">
              <w:rPr>
                <w:rFonts w:ascii="Verdana" w:eastAsia="Calibri" w:hAnsi="Verdana" w:cs="Arial"/>
                <w:color w:val="000000" w:themeColor="text1"/>
                <w:lang w:val="es-ES_tradnl"/>
              </w:rPr>
              <w:t xml:space="preserve">Así mismo, el artículo 2.2.16.1.4 del Decreto 1082 de 2015 dispone que estas </w:t>
            </w:r>
            <w:r w:rsidRPr="00CF2301">
              <w:rPr>
                <w:rFonts w:ascii="Verdana" w:eastAsia="Calibri" w:hAnsi="Verdana" w:cs="Arial"/>
                <w:i/>
                <w:iCs/>
                <w:color w:val="000000" w:themeColor="text1"/>
                <w:lang w:val="es-ES_tradnl"/>
              </w:rPr>
              <w:t xml:space="preserve">actividades mercantiles </w:t>
            </w:r>
            <w:r w:rsidRPr="00CF2301">
              <w:rPr>
                <w:rFonts w:ascii="Verdana" w:eastAsia="Calibri" w:hAnsi="Verdana" w:cs="Arial"/>
                <w:color w:val="000000" w:themeColor="text1"/>
                <w:lang w:val="es-ES_tradnl"/>
              </w:rPr>
              <w:t>y</w:t>
            </w:r>
            <w:r w:rsidRPr="00CF2301">
              <w:rPr>
                <w:rFonts w:ascii="Verdana" w:eastAsia="Calibri" w:hAnsi="Verdana" w:cs="Arial"/>
                <w:i/>
                <w:iCs/>
                <w:color w:val="000000" w:themeColor="text1"/>
                <w:lang w:val="es-ES_tradnl"/>
              </w:rPr>
              <w:t xml:space="preserve"> no mercantiles</w:t>
            </w:r>
            <w:r w:rsidRPr="00CF2301">
              <w:rPr>
                <w:rFonts w:ascii="Verdana" w:eastAsia="Calibri" w:hAnsi="Verdana" w:cs="Arial"/>
                <w:color w:val="000000" w:themeColor="text1"/>
                <w:lang w:val="es-ES_tradnl"/>
              </w:rPr>
              <w:t xml:space="preserve"> son desarrolladas por “[…] unidades económicas de baja escala ya sea personales, familiares, micronegocios o microempresas […]”. La concreción de esta idea hace necesarios los lineamientos </w:t>
            </w:r>
            <w:r w:rsidRPr="00CF2301">
              <w:rPr>
                <w:rFonts w:ascii="Verdana" w:eastAsia="Arial" w:hAnsi="Verdana" w:cs="Arial"/>
                <w:color w:val="000000"/>
              </w:rPr>
              <w:t xml:space="preserve">del parágrafo del artículo 2.2.16.1.6 </w:t>
            </w:r>
            <w:r w:rsidRPr="00CF2301">
              <w:rPr>
                <w:rFonts w:ascii="Verdana" w:eastAsia="Arial" w:hAnsi="Verdana" w:cs="Arial"/>
                <w:i/>
                <w:iCs/>
                <w:color w:val="000000"/>
              </w:rPr>
              <w:t>ibidem</w:t>
            </w:r>
            <w:r w:rsidRPr="00CF2301">
              <w:rPr>
                <w:rFonts w:ascii="Verdana" w:eastAsia="Arial" w:hAnsi="Verdana" w:cs="Arial"/>
                <w:color w:val="000000"/>
              </w:rPr>
              <w:t xml:space="preserve">. Como no se han expedido, la Agencia estima que el concepto de </w:t>
            </w:r>
            <w:r w:rsidRPr="00CF2301">
              <w:rPr>
                <w:rFonts w:ascii="Verdana" w:eastAsia="Arial" w:hAnsi="Verdana" w:cs="Arial"/>
                <w:i/>
                <w:iCs/>
                <w:color w:val="000000"/>
              </w:rPr>
              <w:t>unidades económicas de baja escala</w:t>
            </w:r>
            <w:r w:rsidRPr="00CF2301">
              <w:rPr>
                <w:rFonts w:ascii="Verdana" w:eastAsia="Arial" w:hAnsi="Verdana" w:cs="Arial"/>
                <w:color w:val="000000"/>
              </w:rPr>
              <w:t xml:space="preserve"> es un criterio delimitador que deja por fuera de la Economía Popular y Comunitaria a la pequeña, mediana y gran empresa, de acuerdo con la categorización del Decreto Único Reglamentario del Sector Comercio, Industria y Turismo. Aunque estas últimas pueden participar en los demás procesos de selección del artículo 2 de la Ley 1150 de 2007, el objetivo del </w:t>
            </w:r>
            <w:r w:rsidRPr="00CF2301">
              <w:rPr>
                <w:rFonts w:ascii="Verdana" w:eastAsia="Calibri" w:hAnsi="Verdana" w:cs="Arial"/>
                <w:bCs/>
                <w:color w:val="000000" w:themeColor="text1"/>
              </w:rPr>
              <w:t>artículo 100 de la Ley 2294 de 2023</w:t>
            </w:r>
            <w:r w:rsidRPr="00CF2301">
              <w:rPr>
                <w:rFonts w:ascii="Verdana" w:eastAsia="Arial" w:hAnsi="Verdana" w:cs="Arial"/>
                <w:color w:val="000000"/>
              </w:rPr>
              <w:t xml:space="preserve"> es incluir en el sistema de compras públicas la actividad económica de las personas naturales y entidades sin ánimo de lucro que tienen un volumen reducido de producción, ingresos y personal empleado, por lo que operan con recursos limitados. </w:t>
            </w:r>
          </w:p>
          <w:p w14:paraId="105258B7" w14:textId="77777777" w:rsidR="00EE32A8" w:rsidRPr="000E39A3" w:rsidRDefault="00EE32A8" w:rsidP="005258B7">
            <w:pPr>
              <w:spacing w:line="276" w:lineRule="auto"/>
              <w:ind w:firstLine="709"/>
              <w:jc w:val="both"/>
              <w:rPr>
                <w:rFonts w:ascii="Verdana" w:eastAsia="Arial" w:hAnsi="Verdana" w:cs="Arial"/>
                <w:color w:val="000000"/>
              </w:rPr>
            </w:pPr>
          </w:p>
          <w:p w14:paraId="42220BAB" w14:textId="77777777" w:rsidR="00EE32A8" w:rsidRPr="00CF2301" w:rsidRDefault="00EE32A8" w:rsidP="005258B7">
            <w:pPr>
              <w:pBdr>
                <w:top w:val="nil"/>
                <w:left w:val="nil"/>
                <w:bottom w:val="nil"/>
                <w:right w:val="nil"/>
                <w:between w:val="nil"/>
              </w:pBdr>
              <w:spacing w:line="276" w:lineRule="auto"/>
              <w:jc w:val="both"/>
              <w:rPr>
                <w:rFonts w:ascii="Verdana" w:eastAsia="Calibri" w:hAnsi="Verdana" w:cs="Arial"/>
                <w:color w:val="000000" w:themeColor="text1"/>
              </w:rPr>
            </w:pPr>
            <w:proofErr w:type="spellStart"/>
            <w:r w:rsidRPr="000E39A3">
              <w:rPr>
                <w:rFonts w:ascii="Verdana" w:hAnsi="Verdana" w:cs="Arial"/>
                <w:bCs/>
                <w:color w:val="000000" w:themeColor="text1"/>
              </w:rPr>
              <w:t>ii</w:t>
            </w:r>
            <w:proofErr w:type="spellEnd"/>
            <w:r w:rsidRPr="000E39A3">
              <w:rPr>
                <w:rFonts w:ascii="Verdana" w:hAnsi="Verdana" w:cs="Arial"/>
                <w:bCs/>
                <w:color w:val="000000" w:themeColor="text1"/>
              </w:rPr>
              <w:t xml:space="preserve">. </w:t>
            </w:r>
            <w:r>
              <w:rPr>
                <w:rFonts w:ascii="Verdana" w:eastAsia="Arial" w:hAnsi="Verdana" w:cs="Arial"/>
                <w:color w:val="000000"/>
              </w:rPr>
              <w:t>Frente al segundo problema jurídico, esta Agencia considera que</w:t>
            </w:r>
            <w:r w:rsidRPr="000E39A3">
              <w:rPr>
                <w:rFonts w:ascii="Verdana" w:eastAsia="Arial" w:hAnsi="Verdana" w:cs="Arial"/>
                <w:color w:val="000000"/>
              </w:rPr>
              <w:t xml:space="preserve"> </w:t>
            </w:r>
            <w:r w:rsidRPr="00CF2301">
              <w:rPr>
                <w:rFonts w:ascii="Verdana" w:eastAsia="Calibri" w:hAnsi="Verdana" w:cs="Arial"/>
                <w:color w:val="000000" w:themeColor="text1"/>
              </w:rPr>
              <w:t>la Entidad Estatal deberá</w:t>
            </w:r>
            <w:r>
              <w:rPr>
                <w:rFonts w:ascii="Verdana" w:eastAsia="Calibri" w:hAnsi="Verdana" w:cs="Arial"/>
                <w:color w:val="000000" w:themeColor="text1"/>
              </w:rPr>
              <w:t xml:space="preserve"> ceñirse a lo establecido en el ordenamiento jurídico, en función de la condición que alega para ubicarse en alguna de las categorías comprendidas en el concepto de Economía Popular. Ahora bien, en el caso en que esta categoría no tenga regulación, le corresponderá a la Entidad Estatal determinar </w:t>
            </w:r>
            <w:r w:rsidRPr="00CF2301">
              <w:rPr>
                <w:rFonts w:ascii="Verdana" w:eastAsia="Calibri" w:hAnsi="Verdana" w:cs="Arial"/>
                <w:color w:val="000000" w:themeColor="text1"/>
              </w:rPr>
              <w:t>en los documentos del proceso</w:t>
            </w:r>
            <w:r>
              <w:rPr>
                <w:rFonts w:ascii="Verdana" w:eastAsia="Calibri" w:hAnsi="Verdana" w:cs="Arial"/>
                <w:color w:val="000000" w:themeColor="text1"/>
              </w:rPr>
              <w:t>,</w:t>
            </w:r>
            <w:r w:rsidRPr="00CF2301">
              <w:rPr>
                <w:rFonts w:ascii="Verdana" w:eastAsia="Calibri" w:hAnsi="Verdana" w:cs="Arial"/>
                <w:color w:val="000000" w:themeColor="text1"/>
              </w:rPr>
              <w:t xml:space="preserve"> cuál es la información que se debe acreditar, así como los documentos que tendrá como válidos para tal fin. En consecuencia, el sujeto que pretenda suscribir </w:t>
            </w:r>
            <w:r>
              <w:rPr>
                <w:rFonts w:ascii="Verdana" w:eastAsia="Calibri" w:hAnsi="Verdana" w:cs="Arial"/>
                <w:color w:val="000000" w:themeColor="text1"/>
              </w:rPr>
              <w:t xml:space="preserve">contratos de </w:t>
            </w:r>
            <w:r>
              <w:rPr>
                <w:rFonts w:ascii="Verdana" w:eastAsia="Calibri" w:hAnsi="Verdana" w:cs="Arial"/>
                <w:color w:val="000000" w:themeColor="text1"/>
              </w:rPr>
              <w:lastRenderedPageBreak/>
              <w:t>Asociación Público – Popular</w:t>
            </w:r>
            <w:r w:rsidRPr="00CF2301">
              <w:rPr>
                <w:rFonts w:ascii="Verdana" w:eastAsia="Calibri" w:hAnsi="Verdana" w:cs="Arial"/>
                <w:color w:val="000000" w:themeColor="text1"/>
              </w:rPr>
              <w:t xml:space="preserve"> deberá ceñirse a lo dispuesto por la entidad y allegar toda información ordenada, en los términos y la forma en que hayan sido señalados. </w:t>
            </w:r>
          </w:p>
          <w:p w14:paraId="2F2678E3" w14:textId="77777777" w:rsidR="00EE32A8" w:rsidRDefault="00EE32A8" w:rsidP="005258B7">
            <w:pPr>
              <w:spacing w:after="120" w:line="276" w:lineRule="auto"/>
              <w:jc w:val="both"/>
              <w:rPr>
                <w:rFonts w:ascii="Verdana" w:eastAsia="Arial" w:hAnsi="Verdana" w:cs="Arial"/>
                <w:color w:val="000000"/>
              </w:rPr>
            </w:pPr>
          </w:p>
          <w:p w14:paraId="71F8672A" w14:textId="77777777" w:rsidR="00EE32A8" w:rsidRPr="000E39A3" w:rsidRDefault="00EE32A8" w:rsidP="005258B7">
            <w:pPr>
              <w:spacing w:after="120" w:line="276" w:lineRule="auto"/>
              <w:jc w:val="both"/>
              <w:rPr>
                <w:rFonts w:ascii="Verdana" w:eastAsia="Calibri" w:hAnsi="Verdana" w:cs="Arial"/>
                <w:color w:val="000000" w:themeColor="text1"/>
                <w:lang w:val="es-ES_tradnl"/>
              </w:rPr>
            </w:pPr>
            <w:proofErr w:type="spellStart"/>
            <w:r>
              <w:rPr>
                <w:rFonts w:ascii="Verdana" w:eastAsia="Arial" w:hAnsi="Verdana" w:cs="Arial"/>
                <w:color w:val="000000"/>
              </w:rPr>
              <w:t>iii</w:t>
            </w:r>
            <w:proofErr w:type="spellEnd"/>
            <w:r>
              <w:rPr>
                <w:rFonts w:ascii="Verdana" w:eastAsia="Arial" w:hAnsi="Verdana" w:cs="Arial"/>
                <w:color w:val="000000"/>
              </w:rPr>
              <w:t xml:space="preserve">. </w:t>
            </w:r>
            <w:r w:rsidRPr="000E39A3">
              <w:rPr>
                <w:rFonts w:ascii="Verdana" w:eastAsia="Arial" w:hAnsi="Verdana" w:cs="Arial"/>
                <w:color w:val="000000"/>
              </w:rPr>
              <w:t xml:space="preserve">En respuesta al </w:t>
            </w:r>
            <w:r>
              <w:rPr>
                <w:rFonts w:ascii="Verdana" w:eastAsia="Arial" w:hAnsi="Verdana" w:cs="Arial"/>
                <w:color w:val="000000"/>
              </w:rPr>
              <w:t>tercer</w:t>
            </w:r>
            <w:r w:rsidRPr="000E39A3">
              <w:rPr>
                <w:rFonts w:ascii="Verdana" w:eastAsia="Arial" w:hAnsi="Verdana" w:cs="Arial"/>
                <w:color w:val="000000"/>
              </w:rPr>
              <w:t xml:space="preserve"> problema jurídico,</w:t>
            </w:r>
            <w:r>
              <w:rPr>
                <w:rFonts w:ascii="Verdana" w:eastAsia="Arial" w:hAnsi="Verdana" w:cs="Arial"/>
                <w:color w:val="000000"/>
              </w:rPr>
              <w:t xml:space="preserve"> </w:t>
            </w:r>
            <w:r w:rsidRPr="000E39A3">
              <w:rPr>
                <w:rFonts w:ascii="Verdana" w:eastAsia="Arial" w:hAnsi="Verdana" w:cs="Arial"/>
                <w:color w:val="000000"/>
              </w:rPr>
              <w:t xml:space="preserve">se precisa que no existe un registro para identificarlos, siendo preciso determinar qué personas naturales o entidades sin ánimo de lucro hacen parte de la Economía Popular y Comunitaria. </w:t>
            </w:r>
            <w:r w:rsidRPr="000E39A3">
              <w:rPr>
                <w:rFonts w:ascii="Verdana" w:eastAsia="Calibri" w:hAnsi="Verdana" w:cs="Arial"/>
                <w:color w:val="000000" w:themeColor="text1"/>
                <w:lang w:val="es-ES_tradnl"/>
              </w:rPr>
              <w:t>En este marco, el artículo 2.2.16.1.4 del Decreto 1082 de 2015 –adicionado por el Decreto 874 de 2024– dispone:</w:t>
            </w:r>
            <w:r w:rsidRPr="000E39A3">
              <w:rPr>
                <w:rFonts w:ascii="Verdana" w:eastAsia="Calibri" w:hAnsi="Verdana" w:cs="Arial"/>
                <w:color w:val="000000" w:themeColor="text1"/>
                <w:lang w:val="es-ES"/>
              </w:rPr>
              <w:t>“Para el efecto del presente Título, se entiende por economía popular a los oficios y ocupaciones mercantiles relacionados con la producción, distribución y comercialización de bienes y servicios, y no mercantiles, que hagan referencia a actividades domésticas o comunitarias, desarrolladas por unidades económicas de baja escala ya sea personales, familiares, micronegocios o microempresas, en cualquier sector económico. Los actores de la Economía Popular pueden realizar sus actividades de manera individual, en unidades económicas, u organizados de manera asociativa”.</w:t>
            </w:r>
          </w:p>
          <w:p w14:paraId="619ABA21" w14:textId="77777777" w:rsidR="00EE32A8" w:rsidRPr="000E39A3" w:rsidRDefault="00EE32A8" w:rsidP="005258B7">
            <w:pPr>
              <w:pBdr>
                <w:top w:val="nil"/>
                <w:left w:val="nil"/>
                <w:bottom w:val="nil"/>
                <w:right w:val="nil"/>
                <w:between w:val="nil"/>
              </w:pBdr>
              <w:spacing w:after="120" w:line="276" w:lineRule="auto"/>
              <w:ind w:firstLine="708"/>
              <w:jc w:val="both"/>
              <w:rPr>
                <w:rFonts w:ascii="Verdana" w:eastAsia="Calibri" w:hAnsi="Verdana" w:cs="Arial"/>
                <w:color w:val="000000" w:themeColor="text1"/>
                <w:lang w:val="es-ES_tradnl"/>
              </w:rPr>
            </w:pPr>
            <w:r w:rsidRPr="000E39A3">
              <w:rPr>
                <w:rFonts w:ascii="Verdana" w:eastAsia="Calibri" w:hAnsi="Verdana" w:cs="Arial"/>
                <w:iCs/>
                <w:color w:val="000000" w:themeColor="text1"/>
                <w:lang w:val="es-ES_tradnl"/>
              </w:rPr>
              <w:t>El</w:t>
            </w:r>
            <w:r w:rsidRPr="000E39A3">
              <w:rPr>
                <w:rFonts w:ascii="Verdana" w:eastAsia="Calibri" w:hAnsi="Verdana" w:cs="Arial"/>
                <w:i/>
                <w:iCs/>
                <w:color w:val="000000" w:themeColor="text1"/>
                <w:lang w:val="es-ES_tradnl"/>
              </w:rPr>
              <w:t xml:space="preserve"> </w:t>
            </w:r>
            <w:r w:rsidRPr="000E39A3">
              <w:rPr>
                <w:rFonts w:ascii="Verdana" w:eastAsia="Calibri" w:hAnsi="Verdana" w:cs="Arial"/>
                <w:color w:val="000000" w:themeColor="text1"/>
                <w:lang w:val="es-ES_tradnl"/>
              </w:rPr>
              <w:t xml:space="preserve">artículo ya precitado del Decreto 1082 de 2015 se refiere a las actividades mercantiles y no mercantiles que desempeñan las personas naturales o entidades sin ánimo de lucro. Para su identificación, es necesario tener en cuenta que la </w:t>
            </w:r>
            <w:r w:rsidRPr="000E39A3">
              <w:rPr>
                <w:rFonts w:ascii="Verdana" w:eastAsia="Calibri" w:hAnsi="Verdana" w:cs="Arial"/>
                <w:i/>
                <w:iCs/>
                <w:color w:val="000000" w:themeColor="text1"/>
                <w:lang w:val="es-ES_tradnl"/>
              </w:rPr>
              <w:t>actividad mercantil</w:t>
            </w:r>
            <w:r w:rsidRPr="000E39A3">
              <w:rPr>
                <w:rFonts w:ascii="Verdana" w:eastAsia="Calibri" w:hAnsi="Verdana" w:cs="Arial"/>
                <w:color w:val="000000" w:themeColor="text1"/>
                <w:lang w:val="es-ES_tradnl"/>
              </w:rPr>
              <w:t xml:space="preserve"> no se relaciona exclusivamente con el concepto de comerciante –sistema subjetivo–, sino que también está vinculado con una categoría conceptual, como son los actos de comercio. Ahora bien, para determinar la </w:t>
            </w:r>
            <w:r w:rsidRPr="000E39A3">
              <w:rPr>
                <w:rFonts w:ascii="Verdana" w:eastAsia="Calibri" w:hAnsi="Verdana" w:cs="Arial"/>
                <w:i/>
                <w:color w:val="000000" w:themeColor="text1"/>
                <w:lang w:val="es-ES"/>
              </w:rPr>
              <w:t>actividad mercantil</w:t>
            </w:r>
            <w:r w:rsidRPr="000E39A3">
              <w:rPr>
                <w:rFonts w:ascii="Verdana" w:eastAsia="Calibri" w:hAnsi="Verdana" w:cs="Arial"/>
                <w:color w:val="000000" w:themeColor="text1"/>
                <w:lang w:val="es-ES"/>
              </w:rPr>
              <w:t xml:space="preserve">, la única jurídicamente relevante para el artículo 2.2.16.1.4 del Decreto 1082 de 2015 es aquella derivada de “[…] oficios y ocupaciones […] relacionados con la producción, distribución y comercialización de bienes y servicios […]”. Este criterio tiene una función delimitadora, por lo que no es suficiente la realización de actos de comercio </w:t>
            </w:r>
            <w:r w:rsidRPr="000E39A3">
              <w:rPr>
                <w:rFonts w:ascii="Verdana" w:eastAsia="Calibri" w:hAnsi="Verdana" w:cs="Arial"/>
                <w:i/>
                <w:color w:val="000000" w:themeColor="text1"/>
                <w:lang w:val="es-ES"/>
              </w:rPr>
              <w:t>per se</w:t>
            </w:r>
            <w:r w:rsidRPr="000E39A3">
              <w:rPr>
                <w:rFonts w:ascii="Verdana" w:eastAsia="Calibri" w:hAnsi="Verdana" w:cs="Arial"/>
                <w:color w:val="000000" w:themeColor="text1"/>
                <w:lang w:val="es-ES"/>
              </w:rPr>
              <w:t xml:space="preserve"> para formar parte de la Economía Popular y Comunitaria, sino que deberán corresponder al tipo de oficios y ocupaciones descritas. En consecuencia, las Entidades Estatales deberán verificar que las personas naturales o las entidades sin ánimo de lucro cumplan dicha condición. </w:t>
            </w:r>
          </w:p>
          <w:p w14:paraId="07E37835" w14:textId="77777777" w:rsidR="00EE32A8" w:rsidRPr="000E39A3" w:rsidRDefault="00EE32A8" w:rsidP="005258B7">
            <w:pPr>
              <w:pBdr>
                <w:top w:val="nil"/>
                <w:left w:val="nil"/>
                <w:bottom w:val="nil"/>
                <w:right w:val="nil"/>
                <w:between w:val="nil"/>
              </w:pBdr>
              <w:spacing w:after="120" w:line="276" w:lineRule="auto"/>
              <w:ind w:firstLine="708"/>
              <w:jc w:val="both"/>
              <w:rPr>
                <w:rFonts w:ascii="Verdana" w:eastAsia="Calibri" w:hAnsi="Verdana" w:cs="Arial"/>
                <w:color w:val="000000" w:themeColor="text1"/>
                <w:lang w:val="es-ES_tradnl"/>
              </w:rPr>
            </w:pPr>
            <w:r w:rsidRPr="000E39A3">
              <w:rPr>
                <w:rFonts w:ascii="Verdana" w:eastAsia="Calibri" w:hAnsi="Verdana" w:cs="Arial"/>
                <w:color w:val="000000" w:themeColor="text1"/>
                <w:lang w:val="es-ES_tradnl"/>
              </w:rPr>
              <w:t xml:space="preserve">Por su parte, la </w:t>
            </w:r>
            <w:r w:rsidRPr="000E39A3">
              <w:rPr>
                <w:rFonts w:ascii="Verdana" w:eastAsia="Calibri" w:hAnsi="Verdana" w:cs="Arial"/>
                <w:i/>
                <w:iCs/>
                <w:color w:val="000000" w:themeColor="text1"/>
                <w:lang w:val="es-ES_tradnl"/>
              </w:rPr>
              <w:t>actividad no mercantil</w:t>
            </w:r>
            <w:r w:rsidRPr="000E39A3">
              <w:rPr>
                <w:rFonts w:ascii="Verdana" w:eastAsia="Calibri" w:hAnsi="Verdana" w:cs="Arial"/>
                <w:color w:val="000000" w:themeColor="text1"/>
                <w:lang w:val="es-ES_tradnl"/>
              </w:rPr>
              <w:t xml:space="preserve"> se identifica con la lista enunciativa del artículo 23 del Código de Comercio. Precisamente, están excluidas de la categoría de acto de comercio, porque implican acciones de consumo, producción de obras artísticas, ejercicio de profesiones liberales, entre otros, de manera que, son una antítesis de la intención especulativa, </w:t>
            </w:r>
            <w:r w:rsidRPr="000E39A3">
              <w:rPr>
                <w:rFonts w:ascii="Verdana" w:eastAsia="Calibri" w:hAnsi="Verdana" w:cs="Arial"/>
                <w:color w:val="000000" w:themeColor="text1"/>
                <w:lang w:val="es-ES_tradnl"/>
              </w:rPr>
              <w:lastRenderedPageBreak/>
              <w:t xml:space="preserve">el propósito de intermediación o el desarrollo de actividades empresariales. De forma análoga a lo comentado en el párrafo precedente, su realización no es suficiente por sí misma para identificar a las personas naturales o entidades sin ánimo de lucro como actores de la Economía Popular y Comunitaria, ya que la </w:t>
            </w:r>
            <w:r w:rsidRPr="000E39A3">
              <w:rPr>
                <w:rFonts w:ascii="Verdana" w:eastAsia="Calibri" w:hAnsi="Verdana" w:cs="Arial"/>
                <w:i/>
                <w:iCs/>
                <w:color w:val="000000" w:themeColor="text1"/>
                <w:lang w:val="es-ES_tradnl"/>
              </w:rPr>
              <w:t>actividad no mercantil</w:t>
            </w:r>
            <w:r w:rsidRPr="000E39A3">
              <w:rPr>
                <w:rFonts w:ascii="Verdana" w:eastAsia="Calibri" w:hAnsi="Verdana" w:cs="Arial"/>
                <w:color w:val="000000" w:themeColor="text1"/>
                <w:lang w:val="es-ES_tradnl"/>
              </w:rPr>
              <w:t xml:space="preserve"> relevante para el artículo 2.2.16.1.4 del Decreto 1082 de 2015 es aquella relacionada con “[…] oficios y ocupaciones […] que hagan referencia a actividades domésticas o comunitarias […]”.</w:t>
            </w:r>
          </w:p>
          <w:p w14:paraId="3C87322A" w14:textId="77777777" w:rsidR="00EE32A8" w:rsidRPr="000E39A3" w:rsidRDefault="00EE32A8" w:rsidP="005258B7">
            <w:pPr>
              <w:pBdr>
                <w:top w:val="nil"/>
                <w:left w:val="nil"/>
                <w:bottom w:val="nil"/>
                <w:right w:val="nil"/>
                <w:between w:val="nil"/>
              </w:pBdr>
              <w:spacing w:after="120" w:line="276" w:lineRule="auto"/>
              <w:ind w:firstLine="708"/>
              <w:jc w:val="both"/>
              <w:rPr>
                <w:rFonts w:ascii="Verdana" w:eastAsia="Calibri" w:hAnsi="Verdana" w:cs="Arial"/>
                <w:color w:val="000000" w:themeColor="text1"/>
                <w:lang w:val="es-ES_tradnl"/>
              </w:rPr>
            </w:pPr>
            <w:r w:rsidRPr="000E39A3">
              <w:rPr>
                <w:rFonts w:ascii="Verdana" w:eastAsia="Calibri" w:hAnsi="Verdana" w:cs="Arial"/>
                <w:color w:val="000000" w:themeColor="text1"/>
                <w:lang w:val="es-ES_tradnl"/>
              </w:rPr>
              <w:t xml:space="preserve">Ni las </w:t>
            </w:r>
            <w:r>
              <w:rPr>
                <w:rFonts w:ascii="Verdana" w:eastAsia="Calibri" w:hAnsi="Verdana" w:cs="Arial"/>
                <w:color w:val="000000" w:themeColor="text1"/>
                <w:lang w:val="es-ES_tradnl"/>
              </w:rPr>
              <w:t>b</w:t>
            </w:r>
            <w:r w:rsidRPr="000E39A3">
              <w:rPr>
                <w:rFonts w:ascii="Verdana" w:eastAsia="Calibri" w:hAnsi="Verdana" w:cs="Arial"/>
                <w:color w:val="000000" w:themeColor="text1"/>
                <w:lang w:val="es-ES_tradnl"/>
              </w:rPr>
              <w:t xml:space="preserve">ases de la Ley del Plan Nacional de Desarrollo ni el Decreto 874 de 2024 que adiciona el Decreto 1082 de 2015 ofrecen criterios para determinar a qué se refieren estas actividades, por lo que –como se explicó </w:t>
            </w:r>
            <w:r w:rsidRPr="000E39A3">
              <w:rPr>
                <w:rFonts w:ascii="Verdana" w:eastAsia="Calibri" w:hAnsi="Verdana" w:cs="Arial"/>
                <w:i/>
                <w:iCs/>
                <w:color w:val="000000" w:themeColor="text1"/>
                <w:lang w:val="es-ES_tradnl"/>
              </w:rPr>
              <w:t>ut supra</w:t>
            </w:r>
            <w:r w:rsidRPr="000E39A3">
              <w:rPr>
                <w:rFonts w:ascii="Verdana" w:eastAsia="Calibri" w:hAnsi="Verdana" w:cs="Arial"/>
                <w:color w:val="000000" w:themeColor="text1"/>
                <w:lang w:val="es-ES_tradnl"/>
              </w:rPr>
              <w:t xml:space="preserve">– son importantes los lineamientos que emitan </w:t>
            </w:r>
            <w:r w:rsidRPr="000E39A3">
              <w:rPr>
                <w:rFonts w:ascii="Verdana" w:eastAsia="Arial" w:hAnsi="Verdana" w:cs="Arial"/>
                <w:color w:val="000000"/>
              </w:rPr>
              <w:t>el Consejo de Economía Popular, el Ministerio de Comercio, Industria y Turismo, así como el Departamento Administrativo Nacional de Estadística, en los términos del parágrafo del artículo 2.2.16.1.6 del Decreto 1082 de 2015. En ausencia de pronunciamiento de los órganos competentes, la Agencia considera “</w:t>
            </w:r>
            <w:r w:rsidRPr="000E39A3">
              <w:rPr>
                <w:rFonts w:ascii="Verdana" w:eastAsia="Calibri" w:hAnsi="Verdana" w:cs="Arial"/>
                <w:color w:val="000000" w:themeColor="text1"/>
                <w:lang w:val="es-ES_tradnl"/>
              </w:rPr>
              <w:t>actividades domésticas o comunitarias” como aquellas que, de forma altruista, se orientan a satisfacer necesidades básicas de la familia o la sociedad sin pretender una contraprestación económica. De forma ejemplificativa, pueden manifestarse en el cuidado de personas vulnerables, el trabajo comunitario voluntario, la producción para el autoconsumo, las actividades relacionadas con la economía del cuidado, entre otros.</w:t>
            </w:r>
          </w:p>
        </w:tc>
      </w:tr>
    </w:tbl>
    <w:p w14:paraId="6D95F81D" w14:textId="77777777" w:rsidR="00EE32A8" w:rsidRPr="000E39A3" w:rsidRDefault="00EE32A8" w:rsidP="00EE32A8">
      <w:pPr>
        <w:spacing w:after="0" w:line="276" w:lineRule="auto"/>
        <w:jc w:val="both"/>
        <w:rPr>
          <w:rFonts w:ascii="Verdana" w:eastAsia="Calibri" w:hAnsi="Verdana" w:cs="Arial"/>
          <w:bCs/>
          <w:color w:val="000000" w:themeColor="text1"/>
        </w:rPr>
      </w:pPr>
    </w:p>
    <w:p w14:paraId="2D5C56AA" w14:textId="77777777" w:rsidR="00EE32A8" w:rsidRPr="000E39A3" w:rsidRDefault="00EE32A8" w:rsidP="00EE32A8">
      <w:pPr>
        <w:numPr>
          <w:ilvl w:val="0"/>
          <w:numId w:val="19"/>
        </w:numPr>
        <w:spacing w:after="0" w:line="276" w:lineRule="auto"/>
        <w:ind w:left="720"/>
        <w:rPr>
          <w:rFonts w:ascii="Verdana" w:eastAsia="Calibri" w:hAnsi="Verdana" w:cs="Times New Roman"/>
          <w:b/>
          <w:bCs/>
          <w:lang w:val="es-ES"/>
        </w:rPr>
      </w:pPr>
      <w:r w:rsidRPr="000E39A3">
        <w:rPr>
          <w:rFonts w:ascii="Verdana" w:eastAsia="Calibri" w:hAnsi="Verdana" w:cs="Times New Roman"/>
          <w:b/>
          <w:bCs/>
          <w:lang w:val="es-ES"/>
        </w:rPr>
        <w:t>Razones de la respuesta:</w:t>
      </w:r>
    </w:p>
    <w:p w14:paraId="4A758169" w14:textId="77777777" w:rsidR="00EE32A8" w:rsidRPr="000E39A3" w:rsidRDefault="00EE32A8" w:rsidP="00EE32A8">
      <w:pPr>
        <w:spacing w:after="0" w:line="276" w:lineRule="auto"/>
        <w:rPr>
          <w:rFonts w:ascii="Verdana" w:eastAsia="Calibri" w:hAnsi="Verdana" w:cs="Times New Roman"/>
          <w:b/>
          <w:bCs/>
          <w:lang w:val="es-ES"/>
        </w:rPr>
      </w:pPr>
    </w:p>
    <w:p w14:paraId="18F28831" w14:textId="77777777" w:rsidR="00EE32A8" w:rsidRPr="000E39A3" w:rsidRDefault="00EE32A8" w:rsidP="00EE32A8">
      <w:pPr>
        <w:spacing w:after="0" w:line="276" w:lineRule="auto"/>
        <w:jc w:val="both"/>
        <w:rPr>
          <w:rFonts w:ascii="Verdana" w:eastAsia="Calibri" w:hAnsi="Verdana" w:cs="Arial"/>
          <w:lang w:val="es-ES"/>
        </w:rPr>
      </w:pPr>
      <w:r w:rsidRPr="000E39A3">
        <w:rPr>
          <w:rFonts w:ascii="Verdana" w:eastAsia="Calibri" w:hAnsi="Verdana" w:cs="Arial"/>
          <w:lang w:val="es-ES"/>
        </w:rPr>
        <w:t xml:space="preserve">Lo anterior se sustenta en las siguientes consideraciones: </w:t>
      </w:r>
    </w:p>
    <w:p w14:paraId="2B5F7A9F" w14:textId="77777777" w:rsidR="00EE32A8" w:rsidRPr="000E39A3" w:rsidRDefault="00EE32A8" w:rsidP="00EE32A8">
      <w:pPr>
        <w:spacing w:after="0" w:line="276" w:lineRule="auto"/>
        <w:jc w:val="both"/>
        <w:rPr>
          <w:rFonts w:ascii="Verdana" w:hAnsi="Verdana" w:cs="Arial"/>
          <w:bCs/>
          <w:lang w:val="es-ES" w:eastAsia="es-ES" w:bidi="es-ES"/>
        </w:rPr>
      </w:pPr>
    </w:p>
    <w:p w14:paraId="08EFEFCB" w14:textId="77777777" w:rsidR="00EE32A8" w:rsidRPr="000E39A3" w:rsidRDefault="00EE32A8" w:rsidP="00EE32A8">
      <w:pPr>
        <w:spacing w:after="120" w:line="276" w:lineRule="auto"/>
        <w:jc w:val="both"/>
        <w:rPr>
          <w:rFonts w:ascii="Verdana" w:hAnsi="Verdana"/>
        </w:rPr>
      </w:pPr>
      <w:r w:rsidRPr="000E39A3">
        <w:rPr>
          <w:rFonts w:ascii="Verdana" w:eastAsia="Calibri" w:hAnsi="Verdana" w:cs="Arial"/>
          <w:bCs/>
          <w:color w:val="000000" w:themeColor="text1"/>
          <w:lang w:val="es-ES_tradnl"/>
        </w:rPr>
        <w:t>Uno de los ejes del Plan Nacional de Desarrollo 2022-2024, “Colombia Potencia Mundial de la Vida”,</w:t>
      </w:r>
      <w:r w:rsidRPr="000E39A3">
        <w:rPr>
          <w:rFonts w:ascii="Verdana" w:hAnsi="Verdana"/>
        </w:rPr>
        <w:t xml:space="preserve"> aprobado mediante la Ley 2294 de 2023,</w:t>
      </w:r>
      <w:r w:rsidRPr="000E39A3">
        <w:rPr>
          <w:rFonts w:ascii="Verdana" w:eastAsia="Calibri" w:hAnsi="Verdana" w:cs="Arial"/>
          <w:bCs/>
          <w:color w:val="000000" w:themeColor="text1"/>
          <w:lang w:val="es-ES_tradnl"/>
        </w:rPr>
        <w:t xml:space="preserve"> es el fortalecimiento de la </w:t>
      </w:r>
      <w:r w:rsidRPr="000E39A3">
        <w:rPr>
          <w:rFonts w:ascii="Verdana" w:eastAsia="Calibri" w:hAnsi="Verdana" w:cs="Arial"/>
          <w:bCs/>
          <w:i/>
          <w:iCs/>
          <w:color w:val="000000" w:themeColor="text1"/>
          <w:lang w:val="es-ES_tradnl"/>
        </w:rPr>
        <w:t>Economía Popular y Comunitaria</w:t>
      </w:r>
      <w:r w:rsidRPr="000E39A3">
        <w:rPr>
          <w:rFonts w:ascii="Verdana" w:eastAsia="Calibri" w:hAnsi="Verdana" w:cs="Arial"/>
          <w:bCs/>
          <w:color w:val="000000" w:themeColor="text1"/>
          <w:lang w:val="es-ES_tradnl"/>
        </w:rPr>
        <w:t xml:space="preserve">. Lo anterior, bajo los siguientes pilares: </w:t>
      </w:r>
      <w:r w:rsidRPr="000E39A3">
        <w:rPr>
          <w:rFonts w:ascii="Verdana" w:eastAsia="Times New Roman" w:hAnsi="Verdana" w:cs="Times New Roman"/>
          <w:lang w:val="es-ES"/>
        </w:rPr>
        <w:t>“</w:t>
      </w:r>
      <w:r w:rsidRPr="000E39A3">
        <w:rPr>
          <w:rFonts w:ascii="Verdana" w:hAnsi="Verdana"/>
        </w:rPr>
        <w:t>[…] (i) marco institucional para su inclusión socioeconómica y sociocultural que fortalezca su capacidad de generación de ingresos; (</w:t>
      </w:r>
      <w:proofErr w:type="spellStart"/>
      <w:r w:rsidRPr="000E39A3">
        <w:rPr>
          <w:rFonts w:ascii="Verdana" w:hAnsi="Verdana"/>
        </w:rPr>
        <w:t>ii</w:t>
      </w:r>
      <w:proofErr w:type="spellEnd"/>
      <w:r w:rsidRPr="000E39A3">
        <w:rPr>
          <w:rFonts w:ascii="Verdana" w:hAnsi="Verdana"/>
        </w:rPr>
        <w:t xml:space="preserve">) reconocimiento, caracterización y </w:t>
      </w:r>
      <w:proofErr w:type="spellStart"/>
      <w:r w:rsidRPr="000E39A3">
        <w:rPr>
          <w:rFonts w:ascii="Verdana" w:hAnsi="Verdana"/>
        </w:rPr>
        <w:t>visibilización</w:t>
      </w:r>
      <w:proofErr w:type="spellEnd"/>
      <w:r w:rsidRPr="000E39A3">
        <w:rPr>
          <w:rFonts w:ascii="Verdana" w:hAnsi="Verdana"/>
        </w:rPr>
        <w:t xml:space="preserve"> de su magnitud y aporte a la sociedad tanto en las actividades económicas de mercado como no mercantiles o comunitarias; </w:t>
      </w:r>
      <w:r w:rsidRPr="000E39A3">
        <w:rPr>
          <w:rFonts w:ascii="Verdana" w:hAnsi="Verdana"/>
          <w:i/>
          <w:iCs/>
        </w:rPr>
        <w:t>(</w:t>
      </w:r>
      <w:proofErr w:type="spellStart"/>
      <w:r w:rsidRPr="000E39A3">
        <w:rPr>
          <w:rFonts w:ascii="Verdana" w:hAnsi="Verdana"/>
          <w:i/>
          <w:iCs/>
        </w:rPr>
        <w:t>iii</w:t>
      </w:r>
      <w:proofErr w:type="spellEnd"/>
      <w:r w:rsidRPr="000E39A3">
        <w:rPr>
          <w:rFonts w:ascii="Verdana" w:hAnsi="Verdana"/>
          <w:i/>
          <w:iCs/>
        </w:rPr>
        <w:t>) diseño de alianzas público-populares con el fin de constituir instancias de representación colectiva para la interlocución con el Estado y otros actores</w:t>
      </w:r>
      <w:r w:rsidRPr="000E39A3">
        <w:rPr>
          <w:rFonts w:ascii="Verdana" w:hAnsi="Verdana"/>
        </w:rPr>
        <w:t>; y (</w:t>
      </w:r>
      <w:proofErr w:type="spellStart"/>
      <w:r w:rsidRPr="000E39A3">
        <w:rPr>
          <w:rFonts w:ascii="Verdana" w:hAnsi="Verdana"/>
        </w:rPr>
        <w:t>iv</w:t>
      </w:r>
      <w:proofErr w:type="spellEnd"/>
      <w:r w:rsidRPr="000E39A3">
        <w:rPr>
          <w:rFonts w:ascii="Verdana" w:hAnsi="Verdana"/>
        </w:rPr>
        <w:t xml:space="preserve">) procesos de participación vinculantes con actores de la EP, que </w:t>
      </w:r>
      <w:r w:rsidRPr="000E39A3">
        <w:rPr>
          <w:rFonts w:ascii="Verdana" w:hAnsi="Verdana"/>
        </w:rPr>
        <w:lastRenderedPageBreak/>
        <w:t>reconozca sus realidades, y a partir de allí se formulen las políticas públicas que les beneficie” (Énfasis fuera del texto)</w:t>
      </w:r>
      <w:r w:rsidRPr="000E39A3">
        <w:rPr>
          <w:rFonts w:ascii="Verdana" w:hAnsi="Verdana"/>
          <w:vertAlign w:val="superscript"/>
        </w:rPr>
        <w:footnoteReference w:id="2"/>
      </w:r>
      <w:r w:rsidRPr="000E39A3">
        <w:rPr>
          <w:rFonts w:ascii="Verdana" w:hAnsi="Verdana"/>
        </w:rPr>
        <w:t>.</w:t>
      </w:r>
    </w:p>
    <w:p w14:paraId="77CF03E7" w14:textId="77777777" w:rsidR="00EE32A8" w:rsidRPr="000E39A3" w:rsidRDefault="00EE32A8" w:rsidP="00EE32A8">
      <w:pPr>
        <w:spacing w:after="120" w:line="276" w:lineRule="auto"/>
        <w:ind w:firstLine="708"/>
        <w:jc w:val="both"/>
        <w:rPr>
          <w:rFonts w:ascii="Verdana" w:hAnsi="Verdana"/>
        </w:rPr>
      </w:pPr>
      <w:r w:rsidRPr="000E39A3">
        <w:rPr>
          <w:rFonts w:ascii="Verdana" w:hAnsi="Verdana"/>
        </w:rPr>
        <w:t>En ese contexto, e</w:t>
      </w:r>
      <w:r w:rsidRPr="000E39A3">
        <w:rPr>
          <w:rFonts w:ascii="Verdana" w:eastAsia="Calibri" w:hAnsi="Verdana" w:cs="Arial"/>
          <w:color w:val="000000" w:themeColor="text1"/>
          <w:lang w:val="es-ES_tradnl"/>
        </w:rPr>
        <w:t>l artículo 100 de la Ley del Plan Nacional de Desarrollo</w:t>
      </w:r>
      <w:r w:rsidRPr="000E39A3">
        <w:rPr>
          <w:rFonts w:ascii="Verdana" w:eastAsia="Calibri" w:hAnsi="Verdana" w:cs="Arial"/>
          <w:bCs/>
          <w:color w:val="000000" w:themeColor="text1"/>
          <w:lang w:val="es-ES_tradnl"/>
        </w:rPr>
        <w:t xml:space="preserve"> dispone que –</w:t>
      </w:r>
      <w:r w:rsidRPr="000E39A3">
        <w:rPr>
          <w:rFonts w:ascii="Verdana" w:eastAsia="Calibri" w:hAnsi="Verdana" w:cs="Arial"/>
          <w:bCs/>
          <w:color w:val="000000" w:themeColor="text1"/>
        </w:rPr>
        <w:t>previa reglamentación del Gobierno Nacional– “Las Entidades Estatales podrán celebrar directamente contratos hasta por la mínima cuantía con personas naturales o entidades sin ánimo de lucro que hagan parte de la Economía Popular y Comunitaria. Estos contratos se denominarán Asociaciones Público Populares y podrán celebrarse para la ejecución de obras, o la adquisición de bienes y servicios relacionados con infraestructura social, vivienda rural, vías terciarias y caminos vecinales, cultura, infraestructura productiva local, proyectos de eficiencia energética, producción de alimentos, suministro de bienes y servicios, gestión comunitaria del agua, saneamiento básico, economía del cuidado, fortalecimiento ambiental y comunitario y adquisición de productos de origen o destinación agropecuarios”.</w:t>
      </w:r>
    </w:p>
    <w:p w14:paraId="5BD5A7DB" w14:textId="77777777" w:rsidR="00EE32A8" w:rsidRPr="000E39A3" w:rsidRDefault="00EE32A8" w:rsidP="00EE32A8">
      <w:pPr>
        <w:spacing w:after="120" w:line="276" w:lineRule="auto"/>
        <w:ind w:firstLine="708"/>
        <w:jc w:val="both"/>
        <w:rPr>
          <w:rFonts w:ascii="Verdana" w:eastAsia="Calibri" w:hAnsi="Verdana" w:cs="Arial"/>
          <w:lang w:val="es-ES_tradnl"/>
        </w:rPr>
      </w:pPr>
      <w:r w:rsidRPr="000E39A3">
        <w:rPr>
          <w:rFonts w:ascii="Verdana" w:eastAsia="Calibri" w:hAnsi="Verdana" w:cs="Arial"/>
          <w:lang w:val="es-ES_tradnl"/>
        </w:rPr>
        <w:t xml:space="preserve">A este andamiaje jurídico se suma el Decreto 874 de 2024, mediante el cual se </w:t>
      </w:r>
      <w:r w:rsidRPr="000E39A3">
        <w:rPr>
          <w:rFonts w:ascii="Verdana" w:eastAsia="Calibri" w:hAnsi="Verdana" w:cs="Arial"/>
        </w:rPr>
        <w:t xml:space="preserve">adicionó el Título 16 de la Parte 2 del Libro 2 del Decreto </w:t>
      </w:r>
      <w:hyperlink r:id="rId13" w:anchor="1082" w:tooltip="vinculo" w:history="1">
        <w:r w:rsidRPr="000E39A3">
          <w:rPr>
            <w:rFonts w:ascii="Verdana" w:eastAsia="Calibri" w:hAnsi="Verdana" w:cs="Arial"/>
          </w:rPr>
          <w:t>1082</w:t>
        </w:r>
      </w:hyperlink>
      <w:r w:rsidRPr="000E39A3">
        <w:rPr>
          <w:rFonts w:ascii="Verdana" w:eastAsia="Calibri" w:hAnsi="Verdana" w:cs="Arial"/>
        </w:rPr>
        <w:t xml:space="preserve"> de 2015, con el fin de reglamentar el artículo 100 de la Ley 2294 de 2023, sobre las Asociaciones Público-Populares. </w:t>
      </w:r>
    </w:p>
    <w:p w14:paraId="2E956EFA" w14:textId="77777777" w:rsidR="00EE32A8" w:rsidRPr="000E39A3" w:rsidRDefault="00EE32A8" w:rsidP="00EE32A8">
      <w:pPr>
        <w:spacing w:after="120" w:line="276" w:lineRule="auto"/>
        <w:ind w:firstLine="708"/>
        <w:jc w:val="both"/>
        <w:rPr>
          <w:rFonts w:ascii="Verdana" w:eastAsia="Calibri" w:hAnsi="Verdana" w:cs="Arial"/>
          <w:color w:val="000000" w:themeColor="text1"/>
        </w:rPr>
      </w:pPr>
      <w:r w:rsidRPr="000E39A3">
        <w:rPr>
          <w:rFonts w:ascii="Verdana" w:eastAsia="Calibri" w:hAnsi="Verdana" w:cs="Arial"/>
          <w:color w:val="000000" w:themeColor="text1"/>
          <w:lang w:val="es-ES_tradnl"/>
        </w:rPr>
        <w:t>Conforme al marco normativo regulado en el artículo 100 de la Ley 2294 de 2023 y el Decreto 874 de 2024, a través de este mecanismo, para las precisas actividades detalladas en las disposiciones correspondientes, las Entidades Estatales pueden c</w:t>
      </w:r>
      <w:proofErr w:type="spellStart"/>
      <w:r w:rsidRPr="000E39A3">
        <w:rPr>
          <w:rFonts w:ascii="Verdana" w:eastAsia="Calibri" w:hAnsi="Verdana" w:cs="Arial"/>
          <w:color w:val="000000" w:themeColor="text1"/>
        </w:rPr>
        <w:t>elebrar</w:t>
      </w:r>
      <w:proofErr w:type="spellEnd"/>
      <w:r w:rsidRPr="000E39A3">
        <w:rPr>
          <w:rFonts w:ascii="Verdana" w:eastAsia="Calibri" w:hAnsi="Verdana" w:cs="Arial"/>
          <w:color w:val="000000" w:themeColor="text1"/>
        </w:rPr>
        <w:t xml:space="preserve"> directamente contratos hasta por la mínima cuantía con personas naturales o entidades sin ánimo de lucro que hagan parte de la Economía Popular y Comunitaria. </w:t>
      </w:r>
    </w:p>
    <w:p w14:paraId="35CF2E4F" w14:textId="77777777" w:rsidR="00EE32A8" w:rsidRPr="000E39A3" w:rsidRDefault="00EE32A8" w:rsidP="00EE32A8">
      <w:pPr>
        <w:spacing w:after="120" w:line="276" w:lineRule="auto"/>
        <w:ind w:firstLine="708"/>
        <w:jc w:val="both"/>
        <w:rPr>
          <w:rFonts w:ascii="Verdana" w:eastAsia="Calibri" w:hAnsi="Verdana" w:cs="Arial"/>
          <w:bCs/>
          <w:color w:val="000000" w:themeColor="text1"/>
        </w:rPr>
      </w:pPr>
      <w:r w:rsidRPr="000E39A3">
        <w:rPr>
          <w:rFonts w:ascii="Verdana" w:eastAsia="Calibri" w:hAnsi="Verdana" w:cs="Arial"/>
          <w:bCs/>
          <w:color w:val="000000" w:themeColor="text1"/>
        </w:rPr>
        <w:t xml:space="preserve">Como causal de contratación directa, no se incluyó a través de la modificación expresa del artículo 2, numeral 4 de la Ley 1150 de 2007. Con esto el Congreso de la República dota a las Asociaciones Público-Populares de una sustantividad propia como tipología contractual, aspecto que es congruente con el fortalecimiento de la </w:t>
      </w:r>
      <w:r w:rsidRPr="000E39A3">
        <w:rPr>
          <w:rFonts w:ascii="Verdana" w:eastAsia="Calibri" w:hAnsi="Verdana" w:cs="Arial"/>
          <w:bCs/>
          <w:i/>
          <w:iCs/>
          <w:color w:val="000000" w:themeColor="text1"/>
        </w:rPr>
        <w:t>Economía Popular y Comunitaria</w:t>
      </w:r>
      <w:r w:rsidRPr="000E39A3">
        <w:rPr>
          <w:rFonts w:ascii="Verdana" w:eastAsia="Calibri" w:hAnsi="Verdana" w:cs="Arial"/>
          <w:bCs/>
          <w:color w:val="000000" w:themeColor="text1"/>
        </w:rPr>
        <w:t xml:space="preserve"> como eje de las Bases del Plan Nacional de Desarrollo. Así, dichas asociaciones complementan el listado del artículo 32 de la Ley 80 de 1993.</w:t>
      </w:r>
    </w:p>
    <w:p w14:paraId="68305D18" w14:textId="77777777" w:rsidR="00EE32A8" w:rsidRPr="000E39A3" w:rsidRDefault="00EE32A8" w:rsidP="00EE32A8">
      <w:pPr>
        <w:spacing w:after="120" w:line="276" w:lineRule="auto"/>
        <w:jc w:val="both"/>
        <w:rPr>
          <w:rFonts w:ascii="Verdana" w:eastAsia="Calibri" w:hAnsi="Verdana" w:cs="Arial"/>
          <w:bCs/>
          <w:color w:val="000000" w:themeColor="text1"/>
        </w:rPr>
      </w:pPr>
      <w:r w:rsidRPr="000E39A3">
        <w:rPr>
          <w:rFonts w:ascii="Verdana" w:eastAsia="Calibri" w:hAnsi="Verdana" w:cs="Arial"/>
          <w:bCs/>
          <w:color w:val="000000" w:themeColor="text1"/>
        </w:rPr>
        <w:tab/>
        <w:t>Teniendo en cuenta las particularidades de esta tipología contractual y, en atención a</w:t>
      </w:r>
      <w:r>
        <w:rPr>
          <w:rFonts w:ascii="Verdana" w:eastAsia="Calibri" w:hAnsi="Verdana" w:cs="Arial"/>
          <w:bCs/>
          <w:color w:val="000000" w:themeColor="text1"/>
        </w:rPr>
        <w:t xml:space="preserve"> </w:t>
      </w:r>
      <w:r w:rsidRPr="000E39A3">
        <w:rPr>
          <w:rFonts w:ascii="Verdana" w:eastAsia="Calibri" w:hAnsi="Verdana" w:cs="Arial"/>
          <w:bCs/>
          <w:color w:val="000000" w:themeColor="text1"/>
        </w:rPr>
        <w:t>l</w:t>
      </w:r>
      <w:r>
        <w:rPr>
          <w:rFonts w:ascii="Verdana" w:eastAsia="Calibri" w:hAnsi="Verdana" w:cs="Arial"/>
          <w:bCs/>
          <w:color w:val="000000" w:themeColor="text1"/>
        </w:rPr>
        <w:t>os</w:t>
      </w:r>
      <w:r w:rsidRPr="000E39A3">
        <w:rPr>
          <w:rFonts w:ascii="Verdana" w:eastAsia="Calibri" w:hAnsi="Verdana" w:cs="Arial"/>
          <w:bCs/>
          <w:color w:val="000000" w:themeColor="text1"/>
        </w:rPr>
        <w:t xml:space="preserve"> problema</w:t>
      </w:r>
      <w:r>
        <w:rPr>
          <w:rFonts w:ascii="Verdana" w:eastAsia="Calibri" w:hAnsi="Verdana" w:cs="Arial"/>
          <w:bCs/>
          <w:color w:val="000000" w:themeColor="text1"/>
        </w:rPr>
        <w:t>s</w:t>
      </w:r>
      <w:r w:rsidRPr="000E39A3">
        <w:rPr>
          <w:rFonts w:ascii="Verdana" w:eastAsia="Calibri" w:hAnsi="Verdana" w:cs="Arial"/>
          <w:bCs/>
          <w:color w:val="000000" w:themeColor="text1"/>
        </w:rPr>
        <w:t xml:space="preserve"> jurídico</w:t>
      </w:r>
      <w:r>
        <w:rPr>
          <w:rFonts w:ascii="Verdana" w:eastAsia="Calibri" w:hAnsi="Verdana" w:cs="Arial"/>
          <w:bCs/>
          <w:color w:val="000000" w:themeColor="text1"/>
        </w:rPr>
        <w:t>s</w:t>
      </w:r>
      <w:r w:rsidRPr="000E39A3">
        <w:rPr>
          <w:rFonts w:ascii="Verdana" w:eastAsia="Calibri" w:hAnsi="Verdana" w:cs="Arial"/>
          <w:bCs/>
          <w:color w:val="000000" w:themeColor="text1"/>
        </w:rPr>
        <w:t xml:space="preserve"> planteado</w:t>
      </w:r>
      <w:r>
        <w:rPr>
          <w:rFonts w:ascii="Verdana" w:eastAsia="Calibri" w:hAnsi="Verdana" w:cs="Arial"/>
          <w:bCs/>
          <w:color w:val="000000" w:themeColor="text1"/>
        </w:rPr>
        <w:t>s</w:t>
      </w:r>
      <w:r w:rsidRPr="000E39A3">
        <w:rPr>
          <w:rFonts w:ascii="Verdana" w:eastAsia="Calibri" w:hAnsi="Verdana" w:cs="Arial"/>
          <w:bCs/>
          <w:color w:val="000000" w:themeColor="text1"/>
        </w:rPr>
        <w:t xml:space="preserve">, a continuación, se hará un análisis </w:t>
      </w:r>
      <w:r w:rsidRPr="000E39A3">
        <w:rPr>
          <w:rFonts w:ascii="Verdana" w:eastAsia="Calibri" w:hAnsi="Verdana" w:cs="Arial"/>
          <w:bCs/>
          <w:color w:val="000000" w:themeColor="text1"/>
        </w:rPr>
        <w:lastRenderedPageBreak/>
        <w:t xml:space="preserve">sobre algunos aspectos que caracterizan a las Asociaciones Público–Populares: i) el objeto; </w:t>
      </w:r>
      <w:proofErr w:type="spellStart"/>
      <w:r w:rsidRPr="000E39A3">
        <w:rPr>
          <w:rFonts w:ascii="Verdana" w:eastAsia="Calibri" w:hAnsi="Verdana" w:cs="Arial"/>
          <w:bCs/>
          <w:color w:val="000000" w:themeColor="text1"/>
        </w:rPr>
        <w:t>ii</w:t>
      </w:r>
      <w:proofErr w:type="spellEnd"/>
      <w:r w:rsidRPr="000E39A3">
        <w:rPr>
          <w:rFonts w:ascii="Verdana" w:eastAsia="Calibri" w:hAnsi="Verdana" w:cs="Arial"/>
          <w:bCs/>
          <w:color w:val="000000" w:themeColor="text1"/>
        </w:rPr>
        <w:t>) los sujetos</w:t>
      </w:r>
      <w:r>
        <w:rPr>
          <w:rFonts w:ascii="Verdana" w:eastAsia="Calibri" w:hAnsi="Verdana" w:cs="Arial"/>
          <w:bCs/>
          <w:color w:val="000000" w:themeColor="text1"/>
        </w:rPr>
        <w:t xml:space="preserve"> y</w:t>
      </w:r>
      <w:r w:rsidRPr="000E39A3">
        <w:rPr>
          <w:rFonts w:ascii="Verdana" w:eastAsia="Calibri" w:hAnsi="Verdana" w:cs="Arial"/>
          <w:bCs/>
          <w:color w:val="000000" w:themeColor="text1"/>
        </w:rPr>
        <w:t xml:space="preserve">; </w:t>
      </w:r>
      <w:proofErr w:type="spellStart"/>
      <w:r w:rsidRPr="000E39A3">
        <w:rPr>
          <w:rFonts w:ascii="Verdana" w:eastAsia="Calibri" w:hAnsi="Verdana" w:cs="Arial"/>
          <w:bCs/>
          <w:color w:val="000000" w:themeColor="text1"/>
        </w:rPr>
        <w:t>iii</w:t>
      </w:r>
      <w:proofErr w:type="spellEnd"/>
      <w:r w:rsidRPr="000E39A3">
        <w:rPr>
          <w:rFonts w:ascii="Verdana" w:eastAsia="Calibri" w:hAnsi="Verdana" w:cs="Arial"/>
          <w:bCs/>
          <w:color w:val="000000" w:themeColor="text1"/>
        </w:rPr>
        <w:t>) qué se entiende por Economía Popular y Comunitaria.</w:t>
      </w:r>
    </w:p>
    <w:p w14:paraId="22705E1A" w14:textId="77777777" w:rsidR="00EE32A8" w:rsidRPr="000E39A3" w:rsidRDefault="00EE32A8" w:rsidP="00EE32A8">
      <w:pPr>
        <w:spacing w:after="120" w:line="276" w:lineRule="auto"/>
        <w:jc w:val="both"/>
        <w:rPr>
          <w:rFonts w:ascii="Verdana" w:eastAsia="Calibri" w:hAnsi="Verdana" w:cs="Arial"/>
          <w:bCs/>
          <w:color w:val="000000" w:themeColor="text1"/>
        </w:rPr>
      </w:pPr>
      <w:r w:rsidRPr="000E39A3">
        <w:rPr>
          <w:rFonts w:ascii="Verdana" w:eastAsia="Calibri" w:hAnsi="Verdana" w:cs="Arial"/>
          <w:color w:val="000000" w:themeColor="text1"/>
        </w:rPr>
        <w:tab/>
        <w:t xml:space="preserve">i) </w:t>
      </w:r>
      <w:r w:rsidRPr="000E39A3">
        <w:rPr>
          <w:rFonts w:ascii="Verdana" w:eastAsia="Calibri" w:hAnsi="Verdana" w:cs="Arial"/>
          <w:i/>
          <w:iCs/>
          <w:color w:val="000000" w:themeColor="text1"/>
          <w:lang w:val="es-ES_tradnl"/>
        </w:rPr>
        <w:t>Respecto al objeto</w:t>
      </w:r>
      <w:r w:rsidRPr="000E39A3">
        <w:rPr>
          <w:rFonts w:ascii="Verdana" w:eastAsia="Calibri" w:hAnsi="Verdana" w:cs="Arial"/>
          <w:color w:val="000000" w:themeColor="text1"/>
          <w:lang w:val="es-ES_tradnl"/>
        </w:rPr>
        <w:t xml:space="preserve">, las </w:t>
      </w:r>
      <w:r w:rsidRPr="000E39A3">
        <w:rPr>
          <w:rFonts w:ascii="Verdana" w:eastAsia="Calibri" w:hAnsi="Verdana" w:cs="Arial"/>
          <w:bCs/>
          <w:color w:val="000000" w:themeColor="text1"/>
        </w:rPr>
        <w:t xml:space="preserve">Asociaciones Público-Populares se caracterizan por su contenido, el cual debe estar relacionado con alguno de los siguientes aspectos: i) infraestructura social, vivienda rural, vías terciarias y caminos vecinales; </w:t>
      </w:r>
      <w:proofErr w:type="spellStart"/>
      <w:r w:rsidRPr="000E39A3">
        <w:rPr>
          <w:rFonts w:ascii="Verdana" w:eastAsia="Calibri" w:hAnsi="Verdana" w:cs="Arial"/>
          <w:bCs/>
          <w:color w:val="000000" w:themeColor="text1"/>
        </w:rPr>
        <w:t>ii</w:t>
      </w:r>
      <w:proofErr w:type="spellEnd"/>
      <w:r w:rsidRPr="000E39A3">
        <w:rPr>
          <w:rFonts w:ascii="Verdana" w:eastAsia="Calibri" w:hAnsi="Verdana" w:cs="Arial"/>
          <w:bCs/>
          <w:color w:val="000000" w:themeColor="text1"/>
        </w:rPr>
        <w:t xml:space="preserve">) cultura; </w:t>
      </w:r>
      <w:proofErr w:type="spellStart"/>
      <w:r w:rsidRPr="000E39A3">
        <w:rPr>
          <w:rFonts w:ascii="Verdana" w:eastAsia="Calibri" w:hAnsi="Verdana" w:cs="Arial"/>
          <w:bCs/>
          <w:color w:val="000000" w:themeColor="text1"/>
        </w:rPr>
        <w:t>iii</w:t>
      </w:r>
      <w:proofErr w:type="spellEnd"/>
      <w:r w:rsidRPr="000E39A3">
        <w:rPr>
          <w:rFonts w:ascii="Verdana" w:eastAsia="Calibri" w:hAnsi="Verdana" w:cs="Arial"/>
          <w:bCs/>
          <w:color w:val="000000" w:themeColor="text1"/>
        </w:rPr>
        <w:t xml:space="preserve">) infraestructura productiva local; </w:t>
      </w:r>
      <w:proofErr w:type="spellStart"/>
      <w:r w:rsidRPr="000E39A3">
        <w:rPr>
          <w:rFonts w:ascii="Verdana" w:eastAsia="Calibri" w:hAnsi="Verdana" w:cs="Arial"/>
          <w:bCs/>
          <w:color w:val="000000" w:themeColor="text1"/>
        </w:rPr>
        <w:t>iv</w:t>
      </w:r>
      <w:proofErr w:type="spellEnd"/>
      <w:r w:rsidRPr="000E39A3">
        <w:rPr>
          <w:rFonts w:ascii="Verdana" w:eastAsia="Calibri" w:hAnsi="Verdana" w:cs="Arial"/>
          <w:bCs/>
          <w:color w:val="000000" w:themeColor="text1"/>
        </w:rPr>
        <w:t xml:space="preserve">) proyectos de eficiencia energética; v) producción de alimentos; vi) gestión comunitaria del agua; </w:t>
      </w:r>
      <w:proofErr w:type="spellStart"/>
      <w:r w:rsidRPr="000E39A3">
        <w:rPr>
          <w:rFonts w:ascii="Verdana" w:eastAsia="Calibri" w:hAnsi="Verdana" w:cs="Arial"/>
          <w:bCs/>
          <w:color w:val="000000" w:themeColor="text1"/>
        </w:rPr>
        <w:t>vii</w:t>
      </w:r>
      <w:proofErr w:type="spellEnd"/>
      <w:r w:rsidRPr="000E39A3">
        <w:rPr>
          <w:rFonts w:ascii="Verdana" w:eastAsia="Calibri" w:hAnsi="Verdana" w:cs="Arial"/>
          <w:bCs/>
          <w:color w:val="000000" w:themeColor="text1"/>
        </w:rPr>
        <w:t xml:space="preserve">) saneamiento básico; </w:t>
      </w:r>
      <w:proofErr w:type="spellStart"/>
      <w:r w:rsidRPr="000E39A3">
        <w:rPr>
          <w:rFonts w:ascii="Verdana" w:eastAsia="Calibri" w:hAnsi="Verdana" w:cs="Arial"/>
          <w:bCs/>
          <w:color w:val="000000" w:themeColor="text1"/>
        </w:rPr>
        <w:t>viii</w:t>
      </w:r>
      <w:proofErr w:type="spellEnd"/>
      <w:r w:rsidRPr="000E39A3">
        <w:rPr>
          <w:rFonts w:ascii="Verdana" w:eastAsia="Calibri" w:hAnsi="Verdana" w:cs="Arial"/>
          <w:bCs/>
          <w:color w:val="000000" w:themeColor="text1"/>
        </w:rPr>
        <w:t xml:space="preserve">) economía del cuidado; </w:t>
      </w:r>
      <w:proofErr w:type="spellStart"/>
      <w:r w:rsidRPr="000E39A3">
        <w:rPr>
          <w:rFonts w:ascii="Verdana" w:eastAsia="Calibri" w:hAnsi="Verdana" w:cs="Arial"/>
          <w:bCs/>
          <w:color w:val="000000" w:themeColor="text1"/>
        </w:rPr>
        <w:t>ix</w:t>
      </w:r>
      <w:proofErr w:type="spellEnd"/>
      <w:r w:rsidRPr="000E39A3">
        <w:rPr>
          <w:rFonts w:ascii="Verdana" w:eastAsia="Calibri" w:hAnsi="Verdana" w:cs="Arial"/>
          <w:bCs/>
          <w:color w:val="000000" w:themeColor="text1"/>
        </w:rPr>
        <w:t>) fortalecimiento ambiental y comunitario; y x) adquisición de productos de origen o destinación agropecuarios</w:t>
      </w:r>
      <w:r w:rsidRPr="000E39A3">
        <w:rPr>
          <w:rFonts w:ascii="Verdana" w:eastAsia="Calibri" w:hAnsi="Verdana" w:cs="Arial"/>
          <w:bCs/>
          <w:color w:val="000000" w:themeColor="text1"/>
          <w:vertAlign w:val="superscript"/>
        </w:rPr>
        <w:footnoteReference w:id="3"/>
      </w:r>
      <w:r w:rsidRPr="000E39A3">
        <w:rPr>
          <w:rFonts w:ascii="Verdana" w:eastAsia="Calibri" w:hAnsi="Verdana" w:cs="Arial"/>
          <w:bCs/>
          <w:color w:val="000000" w:themeColor="text1"/>
        </w:rPr>
        <w:t>. Cualquier objeto que no pertenezca al listado anterior, aunque esté dentro de la mínima cuantía, no podrá contratarse directamente, por lo que deberán aplicarse los demás procesos de selección establecidos en el artículo 2 de la Ley 1150 de 2007.</w:t>
      </w:r>
    </w:p>
    <w:p w14:paraId="4BD6D300" w14:textId="77777777" w:rsidR="00EE32A8" w:rsidRPr="000E39A3" w:rsidRDefault="00EE32A8" w:rsidP="00EE32A8">
      <w:pPr>
        <w:spacing w:after="120" w:line="276" w:lineRule="auto"/>
        <w:jc w:val="both"/>
        <w:rPr>
          <w:rFonts w:ascii="Verdana" w:eastAsia="Calibri" w:hAnsi="Verdana" w:cs="Arial"/>
          <w:bCs/>
          <w:color w:val="000000" w:themeColor="text1"/>
        </w:rPr>
      </w:pPr>
      <w:r w:rsidRPr="000E39A3">
        <w:rPr>
          <w:rFonts w:ascii="Verdana" w:eastAsia="Calibri" w:hAnsi="Verdana" w:cs="Arial"/>
          <w:bCs/>
          <w:color w:val="000000" w:themeColor="text1"/>
        </w:rPr>
        <w:tab/>
        <w:t>Como la Ley 2294 de 2023 y el Decreto 874 de 2024</w:t>
      </w:r>
      <w:r>
        <w:rPr>
          <w:rFonts w:ascii="Verdana" w:eastAsia="Calibri" w:hAnsi="Verdana" w:cs="Arial"/>
          <w:bCs/>
          <w:color w:val="000000" w:themeColor="text1"/>
        </w:rPr>
        <w:t>,</w:t>
      </w:r>
      <w:r w:rsidRPr="000E39A3">
        <w:rPr>
          <w:rFonts w:ascii="Verdana" w:eastAsia="Calibri" w:hAnsi="Verdana" w:cs="Arial"/>
          <w:bCs/>
          <w:color w:val="000000" w:themeColor="text1"/>
        </w:rPr>
        <w:t xml:space="preserve"> que adiciona el Decreto 1082 de 2015</w:t>
      </w:r>
      <w:r>
        <w:rPr>
          <w:rFonts w:ascii="Verdana" w:eastAsia="Calibri" w:hAnsi="Verdana" w:cs="Arial"/>
          <w:bCs/>
          <w:color w:val="000000" w:themeColor="text1"/>
        </w:rPr>
        <w:t>,</w:t>
      </w:r>
      <w:r w:rsidRPr="000E39A3">
        <w:rPr>
          <w:rFonts w:ascii="Verdana" w:eastAsia="Calibri" w:hAnsi="Verdana" w:cs="Arial"/>
          <w:bCs/>
          <w:color w:val="000000" w:themeColor="text1"/>
        </w:rPr>
        <w:t xml:space="preserve"> no definen estos conceptos, es necesario aplicar las reglas generales sobre el alcance de los términos consagrados en el ordenamiento jurídico. Al respecto, el artículo 28 del Código Civil dispone que: “Las palabras de la ley se entenderán en su sentido natural y obvio, según el uso general de las mismas palabras; pero cuando el legislador las haya definido expresamente para ciertas materias, se les dará en éstas su significado legal”. Igualmente, el artículo 29 </w:t>
      </w:r>
      <w:r w:rsidRPr="000E39A3">
        <w:rPr>
          <w:rFonts w:ascii="Verdana" w:eastAsia="Calibri" w:hAnsi="Verdana" w:cs="Arial"/>
          <w:bCs/>
          <w:i/>
          <w:iCs/>
          <w:color w:val="000000" w:themeColor="text1"/>
        </w:rPr>
        <w:t>ibidem</w:t>
      </w:r>
      <w:r w:rsidRPr="000E39A3">
        <w:rPr>
          <w:rFonts w:ascii="Verdana" w:eastAsia="Calibri" w:hAnsi="Verdana" w:cs="Arial"/>
          <w:bCs/>
          <w:color w:val="000000" w:themeColor="text1"/>
        </w:rPr>
        <w:t xml:space="preserve"> prescribe lo siguiente: “Las palabras técnicas de toda ciencia o arte se tomarán en el sentido que les den los que profesan la misma ciencia o arte; a menos que aparezca claramente que se han formado en sentido diverso”</w:t>
      </w:r>
      <w:r w:rsidRPr="000E39A3">
        <w:rPr>
          <w:rFonts w:ascii="Verdana" w:eastAsia="Calibri" w:hAnsi="Verdana" w:cs="Arial"/>
          <w:bCs/>
          <w:color w:val="000000" w:themeColor="text1"/>
          <w:vertAlign w:val="superscript"/>
        </w:rPr>
        <w:footnoteReference w:id="4"/>
      </w:r>
      <w:r w:rsidRPr="000E39A3">
        <w:rPr>
          <w:rFonts w:ascii="Verdana" w:eastAsia="Calibri" w:hAnsi="Verdana" w:cs="Arial"/>
          <w:bCs/>
          <w:color w:val="000000" w:themeColor="text1"/>
        </w:rPr>
        <w:t xml:space="preserve">. Dentro de este marco, cada Entidad Estatal definirá si el objeto </w:t>
      </w:r>
      <w:r w:rsidRPr="000E39A3">
        <w:rPr>
          <w:rFonts w:ascii="Verdana" w:eastAsia="Calibri" w:hAnsi="Verdana" w:cs="Arial"/>
          <w:bCs/>
          <w:color w:val="000000" w:themeColor="text1"/>
        </w:rPr>
        <w:lastRenderedPageBreak/>
        <w:t xml:space="preserve">contractual se enmarca o no dentro del listado que de forma taxativa incorpora el artículo 100 de la Ley 2294 de 2023.  </w:t>
      </w:r>
    </w:p>
    <w:p w14:paraId="0B6992C0" w14:textId="77777777" w:rsidR="00EE32A8" w:rsidRPr="000E39A3" w:rsidRDefault="00EE32A8" w:rsidP="00EE32A8">
      <w:pPr>
        <w:spacing w:after="120" w:line="276" w:lineRule="auto"/>
        <w:ind w:firstLine="708"/>
        <w:jc w:val="both"/>
        <w:rPr>
          <w:rFonts w:ascii="Verdana" w:eastAsia="Calibri" w:hAnsi="Verdana" w:cs="Arial"/>
          <w:bCs/>
          <w:color w:val="000000" w:themeColor="text1"/>
        </w:rPr>
      </w:pPr>
      <w:proofErr w:type="spellStart"/>
      <w:r w:rsidRPr="000E39A3">
        <w:rPr>
          <w:rFonts w:ascii="Verdana" w:eastAsia="Calibri" w:hAnsi="Verdana" w:cs="Arial"/>
          <w:bCs/>
          <w:color w:val="000000" w:themeColor="text1"/>
        </w:rPr>
        <w:t>ii</w:t>
      </w:r>
      <w:proofErr w:type="spellEnd"/>
      <w:r w:rsidRPr="000E39A3">
        <w:rPr>
          <w:rFonts w:ascii="Verdana" w:eastAsia="Calibri" w:hAnsi="Verdana" w:cs="Arial"/>
          <w:bCs/>
          <w:color w:val="000000" w:themeColor="text1"/>
        </w:rPr>
        <w:t xml:space="preserve">) </w:t>
      </w:r>
      <w:r w:rsidRPr="000E39A3">
        <w:rPr>
          <w:rFonts w:ascii="Verdana" w:eastAsia="Calibri" w:hAnsi="Verdana" w:cs="Arial"/>
          <w:bCs/>
          <w:i/>
          <w:iCs/>
          <w:color w:val="000000" w:themeColor="text1"/>
        </w:rPr>
        <w:t>Respecto a los sujetos</w:t>
      </w:r>
      <w:r w:rsidRPr="000E39A3">
        <w:rPr>
          <w:rFonts w:ascii="Verdana" w:eastAsia="Calibri" w:hAnsi="Verdana" w:cs="Arial"/>
          <w:bCs/>
          <w:color w:val="000000" w:themeColor="text1"/>
        </w:rPr>
        <w:t xml:space="preserve">, la norma menciona a las “personas naturales o entidades sin ánimo de lucro que hagan parte de la economía popular y comunitaria”. Esto significa que las Asociaciones Público-Populares no aplican a las personas jurídicas constituidas con sujeción al Código de Comercio, especialmente, cuando la causa del contrato de sociedad es el </w:t>
      </w:r>
      <w:r w:rsidRPr="000E39A3">
        <w:rPr>
          <w:rFonts w:ascii="Verdana" w:eastAsia="Calibri" w:hAnsi="Verdana" w:cs="Arial"/>
          <w:bCs/>
          <w:i/>
          <w:iCs/>
          <w:color w:val="000000" w:themeColor="text1"/>
        </w:rPr>
        <w:t xml:space="preserve">animus </w:t>
      </w:r>
      <w:proofErr w:type="spellStart"/>
      <w:r w:rsidRPr="000E39A3">
        <w:rPr>
          <w:rFonts w:ascii="Verdana" w:eastAsia="Calibri" w:hAnsi="Verdana" w:cs="Arial"/>
          <w:bCs/>
          <w:i/>
          <w:iCs/>
          <w:color w:val="000000" w:themeColor="text1"/>
        </w:rPr>
        <w:t>lucrandi</w:t>
      </w:r>
      <w:proofErr w:type="spellEnd"/>
      <w:r w:rsidRPr="000E39A3">
        <w:rPr>
          <w:rFonts w:ascii="Verdana" w:eastAsia="Calibri" w:hAnsi="Verdana" w:cs="Arial"/>
          <w:bCs/>
          <w:color w:val="000000" w:themeColor="text1"/>
          <w:vertAlign w:val="superscript"/>
        </w:rPr>
        <w:footnoteReference w:id="5"/>
      </w:r>
      <w:r w:rsidRPr="000E39A3">
        <w:rPr>
          <w:rFonts w:ascii="Verdana" w:eastAsia="Calibri" w:hAnsi="Verdana" w:cs="Arial"/>
          <w:bCs/>
          <w:color w:val="000000" w:themeColor="text1"/>
        </w:rPr>
        <w:t xml:space="preserve">. En contraste, </w:t>
      </w:r>
      <w:r w:rsidRPr="000E39A3">
        <w:rPr>
          <w:rFonts w:ascii="Verdana" w:eastAsia="Calibri" w:hAnsi="Verdana" w:cs="Arial"/>
          <w:color w:val="000000" w:themeColor="text1"/>
          <w:lang w:val="es-ES_tradnl"/>
        </w:rPr>
        <w:t>las corporaciones y fundaciones de beneficencia pública previstas en los artículos 633 y siguientes del Código Civil carecen de este último elemento</w:t>
      </w:r>
      <w:r w:rsidRPr="000E39A3">
        <w:rPr>
          <w:rFonts w:ascii="Verdana" w:eastAsia="Calibri" w:hAnsi="Verdana" w:cs="Arial"/>
          <w:color w:val="000000" w:themeColor="text1"/>
          <w:vertAlign w:val="superscript"/>
          <w:lang w:val="es-ES_tradnl"/>
        </w:rPr>
        <w:footnoteReference w:id="6"/>
      </w:r>
      <w:r w:rsidRPr="000E39A3">
        <w:rPr>
          <w:rFonts w:ascii="Verdana" w:eastAsia="Calibri" w:hAnsi="Verdana" w:cs="Arial"/>
          <w:color w:val="000000" w:themeColor="text1"/>
          <w:lang w:val="es-ES_tradnl"/>
        </w:rPr>
        <w:t xml:space="preserve">. Ello no significa que las sociedades comerciales estén excluidas del sistema de compras públicas, pues podrán concurrir a los demás procesos de selección del artículo 2 de la Ley 1150 de 2007, no obstante, no podrán celebrar contratos de Asociación Público–Popular, por no ser destinatarias del artículo 100 de la Ley del Plan Nacional de Desarrollo. </w:t>
      </w:r>
    </w:p>
    <w:p w14:paraId="6C2F8ADE" w14:textId="77777777" w:rsidR="00EE32A8" w:rsidRPr="000E39A3" w:rsidRDefault="00EE32A8" w:rsidP="00EE32A8">
      <w:pPr>
        <w:spacing w:after="0" w:line="276" w:lineRule="auto"/>
        <w:ind w:firstLine="709"/>
        <w:jc w:val="both"/>
        <w:rPr>
          <w:rFonts w:ascii="Verdana" w:eastAsia="Calibri" w:hAnsi="Verdana" w:cs="Arial"/>
          <w:color w:val="000000" w:themeColor="text1"/>
          <w:lang w:val="es-ES_tradnl"/>
        </w:rPr>
      </w:pPr>
      <w:r w:rsidRPr="000E39A3">
        <w:rPr>
          <w:rFonts w:ascii="Verdana" w:eastAsia="Calibri" w:hAnsi="Verdana" w:cs="Arial"/>
          <w:color w:val="000000" w:themeColor="text1"/>
          <w:lang w:val="es-ES_tradnl"/>
        </w:rPr>
        <w:t>Por lo demás, estos contratos no aplican a las personas naturales y entidades sin ánimo de lucro en sí mismas consideradas, sino en tanto hagan parte de la “Economía Popular y Comunitaria”. Esto se ratifica con el contenido del</w:t>
      </w:r>
      <w:r w:rsidRPr="000E39A3">
        <w:rPr>
          <w:rFonts w:ascii="Verdana" w:eastAsia="Arial" w:hAnsi="Verdana" w:cs="Arial"/>
          <w:color w:val="000000"/>
        </w:rPr>
        <w:t xml:space="preserve"> artículo 2.2.16.1.5 del Decreto 1082 de 2015 –adicionado por el Decreto 874 de 2023–, el cual dispone: </w:t>
      </w:r>
    </w:p>
    <w:p w14:paraId="76EF4C8C" w14:textId="77777777" w:rsidR="00EE32A8" w:rsidRPr="000E39A3" w:rsidRDefault="00EE32A8" w:rsidP="00EE32A8">
      <w:pPr>
        <w:spacing w:after="0" w:line="276" w:lineRule="auto"/>
        <w:ind w:firstLine="709"/>
        <w:jc w:val="both"/>
        <w:rPr>
          <w:rFonts w:ascii="Verdana" w:eastAsia="Arial" w:hAnsi="Verdana" w:cs="Arial"/>
          <w:color w:val="000000"/>
        </w:rPr>
      </w:pPr>
    </w:p>
    <w:p w14:paraId="55589842" w14:textId="77777777" w:rsidR="00EE32A8" w:rsidRPr="000E39A3" w:rsidRDefault="00EE32A8" w:rsidP="00EE32A8">
      <w:pPr>
        <w:spacing w:after="0" w:line="240" w:lineRule="auto"/>
        <w:ind w:left="709" w:right="709"/>
        <w:jc w:val="both"/>
        <w:rPr>
          <w:rFonts w:ascii="Verdana" w:eastAsia="Arial" w:hAnsi="Verdana" w:cs="Arial"/>
          <w:color w:val="000000"/>
          <w:sz w:val="20"/>
          <w:szCs w:val="20"/>
        </w:rPr>
      </w:pPr>
      <w:r w:rsidRPr="000E39A3">
        <w:rPr>
          <w:rFonts w:ascii="Verdana" w:eastAsia="Arial" w:hAnsi="Verdana" w:cs="Arial"/>
          <w:color w:val="000000"/>
          <w:sz w:val="20"/>
          <w:szCs w:val="20"/>
        </w:rPr>
        <w:t xml:space="preserve">“Para celebrar una </w:t>
      </w:r>
      <w:proofErr w:type="spellStart"/>
      <w:r w:rsidRPr="000E39A3">
        <w:rPr>
          <w:rFonts w:ascii="Verdana" w:eastAsia="Arial" w:hAnsi="Verdana" w:cs="Arial"/>
          <w:color w:val="000000"/>
          <w:sz w:val="20"/>
          <w:szCs w:val="20"/>
        </w:rPr>
        <w:t>APPo</w:t>
      </w:r>
      <w:proofErr w:type="spellEnd"/>
      <w:r w:rsidRPr="000E39A3">
        <w:rPr>
          <w:rFonts w:ascii="Verdana" w:eastAsia="Arial" w:hAnsi="Verdana" w:cs="Arial"/>
          <w:color w:val="000000"/>
          <w:sz w:val="20"/>
          <w:szCs w:val="20"/>
        </w:rPr>
        <w:t xml:space="preserve">, la Entidad Estatal debe establecer dentro de los Documentos del Proceso la conveniencia de uso de la </w:t>
      </w:r>
      <w:proofErr w:type="spellStart"/>
      <w:r w:rsidRPr="000E39A3">
        <w:rPr>
          <w:rFonts w:ascii="Verdana" w:eastAsia="Arial" w:hAnsi="Verdana" w:cs="Arial"/>
          <w:color w:val="000000"/>
          <w:sz w:val="20"/>
          <w:szCs w:val="20"/>
        </w:rPr>
        <w:t>APPo</w:t>
      </w:r>
      <w:proofErr w:type="spellEnd"/>
      <w:r w:rsidRPr="000E39A3">
        <w:rPr>
          <w:rFonts w:ascii="Verdana" w:eastAsia="Arial" w:hAnsi="Verdana" w:cs="Arial"/>
          <w:color w:val="000000"/>
          <w:sz w:val="20"/>
          <w:szCs w:val="20"/>
        </w:rPr>
        <w:t xml:space="preserve"> con base en </w:t>
      </w:r>
      <w:r w:rsidRPr="000E39A3">
        <w:rPr>
          <w:rFonts w:ascii="Verdana" w:eastAsia="Arial" w:hAnsi="Verdana" w:cs="Arial"/>
          <w:color w:val="000000"/>
          <w:sz w:val="20"/>
          <w:szCs w:val="20"/>
        </w:rPr>
        <w:lastRenderedPageBreak/>
        <w:t xml:space="preserve">las necesidades identificadas de la Entidad Estatal, indicando el impacto estimado en la economía popular con la suscripción del contrato, la utilización de la tipología y la consistencia entre el objeto del contrato y el alcance del presente título. </w:t>
      </w:r>
    </w:p>
    <w:p w14:paraId="42D6107D" w14:textId="77777777" w:rsidR="00EE32A8" w:rsidRPr="000E39A3" w:rsidRDefault="00EE32A8" w:rsidP="00EE32A8">
      <w:pPr>
        <w:spacing w:after="0" w:line="240" w:lineRule="auto"/>
        <w:ind w:left="709" w:right="709"/>
        <w:jc w:val="both"/>
        <w:rPr>
          <w:rFonts w:ascii="Verdana" w:eastAsia="Arial" w:hAnsi="Verdana" w:cs="Arial"/>
          <w:color w:val="000000"/>
          <w:sz w:val="20"/>
          <w:szCs w:val="20"/>
        </w:rPr>
      </w:pPr>
    </w:p>
    <w:p w14:paraId="2943768F" w14:textId="77777777" w:rsidR="00EE32A8" w:rsidRPr="000E39A3" w:rsidRDefault="00EE32A8" w:rsidP="00EE32A8">
      <w:pPr>
        <w:spacing w:after="0" w:line="240" w:lineRule="auto"/>
        <w:ind w:left="709" w:right="709"/>
        <w:jc w:val="both"/>
        <w:rPr>
          <w:rFonts w:ascii="Verdana" w:eastAsia="Arial" w:hAnsi="Verdana" w:cs="Arial"/>
          <w:color w:val="000000"/>
          <w:sz w:val="20"/>
          <w:szCs w:val="20"/>
        </w:rPr>
      </w:pPr>
      <w:r w:rsidRPr="000E39A3">
        <w:rPr>
          <w:rFonts w:ascii="Verdana" w:eastAsia="Arial" w:hAnsi="Verdana" w:cs="Arial"/>
          <w:i/>
          <w:color w:val="000000"/>
          <w:sz w:val="20"/>
          <w:szCs w:val="20"/>
        </w:rPr>
        <w:t>Adicionalmente, deben identificar las condiciones de idoneidad y los requisitos técnicos que llevan a elegir a la persona natural o a la entidad sin ánimo de lucro perteneciente a la economía popular y comunitaria para ejecutar y cumplir el objeto del contrato</w:t>
      </w:r>
      <w:r w:rsidRPr="000E39A3">
        <w:rPr>
          <w:rFonts w:ascii="Verdana" w:eastAsia="Arial" w:hAnsi="Verdana" w:cs="Arial"/>
          <w:color w:val="000000"/>
          <w:sz w:val="20"/>
          <w:szCs w:val="20"/>
        </w:rPr>
        <w:t>”</w:t>
      </w:r>
      <w:r w:rsidRPr="000E39A3">
        <w:rPr>
          <w:rFonts w:ascii="Verdana" w:eastAsia="Arial" w:hAnsi="Verdana" w:cs="Arial"/>
          <w:color w:val="000000"/>
          <w:sz w:val="20"/>
          <w:szCs w:val="20"/>
          <w:vertAlign w:val="superscript"/>
        </w:rPr>
        <w:footnoteReference w:id="7"/>
      </w:r>
      <w:r w:rsidRPr="000E39A3">
        <w:rPr>
          <w:rFonts w:ascii="Verdana" w:eastAsia="Arial" w:hAnsi="Verdana" w:cs="Arial"/>
          <w:color w:val="000000"/>
          <w:sz w:val="20"/>
          <w:szCs w:val="20"/>
        </w:rPr>
        <w:t>. (Énfasis fuera de texto)</w:t>
      </w:r>
    </w:p>
    <w:p w14:paraId="1C281C0D" w14:textId="77777777" w:rsidR="00EE32A8" w:rsidRPr="000E39A3" w:rsidRDefault="00EE32A8" w:rsidP="00EE32A8">
      <w:pPr>
        <w:spacing w:after="0" w:line="276" w:lineRule="auto"/>
        <w:jc w:val="both"/>
        <w:rPr>
          <w:rFonts w:ascii="Verdana" w:eastAsia="Arial" w:hAnsi="Verdana" w:cs="Arial"/>
          <w:color w:val="000000"/>
        </w:rPr>
      </w:pPr>
    </w:p>
    <w:p w14:paraId="49C8D8DE" w14:textId="77777777" w:rsidR="00EE32A8" w:rsidRPr="000E39A3" w:rsidRDefault="00EE32A8" w:rsidP="00EE32A8">
      <w:pPr>
        <w:spacing w:after="120" w:line="276" w:lineRule="auto"/>
        <w:jc w:val="both"/>
        <w:rPr>
          <w:rFonts w:ascii="Verdana" w:eastAsia="Arial" w:hAnsi="Verdana" w:cs="Arial"/>
          <w:color w:val="000000"/>
        </w:rPr>
      </w:pPr>
      <w:r w:rsidRPr="000E39A3">
        <w:rPr>
          <w:rFonts w:ascii="Verdana" w:eastAsia="Arial" w:hAnsi="Verdana" w:cs="Arial"/>
          <w:color w:val="000000"/>
        </w:rPr>
        <w:tab/>
        <w:t>De la norma se infiere una carga argumentativa que se desdobla en dos (2) frentes. Por un lado, es necesario justificar el uso de la</w:t>
      </w:r>
      <w:r w:rsidRPr="000E39A3">
        <w:rPr>
          <w:rFonts w:ascii="Verdana" w:eastAsia="Calibri" w:hAnsi="Verdana" w:cs="Arial"/>
          <w:color w:val="000000" w:themeColor="text1"/>
        </w:rPr>
        <w:t xml:space="preserve"> Asociación Público-Popular</w:t>
      </w:r>
      <w:r w:rsidRPr="000E39A3">
        <w:rPr>
          <w:rFonts w:ascii="Verdana" w:eastAsia="Arial" w:hAnsi="Verdana" w:cs="Arial"/>
          <w:color w:val="000000"/>
        </w:rPr>
        <w:t xml:space="preserve"> y, por otro, es necesario identificar el perfil del contratista. Conforme a los parámetros precitados, lo primero exige tener en cuenta el objeto y propósito de la tipología contractual prevista en la Ley de Plan Nacional de Desarrollo, aspectos que sirven para determinar si es conveniente o no la contratación directa. </w:t>
      </w:r>
      <w:r>
        <w:rPr>
          <w:rFonts w:ascii="Verdana" w:eastAsia="Arial" w:hAnsi="Verdana" w:cs="Arial"/>
          <w:color w:val="000000"/>
        </w:rPr>
        <w:t>Por otro lado, l</w:t>
      </w:r>
      <w:r w:rsidRPr="000E39A3">
        <w:rPr>
          <w:rFonts w:ascii="Verdana" w:eastAsia="Arial" w:hAnsi="Verdana" w:cs="Arial"/>
          <w:color w:val="000000"/>
        </w:rPr>
        <w:t xml:space="preserve">o segundo requiere identificar previamente la persona natural o a la entidad sin ánimo de lucro perteneciente a la Economía Popular y Comunitaria que pueda ejecutar las obligaciones. </w:t>
      </w:r>
    </w:p>
    <w:p w14:paraId="393494B1" w14:textId="77777777" w:rsidR="00EE32A8" w:rsidRPr="000E39A3" w:rsidRDefault="00EE32A8" w:rsidP="00EE32A8">
      <w:pPr>
        <w:spacing w:after="120" w:line="276" w:lineRule="auto"/>
        <w:ind w:firstLine="708"/>
        <w:jc w:val="both"/>
        <w:rPr>
          <w:rFonts w:ascii="Verdana" w:eastAsia="Arial" w:hAnsi="Verdana" w:cs="Arial"/>
          <w:color w:val="000000"/>
        </w:rPr>
      </w:pPr>
      <w:r w:rsidRPr="000E39A3">
        <w:rPr>
          <w:rFonts w:ascii="Verdana" w:eastAsia="Arial" w:hAnsi="Verdana" w:cs="Arial"/>
          <w:color w:val="000000"/>
        </w:rPr>
        <w:t xml:space="preserve">Este último aspecto se complementa con el artículo 2.2.16.1.6 del Decreto 1082 de 2015, adicionado por el Decreto 874 de 2023, el cual exige lo siguiente: i) la persona natural o la entidad sin ánimo de lucro debe hacer parte de la Economía Popular y Comunitaria, en el marco de lo establecido en el artículo 2.2.16.1.4 </w:t>
      </w:r>
      <w:r w:rsidRPr="000E39A3">
        <w:rPr>
          <w:rFonts w:ascii="Verdana" w:eastAsia="Arial" w:hAnsi="Verdana" w:cs="Arial"/>
          <w:i/>
          <w:iCs/>
          <w:color w:val="000000"/>
        </w:rPr>
        <w:t>ibidem</w:t>
      </w:r>
      <w:r w:rsidRPr="000E39A3">
        <w:rPr>
          <w:rFonts w:ascii="Verdana" w:eastAsia="Arial" w:hAnsi="Verdana" w:cs="Arial"/>
          <w:color w:val="000000"/>
        </w:rPr>
        <w:t xml:space="preserve">; </w:t>
      </w:r>
      <w:proofErr w:type="spellStart"/>
      <w:r w:rsidRPr="000E39A3">
        <w:rPr>
          <w:rFonts w:ascii="Verdana" w:eastAsia="Arial" w:hAnsi="Verdana" w:cs="Arial"/>
          <w:color w:val="000000"/>
        </w:rPr>
        <w:t>ii</w:t>
      </w:r>
      <w:proofErr w:type="spellEnd"/>
      <w:r w:rsidRPr="000E39A3">
        <w:rPr>
          <w:rFonts w:ascii="Verdana" w:eastAsia="Arial" w:hAnsi="Verdana" w:cs="Arial"/>
          <w:color w:val="000000"/>
        </w:rPr>
        <w:t xml:space="preserve">) para el caso de las entidades sin ánimo de lucro, es necesario que su objeto social tenga relación con la ejecución de obras o la adquisición de bienes y servicios contempladas en el artículo 100 de la Ley 2294 de 2023; y </w:t>
      </w:r>
      <w:proofErr w:type="spellStart"/>
      <w:r w:rsidRPr="000E39A3">
        <w:rPr>
          <w:rFonts w:ascii="Verdana" w:eastAsia="Arial" w:hAnsi="Verdana" w:cs="Arial"/>
          <w:color w:val="000000"/>
        </w:rPr>
        <w:t>iii</w:t>
      </w:r>
      <w:proofErr w:type="spellEnd"/>
      <w:r w:rsidRPr="000E39A3">
        <w:rPr>
          <w:rFonts w:ascii="Verdana" w:eastAsia="Arial" w:hAnsi="Verdana" w:cs="Arial"/>
          <w:color w:val="000000"/>
        </w:rPr>
        <w:t xml:space="preserve">) la persona natural o la entidad sin ánimo de lucro deberán cumplir con la normativa aplicable a los oficios, ocupaciones u objetos sociales que desempeñen, dependiendo de su sector económico y naturaleza. </w:t>
      </w:r>
    </w:p>
    <w:p w14:paraId="31390E30" w14:textId="77777777" w:rsidR="00EE32A8" w:rsidRPr="000E39A3" w:rsidRDefault="00EE32A8" w:rsidP="00EE32A8">
      <w:pPr>
        <w:spacing w:after="120" w:line="276" w:lineRule="auto"/>
        <w:ind w:firstLine="709"/>
        <w:jc w:val="both"/>
        <w:rPr>
          <w:rFonts w:ascii="Verdana" w:eastAsia="Arial" w:hAnsi="Verdana" w:cs="Arial"/>
          <w:color w:val="000000"/>
        </w:rPr>
      </w:pPr>
      <w:r w:rsidRPr="000E39A3">
        <w:rPr>
          <w:rFonts w:ascii="Verdana" w:eastAsia="Arial" w:hAnsi="Verdana" w:cs="Arial"/>
          <w:color w:val="000000"/>
        </w:rPr>
        <w:t xml:space="preserve">Al entender que las Asociaciones Público-Populares son una categoría contractual autónoma, los aspectos indicados en el párrafo anterior hacen parte de los estudios previos y del acto administrativo de justificación de la contratación directa –artículos 2.2.1.1.2.1.1 y 2.2.1.2.1.4.1 del Decreto 1082 de 2015–. No obstante, el parágrafo del artículo 2.2.16.1.6. dispone que “Sin perjuicio de lo anterior, cada Entidad Estatal debe determinar en los Documentos </w:t>
      </w:r>
      <w:r w:rsidRPr="000E39A3">
        <w:rPr>
          <w:rFonts w:ascii="Verdana" w:eastAsia="Arial" w:hAnsi="Verdana" w:cs="Arial"/>
          <w:color w:val="000000"/>
        </w:rPr>
        <w:lastRenderedPageBreak/>
        <w:t>del Proceso los requisitos que debe acreditar la persona natural o la entidad sin ánimo de lucro beneficiaria de la Asociación Pública Popular, para lo cual podrán tener en cuenta los lineamientos que se expidan desde las instancias y/o entidades competentes”.</w:t>
      </w:r>
    </w:p>
    <w:p w14:paraId="74E210A4" w14:textId="77777777" w:rsidR="00EE32A8" w:rsidRPr="000E39A3" w:rsidRDefault="00EE32A8" w:rsidP="00EE32A8">
      <w:pPr>
        <w:spacing w:after="120" w:line="276" w:lineRule="auto"/>
        <w:ind w:firstLine="709"/>
        <w:jc w:val="both"/>
        <w:rPr>
          <w:rFonts w:ascii="Verdana" w:eastAsia="Arial" w:hAnsi="Verdana" w:cs="Arial"/>
          <w:color w:val="000000"/>
        </w:rPr>
      </w:pPr>
      <w:proofErr w:type="spellStart"/>
      <w:r w:rsidRPr="000E39A3">
        <w:rPr>
          <w:rFonts w:ascii="Verdana" w:eastAsia="Arial" w:hAnsi="Verdana" w:cs="Arial"/>
          <w:color w:val="000000"/>
        </w:rPr>
        <w:t>iii</w:t>
      </w:r>
      <w:proofErr w:type="spellEnd"/>
      <w:r w:rsidRPr="000E39A3">
        <w:rPr>
          <w:rFonts w:ascii="Verdana" w:eastAsia="Arial" w:hAnsi="Verdana" w:cs="Arial"/>
          <w:color w:val="000000"/>
        </w:rPr>
        <w:t>) Respecto a la caracterización</w:t>
      </w:r>
      <w:r>
        <w:rPr>
          <w:rFonts w:ascii="Verdana" w:eastAsia="Arial" w:hAnsi="Verdana" w:cs="Arial"/>
          <w:color w:val="000000"/>
        </w:rPr>
        <w:t xml:space="preserve"> – a la cual hace refiere en su consulta –</w:t>
      </w:r>
      <w:r w:rsidRPr="000E39A3">
        <w:rPr>
          <w:rFonts w:ascii="Verdana" w:eastAsia="Arial" w:hAnsi="Verdana" w:cs="Arial"/>
          <w:color w:val="000000"/>
        </w:rPr>
        <w:t xml:space="preserve">, promoción y defensa de los intereses de los </w:t>
      </w:r>
      <w:r w:rsidRPr="000E39A3">
        <w:rPr>
          <w:rFonts w:ascii="Verdana" w:eastAsia="Arial" w:hAnsi="Verdana" w:cs="Arial"/>
          <w:i/>
          <w:iCs/>
          <w:color w:val="000000"/>
        </w:rPr>
        <w:t>sujetos de la</w:t>
      </w:r>
      <w:r w:rsidRPr="000E39A3">
        <w:rPr>
          <w:rFonts w:ascii="Verdana" w:eastAsia="Arial" w:hAnsi="Verdana" w:cs="Arial"/>
          <w:color w:val="000000"/>
        </w:rPr>
        <w:t xml:space="preserve"> </w:t>
      </w:r>
      <w:r w:rsidRPr="000E39A3">
        <w:rPr>
          <w:rFonts w:ascii="Verdana" w:eastAsia="Arial" w:hAnsi="Verdana" w:cs="Arial"/>
          <w:i/>
          <w:iCs/>
          <w:color w:val="000000"/>
        </w:rPr>
        <w:t>Economía Popular y Comunitaria</w:t>
      </w:r>
      <w:r w:rsidRPr="000E39A3">
        <w:rPr>
          <w:rFonts w:ascii="Verdana" w:eastAsia="Arial" w:hAnsi="Verdana" w:cs="Arial"/>
          <w:color w:val="000000"/>
        </w:rPr>
        <w:t>, esta norma es congruente con las competencias asignadas a entidades como el Consejo de Economía Popular, el Ministerio de Comercio, Industria y Turismo, así como el Departamento Administrativo Nacional de Estadística. Por tanto, de acuerdo con las instrucciones adicionales que expidan estos órganos, podrán identificarse y perfilarse los requisitos de quienes aspiren a celebrar contratos con Estado por medio de Asociaciones Público-Populares</w:t>
      </w:r>
      <w:r w:rsidRPr="000E39A3">
        <w:rPr>
          <w:rFonts w:ascii="Verdana" w:eastAsia="Arial" w:hAnsi="Verdana" w:cs="Arial"/>
          <w:color w:val="000000"/>
          <w:vertAlign w:val="superscript"/>
        </w:rPr>
        <w:footnoteReference w:id="8"/>
      </w:r>
      <w:r w:rsidRPr="000E39A3">
        <w:rPr>
          <w:rFonts w:ascii="Verdana" w:eastAsia="Arial" w:hAnsi="Verdana" w:cs="Arial"/>
          <w:color w:val="000000"/>
        </w:rPr>
        <w:t xml:space="preserve">. </w:t>
      </w:r>
    </w:p>
    <w:p w14:paraId="1FA54F2D" w14:textId="77777777" w:rsidR="00EE32A8" w:rsidRPr="000E39A3" w:rsidRDefault="00EE32A8" w:rsidP="00EE32A8">
      <w:pPr>
        <w:spacing w:after="0" w:line="276" w:lineRule="auto"/>
        <w:ind w:firstLine="709"/>
        <w:jc w:val="both"/>
        <w:rPr>
          <w:rFonts w:ascii="Verdana" w:eastAsia="Calibri" w:hAnsi="Verdana" w:cs="Arial"/>
          <w:color w:val="000000" w:themeColor="text1"/>
          <w:lang w:val="es-ES_tradnl"/>
        </w:rPr>
      </w:pPr>
      <w:r w:rsidRPr="000E39A3">
        <w:rPr>
          <w:rFonts w:ascii="Verdana" w:eastAsia="Arial" w:hAnsi="Verdana" w:cs="Arial"/>
          <w:color w:val="000000"/>
        </w:rPr>
        <w:t>Dado que</w:t>
      </w:r>
      <w:r>
        <w:rPr>
          <w:rFonts w:ascii="Verdana" w:eastAsia="Arial" w:hAnsi="Verdana" w:cs="Arial"/>
          <w:color w:val="000000"/>
        </w:rPr>
        <w:t xml:space="preserve">, actualmente, </w:t>
      </w:r>
      <w:r w:rsidRPr="000E39A3">
        <w:rPr>
          <w:rFonts w:ascii="Verdana" w:eastAsia="Arial" w:hAnsi="Verdana" w:cs="Arial"/>
          <w:color w:val="000000"/>
        </w:rPr>
        <w:t xml:space="preserve">no existe un registro para identificarlos, es preciso determinar qué personas naturales o entidades sin ánimo de lucro hacen parte de la Economía Popular y Comunitaria. </w:t>
      </w:r>
      <w:r w:rsidRPr="000E39A3">
        <w:rPr>
          <w:rFonts w:ascii="Verdana" w:eastAsia="Calibri" w:hAnsi="Verdana" w:cs="Arial"/>
          <w:color w:val="000000" w:themeColor="text1"/>
          <w:lang w:val="es-ES_tradnl"/>
        </w:rPr>
        <w:t>En este marco, el artículo 2.2.16.1.4 del Decreto 1082 de 2015 –adicionado por el Decreto 874 de 2024– señala lo siguiente:</w:t>
      </w:r>
    </w:p>
    <w:p w14:paraId="23DB44E5" w14:textId="77777777" w:rsidR="00EE32A8" w:rsidRPr="000E39A3" w:rsidRDefault="00EE32A8" w:rsidP="00EE32A8">
      <w:pPr>
        <w:pBdr>
          <w:top w:val="nil"/>
          <w:left w:val="nil"/>
          <w:bottom w:val="nil"/>
          <w:right w:val="nil"/>
          <w:between w:val="nil"/>
        </w:pBdr>
        <w:spacing w:after="0" w:line="276" w:lineRule="auto"/>
        <w:ind w:firstLine="709"/>
        <w:jc w:val="both"/>
        <w:rPr>
          <w:rFonts w:ascii="Verdana" w:eastAsia="Calibri" w:hAnsi="Verdana" w:cs="Arial"/>
          <w:color w:val="000000" w:themeColor="text1"/>
          <w:lang w:val="es-ES_tradnl"/>
        </w:rPr>
      </w:pPr>
    </w:p>
    <w:p w14:paraId="2DEECCF9" w14:textId="77777777" w:rsidR="00EE32A8" w:rsidRPr="000E39A3" w:rsidRDefault="00EE32A8" w:rsidP="00EE32A8">
      <w:pPr>
        <w:pBdr>
          <w:top w:val="nil"/>
          <w:left w:val="nil"/>
          <w:bottom w:val="nil"/>
          <w:right w:val="nil"/>
          <w:between w:val="nil"/>
        </w:pBdr>
        <w:spacing w:after="0" w:line="240" w:lineRule="auto"/>
        <w:ind w:left="709" w:right="709"/>
        <w:jc w:val="both"/>
        <w:rPr>
          <w:rFonts w:ascii="Verdana" w:eastAsia="Calibri" w:hAnsi="Verdana" w:cs="Arial"/>
          <w:color w:val="000000" w:themeColor="text1"/>
          <w:sz w:val="20"/>
          <w:szCs w:val="20"/>
          <w:lang w:val="es-ES"/>
        </w:rPr>
      </w:pPr>
      <w:r w:rsidRPr="000E39A3">
        <w:rPr>
          <w:rFonts w:ascii="Verdana" w:eastAsia="Calibri" w:hAnsi="Verdana" w:cs="Arial"/>
          <w:color w:val="000000" w:themeColor="text1"/>
          <w:sz w:val="20"/>
          <w:szCs w:val="20"/>
          <w:lang w:val="es-ES"/>
        </w:rPr>
        <w:t>“Para el efecto del presente Título, se entiende por economía popular a los oficios y ocupaciones mercantiles relacionados con la producción, distribución y comercialización de bienes y servicios, y no mercantiles, que hagan referencia a actividades domésticas o comunitarias, desarrolladas por unidades económicas de baja escala ya sea personales, familiares, micronegocios o microempresas, en cualquier sector económico. Los actores de la Economía Popular pueden realizar sus actividades de manera individual, en unidades económicas, u organizados de manera asociativa”.</w:t>
      </w:r>
    </w:p>
    <w:p w14:paraId="3D3A46BF" w14:textId="77777777" w:rsidR="00EE32A8" w:rsidRPr="000E39A3" w:rsidRDefault="00EE32A8" w:rsidP="00EE32A8">
      <w:pPr>
        <w:pBdr>
          <w:top w:val="nil"/>
          <w:left w:val="nil"/>
          <w:bottom w:val="nil"/>
          <w:right w:val="nil"/>
          <w:between w:val="nil"/>
        </w:pBdr>
        <w:spacing w:after="0" w:line="276" w:lineRule="auto"/>
        <w:jc w:val="both"/>
        <w:rPr>
          <w:rFonts w:ascii="Verdana" w:eastAsia="Calibri" w:hAnsi="Verdana" w:cs="Arial"/>
          <w:color w:val="000000" w:themeColor="text1"/>
          <w:lang w:val="es-ES_tradnl"/>
        </w:rPr>
      </w:pPr>
    </w:p>
    <w:p w14:paraId="7FB8E280" w14:textId="77777777" w:rsidR="00EE32A8" w:rsidRPr="000E39A3" w:rsidRDefault="00EE32A8" w:rsidP="00EE32A8">
      <w:pPr>
        <w:pBdr>
          <w:top w:val="nil"/>
          <w:left w:val="nil"/>
          <w:bottom w:val="nil"/>
          <w:right w:val="nil"/>
          <w:between w:val="nil"/>
        </w:pBdr>
        <w:spacing w:after="120" w:line="276" w:lineRule="auto"/>
        <w:jc w:val="both"/>
        <w:rPr>
          <w:rFonts w:ascii="Verdana" w:eastAsia="Calibri" w:hAnsi="Verdana" w:cs="Arial"/>
          <w:color w:val="000000" w:themeColor="text1"/>
          <w:lang w:val="es-ES"/>
        </w:rPr>
      </w:pPr>
      <w:r w:rsidRPr="000E39A3">
        <w:rPr>
          <w:rFonts w:ascii="Verdana" w:eastAsia="Calibri" w:hAnsi="Verdana" w:cs="Arial"/>
          <w:color w:val="000000" w:themeColor="text1"/>
          <w:lang w:val="es-ES_tradnl"/>
        </w:rPr>
        <w:tab/>
      </w:r>
      <w:r w:rsidRPr="000E39A3">
        <w:rPr>
          <w:rFonts w:ascii="Verdana" w:eastAsia="Calibri" w:hAnsi="Verdana" w:cs="Arial"/>
          <w:color w:val="000000" w:themeColor="text1"/>
          <w:lang w:val="es-ES"/>
        </w:rPr>
        <w:t xml:space="preserve">La norma recoge la definición adoptada en las Bases del Plan Nacional de Desarrollo 2022-2026 para el componente “2. Seguridad humana y justicia social” – “C. Expansión de capacidades: más y mejores oportunidades de la población para lograr sus proyectos de vida” – “7. Reconocimiento e impulso a </w:t>
      </w:r>
      <w:r w:rsidRPr="000E39A3">
        <w:rPr>
          <w:rFonts w:ascii="Verdana" w:eastAsia="Calibri" w:hAnsi="Verdana" w:cs="Arial"/>
          <w:color w:val="000000" w:themeColor="text1"/>
          <w:lang w:val="es-ES"/>
        </w:rPr>
        <w:lastRenderedPageBreak/>
        <w:t>la economía popular y comunitaria (EP)”</w:t>
      </w:r>
      <w:r w:rsidRPr="000E39A3">
        <w:rPr>
          <w:rFonts w:ascii="Verdana" w:eastAsia="Calibri" w:hAnsi="Verdana" w:cs="Arial"/>
          <w:color w:val="000000" w:themeColor="text1"/>
          <w:vertAlign w:val="superscript"/>
          <w:lang w:val="es-ES"/>
        </w:rPr>
        <w:footnoteReference w:id="9"/>
      </w:r>
      <w:r w:rsidRPr="000E39A3">
        <w:rPr>
          <w:rFonts w:ascii="Verdana" w:eastAsia="Calibri" w:hAnsi="Verdana" w:cs="Arial"/>
          <w:color w:val="000000" w:themeColor="text1"/>
          <w:lang w:val="es-ES"/>
        </w:rPr>
        <w:t>. Ésta menciona los siguientes elementos: 1) las actividades que desarrollan, 2) la forma en que lo hacen y 3) cómo se organizan.</w:t>
      </w:r>
    </w:p>
    <w:p w14:paraId="72D655E3" w14:textId="77777777" w:rsidR="00EE32A8" w:rsidRPr="000E39A3" w:rsidRDefault="00EE32A8" w:rsidP="00EE32A8">
      <w:pPr>
        <w:pBdr>
          <w:top w:val="nil"/>
          <w:left w:val="nil"/>
          <w:bottom w:val="nil"/>
          <w:right w:val="nil"/>
          <w:between w:val="nil"/>
        </w:pBdr>
        <w:spacing w:after="120" w:line="276" w:lineRule="auto"/>
        <w:ind w:firstLine="708"/>
        <w:jc w:val="both"/>
        <w:rPr>
          <w:rFonts w:ascii="Verdana" w:eastAsia="Calibri" w:hAnsi="Verdana" w:cs="Arial"/>
          <w:color w:val="000000" w:themeColor="text1"/>
          <w:lang w:val="es-ES_tradnl"/>
        </w:rPr>
      </w:pPr>
      <w:r w:rsidRPr="000E39A3">
        <w:rPr>
          <w:rFonts w:ascii="Verdana" w:eastAsia="Calibri" w:hAnsi="Verdana" w:cs="Arial"/>
          <w:color w:val="000000" w:themeColor="text1"/>
          <w:lang w:val="es-ES_tradnl"/>
        </w:rPr>
        <w:t xml:space="preserve">– </w:t>
      </w:r>
      <w:r w:rsidRPr="000E39A3">
        <w:rPr>
          <w:rFonts w:ascii="Verdana" w:eastAsia="Calibri" w:hAnsi="Verdana" w:cs="Arial"/>
          <w:i/>
          <w:iCs/>
          <w:color w:val="000000" w:themeColor="text1"/>
          <w:lang w:val="es-ES_tradnl"/>
        </w:rPr>
        <w:t>En primer lugar</w:t>
      </w:r>
      <w:r w:rsidRPr="000E39A3">
        <w:rPr>
          <w:rFonts w:ascii="Verdana" w:eastAsia="Calibri" w:hAnsi="Verdana" w:cs="Arial"/>
          <w:color w:val="000000" w:themeColor="text1"/>
          <w:lang w:val="es-ES_tradnl"/>
        </w:rPr>
        <w:t xml:space="preserve">, el artículo 2.2.16.1.4 del Decreto 1082 de 2015 se refiere a las actividades mercantiles y no mercantiles que desempeñan las personas naturales o entidades sin ánimo de lucro. Para su identificación, es necesario tener en cuenta que la </w:t>
      </w:r>
      <w:r w:rsidRPr="000E39A3">
        <w:rPr>
          <w:rFonts w:ascii="Verdana" w:eastAsia="Calibri" w:hAnsi="Verdana" w:cs="Arial"/>
          <w:i/>
          <w:iCs/>
          <w:color w:val="000000" w:themeColor="text1"/>
          <w:lang w:val="es-ES_tradnl"/>
        </w:rPr>
        <w:t>actividad mercantil</w:t>
      </w:r>
      <w:r w:rsidRPr="000E39A3">
        <w:rPr>
          <w:rFonts w:ascii="Verdana" w:eastAsia="Calibri" w:hAnsi="Verdana" w:cs="Arial"/>
          <w:color w:val="000000" w:themeColor="text1"/>
          <w:lang w:val="es-ES_tradnl"/>
        </w:rPr>
        <w:t xml:space="preserve"> no se relaciona exclusivamente con el concepto de comerciante –sistema subjetivo–</w:t>
      </w:r>
      <w:r w:rsidRPr="000E39A3">
        <w:rPr>
          <w:rFonts w:ascii="Verdana" w:eastAsia="Calibri" w:hAnsi="Verdana" w:cs="Arial"/>
          <w:color w:val="000000" w:themeColor="text1"/>
          <w:vertAlign w:val="superscript"/>
          <w:lang w:val="es-ES_tradnl"/>
        </w:rPr>
        <w:footnoteReference w:id="10"/>
      </w:r>
      <w:r w:rsidRPr="000E39A3">
        <w:rPr>
          <w:rFonts w:ascii="Verdana" w:eastAsia="Calibri" w:hAnsi="Verdana" w:cs="Arial"/>
          <w:color w:val="000000" w:themeColor="text1"/>
          <w:lang w:val="es-ES_tradnl"/>
        </w:rPr>
        <w:t xml:space="preserve">. Por ello, el Decreto Ley 410 de 1971 lo complementa con la noción de acto de comercio –sistema objetivo–. Así, “[…] mientras en el sistema subjetivo actos de comercio son únicamente los realizados por comerciantes, en el sistema objetivo </w:t>
      </w:r>
      <w:r w:rsidRPr="000E39A3">
        <w:rPr>
          <w:rFonts w:ascii="Verdana" w:eastAsia="Calibri" w:hAnsi="Verdana" w:cs="Arial"/>
          <w:i/>
          <w:iCs/>
          <w:color w:val="000000" w:themeColor="text1"/>
          <w:lang w:val="es-ES_tradnl"/>
        </w:rPr>
        <w:t>son actos de comercio no solo los realizados por comerciantes, sino los que, sin ser ejecutados por comerciantes, se definen como mercantiles atendiendo a su sustantiva naturaleza</w:t>
      </w:r>
      <w:r w:rsidRPr="000E39A3">
        <w:rPr>
          <w:rFonts w:ascii="Verdana" w:eastAsia="Calibri" w:hAnsi="Verdana" w:cs="Arial"/>
          <w:color w:val="000000" w:themeColor="text1"/>
          <w:lang w:val="es-ES_tradnl"/>
        </w:rPr>
        <w:t xml:space="preserve"> (la finalidad de mediación entre productores y consumidores, el ser auxiliares de una industria mercantil, etc.) [...] No hay actos de comercio porque los realice un comerciante. Hay comerciantes porque realizan actos de comercio profesionalmente [...] el punto de partida es el acto de comercio y no el comerciante”</w:t>
      </w:r>
      <w:r w:rsidRPr="000E39A3">
        <w:rPr>
          <w:rFonts w:ascii="Verdana" w:eastAsia="Calibri" w:hAnsi="Verdana" w:cs="Arial"/>
          <w:color w:val="000000" w:themeColor="text1"/>
          <w:vertAlign w:val="superscript"/>
          <w:lang w:val="es-ES_tradnl"/>
        </w:rPr>
        <w:footnoteReference w:id="11"/>
      </w:r>
      <w:r w:rsidRPr="000E39A3">
        <w:rPr>
          <w:rFonts w:ascii="Verdana" w:eastAsia="Calibri" w:hAnsi="Verdana" w:cs="Arial"/>
          <w:color w:val="000000" w:themeColor="text1"/>
          <w:lang w:val="es-ES_tradnl"/>
        </w:rPr>
        <w:t xml:space="preserve"> (Énfasis fuera de texto).</w:t>
      </w:r>
    </w:p>
    <w:p w14:paraId="23A9DC61" w14:textId="77777777" w:rsidR="00EE32A8" w:rsidRDefault="00EE32A8" w:rsidP="00EE32A8">
      <w:pPr>
        <w:pBdr>
          <w:top w:val="nil"/>
          <w:left w:val="nil"/>
          <w:bottom w:val="nil"/>
          <w:right w:val="nil"/>
          <w:between w:val="nil"/>
        </w:pBdr>
        <w:spacing w:after="120" w:line="276" w:lineRule="auto"/>
        <w:ind w:firstLine="708"/>
        <w:jc w:val="both"/>
        <w:rPr>
          <w:rFonts w:ascii="Verdana" w:eastAsia="Calibri" w:hAnsi="Verdana" w:cs="Arial"/>
          <w:color w:val="000000" w:themeColor="text1"/>
          <w:lang w:val="es-ES_tradnl"/>
        </w:rPr>
      </w:pPr>
      <w:r w:rsidRPr="000E39A3">
        <w:rPr>
          <w:rFonts w:ascii="Verdana" w:eastAsia="Calibri" w:hAnsi="Verdana" w:cs="Arial"/>
          <w:bCs/>
          <w:lang w:val="es-ES_tradnl"/>
        </w:rPr>
        <w:t xml:space="preserve">Sobre el particular, es necesario tener en cuenta que la ley colombiana no consagra una definición de actos de comercio, sino que incorpora un listado de actos y actividades considerados como mercantiles, que incluye una gama muy variada de operaciones usuales en la vida de los negocios. </w:t>
      </w:r>
      <w:r w:rsidRPr="000E39A3">
        <w:rPr>
          <w:rFonts w:ascii="Verdana" w:eastAsia="Calibri" w:hAnsi="Verdana" w:cs="Arial"/>
          <w:color w:val="000000" w:themeColor="text1"/>
          <w:lang w:val="es-ES_tradnl"/>
        </w:rPr>
        <w:t xml:space="preserve">En esta perspectiva, la </w:t>
      </w:r>
      <w:r w:rsidRPr="000E39A3">
        <w:rPr>
          <w:rFonts w:ascii="Verdana" w:eastAsia="Calibri" w:hAnsi="Verdana" w:cs="Arial"/>
          <w:i/>
          <w:iCs/>
          <w:color w:val="000000" w:themeColor="text1"/>
          <w:lang w:val="es-ES_tradnl"/>
        </w:rPr>
        <w:t>actividad mercantil</w:t>
      </w:r>
      <w:r w:rsidRPr="000E39A3">
        <w:rPr>
          <w:rFonts w:ascii="Verdana" w:eastAsia="Calibri" w:hAnsi="Verdana" w:cs="Arial"/>
          <w:color w:val="000000" w:themeColor="text1"/>
          <w:lang w:val="es-ES_tradnl"/>
        </w:rPr>
        <w:t xml:space="preserve"> se concreta en los actos que el Código de Comercio dispone como tales. Dicho estatuto regula tres (3) categorías de actos de comercio: objetivos, conexos y mixtos. Los </w:t>
      </w:r>
      <w:r w:rsidRPr="000E39A3">
        <w:rPr>
          <w:rFonts w:ascii="Verdana" w:eastAsia="Calibri" w:hAnsi="Verdana" w:cs="Arial"/>
          <w:i/>
          <w:iCs/>
          <w:color w:val="000000" w:themeColor="text1"/>
          <w:lang w:val="es-ES_tradnl"/>
        </w:rPr>
        <w:t>actos de comercio objetivos</w:t>
      </w:r>
      <w:r w:rsidRPr="000E39A3">
        <w:rPr>
          <w:rFonts w:ascii="Verdana" w:eastAsia="Calibri" w:hAnsi="Verdana" w:cs="Arial"/>
          <w:color w:val="000000" w:themeColor="text1"/>
          <w:lang w:val="es-ES_tradnl"/>
        </w:rPr>
        <w:t xml:space="preserve"> se encuentran en la lista enunciativa del artículo 20 del Código de Comercio, identificados por su </w:t>
      </w:r>
      <w:r w:rsidRPr="000E39A3">
        <w:rPr>
          <w:rFonts w:ascii="Verdana" w:eastAsia="Calibri" w:hAnsi="Verdana" w:cs="Arial"/>
          <w:color w:val="000000" w:themeColor="text1"/>
          <w:lang w:val="es-ES_tradnl"/>
        </w:rPr>
        <w:lastRenderedPageBreak/>
        <w:t>carácter patrimonial de acuerdo con su intención especulativa, propósitos de intermediación o desarrollo de actividades empresariales</w:t>
      </w:r>
      <w:r w:rsidRPr="000E39A3">
        <w:rPr>
          <w:rFonts w:ascii="Verdana" w:eastAsia="Calibri" w:hAnsi="Verdana" w:cs="Arial"/>
          <w:color w:val="000000" w:themeColor="text1"/>
          <w:vertAlign w:val="superscript"/>
          <w:lang w:val="es-ES_tradnl"/>
        </w:rPr>
        <w:footnoteReference w:id="12"/>
      </w:r>
      <w:r w:rsidRPr="000E39A3">
        <w:rPr>
          <w:rFonts w:ascii="Verdana" w:eastAsia="Calibri" w:hAnsi="Verdana" w:cs="Arial"/>
          <w:color w:val="000000" w:themeColor="text1"/>
          <w:lang w:val="es-ES_tradnl"/>
        </w:rPr>
        <w:t xml:space="preserve">. </w:t>
      </w:r>
    </w:p>
    <w:p w14:paraId="467832E7" w14:textId="77777777" w:rsidR="00EE32A8" w:rsidRPr="000E39A3" w:rsidRDefault="00EE32A8" w:rsidP="00EE32A8">
      <w:pPr>
        <w:pBdr>
          <w:top w:val="nil"/>
          <w:left w:val="nil"/>
          <w:bottom w:val="nil"/>
          <w:right w:val="nil"/>
          <w:between w:val="nil"/>
        </w:pBdr>
        <w:spacing w:after="120" w:line="276" w:lineRule="auto"/>
        <w:ind w:firstLine="708"/>
        <w:jc w:val="both"/>
        <w:rPr>
          <w:rFonts w:ascii="Verdana" w:eastAsia="Calibri" w:hAnsi="Verdana" w:cs="Arial"/>
          <w:color w:val="000000" w:themeColor="text1"/>
          <w:lang w:val="es-ES_tradnl"/>
        </w:rPr>
      </w:pPr>
      <w:r w:rsidRPr="000E39A3">
        <w:rPr>
          <w:rFonts w:ascii="Verdana" w:eastAsia="Calibri" w:hAnsi="Verdana" w:cs="Arial"/>
          <w:color w:val="000000" w:themeColor="text1"/>
          <w:lang w:val="es-ES_tradnl"/>
        </w:rPr>
        <w:t xml:space="preserve">Por su parte, los </w:t>
      </w:r>
      <w:r w:rsidRPr="000E39A3">
        <w:rPr>
          <w:rFonts w:ascii="Verdana" w:eastAsia="Calibri" w:hAnsi="Verdana" w:cs="Arial"/>
          <w:i/>
          <w:iCs/>
          <w:color w:val="000000" w:themeColor="text1"/>
          <w:lang w:val="es-ES_tradnl"/>
        </w:rPr>
        <w:t>actos de comercio conexos</w:t>
      </w:r>
      <w:r w:rsidRPr="000E39A3">
        <w:rPr>
          <w:rFonts w:ascii="Verdana" w:eastAsia="Calibri" w:hAnsi="Verdana" w:cs="Arial"/>
          <w:color w:val="000000" w:themeColor="text1"/>
          <w:lang w:val="es-ES_tradnl"/>
        </w:rPr>
        <w:t xml:space="preserve"> están regulados en el artículo 21 </w:t>
      </w:r>
      <w:r w:rsidRPr="000E39A3">
        <w:rPr>
          <w:rFonts w:ascii="Verdana" w:eastAsia="Calibri" w:hAnsi="Verdana" w:cs="Arial"/>
          <w:i/>
          <w:iCs/>
          <w:color w:val="000000" w:themeColor="text1"/>
          <w:lang w:val="es-ES_tradnl"/>
        </w:rPr>
        <w:t>ibidem</w:t>
      </w:r>
      <w:r w:rsidRPr="000E39A3">
        <w:rPr>
          <w:rFonts w:ascii="Verdana" w:eastAsia="Calibri" w:hAnsi="Verdana" w:cs="Arial"/>
          <w:color w:val="000000" w:themeColor="text1"/>
          <w:lang w:val="es-ES_tradnl"/>
        </w:rPr>
        <w:t xml:space="preserve"> de la siguiente forma: “Se tendrán así mismo como mercantiles todos los actos de los comerciantes relacionados con actividades o empresas de comercio, y los ejecutados por cualquier persona para asegurar el cumplimiento de obligaciones comerciales”. Finalmente, </w:t>
      </w:r>
      <w:r w:rsidRPr="000E39A3">
        <w:rPr>
          <w:rFonts w:ascii="Verdana" w:eastAsia="Calibri" w:hAnsi="Verdana" w:cs="Arial"/>
          <w:i/>
          <w:iCs/>
          <w:color w:val="000000" w:themeColor="text1"/>
          <w:lang w:val="es-ES_tradnl"/>
        </w:rPr>
        <w:t>actos de comercio mixtos</w:t>
      </w:r>
      <w:r w:rsidRPr="000E39A3">
        <w:rPr>
          <w:rFonts w:ascii="Verdana" w:eastAsia="Calibri" w:hAnsi="Verdana" w:cs="Arial"/>
          <w:color w:val="000000" w:themeColor="text1"/>
          <w:lang w:val="es-ES_tradnl"/>
        </w:rPr>
        <w:t xml:space="preserve"> son los del artículo 22 </w:t>
      </w:r>
      <w:r w:rsidRPr="000E39A3">
        <w:rPr>
          <w:rFonts w:ascii="Verdana" w:eastAsia="Calibri" w:hAnsi="Verdana" w:cs="Arial"/>
          <w:i/>
          <w:iCs/>
          <w:color w:val="000000" w:themeColor="text1"/>
          <w:lang w:val="es-ES_tradnl"/>
        </w:rPr>
        <w:t>ibidem</w:t>
      </w:r>
      <w:r w:rsidRPr="000E39A3">
        <w:rPr>
          <w:rFonts w:ascii="Verdana" w:eastAsia="Calibri" w:hAnsi="Verdana" w:cs="Arial"/>
          <w:color w:val="000000" w:themeColor="text1"/>
          <w:lang w:val="es-ES_tradnl"/>
        </w:rPr>
        <w:t>, por lo que “Si el acto fuere mercantil para una de las partes se regirá por las disposiciones de la ley comercial”</w:t>
      </w:r>
      <w:r w:rsidRPr="000E39A3">
        <w:rPr>
          <w:rFonts w:ascii="Verdana" w:eastAsia="Calibri" w:hAnsi="Verdana" w:cs="Arial"/>
          <w:color w:val="000000" w:themeColor="text1"/>
          <w:vertAlign w:val="superscript"/>
          <w:lang w:val="es-ES_tradnl"/>
        </w:rPr>
        <w:footnoteReference w:id="13"/>
      </w:r>
      <w:r w:rsidRPr="000E39A3">
        <w:rPr>
          <w:rFonts w:ascii="Verdana" w:eastAsia="Calibri" w:hAnsi="Verdana" w:cs="Arial"/>
          <w:color w:val="000000" w:themeColor="text1"/>
          <w:lang w:val="es-ES_tradnl"/>
        </w:rPr>
        <w:t xml:space="preserve">.  </w:t>
      </w:r>
    </w:p>
    <w:p w14:paraId="0C45B491" w14:textId="77777777" w:rsidR="00EE32A8" w:rsidRPr="000E39A3" w:rsidRDefault="00EE32A8" w:rsidP="00EE32A8">
      <w:pPr>
        <w:pBdr>
          <w:top w:val="nil"/>
          <w:left w:val="nil"/>
          <w:bottom w:val="nil"/>
          <w:right w:val="nil"/>
          <w:between w:val="nil"/>
        </w:pBdr>
        <w:spacing w:after="120" w:line="276" w:lineRule="auto"/>
        <w:ind w:firstLine="709"/>
        <w:jc w:val="both"/>
        <w:rPr>
          <w:rFonts w:ascii="Verdana" w:eastAsia="Calibri" w:hAnsi="Verdana" w:cs="Arial"/>
          <w:color w:val="000000" w:themeColor="text1"/>
          <w:lang w:val="es-ES"/>
        </w:rPr>
      </w:pPr>
      <w:r w:rsidRPr="000E39A3">
        <w:rPr>
          <w:rFonts w:ascii="Verdana" w:eastAsia="Calibri" w:hAnsi="Verdana" w:cs="Arial"/>
          <w:color w:val="000000" w:themeColor="text1"/>
          <w:lang w:val="es-ES"/>
        </w:rPr>
        <w:lastRenderedPageBreak/>
        <w:t xml:space="preserve">Si bien las normas citadas delimitan la </w:t>
      </w:r>
      <w:r w:rsidRPr="000E39A3">
        <w:rPr>
          <w:rFonts w:ascii="Verdana" w:eastAsia="Calibri" w:hAnsi="Verdana" w:cs="Arial"/>
          <w:i/>
          <w:color w:val="000000" w:themeColor="text1"/>
          <w:lang w:val="es-ES"/>
        </w:rPr>
        <w:t>actividad mercantil</w:t>
      </w:r>
      <w:r w:rsidRPr="000E39A3">
        <w:rPr>
          <w:rFonts w:ascii="Verdana" w:eastAsia="Calibri" w:hAnsi="Verdana" w:cs="Arial"/>
          <w:color w:val="000000" w:themeColor="text1"/>
          <w:lang w:val="es-ES"/>
        </w:rPr>
        <w:t xml:space="preserve">, la única jurídicamente relevante para el artículo 2.2.16.1.4 del Decreto 1082 de 2015 es aquella derivada de “[…] oficios y ocupaciones […] relacionados con la producción, distribución y comercialización de bienes y servicios […]”. Este criterio tiene una función delimitadora, por lo que no es suficiente la realización de actos de comercio </w:t>
      </w:r>
      <w:r w:rsidRPr="000E39A3">
        <w:rPr>
          <w:rFonts w:ascii="Verdana" w:eastAsia="Calibri" w:hAnsi="Verdana" w:cs="Arial"/>
          <w:i/>
          <w:color w:val="000000" w:themeColor="text1"/>
          <w:lang w:val="es-ES"/>
        </w:rPr>
        <w:t>per se</w:t>
      </w:r>
      <w:r w:rsidRPr="000E39A3">
        <w:rPr>
          <w:rFonts w:ascii="Verdana" w:eastAsia="Calibri" w:hAnsi="Verdana" w:cs="Arial"/>
          <w:color w:val="000000" w:themeColor="text1"/>
          <w:lang w:val="es-ES"/>
        </w:rPr>
        <w:t xml:space="preserve"> para formar parte de la Economía Popular y Comunitaria, sino que deberán corresponder al tipo de oficios y ocupaciones descritas. En consecuencia, las Entidades Estatales deberán verificar que las personas naturales o las entidades sin ánimo de lucro cumplan dicha condición. </w:t>
      </w:r>
    </w:p>
    <w:p w14:paraId="692CE0AF" w14:textId="77777777" w:rsidR="00EE32A8" w:rsidRPr="000E39A3" w:rsidRDefault="00EE32A8" w:rsidP="00EE32A8">
      <w:pPr>
        <w:pBdr>
          <w:top w:val="nil"/>
          <w:left w:val="nil"/>
          <w:bottom w:val="nil"/>
          <w:right w:val="nil"/>
          <w:between w:val="nil"/>
        </w:pBdr>
        <w:spacing w:after="120" w:line="276" w:lineRule="auto"/>
        <w:ind w:firstLine="708"/>
        <w:jc w:val="both"/>
        <w:rPr>
          <w:rFonts w:ascii="Verdana" w:eastAsia="Calibri" w:hAnsi="Verdana" w:cs="Arial"/>
          <w:color w:val="000000" w:themeColor="text1"/>
          <w:lang w:val="es-ES_tradnl"/>
        </w:rPr>
      </w:pPr>
      <w:r w:rsidRPr="000E39A3">
        <w:rPr>
          <w:rFonts w:ascii="Verdana" w:eastAsia="Calibri" w:hAnsi="Verdana" w:cs="Arial"/>
          <w:color w:val="000000" w:themeColor="text1"/>
          <w:lang w:val="es-ES_tradnl"/>
        </w:rPr>
        <w:t xml:space="preserve">Por su parte, la </w:t>
      </w:r>
      <w:r w:rsidRPr="000E39A3">
        <w:rPr>
          <w:rFonts w:ascii="Verdana" w:eastAsia="Calibri" w:hAnsi="Verdana" w:cs="Arial"/>
          <w:i/>
          <w:iCs/>
          <w:color w:val="000000" w:themeColor="text1"/>
          <w:lang w:val="es-ES_tradnl"/>
        </w:rPr>
        <w:t>actividad no mercantil</w:t>
      </w:r>
      <w:r w:rsidRPr="000E39A3">
        <w:rPr>
          <w:rFonts w:ascii="Verdana" w:eastAsia="Calibri" w:hAnsi="Verdana" w:cs="Arial"/>
          <w:color w:val="000000" w:themeColor="text1"/>
          <w:lang w:val="es-ES_tradnl"/>
        </w:rPr>
        <w:t xml:space="preserve"> se identifica con la lista enunciativa del artículo 23 del Código de Comercio</w:t>
      </w:r>
      <w:r w:rsidRPr="000E39A3">
        <w:rPr>
          <w:rFonts w:ascii="Verdana" w:eastAsia="Calibri" w:hAnsi="Verdana" w:cs="Arial"/>
          <w:color w:val="000000" w:themeColor="text1"/>
          <w:vertAlign w:val="superscript"/>
          <w:lang w:val="es-ES_tradnl"/>
        </w:rPr>
        <w:footnoteReference w:id="14"/>
      </w:r>
      <w:r w:rsidRPr="000E39A3">
        <w:rPr>
          <w:rFonts w:ascii="Verdana" w:eastAsia="Calibri" w:hAnsi="Verdana" w:cs="Arial"/>
          <w:color w:val="000000" w:themeColor="text1"/>
          <w:lang w:val="es-ES_tradnl"/>
        </w:rPr>
        <w:t xml:space="preserve">. Precisamente, están excluidas de la categoría de acto de comercio, porque implican acciones de consumo, producción de obras artísticas, ejercicio de profesiones liberales, entre otros, de manera que, son una antítesis de la intención especulativa, el propósito de intermediación o el desarrollo de actividades empresariales. De forma análoga a lo comentado en el párrafo precedente, su realización no es suficiente por sí misma para identificar a las personas naturales o entidades sin ánimo de lucro como actores de la Economía Popular y Comunitaria, ya que la </w:t>
      </w:r>
      <w:r w:rsidRPr="000E39A3">
        <w:rPr>
          <w:rFonts w:ascii="Verdana" w:eastAsia="Calibri" w:hAnsi="Verdana" w:cs="Arial"/>
          <w:i/>
          <w:iCs/>
          <w:color w:val="000000" w:themeColor="text1"/>
          <w:lang w:val="es-ES_tradnl"/>
        </w:rPr>
        <w:t>actividad no mercantil</w:t>
      </w:r>
      <w:r w:rsidRPr="000E39A3">
        <w:rPr>
          <w:rFonts w:ascii="Verdana" w:eastAsia="Calibri" w:hAnsi="Verdana" w:cs="Arial"/>
          <w:color w:val="000000" w:themeColor="text1"/>
          <w:lang w:val="es-ES_tradnl"/>
        </w:rPr>
        <w:t xml:space="preserve"> relevante para el artículo 2.2.16.1.4 del Decreto 1082 de 2015 es aquella relacionada con “[…] oficios y ocupaciones […] que hagan referencia a actividades domésticas o comunitarias […]”.</w:t>
      </w:r>
    </w:p>
    <w:p w14:paraId="79B49ABF" w14:textId="77777777" w:rsidR="00EE32A8" w:rsidRPr="000E39A3" w:rsidRDefault="00EE32A8" w:rsidP="00EE32A8">
      <w:pPr>
        <w:pBdr>
          <w:top w:val="nil"/>
          <w:left w:val="nil"/>
          <w:bottom w:val="nil"/>
          <w:right w:val="nil"/>
          <w:between w:val="nil"/>
        </w:pBdr>
        <w:spacing w:after="120" w:line="276" w:lineRule="auto"/>
        <w:ind w:firstLine="708"/>
        <w:jc w:val="both"/>
        <w:rPr>
          <w:rFonts w:ascii="Verdana" w:eastAsia="Calibri" w:hAnsi="Verdana" w:cs="Arial"/>
          <w:color w:val="000000" w:themeColor="text1"/>
          <w:lang w:val="es-ES_tradnl"/>
        </w:rPr>
      </w:pPr>
      <w:r w:rsidRPr="000E39A3">
        <w:rPr>
          <w:rFonts w:ascii="Verdana" w:eastAsia="Calibri" w:hAnsi="Verdana" w:cs="Arial"/>
          <w:color w:val="000000" w:themeColor="text1"/>
          <w:lang w:val="es-ES_tradnl"/>
        </w:rPr>
        <w:t xml:space="preserve">Ni las Bases de la Ley del Plan Nacional de Desarrollo ni el Decreto 874 de 2024 que adiciona el Decreto 1082 de 2015 ofrecen criterios para determinar a qué se refieren estas actividades, por lo que –como se explicó </w:t>
      </w:r>
      <w:r w:rsidRPr="000E39A3">
        <w:rPr>
          <w:rFonts w:ascii="Verdana" w:eastAsia="Calibri" w:hAnsi="Verdana" w:cs="Arial"/>
          <w:i/>
          <w:iCs/>
          <w:color w:val="000000" w:themeColor="text1"/>
          <w:lang w:val="es-ES_tradnl"/>
        </w:rPr>
        <w:t>ut supra</w:t>
      </w:r>
      <w:r w:rsidRPr="000E39A3">
        <w:rPr>
          <w:rFonts w:ascii="Verdana" w:eastAsia="Calibri" w:hAnsi="Verdana" w:cs="Arial"/>
          <w:color w:val="000000" w:themeColor="text1"/>
          <w:lang w:val="es-ES_tradnl"/>
        </w:rPr>
        <w:t xml:space="preserve">– son importantes los lineamientos que emitan </w:t>
      </w:r>
      <w:r w:rsidRPr="000E39A3">
        <w:rPr>
          <w:rFonts w:ascii="Verdana" w:eastAsia="Arial" w:hAnsi="Verdana" w:cs="Arial"/>
          <w:color w:val="000000"/>
        </w:rPr>
        <w:t xml:space="preserve">el Consejo de Economía Popular, el Ministerio de Comercio, Industria y Turismo, así como el Departamento Administrativo Nacional de Estadística, en los términos del parágrafo del artículo 2.2.16.1.6 del Decreto 1082 de 2015. En ausencia de pronunciamiento de los </w:t>
      </w:r>
      <w:r w:rsidRPr="000E39A3">
        <w:rPr>
          <w:rFonts w:ascii="Verdana" w:eastAsia="Arial" w:hAnsi="Verdana" w:cs="Arial"/>
          <w:color w:val="000000"/>
        </w:rPr>
        <w:lastRenderedPageBreak/>
        <w:t>órganos competentes, la Agencia considera “</w:t>
      </w:r>
      <w:r w:rsidRPr="000E39A3">
        <w:rPr>
          <w:rFonts w:ascii="Verdana" w:eastAsia="Calibri" w:hAnsi="Verdana" w:cs="Arial"/>
          <w:color w:val="000000" w:themeColor="text1"/>
          <w:lang w:val="es-ES_tradnl"/>
        </w:rPr>
        <w:t>actividades domésticas o comunitarias” como aquellas que, de forma altruista, se orientan a satisfacer necesidades básicas de la familia o la sociedad sin pretender una contraprestación económica. De forma ejemplificativa, pueden manifestarse en el cuidado de personas vulnerables, el trabajo comunitario voluntario, la producción para el autoconsumo, las actividades relacionadas con la economía del cuidado</w:t>
      </w:r>
      <w:r w:rsidRPr="000E39A3">
        <w:rPr>
          <w:rFonts w:ascii="Verdana" w:eastAsia="Calibri" w:hAnsi="Verdana" w:cs="Arial"/>
          <w:color w:val="000000" w:themeColor="text1"/>
          <w:vertAlign w:val="superscript"/>
          <w:lang w:val="es-ES_tradnl"/>
        </w:rPr>
        <w:footnoteReference w:id="15"/>
      </w:r>
      <w:r w:rsidRPr="000E39A3">
        <w:rPr>
          <w:rFonts w:ascii="Verdana" w:eastAsia="Calibri" w:hAnsi="Verdana" w:cs="Arial"/>
          <w:color w:val="000000" w:themeColor="text1"/>
          <w:lang w:val="es-ES_tradnl"/>
        </w:rPr>
        <w:t xml:space="preserve">, entre otros.  </w:t>
      </w:r>
    </w:p>
    <w:p w14:paraId="20A19749" w14:textId="77777777" w:rsidR="00EE32A8" w:rsidRPr="000E39A3" w:rsidRDefault="00EE32A8" w:rsidP="00EE32A8">
      <w:pPr>
        <w:pBdr>
          <w:top w:val="nil"/>
          <w:left w:val="nil"/>
          <w:bottom w:val="nil"/>
          <w:right w:val="nil"/>
          <w:between w:val="nil"/>
        </w:pBdr>
        <w:spacing w:after="120" w:line="276" w:lineRule="auto"/>
        <w:ind w:firstLine="708"/>
        <w:jc w:val="both"/>
        <w:rPr>
          <w:rFonts w:ascii="Verdana" w:eastAsia="Arial" w:hAnsi="Verdana" w:cs="Arial"/>
          <w:color w:val="000000"/>
        </w:rPr>
      </w:pPr>
      <w:r w:rsidRPr="000E39A3">
        <w:rPr>
          <w:rFonts w:ascii="Verdana" w:eastAsia="Calibri" w:hAnsi="Verdana" w:cs="Arial"/>
          <w:color w:val="000000" w:themeColor="text1"/>
          <w:lang w:val="es-ES_tradnl"/>
        </w:rPr>
        <w:t xml:space="preserve">- En </w:t>
      </w:r>
      <w:r w:rsidRPr="000E39A3">
        <w:rPr>
          <w:rFonts w:ascii="Verdana" w:eastAsia="Calibri" w:hAnsi="Verdana" w:cs="Arial"/>
          <w:i/>
          <w:iCs/>
          <w:color w:val="000000" w:themeColor="text1"/>
          <w:lang w:val="es-ES_tradnl"/>
        </w:rPr>
        <w:t>segundo lugar</w:t>
      </w:r>
      <w:r w:rsidRPr="000E39A3">
        <w:rPr>
          <w:rFonts w:ascii="Verdana" w:eastAsia="Calibri" w:hAnsi="Verdana" w:cs="Arial"/>
          <w:color w:val="000000" w:themeColor="text1"/>
          <w:lang w:val="es-ES_tradnl"/>
        </w:rPr>
        <w:t xml:space="preserve">, el artículo 2.2.16.1.4 del Decreto 1082 de 2015 dispone que estas </w:t>
      </w:r>
      <w:r w:rsidRPr="000E39A3">
        <w:rPr>
          <w:rFonts w:ascii="Verdana" w:eastAsia="Calibri" w:hAnsi="Verdana" w:cs="Arial"/>
          <w:i/>
          <w:iCs/>
          <w:color w:val="000000" w:themeColor="text1"/>
          <w:lang w:val="es-ES_tradnl"/>
        </w:rPr>
        <w:t xml:space="preserve">actividades mercantiles </w:t>
      </w:r>
      <w:r w:rsidRPr="000E39A3">
        <w:rPr>
          <w:rFonts w:ascii="Verdana" w:eastAsia="Calibri" w:hAnsi="Verdana" w:cs="Arial"/>
          <w:color w:val="000000" w:themeColor="text1"/>
          <w:lang w:val="es-ES_tradnl"/>
        </w:rPr>
        <w:t>y</w:t>
      </w:r>
      <w:r w:rsidRPr="000E39A3">
        <w:rPr>
          <w:rFonts w:ascii="Verdana" w:eastAsia="Calibri" w:hAnsi="Verdana" w:cs="Arial"/>
          <w:i/>
          <w:iCs/>
          <w:color w:val="000000" w:themeColor="text1"/>
          <w:lang w:val="es-ES_tradnl"/>
        </w:rPr>
        <w:t xml:space="preserve"> no mercantiles</w:t>
      </w:r>
      <w:r w:rsidRPr="000E39A3">
        <w:rPr>
          <w:rFonts w:ascii="Verdana" w:eastAsia="Calibri" w:hAnsi="Verdana" w:cs="Arial"/>
          <w:color w:val="000000" w:themeColor="text1"/>
          <w:lang w:val="es-ES_tradnl"/>
        </w:rPr>
        <w:t xml:space="preserve"> son desarrolladas por “[…] unidades económicas de baja escala ya sea personales, familiares, micronegocios o microempresas […]”. La concreción de esta idea hace necesarios los lineamientos </w:t>
      </w:r>
      <w:r w:rsidRPr="000E39A3">
        <w:rPr>
          <w:rFonts w:ascii="Verdana" w:eastAsia="Arial" w:hAnsi="Verdana" w:cs="Arial"/>
          <w:color w:val="000000"/>
        </w:rPr>
        <w:t xml:space="preserve">del parágrafo del artículo 2.2.16.1.6 </w:t>
      </w:r>
      <w:r w:rsidRPr="000E39A3">
        <w:rPr>
          <w:rFonts w:ascii="Verdana" w:eastAsia="Arial" w:hAnsi="Verdana" w:cs="Arial"/>
          <w:i/>
          <w:iCs/>
          <w:color w:val="000000"/>
        </w:rPr>
        <w:t>ibidem</w:t>
      </w:r>
      <w:r w:rsidRPr="000E39A3">
        <w:rPr>
          <w:rFonts w:ascii="Verdana" w:eastAsia="Arial" w:hAnsi="Verdana" w:cs="Arial"/>
          <w:color w:val="000000"/>
        </w:rPr>
        <w:t xml:space="preserve">. Como no se han expedido, la Agencia estima que el concepto de </w:t>
      </w:r>
      <w:r w:rsidRPr="000E39A3">
        <w:rPr>
          <w:rFonts w:ascii="Verdana" w:eastAsia="Arial" w:hAnsi="Verdana" w:cs="Arial"/>
          <w:i/>
          <w:iCs/>
          <w:color w:val="000000"/>
        </w:rPr>
        <w:t>unidades económicas de baja escala</w:t>
      </w:r>
      <w:r w:rsidRPr="000E39A3">
        <w:rPr>
          <w:rFonts w:ascii="Verdana" w:eastAsia="Arial" w:hAnsi="Verdana" w:cs="Arial"/>
          <w:color w:val="000000"/>
        </w:rPr>
        <w:t xml:space="preserve"> es un criterio delimitador que deja por fuera de la Economía Popular y Comunitaria a la pequeña, mediana y gran empresa, de acuerdo con la categorización del Decreto Único Reglamentario del Sector Comercio, Industria y Turismo. Aunque estas últimas pueden participar en los demás procesos de selección del artículo 2 de la Ley 1150 de 2007, el objetivo del </w:t>
      </w:r>
      <w:r w:rsidRPr="000E39A3">
        <w:rPr>
          <w:rFonts w:ascii="Verdana" w:eastAsia="Calibri" w:hAnsi="Verdana" w:cs="Arial"/>
          <w:bCs/>
          <w:color w:val="000000" w:themeColor="text1"/>
        </w:rPr>
        <w:t>artículo 100 de la Ley 2294 de 2023</w:t>
      </w:r>
      <w:r w:rsidRPr="000E39A3">
        <w:rPr>
          <w:rFonts w:ascii="Verdana" w:eastAsia="Arial" w:hAnsi="Verdana" w:cs="Arial"/>
          <w:color w:val="000000"/>
        </w:rPr>
        <w:t xml:space="preserve"> es incluir en el sistema de compras públicas la actividad económica de las personas naturales y entidades sin ánimo de lucro que tienen un volumen reducido de producción, ingresos y personal empleado, por lo que operan con recursos limitados. </w:t>
      </w:r>
    </w:p>
    <w:p w14:paraId="723595C5" w14:textId="77777777" w:rsidR="00EE32A8" w:rsidRPr="000E39A3" w:rsidRDefault="00EE32A8" w:rsidP="00EE32A8">
      <w:pPr>
        <w:pBdr>
          <w:top w:val="nil"/>
          <w:left w:val="nil"/>
          <w:bottom w:val="nil"/>
          <w:right w:val="nil"/>
          <w:between w:val="nil"/>
        </w:pBdr>
        <w:spacing w:after="0" w:line="276" w:lineRule="auto"/>
        <w:ind w:firstLine="708"/>
        <w:jc w:val="both"/>
        <w:rPr>
          <w:rFonts w:ascii="Verdana" w:eastAsia="Arial" w:hAnsi="Verdana" w:cs="Arial"/>
          <w:color w:val="000000"/>
        </w:rPr>
      </w:pPr>
      <w:r w:rsidRPr="000E39A3">
        <w:rPr>
          <w:rFonts w:ascii="Verdana" w:eastAsia="Arial" w:hAnsi="Verdana" w:cs="Arial"/>
          <w:color w:val="000000"/>
        </w:rPr>
        <w:t>Para el Departamento Administrativo Nacional De Estadística, la unidad económica es “[…] una persona natural o jurídica que lleva a cabo una actividad económica en alguno de los cuatro (4) tipos: establecimiento fijo, semifijo, vivienda o en puestos móviles”</w:t>
      </w:r>
      <w:r w:rsidRPr="000E39A3">
        <w:rPr>
          <w:rFonts w:ascii="Verdana" w:eastAsia="Arial" w:hAnsi="Verdana" w:cs="Arial"/>
          <w:color w:val="000000"/>
          <w:vertAlign w:val="superscript"/>
        </w:rPr>
        <w:footnoteReference w:id="16"/>
      </w:r>
      <w:r w:rsidRPr="000E39A3">
        <w:rPr>
          <w:rFonts w:ascii="Verdana" w:eastAsia="Arial" w:hAnsi="Verdana" w:cs="Arial"/>
          <w:color w:val="000000"/>
        </w:rPr>
        <w:t xml:space="preserve">. Además de que pueden tener carácter personal </w:t>
      </w:r>
      <w:r w:rsidRPr="000E39A3">
        <w:rPr>
          <w:rFonts w:ascii="Verdana" w:eastAsia="Arial" w:hAnsi="Verdana" w:cs="Arial"/>
          <w:color w:val="000000"/>
        </w:rPr>
        <w:lastRenderedPageBreak/>
        <w:t>o familiar, eventualmente ostentan la calidad de micronegocios. De acuerdo con el DANE, estos últimos corresponden a una “Unidad económica con máximo nueve (9) personas ocupadas, que desarrolla una actividad productiva de bienes o servicios, con el objeto de obtener un ingreso, actuando en calidad de propietario o arrendatario de los medios de producción”</w:t>
      </w:r>
      <w:r w:rsidRPr="000E39A3">
        <w:rPr>
          <w:rFonts w:ascii="Verdana" w:eastAsia="Arial" w:hAnsi="Verdana" w:cs="Arial"/>
          <w:color w:val="000000"/>
          <w:vertAlign w:val="superscript"/>
        </w:rPr>
        <w:footnoteReference w:id="17"/>
      </w:r>
      <w:r w:rsidRPr="000E39A3">
        <w:rPr>
          <w:rFonts w:ascii="Verdana" w:eastAsia="Arial" w:hAnsi="Verdana" w:cs="Arial"/>
          <w:color w:val="000000"/>
        </w:rPr>
        <w:t>. Por su parte, el artículo 2.2.1.13.2.2 del Decreto 1074 de 2015 establece los criterios para identificar la microempresa:</w:t>
      </w:r>
    </w:p>
    <w:p w14:paraId="0CBFA6FF" w14:textId="77777777" w:rsidR="00EE32A8" w:rsidRPr="000E39A3" w:rsidRDefault="00EE32A8" w:rsidP="00EE32A8">
      <w:pPr>
        <w:pBdr>
          <w:top w:val="nil"/>
          <w:left w:val="nil"/>
          <w:bottom w:val="nil"/>
          <w:right w:val="nil"/>
          <w:between w:val="nil"/>
        </w:pBdr>
        <w:spacing w:after="0" w:line="276" w:lineRule="auto"/>
        <w:ind w:firstLine="708"/>
        <w:jc w:val="both"/>
        <w:rPr>
          <w:rFonts w:ascii="Verdana" w:eastAsia="Arial" w:hAnsi="Verdana" w:cs="Arial"/>
          <w:color w:val="000000"/>
        </w:rPr>
      </w:pPr>
    </w:p>
    <w:p w14:paraId="2F764500" w14:textId="77777777" w:rsidR="00EE32A8" w:rsidRPr="000E39A3" w:rsidRDefault="00EE32A8" w:rsidP="00EE32A8">
      <w:pPr>
        <w:pBdr>
          <w:top w:val="nil"/>
          <w:left w:val="nil"/>
          <w:bottom w:val="nil"/>
          <w:right w:val="nil"/>
          <w:between w:val="nil"/>
        </w:pBdr>
        <w:spacing w:after="0" w:line="240" w:lineRule="auto"/>
        <w:ind w:left="709" w:right="709"/>
        <w:jc w:val="both"/>
        <w:rPr>
          <w:rFonts w:ascii="Verdana" w:eastAsia="Arial" w:hAnsi="Verdana" w:cs="Arial"/>
          <w:color w:val="000000"/>
          <w:sz w:val="20"/>
          <w:szCs w:val="20"/>
        </w:rPr>
      </w:pPr>
      <w:r w:rsidRPr="000E39A3">
        <w:rPr>
          <w:rFonts w:ascii="Verdana" w:eastAsia="Arial" w:hAnsi="Verdana" w:cs="Arial"/>
          <w:color w:val="000000"/>
          <w:sz w:val="20"/>
          <w:szCs w:val="20"/>
        </w:rPr>
        <w:t>“Para efectos de la clasificación del tamaño empresarial se utilizarán […] los siguientes rangos para determinar el valor de los ingresos por actividades ordinarias anuales de acuerdo con el sector económico de que se trate:</w:t>
      </w:r>
    </w:p>
    <w:p w14:paraId="6741EBF6" w14:textId="77777777" w:rsidR="00EE32A8" w:rsidRPr="000E39A3" w:rsidRDefault="00EE32A8" w:rsidP="00EE32A8">
      <w:pPr>
        <w:pBdr>
          <w:top w:val="nil"/>
          <w:left w:val="nil"/>
          <w:bottom w:val="nil"/>
          <w:right w:val="nil"/>
          <w:between w:val="nil"/>
        </w:pBdr>
        <w:spacing w:after="0" w:line="240" w:lineRule="auto"/>
        <w:ind w:left="709" w:right="709"/>
        <w:jc w:val="both"/>
        <w:rPr>
          <w:rFonts w:ascii="Verdana" w:eastAsia="Arial" w:hAnsi="Verdana" w:cs="Arial"/>
          <w:color w:val="000000"/>
          <w:sz w:val="20"/>
          <w:szCs w:val="20"/>
        </w:rPr>
      </w:pPr>
    </w:p>
    <w:p w14:paraId="670629D6" w14:textId="77777777" w:rsidR="00EE32A8" w:rsidRPr="000E39A3" w:rsidRDefault="00EE32A8" w:rsidP="00EE32A8">
      <w:pPr>
        <w:pBdr>
          <w:top w:val="nil"/>
          <w:left w:val="nil"/>
          <w:bottom w:val="nil"/>
          <w:right w:val="nil"/>
          <w:between w:val="nil"/>
        </w:pBdr>
        <w:spacing w:after="0" w:line="240" w:lineRule="auto"/>
        <w:ind w:left="709" w:right="709"/>
        <w:jc w:val="both"/>
        <w:rPr>
          <w:rFonts w:ascii="Verdana" w:eastAsia="Arial" w:hAnsi="Verdana" w:cs="Arial"/>
          <w:color w:val="000000"/>
          <w:sz w:val="20"/>
          <w:szCs w:val="20"/>
        </w:rPr>
      </w:pPr>
      <w:r w:rsidRPr="000E39A3">
        <w:rPr>
          <w:rFonts w:ascii="Verdana" w:eastAsia="Arial" w:hAnsi="Verdana" w:cs="Arial"/>
          <w:color w:val="000000"/>
          <w:sz w:val="20"/>
          <w:szCs w:val="20"/>
        </w:rPr>
        <w:t>1. Para el sector manufacturero:</w:t>
      </w:r>
    </w:p>
    <w:p w14:paraId="727FDF0A" w14:textId="77777777" w:rsidR="00EE32A8" w:rsidRPr="000E39A3" w:rsidRDefault="00EE32A8" w:rsidP="00EE32A8">
      <w:pPr>
        <w:pBdr>
          <w:top w:val="nil"/>
          <w:left w:val="nil"/>
          <w:bottom w:val="nil"/>
          <w:right w:val="nil"/>
          <w:between w:val="nil"/>
        </w:pBdr>
        <w:spacing w:after="0" w:line="240" w:lineRule="auto"/>
        <w:ind w:left="709" w:right="709"/>
        <w:jc w:val="both"/>
        <w:rPr>
          <w:rFonts w:ascii="Verdana" w:eastAsia="Arial" w:hAnsi="Verdana" w:cs="Arial"/>
          <w:color w:val="000000"/>
          <w:sz w:val="20"/>
          <w:szCs w:val="20"/>
        </w:rPr>
      </w:pPr>
      <w:r w:rsidRPr="000E39A3">
        <w:rPr>
          <w:rFonts w:ascii="Verdana" w:eastAsia="Arial" w:hAnsi="Verdana" w:cs="Arial"/>
          <w:color w:val="000000"/>
          <w:sz w:val="20"/>
          <w:szCs w:val="20"/>
        </w:rPr>
        <w:t>Microempresa. Aquella cuyos ingresos por actividades ordinarias anuales sean inferiores o iguales a veintitrés mil quinientos sesenta y tres Unidades de Valor Tributario (23.563 UVT).</w:t>
      </w:r>
    </w:p>
    <w:p w14:paraId="2E9C7CD8" w14:textId="77777777" w:rsidR="00EE32A8" w:rsidRPr="000E39A3" w:rsidRDefault="00EE32A8" w:rsidP="00EE32A8">
      <w:pPr>
        <w:pBdr>
          <w:top w:val="nil"/>
          <w:left w:val="nil"/>
          <w:bottom w:val="nil"/>
          <w:right w:val="nil"/>
          <w:between w:val="nil"/>
        </w:pBdr>
        <w:spacing w:after="0" w:line="240" w:lineRule="auto"/>
        <w:ind w:left="709" w:right="709"/>
        <w:jc w:val="both"/>
        <w:rPr>
          <w:rFonts w:ascii="Verdana" w:eastAsia="Arial" w:hAnsi="Verdana" w:cs="Arial"/>
          <w:color w:val="000000"/>
          <w:sz w:val="20"/>
          <w:szCs w:val="20"/>
        </w:rPr>
      </w:pPr>
    </w:p>
    <w:p w14:paraId="446E27D6" w14:textId="77777777" w:rsidR="00EE32A8" w:rsidRPr="000E39A3" w:rsidRDefault="00EE32A8" w:rsidP="00EE32A8">
      <w:pPr>
        <w:pBdr>
          <w:top w:val="nil"/>
          <w:left w:val="nil"/>
          <w:bottom w:val="nil"/>
          <w:right w:val="nil"/>
          <w:between w:val="nil"/>
        </w:pBdr>
        <w:spacing w:after="0" w:line="240" w:lineRule="auto"/>
        <w:ind w:left="709" w:right="709"/>
        <w:jc w:val="both"/>
        <w:rPr>
          <w:rFonts w:ascii="Verdana" w:eastAsia="Arial" w:hAnsi="Verdana" w:cs="Arial"/>
          <w:color w:val="000000"/>
          <w:sz w:val="20"/>
          <w:szCs w:val="20"/>
        </w:rPr>
      </w:pPr>
      <w:r w:rsidRPr="000E39A3">
        <w:rPr>
          <w:rFonts w:ascii="Verdana" w:eastAsia="Arial" w:hAnsi="Verdana" w:cs="Arial"/>
          <w:color w:val="000000"/>
          <w:sz w:val="20"/>
          <w:szCs w:val="20"/>
        </w:rPr>
        <w:t>[…]</w:t>
      </w:r>
    </w:p>
    <w:p w14:paraId="50FB0D84" w14:textId="77777777" w:rsidR="00EE32A8" w:rsidRPr="000E39A3" w:rsidRDefault="00EE32A8" w:rsidP="00EE32A8">
      <w:pPr>
        <w:pBdr>
          <w:top w:val="nil"/>
          <w:left w:val="nil"/>
          <w:bottom w:val="nil"/>
          <w:right w:val="nil"/>
          <w:between w:val="nil"/>
        </w:pBdr>
        <w:spacing w:after="0" w:line="240" w:lineRule="auto"/>
        <w:ind w:left="709" w:right="709"/>
        <w:jc w:val="both"/>
        <w:rPr>
          <w:rFonts w:ascii="Verdana" w:eastAsia="Arial" w:hAnsi="Verdana" w:cs="Arial"/>
          <w:color w:val="000000"/>
          <w:sz w:val="20"/>
          <w:szCs w:val="20"/>
        </w:rPr>
      </w:pPr>
    </w:p>
    <w:p w14:paraId="4A425373" w14:textId="77777777" w:rsidR="00EE32A8" w:rsidRPr="000E39A3" w:rsidRDefault="00EE32A8" w:rsidP="00EE32A8">
      <w:pPr>
        <w:pBdr>
          <w:top w:val="nil"/>
          <w:left w:val="nil"/>
          <w:bottom w:val="nil"/>
          <w:right w:val="nil"/>
          <w:between w:val="nil"/>
        </w:pBdr>
        <w:spacing w:after="0" w:line="240" w:lineRule="auto"/>
        <w:ind w:left="709" w:right="709"/>
        <w:jc w:val="both"/>
        <w:rPr>
          <w:rFonts w:ascii="Verdana" w:eastAsia="Arial" w:hAnsi="Verdana" w:cs="Arial"/>
          <w:color w:val="000000"/>
          <w:sz w:val="20"/>
          <w:szCs w:val="20"/>
        </w:rPr>
      </w:pPr>
      <w:r w:rsidRPr="000E39A3">
        <w:rPr>
          <w:rFonts w:ascii="Verdana" w:eastAsia="Arial" w:hAnsi="Verdana" w:cs="Arial"/>
          <w:color w:val="000000"/>
          <w:sz w:val="20"/>
          <w:szCs w:val="20"/>
        </w:rPr>
        <w:t>2. Para el sector servicios:</w:t>
      </w:r>
    </w:p>
    <w:p w14:paraId="6D883C17" w14:textId="77777777" w:rsidR="00EE32A8" w:rsidRPr="000E39A3" w:rsidRDefault="00EE32A8" w:rsidP="00EE32A8">
      <w:pPr>
        <w:pBdr>
          <w:top w:val="nil"/>
          <w:left w:val="nil"/>
          <w:bottom w:val="nil"/>
          <w:right w:val="nil"/>
          <w:between w:val="nil"/>
        </w:pBdr>
        <w:spacing w:after="0" w:line="240" w:lineRule="auto"/>
        <w:ind w:left="709" w:right="709"/>
        <w:jc w:val="both"/>
        <w:rPr>
          <w:rFonts w:ascii="Verdana" w:eastAsia="Arial" w:hAnsi="Verdana" w:cs="Arial"/>
          <w:color w:val="000000"/>
          <w:sz w:val="20"/>
          <w:szCs w:val="20"/>
        </w:rPr>
      </w:pPr>
      <w:r w:rsidRPr="000E39A3">
        <w:rPr>
          <w:rFonts w:ascii="Verdana" w:eastAsia="Arial" w:hAnsi="Verdana" w:cs="Arial"/>
          <w:color w:val="000000"/>
          <w:sz w:val="20"/>
          <w:szCs w:val="20"/>
        </w:rPr>
        <w:t>Microempresa. Aquella cuyos ingresos por actividades ordinarias anuales sean inferiores o iguales a treinta y dos mil novecientos ochenta y ocho Unidades de Valor Tributario (32.988 UVT).</w:t>
      </w:r>
    </w:p>
    <w:p w14:paraId="1E762BFA" w14:textId="77777777" w:rsidR="00EE32A8" w:rsidRPr="000E39A3" w:rsidRDefault="00EE32A8" w:rsidP="00EE32A8">
      <w:pPr>
        <w:pBdr>
          <w:top w:val="nil"/>
          <w:left w:val="nil"/>
          <w:bottom w:val="nil"/>
          <w:right w:val="nil"/>
          <w:between w:val="nil"/>
        </w:pBdr>
        <w:spacing w:after="0" w:line="240" w:lineRule="auto"/>
        <w:ind w:left="709" w:right="709"/>
        <w:jc w:val="both"/>
        <w:rPr>
          <w:rFonts w:ascii="Verdana" w:eastAsia="Arial" w:hAnsi="Verdana" w:cs="Arial"/>
          <w:color w:val="000000"/>
          <w:sz w:val="20"/>
          <w:szCs w:val="20"/>
        </w:rPr>
      </w:pPr>
    </w:p>
    <w:p w14:paraId="3681E5C5" w14:textId="77777777" w:rsidR="00EE32A8" w:rsidRPr="000E39A3" w:rsidRDefault="00EE32A8" w:rsidP="00EE32A8">
      <w:pPr>
        <w:pBdr>
          <w:top w:val="nil"/>
          <w:left w:val="nil"/>
          <w:bottom w:val="nil"/>
          <w:right w:val="nil"/>
          <w:between w:val="nil"/>
        </w:pBdr>
        <w:spacing w:after="0" w:line="240" w:lineRule="auto"/>
        <w:ind w:left="709" w:right="709"/>
        <w:jc w:val="both"/>
        <w:rPr>
          <w:rFonts w:ascii="Verdana" w:eastAsia="Arial" w:hAnsi="Verdana" w:cs="Arial"/>
          <w:color w:val="000000"/>
          <w:sz w:val="20"/>
          <w:szCs w:val="20"/>
        </w:rPr>
      </w:pPr>
      <w:r w:rsidRPr="000E39A3">
        <w:rPr>
          <w:rFonts w:ascii="Verdana" w:eastAsia="Arial" w:hAnsi="Verdana" w:cs="Arial"/>
          <w:color w:val="000000"/>
          <w:sz w:val="20"/>
          <w:szCs w:val="20"/>
        </w:rPr>
        <w:t>[…]</w:t>
      </w:r>
    </w:p>
    <w:p w14:paraId="30588923" w14:textId="77777777" w:rsidR="00EE32A8" w:rsidRPr="000E39A3" w:rsidRDefault="00EE32A8" w:rsidP="00EE32A8">
      <w:pPr>
        <w:pBdr>
          <w:top w:val="nil"/>
          <w:left w:val="nil"/>
          <w:bottom w:val="nil"/>
          <w:right w:val="nil"/>
          <w:between w:val="nil"/>
        </w:pBdr>
        <w:spacing w:after="0" w:line="240" w:lineRule="auto"/>
        <w:ind w:left="709" w:right="709"/>
        <w:jc w:val="both"/>
        <w:rPr>
          <w:rFonts w:ascii="Verdana" w:eastAsia="Arial" w:hAnsi="Verdana" w:cs="Arial"/>
          <w:color w:val="000000"/>
          <w:sz w:val="20"/>
          <w:szCs w:val="20"/>
        </w:rPr>
      </w:pPr>
    </w:p>
    <w:p w14:paraId="4F91E3FF" w14:textId="77777777" w:rsidR="00EE32A8" w:rsidRPr="000E39A3" w:rsidRDefault="00EE32A8" w:rsidP="00EE32A8">
      <w:pPr>
        <w:pBdr>
          <w:top w:val="nil"/>
          <w:left w:val="nil"/>
          <w:bottom w:val="nil"/>
          <w:right w:val="nil"/>
          <w:between w:val="nil"/>
        </w:pBdr>
        <w:spacing w:after="0" w:line="240" w:lineRule="auto"/>
        <w:ind w:left="709" w:right="709"/>
        <w:jc w:val="both"/>
        <w:rPr>
          <w:rFonts w:ascii="Verdana" w:eastAsia="Arial" w:hAnsi="Verdana" w:cs="Arial"/>
          <w:color w:val="000000"/>
          <w:sz w:val="20"/>
          <w:szCs w:val="20"/>
        </w:rPr>
      </w:pPr>
      <w:r w:rsidRPr="000E39A3">
        <w:rPr>
          <w:rFonts w:ascii="Verdana" w:eastAsia="Arial" w:hAnsi="Verdana" w:cs="Arial"/>
          <w:color w:val="000000"/>
          <w:sz w:val="20"/>
          <w:szCs w:val="20"/>
        </w:rPr>
        <w:t>3. Para el sector de comercio:</w:t>
      </w:r>
    </w:p>
    <w:p w14:paraId="2AE49723" w14:textId="77777777" w:rsidR="00EE32A8" w:rsidRPr="000E39A3" w:rsidRDefault="00EE32A8" w:rsidP="00EE32A8">
      <w:pPr>
        <w:pBdr>
          <w:top w:val="nil"/>
          <w:left w:val="nil"/>
          <w:bottom w:val="nil"/>
          <w:right w:val="nil"/>
          <w:between w:val="nil"/>
        </w:pBdr>
        <w:spacing w:after="0" w:line="240" w:lineRule="auto"/>
        <w:ind w:left="709" w:right="709"/>
        <w:jc w:val="both"/>
        <w:rPr>
          <w:rFonts w:ascii="Verdana" w:eastAsia="Arial" w:hAnsi="Verdana" w:cs="Arial"/>
          <w:color w:val="000000"/>
          <w:sz w:val="20"/>
          <w:szCs w:val="20"/>
        </w:rPr>
      </w:pPr>
      <w:r w:rsidRPr="000E39A3">
        <w:rPr>
          <w:rFonts w:ascii="Verdana" w:eastAsia="Arial" w:hAnsi="Verdana" w:cs="Arial"/>
          <w:color w:val="000000"/>
          <w:sz w:val="20"/>
          <w:szCs w:val="20"/>
        </w:rPr>
        <w:t>Microempresa. Aquella cuyos ingresos por actividades ordinarias anuales sean inferiores o iguales a cuarenta y cuatro mil setecientos sesenta y nueve Unidades de Valor Tributario (44.769 UVT).</w:t>
      </w:r>
    </w:p>
    <w:p w14:paraId="1E86E9F7" w14:textId="77777777" w:rsidR="00EE32A8" w:rsidRPr="000E39A3" w:rsidRDefault="00EE32A8" w:rsidP="00EE32A8">
      <w:pPr>
        <w:pBdr>
          <w:top w:val="nil"/>
          <w:left w:val="nil"/>
          <w:bottom w:val="nil"/>
          <w:right w:val="nil"/>
          <w:between w:val="nil"/>
        </w:pBdr>
        <w:spacing w:after="0" w:line="240" w:lineRule="auto"/>
        <w:ind w:left="709" w:right="709"/>
        <w:jc w:val="both"/>
        <w:rPr>
          <w:rFonts w:ascii="Verdana" w:eastAsia="Arial" w:hAnsi="Verdana" w:cs="Arial"/>
          <w:color w:val="000000"/>
          <w:sz w:val="20"/>
          <w:szCs w:val="20"/>
        </w:rPr>
      </w:pPr>
    </w:p>
    <w:p w14:paraId="38CA70D0" w14:textId="77777777" w:rsidR="00EE32A8" w:rsidRPr="000E39A3" w:rsidRDefault="00EE32A8" w:rsidP="00EE32A8">
      <w:pPr>
        <w:pBdr>
          <w:top w:val="nil"/>
          <w:left w:val="nil"/>
          <w:bottom w:val="nil"/>
          <w:right w:val="nil"/>
          <w:between w:val="nil"/>
        </w:pBdr>
        <w:spacing w:after="0" w:line="240" w:lineRule="auto"/>
        <w:ind w:left="709" w:right="709"/>
        <w:jc w:val="both"/>
        <w:rPr>
          <w:rFonts w:ascii="Verdana" w:eastAsia="Arial" w:hAnsi="Verdana" w:cs="Arial"/>
          <w:color w:val="000000"/>
          <w:sz w:val="20"/>
          <w:szCs w:val="20"/>
        </w:rPr>
      </w:pPr>
      <w:r w:rsidRPr="000E39A3">
        <w:rPr>
          <w:rFonts w:ascii="Verdana" w:eastAsia="Arial" w:hAnsi="Verdana" w:cs="Arial"/>
          <w:color w:val="000000"/>
          <w:sz w:val="20"/>
          <w:szCs w:val="20"/>
        </w:rPr>
        <w:t>[…]</w:t>
      </w:r>
    </w:p>
    <w:p w14:paraId="4956AB5C" w14:textId="77777777" w:rsidR="00EE32A8" w:rsidRPr="000E39A3" w:rsidRDefault="00EE32A8" w:rsidP="00EE32A8">
      <w:pPr>
        <w:pBdr>
          <w:top w:val="nil"/>
          <w:left w:val="nil"/>
          <w:bottom w:val="nil"/>
          <w:right w:val="nil"/>
          <w:between w:val="nil"/>
        </w:pBdr>
        <w:spacing w:after="0" w:line="240" w:lineRule="auto"/>
        <w:ind w:left="709" w:right="709"/>
        <w:jc w:val="both"/>
        <w:rPr>
          <w:rFonts w:ascii="Verdana" w:eastAsia="Arial" w:hAnsi="Verdana" w:cs="Arial"/>
          <w:color w:val="000000"/>
          <w:sz w:val="20"/>
          <w:szCs w:val="20"/>
        </w:rPr>
      </w:pPr>
      <w:r w:rsidRPr="000E39A3">
        <w:rPr>
          <w:rFonts w:ascii="Verdana" w:eastAsia="Arial" w:hAnsi="Verdana" w:cs="Arial"/>
          <w:color w:val="000000"/>
          <w:sz w:val="20"/>
          <w:szCs w:val="20"/>
        </w:rPr>
        <w:t>Parágrafo 2. Para aquella empresa cuya actividad principal no corresponda exclusivamente a uno de los anteriores sectores, los rangos a aplicar serán aquellos previstos para el sector manufacturero.</w:t>
      </w:r>
    </w:p>
    <w:p w14:paraId="1CF8D36C" w14:textId="77777777" w:rsidR="00EE32A8" w:rsidRPr="000E39A3" w:rsidRDefault="00EE32A8" w:rsidP="00EE32A8">
      <w:pPr>
        <w:pBdr>
          <w:top w:val="nil"/>
          <w:left w:val="nil"/>
          <w:bottom w:val="nil"/>
          <w:right w:val="nil"/>
          <w:between w:val="nil"/>
        </w:pBdr>
        <w:spacing w:after="0" w:line="240" w:lineRule="auto"/>
        <w:ind w:left="709" w:right="709"/>
        <w:jc w:val="both"/>
        <w:rPr>
          <w:rFonts w:ascii="Verdana" w:eastAsia="Arial" w:hAnsi="Verdana" w:cs="Arial"/>
          <w:color w:val="000000"/>
          <w:sz w:val="20"/>
          <w:szCs w:val="20"/>
        </w:rPr>
      </w:pPr>
    </w:p>
    <w:p w14:paraId="10D39866" w14:textId="77777777" w:rsidR="00EE32A8" w:rsidRPr="000E39A3" w:rsidRDefault="00EE32A8" w:rsidP="00EE32A8">
      <w:pPr>
        <w:pBdr>
          <w:top w:val="nil"/>
          <w:left w:val="nil"/>
          <w:bottom w:val="nil"/>
          <w:right w:val="nil"/>
          <w:between w:val="nil"/>
        </w:pBdr>
        <w:spacing w:after="0" w:line="240" w:lineRule="auto"/>
        <w:ind w:left="709" w:right="709"/>
        <w:jc w:val="both"/>
        <w:rPr>
          <w:rFonts w:ascii="Verdana" w:eastAsia="Arial" w:hAnsi="Verdana" w:cs="Arial"/>
          <w:color w:val="000000"/>
          <w:sz w:val="20"/>
          <w:szCs w:val="20"/>
        </w:rPr>
      </w:pPr>
      <w:r w:rsidRPr="000E39A3">
        <w:rPr>
          <w:rFonts w:ascii="Verdana" w:eastAsia="Arial" w:hAnsi="Verdana" w:cs="Arial"/>
          <w:color w:val="000000"/>
          <w:sz w:val="20"/>
          <w:szCs w:val="20"/>
        </w:rPr>
        <w:t>Parágrafo 3. Cuando los ingresos de la empresa provengan de más de uno de los sectores contemplados en el presente Capítulo, se considerará la actividad del sector económico cuyos ingresos hayan sido más altos.</w:t>
      </w:r>
    </w:p>
    <w:p w14:paraId="208A4372" w14:textId="77777777" w:rsidR="00EE32A8" w:rsidRPr="000E39A3" w:rsidRDefault="00EE32A8" w:rsidP="00EE32A8">
      <w:pPr>
        <w:pBdr>
          <w:top w:val="nil"/>
          <w:left w:val="nil"/>
          <w:bottom w:val="nil"/>
          <w:right w:val="nil"/>
          <w:between w:val="nil"/>
        </w:pBdr>
        <w:spacing w:after="0" w:line="240" w:lineRule="auto"/>
        <w:ind w:left="709" w:right="709"/>
        <w:jc w:val="both"/>
        <w:rPr>
          <w:rFonts w:ascii="Verdana" w:eastAsia="Arial" w:hAnsi="Verdana" w:cs="Arial"/>
          <w:color w:val="000000"/>
          <w:sz w:val="20"/>
          <w:szCs w:val="20"/>
        </w:rPr>
      </w:pPr>
    </w:p>
    <w:p w14:paraId="734A1D57" w14:textId="77777777" w:rsidR="00EE32A8" w:rsidRPr="000E39A3" w:rsidRDefault="00EE32A8" w:rsidP="00EE32A8">
      <w:pPr>
        <w:pBdr>
          <w:top w:val="nil"/>
          <w:left w:val="nil"/>
          <w:bottom w:val="nil"/>
          <w:right w:val="nil"/>
          <w:between w:val="nil"/>
        </w:pBdr>
        <w:spacing w:after="0" w:line="240" w:lineRule="auto"/>
        <w:ind w:left="709" w:right="709"/>
        <w:jc w:val="both"/>
        <w:rPr>
          <w:rFonts w:ascii="Verdana" w:eastAsia="Arial" w:hAnsi="Verdana" w:cs="Arial"/>
          <w:color w:val="000000"/>
          <w:sz w:val="20"/>
          <w:szCs w:val="20"/>
        </w:rPr>
      </w:pPr>
      <w:r w:rsidRPr="000E39A3">
        <w:rPr>
          <w:rFonts w:ascii="Verdana" w:eastAsia="Arial" w:hAnsi="Verdana" w:cs="Arial"/>
          <w:color w:val="000000"/>
          <w:sz w:val="20"/>
          <w:szCs w:val="20"/>
        </w:rPr>
        <w:t xml:space="preserve">Parágrafo 4. El Ministerio de Comercio, Industria y Turismo, en conjunto con el Departamento Nacional de Estadística -DANE-, a la fecha de la </w:t>
      </w:r>
      <w:proofErr w:type="gramStart"/>
      <w:r w:rsidRPr="000E39A3">
        <w:rPr>
          <w:rFonts w:ascii="Verdana" w:eastAsia="Arial" w:hAnsi="Verdana" w:cs="Arial"/>
          <w:color w:val="000000"/>
          <w:sz w:val="20"/>
          <w:szCs w:val="20"/>
        </w:rPr>
        <w:t>entrada en vigencia</w:t>
      </w:r>
      <w:proofErr w:type="gramEnd"/>
      <w:r w:rsidRPr="000E39A3">
        <w:rPr>
          <w:rFonts w:ascii="Verdana" w:eastAsia="Arial" w:hAnsi="Verdana" w:cs="Arial"/>
          <w:color w:val="000000"/>
          <w:sz w:val="20"/>
          <w:szCs w:val="20"/>
        </w:rPr>
        <w:t xml:space="preserve"> del presente Capitulo establecerá, mediante acto administrativo, el anexo técnico de correspondencia de los tres sectores, manufactura, comercio y servicios con la Clasificación de las Actividades Económicas - </w:t>
      </w:r>
      <w:proofErr w:type="spellStart"/>
      <w:r w:rsidRPr="000E39A3">
        <w:rPr>
          <w:rFonts w:ascii="Verdana" w:eastAsia="Arial" w:hAnsi="Verdana" w:cs="Arial"/>
          <w:color w:val="000000"/>
          <w:sz w:val="20"/>
          <w:szCs w:val="20"/>
        </w:rPr>
        <w:t>CllU</w:t>
      </w:r>
      <w:proofErr w:type="spellEnd"/>
      <w:r w:rsidRPr="000E39A3">
        <w:rPr>
          <w:rFonts w:ascii="Verdana" w:eastAsia="Arial" w:hAnsi="Verdana" w:cs="Arial"/>
          <w:color w:val="000000"/>
          <w:sz w:val="20"/>
          <w:szCs w:val="20"/>
        </w:rPr>
        <w:t xml:space="preserve"> Revisión 4”.</w:t>
      </w:r>
    </w:p>
    <w:p w14:paraId="7D5483E5" w14:textId="77777777" w:rsidR="00EE32A8" w:rsidRPr="000E39A3" w:rsidRDefault="00EE32A8" w:rsidP="00EE32A8">
      <w:pPr>
        <w:pBdr>
          <w:top w:val="nil"/>
          <w:left w:val="nil"/>
          <w:bottom w:val="nil"/>
          <w:right w:val="nil"/>
          <w:between w:val="nil"/>
        </w:pBdr>
        <w:spacing w:after="0" w:line="276" w:lineRule="auto"/>
        <w:jc w:val="both"/>
        <w:rPr>
          <w:rFonts w:ascii="Verdana" w:eastAsia="Arial" w:hAnsi="Verdana" w:cs="Arial"/>
          <w:color w:val="000000"/>
        </w:rPr>
      </w:pPr>
    </w:p>
    <w:p w14:paraId="2E54DA9C" w14:textId="77777777" w:rsidR="00EE32A8" w:rsidRPr="000E39A3" w:rsidRDefault="00EE32A8" w:rsidP="00EE32A8">
      <w:pPr>
        <w:spacing w:after="120" w:line="276" w:lineRule="auto"/>
        <w:ind w:firstLine="708"/>
        <w:jc w:val="both"/>
        <w:rPr>
          <w:rFonts w:ascii="Verdana" w:eastAsia="Calibri" w:hAnsi="Verdana" w:cs="Arial"/>
          <w:color w:val="000000" w:themeColor="text1"/>
          <w:lang w:val="es-ES"/>
        </w:rPr>
      </w:pPr>
      <w:r w:rsidRPr="000E39A3">
        <w:rPr>
          <w:rFonts w:ascii="Verdana" w:eastAsia="Calibri" w:hAnsi="Verdana" w:cs="Arial"/>
          <w:color w:val="000000" w:themeColor="text1"/>
          <w:lang w:val="es-ES"/>
        </w:rPr>
        <w:t xml:space="preserve">La Ley de Emprendimiento atribuye la calidad de empresa a algunas entidades sin ánimo de lucro, con la posibilidad de que éstas también puedan clasificarse con microempresas. Al respecto, el artículo 23 de la Ley 2069 de 2020 dispone que “De conformidad con lo establecido por los artículos 4 de la Ley 79 de 1988 y 6 de la Ley 454 de 1998, </w:t>
      </w:r>
      <w:r w:rsidRPr="000E39A3">
        <w:rPr>
          <w:rFonts w:ascii="Verdana" w:eastAsia="Calibri" w:hAnsi="Verdana" w:cs="Arial"/>
          <w:i/>
          <w:color w:val="000000" w:themeColor="text1"/>
          <w:lang w:val="es-ES"/>
        </w:rPr>
        <w:t>las cooperativas y demás entidades de la economía solidaria son empresas</w:t>
      </w:r>
      <w:r w:rsidRPr="000E39A3">
        <w:rPr>
          <w:rFonts w:ascii="Verdana" w:eastAsia="Calibri" w:hAnsi="Verdana" w:cs="Arial"/>
          <w:color w:val="000000" w:themeColor="text1"/>
          <w:lang w:val="es-ES"/>
        </w:rPr>
        <w:t xml:space="preserve">. En tal virtud, para los efectos de la presente ley, las entidades de economía solidaria </w:t>
      </w:r>
      <w:r w:rsidRPr="000E39A3">
        <w:rPr>
          <w:rFonts w:ascii="Verdana" w:eastAsia="Calibri" w:hAnsi="Verdana" w:cs="Arial"/>
          <w:i/>
          <w:color w:val="000000" w:themeColor="text1"/>
          <w:lang w:val="es-ES"/>
        </w:rPr>
        <w:t xml:space="preserve">serán clasificadas como </w:t>
      </w:r>
      <w:proofErr w:type="spellStart"/>
      <w:r w:rsidRPr="000E39A3">
        <w:rPr>
          <w:rFonts w:ascii="Verdana" w:eastAsia="Calibri" w:hAnsi="Verdana" w:cs="Arial"/>
          <w:i/>
          <w:color w:val="000000" w:themeColor="text1"/>
          <w:lang w:val="es-ES"/>
        </w:rPr>
        <w:t>Mipymes</w:t>
      </w:r>
      <w:proofErr w:type="spellEnd"/>
      <w:r w:rsidRPr="000E39A3">
        <w:rPr>
          <w:rFonts w:ascii="Verdana" w:eastAsia="Calibri" w:hAnsi="Verdana" w:cs="Arial"/>
          <w:i/>
          <w:color w:val="000000" w:themeColor="text1"/>
          <w:lang w:val="es-ES"/>
        </w:rPr>
        <w:t xml:space="preserve"> en los términos establecidos por el artículo 2 de la Ley 590 de 2000 y por el Decreto 957 de 2019 o las normas que los modifiquen, deroguen o adicionen</w:t>
      </w:r>
      <w:r w:rsidRPr="000E39A3">
        <w:rPr>
          <w:rFonts w:ascii="Verdana" w:eastAsia="Calibri" w:hAnsi="Verdana" w:cs="Arial"/>
          <w:color w:val="000000" w:themeColor="text1"/>
          <w:lang w:val="es-ES"/>
        </w:rPr>
        <w:t>, sin perjuicio de la normatividad específica aplicable a sus diferentes figuras jurídicas, ni del marco de competencias institucionales de Gobierno para su fomento, fortalecimiento, inspección, control y vigilancia” (Énfasis fuera de texto).</w:t>
      </w:r>
    </w:p>
    <w:p w14:paraId="0853543D" w14:textId="77777777" w:rsidR="00EE32A8" w:rsidRPr="000E39A3" w:rsidRDefault="00EE32A8" w:rsidP="00EE32A8">
      <w:pPr>
        <w:spacing w:after="120" w:line="276" w:lineRule="auto"/>
        <w:ind w:firstLine="708"/>
        <w:jc w:val="both"/>
        <w:rPr>
          <w:rFonts w:ascii="Verdana" w:eastAsia="Calibri" w:hAnsi="Verdana" w:cs="Arial"/>
          <w:color w:val="000000" w:themeColor="text1"/>
          <w:lang w:val="es-ES_tradnl"/>
        </w:rPr>
      </w:pPr>
      <w:r w:rsidRPr="000E39A3">
        <w:rPr>
          <w:rFonts w:ascii="Verdana" w:eastAsia="Calibri" w:hAnsi="Verdana" w:cs="Arial"/>
          <w:color w:val="000000" w:themeColor="text1"/>
          <w:lang w:val="es-ES_tradnl"/>
        </w:rPr>
        <w:t>El inciso primero del artículo 4 de la Ley 79 de 1988 dispone que: “Es cooperativa la empresa asociativa sin ánimo de lucro, en la cual los trabajadores o los usuarios, según el caso, son simultáneamente los aportantes y los gestores de la empresa, creada con el objeto de producir o distribuir conjunta y eficientemente bienes o servicios para satisfacer las necesidades de sus asociados y de la comunidad en general”. Por su parte, el inciso primero del artículo 2 de la Ley 454 de 1998 entiende por economía solidaria el “[...] sistema socioeconómico, cultural y ambiental conformado por el conjunto de fuerzas sociales organizadas en formas asociativas identificadas por prácticas autogestionarias solidarias, democráticas y humanistas, sin ánimo de lucro para el desarrollo integral del ser humano como sujeto, actor y fin de la economía”</w:t>
      </w:r>
      <w:r w:rsidRPr="000E39A3">
        <w:rPr>
          <w:rFonts w:ascii="Verdana" w:eastAsia="Calibri" w:hAnsi="Verdana" w:cs="Arial"/>
          <w:color w:val="000000" w:themeColor="text1"/>
          <w:vertAlign w:val="superscript"/>
          <w:lang w:val="es-ES_tradnl"/>
        </w:rPr>
        <w:footnoteReference w:id="18"/>
      </w:r>
      <w:r w:rsidRPr="000E39A3">
        <w:rPr>
          <w:rFonts w:ascii="Verdana" w:eastAsia="Calibri" w:hAnsi="Verdana" w:cs="Arial"/>
          <w:color w:val="000000" w:themeColor="text1"/>
          <w:lang w:val="es-ES_tradnl"/>
        </w:rPr>
        <w:t>.</w:t>
      </w:r>
    </w:p>
    <w:p w14:paraId="7FD35929" w14:textId="77777777" w:rsidR="00EE32A8" w:rsidRPr="000E39A3" w:rsidRDefault="00EE32A8" w:rsidP="00EE32A8">
      <w:pPr>
        <w:spacing w:after="120" w:line="276" w:lineRule="auto"/>
        <w:ind w:firstLine="708"/>
        <w:jc w:val="both"/>
        <w:rPr>
          <w:rFonts w:ascii="Verdana" w:eastAsia="Calibri" w:hAnsi="Verdana" w:cs="Arial"/>
          <w:color w:val="000000" w:themeColor="text1"/>
          <w:lang w:val="es-ES_tradnl"/>
        </w:rPr>
      </w:pPr>
      <w:r w:rsidRPr="000E39A3">
        <w:rPr>
          <w:rFonts w:ascii="Verdana" w:eastAsia="Calibri" w:hAnsi="Verdana" w:cs="Arial"/>
          <w:color w:val="000000" w:themeColor="text1"/>
          <w:lang w:val="es-ES_tradnl"/>
        </w:rPr>
        <w:lastRenderedPageBreak/>
        <w:t xml:space="preserve">Esta calidad empresarial de algunas entidades sin ánimo de lucro, así como el desarrollo de actividades mercantiles por parte de éstas, no riñe con la falta de </w:t>
      </w:r>
      <w:r w:rsidRPr="000E39A3">
        <w:rPr>
          <w:rFonts w:ascii="Verdana" w:eastAsia="Calibri" w:hAnsi="Verdana" w:cs="Arial"/>
          <w:bCs/>
          <w:i/>
          <w:iCs/>
          <w:color w:val="000000" w:themeColor="text1"/>
        </w:rPr>
        <w:t xml:space="preserve">animus </w:t>
      </w:r>
      <w:proofErr w:type="spellStart"/>
      <w:r w:rsidRPr="000E39A3">
        <w:rPr>
          <w:rFonts w:ascii="Verdana" w:eastAsia="Calibri" w:hAnsi="Verdana" w:cs="Arial"/>
          <w:bCs/>
          <w:i/>
          <w:iCs/>
          <w:color w:val="000000" w:themeColor="text1"/>
        </w:rPr>
        <w:t>lucrandi</w:t>
      </w:r>
      <w:proofErr w:type="spellEnd"/>
      <w:r w:rsidRPr="000E39A3">
        <w:rPr>
          <w:rFonts w:ascii="Verdana" w:eastAsia="Calibri" w:hAnsi="Verdana" w:cs="Arial"/>
          <w:bCs/>
          <w:color w:val="000000" w:themeColor="text1"/>
        </w:rPr>
        <w:t>. Como explica la Corte Constitucional en la Sentencia C-287 de 2012, con ponencia de la Magistrada María Victoria Calle Correa, “[…] el hecho que no persigan una finalidad lucrativa no significa que no desarrollen actividades que generen utilidades, lo que pasa es que, a diferencia de las sociedades, el lucro o ganancia obtenida no se reparte entre sus miembros, sino que se integra al patrimonio de la asociación para la obtención del fin deseado […]”</w:t>
      </w:r>
      <w:r w:rsidRPr="000E39A3">
        <w:rPr>
          <w:rFonts w:ascii="Verdana" w:eastAsia="Calibri" w:hAnsi="Verdana" w:cs="Arial"/>
          <w:bCs/>
          <w:color w:val="000000" w:themeColor="text1"/>
          <w:vertAlign w:val="superscript"/>
        </w:rPr>
        <w:footnoteReference w:id="19"/>
      </w:r>
      <w:r w:rsidRPr="000E39A3">
        <w:rPr>
          <w:rFonts w:ascii="Verdana" w:eastAsia="Calibri" w:hAnsi="Verdana" w:cs="Arial"/>
          <w:bCs/>
          <w:color w:val="000000" w:themeColor="text1"/>
        </w:rPr>
        <w:t>. Así, la principal característica de las entidades sin ánimo de lucro es la ausencia de lucro, es decir, las ganancias o beneficios económicos no están destinados a repartirse en favor de los miembros ni de terceros, sino que permanecen dentro de la entidad incrementando su patrimonio.</w:t>
      </w:r>
    </w:p>
    <w:p w14:paraId="6A107227" w14:textId="77777777" w:rsidR="00EE32A8" w:rsidRPr="000E39A3" w:rsidRDefault="00EE32A8" w:rsidP="00EE32A8">
      <w:pPr>
        <w:pBdr>
          <w:top w:val="nil"/>
          <w:left w:val="nil"/>
          <w:bottom w:val="nil"/>
          <w:right w:val="nil"/>
          <w:between w:val="nil"/>
        </w:pBdr>
        <w:spacing w:after="120" w:line="276" w:lineRule="auto"/>
        <w:jc w:val="both"/>
        <w:rPr>
          <w:rFonts w:ascii="Verdana" w:eastAsia="Calibri" w:hAnsi="Verdana" w:cs="Arial"/>
          <w:color w:val="000000" w:themeColor="text1"/>
          <w:lang w:val="es-ES_tradnl"/>
        </w:rPr>
      </w:pPr>
      <w:r w:rsidRPr="000E39A3">
        <w:rPr>
          <w:rFonts w:ascii="Verdana" w:eastAsia="Arial" w:hAnsi="Verdana" w:cs="Arial"/>
          <w:color w:val="000000"/>
        </w:rPr>
        <w:tab/>
        <w:t xml:space="preserve">Sin embargo, la noción de unidad económica empleada en el Decreto 874 de 2024 adicionado el Decreto 1082 de 2015 no se identifica necesariamente con los conceptos de comerciante, empresa o establecimiento de comercio. Además de que los actores de la Economía Popular y Comunitaria pueden ejecutar </w:t>
      </w:r>
      <w:r w:rsidRPr="000E39A3">
        <w:rPr>
          <w:rFonts w:ascii="Verdana" w:eastAsia="Arial" w:hAnsi="Verdana" w:cs="Arial"/>
          <w:i/>
          <w:iCs/>
          <w:color w:val="000000"/>
        </w:rPr>
        <w:t>actividades no mercantiles</w:t>
      </w:r>
      <w:r w:rsidRPr="000E39A3">
        <w:rPr>
          <w:rFonts w:ascii="Verdana" w:eastAsia="Arial" w:hAnsi="Verdana" w:cs="Arial"/>
          <w:color w:val="000000"/>
        </w:rPr>
        <w:t xml:space="preserve">, quienes no se ocupan del ejercicio profesional de </w:t>
      </w:r>
      <w:r w:rsidRPr="000E39A3">
        <w:rPr>
          <w:rFonts w:ascii="Verdana" w:eastAsia="Arial" w:hAnsi="Verdana" w:cs="Arial"/>
          <w:i/>
          <w:iCs/>
          <w:color w:val="000000"/>
        </w:rPr>
        <w:t>actividades mercantiles</w:t>
      </w:r>
      <w:r w:rsidRPr="000E39A3">
        <w:rPr>
          <w:rFonts w:ascii="Verdana" w:eastAsia="Arial" w:hAnsi="Verdana" w:cs="Arial"/>
          <w:color w:val="000000"/>
        </w:rPr>
        <w:t xml:space="preserve"> están facultados para realizar actos de comercio, sin necesidad de tener un conjunto de bienes organizados –artículo 515 del Código de Comercio– para la producción, transformación, circulación, administración o custodia de bienes, o para la prestación de servicios –artículo 25 </w:t>
      </w:r>
      <w:r w:rsidRPr="000E39A3">
        <w:rPr>
          <w:rFonts w:ascii="Verdana" w:eastAsia="Arial" w:hAnsi="Verdana" w:cs="Arial"/>
          <w:i/>
          <w:iCs/>
          <w:color w:val="000000"/>
        </w:rPr>
        <w:t>ibidem</w:t>
      </w:r>
      <w:r w:rsidRPr="000E39A3">
        <w:rPr>
          <w:rFonts w:ascii="Verdana" w:eastAsia="Arial" w:hAnsi="Verdana" w:cs="Arial"/>
          <w:color w:val="000000"/>
        </w:rPr>
        <w:t xml:space="preserve">–. Incluso, fuera de lo previsto en </w:t>
      </w:r>
      <w:r w:rsidRPr="000E39A3">
        <w:rPr>
          <w:rFonts w:ascii="Verdana" w:eastAsia="Calibri" w:hAnsi="Verdana" w:cs="Arial"/>
          <w:color w:val="000000" w:themeColor="text1"/>
          <w:lang w:val="es-ES_tradnl"/>
        </w:rPr>
        <w:t>el artículo 23 de la Ley 2069 de 2020, las demás ESAL tienen naturaleza empresarial, y el lugar donde operan no sería considerado un bien comercial.</w:t>
      </w:r>
    </w:p>
    <w:p w14:paraId="13F8308A" w14:textId="77777777" w:rsidR="00EE32A8" w:rsidRPr="000E39A3" w:rsidRDefault="00EE32A8" w:rsidP="00EE32A8">
      <w:pPr>
        <w:spacing w:after="120" w:line="276" w:lineRule="auto"/>
        <w:ind w:firstLine="708"/>
        <w:jc w:val="both"/>
        <w:rPr>
          <w:rFonts w:ascii="Verdana" w:eastAsia="Calibri" w:hAnsi="Verdana" w:cs="Arial"/>
          <w:bCs/>
          <w:lang w:val="es-ES_tradnl"/>
        </w:rPr>
      </w:pPr>
      <w:r w:rsidRPr="000E39A3">
        <w:rPr>
          <w:rFonts w:ascii="Verdana" w:eastAsia="Arial" w:hAnsi="Verdana" w:cs="Arial"/>
          <w:color w:val="000000"/>
        </w:rPr>
        <w:t xml:space="preserve">En todo caso, aunque reúnan las características mencionadas, el registro mercantil no es un requisito de capacidad jurídica de las </w:t>
      </w:r>
      <w:r w:rsidRPr="000E39A3">
        <w:rPr>
          <w:rFonts w:ascii="Verdana" w:eastAsia="Calibri" w:hAnsi="Verdana" w:cs="Arial"/>
          <w:bCs/>
          <w:color w:val="000000" w:themeColor="text1"/>
        </w:rPr>
        <w:t xml:space="preserve">personas naturales o </w:t>
      </w:r>
      <w:r w:rsidRPr="000E39A3">
        <w:rPr>
          <w:rFonts w:ascii="Verdana" w:eastAsia="Calibri" w:hAnsi="Verdana" w:cs="Arial"/>
          <w:bCs/>
          <w:color w:val="000000" w:themeColor="text1"/>
        </w:rPr>
        <w:lastRenderedPageBreak/>
        <w:t>entidades sin ánimo de lucro que pretendan celebrar contratos de Asociación Público-Popular, ya que solamente es un medio de publicidad y, por tanto, no tiene una función constitutiva, sino declarativa</w:t>
      </w:r>
      <w:r w:rsidRPr="000E39A3">
        <w:rPr>
          <w:rFonts w:ascii="Verdana" w:eastAsia="Calibri" w:hAnsi="Verdana" w:cs="Arial"/>
          <w:bCs/>
          <w:color w:val="000000" w:themeColor="text1"/>
          <w:vertAlign w:val="superscript"/>
        </w:rPr>
        <w:footnoteReference w:id="20"/>
      </w:r>
      <w:r w:rsidRPr="000E39A3">
        <w:rPr>
          <w:rFonts w:ascii="Verdana" w:eastAsia="Calibri" w:hAnsi="Verdana" w:cs="Arial"/>
          <w:bCs/>
          <w:color w:val="000000" w:themeColor="text1"/>
        </w:rPr>
        <w:t>. F</w:t>
      </w:r>
      <w:r w:rsidRPr="000E39A3">
        <w:rPr>
          <w:rFonts w:ascii="Verdana" w:eastAsia="Calibri" w:hAnsi="Verdana" w:cs="Arial"/>
          <w:bCs/>
          <w:lang w:val="es-ES_tradnl"/>
        </w:rPr>
        <w:t xml:space="preserve">rente al requisito del registro mercantil, el artículo 29 del Código de Comercio dispone que “el registro mercantil tendrá por objeto llevar la matrícula de los comerciantes y de los establecimientos de comercio, así como la inscripción de todos los actos, libros y documentos respecto de los cuales la ley exigiere esa formalidad”. Asimismo, los numerales 6 y 33 del artículo 28 </w:t>
      </w:r>
      <w:r w:rsidRPr="000E39A3">
        <w:rPr>
          <w:rFonts w:ascii="Verdana" w:eastAsia="Calibri" w:hAnsi="Verdana" w:cs="Arial"/>
          <w:bCs/>
          <w:i/>
          <w:iCs/>
          <w:lang w:val="es-ES_tradnl"/>
        </w:rPr>
        <w:t>ibidem</w:t>
      </w:r>
      <w:r w:rsidRPr="000E39A3">
        <w:rPr>
          <w:rFonts w:ascii="Verdana" w:eastAsia="Calibri" w:hAnsi="Verdana" w:cs="Arial"/>
          <w:bCs/>
          <w:lang w:val="es-ES_tradnl"/>
        </w:rPr>
        <w:t xml:space="preserve"> señalan que cuando </w:t>
      </w:r>
      <w:r w:rsidRPr="000E39A3">
        <w:rPr>
          <w:rFonts w:ascii="Verdana" w:hAnsi="Verdana" w:cs="Arial"/>
        </w:rPr>
        <w:t xml:space="preserve">un empresario abre su establecimiento de comercio debe cumplir con el deber profesional de matricularlo en el registro mercantil dentro del mes siguiente a su apertura y la información de dicha matricula debe actualizarse periódicamente mediante la renovación anual dentro de los tres (3) primeros meses de cada año. </w:t>
      </w:r>
    </w:p>
    <w:p w14:paraId="336AE6F7" w14:textId="77777777" w:rsidR="00EE32A8" w:rsidRPr="000E39A3" w:rsidRDefault="00EE32A8" w:rsidP="00EE32A8">
      <w:pPr>
        <w:pBdr>
          <w:top w:val="nil"/>
          <w:left w:val="nil"/>
          <w:bottom w:val="nil"/>
          <w:right w:val="nil"/>
          <w:between w:val="nil"/>
        </w:pBdr>
        <w:spacing w:after="120" w:line="276" w:lineRule="auto"/>
        <w:ind w:firstLine="708"/>
        <w:jc w:val="both"/>
        <w:rPr>
          <w:rFonts w:ascii="Verdana" w:eastAsia="Calibri" w:hAnsi="Verdana" w:cs="Arial"/>
          <w:color w:val="000000" w:themeColor="text1"/>
          <w:lang w:val="es-ES"/>
        </w:rPr>
      </w:pPr>
      <w:r w:rsidRPr="000E39A3">
        <w:rPr>
          <w:rFonts w:ascii="Verdana" w:eastAsia="Calibri" w:hAnsi="Verdana" w:cs="Arial"/>
          <w:color w:val="000000" w:themeColor="text1"/>
          <w:lang w:val="es-ES"/>
        </w:rPr>
        <w:t>En ese sentido, si bien el registro mercantil puede ser un medio de prueba que permita acreditar que una persona ejerce una actividad mercantil, lo cierto es que este no basta para demostrar que pertenece a la Economía Popular y Comunitaria. Esto en la medida que, tal y como se señaló en los párrafos anteriores, es necesario que se acredite que ejerce oficios y ocupaciones relacionados con la producción, distribución y comercialización de bienes y servicios, así como la condición de baja escala. Por otro lado, el registro mercantil no es aplicable en todos los casos para la verificación de las condiciones del sujeto a contratar, dado que el concepto de Economía Popular y Comunitaria también comprende actividades no mercantiles – como se señaló anteriormente –, frente a las cuales el registro mercantil no será el documento idóneo.</w:t>
      </w:r>
    </w:p>
    <w:p w14:paraId="272B5A7D" w14:textId="77777777" w:rsidR="00EE32A8" w:rsidRPr="000E39A3" w:rsidRDefault="00EE32A8" w:rsidP="00EE32A8">
      <w:pPr>
        <w:pBdr>
          <w:top w:val="nil"/>
          <w:left w:val="nil"/>
          <w:bottom w:val="nil"/>
          <w:right w:val="nil"/>
          <w:between w:val="nil"/>
        </w:pBdr>
        <w:spacing w:after="120" w:line="276" w:lineRule="auto"/>
        <w:ind w:firstLine="709"/>
        <w:jc w:val="both"/>
        <w:rPr>
          <w:rFonts w:ascii="Verdana" w:eastAsia="Calibri" w:hAnsi="Verdana" w:cs="Arial"/>
          <w:color w:val="000000" w:themeColor="text1"/>
        </w:rPr>
      </w:pPr>
      <w:r w:rsidRPr="000E39A3">
        <w:rPr>
          <w:rFonts w:ascii="Verdana" w:eastAsia="Calibri" w:hAnsi="Verdana" w:cs="Arial"/>
          <w:color w:val="000000" w:themeColor="text1"/>
        </w:rPr>
        <w:t xml:space="preserve">En consecuencia, la Entidad Estatal deberá señalar en los documentos del proceso cuál es la información que debe acreditarse, así como los medios de prueba que tendrá como válidos para tal fin. En consecuencia, el sujeto que pretenda suscribir este tipo de contratos deberá ceñirse a lo dispuesto por la entidad y allegar toda información ordenada, en los términos y la forma en que hayan sido señalados. </w:t>
      </w:r>
    </w:p>
    <w:p w14:paraId="453B2F32" w14:textId="77777777" w:rsidR="00EE32A8" w:rsidRPr="000E39A3" w:rsidRDefault="00EE32A8" w:rsidP="00EE32A8">
      <w:pPr>
        <w:pBdr>
          <w:top w:val="nil"/>
          <w:left w:val="nil"/>
          <w:bottom w:val="nil"/>
          <w:right w:val="nil"/>
          <w:between w:val="nil"/>
        </w:pBdr>
        <w:spacing w:after="120" w:line="276" w:lineRule="auto"/>
        <w:ind w:firstLine="709"/>
        <w:jc w:val="both"/>
        <w:rPr>
          <w:rFonts w:ascii="Verdana" w:eastAsia="Calibri" w:hAnsi="Verdana" w:cs="Arial"/>
          <w:color w:val="000000" w:themeColor="text1"/>
          <w:lang w:val="es-ES_tradnl"/>
        </w:rPr>
      </w:pPr>
      <w:r w:rsidRPr="000E39A3">
        <w:rPr>
          <w:rFonts w:ascii="Verdana" w:eastAsia="Calibri" w:hAnsi="Verdana" w:cs="Arial"/>
          <w:bCs/>
          <w:color w:val="000000" w:themeColor="text1"/>
        </w:rPr>
        <w:lastRenderedPageBreak/>
        <w:t xml:space="preserve">- </w:t>
      </w:r>
      <w:r w:rsidRPr="000E39A3">
        <w:rPr>
          <w:rFonts w:ascii="Verdana" w:eastAsia="Calibri" w:hAnsi="Verdana" w:cs="Arial"/>
          <w:bCs/>
          <w:i/>
          <w:iCs/>
          <w:color w:val="000000" w:themeColor="text1"/>
        </w:rPr>
        <w:t>Finalmente</w:t>
      </w:r>
      <w:r w:rsidRPr="000E39A3">
        <w:rPr>
          <w:rFonts w:ascii="Verdana" w:eastAsia="Calibri" w:hAnsi="Verdana" w:cs="Arial"/>
          <w:bCs/>
          <w:color w:val="000000" w:themeColor="text1"/>
        </w:rPr>
        <w:t xml:space="preserve">, respecto a la forma como lo hacen, </w:t>
      </w:r>
      <w:r w:rsidRPr="000E39A3">
        <w:rPr>
          <w:rFonts w:ascii="Verdana" w:eastAsia="Calibri" w:hAnsi="Verdana" w:cs="Arial"/>
          <w:color w:val="000000" w:themeColor="text1"/>
          <w:lang w:val="es-ES_tradnl"/>
        </w:rPr>
        <w:t xml:space="preserve">el artículo 2.2.16.1.4 del Decreto 1082 de 2015 prescribe que “[…] Los actores de la Economía Popular pueden realizar sus actividades de manera individual, en unidades económicas, u organizados de manera asociativa”. El concepto de unidad económica es el explicado en el punto anterior, siempre que corresponda a la categoría de baja escala. No obstante, también podrán organizarse de forma individual o asociativa, es decir, tanto por una sola persona natural o entidades sin ánimo de lucro como por un grupo de </w:t>
      </w:r>
      <w:proofErr w:type="gramStart"/>
      <w:r w:rsidRPr="000E39A3">
        <w:rPr>
          <w:rFonts w:ascii="Verdana" w:eastAsia="Calibri" w:hAnsi="Verdana" w:cs="Arial"/>
          <w:color w:val="000000" w:themeColor="text1"/>
          <w:lang w:val="es-ES_tradnl"/>
        </w:rPr>
        <w:t>las mismas</w:t>
      </w:r>
      <w:proofErr w:type="gramEnd"/>
      <w:r w:rsidRPr="000E39A3">
        <w:rPr>
          <w:rFonts w:ascii="Verdana" w:eastAsia="Calibri" w:hAnsi="Verdana" w:cs="Arial"/>
          <w:color w:val="000000" w:themeColor="text1"/>
          <w:lang w:val="es-ES_tradnl"/>
        </w:rPr>
        <w:t xml:space="preserve">. </w:t>
      </w:r>
    </w:p>
    <w:p w14:paraId="0A8E7D70" w14:textId="77777777" w:rsidR="00EE32A8" w:rsidRPr="000E39A3" w:rsidRDefault="00EE32A8" w:rsidP="00EE32A8">
      <w:pPr>
        <w:pBdr>
          <w:top w:val="nil"/>
          <w:left w:val="nil"/>
          <w:bottom w:val="nil"/>
          <w:right w:val="nil"/>
          <w:between w:val="nil"/>
        </w:pBdr>
        <w:spacing w:after="120" w:line="276" w:lineRule="auto"/>
        <w:ind w:firstLine="708"/>
        <w:jc w:val="both"/>
        <w:rPr>
          <w:rFonts w:ascii="Verdana" w:eastAsia="Calibri" w:hAnsi="Verdana" w:cs="Arial"/>
          <w:color w:val="000000" w:themeColor="text1"/>
        </w:rPr>
      </w:pPr>
      <w:r w:rsidRPr="000E39A3">
        <w:rPr>
          <w:rFonts w:ascii="Verdana" w:eastAsia="Calibri" w:hAnsi="Verdana" w:cs="Arial"/>
          <w:color w:val="000000" w:themeColor="text1"/>
          <w:lang w:val="es-ES_tradnl"/>
        </w:rPr>
        <w:t xml:space="preserve">Estas formas asociativas tienen su fundamento en el artículo 38 constitucional, y de ellas pueden surgir o no una nueva persona jurídica. </w:t>
      </w:r>
      <w:r w:rsidRPr="000E39A3">
        <w:rPr>
          <w:rFonts w:ascii="Verdana" w:eastAsia="Calibri" w:hAnsi="Verdana" w:cs="Arial"/>
          <w:lang w:val="es-ES"/>
        </w:rPr>
        <w:t>Estas últimas son entes ficticios con capacidad autónoma para ejercer derechos y contraer obligaciones –</w:t>
      </w:r>
      <w:r w:rsidRPr="000E39A3">
        <w:rPr>
          <w:rFonts w:ascii="Verdana" w:eastAsia="Calibri" w:hAnsi="Verdana" w:cs="Arial"/>
          <w:color w:val="000000" w:themeColor="text1"/>
        </w:rPr>
        <w:t>artículo 633 del Código Civil–</w:t>
      </w:r>
      <w:r w:rsidRPr="000E39A3">
        <w:rPr>
          <w:rFonts w:ascii="Verdana" w:eastAsia="Calibri" w:hAnsi="Verdana" w:cs="Arial"/>
          <w:color w:val="000000" w:themeColor="text1"/>
          <w:vertAlign w:val="superscript"/>
        </w:rPr>
        <w:footnoteReference w:id="21"/>
      </w:r>
      <w:r w:rsidRPr="000E39A3">
        <w:rPr>
          <w:rFonts w:ascii="Verdana" w:eastAsia="Calibri" w:hAnsi="Verdana" w:cs="Arial"/>
          <w:color w:val="000000" w:themeColor="text1"/>
        </w:rPr>
        <w:t>. Aunque la participación corresponda a otros sujetos de derecho, dichos entes tienen personería jurídica diferente de los socios individualmente considerados</w:t>
      </w:r>
      <w:r w:rsidRPr="000E39A3">
        <w:rPr>
          <w:rFonts w:ascii="Verdana" w:eastAsia="Calibri" w:hAnsi="Verdana" w:cs="Arial"/>
          <w:color w:val="000000" w:themeColor="text1"/>
          <w:vertAlign w:val="superscript"/>
        </w:rPr>
        <w:footnoteReference w:id="22"/>
      </w:r>
      <w:r w:rsidRPr="000E39A3">
        <w:rPr>
          <w:rFonts w:ascii="Verdana" w:eastAsia="Calibri" w:hAnsi="Verdana" w:cs="Arial"/>
          <w:color w:val="000000" w:themeColor="text1"/>
        </w:rPr>
        <w:t>. De esta manera, “[…] todas estas colectividades se presentan como independientes y distintas de los seres humanos que las constituyen; desaparece en cierta medida la individualidad de estos; y se forma un ser jurídico distinto de ellos con vida propia […]”</w:t>
      </w:r>
      <w:r w:rsidRPr="000E39A3">
        <w:rPr>
          <w:rFonts w:ascii="Verdana" w:eastAsia="Calibri" w:hAnsi="Verdana" w:cs="Arial"/>
          <w:color w:val="000000" w:themeColor="text1"/>
          <w:vertAlign w:val="superscript"/>
        </w:rPr>
        <w:footnoteReference w:id="23"/>
      </w:r>
      <w:r w:rsidRPr="000E39A3">
        <w:rPr>
          <w:rFonts w:ascii="Verdana" w:eastAsia="Calibri" w:hAnsi="Verdana" w:cs="Arial"/>
          <w:color w:val="000000" w:themeColor="text1"/>
        </w:rPr>
        <w:t xml:space="preserve">. </w:t>
      </w:r>
    </w:p>
    <w:p w14:paraId="176EF739" w14:textId="77777777" w:rsidR="00EE32A8" w:rsidRPr="000E39A3" w:rsidRDefault="00EE32A8" w:rsidP="00EE32A8">
      <w:pPr>
        <w:pBdr>
          <w:top w:val="nil"/>
          <w:left w:val="nil"/>
          <w:bottom w:val="nil"/>
          <w:right w:val="nil"/>
          <w:between w:val="nil"/>
        </w:pBdr>
        <w:spacing w:after="120" w:line="276" w:lineRule="auto"/>
        <w:ind w:firstLine="709"/>
        <w:jc w:val="both"/>
        <w:rPr>
          <w:rFonts w:ascii="Verdana" w:hAnsi="Verdana" w:cs="Arial"/>
          <w:color w:val="000000" w:themeColor="text1"/>
        </w:rPr>
      </w:pPr>
      <w:r w:rsidRPr="000E39A3">
        <w:rPr>
          <w:rFonts w:ascii="Verdana" w:eastAsia="Calibri" w:hAnsi="Verdana" w:cs="Arial"/>
          <w:color w:val="000000" w:themeColor="text1"/>
        </w:rPr>
        <w:t xml:space="preserve">No obstante, de la norma transcrita no se desprende la necesidad de que los asociados constituyan una persona jurídica independiente para ser parte de la “economía social y comunitaria”. Es decir, pueden aunar esfuerzos de forma colectiva para desarrollar </w:t>
      </w:r>
      <w:r w:rsidRPr="000E39A3">
        <w:rPr>
          <w:rFonts w:ascii="Verdana" w:eastAsia="Calibri" w:hAnsi="Verdana" w:cs="Arial"/>
          <w:i/>
          <w:iCs/>
          <w:color w:val="000000" w:themeColor="text1"/>
          <w:lang w:val="es-ES_tradnl"/>
        </w:rPr>
        <w:t xml:space="preserve">actividades mercantiles </w:t>
      </w:r>
      <w:r w:rsidRPr="000E39A3">
        <w:rPr>
          <w:rFonts w:ascii="Verdana" w:eastAsia="Calibri" w:hAnsi="Verdana" w:cs="Arial"/>
          <w:color w:val="000000" w:themeColor="text1"/>
          <w:lang w:val="es-ES_tradnl"/>
        </w:rPr>
        <w:t>y</w:t>
      </w:r>
      <w:r w:rsidRPr="000E39A3">
        <w:rPr>
          <w:rFonts w:ascii="Verdana" w:eastAsia="Calibri" w:hAnsi="Verdana" w:cs="Arial"/>
          <w:i/>
          <w:iCs/>
          <w:color w:val="000000" w:themeColor="text1"/>
          <w:lang w:val="es-ES_tradnl"/>
        </w:rPr>
        <w:t xml:space="preserve"> no mercantiles </w:t>
      </w:r>
      <w:r w:rsidRPr="000E39A3">
        <w:rPr>
          <w:rFonts w:ascii="Verdana" w:eastAsia="Calibri" w:hAnsi="Verdana" w:cs="Arial"/>
          <w:color w:val="000000" w:themeColor="text1"/>
          <w:lang w:val="es-ES_tradnl"/>
        </w:rPr>
        <w:t xml:space="preserve">de pequeña </w:t>
      </w:r>
      <w:r w:rsidRPr="000E39A3">
        <w:rPr>
          <w:rFonts w:ascii="Verdana" w:eastAsia="Calibri" w:hAnsi="Verdana" w:cs="Arial"/>
          <w:color w:val="000000" w:themeColor="text1"/>
          <w:lang w:val="es-ES_tradnl"/>
        </w:rPr>
        <w:lastRenderedPageBreak/>
        <w:t>escala, por lo que –a diferencia de las descritas en el párrafo anterior, sin perjuicio de mantener el propósito altruista de las acciones desplegadas– se tratará de “asociaciones no reconocidas”</w:t>
      </w:r>
      <w:r w:rsidRPr="000E39A3">
        <w:rPr>
          <w:rFonts w:ascii="Verdana" w:eastAsia="Calibri" w:hAnsi="Verdana" w:cs="Arial"/>
          <w:color w:val="000000" w:themeColor="text1"/>
          <w:vertAlign w:val="superscript"/>
          <w:lang w:val="es-ES_tradnl"/>
        </w:rPr>
        <w:footnoteReference w:id="24"/>
      </w:r>
      <w:r w:rsidRPr="000E39A3">
        <w:rPr>
          <w:rFonts w:ascii="Verdana" w:eastAsia="Calibri" w:hAnsi="Verdana" w:cs="Arial"/>
          <w:color w:val="000000" w:themeColor="text1"/>
          <w:lang w:val="es-ES_tradnl"/>
        </w:rPr>
        <w:t>.</w:t>
      </w:r>
      <w:r w:rsidRPr="000E39A3">
        <w:rPr>
          <w:rFonts w:ascii="Verdana" w:eastAsia="Calibri" w:hAnsi="Verdana" w:cs="Arial"/>
          <w:color w:val="000000" w:themeColor="text1"/>
        </w:rPr>
        <w:t xml:space="preserve"> Como carecen de capacidad jurídica autónoma, </w:t>
      </w:r>
      <w:r w:rsidRPr="000E39A3">
        <w:rPr>
          <w:rFonts w:ascii="Verdana" w:hAnsi="Verdana" w:cs="Arial"/>
          <w:color w:val="000000" w:themeColor="text1"/>
        </w:rPr>
        <w:t xml:space="preserve">la celebración de cualquier negocio jurídico no corresponde a la asociación, sino a todos sus integrantes de forma conjunta. Es decir, son los participantes –no la asociación conformada– los que tienen personería y capacidad para actuar. Ahora bien, para determinar si una asociación pertenece o no a la Economía Popular y Comunitaria, será necesario que todos sus integrantes puedan ser clasificados como tales. </w:t>
      </w:r>
    </w:p>
    <w:p w14:paraId="170F0EC4" w14:textId="77777777" w:rsidR="00EE32A8" w:rsidRPr="000E39A3" w:rsidRDefault="00EE32A8" w:rsidP="00EE32A8">
      <w:pPr>
        <w:pBdr>
          <w:top w:val="nil"/>
          <w:left w:val="nil"/>
          <w:bottom w:val="nil"/>
          <w:right w:val="nil"/>
          <w:between w:val="nil"/>
        </w:pBdr>
        <w:spacing w:after="120" w:line="276" w:lineRule="auto"/>
        <w:ind w:firstLine="709"/>
        <w:jc w:val="both"/>
        <w:rPr>
          <w:rFonts w:ascii="Verdana" w:hAnsi="Verdana" w:cs="Arial"/>
          <w:color w:val="000000" w:themeColor="text1"/>
        </w:rPr>
      </w:pPr>
      <w:r w:rsidRPr="000E39A3">
        <w:rPr>
          <w:rFonts w:ascii="Verdana" w:hAnsi="Verdana" w:cs="Arial"/>
          <w:color w:val="000000" w:themeColor="text1"/>
        </w:rPr>
        <w:t>Por ser una causal de contratación directa, las condiciones para celebrar contratos de Asociación Público-Popular deben interpretarse restrictivamente, pues excepciona los procedimientos con pluralidad de oferentes. Incluso, el artículo 2.2.16.1.8 del Decreto 1082 de 2015 prohíbe fraccionar el objeto contractual para eludirlos</w:t>
      </w:r>
      <w:r w:rsidRPr="000E39A3">
        <w:rPr>
          <w:rFonts w:ascii="Verdana" w:hAnsi="Verdana" w:cs="Arial"/>
          <w:color w:val="000000" w:themeColor="text1"/>
          <w:vertAlign w:val="superscript"/>
        </w:rPr>
        <w:footnoteReference w:id="25"/>
      </w:r>
      <w:r w:rsidRPr="000E39A3">
        <w:rPr>
          <w:rFonts w:ascii="Verdana" w:hAnsi="Verdana" w:cs="Arial"/>
          <w:color w:val="000000" w:themeColor="text1"/>
        </w:rPr>
        <w:t xml:space="preserve">. Esto, sin perjuicio de que las Entidades Estatales verifiquen la conveniencia y oportunidad de celebrar estos negocios jurídicos de cara a criterios técnicos y económicos, para garantizar la idoneidad del contratista, la calidad del objeto ejecutado, así como el uso eficiente de los recursos públicos. </w:t>
      </w:r>
    </w:p>
    <w:p w14:paraId="37B62C80" w14:textId="77777777" w:rsidR="00EE32A8" w:rsidRPr="000E39A3" w:rsidRDefault="00EE32A8" w:rsidP="00EE32A8">
      <w:pPr>
        <w:spacing w:after="0" w:line="276" w:lineRule="auto"/>
        <w:jc w:val="both"/>
        <w:rPr>
          <w:rFonts w:ascii="Verdana" w:eastAsia="Calibri" w:hAnsi="Verdana" w:cs="Arial"/>
          <w:lang w:eastAsia="es-ES_tradnl"/>
        </w:rPr>
      </w:pPr>
    </w:p>
    <w:p w14:paraId="62D60649" w14:textId="4C2AC155" w:rsidR="00EE32A8" w:rsidRPr="000E39A3" w:rsidRDefault="00EE32A8" w:rsidP="00EE32A8">
      <w:pPr>
        <w:numPr>
          <w:ilvl w:val="0"/>
          <w:numId w:val="19"/>
        </w:numPr>
        <w:spacing w:after="0" w:line="256" w:lineRule="auto"/>
        <w:rPr>
          <w:rFonts w:ascii="Verdana" w:eastAsia="Calibri" w:hAnsi="Verdana" w:cs="Times New Roman"/>
          <w:b/>
          <w:bCs/>
          <w:lang w:val="es-ES"/>
        </w:rPr>
      </w:pPr>
      <w:r>
        <w:rPr>
          <w:rFonts w:ascii="Verdana" w:eastAsia="Calibri" w:hAnsi="Verdana" w:cs="Times New Roman"/>
          <w:b/>
          <w:bCs/>
          <w:lang w:val="es-ES"/>
        </w:rPr>
        <w:t>Referencias normativas</w:t>
      </w:r>
    </w:p>
    <w:p w14:paraId="47BC0BEA" w14:textId="77777777" w:rsidR="00EE32A8" w:rsidRPr="000E39A3" w:rsidRDefault="00EE32A8" w:rsidP="00EE32A8">
      <w:pPr>
        <w:widowControl w:val="0"/>
        <w:autoSpaceDE w:val="0"/>
        <w:autoSpaceDN w:val="0"/>
        <w:spacing w:after="0" w:line="276" w:lineRule="auto"/>
        <w:jc w:val="both"/>
        <w:rPr>
          <w:rFonts w:ascii="Verdana" w:hAnsi="Verdana" w:cs="Arial"/>
        </w:rPr>
      </w:pPr>
    </w:p>
    <w:tbl>
      <w:tblPr>
        <w:tblStyle w:val="Tablaconcuadrcula11"/>
        <w:tblW w:w="8647" w:type="dxa"/>
        <w:jc w:val="center"/>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Layout w:type="fixed"/>
        <w:tblLook w:val="04A0" w:firstRow="1" w:lastRow="0" w:firstColumn="1" w:lastColumn="0" w:noHBand="0" w:noVBand="1"/>
      </w:tblPr>
      <w:tblGrid>
        <w:gridCol w:w="8647"/>
      </w:tblGrid>
      <w:tr w:rsidR="00EE32A8" w:rsidRPr="000E39A3" w14:paraId="1EBC1C29" w14:textId="77777777" w:rsidTr="005258B7">
        <w:trPr>
          <w:trHeight w:val="870"/>
          <w:jc w:val="center"/>
        </w:trPr>
        <w:tc>
          <w:tcPr>
            <w:tcW w:w="8647" w:type="dxa"/>
          </w:tcPr>
          <w:p w14:paraId="1421F158" w14:textId="77777777" w:rsidR="00EE32A8" w:rsidRPr="000E39A3" w:rsidRDefault="00EE32A8" w:rsidP="00EE32A8">
            <w:pPr>
              <w:numPr>
                <w:ilvl w:val="0"/>
                <w:numId w:val="20"/>
              </w:numPr>
              <w:spacing w:line="360" w:lineRule="auto"/>
              <w:contextualSpacing/>
              <w:rPr>
                <w:rFonts w:ascii="Verdana" w:hAnsi="Verdana" w:cs="Arial"/>
                <w:lang w:val="es-ES"/>
              </w:rPr>
            </w:pPr>
            <w:r w:rsidRPr="000E39A3">
              <w:rPr>
                <w:rFonts w:ascii="Verdana" w:hAnsi="Verdana" w:cs="Arial"/>
                <w:lang w:val="es-ES"/>
              </w:rPr>
              <w:t xml:space="preserve">Ley 80 de 1993: Artículo 32. </w:t>
            </w:r>
          </w:p>
          <w:p w14:paraId="75346E92" w14:textId="77777777" w:rsidR="00EE32A8" w:rsidRPr="000E39A3" w:rsidRDefault="00EE32A8" w:rsidP="00EE32A8">
            <w:pPr>
              <w:numPr>
                <w:ilvl w:val="0"/>
                <w:numId w:val="20"/>
              </w:numPr>
              <w:spacing w:line="360" w:lineRule="auto"/>
              <w:contextualSpacing/>
              <w:rPr>
                <w:rFonts w:ascii="Verdana" w:hAnsi="Verdana" w:cs="Arial"/>
                <w:lang w:val="es-ES"/>
              </w:rPr>
            </w:pPr>
            <w:r w:rsidRPr="000E39A3">
              <w:rPr>
                <w:rFonts w:ascii="Verdana" w:hAnsi="Verdana" w:cs="Arial"/>
                <w:lang w:val="es-ES"/>
              </w:rPr>
              <w:t>Ley 1150 de 2007: Artículo 2.</w:t>
            </w:r>
          </w:p>
          <w:p w14:paraId="7782BA51" w14:textId="77777777" w:rsidR="00EE32A8" w:rsidRPr="000E39A3" w:rsidRDefault="00EE32A8" w:rsidP="00EE32A8">
            <w:pPr>
              <w:numPr>
                <w:ilvl w:val="0"/>
                <w:numId w:val="20"/>
              </w:numPr>
              <w:spacing w:line="360" w:lineRule="auto"/>
              <w:contextualSpacing/>
              <w:jc w:val="both"/>
              <w:rPr>
                <w:rFonts w:ascii="Verdana" w:hAnsi="Verdana" w:cs="Arial"/>
                <w:lang w:val="es-ES"/>
              </w:rPr>
            </w:pPr>
            <w:r w:rsidRPr="000E39A3">
              <w:rPr>
                <w:rFonts w:ascii="Verdana" w:hAnsi="Verdana" w:cs="Arial"/>
                <w:lang w:val="es-ES"/>
              </w:rPr>
              <w:lastRenderedPageBreak/>
              <w:t>Ley 2069 de 2020: Artículo 23.</w:t>
            </w:r>
          </w:p>
          <w:p w14:paraId="6D32A930" w14:textId="77777777" w:rsidR="00EE32A8" w:rsidRPr="000E39A3" w:rsidRDefault="00EE32A8" w:rsidP="00EE32A8">
            <w:pPr>
              <w:numPr>
                <w:ilvl w:val="0"/>
                <w:numId w:val="20"/>
              </w:numPr>
              <w:spacing w:line="360" w:lineRule="auto"/>
              <w:contextualSpacing/>
              <w:jc w:val="both"/>
              <w:rPr>
                <w:rFonts w:ascii="Verdana" w:hAnsi="Verdana" w:cs="Arial"/>
                <w:lang w:val="es-ES"/>
              </w:rPr>
            </w:pPr>
            <w:r w:rsidRPr="000E39A3">
              <w:rPr>
                <w:rFonts w:ascii="Verdana" w:hAnsi="Verdana" w:cs="Arial"/>
                <w:lang w:val="es-ES"/>
              </w:rPr>
              <w:t xml:space="preserve">Ley 2294 de 2023: Artículo 100. </w:t>
            </w:r>
          </w:p>
          <w:p w14:paraId="4B9188B4" w14:textId="77777777" w:rsidR="00EE32A8" w:rsidRPr="000E39A3" w:rsidRDefault="00EE32A8" w:rsidP="00EE32A8">
            <w:pPr>
              <w:numPr>
                <w:ilvl w:val="0"/>
                <w:numId w:val="20"/>
              </w:numPr>
              <w:spacing w:line="360" w:lineRule="auto"/>
              <w:contextualSpacing/>
              <w:jc w:val="both"/>
              <w:rPr>
                <w:rFonts w:ascii="Verdana" w:hAnsi="Verdana" w:cs="Arial"/>
                <w:lang w:val="es-ES"/>
              </w:rPr>
            </w:pPr>
            <w:r w:rsidRPr="000E39A3">
              <w:rPr>
                <w:rFonts w:ascii="Verdana" w:hAnsi="Verdana" w:cs="Arial"/>
                <w:lang w:val="es-ES"/>
              </w:rPr>
              <w:t>Código Civil: Artículos 28, 29 y 633.</w:t>
            </w:r>
          </w:p>
          <w:p w14:paraId="29363B62" w14:textId="77777777" w:rsidR="00EE32A8" w:rsidRPr="000E39A3" w:rsidRDefault="00EE32A8" w:rsidP="00EE32A8">
            <w:pPr>
              <w:numPr>
                <w:ilvl w:val="0"/>
                <w:numId w:val="20"/>
              </w:numPr>
              <w:spacing w:line="276" w:lineRule="auto"/>
              <w:contextualSpacing/>
              <w:jc w:val="both"/>
              <w:rPr>
                <w:rFonts w:ascii="Verdana" w:hAnsi="Verdana" w:cs="Arial"/>
                <w:lang w:val="es-ES"/>
              </w:rPr>
            </w:pPr>
            <w:r w:rsidRPr="000E39A3">
              <w:rPr>
                <w:rFonts w:ascii="Verdana" w:hAnsi="Verdana" w:cs="Arial"/>
                <w:lang w:val="es-ES"/>
              </w:rPr>
              <w:t>Código de Comercio: Artículos 10, 11, 20, 21, 22, 23, 25, 29, 98 y 515.</w:t>
            </w:r>
          </w:p>
          <w:p w14:paraId="2090D7D9" w14:textId="77777777" w:rsidR="00EE32A8" w:rsidRPr="000E39A3" w:rsidRDefault="00EE32A8" w:rsidP="00EE32A8">
            <w:pPr>
              <w:numPr>
                <w:ilvl w:val="0"/>
                <w:numId w:val="20"/>
              </w:numPr>
              <w:spacing w:line="360" w:lineRule="auto"/>
              <w:contextualSpacing/>
              <w:jc w:val="both"/>
              <w:rPr>
                <w:rFonts w:ascii="Verdana" w:hAnsi="Verdana" w:cs="Arial"/>
                <w:lang w:val="es-ES"/>
              </w:rPr>
            </w:pPr>
            <w:r w:rsidRPr="000E39A3">
              <w:rPr>
                <w:rFonts w:ascii="Verdana" w:hAnsi="Verdana" w:cs="Arial"/>
                <w:lang w:val="es-ES"/>
              </w:rPr>
              <w:t xml:space="preserve">Decreto 1074 de 2015: Artículo 2.2.1.13.2.2. </w:t>
            </w:r>
          </w:p>
          <w:p w14:paraId="6FB570FA" w14:textId="77777777" w:rsidR="00EE32A8" w:rsidRPr="000E39A3" w:rsidRDefault="00EE32A8" w:rsidP="00EE32A8">
            <w:pPr>
              <w:numPr>
                <w:ilvl w:val="0"/>
                <w:numId w:val="20"/>
              </w:numPr>
              <w:spacing w:line="276" w:lineRule="auto"/>
              <w:contextualSpacing/>
              <w:jc w:val="both"/>
              <w:rPr>
                <w:rFonts w:ascii="Verdana" w:hAnsi="Verdana" w:cs="Arial"/>
                <w:lang w:val="es-ES"/>
              </w:rPr>
            </w:pPr>
            <w:r w:rsidRPr="000E39A3">
              <w:rPr>
                <w:rFonts w:ascii="Verdana" w:hAnsi="Verdana" w:cs="Arial"/>
              </w:rPr>
              <w:t>Decreto 1082 de 2015: Artículos 2.2.1.1.1.3.1, 2.2.1.1.2.1.1, 2.2.1.2.1.4.1, 2.2.16.1.4, 2.2.16.1.5, 2.2.16.1.6 y 2.2.16.1.8.</w:t>
            </w:r>
          </w:p>
        </w:tc>
      </w:tr>
    </w:tbl>
    <w:p w14:paraId="319115C1" w14:textId="77777777" w:rsidR="00EE32A8" w:rsidRPr="000E39A3" w:rsidRDefault="00EE32A8" w:rsidP="00EE32A8">
      <w:pPr>
        <w:spacing w:after="0" w:line="276" w:lineRule="auto"/>
        <w:ind w:right="709"/>
        <w:jc w:val="both"/>
        <w:rPr>
          <w:rFonts w:ascii="Verdana" w:hAnsi="Verdana" w:cs="Arial"/>
          <w:color w:val="000000" w:themeColor="text1"/>
          <w:lang w:val="es-ES_tradnl"/>
        </w:rPr>
      </w:pPr>
    </w:p>
    <w:p w14:paraId="25FC642F" w14:textId="77777777" w:rsidR="00EE32A8" w:rsidRPr="000E39A3" w:rsidRDefault="00EE32A8" w:rsidP="00EE32A8">
      <w:pPr>
        <w:numPr>
          <w:ilvl w:val="0"/>
          <w:numId w:val="19"/>
        </w:numPr>
        <w:spacing w:after="0" w:line="256" w:lineRule="auto"/>
        <w:ind w:left="720"/>
        <w:rPr>
          <w:rFonts w:ascii="Verdana" w:eastAsia="Calibri" w:hAnsi="Verdana" w:cs="Times New Roman"/>
          <w:b/>
          <w:bCs/>
          <w:lang w:val="es-ES"/>
        </w:rPr>
      </w:pPr>
      <w:r w:rsidRPr="000E39A3">
        <w:rPr>
          <w:rFonts w:ascii="Verdana" w:eastAsia="Calibri" w:hAnsi="Verdana" w:cs="Times New Roman"/>
          <w:b/>
          <w:bCs/>
          <w:lang w:val="es-ES"/>
        </w:rPr>
        <w:t>Doctrina de la Agencia Nacional de Contratación Pública:</w:t>
      </w:r>
    </w:p>
    <w:p w14:paraId="5E9C1519" w14:textId="77777777" w:rsidR="00EE32A8" w:rsidRPr="001669C8" w:rsidRDefault="00EE32A8" w:rsidP="00EE32A8">
      <w:pPr>
        <w:widowControl w:val="0"/>
        <w:autoSpaceDE w:val="0"/>
        <w:autoSpaceDN w:val="0"/>
        <w:spacing w:after="0" w:line="276" w:lineRule="auto"/>
        <w:jc w:val="both"/>
        <w:rPr>
          <w:rFonts w:ascii="Verdana" w:hAnsi="Verdana" w:cs="Arial"/>
          <w:bCs/>
          <w:shd w:val="clear" w:color="auto" w:fill="FFFFFF"/>
        </w:rPr>
      </w:pPr>
    </w:p>
    <w:p w14:paraId="24E23880" w14:textId="77777777" w:rsidR="00EE32A8" w:rsidRPr="001669C8" w:rsidRDefault="00EE32A8" w:rsidP="00EE32A8">
      <w:pPr>
        <w:spacing w:after="0" w:line="276" w:lineRule="auto"/>
        <w:jc w:val="both"/>
        <w:rPr>
          <w:rFonts w:ascii="Verdana" w:eastAsia="Calibri" w:hAnsi="Verdana" w:cs="Times New Roman"/>
        </w:rPr>
      </w:pPr>
      <w:r w:rsidRPr="001669C8">
        <w:rPr>
          <w:rFonts w:ascii="Verdana" w:hAnsi="Verdana" w:cs="Arial"/>
          <w:bCs/>
          <w:shd w:val="clear" w:color="auto" w:fill="FFFFFF"/>
        </w:rPr>
        <w:t>La Agencia Nacional de Contratación Pública – Colombia Compra Eficiente, se ha pronunciado en diferentes conceptos sobre la Asociaciones Público-Populares y la Economía Popular en: Conceptos C-394 del 19 de septiembre de 2024</w:t>
      </w:r>
      <w:r w:rsidRPr="001669C8">
        <w:rPr>
          <w:rFonts w:ascii="Verdana" w:hAnsi="Verdana" w:cs="Arial"/>
          <w:bCs/>
          <w:shd w:val="clear" w:color="auto" w:fill="FFFFFF"/>
          <w:lang w:val="es-ES"/>
        </w:rPr>
        <w:t>,</w:t>
      </w:r>
      <w:r w:rsidRPr="001669C8">
        <w:rPr>
          <w:rFonts w:ascii="Verdana" w:hAnsi="Verdana" w:cs="Arial"/>
          <w:bCs/>
          <w:shd w:val="clear" w:color="auto" w:fill="FFFFFF"/>
        </w:rPr>
        <w:t xml:space="preserve"> C-639 del 5 de noviembre de 2024, C-575 del 22 de octubre de 2024, entre otros. </w:t>
      </w:r>
      <w:r w:rsidRPr="001669C8">
        <w:rPr>
          <w:rFonts w:ascii="Verdana" w:eastAsia="Calibri" w:hAnsi="Verdana" w:cs="Times New Roman"/>
        </w:rPr>
        <w:t xml:space="preserve">Estos y otros conceptos se encuentran disponibles para consulta en el Sistema de Relatoría de la Agencia, en el cual también podrás encontrar jurisprudencia del Consejo de Estado, laudos arbitrales y la normativa de la contratación concordada con la doctrina de la Subdirección de Gestión Contractual, accede a través del siguiente enlace: </w:t>
      </w:r>
      <w:hyperlink r:id="rId14" w:history="1">
        <w:r w:rsidRPr="001669C8">
          <w:rPr>
            <w:rFonts w:ascii="Verdana" w:eastAsia="Calibri" w:hAnsi="Verdana" w:cs="Times New Roman"/>
            <w:color w:val="0000FF"/>
            <w:u w:val="single"/>
            <w:lang w:val="es-ES"/>
          </w:rPr>
          <w:t>https://relatoria.colombiacompra.gov.co/busqueda/conceptos</w:t>
        </w:r>
      </w:hyperlink>
      <w:r w:rsidRPr="001669C8">
        <w:rPr>
          <w:rFonts w:ascii="Verdana" w:eastAsia="Calibri" w:hAnsi="Verdana" w:cs="Times New Roman"/>
        </w:rPr>
        <w:t xml:space="preserve">. </w:t>
      </w:r>
      <w:r w:rsidRPr="001669C8">
        <w:rPr>
          <w:rFonts w:ascii="Verdana" w:eastAsia="Calibri" w:hAnsi="Verdana" w:cs="Times New Roman"/>
        </w:rPr>
        <w:br/>
      </w:r>
    </w:p>
    <w:p w14:paraId="159E46DE" w14:textId="77777777" w:rsidR="00EE32A8" w:rsidRPr="001669C8" w:rsidRDefault="00EE32A8" w:rsidP="00EE32A8">
      <w:pPr>
        <w:spacing w:after="0" w:line="276" w:lineRule="auto"/>
        <w:jc w:val="both"/>
        <w:rPr>
          <w:rFonts w:ascii="Verdana" w:eastAsia="Calibri" w:hAnsi="Verdana" w:cs="Times New Roman"/>
        </w:rPr>
      </w:pPr>
      <w:r w:rsidRPr="001669C8">
        <w:rPr>
          <w:rFonts w:ascii="Verdana" w:eastAsia="Calibri" w:hAnsi="Verdana" w:cs="Times New Roman"/>
        </w:rPr>
        <w:t>Le informamos que ya se encuentran disponibles los borradores de las nuevas versiones de documentos tipo del sector infraestructura social (Subsectores: institucional, vivienda, salud, educación, cultura y deporte) en las modalidades de licitación pública, selección abreviada de menor cuantía y mínima cuantía para comentarios. Dichos documentos estarán publicados hasta el próximo 16 de mayo de 2025.  Puede consultar la información en el siguiente enlace:</w:t>
      </w:r>
      <w:r w:rsidRPr="001669C8">
        <w:rPr>
          <w:rFonts w:ascii="Verdana" w:eastAsia="Calibri" w:hAnsi="Verdana" w:cs="Times New Roman"/>
          <w:b/>
          <w:bCs/>
        </w:rPr>
        <w:t> </w:t>
      </w:r>
      <w:hyperlink r:id="rId15" w:tgtFrame="_blank" w:tooltip="Dirección URL original: https://www.colombiacompra.gov.co/normativa-y-relatoria/documentos-tipo. Haga clic o pulse si confía en este vínculo." w:history="1">
        <w:r w:rsidRPr="001669C8">
          <w:rPr>
            <w:rStyle w:val="Hipervnculo"/>
            <w:rFonts w:ascii="Verdana" w:eastAsia="Calibri" w:hAnsi="Verdana" w:cs="Times New Roman"/>
            <w:b/>
            <w:bCs/>
          </w:rPr>
          <w:t>Documentos Tipo – ANCP Colombia Compra Eficiente</w:t>
        </w:r>
      </w:hyperlink>
      <w:r w:rsidRPr="001669C8">
        <w:rPr>
          <w:rFonts w:ascii="Verdana" w:eastAsia="Calibri" w:hAnsi="Verdana" w:cs="Times New Roman"/>
          <w:u w:val="single"/>
        </w:rPr>
        <w:t> </w:t>
      </w:r>
    </w:p>
    <w:p w14:paraId="7411673F" w14:textId="77777777" w:rsidR="00EE32A8" w:rsidRPr="001669C8" w:rsidRDefault="00EE32A8" w:rsidP="00EE32A8">
      <w:pPr>
        <w:spacing w:after="0" w:line="276" w:lineRule="auto"/>
        <w:jc w:val="both"/>
        <w:rPr>
          <w:rFonts w:ascii="Verdana" w:eastAsia="Calibri" w:hAnsi="Verdana" w:cs="Times New Roman"/>
          <w:lang w:val="es-ES"/>
        </w:rPr>
      </w:pPr>
    </w:p>
    <w:p w14:paraId="5AB2C95B" w14:textId="77777777" w:rsidR="00EE32A8" w:rsidRPr="001669C8" w:rsidRDefault="00EE32A8" w:rsidP="00EE32A8">
      <w:pPr>
        <w:spacing w:after="0" w:line="276" w:lineRule="auto"/>
        <w:jc w:val="both"/>
        <w:rPr>
          <w:rFonts w:ascii="Verdana" w:hAnsi="Verdana"/>
        </w:rPr>
      </w:pPr>
      <w:r w:rsidRPr="001669C8">
        <w:rPr>
          <w:rFonts w:ascii="Verdana" w:hAnsi="Verdana"/>
        </w:rPr>
        <w:t xml:space="preserve">Por último, aprovechamos la oportunidad de manifestar la entera disposición de la Agencia Nacional de Contratación Pública –Colombia Compra Eficiente– para atender las peticiones o solicitudes, así como para brindar el apoyo que se requiera en el marco de nuestras funciones a través de nuestros diferentes canales de atención: </w:t>
      </w:r>
    </w:p>
    <w:p w14:paraId="17E39070" w14:textId="77777777" w:rsidR="00EE32A8" w:rsidRPr="001669C8" w:rsidRDefault="00EE32A8" w:rsidP="00EE32A8">
      <w:pPr>
        <w:spacing w:after="0" w:line="276" w:lineRule="auto"/>
        <w:jc w:val="both"/>
        <w:rPr>
          <w:rFonts w:ascii="Verdana" w:hAnsi="Verdana"/>
        </w:rPr>
      </w:pPr>
    </w:p>
    <w:p w14:paraId="1028CD24" w14:textId="77777777" w:rsidR="00EE32A8" w:rsidRPr="001669C8" w:rsidRDefault="00EE32A8" w:rsidP="00EE32A8">
      <w:pPr>
        <w:numPr>
          <w:ilvl w:val="0"/>
          <w:numId w:val="15"/>
        </w:numPr>
        <w:spacing w:after="0" w:line="276" w:lineRule="auto"/>
        <w:jc w:val="both"/>
        <w:rPr>
          <w:rFonts w:ascii="Verdana" w:hAnsi="Verdana"/>
          <w:lang w:val="es-ES"/>
        </w:rPr>
      </w:pPr>
      <w:r w:rsidRPr="001669C8">
        <w:rPr>
          <w:rFonts w:ascii="Verdana" w:hAnsi="Verdana"/>
          <w:lang w:val="es-ES"/>
        </w:rPr>
        <w:t>Línea nacional gratuita o servicio a la ciudadanía: 01800 0520808</w:t>
      </w:r>
    </w:p>
    <w:p w14:paraId="08529741" w14:textId="77777777" w:rsidR="00EE32A8" w:rsidRPr="001669C8" w:rsidRDefault="00EE32A8" w:rsidP="00EE32A8">
      <w:pPr>
        <w:numPr>
          <w:ilvl w:val="0"/>
          <w:numId w:val="15"/>
        </w:numPr>
        <w:spacing w:after="0" w:line="276" w:lineRule="auto"/>
        <w:jc w:val="both"/>
        <w:rPr>
          <w:rFonts w:ascii="Verdana" w:hAnsi="Verdana"/>
          <w:lang w:val="es-ES"/>
        </w:rPr>
      </w:pPr>
      <w:r w:rsidRPr="001669C8">
        <w:rPr>
          <w:rFonts w:ascii="Verdana" w:hAnsi="Verdana"/>
          <w:lang w:val="es-ES"/>
        </w:rPr>
        <w:lastRenderedPageBreak/>
        <w:t>Línea en Bogotá (Mesa de servicio): +57 601 7456788</w:t>
      </w:r>
    </w:p>
    <w:p w14:paraId="63813C6D" w14:textId="77777777" w:rsidR="00EE32A8" w:rsidRPr="001669C8" w:rsidRDefault="00EE32A8" w:rsidP="00EE32A8">
      <w:pPr>
        <w:numPr>
          <w:ilvl w:val="0"/>
          <w:numId w:val="15"/>
        </w:numPr>
        <w:spacing w:after="0" w:line="276" w:lineRule="auto"/>
        <w:jc w:val="both"/>
        <w:rPr>
          <w:rFonts w:ascii="Verdana" w:hAnsi="Verdana"/>
          <w:lang w:val="es-ES"/>
        </w:rPr>
      </w:pPr>
      <w:r w:rsidRPr="001669C8">
        <w:rPr>
          <w:rFonts w:ascii="Verdana" w:hAnsi="Verdana"/>
          <w:lang w:val="es-ES"/>
        </w:rPr>
        <w:t>Línea de servicio y atención al ciudadano: +57 601 7956600</w:t>
      </w:r>
    </w:p>
    <w:p w14:paraId="6FF81B0E" w14:textId="77777777" w:rsidR="00EE32A8" w:rsidRPr="001669C8" w:rsidRDefault="00EE32A8" w:rsidP="00EE32A8">
      <w:pPr>
        <w:numPr>
          <w:ilvl w:val="0"/>
          <w:numId w:val="15"/>
        </w:numPr>
        <w:spacing w:after="0" w:line="276" w:lineRule="auto"/>
        <w:jc w:val="both"/>
        <w:rPr>
          <w:rFonts w:ascii="Verdana" w:hAnsi="Verdana"/>
          <w:lang w:val="es-ES"/>
        </w:rPr>
      </w:pPr>
      <w:r w:rsidRPr="001669C8">
        <w:rPr>
          <w:rFonts w:ascii="Verdana" w:hAnsi="Verdana"/>
          <w:lang w:val="es-ES"/>
        </w:rPr>
        <w:t xml:space="preserve">Página web: </w:t>
      </w:r>
      <w:hyperlink r:id="rId16" w:history="1">
        <w:r w:rsidRPr="001669C8">
          <w:rPr>
            <w:rFonts w:ascii="Verdana" w:hAnsi="Verdana"/>
            <w:color w:val="0000FF"/>
            <w:u w:val="single"/>
            <w:lang w:val="es-ES"/>
          </w:rPr>
          <w:t>www.colombiacompra.gov.co</w:t>
        </w:r>
      </w:hyperlink>
    </w:p>
    <w:p w14:paraId="1C32D2C9" w14:textId="77777777" w:rsidR="00EE32A8" w:rsidRPr="001669C8" w:rsidRDefault="00EE32A8" w:rsidP="00EE32A8">
      <w:pPr>
        <w:spacing w:after="0" w:line="276" w:lineRule="auto"/>
        <w:ind w:left="785"/>
        <w:jc w:val="both"/>
        <w:rPr>
          <w:rFonts w:ascii="Verdana" w:hAnsi="Verdana"/>
          <w:lang w:val="es-ES"/>
        </w:rPr>
      </w:pPr>
    </w:p>
    <w:p w14:paraId="64CD35AB" w14:textId="77777777" w:rsidR="00EE32A8" w:rsidRPr="001669C8" w:rsidRDefault="00EE32A8" w:rsidP="00EE32A8">
      <w:pPr>
        <w:spacing w:after="0" w:line="276" w:lineRule="auto"/>
        <w:jc w:val="both"/>
        <w:rPr>
          <w:rFonts w:ascii="Verdana" w:hAnsi="Verdana"/>
        </w:rPr>
      </w:pPr>
      <w:r w:rsidRPr="001669C8">
        <w:rPr>
          <w:rFonts w:ascii="Verdana" w:hAnsi="Verdana"/>
        </w:rPr>
        <w:t xml:space="preserve">Por último, lo invitamos a seguirnos en las redes sociales en las cuales se difunde información institucional: </w:t>
      </w:r>
    </w:p>
    <w:p w14:paraId="2F90DA5B" w14:textId="77777777" w:rsidR="00EE32A8" w:rsidRPr="001669C8" w:rsidRDefault="00EE32A8" w:rsidP="00EE32A8">
      <w:pPr>
        <w:spacing w:after="0" w:line="276" w:lineRule="auto"/>
        <w:jc w:val="both"/>
        <w:rPr>
          <w:rFonts w:ascii="Verdana" w:hAnsi="Verdana"/>
        </w:rPr>
      </w:pPr>
    </w:p>
    <w:p w14:paraId="6315AADA" w14:textId="77777777" w:rsidR="00EE32A8" w:rsidRPr="001669C8" w:rsidRDefault="00EE32A8" w:rsidP="00EE32A8">
      <w:pPr>
        <w:spacing w:after="0" w:line="276" w:lineRule="auto"/>
        <w:jc w:val="both"/>
        <w:rPr>
          <w:rFonts w:ascii="Verdana" w:hAnsi="Verdana"/>
        </w:rPr>
      </w:pPr>
      <w:r w:rsidRPr="001669C8">
        <w:rPr>
          <w:rFonts w:ascii="Verdana" w:hAnsi="Verdana"/>
        </w:rPr>
        <w:t xml:space="preserve">Twitter: </w:t>
      </w:r>
      <w:r w:rsidRPr="001669C8">
        <w:rPr>
          <w:rFonts w:ascii="Verdana" w:hAnsi="Verdana"/>
          <w:color w:val="0000FF"/>
          <w:u w:val="single"/>
        </w:rPr>
        <w:t>@colombiacompra</w:t>
      </w:r>
      <w:r w:rsidRPr="001669C8">
        <w:rPr>
          <w:rFonts w:ascii="Verdana" w:hAnsi="Verdana"/>
        </w:rPr>
        <w:t xml:space="preserve"> </w:t>
      </w:r>
    </w:p>
    <w:p w14:paraId="51484636" w14:textId="77777777" w:rsidR="00EE32A8" w:rsidRPr="001669C8" w:rsidRDefault="00EE32A8" w:rsidP="00EE32A8">
      <w:pPr>
        <w:spacing w:after="0" w:line="276" w:lineRule="auto"/>
        <w:jc w:val="both"/>
        <w:rPr>
          <w:rFonts w:ascii="Verdana" w:hAnsi="Verdana"/>
        </w:rPr>
      </w:pPr>
      <w:r w:rsidRPr="001669C8">
        <w:rPr>
          <w:rFonts w:ascii="Verdana" w:hAnsi="Verdana"/>
        </w:rPr>
        <w:t xml:space="preserve">Facebook: </w:t>
      </w:r>
      <w:proofErr w:type="spellStart"/>
      <w:r w:rsidRPr="001669C8">
        <w:rPr>
          <w:rFonts w:ascii="Verdana" w:hAnsi="Verdana"/>
          <w:color w:val="0000FF"/>
          <w:u w:val="single"/>
        </w:rPr>
        <w:t>ColombiaCompraEficiente</w:t>
      </w:r>
      <w:proofErr w:type="spellEnd"/>
    </w:p>
    <w:p w14:paraId="5CBA575D" w14:textId="77777777" w:rsidR="00EE32A8" w:rsidRPr="001669C8" w:rsidRDefault="00EE32A8" w:rsidP="00EE32A8">
      <w:pPr>
        <w:spacing w:after="0" w:line="276" w:lineRule="auto"/>
        <w:jc w:val="both"/>
        <w:rPr>
          <w:rFonts w:ascii="Verdana" w:hAnsi="Verdana"/>
        </w:rPr>
      </w:pPr>
      <w:r w:rsidRPr="001669C8">
        <w:rPr>
          <w:rFonts w:ascii="Verdana" w:hAnsi="Verdana"/>
        </w:rPr>
        <w:t xml:space="preserve">LinkedIn: </w:t>
      </w:r>
      <w:r w:rsidRPr="001669C8">
        <w:rPr>
          <w:rFonts w:ascii="Verdana" w:hAnsi="Verdana"/>
          <w:color w:val="0000FF"/>
          <w:u w:val="single"/>
        </w:rPr>
        <w:t>Agencia Nacional de Contratación Pública - Colombia Compra Eficiente</w:t>
      </w:r>
      <w:r w:rsidRPr="001669C8">
        <w:rPr>
          <w:rFonts w:ascii="Verdana" w:hAnsi="Verdana"/>
        </w:rPr>
        <w:t xml:space="preserve"> Instagram: </w:t>
      </w:r>
      <w:r w:rsidRPr="001669C8">
        <w:rPr>
          <w:rFonts w:ascii="Verdana" w:hAnsi="Verdana"/>
          <w:color w:val="0000FF"/>
          <w:u w:val="single"/>
        </w:rPr>
        <w:t>@colombiacompraeficiente_cce</w:t>
      </w:r>
    </w:p>
    <w:p w14:paraId="73B66B24" w14:textId="77777777" w:rsidR="00EE32A8" w:rsidRPr="001669C8" w:rsidRDefault="00EE32A8" w:rsidP="00EE32A8">
      <w:pPr>
        <w:spacing w:after="0" w:line="276" w:lineRule="auto"/>
        <w:jc w:val="both"/>
        <w:rPr>
          <w:rFonts w:ascii="Verdana" w:hAnsi="Verdana"/>
        </w:rPr>
      </w:pPr>
    </w:p>
    <w:p w14:paraId="3839348C" w14:textId="77777777" w:rsidR="00EE32A8" w:rsidRPr="001669C8" w:rsidRDefault="00EE32A8" w:rsidP="00EE32A8">
      <w:pPr>
        <w:spacing w:after="0" w:line="276" w:lineRule="auto"/>
        <w:jc w:val="both"/>
        <w:rPr>
          <w:rFonts w:ascii="Verdana" w:eastAsia="Calibri" w:hAnsi="Verdana" w:cs="Times New Roman"/>
          <w:bCs/>
          <w:lang w:val="es-ES_tradnl"/>
        </w:rPr>
      </w:pPr>
      <w:r w:rsidRPr="001669C8">
        <w:rPr>
          <w:rFonts w:ascii="Verdana" w:eastAsia="Calibri" w:hAnsi="Verdana" w:cs="Times New Roman"/>
          <w:lang w:val="es-ES_tradnl"/>
        </w:rPr>
        <w:t>Este concepto tiene el alcance previsto en el artículo 28 del Código de Procedimiento Administrativo y de lo Contencioso Administrativo y las expresiones utilizadas con mayúscula inicial deben ser entendidas con el significado que les otorga el artículo 2.2.1.1.1.3.1 del Decreto 1082 de 2015.</w:t>
      </w:r>
    </w:p>
    <w:p w14:paraId="05A1AB11" w14:textId="77777777" w:rsidR="00EE32A8" w:rsidRPr="001669C8" w:rsidRDefault="00EE32A8" w:rsidP="00EE32A8">
      <w:pPr>
        <w:spacing w:after="0" w:line="276" w:lineRule="auto"/>
        <w:jc w:val="both"/>
        <w:rPr>
          <w:rFonts w:ascii="Verdana" w:eastAsia="Calibri" w:hAnsi="Verdana" w:cs="Times New Roman"/>
        </w:rPr>
      </w:pPr>
    </w:p>
    <w:p w14:paraId="0DA87052" w14:textId="4DBB780F" w:rsidR="00EE32A8" w:rsidRPr="001669C8" w:rsidRDefault="00EE32A8" w:rsidP="00EE32A8">
      <w:pPr>
        <w:spacing w:after="0" w:line="276" w:lineRule="auto"/>
        <w:jc w:val="both"/>
        <w:rPr>
          <w:rFonts w:ascii="Verdana" w:eastAsia="Calibri" w:hAnsi="Verdana" w:cs="Times New Roman"/>
        </w:rPr>
      </w:pPr>
      <w:r w:rsidRPr="001669C8">
        <w:rPr>
          <w:rFonts w:ascii="Verdana" w:eastAsia="Calibri" w:hAnsi="Verdana" w:cs="Times New Roman"/>
        </w:rPr>
        <w:t>Atentamente,</w:t>
      </w:r>
    </w:p>
    <w:p w14:paraId="4C3300AD" w14:textId="1D1EB7BF" w:rsidR="00EE32A8" w:rsidRPr="000E39A3" w:rsidRDefault="008E7379" w:rsidP="008E7379">
      <w:pPr>
        <w:spacing w:after="0" w:line="256" w:lineRule="auto"/>
        <w:jc w:val="center"/>
        <w:rPr>
          <w:rFonts w:ascii="Century Gothic" w:hAnsi="Century Gothic"/>
          <w:noProof/>
          <w:lang w:val="en-US"/>
        </w:rPr>
      </w:pPr>
      <w:r w:rsidRPr="002C3AD6">
        <w:rPr>
          <w:rFonts w:ascii="Century Gothic" w:hAnsi="Century Gothic"/>
          <w:noProof/>
          <w:lang w:val="en-US"/>
        </w:rPr>
        <w:drawing>
          <wp:inline distT="0" distB="0" distL="0" distR="0" wp14:anchorId="5CFD3174" wp14:editId="785F19D6">
            <wp:extent cx="3772426" cy="1400370"/>
            <wp:effectExtent l="0" t="0" r="0" b="9525"/>
            <wp:docPr id="4" name="Imagen 4" descr="Texto&#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80277293" name="Imagen 1" descr="Texto&#10;&#10;Descripción generada automáticamente"/>
                    <pic:cNvPicPr/>
                  </pic:nvPicPr>
                  <pic:blipFill>
                    <a:blip r:embed="rId17"/>
                    <a:stretch>
                      <a:fillRect/>
                    </a:stretch>
                  </pic:blipFill>
                  <pic:spPr>
                    <a:xfrm>
                      <a:off x="0" y="0"/>
                      <a:ext cx="3772426" cy="1400370"/>
                    </a:xfrm>
                    <a:prstGeom prst="rect">
                      <a:avLst/>
                    </a:prstGeom>
                  </pic:spPr>
                </pic:pic>
              </a:graphicData>
            </a:graphic>
          </wp:inline>
        </w:drawing>
      </w:r>
    </w:p>
    <w:tbl>
      <w:tblPr>
        <w:tblW w:w="5754" w:type="dxa"/>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817"/>
        <w:gridCol w:w="4937"/>
      </w:tblGrid>
      <w:tr w:rsidR="00EE32A8" w:rsidRPr="000E39A3" w14:paraId="7DC695CA" w14:textId="77777777" w:rsidTr="005258B7">
        <w:trPr>
          <w:trHeight w:val="409"/>
        </w:trPr>
        <w:tc>
          <w:tcPr>
            <w:tcW w:w="817" w:type="dxa"/>
            <w:tcBorders>
              <w:top w:val="nil"/>
              <w:left w:val="nil"/>
              <w:bottom w:val="nil"/>
              <w:right w:val="nil"/>
            </w:tcBorders>
            <w:vAlign w:val="center"/>
            <w:hideMark/>
          </w:tcPr>
          <w:p w14:paraId="5BADD5BF" w14:textId="77777777" w:rsidR="00EE32A8" w:rsidRPr="000E39A3" w:rsidRDefault="00EE32A8" w:rsidP="005258B7">
            <w:pPr>
              <w:spacing w:after="0" w:line="240" w:lineRule="auto"/>
              <w:rPr>
                <w:rFonts w:ascii="Verdana" w:eastAsia="Calibri" w:hAnsi="Verdana" w:cs="Times New Roman"/>
                <w:sz w:val="16"/>
                <w:szCs w:val="16"/>
              </w:rPr>
            </w:pPr>
            <w:r w:rsidRPr="000E39A3">
              <w:rPr>
                <w:rFonts w:ascii="Verdana" w:eastAsia="Calibri" w:hAnsi="Verdana" w:cs="Times New Roman"/>
                <w:sz w:val="16"/>
                <w:szCs w:val="16"/>
              </w:rPr>
              <w:t>Elaboró: </w:t>
            </w:r>
          </w:p>
        </w:tc>
        <w:tc>
          <w:tcPr>
            <w:tcW w:w="4937" w:type="dxa"/>
            <w:tcBorders>
              <w:top w:val="nil"/>
              <w:left w:val="nil"/>
              <w:bottom w:val="dotted" w:sz="6" w:space="0" w:color="7F7F7F" w:themeColor="text1" w:themeTint="80"/>
              <w:right w:val="nil"/>
            </w:tcBorders>
            <w:vAlign w:val="center"/>
            <w:hideMark/>
          </w:tcPr>
          <w:p w14:paraId="36EDE59E" w14:textId="77777777" w:rsidR="00EE32A8" w:rsidRPr="000E39A3" w:rsidRDefault="00EE32A8" w:rsidP="005258B7">
            <w:pPr>
              <w:spacing w:after="0" w:line="240" w:lineRule="auto"/>
              <w:rPr>
                <w:rFonts w:ascii="Verdana" w:eastAsia="Calibri" w:hAnsi="Verdana" w:cs="Times New Roman"/>
                <w:sz w:val="16"/>
                <w:szCs w:val="16"/>
              </w:rPr>
            </w:pPr>
            <w:r w:rsidRPr="000E39A3">
              <w:rPr>
                <w:rFonts w:ascii="Verdana" w:eastAsia="Calibri" w:hAnsi="Verdana" w:cs="Times New Roman"/>
                <w:sz w:val="16"/>
                <w:szCs w:val="16"/>
              </w:rPr>
              <w:t xml:space="preserve">José Luis Sánchez Cardona </w:t>
            </w:r>
          </w:p>
          <w:p w14:paraId="5F8EA115" w14:textId="77777777" w:rsidR="00EE32A8" w:rsidRPr="000E39A3" w:rsidRDefault="00EE32A8" w:rsidP="005258B7">
            <w:pPr>
              <w:spacing w:after="0" w:line="240" w:lineRule="auto"/>
              <w:rPr>
                <w:rFonts w:ascii="Verdana" w:eastAsia="Calibri" w:hAnsi="Verdana" w:cs="Times New Roman"/>
                <w:sz w:val="16"/>
                <w:szCs w:val="16"/>
              </w:rPr>
            </w:pPr>
            <w:r w:rsidRPr="000E39A3">
              <w:rPr>
                <w:rFonts w:ascii="Verdana" w:eastAsia="Calibri" w:hAnsi="Verdana" w:cs="Times New Roman"/>
                <w:sz w:val="16"/>
                <w:szCs w:val="16"/>
              </w:rPr>
              <w:t>Contratista de la Subdirección de Gestión Contractual</w:t>
            </w:r>
          </w:p>
        </w:tc>
      </w:tr>
      <w:tr w:rsidR="00EE32A8" w:rsidRPr="000E39A3" w14:paraId="76D08F89" w14:textId="77777777" w:rsidTr="005258B7">
        <w:trPr>
          <w:trHeight w:val="409"/>
        </w:trPr>
        <w:tc>
          <w:tcPr>
            <w:tcW w:w="817" w:type="dxa"/>
            <w:tcBorders>
              <w:top w:val="nil"/>
              <w:left w:val="nil"/>
              <w:bottom w:val="nil"/>
              <w:right w:val="nil"/>
            </w:tcBorders>
            <w:vAlign w:val="center"/>
            <w:hideMark/>
          </w:tcPr>
          <w:p w14:paraId="466D6D8E" w14:textId="77777777" w:rsidR="00EE32A8" w:rsidRPr="000E39A3" w:rsidRDefault="00EE32A8" w:rsidP="005258B7">
            <w:pPr>
              <w:spacing w:after="0" w:line="240" w:lineRule="auto"/>
              <w:rPr>
                <w:rFonts w:ascii="Verdana" w:eastAsia="Calibri" w:hAnsi="Verdana" w:cs="Times New Roman"/>
                <w:sz w:val="16"/>
                <w:szCs w:val="16"/>
              </w:rPr>
            </w:pPr>
            <w:r w:rsidRPr="000E39A3">
              <w:rPr>
                <w:rFonts w:ascii="Verdana" w:eastAsia="Calibri" w:hAnsi="Verdana" w:cs="Times New Roman"/>
                <w:sz w:val="16"/>
                <w:szCs w:val="16"/>
              </w:rPr>
              <w:t>Revisó </w:t>
            </w:r>
          </w:p>
        </w:tc>
        <w:tc>
          <w:tcPr>
            <w:tcW w:w="4937" w:type="dxa"/>
            <w:tcBorders>
              <w:top w:val="dotted" w:sz="6" w:space="0" w:color="7F7F7F" w:themeColor="text1" w:themeTint="80"/>
              <w:left w:val="nil"/>
              <w:bottom w:val="dotted" w:sz="6" w:space="0" w:color="7F7F7F" w:themeColor="text1" w:themeTint="80"/>
              <w:right w:val="nil"/>
            </w:tcBorders>
            <w:vAlign w:val="center"/>
            <w:hideMark/>
          </w:tcPr>
          <w:p w14:paraId="6F10AE22" w14:textId="77777777" w:rsidR="00EE32A8" w:rsidRPr="000E39A3" w:rsidRDefault="00EE32A8" w:rsidP="005258B7">
            <w:pPr>
              <w:spacing w:after="0" w:line="240" w:lineRule="auto"/>
              <w:rPr>
                <w:rFonts w:ascii="Verdana" w:eastAsia="Calibri" w:hAnsi="Verdana" w:cs="Times New Roman"/>
                <w:sz w:val="16"/>
                <w:szCs w:val="16"/>
              </w:rPr>
            </w:pPr>
            <w:r w:rsidRPr="000E39A3">
              <w:rPr>
                <w:rFonts w:ascii="Verdana" w:eastAsia="Calibri" w:hAnsi="Verdana" w:cs="Times New Roman"/>
                <w:sz w:val="16"/>
                <w:szCs w:val="16"/>
              </w:rPr>
              <w:t>Diana Lucía Saavedra Castañeda</w:t>
            </w:r>
          </w:p>
          <w:p w14:paraId="6DF54E7A" w14:textId="77777777" w:rsidR="00EE32A8" w:rsidRPr="000E39A3" w:rsidRDefault="00EE32A8" w:rsidP="005258B7">
            <w:pPr>
              <w:spacing w:after="0" w:line="240" w:lineRule="auto"/>
              <w:rPr>
                <w:rFonts w:ascii="Verdana" w:eastAsia="Calibri" w:hAnsi="Verdana" w:cs="Times New Roman"/>
                <w:sz w:val="16"/>
                <w:szCs w:val="16"/>
                <w:highlight w:val="yellow"/>
              </w:rPr>
            </w:pPr>
            <w:r w:rsidRPr="000E39A3">
              <w:rPr>
                <w:rFonts w:ascii="Verdana" w:eastAsia="Calibri" w:hAnsi="Verdana" w:cs="Times New Roman"/>
                <w:sz w:val="16"/>
                <w:szCs w:val="16"/>
              </w:rPr>
              <w:t>Contratista de la Subdirección de Gestión Contractual </w:t>
            </w:r>
          </w:p>
        </w:tc>
      </w:tr>
      <w:tr w:rsidR="00EE32A8" w:rsidRPr="000E39A3" w14:paraId="78181C63" w14:textId="77777777" w:rsidTr="005258B7">
        <w:trPr>
          <w:trHeight w:val="389"/>
        </w:trPr>
        <w:tc>
          <w:tcPr>
            <w:tcW w:w="817" w:type="dxa"/>
            <w:tcBorders>
              <w:top w:val="nil"/>
              <w:left w:val="nil"/>
              <w:bottom w:val="nil"/>
              <w:right w:val="nil"/>
            </w:tcBorders>
            <w:vAlign w:val="center"/>
            <w:hideMark/>
          </w:tcPr>
          <w:p w14:paraId="3A1F664B" w14:textId="77777777" w:rsidR="00EE32A8" w:rsidRPr="000E39A3" w:rsidRDefault="00EE32A8" w:rsidP="005258B7">
            <w:pPr>
              <w:spacing w:after="0" w:line="240" w:lineRule="auto"/>
              <w:rPr>
                <w:rFonts w:ascii="Verdana" w:eastAsia="Calibri" w:hAnsi="Verdana" w:cs="Times New Roman"/>
                <w:sz w:val="16"/>
                <w:szCs w:val="16"/>
              </w:rPr>
            </w:pPr>
            <w:r w:rsidRPr="000E39A3">
              <w:rPr>
                <w:rFonts w:ascii="Verdana" w:eastAsia="Calibri" w:hAnsi="Verdana" w:cs="Times New Roman"/>
                <w:sz w:val="16"/>
                <w:szCs w:val="16"/>
              </w:rPr>
              <w:t>Aprobó: </w:t>
            </w:r>
          </w:p>
        </w:tc>
        <w:tc>
          <w:tcPr>
            <w:tcW w:w="4937" w:type="dxa"/>
            <w:tcBorders>
              <w:top w:val="dotted" w:sz="6" w:space="0" w:color="7F7F7F" w:themeColor="text1" w:themeTint="80"/>
              <w:left w:val="nil"/>
              <w:bottom w:val="dotted" w:sz="6" w:space="0" w:color="7F7F7F" w:themeColor="text1" w:themeTint="80"/>
              <w:right w:val="nil"/>
            </w:tcBorders>
            <w:vAlign w:val="center"/>
            <w:hideMark/>
          </w:tcPr>
          <w:p w14:paraId="61A417E5" w14:textId="77777777" w:rsidR="00EE32A8" w:rsidRPr="000E39A3" w:rsidRDefault="00EE32A8" w:rsidP="005258B7">
            <w:pPr>
              <w:spacing w:after="0" w:line="240" w:lineRule="auto"/>
              <w:rPr>
                <w:rFonts w:ascii="Verdana" w:eastAsia="Calibri" w:hAnsi="Verdana" w:cs="Times New Roman"/>
                <w:sz w:val="16"/>
                <w:szCs w:val="16"/>
              </w:rPr>
            </w:pPr>
            <w:r w:rsidRPr="000E39A3">
              <w:rPr>
                <w:rFonts w:ascii="Verdana" w:eastAsia="Calibri" w:hAnsi="Verdana" w:cs="Times New Roman"/>
                <w:sz w:val="16"/>
                <w:szCs w:val="16"/>
              </w:rPr>
              <w:t xml:space="preserve">Carolina Quintero </w:t>
            </w:r>
            <w:proofErr w:type="spellStart"/>
            <w:r w:rsidRPr="000E39A3">
              <w:rPr>
                <w:rFonts w:ascii="Verdana" w:eastAsia="Calibri" w:hAnsi="Verdana" w:cs="Times New Roman"/>
                <w:sz w:val="16"/>
                <w:szCs w:val="16"/>
              </w:rPr>
              <w:t>Gacharná</w:t>
            </w:r>
            <w:proofErr w:type="spellEnd"/>
          </w:p>
          <w:p w14:paraId="6F35A56C" w14:textId="77777777" w:rsidR="00EE32A8" w:rsidRPr="000E39A3" w:rsidRDefault="00EE32A8" w:rsidP="005258B7">
            <w:pPr>
              <w:spacing w:after="0" w:line="240" w:lineRule="auto"/>
              <w:rPr>
                <w:rFonts w:ascii="Verdana" w:eastAsia="Calibri" w:hAnsi="Verdana" w:cs="Times New Roman"/>
                <w:sz w:val="16"/>
                <w:szCs w:val="16"/>
              </w:rPr>
            </w:pPr>
            <w:r w:rsidRPr="000E39A3">
              <w:rPr>
                <w:rFonts w:ascii="Verdana" w:eastAsia="Calibri" w:hAnsi="Verdana" w:cs="Times New Roman"/>
                <w:sz w:val="16"/>
                <w:szCs w:val="16"/>
              </w:rPr>
              <w:t>Subdirectora de Gestión Contractual ANCP – CCE</w:t>
            </w:r>
          </w:p>
        </w:tc>
      </w:tr>
      <w:bookmarkEnd w:id="0"/>
    </w:tbl>
    <w:p w14:paraId="675A8FF3" w14:textId="4E85DA9A" w:rsidR="000F1385" w:rsidRPr="000F1385" w:rsidRDefault="000F1385" w:rsidP="000F1385">
      <w:pPr>
        <w:spacing w:after="0"/>
        <w:jc w:val="both"/>
        <w:rPr>
          <w:rFonts w:ascii="Verdana" w:hAnsi="Verdana"/>
          <w:color w:val="0000FF"/>
          <w:u w:val="single"/>
        </w:rPr>
      </w:pPr>
    </w:p>
    <w:sectPr w:rsidR="000F1385" w:rsidRPr="000F1385" w:rsidSect="007C0C0F">
      <w:headerReference w:type="default" r:id="rId18"/>
      <w:footerReference w:type="default" r:id="rId19"/>
      <w:pgSz w:w="12240" w:h="15840" w:code="1"/>
      <w:pgMar w:top="1417" w:right="1701" w:bottom="1417" w:left="1701"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9BF302A" w14:textId="77777777" w:rsidR="00CC623B" w:rsidRDefault="00CC623B" w:rsidP="004A1847">
      <w:pPr>
        <w:spacing w:after="0" w:line="240" w:lineRule="auto"/>
      </w:pPr>
      <w:r>
        <w:separator/>
      </w:r>
    </w:p>
  </w:endnote>
  <w:endnote w:type="continuationSeparator" w:id="0">
    <w:p w14:paraId="57F29C1A" w14:textId="77777777" w:rsidR="00CC623B" w:rsidRDefault="00CC623B" w:rsidP="004A1847">
      <w:pPr>
        <w:spacing w:after="0" w:line="240" w:lineRule="auto"/>
      </w:pPr>
      <w:r>
        <w:continuationSeparator/>
      </w:r>
    </w:p>
  </w:endnote>
  <w:endnote w:type="continuationNotice" w:id="1">
    <w:p w14:paraId="7BE4B90A" w14:textId="77777777" w:rsidR="00CC623B" w:rsidRDefault="00CC623B">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Geomanist Light">
    <w:altName w:val="Calibri"/>
    <w:panose1 w:val="00000000000000000000"/>
    <w:charset w:val="00"/>
    <w:family w:val="modern"/>
    <w:notTrueType/>
    <w:pitch w:val="variable"/>
    <w:sig w:usb0="A000002F" w:usb1="1000004A" w:usb2="00000000" w:usb3="00000000" w:csb0="00000193" w:csb1="00000000"/>
  </w:font>
  <w:font w:name="Geomanist">
    <w:altName w:val="Calibri"/>
    <w:panose1 w:val="00000000000000000000"/>
    <w:charset w:val="00"/>
    <w:family w:val="modern"/>
    <w:notTrueType/>
    <w:pitch w:val="variable"/>
    <w:sig w:usb0="A000002F" w:usb1="1000004A" w:usb2="00000000" w:usb3="00000000" w:csb0="00000193" w:csb1="00000000"/>
  </w:font>
  <w:font w:name="Segoe UI">
    <w:panose1 w:val="020B0502040204020203"/>
    <w:charset w:val="00"/>
    <w:family w:val="swiss"/>
    <w:pitch w:val="variable"/>
    <w:sig w:usb0="E4002EFF" w:usb1="C000E47F" w:usb2="00000009" w:usb3="00000000" w:csb0="000001FF" w:csb1="00000000"/>
  </w:font>
  <w:font w:name="Verdana">
    <w:panose1 w:val="020B0604030504040204"/>
    <w:charset w:val="00"/>
    <w:family w:val="swiss"/>
    <w:pitch w:val="variable"/>
    <w:sig w:usb0="A00006FF" w:usb1="4000205B" w:usb2="00000010" w:usb3="00000000" w:csb0="0000019F" w:csb1="00000000"/>
  </w:font>
  <w:font w:name="Century Gothic">
    <w:panose1 w:val="020B0502020202020204"/>
    <w:charset w:val="00"/>
    <w:family w:val="swiss"/>
    <w:pitch w:val="variable"/>
    <w:sig w:usb0="00000287" w:usb1="00000000" w:usb2="00000000" w:usb3="00000000" w:csb0="0000009F" w:csb1="00000000"/>
  </w:font>
  <w:font w:name="Geomanist Bold">
    <w:panose1 w:val="00000000000000000000"/>
    <w:charset w:val="00"/>
    <w:family w:val="modern"/>
    <w:notTrueType/>
    <w:pitch w:val="variable"/>
    <w:sig w:usb0="A000002F" w:usb1="1000004A" w:usb2="00000000" w:usb3="00000000" w:csb0="00000193" w:csb1="00000000"/>
  </w:font>
  <w:font w:name="Geo">
    <w:altName w:val="Calibri"/>
    <w:charset w:val="00"/>
    <w:family w:val="auto"/>
    <w:pitch w:val="variable"/>
    <w:sig w:usb0="8000002F" w:usb1="40000048" w:usb2="00000000" w:usb3="00000000" w:csb0="00000001" w:csb1="00000000"/>
  </w:font>
  <w:font w:name="Arial Nova">
    <w:charset w:val="00"/>
    <w:family w:val="swiss"/>
    <w:pitch w:val="variable"/>
    <w:sig w:usb0="0000028F" w:usb1="00000002" w:usb2="00000000" w:usb3="00000000" w:csb0="0000019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8911A32" w14:textId="6CE791A4" w:rsidR="00456A82" w:rsidRDefault="00456A82">
    <w:pPr>
      <w:pStyle w:val="Piedepgina"/>
    </w:pPr>
  </w:p>
  <w:p w14:paraId="594D6D9F" w14:textId="47C25D14" w:rsidR="00456A82" w:rsidRPr="00174B77" w:rsidRDefault="00456A82" w:rsidP="00D520D8">
    <w:pPr>
      <w:pBdr>
        <w:top w:val="single" w:sz="4" w:space="1" w:color="auto"/>
      </w:pBdr>
      <w:spacing w:after="0"/>
      <w:rPr>
        <w:rFonts w:ascii="Verdana" w:hAnsi="Verdana"/>
        <w:b/>
        <w:bCs/>
        <w:sz w:val="20"/>
        <w:szCs w:val="20"/>
      </w:rPr>
    </w:pPr>
    <w:r>
      <w:rPr>
        <w:rFonts w:ascii="Verdana" w:hAnsi="Verdana"/>
        <w:b/>
        <w:bCs/>
        <w:sz w:val="20"/>
        <w:szCs w:val="20"/>
      </w:rPr>
      <w:t>A</w:t>
    </w:r>
    <w:r w:rsidRPr="008E4D59">
      <w:rPr>
        <w:rFonts w:ascii="Verdana" w:hAnsi="Verdana"/>
        <w:b/>
        <w:bCs/>
        <w:sz w:val="20"/>
        <w:szCs w:val="20"/>
      </w:rPr>
      <w:t>gencia Nacional de Contratación</w:t>
    </w:r>
    <w:r>
      <w:rPr>
        <w:rFonts w:ascii="Verdana" w:hAnsi="Verdana"/>
        <w:b/>
        <w:bCs/>
        <w:sz w:val="20"/>
        <w:szCs w:val="20"/>
      </w:rPr>
      <w:t xml:space="preserve"> </w:t>
    </w:r>
    <w:r w:rsidRPr="008E4D59">
      <w:rPr>
        <w:rFonts w:ascii="Verdana" w:hAnsi="Verdana"/>
        <w:b/>
        <w:bCs/>
        <w:sz w:val="20"/>
        <w:szCs w:val="20"/>
      </w:rPr>
      <w:t>Pública</w:t>
    </w:r>
    <w:r>
      <w:rPr>
        <w:rFonts w:ascii="Verdana" w:hAnsi="Verdana"/>
        <w:b/>
        <w:bCs/>
        <w:sz w:val="20"/>
        <w:szCs w:val="20"/>
      </w:rPr>
      <w:t xml:space="preserve">                                              </w:t>
    </w:r>
    <w:r w:rsidRPr="002E1330">
      <w:rPr>
        <w:rFonts w:ascii="Verdana" w:eastAsiaTheme="majorEastAsia" w:hAnsi="Verdana" w:cstheme="majorBidi"/>
        <w:b/>
        <w:bCs/>
        <w:sz w:val="16"/>
        <w:szCs w:val="16"/>
        <w:lang w:val="es-ES"/>
      </w:rPr>
      <w:t xml:space="preserve">pág. </w:t>
    </w:r>
    <w:r w:rsidRPr="002E1330">
      <w:rPr>
        <w:rFonts w:ascii="Verdana" w:eastAsiaTheme="minorEastAsia" w:hAnsi="Verdana"/>
        <w:b/>
        <w:bCs/>
        <w:sz w:val="16"/>
        <w:szCs w:val="16"/>
      </w:rPr>
      <w:fldChar w:fldCharType="begin"/>
    </w:r>
    <w:r w:rsidRPr="002E1330">
      <w:rPr>
        <w:rFonts w:ascii="Verdana" w:hAnsi="Verdana"/>
        <w:b/>
        <w:bCs/>
        <w:sz w:val="16"/>
        <w:szCs w:val="16"/>
      </w:rPr>
      <w:instrText>PAGE    \* MERGEFORMAT</w:instrText>
    </w:r>
    <w:r w:rsidRPr="002E1330">
      <w:rPr>
        <w:rFonts w:ascii="Verdana" w:eastAsiaTheme="minorEastAsia" w:hAnsi="Verdana"/>
        <w:b/>
        <w:bCs/>
        <w:sz w:val="16"/>
        <w:szCs w:val="16"/>
      </w:rPr>
      <w:fldChar w:fldCharType="separate"/>
    </w:r>
    <w:r w:rsidR="00B71DBA" w:rsidRPr="00B71DBA">
      <w:rPr>
        <w:rFonts w:ascii="Verdana" w:eastAsiaTheme="minorEastAsia" w:hAnsi="Verdana"/>
        <w:b/>
        <w:bCs/>
        <w:noProof/>
        <w:sz w:val="16"/>
        <w:szCs w:val="16"/>
      </w:rPr>
      <w:t>25</w:t>
    </w:r>
    <w:r w:rsidRPr="002E1330">
      <w:rPr>
        <w:rFonts w:ascii="Verdana" w:eastAsiaTheme="majorEastAsia" w:hAnsi="Verdana" w:cstheme="majorBidi"/>
        <w:b/>
        <w:bCs/>
        <w:sz w:val="16"/>
        <w:szCs w:val="16"/>
      </w:rPr>
      <w:fldChar w:fldCharType="end"/>
    </w:r>
    <w:r>
      <w:rPr>
        <w:rFonts w:ascii="Verdana" w:hAnsi="Verdana"/>
        <w:b/>
        <w:bCs/>
        <w:sz w:val="20"/>
        <w:szCs w:val="20"/>
      </w:rPr>
      <w:t xml:space="preserve">              </w:t>
    </w:r>
    <w:r w:rsidRPr="008E4D59">
      <w:rPr>
        <w:rFonts w:ascii="Verdana" w:hAnsi="Verdana"/>
        <w:b/>
        <w:bCs/>
        <w:sz w:val="20"/>
        <w:szCs w:val="20"/>
      </w:rPr>
      <w:t xml:space="preserve">Colombia Compra Eficiente         </w:t>
    </w:r>
    <w:r w:rsidRPr="008E4D59">
      <w:rPr>
        <w:rFonts w:ascii="Verdana" w:hAnsi="Verdana"/>
        <w:b/>
        <w:bCs/>
        <w:sz w:val="20"/>
        <w:szCs w:val="20"/>
        <w:lang w:val="es-ES"/>
      </w:rPr>
      <w:t xml:space="preserve"> </w:t>
    </w:r>
    <w:r>
      <w:rPr>
        <w:rFonts w:ascii="Verdana" w:hAnsi="Verdana"/>
        <w:b/>
        <w:bCs/>
        <w:sz w:val="20"/>
        <w:szCs w:val="20"/>
      </w:rPr>
      <w:t xml:space="preserve">                                                  </w:t>
    </w:r>
  </w:p>
  <w:p w14:paraId="0A735DD5" w14:textId="77777777" w:rsidR="00456A82" w:rsidRDefault="00456A82" w:rsidP="00D520D8">
    <w:pPr>
      <w:spacing w:after="0"/>
      <w:jc w:val="both"/>
      <w:rPr>
        <w:rFonts w:ascii="Verdana" w:hAnsi="Verdana"/>
        <w:sz w:val="18"/>
        <w:szCs w:val="18"/>
      </w:rPr>
    </w:pPr>
    <w:r w:rsidRPr="00E41027">
      <w:rPr>
        <w:rFonts w:ascii="Verdana" w:hAnsi="Verdana"/>
        <w:sz w:val="18"/>
        <w:szCs w:val="18"/>
      </w:rPr>
      <w:t>Dirección: Carrera 7 # 26 – 20 - Bogotá, Colombia</w:t>
    </w:r>
  </w:p>
  <w:p w14:paraId="06E36B88" w14:textId="77777777" w:rsidR="00456A82" w:rsidRPr="00E41027" w:rsidRDefault="00456A82" w:rsidP="00D520D8">
    <w:pPr>
      <w:spacing w:after="0"/>
      <w:jc w:val="both"/>
      <w:rPr>
        <w:rFonts w:ascii="Verdana" w:hAnsi="Verdana"/>
        <w:sz w:val="18"/>
        <w:szCs w:val="18"/>
      </w:rPr>
    </w:pPr>
    <w:r w:rsidRPr="00E41027">
      <w:rPr>
        <w:rFonts w:ascii="Verdana" w:hAnsi="Verdana"/>
        <w:sz w:val="18"/>
        <w:szCs w:val="18"/>
      </w:rPr>
      <w:t>Mesa de servicio: (+57) 601 7456788</w:t>
    </w:r>
  </w:p>
  <w:p w14:paraId="744661F5" w14:textId="593AA28F" w:rsidR="00456A82" w:rsidRDefault="00456A82" w:rsidP="0025796E">
    <w:pPr>
      <w:pBdr>
        <w:top w:val="nil"/>
        <w:left w:val="nil"/>
        <w:bottom w:val="nil"/>
        <w:right w:val="nil"/>
        <w:between w:val="nil"/>
      </w:pBdr>
      <w:tabs>
        <w:tab w:val="center" w:pos="4419"/>
        <w:tab w:val="right" w:pos="8838"/>
        <w:tab w:val="center" w:pos="5400"/>
      </w:tabs>
      <w:spacing w:after="0"/>
    </w:pPr>
    <w:r w:rsidRPr="00E41027">
      <w:rPr>
        <w:rFonts w:ascii="Verdana" w:hAnsi="Verdana"/>
        <w:sz w:val="18"/>
        <w:szCs w:val="18"/>
      </w:rPr>
      <w:t>Atención al ciudadano:</w:t>
    </w:r>
    <w:r>
      <w:rPr>
        <w:rFonts w:ascii="Verdana" w:hAnsi="Verdana"/>
        <w:sz w:val="18"/>
        <w:szCs w:val="18"/>
      </w:rPr>
      <w:t xml:space="preserve"> </w:t>
    </w:r>
    <w:r w:rsidRPr="00E41027">
      <w:rPr>
        <w:rFonts w:ascii="Verdana" w:hAnsi="Verdana"/>
        <w:sz w:val="18"/>
        <w:szCs w:val="18"/>
      </w:rPr>
      <w:t>(+57) 601 7956600</w:t>
    </w:r>
    <w:r>
      <w:rPr>
        <w:rFonts w:ascii="Verdana" w:hAnsi="Verdana"/>
        <w:sz w:val="18"/>
        <w:szCs w:val="18"/>
      </w:rPr>
      <w:t xml:space="preserve">          </w:t>
    </w:r>
    <w:r w:rsidRPr="004A305D">
      <w:rPr>
        <w:rFonts w:ascii="Century Gothic" w:eastAsia="Geo" w:hAnsi="Century Gothic" w:cs="Geo"/>
        <w:b/>
        <w:color w:val="000000"/>
        <w:sz w:val="16"/>
        <w:szCs w:val="16"/>
        <w:lang w:eastAsia="es-CO"/>
      </w:rPr>
      <w:t xml:space="preserve">Código: </w:t>
    </w:r>
    <w:r w:rsidRPr="004A305D">
      <w:rPr>
        <w:rFonts w:ascii="Century Gothic" w:eastAsia="Geo" w:hAnsi="Century Gothic" w:cs="Geo"/>
        <w:bCs/>
        <w:color w:val="000000"/>
        <w:sz w:val="16"/>
        <w:szCs w:val="16"/>
        <w:lang w:eastAsia="es-CO"/>
      </w:rPr>
      <w:t>CCE-</w:t>
    </w:r>
    <w:r>
      <w:rPr>
        <w:rFonts w:ascii="Century Gothic" w:eastAsia="Geo" w:hAnsi="Century Gothic" w:cs="Geo"/>
        <w:bCs/>
        <w:color w:val="000000"/>
        <w:sz w:val="16"/>
        <w:szCs w:val="16"/>
        <w:lang w:eastAsia="es-CO"/>
      </w:rPr>
      <w:t>REC</w:t>
    </w:r>
    <w:r w:rsidRPr="004A305D">
      <w:rPr>
        <w:rFonts w:ascii="Century Gothic" w:eastAsia="Geo" w:hAnsi="Century Gothic" w:cs="Geo"/>
        <w:bCs/>
        <w:color w:val="000000"/>
        <w:sz w:val="16"/>
        <w:szCs w:val="16"/>
        <w:lang w:eastAsia="es-CO"/>
      </w:rPr>
      <w:t>-FM-</w:t>
    </w:r>
    <w:r>
      <w:rPr>
        <w:rFonts w:ascii="Century Gothic" w:eastAsia="Geo" w:hAnsi="Century Gothic" w:cs="Geo"/>
        <w:bCs/>
        <w:color w:val="000000"/>
        <w:sz w:val="16"/>
        <w:szCs w:val="16"/>
        <w:lang w:eastAsia="es-CO"/>
      </w:rPr>
      <w:t xml:space="preserve">17 </w:t>
    </w:r>
    <w:r w:rsidRPr="004A305D">
      <w:rPr>
        <w:rFonts w:ascii="Century Gothic" w:eastAsia="Geo" w:hAnsi="Century Gothic" w:cs="Geo"/>
        <w:b/>
        <w:color w:val="000000"/>
        <w:sz w:val="16"/>
        <w:szCs w:val="16"/>
        <w:lang w:eastAsia="es-CO"/>
      </w:rPr>
      <w:t>Versión</w:t>
    </w:r>
    <w:r w:rsidRPr="004A305D">
      <w:rPr>
        <w:rFonts w:ascii="Century Gothic" w:eastAsia="Arial Nova" w:hAnsi="Century Gothic" w:cs="Arial Nova"/>
        <w:b/>
        <w:color w:val="000000"/>
        <w:sz w:val="16"/>
        <w:szCs w:val="16"/>
        <w:lang w:eastAsia="es-CO"/>
      </w:rPr>
      <w:t xml:space="preserve">: </w:t>
    </w:r>
    <w:r w:rsidRPr="004A305D">
      <w:rPr>
        <w:rFonts w:ascii="Century Gothic" w:eastAsia="Geo" w:hAnsi="Century Gothic" w:cs="Geo"/>
        <w:sz w:val="16"/>
        <w:szCs w:val="16"/>
        <w:lang w:eastAsia="es-CO"/>
      </w:rPr>
      <w:t>0</w:t>
    </w:r>
    <w:r>
      <w:rPr>
        <w:rFonts w:ascii="Century Gothic" w:eastAsia="Geo" w:hAnsi="Century Gothic" w:cs="Geo"/>
        <w:sz w:val="16"/>
        <w:szCs w:val="16"/>
        <w:lang w:eastAsia="es-CO"/>
      </w:rPr>
      <w:t>2</w:t>
    </w:r>
    <w:r w:rsidRPr="004A305D">
      <w:rPr>
        <w:rFonts w:ascii="Century Gothic" w:eastAsia="Geo" w:hAnsi="Century Gothic" w:cs="Geo"/>
        <w:sz w:val="16"/>
        <w:szCs w:val="16"/>
        <w:lang w:eastAsia="es-CO"/>
      </w:rPr>
      <w:t xml:space="preserve"> </w:t>
    </w:r>
    <w:r>
      <w:rPr>
        <w:rFonts w:ascii="Century Gothic" w:eastAsia="Geo" w:hAnsi="Century Gothic" w:cs="Geo"/>
        <w:sz w:val="16"/>
        <w:szCs w:val="16"/>
        <w:lang w:eastAsia="es-CO"/>
      </w:rPr>
      <w:t>Fecha: 31-08-2023</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C3A5810" w14:textId="77777777" w:rsidR="00CC623B" w:rsidRDefault="00CC623B" w:rsidP="004A1847">
      <w:pPr>
        <w:spacing w:after="0" w:line="240" w:lineRule="auto"/>
      </w:pPr>
      <w:r>
        <w:separator/>
      </w:r>
    </w:p>
  </w:footnote>
  <w:footnote w:type="continuationSeparator" w:id="0">
    <w:p w14:paraId="27639842" w14:textId="77777777" w:rsidR="00CC623B" w:rsidRDefault="00CC623B" w:rsidP="004A1847">
      <w:pPr>
        <w:spacing w:after="0" w:line="240" w:lineRule="auto"/>
      </w:pPr>
      <w:r>
        <w:continuationSeparator/>
      </w:r>
    </w:p>
  </w:footnote>
  <w:footnote w:type="continuationNotice" w:id="1">
    <w:p w14:paraId="298EE229" w14:textId="77777777" w:rsidR="00CC623B" w:rsidRDefault="00CC623B">
      <w:pPr>
        <w:spacing w:after="0" w:line="240" w:lineRule="auto"/>
      </w:pPr>
    </w:p>
  </w:footnote>
  <w:footnote w:id="2">
    <w:p w14:paraId="327EAD3D" w14:textId="77777777" w:rsidR="00EE32A8" w:rsidRPr="008E7379" w:rsidRDefault="00EE32A8" w:rsidP="00EE32A8">
      <w:pPr>
        <w:pStyle w:val="Textonotapie"/>
        <w:ind w:firstLine="708"/>
        <w:contextualSpacing/>
        <w:jc w:val="both"/>
        <w:rPr>
          <w:rFonts w:ascii="Verdana" w:hAnsi="Verdana"/>
          <w:sz w:val="16"/>
          <w:szCs w:val="16"/>
        </w:rPr>
      </w:pPr>
      <w:r w:rsidRPr="008E7379">
        <w:rPr>
          <w:rStyle w:val="Refdenotaalpie"/>
          <w:rFonts w:ascii="Verdana" w:hAnsi="Verdana"/>
          <w:sz w:val="16"/>
          <w:szCs w:val="16"/>
        </w:rPr>
        <w:footnoteRef/>
      </w:r>
      <w:r w:rsidRPr="008E7379">
        <w:rPr>
          <w:rFonts w:ascii="Verdana" w:hAnsi="Verdana"/>
          <w:sz w:val="16"/>
          <w:szCs w:val="16"/>
        </w:rPr>
        <w:t xml:space="preserve"> Bases del Plan Nacional de Desarrollo 2022-2026. Colombia Potencia Mundial de la Vida. Numeral 7°, literal a). </w:t>
      </w:r>
    </w:p>
    <w:p w14:paraId="40C8C577" w14:textId="77777777" w:rsidR="00EE32A8" w:rsidRPr="008E7379" w:rsidRDefault="00EE32A8" w:rsidP="00EE32A8">
      <w:pPr>
        <w:pStyle w:val="Textonotapie"/>
        <w:ind w:firstLine="708"/>
        <w:contextualSpacing/>
        <w:jc w:val="both"/>
        <w:rPr>
          <w:rFonts w:ascii="Verdana" w:hAnsi="Verdana"/>
          <w:sz w:val="16"/>
          <w:szCs w:val="16"/>
        </w:rPr>
      </w:pPr>
    </w:p>
  </w:footnote>
  <w:footnote w:id="3">
    <w:p w14:paraId="714C4AEE" w14:textId="77777777" w:rsidR="00EE32A8" w:rsidRPr="008E7379" w:rsidRDefault="00EE32A8" w:rsidP="00EE32A8">
      <w:pPr>
        <w:pStyle w:val="Textonotapie"/>
        <w:ind w:firstLine="708"/>
        <w:contextualSpacing/>
        <w:jc w:val="both"/>
        <w:rPr>
          <w:rFonts w:ascii="Verdana" w:hAnsi="Verdana"/>
          <w:bCs/>
          <w:sz w:val="16"/>
          <w:szCs w:val="16"/>
          <w:lang w:val="es-CO"/>
        </w:rPr>
      </w:pPr>
      <w:r w:rsidRPr="008E7379">
        <w:rPr>
          <w:rStyle w:val="Refdenotaalpie"/>
          <w:rFonts w:ascii="Verdana" w:hAnsi="Verdana"/>
          <w:sz w:val="16"/>
          <w:szCs w:val="16"/>
        </w:rPr>
        <w:footnoteRef/>
      </w:r>
      <w:r w:rsidRPr="008E7379">
        <w:rPr>
          <w:rFonts w:ascii="Verdana" w:hAnsi="Verdana"/>
          <w:sz w:val="16"/>
          <w:szCs w:val="16"/>
        </w:rPr>
        <w:t xml:space="preserve"> Aunque el artículo </w:t>
      </w:r>
      <w:r w:rsidRPr="008E7379">
        <w:rPr>
          <w:rFonts w:ascii="Verdana" w:hAnsi="Verdana"/>
          <w:bCs/>
          <w:sz w:val="16"/>
          <w:szCs w:val="16"/>
          <w:lang w:val="es-CO"/>
        </w:rPr>
        <w:t xml:space="preserve">100 de la Ley 2294 de 2023 dispone que las Asociaciones Público-Populares “[…] podrán celebrarse para la ejecución de obras, o la adquisición de bienes y servicios relacionados con […] suministro de bienes y servicios […]”, para la Agencia se trata de un defecto de técnica legislativa que no incide sobre el alcance del instrumento. Lo anterior considerando que el </w:t>
      </w:r>
      <w:r w:rsidRPr="008E7379">
        <w:rPr>
          <w:rFonts w:ascii="Verdana" w:hAnsi="Verdana"/>
          <w:bCs/>
          <w:i/>
          <w:iCs/>
          <w:sz w:val="16"/>
          <w:szCs w:val="16"/>
          <w:lang w:val="es-CO"/>
        </w:rPr>
        <w:t>suministro</w:t>
      </w:r>
      <w:r w:rsidRPr="008E7379">
        <w:rPr>
          <w:rFonts w:ascii="Verdana" w:hAnsi="Verdana"/>
          <w:bCs/>
          <w:sz w:val="16"/>
          <w:szCs w:val="16"/>
          <w:lang w:val="es-CO"/>
        </w:rPr>
        <w:t xml:space="preserve"> es una forma </w:t>
      </w:r>
      <w:r w:rsidRPr="008E7379">
        <w:rPr>
          <w:rFonts w:ascii="Verdana" w:hAnsi="Verdana"/>
          <w:bCs/>
          <w:i/>
          <w:iCs/>
          <w:sz w:val="16"/>
          <w:szCs w:val="16"/>
          <w:lang w:val="es-CO"/>
        </w:rPr>
        <w:t>adquirir</w:t>
      </w:r>
      <w:r w:rsidRPr="008E7379">
        <w:rPr>
          <w:rFonts w:ascii="Verdana" w:hAnsi="Verdana"/>
          <w:bCs/>
          <w:sz w:val="16"/>
          <w:szCs w:val="16"/>
          <w:lang w:val="es-CO"/>
        </w:rPr>
        <w:t xml:space="preserve"> bienes y servicios.</w:t>
      </w:r>
    </w:p>
    <w:p w14:paraId="16E39176" w14:textId="77777777" w:rsidR="00EE32A8" w:rsidRPr="008E7379" w:rsidRDefault="00EE32A8" w:rsidP="00EE32A8">
      <w:pPr>
        <w:pStyle w:val="Textonotapie"/>
        <w:ind w:firstLine="708"/>
        <w:contextualSpacing/>
        <w:jc w:val="both"/>
        <w:rPr>
          <w:rFonts w:ascii="Verdana" w:hAnsi="Verdana"/>
          <w:bCs/>
          <w:sz w:val="16"/>
          <w:szCs w:val="16"/>
          <w:lang w:val="es-CO"/>
        </w:rPr>
      </w:pPr>
    </w:p>
    <w:p w14:paraId="33501F3B" w14:textId="77777777" w:rsidR="00EE32A8" w:rsidRPr="008E7379" w:rsidRDefault="00EE32A8" w:rsidP="00EE32A8">
      <w:pPr>
        <w:pStyle w:val="Textonotapie"/>
        <w:ind w:firstLine="708"/>
        <w:contextualSpacing/>
        <w:jc w:val="both"/>
        <w:rPr>
          <w:rFonts w:ascii="Verdana" w:hAnsi="Verdana"/>
          <w:sz w:val="16"/>
          <w:szCs w:val="16"/>
        </w:rPr>
      </w:pPr>
      <w:r w:rsidRPr="008E7379">
        <w:rPr>
          <w:rFonts w:ascii="Verdana" w:hAnsi="Verdana"/>
          <w:sz w:val="16"/>
          <w:szCs w:val="16"/>
          <w:lang w:val="es-CO"/>
        </w:rPr>
        <w:t>E</w:t>
      </w:r>
      <w:r w:rsidRPr="008E7379">
        <w:rPr>
          <w:rFonts w:ascii="Verdana" w:hAnsi="Verdana"/>
          <w:sz w:val="16"/>
          <w:szCs w:val="16"/>
        </w:rPr>
        <w:t xml:space="preserve">sta amplitud en los sujetos y el objeto de los contratos de Asociación Público Popular diferencia la causal </w:t>
      </w:r>
      <w:r w:rsidRPr="008E7379">
        <w:rPr>
          <w:rFonts w:ascii="Verdana" w:hAnsi="Verdana"/>
          <w:i/>
          <w:iCs/>
          <w:sz w:val="16"/>
          <w:szCs w:val="16"/>
        </w:rPr>
        <w:t>sub examine</w:t>
      </w:r>
      <w:r w:rsidRPr="008E7379">
        <w:rPr>
          <w:rFonts w:ascii="Verdana" w:hAnsi="Verdana"/>
          <w:sz w:val="16"/>
          <w:szCs w:val="16"/>
        </w:rPr>
        <w:t xml:space="preserve"> con la prevista en el artículo 95 de la Ley 2166 de 2021, pues el inciso primero únicamente “[…] autoriza a los entes del orden Nacional, Departamental, Distrital y municipal para celebrar directamente convenios solidarios con los Organismos de Acción Comunal con el fin de ejecutar obras hasta por la menor cuantía […]”.</w:t>
      </w:r>
    </w:p>
    <w:p w14:paraId="23CAD93A" w14:textId="77777777" w:rsidR="00EE32A8" w:rsidRPr="008E7379" w:rsidRDefault="00EE32A8" w:rsidP="00EE32A8">
      <w:pPr>
        <w:pStyle w:val="Textonotapie"/>
        <w:ind w:firstLine="708"/>
        <w:contextualSpacing/>
        <w:jc w:val="both"/>
        <w:rPr>
          <w:rFonts w:ascii="Verdana" w:hAnsi="Verdana"/>
          <w:sz w:val="16"/>
          <w:szCs w:val="16"/>
        </w:rPr>
      </w:pPr>
    </w:p>
  </w:footnote>
  <w:footnote w:id="4">
    <w:p w14:paraId="37FC41CA" w14:textId="77777777" w:rsidR="00EE32A8" w:rsidRPr="008E7379" w:rsidRDefault="00EE32A8" w:rsidP="00EE32A8">
      <w:pPr>
        <w:pStyle w:val="Textonotapie"/>
        <w:ind w:firstLine="708"/>
        <w:contextualSpacing/>
        <w:jc w:val="both"/>
        <w:rPr>
          <w:rFonts w:ascii="Verdana" w:hAnsi="Verdana"/>
          <w:sz w:val="16"/>
          <w:szCs w:val="16"/>
        </w:rPr>
      </w:pPr>
      <w:r w:rsidRPr="008E7379">
        <w:rPr>
          <w:rStyle w:val="Refdenotaalpie"/>
          <w:rFonts w:ascii="Verdana" w:hAnsi="Verdana"/>
          <w:sz w:val="16"/>
          <w:szCs w:val="16"/>
        </w:rPr>
        <w:footnoteRef/>
      </w:r>
      <w:r w:rsidRPr="008E7379">
        <w:rPr>
          <w:rFonts w:ascii="Verdana" w:hAnsi="Verdana"/>
          <w:sz w:val="16"/>
          <w:szCs w:val="16"/>
        </w:rPr>
        <w:t xml:space="preserve"> Sobre el alcance de las normas equivalentes en el Código Civil chileno, CLARO SOLAR explica lo siguiente: “Las palabras de que el legislador se sirve pueden tener dos significaciones: el sentido vulgar y el sentido técnico. Según el artículo 20, ‘</w:t>
      </w:r>
      <w:r w:rsidRPr="008E7379">
        <w:rPr>
          <w:rFonts w:ascii="Verdana" w:hAnsi="Verdana"/>
          <w:i/>
          <w:iCs/>
          <w:sz w:val="16"/>
          <w:szCs w:val="16"/>
        </w:rPr>
        <w:t>las palabras de la ley se entenderán en su sentido natural y obvio, según el uso general de las mismas palabras</w:t>
      </w:r>
      <w:r w:rsidRPr="008E7379">
        <w:rPr>
          <w:rFonts w:ascii="Verdana" w:hAnsi="Verdana"/>
          <w:sz w:val="16"/>
          <w:szCs w:val="16"/>
        </w:rPr>
        <w:t>’, es decir, el uso de la gente educada. El Diccionario de la Lengua publicado por la Real Academia Española goza a este respecto de gran autoridad. ‘</w:t>
      </w:r>
      <w:r w:rsidRPr="008E7379">
        <w:rPr>
          <w:rFonts w:ascii="Verdana" w:hAnsi="Verdana"/>
          <w:i/>
          <w:iCs/>
          <w:sz w:val="16"/>
          <w:szCs w:val="16"/>
        </w:rPr>
        <w:t>Pero cuando el legislador</w:t>
      </w:r>
      <w:r w:rsidRPr="008E7379">
        <w:rPr>
          <w:rFonts w:ascii="Verdana" w:hAnsi="Verdana"/>
          <w:sz w:val="16"/>
          <w:szCs w:val="16"/>
        </w:rPr>
        <w:t xml:space="preserve">, agrega el artículo 20, </w:t>
      </w:r>
      <w:r w:rsidRPr="008E7379">
        <w:rPr>
          <w:rFonts w:ascii="Verdana" w:hAnsi="Verdana"/>
          <w:i/>
          <w:iCs/>
          <w:sz w:val="16"/>
          <w:szCs w:val="16"/>
        </w:rPr>
        <w:t>las haya definido expresamente para ciertas materias se les dará en éstas su significado legal</w:t>
      </w:r>
      <w:r w:rsidRPr="008E7379">
        <w:rPr>
          <w:rFonts w:ascii="Verdana" w:hAnsi="Verdana"/>
          <w:sz w:val="16"/>
          <w:szCs w:val="16"/>
        </w:rPr>
        <w:t>’. Por la inversa, según el artículo 21, ‘las palabras técnicas de toda ciencia o arte se tomarán en el sentido que les den los que profesan la misma ciencia o arte; a menos que aparezca claramente que se han tomado en sentido diverso’. Es de suponer que el legislador conozca bastante el idioma en que legisla y sea suficientemente instruido en la ciencia o arte para dar a las palabras de la lengua y a las palabras especiales de la ciencia o arte a que se refiere, el significado que les es propio; en el caso contrario, es necesario que ello aparezca de manifiesto y con toda claridad” (CLARO SOLAR, Luis. Explicaciones de derecho civil chileno y comparado. Volumen I. Tomo I. Santiago: Editorial Jurídica de Chile, 2013. p. 117. Énfasis dentro del texto).</w:t>
      </w:r>
    </w:p>
    <w:p w14:paraId="6374B34E" w14:textId="77777777" w:rsidR="00EE32A8" w:rsidRPr="008E7379" w:rsidRDefault="00EE32A8" w:rsidP="00EE32A8">
      <w:pPr>
        <w:pStyle w:val="Textonotapie"/>
        <w:ind w:firstLine="708"/>
        <w:contextualSpacing/>
        <w:jc w:val="both"/>
        <w:rPr>
          <w:rFonts w:ascii="Verdana" w:hAnsi="Verdana"/>
          <w:sz w:val="16"/>
          <w:szCs w:val="16"/>
        </w:rPr>
      </w:pPr>
    </w:p>
  </w:footnote>
  <w:footnote w:id="5">
    <w:p w14:paraId="0F0F97C6" w14:textId="77777777" w:rsidR="00EE32A8" w:rsidRPr="008E7379" w:rsidRDefault="00EE32A8" w:rsidP="00EE32A8">
      <w:pPr>
        <w:pStyle w:val="Textonotapie"/>
        <w:ind w:firstLine="600"/>
        <w:contextualSpacing/>
        <w:jc w:val="both"/>
        <w:rPr>
          <w:rFonts w:ascii="Verdana" w:hAnsi="Verdana"/>
          <w:sz w:val="16"/>
          <w:szCs w:val="16"/>
        </w:rPr>
      </w:pPr>
      <w:r w:rsidRPr="008E7379">
        <w:rPr>
          <w:rStyle w:val="Refdenotaalpie"/>
          <w:rFonts w:ascii="Verdana" w:hAnsi="Verdana"/>
          <w:sz w:val="16"/>
          <w:szCs w:val="16"/>
        </w:rPr>
        <w:footnoteRef/>
      </w:r>
      <w:r w:rsidRPr="008E7379">
        <w:rPr>
          <w:rFonts w:ascii="Verdana" w:hAnsi="Verdana"/>
          <w:sz w:val="16"/>
          <w:szCs w:val="16"/>
        </w:rPr>
        <w:t xml:space="preserve"> El inciso primero del artículo 98 del Código de Comercio dispone que “Por el contrato de sociedad dos o más personas se obligan a hacer un aporte en dinero, en trabajo o en otros bienes apreciables en dinero, con el fin de repartirse entre sí las utilidades obtenidas en la empresa o actividad social”. Como explica la doctrina, “[…] la sociedad no es un contrato desinteresado desde el punto de vista económico. La explotación del objeto no se hace con fines altruistas, sino para satisfacer el ánimo especulativo de los asociados, que se desprenden de una parte de su patrimonio para efectuar la inversión correspondiente” (MARTÍNEZ NEIRA, Néstor Humberto. Cátedra de sociedades: régimen comercial y bursátil. Bogotá: Legis, 2020. p. 111). </w:t>
      </w:r>
    </w:p>
    <w:p w14:paraId="643E31A3" w14:textId="77777777" w:rsidR="00EE32A8" w:rsidRPr="008E7379" w:rsidRDefault="00EE32A8" w:rsidP="00EE32A8">
      <w:pPr>
        <w:pStyle w:val="Textonotapie"/>
        <w:ind w:firstLine="600"/>
        <w:contextualSpacing/>
        <w:jc w:val="both"/>
        <w:rPr>
          <w:rFonts w:ascii="Verdana" w:hAnsi="Verdana"/>
          <w:sz w:val="16"/>
          <w:szCs w:val="16"/>
        </w:rPr>
      </w:pPr>
    </w:p>
  </w:footnote>
  <w:footnote w:id="6">
    <w:p w14:paraId="41032896" w14:textId="77777777" w:rsidR="00EE32A8" w:rsidRPr="008E7379" w:rsidRDefault="00EE32A8" w:rsidP="00EE32A8">
      <w:pPr>
        <w:pStyle w:val="Textonotapie"/>
        <w:ind w:firstLine="708"/>
        <w:contextualSpacing/>
        <w:jc w:val="both"/>
        <w:rPr>
          <w:rFonts w:ascii="Verdana" w:hAnsi="Verdana" w:cs="Arial"/>
          <w:sz w:val="16"/>
          <w:szCs w:val="16"/>
        </w:rPr>
      </w:pPr>
      <w:r w:rsidRPr="008E7379">
        <w:rPr>
          <w:rStyle w:val="Refdenotaalpie"/>
          <w:rFonts w:ascii="Verdana" w:hAnsi="Verdana" w:cs="Arial"/>
          <w:sz w:val="16"/>
          <w:szCs w:val="16"/>
        </w:rPr>
        <w:footnoteRef/>
      </w:r>
      <w:r w:rsidRPr="008E7379">
        <w:rPr>
          <w:rFonts w:ascii="Verdana" w:hAnsi="Verdana" w:cs="Arial"/>
          <w:sz w:val="16"/>
          <w:szCs w:val="16"/>
        </w:rPr>
        <w:t xml:space="preserve"> De acuerdo con el inciso primero del artículo 635 del Código Civil, “Las sociedades industriales no están comprendidas en las disposiciones de este título; sus derechos y obligaciones son reglados, según su naturaleza, por otros títulos de este Código, y por el Código de Comercio”. Por su parte, la doctrina define las sociedades industriales como aquellas “[…] asociaciones […] que persiguen un propósito de lucro o beneficio directo de las personas naturales que las han formado” (Cfr. CLARO SOLAR, Luis. Explicaciones de derecho civil chileno y comparado. Volumen II. Tomo V. Santiago: Editorial Jurídica de Chile, 2013. p. 454).  </w:t>
      </w:r>
    </w:p>
    <w:p w14:paraId="3138CB53" w14:textId="77777777" w:rsidR="00EE32A8" w:rsidRPr="008E7379" w:rsidRDefault="00EE32A8" w:rsidP="00EE32A8">
      <w:pPr>
        <w:pStyle w:val="Textonotapie"/>
        <w:ind w:firstLine="708"/>
        <w:contextualSpacing/>
        <w:jc w:val="both"/>
        <w:rPr>
          <w:rFonts w:ascii="Verdana" w:hAnsi="Verdana" w:cs="Arial"/>
          <w:sz w:val="16"/>
          <w:szCs w:val="16"/>
        </w:rPr>
      </w:pPr>
    </w:p>
  </w:footnote>
  <w:footnote w:id="7">
    <w:p w14:paraId="6ADCF7E8" w14:textId="77777777" w:rsidR="00EE32A8" w:rsidRPr="008E7379" w:rsidRDefault="00EE32A8" w:rsidP="00EE32A8">
      <w:pPr>
        <w:pStyle w:val="Textonotapie"/>
        <w:ind w:firstLine="708"/>
        <w:contextualSpacing/>
        <w:jc w:val="both"/>
        <w:rPr>
          <w:rFonts w:ascii="Verdana" w:hAnsi="Verdana"/>
          <w:sz w:val="16"/>
          <w:szCs w:val="16"/>
        </w:rPr>
      </w:pPr>
      <w:r w:rsidRPr="008E7379">
        <w:rPr>
          <w:rStyle w:val="Refdenotaalpie"/>
          <w:rFonts w:ascii="Verdana" w:hAnsi="Verdana"/>
          <w:sz w:val="16"/>
          <w:szCs w:val="16"/>
        </w:rPr>
        <w:footnoteRef/>
      </w:r>
      <w:r w:rsidRPr="008E7379">
        <w:rPr>
          <w:rFonts w:ascii="Verdana" w:hAnsi="Verdana"/>
          <w:sz w:val="16"/>
          <w:szCs w:val="16"/>
        </w:rPr>
        <w:t xml:space="preserve"> El artículo 2.2.1.1.1.3.1 del Decreto 1082 de 2015 define los documentos del proceso como “(a) los estudios y documentos previos; (b) el aviso de convocatoria; (c) los pliegos de condiciones o la invitación; (d) las Adendas; (e) la oferta; (f) el informe de evaluación; (g) el contrato; y cualquier otro documento expedido por la Entidad Estatal durante el Proceso de Contratación”.</w:t>
      </w:r>
    </w:p>
    <w:p w14:paraId="3A1F676F" w14:textId="77777777" w:rsidR="00EE32A8" w:rsidRPr="008E7379" w:rsidRDefault="00EE32A8" w:rsidP="00EE32A8">
      <w:pPr>
        <w:pStyle w:val="Textonotapie"/>
        <w:ind w:firstLine="708"/>
        <w:contextualSpacing/>
        <w:jc w:val="both"/>
        <w:rPr>
          <w:rFonts w:ascii="Verdana" w:hAnsi="Verdana"/>
          <w:sz w:val="16"/>
          <w:szCs w:val="16"/>
        </w:rPr>
      </w:pPr>
    </w:p>
  </w:footnote>
  <w:footnote w:id="8">
    <w:p w14:paraId="61CFD361" w14:textId="77777777" w:rsidR="00EE32A8" w:rsidRPr="008E7379" w:rsidRDefault="00EE32A8" w:rsidP="00EE32A8">
      <w:pPr>
        <w:pStyle w:val="Textonotapie"/>
        <w:ind w:firstLine="708"/>
        <w:contextualSpacing/>
        <w:jc w:val="both"/>
        <w:rPr>
          <w:rFonts w:ascii="Verdana" w:hAnsi="Verdana"/>
          <w:sz w:val="16"/>
          <w:szCs w:val="16"/>
        </w:rPr>
      </w:pPr>
      <w:r w:rsidRPr="008E7379">
        <w:rPr>
          <w:rStyle w:val="Refdenotaalpie"/>
          <w:rFonts w:ascii="Verdana" w:hAnsi="Verdana"/>
          <w:sz w:val="16"/>
          <w:szCs w:val="16"/>
        </w:rPr>
        <w:footnoteRef/>
      </w:r>
      <w:r w:rsidRPr="008E7379">
        <w:rPr>
          <w:rFonts w:ascii="Verdana" w:hAnsi="Verdana"/>
          <w:sz w:val="16"/>
          <w:szCs w:val="16"/>
        </w:rPr>
        <w:t xml:space="preserve"> Esta identificación y caracterización de los sujetos de la </w:t>
      </w:r>
      <w:r w:rsidRPr="008E7379">
        <w:rPr>
          <w:rFonts w:ascii="Verdana" w:hAnsi="Verdana"/>
          <w:i/>
          <w:iCs/>
          <w:sz w:val="16"/>
          <w:szCs w:val="16"/>
        </w:rPr>
        <w:t>economía popular</w:t>
      </w:r>
      <w:r w:rsidRPr="008E7379">
        <w:rPr>
          <w:rFonts w:ascii="Verdana" w:hAnsi="Verdana"/>
          <w:sz w:val="16"/>
          <w:szCs w:val="16"/>
        </w:rPr>
        <w:t xml:space="preserve"> también es determinante para las competencias de esta entidad, especialmente, cuando el inciso tercero del artículo 102 de la Ley del Plan Nacional de Desarrollo –al regular los sistemas dinámicos de adquisición– señala que “La Agencia Nacional de Contratación Pública – Colombia Compra Eficiente podrá realizar procesos de contratación cuyos oferentes sean actores de la economía popular. En dichos casos no se requerirá la presentación del RUP para participar en el proceso de selección”.</w:t>
      </w:r>
    </w:p>
    <w:p w14:paraId="7CED2A11" w14:textId="77777777" w:rsidR="00EE32A8" w:rsidRPr="008E7379" w:rsidRDefault="00EE32A8" w:rsidP="00EE32A8">
      <w:pPr>
        <w:pStyle w:val="Textonotapie"/>
        <w:ind w:firstLine="708"/>
        <w:contextualSpacing/>
        <w:jc w:val="both"/>
        <w:rPr>
          <w:rFonts w:ascii="Verdana" w:hAnsi="Verdana"/>
          <w:sz w:val="16"/>
          <w:szCs w:val="16"/>
          <w:lang w:val="es-CO"/>
        </w:rPr>
      </w:pPr>
    </w:p>
  </w:footnote>
  <w:footnote w:id="9">
    <w:p w14:paraId="3173DBB7" w14:textId="77777777" w:rsidR="00EE32A8" w:rsidRPr="008E7379" w:rsidRDefault="00EE32A8" w:rsidP="00EE32A8">
      <w:pPr>
        <w:pStyle w:val="Textonotapie"/>
        <w:ind w:firstLine="708"/>
        <w:contextualSpacing/>
        <w:jc w:val="both"/>
        <w:rPr>
          <w:rFonts w:ascii="Verdana" w:hAnsi="Verdana"/>
          <w:sz w:val="16"/>
          <w:szCs w:val="16"/>
        </w:rPr>
      </w:pPr>
      <w:r w:rsidRPr="008E7379">
        <w:rPr>
          <w:rStyle w:val="Refdenotaalpie"/>
          <w:rFonts w:ascii="Verdana" w:hAnsi="Verdana"/>
          <w:sz w:val="16"/>
          <w:szCs w:val="16"/>
        </w:rPr>
        <w:footnoteRef/>
      </w:r>
      <w:r w:rsidRPr="008E7379">
        <w:rPr>
          <w:rFonts w:ascii="Verdana" w:hAnsi="Verdana"/>
          <w:sz w:val="16"/>
          <w:szCs w:val="16"/>
        </w:rPr>
        <w:t xml:space="preserve"> Este concepto hace parte de la Ley 2294 de 2023, pues –de acuerdo con el artículo 2– “El documento denominado ‘Bases del Plan Nacional de Desarrollo 2022 - 2026 Colombia Potencia Mundial de la Vida’, junto con sus anexos, elaborado por el Gobierno nacional con la participación del Consejo Superior de la Judicatura y del Consejo Nacional de Planeación, con fundamento en los insumos entregados por los colombianos en los Diálogos Regionales Vinculantes, con las modificaciones realizadas en el trámite legislativo, es parte integral del Plan Nacional de Desarrollo, y se incorpora a la presente ley como un anexo”.</w:t>
      </w:r>
    </w:p>
    <w:p w14:paraId="44C0D9F7" w14:textId="77777777" w:rsidR="00EE32A8" w:rsidRPr="008E7379" w:rsidRDefault="00EE32A8" w:rsidP="00EE32A8">
      <w:pPr>
        <w:pStyle w:val="Textonotapie"/>
        <w:ind w:firstLine="708"/>
        <w:contextualSpacing/>
        <w:jc w:val="both"/>
        <w:rPr>
          <w:rFonts w:ascii="Verdana" w:hAnsi="Verdana"/>
          <w:sz w:val="16"/>
          <w:szCs w:val="16"/>
          <w:lang w:val="es-CO"/>
        </w:rPr>
      </w:pPr>
    </w:p>
  </w:footnote>
  <w:footnote w:id="10">
    <w:p w14:paraId="3576B472" w14:textId="77777777" w:rsidR="00EE32A8" w:rsidRPr="008E7379" w:rsidRDefault="00EE32A8" w:rsidP="00EE32A8">
      <w:pPr>
        <w:pStyle w:val="Textonotapie"/>
        <w:ind w:firstLine="708"/>
        <w:contextualSpacing/>
        <w:jc w:val="both"/>
        <w:rPr>
          <w:rFonts w:ascii="Verdana" w:hAnsi="Verdana"/>
          <w:sz w:val="16"/>
          <w:szCs w:val="16"/>
        </w:rPr>
      </w:pPr>
      <w:r w:rsidRPr="008E7379">
        <w:rPr>
          <w:rStyle w:val="Refdenotaalpie"/>
          <w:rFonts w:ascii="Verdana" w:hAnsi="Verdana"/>
          <w:sz w:val="16"/>
          <w:szCs w:val="16"/>
        </w:rPr>
        <w:footnoteRef/>
      </w:r>
      <w:r w:rsidRPr="008E7379">
        <w:rPr>
          <w:rFonts w:ascii="Verdana" w:hAnsi="Verdana"/>
          <w:sz w:val="16"/>
          <w:szCs w:val="16"/>
        </w:rPr>
        <w:t xml:space="preserve"> Éste último se define en el artículo 10 del Código de Comercio como “[…] las personas que profesionalmente se ocupan en alguna de las actividades que la ley considera mercantiles”. Por lo demás, “La calidad de comerciante se adquiere aunque la actividad mercantil se ejerza por medio de apoderado, intermediario o interpuesta persona”.</w:t>
      </w:r>
    </w:p>
    <w:p w14:paraId="25F5397B" w14:textId="77777777" w:rsidR="00EE32A8" w:rsidRPr="008E7379" w:rsidRDefault="00EE32A8" w:rsidP="00EE32A8">
      <w:pPr>
        <w:pStyle w:val="Textonotapie"/>
        <w:ind w:firstLine="708"/>
        <w:contextualSpacing/>
        <w:jc w:val="both"/>
        <w:rPr>
          <w:rFonts w:ascii="Verdana" w:hAnsi="Verdana"/>
          <w:sz w:val="16"/>
          <w:szCs w:val="16"/>
          <w:lang w:val="es-CO"/>
        </w:rPr>
      </w:pPr>
    </w:p>
  </w:footnote>
  <w:footnote w:id="11">
    <w:p w14:paraId="4BAAE2C6" w14:textId="77777777" w:rsidR="00EE32A8" w:rsidRPr="008E7379" w:rsidRDefault="00EE32A8" w:rsidP="00EE32A8">
      <w:pPr>
        <w:pStyle w:val="Textonotapie"/>
        <w:ind w:firstLine="708"/>
        <w:contextualSpacing/>
        <w:jc w:val="both"/>
        <w:rPr>
          <w:rFonts w:ascii="Verdana" w:hAnsi="Verdana"/>
          <w:sz w:val="16"/>
          <w:szCs w:val="16"/>
          <w:lang w:val="es-CO"/>
        </w:rPr>
      </w:pPr>
      <w:r w:rsidRPr="008E7379">
        <w:rPr>
          <w:rStyle w:val="Refdenotaalpie"/>
          <w:rFonts w:ascii="Verdana" w:hAnsi="Verdana"/>
          <w:sz w:val="16"/>
          <w:szCs w:val="16"/>
        </w:rPr>
        <w:footnoteRef/>
      </w:r>
      <w:r w:rsidRPr="008E7379">
        <w:rPr>
          <w:rFonts w:ascii="Verdana" w:hAnsi="Verdana"/>
          <w:sz w:val="16"/>
          <w:szCs w:val="16"/>
        </w:rPr>
        <w:t xml:space="preserve"> GARRIGUES, Joaquín. Curso de derecho mercantil. Tomo I. Séptima edición. Bogotá: Temis, 1987. p. 134. Énfasis fuera de texto. Ello es congruente con el artículo 11 del Código de Comercio, pues “</w:t>
      </w:r>
      <w:r w:rsidRPr="008E7379">
        <w:rPr>
          <w:rFonts w:ascii="Verdana" w:hAnsi="Verdana"/>
          <w:sz w:val="16"/>
          <w:szCs w:val="16"/>
          <w:lang w:val="es-CO"/>
        </w:rPr>
        <w:t>Las personas que ejecuten ocasionalmente operaciones mercantiles no se considerarán comerciantes, pero estarán sujetas a las normas comerciales en cuanto a dichas operaciones”.</w:t>
      </w:r>
    </w:p>
    <w:p w14:paraId="75CA9D85" w14:textId="77777777" w:rsidR="00EE32A8" w:rsidRPr="008E7379" w:rsidRDefault="00EE32A8" w:rsidP="00EE32A8">
      <w:pPr>
        <w:pStyle w:val="Textonotapie"/>
        <w:ind w:firstLine="708"/>
        <w:contextualSpacing/>
        <w:jc w:val="both"/>
        <w:rPr>
          <w:rFonts w:ascii="Verdana" w:hAnsi="Verdana"/>
          <w:sz w:val="16"/>
          <w:szCs w:val="16"/>
          <w:lang w:val="es-CO"/>
        </w:rPr>
      </w:pPr>
    </w:p>
  </w:footnote>
  <w:footnote w:id="12">
    <w:p w14:paraId="7909DE1D" w14:textId="77777777" w:rsidR="00EE32A8" w:rsidRPr="008E7379" w:rsidRDefault="00EE32A8" w:rsidP="00EE32A8">
      <w:pPr>
        <w:pStyle w:val="Textonotapie"/>
        <w:ind w:firstLine="708"/>
        <w:contextualSpacing/>
        <w:jc w:val="both"/>
        <w:rPr>
          <w:rFonts w:ascii="Verdana" w:hAnsi="Verdana"/>
          <w:sz w:val="16"/>
          <w:szCs w:val="16"/>
        </w:rPr>
      </w:pPr>
      <w:r w:rsidRPr="008E7379">
        <w:rPr>
          <w:rStyle w:val="Refdenotaalpie"/>
          <w:rFonts w:ascii="Verdana" w:hAnsi="Verdana"/>
          <w:sz w:val="16"/>
          <w:szCs w:val="16"/>
        </w:rPr>
        <w:footnoteRef/>
      </w:r>
      <w:r w:rsidRPr="008E7379">
        <w:rPr>
          <w:rFonts w:ascii="Verdana" w:hAnsi="Verdana"/>
          <w:sz w:val="16"/>
          <w:szCs w:val="16"/>
        </w:rPr>
        <w:t xml:space="preserve"> El artículo 20 del Código de Comercio dispone que “Son mercantiles para todos los efectos legales: </w:t>
      </w:r>
    </w:p>
    <w:p w14:paraId="0A9B06D5" w14:textId="77777777" w:rsidR="00EE32A8" w:rsidRPr="008E7379" w:rsidRDefault="00EE32A8" w:rsidP="00EE32A8">
      <w:pPr>
        <w:pStyle w:val="Textonotapie"/>
        <w:ind w:firstLine="708"/>
        <w:contextualSpacing/>
        <w:jc w:val="both"/>
        <w:rPr>
          <w:rFonts w:ascii="Verdana" w:hAnsi="Verdana"/>
          <w:sz w:val="16"/>
          <w:szCs w:val="16"/>
        </w:rPr>
      </w:pPr>
      <w:r w:rsidRPr="008E7379">
        <w:rPr>
          <w:rFonts w:ascii="Verdana" w:hAnsi="Verdana"/>
          <w:sz w:val="16"/>
          <w:szCs w:val="16"/>
        </w:rPr>
        <w:t xml:space="preserve">1) La adquisición de bienes a título oneroso con destino a enajenarlos en igual forma, y la enajenación de los mismos; </w:t>
      </w:r>
    </w:p>
    <w:p w14:paraId="7861DC70" w14:textId="77777777" w:rsidR="00EE32A8" w:rsidRPr="008E7379" w:rsidRDefault="00EE32A8" w:rsidP="00EE32A8">
      <w:pPr>
        <w:pStyle w:val="Textonotapie"/>
        <w:ind w:firstLine="708"/>
        <w:contextualSpacing/>
        <w:jc w:val="both"/>
        <w:rPr>
          <w:rFonts w:ascii="Verdana" w:hAnsi="Verdana"/>
          <w:sz w:val="16"/>
          <w:szCs w:val="16"/>
        </w:rPr>
      </w:pPr>
      <w:r w:rsidRPr="008E7379">
        <w:rPr>
          <w:rFonts w:ascii="Verdana" w:hAnsi="Verdana"/>
          <w:sz w:val="16"/>
          <w:szCs w:val="16"/>
        </w:rPr>
        <w:t xml:space="preserve">2) La adquisición a título oneroso de bienes muebles con destino a arrendarlos; el arrendamiento de los mismos; el arrendamiento de toda clase de bienes para subarrendarlos, y el subarrendamiento de los mismos; </w:t>
      </w:r>
    </w:p>
    <w:p w14:paraId="5D52A454" w14:textId="77777777" w:rsidR="00EE32A8" w:rsidRPr="008E7379" w:rsidRDefault="00EE32A8" w:rsidP="00EE32A8">
      <w:pPr>
        <w:pStyle w:val="Textonotapie"/>
        <w:ind w:firstLine="708"/>
        <w:contextualSpacing/>
        <w:jc w:val="both"/>
        <w:rPr>
          <w:rFonts w:ascii="Verdana" w:hAnsi="Verdana"/>
          <w:sz w:val="16"/>
          <w:szCs w:val="16"/>
        </w:rPr>
      </w:pPr>
      <w:r w:rsidRPr="008E7379">
        <w:rPr>
          <w:rFonts w:ascii="Verdana" w:hAnsi="Verdana"/>
          <w:sz w:val="16"/>
          <w:szCs w:val="16"/>
        </w:rPr>
        <w:t xml:space="preserve">3) El recibo de dinero en mutuo a interés, con garantía o sin ella, para darlo en préstamo, y los préstamos subsiguientes, así como dar habitualmente dinero en mutuo a interés; </w:t>
      </w:r>
    </w:p>
    <w:p w14:paraId="46771D3B" w14:textId="77777777" w:rsidR="00EE32A8" w:rsidRPr="008E7379" w:rsidRDefault="00EE32A8" w:rsidP="00EE32A8">
      <w:pPr>
        <w:pStyle w:val="Textonotapie"/>
        <w:ind w:firstLine="708"/>
        <w:contextualSpacing/>
        <w:jc w:val="both"/>
        <w:rPr>
          <w:rFonts w:ascii="Verdana" w:hAnsi="Verdana"/>
          <w:sz w:val="16"/>
          <w:szCs w:val="16"/>
        </w:rPr>
      </w:pPr>
      <w:r w:rsidRPr="008E7379">
        <w:rPr>
          <w:rFonts w:ascii="Verdana" w:hAnsi="Verdana"/>
          <w:sz w:val="16"/>
          <w:szCs w:val="16"/>
        </w:rPr>
        <w:t xml:space="preserve">4) La adquisición o enajenación, a título oneroso, de establecimientos de comercio, y la prenda*, arrendamiento, administración y demás operaciones análogas relacionadas con los mismos; </w:t>
      </w:r>
    </w:p>
    <w:p w14:paraId="62A93DCB" w14:textId="77777777" w:rsidR="00EE32A8" w:rsidRPr="008E7379" w:rsidRDefault="00EE32A8" w:rsidP="00EE32A8">
      <w:pPr>
        <w:pStyle w:val="Textonotapie"/>
        <w:ind w:firstLine="708"/>
        <w:contextualSpacing/>
        <w:jc w:val="both"/>
        <w:rPr>
          <w:rFonts w:ascii="Verdana" w:hAnsi="Verdana"/>
          <w:sz w:val="16"/>
          <w:szCs w:val="16"/>
        </w:rPr>
      </w:pPr>
      <w:r w:rsidRPr="008E7379">
        <w:rPr>
          <w:rFonts w:ascii="Verdana" w:hAnsi="Verdana"/>
          <w:sz w:val="16"/>
          <w:szCs w:val="16"/>
        </w:rPr>
        <w:t xml:space="preserve">5) La intervención como asociado en la constitución de sociedades comerciales, los actos de administración de las mismas o la negociación a título oneroso de las partes de interés, cuotas o acciones; </w:t>
      </w:r>
    </w:p>
    <w:p w14:paraId="11B47B07" w14:textId="77777777" w:rsidR="00EE32A8" w:rsidRPr="008E7379" w:rsidRDefault="00EE32A8" w:rsidP="00EE32A8">
      <w:pPr>
        <w:pStyle w:val="Textonotapie"/>
        <w:ind w:firstLine="708"/>
        <w:contextualSpacing/>
        <w:jc w:val="both"/>
        <w:rPr>
          <w:rFonts w:ascii="Verdana" w:hAnsi="Verdana"/>
          <w:sz w:val="16"/>
          <w:szCs w:val="16"/>
        </w:rPr>
      </w:pPr>
      <w:r w:rsidRPr="008E7379">
        <w:rPr>
          <w:rFonts w:ascii="Verdana" w:hAnsi="Verdana"/>
          <w:sz w:val="16"/>
          <w:szCs w:val="16"/>
        </w:rPr>
        <w:t xml:space="preserve">6) El giro, otorgamiento, aceptación, garantía o negociación de títulos-valores, así como la compra para reventa, permuta, etc., de los mismos; </w:t>
      </w:r>
    </w:p>
    <w:p w14:paraId="53E06CB2" w14:textId="77777777" w:rsidR="00EE32A8" w:rsidRPr="008E7379" w:rsidRDefault="00EE32A8" w:rsidP="00EE32A8">
      <w:pPr>
        <w:pStyle w:val="Textonotapie"/>
        <w:ind w:firstLine="708"/>
        <w:contextualSpacing/>
        <w:jc w:val="both"/>
        <w:rPr>
          <w:rFonts w:ascii="Verdana" w:hAnsi="Verdana"/>
          <w:sz w:val="16"/>
          <w:szCs w:val="16"/>
        </w:rPr>
      </w:pPr>
      <w:r w:rsidRPr="008E7379">
        <w:rPr>
          <w:rFonts w:ascii="Verdana" w:hAnsi="Verdana"/>
          <w:sz w:val="16"/>
          <w:szCs w:val="16"/>
        </w:rPr>
        <w:t xml:space="preserve">7) Las operaciones bancarias, de bolsas, o de martillos; </w:t>
      </w:r>
    </w:p>
    <w:p w14:paraId="63B6C87F" w14:textId="77777777" w:rsidR="00EE32A8" w:rsidRPr="008E7379" w:rsidRDefault="00EE32A8" w:rsidP="00EE32A8">
      <w:pPr>
        <w:pStyle w:val="Textonotapie"/>
        <w:ind w:firstLine="708"/>
        <w:contextualSpacing/>
        <w:jc w:val="both"/>
        <w:rPr>
          <w:rFonts w:ascii="Verdana" w:hAnsi="Verdana"/>
          <w:sz w:val="16"/>
          <w:szCs w:val="16"/>
        </w:rPr>
      </w:pPr>
      <w:r w:rsidRPr="008E7379">
        <w:rPr>
          <w:rFonts w:ascii="Verdana" w:hAnsi="Verdana"/>
          <w:sz w:val="16"/>
          <w:szCs w:val="16"/>
        </w:rPr>
        <w:t xml:space="preserve">8) El corretaje, las agencias de negocios y la representación de firmas nacionales o extranjeras; </w:t>
      </w:r>
    </w:p>
    <w:p w14:paraId="76369630" w14:textId="77777777" w:rsidR="00EE32A8" w:rsidRPr="008E7379" w:rsidRDefault="00EE32A8" w:rsidP="00EE32A8">
      <w:pPr>
        <w:pStyle w:val="Textonotapie"/>
        <w:ind w:firstLine="708"/>
        <w:contextualSpacing/>
        <w:jc w:val="both"/>
        <w:rPr>
          <w:rFonts w:ascii="Verdana" w:hAnsi="Verdana"/>
          <w:sz w:val="16"/>
          <w:szCs w:val="16"/>
        </w:rPr>
      </w:pPr>
      <w:r w:rsidRPr="008E7379">
        <w:rPr>
          <w:rFonts w:ascii="Verdana" w:hAnsi="Verdana"/>
          <w:sz w:val="16"/>
          <w:szCs w:val="16"/>
        </w:rPr>
        <w:t xml:space="preserve">9) La explotación o prestación de servicios de puertos, muelles, puentes, vías y campos de aterrizaje; </w:t>
      </w:r>
    </w:p>
    <w:p w14:paraId="272C986A" w14:textId="77777777" w:rsidR="00EE32A8" w:rsidRPr="008E7379" w:rsidRDefault="00EE32A8" w:rsidP="00EE32A8">
      <w:pPr>
        <w:pStyle w:val="Textonotapie"/>
        <w:ind w:firstLine="708"/>
        <w:contextualSpacing/>
        <w:jc w:val="both"/>
        <w:rPr>
          <w:rFonts w:ascii="Verdana" w:hAnsi="Verdana"/>
          <w:sz w:val="16"/>
          <w:szCs w:val="16"/>
        </w:rPr>
      </w:pPr>
      <w:r w:rsidRPr="008E7379">
        <w:rPr>
          <w:rFonts w:ascii="Verdana" w:hAnsi="Verdana"/>
          <w:sz w:val="16"/>
          <w:szCs w:val="16"/>
        </w:rPr>
        <w:t xml:space="preserve">10) Las empresas de seguros y la actividad aseguradora; </w:t>
      </w:r>
    </w:p>
    <w:p w14:paraId="74DFE06A" w14:textId="77777777" w:rsidR="00EE32A8" w:rsidRPr="008E7379" w:rsidRDefault="00EE32A8" w:rsidP="00EE32A8">
      <w:pPr>
        <w:pStyle w:val="Textonotapie"/>
        <w:ind w:firstLine="708"/>
        <w:contextualSpacing/>
        <w:jc w:val="both"/>
        <w:rPr>
          <w:rFonts w:ascii="Verdana" w:hAnsi="Verdana"/>
          <w:sz w:val="16"/>
          <w:szCs w:val="16"/>
        </w:rPr>
      </w:pPr>
      <w:r w:rsidRPr="008E7379">
        <w:rPr>
          <w:rFonts w:ascii="Verdana" w:hAnsi="Verdana"/>
          <w:sz w:val="16"/>
          <w:szCs w:val="16"/>
        </w:rPr>
        <w:t xml:space="preserve">11) Las empresas de transporte de personas o de cosas, a título oneroso, cualesquiera que fueren la vía y el medio utilizados; </w:t>
      </w:r>
    </w:p>
    <w:p w14:paraId="4BB12E67" w14:textId="77777777" w:rsidR="00EE32A8" w:rsidRPr="008E7379" w:rsidRDefault="00EE32A8" w:rsidP="00EE32A8">
      <w:pPr>
        <w:pStyle w:val="Textonotapie"/>
        <w:ind w:firstLine="708"/>
        <w:contextualSpacing/>
        <w:jc w:val="both"/>
        <w:rPr>
          <w:rFonts w:ascii="Verdana" w:hAnsi="Verdana"/>
          <w:sz w:val="16"/>
          <w:szCs w:val="16"/>
        </w:rPr>
      </w:pPr>
      <w:r w:rsidRPr="008E7379">
        <w:rPr>
          <w:rFonts w:ascii="Verdana" w:hAnsi="Verdana"/>
          <w:sz w:val="16"/>
          <w:szCs w:val="16"/>
        </w:rPr>
        <w:t xml:space="preserve">12) Las empresas de fabricación, transformación, manufactura y circulación de bienes; </w:t>
      </w:r>
    </w:p>
    <w:p w14:paraId="674E14D6" w14:textId="77777777" w:rsidR="00EE32A8" w:rsidRPr="008E7379" w:rsidRDefault="00EE32A8" w:rsidP="00EE32A8">
      <w:pPr>
        <w:pStyle w:val="Textonotapie"/>
        <w:ind w:firstLine="708"/>
        <w:contextualSpacing/>
        <w:jc w:val="both"/>
        <w:rPr>
          <w:rFonts w:ascii="Verdana" w:hAnsi="Verdana"/>
          <w:sz w:val="16"/>
          <w:szCs w:val="16"/>
        </w:rPr>
      </w:pPr>
      <w:r w:rsidRPr="008E7379">
        <w:rPr>
          <w:rFonts w:ascii="Verdana" w:hAnsi="Verdana"/>
          <w:sz w:val="16"/>
          <w:szCs w:val="16"/>
        </w:rPr>
        <w:t xml:space="preserve">13) Las empresas de depósito de mercaderías, provisiones o suministros, espectáculos públicos y expendio de toda clase de bienes; </w:t>
      </w:r>
    </w:p>
    <w:p w14:paraId="39823367" w14:textId="77777777" w:rsidR="00EE32A8" w:rsidRPr="008E7379" w:rsidRDefault="00EE32A8" w:rsidP="00EE32A8">
      <w:pPr>
        <w:pStyle w:val="Textonotapie"/>
        <w:ind w:firstLine="708"/>
        <w:contextualSpacing/>
        <w:jc w:val="both"/>
        <w:rPr>
          <w:rFonts w:ascii="Verdana" w:hAnsi="Verdana"/>
          <w:sz w:val="16"/>
          <w:szCs w:val="16"/>
        </w:rPr>
      </w:pPr>
      <w:r w:rsidRPr="008E7379">
        <w:rPr>
          <w:rFonts w:ascii="Verdana" w:hAnsi="Verdana"/>
          <w:sz w:val="16"/>
          <w:szCs w:val="16"/>
        </w:rPr>
        <w:t xml:space="preserve">14) Las empresas editoriales, litográficas, fotográficas, informativas o de propaganda y las demás destinadas a la prestación de servicios; </w:t>
      </w:r>
    </w:p>
    <w:p w14:paraId="52FAD234" w14:textId="77777777" w:rsidR="00EE32A8" w:rsidRPr="008E7379" w:rsidRDefault="00EE32A8" w:rsidP="00EE32A8">
      <w:pPr>
        <w:pStyle w:val="Textonotapie"/>
        <w:ind w:firstLine="708"/>
        <w:contextualSpacing/>
        <w:jc w:val="both"/>
        <w:rPr>
          <w:rFonts w:ascii="Verdana" w:hAnsi="Verdana"/>
          <w:sz w:val="16"/>
          <w:szCs w:val="16"/>
        </w:rPr>
      </w:pPr>
      <w:r w:rsidRPr="008E7379">
        <w:rPr>
          <w:rFonts w:ascii="Verdana" w:hAnsi="Verdana"/>
          <w:sz w:val="16"/>
          <w:szCs w:val="16"/>
        </w:rPr>
        <w:t xml:space="preserve">15) Las empresas de obras o construcciones, reparaciones, montajes, instalaciones u ornamentaciones; </w:t>
      </w:r>
    </w:p>
    <w:p w14:paraId="7B5F0248" w14:textId="77777777" w:rsidR="00EE32A8" w:rsidRPr="008E7379" w:rsidRDefault="00EE32A8" w:rsidP="00EE32A8">
      <w:pPr>
        <w:pStyle w:val="Textonotapie"/>
        <w:ind w:firstLine="708"/>
        <w:contextualSpacing/>
        <w:jc w:val="both"/>
        <w:rPr>
          <w:rFonts w:ascii="Verdana" w:hAnsi="Verdana"/>
          <w:sz w:val="16"/>
          <w:szCs w:val="16"/>
        </w:rPr>
      </w:pPr>
      <w:r w:rsidRPr="008E7379">
        <w:rPr>
          <w:rFonts w:ascii="Verdana" w:hAnsi="Verdana"/>
          <w:sz w:val="16"/>
          <w:szCs w:val="16"/>
        </w:rPr>
        <w:t xml:space="preserve">16) Las empresas para el aprovechamiento y explotación mercantil de las fuerzas o recursos de la naturaleza; </w:t>
      </w:r>
    </w:p>
    <w:p w14:paraId="06E78BDB" w14:textId="77777777" w:rsidR="00EE32A8" w:rsidRPr="008E7379" w:rsidRDefault="00EE32A8" w:rsidP="00EE32A8">
      <w:pPr>
        <w:pStyle w:val="Textonotapie"/>
        <w:ind w:firstLine="708"/>
        <w:contextualSpacing/>
        <w:jc w:val="both"/>
        <w:rPr>
          <w:rFonts w:ascii="Verdana" w:hAnsi="Verdana"/>
          <w:sz w:val="16"/>
          <w:szCs w:val="16"/>
        </w:rPr>
      </w:pPr>
      <w:r w:rsidRPr="008E7379">
        <w:rPr>
          <w:rFonts w:ascii="Verdana" w:hAnsi="Verdana"/>
          <w:sz w:val="16"/>
          <w:szCs w:val="16"/>
        </w:rPr>
        <w:t xml:space="preserve">17) Las empresas promotoras de negocios y las de compra, venta, administración, custodia o circulación de toda clase de bienes; </w:t>
      </w:r>
    </w:p>
    <w:p w14:paraId="7BED023C" w14:textId="77777777" w:rsidR="00EE32A8" w:rsidRPr="008E7379" w:rsidRDefault="00EE32A8" w:rsidP="00EE32A8">
      <w:pPr>
        <w:pStyle w:val="Textonotapie"/>
        <w:ind w:firstLine="708"/>
        <w:contextualSpacing/>
        <w:jc w:val="both"/>
        <w:rPr>
          <w:rFonts w:ascii="Verdana" w:hAnsi="Verdana"/>
          <w:sz w:val="16"/>
          <w:szCs w:val="16"/>
        </w:rPr>
      </w:pPr>
      <w:r w:rsidRPr="008E7379">
        <w:rPr>
          <w:rFonts w:ascii="Verdana" w:hAnsi="Verdana"/>
          <w:sz w:val="16"/>
          <w:szCs w:val="16"/>
        </w:rPr>
        <w:t xml:space="preserve">18) Las empresas de construcción, reparación, compra y venta de vehículos para el transporte por tierra, agua y aire, y sus accesorios, y </w:t>
      </w:r>
    </w:p>
    <w:p w14:paraId="4E7BA20B" w14:textId="77777777" w:rsidR="00EE32A8" w:rsidRPr="008E7379" w:rsidRDefault="00EE32A8" w:rsidP="00EE32A8">
      <w:pPr>
        <w:pStyle w:val="Textonotapie"/>
        <w:ind w:firstLine="708"/>
        <w:contextualSpacing/>
        <w:jc w:val="both"/>
        <w:rPr>
          <w:rFonts w:ascii="Verdana" w:hAnsi="Verdana"/>
          <w:sz w:val="16"/>
          <w:szCs w:val="16"/>
        </w:rPr>
      </w:pPr>
      <w:r w:rsidRPr="008E7379">
        <w:rPr>
          <w:rFonts w:ascii="Verdana" w:hAnsi="Verdana"/>
          <w:sz w:val="16"/>
          <w:szCs w:val="16"/>
        </w:rPr>
        <w:t>19) Los demás actos y contratos regulados por la ley mercantil”.</w:t>
      </w:r>
    </w:p>
    <w:p w14:paraId="78046FB6" w14:textId="77777777" w:rsidR="00EE32A8" w:rsidRPr="008E7379" w:rsidRDefault="00EE32A8" w:rsidP="00EE32A8">
      <w:pPr>
        <w:pStyle w:val="Textonotapie"/>
        <w:ind w:firstLine="708"/>
        <w:contextualSpacing/>
        <w:jc w:val="both"/>
        <w:rPr>
          <w:rFonts w:ascii="Verdana" w:hAnsi="Verdana"/>
          <w:sz w:val="16"/>
          <w:szCs w:val="16"/>
          <w:lang w:val="es-CO"/>
        </w:rPr>
      </w:pPr>
    </w:p>
  </w:footnote>
  <w:footnote w:id="13">
    <w:p w14:paraId="5D3E92A6" w14:textId="77777777" w:rsidR="00EE32A8" w:rsidRPr="008E7379" w:rsidRDefault="00EE32A8" w:rsidP="00EE32A8">
      <w:pPr>
        <w:pStyle w:val="Textonotapie"/>
        <w:ind w:firstLine="708"/>
        <w:contextualSpacing/>
        <w:jc w:val="both"/>
        <w:rPr>
          <w:rFonts w:ascii="Verdana" w:hAnsi="Verdana" w:cs="Arial"/>
          <w:sz w:val="16"/>
          <w:szCs w:val="16"/>
        </w:rPr>
      </w:pPr>
      <w:r w:rsidRPr="008E7379">
        <w:rPr>
          <w:rStyle w:val="Refdenotaalpie"/>
          <w:rFonts w:ascii="Verdana" w:hAnsi="Verdana"/>
          <w:sz w:val="16"/>
          <w:szCs w:val="16"/>
        </w:rPr>
        <w:footnoteRef/>
      </w:r>
      <w:r w:rsidRPr="008E7379">
        <w:rPr>
          <w:rFonts w:ascii="Verdana" w:hAnsi="Verdana"/>
          <w:sz w:val="16"/>
          <w:szCs w:val="16"/>
        </w:rPr>
        <w:t xml:space="preserve"> </w:t>
      </w:r>
      <w:r w:rsidRPr="008E7379">
        <w:rPr>
          <w:rFonts w:ascii="Verdana" w:eastAsia="Calibri" w:hAnsi="Verdana" w:cs="Arial"/>
          <w:bCs/>
          <w:sz w:val="16"/>
          <w:szCs w:val="16"/>
          <w:lang w:val="es-ES_tradnl"/>
        </w:rPr>
        <w:t xml:space="preserve">En ese sentido, el artículo 20 del Código de Comercio agrupa una gran variedad de actividades bajo la categoría de “acto de comercio”, sin que dicha enumeración sea taxativa en </w:t>
      </w:r>
      <w:r w:rsidRPr="008E7379">
        <w:rPr>
          <w:rFonts w:ascii="Verdana" w:hAnsi="Verdana" w:cs="Arial"/>
          <w:sz w:val="16"/>
          <w:szCs w:val="16"/>
        </w:rPr>
        <w:t xml:space="preserve">nuestro sistema jurídico. Así las cosas, no se define estáticamente el acto de comercio, permitiendo mediante la analogía realizar la ampliación dinámica del derecho mercantil facilitando su adaptación a un cambiante mundo de negocios. Adicionalmente, la ley provee un criterio auxiliar que permite ampliar la cobertura del derecho comercial con la calificación de mercantiles de actos que en principio no lo son, pero que guardan relación estrecha con actividades de esta naturaleza. En el artículo 21 del Código de Comercio se incluyen actos no previstos en el artículo 20 que realiza el comerciante o empresario mercantil en desarrollo de su actividad mercantil y que facilitan su ejercicio y que en razón a ello adquieren comercialidad. </w:t>
      </w:r>
    </w:p>
    <w:p w14:paraId="448CDC1F" w14:textId="77777777" w:rsidR="00EE32A8" w:rsidRPr="008E7379" w:rsidRDefault="00EE32A8" w:rsidP="00EE32A8">
      <w:pPr>
        <w:pStyle w:val="Textonotapie"/>
        <w:ind w:firstLine="708"/>
        <w:contextualSpacing/>
        <w:jc w:val="both"/>
        <w:rPr>
          <w:rFonts w:ascii="Verdana" w:eastAsia="Calibri" w:hAnsi="Verdana" w:cs="Arial"/>
          <w:bCs/>
          <w:sz w:val="16"/>
          <w:szCs w:val="16"/>
          <w:lang w:val="es-ES_tradnl"/>
        </w:rPr>
      </w:pPr>
    </w:p>
  </w:footnote>
  <w:footnote w:id="14">
    <w:p w14:paraId="6AE567BA" w14:textId="77777777" w:rsidR="00EE32A8" w:rsidRPr="008E7379" w:rsidRDefault="00EE32A8" w:rsidP="00EE32A8">
      <w:pPr>
        <w:pStyle w:val="Textonotapie"/>
        <w:ind w:firstLine="708"/>
        <w:contextualSpacing/>
        <w:jc w:val="both"/>
        <w:rPr>
          <w:rFonts w:ascii="Verdana" w:hAnsi="Verdana"/>
          <w:sz w:val="16"/>
          <w:szCs w:val="16"/>
        </w:rPr>
      </w:pPr>
      <w:r w:rsidRPr="008E7379">
        <w:rPr>
          <w:rStyle w:val="Refdenotaalpie"/>
          <w:rFonts w:ascii="Verdana" w:hAnsi="Verdana"/>
          <w:sz w:val="16"/>
          <w:szCs w:val="16"/>
        </w:rPr>
        <w:footnoteRef/>
      </w:r>
      <w:r w:rsidRPr="008E7379">
        <w:rPr>
          <w:rFonts w:ascii="Verdana" w:hAnsi="Verdana"/>
          <w:sz w:val="16"/>
          <w:szCs w:val="16"/>
        </w:rPr>
        <w:t xml:space="preserve"> El artículo 23 del Código de Comercio prescribe que “No son mercantiles: </w:t>
      </w:r>
    </w:p>
    <w:p w14:paraId="7DC93BEF" w14:textId="77777777" w:rsidR="00EE32A8" w:rsidRPr="008E7379" w:rsidRDefault="00EE32A8" w:rsidP="00EE32A8">
      <w:pPr>
        <w:pStyle w:val="Textonotapie"/>
        <w:ind w:firstLine="708"/>
        <w:contextualSpacing/>
        <w:jc w:val="both"/>
        <w:rPr>
          <w:rFonts w:ascii="Verdana" w:hAnsi="Verdana"/>
          <w:sz w:val="16"/>
          <w:szCs w:val="16"/>
        </w:rPr>
      </w:pPr>
      <w:r w:rsidRPr="008E7379">
        <w:rPr>
          <w:rFonts w:ascii="Verdana" w:hAnsi="Verdana"/>
          <w:sz w:val="16"/>
          <w:szCs w:val="16"/>
        </w:rPr>
        <w:t xml:space="preserve">1) La adquisición de bienes con destino al consumo doméstico o al uso del adquirente, y la enajenación de los mismos o de los sobrantes; </w:t>
      </w:r>
    </w:p>
    <w:p w14:paraId="2C0D3949" w14:textId="77777777" w:rsidR="00EE32A8" w:rsidRPr="008E7379" w:rsidRDefault="00EE32A8" w:rsidP="00EE32A8">
      <w:pPr>
        <w:pStyle w:val="Textonotapie"/>
        <w:ind w:firstLine="708"/>
        <w:contextualSpacing/>
        <w:jc w:val="both"/>
        <w:rPr>
          <w:rFonts w:ascii="Verdana" w:hAnsi="Verdana"/>
          <w:sz w:val="16"/>
          <w:szCs w:val="16"/>
        </w:rPr>
      </w:pPr>
      <w:r w:rsidRPr="008E7379">
        <w:rPr>
          <w:rFonts w:ascii="Verdana" w:hAnsi="Verdana"/>
          <w:sz w:val="16"/>
          <w:szCs w:val="16"/>
        </w:rPr>
        <w:t xml:space="preserve">2) La adquisición de bienes para producir obras artísticas y la enajenación de éstas por su autor; </w:t>
      </w:r>
    </w:p>
    <w:p w14:paraId="125B69EF" w14:textId="77777777" w:rsidR="00EE32A8" w:rsidRPr="008E7379" w:rsidRDefault="00EE32A8" w:rsidP="00EE32A8">
      <w:pPr>
        <w:pStyle w:val="Textonotapie"/>
        <w:ind w:firstLine="708"/>
        <w:contextualSpacing/>
        <w:jc w:val="both"/>
        <w:rPr>
          <w:rFonts w:ascii="Verdana" w:hAnsi="Verdana"/>
          <w:sz w:val="16"/>
          <w:szCs w:val="16"/>
        </w:rPr>
      </w:pPr>
      <w:r w:rsidRPr="008E7379">
        <w:rPr>
          <w:rFonts w:ascii="Verdana" w:hAnsi="Verdana"/>
          <w:sz w:val="16"/>
          <w:szCs w:val="16"/>
        </w:rPr>
        <w:t xml:space="preserve">3) Las adquisiciones hechas por funcionarios o empleados para fines de servicio público; </w:t>
      </w:r>
    </w:p>
    <w:p w14:paraId="57FBA314" w14:textId="77777777" w:rsidR="00EE32A8" w:rsidRPr="008E7379" w:rsidRDefault="00EE32A8" w:rsidP="00EE32A8">
      <w:pPr>
        <w:pStyle w:val="Textonotapie"/>
        <w:ind w:firstLine="708"/>
        <w:contextualSpacing/>
        <w:jc w:val="both"/>
        <w:rPr>
          <w:rFonts w:ascii="Verdana" w:hAnsi="Verdana"/>
          <w:sz w:val="16"/>
          <w:szCs w:val="16"/>
        </w:rPr>
      </w:pPr>
      <w:r w:rsidRPr="008E7379">
        <w:rPr>
          <w:rFonts w:ascii="Verdana" w:hAnsi="Verdana"/>
          <w:sz w:val="16"/>
          <w:szCs w:val="16"/>
        </w:rPr>
        <w:t xml:space="preserve">4) Las enajenaciones que hagan directamente los agricultores o ganaderos de los frutos de sus cosechas o ganados, en su estado natural. Tampoco serán mercantiles las actividades de transformación de tales frutos que efectúen los agricultores o ganaderos, siempre y cuando que dicha transformación no constituya por sí misma una empresa, y </w:t>
      </w:r>
    </w:p>
    <w:p w14:paraId="6BAC2B60" w14:textId="77777777" w:rsidR="00EE32A8" w:rsidRPr="008E7379" w:rsidRDefault="00EE32A8" w:rsidP="00EE32A8">
      <w:pPr>
        <w:pStyle w:val="Textonotapie"/>
        <w:ind w:firstLine="708"/>
        <w:contextualSpacing/>
        <w:jc w:val="both"/>
        <w:rPr>
          <w:rFonts w:ascii="Verdana" w:hAnsi="Verdana"/>
          <w:sz w:val="16"/>
          <w:szCs w:val="16"/>
          <w:lang w:val="es-CO"/>
        </w:rPr>
      </w:pPr>
      <w:r w:rsidRPr="008E7379">
        <w:rPr>
          <w:rFonts w:ascii="Verdana" w:hAnsi="Verdana"/>
          <w:sz w:val="16"/>
          <w:szCs w:val="16"/>
        </w:rPr>
        <w:t>5) La prestación de servicios inherentes a las profesiones liberales”.</w:t>
      </w:r>
    </w:p>
  </w:footnote>
  <w:footnote w:id="15">
    <w:p w14:paraId="4708FE68" w14:textId="77777777" w:rsidR="00EE32A8" w:rsidRPr="008E7379" w:rsidRDefault="00EE32A8" w:rsidP="00EE32A8">
      <w:pPr>
        <w:pStyle w:val="Textonotapie"/>
        <w:ind w:firstLine="708"/>
        <w:contextualSpacing/>
        <w:rPr>
          <w:rFonts w:ascii="Verdana" w:hAnsi="Verdana"/>
          <w:sz w:val="16"/>
          <w:szCs w:val="16"/>
        </w:rPr>
      </w:pPr>
    </w:p>
    <w:p w14:paraId="3F14B16D" w14:textId="77777777" w:rsidR="00EE32A8" w:rsidRPr="008E7379" w:rsidRDefault="00EE32A8" w:rsidP="00EE32A8">
      <w:pPr>
        <w:pBdr>
          <w:top w:val="nil"/>
          <w:left w:val="nil"/>
          <w:bottom w:val="nil"/>
          <w:right w:val="nil"/>
          <w:between w:val="nil"/>
        </w:pBdr>
        <w:spacing w:after="0" w:line="240" w:lineRule="auto"/>
        <w:ind w:firstLine="708"/>
        <w:contextualSpacing/>
        <w:jc w:val="both"/>
        <w:rPr>
          <w:rFonts w:ascii="Verdana" w:hAnsi="Verdana"/>
          <w:sz w:val="16"/>
          <w:szCs w:val="16"/>
        </w:rPr>
      </w:pPr>
      <w:r w:rsidRPr="008E7379">
        <w:rPr>
          <w:rStyle w:val="Refdenotaalpie"/>
          <w:rFonts w:ascii="Verdana" w:hAnsi="Verdana"/>
          <w:sz w:val="16"/>
          <w:szCs w:val="16"/>
        </w:rPr>
        <w:footnoteRef/>
      </w:r>
      <w:r w:rsidRPr="008E7379">
        <w:rPr>
          <w:rFonts w:ascii="Verdana" w:hAnsi="Verdana"/>
          <w:sz w:val="16"/>
          <w:szCs w:val="16"/>
        </w:rPr>
        <w:t xml:space="preserve"> A modo de ejemplo, d</w:t>
      </w:r>
      <w:r w:rsidRPr="008E7379">
        <w:rPr>
          <w:rFonts w:ascii="Verdana" w:eastAsia="Arial" w:hAnsi="Verdana" w:cs="Arial"/>
          <w:color w:val="000000"/>
          <w:sz w:val="16"/>
          <w:szCs w:val="16"/>
        </w:rPr>
        <w:t>entro de la economía del cuidado es posible ubicar las actividades se realizan dentro del hogar o la comunidad que son de vital importancia para el funcionamiento del sistema económico y social. Actividades como la preparación de los alimentos, el arreglo y mantenimiento del hogar y las prendas de vestir, actividades de cuidado a personas mayores, con discapacidad o niños (enseñanza de valores y habilidades), entre otras, también son necesarias para la reproducción del capital humano, dado que sirven para la manutención de los trabajadores actuales y futuros. Sin embargo, estas actividades son poco valoradas por la sociedad, principalmente porque la mayoría de ellas se realizan sin recibir una remuneración monetaria a cambio. La economía de cuidado busca otorgar valor a las actividades de cuidado y de trabajo doméstico no remunerado, dado que estas actividades se consideran bienes o servicios económicos porque además de generar valor, también demandan costos representados en tiempo y energía necesarios para producirlos. Adicionalmente estas tareas también generan bienestar a las personas que los reciben.</w:t>
      </w:r>
      <w:r w:rsidRPr="008E7379">
        <w:rPr>
          <w:rFonts w:ascii="Verdana" w:hAnsi="Verdana"/>
          <w:sz w:val="16"/>
          <w:szCs w:val="16"/>
        </w:rPr>
        <w:t xml:space="preserve"> </w:t>
      </w:r>
    </w:p>
    <w:p w14:paraId="17E76DAE" w14:textId="77777777" w:rsidR="00EE32A8" w:rsidRPr="008E7379" w:rsidRDefault="00EE32A8" w:rsidP="00EE32A8">
      <w:pPr>
        <w:pBdr>
          <w:top w:val="nil"/>
          <w:left w:val="nil"/>
          <w:bottom w:val="nil"/>
          <w:right w:val="nil"/>
          <w:between w:val="nil"/>
        </w:pBdr>
        <w:spacing w:after="0" w:line="240" w:lineRule="auto"/>
        <w:ind w:firstLine="708"/>
        <w:contextualSpacing/>
        <w:jc w:val="both"/>
        <w:rPr>
          <w:rFonts w:ascii="Verdana" w:eastAsia="Arial" w:hAnsi="Verdana" w:cs="Arial"/>
          <w:color w:val="000000"/>
          <w:sz w:val="16"/>
          <w:szCs w:val="16"/>
        </w:rPr>
      </w:pPr>
    </w:p>
  </w:footnote>
  <w:footnote w:id="16">
    <w:p w14:paraId="24675FD7" w14:textId="77777777" w:rsidR="00EE32A8" w:rsidRPr="008E7379" w:rsidRDefault="00EE32A8" w:rsidP="00EE32A8">
      <w:pPr>
        <w:pStyle w:val="Textonotapie"/>
        <w:ind w:firstLine="708"/>
        <w:contextualSpacing/>
        <w:jc w:val="both"/>
        <w:rPr>
          <w:rFonts w:ascii="Verdana" w:hAnsi="Verdana"/>
          <w:sz w:val="16"/>
          <w:szCs w:val="16"/>
        </w:rPr>
      </w:pPr>
      <w:r w:rsidRPr="008E7379">
        <w:rPr>
          <w:rStyle w:val="Refdenotaalpie"/>
          <w:rFonts w:ascii="Verdana" w:hAnsi="Verdana"/>
          <w:sz w:val="16"/>
          <w:szCs w:val="16"/>
        </w:rPr>
        <w:footnoteRef/>
      </w:r>
      <w:r w:rsidRPr="008E7379">
        <w:rPr>
          <w:rFonts w:ascii="Verdana" w:hAnsi="Verdana"/>
          <w:sz w:val="16"/>
          <w:szCs w:val="16"/>
        </w:rPr>
        <w:t xml:space="preserve"> DEPARTAMENTO ADMINISTRATIVO NACIONAL DE ESTADÍSTICA. Conteo de unidades económicas 2021. Consultado el 3 de septiembre de 2024 en la página web </w:t>
      </w:r>
      <w:hyperlink r:id="rId1" w:anchor=":~:text=*Una%20unidad%20económica%20es%20una,vivienda%20o%20en%20puestos%20móviles" w:history="1">
        <w:r w:rsidRPr="008E7379">
          <w:rPr>
            <w:rStyle w:val="Hipervnculo"/>
            <w:rFonts w:ascii="Verdana" w:hAnsi="Verdana"/>
            <w:sz w:val="16"/>
            <w:szCs w:val="16"/>
          </w:rPr>
          <w:t>https://www.dane.gov.co/index.php/estadisticas-por-tema/comercio-interno/censo-economico-de-colombia/conteo-de-unidades-economicas-2021#:~:text=*Una%20unidad%20económica%20es%20una,vivienda%20o%20en%20puestos%20móviles</w:t>
        </w:r>
      </w:hyperlink>
    </w:p>
    <w:p w14:paraId="2CD4745A" w14:textId="77777777" w:rsidR="00EE32A8" w:rsidRPr="008E7379" w:rsidRDefault="00EE32A8" w:rsidP="00EE32A8">
      <w:pPr>
        <w:pStyle w:val="Textonotapie"/>
        <w:ind w:firstLine="708"/>
        <w:contextualSpacing/>
        <w:jc w:val="both"/>
        <w:rPr>
          <w:rFonts w:ascii="Verdana" w:hAnsi="Verdana"/>
          <w:sz w:val="16"/>
          <w:szCs w:val="16"/>
        </w:rPr>
      </w:pPr>
    </w:p>
  </w:footnote>
  <w:footnote w:id="17">
    <w:p w14:paraId="6D8071D7" w14:textId="77777777" w:rsidR="00EE32A8" w:rsidRPr="008E7379" w:rsidRDefault="00EE32A8" w:rsidP="00EE32A8">
      <w:pPr>
        <w:pStyle w:val="Textonotapie"/>
        <w:ind w:firstLine="708"/>
        <w:contextualSpacing/>
        <w:jc w:val="both"/>
        <w:rPr>
          <w:rFonts w:ascii="Verdana" w:hAnsi="Verdana"/>
          <w:sz w:val="16"/>
          <w:szCs w:val="16"/>
        </w:rPr>
      </w:pPr>
      <w:r w:rsidRPr="008E7379">
        <w:rPr>
          <w:rStyle w:val="Refdenotaalpie"/>
          <w:rFonts w:ascii="Verdana" w:hAnsi="Verdana"/>
          <w:sz w:val="16"/>
          <w:szCs w:val="16"/>
        </w:rPr>
        <w:footnoteRef/>
      </w:r>
      <w:r w:rsidRPr="008E7379">
        <w:rPr>
          <w:rFonts w:ascii="Verdana" w:hAnsi="Verdana"/>
          <w:sz w:val="16"/>
          <w:szCs w:val="16"/>
        </w:rPr>
        <w:t xml:space="preserve"> DEPARTAMENTO ADMINISTRATIVO NACIONAL DE ESTADÍSTICA. Encuesta de Micronegocios (EMICRON): I Trimestre de 2024. Consultado el 3 de septiembre de 2024 en la página web </w:t>
      </w:r>
      <w:hyperlink r:id="rId2" w:history="1">
        <w:r w:rsidRPr="008E7379">
          <w:rPr>
            <w:rStyle w:val="Hipervnculo"/>
            <w:rFonts w:ascii="Verdana" w:hAnsi="Verdana"/>
            <w:sz w:val="16"/>
            <w:szCs w:val="16"/>
          </w:rPr>
          <w:t>https://www.dane.gov.co/files/operaciones/EMICRON/bol-EMICRON-Itrim2024.pdf</w:t>
        </w:r>
      </w:hyperlink>
      <w:r w:rsidRPr="008E7379">
        <w:rPr>
          <w:rFonts w:ascii="Verdana" w:hAnsi="Verdana"/>
          <w:sz w:val="16"/>
          <w:szCs w:val="16"/>
        </w:rPr>
        <w:t xml:space="preserve">. El informe agrega que “Las actividades económicas que realizan los micronegocios comprenden desde la pequeña miscelánea de barrio hasta los servicios de consultoría especializada, incluye las profesiones liberales, las ventas ambulantes y las confecciones al interior de la vivienda. Es un grupo muy heterogéneo y puede desarrollar la actividad en cualquier emplazamiento (vivienda, local, puerta a puerta, etc.)”. </w:t>
      </w:r>
    </w:p>
  </w:footnote>
  <w:footnote w:id="18">
    <w:p w14:paraId="739C3A71" w14:textId="77777777" w:rsidR="00EE32A8" w:rsidRPr="008E7379" w:rsidRDefault="00EE32A8" w:rsidP="00EE32A8">
      <w:pPr>
        <w:pStyle w:val="Textonotapie"/>
        <w:ind w:firstLine="708"/>
        <w:contextualSpacing/>
        <w:jc w:val="both"/>
        <w:rPr>
          <w:rFonts w:ascii="Verdana" w:hAnsi="Verdana"/>
          <w:sz w:val="16"/>
          <w:szCs w:val="16"/>
        </w:rPr>
      </w:pPr>
      <w:r w:rsidRPr="008E7379">
        <w:rPr>
          <w:rStyle w:val="Refdenotaalpie"/>
          <w:rFonts w:ascii="Verdana" w:hAnsi="Verdana"/>
          <w:sz w:val="16"/>
          <w:szCs w:val="16"/>
        </w:rPr>
        <w:footnoteRef/>
      </w:r>
      <w:r w:rsidRPr="008E7379">
        <w:rPr>
          <w:rFonts w:ascii="Verdana" w:hAnsi="Verdana"/>
          <w:sz w:val="16"/>
          <w:szCs w:val="16"/>
        </w:rPr>
        <w:t xml:space="preserve"> Conforme al inciso primero del artículo 6 de la Ley 454 de 1998, las organizaciones de la economía solidaria son “[…] personas jurídicas organizadas para realizar actividades sin ánimo de lucro, en las cuales los trabajadores o los usuarios según el caso, son simultáneamente sus aportantes y gestores, creadas con el objeto de producir, distribuir y consumir conjunta y eficientemente, bienes y servicios para satisfacer las necesidades de sus miembros y al desarrollo de obras de servicio a la comunidad en general […]”. De acuerdo con el parágrafo 2 del artículo precitado, tienen el carácter de organizaciones solidarias, entre otras, las cooperativas, los organismos de segundo y tercer grado que agrupen cooperativas u otras formas asociativas y solidarias de propiedad, las instituciones auxiliares de la economía solidaria, las empresas comunitarias, las empresas solidarias de salud, las precooperativas, los fondos de empleados, las asociaciones mutualistas, las empresas de servicios en las formas de administraciones públicas cooperativas, las empresas asociativas de trabajo, así como todas aquellas formas asociativas solidarias que cumplan con las características mencionadas en el capítulo II de la Ley 454 de 1998.</w:t>
      </w:r>
    </w:p>
    <w:p w14:paraId="4B7AEC46" w14:textId="77777777" w:rsidR="00EE32A8" w:rsidRPr="008E7379" w:rsidRDefault="00EE32A8" w:rsidP="00EE32A8">
      <w:pPr>
        <w:pStyle w:val="Textonotapie"/>
        <w:ind w:firstLine="708"/>
        <w:contextualSpacing/>
        <w:jc w:val="both"/>
        <w:rPr>
          <w:rFonts w:ascii="Verdana" w:hAnsi="Verdana"/>
          <w:sz w:val="16"/>
          <w:szCs w:val="16"/>
        </w:rPr>
      </w:pPr>
    </w:p>
  </w:footnote>
  <w:footnote w:id="19">
    <w:p w14:paraId="00D39466" w14:textId="6FE55212" w:rsidR="00EE32A8" w:rsidRPr="008E7379" w:rsidRDefault="00EE32A8" w:rsidP="00EE32A8">
      <w:pPr>
        <w:pStyle w:val="Textonotapie"/>
        <w:ind w:firstLine="708"/>
        <w:contextualSpacing/>
        <w:jc w:val="both"/>
        <w:rPr>
          <w:rFonts w:ascii="Verdana" w:hAnsi="Verdana"/>
          <w:sz w:val="16"/>
          <w:szCs w:val="16"/>
        </w:rPr>
      </w:pPr>
      <w:r w:rsidRPr="008E7379">
        <w:rPr>
          <w:rStyle w:val="Refdenotaalpie"/>
          <w:rFonts w:ascii="Verdana" w:hAnsi="Verdana"/>
          <w:sz w:val="16"/>
          <w:szCs w:val="16"/>
        </w:rPr>
        <w:footnoteRef/>
      </w:r>
      <w:r w:rsidRPr="008E7379">
        <w:rPr>
          <w:rFonts w:ascii="Verdana" w:hAnsi="Verdana"/>
          <w:sz w:val="16"/>
          <w:szCs w:val="16"/>
        </w:rPr>
        <w:t xml:space="preserve"> En el mismo sentido, TAFUR GALVIS considera lo siguiente: “[…] además de la realización de los actos necesarios de conservación patrimonial, de tiempo atrás se acepta que las instituciones ‘sin ánimo de lucro’ no pierden ese carácter, a pesar de que usualmente celebren actos comerciales. La necesaria coherencia conceptual debe signar esas actuaciones como complementarias respecto de la actividad principal señalada por el fundador o por los asociados, y de necesaria instrumentalidad respecto de los fines de interés general y beneficio común a su cargo […]” (TAFUR GALVIS, Álvaro. Las personas jurídicas privadas sin ánimo de lucro y el Estado. Quinta edición. Bogotá: Grupo Editorial Ibáñez, 2017. p. 60).</w:t>
      </w:r>
    </w:p>
  </w:footnote>
  <w:footnote w:id="20">
    <w:p w14:paraId="4FF0BAFC" w14:textId="77777777" w:rsidR="00EE32A8" w:rsidRPr="008E7379" w:rsidRDefault="00EE32A8" w:rsidP="00EE32A8">
      <w:pPr>
        <w:pStyle w:val="Textonotapie"/>
        <w:ind w:firstLine="708"/>
        <w:contextualSpacing/>
        <w:jc w:val="both"/>
        <w:rPr>
          <w:rFonts w:ascii="Verdana" w:hAnsi="Verdana"/>
          <w:sz w:val="16"/>
          <w:szCs w:val="16"/>
        </w:rPr>
      </w:pPr>
      <w:r w:rsidRPr="008E7379">
        <w:rPr>
          <w:rStyle w:val="Refdenotaalpie"/>
          <w:rFonts w:ascii="Verdana" w:hAnsi="Verdana"/>
          <w:sz w:val="16"/>
          <w:szCs w:val="16"/>
        </w:rPr>
        <w:footnoteRef/>
      </w:r>
      <w:r w:rsidRPr="008E7379">
        <w:rPr>
          <w:rFonts w:ascii="Verdana" w:hAnsi="Verdana"/>
          <w:sz w:val="16"/>
          <w:szCs w:val="16"/>
        </w:rPr>
        <w:t xml:space="preserve"> De acuerdo con el Concepto C-184 del 2 de abril de 2020, la ANCP – CCE ha considerado que “[…] el registro mercantil es un deber legal de los comerciantes, pero no otorga capacidad jurídica, aunque su ausencia, cuando se desarrollan actividades mercantiles de manera habitual y permanente, conlleva a la imposición de multas por el incumplimiento de un deber legal.</w:t>
      </w:r>
    </w:p>
    <w:p w14:paraId="61423CA6" w14:textId="77777777" w:rsidR="00EE32A8" w:rsidRPr="008E7379" w:rsidRDefault="00EE32A8" w:rsidP="00EE32A8">
      <w:pPr>
        <w:pStyle w:val="Textonotapie"/>
        <w:ind w:firstLine="708"/>
        <w:contextualSpacing/>
        <w:jc w:val="both"/>
        <w:rPr>
          <w:rFonts w:ascii="Verdana" w:hAnsi="Verdana"/>
          <w:sz w:val="16"/>
          <w:szCs w:val="16"/>
        </w:rPr>
      </w:pPr>
    </w:p>
    <w:p w14:paraId="1A0BDB78" w14:textId="1573ECA9" w:rsidR="00EE32A8" w:rsidRPr="008E7379" w:rsidRDefault="00EE32A8" w:rsidP="00EE32A8">
      <w:pPr>
        <w:pStyle w:val="Textonotapie"/>
        <w:ind w:firstLine="708"/>
        <w:contextualSpacing/>
        <w:jc w:val="both"/>
        <w:rPr>
          <w:rFonts w:ascii="Verdana" w:hAnsi="Verdana"/>
          <w:sz w:val="16"/>
          <w:szCs w:val="16"/>
        </w:rPr>
      </w:pPr>
      <w:r w:rsidRPr="008E7379">
        <w:rPr>
          <w:rFonts w:ascii="Verdana" w:hAnsi="Verdana"/>
          <w:sz w:val="16"/>
          <w:szCs w:val="16"/>
        </w:rPr>
        <w:t>En este sentido, […] una persona […] solo deberá estar inscrita en el registro mercantil, en cumplimiento de un deber comercial, cuando realice alguna actividad comercial profesional de manera habitual, y no por el hecho de participar en un proceso de contratación”.</w:t>
      </w:r>
    </w:p>
  </w:footnote>
  <w:footnote w:id="21">
    <w:p w14:paraId="53EF3DB2" w14:textId="77777777" w:rsidR="00EE32A8" w:rsidRPr="008E7379" w:rsidRDefault="00EE32A8" w:rsidP="00EE32A8">
      <w:pPr>
        <w:pStyle w:val="Textonotapie"/>
        <w:ind w:firstLine="708"/>
        <w:contextualSpacing/>
        <w:jc w:val="both"/>
        <w:rPr>
          <w:rFonts w:ascii="Verdana" w:hAnsi="Verdana" w:cs="Arial"/>
          <w:sz w:val="16"/>
          <w:szCs w:val="16"/>
        </w:rPr>
      </w:pPr>
      <w:r w:rsidRPr="008E7379">
        <w:rPr>
          <w:rStyle w:val="Refdenotaalpie"/>
          <w:rFonts w:ascii="Verdana" w:hAnsi="Verdana" w:cs="Arial"/>
          <w:sz w:val="16"/>
          <w:szCs w:val="16"/>
        </w:rPr>
        <w:footnoteRef/>
      </w:r>
      <w:r w:rsidRPr="008E7379">
        <w:rPr>
          <w:rFonts w:ascii="Verdana" w:hAnsi="Verdana" w:cs="Arial"/>
          <w:sz w:val="16"/>
          <w:szCs w:val="16"/>
        </w:rPr>
        <w:t xml:space="preserve"> Al respecto, “Se ha considerado […] que, respecto de la colectividad, la personificación no es un hecho natural, porque la colectividad no puede existir como persona </w:t>
      </w:r>
      <w:r w:rsidRPr="008E7379">
        <w:rPr>
          <w:rFonts w:ascii="Verdana" w:hAnsi="Verdana" w:cs="Arial"/>
          <w:i/>
          <w:iCs/>
          <w:sz w:val="16"/>
          <w:szCs w:val="16"/>
        </w:rPr>
        <w:t>jure propio</w:t>
      </w:r>
      <w:r w:rsidRPr="008E7379">
        <w:rPr>
          <w:rFonts w:ascii="Verdana" w:hAnsi="Verdana" w:cs="Arial"/>
          <w:sz w:val="16"/>
          <w:szCs w:val="16"/>
        </w:rPr>
        <w:t xml:space="preserve">; se ha querido, por tanto, investigar cómo puede ser sujeto de derechos un ente que no tiene existencia real y electiva, y se ha pensado que, además de los entes reales y efectivos, que son personas </w:t>
      </w:r>
      <w:r w:rsidRPr="008E7379">
        <w:rPr>
          <w:rFonts w:ascii="Verdana" w:hAnsi="Verdana" w:cs="Arial"/>
          <w:i/>
          <w:iCs/>
          <w:sz w:val="16"/>
          <w:szCs w:val="16"/>
        </w:rPr>
        <w:t>jure propio</w:t>
      </w:r>
      <w:r w:rsidRPr="008E7379">
        <w:rPr>
          <w:rFonts w:ascii="Verdana" w:hAnsi="Verdana" w:cs="Arial"/>
          <w:sz w:val="16"/>
          <w:szCs w:val="16"/>
        </w:rPr>
        <w:t>, pueden existir entes incorpóreos, entes morales, entes intelectuales, los cuales, aunque no tengan una existencia real, pueden, no obstante, ser reputados existentes como personas en consideración a los fines para que han sido constituidos y por los cuales se les ha atribuido la facultad de tener patrimonio, de contraer obligaciones y de ejercitar derechos patrimoniales” (FIORE, Pasquale. La personalidad jurídica de los entes morales y del estado en el interior y en el extranjero. Santiago: Ediciones Olejnik, 2020. p. 10).</w:t>
      </w:r>
    </w:p>
    <w:p w14:paraId="1C1EAADC" w14:textId="77777777" w:rsidR="00EE32A8" w:rsidRPr="008E7379" w:rsidRDefault="00EE32A8" w:rsidP="00EE32A8">
      <w:pPr>
        <w:pStyle w:val="Textonotapie"/>
        <w:ind w:firstLine="708"/>
        <w:contextualSpacing/>
        <w:jc w:val="both"/>
        <w:rPr>
          <w:rFonts w:ascii="Verdana" w:hAnsi="Verdana" w:cs="Arial"/>
          <w:sz w:val="16"/>
          <w:szCs w:val="16"/>
        </w:rPr>
      </w:pPr>
    </w:p>
  </w:footnote>
  <w:footnote w:id="22">
    <w:p w14:paraId="52AFF0F0" w14:textId="54DD2349" w:rsidR="00EE32A8" w:rsidRPr="008E7379" w:rsidRDefault="00EE32A8" w:rsidP="00EE32A8">
      <w:pPr>
        <w:pStyle w:val="Textonotapie"/>
        <w:ind w:firstLine="708"/>
        <w:contextualSpacing/>
        <w:jc w:val="both"/>
        <w:rPr>
          <w:rFonts w:ascii="Verdana" w:hAnsi="Verdana" w:cs="Arial"/>
          <w:sz w:val="16"/>
          <w:szCs w:val="16"/>
        </w:rPr>
      </w:pPr>
      <w:r w:rsidRPr="008E7379">
        <w:rPr>
          <w:rStyle w:val="Refdenotaalpie"/>
          <w:rFonts w:ascii="Verdana" w:hAnsi="Verdana" w:cs="Arial"/>
          <w:sz w:val="16"/>
          <w:szCs w:val="16"/>
        </w:rPr>
        <w:footnoteRef/>
      </w:r>
      <w:r w:rsidRPr="008E7379">
        <w:rPr>
          <w:rFonts w:ascii="Verdana" w:hAnsi="Verdana" w:cs="Arial"/>
          <w:sz w:val="16"/>
          <w:szCs w:val="16"/>
        </w:rPr>
        <w:t xml:space="preserve"> Así, “[…] podemos advertir que el concepto de persona jurídica está directamente ligado a la capacidad, y por la vía de la capacidad, llegaremos a un concepto afín, el de la separación patrimonial entre la persona jurídica y sus miembros.</w:t>
      </w:r>
    </w:p>
    <w:p w14:paraId="1BAA5524" w14:textId="4450B538" w:rsidR="00EE32A8" w:rsidRPr="008E7379" w:rsidRDefault="00EE32A8" w:rsidP="00EE32A8">
      <w:pPr>
        <w:pStyle w:val="Textonotapie"/>
        <w:ind w:firstLine="708"/>
        <w:contextualSpacing/>
        <w:jc w:val="both"/>
        <w:rPr>
          <w:rFonts w:ascii="Verdana" w:hAnsi="Verdana" w:cs="Arial"/>
          <w:sz w:val="16"/>
          <w:szCs w:val="16"/>
        </w:rPr>
      </w:pPr>
      <w:r w:rsidRPr="008E7379">
        <w:rPr>
          <w:rFonts w:ascii="Verdana" w:hAnsi="Verdana" w:cs="Arial"/>
          <w:sz w:val="16"/>
          <w:szCs w:val="16"/>
        </w:rPr>
        <w:t xml:space="preserve">En este sentido, al ser una persona jurídica un ente con aptitud para adquirir derechos y contraer obligaciones, es titular de un patrimonio propio, enteramente separado del de sus miembros, y es precisamente con este patrimonio con el que la persona jurídica va a responder por las obligaciones asumidas por quienes la representan (en ejercicio de tal representación). Paralelamente, todos los bienes que se adquieren por el ente se incorporan al patrimonio de la persona jurídica” (Cfr. CALCATERRA, Gabriela &amp; ADAD, Lisandro. Personas jurídicas. Buenos Aires: Astrea, 2019. p. 2).   </w:t>
      </w:r>
    </w:p>
  </w:footnote>
  <w:footnote w:id="23">
    <w:p w14:paraId="7090F73A" w14:textId="77777777" w:rsidR="00EE32A8" w:rsidRPr="008E7379" w:rsidRDefault="00EE32A8" w:rsidP="00EE32A8">
      <w:pPr>
        <w:pStyle w:val="Textonotapie"/>
        <w:ind w:firstLine="708"/>
        <w:contextualSpacing/>
        <w:jc w:val="both"/>
        <w:rPr>
          <w:rFonts w:ascii="Verdana" w:hAnsi="Verdana" w:cs="Arial"/>
          <w:sz w:val="16"/>
          <w:szCs w:val="16"/>
        </w:rPr>
      </w:pPr>
      <w:r w:rsidRPr="008E7379">
        <w:rPr>
          <w:rStyle w:val="Refdenotaalpie"/>
          <w:rFonts w:ascii="Verdana" w:hAnsi="Verdana" w:cs="Arial"/>
          <w:sz w:val="16"/>
          <w:szCs w:val="16"/>
        </w:rPr>
        <w:footnoteRef/>
      </w:r>
      <w:r w:rsidRPr="008E7379">
        <w:rPr>
          <w:rFonts w:ascii="Verdana" w:hAnsi="Verdana" w:cs="Arial"/>
          <w:sz w:val="16"/>
          <w:szCs w:val="16"/>
        </w:rPr>
        <w:t xml:space="preserve"> CLARO SOLAR, Luis. Explicaciones de derecho civil chileno y comparado. Volumen II. Tomo V. Santiago: Editorial Jurídica de Chile, 2013. p. 353.</w:t>
      </w:r>
    </w:p>
    <w:p w14:paraId="04697245" w14:textId="77777777" w:rsidR="00EE32A8" w:rsidRPr="008E7379" w:rsidRDefault="00EE32A8" w:rsidP="00EE32A8">
      <w:pPr>
        <w:pStyle w:val="Textonotapie"/>
        <w:ind w:firstLine="708"/>
        <w:contextualSpacing/>
        <w:jc w:val="both"/>
        <w:rPr>
          <w:rFonts w:ascii="Verdana" w:hAnsi="Verdana" w:cs="Arial"/>
          <w:sz w:val="16"/>
          <w:szCs w:val="16"/>
        </w:rPr>
      </w:pPr>
    </w:p>
  </w:footnote>
  <w:footnote w:id="24">
    <w:p w14:paraId="5C5180D4" w14:textId="77777777" w:rsidR="00EE32A8" w:rsidRPr="008E7379" w:rsidRDefault="00EE32A8" w:rsidP="00EE32A8">
      <w:pPr>
        <w:pStyle w:val="Textonotapie"/>
        <w:ind w:firstLine="708"/>
        <w:contextualSpacing/>
        <w:jc w:val="both"/>
        <w:rPr>
          <w:rFonts w:ascii="Verdana" w:hAnsi="Verdana"/>
          <w:sz w:val="16"/>
          <w:szCs w:val="16"/>
        </w:rPr>
      </w:pPr>
      <w:r w:rsidRPr="008E7379">
        <w:rPr>
          <w:rStyle w:val="Refdenotaalpie"/>
          <w:rFonts w:ascii="Verdana" w:hAnsi="Verdana"/>
          <w:sz w:val="16"/>
          <w:szCs w:val="16"/>
        </w:rPr>
        <w:footnoteRef/>
      </w:r>
      <w:r w:rsidRPr="008E7379">
        <w:rPr>
          <w:rFonts w:ascii="Verdana" w:hAnsi="Verdana"/>
          <w:sz w:val="16"/>
          <w:szCs w:val="16"/>
        </w:rPr>
        <w:t xml:space="preserve"> Para la doctrina,” Existe asociación de fines económicos, o patrimoniales si se prefiere, cuando el fin mismo de la asociación, es decir, las ventajas que los miembros pretendan recabar al asociarse, sea de orden económico, y no cuando la asociación lleve a cabo, incluso habitualmente, actos dirigidos a un fin de lucro, pero con los cuales pretenda simplemente procurarse los medios para conseguir su fin, que bien puede ser el más ideal. Todas las demás asociaciones son de fines ideales, como usualmente se dice, o, más exactamente, de fines no económicos.</w:t>
      </w:r>
    </w:p>
    <w:p w14:paraId="3DC834F5" w14:textId="77777777" w:rsidR="00EE32A8" w:rsidRPr="008E7379" w:rsidRDefault="00EE32A8" w:rsidP="00EE32A8">
      <w:pPr>
        <w:pStyle w:val="Textonotapie"/>
        <w:ind w:firstLine="708"/>
        <w:contextualSpacing/>
        <w:jc w:val="both"/>
        <w:rPr>
          <w:rFonts w:ascii="Verdana" w:hAnsi="Verdana"/>
          <w:sz w:val="16"/>
          <w:szCs w:val="16"/>
        </w:rPr>
      </w:pPr>
    </w:p>
    <w:p w14:paraId="44A48314" w14:textId="77777777" w:rsidR="00EE32A8" w:rsidRPr="008E7379" w:rsidRDefault="00EE32A8" w:rsidP="00EE32A8">
      <w:pPr>
        <w:pStyle w:val="Textonotapie"/>
        <w:ind w:firstLine="708"/>
        <w:contextualSpacing/>
        <w:jc w:val="both"/>
        <w:rPr>
          <w:rFonts w:ascii="Verdana" w:hAnsi="Verdana"/>
          <w:sz w:val="16"/>
          <w:szCs w:val="16"/>
        </w:rPr>
      </w:pPr>
      <w:r w:rsidRPr="008E7379">
        <w:rPr>
          <w:rFonts w:ascii="Verdana" w:hAnsi="Verdana"/>
          <w:sz w:val="16"/>
          <w:szCs w:val="16"/>
        </w:rPr>
        <w:t>[…] Asociación de fines altruistas es aquélla en la que el resultado que se propone conseguir ha de redundar únicamente en ventaja de una determinada categoría de terceros (por ejemplo, los pertenecientes a una ciudad o región determinada, los interesados en determinada forma cultural), o de una concreta categoría de terceros y de asociados (en cuanto también ellos entran en aquella clase o categoría, por ejemplo, por pertenecer a aquella región), o de la generalidad, y, por consiguiente, también de los asociados; teniendo en cuenta estas dos últimas hipótesis, que son las más frecuentes, la fórmula ‘asociación de fines altruistas’ hasta puede no parecer la más feliz terminológicamente, toda vez que los resultados perseguidos redundan también directamente en beneficio de los miembros” (DOMENICO, Rubino. Las asociaciones no reconocidas. Santiago: Ediciones Olejnik, 2018. pp. 81-82).</w:t>
      </w:r>
    </w:p>
    <w:p w14:paraId="76457B91" w14:textId="77777777" w:rsidR="00EE32A8" w:rsidRPr="008E7379" w:rsidRDefault="00EE32A8" w:rsidP="00EE32A8">
      <w:pPr>
        <w:pStyle w:val="Textonotapie"/>
        <w:ind w:firstLine="708"/>
        <w:contextualSpacing/>
        <w:jc w:val="both"/>
        <w:rPr>
          <w:rFonts w:ascii="Verdana" w:hAnsi="Verdana"/>
          <w:sz w:val="16"/>
          <w:szCs w:val="16"/>
        </w:rPr>
      </w:pPr>
    </w:p>
  </w:footnote>
  <w:footnote w:id="25">
    <w:p w14:paraId="0957CA6C" w14:textId="35017D18" w:rsidR="00EE32A8" w:rsidRPr="008E7379" w:rsidRDefault="00EE32A8" w:rsidP="00EE32A8">
      <w:pPr>
        <w:pStyle w:val="Textonotapie"/>
        <w:ind w:firstLine="708"/>
        <w:contextualSpacing/>
        <w:jc w:val="both"/>
        <w:rPr>
          <w:rFonts w:ascii="Verdana" w:hAnsi="Verdana"/>
          <w:sz w:val="16"/>
          <w:szCs w:val="16"/>
        </w:rPr>
      </w:pPr>
      <w:r w:rsidRPr="008E7379">
        <w:rPr>
          <w:rStyle w:val="Refdenotaalpie"/>
          <w:rFonts w:ascii="Verdana" w:hAnsi="Verdana"/>
          <w:sz w:val="16"/>
          <w:szCs w:val="16"/>
        </w:rPr>
        <w:footnoteRef/>
      </w:r>
      <w:r w:rsidRPr="008E7379">
        <w:rPr>
          <w:rFonts w:ascii="Verdana" w:hAnsi="Verdana"/>
          <w:sz w:val="16"/>
          <w:szCs w:val="16"/>
        </w:rPr>
        <w:t xml:space="preserve"> El artículo 2.2.16.1.8 del Decreto 1082 de 2015 dispone que “Las Entidades Estatales deben abstenerse de fraccionar el objeto contractual con el fin de eludir los procedimientos impuestos por el deber de selección objetiva”.</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35F4D03" w14:textId="0903BF04" w:rsidR="00456A82" w:rsidRDefault="00456A82">
    <w:pPr>
      <w:pStyle w:val="Encabezado"/>
    </w:pPr>
    <w:r>
      <w:rPr>
        <w:rFonts w:ascii="Geomanist Bold" w:hAnsi="Geomanist Bold"/>
        <w:b/>
        <w:bCs/>
        <w:noProof/>
        <w:color w:val="002060"/>
        <w:sz w:val="24"/>
        <w:szCs w:val="24"/>
        <w:lang w:val="en-US"/>
      </w:rPr>
      <w:drawing>
        <wp:anchor distT="0" distB="0" distL="114300" distR="114300" simplePos="0" relativeHeight="251658241" behindDoc="1" locked="0" layoutInCell="1" allowOverlap="1" wp14:anchorId="6FC3B35F" wp14:editId="12DD542F">
          <wp:simplePos x="0" y="0"/>
          <wp:positionH relativeFrom="margin">
            <wp:align>center</wp:align>
          </wp:positionH>
          <wp:positionV relativeFrom="paragraph">
            <wp:posOffset>-345440</wp:posOffset>
          </wp:positionV>
          <wp:extent cx="1924050" cy="856004"/>
          <wp:effectExtent l="0" t="0" r="0" b="1270"/>
          <wp:wrapNone/>
          <wp:docPr id="1309089902" name="Imagen 1" descr="Imagen que contiene Interfaz de usuario gráfica&#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09089902" name="Imagen 1" descr="Imagen que contiene Interfaz de usuario gráfica&#10;&#10;Descripción generada automáticamente"/>
                  <pic:cNvPicPr/>
                </pic:nvPicPr>
                <pic:blipFill>
                  <a:blip r:embed="rId1">
                    <a:extLst>
                      <a:ext uri="{28A0092B-C50C-407E-A947-70E740481C1C}">
                        <a14:useLocalDpi xmlns:a14="http://schemas.microsoft.com/office/drawing/2010/main" val="0"/>
                      </a:ext>
                    </a:extLst>
                  </a:blip>
                  <a:stretch>
                    <a:fillRect/>
                  </a:stretch>
                </pic:blipFill>
                <pic:spPr>
                  <a:xfrm>
                    <a:off x="0" y="0"/>
                    <a:ext cx="1924050" cy="856004"/>
                  </a:xfrm>
                  <a:prstGeom prst="rect">
                    <a:avLst/>
                  </a:prstGeom>
                </pic:spPr>
              </pic:pic>
            </a:graphicData>
          </a:graphic>
          <wp14:sizeRelH relativeFrom="margin">
            <wp14:pctWidth>0</wp14:pctWidth>
          </wp14:sizeRelH>
          <wp14:sizeRelV relativeFrom="margin">
            <wp14:pctHeight>0</wp14:pctHeight>
          </wp14:sizeRelV>
        </wp:anchor>
      </w:drawing>
    </w:r>
    <w:r>
      <w:rPr>
        <w:rFonts w:ascii="Geomanist Bold" w:hAnsi="Geomanist Bold"/>
        <w:b/>
        <w:bCs/>
        <w:noProof/>
        <w:color w:val="002060"/>
        <w:sz w:val="24"/>
        <w:szCs w:val="24"/>
        <w:lang w:val="en-US"/>
      </w:rPr>
      <w:drawing>
        <wp:anchor distT="0" distB="0" distL="114300" distR="114300" simplePos="0" relativeHeight="251658240" behindDoc="0" locked="0" layoutInCell="1" allowOverlap="1" wp14:anchorId="4F745D08" wp14:editId="02405FCC">
          <wp:simplePos x="0" y="0"/>
          <wp:positionH relativeFrom="margin">
            <wp:posOffset>8420100</wp:posOffset>
          </wp:positionH>
          <wp:positionV relativeFrom="margin">
            <wp:posOffset>-1377950</wp:posOffset>
          </wp:positionV>
          <wp:extent cx="665480" cy="3098800"/>
          <wp:effectExtent l="0" t="0" r="0" b="0"/>
          <wp:wrapThrough wrapText="bothSides">
            <wp:wrapPolygon edited="0">
              <wp:start x="6183" y="0"/>
              <wp:lineTo x="0" y="1416"/>
              <wp:lineTo x="5359" y="2833"/>
              <wp:lineTo x="2061" y="4249"/>
              <wp:lineTo x="412" y="4780"/>
              <wp:lineTo x="824" y="5134"/>
              <wp:lineTo x="3298" y="5666"/>
              <wp:lineTo x="4534" y="7082"/>
              <wp:lineTo x="412" y="7967"/>
              <wp:lineTo x="0" y="8233"/>
              <wp:lineTo x="5771" y="9915"/>
              <wp:lineTo x="0" y="11508"/>
              <wp:lineTo x="0" y="11685"/>
              <wp:lineTo x="4122" y="12748"/>
              <wp:lineTo x="2061" y="14164"/>
              <wp:lineTo x="0" y="14872"/>
              <wp:lineTo x="0" y="15049"/>
              <wp:lineTo x="2061" y="15580"/>
              <wp:lineTo x="4534" y="16997"/>
              <wp:lineTo x="0" y="18059"/>
              <wp:lineTo x="0" y="18413"/>
              <wp:lineTo x="10718" y="21246"/>
              <wp:lineTo x="12366" y="21511"/>
              <wp:lineTo x="14427" y="21511"/>
              <wp:lineTo x="14840" y="21511"/>
              <wp:lineTo x="17313" y="20980"/>
              <wp:lineTo x="20611" y="20007"/>
              <wp:lineTo x="20198" y="19830"/>
              <wp:lineTo x="13603" y="18413"/>
              <wp:lineTo x="21023" y="16643"/>
              <wp:lineTo x="16489" y="15580"/>
              <wp:lineTo x="17313" y="14164"/>
              <wp:lineTo x="21023" y="13279"/>
              <wp:lineTo x="18962" y="12748"/>
              <wp:lineTo x="15664" y="11331"/>
              <wp:lineTo x="21023" y="10003"/>
              <wp:lineTo x="21023" y="9826"/>
              <wp:lineTo x="18137" y="9207"/>
              <wp:lineTo x="15664" y="8498"/>
              <wp:lineTo x="19374" y="7082"/>
              <wp:lineTo x="21023" y="6639"/>
              <wp:lineTo x="21023" y="6374"/>
              <wp:lineTo x="18137" y="5666"/>
              <wp:lineTo x="16901" y="4249"/>
              <wp:lineTo x="21023" y="3275"/>
              <wp:lineTo x="21023" y="3098"/>
              <wp:lineTo x="20611" y="2833"/>
              <wp:lineTo x="8244" y="0"/>
              <wp:lineTo x="6183" y="0"/>
            </wp:wrapPolygon>
          </wp:wrapThrough>
          <wp:docPr id="962149914" name="Imagen 9621499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87974706" name="Imagen 1987974706"/>
                  <pic:cNvPicPr/>
                </pic:nvPicPr>
                <pic:blipFill>
                  <a:blip r:embed="rId2" cstate="print">
                    <a:extLst>
                      <a:ext uri="{28A0092B-C50C-407E-A947-70E740481C1C}">
                        <a14:useLocalDpi xmlns:a14="http://schemas.microsoft.com/office/drawing/2010/main" val="0"/>
                      </a:ext>
                    </a:extLst>
                  </a:blip>
                  <a:stretch>
                    <a:fillRect/>
                  </a:stretch>
                </pic:blipFill>
                <pic:spPr>
                  <a:xfrm>
                    <a:off x="0" y="0"/>
                    <a:ext cx="665480" cy="3098800"/>
                  </a:xfrm>
                  <a:prstGeom prst="rect">
                    <a:avLst/>
                  </a:prstGeom>
                </pic:spPr>
              </pic:pic>
            </a:graphicData>
          </a:graphic>
          <wp14:sizeRelH relativeFrom="margin">
            <wp14:pctWidth>0</wp14:pctWidth>
          </wp14:sizeRelH>
          <wp14:sizeRelV relativeFrom="margin">
            <wp14:pctHeight>0</wp14:pctHeight>
          </wp14:sizeRelV>
        </wp:anchor>
      </w:drawing>
    </w:r>
  </w:p>
  <w:p w14:paraId="1BE2B9AE" w14:textId="4B94DB3B" w:rsidR="00456A82" w:rsidRDefault="00456A82">
    <w:pPr>
      <w:pStyle w:val="Encabezado"/>
    </w:pPr>
  </w:p>
  <w:p w14:paraId="3079FC11" w14:textId="77777777" w:rsidR="00456A82" w:rsidRDefault="00456A82" w:rsidP="004A305D">
    <w:pPr>
      <w:spacing w:after="0"/>
      <w:rPr>
        <w:rFonts w:ascii="Verdana" w:hAnsi="Verdana"/>
        <w:b/>
        <w:bCs/>
      </w:rPr>
    </w:pPr>
  </w:p>
  <w:p w14:paraId="5E18350A" w14:textId="705F7B76" w:rsidR="00456A82" w:rsidRPr="004A305D" w:rsidRDefault="00456A82" w:rsidP="00B01B1A">
    <w:pPr>
      <w:spacing w:after="0" w:line="120" w:lineRule="auto"/>
      <w:rPr>
        <w:rFonts w:ascii="Century Gothic" w:eastAsia="Geo" w:hAnsi="Century Gothic" w:cs="Geo"/>
        <w:sz w:val="16"/>
        <w:szCs w:val="16"/>
        <w:lang w:eastAsia="es-CO"/>
      </w:rPr>
    </w:pPr>
  </w:p>
  <w:p w14:paraId="1FD1C243" w14:textId="6D74A3CF" w:rsidR="00456A82" w:rsidRDefault="00456A82" w:rsidP="00061B2A">
    <w:pPr>
      <w:pStyle w:val="Encabezado"/>
      <w:spacing w:line="120" w:lineRule="auto"/>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numPicBullet w:numPicBulletId="0">
    <mc:AlternateContent>
      <mc:Choice Requires="v">
        <w:pict>
          <v:shapetype w14:anchorId="58DB730C"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Imagen 1948173040" o:spid="_x0000_i1025" type="#_x0000_t75" style="width:11.25pt;height:11.25pt;visibility:visible;mso-wrap-style:square">
            <v:imagedata r:id="rId1" o:title=""/>
          </v:shape>
        </w:pict>
      </mc:Choice>
      <mc:Fallback>
        <w:drawing>
          <wp:inline distT="0" distB="0" distL="0" distR="0" wp14:anchorId="295979B1">
            <wp:extent cx="142875" cy="142875"/>
            <wp:effectExtent l="0" t="0" r="0" b="0"/>
            <wp:docPr id="1948173040" name="Imagen 194817304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23"/>
                    <pic:cNvPicPr>
                      <a:picLocks noChangeAspect="1" noChangeArrowheads="1"/>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142875" cy="142875"/>
                    </a:xfrm>
                    <a:prstGeom prst="rect">
                      <a:avLst/>
                    </a:prstGeom>
                    <a:noFill/>
                    <a:ln>
                      <a:noFill/>
                    </a:ln>
                  </pic:spPr>
                </pic:pic>
              </a:graphicData>
            </a:graphic>
          </wp:inline>
        </w:drawing>
      </mc:Fallback>
    </mc:AlternateContent>
  </w:numPicBullet>
  <w:abstractNum w:abstractNumId="0" w15:restartNumberingAfterBreak="0">
    <w:nsid w:val="01C06310"/>
    <w:multiLevelType w:val="multilevel"/>
    <w:tmpl w:val="25FEEF8E"/>
    <w:lvl w:ilvl="0">
      <w:start w:val="1"/>
      <w:numFmt w:val="decimal"/>
      <w:lvlText w:val="%1."/>
      <w:lvlJc w:val="left"/>
      <w:pPr>
        <w:ind w:left="6601" w:hanging="360"/>
      </w:pPr>
      <w:rPr>
        <w:b/>
        <w:color w:val="000000" w:themeColor="text1"/>
      </w:rPr>
    </w:lvl>
    <w:lvl w:ilvl="1">
      <w:start w:val="2"/>
      <w:numFmt w:val="decimal"/>
      <w:isLgl/>
      <w:lvlText w:val="%1.%2"/>
      <w:lvlJc w:val="left"/>
      <w:pPr>
        <w:ind w:left="6241" w:hanging="360"/>
      </w:pPr>
    </w:lvl>
    <w:lvl w:ilvl="2">
      <w:start w:val="1"/>
      <w:numFmt w:val="decimal"/>
      <w:isLgl/>
      <w:lvlText w:val="%1.%2.%3"/>
      <w:lvlJc w:val="left"/>
      <w:pPr>
        <w:ind w:left="6961" w:hanging="720"/>
      </w:pPr>
    </w:lvl>
    <w:lvl w:ilvl="3">
      <w:start w:val="1"/>
      <w:numFmt w:val="decimal"/>
      <w:isLgl/>
      <w:lvlText w:val="%1.%2.%3.%4"/>
      <w:lvlJc w:val="left"/>
      <w:pPr>
        <w:ind w:left="6961" w:hanging="720"/>
      </w:pPr>
    </w:lvl>
    <w:lvl w:ilvl="4">
      <w:start w:val="1"/>
      <w:numFmt w:val="decimal"/>
      <w:isLgl/>
      <w:lvlText w:val="%1.%2.%3.%4.%5"/>
      <w:lvlJc w:val="left"/>
      <w:pPr>
        <w:ind w:left="7321" w:hanging="1080"/>
      </w:pPr>
    </w:lvl>
    <w:lvl w:ilvl="5">
      <w:start w:val="1"/>
      <w:numFmt w:val="decimal"/>
      <w:isLgl/>
      <w:lvlText w:val="%1.%2.%3.%4.%5.%6"/>
      <w:lvlJc w:val="left"/>
      <w:pPr>
        <w:ind w:left="7321" w:hanging="1080"/>
      </w:pPr>
    </w:lvl>
    <w:lvl w:ilvl="6">
      <w:start w:val="1"/>
      <w:numFmt w:val="decimal"/>
      <w:isLgl/>
      <w:lvlText w:val="%1.%2.%3.%4.%5.%6.%7"/>
      <w:lvlJc w:val="left"/>
      <w:pPr>
        <w:ind w:left="7681" w:hanging="1440"/>
      </w:pPr>
    </w:lvl>
    <w:lvl w:ilvl="7">
      <w:start w:val="1"/>
      <w:numFmt w:val="decimal"/>
      <w:isLgl/>
      <w:lvlText w:val="%1.%2.%3.%4.%5.%6.%7.%8"/>
      <w:lvlJc w:val="left"/>
      <w:pPr>
        <w:ind w:left="7681" w:hanging="1440"/>
      </w:pPr>
    </w:lvl>
    <w:lvl w:ilvl="8">
      <w:start w:val="1"/>
      <w:numFmt w:val="decimal"/>
      <w:isLgl/>
      <w:lvlText w:val="%1.%2.%3.%4.%5.%6.%7.%8.%9"/>
      <w:lvlJc w:val="left"/>
      <w:pPr>
        <w:ind w:left="8041" w:hanging="1800"/>
      </w:pPr>
    </w:lvl>
  </w:abstractNum>
  <w:abstractNum w:abstractNumId="1" w15:restartNumberingAfterBreak="0">
    <w:nsid w:val="0337782A"/>
    <w:multiLevelType w:val="multilevel"/>
    <w:tmpl w:val="90D2420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 w15:restartNumberingAfterBreak="0">
    <w:nsid w:val="06D30BDC"/>
    <w:multiLevelType w:val="hybridMultilevel"/>
    <w:tmpl w:val="734ED3EC"/>
    <w:lvl w:ilvl="0" w:tplc="834431CA">
      <w:numFmt w:val="bullet"/>
      <w:lvlText w:val="-"/>
      <w:lvlJc w:val="left"/>
      <w:pPr>
        <w:ind w:left="1080" w:hanging="360"/>
      </w:pPr>
      <w:rPr>
        <w:rFonts w:ascii="Arial" w:eastAsia="Times New Roman" w:hAnsi="Arial" w:cs="Arial" w:hint="default"/>
        <w:b/>
      </w:rPr>
    </w:lvl>
    <w:lvl w:ilvl="1" w:tplc="0C0A0003" w:tentative="1">
      <w:start w:val="1"/>
      <w:numFmt w:val="bullet"/>
      <w:lvlText w:val="o"/>
      <w:lvlJc w:val="left"/>
      <w:pPr>
        <w:ind w:left="1800" w:hanging="360"/>
      </w:pPr>
      <w:rPr>
        <w:rFonts w:ascii="Courier New" w:hAnsi="Courier New" w:cs="Courier New" w:hint="default"/>
      </w:rPr>
    </w:lvl>
    <w:lvl w:ilvl="2" w:tplc="0C0A0005" w:tentative="1">
      <w:start w:val="1"/>
      <w:numFmt w:val="bullet"/>
      <w:lvlText w:val=""/>
      <w:lvlJc w:val="left"/>
      <w:pPr>
        <w:ind w:left="2520" w:hanging="360"/>
      </w:pPr>
      <w:rPr>
        <w:rFonts w:ascii="Wingdings" w:hAnsi="Wingdings" w:hint="default"/>
      </w:rPr>
    </w:lvl>
    <w:lvl w:ilvl="3" w:tplc="0C0A0001" w:tentative="1">
      <w:start w:val="1"/>
      <w:numFmt w:val="bullet"/>
      <w:lvlText w:val=""/>
      <w:lvlJc w:val="left"/>
      <w:pPr>
        <w:ind w:left="3240" w:hanging="360"/>
      </w:pPr>
      <w:rPr>
        <w:rFonts w:ascii="Symbol" w:hAnsi="Symbol" w:hint="default"/>
      </w:rPr>
    </w:lvl>
    <w:lvl w:ilvl="4" w:tplc="0C0A0003" w:tentative="1">
      <w:start w:val="1"/>
      <w:numFmt w:val="bullet"/>
      <w:lvlText w:val="o"/>
      <w:lvlJc w:val="left"/>
      <w:pPr>
        <w:ind w:left="3960" w:hanging="360"/>
      </w:pPr>
      <w:rPr>
        <w:rFonts w:ascii="Courier New" w:hAnsi="Courier New" w:cs="Courier New" w:hint="default"/>
      </w:rPr>
    </w:lvl>
    <w:lvl w:ilvl="5" w:tplc="0C0A0005" w:tentative="1">
      <w:start w:val="1"/>
      <w:numFmt w:val="bullet"/>
      <w:lvlText w:val=""/>
      <w:lvlJc w:val="left"/>
      <w:pPr>
        <w:ind w:left="4680" w:hanging="360"/>
      </w:pPr>
      <w:rPr>
        <w:rFonts w:ascii="Wingdings" w:hAnsi="Wingdings" w:hint="default"/>
      </w:rPr>
    </w:lvl>
    <w:lvl w:ilvl="6" w:tplc="0C0A0001" w:tentative="1">
      <w:start w:val="1"/>
      <w:numFmt w:val="bullet"/>
      <w:lvlText w:val=""/>
      <w:lvlJc w:val="left"/>
      <w:pPr>
        <w:ind w:left="5400" w:hanging="360"/>
      </w:pPr>
      <w:rPr>
        <w:rFonts w:ascii="Symbol" w:hAnsi="Symbol" w:hint="default"/>
      </w:rPr>
    </w:lvl>
    <w:lvl w:ilvl="7" w:tplc="0C0A0003" w:tentative="1">
      <w:start w:val="1"/>
      <w:numFmt w:val="bullet"/>
      <w:lvlText w:val="o"/>
      <w:lvlJc w:val="left"/>
      <w:pPr>
        <w:ind w:left="6120" w:hanging="360"/>
      </w:pPr>
      <w:rPr>
        <w:rFonts w:ascii="Courier New" w:hAnsi="Courier New" w:cs="Courier New" w:hint="default"/>
      </w:rPr>
    </w:lvl>
    <w:lvl w:ilvl="8" w:tplc="0C0A0005" w:tentative="1">
      <w:start w:val="1"/>
      <w:numFmt w:val="bullet"/>
      <w:lvlText w:val=""/>
      <w:lvlJc w:val="left"/>
      <w:pPr>
        <w:ind w:left="6840" w:hanging="360"/>
      </w:pPr>
      <w:rPr>
        <w:rFonts w:ascii="Wingdings" w:hAnsi="Wingdings" w:hint="default"/>
      </w:rPr>
    </w:lvl>
  </w:abstractNum>
  <w:abstractNum w:abstractNumId="3" w15:restartNumberingAfterBreak="0">
    <w:nsid w:val="0B1C6819"/>
    <w:multiLevelType w:val="multilevel"/>
    <w:tmpl w:val="A35A4EC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 w15:restartNumberingAfterBreak="0">
    <w:nsid w:val="101D5810"/>
    <w:multiLevelType w:val="multilevel"/>
    <w:tmpl w:val="2F0C241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5" w15:restartNumberingAfterBreak="0">
    <w:nsid w:val="117A1800"/>
    <w:multiLevelType w:val="hybridMultilevel"/>
    <w:tmpl w:val="9C3292AA"/>
    <w:lvl w:ilvl="0" w:tplc="080A0001">
      <w:start w:val="1"/>
      <w:numFmt w:val="bullet"/>
      <w:lvlText w:val=""/>
      <w:lvlJc w:val="left"/>
      <w:pPr>
        <w:ind w:left="720" w:hanging="360"/>
      </w:pPr>
      <w:rPr>
        <w:rFonts w:ascii="Symbol" w:hAnsi="Symbol" w:hint="default"/>
      </w:rPr>
    </w:lvl>
    <w:lvl w:ilvl="1" w:tplc="080A0003">
      <w:start w:val="1"/>
      <w:numFmt w:val="bullet"/>
      <w:lvlText w:val="o"/>
      <w:lvlJc w:val="left"/>
      <w:pPr>
        <w:ind w:left="1440" w:hanging="360"/>
      </w:pPr>
      <w:rPr>
        <w:rFonts w:ascii="Courier New" w:hAnsi="Courier New" w:cs="Courier New" w:hint="default"/>
      </w:rPr>
    </w:lvl>
    <w:lvl w:ilvl="2" w:tplc="080A0005">
      <w:start w:val="1"/>
      <w:numFmt w:val="bullet"/>
      <w:lvlText w:val=""/>
      <w:lvlJc w:val="left"/>
      <w:pPr>
        <w:ind w:left="2160" w:hanging="360"/>
      </w:pPr>
      <w:rPr>
        <w:rFonts w:ascii="Wingdings" w:hAnsi="Wingdings" w:hint="default"/>
      </w:rPr>
    </w:lvl>
    <w:lvl w:ilvl="3" w:tplc="080A0001">
      <w:start w:val="1"/>
      <w:numFmt w:val="bullet"/>
      <w:lvlText w:val=""/>
      <w:lvlJc w:val="left"/>
      <w:pPr>
        <w:ind w:left="2880" w:hanging="360"/>
      </w:pPr>
      <w:rPr>
        <w:rFonts w:ascii="Symbol" w:hAnsi="Symbol" w:hint="default"/>
      </w:rPr>
    </w:lvl>
    <w:lvl w:ilvl="4" w:tplc="080A0003">
      <w:start w:val="1"/>
      <w:numFmt w:val="bullet"/>
      <w:lvlText w:val="o"/>
      <w:lvlJc w:val="left"/>
      <w:pPr>
        <w:ind w:left="3600" w:hanging="360"/>
      </w:pPr>
      <w:rPr>
        <w:rFonts w:ascii="Courier New" w:hAnsi="Courier New" w:cs="Courier New" w:hint="default"/>
      </w:rPr>
    </w:lvl>
    <w:lvl w:ilvl="5" w:tplc="080A0005">
      <w:start w:val="1"/>
      <w:numFmt w:val="bullet"/>
      <w:lvlText w:val=""/>
      <w:lvlJc w:val="left"/>
      <w:pPr>
        <w:ind w:left="4320" w:hanging="360"/>
      </w:pPr>
      <w:rPr>
        <w:rFonts w:ascii="Wingdings" w:hAnsi="Wingdings" w:hint="default"/>
      </w:rPr>
    </w:lvl>
    <w:lvl w:ilvl="6" w:tplc="080A0001">
      <w:start w:val="1"/>
      <w:numFmt w:val="bullet"/>
      <w:lvlText w:val=""/>
      <w:lvlJc w:val="left"/>
      <w:pPr>
        <w:ind w:left="5040" w:hanging="360"/>
      </w:pPr>
      <w:rPr>
        <w:rFonts w:ascii="Symbol" w:hAnsi="Symbol" w:hint="default"/>
      </w:rPr>
    </w:lvl>
    <w:lvl w:ilvl="7" w:tplc="080A0003">
      <w:start w:val="1"/>
      <w:numFmt w:val="bullet"/>
      <w:lvlText w:val="o"/>
      <w:lvlJc w:val="left"/>
      <w:pPr>
        <w:ind w:left="5760" w:hanging="360"/>
      </w:pPr>
      <w:rPr>
        <w:rFonts w:ascii="Courier New" w:hAnsi="Courier New" w:cs="Courier New" w:hint="default"/>
      </w:rPr>
    </w:lvl>
    <w:lvl w:ilvl="8" w:tplc="080A0005">
      <w:start w:val="1"/>
      <w:numFmt w:val="bullet"/>
      <w:lvlText w:val=""/>
      <w:lvlJc w:val="left"/>
      <w:pPr>
        <w:ind w:left="6480" w:hanging="360"/>
      </w:pPr>
      <w:rPr>
        <w:rFonts w:ascii="Wingdings" w:hAnsi="Wingdings" w:hint="default"/>
      </w:rPr>
    </w:lvl>
  </w:abstractNum>
  <w:abstractNum w:abstractNumId="6" w15:restartNumberingAfterBreak="0">
    <w:nsid w:val="18BB7509"/>
    <w:multiLevelType w:val="multilevel"/>
    <w:tmpl w:val="69F4422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7" w15:restartNumberingAfterBreak="0">
    <w:nsid w:val="20517A65"/>
    <w:multiLevelType w:val="hybridMultilevel"/>
    <w:tmpl w:val="9B5A32BA"/>
    <w:lvl w:ilvl="0" w:tplc="240A0001">
      <w:start w:val="1"/>
      <w:numFmt w:val="bullet"/>
      <w:lvlText w:val=""/>
      <w:lvlJc w:val="left"/>
      <w:pPr>
        <w:ind w:left="720" w:hanging="360"/>
      </w:pPr>
      <w:rPr>
        <w:rFonts w:ascii="Symbol" w:hAnsi="Symbol" w:hint="default"/>
      </w:rPr>
    </w:lvl>
    <w:lvl w:ilvl="1" w:tplc="240A0003">
      <w:start w:val="1"/>
      <w:numFmt w:val="bullet"/>
      <w:lvlText w:val="o"/>
      <w:lvlJc w:val="left"/>
      <w:pPr>
        <w:ind w:left="1440" w:hanging="360"/>
      </w:pPr>
      <w:rPr>
        <w:rFonts w:ascii="Courier New" w:hAnsi="Courier New" w:cs="Courier New" w:hint="default"/>
      </w:rPr>
    </w:lvl>
    <w:lvl w:ilvl="2" w:tplc="240A0005">
      <w:start w:val="1"/>
      <w:numFmt w:val="bullet"/>
      <w:lvlText w:val=""/>
      <w:lvlJc w:val="left"/>
      <w:pPr>
        <w:ind w:left="2160" w:hanging="360"/>
      </w:pPr>
      <w:rPr>
        <w:rFonts w:ascii="Wingdings" w:hAnsi="Wingdings" w:hint="default"/>
      </w:rPr>
    </w:lvl>
    <w:lvl w:ilvl="3" w:tplc="240A0001">
      <w:start w:val="1"/>
      <w:numFmt w:val="bullet"/>
      <w:lvlText w:val=""/>
      <w:lvlJc w:val="left"/>
      <w:pPr>
        <w:ind w:left="2880" w:hanging="360"/>
      </w:pPr>
      <w:rPr>
        <w:rFonts w:ascii="Symbol" w:hAnsi="Symbol" w:hint="default"/>
      </w:rPr>
    </w:lvl>
    <w:lvl w:ilvl="4" w:tplc="240A0003">
      <w:start w:val="1"/>
      <w:numFmt w:val="bullet"/>
      <w:lvlText w:val="o"/>
      <w:lvlJc w:val="left"/>
      <w:pPr>
        <w:ind w:left="3600" w:hanging="360"/>
      </w:pPr>
      <w:rPr>
        <w:rFonts w:ascii="Courier New" w:hAnsi="Courier New" w:cs="Courier New" w:hint="default"/>
      </w:rPr>
    </w:lvl>
    <w:lvl w:ilvl="5" w:tplc="240A0005">
      <w:start w:val="1"/>
      <w:numFmt w:val="bullet"/>
      <w:lvlText w:val=""/>
      <w:lvlJc w:val="left"/>
      <w:pPr>
        <w:ind w:left="4320" w:hanging="360"/>
      </w:pPr>
      <w:rPr>
        <w:rFonts w:ascii="Wingdings" w:hAnsi="Wingdings" w:hint="default"/>
      </w:rPr>
    </w:lvl>
    <w:lvl w:ilvl="6" w:tplc="240A0001">
      <w:start w:val="1"/>
      <w:numFmt w:val="bullet"/>
      <w:lvlText w:val=""/>
      <w:lvlJc w:val="left"/>
      <w:pPr>
        <w:ind w:left="5040" w:hanging="360"/>
      </w:pPr>
      <w:rPr>
        <w:rFonts w:ascii="Symbol" w:hAnsi="Symbol" w:hint="default"/>
      </w:rPr>
    </w:lvl>
    <w:lvl w:ilvl="7" w:tplc="240A0003">
      <w:start w:val="1"/>
      <w:numFmt w:val="bullet"/>
      <w:lvlText w:val="o"/>
      <w:lvlJc w:val="left"/>
      <w:pPr>
        <w:ind w:left="5760" w:hanging="360"/>
      </w:pPr>
      <w:rPr>
        <w:rFonts w:ascii="Courier New" w:hAnsi="Courier New" w:cs="Courier New" w:hint="default"/>
      </w:rPr>
    </w:lvl>
    <w:lvl w:ilvl="8" w:tplc="240A0005">
      <w:start w:val="1"/>
      <w:numFmt w:val="bullet"/>
      <w:lvlText w:val=""/>
      <w:lvlJc w:val="left"/>
      <w:pPr>
        <w:ind w:left="6480" w:hanging="360"/>
      </w:pPr>
      <w:rPr>
        <w:rFonts w:ascii="Wingdings" w:hAnsi="Wingdings" w:hint="default"/>
      </w:rPr>
    </w:lvl>
  </w:abstractNum>
  <w:abstractNum w:abstractNumId="8" w15:restartNumberingAfterBreak="0">
    <w:nsid w:val="22DD2C2E"/>
    <w:multiLevelType w:val="multilevel"/>
    <w:tmpl w:val="366E890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25352E86"/>
    <w:multiLevelType w:val="multilevel"/>
    <w:tmpl w:val="E81277DA"/>
    <w:lvl w:ilvl="0">
      <w:start w:val="7"/>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0" w15:restartNumberingAfterBreak="0">
    <w:nsid w:val="25A15124"/>
    <w:multiLevelType w:val="hybridMultilevel"/>
    <w:tmpl w:val="44E805A8"/>
    <w:lvl w:ilvl="0" w:tplc="240A0001">
      <w:start w:val="1"/>
      <w:numFmt w:val="bullet"/>
      <w:lvlText w:val=""/>
      <w:lvlJc w:val="left"/>
      <w:pPr>
        <w:ind w:left="720" w:hanging="360"/>
      </w:pPr>
      <w:rPr>
        <w:rFonts w:ascii="Symbol" w:hAnsi="Symbol" w:hint="default"/>
      </w:rPr>
    </w:lvl>
    <w:lvl w:ilvl="1" w:tplc="240A0003" w:tentative="1">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11" w15:restartNumberingAfterBreak="0">
    <w:nsid w:val="2BCD0247"/>
    <w:multiLevelType w:val="multilevel"/>
    <w:tmpl w:val="2D4C02A6"/>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2" w15:restartNumberingAfterBreak="0">
    <w:nsid w:val="2D5425A2"/>
    <w:multiLevelType w:val="hybridMultilevel"/>
    <w:tmpl w:val="58DEB14A"/>
    <w:lvl w:ilvl="0" w:tplc="E4762024">
      <w:start w:val="1"/>
      <w:numFmt w:val="upperRoman"/>
      <w:lvlText w:val="%1."/>
      <w:lvlJc w:val="left"/>
      <w:pPr>
        <w:ind w:left="1080" w:hanging="720"/>
      </w:pPr>
      <w:rPr>
        <w:rFonts w:hint="default"/>
        <w:lang w:val="es-CO"/>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13" w15:restartNumberingAfterBreak="0">
    <w:nsid w:val="31280020"/>
    <w:multiLevelType w:val="hybridMultilevel"/>
    <w:tmpl w:val="DA8CAD24"/>
    <w:lvl w:ilvl="0" w:tplc="240A000F">
      <w:start w:val="1"/>
      <w:numFmt w:val="decimal"/>
      <w:lvlText w:val="%1."/>
      <w:lvlJc w:val="left"/>
      <w:pPr>
        <w:ind w:left="720" w:hanging="360"/>
      </w:pPr>
      <w:rPr>
        <w:rFonts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14" w15:restartNumberingAfterBreak="0">
    <w:nsid w:val="318E5EF0"/>
    <w:multiLevelType w:val="hybridMultilevel"/>
    <w:tmpl w:val="BAEA2E58"/>
    <w:lvl w:ilvl="0" w:tplc="040A0001">
      <w:start w:val="1"/>
      <w:numFmt w:val="bullet"/>
      <w:lvlText w:val=""/>
      <w:lvlJc w:val="left"/>
      <w:pPr>
        <w:ind w:left="720" w:hanging="360"/>
      </w:pPr>
      <w:rPr>
        <w:rFonts w:ascii="Symbol" w:hAnsi="Symbol" w:hint="default"/>
      </w:rPr>
    </w:lvl>
    <w:lvl w:ilvl="1" w:tplc="040A0003" w:tentative="1">
      <w:start w:val="1"/>
      <w:numFmt w:val="bullet"/>
      <w:lvlText w:val="o"/>
      <w:lvlJc w:val="left"/>
      <w:pPr>
        <w:ind w:left="1440" w:hanging="360"/>
      </w:pPr>
      <w:rPr>
        <w:rFonts w:ascii="Courier New" w:hAnsi="Courier New" w:cs="Courier New" w:hint="default"/>
      </w:rPr>
    </w:lvl>
    <w:lvl w:ilvl="2" w:tplc="040A0005" w:tentative="1">
      <w:start w:val="1"/>
      <w:numFmt w:val="bullet"/>
      <w:lvlText w:val=""/>
      <w:lvlJc w:val="left"/>
      <w:pPr>
        <w:ind w:left="2160" w:hanging="360"/>
      </w:pPr>
      <w:rPr>
        <w:rFonts w:ascii="Wingdings" w:hAnsi="Wingdings" w:hint="default"/>
      </w:rPr>
    </w:lvl>
    <w:lvl w:ilvl="3" w:tplc="040A0001" w:tentative="1">
      <w:start w:val="1"/>
      <w:numFmt w:val="bullet"/>
      <w:lvlText w:val=""/>
      <w:lvlJc w:val="left"/>
      <w:pPr>
        <w:ind w:left="2880" w:hanging="360"/>
      </w:pPr>
      <w:rPr>
        <w:rFonts w:ascii="Symbol" w:hAnsi="Symbol" w:hint="default"/>
      </w:rPr>
    </w:lvl>
    <w:lvl w:ilvl="4" w:tplc="040A0003" w:tentative="1">
      <w:start w:val="1"/>
      <w:numFmt w:val="bullet"/>
      <w:lvlText w:val="o"/>
      <w:lvlJc w:val="left"/>
      <w:pPr>
        <w:ind w:left="3600" w:hanging="360"/>
      </w:pPr>
      <w:rPr>
        <w:rFonts w:ascii="Courier New" w:hAnsi="Courier New" w:cs="Courier New" w:hint="default"/>
      </w:rPr>
    </w:lvl>
    <w:lvl w:ilvl="5" w:tplc="040A0005" w:tentative="1">
      <w:start w:val="1"/>
      <w:numFmt w:val="bullet"/>
      <w:lvlText w:val=""/>
      <w:lvlJc w:val="left"/>
      <w:pPr>
        <w:ind w:left="4320" w:hanging="360"/>
      </w:pPr>
      <w:rPr>
        <w:rFonts w:ascii="Wingdings" w:hAnsi="Wingdings" w:hint="default"/>
      </w:rPr>
    </w:lvl>
    <w:lvl w:ilvl="6" w:tplc="040A0001" w:tentative="1">
      <w:start w:val="1"/>
      <w:numFmt w:val="bullet"/>
      <w:lvlText w:val=""/>
      <w:lvlJc w:val="left"/>
      <w:pPr>
        <w:ind w:left="5040" w:hanging="360"/>
      </w:pPr>
      <w:rPr>
        <w:rFonts w:ascii="Symbol" w:hAnsi="Symbol" w:hint="default"/>
      </w:rPr>
    </w:lvl>
    <w:lvl w:ilvl="7" w:tplc="040A0003" w:tentative="1">
      <w:start w:val="1"/>
      <w:numFmt w:val="bullet"/>
      <w:lvlText w:val="o"/>
      <w:lvlJc w:val="left"/>
      <w:pPr>
        <w:ind w:left="5760" w:hanging="360"/>
      </w:pPr>
      <w:rPr>
        <w:rFonts w:ascii="Courier New" w:hAnsi="Courier New" w:cs="Courier New" w:hint="default"/>
      </w:rPr>
    </w:lvl>
    <w:lvl w:ilvl="8" w:tplc="040A0005" w:tentative="1">
      <w:start w:val="1"/>
      <w:numFmt w:val="bullet"/>
      <w:lvlText w:val=""/>
      <w:lvlJc w:val="left"/>
      <w:pPr>
        <w:ind w:left="6480" w:hanging="360"/>
      </w:pPr>
      <w:rPr>
        <w:rFonts w:ascii="Wingdings" w:hAnsi="Wingdings" w:hint="default"/>
      </w:rPr>
    </w:lvl>
  </w:abstractNum>
  <w:abstractNum w:abstractNumId="15" w15:restartNumberingAfterBreak="0">
    <w:nsid w:val="320B0C74"/>
    <w:multiLevelType w:val="multilevel"/>
    <w:tmpl w:val="FCE0A7DE"/>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6" w15:restartNumberingAfterBreak="0">
    <w:nsid w:val="33614460"/>
    <w:multiLevelType w:val="hybridMultilevel"/>
    <w:tmpl w:val="7FC88522"/>
    <w:lvl w:ilvl="0" w:tplc="A22AAB2E">
      <w:start w:val="1"/>
      <w:numFmt w:val="decimal"/>
      <w:lvlText w:val="%1)"/>
      <w:lvlJc w:val="left"/>
      <w:pPr>
        <w:ind w:left="720" w:hanging="360"/>
      </w:pPr>
      <w:rPr>
        <w:rFonts w:hint="default"/>
        <w:b/>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17" w15:restartNumberingAfterBreak="0">
    <w:nsid w:val="370F0516"/>
    <w:multiLevelType w:val="multilevel"/>
    <w:tmpl w:val="BAD28BB2"/>
    <w:lvl w:ilvl="0">
      <w:start w:val="4"/>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8" w15:restartNumberingAfterBreak="0">
    <w:nsid w:val="37D933EA"/>
    <w:multiLevelType w:val="multilevel"/>
    <w:tmpl w:val="8BFCD550"/>
    <w:lvl w:ilvl="0">
      <w:start w:val="6"/>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9" w15:restartNumberingAfterBreak="0">
    <w:nsid w:val="39582A5C"/>
    <w:multiLevelType w:val="multilevel"/>
    <w:tmpl w:val="A8D201C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0" w15:restartNumberingAfterBreak="0">
    <w:nsid w:val="39D726F5"/>
    <w:multiLevelType w:val="hybridMultilevel"/>
    <w:tmpl w:val="7BDC1A10"/>
    <w:lvl w:ilvl="0" w:tplc="040A0001">
      <w:start w:val="1"/>
      <w:numFmt w:val="bullet"/>
      <w:lvlText w:val=""/>
      <w:lvlJc w:val="left"/>
      <w:pPr>
        <w:ind w:left="720" w:hanging="360"/>
      </w:pPr>
      <w:rPr>
        <w:rFonts w:ascii="Symbol" w:hAnsi="Symbol" w:hint="default"/>
      </w:rPr>
    </w:lvl>
    <w:lvl w:ilvl="1" w:tplc="040A0003" w:tentative="1">
      <w:start w:val="1"/>
      <w:numFmt w:val="bullet"/>
      <w:lvlText w:val="o"/>
      <w:lvlJc w:val="left"/>
      <w:pPr>
        <w:ind w:left="1440" w:hanging="360"/>
      </w:pPr>
      <w:rPr>
        <w:rFonts w:ascii="Courier New" w:hAnsi="Courier New" w:cs="Courier New" w:hint="default"/>
      </w:rPr>
    </w:lvl>
    <w:lvl w:ilvl="2" w:tplc="040A0005" w:tentative="1">
      <w:start w:val="1"/>
      <w:numFmt w:val="bullet"/>
      <w:lvlText w:val=""/>
      <w:lvlJc w:val="left"/>
      <w:pPr>
        <w:ind w:left="2160" w:hanging="360"/>
      </w:pPr>
      <w:rPr>
        <w:rFonts w:ascii="Wingdings" w:hAnsi="Wingdings" w:hint="default"/>
      </w:rPr>
    </w:lvl>
    <w:lvl w:ilvl="3" w:tplc="040A0001" w:tentative="1">
      <w:start w:val="1"/>
      <w:numFmt w:val="bullet"/>
      <w:lvlText w:val=""/>
      <w:lvlJc w:val="left"/>
      <w:pPr>
        <w:ind w:left="2880" w:hanging="360"/>
      </w:pPr>
      <w:rPr>
        <w:rFonts w:ascii="Symbol" w:hAnsi="Symbol" w:hint="default"/>
      </w:rPr>
    </w:lvl>
    <w:lvl w:ilvl="4" w:tplc="040A0003" w:tentative="1">
      <w:start w:val="1"/>
      <w:numFmt w:val="bullet"/>
      <w:lvlText w:val="o"/>
      <w:lvlJc w:val="left"/>
      <w:pPr>
        <w:ind w:left="3600" w:hanging="360"/>
      </w:pPr>
      <w:rPr>
        <w:rFonts w:ascii="Courier New" w:hAnsi="Courier New" w:cs="Courier New" w:hint="default"/>
      </w:rPr>
    </w:lvl>
    <w:lvl w:ilvl="5" w:tplc="040A0005" w:tentative="1">
      <w:start w:val="1"/>
      <w:numFmt w:val="bullet"/>
      <w:lvlText w:val=""/>
      <w:lvlJc w:val="left"/>
      <w:pPr>
        <w:ind w:left="4320" w:hanging="360"/>
      </w:pPr>
      <w:rPr>
        <w:rFonts w:ascii="Wingdings" w:hAnsi="Wingdings" w:hint="default"/>
      </w:rPr>
    </w:lvl>
    <w:lvl w:ilvl="6" w:tplc="040A0001" w:tentative="1">
      <w:start w:val="1"/>
      <w:numFmt w:val="bullet"/>
      <w:lvlText w:val=""/>
      <w:lvlJc w:val="left"/>
      <w:pPr>
        <w:ind w:left="5040" w:hanging="360"/>
      </w:pPr>
      <w:rPr>
        <w:rFonts w:ascii="Symbol" w:hAnsi="Symbol" w:hint="default"/>
      </w:rPr>
    </w:lvl>
    <w:lvl w:ilvl="7" w:tplc="040A0003" w:tentative="1">
      <w:start w:val="1"/>
      <w:numFmt w:val="bullet"/>
      <w:lvlText w:val="o"/>
      <w:lvlJc w:val="left"/>
      <w:pPr>
        <w:ind w:left="5760" w:hanging="360"/>
      </w:pPr>
      <w:rPr>
        <w:rFonts w:ascii="Courier New" w:hAnsi="Courier New" w:cs="Courier New" w:hint="default"/>
      </w:rPr>
    </w:lvl>
    <w:lvl w:ilvl="8" w:tplc="040A0005" w:tentative="1">
      <w:start w:val="1"/>
      <w:numFmt w:val="bullet"/>
      <w:lvlText w:val=""/>
      <w:lvlJc w:val="left"/>
      <w:pPr>
        <w:ind w:left="6480" w:hanging="360"/>
      </w:pPr>
      <w:rPr>
        <w:rFonts w:ascii="Wingdings" w:hAnsi="Wingdings" w:hint="default"/>
      </w:rPr>
    </w:lvl>
  </w:abstractNum>
  <w:abstractNum w:abstractNumId="21" w15:restartNumberingAfterBreak="0">
    <w:nsid w:val="45E82A7B"/>
    <w:multiLevelType w:val="multilevel"/>
    <w:tmpl w:val="FD962B4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2" w15:restartNumberingAfterBreak="0">
    <w:nsid w:val="4AA7326E"/>
    <w:multiLevelType w:val="multilevel"/>
    <w:tmpl w:val="5CE2D418"/>
    <w:lvl w:ilvl="0">
      <w:start w:val="1"/>
      <w:numFmt w:val="decimal"/>
      <w:lvlText w:val="%1."/>
      <w:lvlJc w:val="left"/>
      <w:pPr>
        <w:ind w:left="480" w:hanging="360"/>
      </w:pPr>
      <w:rPr>
        <w:rFonts w:ascii="Arial" w:eastAsia="Arial" w:hAnsi="Arial" w:cs="Arial" w:hint="default"/>
        <w:b/>
        <w:bCs/>
        <w:color w:val="4E4D4D"/>
        <w:spacing w:val="-8"/>
        <w:w w:val="100"/>
        <w:sz w:val="22"/>
        <w:szCs w:val="22"/>
        <w:lang w:val="es-ES" w:eastAsia="en-US" w:bidi="ar-SA"/>
      </w:rPr>
    </w:lvl>
    <w:lvl w:ilvl="1">
      <w:start w:val="1"/>
      <w:numFmt w:val="decimal"/>
      <w:lvlText w:val="%1.%2"/>
      <w:lvlJc w:val="left"/>
      <w:pPr>
        <w:ind w:left="688" w:hanging="578"/>
      </w:pPr>
      <w:rPr>
        <w:rFonts w:ascii="Arial" w:eastAsia="Arial" w:hAnsi="Arial" w:cs="Arial" w:hint="default"/>
        <w:b/>
        <w:bCs/>
        <w:color w:val="4E4D4D"/>
        <w:spacing w:val="-3"/>
        <w:w w:val="100"/>
        <w:sz w:val="22"/>
        <w:szCs w:val="22"/>
        <w:lang w:val="es-ES" w:eastAsia="en-US" w:bidi="ar-SA"/>
      </w:rPr>
    </w:lvl>
    <w:lvl w:ilvl="2">
      <w:start w:val="1"/>
      <w:numFmt w:val="lowerLetter"/>
      <w:lvlText w:val="%3)"/>
      <w:lvlJc w:val="left"/>
      <w:pPr>
        <w:ind w:left="800" w:hanging="325"/>
      </w:pPr>
      <w:rPr>
        <w:rFonts w:ascii="Arial" w:eastAsia="Arial" w:hAnsi="Arial" w:cs="Arial" w:hint="default"/>
        <w:color w:val="000000" w:themeColor="text1"/>
        <w:spacing w:val="-3"/>
        <w:w w:val="100"/>
        <w:sz w:val="22"/>
        <w:szCs w:val="22"/>
        <w:lang w:val="es-ES" w:eastAsia="en-US" w:bidi="ar-SA"/>
      </w:rPr>
    </w:lvl>
    <w:lvl w:ilvl="3">
      <w:numFmt w:val="bullet"/>
      <w:lvlText w:val="•"/>
      <w:lvlJc w:val="left"/>
      <w:pPr>
        <w:ind w:left="1845" w:hanging="325"/>
      </w:pPr>
      <w:rPr>
        <w:rFonts w:hint="default"/>
        <w:lang w:val="es-ES" w:eastAsia="en-US" w:bidi="ar-SA"/>
      </w:rPr>
    </w:lvl>
    <w:lvl w:ilvl="4">
      <w:numFmt w:val="bullet"/>
      <w:lvlText w:val="•"/>
      <w:lvlJc w:val="left"/>
      <w:pPr>
        <w:ind w:left="2890" w:hanging="325"/>
      </w:pPr>
      <w:rPr>
        <w:rFonts w:hint="default"/>
        <w:lang w:val="es-ES" w:eastAsia="en-US" w:bidi="ar-SA"/>
      </w:rPr>
    </w:lvl>
    <w:lvl w:ilvl="5">
      <w:numFmt w:val="bullet"/>
      <w:lvlText w:val="•"/>
      <w:lvlJc w:val="left"/>
      <w:pPr>
        <w:ind w:left="3935" w:hanging="325"/>
      </w:pPr>
      <w:rPr>
        <w:rFonts w:hint="default"/>
        <w:lang w:val="es-ES" w:eastAsia="en-US" w:bidi="ar-SA"/>
      </w:rPr>
    </w:lvl>
    <w:lvl w:ilvl="6">
      <w:numFmt w:val="bullet"/>
      <w:lvlText w:val="•"/>
      <w:lvlJc w:val="left"/>
      <w:pPr>
        <w:ind w:left="4980" w:hanging="325"/>
      </w:pPr>
      <w:rPr>
        <w:rFonts w:hint="default"/>
        <w:lang w:val="es-ES" w:eastAsia="en-US" w:bidi="ar-SA"/>
      </w:rPr>
    </w:lvl>
    <w:lvl w:ilvl="7">
      <w:numFmt w:val="bullet"/>
      <w:lvlText w:val="•"/>
      <w:lvlJc w:val="left"/>
      <w:pPr>
        <w:ind w:left="6025" w:hanging="325"/>
      </w:pPr>
      <w:rPr>
        <w:rFonts w:hint="default"/>
        <w:lang w:val="es-ES" w:eastAsia="en-US" w:bidi="ar-SA"/>
      </w:rPr>
    </w:lvl>
    <w:lvl w:ilvl="8">
      <w:numFmt w:val="bullet"/>
      <w:lvlText w:val="•"/>
      <w:lvlJc w:val="left"/>
      <w:pPr>
        <w:ind w:left="7070" w:hanging="325"/>
      </w:pPr>
      <w:rPr>
        <w:rFonts w:hint="default"/>
        <w:lang w:val="es-ES" w:eastAsia="en-US" w:bidi="ar-SA"/>
      </w:rPr>
    </w:lvl>
  </w:abstractNum>
  <w:abstractNum w:abstractNumId="23" w15:restartNumberingAfterBreak="0">
    <w:nsid w:val="522C350D"/>
    <w:multiLevelType w:val="hybridMultilevel"/>
    <w:tmpl w:val="89B6917E"/>
    <w:lvl w:ilvl="0" w:tplc="A7B2FCBE">
      <w:start w:val="1"/>
      <w:numFmt w:val="decimal"/>
      <w:lvlText w:val="%1."/>
      <w:lvlJc w:val="left"/>
      <w:pPr>
        <w:ind w:left="1494" w:hanging="360"/>
      </w:pPr>
      <w:rPr>
        <w:rFonts w:hint="default"/>
      </w:rPr>
    </w:lvl>
    <w:lvl w:ilvl="1" w:tplc="240A0019" w:tentative="1">
      <w:start w:val="1"/>
      <w:numFmt w:val="lowerLetter"/>
      <w:lvlText w:val="%2."/>
      <w:lvlJc w:val="left"/>
      <w:pPr>
        <w:ind w:left="2214" w:hanging="360"/>
      </w:pPr>
    </w:lvl>
    <w:lvl w:ilvl="2" w:tplc="240A001B" w:tentative="1">
      <w:start w:val="1"/>
      <w:numFmt w:val="lowerRoman"/>
      <w:lvlText w:val="%3."/>
      <w:lvlJc w:val="right"/>
      <w:pPr>
        <w:ind w:left="2934" w:hanging="180"/>
      </w:pPr>
    </w:lvl>
    <w:lvl w:ilvl="3" w:tplc="240A000F" w:tentative="1">
      <w:start w:val="1"/>
      <w:numFmt w:val="decimal"/>
      <w:lvlText w:val="%4."/>
      <w:lvlJc w:val="left"/>
      <w:pPr>
        <w:ind w:left="3654" w:hanging="360"/>
      </w:pPr>
    </w:lvl>
    <w:lvl w:ilvl="4" w:tplc="240A0019" w:tentative="1">
      <w:start w:val="1"/>
      <w:numFmt w:val="lowerLetter"/>
      <w:lvlText w:val="%5."/>
      <w:lvlJc w:val="left"/>
      <w:pPr>
        <w:ind w:left="4374" w:hanging="360"/>
      </w:pPr>
    </w:lvl>
    <w:lvl w:ilvl="5" w:tplc="240A001B" w:tentative="1">
      <w:start w:val="1"/>
      <w:numFmt w:val="lowerRoman"/>
      <w:lvlText w:val="%6."/>
      <w:lvlJc w:val="right"/>
      <w:pPr>
        <w:ind w:left="5094" w:hanging="180"/>
      </w:pPr>
    </w:lvl>
    <w:lvl w:ilvl="6" w:tplc="240A000F" w:tentative="1">
      <w:start w:val="1"/>
      <w:numFmt w:val="decimal"/>
      <w:lvlText w:val="%7."/>
      <w:lvlJc w:val="left"/>
      <w:pPr>
        <w:ind w:left="5814" w:hanging="360"/>
      </w:pPr>
    </w:lvl>
    <w:lvl w:ilvl="7" w:tplc="240A0019" w:tentative="1">
      <w:start w:val="1"/>
      <w:numFmt w:val="lowerLetter"/>
      <w:lvlText w:val="%8."/>
      <w:lvlJc w:val="left"/>
      <w:pPr>
        <w:ind w:left="6534" w:hanging="360"/>
      </w:pPr>
    </w:lvl>
    <w:lvl w:ilvl="8" w:tplc="240A001B" w:tentative="1">
      <w:start w:val="1"/>
      <w:numFmt w:val="lowerRoman"/>
      <w:lvlText w:val="%9."/>
      <w:lvlJc w:val="right"/>
      <w:pPr>
        <w:ind w:left="7254" w:hanging="180"/>
      </w:pPr>
    </w:lvl>
  </w:abstractNum>
  <w:abstractNum w:abstractNumId="24" w15:restartNumberingAfterBreak="0">
    <w:nsid w:val="540506B6"/>
    <w:multiLevelType w:val="hybridMultilevel"/>
    <w:tmpl w:val="974E0418"/>
    <w:lvl w:ilvl="0" w:tplc="240A0001">
      <w:start w:val="1"/>
      <w:numFmt w:val="bullet"/>
      <w:lvlText w:val=""/>
      <w:lvlJc w:val="left"/>
      <w:pPr>
        <w:ind w:left="720" w:hanging="360"/>
      </w:pPr>
      <w:rPr>
        <w:rFonts w:ascii="Symbol" w:hAnsi="Symbol" w:hint="default"/>
      </w:rPr>
    </w:lvl>
    <w:lvl w:ilvl="1" w:tplc="240A0003" w:tentative="1">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25" w15:restartNumberingAfterBreak="0">
    <w:nsid w:val="57B57427"/>
    <w:multiLevelType w:val="hybridMultilevel"/>
    <w:tmpl w:val="A88A5E2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6" w15:restartNumberingAfterBreak="0">
    <w:nsid w:val="58D539B6"/>
    <w:multiLevelType w:val="multilevel"/>
    <w:tmpl w:val="7890C788"/>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7" w15:restartNumberingAfterBreak="0">
    <w:nsid w:val="5AE07B1E"/>
    <w:multiLevelType w:val="multilevel"/>
    <w:tmpl w:val="6F14CB5E"/>
    <w:lvl w:ilvl="0">
      <w:start w:val="1"/>
      <w:numFmt w:val="decimal"/>
      <w:lvlText w:val="%1."/>
      <w:lvlJc w:val="left"/>
      <w:pPr>
        <w:ind w:left="360" w:hanging="360"/>
      </w:pPr>
      <w:rPr>
        <w:rFonts w:hint="default"/>
        <w:b/>
        <w:bCs/>
      </w:rPr>
    </w:lvl>
    <w:lvl w:ilvl="1">
      <w:start w:val="1"/>
      <w:numFmt w:val="decimal"/>
      <w:isLgl/>
      <w:lvlText w:val="%1.%2"/>
      <w:lvlJc w:val="left"/>
      <w:pPr>
        <w:ind w:left="372" w:hanging="372"/>
      </w:pPr>
      <w:rPr>
        <w:rFonts w:hint="default"/>
      </w:rPr>
    </w:lvl>
    <w:lvl w:ilvl="2">
      <w:start w:val="1"/>
      <w:numFmt w:val="decimal"/>
      <w:isLgl/>
      <w:lvlText w:val="%1.%2.%3"/>
      <w:lvlJc w:val="left"/>
      <w:pPr>
        <w:ind w:left="720" w:hanging="720"/>
      </w:pPr>
      <w:rPr>
        <w:rFonts w:hint="default"/>
      </w:rPr>
    </w:lvl>
    <w:lvl w:ilvl="3">
      <w:start w:val="1"/>
      <w:numFmt w:val="decimal"/>
      <w:isLgl/>
      <w:lvlText w:val="%1.%2.%3.%4"/>
      <w:lvlJc w:val="left"/>
      <w:pPr>
        <w:ind w:left="720" w:hanging="720"/>
      </w:pPr>
      <w:rPr>
        <w:rFonts w:hint="default"/>
      </w:rPr>
    </w:lvl>
    <w:lvl w:ilvl="4">
      <w:start w:val="1"/>
      <w:numFmt w:val="decimal"/>
      <w:isLgl/>
      <w:lvlText w:val="%1.%2.%3.%4.%5"/>
      <w:lvlJc w:val="left"/>
      <w:pPr>
        <w:ind w:left="1080" w:hanging="1080"/>
      </w:pPr>
      <w:rPr>
        <w:rFonts w:hint="default"/>
      </w:rPr>
    </w:lvl>
    <w:lvl w:ilvl="5">
      <w:start w:val="1"/>
      <w:numFmt w:val="decimal"/>
      <w:isLgl/>
      <w:lvlText w:val="%1.%2.%3.%4.%5.%6"/>
      <w:lvlJc w:val="left"/>
      <w:pPr>
        <w:ind w:left="1080" w:hanging="1080"/>
      </w:pPr>
      <w:rPr>
        <w:rFonts w:hint="default"/>
      </w:rPr>
    </w:lvl>
    <w:lvl w:ilvl="6">
      <w:start w:val="1"/>
      <w:numFmt w:val="decimal"/>
      <w:isLgl/>
      <w:lvlText w:val="%1.%2.%3.%4.%5.%6.%7"/>
      <w:lvlJc w:val="left"/>
      <w:pPr>
        <w:ind w:left="1440" w:hanging="1440"/>
      </w:pPr>
      <w:rPr>
        <w:rFonts w:hint="default"/>
      </w:rPr>
    </w:lvl>
    <w:lvl w:ilvl="7">
      <w:start w:val="1"/>
      <w:numFmt w:val="decimal"/>
      <w:isLgl/>
      <w:lvlText w:val="%1.%2.%3.%4.%5.%6.%7.%8"/>
      <w:lvlJc w:val="left"/>
      <w:pPr>
        <w:ind w:left="1440" w:hanging="1440"/>
      </w:pPr>
      <w:rPr>
        <w:rFonts w:hint="default"/>
      </w:rPr>
    </w:lvl>
    <w:lvl w:ilvl="8">
      <w:start w:val="1"/>
      <w:numFmt w:val="decimal"/>
      <w:isLgl/>
      <w:lvlText w:val="%1.%2.%3.%4.%5.%6.%7.%8.%9"/>
      <w:lvlJc w:val="left"/>
      <w:pPr>
        <w:ind w:left="1800" w:hanging="1800"/>
      </w:pPr>
      <w:rPr>
        <w:rFonts w:hint="default"/>
      </w:rPr>
    </w:lvl>
  </w:abstractNum>
  <w:abstractNum w:abstractNumId="28" w15:restartNumberingAfterBreak="0">
    <w:nsid w:val="5C417895"/>
    <w:multiLevelType w:val="multilevel"/>
    <w:tmpl w:val="68DE68F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9" w15:restartNumberingAfterBreak="0">
    <w:nsid w:val="5F812190"/>
    <w:multiLevelType w:val="multilevel"/>
    <w:tmpl w:val="7DC8D68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0" w15:restartNumberingAfterBreak="0">
    <w:nsid w:val="604178A9"/>
    <w:multiLevelType w:val="hybridMultilevel"/>
    <w:tmpl w:val="7486A3C2"/>
    <w:lvl w:ilvl="0" w:tplc="240A0001">
      <w:start w:val="1"/>
      <w:numFmt w:val="bullet"/>
      <w:lvlText w:val=""/>
      <w:lvlJc w:val="left"/>
      <w:pPr>
        <w:ind w:left="720" w:hanging="360"/>
      </w:pPr>
      <w:rPr>
        <w:rFonts w:ascii="Symbol" w:hAnsi="Symbol" w:hint="default"/>
      </w:rPr>
    </w:lvl>
    <w:lvl w:ilvl="1" w:tplc="240A0003" w:tentative="1">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31" w15:restartNumberingAfterBreak="0">
    <w:nsid w:val="636C03B0"/>
    <w:multiLevelType w:val="hybridMultilevel"/>
    <w:tmpl w:val="87183FAA"/>
    <w:lvl w:ilvl="0" w:tplc="240A0007">
      <w:start w:val="1"/>
      <w:numFmt w:val="bullet"/>
      <w:lvlText w:val=""/>
      <w:lvlPicBulletId w:val="0"/>
      <w:lvlJc w:val="left"/>
      <w:pPr>
        <w:ind w:left="785" w:hanging="360"/>
      </w:pPr>
      <w:rPr>
        <w:rFonts w:ascii="Symbol" w:hAnsi="Symbol" w:hint="default"/>
      </w:rPr>
    </w:lvl>
    <w:lvl w:ilvl="1" w:tplc="240A0003" w:tentative="1">
      <w:start w:val="1"/>
      <w:numFmt w:val="bullet"/>
      <w:lvlText w:val="o"/>
      <w:lvlJc w:val="left"/>
      <w:pPr>
        <w:ind w:left="1505" w:hanging="360"/>
      </w:pPr>
      <w:rPr>
        <w:rFonts w:ascii="Courier New" w:hAnsi="Courier New" w:cs="Courier New" w:hint="default"/>
      </w:rPr>
    </w:lvl>
    <w:lvl w:ilvl="2" w:tplc="240A0005" w:tentative="1">
      <w:start w:val="1"/>
      <w:numFmt w:val="bullet"/>
      <w:lvlText w:val=""/>
      <w:lvlJc w:val="left"/>
      <w:pPr>
        <w:ind w:left="2225" w:hanging="360"/>
      </w:pPr>
      <w:rPr>
        <w:rFonts w:ascii="Wingdings" w:hAnsi="Wingdings" w:hint="default"/>
      </w:rPr>
    </w:lvl>
    <w:lvl w:ilvl="3" w:tplc="240A0001" w:tentative="1">
      <w:start w:val="1"/>
      <w:numFmt w:val="bullet"/>
      <w:lvlText w:val=""/>
      <w:lvlJc w:val="left"/>
      <w:pPr>
        <w:ind w:left="2945" w:hanging="360"/>
      </w:pPr>
      <w:rPr>
        <w:rFonts w:ascii="Symbol" w:hAnsi="Symbol" w:hint="default"/>
      </w:rPr>
    </w:lvl>
    <w:lvl w:ilvl="4" w:tplc="240A0003" w:tentative="1">
      <w:start w:val="1"/>
      <w:numFmt w:val="bullet"/>
      <w:lvlText w:val="o"/>
      <w:lvlJc w:val="left"/>
      <w:pPr>
        <w:ind w:left="3665" w:hanging="360"/>
      </w:pPr>
      <w:rPr>
        <w:rFonts w:ascii="Courier New" w:hAnsi="Courier New" w:cs="Courier New" w:hint="default"/>
      </w:rPr>
    </w:lvl>
    <w:lvl w:ilvl="5" w:tplc="240A0005" w:tentative="1">
      <w:start w:val="1"/>
      <w:numFmt w:val="bullet"/>
      <w:lvlText w:val=""/>
      <w:lvlJc w:val="left"/>
      <w:pPr>
        <w:ind w:left="4385" w:hanging="360"/>
      </w:pPr>
      <w:rPr>
        <w:rFonts w:ascii="Wingdings" w:hAnsi="Wingdings" w:hint="default"/>
      </w:rPr>
    </w:lvl>
    <w:lvl w:ilvl="6" w:tplc="240A0001" w:tentative="1">
      <w:start w:val="1"/>
      <w:numFmt w:val="bullet"/>
      <w:lvlText w:val=""/>
      <w:lvlJc w:val="left"/>
      <w:pPr>
        <w:ind w:left="5105" w:hanging="360"/>
      </w:pPr>
      <w:rPr>
        <w:rFonts w:ascii="Symbol" w:hAnsi="Symbol" w:hint="default"/>
      </w:rPr>
    </w:lvl>
    <w:lvl w:ilvl="7" w:tplc="240A0003" w:tentative="1">
      <w:start w:val="1"/>
      <w:numFmt w:val="bullet"/>
      <w:lvlText w:val="o"/>
      <w:lvlJc w:val="left"/>
      <w:pPr>
        <w:ind w:left="5825" w:hanging="360"/>
      </w:pPr>
      <w:rPr>
        <w:rFonts w:ascii="Courier New" w:hAnsi="Courier New" w:cs="Courier New" w:hint="default"/>
      </w:rPr>
    </w:lvl>
    <w:lvl w:ilvl="8" w:tplc="240A0005" w:tentative="1">
      <w:start w:val="1"/>
      <w:numFmt w:val="bullet"/>
      <w:lvlText w:val=""/>
      <w:lvlJc w:val="left"/>
      <w:pPr>
        <w:ind w:left="6545" w:hanging="360"/>
      </w:pPr>
      <w:rPr>
        <w:rFonts w:ascii="Wingdings" w:hAnsi="Wingdings" w:hint="default"/>
      </w:rPr>
    </w:lvl>
  </w:abstractNum>
  <w:abstractNum w:abstractNumId="32" w15:restartNumberingAfterBreak="0">
    <w:nsid w:val="6BF97060"/>
    <w:multiLevelType w:val="multilevel"/>
    <w:tmpl w:val="B3E004E0"/>
    <w:lvl w:ilvl="0">
      <w:start w:val="5"/>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3" w15:restartNumberingAfterBreak="0">
    <w:nsid w:val="6C17059A"/>
    <w:multiLevelType w:val="hybridMultilevel"/>
    <w:tmpl w:val="A4CEFBFA"/>
    <w:lvl w:ilvl="0" w:tplc="240A0001">
      <w:start w:val="1"/>
      <w:numFmt w:val="bullet"/>
      <w:lvlText w:val=""/>
      <w:lvlJc w:val="left"/>
      <w:pPr>
        <w:ind w:left="1428" w:hanging="360"/>
      </w:pPr>
      <w:rPr>
        <w:rFonts w:ascii="Symbol" w:hAnsi="Symbol" w:hint="default"/>
      </w:rPr>
    </w:lvl>
    <w:lvl w:ilvl="1" w:tplc="240A0003" w:tentative="1">
      <w:start w:val="1"/>
      <w:numFmt w:val="bullet"/>
      <w:lvlText w:val="o"/>
      <w:lvlJc w:val="left"/>
      <w:pPr>
        <w:ind w:left="2148" w:hanging="360"/>
      </w:pPr>
      <w:rPr>
        <w:rFonts w:ascii="Courier New" w:hAnsi="Courier New" w:cs="Courier New" w:hint="default"/>
      </w:rPr>
    </w:lvl>
    <w:lvl w:ilvl="2" w:tplc="240A0005" w:tentative="1">
      <w:start w:val="1"/>
      <w:numFmt w:val="bullet"/>
      <w:lvlText w:val=""/>
      <w:lvlJc w:val="left"/>
      <w:pPr>
        <w:ind w:left="2868" w:hanging="360"/>
      </w:pPr>
      <w:rPr>
        <w:rFonts w:ascii="Wingdings" w:hAnsi="Wingdings" w:hint="default"/>
      </w:rPr>
    </w:lvl>
    <w:lvl w:ilvl="3" w:tplc="240A0001" w:tentative="1">
      <w:start w:val="1"/>
      <w:numFmt w:val="bullet"/>
      <w:lvlText w:val=""/>
      <w:lvlJc w:val="left"/>
      <w:pPr>
        <w:ind w:left="3588" w:hanging="360"/>
      </w:pPr>
      <w:rPr>
        <w:rFonts w:ascii="Symbol" w:hAnsi="Symbol" w:hint="default"/>
      </w:rPr>
    </w:lvl>
    <w:lvl w:ilvl="4" w:tplc="240A0003" w:tentative="1">
      <w:start w:val="1"/>
      <w:numFmt w:val="bullet"/>
      <w:lvlText w:val="o"/>
      <w:lvlJc w:val="left"/>
      <w:pPr>
        <w:ind w:left="4308" w:hanging="360"/>
      </w:pPr>
      <w:rPr>
        <w:rFonts w:ascii="Courier New" w:hAnsi="Courier New" w:cs="Courier New" w:hint="default"/>
      </w:rPr>
    </w:lvl>
    <w:lvl w:ilvl="5" w:tplc="240A0005" w:tentative="1">
      <w:start w:val="1"/>
      <w:numFmt w:val="bullet"/>
      <w:lvlText w:val=""/>
      <w:lvlJc w:val="left"/>
      <w:pPr>
        <w:ind w:left="5028" w:hanging="360"/>
      </w:pPr>
      <w:rPr>
        <w:rFonts w:ascii="Wingdings" w:hAnsi="Wingdings" w:hint="default"/>
      </w:rPr>
    </w:lvl>
    <w:lvl w:ilvl="6" w:tplc="240A0001" w:tentative="1">
      <w:start w:val="1"/>
      <w:numFmt w:val="bullet"/>
      <w:lvlText w:val=""/>
      <w:lvlJc w:val="left"/>
      <w:pPr>
        <w:ind w:left="5748" w:hanging="360"/>
      </w:pPr>
      <w:rPr>
        <w:rFonts w:ascii="Symbol" w:hAnsi="Symbol" w:hint="default"/>
      </w:rPr>
    </w:lvl>
    <w:lvl w:ilvl="7" w:tplc="240A0003" w:tentative="1">
      <w:start w:val="1"/>
      <w:numFmt w:val="bullet"/>
      <w:lvlText w:val="o"/>
      <w:lvlJc w:val="left"/>
      <w:pPr>
        <w:ind w:left="6468" w:hanging="360"/>
      </w:pPr>
      <w:rPr>
        <w:rFonts w:ascii="Courier New" w:hAnsi="Courier New" w:cs="Courier New" w:hint="default"/>
      </w:rPr>
    </w:lvl>
    <w:lvl w:ilvl="8" w:tplc="240A0005" w:tentative="1">
      <w:start w:val="1"/>
      <w:numFmt w:val="bullet"/>
      <w:lvlText w:val=""/>
      <w:lvlJc w:val="left"/>
      <w:pPr>
        <w:ind w:left="7188" w:hanging="360"/>
      </w:pPr>
      <w:rPr>
        <w:rFonts w:ascii="Wingdings" w:hAnsi="Wingdings" w:hint="default"/>
      </w:rPr>
    </w:lvl>
  </w:abstractNum>
  <w:abstractNum w:abstractNumId="34" w15:restartNumberingAfterBreak="0">
    <w:nsid w:val="6C3C082A"/>
    <w:multiLevelType w:val="multilevel"/>
    <w:tmpl w:val="A80420EA"/>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5" w15:restartNumberingAfterBreak="0">
    <w:nsid w:val="6F4922CE"/>
    <w:multiLevelType w:val="multilevel"/>
    <w:tmpl w:val="E5E6373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6" w15:restartNumberingAfterBreak="0">
    <w:nsid w:val="6FB367B7"/>
    <w:multiLevelType w:val="multilevel"/>
    <w:tmpl w:val="4E0EF642"/>
    <w:lvl w:ilvl="0">
      <w:start w:val="8"/>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7" w15:restartNumberingAfterBreak="0">
    <w:nsid w:val="71CC6F5F"/>
    <w:multiLevelType w:val="hybridMultilevel"/>
    <w:tmpl w:val="EC1A41B6"/>
    <w:lvl w:ilvl="0" w:tplc="080A0001">
      <w:start w:val="1"/>
      <w:numFmt w:val="bullet"/>
      <w:lvlText w:val=""/>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38" w15:restartNumberingAfterBreak="0">
    <w:nsid w:val="7C5E69C5"/>
    <w:multiLevelType w:val="hybridMultilevel"/>
    <w:tmpl w:val="D1EA8408"/>
    <w:lvl w:ilvl="0" w:tplc="04090001">
      <w:start w:val="1"/>
      <w:numFmt w:val="bullet"/>
      <w:lvlText w:val=""/>
      <w:lvlJc w:val="left"/>
      <w:pPr>
        <w:ind w:left="1428" w:hanging="360"/>
      </w:pPr>
      <w:rPr>
        <w:rFonts w:ascii="Symbol" w:hAnsi="Symbol" w:hint="default"/>
      </w:rPr>
    </w:lvl>
    <w:lvl w:ilvl="1" w:tplc="04090003" w:tentative="1">
      <w:start w:val="1"/>
      <w:numFmt w:val="bullet"/>
      <w:lvlText w:val="o"/>
      <w:lvlJc w:val="left"/>
      <w:pPr>
        <w:ind w:left="2148" w:hanging="360"/>
      </w:pPr>
      <w:rPr>
        <w:rFonts w:ascii="Courier New" w:hAnsi="Courier New" w:cs="Courier New" w:hint="default"/>
      </w:rPr>
    </w:lvl>
    <w:lvl w:ilvl="2" w:tplc="04090005" w:tentative="1">
      <w:start w:val="1"/>
      <w:numFmt w:val="bullet"/>
      <w:lvlText w:val=""/>
      <w:lvlJc w:val="left"/>
      <w:pPr>
        <w:ind w:left="2868" w:hanging="360"/>
      </w:pPr>
      <w:rPr>
        <w:rFonts w:ascii="Wingdings" w:hAnsi="Wingdings" w:hint="default"/>
      </w:rPr>
    </w:lvl>
    <w:lvl w:ilvl="3" w:tplc="04090001" w:tentative="1">
      <w:start w:val="1"/>
      <w:numFmt w:val="bullet"/>
      <w:lvlText w:val=""/>
      <w:lvlJc w:val="left"/>
      <w:pPr>
        <w:ind w:left="3588" w:hanging="360"/>
      </w:pPr>
      <w:rPr>
        <w:rFonts w:ascii="Symbol" w:hAnsi="Symbol" w:hint="default"/>
      </w:rPr>
    </w:lvl>
    <w:lvl w:ilvl="4" w:tplc="04090003" w:tentative="1">
      <w:start w:val="1"/>
      <w:numFmt w:val="bullet"/>
      <w:lvlText w:val="o"/>
      <w:lvlJc w:val="left"/>
      <w:pPr>
        <w:ind w:left="4308" w:hanging="360"/>
      </w:pPr>
      <w:rPr>
        <w:rFonts w:ascii="Courier New" w:hAnsi="Courier New" w:cs="Courier New" w:hint="default"/>
      </w:rPr>
    </w:lvl>
    <w:lvl w:ilvl="5" w:tplc="04090005" w:tentative="1">
      <w:start w:val="1"/>
      <w:numFmt w:val="bullet"/>
      <w:lvlText w:val=""/>
      <w:lvlJc w:val="left"/>
      <w:pPr>
        <w:ind w:left="5028" w:hanging="360"/>
      </w:pPr>
      <w:rPr>
        <w:rFonts w:ascii="Wingdings" w:hAnsi="Wingdings" w:hint="default"/>
      </w:rPr>
    </w:lvl>
    <w:lvl w:ilvl="6" w:tplc="04090001" w:tentative="1">
      <w:start w:val="1"/>
      <w:numFmt w:val="bullet"/>
      <w:lvlText w:val=""/>
      <w:lvlJc w:val="left"/>
      <w:pPr>
        <w:ind w:left="5748" w:hanging="360"/>
      </w:pPr>
      <w:rPr>
        <w:rFonts w:ascii="Symbol" w:hAnsi="Symbol" w:hint="default"/>
      </w:rPr>
    </w:lvl>
    <w:lvl w:ilvl="7" w:tplc="04090003" w:tentative="1">
      <w:start w:val="1"/>
      <w:numFmt w:val="bullet"/>
      <w:lvlText w:val="o"/>
      <w:lvlJc w:val="left"/>
      <w:pPr>
        <w:ind w:left="6468" w:hanging="360"/>
      </w:pPr>
      <w:rPr>
        <w:rFonts w:ascii="Courier New" w:hAnsi="Courier New" w:cs="Courier New" w:hint="default"/>
      </w:rPr>
    </w:lvl>
    <w:lvl w:ilvl="8" w:tplc="04090005" w:tentative="1">
      <w:start w:val="1"/>
      <w:numFmt w:val="bullet"/>
      <w:lvlText w:val=""/>
      <w:lvlJc w:val="left"/>
      <w:pPr>
        <w:ind w:left="7188" w:hanging="360"/>
      </w:pPr>
      <w:rPr>
        <w:rFonts w:ascii="Wingdings" w:hAnsi="Wingdings" w:hint="default"/>
      </w:rPr>
    </w:lvl>
  </w:abstractNum>
  <w:num w:numId="1" w16cid:durableId="1185948492">
    <w:abstractNumId w:val="16"/>
  </w:num>
  <w:num w:numId="2" w16cid:durableId="2037655652">
    <w:abstractNumId w:val="2"/>
  </w:num>
  <w:num w:numId="3" w16cid:durableId="1720008005">
    <w:abstractNumId w:val="13"/>
  </w:num>
  <w:num w:numId="4" w16cid:durableId="541677172">
    <w:abstractNumId w:val="1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16cid:durableId="229198319">
    <w:abstractNumId w:val="2"/>
  </w:num>
  <w:num w:numId="6" w16cid:durableId="1294289220">
    <w:abstractNumId w:val="35"/>
  </w:num>
  <w:num w:numId="7" w16cid:durableId="908154651">
    <w:abstractNumId w:val="15"/>
  </w:num>
  <w:num w:numId="8" w16cid:durableId="1536043524">
    <w:abstractNumId w:val="34"/>
  </w:num>
  <w:num w:numId="9" w16cid:durableId="1577865107">
    <w:abstractNumId w:val="17"/>
  </w:num>
  <w:num w:numId="10" w16cid:durableId="1015620205">
    <w:abstractNumId w:val="32"/>
  </w:num>
  <w:num w:numId="11" w16cid:durableId="332758563">
    <w:abstractNumId w:val="18"/>
  </w:num>
  <w:num w:numId="12" w16cid:durableId="108355402">
    <w:abstractNumId w:val="1"/>
  </w:num>
  <w:num w:numId="13" w16cid:durableId="158932041">
    <w:abstractNumId w:val="9"/>
  </w:num>
  <w:num w:numId="14" w16cid:durableId="753209597">
    <w:abstractNumId w:val="36"/>
  </w:num>
  <w:num w:numId="15" w16cid:durableId="974409393">
    <w:abstractNumId w:val="31"/>
  </w:num>
  <w:num w:numId="16" w16cid:durableId="730734131">
    <w:abstractNumId w:val="0"/>
    <w:lvlOverride w:ilvl="0">
      <w:startOverride w:val="1"/>
    </w:lvlOverride>
    <w:lvlOverride w:ilvl="1">
      <w:startOverride w:val="2"/>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16cid:durableId="1444689071">
    <w:abstractNumId w:val="5"/>
  </w:num>
  <w:num w:numId="18" w16cid:durableId="26762330">
    <w:abstractNumId w:val="27"/>
  </w:num>
  <w:num w:numId="19" w16cid:durableId="165945212">
    <w:abstractNumId w:val="12"/>
  </w:num>
  <w:num w:numId="20" w16cid:durableId="461076444">
    <w:abstractNumId w:val="20"/>
  </w:num>
  <w:num w:numId="21" w16cid:durableId="999390349">
    <w:abstractNumId w:val="38"/>
  </w:num>
  <w:num w:numId="22" w16cid:durableId="100877056">
    <w:abstractNumId w:val="22"/>
  </w:num>
  <w:num w:numId="23" w16cid:durableId="1492023556">
    <w:abstractNumId w:val="0"/>
  </w:num>
  <w:num w:numId="24" w16cid:durableId="1428499269">
    <w:abstractNumId w:val="30"/>
  </w:num>
  <w:num w:numId="25" w16cid:durableId="1538541981">
    <w:abstractNumId w:val="24"/>
  </w:num>
  <w:num w:numId="26" w16cid:durableId="905189634">
    <w:abstractNumId w:val="23"/>
  </w:num>
  <w:num w:numId="27" w16cid:durableId="2066680505">
    <w:abstractNumId w:val="6"/>
  </w:num>
  <w:num w:numId="28" w16cid:durableId="1000352293">
    <w:abstractNumId w:val="11"/>
  </w:num>
  <w:num w:numId="29" w16cid:durableId="118765125">
    <w:abstractNumId w:val="3"/>
  </w:num>
  <w:num w:numId="30" w16cid:durableId="1619796334">
    <w:abstractNumId w:val="4"/>
  </w:num>
  <w:num w:numId="31" w16cid:durableId="2096707616">
    <w:abstractNumId w:val="26"/>
  </w:num>
  <w:num w:numId="32" w16cid:durableId="1823037533">
    <w:abstractNumId w:val="33"/>
  </w:num>
  <w:num w:numId="33" w16cid:durableId="869341641">
    <w:abstractNumId w:val="37"/>
  </w:num>
  <w:num w:numId="34" w16cid:durableId="526715463">
    <w:abstractNumId w:val="7"/>
  </w:num>
  <w:num w:numId="35" w16cid:durableId="413477491">
    <w:abstractNumId w:val="14"/>
  </w:num>
  <w:num w:numId="36" w16cid:durableId="1855457648">
    <w:abstractNumId w:val="10"/>
  </w:num>
  <w:num w:numId="37" w16cid:durableId="672804883">
    <w:abstractNumId w:val="25"/>
  </w:num>
  <w:num w:numId="38" w16cid:durableId="111752143">
    <w:abstractNumId w:val="19"/>
  </w:num>
  <w:num w:numId="39" w16cid:durableId="1330864233">
    <w:abstractNumId w:val="8"/>
  </w:num>
  <w:num w:numId="40" w16cid:durableId="26879027">
    <w:abstractNumId w:val="29"/>
  </w:num>
  <w:num w:numId="41" w16cid:durableId="304050705">
    <w:abstractNumId w:val="21"/>
  </w:num>
  <w:num w:numId="42" w16cid:durableId="845755313">
    <w:abstractNumId w:val="2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425"/>
  <w:characterSpacingControl w:val="doNotCompress"/>
  <w:hdrShapeDefaults>
    <o:shapedefaults v:ext="edit" spidmax="2049"/>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4A1847"/>
    <w:rsid w:val="000039A2"/>
    <w:rsid w:val="000062F3"/>
    <w:rsid w:val="0000797D"/>
    <w:rsid w:val="00010C4F"/>
    <w:rsid w:val="0001328B"/>
    <w:rsid w:val="000224F2"/>
    <w:rsid w:val="00023C3E"/>
    <w:rsid w:val="0002653B"/>
    <w:rsid w:val="000355E9"/>
    <w:rsid w:val="00036498"/>
    <w:rsid w:val="00040F37"/>
    <w:rsid w:val="00041860"/>
    <w:rsid w:val="0004434A"/>
    <w:rsid w:val="0005281E"/>
    <w:rsid w:val="0005682C"/>
    <w:rsid w:val="00056D71"/>
    <w:rsid w:val="00061B2A"/>
    <w:rsid w:val="00062BAF"/>
    <w:rsid w:val="000630B9"/>
    <w:rsid w:val="000635D0"/>
    <w:rsid w:val="000643B2"/>
    <w:rsid w:val="00065E80"/>
    <w:rsid w:val="0007022C"/>
    <w:rsid w:val="00071DE6"/>
    <w:rsid w:val="000754E3"/>
    <w:rsid w:val="00077439"/>
    <w:rsid w:val="000774B8"/>
    <w:rsid w:val="00082362"/>
    <w:rsid w:val="0008328D"/>
    <w:rsid w:val="00090C58"/>
    <w:rsid w:val="000920CF"/>
    <w:rsid w:val="0009387A"/>
    <w:rsid w:val="0009387B"/>
    <w:rsid w:val="00095E97"/>
    <w:rsid w:val="000963C6"/>
    <w:rsid w:val="0009762F"/>
    <w:rsid w:val="000A31B9"/>
    <w:rsid w:val="000A3330"/>
    <w:rsid w:val="000A3D63"/>
    <w:rsid w:val="000A683A"/>
    <w:rsid w:val="000A683E"/>
    <w:rsid w:val="000B158F"/>
    <w:rsid w:val="000B19B9"/>
    <w:rsid w:val="000B241D"/>
    <w:rsid w:val="000B2DCD"/>
    <w:rsid w:val="000C2889"/>
    <w:rsid w:val="000D0152"/>
    <w:rsid w:val="000D0334"/>
    <w:rsid w:val="000D25D7"/>
    <w:rsid w:val="000D2CFF"/>
    <w:rsid w:val="000D3B29"/>
    <w:rsid w:val="000E06F4"/>
    <w:rsid w:val="000E0F63"/>
    <w:rsid w:val="000E4CE4"/>
    <w:rsid w:val="000E694F"/>
    <w:rsid w:val="000E6DD5"/>
    <w:rsid w:val="000F1385"/>
    <w:rsid w:val="000F6486"/>
    <w:rsid w:val="000F669F"/>
    <w:rsid w:val="001063B3"/>
    <w:rsid w:val="00107ACA"/>
    <w:rsid w:val="001114A9"/>
    <w:rsid w:val="00111979"/>
    <w:rsid w:val="00115788"/>
    <w:rsid w:val="00116537"/>
    <w:rsid w:val="00120766"/>
    <w:rsid w:val="00121EA1"/>
    <w:rsid w:val="001240BD"/>
    <w:rsid w:val="00125105"/>
    <w:rsid w:val="00125BC7"/>
    <w:rsid w:val="00127233"/>
    <w:rsid w:val="00131D34"/>
    <w:rsid w:val="00136D0B"/>
    <w:rsid w:val="00143E81"/>
    <w:rsid w:val="00143FD9"/>
    <w:rsid w:val="00145047"/>
    <w:rsid w:val="00146C57"/>
    <w:rsid w:val="00150565"/>
    <w:rsid w:val="00160D5C"/>
    <w:rsid w:val="0016332F"/>
    <w:rsid w:val="0016458A"/>
    <w:rsid w:val="001717E9"/>
    <w:rsid w:val="0017238A"/>
    <w:rsid w:val="00177DC9"/>
    <w:rsid w:val="00180A30"/>
    <w:rsid w:val="0018159B"/>
    <w:rsid w:val="00181CE6"/>
    <w:rsid w:val="00185EE9"/>
    <w:rsid w:val="00187F79"/>
    <w:rsid w:val="00195992"/>
    <w:rsid w:val="00196153"/>
    <w:rsid w:val="00197274"/>
    <w:rsid w:val="001A237A"/>
    <w:rsid w:val="001A26CF"/>
    <w:rsid w:val="001A2919"/>
    <w:rsid w:val="001B2CFE"/>
    <w:rsid w:val="001C222E"/>
    <w:rsid w:val="001C22F9"/>
    <w:rsid w:val="001D1C29"/>
    <w:rsid w:val="001D7889"/>
    <w:rsid w:val="001E3C06"/>
    <w:rsid w:val="001E4177"/>
    <w:rsid w:val="001F4EFD"/>
    <w:rsid w:val="001F5E13"/>
    <w:rsid w:val="001F6D11"/>
    <w:rsid w:val="001F7DC6"/>
    <w:rsid w:val="00202886"/>
    <w:rsid w:val="0020603D"/>
    <w:rsid w:val="00206A83"/>
    <w:rsid w:val="002106CF"/>
    <w:rsid w:val="00213BC6"/>
    <w:rsid w:val="00215B75"/>
    <w:rsid w:val="00215CEF"/>
    <w:rsid w:val="00217618"/>
    <w:rsid w:val="00217A08"/>
    <w:rsid w:val="00220B77"/>
    <w:rsid w:val="00220C9C"/>
    <w:rsid w:val="00221D27"/>
    <w:rsid w:val="00227C89"/>
    <w:rsid w:val="00233D5B"/>
    <w:rsid w:val="00234E14"/>
    <w:rsid w:val="00237233"/>
    <w:rsid w:val="002421BB"/>
    <w:rsid w:val="002442AC"/>
    <w:rsid w:val="00246A81"/>
    <w:rsid w:val="00251A5F"/>
    <w:rsid w:val="002571B0"/>
    <w:rsid w:val="0025796E"/>
    <w:rsid w:val="002603E5"/>
    <w:rsid w:val="00260FD9"/>
    <w:rsid w:val="002638B2"/>
    <w:rsid w:val="002660F2"/>
    <w:rsid w:val="002664BB"/>
    <w:rsid w:val="00270036"/>
    <w:rsid w:val="002707A2"/>
    <w:rsid w:val="00270FB6"/>
    <w:rsid w:val="002715B9"/>
    <w:rsid w:val="00274354"/>
    <w:rsid w:val="00276223"/>
    <w:rsid w:val="00276573"/>
    <w:rsid w:val="00281E93"/>
    <w:rsid w:val="00282584"/>
    <w:rsid w:val="002835A6"/>
    <w:rsid w:val="00284161"/>
    <w:rsid w:val="002844ED"/>
    <w:rsid w:val="00291851"/>
    <w:rsid w:val="002951A0"/>
    <w:rsid w:val="002962BC"/>
    <w:rsid w:val="002A093D"/>
    <w:rsid w:val="002A0DC4"/>
    <w:rsid w:val="002A0DD0"/>
    <w:rsid w:val="002A3450"/>
    <w:rsid w:val="002A49AC"/>
    <w:rsid w:val="002A64FD"/>
    <w:rsid w:val="002A6BBF"/>
    <w:rsid w:val="002B1A10"/>
    <w:rsid w:val="002B1E57"/>
    <w:rsid w:val="002B1F7F"/>
    <w:rsid w:val="002B290B"/>
    <w:rsid w:val="002B631F"/>
    <w:rsid w:val="002C110E"/>
    <w:rsid w:val="002C379A"/>
    <w:rsid w:val="002C765E"/>
    <w:rsid w:val="002C7A84"/>
    <w:rsid w:val="002D13A1"/>
    <w:rsid w:val="002D19BE"/>
    <w:rsid w:val="002D1E42"/>
    <w:rsid w:val="002D3F0D"/>
    <w:rsid w:val="002E1D98"/>
    <w:rsid w:val="002E2C3F"/>
    <w:rsid w:val="002E2F4F"/>
    <w:rsid w:val="002E4FD9"/>
    <w:rsid w:val="002E6F15"/>
    <w:rsid w:val="002E7EA1"/>
    <w:rsid w:val="002F13FD"/>
    <w:rsid w:val="002F6C42"/>
    <w:rsid w:val="00303544"/>
    <w:rsid w:val="003039C1"/>
    <w:rsid w:val="00310DBE"/>
    <w:rsid w:val="0031182E"/>
    <w:rsid w:val="0031430F"/>
    <w:rsid w:val="0031479C"/>
    <w:rsid w:val="00320BBD"/>
    <w:rsid w:val="00322A85"/>
    <w:rsid w:val="00324168"/>
    <w:rsid w:val="0033032A"/>
    <w:rsid w:val="003330D3"/>
    <w:rsid w:val="0033498F"/>
    <w:rsid w:val="00334C6A"/>
    <w:rsid w:val="00336C05"/>
    <w:rsid w:val="00337F01"/>
    <w:rsid w:val="00342675"/>
    <w:rsid w:val="00343512"/>
    <w:rsid w:val="003448F4"/>
    <w:rsid w:val="00345330"/>
    <w:rsid w:val="00347102"/>
    <w:rsid w:val="003528DF"/>
    <w:rsid w:val="00352C12"/>
    <w:rsid w:val="00354BCA"/>
    <w:rsid w:val="00354F33"/>
    <w:rsid w:val="00360631"/>
    <w:rsid w:val="00361261"/>
    <w:rsid w:val="0036594E"/>
    <w:rsid w:val="003665EE"/>
    <w:rsid w:val="0037010E"/>
    <w:rsid w:val="003734F4"/>
    <w:rsid w:val="00374F5E"/>
    <w:rsid w:val="00377E2D"/>
    <w:rsid w:val="00377E3E"/>
    <w:rsid w:val="003815E8"/>
    <w:rsid w:val="003826F4"/>
    <w:rsid w:val="00387C3F"/>
    <w:rsid w:val="003906F8"/>
    <w:rsid w:val="00392A49"/>
    <w:rsid w:val="003A26D1"/>
    <w:rsid w:val="003A3B30"/>
    <w:rsid w:val="003A779E"/>
    <w:rsid w:val="003B005A"/>
    <w:rsid w:val="003C1BFE"/>
    <w:rsid w:val="003C1C0E"/>
    <w:rsid w:val="003C3FA5"/>
    <w:rsid w:val="003C5109"/>
    <w:rsid w:val="003D0B0E"/>
    <w:rsid w:val="003D0F4D"/>
    <w:rsid w:val="003D5B0D"/>
    <w:rsid w:val="003E0499"/>
    <w:rsid w:val="003E40F2"/>
    <w:rsid w:val="003F3941"/>
    <w:rsid w:val="003F4BAF"/>
    <w:rsid w:val="00400676"/>
    <w:rsid w:val="004008A9"/>
    <w:rsid w:val="00405A3E"/>
    <w:rsid w:val="00406575"/>
    <w:rsid w:val="00407C75"/>
    <w:rsid w:val="00410906"/>
    <w:rsid w:val="0041655A"/>
    <w:rsid w:val="0041694B"/>
    <w:rsid w:val="00420B46"/>
    <w:rsid w:val="00421BDD"/>
    <w:rsid w:val="0042578E"/>
    <w:rsid w:val="00426FD7"/>
    <w:rsid w:val="0042722E"/>
    <w:rsid w:val="00427DA0"/>
    <w:rsid w:val="00440391"/>
    <w:rsid w:val="00441FCF"/>
    <w:rsid w:val="00442C7F"/>
    <w:rsid w:val="0044528D"/>
    <w:rsid w:val="00450920"/>
    <w:rsid w:val="00454D48"/>
    <w:rsid w:val="004554F9"/>
    <w:rsid w:val="00456A82"/>
    <w:rsid w:val="0046004D"/>
    <w:rsid w:val="004633DE"/>
    <w:rsid w:val="00465E71"/>
    <w:rsid w:val="004712E0"/>
    <w:rsid w:val="004734BD"/>
    <w:rsid w:val="00474931"/>
    <w:rsid w:val="00482608"/>
    <w:rsid w:val="00483749"/>
    <w:rsid w:val="00484809"/>
    <w:rsid w:val="00484BB1"/>
    <w:rsid w:val="004A0980"/>
    <w:rsid w:val="004A0B8B"/>
    <w:rsid w:val="004A1847"/>
    <w:rsid w:val="004A305D"/>
    <w:rsid w:val="004A3312"/>
    <w:rsid w:val="004A6D9B"/>
    <w:rsid w:val="004B53F1"/>
    <w:rsid w:val="004B703F"/>
    <w:rsid w:val="004B740F"/>
    <w:rsid w:val="004C0726"/>
    <w:rsid w:val="004C4B37"/>
    <w:rsid w:val="004C7BC2"/>
    <w:rsid w:val="004D026D"/>
    <w:rsid w:val="004D1E3A"/>
    <w:rsid w:val="004D3A9E"/>
    <w:rsid w:val="004D46AB"/>
    <w:rsid w:val="004E221E"/>
    <w:rsid w:val="004E2892"/>
    <w:rsid w:val="004E409A"/>
    <w:rsid w:val="004E44E6"/>
    <w:rsid w:val="004E4C0B"/>
    <w:rsid w:val="004E505B"/>
    <w:rsid w:val="004F21C4"/>
    <w:rsid w:val="004F2B72"/>
    <w:rsid w:val="004F3012"/>
    <w:rsid w:val="004F5559"/>
    <w:rsid w:val="004F5A86"/>
    <w:rsid w:val="004F685F"/>
    <w:rsid w:val="004F7EC9"/>
    <w:rsid w:val="0050343D"/>
    <w:rsid w:val="00504CBE"/>
    <w:rsid w:val="00514598"/>
    <w:rsid w:val="00515557"/>
    <w:rsid w:val="00515E1E"/>
    <w:rsid w:val="005163B5"/>
    <w:rsid w:val="00521374"/>
    <w:rsid w:val="00523453"/>
    <w:rsid w:val="0052543A"/>
    <w:rsid w:val="0052785C"/>
    <w:rsid w:val="00533E1B"/>
    <w:rsid w:val="00540C2D"/>
    <w:rsid w:val="00541793"/>
    <w:rsid w:val="00552502"/>
    <w:rsid w:val="005566E8"/>
    <w:rsid w:val="00560CB5"/>
    <w:rsid w:val="00561F85"/>
    <w:rsid w:val="00564F8B"/>
    <w:rsid w:val="00574122"/>
    <w:rsid w:val="00574867"/>
    <w:rsid w:val="00576927"/>
    <w:rsid w:val="0057702A"/>
    <w:rsid w:val="00577D09"/>
    <w:rsid w:val="0058087F"/>
    <w:rsid w:val="00581AA1"/>
    <w:rsid w:val="00585E4C"/>
    <w:rsid w:val="00591460"/>
    <w:rsid w:val="00592628"/>
    <w:rsid w:val="00597C75"/>
    <w:rsid w:val="005A0868"/>
    <w:rsid w:val="005A0CFB"/>
    <w:rsid w:val="005A282F"/>
    <w:rsid w:val="005A2AC9"/>
    <w:rsid w:val="005A2D71"/>
    <w:rsid w:val="005A55D5"/>
    <w:rsid w:val="005B2C3C"/>
    <w:rsid w:val="005B2CCE"/>
    <w:rsid w:val="005B496D"/>
    <w:rsid w:val="005B58C1"/>
    <w:rsid w:val="005B6033"/>
    <w:rsid w:val="005C0227"/>
    <w:rsid w:val="005C053C"/>
    <w:rsid w:val="005C3777"/>
    <w:rsid w:val="005C5CDC"/>
    <w:rsid w:val="005C6939"/>
    <w:rsid w:val="005C7629"/>
    <w:rsid w:val="005D17C8"/>
    <w:rsid w:val="005D2649"/>
    <w:rsid w:val="005D2B2B"/>
    <w:rsid w:val="005D476C"/>
    <w:rsid w:val="005D4E83"/>
    <w:rsid w:val="005D5F91"/>
    <w:rsid w:val="005D75E8"/>
    <w:rsid w:val="005D7B25"/>
    <w:rsid w:val="005F0EE5"/>
    <w:rsid w:val="005F183C"/>
    <w:rsid w:val="005F6C53"/>
    <w:rsid w:val="005F7C43"/>
    <w:rsid w:val="005F7CC8"/>
    <w:rsid w:val="00601A06"/>
    <w:rsid w:val="00601D76"/>
    <w:rsid w:val="00605A00"/>
    <w:rsid w:val="00610812"/>
    <w:rsid w:val="00612CE7"/>
    <w:rsid w:val="006149EF"/>
    <w:rsid w:val="0061763A"/>
    <w:rsid w:val="006219F8"/>
    <w:rsid w:val="0063165E"/>
    <w:rsid w:val="0063166A"/>
    <w:rsid w:val="006322EC"/>
    <w:rsid w:val="00632C08"/>
    <w:rsid w:val="00636BF8"/>
    <w:rsid w:val="00642347"/>
    <w:rsid w:val="00650FF7"/>
    <w:rsid w:val="00652AB3"/>
    <w:rsid w:val="006569FB"/>
    <w:rsid w:val="00664B4D"/>
    <w:rsid w:val="00665D70"/>
    <w:rsid w:val="00667199"/>
    <w:rsid w:val="00671DAC"/>
    <w:rsid w:val="006747C7"/>
    <w:rsid w:val="00675E5F"/>
    <w:rsid w:val="006827AC"/>
    <w:rsid w:val="006859A3"/>
    <w:rsid w:val="006900D9"/>
    <w:rsid w:val="006A0008"/>
    <w:rsid w:val="006A10DF"/>
    <w:rsid w:val="006A3147"/>
    <w:rsid w:val="006A7312"/>
    <w:rsid w:val="006C0240"/>
    <w:rsid w:val="006C1E81"/>
    <w:rsid w:val="006C5595"/>
    <w:rsid w:val="006D085A"/>
    <w:rsid w:val="006D12F8"/>
    <w:rsid w:val="006D1F00"/>
    <w:rsid w:val="006D465A"/>
    <w:rsid w:val="006E1ADC"/>
    <w:rsid w:val="006E480D"/>
    <w:rsid w:val="006F0D40"/>
    <w:rsid w:val="006F2501"/>
    <w:rsid w:val="006F3A51"/>
    <w:rsid w:val="006F7C51"/>
    <w:rsid w:val="00701B1A"/>
    <w:rsid w:val="00703916"/>
    <w:rsid w:val="00704D9B"/>
    <w:rsid w:val="00705E5F"/>
    <w:rsid w:val="00706C16"/>
    <w:rsid w:val="00711C85"/>
    <w:rsid w:val="0071287D"/>
    <w:rsid w:val="0071458F"/>
    <w:rsid w:val="0071627C"/>
    <w:rsid w:val="00717903"/>
    <w:rsid w:val="00723A7F"/>
    <w:rsid w:val="00725BB1"/>
    <w:rsid w:val="007312C3"/>
    <w:rsid w:val="00734E76"/>
    <w:rsid w:val="00737C53"/>
    <w:rsid w:val="00737DFA"/>
    <w:rsid w:val="00737E63"/>
    <w:rsid w:val="0074034F"/>
    <w:rsid w:val="0074688A"/>
    <w:rsid w:val="00751A8E"/>
    <w:rsid w:val="00752A44"/>
    <w:rsid w:val="0075663D"/>
    <w:rsid w:val="00756841"/>
    <w:rsid w:val="00762AA9"/>
    <w:rsid w:val="007649AB"/>
    <w:rsid w:val="00770AC9"/>
    <w:rsid w:val="00771D0C"/>
    <w:rsid w:val="007833AC"/>
    <w:rsid w:val="0078358E"/>
    <w:rsid w:val="00784D58"/>
    <w:rsid w:val="0078648E"/>
    <w:rsid w:val="00786FBF"/>
    <w:rsid w:val="00790AB7"/>
    <w:rsid w:val="00791769"/>
    <w:rsid w:val="007922D3"/>
    <w:rsid w:val="00796340"/>
    <w:rsid w:val="007A23EA"/>
    <w:rsid w:val="007A5189"/>
    <w:rsid w:val="007A6830"/>
    <w:rsid w:val="007B0D88"/>
    <w:rsid w:val="007B268C"/>
    <w:rsid w:val="007B7171"/>
    <w:rsid w:val="007B72A7"/>
    <w:rsid w:val="007B7D02"/>
    <w:rsid w:val="007C0C0F"/>
    <w:rsid w:val="007C1E3A"/>
    <w:rsid w:val="007C3DC2"/>
    <w:rsid w:val="007D0457"/>
    <w:rsid w:val="007D1670"/>
    <w:rsid w:val="007D387B"/>
    <w:rsid w:val="007D43C9"/>
    <w:rsid w:val="007D483A"/>
    <w:rsid w:val="007D7461"/>
    <w:rsid w:val="007E5497"/>
    <w:rsid w:val="007F073F"/>
    <w:rsid w:val="007F1B26"/>
    <w:rsid w:val="007F28CA"/>
    <w:rsid w:val="007F52A4"/>
    <w:rsid w:val="007F60FB"/>
    <w:rsid w:val="007F7163"/>
    <w:rsid w:val="007F7B94"/>
    <w:rsid w:val="00804981"/>
    <w:rsid w:val="0080567E"/>
    <w:rsid w:val="00806F5F"/>
    <w:rsid w:val="00807836"/>
    <w:rsid w:val="008163D7"/>
    <w:rsid w:val="00820278"/>
    <w:rsid w:val="008202D9"/>
    <w:rsid w:val="008232D6"/>
    <w:rsid w:val="00833441"/>
    <w:rsid w:val="00834554"/>
    <w:rsid w:val="00834B31"/>
    <w:rsid w:val="00835438"/>
    <w:rsid w:val="00840ADC"/>
    <w:rsid w:val="00843BF7"/>
    <w:rsid w:val="008449B3"/>
    <w:rsid w:val="00846276"/>
    <w:rsid w:val="00850E23"/>
    <w:rsid w:val="00851137"/>
    <w:rsid w:val="00853978"/>
    <w:rsid w:val="0085432F"/>
    <w:rsid w:val="00856B1B"/>
    <w:rsid w:val="00862224"/>
    <w:rsid w:val="00864209"/>
    <w:rsid w:val="00866586"/>
    <w:rsid w:val="0087325B"/>
    <w:rsid w:val="00881ABA"/>
    <w:rsid w:val="008823A8"/>
    <w:rsid w:val="008843B6"/>
    <w:rsid w:val="00886C89"/>
    <w:rsid w:val="0088779F"/>
    <w:rsid w:val="00891928"/>
    <w:rsid w:val="00894B8B"/>
    <w:rsid w:val="0089556C"/>
    <w:rsid w:val="008A00A4"/>
    <w:rsid w:val="008A446D"/>
    <w:rsid w:val="008A7A64"/>
    <w:rsid w:val="008A7F08"/>
    <w:rsid w:val="008B2F0E"/>
    <w:rsid w:val="008B37D7"/>
    <w:rsid w:val="008B5A2E"/>
    <w:rsid w:val="008C7645"/>
    <w:rsid w:val="008D180B"/>
    <w:rsid w:val="008D7227"/>
    <w:rsid w:val="008E1F92"/>
    <w:rsid w:val="008E7333"/>
    <w:rsid w:val="008E7379"/>
    <w:rsid w:val="008E7B09"/>
    <w:rsid w:val="008E7D98"/>
    <w:rsid w:val="008F0E69"/>
    <w:rsid w:val="008F0EA7"/>
    <w:rsid w:val="008F7BB9"/>
    <w:rsid w:val="009029F9"/>
    <w:rsid w:val="00904692"/>
    <w:rsid w:val="00910097"/>
    <w:rsid w:val="00911C7C"/>
    <w:rsid w:val="00913DBA"/>
    <w:rsid w:val="0091561E"/>
    <w:rsid w:val="00923EEF"/>
    <w:rsid w:val="00924FEE"/>
    <w:rsid w:val="00931BB5"/>
    <w:rsid w:val="00935BFB"/>
    <w:rsid w:val="0093793E"/>
    <w:rsid w:val="009411F5"/>
    <w:rsid w:val="009419F9"/>
    <w:rsid w:val="00947DC3"/>
    <w:rsid w:val="00950E43"/>
    <w:rsid w:val="00953AA4"/>
    <w:rsid w:val="00955305"/>
    <w:rsid w:val="00956664"/>
    <w:rsid w:val="0095685E"/>
    <w:rsid w:val="00956E12"/>
    <w:rsid w:val="009572D9"/>
    <w:rsid w:val="009600D2"/>
    <w:rsid w:val="00961409"/>
    <w:rsid w:val="00961B09"/>
    <w:rsid w:val="00962300"/>
    <w:rsid w:val="00963186"/>
    <w:rsid w:val="00965334"/>
    <w:rsid w:val="00967DCC"/>
    <w:rsid w:val="0097093E"/>
    <w:rsid w:val="00972768"/>
    <w:rsid w:val="00976025"/>
    <w:rsid w:val="009800BE"/>
    <w:rsid w:val="00982BD4"/>
    <w:rsid w:val="00982E41"/>
    <w:rsid w:val="00984649"/>
    <w:rsid w:val="009858BE"/>
    <w:rsid w:val="00986BA8"/>
    <w:rsid w:val="00994041"/>
    <w:rsid w:val="009A0DFA"/>
    <w:rsid w:val="009A3C2C"/>
    <w:rsid w:val="009A4A40"/>
    <w:rsid w:val="009B0A7A"/>
    <w:rsid w:val="009B2D26"/>
    <w:rsid w:val="009B780F"/>
    <w:rsid w:val="009C00CC"/>
    <w:rsid w:val="009C0C09"/>
    <w:rsid w:val="009C2DD0"/>
    <w:rsid w:val="009C3AC7"/>
    <w:rsid w:val="009C699C"/>
    <w:rsid w:val="009C71FA"/>
    <w:rsid w:val="009C72E7"/>
    <w:rsid w:val="009D0555"/>
    <w:rsid w:val="009D3058"/>
    <w:rsid w:val="009D3A11"/>
    <w:rsid w:val="009D44C4"/>
    <w:rsid w:val="009D67FD"/>
    <w:rsid w:val="009E5A30"/>
    <w:rsid w:val="009E7C05"/>
    <w:rsid w:val="009F3831"/>
    <w:rsid w:val="009F3832"/>
    <w:rsid w:val="009F3A13"/>
    <w:rsid w:val="009F4AB2"/>
    <w:rsid w:val="009F73F7"/>
    <w:rsid w:val="00A01C7F"/>
    <w:rsid w:val="00A02465"/>
    <w:rsid w:val="00A03415"/>
    <w:rsid w:val="00A04A81"/>
    <w:rsid w:val="00A122D3"/>
    <w:rsid w:val="00A14D3D"/>
    <w:rsid w:val="00A17F13"/>
    <w:rsid w:val="00A20739"/>
    <w:rsid w:val="00A211D0"/>
    <w:rsid w:val="00A23361"/>
    <w:rsid w:val="00A24433"/>
    <w:rsid w:val="00A2443A"/>
    <w:rsid w:val="00A246FA"/>
    <w:rsid w:val="00A332DD"/>
    <w:rsid w:val="00A339A9"/>
    <w:rsid w:val="00A33C78"/>
    <w:rsid w:val="00A34630"/>
    <w:rsid w:val="00A34B38"/>
    <w:rsid w:val="00A34D87"/>
    <w:rsid w:val="00A35538"/>
    <w:rsid w:val="00A37BC4"/>
    <w:rsid w:val="00A42050"/>
    <w:rsid w:val="00A43292"/>
    <w:rsid w:val="00A445C0"/>
    <w:rsid w:val="00A46619"/>
    <w:rsid w:val="00A466EE"/>
    <w:rsid w:val="00A50E16"/>
    <w:rsid w:val="00A56FCA"/>
    <w:rsid w:val="00A6004A"/>
    <w:rsid w:val="00A613C2"/>
    <w:rsid w:val="00A617AC"/>
    <w:rsid w:val="00A63222"/>
    <w:rsid w:val="00A74DE6"/>
    <w:rsid w:val="00A8086A"/>
    <w:rsid w:val="00A80F32"/>
    <w:rsid w:val="00A8160E"/>
    <w:rsid w:val="00A81CDB"/>
    <w:rsid w:val="00A85D57"/>
    <w:rsid w:val="00A87F7D"/>
    <w:rsid w:val="00A9244C"/>
    <w:rsid w:val="00A94233"/>
    <w:rsid w:val="00A94D14"/>
    <w:rsid w:val="00AA5784"/>
    <w:rsid w:val="00AB0ADB"/>
    <w:rsid w:val="00AB3FD1"/>
    <w:rsid w:val="00AB6C82"/>
    <w:rsid w:val="00AC0EAB"/>
    <w:rsid w:val="00AC1435"/>
    <w:rsid w:val="00AC1F8F"/>
    <w:rsid w:val="00AC4701"/>
    <w:rsid w:val="00AC49A2"/>
    <w:rsid w:val="00AC6FA5"/>
    <w:rsid w:val="00AD6F18"/>
    <w:rsid w:val="00AD73E2"/>
    <w:rsid w:val="00AE2631"/>
    <w:rsid w:val="00AE3418"/>
    <w:rsid w:val="00AF1BEC"/>
    <w:rsid w:val="00B009B8"/>
    <w:rsid w:val="00B01B1A"/>
    <w:rsid w:val="00B0222E"/>
    <w:rsid w:val="00B052CF"/>
    <w:rsid w:val="00B14E03"/>
    <w:rsid w:val="00B24457"/>
    <w:rsid w:val="00B26611"/>
    <w:rsid w:val="00B2672B"/>
    <w:rsid w:val="00B26B98"/>
    <w:rsid w:val="00B31A3F"/>
    <w:rsid w:val="00B35ADC"/>
    <w:rsid w:val="00B37C24"/>
    <w:rsid w:val="00B405F1"/>
    <w:rsid w:val="00B40FBC"/>
    <w:rsid w:val="00B41B81"/>
    <w:rsid w:val="00B421F5"/>
    <w:rsid w:val="00B46F27"/>
    <w:rsid w:val="00B47FD7"/>
    <w:rsid w:val="00B51F75"/>
    <w:rsid w:val="00B52CDB"/>
    <w:rsid w:val="00B53E27"/>
    <w:rsid w:val="00B55136"/>
    <w:rsid w:val="00B558AF"/>
    <w:rsid w:val="00B6105C"/>
    <w:rsid w:val="00B615BA"/>
    <w:rsid w:val="00B622E7"/>
    <w:rsid w:val="00B62D8B"/>
    <w:rsid w:val="00B71DBA"/>
    <w:rsid w:val="00B72CD3"/>
    <w:rsid w:val="00B72FFF"/>
    <w:rsid w:val="00B76CEB"/>
    <w:rsid w:val="00B8257D"/>
    <w:rsid w:val="00B828EF"/>
    <w:rsid w:val="00B82B8B"/>
    <w:rsid w:val="00B86982"/>
    <w:rsid w:val="00B86FE2"/>
    <w:rsid w:val="00B878ED"/>
    <w:rsid w:val="00B87F69"/>
    <w:rsid w:val="00B91186"/>
    <w:rsid w:val="00B93423"/>
    <w:rsid w:val="00BA2EF4"/>
    <w:rsid w:val="00BC0036"/>
    <w:rsid w:val="00BC05A6"/>
    <w:rsid w:val="00BC3D36"/>
    <w:rsid w:val="00BC4B34"/>
    <w:rsid w:val="00BD279A"/>
    <w:rsid w:val="00BD7F72"/>
    <w:rsid w:val="00BE03BC"/>
    <w:rsid w:val="00BE0A18"/>
    <w:rsid w:val="00BE12F9"/>
    <w:rsid w:val="00BE2120"/>
    <w:rsid w:val="00BE2377"/>
    <w:rsid w:val="00BE7308"/>
    <w:rsid w:val="00BE7DBA"/>
    <w:rsid w:val="00BF0437"/>
    <w:rsid w:val="00BF1201"/>
    <w:rsid w:val="00BF1D4A"/>
    <w:rsid w:val="00BF230F"/>
    <w:rsid w:val="00BF714A"/>
    <w:rsid w:val="00C002E3"/>
    <w:rsid w:val="00C012CC"/>
    <w:rsid w:val="00C04FB3"/>
    <w:rsid w:val="00C05FE1"/>
    <w:rsid w:val="00C10179"/>
    <w:rsid w:val="00C147D0"/>
    <w:rsid w:val="00C159C1"/>
    <w:rsid w:val="00C16346"/>
    <w:rsid w:val="00C203C2"/>
    <w:rsid w:val="00C21B15"/>
    <w:rsid w:val="00C23C5E"/>
    <w:rsid w:val="00C27B8B"/>
    <w:rsid w:val="00C32523"/>
    <w:rsid w:val="00C330EB"/>
    <w:rsid w:val="00C371C9"/>
    <w:rsid w:val="00C40E9F"/>
    <w:rsid w:val="00C41481"/>
    <w:rsid w:val="00C42469"/>
    <w:rsid w:val="00C46D91"/>
    <w:rsid w:val="00C47A07"/>
    <w:rsid w:val="00C57281"/>
    <w:rsid w:val="00C65D65"/>
    <w:rsid w:val="00C67703"/>
    <w:rsid w:val="00C7173F"/>
    <w:rsid w:val="00C730B6"/>
    <w:rsid w:val="00C739E4"/>
    <w:rsid w:val="00C754BE"/>
    <w:rsid w:val="00C76466"/>
    <w:rsid w:val="00C76B1C"/>
    <w:rsid w:val="00C84561"/>
    <w:rsid w:val="00C915DD"/>
    <w:rsid w:val="00C91B94"/>
    <w:rsid w:val="00CA4A23"/>
    <w:rsid w:val="00CA6A9D"/>
    <w:rsid w:val="00CA7F6B"/>
    <w:rsid w:val="00CA7FB6"/>
    <w:rsid w:val="00CB6357"/>
    <w:rsid w:val="00CC008B"/>
    <w:rsid w:val="00CC0FA3"/>
    <w:rsid w:val="00CC1B26"/>
    <w:rsid w:val="00CC49F7"/>
    <w:rsid w:val="00CC54DB"/>
    <w:rsid w:val="00CC623B"/>
    <w:rsid w:val="00CD087D"/>
    <w:rsid w:val="00CD41CB"/>
    <w:rsid w:val="00CD5EE0"/>
    <w:rsid w:val="00CE509A"/>
    <w:rsid w:val="00CE5414"/>
    <w:rsid w:val="00CF1287"/>
    <w:rsid w:val="00CF7826"/>
    <w:rsid w:val="00D0157A"/>
    <w:rsid w:val="00D036D8"/>
    <w:rsid w:val="00D038ED"/>
    <w:rsid w:val="00D06D26"/>
    <w:rsid w:val="00D10B75"/>
    <w:rsid w:val="00D13351"/>
    <w:rsid w:val="00D13EA0"/>
    <w:rsid w:val="00D15E25"/>
    <w:rsid w:val="00D16D7E"/>
    <w:rsid w:val="00D20368"/>
    <w:rsid w:val="00D22361"/>
    <w:rsid w:val="00D22598"/>
    <w:rsid w:val="00D26924"/>
    <w:rsid w:val="00D3128C"/>
    <w:rsid w:val="00D413F6"/>
    <w:rsid w:val="00D4231B"/>
    <w:rsid w:val="00D423A2"/>
    <w:rsid w:val="00D520D8"/>
    <w:rsid w:val="00D52961"/>
    <w:rsid w:val="00D55048"/>
    <w:rsid w:val="00D55978"/>
    <w:rsid w:val="00D57FA4"/>
    <w:rsid w:val="00D62DE7"/>
    <w:rsid w:val="00D63AC2"/>
    <w:rsid w:val="00D665B4"/>
    <w:rsid w:val="00D67A5D"/>
    <w:rsid w:val="00D7383B"/>
    <w:rsid w:val="00D7609E"/>
    <w:rsid w:val="00D81A63"/>
    <w:rsid w:val="00D81D25"/>
    <w:rsid w:val="00D85C60"/>
    <w:rsid w:val="00D908FC"/>
    <w:rsid w:val="00D94C40"/>
    <w:rsid w:val="00DA231B"/>
    <w:rsid w:val="00DA23A0"/>
    <w:rsid w:val="00DA785D"/>
    <w:rsid w:val="00DA7F66"/>
    <w:rsid w:val="00DB186F"/>
    <w:rsid w:val="00DB322A"/>
    <w:rsid w:val="00DC39FC"/>
    <w:rsid w:val="00DC4385"/>
    <w:rsid w:val="00DC484F"/>
    <w:rsid w:val="00DC4C27"/>
    <w:rsid w:val="00DC51BC"/>
    <w:rsid w:val="00DC793F"/>
    <w:rsid w:val="00DE0D10"/>
    <w:rsid w:val="00DE4629"/>
    <w:rsid w:val="00DF11FD"/>
    <w:rsid w:val="00DF5254"/>
    <w:rsid w:val="00DF6AE7"/>
    <w:rsid w:val="00DF7BE3"/>
    <w:rsid w:val="00E12426"/>
    <w:rsid w:val="00E16408"/>
    <w:rsid w:val="00E1678E"/>
    <w:rsid w:val="00E20894"/>
    <w:rsid w:val="00E245AB"/>
    <w:rsid w:val="00E26239"/>
    <w:rsid w:val="00E2764C"/>
    <w:rsid w:val="00E27F2E"/>
    <w:rsid w:val="00E377A2"/>
    <w:rsid w:val="00E413EA"/>
    <w:rsid w:val="00E47F28"/>
    <w:rsid w:val="00E50AFE"/>
    <w:rsid w:val="00E52E49"/>
    <w:rsid w:val="00E577AC"/>
    <w:rsid w:val="00E578B6"/>
    <w:rsid w:val="00E61547"/>
    <w:rsid w:val="00E61702"/>
    <w:rsid w:val="00E658D4"/>
    <w:rsid w:val="00E744BA"/>
    <w:rsid w:val="00E75B66"/>
    <w:rsid w:val="00E75C92"/>
    <w:rsid w:val="00E761BC"/>
    <w:rsid w:val="00E76808"/>
    <w:rsid w:val="00E770CD"/>
    <w:rsid w:val="00E771DC"/>
    <w:rsid w:val="00E77478"/>
    <w:rsid w:val="00E77E1B"/>
    <w:rsid w:val="00E8013F"/>
    <w:rsid w:val="00E8071A"/>
    <w:rsid w:val="00E80C9F"/>
    <w:rsid w:val="00E847D2"/>
    <w:rsid w:val="00E85446"/>
    <w:rsid w:val="00E85AA8"/>
    <w:rsid w:val="00E870E5"/>
    <w:rsid w:val="00E8772A"/>
    <w:rsid w:val="00E90F6B"/>
    <w:rsid w:val="00E91079"/>
    <w:rsid w:val="00E92C27"/>
    <w:rsid w:val="00E92E10"/>
    <w:rsid w:val="00EA0E3D"/>
    <w:rsid w:val="00EA1CD8"/>
    <w:rsid w:val="00EA393B"/>
    <w:rsid w:val="00EA39A5"/>
    <w:rsid w:val="00EB185D"/>
    <w:rsid w:val="00EB2C4B"/>
    <w:rsid w:val="00EB7E00"/>
    <w:rsid w:val="00EC1A2C"/>
    <w:rsid w:val="00EC1FE1"/>
    <w:rsid w:val="00EC38A7"/>
    <w:rsid w:val="00ED042A"/>
    <w:rsid w:val="00ED0D4A"/>
    <w:rsid w:val="00ED2F67"/>
    <w:rsid w:val="00EE1AA8"/>
    <w:rsid w:val="00EE32A8"/>
    <w:rsid w:val="00EF26C3"/>
    <w:rsid w:val="00EF419E"/>
    <w:rsid w:val="00EF489F"/>
    <w:rsid w:val="00F07875"/>
    <w:rsid w:val="00F11213"/>
    <w:rsid w:val="00F11BAA"/>
    <w:rsid w:val="00F1445A"/>
    <w:rsid w:val="00F16977"/>
    <w:rsid w:val="00F177C1"/>
    <w:rsid w:val="00F23592"/>
    <w:rsid w:val="00F238F2"/>
    <w:rsid w:val="00F260AA"/>
    <w:rsid w:val="00F27B26"/>
    <w:rsid w:val="00F31EDC"/>
    <w:rsid w:val="00F34D02"/>
    <w:rsid w:val="00F34E84"/>
    <w:rsid w:val="00F40BAD"/>
    <w:rsid w:val="00F41EEE"/>
    <w:rsid w:val="00F462B3"/>
    <w:rsid w:val="00F47069"/>
    <w:rsid w:val="00F51119"/>
    <w:rsid w:val="00F5184B"/>
    <w:rsid w:val="00F5391F"/>
    <w:rsid w:val="00F55081"/>
    <w:rsid w:val="00F55168"/>
    <w:rsid w:val="00F5664F"/>
    <w:rsid w:val="00F626C4"/>
    <w:rsid w:val="00F643DF"/>
    <w:rsid w:val="00F64D9E"/>
    <w:rsid w:val="00F665D0"/>
    <w:rsid w:val="00F666C4"/>
    <w:rsid w:val="00F73DB7"/>
    <w:rsid w:val="00F7684C"/>
    <w:rsid w:val="00F76AFC"/>
    <w:rsid w:val="00F80CBE"/>
    <w:rsid w:val="00F85198"/>
    <w:rsid w:val="00F85A91"/>
    <w:rsid w:val="00F91268"/>
    <w:rsid w:val="00F939CB"/>
    <w:rsid w:val="00F9479C"/>
    <w:rsid w:val="00F965EE"/>
    <w:rsid w:val="00F97949"/>
    <w:rsid w:val="00FA0383"/>
    <w:rsid w:val="00FA0A8F"/>
    <w:rsid w:val="00FA1110"/>
    <w:rsid w:val="00FA358D"/>
    <w:rsid w:val="00FA47C0"/>
    <w:rsid w:val="00FB4425"/>
    <w:rsid w:val="00FB4EE0"/>
    <w:rsid w:val="00FB5615"/>
    <w:rsid w:val="00FB5DD1"/>
    <w:rsid w:val="00FB5F87"/>
    <w:rsid w:val="00FC07B5"/>
    <w:rsid w:val="00FC2B5D"/>
    <w:rsid w:val="00FD00E9"/>
    <w:rsid w:val="00FD03E3"/>
    <w:rsid w:val="00FD07E4"/>
    <w:rsid w:val="00FD0E1B"/>
    <w:rsid w:val="00FE122A"/>
    <w:rsid w:val="00FE20E6"/>
    <w:rsid w:val="00FE227D"/>
    <w:rsid w:val="00FE42B3"/>
    <w:rsid w:val="00FE5975"/>
    <w:rsid w:val="00FE7B77"/>
    <w:rsid w:val="00FF1187"/>
    <w:rsid w:val="00FF1449"/>
    <w:rsid w:val="00FF4218"/>
    <w:rsid w:val="00FF74EA"/>
    <w:rsid w:val="0FB71FC4"/>
    <w:rsid w:val="2832C13D"/>
    <w:rsid w:val="5CEADB7B"/>
  </w:rsids>
  <m:mathPr>
    <m:mathFont m:val="Cambria Math"/>
    <m:brkBin m:val="before"/>
    <m:brkBinSub m:val="--"/>
    <m:smallFrac m:val="0"/>
    <m:dispDef/>
    <m:lMargin m:val="0"/>
    <m:rMargin m:val="0"/>
    <m:defJc m:val="centerGroup"/>
    <m:wrapIndent m:val="1440"/>
    <m:intLim m:val="subSup"/>
    <m:naryLim m:val="undOvr"/>
  </m:mathPr>
  <w:themeFontLang w:val="es-CO"/>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279607BD"/>
  <w15:chartTrackingRefBased/>
  <w15:docId w15:val="{AA18BD11-F4B5-4A67-BA3F-63EFCCB41AF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s-CO"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qFormat="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D1F00"/>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Encabezado">
    <w:name w:val="header"/>
    <w:basedOn w:val="Normal"/>
    <w:link w:val="EncabezadoCar"/>
    <w:uiPriority w:val="99"/>
    <w:unhideWhenUsed/>
    <w:rsid w:val="004A1847"/>
    <w:pPr>
      <w:tabs>
        <w:tab w:val="center" w:pos="4419"/>
        <w:tab w:val="right" w:pos="8838"/>
      </w:tabs>
      <w:spacing w:after="0" w:line="240" w:lineRule="auto"/>
    </w:pPr>
  </w:style>
  <w:style w:type="character" w:customStyle="1" w:styleId="EncabezadoCar">
    <w:name w:val="Encabezado Car"/>
    <w:basedOn w:val="Fuentedeprrafopredeter"/>
    <w:link w:val="Encabezado"/>
    <w:uiPriority w:val="99"/>
    <w:rsid w:val="004A1847"/>
  </w:style>
  <w:style w:type="paragraph" w:styleId="Piedepgina">
    <w:name w:val="footer"/>
    <w:basedOn w:val="Normal"/>
    <w:link w:val="PiedepginaCar"/>
    <w:uiPriority w:val="99"/>
    <w:unhideWhenUsed/>
    <w:rsid w:val="004A1847"/>
    <w:pPr>
      <w:tabs>
        <w:tab w:val="center" w:pos="4419"/>
        <w:tab w:val="right" w:pos="8838"/>
      </w:tabs>
      <w:spacing w:after="0" w:line="240" w:lineRule="auto"/>
    </w:pPr>
  </w:style>
  <w:style w:type="character" w:customStyle="1" w:styleId="PiedepginaCar">
    <w:name w:val="Pie de página Car"/>
    <w:basedOn w:val="Fuentedeprrafopredeter"/>
    <w:link w:val="Piedepgina"/>
    <w:uiPriority w:val="99"/>
    <w:rsid w:val="004A1847"/>
  </w:style>
  <w:style w:type="paragraph" w:customStyle="1" w:styleId="Default">
    <w:name w:val="Default"/>
    <w:rsid w:val="006219F8"/>
    <w:pPr>
      <w:autoSpaceDE w:val="0"/>
      <w:autoSpaceDN w:val="0"/>
      <w:adjustRightInd w:val="0"/>
      <w:spacing w:after="0" w:line="240" w:lineRule="auto"/>
    </w:pPr>
    <w:rPr>
      <w:rFonts w:ascii="Arial" w:hAnsi="Arial" w:cs="Arial"/>
      <w:color w:val="000000"/>
      <w:sz w:val="24"/>
      <w:szCs w:val="24"/>
    </w:rPr>
  </w:style>
  <w:style w:type="character" w:customStyle="1" w:styleId="TextonotapieCar">
    <w:name w:val="Texto nota pie Car"/>
    <w:aliases w:val="Ref. de nota al pie1 Car,Texto de nota al pie Car,referencia nota al pie Car,Appel note de bas de page Car,Footnotes refss Car,Footnote number Car,BVI fnr Car,Footnote Text Char Char Char Char Char Car,Footnote reference Car,FA Fu Car"/>
    <w:basedOn w:val="Fuentedeprrafopredeter"/>
    <w:link w:val="Textonotapie"/>
    <w:uiPriority w:val="99"/>
    <w:qFormat/>
    <w:locked/>
    <w:rsid w:val="006219F8"/>
    <w:rPr>
      <w:sz w:val="20"/>
      <w:szCs w:val="20"/>
      <w:lang w:val="es-MX"/>
    </w:rPr>
  </w:style>
  <w:style w:type="paragraph" w:styleId="Textonotapie">
    <w:name w:val="footnote text"/>
    <w:aliases w:val="Ref. de nota al pie1,Texto de nota al pie,referencia nota al pie,Appel note de bas de page,Footnotes refss,Footnote number,BVI fnr,Footnote Text Char Char Char Char Char,Footnote Text Char Char Char Char,Footnote reference,FA Fu,ft,fn,Car"/>
    <w:basedOn w:val="Normal"/>
    <w:link w:val="TextonotapieCar"/>
    <w:uiPriority w:val="99"/>
    <w:unhideWhenUsed/>
    <w:qFormat/>
    <w:rsid w:val="006219F8"/>
    <w:pPr>
      <w:spacing w:after="0" w:line="240" w:lineRule="auto"/>
    </w:pPr>
    <w:rPr>
      <w:sz w:val="20"/>
      <w:szCs w:val="20"/>
      <w:lang w:val="es-MX"/>
    </w:rPr>
  </w:style>
  <w:style w:type="character" w:customStyle="1" w:styleId="TextonotapieCar1">
    <w:name w:val="Texto nota pie Car1"/>
    <w:basedOn w:val="Fuentedeprrafopredeter"/>
    <w:uiPriority w:val="99"/>
    <w:semiHidden/>
    <w:rsid w:val="006219F8"/>
    <w:rPr>
      <w:sz w:val="20"/>
      <w:szCs w:val="20"/>
    </w:rPr>
  </w:style>
  <w:style w:type="character" w:styleId="Refdenotaalpie">
    <w:name w:val="footnote reference"/>
    <w:aliases w:val="Ref. de nota al pie 2,Ref,de nota al pie,FC,Appel note de bas de p,f,4_G,16 Point,Superscript 6 Point,Texto nota al pie,Pie de Página,Texto de nota al pi,Nota de pie,Texto de nota al p,Footnote Reference Char3,Texto nota pie Car2,F,R"/>
    <w:basedOn w:val="Fuentedeprrafopredeter"/>
    <w:link w:val="Appelnotedebasde"/>
    <w:uiPriority w:val="99"/>
    <w:unhideWhenUsed/>
    <w:qFormat/>
    <w:rsid w:val="006219F8"/>
    <w:rPr>
      <w:vertAlign w:val="superscript"/>
    </w:rPr>
  </w:style>
  <w:style w:type="character" w:customStyle="1" w:styleId="normaltextrun">
    <w:name w:val="normaltextrun"/>
    <w:basedOn w:val="Fuentedeprrafopredeter"/>
    <w:rsid w:val="006219F8"/>
  </w:style>
  <w:style w:type="table" w:styleId="Tablaconcuadrcula">
    <w:name w:val="Table Grid"/>
    <w:basedOn w:val="Tablanormal"/>
    <w:uiPriority w:val="39"/>
    <w:qFormat/>
    <w:rsid w:val="006219F8"/>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Prrafodelista">
    <w:name w:val="List Paragraph"/>
    <w:aliases w:val="Fotografía,Párrafo de lista1,Bullet List,FooterText,numbered,Paragraphe de liste1,lp1,Scitum normal,HOJA,Bolita,Párrafo de lista4,BOLADEF,Párrafo de lista3,Párrafo de lista21,BOLA,Nivel 1 OS,Colorful List Accent 1,List Paragraph,Foot"/>
    <w:basedOn w:val="Normal"/>
    <w:link w:val="PrrafodelistaCar"/>
    <w:uiPriority w:val="34"/>
    <w:qFormat/>
    <w:rsid w:val="005566E8"/>
    <w:pPr>
      <w:ind w:left="720"/>
      <w:contextualSpacing/>
    </w:pPr>
    <w:rPr>
      <w:rFonts w:ascii="Geomanist Light" w:hAnsi="Geomanist Light"/>
      <w:lang w:val="es-ES"/>
    </w:rPr>
  </w:style>
  <w:style w:type="paragraph" w:styleId="Ttulo">
    <w:name w:val="Title"/>
    <w:basedOn w:val="Normal"/>
    <w:next w:val="Normal"/>
    <w:link w:val="TtuloCar"/>
    <w:uiPriority w:val="10"/>
    <w:qFormat/>
    <w:rsid w:val="005566E8"/>
    <w:pPr>
      <w:spacing w:after="0" w:line="240" w:lineRule="auto"/>
      <w:contextualSpacing/>
    </w:pPr>
    <w:rPr>
      <w:rFonts w:ascii="Geomanist" w:eastAsiaTheme="majorEastAsia" w:hAnsi="Geomanist" w:cstheme="majorBidi"/>
      <w:spacing w:val="-10"/>
      <w:kern w:val="28"/>
      <w:szCs w:val="56"/>
      <w:lang w:val="es-ES"/>
    </w:rPr>
  </w:style>
  <w:style w:type="character" w:customStyle="1" w:styleId="TtuloCar">
    <w:name w:val="Título Car"/>
    <w:basedOn w:val="Fuentedeprrafopredeter"/>
    <w:link w:val="Ttulo"/>
    <w:uiPriority w:val="10"/>
    <w:rsid w:val="005566E8"/>
    <w:rPr>
      <w:rFonts w:ascii="Geomanist" w:eastAsiaTheme="majorEastAsia" w:hAnsi="Geomanist" w:cstheme="majorBidi"/>
      <w:spacing w:val="-10"/>
      <w:kern w:val="28"/>
      <w:szCs w:val="56"/>
      <w:lang w:val="es-ES"/>
    </w:rPr>
  </w:style>
  <w:style w:type="character" w:customStyle="1" w:styleId="ui-provider">
    <w:name w:val="ui-provider"/>
    <w:basedOn w:val="Fuentedeprrafopredeter"/>
    <w:rsid w:val="00DA231B"/>
  </w:style>
  <w:style w:type="character" w:styleId="Hipervnculo">
    <w:name w:val="Hyperlink"/>
    <w:basedOn w:val="Fuentedeprrafopredeter"/>
    <w:uiPriority w:val="99"/>
    <w:unhideWhenUsed/>
    <w:rsid w:val="00125105"/>
    <w:rPr>
      <w:color w:val="0000FF"/>
      <w:u w:val="single"/>
    </w:rPr>
  </w:style>
  <w:style w:type="character" w:styleId="Hipervnculovisitado">
    <w:name w:val="FollowedHyperlink"/>
    <w:basedOn w:val="Fuentedeprrafopredeter"/>
    <w:uiPriority w:val="99"/>
    <w:semiHidden/>
    <w:unhideWhenUsed/>
    <w:rsid w:val="00125105"/>
    <w:rPr>
      <w:color w:val="954F72" w:themeColor="followedHyperlink"/>
      <w:u w:val="single"/>
    </w:rPr>
  </w:style>
  <w:style w:type="paragraph" w:customStyle="1" w:styleId="paragraph">
    <w:name w:val="paragraph"/>
    <w:basedOn w:val="Normal"/>
    <w:rsid w:val="00322A85"/>
    <w:pPr>
      <w:spacing w:before="100" w:beforeAutospacing="1" w:after="100" w:afterAutospacing="1" w:line="240" w:lineRule="auto"/>
    </w:pPr>
    <w:rPr>
      <w:rFonts w:ascii="Times New Roman" w:eastAsia="Times New Roman" w:hAnsi="Times New Roman" w:cs="Times New Roman"/>
      <w:sz w:val="24"/>
      <w:szCs w:val="24"/>
      <w:lang w:eastAsia="es-CO"/>
    </w:rPr>
  </w:style>
  <w:style w:type="character" w:customStyle="1" w:styleId="tabchar">
    <w:name w:val="tabchar"/>
    <w:basedOn w:val="Fuentedeprrafopredeter"/>
    <w:rsid w:val="00322A85"/>
  </w:style>
  <w:style w:type="character" w:customStyle="1" w:styleId="eop">
    <w:name w:val="eop"/>
    <w:basedOn w:val="Fuentedeprrafopredeter"/>
    <w:rsid w:val="00322A85"/>
  </w:style>
  <w:style w:type="character" w:customStyle="1" w:styleId="Mencinsinresolver1">
    <w:name w:val="Mención sin resolver1"/>
    <w:basedOn w:val="Fuentedeprrafopredeter"/>
    <w:uiPriority w:val="99"/>
    <w:semiHidden/>
    <w:unhideWhenUsed/>
    <w:rsid w:val="001F7DC6"/>
    <w:rPr>
      <w:color w:val="605E5C"/>
      <w:shd w:val="clear" w:color="auto" w:fill="E1DFDD"/>
    </w:rPr>
  </w:style>
  <w:style w:type="paragraph" w:styleId="NormalWeb">
    <w:name w:val="Normal (Web)"/>
    <w:basedOn w:val="Normal"/>
    <w:link w:val="NormalWebCar"/>
    <w:uiPriority w:val="99"/>
    <w:unhideWhenUsed/>
    <w:rsid w:val="00DF5254"/>
    <w:pPr>
      <w:spacing w:before="100" w:beforeAutospacing="1" w:after="100" w:afterAutospacing="1" w:line="240" w:lineRule="auto"/>
    </w:pPr>
    <w:rPr>
      <w:rFonts w:ascii="Times New Roman" w:eastAsia="Times New Roman" w:hAnsi="Times New Roman" w:cs="Times New Roman"/>
      <w:sz w:val="24"/>
      <w:szCs w:val="24"/>
      <w:lang w:eastAsia="es-CO"/>
    </w:rPr>
  </w:style>
  <w:style w:type="paragraph" w:customStyle="1" w:styleId="blanco">
    <w:name w:val="blanco"/>
    <w:basedOn w:val="Normal"/>
    <w:rsid w:val="00C76B1C"/>
    <w:pPr>
      <w:spacing w:before="100" w:beforeAutospacing="1" w:after="100" w:afterAutospacing="1" w:line="240" w:lineRule="auto"/>
    </w:pPr>
    <w:rPr>
      <w:rFonts w:ascii="Times New Roman" w:eastAsia="Times New Roman" w:hAnsi="Times New Roman" w:cs="Times New Roman"/>
      <w:sz w:val="24"/>
      <w:szCs w:val="24"/>
      <w:lang w:eastAsia="es-CO"/>
    </w:rPr>
  </w:style>
  <w:style w:type="paragraph" w:styleId="Revisin">
    <w:name w:val="Revision"/>
    <w:hidden/>
    <w:uiPriority w:val="99"/>
    <w:semiHidden/>
    <w:rsid w:val="009F3A13"/>
    <w:pPr>
      <w:spacing w:after="0" w:line="240" w:lineRule="auto"/>
    </w:pPr>
  </w:style>
  <w:style w:type="table" w:customStyle="1" w:styleId="Tablaconcuadrcula1">
    <w:name w:val="Tabla con cuadrícula1"/>
    <w:basedOn w:val="Tablanormal"/>
    <w:next w:val="Tablaconcuadrcula"/>
    <w:uiPriority w:val="39"/>
    <w:qFormat/>
    <w:rsid w:val="0008328D"/>
    <w:pPr>
      <w:spacing w:after="0" w:line="240" w:lineRule="auto"/>
    </w:pPr>
    <w:rPr>
      <w:rFonts w:ascii="Calibri" w:eastAsia="Calibri" w:hAnsi="Calibri" w:cs="Times New Roman"/>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Appelnotedebasde">
    <w:name w:val="Appel note de bas de..."/>
    <w:basedOn w:val="Normal"/>
    <w:link w:val="Refdenotaalpie"/>
    <w:uiPriority w:val="99"/>
    <w:rsid w:val="0008328D"/>
    <w:pPr>
      <w:spacing w:line="240" w:lineRule="exact"/>
    </w:pPr>
    <w:rPr>
      <w:vertAlign w:val="superscript"/>
    </w:rPr>
  </w:style>
  <w:style w:type="character" w:customStyle="1" w:styleId="PrrafodelistaCar">
    <w:name w:val="Párrafo de lista Car"/>
    <w:aliases w:val="Fotografía Car,Párrafo de lista1 Car,Bullet List Car,FooterText Car,numbered Car,Paragraphe de liste1 Car,lp1 Car,Scitum normal Car,HOJA Car,Bolita Car,Párrafo de lista4 Car,BOLADEF Car,Párrafo de lista3 Car,Párrafo de lista21 Car"/>
    <w:link w:val="Prrafodelista"/>
    <w:uiPriority w:val="34"/>
    <w:qFormat/>
    <w:locked/>
    <w:rsid w:val="0008328D"/>
    <w:rPr>
      <w:rFonts w:ascii="Geomanist Light" w:hAnsi="Geomanist Light"/>
      <w:lang w:val="es-ES"/>
    </w:rPr>
  </w:style>
  <w:style w:type="character" w:styleId="Textoennegrita">
    <w:name w:val="Strong"/>
    <w:basedOn w:val="Fuentedeprrafopredeter"/>
    <w:uiPriority w:val="22"/>
    <w:qFormat/>
    <w:rsid w:val="0008328D"/>
    <w:rPr>
      <w:b/>
      <w:bCs/>
    </w:rPr>
  </w:style>
  <w:style w:type="paragraph" w:customStyle="1" w:styleId="fn1">
    <w:name w:val="fn1"/>
    <w:basedOn w:val="Normal"/>
    <w:next w:val="Textonotapie"/>
    <w:uiPriority w:val="99"/>
    <w:unhideWhenUsed/>
    <w:qFormat/>
    <w:rsid w:val="004F3012"/>
    <w:pPr>
      <w:spacing w:after="0" w:line="240" w:lineRule="auto"/>
    </w:pPr>
    <w:rPr>
      <w:sz w:val="20"/>
      <w:szCs w:val="20"/>
      <w:lang w:val="es-MX"/>
    </w:rPr>
  </w:style>
  <w:style w:type="paragraph" w:styleId="Textoindependiente">
    <w:name w:val="Body Text"/>
    <w:basedOn w:val="Normal"/>
    <w:link w:val="TextoindependienteCar"/>
    <w:uiPriority w:val="1"/>
    <w:qFormat/>
    <w:rsid w:val="00FF74EA"/>
    <w:pPr>
      <w:widowControl w:val="0"/>
      <w:autoSpaceDE w:val="0"/>
      <w:autoSpaceDN w:val="0"/>
      <w:spacing w:after="0" w:line="240" w:lineRule="auto"/>
    </w:pPr>
    <w:rPr>
      <w:rFonts w:ascii="Arial" w:eastAsia="Arial" w:hAnsi="Arial" w:cs="Arial"/>
      <w:lang w:val="es-ES"/>
    </w:rPr>
  </w:style>
  <w:style w:type="character" w:customStyle="1" w:styleId="TextoindependienteCar">
    <w:name w:val="Texto independiente Car"/>
    <w:basedOn w:val="Fuentedeprrafopredeter"/>
    <w:link w:val="Textoindependiente"/>
    <w:uiPriority w:val="1"/>
    <w:rsid w:val="00FF74EA"/>
    <w:rPr>
      <w:rFonts w:ascii="Arial" w:eastAsia="Arial" w:hAnsi="Arial" w:cs="Arial"/>
      <w:lang w:val="es-ES"/>
    </w:rPr>
  </w:style>
  <w:style w:type="character" w:customStyle="1" w:styleId="NormalWebCar">
    <w:name w:val="Normal (Web) Car"/>
    <w:link w:val="NormalWeb"/>
    <w:uiPriority w:val="99"/>
    <w:locked/>
    <w:rsid w:val="00FF74EA"/>
    <w:rPr>
      <w:rFonts w:ascii="Times New Roman" w:eastAsia="Times New Roman" w:hAnsi="Times New Roman" w:cs="Times New Roman"/>
      <w:sz w:val="24"/>
      <w:szCs w:val="24"/>
      <w:lang w:eastAsia="es-CO"/>
    </w:rPr>
  </w:style>
  <w:style w:type="character" w:styleId="nfasis">
    <w:name w:val="Emphasis"/>
    <w:basedOn w:val="Fuentedeprrafopredeter"/>
    <w:uiPriority w:val="20"/>
    <w:qFormat/>
    <w:rsid w:val="00A24433"/>
    <w:rPr>
      <w:i/>
      <w:iCs/>
    </w:rPr>
  </w:style>
  <w:style w:type="character" w:styleId="Refdecomentario">
    <w:name w:val="annotation reference"/>
    <w:basedOn w:val="Fuentedeprrafopredeter"/>
    <w:uiPriority w:val="99"/>
    <w:semiHidden/>
    <w:unhideWhenUsed/>
    <w:rsid w:val="0052785C"/>
    <w:rPr>
      <w:sz w:val="16"/>
      <w:szCs w:val="16"/>
    </w:rPr>
  </w:style>
  <w:style w:type="paragraph" w:styleId="Textocomentario">
    <w:name w:val="annotation text"/>
    <w:basedOn w:val="Normal"/>
    <w:link w:val="TextocomentarioCar"/>
    <w:uiPriority w:val="99"/>
    <w:unhideWhenUsed/>
    <w:rsid w:val="0052785C"/>
    <w:pPr>
      <w:spacing w:line="240" w:lineRule="auto"/>
    </w:pPr>
    <w:rPr>
      <w:sz w:val="20"/>
      <w:szCs w:val="20"/>
    </w:rPr>
  </w:style>
  <w:style w:type="character" w:customStyle="1" w:styleId="TextocomentarioCar">
    <w:name w:val="Texto comentario Car"/>
    <w:basedOn w:val="Fuentedeprrafopredeter"/>
    <w:link w:val="Textocomentario"/>
    <w:uiPriority w:val="99"/>
    <w:rsid w:val="0052785C"/>
    <w:rPr>
      <w:sz w:val="20"/>
      <w:szCs w:val="20"/>
    </w:rPr>
  </w:style>
  <w:style w:type="paragraph" w:styleId="Asuntodelcomentario">
    <w:name w:val="annotation subject"/>
    <w:basedOn w:val="Textocomentario"/>
    <w:next w:val="Textocomentario"/>
    <w:link w:val="AsuntodelcomentarioCar"/>
    <w:uiPriority w:val="99"/>
    <w:semiHidden/>
    <w:unhideWhenUsed/>
    <w:rsid w:val="0052785C"/>
    <w:rPr>
      <w:b/>
      <w:bCs/>
    </w:rPr>
  </w:style>
  <w:style w:type="character" w:customStyle="1" w:styleId="AsuntodelcomentarioCar">
    <w:name w:val="Asunto del comentario Car"/>
    <w:basedOn w:val="TextocomentarioCar"/>
    <w:link w:val="Asuntodelcomentario"/>
    <w:uiPriority w:val="99"/>
    <w:semiHidden/>
    <w:rsid w:val="0052785C"/>
    <w:rPr>
      <w:b/>
      <w:bCs/>
      <w:sz w:val="20"/>
      <w:szCs w:val="20"/>
    </w:rPr>
  </w:style>
  <w:style w:type="paragraph" w:styleId="Textodeglobo">
    <w:name w:val="Balloon Text"/>
    <w:basedOn w:val="Normal"/>
    <w:link w:val="TextodegloboCar"/>
    <w:uiPriority w:val="99"/>
    <w:semiHidden/>
    <w:unhideWhenUsed/>
    <w:rsid w:val="00120766"/>
    <w:pPr>
      <w:spacing w:after="0" w:line="240" w:lineRule="auto"/>
    </w:pPr>
    <w:rPr>
      <w:rFonts w:ascii="Segoe UI" w:hAnsi="Segoe UI" w:cs="Segoe UI"/>
      <w:sz w:val="18"/>
      <w:szCs w:val="18"/>
    </w:rPr>
  </w:style>
  <w:style w:type="character" w:customStyle="1" w:styleId="TextodegloboCar">
    <w:name w:val="Texto de globo Car"/>
    <w:basedOn w:val="Fuentedeprrafopredeter"/>
    <w:link w:val="Textodeglobo"/>
    <w:uiPriority w:val="99"/>
    <w:semiHidden/>
    <w:rsid w:val="00120766"/>
    <w:rPr>
      <w:rFonts w:ascii="Segoe UI" w:hAnsi="Segoe UI" w:cs="Segoe UI"/>
      <w:sz w:val="18"/>
      <w:szCs w:val="18"/>
    </w:rPr>
  </w:style>
  <w:style w:type="paragraph" w:styleId="Subttulo">
    <w:name w:val="Subtitle"/>
    <w:basedOn w:val="Normal"/>
    <w:next w:val="Normal"/>
    <w:link w:val="SubttuloCar"/>
    <w:uiPriority w:val="11"/>
    <w:qFormat/>
    <w:rsid w:val="00B52CDB"/>
    <w:pPr>
      <w:numPr>
        <w:ilvl w:val="1"/>
      </w:numPr>
    </w:pPr>
    <w:rPr>
      <w:rFonts w:eastAsiaTheme="majorEastAsia" w:cstheme="majorBidi"/>
      <w:color w:val="595959" w:themeColor="text1" w:themeTint="A6"/>
      <w:spacing w:val="15"/>
      <w:sz w:val="28"/>
      <w:szCs w:val="28"/>
    </w:rPr>
  </w:style>
  <w:style w:type="character" w:customStyle="1" w:styleId="SubttuloCar">
    <w:name w:val="Subtítulo Car"/>
    <w:basedOn w:val="Fuentedeprrafopredeter"/>
    <w:link w:val="Subttulo"/>
    <w:uiPriority w:val="11"/>
    <w:rsid w:val="00B52CDB"/>
    <w:rPr>
      <w:rFonts w:eastAsiaTheme="majorEastAsia" w:cstheme="majorBidi"/>
      <w:color w:val="595959" w:themeColor="text1" w:themeTint="A6"/>
      <w:spacing w:val="15"/>
      <w:sz w:val="28"/>
      <w:szCs w:val="28"/>
    </w:rPr>
  </w:style>
  <w:style w:type="table" w:customStyle="1" w:styleId="Tablaconcuadrcula11">
    <w:name w:val="Tabla con cuadrícula11"/>
    <w:basedOn w:val="Tablanormal"/>
    <w:next w:val="Tablaconcuadrcula"/>
    <w:uiPriority w:val="39"/>
    <w:qFormat/>
    <w:rsid w:val="000F1385"/>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03835437">
      <w:bodyDiv w:val="1"/>
      <w:marLeft w:val="0"/>
      <w:marRight w:val="0"/>
      <w:marTop w:val="0"/>
      <w:marBottom w:val="0"/>
      <w:divBdr>
        <w:top w:val="none" w:sz="0" w:space="0" w:color="auto"/>
        <w:left w:val="none" w:sz="0" w:space="0" w:color="auto"/>
        <w:bottom w:val="none" w:sz="0" w:space="0" w:color="auto"/>
        <w:right w:val="none" w:sz="0" w:space="0" w:color="auto"/>
      </w:divBdr>
    </w:div>
    <w:div w:id="274409299">
      <w:bodyDiv w:val="1"/>
      <w:marLeft w:val="0"/>
      <w:marRight w:val="0"/>
      <w:marTop w:val="0"/>
      <w:marBottom w:val="0"/>
      <w:divBdr>
        <w:top w:val="none" w:sz="0" w:space="0" w:color="auto"/>
        <w:left w:val="none" w:sz="0" w:space="0" w:color="auto"/>
        <w:bottom w:val="none" w:sz="0" w:space="0" w:color="auto"/>
        <w:right w:val="none" w:sz="0" w:space="0" w:color="auto"/>
      </w:divBdr>
    </w:div>
    <w:div w:id="367878781">
      <w:bodyDiv w:val="1"/>
      <w:marLeft w:val="0"/>
      <w:marRight w:val="0"/>
      <w:marTop w:val="0"/>
      <w:marBottom w:val="0"/>
      <w:divBdr>
        <w:top w:val="none" w:sz="0" w:space="0" w:color="auto"/>
        <w:left w:val="none" w:sz="0" w:space="0" w:color="auto"/>
        <w:bottom w:val="none" w:sz="0" w:space="0" w:color="auto"/>
        <w:right w:val="none" w:sz="0" w:space="0" w:color="auto"/>
      </w:divBdr>
    </w:div>
    <w:div w:id="404839358">
      <w:bodyDiv w:val="1"/>
      <w:marLeft w:val="0"/>
      <w:marRight w:val="0"/>
      <w:marTop w:val="0"/>
      <w:marBottom w:val="0"/>
      <w:divBdr>
        <w:top w:val="none" w:sz="0" w:space="0" w:color="auto"/>
        <w:left w:val="none" w:sz="0" w:space="0" w:color="auto"/>
        <w:bottom w:val="none" w:sz="0" w:space="0" w:color="auto"/>
        <w:right w:val="none" w:sz="0" w:space="0" w:color="auto"/>
      </w:divBdr>
    </w:div>
    <w:div w:id="429475947">
      <w:bodyDiv w:val="1"/>
      <w:marLeft w:val="0"/>
      <w:marRight w:val="0"/>
      <w:marTop w:val="0"/>
      <w:marBottom w:val="0"/>
      <w:divBdr>
        <w:top w:val="none" w:sz="0" w:space="0" w:color="auto"/>
        <w:left w:val="none" w:sz="0" w:space="0" w:color="auto"/>
        <w:bottom w:val="none" w:sz="0" w:space="0" w:color="auto"/>
        <w:right w:val="none" w:sz="0" w:space="0" w:color="auto"/>
      </w:divBdr>
    </w:div>
    <w:div w:id="484979270">
      <w:bodyDiv w:val="1"/>
      <w:marLeft w:val="0"/>
      <w:marRight w:val="0"/>
      <w:marTop w:val="0"/>
      <w:marBottom w:val="0"/>
      <w:divBdr>
        <w:top w:val="none" w:sz="0" w:space="0" w:color="auto"/>
        <w:left w:val="none" w:sz="0" w:space="0" w:color="auto"/>
        <w:bottom w:val="none" w:sz="0" w:space="0" w:color="auto"/>
        <w:right w:val="none" w:sz="0" w:space="0" w:color="auto"/>
      </w:divBdr>
    </w:div>
    <w:div w:id="502475250">
      <w:bodyDiv w:val="1"/>
      <w:marLeft w:val="0"/>
      <w:marRight w:val="0"/>
      <w:marTop w:val="0"/>
      <w:marBottom w:val="0"/>
      <w:divBdr>
        <w:top w:val="none" w:sz="0" w:space="0" w:color="auto"/>
        <w:left w:val="none" w:sz="0" w:space="0" w:color="auto"/>
        <w:bottom w:val="none" w:sz="0" w:space="0" w:color="auto"/>
        <w:right w:val="none" w:sz="0" w:space="0" w:color="auto"/>
      </w:divBdr>
    </w:div>
    <w:div w:id="513416965">
      <w:bodyDiv w:val="1"/>
      <w:marLeft w:val="0"/>
      <w:marRight w:val="0"/>
      <w:marTop w:val="0"/>
      <w:marBottom w:val="0"/>
      <w:divBdr>
        <w:top w:val="none" w:sz="0" w:space="0" w:color="auto"/>
        <w:left w:val="none" w:sz="0" w:space="0" w:color="auto"/>
        <w:bottom w:val="none" w:sz="0" w:space="0" w:color="auto"/>
        <w:right w:val="none" w:sz="0" w:space="0" w:color="auto"/>
      </w:divBdr>
    </w:div>
    <w:div w:id="617488306">
      <w:bodyDiv w:val="1"/>
      <w:marLeft w:val="0"/>
      <w:marRight w:val="0"/>
      <w:marTop w:val="0"/>
      <w:marBottom w:val="0"/>
      <w:divBdr>
        <w:top w:val="none" w:sz="0" w:space="0" w:color="auto"/>
        <w:left w:val="none" w:sz="0" w:space="0" w:color="auto"/>
        <w:bottom w:val="none" w:sz="0" w:space="0" w:color="auto"/>
        <w:right w:val="none" w:sz="0" w:space="0" w:color="auto"/>
      </w:divBdr>
    </w:div>
    <w:div w:id="621767828">
      <w:bodyDiv w:val="1"/>
      <w:marLeft w:val="0"/>
      <w:marRight w:val="0"/>
      <w:marTop w:val="0"/>
      <w:marBottom w:val="0"/>
      <w:divBdr>
        <w:top w:val="none" w:sz="0" w:space="0" w:color="auto"/>
        <w:left w:val="none" w:sz="0" w:space="0" w:color="auto"/>
        <w:bottom w:val="none" w:sz="0" w:space="0" w:color="auto"/>
        <w:right w:val="none" w:sz="0" w:space="0" w:color="auto"/>
      </w:divBdr>
    </w:div>
    <w:div w:id="634065458">
      <w:bodyDiv w:val="1"/>
      <w:marLeft w:val="0"/>
      <w:marRight w:val="0"/>
      <w:marTop w:val="0"/>
      <w:marBottom w:val="0"/>
      <w:divBdr>
        <w:top w:val="none" w:sz="0" w:space="0" w:color="auto"/>
        <w:left w:val="none" w:sz="0" w:space="0" w:color="auto"/>
        <w:bottom w:val="none" w:sz="0" w:space="0" w:color="auto"/>
        <w:right w:val="none" w:sz="0" w:space="0" w:color="auto"/>
      </w:divBdr>
    </w:div>
    <w:div w:id="707414069">
      <w:bodyDiv w:val="1"/>
      <w:marLeft w:val="0"/>
      <w:marRight w:val="0"/>
      <w:marTop w:val="0"/>
      <w:marBottom w:val="0"/>
      <w:divBdr>
        <w:top w:val="none" w:sz="0" w:space="0" w:color="auto"/>
        <w:left w:val="none" w:sz="0" w:space="0" w:color="auto"/>
        <w:bottom w:val="none" w:sz="0" w:space="0" w:color="auto"/>
        <w:right w:val="none" w:sz="0" w:space="0" w:color="auto"/>
      </w:divBdr>
    </w:div>
    <w:div w:id="748189111">
      <w:bodyDiv w:val="1"/>
      <w:marLeft w:val="0"/>
      <w:marRight w:val="0"/>
      <w:marTop w:val="0"/>
      <w:marBottom w:val="0"/>
      <w:divBdr>
        <w:top w:val="none" w:sz="0" w:space="0" w:color="auto"/>
        <w:left w:val="none" w:sz="0" w:space="0" w:color="auto"/>
        <w:bottom w:val="none" w:sz="0" w:space="0" w:color="auto"/>
        <w:right w:val="none" w:sz="0" w:space="0" w:color="auto"/>
      </w:divBdr>
    </w:div>
    <w:div w:id="755788902">
      <w:bodyDiv w:val="1"/>
      <w:marLeft w:val="0"/>
      <w:marRight w:val="0"/>
      <w:marTop w:val="0"/>
      <w:marBottom w:val="0"/>
      <w:divBdr>
        <w:top w:val="none" w:sz="0" w:space="0" w:color="auto"/>
        <w:left w:val="none" w:sz="0" w:space="0" w:color="auto"/>
        <w:bottom w:val="none" w:sz="0" w:space="0" w:color="auto"/>
        <w:right w:val="none" w:sz="0" w:space="0" w:color="auto"/>
      </w:divBdr>
    </w:div>
    <w:div w:id="773356954">
      <w:bodyDiv w:val="1"/>
      <w:marLeft w:val="0"/>
      <w:marRight w:val="0"/>
      <w:marTop w:val="0"/>
      <w:marBottom w:val="0"/>
      <w:divBdr>
        <w:top w:val="none" w:sz="0" w:space="0" w:color="auto"/>
        <w:left w:val="none" w:sz="0" w:space="0" w:color="auto"/>
        <w:bottom w:val="none" w:sz="0" w:space="0" w:color="auto"/>
        <w:right w:val="none" w:sz="0" w:space="0" w:color="auto"/>
      </w:divBdr>
    </w:div>
    <w:div w:id="823744084">
      <w:bodyDiv w:val="1"/>
      <w:marLeft w:val="0"/>
      <w:marRight w:val="0"/>
      <w:marTop w:val="0"/>
      <w:marBottom w:val="0"/>
      <w:divBdr>
        <w:top w:val="none" w:sz="0" w:space="0" w:color="auto"/>
        <w:left w:val="none" w:sz="0" w:space="0" w:color="auto"/>
        <w:bottom w:val="none" w:sz="0" w:space="0" w:color="auto"/>
        <w:right w:val="none" w:sz="0" w:space="0" w:color="auto"/>
      </w:divBdr>
      <w:divsChild>
        <w:div w:id="1665283950">
          <w:marLeft w:val="0"/>
          <w:marRight w:val="0"/>
          <w:marTop w:val="0"/>
          <w:marBottom w:val="160"/>
          <w:divBdr>
            <w:top w:val="none" w:sz="0" w:space="0" w:color="auto"/>
            <w:left w:val="none" w:sz="0" w:space="0" w:color="auto"/>
            <w:bottom w:val="none" w:sz="0" w:space="0" w:color="auto"/>
            <w:right w:val="none" w:sz="0" w:space="0" w:color="auto"/>
          </w:divBdr>
        </w:div>
        <w:div w:id="133375842">
          <w:marLeft w:val="0"/>
          <w:marRight w:val="0"/>
          <w:marTop w:val="0"/>
          <w:marBottom w:val="160"/>
          <w:divBdr>
            <w:top w:val="none" w:sz="0" w:space="0" w:color="auto"/>
            <w:left w:val="none" w:sz="0" w:space="0" w:color="auto"/>
            <w:bottom w:val="none" w:sz="0" w:space="0" w:color="auto"/>
            <w:right w:val="none" w:sz="0" w:space="0" w:color="auto"/>
          </w:divBdr>
        </w:div>
        <w:div w:id="1806265997">
          <w:marLeft w:val="0"/>
          <w:marRight w:val="0"/>
          <w:marTop w:val="0"/>
          <w:marBottom w:val="160"/>
          <w:divBdr>
            <w:top w:val="none" w:sz="0" w:space="0" w:color="auto"/>
            <w:left w:val="none" w:sz="0" w:space="0" w:color="auto"/>
            <w:bottom w:val="none" w:sz="0" w:space="0" w:color="auto"/>
            <w:right w:val="none" w:sz="0" w:space="0" w:color="auto"/>
          </w:divBdr>
        </w:div>
      </w:divsChild>
    </w:div>
    <w:div w:id="828248822">
      <w:bodyDiv w:val="1"/>
      <w:marLeft w:val="0"/>
      <w:marRight w:val="0"/>
      <w:marTop w:val="0"/>
      <w:marBottom w:val="0"/>
      <w:divBdr>
        <w:top w:val="none" w:sz="0" w:space="0" w:color="auto"/>
        <w:left w:val="none" w:sz="0" w:space="0" w:color="auto"/>
        <w:bottom w:val="none" w:sz="0" w:space="0" w:color="auto"/>
        <w:right w:val="none" w:sz="0" w:space="0" w:color="auto"/>
      </w:divBdr>
    </w:div>
    <w:div w:id="939751492">
      <w:bodyDiv w:val="1"/>
      <w:marLeft w:val="0"/>
      <w:marRight w:val="0"/>
      <w:marTop w:val="0"/>
      <w:marBottom w:val="0"/>
      <w:divBdr>
        <w:top w:val="none" w:sz="0" w:space="0" w:color="auto"/>
        <w:left w:val="none" w:sz="0" w:space="0" w:color="auto"/>
        <w:bottom w:val="none" w:sz="0" w:space="0" w:color="auto"/>
        <w:right w:val="none" w:sz="0" w:space="0" w:color="auto"/>
      </w:divBdr>
    </w:div>
    <w:div w:id="1025399029">
      <w:bodyDiv w:val="1"/>
      <w:marLeft w:val="0"/>
      <w:marRight w:val="0"/>
      <w:marTop w:val="0"/>
      <w:marBottom w:val="0"/>
      <w:divBdr>
        <w:top w:val="none" w:sz="0" w:space="0" w:color="auto"/>
        <w:left w:val="none" w:sz="0" w:space="0" w:color="auto"/>
        <w:bottom w:val="none" w:sz="0" w:space="0" w:color="auto"/>
        <w:right w:val="none" w:sz="0" w:space="0" w:color="auto"/>
      </w:divBdr>
    </w:div>
    <w:div w:id="1059743338">
      <w:bodyDiv w:val="1"/>
      <w:marLeft w:val="0"/>
      <w:marRight w:val="0"/>
      <w:marTop w:val="0"/>
      <w:marBottom w:val="0"/>
      <w:divBdr>
        <w:top w:val="none" w:sz="0" w:space="0" w:color="auto"/>
        <w:left w:val="none" w:sz="0" w:space="0" w:color="auto"/>
        <w:bottom w:val="none" w:sz="0" w:space="0" w:color="auto"/>
        <w:right w:val="none" w:sz="0" w:space="0" w:color="auto"/>
      </w:divBdr>
    </w:div>
    <w:div w:id="1078407130">
      <w:bodyDiv w:val="1"/>
      <w:marLeft w:val="0"/>
      <w:marRight w:val="0"/>
      <w:marTop w:val="0"/>
      <w:marBottom w:val="0"/>
      <w:divBdr>
        <w:top w:val="none" w:sz="0" w:space="0" w:color="auto"/>
        <w:left w:val="none" w:sz="0" w:space="0" w:color="auto"/>
        <w:bottom w:val="none" w:sz="0" w:space="0" w:color="auto"/>
        <w:right w:val="none" w:sz="0" w:space="0" w:color="auto"/>
      </w:divBdr>
    </w:div>
    <w:div w:id="1101219196">
      <w:bodyDiv w:val="1"/>
      <w:marLeft w:val="0"/>
      <w:marRight w:val="0"/>
      <w:marTop w:val="0"/>
      <w:marBottom w:val="0"/>
      <w:divBdr>
        <w:top w:val="none" w:sz="0" w:space="0" w:color="auto"/>
        <w:left w:val="none" w:sz="0" w:space="0" w:color="auto"/>
        <w:bottom w:val="none" w:sz="0" w:space="0" w:color="auto"/>
        <w:right w:val="none" w:sz="0" w:space="0" w:color="auto"/>
      </w:divBdr>
    </w:div>
    <w:div w:id="1124930395">
      <w:bodyDiv w:val="1"/>
      <w:marLeft w:val="0"/>
      <w:marRight w:val="0"/>
      <w:marTop w:val="0"/>
      <w:marBottom w:val="0"/>
      <w:divBdr>
        <w:top w:val="none" w:sz="0" w:space="0" w:color="auto"/>
        <w:left w:val="none" w:sz="0" w:space="0" w:color="auto"/>
        <w:bottom w:val="none" w:sz="0" w:space="0" w:color="auto"/>
        <w:right w:val="none" w:sz="0" w:space="0" w:color="auto"/>
      </w:divBdr>
    </w:div>
    <w:div w:id="1132796275">
      <w:bodyDiv w:val="1"/>
      <w:marLeft w:val="0"/>
      <w:marRight w:val="0"/>
      <w:marTop w:val="0"/>
      <w:marBottom w:val="0"/>
      <w:divBdr>
        <w:top w:val="none" w:sz="0" w:space="0" w:color="auto"/>
        <w:left w:val="none" w:sz="0" w:space="0" w:color="auto"/>
        <w:bottom w:val="none" w:sz="0" w:space="0" w:color="auto"/>
        <w:right w:val="none" w:sz="0" w:space="0" w:color="auto"/>
      </w:divBdr>
    </w:div>
    <w:div w:id="1152257013">
      <w:bodyDiv w:val="1"/>
      <w:marLeft w:val="0"/>
      <w:marRight w:val="0"/>
      <w:marTop w:val="0"/>
      <w:marBottom w:val="0"/>
      <w:divBdr>
        <w:top w:val="none" w:sz="0" w:space="0" w:color="auto"/>
        <w:left w:val="none" w:sz="0" w:space="0" w:color="auto"/>
        <w:bottom w:val="none" w:sz="0" w:space="0" w:color="auto"/>
        <w:right w:val="none" w:sz="0" w:space="0" w:color="auto"/>
      </w:divBdr>
    </w:div>
    <w:div w:id="1236013034">
      <w:bodyDiv w:val="1"/>
      <w:marLeft w:val="0"/>
      <w:marRight w:val="0"/>
      <w:marTop w:val="0"/>
      <w:marBottom w:val="0"/>
      <w:divBdr>
        <w:top w:val="none" w:sz="0" w:space="0" w:color="auto"/>
        <w:left w:val="none" w:sz="0" w:space="0" w:color="auto"/>
        <w:bottom w:val="none" w:sz="0" w:space="0" w:color="auto"/>
        <w:right w:val="none" w:sz="0" w:space="0" w:color="auto"/>
      </w:divBdr>
    </w:div>
    <w:div w:id="1270429918">
      <w:bodyDiv w:val="1"/>
      <w:marLeft w:val="0"/>
      <w:marRight w:val="0"/>
      <w:marTop w:val="0"/>
      <w:marBottom w:val="0"/>
      <w:divBdr>
        <w:top w:val="none" w:sz="0" w:space="0" w:color="auto"/>
        <w:left w:val="none" w:sz="0" w:space="0" w:color="auto"/>
        <w:bottom w:val="none" w:sz="0" w:space="0" w:color="auto"/>
        <w:right w:val="none" w:sz="0" w:space="0" w:color="auto"/>
      </w:divBdr>
    </w:div>
    <w:div w:id="1291863859">
      <w:bodyDiv w:val="1"/>
      <w:marLeft w:val="0"/>
      <w:marRight w:val="0"/>
      <w:marTop w:val="0"/>
      <w:marBottom w:val="0"/>
      <w:divBdr>
        <w:top w:val="none" w:sz="0" w:space="0" w:color="auto"/>
        <w:left w:val="none" w:sz="0" w:space="0" w:color="auto"/>
        <w:bottom w:val="none" w:sz="0" w:space="0" w:color="auto"/>
        <w:right w:val="none" w:sz="0" w:space="0" w:color="auto"/>
      </w:divBdr>
      <w:divsChild>
        <w:div w:id="1814251553">
          <w:marLeft w:val="0"/>
          <w:marRight w:val="0"/>
          <w:marTop w:val="0"/>
          <w:marBottom w:val="0"/>
          <w:divBdr>
            <w:top w:val="none" w:sz="0" w:space="0" w:color="auto"/>
            <w:left w:val="none" w:sz="0" w:space="0" w:color="auto"/>
            <w:bottom w:val="none" w:sz="0" w:space="0" w:color="auto"/>
            <w:right w:val="none" w:sz="0" w:space="0" w:color="auto"/>
          </w:divBdr>
        </w:div>
        <w:div w:id="1098216012">
          <w:marLeft w:val="0"/>
          <w:marRight w:val="0"/>
          <w:marTop w:val="0"/>
          <w:marBottom w:val="0"/>
          <w:divBdr>
            <w:top w:val="none" w:sz="0" w:space="0" w:color="auto"/>
            <w:left w:val="none" w:sz="0" w:space="0" w:color="auto"/>
            <w:bottom w:val="none" w:sz="0" w:space="0" w:color="auto"/>
            <w:right w:val="none" w:sz="0" w:space="0" w:color="auto"/>
          </w:divBdr>
        </w:div>
        <w:div w:id="2036272205">
          <w:marLeft w:val="0"/>
          <w:marRight w:val="0"/>
          <w:marTop w:val="0"/>
          <w:marBottom w:val="0"/>
          <w:divBdr>
            <w:top w:val="none" w:sz="0" w:space="0" w:color="auto"/>
            <w:left w:val="none" w:sz="0" w:space="0" w:color="auto"/>
            <w:bottom w:val="none" w:sz="0" w:space="0" w:color="auto"/>
            <w:right w:val="none" w:sz="0" w:space="0" w:color="auto"/>
          </w:divBdr>
        </w:div>
        <w:div w:id="1963534490">
          <w:marLeft w:val="0"/>
          <w:marRight w:val="0"/>
          <w:marTop w:val="0"/>
          <w:marBottom w:val="0"/>
          <w:divBdr>
            <w:top w:val="none" w:sz="0" w:space="0" w:color="auto"/>
            <w:left w:val="none" w:sz="0" w:space="0" w:color="auto"/>
            <w:bottom w:val="none" w:sz="0" w:space="0" w:color="auto"/>
            <w:right w:val="none" w:sz="0" w:space="0" w:color="auto"/>
          </w:divBdr>
        </w:div>
        <w:div w:id="1009718320">
          <w:marLeft w:val="0"/>
          <w:marRight w:val="0"/>
          <w:marTop w:val="0"/>
          <w:marBottom w:val="0"/>
          <w:divBdr>
            <w:top w:val="none" w:sz="0" w:space="0" w:color="auto"/>
            <w:left w:val="none" w:sz="0" w:space="0" w:color="auto"/>
            <w:bottom w:val="none" w:sz="0" w:space="0" w:color="auto"/>
            <w:right w:val="none" w:sz="0" w:space="0" w:color="auto"/>
          </w:divBdr>
        </w:div>
        <w:div w:id="2075656958">
          <w:marLeft w:val="0"/>
          <w:marRight w:val="0"/>
          <w:marTop w:val="0"/>
          <w:marBottom w:val="0"/>
          <w:divBdr>
            <w:top w:val="none" w:sz="0" w:space="0" w:color="auto"/>
            <w:left w:val="none" w:sz="0" w:space="0" w:color="auto"/>
            <w:bottom w:val="none" w:sz="0" w:space="0" w:color="auto"/>
            <w:right w:val="none" w:sz="0" w:space="0" w:color="auto"/>
          </w:divBdr>
        </w:div>
        <w:div w:id="1227495006">
          <w:marLeft w:val="0"/>
          <w:marRight w:val="0"/>
          <w:marTop w:val="0"/>
          <w:marBottom w:val="0"/>
          <w:divBdr>
            <w:top w:val="none" w:sz="0" w:space="0" w:color="auto"/>
            <w:left w:val="none" w:sz="0" w:space="0" w:color="auto"/>
            <w:bottom w:val="none" w:sz="0" w:space="0" w:color="auto"/>
            <w:right w:val="none" w:sz="0" w:space="0" w:color="auto"/>
          </w:divBdr>
        </w:div>
        <w:div w:id="390231839">
          <w:marLeft w:val="0"/>
          <w:marRight w:val="0"/>
          <w:marTop w:val="0"/>
          <w:marBottom w:val="0"/>
          <w:divBdr>
            <w:top w:val="none" w:sz="0" w:space="0" w:color="auto"/>
            <w:left w:val="none" w:sz="0" w:space="0" w:color="auto"/>
            <w:bottom w:val="none" w:sz="0" w:space="0" w:color="auto"/>
            <w:right w:val="none" w:sz="0" w:space="0" w:color="auto"/>
          </w:divBdr>
        </w:div>
        <w:div w:id="117142684">
          <w:marLeft w:val="0"/>
          <w:marRight w:val="0"/>
          <w:marTop w:val="0"/>
          <w:marBottom w:val="0"/>
          <w:divBdr>
            <w:top w:val="none" w:sz="0" w:space="0" w:color="auto"/>
            <w:left w:val="none" w:sz="0" w:space="0" w:color="auto"/>
            <w:bottom w:val="none" w:sz="0" w:space="0" w:color="auto"/>
            <w:right w:val="none" w:sz="0" w:space="0" w:color="auto"/>
          </w:divBdr>
        </w:div>
        <w:div w:id="882060613">
          <w:marLeft w:val="0"/>
          <w:marRight w:val="0"/>
          <w:marTop w:val="0"/>
          <w:marBottom w:val="0"/>
          <w:divBdr>
            <w:top w:val="none" w:sz="0" w:space="0" w:color="auto"/>
            <w:left w:val="none" w:sz="0" w:space="0" w:color="auto"/>
            <w:bottom w:val="none" w:sz="0" w:space="0" w:color="auto"/>
            <w:right w:val="none" w:sz="0" w:space="0" w:color="auto"/>
          </w:divBdr>
        </w:div>
        <w:div w:id="1343312156">
          <w:marLeft w:val="0"/>
          <w:marRight w:val="0"/>
          <w:marTop w:val="0"/>
          <w:marBottom w:val="0"/>
          <w:divBdr>
            <w:top w:val="none" w:sz="0" w:space="0" w:color="auto"/>
            <w:left w:val="none" w:sz="0" w:space="0" w:color="auto"/>
            <w:bottom w:val="none" w:sz="0" w:space="0" w:color="auto"/>
            <w:right w:val="none" w:sz="0" w:space="0" w:color="auto"/>
          </w:divBdr>
        </w:div>
        <w:div w:id="807745514">
          <w:marLeft w:val="0"/>
          <w:marRight w:val="0"/>
          <w:marTop w:val="0"/>
          <w:marBottom w:val="0"/>
          <w:divBdr>
            <w:top w:val="none" w:sz="0" w:space="0" w:color="auto"/>
            <w:left w:val="none" w:sz="0" w:space="0" w:color="auto"/>
            <w:bottom w:val="none" w:sz="0" w:space="0" w:color="auto"/>
            <w:right w:val="none" w:sz="0" w:space="0" w:color="auto"/>
          </w:divBdr>
        </w:div>
        <w:div w:id="688798703">
          <w:marLeft w:val="0"/>
          <w:marRight w:val="0"/>
          <w:marTop w:val="0"/>
          <w:marBottom w:val="0"/>
          <w:divBdr>
            <w:top w:val="none" w:sz="0" w:space="0" w:color="auto"/>
            <w:left w:val="none" w:sz="0" w:space="0" w:color="auto"/>
            <w:bottom w:val="none" w:sz="0" w:space="0" w:color="auto"/>
            <w:right w:val="none" w:sz="0" w:space="0" w:color="auto"/>
          </w:divBdr>
        </w:div>
        <w:div w:id="1324310022">
          <w:marLeft w:val="0"/>
          <w:marRight w:val="0"/>
          <w:marTop w:val="0"/>
          <w:marBottom w:val="0"/>
          <w:divBdr>
            <w:top w:val="none" w:sz="0" w:space="0" w:color="auto"/>
            <w:left w:val="none" w:sz="0" w:space="0" w:color="auto"/>
            <w:bottom w:val="none" w:sz="0" w:space="0" w:color="auto"/>
            <w:right w:val="none" w:sz="0" w:space="0" w:color="auto"/>
          </w:divBdr>
        </w:div>
        <w:div w:id="715542045">
          <w:marLeft w:val="0"/>
          <w:marRight w:val="0"/>
          <w:marTop w:val="0"/>
          <w:marBottom w:val="0"/>
          <w:divBdr>
            <w:top w:val="none" w:sz="0" w:space="0" w:color="auto"/>
            <w:left w:val="none" w:sz="0" w:space="0" w:color="auto"/>
            <w:bottom w:val="none" w:sz="0" w:space="0" w:color="auto"/>
            <w:right w:val="none" w:sz="0" w:space="0" w:color="auto"/>
          </w:divBdr>
        </w:div>
        <w:div w:id="1065952338">
          <w:marLeft w:val="0"/>
          <w:marRight w:val="0"/>
          <w:marTop w:val="0"/>
          <w:marBottom w:val="0"/>
          <w:divBdr>
            <w:top w:val="none" w:sz="0" w:space="0" w:color="auto"/>
            <w:left w:val="none" w:sz="0" w:space="0" w:color="auto"/>
            <w:bottom w:val="none" w:sz="0" w:space="0" w:color="auto"/>
            <w:right w:val="none" w:sz="0" w:space="0" w:color="auto"/>
          </w:divBdr>
        </w:div>
        <w:div w:id="2092659859">
          <w:marLeft w:val="0"/>
          <w:marRight w:val="0"/>
          <w:marTop w:val="0"/>
          <w:marBottom w:val="0"/>
          <w:divBdr>
            <w:top w:val="none" w:sz="0" w:space="0" w:color="auto"/>
            <w:left w:val="none" w:sz="0" w:space="0" w:color="auto"/>
            <w:bottom w:val="none" w:sz="0" w:space="0" w:color="auto"/>
            <w:right w:val="none" w:sz="0" w:space="0" w:color="auto"/>
          </w:divBdr>
        </w:div>
        <w:div w:id="1134103737">
          <w:marLeft w:val="0"/>
          <w:marRight w:val="0"/>
          <w:marTop w:val="0"/>
          <w:marBottom w:val="0"/>
          <w:divBdr>
            <w:top w:val="none" w:sz="0" w:space="0" w:color="auto"/>
            <w:left w:val="none" w:sz="0" w:space="0" w:color="auto"/>
            <w:bottom w:val="none" w:sz="0" w:space="0" w:color="auto"/>
            <w:right w:val="none" w:sz="0" w:space="0" w:color="auto"/>
          </w:divBdr>
        </w:div>
        <w:div w:id="511727059">
          <w:marLeft w:val="0"/>
          <w:marRight w:val="0"/>
          <w:marTop w:val="0"/>
          <w:marBottom w:val="0"/>
          <w:divBdr>
            <w:top w:val="none" w:sz="0" w:space="0" w:color="auto"/>
            <w:left w:val="none" w:sz="0" w:space="0" w:color="auto"/>
            <w:bottom w:val="none" w:sz="0" w:space="0" w:color="auto"/>
            <w:right w:val="none" w:sz="0" w:space="0" w:color="auto"/>
          </w:divBdr>
        </w:div>
        <w:div w:id="860240521">
          <w:marLeft w:val="0"/>
          <w:marRight w:val="0"/>
          <w:marTop w:val="0"/>
          <w:marBottom w:val="0"/>
          <w:divBdr>
            <w:top w:val="none" w:sz="0" w:space="0" w:color="auto"/>
            <w:left w:val="none" w:sz="0" w:space="0" w:color="auto"/>
            <w:bottom w:val="none" w:sz="0" w:space="0" w:color="auto"/>
            <w:right w:val="none" w:sz="0" w:space="0" w:color="auto"/>
          </w:divBdr>
        </w:div>
        <w:div w:id="892691556">
          <w:marLeft w:val="0"/>
          <w:marRight w:val="0"/>
          <w:marTop w:val="0"/>
          <w:marBottom w:val="0"/>
          <w:divBdr>
            <w:top w:val="none" w:sz="0" w:space="0" w:color="auto"/>
            <w:left w:val="none" w:sz="0" w:space="0" w:color="auto"/>
            <w:bottom w:val="none" w:sz="0" w:space="0" w:color="auto"/>
            <w:right w:val="none" w:sz="0" w:space="0" w:color="auto"/>
          </w:divBdr>
        </w:div>
        <w:div w:id="24454764">
          <w:marLeft w:val="0"/>
          <w:marRight w:val="0"/>
          <w:marTop w:val="0"/>
          <w:marBottom w:val="0"/>
          <w:divBdr>
            <w:top w:val="none" w:sz="0" w:space="0" w:color="auto"/>
            <w:left w:val="none" w:sz="0" w:space="0" w:color="auto"/>
            <w:bottom w:val="none" w:sz="0" w:space="0" w:color="auto"/>
            <w:right w:val="none" w:sz="0" w:space="0" w:color="auto"/>
          </w:divBdr>
        </w:div>
        <w:div w:id="541678020">
          <w:marLeft w:val="0"/>
          <w:marRight w:val="0"/>
          <w:marTop w:val="0"/>
          <w:marBottom w:val="0"/>
          <w:divBdr>
            <w:top w:val="none" w:sz="0" w:space="0" w:color="auto"/>
            <w:left w:val="none" w:sz="0" w:space="0" w:color="auto"/>
            <w:bottom w:val="none" w:sz="0" w:space="0" w:color="auto"/>
            <w:right w:val="none" w:sz="0" w:space="0" w:color="auto"/>
          </w:divBdr>
        </w:div>
        <w:div w:id="1404261026">
          <w:marLeft w:val="0"/>
          <w:marRight w:val="0"/>
          <w:marTop w:val="0"/>
          <w:marBottom w:val="0"/>
          <w:divBdr>
            <w:top w:val="none" w:sz="0" w:space="0" w:color="auto"/>
            <w:left w:val="none" w:sz="0" w:space="0" w:color="auto"/>
            <w:bottom w:val="none" w:sz="0" w:space="0" w:color="auto"/>
            <w:right w:val="none" w:sz="0" w:space="0" w:color="auto"/>
          </w:divBdr>
        </w:div>
        <w:div w:id="638808706">
          <w:marLeft w:val="0"/>
          <w:marRight w:val="0"/>
          <w:marTop w:val="0"/>
          <w:marBottom w:val="0"/>
          <w:divBdr>
            <w:top w:val="none" w:sz="0" w:space="0" w:color="auto"/>
            <w:left w:val="none" w:sz="0" w:space="0" w:color="auto"/>
            <w:bottom w:val="none" w:sz="0" w:space="0" w:color="auto"/>
            <w:right w:val="none" w:sz="0" w:space="0" w:color="auto"/>
          </w:divBdr>
        </w:div>
        <w:div w:id="238516275">
          <w:marLeft w:val="0"/>
          <w:marRight w:val="0"/>
          <w:marTop w:val="0"/>
          <w:marBottom w:val="0"/>
          <w:divBdr>
            <w:top w:val="none" w:sz="0" w:space="0" w:color="auto"/>
            <w:left w:val="none" w:sz="0" w:space="0" w:color="auto"/>
            <w:bottom w:val="none" w:sz="0" w:space="0" w:color="auto"/>
            <w:right w:val="none" w:sz="0" w:space="0" w:color="auto"/>
          </w:divBdr>
        </w:div>
        <w:div w:id="1694109704">
          <w:marLeft w:val="0"/>
          <w:marRight w:val="0"/>
          <w:marTop w:val="0"/>
          <w:marBottom w:val="0"/>
          <w:divBdr>
            <w:top w:val="none" w:sz="0" w:space="0" w:color="auto"/>
            <w:left w:val="none" w:sz="0" w:space="0" w:color="auto"/>
            <w:bottom w:val="none" w:sz="0" w:space="0" w:color="auto"/>
            <w:right w:val="none" w:sz="0" w:space="0" w:color="auto"/>
          </w:divBdr>
        </w:div>
        <w:div w:id="2120836280">
          <w:marLeft w:val="0"/>
          <w:marRight w:val="0"/>
          <w:marTop w:val="0"/>
          <w:marBottom w:val="0"/>
          <w:divBdr>
            <w:top w:val="none" w:sz="0" w:space="0" w:color="auto"/>
            <w:left w:val="none" w:sz="0" w:space="0" w:color="auto"/>
            <w:bottom w:val="none" w:sz="0" w:space="0" w:color="auto"/>
            <w:right w:val="none" w:sz="0" w:space="0" w:color="auto"/>
          </w:divBdr>
        </w:div>
        <w:div w:id="455296425">
          <w:marLeft w:val="0"/>
          <w:marRight w:val="0"/>
          <w:marTop w:val="0"/>
          <w:marBottom w:val="0"/>
          <w:divBdr>
            <w:top w:val="none" w:sz="0" w:space="0" w:color="auto"/>
            <w:left w:val="none" w:sz="0" w:space="0" w:color="auto"/>
            <w:bottom w:val="none" w:sz="0" w:space="0" w:color="auto"/>
            <w:right w:val="none" w:sz="0" w:space="0" w:color="auto"/>
          </w:divBdr>
        </w:div>
        <w:div w:id="1932930429">
          <w:marLeft w:val="0"/>
          <w:marRight w:val="0"/>
          <w:marTop w:val="0"/>
          <w:marBottom w:val="0"/>
          <w:divBdr>
            <w:top w:val="none" w:sz="0" w:space="0" w:color="auto"/>
            <w:left w:val="none" w:sz="0" w:space="0" w:color="auto"/>
            <w:bottom w:val="none" w:sz="0" w:space="0" w:color="auto"/>
            <w:right w:val="none" w:sz="0" w:space="0" w:color="auto"/>
          </w:divBdr>
        </w:div>
        <w:div w:id="538082317">
          <w:marLeft w:val="0"/>
          <w:marRight w:val="0"/>
          <w:marTop w:val="0"/>
          <w:marBottom w:val="0"/>
          <w:divBdr>
            <w:top w:val="none" w:sz="0" w:space="0" w:color="auto"/>
            <w:left w:val="none" w:sz="0" w:space="0" w:color="auto"/>
            <w:bottom w:val="none" w:sz="0" w:space="0" w:color="auto"/>
            <w:right w:val="none" w:sz="0" w:space="0" w:color="auto"/>
          </w:divBdr>
        </w:div>
        <w:div w:id="679356651">
          <w:marLeft w:val="0"/>
          <w:marRight w:val="0"/>
          <w:marTop w:val="0"/>
          <w:marBottom w:val="0"/>
          <w:divBdr>
            <w:top w:val="none" w:sz="0" w:space="0" w:color="auto"/>
            <w:left w:val="none" w:sz="0" w:space="0" w:color="auto"/>
            <w:bottom w:val="none" w:sz="0" w:space="0" w:color="auto"/>
            <w:right w:val="none" w:sz="0" w:space="0" w:color="auto"/>
          </w:divBdr>
        </w:div>
        <w:div w:id="1638532409">
          <w:marLeft w:val="0"/>
          <w:marRight w:val="0"/>
          <w:marTop w:val="0"/>
          <w:marBottom w:val="0"/>
          <w:divBdr>
            <w:top w:val="none" w:sz="0" w:space="0" w:color="auto"/>
            <w:left w:val="none" w:sz="0" w:space="0" w:color="auto"/>
            <w:bottom w:val="none" w:sz="0" w:space="0" w:color="auto"/>
            <w:right w:val="none" w:sz="0" w:space="0" w:color="auto"/>
          </w:divBdr>
        </w:div>
        <w:div w:id="1464275602">
          <w:marLeft w:val="0"/>
          <w:marRight w:val="0"/>
          <w:marTop w:val="0"/>
          <w:marBottom w:val="0"/>
          <w:divBdr>
            <w:top w:val="none" w:sz="0" w:space="0" w:color="auto"/>
            <w:left w:val="none" w:sz="0" w:space="0" w:color="auto"/>
            <w:bottom w:val="none" w:sz="0" w:space="0" w:color="auto"/>
            <w:right w:val="none" w:sz="0" w:space="0" w:color="auto"/>
          </w:divBdr>
        </w:div>
        <w:div w:id="1916237550">
          <w:marLeft w:val="0"/>
          <w:marRight w:val="0"/>
          <w:marTop w:val="0"/>
          <w:marBottom w:val="0"/>
          <w:divBdr>
            <w:top w:val="none" w:sz="0" w:space="0" w:color="auto"/>
            <w:left w:val="none" w:sz="0" w:space="0" w:color="auto"/>
            <w:bottom w:val="none" w:sz="0" w:space="0" w:color="auto"/>
            <w:right w:val="none" w:sz="0" w:space="0" w:color="auto"/>
          </w:divBdr>
        </w:div>
        <w:div w:id="2095541977">
          <w:marLeft w:val="0"/>
          <w:marRight w:val="0"/>
          <w:marTop w:val="0"/>
          <w:marBottom w:val="0"/>
          <w:divBdr>
            <w:top w:val="none" w:sz="0" w:space="0" w:color="auto"/>
            <w:left w:val="none" w:sz="0" w:space="0" w:color="auto"/>
            <w:bottom w:val="none" w:sz="0" w:space="0" w:color="auto"/>
            <w:right w:val="none" w:sz="0" w:space="0" w:color="auto"/>
          </w:divBdr>
          <w:divsChild>
            <w:div w:id="1488938398">
              <w:marLeft w:val="-75"/>
              <w:marRight w:val="0"/>
              <w:marTop w:val="30"/>
              <w:marBottom w:val="30"/>
              <w:divBdr>
                <w:top w:val="none" w:sz="0" w:space="0" w:color="auto"/>
                <w:left w:val="none" w:sz="0" w:space="0" w:color="auto"/>
                <w:bottom w:val="none" w:sz="0" w:space="0" w:color="auto"/>
                <w:right w:val="none" w:sz="0" w:space="0" w:color="auto"/>
              </w:divBdr>
              <w:divsChild>
                <w:div w:id="283007184">
                  <w:marLeft w:val="0"/>
                  <w:marRight w:val="0"/>
                  <w:marTop w:val="0"/>
                  <w:marBottom w:val="0"/>
                  <w:divBdr>
                    <w:top w:val="none" w:sz="0" w:space="0" w:color="auto"/>
                    <w:left w:val="none" w:sz="0" w:space="0" w:color="auto"/>
                    <w:bottom w:val="none" w:sz="0" w:space="0" w:color="auto"/>
                    <w:right w:val="none" w:sz="0" w:space="0" w:color="auto"/>
                  </w:divBdr>
                  <w:divsChild>
                    <w:div w:id="928538327">
                      <w:marLeft w:val="0"/>
                      <w:marRight w:val="0"/>
                      <w:marTop w:val="0"/>
                      <w:marBottom w:val="0"/>
                      <w:divBdr>
                        <w:top w:val="none" w:sz="0" w:space="0" w:color="auto"/>
                        <w:left w:val="none" w:sz="0" w:space="0" w:color="auto"/>
                        <w:bottom w:val="none" w:sz="0" w:space="0" w:color="auto"/>
                        <w:right w:val="none" w:sz="0" w:space="0" w:color="auto"/>
                      </w:divBdr>
                    </w:div>
                  </w:divsChild>
                </w:div>
                <w:div w:id="1080567943">
                  <w:marLeft w:val="0"/>
                  <w:marRight w:val="0"/>
                  <w:marTop w:val="0"/>
                  <w:marBottom w:val="0"/>
                  <w:divBdr>
                    <w:top w:val="none" w:sz="0" w:space="0" w:color="auto"/>
                    <w:left w:val="none" w:sz="0" w:space="0" w:color="auto"/>
                    <w:bottom w:val="none" w:sz="0" w:space="0" w:color="auto"/>
                    <w:right w:val="none" w:sz="0" w:space="0" w:color="auto"/>
                  </w:divBdr>
                  <w:divsChild>
                    <w:div w:id="1112624978">
                      <w:marLeft w:val="0"/>
                      <w:marRight w:val="0"/>
                      <w:marTop w:val="0"/>
                      <w:marBottom w:val="0"/>
                      <w:divBdr>
                        <w:top w:val="none" w:sz="0" w:space="0" w:color="auto"/>
                        <w:left w:val="none" w:sz="0" w:space="0" w:color="auto"/>
                        <w:bottom w:val="none" w:sz="0" w:space="0" w:color="auto"/>
                        <w:right w:val="none" w:sz="0" w:space="0" w:color="auto"/>
                      </w:divBdr>
                    </w:div>
                    <w:div w:id="539319864">
                      <w:marLeft w:val="0"/>
                      <w:marRight w:val="0"/>
                      <w:marTop w:val="0"/>
                      <w:marBottom w:val="0"/>
                      <w:divBdr>
                        <w:top w:val="none" w:sz="0" w:space="0" w:color="auto"/>
                        <w:left w:val="none" w:sz="0" w:space="0" w:color="auto"/>
                        <w:bottom w:val="none" w:sz="0" w:space="0" w:color="auto"/>
                        <w:right w:val="none" w:sz="0" w:space="0" w:color="auto"/>
                      </w:divBdr>
                    </w:div>
                  </w:divsChild>
                </w:div>
                <w:div w:id="344208591">
                  <w:marLeft w:val="0"/>
                  <w:marRight w:val="0"/>
                  <w:marTop w:val="0"/>
                  <w:marBottom w:val="0"/>
                  <w:divBdr>
                    <w:top w:val="none" w:sz="0" w:space="0" w:color="auto"/>
                    <w:left w:val="none" w:sz="0" w:space="0" w:color="auto"/>
                    <w:bottom w:val="none" w:sz="0" w:space="0" w:color="auto"/>
                    <w:right w:val="none" w:sz="0" w:space="0" w:color="auto"/>
                  </w:divBdr>
                  <w:divsChild>
                    <w:div w:id="1723020549">
                      <w:marLeft w:val="0"/>
                      <w:marRight w:val="0"/>
                      <w:marTop w:val="0"/>
                      <w:marBottom w:val="0"/>
                      <w:divBdr>
                        <w:top w:val="none" w:sz="0" w:space="0" w:color="auto"/>
                        <w:left w:val="none" w:sz="0" w:space="0" w:color="auto"/>
                        <w:bottom w:val="none" w:sz="0" w:space="0" w:color="auto"/>
                        <w:right w:val="none" w:sz="0" w:space="0" w:color="auto"/>
                      </w:divBdr>
                    </w:div>
                  </w:divsChild>
                </w:div>
                <w:div w:id="233929418">
                  <w:marLeft w:val="0"/>
                  <w:marRight w:val="0"/>
                  <w:marTop w:val="0"/>
                  <w:marBottom w:val="0"/>
                  <w:divBdr>
                    <w:top w:val="none" w:sz="0" w:space="0" w:color="auto"/>
                    <w:left w:val="none" w:sz="0" w:space="0" w:color="auto"/>
                    <w:bottom w:val="none" w:sz="0" w:space="0" w:color="auto"/>
                    <w:right w:val="none" w:sz="0" w:space="0" w:color="auto"/>
                  </w:divBdr>
                  <w:divsChild>
                    <w:div w:id="193542531">
                      <w:marLeft w:val="0"/>
                      <w:marRight w:val="0"/>
                      <w:marTop w:val="0"/>
                      <w:marBottom w:val="0"/>
                      <w:divBdr>
                        <w:top w:val="none" w:sz="0" w:space="0" w:color="auto"/>
                        <w:left w:val="none" w:sz="0" w:space="0" w:color="auto"/>
                        <w:bottom w:val="none" w:sz="0" w:space="0" w:color="auto"/>
                        <w:right w:val="none" w:sz="0" w:space="0" w:color="auto"/>
                      </w:divBdr>
                    </w:div>
                    <w:div w:id="2029217062">
                      <w:marLeft w:val="0"/>
                      <w:marRight w:val="0"/>
                      <w:marTop w:val="0"/>
                      <w:marBottom w:val="0"/>
                      <w:divBdr>
                        <w:top w:val="none" w:sz="0" w:space="0" w:color="auto"/>
                        <w:left w:val="none" w:sz="0" w:space="0" w:color="auto"/>
                        <w:bottom w:val="none" w:sz="0" w:space="0" w:color="auto"/>
                        <w:right w:val="none" w:sz="0" w:space="0" w:color="auto"/>
                      </w:divBdr>
                    </w:div>
                  </w:divsChild>
                </w:div>
                <w:div w:id="231042282">
                  <w:marLeft w:val="0"/>
                  <w:marRight w:val="0"/>
                  <w:marTop w:val="0"/>
                  <w:marBottom w:val="0"/>
                  <w:divBdr>
                    <w:top w:val="none" w:sz="0" w:space="0" w:color="auto"/>
                    <w:left w:val="none" w:sz="0" w:space="0" w:color="auto"/>
                    <w:bottom w:val="none" w:sz="0" w:space="0" w:color="auto"/>
                    <w:right w:val="none" w:sz="0" w:space="0" w:color="auto"/>
                  </w:divBdr>
                  <w:divsChild>
                    <w:div w:id="1200582818">
                      <w:marLeft w:val="0"/>
                      <w:marRight w:val="0"/>
                      <w:marTop w:val="0"/>
                      <w:marBottom w:val="0"/>
                      <w:divBdr>
                        <w:top w:val="none" w:sz="0" w:space="0" w:color="auto"/>
                        <w:left w:val="none" w:sz="0" w:space="0" w:color="auto"/>
                        <w:bottom w:val="none" w:sz="0" w:space="0" w:color="auto"/>
                        <w:right w:val="none" w:sz="0" w:space="0" w:color="auto"/>
                      </w:divBdr>
                    </w:div>
                  </w:divsChild>
                </w:div>
                <w:div w:id="431166015">
                  <w:marLeft w:val="0"/>
                  <w:marRight w:val="0"/>
                  <w:marTop w:val="0"/>
                  <w:marBottom w:val="0"/>
                  <w:divBdr>
                    <w:top w:val="none" w:sz="0" w:space="0" w:color="auto"/>
                    <w:left w:val="none" w:sz="0" w:space="0" w:color="auto"/>
                    <w:bottom w:val="none" w:sz="0" w:space="0" w:color="auto"/>
                    <w:right w:val="none" w:sz="0" w:space="0" w:color="auto"/>
                  </w:divBdr>
                  <w:divsChild>
                    <w:div w:id="633837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16871884">
          <w:marLeft w:val="0"/>
          <w:marRight w:val="0"/>
          <w:marTop w:val="0"/>
          <w:marBottom w:val="0"/>
          <w:divBdr>
            <w:top w:val="none" w:sz="0" w:space="0" w:color="auto"/>
            <w:left w:val="none" w:sz="0" w:space="0" w:color="auto"/>
            <w:bottom w:val="none" w:sz="0" w:space="0" w:color="auto"/>
            <w:right w:val="none" w:sz="0" w:space="0" w:color="auto"/>
          </w:divBdr>
        </w:div>
        <w:div w:id="1002320289">
          <w:marLeft w:val="0"/>
          <w:marRight w:val="0"/>
          <w:marTop w:val="0"/>
          <w:marBottom w:val="0"/>
          <w:divBdr>
            <w:top w:val="none" w:sz="0" w:space="0" w:color="auto"/>
            <w:left w:val="none" w:sz="0" w:space="0" w:color="auto"/>
            <w:bottom w:val="none" w:sz="0" w:space="0" w:color="auto"/>
            <w:right w:val="none" w:sz="0" w:space="0" w:color="auto"/>
          </w:divBdr>
        </w:div>
        <w:div w:id="2033648475">
          <w:marLeft w:val="0"/>
          <w:marRight w:val="0"/>
          <w:marTop w:val="0"/>
          <w:marBottom w:val="0"/>
          <w:divBdr>
            <w:top w:val="none" w:sz="0" w:space="0" w:color="auto"/>
            <w:left w:val="none" w:sz="0" w:space="0" w:color="auto"/>
            <w:bottom w:val="none" w:sz="0" w:space="0" w:color="auto"/>
            <w:right w:val="none" w:sz="0" w:space="0" w:color="auto"/>
          </w:divBdr>
        </w:div>
        <w:div w:id="1053582647">
          <w:marLeft w:val="0"/>
          <w:marRight w:val="0"/>
          <w:marTop w:val="0"/>
          <w:marBottom w:val="0"/>
          <w:divBdr>
            <w:top w:val="none" w:sz="0" w:space="0" w:color="auto"/>
            <w:left w:val="none" w:sz="0" w:space="0" w:color="auto"/>
            <w:bottom w:val="none" w:sz="0" w:space="0" w:color="auto"/>
            <w:right w:val="none" w:sz="0" w:space="0" w:color="auto"/>
          </w:divBdr>
        </w:div>
        <w:div w:id="165822881">
          <w:marLeft w:val="0"/>
          <w:marRight w:val="0"/>
          <w:marTop w:val="0"/>
          <w:marBottom w:val="0"/>
          <w:divBdr>
            <w:top w:val="none" w:sz="0" w:space="0" w:color="auto"/>
            <w:left w:val="none" w:sz="0" w:space="0" w:color="auto"/>
            <w:bottom w:val="none" w:sz="0" w:space="0" w:color="auto"/>
            <w:right w:val="none" w:sz="0" w:space="0" w:color="auto"/>
          </w:divBdr>
        </w:div>
        <w:div w:id="1919947877">
          <w:marLeft w:val="0"/>
          <w:marRight w:val="0"/>
          <w:marTop w:val="0"/>
          <w:marBottom w:val="0"/>
          <w:divBdr>
            <w:top w:val="none" w:sz="0" w:space="0" w:color="auto"/>
            <w:left w:val="none" w:sz="0" w:space="0" w:color="auto"/>
            <w:bottom w:val="none" w:sz="0" w:space="0" w:color="auto"/>
            <w:right w:val="none" w:sz="0" w:space="0" w:color="auto"/>
          </w:divBdr>
          <w:divsChild>
            <w:div w:id="1192113255">
              <w:marLeft w:val="0"/>
              <w:marRight w:val="0"/>
              <w:marTop w:val="0"/>
              <w:marBottom w:val="0"/>
              <w:divBdr>
                <w:top w:val="none" w:sz="0" w:space="0" w:color="auto"/>
                <w:left w:val="none" w:sz="0" w:space="0" w:color="auto"/>
                <w:bottom w:val="none" w:sz="0" w:space="0" w:color="auto"/>
                <w:right w:val="none" w:sz="0" w:space="0" w:color="auto"/>
              </w:divBdr>
            </w:div>
            <w:div w:id="524707673">
              <w:marLeft w:val="0"/>
              <w:marRight w:val="0"/>
              <w:marTop w:val="0"/>
              <w:marBottom w:val="0"/>
              <w:divBdr>
                <w:top w:val="none" w:sz="0" w:space="0" w:color="auto"/>
                <w:left w:val="none" w:sz="0" w:space="0" w:color="auto"/>
                <w:bottom w:val="none" w:sz="0" w:space="0" w:color="auto"/>
                <w:right w:val="none" w:sz="0" w:space="0" w:color="auto"/>
              </w:divBdr>
            </w:div>
            <w:div w:id="1477457551">
              <w:marLeft w:val="0"/>
              <w:marRight w:val="0"/>
              <w:marTop w:val="0"/>
              <w:marBottom w:val="0"/>
              <w:divBdr>
                <w:top w:val="none" w:sz="0" w:space="0" w:color="auto"/>
                <w:left w:val="none" w:sz="0" w:space="0" w:color="auto"/>
                <w:bottom w:val="none" w:sz="0" w:space="0" w:color="auto"/>
                <w:right w:val="none" w:sz="0" w:space="0" w:color="auto"/>
              </w:divBdr>
            </w:div>
            <w:div w:id="1905212490">
              <w:marLeft w:val="0"/>
              <w:marRight w:val="0"/>
              <w:marTop w:val="0"/>
              <w:marBottom w:val="0"/>
              <w:divBdr>
                <w:top w:val="none" w:sz="0" w:space="0" w:color="auto"/>
                <w:left w:val="none" w:sz="0" w:space="0" w:color="auto"/>
                <w:bottom w:val="none" w:sz="0" w:space="0" w:color="auto"/>
                <w:right w:val="none" w:sz="0" w:space="0" w:color="auto"/>
              </w:divBdr>
            </w:div>
            <w:div w:id="1960529064">
              <w:marLeft w:val="0"/>
              <w:marRight w:val="0"/>
              <w:marTop w:val="0"/>
              <w:marBottom w:val="0"/>
              <w:divBdr>
                <w:top w:val="none" w:sz="0" w:space="0" w:color="auto"/>
                <w:left w:val="none" w:sz="0" w:space="0" w:color="auto"/>
                <w:bottom w:val="none" w:sz="0" w:space="0" w:color="auto"/>
                <w:right w:val="none" w:sz="0" w:space="0" w:color="auto"/>
              </w:divBdr>
            </w:div>
          </w:divsChild>
        </w:div>
        <w:div w:id="1791318772">
          <w:marLeft w:val="0"/>
          <w:marRight w:val="0"/>
          <w:marTop w:val="0"/>
          <w:marBottom w:val="0"/>
          <w:divBdr>
            <w:top w:val="none" w:sz="0" w:space="0" w:color="auto"/>
            <w:left w:val="none" w:sz="0" w:space="0" w:color="auto"/>
            <w:bottom w:val="none" w:sz="0" w:space="0" w:color="auto"/>
            <w:right w:val="none" w:sz="0" w:space="0" w:color="auto"/>
          </w:divBdr>
        </w:div>
        <w:div w:id="1672679863">
          <w:marLeft w:val="0"/>
          <w:marRight w:val="0"/>
          <w:marTop w:val="0"/>
          <w:marBottom w:val="0"/>
          <w:divBdr>
            <w:top w:val="none" w:sz="0" w:space="0" w:color="auto"/>
            <w:left w:val="none" w:sz="0" w:space="0" w:color="auto"/>
            <w:bottom w:val="none" w:sz="0" w:space="0" w:color="auto"/>
            <w:right w:val="none" w:sz="0" w:space="0" w:color="auto"/>
          </w:divBdr>
        </w:div>
        <w:div w:id="896629501">
          <w:marLeft w:val="0"/>
          <w:marRight w:val="0"/>
          <w:marTop w:val="0"/>
          <w:marBottom w:val="0"/>
          <w:divBdr>
            <w:top w:val="none" w:sz="0" w:space="0" w:color="auto"/>
            <w:left w:val="none" w:sz="0" w:space="0" w:color="auto"/>
            <w:bottom w:val="none" w:sz="0" w:space="0" w:color="auto"/>
            <w:right w:val="none" w:sz="0" w:space="0" w:color="auto"/>
          </w:divBdr>
        </w:div>
        <w:div w:id="1492059971">
          <w:marLeft w:val="0"/>
          <w:marRight w:val="0"/>
          <w:marTop w:val="0"/>
          <w:marBottom w:val="0"/>
          <w:divBdr>
            <w:top w:val="none" w:sz="0" w:space="0" w:color="auto"/>
            <w:left w:val="none" w:sz="0" w:space="0" w:color="auto"/>
            <w:bottom w:val="none" w:sz="0" w:space="0" w:color="auto"/>
            <w:right w:val="none" w:sz="0" w:space="0" w:color="auto"/>
          </w:divBdr>
        </w:div>
        <w:div w:id="743262102">
          <w:marLeft w:val="0"/>
          <w:marRight w:val="0"/>
          <w:marTop w:val="0"/>
          <w:marBottom w:val="0"/>
          <w:divBdr>
            <w:top w:val="none" w:sz="0" w:space="0" w:color="auto"/>
            <w:left w:val="none" w:sz="0" w:space="0" w:color="auto"/>
            <w:bottom w:val="none" w:sz="0" w:space="0" w:color="auto"/>
            <w:right w:val="none" w:sz="0" w:space="0" w:color="auto"/>
          </w:divBdr>
        </w:div>
        <w:div w:id="1966614619">
          <w:marLeft w:val="0"/>
          <w:marRight w:val="0"/>
          <w:marTop w:val="0"/>
          <w:marBottom w:val="0"/>
          <w:divBdr>
            <w:top w:val="none" w:sz="0" w:space="0" w:color="auto"/>
            <w:left w:val="none" w:sz="0" w:space="0" w:color="auto"/>
            <w:bottom w:val="none" w:sz="0" w:space="0" w:color="auto"/>
            <w:right w:val="none" w:sz="0" w:space="0" w:color="auto"/>
          </w:divBdr>
          <w:divsChild>
            <w:div w:id="1375154655">
              <w:marLeft w:val="0"/>
              <w:marRight w:val="0"/>
              <w:marTop w:val="0"/>
              <w:marBottom w:val="0"/>
              <w:divBdr>
                <w:top w:val="none" w:sz="0" w:space="0" w:color="auto"/>
                <w:left w:val="none" w:sz="0" w:space="0" w:color="auto"/>
                <w:bottom w:val="none" w:sz="0" w:space="0" w:color="auto"/>
                <w:right w:val="none" w:sz="0" w:space="0" w:color="auto"/>
              </w:divBdr>
            </w:div>
            <w:div w:id="1193155926">
              <w:marLeft w:val="0"/>
              <w:marRight w:val="0"/>
              <w:marTop w:val="0"/>
              <w:marBottom w:val="0"/>
              <w:divBdr>
                <w:top w:val="none" w:sz="0" w:space="0" w:color="auto"/>
                <w:left w:val="none" w:sz="0" w:space="0" w:color="auto"/>
                <w:bottom w:val="none" w:sz="0" w:space="0" w:color="auto"/>
                <w:right w:val="none" w:sz="0" w:space="0" w:color="auto"/>
              </w:divBdr>
            </w:div>
            <w:div w:id="152644634">
              <w:marLeft w:val="0"/>
              <w:marRight w:val="0"/>
              <w:marTop w:val="0"/>
              <w:marBottom w:val="0"/>
              <w:divBdr>
                <w:top w:val="none" w:sz="0" w:space="0" w:color="auto"/>
                <w:left w:val="none" w:sz="0" w:space="0" w:color="auto"/>
                <w:bottom w:val="none" w:sz="0" w:space="0" w:color="auto"/>
                <w:right w:val="none" w:sz="0" w:space="0" w:color="auto"/>
              </w:divBdr>
            </w:div>
            <w:div w:id="1745906066">
              <w:marLeft w:val="0"/>
              <w:marRight w:val="0"/>
              <w:marTop w:val="0"/>
              <w:marBottom w:val="0"/>
              <w:divBdr>
                <w:top w:val="none" w:sz="0" w:space="0" w:color="auto"/>
                <w:left w:val="none" w:sz="0" w:space="0" w:color="auto"/>
                <w:bottom w:val="none" w:sz="0" w:space="0" w:color="auto"/>
                <w:right w:val="none" w:sz="0" w:space="0" w:color="auto"/>
              </w:divBdr>
            </w:div>
            <w:div w:id="293171294">
              <w:marLeft w:val="0"/>
              <w:marRight w:val="0"/>
              <w:marTop w:val="0"/>
              <w:marBottom w:val="0"/>
              <w:divBdr>
                <w:top w:val="none" w:sz="0" w:space="0" w:color="auto"/>
                <w:left w:val="none" w:sz="0" w:space="0" w:color="auto"/>
                <w:bottom w:val="none" w:sz="0" w:space="0" w:color="auto"/>
                <w:right w:val="none" w:sz="0" w:space="0" w:color="auto"/>
              </w:divBdr>
            </w:div>
          </w:divsChild>
        </w:div>
        <w:div w:id="1836526458">
          <w:marLeft w:val="0"/>
          <w:marRight w:val="0"/>
          <w:marTop w:val="0"/>
          <w:marBottom w:val="0"/>
          <w:divBdr>
            <w:top w:val="none" w:sz="0" w:space="0" w:color="auto"/>
            <w:left w:val="none" w:sz="0" w:space="0" w:color="auto"/>
            <w:bottom w:val="none" w:sz="0" w:space="0" w:color="auto"/>
            <w:right w:val="none" w:sz="0" w:space="0" w:color="auto"/>
          </w:divBdr>
          <w:divsChild>
            <w:div w:id="1153059618">
              <w:marLeft w:val="0"/>
              <w:marRight w:val="0"/>
              <w:marTop w:val="0"/>
              <w:marBottom w:val="0"/>
              <w:divBdr>
                <w:top w:val="none" w:sz="0" w:space="0" w:color="auto"/>
                <w:left w:val="none" w:sz="0" w:space="0" w:color="auto"/>
                <w:bottom w:val="none" w:sz="0" w:space="0" w:color="auto"/>
                <w:right w:val="none" w:sz="0" w:space="0" w:color="auto"/>
              </w:divBdr>
            </w:div>
            <w:div w:id="252974095">
              <w:marLeft w:val="0"/>
              <w:marRight w:val="0"/>
              <w:marTop w:val="0"/>
              <w:marBottom w:val="0"/>
              <w:divBdr>
                <w:top w:val="none" w:sz="0" w:space="0" w:color="auto"/>
                <w:left w:val="none" w:sz="0" w:space="0" w:color="auto"/>
                <w:bottom w:val="none" w:sz="0" w:space="0" w:color="auto"/>
                <w:right w:val="none" w:sz="0" w:space="0" w:color="auto"/>
              </w:divBdr>
            </w:div>
            <w:div w:id="465974370">
              <w:marLeft w:val="0"/>
              <w:marRight w:val="0"/>
              <w:marTop w:val="0"/>
              <w:marBottom w:val="0"/>
              <w:divBdr>
                <w:top w:val="none" w:sz="0" w:space="0" w:color="auto"/>
                <w:left w:val="none" w:sz="0" w:space="0" w:color="auto"/>
                <w:bottom w:val="none" w:sz="0" w:space="0" w:color="auto"/>
                <w:right w:val="none" w:sz="0" w:space="0" w:color="auto"/>
              </w:divBdr>
            </w:div>
            <w:div w:id="762535188">
              <w:marLeft w:val="0"/>
              <w:marRight w:val="0"/>
              <w:marTop w:val="0"/>
              <w:marBottom w:val="0"/>
              <w:divBdr>
                <w:top w:val="none" w:sz="0" w:space="0" w:color="auto"/>
                <w:left w:val="none" w:sz="0" w:space="0" w:color="auto"/>
                <w:bottom w:val="none" w:sz="0" w:space="0" w:color="auto"/>
                <w:right w:val="none" w:sz="0" w:space="0" w:color="auto"/>
              </w:divBdr>
            </w:div>
            <w:div w:id="1513228375">
              <w:marLeft w:val="0"/>
              <w:marRight w:val="0"/>
              <w:marTop w:val="0"/>
              <w:marBottom w:val="0"/>
              <w:divBdr>
                <w:top w:val="none" w:sz="0" w:space="0" w:color="auto"/>
                <w:left w:val="none" w:sz="0" w:space="0" w:color="auto"/>
                <w:bottom w:val="none" w:sz="0" w:space="0" w:color="auto"/>
                <w:right w:val="none" w:sz="0" w:space="0" w:color="auto"/>
              </w:divBdr>
            </w:div>
          </w:divsChild>
        </w:div>
        <w:div w:id="1128550095">
          <w:marLeft w:val="0"/>
          <w:marRight w:val="0"/>
          <w:marTop w:val="0"/>
          <w:marBottom w:val="0"/>
          <w:divBdr>
            <w:top w:val="none" w:sz="0" w:space="0" w:color="auto"/>
            <w:left w:val="none" w:sz="0" w:space="0" w:color="auto"/>
            <w:bottom w:val="none" w:sz="0" w:space="0" w:color="auto"/>
            <w:right w:val="none" w:sz="0" w:space="0" w:color="auto"/>
          </w:divBdr>
          <w:divsChild>
            <w:div w:id="407390849">
              <w:marLeft w:val="0"/>
              <w:marRight w:val="0"/>
              <w:marTop w:val="0"/>
              <w:marBottom w:val="0"/>
              <w:divBdr>
                <w:top w:val="none" w:sz="0" w:space="0" w:color="auto"/>
                <w:left w:val="none" w:sz="0" w:space="0" w:color="auto"/>
                <w:bottom w:val="none" w:sz="0" w:space="0" w:color="auto"/>
                <w:right w:val="none" w:sz="0" w:space="0" w:color="auto"/>
              </w:divBdr>
            </w:div>
            <w:div w:id="1142380584">
              <w:marLeft w:val="0"/>
              <w:marRight w:val="0"/>
              <w:marTop w:val="0"/>
              <w:marBottom w:val="0"/>
              <w:divBdr>
                <w:top w:val="none" w:sz="0" w:space="0" w:color="auto"/>
                <w:left w:val="none" w:sz="0" w:space="0" w:color="auto"/>
                <w:bottom w:val="none" w:sz="0" w:space="0" w:color="auto"/>
                <w:right w:val="none" w:sz="0" w:space="0" w:color="auto"/>
              </w:divBdr>
            </w:div>
            <w:div w:id="1192953861">
              <w:marLeft w:val="0"/>
              <w:marRight w:val="0"/>
              <w:marTop w:val="0"/>
              <w:marBottom w:val="0"/>
              <w:divBdr>
                <w:top w:val="none" w:sz="0" w:space="0" w:color="auto"/>
                <w:left w:val="none" w:sz="0" w:space="0" w:color="auto"/>
                <w:bottom w:val="none" w:sz="0" w:space="0" w:color="auto"/>
                <w:right w:val="none" w:sz="0" w:space="0" w:color="auto"/>
              </w:divBdr>
            </w:div>
          </w:divsChild>
        </w:div>
        <w:div w:id="953637238">
          <w:marLeft w:val="0"/>
          <w:marRight w:val="0"/>
          <w:marTop w:val="0"/>
          <w:marBottom w:val="0"/>
          <w:divBdr>
            <w:top w:val="none" w:sz="0" w:space="0" w:color="auto"/>
            <w:left w:val="none" w:sz="0" w:space="0" w:color="auto"/>
            <w:bottom w:val="none" w:sz="0" w:space="0" w:color="auto"/>
            <w:right w:val="none" w:sz="0" w:space="0" w:color="auto"/>
          </w:divBdr>
          <w:divsChild>
            <w:div w:id="330067371">
              <w:marLeft w:val="0"/>
              <w:marRight w:val="0"/>
              <w:marTop w:val="0"/>
              <w:marBottom w:val="0"/>
              <w:divBdr>
                <w:top w:val="none" w:sz="0" w:space="0" w:color="auto"/>
                <w:left w:val="none" w:sz="0" w:space="0" w:color="auto"/>
                <w:bottom w:val="none" w:sz="0" w:space="0" w:color="auto"/>
                <w:right w:val="none" w:sz="0" w:space="0" w:color="auto"/>
              </w:divBdr>
            </w:div>
            <w:div w:id="1721204122">
              <w:marLeft w:val="0"/>
              <w:marRight w:val="0"/>
              <w:marTop w:val="0"/>
              <w:marBottom w:val="0"/>
              <w:divBdr>
                <w:top w:val="none" w:sz="0" w:space="0" w:color="auto"/>
                <w:left w:val="none" w:sz="0" w:space="0" w:color="auto"/>
                <w:bottom w:val="none" w:sz="0" w:space="0" w:color="auto"/>
                <w:right w:val="none" w:sz="0" w:space="0" w:color="auto"/>
              </w:divBdr>
            </w:div>
            <w:div w:id="543758897">
              <w:marLeft w:val="0"/>
              <w:marRight w:val="0"/>
              <w:marTop w:val="0"/>
              <w:marBottom w:val="0"/>
              <w:divBdr>
                <w:top w:val="none" w:sz="0" w:space="0" w:color="auto"/>
                <w:left w:val="none" w:sz="0" w:space="0" w:color="auto"/>
                <w:bottom w:val="none" w:sz="0" w:space="0" w:color="auto"/>
                <w:right w:val="none" w:sz="0" w:space="0" w:color="auto"/>
              </w:divBdr>
            </w:div>
            <w:div w:id="1286548090">
              <w:marLeft w:val="0"/>
              <w:marRight w:val="0"/>
              <w:marTop w:val="0"/>
              <w:marBottom w:val="0"/>
              <w:divBdr>
                <w:top w:val="none" w:sz="0" w:space="0" w:color="auto"/>
                <w:left w:val="none" w:sz="0" w:space="0" w:color="auto"/>
                <w:bottom w:val="none" w:sz="0" w:space="0" w:color="auto"/>
                <w:right w:val="none" w:sz="0" w:space="0" w:color="auto"/>
              </w:divBdr>
            </w:div>
            <w:div w:id="220364327">
              <w:marLeft w:val="0"/>
              <w:marRight w:val="0"/>
              <w:marTop w:val="0"/>
              <w:marBottom w:val="0"/>
              <w:divBdr>
                <w:top w:val="none" w:sz="0" w:space="0" w:color="auto"/>
                <w:left w:val="none" w:sz="0" w:space="0" w:color="auto"/>
                <w:bottom w:val="none" w:sz="0" w:space="0" w:color="auto"/>
                <w:right w:val="none" w:sz="0" w:space="0" w:color="auto"/>
              </w:divBdr>
            </w:div>
          </w:divsChild>
        </w:div>
        <w:div w:id="568075362">
          <w:marLeft w:val="0"/>
          <w:marRight w:val="0"/>
          <w:marTop w:val="0"/>
          <w:marBottom w:val="0"/>
          <w:divBdr>
            <w:top w:val="none" w:sz="0" w:space="0" w:color="auto"/>
            <w:left w:val="none" w:sz="0" w:space="0" w:color="auto"/>
            <w:bottom w:val="none" w:sz="0" w:space="0" w:color="auto"/>
            <w:right w:val="none" w:sz="0" w:space="0" w:color="auto"/>
          </w:divBdr>
        </w:div>
        <w:div w:id="1538200560">
          <w:marLeft w:val="0"/>
          <w:marRight w:val="0"/>
          <w:marTop w:val="0"/>
          <w:marBottom w:val="0"/>
          <w:divBdr>
            <w:top w:val="none" w:sz="0" w:space="0" w:color="auto"/>
            <w:left w:val="none" w:sz="0" w:space="0" w:color="auto"/>
            <w:bottom w:val="none" w:sz="0" w:space="0" w:color="auto"/>
            <w:right w:val="none" w:sz="0" w:space="0" w:color="auto"/>
          </w:divBdr>
          <w:divsChild>
            <w:div w:id="1030690503">
              <w:marLeft w:val="-75"/>
              <w:marRight w:val="0"/>
              <w:marTop w:val="30"/>
              <w:marBottom w:val="30"/>
              <w:divBdr>
                <w:top w:val="none" w:sz="0" w:space="0" w:color="auto"/>
                <w:left w:val="none" w:sz="0" w:space="0" w:color="auto"/>
                <w:bottom w:val="none" w:sz="0" w:space="0" w:color="auto"/>
                <w:right w:val="none" w:sz="0" w:space="0" w:color="auto"/>
              </w:divBdr>
              <w:divsChild>
                <w:div w:id="439450645">
                  <w:marLeft w:val="0"/>
                  <w:marRight w:val="0"/>
                  <w:marTop w:val="0"/>
                  <w:marBottom w:val="0"/>
                  <w:divBdr>
                    <w:top w:val="none" w:sz="0" w:space="0" w:color="auto"/>
                    <w:left w:val="none" w:sz="0" w:space="0" w:color="auto"/>
                    <w:bottom w:val="none" w:sz="0" w:space="0" w:color="auto"/>
                    <w:right w:val="none" w:sz="0" w:space="0" w:color="auto"/>
                  </w:divBdr>
                  <w:divsChild>
                    <w:div w:id="1359618204">
                      <w:marLeft w:val="0"/>
                      <w:marRight w:val="0"/>
                      <w:marTop w:val="0"/>
                      <w:marBottom w:val="0"/>
                      <w:divBdr>
                        <w:top w:val="none" w:sz="0" w:space="0" w:color="auto"/>
                        <w:left w:val="none" w:sz="0" w:space="0" w:color="auto"/>
                        <w:bottom w:val="none" w:sz="0" w:space="0" w:color="auto"/>
                        <w:right w:val="none" w:sz="0" w:space="0" w:color="auto"/>
                      </w:divBdr>
                    </w:div>
                  </w:divsChild>
                </w:div>
                <w:div w:id="835262197">
                  <w:marLeft w:val="0"/>
                  <w:marRight w:val="0"/>
                  <w:marTop w:val="0"/>
                  <w:marBottom w:val="0"/>
                  <w:divBdr>
                    <w:top w:val="none" w:sz="0" w:space="0" w:color="auto"/>
                    <w:left w:val="none" w:sz="0" w:space="0" w:color="auto"/>
                    <w:bottom w:val="none" w:sz="0" w:space="0" w:color="auto"/>
                    <w:right w:val="none" w:sz="0" w:space="0" w:color="auto"/>
                  </w:divBdr>
                  <w:divsChild>
                    <w:div w:id="1468469984">
                      <w:marLeft w:val="0"/>
                      <w:marRight w:val="0"/>
                      <w:marTop w:val="0"/>
                      <w:marBottom w:val="0"/>
                      <w:divBdr>
                        <w:top w:val="none" w:sz="0" w:space="0" w:color="auto"/>
                        <w:left w:val="none" w:sz="0" w:space="0" w:color="auto"/>
                        <w:bottom w:val="none" w:sz="0" w:space="0" w:color="auto"/>
                        <w:right w:val="none" w:sz="0" w:space="0" w:color="auto"/>
                      </w:divBdr>
                    </w:div>
                  </w:divsChild>
                </w:div>
                <w:div w:id="1874032042">
                  <w:marLeft w:val="0"/>
                  <w:marRight w:val="0"/>
                  <w:marTop w:val="0"/>
                  <w:marBottom w:val="0"/>
                  <w:divBdr>
                    <w:top w:val="none" w:sz="0" w:space="0" w:color="auto"/>
                    <w:left w:val="none" w:sz="0" w:space="0" w:color="auto"/>
                    <w:bottom w:val="none" w:sz="0" w:space="0" w:color="auto"/>
                    <w:right w:val="none" w:sz="0" w:space="0" w:color="auto"/>
                  </w:divBdr>
                  <w:divsChild>
                    <w:div w:id="1346664389">
                      <w:marLeft w:val="0"/>
                      <w:marRight w:val="0"/>
                      <w:marTop w:val="0"/>
                      <w:marBottom w:val="0"/>
                      <w:divBdr>
                        <w:top w:val="none" w:sz="0" w:space="0" w:color="auto"/>
                        <w:left w:val="none" w:sz="0" w:space="0" w:color="auto"/>
                        <w:bottom w:val="none" w:sz="0" w:space="0" w:color="auto"/>
                        <w:right w:val="none" w:sz="0" w:space="0" w:color="auto"/>
                      </w:divBdr>
                    </w:div>
                  </w:divsChild>
                </w:div>
                <w:div w:id="1896239809">
                  <w:marLeft w:val="0"/>
                  <w:marRight w:val="0"/>
                  <w:marTop w:val="0"/>
                  <w:marBottom w:val="0"/>
                  <w:divBdr>
                    <w:top w:val="none" w:sz="0" w:space="0" w:color="auto"/>
                    <w:left w:val="none" w:sz="0" w:space="0" w:color="auto"/>
                    <w:bottom w:val="none" w:sz="0" w:space="0" w:color="auto"/>
                    <w:right w:val="none" w:sz="0" w:space="0" w:color="auto"/>
                  </w:divBdr>
                  <w:divsChild>
                    <w:div w:id="385639604">
                      <w:marLeft w:val="0"/>
                      <w:marRight w:val="0"/>
                      <w:marTop w:val="0"/>
                      <w:marBottom w:val="0"/>
                      <w:divBdr>
                        <w:top w:val="none" w:sz="0" w:space="0" w:color="auto"/>
                        <w:left w:val="none" w:sz="0" w:space="0" w:color="auto"/>
                        <w:bottom w:val="none" w:sz="0" w:space="0" w:color="auto"/>
                        <w:right w:val="none" w:sz="0" w:space="0" w:color="auto"/>
                      </w:divBdr>
                    </w:div>
                  </w:divsChild>
                </w:div>
                <w:div w:id="738094220">
                  <w:marLeft w:val="0"/>
                  <w:marRight w:val="0"/>
                  <w:marTop w:val="0"/>
                  <w:marBottom w:val="0"/>
                  <w:divBdr>
                    <w:top w:val="none" w:sz="0" w:space="0" w:color="auto"/>
                    <w:left w:val="none" w:sz="0" w:space="0" w:color="auto"/>
                    <w:bottom w:val="none" w:sz="0" w:space="0" w:color="auto"/>
                    <w:right w:val="none" w:sz="0" w:space="0" w:color="auto"/>
                  </w:divBdr>
                  <w:divsChild>
                    <w:div w:id="1453859116">
                      <w:marLeft w:val="0"/>
                      <w:marRight w:val="0"/>
                      <w:marTop w:val="0"/>
                      <w:marBottom w:val="0"/>
                      <w:divBdr>
                        <w:top w:val="none" w:sz="0" w:space="0" w:color="auto"/>
                        <w:left w:val="none" w:sz="0" w:space="0" w:color="auto"/>
                        <w:bottom w:val="none" w:sz="0" w:space="0" w:color="auto"/>
                        <w:right w:val="none" w:sz="0" w:space="0" w:color="auto"/>
                      </w:divBdr>
                    </w:div>
                  </w:divsChild>
                </w:div>
                <w:div w:id="1785539217">
                  <w:marLeft w:val="0"/>
                  <w:marRight w:val="0"/>
                  <w:marTop w:val="0"/>
                  <w:marBottom w:val="0"/>
                  <w:divBdr>
                    <w:top w:val="none" w:sz="0" w:space="0" w:color="auto"/>
                    <w:left w:val="none" w:sz="0" w:space="0" w:color="auto"/>
                    <w:bottom w:val="none" w:sz="0" w:space="0" w:color="auto"/>
                    <w:right w:val="none" w:sz="0" w:space="0" w:color="auto"/>
                  </w:divBdr>
                  <w:divsChild>
                    <w:div w:id="1682002375">
                      <w:marLeft w:val="0"/>
                      <w:marRight w:val="0"/>
                      <w:marTop w:val="0"/>
                      <w:marBottom w:val="0"/>
                      <w:divBdr>
                        <w:top w:val="none" w:sz="0" w:space="0" w:color="auto"/>
                        <w:left w:val="none" w:sz="0" w:space="0" w:color="auto"/>
                        <w:bottom w:val="none" w:sz="0" w:space="0" w:color="auto"/>
                        <w:right w:val="none" w:sz="0" w:space="0" w:color="auto"/>
                      </w:divBdr>
                    </w:div>
                  </w:divsChild>
                </w:div>
                <w:div w:id="618798070">
                  <w:marLeft w:val="0"/>
                  <w:marRight w:val="0"/>
                  <w:marTop w:val="0"/>
                  <w:marBottom w:val="0"/>
                  <w:divBdr>
                    <w:top w:val="none" w:sz="0" w:space="0" w:color="auto"/>
                    <w:left w:val="none" w:sz="0" w:space="0" w:color="auto"/>
                    <w:bottom w:val="none" w:sz="0" w:space="0" w:color="auto"/>
                    <w:right w:val="none" w:sz="0" w:space="0" w:color="auto"/>
                  </w:divBdr>
                  <w:divsChild>
                    <w:div w:id="429785129">
                      <w:marLeft w:val="0"/>
                      <w:marRight w:val="0"/>
                      <w:marTop w:val="0"/>
                      <w:marBottom w:val="0"/>
                      <w:divBdr>
                        <w:top w:val="none" w:sz="0" w:space="0" w:color="auto"/>
                        <w:left w:val="none" w:sz="0" w:space="0" w:color="auto"/>
                        <w:bottom w:val="none" w:sz="0" w:space="0" w:color="auto"/>
                        <w:right w:val="none" w:sz="0" w:space="0" w:color="auto"/>
                      </w:divBdr>
                    </w:div>
                  </w:divsChild>
                </w:div>
                <w:div w:id="252473224">
                  <w:marLeft w:val="0"/>
                  <w:marRight w:val="0"/>
                  <w:marTop w:val="0"/>
                  <w:marBottom w:val="0"/>
                  <w:divBdr>
                    <w:top w:val="none" w:sz="0" w:space="0" w:color="auto"/>
                    <w:left w:val="none" w:sz="0" w:space="0" w:color="auto"/>
                    <w:bottom w:val="none" w:sz="0" w:space="0" w:color="auto"/>
                    <w:right w:val="none" w:sz="0" w:space="0" w:color="auto"/>
                  </w:divBdr>
                  <w:divsChild>
                    <w:div w:id="1209220644">
                      <w:marLeft w:val="0"/>
                      <w:marRight w:val="0"/>
                      <w:marTop w:val="0"/>
                      <w:marBottom w:val="0"/>
                      <w:divBdr>
                        <w:top w:val="none" w:sz="0" w:space="0" w:color="auto"/>
                        <w:left w:val="none" w:sz="0" w:space="0" w:color="auto"/>
                        <w:bottom w:val="none" w:sz="0" w:space="0" w:color="auto"/>
                        <w:right w:val="none" w:sz="0" w:space="0" w:color="auto"/>
                      </w:divBdr>
                    </w:div>
                  </w:divsChild>
                </w:div>
                <w:div w:id="837228363">
                  <w:marLeft w:val="0"/>
                  <w:marRight w:val="0"/>
                  <w:marTop w:val="0"/>
                  <w:marBottom w:val="0"/>
                  <w:divBdr>
                    <w:top w:val="none" w:sz="0" w:space="0" w:color="auto"/>
                    <w:left w:val="none" w:sz="0" w:space="0" w:color="auto"/>
                    <w:bottom w:val="none" w:sz="0" w:space="0" w:color="auto"/>
                    <w:right w:val="none" w:sz="0" w:space="0" w:color="auto"/>
                  </w:divBdr>
                  <w:divsChild>
                    <w:div w:id="1391149772">
                      <w:marLeft w:val="0"/>
                      <w:marRight w:val="0"/>
                      <w:marTop w:val="0"/>
                      <w:marBottom w:val="0"/>
                      <w:divBdr>
                        <w:top w:val="none" w:sz="0" w:space="0" w:color="auto"/>
                        <w:left w:val="none" w:sz="0" w:space="0" w:color="auto"/>
                        <w:bottom w:val="none" w:sz="0" w:space="0" w:color="auto"/>
                        <w:right w:val="none" w:sz="0" w:space="0" w:color="auto"/>
                      </w:divBdr>
                    </w:div>
                  </w:divsChild>
                </w:div>
                <w:div w:id="1081558220">
                  <w:marLeft w:val="0"/>
                  <w:marRight w:val="0"/>
                  <w:marTop w:val="0"/>
                  <w:marBottom w:val="0"/>
                  <w:divBdr>
                    <w:top w:val="none" w:sz="0" w:space="0" w:color="auto"/>
                    <w:left w:val="none" w:sz="0" w:space="0" w:color="auto"/>
                    <w:bottom w:val="none" w:sz="0" w:space="0" w:color="auto"/>
                    <w:right w:val="none" w:sz="0" w:space="0" w:color="auto"/>
                  </w:divBdr>
                  <w:divsChild>
                    <w:div w:id="520363348">
                      <w:marLeft w:val="0"/>
                      <w:marRight w:val="0"/>
                      <w:marTop w:val="0"/>
                      <w:marBottom w:val="0"/>
                      <w:divBdr>
                        <w:top w:val="none" w:sz="0" w:space="0" w:color="auto"/>
                        <w:left w:val="none" w:sz="0" w:space="0" w:color="auto"/>
                        <w:bottom w:val="none" w:sz="0" w:space="0" w:color="auto"/>
                        <w:right w:val="none" w:sz="0" w:space="0" w:color="auto"/>
                      </w:divBdr>
                    </w:div>
                  </w:divsChild>
                </w:div>
                <w:div w:id="784075614">
                  <w:marLeft w:val="0"/>
                  <w:marRight w:val="0"/>
                  <w:marTop w:val="0"/>
                  <w:marBottom w:val="0"/>
                  <w:divBdr>
                    <w:top w:val="none" w:sz="0" w:space="0" w:color="auto"/>
                    <w:left w:val="none" w:sz="0" w:space="0" w:color="auto"/>
                    <w:bottom w:val="none" w:sz="0" w:space="0" w:color="auto"/>
                    <w:right w:val="none" w:sz="0" w:space="0" w:color="auto"/>
                  </w:divBdr>
                  <w:divsChild>
                    <w:div w:id="1669867117">
                      <w:marLeft w:val="0"/>
                      <w:marRight w:val="0"/>
                      <w:marTop w:val="0"/>
                      <w:marBottom w:val="0"/>
                      <w:divBdr>
                        <w:top w:val="none" w:sz="0" w:space="0" w:color="auto"/>
                        <w:left w:val="none" w:sz="0" w:space="0" w:color="auto"/>
                        <w:bottom w:val="none" w:sz="0" w:space="0" w:color="auto"/>
                        <w:right w:val="none" w:sz="0" w:space="0" w:color="auto"/>
                      </w:divBdr>
                    </w:div>
                    <w:div w:id="1061059177">
                      <w:marLeft w:val="0"/>
                      <w:marRight w:val="0"/>
                      <w:marTop w:val="0"/>
                      <w:marBottom w:val="0"/>
                      <w:divBdr>
                        <w:top w:val="none" w:sz="0" w:space="0" w:color="auto"/>
                        <w:left w:val="none" w:sz="0" w:space="0" w:color="auto"/>
                        <w:bottom w:val="none" w:sz="0" w:space="0" w:color="auto"/>
                        <w:right w:val="none" w:sz="0" w:space="0" w:color="auto"/>
                      </w:divBdr>
                    </w:div>
                  </w:divsChild>
                </w:div>
                <w:div w:id="1620144540">
                  <w:marLeft w:val="0"/>
                  <w:marRight w:val="0"/>
                  <w:marTop w:val="0"/>
                  <w:marBottom w:val="0"/>
                  <w:divBdr>
                    <w:top w:val="none" w:sz="0" w:space="0" w:color="auto"/>
                    <w:left w:val="none" w:sz="0" w:space="0" w:color="auto"/>
                    <w:bottom w:val="none" w:sz="0" w:space="0" w:color="auto"/>
                    <w:right w:val="none" w:sz="0" w:space="0" w:color="auto"/>
                  </w:divBdr>
                  <w:divsChild>
                    <w:div w:id="419764345">
                      <w:marLeft w:val="0"/>
                      <w:marRight w:val="0"/>
                      <w:marTop w:val="0"/>
                      <w:marBottom w:val="0"/>
                      <w:divBdr>
                        <w:top w:val="none" w:sz="0" w:space="0" w:color="auto"/>
                        <w:left w:val="none" w:sz="0" w:space="0" w:color="auto"/>
                        <w:bottom w:val="none" w:sz="0" w:space="0" w:color="auto"/>
                        <w:right w:val="none" w:sz="0" w:space="0" w:color="auto"/>
                      </w:divBdr>
                    </w:div>
                  </w:divsChild>
                </w:div>
                <w:div w:id="851533023">
                  <w:marLeft w:val="0"/>
                  <w:marRight w:val="0"/>
                  <w:marTop w:val="0"/>
                  <w:marBottom w:val="0"/>
                  <w:divBdr>
                    <w:top w:val="none" w:sz="0" w:space="0" w:color="auto"/>
                    <w:left w:val="none" w:sz="0" w:space="0" w:color="auto"/>
                    <w:bottom w:val="none" w:sz="0" w:space="0" w:color="auto"/>
                    <w:right w:val="none" w:sz="0" w:space="0" w:color="auto"/>
                  </w:divBdr>
                  <w:divsChild>
                    <w:div w:id="421223715">
                      <w:marLeft w:val="0"/>
                      <w:marRight w:val="0"/>
                      <w:marTop w:val="0"/>
                      <w:marBottom w:val="0"/>
                      <w:divBdr>
                        <w:top w:val="none" w:sz="0" w:space="0" w:color="auto"/>
                        <w:left w:val="none" w:sz="0" w:space="0" w:color="auto"/>
                        <w:bottom w:val="none" w:sz="0" w:space="0" w:color="auto"/>
                        <w:right w:val="none" w:sz="0" w:space="0" w:color="auto"/>
                      </w:divBdr>
                    </w:div>
                  </w:divsChild>
                </w:div>
                <w:div w:id="300615503">
                  <w:marLeft w:val="0"/>
                  <w:marRight w:val="0"/>
                  <w:marTop w:val="0"/>
                  <w:marBottom w:val="0"/>
                  <w:divBdr>
                    <w:top w:val="none" w:sz="0" w:space="0" w:color="auto"/>
                    <w:left w:val="none" w:sz="0" w:space="0" w:color="auto"/>
                    <w:bottom w:val="none" w:sz="0" w:space="0" w:color="auto"/>
                    <w:right w:val="none" w:sz="0" w:space="0" w:color="auto"/>
                  </w:divBdr>
                  <w:divsChild>
                    <w:div w:id="1767268462">
                      <w:marLeft w:val="0"/>
                      <w:marRight w:val="0"/>
                      <w:marTop w:val="0"/>
                      <w:marBottom w:val="0"/>
                      <w:divBdr>
                        <w:top w:val="none" w:sz="0" w:space="0" w:color="auto"/>
                        <w:left w:val="none" w:sz="0" w:space="0" w:color="auto"/>
                        <w:bottom w:val="none" w:sz="0" w:space="0" w:color="auto"/>
                        <w:right w:val="none" w:sz="0" w:space="0" w:color="auto"/>
                      </w:divBdr>
                    </w:div>
                    <w:div w:id="2067948171">
                      <w:marLeft w:val="0"/>
                      <w:marRight w:val="0"/>
                      <w:marTop w:val="0"/>
                      <w:marBottom w:val="0"/>
                      <w:divBdr>
                        <w:top w:val="none" w:sz="0" w:space="0" w:color="auto"/>
                        <w:left w:val="none" w:sz="0" w:space="0" w:color="auto"/>
                        <w:bottom w:val="none" w:sz="0" w:space="0" w:color="auto"/>
                        <w:right w:val="none" w:sz="0" w:space="0" w:color="auto"/>
                      </w:divBdr>
                    </w:div>
                  </w:divsChild>
                </w:div>
                <w:div w:id="1439057601">
                  <w:marLeft w:val="0"/>
                  <w:marRight w:val="0"/>
                  <w:marTop w:val="0"/>
                  <w:marBottom w:val="0"/>
                  <w:divBdr>
                    <w:top w:val="none" w:sz="0" w:space="0" w:color="auto"/>
                    <w:left w:val="none" w:sz="0" w:space="0" w:color="auto"/>
                    <w:bottom w:val="none" w:sz="0" w:space="0" w:color="auto"/>
                    <w:right w:val="none" w:sz="0" w:space="0" w:color="auto"/>
                  </w:divBdr>
                  <w:divsChild>
                    <w:div w:id="1578132383">
                      <w:marLeft w:val="0"/>
                      <w:marRight w:val="0"/>
                      <w:marTop w:val="0"/>
                      <w:marBottom w:val="0"/>
                      <w:divBdr>
                        <w:top w:val="none" w:sz="0" w:space="0" w:color="auto"/>
                        <w:left w:val="none" w:sz="0" w:space="0" w:color="auto"/>
                        <w:bottom w:val="none" w:sz="0" w:space="0" w:color="auto"/>
                        <w:right w:val="none" w:sz="0" w:space="0" w:color="auto"/>
                      </w:divBdr>
                    </w:div>
                    <w:div w:id="1578437451">
                      <w:marLeft w:val="0"/>
                      <w:marRight w:val="0"/>
                      <w:marTop w:val="0"/>
                      <w:marBottom w:val="0"/>
                      <w:divBdr>
                        <w:top w:val="none" w:sz="0" w:space="0" w:color="auto"/>
                        <w:left w:val="none" w:sz="0" w:space="0" w:color="auto"/>
                        <w:bottom w:val="none" w:sz="0" w:space="0" w:color="auto"/>
                        <w:right w:val="none" w:sz="0" w:space="0" w:color="auto"/>
                      </w:divBdr>
                    </w:div>
                  </w:divsChild>
                </w:div>
                <w:div w:id="1259679740">
                  <w:marLeft w:val="0"/>
                  <w:marRight w:val="0"/>
                  <w:marTop w:val="0"/>
                  <w:marBottom w:val="0"/>
                  <w:divBdr>
                    <w:top w:val="none" w:sz="0" w:space="0" w:color="auto"/>
                    <w:left w:val="none" w:sz="0" w:space="0" w:color="auto"/>
                    <w:bottom w:val="none" w:sz="0" w:space="0" w:color="auto"/>
                    <w:right w:val="none" w:sz="0" w:space="0" w:color="auto"/>
                  </w:divBdr>
                  <w:divsChild>
                    <w:div w:id="54084858">
                      <w:marLeft w:val="0"/>
                      <w:marRight w:val="0"/>
                      <w:marTop w:val="0"/>
                      <w:marBottom w:val="0"/>
                      <w:divBdr>
                        <w:top w:val="none" w:sz="0" w:space="0" w:color="auto"/>
                        <w:left w:val="none" w:sz="0" w:space="0" w:color="auto"/>
                        <w:bottom w:val="none" w:sz="0" w:space="0" w:color="auto"/>
                        <w:right w:val="none" w:sz="0" w:space="0" w:color="auto"/>
                      </w:divBdr>
                    </w:div>
                  </w:divsChild>
                </w:div>
                <w:div w:id="440225636">
                  <w:marLeft w:val="0"/>
                  <w:marRight w:val="0"/>
                  <w:marTop w:val="0"/>
                  <w:marBottom w:val="0"/>
                  <w:divBdr>
                    <w:top w:val="none" w:sz="0" w:space="0" w:color="auto"/>
                    <w:left w:val="none" w:sz="0" w:space="0" w:color="auto"/>
                    <w:bottom w:val="none" w:sz="0" w:space="0" w:color="auto"/>
                    <w:right w:val="none" w:sz="0" w:space="0" w:color="auto"/>
                  </w:divBdr>
                  <w:divsChild>
                    <w:div w:id="1617329362">
                      <w:marLeft w:val="0"/>
                      <w:marRight w:val="0"/>
                      <w:marTop w:val="0"/>
                      <w:marBottom w:val="0"/>
                      <w:divBdr>
                        <w:top w:val="none" w:sz="0" w:space="0" w:color="auto"/>
                        <w:left w:val="none" w:sz="0" w:space="0" w:color="auto"/>
                        <w:bottom w:val="none" w:sz="0" w:space="0" w:color="auto"/>
                        <w:right w:val="none" w:sz="0" w:space="0" w:color="auto"/>
                      </w:divBdr>
                    </w:div>
                    <w:div w:id="521668105">
                      <w:marLeft w:val="0"/>
                      <w:marRight w:val="0"/>
                      <w:marTop w:val="0"/>
                      <w:marBottom w:val="0"/>
                      <w:divBdr>
                        <w:top w:val="none" w:sz="0" w:space="0" w:color="auto"/>
                        <w:left w:val="none" w:sz="0" w:space="0" w:color="auto"/>
                        <w:bottom w:val="none" w:sz="0" w:space="0" w:color="auto"/>
                        <w:right w:val="none" w:sz="0" w:space="0" w:color="auto"/>
                      </w:divBdr>
                    </w:div>
                  </w:divsChild>
                </w:div>
                <w:div w:id="1393964384">
                  <w:marLeft w:val="0"/>
                  <w:marRight w:val="0"/>
                  <w:marTop w:val="0"/>
                  <w:marBottom w:val="0"/>
                  <w:divBdr>
                    <w:top w:val="none" w:sz="0" w:space="0" w:color="auto"/>
                    <w:left w:val="none" w:sz="0" w:space="0" w:color="auto"/>
                    <w:bottom w:val="none" w:sz="0" w:space="0" w:color="auto"/>
                    <w:right w:val="none" w:sz="0" w:space="0" w:color="auto"/>
                  </w:divBdr>
                  <w:divsChild>
                    <w:div w:id="12248765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02491009">
          <w:marLeft w:val="0"/>
          <w:marRight w:val="0"/>
          <w:marTop w:val="0"/>
          <w:marBottom w:val="0"/>
          <w:divBdr>
            <w:top w:val="none" w:sz="0" w:space="0" w:color="auto"/>
            <w:left w:val="none" w:sz="0" w:space="0" w:color="auto"/>
            <w:bottom w:val="none" w:sz="0" w:space="0" w:color="auto"/>
            <w:right w:val="none" w:sz="0" w:space="0" w:color="auto"/>
          </w:divBdr>
        </w:div>
        <w:div w:id="1668825297">
          <w:marLeft w:val="0"/>
          <w:marRight w:val="0"/>
          <w:marTop w:val="0"/>
          <w:marBottom w:val="0"/>
          <w:divBdr>
            <w:top w:val="none" w:sz="0" w:space="0" w:color="auto"/>
            <w:left w:val="none" w:sz="0" w:space="0" w:color="auto"/>
            <w:bottom w:val="none" w:sz="0" w:space="0" w:color="auto"/>
            <w:right w:val="none" w:sz="0" w:space="0" w:color="auto"/>
          </w:divBdr>
        </w:div>
        <w:div w:id="596713425">
          <w:marLeft w:val="0"/>
          <w:marRight w:val="0"/>
          <w:marTop w:val="0"/>
          <w:marBottom w:val="0"/>
          <w:divBdr>
            <w:top w:val="none" w:sz="0" w:space="0" w:color="auto"/>
            <w:left w:val="none" w:sz="0" w:space="0" w:color="auto"/>
            <w:bottom w:val="none" w:sz="0" w:space="0" w:color="auto"/>
            <w:right w:val="none" w:sz="0" w:space="0" w:color="auto"/>
          </w:divBdr>
        </w:div>
        <w:div w:id="355544057">
          <w:marLeft w:val="0"/>
          <w:marRight w:val="0"/>
          <w:marTop w:val="0"/>
          <w:marBottom w:val="0"/>
          <w:divBdr>
            <w:top w:val="none" w:sz="0" w:space="0" w:color="auto"/>
            <w:left w:val="none" w:sz="0" w:space="0" w:color="auto"/>
            <w:bottom w:val="none" w:sz="0" w:space="0" w:color="auto"/>
            <w:right w:val="none" w:sz="0" w:space="0" w:color="auto"/>
          </w:divBdr>
        </w:div>
        <w:div w:id="210045895">
          <w:marLeft w:val="0"/>
          <w:marRight w:val="0"/>
          <w:marTop w:val="0"/>
          <w:marBottom w:val="0"/>
          <w:divBdr>
            <w:top w:val="none" w:sz="0" w:space="0" w:color="auto"/>
            <w:left w:val="none" w:sz="0" w:space="0" w:color="auto"/>
            <w:bottom w:val="none" w:sz="0" w:space="0" w:color="auto"/>
            <w:right w:val="none" w:sz="0" w:space="0" w:color="auto"/>
          </w:divBdr>
        </w:div>
        <w:div w:id="1252810003">
          <w:marLeft w:val="0"/>
          <w:marRight w:val="0"/>
          <w:marTop w:val="0"/>
          <w:marBottom w:val="0"/>
          <w:divBdr>
            <w:top w:val="none" w:sz="0" w:space="0" w:color="auto"/>
            <w:left w:val="none" w:sz="0" w:space="0" w:color="auto"/>
            <w:bottom w:val="none" w:sz="0" w:space="0" w:color="auto"/>
            <w:right w:val="none" w:sz="0" w:space="0" w:color="auto"/>
          </w:divBdr>
        </w:div>
      </w:divsChild>
    </w:div>
    <w:div w:id="1325353954">
      <w:bodyDiv w:val="1"/>
      <w:marLeft w:val="0"/>
      <w:marRight w:val="0"/>
      <w:marTop w:val="0"/>
      <w:marBottom w:val="0"/>
      <w:divBdr>
        <w:top w:val="none" w:sz="0" w:space="0" w:color="auto"/>
        <w:left w:val="none" w:sz="0" w:space="0" w:color="auto"/>
        <w:bottom w:val="none" w:sz="0" w:space="0" w:color="auto"/>
        <w:right w:val="none" w:sz="0" w:space="0" w:color="auto"/>
      </w:divBdr>
    </w:div>
    <w:div w:id="1343514720">
      <w:bodyDiv w:val="1"/>
      <w:marLeft w:val="0"/>
      <w:marRight w:val="0"/>
      <w:marTop w:val="0"/>
      <w:marBottom w:val="0"/>
      <w:divBdr>
        <w:top w:val="none" w:sz="0" w:space="0" w:color="auto"/>
        <w:left w:val="none" w:sz="0" w:space="0" w:color="auto"/>
        <w:bottom w:val="none" w:sz="0" w:space="0" w:color="auto"/>
        <w:right w:val="none" w:sz="0" w:space="0" w:color="auto"/>
      </w:divBdr>
    </w:div>
    <w:div w:id="1388527428">
      <w:bodyDiv w:val="1"/>
      <w:marLeft w:val="0"/>
      <w:marRight w:val="0"/>
      <w:marTop w:val="0"/>
      <w:marBottom w:val="0"/>
      <w:divBdr>
        <w:top w:val="none" w:sz="0" w:space="0" w:color="auto"/>
        <w:left w:val="none" w:sz="0" w:space="0" w:color="auto"/>
        <w:bottom w:val="none" w:sz="0" w:space="0" w:color="auto"/>
        <w:right w:val="none" w:sz="0" w:space="0" w:color="auto"/>
      </w:divBdr>
      <w:divsChild>
        <w:div w:id="1126967197">
          <w:marLeft w:val="0"/>
          <w:marRight w:val="0"/>
          <w:marTop w:val="0"/>
          <w:marBottom w:val="160"/>
          <w:divBdr>
            <w:top w:val="none" w:sz="0" w:space="0" w:color="auto"/>
            <w:left w:val="none" w:sz="0" w:space="0" w:color="auto"/>
            <w:bottom w:val="none" w:sz="0" w:space="0" w:color="auto"/>
            <w:right w:val="none" w:sz="0" w:space="0" w:color="auto"/>
          </w:divBdr>
        </w:div>
        <w:div w:id="1450123274">
          <w:marLeft w:val="0"/>
          <w:marRight w:val="0"/>
          <w:marTop w:val="0"/>
          <w:marBottom w:val="160"/>
          <w:divBdr>
            <w:top w:val="none" w:sz="0" w:space="0" w:color="auto"/>
            <w:left w:val="none" w:sz="0" w:space="0" w:color="auto"/>
            <w:bottom w:val="none" w:sz="0" w:space="0" w:color="auto"/>
            <w:right w:val="none" w:sz="0" w:space="0" w:color="auto"/>
          </w:divBdr>
        </w:div>
        <w:div w:id="522205550">
          <w:marLeft w:val="0"/>
          <w:marRight w:val="0"/>
          <w:marTop w:val="0"/>
          <w:marBottom w:val="160"/>
          <w:divBdr>
            <w:top w:val="none" w:sz="0" w:space="0" w:color="auto"/>
            <w:left w:val="none" w:sz="0" w:space="0" w:color="auto"/>
            <w:bottom w:val="none" w:sz="0" w:space="0" w:color="auto"/>
            <w:right w:val="none" w:sz="0" w:space="0" w:color="auto"/>
          </w:divBdr>
        </w:div>
      </w:divsChild>
    </w:div>
    <w:div w:id="1390762709">
      <w:bodyDiv w:val="1"/>
      <w:marLeft w:val="0"/>
      <w:marRight w:val="0"/>
      <w:marTop w:val="0"/>
      <w:marBottom w:val="0"/>
      <w:divBdr>
        <w:top w:val="none" w:sz="0" w:space="0" w:color="auto"/>
        <w:left w:val="none" w:sz="0" w:space="0" w:color="auto"/>
        <w:bottom w:val="none" w:sz="0" w:space="0" w:color="auto"/>
        <w:right w:val="none" w:sz="0" w:space="0" w:color="auto"/>
      </w:divBdr>
    </w:div>
    <w:div w:id="1439643459">
      <w:bodyDiv w:val="1"/>
      <w:marLeft w:val="0"/>
      <w:marRight w:val="0"/>
      <w:marTop w:val="0"/>
      <w:marBottom w:val="0"/>
      <w:divBdr>
        <w:top w:val="none" w:sz="0" w:space="0" w:color="auto"/>
        <w:left w:val="none" w:sz="0" w:space="0" w:color="auto"/>
        <w:bottom w:val="none" w:sz="0" w:space="0" w:color="auto"/>
        <w:right w:val="none" w:sz="0" w:space="0" w:color="auto"/>
      </w:divBdr>
    </w:div>
    <w:div w:id="1444691453">
      <w:bodyDiv w:val="1"/>
      <w:marLeft w:val="0"/>
      <w:marRight w:val="0"/>
      <w:marTop w:val="0"/>
      <w:marBottom w:val="0"/>
      <w:divBdr>
        <w:top w:val="none" w:sz="0" w:space="0" w:color="auto"/>
        <w:left w:val="none" w:sz="0" w:space="0" w:color="auto"/>
        <w:bottom w:val="none" w:sz="0" w:space="0" w:color="auto"/>
        <w:right w:val="none" w:sz="0" w:space="0" w:color="auto"/>
      </w:divBdr>
    </w:div>
    <w:div w:id="1471678187">
      <w:bodyDiv w:val="1"/>
      <w:marLeft w:val="0"/>
      <w:marRight w:val="0"/>
      <w:marTop w:val="0"/>
      <w:marBottom w:val="0"/>
      <w:divBdr>
        <w:top w:val="none" w:sz="0" w:space="0" w:color="auto"/>
        <w:left w:val="none" w:sz="0" w:space="0" w:color="auto"/>
        <w:bottom w:val="none" w:sz="0" w:space="0" w:color="auto"/>
        <w:right w:val="none" w:sz="0" w:space="0" w:color="auto"/>
      </w:divBdr>
      <w:divsChild>
        <w:div w:id="331952033">
          <w:marLeft w:val="0"/>
          <w:marRight w:val="0"/>
          <w:marTop w:val="0"/>
          <w:marBottom w:val="0"/>
          <w:divBdr>
            <w:top w:val="none" w:sz="0" w:space="0" w:color="auto"/>
            <w:left w:val="none" w:sz="0" w:space="0" w:color="auto"/>
            <w:bottom w:val="none" w:sz="0" w:space="0" w:color="auto"/>
            <w:right w:val="none" w:sz="0" w:space="0" w:color="auto"/>
          </w:divBdr>
        </w:div>
        <w:div w:id="1549146269">
          <w:marLeft w:val="0"/>
          <w:marRight w:val="0"/>
          <w:marTop w:val="0"/>
          <w:marBottom w:val="0"/>
          <w:divBdr>
            <w:top w:val="none" w:sz="0" w:space="0" w:color="auto"/>
            <w:left w:val="none" w:sz="0" w:space="0" w:color="auto"/>
            <w:bottom w:val="none" w:sz="0" w:space="0" w:color="auto"/>
            <w:right w:val="none" w:sz="0" w:space="0" w:color="auto"/>
          </w:divBdr>
        </w:div>
      </w:divsChild>
    </w:div>
    <w:div w:id="1478457599">
      <w:bodyDiv w:val="1"/>
      <w:marLeft w:val="0"/>
      <w:marRight w:val="0"/>
      <w:marTop w:val="0"/>
      <w:marBottom w:val="0"/>
      <w:divBdr>
        <w:top w:val="none" w:sz="0" w:space="0" w:color="auto"/>
        <w:left w:val="none" w:sz="0" w:space="0" w:color="auto"/>
        <w:bottom w:val="none" w:sz="0" w:space="0" w:color="auto"/>
        <w:right w:val="none" w:sz="0" w:space="0" w:color="auto"/>
      </w:divBdr>
    </w:div>
    <w:div w:id="1661929042">
      <w:bodyDiv w:val="1"/>
      <w:marLeft w:val="0"/>
      <w:marRight w:val="0"/>
      <w:marTop w:val="0"/>
      <w:marBottom w:val="0"/>
      <w:divBdr>
        <w:top w:val="none" w:sz="0" w:space="0" w:color="auto"/>
        <w:left w:val="none" w:sz="0" w:space="0" w:color="auto"/>
        <w:bottom w:val="none" w:sz="0" w:space="0" w:color="auto"/>
        <w:right w:val="none" w:sz="0" w:space="0" w:color="auto"/>
      </w:divBdr>
      <w:divsChild>
        <w:div w:id="1221401708">
          <w:marLeft w:val="0"/>
          <w:marRight w:val="0"/>
          <w:marTop w:val="0"/>
          <w:marBottom w:val="160"/>
          <w:divBdr>
            <w:top w:val="none" w:sz="0" w:space="0" w:color="auto"/>
            <w:left w:val="none" w:sz="0" w:space="0" w:color="auto"/>
            <w:bottom w:val="none" w:sz="0" w:space="0" w:color="auto"/>
            <w:right w:val="none" w:sz="0" w:space="0" w:color="auto"/>
          </w:divBdr>
        </w:div>
        <w:div w:id="1959291753">
          <w:marLeft w:val="0"/>
          <w:marRight w:val="0"/>
          <w:marTop w:val="0"/>
          <w:marBottom w:val="160"/>
          <w:divBdr>
            <w:top w:val="none" w:sz="0" w:space="0" w:color="auto"/>
            <w:left w:val="none" w:sz="0" w:space="0" w:color="auto"/>
            <w:bottom w:val="none" w:sz="0" w:space="0" w:color="auto"/>
            <w:right w:val="none" w:sz="0" w:space="0" w:color="auto"/>
          </w:divBdr>
        </w:div>
        <w:div w:id="1179394306">
          <w:marLeft w:val="0"/>
          <w:marRight w:val="0"/>
          <w:marTop w:val="0"/>
          <w:marBottom w:val="160"/>
          <w:divBdr>
            <w:top w:val="none" w:sz="0" w:space="0" w:color="auto"/>
            <w:left w:val="none" w:sz="0" w:space="0" w:color="auto"/>
            <w:bottom w:val="none" w:sz="0" w:space="0" w:color="auto"/>
            <w:right w:val="none" w:sz="0" w:space="0" w:color="auto"/>
          </w:divBdr>
        </w:div>
      </w:divsChild>
    </w:div>
    <w:div w:id="1739789570">
      <w:bodyDiv w:val="1"/>
      <w:marLeft w:val="0"/>
      <w:marRight w:val="0"/>
      <w:marTop w:val="0"/>
      <w:marBottom w:val="0"/>
      <w:divBdr>
        <w:top w:val="none" w:sz="0" w:space="0" w:color="auto"/>
        <w:left w:val="none" w:sz="0" w:space="0" w:color="auto"/>
        <w:bottom w:val="none" w:sz="0" w:space="0" w:color="auto"/>
        <w:right w:val="none" w:sz="0" w:space="0" w:color="auto"/>
      </w:divBdr>
    </w:div>
    <w:div w:id="2003848616">
      <w:bodyDiv w:val="1"/>
      <w:marLeft w:val="0"/>
      <w:marRight w:val="0"/>
      <w:marTop w:val="0"/>
      <w:marBottom w:val="0"/>
      <w:divBdr>
        <w:top w:val="none" w:sz="0" w:space="0" w:color="auto"/>
        <w:left w:val="none" w:sz="0" w:space="0" w:color="auto"/>
        <w:bottom w:val="none" w:sz="0" w:space="0" w:color="auto"/>
        <w:right w:val="none" w:sz="0" w:space="0" w:color="auto"/>
      </w:divBdr>
    </w:div>
    <w:div w:id="213425382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https://www.funcionpublica.gov.co/eva/gestornormativo/norma.php?i=77653" TargetMode="External"/><Relationship Id="rId18" Type="http://schemas.openxmlformats.org/officeDocument/2006/relationships/header" Target="header1.xml"/><Relationship Id="rId3" Type="http://schemas.openxmlformats.org/officeDocument/2006/relationships/customXml" Target="../customXml/item3.xml"/><Relationship Id="rId21" Type="http://schemas.openxmlformats.org/officeDocument/2006/relationships/theme" Target="theme/theme1.xml"/><Relationship Id="rId7" Type="http://schemas.openxmlformats.org/officeDocument/2006/relationships/settings" Target="settings.xml"/><Relationship Id="rId12" Type="http://schemas.openxmlformats.org/officeDocument/2006/relationships/hyperlink" Target="mailto:juliperort@hotmail.com" TargetMode="External"/><Relationship Id="rId17" Type="http://schemas.openxmlformats.org/officeDocument/2006/relationships/image" Target="media/image4.png"/><Relationship Id="rId2" Type="http://schemas.openxmlformats.org/officeDocument/2006/relationships/customXml" Target="../customXml/item2.xml"/><Relationship Id="rId16" Type="http://schemas.openxmlformats.org/officeDocument/2006/relationships/hyperlink" Target="http://www.colombiacompra.gov.co" TargetMode="External"/><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3.emf"/><Relationship Id="rId5" Type="http://schemas.openxmlformats.org/officeDocument/2006/relationships/numbering" Target="numbering.xml"/><Relationship Id="rId15" Type="http://schemas.openxmlformats.org/officeDocument/2006/relationships/hyperlink" Target="https://nam02.safelinks.protection.outlook.com/?url=https%3A%2F%2Fwww.colombiacompra.gov.co%2Fnormativa-y-relatoria%2Fdocumentos-tipo&amp;data=05%7C02%7Cdiana.saavedra%40colombiacompra.gov.co%7C603e1a9f513d4811571608dd8e333a73%7C7b09041e245149d08cb179d5e3d8c1be%7C0%7C0%7C638823072860963024%7CUnknown%7CTWFpbGZsb3d8eyJFbXB0eU1hcGkiOnRydWUsIlYiOiIwLjAuMDAwMCIsIlAiOiJXaW4zMiIsIkFOIjoiTWFpbCIsIldUIjoyfQ%3D%3D%7C0%7C%7C%7C&amp;sdata=fp9N4g%2BYBZY64k7jz1pO8bHDKeAbWSpXw7SadinZEB8%3D&amp;reserved=0" TargetMode="External"/><Relationship Id="rId10" Type="http://schemas.openxmlformats.org/officeDocument/2006/relationships/endnotes" Target="endnotes.xml"/><Relationship Id="rId19" Type="http://schemas.openxmlformats.org/officeDocument/2006/relationships/footer" Target="footer1.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s://relatoria.colombiacompra.gov.co/busqueda/conceptos" TargetMode="External"/></Relationships>
</file>

<file path=word/_rels/footnotes.xml.rels><?xml version="1.0" encoding="UTF-8" standalone="yes"?>
<Relationships xmlns="http://schemas.openxmlformats.org/package/2006/relationships"><Relationship Id="rId2" Type="http://schemas.openxmlformats.org/officeDocument/2006/relationships/hyperlink" Target="https://www.dane.gov.co/files/operaciones/EMICRON/bol-EMICRON-Itrim2024.pdf" TargetMode="External"/><Relationship Id="rId1" Type="http://schemas.openxmlformats.org/officeDocument/2006/relationships/hyperlink" Target="https://www.dane.gov.co/index.php/estadisticas-por-tema/comercio-interno/censo-economico-de-colombia/conteo-de-unidades-economicas-2021" TargetMode="External"/></Relationships>
</file>

<file path=word/_rels/header1.xml.rels><?xml version="1.0" encoding="UTF-8" standalone="yes"?>
<Relationships xmlns="http://schemas.openxmlformats.org/package/2006/relationships"><Relationship Id="rId2" Type="http://schemas.openxmlformats.org/officeDocument/2006/relationships/image" Target="media/image6.png"/><Relationship Id="rId1" Type="http://schemas.openxmlformats.org/officeDocument/2006/relationships/image" Target="media/image5.png"/></Relationships>
</file>

<file path=word/_rels/numbering.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pn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SharedWithUsers xmlns="a6cb9e4b-f1d1-4245-83ec-6cad768d538a">
      <UserInfo>
        <DisplayName>Poxta IOIP</DisplayName>
        <AccountId>719</AccountId>
        <AccountType/>
      </UserInfo>
    </SharedWithUsers>
    <lcf76f155ced4ddcb4097134ff3c332f xmlns="9d85dbaf-23eb-4e57-a637-93dcacc8b1a1">
      <Terms xmlns="http://schemas.microsoft.com/office/infopath/2007/PartnerControls"/>
    </lcf76f155ced4ddcb4097134ff3c332f>
    <TaxCatchAll xmlns="a6cb9e4b-f1d1-4245-83ec-6cad768d538a" xsi:nil="true"/>
    <No xmlns="9d85dbaf-23eb-4e57-a637-93dcacc8b1a1" xsi:nil="true"/>
    <_Flow_SignoffStatus xmlns="9d85dbaf-23eb-4e57-a637-93dcacc8b1a1" xsi:nil="true"/>
  </documentManagement>
</p:properties>
</file>

<file path=customXml/item2.xml><?xml version="1.0" encoding="utf-8"?>
<ct:contentTypeSchema xmlns:ct="http://schemas.microsoft.com/office/2006/metadata/contentType" xmlns:ma="http://schemas.microsoft.com/office/2006/metadata/properties/metaAttributes" ct:_="" ma:_="" ma:contentTypeName="Documento" ma:contentTypeID="0x010100F2E0F32964D9B84EA054B84E5D4157A0" ma:contentTypeVersion="20" ma:contentTypeDescription="Crear nuevo documento." ma:contentTypeScope="" ma:versionID="3b428e1ff36e4b927e43637ad3eea921">
  <xsd:schema xmlns:xsd="http://www.w3.org/2001/XMLSchema" xmlns:xs="http://www.w3.org/2001/XMLSchema" xmlns:p="http://schemas.microsoft.com/office/2006/metadata/properties" xmlns:ns2="9d85dbaf-23eb-4e57-a637-93dcacc8b1a1" xmlns:ns3="a6cb9e4b-f1d1-4245-83ec-6cad768d538a" targetNamespace="http://schemas.microsoft.com/office/2006/metadata/properties" ma:root="true" ma:fieldsID="fb48c39798a5be86c32f55b38e9c5e14" ns2:_="" ns3:_="">
    <xsd:import namespace="9d85dbaf-23eb-4e57-a637-93dcacc8b1a1"/>
    <xsd:import namespace="a6cb9e4b-f1d1-4245-83ec-6cad768d538a"/>
    <xsd:element name="properties">
      <xsd:complexType>
        <xsd:sequence>
          <xsd:element name="documentManagement">
            <xsd:complexType>
              <xsd:all>
                <xsd:element ref="ns2:MediaServiceMetadata" minOccurs="0"/>
                <xsd:element ref="ns2:MediaServiceFastMetadata" minOccurs="0"/>
                <xsd:element ref="ns2:MediaServiceEventHashCode" minOccurs="0"/>
                <xsd:element ref="ns2:MediaServiceGenerationTime" minOccurs="0"/>
                <xsd:element ref="ns3:SharedWithUsers" minOccurs="0"/>
                <xsd:element ref="ns3:SharedWithDetails" minOccurs="0"/>
                <xsd:element ref="ns2:MediaServiceAutoTags" minOccurs="0"/>
                <xsd:element ref="ns2:MediaServiceOCR" minOccurs="0"/>
                <xsd:element ref="ns2:MediaServiceDateTaken" minOccurs="0"/>
                <xsd:element ref="ns2:MediaServiceAutoKeyPoints" minOccurs="0"/>
                <xsd:element ref="ns2:MediaServiceKeyPoints" minOccurs="0"/>
                <xsd:element ref="ns2:No" minOccurs="0"/>
                <xsd:element ref="ns2:MediaLengthInSeconds" minOccurs="0"/>
                <xsd:element ref="ns2:lcf76f155ced4ddcb4097134ff3c332f" minOccurs="0"/>
                <xsd:element ref="ns3:TaxCatchAll" minOccurs="0"/>
                <xsd:element ref="ns2:MediaServiceObjectDetectorVersions" minOccurs="0"/>
                <xsd:element ref="ns2:_Flow_SignoffStatus" minOccurs="0"/>
                <xsd:element ref="ns2:MediaServiceLocation"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d85dbaf-23eb-4e57-a637-93dcacc8b1a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EventHashCode" ma:index="10" nillable="true" ma:displayName="MediaServiceEventHashCode" ma:hidden="true" ma:internalName="MediaServiceEventHashCode" ma:readOnly="true">
      <xsd:simpleType>
        <xsd:restriction base="dms:Text"/>
      </xsd:simpleType>
    </xsd:element>
    <xsd:element name="MediaServiceGenerationTime" ma:index="11" nillable="true" ma:displayName="MediaServiceGenerationTime" ma:hidden="true" ma:internalName="MediaServiceGenerationTime" ma:readOnly="true">
      <xsd:simpleType>
        <xsd:restriction base="dms:Text"/>
      </xsd:simpleType>
    </xsd:element>
    <xsd:element name="MediaServiceAutoTags" ma:index="14" nillable="true" ma:displayName="Tags" ma:internalName="MediaServiceAutoTags" ma:readOnly="true">
      <xsd:simpleType>
        <xsd:restriction base="dms:Text"/>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DateTaken" ma:index="16" nillable="true" ma:displayName="MediaServiceDateTaken" ma:hidden="true" ma:internalName="MediaServiceDateTaken" ma:readOnly="true">
      <xsd:simpleType>
        <xsd:restriction base="dms:Text"/>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No" ma:index="19" nillable="true" ma:displayName="No" ma:format="Dropdown" ma:internalName="No" ma:percentage="FALSE">
      <xsd:simpleType>
        <xsd:restriction base="dms:Number"/>
      </xsd:simpleType>
    </xsd:element>
    <xsd:element name="MediaLengthInSeconds" ma:index="20" nillable="true" ma:displayName="Length (seconds)"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Etiquetas de imagen" ma:readOnly="false" ma:fieldId="{5cf76f15-5ced-4ddc-b409-7134ff3c332f}" ma:taxonomyMulti="true" ma:sspId="d11a0eb6-ad86-4071-a759-4f0356bdcc6a"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_Flow_SignoffStatus" ma:index="25" nillable="true" ma:displayName="Estado de aprobación" ma:internalName="Estado_x0020_de_x0020_aprobaci_x00f3_n">
      <xsd:simpleType>
        <xsd:restriction base="dms:Text"/>
      </xsd:simpleType>
    </xsd:element>
    <xsd:element name="MediaServiceLocation" ma:index="26" nillable="true" ma:displayName="Location" ma:description="" ma:indexed="true" ma:internalName="MediaServiceLocation" ma:readOnly="true">
      <xsd:simpleType>
        <xsd:restriction base="dms:Text"/>
      </xsd:simpleType>
    </xsd:element>
    <xsd:element name="MediaServiceSearchProperties" ma:index="27"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a6cb9e4b-f1d1-4245-83ec-6cad768d538a" elementFormDefault="qualified">
    <xsd:import namespace="http://schemas.microsoft.com/office/2006/documentManagement/types"/>
    <xsd:import namespace="http://schemas.microsoft.com/office/infopath/2007/PartnerControls"/>
    <xsd:element name="SharedWithUsers" ma:index="12" nillable="true" ma:displayName="Compartido c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Detalles de uso compartido" ma:internalName="SharedWithDetails" ma:readOnly="true">
      <xsd:simpleType>
        <xsd:restriction base="dms:Note">
          <xsd:maxLength value="255"/>
        </xsd:restriction>
      </xsd:simpleType>
    </xsd:element>
    <xsd:element name="TaxCatchAll" ma:index="23" nillable="true" ma:displayName="Taxonomy Catch All Column" ma:hidden="true" ma:list="{1105a6f2-09f1-4f7d-bab9-e03f1dc4ac6e}" ma:internalName="TaxCatchAll" ma:showField="CatchAllData" ma:web="a6cb9e4b-f1d1-4245-83ec-6cad768d538a">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e contenido"/>
        <xsd:element ref="dc:title" minOccurs="0" maxOccurs="1" ma:index="4" ma:displayName="Títu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b:Sources xmlns:b="http://schemas.openxmlformats.org/officeDocument/2006/bibliography" xmlns="http://schemas.openxmlformats.org/officeDocument/2006/bibliography" SelectedStyle="\APASixthEditionOfficeOnline.xsl" StyleName="APA" Version="6"/>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163618BE-28CB-4D69-955E-CDA788483BED}">
  <ds:schemaRefs>
    <ds:schemaRef ds:uri="http://schemas.microsoft.com/office/2006/metadata/properties"/>
    <ds:schemaRef ds:uri="http://schemas.microsoft.com/office/infopath/2007/PartnerControls"/>
    <ds:schemaRef ds:uri="a6cb9e4b-f1d1-4245-83ec-6cad768d538a"/>
    <ds:schemaRef ds:uri="9d85dbaf-23eb-4e57-a637-93dcacc8b1a1"/>
  </ds:schemaRefs>
</ds:datastoreItem>
</file>

<file path=customXml/itemProps2.xml><?xml version="1.0" encoding="utf-8"?>
<ds:datastoreItem xmlns:ds="http://schemas.openxmlformats.org/officeDocument/2006/customXml" ds:itemID="{E13505DD-BD8A-4C72-9BF3-E233AAE1D481}">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d85dbaf-23eb-4e57-a637-93dcacc8b1a1"/>
    <ds:schemaRef ds:uri="a6cb9e4b-f1d1-4245-83ec-6cad768d538a"/>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E9F5B965-F629-4BFB-A673-8B67D72F00C7}">
  <ds:schemaRefs>
    <ds:schemaRef ds:uri="http://schemas.openxmlformats.org/officeDocument/2006/bibliography"/>
  </ds:schemaRefs>
</ds:datastoreItem>
</file>

<file path=customXml/itemProps4.xml><?xml version="1.0" encoding="utf-8"?>
<ds:datastoreItem xmlns:ds="http://schemas.openxmlformats.org/officeDocument/2006/customXml" ds:itemID="{19B0637E-D058-473B-8FE7-AA861F69C797}">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21</TotalTime>
  <Pages>25</Pages>
  <Words>7636</Words>
  <Characters>42000</Characters>
  <Application>Microsoft Office Word</Application>
  <DocSecurity>0</DocSecurity>
  <Lines>350</Lines>
  <Paragraphs>99</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49537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Andrés Felipe Ospina Acosta</dc:creator>
  <cp:keywords/>
  <dc:description/>
  <cp:lastModifiedBy>José Luis S</cp:lastModifiedBy>
  <cp:revision>2</cp:revision>
  <cp:lastPrinted>2023-01-10T21:18:00Z</cp:lastPrinted>
  <dcterms:created xsi:type="dcterms:W3CDTF">2025-05-12T16:44:00Z</dcterms:created>
  <dcterms:modified xsi:type="dcterms:W3CDTF">2025-05-12T16:44:00Z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0x010100F2E0F32964D9B84EA054B84E5D4157A0</vt:lpwstr>
  </property>
  <property fmtid="{D5CDD505-2E9C-101B-9397-08002B2CF9AE}" pid="3" name="MediaServiceImageTags">
    <vt:lpwstr/>
  </property>
</Properties>
</file>