
<file path=[Content_Types].xml><?xml version="1.0" encoding="utf-8"?>
<Types xmlns="http://schemas.openxmlformats.org/package/2006/content-types">
  <Default Extension="emf" ContentType="image/x-emf"/>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A7B98B" w14:textId="77777777" w:rsidR="00877A1C" w:rsidRPr="006A20F9" w:rsidRDefault="00877A1C" w:rsidP="006A20F9">
      <w:pPr>
        <w:spacing w:line="240" w:lineRule="auto"/>
        <w:jc w:val="both"/>
        <w:rPr>
          <w:rFonts w:ascii="Century Gothic" w:hAnsi="Century Gothic" w:cs="Arial"/>
          <w:b/>
          <w:bCs/>
          <w:sz w:val="20"/>
          <w:szCs w:val="20"/>
          <w:lang w:val="es-ES_tradnl"/>
        </w:rPr>
      </w:pPr>
      <w:r w:rsidRPr="006A20F9">
        <w:rPr>
          <w:rFonts w:ascii="Century Gothic" w:hAnsi="Century Gothic" w:cs="Arial"/>
          <w:b/>
          <w:bCs/>
          <w:sz w:val="20"/>
          <w:szCs w:val="20"/>
          <w:lang w:val="es-ES_tradnl"/>
        </w:rPr>
        <w:t>ANTICIPO – Regulación normativa</w:t>
      </w:r>
    </w:p>
    <w:p w14:paraId="76852815" w14:textId="77777777" w:rsidR="004B12B5" w:rsidRPr="006A20F9" w:rsidRDefault="00877A1C" w:rsidP="006A20F9">
      <w:pPr>
        <w:spacing w:line="240" w:lineRule="auto"/>
        <w:jc w:val="both"/>
        <w:rPr>
          <w:rFonts w:ascii="Century Gothic" w:hAnsi="Century Gothic"/>
          <w:sz w:val="20"/>
          <w:szCs w:val="20"/>
        </w:rPr>
      </w:pPr>
      <w:r w:rsidRPr="006A20F9">
        <w:rPr>
          <w:rFonts w:ascii="Century Gothic" w:hAnsi="Century Gothic"/>
          <w:sz w:val="20"/>
          <w:szCs w:val="20"/>
        </w:rPr>
        <w:t xml:space="preserve">En materia de contratación pública, la figura del anticipo está prevista en dos (2) normas: el inciso primero del parágrafo del artículo 40 de la Ley 80 de 1993 y en el artículo 91 de la Ley 1474 de 2011. En cuanto al Estatuto General de Contratación de la Administración Pública, se dispone la posibilidad de pactar anticipos en los contratos, pero sujeto a determinadas limitaciones. En efecto, la norma prescribe que “En los contratos que celebren las entidades estatales se podrá pactar el pago anticipado y la entrega de anticipos, pero su monto no podrá exceder del cincuenta por ciento (50%) del valor del respectivo contrato”. </w:t>
      </w:r>
    </w:p>
    <w:p w14:paraId="397C2A58" w14:textId="5E622729" w:rsidR="00877A1C" w:rsidRPr="006A20F9" w:rsidRDefault="00877A1C" w:rsidP="006A20F9">
      <w:pPr>
        <w:spacing w:line="240" w:lineRule="auto"/>
        <w:jc w:val="both"/>
        <w:rPr>
          <w:rFonts w:ascii="Century Gothic" w:hAnsi="Century Gothic" w:cs="Arial"/>
          <w:b/>
          <w:bCs/>
          <w:sz w:val="20"/>
          <w:szCs w:val="20"/>
          <w:lang w:val="es-ES_tradnl"/>
        </w:rPr>
      </w:pPr>
      <w:r w:rsidRPr="006A20F9">
        <w:rPr>
          <w:rFonts w:ascii="Century Gothic" w:hAnsi="Century Gothic"/>
          <w:sz w:val="20"/>
          <w:szCs w:val="20"/>
        </w:rPr>
        <w:t>Por su parte, el artículo 91 de la Ley 1474 de 2011 consagra una regla especial para el manejo del anticipo. Según esta disposición, el contratista tiene la obligación de constituir una fiducia o un patrimonio autónomo irrevocable para el manejo de los recursos que reciba a título de anticipo, cuando se pacte en contratos de obra, concesión, salud, o en todos aquellos que se realicen por licitación pública, “salvo que el contrato sea de menor o mínima cuantía”. Lo anterior, con el fin de garantizar que se destinen exclusivamente a la ejecución del contrato</w:t>
      </w:r>
    </w:p>
    <w:p w14:paraId="55816ADF" w14:textId="77777777" w:rsidR="00877A1C" w:rsidRPr="006A20F9" w:rsidRDefault="00877A1C" w:rsidP="006A20F9">
      <w:pPr>
        <w:spacing w:line="240" w:lineRule="auto"/>
        <w:jc w:val="both"/>
        <w:rPr>
          <w:rFonts w:ascii="Century Gothic" w:hAnsi="Century Gothic" w:cs="Arial"/>
          <w:b/>
          <w:bCs/>
          <w:sz w:val="20"/>
          <w:szCs w:val="20"/>
        </w:rPr>
      </w:pPr>
      <w:r w:rsidRPr="006A20F9">
        <w:rPr>
          <w:rFonts w:ascii="Century Gothic" w:hAnsi="Century Gothic" w:cs="Arial"/>
          <w:b/>
          <w:bCs/>
          <w:sz w:val="20"/>
          <w:szCs w:val="20"/>
        </w:rPr>
        <w:t>ANTICIPO – Definición jurisprudencial</w:t>
      </w:r>
    </w:p>
    <w:p w14:paraId="40280A5C" w14:textId="4DBC4205" w:rsidR="004B12B5" w:rsidRPr="006A20F9" w:rsidRDefault="004B12B5" w:rsidP="006A20F9">
      <w:pPr>
        <w:spacing w:line="240" w:lineRule="auto"/>
        <w:jc w:val="both"/>
        <w:rPr>
          <w:rFonts w:ascii="Century Gothic" w:hAnsi="Century Gothic"/>
          <w:sz w:val="20"/>
          <w:szCs w:val="20"/>
        </w:rPr>
      </w:pPr>
      <w:r w:rsidRPr="006A20F9">
        <w:rPr>
          <w:rFonts w:ascii="Century Gothic" w:hAnsi="Century Gothic"/>
          <w:sz w:val="20"/>
          <w:szCs w:val="20"/>
        </w:rPr>
        <w:t>Aunque las normas citadas no definen el anticipo, el Consejo de Estado ha precisado su naturaleza jurídica fijando parámetros para su aplicación. En uno de sus pronunciamientos más recientes, el Consejo de Estado se refirió al anticipo como “un recurso o suma correspondiente a un porcentaje del valor total del contrato, pactado como contraprestación, que la entidad pública le entrega al contratista para que sea invertida específicamente en la ejecución del contrato y sea manejada generalmente en cuenta separada, con imposición de obligaciones relacionadas con legalización y amortización de</w:t>
      </w:r>
      <w:r w:rsidRPr="006A20F9">
        <w:rPr>
          <w:rFonts w:ascii="Century Gothic" w:hAnsi="Century Gothic"/>
          <w:sz w:val="20"/>
          <w:szCs w:val="20"/>
        </w:rPr>
        <w:t xml:space="preserve"> </w:t>
      </w:r>
      <w:r w:rsidRPr="006A20F9">
        <w:rPr>
          <w:rFonts w:ascii="Century Gothic" w:hAnsi="Century Gothic"/>
          <w:sz w:val="20"/>
          <w:szCs w:val="20"/>
        </w:rPr>
        <w:t xml:space="preserve">la inversión, de suerte que el monto entregado como anticipo no ingresa al patrimonio del contratista sino cuando ha sido debidamente amortizado”. </w:t>
      </w:r>
    </w:p>
    <w:p w14:paraId="4E44D9EA" w14:textId="77777777" w:rsidR="004B12B5" w:rsidRPr="006A20F9" w:rsidRDefault="004B12B5" w:rsidP="006A20F9">
      <w:pPr>
        <w:spacing w:line="240" w:lineRule="auto"/>
        <w:jc w:val="both"/>
        <w:rPr>
          <w:rFonts w:ascii="Century Gothic" w:hAnsi="Century Gothic"/>
          <w:sz w:val="20"/>
          <w:szCs w:val="20"/>
        </w:rPr>
      </w:pPr>
      <w:r w:rsidRPr="006A20F9">
        <w:rPr>
          <w:rFonts w:ascii="Century Gothic" w:hAnsi="Century Gothic"/>
          <w:sz w:val="20"/>
          <w:szCs w:val="20"/>
        </w:rPr>
        <w:t xml:space="preserve">Sobre la calidad de recurso público del anticipo, la jurisprudencia ha reiterado que “dicho dinero no hace parte del patrimonio del contratista y le pertenece a la entidad contratante hasta tanto se amortice. De allí se deduce que la función del anticipo en el contrato es, de entrada, financiar las prestaciones del contratista, y hace razonable el amparo del buen manejo y correcta inversión de estos recursos dentro de la garantía única de cumplimiento”. Igualmente, explica que el anticipo, al facilitar al contratista la financiación de los bienes y servicios que se le han encargado, es un factor determinante para impulsar la ejecución del contrato. Este también es el entendimiento de la doctrina, que ha considerado el anticipo como un dinero entregado al contratista que debe cancelarse mediante descuentos parciales, siendo una práctica común que permite impulsar la ejecución del contrato. </w:t>
      </w:r>
    </w:p>
    <w:p w14:paraId="096903E4" w14:textId="4615D2CD" w:rsidR="004B12B5" w:rsidRPr="006A20F9" w:rsidRDefault="004B12B5" w:rsidP="006A20F9">
      <w:pPr>
        <w:spacing w:line="240" w:lineRule="auto"/>
        <w:jc w:val="both"/>
        <w:rPr>
          <w:rFonts w:ascii="Century Gothic" w:hAnsi="Century Gothic" w:cs="Arial"/>
          <w:b/>
          <w:bCs/>
          <w:sz w:val="20"/>
          <w:szCs w:val="20"/>
        </w:rPr>
      </w:pPr>
      <w:r w:rsidRPr="006A20F9">
        <w:rPr>
          <w:rFonts w:ascii="Century Gothic" w:hAnsi="Century Gothic"/>
          <w:sz w:val="20"/>
          <w:szCs w:val="20"/>
        </w:rPr>
        <w:t>Así, de acuerdo con las consideraciones de la jurisprudencia y la doctrina, el anticipo es aquella suma de dinero entregada al contratista con la finalidad de apalancarlo financieramente para solventar los costos de la ejecución del contrato. Este dinero debe amortizarse de acuerdo con el avance en la ejecución. De esta forma, los recursos entregados a título de anticipo son del erario, razón por la que debe garantizarse su buen manejo y correcta inversión.</w:t>
      </w:r>
    </w:p>
    <w:p w14:paraId="6A31BF5F" w14:textId="77777777" w:rsidR="00877A1C" w:rsidRPr="006A20F9" w:rsidRDefault="00877A1C" w:rsidP="006A20F9">
      <w:pPr>
        <w:spacing w:line="240" w:lineRule="auto"/>
        <w:jc w:val="both"/>
        <w:rPr>
          <w:rFonts w:ascii="Century Gothic" w:hAnsi="Century Gothic" w:cs="Arial"/>
          <w:b/>
          <w:bCs/>
          <w:sz w:val="20"/>
          <w:szCs w:val="20"/>
        </w:rPr>
      </w:pPr>
      <w:r w:rsidRPr="006A20F9">
        <w:rPr>
          <w:rFonts w:ascii="Century Gothic" w:hAnsi="Century Gothic" w:cs="Arial"/>
          <w:b/>
          <w:bCs/>
          <w:sz w:val="20"/>
          <w:szCs w:val="20"/>
        </w:rPr>
        <w:lastRenderedPageBreak/>
        <w:t>ANTICIPO – Autonomía de la voluntad – Derechos y obligaciones recíprocos</w:t>
      </w:r>
    </w:p>
    <w:p w14:paraId="476F5B2F" w14:textId="59F9048D" w:rsidR="004B12B5" w:rsidRPr="006A20F9" w:rsidRDefault="004B12B5" w:rsidP="006A20F9">
      <w:pPr>
        <w:spacing w:line="240" w:lineRule="auto"/>
        <w:jc w:val="both"/>
        <w:rPr>
          <w:rFonts w:ascii="Century Gothic" w:hAnsi="Century Gothic"/>
          <w:sz w:val="20"/>
          <w:szCs w:val="20"/>
        </w:rPr>
      </w:pPr>
      <w:r w:rsidRPr="006A20F9">
        <w:rPr>
          <w:rFonts w:ascii="Century Gothic" w:hAnsi="Century Gothic"/>
          <w:sz w:val="20"/>
          <w:szCs w:val="20"/>
        </w:rPr>
        <w:t>Como característica esencial del anticipo, derivada del artículo 40 de la Ley 80 de 1993, el pacto proviene de la autonomía de la voluntad de las partes. De allí que se generen una serie de derechos y obligaciones recíprocos entre ellas. Por un lado, el contratante tiene</w:t>
      </w:r>
      <w:r w:rsidRPr="006A20F9">
        <w:rPr>
          <w:rFonts w:ascii="Century Gothic" w:hAnsi="Century Gothic"/>
          <w:sz w:val="20"/>
          <w:szCs w:val="20"/>
        </w:rPr>
        <w:t xml:space="preserve"> </w:t>
      </w:r>
      <w:r w:rsidRPr="006A20F9">
        <w:rPr>
          <w:rFonts w:ascii="Century Gothic" w:hAnsi="Century Gothic"/>
          <w:sz w:val="20"/>
          <w:szCs w:val="20"/>
        </w:rPr>
        <w:t>la obligación de entregar el valor pactado como anticipo y el derecho a que los recursos sean empleados en la forma estipulada. Por otro lado, el contratista tiene derecho a recibir dicho anticipo y la obligación de destinarlo a la ejecución del contrato</w:t>
      </w:r>
      <w:r w:rsidRPr="006A20F9">
        <w:rPr>
          <w:rFonts w:ascii="Century Gothic" w:hAnsi="Century Gothic"/>
          <w:sz w:val="20"/>
          <w:szCs w:val="20"/>
        </w:rPr>
        <w:t>.</w:t>
      </w:r>
    </w:p>
    <w:p w14:paraId="057A927A" w14:textId="77777777" w:rsidR="004B12B5" w:rsidRPr="006A20F9" w:rsidRDefault="004B12B5" w:rsidP="006A20F9">
      <w:pPr>
        <w:spacing w:line="240" w:lineRule="auto"/>
        <w:jc w:val="both"/>
        <w:rPr>
          <w:rFonts w:ascii="Century Gothic" w:hAnsi="Century Gothic"/>
          <w:sz w:val="20"/>
          <w:szCs w:val="20"/>
        </w:rPr>
      </w:pPr>
      <w:r w:rsidRPr="006A20F9">
        <w:rPr>
          <w:rFonts w:ascii="Century Gothic" w:hAnsi="Century Gothic"/>
          <w:sz w:val="20"/>
          <w:szCs w:val="20"/>
        </w:rPr>
        <w:t xml:space="preserve">Las entidades estatales tienen la facultad de pactar la entrega de anticipos en los contratos que celebren. Para ello, deberán realizar el estudio correspondiente con el fin de determinar la conveniencia de otorgar recursos al contratista bajo esa denominación. De este modo, las entidades podrán determinar las condiciones de entrega, el monto –que no podrá ser superior al cincuenta por ciento (50%) del valor del contrato–, el plazo de amortización, las condiciones necesarias para su exigibilidad, así como todas las obligaciones para su correcta inversión. </w:t>
      </w:r>
    </w:p>
    <w:p w14:paraId="796992C2" w14:textId="20234E2B" w:rsidR="004B12B5" w:rsidRPr="006A20F9" w:rsidRDefault="004B12B5" w:rsidP="006A20F9">
      <w:pPr>
        <w:spacing w:line="240" w:lineRule="auto"/>
        <w:jc w:val="both"/>
        <w:rPr>
          <w:rFonts w:ascii="Century Gothic" w:hAnsi="Century Gothic" w:cs="Arial"/>
          <w:b/>
          <w:bCs/>
          <w:sz w:val="20"/>
          <w:szCs w:val="20"/>
        </w:rPr>
      </w:pPr>
      <w:r w:rsidRPr="006A20F9">
        <w:rPr>
          <w:rFonts w:ascii="Century Gothic" w:hAnsi="Century Gothic"/>
          <w:sz w:val="20"/>
          <w:szCs w:val="20"/>
        </w:rPr>
        <w:t>Adicionalmente, el parágrafo del artículo 40 de la Ley 80 de 1993 no restringe el tipo de contratos estatales en los cuales es posible el ejercicio de esta facultad. Es decir, no limita la posibilidad de pactar anticipo dependiendo de la tipología contractual o la modalidad de selección del contratista. De hecho, el Estatuto General de Contratación de la Administración Pública dispone como única limitación el valor máximo que puede desembolsar la entidad para pactar el anticipo</w:t>
      </w:r>
    </w:p>
    <w:p w14:paraId="1B505F14" w14:textId="77777777" w:rsidR="00877A1C" w:rsidRPr="006A20F9" w:rsidRDefault="00877A1C" w:rsidP="006A20F9">
      <w:pPr>
        <w:spacing w:line="240" w:lineRule="auto"/>
        <w:jc w:val="both"/>
        <w:rPr>
          <w:rFonts w:ascii="Century Gothic" w:hAnsi="Century Gothic" w:cs="Arial"/>
          <w:b/>
          <w:bCs/>
          <w:sz w:val="20"/>
          <w:szCs w:val="20"/>
        </w:rPr>
      </w:pPr>
      <w:r w:rsidRPr="006A20F9">
        <w:rPr>
          <w:rFonts w:ascii="Century Gothic" w:hAnsi="Century Gothic" w:cs="Arial"/>
          <w:b/>
          <w:bCs/>
          <w:sz w:val="20"/>
          <w:szCs w:val="20"/>
        </w:rPr>
        <w:t>CONSTITUCIÓN DE FIDUCIA O PATRIMONIO AUTÓNOMO IRREVOCABLE – Artículo 91 ley 1474 de 2011</w:t>
      </w:r>
    </w:p>
    <w:p w14:paraId="4A58B664" w14:textId="75B77C35" w:rsidR="004B12B5" w:rsidRPr="006A20F9" w:rsidRDefault="004B12B5" w:rsidP="006A20F9">
      <w:pPr>
        <w:spacing w:line="240" w:lineRule="auto"/>
        <w:jc w:val="both"/>
        <w:rPr>
          <w:rFonts w:ascii="Century Gothic" w:hAnsi="Century Gothic"/>
          <w:sz w:val="20"/>
          <w:szCs w:val="20"/>
        </w:rPr>
      </w:pPr>
      <w:r w:rsidRPr="006A20F9">
        <w:rPr>
          <w:rFonts w:ascii="Century Gothic" w:hAnsi="Century Gothic"/>
          <w:sz w:val="20"/>
          <w:szCs w:val="20"/>
        </w:rPr>
        <w:t>Es evidente entonces que para ciertos tipos de contratos la Ley ha impuesto la obligación al contratista de constituir una fiducia o patrimonio autónomo irrevocable. Esta obligación tiene el propósito de asegurar el buen manejo de los recursos que se entreguen a título de anticipo, así como garantizar que estos sean destinados única y exclusivamente para solventar los costos iniciales de la ejecución, de acuerdo con las condiciones pactadas.</w:t>
      </w:r>
    </w:p>
    <w:p w14:paraId="6438547F" w14:textId="42513349" w:rsidR="004B12B5" w:rsidRPr="006A20F9" w:rsidRDefault="004B12B5" w:rsidP="006A20F9">
      <w:pPr>
        <w:spacing w:line="240" w:lineRule="auto"/>
        <w:jc w:val="both"/>
        <w:rPr>
          <w:rFonts w:ascii="Century Gothic" w:hAnsi="Century Gothic"/>
          <w:sz w:val="20"/>
          <w:szCs w:val="20"/>
        </w:rPr>
      </w:pPr>
      <w:r w:rsidRPr="006A20F9">
        <w:rPr>
          <w:rFonts w:ascii="Century Gothic" w:hAnsi="Century Gothic"/>
          <w:sz w:val="20"/>
          <w:szCs w:val="20"/>
        </w:rPr>
        <w:t xml:space="preserve">En ese sentido, es claro que el artículo 91 de la Ley 1474 de 2011 determina el ámbito de aplicación, al enumerar los casos en los cuales es deber del contratista constituir un patrimonio autónomo o una fiducia para administrar los recursos del anticipo. Para tales efectos, se establecen los siguientes contratos: i) obra, </w:t>
      </w:r>
      <w:proofErr w:type="spellStart"/>
      <w:r w:rsidRPr="006A20F9">
        <w:rPr>
          <w:rFonts w:ascii="Century Gothic" w:hAnsi="Century Gothic"/>
          <w:sz w:val="20"/>
          <w:szCs w:val="20"/>
        </w:rPr>
        <w:t>ii</w:t>
      </w:r>
      <w:proofErr w:type="spellEnd"/>
      <w:r w:rsidRPr="006A20F9">
        <w:rPr>
          <w:rFonts w:ascii="Century Gothic" w:hAnsi="Century Gothic"/>
          <w:sz w:val="20"/>
          <w:szCs w:val="20"/>
        </w:rPr>
        <w:t xml:space="preserve">) concesión, </w:t>
      </w:r>
      <w:proofErr w:type="spellStart"/>
      <w:r w:rsidRPr="006A20F9">
        <w:rPr>
          <w:rFonts w:ascii="Century Gothic" w:hAnsi="Century Gothic"/>
          <w:sz w:val="20"/>
          <w:szCs w:val="20"/>
        </w:rPr>
        <w:t>iii</w:t>
      </w:r>
      <w:proofErr w:type="spellEnd"/>
      <w:r w:rsidRPr="006A20F9">
        <w:rPr>
          <w:rFonts w:ascii="Century Gothic" w:hAnsi="Century Gothic"/>
          <w:sz w:val="20"/>
          <w:szCs w:val="20"/>
        </w:rPr>
        <w:t xml:space="preserve">) salud y </w:t>
      </w:r>
      <w:proofErr w:type="spellStart"/>
      <w:r w:rsidRPr="006A20F9">
        <w:rPr>
          <w:rFonts w:ascii="Century Gothic" w:hAnsi="Century Gothic"/>
          <w:sz w:val="20"/>
          <w:szCs w:val="20"/>
        </w:rPr>
        <w:t>iv</w:t>
      </w:r>
      <w:proofErr w:type="spellEnd"/>
      <w:r w:rsidRPr="006A20F9">
        <w:rPr>
          <w:rFonts w:ascii="Century Gothic" w:hAnsi="Century Gothic"/>
          <w:sz w:val="20"/>
          <w:szCs w:val="20"/>
        </w:rPr>
        <w:t>) los contratos derivados de un proceso de licitación pública</w:t>
      </w:r>
    </w:p>
    <w:p w14:paraId="29790583" w14:textId="6973D21C" w:rsidR="00877A1C" w:rsidRPr="006A20F9" w:rsidRDefault="00877A1C" w:rsidP="006A20F9">
      <w:pPr>
        <w:spacing w:line="240" w:lineRule="auto"/>
        <w:jc w:val="both"/>
        <w:rPr>
          <w:rFonts w:ascii="Century Gothic" w:hAnsi="Century Gothic" w:cs="Arial"/>
          <w:b/>
          <w:bCs/>
          <w:sz w:val="20"/>
          <w:szCs w:val="20"/>
        </w:rPr>
      </w:pPr>
      <w:r w:rsidRPr="006A20F9">
        <w:rPr>
          <w:rFonts w:ascii="Century Gothic" w:hAnsi="Century Gothic" w:cs="Arial"/>
          <w:b/>
          <w:bCs/>
          <w:sz w:val="20"/>
          <w:szCs w:val="20"/>
        </w:rPr>
        <w:t>FIDUCIA – Fiducia pública –– Encargo fiduciario - Patrimonio autónomo y fiducia mercantil –– Diferencias.</w:t>
      </w:r>
    </w:p>
    <w:p w14:paraId="3CCB9B39" w14:textId="2FCBA41B" w:rsidR="004B12B5" w:rsidRPr="006A20F9" w:rsidRDefault="006A20F9" w:rsidP="006A20F9">
      <w:pPr>
        <w:spacing w:line="240" w:lineRule="auto"/>
        <w:jc w:val="both"/>
        <w:rPr>
          <w:rFonts w:ascii="Century Gothic" w:hAnsi="Century Gothic"/>
          <w:sz w:val="20"/>
          <w:szCs w:val="20"/>
        </w:rPr>
      </w:pPr>
      <w:r w:rsidRPr="006A20F9">
        <w:rPr>
          <w:rFonts w:ascii="Century Gothic" w:hAnsi="Century Gothic"/>
          <w:sz w:val="20"/>
          <w:szCs w:val="20"/>
        </w:rPr>
        <w:t xml:space="preserve">El contrato de fiducia mercantil encuentra su definición en el artículo 1226 del Código de Comercio, norma que establece como elementos característicos del negocio jurídico: i) la existencia de al menos dos sujetos: fiduciante y fiduciario y, </w:t>
      </w:r>
      <w:proofErr w:type="spellStart"/>
      <w:r w:rsidRPr="006A20F9">
        <w:rPr>
          <w:rFonts w:ascii="Century Gothic" w:hAnsi="Century Gothic"/>
          <w:sz w:val="20"/>
          <w:szCs w:val="20"/>
        </w:rPr>
        <w:t>ii</w:t>
      </w:r>
      <w:proofErr w:type="spellEnd"/>
      <w:r w:rsidRPr="006A20F9">
        <w:rPr>
          <w:rFonts w:ascii="Century Gothic" w:hAnsi="Century Gothic"/>
          <w:sz w:val="20"/>
          <w:szCs w:val="20"/>
        </w:rPr>
        <w:t>) la transferencia del dominio de los bienes fideicomitidos</w:t>
      </w:r>
      <w:r w:rsidRPr="006A20F9">
        <w:rPr>
          <w:rFonts w:ascii="Century Gothic" w:hAnsi="Century Gothic"/>
          <w:sz w:val="20"/>
          <w:szCs w:val="20"/>
        </w:rPr>
        <w:t xml:space="preserve"> (…) </w:t>
      </w:r>
      <w:r w:rsidRPr="006A20F9">
        <w:rPr>
          <w:rFonts w:ascii="Century Gothic" w:hAnsi="Century Gothic"/>
          <w:sz w:val="20"/>
          <w:szCs w:val="20"/>
        </w:rPr>
        <w:t>Por su parte, existe un encargo fiduciario en aquellos casos en que no se presenta la transferencia de propiedad de los bienes, de tal suerte que estos no salen del patrimonio del fideicomitente</w:t>
      </w:r>
      <w:r w:rsidRPr="006A20F9">
        <w:rPr>
          <w:rFonts w:ascii="Century Gothic" w:hAnsi="Century Gothic"/>
          <w:sz w:val="20"/>
          <w:szCs w:val="20"/>
        </w:rPr>
        <w:t>.</w:t>
      </w:r>
    </w:p>
    <w:p w14:paraId="6075FAF6" w14:textId="02067C49" w:rsidR="006A20F9" w:rsidRPr="006A20F9" w:rsidRDefault="006A20F9" w:rsidP="006A20F9">
      <w:pPr>
        <w:spacing w:line="240" w:lineRule="auto"/>
        <w:jc w:val="both"/>
        <w:rPr>
          <w:rFonts w:ascii="Century Gothic" w:hAnsi="Century Gothic"/>
          <w:sz w:val="20"/>
          <w:szCs w:val="20"/>
        </w:rPr>
      </w:pPr>
      <w:r w:rsidRPr="006A20F9">
        <w:rPr>
          <w:rFonts w:ascii="Century Gothic" w:hAnsi="Century Gothic"/>
          <w:sz w:val="20"/>
          <w:szCs w:val="20"/>
        </w:rPr>
        <w:t>Dadas estas características particulares, es claro que el contrato de fiducia mercantil es diferente del contrato de fiducia pública, regulado en el numeral 5º del artículo 32 de la Ley 80 de 1993, pues este último “nunca implicará transferencia de dominio sobre bienes o recursos estatales, ni constituirá patrimonio autónomo del propio de la respectiva entidad</w:t>
      </w:r>
      <w:r w:rsidRPr="006A20F9">
        <w:rPr>
          <w:rFonts w:ascii="Century Gothic" w:hAnsi="Century Gothic"/>
          <w:sz w:val="20"/>
          <w:szCs w:val="20"/>
        </w:rPr>
        <w:t xml:space="preserve"> </w:t>
      </w:r>
      <w:r w:rsidRPr="006A20F9">
        <w:rPr>
          <w:rFonts w:ascii="Century Gothic" w:hAnsi="Century Gothic"/>
          <w:sz w:val="20"/>
          <w:szCs w:val="20"/>
        </w:rPr>
        <w:t>oficial”. Así lo consideró la Corte Constitucional, en la sentencia C-086 de 1995, al señalar que la Ley 80 de 1993 creó un contrato nuevo y autónomo al del Código de Comercio</w:t>
      </w:r>
      <w:proofErr w:type="gramStart"/>
      <w:r w:rsidRPr="006A20F9">
        <w:rPr>
          <w:rFonts w:ascii="Century Gothic" w:hAnsi="Century Gothic"/>
          <w:sz w:val="20"/>
          <w:szCs w:val="20"/>
        </w:rPr>
        <w:t>19 .</w:t>
      </w:r>
      <w:proofErr w:type="gramEnd"/>
    </w:p>
    <w:p w14:paraId="594F6DA4" w14:textId="2E8DA8C2" w:rsidR="006A20F9" w:rsidRPr="006A20F9" w:rsidRDefault="006A20F9" w:rsidP="006A20F9">
      <w:pPr>
        <w:spacing w:line="240" w:lineRule="auto"/>
        <w:jc w:val="both"/>
        <w:rPr>
          <w:rFonts w:ascii="Century Gothic" w:hAnsi="Century Gothic"/>
          <w:sz w:val="20"/>
          <w:szCs w:val="20"/>
        </w:rPr>
      </w:pPr>
      <w:r w:rsidRPr="006A20F9">
        <w:rPr>
          <w:rFonts w:ascii="Century Gothic" w:hAnsi="Century Gothic"/>
          <w:sz w:val="20"/>
          <w:szCs w:val="20"/>
        </w:rPr>
        <w:t>De esta manera, las entidades estatales pueden suscribir tanto contratos de fiducia pública como encargos fiduciarios, sin perjuicio de que pueda suscribir también contratos de fiducia mercantil, conforme a lo analizado por la Corte Constitucional en la sentencia C</w:t>
      </w:r>
      <w:r w:rsidRPr="006A20F9">
        <w:rPr>
          <w:rFonts w:ascii="Century Gothic" w:hAnsi="Century Gothic"/>
          <w:sz w:val="20"/>
          <w:szCs w:val="20"/>
        </w:rPr>
        <w:t>086 de 1995. Sin embargo, frente a esta última tipología contractual el Consejo de Estado ha sido enfático en señalar que la Ley 80 de 1993 restringió su suscripción para los entes públicos, y por ello, ha indicado que la constitución de patrimonios autónomos por parte de entidades estatales solamente debe darse en virtud de una autorización legal</w:t>
      </w:r>
      <w:proofErr w:type="gramStart"/>
      <w:r w:rsidRPr="006A20F9">
        <w:rPr>
          <w:rFonts w:ascii="Century Gothic" w:hAnsi="Century Gothic"/>
          <w:sz w:val="20"/>
          <w:szCs w:val="20"/>
        </w:rPr>
        <w:t>21 .</w:t>
      </w:r>
      <w:proofErr w:type="gramEnd"/>
    </w:p>
    <w:p w14:paraId="0ADC88BC" w14:textId="27F54DB8" w:rsidR="006A20F9" w:rsidRPr="006A20F9" w:rsidRDefault="006A20F9" w:rsidP="006A20F9">
      <w:pPr>
        <w:spacing w:line="240" w:lineRule="auto"/>
        <w:jc w:val="both"/>
        <w:rPr>
          <w:rFonts w:ascii="Century Gothic" w:hAnsi="Century Gothic"/>
          <w:sz w:val="20"/>
          <w:szCs w:val="20"/>
        </w:rPr>
      </w:pPr>
      <w:r w:rsidRPr="006A20F9">
        <w:rPr>
          <w:rFonts w:ascii="Century Gothic" w:hAnsi="Century Gothic"/>
          <w:sz w:val="20"/>
          <w:szCs w:val="20"/>
        </w:rPr>
        <w:t>(…)</w:t>
      </w:r>
    </w:p>
    <w:p w14:paraId="647C05D0" w14:textId="2D313CA5" w:rsidR="006A20F9" w:rsidRPr="006A20F9" w:rsidRDefault="006A20F9" w:rsidP="006A20F9">
      <w:pPr>
        <w:spacing w:line="240" w:lineRule="auto"/>
        <w:jc w:val="both"/>
        <w:rPr>
          <w:rFonts w:ascii="Century Gothic" w:hAnsi="Century Gothic"/>
          <w:sz w:val="20"/>
          <w:szCs w:val="20"/>
        </w:rPr>
      </w:pPr>
      <w:r w:rsidRPr="006A20F9">
        <w:rPr>
          <w:rFonts w:ascii="Century Gothic" w:hAnsi="Century Gothic"/>
          <w:sz w:val="20"/>
          <w:szCs w:val="20"/>
        </w:rPr>
        <w:t xml:space="preserve">En virtud de la interpretación acogida en la “Guía para el manejo de anticipos mediante contrato de fiducia irrevocable” emitida por esta Agencia, la interpretación sobre el tipo de negocio fiduciario que se debe constituir por parte del contratista para </w:t>
      </w:r>
      <w:proofErr w:type="spellStart"/>
      <w:r w:rsidRPr="006A20F9">
        <w:rPr>
          <w:rFonts w:ascii="Century Gothic" w:hAnsi="Century Gothic"/>
          <w:sz w:val="20"/>
          <w:szCs w:val="20"/>
        </w:rPr>
        <w:t>le</w:t>
      </w:r>
      <w:proofErr w:type="spellEnd"/>
      <w:r w:rsidRPr="006A20F9">
        <w:rPr>
          <w:rFonts w:ascii="Century Gothic" w:hAnsi="Century Gothic"/>
          <w:sz w:val="20"/>
          <w:szCs w:val="20"/>
        </w:rPr>
        <w:t xml:space="preserve"> manejo de los recursos girados por concepto de anticipo, se inclina exclusivamente en señalar que esta corresponde a la constitución de un contrato de fiducia mercantil irrevocable. No obstante, es crucial destacar que tanto los lineamientos de la guía como del presente concepto tienen como finalidad interpretar normativas generales, no resolver disputas particulares ni asesorar casos específicos, por lo tanto, no resultan ser vinculantes ni de obligatorio cumplimiento para sus destinatarios</w:t>
      </w:r>
      <w:r w:rsidRPr="006A20F9">
        <w:rPr>
          <w:rFonts w:ascii="Century Gothic" w:hAnsi="Century Gothic"/>
          <w:sz w:val="20"/>
          <w:szCs w:val="20"/>
        </w:rPr>
        <w:t>.</w:t>
      </w:r>
    </w:p>
    <w:p w14:paraId="45ADE201" w14:textId="774B93FB" w:rsidR="00877A1C" w:rsidRPr="006A20F9" w:rsidRDefault="00877A1C" w:rsidP="006A20F9">
      <w:pPr>
        <w:spacing w:line="240" w:lineRule="auto"/>
        <w:jc w:val="both"/>
        <w:rPr>
          <w:rFonts w:ascii="Century Gothic" w:hAnsi="Century Gothic" w:cs="Arial"/>
          <w:sz w:val="20"/>
          <w:szCs w:val="20"/>
        </w:rPr>
      </w:pPr>
      <w:r w:rsidRPr="006A20F9">
        <w:rPr>
          <w:rFonts w:ascii="Century Gothic" w:hAnsi="Century Gothic" w:cs="Arial"/>
          <w:sz w:val="20"/>
          <w:szCs w:val="20"/>
        </w:rPr>
        <w:br w:type="page"/>
      </w:r>
    </w:p>
    <w:p w14:paraId="1D86E81B" w14:textId="3F80A7B0" w:rsidR="00B76A1E" w:rsidRPr="004E4408" w:rsidRDefault="00877A1C" w:rsidP="00B76A1E">
      <w:pPr>
        <w:spacing w:after="0"/>
        <w:rPr>
          <w:rFonts w:ascii="Century Gothic" w:hAnsi="Century Gothic" w:cs="Arial"/>
        </w:rPr>
      </w:pPr>
      <w:r w:rsidRPr="00877A1C">
        <w:rPr>
          <w:rFonts w:ascii="Century Gothic" w:hAnsi="Century Gothic" w:cs="Arial"/>
        </w:rPr>
        <w:drawing>
          <wp:anchor distT="0" distB="0" distL="114300" distR="114300" simplePos="0" relativeHeight="251658240" behindDoc="1" locked="0" layoutInCell="1" allowOverlap="1" wp14:anchorId="6997F8E9" wp14:editId="060D18E4">
            <wp:simplePos x="0" y="0"/>
            <wp:positionH relativeFrom="margin">
              <wp:align>right</wp:align>
            </wp:positionH>
            <wp:positionV relativeFrom="paragraph">
              <wp:posOffset>-97790</wp:posOffset>
            </wp:positionV>
            <wp:extent cx="2578233" cy="844593"/>
            <wp:effectExtent l="0" t="0" r="0" b="0"/>
            <wp:wrapNone/>
            <wp:docPr id="49666181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6661815" name=""/>
                    <pic:cNvPicPr/>
                  </pic:nvPicPr>
                  <pic:blipFill>
                    <a:blip r:embed="rId11">
                      <a:extLst>
                        <a:ext uri="{28A0092B-C50C-407E-A947-70E740481C1C}">
                          <a14:useLocalDpi xmlns:a14="http://schemas.microsoft.com/office/drawing/2010/main" val="0"/>
                        </a:ext>
                      </a:extLst>
                    </a:blip>
                    <a:stretch>
                      <a:fillRect/>
                    </a:stretch>
                  </pic:blipFill>
                  <pic:spPr>
                    <a:xfrm>
                      <a:off x="0" y="0"/>
                      <a:ext cx="2578233" cy="844593"/>
                    </a:xfrm>
                    <a:prstGeom prst="rect">
                      <a:avLst/>
                    </a:prstGeom>
                  </pic:spPr>
                </pic:pic>
              </a:graphicData>
            </a:graphic>
          </wp:anchor>
        </w:drawing>
      </w:r>
      <w:r w:rsidR="00B76A1E" w:rsidRPr="004E4408">
        <w:rPr>
          <w:rFonts w:ascii="Century Gothic" w:hAnsi="Century Gothic" w:cs="Arial"/>
        </w:rPr>
        <w:t xml:space="preserve">Bogotá D.C., </w:t>
      </w:r>
      <w:r w:rsidR="00615CE5" w:rsidRPr="004E4408">
        <w:rPr>
          <w:rFonts w:ascii="Century Gothic" w:hAnsi="Century Gothic" w:cs="Arial"/>
        </w:rPr>
        <w:t>15 de noviembre de 2023</w:t>
      </w:r>
    </w:p>
    <w:p w14:paraId="5B8306C3" w14:textId="5799CB28" w:rsidR="00B76A1E" w:rsidRPr="004E4408" w:rsidRDefault="00B76A1E" w:rsidP="00B76A1E">
      <w:pPr>
        <w:spacing w:after="0"/>
        <w:rPr>
          <w:rFonts w:ascii="Century Gothic" w:hAnsi="Century Gothic" w:cs="Arial"/>
        </w:rPr>
      </w:pPr>
    </w:p>
    <w:p w14:paraId="4CA74519" w14:textId="77777777" w:rsidR="00B76A1E" w:rsidRPr="004E4408" w:rsidRDefault="00B76A1E" w:rsidP="00B76A1E">
      <w:pPr>
        <w:spacing w:after="0"/>
        <w:rPr>
          <w:rFonts w:ascii="Century Gothic" w:hAnsi="Century Gothic" w:cs="Arial"/>
        </w:rPr>
      </w:pPr>
    </w:p>
    <w:p w14:paraId="4812BD41" w14:textId="53698DDF" w:rsidR="00B76A1E" w:rsidRPr="004E4408" w:rsidRDefault="00B76A1E" w:rsidP="00B76A1E">
      <w:pPr>
        <w:spacing w:after="0"/>
        <w:rPr>
          <w:rFonts w:ascii="Century Gothic" w:hAnsi="Century Gothic" w:cs="Arial"/>
        </w:rPr>
      </w:pPr>
      <w:r w:rsidRPr="004E4408">
        <w:rPr>
          <w:rFonts w:ascii="Century Gothic" w:hAnsi="Century Gothic" w:cs="Arial"/>
          <w:lang w:val="es-MX"/>
        </w:rPr>
        <w:t>Señor</w:t>
      </w:r>
      <w:r w:rsidR="00764989" w:rsidRPr="004E4408">
        <w:rPr>
          <w:rFonts w:ascii="Century Gothic" w:hAnsi="Century Gothic" w:cs="Arial"/>
          <w:lang w:val="es-MX"/>
        </w:rPr>
        <w:t>a</w:t>
      </w:r>
      <w:r w:rsidRPr="004E4408">
        <w:rPr>
          <w:rFonts w:ascii="Century Gothic" w:hAnsi="Century Gothic" w:cs="Arial"/>
          <w:lang w:val="es-MX"/>
        </w:rPr>
        <w:t xml:space="preserve"> </w:t>
      </w:r>
    </w:p>
    <w:p w14:paraId="11F3330B" w14:textId="5C500824" w:rsidR="00B76A1E" w:rsidRPr="004E4408" w:rsidRDefault="00B25008" w:rsidP="00B76A1E">
      <w:pPr>
        <w:spacing w:after="0" w:line="276" w:lineRule="auto"/>
        <w:jc w:val="both"/>
        <w:rPr>
          <w:rFonts w:ascii="Century Gothic" w:hAnsi="Century Gothic" w:cs="Arial"/>
          <w:b/>
        </w:rPr>
      </w:pPr>
      <w:r w:rsidRPr="004E4408">
        <w:rPr>
          <w:rFonts w:ascii="Century Gothic" w:hAnsi="Century Gothic" w:cs="Arial"/>
          <w:b/>
        </w:rPr>
        <w:t>Irma Guevara Fajardo</w:t>
      </w:r>
    </w:p>
    <w:p w14:paraId="39F9EAF6" w14:textId="4882D0B3" w:rsidR="00B76A1E" w:rsidRPr="004E4408" w:rsidRDefault="009217EA" w:rsidP="00B76A1E">
      <w:pPr>
        <w:spacing w:after="0" w:line="276" w:lineRule="auto"/>
        <w:jc w:val="both"/>
        <w:rPr>
          <w:rFonts w:ascii="Century Gothic" w:hAnsi="Century Gothic" w:cs="Arial"/>
          <w:color w:val="000000" w:themeColor="text1"/>
        </w:rPr>
      </w:pPr>
      <w:r w:rsidRPr="004E4408">
        <w:rPr>
          <w:rFonts w:ascii="Century Gothic" w:hAnsi="Century Gothic" w:cs="Arial"/>
          <w:color w:val="000000" w:themeColor="text1"/>
        </w:rPr>
        <w:t>Bogotá D.C.</w:t>
      </w:r>
    </w:p>
    <w:p w14:paraId="43B7C186" w14:textId="77777777" w:rsidR="00B76A1E" w:rsidRPr="004E4408" w:rsidRDefault="00B76A1E" w:rsidP="00B76A1E">
      <w:pPr>
        <w:spacing w:line="276" w:lineRule="auto"/>
        <w:jc w:val="both"/>
        <w:rPr>
          <w:rFonts w:ascii="Century Gothic" w:hAnsi="Century Gothic" w:cs="Arial"/>
          <w:color w:val="000000" w:themeColor="text1"/>
        </w:rPr>
      </w:pPr>
    </w:p>
    <w:p w14:paraId="7B880991" w14:textId="251E10C7" w:rsidR="00B76A1E" w:rsidRPr="004E4408" w:rsidRDefault="00B76A1E" w:rsidP="00B76A1E">
      <w:pPr>
        <w:spacing w:line="276" w:lineRule="auto"/>
        <w:ind w:firstLine="2694"/>
        <w:jc w:val="both"/>
        <w:outlineLvl w:val="0"/>
        <w:rPr>
          <w:rFonts w:ascii="Century Gothic" w:hAnsi="Century Gothic" w:cs="Arial"/>
          <w:b/>
        </w:rPr>
      </w:pPr>
      <w:r w:rsidRPr="004E4408">
        <w:rPr>
          <w:rFonts w:ascii="Century Gothic" w:hAnsi="Century Gothic" w:cs="Arial"/>
          <w:b/>
        </w:rPr>
        <w:t xml:space="preserve">Concepto C – </w:t>
      </w:r>
      <w:r w:rsidR="009217EA" w:rsidRPr="004E4408">
        <w:rPr>
          <w:rFonts w:ascii="Century Gothic" w:hAnsi="Century Gothic" w:cs="Arial"/>
          <w:b/>
        </w:rPr>
        <w:t>421</w:t>
      </w:r>
      <w:r w:rsidRPr="004E4408">
        <w:rPr>
          <w:rFonts w:ascii="Century Gothic" w:hAnsi="Century Gothic" w:cs="Arial"/>
          <w:b/>
        </w:rPr>
        <w:t xml:space="preserve"> de 2023</w:t>
      </w: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B76A1E" w:rsidRPr="004E4408" w14:paraId="35D259B0" w14:textId="77777777" w:rsidTr="00926785">
        <w:tc>
          <w:tcPr>
            <w:tcW w:w="2689" w:type="dxa"/>
            <w:hideMark/>
          </w:tcPr>
          <w:p w14:paraId="2CE4025A" w14:textId="77777777" w:rsidR="00B76A1E" w:rsidRPr="004E4408" w:rsidRDefault="00B76A1E" w:rsidP="00926785">
            <w:pPr>
              <w:jc w:val="both"/>
              <w:rPr>
                <w:rFonts w:ascii="Century Gothic" w:hAnsi="Century Gothic" w:cs="Arial"/>
              </w:rPr>
            </w:pPr>
            <w:r w:rsidRPr="004E4408">
              <w:rPr>
                <w:rFonts w:ascii="Century Gothic" w:hAnsi="Century Gothic" w:cs="Arial"/>
                <w:b/>
              </w:rPr>
              <w:t>Temas:</w:t>
            </w:r>
            <w:r w:rsidRPr="004E4408">
              <w:rPr>
                <w:rFonts w:ascii="Century Gothic" w:hAnsi="Century Gothic" w:cs="Arial"/>
              </w:rPr>
              <w:t xml:space="preserve">           </w:t>
            </w:r>
          </w:p>
          <w:p w14:paraId="423B0824" w14:textId="77777777" w:rsidR="00B76A1E" w:rsidRPr="004E4408" w:rsidRDefault="00B76A1E" w:rsidP="00926785">
            <w:pPr>
              <w:jc w:val="both"/>
              <w:rPr>
                <w:rFonts w:ascii="Century Gothic" w:hAnsi="Century Gothic" w:cs="Arial"/>
              </w:rPr>
            </w:pPr>
            <w:r w:rsidRPr="004E4408">
              <w:rPr>
                <w:rFonts w:ascii="Century Gothic" w:hAnsi="Century Gothic" w:cs="Arial"/>
              </w:rPr>
              <w:t xml:space="preserve">                           </w:t>
            </w:r>
          </w:p>
        </w:tc>
        <w:tc>
          <w:tcPr>
            <w:tcW w:w="6237" w:type="dxa"/>
            <w:hideMark/>
          </w:tcPr>
          <w:p w14:paraId="6DB437EC" w14:textId="28DE0F9A" w:rsidR="00B76A1E" w:rsidRPr="004E4408" w:rsidRDefault="00B76A1E" w:rsidP="00926785">
            <w:pPr>
              <w:jc w:val="both"/>
              <w:outlineLvl w:val="0"/>
              <w:rPr>
                <w:rFonts w:ascii="Century Gothic" w:hAnsi="Century Gothic" w:cs="Arial"/>
              </w:rPr>
            </w:pPr>
            <w:r w:rsidRPr="004E4408">
              <w:rPr>
                <w:rFonts w:ascii="Century Gothic" w:hAnsi="Century Gothic" w:cs="Arial"/>
                <w:lang w:val="es-ES_tradnl"/>
              </w:rPr>
              <w:t xml:space="preserve">ANTICIPO – Regulación normativa </w:t>
            </w:r>
            <w:r w:rsidRPr="004E4408">
              <w:rPr>
                <w:rFonts w:ascii="Century Gothic" w:hAnsi="Century Gothic" w:cs="Arial"/>
              </w:rPr>
              <w:t>/ ANTICIPO – Definición jurisprudencial / ANTICIPO – Autonomía de la voluntad – Derechos y obligaciones recíprocos / CONSTITUCIÓN DE FIDUCIA O PATRIMONIO AUTÓNOMO IRREVOCABLE – Artículo 91 ley 1474 de 2011</w:t>
            </w:r>
            <w:r w:rsidR="002D6FA5" w:rsidRPr="004E4408">
              <w:rPr>
                <w:rFonts w:ascii="Century Gothic" w:hAnsi="Century Gothic" w:cs="Arial"/>
              </w:rPr>
              <w:t>/ FIDUCIA – Fiducia pública –</w:t>
            </w:r>
            <w:r w:rsidR="00315372" w:rsidRPr="004E4408">
              <w:rPr>
                <w:rFonts w:ascii="Century Gothic" w:hAnsi="Century Gothic" w:cs="Arial"/>
              </w:rPr>
              <w:t xml:space="preserve">– Encargo fiduciario - </w:t>
            </w:r>
            <w:r w:rsidR="002D6FA5" w:rsidRPr="004E4408">
              <w:rPr>
                <w:rFonts w:ascii="Century Gothic" w:hAnsi="Century Gothic" w:cs="Arial"/>
              </w:rPr>
              <w:t>Patrimonio autónomo</w:t>
            </w:r>
            <w:r w:rsidR="00906C92" w:rsidRPr="004E4408">
              <w:rPr>
                <w:rFonts w:ascii="Century Gothic" w:hAnsi="Century Gothic" w:cs="Arial"/>
              </w:rPr>
              <w:t xml:space="preserve"> y fiducia mercantil</w:t>
            </w:r>
            <w:r w:rsidR="002D6FA5" w:rsidRPr="004E4408">
              <w:rPr>
                <w:rFonts w:ascii="Century Gothic" w:hAnsi="Century Gothic" w:cs="Arial"/>
              </w:rPr>
              <w:t xml:space="preserve"> –– Diferencias</w:t>
            </w:r>
            <w:r w:rsidRPr="004E4408">
              <w:rPr>
                <w:rFonts w:ascii="Century Gothic" w:hAnsi="Century Gothic" w:cs="Arial"/>
              </w:rPr>
              <w:t xml:space="preserve">. </w:t>
            </w:r>
          </w:p>
        </w:tc>
      </w:tr>
      <w:tr w:rsidR="00B76A1E" w:rsidRPr="004E4408" w14:paraId="55D60434" w14:textId="77777777" w:rsidTr="00926785">
        <w:trPr>
          <w:trHeight w:val="215"/>
        </w:trPr>
        <w:tc>
          <w:tcPr>
            <w:tcW w:w="2689" w:type="dxa"/>
          </w:tcPr>
          <w:p w14:paraId="61C77FA4" w14:textId="77777777" w:rsidR="00B76A1E" w:rsidRPr="004E4408" w:rsidRDefault="00B76A1E" w:rsidP="00926785">
            <w:pPr>
              <w:spacing w:before="120"/>
              <w:jc w:val="both"/>
              <w:rPr>
                <w:rFonts w:ascii="Century Gothic" w:hAnsi="Century Gothic" w:cs="Arial"/>
                <w:b/>
              </w:rPr>
            </w:pPr>
            <w:r w:rsidRPr="004E4408">
              <w:rPr>
                <w:rFonts w:ascii="Century Gothic" w:hAnsi="Century Gothic" w:cs="Arial"/>
                <w:b/>
              </w:rPr>
              <w:t>Radicación:</w:t>
            </w:r>
            <w:r w:rsidRPr="004E4408">
              <w:rPr>
                <w:rFonts w:ascii="Century Gothic" w:hAnsi="Century Gothic" w:cs="Arial"/>
              </w:rPr>
              <w:t xml:space="preserve">                              </w:t>
            </w:r>
          </w:p>
        </w:tc>
        <w:tc>
          <w:tcPr>
            <w:tcW w:w="6237" w:type="dxa"/>
          </w:tcPr>
          <w:p w14:paraId="3D789417" w14:textId="26B46B0C" w:rsidR="00B76A1E" w:rsidRPr="004E4408" w:rsidRDefault="00B76A1E" w:rsidP="00926785">
            <w:pPr>
              <w:spacing w:before="120"/>
              <w:jc w:val="both"/>
              <w:rPr>
                <w:rFonts w:ascii="Century Gothic" w:hAnsi="Century Gothic" w:cs="Arial"/>
              </w:rPr>
            </w:pPr>
            <w:r w:rsidRPr="004E4408">
              <w:rPr>
                <w:rFonts w:ascii="Century Gothic" w:hAnsi="Century Gothic" w:cs="Arial"/>
              </w:rPr>
              <w:t xml:space="preserve">Respuesta a consulta </w:t>
            </w:r>
            <w:r w:rsidR="00173B9F" w:rsidRPr="004E4408">
              <w:rPr>
                <w:rFonts w:ascii="Century Gothic" w:hAnsi="Century Gothic" w:cs="Arial"/>
              </w:rPr>
              <w:t>P20231002015632</w:t>
            </w:r>
          </w:p>
        </w:tc>
      </w:tr>
    </w:tbl>
    <w:p w14:paraId="0E6C3488" w14:textId="77777777" w:rsidR="00B76A1E" w:rsidRPr="004E4408" w:rsidRDefault="00B76A1E" w:rsidP="00B76A1E">
      <w:pPr>
        <w:pStyle w:val="Textoindependiente"/>
        <w:spacing w:before="7" w:line="276" w:lineRule="auto"/>
        <w:jc w:val="both"/>
        <w:rPr>
          <w:rFonts w:ascii="Century Gothic" w:hAnsi="Century Gothic" w:cs="Arial"/>
          <w:sz w:val="22"/>
          <w:szCs w:val="22"/>
        </w:rPr>
      </w:pPr>
    </w:p>
    <w:p w14:paraId="6827FFA0" w14:textId="55FA9979" w:rsidR="00B76A1E" w:rsidRPr="004E4408" w:rsidRDefault="00B76A1E" w:rsidP="00B76A1E">
      <w:pPr>
        <w:pStyle w:val="Textoindependiente"/>
        <w:spacing w:before="7" w:line="276" w:lineRule="auto"/>
        <w:jc w:val="both"/>
        <w:rPr>
          <w:rFonts w:ascii="Century Gothic" w:eastAsiaTheme="minorHAnsi" w:hAnsi="Century Gothic" w:cs="Arial"/>
          <w:sz w:val="22"/>
          <w:szCs w:val="22"/>
        </w:rPr>
      </w:pPr>
      <w:r w:rsidRPr="004E4408">
        <w:rPr>
          <w:rFonts w:ascii="Century Gothic" w:hAnsi="Century Gothic" w:cs="Arial"/>
          <w:sz w:val="22"/>
          <w:szCs w:val="22"/>
        </w:rPr>
        <w:t>Estimad</w:t>
      </w:r>
      <w:r w:rsidR="00176CD9" w:rsidRPr="004E4408">
        <w:rPr>
          <w:rFonts w:ascii="Century Gothic" w:hAnsi="Century Gothic" w:cs="Arial"/>
          <w:sz w:val="22"/>
          <w:szCs w:val="22"/>
        </w:rPr>
        <w:t>a</w:t>
      </w:r>
      <w:r w:rsidRPr="004E4408">
        <w:rPr>
          <w:rFonts w:ascii="Century Gothic" w:hAnsi="Century Gothic" w:cs="Arial"/>
          <w:sz w:val="22"/>
          <w:szCs w:val="22"/>
        </w:rPr>
        <w:t xml:space="preserve"> señor</w:t>
      </w:r>
      <w:r w:rsidR="00176CD9" w:rsidRPr="004E4408">
        <w:rPr>
          <w:rFonts w:ascii="Century Gothic" w:hAnsi="Century Gothic" w:cs="Arial"/>
          <w:sz w:val="22"/>
          <w:szCs w:val="22"/>
        </w:rPr>
        <w:t>a</w:t>
      </w:r>
      <w:r w:rsidRPr="004E4408">
        <w:rPr>
          <w:rFonts w:ascii="Century Gothic" w:hAnsi="Century Gothic" w:cs="Arial"/>
          <w:sz w:val="22"/>
          <w:szCs w:val="22"/>
        </w:rPr>
        <w:t xml:space="preserve"> </w:t>
      </w:r>
      <w:r w:rsidR="00176CD9" w:rsidRPr="004E4408">
        <w:rPr>
          <w:rFonts w:ascii="Century Gothic" w:eastAsiaTheme="minorHAnsi" w:hAnsi="Century Gothic" w:cs="Arial"/>
          <w:sz w:val="22"/>
          <w:szCs w:val="22"/>
        </w:rPr>
        <w:t>G</w:t>
      </w:r>
      <w:r w:rsidR="002739CB" w:rsidRPr="004E4408">
        <w:rPr>
          <w:rFonts w:ascii="Century Gothic" w:eastAsiaTheme="minorHAnsi" w:hAnsi="Century Gothic" w:cs="Arial"/>
          <w:sz w:val="22"/>
          <w:szCs w:val="22"/>
        </w:rPr>
        <w:t>uevara</w:t>
      </w:r>
      <w:r w:rsidRPr="004E4408">
        <w:rPr>
          <w:rFonts w:ascii="Century Gothic" w:eastAsiaTheme="minorHAnsi" w:hAnsi="Century Gothic" w:cs="Arial"/>
          <w:sz w:val="22"/>
          <w:szCs w:val="22"/>
        </w:rPr>
        <w:t xml:space="preserve">, </w:t>
      </w:r>
    </w:p>
    <w:p w14:paraId="61867C22" w14:textId="6D0B1747" w:rsidR="00B76A1E" w:rsidRPr="004E4408" w:rsidRDefault="00B76A1E" w:rsidP="00B76A1E">
      <w:pPr>
        <w:spacing w:line="276" w:lineRule="auto"/>
        <w:jc w:val="both"/>
        <w:rPr>
          <w:rFonts w:ascii="Century Gothic" w:hAnsi="Century Gothic" w:cs="Arial"/>
        </w:rPr>
      </w:pPr>
      <w:r w:rsidRPr="004E4408">
        <w:rPr>
          <w:rFonts w:ascii="Century Gothic" w:hAnsi="Century Gothic" w:cs="Arial"/>
        </w:rPr>
        <w:t>En ejercicio de la competencia otorgada por el numeral 8 del artículo 11 y el numeral 5 del artículo 3 del Decreto Ley 4170 de 2011, la Agencia Nacional de Contratación Pública− Colombia Compra Eficiente responde su consulta de fecha 2 de o</w:t>
      </w:r>
      <w:r w:rsidR="00D36793" w:rsidRPr="004E4408">
        <w:rPr>
          <w:rFonts w:ascii="Century Gothic" w:hAnsi="Century Gothic" w:cs="Arial"/>
        </w:rPr>
        <w:t>ctubre</w:t>
      </w:r>
      <w:r w:rsidRPr="004E4408">
        <w:rPr>
          <w:rFonts w:ascii="Century Gothic" w:hAnsi="Century Gothic" w:cs="Arial"/>
        </w:rPr>
        <w:t xml:space="preserve"> de 2023.</w:t>
      </w:r>
    </w:p>
    <w:p w14:paraId="7F550A7A" w14:textId="77777777" w:rsidR="00B76A1E" w:rsidRPr="004E4408" w:rsidRDefault="00B76A1E" w:rsidP="00B76A1E">
      <w:pPr>
        <w:pStyle w:val="Ttulo1"/>
        <w:numPr>
          <w:ilvl w:val="0"/>
          <w:numId w:val="17"/>
        </w:numPr>
        <w:tabs>
          <w:tab w:val="num" w:pos="360"/>
          <w:tab w:val="left" w:pos="586"/>
        </w:tabs>
        <w:spacing w:before="0" w:line="276" w:lineRule="auto"/>
        <w:ind w:left="286" w:hanging="286"/>
        <w:jc w:val="both"/>
        <w:rPr>
          <w:rFonts w:ascii="Century Gothic" w:hAnsi="Century Gothic"/>
        </w:rPr>
      </w:pPr>
      <w:r w:rsidRPr="004E4408">
        <w:rPr>
          <w:rFonts w:ascii="Century Gothic" w:hAnsi="Century Gothic"/>
        </w:rPr>
        <w:t>Problema</w:t>
      </w:r>
      <w:r w:rsidRPr="004E4408">
        <w:rPr>
          <w:rFonts w:ascii="Century Gothic" w:hAnsi="Century Gothic"/>
          <w:spacing w:val="-2"/>
        </w:rPr>
        <w:t xml:space="preserve"> </w:t>
      </w:r>
      <w:r w:rsidRPr="004E4408">
        <w:rPr>
          <w:rFonts w:ascii="Century Gothic" w:hAnsi="Century Gothic"/>
        </w:rPr>
        <w:t>planteado</w:t>
      </w:r>
    </w:p>
    <w:p w14:paraId="7C7FDA43" w14:textId="77777777" w:rsidR="00B76A1E" w:rsidRPr="004E4408" w:rsidRDefault="00B76A1E" w:rsidP="00B76A1E">
      <w:pPr>
        <w:adjustRightInd w:val="0"/>
        <w:spacing w:after="0" w:line="276" w:lineRule="auto"/>
        <w:jc w:val="both"/>
        <w:rPr>
          <w:rFonts w:ascii="Century Gothic" w:hAnsi="Century Gothic" w:cs="Arial"/>
        </w:rPr>
      </w:pPr>
    </w:p>
    <w:p w14:paraId="4FE52491" w14:textId="33A67347" w:rsidR="00B76A1E" w:rsidRPr="004E4408" w:rsidRDefault="00B76A1E" w:rsidP="00B76A1E">
      <w:pPr>
        <w:adjustRightInd w:val="0"/>
        <w:spacing w:line="276" w:lineRule="auto"/>
        <w:jc w:val="both"/>
        <w:rPr>
          <w:rFonts w:ascii="Century Gothic" w:hAnsi="Century Gothic" w:cs="Arial"/>
        </w:rPr>
      </w:pPr>
      <w:r w:rsidRPr="004E4408">
        <w:rPr>
          <w:rFonts w:ascii="Century Gothic" w:hAnsi="Century Gothic" w:cs="Arial"/>
        </w:rPr>
        <w:t>Usted formul</w:t>
      </w:r>
      <w:r w:rsidR="000C61CE" w:rsidRPr="004E4408">
        <w:rPr>
          <w:rFonts w:ascii="Century Gothic" w:hAnsi="Century Gothic" w:cs="Arial"/>
        </w:rPr>
        <w:t xml:space="preserve">ó la siguiente consulta: </w:t>
      </w:r>
    </w:p>
    <w:p w14:paraId="36672B52" w14:textId="7969C34D" w:rsidR="00B76A1E" w:rsidRPr="004E4408" w:rsidRDefault="00B76A1E" w:rsidP="0078176C">
      <w:pPr>
        <w:spacing w:line="240" w:lineRule="auto"/>
        <w:ind w:left="709" w:right="709"/>
        <w:jc w:val="both"/>
        <w:rPr>
          <w:rFonts w:ascii="Century Gothic" w:hAnsi="Century Gothic" w:cs="Arial"/>
          <w:sz w:val="21"/>
          <w:szCs w:val="21"/>
        </w:rPr>
      </w:pPr>
      <w:r w:rsidRPr="004E4408">
        <w:rPr>
          <w:rFonts w:ascii="Century Gothic" w:hAnsi="Century Gothic" w:cs="Arial"/>
          <w:sz w:val="21"/>
          <w:szCs w:val="21"/>
        </w:rPr>
        <w:t xml:space="preserve">“(…) </w:t>
      </w:r>
      <w:r w:rsidR="0078176C" w:rsidRPr="004E4408">
        <w:rPr>
          <w:rFonts w:ascii="Century Gothic" w:hAnsi="Century Gothic" w:cs="Arial"/>
          <w:sz w:val="21"/>
          <w:szCs w:val="21"/>
        </w:rPr>
        <w:t xml:space="preserve">El </w:t>
      </w:r>
      <w:r w:rsidR="00315372" w:rsidRPr="004E4408">
        <w:rPr>
          <w:rFonts w:ascii="Century Gothic" w:hAnsi="Century Gothic" w:cs="Arial"/>
          <w:sz w:val="21"/>
          <w:szCs w:val="21"/>
        </w:rPr>
        <w:t>artículo</w:t>
      </w:r>
      <w:r w:rsidR="0078176C" w:rsidRPr="004E4408">
        <w:rPr>
          <w:rFonts w:ascii="Century Gothic" w:hAnsi="Century Gothic" w:cs="Arial"/>
          <w:sz w:val="21"/>
          <w:szCs w:val="21"/>
        </w:rPr>
        <w:t xml:space="preserve"> 91 de la ley 1474, en la siguiente frase; “el contratista deberá́ constituir una fiducia o un patrimonio aut</w:t>
      </w:r>
      <w:r w:rsidR="0078176C" w:rsidRPr="004E4408">
        <w:rPr>
          <w:rFonts w:ascii="Century Gothic" w:hAnsi="Century Gothic" w:cs="Century Gothic"/>
          <w:sz w:val="21"/>
          <w:szCs w:val="21"/>
        </w:rPr>
        <w:t>ó</w:t>
      </w:r>
      <w:r w:rsidR="0078176C" w:rsidRPr="004E4408">
        <w:rPr>
          <w:rFonts w:ascii="Century Gothic" w:hAnsi="Century Gothic" w:cs="Arial"/>
          <w:sz w:val="21"/>
          <w:szCs w:val="21"/>
        </w:rPr>
        <w:t>nomo irrevocable para el manejo de los recursos que reciba a t</w:t>
      </w:r>
      <w:r w:rsidR="0078176C" w:rsidRPr="004E4408">
        <w:rPr>
          <w:rFonts w:ascii="Century Gothic" w:hAnsi="Century Gothic" w:cs="Century Gothic"/>
          <w:sz w:val="21"/>
          <w:szCs w:val="21"/>
        </w:rPr>
        <w:t>í</w:t>
      </w:r>
      <w:r w:rsidR="0078176C" w:rsidRPr="004E4408">
        <w:rPr>
          <w:rFonts w:ascii="Century Gothic" w:hAnsi="Century Gothic" w:cs="Arial"/>
          <w:sz w:val="21"/>
          <w:szCs w:val="21"/>
        </w:rPr>
        <w:t>tulo de anticipo</w:t>
      </w:r>
      <w:r w:rsidR="0078176C" w:rsidRPr="004E4408">
        <w:rPr>
          <w:rFonts w:ascii="Century Gothic" w:hAnsi="Century Gothic" w:cs="Century Gothic"/>
          <w:sz w:val="21"/>
          <w:szCs w:val="21"/>
        </w:rPr>
        <w:t>”</w:t>
      </w:r>
      <w:r w:rsidR="0078176C" w:rsidRPr="004E4408">
        <w:rPr>
          <w:rFonts w:ascii="Century Gothic" w:hAnsi="Century Gothic" w:cs="Arial"/>
          <w:sz w:val="21"/>
          <w:szCs w:val="21"/>
        </w:rPr>
        <w:t>. Mi interpretaci</w:t>
      </w:r>
      <w:r w:rsidR="0078176C" w:rsidRPr="004E4408">
        <w:rPr>
          <w:rFonts w:ascii="Century Gothic" w:hAnsi="Century Gothic" w:cs="Century Gothic"/>
          <w:sz w:val="21"/>
          <w:szCs w:val="21"/>
        </w:rPr>
        <w:t>ó</w:t>
      </w:r>
      <w:r w:rsidR="0078176C" w:rsidRPr="004E4408">
        <w:rPr>
          <w:rFonts w:ascii="Century Gothic" w:hAnsi="Century Gothic" w:cs="Arial"/>
          <w:sz w:val="21"/>
          <w:szCs w:val="21"/>
        </w:rPr>
        <w:t>n es que tambi</w:t>
      </w:r>
      <w:r w:rsidR="0078176C" w:rsidRPr="004E4408">
        <w:rPr>
          <w:rFonts w:ascii="Century Gothic" w:hAnsi="Century Gothic" w:cs="Century Gothic"/>
          <w:sz w:val="21"/>
          <w:szCs w:val="21"/>
        </w:rPr>
        <w:t>é</w:t>
      </w:r>
      <w:r w:rsidR="0078176C" w:rsidRPr="004E4408">
        <w:rPr>
          <w:rFonts w:ascii="Century Gothic" w:hAnsi="Century Gothic" w:cs="Arial"/>
          <w:sz w:val="21"/>
          <w:szCs w:val="21"/>
        </w:rPr>
        <w:t>n puede constituir un encargo fiduciario y no necesariamente una fiducia mercantil para el manejo de los anticipos.</w:t>
      </w:r>
      <w:r w:rsidRPr="004E4408">
        <w:rPr>
          <w:rFonts w:ascii="Century Gothic" w:hAnsi="Century Gothic" w:cs="Arial"/>
          <w:sz w:val="21"/>
          <w:szCs w:val="21"/>
        </w:rPr>
        <w:t xml:space="preserve">” (Sic). </w:t>
      </w:r>
    </w:p>
    <w:p w14:paraId="2EF5C34E" w14:textId="77777777" w:rsidR="00B76A1E" w:rsidRPr="004E4408" w:rsidRDefault="00B76A1E" w:rsidP="00B76A1E">
      <w:pPr>
        <w:adjustRightInd w:val="0"/>
        <w:spacing w:after="0" w:line="240" w:lineRule="auto"/>
        <w:ind w:left="709" w:right="709"/>
        <w:jc w:val="both"/>
        <w:rPr>
          <w:rFonts w:ascii="Century Gothic" w:hAnsi="Century Gothic" w:cs="Arial"/>
          <w:sz w:val="21"/>
          <w:szCs w:val="21"/>
        </w:rPr>
      </w:pPr>
    </w:p>
    <w:p w14:paraId="25524B00" w14:textId="77777777" w:rsidR="00B76A1E" w:rsidRPr="004E4408" w:rsidRDefault="00B76A1E" w:rsidP="00B76A1E">
      <w:pPr>
        <w:pStyle w:val="Ttulo1"/>
        <w:numPr>
          <w:ilvl w:val="0"/>
          <w:numId w:val="17"/>
        </w:numPr>
        <w:tabs>
          <w:tab w:val="num" w:pos="360"/>
          <w:tab w:val="left" w:pos="586"/>
        </w:tabs>
        <w:spacing w:before="0" w:after="240" w:line="276" w:lineRule="auto"/>
        <w:ind w:left="286" w:hanging="286"/>
        <w:jc w:val="both"/>
        <w:rPr>
          <w:rFonts w:ascii="Century Gothic" w:hAnsi="Century Gothic"/>
        </w:rPr>
      </w:pPr>
      <w:r w:rsidRPr="004E4408">
        <w:rPr>
          <w:rFonts w:ascii="Century Gothic" w:hAnsi="Century Gothic"/>
        </w:rPr>
        <w:t>Consideraciones</w:t>
      </w:r>
    </w:p>
    <w:p w14:paraId="6113F34C" w14:textId="594D3A93" w:rsidR="00B76A1E" w:rsidRPr="004E4408" w:rsidRDefault="00B76A1E" w:rsidP="00B76A1E">
      <w:pPr>
        <w:spacing w:after="120" w:line="276" w:lineRule="auto"/>
        <w:jc w:val="both"/>
        <w:rPr>
          <w:rFonts w:ascii="Century Gothic" w:hAnsi="Century Gothic" w:cs="Arial"/>
          <w:color w:val="000000" w:themeColor="text1"/>
          <w:u w:val="single"/>
        </w:rPr>
      </w:pPr>
      <w:r w:rsidRPr="004E4408">
        <w:rPr>
          <w:rFonts w:ascii="Century Gothic" w:hAnsi="Century Gothic" w:cs="Arial"/>
          <w:color w:val="000000" w:themeColor="text1"/>
          <w:lang w:val="es-ES_tradnl"/>
        </w:rPr>
        <w:t>La Subdirección de Gestión Contractual responderá la consulta, luego de analizar los siguientes temas:</w:t>
      </w:r>
      <w:r w:rsidRPr="004E4408">
        <w:rPr>
          <w:rFonts w:ascii="Century Gothic" w:eastAsia="Times New Roman" w:hAnsi="Century Gothic" w:cs="Arial"/>
          <w:color w:val="000000" w:themeColor="text1"/>
        </w:rPr>
        <w:t xml:space="preserve"> i) </w:t>
      </w:r>
      <w:r w:rsidR="000E069E" w:rsidRPr="004E4408">
        <w:rPr>
          <w:rFonts w:ascii="Century Gothic" w:eastAsia="Times New Roman" w:hAnsi="Century Gothic" w:cs="Arial"/>
          <w:color w:val="000000" w:themeColor="text1"/>
        </w:rPr>
        <w:t>c</w:t>
      </w:r>
      <w:r w:rsidRPr="004E4408">
        <w:rPr>
          <w:rFonts w:ascii="Century Gothic" w:eastAsia="Times New Roman" w:hAnsi="Century Gothic" w:cs="Arial"/>
          <w:color w:val="000000" w:themeColor="text1"/>
        </w:rPr>
        <w:t xml:space="preserve">ompetencia consultiva de la Agencia Nacional de Contratación Pública – Colombia Compra Eficiente; </w:t>
      </w:r>
      <w:proofErr w:type="spellStart"/>
      <w:r w:rsidRPr="004E4408">
        <w:rPr>
          <w:rFonts w:ascii="Century Gothic" w:eastAsia="Times New Roman" w:hAnsi="Century Gothic" w:cs="Arial"/>
          <w:color w:val="000000" w:themeColor="text1"/>
        </w:rPr>
        <w:t>ii</w:t>
      </w:r>
      <w:proofErr w:type="spellEnd"/>
      <w:r w:rsidRPr="004E4408">
        <w:rPr>
          <w:rFonts w:ascii="Century Gothic" w:eastAsia="Times New Roman" w:hAnsi="Century Gothic" w:cs="Arial"/>
          <w:color w:val="000000" w:themeColor="text1"/>
        </w:rPr>
        <w:t xml:space="preserve">) </w:t>
      </w:r>
      <w:r w:rsidRPr="004E4408">
        <w:rPr>
          <w:rFonts w:ascii="Century Gothic" w:hAnsi="Century Gothic" w:cs="Arial"/>
          <w:color w:val="000000" w:themeColor="text1"/>
        </w:rPr>
        <w:t xml:space="preserve">naturaleza jurídica del anticipo; </w:t>
      </w:r>
      <w:proofErr w:type="spellStart"/>
      <w:r w:rsidRPr="004E4408">
        <w:rPr>
          <w:rFonts w:ascii="Century Gothic" w:hAnsi="Century Gothic" w:cs="Arial"/>
          <w:color w:val="000000" w:themeColor="text1"/>
        </w:rPr>
        <w:t>iii</w:t>
      </w:r>
      <w:proofErr w:type="spellEnd"/>
      <w:r w:rsidRPr="004E4408">
        <w:rPr>
          <w:rFonts w:ascii="Century Gothic" w:hAnsi="Century Gothic" w:cs="Arial"/>
          <w:color w:val="000000" w:themeColor="text1"/>
        </w:rPr>
        <w:t>) el ámbito de aplicación del artículo 91 de la Ley 1474 de 201</w:t>
      </w:r>
      <w:r w:rsidR="00944E97" w:rsidRPr="004E4408">
        <w:rPr>
          <w:rFonts w:ascii="Century Gothic" w:hAnsi="Century Gothic" w:cs="Arial"/>
          <w:color w:val="000000" w:themeColor="text1"/>
        </w:rPr>
        <w:t xml:space="preserve">1; </w:t>
      </w:r>
      <w:proofErr w:type="spellStart"/>
      <w:r w:rsidR="00944E97" w:rsidRPr="004E4408">
        <w:rPr>
          <w:rFonts w:ascii="Century Gothic" w:hAnsi="Century Gothic" w:cs="Arial"/>
          <w:color w:val="000000" w:themeColor="text1"/>
        </w:rPr>
        <w:t>iv</w:t>
      </w:r>
      <w:proofErr w:type="spellEnd"/>
      <w:r w:rsidR="00944E97" w:rsidRPr="004E4408">
        <w:rPr>
          <w:rFonts w:ascii="Century Gothic" w:hAnsi="Century Gothic" w:cs="Arial"/>
          <w:color w:val="000000" w:themeColor="text1"/>
        </w:rPr>
        <w:t>)</w:t>
      </w:r>
      <w:r w:rsidR="006A1382" w:rsidRPr="004E4408">
        <w:rPr>
          <w:rFonts w:ascii="Century Gothic" w:hAnsi="Century Gothic" w:cs="Arial"/>
          <w:color w:val="000000" w:themeColor="text1"/>
        </w:rPr>
        <w:t xml:space="preserve"> </w:t>
      </w:r>
      <w:r w:rsidR="00C052C4" w:rsidRPr="004E4408">
        <w:rPr>
          <w:rFonts w:ascii="Century Gothic" w:hAnsi="Century Gothic" w:cs="Arial"/>
          <w:color w:val="000000" w:themeColor="text1"/>
        </w:rPr>
        <w:t xml:space="preserve">Diferencias entre los </w:t>
      </w:r>
      <w:r w:rsidR="00944E97" w:rsidRPr="004E4408">
        <w:rPr>
          <w:rFonts w:ascii="Century Gothic" w:hAnsi="Century Gothic" w:cs="Arial"/>
          <w:color w:val="000000" w:themeColor="text1"/>
        </w:rPr>
        <w:t>contrato</w:t>
      </w:r>
      <w:r w:rsidR="00C052C4" w:rsidRPr="004E4408">
        <w:rPr>
          <w:rFonts w:ascii="Century Gothic" w:hAnsi="Century Gothic" w:cs="Arial"/>
          <w:color w:val="000000" w:themeColor="text1"/>
        </w:rPr>
        <w:t>s</w:t>
      </w:r>
      <w:r w:rsidR="00944E97" w:rsidRPr="004E4408">
        <w:rPr>
          <w:rFonts w:ascii="Century Gothic" w:hAnsi="Century Gothic" w:cs="Arial"/>
          <w:color w:val="000000" w:themeColor="text1"/>
        </w:rPr>
        <w:t xml:space="preserve"> de fiducia mercantil, fiducia pública y encargo fiduciario</w:t>
      </w:r>
      <w:r w:rsidR="00C052C4" w:rsidRPr="004E4408">
        <w:rPr>
          <w:rFonts w:ascii="Century Gothic" w:hAnsi="Century Gothic" w:cs="Arial"/>
          <w:color w:val="000000" w:themeColor="text1"/>
        </w:rPr>
        <w:t xml:space="preserve">; y, v) contrato de fiducia mercantil </w:t>
      </w:r>
      <w:r w:rsidR="002C29FC" w:rsidRPr="004E4408">
        <w:rPr>
          <w:rFonts w:ascii="Century Gothic" w:hAnsi="Century Gothic" w:cs="Arial"/>
          <w:color w:val="000000" w:themeColor="text1"/>
        </w:rPr>
        <w:t>irrevocable de administración y pagos para el manejo de anticipo.</w:t>
      </w:r>
    </w:p>
    <w:p w14:paraId="1AD071E9" w14:textId="77777777" w:rsidR="008E195C" w:rsidRPr="004E4408" w:rsidRDefault="00B76A1E" w:rsidP="00B76A1E">
      <w:pPr>
        <w:spacing w:before="120" w:line="276" w:lineRule="auto"/>
        <w:ind w:firstLine="851"/>
        <w:jc w:val="both"/>
        <w:rPr>
          <w:rFonts w:ascii="Century Gothic" w:hAnsi="Century Gothic" w:cs="Arial"/>
          <w:color w:val="000000" w:themeColor="text1"/>
        </w:rPr>
      </w:pPr>
      <w:r w:rsidRPr="004E4408">
        <w:rPr>
          <w:rFonts w:ascii="Century Gothic" w:hAnsi="Century Gothic" w:cs="Arial"/>
        </w:rPr>
        <w:t>La Agencia Nacional de Contratación Pública – Colombia Compra Eficiente en los conceptos con radicados números 4201714000000768 del 10 de marzo de 2017, 4201713000000879 del 24 de marzo de 2017, 4201713000002621 del 27 de julio de 2017,  4201714000004176 del 28 de agosto de 2017, 4201714000005628 del 11 de diciembre de 2017, 4201814000000698 del 14 de abril de 2018, C-049 del 21 de febrero de 2020, C-209 del 16 de marzo de 2020, C-693 del 25 de noviembre de 2020, C-731 del 14 de diciembre de 2020, C-154 del 18 de mayo de 2021, C-842 del 7 de diciembre de 2022, C-825 del 28 de diciembre de 2022, C-033 de 27 de febrero de 2023, C-003 de 13 de marzo de 2023, C-037 del 5 de abril de 2023 y C-109 de 10 de mayo de 2023</w:t>
      </w:r>
      <w:r w:rsidR="0048658B" w:rsidRPr="004E4408">
        <w:rPr>
          <w:rFonts w:ascii="Century Gothic" w:hAnsi="Century Gothic" w:cs="Arial"/>
        </w:rPr>
        <w:t xml:space="preserve"> y C- 157</w:t>
      </w:r>
      <w:r w:rsidR="008E195C" w:rsidRPr="004E4408">
        <w:rPr>
          <w:rFonts w:ascii="Century Gothic" w:hAnsi="Century Gothic" w:cs="Arial"/>
        </w:rPr>
        <w:t xml:space="preserve"> e 10 de agosto de 2023</w:t>
      </w:r>
      <w:r w:rsidRPr="004E4408">
        <w:rPr>
          <w:rStyle w:val="Refdenotaalpie"/>
          <w:rFonts w:ascii="Century Gothic" w:hAnsi="Century Gothic" w:cs="Arial"/>
        </w:rPr>
        <w:footnoteReference w:id="1"/>
      </w:r>
      <w:r w:rsidRPr="004E4408">
        <w:rPr>
          <w:rFonts w:ascii="Century Gothic" w:hAnsi="Century Gothic" w:cs="Arial"/>
        </w:rPr>
        <w:t>, se abordó el análisis y estudio de la facultad de las entidades estatales para pactar la entrega de anticipos en los contratos estatales y el ámbito de aplicación del artículo 91 de la Ley 1474 de 2011</w:t>
      </w:r>
      <w:r w:rsidRPr="004E4408">
        <w:rPr>
          <w:rFonts w:ascii="Century Gothic" w:hAnsi="Century Gothic" w:cs="Arial"/>
          <w:color w:val="000000" w:themeColor="text1"/>
        </w:rPr>
        <w:t xml:space="preserve">. </w:t>
      </w:r>
    </w:p>
    <w:p w14:paraId="5569A292" w14:textId="3F6AC381" w:rsidR="00B76A1E" w:rsidRPr="004E4408" w:rsidRDefault="009E5C58" w:rsidP="00B76A1E">
      <w:pPr>
        <w:spacing w:before="120" w:line="276" w:lineRule="auto"/>
        <w:ind w:firstLine="851"/>
        <w:jc w:val="both"/>
        <w:rPr>
          <w:rFonts w:ascii="Century Gothic" w:hAnsi="Century Gothic" w:cs="Arial"/>
          <w:color w:val="000000" w:themeColor="text1"/>
        </w:rPr>
      </w:pPr>
      <w:r w:rsidRPr="004E4408">
        <w:rPr>
          <w:rFonts w:ascii="Century Gothic" w:hAnsi="Century Gothic" w:cs="Arial"/>
          <w:color w:val="000000" w:themeColor="text1"/>
        </w:rPr>
        <w:t xml:space="preserve">Igualmente, la Agencia se pronunció sobre el contrato de fiducia mercantil y la capacidad contractual del patrimonio autónomo derivado de dicho contrato </w:t>
      </w:r>
      <w:r w:rsidR="009A31E8" w:rsidRPr="004E4408">
        <w:rPr>
          <w:rFonts w:ascii="Century Gothic" w:hAnsi="Century Gothic" w:cs="Arial"/>
          <w:color w:val="000000" w:themeColor="text1"/>
        </w:rPr>
        <w:t xml:space="preserve">y la diferencia entre la fiducia pública y el encargo fiduciario </w:t>
      </w:r>
      <w:r w:rsidRPr="004E4408">
        <w:rPr>
          <w:rFonts w:ascii="Century Gothic" w:hAnsi="Century Gothic" w:cs="Arial"/>
          <w:color w:val="000000" w:themeColor="text1"/>
        </w:rPr>
        <w:t xml:space="preserve">en los conceptos con radicado No. </w:t>
      </w:r>
      <w:r w:rsidR="00CE292A" w:rsidRPr="004E4408">
        <w:rPr>
          <w:rFonts w:ascii="Century Gothic" w:hAnsi="Century Gothic" w:cs="Arial"/>
          <w:color w:val="000000" w:themeColor="text1"/>
        </w:rPr>
        <w:t>2201913000005645 del</w:t>
      </w:r>
      <w:r w:rsidRPr="004E4408">
        <w:rPr>
          <w:rFonts w:ascii="Century Gothic" w:hAnsi="Century Gothic" w:cs="Arial"/>
          <w:color w:val="000000" w:themeColor="text1"/>
        </w:rPr>
        <w:t xml:space="preserve"> 8 de agosto de 2019 y 2201913000008612 del 19 de noviembre de 2019</w:t>
      </w:r>
      <w:r w:rsidR="009A31E8" w:rsidRPr="004E4408">
        <w:rPr>
          <w:rFonts w:ascii="Century Gothic" w:hAnsi="Century Gothic" w:cs="Arial"/>
          <w:color w:val="000000" w:themeColor="text1"/>
        </w:rPr>
        <w:t xml:space="preserve"> y C-900</w:t>
      </w:r>
      <w:r w:rsidR="00CE292A" w:rsidRPr="004E4408">
        <w:rPr>
          <w:rFonts w:ascii="Century Gothic" w:hAnsi="Century Gothic" w:cs="Arial"/>
          <w:color w:val="000000" w:themeColor="text1"/>
        </w:rPr>
        <w:t xml:space="preserve"> del 28 de noviembre de 2022. </w:t>
      </w:r>
      <w:r w:rsidR="00B76A1E" w:rsidRPr="004E4408">
        <w:rPr>
          <w:rFonts w:ascii="Century Gothic" w:hAnsi="Century Gothic" w:cs="Arial"/>
          <w:color w:val="000000" w:themeColor="text1"/>
        </w:rPr>
        <w:t>La tesis propuesta en dichos conceptos se expone a continuación y se complementa en lo pertinente.</w:t>
      </w:r>
    </w:p>
    <w:p w14:paraId="508E8D76" w14:textId="77777777" w:rsidR="00B76A1E" w:rsidRPr="004E4408" w:rsidRDefault="00B76A1E" w:rsidP="00B76A1E">
      <w:pPr>
        <w:spacing w:line="276" w:lineRule="auto"/>
        <w:jc w:val="both"/>
        <w:rPr>
          <w:rFonts w:ascii="Century Gothic" w:eastAsia="Calibri" w:hAnsi="Century Gothic" w:cs="Arial"/>
          <w:b/>
        </w:rPr>
      </w:pPr>
      <w:r w:rsidRPr="004E4408">
        <w:rPr>
          <w:rFonts w:ascii="Century Gothic" w:eastAsia="Calibri" w:hAnsi="Century Gothic" w:cs="Arial"/>
          <w:b/>
        </w:rPr>
        <w:t>2.1 Competencia consultiva de la Agencia Nacional de Contratación Pública – Colombia Compra Eficiente. Reiteración de Línea.</w:t>
      </w:r>
    </w:p>
    <w:p w14:paraId="07D5BA38" w14:textId="77777777" w:rsidR="00B76A1E" w:rsidRPr="004E4408" w:rsidRDefault="00B76A1E" w:rsidP="00B76A1E">
      <w:pPr>
        <w:tabs>
          <w:tab w:val="left" w:pos="426"/>
        </w:tabs>
        <w:spacing w:before="120" w:line="276" w:lineRule="auto"/>
        <w:jc w:val="both"/>
        <w:rPr>
          <w:rFonts w:ascii="Century Gothic" w:eastAsia="Times New Roman" w:hAnsi="Century Gothic" w:cs="Arial"/>
          <w:color w:val="000000"/>
          <w:lang w:eastAsia="es-MX"/>
        </w:rPr>
      </w:pPr>
      <w:r w:rsidRPr="004E4408">
        <w:rPr>
          <w:rFonts w:ascii="Century Gothic" w:eastAsia="Times New Roman" w:hAnsi="Century Gothic" w:cs="Arial"/>
          <w:color w:val="000000"/>
          <w:lang w:eastAsia="es-MX"/>
        </w:rPr>
        <w:t xml:space="preserve">En ejercicio de las competencias consagradas en el numeral 5 del artículo 3 y numeral 8, 12, del artículo 11 del Decreto 4170 de 2011, la Agencia Nacional de Contratación Pública – Colombia Compra Eficiente resuelve las consultas sobre los asuntos de su competencia, esto es, sobre las temáticas de la contratación estatal y compras públicas relacionadas en los artículos citados. El alcance de la competencia consultiva encuentra fundamento normativo en el artículo 28 de la Ley 1437 de 2011, sustituido por el artículo 1 de la Ley 1755 de 2015, que dispone lo siguiente: </w:t>
      </w:r>
      <w:r w:rsidRPr="004E4408">
        <w:rPr>
          <w:rFonts w:ascii="Century Gothic" w:eastAsia="Calibri" w:hAnsi="Century Gothic" w:cs="Arial"/>
          <w:color w:val="000000"/>
          <w:lang w:eastAsia="es-MX"/>
        </w:rPr>
        <w:t> </w:t>
      </w:r>
    </w:p>
    <w:p w14:paraId="2D559B5C" w14:textId="77777777" w:rsidR="00B76A1E" w:rsidRPr="004E4408" w:rsidRDefault="00B76A1E" w:rsidP="00B76A1E">
      <w:pPr>
        <w:tabs>
          <w:tab w:val="left" w:pos="426"/>
        </w:tabs>
        <w:spacing w:line="240" w:lineRule="auto"/>
        <w:ind w:left="709" w:right="709"/>
        <w:jc w:val="both"/>
        <w:rPr>
          <w:rFonts w:ascii="Century Gothic" w:eastAsia="Times New Roman" w:hAnsi="Century Gothic" w:cs="Arial"/>
          <w:color w:val="000000"/>
          <w:sz w:val="21"/>
          <w:szCs w:val="21"/>
          <w:lang w:eastAsia="es-MX"/>
        </w:rPr>
      </w:pPr>
      <w:r w:rsidRPr="004E4408">
        <w:rPr>
          <w:rFonts w:ascii="Century Gothic" w:eastAsia="Calibri" w:hAnsi="Century Gothic" w:cs="Arial"/>
          <w:color w:val="000000"/>
          <w:sz w:val="21"/>
          <w:szCs w:val="21"/>
          <w:lang w:eastAsia="es-MX"/>
        </w:rPr>
        <w:t> </w:t>
      </w:r>
      <w:proofErr w:type="gramStart"/>
      <w:r w:rsidRPr="004E4408">
        <w:rPr>
          <w:rFonts w:ascii="Century Gothic" w:eastAsia="Times New Roman" w:hAnsi="Century Gothic" w:cs="Arial"/>
          <w:color w:val="000000"/>
          <w:sz w:val="21"/>
          <w:szCs w:val="21"/>
          <w:lang w:eastAsia="es-MX"/>
        </w:rPr>
        <w:t>”Artículo</w:t>
      </w:r>
      <w:proofErr w:type="gramEnd"/>
      <w:r w:rsidRPr="004E4408">
        <w:rPr>
          <w:rFonts w:ascii="Century Gothic" w:eastAsia="Times New Roman" w:hAnsi="Century Gothic" w:cs="Arial"/>
          <w:color w:val="000000"/>
          <w:sz w:val="21"/>
          <w:szCs w:val="21"/>
          <w:lang w:eastAsia="es-MX"/>
        </w:rPr>
        <w:t xml:space="preserve"> 28. Alcance de los conceptos. Salvo disposición legal en contrario, los conceptos emitidos por las autoridades como respuestas a peticiones realizadas en ejercicio del derecho a formular consultas no serán de obligatorio cumplimiento o ejecución</w:t>
      </w:r>
      <w:r w:rsidRPr="004E4408">
        <w:rPr>
          <w:rFonts w:ascii="Century Gothic" w:eastAsia="Calibri" w:hAnsi="Century Gothic" w:cs="Arial"/>
          <w:color w:val="000000"/>
          <w:sz w:val="21"/>
          <w:szCs w:val="21"/>
          <w:lang w:eastAsia="es-MX"/>
        </w:rPr>
        <w:t>”. </w:t>
      </w:r>
    </w:p>
    <w:p w14:paraId="4835E7EC" w14:textId="77777777" w:rsidR="00B76A1E" w:rsidRPr="004E4408" w:rsidRDefault="00B76A1E" w:rsidP="00B76A1E">
      <w:pPr>
        <w:tabs>
          <w:tab w:val="left" w:pos="426"/>
        </w:tabs>
        <w:spacing w:before="120" w:after="120" w:line="276" w:lineRule="auto"/>
        <w:jc w:val="both"/>
        <w:rPr>
          <w:rFonts w:ascii="Century Gothic" w:eastAsia="Times New Roman" w:hAnsi="Century Gothic" w:cs="Arial"/>
          <w:color w:val="000000"/>
          <w:lang w:eastAsia="es-MX"/>
        </w:rPr>
      </w:pPr>
      <w:r w:rsidRPr="004E4408">
        <w:rPr>
          <w:rFonts w:ascii="Century Gothic" w:eastAsia="Calibri" w:hAnsi="Century Gothic" w:cs="Arial"/>
          <w:color w:val="000000"/>
          <w:lang w:eastAsia="es-MX"/>
        </w:rPr>
        <w:t> </w:t>
      </w:r>
      <w:r w:rsidRPr="004E4408">
        <w:rPr>
          <w:rFonts w:ascii="Century Gothic" w:eastAsia="Calibri" w:hAnsi="Century Gothic" w:cs="Arial"/>
          <w:color w:val="000000"/>
          <w:lang w:eastAsia="es-MX"/>
        </w:rPr>
        <w:tab/>
      </w:r>
      <w:r w:rsidRPr="004E4408">
        <w:rPr>
          <w:rFonts w:ascii="Century Gothic" w:eastAsia="Calibri" w:hAnsi="Century Gothic" w:cs="Arial"/>
          <w:color w:val="000000"/>
          <w:lang w:eastAsia="es-MX"/>
        </w:rPr>
        <w:tab/>
      </w:r>
      <w:r w:rsidRPr="004E4408">
        <w:rPr>
          <w:rFonts w:ascii="Century Gothic" w:eastAsia="Times New Roman" w:hAnsi="Century Gothic" w:cs="Arial"/>
          <w:color w:val="000000"/>
          <w:lang w:eastAsia="es-MX"/>
        </w:rPr>
        <w:t>La norma citada prescribe que los conceptos emitidos por las autoridades, como respuestas a peticiones realizadas en ejercicio del derecho a formular consultas, no son de obligatorio cumplimiento o de imperativa ejecución, es decir, no tienen efectos vinculantes. En particular, es preciso advertir que los conceptos contienen la posición hermenéutica de la Subdirección de Gestión Contractual en relación con determinado aspecto del ordenamiento jurídico. Esta competencia de interpretación de normas generales, por definición, no puede extenderse a la resolución de controversias, ni a brindar asesorías sobre casos puntuales.</w:t>
      </w:r>
      <w:r w:rsidRPr="004E4408">
        <w:rPr>
          <w:rFonts w:ascii="Century Gothic" w:eastAsia="Calibri" w:hAnsi="Century Gothic" w:cs="Arial"/>
          <w:color w:val="000000"/>
          <w:lang w:eastAsia="es-MX"/>
        </w:rPr>
        <w:t> </w:t>
      </w:r>
    </w:p>
    <w:p w14:paraId="570F17DC" w14:textId="77777777" w:rsidR="00B76A1E" w:rsidRPr="004E4408" w:rsidRDefault="00B76A1E" w:rsidP="00B76A1E">
      <w:pPr>
        <w:spacing w:before="120" w:line="276" w:lineRule="auto"/>
        <w:ind w:firstLine="708"/>
        <w:jc w:val="both"/>
        <w:rPr>
          <w:rFonts w:ascii="Century Gothic" w:eastAsia="Times New Roman" w:hAnsi="Century Gothic" w:cs="Arial"/>
          <w:color w:val="000000"/>
          <w:lang w:eastAsia="es-MX"/>
        </w:rPr>
      </w:pPr>
      <w:r w:rsidRPr="004E4408">
        <w:rPr>
          <w:rFonts w:ascii="Century Gothic" w:eastAsia="Times New Roman" w:hAnsi="Century Gothic" w:cs="Arial"/>
          <w:color w:val="000000"/>
          <w:lang w:eastAsia="es-MX"/>
        </w:rPr>
        <w:t xml:space="preserve">En otras palabras, los conceptos de esta Agencia tienen como objeto la interpretación de normas de carácter general, esto es, del ordenamiento jurídico en abstracto, no la resolución de controversias o la asesoría para casos concretos; además, no son vinculantes o de obligatorio cumplimiento para el destinatario, sino que expresan la posición interpretativa del organismo que elabora el concepto. </w:t>
      </w:r>
      <w:r w:rsidRPr="004E4408">
        <w:rPr>
          <w:rFonts w:ascii="Century Gothic" w:eastAsia="Calibri" w:hAnsi="Century Gothic" w:cs="Arial"/>
          <w:color w:val="000000"/>
          <w:lang w:eastAsia="es-MX"/>
        </w:rPr>
        <w:t> </w:t>
      </w:r>
    </w:p>
    <w:p w14:paraId="79132591" w14:textId="77777777" w:rsidR="00B76A1E" w:rsidRPr="004E4408" w:rsidRDefault="00B76A1E" w:rsidP="00B76A1E">
      <w:pPr>
        <w:tabs>
          <w:tab w:val="left" w:pos="709"/>
        </w:tabs>
        <w:spacing w:before="120" w:line="276" w:lineRule="auto"/>
        <w:jc w:val="both"/>
        <w:rPr>
          <w:rFonts w:ascii="Century Gothic" w:eastAsia="Times New Roman" w:hAnsi="Century Gothic" w:cs="Arial"/>
          <w:color w:val="000000"/>
          <w:lang w:eastAsia="es-MX"/>
        </w:rPr>
      </w:pPr>
      <w:r w:rsidRPr="004E4408">
        <w:rPr>
          <w:rFonts w:ascii="Century Gothic" w:eastAsia="Times New Roman" w:hAnsi="Century Gothic" w:cs="Arial"/>
          <w:color w:val="000000"/>
          <w:shd w:val="clear" w:color="auto" w:fill="FFFFFF"/>
          <w:lang w:eastAsia="es-MX"/>
        </w:rPr>
        <w:tab/>
        <w:t>En concordancia con ello, es importante resaltar que e</w:t>
      </w:r>
      <w:r w:rsidRPr="004E4408">
        <w:rPr>
          <w:rFonts w:ascii="Century Gothic" w:eastAsia="Times New Roman" w:hAnsi="Century Gothic" w:cs="Arial"/>
          <w:color w:val="000000"/>
          <w:lang w:eastAsia="es-MX"/>
        </w:rPr>
        <w:t>sta posición es compartida por varias entidades públicas que ejercen similar función. Por ejemplo, la Procuraduría General de la Nación</w:t>
      </w:r>
      <w:r w:rsidRPr="004E4408">
        <w:rPr>
          <w:rFonts w:ascii="Century Gothic" w:eastAsia="Times New Roman" w:hAnsi="Century Gothic" w:cs="Arial"/>
          <w:color w:val="000000"/>
          <w:vertAlign w:val="superscript"/>
          <w:lang w:eastAsia="es-MX"/>
        </w:rPr>
        <w:footnoteReference w:id="2"/>
      </w:r>
      <w:r w:rsidRPr="004E4408">
        <w:rPr>
          <w:rFonts w:ascii="Century Gothic" w:eastAsia="Times New Roman" w:hAnsi="Century Gothic" w:cs="Arial"/>
          <w:color w:val="000000"/>
          <w:lang w:eastAsia="es-MX"/>
        </w:rPr>
        <w:t xml:space="preserve"> aclaró que el concepto “sólo constituye un criterio auxiliar de interpretación y que no tiene carácter vinculante de acuerdo con lo dispuesto en los artículos 230 de la Constitución Política, 5° de la Ley 153 de 1887 y 28 de la ley 1437 de 2011”. Igualmente, en concepto del año 2017, la Contraloría General</w:t>
      </w:r>
      <w:r w:rsidRPr="004E4408">
        <w:rPr>
          <w:rFonts w:ascii="Century Gothic" w:eastAsia="Times New Roman" w:hAnsi="Century Gothic" w:cs="Arial"/>
          <w:color w:val="000000"/>
          <w:vertAlign w:val="superscript"/>
          <w:lang w:eastAsia="es-MX"/>
        </w:rPr>
        <w:footnoteReference w:id="3"/>
      </w:r>
      <w:r w:rsidRPr="004E4408">
        <w:rPr>
          <w:rFonts w:ascii="Century Gothic" w:eastAsia="Times New Roman" w:hAnsi="Century Gothic" w:cs="Arial"/>
          <w:color w:val="000000"/>
          <w:lang w:eastAsia="es-MX"/>
        </w:rPr>
        <w:t xml:space="preserve"> de la República precisó que los </w:t>
      </w:r>
      <w:r w:rsidRPr="004E4408">
        <w:rPr>
          <w:rFonts w:ascii="Century Gothic" w:eastAsia="Times New Roman" w:hAnsi="Century Gothic" w:cs="Arial"/>
          <w:i/>
          <w:color w:val="000000"/>
          <w:lang w:eastAsia="es-MX"/>
        </w:rPr>
        <w:t>“[…] conceptos emitidos por la Oficina Jurídica de la Contraloría General de la República, son orientaciones de carácter general que […] no son de obligatorio cumplimiento o ejecución, ni tienen el carácter de fuente normativa y sólo pueden ser utilizados para facilitar la interpretación y aplicación de las normas jurídicas vigentes […]”.</w:t>
      </w:r>
      <w:r w:rsidRPr="004E4408">
        <w:rPr>
          <w:rFonts w:ascii="Century Gothic" w:eastAsia="Calibri" w:hAnsi="Century Gothic" w:cs="Arial"/>
          <w:color w:val="000000"/>
          <w:lang w:eastAsia="es-MX"/>
        </w:rPr>
        <w:t> </w:t>
      </w:r>
    </w:p>
    <w:p w14:paraId="6E9512ED" w14:textId="77777777" w:rsidR="00B76A1E" w:rsidRPr="004E4408" w:rsidRDefault="00B76A1E" w:rsidP="00B76A1E">
      <w:pPr>
        <w:tabs>
          <w:tab w:val="left" w:pos="709"/>
        </w:tabs>
        <w:spacing w:before="120" w:line="276" w:lineRule="auto"/>
        <w:jc w:val="both"/>
        <w:rPr>
          <w:rFonts w:ascii="Century Gothic" w:eastAsia="Times New Roman" w:hAnsi="Century Gothic" w:cs="Arial"/>
          <w:color w:val="000000"/>
          <w:lang w:eastAsia="es-MX"/>
        </w:rPr>
      </w:pPr>
      <w:r w:rsidRPr="004E4408">
        <w:rPr>
          <w:rFonts w:ascii="Century Gothic" w:eastAsia="Calibri" w:hAnsi="Century Gothic" w:cs="Arial"/>
          <w:color w:val="000000"/>
          <w:lang w:eastAsia="es-MX"/>
        </w:rPr>
        <w:tab/>
      </w:r>
      <w:r w:rsidRPr="004E4408">
        <w:rPr>
          <w:rFonts w:ascii="Century Gothic" w:eastAsia="Times New Roman" w:hAnsi="Century Gothic" w:cs="Arial"/>
          <w:color w:val="000000"/>
          <w:lang w:eastAsia="es-MX"/>
        </w:rPr>
        <w:t>En términos generales, lo que se busca con el ejercicio de la función consultiva es que la opinión jurídica de esta Agencia sea un criterio de orientación para los operadores jurídicos, sin que ello suponga resolver un problema entre partes o asumir la única posible interpretación de una disposición normativa. Esto no descarta que, en la práctica, al emitirse la opinión sobre la interpretación del ordenamiento jurídico, exista coincidencia con el criterio que expone alguna de las partes o la persona que solicita la consulta, circunstancia que no descarta interpretaciones diferentes</w:t>
      </w:r>
      <w:r w:rsidRPr="004E4408">
        <w:rPr>
          <w:rFonts w:ascii="Century Gothic" w:eastAsia="Times New Roman" w:hAnsi="Century Gothic" w:cs="Arial"/>
          <w:color w:val="000000"/>
          <w:vertAlign w:val="superscript"/>
          <w:lang w:eastAsia="es-MX"/>
        </w:rPr>
        <w:footnoteReference w:id="4"/>
      </w:r>
      <w:r w:rsidRPr="004E4408">
        <w:rPr>
          <w:rFonts w:ascii="Century Gothic" w:eastAsia="Times New Roman" w:hAnsi="Century Gothic" w:cs="Arial"/>
          <w:color w:val="000000"/>
          <w:lang w:eastAsia="es-MX"/>
        </w:rPr>
        <w:t xml:space="preserve">. </w:t>
      </w:r>
    </w:p>
    <w:p w14:paraId="6803F3A0" w14:textId="77777777" w:rsidR="00B76A1E" w:rsidRPr="004E4408" w:rsidRDefault="00B76A1E" w:rsidP="00B76A1E">
      <w:pPr>
        <w:spacing w:before="120" w:after="120" w:line="276" w:lineRule="auto"/>
        <w:ind w:firstLine="709"/>
        <w:jc w:val="both"/>
        <w:rPr>
          <w:rFonts w:ascii="Century Gothic" w:eastAsia="Times New Roman" w:hAnsi="Century Gothic" w:cs="Arial"/>
          <w:color w:val="000000"/>
          <w:lang w:eastAsia="es-MX"/>
        </w:rPr>
      </w:pPr>
      <w:r w:rsidRPr="004E4408">
        <w:rPr>
          <w:rFonts w:ascii="Century Gothic" w:eastAsia="Times New Roman" w:hAnsi="Century Gothic" w:cs="Arial"/>
          <w:color w:val="000000"/>
          <w:lang w:eastAsia="es-MX"/>
        </w:rPr>
        <w:t xml:space="preserve">De este modo, las autoridades que ejercen funciones consultivas pueden expresar su interpretación de un precepto normativo que no excluye otras interpretaciones posibles, pues el derecho, como sistema normativo, es un lenguaje que, en ocasiones, se tiñe de vaguedad, en virtud de la utilización de conceptos jurídicos indeterminados. Así, puede pasar, por ejemplo, que un ministerio considere que una norma debe entenderse en un sentido, pero que otra entidad, vinculada o adscrita a ese ministerio, entienda que la misma norma debe interpretarse de otra manera. Eso hace parte de la lógica deliberativa y dialéctica del funcionamiento del Estado y refleja el principio democrático. </w:t>
      </w:r>
    </w:p>
    <w:p w14:paraId="7AA61FC2" w14:textId="77777777" w:rsidR="00B76A1E" w:rsidRPr="004E4408" w:rsidRDefault="00B76A1E" w:rsidP="00B76A1E">
      <w:pPr>
        <w:spacing w:line="276" w:lineRule="auto"/>
        <w:ind w:firstLine="708"/>
        <w:jc w:val="both"/>
        <w:rPr>
          <w:rFonts w:ascii="Century Gothic" w:eastAsia="Times New Roman" w:hAnsi="Century Gothic" w:cs="Arial"/>
          <w:color w:val="000000"/>
          <w:szCs w:val="24"/>
          <w:lang w:eastAsia="es-MX"/>
        </w:rPr>
      </w:pPr>
      <w:r w:rsidRPr="004E4408">
        <w:rPr>
          <w:rFonts w:ascii="Century Gothic" w:eastAsia="Times New Roman" w:hAnsi="Century Gothic" w:cs="Arial"/>
          <w:color w:val="000000"/>
          <w:lang w:eastAsia="es-MX"/>
        </w:rPr>
        <w:t>De todos modos, esto no significa que el criterio de una u otra tenga validez o prevalencia sobre la otra, ya que se trata de opiniones emitidas a título de concepto, pese a que entre las entidades exista una jerarquía o de la naturaleza y competencias que se prediquen de una y otra. Incluso, aun cuando los jueces interpreten con autoridad el sentido de la disposición normativa, el concepto emitido por la entidad no deja de ser un concepto y no adquiere efectos vinculantes, por más que coincida con el de la autoridad judicial, pues, en esa hipótesis, lo que vincula es la decisión del juez, no el de la entidad que ejerció la función consultiva, pues, como se viene diciendo, dicha competencia se enmarca en el artículo 28 de la Ley 1437 de 2011. En otras palabras, los conceptos “no serán de obligatorio cumplimiento o ejecución”.</w:t>
      </w:r>
    </w:p>
    <w:p w14:paraId="521D3F20" w14:textId="77777777" w:rsidR="00B76A1E" w:rsidRPr="004E4408" w:rsidRDefault="00B76A1E" w:rsidP="00B76A1E">
      <w:pPr>
        <w:tabs>
          <w:tab w:val="left" w:pos="0"/>
        </w:tabs>
        <w:spacing w:line="276" w:lineRule="auto"/>
        <w:jc w:val="both"/>
        <w:rPr>
          <w:rFonts w:ascii="Century Gothic" w:hAnsi="Century Gothic" w:cs="Arial"/>
          <w:b/>
          <w:color w:val="000000"/>
          <w:lang w:eastAsia="en-GB"/>
        </w:rPr>
      </w:pPr>
      <w:r w:rsidRPr="004E4408">
        <w:rPr>
          <w:rFonts w:ascii="Century Gothic" w:hAnsi="Century Gothic" w:cs="Arial"/>
          <w:b/>
          <w:color w:val="000000"/>
          <w:lang w:eastAsia="en-GB"/>
        </w:rPr>
        <w:t xml:space="preserve">2.2. </w:t>
      </w:r>
      <w:r w:rsidRPr="004E4408">
        <w:rPr>
          <w:rFonts w:ascii="Century Gothic" w:hAnsi="Century Gothic" w:cs="Arial"/>
          <w:b/>
          <w:color w:val="000000" w:themeColor="text1"/>
        </w:rPr>
        <w:t>Naturaleza jurídica del anticipo. Reiteración de línea</w:t>
      </w:r>
    </w:p>
    <w:p w14:paraId="470B8CF6" w14:textId="77777777" w:rsidR="00B76A1E" w:rsidRPr="004E4408" w:rsidRDefault="00B76A1E" w:rsidP="00B76A1E">
      <w:pPr>
        <w:tabs>
          <w:tab w:val="left" w:pos="0"/>
        </w:tabs>
        <w:spacing w:line="276" w:lineRule="auto"/>
        <w:jc w:val="both"/>
        <w:rPr>
          <w:rFonts w:ascii="Century Gothic" w:hAnsi="Century Gothic" w:cs="Arial"/>
          <w:color w:val="000000" w:themeColor="text1"/>
        </w:rPr>
      </w:pPr>
      <w:r w:rsidRPr="004E4408">
        <w:rPr>
          <w:rFonts w:ascii="Century Gothic" w:hAnsi="Century Gothic" w:cs="Arial"/>
          <w:color w:val="000000"/>
          <w:lang w:eastAsia="en-GB"/>
        </w:rPr>
        <w:t>En materia de contratación pública, la figura del anticipo está prevista en dos (2) normas: el</w:t>
      </w:r>
      <w:r w:rsidRPr="004E4408">
        <w:rPr>
          <w:rFonts w:ascii="Century Gothic" w:hAnsi="Century Gothic" w:cs="Arial"/>
          <w:color w:val="000000" w:themeColor="text1"/>
        </w:rPr>
        <w:t xml:space="preserve"> inciso primero del parágrafo del artículo 40 de la Ley 80 de 1993 y en el artículo 91 de la Ley 1474 de 2011. En cuanto al Estatuto General de Contratación de la Administración Pública, se dispone la posibilidad de pactar anticipos en los contratos, pero sujeto a determinadas limitaciones. En efecto, la norma prescribe que “En los contratos que celebren las entidades estatales se podrá pactar el pago anticipado y la entrega de anticipos, pero su monto no podrá exceder del cincuenta por ciento (50%) del valor del respectivo contrato”. </w:t>
      </w:r>
    </w:p>
    <w:p w14:paraId="212B8725" w14:textId="77777777" w:rsidR="00B76A1E" w:rsidRPr="004E4408" w:rsidRDefault="00B76A1E" w:rsidP="00B76A1E">
      <w:pPr>
        <w:tabs>
          <w:tab w:val="left" w:pos="0"/>
        </w:tabs>
        <w:spacing w:before="120" w:line="276" w:lineRule="auto"/>
        <w:ind w:firstLine="709"/>
        <w:jc w:val="both"/>
        <w:rPr>
          <w:rFonts w:ascii="Century Gothic" w:hAnsi="Century Gothic" w:cs="Arial"/>
          <w:color w:val="000000" w:themeColor="text1"/>
        </w:rPr>
      </w:pPr>
      <w:r w:rsidRPr="004E4408">
        <w:rPr>
          <w:rFonts w:ascii="Century Gothic" w:hAnsi="Century Gothic" w:cs="Arial"/>
          <w:color w:val="000000" w:themeColor="text1"/>
        </w:rPr>
        <w:t xml:space="preserve">Por su parte, el artículo 91 de la Ley 1474 de 2011 consagra una regla especial para el manejo del anticipo. Según esta disposición, el contratista tiene la obligación de constituir una fiducia o un patrimonio autónomo irrevocable para el manejo de los recursos que reciba a título de anticipo, cuando se pacte en contratos de obra, concesión, salud, o en todos aquellos que se realicen por licitación pública, </w:t>
      </w:r>
      <w:r w:rsidRPr="004E4408">
        <w:rPr>
          <w:rFonts w:ascii="Century Gothic" w:hAnsi="Century Gothic" w:cs="Arial"/>
          <w:i/>
          <w:color w:val="000000" w:themeColor="text1"/>
        </w:rPr>
        <w:t>“salvo que el contrato sea de menor o mínima cuantía</w:t>
      </w:r>
      <w:r w:rsidRPr="004E4408">
        <w:rPr>
          <w:rFonts w:ascii="Century Gothic" w:hAnsi="Century Gothic" w:cs="Arial"/>
          <w:color w:val="000000" w:themeColor="text1"/>
        </w:rPr>
        <w:t>”. Lo anterior, con el fin de garantizar que se destinen exclusivamente a la ejecución del contrato.</w:t>
      </w:r>
    </w:p>
    <w:p w14:paraId="1DEC5EC0" w14:textId="77777777" w:rsidR="00B76A1E" w:rsidRPr="004E4408" w:rsidRDefault="00B76A1E" w:rsidP="00B76A1E">
      <w:pPr>
        <w:tabs>
          <w:tab w:val="left" w:pos="0"/>
        </w:tabs>
        <w:spacing w:before="120" w:line="276" w:lineRule="auto"/>
        <w:ind w:firstLine="709"/>
        <w:jc w:val="both"/>
        <w:rPr>
          <w:rFonts w:ascii="Century Gothic" w:hAnsi="Century Gothic" w:cs="Arial"/>
          <w:vertAlign w:val="superscript"/>
        </w:rPr>
      </w:pPr>
      <w:r w:rsidRPr="004E4408">
        <w:rPr>
          <w:rFonts w:ascii="Century Gothic" w:hAnsi="Century Gothic" w:cs="Arial"/>
        </w:rPr>
        <w:t>Aunque las normas citadas no definen el anticipo, el Consejo de Estado ha precisado su naturaleza jurídica fijando parámetros para su aplicación</w:t>
      </w:r>
      <w:r w:rsidRPr="004E4408">
        <w:rPr>
          <w:rFonts w:ascii="Century Gothic" w:hAnsi="Century Gothic" w:cs="Arial"/>
          <w:vertAlign w:val="superscript"/>
        </w:rPr>
        <w:footnoteReference w:id="5"/>
      </w:r>
      <w:r w:rsidRPr="004E4408">
        <w:rPr>
          <w:rFonts w:ascii="Century Gothic" w:hAnsi="Century Gothic" w:cs="Arial"/>
        </w:rPr>
        <w:t xml:space="preserve">. En uno de sus pronunciamientos más recientes, el Consejo de Estado se refirió al anticipo como </w:t>
      </w:r>
      <w:r w:rsidRPr="004E4408">
        <w:rPr>
          <w:rFonts w:ascii="Century Gothic" w:hAnsi="Century Gothic" w:cs="Arial"/>
          <w:color w:val="000000" w:themeColor="text1"/>
        </w:rPr>
        <w:t>“</w:t>
      </w:r>
      <w:r w:rsidRPr="004E4408">
        <w:rPr>
          <w:rFonts w:ascii="Century Gothic" w:hAnsi="Century Gothic" w:cs="Arial"/>
        </w:rPr>
        <w:t>un recurso o suma correspondiente a un porcentaje del valor total del contrato, pactado como contraprestación, que la entidad pública le entrega al contratista para que sea invertida específicamente en la ejecución del contrato y sea manejada generalmente en cuenta separada, con imposición de obligaciones relacionadas con legalización y amortización de la inversión, de suerte que el monto entregado como anticipo no ingresa al patrimonio del contratista sino cuando ha sido debidamente amortizado</w:t>
      </w:r>
      <w:r w:rsidRPr="004E4408">
        <w:rPr>
          <w:rFonts w:ascii="Century Gothic" w:hAnsi="Century Gothic" w:cs="Arial"/>
          <w:color w:val="000000" w:themeColor="text1"/>
        </w:rPr>
        <w:t>”</w:t>
      </w:r>
      <w:r w:rsidRPr="004E4408">
        <w:rPr>
          <w:rFonts w:ascii="Century Gothic" w:hAnsi="Century Gothic" w:cs="Arial"/>
          <w:vertAlign w:val="superscript"/>
        </w:rPr>
        <w:footnoteReference w:id="6"/>
      </w:r>
      <w:r w:rsidRPr="004E4408">
        <w:rPr>
          <w:rFonts w:ascii="Century Gothic" w:hAnsi="Century Gothic" w:cs="Arial"/>
          <w:color w:val="000000" w:themeColor="text1"/>
        </w:rPr>
        <w:t>.</w:t>
      </w:r>
    </w:p>
    <w:p w14:paraId="0FFBAA18" w14:textId="77777777" w:rsidR="00B76A1E" w:rsidRPr="004E4408" w:rsidRDefault="00B76A1E" w:rsidP="00B76A1E">
      <w:pPr>
        <w:spacing w:before="120" w:line="276" w:lineRule="auto"/>
        <w:ind w:firstLine="708"/>
        <w:jc w:val="both"/>
        <w:rPr>
          <w:rFonts w:ascii="Century Gothic" w:hAnsi="Century Gothic" w:cs="Arial"/>
        </w:rPr>
      </w:pPr>
      <w:r w:rsidRPr="004E4408">
        <w:rPr>
          <w:rFonts w:ascii="Century Gothic" w:hAnsi="Century Gothic" w:cs="Arial"/>
        </w:rPr>
        <w:t xml:space="preserve">Sobre la calidad de recurso público del anticipo, la jurisprudencia ha reiterado que </w:t>
      </w:r>
      <w:r w:rsidRPr="004E4408">
        <w:rPr>
          <w:rFonts w:ascii="Century Gothic" w:hAnsi="Century Gothic" w:cs="Arial"/>
          <w:color w:val="000000" w:themeColor="text1"/>
        </w:rPr>
        <w:t>“</w:t>
      </w:r>
      <w:r w:rsidRPr="004E4408">
        <w:rPr>
          <w:rFonts w:ascii="Century Gothic" w:hAnsi="Century Gothic" w:cs="Arial"/>
        </w:rPr>
        <w:t>dicho dinero no hace parte del patrimonio del contratista y le pertenece a la entidad contratante hasta tanto se amortice. De allí se deduce que la función del anticipo en el contrato es, de entrada, financiar las prestaciones del contratista, y hace razonable el amparo del buen manejo y correcta inversión de estos recursos dentro de la garantía única de cumplimiento</w:t>
      </w:r>
      <w:r w:rsidRPr="004E4408">
        <w:rPr>
          <w:rFonts w:ascii="Century Gothic" w:hAnsi="Century Gothic" w:cs="Arial"/>
          <w:color w:val="000000" w:themeColor="text1"/>
        </w:rPr>
        <w:t>”</w:t>
      </w:r>
      <w:r w:rsidRPr="004E4408">
        <w:rPr>
          <w:rFonts w:ascii="Century Gothic" w:hAnsi="Century Gothic" w:cs="Arial"/>
          <w:vertAlign w:val="superscript"/>
        </w:rPr>
        <w:footnoteReference w:id="7"/>
      </w:r>
      <w:r w:rsidRPr="004E4408">
        <w:rPr>
          <w:rFonts w:ascii="Century Gothic" w:hAnsi="Century Gothic" w:cs="Arial"/>
        </w:rPr>
        <w:t>. Igualmente, explica que el anticipo, al facilitar al contratista la financiación de los bienes y servicios que se le han encargado, es un factor determinante para impulsar la ejecución del contrato</w:t>
      </w:r>
      <w:r w:rsidRPr="004E4408">
        <w:rPr>
          <w:rFonts w:ascii="Century Gothic" w:hAnsi="Century Gothic" w:cs="Arial"/>
          <w:vertAlign w:val="superscript"/>
        </w:rPr>
        <w:footnoteReference w:id="8"/>
      </w:r>
      <w:r w:rsidRPr="004E4408">
        <w:rPr>
          <w:rFonts w:ascii="Century Gothic" w:hAnsi="Century Gothic" w:cs="Arial"/>
        </w:rPr>
        <w:t>. Este también es el entendimiento de la doctrina</w:t>
      </w:r>
      <w:r w:rsidRPr="004E4408">
        <w:rPr>
          <w:rFonts w:ascii="Century Gothic" w:hAnsi="Century Gothic" w:cs="Arial"/>
          <w:color w:val="000000" w:themeColor="text1"/>
        </w:rPr>
        <w:t>,</w:t>
      </w:r>
      <w:r w:rsidRPr="004E4408">
        <w:rPr>
          <w:rFonts w:ascii="Century Gothic" w:hAnsi="Century Gothic" w:cs="Arial"/>
        </w:rPr>
        <w:t xml:space="preserve"> que ha considerado el anticipo como un dinero entregado al contratista que debe cancelarse mediante descuentos parciales, siendo una práctica común que permite impulsar la ejecución del contrato</w:t>
      </w:r>
      <w:r w:rsidRPr="004E4408">
        <w:rPr>
          <w:rFonts w:ascii="Century Gothic" w:hAnsi="Century Gothic" w:cs="Arial"/>
          <w:vertAlign w:val="superscript"/>
        </w:rPr>
        <w:footnoteReference w:id="9"/>
      </w:r>
      <w:r w:rsidRPr="004E4408">
        <w:rPr>
          <w:rFonts w:ascii="Century Gothic" w:hAnsi="Century Gothic" w:cs="Arial"/>
        </w:rPr>
        <w:t xml:space="preserve">. </w:t>
      </w:r>
    </w:p>
    <w:p w14:paraId="44B912FD" w14:textId="77777777" w:rsidR="00B76A1E" w:rsidRPr="004E4408" w:rsidRDefault="00B76A1E" w:rsidP="00B76A1E">
      <w:pPr>
        <w:spacing w:before="120" w:line="276" w:lineRule="auto"/>
        <w:ind w:firstLine="708"/>
        <w:jc w:val="both"/>
        <w:rPr>
          <w:rFonts w:ascii="Century Gothic" w:hAnsi="Century Gothic" w:cs="Arial"/>
          <w:color w:val="000000" w:themeColor="text1"/>
        </w:rPr>
      </w:pPr>
      <w:r w:rsidRPr="004E4408">
        <w:rPr>
          <w:rFonts w:ascii="Century Gothic" w:hAnsi="Century Gothic" w:cs="Arial"/>
          <w:color w:val="000000" w:themeColor="text1"/>
        </w:rPr>
        <w:t xml:space="preserve">Así, de acuerdo con las consideraciones de la jurisprudencia y la doctrina, el anticipo es </w:t>
      </w:r>
      <w:r w:rsidRPr="004E4408">
        <w:rPr>
          <w:rFonts w:ascii="Century Gothic" w:hAnsi="Century Gothic" w:cs="Arial"/>
        </w:rPr>
        <w:t>aquella suma de dinero entregada al contratista con la finalidad de apalancarlo financieramente para solventar los costos de la ejecución del contrato. Este dinero debe amortizarse de acuerdo con el avance en la ejecución. De esta forma, los recursos entregados a título de anticipo son del erario, razón por la que debe garantizarse su buen manejo y correcta inversión.</w:t>
      </w:r>
    </w:p>
    <w:p w14:paraId="0B1A5D90" w14:textId="77777777" w:rsidR="00B76A1E" w:rsidRPr="004E4408" w:rsidRDefault="00B76A1E" w:rsidP="00B76A1E">
      <w:pPr>
        <w:spacing w:before="120" w:line="276" w:lineRule="auto"/>
        <w:ind w:firstLine="709"/>
        <w:jc w:val="both"/>
        <w:rPr>
          <w:rFonts w:ascii="Century Gothic" w:hAnsi="Century Gothic" w:cs="Arial"/>
        </w:rPr>
      </w:pPr>
      <w:r w:rsidRPr="004E4408">
        <w:rPr>
          <w:rFonts w:ascii="Century Gothic" w:hAnsi="Century Gothic" w:cs="Arial"/>
          <w:color w:val="000000" w:themeColor="text1"/>
        </w:rPr>
        <w:t xml:space="preserve">Como característica esencial del anticipo, derivada del artículo 40 de la Ley 80 de 1993, el pacto proviene de la autonomía de la voluntad de las partes. De allí que se generen una serie de derechos y obligaciones recíprocos entre ellas. Por un lado, el contratante tiene la obligación de entregar el valor pactado como anticipo y el derecho a que los recursos sean empleados en la forma estipulada. Por otro lado, el contratista tiene derecho a recibir dicho anticipo y la obligación de destinarlo a la ejecución del contrato. De esta manera, el Consejo de Estado explica lo siguiente: </w:t>
      </w:r>
    </w:p>
    <w:p w14:paraId="0D841523" w14:textId="77777777" w:rsidR="00B76A1E" w:rsidRPr="004E4408" w:rsidRDefault="00B76A1E" w:rsidP="00B76A1E">
      <w:pPr>
        <w:spacing w:line="240" w:lineRule="auto"/>
        <w:ind w:left="709" w:right="709"/>
        <w:jc w:val="both"/>
        <w:rPr>
          <w:rFonts w:ascii="Century Gothic" w:hAnsi="Century Gothic" w:cs="Arial"/>
          <w:sz w:val="21"/>
          <w:szCs w:val="21"/>
        </w:rPr>
      </w:pPr>
      <w:r w:rsidRPr="004E4408">
        <w:rPr>
          <w:rFonts w:ascii="Century Gothic" w:hAnsi="Century Gothic" w:cs="Arial"/>
          <w:color w:val="000000" w:themeColor="text1"/>
        </w:rPr>
        <w:t>“</w:t>
      </w:r>
      <w:r w:rsidRPr="004E4408">
        <w:rPr>
          <w:rFonts w:ascii="Century Gothic" w:hAnsi="Century Gothic" w:cs="Arial"/>
          <w:sz w:val="21"/>
          <w:szCs w:val="21"/>
        </w:rPr>
        <w:t xml:space="preserve">[…] En una primera instancia es obligación del contratante y derecho del contratista, de entregar y recibir - previa constitución de la garantía -, respectivamente, una suma determinada de dinero, con cargo a los recursos del contrato, con el objeto financiar al contratista en las prestaciones a su cargo (adquisición de bienes, servicios, obras </w:t>
      </w:r>
      <w:proofErr w:type="spellStart"/>
      <w:r w:rsidRPr="004E4408">
        <w:rPr>
          <w:rFonts w:ascii="Century Gothic" w:hAnsi="Century Gothic" w:cs="Arial"/>
          <w:sz w:val="21"/>
          <w:szCs w:val="21"/>
        </w:rPr>
        <w:t>etc</w:t>
      </w:r>
      <w:proofErr w:type="spellEnd"/>
      <w:r w:rsidRPr="004E4408">
        <w:rPr>
          <w:rFonts w:ascii="Century Gothic" w:hAnsi="Century Gothic" w:cs="Arial"/>
          <w:sz w:val="21"/>
          <w:szCs w:val="21"/>
        </w:rPr>
        <w:t>). En segunda instancia el anticipo, en su resultado, constituye una obligación del contratista y un derecho del contratante, en los siguientes aspectos: -De inversión en los objetos determinados en el contrato y de pago por amortización, por parte del contratista. -De recibir, por amortización, y/o hacer efectiva la garantía de anticipo, o de cumplimiento, según el Estatuto de Contratación vigente, por parte del contratante</w:t>
      </w:r>
      <w:r w:rsidRPr="004E4408">
        <w:rPr>
          <w:rFonts w:ascii="Century Gothic" w:hAnsi="Century Gothic" w:cs="Arial"/>
          <w:b/>
          <w:sz w:val="21"/>
          <w:szCs w:val="21"/>
        </w:rPr>
        <w:t xml:space="preserve">, </w:t>
      </w:r>
      <w:r w:rsidRPr="004E4408">
        <w:rPr>
          <w:rFonts w:ascii="Century Gothic" w:hAnsi="Century Gothic" w:cs="Arial"/>
          <w:sz w:val="21"/>
          <w:szCs w:val="21"/>
        </w:rPr>
        <w:t>por hechos del contratista que impliquen mal manejo o incorrecta inversión de los dineros de propiedad pública. Las partes contratantes, acuerdan además en el contrato, las condiciones de efectividad, la proporción con el valor del contrato, la oportunidad en que debe entregarse, la vigilancia Estatal sobre las sumas y las amortizaciones.</w:t>
      </w:r>
      <w:r w:rsidRPr="004E4408">
        <w:rPr>
          <w:rFonts w:ascii="Century Gothic" w:hAnsi="Century Gothic" w:cs="Arial"/>
          <w:color w:val="000000" w:themeColor="text1"/>
        </w:rPr>
        <w:t>”</w:t>
      </w:r>
      <w:r w:rsidRPr="004E4408">
        <w:rPr>
          <w:rFonts w:ascii="Century Gothic" w:hAnsi="Century Gothic" w:cs="Arial"/>
          <w:sz w:val="21"/>
          <w:szCs w:val="21"/>
          <w:vertAlign w:val="superscript"/>
        </w:rPr>
        <w:footnoteReference w:id="10"/>
      </w:r>
    </w:p>
    <w:p w14:paraId="1F2B9F8E" w14:textId="77777777" w:rsidR="00B76A1E" w:rsidRPr="004E4408" w:rsidRDefault="00B76A1E" w:rsidP="00B76A1E">
      <w:pPr>
        <w:tabs>
          <w:tab w:val="left" w:pos="0"/>
        </w:tabs>
        <w:spacing w:line="276" w:lineRule="auto"/>
        <w:ind w:firstLine="709"/>
        <w:jc w:val="both"/>
        <w:rPr>
          <w:rFonts w:ascii="Century Gothic" w:hAnsi="Century Gothic" w:cs="Arial"/>
        </w:rPr>
      </w:pPr>
      <w:r w:rsidRPr="004E4408">
        <w:rPr>
          <w:rFonts w:ascii="Century Gothic" w:hAnsi="Century Gothic" w:cs="Arial"/>
        </w:rPr>
        <w:t>Las entidades estatales tienen la facultad de pactar la entrega de anticipos en los contratos que celebren. Para ello, deberán realizar el estudio correspondiente con el fin de determinar la conveniencia de otorgar recursos al contratista bajo esa denominación. De este modo, las entidades podrán determinar las condiciones de entrega, el monto –que no podrá ser superior al cincuenta por ciento (50%) del valor del contrato–, el plazo de amortización, las condiciones necesarias para su exigibilidad, así como todas las obligaciones para su correcta inversión.</w:t>
      </w:r>
    </w:p>
    <w:p w14:paraId="6794DB22" w14:textId="77777777" w:rsidR="00B76A1E" w:rsidRPr="004E4408" w:rsidRDefault="00B76A1E" w:rsidP="00B76A1E">
      <w:pPr>
        <w:tabs>
          <w:tab w:val="left" w:pos="0"/>
        </w:tabs>
        <w:spacing w:before="120" w:line="276" w:lineRule="auto"/>
        <w:ind w:firstLine="709"/>
        <w:jc w:val="both"/>
        <w:rPr>
          <w:rFonts w:ascii="Century Gothic" w:hAnsi="Century Gothic" w:cs="Arial"/>
          <w:color w:val="000000" w:themeColor="text1"/>
        </w:rPr>
      </w:pPr>
      <w:r w:rsidRPr="004E4408">
        <w:rPr>
          <w:rFonts w:ascii="Century Gothic" w:hAnsi="Century Gothic" w:cs="Arial"/>
        </w:rPr>
        <w:t xml:space="preserve">Adicionalmente, el parágrafo del artículo 40 de la Ley 80 de 1993 no restringe el tipo de contratos estatales en los cuales es posible el ejercicio de esta facultad. Es decir, no limita la posibilidad de pactar anticipo dependiendo de la tipología contractual o la modalidad de selección del contratista. </w:t>
      </w:r>
      <w:r w:rsidRPr="004E4408">
        <w:rPr>
          <w:rFonts w:ascii="Century Gothic" w:hAnsi="Century Gothic" w:cs="Arial"/>
          <w:color w:val="000000" w:themeColor="text1"/>
        </w:rPr>
        <w:t xml:space="preserve">De hecho, el Estatuto General de Contratación de la Administración Pública dispone como única limitación el valor máximo que puede desembolsar la entidad para pactar el anticipo. </w:t>
      </w:r>
    </w:p>
    <w:p w14:paraId="54A78B4E" w14:textId="77777777" w:rsidR="00B76A1E" w:rsidRPr="004E4408" w:rsidRDefault="00B76A1E" w:rsidP="00B76A1E">
      <w:pPr>
        <w:spacing w:before="120" w:after="120" w:line="276" w:lineRule="auto"/>
        <w:ind w:firstLine="709"/>
        <w:jc w:val="both"/>
        <w:rPr>
          <w:rFonts w:ascii="Century Gothic" w:hAnsi="Century Gothic" w:cs="Arial"/>
        </w:rPr>
      </w:pPr>
      <w:r w:rsidRPr="004E4408">
        <w:rPr>
          <w:rFonts w:ascii="Century Gothic" w:hAnsi="Century Gothic" w:cs="Arial"/>
          <w:color w:val="000000" w:themeColor="text1"/>
        </w:rPr>
        <w:t xml:space="preserve">Del análisis realizado se desprende que los recursos entregados al contratista en calidad de anticipo son recursos públicos. Por tanto, corresponde a la entidad </w:t>
      </w:r>
      <w:r w:rsidRPr="004E4408">
        <w:rPr>
          <w:rFonts w:ascii="Century Gothic" w:hAnsi="Century Gothic" w:cs="Arial"/>
        </w:rPr>
        <w:t xml:space="preserve">adoptar las medidas necesarias y razonables para asegurar la correcta inversión de los dineros entregados, las cuales deberán reflejarse en el contrato celebrado. En consecuencia, deberán constituir la garantía única de cumplimiento e incluir el amparo previsto en el artículo 2.2.1.2.3.1.7 del Decreto 1082 de 2015. Este amparo establece tres circunstancias que deben ser objeto de cobertura: i) la no inversión del anticipo; </w:t>
      </w:r>
      <w:proofErr w:type="spellStart"/>
      <w:r w:rsidRPr="004E4408">
        <w:rPr>
          <w:rFonts w:ascii="Century Gothic" w:hAnsi="Century Gothic" w:cs="Arial"/>
        </w:rPr>
        <w:t>ii</w:t>
      </w:r>
      <w:proofErr w:type="spellEnd"/>
      <w:r w:rsidRPr="004E4408">
        <w:rPr>
          <w:rFonts w:ascii="Century Gothic" w:hAnsi="Century Gothic" w:cs="Arial"/>
        </w:rPr>
        <w:t xml:space="preserve">) el uso indebido del anticipo; y </w:t>
      </w:r>
      <w:proofErr w:type="spellStart"/>
      <w:r w:rsidRPr="004E4408">
        <w:rPr>
          <w:rFonts w:ascii="Century Gothic" w:hAnsi="Century Gothic" w:cs="Arial"/>
        </w:rPr>
        <w:t>iii</w:t>
      </w:r>
      <w:proofErr w:type="spellEnd"/>
      <w:r w:rsidRPr="004E4408">
        <w:rPr>
          <w:rFonts w:ascii="Century Gothic" w:hAnsi="Century Gothic" w:cs="Arial"/>
        </w:rPr>
        <w:t>) la apropiación indebida de los recursos recibidos en calidad de anticipo</w:t>
      </w:r>
      <w:r w:rsidRPr="004E4408">
        <w:rPr>
          <w:rFonts w:ascii="Century Gothic" w:hAnsi="Century Gothic" w:cs="Arial"/>
          <w:vertAlign w:val="superscript"/>
        </w:rPr>
        <w:footnoteReference w:id="11"/>
      </w:r>
      <w:r w:rsidRPr="004E4408">
        <w:rPr>
          <w:rFonts w:ascii="Century Gothic" w:hAnsi="Century Gothic" w:cs="Arial"/>
        </w:rPr>
        <w:t xml:space="preserve">. </w:t>
      </w:r>
    </w:p>
    <w:p w14:paraId="3A981504" w14:textId="6FE53CDC" w:rsidR="00B76A1E" w:rsidRPr="004E4408" w:rsidRDefault="00B76A1E" w:rsidP="00B76A1E">
      <w:pPr>
        <w:spacing w:line="276" w:lineRule="auto"/>
        <w:jc w:val="both"/>
        <w:rPr>
          <w:rFonts w:ascii="Century Gothic" w:hAnsi="Century Gothic" w:cs="Arial"/>
          <w:b/>
          <w:color w:val="000000" w:themeColor="text1"/>
          <w:u w:val="single"/>
        </w:rPr>
      </w:pPr>
      <w:r w:rsidRPr="004E4408">
        <w:rPr>
          <w:rFonts w:ascii="Century Gothic" w:eastAsia="Times New Roman" w:hAnsi="Century Gothic" w:cs="Arial"/>
          <w:b/>
          <w:color w:val="000000" w:themeColor="text1"/>
        </w:rPr>
        <w:t xml:space="preserve">2.3. </w:t>
      </w:r>
      <w:r w:rsidRPr="004E4408">
        <w:rPr>
          <w:rFonts w:ascii="Century Gothic" w:hAnsi="Century Gothic" w:cs="Arial"/>
          <w:b/>
          <w:color w:val="000000" w:themeColor="text1"/>
        </w:rPr>
        <w:t>Ámbito de aplicación del artículo 91 de la Ley 1474 de 2011</w:t>
      </w:r>
      <w:r w:rsidR="0082147F" w:rsidRPr="004E4408">
        <w:rPr>
          <w:rFonts w:ascii="Century Gothic" w:hAnsi="Century Gothic" w:cs="Arial"/>
          <w:b/>
          <w:color w:val="000000" w:themeColor="text1"/>
        </w:rPr>
        <w:t xml:space="preserve"> </w:t>
      </w:r>
      <w:r w:rsidR="00FD1787" w:rsidRPr="004E4408">
        <w:rPr>
          <w:rFonts w:ascii="Century Gothic" w:hAnsi="Century Gothic" w:cs="Arial"/>
          <w:b/>
          <w:color w:val="000000" w:themeColor="text1"/>
        </w:rPr>
        <w:t>– Reiteración de línea</w:t>
      </w:r>
    </w:p>
    <w:p w14:paraId="776B0095" w14:textId="77777777" w:rsidR="00B76A1E" w:rsidRPr="004E4408" w:rsidRDefault="00B76A1E" w:rsidP="00B76A1E">
      <w:pPr>
        <w:spacing w:line="276" w:lineRule="auto"/>
        <w:jc w:val="both"/>
        <w:rPr>
          <w:rFonts w:ascii="Century Gothic" w:hAnsi="Century Gothic" w:cs="Arial"/>
          <w:color w:val="000000" w:themeColor="text1"/>
          <w:lang w:val="es-ES_tradnl"/>
        </w:rPr>
      </w:pPr>
      <w:r w:rsidRPr="004E4408">
        <w:rPr>
          <w:rFonts w:ascii="Century Gothic" w:hAnsi="Century Gothic" w:cs="Arial"/>
          <w:color w:val="000000" w:themeColor="text1"/>
          <w:lang w:val="es-ES_tradnl"/>
        </w:rPr>
        <w:t xml:space="preserve">Como se expuso en el acápite anterior, una de las normas que regula el anticipo en materia de contratación estatal es el artículo 91 de la Ley 1474 de 2011. Esta norma dispone lo siguiente: </w:t>
      </w:r>
    </w:p>
    <w:p w14:paraId="5F0254EE" w14:textId="77777777" w:rsidR="00B76A1E" w:rsidRPr="004E4408" w:rsidRDefault="00B76A1E" w:rsidP="00B76A1E">
      <w:pPr>
        <w:spacing w:after="120" w:line="240" w:lineRule="auto"/>
        <w:ind w:left="709" w:right="709"/>
        <w:jc w:val="both"/>
        <w:rPr>
          <w:rFonts w:ascii="Century Gothic" w:hAnsi="Century Gothic" w:cs="Arial"/>
          <w:sz w:val="21"/>
          <w:szCs w:val="21"/>
        </w:rPr>
      </w:pPr>
      <w:r w:rsidRPr="004E4408">
        <w:rPr>
          <w:rFonts w:ascii="Century Gothic" w:hAnsi="Century Gothic" w:cs="Arial"/>
          <w:sz w:val="21"/>
          <w:szCs w:val="21"/>
        </w:rPr>
        <w:t xml:space="preserve">“En los contratos de obra, concesión, salud, o los que se realicen por licitación pública, el contratista </w:t>
      </w:r>
      <w:r w:rsidRPr="004E4408">
        <w:rPr>
          <w:rFonts w:ascii="Century Gothic" w:hAnsi="Century Gothic" w:cs="Arial"/>
          <w:i/>
          <w:iCs/>
          <w:sz w:val="21"/>
          <w:szCs w:val="21"/>
        </w:rPr>
        <w:t>deberá constituir una fiducia o un patrimonio autónomo irrevocable para el manejo de los recursos</w:t>
      </w:r>
      <w:r w:rsidRPr="004E4408">
        <w:rPr>
          <w:rFonts w:ascii="Century Gothic" w:hAnsi="Century Gothic" w:cs="Arial"/>
          <w:sz w:val="21"/>
          <w:szCs w:val="21"/>
        </w:rPr>
        <w:t xml:space="preserve"> que reciba a título de anticipo, con el fin de garantizar que dichos recursos se apliquen exclusivamente a la ejecución del contrato correspondiente, </w:t>
      </w:r>
      <w:r w:rsidRPr="004E4408">
        <w:rPr>
          <w:rFonts w:ascii="Century Gothic" w:hAnsi="Century Gothic" w:cs="Arial"/>
          <w:iCs/>
          <w:sz w:val="21"/>
          <w:szCs w:val="21"/>
        </w:rPr>
        <w:t>salvo que el contrato sea de menor o mínima cuantía</w:t>
      </w:r>
      <w:r w:rsidRPr="004E4408">
        <w:rPr>
          <w:rFonts w:ascii="Century Gothic" w:hAnsi="Century Gothic" w:cs="Arial"/>
          <w:i/>
          <w:sz w:val="21"/>
          <w:szCs w:val="21"/>
        </w:rPr>
        <w:t>.</w:t>
      </w:r>
    </w:p>
    <w:p w14:paraId="77811197" w14:textId="77777777" w:rsidR="00B76A1E" w:rsidRPr="004E4408" w:rsidRDefault="00B76A1E" w:rsidP="00B76A1E">
      <w:pPr>
        <w:spacing w:line="240" w:lineRule="auto"/>
        <w:ind w:left="709" w:right="709"/>
        <w:jc w:val="both"/>
        <w:rPr>
          <w:rFonts w:ascii="Century Gothic" w:hAnsi="Century Gothic" w:cs="Arial"/>
          <w:sz w:val="21"/>
          <w:szCs w:val="21"/>
        </w:rPr>
      </w:pPr>
      <w:r w:rsidRPr="004E4408">
        <w:rPr>
          <w:rFonts w:ascii="Century Gothic" w:hAnsi="Century Gothic" w:cs="Arial"/>
          <w:sz w:val="21"/>
          <w:szCs w:val="21"/>
        </w:rPr>
        <w:t>El costo de la comisión fiduciaria será cubierto directamente por el contratista.”</w:t>
      </w:r>
      <w:r w:rsidRPr="004E4408">
        <w:rPr>
          <w:rFonts w:ascii="Century Gothic" w:hAnsi="Century Gothic" w:cs="Arial"/>
          <w:sz w:val="20"/>
          <w:szCs w:val="20"/>
          <w:lang w:val="es-ES_tradnl"/>
        </w:rPr>
        <w:t xml:space="preserve"> [Énfasis fuera de texto]</w:t>
      </w:r>
    </w:p>
    <w:p w14:paraId="2D8CB39C" w14:textId="77777777" w:rsidR="00B76A1E" w:rsidRPr="004E4408" w:rsidRDefault="00B76A1E" w:rsidP="00B76A1E">
      <w:pPr>
        <w:spacing w:line="276" w:lineRule="auto"/>
        <w:ind w:firstLine="709"/>
        <w:jc w:val="both"/>
        <w:rPr>
          <w:rFonts w:ascii="Century Gothic" w:hAnsi="Century Gothic" w:cs="Arial"/>
          <w:color w:val="000000" w:themeColor="text1"/>
          <w:lang w:val="es-ES_tradnl"/>
        </w:rPr>
      </w:pPr>
      <w:r w:rsidRPr="004E4408">
        <w:rPr>
          <w:rFonts w:ascii="Century Gothic" w:hAnsi="Century Gothic" w:cs="Arial"/>
          <w:color w:val="000000" w:themeColor="text1"/>
          <w:lang w:val="es-ES_tradnl"/>
        </w:rPr>
        <w:t>En concordancia, el artículo 2.2.1.1.2.4.1 del Decreto 1082 de 2015 prescribe que, en los casos previstos en la ley, el contratista debe suscribir un contrato de fiducia mercantil para crear un patrimonio autónomo, con una sociedad fiduciaria autorizada para ese fin por la Superintendencia Financiera de Colombia, a la cual la Entidad Estatal debe entregar el valor del anticipo. Los recursos del patrimonio y sus rendimientos son autónomos, además de que se manejan de acuerdo con el contrato de fiducia mercantil</w:t>
      </w:r>
      <w:r w:rsidRPr="004E4408">
        <w:rPr>
          <w:rFonts w:ascii="Century Gothic" w:hAnsi="Century Gothic" w:cs="Arial"/>
          <w:color w:val="000000" w:themeColor="text1"/>
          <w:vertAlign w:val="superscript"/>
          <w:lang w:val="es-ES_tradnl"/>
        </w:rPr>
        <w:footnoteReference w:id="12"/>
      </w:r>
      <w:r w:rsidRPr="004E4408">
        <w:rPr>
          <w:rFonts w:ascii="Century Gothic" w:hAnsi="Century Gothic" w:cs="Arial"/>
          <w:color w:val="000000" w:themeColor="text1"/>
          <w:lang w:val="es-ES_tradnl"/>
        </w:rPr>
        <w:t xml:space="preserve">. </w:t>
      </w:r>
    </w:p>
    <w:p w14:paraId="09D334ED" w14:textId="77777777" w:rsidR="00B76A1E" w:rsidRPr="004E4408" w:rsidRDefault="00B76A1E" w:rsidP="00B76A1E">
      <w:pPr>
        <w:spacing w:before="120" w:line="276" w:lineRule="auto"/>
        <w:ind w:firstLine="709"/>
        <w:jc w:val="both"/>
        <w:rPr>
          <w:rFonts w:ascii="Century Gothic" w:hAnsi="Century Gothic" w:cs="Arial"/>
          <w:color w:val="000000" w:themeColor="text1"/>
          <w:lang w:val="es-ES_tradnl"/>
        </w:rPr>
      </w:pPr>
      <w:r w:rsidRPr="004E4408">
        <w:rPr>
          <w:rFonts w:ascii="Century Gothic" w:hAnsi="Century Gothic" w:cs="Arial"/>
          <w:color w:val="000000" w:themeColor="text1"/>
          <w:lang w:val="es-ES_tradnl"/>
        </w:rPr>
        <w:t>Lo anterior surge como una medida para fortalecer los mecanismos de prevención, investigación y sanción de actos de corrupción y la efectividad del control de la gestión pública, en atención a la problemática identificada sobre el incumplimiento de los contratistas de destinar los anticipos en la ejecución del contrato</w:t>
      </w:r>
      <w:r w:rsidRPr="004E4408">
        <w:rPr>
          <w:rFonts w:ascii="Century Gothic" w:hAnsi="Century Gothic" w:cs="Arial"/>
          <w:color w:val="000000" w:themeColor="text1"/>
          <w:vertAlign w:val="superscript"/>
          <w:lang w:val="es-ES_tradnl"/>
        </w:rPr>
        <w:footnoteReference w:id="13"/>
      </w:r>
      <w:r w:rsidRPr="004E4408">
        <w:rPr>
          <w:rFonts w:ascii="Century Gothic" w:hAnsi="Century Gothic" w:cs="Arial"/>
          <w:color w:val="000000" w:themeColor="text1"/>
          <w:lang w:val="es-ES_tradnl"/>
        </w:rPr>
        <w:t xml:space="preserve">. De esta manera, mediante estas disposiciones se busca realizar un seguimiento a la entrega de recursos que se otorgan en calidad de anticipo, a través de la constitución de una fiducia irrevocable. Esto con la finalidad de garantizar la adecuada inversión y administración de los recursos, así como su reintegro a la Entidad Estatal. </w:t>
      </w:r>
    </w:p>
    <w:p w14:paraId="06A225FE" w14:textId="77777777" w:rsidR="00B76A1E" w:rsidRPr="004E4408" w:rsidRDefault="00B76A1E" w:rsidP="00B76A1E">
      <w:pPr>
        <w:spacing w:line="276" w:lineRule="auto"/>
        <w:ind w:firstLine="708"/>
        <w:jc w:val="both"/>
        <w:rPr>
          <w:rFonts w:ascii="Century Gothic" w:hAnsi="Century Gothic" w:cs="Arial"/>
          <w:color w:val="000000" w:themeColor="text1"/>
        </w:rPr>
      </w:pPr>
      <w:r w:rsidRPr="004E4408">
        <w:rPr>
          <w:rFonts w:ascii="Century Gothic" w:hAnsi="Century Gothic" w:cs="Arial"/>
          <w:color w:val="000000" w:themeColor="text1"/>
          <w:lang w:val="es-ES_tradnl"/>
        </w:rPr>
        <w:t xml:space="preserve">Por su parte, la Agencia expidió la </w:t>
      </w:r>
      <w:r w:rsidRPr="004E4408">
        <w:rPr>
          <w:rFonts w:ascii="Century Gothic" w:hAnsi="Century Gothic" w:cs="Arial"/>
          <w:color w:val="000000" w:themeColor="text1"/>
        </w:rPr>
        <w:t>“</w:t>
      </w:r>
      <w:r w:rsidRPr="004E4408">
        <w:rPr>
          <w:rFonts w:ascii="Century Gothic" w:hAnsi="Century Gothic" w:cs="Arial"/>
          <w:i/>
          <w:color w:val="000000" w:themeColor="text1"/>
          <w:lang w:val="es-ES_tradnl"/>
        </w:rPr>
        <w:t>Guía para el manejo de anticipos mediante contrato de fiducia irrevocable</w:t>
      </w:r>
      <w:r w:rsidRPr="004E4408">
        <w:rPr>
          <w:rFonts w:ascii="Century Gothic" w:hAnsi="Century Gothic" w:cs="Arial"/>
          <w:i/>
          <w:color w:val="000000" w:themeColor="text1"/>
        </w:rPr>
        <w:t>”</w:t>
      </w:r>
      <w:r w:rsidRPr="004E4408">
        <w:rPr>
          <w:rFonts w:ascii="Century Gothic" w:hAnsi="Century Gothic" w:cs="Arial"/>
          <w:i/>
          <w:color w:val="000000" w:themeColor="text1"/>
          <w:vertAlign w:val="superscript"/>
        </w:rPr>
        <w:footnoteReference w:id="14"/>
      </w:r>
      <w:r w:rsidRPr="004E4408">
        <w:rPr>
          <w:rFonts w:ascii="Century Gothic" w:hAnsi="Century Gothic" w:cs="Arial"/>
          <w:i/>
          <w:color w:val="000000" w:themeColor="text1"/>
        </w:rPr>
        <w:t>,</w:t>
      </w:r>
      <w:r w:rsidRPr="004E4408">
        <w:rPr>
          <w:rFonts w:ascii="Century Gothic" w:hAnsi="Century Gothic" w:cs="Arial"/>
          <w:color w:val="000000" w:themeColor="text1"/>
        </w:rPr>
        <w:t xml:space="preserve"> que </w:t>
      </w:r>
      <w:r w:rsidRPr="004E4408">
        <w:rPr>
          <w:rFonts w:ascii="Century Gothic" w:hAnsi="Century Gothic" w:cs="Arial"/>
          <w:color w:val="000000" w:themeColor="text1"/>
          <w:lang w:val="es-ES_tradnl"/>
        </w:rPr>
        <w:t xml:space="preserve">tiene como objetivo establecer lineamientos sobre el contrato de fiducia para el manejo de anticipos. En esta guía se explica que </w:t>
      </w:r>
      <w:r w:rsidRPr="004E4408">
        <w:rPr>
          <w:rFonts w:ascii="Century Gothic" w:hAnsi="Century Gothic" w:cs="Arial"/>
          <w:color w:val="000000" w:themeColor="text1"/>
        </w:rPr>
        <w:t>“el patrimonio autónomo para manejo de anticipos tiene como finalidad: (i) la correcta y adecuada inversión y administración del anticipo y, (</w:t>
      </w:r>
      <w:proofErr w:type="spellStart"/>
      <w:r w:rsidRPr="004E4408">
        <w:rPr>
          <w:rFonts w:ascii="Century Gothic" w:hAnsi="Century Gothic" w:cs="Arial"/>
          <w:color w:val="000000" w:themeColor="text1"/>
        </w:rPr>
        <w:t>ii</w:t>
      </w:r>
      <w:proofErr w:type="spellEnd"/>
      <w:r w:rsidRPr="004E4408">
        <w:rPr>
          <w:rFonts w:ascii="Century Gothic" w:hAnsi="Century Gothic" w:cs="Arial"/>
          <w:color w:val="000000" w:themeColor="text1"/>
        </w:rPr>
        <w:t xml:space="preserve">) el reintegro de los recursos del anticipo a la Entidad Estatal cuando declara la caducidad, incumplimiento o terminación del contrato estatal o cuando se presenta la nulidad del contrato estatal”. Además, indica que, el contratista debe constituir un contrato de fiducia mercantil irrevocable para el manejo de los recursos que recibe a título de anticipo en “los contratos de obra, concesión, salud y los que se realicen por licitación pública y </w:t>
      </w:r>
      <w:r w:rsidRPr="004E4408">
        <w:rPr>
          <w:rFonts w:ascii="Century Gothic" w:hAnsi="Century Gothic" w:cs="Arial"/>
          <w:i/>
          <w:color w:val="000000" w:themeColor="text1"/>
        </w:rPr>
        <w:t xml:space="preserve">siempre que </w:t>
      </w:r>
      <w:r w:rsidRPr="004E4408">
        <w:rPr>
          <w:rFonts w:ascii="Century Gothic" w:hAnsi="Century Gothic" w:cs="Arial"/>
          <w:color w:val="000000" w:themeColor="text1"/>
        </w:rPr>
        <w:t>no sean de menor o mínima cuantía</w:t>
      </w:r>
      <w:r w:rsidRPr="004E4408">
        <w:rPr>
          <w:rFonts w:ascii="Century Gothic" w:hAnsi="Century Gothic" w:cs="Arial"/>
          <w:i/>
          <w:color w:val="000000" w:themeColor="text1"/>
        </w:rPr>
        <w:t xml:space="preserve">” </w:t>
      </w:r>
      <w:r w:rsidRPr="004E4408">
        <w:rPr>
          <w:rFonts w:ascii="Century Gothic" w:hAnsi="Century Gothic" w:cs="Arial"/>
          <w:sz w:val="20"/>
          <w:szCs w:val="20"/>
          <w:lang w:val="es-ES_tradnl"/>
        </w:rPr>
        <w:t>[</w:t>
      </w:r>
      <w:r w:rsidRPr="004E4408">
        <w:rPr>
          <w:rFonts w:ascii="Century Gothic" w:hAnsi="Century Gothic" w:cs="Arial"/>
          <w:lang w:val="es-ES_tradnl"/>
        </w:rPr>
        <w:t>Énfasis fuera de texto</w:t>
      </w:r>
      <w:r w:rsidRPr="004E4408">
        <w:rPr>
          <w:rFonts w:ascii="Century Gothic" w:hAnsi="Century Gothic" w:cs="Arial"/>
          <w:sz w:val="20"/>
          <w:szCs w:val="20"/>
          <w:lang w:val="es-ES_tradnl"/>
        </w:rPr>
        <w:t>]</w:t>
      </w:r>
      <w:r w:rsidRPr="004E4408">
        <w:rPr>
          <w:rFonts w:ascii="Century Gothic" w:hAnsi="Century Gothic" w:cs="Arial"/>
          <w:color w:val="000000" w:themeColor="text1"/>
        </w:rPr>
        <w:t xml:space="preserve">. Igualmente, expone las condiciones para administrar los recursos del patrimonio autónomo, las obligaciones principales de la fiduciaria, el manejo de los excedentes, entre otros. </w:t>
      </w:r>
    </w:p>
    <w:p w14:paraId="1598361A" w14:textId="77777777" w:rsidR="00B76A1E" w:rsidRPr="004E4408" w:rsidRDefault="00B76A1E" w:rsidP="00B76A1E">
      <w:pPr>
        <w:spacing w:before="120" w:line="276" w:lineRule="auto"/>
        <w:ind w:firstLine="709"/>
        <w:jc w:val="both"/>
        <w:rPr>
          <w:rFonts w:ascii="Century Gothic" w:hAnsi="Century Gothic" w:cs="Arial"/>
        </w:rPr>
      </w:pPr>
      <w:r w:rsidRPr="004E4408">
        <w:rPr>
          <w:rFonts w:ascii="Century Gothic" w:hAnsi="Century Gothic" w:cs="Arial"/>
          <w:color w:val="000000" w:themeColor="text1"/>
          <w:lang w:val="es-ES_tradnl"/>
        </w:rPr>
        <w:t xml:space="preserve">Es evidente entonces que para ciertos tipos de contratos la Ley ha impuesto la obligación al contratista de constituir una fiducia o patrimonio autónomo irrevocable. Esta obligación tiene el propósito de asegurar el buen manejo de los recursos que se entreguen a título de anticipo, así como garantizar que estos sean destinados única y exclusivamente para </w:t>
      </w:r>
      <w:r w:rsidRPr="004E4408">
        <w:rPr>
          <w:rFonts w:ascii="Century Gothic" w:hAnsi="Century Gothic" w:cs="Arial"/>
        </w:rPr>
        <w:t xml:space="preserve">solventar los costos iniciales de la ejecución, de acuerdo con las condiciones pactadas. </w:t>
      </w:r>
    </w:p>
    <w:p w14:paraId="0B603919" w14:textId="77777777" w:rsidR="00B76A1E" w:rsidRPr="004E4408" w:rsidRDefault="00B76A1E" w:rsidP="00B76A1E">
      <w:pPr>
        <w:spacing w:before="120" w:line="276" w:lineRule="auto"/>
        <w:ind w:firstLine="709"/>
        <w:jc w:val="both"/>
        <w:rPr>
          <w:rFonts w:ascii="Century Gothic" w:hAnsi="Century Gothic" w:cs="Arial"/>
        </w:rPr>
      </w:pPr>
      <w:r w:rsidRPr="004E4408">
        <w:rPr>
          <w:rFonts w:ascii="Century Gothic" w:hAnsi="Century Gothic" w:cs="Arial"/>
        </w:rPr>
        <w:t xml:space="preserve">En ese sentido, es claro que el artículo 91 de la Ley 1474 de 2011 determina el ámbito de aplicación, al enumerar los casos en los cuales es deber del contratista constituir un patrimonio autónomo o una fiducia para administrar los recursos del anticipo. Para tales efectos, se establecen los siguientes contratos: i) obra, </w:t>
      </w:r>
      <w:proofErr w:type="spellStart"/>
      <w:r w:rsidRPr="004E4408">
        <w:rPr>
          <w:rFonts w:ascii="Century Gothic" w:hAnsi="Century Gothic" w:cs="Arial"/>
        </w:rPr>
        <w:t>ii</w:t>
      </w:r>
      <w:proofErr w:type="spellEnd"/>
      <w:r w:rsidRPr="004E4408">
        <w:rPr>
          <w:rFonts w:ascii="Century Gothic" w:hAnsi="Century Gothic" w:cs="Arial"/>
        </w:rPr>
        <w:t xml:space="preserve">) concesión, </w:t>
      </w:r>
      <w:proofErr w:type="spellStart"/>
      <w:r w:rsidRPr="004E4408">
        <w:rPr>
          <w:rFonts w:ascii="Century Gothic" w:hAnsi="Century Gothic" w:cs="Arial"/>
        </w:rPr>
        <w:t>iii</w:t>
      </w:r>
      <w:proofErr w:type="spellEnd"/>
      <w:r w:rsidRPr="004E4408">
        <w:rPr>
          <w:rFonts w:ascii="Century Gothic" w:hAnsi="Century Gothic" w:cs="Arial"/>
        </w:rPr>
        <w:t xml:space="preserve">) salud y </w:t>
      </w:r>
      <w:proofErr w:type="spellStart"/>
      <w:r w:rsidRPr="004E4408">
        <w:rPr>
          <w:rFonts w:ascii="Century Gothic" w:hAnsi="Century Gothic" w:cs="Arial"/>
        </w:rPr>
        <w:t>iv</w:t>
      </w:r>
      <w:proofErr w:type="spellEnd"/>
      <w:r w:rsidRPr="004E4408">
        <w:rPr>
          <w:rFonts w:ascii="Century Gothic" w:hAnsi="Century Gothic" w:cs="Arial"/>
        </w:rPr>
        <w:t xml:space="preserve">) los contratos derivados de un proceso de licitación pública. </w:t>
      </w:r>
    </w:p>
    <w:p w14:paraId="057B29A9" w14:textId="77777777" w:rsidR="00B76A1E" w:rsidRPr="004E4408" w:rsidRDefault="00B76A1E" w:rsidP="00B76A1E">
      <w:pPr>
        <w:spacing w:before="120" w:line="276" w:lineRule="auto"/>
        <w:ind w:firstLine="709"/>
        <w:jc w:val="both"/>
        <w:rPr>
          <w:rFonts w:ascii="Century Gothic" w:hAnsi="Century Gothic" w:cs="Arial"/>
        </w:rPr>
      </w:pPr>
      <w:r w:rsidRPr="004E4408">
        <w:rPr>
          <w:rFonts w:ascii="Century Gothic" w:hAnsi="Century Gothic" w:cs="Arial"/>
        </w:rPr>
        <w:t xml:space="preserve">Aunque la norma menciona de manera general que en los cuatro casos anteriores se debe constituir patrimonio autónomo irrevocable o fiducia para el manejo del anticipo, la norma también determina una excepción de su aplicación para los cuatro tipos de contratos cuya disposición resulta obligatoria. Ello es así, por cuanto la expresión </w:t>
      </w:r>
      <w:r w:rsidRPr="004E4408">
        <w:rPr>
          <w:rFonts w:ascii="Century Gothic" w:hAnsi="Century Gothic" w:cs="Arial"/>
          <w:color w:val="000000" w:themeColor="text1"/>
        </w:rPr>
        <w:t>“</w:t>
      </w:r>
      <w:r w:rsidRPr="004E4408">
        <w:rPr>
          <w:rFonts w:ascii="Century Gothic" w:hAnsi="Century Gothic" w:cs="Arial"/>
          <w:i/>
          <w:sz w:val="21"/>
          <w:szCs w:val="21"/>
        </w:rPr>
        <w:t>salvo que el contrato sea de menor o mínima cuantía</w:t>
      </w:r>
      <w:r w:rsidRPr="004E4408">
        <w:rPr>
          <w:rFonts w:ascii="Century Gothic" w:hAnsi="Century Gothic" w:cs="Arial"/>
          <w:color w:val="000000" w:themeColor="text1"/>
        </w:rPr>
        <w:t xml:space="preserve">”, describe que, a pesar de las enunciaciones anteriores, dicha disposición imperativa no aplica en el supuesto de hecho de que la cuantía del contrato no resulte ser de mayor cuantía, sin discriminar modalidad de selección mediante la cual se celebre dichos contratos. </w:t>
      </w:r>
    </w:p>
    <w:p w14:paraId="60F9E700" w14:textId="5FC997A3" w:rsidR="00B76A1E" w:rsidRPr="004E4408" w:rsidRDefault="00B76A1E" w:rsidP="00B76A1E">
      <w:pPr>
        <w:spacing w:line="276" w:lineRule="auto"/>
        <w:ind w:firstLine="709"/>
        <w:jc w:val="both"/>
        <w:rPr>
          <w:rStyle w:val="normaltextrun"/>
          <w:rFonts w:ascii="Century Gothic" w:hAnsi="Century Gothic" w:cs="Arial"/>
          <w:sz w:val="21"/>
          <w:szCs w:val="21"/>
          <w:lang w:val="es-MX"/>
        </w:rPr>
      </w:pPr>
      <w:r w:rsidRPr="004E4408">
        <w:rPr>
          <w:rFonts w:ascii="Century Gothic" w:hAnsi="Century Gothic" w:cs="Arial"/>
        </w:rPr>
        <w:t xml:space="preserve">Teniendo en cuenta las consideraciones desarrolladas en relación con la obligación de constituir una fiducia o un patrimonio autónomo irrevocable para el manejo de los recursos que reciba a título de anticipo, es pertinente mencionar que la Agencia Nacional de Contratación Pública – Colombia Compra Eficiente en los conceptos C-049 del 21 de febrero de 2020, C-209 del 16 de marzo de 2020, C-693 del 25 de noviembre de 2020, C-154 del 18 de mayo de 2021, C-825 del 28 de diciembre de 2022 y C- 003 de 13 de marzo de 2023, sobre la expresión  </w:t>
      </w:r>
      <w:r w:rsidRPr="004E4408">
        <w:rPr>
          <w:rFonts w:ascii="Century Gothic" w:hAnsi="Century Gothic" w:cs="Arial"/>
          <w:color w:val="000000" w:themeColor="text1"/>
        </w:rPr>
        <w:t>“</w:t>
      </w:r>
      <w:r w:rsidRPr="004E4408">
        <w:rPr>
          <w:rFonts w:ascii="Century Gothic" w:hAnsi="Century Gothic" w:cs="Arial"/>
          <w:i/>
          <w:sz w:val="21"/>
          <w:szCs w:val="21"/>
        </w:rPr>
        <w:t>salvo que el contrato sea de menor o mínima cuantía</w:t>
      </w:r>
      <w:r w:rsidRPr="004E4408">
        <w:rPr>
          <w:rFonts w:ascii="Century Gothic" w:hAnsi="Century Gothic" w:cs="Arial"/>
          <w:color w:val="000000" w:themeColor="text1"/>
        </w:rPr>
        <w:t xml:space="preserve">” contenida en la parte final del artículo </w:t>
      </w:r>
      <w:r w:rsidRPr="004E4408">
        <w:rPr>
          <w:rFonts w:ascii="Century Gothic" w:hAnsi="Century Gothic" w:cs="Arial"/>
        </w:rPr>
        <w:t>91 de la Ley 1474 de 2011</w:t>
      </w:r>
      <w:r w:rsidRPr="004E4408">
        <w:rPr>
          <w:rFonts w:ascii="Century Gothic" w:hAnsi="Century Gothic" w:cs="Arial"/>
          <w:color w:val="000000" w:themeColor="text1"/>
        </w:rPr>
        <w:t xml:space="preserve">, </w:t>
      </w:r>
      <w:r w:rsidRPr="004E4408">
        <w:rPr>
          <w:rFonts w:ascii="Century Gothic" w:hAnsi="Century Gothic" w:cs="Arial"/>
        </w:rPr>
        <w:t xml:space="preserve">se ha pronunciado en el sentido de indicar que dicha excepción implica que la </w:t>
      </w:r>
      <w:r w:rsidRPr="004E4408">
        <w:rPr>
          <w:rStyle w:val="normaltextrun"/>
          <w:rFonts w:ascii="Century Gothic" w:hAnsi="Century Gothic" w:cs="Arial"/>
          <w:sz w:val="21"/>
          <w:szCs w:val="21"/>
          <w:lang w:val="es-MX"/>
        </w:rPr>
        <w:t xml:space="preserve">obligación se aplica a los contratos de obra, concesión, salud, o los que se realicen por licitación pública, </w:t>
      </w:r>
      <w:r w:rsidRPr="004E4408">
        <w:rPr>
          <w:rStyle w:val="normaltextrun"/>
          <w:rFonts w:ascii="Century Gothic" w:hAnsi="Century Gothic" w:cs="Arial"/>
          <w:i/>
          <w:sz w:val="21"/>
          <w:szCs w:val="21"/>
          <w:lang w:val="es-MX"/>
        </w:rPr>
        <w:t>salvo que los mismos</w:t>
      </w:r>
      <w:r w:rsidRPr="004E4408">
        <w:rPr>
          <w:rStyle w:val="normaltextrun"/>
          <w:rFonts w:ascii="Century Gothic" w:hAnsi="Century Gothic" w:cs="Arial"/>
          <w:sz w:val="21"/>
          <w:szCs w:val="21"/>
          <w:lang w:val="es-MX"/>
        </w:rPr>
        <w:t xml:space="preserve"> sean de menor o mínima cuantía, sin tener en cuenta la modalidad de selección por la que se suscribió el contrato así:</w:t>
      </w:r>
    </w:p>
    <w:p w14:paraId="6E1FC416" w14:textId="77777777" w:rsidR="00B76A1E" w:rsidRPr="004E4408" w:rsidRDefault="00B76A1E" w:rsidP="00B76A1E">
      <w:pPr>
        <w:spacing w:after="120" w:line="240" w:lineRule="auto"/>
        <w:ind w:left="709" w:right="709"/>
        <w:jc w:val="both"/>
        <w:rPr>
          <w:rFonts w:ascii="Century Gothic" w:hAnsi="Century Gothic" w:cs="Arial"/>
          <w:sz w:val="21"/>
          <w:szCs w:val="21"/>
        </w:rPr>
      </w:pPr>
      <w:r w:rsidRPr="004E4408">
        <w:rPr>
          <w:rFonts w:ascii="Century Gothic" w:hAnsi="Century Gothic" w:cs="Arial"/>
          <w:sz w:val="21"/>
          <w:szCs w:val="21"/>
          <w:lang w:val="es-MX"/>
        </w:rPr>
        <w:t>“</w:t>
      </w:r>
      <w:r w:rsidRPr="004E4408">
        <w:rPr>
          <w:rFonts w:ascii="Century Gothic" w:hAnsi="Century Gothic" w:cs="Arial"/>
          <w:sz w:val="21"/>
          <w:szCs w:val="21"/>
        </w:rPr>
        <w:t xml:space="preserve">En consideración a lo enunciado previamente, el ejercicio interpretativo que esta Agencia ha mantenido sobre la sobre la expresión </w:t>
      </w:r>
      <w:r w:rsidRPr="004E4408">
        <w:rPr>
          <w:rFonts w:ascii="Century Gothic" w:hAnsi="Century Gothic" w:cs="Arial"/>
          <w:color w:val="000000" w:themeColor="text1"/>
          <w:sz w:val="21"/>
          <w:szCs w:val="21"/>
        </w:rPr>
        <w:t>“</w:t>
      </w:r>
      <w:r w:rsidRPr="004E4408">
        <w:rPr>
          <w:rFonts w:ascii="Century Gothic" w:hAnsi="Century Gothic" w:cs="Arial"/>
          <w:i/>
          <w:sz w:val="21"/>
          <w:szCs w:val="21"/>
        </w:rPr>
        <w:t>salvo que el contrato sea de menor o mínima cuantía</w:t>
      </w:r>
      <w:r w:rsidRPr="004E4408">
        <w:rPr>
          <w:rFonts w:ascii="Century Gothic" w:hAnsi="Century Gothic" w:cs="Arial"/>
          <w:color w:val="000000" w:themeColor="text1"/>
          <w:sz w:val="21"/>
          <w:szCs w:val="21"/>
        </w:rPr>
        <w:t xml:space="preserve">” contenida en la parte final del artículo </w:t>
      </w:r>
      <w:r w:rsidRPr="004E4408">
        <w:rPr>
          <w:rFonts w:ascii="Century Gothic" w:hAnsi="Century Gothic" w:cs="Arial"/>
          <w:sz w:val="21"/>
          <w:szCs w:val="21"/>
        </w:rPr>
        <w:t>91 de la Ley 1474 de 2011</w:t>
      </w:r>
      <w:r w:rsidRPr="004E4408">
        <w:rPr>
          <w:rFonts w:ascii="Century Gothic" w:hAnsi="Century Gothic" w:cs="Arial"/>
          <w:color w:val="000000" w:themeColor="text1"/>
          <w:sz w:val="21"/>
          <w:szCs w:val="21"/>
        </w:rPr>
        <w:t xml:space="preserve">, ha sido la de entender que </w:t>
      </w:r>
      <w:r w:rsidRPr="004E4408">
        <w:rPr>
          <w:rFonts w:ascii="Century Gothic" w:hAnsi="Century Gothic" w:cs="Arial"/>
          <w:sz w:val="21"/>
          <w:szCs w:val="21"/>
        </w:rPr>
        <w:t>en los contratos cuya cuantía resulte ser de mínima o menor cuantía no será obligatoria la constitución de un patrimonio autónomo o una fiducia para administrar los recursos del anticipo, así haya surgido a través de un proceso de selección por licitación pública.”</w:t>
      </w:r>
      <w:r w:rsidRPr="004E4408">
        <w:rPr>
          <w:rStyle w:val="Refdenotaalpie"/>
          <w:rFonts w:ascii="Century Gothic" w:hAnsi="Century Gothic" w:cs="Arial"/>
          <w:sz w:val="21"/>
          <w:szCs w:val="21"/>
        </w:rPr>
        <w:footnoteReference w:id="15"/>
      </w:r>
    </w:p>
    <w:p w14:paraId="53B27F12" w14:textId="636D8E6A" w:rsidR="00B76A1E" w:rsidRPr="004E4408" w:rsidRDefault="00B76A1E" w:rsidP="00B76A1E">
      <w:pPr>
        <w:spacing w:line="276" w:lineRule="auto"/>
        <w:ind w:firstLine="708"/>
        <w:jc w:val="both"/>
        <w:rPr>
          <w:rFonts w:ascii="Century Gothic" w:hAnsi="Century Gothic" w:cs="Arial"/>
          <w:color w:val="000000" w:themeColor="text1"/>
        </w:rPr>
      </w:pPr>
      <w:r w:rsidRPr="004E4408">
        <w:rPr>
          <w:rFonts w:ascii="Century Gothic" w:hAnsi="Century Gothic" w:cs="Arial"/>
        </w:rPr>
        <w:t xml:space="preserve">De igual forma, la postura adoptada en los conceptos emitidos por esta Agencia </w:t>
      </w:r>
      <w:r w:rsidR="00A33538" w:rsidRPr="004E4408">
        <w:rPr>
          <w:rFonts w:ascii="Century Gothic" w:hAnsi="Century Gothic" w:cs="Arial"/>
        </w:rPr>
        <w:t>reiteran la postura expuesta en</w:t>
      </w:r>
      <w:r w:rsidRPr="004E4408">
        <w:rPr>
          <w:rFonts w:ascii="Century Gothic" w:hAnsi="Century Gothic" w:cs="Arial"/>
        </w:rPr>
        <w:t xml:space="preserve"> la </w:t>
      </w:r>
      <w:r w:rsidRPr="004E4408">
        <w:rPr>
          <w:rFonts w:ascii="Century Gothic" w:hAnsi="Century Gothic" w:cs="Arial"/>
          <w:sz w:val="21"/>
          <w:szCs w:val="21"/>
        </w:rPr>
        <w:t>“</w:t>
      </w:r>
      <w:r w:rsidRPr="004E4408">
        <w:rPr>
          <w:rFonts w:ascii="Century Gothic" w:hAnsi="Century Gothic" w:cs="Arial"/>
          <w:i/>
          <w:color w:val="000000" w:themeColor="text1"/>
          <w:lang w:val="es-ES_tradnl"/>
        </w:rPr>
        <w:t>Guía para el manejo de anticipos mediante contrato de fiducia irrevocable</w:t>
      </w:r>
      <w:r w:rsidRPr="004E4408">
        <w:rPr>
          <w:rFonts w:ascii="Century Gothic" w:hAnsi="Century Gothic" w:cs="Arial"/>
          <w:i/>
          <w:color w:val="000000" w:themeColor="text1"/>
        </w:rPr>
        <w:t xml:space="preserve">”, </w:t>
      </w:r>
      <w:r w:rsidRPr="004E4408">
        <w:rPr>
          <w:rFonts w:ascii="Century Gothic" w:hAnsi="Century Gothic" w:cs="Arial"/>
          <w:color w:val="000000" w:themeColor="text1"/>
        </w:rPr>
        <w:t xml:space="preserve">al indicar que, el contratista debe constituir un contrato de fiducia mercantil irrevocable para el manejo de los recursos que recibe a título de anticipo en “los contratos de obra, concesión, salud y los que se realicen por licitación pública y </w:t>
      </w:r>
      <w:r w:rsidRPr="004E4408">
        <w:rPr>
          <w:rFonts w:ascii="Century Gothic" w:hAnsi="Century Gothic" w:cs="Arial"/>
          <w:i/>
          <w:color w:val="000000" w:themeColor="text1"/>
        </w:rPr>
        <w:t xml:space="preserve">siempre que </w:t>
      </w:r>
      <w:r w:rsidRPr="004E4408">
        <w:rPr>
          <w:rFonts w:ascii="Century Gothic" w:hAnsi="Century Gothic" w:cs="Arial"/>
          <w:color w:val="000000" w:themeColor="text1"/>
        </w:rPr>
        <w:t>no sean de menor o mínima cuantía</w:t>
      </w:r>
      <w:r w:rsidRPr="004E4408">
        <w:rPr>
          <w:rFonts w:ascii="Century Gothic" w:hAnsi="Century Gothic" w:cs="Arial"/>
          <w:i/>
          <w:color w:val="000000" w:themeColor="text1"/>
        </w:rPr>
        <w:t xml:space="preserve">” </w:t>
      </w:r>
      <w:r w:rsidRPr="004E4408">
        <w:rPr>
          <w:rFonts w:ascii="Century Gothic" w:hAnsi="Century Gothic" w:cs="Arial"/>
          <w:lang w:val="es-ES_tradnl"/>
        </w:rPr>
        <w:t>[Énfasis fuera de texto]</w:t>
      </w:r>
      <w:r w:rsidRPr="004E4408">
        <w:rPr>
          <w:rFonts w:ascii="Century Gothic" w:hAnsi="Century Gothic" w:cs="Arial"/>
          <w:color w:val="000000" w:themeColor="text1"/>
        </w:rPr>
        <w:t>.</w:t>
      </w:r>
    </w:p>
    <w:p w14:paraId="55D5F8BD" w14:textId="052D3697" w:rsidR="00A33538" w:rsidRPr="004E4408" w:rsidRDefault="00A33538" w:rsidP="00A33538">
      <w:pPr>
        <w:adjustRightInd w:val="0"/>
        <w:spacing w:line="276" w:lineRule="auto"/>
        <w:ind w:firstLine="708"/>
        <w:jc w:val="both"/>
        <w:rPr>
          <w:rFonts w:ascii="Century Gothic" w:hAnsi="Century Gothic" w:cs="Arial"/>
        </w:rPr>
      </w:pPr>
      <w:r w:rsidRPr="004E4408">
        <w:rPr>
          <w:rFonts w:ascii="Century Gothic" w:hAnsi="Century Gothic" w:cs="Arial"/>
        </w:rPr>
        <w:t xml:space="preserve">En ese sentido, </w:t>
      </w:r>
      <w:r w:rsidR="009F489A" w:rsidRPr="004E4408">
        <w:rPr>
          <w:rFonts w:ascii="Century Gothic" w:hAnsi="Century Gothic" w:cs="Arial"/>
        </w:rPr>
        <w:t>es pertinente afirmar lo siguiente</w:t>
      </w:r>
      <w:r w:rsidRPr="004E4408">
        <w:rPr>
          <w:rFonts w:ascii="Century Gothic" w:hAnsi="Century Gothic" w:cs="Arial"/>
        </w:rPr>
        <w:t xml:space="preserve">: 1) la fiducia o el patrimonio autónomo </w:t>
      </w:r>
      <w:r w:rsidR="009F489A" w:rsidRPr="004E4408">
        <w:rPr>
          <w:rFonts w:ascii="Century Gothic" w:hAnsi="Century Gothic" w:cs="Arial"/>
        </w:rPr>
        <w:t xml:space="preserve">irrevocable </w:t>
      </w:r>
      <w:r w:rsidRPr="004E4408">
        <w:rPr>
          <w:rFonts w:ascii="Century Gothic" w:hAnsi="Century Gothic" w:cs="Arial"/>
        </w:rPr>
        <w:t>para el manejo de los recursos del anticipo es aplicable a contratos de obra, concesión y salud sin importar la modalidad de contratación y también</w:t>
      </w:r>
      <w:r w:rsidR="005C3BD5" w:rsidRPr="004E4408">
        <w:rPr>
          <w:rFonts w:ascii="Century Gothic" w:hAnsi="Century Gothic" w:cs="Arial"/>
        </w:rPr>
        <w:t>,</w:t>
      </w:r>
      <w:r w:rsidRPr="004E4408">
        <w:rPr>
          <w:rFonts w:ascii="Century Gothic" w:hAnsi="Century Gothic" w:cs="Arial"/>
        </w:rPr>
        <w:t xml:space="preserve"> para aquellos contratos </w:t>
      </w:r>
      <w:r w:rsidR="001029A5" w:rsidRPr="004E4408">
        <w:rPr>
          <w:rFonts w:ascii="Century Gothic" w:hAnsi="Century Gothic" w:cs="Arial"/>
        </w:rPr>
        <w:t xml:space="preserve">que </w:t>
      </w:r>
      <w:r w:rsidRPr="004E4408">
        <w:rPr>
          <w:rFonts w:ascii="Century Gothic" w:hAnsi="Century Gothic" w:cs="Arial"/>
        </w:rPr>
        <w:t xml:space="preserve">sin importar la </w:t>
      </w:r>
      <w:r w:rsidR="005C3BD5" w:rsidRPr="004E4408">
        <w:rPr>
          <w:rFonts w:ascii="Century Gothic" w:hAnsi="Century Gothic" w:cs="Arial"/>
        </w:rPr>
        <w:t>tipología</w:t>
      </w:r>
      <w:r w:rsidRPr="004E4408">
        <w:rPr>
          <w:rFonts w:ascii="Century Gothic" w:hAnsi="Century Gothic" w:cs="Arial"/>
        </w:rPr>
        <w:t xml:space="preserve"> contractual </w:t>
      </w:r>
      <w:r w:rsidR="001029A5" w:rsidRPr="004E4408">
        <w:rPr>
          <w:rFonts w:ascii="Century Gothic" w:hAnsi="Century Gothic" w:cs="Arial"/>
        </w:rPr>
        <w:t xml:space="preserve">sean </w:t>
      </w:r>
      <w:r w:rsidRPr="004E4408">
        <w:rPr>
          <w:rFonts w:ascii="Century Gothic" w:hAnsi="Century Gothic" w:cs="Arial"/>
        </w:rPr>
        <w:t xml:space="preserve">gestionados por </w:t>
      </w:r>
      <w:r w:rsidR="000203CA">
        <w:rPr>
          <w:rFonts w:ascii="Century Gothic" w:hAnsi="Century Gothic" w:cs="Arial"/>
        </w:rPr>
        <w:t>l</w:t>
      </w:r>
      <w:r w:rsidRPr="004E4408">
        <w:rPr>
          <w:rFonts w:ascii="Century Gothic" w:hAnsi="Century Gothic" w:cs="Arial"/>
        </w:rPr>
        <w:t xml:space="preserve">icitación pública, </w:t>
      </w:r>
      <w:r w:rsidRPr="004E4408">
        <w:rPr>
          <w:rFonts w:ascii="Century Gothic" w:hAnsi="Century Gothic" w:cs="Arial"/>
          <w:i/>
        </w:rPr>
        <w:t>siempre y cuando</w:t>
      </w:r>
      <w:r w:rsidRPr="004E4408">
        <w:rPr>
          <w:rFonts w:ascii="Century Gothic" w:hAnsi="Century Gothic" w:cs="Arial"/>
        </w:rPr>
        <w:t xml:space="preserve"> </w:t>
      </w:r>
      <w:r w:rsidR="001029A5" w:rsidRPr="004E4408">
        <w:rPr>
          <w:rFonts w:ascii="Century Gothic" w:hAnsi="Century Gothic" w:cs="Arial"/>
        </w:rPr>
        <w:t xml:space="preserve">todos estos </w:t>
      </w:r>
      <w:r w:rsidR="00C57FA5" w:rsidRPr="004E4408">
        <w:rPr>
          <w:rFonts w:ascii="Century Gothic" w:hAnsi="Century Gothic" w:cs="Arial"/>
        </w:rPr>
        <w:t>contratos</w:t>
      </w:r>
      <w:r w:rsidRPr="004E4408">
        <w:rPr>
          <w:rFonts w:ascii="Century Gothic" w:hAnsi="Century Gothic" w:cs="Arial"/>
        </w:rPr>
        <w:t xml:space="preserve"> no resulten ser de mínima o menor cuantía; </w:t>
      </w:r>
      <w:proofErr w:type="spellStart"/>
      <w:r w:rsidRPr="004E4408">
        <w:rPr>
          <w:rFonts w:ascii="Century Gothic" w:hAnsi="Century Gothic" w:cs="Arial"/>
        </w:rPr>
        <w:t>ii</w:t>
      </w:r>
      <w:proofErr w:type="spellEnd"/>
      <w:r w:rsidRPr="004E4408">
        <w:rPr>
          <w:rFonts w:ascii="Century Gothic" w:hAnsi="Century Gothic" w:cs="Arial"/>
        </w:rPr>
        <w:t xml:space="preserve">) la fiducia o el patrimonio autónomo </w:t>
      </w:r>
      <w:r w:rsidR="00BD42A7" w:rsidRPr="004E4408">
        <w:rPr>
          <w:rFonts w:ascii="Century Gothic" w:hAnsi="Century Gothic" w:cs="Arial"/>
        </w:rPr>
        <w:t xml:space="preserve">irrevocable </w:t>
      </w:r>
      <w:r w:rsidRPr="004E4408">
        <w:rPr>
          <w:rFonts w:ascii="Century Gothic" w:hAnsi="Century Gothic" w:cs="Arial"/>
        </w:rPr>
        <w:t xml:space="preserve">para el manejo de los recursos del anticipo en los casos de contratos de obra, concesión y salud no es obligatoria cuando dichos contratos se gestionan a través de procesos de selección en la modalidad de menor y mínima cuantía, pues el contrato que se llegue a celebrar estaría en curso en la excepción general contemplada en el artículo 91 de la Ley 1474 de 2011; </w:t>
      </w:r>
      <w:proofErr w:type="spellStart"/>
      <w:r w:rsidRPr="004E4408">
        <w:rPr>
          <w:rFonts w:ascii="Century Gothic" w:hAnsi="Century Gothic" w:cs="Arial"/>
        </w:rPr>
        <w:t>iii</w:t>
      </w:r>
      <w:proofErr w:type="spellEnd"/>
      <w:r w:rsidRPr="004E4408">
        <w:rPr>
          <w:rFonts w:ascii="Century Gothic" w:hAnsi="Century Gothic" w:cs="Arial"/>
        </w:rPr>
        <w:t xml:space="preserve">) es posible que mediante licitación pública se termine celebrando un contrato de menor o mínima cuantía, por ejemplo en caso de lotes o grupos que impliquen la celebración individual de contratos a distintos o al mismo proponente, entre otras posibilidades que se puede dar en los procesos de contratación, que estarían en curso en la excepción general contemplada en el artículo 91 de la Ley 1474 de 2011; </w:t>
      </w:r>
      <w:proofErr w:type="spellStart"/>
      <w:r w:rsidRPr="004E4408">
        <w:rPr>
          <w:rFonts w:ascii="Century Gothic" w:hAnsi="Century Gothic" w:cs="Arial"/>
        </w:rPr>
        <w:t>iv</w:t>
      </w:r>
      <w:proofErr w:type="spellEnd"/>
      <w:r w:rsidRPr="004E4408">
        <w:rPr>
          <w:rFonts w:ascii="Century Gothic" w:hAnsi="Century Gothic" w:cs="Arial"/>
        </w:rPr>
        <w:t>) en los contratos de obra, salud y concesión que sean gestionados a través de la modalidad de contratación directa, será obligatoria la constitución de fiducia o  patrimonio autónomo para el manejo de los recursos del anticipo</w:t>
      </w:r>
      <w:r w:rsidR="00AF6F66" w:rsidRPr="004E4408">
        <w:rPr>
          <w:rFonts w:ascii="Century Gothic" w:hAnsi="Century Gothic" w:cs="Arial"/>
        </w:rPr>
        <w:t xml:space="preserve">, cuando </w:t>
      </w:r>
      <w:r w:rsidRPr="004E4408">
        <w:rPr>
          <w:rFonts w:ascii="Century Gothic" w:hAnsi="Century Gothic" w:cs="Arial"/>
        </w:rPr>
        <w:t>dichos contratos sean de mayor cuantía.</w:t>
      </w:r>
    </w:p>
    <w:p w14:paraId="2667B317" w14:textId="70F2B0B9" w:rsidR="00D31674" w:rsidRPr="004E4408" w:rsidRDefault="00D31674" w:rsidP="00D31674">
      <w:pPr>
        <w:spacing w:before="120" w:after="0" w:line="276" w:lineRule="auto"/>
        <w:jc w:val="both"/>
        <w:rPr>
          <w:rFonts w:ascii="Century Gothic" w:eastAsia="MS Mincho" w:hAnsi="Century Gothic" w:cs="Arial"/>
          <w:b/>
          <w:bCs/>
          <w:sz w:val="20"/>
          <w:szCs w:val="20"/>
          <w:lang w:val="es-ES_tradnl" w:eastAsia="es-CO"/>
        </w:rPr>
      </w:pPr>
      <w:r w:rsidRPr="004E4408">
        <w:rPr>
          <w:rFonts w:ascii="Century Gothic" w:hAnsi="Century Gothic" w:cs="Arial"/>
          <w:b/>
          <w:bCs/>
          <w:color w:val="000000" w:themeColor="text1"/>
        </w:rPr>
        <w:t>2.4. Diferencias entre los contratos de fiducia mercantil, fiducia pública y encargo fiduciario</w:t>
      </w:r>
      <w:r w:rsidRPr="004E4408">
        <w:rPr>
          <w:rFonts w:ascii="Century Gothic" w:eastAsia="MS Mincho" w:hAnsi="Century Gothic" w:cs="Arial"/>
          <w:b/>
          <w:bCs/>
          <w:sz w:val="20"/>
          <w:szCs w:val="20"/>
          <w:lang w:val="es-ES_tradnl" w:eastAsia="es-CO"/>
        </w:rPr>
        <w:t xml:space="preserve"> </w:t>
      </w:r>
    </w:p>
    <w:p w14:paraId="109C964F" w14:textId="44FA1223" w:rsidR="0066767F" w:rsidRPr="0066767F" w:rsidRDefault="008A0107" w:rsidP="00366D1B">
      <w:pPr>
        <w:spacing w:before="120" w:after="0" w:line="276" w:lineRule="auto"/>
        <w:jc w:val="both"/>
        <w:rPr>
          <w:rFonts w:ascii="Century Gothic" w:eastAsia="MS Mincho" w:hAnsi="Century Gothic" w:cs="Arial"/>
          <w:lang w:val="es-ES_tradnl" w:eastAsia="es-CO"/>
        </w:rPr>
      </w:pPr>
      <w:r>
        <w:rPr>
          <w:rFonts w:ascii="Century Gothic" w:eastAsia="MS Mincho" w:hAnsi="Century Gothic" w:cs="Arial"/>
          <w:lang w:val="es-ES_tradnl" w:eastAsia="es-CO"/>
        </w:rPr>
        <w:t>L</w:t>
      </w:r>
      <w:r w:rsidR="0066767F" w:rsidRPr="0066767F">
        <w:rPr>
          <w:rFonts w:ascii="Century Gothic" w:eastAsia="MS Mincho" w:hAnsi="Century Gothic" w:cs="Arial"/>
          <w:lang w:val="es-ES_tradnl" w:eastAsia="es-CO"/>
        </w:rPr>
        <w:t>a Circular Básica Jurídica de la Superintendencia Financiera</w:t>
      </w:r>
      <w:r w:rsidR="005627F0">
        <w:rPr>
          <w:rStyle w:val="Refdenotaalpie"/>
          <w:rFonts w:ascii="Century Gothic" w:eastAsia="MS Mincho" w:hAnsi="Century Gothic" w:cs="Arial"/>
          <w:lang w:val="es-ES_tradnl" w:eastAsia="es-CO"/>
        </w:rPr>
        <w:footnoteReference w:id="16"/>
      </w:r>
      <w:r w:rsidR="005627F0">
        <w:rPr>
          <w:rFonts w:ascii="Century Gothic" w:eastAsia="MS Mincho" w:hAnsi="Century Gothic" w:cs="Arial"/>
          <w:lang w:val="es-ES_tradnl" w:eastAsia="es-CO"/>
        </w:rPr>
        <w:t xml:space="preserve"> </w:t>
      </w:r>
      <w:r w:rsidR="0066767F" w:rsidRPr="0066767F">
        <w:rPr>
          <w:rFonts w:ascii="Century Gothic" w:eastAsia="MS Mincho" w:hAnsi="Century Gothic" w:cs="Arial"/>
          <w:lang w:val="es-ES_tradnl" w:eastAsia="es-CO"/>
        </w:rPr>
        <w:t>define los negocios</w:t>
      </w:r>
      <w:r w:rsidR="00081395">
        <w:rPr>
          <w:rFonts w:ascii="Century Gothic" w:eastAsia="MS Mincho" w:hAnsi="Century Gothic" w:cs="Arial"/>
          <w:lang w:val="es-ES_tradnl" w:eastAsia="es-CO"/>
        </w:rPr>
        <w:t xml:space="preserve"> </w:t>
      </w:r>
      <w:r w:rsidR="0066767F" w:rsidRPr="0066767F">
        <w:rPr>
          <w:rFonts w:ascii="Century Gothic" w:eastAsia="MS Mincho" w:hAnsi="Century Gothic" w:cs="Arial"/>
          <w:lang w:val="es-ES_tradnl" w:eastAsia="es-CO"/>
        </w:rPr>
        <w:t>fiduciarios</w:t>
      </w:r>
      <w:r w:rsidR="00892BE4">
        <w:rPr>
          <w:rStyle w:val="Refdenotaalpie"/>
          <w:rFonts w:ascii="Century Gothic" w:eastAsia="MS Mincho" w:hAnsi="Century Gothic" w:cs="Arial"/>
          <w:lang w:val="es-ES_tradnl" w:eastAsia="es-CO"/>
        </w:rPr>
        <w:footnoteReference w:id="17"/>
      </w:r>
      <w:r w:rsidR="0066767F" w:rsidRPr="0066767F">
        <w:rPr>
          <w:rFonts w:ascii="Century Gothic" w:eastAsia="MS Mincho" w:hAnsi="Century Gothic" w:cs="Arial"/>
          <w:lang w:val="es-ES_tradnl" w:eastAsia="es-CO"/>
        </w:rPr>
        <w:t xml:space="preserve"> como:</w:t>
      </w:r>
      <w:r w:rsidR="00081395">
        <w:rPr>
          <w:rFonts w:ascii="Century Gothic" w:eastAsia="MS Mincho" w:hAnsi="Century Gothic" w:cs="Arial"/>
          <w:lang w:val="es-ES_tradnl" w:eastAsia="es-CO"/>
        </w:rPr>
        <w:t xml:space="preserve"> “</w:t>
      </w:r>
      <w:r w:rsidR="0066767F" w:rsidRPr="0066767F">
        <w:rPr>
          <w:rFonts w:ascii="Century Gothic" w:eastAsia="MS Mincho" w:hAnsi="Century Gothic" w:cs="Arial"/>
          <w:lang w:val="es-ES_tradnl" w:eastAsia="es-CO"/>
        </w:rPr>
        <w:t>[A]</w:t>
      </w:r>
      <w:proofErr w:type="spellStart"/>
      <w:r w:rsidR="0066767F" w:rsidRPr="0066767F">
        <w:rPr>
          <w:rFonts w:ascii="Century Gothic" w:eastAsia="MS Mincho" w:hAnsi="Century Gothic" w:cs="Arial"/>
          <w:lang w:val="es-ES_tradnl" w:eastAsia="es-CO"/>
        </w:rPr>
        <w:t>ctos</w:t>
      </w:r>
      <w:proofErr w:type="spellEnd"/>
      <w:r w:rsidR="0066767F" w:rsidRPr="0066767F">
        <w:rPr>
          <w:rFonts w:ascii="Century Gothic" w:eastAsia="MS Mincho" w:hAnsi="Century Gothic" w:cs="Arial"/>
          <w:lang w:val="es-ES_tradnl" w:eastAsia="es-CO"/>
        </w:rPr>
        <w:t xml:space="preserve"> de confianza en virtud de los cuales una persona entrega a otra uno o más</w:t>
      </w:r>
      <w:r w:rsidR="00081395">
        <w:rPr>
          <w:rFonts w:ascii="Century Gothic" w:eastAsia="MS Mincho" w:hAnsi="Century Gothic" w:cs="Arial"/>
          <w:lang w:val="es-ES_tradnl" w:eastAsia="es-CO"/>
        </w:rPr>
        <w:t xml:space="preserve"> </w:t>
      </w:r>
      <w:r w:rsidR="0066767F" w:rsidRPr="0066767F">
        <w:rPr>
          <w:rFonts w:ascii="Century Gothic" w:eastAsia="MS Mincho" w:hAnsi="Century Gothic" w:cs="Arial"/>
          <w:lang w:val="es-ES_tradnl" w:eastAsia="es-CO"/>
        </w:rPr>
        <w:t>bienes determinados, transfiriéndole o no la propiedad de los mismos, con el propósito</w:t>
      </w:r>
      <w:r w:rsidR="00081395">
        <w:rPr>
          <w:rFonts w:ascii="Century Gothic" w:eastAsia="MS Mincho" w:hAnsi="Century Gothic" w:cs="Arial"/>
          <w:lang w:val="es-ES_tradnl" w:eastAsia="es-CO"/>
        </w:rPr>
        <w:t xml:space="preserve"> </w:t>
      </w:r>
      <w:r w:rsidR="0066767F" w:rsidRPr="0066767F">
        <w:rPr>
          <w:rFonts w:ascii="Century Gothic" w:eastAsia="MS Mincho" w:hAnsi="Century Gothic" w:cs="Arial"/>
          <w:lang w:val="es-ES_tradnl" w:eastAsia="es-CO"/>
        </w:rPr>
        <w:t>de que ésta cumpla con ellos una finalidad específica, bien sea en beneficio del</w:t>
      </w:r>
      <w:r w:rsidR="00081395">
        <w:rPr>
          <w:rFonts w:ascii="Century Gothic" w:eastAsia="MS Mincho" w:hAnsi="Century Gothic" w:cs="Arial"/>
          <w:lang w:val="es-ES_tradnl" w:eastAsia="es-CO"/>
        </w:rPr>
        <w:t xml:space="preserve"> </w:t>
      </w:r>
      <w:r w:rsidR="0066767F" w:rsidRPr="0066767F">
        <w:rPr>
          <w:rFonts w:ascii="Century Gothic" w:eastAsia="MS Mincho" w:hAnsi="Century Gothic" w:cs="Arial"/>
          <w:lang w:val="es-ES_tradnl" w:eastAsia="es-CO"/>
        </w:rPr>
        <w:t>fideicomitente o de un tercero. Incluye la fiducia mercantil y los encargos fiduciarios,</w:t>
      </w:r>
      <w:r w:rsidR="00081395">
        <w:rPr>
          <w:rFonts w:ascii="Century Gothic" w:eastAsia="MS Mincho" w:hAnsi="Century Gothic" w:cs="Arial"/>
          <w:lang w:val="es-ES_tradnl" w:eastAsia="es-CO"/>
        </w:rPr>
        <w:t xml:space="preserve"> </w:t>
      </w:r>
      <w:r w:rsidR="0066767F" w:rsidRPr="0066767F">
        <w:rPr>
          <w:rFonts w:ascii="Century Gothic" w:eastAsia="MS Mincho" w:hAnsi="Century Gothic" w:cs="Arial"/>
          <w:lang w:val="es-ES_tradnl" w:eastAsia="es-CO"/>
        </w:rPr>
        <w:t>al igual que los negocios denominados de fiducia pública y los encargos fiduciarios</w:t>
      </w:r>
      <w:r w:rsidR="00081395">
        <w:rPr>
          <w:rFonts w:ascii="Century Gothic" w:eastAsia="MS Mincho" w:hAnsi="Century Gothic" w:cs="Arial"/>
          <w:lang w:val="es-ES_tradnl" w:eastAsia="es-CO"/>
        </w:rPr>
        <w:t xml:space="preserve"> </w:t>
      </w:r>
      <w:r w:rsidR="0066767F" w:rsidRPr="0066767F">
        <w:rPr>
          <w:rFonts w:ascii="Century Gothic" w:eastAsia="MS Mincho" w:hAnsi="Century Gothic" w:cs="Arial"/>
          <w:lang w:val="es-ES_tradnl" w:eastAsia="es-CO"/>
        </w:rPr>
        <w:t>públicos de que tratan la Ley 80 de 1993 y disposiciones complementarias.</w:t>
      </w:r>
      <w:r w:rsidR="00183791">
        <w:rPr>
          <w:rFonts w:ascii="Century Gothic" w:eastAsia="MS Mincho" w:hAnsi="Century Gothic" w:cs="Arial"/>
          <w:lang w:val="es-ES_tradnl" w:eastAsia="es-CO"/>
        </w:rPr>
        <w:t>”</w:t>
      </w:r>
    </w:p>
    <w:p w14:paraId="421ECE42" w14:textId="7AB71B8D" w:rsidR="003D32B6" w:rsidRDefault="0066767F" w:rsidP="00366D1B">
      <w:pPr>
        <w:spacing w:before="120" w:after="0" w:line="276" w:lineRule="auto"/>
        <w:ind w:firstLine="708"/>
        <w:jc w:val="both"/>
        <w:rPr>
          <w:rFonts w:ascii="Century Gothic" w:eastAsia="MS Mincho" w:hAnsi="Century Gothic" w:cs="Arial"/>
          <w:lang w:val="es-ES_tradnl" w:eastAsia="es-CO"/>
        </w:rPr>
      </w:pPr>
      <w:r w:rsidRPr="0066767F">
        <w:rPr>
          <w:rFonts w:ascii="Century Gothic" w:eastAsia="MS Mincho" w:hAnsi="Century Gothic" w:cs="Arial"/>
          <w:lang w:val="es-ES_tradnl" w:eastAsia="es-CO"/>
        </w:rPr>
        <w:t xml:space="preserve">Atendiendo </w:t>
      </w:r>
      <w:r w:rsidR="00D51AE4">
        <w:rPr>
          <w:rFonts w:ascii="Century Gothic" w:eastAsia="MS Mincho" w:hAnsi="Century Gothic" w:cs="Arial"/>
          <w:lang w:val="es-ES_tradnl" w:eastAsia="es-CO"/>
        </w:rPr>
        <w:t>a la transferencia o no de la propiedad de los bi</w:t>
      </w:r>
      <w:r w:rsidR="00017B24">
        <w:rPr>
          <w:rFonts w:ascii="Century Gothic" w:eastAsia="MS Mincho" w:hAnsi="Century Gothic" w:cs="Arial"/>
          <w:lang w:val="es-ES_tradnl" w:eastAsia="es-CO"/>
        </w:rPr>
        <w:t>e</w:t>
      </w:r>
      <w:r w:rsidR="00D51AE4">
        <w:rPr>
          <w:rFonts w:ascii="Century Gothic" w:eastAsia="MS Mincho" w:hAnsi="Century Gothic" w:cs="Arial"/>
          <w:lang w:val="es-ES_tradnl" w:eastAsia="es-CO"/>
        </w:rPr>
        <w:t>nes fideicomi</w:t>
      </w:r>
      <w:r w:rsidR="008D17EE">
        <w:rPr>
          <w:rFonts w:ascii="Century Gothic" w:eastAsia="MS Mincho" w:hAnsi="Century Gothic" w:cs="Arial"/>
          <w:lang w:val="es-ES_tradnl" w:eastAsia="es-CO"/>
        </w:rPr>
        <w:t>tidos</w:t>
      </w:r>
      <w:r w:rsidRPr="0066767F">
        <w:rPr>
          <w:rFonts w:ascii="Century Gothic" w:eastAsia="MS Mincho" w:hAnsi="Century Gothic" w:cs="Arial"/>
          <w:lang w:val="es-ES_tradnl" w:eastAsia="es-CO"/>
        </w:rPr>
        <w:t xml:space="preserve">, </w:t>
      </w:r>
      <w:r w:rsidR="008D17EE">
        <w:rPr>
          <w:rFonts w:ascii="Century Gothic" w:eastAsia="MS Mincho" w:hAnsi="Century Gothic" w:cs="Arial"/>
          <w:lang w:val="es-ES_tradnl" w:eastAsia="es-CO"/>
        </w:rPr>
        <w:t xml:space="preserve">se ha clasificado </w:t>
      </w:r>
      <w:r w:rsidRPr="0066767F">
        <w:rPr>
          <w:rFonts w:ascii="Century Gothic" w:eastAsia="MS Mincho" w:hAnsi="Century Gothic" w:cs="Arial"/>
          <w:lang w:val="es-ES_tradnl" w:eastAsia="es-CO"/>
        </w:rPr>
        <w:t>los negocios fiduciarios</w:t>
      </w:r>
      <w:r w:rsidR="008D17EE">
        <w:rPr>
          <w:rFonts w:ascii="Century Gothic" w:eastAsia="MS Mincho" w:hAnsi="Century Gothic" w:cs="Arial"/>
          <w:lang w:val="es-ES_tradnl" w:eastAsia="es-CO"/>
        </w:rPr>
        <w:t xml:space="preserve"> entre</w:t>
      </w:r>
      <w:r w:rsidR="00261325">
        <w:rPr>
          <w:rFonts w:ascii="Century Gothic" w:eastAsia="MS Mincho" w:hAnsi="Century Gothic" w:cs="Arial"/>
          <w:lang w:val="es-ES_tradnl" w:eastAsia="es-CO"/>
        </w:rPr>
        <w:t xml:space="preserve"> encargo fiduciario y fiducia mercantil</w:t>
      </w:r>
      <w:r w:rsidR="00017B24">
        <w:rPr>
          <w:rFonts w:ascii="Century Gothic" w:eastAsia="MS Mincho" w:hAnsi="Century Gothic" w:cs="Arial"/>
          <w:lang w:val="es-ES_tradnl" w:eastAsia="es-CO"/>
        </w:rPr>
        <w:t>.</w:t>
      </w:r>
    </w:p>
    <w:p w14:paraId="56482027" w14:textId="23B3C1CE" w:rsidR="004040F8" w:rsidRPr="004E4408" w:rsidRDefault="00D31674" w:rsidP="00366D1B">
      <w:pPr>
        <w:spacing w:before="120" w:after="0" w:line="276" w:lineRule="auto"/>
        <w:ind w:firstLine="708"/>
        <w:jc w:val="both"/>
        <w:rPr>
          <w:rFonts w:ascii="Century Gothic" w:eastAsia="MS Mincho" w:hAnsi="Century Gothic" w:cs="Arial"/>
          <w:lang w:val="es-ES_tradnl" w:eastAsia="es-CO"/>
        </w:rPr>
      </w:pPr>
      <w:r w:rsidRPr="004E4408">
        <w:rPr>
          <w:rFonts w:ascii="Century Gothic" w:eastAsia="MS Mincho" w:hAnsi="Century Gothic" w:cs="Arial"/>
          <w:lang w:val="es-ES_tradnl" w:eastAsia="es-CO"/>
        </w:rPr>
        <w:t>El contrato de</w:t>
      </w:r>
      <w:r w:rsidR="0018369F" w:rsidRPr="004E4408">
        <w:rPr>
          <w:rFonts w:ascii="Century Gothic" w:eastAsia="MS Mincho" w:hAnsi="Century Gothic" w:cs="Arial"/>
          <w:lang w:val="es-ES_tradnl" w:eastAsia="es-CO"/>
        </w:rPr>
        <w:t xml:space="preserve"> </w:t>
      </w:r>
      <w:r w:rsidR="0018369F" w:rsidRPr="004E4408">
        <w:rPr>
          <w:rFonts w:ascii="Century Gothic" w:eastAsia="MS Mincho" w:hAnsi="Century Gothic" w:cs="Arial"/>
          <w:i/>
          <w:iCs/>
          <w:lang w:val="es-ES_tradnl" w:eastAsia="es-CO"/>
        </w:rPr>
        <w:t>fiducia mercantil</w:t>
      </w:r>
      <w:r w:rsidR="0018369F" w:rsidRPr="004E4408">
        <w:rPr>
          <w:rFonts w:ascii="Century Gothic" w:eastAsia="MS Mincho" w:hAnsi="Century Gothic" w:cs="Arial"/>
          <w:lang w:val="es-ES_tradnl" w:eastAsia="es-CO"/>
        </w:rPr>
        <w:t xml:space="preserve"> encuentra su definición en el artículo 1226 del Código de Comercio, norma que establece como elementos característicos del negocio jurídico: i) la existencia de al menos dos sujetos: fiduciante y fiduciario y</w:t>
      </w:r>
      <w:r w:rsidRPr="004E4408">
        <w:rPr>
          <w:rFonts w:ascii="Century Gothic" w:eastAsia="MS Mincho" w:hAnsi="Century Gothic" w:cs="Arial"/>
          <w:lang w:val="es-ES_tradnl" w:eastAsia="es-CO"/>
        </w:rPr>
        <w:t>,</w:t>
      </w:r>
      <w:r w:rsidR="0018369F" w:rsidRPr="004E4408">
        <w:rPr>
          <w:rFonts w:ascii="Century Gothic" w:eastAsia="MS Mincho" w:hAnsi="Century Gothic" w:cs="Arial"/>
          <w:lang w:val="es-ES_tradnl" w:eastAsia="es-CO"/>
        </w:rPr>
        <w:t xml:space="preserve"> </w:t>
      </w:r>
      <w:proofErr w:type="spellStart"/>
      <w:r w:rsidR="0018369F" w:rsidRPr="004E4408">
        <w:rPr>
          <w:rFonts w:ascii="Century Gothic" w:eastAsia="MS Mincho" w:hAnsi="Century Gothic" w:cs="Arial"/>
          <w:lang w:val="es-ES_tradnl" w:eastAsia="es-CO"/>
        </w:rPr>
        <w:t>ii</w:t>
      </w:r>
      <w:proofErr w:type="spellEnd"/>
      <w:r w:rsidR="0018369F" w:rsidRPr="004E4408">
        <w:rPr>
          <w:rFonts w:ascii="Century Gothic" w:eastAsia="MS Mincho" w:hAnsi="Century Gothic" w:cs="Arial"/>
          <w:lang w:val="es-ES_tradnl" w:eastAsia="es-CO"/>
        </w:rPr>
        <w:t>) la transferencia del dominio de los bienes fideicomitidos</w:t>
      </w:r>
      <w:r w:rsidR="004040F8" w:rsidRPr="004E4408">
        <w:rPr>
          <w:rFonts w:ascii="Century Gothic" w:eastAsia="MS Mincho" w:hAnsi="Century Gothic" w:cs="Arial"/>
          <w:lang w:val="es-ES_tradnl" w:eastAsia="es-CO"/>
        </w:rPr>
        <w:t>, de la siguiente forma:</w:t>
      </w:r>
    </w:p>
    <w:p w14:paraId="6698A546" w14:textId="1ADB609B" w:rsidR="004040F8" w:rsidRPr="004E4408" w:rsidRDefault="004040F8" w:rsidP="004040F8">
      <w:pPr>
        <w:spacing w:before="120" w:after="0" w:line="240" w:lineRule="auto"/>
        <w:ind w:left="709" w:right="709"/>
        <w:jc w:val="both"/>
        <w:rPr>
          <w:rFonts w:ascii="Century Gothic" w:eastAsia="MS Mincho" w:hAnsi="Century Gothic" w:cs="Arial"/>
          <w:sz w:val="20"/>
          <w:szCs w:val="20"/>
          <w:lang w:eastAsia="es-CO"/>
        </w:rPr>
      </w:pPr>
      <w:r w:rsidRPr="004E4408">
        <w:rPr>
          <w:rFonts w:ascii="Century Gothic" w:eastAsia="MS Mincho" w:hAnsi="Century Gothic" w:cs="Arial"/>
          <w:sz w:val="20"/>
          <w:szCs w:val="20"/>
          <w:lang w:eastAsia="es-CO"/>
        </w:rPr>
        <w:t xml:space="preserve">“Artículo 1226. CONCEPTO DE LA FIDUCIA MERCANTIL. La fiducia mercantil es un negocio jurídico en virtud del cual una persona, llamada fiduciante o fideicomitente, transfiere uno o más bienes especificados a otra, llamada fiduciario, quien se obliga a administrarlos o enajenarlos para cumplir una finalidad determinada por el constituyente, en provecho de éste o de un tercero llamado beneficiario o fideicomisario. </w:t>
      </w:r>
    </w:p>
    <w:p w14:paraId="75576217" w14:textId="77777777" w:rsidR="004040F8" w:rsidRPr="004E4408" w:rsidRDefault="004040F8" w:rsidP="00366D1B">
      <w:pPr>
        <w:spacing w:before="120" w:after="0" w:line="276" w:lineRule="auto"/>
        <w:ind w:left="709" w:right="709"/>
        <w:jc w:val="both"/>
        <w:rPr>
          <w:rFonts w:ascii="Century Gothic" w:eastAsia="MS Mincho" w:hAnsi="Century Gothic" w:cs="Arial"/>
          <w:sz w:val="20"/>
          <w:szCs w:val="20"/>
          <w:lang w:eastAsia="es-CO"/>
        </w:rPr>
      </w:pPr>
      <w:r w:rsidRPr="004E4408">
        <w:rPr>
          <w:rFonts w:ascii="Century Gothic" w:eastAsia="MS Mincho" w:hAnsi="Century Gothic" w:cs="Arial"/>
          <w:sz w:val="20"/>
          <w:szCs w:val="20"/>
          <w:lang w:eastAsia="es-CO"/>
        </w:rPr>
        <w:t xml:space="preserve">Una persona puede ser al mismo tiempo fiduciante y beneficiario. </w:t>
      </w:r>
    </w:p>
    <w:p w14:paraId="3484B3EC" w14:textId="2E1A9FAD" w:rsidR="004040F8" w:rsidRPr="004E4408" w:rsidRDefault="004040F8" w:rsidP="004040F8">
      <w:pPr>
        <w:spacing w:before="120" w:after="0" w:line="240" w:lineRule="auto"/>
        <w:ind w:left="709" w:right="709"/>
        <w:jc w:val="both"/>
        <w:rPr>
          <w:rFonts w:ascii="Century Gothic" w:eastAsia="MS Mincho" w:hAnsi="Century Gothic" w:cs="Arial"/>
          <w:sz w:val="20"/>
          <w:szCs w:val="20"/>
          <w:lang w:eastAsia="es-CO"/>
        </w:rPr>
      </w:pPr>
      <w:r w:rsidRPr="004E4408">
        <w:rPr>
          <w:rFonts w:ascii="Century Gothic" w:eastAsia="MS Mincho" w:hAnsi="Century Gothic" w:cs="Arial"/>
          <w:sz w:val="20"/>
          <w:szCs w:val="20"/>
          <w:lang w:eastAsia="es-CO"/>
        </w:rPr>
        <w:t>Solo los establecimientos de crédito y las sociedades fiduciarias, especialmente autorizados por la Superintendencia Bancaria, podrán tener la calidad de fiduciarios.”</w:t>
      </w:r>
    </w:p>
    <w:p w14:paraId="52BE52D0" w14:textId="561BA43E" w:rsidR="00CF044D" w:rsidRPr="00CF044D" w:rsidRDefault="0018369F" w:rsidP="00CF044D">
      <w:pPr>
        <w:spacing w:before="120" w:after="0" w:line="276" w:lineRule="auto"/>
        <w:ind w:firstLine="708"/>
        <w:jc w:val="both"/>
        <w:rPr>
          <w:rFonts w:ascii="Century Gothic" w:eastAsia="MS Mincho" w:hAnsi="Century Gothic" w:cs="Arial"/>
          <w:lang w:val="es-ES_tradnl" w:eastAsia="es-CO"/>
        </w:rPr>
      </w:pPr>
      <w:r w:rsidRPr="004E4408">
        <w:rPr>
          <w:rFonts w:ascii="Century Gothic" w:eastAsia="MS Mincho" w:hAnsi="Century Gothic" w:cs="Arial"/>
          <w:lang w:val="es-ES_tradnl" w:eastAsia="es-CO"/>
        </w:rPr>
        <w:t xml:space="preserve">Por su parte, </w:t>
      </w:r>
      <w:r w:rsidR="00CF044D">
        <w:rPr>
          <w:rFonts w:ascii="Century Gothic" w:eastAsia="MS Mincho" w:hAnsi="Century Gothic" w:cs="Arial"/>
          <w:lang w:val="es-ES_tradnl" w:eastAsia="es-CO"/>
        </w:rPr>
        <w:t>e</w:t>
      </w:r>
      <w:r w:rsidR="00CF044D" w:rsidRPr="00CF044D">
        <w:rPr>
          <w:rFonts w:ascii="Century Gothic" w:eastAsia="MS Mincho" w:hAnsi="Century Gothic" w:cs="Arial"/>
          <w:lang w:val="es-ES_tradnl" w:eastAsia="es-CO"/>
        </w:rPr>
        <w:t>xiste un encargo fiduciario en aquellos casos en que no se presenta la</w:t>
      </w:r>
      <w:r w:rsidR="009F7098">
        <w:rPr>
          <w:rFonts w:ascii="Century Gothic" w:eastAsia="MS Mincho" w:hAnsi="Century Gothic" w:cs="Arial"/>
          <w:lang w:val="es-ES_tradnl" w:eastAsia="es-CO"/>
        </w:rPr>
        <w:t xml:space="preserve"> </w:t>
      </w:r>
      <w:r w:rsidR="00CF044D" w:rsidRPr="00CF044D">
        <w:rPr>
          <w:rFonts w:ascii="Century Gothic" w:eastAsia="MS Mincho" w:hAnsi="Century Gothic" w:cs="Arial"/>
          <w:lang w:val="es-ES_tradnl" w:eastAsia="es-CO"/>
        </w:rPr>
        <w:t>transferencia de propiedad de los bienes, de tal suerte que estos no salen del</w:t>
      </w:r>
      <w:r w:rsidR="009F7098">
        <w:rPr>
          <w:rFonts w:ascii="Century Gothic" w:eastAsia="MS Mincho" w:hAnsi="Century Gothic" w:cs="Arial"/>
          <w:lang w:val="es-ES_tradnl" w:eastAsia="es-CO"/>
        </w:rPr>
        <w:t xml:space="preserve"> </w:t>
      </w:r>
      <w:r w:rsidR="00CF044D" w:rsidRPr="00CF044D">
        <w:rPr>
          <w:rFonts w:ascii="Century Gothic" w:eastAsia="MS Mincho" w:hAnsi="Century Gothic" w:cs="Arial"/>
          <w:lang w:val="es-ES_tradnl" w:eastAsia="es-CO"/>
        </w:rPr>
        <w:t>patrimonio del fideicomitente.</w:t>
      </w:r>
      <w:r w:rsidR="008322E8">
        <w:rPr>
          <w:rFonts w:ascii="Century Gothic" w:eastAsia="MS Mincho" w:hAnsi="Century Gothic" w:cs="Arial"/>
          <w:lang w:val="es-ES_tradnl" w:eastAsia="es-CO"/>
        </w:rPr>
        <w:t xml:space="preserve"> </w:t>
      </w:r>
      <w:r w:rsidR="00CF044D" w:rsidRPr="00CF044D">
        <w:rPr>
          <w:rFonts w:ascii="Century Gothic" w:eastAsia="MS Mincho" w:hAnsi="Century Gothic" w:cs="Arial"/>
          <w:lang w:val="es-ES_tradnl" w:eastAsia="es-CO"/>
        </w:rPr>
        <w:t>En la Circular</w:t>
      </w:r>
      <w:r w:rsidR="000113ED">
        <w:rPr>
          <w:rFonts w:ascii="Century Gothic" w:eastAsia="MS Mincho" w:hAnsi="Century Gothic" w:cs="Arial"/>
          <w:lang w:val="es-ES_tradnl" w:eastAsia="es-CO"/>
        </w:rPr>
        <w:t xml:space="preserve"> </w:t>
      </w:r>
      <w:r w:rsidR="00CF044D" w:rsidRPr="00CF044D">
        <w:rPr>
          <w:rFonts w:ascii="Century Gothic" w:eastAsia="MS Mincho" w:hAnsi="Century Gothic" w:cs="Arial"/>
          <w:lang w:val="es-ES_tradnl" w:eastAsia="es-CO"/>
        </w:rPr>
        <w:t>Básica Jurídica de la Superintendencia Financiera</w:t>
      </w:r>
      <w:r w:rsidR="00BF5C06">
        <w:rPr>
          <w:rFonts w:ascii="Century Gothic" w:eastAsia="MS Mincho" w:hAnsi="Century Gothic" w:cs="Arial"/>
          <w:lang w:val="es-ES_tradnl" w:eastAsia="es-CO"/>
        </w:rPr>
        <w:t xml:space="preserve"> previamente</w:t>
      </w:r>
      <w:r w:rsidR="00CF044D" w:rsidRPr="00CF044D">
        <w:rPr>
          <w:rFonts w:ascii="Century Gothic" w:eastAsia="MS Mincho" w:hAnsi="Century Gothic" w:cs="Arial"/>
          <w:lang w:val="es-ES_tradnl" w:eastAsia="es-CO"/>
        </w:rPr>
        <w:t xml:space="preserve"> citada, establece:</w:t>
      </w:r>
    </w:p>
    <w:p w14:paraId="25213EB9" w14:textId="39D7E166" w:rsidR="00CF044D" w:rsidRPr="00BF5C06" w:rsidRDefault="000113ED" w:rsidP="008322E8">
      <w:pPr>
        <w:spacing w:before="120" w:after="0" w:line="240" w:lineRule="auto"/>
        <w:ind w:left="709" w:right="709"/>
        <w:jc w:val="both"/>
        <w:rPr>
          <w:rFonts w:ascii="Century Gothic" w:eastAsia="MS Mincho" w:hAnsi="Century Gothic" w:cs="Arial"/>
          <w:sz w:val="21"/>
          <w:szCs w:val="21"/>
          <w:lang w:val="es-ES_tradnl" w:eastAsia="es-CO"/>
        </w:rPr>
      </w:pPr>
      <w:r w:rsidRPr="00BF5C06">
        <w:rPr>
          <w:rFonts w:ascii="Century Gothic" w:eastAsia="MS Mincho" w:hAnsi="Century Gothic" w:cs="Arial"/>
          <w:sz w:val="21"/>
          <w:szCs w:val="21"/>
          <w:lang w:val="es-ES_tradnl" w:eastAsia="es-CO"/>
        </w:rPr>
        <w:t>“</w:t>
      </w:r>
      <w:r w:rsidR="00CF044D" w:rsidRPr="00BF5C06">
        <w:rPr>
          <w:rFonts w:ascii="Century Gothic" w:eastAsia="MS Mincho" w:hAnsi="Century Gothic" w:cs="Arial"/>
          <w:sz w:val="21"/>
          <w:szCs w:val="21"/>
          <w:lang w:val="es-ES_tradnl" w:eastAsia="es-CO"/>
        </w:rPr>
        <w:t>Cuando hay transferencia de la propiedad de los bienes se está ante la denominada</w:t>
      </w:r>
      <w:r w:rsidRPr="00BF5C06">
        <w:rPr>
          <w:rFonts w:ascii="Century Gothic" w:eastAsia="MS Mincho" w:hAnsi="Century Gothic" w:cs="Arial"/>
          <w:sz w:val="21"/>
          <w:szCs w:val="21"/>
          <w:lang w:val="es-ES_tradnl" w:eastAsia="es-CO"/>
        </w:rPr>
        <w:t xml:space="preserve"> </w:t>
      </w:r>
      <w:r w:rsidR="00CF044D" w:rsidRPr="00BF5C06">
        <w:rPr>
          <w:rFonts w:ascii="Century Gothic" w:eastAsia="MS Mincho" w:hAnsi="Century Gothic" w:cs="Arial"/>
          <w:sz w:val="21"/>
          <w:szCs w:val="21"/>
          <w:lang w:val="es-ES_tradnl" w:eastAsia="es-CO"/>
        </w:rPr>
        <w:t xml:space="preserve">fiducia mercantil regulada en el art. 1226 y siguientes del </w:t>
      </w:r>
      <w:proofErr w:type="spellStart"/>
      <w:proofErr w:type="gramStart"/>
      <w:r w:rsidR="00CF044D" w:rsidRPr="00BF5C06">
        <w:rPr>
          <w:rFonts w:ascii="Century Gothic" w:eastAsia="MS Mincho" w:hAnsi="Century Gothic" w:cs="Arial"/>
          <w:sz w:val="21"/>
          <w:szCs w:val="21"/>
          <w:lang w:val="es-ES_tradnl" w:eastAsia="es-CO"/>
        </w:rPr>
        <w:t>C.Cio</w:t>
      </w:r>
      <w:proofErr w:type="spellEnd"/>
      <w:proofErr w:type="gramEnd"/>
      <w:r w:rsidR="00CF044D" w:rsidRPr="00BF5C06">
        <w:rPr>
          <w:rFonts w:ascii="Century Gothic" w:eastAsia="MS Mincho" w:hAnsi="Century Gothic" w:cs="Arial"/>
          <w:sz w:val="21"/>
          <w:szCs w:val="21"/>
          <w:lang w:val="es-ES_tradnl" w:eastAsia="es-CO"/>
        </w:rPr>
        <w:t>. Si no hay</w:t>
      </w:r>
      <w:r w:rsidRPr="00BF5C06">
        <w:rPr>
          <w:rFonts w:ascii="Century Gothic" w:eastAsia="MS Mincho" w:hAnsi="Century Gothic" w:cs="Arial"/>
          <w:sz w:val="21"/>
          <w:szCs w:val="21"/>
          <w:lang w:val="es-ES_tradnl" w:eastAsia="es-CO"/>
        </w:rPr>
        <w:t xml:space="preserve"> </w:t>
      </w:r>
      <w:r w:rsidR="00CF044D" w:rsidRPr="00BF5C06">
        <w:rPr>
          <w:rFonts w:ascii="Century Gothic" w:eastAsia="MS Mincho" w:hAnsi="Century Gothic" w:cs="Arial"/>
          <w:sz w:val="21"/>
          <w:szCs w:val="21"/>
          <w:lang w:val="es-ES_tradnl" w:eastAsia="es-CO"/>
        </w:rPr>
        <w:t>transferencia de la propiedad se está ante un encargo fiduciario y aplican a éstos las</w:t>
      </w:r>
      <w:r w:rsidRPr="00BF5C06">
        <w:rPr>
          <w:rFonts w:ascii="Century Gothic" w:eastAsia="MS Mincho" w:hAnsi="Century Gothic" w:cs="Arial"/>
          <w:sz w:val="21"/>
          <w:szCs w:val="21"/>
          <w:lang w:val="es-ES_tradnl" w:eastAsia="es-CO"/>
        </w:rPr>
        <w:t xml:space="preserve"> </w:t>
      </w:r>
      <w:r w:rsidR="00CF044D" w:rsidRPr="00BF5C06">
        <w:rPr>
          <w:rFonts w:ascii="Century Gothic" w:eastAsia="MS Mincho" w:hAnsi="Century Gothic" w:cs="Arial"/>
          <w:sz w:val="21"/>
          <w:szCs w:val="21"/>
          <w:lang w:val="es-ES_tradnl" w:eastAsia="es-CO"/>
        </w:rPr>
        <w:t>disposiciones que regulan el contrato de fiducia mercantil y, subsidiariamente, las</w:t>
      </w:r>
      <w:r w:rsidRPr="00BF5C06">
        <w:rPr>
          <w:rFonts w:ascii="Century Gothic" w:eastAsia="MS Mincho" w:hAnsi="Century Gothic" w:cs="Arial"/>
          <w:sz w:val="21"/>
          <w:szCs w:val="21"/>
          <w:lang w:val="es-ES_tradnl" w:eastAsia="es-CO"/>
        </w:rPr>
        <w:t xml:space="preserve"> </w:t>
      </w:r>
      <w:r w:rsidR="00CF044D" w:rsidRPr="00BF5C06">
        <w:rPr>
          <w:rFonts w:ascii="Century Gothic" w:eastAsia="MS Mincho" w:hAnsi="Century Gothic" w:cs="Arial"/>
          <w:sz w:val="21"/>
          <w:szCs w:val="21"/>
          <w:lang w:val="es-ES_tradnl" w:eastAsia="es-CO"/>
        </w:rPr>
        <w:t xml:space="preserve">disposiciones del </w:t>
      </w:r>
      <w:proofErr w:type="spellStart"/>
      <w:proofErr w:type="gramStart"/>
      <w:r w:rsidR="00CF044D" w:rsidRPr="00BF5C06">
        <w:rPr>
          <w:rFonts w:ascii="Century Gothic" w:eastAsia="MS Mincho" w:hAnsi="Century Gothic" w:cs="Arial"/>
          <w:sz w:val="21"/>
          <w:szCs w:val="21"/>
          <w:lang w:val="es-ES_tradnl" w:eastAsia="es-CO"/>
        </w:rPr>
        <w:t>C.Cio</w:t>
      </w:r>
      <w:proofErr w:type="spellEnd"/>
      <w:proofErr w:type="gramEnd"/>
      <w:r w:rsidR="00CF044D" w:rsidRPr="00BF5C06">
        <w:rPr>
          <w:rFonts w:ascii="Century Gothic" w:eastAsia="MS Mincho" w:hAnsi="Century Gothic" w:cs="Arial"/>
          <w:sz w:val="21"/>
          <w:szCs w:val="21"/>
          <w:lang w:val="es-ES_tradnl" w:eastAsia="es-CO"/>
        </w:rPr>
        <w:t xml:space="preserve"> en relación con el contrato de mandato en los términos</w:t>
      </w:r>
      <w:r w:rsidR="004B7749" w:rsidRPr="00BF5C06">
        <w:rPr>
          <w:rFonts w:ascii="Century Gothic" w:eastAsia="MS Mincho" w:hAnsi="Century Gothic" w:cs="Arial"/>
          <w:sz w:val="21"/>
          <w:szCs w:val="21"/>
          <w:lang w:val="es-ES_tradnl" w:eastAsia="es-CO"/>
        </w:rPr>
        <w:t xml:space="preserve"> </w:t>
      </w:r>
      <w:r w:rsidR="00CF044D" w:rsidRPr="00BF5C06">
        <w:rPr>
          <w:rFonts w:ascii="Century Gothic" w:eastAsia="MS Mincho" w:hAnsi="Century Gothic" w:cs="Arial"/>
          <w:sz w:val="21"/>
          <w:szCs w:val="21"/>
          <w:lang w:val="es-ES_tradnl" w:eastAsia="es-CO"/>
        </w:rPr>
        <w:t>señalados en el numeral 1 del art. 146 del EOSF21</w:t>
      </w:r>
      <w:r w:rsidR="004B7749" w:rsidRPr="00BF5C06">
        <w:rPr>
          <w:rFonts w:ascii="Century Gothic" w:eastAsia="MS Mincho" w:hAnsi="Century Gothic" w:cs="Arial"/>
          <w:sz w:val="21"/>
          <w:szCs w:val="21"/>
          <w:lang w:val="es-ES_tradnl" w:eastAsia="es-CO"/>
        </w:rPr>
        <w:t>”</w:t>
      </w:r>
      <w:r w:rsidR="00BF5C06">
        <w:rPr>
          <w:rStyle w:val="Refdenotaalpie"/>
          <w:rFonts w:ascii="Century Gothic" w:eastAsia="MS Mincho" w:hAnsi="Century Gothic" w:cs="Arial"/>
          <w:sz w:val="21"/>
          <w:szCs w:val="21"/>
          <w:lang w:val="es-ES_tradnl" w:eastAsia="es-CO"/>
        </w:rPr>
        <w:footnoteReference w:id="18"/>
      </w:r>
      <w:r w:rsidR="00CF044D" w:rsidRPr="00BF5C06">
        <w:rPr>
          <w:rFonts w:ascii="Century Gothic" w:eastAsia="MS Mincho" w:hAnsi="Century Gothic" w:cs="Arial"/>
          <w:sz w:val="21"/>
          <w:szCs w:val="21"/>
          <w:lang w:val="es-ES_tradnl" w:eastAsia="es-CO"/>
        </w:rPr>
        <w:t xml:space="preserve"> </w:t>
      </w:r>
    </w:p>
    <w:p w14:paraId="6D75ECF7" w14:textId="77777777" w:rsidR="00CF044D" w:rsidRDefault="00CF044D" w:rsidP="00CF044D">
      <w:pPr>
        <w:spacing w:before="120" w:after="0" w:line="276" w:lineRule="auto"/>
        <w:ind w:firstLine="708"/>
        <w:jc w:val="both"/>
        <w:rPr>
          <w:rFonts w:ascii="Century Gothic" w:eastAsia="MS Mincho" w:hAnsi="Century Gothic" w:cs="Arial"/>
          <w:lang w:val="es-ES_tradnl" w:eastAsia="es-CO"/>
        </w:rPr>
      </w:pPr>
    </w:p>
    <w:p w14:paraId="3D38F765" w14:textId="4E89ACAC" w:rsidR="0018369F" w:rsidRPr="004E4408" w:rsidRDefault="00922C6C" w:rsidP="00CF044D">
      <w:pPr>
        <w:spacing w:before="120" w:after="0" w:line="276" w:lineRule="auto"/>
        <w:ind w:firstLine="708"/>
        <w:jc w:val="both"/>
        <w:rPr>
          <w:rFonts w:ascii="Century Gothic" w:eastAsia="MS Mincho" w:hAnsi="Century Gothic" w:cs="Arial"/>
          <w:lang w:val="es-ES_tradnl" w:eastAsia="es-CO"/>
        </w:rPr>
      </w:pPr>
      <w:r>
        <w:rPr>
          <w:rFonts w:ascii="Century Gothic" w:eastAsia="MS Mincho" w:hAnsi="Century Gothic" w:cs="Arial"/>
          <w:lang w:val="es-ES_tradnl" w:eastAsia="es-CO"/>
        </w:rPr>
        <w:t xml:space="preserve">Sin perjuicio de esta clasificación, en el ámbito de la contratación estatal, </w:t>
      </w:r>
      <w:r w:rsidR="0018369F" w:rsidRPr="004E4408">
        <w:rPr>
          <w:rFonts w:ascii="Century Gothic" w:eastAsia="MS Mincho" w:hAnsi="Century Gothic" w:cs="Arial"/>
          <w:lang w:val="es-ES_tradnl" w:eastAsia="es-CO"/>
        </w:rPr>
        <w:t xml:space="preserve">el numeral 5º del artículo 32 de la Ley 80 de 1993, </w:t>
      </w:r>
      <w:bookmarkStart w:id="0" w:name="_Hlk132879473"/>
      <w:r w:rsidR="0018369F" w:rsidRPr="004E4408">
        <w:rPr>
          <w:rFonts w:ascii="Century Gothic" w:eastAsia="MS Mincho" w:hAnsi="Century Gothic" w:cs="Arial"/>
          <w:lang w:val="es-ES_tradnl" w:eastAsia="es-CO"/>
        </w:rPr>
        <w:t>regul</w:t>
      </w:r>
      <w:r>
        <w:rPr>
          <w:rFonts w:ascii="Century Gothic" w:eastAsia="MS Mincho" w:hAnsi="Century Gothic" w:cs="Arial"/>
          <w:lang w:val="es-ES_tradnl" w:eastAsia="es-CO"/>
        </w:rPr>
        <w:t>ó</w:t>
      </w:r>
      <w:r w:rsidR="0018369F" w:rsidRPr="004E4408">
        <w:rPr>
          <w:rFonts w:ascii="Century Gothic" w:eastAsia="MS Mincho" w:hAnsi="Century Gothic" w:cs="Arial"/>
          <w:lang w:val="es-ES_tradnl" w:eastAsia="es-CO"/>
        </w:rPr>
        <w:t xml:space="preserve"> el contrato de </w:t>
      </w:r>
      <w:r w:rsidR="0018369F" w:rsidRPr="004E4408">
        <w:rPr>
          <w:rFonts w:ascii="Century Gothic" w:eastAsia="MS Mincho" w:hAnsi="Century Gothic" w:cs="Arial"/>
          <w:i/>
          <w:iCs/>
          <w:lang w:val="es-ES_tradnl" w:eastAsia="es-CO"/>
        </w:rPr>
        <w:t>encargo fiduciario</w:t>
      </w:r>
      <w:r w:rsidR="0018369F" w:rsidRPr="004E4408">
        <w:rPr>
          <w:rFonts w:ascii="Century Gothic" w:eastAsia="MS Mincho" w:hAnsi="Century Gothic" w:cs="Arial"/>
          <w:lang w:val="es-ES_tradnl" w:eastAsia="es-CO"/>
        </w:rPr>
        <w:t xml:space="preserve"> y</w:t>
      </w:r>
      <w:r w:rsidR="00047083">
        <w:rPr>
          <w:rFonts w:ascii="Century Gothic" w:eastAsia="MS Mincho" w:hAnsi="Century Gothic" w:cs="Arial"/>
          <w:lang w:val="es-ES_tradnl" w:eastAsia="es-CO"/>
        </w:rPr>
        <w:t xml:space="preserve"> la</w:t>
      </w:r>
      <w:r w:rsidR="0018369F" w:rsidRPr="004E4408">
        <w:rPr>
          <w:rFonts w:ascii="Century Gothic" w:eastAsia="MS Mincho" w:hAnsi="Century Gothic" w:cs="Arial"/>
          <w:lang w:val="es-ES_tradnl" w:eastAsia="es-CO"/>
        </w:rPr>
        <w:t xml:space="preserve"> </w:t>
      </w:r>
      <w:r w:rsidR="0018369F" w:rsidRPr="004E4408">
        <w:rPr>
          <w:rFonts w:ascii="Century Gothic" w:eastAsia="MS Mincho" w:hAnsi="Century Gothic" w:cs="Arial"/>
          <w:i/>
          <w:iCs/>
          <w:lang w:val="es-ES_tradnl" w:eastAsia="es-CO"/>
        </w:rPr>
        <w:t>fiducia pública</w:t>
      </w:r>
      <w:r w:rsidR="0018369F" w:rsidRPr="004E4408">
        <w:rPr>
          <w:rFonts w:ascii="Century Gothic" w:eastAsia="MS Mincho" w:hAnsi="Century Gothic" w:cs="Arial"/>
          <w:lang w:val="es-ES_tradnl" w:eastAsia="es-CO"/>
        </w:rPr>
        <w:t xml:space="preserve">, así: </w:t>
      </w:r>
    </w:p>
    <w:bookmarkEnd w:id="0"/>
    <w:p w14:paraId="06DF5607" w14:textId="413E8B78" w:rsidR="0018369F" w:rsidRPr="004E4408" w:rsidRDefault="00D31674" w:rsidP="000A42C1">
      <w:pPr>
        <w:spacing w:before="240" w:after="120" w:line="240" w:lineRule="auto"/>
        <w:ind w:left="709" w:right="709"/>
        <w:jc w:val="both"/>
        <w:rPr>
          <w:rFonts w:ascii="Century Gothic" w:eastAsia="Calibri" w:hAnsi="Century Gothic" w:cs="Arial"/>
          <w:sz w:val="21"/>
          <w:szCs w:val="21"/>
          <w:lang w:val="es-ES_tradnl"/>
        </w:rPr>
      </w:pPr>
      <w:r w:rsidRPr="004E4408">
        <w:rPr>
          <w:rFonts w:ascii="Century Gothic" w:eastAsia="Calibri" w:hAnsi="Century Gothic" w:cs="Arial"/>
          <w:sz w:val="21"/>
          <w:szCs w:val="21"/>
          <w:lang w:val="es-ES_tradnl"/>
        </w:rPr>
        <w:t>“</w:t>
      </w:r>
      <w:r w:rsidR="0018369F" w:rsidRPr="004E4408">
        <w:rPr>
          <w:rFonts w:ascii="Century Gothic" w:eastAsia="Calibri" w:hAnsi="Century Gothic" w:cs="Arial"/>
          <w:sz w:val="21"/>
          <w:szCs w:val="21"/>
          <w:lang w:val="es-ES_tradnl"/>
        </w:rPr>
        <w:t>Los encargos fiduciarios que celebren las entidades estatales con las sociedades fiduciarias autorizadas por la Superintendencia Bancaria, tendrán por objeto la administración o el manejo de los recursos vinculados a los contratos que tales entidades celebren. Lo anterior sin perjuicio de lo previsto en el numeral 20 del artículo</w:t>
      </w:r>
      <w:r w:rsidRPr="004E4408">
        <w:rPr>
          <w:rFonts w:ascii="Century Gothic" w:eastAsia="Calibri" w:hAnsi="Century Gothic" w:cs="Arial"/>
          <w:sz w:val="21"/>
          <w:szCs w:val="21"/>
          <w:lang w:val="es-ES_tradnl"/>
        </w:rPr>
        <w:t xml:space="preserve"> </w:t>
      </w:r>
      <w:hyperlink r:id="rId12" w:anchor="25" w:history="1">
        <w:r w:rsidR="0018369F" w:rsidRPr="004E4408">
          <w:rPr>
            <w:rFonts w:ascii="Century Gothic" w:eastAsia="Calibri" w:hAnsi="Century Gothic" w:cs="Arial"/>
            <w:sz w:val="21"/>
            <w:szCs w:val="21"/>
            <w:lang w:val="es-ES_tradnl"/>
          </w:rPr>
          <w:t>25</w:t>
        </w:r>
      </w:hyperlink>
      <w:r w:rsidRPr="004E4408">
        <w:rPr>
          <w:rFonts w:ascii="Century Gothic" w:eastAsia="Calibri" w:hAnsi="Century Gothic" w:cs="Arial"/>
          <w:sz w:val="21"/>
          <w:szCs w:val="21"/>
          <w:lang w:val="es-ES_tradnl"/>
        </w:rPr>
        <w:t xml:space="preserve"> </w:t>
      </w:r>
      <w:r w:rsidR="0018369F" w:rsidRPr="004E4408">
        <w:rPr>
          <w:rFonts w:ascii="Century Gothic" w:eastAsia="Calibri" w:hAnsi="Century Gothic" w:cs="Arial"/>
          <w:sz w:val="21"/>
          <w:szCs w:val="21"/>
          <w:lang w:val="es-ES_tradnl"/>
        </w:rPr>
        <w:t>de esta ley.</w:t>
      </w:r>
    </w:p>
    <w:p w14:paraId="40F3FE52" w14:textId="25FF089C" w:rsidR="0018369F" w:rsidRPr="004E4408" w:rsidRDefault="0018369F" w:rsidP="0018369F">
      <w:pPr>
        <w:spacing w:after="120" w:line="240" w:lineRule="auto"/>
        <w:ind w:left="709" w:right="709"/>
        <w:jc w:val="both"/>
        <w:rPr>
          <w:rFonts w:ascii="Century Gothic" w:eastAsia="Calibri" w:hAnsi="Century Gothic" w:cs="Arial"/>
          <w:sz w:val="21"/>
          <w:szCs w:val="21"/>
          <w:lang w:val="es-ES_tradnl"/>
        </w:rPr>
      </w:pPr>
      <w:r w:rsidRPr="004E4408">
        <w:rPr>
          <w:rFonts w:ascii="Century Gothic" w:eastAsia="Calibri" w:hAnsi="Century Gothic" w:cs="Arial"/>
          <w:sz w:val="21"/>
          <w:szCs w:val="21"/>
          <w:lang w:val="es-ES_tradnl"/>
        </w:rPr>
        <w:t>Los encargos fiduciarios y los contratos de fiducia pública sólo podrán celebrarse por las entidades estatales con estricta sujeción a lo dispuesto en el presente estatuto, únicamente para objetos y con plazos precisamente determinados.</w:t>
      </w:r>
      <w:r w:rsidR="00D31674" w:rsidRPr="004E4408">
        <w:rPr>
          <w:rFonts w:ascii="Century Gothic" w:eastAsia="Calibri" w:hAnsi="Century Gothic" w:cs="Arial"/>
          <w:sz w:val="21"/>
          <w:szCs w:val="21"/>
          <w:lang w:val="es-ES_tradnl"/>
        </w:rPr>
        <w:t xml:space="preserve"> </w:t>
      </w:r>
      <w:r w:rsidRPr="004E4408">
        <w:rPr>
          <w:rFonts w:ascii="Century Gothic" w:eastAsia="Calibri" w:hAnsi="Century Gothic" w:cs="Arial"/>
          <w:sz w:val="21"/>
          <w:szCs w:val="21"/>
          <w:lang w:val="es-ES_tradnl"/>
        </w:rPr>
        <w:t>En ningún caso las entidades públicas fideicomitentes podrán delegar en las sociedades fiduciarias la adjudicación de los contratos que se celebren en desarrollo del encargo o de la fiducia pública, ni pactar su remuneración con cargo a los rendimientos del fideicomiso, salvo que éstos se encuentren presupuestados.</w:t>
      </w:r>
    </w:p>
    <w:p w14:paraId="6B7056F8" w14:textId="77777777" w:rsidR="0018369F" w:rsidRPr="004E4408" w:rsidRDefault="0018369F" w:rsidP="0018369F">
      <w:pPr>
        <w:spacing w:after="120" w:line="240" w:lineRule="auto"/>
        <w:ind w:left="709" w:right="709"/>
        <w:jc w:val="both"/>
        <w:rPr>
          <w:rFonts w:ascii="Century Gothic" w:eastAsia="Calibri" w:hAnsi="Century Gothic" w:cs="Arial"/>
          <w:sz w:val="21"/>
          <w:szCs w:val="21"/>
          <w:lang w:val="es-ES_tradnl"/>
        </w:rPr>
      </w:pPr>
      <w:r w:rsidRPr="004E4408">
        <w:rPr>
          <w:rFonts w:ascii="Century Gothic" w:eastAsia="Calibri" w:hAnsi="Century Gothic" w:cs="Arial"/>
          <w:sz w:val="21"/>
          <w:szCs w:val="21"/>
          <w:lang w:val="es-ES_tradnl"/>
        </w:rPr>
        <w:t>Los encargos fiduciarios y los contratos de fiducia mercantil que a la fecha de promulgación de esta ley hayan sido suscritos por las entidades estatales, continuarán vigentes en los términos convenidos con las sociedades fiduciarias.</w:t>
      </w:r>
    </w:p>
    <w:p w14:paraId="4FC5575D" w14:textId="77777777" w:rsidR="0018369F" w:rsidRPr="004E4408" w:rsidRDefault="0018369F" w:rsidP="0018369F">
      <w:pPr>
        <w:spacing w:after="120" w:line="240" w:lineRule="auto"/>
        <w:ind w:left="709" w:right="709"/>
        <w:jc w:val="both"/>
        <w:rPr>
          <w:rFonts w:ascii="Century Gothic" w:eastAsia="Calibri" w:hAnsi="Century Gothic" w:cs="Arial"/>
          <w:sz w:val="21"/>
          <w:szCs w:val="21"/>
          <w:lang w:val="es-ES_tradnl"/>
        </w:rPr>
      </w:pPr>
      <w:r w:rsidRPr="004E4408">
        <w:rPr>
          <w:rFonts w:ascii="Century Gothic" w:eastAsia="Calibri" w:hAnsi="Century Gothic" w:cs="Arial"/>
          <w:sz w:val="21"/>
          <w:szCs w:val="21"/>
          <w:lang w:val="es-ES_tradnl"/>
        </w:rPr>
        <w:t xml:space="preserve">La selección de las sociedades fiduciarias a </w:t>
      </w:r>
      <w:proofErr w:type="gramStart"/>
      <w:r w:rsidRPr="004E4408">
        <w:rPr>
          <w:rFonts w:ascii="Century Gothic" w:eastAsia="Calibri" w:hAnsi="Century Gothic" w:cs="Arial"/>
          <w:sz w:val="21"/>
          <w:szCs w:val="21"/>
          <w:lang w:val="es-ES_tradnl"/>
        </w:rPr>
        <w:t>contratar,</w:t>
      </w:r>
      <w:proofErr w:type="gramEnd"/>
      <w:r w:rsidRPr="004E4408">
        <w:rPr>
          <w:rFonts w:ascii="Century Gothic" w:eastAsia="Calibri" w:hAnsi="Century Gothic" w:cs="Arial"/>
          <w:sz w:val="21"/>
          <w:szCs w:val="21"/>
          <w:lang w:val="es-ES_tradnl"/>
        </w:rPr>
        <w:t xml:space="preserve"> sea pública o privada, se hará con rigurosa observancia del procedimiento de licitación o concurso previsto en esta ley. No obstante, los excedentes de tesorería de las entidades </w:t>
      </w:r>
      <w:proofErr w:type="gramStart"/>
      <w:r w:rsidRPr="004E4408">
        <w:rPr>
          <w:rFonts w:ascii="Century Gothic" w:eastAsia="Calibri" w:hAnsi="Century Gothic" w:cs="Arial"/>
          <w:sz w:val="21"/>
          <w:szCs w:val="21"/>
          <w:lang w:val="es-ES_tradnl"/>
        </w:rPr>
        <w:t>estatales,</w:t>
      </w:r>
      <w:proofErr w:type="gramEnd"/>
      <w:r w:rsidRPr="004E4408">
        <w:rPr>
          <w:rFonts w:ascii="Century Gothic" w:eastAsia="Calibri" w:hAnsi="Century Gothic" w:cs="Arial"/>
          <w:sz w:val="21"/>
          <w:szCs w:val="21"/>
          <w:lang w:val="es-ES_tradnl"/>
        </w:rPr>
        <w:t xml:space="preserve"> se podrán invertir directamente en fondos comunes ordinarios administrados por sociedades fiduciarias, sin necesidad de acudir a un proceso de licitación pública.</w:t>
      </w:r>
    </w:p>
    <w:p w14:paraId="60B55A95" w14:textId="77777777" w:rsidR="0018369F" w:rsidRPr="004E4408" w:rsidRDefault="0018369F" w:rsidP="0018369F">
      <w:pPr>
        <w:spacing w:after="120" w:line="240" w:lineRule="auto"/>
        <w:ind w:left="709" w:right="709"/>
        <w:jc w:val="both"/>
        <w:rPr>
          <w:rFonts w:ascii="Century Gothic" w:eastAsia="Calibri" w:hAnsi="Century Gothic" w:cs="Arial"/>
          <w:sz w:val="21"/>
          <w:szCs w:val="21"/>
          <w:lang w:val="es-ES_tradnl"/>
        </w:rPr>
      </w:pPr>
      <w:r w:rsidRPr="004E4408">
        <w:rPr>
          <w:rFonts w:ascii="Century Gothic" w:eastAsia="Calibri" w:hAnsi="Century Gothic" w:cs="Arial"/>
          <w:sz w:val="21"/>
          <w:szCs w:val="21"/>
          <w:lang w:val="es-ES_tradnl"/>
        </w:rPr>
        <w:t>Los actos y contratos que se realicen en desarrollo de un contrato de fiducia pública o encargo fiduciario cumplirán estrictamente con las normas previstas en este estatuto, así como con las disposiciones fiscales, presupuestales, de interventoría y de control a las cuales esté sujeta la entidad estatal fideicomitente.</w:t>
      </w:r>
    </w:p>
    <w:p w14:paraId="2860F121" w14:textId="77777777" w:rsidR="0018369F" w:rsidRPr="004E4408" w:rsidRDefault="0018369F" w:rsidP="0018369F">
      <w:pPr>
        <w:spacing w:after="120" w:line="240" w:lineRule="auto"/>
        <w:ind w:left="709" w:right="709"/>
        <w:jc w:val="both"/>
        <w:rPr>
          <w:rFonts w:ascii="Century Gothic" w:eastAsia="Calibri" w:hAnsi="Century Gothic" w:cs="Arial"/>
          <w:sz w:val="21"/>
          <w:szCs w:val="21"/>
          <w:lang w:val="es-ES_tradnl"/>
        </w:rPr>
      </w:pPr>
      <w:r w:rsidRPr="004E4408">
        <w:rPr>
          <w:rFonts w:ascii="Century Gothic" w:eastAsia="Calibri" w:hAnsi="Century Gothic" w:cs="Arial"/>
          <w:sz w:val="21"/>
          <w:szCs w:val="21"/>
          <w:lang w:val="es-ES_tradnl"/>
        </w:rPr>
        <w:t>Sin perjuicio de la inspección y vigilancia que sobre las sociedades fiduciarias corresponde ejercer a la Superintendencia Bancaria y del control posterior que deben realizar la Contraloría General de la República y las Contralorías Departamentales, Distritales y Municipales sobre la administración de los recursos públicos por tales sociedades, las entidades estatales ejercerán un control sobre la actuación de la sociedad fiduciaria en desarrollo de los encargos fiduciarios o contratos de fiducia, de acuerdo con la Constitución Política y las normas vigentes sobre la materia.</w:t>
      </w:r>
    </w:p>
    <w:p w14:paraId="2A0F4127" w14:textId="77777777" w:rsidR="0018369F" w:rsidRPr="004E4408" w:rsidRDefault="0018369F" w:rsidP="0018369F">
      <w:pPr>
        <w:spacing w:after="120" w:line="240" w:lineRule="auto"/>
        <w:ind w:left="709" w:right="709"/>
        <w:jc w:val="both"/>
        <w:rPr>
          <w:rFonts w:ascii="Century Gothic" w:eastAsia="Calibri" w:hAnsi="Century Gothic" w:cs="Arial"/>
          <w:sz w:val="21"/>
          <w:szCs w:val="21"/>
          <w:lang w:val="es-ES_tradnl"/>
        </w:rPr>
      </w:pPr>
      <w:r w:rsidRPr="004E4408">
        <w:rPr>
          <w:rFonts w:ascii="Century Gothic" w:eastAsia="Calibri" w:hAnsi="Century Gothic" w:cs="Arial"/>
          <w:sz w:val="21"/>
          <w:szCs w:val="21"/>
          <w:lang w:val="es-ES_tradnl"/>
        </w:rPr>
        <w:t xml:space="preserve">La fiducia que se autoriza para el sector público en esta </w:t>
      </w:r>
      <w:proofErr w:type="gramStart"/>
      <w:r w:rsidRPr="004E4408">
        <w:rPr>
          <w:rFonts w:ascii="Century Gothic" w:eastAsia="Calibri" w:hAnsi="Century Gothic" w:cs="Arial"/>
          <w:sz w:val="21"/>
          <w:szCs w:val="21"/>
          <w:lang w:val="es-ES_tradnl"/>
        </w:rPr>
        <w:t>ley,</w:t>
      </w:r>
      <w:proofErr w:type="gramEnd"/>
      <w:r w:rsidRPr="004E4408">
        <w:rPr>
          <w:rFonts w:ascii="Century Gothic" w:eastAsia="Calibri" w:hAnsi="Century Gothic" w:cs="Arial"/>
          <w:sz w:val="21"/>
          <w:szCs w:val="21"/>
          <w:lang w:val="es-ES_tradnl"/>
        </w:rPr>
        <w:t xml:space="preserve"> nunca implicará transferencia de dominio sobre bienes o recursos estatales, ni constituirá patrimonio autónomo del propio de la respectiva entidad oficial, sin perjuicio de las responsabilidades propias del ordenador del gasto.</w:t>
      </w:r>
    </w:p>
    <w:p w14:paraId="2643378E" w14:textId="77777777" w:rsidR="0018369F" w:rsidRPr="004E4408" w:rsidRDefault="0018369F" w:rsidP="0018369F">
      <w:pPr>
        <w:spacing w:after="120" w:line="240" w:lineRule="auto"/>
        <w:ind w:left="709" w:right="709"/>
        <w:jc w:val="both"/>
        <w:rPr>
          <w:rFonts w:ascii="Century Gothic" w:eastAsia="Calibri" w:hAnsi="Century Gothic" w:cs="Arial"/>
          <w:sz w:val="21"/>
          <w:szCs w:val="21"/>
          <w:lang w:val="es-ES_tradnl"/>
        </w:rPr>
      </w:pPr>
      <w:r w:rsidRPr="004E4408">
        <w:rPr>
          <w:rFonts w:ascii="Century Gothic" w:eastAsia="Calibri" w:hAnsi="Century Gothic" w:cs="Arial"/>
          <w:sz w:val="21"/>
          <w:szCs w:val="21"/>
          <w:lang w:val="es-ES_tradnl"/>
        </w:rPr>
        <w:t>A la fiducia pública le serán aplicables las normas del Código de Comercio sobre fiducia mercantil, en cuanto sean compatibles con lo dispuesto en esta ley.</w:t>
      </w:r>
    </w:p>
    <w:p w14:paraId="3A6897AB" w14:textId="3E7F436C" w:rsidR="0018369F" w:rsidRPr="004E4408" w:rsidRDefault="0018369F" w:rsidP="00D31674">
      <w:pPr>
        <w:spacing w:after="0" w:line="240" w:lineRule="auto"/>
        <w:ind w:left="709" w:right="709"/>
        <w:jc w:val="both"/>
        <w:rPr>
          <w:rFonts w:ascii="Century Gothic" w:eastAsia="MS Mincho" w:hAnsi="Century Gothic" w:cs="Arial"/>
          <w:sz w:val="21"/>
          <w:szCs w:val="21"/>
          <w:lang w:val="es-ES_tradnl" w:eastAsia="es-CO"/>
        </w:rPr>
      </w:pPr>
      <w:proofErr w:type="gramStart"/>
      <w:r w:rsidRPr="004E4408">
        <w:rPr>
          <w:rFonts w:ascii="Century Gothic" w:eastAsia="Calibri" w:hAnsi="Century Gothic" w:cs="Arial"/>
          <w:sz w:val="21"/>
          <w:szCs w:val="21"/>
          <w:lang w:val="es-ES_tradnl"/>
        </w:rPr>
        <w:t>So pena de nulidad no podrán</w:t>
      </w:r>
      <w:proofErr w:type="gramEnd"/>
      <w:r w:rsidRPr="004E4408">
        <w:rPr>
          <w:rFonts w:ascii="Century Gothic" w:eastAsia="Calibri" w:hAnsi="Century Gothic" w:cs="Arial"/>
          <w:sz w:val="21"/>
          <w:szCs w:val="21"/>
          <w:lang w:val="es-ES_tradnl"/>
        </w:rPr>
        <w:t xml:space="preserve"> celebrarse contratos de fiducia o subcontratos en contravención del artículo</w:t>
      </w:r>
      <w:r w:rsidR="00D31674" w:rsidRPr="004E4408">
        <w:rPr>
          <w:rFonts w:ascii="Century Gothic" w:eastAsia="Calibri" w:hAnsi="Century Gothic" w:cs="Arial"/>
          <w:sz w:val="21"/>
          <w:szCs w:val="21"/>
          <w:lang w:val="es-ES_tradnl"/>
        </w:rPr>
        <w:t xml:space="preserve"> </w:t>
      </w:r>
      <w:hyperlink r:id="rId13" w:anchor="355" w:history="1">
        <w:r w:rsidRPr="004E4408">
          <w:rPr>
            <w:rFonts w:ascii="Century Gothic" w:eastAsia="Calibri" w:hAnsi="Century Gothic" w:cs="Arial"/>
            <w:sz w:val="21"/>
            <w:szCs w:val="21"/>
            <w:lang w:val="es-ES_tradnl"/>
          </w:rPr>
          <w:t>355</w:t>
        </w:r>
      </w:hyperlink>
      <w:r w:rsidR="00D31674" w:rsidRPr="004E4408">
        <w:rPr>
          <w:rFonts w:ascii="Century Gothic" w:eastAsia="Calibri" w:hAnsi="Century Gothic" w:cs="Arial"/>
          <w:sz w:val="21"/>
          <w:szCs w:val="21"/>
          <w:lang w:val="es-ES_tradnl"/>
        </w:rPr>
        <w:t xml:space="preserve"> </w:t>
      </w:r>
      <w:r w:rsidRPr="004E4408">
        <w:rPr>
          <w:rFonts w:ascii="Century Gothic" w:eastAsia="Calibri" w:hAnsi="Century Gothic" w:cs="Arial"/>
          <w:sz w:val="21"/>
          <w:szCs w:val="21"/>
          <w:lang w:val="es-ES_tradnl"/>
        </w:rPr>
        <w:t>de la Constitución Política. Si tal evento se diese, la entidad fideicomitente deberá repetir contra la persona, natural o jurídica, adjudicataria del respectivo contrato.</w:t>
      </w:r>
      <w:r w:rsidR="00D31674" w:rsidRPr="004E4408">
        <w:rPr>
          <w:rFonts w:ascii="Century Gothic" w:eastAsia="Calibri" w:hAnsi="Century Gothic" w:cs="Arial"/>
          <w:sz w:val="21"/>
          <w:szCs w:val="21"/>
          <w:lang w:val="es-ES_tradnl"/>
        </w:rPr>
        <w:t xml:space="preserve"> </w:t>
      </w:r>
      <w:r w:rsidRPr="004E4408">
        <w:rPr>
          <w:rFonts w:ascii="Century Gothic" w:eastAsia="MS Mincho" w:hAnsi="Century Gothic" w:cs="Arial"/>
          <w:sz w:val="21"/>
          <w:szCs w:val="21"/>
          <w:lang w:val="es-ES_tradnl" w:eastAsia="es-CO"/>
        </w:rPr>
        <w:t>[…]</w:t>
      </w:r>
      <w:r w:rsidR="00D31674" w:rsidRPr="004E4408">
        <w:rPr>
          <w:rFonts w:ascii="Century Gothic" w:eastAsia="MS Mincho" w:hAnsi="Century Gothic" w:cs="Arial"/>
          <w:sz w:val="21"/>
          <w:szCs w:val="21"/>
          <w:lang w:val="es-ES_tradnl" w:eastAsia="es-CO"/>
        </w:rPr>
        <w:t>”</w:t>
      </w:r>
    </w:p>
    <w:p w14:paraId="598F472C" w14:textId="77777777" w:rsidR="0018369F" w:rsidRPr="004E4408" w:rsidRDefault="0018369F" w:rsidP="0018369F">
      <w:pPr>
        <w:spacing w:after="0" w:line="276" w:lineRule="auto"/>
        <w:ind w:firstLine="709"/>
        <w:jc w:val="both"/>
        <w:rPr>
          <w:rFonts w:ascii="Century Gothic" w:eastAsia="MS Mincho" w:hAnsi="Century Gothic" w:cs="Arial"/>
          <w:sz w:val="20"/>
          <w:szCs w:val="20"/>
          <w:lang w:val="es-ES_tradnl" w:eastAsia="es-CO"/>
        </w:rPr>
      </w:pPr>
    </w:p>
    <w:p w14:paraId="68AA4AD5" w14:textId="5C900B7F" w:rsidR="0018369F" w:rsidRPr="004E4408" w:rsidRDefault="0018369F" w:rsidP="00E93140">
      <w:pPr>
        <w:spacing w:after="120" w:line="276" w:lineRule="auto"/>
        <w:ind w:firstLine="708"/>
        <w:jc w:val="both"/>
        <w:rPr>
          <w:rFonts w:ascii="Century Gothic" w:eastAsia="MS Mincho" w:hAnsi="Century Gothic" w:cs="Arial"/>
          <w:lang w:val="es-ES_tradnl" w:eastAsia="es-CO"/>
        </w:rPr>
      </w:pPr>
      <w:r w:rsidRPr="004E4408">
        <w:rPr>
          <w:rFonts w:ascii="Century Gothic" w:eastAsia="MS Mincho" w:hAnsi="Century Gothic" w:cs="Arial"/>
          <w:lang w:val="es-ES_tradnl" w:eastAsia="es-CO"/>
        </w:rPr>
        <w:t xml:space="preserve">Dadas estas características particulares, </w:t>
      </w:r>
      <w:r w:rsidR="00820C44" w:rsidRPr="004E4408">
        <w:rPr>
          <w:rFonts w:ascii="Century Gothic" w:eastAsia="MS Mincho" w:hAnsi="Century Gothic" w:cs="Arial"/>
          <w:lang w:val="es-ES_tradnl" w:eastAsia="es-CO"/>
        </w:rPr>
        <w:t>es claro que el</w:t>
      </w:r>
      <w:r w:rsidRPr="004E4408">
        <w:rPr>
          <w:rFonts w:ascii="Century Gothic" w:eastAsia="MS Mincho" w:hAnsi="Century Gothic" w:cs="Arial"/>
          <w:lang w:val="es-ES_tradnl" w:eastAsia="es-CO"/>
        </w:rPr>
        <w:t xml:space="preserve"> contrato de </w:t>
      </w:r>
      <w:r w:rsidRPr="004E4408">
        <w:rPr>
          <w:rFonts w:ascii="Century Gothic" w:eastAsia="MS Mincho" w:hAnsi="Century Gothic" w:cs="Arial"/>
          <w:i/>
          <w:iCs/>
          <w:lang w:val="es-ES_tradnl" w:eastAsia="es-CO"/>
        </w:rPr>
        <w:t>fiducia mercantil</w:t>
      </w:r>
      <w:r w:rsidRPr="004E4408">
        <w:rPr>
          <w:rFonts w:ascii="Century Gothic" w:eastAsia="MS Mincho" w:hAnsi="Century Gothic" w:cs="Arial"/>
          <w:lang w:val="es-ES_tradnl" w:eastAsia="es-CO"/>
        </w:rPr>
        <w:t xml:space="preserve"> es diferente del contrato de </w:t>
      </w:r>
      <w:r w:rsidRPr="004E4408">
        <w:rPr>
          <w:rFonts w:ascii="Century Gothic" w:eastAsia="MS Mincho" w:hAnsi="Century Gothic" w:cs="Arial"/>
          <w:i/>
          <w:iCs/>
          <w:lang w:val="es-ES_tradnl" w:eastAsia="es-CO"/>
        </w:rPr>
        <w:t>fiducia pública</w:t>
      </w:r>
      <w:r w:rsidRPr="004E4408">
        <w:rPr>
          <w:rFonts w:ascii="Century Gothic" w:eastAsia="MS Mincho" w:hAnsi="Century Gothic" w:cs="Arial"/>
          <w:lang w:val="es-ES_tradnl" w:eastAsia="es-CO"/>
        </w:rPr>
        <w:t>, regulado en el numeral 5º del artículo 32 de la Ley 80 de 1993</w:t>
      </w:r>
      <w:r w:rsidR="002A79B1">
        <w:rPr>
          <w:rFonts w:ascii="Century Gothic" w:eastAsia="MS Mincho" w:hAnsi="Century Gothic" w:cs="Arial"/>
          <w:lang w:val="es-ES_tradnl" w:eastAsia="es-CO"/>
        </w:rPr>
        <w:t xml:space="preserve">, </w:t>
      </w:r>
      <w:r w:rsidRPr="004E4408">
        <w:rPr>
          <w:rFonts w:ascii="Century Gothic" w:eastAsia="MS Mincho" w:hAnsi="Century Gothic" w:cs="Arial"/>
          <w:lang w:val="es-ES_tradnl" w:eastAsia="es-CO"/>
        </w:rPr>
        <w:t>pues est</w:t>
      </w:r>
      <w:r w:rsidR="002A79B1">
        <w:rPr>
          <w:rFonts w:ascii="Century Gothic" w:eastAsia="MS Mincho" w:hAnsi="Century Gothic" w:cs="Arial"/>
          <w:lang w:val="es-ES_tradnl" w:eastAsia="es-CO"/>
        </w:rPr>
        <w:t>e</w:t>
      </w:r>
      <w:r w:rsidR="00706CE1">
        <w:rPr>
          <w:rFonts w:ascii="Century Gothic" w:eastAsia="MS Mincho" w:hAnsi="Century Gothic" w:cs="Arial"/>
          <w:spacing w:val="52"/>
          <w:lang w:val="es-ES_tradnl" w:eastAsia="es-CO"/>
        </w:rPr>
        <w:t xml:space="preserve"> </w:t>
      </w:r>
      <w:r w:rsidR="00706CE1" w:rsidRPr="00706CE1">
        <w:rPr>
          <w:rFonts w:ascii="Century Gothic" w:hAnsi="Century Gothic"/>
        </w:rPr>
        <w:t>último</w:t>
      </w:r>
      <w:r w:rsidR="00706CE1" w:rsidRPr="004E4408">
        <w:rPr>
          <w:rFonts w:ascii="Century Gothic" w:eastAsia="MS Mincho" w:hAnsi="Century Gothic" w:cs="Arial"/>
          <w:lang w:val="es-ES_tradnl" w:eastAsia="es-CO"/>
        </w:rPr>
        <w:t xml:space="preserve"> “</w:t>
      </w:r>
      <w:r w:rsidRPr="004E4408">
        <w:rPr>
          <w:rFonts w:ascii="Century Gothic" w:eastAsia="MS Mincho" w:hAnsi="Century Gothic" w:cs="Arial"/>
          <w:lang w:val="es-ES_tradnl" w:eastAsia="es-CO"/>
        </w:rPr>
        <w:t>nunca implicará transferencia de dominio sobre bienes o recursos estatales, ni constituirá patrimonio autónomo del propio de la respectiva entidad oficial</w:t>
      </w:r>
      <w:r w:rsidR="00D31674" w:rsidRPr="004E4408">
        <w:rPr>
          <w:rFonts w:ascii="Century Gothic" w:eastAsia="MS Mincho" w:hAnsi="Century Gothic" w:cs="Arial"/>
          <w:lang w:val="es-ES_tradnl" w:eastAsia="es-CO"/>
        </w:rPr>
        <w:t>”</w:t>
      </w:r>
      <w:r w:rsidRPr="004E4408">
        <w:rPr>
          <w:rFonts w:ascii="Century Gothic" w:eastAsia="MS Mincho" w:hAnsi="Century Gothic" w:cs="Arial"/>
          <w:lang w:val="es-ES_tradnl" w:eastAsia="es-CO"/>
        </w:rPr>
        <w:t>. Así lo consideró la Corte Constitucional, en la sentencia C-086 de 1995, al señalar que la Ley 80 de 1993 creó un contrato nuevo y autónomo al del Código de</w:t>
      </w:r>
      <w:r w:rsidRPr="004E4408">
        <w:rPr>
          <w:rFonts w:ascii="Century Gothic" w:eastAsia="MS Mincho" w:hAnsi="Century Gothic" w:cs="Arial"/>
          <w:spacing w:val="-27"/>
          <w:lang w:val="es-ES_tradnl" w:eastAsia="es-CO"/>
        </w:rPr>
        <w:t xml:space="preserve"> </w:t>
      </w:r>
      <w:r w:rsidRPr="004E4408">
        <w:rPr>
          <w:rFonts w:ascii="Century Gothic" w:eastAsia="MS Mincho" w:hAnsi="Century Gothic" w:cs="Arial"/>
          <w:lang w:val="es-ES_tradnl" w:eastAsia="es-CO"/>
        </w:rPr>
        <w:t>Comercio</w:t>
      </w:r>
      <w:r w:rsidRPr="004E4408">
        <w:rPr>
          <w:rFonts w:ascii="Century Gothic" w:eastAsia="MS Mincho" w:hAnsi="Century Gothic" w:cs="Arial"/>
          <w:vertAlign w:val="superscript"/>
          <w:lang w:val="es-ES_tradnl" w:eastAsia="es-CO"/>
        </w:rPr>
        <w:footnoteReference w:id="19"/>
      </w:r>
      <w:r w:rsidRPr="004E4408">
        <w:rPr>
          <w:rFonts w:ascii="Century Gothic" w:eastAsia="MS Mincho" w:hAnsi="Century Gothic" w:cs="Arial"/>
          <w:lang w:val="es-ES_tradnl" w:eastAsia="es-CO"/>
        </w:rPr>
        <w:t xml:space="preserve">. </w:t>
      </w:r>
    </w:p>
    <w:p w14:paraId="14BE17DA" w14:textId="6C4301F5" w:rsidR="0018369F" w:rsidRPr="004E4408" w:rsidRDefault="0018369F" w:rsidP="009E17B2">
      <w:pPr>
        <w:spacing w:after="0" w:line="276" w:lineRule="auto"/>
        <w:ind w:firstLine="708"/>
        <w:jc w:val="both"/>
        <w:rPr>
          <w:rFonts w:ascii="Century Gothic" w:eastAsia="MS Mincho" w:hAnsi="Century Gothic" w:cs="Arial"/>
          <w:lang w:val="es-ES_tradnl" w:eastAsia="es-CO"/>
        </w:rPr>
      </w:pPr>
      <w:r w:rsidRPr="004E4408">
        <w:rPr>
          <w:rFonts w:ascii="Century Gothic" w:eastAsia="MS Mincho" w:hAnsi="Century Gothic" w:cs="Arial"/>
          <w:lang w:val="es-ES_tradnl" w:eastAsia="es-CO"/>
        </w:rPr>
        <w:t xml:space="preserve">Al respecto, es necesario subrayar que debido al </w:t>
      </w:r>
      <w:r w:rsidRPr="004E4408">
        <w:rPr>
          <w:rFonts w:ascii="Century Gothic" w:eastAsia="MS Mincho" w:hAnsi="Century Gothic" w:cs="Arial"/>
          <w:bCs/>
          <w:lang w:val="es-ES_tradnl" w:eastAsia="es-CO"/>
        </w:rPr>
        <w:t xml:space="preserve">no traspaso de la propiedad, ni la constitución de un patrimonio autónomo que caracteriza a este contrato, la Corte Constitucional señala que </w:t>
      </w:r>
      <w:r w:rsidRPr="004E4408">
        <w:rPr>
          <w:rFonts w:ascii="Century Gothic" w:eastAsia="MS Mincho" w:hAnsi="Century Gothic" w:cs="Arial"/>
          <w:lang w:val="es-ES_tradnl" w:eastAsia="es-CO"/>
        </w:rPr>
        <w:t xml:space="preserve">es </w:t>
      </w:r>
      <w:r w:rsidRPr="004E4408">
        <w:rPr>
          <w:rFonts w:ascii="Century Gothic" w:eastAsia="MS Mincho" w:hAnsi="Century Gothic" w:cs="Arial"/>
          <w:bCs/>
          <w:lang w:val="es-ES_tradnl" w:eastAsia="es-CO"/>
        </w:rPr>
        <w:t>más parecido a un encargo fiduciario que a una fiducia</w:t>
      </w:r>
      <w:r w:rsidRPr="004E4408">
        <w:rPr>
          <w:rFonts w:ascii="Century Gothic" w:eastAsia="MS Mincho" w:hAnsi="Century Gothic" w:cs="Arial"/>
          <w:lang w:val="es-ES_tradnl" w:eastAsia="es-CO"/>
        </w:rPr>
        <w:t xml:space="preserve">. No obstante, según el Consejo de Estado estas dos figuras se distinguen pues, además que la fiducia </w:t>
      </w:r>
      <w:r w:rsidR="00D72642" w:rsidRPr="004E4408">
        <w:rPr>
          <w:rFonts w:ascii="Century Gothic" w:eastAsia="MS Mincho" w:hAnsi="Century Gothic" w:cs="Arial"/>
          <w:lang w:val="es-ES_tradnl" w:eastAsia="es-CO"/>
        </w:rPr>
        <w:t xml:space="preserve">pública </w:t>
      </w:r>
      <w:r w:rsidRPr="004E4408">
        <w:rPr>
          <w:rFonts w:ascii="Century Gothic" w:eastAsia="MS Mincho" w:hAnsi="Century Gothic" w:cs="Arial"/>
          <w:lang w:val="es-ES_tradnl" w:eastAsia="es-CO"/>
        </w:rPr>
        <w:t>es un contrato nuevo y autónomo, el inciso primero del numeral 5 del artículo 32 de la Ley 80 de 1993 limita el objeto del encargo fiduciario a la administración o el manejo</w:t>
      </w:r>
      <w:r w:rsidR="009E17B2" w:rsidRPr="004E4408">
        <w:rPr>
          <w:rFonts w:ascii="Century Gothic" w:eastAsia="MS Mincho" w:hAnsi="Century Gothic" w:cs="Arial"/>
          <w:lang w:val="es-ES_tradnl" w:eastAsia="es-CO"/>
        </w:rPr>
        <w:t xml:space="preserve"> </w:t>
      </w:r>
      <w:r w:rsidRPr="004E4408">
        <w:rPr>
          <w:rFonts w:ascii="Century Gothic" w:eastAsia="MS Mincho" w:hAnsi="Century Gothic" w:cs="Arial"/>
          <w:lang w:val="es-ES_tradnl" w:eastAsia="es-CO"/>
        </w:rPr>
        <w:t>de los recursos vinculados a los contratos que tales entidades celebren, sin perjuicio de lo previsto en el numeral 20 del artículo</w:t>
      </w:r>
      <w:r w:rsidR="009E17B2" w:rsidRPr="004E4408">
        <w:rPr>
          <w:rFonts w:ascii="Century Gothic" w:eastAsia="MS Mincho" w:hAnsi="Century Gothic" w:cs="Arial"/>
          <w:lang w:val="es-ES_tradnl" w:eastAsia="es-CO"/>
        </w:rPr>
        <w:t xml:space="preserve"> </w:t>
      </w:r>
      <w:hyperlink r:id="rId14" w:anchor="25" w:history="1">
        <w:r w:rsidRPr="004E4408">
          <w:rPr>
            <w:rFonts w:ascii="Century Gothic" w:eastAsia="MS Mincho" w:hAnsi="Century Gothic" w:cs="Arial"/>
            <w:lang w:val="es-ES_tradnl" w:eastAsia="es-CO"/>
          </w:rPr>
          <w:t>25</w:t>
        </w:r>
      </w:hyperlink>
      <w:r w:rsidR="009E17B2" w:rsidRPr="004E4408">
        <w:rPr>
          <w:rFonts w:ascii="Century Gothic" w:eastAsia="MS Mincho" w:hAnsi="Century Gothic" w:cs="Arial"/>
          <w:lang w:val="es-ES_tradnl" w:eastAsia="es-CO"/>
        </w:rPr>
        <w:t xml:space="preserve"> </w:t>
      </w:r>
      <w:r w:rsidRPr="004E4408">
        <w:rPr>
          <w:rFonts w:ascii="Century Gothic" w:eastAsia="MS Mincho" w:hAnsi="Century Gothic" w:cs="Arial"/>
          <w:lang w:val="es-ES_tradnl" w:eastAsia="es-CO"/>
        </w:rPr>
        <w:t xml:space="preserve">de dicha ley. Así lo consideró el Consejo de Estado señaló al señalar lo siguiente: </w:t>
      </w:r>
    </w:p>
    <w:p w14:paraId="5BA5C5BC" w14:textId="77777777" w:rsidR="0018369F" w:rsidRPr="004E4408" w:rsidRDefault="0018369F" w:rsidP="0018369F">
      <w:pPr>
        <w:spacing w:after="0" w:line="276" w:lineRule="auto"/>
        <w:ind w:firstLine="709"/>
        <w:jc w:val="both"/>
        <w:rPr>
          <w:rFonts w:ascii="Century Gothic" w:eastAsia="MS Mincho" w:hAnsi="Century Gothic" w:cs="Arial"/>
          <w:lang w:val="es-ES_tradnl" w:eastAsia="es-CO"/>
        </w:rPr>
      </w:pPr>
    </w:p>
    <w:p w14:paraId="62A3E951" w14:textId="65A6DA2B" w:rsidR="0018369F" w:rsidRPr="004E4408" w:rsidRDefault="00D31674" w:rsidP="0018369F">
      <w:pPr>
        <w:spacing w:after="0" w:line="240" w:lineRule="auto"/>
        <w:ind w:left="709" w:right="709"/>
        <w:jc w:val="both"/>
        <w:rPr>
          <w:rFonts w:ascii="Century Gothic" w:eastAsia="Calibri" w:hAnsi="Century Gothic" w:cs="Arial"/>
          <w:sz w:val="21"/>
          <w:szCs w:val="21"/>
          <w:lang w:val="es-ES_tradnl"/>
        </w:rPr>
      </w:pPr>
      <w:r w:rsidRPr="004E4408">
        <w:rPr>
          <w:rFonts w:ascii="Century Gothic" w:eastAsia="Calibri" w:hAnsi="Century Gothic" w:cs="Arial"/>
          <w:sz w:val="21"/>
          <w:szCs w:val="21"/>
          <w:lang w:val="es-ES_tradnl"/>
        </w:rPr>
        <w:t>“</w:t>
      </w:r>
      <w:r w:rsidR="0018369F" w:rsidRPr="004E4408">
        <w:rPr>
          <w:rFonts w:ascii="Century Gothic" w:eastAsia="Calibri" w:hAnsi="Century Gothic" w:cs="Arial"/>
          <w:sz w:val="21"/>
          <w:szCs w:val="21"/>
          <w:lang w:val="es-ES_tradnl"/>
        </w:rPr>
        <w:t xml:space="preserve">Una interpretación armónica de las normas de la ley 80 sobre el tema, conduce a establecer dos modalidades de negocio fiduciario que pueden contratar las entidades estatales, a saber: Los </w:t>
      </w:r>
      <w:r w:rsidR="0018369F" w:rsidRPr="004E4408">
        <w:rPr>
          <w:rFonts w:ascii="Century Gothic" w:eastAsia="Calibri" w:hAnsi="Century Gothic" w:cs="Arial"/>
          <w:i/>
          <w:iCs/>
          <w:sz w:val="21"/>
          <w:szCs w:val="21"/>
          <w:lang w:val="es-ES_tradnl"/>
        </w:rPr>
        <w:t>encargos fiduciarios</w:t>
      </w:r>
      <w:r w:rsidR="0018369F" w:rsidRPr="004E4408">
        <w:rPr>
          <w:rFonts w:ascii="Century Gothic" w:eastAsia="Calibri" w:hAnsi="Century Gothic" w:cs="Arial"/>
          <w:sz w:val="21"/>
          <w:szCs w:val="21"/>
          <w:lang w:val="es-ES_tradnl"/>
        </w:rPr>
        <w:t xml:space="preserve">, figura en la cual no hay transferencia de la propiedad de los bienes fideicomitidos. La ley 80 de 1993 la autoriza solamente para administrar o manejar los recursos vinculados a contratos que las entidades estatales celebren (art. 32-5º inc. 3º), lo cual se encuentra en consonancia con la disposición según la cual los pagos correspondientes a los contratos celebrados por las entidades para la prestación de los servicios de salud, se pueden hacer mediante encargos fiduciarios (art. 24-1º letra l ) y con aquella que establece que los fondos destinados a la cancelación de obligaciones derivadas de contratos estatales pueden ser entregados en administración fiduciaria (art. 25-20). </w:t>
      </w:r>
    </w:p>
    <w:p w14:paraId="453AAC9B" w14:textId="77777777" w:rsidR="0018369F" w:rsidRPr="004E4408" w:rsidRDefault="0018369F" w:rsidP="0018369F">
      <w:pPr>
        <w:spacing w:after="0" w:line="240" w:lineRule="auto"/>
        <w:ind w:left="709" w:right="709"/>
        <w:jc w:val="both"/>
        <w:rPr>
          <w:rFonts w:ascii="Century Gothic" w:eastAsia="Calibri" w:hAnsi="Century Gothic" w:cs="Arial"/>
          <w:sz w:val="21"/>
          <w:szCs w:val="21"/>
          <w:lang w:val="es-ES_tradnl"/>
        </w:rPr>
      </w:pPr>
    </w:p>
    <w:p w14:paraId="76FC95FD" w14:textId="79264F5A" w:rsidR="0018369F" w:rsidRPr="004E4408" w:rsidRDefault="0018369F" w:rsidP="0018369F">
      <w:pPr>
        <w:spacing w:after="0" w:line="240" w:lineRule="auto"/>
        <w:ind w:left="709" w:right="709"/>
        <w:jc w:val="both"/>
        <w:rPr>
          <w:rFonts w:ascii="Century Gothic" w:eastAsia="Calibri" w:hAnsi="Century Gothic" w:cs="Arial"/>
          <w:sz w:val="21"/>
          <w:szCs w:val="21"/>
          <w:lang w:val="es-ES_tradnl"/>
        </w:rPr>
      </w:pPr>
      <w:r w:rsidRPr="004E4408">
        <w:rPr>
          <w:rFonts w:ascii="Century Gothic" w:eastAsia="Calibri" w:hAnsi="Century Gothic" w:cs="Arial"/>
          <w:sz w:val="21"/>
          <w:szCs w:val="21"/>
          <w:lang w:val="es-ES_tradnl"/>
        </w:rPr>
        <w:t xml:space="preserve">La </w:t>
      </w:r>
      <w:r w:rsidRPr="004E4408">
        <w:rPr>
          <w:rFonts w:ascii="Century Gothic" w:eastAsia="Calibri" w:hAnsi="Century Gothic" w:cs="Arial"/>
          <w:i/>
          <w:iCs/>
          <w:sz w:val="21"/>
          <w:szCs w:val="21"/>
          <w:lang w:val="es-ES_tradnl"/>
        </w:rPr>
        <w:t>fiducia pública</w:t>
      </w:r>
      <w:r w:rsidRPr="004E4408">
        <w:rPr>
          <w:rFonts w:ascii="Century Gothic" w:eastAsia="Calibri" w:hAnsi="Century Gothic" w:cs="Arial"/>
          <w:sz w:val="21"/>
          <w:szCs w:val="21"/>
          <w:lang w:val="es-ES_tradnl"/>
        </w:rPr>
        <w:t>, la cual constituye una nueva figura jurídica, creada por la ley 80 de 1993, y que si bien porta el nombre de fiducia se diferencia en varios elementos esenciales de la tradicional fiducia mercantil</w:t>
      </w:r>
      <w:r w:rsidR="00D31674" w:rsidRPr="004E4408">
        <w:rPr>
          <w:rFonts w:ascii="Century Gothic" w:eastAsia="Calibri" w:hAnsi="Century Gothic" w:cs="Arial"/>
          <w:sz w:val="21"/>
          <w:szCs w:val="21"/>
          <w:lang w:val="es-ES_tradnl"/>
        </w:rPr>
        <w:t>”</w:t>
      </w:r>
      <w:r w:rsidRPr="004E4408">
        <w:rPr>
          <w:rFonts w:ascii="Century Gothic" w:eastAsia="Calibri" w:hAnsi="Century Gothic" w:cs="Arial"/>
          <w:sz w:val="21"/>
          <w:szCs w:val="21"/>
          <w:vertAlign w:val="superscript"/>
          <w:lang w:val="es-ES_tradnl"/>
        </w:rPr>
        <w:footnoteReference w:id="20"/>
      </w:r>
      <w:r w:rsidRPr="004E4408">
        <w:rPr>
          <w:rFonts w:ascii="Century Gothic" w:eastAsia="Calibri" w:hAnsi="Century Gothic" w:cs="Arial"/>
          <w:sz w:val="21"/>
          <w:szCs w:val="21"/>
          <w:lang w:val="es-ES_tradnl"/>
        </w:rPr>
        <w:t>. (Cursiva fuera del original)</w:t>
      </w:r>
    </w:p>
    <w:p w14:paraId="53130963" w14:textId="77777777" w:rsidR="0018369F" w:rsidRPr="004E4408" w:rsidRDefault="0018369F" w:rsidP="0018369F">
      <w:pPr>
        <w:spacing w:after="0" w:line="240" w:lineRule="auto"/>
        <w:ind w:left="709" w:right="709"/>
        <w:jc w:val="both"/>
        <w:rPr>
          <w:rFonts w:ascii="Century Gothic" w:eastAsia="Calibri" w:hAnsi="Century Gothic" w:cs="Arial"/>
          <w:sz w:val="21"/>
          <w:szCs w:val="21"/>
          <w:lang w:val="es-ES_tradnl"/>
        </w:rPr>
      </w:pPr>
    </w:p>
    <w:p w14:paraId="4BA669B5" w14:textId="5128B038" w:rsidR="00A37FEC" w:rsidRPr="004E4408" w:rsidRDefault="0018369F" w:rsidP="00E81F6F">
      <w:pPr>
        <w:spacing w:after="120" w:line="276" w:lineRule="auto"/>
        <w:ind w:firstLine="708"/>
        <w:jc w:val="both"/>
        <w:rPr>
          <w:rFonts w:ascii="Century Gothic" w:eastAsia="MS Mincho" w:hAnsi="Century Gothic" w:cs="Arial"/>
          <w:lang w:val="es-ES_tradnl" w:eastAsia="es-CO"/>
        </w:rPr>
      </w:pPr>
      <w:r w:rsidRPr="004E4408">
        <w:rPr>
          <w:rFonts w:ascii="Century Gothic" w:eastAsia="MS Mincho" w:hAnsi="Century Gothic" w:cs="Arial"/>
          <w:lang w:val="es-ES_tradnl" w:eastAsia="es-CO"/>
        </w:rPr>
        <w:t>De esta manera,</w:t>
      </w:r>
      <w:r w:rsidR="00A37FEC">
        <w:rPr>
          <w:rFonts w:ascii="Century Gothic" w:eastAsia="MS Mincho" w:hAnsi="Century Gothic" w:cs="Arial"/>
          <w:lang w:val="es-ES_tradnl" w:eastAsia="es-CO"/>
        </w:rPr>
        <w:t xml:space="preserve"> </w:t>
      </w:r>
      <w:r w:rsidR="00A37FEC" w:rsidRPr="004E4408">
        <w:rPr>
          <w:rFonts w:ascii="Century Gothic" w:eastAsia="MS Mincho" w:hAnsi="Century Gothic" w:cs="Arial"/>
          <w:lang w:val="es-ES_tradnl" w:eastAsia="es-CO"/>
        </w:rPr>
        <w:t xml:space="preserve">las entidades estatales pueden suscribir tanto contratos de fiducia pública como encargos fiduciarios, </w:t>
      </w:r>
      <w:r w:rsidR="00E81F6F">
        <w:rPr>
          <w:rFonts w:ascii="Century Gothic" w:eastAsia="MS Mincho" w:hAnsi="Century Gothic" w:cs="Arial"/>
          <w:lang w:val="es-ES_tradnl" w:eastAsia="es-CO"/>
        </w:rPr>
        <w:t xml:space="preserve">sin perjuicio de que pueda suscribir </w:t>
      </w:r>
      <w:r w:rsidR="00985E76">
        <w:rPr>
          <w:rFonts w:ascii="Century Gothic" w:eastAsia="MS Mincho" w:hAnsi="Century Gothic" w:cs="Arial"/>
          <w:lang w:val="es-ES_tradnl" w:eastAsia="es-CO"/>
        </w:rPr>
        <w:t xml:space="preserve">también </w:t>
      </w:r>
      <w:r w:rsidR="00E81F6F">
        <w:rPr>
          <w:rFonts w:ascii="Century Gothic" w:eastAsia="MS Mincho" w:hAnsi="Century Gothic" w:cs="Arial"/>
          <w:lang w:val="es-ES_tradnl" w:eastAsia="es-CO"/>
        </w:rPr>
        <w:t>contratos de fiducia mercantil, conforme a lo analizado por la Corte Constitucional e</w:t>
      </w:r>
      <w:r w:rsidR="004B1C35">
        <w:rPr>
          <w:rFonts w:ascii="Century Gothic" w:eastAsia="MS Mincho" w:hAnsi="Century Gothic" w:cs="Arial"/>
          <w:lang w:val="es-ES_tradnl" w:eastAsia="es-CO"/>
        </w:rPr>
        <w:t>n la sentencia</w:t>
      </w:r>
      <w:r w:rsidR="00A37FEC" w:rsidRPr="004E4408">
        <w:rPr>
          <w:rFonts w:ascii="Century Gothic" w:eastAsia="MS Mincho" w:hAnsi="Century Gothic" w:cs="Arial"/>
          <w:lang w:val="es-ES_tradnl" w:eastAsia="es-CO"/>
        </w:rPr>
        <w:t xml:space="preserve"> </w:t>
      </w:r>
      <w:r w:rsidR="004B1C35" w:rsidRPr="004E4408">
        <w:rPr>
          <w:rFonts w:ascii="Century Gothic" w:eastAsia="MS Mincho" w:hAnsi="Century Gothic" w:cs="Arial"/>
          <w:lang w:val="es-ES_tradnl" w:eastAsia="es-CO"/>
        </w:rPr>
        <w:t>C-086 de 1995</w:t>
      </w:r>
      <w:r w:rsidR="00985E76">
        <w:rPr>
          <w:rFonts w:ascii="Century Gothic" w:eastAsia="MS Mincho" w:hAnsi="Century Gothic" w:cs="Arial"/>
          <w:lang w:val="es-ES_tradnl" w:eastAsia="es-CO"/>
        </w:rPr>
        <w:t xml:space="preserve">. </w:t>
      </w:r>
      <w:r w:rsidR="00A37FEC" w:rsidRPr="004E4408">
        <w:rPr>
          <w:rFonts w:ascii="Century Gothic" w:eastAsia="MS Mincho" w:hAnsi="Century Gothic" w:cs="Arial"/>
          <w:lang w:val="es-ES_tradnl" w:eastAsia="es-CO"/>
        </w:rPr>
        <w:t>Sin embargo,</w:t>
      </w:r>
      <w:r w:rsidR="005D7E43">
        <w:rPr>
          <w:rFonts w:ascii="Century Gothic" w:eastAsia="MS Mincho" w:hAnsi="Century Gothic" w:cs="Arial"/>
          <w:lang w:val="es-ES_tradnl" w:eastAsia="es-CO"/>
        </w:rPr>
        <w:t xml:space="preserve"> frente a esta última tipología contractual</w:t>
      </w:r>
      <w:r w:rsidR="00A37FEC" w:rsidRPr="004E4408">
        <w:rPr>
          <w:rFonts w:ascii="Century Gothic" w:eastAsia="MS Mincho" w:hAnsi="Century Gothic" w:cs="Arial"/>
          <w:lang w:val="es-ES_tradnl" w:eastAsia="es-CO"/>
        </w:rPr>
        <w:t xml:space="preserve"> el Consejo de Estado </w:t>
      </w:r>
      <w:r w:rsidR="00B059EB">
        <w:rPr>
          <w:rFonts w:ascii="Century Gothic" w:eastAsia="MS Mincho" w:hAnsi="Century Gothic" w:cs="Arial"/>
          <w:lang w:val="es-ES_tradnl" w:eastAsia="es-CO"/>
        </w:rPr>
        <w:t xml:space="preserve">ha sido enfático en señalar </w:t>
      </w:r>
      <w:r w:rsidR="00A37FEC" w:rsidRPr="004E4408">
        <w:rPr>
          <w:rFonts w:ascii="Century Gothic" w:eastAsia="MS Mincho" w:hAnsi="Century Gothic" w:cs="Arial"/>
          <w:lang w:val="es-ES_tradnl" w:eastAsia="es-CO"/>
        </w:rPr>
        <w:t xml:space="preserve">que la Ley 80 de </w:t>
      </w:r>
      <w:r w:rsidR="007202FA">
        <w:rPr>
          <w:rFonts w:ascii="Century Gothic" w:eastAsia="MS Mincho" w:hAnsi="Century Gothic" w:cs="Arial"/>
          <w:lang w:val="es-ES_tradnl" w:eastAsia="es-CO"/>
        </w:rPr>
        <w:t xml:space="preserve">1993 </w:t>
      </w:r>
      <w:r w:rsidR="00B059EB">
        <w:rPr>
          <w:rFonts w:ascii="Century Gothic" w:eastAsia="MS Mincho" w:hAnsi="Century Gothic" w:cs="Arial"/>
          <w:lang w:val="es-ES_tradnl" w:eastAsia="es-CO"/>
        </w:rPr>
        <w:t xml:space="preserve">restringió </w:t>
      </w:r>
      <w:r w:rsidR="007202FA">
        <w:rPr>
          <w:rFonts w:ascii="Century Gothic" w:eastAsia="MS Mincho" w:hAnsi="Century Gothic" w:cs="Arial"/>
          <w:lang w:val="es-ES_tradnl" w:eastAsia="es-CO"/>
        </w:rPr>
        <w:t>su</w:t>
      </w:r>
      <w:r w:rsidR="00B059EB">
        <w:rPr>
          <w:rFonts w:ascii="Century Gothic" w:eastAsia="MS Mincho" w:hAnsi="Century Gothic" w:cs="Arial"/>
          <w:lang w:val="es-ES_tradnl" w:eastAsia="es-CO"/>
        </w:rPr>
        <w:t xml:space="preserve"> suscripción </w:t>
      </w:r>
      <w:r w:rsidR="00365563">
        <w:rPr>
          <w:rFonts w:ascii="Century Gothic" w:eastAsia="MS Mincho" w:hAnsi="Century Gothic" w:cs="Arial"/>
          <w:lang w:val="es-ES_tradnl" w:eastAsia="es-CO"/>
        </w:rPr>
        <w:t>para</w:t>
      </w:r>
      <w:r w:rsidR="00A37FEC" w:rsidRPr="004E4408">
        <w:rPr>
          <w:rFonts w:ascii="Century Gothic" w:eastAsia="MS Mincho" w:hAnsi="Century Gothic" w:cs="Arial"/>
          <w:lang w:val="es-ES_tradnl" w:eastAsia="es-CO"/>
        </w:rPr>
        <w:t xml:space="preserve"> los entes públicos, y por ello, </w:t>
      </w:r>
      <w:r w:rsidR="00365563">
        <w:rPr>
          <w:rFonts w:ascii="Century Gothic" w:eastAsia="MS Mincho" w:hAnsi="Century Gothic" w:cs="Arial"/>
          <w:lang w:val="es-ES_tradnl" w:eastAsia="es-CO"/>
        </w:rPr>
        <w:t xml:space="preserve">ha indicado </w:t>
      </w:r>
      <w:r w:rsidR="007202FA">
        <w:rPr>
          <w:rFonts w:ascii="Century Gothic" w:eastAsia="MS Mincho" w:hAnsi="Century Gothic" w:cs="Arial"/>
          <w:lang w:val="es-ES_tradnl" w:eastAsia="es-CO"/>
        </w:rPr>
        <w:t>que</w:t>
      </w:r>
      <w:r w:rsidR="00A37FEC" w:rsidRPr="004E4408">
        <w:rPr>
          <w:rFonts w:ascii="Century Gothic" w:eastAsia="MS Mincho" w:hAnsi="Century Gothic" w:cs="Arial"/>
          <w:lang w:val="es-ES_tradnl" w:eastAsia="es-CO"/>
        </w:rPr>
        <w:t xml:space="preserve"> la constitución de patrimonios autónomos por parte de entidades estatales solamente debe darse en virtud de una autorización legal</w:t>
      </w:r>
      <w:r w:rsidR="00A37FEC" w:rsidRPr="004E4408">
        <w:rPr>
          <w:rFonts w:ascii="Century Gothic" w:eastAsia="MS Mincho" w:hAnsi="Century Gothic" w:cs="Arial"/>
          <w:vertAlign w:val="superscript"/>
          <w:lang w:val="es-ES_tradnl" w:eastAsia="es-CO"/>
        </w:rPr>
        <w:footnoteReference w:id="21"/>
      </w:r>
      <w:r w:rsidR="00A37FEC" w:rsidRPr="004E4408">
        <w:rPr>
          <w:rFonts w:ascii="Century Gothic" w:eastAsia="MS Mincho" w:hAnsi="Century Gothic" w:cs="Arial"/>
          <w:lang w:val="es-ES_tradnl" w:eastAsia="es-CO"/>
        </w:rPr>
        <w:t>.</w:t>
      </w:r>
    </w:p>
    <w:p w14:paraId="1C8EF29D" w14:textId="4962A907" w:rsidR="00CD77E7" w:rsidRPr="00CD77E7" w:rsidRDefault="00EC3FE5" w:rsidP="00AD6624">
      <w:pPr>
        <w:spacing w:after="120" w:line="276" w:lineRule="auto"/>
        <w:jc w:val="both"/>
        <w:rPr>
          <w:rFonts w:ascii="Century Gothic" w:eastAsia="MS Mincho" w:hAnsi="Century Gothic" w:cs="Arial"/>
          <w:lang w:val="es-ES_tradnl" w:eastAsia="es-CO"/>
        </w:rPr>
      </w:pPr>
      <w:r>
        <w:rPr>
          <w:rFonts w:ascii="Century Gothic" w:eastAsia="MS Mincho" w:hAnsi="Century Gothic" w:cs="Arial"/>
          <w:lang w:val="es-ES_tradnl" w:eastAsia="es-CO"/>
        </w:rPr>
        <w:tab/>
        <w:t xml:space="preserve">Estas conclusiones fueron reiteradas </w:t>
      </w:r>
      <w:r w:rsidR="002B68DD">
        <w:rPr>
          <w:rFonts w:ascii="Century Gothic" w:eastAsia="MS Mincho" w:hAnsi="Century Gothic" w:cs="Arial"/>
          <w:lang w:val="es-ES_tradnl" w:eastAsia="es-CO"/>
        </w:rPr>
        <w:t xml:space="preserve">recientemente </w:t>
      </w:r>
      <w:r>
        <w:rPr>
          <w:rFonts w:ascii="Century Gothic" w:eastAsia="MS Mincho" w:hAnsi="Century Gothic" w:cs="Arial"/>
          <w:lang w:val="es-ES_tradnl" w:eastAsia="es-CO"/>
        </w:rPr>
        <w:t>por el</w:t>
      </w:r>
      <w:r w:rsidR="00EB4E42">
        <w:rPr>
          <w:rFonts w:ascii="Century Gothic" w:eastAsia="MS Mincho" w:hAnsi="Century Gothic" w:cs="Arial"/>
          <w:lang w:val="es-ES_tradnl" w:eastAsia="es-CO"/>
        </w:rPr>
        <w:t xml:space="preserve"> Consejo de Estado </w:t>
      </w:r>
      <w:r w:rsidR="00E15E29">
        <w:rPr>
          <w:rFonts w:ascii="Century Gothic" w:eastAsia="MS Mincho" w:hAnsi="Century Gothic" w:cs="Arial"/>
          <w:lang w:val="es-ES_tradnl" w:eastAsia="es-CO"/>
        </w:rPr>
        <w:t>en su Sala de Consulta y Servicio Civil</w:t>
      </w:r>
      <w:r w:rsidR="005A0DC1">
        <w:rPr>
          <w:rStyle w:val="Refdenotaalpie"/>
          <w:rFonts w:ascii="Century Gothic" w:eastAsia="MS Mincho" w:hAnsi="Century Gothic" w:cs="Arial"/>
          <w:lang w:val="es-ES_tradnl" w:eastAsia="es-CO"/>
        </w:rPr>
        <w:footnoteReference w:id="22"/>
      </w:r>
      <w:r>
        <w:rPr>
          <w:rFonts w:ascii="Century Gothic" w:eastAsia="MS Mincho" w:hAnsi="Century Gothic" w:cs="Arial"/>
          <w:lang w:val="es-ES_tradnl" w:eastAsia="es-CO"/>
        </w:rPr>
        <w:t xml:space="preserve">, </w:t>
      </w:r>
      <w:r w:rsidR="00E15E29">
        <w:rPr>
          <w:rFonts w:ascii="Century Gothic" w:eastAsia="MS Mincho" w:hAnsi="Century Gothic" w:cs="Arial"/>
          <w:lang w:val="es-ES_tradnl" w:eastAsia="es-CO"/>
        </w:rPr>
        <w:t xml:space="preserve">que </w:t>
      </w:r>
      <w:r w:rsidR="003746E0">
        <w:rPr>
          <w:rFonts w:ascii="Century Gothic" w:eastAsia="MS Mincho" w:hAnsi="Century Gothic" w:cs="Arial"/>
          <w:lang w:val="es-ES_tradnl" w:eastAsia="es-CO"/>
        </w:rPr>
        <w:t>en virtud del</w:t>
      </w:r>
      <w:r w:rsidR="00CD77E7" w:rsidRPr="00CD77E7">
        <w:rPr>
          <w:rFonts w:ascii="Century Gothic" w:eastAsia="MS Mincho" w:hAnsi="Century Gothic" w:cs="Arial"/>
          <w:lang w:val="es-ES_tradnl" w:eastAsia="es-CO"/>
        </w:rPr>
        <w:t xml:space="preserve"> numeral 5º del artículo 32 </w:t>
      </w:r>
      <w:r w:rsidR="00AD6624">
        <w:rPr>
          <w:rFonts w:ascii="Century Gothic" w:eastAsia="MS Mincho" w:hAnsi="Century Gothic" w:cs="Arial"/>
          <w:lang w:val="es-ES_tradnl" w:eastAsia="es-CO"/>
        </w:rPr>
        <w:t>de la Ley 80 de 1993,</w:t>
      </w:r>
      <w:r w:rsidR="00CD77E7" w:rsidRPr="00CD77E7">
        <w:rPr>
          <w:rFonts w:ascii="Century Gothic" w:eastAsia="MS Mincho" w:hAnsi="Century Gothic" w:cs="Arial"/>
          <w:lang w:val="es-ES_tradnl" w:eastAsia="es-CO"/>
        </w:rPr>
        <w:t xml:space="preserve"> </w:t>
      </w:r>
      <w:r w:rsidR="00AD6624">
        <w:rPr>
          <w:rFonts w:ascii="Century Gothic" w:eastAsia="MS Mincho" w:hAnsi="Century Gothic" w:cs="Arial"/>
          <w:lang w:val="es-ES_tradnl" w:eastAsia="es-CO"/>
        </w:rPr>
        <w:t>concluyó</w:t>
      </w:r>
      <w:r w:rsidR="00CD77E7" w:rsidRPr="00CD77E7">
        <w:rPr>
          <w:rFonts w:ascii="Century Gothic" w:eastAsia="MS Mincho" w:hAnsi="Century Gothic" w:cs="Arial"/>
          <w:lang w:val="es-ES_tradnl" w:eastAsia="es-CO"/>
        </w:rPr>
        <w:t xml:space="preserve"> lo siguiente:</w:t>
      </w:r>
    </w:p>
    <w:p w14:paraId="1FDD13FB" w14:textId="267DF64C" w:rsidR="00CD77E7" w:rsidRPr="007F3C86" w:rsidRDefault="00AD6624" w:rsidP="007F3C86">
      <w:pPr>
        <w:spacing w:after="120" w:line="240" w:lineRule="auto"/>
        <w:ind w:left="709" w:right="709"/>
        <w:jc w:val="both"/>
        <w:rPr>
          <w:rFonts w:ascii="Century Gothic" w:eastAsia="MS Mincho" w:hAnsi="Century Gothic" w:cs="Arial"/>
          <w:sz w:val="21"/>
          <w:szCs w:val="21"/>
          <w:lang w:val="es-ES_tradnl" w:eastAsia="es-CO"/>
        </w:rPr>
      </w:pPr>
      <w:r w:rsidRPr="007F3C86">
        <w:rPr>
          <w:rFonts w:ascii="Century Gothic" w:eastAsia="MS Mincho" w:hAnsi="Century Gothic" w:cs="Arial"/>
          <w:sz w:val="21"/>
          <w:szCs w:val="21"/>
          <w:lang w:val="es-ES_tradnl" w:eastAsia="es-CO"/>
        </w:rPr>
        <w:t>“</w:t>
      </w:r>
      <w:r w:rsidR="00CD77E7" w:rsidRPr="007F3C86">
        <w:rPr>
          <w:rFonts w:ascii="Century Gothic" w:eastAsia="MS Mincho" w:hAnsi="Century Gothic" w:cs="Arial"/>
          <w:sz w:val="21"/>
          <w:szCs w:val="21"/>
          <w:lang w:val="es-ES_tradnl" w:eastAsia="es-CO"/>
        </w:rPr>
        <w:t>i) Los encargos fiduciarios que celebren las entidades estatales tienen como objeto</w:t>
      </w:r>
      <w:r w:rsidRPr="007F3C86">
        <w:rPr>
          <w:rFonts w:ascii="Century Gothic" w:eastAsia="MS Mincho" w:hAnsi="Century Gothic" w:cs="Arial"/>
          <w:sz w:val="21"/>
          <w:szCs w:val="21"/>
          <w:lang w:val="es-ES_tradnl" w:eastAsia="es-CO"/>
        </w:rPr>
        <w:t xml:space="preserve"> </w:t>
      </w:r>
      <w:r w:rsidR="00CD77E7" w:rsidRPr="007F3C86">
        <w:rPr>
          <w:rFonts w:ascii="Century Gothic" w:eastAsia="MS Mincho" w:hAnsi="Century Gothic" w:cs="Arial"/>
          <w:sz w:val="21"/>
          <w:szCs w:val="21"/>
          <w:lang w:val="es-ES_tradnl" w:eastAsia="es-CO"/>
        </w:rPr>
        <w:t>«la administración o el manejo de los recursos vinculados a los contratos que tales</w:t>
      </w:r>
      <w:r w:rsidR="00104D87" w:rsidRPr="007F3C86">
        <w:rPr>
          <w:rFonts w:ascii="Century Gothic" w:eastAsia="MS Mincho" w:hAnsi="Century Gothic" w:cs="Arial"/>
          <w:sz w:val="21"/>
          <w:szCs w:val="21"/>
          <w:lang w:val="es-ES_tradnl" w:eastAsia="es-CO"/>
        </w:rPr>
        <w:t xml:space="preserve"> </w:t>
      </w:r>
      <w:r w:rsidR="00CD77E7" w:rsidRPr="007F3C86">
        <w:rPr>
          <w:rFonts w:ascii="Century Gothic" w:eastAsia="MS Mincho" w:hAnsi="Century Gothic" w:cs="Arial"/>
          <w:sz w:val="21"/>
          <w:szCs w:val="21"/>
          <w:lang w:val="es-ES_tradnl" w:eastAsia="es-CO"/>
        </w:rPr>
        <w:t>entidades celebren»</w:t>
      </w:r>
      <w:r w:rsidR="00104D87" w:rsidRPr="007F3C86">
        <w:rPr>
          <w:rFonts w:ascii="Century Gothic" w:eastAsia="MS Mincho" w:hAnsi="Century Gothic" w:cs="Arial"/>
          <w:sz w:val="21"/>
          <w:szCs w:val="21"/>
          <w:vertAlign w:val="superscript"/>
          <w:lang w:val="es-ES_tradnl" w:eastAsia="es-CO"/>
        </w:rPr>
        <w:t xml:space="preserve"> </w:t>
      </w:r>
      <w:r w:rsidR="00CD77E7" w:rsidRPr="007F3C86">
        <w:rPr>
          <w:rFonts w:ascii="Century Gothic" w:eastAsia="MS Mincho" w:hAnsi="Century Gothic" w:cs="Arial"/>
          <w:sz w:val="21"/>
          <w:szCs w:val="21"/>
          <w:vertAlign w:val="superscript"/>
          <w:lang w:val="es-ES_tradnl" w:eastAsia="es-CO"/>
        </w:rPr>
        <w:t>22</w:t>
      </w:r>
      <w:r w:rsidR="00CD77E7" w:rsidRPr="007F3C86">
        <w:rPr>
          <w:rFonts w:ascii="Century Gothic" w:eastAsia="MS Mincho" w:hAnsi="Century Gothic" w:cs="Arial"/>
          <w:sz w:val="21"/>
          <w:szCs w:val="21"/>
          <w:lang w:val="es-ES_tradnl" w:eastAsia="es-CO"/>
        </w:rPr>
        <w:t>.</w:t>
      </w:r>
    </w:p>
    <w:p w14:paraId="36516AD9" w14:textId="48732B5E" w:rsidR="00CD77E7" w:rsidRPr="007F3C86" w:rsidRDefault="00CD77E7" w:rsidP="007F3C86">
      <w:pPr>
        <w:spacing w:after="120" w:line="240" w:lineRule="auto"/>
        <w:ind w:left="709" w:right="709"/>
        <w:jc w:val="both"/>
        <w:rPr>
          <w:rFonts w:ascii="Century Gothic" w:eastAsia="MS Mincho" w:hAnsi="Century Gothic" w:cs="Arial"/>
          <w:sz w:val="21"/>
          <w:szCs w:val="21"/>
          <w:lang w:val="es-ES_tradnl" w:eastAsia="es-CO"/>
        </w:rPr>
      </w:pPr>
      <w:proofErr w:type="spellStart"/>
      <w:r w:rsidRPr="007F3C86">
        <w:rPr>
          <w:rFonts w:ascii="Century Gothic" w:eastAsia="MS Mincho" w:hAnsi="Century Gothic" w:cs="Arial"/>
          <w:sz w:val="21"/>
          <w:szCs w:val="21"/>
          <w:lang w:val="es-ES_tradnl" w:eastAsia="es-CO"/>
        </w:rPr>
        <w:t>ii</w:t>
      </w:r>
      <w:proofErr w:type="spellEnd"/>
      <w:r w:rsidRPr="007F3C86">
        <w:rPr>
          <w:rFonts w:ascii="Century Gothic" w:eastAsia="MS Mincho" w:hAnsi="Century Gothic" w:cs="Arial"/>
          <w:sz w:val="21"/>
          <w:szCs w:val="21"/>
          <w:lang w:val="es-ES_tradnl" w:eastAsia="es-CO"/>
        </w:rPr>
        <w:t>) Los encargos fiduciarios y los contratos de fiducia pública únicamente pueden</w:t>
      </w:r>
      <w:r w:rsidR="00104D87" w:rsidRPr="007F3C86">
        <w:rPr>
          <w:rFonts w:ascii="Century Gothic" w:eastAsia="MS Mincho" w:hAnsi="Century Gothic" w:cs="Arial"/>
          <w:sz w:val="21"/>
          <w:szCs w:val="21"/>
          <w:lang w:val="es-ES_tradnl" w:eastAsia="es-CO"/>
        </w:rPr>
        <w:t xml:space="preserve"> </w:t>
      </w:r>
      <w:r w:rsidRPr="007F3C86">
        <w:rPr>
          <w:rFonts w:ascii="Century Gothic" w:eastAsia="MS Mincho" w:hAnsi="Century Gothic" w:cs="Arial"/>
          <w:sz w:val="21"/>
          <w:szCs w:val="21"/>
          <w:lang w:val="es-ES_tradnl" w:eastAsia="es-CO"/>
        </w:rPr>
        <w:t>celebrarse por las entidades estatales para objetos y plazos precisamente</w:t>
      </w:r>
      <w:r w:rsidR="00104D87" w:rsidRPr="007F3C86">
        <w:rPr>
          <w:rFonts w:ascii="Century Gothic" w:eastAsia="MS Mincho" w:hAnsi="Century Gothic" w:cs="Arial"/>
          <w:sz w:val="21"/>
          <w:szCs w:val="21"/>
          <w:lang w:val="es-ES_tradnl" w:eastAsia="es-CO"/>
        </w:rPr>
        <w:t xml:space="preserve"> </w:t>
      </w:r>
      <w:r w:rsidRPr="007F3C86">
        <w:rPr>
          <w:rFonts w:ascii="Century Gothic" w:eastAsia="MS Mincho" w:hAnsi="Century Gothic" w:cs="Arial"/>
          <w:sz w:val="21"/>
          <w:szCs w:val="21"/>
          <w:lang w:val="es-ES_tradnl" w:eastAsia="es-CO"/>
        </w:rPr>
        <w:t>determinados, y con estricta aplicación de lo dispuesto en el estatuto</w:t>
      </w:r>
      <w:r w:rsidRPr="007F3C86">
        <w:rPr>
          <w:rFonts w:ascii="Century Gothic" w:eastAsia="MS Mincho" w:hAnsi="Century Gothic" w:cs="Arial"/>
          <w:sz w:val="21"/>
          <w:szCs w:val="21"/>
          <w:vertAlign w:val="superscript"/>
          <w:lang w:val="es-ES_tradnl" w:eastAsia="es-CO"/>
        </w:rPr>
        <w:t>23</w:t>
      </w:r>
      <w:r w:rsidRPr="007F3C86">
        <w:rPr>
          <w:rFonts w:ascii="Century Gothic" w:eastAsia="MS Mincho" w:hAnsi="Century Gothic" w:cs="Arial"/>
          <w:sz w:val="21"/>
          <w:szCs w:val="21"/>
          <w:lang w:val="es-ES_tradnl" w:eastAsia="es-CO"/>
        </w:rPr>
        <w:t>.</w:t>
      </w:r>
    </w:p>
    <w:p w14:paraId="5471D21C" w14:textId="34BAD4E2" w:rsidR="00CD77E7" w:rsidRPr="007F3C86" w:rsidRDefault="00CD77E7" w:rsidP="007F3C86">
      <w:pPr>
        <w:spacing w:after="120" w:line="240" w:lineRule="auto"/>
        <w:ind w:left="709" w:right="709"/>
        <w:jc w:val="both"/>
        <w:rPr>
          <w:rFonts w:ascii="Century Gothic" w:eastAsia="MS Mincho" w:hAnsi="Century Gothic" w:cs="Arial"/>
          <w:sz w:val="21"/>
          <w:szCs w:val="21"/>
          <w:lang w:val="es-ES_tradnl" w:eastAsia="es-CO"/>
        </w:rPr>
      </w:pPr>
      <w:proofErr w:type="spellStart"/>
      <w:r w:rsidRPr="007F3C86">
        <w:rPr>
          <w:rFonts w:ascii="Century Gothic" w:eastAsia="MS Mincho" w:hAnsi="Century Gothic" w:cs="Arial"/>
          <w:sz w:val="21"/>
          <w:szCs w:val="21"/>
          <w:lang w:val="es-ES_tradnl" w:eastAsia="es-CO"/>
        </w:rPr>
        <w:t>iii</w:t>
      </w:r>
      <w:proofErr w:type="spellEnd"/>
      <w:r w:rsidRPr="007F3C86">
        <w:rPr>
          <w:rFonts w:ascii="Century Gothic" w:eastAsia="MS Mincho" w:hAnsi="Century Gothic" w:cs="Arial"/>
          <w:sz w:val="21"/>
          <w:szCs w:val="21"/>
          <w:lang w:val="es-ES_tradnl" w:eastAsia="es-CO"/>
        </w:rPr>
        <w:t>) La fiducia pública no conlleva la trasferencia del derecho de dominio sobre los</w:t>
      </w:r>
      <w:r w:rsidR="00022415" w:rsidRPr="007F3C86">
        <w:rPr>
          <w:rFonts w:ascii="Century Gothic" w:eastAsia="MS Mincho" w:hAnsi="Century Gothic" w:cs="Arial"/>
          <w:sz w:val="21"/>
          <w:szCs w:val="21"/>
          <w:lang w:val="es-ES_tradnl" w:eastAsia="es-CO"/>
        </w:rPr>
        <w:t xml:space="preserve"> </w:t>
      </w:r>
      <w:r w:rsidRPr="007F3C86">
        <w:rPr>
          <w:rFonts w:ascii="Century Gothic" w:eastAsia="MS Mincho" w:hAnsi="Century Gothic" w:cs="Arial"/>
          <w:sz w:val="21"/>
          <w:szCs w:val="21"/>
          <w:lang w:val="es-ES_tradnl" w:eastAsia="es-CO"/>
        </w:rPr>
        <w:t>bienes o recursos estatales. En este sentido, el artículo 32 de la Ley 80 de 1993</w:t>
      </w:r>
      <w:r w:rsidR="00022415" w:rsidRPr="007F3C86">
        <w:rPr>
          <w:rFonts w:ascii="Century Gothic" w:eastAsia="MS Mincho" w:hAnsi="Century Gothic" w:cs="Arial"/>
          <w:sz w:val="21"/>
          <w:szCs w:val="21"/>
          <w:lang w:val="es-ES_tradnl" w:eastAsia="es-CO"/>
        </w:rPr>
        <w:t xml:space="preserve"> </w:t>
      </w:r>
      <w:r w:rsidRPr="007F3C86">
        <w:rPr>
          <w:rFonts w:ascii="Century Gothic" w:eastAsia="MS Mincho" w:hAnsi="Century Gothic" w:cs="Arial"/>
          <w:sz w:val="21"/>
          <w:szCs w:val="21"/>
          <w:lang w:val="es-ES_tradnl" w:eastAsia="es-CO"/>
        </w:rPr>
        <w:t>establece expresamente:</w:t>
      </w:r>
      <w:r w:rsidR="0066471C" w:rsidRPr="007F3C86">
        <w:rPr>
          <w:rFonts w:ascii="Century Gothic" w:eastAsia="MS Mincho" w:hAnsi="Century Gothic" w:cs="Arial"/>
          <w:sz w:val="21"/>
          <w:szCs w:val="21"/>
          <w:lang w:val="es-ES_tradnl" w:eastAsia="es-CO"/>
        </w:rPr>
        <w:t xml:space="preserve"> </w:t>
      </w:r>
      <w:r w:rsidRPr="007F3C86">
        <w:rPr>
          <w:rFonts w:ascii="Century Gothic" w:eastAsia="MS Mincho" w:hAnsi="Century Gothic" w:cs="Arial"/>
          <w:sz w:val="21"/>
          <w:szCs w:val="21"/>
          <w:lang w:val="es-ES_tradnl" w:eastAsia="es-CO"/>
        </w:rPr>
        <w:t>La fiducia que se autoriza para el sector público en esta ley, nunca implicará</w:t>
      </w:r>
      <w:r w:rsidR="0066471C" w:rsidRPr="007F3C86">
        <w:rPr>
          <w:rFonts w:ascii="Century Gothic" w:eastAsia="MS Mincho" w:hAnsi="Century Gothic" w:cs="Arial"/>
          <w:sz w:val="21"/>
          <w:szCs w:val="21"/>
          <w:lang w:val="es-ES_tradnl" w:eastAsia="es-CO"/>
        </w:rPr>
        <w:t xml:space="preserve"> </w:t>
      </w:r>
      <w:r w:rsidRPr="007F3C86">
        <w:rPr>
          <w:rFonts w:ascii="Century Gothic" w:eastAsia="MS Mincho" w:hAnsi="Century Gothic" w:cs="Arial"/>
          <w:sz w:val="21"/>
          <w:szCs w:val="21"/>
          <w:lang w:val="es-ES_tradnl" w:eastAsia="es-CO"/>
        </w:rPr>
        <w:t>transferencia de dominio sobre bienes o recursos estatales, ni constituirá patrimonio</w:t>
      </w:r>
      <w:r w:rsidR="0066471C" w:rsidRPr="007F3C86">
        <w:rPr>
          <w:rFonts w:ascii="Century Gothic" w:eastAsia="MS Mincho" w:hAnsi="Century Gothic" w:cs="Arial"/>
          <w:sz w:val="21"/>
          <w:szCs w:val="21"/>
          <w:lang w:val="es-ES_tradnl" w:eastAsia="es-CO"/>
        </w:rPr>
        <w:t xml:space="preserve"> </w:t>
      </w:r>
      <w:r w:rsidRPr="007F3C86">
        <w:rPr>
          <w:rFonts w:ascii="Century Gothic" w:eastAsia="MS Mincho" w:hAnsi="Century Gothic" w:cs="Arial"/>
          <w:sz w:val="21"/>
          <w:szCs w:val="21"/>
          <w:lang w:val="es-ES_tradnl" w:eastAsia="es-CO"/>
        </w:rPr>
        <w:t>autónomo del propio de la respectiva entidad oficial, sin perjuicio de las</w:t>
      </w:r>
      <w:r w:rsidR="0066471C" w:rsidRPr="007F3C86">
        <w:rPr>
          <w:rFonts w:ascii="Century Gothic" w:eastAsia="MS Mincho" w:hAnsi="Century Gothic" w:cs="Arial"/>
          <w:sz w:val="21"/>
          <w:szCs w:val="21"/>
          <w:lang w:val="es-ES_tradnl" w:eastAsia="es-CO"/>
        </w:rPr>
        <w:t xml:space="preserve"> </w:t>
      </w:r>
      <w:r w:rsidRPr="007F3C86">
        <w:rPr>
          <w:rFonts w:ascii="Century Gothic" w:eastAsia="MS Mincho" w:hAnsi="Century Gothic" w:cs="Arial"/>
          <w:sz w:val="21"/>
          <w:szCs w:val="21"/>
          <w:lang w:val="es-ES_tradnl" w:eastAsia="es-CO"/>
        </w:rPr>
        <w:t>responsabilidades propias del ordenador del gasto</w:t>
      </w:r>
      <w:r w:rsidRPr="007F3C86">
        <w:rPr>
          <w:rFonts w:ascii="Century Gothic" w:eastAsia="MS Mincho" w:hAnsi="Century Gothic" w:cs="Arial"/>
          <w:sz w:val="21"/>
          <w:szCs w:val="21"/>
          <w:vertAlign w:val="superscript"/>
          <w:lang w:val="es-ES_tradnl" w:eastAsia="es-CO"/>
        </w:rPr>
        <w:t>24</w:t>
      </w:r>
      <w:r w:rsidRPr="007F3C86">
        <w:rPr>
          <w:rFonts w:ascii="Century Gothic" w:eastAsia="MS Mincho" w:hAnsi="Century Gothic" w:cs="Arial"/>
          <w:sz w:val="21"/>
          <w:szCs w:val="21"/>
          <w:lang w:val="es-ES_tradnl" w:eastAsia="es-CO"/>
        </w:rPr>
        <w:t>.</w:t>
      </w:r>
    </w:p>
    <w:p w14:paraId="32531602" w14:textId="3C44745C" w:rsidR="002B68DD" w:rsidRPr="007F3C86" w:rsidRDefault="00CD77E7" w:rsidP="007F3C86">
      <w:pPr>
        <w:spacing w:after="120" w:line="240" w:lineRule="auto"/>
        <w:ind w:left="709" w:right="709"/>
        <w:jc w:val="both"/>
        <w:rPr>
          <w:rFonts w:ascii="Century Gothic" w:eastAsia="MS Mincho" w:hAnsi="Century Gothic" w:cs="Arial"/>
          <w:sz w:val="21"/>
          <w:szCs w:val="21"/>
          <w:lang w:val="es-ES_tradnl" w:eastAsia="es-CO"/>
        </w:rPr>
      </w:pPr>
      <w:proofErr w:type="spellStart"/>
      <w:r w:rsidRPr="007F3C86">
        <w:rPr>
          <w:rFonts w:ascii="Century Gothic" w:eastAsia="MS Mincho" w:hAnsi="Century Gothic" w:cs="Arial"/>
          <w:sz w:val="21"/>
          <w:szCs w:val="21"/>
          <w:lang w:val="es-ES_tradnl" w:eastAsia="es-CO"/>
        </w:rPr>
        <w:t>iv</w:t>
      </w:r>
      <w:proofErr w:type="spellEnd"/>
      <w:r w:rsidRPr="007F3C86">
        <w:rPr>
          <w:rFonts w:ascii="Century Gothic" w:eastAsia="MS Mincho" w:hAnsi="Century Gothic" w:cs="Arial"/>
          <w:sz w:val="21"/>
          <w:szCs w:val="21"/>
          <w:lang w:val="es-ES_tradnl" w:eastAsia="es-CO"/>
        </w:rPr>
        <w:t>) Son aplicables las normas del Código de Comercio a la fiducia pública, siempre</w:t>
      </w:r>
      <w:r w:rsidR="0066471C" w:rsidRPr="007F3C86">
        <w:rPr>
          <w:rFonts w:ascii="Century Gothic" w:eastAsia="MS Mincho" w:hAnsi="Century Gothic" w:cs="Arial"/>
          <w:sz w:val="21"/>
          <w:szCs w:val="21"/>
          <w:lang w:val="es-ES_tradnl" w:eastAsia="es-CO"/>
        </w:rPr>
        <w:t xml:space="preserve"> </w:t>
      </w:r>
      <w:r w:rsidRPr="007F3C86">
        <w:rPr>
          <w:rFonts w:ascii="Century Gothic" w:eastAsia="MS Mincho" w:hAnsi="Century Gothic" w:cs="Arial"/>
          <w:sz w:val="21"/>
          <w:szCs w:val="21"/>
          <w:lang w:val="es-ES_tradnl" w:eastAsia="es-CO"/>
        </w:rPr>
        <w:t>que sean compatibles con lo dispuesto en la Ley 80 de 1993</w:t>
      </w:r>
    </w:p>
    <w:p w14:paraId="4C2FC044" w14:textId="77777777" w:rsidR="0053033E" w:rsidRPr="007F3C86" w:rsidRDefault="00CD77E7" w:rsidP="007F3C86">
      <w:pPr>
        <w:spacing w:after="120" w:line="240" w:lineRule="auto"/>
        <w:ind w:left="709" w:right="709"/>
        <w:jc w:val="both"/>
        <w:rPr>
          <w:rFonts w:ascii="Century Gothic" w:eastAsia="MS Mincho" w:hAnsi="Century Gothic" w:cs="Arial"/>
          <w:sz w:val="21"/>
          <w:szCs w:val="21"/>
          <w:lang w:val="es-ES_tradnl" w:eastAsia="es-CO"/>
        </w:rPr>
      </w:pPr>
      <w:r w:rsidRPr="007F3C86">
        <w:rPr>
          <w:rFonts w:ascii="Century Gothic" w:eastAsia="MS Mincho" w:hAnsi="Century Gothic" w:cs="Arial"/>
          <w:sz w:val="21"/>
          <w:szCs w:val="21"/>
          <w:lang w:val="es-ES_tradnl" w:eastAsia="es-CO"/>
        </w:rPr>
        <w:t>v) No puede acudirse a un encargo fiduciario o a una fiducia pública con la finalidad</w:t>
      </w:r>
      <w:r w:rsidR="0066471C" w:rsidRPr="007F3C86">
        <w:rPr>
          <w:rFonts w:ascii="Century Gothic" w:eastAsia="MS Mincho" w:hAnsi="Century Gothic" w:cs="Arial"/>
          <w:sz w:val="21"/>
          <w:szCs w:val="21"/>
          <w:lang w:val="es-ES_tradnl" w:eastAsia="es-CO"/>
        </w:rPr>
        <w:t xml:space="preserve"> </w:t>
      </w:r>
      <w:r w:rsidRPr="007F3C86">
        <w:rPr>
          <w:rFonts w:ascii="Century Gothic" w:eastAsia="MS Mincho" w:hAnsi="Century Gothic" w:cs="Arial"/>
          <w:sz w:val="21"/>
          <w:szCs w:val="21"/>
          <w:lang w:val="es-ES_tradnl" w:eastAsia="es-CO"/>
        </w:rPr>
        <w:t>de realizar actos o contratos que no pueda celebrar directamente el fideicomitente</w:t>
      </w:r>
      <w:r w:rsidR="0066471C" w:rsidRPr="007F3C86">
        <w:rPr>
          <w:rFonts w:ascii="Century Gothic" w:eastAsia="MS Mincho" w:hAnsi="Century Gothic" w:cs="Arial"/>
          <w:sz w:val="21"/>
          <w:szCs w:val="21"/>
          <w:lang w:val="es-ES_tradnl" w:eastAsia="es-CO"/>
        </w:rPr>
        <w:t xml:space="preserve"> </w:t>
      </w:r>
      <w:r w:rsidRPr="007F3C86">
        <w:rPr>
          <w:rFonts w:ascii="Century Gothic" w:eastAsia="MS Mincho" w:hAnsi="Century Gothic" w:cs="Arial"/>
          <w:sz w:val="21"/>
          <w:szCs w:val="21"/>
          <w:lang w:val="es-ES_tradnl" w:eastAsia="es-CO"/>
        </w:rPr>
        <w:t>de acuerdo con lo establecido en la ley. Así, la referida Circular de la</w:t>
      </w:r>
      <w:r w:rsidR="0066471C" w:rsidRPr="007F3C86">
        <w:rPr>
          <w:rFonts w:ascii="Century Gothic" w:eastAsia="MS Mincho" w:hAnsi="Century Gothic" w:cs="Arial"/>
          <w:sz w:val="21"/>
          <w:szCs w:val="21"/>
          <w:lang w:val="es-ES_tradnl" w:eastAsia="es-CO"/>
        </w:rPr>
        <w:t xml:space="preserve"> </w:t>
      </w:r>
      <w:r w:rsidRPr="007F3C86">
        <w:rPr>
          <w:rFonts w:ascii="Century Gothic" w:eastAsia="MS Mincho" w:hAnsi="Century Gothic" w:cs="Arial"/>
          <w:sz w:val="21"/>
          <w:szCs w:val="21"/>
          <w:lang w:val="es-ES_tradnl" w:eastAsia="es-CO"/>
        </w:rPr>
        <w:t>Superintendencia Financiera estableció:</w:t>
      </w:r>
      <w:r w:rsidR="0053033E" w:rsidRPr="007F3C86">
        <w:rPr>
          <w:rFonts w:ascii="Century Gothic" w:eastAsia="MS Mincho" w:hAnsi="Century Gothic" w:cs="Arial"/>
          <w:sz w:val="21"/>
          <w:szCs w:val="21"/>
          <w:lang w:val="es-ES_tradnl" w:eastAsia="es-CO"/>
        </w:rPr>
        <w:t xml:space="preserve"> </w:t>
      </w:r>
    </w:p>
    <w:p w14:paraId="616355AC" w14:textId="34802E99" w:rsidR="00CD77E7" w:rsidRPr="007F3C86" w:rsidRDefault="00CD77E7" w:rsidP="007F3C86">
      <w:pPr>
        <w:spacing w:after="120" w:line="240" w:lineRule="auto"/>
        <w:ind w:left="709" w:right="709"/>
        <w:jc w:val="both"/>
        <w:rPr>
          <w:rFonts w:ascii="Century Gothic" w:eastAsia="MS Mincho" w:hAnsi="Century Gothic" w:cs="Arial"/>
          <w:sz w:val="21"/>
          <w:szCs w:val="21"/>
          <w:lang w:val="es-ES_tradnl" w:eastAsia="es-CO"/>
        </w:rPr>
      </w:pPr>
      <w:r w:rsidRPr="007F3C86">
        <w:rPr>
          <w:rFonts w:ascii="Century Gothic" w:eastAsia="MS Mincho" w:hAnsi="Century Gothic" w:cs="Arial"/>
          <w:sz w:val="21"/>
          <w:szCs w:val="21"/>
          <w:lang w:val="es-ES_tradnl" w:eastAsia="es-CO"/>
        </w:rPr>
        <w:t>5.4.2. La firmeza y seguridad jurídica de un contrato de fiducia pública o de un encargo</w:t>
      </w:r>
      <w:r w:rsidR="0053033E" w:rsidRPr="007F3C86">
        <w:rPr>
          <w:rFonts w:ascii="Century Gothic" w:eastAsia="MS Mincho" w:hAnsi="Century Gothic" w:cs="Arial"/>
          <w:sz w:val="21"/>
          <w:szCs w:val="21"/>
          <w:lang w:val="es-ES_tradnl" w:eastAsia="es-CO"/>
        </w:rPr>
        <w:t xml:space="preserve"> </w:t>
      </w:r>
      <w:r w:rsidRPr="007F3C86">
        <w:rPr>
          <w:rFonts w:ascii="Century Gothic" w:eastAsia="MS Mincho" w:hAnsi="Century Gothic" w:cs="Arial"/>
          <w:sz w:val="21"/>
          <w:szCs w:val="21"/>
          <w:lang w:val="es-ES_tradnl" w:eastAsia="es-CO"/>
        </w:rPr>
        <w:t>fiduciario, según el caso, dependen necesariamente de que tanto la entidad estatal</w:t>
      </w:r>
      <w:r w:rsidR="0053033E" w:rsidRPr="007F3C86">
        <w:rPr>
          <w:rFonts w:ascii="Century Gothic" w:eastAsia="MS Mincho" w:hAnsi="Century Gothic" w:cs="Arial"/>
          <w:sz w:val="21"/>
          <w:szCs w:val="21"/>
          <w:lang w:val="es-ES_tradnl" w:eastAsia="es-CO"/>
        </w:rPr>
        <w:t xml:space="preserve"> </w:t>
      </w:r>
      <w:r w:rsidRPr="007F3C86">
        <w:rPr>
          <w:rFonts w:ascii="Century Gothic" w:eastAsia="MS Mincho" w:hAnsi="Century Gothic" w:cs="Arial"/>
          <w:sz w:val="21"/>
          <w:szCs w:val="21"/>
          <w:lang w:val="es-ES_tradnl" w:eastAsia="es-CO"/>
        </w:rPr>
        <w:t>como la sociedad fiduciaria que pretende vincularse contractualmente con ella,</w:t>
      </w:r>
      <w:r w:rsidR="0053033E" w:rsidRPr="007F3C86">
        <w:rPr>
          <w:rFonts w:ascii="Century Gothic" w:eastAsia="MS Mincho" w:hAnsi="Century Gothic" w:cs="Arial"/>
          <w:sz w:val="21"/>
          <w:szCs w:val="21"/>
          <w:lang w:val="es-ES_tradnl" w:eastAsia="es-CO"/>
        </w:rPr>
        <w:t xml:space="preserve"> </w:t>
      </w:r>
      <w:r w:rsidRPr="007F3C86">
        <w:rPr>
          <w:rFonts w:ascii="Century Gothic" w:eastAsia="MS Mincho" w:hAnsi="Century Gothic" w:cs="Arial"/>
          <w:sz w:val="21"/>
          <w:szCs w:val="21"/>
          <w:lang w:val="es-ES_tradnl" w:eastAsia="es-CO"/>
        </w:rPr>
        <w:t>acaten y respeten en la práctica todos los presupuestos, formas y formalidades</w:t>
      </w:r>
      <w:r w:rsidR="0053033E" w:rsidRPr="007F3C86">
        <w:rPr>
          <w:rFonts w:ascii="Century Gothic" w:eastAsia="MS Mincho" w:hAnsi="Century Gothic" w:cs="Arial"/>
          <w:sz w:val="21"/>
          <w:szCs w:val="21"/>
          <w:lang w:val="es-ES_tradnl" w:eastAsia="es-CO"/>
        </w:rPr>
        <w:t xml:space="preserve"> </w:t>
      </w:r>
      <w:r w:rsidRPr="007F3C86">
        <w:rPr>
          <w:rFonts w:ascii="Century Gothic" w:eastAsia="MS Mincho" w:hAnsi="Century Gothic" w:cs="Arial"/>
          <w:sz w:val="21"/>
          <w:szCs w:val="21"/>
          <w:lang w:val="es-ES_tradnl" w:eastAsia="es-CO"/>
        </w:rPr>
        <w:t>que informan la contratación administrativa, o dicho de otro modo, no resulta viable,</w:t>
      </w:r>
      <w:r w:rsidR="0053033E" w:rsidRPr="007F3C86">
        <w:rPr>
          <w:rFonts w:ascii="Century Gothic" w:eastAsia="MS Mincho" w:hAnsi="Century Gothic" w:cs="Arial"/>
          <w:sz w:val="21"/>
          <w:szCs w:val="21"/>
          <w:lang w:val="es-ES_tradnl" w:eastAsia="es-CO"/>
        </w:rPr>
        <w:t xml:space="preserve"> </w:t>
      </w:r>
      <w:r w:rsidRPr="007F3C86">
        <w:rPr>
          <w:rFonts w:ascii="Century Gothic" w:eastAsia="MS Mincho" w:hAnsi="Century Gothic" w:cs="Arial"/>
          <w:sz w:val="21"/>
          <w:szCs w:val="21"/>
          <w:lang w:val="es-ES_tradnl" w:eastAsia="es-CO"/>
        </w:rPr>
        <w:t>desde el punto de vista jurídico, celebrar contratos de fiducia pública y encargos</w:t>
      </w:r>
      <w:r w:rsidR="0053033E" w:rsidRPr="007F3C86">
        <w:rPr>
          <w:rFonts w:ascii="Century Gothic" w:eastAsia="MS Mincho" w:hAnsi="Century Gothic" w:cs="Arial"/>
          <w:sz w:val="21"/>
          <w:szCs w:val="21"/>
          <w:lang w:val="es-ES_tradnl" w:eastAsia="es-CO"/>
        </w:rPr>
        <w:t xml:space="preserve"> </w:t>
      </w:r>
      <w:r w:rsidRPr="007F3C86">
        <w:rPr>
          <w:rFonts w:ascii="Century Gothic" w:eastAsia="MS Mincho" w:hAnsi="Century Gothic" w:cs="Arial"/>
          <w:sz w:val="21"/>
          <w:szCs w:val="21"/>
          <w:lang w:val="es-ES_tradnl" w:eastAsia="es-CO"/>
        </w:rPr>
        <w:t>fiduciarios que conduzcan a un desconocimiento de las disposiciones contenidas en</w:t>
      </w:r>
      <w:r w:rsidR="0053033E" w:rsidRPr="007F3C86">
        <w:rPr>
          <w:rFonts w:ascii="Century Gothic" w:eastAsia="MS Mincho" w:hAnsi="Century Gothic" w:cs="Arial"/>
          <w:sz w:val="21"/>
          <w:szCs w:val="21"/>
          <w:lang w:val="es-ES_tradnl" w:eastAsia="es-CO"/>
        </w:rPr>
        <w:t xml:space="preserve"> </w:t>
      </w:r>
      <w:r w:rsidRPr="007F3C86">
        <w:rPr>
          <w:rFonts w:ascii="Century Gothic" w:eastAsia="MS Mincho" w:hAnsi="Century Gothic" w:cs="Arial"/>
          <w:sz w:val="21"/>
          <w:szCs w:val="21"/>
          <w:lang w:val="es-ES_tradnl" w:eastAsia="es-CO"/>
        </w:rPr>
        <w:t>la Ley 80 de 1993 y en la Ley 1150 de 2007 y en las demás disposiciones</w:t>
      </w:r>
      <w:r w:rsidR="0053033E" w:rsidRPr="007F3C86">
        <w:rPr>
          <w:rFonts w:ascii="Century Gothic" w:eastAsia="MS Mincho" w:hAnsi="Century Gothic" w:cs="Arial"/>
          <w:sz w:val="21"/>
          <w:szCs w:val="21"/>
          <w:lang w:val="es-ES_tradnl" w:eastAsia="es-CO"/>
        </w:rPr>
        <w:t xml:space="preserve"> </w:t>
      </w:r>
      <w:r w:rsidRPr="007F3C86">
        <w:rPr>
          <w:rFonts w:ascii="Century Gothic" w:eastAsia="MS Mincho" w:hAnsi="Century Gothic" w:cs="Arial"/>
          <w:sz w:val="21"/>
          <w:szCs w:val="21"/>
          <w:lang w:val="es-ES_tradnl" w:eastAsia="es-CO"/>
        </w:rPr>
        <w:t>reglamentarias o instrucciones emitidas por las instancias nacionales o territoriales</w:t>
      </w:r>
      <w:r w:rsidR="0053033E" w:rsidRPr="007F3C86">
        <w:rPr>
          <w:rFonts w:ascii="Century Gothic" w:eastAsia="MS Mincho" w:hAnsi="Century Gothic" w:cs="Arial"/>
          <w:sz w:val="21"/>
          <w:szCs w:val="21"/>
          <w:lang w:val="es-ES_tradnl" w:eastAsia="es-CO"/>
        </w:rPr>
        <w:t xml:space="preserve"> </w:t>
      </w:r>
      <w:r w:rsidRPr="007F3C86">
        <w:rPr>
          <w:rFonts w:ascii="Century Gothic" w:eastAsia="MS Mincho" w:hAnsi="Century Gothic" w:cs="Arial"/>
          <w:sz w:val="21"/>
          <w:szCs w:val="21"/>
          <w:lang w:val="es-ES_tradnl" w:eastAsia="es-CO"/>
        </w:rPr>
        <w:t>correspondientes.</w:t>
      </w:r>
    </w:p>
    <w:p w14:paraId="256071EC" w14:textId="6FF7CC84" w:rsidR="00CD77E7" w:rsidRPr="007F3C86" w:rsidRDefault="00CD77E7" w:rsidP="007F3C86">
      <w:pPr>
        <w:spacing w:after="120" w:line="240" w:lineRule="auto"/>
        <w:ind w:left="709" w:right="709"/>
        <w:jc w:val="both"/>
        <w:rPr>
          <w:rFonts w:ascii="Century Gothic" w:eastAsia="MS Mincho" w:hAnsi="Century Gothic" w:cs="Arial"/>
          <w:sz w:val="21"/>
          <w:szCs w:val="21"/>
          <w:lang w:val="es-ES_tradnl" w:eastAsia="es-CO"/>
        </w:rPr>
      </w:pPr>
      <w:r w:rsidRPr="007F3C86">
        <w:rPr>
          <w:rFonts w:ascii="Century Gothic" w:eastAsia="MS Mincho" w:hAnsi="Century Gothic" w:cs="Arial"/>
          <w:sz w:val="21"/>
          <w:szCs w:val="21"/>
          <w:lang w:val="es-ES_tradnl" w:eastAsia="es-CO"/>
        </w:rPr>
        <w:t>En este sentido se reitera la prohibición general mediante la cual en los términos del</w:t>
      </w:r>
      <w:r w:rsidR="0053033E" w:rsidRPr="007F3C86">
        <w:rPr>
          <w:rFonts w:ascii="Century Gothic" w:eastAsia="MS Mincho" w:hAnsi="Century Gothic" w:cs="Arial"/>
          <w:sz w:val="21"/>
          <w:szCs w:val="21"/>
          <w:lang w:val="es-ES_tradnl" w:eastAsia="es-CO"/>
        </w:rPr>
        <w:t xml:space="preserve"> </w:t>
      </w:r>
      <w:r w:rsidRPr="007F3C86">
        <w:rPr>
          <w:rFonts w:ascii="Century Gothic" w:eastAsia="MS Mincho" w:hAnsi="Century Gothic" w:cs="Arial"/>
          <w:sz w:val="21"/>
          <w:szCs w:val="21"/>
          <w:lang w:val="es-ES_tradnl" w:eastAsia="es-CO"/>
        </w:rPr>
        <w:t>parágrafo del art. 2.5.2.1.1 del Decreto 2555 de 2010 el negocio fiduciario no puede</w:t>
      </w:r>
      <w:r w:rsidR="0053033E" w:rsidRPr="007F3C86">
        <w:rPr>
          <w:rFonts w:ascii="Century Gothic" w:eastAsia="MS Mincho" w:hAnsi="Century Gothic" w:cs="Arial"/>
          <w:sz w:val="21"/>
          <w:szCs w:val="21"/>
          <w:lang w:val="es-ES_tradnl" w:eastAsia="es-CO"/>
        </w:rPr>
        <w:t xml:space="preserve"> </w:t>
      </w:r>
      <w:r w:rsidRPr="007F3C86">
        <w:rPr>
          <w:rFonts w:ascii="Century Gothic" w:eastAsia="MS Mincho" w:hAnsi="Century Gothic" w:cs="Arial"/>
          <w:sz w:val="21"/>
          <w:szCs w:val="21"/>
          <w:lang w:val="es-ES_tradnl" w:eastAsia="es-CO"/>
        </w:rPr>
        <w:t>servir de instrumento para realizar actos o contratos que no pueda celebrar</w:t>
      </w:r>
      <w:r w:rsidR="0053033E" w:rsidRPr="007F3C86">
        <w:rPr>
          <w:rFonts w:ascii="Century Gothic" w:eastAsia="MS Mincho" w:hAnsi="Century Gothic" w:cs="Arial"/>
          <w:sz w:val="21"/>
          <w:szCs w:val="21"/>
          <w:lang w:val="es-ES_tradnl" w:eastAsia="es-CO"/>
        </w:rPr>
        <w:t xml:space="preserve"> </w:t>
      </w:r>
      <w:r w:rsidRPr="007F3C86">
        <w:rPr>
          <w:rFonts w:ascii="Century Gothic" w:eastAsia="MS Mincho" w:hAnsi="Century Gothic" w:cs="Arial"/>
          <w:sz w:val="21"/>
          <w:szCs w:val="21"/>
          <w:lang w:val="es-ES_tradnl" w:eastAsia="es-CO"/>
        </w:rPr>
        <w:t>directamente el fideicomitente de acuerdo con las disposiciones legales, en razón de</w:t>
      </w:r>
      <w:r w:rsidR="0053033E" w:rsidRPr="007F3C86">
        <w:rPr>
          <w:rFonts w:ascii="Century Gothic" w:eastAsia="MS Mincho" w:hAnsi="Century Gothic" w:cs="Arial"/>
          <w:sz w:val="21"/>
          <w:szCs w:val="21"/>
          <w:lang w:val="es-ES_tradnl" w:eastAsia="es-CO"/>
        </w:rPr>
        <w:t xml:space="preserve"> </w:t>
      </w:r>
      <w:r w:rsidRPr="007F3C86">
        <w:rPr>
          <w:rFonts w:ascii="Century Gothic" w:eastAsia="MS Mincho" w:hAnsi="Century Gothic" w:cs="Arial"/>
          <w:sz w:val="21"/>
          <w:szCs w:val="21"/>
          <w:lang w:val="es-ES_tradnl" w:eastAsia="es-CO"/>
        </w:rPr>
        <w:t>lo cual, le corresponde a la sociedad fiduciaria desarrollar acciones que le permitan</w:t>
      </w:r>
      <w:r w:rsidR="0053033E" w:rsidRPr="007F3C86">
        <w:rPr>
          <w:rFonts w:ascii="Century Gothic" w:eastAsia="MS Mincho" w:hAnsi="Century Gothic" w:cs="Arial"/>
          <w:sz w:val="21"/>
          <w:szCs w:val="21"/>
          <w:lang w:val="es-ES_tradnl" w:eastAsia="es-CO"/>
        </w:rPr>
        <w:t xml:space="preserve"> </w:t>
      </w:r>
      <w:r w:rsidRPr="007F3C86">
        <w:rPr>
          <w:rFonts w:ascii="Century Gothic" w:eastAsia="MS Mincho" w:hAnsi="Century Gothic" w:cs="Arial"/>
          <w:sz w:val="21"/>
          <w:szCs w:val="21"/>
          <w:lang w:val="es-ES_tradnl" w:eastAsia="es-CO"/>
        </w:rPr>
        <w:t>evitar que el negocio fiduciario se convierta en un instrumento de fraude a la ley. Este</w:t>
      </w:r>
      <w:r w:rsidR="0053033E" w:rsidRPr="007F3C86">
        <w:rPr>
          <w:rFonts w:ascii="Century Gothic" w:eastAsia="MS Mincho" w:hAnsi="Century Gothic" w:cs="Arial"/>
          <w:sz w:val="21"/>
          <w:szCs w:val="21"/>
          <w:lang w:val="es-ES_tradnl" w:eastAsia="es-CO"/>
        </w:rPr>
        <w:t xml:space="preserve"> </w:t>
      </w:r>
      <w:r w:rsidRPr="007F3C86">
        <w:rPr>
          <w:rFonts w:ascii="Century Gothic" w:eastAsia="MS Mincho" w:hAnsi="Century Gothic" w:cs="Arial"/>
          <w:sz w:val="21"/>
          <w:szCs w:val="21"/>
          <w:lang w:val="es-ES_tradnl" w:eastAsia="es-CO"/>
        </w:rPr>
        <w:t>mismo análisis debe realizarse cuando quiera que al fideicomiso se vinculen de</w:t>
      </w:r>
      <w:r w:rsidR="0053033E" w:rsidRPr="007F3C86">
        <w:rPr>
          <w:rFonts w:ascii="Century Gothic" w:eastAsia="MS Mincho" w:hAnsi="Century Gothic" w:cs="Arial"/>
          <w:sz w:val="21"/>
          <w:szCs w:val="21"/>
          <w:lang w:val="es-ES_tradnl" w:eastAsia="es-CO"/>
        </w:rPr>
        <w:t xml:space="preserve"> </w:t>
      </w:r>
      <w:r w:rsidRPr="007F3C86">
        <w:rPr>
          <w:rFonts w:ascii="Century Gothic" w:eastAsia="MS Mincho" w:hAnsi="Century Gothic" w:cs="Arial"/>
          <w:sz w:val="21"/>
          <w:szCs w:val="21"/>
          <w:lang w:val="es-ES_tradnl" w:eastAsia="es-CO"/>
        </w:rPr>
        <w:t>manera directa o indirecta recursos públicos.</w:t>
      </w:r>
    </w:p>
    <w:p w14:paraId="12DF19FF" w14:textId="5581440B" w:rsidR="00CD77E7" w:rsidRPr="007F3C86" w:rsidRDefault="00CD77E7" w:rsidP="007F3C86">
      <w:pPr>
        <w:spacing w:after="120" w:line="240" w:lineRule="auto"/>
        <w:ind w:left="709" w:right="709"/>
        <w:jc w:val="both"/>
        <w:rPr>
          <w:rFonts w:ascii="Century Gothic" w:eastAsia="MS Mincho" w:hAnsi="Century Gothic" w:cs="Arial"/>
          <w:sz w:val="21"/>
          <w:szCs w:val="21"/>
          <w:lang w:val="es-ES_tradnl" w:eastAsia="es-CO"/>
        </w:rPr>
      </w:pPr>
      <w:r w:rsidRPr="007F3C86">
        <w:rPr>
          <w:rFonts w:ascii="Century Gothic" w:eastAsia="MS Mincho" w:hAnsi="Century Gothic" w:cs="Arial"/>
          <w:sz w:val="21"/>
          <w:szCs w:val="21"/>
          <w:lang w:val="es-ES_tradnl" w:eastAsia="es-CO"/>
        </w:rPr>
        <w:t>Como corolario de lo anterior, toda sociedad fiduciaria está obligada, antes de</w:t>
      </w:r>
      <w:r w:rsidR="0053033E" w:rsidRPr="007F3C86">
        <w:rPr>
          <w:rFonts w:ascii="Century Gothic" w:eastAsia="MS Mincho" w:hAnsi="Century Gothic" w:cs="Arial"/>
          <w:sz w:val="21"/>
          <w:szCs w:val="21"/>
          <w:lang w:val="es-ES_tradnl" w:eastAsia="es-CO"/>
        </w:rPr>
        <w:t xml:space="preserve"> </w:t>
      </w:r>
      <w:r w:rsidRPr="007F3C86">
        <w:rPr>
          <w:rFonts w:ascii="Century Gothic" w:eastAsia="MS Mincho" w:hAnsi="Century Gothic" w:cs="Arial"/>
          <w:sz w:val="21"/>
          <w:szCs w:val="21"/>
          <w:lang w:val="es-ES_tradnl" w:eastAsia="es-CO"/>
        </w:rPr>
        <w:t>celebrar con una entidad estatal un contrato de fiducia pública o un encargo fiduciario,</w:t>
      </w:r>
      <w:r w:rsidR="0053033E" w:rsidRPr="007F3C86">
        <w:rPr>
          <w:rFonts w:ascii="Century Gothic" w:eastAsia="MS Mincho" w:hAnsi="Century Gothic" w:cs="Arial"/>
          <w:sz w:val="21"/>
          <w:szCs w:val="21"/>
          <w:lang w:val="es-ES_tradnl" w:eastAsia="es-CO"/>
        </w:rPr>
        <w:t xml:space="preserve"> </w:t>
      </w:r>
      <w:r w:rsidRPr="007F3C86">
        <w:rPr>
          <w:rFonts w:ascii="Century Gothic" w:eastAsia="MS Mincho" w:hAnsi="Century Gothic" w:cs="Arial"/>
          <w:sz w:val="21"/>
          <w:szCs w:val="21"/>
          <w:lang w:val="es-ES_tradnl" w:eastAsia="es-CO"/>
        </w:rPr>
        <w:t>a cerciorarse de que el mismo no adolezca de ilicitud por causa u objeto o por</w:t>
      </w:r>
      <w:r w:rsidR="0053033E" w:rsidRPr="007F3C86">
        <w:rPr>
          <w:rFonts w:ascii="Century Gothic" w:eastAsia="MS Mincho" w:hAnsi="Century Gothic" w:cs="Arial"/>
          <w:sz w:val="21"/>
          <w:szCs w:val="21"/>
          <w:lang w:val="es-ES_tradnl" w:eastAsia="es-CO"/>
        </w:rPr>
        <w:t xml:space="preserve"> </w:t>
      </w:r>
      <w:r w:rsidRPr="007F3C86">
        <w:rPr>
          <w:rFonts w:ascii="Century Gothic" w:eastAsia="MS Mincho" w:hAnsi="Century Gothic" w:cs="Arial"/>
          <w:sz w:val="21"/>
          <w:szCs w:val="21"/>
          <w:lang w:val="es-ES_tradnl" w:eastAsia="es-CO"/>
        </w:rPr>
        <w:t>cualquiera otra circunstancia de la cual ella pueda derivarse.</w:t>
      </w:r>
    </w:p>
    <w:p w14:paraId="02683827" w14:textId="405E717C" w:rsidR="00CD77E7" w:rsidRPr="004A2A93" w:rsidRDefault="00CD77E7" w:rsidP="007F3C86">
      <w:pPr>
        <w:spacing w:after="120" w:line="240" w:lineRule="auto"/>
        <w:ind w:left="709" w:right="709"/>
        <w:jc w:val="both"/>
        <w:rPr>
          <w:rFonts w:ascii="Century Gothic" w:eastAsia="MS Mincho" w:hAnsi="Century Gothic" w:cs="Arial"/>
          <w:i/>
          <w:iCs/>
          <w:sz w:val="21"/>
          <w:szCs w:val="21"/>
          <w:lang w:val="es-ES_tradnl" w:eastAsia="es-CO"/>
        </w:rPr>
      </w:pPr>
      <w:r w:rsidRPr="007F3C86">
        <w:rPr>
          <w:rFonts w:ascii="Century Gothic" w:eastAsia="MS Mincho" w:hAnsi="Century Gothic" w:cs="Arial"/>
          <w:sz w:val="21"/>
          <w:szCs w:val="21"/>
          <w:lang w:val="es-ES_tradnl" w:eastAsia="es-CO"/>
        </w:rPr>
        <w:t xml:space="preserve">vi) </w:t>
      </w:r>
      <w:r w:rsidRPr="004A2A93">
        <w:rPr>
          <w:rFonts w:ascii="Century Gothic" w:eastAsia="MS Mincho" w:hAnsi="Century Gothic" w:cs="Arial"/>
          <w:i/>
          <w:iCs/>
          <w:sz w:val="21"/>
          <w:szCs w:val="21"/>
          <w:lang w:val="es-ES_tradnl" w:eastAsia="es-CO"/>
        </w:rPr>
        <w:t>De acuerdo con la citada circular, «a las entidades estatales, entendiendo por</w:t>
      </w:r>
      <w:r w:rsidR="0053033E" w:rsidRPr="004A2A93">
        <w:rPr>
          <w:rFonts w:ascii="Century Gothic" w:eastAsia="MS Mincho" w:hAnsi="Century Gothic" w:cs="Arial"/>
          <w:i/>
          <w:iCs/>
          <w:sz w:val="21"/>
          <w:szCs w:val="21"/>
          <w:lang w:val="es-ES_tradnl" w:eastAsia="es-CO"/>
        </w:rPr>
        <w:t xml:space="preserve"> </w:t>
      </w:r>
      <w:r w:rsidRPr="004A2A93">
        <w:rPr>
          <w:rFonts w:ascii="Century Gothic" w:eastAsia="MS Mincho" w:hAnsi="Century Gothic" w:cs="Arial"/>
          <w:i/>
          <w:iCs/>
          <w:sz w:val="21"/>
          <w:szCs w:val="21"/>
          <w:lang w:val="es-ES_tradnl" w:eastAsia="es-CO"/>
        </w:rPr>
        <w:t>tales las señaladas en el numeral 1 del art. 2 de la Ley 80 de 1993, las normas a</w:t>
      </w:r>
      <w:r w:rsidR="0097209D" w:rsidRPr="004A2A93">
        <w:rPr>
          <w:rFonts w:ascii="Century Gothic" w:eastAsia="MS Mincho" w:hAnsi="Century Gothic" w:cs="Arial"/>
          <w:i/>
          <w:iCs/>
          <w:sz w:val="21"/>
          <w:szCs w:val="21"/>
          <w:lang w:val="es-ES_tradnl" w:eastAsia="es-CO"/>
        </w:rPr>
        <w:t xml:space="preserve"> </w:t>
      </w:r>
      <w:r w:rsidRPr="004A2A93">
        <w:rPr>
          <w:rFonts w:ascii="Century Gothic" w:eastAsia="MS Mincho" w:hAnsi="Century Gothic" w:cs="Arial"/>
          <w:i/>
          <w:iCs/>
          <w:sz w:val="21"/>
          <w:szCs w:val="21"/>
          <w:lang w:val="es-ES_tradnl" w:eastAsia="es-CO"/>
        </w:rPr>
        <w:t>ellas aplicables reconocen expresamente la posibilidad de celebrar, en calidad de</w:t>
      </w:r>
      <w:r w:rsidR="0097209D" w:rsidRPr="004A2A93">
        <w:rPr>
          <w:rFonts w:ascii="Century Gothic" w:eastAsia="MS Mincho" w:hAnsi="Century Gothic" w:cs="Arial"/>
          <w:i/>
          <w:iCs/>
          <w:sz w:val="21"/>
          <w:szCs w:val="21"/>
          <w:lang w:val="es-ES_tradnl" w:eastAsia="es-CO"/>
        </w:rPr>
        <w:t xml:space="preserve"> </w:t>
      </w:r>
      <w:r w:rsidRPr="004A2A93">
        <w:rPr>
          <w:rFonts w:ascii="Century Gothic" w:eastAsia="MS Mincho" w:hAnsi="Century Gothic" w:cs="Arial"/>
          <w:i/>
          <w:iCs/>
          <w:sz w:val="21"/>
          <w:szCs w:val="21"/>
          <w:lang w:val="es-ES_tradnl" w:eastAsia="es-CO"/>
        </w:rPr>
        <w:t>fideicomitentes, única y exclusivamente contratos de fiducia pública y encargos</w:t>
      </w:r>
      <w:r w:rsidR="00986526" w:rsidRPr="004A2A93">
        <w:rPr>
          <w:rFonts w:ascii="Century Gothic" w:eastAsia="MS Mincho" w:hAnsi="Century Gothic" w:cs="Arial"/>
          <w:i/>
          <w:iCs/>
          <w:sz w:val="21"/>
          <w:szCs w:val="21"/>
          <w:lang w:val="es-ES_tradnl" w:eastAsia="es-CO"/>
        </w:rPr>
        <w:t xml:space="preserve"> </w:t>
      </w:r>
      <w:r w:rsidRPr="004A2A93">
        <w:rPr>
          <w:rFonts w:ascii="Century Gothic" w:eastAsia="MS Mincho" w:hAnsi="Century Gothic" w:cs="Arial"/>
          <w:i/>
          <w:iCs/>
          <w:sz w:val="21"/>
          <w:szCs w:val="21"/>
          <w:lang w:val="es-ES_tradnl" w:eastAsia="es-CO"/>
        </w:rPr>
        <w:t>fiduciarios».</w:t>
      </w:r>
    </w:p>
    <w:p w14:paraId="39B99929" w14:textId="68DD716D" w:rsidR="00CD77E7" w:rsidRPr="004A2A93" w:rsidRDefault="00CD77E7" w:rsidP="004A2A93">
      <w:pPr>
        <w:spacing w:after="120" w:line="240" w:lineRule="auto"/>
        <w:ind w:left="709" w:right="709"/>
        <w:jc w:val="both"/>
        <w:rPr>
          <w:rFonts w:ascii="Century Gothic" w:eastAsia="MS Mincho" w:hAnsi="Century Gothic" w:cs="Arial"/>
          <w:sz w:val="21"/>
          <w:szCs w:val="21"/>
          <w:lang w:val="es-ES_tradnl" w:eastAsia="es-CO"/>
        </w:rPr>
      </w:pPr>
      <w:r w:rsidRPr="004A2A93">
        <w:rPr>
          <w:rFonts w:ascii="Century Gothic" w:eastAsia="MS Mincho" w:hAnsi="Century Gothic" w:cs="Arial"/>
          <w:i/>
          <w:iCs/>
          <w:sz w:val="21"/>
          <w:szCs w:val="21"/>
          <w:lang w:val="es-ES_tradnl" w:eastAsia="es-CO"/>
        </w:rPr>
        <w:t>Con todo, esta regla no es absoluta, pues pueden existir situaciones en las cuales</w:t>
      </w:r>
      <w:r w:rsidR="00986526" w:rsidRPr="004A2A93">
        <w:rPr>
          <w:rFonts w:ascii="Century Gothic" w:eastAsia="MS Mincho" w:hAnsi="Century Gothic" w:cs="Arial"/>
          <w:i/>
          <w:iCs/>
          <w:sz w:val="21"/>
          <w:szCs w:val="21"/>
          <w:lang w:val="es-ES_tradnl" w:eastAsia="es-CO"/>
        </w:rPr>
        <w:t xml:space="preserve"> </w:t>
      </w:r>
      <w:r w:rsidRPr="004A2A93">
        <w:rPr>
          <w:rFonts w:ascii="Century Gothic" w:eastAsia="MS Mincho" w:hAnsi="Century Gothic" w:cs="Arial"/>
          <w:i/>
          <w:iCs/>
          <w:sz w:val="21"/>
          <w:szCs w:val="21"/>
          <w:lang w:val="es-ES_tradnl" w:eastAsia="es-CO"/>
        </w:rPr>
        <w:t>una entidad pública se encuentra facultada para celebrar contratos de fiducia</w:t>
      </w:r>
      <w:r w:rsidR="00986526" w:rsidRPr="004A2A93">
        <w:rPr>
          <w:rFonts w:ascii="Century Gothic" w:eastAsia="MS Mincho" w:hAnsi="Century Gothic" w:cs="Arial"/>
          <w:i/>
          <w:iCs/>
          <w:sz w:val="21"/>
          <w:szCs w:val="21"/>
          <w:lang w:val="es-ES_tradnl" w:eastAsia="es-CO"/>
        </w:rPr>
        <w:t xml:space="preserve"> </w:t>
      </w:r>
      <w:r w:rsidRPr="004A2A93">
        <w:rPr>
          <w:rFonts w:ascii="Century Gothic" w:eastAsia="MS Mincho" w:hAnsi="Century Gothic" w:cs="Arial"/>
          <w:i/>
          <w:iCs/>
          <w:sz w:val="21"/>
          <w:szCs w:val="21"/>
          <w:lang w:val="es-ES_tradnl" w:eastAsia="es-CO"/>
        </w:rPr>
        <w:t>mercantil</w:t>
      </w:r>
      <w:r w:rsidR="004A2A93" w:rsidRPr="004A2A93">
        <w:rPr>
          <w:rFonts w:ascii="Century Gothic" w:eastAsia="MS Mincho" w:hAnsi="Century Gothic" w:cs="Arial"/>
          <w:i/>
          <w:iCs/>
          <w:sz w:val="21"/>
          <w:szCs w:val="21"/>
          <w:lang w:val="es-ES_tradnl" w:eastAsia="es-CO"/>
        </w:rPr>
        <w:t xml:space="preserve"> (…)”</w:t>
      </w:r>
      <w:r w:rsidRPr="004A2A93">
        <w:rPr>
          <w:rFonts w:ascii="Century Gothic" w:eastAsia="MS Mincho" w:hAnsi="Century Gothic" w:cs="Arial"/>
          <w:i/>
          <w:iCs/>
          <w:sz w:val="21"/>
          <w:szCs w:val="21"/>
          <w:lang w:val="es-ES_tradnl" w:eastAsia="es-CO"/>
        </w:rPr>
        <w:t xml:space="preserve"> </w:t>
      </w:r>
      <w:r w:rsidR="004A2A93">
        <w:rPr>
          <w:rFonts w:ascii="Century Gothic" w:eastAsia="MS Mincho" w:hAnsi="Century Gothic" w:cs="Arial"/>
          <w:sz w:val="21"/>
          <w:szCs w:val="21"/>
          <w:lang w:val="es-ES_tradnl" w:eastAsia="es-CO"/>
        </w:rPr>
        <w:t>(énfasis fuera de texto)</w:t>
      </w:r>
    </w:p>
    <w:p w14:paraId="2E05B2E3" w14:textId="255C04DA" w:rsidR="0018369F" w:rsidRPr="004E4408" w:rsidRDefault="0018369F" w:rsidP="006C092A">
      <w:pPr>
        <w:spacing w:after="120" w:line="276" w:lineRule="auto"/>
        <w:ind w:firstLine="708"/>
        <w:jc w:val="both"/>
        <w:rPr>
          <w:rFonts w:ascii="Century Gothic" w:eastAsia="MS Mincho" w:hAnsi="Century Gothic" w:cs="Arial"/>
          <w:lang w:val="es-ES_tradnl" w:eastAsia="es-CO"/>
        </w:rPr>
      </w:pPr>
      <w:r w:rsidRPr="007D623A">
        <w:rPr>
          <w:rFonts w:ascii="Century Gothic" w:eastAsia="MS Mincho" w:hAnsi="Century Gothic" w:cs="Arial"/>
          <w:lang w:val="es-ES_tradnl" w:eastAsia="es-CO"/>
        </w:rPr>
        <w:t>De conformidad con lo expuesto, se entiende que las entidades estatales pueden entregar el manejo de recursos con el fin de hacer pagos o desembolsos derivados de un contrato estatal, ya sea por fiducia pública o encargo fiduciario. Sin embargo, el inciso 7, del numeral 5, del artículo 32 de la Ley 80 de 1993, prohíbe que se constituya patrimonio autónomo en virtud de estos negocios fiduciarios. En estos casos, la entidad estatal mantiene la propiedad de los recursos y por ello conserva el control sobre ellos. Solo en supuestos excepcionales, en los que exista autorización legal expresa, ciertas entidades estatales podrán transferir la propiedad de recursos públicos a un patrimonio autónomo. Incluso esta transferencia de propiedad debe tener una finalidad específica y la entidad mantiene la obligación de vigilar que se cumplan los fines estatales que motivaron la contratación. En consecuencia, la entidad estatal debe conservar el control de los recursos entregados al patrimonio autónomo.</w:t>
      </w:r>
    </w:p>
    <w:p w14:paraId="2BAC8801" w14:textId="77777777" w:rsidR="0018369F" w:rsidRPr="004E4408" w:rsidRDefault="0018369F" w:rsidP="00031122">
      <w:pPr>
        <w:spacing w:before="120" w:after="120" w:line="276" w:lineRule="auto"/>
        <w:ind w:firstLine="708"/>
        <w:jc w:val="both"/>
        <w:textAlignment w:val="baseline"/>
        <w:rPr>
          <w:rFonts w:ascii="Century Gothic" w:eastAsia="MS Mincho" w:hAnsi="Century Gothic" w:cs="Arial"/>
          <w:lang w:val="es-ES_tradnl" w:eastAsia="es-CO"/>
        </w:rPr>
      </w:pPr>
      <w:r w:rsidRPr="004E4408">
        <w:rPr>
          <w:rFonts w:ascii="Century Gothic" w:eastAsia="MS Mincho" w:hAnsi="Century Gothic" w:cs="Arial"/>
          <w:lang w:val="es-ES_tradnl" w:eastAsia="es-CO"/>
        </w:rPr>
        <w:t>En síntesis, el contrato de fiducia mercantil es diferente del contrato de fiducia pública, regulado en el numeral 5º del artículo 32 de la Ley 80 de 1993, pues este</w:t>
      </w:r>
      <w:r w:rsidRPr="004E4408">
        <w:rPr>
          <w:rFonts w:ascii="Century Gothic" w:eastAsia="MS Mincho" w:hAnsi="Century Gothic" w:cs="Arial"/>
          <w:spacing w:val="52"/>
          <w:lang w:val="es-ES_tradnl" w:eastAsia="es-CO"/>
        </w:rPr>
        <w:t xml:space="preserve"> </w:t>
      </w:r>
      <w:r w:rsidRPr="004E4408">
        <w:rPr>
          <w:rFonts w:ascii="Century Gothic" w:eastAsia="MS Mincho" w:hAnsi="Century Gothic" w:cs="Arial"/>
          <w:lang w:val="es-ES_tradnl" w:eastAsia="es-CO"/>
        </w:rPr>
        <w:t>último nunca implicará transferencia de dominio sobre bienes o recursos estatales, ni constituirá patrimonio autónomo del propio de la respectiva entidad estatal. En este contexto, la constitución de patrimonios autónomos por parte de entidades estatales solamente puede darse en virtud de una autorización legal. Respecto de la fiducia pública y el encargo fiduciario, el Consejo de Estado ha precisado que el primero constituye un contrato nuevo y autónomo, y el segundo se autoriza solamente para administrar o manejar los recursos vinculados a contratos que las entidades estatales celebren, lo cual se encuentra en consonancia con la disposición según la cual los pagos correspondientes a los contratos celebrados por las entidades para la prestación de los servicios de salud, se pueden hacer mediante encargos fiduciarios y con aquella que establece que los fondos destinados a la cancelación de obligaciones derivadas de contratos estatales pueden ser entregados en administración fiduciaria</w:t>
      </w:r>
      <w:r w:rsidRPr="004E4408">
        <w:rPr>
          <w:rFonts w:ascii="Century Gothic" w:eastAsia="MS Mincho" w:hAnsi="Century Gothic" w:cs="Arial"/>
          <w:vertAlign w:val="superscript"/>
          <w:lang w:val="es-ES_tradnl" w:eastAsia="es-CO"/>
        </w:rPr>
        <w:footnoteReference w:id="23"/>
      </w:r>
      <w:r w:rsidRPr="004E4408">
        <w:rPr>
          <w:rFonts w:ascii="Century Gothic" w:eastAsia="MS Mincho" w:hAnsi="Century Gothic" w:cs="Arial"/>
          <w:lang w:val="es-ES_tradnl" w:eastAsia="es-CO"/>
        </w:rPr>
        <w:t>.</w:t>
      </w:r>
    </w:p>
    <w:p w14:paraId="6AD90365" w14:textId="74A47D28" w:rsidR="004E4408" w:rsidRPr="004545D8" w:rsidRDefault="004545D8" w:rsidP="004545D8">
      <w:pPr>
        <w:spacing w:after="0" w:line="276" w:lineRule="auto"/>
        <w:jc w:val="both"/>
        <w:rPr>
          <w:rFonts w:ascii="Century Gothic" w:eastAsia="MS Mincho" w:hAnsi="Century Gothic" w:cs="Arial"/>
          <w:b/>
          <w:bCs/>
          <w:sz w:val="20"/>
          <w:szCs w:val="20"/>
          <w:lang w:val="es-ES_tradnl" w:eastAsia="es-CO"/>
        </w:rPr>
      </w:pPr>
      <w:r w:rsidRPr="004545D8">
        <w:rPr>
          <w:rFonts w:ascii="Century Gothic" w:hAnsi="Century Gothic" w:cs="Arial"/>
          <w:b/>
          <w:bCs/>
          <w:color w:val="000000" w:themeColor="text1"/>
        </w:rPr>
        <w:t>2.5. Contrato de fiducia mercantil irrevocable de administración y pagos para el manejo de anticipo.</w:t>
      </w:r>
    </w:p>
    <w:p w14:paraId="456E11BB" w14:textId="75A5C095" w:rsidR="00820C44" w:rsidRPr="00EA402B" w:rsidRDefault="00CC6BA8" w:rsidP="00CC6BA8">
      <w:pPr>
        <w:spacing w:before="240" w:after="120" w:line="276" w:lineRule="auto"/>
        <w:jc w:val="both"/>
        <w:rPr>
          <w:rFonts w:ascii="Century Gothic" w:eastAsia="MS Mincho" w:hAnsi="Century Gothic" w:cs="Arial"/>
          <w:lang w:val="es-ES_tradnl" w:eastAsia="es-CO"/>
        </w:rPr>
      </w:pPr>
      <w:r w:rsidRPr="00EA402B">
        <w:rPr>
          <w:rFonts w:ascii="Century Gothic" w:eastAsia="MS Mincho" w:hAnsi="Century Gothic" w:cs="Arial"/>
          <w:lang w:val="es-ES_tradnl" w:eastAsia="es-CO"/>
        </w:rPr>
        <w:t>Conforme a lo expuesto, l</w:t>
      </w:r>
      <w:r w:rsidR="00820C44" w:rsidRPr="00EA402B">
        <w:rPr>
          <w:rFonts w:ascii="Century Gothic" w:eastAsia="MS Mincho" w:hAnsi="Century Gothic" w:cs="Arial"/>
          <w:lang w:val="es-ES_tradnl" w:eastAsia="es-CO"/>
        </w:rPr>
        <w:t xml:space="preserve">a Ley 80 de 1993 permite </w:t>
      </w:r>
      <w:r w:rsidRPr="00EA402B">
        <w:rPr>
          <w:rFonts w:ascii="Century Gothic" w:eastAsia="MS Mincho" w:hAnsi="Century Gothic" w:cs="Arial"/>
          <w:lang w:val="es-ES_tradnl" w:eastAsia="es-CO"/>
        </w:rPr>
        <w:t xml:space="preserve">a las entidades estatales </w:t>
      </w:r>
      <w:r w:rsidR="00820C44" w:rsidRPr="00EA402B">
        <w:rPr>
          <w:rFonts w:ascii="Century Gothic" w:eastAsia="MS Mincho" w:hAnsi="Century Gothic" w:cs="Arial"/>
          <w:lang w:val="es-ES_tradnl" w:eastAsia="es-CO"/>
        </w:rPr>
        <w:t>realizar negocios fiduciarios, siempre que tengan por objeto la administración o el manejo de los recursos vinculados a los contratos estatales</w:t>
      </w:r>
      <w:r w:rsidRPr="00EA402B">
        <w:rPr>
          <w:rFonts w:ascii="Century Gothic" w:eastAsia="MS Mincho" w:hAnsi="Century Gothic" w:cs="Arial"/>
          <w:lang w:val="es-ES_tradnl" w:eastAsia="es-CO"/>
        </w:rPr>
        <w:t xml:space="preserve">. </w:t>
      </w:r>
      <w:r w:rsidR="00820C44" w:rsidRPr="00EA402B">
        <w:rPr>
          <w:rFonts w:ascii="Century Gothic" w:eastAsia="MS Mincho" w:hAnsi="Century Gothic" w:cs="Arial"/>
          <w:lang w:val="es-ES_tradnl" w:eastAsia="es-CO"/>
        </w:rPr>
        <w:t xml:space="preserve">Además, debe señalarse que la contratación derivada de negocios fiduciarios se rige por el Estatuto General de la Contratación de la Administración Pública, como lo establece el artículo 32: </w:t>
      </w:r>
      <w:r w:rsidR="004E4408" w:rsidRPr="0043504F">
        <w:rPr>
          <w:rFonts w:ascii="Century Gothic" w:eastAsia="MS Mincho" w:hAnsi="Century Gothic" w:cs="Arial"/>
          <w:i/>
          <w:iCs/>
          <w:lang w:val="es-ES_tradnl" w:eastAsia="es-CO"/>
        </w:rPr>
        <w:t>“</w:t>
      </w:r>
      <w:r w:rsidR="00820C44" w:rsidRPr="0043504F">
        <w:rPr>
          <w:rFonts w:ascii="Century Gothic" w:eastAsia="MS Mincho" w:hAnsi="Century Gothic" w:cs="Arial"/>
          <w:i/>
          <w:iCs/>
          <w:lang w:val="es-ES_tradnl" w:eastAsia="es-CO"/>
        </w:rPr>
        <w:t>Los actos y contratos que se realicen en desarrollo de un contrato de fiducia pública o encargo fiduciario cumplirán estrictamente con las normas previstas en este estatuto, así como con las disposiciones fiscales, presupuestales, de interventoría y de control a las cuales esté sujeta la entidad estatal fideicomitente</w:t>
      </w:r>
      <w:r w:rsidR="004E4408" w:rsidRPr="0043504F">
        <w:rPr>
          <w:rFonts w:ascii="Century Gothic" w:eastAsia="MS Mincho" w:hAnsi="Century Gothic" w:cs="Arial"/>
          <w:i/>
          <w:iCs/>
          <w:lang w:val="es-ES_tradnl" w:eastAsia="es-CO"/>
        </w:rPr>
        <w:t>”</w:t>
      </w:r>
      <w:r w:rsidR="00820C44" w:rsidRPr="0043504F">
        <w:rPr>
          <w:rFonts w:ascii="Century Gothic" w:eastAsia="MS Mincho" w:hAnsi="Century Gothic" w:cs="Arial"/>
          <w:i/>
          <w:iCs/>
          <w:lang w:val="es-ES_tradnl" w:eastAsia="es-CO"/>
        </w:rPr>
        <w:t>,</w:t>
      </w:r>
      <w:r w:rsidR="00820C44" w:rsidRPr="00EA402B">
        <w:rPr>
          <w:rFonts w:ascii="Century Gothic" w:eastAsia="MS Mincho" w:hAnsi="Century Gothic" w:cs="Arial"/>
          <w:lang w:val="es-ES_tradnl" w:eastAsia="es-CO"/>
        </w:rPr>
        <w:t xml:space="preserve"> razón por la cual</w:t>
      </w:r>
      <w:r w:rsidR="0043504F">
        <w:rPr>
          <w:rFonts w:ascii="Century Gothic" w:eastAsia="MS Mincho" w:hAnsi="Century Gothic" w:cs="Arial"/>
          <w:lang w:val="es-ES_tradnl" w:eastAsia="es-CO"/>
        </w:rPr>
        <w:t>,</w:t>
      </w:r>
      <w:r w:rsidR="00820C44" w:rsidRPr="00EA402B">
        <w:rPr>
          <w:rFonts w:ascii="Century Gothic" w:eastAsia="MS Mincho" w:hAnsi="Century Gothic" w:cs="Arial"/>
          <w:lang w:val="es-ES_tradnl" w:eastAsia="es-CO"/>
        </w:rPr>
        <w:t xml:space="preserve"> la contratación derivada del contrato fiduciario se regirá por la Ley 80 de</w:t>
      </w:r>
      <w:r w:rsidR="00820C44" w:rsidRPr="00EA402B">
        <w:rPr>
          <w:rFonts w:ascii="Century Gothic" w:eastAsia="MS Mincho" w:hAnsi="Century Gothic" w:cs="Arial"/>
          <w:spacing w:val="-13"/>
          <w:lang w:val="es-ES_tradnl" w:eastAsia="es-CO"/>
        </w:rPr>
        <w:t xml:space="preserve"> </w:t>
      </w:r>
      <w:r w:rsidR="00820C44" w:rsidRPr="00EA402B">
        <w:rPr>
          <w:rFonts w:ascii="Century Gothic" w:eastAsia="MS Mincho" w:hAnsi="Century Gothic" w:cs="Arial"/>
          <w:lang w:val="es-ES_tradnl" w:eastAsia="es-CO"/>
        </w:rPr>
        <w:t xml:space="preserve">1993, salvo que alguna ley especial </w:t>
      </w:r>
      <w:r w:rsidR="00AF68F6">
        <w:rPr>
          <w:rFonts w:ascii="Century Gothic" w:eastAsia="MS Mincho" w:hAnsi="Century Gothic" w:cs="Arial"/>
          <w:lang w:val="es-ES_tradnl" w:eastAsia="es-CO"/>
        </w:rPr>
        <w:t xml:space="preserve">como las que </w:t>
      </w:r>
      <w:r w:rsidR="00820C44" w:rsidRPr="00EA402B">
        <w:rPr>
          <w:rFonts w:ascii="Century Gothic" w:eastAsia="MS Mincho" w:hAnsi="Century Gothic" w:cs="Arial"/>
          <w:lang w:val="es-ES_tradnl" w:eastAsia="es-CO"/>
        </w:rPr>
        <w:t>permit</w:t>
      </w:r>
      <w:r w:rsidR="00AF68F6">
        <w:rPr>
          <w:rFonts w:ascii="Century Gothic" w:eastAsia="MS Mincho" w:hAnsi="Century Gothic" w:cs="Arial"/>
          <w:lang w:val="es-ES_tradnl" w:eastAsia="es-CO"/>
        </w:rPr>
        <w:t>en la constitución de</w:t>
      </w:r>
      <w:r w:rsidR="00820C44" w:rsidRPr="00EA402B">
        <w:rPr>
          <w:rFonts w:ascii="Century Gothic" w:eastAsia="MS Mincho" w:hAnsi="Century Gothic" w:cs="Arial"/>
          <w:lang w:val="es-ES_tradnl" w:eastAsia="es-CO"/>
        </w:rPr>
        <w:t xml:space="preserve"> patrimonio autónomo actúe de forma diferente</w:t>
      </w:r>
      <w:r w:rsidR="0043504F">
        <w:rPr>
          <w:rFonts w:ascii="Century Gothic" w:eastAsia="MS Mincho" w:hAnsi="Century Gothic" w:cs="Arial"/>
          <w:lang w:val="es-ES_tradnl" w:eastAsia="es-CO"/>
        </w:rPr>
        <w:t>,</w:t>
      </w:r>
      <w:r w:rsidR="0009668C">
        <w:rPr>
          <w:rFonts w:ascii="Century Gothic" w:eastAsia="MS Mincho" w:hAnsi="Century Gothic" w:cs="Arial"/>
          <w:lang w:val="es-ES_tradnl" w:eastAsia="es-CO"/>
        </w:rPr>
        <w:t xml:space="preserve"> caso en el cual deberá aplicarse las normas del código de comercio sobre fiducia mercantil</w:t>
      </w:r>
      <w:r w:rsidR="00820C44" w:rsidRPr="00EA402B">
        <w:rPr>
          <w:rFonts w:ascii="Century Gothic" w:eastAsia="MS Mincho" w:hAnsi="Century Gothic" w:cs="Arial"/>
          <w:lang w:val="es-ES_tradnl" w:eastAsia="es-CO"/>
        </w:rPr>
        <w:t>.</w:t>
      </w:r>
    </w:p>
    <w:p w14:paraId="3CFFCE32" w14:textId="254077DB" w:rsidR="0009668C" w:rsidRDefault="00C32B76" w:rsidP="007855ED">
      <w:pPr>
        <w:spacing w:after="120" w:line="276" w:lineRule="auto"/>
        <w:ind w:firstLine="709"/>
        <w:jc w:val="both"/>
        <w:rPr>
          <w:rFonts w:ascii="Century Gothic" w:eastAsia="MS Mincho" w:hAnsi="Century Gothic" w:cs="Arial"/>
          <w:i/>
          <w:iCs/>
          <w:lang w:val="es-ES_tradnl" w:eastAsia="es-CO"/>
        </w:rPr>
      </w:pPr>
      <w:r>
        <w:rPr>
          <w:rFonts w:ascii="Century Gothic" w:eastAsia="MS Mincho" w:hAnsi="Century Gothic" w:cs="Arial"/>
          <w:lang w:val="es-ES_tradnl" w:eastAsia="es-CO"/>
        </w:rPr>
        <w:t>En ese contexto,</w:t>
      </w:r>
      <w:r w:rsidR="0043256C">
        <w:rPr>
          <w:rFonts w:ascii="Century Gothic" w:eastAsia="MS Mincho" w:hAnsi="Century Gothic" w:cs="Arial"/>
          <w:lang w:val="es-ES_tradnl" w:eastAsia="es-CO"/>
        </w:rPr>
        <w:t xml:space="preserve"> el proyecto de Ley 142 de 2010 del senado </w:t>
      </w:r>
      <w:r w:rsidR="0043256C" w:rsidRPr="00865BCD">
        <w:rPr>
          <w:rFonts w:ascii="Century Gothic" w:eastAsia="MS Mincho" w:hAnsi="Century Gothic" w:cs="Arial"/>
          <w:i/>
          <w:iCs/>
          <w:lang w:val="es-ES_tradnl" w:eastAsia="es-CO"/>
        </w:rPr>
        <w:t>“</w:t>
      </w:r>
      <w:r w:rsidR="00865BCD" w:rsidRPr="00865BCD">
        <w:rPr>
          <w:rFonts w:ascii="Century Gothic" w:eastAsia="MS Mincho" w:hAnsi="Century Gothic" w:cs="Arial"/>
          <w:i/>
          <w:iCs/>
          <w:lang w:val="es-ES_tradnl" w:eastAsia="es-CO"/>
        </w:rPr>
        <w:t>P</w:t>
      </w:r>
      <w:r w:rsidR="007855ED" w:rsidRPr="00865BCD">
        <w:rPr>
          <w:rFonts w:ascii="Century Gothic" w:eastAsia="MS Mincho" w:hAnsi="Century Gothic" w:cs="Arial"/>
          <w:i/>
          <w:iCs/>
          <w:lang w:val="es-ES_tradnl" w:eastAsia="es-CO"/>
        </w:rPr>
        <w:t>or la cual se dictan normas orientadas a fortalecer los mecanismos de prevención,</w:t>
      </w:r>
      <w:r w:rsidR="00865BCD" w:rsidRPr="00865BCD">
        <w:rPr>
          <w:rFonts w:ascii="Century Gothic" w:eastAsia="MS Mincho" w:hAnsi="Century Gothic" w:cs="Arial"/>
          <w:i/>
          <w:iCs/>
          <w:lang w:val="es-ES_tradnl" w:eastAsia="es-CO"/>
        </w:rPr>
        <w:t xml:space="preserve"> </w:t>
      </w:r>
      <w:r w:rsidR="007855ED" w:rsidRPr="00865BCD">
        <w:rPr>
          <w:rFonts w:ascii="Century Gothic" w:eastAsia="MS Mincho" w:hAnsi="Century Gothic" w:cs="Arial"/>
          <w:i/>
          <w:iCs/>
          <w:lang w:val="es-ES_tradnl" w:eastAsia="es-CO"/>
        </w:rPr>
        <w:t>investigación y sanción de actos de corrupción</w:t>
      </w:r>
      <w:r w:rsidR="00865BCD" w:rsidRPr="00865BCD">
        <w:rPr>
          <w:rFonts w:ascii="Century Gothic" w:eastAsia="MS Mincho" w:hAnsi="Century Gothic" w:cs="Arial"/>
          <w:i/>
          <w:iCs/>
          <w:lang w:val="es-ES_tradnl" w:eastAsia="es-CO"/>
        </w:rPr>
        <w:t xml:space="preserve"> </w:t>
      </w:r>
      <w:r w:rsidR="007855ED" w:rsidRPr="00865BCD">
        <w:rPr>
          <w:rFonts w:ascii="Century Gothic" w:eastAsia="MS Mincho" w:hAnsi="Century Gothic" w:cs="Arial"/>
          <w:i/>
          <w:iCs/>
          <w:lang w:val="es-ES_tradnl" w:eastAsia="es-CO"/>
        </w:rPr>
        <w:t>y la efectividad del control de la gestión pública</w:t>
      </w:r>
      <w:r w:rsidR="002515D2">
        <w:rPr>
          <w:rFonts w:ascii="Century Gothic" w:eastAsia="MS Mincho" w:hAnsi="Century Gothic" w:cs="Arial"/>
          <w:i/>
          <w:iCs/>
          <w:lang w:val="es-ES_tradnl" w:eastAsia="es-CO"/>
        </w:rPr>
        <w:t xml:space="preserve">”, </w:t>
      </w:r>
      <w:r w:rsidR="000A449C">
        <w:rPr>
          <w:rFonts w:ascii="Century Gothic" w:eastAsia="MS Mincho" w:hAnsi="Century Gothic" w:cs="Arial"/>
          <w:lang w:val="es-ES_tradnl" w:eastAsia="es-CO"/>
        </w:rPr>
        <w:t>con la que se</w:t>
      </w:r>
      <w:r w:rsidR="007A005B">
        <w:rPr>
          <w:rFonts w:ascii="Century Gothic" w:eastAsia="MS Mincho" w:hAnsi="Century Gothic" w:cs="Arial"/>
          <w:lang w:val="es-ES_tradnl" w:eastAsia="es-CO"/>
        </w:rPr>
        <w:t xml:space="preserve"> inicio el trámite legislativo de</w:t>
      </w:r>
      <w:r w:rsidR="000A449C">
        <w:rPr>
          <w:rFonts w:ascii="Century Gothic" w:eastAsia="MS Mincho" w:hAnsi="Century Gothic" w:cs="Arial"/>
          <w:lang w:val="es-ES_tradnl" w:eastAsia="es-CO"/>
        </w:rPr>
        <w:t xml:space="preserve"> la Ley 1474 d</w:t>
      </w:r>
      <w:r w:rsidR="008D62D1">
        <w:rPr>
          <w:rFonts w:ascii="Century Gothic" w:eastAsia="MS Mincho" w:hAnsi="Century Gothic" w:cs="Arial"/>
          <w:lang w:val="es-ES_tradnl" w:eastAsia="es-CO"/>
        </w:rPr>
        <w:t xml:space="preserve">e 2011, </w:t>
      </w:r>
      <w:r w:rsidR="00956A54">
        <w:rPr>
          <w:rFonts w:ascii="Century Gothic" w:eastAsia="MS Mincho" w:hAnsi="Century Gothic" w:cs="Arial"/>
          <w:lang w:val="es-ES_tradnl" w:eastAsia="es-CO"/>
        </w:rPr>
        <w:t xml:space="preserve">contempló </w:t>
      </w:r>
      <w:r w:rsidR="008D62D1">
        <w:rPr>
          <w:rFonts w:ascii="Century Gothic" w:eastAsia="MS Mincho" w:hAnsi="Century Gothic" w:cs="Arial"/>
          <w:lang w:val="es-ES_tradnl" w:eastAsia="es-CO"/>
        </w:rPr>
        <w:t xml:space="preserve">en su </w:t>
      </w:r>
      <w:r w:rsidR="00143CFA">
        <w:rPr>
          <w:rFonts w:ascii="Century Gothic" w:eastAsia="MS Mincho" w:hAnsi="Century Gothic" w:cs="Arial"/>
          <w:lang w:val="es-ES_tradnl" w:eastAsia="es-CO"/>
        </w:rPr>
        <w:t xml:space="preserve">propuesta </w:t>
      </w:r>
      <w:r w:rsidR="006A708A">
        <w:rPr>
          <w:rFonts w:ascii="Century Gothic" w:eastAsia="MS Mincho" w:hAnsi="Century Gothic" w:cs="Arial"/>
          <w:lang w:val="es-ES_tradnl" w:eastAsia="es-CO"/>
        </w:rPr>
        <w:t>ini</w:t>
      </w:r>
      <w:r w:rsidR="00AC6D21">
        <w:rPr>
          <w:rFonts w:ascii="Century Gothic" w:eastAsia="MS Mincho" w:hAnsi="Century Gothic" w:cs="Arial"/>
          <w:lang w:val="es-ES_tradnl" w:eastAsia="es-CO"/>
        </w:rPr>
        <w:t>cial el</w:t>
      </w:r>
      <w:r w:rsidR="00143CFA">
        <w:rPr>
          <w:rFonts w:ascii="Century Gothic" w:eastAsia="MS Mincho" w:hAnsi="Century Gothic" w:cs="Arial"/>
          <w:lang w:val="es-ES_tradnl" w:eastAsia="es-CO"/>
        </w:rPr>
        <w:t xml:space="preserve"> </w:t>
      </w:r>
      <w:r w:rsidR="00956A54">
        <w:rPr>
          <w:rFonts w:ascii="Century Gothic" w:eastAsia="MS Mincho" w:hAnsi="Century Gothic" w:cs="Arial"/>
          <w:lang w:val="es-ES_tradnl" w:eastAsia="es-CO"/>
        </w:rPr>
        <w:t>artículo 88</w:t>
      </w:r>
      <w:r w:rsidR="009D307C">
        <w:rPr>
          <w:rFonts w:ascii="Century Gothic" w:eastAsia="MS Mincho" w:hAnsi="Century Gothic" w:cs="Arial"/>
          <w:lang w:val="es-ES_tradnl" w:eastAsia="es-CO"/>
        </w:rPr>
        <w:t xml:space="preserve"> </w:t>
      </w:r>
      <w:r w:rsidR="00AC6D21">
        <w:rPr>
          <w:rFonts w:ascii="Century Gothic" w:eastAsia="MS Mincho" w:hAnsi="Century Gothic" w:cs="Arial"/>
          <w:lang w:val="es-ES_tradnl" w:eastAsia="es-CO"/>
        </w:rPr>
        <w:t xml:space="preserve">mediante el cual se incorporó </w:t>
      </w:r>
      <w:r w:rsidR="00025438">
        <w:rPr>
          <w:rFonts w:ascii="Century Gothic" w:eastAsia="MS Mincho" w:hAnsi="Century Gothic" w:cs="Arial"/>
          <w:lang w:val="es-ES_tradnl" w:eastAsia="es-CO"/>
        </w:rPr>
        <w:t xml:space="preserve">la obligación a cargo de todo contratista de </w:t>
      </w:r>
      <w:r w:rsidR="00025438" w:rsidRPr="00A45EFA">
        <w:rPr>
          <w:rFonts w:ascii="Century Gothic" w:eastAsia="MS Mincho" w:hAnsi="Century Gothic" w:cs="Arial"/>
          <w:i/>
          <w:iCs/>
          <w:lang w:val="es-ES_tradnl" w:eastAsia="es-CO"/>
        </w:rPr>
        <w:t>“constituir una fiducia irrevocable para el manejo de los recursos que reciba a título de anticipo, con el fin de garantizar que dichos recursos se apliquen exclusivamente a la ejecución del contrato correspondiente</w:t>
      </w:r>
      <w:r w:rsidR="00A45EFA" w:rsidRPr="00A45EFA">
        <w:rPr>
          <w:rFonts w:ascii="Century Gothic" w:eastAsia="MS Mincho" w:hAnsi="Century Gothic" w:cs="Arial"/>
          <w:i/>
          <w:iCs/>
          <w:lang w:val="es-ES_tradnl" w:eastAsia="es-CO"/>
        </w:rPr>
        <w:t xml:space="preserve"> (…)”</w:t>
      </w:r>
      <w:r w:rsidR="00A45EFA">
        <w:rPr>
          <w:rStyle w:val="Refdenotaalpie"/>
          <w:rFonts w:ascii="Century Gothic" w:eastAsia="MS Mincho" w:hAnsi="Century Gothic" w:cs="Arial"/>
          <w:i/>
          <w:iCs/>
          <w:lang w:val="es-ES_tradnl" w:eastAsia="es-CO"/>
        </w:rPr>
        <w:footnoteReference w:id="24"/>
      </w:r>
      <w:r w:rsidR="00BB5612">
        <w:rPr>
          <w:rFonts w:ascii="Century Gothic" w:eastAsia="MS Mincho" w:hAnsi="Century Gothic" w:cs="Arial"/>
          <w:i/>
          <w:iCs/>
          <w:lang w:val="es-ES_tradnl" w:eastAsia="es-CO"/>
        </w:rPr>
        <w:t>.</w:t>
      </w:r>
    </w:p>
    <w:p w14:paraId="10DECF48" w14:textId="7C6D6823" w:rsidR="00022F2A" w:rsidRPr="00022F2A" w:rsidRDefault="0092036A" w:rsidP="00022F2A">
      <w:pPr>
        <w:spacing w:after="120" w:line="276" w:lineRule="auto"/>
        <w:ind w:firstLine="709"/>
        <w:jc w:val="both"/>
        <w:rPr>
          <w:rFonts w:ascii="Century Gothic" w:eastAsia="MS Mincho" w:hAnsi="Century Gothic" w:cs="Arial"/>
          <w:lang w:val="es-ES_tradnl" w:eastAsia="es-CO"/>
        </w:rPr>
      </w:pPr>
      <w:r>
        <w:rPr>
          <w:rFonts w:ascii="Century Gothic" w:eastAsia="MS Mincho" w:hAnsi="Century Gothic" w:cs="Arial"/>
          <w:lang w:val="es-ES_tradnl" w:eastAsia="es-CO"/>
        </w:rPr>
        <w:t xml:space="preserve">La anterior propuesta </w:t>
      </w:r>
      <w:r w:rsidR="0022031E" w:rsidRPr="0022031E">
        <w:rPr>
          <w:rFonts w:ascii="Century Gothic" w:eastAsia="MS Mincho" w:hAnsi="Century Gothic" w:cs="Arial"/>
          <w:lang w:val="es-ES_tradnl" w:eastAsia="es-CO"/>
        </w:rPr>
        <w:t xml:space="preserve">fue </w:t>
      </w:r>
      <w:r w:rsidR="00AF4481" w:rsidRPr="0022031E">
        <w:rPr>
          <w:rFonts w:ascii="Century Gothic" w:eastAsia="MS Mincho" w:hAnsi="Century Gothic" w:cs="Arial"/>
          <w:lang w:val="es-ES_tradnl" w:eastAsia="es-CO"/>
        </w:rPr>
        <w:t>justificada</w:t>
      </w:r>
      <w:r w:rsidR="0022031E" w:rsidRPr="0022031E">
        <w:rPr>
          <w:rFonts w:ascii="Century Gothic" w:eastAsia="MS Mincho" w:hAnsi="Century Gothic" w:cs="Arial"/>
          <w:lang w:val="es-ES_tradnl" w:eastAsia="es-CO"/>
        </w:rPr>
        <w:t xml:space="preserve"> en la exposición de motivos del</w:t>
      </w:r>
      <w:r w:rsidR="00E627DB">
        <w:rPr>
          <w:rFonts w:ascii="Century Gothic" w:eastAsia="MS Mincho" w:hAnsi="Century Gothic" w:cs="Arial"/>
          <w:lang w:val="es-ES_tradnl" w:eastAsia="es-CO"/>
        </w:rPr>
        <w:t xml:space="preserve"> citado </w:t>
      </w:r>
      <w:r w:rsidR="00177FA3">
        <w:rPr>
          <w:rFonts w:ascii="Century Gothic" w:eastAsia="MS Mincho" w:hAnsi="Century Gothic" w:cs="Arial"/>
          <w:lang w:val="es-ES_tradnl" w:eastAsia="es-CO"/>
        </w:rPr>
        <w:t xml:space="preserve">proyecto de Ley 142 de 2010 del senado </w:t>
      </w:r>
      <w:r w:rsidR="005E2251">
        <w:rPr>
          <w:rFonts w:ascii="Century Gothic" w:eastAsia="MS Mincho" w:hAnsi="Century Gothic" w:cs="Arial"/>
          <w:lang w:val="es-ES_tradnl" w:eastAsia="es-CO"/>
        </w:rPr>
        <w:t>con la siguiente afirmación</w:t>
      </w:r>
      <w:r w:rsidR="00AC6D21">
        <w:rPr>
          <w:rFonts w:ascii="Century Gothic" w:eastAsia="MS Mincho" w:hAnsi="Century Gothic" w:cs="Arial"/>
          <w:lang w:val="es-ES_tradnl" w:eastAsia="es-CO"/>
        </w:rPr>
        <w:t>, que fue</w:t>
      </w:r>
      <w:r w:rsidR="005E2251">
        <w:rPr>
          <w:rFonts w:ascii="Century Gothic" w:eastAsia="MS Mincho" w:hAnsi="Century Gothic" w:cs="Arial"/>
          <w:lang w:val="es-ES_tradnl" w:eastAsia="es-CO"/>
        </w:rPr>
        <w:t xml:space="preserve"> replicada por el </w:t>
      </w:r>
      <w:r w:rsidR="0022031E" w:rsidRPr="0022031E">
        <w:rPr>
          <w:rFonts w:ascii="Century Gothic" w:eastAsia="MS Mincho" w:hAnsi="Century Gothic" w:cs="Arial"/>
          <w:lang w:val="es-ES_tradnl" w:eastAsia="es-CO"/>
        </w:rPr>
        <w:t>entonces ministro del Interior</w:t>
      </w:r>
      <w:r w:rsidR="00022F2A">
        <w:rPr>
          <w:rFonts w:ascii="Century Gothic" w:eastAsia="MS Mincho" w:hAnsi="Century Gothic" w:cs="Arial"/>
          <w:lang w:val="es-ES_tradnl" w:eastAsia="es-CO"/>
        </w:rPr>
        <w:t xml:space="preserve"> </w:t>
      </w:r>
      <w:r w:rsidR="00022F2A" w:rsidRPr="00022F2A">
        <w:rPr>
          <w:rFonts w:ascii="Century Gothic" w:eastAsia="MS Mincho" w:hAnsi="Century Gothic" w:cs="Arial"/>
          <w:lang w:val="es-ES_tradnl" w:eastAsia="es-CO"/>
        </w:rPr>
        <w:t>de Justicia, Germán Vargas Lleras, en los siguientes términos:</w:t>
      </w:r>
    </w:p>
    <w:p w14:paraId="5EBCDA62" w14:textId="42A10352" w:rsidR="0022031E" w:rsidRPr="00BB5612" w:rsidRDefault="005E2251" w:rsidP="005A1892">
      <w:pPr>
        <w:spacing w:after="120" w:line="240" w:lineRule="auto"/>
        <w:ind w:left="709" w:right="709"/>
        <w:jc w:val="both"/>
        <w:rPr>
          <w:rFonts w:ascii="Century Gothic" w:eastAsia="MS Mincho" w:hAnsi="Century Gothic" w:cs="Arial"/>
          <w:lang w:val="es-ES_tradnl" w:eastAsia="es-CO"/>
        </w:rPr>
      </w:pPr>
      <w:r>
        <w:rPr>
          <w:rFonts w:ascii="Century Gothic" w:eastAsia="MS Mincho" w:hAnsi="Century Gothic" w:cs="Arial"/>
          <w:lang w:val="es-ES_tradnl" w:eastAsia="es-CO"/>
        </w:rPr>
        <w:t>“</w:t>
      </w:r>
      <w:r w:rsidR="00022F2A" w:rsidRPr="00022F2A">
        <w:rPr>
          <w:rFonts w:ascii="Century Gothic" w:eastAsia="MS Mincho" w:hAnsi="Century Gothic" w:cs="Arial"/>
          <w:lang w:val="es-ES_tradnl" w:eastAsia="es-CO"/>
        </w:rPr>
        <w:t>E. Se ha identificado que de manera muy frecuente los contratistas no están aplicando los</w:t>
      </w:r>
      <w:r>
        <w:rPr>
          <w:rFonts w:ascii="Century Gothic" w:eastAsia="MS Mincho" w:hAnsi="Century Gothic" w:cs="Arial"/>
          <w:lang w:val="es-ES_tradnl" w:eastAsia="es-CO"/>
        </w:rPr>
        <w:t xml:space="preserve"> </w:t>
      </w:r>
      <w:r w:rsidR="00022F2A" w:rsidRPr="00022F2A">
        <w:rPr>
          <w:rFonts w:ascii="Century Gothic" w:eastAsia="MS Mincho" w:hAnsi="Century Gothic" w:cs="Arial"/>
          <w:lang w:val="es-ES_tradnl" w:eastAsia="es-CO"/>
        </w:rPr>
        <w:t>anticipos a la ejecución del contrato correspondiente, situación que finalmente produce el incumplimiento de las obligaciones o la</w:t>
      </w:r>
      <w:r w:rsidR="00442282">
        <w:rPr>
          <w:rFonts w:ascii="Century Gothic" w:eastAsia="MS Mincho" w:hAnsi="Century Gothic" w:cs="Arial"/>
          <w:lang w:val="es-ES_tradnl" w:eastAsia="es-CO"/>
        </w:rPr>
        <w:t xml:space="preserve"> </w:t>
      </w:r>
      <w:r w:rsidR="00022F2A" w:rsidRPr="00022F2A">
        <w:rPr>
          <w:rFonts w:ascii="Century Gothic" w:eastAsia="MS Mincho" w:hAnsi="Century Gothic" w:cs="Arial"/>
          <w:lang w:val="es-ES_tradnl" w:eastAsia="es-CO"/>
        </w:rPr>
        <w:t>entrega extemporánea de las obras. Por ello,</w:t>
      </w:r>
      <w:r w:rsidR="00442282">
        <w:rPr>
          <w:rFonts w:ascii="Century Gothic" w:eastAsia="MS Mincho" w:hAnsi="Century Gothic" w:cs="Arial"/>
          <w:lang w:val="es-ES_tradnl" w:eastAsia="es-CO"/>
        </w:rPr>
        <w:t xml:space="preserve"> </w:t>
      </w:r>
      <w:r w:rsidR="00022F2A" w:rsidRPr="00022F2A">
        <w:rPr>
          <w:rFonts w:ascii="Century Gothic" w:eastAsia="MS Mincho" w:hAnsi="Century Gothic" w:cs="Arial"/>
          <w:lang w:val="es-ES_tradnl" w:eastAsia="es-CO"/>
        </w:rPr>
        <w:t>se establece un sistema de seguimiento a los</w:t>
      </w:r>
      <w:r w:rsidR="00442282">
        <w:rPr>
          <w:rFonts w:ascii="Century Gothic" w:eastAsia="MS Mincho" w:hAnsi="Century Gothic" w:cs="Arial"/>
          <w:lang w:val="es-ES_tradnl" w:eastAsia="es-CO"/>
        </w:rPr>
        <w:t xml:space="preserve"> </w:t>
      </w:r>
      <w:r w:rsidR="00022F2A" w:rsidRPr="00022F2A">
        <w:rPr>
          <w:rFonts w:ascii="Century Gothic" w:eastAsia="MS Mincho" w:hAnsi="Century Gothic" w:cs="Arial"/>
          <w:lang w:val="es-ES_tradnl" w:eastAsia="es-CO"/>
        </w:rPr>
        <w:t>anticipos imponiendo la obligación del contratista de constituir una fiducia irrevocable con lo</w:t>
      </w:r>
      <w:r w:rsidR="00442282">
        <w:rPr>
          <w:rFonts w:ascii="Century Gothic" w:eastAsia="MS Mincho" w:hAnsi="Century Gothic" w:cs="Arial"/>
          <w:lang w:val="es-ES_tradnl" w:eastAsia="es-CO"/>
        </w:rPr>
        <w:t xml:space="preserve"> </w:t>
      </w:r>
      <w:r w:rsidR="00022F2A" w:rsidRPr="00022F2A">
        <w:rPr>
          <w:rFonts w:ascii="Century Gothic" w:eastAsia="MS Mincho" w:hAnsi="Century Gothic" w:cs="Arial"/>
          <w:lang w:val="es-ES_tradnl" w:eastAsia="es-CO"/>
        </w:rPr>
        <w:t>que reciba de los mismos, para que sea esta la</w:t>
      </w:r>
      <w:r w:rsidR="00442282">
        <w:rPr>
          <w:rFonts w:ascii="Century Gothic" w:eastAsia="MS Mincho" w:hAnsi="Century Gothic" w:cs="Arial"/>
          <w:lang w:val="es-ES_tradnl" w:eastAsia="es-CO"/>
        </w:rPr>
        <w:t xml:space="preserve"> </w:t>
      </w:r>
      <w:r w:rsidR="00022F2A" w:rsidRPr="00022F2A">
        <w:rPr>
          <w:rFonts w:ascii="Century Gothic" w:eastAsia="MS Mincho" w:hAnsi="Century Gothic" w:cs="Arial"/>
          <w:lang w:val="es-ES_tradnl" w:eastAsia="es-CO"/>
        </w:rPr>
        <w:t>que garantice que tales recursos se aplicarán</w:t>
      </w:r>
      <w:r w:rsidR="00442282">
        <w:rPr>
          <w:rFonts w:ascii="Century Gothic" w:eastAsia="MS Mincho" w:hAnsi="Century Gothic" w:cs="Arial"/>
          <w:lang w:val="es-ES_tradnl" w:eastAsia="es-CO"/>
        </w:rPr>
        <w:t xml:space="preserve"> </w:t>
      </w:r>
      <w:r w:rsidR="00022F2A" w:rsidRPr="00022F2A">
        <w:rPr>
          <w:rFonts w:ascii="Century Gothic" w:eastAsia="MS Mincho" w:hAnsi="Century Gothic" w:cs="Arial"/>
          <w:lang w:val="es-ES_tradnl" w:eastAsia="es-CO"/>
        </w:rPr>
        <w:t>exclusivamente a la ejecución del contrato</w:t>
      </w:r>
      <w:r w:rsidR="00442282">
        <w:rPr>
          <w:rFonts w:ascii="Century Gothic" w:eastAsia="MS Mincho" w:hAnsi="Century Gothic" w:cs="Arial"/>
          <w:lang w:val="es-ES_tradnl" w:eastAsia="es-CO"/>
        </w:rPr>
        <w:t>.”</w:t>
      </w:r>
    </w:p>
    <w:p w14:paraId="3F28EE5F" w14:textId="6E15F169" w:rsidR="00740F7D" w:rsidRDefault="00406E87" w:rsidP="00820C44">
      <w:pPr>
        <w:spacing w:after="120" w:line="276" w:lineRule="auto"/>
        <w:ind w:firstLine="709"/>
        <w:jc w:val="both"/>
        <w:rPr>
          <w:rFonts w:ascii="Century Gothic" w:eastAsia="MS Mincho" w:hAnsi="Century Gothic" w:cs="Arial"/>
          <w:lang w:val="es-ES_tradnl" w:eastAsia="es-CO"/>
        </w:rPr>
      </w:pPr>
      <w:r>
        <w:rPr>
          <w:rFonts w:ascii="Century Gothic" w:eastAsia="MS Mincho" w:hAnsi="Century Gothic" w:cs="Arial"/>
          <w:lang w:val="es-ES_tradnl" w:eastAsia="es-CO"/>
        </w:rPr>
        <w:t xml:space="preserve">Posteriormente, en ponencia para segundo debate del Senado de la República, </w:t>
      </w:r>
      <w:r w:rsidR="00622366">
        <w:rPr>
          <w:rFonts w:ascii="Century Gothic" w:eastAsia="MS Mincho" w:hAnsi="Century Gothic" w:cs="Arial"/>
          <w:lang w:val="es-ES_tradnl" w:eastAsia="es-CO"/>
        </w:rPr>
        <w:t xml:space="preserve">la propuesta del entonces artículo 85, que pasó a ser </w:t>
      </w:r>
      <w:r w:rsidR="000E0D00">
        <w:rPr>
          <w:rFonts w:ascii="Century Gothic" w:eastAsia="MS Mincho" w:hAnsi="Century Gothic" w:cs="Arial"/>
          <w:lang w:val="es-ES_tradnl" w:eastAsia="es-CO"/>
        </w:rPr>
        <w:t xml:space="preserve">en </w:t>
      </w:r>
      <w:r w:rsidR="00FA3CAE">
        <w:rPr>
          <w:rFonts w:ascii="Century Gothic" w:eastAsia="MS Mincho" w:hAnsi="Century Gothic" w:cs="Arial"/>
          <w:lang w:val="es-ES_tradnl" w:eastAsia="es-CO"/>
        </w:rPr>
        <w:t>el primer debate el artículo 95</w:t>
      </w:r>
      <w:r w:rsidR="00B97B96">
        <w:rPr>
          <w:rStyle w:val="Refdenotaalpie"/>
          <w:rFonts w:ascii="Century Gothic" w:eastAsia="MS Mincho" w:hAnsi="Century Gothic" w:cs="Arial"/>
          <w:lang w:val="es-ES_tradnl" w:eastAsia="es-CO"/>
        </w:rPr>
        <w:footnoteReference w:id="25"/>
      </w:r>
      <w:r w:rsidR="00FA3CAE">
        <w:rPr>
          <w:rFonts w:ascii="Century Gothic" w:eastAsia="MS Mincho" w:hAnsi="Century Gothic" w:cs="Arial"/>
          <w:lang w:val="es-ES_tradnl" w:eastAsia="es-CO"/>
        </w:rPr>
        <w:t xml:space="preserve"> y para segundo debate el </w:t>
      </w:r>
      <w:r w:rsidR="00622366">
        <w:rPr>
          <w:rFonts w:ascii="Century Gothic" w:eastAsia="MS Mincho" w:hAnsi="Century Gothic" w:cs="Arial"/>
          <w:lang w:val="es-ES_tradnl" w:eastAsia="es-CO"/>
        </w:rPr>
        <w:t xml:space="preserve">artículo </w:t>
      </w:r>
      <w:r w:rsidR="000E0D00">
        <w:rPr>
          <w:rFonts w:ascii="Century Gothic" w:eastAsia="MS Mincho" w:hAnsi="Century Gothic" w:cs="Arial"/>
          <w:lang w:val="es-ES_tradnl" w:eastAsia="es-CO"/>
        </w:rPr>
        <w:t>112</w:t>
      </w:r>
      <w:r w:rsidR="00572AEC">
        <w:rPr>
          <w:rFonts w:ascii="Century Gothic" w:eastAsia="MS Mincho" w:hAnsi="Century Gothic" w:cs="Arial"/>
          <w:lang w:val="es-ES_tradnl" w:eastAsia="es-CO"/>
        </w:rPr>
        <w:t xml:space="preserve">, </w:t>
      </w:r>
      <w:r w:rsidR="00622366">
        <w:rPr>
          <w:rFonts w:ascii="Century Gothic" w:eastAsia="MS Mincho" w:hAnsi="Century Gothic" w:cs="Arial"/>
          <w:lang w:val="es-ES_tradnl" w:eastAsia="es-CO"/>
        </w:rPr>
        <w:t xml:space="preserve">trajo consigo una </w:t>
      </w:r>
      <w:r w:rsidR="001E30C1">
        <w:rPr>
          <w:rFonts w:ascii="Century Gothic" w:eastAsia="MS Mincho" w:hAnsi="Century Gothic" w:cs="Arial"/>
          <w:lang w:val="es-ES_tradnl" w:eastAsia="es-CO"/>
        </w:rPr>
        <w:t xml:space="preserve">propuesta de </w:t>
      </w:r>
      <w:r w:rsidR="00622366">
        <w:rPr>
          <w:rFonts w:ascii="Century Gothic" w:eastAsia="MS Mincho" w:hAnsi="Century Gothic" w:cs="Arial"/>
          <w:lang w:val="es-ES_tradnl" w:eastAsia="es-CO"/>
        </w:rPr>
        <w:t>modificaci</w:t>
      </w:r>
      <w:r w:rsidR="00CD2107">
        <w:rPr>
          <w:rFonts w:ascii="Century Gothic" w:eastAsia="MS Mincho" w:hAnsi="Century Gothic" w:cs="Arial"/>
          <w:lang w:val="es-ES_tradnl" w:eastAsia="es-CO"/>
        </w:rPr>
        <w:t>ones</w:t>
      </w:r>
      <w:r w:rsidR="00622366">
        <w:rPr>
          <w:rFonts w:ascii="Century Gothic" w:eastAsia="MS Mincho" w:hAnsi="Century Gothic" w:cs="Arial"/>
          <w:lang w:val="es-ES_tradnl" w:eastAsia="es-CO"/>
        </w:rPr>
        <w:t xml:space="preserve"> de excluir de dicha obligación de constituir la fiducia irrevocable </w:t>
      </w:r>
      <w:r w:rsidR="00C23970">
        <w:rPr>
          <w:rFonts w:ascii="Century Gothic" w:eastAsia="MS Mincho" w:hAnsi="Century Gothic" w:cs="Arial"/>
          <w:lang w:val="es-ES_tradnl" w:eastAsia="es-CO"/>
        </w:rPr>
        <w:t>en los contratos de menor y mínima cuantía</w:t>
      </w:r>
      <w:r w:rsidR="001B243D">
        <w:rPr>
          <w:rFonts w:ascii="Century Gothic" w:eastAsia="MS Mincho" w:hAnsi="Century Gothic" w:cs="Arial"/>
          <w:lang w:val="es-ES_tradnl" w:eastAsia="es-CO"/>
        </w:rPr>
        <w:t>,</w:t>
      </w:r>
      <w:r w:rsidR="00CD2107">
        <w:rPr>
          <w:rFonts w:ascii="Century Gothic" w:eastAsia="MS Mincho" w:hAnsi="Century Gothic" w:cs="Arial"/>
          <w:lang w:val="es-ES_tradnl" w:eastAsia="es-CO"/>
        </w:rPr>
        <w:t xml:space="preserve"> y contemplar a la </w:t>
      </w:r>
      <w:r w:rsidR="002A4B07">
        <w:rPr>
          <w:rFonts w:ascii="Century Gothic" w:eastAsia="MS Mincho" w:hAnsi="Century Gothic" w:cs="Arial"/>
          <w:lang w:val="es-ES_tradnl" w:eastAsia="es-CO"/>
        </w:rPr>
        <w:t>concesión dentro de dicha prerrogativa</w:t>
      </w:r>
      <w:r w:rsidR="001E30C1">
        <w:rPr>
          <w:rFonts w:ascii="Century Gothic" w:eastAsia="MS Mincho" w:hAnsi="Century Gothic" w:cs="Arial"/>
          <w:lang w:val="es-ES_tradnl" w:eastAsia="es-CO"/>
        </w:rPr>
        <w:t xml:space="preserve">, </w:t>
      </w:r>
      <w:r w:rsidR="00A3462C">
        <w:rPr>
          <w:rFonts w:ascii="Century Gothic" w:eastAsia="MS Mincho" w:hAnsi="Century Gothic" w:cs="Arial"/>
          <w:lang w:val="es-ES_tradnl" w:eastAsia="es-CO"/>
        </w:rPr>
        <w:t>de la siguiente forma:</w:t>
      </w:r>
    </w:p>
    <w:p w14:paraId="57D11444" w14:textId="0BA13F23" w:rsidR="00A3462C" w:rsidRPr="0064024D" w:rsidRDefault="00A3462C" w:rsidP="0064024D">
      <w:pPr>
        <w:spacing w:after="120" w:line="240" w:lineRule="auto"/>
        <w:ind w:left="709" w:right="709"/>
        <w:jc w:val="both"/>
        <w:rPr>
          <w:rFonts w:ascii="Century Gothic" w:eastAsia="MS Mincho" w:hAnsi="Century Gothic" w:cs="Arial"/>
          <w:sz w:val="21"/>
          <w:szCs w:val="21"/>
          <w:lang w:val="es-ES_tradnl" w:eastAsia="es-CO"/>
        </w:rPr>
      </w:pPr>
      <w:r w:rsidRPr="0064024D">
        <w:rPr>
          <w:rFonts w:ascii="Century Gothic" w:eastAsia="MS Mincho" w:hAnsi="Century Gothic" w:cs="Arial"/>
          <w:sz w:val="21"/>
          <w:szCs w:val="21"/>
          <w:lang w:val="es-ES_tradnl" w:eastAsia="es-CO"/>
        </w:rPr>
        <w:t xml:space="preserve">“Artículo 112. </w:t>
      </w:r>
      <w:r w:rsidRPr="0064024D">
        <w:rPr>
          <w:rFonts w:ascii="Century Gothic" w:eastAsia="MS Mincho" w:hAnsi="Century Gothic" w:cs="Arial"/>
          <w:i/>
          <w:iCs/>
          <w:sz w:val="21"/>
          <w:szCs w:val="21"/>
          <w:lang w:val="es-ES_tradnl" w:eastAsia="es-CO"/>
        </w:rPr>
        <w:t>Anticipo</w:t>
      </w:r>
      <w:r w:rsidR="007D2DC6" w:rsidRPr="0064024D">
        <w:rPr>
          <w:rFonts w:ascii="Century Gothic" w:eastAsia="MS Mincho" w:hAnsi="Century Gothic" w:cs="Arial"/>
          <w:i/>
          <w:iCs/>
          <w:sz w:val="21"/>
          <w:szCs w:val="21"/>
          <w:lang w:val="es-ES_tradnl" w:eastAsia="es-CO"/>
        </w:rPr>
        <w:t xml:space="preserve">s. </w:t>
      </w:r>
      <w:r w:rsidR="00AC403F" w:rsidRPr="0064024D">
        <w:rPr>
          <w:rFonts w:ascii="Century Gothic" w:eastAsia="MS Mincho" w:hAnsi="Century Gothic" w:cs="Arial"/>
          <w:sz w:val="21"/>
          <w:szCs w:val="21"/>
          <w:lang w:val="es-ES_tradnl" w:eastAsia="es-CO"/>
        </w:rPr>
        <w:t xml:space="preserve">En los contratos de obra y concesión el contratista deberá constituir una fiducia irrevocable para el manejo de los </w:t>
      </w:r>
      <w:r w:rsidR="0064024D" w:rsidRPr="0064024D">
        <w:rPr>
          <w:rFonts w:ascii="Century Gothic" w:eastAsia="MS Mincho" w:hAnsi="Century Gothic" w:cs="Arial"/>
          <w:sz w:val="21"/>
          <w:szCs w:val="21"/>
          <w:lang w:val="es-ES_tradnl" w:eastAsia="es-CO"/>
        </w:rPr>
        <w:t>recursos que reciba a título de anticipo, con el fin de garantizar que dichos recursos se apliquen exclusivamente a la ejecución del contrato correspondiente, salvo que el contrato sea de menor o mínima cuantía. (…)”</w:t>
      </w:r>
      <w:r w:rsidR="00B97B96">
        <w:rPr>
          <w:rStyle w:val="Refdenotaalpie"/>
          <w:rFonts w:ascii="Century Gothic" w:eastAsia="MS Mincho" w:hAnsi="Century Gothic" w:cs="Arial"/>
          <w:sz w:val="21"/>
          <w:szCs w:val="21"/>
          <w:lang w:val="es-ES_tradnl" w:eastAsia="es-CO"/>
        </w:rPr>
        <w:footnoteReference w:id="26"/>
      </w:r>
    </w:p>
    <w:p w14:paraId="24264B2F" w14:textId="3D195F5A" w:rsidR="008A6C7D" w:rsidRDefault="00F254DF" w:rsidP="00820C44">
      <w:pPr>
        <w:spacing w:after="120" w:line="276" w:lineRule="auto"/>
        <w:ind w:firstLine="709"/>
        <w:jc w:val="both"/>
        <w:rPr>
          <w:rFonts w:ascii="Century Gothic" w:eastAsia="MS Mincho" w:hAnsi="Century Gothic" w:cs="Arial"/>
          <w:lang w:val="es-ES_tradnl" w:eastAsia="es-CO"/>
        </w:rPr>
      </w:pPr>
      <w:r>
        <w:rPr>
          <w:rFonts w:ascii="Century Gothic" w:eastAsia="MS Mincho" w:hAnsi="Century Gothic" w:cs="Arial"/>
          <w:lang w:val="es-ES_tradnl" w:eastAsia="es-CO"/>
        </w:rPr>
        <w:t xml:space="preserve">Dichas modificaciones fueron aprobadas por </w:t>
      </w:r>
      <w:r w:rsidR="00E53758">
        <w:rPr>
          <w:rFonts w:ascii="Century Gothic" w:eastAsia="MS Mincho" w:hAnsi="Century Gothic" w:cs="Arial"/>
          <w:lang w:val="es-ES_tradnl" w:eastAsia="es-CO"/>
        </w:rPr>
        <w:t>la plenaria del senado</w:t>
      </w:r>
      <w:r w:rsidR="00121FBF">
        <w:rPr>
          <w:rStyle w:val="Refdenotaalpie"/>
          <w:rFonts w:ascii="Century Gothic" w:eastAsia="MS Mincho" w:hAnsi="Century Gothic" w:cs="Arial"/>
          <w:lang w:val="es-ES_tradnl" w:eastAsia="es-CO"/>
        </w:rPr>
        <w:footnoteReference w:id="27"/>
      </w:r>
      <w:r w:rsidR="005D6565">
        <w:rPr>
          <w:rFonts w:ascii="Century Gothic" w:eastAsia="MS Mincho" w:hAnsi="Century Gothic" w:cs="Arial"/>
          <w:lang w:val="es-ES_tradnl" w:eastAsia="es-CO"/>
        </w:rPr>
        <w:t xml:space="preserve"> y radicado para el respectivo debate legislativo en la Cámara de Representantes</w:t>
      </w:r>
      <w:r w:rsidR="00003EE6">
        <w:rPr>
          <w:rFonts w:ascii="Century Gothic" w:eastAsia="MS Mincho" w:hAnsi="Century Gothic" w:cs="Arial"/>
          <w:lang w:val="es-ES_tradnl" w:eastAsia="es-CO"/>
        </w:rPr>
        <w:t xml:space="preserve"> mediante el proyecto de Ley </w:t>
      </w:r>
      <w:r w:rsidR="0051423B">
        <w:rPr>
          <w:rFonts w:ascii="Century Gothic" w:eastAsia="MS Mincho" w:hAnsi="Century Gothic" w:cs="Arial"/>
          <w:lang w:val="es-ES_tradnl" w:eastAsia="es-CO"/>
        </w:rPr>
        <w:t>174 de 2010</w:t>
      </w:r>
      <w:r w:rsidR="00FA3C00">
        <w:rPr>
          <w:rFonts w:ascii="Century Gothic" w:eastAsia="MS Mincho" w:hAnsi="Century Gothic" w:cs="Arial"/>
          <w:lang w:val="es-ES_tradnl" w:eastAsia="es-CO"/>
        </w:rPr>
        <w:t xml:space="preserve">, cuyo contenido se aprobó sin modificaciones </w:t>
      </w:r>
      <w:r w:rsidR="00E770AF">
        <w:rPr>
          <w:rFonts w:ascii="Century Gothic" w:eastAsia="MS Mincho" w:hAnsi="Century Gothic" w:cs="Arial"/>
          <w:lang w:val="es-ES_tradnl" w:eastAsia="es-CO"/>
        </w:rPr>
        <w:t>en su tercer</w:t>
      </w:r>
      <w:r w:rsidR="00E770AF">
        <w:rPr>
          <w:rStyle w:val="Refdenotaalpie"/>
          <w:rFonts w:ascii="Century Gothic" w:eastAsia="MS Mincho" w:hAnsi="Century Gothic" w:cs="Arial"/>
          <w:lang w:val="es-ES_tradnl" w:eastAsia="es-CO"/>
        </w:rPr>
        <w:footnoteReference w:id="28"/>
      </w:r>
      <w:r w:rsidR="00E770AF">
        <w:rPr>
          <w:rFonts w:ascii="Century Gothic" w:eastAsia="MS Mincho" w:hAnsi="Century Gothic" w:cs="Arial"/>
          <w:lang w:val="es-ES_tradnl" w:eastAsia="es-CO"/>
        </w:rPr>
        <w:t xml:space="preserve">  y cuarto</w:t>
      </w:r>
      <w:r w:rsidR="001C6310">
        <w:rPr>
          <w:rFonts w:ascii="Century Gothic" w:eastAsia="MS Mincho" w:hAnsi="Century Gothic" w:cs="Arial"/>
          <w:lang w:val="es-ES_tradnl" w:eastAsia="es-CO"/>
        </w:rPr>
        <w:t xml:space="preserve"> </w:t>
      </w:r>
      <w:r w:rsidR="004A7D3D">
        <w:rPr>
          <w:rFonts w:ascii="Century Gothic" w:eastAsia="MS Mincho" w:hAnsi="Century Gothic" w:cs="Arial"/>
          <w:lang w:val="es-ES_tradnl" w:eastAsia="es-CO"/>
        </w:rPr>
        <w:t>debate</w:t>
      </w:r>
      <w:r w:rsidR="00E770AF">
        <w:rPr>
          <w:rStyle w:val="Refdenotaalpie"/>
          <w:rFonts w:ascii="Century Gothic" w:eastAsia="MS Mincho" w:hAnsi="Century Gothic" w:cs="Arial"/>
          <w:lang w:val="es-ES_tradnl" w:eastAsia="es-CO"/>
        </w:rPr>
        <w:footnoteReference w:id="29"/>
      </w:r>
      <w:r w:rsidR="00E770AF">
        <w:rPr>
          <w:rFonts w:ascii="Century Gothic" w:eastAsia="MS Mincho" w:hAnsi="Century Gothic" w:cs="Arial"/>
          <w:lang w:val="es-ES_tradnl" w:eastAsia="es-CO"/>
        </w:rPr>
        <w:t xml:space="preserve"> </w:t>
      </w:r>
      <w:r w:rsidR="001C6310">
        <w:rPr>
          <w:rFonts w:ascii="Century Gothic" w:eastAsia="MS Mincho" w:hAnsi="Century Gothic" w:cs="Arial"/>
          <w:lang w:val="es-ES_tradnl" w:eastAsia="es-CO"/>
        </w:rPr>
        <w:t xml:space="preserve">en </w:t>
      </w:r>
      <w:r w:rsidR="002A4B07">
        <w:rPr>
          <w:rFonts w:ascii="Century Gothic" w:eastAsia="MS Mincho" w:hAnsi="Century Gothic" w:cs="Arial"/>
          <w:lang w:val="es-ES_tradnl" w:eastAsia="es-CO"/>
        </w:rPr>
        <w:t>la respectiva comisión</w:t>
      </w:r>
      <w:r w:rsidR="001C6310">
        <w:rPr>
          <w:rFonts w:ascii="Century Gothic" w:eastAsia="MS Mincho" w:hAnsi="Century Gothic" w:cs="Arial"/>
          <w:lang w:val="es-ES_tradnl" w:eastAsia="es-CO"/>
        </w:rPr>
        <w:t xml:space="preserve">, </w:t>
      </w:r>
      <w:r w:rsidR="003718A2">
        <w:rPr>
          <w:rFonts w:ascii="Century Gothic" w:eastAsia="MS Mincho" w:hAnsi="Century Gothic" w:cs="Arial"/>
          <w:lang w:val="es-ES_tradnl" w:eastAsia="es-CO"/>
        </w:rPr>
        <w:t xml:space="preserve">sin embargo, en </w:t>
      </w:r>
      <w:r w:rsidR="00654B18">
        <w:rPr>
          <w:rFonts w:ascii="Century Gothic" w:eastAsia="MS Mincho" w:hAnsi="Century Gothic" w:cs="Arial"/>
          <w:lang w:val="es-ES_tradnl" w:eastAsia="es-CO"/>
        </w:rPr>
        <w:t xml:space="preserve">plenaria de la Cámara de Representantes el artículo sufrió las siguientes modificaciones: </w:t>
      </w:r>
    </w:p>
    <w:p w14:paraId="709DE278" w14:textId="32D04567" w:rsidR="00947120" w:rsidRDefault="00AF4481" w:rsidP="00AF4481">
      <w:pPr>
        <w:spacing w:after="120" w:line="240" w:lineRule="auto"/>
        <w:ind w:left="709" w:right="709"/>
        <w:jc w:val="both"/>
        <w:rPr>
          <w:rFonts w:ascii="Century Gothic" w:eastAsia="MS Mincho" w:hAnsi="Century Gothic" w:cs="Arial"/>
          <w:sz w:val="21"/>
          <w:szCs w:val="21"/>
          <w:lang w:val="es-ES_tradnl" w:eastAsia="es-CO"/>
        </w:rPr>
      </w:pPr>
      <w:r w:rsidRPr="0064024D">
        <w:rPr>
          <w:rFonts w:ascii="Century Gothic" w:eastAsia="MS Mincho" w:hAnsi="Century Gothic" w:cs="Arial"/>
          <w:sz w:val="21"/>
          <w:szCs w:val="21"/>
          <w:lang w:val="es-ES_tradnl" w:eastAsia="es-CO"/>
        </w:rPr>
        <w:t>“Artículo 1</w:t>
      </w:r>
      <w:r>
        <w:rPr>
          <w:rFonts w:ascii="Century Gothic" w:eastAsia="MS Mincho" w:hAnsi="Century Gothic" w:cs="Arial"/>
          <w:sz w:val="21"/>
          <w:szCs w:val="21"/>
          <w:lang w:val="es-ES_tradnl" w:eastAsia="es-CO"/>
        </w:rPr>
        <w:t>04</w:t>
      </w:r>
      <w:r w:rsidRPr="0064024D">
        <w:rPr>
          <w:rFonts w:ascii="Century Gothic" w:eastAsia="MS Mincho" w:hAnsi="Century Gothic" w:cs="Arial"/>
          <w:sz w:val="21"/>
          <w:szCs w:val="21"/>
          <w:lang w:val="es-ES_tradnl" w:eastAsia="es-CO"/>
        </w:rPr>
        <w:t xml:space="preserve">. </w:t>
      </w:r>
      <w:r w:rsidRPr="0064024D">
        <w:rPr>
          <w:rFonts w:ascii="Century Gothic" w:eastAsia="MS Mincho" w:hAnsi="Century Gothic" w:cs="Arial"/>
          <w:i/>
          <w:iCs/>
          <w:sz w:val="21"/>
          <w:szCs w:val="21"/>
          <w:lang w:val="es-ES_tradnl" w:eastAsia="es-CO"/>
        </w:rPr>
        <w:t xml:space="preserve">Anticipos. </w:t>
      </w:r>
      <w:r w:rsidRPr="0064024D">
        <w:rPr>
          <w:rFonts w:ascii="Century Gothic" w:eastAsia="MS Mincho" w:hAnsi="Century Gothic" w:cs="Arial"/>
          <w:sz w:val="21"/>
          <w:szCs w:val="21"/>
          <w:lang w:val="es-ES_tradnl" w:eastAsia="es-CO"/>
        </w:rPr>
        <w:t>En los contratos de obra</w:t>
      </w:r>
      <w:r>
        <w:rPr>
          <w:rFonts w:ascii="Century Gothic" w:eastAsia="MS Mincho" w:hAnsi="Century Gothic" w:cs="Arial"/>
          <w:sz w:val="21"/>
          <w:szCs w:val="21"/>
          <w:lang w:val="es-ES_tradnl" w:eastAsia="es-CO"/>
        </w:rPr>
        <w:t xml:space="preserve">, </w:t>
      </w:r>
      <w:r w:rsidRPr="0064024D">
        <w:rPr>
          <w:rFonts w:ascii="Century Gothic" w:eastAsia="MS Mincho" w:hAnsi="Century Gothic" w:cs="Arial"/>
          <w:sz w:val="21"/>
          <w:szCs w:val="21"/>
          <w:lang w:val="es-ES_tradnl" w:eastAsia="es-CO"/>
        </w:rPr>
        <w:t>concesión</w:t>
      </w:r>
      <w:r w:rsidR="001D3F97">
        <w:rPr>
          <w:rFonts w:ascii="Century Gothic" w:eastAsia="MS Mincho" w:hAnsi="Century Gothic" w:cs="Arial"/>
          <w:sz w:val="21"/>
          <w:szCs w:val="21"/>
          <w:lang w:val="es-ES_tradnl" w:eastAsia="es-CO"/>
        </w:rPr>
        <w:t xml:space="preserve">, </w:t>
      </w:r>
      <w:r w:rsidR="001D3F97" w:rsidRPr="00313BD0">
        <w:rPr>
          <w:rFonts w:ascii="Century Gothic" w:eastAsia="MS Mincho" w:hAnsi="Century Gothic" w:cs="Arial"/>
          <w:i/>
          <w:iCs/>
          <w:sz w:val="21"/>
          <w:szCs w:val="21"/>
          <w:lang w:val="es-ES_tradnl" w:eastAsia="es-CO"/>
        </w:rPr>
        <w:t>salud, o los que se realicen por licitación pública</w:t>
      </w:r>
      <w:r w:rsidR="001D3F97">
        <w:rPr>
          <w:rFonts w:ascii="Century Gothic" w:eastAsia="MS Mincho" w:hAnsi="Century Gothic" w:cs="Arial"/>
          <w:sz w:val="21"/>
          <w:szCs w:val="21"/>
          <w:lang w:val="es-ES_tradnl" w:eastAsia="es-CO"/>
        </w:rPr>
        <w:t>,</w:t>
      </w:r>
      <w:r w:rsidRPr="0064024D">
        <w:rPr>
          <w:rFonts w:ascii="Century Gothic" w:eastAsia="MS Mincho" w:hAnsi="Century Gothic" w:cs="Arial"/>
          <w:sz w:val="21"/>
          <w:szCs w:val="21"/>
          <w:lang w:val="es-ES_tradnl" w:eastAsia="es-CO"/>
        </w:rPr>
        <w:t xml:space="preserve"> el contratista deberá constituir una fiducia </w:t>
      </w:r>
      <w:r w:rsidR="00313BD0" w:rsidRPr="00313BD0">
        <w:rPr>
          <w:rFonts w:ascii="Century Gothic" w:eastAsia="MS Mincho" w:hAnsi="Century Gothic" w:cs="Arial"/>
          <w:i/>
          <w:iCs/>
          <w:sz w:val="21"/>
          <w:szCs w:val="21"/>
          <w:lang w:val="es-ES_tradnl" w:eastAsia="es-CO"/>
        </w:rPr>
        <w:t>o un patrimonio</w:t>
      </w:r>
      <w:r w:rsidR="00313BD0">
        <w:rPr>
          <w:rFonts w:ascii="Century Gothic" w:eastAsia="MS Mincho" w:hAnsi="Century Gothic" w:cs="Arial"/>
          <w:sz w:val="21"/>
          <w:szCs w:val="21"/>
          <w:lang w:val="es-ES_tradnl" w:eastAsia="es-CO"/>
        </w:rPr>
        <w:t xml:space="preserve"> </w:t>
      </w:r>
      <w:r w:rsidR="00313BD0">
        <w:rPr>
          <w:rFonts w:ascii="Century Gothic" w:eastAsia="MS Mincho" w:hAnsi="Century Gothic" w:cs="Arial"/>
          <w:i/>
          <w:iCs/>
          <w:sz w:val="21"/>
          <w:szCs w:val="21"/>
          <w:lang w:val="es-ES_tradnl" w:eastAsia="es-CO"/>
        </w:rPr>
        <w:t>autónomo</w:t>
      </w:r>
      <w:r w:rsidR="00313BD0">
        <w:rPr>
          <w:rFonts w:ascii="Century Gothic" w:eastAsia="MS Mincho" w:hAnsi="Century Gothic" w:cs="Arial"/>
          <w:sz w:val="21"/>
          <w:szCs w:val="21"/>
          <w:lang w:val="es-ES_tradnl" w:eastAsia="es-CO"/>
        </w:rPr>
        <w:t xml:space="preserve"> </w:t>
      </w:r>
      <w:r w:rsidRPr="0064024D">
        <w:rPr>
          <w:rFonts w:ascii="Century Gothic" w:eastAsia="MS Mincho" w:hAnsi="Century Gothic" w:cs="Arial"/>
          <w:sz w:val="21"/>
          <w:szCs w:val="21"/>
          <w:lang w:val="es-ES_tradnl" w:eastAsia="es-CO"/>
        </w:rPr>
        <w:t>irrevocable para el manejo de los recursos que reciba a título de anticipo, con el fin de garantizar que dichos recursos se apliquen exclusivamente a la ejecución del contrato correspondiente, salvo que el contrato sea de menor o mínima cuantía.</w:t>
      </w:r>
    </w:p>
    <w:p w14:paraId="0D974733" w14:textId="77777777" w:rsidR="00947120" w:rsidRPr="00947120" w:rsidRDefault="00947120" w:rsidP="00947120">
      <w:pPr>
        <w:spacing w:after="120" w:line="240" w:lineRule="auto"/>
        <w:ind w:left="709" w:right="709"/>
        <w:jc w:val="both"/>
        <w:rPr>
          <w:rFonts w:ascii="Century Gothic" w:eastAsia="MS Mincho" w:hAnsi="Century Gothic" w:cs="Arial"/>
          <w:sz w:val="21"/>
          <w:szCs w:val="21"/>
          <w:lang w:val="es-ES_tradnl" w:eastAsia="es-CO"/>
        </w:rPr>
      </w:pPr>
      <w:r w:rsidRPr="00947120">
        <w:rPr>
          <w:rFonts w:ascii="Century Gothic" w:eastAsia="MS Mincho" w:hAnsi="Century Gothic" w:cs="Arial"/>
          <w:sz w:val="21"/>
          <w:szCs w:val="21"/>
          <w:lang w:val="es-ES_tradnl" w:eastAsia="es-CO"/>
        </w:rPr>
        <w:t>El costo de la comisión fiduciaria será cubierto por los rendimientos financieros que genere la inversión temporal del anticipo.</w:t>
      </w:r>
    </w:p>
    <w:p w14:paraId="07D80C9B" w14:textId="06B35A1D" w:rsidR="00AF4481" w:rsidRPr="0064024D" w:rsidRDefault="00947120" w:rsidP="00947120">
      <w:pPr>
        <w:spacing w:after="120" w:line="240" w:lineRule="auto"/>
        <w:ind w:left="709" w:right="709"/>
        <w:jc w:val="both"/>
        <w:rPr>
          <w:rFonts w:ascii="Century Gothic" w:eastAsia="MS Mincho" w:hAnsi="Century Gothic" w:cs="Arial"/>
          <w:sz w:val="21"/>
          <w:szCs w:val="21"/>
          <w:lang w:val="es-ES_tradnl" w:eastAsia="es-CO"/>
        </w:rPr>
      </w:pPr>
      <w:r w:rsidRPr="00947120">
        <w:rPr>
          <w:rFonts w:ascii="Century Gothic" w:eastAsia="MS Mincho" w:hAnsi="Century Gothic" w:cs="Arial"/>
          <w:sz w:val="21"/>
          <w:szCs w:val="21"/>
          <w:lang w:val="es-ES_tradnl" w:eastAsia="es-CO"/>
        </w:rPr>
        <w:t>Parágrafo 1°. La información financiera y contable de la fiducia podrá ser consultada por los Organismos de Vigilancia y Control Fiscal</w:t>
      </w:r>
      <w:r w:rsidR="00AF4481" w:rsidRPr="0064024D">
        <w:rPr>
          <w:rFonts w:ascii="Century Gothic" w:eastAsia="MS Mincho" w:hAnsi="Century Gothic" w:cs="Arial"/>
          <w:sz w:val="21"/>
          <w:szCs w:val="21"/>
          <w:lang w:val="es-ES_tradnl" w:eastAsia="es-CO"/>
        </w:rPr>
        <w:t>”</w:t>
      </w:r>
      <w:r w:rsidR="00AF4481">
        <w:rPr>
          <w:rStyle w:val="Refdenotaalpie"/>
          <w:rFonts w:ascii="Century Gothic" w:eastAsia="MS Mincho" w:hAnsi="Century Gothic" w:cs="Arial"/>
          <w:sz w:val="21"/>
          <w:szCs w:val="21"/>
          <w:lang w:val="es-ES_tradnl" w:eastAsia="es-CO"/>
        </w:rPr>
        <w:footnoteReference w:id="30"/>
      </w:r>
      <w:r w:rsidR="001C3302">
        <w:rPr>
          <w:rFonts w:ascii="Century Gothic" w:eastAsia="MS Mincho" w:hAnsi="Century Gothic" w:cs="Arial"/>
          <w:sz w:val="21"/>
          <w:szCs w:val="21"/>
          <w:lang w:val="es-ES_tradnl" w:eastAsia="es-CO"/>
        </w:rPr>
        <w:t xml:space="preserve"> (énfasis fuera de texto)</w:t>
      </w:r>
    </w:p>
    <w:p w14:paraId="4B8EAFF8" w14:textId="0B98BB21" w:rsidR="00654B18" w:rsidRDefault="00612DD5" w:rsidP="00820C44">
      <w:pPr>
        <w:spacing w:after="120" w:line="276" w:lineRule="auto"/>
        <w:ind w:firstLine="709"/>
        <w:jc w:val="both"/>
        <w:rPr>
          <w:rFonts w:ascii="Century Gothic" w:eastAsia="MS Mincho" w:hAnsi="Century Gothic" w:cs="Arial"/>
          <w:lang w:val="es-ES_tradnl" w:eastAsia="es-CO"/>
        </w:rPr>
      </w:pPr>
      <w:r>
        <w:rPr>
          <w:rFonts w:ascii="Century Gothic" w:eastAsia="MS Mincho" w:hAnsi="Century Gothic" w:cs="Arial"/>
          <w:lang w:val="es-ES_tradnl" w:eastAsia="es-CO"/>
        </w:rPr>
        <w:t xml:space="preserve">EL artículo </w:t>
      </w:r>
      <w:r w:rsidR="00435871">
        <w:rPr>
          <w:rFonts w:ascii="Century Gothic" w:eastAsia="MS Mincho" w:hAnsi="Century Gothic" w:cs="Arial"/>
          <w:lang w:val="es-ES_tradnl" w:eastAsia="es-CO"/>
        </w:rPr>
        <w:t xml:space="preserve">anterior </w:t>
      </w:r>
      <w:r>
        <w:rPr>
          <w:rFonts w:ascii="Century Gothic" w:eastAsia="MS Mincho" w:hAnsi="Century Gothic" w:cs="Arial"/>
          <w:lang w:val="es-ES_tradnl" w:eastAsia="es-CO"/>
        </w:rPr>
        <w:t>fue el texto definitivo que se concili</w:t>
      </w:r>
      <w:r w:rsidR="00E14935">
        <w:rPr>
          <w:rFonts w:ascii="Century Gothic" w:eastAsia="MS Mincho" w:hAnsi="Century Gothic" w:cs="Arial"/>
          <w:lang w:val="es-ES_tradnl" w:eastAsia="es-CO"/>
        </w:rPr>
        <w:t>ó</w:t>
      </w:r>
      <w:r>
        <w:rPr>
          <w:rFonts w:ascii="Century Gothic" w:eastAsia="MS Mincho" w:hAnsi="Century Gothic" w:cs="Arial"/>
          <w:lang w:val="es-ES_tradnl" w:eastAsia="es-CO"/>
        </w:rPr>
        <w:t xml:space="preserve"> tanto en Sena</w:t>
      </w:r>
      <w:r w:rsidR="006833AA">
        <w:rPr>
          <w:rFonts w:ascii="Century Gothic" w:eastAsia="MS Mincho" w:hAnsi="Century Gothic" w:cs="Arial"/>
          <w:lang w:val="es-ES_tradnl" w:eastAsia="es-CO"/>
        </w:rPr>
        <w:t>do</w:t>
      </w:r>
      <w:r>
        <w:rPr>
          <w:rFonts w:ascii="Century Gothic" w:eastAsia="MS Mincho" w:hAnsi="Century Gothic" w:cs="Arial"/>
          <w:lang w:val="es-ES_tradnl" w:eastAsia="es-CO"/>
        </w:rPr>
        <w:t xml:space="preserve"> como en Cámara de Representantes</w:t>
      </w:r>
      <w:r w:rsidR="006833AA">
        <w:rPr>
          <w:rStyle w:val="Refdenotaalpie"/>
          <w:rFonts w:ascii="Century Gothic" w:eastAsia="MS Mincho" w:hAnsi="Century Gothic" w:cs="Arial"/>
          <w:lang w:val="es-ES_tradnl" w:eastAsia="es-CO"/>
        </w:rPr>
        <w:footnoteReference w:id="31"/>
      </w:r>
      <w:r w:rsidR="00E21A26">
        <w:rPr>
          <w:rFonts w:ascii="Century Gothic" w:eastAsia="MS Mincho" w:hAnsi="Century Gothic" w:cs="Arial"/>
          <w:lang w:val="es-ES_tradnl" w:eastAsia="es-CO"/>
        </w:rPr>
        <w:t xml:space="preserve">, </w:t>
      </w:r>
      <w:r w:rsidR="00E14935">
        <w:rPr>
          <w:rFonts w:ascii="Century Gothic" w:eastAsia="MS Mincho" w:hAnsi="Century Gothic" w:cs="Arial"/>
          <w:lang w:val="es-ES_tradnl" w:eastAsia="es-CO"/>
        </w:rPr>
        <w:t>que posteriormente pasó a ser el</w:t>
      </w:r>
      <w:r w:rsidR="00E21A26">
        <w:rPr>
          <w:rFonts w:ascii="Century Gothic" w:eastAsia="MS Mincho" w:hAnsi="Century Gothic" w:cs="Arial"/>
          <w:lang w:val="es-ES_tradnl" w:eastAsia="es-CO"/>
        </w:rPr>
        <w:t xml:space="preserve"> texto </w:t>
      </w:r>
      <w:r w:rsidR="00435871">
        <w:rPr>
          <w:rFonts w:ascii="Century Gothic" w:eastAsia="MS Mincho" w:hAnsi="Century Gothic" w:cs="Arial"/>
          <w:lang w:val="es-ES_tradnl" w:eastAsia="es-CO"/>
        </w:rPr>
        <w:t>final</w:t>
      </w:r>
      <w:r w:rsidR="00E21A26">
        <w:rPr>
          <w:rFonts w:ascii="Century Gothic" w:eastAsia="MS Mincho" w:hAnsi="Century Gothic" w:cs="Arial"/>
          <w:lang w:val="es-ES_tradnl" w:eastAsia="es-CO"/>
        </w:rPr>
        <w:t xml:space="preserve"> del artículo 91 de la Ley 1474 de 2011. </w:t>
      </w:r>
      <w:r w:rsidR="00A2337C">
        <w:rPr>
          <w:rFonts w:ascii="Century Gothic" w:eastAsia="MS Mincho" w:hAnsi="Century Gothic" w:cs="Arial"/>
          <w:lang w:val="es-ES_tradnl" w:eastAsia="es-CO"/>
        </w:rPr>
        <w:t>Como puede observarse</w:t>
      </w:r>
      <w:r w:rsidR="00115F8B">
        <w:rPr>
          <w:rFonts w:ascii="Century Gothic" w:eastAsia="MS Mincho" w:hAnsi="Century Gothic" w:cs="Arial"/>
          <w:lang w:val="es-ES_tradnl" w:eastAsia="es-CO"/>
        </w:rPr>
        <w:t xml:space="preserve">, hasta antes de su último debate se contempló que el anticipo se manejaría </w:t>
      </w:r>
      <w:r w:rsidR="00676B8C">
        <w:rPr>
          <w:rFonts w:ascii="Century Gothic" w:eastAsia="MS Mincho" w:hAnsi="Century Gothic" w:cs="Arial"/>
          <w:lang w:val="es-ES_tradnl" w:eastAsia="es-CO"/>
        </w:rPr>
        <w:t>mediante</w:t>
      </w:r>
      <w:r w:rsidR="00115F8B">
        <w:rPr>
          <w:rFonts w:ascii="Century Gothic" w:eastAsia="MS Mincho" w:hAnsi="Century Gothic" w:cs="Arial"/>
          <w:lang w:val="es-ES_tradnl" w:eastAsia="es-CO"/>
        </w:rPr>
        <w:t xml:space="preserve"> </w:t>
      </w:r>
      <w:r w:rsidR="00C13C74">
        <w:rPr>
          <w:rFonts w:ascii="Century Gothic" w:eastAsia="MS Mincho" w:hAnsi="Century Gothic" w:cs="Arial"/>
          <w:lang w:val="es-ES_tradnl" w:eastAsia="es-CO"/>
        </w:rPr>
        <w:t xml:space="preserve">la constitución de </w:t>
      </w:r>
      <w:r w:rsidR="00115F8B">
        <w:rPr>
          <w:rFonts w:ascii="Century Gothic" w:eastAsia="MS Mincho" w:hAnsi="Century Gothic" w:cs="Arial"/>
          <w:lang w:val="es-ES_tradnl" w:eastAsia="es-CO"/>
        </w:rPr>
        <w:t>una fiducia irrevocable</w:t>
      </w:r>
      <w:r w:rsidR="00676B8C">
        <w:rPr>
          <w:rFonts w:ascii="Century Gothic" w:eastAsia="MS Mincho" w:hAnsi="Century Gothic" w:cs="Arial"/>
          <w:lang w:val="es-ES_tradnl" w:eastAsia="es-CO"/>
        </w:rPr>
        <w:t xml:space="preserve"> por parte del contratista</w:t>
      </w:r>
      <w:r w:rsidR="00115F8B">
        <w:rPr>
          <w:rFonts w:ascii="Century Gothic" w:eastAsia="MS Mincho" w:hAnsi="Century Gothic" w:cs="Arial"/>
          <w:lang w:val="es-ES_tradnl" w:eastAsia="es-CO"/>
        </w:rPr>
        <w:t>, entendida est</w:t>
      </w:r>
      <w:r w:rsidR="00EA6016">
        <w:rPr>
          <w:rFonts w:ascii="Century Gothic" w:eastAsia="MS Mincho" w:hAnsi="Century Gothic" w:cs="Arial"/>
          <w:lang w:val="es-ES_tradnl" w:eastAsia="es-CO"/>
        </w:rPr>
        <w:t>a como aquel negocio fiduciario donde el fideicomitente no lo puede terminar unilateralmente</w:t>
      </w:r>
      <w:r w:rsidR="009E2E4F">
        <w:rPr>
          <w:rFonts w:ascii="Century Gothic" w:eastAsia="MS Mincho" w:hAnsi="Century Gothic" w:cs="Arial"/>
          <w:lang w:val="es-ES_tradnl" w:eastAsia="es-CO"/>
        </w:rPr>
        <w:t xml:space="preserve">, sin </w:t>
      </w:r>
      <w:r w:rsidR="004E4647">
        <w:rPr>
          <w:rFonts w:ascii="Century Gothic" w:eastAsia="MS Mincho" w:hAnsi="Century Gothic" w:cs="Arial"/>
          <w:lang w:val="es-ES_tradnl" w:eastAsia="es-CO"/>
        </w:rPr>
        <w:t xml:space="preserve">que el texto de la norma o la exposición de motivos o los informes de ponencias </w:t>
      </w:r>
      <w:r w:rsidR="009E2E4F">
        <w:rPr>
          <w:rFonts w:ascii="Century Gothic" w:eastAsia="MS Mincho" w:hAnsi="Century Gothic" w:cs="Arial"/>
          <w:lang w:val="es-ES_tradnl" w:eastAsia="es-CO"/>
        </w:rPr>
        <w:t>especificar</w:t>
      </w:r>
      <w:r w:rsidR="004E4647">
        <w:rPr>
          <w:rFonts w:ascii="Century Gothic" w:eastAsia="MS Mincho" w:hAnsi="Century Gothic" w:cs="Arial"/>
          <w:lang w:val="es-ES_tradnl" w:eastAsia="es-CO"/>
        </w:rPr>
        <w:t>an el tipo de</w:t>
      </w:r>
      <w:r w:rsidR="008448EA">
        <w:rPr>
          <w:rFonts w:ascii="Century Gothic" w:eastAsia="MS Mincho" w:hAnsi="Century Gothic" w:cs="Arial"/>
          <w:lang w:val="es-ES_tradnl" w:eastAsia="es-CO"/>
        </w:rPr>
        <w:t xml:space="preserve"> negocio fiduciario</w:t>
      </w:r>
      <w:r w:rsidR="003159A1">
        <w:rPr>
          <w:rFonts w:ascii="Century Gothic" w:eastAsia="MS Mincho" w:hAnsi="Century Gothic" w:cs="Arial"/>
          <w:lang w:val="es-ES_tradnl" w:eastAsia="es-CO"/>
        </w:rPr>
        <w:t xml:space="preserve"> a celebrar</w:t>
      </w:r>
      <w:r w:rsidR="008448EA">
        <w:rPr>
          <w:rFonts w:ascii="Century Gothic" w:eastAsia="MS Mincho" w:hAnsi="Century Gothic" w:cs="Arial"/>
          <w:lang w:val="es-ES_tradnl" w:eastAsia="es-CO"/>
        </w:rPr>
        <w:t xml:space="preserve">, esto es, si se </w:t>
      </w:r>
      <w:r w:rsidR="00F13FFA">
        <w:rPr>
          <w:rFonts w:ascii="Century Gothic" w:eastAsia="MS Mincho" w:hAnsi="Century Gothic" w:cs="Arial"/>
          <w:lang w:val="es-ES_tradnl" w:eastAsia="es-CO"/>
        </w:rPr>
        <w:t>refirió</w:t>
      </w:r>
      <w:r w:rsidR="008448EA">
        <w:rPr>
          <w:rFonts w:ascii="Century Gothic" w:eastAsia="MS Mincho" w:hAnsi="Century Gothic" w:cs="Arial"/>
          <w:lang w:val="es-ES_tradnl" w:eastAsia="es-CO"/>
        </w:rPr>
        <w:t xml:space="preserve"> a la fiducia pública, </w:t>
      </w:r>
      <w:r w:rsidR="00BC7394">
        <w:rPr>
          <w:rFonts w:ascii="Century Gothic" w:eastAsia="MS Mincho" w:hAnsi="Century Gothic" w:cs="Arial"/>
          <w:lang w:val="es-ES_tradnl" w:eastAsia="es-CO"/>
        </w:rPr>
        <w:t>a</w:t>
      </w:r>
      <w:r w:rsidR="003159A1">
        <w:rPr>
          <w:rFonts w:ascii="Century Gothic" w:eastAsia="MS Mincho" w:hAnsi="Century Gothic" w:cs="Arial"/>
          <w:lang w:val="es-ES_tradnl" w:eastAsia="es-CO"/>
        </w:rPr>
        <w:t>l</w:t>
      </w:r>
      <w:r w:rsidR="00BC7394">
        <w:rPr>
          <w:rFonts w:ascii="Century Gothic" w:eastAsia="MS Mincho" w:hAnsi="Century Gothic" w:cs="Arial"/>
          <w:lang w:val="es-ES_tradnl" w:eastAsia="es-CO"/>
        </w:rPr>
        <w:t xml:space="preserve"> encargo fiduciario o a la fiducia mercantil</w:t>
      </w:r>
      <w:r w:rsidR="00F622D6">
        <w:rPr>
          <w:rFonts w:ascii="Century Gothic" w:eastAsia="MS Mincho" w:hAnsi="Century Gothic" w:cs="Arial"/>
          <w:lang w:val="es-ES_tradnl" w:eastAsia="es-CO"/>
        </w:rPr>
        <w:t>.</w:t>
      </w:r>
    </w:p>
    <w:p w14:paraId="77FE8A1F" w14:textId="3B2241C3" w:rsidR="00221153" w:rsidRPr="00221153" w:rsidRDefault="00EA0AC6" w:rsidP="001226AF">
      <w:pPr>
        <w:spacing w:after="120" w:line="276" w:lineRule="auto"/>
        <w:ind w:firstLine="708"/>
        <w:jc w:val="both"/>
        <w:rPr>
          <w:rFonts w:ascii="Century Gothic" w:eastAsia="MS Mincho" w:hAnsi="Century Gothic" w:cs="Arial"/>
          <w:lang w:val="es-ES_tradnl" w:eastAsia="es-CO"/>
        </w:rPr>
      </w:pPr>
      <w:r>
        <w:rPr>
          <w:rFonts w:ascii="Century Gothic" w:eastAsia="MS Mincho" w:hAnsi="Century Gothic" w:cs="Arial"/>
          <w:lang w:val="es-ES_tradnl" w:eastAsia="es-CO"/>
        </w:rPr>
        <w:t xml:space="preserve">Tan sólo en el último debate </w:t>
      </w:r>
      <w:r w:rsidR="002B23D5">
        <w:rPr>
          <w:rFonts w:ascii="Century Gothic" w:eastAsia="MS Mincho" w:hAnsi="Century Gothic" w:cs="Arial"/>
          <w:lang w:val="es-ES_tradnl" w:eastAsia="es-CO"/>
        </w:rPr>
        <w:t xml:space="preserve">ante la </w:t>
      </w:r>
      <w:r>
        <w:rPr>
          <w:rFonts w:ascii="Century Gothic" w:eastAsia="MS Mincho" w:hAnsi="Century Gothic" w:cs="Arial"/>
          <w:lang w:val="es-ES_tradnl" w:eastAsia="es-CO"/>
        </w:rPr>
        <w:t>plenaria de la Cámara de Representantes</w:t>
      </w:r>
      <w:r w:rsidR="002B23D5">
        <w:rPr>
          <w:rFonts w:ascii="Century Gothic" w:eastAsia="MS Mincho" w:hAnsi="Century Gothic" w:cs="Arial"/>
          <w:lang w:val="es-ES_tradnl" w:eastAsia="es-CO"/>
        </w:rPr>
        <w:t>,</w:t>
      </w:r>
      <w:r>
        <w:rPr>
          <w:rFonts w:ascii="Century Gothic" w:eastAsia="MS Mincho" w:hAnsi="Century Gothic" w:cs="Arial"/>
          <w:lang w:val="es-ES_tradnl" w:eastAsia="es-CO"/>
        </w:rPr>
        <w:t xml:space="preserve"> se agregó la posibilidad de manejar </w:t>
      </w:r>
      <w:r w:rsidR="002B23D5">
        <w:rPr>
          <w:rFonts w:ascii="Century Gothic" w:eastAsia="MS Mincho" w:hAnsi="Century Gothic" w:cs="Arial"/>
          <w:lang w:val="es-ES_tradnl" w:eastAsia="es-CO"/>
        </w:rPr>
        <w:t>los recursos d</w:t>
      </w:r>
      <w:r>
        <w:rPr>
          <w:rFonts w:ascii="Century Gothic" w:eastAsia="MS Mincho" w:hAnsi="Century Gothic" w:cs="Arial"/>
          <w:lang w:val="es-ES_tradnl" w:eastAsia="es-CO"/>
        </w:rPr>
        <w:t xml:space="preserve">el anticipo a través de </w:t>
      </w:r>
      <w:r w:rsidR="002B23D5">
        <w:rPr>
          <w:rFonts w:ascii="Century Gothic" w:eastAsia="MS Mincho" w:hAnsi="Century Gothic" w:cs="Arial"/>
          <w:lang w:val="es-ES_tradnl" w:eastAsia="es-CO"/>
        </w:rPr>
        <w:t xml:space="preserve">un </w:t>
      </w:r>
      <w:r>
        <w:rPr>
          <w:rFonts w:ascii="Century Gothic" w:eastAsia="MS Mincho" w:hAnsi="Century Gothic" w:cs="Arial"/>
          <w:lang w:val="es-ES_tradnl" w:eastAsia="es-CO"/>
        </w:rPr>
        <w:t>patrimonio autónomo irrevocable, el cual</w:t>
      </w:r>
      <w:r w:rsidR="00972AAD">
        <w:rPr>
          <w:rFonts w:ascii="Century Gothic" w:eastAsia="MS Mincho" w:hAnsi="Century Gothic" w:cs="Arial"/>
          <w:lang w:val="es-ES_tradnl" w:eastAsia="es-CO"/>
        </w:rPr>
        <w:t xml:space="preserve"> implica</w:t>
      </w:r>
      <w:r w:rsidR="009D51C4">
        <w:rPr>
          <w:rFonts w:ascii="Century Gothic" w:eastAsia="MS Mincho" w:hAnsi="Century Gothic" w:cs="Arial"/>
          <w:lang w:val="es-ES_tradnl" w:eastAsia="es-CO"/>
        </w:rPr>
        <w:t xml:space="preserve"> de por </w:t>
      </w:r>
      <w:proofErr w:type="spellStart"/>
      <w:r w:rsidR="009D51C4">
        <w:rPr>
          <w:rFonts w:ascii="Century Gothic" w:eastAsia="MS Mincho" w:hAnsi="Century Gothic" w:cs="Arial"/>
          <w:lang w:val="es-ES_tradnl" w:eastAsia="es-CO"/>
        </w:rPr>
        <w:t>si</w:t>
      </w:r>
      <w:proofErr w:type="spellEnd"/>
      <w:r w:rsidR="00972AAD">
        <w:rPr>
          <w:rFonts w:ascii="Century Gothic" w:eastAsia="MS Mincho" w:hAnsi="Century Gothic" w:cs="Arial"/>
          <w:lang w:val="es-ES_tradnl" w:eastAsia="es-CO"/>
        </w:rPr>
        <w:t xml:space="preserve">, </w:t>
      </w:r>
      <w:r w:rsidR="00F07B1B">
        <w:rPr>
          <w:rFonts w:ascii="Century Gothic" w:eastAsia="MS Mincho" w:hAnsi="Century Gothic" w:cs="Arial"/>
          <w:lang w:val="es-ES_tradnl" w:eastAsia="es-CO"/>
        </w:rPr>
        <w:t>la habilitación legal para la celebración por parte de las entidades estatales de fiducias mercantiles irrevocables</w:t>
      </w:r>
      <w:r w:rsidR="00C27991">
        <w:rPr>
          <w:rFonts w:ascii="Century Gothic" w:eastAsia="MS Mincho" w:hAnsi="Century Gothic" w:cs="Arial"/>
          <w:lang w:val="es-ES_tradnl" w:eastAsia="es-CO"/>
        </w:rPr>
        <w:t xml:space="preserve">, pues sólo a través de este tipo de negocio fiduciario puede garantizarse la </w:t>
      </w:r>
      <w:r w:rsidR="00C27991" w:rsidRPr="00EA402B">
        <w:rPr>
          <w:rFonts w:ascii="Century Gothic" w:eastAsia="MS Mincho" w:hAnsi="Century Gothic" w:cs="Arial"/>
          <w:lang w:val="es-ES_tradnl" w:eastAsia="es-CO"/>
        </w:rPr>
        <w:t>transferencia del derecho de dominio de los bienes y estos pasan a conformar un patrimonio autónomo</w:t>
      </w:r>
      <w:r w:rsidR="008064A4">
        <w:rPr>
          <w:rFonts w:ascii="Century Gothic" w:eastAsia="MS Mincho" w:hAnsi="Century Gothic" w:cs="Arial"/>
          <w:lang w:val="es-ES_tradnl" w:eastAsia="es-CO"/>
        </w:rPr>
        <w:t>. Lo anterior implica q</w:t>
      </w:r>
      <w:r w:rsidR="00835864">
        <w:rPr>
          <w:rFonts w:ascii="Century Gothic" w:eastAsia="MS Mincho" w:hAnsi="Century Gothic" w:cs="Arial"/>
          <w:lang w:val="es-ES_tradnl" w:eastAsia="es-CO"/>
        </w:rPr>
        <w:t xml:space="preserve">ue los </w:t>
      </w:r>
      <w:r w:rsidR="00C27CBB" w:rsidRPr="00C27CBB">
        <w:rPr>
          <w:rFonts w:ascii="Century Gothic" w:eastAsia="MS Mincho" w:hAnsi="Century Gothic" w:cs="Arial"/>
          <w:lang w:val="es-ES_tradnl" w:eastAsia="es-CO"/>
        </w:rPr>
        <w:t xml:space="preserve">recursos del anticipo </w:t>
      </w:r>
      <w:r w:rsidR="005B1C27">
        <w:rPr>
          <w:rFonts w:ascii="Century Gothic" w:eastAsia="MS Mincho" w:hAnsi="Century Gothic" w:cs="Arial"/>
          <w:lang w:val="es-ES_tradnl" w:eastAsia="es-CO"/>
        </w:rPr>
        <w:t xml:space="preserve">y </w:t>
      </w:r>
      <w:r w:rsidR="00C27CBB" w:rsidRPr="00C27CBB">
        <w:rPr>
          <w:rFonts w:ascii="Century Gothic" w:eastAsia="MS Mincho" w:hAnsi="Century Gothic" w:cs="Arial"/>
          <w:lang w:val="es-ES_tradnl" w:eastAsia="es-CO"/>
        </w:rPr>
        <w:t xml:space="preserve">sus rendimientos </w:t>
      </w:r>
      <w:r w:rsidR="00B47F2D">
        <w:rPr>
          <w:rFonts w:ascii="Century Gothic" w:eastAsia="MS Mincho" w:hAnsi="Century Gothic" w:cs="Arial"/>
          <w:lang w:val="es-ES_tradnl" w:eastAsia="es-CO"/>
        </w:rPr>
        <w:t>s</w:t>
      </w:r>
      <w:r w:rsidR="009A57BE">
        <w:rPr>
          <w:rFonts w:ascii="Century Gothic" w:eastAsia="MS Mincho" w:hAnsi="Century Gothic" w:cs="Arial"/>
          <w:lang w:val="es-ES_tradnl" w:eastAsia="es-CO"/>
        </w:rPr>
        <w:t>on</w:t>
      </w:r>
      <w:r w:rsidR="00B47F2D">
        <w:rPr>
          <w:rFonts w:ascii="Century Gothic" w:eastAsia="MS Mincho" w:hAnsi="Century Gothic" w:cs="Arial"/>
          <w:lang w:val="es-ES_tradnl" w:eastAsia="es-CO"/>
        </w:rPr>
        <w:t xml:space="preserve"> administrados de manera </w:t>
      </w:r>
      <w:r w:rsidR="008062F8">
        <w:rPr>
          <w:rFonts w:ascii="Century Gothic" w:eastAsia="MS Mincho" w:hAnsi="Century Gothic" w:cs="Arial"/>
          <w:lang w:val="es-ES_tradnl" w:eastAsia="es-CO"/>
        </w:rPr>
        <w:t>autónoma por pa</w:t>
      </w:r>
      <w:r w:rsidR="00F13FFA">
        <w:rPr>
          <w:rFonts w:ascii="Century Gothic" w:eastAsia="MS Mincho" w:hAnsi="Century Gothic" w:cs="Arial"/>
          <w:lang w:val="es-ES_tradnl" w:eastAsia="es-CO"/>
        </w:rPr>
        <w:t>r</w:t>
      </w:r>
      <w:r w:rsidR="008062F8">
        <w:rPr>
          <w:rFonts w:ascii="Century Gothic" w:eastAsia="MS Mincho" w:hAnsi="Century Gothic" w:cs="Arial"/>
          <w:lang w:val="es-ES_tradnl" w:eastAsia="es-CO"/>
        </w:rPr>
        <w:t>te de la fiduciaria, es decir, dichos recursos dejan de ser de p</w:t>
      </w:r>
      <w:r w:rsidR="00C27CBB" w:rsidRPr="00C27CBB">
        <w:rPr>
          <w:rFonts w:ascii="Century Gothic" w:eastAsia="MS Mincho" w:hAnsi="Century Gothic" w:cs="Arial"/>
          <w:lang w:val="es-ES_tradnl" w:eastAsia="es-CO"/>
        </w:rPr>
        <w:t>ropiedad de la Entidad Estatal</w:t>
      </w:r>
      <w:r w:rsidR="003063AE">
        <w:rPr>
          <w:rFonts w:ascii="Century Gothic" w:eastAsia="MS Mincho" w:hAnsi="Century Gothic" w:cs="Arial"/>
          <w:lang w:val="es-ES_tradnl" w:eastAsia="es-CO"/>
        </w:rPr>
        <w:t xml:space="preserve"> cuando se constituye un patrimonio autónomo</w:t>
      </w:r>
      <w:r w:rsidR="007D3055">
        <w:rPr>
          <w:rFonts w:ascii="Century Gothic" w:eastAsia="MS Mincho" w:hAnsi="Century Gothic" w:cs="Arial"/>
          <w:lang w:val="es-ES_tradnl" w:eastAsia="es-CO"/>
        </w:rPr>
        <w:t>.</w:t>
      </w:r>
    </w:p>
    <w:p w14:paraId="026AA933" w14:textId="69038C3A" w:rsidR="00D3141C" w:rsidRDefault="00B102D3" w:rsidP="00221153">
      <w:pPr>
        <w:spacing w:after="120" w:line="276" w:lineRule="auto"/>
        <w:ind w:firstLine="709"/>
        <w:jc w:val="both"/>
        <w:rPr>
          <w:rFonts w:ascii="Century Gothic" w:eastAsia="MS Mincho" w:hAnsi="Century Gothic" w:cs="Arial"/>
          <w:lang w:val="es-ES_tradnl" w:eastAsia="es-CO"/>
        </w:rPr>
      </w:pPr>
      <w:r>
        <w:rPr>
          <w:rFonts w:ascii="Century Gothic" w:eastAsia="MS Mincho" w:hAnsi="Century Gothic" w:cs="Arial"/>
          <w:lang w:val="es-ES_tradnl" w:eastAsia="es-CO"/>
        </w:rPr>
        <w:t>Sin embargo</w:t>
      </w:r>
      <w:r w:rsidR="009062B0">
        <w:rPr>
          <w:rFonts w:ascii="Century Gothic" w:eastAsia="MS Mincho" w:hAnsi="Century Gothic" w:cs="Arial"/>
          <w:lang w:val="es-ES_tradnl" w:eastAsia="es-CO"/>
        </w:rPr>
        <w:t>,</w:t>
      </w:r>
      <w:r w:rsidR="00BB40A5">
        <w:rPr>
          <w:rFonts w:ascii="Century Gothic" w:eastAsia="MS Mincho" w:hAnsi="Century Gothic" w:cs="Arial"/>
          <w:lang w:val="es-ES_tradnl" w:eastAsia="es-CO"/>
        </w:rPr>
        <w:t xml:space="preserve"> </w:t>
      </w:r>
      <w:r w:rsidR="00F13FFA">
        <w:rPr>
          <w:rFonts w:ascii="Century Gothic" w:eastAsia="MS Mincho" w:hAnsi="Century Gothic" w:cs="Arial"/>
          <w:lang w:val="es-ES_tradnl" w:eastAsia="es-CO"/>
        </w:rPr>
        <w:t xml:space="preserve">esta última modificación </w:t>
      </w:r>
      <w:r w:rsidR="00022EB4">
        <w:rPr>
          <w:rFonts w:ascii="Century Gothic" w:eastAsia="MS Mincho" w:hAnsi="Century Gothic" w:cs="Arial"/>
          <w:lang w:val="es-ES_tradnl" w:eastAsia="es-CO"/>
        </w:rPr>
        <w:t>en</w:t>
      </w:r>
      <w:r w:rsidR="009B5E5D">
        <w:rPr>
          <w:rFonts w:ascii="Century Gothic" w:eastAsia="MS Mincho" w:hAnsi="Century Gothic" w:cs="Arial"/>
          <w:lang w:val="es-ES_tradnl" w:eastAsia="es-CO"/>
        </w:rPr>
        <w:t xml:space="preserve"> el</w:t>
      </w:r>
      <w:r w:rsidR="00022EB4">
        <w:rPr>
          <w:rFonts w:ascii="Century Gothic" w:eastAsia="MS Mincho" w:hAnsi="Century Gothic" w:cs="Arial"/>
          <w:lang w:val="es-ES_tradnl" w:eastAsia="es-CO"/>
        </w:rPr>
        <w:t xml:space="preserve"> </w:t>
      </w:r>
      <w:r w:rsidR="00173B6D">
        <w:rPr>
          <w:rFonts w:ascii="Century Gothic" w:eastAsia="MS Mincho" w:hAnsi="Century Gothic" w:cs="Arial"/>
          <w:lang w:val="es-ES_tradnl" w:eastAsia="es-CO"/>
        </w:rPr>
        <w:t xml:space="preserve">texto </w:t>
      </w:r>
      <w:r w:rsidR="00022EB4">
        <w:rPr>
          <w:rFonts w:ascii="Century Gothic" w:eastAsia="MS Mincho" w:hAnsi="Century Gothic" w:cs="Arial"/>
          <w:lang w:val="es-ES_tradnl" w:eastAsia="es-CO"/>
        </w:rPr>
        <w:t xml:space="preserve">del artículo </w:t>
      </w:r>
      <w:r w:rsidR="004B2378">
        <w:rPr>
          <w:rFonts w:ascii="Century Gothic" w:eastAsia="MS Mincho" w:hAnsi="Century Gothic" w:cs="Arial"/>
          <w:lang w:val="es-ES_tradnl" w:eastAsia="es-CO"/>
        </w:rPr>
        <w:t xml:space="preserve">91 de la Ley 1474 de 2011 puede </w:t>
      </w:r>
      <w:r>
        <w:rPr>
          <w:rFonts w:ascii="Century Gothic" w:eastAsia="MS Mincho" w:hAnsi="Century Gothic" w:cs="Arial"/>
          <w:lang w:val="es-ES_tradnl" w:eastAsia="es-CO"/>
        </w:rPr>
        <w:t xml:space="preserve">interpretarse de dos maneras </w:t>
      </w:r>
      <w:r w:rsidR="000E6A4B">
        <w:rPr>
          <w:rFonts w:ascii="Century Gothic" w:eastAsia="MS Mincho" w:hAnsi="Century Gothic" w:cs="Arial"/>
          <w:lang w:val="es-ES_tradnl" w:eastAsia="es-CO"/>
        </w:rPr>
        <w:t>con relación al</w:t>
      </w:r>
      <w:r>
        <w:rPr>
          <w:rFonts w:ascii="Century Gothic" w:eastAsia="MS Mincho" w:hAnsi="Century Gothic" w:cs="Arial"/>
          <w:lang w:val="es-ES_tradnl" w:eastAsia="es-CO"/>
        </w:rPr>
        <w:t xml:space="preserve"> </w:t>
      </w:r>
      <w:r w:rsidR="009B5E5D">
        <w:rPr>
          <w:rFonts w:ascii="Century Gothic" w:eastAsia="MS Mincho" w:hAnsi="Century Gothic" w:cs="Arial"/>
          <w:lang w:val="es-ES_tradnl" w:eastAsia="es-CO"/>
        </w:rPr>
        <w:t xml:space="preserve">tipo de </w:t>
      </w:r>
      <w:r w:rsidR="004B2378">
        <w:rPr>
          <w:rFonts w:ascii="Century Gothic" w:eastAsia="MS Mincho" w:hAnsi="Century Gothic" w:cs="Arial"/>
          <w:lang w:val="es-ES_tradnl" w:eastAsia="es-CO"/>
        </w:rPr>
        <w:t xml:space="preserve">negocios </w:t>
      </w:r>
      <w:r w:rsidR="006F303A">
        <w:rPr>
          <w:rFonts w:ascii="Century Gothic" w:eastAsia="MS Mincho" w:hAnsi="Century Gothic" w:cs="Arial"/>
          <w:lang w:val="es-ES_tradnl" w:eastAsia="es-CO"/>
        </w:rPr>
        <w:t xml:space="preserve">fiduciarios </w:t>
      </w:r>
      <w:r w:rsidR="004B2378">
        <w:rPr>
          <w:rFonts w:ascii="Century Gothic" w:eastAsia="MS Mincho" w:hAnsi="Century Gothic" w:cs="Arial"/>
          <w:lang w:val="es-ES_tradnl" w:eastAsia="es-CO"/>
        </w:rPr>
        <w:t>que el contratista</w:t>
      </w:r>
      <w:r w:rsidR="00455187">
        <w:rPr>
          <w:rFonts w:ascii="Century Gothic" w:eastAsia="MS Mincho" w:hAnsi="Century Gothic" w:cs="Arial"/>
          <w:lang w:val="es-ES_tradnl" w:eastAsia="es-CO"/>
        </w:rPr>
        <w:t xml:space="preserve"> deberá </w:t>
      </w:r>
      <w:r w:rsidR="004B2378">
        <w:rPr>
          <w:rFonts w:ascii="Century Gothic" w:eastAsia="MS Mincho" w:hAnsi="Century Gothic" w:cs="Arial"/>
          <w:lang w:val="es-ES_tradnl" w:eastAsia="es-CO"/>
        </w:rPr>
        <w:t>constituir</w:t>
      </w:r>
      <w:r w:rsidR="006F303A">
        <w:rPr>
          <w:rFonts w:ascii="Century Gothic" w:eastAsia="MS Mincho" w:hAnsi="Century Gothic" w:cs="Arial"/>
          <w:lang w:val="es-ES_tradnl" w:eastAsia="es-CO"/>
        </w:rPr>
        <w:t xml:space="preserve">. La primera interpretación </w:t>
      </w:r>
      <w:r w:rsidR="00361F77">
        <w:rPr>
          <w:rFonts w:ascii="Century Gothic" w:eastAsia="MS Mincho" w:hAnsi="Century Gothic" w:cs="Arial"/>
          <w:lang w:val="es-ES_tradnl" w:eastAsia="es-CO"/>
        </w:rPr>
        <w:t>sugiere</w:t>
      </w:r>
      <w:r w:rsidR="00D3099B">
        <w:rPr>
          <w:rFonts w:ascii="Century Gothic" w:eastAsia="MS Mincho" w:hAnsi="Century Gothic" w:cs="Arial"/>
          <w:lang w:val="es-ES_tradnl" w:eastAsia="es-CO"/>
        </w:rPr>
        <w:t xml:space="preserve"> que </w:t>
      </w:r>
      <w:r w:rsidR="00066C5F">
        <w:rPr>
          <w:rFonts w:ascii="Century Gothic" w:eastAsia="MS Mincho" w:hAnsi="Century Gothic" w:cs="Arial"/>
          <w:lang w:val="es-ES_tradnl" w:eastAsia="es-CO"/>
        </w:rPr>
        <w:t xml:space="preserve">al indicar que se puede </w:t>
      </w:r>
      <w:r w:rsidR="00156F35">
        <w:rPr>
          <w:rFonts w:ascii="Century Gothic" w:eastAsia="MS Mincho" w:hAnsi="Century Gothic" w:cs="Arial"/>
          <w:lang w:val="es-ES_tradnl" w:eastAsia="es-CO"/>
        </w:rPr>
        <w:t>“</w:t>
      </w:r>
      <w:r w:rsidR="0054406C" w:rsidRPr="0054406C">
        <w:rPr>
          <w:rFonts w:ascii="Century Gothic" w:eastAsia="MS Mincho" w:hAnsi="Century Gothic" w:cs="Arial"/>
          <w:lang w:val="es-ES_tradnl" w:eastAsia="es-CO"/>
        </w:rPr>
        <w:t xml:space="preserve">constituir </w:t>
      </w:r>
      <w:r w:rsidR="0054406C" w:rsidRPr="0054406C">
        <w:rPr>
          <w:rFonts w:ascii="Century Gothic" w:eastAsia="MS Mincho" w:hAnsi="Century Gothic" w:cs="Arial"/>
          <w:i/>
          <w:iCs/>
          <w:lang w:val="es-ES_tradnl" w:eastAsia="es-CO"/>
        </w:rPr>
        <w:t xml:space="preserve">una </w:t>
      </w:r>
      <w:r w:rsidR="0054406C" w:rsidRPr="00BB10FB">
        <w:rPr>
          <w:rFonts w:ascii="Century Gothic" w:eastAsia="MS Mincho" w:hAnsi="Century Gothic" w:cs="Arial"/>
          <w:i/>
          <w:iCs/>
          <w:lang w:val="es-ES_tradnl" w:eastAsia="es-CO"/>
        </w:rPr>
        <w:t>fiducia o un patrimonio autónomo irrevocable</w:t>
      </w:r>
      <w:r w:rsidR="00156F35">
        <w:rPr>
          <w:rFonts w:ascii="Century Gothic" w:eastAsia="MS Mincho" w:hAnsi="Century Gothic" w:cs="Arial"/>
          <w:i/>
          <w:iCs/>
          <w:lang w:val="es-ES_tradnl" w:eastAsia="es-CO"/>
        </w:rPr>
        <w:t xml:space="preserve"> (…)”</w:t>
      </w:r>
      <w:r w:rsidR="0054406C" w:rsidRPr="0054406C">
        <w:rPr>
          <w:rFonts w:ascii="Century Gothic" w:eastAsia="MS Mincho" w:hAnsi="Century Gothic" w:cs="Arial"/>
          <w:lang w:val="es-ES_tradnl" w:eastAsia="es-CO"/>
        </w:rPr>
        <w:t xml:space="preserve"> </w:t>
      </w:r>
      <w:r w:rsidR="00066C5F">
        <w:rPr>
          <w:rFonts w:ascii="Century Gothic" w:eastAsia="MS Mincho" w:hAnsi="Century Gothic" w:cs="Arial"/>
          <w:lang w:val="es-ES_tradnl" w:eastAsia="es-CO"/>
        </w:rPr>
        <w:t xml:space="preserve">para el manejo de los recursos del anticipo, </w:t>
      </w:r>
      <w:r w:rsidR="000E6A4B">
        <w:rPr>
          <w:rFonts w:ascii="Century Gothic" w:eastAsia="MS Mincho" w:hAnsi="Century Gothic" w:cs="Arial"/>
          <w:lang w:val="es-ES_tradnl" w:eastAsia="es-CO"/>
        </w:rPr>
        <w:t xml:space="preserve">se habilitó la </w:t>
      </w:r>
      <w:r w:rsidR="00066C5F">
        <w:rPr>
          <w:rFonts w:ascii="Century Gothic" w:eastAsia="MS Mincho" w:hAnsi="Century Gothic" w:cs="Arial"/>
          <w:lang w:val="es-ES_tradnl" w:eastAsia="es-CO"/>
        </w:rPr>
        <w:t>posibilidad de celebrar todo</w:t>
      </w:r>
      <w:r w:rsidR="00F0388B">
        <w:rPr>
          <w:rFonts w:ascii="Century Gothic" w:eastAsia="MS Mincho" w:hAnsi="Century Gothic" w:cs="Arial"/>
          <w:lang w:val="es-ES_tradnl" w:eastAsia="es-CO"/>
        </w:rPr>
        <w:t xml:space="preserve"> tipo de negocio fiduciario</w:t>
      </w:r>
      <w:r w:rsidR="000E6A4B">
        <w:rPr>
          <w:rFonts w:ascii="Century Gothic" w:eastAsia="MS Mincho" w:hAnsi="Century Gothic" w:cs="Arial"/>
          <w:lang w:val="es-ES_tradnl" w:eastAsia="es-CO"/>
        </w:rPr>
        <w:t xml:space="preserve">. Esto se debería a la </w:t>
      </w:r>
      <w:r w:rsidR="00AB4F60">
        <w:rPr>
          <w:rFonts w:ascii="Century Gothic" w:eastAsia="MS Mincho" w:hAnsi="Century Gothic" w:cs="Arial"/>
          <w:lang w:val="es-ES_tradnl" w:eastAsia="es-CO"/>
        </w:rPr>
        <w:t xml:space="preserve">inclusión del </w:t>
      </w:r>
      <w:r w:rsidR="00F0388B">
        <w:rPr>
          <w:rFonts w:ascii="Century Gothic" w:eastAsia="MS Mincho" w:hAnsi="Century Gothic" w:cs="Arial"/>
          <w:lang w:val="es-ES_tradnl" w:eastAsia="es-CO"/>
        </w:rPr>
        <w:t>conector “o” entre la mod</w:t>
      </w:r>
      <w:r w:rsidR="00840E27">
        <w:rPr>
          <w:rFonts w:ascii="Century Gothic" w:eastAsia="MS Mincho" w:hAnsi="Century Gothic" w:cs="Arial"/>
          <w:lang w:val="es-ES_tradnl" w:eastAsia="es-CO"/>
        </w:rPr>
        <w:t xml:space="preserve">ificación </w:t>
      </w:r>
      <w:r w:rsidR="00F0388B">
        <w:rPr>
          <w:rFonts w:ascii="Century Gothic" w:eastAsia="MS Mincho" w:hAnsi="Century Gothic" w:cs="Arial"/>
          <w:lang w:val="es-ES_tradnl" w:eastAsia="es-CO"/>
        </w:rPr>
        <w:t>y la propuesta</w:t>
      </w:r>
      <w:r w:rsidR="00E700BA">
        <w:rPr>
          <w:rFonts w:ascii="Century Gothic" w:eastAsia="MS Mincho" w:hAnsi="Century Gothic" w:cs="Arial"/>
          <w:lang w:val="es-ES_tradnl" w:eastAsia="es-CO"/>
        </w:rPr>
        <w:t xml:space="preserve"> inicial del texto del artículo</w:t>
      </w:r>
      <w:r w:rsidR="00F0388B">
        <w:rPr>
          <w:rFonts w:ascii="Century Gothic" w:eastAsia="MS Mincho" w:hAnsi="Century Gothic" w:cs="Arial"/>
          <w:lang w:val="es-ES_tradnl" w:eastAsia="es-CO"/>
        </w:rPr>
        <w:t xml:space="preserve"> aprobada en debates anteriores</w:t>
      </w:r>
      <w:r w:rsidR="00CC3091">
        <w:rPr>
          <w:rFonts w:ascii="Century Gothic" w:eastAsia="MS Mincho" w:hAnsi="Century Gothic" w:cs="Arial"/>
          <w:lang w:val="es-ES_tradnl" w:eastAsia="es-CO"/>
        </w:rPr>
        <w:t xml:space="preserve">, que se interpreta que </w:t>
      </w:r>
      <w:r w:rsidR="00812DF5">
        <w:rPr>
          <w:rFonts w:ascii="Century Gothic" w:eastAsia="MS Mincho" w:hAnsi="Century Gothic" w:cs="Arial"/>
          <w:lang w:val="es-ES_tradnl" w:eastAsia="es-CO"/>
        </w:rPr>
        <w:t xml:space="preserve"> contiene </w:t>
      </w:r>
      <w:r w:rsidR="00C14BBA">
        <w:rPr>
          <w:rFonts w:ascii="Century Gothic" w:eastAsia="MS Mincho" w:hAnsi="Century Gothic" w:cs="Arial"/>
          <w:lang w:val="es-ES_tradnl" w:eastAsia="es-CO"/>
        </w:rPr>
        <w:t xml:space="preserve">un valor disyuntivo de expresar alternativas entre distintas opciones, lo que traduce a que </w:t>
      </w:r>
      <w:r w:rsidR="004C6AAD">
        <w:rPr>
          <w:rFonts w:ascii="Century Gothic" w:eastAsia="MS Mincho" w:hAnsi="Century Gothic" w:cs="Arial"/>
          <w:lang w:val="es-ES_tradnl" w:eastAsia="es-CO"/>
        </w:rPr>
        <w:t>se est</w:t>
      </w:r>
      <w:r w:rsidR="00A24C0C">
        <w:rPr>
          <w:rFonts w:ascii="Century Gothic" w:eastAsia="MS Mincho" w:hAnsi="Century Gothic" w:cs="Arial"/>
          <w:lang w:val="es-ES_tradnl" w:eastAsia="es-CO"/>
        </w:rPr>
        <w:t>aría</w:t>
      </w:r>
      <w:r w:rsidR="004C6AAD">
        <w:rPr>
          <w:rFonts w:ascii="Century Gothic" w:eastAsia="MS Mincho" w:hAnsi="Century Gothic" w:cs="Arial"/>
          <w:lang w:val="es-ES_tradnl" w:eastAsia="es-CO"/>
        </w:rPr>
        <w:t xml:space="preserve"> habilitando </w:t>
      </w:r>
      <w:r w:rsidR="00C14BBA">
        <w:rPr>
          <w:rFonts w:ascii="Century Gothic" w:eastAsia="MS Mincho" w:hAnsi="Century Gothic" w:cs="Arial"/>
          <w:lang w:val="es-ES_tradnl" w:eastAsia="es-CO"/>
        </w:rPr>
        <w:t xml:space="preserve">al contratista para celebrar </w:t>
      </w:r>
      <w:r w:rsidR="004C6AAD">
        <w:rPr>
          <w:rFonts w:ascii="Century Gothic" w:eastAsia="MS Mincho" w:hAnsi="Century Gothic" w:cs="Arial"/>
          <w:lang w:val="es-ES_tradnl" w:eastAsia="es-CO"/>
        </w:rPr>
        <w:t xml:space="preserve">diferentes </w:t>
      </w:r>
      <w:r w:rsidR="000E0E35">
        <w:rPr>
          <w:rFonts w:ascii="Century Gothic" w:eastAsia="MS Mincho" w:hAnsi="Century Gothic" w:cs="Arial"/>
          <w:lang w:val="es-ES_tradnl" w:eastAsia="es-CO"/>
        </w:rPr>
        <w:t xml:space="preserve">alternativas de </w:t>
      </w:r>
      <w:r w:rsidR="004C6AAD">
        <w:rPr>
          <w:rFonts w:ascii="Century Gothic" w:eastAsia="MS Mincho" w:hAnsi="Century Gothic" w:cs="Arial"/>
          <w:lang w:val="es-ES_tradnl" w:eastAsia="es-CO"/>
        </w:rPr>
        <w:t xml:space="preserve">negocios fiduciarios, </w:t>
      </w:r>
      <w:r w:rsidR="00672EFA">
        <w:rPr>
          <w:rFonts w:ascii="Century Gothic" w:eastAsia="MS Mincho" w:hAnsi="Century Gothic" w:cs="Arial"/>
          <w:lang w:val="es-ES_tradnl" w:eastAsia="es-CO"/>
        </w:rPr>
        <w:t>entre ellos</w:t>
      </w:r>
      <w:r w:rsidR="00CC3091">
        <w:rPr>
          <w:rFonts w:ascii="Century Gothic" w:eastAsia="MS Mincho" w:hAnsi="Century Gothic" w:cs="Arial"/>
          <w:lang w:val="es-ES_tradnl" w:eastAsia="es-CO"/>
        </w:rPr>
        <w:t>,</w:t>
      </w:r>
      <w:r w:rsidR="00672EFA">
        <w:rPr>
          <w:rFonts w:ascii="Century Gothic" w:eastAsia="MS Mincho" w:hAnsi="Century Gothic" w:cs="Arial"/>
          <w:lang w:val="es-ES_tradnl" w:eastAsia="es-CO"/>
        </w:rPr>
        <w:t xml:space="preserve"> la fiducia pública, el encargo fiduciari</w:t>
      </w:r>
      <w:r w:rsidR="00E41D9F">
        <w:rPr>
          <w:rFonts w:ascii="Century Gothic" w:eastAsia="MS Mincho" w:hAnsi="Century Gothic" w:cs="Arial"/>
          <w:lang w:val="es-ES_tradnl" w:eastAsia="es-CO"/>
        </w:rPr>
        <w:t>o</w:t>
      </w:r>
      <w:r w:rsidR="00672EFA">
        <w:rPr>
          <w:rFonts w:ascii="Century Gothic" w:eastAsia="MS Mincho" w:hAnsi="Century Gothic" w:cs="Arial"/>
          <w:lang w:val="es-ES_tradnl" w:eastAsia="es-CO"/>
        </w:rPr>
        <w:t xml:space="preserve"> y la fiducia mercantil, siempre y cuando </w:t>
      </w:r>
      <w:r w:rsidR="00E41D9F">
        <w:rPr>
          <w:rFonts w:ascii="Century Gothic" w:eastAsia="MS Mincho" w:hAnsi="Century Gothic" w:cs="Arial"/>
          <w:lang w:val="es-ES_tradnl" w:eastAsia="es-CO"/>
        </w:rPr>
        <w:t xml:space="preserve">todos estos </w:t>
      </w:r>
      <w:r w:rsidR="00672EFA">
        <w:rPr>
          <w:rFonts w:ascii="Century Gothic" w:eastAsia="MS Mincho" w:hAnsi="Century Gothic" w:cs="Arial"/>
          <w:lang w:val="es-ES_tradnl" w:eastAsia="es-CO"/>
        </w:rPr>
        <w:t>sean irrevocables</w:t>
      </w:r>
      <w:r w:rsidR="00534613">
        <w:rPr>
          <w:rFonts w:ascii="Century Gothic" w:eastAsia="MS Mincho" w:hAnsi="Century Gothic" w:cs="Arial"/>
          <w:lang w:val="es-ES_tradnl" w:eastAsia="es-CO"/>
        </w:rPr>
        <w:t>, pues el legislador no realizó distinción alguna al respecto.</w:t>
      </w:r>
    </w:p>
    <w:p w14:paraId="7AEB9DD8" w14:textId="77777777" w:rsidR="007E7F7A" w:rsidRDefault="00534613" w:rsidP="00F237F9">
      <w:pPr>
        <w:spacing w:after="120" w:line="276" w:lineRule="auto"/>
        <w:ind w:firstLine="709"/>
        <w:jc w:val="both"/>
        <w:rPr>
          <w:rFonts w:ascii="Century Gothic" w:eastAsia="MS Mincho" w:hAnsi="Century Gothic" w:cs="Arial"/>
          <w:lang w:val="es-ES_tradnl" w:eastAsia="es-CO"/>
        </w:rPr>
      </w:pPr>
      <w:r>
        <w:rPr>
          <w:rFonts w:ascii="Century Gothic" w:eastAsia="MS Mincho" w:hAnsi="Century Gothic" w:cs="Arial"/>
          <w:lang w:val="es-ES_tradnl" w:eastAsia="es-CO"/>
        </w:rPr>
        <w:t xml:space="preserve">Por </w:t>
      </w:r>
      <w:r w:rsidR="007D41D8">
        <w:rPr>
          <w:rFonts w:ascii="Century Gothic" w:eastAsia="MS Mincho" w:hAnsi="Century Gothic" w:cs="Arial"/>
          <w:lang w:val="es-ES_tradnl" w:eastAsia="es-CO"/>
        </w:rPr>
        <w:t>su parte</w:t>
      </w:r>
      <w:r>
        <w:rPr>
          <w:rFonts w:ascii="Century Gothic" w:eastAsia="MS Mincho" w:hAnsi="Century Gothic" w:cs="Arial"/>
          <w:lang w:val="es-ES_tradnl" w:eastAsia="es-CO"/>
        </w:rPr>
        <w:t>, la segunda interpretación</w:t>
      </w:r>
      <w:r w:rsidR="009E1F5B">
        <w:rPr>
          <w:rFonts w:ascii="Century Gothic" w:eastAsia="MS Mincho" w:hAnsi="Century Gothic" w:cs="Arial"/>
          <w:lang w:val="es-ES_tradnl" w:eastAsia="es-CO"/>
        </w:rPr>
        <w:t xml:space="preserve"> </w:t>
      </w:r>
      <w:r w:rsidR="00016A9F">
        <w:rPr>
          <w:rFonts w:ascii="Century Gothic" w:eastAsia="MS Mincho" w:hAnsi="Century Gothic" w:cs="Arial"/>
          <w:lang w:val="es-ES_tradnl" w:eastAsia="es-CO"/>
        </w:rPr>
        <w:t>plantea</w:t>
      </w:r>
      <w:r w:rsidR="009E1F5B">
        <w:rPr>
          <w:rFonts w:ascii="Century Gothic" w:eastAsia="MS Mincho" w:hAnsi="Century Gothic" w:cs="Arial"/>
          <w:lang w:val="es-ES_tradnl" w:eastAsia="es-CO"/>
        </w:rPr>
        <w:t xml:space="preserve"> que el conector “o” no debe de interpretarse como un conector que presenta diferentes alternativas</w:t>
      </w:r>
      <w:r w:rsidR="00EF3562">
        <w:rPr>
          <w:rFonts w:ascii="Century Gothic" w:eastAsia="MS Mincho" w:hAnsi="Century Gothic" w:cs="Arial"/>
          <w:lang w:val="es-ES_tradnl" w:eastAsia="es-CO"/>
        </w:rPr>
        <w:t xml:space="preserve"> de negocios fiduciarios</w:t>
      </w:r>
      <w:r w:rsidR="009E1F5B">
        <w:rPr>
          <w:rFonts w:ascii="Century Gothic" w:eastAsia="MS Mincho" w:hAnsi="Century Gothic" w:cs="Arial"/>
          <w:lang w:val="es-ES_tradnl" w:eastAsia="es-CO"/>
        </w:rPr>
        <w:t xml:space="preserve">, sino como un conector que </w:t>
      </w:r>
      <w:r w:rsidR="00A304B5">
        <w:rPr>
          <w:rFonts w:ascii="Century Gothic" w:eastAsia="MS Mincho" w:hAnsi="Century Gothic" w:cs="Arial"/>
          <w:lang w:val="es-ES_tradnl" w:eastAsia="es-CO"/>
        </w:rPr>
        <w:t>expresa una equivalencia</w:t>
      </w:r>
      <w:r w:rsidR="00C51346">
        <w:rPr>
          <w:rFonts w:ascii="Century Gothic" w:eastAsia="MS Mincho" w:hAnsi="Century Gothic" w:cs="Arial"/>
          <w:lang w:val="es-ES_tradnl" w:eastAsia="es-CO"/>
        </w:rPr>
        <w:t xml:space="preserve"> denominativa, la que correspondería únicamente a la habilitación legal para constituir</w:t>
      </w:r>
      <w:r w:rsidR="00303CCE">
        <w:rPr>
          <w:rFonts w:ascii="Century Gothic" w:eastAsia="MS Mincho" w:hAnsi="Century Gothic" w:cs="Arial"/>
          <w:lang w:val="es-ES_tradnl" w:eastAsia="es-CO"/>
        </w:rPr>
        <w:t xml:space="preserve"> patrimonio</w:t>
      </w:r>
      <w:r w:rsidR="00742AB3">
        <w:rPr>
          <w:rFonts w:ascii="Century Gothic" w:eastAsia="MS Mincho" w:hAnsi="Century Gothic" w:cs="Arial"/>
          <w:lang w:val="es-ES_tradnl" w:eastAsia="es-CO"/>
        </w:rPr>
        <w:t>s</w:t>
      </w:r>
      <w:r w:rsidR="00303CCE">
        <w:rPr>
          <w:rFonts w:ascii="Century Gothic" w:eastAsia="MS Mincho" w:hAnsi="Century Gothic" w:cs="Arial"/>
          <w:lang w:val="es-ES_tradnl" w:eastAsia="es-CO"/>
        </w:rPr>
        <w:t xml:space="preserve"> autónomos irrevocables, los cuales </w:t>
      </w:r>
      <w:r w:rsidR="00742AB3">
        <w:rPr>
          <w:rFonts w:ascii="Century Gothic" w:eastAsia="MS Mincho" w:hAnsi="Century Gothic" w:cs="Arial"/>
          <w:lang w:val="es-ES_tradnl" w:eastAsia="es-CO"/>
        </w:rPr>
        <w:t>sólo son factibles mediante</w:t>
      </w:r>
      <w:r w:rsidR="00303CCE">
        <w:rPr>
          <w:rFonts w:ascii="Century Gothic" w:eastAsia="MS Mincho" w:hAnsi="Century Gothic" w:cs="Arial"/>
          <w:lang w:val="es-ES_tradnl" w:eastAsia="es-CO"/>
        </w:rPr>
        <w:t xml:space="preserve"> la celebración de contratos de</w:t>
      </w:r>
      <w:r w:rsidR="00E347F7">
        <w:rPr>
          <w:rFonts w:ascii="Century Gothic" w:eastAsia="MS Mincho" w:hAnsi="Century Gothic" w:cs="Arial"/>
          <w:lang w:val="es-ES_tradnl" w:eastAsia="es-CO"/>
        </w:rPr>
        <w:t xml:space="preserve"> fiducia mercantil</w:t>
      </w:r>
      <w:r w:rsidR="00180FFC">
        <w:rPr>
          <w:rFonts w:ascii="Century Gothic" w:eastAsia="MS Mincho" w:hAnsi="Century Gothic" w:cs="Arial"/>
          <w:lang w:val="es-ES_tradnl" w:eastAsia="es-CO"/>
        </w:rPr>
        <w:t xml:space="preserve"> irrevocable</w:t>
      </w:r>
      <w:r w:rsidR="00894219">
        <w:rPr>
          <w:rFonts w:ascii="Century Gothic" w:eastAsia="MS Mincho" w:hAnsi="Century Gothic" w:cs="Arial"/>
          <w:lang w:val="es-ES_tradnl" w:eastAsia="es-CO"/>
        </w:rPr>
        <w:t>. Esto se fundamenta principalmente al señalar que</w:t>
      </w:r>
      <w:r w:rsidR="00DF6F36">
        <w:rPr>
          <w:rFonts w:ascii="Century Gothic" w:eastAsia="MS Mincho" w:hAnsi="Century Gothic" w:cs="Arial"/>
          <w:lang w:val="es-ES_tradnl" w:eastAsia="es-CO"/>
        </w:rPr>
        <w:t xml:space="preserve"> la única intención clara del legislador</w:t>
      </w:r>
      <w:r w:rsidR="00C257C3">
        <w:rPr>
          <w:rFonts w:ascii="Century Gothic" w:eastAsia="MS Mincho" w:hAnsi="Century Gothic" w:cs="Arial"/>
          <w:lang w:val="es-ES_tradnl" w:eastAsia="es-CO"/>
        </w:rPr>
        <w:t>,</w:t>
      </w:r>
      <w:r w:rsidR="00DF6F36">
        <w:rPr>
          <w:rFonts w:ascii="Century Gothic" w:eastAsia="MS Mincho" w:hAnsi="Century Gothic" w:cs="Arial"/>
          <w:lang w:val="es-ES_tradnl" w:eastAsia="es-CO"/>
        </w:rPr>
        <w:t xml:space="preserve"> durante </w:t>
      </w:r>
      <w:r w:rsidR="00C257C3">
        <w:rPr>
          <w:rFonts w:ascii="Century Gothic" w:eastAsia="MS Mincho" w:hAnsi="Century Gothic" w:cs="Arial"/>
          <w:lang w:val="es-ES_tradnl" w:eastAsia="es-CO"/>
        </w:rPr>
        <w:t xml:space="preserve">todo </w:t>
      </w:r>
      <w:r w:rsidR="00DF6F36">
        <w:rPr>
          <w:rFonts w:ascii="Century Gothic" w:eastAsia="MS Mincho" w:hAnsi="Century Gothic" w:cs="Arial"/>
          <w:lang w:val="es-ES_tradnl" w:eastAsia="es-CO"/>
        </w:rPr>
        <w:t>el trámite legislativo</w:t>
      </w:r>
      <w:r w:rsidR="00C257C3">
        <w:rPr>
          <w:rFonts w:ascii="Century Gothic" w:eastAsia="MS Mincho" w:hAnsi="Century Gothic" w:cs="Arial"/>
          <w:lang w:val="es-ES_tradnl" w:eastAsia="es-CO"/>
        </w:rPr>
        <w:t xml:space="preserve">, fue </w:t>
      </w:r>
      <w:r w:rsidR="005B46A9">
        <w:rPr>
          <w:rFonts w:ascii="Century Gothic" w:eastAsia="MS Mincho" w:hAnsi="Century Gothic" w:cs="Arial"/>
          <w:lang w:val="es-ES_tradnl" w:eastAsia="es-CO"/>
        </w:rPr>
        <w:t>la de</w:t>
      </w:r>
      <w:r w:rsidR="005B46A9" w:rsidRPr="005B46A9">
        <w:rPr>
          <w:rFonts w:ascii="Century Gothic" w:eastAsia="MS Mincho" w:hAnsi="Century Gothic" w:cs="Arial"/>
          <w:lang w:val="es-ES_tradnl" w:eastAsia="es-CO"/>
        </w:rPr>
        <w:t xml:space="preserve"> habilitar legalmente la transferencia de la propiedad de los recursos públicos entregados como anticipo</w:t>
      </w:r>
      <w:r w:rsidR="007E7F7A">
        <w:rPr>
          <w:rFonts w:ascii="Century Gothic" w:eastAsia="MS Mincho" w:hAnsi="Century Gothic" w:cs="Arial"/>
          <w:lang w:val="es-ES_tradnl" w:eastAsia="es-CO"/>
        </w:rPr>
        <w:t xml:space="preserve"> para que estos sean administrados</w:t>
      </w:r>
      <w:r w:rsidR="005B46A9" w:rsidRPr="005B46A9">
        <w:rPr>
          <w:rFonts w:ascii="Century Gothic" w:eastAsia="MS Mincho" w:hAnsi="Century Gothic" w:cs="Arial"/>
          <w:lang w:val="es-ES_tradnl" w:eastAsia="es-CO"/>
        </w:rPr>
        <w:t xml:space="preserve"> </w:t>
      </w:r>
      <w:r w:rsidR="007E7F7A">
        <w:rPr>
          <w:rFonts w:ascii="Century Gothic" w:eastAsia="MS Mincho" w:hAnsi="Century Gothic" w:cs="Arial"/>
          <w:lang w:val="es-ES_tradnl" w:eastAsia="es-CO"/>
        </w:rPr>
        <w:t xml:space="preserve">mediante </w:t>
      </w:r>
      <w:r w:rsidR="005B46A9" w:rsidRPr="005B46A9">
        <w:rPr>
          <w:rFonts w:ascii="Century Gothic" w:eastAsia="MS Mincho" w:hAnsi="Century Gothic" w:cs="Arial"/>
          <w:lang w:val="es-ES_tradnl" w:eastAsia="es-CO"/>
        </w:rPr>
        <w:t>un patrimonio autónomo.</w:t>
      </w:r>
      <w:r w:rsidR="007E7F7A">
        <w:rPr>
          <w:rFonts w:ascii="Century Gothic" w:eastAsia="MS Mincho" w:hAnsi="Century Gothic" w:cs="Arial"/>
          <w:lang w:val="es-ES_tradnl" w:eastAsia="es-CO"/>
        </w:rPr>
        <w:t xml:space="preserve"> </w:t>
      </w:r>
    </w:p>
    <w:p w14:paraId="1074F14E" w14:textId="22643FAD" w:rsidR="004A1F28" w:rsidRDefault="001A527C" w:rsidP="00F237F9">
      <w:pPr>
        <w:spacing w:after="120" w:line="276" w:lineRule="auto"/>
        <w:ind w:firstLine="709"/>
        <w:jc w:val="both"/>
        <w:rPr>
          <w:rFonts w:ascii="Century Gothic" w:hAnsi="Century Gothic" w:cs="Arial"/>
          <w:iCs/>
          <w:color w:val="000000" w:themeColor="text1"/>
        </w:rPr>
      </w:pPr>
      <w:r>
        <w:rPr>
          <w:rFonts w:ascii="Century Gothic" w:eastAsia="MS Mincho" w:hAnsi="Century Gothic" w:cs="Arial"/>
          <w:lang w:val="es-ES_tradnl" w:eastAsia="es-CO"/>
        </w:rPr>
        <w:t>Esta última interpretación fue la acogida en la</w:t>
      </w:r>
      <w:r w:rsidRPr="004E4408">
        <w:rPr>
          <w:rFonts w:ascii="Century Gothic" w:hAnsi="Century Gothic" w:cs="Arial"/>
          <w:color w:val="000000" w:themeColor="text1"/>
          <w:lang w:val="es-ES_tradnl"/>
        </w:rPr>
        <w:t xml:space="preserve"> </w:t>
      </w:r>
      <w:r w:rsidRPr="004E4408">
        <w:rPr>
          <w:rFonts w:ascii="Century Gothic" w:hAnsi="Century Gothic" w:cs="Arial"/>
          <w:color w:val="000000" w:themeColor="text1"/>
        </w:rPr>
        <w:t>“</w:t>
      </w:r>
      <w:r w:rsidRPr="004E4408">
        <w:rPr>
          <w:rFonts w:ascii="Century Gothic" w:hAnsi="Century Gothic" w:cs="Arial"/>
          <w:i/>
          <w:color w:val="000000" w:themeColor="text1"/>
          <w:lang w:val="es-ES_tradnl"/>
        </w:rPr>
        <w:t>Guía para el manejo de anticipos mediante contrato de fiducia irrevocable</w:t>
      </w:r>
      <w:r w:rsidRPr="004E4408">
        <w:rPr>
          <w:rFonts w:ascii="Century Gothic" w:hAnsi="Century Gothic" w:cs="Arial"/>
          <w:i/>
          <w:color w:val="000000" w:themeColor="text1"/>
        </w:rPr>
        <w:t>”</w:t>
      </w:r>
      <w:r w:rsidRPr="004E4408">
        <w:rPr>
          <w:rFonts w:ascii="Century Gothic" w:hAnsi="Century Gothic" w:cs="Arial"/>
          <w:i/>
          <w:color w:val="000000" w:themeColor="text1"/>
          <w:vertAlign w:val="superscript"/>
        </w:rPr>
        <w:footnoteReference w:id="32"/>
      </w:r>
      <w:r>
        <w:rPr>
          <w:rFonts w:ascii="Century Gothic" w:hAnsi="Century Gothic" w:cs="Arial"/>
          <w:i/>
          <w:color w:val="000000" w:themeColor="text1"/>
        </w:rPr>
        <w:t xml:space="preserve"> </w:t>
      </w:r>
      <w:r>
        <w:rPr>
          <w:rFonts w:ascii="Century Gothic" w:hAnsi="Century Gothic" w:cs="Arial"/>
          <w:iCs/>
          <w:color w:val="000000" w:themeColor="text1"/>
        </w:rPr>
        <w:t xml:space="preserve">expedida por esta Agencia, </w:t>
      </w:r>
      <w:r w:rsidR="004A1F28">
        <w:rPr>
          <w:rFonts w:ascii="Century Gothic" w:hAnsi="Century Gothic" w:cs="Arial"/>
          <w:iCs/>
          <w:color w:val="000000" w:themeColor="text1"/>
        </w:rPr>
        <w:t>cuyo acápite</w:t>
      </w:r>
      <w:r w:rsidR="00E86060">
        <w:rPr>
          <w:rFonts w:ascii="Century Gothic" w:hAnsi="Century Gothic" w:cs="Arial"/>
          <w:iCs/>
          <w:color w:val="000000" w:themeColor="text1"/>
        </w:rPr>
        <w:t xml:space="preserve"> “II. Condiciones del contrato de fiducia para el manejo de anticipos” </w:t>
      </w:r>
      <w:r w:rsidR="00F237F9">
        <w:rPr>
          <w:rFonts w:ascii="Century Gothic" w:hAnsi="Century Gothic" w:cs="Arial"/>
          <w:iCs/>
          <w:color w:val="000000" w:themeColor="text1"/>
        </w:rPr>
        <w:t xml:space="preserve">dispuso que: </w:t>
      </w:r>
    </w:p>
    <w:p w14:paraId="6A838882" w14:textId="7BC00461" w:rsidR="00054DF5" w:rsidRPr="00F237F9" w:rsidRDefault="00F237F9" w:rsidP="004A1F28">
      <w:pPr>
        <w:spacing w:after="120" w:line="276" w:lineRule="auto"/>
        <w:ind w:left="709" w:right="709"/>
        <w:jc w:val="both"/>
        <w:rPr>
          <w:rFonts w:ascii="Century Gothic" w:eastAsia="MS Mincho" w:hAnsi="Century Gothic" w:cs="Arial"/>
          <w:i/>
          <w:lang w:val="es-ES_tradnl" w:eastAsia="es-CO"/>
        </w:rPr>
      </w:pPr>
      <w:r w:rsidRPr="00F237F9">
        <w:rPr>
          <w:rFonts w:ascii="Century Gothic" w:hAnsi="Century Gothic" w:cs="Arial"/>
          <w:i/>
          <w:color w:val="000000" w:themeColor="text1"/>
        </w:rPr>
        <w:t>“Para el manejo del anticipo, el contrato de fiducia mercantil irrevocable debe ser de administración y pagos. (…) No son admisibles otro tipo de negocios fiduciarios como los encargos fiduciarios, la fiducia pública o fiducia mercantil de garantía, los cuales no corresponden a la finalidad prevista por la ley para el manejo de anticipos.”</w:t>
      </w:r>
    </w:p>
    <w:p w14:paraId="2AAB16E4" w14:textId="54B1DB19" w:rsidR="00820C44" w:rsidRPr="00EA402B" w:rsidRDefault="00820C44" w:rsidP="00D43FC7">
      <w:pPr>
        <w:spacing w:after="120" w:line="276" w:lineRule="auto"/>
        <w:ind w:firstLine="709"/>
        <w:jc w:val="both"/>
        <w:rPr>
          <w:rFonts w:ascii="Century Gothic" w:eastAsia="MS Mincho" w:hAnsi="Century Gothic" w:cs="Arial"/>
          <w:lang w:val="es-ES_tradnl" w:eastAsia="es-CO"/>
        </w:rPr>
      </w:pPr>
      <w:r w:rsidRPr="00EA402B">
        <w:rPr>
          <w:rFonts w:ascii="Century Gothic" w:eastAsia="MS Mincho" w:hAnsi="Century Gothic" w:cs="Arial"/>
          <w:lang w:val="es-ES_tradnl" w:eastAsia="es-CO"/>
        </w:rPr>
        <w:t xml:space="preserve"> En consecuencia, </w:t>
      </w:r>
      <w:r w:rsidR="00141BD0">
        <w:rPr>
          <w:rFonts w:ascii="Century Gothic" w:eastAsia="MS Mincho" w:hAnsi="Century Gothic" w:cs="Arial"/>
          <w:lang w:val="es-ES_tradnl" w:eastAsia="es-CO"/>
        </w:rPr>
        <w:t xml:space="preserve">para la Agencia, el manejo de los recursos girados por concepto de anticipo sólo puede ser administrado a través de una fiducia mercantil irrevocable. Al respecto, la entidad estructuró </w:t>
      </w:r>
      <w:r w:rsidR="00D43FC7" w:rsidRPr="00D43FC7">
        <w:rPr>
          <w:rFonts w:ascii="Century Gothic" w:eastAsia="MS Mincho" w:hAnsi="Century Gothic" w:cs="Arial"/>
          <w:lang w:val="es-ES_tradnl" w:eastAsia="es-CO"/>
        </w:rPr>
        <w:t xml:space="preserve">un documento </w:t>
      </w:r>
      <w:r w:rsidR="00141BD0">
        <w:rPr>
          <w:rFonts w:ascii="Century Gothic" w:eastAsia="MS Mincho" w:hAnsi="Century Gothic" w:cs="Arial"/>
          <w:lang w:val="es-ES_tradnl" w:eastAsia="es-CO"/>
        </w:rPr>
        <w:t>de modelo</w:t>
      </w:r>
      <w:r w:rsidR="00D43FC7" w:rsidRPr="00D43FC7">
        <w:rPr>
          <w:rFonts w:ascii="Century Gothic" w:eastAsia="MS Mincho" w:hAnsi="Century Gothic" w:cs="Arial"/>
          <w:lang w:val="es-ES_tradnl" w:eastAsia="es-CO"/>
        </w:rPr>
        <w:t xml:space="preserve"> de contrato de fiducia mercantil irrevocable para</w:t>
      </w:r>
      <w:r w:rsidR="00E94B18">
        <w:rPr>
          <w:rFonts w:ascii="Century Gothic" w:eastAsia="MS Mincho" w:hAnsi="Century Gothic" w:cs="Arial"/>
          <w:lang w:val="es-ES_tradnl" w:eastAsia="es-CO"/>
        </w:rPr>
        <w:t xml:space="preserve"> </w:t>
      </w:r>
      <w:r w:rsidR="00D43FC7" w:rsidRPr="00D43FC7">
        <w:rPr>
          <w:rFonts w:ascii="Century Gothic" w:eastAsia="MS Mincho" w:hAnsi="Century Gothic" w:cs="Arial"/>
          <w:lang w:val="es-ES_tradnl" w:eastAsia="es-CO"/>
        </w:rPr>
        <w:t xml:space="preserve">el manejo de anticipos disponible en el siguiente enlace: </w:t>
      </w:r>
      <w:hyperlink r:id="rId15" w:history="1">
        <w:r w:rsidR="003C61C0" w:rsidRPr="001E5312">
          <w:rPr>
            <w:rStyle w:val="Hipervnculo"/>
            <w:rFonts w:ascii="Century Gothic" w:eastAsia="MS Mincho" w:hAnsi="Century Gothic" w:cs="Arial"/>
            <w:lang w:val="es-ES_tradnl" w:eastAsia="es-CO"/>
          </w:rPr>
          <w:t>https://colombiacompra.gov.co/sites/cce_public/files/cce_documents/20151115_contrato_de_fiducia_para_el_manejo_de_anticipos_v2_0.pdf</w:t>
        </w:r>
      </w:hyperlink>
      <w:r w:rsidR="003C61C0">
        <w:rPr>
          <w:rFonts w:ascii="Century Gothic" w:eastAsia="MS Mincho" w:hAnsi="Century Gothic" w:cs="Arial"/>
          <w:lang w:val="es-ES_tradnl" w:eastAsia="es-CO"/>
        </w:rPr>
        <w:t xml:space="preserve"> </w:t>
      </w:r>
    </w:p>
    <w:p w14:paraId="79F9CABF" w14:textId="77777777" w:rsidR="00820C44" w:rsidRPr="004E4408" w:rsidRDefault="00820C44" w:rsidP="00B76A1E">
      <w:pPr>
        <w:spacing w:line="276" w:lineRule="auto"/>
        <w:ind w:firstLine="708"/>
        <w:jc w:val="both"/>
        <w:rPr>
          <w:rFonts w:ascii="Century Gothic" w:hAnsi="Century Gothic" w:cs="Arial"/>
          <w:color w:val="000000" w:themeColor="text1"/>
          <w:lang w:val="es-ES_tradnl"/>
        </w:rPr>
      </w:pPr>
    </w:p>
    <w:p w14:paraId="524A632F" w14:textId="77777777" w:rsidR="00B76A1E" w:rsidRPr="004E4408" w:rsidRDefault="00B76A1E" w:rsidP="00B76A1E">
      <w:pPr>
        <w:spacing w:line="276" w:lineRule="auto"/>
        <w:jc w:val="both"/>
        <w:rPr>
          <w:rFonts w:ascii="Century Gothic" w:hAnsi="Century Gothic" w:cs="Arial"/>
          <w:b/>
          <w:color w:val="000000" w:themeColor="text1"/>
        </w:rPr>
      </w:pPr>
      <w:r w:rsidRPr="004E4408">
        <w:rPr>
          <w:rFonts w:ascii="Century Gothic" w:hAnsi="Century Gothic" w:cs="Arial"/>
          <w:b/>
          <w:color w:val="000000" w:themeColor="text1"/>
        </w:rPr>
        <w:t>3. Respuesta</w:t>
      </w:r>
    </w:p>
    <w:p w14:paraId="1D98B33C" w14:textId="77777777" w:rsidR="00052440" w:rsidRPr="004E4408" w:rsidRDefault="00052440" w:rsidP="00052440">
      <w:pPr>
        <w:spacing w:line="240" w:lineRule="auto"/>
        <w:ind w:left="709" w:right="709"/>
        <w:jc w:val="both"/>
        <w:rPr>
          <w:rFonts w:ascii="Century Gothic" w:hAnsi="Century Gothic" w:cs="Arial"/>
          <w:sz w:val="21"/>
          <w:szCs w:val="21"/>
        </w:rPr>
      </w:pPr>
      <w:r w:rsidRPr="004E4408">
        <w:rPr>
          <w:rFonts w:ascii="Century Gothic" w:hAnsi="Century Gothic" w:cs="Arial"/>
          <w:sz w:val="21"/>
          <w:szCs w:val="21"/>
        </w:rPr>
        <w:t>“(…) El artículo 91 de la ley 1474, en la siguiente frase; “el contratista deberá́ constituir una fiducia o un patrimonio aut</w:t>
      </w:r>
      <w:r w:rsidRPr="004E4408">
        <w:rPr>
          <w:rFonts w:ascii="Century Gothic" w:hAnsi="Century Gothic" w:cs="Century Gothic"/>
          <w:sz w:val="21"/>
          <w:szCs w:val="21"/>
        </w:rPr>
        <w:t>ó</w:t>
      </w:r>
      <w:r w:rsidRPr="004E4408">
        <w:rPr>
          <w:rFonts w:ascii="Century Gothic" w:hAnsi="Century Gothic" w:cs="Arial"/>
          <w:sz w:val="21"/>
          <w:szCs w:val="21"/>
        </w:rPr>
        <w:t>nomo irrevocable para el manejo de los recursos que reciba a t</w:t>
      </w:r>
      <w:r w:rsidRPr="004E4408">
        <w:rPr>
          <w:rFonts w:ascii="Century Gothic" w:hAnsi="Century Gothic" w:cs="Century Gothic"/>
          <w:sz w:val="21"/>
          <w:szCs w:val="21"/>
        </w:rPr>
        <w:t>í</w:t>
      </w:r>
      <w:r w:rsidRPr="004E4408">
        <w:rPr>
          <w:rFonts w:ascii="Century Gothic" w:hAnsi="Century Gothic" w:cs="Arial"/>
          <w:sz w:val="21"/>
          <w:szCs w:val="21"/>
        </w:rPr>
        <w:t>tulo de anticipo</w:t>
      </w:r>
      <w:r w:rsidRPr="004E4408">
        <w:rPr>
          <w:rFonts w:ascii="Century Gothic" w:hAnsi="Century Gothic" w:cs="Century Gothic"/>
          <w:sz w:val="21"/>
          <w:szCs w:val="21"/>
        </w:rPr>
        <w:t>”</w:t>
      </w:r>
      <w:r w:rsidRPr="004E4408">
        <w:rPr>
          <w:rFonts w:ascii="Century Gothic" w:hAnsi="Century Gothic" w:cs="Arial"/>
          <w:sz w:val="21"/>
          <w:szCs w:val="21"/>
        </w:rPr>
        <w:t>. Mi interpretaci</w:t>
      </w:r>
      <w:r w:rsidRPr="004E4408">
        <w:rPr>
          <w:rFonts w:ascii="Century Gothic" w:hAnsi="Century Gothic" w:cs="Century Gothic"/>
          <w:sz w:val="21"/>
          <w:szCs w:val="21"/>
        </w:rPr>
        <w:t>ó</w:t>
      </w:r>
      <w:r w:rsidRPr="004E4408">
        <w:rPr>
          <w:rFonts w:ascii="Century Gothic" w:hAnsi="Century Gothic" w:cs="Arial"/>
          <w:sz w:val="21"/>
          <w:szCs w:val="21"/>
        </w:rPr>
        <w:t>n es que tambi</w:t>
      </w:r>
      <w:r w:rsidRPr="004E4408">
        <w:rPr>
          <w:rFonts w:ascii="Century Gothic" w:hAnsi="Century Gothic" w:cs="Century Gothic"/>
          <w:sz w:val="21"/>
          <w:szCs w:val="21"/>
        </w:rPr>
        <w:t>é</w:t>
      </w:r>
      <w:r w:rsidRPr="004E4408">
        <w:rPr>
          <w:rFonts w:ascii="Century Gothic" w:hAnsi="Century Gothic" w:cs="Arial"/>
          <w:sz w:val="21"/>
          <w:szCs w:val="21"/>
        </w:rPr>
        <w:t xml:space="preserve">n puede constituir un encargo fiduciario y no necesariamente una fiducia mercantil para el manejo de los anticipos.” (Sic). </w:t>
      </w:r>
    </w:p>
    <w:p w14:paraId="1ED8402E" w14:textId="3BAF6636" w:rsidR="00444885" w:rsidRDefault="004B4C5E" w:rsidP="00CB6C2B">
      <w:pPr>
        <w:pStyle w:val="NormalWeb"/>
        <w:spacing w:line="276" w:lineRule="auto"/>
        <w:jc w:val="both"/>
        <w:rPr>
          <w:rFonts w:ascii="Century Gothic" w:hAnsi="Century Gothic"/>
          <w:sz w:val="22"/>
          <w:szCs w:val="22"/>
        </w:rPr>
      </w:pPr>
      <w:r w:rsidRPr="00130E23">
        <w:rPr>
          <w:rFonts w:ascii="Century Gothic" w:hAnsi="Century Gothic"/>
          <w:sz w:val="22"/>
          <w:szCs w:val="22"/>
        </w:rPr>
        <w:t>En virtud de la interpretación acogida en la “</w:t>
      </w:r>
      <w:r w:rsidRPr="00130E23">
        <w:rPr>
          <w:rFonts w:ascii="Century Gothic" w:hAnsi="Century Gothic" w:cs="Arial"/>
          <w:i/>
          <w:color w:val="000000" w:themeColor="text1"/>
          <w:sz w:val="22"/>
          <w:szCs w:val="22"/>
          <w:lang w:val="es-ES_tradnl"/>
        </w:rPr>
        <w:t xml:space="preserve">Guía para el manejo de anticipos mediante contrato de fiducia </w:t>
      </w:r>
      <w:r w:rsidR="00130E23" w:rsidRPr="00130E23">
        <w:rPr>
          <w:rFonts w:ascii="Century Gothic" w:hAnsi="Century Gothic" w:cs="Arial"/>
          <w:i/>
          <w:color w:val="000000" w:themeColor="text1"/>
          <w:sz w:val="22"/>
          <w:szCs w:val="22"/>
          <w:lang w:val="es-ES_tradnl"/>
        </w:rPr>
        <w:t>irrevocable</w:t>
      </w:r>
      <w:r w:rsidR="00130E23" w:rsidRPr="00130E23">
        <w:rPr>
          <w:rFonts w:ascii="Century Gothic" w:hAnsi="Century Gothic" w:cs="Arial"/>
          <w:i/>
          <w:color w:val="000000" w:themeColor="text1"/>
          <w:sz w:val="22"/>
          <w:szCs w:val="22"/>
        </w:rPr>
        <w:t>”</w:t>
      </w:r>
      <w:r w:rsidR="00130E23" w:rsidRPr="00130E23">
        <w:rPr>
          <w:rFonts w:ascii="Century Gothic" w:hAnsi="Century Gothic"/>
          <w:sz w:val="22"/>
          <w:szCs w:val="22"/>
        </w:rPr>
        <w:t xml:space="preserve"> emitida</w:t>
      </w:r>
      <w:r w:rsidRPr="00130E23">
        <w:rPr>
          <w:rFonts w:ascii="Century Gothic" w:hAnsi="Century Gothic"/>
          <w:sz w:val="22"/>
          <w:szCs w:val="22"/>
        </w:rPr>
        <w:t xml:space="preserve"> por esta Agencia, </w:t>
      </w:r>
      <w:r w:rsidR="00C6289C" w:rsidRPr="00130E23">
        <w:rPr>
          <w:rFonts w:ascii="Century Gothic" w:hAnsi="Century Gothic"/>
          <w:sz w:val="22"/>
          <w:szCs w:val="22"/>
        </w:rPr>
        <w:t xml:space="preserve">la interpretación </w:t>
      </w:r>
      <w:r w:rsidR="00130E23" w:rsidRPr="00130E23">
        <w:rPr>
          <w:rFonts w:ascii="Century Gothic" w:hAnsi="Century Gothic"/>
          <w:sz w:val="22"/>
          <w:szCs w:val="22"/>
        </w:rPr>
        <w:t xml:space="preserve">sobre el tipo de negocio fiduciario que se debe </w:t>
      </w:r>
      <w:r w:rsidR="00637314" w:rsidRPr="00130E23">
        <w:rPr>
          <w:rFonts w:ascii="Century Gothic" w:hAnsi="Century Gothic"/>
          <w:sz w:val="22"/>
          <w:szCs w:val="22"/>
        </w:rPr>
        <w:t>constituir</w:t>
      </w:r>
      <w:r w:rsidR="00130E23" w:rsidRPr="00130E23">
        <w:rPr>
          <w:rFonts w:ascii="Century Gothic" w:hAnsi="Century Gothic"/>
          <w:sz w:val="22"/>
          <w:szCs w:val="22"/>
        </w:rPr>
        <w:t xml:space="preserve"> por parte del contratista </w:t>
      </w:r>
      <w:r w:rsidR="00790ABA">
        <w:rPr>
          <w:rFonts w:ascii="Century Gothic" w:hAnsi="Century Gothic"/>
          <w:sz w:val="22"/>
          <w:szCs w:val="22"/>
        </w:rPr>
        <w:t xml:space="preserve">para le manejo de los recursos </w:t>
      </w:r>
      <w:r w:rsidR="00282B91">
        <w:rPr>
          <w:rFonts w:ascii="Century Gothic" w:hAnsi="Century Gothic"/>
          <w:sz w:val="22"/>
          <w:szCs w:val="22"/>
        </w:rPr>
        <w:t xml:space="preserve">girados por concepto de anticipo, </w:t>
      </w:r>
      <w:r w:rsidR="00444885" w:rsidRPr="00444885">
        <w:rPr>
          <w:rFonts w:ascii="Century Gothic" w:hAnsi="Century Gothic"/>
          <w:sz w:val="22"/>
          <w:szCs w:val="22"/>
        </w:rPr>
        <w:t xml:space="preserve">se inclina exclusivamente </w:t>
      </w:r>
      <w:r w:rsidR="00282B91">
        <w:rPr>
          <w:rFonts w:ascii="Century Gothic" w:hAnsi="Century Gothic"/>
          <w:sz w:val="22"/>
          <w:szCs w:val="22"/>
        </w:rPr>
        <w:t xml:space="preserve">en señalar que esta corresponde a </w:t>
      </w:r>
      <w:r w:rsidR="00444885" w:rsidRPr="00444885">
        <w:rPr>
          <w:rFonts w:ascii="Century Gothic" w:hAnsi="Century Gothic"/>
          <w:sz w:val="22"/>
          <w:szCs w:val="22"/>
        </w:rPr>
        <w:t xml:space="preserve">la constitución de un contrato de fiducia mercantil irrevocable. </w:t>
      </w:r>
      <w:r w:rsidR="00CB6C2B">
        <w:rPr>
          <w:rFonts w:ascii="Century Gothic" w:hAnsi="Century Gothic"/>
          <w:sz w:val="22"/>
          <w:szCs w:val="22"/>
        </w:rPr>
        <w:t>No obstante, e</w:t>
      </w:r>
      <w:r w:rsidR="00444885" w:rsidRPr="00444885">
        <w:rPr>
          <w:rFonts w:ascii="Century Gothic" w:hAnsi="Century Gothic"/>
          <w:sz w:val="22"/>
          <w:szCs w:val="22"/>
        </w:rPr>
        <w:t xml:space="preserve">s crucial destacar que tanto los lineamientos de la guía </w:t>
      </w:r>
      <w:r w:rsidR="00CB6C2B">
        <w:rPr>
          <w:rFonts w:ascii="Century Gothic" w:hAnsi="Century Gothic"/>
          <w:sz w:val="22"/>
          <w:szCs w:val="22"/>
        </w:rPr>
        <w:t>como del presente</w:t>
      </w:r>
      <w:r w:rsidR="00444885" w:rsidRPr="00444885">
        <w:rPr>
          <w:rFonts w:ascii="Century Gothic" w:hAnsi="Century Gothic"/>
          <w:sz w:val="22"/>
          <w:szCs w:val="22"/>
        </w:rPr>
        <w:t xml:space="preserve"> concepto tienen como finalidad interpretar normativas generales, no resolver disputas particulares ni asesorar casos específicos</w:t>
      </w:r>
      <w:r w:rsidR="00CB6C2B">
        <w:rPr>
          <w:rFonts w:ascii="Century Gothic" w:hAnsi="Century Gothic"/>
          <w:sz w:val="22"/>
          <w:szCs w:val="22"/>
        </w:rPr>
        <w:t>, por lo tanto, no resultan ser vinculantes ni de obligatorio cumplimiento para sus destinatario.</w:t>
      </w:r>
    </w:p>
    <w:p w14:paraId="237AF8A7" w14:textId="35C190E2" w:rsidR="00B75515" w:rsidRPr="00B75515" w:rsidRDefault="00CB6C2B" w:rsidP="00CB6C2B">
      <w:pPr>
        <w:spacing w:line="276" w:lineRule="auto"/>
        <w:ind w:firstLine="708"/>
        <w:jc w:val="both"/>
        <w:rPr>
          <w:rFonts w:ascii="Century Gothic" w:hAnsi="Century Gothic"/>
        </w:rPr>
      </w:pPr>
      <w:r>
        <w:rPr>
          <w:rFonts w:ascii="Century Gothic" w:hAnsi="Century Gothic"/>
        </w:rPr>
        <w:t>En ese orden de ideas, s</w:t>
      </w:r>
      <w:r w:rsidR="00B75515" w:rsidRPr="00B75515">
        <w:rPr>
          <w:rFonts w:ascii="Century Gothic" w:hAnsi="Century Gothic"/>
        </w:rPr>
        <w:t xml:space="preserve">i bien la redacción del artículo no especifica de manera exclusiva el tipo de fiducia a constituir por parte del contratista, la interpretación específica del término </w:t>
      </w:r>
      <w:r w:rsidR="00264C13">
        <w:rPr>
          <w:rFonts w:ascii="Century Gothic" w:hAnsi="Century Gothic"/>
        </w:rPr>
        <w:t>“</w:t>
      </w:r>
      <w:r w:rsidR="00B75515" w:rsidRPr="00B75515">
        <w:rPr>
          <w:rFonts w:ascii="Century Gothic" w:hAnsi="Century Gothic"/>
        </w:rPr>
        <w:t>fiducia</w:t>
      </w:r>
      <w:r w:rsidR="00264C13">
        <w:rPr>
          <w:rFonts w:ascii="Century Gothic" w:hAnsi="Century Gothic"/>
        </w:rPr>
        <w:t>”</w:t>
      </w:r>
      <w:r w:rsidR="00B75515" w:rsidRPr="00B75515">
        <w:rPr>
          <w:rFonts w:ascii="Century Gothic" w:hAnsi="Century Gothic"/>
        </w:rPr>
        <w:t xml:space="preserve"> y su alcance legal en el contexto normativo </w:t>
      </w:r>
      <w:r w:rsidR="00AA281E">
        <w:rPr>
          <w:rFonts w:ascii="Century Gothic" w:hAnsi="Century Gothic"/>
        </w:rPr>
        <w:t xml:space="preserve">expuesto </w:t>
      </w:r>
      <w:r w:rsidR="00B75515" w:rsidRPr="00B75515">
        <w:rPr>
          <w:rFonts w:ascii="Century Gothic" w:hAnsi="Century Gothic"/>
        </w:rPr>
        <w:t xml:space="preserve">puede generar debate. </w:t>
      </w:r>
      <w:r w:rsidR="00AA281E">
        <w:rPr>
          <w:rFonts w:ascii="Century Gothic" w:hAnsi="Century Gothic"/>
        </w:rPr>
        <w:t xml:space="preserve">No obstante, </w:t>
      </w:r>
      <w:r w:rsidR="00B3217D">
        <w:rPr>
          <w:rFonts w:ascii="Century Gothic" w:hAnsi="Century Gothic"/>
        </w:rPr>
        <w:t xml:space="preserve">esta entidad </w:t>
      </w:r>
      <w:r w:rsidR="00B75515" w:rsidRPr="00B75515">
        <w:rPr>
          <w:rFonts w:ascii="Century Gothic" w:hAnsi="Century Gothic"/>
        </w:rPr>
        <w:t xml:space="preserve">reconoce que, si bien la norma no excluye explícitamente la opción de utilizar un encargo fiduciario, la mención directa a la constitución de una </w:t>
      </w:r>
      <w:r w:rsidR="00D00AE7">
        <w:rPr>
          <w:rFonts w:ascii="Century Gothic" w:hAnsi="Century Gothic"/>
        </w:rPr>
        <w:t>“</w:t>
      </w:r>
      <w:r w:rsidR="00B75515" w:rsidRPr="00B75515">
        <w:rPr>
          <w:rFonts w:ascii="Century Gothic" w:hAnsi="Century Gothic"/>
        </w:rPr>
        <w:t>fiducia o un patrimonio autónomo irrevocable</w:t>
      </w:r>
      <w:r w:rsidR="00D00AE7">
        <w:rPr>
          <w:rFonts w:ascii="Century Gothic" w:hAnsi="Century Gothic"/>
        </w:rPr>
        <w:t>”</w:t>
      </w:r>
      <w:r w:rsidR="00B75515" w:rsidRPr="00B75515">
        <w:rPr>
          <w:rFonts w:ascii="Century Gothic" w:hAnsi="Century Gothic"/>
        </w:rPr>
        <w:t xml:space="preserve"> podría sugerir una intención legislativa </w:t>
      </w:r>
      <w:r w:rsidR="00AE2B86">
        <w:rPr>
          <w:rFonts w:ascii="Century Gothic" w:hAnsi="Century Gothic"/>
        </w:rPr>
        <w:t>de únicamente</w:t>
      </w:r>
      <w:r w:rsidR="00B75515" w:rsidRPr="00B75515">
        <w:rPr>
          <w:rFonts w:ascii="Century Gothic" w:hAnsi="Century Gothic"/>
        </w:rPr>
        <w:t xml:space="preserve"> priorizar o dar preferencia a los contratos de fiducias mercantiles irrevocables sobre otros tipos de</w:t>
      </w:r>
      <w:r w:rsidR="00AE2B86">
        <w:rPr>
          <w:rFonts w:ascii="Century Gothic" w:hAnsi="Century Gothic"/>
        </w:rPr>
        <w:t xml:space="preserve"> negocios</w:t>
      </w:r>
      <w:r w:rsidR="00B75515" w:rsidRPr="00B75515">
        <w:rPr>
          <w:rFonts w:ascii="Century Gothic" w:hAnsi="Century Gothic"/>
        </w:rPr>
        <w:t xml:space="preserve"> fiducia</w:t>
      </w:r>
      <w:r w:rsidR="00AE2B86">
        <w:rPr>
          <w:rFonts w:ascii="Century Gothic" w:hAnsi="Century Gothic"/>
        </w:rPr>
        <w:t>rios</w:t>
      </w:r>
      <w:r w:rsidR="002767CC">
        <w:rPr>
          <w:rFonts w:ascii="Century Gothic" w:hAnsi="Century Gothic"/>
        </w:rPr>
        <w:t xml:space="preserve">, puesto que </w:t>
      </w:r>
      <w:r w:rsidR="00FD6FB8">
        <w:rPr>
          <w:rFonts w:ascii="Century Gothic" w:hAnsi="Century Gothic"/>
        </w:rPr>
        <w:t>está sería la única figura contractual que permitiría, por habilitación legal, la</w:t>
      </w:r>
      <w:r w:rsidR="008E43ED">
        <w:rPr>
          <w:rFonts w:ascii="Century Gothic" w:hAnsi="Century Gothic"/>
        </w:rPr>
        <w:t xml:space="preserve"> constitución de un patrimonio autónomo</w:t>
      </w:r>
      <w:r w:rsidR="00D00AE7">
        <w:rPr>
          <w:rFonts w:ascii="Century Gothic" w:hAnsi="Century Gothic"/>
        </w:rPr>
        <w:t>.</w:t>
      </w:r>
    </w:p>
    <w:p w14:paraId="64C27508" w14:textId="6090863F" w:rsidR="00B76A1E" w:rsidRPr="004E4408" w:rsidRDefault="00B76A1E" w:rsidP="00B76A1E">
      <w:pPr>
        <w:spacing w:line="276" w:lineRule="auto"/>
        <w:jc w:val="both"/>
        <w:rPr>
          <w:rFonts w:ascii="Century Gothic" w:hAnsi="Century Gothic" w:cs="Arial"/>
          <w:lang w:val="es-ES_tradnl"/>
        </w:rPr>
      </w:pPr>
      <w:r w:rsidRPr="004E4408">
        <w:rPr>
          <w:rFonts w:ascii="Century Gothic" w:hAnsi="Century Gothic" w:cs="Arial"/>
          <w:lang w:val="es-ES_tradn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131097F0" w14:textId="77777777" w:rsidR="00B76A1E" w:rsidRPr="004E4408" w:rsidRDefault="00B76A1E" w:rsidP="00B76A1E">
      <w:pPr>
        <w:tabs>
          <w:tab w:val="left" w:pos="426"/>
        </w:tabs>
        <w:spacing w:before="120" w:after="120" w:line="276" w:lineRule="auto"/>
        <w:jc w:val="both"/>
        <w:rPr>
          <w:rFonts w:ascii="Century Gothic" w:eastAsia="Times New Roman" w:hAnsi="Century Gothic" w:cs="Arial"/>
          <w:color w:val="000000" w:themeColor="text1"/>
        </w:rPr>
      </w:pPr>
    </w:p>
    <w:p w14:paraId="7EA19877" w14:textId="77777777" w:rsidR="00B76A1E" w:rsidRPr="004E4408" w:rsidRDefault="00B76A1E" w:rsidP="00B76A1E">
      <w:pPr>
        <w:tabs>
          <w:tab w:val="left" w:pos="426"/>
        </w:tabs>
        <w:spacing w:before="120" w:line="276" w:lineRule="auto"/>
        <w:jc w:val="both"/>
        <w:rPr>
          <w:rFonts w:ascii="Century Gothic" w:eastAsia="Times New Roman" w:hAnsi="Century Gothic" w:cs="Arial"/>
          <w:color w:val="000000" w:themeColor="text1"/>
        </w:rPr>
      </w:pPr>
      <w:r w:rsidRPr="004E4408">
        <w:rPr>
          <w:rFonts w:ascii="Century Gothic" w:eastAsia="Times New Roman" w:hAnsi="Century Gothic" w:cs="Arial"/>
          <w:color w:val="000000" w:themeColor="text1"/>
        </w:rPr>
        <w:t>Atentamente,</w:t>
      </w:r>
    </w:p>
    <w:p w14:paraId="18631BF9" w14:textId="3FAF61B8" w:rsidR="00B76A1E" w:rsidRPr="004E4408" w:rsidRDefault="00877A1C" w:rsidP="00B76A1E">
      <w:pPr>
        <w:jc w:val="center"/>
        <w:rPr>
          <w:rFonts w:ascii="Century Gothic" w:eastAsia="Times New Roman" w:hAnsi="Century Gothic" w:cs="Arial"/>
          <w:lang w:eastAsia="es-CO"/>
        </w:rPr>
      </w:pPr>
      <w:r w:rsidRPr="001B7209">
        <w:rPr>
          <w:rFonts w:ascii="Century Gothic" w:hAnsi="Century Gothic"/>
          <w:noProof/>
        </w:rPr>
        <w:drawing>
          <wp:inline distT="0" distB="0" distL="0" distR="0" wp14:anchorId="4644AB85" wp14:editId="5374DD0A">
            <wp:extent cx="2775006" cy="1064730"/>
            <wp:effectExtent l="0" t="0" r="6350" b="2540"/>
            <wp:docPr id="6" name="Imagen 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Texto&#10;&#10;Descripción generada automáticamente"/>
                    <pic:cNvPicPr/>
                  </pic:nvPicPr>
                  <pic:blipFill>
                    <a:blip r:embed="rId16"/>
                    <a:stretch>
                      <a:fillRect/>
                    </a:stretch>
                  </pic:blipFill>
                  <pic:spPr>
                    <a:xfrm>
                      <a:off x="0" y="0"/>
                      <a:ext cx="2785707" cy="1068836"/>
                    </a:xfrm>
                    <a:prstGeom prst="rect">
                      <a:avLst/>
                    </a:prstGeom>
                  </pic:spPr>
                </pic:pic>
              </a:graphicData>
            </a:graphic>
          </wp:inline>
        </w:drawing>
      </w:r>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B76A1E" w:rsidRPr="004E4408" w14:paraId="3A29751C" w14:textId="77777777" w:rsidTr="00926785">
        <w:trPr>
          <w:trHeight w:val="409"/>
        </w:trPr>
        <w:tc>
          <w:tcPr>
            <w:tcW w:w="817" w:type="dxa"/>
            <w:tcBorders>
              <w:top w:val="nil"/>
              <w:left w:val="nil"/>
              <w:bottom w:val="nil"/>
              <w:right w:val="nil"/>
            </w:tcBorders>
            <w:vAlign w:val="center"/>
            <w:hideMark/>
          </w:tcPr>
          <w:p w14:paraId="2D34D3FC" w14:textId="77777777" w:rsidR="00B76A1E" w:rsidRPr="004E4408" w:rsidRDefault="00B76A1E" w:rsidP="00926785">
            <w:pPr>
              <w:spacing w:after="0" w:line="240" w:lineRule="auto"/>
              <w:jc w:val="both"/>
              <w:rPr>
                <w:rFonts w:ascii="Century Gothic" w:hAnsi="Century Gothic" w:cs="Arial"/>
                <w:sz w:val="16"/>
                <w:szCs w:val="16"/>
              </w:rPr>
            </w:pPr>
            <w:r w:rsidRPr="004E4408">
              <w:rPr>
                <w:rFonts w:ascii="Century Gothic" w:hAnsi="Century Gothic" w:cs="Arial"/>
                <w:sz w:val="16"/>
                <w:szCs w:val="16"/>
              </w:rPr>
              <w:t>Elaboró: </w:t>
            </w:r>
          </w:p>
        </w:tc>
        <w:tc>
          <w:tcPr>
            <w:tcW w:w="4937" w:type="dxa"/>
            <w:tcBorders>
              <w:top w:val="nil"/>
              <w:left w:val="nil"/>
              <w:bottom w:val="dotted" w:sz="6" w:space="0" w:color="7F7F7F"/>
              <w:right w:val="nil"/>
            </w:tcBorders>
            <w:vAlign w:val="center"/>
            <w:hideMark/>
          </w:tcPr>
          <w:p w14:paraId="5EB52AAF" w14:textId="77777777" w:rsidR="00B76A1E" w:rsidRPr="004E4408" w:rsidRDefault="00B76A1E" w:rsidP="00926785">
            <w:pPr>
              <w:spacing w:after="0" w:line="240" w:lineRule="auto"/>
              <w:jc w:val="both"/>
              <w:rPr>
                <w:rFonts w:ascii="Century Gothic" w:hAnsi="Century Gothic" w:cs="Arial"/>
                <w:sz w:val="16"/>
                <w:szCs w:val="16"/>
              </w:rPr>
            </w:pPr>
            <w:r w:rsidRPr="004E4408">
              <w:rPr>
                <w:rFonts w:ascii="Century Gothic" w:hAnsi="Century Gothic" w:cs="Arial"/>
                <w:sz w:val="16"/>
                <w:szCs w:val="16"/>
              </w:rPr>
              <w:t>Any Alejandra Tovar Castillo</w:t>
            </w:r>
          </w:p>
          <w:p w14:paraId="673367FE" w14:textId="77777777" w:rsidR="00B76A1E" w:rsidRPr="004E4408" w:rsidRDefault="00B76A1E" w:rsidP="00926785">
            <w:pPr>
              <w:spacing w:after="0" w:line="240" w:lineRule="auto"/>
              <w:jc w:val="both"/>
              <w:rPr>
                <w:rFonts w:ascii="Century Gothic" w:hAnsi="Century Gothic" w:cs="Arial"/>
                <w:sz w:val="16"/>
                <w:szCs w:val="16"/>
              </w:rPr>
            </w:pPr>
            <w:r w:rsidRPr="004E4408">
              <w:rPr>
                <w:rFonts w:ascii="Century Gothic" w:hAnsi="Century Gothic" w:cs="Arial"/>
                <w:sz w:val="16"/>
                <w:szCs w:val="16"/>
              </w:rPr>
              <w:t>Contratista de la Subdirección de Gestión Contractual</w:t>
            </w:r>
          </w:p>
        </w:tc>
      </w:tr>
      <w:tr w:rsidR="00B76A1E" w:rsidRPr="004E4408" w14:paraId="35B8B0F0" w14:textId="77777777" w:rsidTr="00926785">
        <w:trPr>
          <w:trHeight w:val="409"/>
        </w:trPr>
        <w:tc>
          <w:tcPr>
            <w:tcW w:w="817" w:type="dxa"/>
            <w:tcBorders>
              <w:top w:val="nil"/>
              <w:left w:val="nil"/>
              <w:bottom w:val="nil"/>
              <w:right w:val="nil"/>
            </w:tcBorders>
            <w:vAlign w:val="center"/>
            <w:hideMark/>
          </w:tcPr>
          <w:p w14:paraId="637E73FC" w14:textId="77777777" w:rsidR="00B76A1E" w:rsidRPr="004E4408" w:rsidRDefault="00B76A1E" w:rsidP="00926785">
            <w:pPr>
              <w:spacing w:after="0" w:line="240" w:lineRule="auto"/>
              <w:jc w:val="both"/>
              <w:rPr>
                <w:rFonts w:ascii="Century Gothic" w:hAnsi="Century Gothic" w:cs="Arial"/>
                <w:sz w:val="16"/>
                <w:szCs w:val="16"/>
              </w:rPr>
            </w:pPr>
            <w:r w:rsidRPr="004E4408">
              <w:rPr>
                <w:rFonts w:ascii="Century Gothic" w:hAnsi="Century Gothic" w:cs="Arial"/>
                <w:sz w:val="16"/>
                <w:szCs w:val="16"/>
              </w:rPr>
              <w:t>Revisó: </w:t>
            </w:r>
          </w:p>
        </w:tc>
        <w:tc>
          <w:tcPr>
            <w:tcW w:w="4937" w:type="dxa"/>
            <w:tcBorders>
              <w:top w:val="dotted" w:sz="6" w:space="0" w:color="7F7F7F"/>
              <w:left w:val="nil"/>
              <w:bottom w:val="dotted" w:sz="6" w:space="0" w:color="7F7F7F"/>
              <w:right w:val="nil"/>
            </w:tcBorders>
            <w:vAlign w:val="center"/>
            <w:hideMark/>
          </w:tcPr>
          <w:p w14:paraId="053468F6" w14:textId="77777777" w:rsidR="00B76A1E" w:rsidRPr="004E4408" w:rsidRDefault="00B76A1E" w:rsidP="00926785">
            <w:pPr>
              <w:spacing w:after="0" w:line="240" w:lineRule="auto"/>
              <w:jc w:val="both"/>
              <w:rPr>
                <w:rFonts w:ascii="Century Gothic" w:hAnsi="Century Gothic" w:cs="Arial"/>
                <w:sz w:val="16"/>
                <w:szCs w:val="16"/>
              </w:rPr>
            </w:pPr>
            <w:r w:rsidRPr="004E4408">
              <w:rPr>
                <w:rFonts w:ascii="Century Gothic" w:hAnsi="Century Gothic" w:cs="Arial"/>
                <w:sz w:val="16"/>
                <w:szCs w:val="16"/>
              </w:rPr>
              <w:t>Alejandro Sarmiento Cantillo</w:t>
            </w:r>
          </w:p>
          <w:p w14:paraId="46AB53BF" w14:textId="77777777" w:rsidR="00B76A1E" w:rsidRPr="004E4408" w:rsidRDefault="00B76A1E" w:rsidP="00926785">
            <w:pPr>
              <w:spacing w:after="0" w:line="240" w:lineRule="auto"/>
              <w:jc w:val="both"/>
              <w:rPr>
                <w:rFonts w:ascii="Century Gothic" w:hAnsi="Century Gothic" w:cs="Arial"/>
                <w:sz w:val="16"/>
                <w:szCs w:val="16"/>
              </w:rPr>
            </w:pPr>
            <w:r w:rsidRPr="004E4408">
              <w:rPr>
                <w:rFonts w:ascii="Century Gothic" w:hAnsi="Century Gothic" w:cs="Arial"/>
                <w:sz w:val="16"/>
                <w:szCs w:val="16"/>
              </w:rPr>
              <w:t xml:space="preserve">Gestor T1 </w:t>
            </w:r>
            <w:r w:rsidRPr="004E4408">
              <w:rPr>
                <w:rFonts w:ascii="Arial" w:hAnsi="Arial" w:cs="Arial"/>
                <w:sz w:val="16"/>
                <w:szCs w:val="16"/>
              </w:rPr>
              <w:t>‒</w:t>
            </w:r>
            <w:r w:rsidRPr="004E4408">
              <w:rPr>
                <w:rFonts w:ascii="Century Gothic" w:hAnsi="Century Gothic" w:cs="Arial"/>
                <w:sz w:val="16"/>
                <w:szCs w:val="16"/>
              </w:rPr>
              <w:t xml:space="preserve"> 15 de la Subdirección de Gestión Contractual</w:t>
            </w:r>
          </w:p>
        </w:tc>
      </w:tr>
      <w:tr w:rsidR="00B76A1E" w:rsidRPr="004E4408" w14:paraId="1EE20F56" w14:textId="77777777" w:rsidTr="00926785">
        <w:trPr>
          <w:trHeight w:val="389"/>
        </w:trPr>
        <w:tc>
          <w:tcPr>
            <w:tcW w:w="817" w:type="dxa"/>
            <w:tcBorders>
              <w:top w:val="nil"/>
              <w:left w:val="nil"/>
              <w:bottom w:val="nil"/>
              <w:right w:val="nil"/>
            </w:tcBorders>
            <w:vAlign w:val="center"/>
            <w:hideMark/>
          </w:tcPr>
          <w:p w14:paraId="0968A5E8" w14:textId="77777777" w:rsidR="00B76A1E" w:rsidRPr="004E4408" w:rsidRDefault="00B76A1E" w:rsidP="00926785">
            <w:pPr>
              <w:spacing w:after="0" w:line="240" w:lineRule="auto"/>
              <w:jc w:val="both"/>
              <w:rPr>
                <w:rFonts w:ascii="Century Gothic" w:hAnsi="Century Gothic" w:cs="Arial"/>
                <w:sz w:val="16"/>
                <w:szCs w:val="16"/>
              </w:rPr>
            </w:pPr>
            <w:r w:rsidRPr="004E4408">
              <w:rPr>
                <w:rFonts w:ascii="Century Gothic" w:hAnsi="Century Gothic" w:cs="Arial"/>
                <w:sz w:val="16"/>
                <w:szCs w:val="16"/>
              </w:rPr>
              <w:t>Aprobó: </w:t>
            </w:r>
          </w:p>
        </w:tc>
        <w:tc>
          <w:tcPr>
            <w:tcW w:w="4937" w:type="dxa"/>
            <w:tcBorders>
              <w:top w:val="dotted" w:sz="6" w:space="0" w:color="7F7F7F"/>
              <w:left w:val="nil"/>
              <w:bottom w:val="dotted" w:sz="6" w:space="0" w:color="7F7F7F"/>
              <w:right w:val="nil"/>
            </w:tcBorders>
            <w:vAlign w:val="center"/>
            <w:hideMark/>
          </w:tcPr>
          <w:p w14:paraId="0EB16A09" w14:textId="77777777" w:rsidR="00B76A1E" w:rsidRPr="004E4408" w:rsidRDefault="00B76A1E" w:rsidP="00926785">
            <w:pPr>
              <w:spacing w:after="0" w:line="240" w:lineRule="auto"/>
              <w:jc w:val="both"/>
              <w:rPr>
                <w:rFonts w:ascii="Century Gothic" w:hAnsi="Century Gothic" w:cs="Arial"/>
                <w:sz w:val="16"/>
                <w:szCs w:val="16"/>
              </w:rPr>
            </w:pPr>
            <w:r w:rsidRPr="004E4408">
              <w:rPr>
                <w:rFonts w:ascii="Century Gothic" w:hAnsi="Century Gothic" w:cs="Arial"/>
                <w:sz w:val="16"/>
                <w:szCs w:val="16"/>
              </w:rPr>
              <w:t xml:space="preserve">Nohelia del Carmen </w:t>
            </w:r>
            <w:proofErr w:type="spellStart"/>
            <w:r w:rsidRPr="004E4408">
              <w:rPr>
                <w:rFonts w:ascii="Century Gothic" w:hAnsi="Century Gothic" w:cs="Arial"/>
                <w:sz w:val="16"/>
                <w:szCs w:val="16"/>
              </w:rPr>
              <w:t>Zawady</w:t>
            </w:r>
            <w:proofErr w:type="spellEnd"/>
            <w:r w:rsidRPr="004E4408">
              <w:rPr>
                <w:rFonts w:ascii="Century Gothic" w:hAnsi="Century Gothic" w:cs="Arial"/>
                <w:sz w:val="16"/>
                <w:szCs w:val="16"/>
              </w:rPr>
              <w:t xml:space="preserve"> Palacio</w:t>
            </w:r>
          </w:p>
          <w:p w14:paraId="473D89F3" w14:textId="77777777" w:rsidR="00B76A1E" w:rsidRPr="004E4408" w:rsidRDefault="00B76A1E" w:rsidP="00926785">
            <w:pPr>
              <w:spacing w:after="0" w:line="240" w:lineRule="auto"/>
              <w:jc w:val="both"/>
              <w:rPr>
                <w:rFonts w:ascii="Century Gothic" w:hAnsi="Century Gothic" w:cs="Arial"/>
                <w:sz w:val="16"/>
                <w:szCs w:val="16"/>
              </w:rPr>
            </w:pPr>
            <w:r w:rsidRPr="004E4408">
              <w:rPr>
                <w:rFonts w:ascii="Century Gothic" w:hAnsi="Century Gothic" w:cs="Arial"/>
                <w:sz w:val="16"/>
                <w:szCs w:val="16"/>
              </w:rPr>
              <w:t>Subdirectora de Gestión Contractual ANCP - CCE</w:t>
            </w:r>
          </w:p>
        </w:tc>
      </w:tr>
    </w:tbl>
    <w:p w14:paraId="61732AD6" w14:textId="77777777" w:rsidR="00B76A1E" w:rsidRPr="004E4408" w:rsidRDefault="00B76A1E" w:rsidP="00B76A1E">
      <w:pPr>
        <w:spacing w:after="0"/>
        <w:rPr>
          <w:rFonts w:ascii="Century Gothic" w:hAnsi="Century Gothic" w:cs="Arial"/>
        </w:rPr>
      </w:pPr>
    </w:p>
    <w:p w14:paraId="0F293BF4" w14:textId="7BBFAB11" w:rsidR="00127233" w:rsidRPr="004E4408" w:rsidRDefault="00127233" w:rsidP="00B76A1E">
      <w:pPr>
        <w:rPr>
          <w:rFonts w:ascii="Century Gothic" w:hAnsi="Century Gothic"/>
        </w:rPr>
      </w:pPr>
    </w:p>
    <w:sectPr w:rsidR="00127233" w:rsidRPr="004E4408" w:rsidSect="002E4FD9">
      <w:headerReference w:type="default" r:id="rId17"/>
      <w:footerReference w:type="default" r:id="rId18"/>
      <w:pgSz w:w="12240" w:h="15840" w:code="1"/>
      <w:pgMar w:top="1418" w:right="1701" w:bottom="1418" w:left="1701" w:header="709"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8E1D1C" w14:textId="77777777" w:rsidR="00A54650" w:rsidRDefault="00A54650" w:rsidP="004A1847">
      <w:pPr>
        <w:spacing w:after="0" w:line="240" w:lineRule="auto"/>
      </w:pPr>
      <w:r>
        <w:separator/>
      </w:r>
    </w:p>
  </w:endnote>
  <w:endnote w:type="continuationSeparator" w:id="0">
    <w:p w14:paraId="148616F7" w14:textId="77777777" w:rsidR="00A54650" w:rsidRDefault="00A54650"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Century Gothic">
    <w:panose1 w:val="020B05020202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3BA5BB2D" w:rsidR="004A1847" w:rsidRDefault="009419F9">
    <w:pPr>
      <w:pStyle w:val="Piedepgina"/>
    </w:pPr>
    <w:r>
      <w:rPr>
        <w:noProof/>
      </w:rPr>
      <w:drawing>
        <wp:inline distT="0" distB="0" distL="0" distR="0" wp14:anchorId="600A8696" wp14:editId="357635FE">
          <wp:extent cx="5612130" cy="650240"/>
          <wp:effectExtent l="0" t="0" r="7620" b="0"/>
          <wp:docPr id="1013471023"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471023" name="Imagen 11"/>
                  <pic:cNvPicPr/>
                </pic:nvPicPr>
                <pic:blipFill>
                  <a:blip r:embed="rId1">
                    <a:extLst>
                      <a:ext uri="{28A0092B-C50C-407E-A947-70E740481C1C}">
                        <a14:useLocalDpi xmlns:a14="http://schemas.microsoft.com/office/drawing/2010/main" val="0"/>
                      </a:ext>
                    </a:extLst>
                  </a:blip>
                  <a:stretch>
                    <a:fillRect/>
                  </a:stretch>
                </pic:blipFill>
                <pic:spPr>
                  <a:xfrm>
                    <a:off x="0" y="0"/>
                    <a:ext cx="5612130" cy="650240"/>
                  </a:xfrm>
                  <a:prstGeom prst="rect">
                    <a:avLst/>
                  </a:prstGeom>
                </pic:spPr>
              </pic:pic>
            </a:graphicData>
          </a:graphic>
        </wp:inline>
      </w:drawing>
    </w:r>
    <w:r>
      <w:rPr>
        <w:rFonts w:ascii="Geomanist Bold" w:hAnsi="Geomanist Bold"/>
        <w:b/>
        <w:bCs/>
        <w:noProof/>
        <w:color w:val="002060"/>
        <w:sz w:val="24"/>
        <w:szCs w:val="24"/>
      </w:rPr>
      <w:drawing>
        <wp:anchor distT="0" distB="0" distL="114300" distR="114300" simplePos="0" relativeHeight="251665408" behindDoc="0" locked="0" layoutInCell="1" allowOverlap="1" wp14:anchorId="197AA269" wp14:editId="277B7D17">
          <wp:simplePos x="0" y="0"/>
          <wp:positionH relativeFrom="leftMargin">
            <wp:posOffset>-186690</wp:posOffset>
          </wp:positionH>
          <wp:positionV relativeFrom="margin">
            <wp:posOffset>6526530</wp:posOffset>
          </wp:positionV>
          <wp:extent cx="665480" cy="3098800"/>
          <wp:effectExtent l="0" t="0" r="1270" b="6350"/>
          <wp:wrapThrough wrapText="bothSides">
            <wp:wrapPolygon edited="0">
              <wp:start x="4947" y="0"/>
              <wp:lineTo x="0" y="132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567040523" name="Imagen 1567040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tbl>
    <w:tblPr>
      <w:tblStyle w:val="Tablaconcuadrcula"/>
      <w:tblW w:w="893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1"/>
      <w:gridCol w:w="2693"/>
      <w:gridCol w:w="2699"/>
      <w:gridCol w:w="2268"/>
    </w:tblGrid>
    <w:tr w:rsidR="00FC2B5D" w:rsidRPr="00080DA3" w14:paraId="0534DA7F" w14:textId="77777777" w:rsidTr="00B72CD3">
      <w:trPr>
        <w:trHeight w:val="229"/>
        <w:jc w:val="center"/>
      </w:trPr>
      <w:tc>
        <w:tcPr>
          <w:tcW w:w="1271"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71D456F" w14:textId="56C74A82" w:rsidR="00322A85" w:rsidRPr="003F3941" w:rsidRDefault="003F3941" w:rsidP="00322A85">
          <w:pPr>
            <w:pStyle w:val="Piedepgina"/>
            <w:jc w:val="center"/>
            <w:rPr>
              <w:rFonts w:ascii="Century Gothic" w:hAnsi="Century Gothic"/>
              <w:sz w:val="16"/>
              <w:szCs w:val="16"/>
            </w:rPr>
          </w:pPr>
          <w:r w:rsidRPr="003F3941">
            <w:rPr>
              <w:rFonts w:ascii="Century Gothic" w:hAnsi="Century Gothic"/>
              <w:sz w:val="16"/>
              <w:szCs w:val="16"/>
            </w:rPr>
            <w:t>VERSIÓN: 0</w:t>
          </w:r>
          <w:r w:rsidR="00322A85">
            <w:rPr>
              <w:rFonts w:ascii="Century Gothic" w:hAnsi="Century Gothic"/>
              <w:sz w:val="16"/>
              <w:szCs w:val="16"/>
            </w:rPr>
            <w:t>2</w:t>
          </w:r>
        </w:p>
      </w:tc>
      <w:tc>
        <w:tcPr>
          <w:tcW w:w="2693"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0C74553" w14:textId="54155018" w:rsidR="00FC2B5D" w:rsidRPr="003F3941" w:rsidRDefault="003F3941" w:rsidP="006219F8">
          <w:pPr>
            <w:pStyle w:val="Piedepgina"/>
            <w:jc w:val="center"/>
            <w:rPr>
              <w:rFonts w:ascii="Century Gothic" w:hAnsi="Century Gothic"/>
              <w:sz w:val="16"/>
              <w:szCs w:val="16"/>
            </w:rPr>
          </w:pPr>
          <w:r w:rsidRPr="003F3941">
            <w:rPr>
              <w:rFonts w:ascii="Century Gothic" w:hAnsi="Century Gothic"/>
              <w:sz w:val="16"/>
              <w:szCs w:val="16"/>
            </w:rPr>
            <w:t xml:space="preserve">CÓDIGO: </w:t>
          </w:r>
          <w:r w:rsidRPr="003F3941">
            <w:rPr>
              <w:rFonts w:ascii="Century Gothic" w:eastAsia="Geo" w:hAnsi="Century Gothic" w:cs="Geo"/>
              <w:b/>
              <w:color w:val="000000"/>
              <w:sz w:val="16"/>
              <w:szCs w:val="16"/>
              <w:lang w:eastAsia="es-CO"/>
            </w:rPr>
            <w:t>CCE-</w:t>
          </w:r>
          <w:r w:rsidR="00B72CD3">
            <w:rPr>
              <w:rFonts w:ascii="Century Gothic" w:eastAsia="Geo" w:hAnsi="Century Gothic" w:cs="Geo"/>
              <w:b/>
              <w:color w:val="000000"/>
              <w:sz w:val="16"/>
              <w:szCs w:val="16"/>
              <w:lang w:eastAsia="es-CO"/>
            </w:rPr>
            <w:t>REC</w:t>
          </w:r>
          <w:r w:rsidRPr="003F3941">
            <w:rPr>
              <w:rFonts w:ascii="Century Gothic" w:eastAsia="Geo" w:hAnsi="Century Gothic" w:cs="Geo"/>
              <w:b/>
              <w:color w:val="000000"/>
              <w:sz w:val="16"/>
              <w:szCs w:val="16"/>
              <w:lang w:eastAsia="es-CO"/>
            </w:rPr>
            <w:t>-FM-</w:t>
          </w:r>
          <w:r w:rsidR="00CB6357">
            <w:rPr>
              <w:rFonts w:ascii="Century Gothic" w:eastAsia="Geo" w:hAnsi="Century Gothic" w:cs="Geo"/>
              <w:b/>
              <w:color w:val="000000"/>
              <w:sz w:val="16"/>
              <w:szCs w:val="16"/>
              <w:lang w:eastAsia="es-CO"/>
            </w:rPr>
            <w:t>1</w:t>
          </w:r>
          <w:r w:rsidR="00061B2A">
            <w:rPr>
              <w:rFonts w:ascii="Century Gothic" w:eastAsia="Geo" w:hAnsi="Century Gothic" w:cs="Geo"/>
              <w:b/>
              <w:color w:val="000000"/>
              <w:sz w:val="16"/>
              <w:szCs w:val="16"/>
              <w:lang w:eastAsia="es-CO"/>
            </w:rPr>
            <w:t>7</w:t>
          </w:r>
        </w:p>
      </w:tc>
      <w:tc>
        <w:tcPr>
          <w:tcW w:w="2699"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5B51611F" w14:textId="5F4E4C24" w:rsidR="00FC2B5D" w:rsidRPr="003F3941" w:rsidRDefault="003F3941" w:rsidP="00FC2B5D">
          <w:pPr>
            <w:pStyle w:val="Piedepgina"/>
            <w:rPr>
              <w:rFonts w:ascii="Century Gothic" w:hAnsi="Century Gothic"/>
              <w:sz w:val="16"/>
              <w:szCs w:val="16"/>
            </w:rPr>
          </w:pPr>
          <w:r w:rsidRPr="003F3941">
            <w:rPr>
              <w:rFonts w:ascii="Century Gothic" w:hAnsi="Century Gothic"/>
              <w:sz w:val="16"/>
              <w:szCs w:val="16"/>
            </w:rPr>
            <w:t xml:space="preserve">FECHA: </w:t>
          </w:r>
          <w:r w:rsidR="002E4FD9">
            <w:rPr>
              <w:rFonts w:ascii="Century Gothic" w:hAnsi="Century Gothic"/>
              <w:sz w:val="16"/>
              <w:szCs w:val="16"/>
            </w:rPr>
            <w:t>31</w:t>
          </w:r>
          <w:r w:rsidRPr="003F3941">
            <w:rPr>
              <w:rFonts w:ascii="Century Gothic" w:hAnsi="Century Gothic"/>
              <w:sz w:val="16"/>
              <w:szCs w:val="16"/>
            </w:rPr>
            <w:t xml:space="preserve"> DE </w:t>
          </w:r>
          <w:r w:rsidR="00322A85">
            <w:rPr>
              <w:rFonts w:ascii="Century Gothic" w:hAnsi="Century Gothic"/>
              <w:sz w:val="16"/>
              <w:szCs w:val="16"/>
            </w:rPr>
            <w:t>AGOSTO</w:t>
          </w:r>
          <w:r w:rsidRPr="003F3941">
            <w:rPr>
              <w:rFonts w:ascii="Century Gothic" w:hAnsi="Century Gothic"/>
              <w:sz w:val="16"/>
              <w:szCs w:val="16"/>
            </w:rPr>
            <w:t xml:space="preserve">  2023 </w:t>
          </w:r>
        </w:p>
      </w:tc>
      <w:tc>
        <w:tcPr>
          <w:tcW w:w="2268"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6039C9C7" w:rsidR="00FC2B5D" w:rsidRPr="003F3941" w:rsidRDefault="003F3941" w:rsidP="00820278">
          <w:pPr>
            <w:pStyle w:val="Piedepgina"/>
            <w:rPr>
              <w:rFonts w:ascii="Century Gothic" w:hAnsi="Century Gothic"/>
              <w:sz w:val="16"/>
              <w:szCs w:val="16"/>
            </w:rPr>
          </w:pPr>
          <w:r w:rsidRPr="003F3941">
            <w:rPr>
              <w:rFonts w:ascii="Century Gothic" w:hAnsi="Century Gothic"/>
              <w:sz w:val="16"/>
              <w:szCs w:val="16"/>
            </w:rPr>
            <w:t xml:space="preserve">  PÁGINA </w:t>
          </w:r>
          <w:r w:rsidR="00FC2B5D" w:rsidRPr="003F3941">
            <w:rPr>
              <w:rFonts w:ascii="Century Gothic" w:hAnsi="Century Gothic"/>
              <w:b/>
              <w:bCs/>
              <w:sz w:val="16"/>
              <w:szCs w:val="16"/>
            </w:rPr>
            <w:fldChar w:fldCharType="begin"/>
          </w:r>
          <w:r w:rsidR="00FC2B5D" w:rsidRPr="003F3941">
            <w:rPr>
              <w:rFonts w:ascii="Century Gothic" w:hAnsi="Century Gothic"/>
              <w:b/>
              <w:bCs/>
              <w:sz w:val="16"/>
              <w:szCs w:val="16"/>
            </w:rPr>
            <w:instrText>PAGE  \* Arabic  \* MERGEFORMAT</w:instrText>
          </w:r>
          <w:r w:rsidR="00FC2B5D" w:rsidRPr="003F3941">
            <w:rPr>
              <w:rFonts w:ascii="Century Gothic" w:hAnsi="Century Gothic"/>
              <w:b/>
              <w:bCs/>
              <w:sz w:val="16"/>
              <w:szCs w:val="16"/>
            </w:rPr>
            <w:fldChar w:fldCharType="separate"/>
          </w:r>
          <w:r w:rsidRPr="003F3941">
            <w:rPr>
              <w:rFonts w:ascii="Century Gothic" w:hAnsi="Century Gothic"/>
              <w:b/>
              <w:bCs/>
              <w:sz w:val="16"/>
              <w:szCs w:val="16"/>
            </w:rPr>
            <w:t>1</w:t>
          </w:r>
          <w:r w:rsidR="00FC2B5D" w:rsidRPr="003F3941">
            <w:rPr>
              <w:rFonts w:ascii="Century Gothic" w:hAnsi="Century Gothic"/>
              <w:b/>
              <w:bCs/>
              <w:sz w:val="16"/>
              <w:szCs w:val="16"/>
            </w:rPr>
            <w:fldChar w:fldCharType="end"/>
          </w:r>
          <w:r w:rsidRPr="003F3941">
            <w:rPr>
              <w:rFonts w:ascii="Century Gothic" w:hAnsi="Century Gothic"/>
              <w:sz w:val="16"/>
              <w:szCs w:val="16"/>
            </w:rPr>
            <w:t xml:space="preserve"> DE </w:t>
          </w:r>
          <w:r w:rsidR="00FC2B5D" w:rsidRPr="003F3941">
            <w:rPr>
              <w:rFonts w:ascii="Century Gothic" w:hAnsi="Century Gothic"/>
              <w:b/>
              <w:bCs/>
              <w:sz w:val="16"/>
              <w:szCs w:val="16"/>
            </w:rPr>
            <w:fldChar w:fldCharType="begin"/>
          </w:r>
          <w:r w:rsidR="00FC2B5D" w:rsidRPr="003F3941">
            <w:rPr>
              <w:rFonts w:ascii="Century Gothic" w:hAnsi="Century Gothic"/>
              <w:b/>
              <w:bCs/>
              <w:sz w:val="16"/>
              <w:szCs w:val="16"/>
            </w:rPr>
            <w:instrText>NUMPAGES  \* Arabic  \* MERGEFORMAT</w:instrText>
          </w:r>
          <w:r w:rsidR="00FC2B5D" w:rsidRPr="003F3941">
            <w:rPr>
              <w:rFonts w:ascii="Century Gothic" w:hAnsi="Century Gothic"/>
              <w:b/>
              <w:bCs/>
              <w:sz w:val="16"/>
              <w:szCs w:val="16"/>
            </w:rPr>
            <w:fldChar w:fldCharType="separate"/>
          </w:r>
          <w:r w:rsidRPr="003F3941">
            <w:rPr>
              <w:rFonts w:ascii="Century Gothic" w:hAnsi="Century Gothic"/>
              <w:b/>
              <w:bCs/>
              <w:sz w:val="16"/>
              <w:szCs w:val="16"/>
            </w:rPr>
            <w:t>2</w:t>
          </w:r>
          <w:r w:rsidR="00FC2B5D" w:rsidRPr="003F3941">
            <w:rPr>
              <w:rFonts w:ascii="Century Gothic" w:hAnsi="Century Gothic"/>
              <w:b/>
              <w:bCs/>
              <w:sz w:val="16"/>
              <w:szCs w:val="16"/>
            </w:rPr>
            <w:fldChar w:fldCharType="end"/>
          </w:r>
        </w:p>
      </w:tc>
    </w:tr>
  </w:tbl>
  <w:p w14:paraId="744661F5" w14:textId="3FCEADD6" w:rsidR="006219F8" w:rsidRDefault="006219F8" w:rsidP="003E049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B51158" w14:textId="77777777" w:rsidR="00A54650" w:rsidRDefault="00A54650" w:rsidP="004A1847">
      <w:pPr>
        <w:spacing w:after="0" w:line="240" w:lineRule="auto"/>
      </w:pPr>
      <w:r>
        <w:separator/>
      </w:r>
    </w:p>
  </w:footnote>
  <w:footnote w:type="continuationSeparator" w:id="0">
    <w:p w14:paraId="4552A485" w14:textId="77777777" w:rsidR="00A54650" w:rsidRDefault="00A54650" w:rsidP="004A1847">
      <w:pPr>
        <w:spacing w:after="0" w:line="240" w:lineRule="auto"/>
      </w:pPr>
      <w:r>
        <w:continuationSeparator/>
      </w:r>
    </w:p>
  </w:footnote>
  <w:footnote w:id="1">
    <w:p w14:paraId="716EA5D0" w14:textId="77777777" w:rsidR="00B76A1E" w:rsidRPr="00B61529" w:rsidRDefault="00B76A1E" w:rsidP="00B61529">
      <w:pPr>
        <w:pStyle w:val="Textonotapie"/>
        <w:ind w:firstLine="708"/>
        <w:jc w:val="both"/>
        <w:rPr>
          <w:rFonts w:ascii="Century Gothic" w:hAnsi="Century Gothic" w:cs="Arial"/>
          <w:sz w:val="14"/>
          <w:szCs w:val="14"/>
        </w:rPr>
      </w:pPr>
      <w:r w:rsidRPr="00B61529">
        <w:rPr>
          <w:rStyle w:val="Refdenotaalpie"/>
          <w:rFonts w:ascii="Century Gothic" w:hAnsi="Century Gothic" w:cs="Arial"/>
          <w:sz w:val="14"/>
          <w:szCs w:val="14"/>
        </w:rPr>
        <w:footnoteRef/>
      </w:r>
      <w:r w:rsidRPr="00B61529">
        <w:rPr>
          <w:rFonts w:ascii="Century Gothic" w:hAnsi="Century Gothic" w:cs="Arial"/>
          <w:sz w:val="14"/>
          <w:szCs w:val="14"/>
        </w:rPr>
        <w:t xml:space="preserve"> Los conceptos referenciados, así como otros expedidos por la Subdirección se encuentran disponibles para consulta pública en el portal de relatoría de la Agencia, al cual se puede acceder a través del siguiente enlace: </w:t>
      </w:r>
      <w:hyperlink r:id="rId1" w:history="1">
        <w:r w:rsidRPr="00B61529">
          <w:rPr>
            <w:rStyle w:val="Hipervnculo"/>
            <w:rFonts w:ascii="Century Gothic" w:hAnsi="Century Gothic" w:cs="Arial"/>
            <w:sz w:val="14"/>
            <w:szCs w:val="14"/>
          </w:rPr>
          <w:t>https://relatoria.colombiacompra.gov.co/busqueda/conceptos</w:t>
        </w:r>
      </w:hyperlink>
      <w:r w:rsidRPr="00B61529">
        <w:rPr>
          <w:rStyle w:val="Hipervnculo"/>
          <w:rFonts w:ascii="Century Gothic" w:hAnsi="Century Gothic" w:cs="Arial"/>
          <w:sz w:val="14"/>
          <w:szCs w:val="14"/>
        </w:rPr>
        <w:t xml:space="preserve">. </w:t>
      </w:r>
      <w:r w:rsidRPr="00B61529">
        <w:rPr>
          <w:rFonts w:ascii="Century Gothic" w:hAnsi="Century Gothic" w:cs="Arial"/>
          <w:sz w:val="14"/>
          <w:szCs w:val="14"/>
          <w:shd w:val="clear" w:color="auto" w:fill="E6E6E6"/>
        </w:rPr>
        <w:t xml:space="preserve"> </w:t>
      </w:r>
    </w:p>
  </w:footnote>
  <w:footnote w:id="2">
    <w:p w14:paraId="3CDC1F03" w14:textId="77777777" w:rsidR="00B76A1E" w:rsidRPr="00B61529" w:rsidRDefault="00B76A1E" w:rsidP="00B61529">
      <w:pPr>
        <w:pStyle w:val="Textonotapie"/>
        <w:ind w:firstLine="708"/>
        <w:jc w:val="both"/>
        <w:rPr>
          <w:rFonts w:ascii="Century Gothic" w:hAnsi="Century Gothic" w:cs="Arial"/>
          <w:color w:val="000000"/>
          <w:sz w:val="14"/>
          <w:szCs w:val="14"/>
        </w:rPr>
      </w:pPr>
      <w:r w:rsidRPr="00B61529">
        <w:rPr>
          <w:rStyle w:val="Refdenotaalpie"/>
          <w:rFonts w:ascii="Century Gothic" w:hAnsi="Century Gothic" w:cs="Arial"/>
          <w:sz w:val="14"/>
          <w:szCs w:val="14"/>
        </w:rPr>
        <w:footnoteRef/>
      </w:r>
      <w:r w:rsidRPr="00B61529">
        <w:rPr>
          <w:rFonts w:ascii="Century Gothic" w:hAnsi="Century Gothic" w:cs="Arial"/>
          <w:sz w:val="14"/>
          <w:szCs w:val="14"/>
        </w:rPr>
        <w:t xml:space="preserve"> </w:t>
      </w:r>
      <w:r w:rsidRPr="00B61529">
        <w:rPr>
          <w:rFonts w:ascii="Century Gothic" w:hAnsi="Century Gothic" w:cs="Arial"/>
          <w:color w:val="000000"/>
          <w:sz w:val="14"/>
          <w:szCs w:val="14"/>
        </w:rPr>
        <w:t xml:space="preserve">Procuraduría General de la Nación. Concepto del 15 de octubre de 2014. Procuraduría </w:t>
      </w:r>
      <w:proofErr w:type="gramStart"/>
      <w:r w:rsidRPr="00B61529">
        <w:rPr>
          <w:rFonts w:ascii="Century Gothic" w:hAnsi="Century Gothic" w:cs="Arial"/>
          <w:color w:val="000000"/>
          <w:sz w:val="14"/>
          <w:szCs w:val="14"/>
        </w:rPr>
        <w:t>Delegada</w:t>
      </w:r>
      <w:proofErr w:type="gramEnd"/>
      <w:r w:rsidRPr="00B61529">
        <w:rPr>
          <w:rFonts w:ascii="Century Gothic" w:hAnsi="Century Gothic" w:cs="Arial"/>
          <w:color w:val="000000"/>
          <w:sz w:val="14"/>
          <w:szCs w:val="14"/>
        </w:rPr>
        <w:t xml:space="preserve"> para Asuntos Disciplinarios. Radicado PAD C-114-2014.</w:t>
      </w:r>
    </w:p>
    <w:p w14:paraId="639E9911" w14:textId="77777777" w:rsidR="00B76A1E" w:rsidRPr="00B61529" w:rsidRDefault="00B76A1E" w:rsidP="00B61529">
      <w:pPr>
        <w:pStyle w:val="Textonotapie"/>
        <w:ind w:firstLine="708"/>
        <w:jc w:val="both"/>
        <w:rPr>
          <w:rFonts w:ascii="Century Gothic" w:hAnsi="Century Gothic" w:cs="Arial"/>
          <w:sz w:val="14"/>
          <w:szCs w:val="14"/>
          <w:lang w:val="es-ES"/>
        </w:rPr>
      </w:pPr>
    </w:p>
  </w:footnote>
  <w:footnote w:id="3">
    <w:p w14:paraId="56631F5B" w14:textId="77777777" w:rsidR="00B76A1E" w:rsidRPr="00B61529" w:rsidRDefault="00B76A1E" w:rsidP="00B61529">
      <w:pPr>
        <w:pStyle w:val="Textonotapie"/>
        <w:ind w:firstLine="708"/>
        <w:jc w:val="both"/>
        <w:rPr>
          <w:rFonts w:ascii="Century Gothic" w:hAnsi="Century Gothic" w:cs="Arial"/>
          <w:sz w:val="14"/>
          <w:szCs w:val="14"/>
          <w:lang w:val="es-ES"/>
        </w:rPr>
      </w:pPr>
      <w:r w:rsidRPr="00B61529">
        <w:rPr>
          <w:rStyle w:val="Refdenotaalpie"/>
          <w:rFonts w:ascii="Century Gothic" w:hAnsi="Century Gothic" w:cs="Arial"/>
          <w:sz w:val="14"/>
          <w:szCs w:val="14"/>
        </w:rPr>
        <w:footnoteRef/>
      </w:r>
      <w:r w:rsidRPr="00B61529">
        <w:rPr>
          <w:rFonts w:ascii="Century Gothic" w:hAnsi="Century Gothic" w:cs="Arial"/>
          <w:sz w:val="14"/>
          <w:szCs w:val="14"/>
        </w:rPr>
        <w:t xml:space="preserve"> </w:t>
      </w:r>
      <w:r w:rsidRPr="00B61529">
        <w:rPr>
          <w:rFonts w:ascii="Century Gothic" w:hAnsi="Century Gothic" w:cs="Arial"/>
          <w:color w:val="000000"/>
          <w:sz w:val="14"/>
          <w:szCs w:val="14"/>
        </w:rPr>
        <w:t>Contraloría General de la República. Oficina Jurídica. Concepto 80112-OJ-008 2017.</w:t>
      </w:r>
    </w:p>
  </w:footnote>
  <w:footnote w:id="4">
    <w:p w14:paraId="33B6BB67" w14:textId="77777777" w:rsidR="00B76A1E" w:rsidRPr="00B61529" w:rsidRDefault="00B76A1E" w:rsidP="00B61529">
      <w:pPr>
        <w:pStyle w:val="Textonotapie"/>
        <w:ind w:firstLine="708"/>
        <w:jc w:val="both"/>
        <w:rPr>
          <w:rFonts w:ascii="Century Gothic" w:hAnsi="Century Gothic" w:cs="Arial"/>
          <w:sz w:val="14"/>
          <w:szCs w:val="14"/>
          <w:lang w:val="es-ES"/>
        </w:rPr>
      </w:pPr>
      <w:r w:rsidRPr="00B61529">
        <w:rPr>
          <w:rStyle w:val="Refdenotaalpie"/>
          <w:rFonts w:ascii="Century Gothic" w:hAnsi="Century Gothic" w:cs="Arial"/>
          <w:sz w:val="14"/>
          <w:szCs w:val="14"/>
        </w:rPr>
        <w:footnoteRef/>
      </w:r>
      <w:r w:rsidRPr="00B61529">
        <w:rPr>
          <w:rFonts w:ascii="Century Gothic" w:hAnsi="Century Gothic" w:cs="Arial"/>
          <w:sz w:val="14"/>
          <w:szCs w:val="14"/>
        </w:rPr>
        <w:t xml:space="preserve"> </w:t>
      </w:r>
      <w:r w:rsidRPr="00B61529">
        <w:rPr>
          <w:rFonts w:ascii="Century Gothic" w:hAnsi="Century Gothic" w:cs="Arial"/>
          <w:color w:val="000000"/>
          <w:sz w:val="14"/>
          <w:szCs w:val="14"/>
        </w:rPr>
        <w:t>ARBOLEDA PERDOMO, Enrique José. Comentarios al Nuevo Código de Procedimiento Administrativo y de lo Contencioso Administrativo (2ª ed.). Editorial Legis. Bogotá. 2012. p. 59</w:t>
      </w:r>
    </w:p>
  </w:footnote>
  <w:footnote w:id="5">
    <w:p w14:paraId="044033FD" w14:textId="77777777" w:rsidR="00B76A1E" w:rsidRPr="00B61529" w:rsidRDefault="00B76A1E" w:rsidP="00B61529">
      <w:pPr>
        <w:pStyle w:val="Textonotapie"/>
        <w:ind w:firstLine="709"/>
        <w:jc w:val="both"/>
        <w:rPr>
          <w:rFonts w:ascii="Century Gothic" w:hAnsi="Century Gothic" w:cs="Arial"/>
          <w:sz w:val="14"/>
          <w:szCs w:val="14"/>
        </w:rPr>
      </w:pPr>
      <w:r w:rsidRPr="00B61529">
        <w:rPr>
          <w:rStyle w:val="Refdenotaalpie"/>
          <w:rFonts w:ascii="Century Gothic" w:hAnsi="Century Gothic" w:cs="Arial"/>
          <w:sz w:val="14"/>
          <w:szCs w:val="14"/>
        </w:rPr>
        <w:footnoteRef/>
      </w:r>
      <w:r w:rsidRPr="00B61529">
        <w:rPr>
          <w:rFonts w:ascii="Century Gothic" w:hAnsi="Century Gothic" w:cs="Arial"/>
          <w:color w:val="000000" w:themeColor="text1"/>
          <w:sz w:val="14"/>
          <w:szCs w:val="14"/>
        </w:rPr>
        <w:t>“</w:t>
      </w:r>
      <w:r w:rsidRPr="00B61529">
        <w:rPr>
          <w:rFonts w:ascii="Century Gothic" w:hAnsi="Century Gothic" w:cs="Arial"/>
          <w:sz w:val="14"/>
          <w:szCs w:val="14"/>
        </w:rPr>
        <w:t>Ver, entre otros: CONSEJO DE ESTADO. Sala Plena de lo Contencioso Administrativo. Sentencia del 8 de agosto de 2001. Rad. AC-10966 - AC-11274; y Sala de lo Contencioso Administrativo - Sección Tercera. Providencias del 13 de septiembre de 1999. Rad. 10607; del 13 de julio de 2000. Rad. 12513; del 10 de noviembre de 2000. Rad. 18709; del 22 de junio de 2001. Rad. 12136; del 11 de diciembre de 2003. Rad. 25000-23-26-000-1993-08696-01(13348); del 19 de agosto de 2004. Rad. 25000-23-26-000-1994-00114-01(14111)</w:t>
      </w:r>
      <w:r w:rsidRPr="00B61529">
        <w:rPr>
          <w:rFonts w:ascii="Century Gothic" w:hAnsi="Century Gothic" w:cs="Arial"/>
          <w:color w:val="000000" w:themeColor="text1"/>
          <w:sz w:val="14"/>
          <w:szCs w:val="14"/>
        </w:rPr>
        <w:t>”.</w:t>
      </w:r>
      <w:r w:rsidRPr="00B61529">
        <w:rPr>
          <w:rFonts w:ascii="Century Gothic" w:hAnsi="Century Gothic" w:cs="Arial"/>
          <w:sz w:val="14"/>
          <w:szCs w:val="14"/>
        </w:rPr>
        <w:t xml:space="preserve"> Citado en CONSEJO DE ESTADO. Sala de lo Contencioso Administrativo. Sección Tercera – Subsección A. Sentencia del 16 de mayo de 2019. Rad. (40102). C.P: María Adriana Marín [cita No. 35]. </w:t>
      </w:r>
    </w:p>
    <w:p w14:paraId="2E173505" w14:textId="77777777" w:rsidR="00B76A1E" w:rsidRPr="00B61529" w:rsidRDefault="00B76A1E" w:rsidP="00B61529">
      <w:pPr>
        <w:pStyle w:val="Textonotapie"/>
        <w:ind w:firstLine="709"/>
        <w:jc w:val="both"/>
        <w:rPr>
          <w:rFonts w:ascii="Century Gothic" w:hAnsi="Century Gothic" w:cs="Arial"/>
          <w:sz w:val="14"/>
          <w:szCs w:val="14"/>
        </w:rPr>
      </w:pPr>
    </w:p>
  </w:footnote>
  <w:footnote w:id="6">
    <w:p w14:paraId="4B59DEED" w14:textId="77777777" w:rsidR="00B76A1E" w:rsidRPr="00B61529" w:rsidRDefault="00B76A1E" w:rsidP="00B61529">
      <w:pPr>
        <w:pStyle w:val="Textonotapie"/>
        <w:ind w:firstLine="709"/>
        <w:jc w:val="both"/>
        <w:rPr>
          <w:rFonts w:ascii="Century Gothic" w:hAnsi="Century Gothic" w:cs="Arial"/>
          <w:sz w:val="14"/>
          <w:szCs w:val="14"/>
        </w:rPr>
      </w:pPr>
      <w:r w:rsidRPr="00B61529">
        <w:rPr>
          <w:rStyle w:val="Refdenotaalpie"/>
          <w:rFonts w:ascii="Century Gothic" w:hAnsi="Century Gothic" w:cs="Arial"/>
          <w:sz w:val="14"/>
          <w:szCs w:val="14"/>
        </w:rPr>
        <w:footnoteRef/>
      </w:r>
      <w:r w:rsidRPr="00B61529">
        <w:rPr>
          <w:rFonts w:ascii="Century Gothic" w:hAnsi="Century Gothic" w:cs="Arial"/>
          <w:sz w:val="14"/>
          <w:szCs w:val="14"/>
        </w:rPr>
        <w:t xml:space="preserve"> CONSEJO DE ESTADO. Sala de lo Contencioso Administrativo. Sección Tercera – Subsección A. Sentencia del 16 de mayo de 2019. Rad. (40102). C.P: María Adriana Marín</w:t>
      </w:r>
    </w:p>
    <w:p w14:paraId="51CA0955" w14:textId="77777777" w:rsidR="00B76A1E" w:rsidRPr="00B61529" w:rsidRDefault="00B76A1E" w:rsidP="00B61529">
      <w:pPr>
        <w:pStyle w:val="Textonotapie"/>
        <w:ind w:firstLine="709"/>
        <w:jc w:val="both"/>
        <w:rPr>
          <w:rFonts w:ascii="Century Gothic" w:hAnsi="Century Gothic" w:cs="Arial"/>
          <w:sz w:val="14"/>
          <w:szCs w:val="14"/>
        </w:rPr>
      </w:pPr>
    </w:p>
  </w:footnote>
  <w:footnote w:id="7">
    <w:p w14:paraId="4ED4D68C" w14:textId="77777777" w:rsidR="00B76A1E" w:rsidRPr="00B61529" w:rsidRDefault="00B76A1E" w:rsidP="00B61529">
      <w:pPr>
        <w:pStyle w:val="Textonotapie"/>
        <w:ind w:firstLine="709"/>
        <w:jc w:val="both"/>
        <w:rPr>
          <w:rFonts w:ascii="Century Gothic" w:hAnsi="Century Gothic" w:cs="Arial"/>
          <w:sz w:val="14"/>
          <w:szCs w:val="14"/>
        </w:rPr>
      </w:pPr>
      <w:r w:rsidRPr="00B61529">
        <w:rPr>
          <w:rStyle w:val="Refdenotaalpie"/>
          <w:rFonts w:ascii="Century Gothic" w:hAnsi="Century Gothic" w:cs="Arial"/>
          <w:sz w:val="14"/>
          <w:szCs w:val="14"/>
        </w:rPr>
        <w:footnoteRef/>
      </w:r>
      <w:r w:rsidRPr="00B61529">
        <w:rPr>
          <w:rFonts w:ascii="Century Gothic" w:hAnsi="Century Gothic" w:cs="Arial"/>
          <w:sz w:val="14"/>
          <w:szCs w:val="14"/>
        </w:rPr>
        <w:t xml:space="preserve"> CONSEJO DE ESTADO. Sala de lo Contencioso Administrativo. Sección Tercera – Subsección C. Sentencia del 2 de octubre del 2020. Rad. 63644. CP. Jaime Enrique Rodríguez Nava. </w:t>
      </w:r>
    </w:p>
    <w:p w14:paraId="56379C70" w14:textId="77777777" w:rsidR="00B76A1E" w:rsidRPr="00B61529" w:rsidRDefault="00B76A1E" w:rsidP="00B61529">
      <w:pPr>
        <w:pStyle w:val="Textonotapie"/>
        <w:ind w:firstLine="709"/>
        <w:jc w:val="both"/>
        <w:rPr>
          <w:rFonts w:ascii="Century Gothic" w:hAnsi="Century Gothic" w:cs="Arial"/>
          <w:sz w:val="14"/>
          <w:szCs w:val="14"/>
          <w:lang w:val="es-CO"/>
        </w:rPr>
      </w:pPr>
    </w:p>
  </w:footnote>
  <w:footnote w:id="8">
    <w:p w14:paraId="2E795DE3" w14:textId="77777777" w:rsidR="00B76A1E" w:rsidRPr="00B61529" w:rsidRDefault="00B76A1E" w:rsidP="00B61529">
      <w:pPr>
        <w:pStyle w:val="Textonotapie"/>
        <w:ind w:firstLine="709"/>
        <w:jc w:val="both"/>
        <w:rPr>
          <w:rFonts w:ascii="Century Gothic" w:hAnsi="Century Gothic" w:cs="Arial"/>
          <w:color w:val="000000" w:themeColor="text1"/>
          <w:sz w:val="14"/>
          <w:szCs w:val="14"/>
        </w:rPr>
      </w:pPr>
      <w:r w:rsidRPr="00B61529">
        <w:rPr>
          <w:rStyle w:val="Refdenotaalpie"/>
          <w:rFonts w:ascii="Century Gothic" w:hAnsi="Century Gothic" w:cs="Arial"/>
          <w:sz w:val="14"/>
          <w:szCs w:val="14"/>
        </w:rPr>
        <w:footnoteRef/>
      </w:r>
      <w:r w:rsidRPr="00B61529">
        <w:rPr>
          <w:rFonts w:ascii="Century Gothic" w:hAnsi="Century Gothic" w:cs="Arial"/>
          <w:sz w:val="14"/>
          <w:szCs w:val="14"/>
        </w:rPr>
        <w:t xml:space="preserve"> </w:t>
      </w:r>
      <w:r w:rsidRPr="00B61529">
        <w:rPr>
          <w:rFonts w:ascii="Century Gothic" w:hAnsi="Century Gothic" w:cs="Arial"/>
          <w:color w:val="000000" w:themeColor="text1"/>
          <w:sz w:val="14"/>
          <w:szCs w:val="14"/>
        </w:rPr>
        <w:t>CONSEJO DE ESTADO. Sección Tercera. Sentencia de 22 de junio de 2001. Exp. 13436, C.P. Ricardo Hoyos Duque</w:t>
      </w:r>
    </w:p>
    <w:p w14:paraId="0113A835" w14:textId="77777777" w:rsidR="00B76A1E" w:rsidRPr="00B61529" w:rsidRDefault="00B76A1E" w:rsidP="00B61529">
      <w:pPr>
        <w:pStyle w:val="Textonotapie"/>
        <w:ind w:firstLine="709"/>
        <w:jc w:val="both"/>
        <w:rPr>
          <w:rFonts w:ascii="Century Gothic" w:hAnsi="Century Gothic" w:cs="Arial"/>
          <w:sz w:val="14"/>
          <w:szCs w:val="14"/>
        </w:rPr>
      </w:pPr>
    </w:p>
  </w:footnote>
  <w:footnote w:id="9">
    <w:p w14:paraId="6A28AB74" w14:textId="77777777" w:rsidR="00B76A1E" w:rsidRPr="00B61529" w:rsidRDefault="00B76A1E" w:rsidP="00B61529">
      <w:pPr>
        <w:pStyle w:val="Textonotapie"/>
        <w:ind w:firstLine="709"/>
        <w:jc w:val="both"/>
        <w:rPr>
          <w:rFonts w:ascii="Century Gothic" w:hAnsi="Century Gothic" w:cs="Arial"/>
          <w:sz w:val="14"/>
          <w:szCs w:val="14"/>
        </w:rPr>
      </w:pPr>
      <w:r w:rsidRPr="00B61529">
        <w:rPr>
          <w:rStyle w:val="Refdenotaalpie"/>
          <w:rFonts w:ascii="Century Gothic" w:hAnsi="Century Gothic" w:cs="Arial"/>
          <w:sz w:val="14"/>
          <w:szCs w:val="14"/>
        </w:rPr>
        <w:footnoteRef/>
      </w:r>
      <w:r w:rsidRPr="00B61529">
        <w:rPr>
          <w:rFonts w:ascii="Century Gothic" w:hAnsi="Century Gothic" w:cs="Arial"/>
          <w:sz w:val="14"/>
          <w:szCs w:val="14"/>
        </w:rPr>
        <w:t>“Se trata de un dinero entregado a título de crédito a favor de la entidad contratante, el cual debe ser debidamente cancelado a través de los descuentos hechos a los valores cobrados por el contratista, de modo que por medio de dicho mecanismos el dinero entregado como anticipo se convierta en parte del pago como contraprestación a la ejecución de las actividades propias del objeto pactado en virtud del contrato, siendo una práctica usual que permite impulsar la ejecución del contrato con la agilidad que requiere la administración para concluir la ejecución del objeto contratado, en aras de dar cumplimiento al mandato de una continua y eficiente prestación del servicio público a su cargo</w:t>
      </w:r>
      <w:r w:rsidRPr="00B61529">
        <w:rPr>
          <w:rFonts w:ascii="Century Gothic" w:eastAsia="Calibri" w:hAnsi="Century Gothic" w:cs="Arial"/>
          <w:color w:val="000000" w:themeColor="text1"/>
          <w:sz w:val="14"/>
          <w:szCs w:val="14"/>
        </w:rPr>
        <w:t>” (</w:t>
      </w:r>
      <w:r w:rsidRPr="00B61529">
        <w:rPr>
          <w:rFonts w:ascii="Century Gothic" w:hAnsi="Century Gothic" w:cs="Arial"/>
          <w:sz w:val="14"/>
          <w:szCs w:val="14"/>
        </w:rPr>
        <w:t>EXPÓSITO VÉLEZ, Juan Carlos. Forma y contenido del contrato estatal. Bogotá: Universidad Externado de Colombia, 2013, p. 165-166). De igual manera, se ha expuesto que “Son recursos que deberán amortizarse en proporción a la ejecución del contrato pues se trata de una especie muy particular de préstamo. Lo anterior tiene consecuencias muy importantes, porque se trata de recursos públicos administrados por un particular (contratista), y en esa medida cualquier desviación de estos recursos a fines distintos a los contemplados dentro del contrato podrá propiciar las correspondientes acciones de carácter penal</w:t>
      </w:r>
      <w:r w:rsidRPr="00B61529">
        <w:rPr>
          <w:rFonts w:ascii="Century Gothic" w:eastAsia="Calibri" w:hAnsi="Century Gothic" w:cs="Arial"/>
          <w:color w:val="000000" w:themeColor="text1"/>
          <w:sz w:val="14"/>
          <w:szCs w:val="14"/>
        </w:rPr>
        <w:t>”</w:t>
      </w:r>
      <w:r w:rsidRPr="00B61529">
        <w:rPr>
          <w:rFonts w:ascii="Century Gothic" w:hAnsi="Century Gothic" w:cs="Arial"/>
          <w:sz w:val="14"/>
          <w:szCs w:val="14"/>
        </w:rPr>
        <w:t xml:space="preserve"> (MATALLANA CAMACHO, Ernesto. Manual de Contratación de la Administración Pública. Reforma de la Ley 80 de 1993. Bogotá: Universidad Externado de Colombia, 4 ed., 2015, p. 921 y </w:t>
      </w:r>
      <w:proofErr w:type="spellStart"/>
      <w:r w:rsidRPr="00B61529">
        <w:rPr>
          <w:rFonts w:ascii="Century Gothic" w:hAnsi="Century Gothic" w:cs="Arial"/>
          <w:sz w:val="14"/>
          <w:szCs w:val="14"/>
        </w:rPr>
        <w:t>ss</w:t>
      </w:r>
      <w:proofErr w:type="spellEnd"/>
      <w:r w:rsidRPr="00B61529">
        <w:rPr>
          <w:rFonts w:ascii="Century Gothic" w:hAnsi="Century Gothic" w:cs="Arial"/>
          <w:sz w:val="14"/>
          <w:szCs w:val="14"/>
        </w:rPr>
        <w:t>).</w:t>
      </w:r>
    </w:p>
    <w:p w14:paraId="354675CE" w14:textId="77777777" w:rsidR="00B76A1E" w:rsidRPr="00B61529" w:rsidRDefault="00B76A1E" w:rsidP="00B61529">
      <w:pPr>
        <w:pStyle w:val="Textonotapie"/>
        <w:ind w:firstLine="709"/>
        <w:jc w:val="both"/>
        <w:rPr>
          <w:rFonts w:ascii="Century Gothic" w:hAnsi="Century Gothic" w:cs="Arial"/>
          <w:sz w:val="14"/>
          <w:szCs w:val="14"/>
        </w:rPr>
      </w:pPr>
    </w:p>
  </w:footnote>
  <w:footnote w:id="10">
    <w:p w14:paraId="6B223E05" w14:textId="77777777" w:rsidR="00B76A1E" w:rsidRPr="00B61529" w:rsidRDefault="00B76A1E" w:rsidP="00B61529">
      <w:pPr>
        <w:spacing w:after="0" w:line="240" w:lineRule="auto"/>
        <w:ind w:firstLine="709"/>
        <w:jc w:val="both"/>
        <w:rPr>
          <w:rFonts w:ascii="Century Gothic" w:hAnsi="Century Gothic" w:cs="Arial"/>
          <w:sz w:val="14"/>
          <w:szCs w:val="14"/>
        </w:rPr>
      </w:pPr>
      <w:r w:rsidRPr="00B61529">
        <w:rPr>
          <w:rStyle w:val="Refdenotaalpie"/>
          <w:rFonts w:ascii="Century Gothic" w:hAnsi="Century Gothic" w:cs="Arial"/>
          <w:sz w:val="14"/>
          <w:szCs w:val="14"/>
        </w:rPr>
        <w:footnoteRef/>
      </w:r>
      <w:r w:rsidRPr="00B61529">
        <w:rPr>
          <w:rFonts w:ascii="Century Gothic" w:hAnsi="Century Gothic" w:cs="Arial"/>
          <w:sz w:val="14"/>
          <w:szCs w:val="14"/>
        </w:rPr>
        <w:t xml:space="preserve"> CONSEJO DE ESTADO. Sala Plena de lo Contencioso Administrativo. Sentencia del 8 de agosto de 2001. </w:t>
      </w:r>
      <w:proofErr w:type="spellStart"/>
      <w:r w:rsidRPr="00B61529">
        <w:rPr>
          <w:rFonts w:ascii="Century Gothic" w:hAnsi="Century Gothic" w:cs="Arial"/>
          <w:sz w:val="14"/>
          <w:szCs w:val="14"/>
        </w:rPr>
        <w:t>Exp</w:t>
      </w:r>
      <w:proofErr w:type="spellEnd"/>
      <w:r w:rsidRPr="00B61529">
        <w:rPr>
          <w:rFonts w:ascii="Century Gothic" w:hAnsi="Century Gothic" w:cs="Arial"/>
          <w:sz w:val="14"/>
          <w:szCs w:val="14"/>
        </w:rPr>
        <w:t>. AC-10966 - AC-11274. Consejero Ponente: Reinaldo Chavarro Buriticá.</w:t>
      </w:r>
    </w:p>
  </w:footnote>
  <w:footnote w:id="11">
    <w:p w14:paraId="1BB22C05" w14:textId="77777777" w:rsidR="00B76A1E" w:rsidRPr="00B61529" w:rsidRDefault="00B76A1E" w:rsidP="00B61529">
      <w:pPr>
        <w:pStyle w:val="Sinespaciado"/>
        <w:ind w:firstLine="708"/>
        <w:jc w:val="both"/>
        <w:rPr>
          <w:rFonts w:ascii="Century Gothic" w:hAnsi="Century Gothic" w:cs="Arial"/>
          <w:sz w:val="14"/>
          <w:szCs w:val="14"/>
        </w:rPr>
      </w:pPr>
      <w:r w:rsidRPr="00B61529">
        <w:rPr>
          <w:rStyle w:val="Refdenotaalpie"/>
          <w:rFonts w:ascii="Century Gothic" w:hAnsi="Century Gothic" w:cs="Arial"/>
          <w:sz w:val="14"/>
          <w:szCs w:val="14"/>
        </w:rPr>
        <w:footnoteRef/>
      </w:r>
      <w:r w:rsidRPr="00B61529">
        <w:rPr>
          <w:rFonts w:ascii="Century Gothic" w:hAnsi="Century Gothic" w:cs="Arial"/>
          <w:sz w:val="14"/>
          <w:szCs w:val="14"/>
        </w:rPr>
        <w:t xml:space="preserve"> ARTÍCULO 2.2.1.2.3.1.7. Garantía de cumplimiento. La garantía de cumplimiento del contrato debe cubrir:</w:t>
      </w:r>
    </w:p>
    <w:p w14:paraId="1D4F8C5E" w14:textId="77777777" w:rsidR="00B76A1E" w:rsidRPr="00B61529" w:rsidRDefault="00B76A1E" w:rsidP="00B61529">
      <w:pPr>
        <w:pStyle w:val="Sinespaciado"/>
        <w:ind w:firstLine="708"/>
        <w:jc w:val="both"/>
        <w:rPr>
          <w:rFonts w:ascii="Century Gothic" w:hAnsi="Century Gothic" w:cs="Arial"/>
          <w:sz w:val="14"/>
          <w:szCs w:val="14"/>
        </w:rPr>
      </w:pPr>
      <w:r w:rsidRPr="00B61529">
        <w:rPr>
          <w:rFonts w:ascii="Century Gothic" w:hAnsi="Century Gothic" w:cs="Arial"/>
          <w:sz w:val="14"/>
          <w:szCs w:val="14"/>
        </w:rPr>
        <w:t>1. Buen manejo y correcta inversión del anticipo. Este amparo cubre los perjuicios sufridos por la Entidad Estatal con ocasión de: (i) la no inversión del anticipo; (</w:t>
      </w:r>
      <w:proofErr w:type="spellStart"/>
      <w:r w:rsidRPr="00B61529">
        <w:rPr>
          <w:rFonts w:ascii="Century Gothic" w:hAnsi="Century Gothic" w:cs="Arial"/>
          <w:sz w:val="14"/>
          <w:szCs w:val="14"/>
        </w:rPr>
        <w:t>ii</w:t>
      </w:r>
      <w:proofErr w:type="spellEnd"/>
      <w:r w:rsidRPr="00B61529">
        <w:rPr>
          <w:rFonts w:ascii="Century Gothic" w:hAnsi="Century Gothic" w:cs="Arial"/>
          <w:sz w:val="14"/>
          <w:szCs w:val="14"/>
        </w:rPr>
        <w:t>) el uso indebido del anticipo; y (</w:t>
      </w:r>
      <w:proofErr w:type="spellStart"/>
      <w:r w:rsidRPr="00B61529">
        <w:rPr>
          <w:rFonts w:ascii="Century Gothic" w:hAnsi="Century Gothic" w:cs="Arial"/>
          <w:sz w:val="14"/>
          <w:szCs w:val="14"/>
        </w:rPr>
        <w:t>iii</w:t>
      </w:r>
      <w:proofErr w:type="spellEnd"/>
      <w:r w:rsidRPr="00B61529">
        <w:rPr>
          <w:rFonts w:ascii="Century Gothic" w:hAnsi="Century Gothic" w:cs="Arial"/>
          <w:sz w:val="14"/>
          <w:szCs w:val="14"/>
        </w:rPr>
        <w:t>) la apropiación indebida de los recursos recibidos en calidad de anticipo.</w:t>
      </w:r>
    </w:p>
    <w:p w14:paraId="0FC8AFBE" w14:textId="77777777" w:rsidR="00B76A1E" w:rsidRPr="00B61529" w:rsidRDefault="00B76A1E" w:rsidP="00B61529">
      <w:pPr>
        <w:pStyle w:val="Sinespaciado"/>
        <w:ind w:firstLine="708"/>
        <w:jc w:val="both"/>
        <w:rPr>
          <w:rFonts w:ascii="Century Gothic" w:hAnsi="Century Gothic" w:cs="Arial"/>
          <w:sz w:val="14"/>
          <w:szCs w:val="14"/>
        </w:rPr>
      </w:pPr>
      <w:r w:rsidRPr="00B61529">
        <w:rPr>
          <w:rFonts w:ascii="Century Gothic" w:hAnsi="Century Gothic" w:cs="Arial"/>
          <w:sz w:val="14"/>
          <w:szCs w:val="14"/>
        </w:rPr>
        <w:t>2. Devolución del pago anticipado. Este amparo cubre los perjuicios sufridos por la Entidad Estatal por la no devolución total o parcial del dinero entregado al contratista a título de pago anticipado, cuando a ello hubiere lugar.</w:t>
      </w:r>
    </w:p>
    <w:p w14:paraId="210ACB57" w14:textId="77777777" w:rsidR="00B76A1E" w:rsidRPr="00B61529" w:rsidRDefault="00B76A1E" w:rsidP="00B61529">
      <w:pPr>
        <w:pStyle w:val="Sinespaciado"/>
        <w:ind w:firstLine="708"/>
        <w:jc w:val="both"/>
        <w:rPr>
          <w:rFonts w:ascii="Century Gothic" w:hAnsi="Century Gothic" w:cs="Arial"/>
          <w:sz w:val="14"/>
          <w:szCs w:val="14"/>
        </w:rPr>
      </w:pPr>
      <w:r w:rsidRPr="00B61529">
        <w:rPr>
          <w:rFonts w:ascii="Century Gothic" w:hAnsi="Century Gothic" w:cs="Arial"/>
          <w:sz w:val="14"/>
          <w:szCs w:val="14"/>
        </w:rPr>
        <w:t>3. Cumplimiento del contrato. Este amparo cubre a la Entidad Estatal de los perjuicios derivados de:</w:t>
      </w:r>
    </w:p>
    <w:p w14:paraId="36278EBD" w14:textId="77777777" w:rsidR="00B76A1E" w:rsidRPr="00B61529" w:rsidRDefault="00B76A1E" w:rsidP="00B61529">
      <w:pPr>
        <w:pStyle w:val="Sinespaciado"/>
        <w:ind w:firstLine="708"/>
        <w:jc w:val="both"/>
        <w:rPr>
          <w:rFonts w:ascii="Century Gothic" w:hAnsi="Century Gothic" w:cs="Arial"/>
          <w:sz w:val="14"/>
          <w:szCs w:val="14"/>
        </w:rPr>
      </w:pPr>
      <w:r w:rsidRPr="00B61529">
        <w:rPr>
          <w:rFonts w:ascii="Century Gothic" w:hAnsi="Century Gothic" w:cs="Arial"/>
          <w:sz w:val="14"/>
          <w:szCs w:val="14"/>
        </w:rPr>
        <w:t>3.1. El incumplimiento total o parcial del contrato, cuando el incumplimiento es imputable al contratista;</w:t>
      </w:r>
    </w:p>
    <w:p w14:paraId="269BC31A" w14:textId="77777777" w:rsidR="00B76A1E" w:rsidRPr="00B61529" w:rsidRDefault="00B76A1E" w:rsidP="00B61529">
      <w:pPr>
        <w:pStyle w:val="Sinespaciado"/>
        <w:ind w:firstLine="708"/>
        <w:jc w:val="both"/>
        <w:rPr>
          <w:rFonts w:ascii="Century Gothic" w:hAnsi="Century Gothic" w:cs="Arial"/>
          <w:sz w:val="14"/>
          <w:szCs w:val="14"/>
        </w:rPr>
      </w:pPr>
      <w:r w:rsidRPr="00B61529">
        <w:rPr>
          <w:rFonts w:ascii="Century Gothic" w:hAnsi="Century Gothic" w:cs="Arial"/>
          <w:sz w:val="14"/>
          <w:szCs w:val="14"/>
        </w:rPr>
        <w:t>3.2. El cumplimiento tardío o defectuoso del contrato, cuando el incumplimiento es imputable al contratista;</w:t>
      </w:r>
    </w:p>
    <w:p w14:paraId="40987923" w14:textId="77777777" w:rsidR="00B76A1E" w:rsidRPr="00B61529" w:rsidRDefault="00B76A1E" w:rsidP="00B61529">
      <w:pPr>
        <w:pStyle w:val="Sinespaciado"/>
        <w:ind w:firstLine="708"/>
        <w:jc w:val="both"/>
        <w:rPr>
          <w:rFonts w:ascii="Century Gothic" w:hAnsi="Century Gothic" w:cs="Arial"/>
          <w:sz w:val="14"/>
          <w:szCs w:val="14"/>
        </w:rPr>
      </w:pPr>
      <w:r w:rsidRPr="00B61529">
        <w:rPr>
          <w:rFonts w:ascii="Century Gothic" w:hAnsi="Century Gothic" w:cs="Arial"/>
          <w:sz w:val="14"/>
          <w:szCs w:val="14"/>
        </w:rPr>
        <w:t>3.3. Los daños imputables al contratista por entregas parciales de la obra, cuando el contrato no prevé entregas parciales; y</w:t>
      </w:r>
    </w:p>
    <w:p w14:paraId="346C1280" w14:textId="77777777" w:rsidR="00B76A1E" w:rsidRPr="00B61529" w:rsidRDefault="00B76A1E" w:rsidP="00B61529">
      <w:pPr>
        <w:pStyle w:val="Sinespaciado"/>
        <w:ind w:firstLine="708"/>
        <w:jc w:val="both"/>
        <w:rPr>
          <w:rFonts w:ascii="Century Gothic" w:hAnsi="Century Gothic" w:cs="Arial"/>
          <w:sz w:val="14"/>
          <w:szCs w:val="14"/>
        </w:rPr>
      </w:pPr>
      <w:r w:rsidRPr="00B61529">
        <w:rPr>
          <w:rFonts w:ascii="Century Gothic" w:hAnsi="Century Gothic" w:cs="Arial"/>
          <w:sz w:val="14"/>
          <w:szCs w:val="14"/>
        </w:rPr>
        <w:t>3.4. El pago del valor de las multas y de la cláusula penal pecuniaria.</w:t>
      </w:r>
    </w:p>
    <w:p w14:paraId="310E89B9" w14:textId="77777777" w:rsidR="00B76A1E" w:rsidRPr="00B61529" w:rsidRDefault="00B76A1E" w:rsidP="00B61529">
      <w:pPr>
        <w:pStyle w:val="Sinespaciado"/>
        <w:ind w:firstLine="708"/>
        <w:jc w:val="both"/>
        <w:rPr>
          <w:rFonts w:ascii="Century Gothic" w:hAnsi="Century Gothic" w:cs="Arial"/>
          <w:sz w:val="14"/>
          <w:szCs w:val="14"/>
        </w:rPr>
      </w:pPr>
      <w:r w:rsidRPr="00B61529">
        <w:rPr>
          <w:rFonts w:ascii="Century Gothic" w:hAnsi="Century Gothic" w:cs="Arial"/>
          <w:sz w:val="14"/>
          <w:szCs w:val="14"/>
        </w:rPr>
        <w:t>4. Pago de salarios, prestaciones sociales legales e indemnizaciones laborales. Este amparo debe cubrir a la Entidad Estatal de los perjuicios ocasionados por el incumplimiento de las obligaciones laborales del contratista derivadas de la contratación del personal utilizado en el territorio nacional para la ejecución del contrato amparado.</w:t>
      </w:r>
    </w:p>
    <w:p w14:paraId="15C65427" w14:textId="77777777" w:rsidR="00B76A1E" w:rsidRPr="00B61529" w:rsidRDefault="00B76A1E" w:rsidP="00B61529">
      <w:pPr>
        <w:pStyle w:val="Sinespaciado"/>
        <w:ind w:firstLine="708"/>
        <w:jc w:val="both"/>
        <w:rPr>
          <w:rFonts w:ascii="Century Gothic" w:hAnsi="Century Gothic" w:cs="Arial"/>
          <w:sz w:val="14"/>
          <w:szCs w:val="14"/>
        </w:rPr>
      </w:pPr>
      <w:r w:rsidRPr="00B61529">
        <w:rPr>
          <w:rFonts w:ascii="Century Gothic" w:hAnsi="Century Gothic" w:cs="Arial"/>
          <w:sz w:val="14"/>
          <w:szCs w:val="14"/>
        </w:rPr>
        <w:t>La Entidad Estatal no debe exigir una garantía para cubrir este Riesgo en los contratos que se ejecuten fuera del territorio nacional con personal contratado bajo un régimen jurídico distinto al colombiano.</w:t>
      </w:r>
    </w:p>
    <w:p w14:paraId="74971CC1" w14:textId="77777777" w:rsidR="00B76A1E" w:rsidRPr="00B61529" w:rsidRDefault="00B76A1E" w:rsidP="00B61529">
      <w:pPr>
        <w:pStyle w:val="Sinespaciado"/>
        <w:ind w:firstLine="708"/>
        <w:jc w:val="both"/>
        <w:rPr>
          <w:rFonts w:ascii="Century Gothic" w:hAnsi="Century Gothic" w:cs="Arial"/>
          <w:sz w:val="14"/>
          <w:szCs w:val="14"/>
        </w:rPr>
      </w:pPr>
      <w:r w:rsidRPr="00B61529">
        <w:rPr>
          <w:rFonts w:ascii="Century Gothic" w:hAnsi="Century Gothic" w:cs="Arial"/>
          <w:sz w:val="14"/>
          <w:szCs w:val="14"/>
        </w:rPr>
        <w:t>5. Estabilidad y calidad de la obra. Este amparo cubre a la Entidad Estatal de los perjuicios ocasionados por cualquier tipo de daño o deterioro, imputable al contratista, sufrido por la obra entregada a satisfacción.</w:t>
      </w:r>
    </w:p>
    <w:p w14:paraId="643707FB" w14:textId="77777777" w:rsidR="00B76A1E" w:rsidRPr="00B61529" w:rsidRDefault="00B76A1E" w:rsidP="00B61529">
      <w:pPr>
        <w:pStyle w:val="Sinespaciado"/>
        <w:ind w:firstLine="708"/>
        <w:jc w:val="both"/>
        <w:rPr>
          <w:rFonts w:ascii="Century Gothic" w:hAnsi="Century Gothic" w:cs="Arial"/>
          <w:sz w:val="14"/>
          <w:szCs w:val="14"/>
        </w:rPr>
      </w:pPr>
      <w:r w:rsidRPr="00B61529">
        <w:rPr>
          <w:rFonts w:ascii="Century Gothic" w:hAnsi="Century Gothic" w:cs="Arial"/>
          <w:sz w:val="14"/>
          <w:szCs w:val="14"/>
        </w:rPr>
        <w:t>6. Calidad del servicio. Este amparo cubre a la Entidad Estatal por los perjuicios derivados de la deficiente calidad del servicio prestado.</w:t>
      </w:r>
    </w:p>
    <w:p w14:paraId="2E3A095E" w14:textId="77777777" w:rsidR="00B76A1E" w:rsidRPr="00B61529" w:rsidRDefault="00B76A1E" w:rsidP="00B61529">
      <w:pPr>
        <w:pStyle w:val="Sinespaciado"/>
        <w:ind w:firstLine="708"/>
        <w:jc w:val="both"/>
        <w:rPr>
          <w:rFonts w:ascii="Century Gothic" w:hAnsi="Century Gothic" w:cs="Arial"/>
          <w:sz w:val="14"/>
          <w:szCs w:val="14"/>
        </w:rPr>
      </w:pPr>
      <w:r w:rsidRPr="00B61529">
        <w:rPr>
          <w:rFonts w:ascii="Century Gothic" w:hAnsi="Century Gothic" w:cs="Arial"/>
          <w:sz w:val="14"/>
          <w:szCs w:val="14"/>
        </w:rPr>
        <w:t>7. Calidad y correcto funcionamiento de los bienes. Este amparo debe cubrir la calidad y el correcto funcionamiento de los bienes que recibe la Entidad Estatal en cumplimiento de un contrato.</w:t>
      </w:r>
    </w:p>
    <w:p w14:paraId="0386252E" w14:textId="77777777" w:rsidR="00B76A1E" w:rsidRPr="00B61529" w:rsidRDefault="00B76A1E" w:rsidP="00B61529">
      <w:pPr>
        <w:pStyle w:val="Sinespaciado"/>
        <w:ind w:firstLine="708"/>
        <w:jc w:val="both"/>
        <w:rPr>
          <w:rFonts w:ascii="Century Gothic" w:hAnsi="Century Gothic" w:cs="Arial"/>
          <w:sz w:val="14"/>
          <w:szCs w:val="14"/>
        </w:rPr>
      </w:pPr>
      <w:r w:rsidRPr="00B61529">
        <w:rPr>
          <w:rFonts w:ascii="Century Gothic" w:eastAsia="Calibri" w:hAnsi="Century Gothic" w:cs="Arial"/>
          <w:sz w:val="14"/>
          <w:szCs w:val="14"/>
          <w:lang w:val="es-ES"/>
        </w:rPr>
        <w:t>“</w:t>
      </w:r>
      <w:r w:rsidRPr="00B61529">
        <w:rPr>
          <w:rFonts w:ascii="Century Gothic" w:hAnsi="Century Gothic" w:cs="Arial"/>
          <w:sz w:val="14"/>
          <w:szCs w:val="14"/>
        </w:rPr>
        <w:t>8. Los demás incumplimientos de obligaciones que la Entidad Estatal considere deben ser amparados de manera proporcional y acorde a la naturaleza del contrato.</w:t>
      </w:r>
    </w:p>
    <w:p w14:paraId="4C4D1ADF" w14:textId="77777777" w:rsidR="00B76A1E" w:rsidRPr="00B61529" w:rsidRDefault="00B76A1E" w:rsidP="00B61529">
      <w:pPr>
        <w:pStyle w:val="Sinespaciado"/>
        <w:ind w:firstLine="708"/>
        <w:jc w:val="both"/>
        <w:rPr>
          <w:rFonts w:ascii="Century Gothic" w:hAnsi="Century Gothic" w:cs="Arial"/>
          <w:sz w:val="14"/>
          <w:szCs w:val="14"/>
          <w:lang w:val="es-CO"/>
        </w:rPr>
      </w:pPr>
    </w:p>
  </w:footnote>
  <w:footnote w:id="12">
    <w:p w14:paraId="450CA997" w14:textId="77777777" w:rsidR="00B76A1E" w:rsidRPr="00B61529" w:rsidRDefault="00B76A1E" w:rsidP="00B61529">
      <w:pPr>
        <w:pStyle w:val="NormalWeb"/>
        <w:shd w:val="clear" w:color="auto" w:fill="FFFFFF"/>
        <w:spacing w:before="0" w:beforeAutospacing="0" w:after="0" w:afterAutospacing="0"/>
        <w:ind w:firstLine="709"/>
        <w:jc w:val="both"/>
        <w:rPr>
          <w:rFonts w:ascii="Century Gothic" w:hAnsi="Century Gothic" w:cs="Arial"/>
          <w:sz w:val="14"/>
          <w:szCs w:val="14"/>
        </w:rPr>
      </w:pPr>
      <w:r w:rsidRPr="00B61529">
        <w:rPr>
          <w:rStyle w:val="Refdenotaalpie"/>
          <w:rFonts w:ascii="Century Gothic" w:hAnsi="Century Gothic" w:cs="Arial"/>
          <w:sz w:val="14"/>
          <w:szCs w:val="14"/>
        </w:rPr>
        <w:footnoteRef/>
      </w:r>
      <w:r w:rsidRPr="00B61529">
        <w:rPr>
          <w:rFonts w:ascii="Century Gothic" w:eastAsia="Calibri" w:hAnsi="Century Gothic" w:cs="Arial"/>
          <w:sz w:val="14"/>
          <w:szCs w:val="14"/>
        </w:rPr>
        <w:t>“</w:t>
      </w:r>
      <w:r w:rsidRPr="00B61529">
        <w:rPr>
          <w:rFonts w:ascii="Century Gothic" w:hAnsi="Century Gothic" w:cs="Arial"/>
          <w:sz w:val="14"/>
          <w:szCs w:val="14"/>
        </w:rPr>
        <w:t>Artículo 2.2.1.1.2.4.1.</w:t>
      </w:r>
      <w:r w:rsidRPr="00B61529">
        <w:rPr>
          <w:rFonts w:ascii="Century Gothic" w:hAnsi="Century Gothic" w:cs="Arial"/>
          <w:i/>
          <w:sz w:val="14"/>
          <w:szCs w:val="14"/>
        </w:rPr>
        <w:t> </w:t>
      </w:r>
      <w:r w:rsidRPr="00B61529">
        <w:rPr>
          <w:rFonts w:ascii="Century Gothic" w:hAnsi="Century Gothic" w:cs="Arial"/>
          <w:sz w:val="14"/>
          <w:szCs w:val="14"/>
        </w:rPr>
        <w:t>Patrimonio autónomo para el manejo de anticipos.</w:t>
      </w:r>
      <w:r w:rsidRPr="00B61529">
        <w:rPr>
          <w:rFonts w:ascii="Century Gothic" w:hAnsi="Century Gothic" w:cs="Arial"/>
          <w:i/>
          <w:sz w:val="14"/>
          <w:szCs w:val="14"/>
        </w:rPr>
        <w:t> </w:t>
      </w:r>
      <w:r w:rsidRPr="00B61529">
        <w:rPr>
          <w:rFonts w:ascii="Century Gothic" w:hAnsi="Century Gothic" w:cs="Arial"/>
          <w:sz w:val="14"/>
          <w:szCs w:val="14"/>
        </w:rPr>
        <w:t>En los casos previstos en la ley, el contratista debe suscribir un contrato de fiducia mercantil para crear un patrimonio autónomo, con una sociedad fiduciaria autorizada para ese fin por la Superintendencia Financiera de Colombia, a la cual la Entidad Estatal debe entregar el valor del anticipo.</w:t>
      </w:r>
    </w:p>
    <w:p w14:paraId="11D2D1C3" w14:textId="77777777" w:rsidR="00B76A1E" w:rsidRPr="00B61529" w:rsidRDefault="00B76A1E" w:rsidP="00B61529">
      <w:pPr>
        <w:pStyle w:val="NormalWeb"/>
        <w:shd w:val="clear" w:color="auto" w:fill="FFFFFF"/>
        <w:spacing w:before="0" w:beforeAutospacing="0" w:after="0" w:afterAutospacing="0"/>
        <w:ind w:firstLine="709"/>
        <w:jc w:val="both"/>
        <w:rPr>
          <w:rFonts w:ascii="Century Gothic" w:hAnsi="Century Gothic" w:cs="Arial"/>
          <w:sz w:val="14"/>
          <w:szCs w:val="14"/>
        </w:rPr>
      </w:pPr>
      <w:r w:rsidRPr="00B61529">
        <w:rPr>
          <w:rFonts w:ascii="Century Gothic" w:hAnsi="Century Gothic" w:cs="Arial"/>
          <w:sz w:val="14"/>
          <w:szCs w:val="14"/>
        </w:rPr>
        <w:t>Los recursos entregados por la Entidad Estatal a título de anticipo dejan de ser parte del patrimonio de esta para conformar el patrimonio autónomo. En consecuencia, los recursos del patrimonio autónomo y sus rendimientos son autónomos y son manejados de acuerdo con el contrato de fiducia mercantil.</w:t>
      </w:r>
    </w:p>
    <w:p w14:paraId="5FC5D964" w14:textId="77777777" w:rsidR="00B76A1E" w:rsidRPr="00B61529" w:rsidRDefault="00B76A1E" w:rsidP="00B61529">
      <w:pPr>
        <w:pStyle w:val="NormalWeb"/>
        <w:shd w:val="clear" w:color="auto" w:fill="FFFFFF"/>
        <w:spacing w:before="0" w:beforeAutospacing="0" w:after="0" w:afterAutospacing="0"/>
        <w:ind w:firstLine="709"/>
        <w:jc w:val="both"/>
        <w:rPr>
          <w:rFonts w:ascii="Century Gothic" w:hAnsi="Century Gothic" w:cs="Arial"/>
          <w:sz w:val="14"/>
          <w:szCs w:val="14"/>
        </w:rPr>
      </w:pPr>
      <w:r w:rsidRPr="00B61529">
        <w:rPr>
          <w:rFonts w:ascii="Century Gothic" w:hAnsi="Century Gothic" w:cs="Arial"/>
          <w:sz w:val="14"/>
          <w:szCs w:val="14"/>
        </w:rPr>
        <w:t>En los pliegos de condiciones, la Entidad Estatal debe establecer los términos y condiciones de la administración del anticipo a través del patrimonio autónomo.</w:t>
      </w:r>
    </w:p>
    <w:p w14:paraId="4431A9F8" w14:textId="77777777" w:rsidR="00B76A1E" w:rsidRPr="00B61529" w:rsidRDefault="00B76A1E" w:rsidP="00B61529">
      <w:pPr>
        <w:pStyle w:val="NormalWeb"/>
        <w:shd w:val="clear" w:color="auto" w:fill="FFFFFF"/>
        <w:spacing w:before="0" w:beforeAutospacing="0" w:after="0" w:afterAutospacing="0"/>
        <w:ind w:firstLine="709"/>
        <w:jc w:val="both"/>
        <w:rPr>
          <w:rFonts w:ascii="Century Gothic" w:hAnsi="Century Gothic" w:cs="Arial"/>
          <w:sz w:val="14"/>
          <w:szCs w:val="14"/>
        </w:rPr>
      </w:pPr>
      <w:r w:rsidRPr="00B61529">
        <w:rPr>
          <w:rFonts w:ascii="Century Gothic" w:hAnsi="Century Gothic" w:cs="Arial"/>
          <w:sz w:val="14"/>
          <w:szCs w:val="14"/>
        </w:rPr>
        <w:t>En este caso, la sociedad fiduciaria debe pagar a los proveedores, con base en las instrucciones que reciba del contratista, las cuales deben haber sido autorizadas por el Supervisor o el Interventor, siempre y cuando tales pagos correspondan a los rubros previstos en el plan de utilización o de inversión del anticipo</w:t>
      </w:r>
      <w:r w:rsidRPr="00B61529">
        <w:rPr>
          <w:rFonts w:ascii="Century Gothic" w:eastAsia="Calibri" w:hAnsi="Century Gothic" w:cs="Arial"/>
          <w:sz w:val="14"/>
          <w:szCs w:val="14"/>
        </w:rPr>
        <w:t>”.</w:t>
      </w:r>
    </w:p>
  </w:footnote>
  <w:footnote w:id="13">
    <w:p w14:paraId="4052645D" w14:textId="77777777" w:rsidR="00B76A1E" w:rsidRPr="00B61529" w:rsidRDefault="00B76A1E" w:rsidP="00B61529">
      <w:pPr>
        <w:pStyle w:val="Textonotapie"/>
        <w:ind w:firstLine="709"/>
        <w:jc w:val="both"/>
        <w:rPr>
          <w:rFonts w:ascii="Century Gothic" w:hAnsi="Century Gothic" w:cs="Arial"/>
          <w:sz w:val="14"/>
          <w:szCs w:val="14"/>
        </w:rPr>
      </w:pPr>
      <w:r w:rsidRPr="00B61529">
        <w:rPr>
          <w:rStyle w:val="Refdenotaalpie"/>
          <w:rFonts w:ascii="Century Gothic" w:hAnsi="Century Gothic" w:cs="Arial"/>
          <w:sz w:val="14"/>
          <w:szCs w:val="14"/>
        </w:rPr>
        <w:footnoteRef/>
      </w:r>
      <w:r w:rsidRPr="00B61529">
        <w:rPr>
          <w:rFonts w:ascii="Century Gothic" w:hAnsi="Century Gothic" w:cs="Arial"/>
          <w:sz w:val="14"/>
          <w:szCs w:val="14"/>
        </w:rPr>
        <w:t xml:space="preserve"> Sobre el particular, se puede consultar la exposición de motivos de la Ley 1474 de 2011, Gaceta 607 del 2010, disponible en:  </w:t>
      </w:r>
      <w:hyperlink r:id="rId2" w:history="1">
        <w:r w:rsidRPr="00B61529">
          <w:rPr>
            <w:rStyle w:val="Hipervnculo"/>
            <w:rFonts w:ascii="Century Gothic" w:hAnsi="Century Gothic" w:cs="Arial"/>
            <w:sz w:val="14"/>
            <w:szCs w:val="14"/>
          </w:rPr>
          <w:t>http://svrpubindc.imprenta.gov.co/senado/index.xhtml;jsessionid=b3ba7213a248bacd37376ffcedca</w:t>
        </w:r>
      </w:hyperlink>
      <w:r w:rsidRPr="00B61529">
        <w:rPr>
          <w:rStyle w:val="Hipervnculo"/>
          <w:rFonts w:ascii="Century Gothic" w:hAnsi="Century Gothic" w:cs="Arial"/>
          <w:sz w:val="14"/>
          <w:szCs w:val="14"/>
        </w:rPr>
        <w:t xml:space="preserve"> </w:t>
      </w:r>
      <w:r w:rsidRPr="00B61529">
        <w:rPr>
          <w:rFonts w:ascii="Century Gothic" w:hAnsi="Century Gothic" w:cs="Arial"/>
          <w:sz w:val="14"/>
          <w:szCs w:val="14"/>
        </w:rPr>
        <w:t xml:space="preserve"> </w:t>
      </w:r>
    </w:p>
  </w:footnote>
  <w:footnote w:id="14">
    <w:p w14:paraId="33E11263" w14:textId="77777777" w:rsidR="00B76A1E" w:rsidRPr="00B61529" w:rsidRDefault="00B76A1E" w:rsidP="00B61529">
      <w:pPr>
        <w:pStyle w:val="Sinespaciado"/>
        <w:ind w:firstLine="708"/>
        <w:jc w:val="both"/>
        <w:rPr>
          <w:rFonts w:ascii="Century Gothic" w:hAnsi="Century Gothic" w:cs="Arial"/>
          <w:sz w:val="14"/>
          <w:szCs w:val="14"/>
          <w:lang w:val="es-ES"/>
        </w:rPr>
      </w:pPr>
      <w:r w:rsidRPr="00B61529">
        <w:rPr>
          <w:rStyle w:val="Refdenotaalpie"/>
          <w:rFonts w:ascii="Century Gothic" w:hAnsi="Century Gothic" w:cs="Arial"/>
          <w:sz w:val="14"/>
          <w:szCs w:val="14"/>
        </w:rPr>
        <w:footnoteRef/>
      </w:r>
      <w:r w:rsidRPr="00B61529">
        <w:rPr>
          <w:rFonts w:ascii="Century Gothic" w:hAnsi="Century Gothic" w:cs="Arial"/>
          <w:sz w:val="14"/>
          <w:szCs w:val="14"/>
        </w:rPr>
        <w:t xml:space="preserve"> </w:t>
      </w:r>
      <w:r w:rsidRPr="00B61529">
        <w:rPr>
          <w:rFonts w:ascii="Century Gothic" w:hAnsi="Century Gothic" w:cs="Arial"/>
          <w:sz w:val="14"/>
          <w:szCs w:val="14"/>
          <w:lang w:val="es-ES"/>
        </w:rPr>
        <w:t xml:space="preserve">La Guía para el manejo de anticipos mediante contrato de fiducia irrevocable puede ser consultada en: </w:t>
      </w:r>
      <w:hyperlink r:id="rId3" w:history="1">
        <w:r w:rsidRPr="00B61529">
          <w:rPr>
            <w:rStyle w:val="Hipervnculo"/>
            <w:rFonts w:ascii="Century Gothic" w:hAnsi="Century Gothic" w:cs="Arial"/>
            <w:sz w:val="14"/>
            <w:szCs w:val="14"/>
            <w:lang w:val="es-ES"/>
          </w:rPr>
          <w:t>https://www.colombiacompra.gov.co/sites/cce_public/files/cce_documents/cce_guia_manejo_anticipos.pdf</w:t>
        </w:r>
      </w:hyperlink>
      <w:r w:rsidRPr="00B61529">
        <w:rPr>
          <w:rFonts w:ascii="Century Gothic" w:hAnsi="Century Gothic" w:cs="Arial"/>
          <w:sz w:val="14"/>
          <w:szCs w:val="14"/>
          <w:lang w:val="es-ES"/>
        </w:rPr>
        <w:t xml:space="preserve"> </w:t>
      </w:r>
    </w:p>
  </w:footnote>
  <w:footnote w:id="15">
    <w:p w14:paraId="5C8B2832" w14:textId="77777777" w:rsidR="00B76A1E" w:rsidRPr="00B61529" w:rsidRDefault="00B76A1E" w:rsidP="00B61529">
      <w:pPr>
        <w:pStyle w:val="Textonotapie"/>
        <w:ind w:firstLine="708"/>
        <w:jc w:val="both"/>
        <w:rPr>
          <w:rFonts w:ascii="Century Gothic" w:hAnsi="Century Gothic" w:cs="Arial"/>
          <w:sz w:val="14"/>
          <w:szCs w:val="14"/>
        </w:rPr>
      </w:pPr>
      <w:r w:rsidRPr="00B61529">
        <w:rPr>
          <w:rStyle w:val="Refdenotaalpie"/>
          <w:rFonts w:ascii="Century Gothic" w:hAnsi="Century Gothic" w:cs="Arial"/>
          <w:sz w:val="14"/>
          <w:szCs w:val="14"/>
        </w:rPr>
        <w:footnoteRef/>
      </w:r>
      <w:r w:rsidRPr="00B61529">
        <w:rPr>
          <w:rFonts w:ascii="Century Gothic" w:hAnsi="Century Gothic" w:cs="Arial"/>
          <w:sz w:val="14"/>
          <w:szCs w:val="14"/>
        </w:rPr>
        <w:t xml:space="preserve"> Ver concepto C-003 de 13 de marzo de 2023 emitido por la ANCP-CCE</w:t>
      </w:r>
    </w:p>
  </w:footnote>
  <w:footnote w:id="16">
    <w:p w14:paraId="70D3548B" w14:textId="77777777" w:rsidR="005627F0" w:rsidRPr="00B61529" w:rsidRDefault="005627F0" w:rsidP="00B61529">
      <w:pPr>
        <w:pStyle w:val="Textonotapie"/>
        <w:ind w:firstLine="708"/>
        <w:jc w:val="both"/>
        <w:rPr>
          <w:rFonts w:ascii="Century Gothic" w:hAnsi="Century Gothic"/>
          <w:sz w:val="14"/>
          <w:szCs w:val="14"/>
        </w:rPr>
      </w:pPr>
      <w:r w:rsidRPr="00B61529">
        <w:rPr>
          <w:rStyle w:val="Refdenotaalpie"/>
          <w:rFonts w:ascii="Century Gothic" w:hAnsi="Century Gothic"/>
          <w:sz w:val="14"/>
          <w:szCs w:val="14"/>
        </w:rPr>
        <w:footnoteRef/>
      </w:r>
      <w:r w:rsidRPr="00B61529">
        <w:rPr>
          <w:rFonts w:ascii="Century Gothic" w:hAnsi="Century Gothic"/>
          <w:sz w:val="14"/>
          <w:szCs w:val="14"/>
        </w:rPr>
        <w:t xml:space="preserve"> Superintendencia Financiera de Colombia. Circular Básica Jurídica 29 del 3 de octubre de 2014.</w:t>
      </w:r>
    </w:p>
    <w:p w14:paraId="55FFA9DA" w14:textId="7DEAC3E8" w:rsidR="005627F0" w:rsidRPr="00B61529" w:rsidRDefault="005627F0" w:rsidP="00B61529">
      <w:pPr>
        <w:pStyle w:val="Textonotapie"/>
        <w:jc w:val="both"/>
        <w:rPr>
          <w:rFonts w:ascii="Century Gothic" w:hAnsi="Century Gothic"/>
          <w:sz w:val="14"/>
          <w:szCs w:val="14"/>
          <w:lang w:val="es-CO"/>
        </w:rPr>
      </w:pPr>
      <w:r w:rsidRPr="00B61529">
        <w:rPr>
          <w:rFonts w:ascii="Century Gothic" w:hAnsi="Century Gothic"/>
          <w:sz w:val="14"/>
          <w:szCs w:val="14"/>
        </w:rPr>
        <w:t>Número 029</w:t>
      </w:r>
      <w:r w:rsidR="00081395" w:rsidRPr="00B61529">
        <w:rPr>
          <w:rFonts w:ascii="Century Gothic" w:hAnsi="Century Gothic"/>
          <w:sz w:val="14"/>
          <w:szCs w:val="14"/>
        </w:rPr>
        <w:t xml:space="preserve">. Ver en línea: </w:t>
      </w:r>
      <w:hyperlink r:id="rId4" w:history="1">
        <w:r w:rsidR="00081395" w:rsidRPr="00B61529">
          <w:rPr>
            <w:rStyle w:val="Hipervnculo"/>
            <w:rFonts w:ascii="Century Gothic" w:hAnsi="Century Gothic"/>
            <w:sz w:val="14"/>
            <w:szCs w:val="14"/>
          </w:rPr>
          <w:t>https://www.superfinanciera.gov.co/inicio/normativa/normativa-general/circular-basica-juridica-ce----10083443</w:t>
        </w:r>
      </w:hyperlink>
      <w:r w:rsidR="00081395" w:rsidRPr="00B61529">
        <w:rPr>
          <w:rFonts w:ascii="Century Gothic" w:hAnsi="Century Gothic"/>
          <w:sz w:val="14"/>
          <w:szCs w:val="14"/>
        </w:rPr>
        <w:t xml:space="preserve"> </w:t>
      </w:r>
    </w:p>
  </w:footnote>
  <w:footnote w:id="17">
    <w:p w14:paraId="482190BF" w14:textId="6A365DDB" w:rsidR="00892BE4" w:rsidRPr="00B61529" w:rsidRDefault="00892BE4" w:rsidP="00B61529">
      <w:pPr>
        <w:pStyle w:val="Textonotapie"/>
        <w:ind w:firstLine="708"/>
        <w:jc w:val="both"/>
        <w:rPr>
          <w:rFonts w:ascii="Century Gothic" w:hAnsi="Century Gothic"/>
          <w:sz w:val="14"/>
          <w:szCs w:val="14"/>
        </w:rPr>
      </w:pPr>
      <w:r w:rsidRPr="00B61529">
        <w:rPr>
          <w:rStyle w:val="Refdenotaalpie"/>
          <w:rFonts w:ascii="Century Gothic" w:hAnsi="Century Gothic"/>
          <w:sz w:val="14"/>
          <w:szCs w:val="14"/>
        </w:rPr>
        <w:footnoteRef/>
      </w:r>
      <w:r w:rsidRPr="00B61529">
        <w:rPr>
          <w:rFonts w:ascii="Century Gothic" w:hAnsi="Century Gothic"/>
          <w:sz w:val="14"/>
          <w:szCs w:val="14"/>
        </w:rPr>
        <w:t xml:space="preserve"> Corte Suprema de Justicia. Sala de</w:t>
      </w:r>
      <w:r w:rsidR="00A83A13" w:rsidRPr="00B61529">
        <w:rPr>
          <w:rFonts w:ascii="Century Gothic" w:hAnsi="Century Gothic"/>
          <w:sz w:val="14"/>
          <w:szCs w:val="14"/>
        </w:rPr>
        <w:t xml:space="preserve"> </w:t>
      </w:r>
      <w:r w:rsidRPr="00B61529">
        <w:rPr>
          <w:rFonts w:ascii="Century Gothic" w:hAnsi="Century Gothic"/>
          <w:sz w:val="14"/>
          <w:szCs w:val="14"/>
        </w:rPr>
        <w:t>Casación Civil. Sentencia del 7 de diciembre de 2021.</w:t>
      </w:r>
      <w:r w:rsidR="004700BB" w:rsidRPr="00B61529">
        <w:rPr>
          <w:rFonts w:ascii="Century Gothic" w:hAnsi="Century Gothic"/>
          <w:sz w:val="14"/>
          <w:szCs w:val="14"/>
        </w:rPr>
        <w:t xml:space="preserve"> </w:t>
      </w:r>
      <w:r w:rsidRPr="00B61529">
        <w:rPr>
          <w:rFonts w:ascii="Century Gothic" w:hAnsi="Century Gothic"/>
          <w:sz w:val="14"/>
          <w:szCs w:val="14"/>
        </w:rPr>
        <w:t>Exp. SC5430-2021</w:t>
      </w:r>
      <w:r w:rsidR="00175A4C" w:rsidRPr="00B61529">
        <w:rPr>
          <w:rFonts w:ascii="Century Gothic" w:hAnsi="Century Gothic"/>
          <w:sz w:val="14"/>
          <w:szCs w:val="14"/>
        </w:rPr>
        <w:t>, señaló la siguiente definición de los negocios fiduciarios: “</w:t>
      </w:r>
      <w:r w:rsidRPr="00B61529">
        <w:rPr>
          <w:rFonts w:ascii="Century Gothic" w:hAnsi="Century Gothic"/>
          <w:sz w:val="14"/>
          <w:szCs w:val="14"/>
        </w:rPr>
        <w:t xml:space="preserve">[l]a expresión fiducia (fidutia, confianza), tener fe (fides), ser fiel (fidus, fiel), estar a la palabra (fit quod dicitur), en un significado genérico describe el acto concluido por la confianza depositada intuitu personae en grado mayor al cotidiano y, en otro sentido más técnico, designa a la atribución de un derecho con un fin fiduciario específico en interés de otro. </w:t>
      </w:r>
    </w:p>
  </w:footnote>
  <w:footnote w:id="18">
    <w:p w14:paraId="1C5EDC2E" w14:textId="77777777" w:rsidR="00BF5C06" w:rsidRPr="00B61529" w:rsidRDefault="00BF5C06" w:rsidP="00B61529">
      <w:pPr>
        <w:pStyle w:val="Textonotapie"/>
        <w:ind w:firstLine="708"/>
        <w:jc w:val="both"/>
        <w:rPr>
          <w:rFonts w:ascii="Century Gothic" w:hAnsi="Century Gothic"/>
          <w:sz w:val="14"/>
          <w:szCs w:val="14"/>
        </w:rPr>
      </w:pPr>
      <w:r w:rsidRPr="00B61529">
        <w:rPr>
          <w:rStyle w:val="Refdenotaalpie"/>
          <w:rFonts w:ascii="Century Gothic" w:hAnsi="Century Gothic"/>
          <w:sz w:val="14"/>
          <w:szCs w:val="14"/>
        </w:rPr>
        <w:footnoteRef/>
      </w:r>
      <w:r w:rsidRPr="00B61529">
        <w:rPr>
          <w:rFonts w:ascii="Century Gothic" w:hAnsi="Century Gothic"/>
          <w:sz w:val="14"/>
          <w:szCs w:val="14"/>
        </w:rPr>
        <w:t xml:space="preserve"> Superintendencia Financiera de Colombia. Circular Básica Jurídica 29 del 3 de octubre de 2014.</w:t>
      </w:r>
    </w:p>
    <w:p w14:paraId="29EEDD59" w14:textId="7E31A141" w:rsidR="00BF5C06" w:rsidRPr="00B61529" w:rsidRDefault="00BF5C06" w:rsidP="00B61529">
      <w:pPr>
        <w:pStyle w:val="Textonotapie"/>
        <w:jc w:val="both"/>
        <w:rPr>
          <w:rFonts w:ascii="Century Gothic" w:hAnsi="Century Gothic"/>
          <w:sz w:val="14"/>
          <w:szCs w:val="14"/>
        </w:rPr>
      </w:pPr>
      <w:r w:rsidRPr="00B61529">
        <w:rPr>
          <w:rFonts w:ascii="Century Gothic" w:hAnsi="Century Gothic"/>
          <w:sz w:val="14"/>
          <w:szCs w:val="14"/>
        </w:rPr>
        <w:t xml:space="preserve">Número 029. Ver en línea: </w:t>
      </w:r>
      <w:hyperlink r:id="rId5" w:history="1">
        <w:r w:rsidRPr="00B61529">
          <w:rPr>
            <w:rStyle w:val="Hipervnculo"/>
            <w:rFonts w:ascii="Century Gothic" w:hAnsi="Century Gothic"/>
            <w:sz w:val="14"/>
            <w:szCs w:val="14"/>
          </w:rPr>
          <w:t>https://www.superfinanciera.gov.co/inicio/normativa/normativa-general/circular-basica-juridica-ce----10083443</w:t>
        </w:r>
      </w:hyperlink>
    </w:p>
  </w:footnote>
  <w:footnote w:id="19">
    <w:p w14:paraId="6E21944F" w14:textId="67115AC5" w:rsidR="0018369F" w:rsidRPr="00B61529" w:rsidRDefault="0018369F" w:rsidP="00B61529">
      <w:pPr>
        <w:pStyle w:val="Textoindependiente"/>
        <w:spacing w:after="0"/>
        <w:ind w:firstLine="709"/>
        <w:jc w:val="both"/>
        <w:rPr>
          <w:rFonts w:ascii="Century Gothic" w:hAnsi="Century Gothic" w:cs="Arial"/>
          <w:sz w:val="14"/>
          <w:szCs w:val="14"/>
        </w:rPr>
      </w:pPr>
      <w:r w:rsidRPr="00B61529">
        <w:rPr>
          <w:rStyle w:val="Refdenotaalpie"/>
          <w:rFonts w:ascii="Century Gothic" w:hAnsi="Century Gothic" w:cs="Arial"/>
          <w:sz w:val="14"/>
          <w:szCs w:val="14"/>
        </w:rPr>
        <w:footnoteRef/>
      </w:r>
      <w:r w:rsidRPr="00B61529">
        <w:rPr>
          <w:rFonts w:ascii="Century Gothic" w:hAnsi="Century Gothic" w:cs="Arial"/>
          <w:sz w:val="14"/>
          <w:szCs w:val="14"/>
        </w:rPr>
        <w:t xml:space="preserve"> Así lo expresó el alto tribunal: </w:t>
      </w:r>
      <w:r w:rsidR="00D31674" w:rsidRPr="00B61529">
        <w:rPr>
          <w:rFonts w:ascii="Century Gothic" w:hAnsi="Century Gothic" w:cs="Arial"/>
          <w:sz w:val="14"/>
          <w:szCs w:val="14"/>
        </w:rPr>
        <w:t>“</w:t>
      </w:r>
      <w:r w:rsidRPr="00B61529">
        <w:rPr>
          <w:rFonts w:ascii="Century Gothic" w:hAnsi="Century Gothic" w:cs="Arial"/>
          <w:sz w:val="14"/>
          <w:szCs w:val="14"/>
        </w:rPr>
        <w:t>Para la Corte, las anteriores condiciones del referido contrato, y teniendo de presente la enunciación de los contratos estatales a que se refiere el artículo</w:t>
      </w:r>
      <w:r w:rsidRPr="00B61529">
        <w:rPr>
          <w:rFonts w:ascii="Century Gothic" w:hAnsi="Century Gothic" w:cs="Arial"/>
          <w:spacing w:val="14"/>
          <w:sz w:val="14"/>
          <w:szCs w:val="14"/>
        </w:rPr>
        <w:t xml:space="preserve"> </w:t>
      </w:r>
      <w:r w:rsidRPr="00B61529">
        <w:rPr>
          <w:rFonts w:ascii="Century Gothic" w:hAnsi="Century Gothic" w:cs="Arial"/>
          <w:sz w:val="14"/>
          <w:szCs w:val="14"/>
        </w:rPr>
        <w:t>32</w:t>
      </w:r>
      <w:r w:rsidRPr="00B61529">
        <w:rPr>
          <w:rFonts w:ascii="Century Gothic" w:hAnsi="Century Gothic" w:cs="Arial"/>
          <w:spacing w:val="15"/>
          <w:sz w:val="14"/>
          <w:szCs w:val="14"/>
        </w:rPr>
        <w:t xml:space="preserve"> </w:t>
      </w:r>
      <w:r w:rsidRPr="00B61529">
        <w:rPr>
          <w:rFonts w:ascii="Century Gothic" w:hAnsi="Century Gothic" w:cs="Arial"/>
          <w:sz w:val="14"/>
          <w:szCs w:val="14"/>
        </w:rPr>
        <w:t>de</w:t>
      </w:r>
      <w:r w:rsidRPr="00B61529">
        <w:rPr>
          <w:rFonts w:ascii="Century Gothic" w:hAnsi="Century Gothic" w:cs="Arial"/>
          <w:spacing w:val="12"/>
          <w:sz w:val="14"/>
          <w:szCs w:val="14"/>
        </w:rPr>
        <w:t xml:space="preserve"> </w:t>
      </w:r>
      <w:r w:rsidRPr="00B61529">
        <w:rPr>
          <w:rFonts w:ascii="Century Gothic" w:hAnsi="Century Gothic" w:cs="Arial"/>
          <w:sz w:val="14"/>
          <w:szCs w:val="14"/>
        </w:rPr>
        <w:t>la</w:t>
      </w:r>
      <w:r w:rsidRPr="00B61529">
        <w:rPr>
          <w:rFonts w:ascii="Century Gothic" w:hAnsi="Century Gothic" w:cs="Arial"/>
          <w:spacing w:val="15"/>
          <w:sz w:val="14"/>
          <w:szCs w:val="14"/>
        </w:rPr>
        <w:t xml:space="preserve"> </w:t>
      </w:r>
      <w:r w:rsidRPr="00B61529">
        <w:rPr>
          <w:rFonts w:ascii="Century Gothic" w:hAnsi="Century Gothic" w:cs="Arial"/>
          <w:sz w:val="14"/>
          <w:szCs w:val="14"/>
        </w:rPr>
        <w:t>citada</w:t>
      </w:r>
      <w:r w:rsidRPr="00B61529">
        <w:rPr>
          <w:rFonts w:ascii="Century Gothic" w:hAnsi="Century Gothic" w:cs="Arial"/>
          <w:spacing w:val="16"/>
          <w:sz w:val="14"/>
          <w:szCs w:val="14"/>
        </w:rPr>
        <w:t xml:space="preserve"> </w:t>
      </w:r>
      <w:r w:rsidRPr="00B61529">
        <w:rPr>
          <w:rFonts w:ascii="Century Gothic" w:hAnsi="Century Gothic" w:cs="Arial"/>
          <w:sz w:val="14"/>
          <w:szCs w:val="14"/>
        </w:rPr>
        <w:t>ley</w:t>
      </w:r>
      <w:r w:rsidRPr="00B61529">
        <w:rPr>
          <w:rFonts w:ascii="Century Gothic" w:hAnsi="Century Gothic" w:cs="Arial"/>
          <w:spacing w:val="15"/>
          <w:sz w:val="14"/>
          <w:szCs w:val="14"/>
        </w:rPr>
        <w:t xml:space="preserve"> </w:t>
      </w:r>
      <w:r w:rsidRPr="00B61529">
        <w:rPr>
          <w:rFonts w:ascii="Century Gothic" w:hAnsi="Century Gothic" w:cs="Arial"/>
          <w:sz w:val="14"/>
          <w:szCs w:val="14"/>
        </w:rPr>
        <w:t>-donde</w:t>
      </w:r>
      <w:r w:rsidRPr="00B61529">
        <w:rPr>
          <w:rFonts w:ascii="Century Gothic" w:hAnsi="Century Gothic" w:cs="Arial"/>
          <w:spacing w:val="15"/>
          <w:sz w:val="14"/>
          <w:szCs w:val="14"/>
        </w:rPr>
        <w:t xml:space="preserve"> </w:t>
      </w:r>
      <w:r w:rsidRPr="00B61529">
        <w:rPr>
          <w:rFonts w:ascii="Century Gothic" w:hAnsi="Century Gothic" w:cs="Arial"/>
          <w:sz w:val="14"/>
          <w:szCs w:val="14"/>
        </w:rPr>
        <w:t>se</w:t>
      </w:r>
      <w:r w:rsidRPr="00B61529">
        <w:rPr>
          <w:rFonts w:ascii="Century Gothic" w:hAnsi="Century Gothic" w:cs="Arial"/>
          <w:spacing w:val="14"/>
          <w:sz w:val="14"/>
          <w:szCs w:val="14"/>
        </w:rPr>
        <w:t xml:space="preserve"> </w:t>
      </w:r>
      <w:r w:rsidRPr="00B61529">
        <w:rPr>
          <w:rFonts w:ascii="Century Gothic" w:hAnsi="Century Gothic" w:cs="Arial"/>
          <w:sz w:val="14"/>
          <w:szCs w:val="14"/>
        </w:rPr>
        <w:t>incluyen</w:t>
      </w:r>
      <w:r w:rsidRPr="00B61529">
        <w:rPr>
          <w:rFonts w:ascii="Century Gothic" w:hAnsi="Century Gothic" w:cs="Arial"/>
          <w:spacing w:val="13"/>
          <w:sz w:val="14"/>
          <w:szCs w:val="14"/>
        </w:rPr>
        <w:t xml:space="preserve"> </w:t>
      </w:r>
      <w:r w:rsidRPr="00B61529">
        <w:rPr>
          <w:rFonts w:ascii="Century Gothic" w:hAnsi="Century Gothic" w:cs="Arial"/>
          <w:sz w:val="14"/>
          <w:szCs w:val="14"/>
        </w:rPr>
        <w:t>los</w:t>
      </w:r>
      <w:r w:rsidRPr="00B61529">
        <w:rPr>
          <w:rFonts w:ascii="Century Gothic" w:hAnsi="Century Gothic" w:cs="Arial"/>
          <w:spacing w:val="13"/>
          <w:sz w:val="14"/>
          <w:szCs w:val="14"/>
        </w:rPr>
        <w:t xml:space="preserve"> </w:t>
      </w:r>
      <w:r w:rsidRPr="00B61529">
        <w:rPr>
          <w:rFonts w:ascii="Century Gothic" w:hAnsi="Century Gothic" w:cs="Arial"/>
          <w:sz w:val="14"/>
          <w:szCs w:val="14"/>
        </w:rPr>
        <w:t>previstos</w:t>
      </w:r>
      <w:r w:rsidRPr="00B61529">
        <w:rPr>
          <w:rFonts w:ascii="Century Gothic" w:hAnsi="Century Gothic" w:cs="Arial"/>
          <w:spacing w:val="14"/>
          <w:sz w:val="14"/>
          <w:szCs w:val="14"/>
        </w:rPr>
        <w:t xml:space="preserve"> </w:t>
      </w:r>
      <w:r w:rsidRPr="00B61529">
        <w:rPr>
          <w:rFonts w:ascii="Century Gothic" w:hAnsi="Century Gothic" w:cs="Arial"/>
          <w:sz w:val="14"/>
          <w:szCs w:val="14"/>
        </w:rPr>
        <w:t>en</w:t>
      </w:r>
      <w:r w:rsidRPr="00B61529">
        <w:rPr>
          <w:rFonts w:ascii="Century Gothic" w:hAnsi="Century Gothic" w:cs="Arial"/>
          <w:spacing w:val="15"/>
          <w:sz w:val="14"/>
          <w:szCs w:val="14"/>
        </w:rPr>
        <w:t xml:space="preserve"> </w:t>
      </w:r>
      <w:r w:rsidRPr="00B61529">
        <w:rPr>
          <w:rFonts w:ascii="Century Gothic" w:hAnsi="Century Gothic" w:cs="Arial"/>
          <w:sz w:val="14"/>
          <w:szCs w:val="14"/>
        </w:rPr>
        <w:t>el</w:t>
      </w:r>
      <w:r w:rsidRPr="00B61529">
        <w:rPr>
          <w:rFonts w:ascii="Century Gothic" w:hAnsi="Century Gothic" w:cs="Arial"/>
          <w:spacing w:val="16"/>
          <w:sz w:val="14"/>
          <w:szCs w:val="14"/>
        </w:rPr>
        <w:t xml:space="preserve"> </w:t>
      </w:r>
      <w:r w:rsidRPr="00B61529">
        <w:rPr>
          <w:rFonts w:ascii="Century Gothic" w:hAnsi="Century Gothic" w:cs="Arial"/>
          <w:sz w:val="14"/>
          <w:szCs w:val="14"/>
        </w:rPr>
        <w:t>derecho privado y los derivados del ejercicio de la autonomía de la voluntad-, obligan a concluir que el Estatuto General de Contratación Administrativa creó un nuevo tipo de contrato, sin definirlo, denominado "fiducia pública", el cual no se relaciona con el contrato de fiducia mercantil contenido en el Código de Comercio y en las disposiciones propias del sistema financiero. Se trata, pues, de un contrato autónomo e independiente, más parecido a un encargo fiduciario que a una fiducia (por el no traspaso de la propiedad, ni la constitución de un patrimonio autónomo), al que le serán aplicables las normas del Código de Comercio sobre fiducia mercantil, "en cuanto sean compatibles con lo dispuesto en esta ley". Así, por ejemplo, al establecer la Ley 80 que el contrato de fiducia pública no comporta la transferencia de dominio ni la constitución de un patrimonio autónomo, entonces no le serán aplicables las normas correspondientes contenidas en el Código de Comercio, sin que ello signifique que se altera la naturaleza del contrato de fiducia mercantil. En otras palabras, esta Corporación encuentra que, en la actualidad, las entidades estatales podrán celebrar el contrato de fiducia pública en los términos del numeral 5o. del artículo 32, o el contrato de fiducia mercantil de acuerdo con lo dispuesto en el Código de Comercio y en las normas generales de contratación administrativa previstas en la citada Ley 80 de</w:t>
      </w:r>
      <w:r w:rsidRPr="00B61529">
        <w:rPr>
          <w:rFonts w:ascii="Century Gothic" w:hAnsi="Century Gothic" w:cs="Arial"/>
          <w:spacing w:val="-19"/>
          <w:sz w:val="14"/>
          <w:szCs w:val="14"/>
        </w:rPr>
        <w:t xml:space="preserve"> </w:t>
      </w:r>
      <w:r w:rsidRPr="00B61529">
        <w:rPr>
          <w:rFonts w:ascii="Century Gothic" w:hAnsi="Century Gothic" w:cs="Arial"/>
          <w:sz w:val="14"/>
          <w:szCs w:val="14"/>
        </w:rPr>
        <w:t>1993</w:t>
      </w:r>
      <w:r w:rsidR="00D31674" w:rsidRPr="00B61529">
        <w:rPr>
          <w:rFonts w:ascii="Century Gothic" w:hAnsi="Century Gothic" w:cs="Arial"/>
          <w:sz w:val="14"/>
          <w:szCs w:val="14"/>
        </w:rPr>
        <w:t>”</w:t>
      </w:r>
      <w:r w:rsidRPr="00B61529">
        <w:rPr>
          <w:rFonts w:ascii="Century Gothic" w:hAnsi="Century Gothic" w:cs="Arial"/>
          <w:sz w:val="14"/>
          <w:szCs w:val="14"/>
        </w:rPr>
        <w:t>. (</w:t>
      </w:r>
      <w:r w:rsidRPr="00B61529">
        <w:rPr>
          <w:rFonts w:ascii="Century Gothic" w:hAnsi="Century Gothic" w:cs="Arial"/>
          <w:sz w:val="14"/>
          <w:szCs w:val="14"/>
          <w:lang w:val="es-ES_tradnl"/>
        </w:rPr>
        <w:t>Corte Constitucional, Sentencia C-086 de 1995 M.P. Vladimiro Naranjo Mesa).</w:t>
      </w:r>
    </w:p>
  </w:footnote>
  <w:footnote w:id="20">
    <w:p w14:paraId="519A6F73" w14:textId="6D061030" w:rsidR="0018369F" w:rsidRPr="00B61529" w:rsidRDefault="0018369F" w:rsidP="00B61529">
      <w:pPr>
        <w:pStyle w:val="Textonotapie"/>
        <w:ind w:firstLine="851"/>
        <w:jc w:val="both"/>
        <w:rPr>
          <w:rFonts w:ascii="Century Gothic" w:hAnsi="Century Gothic" w:cs="Arial"/>
          <w:sz w:val="14"/>
          <w:szCs w:val="14"/>
          <w:lang w:val="es-CO"/>
        </w:rPr>
      </w:pPr>
      <w:r w:rsidRPr="00B61529">
        <w:rPr>
          <w:rStyle w:val="Refdenotaalpie"/>
          <w:rFonts w:ascii="Century Gothic" w:hAnsi="Century Gothic" w:cs="Arial"/>
          <w:sz w:val="14"/>
          <w:szCs w:val="14"/>
        </w:rPr>
        <w:footnoteRef/>
      </w:r>
      <w:r w:rsidRPr="00B61529">
        <w:rPr>
          <w:rFonts w:ascii="Century Gothic" w:hAnsi="Century Gothic" w:cs="Arial"/>
          <w:sz w:val="14"/>
          <w:szCs w:val="14"/>
        </w:rPr>
        <w:t xml:space="preserve"> Consejo de Estado. </w:t>
      </w:r>
      <w:r w:rsidRPr="00B61529">
        <w:rPr>
          <w:rFonts w:ascii="Century Gothic" w:eastAsia="MS Mincho" w:hAnsi="Century Gothic" w:cs="Arial"/>
          <w:sz w:val="14"/>
          <w:szCs w:val="14"/>
          <w:lang w:val="es-ES_tradnl" w:eastAsia="es-CO"/>
        </w:rPr>
        <w:t>Sala de Consulta y Servicio Civil. Concepto del 4 de marzo de 1998. Radicado Nro. 1.074. CP.: Cesar Hoyos Salazar.</w:t>
      </w:r>
    </w:p>
  </w:footnote>
  <w:footnote w:id="21">
    <w:p w14:paraId="74890901" w14:textId="77777777" w:rsidR="00A37FEC" w:rsidRPr="00B61529" w:rsidRDefault="00A37FEC" w:rsidP="00B61529">
      <w:pPr>
        <w:pStyle w:val="Textonotapie"/>
        <w:ind w:firstLine="709"/>
        <w:jc w:val="both"/>
        <w:rPr>
          <w:rFonts w:ascii="Century Gothic" w:hAnsi="Century Gothic" w:cs="Arial"/>
          <w:sz w:val="14"/>
          <w:szCs w:val="14"/>
          <w:lang w:val="es-CO"/>
        </w:rPr>
      </w:pPr>
      <w:r w:rsidRPr="00B61529">
        <w:rPr>
          <w:rStyle w:val="Refdenotaalpie"/>
          <w:rFonts w:ascii="Century Gothic" w:hAnsi="Century Gothic" w:cs="Arial"/>
          <w:sz w:val="14"/>
          <w:szCs w:val="14"/>
        </w:rPr>
        <w:footnoteRef/>
      </w:r>
      <w:r w:rsidRPr="00B61529">
        <w:rPr>
          <w:rFonts w:ascii="Century Gothic" w:hAnsi="Century Gothic" w:cs="Arial"/>
          <w:sz w:val="14"/>
          <w:szCs w:val="14"/>
        </w:rPr>
        <w:t xml:space="preserve"> </w:t>
      </w:r>
      <w:r w:rsidRPr="00B61529">
        <w:rPr>
          <w:rFonts w:ascii="Century Gothic" w:eastAsia="MS Mincho" w:hAnsi="Century Gothic" w:cs="Arial"/>
          <w:sz w:val="14"/>
          <w:szCs w:val="14"/>
          <w:lang w:val="es-ES_tradnl" w:eastAsia="es-CO"/>
        </w:rPr>
        <w:t xml:space="preserve">Ibidem </w:t>
      </w:r>
    </w:p>
  </w:footnote>
  <w:footnote w:id="22">
    <w:p w14:paraId="68FB5FD6" w14:textId="5BEE29B1" w:rsidR="005A0DC1" w:rsidRPr="00B61529" w:rsidRDefault="005A0DC1" w:rsidP="00B61529">
      <w:pPr>
        <w:pStyle w:val="Textonotapie"/>
        <w:ind w:firstLine="708"/>
        <w:jc w:val="both"/>
        <w:rPr>
          <w:rFonts w:ascii="Century Gothic" w:hAnsi="Century Gothic"/>
          <w:sz w:val="14"/>
          <w:szCs w:val="14"/>
          <w:lang w:val="es-CO"/>
        </w:rPr>
      </w:pPr>
      <w:r w:rsidRPr="00B61529">
        <w:rPr>
          <w:rStyle w:val="Refdenotaalpie"/>
          <w:rFonts w:ascii="Century Gothic" w:hAnsi="Century Gothic"/>
          <w:sz w:val="14"/>
          <w:szCs w:val="14"/>
        </w:rPr>
        <w:footnoteRef/>
      </w:r>
      <w:r w:rsidRPr="00B61529">
        <w:rPr>
          <w:rFonts w:ascii="Century Gothic" w:hAnsi="Century Gothic"/>
          <w:sz w:val="14"/>
          <w:szCs w:val="14"/>
        </w:rPr>
        <w:t xml:space="preserve"> </w:t>
      </w:r>
      <w:r w:rsidRPr="00B61529">
        <w:rPr>
          <w:rFonts w:ascii="Century Gothic" w:hAnsi="Century Gothic" w:cs="Arial"/>
          <w:sz w:val="14"/>
          <w:szCs w:val="14"/>
        </w:rPr>
        <w:t xml:space="preserve">Consejo de Estado. </w:t>
      </w:r>
      <w:r w:rsidRPr="00B61529">
        <w:rPr>
          <w:rFonts w:ascii="Century Gothic" w:eastAsia="MS Mincho" w:hAnsi="Century Gothic" w:cs="Arial"/>
          <w:sz w:val="14"/>
          <w:szCs w:val="14"/>
          <w:lang w:val="es-ES_tradnl" w:eastAsia="es-CO"/>
        </w:rPr>
        <w:t xml:space="preserve">Sala de Consulta y Servicio Civil. Concepto del </w:t>
      </w:r>
      <w:r w:rsidR="00F75F11" w:rsidRPr="00B61529">
        <w:rPr>
          <w:rFonts w:ascii="Century Gothic" w:eastAsia="MS Mincho" w:hAnsi="Century Gothic" w:cs="Arial"/>
          <w:sz w:val="14"/>
          <w:szCs w:val="14"/>
          <w:lang w:val="es-ES_tradnl" w:eastAsia="es-CO"/>
        </w:rPr>
        <w:t xml:space="preserve">30 </w:t>
      </w:r>
      <w:r w:rsidRPr="00B61529">
        <w:rPr>
          <w:rFonts w:ascii="Century Gothic" w:eastAsia="MS Mincho" w:hAnsi="Century Gothic" w:cs="Arial"/>
          <w:sz w:val="14"/>
          <w:szCs w:val="14"/>
          <w:lang w:val="es-ES_tradnl" w:eastAsia="es-CO"/>
        </w:rPr>
        <w:t>de</w:t>
      </w:r>
      <w:r w:rsidR="00F75F11" w:rsidRPr="00B61529">
        <w:rPr>
          <w:rFonts w:ascii="Century Gothic" w:eastAsia="MS Mincho" w:hAnsi="Century Gothic" w:cs="Arial"/>
          <w:sz w:val="14"/>
          <w:szCs w:val="14"/>
          <w:lang w:val="es-ES_tradnl" w:eastAsia="es-CO"/>
        </w:rPr>
        <w:t xml:space="preserve"> junio</w:t>
      </w:r>
      <w:r w:rsidRPr="00B61529">
        <w:rPr>
          <w:rFonts w:ascii="Century Gothic" w:eastAsia="MS Mincho" w:hAnsi="Century Gothic" w:cs="Arial"/>
          <w:sz w:val="14"/>
          <w:szCs w:val="14"/>
          <w:lang w:val="es-ES_tradnl" w:eastAsia="es-CO"/>
        </w:rPr>
        <w:t xml:space="preserve"> de </w:t>
      </w:r>
      <w:r w:rsidR="00F75F11" w:rsidRPr="00B61529">
        <w:rPr>
          <w:rFonts w:ascii="Century Gothic" w:eastAsia="MS Mincho" w:hAnsi="Century Gothic" w:cs="Arial"/>
          <w:sz w:val="14"/>
          <w:szCs w:val="14"/>
          <w:lang w:val="es-ES_tradnl" w:eastAsia="es-CO"/>
        </w:rPr>
        <w:t>2022</w:t>
      </w:r>
      <w:r w:rsidRPr="00B61529">
        <w:rPr>
          <w:rFonts w:ascii="Century Gothic" w:eastAsia="MS Mincho" w:hAnsi="Century Gothic" w:cs="Arial"/>
          <w:sz w:val="14"/>
          <w:szCs w:val="14"/>
          <w:lang w:val="es-ES_tradnl" w:eastAsia="es-CO"/>
        </w:rPr>
        <w:t xml:space="preserve">. Radicado Nro. </w:t>
      </w:r>
      <w:r w:rsidR="00F75F11" w:rsidRPr="00B61529">
        <w:rPr>
          <w:rFonts w:ascii="Century Gothic" w:eastAsia="MS Mincho" w:hAnsi="Century Gothic" w:cs="Arial"/>
          <w:sz w:val="14"/>
          <w:szCs w:val="14"/>
          <w:lang w:val="es-ES_tradnl" w:eastAsia="es-CO"/>
        </w:rPr>
        <w:t>00005</w:t>
      </w:r>
      <w:r w:rsidRPr="00B61529">
        <w:rPr>
          <w:rFonts w:ascii="Century Gothic" w:eastAsia="MS Mincho" w:hAnsi="Century Gothic" w:cs="Arial"/>
          <w:sz w:val="14"/>
          <w:szCs w:val="14"/>
          <w:lang w:val="es-ES_tradnl" w:eastAsia="es-CO"/>
        </w:rPr>
        <w:t xml:space="preserve">. CP.: </w:t>
      </w:r>
      <w:r w:rsidR="00651B14" w:rsidRPr="00B61529">
        <w:rPr>
          <w:rFonts w:ascii="Century Gothic" w:eastAsia="MS Mincho" w:hAnsi="Century Gothic" w:cs="Arial"/>
          <w:sz w:val="14"/>
          <w:szCs w:val="14"/>
          <w:lang w:val="es-ES_tradnl" w:eastAsia="es-CO"/>
        </w:rPr>
        <w:t>Édgar González López.</w:t>
      </w:r>
    </w:p>
  </w:footnote>
  <w:footnote w:id="23">
    <w:p w14:paraId="56CB3FE2" w14:textId="77777777" w:rsidR="0018369F" w:rsidRPr="00B61529" w:rsidRDefault="0018369F" w:rsidP="00B61529">
      <w:pPr>
        <w:pStyle w:val="Textonotapie"/>
        <w:ind w:firstLine="709"/>
        <w:jc w:val="both"/>
        <w:rPr>
          <w:rFonts w:ascii="Century Gothic" w:hAnsi="Century Gothic" w:cs="Arial"/>
          <w:sz w:val="14"/>
          <w:szCs w:val="14"/>
          <w:lang w:val="es-CO"/>
        </w:rPr>
      </w:pPr>
      <w:r w:rsidRPr="00B61529">
        <w:rPr>
          <w:rStyle w:val="Refdenotaalpie"/>
          <w:rFonts w:ascii="Century Gothic" w:hAnsi="Century Gothic" w:cs="Arial"/>
          <w:sz w:val="14"/>
          <w:szCs w:val="14"/>
        </w:rPr>
        <w:footnoteRef/>
      </w:r>
      <w:r w:rsidRPr="00B61529">
        <w:rPr>
          <w:rFonts w:ascii="Century Gothic" w:hAnsi="Century Gothic" w:cs="Arial"/>
          <w:sz w:val="14"/>
          <w:szCs w:val="14"/>
        </w:rPr>
        <w:t xml:space="preserve"> Consejo de Estado. </w:t>
      </w:r>
      <w:r w:rsidRPr="00B61529">
        <w:rPr>
          <w:rFonts w:ascii="Century Gothic" w:eastAsia="MS Mincho" w:hAnsi="Century Gothic" w:cs="Arial"/>
          <w:sz w:val="14"/>
          <w:szCs w:val="14"/>
          <w:lang w:val="es-ES_tradnl" w:eastAsia="es-CO"/>
        </w:rPr>
        <w:t>Sala de Consulta y Servicio Civil. Concepto del 4 de marzo de 1998. Radicado Nro. 1.074. CP. Cesar Hoyos Salazar.</w:t>
      </w:r>
    </w:p>
  </w:footnote>
  <w:footnote w:id="24">
    <w:p w14:paraId="4713A248" w14:textId="290BBA24" w:rsidR="00A45EFA" w:rsidRPr="00B61529" w:rsidRDefault="00A45EFA" w:rsidP="00B61529">
      <w:pPr>
        <w:pStyle w:val="Textonotapie"/>
        <w:ind w:firstLine="708"/>
        <w:jc w:val="both"/>
        <w:rPr>
          <w:rFonts w:ascii="Century Gothic" w:hAnsi="Century Gothic"/>
          <w:sz w:val="14"/>
          <w:szCs w:val="14"/>
        </w:rPr>
      </w:pPr>
      <w:r w:rsidRPr="00B61529">
        <w:rPr>
          <w:rStyle w:val="Refdenotaalpie"/>
          <w:rFonts w:ascii="Century Gothic" w:hAnsi="Century Gothic"/>
          <w:sz w:val="14"/>
          <w:szCs w:val="14"/>
        </w:rPr>
        <w:footnoteRef/>
      </w:r>
      <w:r w:rsidRPr="00B61529">
        <w:rPr>
          <w:rFonts w:ascii="Century Gothic" w:hAnsi="Century Gothic"/>
          <w:sz w:val="14"/>
          <w:szCs w:val="14"/>
        </w:rPr>
        <w:t xml:space="preserve"> Congreso de la República</w:t>
      </w:r>
      <w:r w:rsidR="002823F2" w:rsidRPr="00B61529">
        <w:rPr>
          <w:rFonts w:ascii="Century Gothic" w:hAnsi="Century Gothic"/>
          <w:sz w:val="14"/>
          <w:szCs w:val="14"/>
        </w:rPr>
        <w:t xml:space="preserve">, Senado, Proyecto de Ley Número 142 de 2010. Ver en gaceta </w:t>
      </w:r>
      <w:r w:rsidR="005D6D41" w:rsidRPr="00B61529">
        <w:rPr>
          <w:rFonts w:ascii="Century Gothic" w:hAnsi="Century Gothic"/>
          <w:sz w:val="14"/>
          <w:szCs w:val="14"/>
        </w:rPr>
        <w:t xml:space="preserve">607 del 7 de septiembre de 2010. </w:t>
      </w:r>
      <w:r w:rsidR="006C78B5">
        <w:rPr>
          <w:rFonts w:ascii="Century Gothic" w:hAnsi="Century Gothic"/>
          <w:sz w:val="14"/>
          <w:szCs w:val="14"/>
        </w:rPr>
        <w:t xml:space="preserve">Ver en línea: </w:t>
      </w:r>
      <w:r w:rsidR="006C78B5" w:rsidRPr="00B61529">
        <w:rPr>
          <w:rFonts w:ascii="Century Gothic" w:hAnsi="Century Gothic"/>
          <w:sz w:val="14"/>
          <w:szCs w:val="14"/>
        </w:rPr>
        <w:t xml:space="preserve"> </w:t>
      </w:r>
      <w:hyperlink r:id="rId6" w:history="1">
        <w:r w:rsidR="006B714B" w:rsidRPr="00B61529">
          <w:rPr>
            <w:rStyle w:val="Hipervnculo"/>
            <w:rFonts w:ascii="Century Gothic" w:hAnsi="Century Gothic"/>
            <w:sz w:val="14"/>
            <w:szCs w:val="14"/>
          </w:rPr>
          <w:t>http://svrpubindc.imprenta.gov.co/senado/</w:t>
        </w:r>
      </w:hyperlink>
      <w:r w:rsidR="006B714B" w:rsidRPr="00B61529">
        <w:rPr>
          <w:rFonts w:ascii="Century Gothic" w:hAnsi="Century Gothic"/>
          <w:sz w:val="14"/>
          <w:szCs w:val="14"/>
        </w:rPr>
        <w:t xml:space="preserve"> </w:t>
      </w:r>
    </w:p>
  </w:footnote>
  <w:footnote w:id="25">
    <w:p w14:paraId="50E32A59" w14:textId="69958B3E" w:rsidR="00B97B96" w:rsidRPr="00B61529" w:rsidRDefault="00B97B96" w:rsidP="00B61529">
      <w:pPr>
        <w:pStyle w:val="Textonotapie"/>
        <w:ind w:firstLine="708"/>
        <w:jc w:val="both"/>
        <w:rPr>
          <w:rFonts w:ascii="Century Gothic" w:hAnsi="Century Gothic"/>
          <w:sz w:val="14"/>
          <w:szCs w:val="14"/>
        </w:rPr>
      </w:pPr>
      <w:r w:rsidRPr="00B61529">
        <w:rPr>
          <w:rStyle w:val="Refdenotaalpie"/>
          <w:rFonts w:ascii="Century Gothic" w:hAnsi="Century Gothic"/>
          <w:sz w:val="14"/>
          <w:szCs w:val="14"/>
        </w:rPr>
        <w:footnoteRef/>
      </w:r>
      <w:r w:rsidRPr="00B61529">
        <w:rPr>
          <w:rFonts w:ascii="Century Gothic" w:hAnsi="Century Gothic"/>
          <w:sz w:val="14"/>
          <w:szCs w:val="14"/>
        </w:rPr>
        <w:t xml:space="preserve"> Congreso de la República, Senado, Proyecto de Ley Número 142 de 2010. Ver en gaceta </w:t>
      </w:r>
      <w:r w:rsidR="008D39F5" w:rsidRPr="00B61529">
        <w:rPr>
          <w:rFonts w:ascii="Century Gothic" w:hAnsi="Century Gothic"/>
          <w:sz w:val="14"/>
          <w:szCs w:val="14"/>
        </w:rPr>
        <w:t>784</w:t>
      </w:r>
      <w:r w:rsidRPr="00B61529">
        <w:rPr>
          <w:rFonts w:ascii="Century Gothic" w:hAnsi="Century Gothic"/>
          <w:sz w:val="14"/>
          <w:szCs w:val="14"/>
        </w:rPr>
        <w:t xml:space="preserve"> del </w:t>
      </w:r>
      <w:r w:rsidR="008D39F5" w:rsidRPr="00B61529">
        <w:rPr>
          <w:rFonts w:ascii="Century Gothic" w:hAnsi="Century Gothic"/>
          <w:sz w:val="14"/>
          <w:szCs w:val="14"/>
        </w:rPr>
        <w:t>1</w:t>
      </w:r>
      <w:r w:rsidR="008E7E0B" w:rsidRPr="00B61529">
        <w:rPr>
          <w:rFonts w:ascii="Century Gothic" w:hAnsi="Century Gothic"/>
          <w:sz w:val="14"/>
          <w:szCs w:val="14"/>
        </w:rPr>
        <w:t>9</w:t>
      </w:r>
      <w:r w:rsidRPr="00B61529">
        <w:rPr>
          <w:rFonts w:ascii="Century Gothic" w:hAnsi="Century Gothic"/>
          <w:sz w:val="14"/>
          <w:szCs w:val="14"/>
        </w:rPr>
        <w:t xml:space="preserve"> de </w:t>
      </w:r>
      <w:r w:rsidR="008D39F5" w:rsidRPr="00B61529">
        <w:rPr>
          <w:rFonts w:ascii="Century Gothic" w:hAnsi="Century Gothic"/>
          <w:sz w:val="14"/>
          <w:szCs w:val="14"/>
        </w:rPr>
        <w:t>octu</w:t>
      </w:r>
      <w:r w:rsidRPr="00B61529">
        <w:rPr>
          <w:rFonts w:ascii="Century Gothic" w:hAnsi="Century Gothic"/>
          <w:sz w:val="14"/>
          <w:szCs w:val="14"/>
        </w:rPr>
        <w:t>bre de 2010.</w:t>
      </w:r>
      <w:r w:rsidR="006C78B5">
        <w:rPr>
          <w:rFonts w:ascii="Century Gothic" w:hAnsi="Century Gothic"/>
          <w:sz w:val="14"/>
          <w:szCs w:val="14"/>
        </w:rPr>
        <w:t xml:space="preserve"> Ver en línea: </w:t>
      </w:r>
      <w:r w:rsidRPr="00B61529">
        <w:rPr>
          <w:rFonts w:ascii="Century Gothic" w:hAnsi="Century Gothic"/>
          <w:sz w:val="14"/>
          <w:szCs w:val="14"/>
        </w:rPr>
        <w:t xml:space="preserve"> </w:t>
      </w:r>
      <w:hyperlink r:id="rId7" w:history="1">
        <w:r w:rsidRPr="00B61529">
          <w:rPr>
            <w:rStyle w:val="Hipervnculo"/>
            <w:rFonts w:ascii="Century Gothic" w:hAnsi="Century Gothic"/>
            <w:sz w:val="14"/>
            <w:szCs w:val="14"/>
          </w:rPr>
          <w:t>http://svrpubindc.imprenta.gov.co/senado/</w:t>
        </w:r>
      </w:hyperlink>
    </w:p>
  </w:footnote>
  <w:footnote w:id="26">
    <w:p w14:paraId="43FFE646" w14:textId="76C656BC" w:rsidR="00B97B96" w:rsidRPr="00B61529" w:rsidRDefault="00B97B96" w:rsidP="00B61529">
      <w:pPr>
        <w:pStyle w:val="Textonotapie"/>
        <w:ind w:firstLine="708"/>
        <w:jc w:val="both"/>
        <w:rPr>
          <w:rFonts w:ascii="Century Gothic" w:hAnsi="Century Gothic"/>
          <w:sz w:val="14"/>
          <w:szCs w:val="14"/>
        </w:rPr>
      </w:pPr>
      <w:r w:rsidRPr="00B61529">
        <w:rPr>
          <w:rStyle w:val="Refdenotaalpie"/>
          <w:rFonts w:ascii="Century Gothic" w:hAnsi="Century Gothic"/>
          <w:sz w:val="14"/>
          <w:szCs w:val="14"/>
        </w:rPr>
        <w:footnoteRef/>
      </w:r>
      <w:r w:rsidRPr="00B61529">
        <w:rPr>
          <w:rFonts w:ascii="Century Gothic" w:hAnsi="Century Gothic"/>
          <w:sz w:val="14"/>
          <w:szCs w:val="14"/>
        </w:rPr>
        <w:t xml:space="preserve"> Congreso de la República, Senado, Proyecto de Ley Número 142 de 2010. Ver en gaceta </w:t>
      </w:r>
      <w:r w:rsidR="00C94FA6" w:rsidRPr="00B61529">
        <w:rPr>
          <w:rFonts w:ascii="Century Gothic" w:hAnsi="Century Gothic"/>
          <w:sz w:val="14"/>
          <w:szCs w:val="14"/>
        </w:rPr>
        <w:t>1002</w:t>
      </w:r>
      <w:r w:rsidRPr="00B61529">
        <w:rPr>
          <w:rFonts w:ascii="Century Gothic" w:hAnsi="Century Gothic"/>
          <w:sz w:val="14"/>
          <w:szCs w:val="14"/>
        </w:rPr>
        <w:t xml:space="preserve"> del </w:t>
      </w:r>
      <w:r w:rsidR="00C94FA6" w:rsidRPr="00B61529">
        <w:rPr>
          <w:rFonts w:ascii="Century Gothic" w:hAnsi="Century Gothic"/>
          <w:sz w:val="14"/>
          <w:szCs w:val="14"/>
        </w:rPr>
        <w:t>1</w:t>
      </w:r>
      <w:r w:rsidRPr="00B61529">
        <w:rPr>
          <w:rFonts w:ascii="Century Gothic" w:hAnsi="Century Gothic"/>
          <w:sz w:val="14"/>
          <w:szCs w:val="14"/>
        </w:rPr>
        <w:t xml:space="preserve"> de </w:t>
      </w:r>
      <w:r w:rsidR="00C94FA6" w:rsidRPr="00B61529">
        <w:rPr>
          <w:rFonts w:ascii="Century Gothic" w:hAnsi="Century Gothic"/>
          <w:sz w:val="14"/>
          <w:szCs w:val="14"/>
        </w:rPr>
        <w:t>dici</w:t>
      </w:r>
      <w:r w:rsidRPr="00B61529">
        <w:rPr>
          <w:rFonts w:ascii="Century Gothic" w:hAnsi="Century Gothic"/>
          <w:sz w:val="14"/>
          <w:szCs w:val="14"/>
        </w:rPr>
        <w:t xml:space="preserve">embre de 2010. </w:t>
      </w:r>
      <w:r w:rsidR="006C78B5">
        <w:rPr>
          <w:rFonts w:ascii="Century Gothic" w:hAnsi="Century Gothic"/>
          <w:sz w:val="14"/>
          <w:szCs w:val="14"/>
        </w:rPr>
        <w:t xml:space="preserve">Ver en línea: </w:t>
      </w:r>
      <w:r w:rsidR="006C78B5" w:rsidRPr="00B61529">
        <w:rPr>
          <w:rFonts w:ascii="Century Gothic" w:hAnsi="Century Gothic"/>
          <w:sz w:val="14"/>
          <w:szCs w:val="14"/>
        </w:rPr>
        <w:t xml:space="preserve"> </w:t>
      </w:r>
      <w:hyperlink r:id="rId8" w:history="1">
        <w:r w:rsidRPr="00B61529">
          <w:rPr>
            <w:rStyle w:val="Hipervnculo"/>
            <w:rFonts w:ascii="Century Gothic" w:hAnsi="Century Gothic"/>
            <w:sz w:val="14"/>
            <w:szCs w:val="14"/>
          </w:rPr>
          <w:t>http://svrpubindc.imprenta.gov.co/senado/</w:t>
        </w:r>
      </w:hyperlink>
    </w:p>
  </w:footnote>
  <w:footnote w:id="27">
    <w:p w14:paraId="6AA17E06" w14:textId="7404CA00" w:rsidR="00B61529" w:rsidRPr="00B61529" w:rsidRDefault="00121FBF" w:rsidP="00B61529">
      <w:pPr>
        <w:pStyle w:val="Textonotapie"/>
        <w:ind w:firstLine="708"/>
        <w:jc w:val="both"/>
        <w:rPr>
          <w:rFonts w:ascii="Century Gothic" w:hAnsi="Century Gothic"/>
          <w:sz w:val="14"/>
          <w:szCs w:val="14"/>
        </w:rPr>
      </w:pPr>
      <w:r w:rsidRPr="00B61529">
        <w:rPr>
          <w:rStyle w:val="Refdenotaalpie"/>
          <w:rFonts w:ascii="Century Gothic" w:hAnsi="Century Gothic"/>
          <w:sz w:val="14"/>
          <w:szCs w:val="14"/>
        </w:rPr>
        <w:footnoteRef/>
      </w:r>
      <w:r w:rsidRPr="00B61529">
        <w:rPr>
          <w:rFonts w:ascii="Century Gothic" w:hAnsi="Century Gothic"/>
          <w:sz w:val="14"/>
          <w:szCs w:val="14"/>
        </w:rPr>
        <w:t xml:space="preserve"> </w:t>
      </w:r>
      <w:r w:rsidR="00476B38" w:rsidRPr="00B61529">
        <w:rPr>
          <w:rFonts w:ascii="Century Gothic" w:hAnsi="Century Gothic"/>
          <w:sz w:val="14"/>
          <w:szCs w:val="14"/>
        </w:rPr>
        <w:t xml:space="preserve">Congreso de la República, Senado, Proyecto de Ley Número 142 de 2010. Ver en gaceta </w:t>
      </w:r>
      <w:r w:rsidR="009338D3">
        <w:rPr>
          <w:rFonts w:ascii="Century Gothic" w:hAnsi="Century Gothic"/>
          <w:sz w:val="14"/>
          <w:szCs w:val="14"/>
        </w:rPr>
        <w:t xml:space="preserve">1117 </w:t>
      </w:r>
      <w:r w:rsidR="009338D3" w:rsidRPr="00B61529">
        <w:rPr>
          <w:rFonts w:ascii="Century Gothic" w:hAnsi="Century Gothic"/>
          <w:sz w:val="14"/>
          <w:szCs w:val="14"/>
        </w:rPr>
        <w:t>del</w:t>
      </w:r>
      <w:r w:rsidR="00476B38" w:rsidRPr="00B61529">
        <w:rPr>
          <w:rFonts w:ascii="Century Gothic" w:hAnsi="Century Gothic"/>
          <w:sz w:val="14"/>
          <w:szCs w:val="14"/>
        </w:rPr>
        <w:t xml:space="preserve"> </w:t>
      </w:r>
      <w:r w:rsidR="009338D3">
        <w:rPr>
          <w:rFonts w:ascii="Century Gothic" w:hAnsi="Century Gothic"/>
          <w:sz w:val="14"/>
          <w:szCs w:val="14"/>
        </w:rPr>
        <w:t>22</w:t>
      </w:r>
      <w:r w:rsidR="00476B38" w:rsidRPr="00B61529">
        <w:rPr>
          <w:rFonts w:ascii="Century Gothic" w:hAnsi="Century Gothic"/>
          <w:sz w:val="14"/>
          <w:szCs w:val="14"/>
        </w:rPr>
        <w:t xml:space="preserve"> de diciembre de 2010. </w:t>
      </w:r>
      <w:r w:rsidR="006C78B5">
        <w:rPr>
          <w:rFonts w:ascii="Century Gothic" w:hAnsi="Century Gothic"/>
          <w:sz w:val="14"/>
          <w:szCs w:val="14"/>
        </w:rPr>
        <w:t xml:space="preserve">Ver en línea: </w:t>
      </w:r>
      <w:r w:rsidR="006C78B5" w:rsidRPr="00B61529">
        <w:rPr>
          <w:rFonts w:ascii="Century Gothic" w:hAnsi="Century Gothic"/>
          <w:sz w:val="14"/>
          <w:szCs w:val="14"/>
        </w:rPr>
        <w:t xml:space="preserve"> </w:t>
      </w:r>
      <w:hyperlink r:id="rId9" w:history="1">
        <w:r w:rsidR="00476B38" w:rsidRPr="00B61529">
          <w:rPr>
            <w:rStyle w:val="Hipervnculo"/>
            <w:rFonts w:ascii="Century Gothic" w:hAnsi="Century Gothic"/>
            <w:sz w:val="14"/>
            <w:szCs w:val="14"/>
          </w:rPr>
          <w:t>http://svrpubindc.imprenta.gov.co/senado/</w:t>
        </w:r>
      </w:hyperlink>
      <w:r w:rsidR="009338D3">
        <w:rPr>
          <w:rFonts w:ascii="Century Gothic" w:hAnsi="Century Gothic"/>
          <w:sz w:val="14"/>
          <w:szCs w:val="14"/>
        </w:rPr>
        <w:t xml:space="preserve"> Al respecto, el artículo aprobado fue el siguiente: “</w:t>
      </w:r>
      <w:r w:rsidR="00B61529" w:rsidRPr="00B61529">
        <w:rPr>
          <w:rFonts w:ascii="Century Gothic" w:hAnsi="Century Gothic"/>
          <w:sz w:val="14"/>
          <w:szCs w:val="14"/>
        </w:rPr>
        <w:t>Artículo 109. Anticipos. En los contratos de obra y concesión el contratista deberá constituir una fiducia irrevocable para el manejo de los recursos que reciba a título de anticipo, con el fin de garantizar que dichos recursos se apliquen exclusivamente a la ejecución del contrato correspondiente, salvo que el contrato sea de menor o mínima cuantía.</w:t>
      </w:r>
    </w:p>
    <w:p w14:paraId="0FD7F808" w14:textId="77777777" w:rsidR="00B61529" w:rsidRPr="00B61529" w:rsidRDefault="00B61529" w:rsidP="00B61529">
      <w:pPr>
        <w:pStyle w:val="Textonotapie"/>
        <w:ind w:firstLine="708"/>
        <w:jc w:val="both"/>
        <w:rPr>
          <w:rFonts w:ascii="Century Gothic" w:hAnsi="Century Gothic"/>
          <w:sz w:val="14"/>
          <w:szCs w:val="14"/>
        </w:rPr>
      </w:pPr>
    </w:p>
    <w:p w14:paraId="0E6F8102" w14:textId="44DF0198" w:rsidR="00B61529" w:rsidRPr="00B61529" w:rsidRDefault="00B61529" w:rsidP="00B61529">
      <w:pPr>
        <w:pStyle w:val="Textonotapie"/>
        <w:ind w:firstLine="708"/>
        <w:jc w:val="both"/>
        <w:rPr>
          <w:rFonts w:ascii="Century Gothic" w:hAnsi="Century Gothic"/>
          <w:sz w:val="14"/>
          <w:szCs w:val="14"/>
        </w:rPr>
      </w:pPr>
      <w:r w:rsidRPr="00B61529">
        <w:rPr>
          <w:rFonts w:ascii="Century Gothic" w:hAnsi="Century Gothic"/>
          <w:sz w:val="14"/>
          <w:szCs w:val="14"/>
        </w:rPr>
        <w:t>El costo de la comisión fiduciaria será cubierto por los rendimientos financieros que genere la inversión temporal del anticipo.</w:t>
      </w:r>
    </w:p>
    <w:p w14:paraId="393F3A27" w14:textId="77777777" w:rsidR="00B61529" w:rsidRPr="00B61529" w:rsidRDefault="00B61529" w:rsidP="00B61529">
      <w:pPr>
        <w:pStyle w:val="Textonotapie"/>
        <w:ind w:firstLine="708"/>
        <w:jc w:val="both"/>
        <w:rPr>
          <w:rFonts w:ascii="Century Gothic" w:hAnsi="Century Gothic"/>
          <w:sz w:val="14"/>
          <w:szCs w:val="14"/>
        </w:rPr>
      </w:pPr>
    </w:p>
    <w:p w14:paraId="3DE1CF01" w14:textId="0CAA0BC1" w:rsidR="00121FBF" w:rsidRPr="00B61529" w:rsidRDefault="00B61529" w:rsidP="00B61529">
      <w:pPr>
        <w:pStyle w:val="Textonotapie"/>
        <w:ind w:firstLine="708"/>
        <w:jc w:val="both"/>
        <w:rPr>
          <w:rFonts w:ascii="Century Gothic" w:hAnsi="Century Gothic"/>
          <w:sz w:val="14"/>
          <w:szCs w:val="14"/>
        </w:rPr>
      </w:pPr>
      <w:r w:rsidRPr="00B61529">
        <w:rPr>
          <w:rFonts w:ascii="Century Gothic" w:hAnsi="Century Gothic"/>
          <w:sz w:val="14"/>
          <w:szCs w:val="14"/>
        </w:rPr>
        <w:t>Parágrafo 1°. La información financiera y contable de la fiducia podrá ser consultada por los Organismos de Vigilancia y Control Fiscal.</w:t>
      </w:r>
      <w:r w:rsidR="009338D3">
        <w:rPr>
          <w:rFonts w:ascii="Century Gothic" w:hAnsi="Century Gothic"/>
          <w:sz w:val="14"/>
          <w:szCs w:val="14"/>
        </w:rPr>
        <w:t>”</w:t>
      </w:r>
    </w:p>
  </w:footnote>
  <w:footnote w:id="28">
    <w:p w14:paraId="433165E8" w14:textId="5751B11F" w:rsidR="00E770AF" w:rsidRPr="004A7D3D" w:rsidRDefault="00E770AF" w:rsidP="00E770AF">
      <w:pPr>
        <w:pStyle w:val="Textonotapie"/>
        <w:ind w:firstLine="708"/>
      </w:pPr>
      <w:r>
        <w:rPr>
          <w:rStyle w:val="Refdenotaalpie"/>
        </w:rPr>
        <w:footnoteRef/>
      </w:r>
      <w:r>
        <w:t xml:space="preserve"> </w:t>
      </w:r>
      <w:r w:rsidRPr="00B61529">
        <w:rPr>
          <w:rFonts w:ascii="Century Gothic" w:hAnsi="Century Gothic"/>
          <w:sz w:val="14"/>
          <w:szCs w:val="14"/>
        </w:rPr>
        <w:t xml:space="preserve">Congreso de la República, </w:t>
      </w:r>
      <w:r>
        <w:rPr>
          <w:rFonts w:ascii="Century Gothic" w:hAnsi="Century Gothic"/>
          <w:sz w:val="14"/>
          <w:szCs w:val="14"/>
        </w:rPr>
        <w:t>Cámara de Representantes</w:t>
      </w:r>
      <w:r w:rsidRPr="00B61529">
        <w:rPr>
          <w:rFonts w:ascii="Century Gothic" w:hAnsi="Century Gothic"/>
          <w:sz w:val="14"/>
          <w:szCs w:val="14"/>
        </w:rPr>
        <w:t>, Proyecto de Ley Número 1</w:t>
      </w:r>
      <w:r>
        <w:rPr>
          <w:rFonts w:ascii="Century Gothic" w:hAnsi="Century Gothic"/>
          <w:sz w:val="14"/>
          <w:szCs w:val="14"/>
        </w:rPr>
        <w:t>74</w:t>
      </w:r>
      <w:r w:rsidRPr="00B61529">
        <w:rPr>
          <w:rFonts w:ascii="Century Gothic" w:hAnsi="Century Gothic"/>
          <w:sz w:val="14"/>
          <w:szCs w:val="14"/>
        </w:rPr>
        <w:t xml:space="preserve"> de 2010. Ver en gaceta </w:t>
      </w:r>
      <w:r>
        <w:rPr>
          <w:rFonts w:ascii="Century Gothic" w:hAnsi="Century Gothic"/>
          <w:sz w:val="14"/>
          <w:szCs w:val="14"/>
        </w:rPr>
        <w:t xml:space="preserve">19 </w:t>
      </w:r>
      <w:r w:rsidRPr="00B61529">
        <w:rPr>
          <w:rFonts w:ascii="Century Gothic" w:hAnsi="Century Gothic"/>
          <w:sz w:val="14"/>
          <w:szCs w:val="14"/>
        </w:rPr>
        <w:t xml:space="preserve">de </w:t>
      </w:r>
      <w:r>
        <w:rPr>
          <w:rFonts w:ascii="Century Gothic" w:hAnsi="Century Gothic"/>
          <w:sz w:val="14"/>
          <w:szCs w:val="14"/>
        </w:rPr>
        <w:t>8</w:t>
      </w:r>
      <w:r w:rsidRPr="00B61529">
        <w:rPr>
          <w:rFonts w:ascii="Century Gothic" w:hAnsi="Century Gothic"/>
          <w:sz w:val="14"/>
          <w:szCs w:val="14"/>
        </w:rPr>
        <w:t xml:space="preserve"> de </w:t>
      </w:r>
      <w:r>
        <w:rPr>
          <w:rFonts w:ascii="Century Gothic" w:hAnsi="Century Gothic"/>
          <w:sz w:val="14"/>
          <w:szCs w:val="14"/>
        </w:rPr>
        <w:t>febrero</w:t>
      </w:r>
      <w:r w:rsidRPr="00B61529">
        <w:rPr>
          <w:rFonts w:ascii="Century Gothic" w:hAnsi="Century Gothic"/>
          <w:sz w:val="14"/>
          <w:szCs w:val="14"/>
        </w:rPr>
        <w:t xml:space="preserve"> de 201</w:t>
      </w:r>
      <w:r>
        <w:rPr>
          <w:rFonts w:ascii="Century Gothic" w:hAnsi="Century Gothic"/>
          <w:sz w:val="14"/>
          <w:szCs w:val="14"/>
        </w:rPr>
        <w:t>1</w:t>
      </w:r>
      <w:r w:rsidRPr="00B61529">
        <w:rPr>
          <w:rFonts w:ascii="Century Gothic" w:hAnsi="Century Gothic"/>
          <w:sz w:val="14"/>
          <w:szCs w:val="14"/>
        </w:rPr>
        <w:t xml:space="preserve">. </w:t>
      </w:r>
      <w:r w:rsidR="006C78B5">
        <w:rPr>
          <w:rFonts w:ascii="Century Gothic" w:hAnsi="Century Gothic"/>
          <w:sz w:val="14"/>
          <w:szCs w:val="14"/>
        </w:rPr>
        <w:t xml:space="preserve">Ver en línea: </w:t>
      </w:r>
      <w:r w:rsidR="006C78B5" w:rsidRPr="00B61529">
        <w:rPr>
          <w:rFonts w:ascii="Century Gothic" w:hAnsi="Century Gothic"/>
          <w:sz w:val="14"/>
          <w:szCs w:val="14"/>
        </w:rPr>
        <w:t xml:space="preserve"> </w:t>
      </w:r>
      <w:hyperlink r:id="rId10" w:history="1">
        <w:r w:rsidRPr="00B61529">
          <w:rPr>
            <w:rStyle w:val="Hipervnculo"/>
            <w:rFonts w:ascii="Century Gothic" w:hAnsi="Century Gothic"/>
            <w:sz w:val="14"/>
            <w:szCs w:val="14"/>
          </w:rPr>
          <w:t>http://svrpubindc.imprenta.gov.co/senado/</w:t>
        </w:r>
      </w:hyperlink>
    </w:p>
  </w:footnote>
  <w:footnote w:id="29">
    <w:p w14:paraId="494C70FD" w14:textId="2BC57D01" w:rsidR="00E770AF" w:rsidRPr="00E770AF" w:rsidRDefault="00E770AF" w:rsidP="00E770AF">
      <w:pPr>
        <w:pStyle w:val="Textonotapie"/>
        <w:ind w:firstLine="708"/>
      </w:pPr>
      <w:r>
        <w:rPr>
          <w:rStyle w:val="Refdenotaalpie"/>
        </w:rPr>
        <w:footnoteRef/>
      </w:r>
      <w:r>
        <w:t xml:space="preserve"> </w:t>
      </w:r>
      <w:r w:rsidRPr="00B61529">
        <w:rPr>
          <w:rFonts w:ascii="Century Gothic" w:hAnsi="Century Gothic"/>
          <w:sz w:val="14"/>
          <w:szCs w:val="14"/>
        </w:rPr>
        <w:t xml:space="preserve">Congreso de la República, </w:t>
      </w:r>
      <w:r>
        <w:rPr>
          <w:rFonts w:ascii="Century Gothic" w:hAnsi="Century Gothic"/>
          <w:sz w:val="14"/>
          <w:szCs w:val="14"/>
        </w:rPr>
        <w:t>Cámara de Representantes</w:t>
      </w:r>
      <w:r w:rsidRPr="00B61529">
        <w:rPr>
          <w:rFonts w:ascii="Century Gothic" w:hAnsi="Century Gothic"/>
          <w:sz w:val="14"/>
          <w:szCs w:val="14"/>
        </w:rPr>
        <w:t>, Proyecto de Ley Número 1</w:t>
      </w:r>
      <w:r>
        <w:rPr>
          <w:rFonts w:ascii="Century Gothic" w:hAnsi="Century Gothic"/>
          <w:sz w:val="14"/>
          <w:szCs w:val="14"/>
        </w:rPr>
        <w:t>74</w:t>
      </w:r>
      <w:r w:rsidRPr="00B61529">
        <w:rPr>
          <w:rFonts w:ascii="Century Gothic" w:hAnsi="Century Gothic"/>
          <w:sz w:val="14"/>
          <w:szCs w:val="14"/>
        </w:rPr>
        <w:t xml:space="preserve"> de 2010. Ver en gaceta </w:t>
      </w:r>
      <w:r>
        <w:rPr>
          <w:rFonts w:ascii="Century Gothic" w:hAnsi="Century Gothic"/>
          <w:sz w:val="14"/>
          <w:szCs w:val="14"/>
        </w:rPr>
        <w:t xml:space="preserve">128 </w:t>
      </w:r>
      <w:r w:rsidRPr="00B61529">
        <w:rPr>
          <w:rFonts w:ascii="Century Gothic" w:hAnsi="Century Gothic"/>
          <w:sz w:val="14"/>
          <w:szCs w:val="14"/>
        </w:rPr>
        <w:t xml:space="preserve">de </w:t>
      </w:r>
      <w:r>
        <w:rPr>
          <w:rFonts w:ascii="Century Gothic" w:hAnsi="Century Gothic"/>
          <w:sz w:val="14"/>
          <w:szCs w:val="14"/>
        </w:rPr>
        <w:t xml:space="preserve">30 </w:t>
      </w:r>
      <w:r w:rsidRPr="00B61529">
        <w:rPr>
          <w:rFonts w:ascii="Century Gothic" w:hAnsi="Century Gothic"/>
          <w:sz w:val="14"/>
          <w:szCs w:val="14"/>
        </w:rPr>
        <w:t xml:space="preserve">de </w:t>
      </w:r>
      <w:r>
        <w:rPr>
          <w:rFonts w:ascii="Century Gothic" w:hAnsi="Century Gothic"/>
          <w:sz w:val="14"/>
          <w:szCs w:val="14"/>
        </w:rPr>
        <w:t>marzo</w:t>
      </w:r>
      <w:r w:rsidRPr="00B61529">
        <w:rPr>
          <w:rFonts w:ascii="Century Gothic" w:hAnsi="Century Gothic"/>
          <w:sz w:val="14"/>
          <w:szCs w:val="14"/>
        </w:rPr>
        <w:t xml:space="preserve"> de 201</w:t>
      </w:r>
      <w:r>
        <w:rPr>
          <w:rFonts w:ascii="Century Gothic" w:hAnsi="Century Gothic"/>
          <w:sz w:val="14"/>
          <w:szCs w:val="14"/>
        </w:rPr>
        <w:t>1</w:t>
      </w:r>
      <w:r w:rsidRPr="00B61529">
        <w:rPr>
          <w:rFonts w:ascii="Century Gothic" w:hAnsi="Century Gothic"/>
          <w:sz w:val="14"/>
          <w:szCs w:val="14"/>
        </w:rPr>
        <w:t>.</w:t>
      </w:r>
      <w:r w:rsidR="006C78B5">
        <w:rPr>
          <w:rFonts w:ascii="Century Gothic" w:hAnsi="Century Gothic"/>
          <w:sz w:val="14"/>
          <w:szCs w:val="14"/>
        </w:rPr>
        <w:t xml:space="preserve"> Ver en línea: </w:t>
      </w:r>
      <w:r w:rsidRPr="00B61529">
        <w:rPr>
          <w:rFonts w:ascii="Century Gothic" w:hAnsi="Century Gothic"/>
          <w:sz w:val="14"/>
          <w:szCs w:val="14"/>
        </w:rPr>
        <w:t xml:space="preserve"> </w:t>
      </w:r>
      <w:hyperlink r:id="rId11" w:history="1">
        <w:r w:rsidRPr="00B61529">
          <w:rPr>
            <w:rStyle w:val="Hipervnculo"/>
            <w:rFonts w:ascii="Century Gothic" w:hAnsi="Century Gothic"/>
            <w:sz w:val="14"/>
            <w:szCs w:val="14"/>
          </w:rPr>
          <w:t>http://svrpubindc.imprenta.gov.co/senado/</w:t>
        </w:r>
      </w:hyperlink>
    </w:p>
  </w:footnote>
  <w:footnote w:id="30">
    <w:p w14:paraId="06685268" w14:textId="2C1E6271" w:rsidR="00AF4481" w:rsidRPr="00B61529" w:rsidRDefault="00AF4481" w:rsidP="00AF4481">
      <w:pPr>
        <w:pStyle w:val="Textonotapie"/>
        <w:ind w:firstLine="708"/>
        <w:jc w:val="both"/>
        <w:rPr>
          <w:rFonts w:ascii="Century Gothic" w:hAnsi="Century Gothic"/>
          <w:sz w:val="14"/>
          <w:szCs w:val="14"/>
        </w:rPr>
      </w:pPr>
      <w:r w:rsidRPr="00B61529">
        <w:rPr>
          <w:rStyle w:val="Refdenotaalpie"/>
          <w:rFonts w:ascii="Century Gothic" w:hAnsi="Century Gothic"/>
          <w:sz w:val="14"/>
          <w:szCs w:val="14"/>
        </w:rPr>
        <w:footnoteRef/>
      </w:r>
      <w:r w:rsidRPr="00B61529">
        <w:rPr>
          <w:rFonts w:ascii="Century Gothic" w:hAnsi="Century Gothic"/>
          <w:sz w:val="14"/>
          <w:szCs w:val="14"/>
        </w:rPr>
        <w:t xml:space="preserve"> Congreso de la República, </w:t>
      </w:r>
      <w:r w:rsidR="00947120">
        <w:rPr>
          <w:rFonts w:ascii="Century Gothic" w:hAnsi="Century Gothic"/>
          <w:sz w:val="14"/>
          <w:szCs w:val="14"/>
        </w:rPr>
        <w:t>Cámara de Representantes</w:t>
      </w:r>
      <w:r w:rsidRPr="00B61529">
        <w:rPr>
          <w:rFonts w:ascii="Century Gothic" w:hAnsi="Century Gothic"/>
          <w:sz w:val="14"/>
          <w:szCs w:val="14"/>
        </w:rPr>
        <w:t>, Proyecto de Ley Número 1</w:t>
      </w:r>
      <w:r w:rsidR="00947120">
        <w:rPr>
          <w:rFonts w:ascii="Century Gothic" w:hAnsi="Century Gothic"/>
          <w:sz w:val="14"/>
          <w:szCs w:val="14"/>
        </w:rPr>
        <w:t>74</w:t>
      </w:r>
      <w:r w:rsidRPr="00B61529">
        <w:rPr>
          <w:rFonts w:ascii="Century Gothic" w:hAnsi="Century Gothic"/>
          <w:sz w:val="14"/>
          <w:szCs w:val="14"/>
        </w:rPr>
        <w:t xml:space="preserve"> de 2010. Ver en gaceta </w:t>
      </w:r>
      <w:r w:rsidR="00947120">
        <w:rPr>
          <w:rFonts w:ascii="Century Gothic" w:hAnsi="Century Gothic"/>
          <w:sz w:val="14"/>
          <w:szCs w:val="14"/>
        </w:rPr>
        <w:t>258</w:t>
      </w:r>
      <w:r w:rsidRPr="00B61529">
        <w:rPr>
          <w:rFonts w:ascii="Century Gothic" w:hAnsi="Century Gothic"/>
          <w:sz w:val="14"/>
          <w:szCs w:val="14"/>
        </w:rPr>
        <w:t xml:space="preserve"> del 1</w:t>
      </w:r>
      <w:r w:rsidR="00947120">
        <w:rPr>
          <w:rFonts w:ascii="Century Gothic" w:hAnsi="Century Gothic"/>
          <w:sz w:val="14"/>
          <w:szCs w:val="14"/>
        </w:rPr>
        <w:t>2</w:t>
      </w:r>
      <w:r w:rsidRPr="00B61529">
        <w:rPr>
          <w:rFonts w:ascii="Century Gothic" w:hAnsi="Century Gothic"/>
          <w:sz w:val="14"/>
          <w:szCs w:val="14"/>
        </w:rPr>
        <w:t xml:space="preserve"> de </w:t>
      </w:r>
      <w:r w:rsidR="00947120">
        <w:rPr>
          <w:rFonts w:ascii="Century Gothic" w:hAnsi="Century Gothic"/>
          <w:sz w:val="14"/>
          <w:szCs w:val="14"/>
        </w:rPr>
        <w:t>mayo</w:t>
      </w:r>
      <w:r w:rsidRPr="00B61529">
        <w:rPr>
          <w:rFonts w:ascii="Century Gothic" w:hAnsi="Century Gothic"/>
          <w:sz w:val="14"/>
          <w:szCs w:val="14"/>
        </w:rPr>
        <w:t xml:space="preserve"> de 201</w:t>
      </w:r>
      <w:r w:rsidR="006C78B5">
        <w:rPr>
          <w:rFonts w:ascii="Century Gothic" w:hAnsi="Century Gothic"/>
          <w:sz w:val="14"/>
          <w:szCs w:val="14"/>
        </w:rPr>
        <w:t>. Ver en línea:</w:t>
      </w:r>
      <w:r w:rsidRPr="00B61529">
        <w:rPr>
          <w:rFonts w:ascii="Century Gothic" w:hAnsi="Century Gothic"/>
          <w:sz w:val="14"/>
          <w:szCs w:val="14"/>
        </w:rPr>
        <w:t xml:space="preserve"> </w:t>
      </w:r>
      <w:hyperlink r:id="rId12" w:history="1">
        <w:r w:rsidRPr="00B61529">
          <w:rPr>
            <w:rStyle w:val="Hipervnculo"/>
            <w:rFonts w:ascii="Century Gothic" w:hAnsi="Century Gothic"/>
            <w:sz w:val="14"/>
            <w:szCs w:val="14"/>
          </w:rPr>
          <w:t>http://svrpubindc.imprenta.gov.co/senado/</w:t>
        </w:r>
      </w:hyperlink>
    </w:p>
  </w:footnote>
  <w:footnote w:id="31">
    <w:p w14:paraId="332F5829" w14:textId="1B723287" w:rsidR="006833AA" w:rsidRPr="003533ED" w:rsidRDefault="006833AA" w:rsidP="006833AA">
      <w:pPr>
        <w:pStyle w:val="Textonotapie"/>
        <w:ind w:firstLine="708"/>
      </w:pPr>
      <w:r>
        <w:rPr>
          <w:rStyle w:val="Refdenotaalpie"/>
        </w:rPr>
        <w:footnoteRef/>
      </w:r>
      <w:r>
        <w:t xml:space="preserve"> </w:t>
      </w:r>
      <w:r w:rsidRPr="00B61529">
        <w:rPr>
          <w:rFonts w:ascii="Century Gothic" w:hAnsi="Century Gothic"/>
          <w:sz w:val="14"/>
          <w:szCs w:val="14"/>
        </w:rPr>
        <w:t>Congreso de la República, Senado,</w:t>
      </w:r>
      <w:r w:rsidR="00A54C16">
        <w:rPr>
          <w:rFonts w:ascii="Century Gothic" w:hAnsi="Century Gothic"/>
          <w:sz w:val="14"/>
          <w:szCs w:val="14"/>
        </w:rPr>
        <w:t xml:space="preserve"> </w:t>
      </w:r>
      <w:r w:rsidR="009C12CB">
        <w:rPr>
          <w:rFonts w:ascii="Century Gothic" w:hAnsi="Century Gothic"/>
          <w:sz w:val="14"/>
          <w:szCs w:val="14"/>
        </w:rPr>
        <w:t xml:space="preserve">informes de conciliación en gaceta </w:t>
      </w:r>
      <w:r w:rsidR="00A54C16">
        <w:rPr>
          <w:rFonts w:ascii="Century Gothic" w:hAnsi="Century Gothic"/>
          <w:sz w:val="14"/>
          <w:szCs w:val="14"/>
        </w:rPr>
        <w:t xml:space="preserve">311 y </w:t>
      </w:r>
      <w:proofErr w:type="gramStart"/>
      <w:r w:rsidR="00A54C16">
        <w:rPr>
          <w:rFonts w:ascii="Century Gothic" w:hAnsi="Century Gothic"/>
          <w:sz w:val="14"/>
          <w:szCs w:val="14"/>
        </w:rPr>
        <w:t>312  del</w:t>
      </w:r>
      <w:proofErr w:type="gramEnd"/>
      <w:r w:rsidR="00A54C16">
        <w:rPr>
          <w:rFonts w:ascii="Century Gothic" w:hAnsi="Century Gothic"/>
          <w:sz w:val="14"/>
          <w:szCs w:val="14"/>
        </w:rPr>
        <w:t xml:space="preserve"> 25 de mayo de 2011 </w:t>
      </w:r>
      <w:r>
        <w:rPr>
          <w:rFonts w:ascii="Century Gothic" w:hAnsi="Century Gothic"/>
          <w:sz w:val="14"/>
          <w:szCs w:val="14"/>
        </w:rPr>
        <w:t xml:space="preserve">Ver en línea: </w:t>
      </w:r>
      <w:r w:rsidRPr="00B61529">
        <w:rPr>
          <w:rFonts w:ascii="Century Gothic" w:hAnsi="Century Gothic"/>
          <w:sz w:val="14"/>
          <w:szCs w:val="14"/>
        </w:rPr>
        <w:t xml:space="preserve"> </w:t>
      </w:r>
      <w:hyperlink r:id="rId13" w:history="1">
        <w:r w:rsidRPr="00B61529">
          <w:rPr>
            <w:rStyle w:val="Hipervnculo"/>
            <w:rFonts w:ascii="Century Gothic" w:hAnsi="Century Gothic"/>
            <w:sz w:val="14"/>
            <w:szCs w:val="14"/>
          </w:rPr>
          <w:t>http://svrpubindc.imprenta.gov.co/senado/</w:t>
        </w:r>
      </w:hyperlink>
    </w:p>
  </w:footnote>
  <w:footnote w:id="32">
    <w:p w14:paraId="2C85460D" w14:textId="77777777" w:rsidR="001A527C" w:rsidRPr="00B61529" w:rsidRDefault="001A527C" w:rsidP="001A527C">
      <w:pPr>
        <w:pStyle w:val="Sinespaciado"/>
        <w:ind w:firstLine="708"/>
        <w:jc w:val="both"/>
        <w:rPr>
          <w:rFonts w:ascii="Century Gothic" w:hAnsi="Century Gothic" w:cs="Arial"/>
          <w:sz w:val="14"/>
          <w:szCs w:val="14"/>
          <w:lang w:val="es-ES"/>
        </w:rPr>
      </w:pPr>
      <w:r w:rsidRPr="00B61529">
        <w:rPr>
          <w:rStyle w:val="Refdenotaalpie"/>
          <w:rFonts w:ascii="Century Gothic" w:hAnsi="Century Gothic" w:cs="Arial"/>
          <w:sz w:val="14"/>
          <w:szCs w:val="14"/>
        </w:rPr>
        <w:footnoteRef/>
      </w:r>
      <w:r w:rsidRPr="00B61529">
        <w:rPr>
          <w:rFonts w:ascii="Century Gothic" w:hAnsi="Century Gothic" w:cs="Arial"/>
          <w:sz w:val="14"/>
          <w:szCs w:val="14"/>
        </w:rPr>
        <w:t xml:space="preserve"> </w:t>
      </w:r>
      <w:r w:rsidRPr="00B61529">
        <w:rPr>
          <w:rFonts w:ascii="Century Gothic" w:hAnsi="Century Gothic" w:cs="Arial"/>
          <w:sz w:val="14"/>
          <w:szCs w:val="14"/>
          <w:lang w:val="es-ES"/>
        </w:rPr>
        <w:t xml:space="preserve">La Guía para el manejo de anticipos mediante contrato de fiducia irrevocable puede ser consultada en: </w:t>
      </w:r>
      <w:hyperlink r:id="rId14" w:history="1">
        <w:r w:rsidRPr="00B61529">
          <w:rPr>
            <w:rStyle w:val="Hipervnculo"/>
            <w:rFonts w:ascii="Century Gothic" w:hAnsi="Century Gothic" w:cs="Arial"/>
            <w:sz w:val="14"/>
            <w:szCs w:val="14"/>
            <w:lang w:val="es-ES"/>
          </w:rPr>
          <w:t>https://www.colombiacompra.gov.co/sites/cce_public/files/cce_documents/cce_guia_manejo_anticipos.pdf</w:t>
        </w:r>
      </w:hyperlink>
      <w:r w:rsidRPr="00B61529">
        <w:rPr>
          <w:rFonts w:ascii="Century Gothic" w:hAnsi="Century Gothic" w:cs="Arial"/>
          <w:sz w:val="14"/>
          <w:szCs w:val="14"/>
          <w:lang w:val="es-ES"/>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D12154" w14:textId="43B6B0B6" w:rsidR="00756841" w:rsidRDefault="00961B09">
    <w:pPr>
      <w:pStyle w:val="Encabezado"/>
    </w:pPr>
    <w:r>
      <w:rPr>
        <w:noProof/>
      </w:rPr>
      <w:drawing>
        <wp:anchor distT="0" distB="0" distL="114300" distR="114300" simplePos="0" relativeHeight="251659264" behindDoc="1" locked="0" layoutInCell="1" allowOverlap="1" wp14:anchorId="748FC4A6" wp14:editId="75ADBD22">
          <wp:simplePos x="0" y="0"/>
          <wp:positionH relativeFrom="margin">
            <wp:align>right</wp:align>
          </wp:positionH>
          <wp:positionV relativeFrom="margin">
            <wp:posOffset>-1135380</wp:posOffset>
          </wp:positionV>
          <wp:extent cx="1757045" cy="628650"/>
          <wp:effectExtent l="0" t="0" r="0" b="0"/>
          <wp:wrapNone/>
          <wp:docPr id="864305913" name="Imagen 7"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305913" name="Imagen 7" descr="Imagen que contiene Logotip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757045" cy="628650"/>
                  </a:xfrm>
                  <a:prstGeom prst="rect">
                    <a:avLst/>
                  </a:prstGeom>
                </pic:spPr>
              </pic:pic>
            </a:graphicData>
          </a:graphic>
          <wp14:sizeRelH relativeFrom="margin">
            <wp14:pctWidth>0</wp14:pctWidth>
          </wp14:sizeRelH>
          <wp14:sizeRelV relativeFrom="margin">
            <wp14:pctHeight>0</wp14:pctHeight>
          </wp14:sizeRelV>
        </wp:anchor>
      </w:drawing>
    </w:r>
    <w:r w:rsidR="002962BC" w:rsidRPr="00852E0B">
      <w:rPr>
        <w:rFonts w:ascii="Geomanist Bold" w:hAnsi="Geomanist Bold"/>
        <w:b/>
        <w:bCs/>
        <w:noProof/>
        <w:color w:val="46589C"/>
        <w:sz w:val="24"/>
        <w:szCs w:val="24"/>
      </w:rPr>
      <w:drawing>
        <wp:anchor distT="0" distB="0" distL="114300" distR="114300" simplePos="0" relativeHeight="251667456" behindDoc="0" locked="0" layoutInCell="1" allowOverlap="1" wp14:anchorId="7E9042C1" wp14:editId="4CC480E9">
          <wp:simplePos x="0" y="0"/>
          <wp:positionH relativeFrom="page">
            <wp:posOffset>7338060</wp:posOffset>
          </wp:positionH>
          <wp:positionV relativeFrom="margin">
            <wp:posOffset>-1644650</wp:posOffset>
          </wp:positionV>
          <wp:extent cx="665480" cy="3098800"/>
          <wp:effectExtent l="0" t="0" r="1270" b="6350"/>
          <wp:wrapThrough wrapText="bothSides">
            <wp:wrapPolygon edited="0">
              <wp:start x="4947" y="0"/>
              <wp:lineTo x="0" y="1328"/>
              <wp:lineTo x="0" y="1593"/>
              <wp:lineTo x="2473" y="2125"/>
              <wp:lineTo x="0" y="464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644356580" name="Imagen 1644356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59122E37">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FB5DD1">
      <w:rPr>
        <w:noProof/>
      </w:rPr>
      <w:drawing>
        <wp:anchor distT="0" distB="0" distL="114300" distR="114300" simplePos="0" relativeHeight="251661312" behindDoc="0" locked="0" layoutInCell="1" allowOverlap="1" wp14:anchorId="38EA71DA" wp14:editId="78EBA255">
          <wp:simplePos x="0" y="0"/>
          <wp:positionH relativeFrom="margin">
            <wp:align>left</wp:align>
          </wp:positionH>
          <wp:positionV relativeFrom="paragraph">
            <wp:posOffset>-77470</wp:posOffset>
          </wp:positionV>
          <wp:extent cx="1399540" cy="485775"/>
          <wp:effectExtent l="0" t="0" r="0" b="0"/>
          <wp:wrapThrough wrapText="bothSides">
            <wp:wrapPolygon edited="0">
              <wp:start x="0" y="0"/>
              <wp:lineTo x="0" y="20329"/>
              <wp:lineTo x="21169" y="20329"/>
              <wp:lineTo x="21169" y="0"/>
              <wp:lineTo x="0" y="0"/>
            </wp:wrapPolygon>
          </wp:wrapThrough>
          <wp:docPr id="910553655" name="Imagen 6" descr="Un dibujo con letr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553655" name="Imagen 6" descr="Un dibujo con letras&#10;&#10;Descripción generada automáticamente con confianza media"/>
                  <pic:cNvPicPr/>
                </pic:nvPicPr>
                <pic:blipFill>
                  <a:blip r:embed="rId3">
                    <a:extLst>
                      <a:ext uri="{28A0092B-C50C-407E-A947-70E740481C1C}">
                        <a14:useLocalDpi xmlns:a14="http://schemas.microsoft.com/office/drawing/2010/main" val="0"/>
                      </a:ext>
                    </a:extLst>
                  </a:blip>
                  <a:stretch>
                    <a:fillRect/>
                  </a:stretch>
                </pic:blipFill>
                <pic:spPr>
                  <a:xfrm>
                    <a:off x="0" y="0"/>
                    <a:ext cx="1405747" cy="487770"/>
                  </a:xfrm>
                  <a:prstGeom prst="rect">
                    <a:avLst/>
                  </a:prstGeom>
                </pic:spPr>
              </pic:pic>
            </a:graphicData>
          </a:graphic>
          <wp14:sizeRelH relativeFrom="page">
            <wp14:pctWidth>0</wp14:pctWidth>
          </wp14:sizeRelH>
          <wp14:sizeRelV relativeFrom="page">
            <wp14:pctHeight>0</wp14:pctHeight>
          </wp14:sizeRelV>
        </wp:anchor>
      </w:drawing>
    </w:r>
  </w:p>
  <w:p w14:paraId="435F4D03" w14:textId="67DABC48" w:rsidR="00756841" w:rsidRDefault="00756841">
    <w:pPr>
      <w:pStyle w:val="Encabezado"/>
    </w:pPr>
  </w:p>
  <w:p w14:paraId="1BE2B9AE" w14:textId="4B94DB3B" w:rsidR="00756841" w:rsidRDefault="00756841">
    <w:pPr>
      <w:pStyle w:val="Encabezado"/>
    </w:pPr>
  </w:p>
  <w:p w14:paraId="7FE1230C" w14:textId="77777777" w:rsidR="004A305D" w:rsidRPr="004A305D" w:rsidRDefault="004A305D" w:rsidP="004A305D">
    <w:pPr>
      <w:spacing w:after="0"/>
      <w:rPr>
        <w:rFonts w:ascii="Century Gothic" w:hAnsi="Century Gothic"/>
        <w:color w:val="002060"/>
        <w:sz w:val="16"/>
        <w:szCs w:val="16"/>
      </w:rPr>
    </w:pPr>
    <w:r w:rsidRPr="004A305D">
      <w:rPr>
        <w:rFonts w:ascii="Century Gothic" w:hAnsi="Century Gothic"/>
        <w:color w:val="002060"/>
        <w:sz w:val="16"/>
        <w:szCs w:val="16"/>
      </w:rPr>
      <w:t>FORMATO PQRSD</w:t>
    </w:r>
  </w:p>
  <w:p w14:paraId="7B0A8834" w14:textId="3D6F55FC" w:rsidR="004A305D" w:rsidRPr="004A305D" w:rsidRDefault="004A305D" w:rsidP="004A305D">
    <w:pPr>
      <w:pBdr>
        <w:top w:val="nil"/>
        <w:left w:val="nil"/>
        <w:bottom w:val="nil"/>
        <w:right w:val="nil"/>
        <w:between w:val="nil"/>
      </w:pBdr>
      <w:tabs>
        <w:tab w:val="center" w:pos="4419"/>
        <w:tab w:val="right" w:pos="8838"/>
        <w:tab w:val="center" w:pos="5400"/>
      </w:tabs>
      <w:spacing w:after="0"/>
      <w:rPr>
        <w:rFonts w:ascii="Century Gothic" w:eastAsia="Geo" w:hAnsi="Century Gothic" w:cs="Geo"/>
        <w:b/>
        <w:color w:val="002060"/>
        <w:sz w:val="16"/>
        <w:szCs w:val="16"/>
        <w:lang w:eastAsia="es-CO"/>
      </w:rPr>
    </w:pP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sidR="00CB6357">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sidR="00CB6357">
      <w:rPr>
        <w:rFonts w:ascii="Century Gothic" w:eastAsia="Geo" w:hAnsi="Century Gothic" w:cs="Geo"/>
        <w:bCs/>
        <w:color w:val="000000"/>
        <w:sz w:val="16"/>
        <w:szCs w:val="16"/>
        <w:lang w:eastAsia="es-CO"/>
      </w:rPr>
      <w:t>1</w:t>
    </w:r>
    <w:r w:rsidR="00061B2A">
      <w:rPr>
        <w:rFonts w:ascii="Century Gothic" w:eastAsia="Geo" w:hAnsi="Century Gothic" w:cs="Geo"/>
        <w:bCs/>
        <w:color w:val="000000"/>
        <w:sz w:val="16"/>
        <w:szCs w:val="16"/>
        <w:lang w:eastAsia="es-CO"/>
      </w:rPr>
      <w:t>7</w:t>
    </w:r>
  </w:p>
  <w:p w14:paraId="5E18350A" w14:textId="39FD735C" w:rsidR="004A305D" w:rsidRPr="004A305D" w:rsidRDefault="004A305D" w:rsidP="004A305D">
    <w:pPr>
      <w:spacing w:after="0"/>
      <w:rPr>
        <w:rFonts w:ascii="Century Gothic" w:eastAsia="Geo" w:hAnsi="Century Gothic" w:cs="Geo"/>
        <w:sz w:val="16"/>
        <w:szCs w:val="16"/>
        <w:lang w:eastAsia="es-CO"/>
      </w:rPr>
    </w:pP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sidR="00322A85">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DEL </w:t>
    </w:r>
    <w:r w:rsidR="002E4FD9">
      <w:rPr>
        <w:rFonts w:ascii="Century Gothic" w:eastAsia="Geo" w:hAnsi="Century Gothic" w:cs="Geo"/>
        <w:sz w:val="16"/>
        <w:szCs w:val="16"/>
        <w:lang w:eastAsia="es-CO"/>
      </w:rPr>
      <w:t>31</w:t>
    </w:r>
    <w:r w:rsidR="00CB6357">
      <w:rPr>
        <w:rFonts w:ascii="Century Gothic" w:eastAsia="Geo" w:hAnsi="Century Gothic" w:cs="Geo"/>
        <w:sz w:val="16"/>
        <w:szCs w:val="16"/>
        <w:lang w:eastAsia="es-CO"/>
      </w:rPr>
      <w:t xml:space="preserve"> </w:t>
    </w:r>
    <w:r w:rsidRPr="004A305D">
      <w:rPr>
        <w:rFonts w:ascii="Century Gothic" w:eastAsia="Geo" w:hAnsi="Century Gothic" w:cs="Geo"/>
        <w:sz w:val="16"/>
        <w:szCs w:val="16"/>
        <w:lang w:eastAsia="es-CO"/>
      </w:rPr>
      <w:t xml:space="preserve">DE </w:t>
    </w:r>
    <w:r w:rsidR="00322A85">
      <w:rPr>
        <w:rFonts w:ascii="Century Gothic" w:eastAsia="Geo" w:hAnsi="Century Gothic" w:cs="Geo"/>
        <w:sz w:val="16"/>
        <w:szCs w:val="16"/>
        <w:lang w:eastAsia="es-CO"/>
      </w:rPr>
      <w:t>AGOSTO</w:t>
    </w:r>
    <w:r w:rsidRPr="004A305D">
      <w:rPr>
        <w:rFonts w:ascii="Century Gothic" w:eastAsia="Geo" w:hAnsi="Century Gothic" w:cs="Geo"/>
        <w:sz w:val="16"/>
        <w:szCs w:val="16"/>
        <w:lang w:eastAsia="es-CO"/>
      </w:rPr>
      <w:t xml:space="preserve"> DE 202</w:t>
    </w:r>
    <w:r w:rsidR="00961B09">
      <w:rPr>
        <w:rFonts w:ascii="Century Gothic" w:eastAsia="Geo" w:hAnsi="Century Gothic" w:cs="Geo"/>
        <w:sz w:val="16"/>
        <w:szCs w:val="16"/>
        <w:lang w:eastAsia="es-CO"/>
      </w:rPr>
      <w:t>3</w:t>
    </w: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52" type="#_x0000_t75" style="width:11.65pt;height:11.65pt" o:bullet="t">
        <v:imagedata r:id="rId1" o:title="mso1B13"/>
      </v:shape>
    </w:pict>
  </w:numPicBullet>
  <w:abstractNum w:abstractNumId="0" w15:restartNumberingAfterBreak="0">
    <w:nsid w:val="0075455F"/>
    <w:multiLevelType w:val="multilevel"/>
    <w:tmpl w:val="97C05104"/>
    <w:lvl w:ilvl="0">
      <w:start w:val="1"/>
      <w:numFmt w:val="bullet"/>
      <w:lvlText w:val=""/>
      <w:lvlPicBulletId w:val="0"/>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2AE016A"/>
    <w:multiLevelType w:val="multilevel"/>
    <w:tmpl w:val="96C69084"/>
    <w:lvl w:ilvl="0">
      <w:start w:val="1"/>
      <w:numFmt w:val="decimal"/>
      <w:lvlText w:val="%1."/>
      <w:lvlJc w:val="left"/>
      <w:pPr>
        <w:ind w:left="585" w:hanging="285"/>
      </w:pPr>
      <w:rPr>
        <w:rFonts w:ascii="Arial" w:eastAsia="Arial" w:hAnsi="Arial" w:cs="Arial" w:hint="default"/>
        <w:b/>
        <w:bCs/>
        <w:color w:val="auto"/>
        <w:spacing w:val="-21"/>
        <w:w w:val="100"/>
        <w:sz w:val="22"/>
        <w:szCs w:val="22"/>
        <w:lang w:val="es-ES" w:eastAsia="en-US" w:bidi="ar-SA"/>
      </w:rPr>
    </w:lvl>
    <w:lvl w:ilvl="1">
      <w:start w:val="1"/>
      <w:numFmt w:val="decimal"/>
      <w:lvlText w:val="%1.%2."/>
      <w:lvlJc w:val="left"/>
      <w:pPr>
        <w:ind w:left="725" w:hanging="425"/>
      </w:pPr>
      <w:rPr>
        <w:rFonts w:ascii="Arial" w:eastAsia="Arial" w:hAnsi="Arial" w:cs="Arial" w:hint="default"/>
        <w:b/>
        <w:bCs/>
        <w:color w:val="auto"/>
        <w:spacing w:val="-1"/>
        <w:w w:val="100"/>
        <w:sz w:val="22"/>
        <w:szCs w:val="22"/>
        <w:lang w:val="es-ES" w:eastAsia="en-US" w:bidi="ar-SA"/>
      </w:rPr>
    </w:lvl>
    <w:lvl w:ilvl="2">
      <w:numFmt w:val="bullet"/>
      <w:lvlText w:val="•"/>
      <w:lvlJc w:val="left"/>
      <w:pPr>
        <w:ind w:left="1700" w:hanging="425"/>
      </w:pPr>
      <w:rPr>
        <w:rFonts w:hint="default"/>
        <w:lang w:val="es-ES" w:eastAsia="en-US" w:bidi="ar-SA"/>
      </w:rPr>
    </w:lvl>
    <w:lvl w:ilvl="3">
      <w:numFmt w:val="bullet"/>
      <w:lvlText w:val="•"/>
      <w:lvlJc w:val="left"/>
      <w:pPr>
        <w:ind w:left="2680" w:hanging="425"/>
      </w:pPr>
      <w:rPr>
        <w:rFonts w:hint="default"/>
        <w:lang w:val="es-ES" w:eastAsia="en-US" w:bidi="ar-SA"/>
      </w:rPr>
    </w:lvl>
    <w:lvl w:ilvl="4">
      <w:numFmt w:val="bullet"/>
      <w:lvlText w:val="•"/>
      <w:lvlJc w:val="left"/>
      <w:pPr>
        <w:ind w:left="3660" w:hanging="425"/>
      </w:pPr>
      <w:rPr>
        <w:rFonts w:hint="default"/>
        <w:lang w:val="es-ES" w:eastAsia="en-US" w:bidi="ar-SA"/>
      </w:rPr>
    </w:lvl>
    <w:lvl w:ilvl="5">
      <w:numFmt w:val="bullet"/>
      <w:lvlText w:val="•"/>
      <w:lvlJc w:val="left"/>
      <w:pPr>
        <w:ind w:left="4640" w:hanging="425"/>
      </w:pPr>
      <w:rPr>
        <w:rFonts w:hint="default"/>
        <w:lang w:val="es-ES" w:eastAsia="en-US" w:bidi="ar-SA"/>
      </w:rPr>
    </w:lvl>
    <w:lvl w:ilvl="6">
      <w:numFmt w:val="bullet"/>
      <w:lvlText w:val="•"/>
      <w:lvlJc w:val="left"/>
      <w:pPr>
        <w:ind w:left="5620" w:hanging="425"/>
      </w:pPr>
      <w:rPr>
        <w:rFonts w:hint="default"/>
        <w:lang w:val="es-ES" w:eastAsia="en-US" w:bidi="ar-SA"/>
      </w:rPr>
    </w:lvl>
    <w:lvl w:ilvl="7">
      <w:numFmt w:val="bullet"/>
      <w:lvlText w:val="•"/>
      <w:lvlJc w:val="left"/>
      <w:pPr>
        <w:ind w:left="6600" w:hanging="425"/>
      </w:pPr>
      <w:rPr>
        <w:rFonts w:hint="default"/>
        <w:lang w:val="es-ES" w:eastAsia="en-US" w:bidi="ar-SA"/>
      </w:rPr>
    </w:lvl>
    <w:lvl w:ilvl="8">
      <w:numFmt w:val="bullet"/>
      <w:lvlText w:val="•"/>
      <w:lvlJc w:val="left"/>
      <w:pPr>
        <w:ind w:left="7580" w:hanging="425"/>
      </w:pPr>
      <w:rPr>
        <w:rFonts w:hint="default"/>
        <w:lang w:val="es-ES" w:eastAsia="en-US" w:bidi="ar-SA"/>
      </w:r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2645270">
    <w:abstractNumId w:val="6"/>
  </w:num>
  <w:num w:numId="2" w16cid:durableId="550846684">
    <w:abstractNumId w:val="2"/>
  </w:num>
  <w:num w:numId="3" w16cid:durableId="259030829">
    <w:abstractNumId w:val="4"/>
  </w:num>
  <w:num w:numId="4" w16cid:durableId="1974911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724866804">
    <w:abstractNumId w:val="2"/>
  </w:num>
  <w:num w:numId="6" w16cid:durableId="1262447495">
    <w:abstractNumId w:val="13"/>
  </w:num>
  <w:num w:numId="7" w16cid:durableId="618341059">
    <w:abstractNumId w:val="5"/>
  </w:num>
  <w:num w:numId="8" w16cid:durableId="1087534669">
    <w:abstractNumId w:val="12"/>
  </w:num>
  <w:num w:numId="9" w16cid:durableId="915281328">
    <w:abstractNumId w:val="7"/>
  </w:num>
  <w:num w:numId="10" w16cid:durableId="1219130750">
    <w:abstractNumId w:val="11"/>
  </w:num>
  <w:num w:numId="11" w16cid:durableId="534852439">
    <w:abstractNumId w:val="8"/>
  </w:num>
  <w:num w:numId="12" w16cid:durableId="1261061527">
    <w:abstractNumId w:val="1"/>
  </w:num>
  <w:num w:numId="13" w16cid:durableId="1662613556">
    <w:abstractNumId w:val="3"/>
  </w:num>
  <w:num w:numId="14" w16cid:durableId="1373313151">
    <w:abstractNumId w:val="14"/>
  </w:num>
  <w:num w:numId="15" w16cid:durableId="1301769384">
    <w:abstractNumId w:val="10"/>
  </w:num>
  <w:num w:numId="16" w16cid:durableId="1284462770">
    <w:abstractNumId w:val="0"/>
  </w:num>
  <w:num w:numId="17" w16cid:durableId="125982743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3EE6"/>
    <w:rsid w:val="00004E30"/>
    <w:rsid w:val="00005848"/>
    <w:rsid w:val="000113ED"/>
    <w:rsid w:val="00016A9F"/>
    <w:rsid w:val="00017B24"/>
    <w:rsid w:val="000203CA"/>
    <w:rsid w:val="00022415"/>
    <w:rsid w:val="00022EB4"/>
    <w:rsid w:val="00022F2A"/>
    <w:rsid w:val="00025438"/>
    <w:rsid w:val="00031122"/>
    <w:rsid w:val="00047083"/>
    <w:rsid w:val="00050AB5"/>
    <w:rsid w:val="00052440"/>
    <w:rsid w:val="00054DF5"/>
    <w:rsid w:val="00061B2A"/>
    <w:rsid w:val="00066C5F"/>
    <w:rsid w:val="00073914"/>
    <w:rsid w:val="00081395"/>
    <w:rsid w:val="00082362"/>
    <w:rsid w:val="0009668C"/>
    <w:rsid w:val="000A42C1"/>
    <w:rsid w:val="000A449C"/>
    <w:rsid w:val="000A683E"/>
    <w:rsid w:val="000B19B9"/>
    <w:rsid w:val="000C61CE"/>
    <w:rsid w:val="000C7CAB"/>
    <w:rsid w:val="000D0334"/>
    <w:rsid w:val="000E069E"/>
    <w:rsid w:val="000E0D00"/>
    <w:rsid w:val="000E0E35"/>
    <w:rsid w:val="000E6A4B"/>
    <w:rsid w:val="000F6486"/>
    <w:rsid w:val="001029A5"/>
    <w:rsid w:val="00104D87"/>
    <w:rsid w:val="0010659D"/>
    <w:rsid w:val="00115F8B"/>
    <w:rsid w:val="00121FBF"/>
    <w:rsid w:val="001226AF"/>
    <w:rsid w:val="00125105"/>
    <w:rsid w:val="00127233"/>
    <w:rsid w:val="00130E23"/>
    <w:rsid w:val="00133E76"/>
    <w:rsid w:val="00141BD0"/>
    <w:rsid w:val="00143CFA"/>
    <w:rsid w:val="00156F35"/>
    <w:rsid w:val="00173B6D"/>
    <w:rsid w:val="00173B9F"/>
    <w:rsid w:val="00175A4C"/>
    <w:rsid w:val="00176CD9"/>
    <w:rsid w:val="00177FA3"/>
    <w:rsid w:val="00180FFC"/>
    <w:rsid w:val="0018369F"/>
    <w:rsid w:val="00183791"/>
    <w:rsid w:val="0019634D"/>
    <w:rsid w:val="001A527C"/>
    <w:rsid w:val="001B243D"/>
    <w:rsid w:val="001C3302"/>
    <w:rsid w:val="001C6310"/>
    <w:rsid w:val="001D3F97"/>
    <w:rsid w:val="001E30C1"/>
    <w:rsid w:val="001E4177"/>
    <w:rsid w:val="001F1634"/>
    <w:rsid w:val="001F7DC6"/>
    <w:rsid w:val="0022031E"/>
    <w:rsid w:val="00221153"/>
    <w:rsid w:val="00230FAA"/>
    <w:rsid w:val="002421BB"/>
    <w:rsid w:val="002515D2"/>
    <w:rsid w:val="00257F73"/>
    <w:rsid w:val="00261325"/>
    <w:rsid w:val="00264C13"/>
    <w:rsid w:val="002707A2"/>
    <w:rsid w:val="002739CB"/>
    <w:rsid w:val="00276103"/>
    <w:rsid w:val="002767CC"/>
    <w:rsid w:val="002823F2"/>
    <w:rsid w:val="00282B91"/>
    <w:rsid w:val="002951A0"/>
    <w:rsid w:val="002962BC"/>
    <w:rsid w:val="002A093D"/>
    <w:rsid w:val="002A0DD0"/>
    <w:rsid w:val="002A49AC"/>
    <w:rsid w:val="002A4B07"/>
    <w:rsid w:val="002A64FD"/>
    <w:rsid w:val="002A79B1"/>
    <w:rsid w:val="002B23D5"/>
    <w:rsid w:val="002B68DD"/>
    <w:rsid w:val="002C29FC"/>
    <w:rsid w:val="002C7436"/>
    <w:rsid w:val="002C7A84"/>
    <w:rsid w:val="002D6FA5"/>
    <w:rsid w:val="002E09DF"/>
    <w:rsid w:val="002E4FD9"/>
    <w:rsid w:val="00303CCE"/>
    <w:rsid w:val="003063AE"/>
    <w:rsid w:val="00313BD0"/>
    <w:rsid w:val="00315372"/>
    <w:rsid w:val="003159A1"/>
    <w:rsid w:val="00322A85"/>
    <w:rsid w:val="003448F4"/>
    <w:rsid w:val="003533ED"/>
    <w:rsid w:val="003548EA"/>
    <w:rsid w:val="00354FD8"/>
    <w:rsid w:val="00361F77"/>
    <w:rsid w:val="00362C07"/>
    <w:rsid w:val="00365563"/>
    <w:rsid w:val="00366D1B"/>
    <w:rsid w:val="003718A2"/>
    <w:rsid w:val="003746E0"/>
    <w:rsid w:val="00374F5E"/>
    <w:rsid w:val="00377E3E"/>
    <w:rsid w:val="003A779E"/>
    <w:rsid w:val="003B6EE8"/>
    <w:rsid w:val="003C61C0"/>
    <w:rsid w:val="003D0F4D"/>
    <w:rsid w:val="003D32B6"/>
    <w:rsid w:val="003D5B0D"/>
    <w:rsid w:val="003E0499"/>
    <w:rsid w:val="003E1F8D"/>
    <w:rsid w:val="003F3941"/>
    <w:rsid w:val="003F6460"/>
    <w:rsid w:val="004040F8"/>
    <w:rsid w:val="00406575"/>
    <w:rsid w:val="00406E87"/>
    <w:rsid w:val="0042722E"/>
    <w:rsid w:val="0043256C"/>
    <w:rsid w:val="004336B1"/>
    <w:rsid w:val="0043504F"/>
    <w:rsid w:val="00435871"/>
    <w:rsid w:val="00442282"/>
    <w:rsid w:val="00444885"/>
    <w:rsid w:val="00444B14"/>
    <w:rsid w:val="004545D8"/>
    <w:rsid w:val="00455187"/>
    <w:rsid w:val="004622CC"/>
    <w:rsid w:val="004700BB"/>
    <w:rsid w:val="00476B38"/>
    <w:rsid w:val="004817C5"/>
    <w:rsid w:val="00486489"/>
    <w:rsid w:val="0048658B"/>
    <w:rsid w:val="004A1847"/>
    <w:rsid w:val="004A1F28"/>
    <w:rsid w:val="004A2A93"/>
    <w:rsid w:val="004A305D"/>
    <w:rsid w:val="004A7D3D"/>
    <w:rsid w:val="004B12B5"/>
    <w:rsid w:val="004B1C35"/>
    <w:rsid w:val="004B2378"/>
    <w:rsid w:val="004B4C5E"/>
    <w:rsid w:val="004B7749"/>
    <w:rsid w:val="004C6AAD"/>
    <w:rsid w:val="004E4408"/>
    <w:rsid w:val="004E4647"/>
    <w:rsid w:val="004F21C4"/>
    <w:rsid w:val="004F315B"/>
    <w:rsid w:val="004F685F"/>
    <w:rsid w:val="0051423B"/>
    <w:rsid w:val="0053033E"/>
    <w:rsid w:val="00531C2A"/>
    <w:rsid w:val="00532329"/>
    <w:rsid w:val="005336B2"/>
    <w:rsid w:val="00534613"/>
    <w:rsid w:val="0054406C"/>
    <w:rsid w:val="005459CF"/>
    <w:rsid w:val="00550AAA"/>
    <w:rsid w:val="005566E8"/>
    <w:rsid w:val="005627F0"/>
    <w:rsid w:val="00572AEC"/>
    <w:rsid w:val="00574867"/>
    <w:rsid w:val="00591460"/>
    <w:rsid w:val="005A0DC1"/>
    <w:rsid w:val="005A111C"/>
    <w:rsid w:val="005A1892"/>
    <w:rsid w:val="005A2340"/>
    <w:rsid w:val="005B1C27"/>
    <w:rsid w:val="005B46A9"/>
    <w:rsid w:val="005B7BCD"/>
    <w:rsid w:val="005C3777"/>
    <w:rsid w:val="005C3BD5"/>
    <w:rsid w:val="005C5CDC"/>
    <w:rsid w:val="005D476C"/>
    <w:rsid w:val="005D6565"/>
    <w:rsid w:val="005D6D41"/>
    <w:rsid w:val="005D7E43"/>
    <w:rsid w:val="005E2251"/>
    <w:rsid w:val="00612DD5"/>
    <w:rsid w:val="00615CE5"/>
    <w:rsid w:val="006219F8"/>
    <w:rsid w:val="00622366"/>
    <w:rsid w:val="00637314"/>
    <w:rsid w:val="0064024D"/>
    <w:rsid w:val="00651B14"/>
    <w:rsid w:val="00654B18"/>
    <w:rsid w:val="0066471C"/>
    <w:rsid w:val="00665D70"/>
    <w:rsid w:val="0066767F"/>
    <w:rsid w:val="00672EFA"/>
    <w:rsid w:val="006759EA"/>
    <w:rsid w:val="00676B8C"/>
    <w:rsid w:val="006833AA"/>
    <w:rsid w:val="006900D9"/>
    <w:rsid w:val="006A1382"/>
    <w:rsid w:val="006A20F9"/>
    <w:rsid w:val="006A5230"/>
    <w:rsid w:val="006A5965"/>
    <w:rsid w:val="006A708A"/>
    <w:rsid w:val="006B714B"/>
    <w:rsid w:val="006C092A"/>
    <w:rsid w:val="006C78B5"/>
    <w:rsid w:val="006D54BF"/>
    <w:rsid w:val="006E19B6"/>
    <w:rsid w:val="006F0612"/>
    <w:rsid w:val="006F303A"/>
    <w:rsid w:val="00706C16"/>
    <w:rsid w:val="00706CE1"/>
    <w:rsid w:val="00714906"/>
    <w:rsid w:val="007202FA"/>
    <w:rsid w:val="00721FB6"/>
    <w:rsid w:val="00740F7D"/>
    <w:rsid w:val="00742AB3"/>
    <w:rsid w:val="00756841"/>
    <w:rsid w:val="00764989"/>
    <w:rsid w:val="007649AB"/>
    <w:rsid w:val="00771D0C"/>
    <w:rsid w:val="0078176C"/>
    <w:rsid w:val="007833AC"/>
    <w:rsid w:val="007845D3"/>
    <w:rsid w:val="007855ED"/>
    <w:rsid w:val="00790ABA"/>
    <w:rsid w:val="007A005B"/>
    <w:rsid w:val="007A18EA"/>
    <w:rsid w:val="007A7329"/>
    <w:rsid w:val="007B268C"/>
    <w:rsid w:val="007B2DAA"/>
    <w:rsid w:val="007B6B46"/>
    <w:rsid w:val="007B7171"/>
    <w:rsid w:val="007C3DC2"/>
    <w:rsid w:val="007D2DC6"/>
    <w:rsid w:val="007D3055"/>
    <w:rsid w:val="007D41D8"/>
    <w:rsid w:val="007D623A"/>
    <w:rsid w:val="007E5497"/>
    <w:rsid w:val="007E7F7A"/>
    <w:rsid w:val="007F3C86"/>
    <w:rsid w:val="008062F8"/>
    <w:rsid w:val="008064A4"/>
    <w:rsid w:val="00806F5F"/>
    <w:rsid w:val="00812DF5"/>
    <w:rsid w:val="0082001B"/>
    <w:rsid w:val="00820278"/>
    <w:rsid w:val="00820C44"/>
    <w:rsid w:val="0082147F"/>
    <w:rsid w:val="008322E8"/>
    <w:rsid w:val="00835864"/>
    <w:rsid w:val="00840E27"/>
    <w:rsid w:val="008448EA"/>
    <w:rsid w:val="00845C8D"/>
    <w:rsid w:val="00865BCD"/>
    <w:rsid w:val="00874B8C"/>
    <w:rsid w:val="00877A1C"/>
    <w:rsid w:val="00883D90"/>
    <w:rsid w:val="008843B6"/>
    <w:rsid w:val="00891928"/>
    <w:rsid w:val="00892BE4"/>
    <w:rsid w:val="00894219"/>
    <w:rsid w:val="008A0107"/>
    <w:rsid w:val="008A446D"/>
    <w:rsid w:val="008A6C7D"/>
    <w:rsid w:val="008D17EE"/>
    <w:rsid w:val="008D180B"/>
    <w:rsid w:val="008D39F5"/>
    <w:rsid w:val="008D62D1"/>
    <w:rsid w:val="008E195C"/>
    <w:rsid w:val="008E43ED"/>
    <w:rsid w:val="008E7E0B"/>
    <w:rsid w:val="008F0EA7"/>
    <w:rsid w:val="009062B0"/>
    <w:rsid w:val="00906C92"/>
    <w:rsid w:val="0091500A"/>
    <w:rsid w:val="0092036A"/>
    <w:rsid w:val="009217EA"/>
    <w:rsid w:val="00922C6C"/>
    <w:rsid w:val="00923EEF"/>
    <w:rsid w:val="009338D3"/>
    <w:rsid w:val="009419F9"/>
    <w:rsid w:val="00942D64"/>
    <w:rsid w:val="00944E97"/>
    <w:rsid w:val="00947120"/>
    <w:rsid w:val="00952A23"/>
    <w:rsid w:val="00956A54"/>
    <w:rsid w:val="00961B09"/>
    <w:rsid w:val="00965334"/>
    <w:rsid w:val="00965624"/>
    <w:rsid w:val="0097093E"/>
    <w:rsid w:val="0097209D"/>
    <w:rsid w:val="00972AAD"/>
    <w:rsid w:val="00985E76"/>
    <w:rsid w:val="00986526"/>
    <w:rsid w:val="009A31E8"/>
    <w:rsid w:val="009A57BE"/>
    <w:rsid w:val="009A6976"/>
    <w:rsid w:val="009A7D3B"/>
    <w:rsid w:val="009B5E5D"/>
    <w:rsid w:val="009C12CB"/>
    <w:rsid w:val="009C71FA"/>
    <w:rsid w:val="009C72E7"/>
    <w:rsid w:val="009D307C"/>
    <w:rsid w:val="009D51C4"/>
    <w:rsid w:val="009E17B2"/>
    <w:rsid w:val="009E1F5B"/>
    <w:rsid w:val="009E2E4F"/>
    <w:rsid w:val="009E5C58"/>
    <w:rsid w:val="009E7FFB"/>
    <w:rsid w:val="009F3A13"/>
    <w:rsid w:val="009F489A"/>
    <w:rsid w:val="009F7098"/>
    <w:rsid w:val="00A122D3"/>
    <w:rsid w:val="00A17F13"/>
    <w:rsid w:val="00A20739"/>
    <w:rsid w:val="00A2337C"/>
    <w:rsid w:val="00A24C0C"/>
    <w:rsid w:val="00A304B5"/>
    <w:rsid w:val="00A33538"/>
    <w:rsid w:val="00A33C78"/>
    <w:rsid w:val="00A3462C"/>
    <w:rsid w:val="00A37FEC"/>
    <w:rsid w:val="00A45EFA"/>
    <w:rsid w:val="00A54650"/>
    <w:rsid w:val="00A54C16"/>
    <w:rsid w:val="00A61275"/>
    <w:rsid w:val="00A83A13"/>
    <w:rsid w:val="00A842AA"/>
    <w:rsid w:val="00AA281E"/>
    <w:rsid w:val="00AB02C6"/>
    <w:rsid w:val="00AB0ADB"/>
    <w:rsid w:val="00AB4F60"/>
    <w:rsid w:val="00AC403F"/>
    <w:rsid w:val="00AC6D21"/>
    <w:rsid w:val="00AD6624"/>
    <w:rsid w:val="00AE2B86"/>
    <w:rsid w:val="00AF4481"/>
    <w:rsid w:val="00AF68F6"/>
    <w:rsid w:val="00AF6F66"/>
    <w:rsid w:val="00B00009"/>
    <w:rsid w:val="00B059EB"/>
    <w:rsid w:val="00B102D3"/>
    <w:rsid w:val="00B16137"/>
    <w:rsid w:val="00B25008"/>
    <w:rsid w:val="00B318CD"/>
    <w:rsid w:val="00B3217D"/>
    <w:rsid w:val="00B43993"/>
    <w:rsid w:val="00B47F2D"/>
    <w:rsid w:val="00B61529"/>
    <w:rsid w:val="00B72CD3"/>
    <w:rsid w:val="00B72FFF"/>
    <w:rsid w:val="00B74342"/>
    <w:rsid w:val="00B75515"/>
    <w:rsid w:val="00B76A1E"/>
    <w:rsid w:val="00B86ECE"/>
    <w:rsid w:val="00B9292C"/>
    <w:rsid w:val="00B97B96"/>
    <w:rsid w:val="00BB10FB"/>
    <w:rsid w:val="00BB40A5"/>
    <w:rsid w:val="00BB5612"/>
    <w:rsid w:val="00BC058C"/>
    <w:rsid w:val="00BC3D36"/>
    <w:rsid w:val="00BC51DC"/>
    <w:rsid w:val="00BC7394"/>
    <w:rsid w:val="00BD42A7"/>
    <w:rsid w:val="00BD7F72"/>
    <w:rsid w:val="00BF271C"/>
    <w:rsid w:val="00BF5C06"/>
    <w:rsid w:val="00C04FB3"/>
    <w:rsid w:val="00C052C4"/>
    <w:rsid w:val="00C13C74"/>
    <w:rsid w:val="00C14BBA"/>
    <w:rsid w:val="00C23970"/>
    <w:rsid w:val="00C257C3"/>
    <w:rsid w:val="00C27991"/>
    <w:rsid w:val="00C27CBB"/>
    <w:rsid w:val="00C32B76"/>
    <w:rsid w:val="00C330EB"/>
    <w:rsid w:val="00C4140F"/>
    <w:rsid w:val="00C51346"/>
    <w:rsid w:val="00C57FA5"/>
    <w:rsid w:val="00C6289C"/>
    <w:rsid w:val="00C633A0"/>
    <w:rsid w:val="00C722B1"/>
    <w:rsid w:val="00C754BE"/>
    <w:rsid w:val="00C76B1C"/>
    <w:rsid w:val="00C94FA6"/>
    <w:rsid w:val="00CB2068"/>
    <w:rsid w:val="00CB6357"/>
    <w:rsid w:val="00CB6C2B"/>
    <w:rsid w:val="00CC1B26"/>
    <w:rsid w:val="00CC3091"/>
    <w:rsid w:val="00CC6BA8"/>
    <w:rsid w:val="00CD2107"/>
    <w:rsid w:val="00CD77E7"/>
    <w:rsid w:val="00CE292A"/>
    <w:rsid w:val="00CF044D"/>
    <w:rsid w:val="00D00AE7"/>
    <w:rsid w:val="00D3099B"/>
    <w:rsid w:val="00D3141C"/>
    <w:rsid w:val="00D31674"/>
    <w:rsid w:val="00D35CFE"/>
    <w:rsid w:val="00D36793"/>
    <w:rsid w:val="00D423A2"/>
    <w:rsid w:val="00D43FC7"/>
    <w:rsid w:val="00D45AB4"/>
    <w:rsid w:val="00D51AE4"/>
    <w:rsid w:val="00D63AC2"/>
    <w:rsid w:val="00D72642"/>
    <w:rsid w:val="00D7383B"/>
    <w:rsid w:val="00D810CC"/>
    <w:rsid w:val="00D81E76"/>
    <w:rsid w:val="00DA231B"/>
    <w:rsid w:val="00DB195B"/>
    <w:rsid w:val="00DD5333"/>
    <w:rsid w:val="00DF5254"/>
    <w:rsid w:val="00DF6F36"/>
    <w:rsid w:val="00E03F51"/>
    <w:rsid w:val="00E14935"/>
    <w:rsid w:val="00E15DA3"/>
    <w:rsid w:val="00E15E29"/>
    <w:rsid w:val="00E16408"/>
    <w:rsid w:val="00E20243"/>
    <w:rsid w:val="00E20894"/>
    <w:rsid w:val="00E21A26"/>
    <w:rsid w:val="00E245AB"/>
    <w:rsid w:val="00E2764C"/>
    <w:rsid w:val="00E27F2E"/>
    <w:rsid w:val="00E347F7"/>
    <w:rsid w:val="00E41D9F"/>
    <w:rsid w:val="00E50AFE"/>
    <w:rsid w:val="00E53758"/>
    <w:rsid w:val="00E627DB"/>
    <w:rsid w:val="00E700BA"/>
    <w:rsid w:val="00E770AF"/>
    <w:rsid w:val="00E771DC"/>
    <w:rsid w:val="00E81F6F"/>
    <w:rsid w:val="00E86060"/>
    <w:rsid w:val="00E8772A"/>
    <w:rsid w:val="00E90F6B"/>
    <w:rsid w:val="00E92C27"/>
    <w:rsid w:val="00E93140"/>
    <w:rsid w:val="00E94B18"/>
    <w:rsid w:val="00E97D30"/>
    <w:rsid w:val="00EA0AC6"/>
    <w:rsid w:val="00EA0E3D"/>
    <w:rsid w:val="00EA402B"/>
    <w:rsid w:val="00EA6016"/>
    <w:rsid w:val="00EB4E42"/>
    <w:rsid w:val="00EB728F"/>
    <w:rsid w:val="00EC3FE5"/>
    <w:rsid w:val="00EE1AA8"/>
    <w:rsid w:val="00EE3A37"/>
    <w:rsid w:val="00EF3562"/>
    <w:rsid w:val="00F0388B"/>
    <w:rsid w:val="00F07B1B"/>
    <w:rsid w:val="00F13FFA"/>
    <w:rsid w:val="00F1719B"/>
    <w:rsid w:val="00F237F9"/>
    <w:rsid w:val="00F254DF"/>
    <w:rsid w:val="00F31EDC"/>
    <w:rsid w:val="00F462B3"/>
    <w:rsid w:val="00F47698"/>
    <w:rsid w:val="00F5664F"/>
    <w:rsid w:val="00F622D6"/>
    <w:rsid w:val="00F666C4"/>
    <w:rsid w:val="00F75F11"/>
    <w:rsid w:val="00F76AFC"/>
    <w:rsid w:val="00F92585"/>
    <w:rsid w:val="00FA3C00"/>
    <w:rsid w:val="00FA3CAE"/>
    <w:rsid w:val="00FB5DD1"/>
    <w:rsid w:val="00FB6E95"/>
    <w:rsid w:val="00FC2B5D"/>
    <w:rsid w:val="00FD1787"/>
    <w:rsid w:val="00FD6FB8"/>
    <w:rsid w:val="00FF144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paragraph" w:styleId="Ttulo1">
    <w:name w:val="heading 1"/>
    <w:basedOn w:val="Normal"/>
    <w:link w:val="Ttulo1Car"/>
    <w:uiPriority w:val="9"/>
    <w:qFormat/>
    <w:rsid w:val="00B76A1E"/>
    <w:pPr>
      <w:widowControl w:val="0"/>
      <w:autoSpaceDE w:val="0"/>
      <w:autoSpaceDN w:val="0"/>
      <w:spacing w:before="1" w:after="0" w:line="240" w:lineRule="auto"/>
      <w:ind w:left="1181" w:hanging="360"/>
      <w:outlineLvl w:val="0"/>
    </w:pPr>
    <w:rPr>
      <w:rFonts w:ascii="Arial" w:eastAsia="Arial" w:hAnsi="Arial" w:cs="Arial"/>
      <w:b/>
      <w:bCs/>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Re"/>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Ttulo1Car">
    <w:name w:val="Título 1 Car"/>
    <w:basedOn w:val="Fuentedeprrafopredeter"/>
    <w:link w:val="Ttulo1"/>
    <w:uiPriority w:val="9"/>
    <w:rsid w:val="00B76A1E"/>
    <w:rPr>
      <w:rFonts w:ascii="Arial" w:eastAsia="Arial" w:hAnsi="Arial" w:cs="Arial"/>
      <w:b/>
      <w:bCs/>
      <w:lang w:val="es-ES"/>
    </w:rPr>
  </w:style>
  <w:style w:type="paragraph" w:customStyle="1" w:styleId="Appelnotedebasde">
    <w:name w:val="Appel note de bas de..."/>
    <w:basedOn w:val="Normal"/>
    <w:link w:val="Refdenotaalpie"/>
    <w:uiPriority w:val="99"/>
    <w:rsid w:val="00B76A1E"/>
    <w:pPr>
      <w:spacing w:line="240" w:lineRule="exact"/>
      <w:jc w:val="both"/>
    </w:pPr>
    <w:rPr>
      <w:vertAlign w:val="superscript"/>
    </w:rPr>
  </w:style>
  <w:style w:type="paragraph" w:styleId="Textoindependiente">
    <w:name w:val="Body Text"/>
    <w:basedOn w:val="Normal"/>
    <w:link w:val="TextoindependienteCar"/>
    <w:uiPriority w:val="99"/>
    <w:unhideWhenUsed/>
    <w:rsid w:val="00B76A1E"/>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extoindependienteCar">
    <w:name w:val="Texto independiente Car"/>
    <w:basedOn w:val="Fuentedeprrafopredeter"/>
    <w:link w:val="Textoindependiente"/>
    <w:uiPriority w:val="99"/>
    <w:rsid w:val="00B76A1E"/>
    <w:rPr>
      <w:rFonts w:ascii="Times New Roman" w:eastAsia="Times New Roman" w:hAnsi="Times New Roman" w:cs="Times New Roman"/>
      <w:sz w:val="24"/>
      <w:szCs w:val="24"/>
      <w:lang w:eastAsia="es-CO"/>
    </w:rPr>
  </w:style>
  <w:style w:type="character" w:customStyle="1" w:styleId="NormalWebCar">
    <w:name w:val="Normal (Web) Car"/>
    <w:link w:val="NormalWeb"/>
    <w:uiPriority w:val="99"/>
    <w:rsid w:val="00B76A1E"/>
    <w:rPr>
      <w:rFonts w:ascii="Times New Roman" w:eastAsia="Times New Roman" w:hAnsi="Times New Roman" w:cs="Times New Roman"/>
      <w:sz w:val="24"/>
      <w:szCs w:val="24"/>
      <w:lang w:eastAsia="es-CO"/>
    </w:rPr>
  </w:style>
  <w:style w:type="paragraph" w:styleId="Sinespaciado">
    <w:name w:val="No Spacing"/>
    <w:aliases w:val="No Indent"/>
    <w:link w:val="SinespaciadoCar"/>
    <w:uiPriority w:val="1"/>
    <w:qFormat/>
    <w:rsid w:val="00B76A1E"/>
    <w:pPr>
      <w:spacing w:after="0" w:line="240" w:lineRule="auto"/>
    </w:pPr>
    <w:rPr>
      <w:sz w:val="24"/>
      <w:lang w:val="es-MX"/>
    </w:rPr>
  </w:style>
  <w:style w:type="character" w:customStyle="1" w:styleId="SinespaciadoCar">
    <w:name w:val="Sin espaciado Car"/>
    <w:aliases w:val="No Indent Car"/>
    <w:link w:val="Sinespaciado"/>
    <w:uiPriority w:val="1"/>
    <w:rsid w:val="00B76A1E"/>
    <w:rPr>
      <w:sz w:val="24"/>
      <w:lang w:val="es-MX"/>
    </w:rPr>
  </w:style>
  <w:style w:type="character" w:customStyle="1" w:styleId="baj">
    <w:name w:val="b_aj"/>
    <w:basedOn w:val="Fuentedeprrafopredeter"/>
    <w:rsid w:val="00B76A1E"/>
  </w:style>
  <w:style w:type="character" w:customStyle="1" w:styleId="Hipervnculo1">
    <w:name w:val="Hipervínculo1"/>
    <w:basedOn w:val="Fuentedeprrafopredeter"/>
    <w:uiPriority w:val="99"/>
    <w:unhideWhenUsed/>
    <w:rsid w:val="00820C44"/>
    <w:rPr>
      <w:color w:val="F2F2F2"/>
      <w:u w:val="single"/>
    </w:rPr>
  </w:style>
  <w:style w:type="paragraph" w:styleId="z-Principiodelformulario">
    <w:name w:val="HTML Top of Form"/>
    <w:basedOn w:val="Normal"/>
    <w:next w:val="Normal"/>
    <w:link w:val="z-PrincipiodelformularioCar"/>
    <w:hidden/>
    <w:uiPriority w:val="99"/>
    <w:semiHidden/>
    <w:unhideWhenUsed/>
    <w:rsid w:val="00B00009"/>
    <w:pPr>
      <w:pBdr>
        <w:bottom w:val="single" w:sz="6" w:space="1" w:color="auto"/>
      </w:pBdr>
      <w:spacing w:after="0" w:line="240" w:lineRule="auto"/>
      <w:jc w:val="center"/>
    </w:pPr>
    <w:rPr>
      <w:rFonts w:ascii="Arial" w:eastAsia="Times New Roman" w:hAnsi="Arial" w:cs="Arial"/>
      <w:vanish/>
      <w:sz w:val="16"/>
      <w:szCs w:val="16"/>
      <w:lang w:eastAsia="es-CO"/>
    </w:rPr>
  </w:style>
  <w:style w:type="character" w:customStyle="1" w:styleId="z-PrincipiodelformularioCar">
    <w:name w:val="z-Principio del formulario Car"/>
    <w:basedOn w:val="Fuentedeprrafopredeter"/>
    <w:link w:val="z-Principiodelformulario"/>
    <w:uiPriority w:val="99"/>
    <w:semiHidden/>
    <w:rsid w:val="00B00009"/>
    <w:rPr>
      <w:rFonts w:ascii="Arial" w:eastAsia="Times New Roman" w:hAnsi="Arial" w:cs="Arial"/>
      <w:vanish/>
      <w:sz w:val="16"/>
      <w:szCs w:val="16"/>
      <w:lang w:eastAsia="es-CO"/>
    </w:rPr>
  </w:style>
  <w:style w:type="paragraph" w:styleId="z-Finaldelformulario">
    <w:name w:val="HTML Bottom of Form"/>
    <w:basedOn w:val="Normal"/>
    <w:next w:val="Normal"/>
    <w:link w:val="z-FinaldelformularioCar"/>
    <w:hidden/>
    <w:uiPriority w:val="99"/>
    <w:semiHidden/>
    <w:unhideWhenUsed/>
    <w:rsid w:val="00B00009"/>
    <w:pPr>
      <w:pBdr>
        <w:top w:val="single" w:sz="6" w:space="1" w:color="auto"/>
      </w:pBdr>
      <w:spacing w:after="0" w:line="240" w:lineRule="auto"/>
      <w:jc w:val="center"/>
    </w:pPr>
    <w:rPr>
      <w:rFonts w:ascii="Arial" w:eastAsia="Times New Roman" w:hAnsi="Arial" w:cs="Arial"/>
      <w:vanish/>
      <w:sz w:val="16"/>
      <w:szCs w:val="16"/>
      <w:lang w:eastAsia="es-CO"/>
    </w:rPr>
  </w:style>
  <w:style w:type="character" w:customStyle="1" w:styleId="z-FinaldelformularioCar">
    <w:name w:val="z-Final del formulario Car"/>
    <w:basedOn w:val="Fuentedeprrafopredeter"/>
    <w:link w:val="z-Finaldelformulario"/>
    <w:uiPriority w:val="99"/>
    <w:semiHidden/>
    <w:rsid w:val="00B00009"/>
    <w:rPr>
      <w:rFonts w:ascii="Arial" w:eastAsia="Times New Roman" w:hAnsi="Arial" w:cs="Arial"/>
      <w:vanish/>
      <w:sz w:val="16"/>
      <w:szCs w:val="16"/>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538436">
      <w:bodyDiv w:val="1"/>
      <w:marLeft w:val="0"/>
      <w:marRight w:val="0"/>
      <w:marTop w:val="0"/>
      <w:marBottom w:val="0"/>
      <w:divBdr>
        <w:top w:val="none" w:sz="0" w:space="0" w:color="auto"/>
        <w:left w:val="none" w:sz="0" w:space="0" w:color="auto"/>
        <w:bottom w:val="none" w:sz="0" w:space="0" w:color="auto"/>
        <w:right w:val="none" w:sz="0" w:space="0" w:color="auto"/>
      </w:divBdr>
    </w:div>
    <w:div w:id="64185610">
      <w:bodyDiv w:val="1"/>
      <w:marLeft w:val="0"/>
      <w:marRight w:val="0"/>
      <w:marTop w:val="0"/>
      <w:marBottom w:val="0"/>
      <w:divBdr>
        <w:top w:val="none" w:sz="0" w:space="0" w:color="auto"/>
        <w:left w:val="none" w:sz="0" w:space="0" w:color="auto"/>
        <w:bottom w:val="none" w:sz="0" w:space="0" w:color="auto"/>
        <w:right w:val="none" w:sz="0" w:space="0" w:color="auto"/>
      </w:divBdr>
      <w:divsChild>
        <w:div w:id="963121973">
          <w:marLeft w:val="0"/>
          <w:marRight w:val="0"/>
          <w:marTop w:val="0"/>
          <w:marBottom w:val="0"/>
          <w:divBdr>
            <w:top w:val="none" w:sz="0" w:space="0" w:color="auto"/>
            <w:left w:val="none" w:sz="0" w:space="0" w:color="auto"/>
            <w:bottom w:val="none" w:sz="0" w:space="0" w:color="auto"/>
            <w:right w:val="none" w:sz="0" w:space="0" w:color="auto"/>
          </w:divBdr>
        </w:div>
        <w:div w:id="1821192706">
          <w:marLeft w:val="0"/>
          <w:marRight w:val="0"/>
          <w:marTop w:val="0"/>
          <w:marBottom w:val="0"/>
          <w:divBdr>
            <w:top w:val="none" w:sz="0" w:space="0" w:color="auto"/>
            <w:left w:val="none" w:sz="0" w:space="0" w:color="auto"/>
            <w:bottom w:val="none" w:sz="0" w:space="0" w:color="auto"/>
            <w:right w:val="none" w:sz="0" w:space="0" w:color="auto"/>
          </w:divBdr>
        </w:div>
      </w:divsChild>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682128209">
      <w:bodyDiv w:val="1"/>
      <w:marLeft w:val="0"/>
      <w:marRight w:val="0"/>
      <w:marTop w:val="0"/>
      <w:marBottom w:val="0"/>
      <w:divBdr>
        <w:top w:val="none" w:sz="0" w:space="0" w:color="auto"/>
        <w:left w:val="none" w:sz="0" w:space="0" w:color="auto"/>
        <w:bottom w:val="none" w:sz="0" w:space="0" w:color="auto"/>
        <w:right w:val="none" w:sz="0" w:space="0" w:color="auto"/>
      </w:divBdr>
    </w:div>
    <w:div w:id="1911770359">
      <w:bodyDiv w:val="1"/>
      <w:marLeft w:val="0"/>
      <w:marRight w:val="0"/>
      <w:marTop w:val="0"/>
      <w:marBottom w:val="0"/>
      <w:divBdr>
        <w:top w:val="none" w:sz="0" w:space="0" w:color="auto"/>
        <w:left w:val="none" w:sz="0" w:space="0" w:color="auto"/>
        <w:bottom w:val="none" w:sz="0" w:space="0" w:color="auto"/>
        <w:right w:val="none" w:sz="0" w:space="0" w:color="auto"/>
      </w:divBdr>
      <w:divsChild>
        <w:div w:id="1473861491">
          <w:marLeft w:val="0"/>
          <w:marRight w:val="0"/>
          <w:marTop w:val="0"/>
          <w:marBottom w:val="0"/>
          <w:divBdr>
            <w:top w:val="none" w:sz="0" w:space="0" w:color="auto"/>
            <w:left w:val="none" w:sz="0" w:space="0" w:color="auto"/>
            <w:bottom w:val="none" w:sz="0" w:space="0" w:color="auto"/>
            <w:right w:val="none" w:sz="0" w:space="0" w:color="auto"/>
          </w:divBdr>
          <w:divsChild>
            <w:div w:id="42559704">
              <w:marLeft w:val="0"/>
              <w:marRight w:val="0"/>
              <w:marTop w:val="0"/>
              <w:marBottom w:val="0"/>
              <w:divBdr>
                <w:top w:val="none" w:sz="0" w:space="0" w:color="auto"/>
                <w:left w:val="none" w:sz="0" w:space="0" w:color="auto"/>
                <w:bottom w:val="none" w:sz="0" w:space="0" w:color="auto"/>
                <w:right w:val="none" w:sz="0" w:space="0" w:color="auto"/>
              </w:divBdr>
              <w:divsChild>
                <w:div w:id="149337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secretariasenado.gov.co/senado/basedoc/constitucion_politica_1991_pr011.html"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secretariasenado.gov.co/senado/basedoc/ley_0080_1993.html"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yperlink" Target="https://colombiacompra.gov.co/sites/cce_public/files/cce_documents/20151115_contrato_de_fiducia_para_el_manejo_de_anticipos_v2_0.pdf"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secretariasenado.gov.co/senado/basedoc/ley_0080_1993.html" TargetMode="External"/></Relationships>
</file>

<file path=word/_rels/foot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7.png"/></Relationships>
</file>

<file path=word/_rels/footnotes.xml.rels><?xml version="1.0" encoding="UTF-8" standalone="yes"?>
<Relationships xmlns="http://schemas.openxmlformats.org/package/2006/relationships"><Relationship Id="rId8" Type="http://schemas.openxmlformats.org/officeDocument/2006/relationships/hyperlink" Target="http://svrpubindc.imprenta.gov.co/senado/" TargetMode="External"/><Relationship Id="rId13" Type="http://schemas.openxmlformats.org/officeDocument/2006/relationships/hyperlink" Target="http://svrpubindc.imprenta.gov.co/senado/" TargetMode="External"/><Relationship Id="rId3" Type="http://schemas.openxmlformats.org/officeDocument/2006/relationships/hyperlink" Target="https://www.colombiacompra.gov.co/sites/cce_public/files/cce_documents/cce_guia_manejo_anticipos.pdf" TargetMode="External"/><Relationship Id="rId7" Type="http://schemas.openxmlformats.org/officeDocument/2006/relationships/hyperlink" Target="http://svrpubindc.imprenta.gov.co/senado/" TargetMode="External"/><Relationship Id="rId12" Type="http://schemas.openxmlformats.org/officeDocument/2006/relationships/hyperlink" Target="http://svrpubindc.imprenta.gov.co/senado/" TargetMode="External"/><Relationship Id="rId2" Type="http://schemas.openxmlformats.org/officeDocument/2006/relationships/hyperlink" Target="http://svrpubindc.imprenta.gov.co/senado/index.xhtml;jsessionid=b3ba7213a248bacd37376ffcedca" TargetMode="External"/><Relationship Id="rId1" Type="http://schemas.openxmlformats.org/officeDocument/2006/relationships/hyperlink" Target="https://relatoria.colombiacompra.gov.co/busqueda/conceptos" TargetMode="External"/><Relationship Id="rId6" Type="http://schemas.openxmlformats.org/officeDocument/2006/relationships/hyperlink" Target="http://svrpubindc.imprenta.gov.co/senado/" TargetMode="External"/><Relationship Id="rId11" Type="http://schemas.openxmlformats.org/officeDocument/2006/relationships/hyperlink" Target="http://svrpubindc.imprenta.gov.co/senado/" TargetMode="External"/><Relationship Id="rId5" Type="http://schemas.openxmlformats.org/officeDocument/2006/relationships/hyperlink" Target="https://www.superfinanciera.gov.co/inicio/normativa/normativa-general/circular-basica-juridica-ce----10083443" TargetMode="External"/><Relationship Id="rId10" Type="http://schemas.openxmlformats.org/officeDocument/2006/relationships/hyperlink" Target="http://svrpubindc.imprenta.gov.co/senado/" TargetMode="External"/><Relationship Id="rId4" Type="http://schemas.openxmlformats.org/officeDocument/2006/relationships/hyperlink" Target="https://www.superfinanciera.gov.co/inicio/normativa/normativa-general/circular-basica-juridica-ce----10083443" TargetMode="External"/><Relationship Id="rId9" Type="http://schemas.openxmlformats.org/officeDocument/2006/relationships/hyperlink" Target="http://svrpubindc.imprenta.gov.co/senado/" TargetMode="External"/><Relationship Id="rId14" Type="http://schemas.openxmlformats.org/officeDocument/2006/relationships/hyperlink" Target="https://www.colombiacompra.gov.co/sites/cce_public/files/cce_documents/cce_guia_manejo_anticipos.pdf"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9" ma:contentTypeDescription="Crear nuevo documento." ma:contentTypeScope="" ma:versionID="d5ae9f8d474a6ffa893796061015c19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b1a281eef382c5c83056bb39ef08c8e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SharedWithUsers xmlns="a6cb9e4b-f1d1-4245-83ec-6cad768d538a">
      <UserInfo>
        <DisplayName>Any Alejandra Tovar Castillo</DisplayName>
        <AccountId>539</AccountId>
        <AccountType/>
      </UserInfo>
    </SharedWithUsers>
    <No xmlns="9d85dbaf-23eb-4e57-a637-93dcacc8b1a1" xsi:nil="true"/>
    <_Flow_SignoffStatus xmlns="9d85dbaf-23eb-4e57-a637-93dcacc8b1a1"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ED91BDE-E329-40BA-8CB0-F2C14A58875C}"/>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03192bf5-533c-4092-b85d-ca07e08abf8d"/>
    <ds:schemaRef ds:uri="8ae15d26-076e-464e-81a7-6f76a0fb3917"/>
  </ds:schemaRefs>
</ds:datastoreItem>
</file>

<file path=customXml/itemProps3.xml><?xml version="1.0" encoding="utf-8"?>
<ds:datastoreItem xmlns:ds="http://schemas.openxmlformats.org/officeDocument/2006/customXml" ds:itemID="{3C864F77-79AD-41C7-A63A-56E7DEB9C10E}">
  <ds:schemaRefs>
    <ds:schemaRef ds:uri="http://schemas.openxmlformats.org/officeDocument/2006/bibliography"/>
  </ds:schemaRefs>
</ds:datastoreItem>
</file>

<file path=customXml/itemProps4.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26</Pages>
  <Words>9016</Words>
  <Characters>49592</Characters>
  <Application>Microsoft Office Word</Application>
  <DocSecurity>0</DocSecurity>
  <Lines>413</Lines>
  <Paragraphs>116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58492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ANCP - CCE</cp:lastModifiedBy>
  <cp:revision>3</cp:revision>
  <cp:lastPrinted>2023-01-10T21:18:00Z</cp:lastPrinted>
  <dcterms:created xsi:type="dcterms:W3CDTF">2023-11-16T06:25:00Z</dcterms:created>
  <dcterms:modified xsi:type="dcterms:W3CDTF">2023-11-30T05:58:00Z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