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E64B5" w:rsidR="008E64B5" w:rsidP="008E64B5" w:rsidRDefault="008E64B5" w14:paraId="3977CECA" w14:textId="77777777">
      <w:pPr>
        <w:spacing w:after="0" w:line="240" w:lineRule="auto"/>
        <w:textAlignment w:val="baseline"/>
        <w:rPr>
          <w:rFonts w:ascii="Arial" w:hAnsi="Arial" w:eastAsia="Times New Roman" w:cs="Arial"/>
          <w:b/>
          <w:bCs/>
          <w:sz w:val="22"/>
          <w:szCs w:val="22"/>
          <w:lang w:val="es-CO" w:eastAsia="es-CO"/>
        </w:rPr>
      </w:pPr>
      <w:r w:rsidRPr="008E64B5">
        <w:rPr>
          <w:rFonts w:ascii="Arial" w:hAnsi="Arial" w:eastAsia="Times New Roman" w:cs="Arial"/>
          <w:b/>
          <w:bCs/>
          <w:sz w:val="22"/>
          <w:szCs w:val="22"/>
          <w:lang w:val="es-CO" w:eastAsia="es-CO"/>
        </w:rPr>
        <w:t xml:space="preserve">INCENTIVO CONTRACTUAL – Licitación pública - Ley 1920 de 2018 – Artículo 6 – </w:t>
      </w:r>
      <w:r w:rsidRPr="008E64B5">
        <w:rPr>
          <w:rFonts w:ascii="Arial" w:hAnsi="Arial" w:cs="Arial"/>
          <w:b/>
          <w:sz w:val="22"/>
          <w:szCs w:val="22"/>
          <w:lang w:val="es-ES_tradnl" w:eastAsia="en-US"/>
        </w:rPr>
        <w:t>Empresas de vigilancia y seguridad privada y/o las cooperativas especializadas de vigilancia y de seguridad privada</w:t>
      </w:r>
    </w:p>
    <w:p w:rsidRPr="008E64B5" w:rsidR="008E64B5" w:rsidP="008E64B5" w:rsidRDefault="008E64B5" w14:paraId="4444F6A5" w14:textId="77777777">
      <w:pPr>
        <w:spacing w:after="0" w:line="240" w:lineRule="auto"/>
        <w:rPr>
          <w:rFonts w:ascii="Arial" w:hAnsi="Arial" w:cs="Arial"/>
          <w:b/>
          <w:bCs/>
          <w:sz w:val="22"/>
          <w:lang w:val="es-CO"/>
        </w:rPr>
      </w:pPr>
    </w:p>
    <w:p w:rsidRPr="0015675B" w:rsidR="0015675B" w:rsidP="00301961" w:rsidRDefault="0015675B" w14:paraId="0BC065E9" w14:textId="77777777">
      <w:pPr>
        <w:tabs>
          <w:tab w:val="left" w:pos="4253"/>
        </w:tabs>
        <w:spacing w:after="0" w:line="240" w:lineRule="auto"/>
        <w:rPr>
          <w:rFonts w:ascii="Arial" w:hAnsi="Arial" w:cs="Arial"/>
          <w:color w:val="000000"/>
          <w:sz w:val="20"/>
          <w:szCs w:val="20"/>
          <w:lang w:val="es-ES_tradnl" w:eastAsia="en-US"/>
        </w:rPr>
      </w:pPr>
      <w:r w:rsidRPr="0015675B">
        <w:rPr>
          <w:rFonts w:ascii="Arial" w:hAnsi="Arial" w:cs="Arial"/>
          <w:color w:val="000000"/>
          <w:sz w:val="20"/>
          <w:szCs w:val="20"/>
          <w:lang w:val="es-ES_tradnl" w:eastAsia="en-US"/>
        </w:rPr>
        <w:t>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permita su ejecución.</w:t>
      </w:r>
    </w:p>
    <w:p w:rsidRPr="0015675B" w:rsidR="0015675B" w:rsidP="0015675B" w:rsidRDefault="0015675B" w14:paraId="6F12612D" w14:textId="77777777">
      <w:pPr>
        <w:spacing w:after="0" w:line="240" w:lineRule="auto"/>
        <w:rPr>
          <w:rFonts w:ascii="Arial" w:hAnsi="Arial" w:cs="Arial"/>
          <w:color w:val="000000"/>
          <w:sz w:val="20"/>
          <w:szCs w:val="20"/>
          <w:lang w:val="es-ES_tradnl" w:eastAsia="en-US"/>
        </w:rPr>
      </w:pPr>
    </w:p>
    <w:p w:rsidRPr="0015675B" w:rsidR="0015675B" w:rsidP="0015675B" w:rsidRDefault="0015675B" w14:paraId="2F26EAC4" w14:textId="5F859F58">
      <w:pPr>
        <w:spacing w:after="0" w:line="240" w:lineRule="auto"/>
        <w:rPr>
          <w:rFonts w:ascii="Arial" w:hAnsi="Arial" w:cs="Arial"/>
          <w:color w:val="000000"/>
          <w:sz w:val="20"/>
          <w:szCs w:val="20"/>
          <w:lang w:val="es-ES_tradnl" w:eastAsia="en-US"/>
        </w:rPr>
      </w:pPr>
      <w:r w:rsidRPr="0015675B">
        <w:rPr>
          <w:rFonts w:ascii="Arial" w:hAnsi="Arial" w:cs="Arial"/>
          <w:color w:val="000000"/>
          <w:sz w:val="20"/>
          <w:szCs w:val="20"/>
          <w:lang w:val="es-ES_tradnl" w:eastAsia="en-US"/>
        </w:rPr>
        <w:t xml:space="preserve">En cuanto a su contenido, es importante señalar que, como dispone el artículo 1, esta norma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rsidRPr="0015675B" w:rsidR="0015675B" w:rsidP="0015675B" w:rsidRDefault="0015675B" w14:paraId="03093EF1" w14:textId="77777777">
      <w:pPr>
        <w:spacing w:after="0" w:line="240" w:lineRule="auto"/>
        <w:rPr>
          <w:rFonts w:ascii="Arial" w:hAnsi="Arial" w:cs="Arial"/>
          <w:color w:val="000000"/>
          <w:sz w:val="20"/>
          <w:szCs w:val="20"/>
          <w:lang w:val="es-ES_tradnl" w:eastAsia="en-US"/>
        </w:rPr>
      </w:pPr>
    </w:p>
    <w:p w:rsidRPr="0015675B" w:rsidR="0015675B" w:rsidP="0015675B" w:rsidRDefault="0015675B" w14:paraId="14C05FF2" w14:textId="77777777">
      <w:pPr>
        <w:spacing w:after="0" w:line="240" w:lineRule="auto"/>
        <w:rPr>
          <w:rFonts w:ascii="Arial" w:hAnsi="Arial" w:cs="Arial"/>
          <w:color w:val="000000"/>
          <w:sz w:val="20"/>
          <w:szCs w:val="20"/>
          <w:lang w:val="es-ES_tradnl" w:eastAsia="en-US"/>
        </w:rPr>
      </w:pPr>
      <w:r w:rsidRPr="0015675B">
        <w:rPr>
          <w:rFonts w:ascii="Arial" w:hAnsi="Arial" w:cs="Arial"/>
          <w:color w:val="000000"/>
          <w:sz w:val="20"/>
          <w:szCs w:val="20"/>
          <w:lang w:val="es-ES_tradnl" w:eastAsia="en-US"/>
        </w:rPr>
        <w:t>El artículo 6 de la ley creó un incentivo contractual para prestadores de servicios de vigilancia y seguridad privada basado en la vinculación de mujeres, personas mayores de 45 años o en condición de discapacidad. En efecto, el inciso primero de la norma dispone que: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p>
    <w:p w:rsidRPr="0015675B" w:rsidR="0015675B" w:rsidP="0015675B" w:rsidRDefault="0015675B" w14:paraId="332D89D4" w14:textId="77777777">
      <w:pPr>
        <w:spacing w:after="0" w:line="240" w:lineRule="auto"/>
        <w:rPr>
          <w:rFonts w:ascii="Arial" w:hAnsi="Arial" w:cs="Arial"/>
          <w:color w:val="000000"/>
          <w:sz w:val="20"/>
          <w:szCs w:val="20"/>
          <w:lang w:val="es-ES_tradnl" w:eastAsia="en-US"/>
        </w:rPr>
      </w:pPr>
    </w:p>
    <w:p w:rsidRPr="008E64B5" w:rsidR="008E64B5" w:rsidP="008E64B5" w:rsidRDefault="008E64B5" w14:paraId="52F48DBF" w14:textId="77777777">
      <w:pPr>
        <w:spacing w:after="0" w:line="240" w:lineRule="auto"/>
        <w:rPr>
          <w:rFonts w:ascii="Arial" w:hAnsi="Arial" w:cs="Arial"/>
          <w:b/>
          <w:bCs/>
          <w:sz w:val="22"/>
          <w:lang w:val="es-CO"/>
        </w:rPr>
      </w:pPr>
    </w:p>
    <w:p w:rsidRPr="008E64B5" w:rsidR="00305C19" w:rsidP="00305C19" w:rsidRDefault="00305C19" w14:paraId="3C4F67D6" w14:textId="77777777">
      <w:pPr>
        <w:spacing w:after="0" w:line="240" w:lineRule="auto"/>
        <w:textAlignment w:val="baseline"/>
        <w:rPr>
          <w:rFonts w:ascii="Arial" w:hAnsi="Arial" w:cs="Arial"/>
          <w:b/>
          <w:sz w:val="22"/>
          <w:szCs w:val="22"/>
          <w:lang w:val="es-ES_tradnl" w:eastAsia="en-US"/>
        </w:rPr>
      </w:pPr>
      <w:r w:rsidRPr="008E64B5">
        <w:rPr>
          <w:rFonts w:ascii="Arial" w:hAnsi="Arial" w:eastAsia="Times New Roman" w:cs="Arial"/>
          <w:b/>
          <w:bCs/>
          <w:sz w:val="22"/>
          <w:szCs w:val="22"/>
          <w:lang w:val="es-CO" w:eastAsia="es-CO"/>
        </w:rPr>
        <w:t xml:space="preserve">DECRETO 1279 DE 2021 – Objeto – Reglamentación de incentivo contractual – vigencia – </w:t>
      </w:r>
      <w:r w:rsidRPr="008E64B5">
        <w:rPr>
          <w:rFonts w:ascii="Arial" w:hAnsi="Arial" w:cs="Arial"/>
          <w:b/>
          <w:sz w:val="22"/>
          <w:szCs w:val="22"/>
          <w:lang w:val="es-ES_tradnl" w:eastAsia="en-US"/>
        </w:rPr>
        <w:t xml:space="preserve">Mujeres </w:t>
      </w:r>
      <w:r w:rsidRPr="008E64B5">
        <w:rPr>
          <w:rFonts w:ascii="Arial" w:hAnsi="Arial" w:eastAsia="Times New Roman" w:cs="Arial"/>
          <w:b/>
          <w:bCs/>
          <w:sz w:val="22"/>
          <w:szCs w:val="22"/>
          <w:lang w:val="es-CO" w:eastAsia="es-CO"/>
        </w:rPr>
        <w:t>–</w:t>
      </w:r>
      <w:r w:rsidRPr="008E64B5">
        <w:rPr>
          <w:rFonts w:ascii="Arial" w:hAnsi="Arial" w:cs="Arial"/>
          <w:b/>
          <w:sz w:val="22"/>
          <w:szCs w:val="22"/>
          <w:lang w:val="es-ES_tradnl" w:eastAsia="en-US"/>
        </w:rPr>
        <w:t xml:space="preserve"> Personas con discapacidad </w:t>
      </w:r>
      <w:r w:rsidRPr="008E64B5">
        <w:rPr>
          <w:rFonts w:ascii="Arial" w:hAnsi="Arial" w:eastAsia="Times New Roman" w:cs="Arial"/>
          <w:b/>
          <w:bCs/>
          <w:sz w:val="22"/>
          <w:szCs w:val="22"/>
          <w:lang w:val="es-CO" w:eastAsia="es-CO"/>
        </w:rPr>
        <w:t>–</w:t>
      </w:r>
      <w:r w:rsidRPr="008E64B5">
        <w:rPr>
          <w:rFonts w:ascii="Arial" w:hAnsi="Arial" w:cs="Arial"/>
          <w:b/>
          <w:sz w:val="22"/>
          <w:szCs w:val="22"/>
          <w:lang w:val="es-ES_tradnl" w:eastAsia="en-US"/>
        </w:rPr>
        <w:t xml:space="preserve"> Personas mayores de 45 años</w:t>
      </w:r>
    </w:p>
    <w:p w:rsidRPr="008E64B5" w:rsidR="00305C19" w:rsidP="00305C19" w:rsidRDefault="00305C19" w14:paraId="4D4F5994" w14:textId="77777777">
      <w:pPr>
        <w:spacing w:after="0" w:line="240" w:lineRule="auto"/>
        <w:rPr>
          <w:rFonts w:ascii="Arial" w:hAnsi="Arial" w:cs="Arial"/>
          <w:b/>
          <w:bCs/>
          <w:sz w:val="20"/>
          <w:szCs w:val="20"/>
          <w:lang w:val="es-CO"/>
        </w:rPr>
      </w:pPr>
    </w:p>
    <w:p w:rsidRPr="000A2B46" w:rsidR="00305C19" w:rsidP="00305C19" w:rsidRDefault="00305C19" w14:paraId="782C5EA0" w14:textId="77777777">
      <w:pPr>
        <w:spacing w:after="0" w:line="240" w:lineRule="auto"/>
        <w:rPr>
          <w:rFonts w:ascii="Arial" w:hAnsi="Arial" w:cs="Arial"/>
          <w:color w:val="000000"/>
          <w:sz w:val="20"/>
          <w:szCs w:val="20"/>
          <w:lang w:val="es-ES_tradnl" w:eastAsia="en-US"/>
        </w:rPr>
      </w:pPr>
      <w:r w:rsidRPr="000A2B46">
        <w:rPr>
          <w:rFonts w:ascii="Arial" w:hAnsi="Arial" w:cs="Arial"/>
          <w:color w:val="000000"/>
          <w:sz w:val="20"/>
          <w:szCs w:val="20"/>
          <w:lang w:val="es-ES_tradnl" w:eastAsia="en-US"/>
        </w:rPr>
        <w:t xml:space="preserve">El incentivo creado en el artículo 6 de la Ley 1920 de 2018 requiere la existencia de una reglamentación como condición de eficacia. Para estos efectos, si bien el Congreso de la República conserva la cláusula general de competencia normativa para la expedición de las leyes, en ocasiones puede sujetar su aplicación a una norma de menor jerarquía que regule aspectos de detalle, por lo que exige la expedición del decreto reglamentario correspondiente. Dicha reglamentación quedó contenida en el Decreto 1279 expedido por el gobierno nacional el 13 de octubre de 2021, en ejercicio de la facultad prevista en el numeral 11 del artículo 189 de la Constitución Política.  </w:t>
      </w:r>
    </w:p>
    <w:p w:rsidR="00305C19" w:rsidP="00305C19" w:rsidRDefault="00305C19" w14:paraId="5937147D" w14:textId="77777777">
      <w:pPr>
        <w:spacing w:after="0" w:line="240" w:lineRule="auto"/>
        <w:rPr>
          <w:rFonts w:ascii="Arial" w:hAnsi="Arial" w:cs="Arial"/>
          <w:color w:val="000000"/>
          <w:sz w:val="20"/>
          <w:szCs w:val="20"/>
          <w:lang w:val="es-ES_tradnl" w:eastAsia="en-US"/>
        </w:rPr>
      </w:pPr>
    </w:p>
    <w:p w:rsidRPr="00D60734" w:rsidR="00305C19" w:rsidP="00305C19" w:rsidRDefault="00305C19" w14:paraId="3119DCB2" w14:textId="77777777">
      <w:pPr>
        <w:spacing w:after="0" w:line="240" w:lineRule="auto"/>
        <w:rPr>
          <w:rFonts w:ascii="Arial" w:hAnsi="Arial" w:cs="Arial"/>
          <w:color w:val="000000"/>
          <w:sz w:val="20"/>
          <w:szCs w:val="20"/>
          <w:lang w:val="es-ES_tradnl" w:eastAsia="en-US"/>
        </w:rPr>
      </w:pPr>
      <w:r w:rsidRPr="000A2B46">
        <w:rPr>
          <w:rFonts w:ascii="Arial" w:hAnsi="Arial" w:cs="Arial"/>
          <w:color w:val="000000"/>
          <w:sz w:val="20"/>
          <w:szCs w:val="20"/>
          <w:lang w:val="es-ES_tradnl" w:eastAsia="en-US"/>
        </w:rPr>
        <w:t>[…]</w:t>
      </w:r>
      <w:r w:rsidRPr="00D60734">
        <w:rPr>
          <w:rFonts w:ascii="Arial" w:hAnsi="Arial" w:cs="Arial"/>
          <w:color w:val="000000"/>
          <w:sz w:val="20"/>
          <w:szCs w:val="20"/>
          <w:lang w:val="es-ES_tradnl" w:eastAsia="en-US"/>
        </w:rPr>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se analiza con otros elementos que obran en este sentido, como los antecedentes legislativos, es posible utilizar la referencia al reglamento como una prueba de que la ley moduló sus efectos en el tiempo y se encuentra sometida a condición.</w:t>
      </w:r>
    </w:p>
    <w:p w:rsidRPr="00D60734" w:rsidR="00305C19" w:rsidP="00305C19" w:rsidRDefault="00305C19" w14:paraId="483477F9" w14:textId="77777777">
      <w:pPr>
        <w:shd w:val="clear" w:color="auto" w:fill="FFFFFF"/>
        <w:spacing w:after="0" w:line="240" w:lineRule="auto"/>
        <w:ind w:right="51"/>
        <w:rPr>
          <w:rFonts w:ascii="Arial" w:hAnsi="Arial" w:cs="Arial"/>
          <w:color w:val="000000"/>
          <w:sz w:val="20"/>
          <w:szCs w:val="20"/>
          <w:lang w:val="es-ES_tradnl" w:eastAsia="en-US"/>
        </w:rPr>
      </w:pPr>
    </w:p>
    <w:p w:rsidRPr="00D60734" w:rsidR="00305C19" w:rsidP="00305C19" w:rsidRDefault="00305C19" w14:paraId="1FEB6719" w14:textId="77777777">
      <w:pPr>
        <w:shd w:val="clear" w:color="auto" w:fill="FFFFFF"/>
        <w:spacing w:after="0" w:line="240" w:lineRule="auto"/>
        <w:ind w:right="51"/>
        <w:rPr>
          <w:rFonts w:ascii="Arial" w:hAnsi="Arial" w:cs="Arial"/>
          <w:bCs/>
          <w:color w:val="000000"/>
          <w:sz w:val="20"/>
          <w:szCs w:val="20"/>
          <w:lang w:val="es-ES_tradnl" w:eastAsia="en-US"/>
        </w:rPr>
      </w:pPr>
      <w:r w:rsidRPr="00D60734">
        <w:rPr>
          <w:rFonts w:ascii="Arial" w:hAnsi="Arial" w:cs="Arial"/>
          <w:color w:val="000000"/>
          <w:sz w:val="20"/>
          <w:szCs w:val="20"/>
          <w:lang w:val="es-ES_tradnl" w:eastAsia="en-US"/>
        </w:rPr>
        <w:t xml:space="preserve">En tal sentido, el Congreso de la República dispuso la expedición de un decreto reglamentario para detallar el contenido del artículo 6 de la Ley 1920 de 2018, cuya expedición debió darse durante los 6 meses siguientes a la expedición de la ley. No obstante, el Gobierno Nacional expidió la reglamentación con posterioridad, pues el Decreto 1279 de 2021 inició su vigencia desde su publicación el 13 de octubre del año en curso. Por ello, mientras estuvo ausente el referido decreto existió una </w:t>
      </w:r>
      <w:r w:rsidRPr="00D60734">
        <w:rPr>
          <w:rFonts w:ascii="Arial" w:hAnsi="Arial" w:cs="Arial"/>
          <w:i/>
          <w:iCs/>
          <w:color w:val="000000"/>
          <w:sz w:val="20"/>
          <w:szCs w:val="20"/>
          <w:lang w:val="es-ES_tradnl" w:eastAsia="en-US"/>
        </w:rPr>
        <w:t>laguna técnica</w:t>
      </w:r>
      <w:r w:rsidRPr="00D60734">
        <w:rPr>
          <w:rFonts w:ascii="Arial" w:hAnsi="Arial" w:cs="Arial"/>
          <w:color w:val="000000"/>
          <w:sz w:val="20"/>
          <w:szCs w:val="20"/>
          <w:lang w:val="es-ES_tradnl" w:eastAsia="en-US"/>
        </w:rPr>
        <w:t xml:space="preserve"> que impedía aplicar el incentivo previsto en la ley</w:t>
      </w:r>
      <w:r w:rsidRPr="00D60734">
        <w:rPr>
          <w:rFonts w:ascii="Arial" w:hAnsi="Arial" w:cs="Arial"/>
          <w:bCs/>
          <w:color w:val="000000"/>
          <w:sz w:val="20"/>
          <w:szCs w:val="20"/>
          <w:lang w:val="es-ES_tradnl" w:eastAsia="en-US"/>
        </w:rPr>
        <w:t xml:space="preserve">. </w:t>
      </w:r>
    </w:p>
    <w:p w:rsidRPr="008E64B5" w:rsidR="00305C19" w:rsidP="00305C19" w:rsidRDefault="00305C19" w14:paraId="24DEE32E" w14:textId="77777777">
      <w:pPr>
        <w:shd w:val="clear" w:color="auto" w:fill="FFFFFF"/>
        <w:spacing w:after="0" w:line="240" w:lineRule="auto"/>
        <w:ind w:right="51"/>
        <w:rPr>
          <w:rFonts w:ascii="Arial" w:hAnsi="Arial" w:cs="Arial"/>
          <w:bCs/>
          <w:sz w:val="20"/>
          <w:szCs w:val="20"/>
          <w:lang w:val="es-ES_tradnl" w:eastAsia="en-US"/>
        </w:rPr>
      </w:pPr>
    </w:p>
    <w:p w:rsidRPr="00D60734" w:rsidR="00305C19" w:rsidP="00305C19" w:rsidRDefault="00305C19" w14:paraId="15BE1EED" w14:textId="77777777">
      <w:pPr>
        <w:shd w:val="clear" w:color="auto" w:fill="FFFFFF"/>
        <w:spacing w:after="0" w:line="240" w:lineRule="auto"/>
        <w:ind w:right="51"/>
        <w:rPr>
          <w:rFonts w:ascii="Arial" w:hAnsi="Arial" w:cs="Arial"/>
          <w:bCs/>
          <w:sz w:val="20"/>
          <w:szCs w:val="20"/>
          <w:lang w:val="es-ES_tradnl" w:eastAsia="en-US"/>
        </w:rPr>
      </w:pPr>
      <w:r w:rsidRPr="00D60734">
        <w:rPr>
          <w:rFonts w:ascii="Arial" w:hAnsi="Arial" w:cs="Arial"/>
          <w:bCs/>
          <w:sz w:val="20"/>
          <w:szCs w:val="20"/>
          <w:lang w:val="es-ES_tradnl" w:eastAsia="en-US"/>
        </w:rPr>
        <w:t xml:space="preserve">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puedan establecer puntajes adicionales en los procesos de licitación pública que se inicien para la contratación de los servicios que prestan las empresas  y cooperativas de vigilancia y seguridad privada, cuando estos proveedores acrediten que dentro de su personal operativo cuentan con mujeres, personas con discapacidad y personas mayores de 45 años vinculadas con todas las garantías que establece la ley.  </w:t>
      </w:r>
    </w:p>
    <w:p w:rsidRPr="008E64B5" w:rsidR="00305C19" w:rsidP="00305C19" w:rsidRDefault="00305C19" w14:paraId="39B51AF4" w14:textId="77777777">
      <w:pPr>
        <w:shd w:val="clear" w:color="auto" w:fill="FFFFFF"/>
        <w:spacing w:after="0" w:line="240" w:lineRule="auto"/>
        <w:ind w:right="51"/>
        <w:rPr>
          <w:rFonts w:ascii="Arial" w:hAnsi="Arial" w:cs="Arial"/>
          <w:bCs/>
          <w:sz w:val="20"/>
          <w:szCs w:val="20"/>
          <w:lang w:val="es-ES_tradnl" w:eastAsia="en-US"/>
        </w:rPr>
      </w:pPr>
    </w:p>
    <w:p w:rsidRPr="008E64B5" w:rsidR="00305C19" w:rsidP="00305C19" w:rsidRDefault="00305C19" w14:paraId="73D7C699" w14:textId="77777777">
      <w:pPr>
        <w:shd w:val="clear" w:color="auto" w:fill="FFFFFF"/>
        <w:spacing w:after="0" w:line="240" w:lineRule="auto"/>
        <w:ind w:right="51"/>
        <w:rPr>
          <w:rFonts w:ascii="Arial" w:hAnsi="Arial" w:eastAsia="Times New Roman" w:cs="Arial"/>
          <w:b/>
          <w:bCs/>
          <w:sz w:val="22"/>
          <w:szCs w:val="22"/>
          <w:shd w:val="clear" w:color="auto" w:fill="FFFFFF"/>
          <w:lang w:val="es-CO"/>
        </w:rPr>
      </w:pPr>
      <w:r w:rsidRPr="00BD09FF">
        <w:rPr>
          <w:rFonts w:ascii="Arial" w:hAnsi="Arial" w:eastAsia="Times New Roman" w:cs="Arial"/>
          <w:b/>
          <w:bCs/>
          <w:sz w:val="22"/>
          <w:szCs w:val="22"/>
          <w:shd w:val="clear" w:color="auto" w:fill="FFFFFF"/>
          <w:lang w:val="es-CO"/>
        </w:rPr>
        <w:t>INCENTIVO CONTRACTUAL - Puntaje adicional – Licitación pública - Empresas de vigilancia y seguridad privada o cooperativas de vigilancia y seguridad privada – Criterios</w:t>
      </w:r>
      <w:r w:rsidRPr="008E64B5">
        <w:rPr>
          <w:rFonts w:ascii="Arial" w:hAnsi="Arial" w:eastAsia="Times New Roman" w:cs="Arial"/>
          <w:b/>
          <w:bCs/>
          <w:sz w:val="22"/>
          <w:szCs w:val="22"/>
          <w:shd w:val="clear" w:color="auto" w:fill="FFFFFF"/>
          <w:lang w:val="es-CO"/>
        </w:rPr>
        <w:t xml:space="preserve"> </w:t>
      </w:r>
    </w:p>
    <w:p w:rsidRPr="008E64B5" w:rsidR="00305C19" w:rsidP="00305C19" w:rsidRDefault="00305C19" w14:paraId="37EAD21F" w14:textId="77777777">
      <w:pPr>
        <w:shd w:val="clear" w:color="auto" w:fill="FFFFFF"/>
        <w:spacing w:after="0" w:line="240" w:lineRule="auto"/>
        <w:ind w:right="51"/>
        <w:rPr>
          <w:rFonts w:ascii="Arial" w:hAnsi="Arial" w:eastAsia="Times New Roman" w:cs="Arial"/>
          <w:b/>
          <w:bCs/>
          <w:sz w:val="22"/>
          <w:szCs w:val="22"/>
          <w:shd w:val="clear" w:color="auto" w:fill="FFFFFF"/>
          <w:lang w:val="es-CO"/>
        </w:rPr>
      </w:pPr>
    </w:p>
    <w:p w:rsidRPr="00BD09FF" w:rsidR="00305C19" w:rsidP="00305C19" w:rsidRDefault="00305C19" w14:paraId="468BB086" w14:textId="77777777">
      <w:pPr>
        <w:shd w:val="clear" w:color="auto" w:fill="FFFFFF"/>
        <w:spacing w:after="0" w:line="240" w:lineRule="auto"/>
        <w:ind w:right="51"/>
        <w:rPr>
          <w:rFonts w:ascii="Arial" w:hAnsi="Arial" w:eastAsia="Times New Roman" w:cs="Arial"/>
          <w:bCs/>
          <w:sz w:val="20"/>
          <w:szCs w:val="20"/>
          <w:shd w:val="clear" w:color="auto" w:fill="FFFFFF"/>
          <w:lang w:val="es-CO"/>
        </w:rPr>
      </w:pPr>
      <w:r w:rsidRPr="00BD09FF">
        <w:rPr>
          <w:rFonts w:ascii="Arial" w:hAnsi="Arial" w:eastAsia="Times New Roman" w:cs="Arial"/>
          <w:sz w:val="20"/>
          <w:szCs w:val="20"/>
          <w:shd w:val="clear" w:color="auto" w:fill="FFFFFF"/>
          <w:lang w:val="es-CO"/>
        </w:rPr>
        <w:t>En este sentido, el artículo</w:t>
      </w:r>
      <w:r w:rsidRPr="00BD09FF">
        <w:rPr>
          <w:rFonts w:ascii="Arial" w:hAnsi="Arial" w:eastAsia="Times New Roman" w:cs="Arial"/>
          <w:bCs/>
          <w:sz w:val="20"/>
          <w:szCs w:val="20"/>
          <w:shd w:val="clear" w:color="auto" w:fill="FFFFFF"/>
          <w:lang w:val="es-CO"/>
        </w:rPr>
        <w:t xml:space="preserve"> 2.2.1.2.4.2.10 del Decreto 1082 de 2015, que fue adicionado por el Decreto 1279 del 2021, dispone que se otorga hasta el tres por ciento (3%) del total de los puntos establecidos en el pliego de condiciones, de acuerdo con los siguientes criterios: </w:t>
      </w:r>
    </w:p>
    <w:p w:rsidR="00305C19" w:rsidP="00305C19" w:rsidRDefault="00305C19" w14:paraId="77FFE688" w14:textId="77777777">
      <w:pPr>
        <w:shd w:val="clear" w:color="auto" w:fill="FFFFFF"/>
        <w:spacing w:after="0" w:line="240" w:lineRule="auto"/>
        <w:ind w:right="51"/>
        <w:rPr>
          <w:rFonts w:ascii="Arial" w:hAnsi="Arial" w:eastAsia="Times New Roman" w:cs="Arial"/>
          <w:bCs/>
          <w:sz w:val="20"/>
          <w:szCs w:val="20"/>
          <w:shd w:val="clear" w:color="auto" w:fill="FFFFFF"/>
          <w:lang w:val="es-CO"/>
        </w:rPr>
      </w:pPr>
    </w:p>
    <w:p w:rsidRPr="00A16CFC" w:rsidR="00305C19" w:rsidP="00305C19" w:rsidRDefault="00305C19" w14:paraId="2F3BF827" w14:textId="77777777">
      <w:pPr>
        <w:shd w:val="clear" w:color="auto" w:fill="FFFFFF"/>
        <w:spacing w:after="0" w:line="240" w:lineRule="auto"/>
        <w:ind w:right="51"/>
        <w:rPr>
          <w:rFonts w:ascii="Arial" w:hAnsi="Arial" w:eastAsia="Times New Roman" w:cs="Arial"/>
          <w:bCs/>
          <w:sz w:val="20"/>
          <w:szCs w:val="20"/>
          <w:shd w:val="clear" w:color="auto" w:fill="FFFFFF"/>
          <w:lang w:val="es-CO"/>
        </w:rPr>
      </w:pPr>
      <w:r w:rsidRPr="00A16CFC">
        <w:rPr>
          <w:rFonts w:ascii="Arial" w:hAnsi="Arial" w:eastAsia="Times New Roman" w:cs="Arial"/>
          <w:b/>
          <w:bCs/>
          <w:sz w:val="20"/>
          <w:szCs w:val="20"/>
          <w:shd w:val="clear" w:color="auto" w:fill="FFFFFF"/>
          <w:lang w:val="es-CO"/>
        </w:rPr>
        <w:t xml:space="preserve">i) </w:t>
      </w:r>
      <w:r w:rsidRPr="00A16CFC">
        <w:rPr>
          <w:rFonts w:ascii="Arial" w:hAnsi="Arial" w:eastAsia="Times New Roman" w:cs="Arial"/>
          <w:bCs/>
          <w:sz w:val="20"/>
          <w:szCs w:val="20"/>
          <w:shd w:val="clear" w:color="auto" w:fill="FFFFFF"/>
          <w:lang w:val="es-CO"/>
        </w:rPr>
        <w:t xml:space="preserve">Se otorga hasta un uno por ciento (1%) al proponente o los proponentes que acrediten tener dentro de su personal operativo mujeres vinculadas, de la siguiente forma: a) El cero punto cinco por ciento (0,5%) se le brinda al proponente o proponentes que acrediten el mayor </w:t>
      </w:r>
      <w:r w:rsidRPr="00A16CFC">
        <w:rPr>
          <w:rFonts w:ascii="Arial" w:hAnsi="Arial" w:eastAsia="Times New Roman" w:cs="Arial"/>
          <w:bCs/>
          <w:i/>
          <w:iCs/>
          <w:sz w:val="20"/>
          <w:szCs w:val="20"/>
          <w:shd w:val="clear" w:color="auto" w:fill="FFFFFF"/>
          <w:lang w:val="es-CO"/>
        </w:rPr>
        <w:t>porcentaje de mujeres vinculadas</w:t>
      </w:r>
      <w:r w:rsidRPr="00A16CFC">
        <w:rPr>
          <w:rFonts w:ascii="Arial" w:hAnsi="Arial" w:eastAsia="Times New Roman" w:cs="Arial"/>
          <w:bCs/>
          <w:sz w:val="20"/>
          <w:szCs w:val="20"/>
          <w:shd w:val="clear" w:color="auto" w:fill="FFFFFF"/>
          <w:lang w:val="es-CO"/>
        </w:rPr>
        <w:t xml:space="preserve"> dentro de su personal operativo. </w:t>
      </w:r>
      <w:r w:rsidRPr="00937D75">
        <w:rPr>
          <w:rFonts w:ascii="Arial" w:hAnsi="Arial" w:eastAsia="Times New Roman" w:cs="Arial"/>
          <w:sz w:val="22"/>
          <w:szCs w:val="22"/>
          <w:lang w:val="es-CO" w:eastAsia="es-CO"/>
        </w:rPr>
        <w:t xml:space="preserve">b) El cero punto cinco por ciento (0,5%) se le otorga al proponente o los proponentes que acrediten el mayor </w:t>
      </w:r>
      <w:r w:rsidRPr="00937D75">
        <w:rPr>
          <w:rFonts w:ascii="Arial" w:hAnsi="Arial" w:eastAsia="Times New Roman" w:cs="Arial"/>
          <w:i/>
          <w:iCs/>
          <w:sz w:val="22"/>
          <w:szCs w:val="22"/>
          <w:lang w:val="es-CO" w:eastAsia="es-CO"/>
        </w:rPr>
        <w:t>número de mujeres vinculadas</w:t>
      </w:r>
      <w:r w:rsidRPr="00937D75">
        <w:rPr>
          <w:rFonts w:ascii="Arial" w:hAnsi="Arial" w:eastAsia="Times New Roman" w:cs="Arial"/>
          <w:sz w:val="22"/>
          <w:szCs w:val="22"/>
          <w:lang w:val="es-CO" w:eastAsia="es-CO"/>
        </w:rPr>
        <w:t xml:space="preserve"> dentro de su personal operativo.</w:t>
      </w:r>
      <w:r>
        <w:rPr>
          <w:rFonts w:ascii="Arial" w:hAnsi="Arial" w:eastAsia="Times New Roman" w:cs="Arial"/>
          <w:sz w:val="22"/>
          <w:szCs w:val="22"/>
          <w:lang w:val="es-CO" w:eastAsia="es-CO"/>
        </w:rPr>
        <w:t xml:space="preserve"> </w:t>
      </w:r>
      <w:proofErr w:type="spellStart"/>
      <w:r w:rsidRPr="001A0928">
        <w:rPr>
          <w:rFonts w:ascii="Arial" w:hAnsi="Arial" w:eastAsia="Times New Roman" w:cs="Arial"/>
          <w:b/>
          <w:bCs/>
          <w:sz w:val="22"/>
          <w:szCs w:val="22"/>
          <w:lang w:val="es-CO" w:eastAsia="es-CO"/>
        </w:rPr>
        <w:t>ii</w:t>
      </w:r>
      <w:proofErr w:type="spellEnd"/>
      <w:r w:rsidRPr="001A0928">
        <w:rPr>
          <w:rFonts w:ascii="Arial" w:hAnsi="Arial" w:eastAsia="Times New Roman" w:cs="Arial"/>
          <w:b/>
          <w:bCs/>
          <w:sz w:val="22"/>
          <w:szCs w:val="22"/>
          <w:lang w:val="es-CO" w:eastAsia="es-CO"/>
        </w:rPr>
        <w:t>)</w:t>
      </w:r>
      <w:r w:rsidRPr="00937D75">
        <w:rPr>
          <w:rFonts w:ascii="Arial" w:hAnsi="Arial" w:eastAsia="Times New Roman" w:cs="Arial"/>
          <w:sz w:val="22"/>
          <w:szCs w:val="22"/>
          <w:lang w:val="es-CO" w:eastAsia="es-CO"/>
        </w:rPr>
        <w:t xml:space="preserve"> Se otorga hasta un uno por ciento (1%) al proponente o proponentes que acrediten tener dentro de su personal operativo personas con discapacidad vinculadas, de la siguiente manera: a) El cero punto cinco por ciento (0,5%) se le brinda al proponente o proponentes que acrediten el mayor </w:t>
      </w:r>
      <w:r w:rsidRPr="00937D75">
        <w:rPr>
          <w:rFonts w:ascii="Arial" w:hAnsi="Arial" w:eastAsia="Times New Roman" w:cs="Arial"/>
          <w:i/>
          <w:iCs/>
          <w:sz w:val="22"/>
          <w:szCs w:val="22"/>
          <w:lang w:val="es-CO" w:eastAsia="es-CO"/>
        </w:rPr>
        <w:t>porcentaje de personas con discapacidad vinculadas</w:t>
      </w:r>
      <w:r w:rsidRPr="00937D75">
        <w:rPr>
          <w:rFonts w:ascii="Arial" w:hAnsi="Arial" w:eastAsia="Times New Roman" w:cs="Arial"/>
          <w:sz w:val="22"/>
          <w:szCs w:val="22"/>
          <w:lang w:val="es-CO" w:eastAsia="es-CO"/>
        </w:rPr>
        <w:t xml:space="preserve"> dentro de su personal operativo.</w:t>
      </w:r>
      <w:r>
        <w:rPr>
          <w:rFonts w:ascii="Arial" w:hAnsi="Arial" w:eastAsia="Times New Roman" w:cs="Arial"/>
          <w:sz w:val="22"/>
          <w:szCs w:val="22"/>
          <w:lang w:val="es-CO" w:eastAsia="es-CO"/>
        </w:rPr>
        <w:t xml:space="preserve"> </w:t>
      </w:r>
      <w:r w:rsidRPr="00937D75">
        <w:rPr>
          <w:rFonts w:ascii="Arial" w:hAnsi="Arial" w:eastAsia="Times New Roman" w:cs="Arial"/>
          <w:sz w:val="22"/>
          <w:szCs w:val="22"/>
          <w:lang w:val="es-CO" w:eastAsia="en-US"/>
        </w:rPr>
        <w:t>b)</w:t>
      </w:r>
      <w:r w:rsidRPr="00937D75">
        <w:rPr>
          <w:rFonts w:ascii="Arial" w:hAnsi="Arial" w:eastAsia="Times New Roman" w:cs="Arial"/>
          <w:sz w:val="22"/>
          <w:szCs w:val="22"/>
          <w:lang w:val="es-CO" w:eastAsia="es-CO"/>
        </w:rPr>
        <w:t xml:space="preserve"> El cero punto cinco por ciento (0,5%) se brinda al proponente o proponentes que acrediten mayor </w:t>
      </w:r>
      <w:r w:rsidRPr="00937D75">
        <w:rPr>
          <w:rFonts w:ascii="Arial" w:hAnsi="Arial" w:eastAsia="Times New Roman" w:cs="Arial"/>
          <w:i/>
          <w:iCs/>
          <w:sz w:val="22"/>
          <w:szCs w:val="22"/>
          <w:lang w:val="es-CO" w:eastAsia="es-CO"/>
        </w:rPr>
        <w:t>número de personas con discapacidad vinculadas</w:t>
      </w:r>
      <w:r w:rsidRPr="00937D75">
        <w:rPr>
          <w:rFonts w:ascii="Arial" w:hAnsi="Arial" w:eastAsia="Times New Roman" w:cs="Arial"/>
          <w:sz w:val="22"/>
          <w:szCs w:val="22"/>
          <w:lang w:val="es-CO" w:eastAsia="es-CO"/>
        </w:rPr>
        <w:t xml:space="preserve"> dentro de su personal operativo.</w:t>
      </w:r>
      <w:r>
        <w:rPr>
          <w:rFonts w:ascii="Arial" w:hAnsi="Arial" w:eastAsia="Times New Roman" w:cs="Arial"/>
          <w:sz w:val="22"/>
          <w:szCs w:val="22"/>
          <w:lang w:val="es-CO" w:eastAsia="es-CO"/>
        </w:rPr>
        <w:t xml:space="preserve"> </w:t>
      </w:r>
      <w:proofErr w:type="spellStart"/>
      <w:r w:rsidRPr="001A0928">
        <w:rPr>
          <w:rFonts w:ascii="Arial" w:hAnsi="Arial" w:eastAsia="Times New Roman" w:cs="Arial"/>
          <w:b/>
          <w:bCs/>
          <w:sz w:val="22"/>
          <w:szCs w:val="22"/>
          <w:lang w:val="es-CO" w:eastAsia="es-CO"/>
        </w:rPr>
        <w:t>iii</w:t>
      </w:r>
      <w:proofErr w:type="spellEnd"/>
      <w:r w:rsidRPr="001A0928">
        <w:rPr>
          <w:rFonts w:ascii="Arial" w:hAnsi="Arial" w:eastAsia="Times New Roman" w:cs="Arial"/>
          <w:b/>
          <w:bCs/>
          <w:sz w:val="22"/>
          <w:szCs w:val="22"/>
          <w:lang w:val="es-CO" w:eastAsia="es-CO"/>
        </w:rPr>
        <w:t>)</w:t>
      </w:r>
      <w:r w:rsidRPr="00937D75">
        <w:rPr>
          <w:rFonts w:ascii="Arial" w:hAnsi="Arial" w:eastAsia="Times New Roman" w:cs="Arial"/>
          <w:sz w:val="22"/>
          <w:szCs w:val="22"/>
          <w:lang w:val="es-CO" w:eastAsia="es-CO"/>
        </w:rPr>
        <w:t xml:space="preserve"> Se otorga hasta un uno por ciento (1%) al proponente o los proponentes que acrediten tener dentro de su personal operativo personas que al momento de presentar oferta sean mayores de 45 años vinculadas, de la siguiente manera: a) El cero punto cinco por ciento (0,5%) se le brinda al proponente o los proponentes que acrediten el mayor </w:t>
      </w:r>
      <w:r w:rsidRPr="00937D75">
        <w:rPr>
          <w:rFonts w:ascii="Arial" w:hAnsi="Arial" w:eastAsia="Times New Roman" w:cs="Arial"/>
          <w:i/>
          <w:iCs/>
          <w:sz w:val="22"/>
          <w:szCs w:val="22"/>
          <w:lang w:val="es-CO" w:eastAsia="es-CO"/>
        </w:rPr>
        <w:t>porcentaje de personas mayores de 45 años vinculadas</w:t>
      </w:r>
      <w:r w:rsidRPr="00937D75">
        <w:rPr>
          <w:rFonts w:ascii="Arial" w:hAnsi="Arial" w:eastAsia="Times New Roman" w:cs="Arial"/>
          <w:sz w:val="22"/>
          <w:szCs w:val="22"/>
          <w:lang w:val="es-CO" w:eastAsia="es-CO"/>
        </w:rPr>
        <w:t xml:space="preserve"> dentro de su personal operativo.</w:t>
      </w:r>
      <w:r>
        <w:rPr>
          <w:rFonts w:ascii="Arial" w:hAnsi="Arial" w:eastAsia="Times New Roman" w:cs="Arial"/>
          <w:sz w:val="22"/>
          <w:szCs w:val="22"/>
          <w:lang w:val="es-CO" w:eastAsia="es-CO"/>
        </w:rPr>
        <w:t xml:space="preserve"> </w:t>
      </w:r>
      <w:r w:rsidRPr="00937D75">
        <w:rPr>
          <w:rFonts w:ascii="Arial" w:hAnsi="Arial" w:eastAsia="Times New Roman" w:cs="Arial"/>
          <w:sz w:val="22"/>
          <w:szCs w:val="22"/>
          <w:lang w:val="es-CO" w:eastAsia="es-CO"/>
        </w:rPr>
        <w:t xml:space="preserve">b)  El cero punto cinco por ciento (0,5%) se otorga al proponente o proponentes que acrediten mayor </w:t>
      </w:r>
      <w:r w:rsidRPr="00937D75">
        <w:rPr>
          <w:rFonts w:ascii="Arial" w:hAnsi="Arial" w:eastAsia="Times New Roman" w:cs="Arial"/>
          <w:i/>
          <w:iCs/>
          <w:sz w:val="22"/>
          <w:szCs w:val="22"/>
          <w:lang w:val="es-CO" w:eastAsia="es-CO"/>
        </w:rPr>
        <w:t>número de personas mayores de 45 años vinculadas</w:t>
      </w:r>
      <w:r w:rsidRPr="00937D75">
        <w:rPr>
          <w:rFonts w:ascii="Arial" w:hAnsi="Arial" w:eastAsia="Times New Roman" w:cs="Arial"/>
          <w:sz w:val="22"/>
          <w:szCs w:val="22"/>
          <w:lang w:val="es-CO" w:eastAsia="es-CO"/>
        </w:rPr>
        <w:t xml:space="preserve"> dentro de su personal operativo.</w:t>
      </w:r>
    </w:p>
    <w:p w:rsidR="00305C19" w:rsidP="00305C19" w:rsidRDefault="00305C19" w14:paraId="2AABB6AD" w14:textId="77777777">
      <w:pPr>
        <w:shd w:val="clear" w:color="auto" w:fill="FFFFFF"/>
        <w:spacing w:after="0" w:line="240" w:lineRule="auto"/>
        <w:ind w:right="51"/>
        <w:rPr>
          <w:rFonts w:ascii="Arial" w:hAnsi="Arial" w:eastAsia="Times New Roman" w:cs="Arial"/>
          <w:bCs/>
          <w:sz w:val="20"/>
          <w:szCs w:val="20"/>
          <w:shd w:val="clear" w:color="auto" w:fill="FFFFFF"/>
          <w:lang w:val="es-CO"/>
        </w:rPr>
      </w:pPr>
    </w:p>
    <w:p w:rsidRPr="00BD09FF" w:rsidR="00305C19" w:rsidP="00305C19" w:rsidRDefault="00305C19" w14:paraId="188BE1C4" w14:textId="77777777">
      <w:pPr>
        <w:shd w:val="clear" w:color="auto" w:fill="FFFFFF"/>
        <w:spacing w:after="0" w:line="240" w:lineRule="auto"/>
        <w:ind w:right="51"/>
        <w:rPr>
          <w:rFonts w:ascii="Arial" w:hAnsi="Arial" w:eastAsia="Times New Roman" w:cs="Arial"/>
          <w:bCs/>
          <w:sz w:val="20"/>
          <w:szCs w:val="20"/>
          <w:shd w:val="clear" w:color="auto" w:fill="FFFFFF"/>
          <w:lang w:val="es-CO"/>
        </w:rPr>
      </w:pPr>
    </w:p>
    <w:p w:rsidRPr="00BD09FF" w:rsidR="00305C19" w:rsidP="00305C19" w:rsidRDefault="00305C19" w14:paraId="4960EAA7" w14:textId="2A7ED5F7">
      <w:pPr>
        <w:shd w:val="clear" w:color="auto" w:fill="FFFFFF"/>
        <w:spacing w:after="0" w:line="240" w:lineRule="auto"/>
        <w:ind w:right="51"/>
        <w:rPr>
          <w:rFonts w:ascii="Arial" w:hAnsi="Arial" w:eastAsia="Times New Roman" w:cs="Arial"/>
          <w:sz w:val="20"/>
          <w:szCs w:val="20"/>
          <w:shd w:val="clear" w:color="auto" w:fill="FFFFFF"/>
          <w:lang w:val="es-CO"/>
        </w:rPr>
      </w:pPr>
    </w:p>
    <w:p w:rsidRPr="008E64B5" w:rsidR="00305C19" w:rsidP="00305C19" w:rsidRDefault="00305C19" w14:paraId="2616E954" w14:textId="77777777">
      <w:pPr>
        <w:shd w:val="clear" w:color="auto" w:fill="FFFFFF"/>
        <w:spacing w:after="0" w:line="240" w:lineRule="auto"/>
        <w:ind w:right="51"/>
        <w:rPr>
          <w:rFonts w:ascii="Arial" w:hAnsi="Arial" w:cs="Arial"/>
          <w:bCs/>
          <w:sz w:val="22"/>
          <w:szCs w:val="22"/>
          <w:lang w:val="es-ES_tradnl" w:eastAsia="en-US"/>
        </w:rPr>
      </w:pPr>
      <w:r w:rsidRPr="008E64B5">
        <w:rPr>
          <w:rFonts w:ascii="Arial" w:hAnsi="Arial" w:eastAsia="Times New Roman" w:cs="Arial"/>
          <w:b/>
          <w:bCs/>
          <w:sz w:val="22"/>
          <w:szCs w:val="22"/>
          <w:shd w:val="clear" w:color="auto" w:fill="FFFFFF"/>
          <w:lang w:val="es-CO"/>
        </w:rPr>
        <w:t>INCENTIVO CONTRACTUAL - Puntaje adicional - Empresas de vigilancia y seguridad privada o cooperativas de vigilancia y seguridad privada – Condiciones para su acreditación</w:t>
      </w:r>
    </w:p>
    <w:p w:rsidRPr="008E64B5" w:rsidR="00305C19" w:rsidP="00305C19" w:rsidRDefault="00305C19" w14:paraId="5801FB21" w14:textId="77777777">
      <w:pPr>
        <w:shd w:val="clear" w:color="auto" w:fill="FFFFFF"/>
        <w:spacing w:after="0" w:line="240" w:lineRule="auto"/>
        <w:ind w:right="51"/>
        <w:rPr>
          <w:rFonts w:ascii="Arial" w:hAnsi="Arial" w:cs="Arial"/>
          <w:bCs/>
          <w:sz w:val="20"/>
          <w:szCs w:val="20"/>
          <w:lang w:val="es-ES_tradnl" w:eastAsia="en-US"/>
        </w:rPr>
      </w:pPr>
    </w:p>
    <w:p w:rsidRPr="00C7069D" w:rsidR="00305C19" w:rsidP="00305C19" w:rsidRDefault="00305C19" w14:paraId="5F0C02FE" w14:textId="77777777">
      <w:pPr>
        <w:widowControl w:val="0"/>
        <w:autoSpaceDE w:val="0"/>
        <w:autoSpaceDN w:val="0"/>
        <w:spacing w:after="0" w:line="240" w:lineRule="auto"/>
        <w:rPr>
          <w:rFonts w:ascii="Arial" w:hAnsi="Arial" w:eastAsia="Times New Roman" w:cs="Arial"/>
          <w:sz w:val="20"/>
          <w:szCs w:val="20"/>
          <w:lang w:val="es-CO" w:eastAsia="es-CO"/>
        </w:rPr>
      </w:pPr>
      <w:r w:rsidRPr="00C7069D">
        <w:rPr>
          <w:rFonts w:ascii="Arial" w:hAnsi="Arial" w:eastAsia="Times New Roman" w:cs="Arial"/>
          <w:sz w:val="20"/>
          <w:szCs w:val="20"/>
          <w:lang w:val="es-CO" w:eastAsia="es-CO"/>
        </w:rPr>
        <w:t xml:space="preserve">El parágrafo primero del artículo </w:t>
      </w:r>
      <w:r w:rsidRPr="00C7069D">
        <w:rPr>
          <w:rFonts w:ascii="Arial" w:hAnsi="Arial" w:eastAsia="Times New Roman" w:cs="Arial"/>
          <w:bCs/>
          <w:sz w:val="20"/>
          <w:szCs w:val="20"/>
          <w:lang w:val="es-CO" w:eastAsia="es-CO"/>
        </w:rPr>
        <w:t>2.1.2.4.2.10 que fue adicionado en el Decreto 1082 de 2015 regula las condiciones que deben acreditar los proponentes para acceder al puntaje adicional en los procesos de licitación pública</w:t>
      </w:r>
      <w:r w:rsidRPr="00C7069D">
        <w:rPr>
          <w:rFonts w:ascii="Arial" w:hAnsi="Arial" w:eastAsia="Times New Roman" w:cs="Arial"/>
          <w:sz w:val="20"/>
          <w:szCs w:val="20"/>
          <w:lang w:val="es-CO" w:eastAsia="es-CO"/>
        </w:rPr>
        <w:t xml:space="preserve">. Al respecto, existen dos (2) elementos que deben ser acreditados por el oferente y verificados por la entidad contratante para asignar el puntaje adicional. </w:t>
      </w:r>
      <w:r w:rsidRPr="00C7069D">
        <w:rPr>
          <w:rFonts w:ascii="Arial" w:hAnsi="Arial" w:eastAsia="Times New Roman" w:cs="Arial"/>
          <w:i/>
          <w:iCs/>
          <w:sz w:val="20"/>
          <w:szCs w:val="20"/>
          <w:lang w:val="es-CO" w:eastAsia="es-CO"/>
        </w:rPr>
        <w:t>Por un lado</w:t>
      </w:r>
      <w:r w:rsidRPr="00C7069D">
        <w:rPr>
          <w:rFonts w:ascii="Arial" w:hAnsi="Arial" w:eastAsia="Times New Roman" w:cs="Arial"/>
          <w:sz w:val="20"/>
          <w:szCs w:val="20"/>
          <w:lang w:val="es-CO" w:eastAsia="es-CO"/>
        </w:rPr>
        <w:t xml:space="preserve">, las condiciones subjetivas de las personas vinculadas a la empresa de vigilancia y seguridad privada –esto es, que se trate de mujeres, personas con discapacidad y/o mayores de 45 años– y, </w:t>
      </w:r>
      <w:r w:rsidRPr="00C7069D">
        <w:rPr>
          <w:rFonts w:ascii="Arial" w:hAnsi="Arial" w:eastAsia="Times New Roman" w:cs="Arial"/>
          <w:i/>
          <w:iCs/>
          <w:sz w:val="20"/>
          <w:szCs w:val="20"/>
          <w:lang w:val="es-CO" w:eastAsia="es-CO"/>
        </w:rPr>
        <w:t>por otro</w:t>
      </w:r>
      <w:r w:rsidRPr="00C7069D">
        <w:rPr>
          <w:rFonts w:ascii="Arial" w:hAnsi="Arial" w:eastAsia="Times New Roman" w:cs="Arial"/>
          <w:sz w:val="20"/>
          <w:szCs w:val="20"/>
          <w:lang w:val="es-CO" w:eastAsia="es-CO"/>
        </w:rPr>
        <w:t xml:space="preserve">, su inclusión en la planta de personal operativo de la empresa. Por ello, las condiciones para otorgar el puntaje son constatadas por la entidad contratante mediante los siguientes documentos aportados por el proponente con su oferta de manera física o digital: </w:t>
      </w:r>
    </w:p>
    <w:p w:rsidRPr="00C7069D" w:rsidR="00305C19" w:rsidP="00305C19" w:rsidRDefault="00305C19" w14:paraId="6ADBBA97" w14:textId="77777777">
      <w:pPr>
        <w:widowControl w:val="0"/>
        <w:autoSpaceDE w:val="0"/>
        <w:autoSpaceDN w:val="0"/>
        <w:spacing w:after="0" w:line="240" w:lineRule="auto"/>
        <w:rPr>
          <w:rFonts w:ascii="Arial" w:hAnsi="Arial" w:eastAsia="Times New Roman" w:cs="Arial"/>
          <w:sz w:val="20"/>
          <w:szCs w:val="20"/>
          <w:lang w:val="es-CO" w:eastAsia="es-CO"/>
        </w:rPr>
      </w:pPr>
    </w:p>
    <w:p w:rsidRPr="00C7069D" w:rsidR="00305C19" w:rsidP="00305C19" w:rsidRDefault="00305C19" w14:paraId="0A92176A" w14:textId="77777777">
      <w:pPr>
        <w:widowControl w:val="0"/>
        <w:autoSpaceDE w:val="0"/>
        <w:autoSpaceDN w:val="0"/>
        <w:spacing w:after="0" w:line="240" w:lineRule="auto"/>
        <w:rPr>
          <w:rFonts w:ascii="Arial" w:hAnsi="Arial" w:eastAsia="Times New Roman" w:cs="Arial"/>
          <w:sz w:val="20"/>
          <w:szCs w:val="20"/>
          <w:lang w:val="es-CO" w:eastAsia="es-CO"/>
        </w:rPr>
      </w:pPr>
      <w:r w:rsidRPr="00C7069D">
        <w:rPr>
          <w:rFonts w:ascii="Arial" w:hAnsi="Arial" w:eastAsia="Times New Roman" w:cs="Arial"/>
          <w:sz w:val="20"/>
          <w:szCs w:val="20"/>
          <w:lang w:val="es-CO" w:eastAsia="es-CO"/>
        </w:rPr>
        <w:t>i)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rsidRPr="00C7069D" w:rsidR="00305C19" w:rsidP="00305C19" w:rsidRDefault="00305C19" w14:paraId="2198E7FF" w14:textId="77777777">
      <w:pPr>
        <w:widowControl w:val="0"/>
        <w:autoSpaceDE w:val="0"/>
        <w:autoSpaceDN w:val="0"/>
        <w:spacing w:after="0" w:line="240" w:lineRule="auto"/>
        <w:rPr>
          <w:rFonts w:ascii="Arial" w:hAnsi="Arial" w:eastAsia="Times New Roman" w:cs="Arial"/>
          <w:sz w:val="20"/>
          <w:szCs w:val="20"/>
          <w:lang w:val="es-CO" w:eastAsia="es-CO"/>
        </w:rPr>
      </w:pPr>
    </w:p>
    <w:p w:rsidRPr="00C7069D" w:rsidR="00305C19" w:rsidP="00305C19" w:rsidRDefault="00305C19" w14:paraId="0208D4BE" w14:textId="77777777">
      <w:pPr>
        <w:widowControl w:val="0"/>
        <w:autoSpaceDE w:val="0"/>
        <w:autoSpaceDN w:val="0"/>
        <w:spacing w:after="0" w:line="240" w:lineRule="auto"/>
        <w:rPr>
          <w:rFonts w:ascii="Arial" w:hAnsi="Arial" w:eastAsia="Times New Roman" w:cs="Arial"/>
          <w:sz w:val="20"/>
          <w:szCs w:val="20"/>
          <w:lang w:val="es-CO" w:eastAsia="es-CO"/>
        </w:rPr>
      </w:pPr>
      <w:proofErr w:type="spellStart"/>
      <w:r w:rsidRPr="00C7069D">
        <w:rPr>
          <w:rFonts w:ascii="Arial" w:hAnsi="Arial" w:eastAsia="Times New Roman" w:cs="Arial"/>
          <w:sz w:val="20"/>
          <w:szCs w:val="20"/>
          <w:lang w:val="es-CO" w:eastAsia="es-CO"/>
        </w:rPr>
        <w:t>ii</w:t>
      </w:r>
      <w:proofErr w:type="spellEnd"/>
      <w:r w:rsidRPr="00C7069D">
        <w:rPr>
          <w:rFonts w:ascii="Arial" w:hAnsi="Arial" w:eastAsia="Times New Roman" w:cs="Arial"/>
          <w:sz w:val="20"/>
          <w:szCs w:val="20"/>
          <w:lang w:val="es-CO" w:eastAsia="es-CO"/>
        </w:rPr>
        <w:t>) Certificado con una fecha no superior a treinta (30) días calendario anteriores a la presentación de la oferta, suscrito por el representante legal de la empresa o cooperativa 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rsidRPr="00C7069D" w:rsidR="00305C19" w:rsidP="00305C19" w:rsidRDefault="00305C19" w14:paraId="27D62BDB" w14:textId="77777777">
      <w:pPr>
        <w:widowControl w:val="0"/>
        <w:autoSpaceDE w:val="0"/>
        <w:autoSpaceDN w:val="0"/>
        <w:spacing w:after="0" w:line="240" w:lineRule="auto"/>
        <w:rPr>
          <w:rFonts w:ascii="Arial" w:hAnsi="Arial" w:eastAsia="Times New Roman" w:cs="Arial"/>
          <w:sz w:val="20"/>
          <w:szCs w:val="20"/>
          <w:lang w:val="es-CO" w:eastAsia="es-CO"/>
        </w:rPr>
      </w:pPr>
    </w:p>
    <w:p w:rsidRPr="00C7069D" w:rsidR="00305C19" w:rsidP="00305C19" w:rsidRDefault="00305C19" w14:paraId="5E5D3831" w14:textId="77777777">
      <w:pPr>
        <w:widowControl w:val="0"/>
        <w:autoSpaceDE w:val="0"/>
        <w:autoSpaceDN w:val="0"/>
        <w:spacing w:after="0" w:line="240" w:lineRule="auto"/>
        <w:rPr>
          <w:rFonts w:ascii="Arial" w:hAnsi="Arial" w:eastAsia="Times New Roman" w:cs="Arial"/>
          <w:sz w:val="20"/>
          <w:szCs w:val="20"/>
          <w:lang w:val="es-CO" w:eastAsia="es-CO"/>
        </w:rPr>
      </w:pPr>
      <w:proofErr w:type="spellStart"/>
      <w:r w:rsidRPr="00C7069D">
        <w:rPr>
          <w:rFonts w:ascii="Arial" w:hAnsi="Arial" w:eastAsia="Times New Roman" w:cs="Arial"/>
          <w:sz w:val="20"/>
          <w:szCs w:val="20"/>
          <w:lang w:val="es-CO" w:eastAsia="es-CO"/>
        </w:rPr>
        <w:t>iii</w:t>
      </w:r>
      <w:proofErr w:type="spellEnd"/>
      <w:r w:rsidRPr="00C7069D">
        <w:rPr>
          <w:rFonts w:ascii="Arial" w:hAnsi="Arial" w:eastAsia="Times New Roman" w:cs="Arial"/>
          <w:sz w:val="20"/>
          <w:szCs w:val="20"/>
          <w:lang w:val="es-CO" w:eastAsia="es-CO"/>
        </w:rPr>
        <w:t xml:space="preserve">) La certificación del representante legal debe estar acompañada de la copia de los respectivos documentos de identidad y, para acreditar la condición de discapacidad, del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condiciones de discapacidad, se requiere que el proponente </w:t>
      </w:r>
      <w:r w:rsidRPr="00C7069D">
        <w:rPr>
          <w:rFonts w:ascii="Arial" w:hAnsi="Arial" w:eastAsia="Times New Roman" w:cs="Arial"/>
          <w:i/>
          <w:iCs/>
          <w:sz w:val="20"/>
          <w:szCs w:val="20"/>
          <w:lang w:val="es-CO" w:eastAsia="es-CO"/>
        </w:rPr>
        <w:t>anexe</w:t>
      </w:r>
      <w:r w:rsidRPr="00C7069D">
        <w:rPr>
          <w:rFonts w:ascii="Arial" w:hAnsi="Arial" w:eastAsia="Times New Roman" w:cs="Arial"/>
          <w:sz w:val="20"/>
          <w:szCs w:val="20"/>
          <w:lang w:val="es-CO" w:eastAsia="es-CO"/>
        </w:rPr>
        <w:t xml:space="preserve"> los documentos de identidad, así como los certificados que acreditan la condición de discapacidad, según la referida Resolución.</w:t>
      </w:r>
    </w:p>
    <w:p w:rsidRPr="00C7069D" w:rsidR="00305C19" w:rsidP="00305C19" w:rsidRDefault="00305C19" w14:paraId="39419328" w14:textId="77777777">
      <w:pPr>
        <w:widowControl w:val="0"/>
        <w:autoSpaceDE w:val="0"/>
        <w:autoSpaceDN w:val="0"/>
        <w:spacing w:after="0" w:line="240" w:lineRule="auto"/>
        <w:rPr>
          <w:rFonts w:ascii="Arial" w:hAnsi="Arial" w:eastAsia="Times New Roman" w:cs="Arial"/>
          <w:sz w:val="20"/>
          <w:szCs w:val="20"/>
          <w:lang w:val="es-CO" w:eastAsia="es-CO"/>
        </w:rPr>
      </w:pPr>
      <w:r w:rsidRPr="00C7069D">
        <w:rPr>
          <w:rFonts w:ascii="Arial" w:hAnsi="Arial" w:eastAsia="Times New Roman" w:cs="Arial"/>
          <w:sz w:val="20"/>
          <w:szCs w:val="20"/>
          <w:lang w:val="es-CO" w:eastAsia="es-CO"/>
        </w:rPr>
        <w:t xml:space="preserve"> </w:t>
      </w:r>
    </w:p>
    <w:p w:rsidRPr="008E64B5" w:rsidR="00305C19" w:rsidP="00305C19" w:rsidRDefault="00305C19" w14:paraId="23B739D4" w14:textId="77777777">
      <w:pPr>
        <w:widowControl w:val="0"/>
        <w:autoSpaceDE w:val="0"/>
        <w:autoSpaceDN w:val="0"/>
        <w:spacing w:after="0" w:line="240" w:lineRule="auto"/>
        <w:rPr>
          <w:rFonts w:ascii="Arial" w:hAnsi="Arial" w:eastAsia="Arial MT" w:cs="Arial"/>
          <w:noProof/>
          <w:sz w:val="20"/>
          <w:szCs w:val="20"/>
          <w:lang w:val="es-ES" w:eastAsia="en-US"/>
        </w:rPr>
      </w:pPr>
      <w:r w:rsidRPr="00C7069D">
        <w:rPr>
          <w:rFonts w:ascii="Arial" w:hAnsi="Arial" w:eastAsia="Times New Roman" w:cs="Arial"/>
          <w:sz w:val="20"/>
          <w:szCs w:val="20"/>
          <w:lang w:val="es-CO" w:eastAsia="es-CO"/>
        </w:rPr>
        <w:t xml:space="preserve">De acuerdo con el parágrafo primero del artículo </w:t>
      </w:r>
      <w:r w:rsidRPr="00C7069D">
        <w:rPr>
          <w:rFonts w:ascii="Arial" w:hAnsi="Arial" w:eastAsia="Times New Roman" w:cs="Arial"/>
          <w:bCs/>
          <w:sz w:val="20"/>
          <w:szCs w:val="20"/>
          <w:lang w:val="es-CO" w:eastAsia="es-CO"/>
        </w:rPr>
        <w:t>2.1.2.4.2.10 del Decreto 1082 de 2015, el otorgamiento del incentivo</w:t>
      </w:r>
      <w:r w:rsidRPr="00C7069D">
        <w:rPr>
          <w:rFonts w:ascii="Arial" w:hAnsi="Arial" w:eastAsia="Times New Roman" w:cs="Arial"/>
          <w:bCs/>
          <w:sz w:val="20"/>
          <w:szCs w:val="20"/>
          <w:lang w:eastAsia="es-CO"/>
        </w:rPr>
        <w:t xml:space="preserve"> requiere la concurrencia de los documentos descritos.</w:t>
      </w:r>
      <w:r w:rsidRPr="008E64B5">
        <w:rPr>
          <w:rFonts w:ascii="Arial" w:hAnsi="Arial" w:eastAsia="Times New Roman" w:cs="Arial"/>
          <w:sz w:val="20"/>
          <w:szCs w:val="20"/>
          <w:lang w:val="es-CO"/>
        </w:rPr>
        <w:t xml:space="preserve"> </w:t>
      </w:r>
    </w:p>
    <w:p w:rsidRPr="008E64B5" w:rsidR="00305C19" w:rsidP="00305C19" w:rsidRDefault="00305C19" w14:paraId="47323AC1" w14:textId="77777777">
      <w:pPr>
        <w:widowControl w:val="0"/>
        <w:autoSpaceDE w:val="0"/>
        <w:autoSpaceDN w:val="0"/>
        <w:spacing w:after="0" w:line="240" w:lineRule="auto"/>
        <w:ind w:left="4825"/>
        <w:jc w:val="left"/>
        <w:rPr>
          <w:rFonts w:ascii="Arial" w:hAnsi="Arial" w:eastAsia="Arial MT" w:cs="Arial"/>
          <w:noProof/>
          <w:sz w:val="20"/>
          <w:szCs w:val="20"/>
          <w:lang w:val="es-ES" w:eastAsia="en-US"/>
        </w:rPr>
      </w:pPr>
    </w:p>
    <w:p w:rsidRPr="008E64B5" w:rsidR="00305C19" w:rsidP="00305C19" w:rsidRDefault="00305C19" w14:paraId="6D04D58D" w14:textId="77777777">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Pr="0015675B" w:rsidR="00305C19" w:rsidP="00305C19" w:rsidRDefault="00305C19" w14:paraId="6D818173" w14:textId="77777777">
      <w:pPr>
        <w:widowControl w:val="0"/>
        <w:autoSpaceDE w:val="0"/>
        <w:autoSpaceDN w:val="0"/>
        <w:spacing w:after="0" w:line="240" w:lineRule="auto"/>
        <w:rPr>
          <w:rFonts w:ascii="Arial" w:hAnsi="Arial" w:eastAsia="Times New Roman" w:cs="Arial"/>
          <w:b/>
          <w:bCs/>
          <w:sz w:val="20"/>
          <w:szCs w:val="20"/>
          <w:shd w:val="clear" w:color="auto" w:fill="FFFFFF"/>
          <w:lang w:val="es-CO"/>
        </w:rPr>
      </w:pPr>
      <w:r w:rsidRPr="0015675B">
        <w:rPr>
          <w:rFonts w:ascii="Arial" w:hAnsi="Arial" w:eastAsia="Times New Roman" w:cs="Arial"/>
          <w:b/>
          <w:bCs/>
          <w:sz w:val="20"/>
          <w:szCs w:val="20"/>
          <w:shd w:val="clear" w:color="auto" w:fill="FFFFFF"/>
          <w:lang w:val="es-CO"/>
        </w:rPr>
        <w:t>INCENTIVO CONTRACTUAL - Puntaje adicional – Licitación pública - empresas de vigilancia y seguridad privada o cooperativas de vigilancia y seguridad privada – subsanación y aclaración de ofertas</w:t>
      </w:r>
    </w:p>
    <w:p w:rsidRPr="0015675B" w:rsidR="00305C19" w:rsidP="00305C19" w:rsidRDefault="00305C19" w14:paraId="1C50031A" w14:textId="77777777">
      <w:pPr>
        <w:widowControl w:val="0"/>
        <w:autoSpaceDE w:val="0"/>
        <w:autoSpaceDN w:val="0"/>
        <w:spacing w:after="0" w:line="240" w:lineRule="auto"/>
        <w:jc w:val="left"/>
        <w:rPr>
          <w:rFonts w:ascii="Arial" w:hAnsi="Arial" w:eastAsia="Times New Roman" w:cs="Arial"/>
          <w:b/>
          <w:bCs/>
          <w:sz w:val="20"/>
          <w:szCs w:val="20"/>
          <w:shd w:val="clear" w:color="auto" w:fill="FFFFFF"/>
          <w:lang w:val="es-CO"/>
        </w:rPr>
      </w:pPr>
    </w:p>
    <w:p w:rsidRPr="0015675B" w:rsidR="00305C19" w:rsidP="00305C19" w:rsidRDefault="00305C19" w14:paraId="4493CCB2" w14:textId="7D220A09">
      <w:pPr>
        <w:shd w:val="clear" w:color="auto" w:fill="FFFFFF"/>
        <w:spacing w:after="0" w:line="240" w:lineRule="auto"/>
        <w:rPr>
          <w:rFonts w:ascii="Arial" w:hAnsi="Arial" w:eastAsia="Times New Roman" w:cs="Arial"/>
          <w:bCs/>
          <w:sz w:val="20"/>
          <w:szCs w:val="20"/>
          <w:shd w:val="clear" w:color="auto" w:fill="FFFFFF"/>
          <w:lang w:val="es-CO" w:eastAsia="es-CO"/>
        </w:rPr>
      </w:pPr>
      <w:r w:rsidRPr="0015675B">
        <w:rPr>
          <w:rFonts w:ascii="Arial" w:hAnsi="Arial" w:eastAsia="Times New Roman" w:cs="Arial"/>
          <w:bCs/>
          <w:sz w:val="20"/>
          <w:szCs w:val="20"/>
          <w:shd w:val="clear" w:color="auto" w:fill="FFFFFF"/>
          <w:lang w:val="es-CO" w:eastAsia="es-CO"/>
        </w:rPr>
        <w:t xml:space="preserve">Conforme al parágrafo 1 del artículo 5 de la Ley 1150 de 2007, los requisitos de la oferta que afecten la asignación de puntaje son insubsanables, por lo que la documentación faltante no podría entregarse posteriormente. Por ello, teniendo en cuenta que los incentivos contractuales a los que se ha hecho referencia se expresan en puntos en el procedimiento de selección, la ausencia de los documentos que los soportan es insubsanable. No obstante, es necesario distinguir entre la ausencia del anexo correspondiente y los defectos del documento que, en función de las particularidades de </w:t>
      </w:r>
      <w:r w:rsidRPr="0015675B">
        <w:rPr>
          <w:rFonts w:ascii="Arial" w:hAnsi="Arial" w:eastAsia="Times New Roman" w:cs="Arial"/>
          <w:bCs/>
          <w:sz w:val="20"/>
          <w:szCs w:val="20"/>
          <w:shd w:val="clear" w:color="auto" w:fill="FFFFFF"/>
          <w:lang w:val="es-CO" w:eastAsia="es-CO"/>
        </w:rPr>
        <w:lastRenderedPageBreak/>
        <w:t>cada caso concreto, impidan comprender el alcance de su contenido. Así las cosas, es necesario distinguir entre el régimen de subsanación y aclaración de las ofertas.</w:t>
      </w:r>
    </w:p>
    <w:p w:rsidRPr="0015675B" w:rsidR="00305C19" w:rsidP="00305C19" w:rsidRDefault="00305C19" w14:paraId="752090BE" w14:textId="77777777">
      <w:pPr>
        <w:shd w:val="clear" w:color="auto" w:fill="FFFFFF"/>
        <w:spacing w:after="0" w:line="240" w:lineRule="auto"/>
        <w:rPr>
          <w:rFonts w:ascii="Arial" w:hAnsi="Arial" w:eastAsia="Times New Roman" w:cs="Arial"/>
          <w:bCs/>
          <w:sz w:val="20"/>
          <w:szCs w:val="20"/>
          <w:shd w:val="clear" w:color="auto" w:fill="FFFFFF"/>
          <w:lang w:val="es-CO" w:eastAsia="es-CO"/>
        </w:rPr>
      </w:pPr>
    </w:p>
    <w:p w:rsidRPr="0015675B" w:rsidR="00305C19" w:rsidP="00305C19" w:rsidRDefault="00305C19" w14:paraId="7D5DBF2F" w14:textId="77777777">
      <w:pPr>
        <w:widowControl w:val="0"/>
        <w:autoSpaceDE w:val="0"/>
        <w:autoSpaceDN w:val="0"/>
        <w:spacing w:after="0" w:line="240" w:lineRule="auto"/>
        <w:rPr>
          <w:rFonts w:ascii="Arial" w:hAnsi="Arial" w:eastAsia="Arial MT" w:cs="Arial"/>
          <w:noProof/>
          <w:sz w:val="20"/>
          <w:szCs w:val="20"/>
          <w:lang w:val="es-ES" w:eastAsia="en-US"/>
        </w:rPr>
      </w:pPr>
      <w:r w:rsidRPr="0015675B">
        <w:rPr>
          <w:rFonts w:ascii="Arial" w:hAnsi="Arial" w:eastAsia="Times New Roman" w:cs="Arial"/>
          <w:bCs/>
          <w:sz w:val="20"/>
          <w:szCs w:val="20"/>
          <w:shd w:val="clear" w:color="auto" w:fill="FFFFFF"/>
          <w:lang w:val="es-CO"/>
        </w:rPr>
        <w:t>Respecto a este último, en aras de que la entidad pueda evaluar la oferta adecuadamente y contar con los elementos de juicio suficientes y necesarios para la comprensión integral de cada documento contenido en ella, esta puede acudir a la facultad del artículo 30.7 de la Ley 80 de 1993.</w:t>
      </w:r>
    </w:p>
    <w:p w:rsidR="008E64B5" w:rsidP="008E64B5" w:rsidRDefault="008E64B5" w14:paraId="2A063CB5" w14:textId="2B4D1C7F">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484AF600" w14:textId="7ECC2ADF">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7995BB26" w14:textId="003990AD">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3B6FF7AB" w14:textId="517D2527">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49071CB6" w14:textId="30E56043">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6AAAC4A0" w14:textId="3446299C">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02B70657" w14:textId="427AE1B7">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7F320677" w14:textId="3D2F0408">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4FBA8A09" w14:textId="424E6106">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53ECF048" w14:textId="43CAD079">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56AC9563" w14:textId="35EBD23A">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32ECDE0D" w14:textId="440F708A">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1F5D337A" w14:textId="558CA4E3">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0F9E82F1" w14:textId="4F120F4C">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02E1B5D9" w14:textId="2809F424">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20E7C64D" w14:textId="76AF2B72">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3922AC73" w14:textId="023E9152">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3559AC97" w14:textId="4C3EE05E">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233259E1" w14:textId="5DAEDD82">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1874BD17" w14:textId="5186CE4E">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3BA573F5" w14:textId="555E4DE0">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1DDE7C58" w14:textId="7B54FA02">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060807DB" w14:textId="77777777">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9A32F0" w:rsidP="008E64B5" w:rsidRDefault="009A32F0" w14:paraId="4EB06DCF" w14:textId="1194E2EA">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9A32F0" w:rsidP="008E64B5" w:rsidRDefault="009A32F0" w14:paraId="17D1F1E5" w14:textId="7687C1B5">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9A32F0" w:rsidP="008E64B5" w:rsidRDefault="009A32F0" w14:paraId="511F4280" w14:textId="658CC793">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9A32F0" w:rsidP="008E64B5" w:rsidRDefault="009A32F0" w14:paraId="64D149B0" w14:textId="073B0AA5">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9A32F0" w:rsidP="008E64B5" w:rsidRDefault="009A32F0" w14:paraId="7F140E84" w14:textId="1CF1CEB4">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9A32F0" w:rsidP="008E64B5" w:rsidRDefault="009A32F0" w14:paraId="03938558" w14:textId="1DE8054A">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691FB1D6" w14:textId="7FF6434B">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25808B4F" w14:textId="4F6D214D">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28A36B61" w14:textId="205B2B00">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648D72C5" w14:textId="2178CC41">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3240A78A" w14:textId="75682F5F">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38EE5256" w14:textId="29D98CC7">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19FA787A" w14:textId="38EC8D0E">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65EC166B" w14:textId="2D24F9E3">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7E934C55" w14:textId="73E45508">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199F135D" w14:textId="06B68937">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305C19" w:rsidP="008E64B5" w:rsidRDefault="00305C19" w14:paraId="23BABFD3" w14:textId="77777777">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9A32F0" w:rsidP="008E64B5" w:rsidRDefault="009A32F0" w14:paraId="7C3C3DE6" w14:textId="01564E6E">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9A32F0" w:rsidP="008E64B5" w:rsidRDefault="009A32F0" w14:paraId="670B8B47" w14:textId="66019C10">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Pr="008E64B5" w:rsidR="009A32F0" w:rsidP="008E64B5" w:rsidRDefault="009A32F0" w14:paraId="66CCFC6F" w14:textId="77777777">
      <w:pPr>
        <w:widowControl w:val="0"/>
        <w:autoSpaceDE w:val="0"/>
        <w:autoSpaceDN w:val="0"/>
        <w:spacing w:after="0" w:line="240" w:lineRule="auto"/>
        <w:ind w:left="4825"/>
        <w:jc w:val="left"/>
        <w:rPr>
          <w:rFonts w:ascii="Arial" w:hAnsi="Arial" w:eastAsia="Arial MT" w:cs="Arial"/>
          <w:noProof/>
          <w:sz w:val="20"/>
          <w:szCs w:val="22"/>
          <w:lang w:val="es-ES" w:eastAsia="en-US"/>
        </w:rPr>
      </w:pPr>
    </w:p>
    <w:p w:rsidR="00447F59" w:rsidP="00447F59" w:rsidRDefault="00447F59" w14:paraId="34AA217C" w14:textId="77777777">
      <w:pPr>
        <w:spacing w:after="0"/>
        <w:rPr>
          <w:rFonts w:ascii="Arial" w:hAnsi="Arial" w:eastAsia="Arial" w:cs="Arial"/>
          <w:b/>
          <w:color w:val="000000"/>
          <w:sz w:val="20"/>
          <w:szCs w:val="20"/>
        </w:rPr>
      </w:pPr>
      <w:bookmarkStart w:name="_2s8eyo1" w:colFirst="0" w:colLast="0" w:id="0"/>
      <w:bookmarkEnd w:id="0"/>
    </w:p>
    <w:p w:rsidR="00447F59" w:rsidRDefault="00447F59" w14:paraId="2F18E097" w14:textId="77777777">
      <w:pPr>
        <w:spacing w:after="0"/>
        <w:jc w:val="right"/>
        <w:rPr>
          <w:rFonts w:ascii="Arial" w:hAnsi="Arial" w:eastAsia="Arial" w:cs="Arial"/>
          <w:b/>
          <w:color w:val="000000"/>
          <w:sz w:val="20"/>
          <w:szCs w:val="20"/>
        </w:rPr>
      </w:pPr>
    </w:p>
    <w:p w:rsidR="00447F59" w:rsidRDefault="00447F59" w14:paraId="338D2AA6" w14:textId="77777777">
      <w:pPr>
        <w:spacing w:after="0"/>
        <w:jc w:val="right"/>
        <w:rPr>
          <w:rFonts w:ascii="Arial" w:hAnsi="Arial" w:eastAsia="Arial" w:cs="Arial"/>
          <w:b/>
          <w:color w:val="000000"/>
          <w:sz w:val="20"/>
          <w:szCs w:val="20"/>
        </w:rPr>
      </w:pPr>
    </w:p>
    <w:p w:rsidR="00447F59" w:rsidRDefault="00447F59" w14:paraId="14FC5A00" w14:textId="34D968B1">
      <w:pPr>
        <w:spacing w:after="0"/>
        <w:jc w:val="right"/>
        <w:rPr>
          <w:rFonts w:ascii="Arial" w:hAnsi="Arial" w:eastAsia="Arial" w:cs="Arial"/>
          <w:b/>
          <w:color w:val="000000"/>
          <w:sz w:val="20"/>
          <w:szCs w:val="20"/>
        </w:rPr>
      </w:pPr>
      <w:r w:rsidRPr="00447F59">
        <w:rPr>
          <w:rFonts w:ascii="Arial" w:hAnsi="Arial" w:eastAsia="Arial" w:cs="Arial"/>
          <w:b/>
          <w:color w:val="000000"/>
          <w:sz w:val="20"/>
          <w:szCs w:val="20"/>
        </w:rPr>
        <w:drawing>
          <wp:inline distT="0" distB="0" distL="0" distR="0" wp14:anchorId="139221C6" wp14:editId="242C9220">
            <wp:extent cx="3290570" cy="88250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33604" cy="894043"/>
                    </a:xfrm>
                    <a:prstGeom prst="rect">
                      <a:avLst/>
                    </a:prstGeom>
                  </pic:spPr>
                </pic:pic>
              </a:graphicData>
            </a:graphic>
          </wp:inline>
        </w:drawing>
      </w:r>
    </w:p>
    <w:p w:rsidR="00447F59" w:rsidRDefault="00447F59" w14:paraId="434CA3AD" w14:textId="77777777">
      <w:pPr>
        <w:spacing w:after="0"/>
        <w:jc w:val="right"/>
        <w:rPr>
          <w:rFonts w:ascii="Arial" w:hAnsi="Arial" w:eastAsia="Arial" w:cs="Arial"/>
          <w:b/>
          <w:color w:val="000000"/>
          <w:sz w:val="20"/>
          <w:szCs w:val="20"/>
        </w:rPr>
      </w:pPr>
    </w:p>
    <w:p w:rsidRPr="006A06F2" w:rsidR="00871181" w:rsidRDefault="003E3EF7" w14:paraId="6B2E9944" w14:textId="30157C41">
      <w:pPr>
        <w:spacing w:after="0"/>
        <w:jc w:val="right"/>
        <w:rPr>
          <w:rFonts w:ascii="Arial" w:hAnsi="Arial" w:eastAsia="Arial" w:cs="Arial"/>
          <w:b/>
          <w:color w:val="000000"/>
          <w:sz w:val="20"/>
          <w:szCs w:val="20"/>
        </w:rPr>
      </w:pPr>
      <w:r w:rsidRPr="00511475">
        <w:rPr>
          <w:rFonts w:ascii="Arial" w:hAnsi="Arial" w:eastAsia="Arial" w:cs="Arial"/>
          <w:b/>
          <w:color w:val="000000"/>
          <w:sz w:val="20"/>
          <w:szCs w:val="20"/>
        </w:rPr>
        <w:t>CCE-DES-FM-17</w:t>
      </w:r>
    </w:p>
    <w:p w:rsidRPr="006A06F2" w:rsidR="00871181" w:rsidRDefault="00871181" w14:paraId="75BAAC80" w14:textId="77777777">
      <w:pPr>
        <w:tabs>
          <w:tab w:val="left" w:pos="3374"/>
        </w:tabs>
        <w:spacing w:after="0"/>
        <w:rPr>
          <w:rFonts w:ascii="Arial" w:hAnsi="Arial" w:eastAsia="Arial" w:cs="Arial"/>
          <w:color w:val="000000"/>
          <w:sz w:val="22"/>
          <w:szCs w:val="22"/>
        </w:rPr>
      </w:pPr>
    </w:p>
    <w:p w:rsidRPr="006A06F2" w:rsidR="00871181" w:rsidRDefault="003E3EF7" w14:paraId="1578B2CC" w14:textId="77777777">
      <w:pPr>
        <w:tabs>
          <w:tab w:val="left" w:pos="3374"/>
        </w:tabs>
        <w:spacing w:after="0"/>
        <w:rPr>
          <w:rFonts w:ascii="Arial" w:hAnsi="Arial" w:eastAsia="Arial" w:cs="Arial"/>
          <w:color w:val="000000"/>
          <w:sz w:val="22"/>
          <w:szCs w:val="22"/>
        </w:rPr>
      </w:pPr>
      <w:r w:rsidRPr="006A06F2">
        <w:rPr>
          <w:rFonts w:ascii="Arial" w:hAnsi="Arial" w:eastAsia="Arial" w:cs="Arial"/>
          <w:color w:val="000000"/>
          <w:sz w:val="22"/>
          <w:szCs w:val="22"/>
        </w:rPr>
        <w:t xml:space="preserve">Bogotá D.C., </w:t>
      </w:r>
    </w:p>
    <w:p w:rsidRPr="006A06F2" w:rsidR="00871181" w:rsidRDefault="00871181" w14:paraId="526FFF2B" w14:textId="77777777">
      <w:pPr>
        <w:spacing w:after="0"/>
        <w:rPr>
          <w:rFonts w:ascii="Arial" w:hAnsi="Arial" w:eastAsia="Arial" w:cs="Arial"/>
          <w:color w:val="000000"/>
          <w:sz w:val="22"/>
          <w:szCs w:val="22"/>
        </w:rPr>
      </w:pPr>
    </w:p>
    <w:p w:rsidRPr="006A06F2" w:rsidR="00871181" w:rsidRDefault="00871181" w14:paraId="2D9D0444" w14:textId="77777777">
      <w:pPr>
        <w:spacing w:after="0"/>
        <w:rPr>
          <w:rFonts w:ascii="Arial" w:hAnsi="Arial" w:eastAsia="Arial" w:cs="Arial"/>
          <w:color w:val="000000"/>
          <w:sz w:val="22"/>
          <w:szCs w:val="22"/>
        </w:rPr>
      </w:pPr>
    </w:p>
    <w:p w:rsidRPr="006A06F2" w:rsidR="00871181" w:rsidRDefault="003E3EF7" w14:paraId="7BB970E7" w14:textId="77777777">
      <w:pPr>
        <w:spacing w:after="0"/>
        <w:rPr>
          <w:rFonts w:ascii="Arial" w:hAnsi="Arial" w:eastAsia="Arial" w:cs="Arial"/>
          <w:color w:val="000000"/>
          <w:sz w:val="22"/>
          <w:szCs w:val="22"/>
        </w:rPr>
      </w:pPr>
      <w:r w:rsidRPr="006A06F2">
        <w:rPr>
          <w:rFonts w:ascii="Arial" w:hAnsi="Arial" w:eastAsia="Arial" w:cs="Arial"/>
          <w:color w:val="000000"/>
          <w:sz w:val="22"/>
          <w:szCs w:val="22"/>
        </w:rPr>
        <w:t>Señor</w:t>
      </w:r>
    </w:p>
    <w:p w:rsidR="0079024C" w:rsidRDefault="00D1667B" w14:paraId="6505BAF5" w14:textId="60948BCF">
      <w:pPr>
        <w:spacing w:after="0"/>
        <w:rPr>
          <w:rFonts w:ascii="Arial" w:hAnsi="Arial" w:eastAsia="Arial" w:cs="Arial"/>
          <w:b/>
          <w:color w:val="000000"/>
          <w:sz w:val="22"/>
          <w:szCs w:val="22"/>
        </w:rPr>
      </w:pPr>
      <w:r>
        <w:rPr>
          <w:rFonts w:ascii="Arial" w:hAnsi="Arial" w:eastAsia="Arial" w:cs="Arial"/>
          <w:b/>
          <w:color w:val="000000"/>
          <w:sz w:val="22"/>
          <w:szCs w:val="22"/>
        </w:rPr>
        <w:t xml:space="preserve">Oliver </w:t>
      </w:r>
      <w:r w:rsidR="00D11461">
        <w:rPr>
          <w:rFonts w:ascii="Arial" w:hAnsi="Arial" w:eastAsia="Arial" w:cs="Arial"/>
          <w:b/>
          <w:color w:val="000000"/>
          <w:sz w:val="22"/>
          <w:szCs w:val="22"/>
        </w:rPr>
        <w:t>Téllez</w:t>
      </w:r>
    </w:p>
    <w:p w:rsidRPr="006A06F2" w:rsidR="00871181" w:rsidRDefault="003E3EF7" w14:paraId="23F9476A" w14:textId="1D0F0A2A">
      <w:pPr>
        <w:spacing w:after="0"/>
        <w:rPr>
          <w:rFonts w:ascii="Arial" w:hAnsi="Arial" w:eastAsia="Arial" w:cs="Arial"/>
          <w:color w:val="000000"/>
          <w:sz w:val="22"/>
          <w:szCs w:val="22"/>
        </w:rPr>
      </w:pPr>
      <w:r w:rsidRPr="006A06F2">
        <w:rPr>
          <w:rFonts w:ascii="Arial" w:hAnsi="Arial" w:eastAsia="Arial" w:cs="Arial"/>
          <w:color w:val="000000"/>
          <w:sz w:val="22"/>
          <w:szCs w:val="22"/>
        </w:rPr>
        <w:t>Bogotá D.C.</w:t>
      </w:r>
    </w:p>
    <w:p w:rsidRPr="006A06F2" w:rsidR="00871181" w:rsidRDefault="00871181" w14:paraId="2D356E06" w14:textId="77777777">
      <w:pPr>
        <w:spacing w:after="0"/>
        <w:rPr>
          <w:rFonts w:ascii="Arial" w:hAnsi="Arial" w:eastAsia="Arial" w:cs="Arial"/>
          <w:color w:val="000000"/>
          <w:sz w:val="22"/>
          <w:szCs w:val="22"/>
        </w:rPr>
      </w:pPr>
    </w:p>
    <w:p w:rsidRPr="008E64B5" w:rsidR="008E64B5" w:rsidP="008E64B5" w:rsidRDefault="008E64B5" w14:paraId="1A3C910B" w14:textId="77777777">
      <w:pPr>
        <w:widowControl w:val="0"/>
        <w:autoSpaceDE w:val="0"/>
        <w:autoSpaceDN w:val="0"/>
        <w:spacing w:before="11" w:after="0" w:line="240" w:lineRule="auto"/>
        <w:jc w:val="left"/>
        <w:rPr>
          <w:rFonts w:ascii="Arial" w:hAnsi="Arial" w:eastAsia="Arial MT" w:cs="Arial"/>
          <w:sz w:val="22"/>
          <w:szCs w:val="22"/>
          <w:lang w:val="es-ES" w:eastAsia="en-US"/>
        </w:rPr>
      </w:pPr>
    </w:p>
    <w:p w:rsidRPr="008E64B5" w:rsidR="008E64B5" w:rsidP="008E64B5" w:rsidRDefault="008E64B5" w14:paraId="2095195B" w14:textId="58F9C406">
      <w:pPr>
        <w:widowControl w:val="0"/>
        <w:autoSpaceDE w:val="0"/>
        <w:autoSpaceDN w:val="0"/>
        <w:spacing w:after="0" w:line="240" w:lineRule="auto"/>
        <w:jc w:val="left"/>
        <w:outlineLvl w:val="0"/>
        <w:rPr>
          <w:rFonts w:ascii="Arial" w:hAnsi="Arial" w:eastAsia="Arial" w:cs="Arial"/>
          <w:b/>
          <w:bCs/>
          <w:sz w:val="22"/>
          <w:szCs w:val="22"/>
          <w:lang w:val="es-ES" w:eastAsia="en-US"/>
        </w:rPr>
      </w:pPr>
      <w:r w:rsidRPr="008E64B5">
        <w:rPr>
          <w:rFonts w:ascii="Arial" w:hAnsi="Arial" w:eastAsia="Arial" w:cs="Arial"/>
          <w:b/>
          <w:bCs/>
          <w:sz w:val="22"/>
          <w:szCs w:val="22"/>
          <w:lang w:val="es-ES" w:eastAsia="en-US"/>
        </w:rPr>
        <w:t xml:space="preserve">                                          Concepto</w:t>
      </w:r>
      <w:r w:rsidRPr="008E64B5">
        <w:rPr>
          <w:rFonts w:ascii="Arial" w:hAnsi="Arial" w:eastAsia="Arial" w:cs="Arial"/>
          <w:b/>
          <w:bCs/>
          <w:spacing w:val="-4"/>
          <w:sz w:val="22"/>
          <w:szCs w:val="22"/>
          <w:lang w:val="es-ES" w:eastAsia="en-US"/>
        </w:rPr>
        <w:t xml:space="preserve"> </w:t>
      </w:r>
      <w:r w:rsidRPr="008E64B5">
        <w:rPr>
          <w:rFonts w:ascii="Arial" w:hAnsi="Arial" w:eastAsia="Arial" w:cs="Arial"/>
          <w:b/>
          <w:bCs/>
          <w:sz w:val="22"/>
          <w:szCs w:val="22"/>
          <w:lang w:val="es-ES" w:eastAsia="en-US"/>
        </w:rPr>
        <w:t>C</w:t>
      </w:r>
      <w:r w:rsidRPr="008E64B5">
        <w:rPr>
          <w:rFonts w:ascii="Arial" w:hAnsi="Arial" w:eastAsia="Arial" w:cs="Arial"/>
          <w:b/>
          <w:bCs/>
          <w:spacing w:val="-2"/>
          <w:sz w:val="22"/>
          <w:szCs w:val="22"/>
          <w:lang w:val="es-ES" w:eastAsia="en-US"/>
        </w:rPr>
        <w:t xml:space="preserve"> </w:t>
      </w:r>
      <w:r w:rsidRPr="008E64B5">
        <w:rPr>
          <w:rFonts w:ascii="Arial" w:hAnsi="Arial" w:eastAsia="Arial" w:cs="Arial"/>
          <w:b/>
          <w:bCs/>
          <w:sz w:val="22"/>
          <w:szCs w:val="22"/>
          <w:lang w:val="es-ES" w:eastAsia="en-US"/>
        </w:rPr>
        <w:t>–</w:t>
      </w:r>
      <w:r w:rsidRPr="008E64B5">
        <w:rPr>
          <w:rFonts w:ascii="Arial" w:hAnsi="Arial" w:eastAsia="Arial" w:cs="Arial"/>
          <w:b/>
          <w:bCs/>
          <w:spacing w:val="-3"/>
          <w:sz w:val="22"/>
          <w:szCs w:val="22"/>
          <w:lang w:val="es-ES" w:eastAsia="en-US"/>
        </w:rPr>
        <w:t xml:space="preserve"> </w:t>
      </w:r>
      <w:r>
        <w:rPr>
          <w:rFonts w:ascii="Arial" w:hAnsi="Arial" w:eastAsia="Arial" w:cs="Arial"/>
          <w:b/>
          <w:bCs/>
          <w:spacing w:val="-3"/>
          <w:sz w:val="22"/>
          <w:szCs w:val="22"/>
          <w:lang w:val="es-ES" w:eastAsia="en-US"/>
        </w:rPr>
        <w:t>424</w:t>
      </w:r>
      <w:r w:rsidRPr="008E64B5">
        <w:rPr>
          <w:rFonts w:ascii="Arial" w:hAnsi="Arial" w:eastAsia="Arial" w:cs="Arial"/>
          <w:b/>
          <w:bCs/>
          <w:spacing w:val="-3"/>
          <w:sz w:val="22"/>
          <w:szCs w:val="22"/>
          <w:lang w:val="es-ES" w:eastAsia="en-US"/>
        </w:rPr>
        <w:t xml:space="preserve"> de 2022 </w:t>
      </w:r>
    </w:p>
    <w:p w:rsidRPr="006A06F2" w:rsidR="00871181" w:rsidRDefault="00871181" w14:paraId="75CA9EB7" w14:textId="77777777">
      <w:pPr>
        <w:spacing w:after="0"/>
        <w:rPr>
          <w:rFonts w:ascii="Arial" w:hAnsi="Arial" w:eastAsia="Arial" w:cs="Arial"/>
          <w:color w:val="000000"/>
          <w:sz w:val="22"/>
          <w:szCs w:val="22"/>
        </w:rPr>
      </w:pPr>
    </w:p>
    <w:p w:rsidRPr="006A06F2" w:rsidR="00871181" w:rsidRDefault="003E3EF7" w14:paraId="7937B7B5" w14:textId="00E09C0D">
      <w:pPr>
        <w:spacing w:after="0"/>
        <w:rPr>
          <w:rFonts w:ascii="Arial" w:hAnsi="Arial" w:eastAsia="Arial" w:cs="Arial"/>
          <w:color w:val="000000"/>
          <w:sz w:val="22"/>
          <w:szCs w:val="22"/>
        </w:rPr>
      </w:pPr>
      <w:r w:rsidRPr="006A06F2">
        <w:rPr>
          <w:rFonts w:ascii="Arial" w:hAnsi="Arial" w:eastAsia="Arial" w:cs="Arial"/>
          <w:color w:val="000000"/>
          <w:sz w:val="22"/>
          <w:szCs w:val="22"/>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Pr="00D738BA" w:rsidR="00871181" w:rsidTr="001F58BF" w14:paraId="003B8DE2" w14:textId="77777777">
        <w:trPr>
          <w:trHeight w:val="4462"/>
        </w:trPr>
        <w:tc>
          <w:tcPr>
            <w:tcW w:w="2689" w:type="dxa"/>
          </w:tcPr>
          <w:p w:rsidRPr="00D738BA" w:rsidR="00871181" w:rsidRDefault="003E3EF7" w14:paraId="41C32295" w14:textId="77777777">
            <w:pPr>
              <w:spacing w:line="276" w:lineRule="auto"/>
              <w:rPr>
                <w:rFonts w:ascii="Arial" w:hAnsi="Arial" w:eastAsia="Arial" w:cs="Arial"/>
                <w:color w:val="000000"/>
              </w:rPr>
            </w:pPr>
            <w:r w:rsidRPr="00D738BA">
              <w:rPr>
                <w:rFonts w:ascii="Arial" w:hAnsi="Arial" w:eastAsia="Arial" w:cs="Arial"/>
                <w:b/>
                <w:color w:val="000000"/>
              </w:rPr>
              <w:t>Temas:</w:t>
            </w:r>
            <w:r w:rsidRPr="00D738BA">
              <w:rPr>
                <w:rFonts w:ascii="Arial" w:hAnsi="Arial" w:eastAsia="Arial" w:cs="Arial"/>
                <w:color w:val="000000"/>
              </w:rPr>
              <w:t xml:space="preserve">        </w:t>
            </w:r>
          </w:p>
        </w:tc>
        <w:tc>
          <w:tcPr>
            <w:tcW w:w="6237" w:type="dxa"/>
          </w:tcPr>
          <w:p w:rsidRPr="0015675B" w:rsidR="0015675B" w:rsidP="0015675B" w:rsidRDefault="00A026F5" w14:paraId="40B044DE" w14:textId="7595003C">
            <w:pPr>
              <w:shd w:val="clear" w:color="auto" w:fill="FFFFFF"/>
              <w:spacing w:after="120"/>
              <w:ind w:right="51"/>
              <w:jc w:val="both"/>
              <w:rPr>
                <w:rFonts w:ascii="Arial" w:hAnsi="Arial" w:eastAsia="Times New Roman" w:cs="Arial"/>
                <w:bCs/>
                <w:sz w:val="22"/>
                <w:szCs w:val="22"/>
                <w:shd w:val="clear" w:color="auto" w:fill="FFFFFF"/>
                <w:lang w:val="es-CO"/>
              </w:rPr>
            </w:pPr>
            <w:r w:rsidRPr="0015675B">
              <w:rPr>
                <w:rFonts w:ascii="Arial" w:hAnsi="Arial" w:eastAsia="Times New Roman" w:cs="Arial"/>
                <w:bCs/>
                <w:sz w:val="22"/>
                <w:szCs w:val="22"/>
                <w:lang w:val="es-CO" w:eastAsia="es-CO"/>
              </w:rPr>
              <w:t xml:space="preserve">INCENTIVO CONTRACTUAL – Licitación pública - Ley 1920 de 2018 – artículo 6 - </w:t>
            </w:r>
            <w:r w:rsidRPr="0015675B">
              <w:rPr>
                <w:rFonts w:ascii="Arial" w:hAnsi="Arial" w:cs="Arial"/>
                <w:sz w:val="22"/>
                <w:szCs w:val="22"/>
                <w:lang w:val="es-ES_tradnl" w:eastAsia="en-US"/>
              </w:rPr>
              <w:t xml:space="preserve">empresas de vigilancia y seguridad privada y/o las cooperativas especializadas de vigilancia y de seguridad privada / </w:t>
            </w:r>
            <w:r w:rsidRPr="0015675B">
              <w:rPr>
                <w:rFonts w:ascii="Arial" w:hAnsi="Arial" w:eastAsia="Times New Roman" w:cs="Arial"/>
                <w:bCs/>
                <w:sz w:val="22"/>
                <w:szCs w:val="22"/>
                <w:lang w:val="es-CO" w:eastAsia="es-CO"/>
              </w:rPr>
              <w:t xml:space="preserve">DECRETO 1279 DE 2021 – objeto – reglamentación de incentivo contractual – vigencia – </w:t>
            </w:r>
            <w:r w:rsidRPr="0015675B">
              <w:rPr>
                <w:rFonts w:ascii="Arial" w:hAnsi="Arial" w:cs="Arial"/>
                <w:sz w:val="22"/>
                <w:szCs w:val="22"/>
                <w:lang w:val="es-ES_tradnl" w:eastAsia="en-US"/>
              </w:rPr>
              <w:t xml:space="preserve">mujeres </w:t>
            </w:r>
            <w:r w:rsidRPr="0015675B">
              <w:rPr>
                <w:rFonts w:ascii="Arial" w:hAnsi="Arial" w:eastAsia="Times New Roman" w:cs="Arial"/>
                <w:bCs/>
                <w:sz w:val="22"/>
                <w:szCs w:val="22"/>
                <w:lang w:val="es-CO" w:eastAsia="es-CO"/>
              </w:rPr>
              <w:t>–</w:t>
            </w:r>
            <w:r w:rsidRPr="0015675B">
              <w:rPr>
                <w:rFonts w:ascii="Arial" w:hAnsi="Arial" w:cs="Arial"/>
                <w:sz w:val="22"/>
                <w:szCs w:val="22"/>
                <w:lang w:val="es-ES_tradnl" w:eastAsia="en-US"/>
              </w:rPr>
              <w:t xml:space="preserve"> personas con discapacidad </w:t>
            </w:r>
            <w:r w:rsidRPr="0015675B">
              <w:rPr>
                <w:rFonts w:ascii="Arial" w:hAnsi="Arial" w:eastAsia="Times New Roman" w:cs="Arial"/>
                <w:bCs/>
                <w:sz w:val="22"/>
                <w:szCs w:val="22"/>
                <w:lang w:val="es-CO" w:eastAsia="es-CO"/>
              </w:rPr>
              <w:t>–</w:t>
            </w:r>
            <w:r w:rsidRPr="0015675B">
              <w:rPr>
                <w:rFonts w:ascii="Arial" w:hAnsi="Arial" w:cs="Arial"/>
                <w:sz w:val="22"/>
                <w:szCs w:val="22"/>
                <w:lang w:val="es-ES_tradnl" w:eastAsia="en-US"/>
              </w:rPr>
              <w:t xml:space="preserve"> personas mayores de 45 años / </w:t>
            </w:r>
            <w:r w:rsidRPr="0015675B">
              <w:rPr>
                <w:rFonts w:ascii="Arial" w:hAnsi="Arial" w:eastAsia="Times New Roman" w:cs="Arial"/>
                <w:bCs/>
                <w:sz w:val="22"/>
                <w:szCs w:val="22"/>
                <w:shd w:val="clear" w:color="auto" w:fill="FFFFFF"/>
                <w:lang w:val="es-CO"/>
              </w:rPr>
              <w:t>INCENTIVO CONTRACTUAL - Puntaje adicional – Licitación pública - empresas de vigilancia y seguridad privada o cooperativas de vigilancia y seguridad privada – criterios / INCENTIVO CONTRACTUAL - Puntaje adicional - empresas de vigilancia y seguridad privada o cooperativas de vigilancia y seguridad privada – C</w:t>
            </w:r>
            <w:r w:rsidRPr="0015675B" w:rsidR="0015675B">
              <w:rPr>
                <w:rFonts w:ascii="Arial" w:hAnsi="Arial" w:eastAsia="Times New Roman" w:cs="Arial"/>
                <w:bCs/>
                <w:sz w:val="22"/>
                <w:szCs w:val="22"/>
                <w:shd w:val="clear" w:color="auto" w:fill="FFFFFF"/>
                <w:lang w:val="es-CO"/>
              </w:rPr>
              <w:t>ondiciones para su acreditación/</w:t>
            </w:r>
            <w:r w:rsidRPr="0015675B" w:rsidR="0015675B">
              <w:rPr>
                <w:rFonts w:ascii="Arial" w:hAnsi="Arial" w:eastAsia="Times New Roman" w:cs="Arial"/>
                <w:bCs/>
                <w:sz w:val="20"/>
                <w:szCs w:val="20"/>
                <w:shd w:val="clear" w:color="auto" w:fill="FFFFFF"/>
                <w:lang w:val="es-CO"/>
              </w:rPr>
              <w:t xml:space="preserve"> </w:t>
            </w:r>
            <w:r w:rsidRPr="0015675B" w:rsidR="0015675B">
              <w:rPr>
                <w:rFonts w:ascii="Arial" w:hAnsi="Arial" w:eastAsia="Times New Roman" w:cs="Arial"/>
                <w:bCs/>
                <w:sz w:val="22"/>
                <w:szCs w:val="22"/>
                <w:shd w:val="clear" w:color="auto" w:fill="FFFFFF"/>
                <w:lang w:val="es-CO"/>
              </w:rPr>
              <w:t xml:space="preserve">INCENTIVO CONTRACTUAL - Puntaje adicional – Licitación pública </w:t>
            </w:r>
            <w:r w:rsidR="00301961">
              <w:rPr>
                <w:rFonts w:ascii="Arial" w:hAnsi="Arial" w:eastAsia="Times New Roman" w:cs="Arial"/>
                <w:bCs/>
                <w:sz w:val="22"/>
                <w:szCs w:val="22"/>
                <w:shd w:val="clear" w:color="auto" w:fill="FFFFFF"/>
                <w:lang w:val="es-CO"/>
              </w:rPr>
              <w:t>–</w:t>
            </w:r>
            <w:r w:rsidRPr="0015675B" w:rsidR="0015675B">
              <w:rPr>
                <w:rFonts w:ascii="Arial" w:hAnsi="Arial" w:eastAsia="Times New Roman" w:cs="Arial"/>
                <w:bCs/>
                <w:sz w:val="22"/>
                <w:szCs w:val="22"/>
                <w:shd w:val="clear" w:color="auto" w:fill="FFFFFF"/>
                <w:lang w:val="es-CO"/>
              </w:rPr>
              <w:t xml:space="preserve"> empresas de vigilancia y seguridad privada o cooperativas de vigilancia y seguridad privada – subsanación y aclaración de ofertas</w:t>
            </w:r>
          </w:p>
          <w:p w:rsidRPr="0015675B" w:rsidR="00871181" w:rsidP="00CE21B3" w:rsidRDefault="00871181" w14:paraId="70D39657" w14:textId="66F37F13">
            <w:pPr>
              <w:spacing w:after="120" w:line="276" w:lineRule="auto"/>
              <w:jc w:val="both"/>
              <w:rPr>
                <w:rFonts w:ascii="Arial" w:hAnsi="Arial" w:eastAsia="Arial" w:cs="Arial"/>
                <w:color w:val="000000"/>
              </w:rPr>
            </w:pPr>
          </w:p>
        </w:tc>
      </w:tr>
      <w:tr w:rsidRPr="006A06F2" w:rsidR="00871181" w14:paraId="08330973" w14:textId="77777777">
        <w:tc>
          <w:tcPr>
            <w:tcW w:w="2689" w:type="dxa"/>
          </w:tcPr>
          <w:p w:rsidRPr="006A06F2" w:rsidR="00871181" w:rsidRDefault="003E3EF7" w14:paraId="07BEB766" w14:textId="77777777">
            <w:pPr>
              <w:spacing w:line="276" w:lineRule="auto"/>
              <w:rPr>
                <w:rFonts w:ascii="Arial" w:hAnsi="Arial" w:eastAsia="Arial" w:cs="Arial"/>
                <w:b/>
                <w:color w:val="000000"/>
                <w:sz w:val="22"/>
                <w:szCs w:val="22"/>
              </w:rPr>
            </w:pPr>
            <w:r w:rsidRPr="006A06F2">
              <w:rPr>
                <w:rFonts w:ascii="Arial" w:hAnsi="Arial" w:eastAsia="Arial" w:cs="Arial"/>
                <w:b/>
                <w:color w:val="000000"/>
                <w:sz w:val="22"/>
                <w:szCs w:val="22"/>
              </w:rPr>
              <w:t>Radicación:</w:t>
            </w:r>
            <w:r w:rsidRPr="006A06F2">
              <w:rPr>
                <w:rFonts w:ascii="Arial" w:hAnsi="Arial" w:eastAsia="Arial" w:cs="Arial"/>
                <w:color w:val="000000"/>
                <w:sz w:val="22"/>
                <w:szCs w:val="22"/>
              </w:rPr>
              <w:t xml:space="preserve">                              </w:t>
            </w:r>
          </w:p>
        </w:tc>
        <w:tc>
          <w:tcPr>
            <w:tcW w:w="6237" w:type="dxa"/>
          </w:tcPr>
          <w:p w:rsidRPr="006A06F2" w:rsidR="00871181" w:rsidP="008E64B5" w:rsidRDefault="003E3EF7" w14:paraId="3A8E828C" w14:textId="0A921242">
            <w:pPr>
              <w:spacing w:line="276" w:lineRule="auto"/>
              <w:jc w:val="both"/>
              <w:rPr>
                <w:rFonts w:ascii="Arial" w:hAnsi="Arial" w:eastAsia="Arial" w:cs="Arial"/>
                <w:color w:val="000000"/>
                <w:sz w:val="22"/>
                <w:szCs w:val="22"/>
              </w:rPr>
            </w:pPr>
            <w:r w:rsidRPr="006A06F2">
              <w:rPr>
                <w:rFonts w:ascii="Arial" w:hAnsi="Arial" w:eastAsia="Arial" w:cs="Arial"/>
                <w:color w:val="000000"/>
                <w:sz w:val="22"/>
                <w:szCs w:val="22"/>
              </w:rPr>
              <w:t>Respuesta a consulta</w:t>
            </w:r>
            <w:r w:rsidR="0079024C">
              <w:rPr>
                <w:rFonts w:ascii="Arial" w:hAnsi="Arial" w:eastAsia="Arial" w:cs="Arial"/>
                <w:color w:val="000000"/>
                <w:sz w:val="22"/>
                <w:szCs w:val="22"/>
              </w:rPr>
              <w:t xml:space="preserve"> </w:t>
            </w:r>
            <w:r w:rsidR="008E64B5">
              <w:rPr>
                <w:rFonts w:ascii="Arial" w:hAnsi="Arial" w:eastAsia="Arial" w:cs="Arial"/>
                <w:color w:val="000000"/>
                <w:sz w:val="22"/>
                <w:szCs w:val="22"/>
              </w:rPr>
              <w:t>P20220518004945</w:t>
            </w:r>
          </w:p>
        </w:tc>
      </w:tr>
    </w:tbl>
    <w:p w:rsidRPr="006A06F2" w:rsidR="00871181" w:rsidRDefault="00871181" w14:paraId="28FE27BE" w14:textId="77777777">
      <w:pPr>
        <w:spacing w:after="0" w:line="240" w:lineRule="auto"/>
        <w:rPr>
          <w:color w:val="000000"/>
          <w:sz w:val="22"/>
          <w:szCs w:val="22"/>
        </w:rPr>
      </w:pPr>
    </w:p>
    <w:p w:rsidR="00871181" w:rsidRDefault="00871181" w14:paraId="394768E2" w14:textId="3EC9D513">
      <w:pPr>
        <w:spacing w:after="0"/>
        <w:rPr>
          <w:rFonts w:ascii="Arial" w:hAnsi="Arial" w:eastAsia="Arial" w:cs="Arial"/>
          <w:color w:val="000000"/>
          <w:sz w:val="22"/>
          <w:szCs w:val="22"/>
        </w:rPr>
      </w:pPr>
    </w:p>
    <w:p w:rsidRPr="006A06F2" w:rsidR="00871181" w:rsidRDefault="003E3EF7" w14:paraId="038F7D2C" w14:textId="6900781B">
      <w:pPr>
        <w:spacing w:after="0"/>
        <w:rPr>
          <w:rFonts w:ascii="Arial" w:hAnsi="Arial" w:eastAsia="Arial" w:cs="Arial"/>
          <w:color w:val="000000"/>
          <w:sz w:val="22"/>
          <w:szCs w:val="22"/>
        </w:rPr>
      </w:pPr>
      <w:r w:rsidRPr="006A06F2">
        <w:rPr>
          <w:rFonts w:ascii="Arial" w:hAnsi="Arial" w:eastAsia="Arial" w:cs="Arial"/>
          <w:color w:val="000000"/>
          <w:sz w:val="22"/>
          <w:szCs w:val="22"/>
        </w:rPr>
        <w:lastRenderedPageBreak/>
        <w:t>Estimado señor</w:t>
      </w:r>
      <w:r w:rsidR="009A32F0">
        <w:rPr>
          <w:rFonts w:ascii="Arial" w:hAnsi="Arial" w:eastAsia="Arial" w:cs="Arial"/>
          <w:color w:val="000000"/>
          <w:sz w:val="22"/>
          <w:szCs w:val="22"/>
        </w:rPr>
        <w:t xml:space="preserve"> </w:t>
      </w:r>
      <w:r w:rsidR="00D11461">
        <w:rPr>
          <w:rFonts w:ascii="Arial" w:hAnsi="Arial" w:eastAsia="Arial" w:cs="Arial"/>
          <w:color w:val="000000"/>
          <w:sz w:val="22"/>
          <w:szCs w:val="22"/>
        </w:rPr>
        <w:t>Téllez</w:t>
      </w:r>
      <w:r w:rsidRPr="006A06F2">
        <w:rPr>
          <w:rFonts w:ascii="Arial" w:hAnsi="Arial" w:eastAsia="Arial" w:cs="Arial"/>
          <w:color w:val="000000"/>
          <w:sz w:val="22"/>
          <w:szCs w:val="22"/>
        </w:rPr>
        <w:t>:</w:t>
      </w:r>
    </w:p>
    <w:p w:rsidRPr="006A06F2" w:rsidR="00871181" w:rsidRDefault="00871181" w14:paraId="32C1B702" w14:textId="77777777">
      <w:pPr>
        <w:spacing w:after="0"/>
        <w:ind w:firstLine="709"/>
        <w:rPr>
          <w:rFonts w:ascii="Arial" w:hAnsi="Arial" w:eastAsia="Arial" w:cs="Arial"/>
          <w:color w:val="000000"/>
          <w:sz w:val="22"/>
          <w:szCs w:val="22"/>
        </w:rPr>
      </w:pPr>
    </w:p>
    <w:p w:rsidRPr="006A06F2" w:rsidR="00871181" w:rsidRDefault="003E3EF7" w14:paraId="4C96A024" w14:textId="530DFCF8">
      <w:pPr>
        <w:spacing w:after="0"/>
        <w:ind w:right="51"/>
        <w:rPr>
          <w:rFonts w:ascii="Arial" w:hAnsi="Arial" w:eastAsia="Arial" w:cs="Arial"/>
          <w:color w:val="000000"/>
          <w:sz w:val="22"/>
          <w:szCs w:val="22"/>
        </w:rPr>
      </w:pPr>
      <w:r w:rsidRPr="006A06F2">
        <w:rPr>
          <w:rFonts w:ascii="Arial" w:hAnsi="Arial" w:eastAsia="Arial" w:cs="Arial"/>
          <w:color w:val="000000"/>
          <w:sz w:val="22"/>
          <w:szCs w:val="22"/>
        </w:rPr>
        <w:t>En ejercicio de la competencia otorgada por el numeral 8 del artículo 11 y el numeral 5 del artículo 3 del Decreto Ley 4170 de 2011, la Agencia Nacional de Contratación Pública – Colombia Compra Eficiente responde la</w:t>
      </w:r>
      <w:r w:rsidR="001D486F">
        <w:rPr>
          <w:rFonts w:ascii="Arial" w:hAnsi="Arial" w:eastAsia="Arial" w:cs="Arial"/>
          <w:color w:val="000000"/>
          <w:sz w:val="22"/>
          <w:szCs w:val="22"/>
        </w:rPr>
        <w:t>s</w:t>
      </w:r>
      <w:r w:rsidRPr="006A06F2">
        <w:rPr>
          <w:rFonts w:ascii="Arial" w:hAnsi="Arial" w:eastAsia="Arial" w:cs="Arial"/>
          <w:color w:val="000000"/>
          <w:sz w:val="22"/>
          <w:szCs w:val="22"/>
        </w:rPr>
        <w:t xml:space="preserve"> consulta</w:t>
      </w:r>
      <w:r w:rsidR="001D486F">
        <w:rPr>
          <w:rFonts w:ascii="Arial" w:hAnsi="Arial" w:eastAsia="Arial" w:cs="Arial"/>
          <w:color w:val="000000"/>
          <w:sz w:val="22"/>
          <w:szCs w:val="22"/>
        </w:rPr>
        <w:t>s</w:t>
      </w:r>
      <w:r w:rsidRPr="006A06F2">
        <w:rPr>
          <w:rFonts w:ascii="Arial" w:hAnsi="Arial" w:eastAsia="Arial" w:cs="Arial"/>
          <w:color w:val="000000"/>
          <w:sz w:val="22"/>
          <w:szCs w:val="22"/>
        </w:rPr>
        <w:t xml:space="preserve"> realizada</w:t>
      </w:r>
      <w:r w:rsidR="001D486F">
        <w:rPr>
          <w:rFonts w:ascii="Arial" w:hAnsi="Arial" w:eastAsia="Arial" w:cs="Arial"/>
          <w:color w:val="000000"/>
          <w:sz w:val="22"/>
          <w:szCs w:val="22"/>
        </w:rPr>
        <w:t>s</w:t>
      </w:r>
      <w:r w:rsidRPr="006A06F2">
        <w:rPr>
          <w:rFonts w:ascii="Arial" w:hAnsi="Arial" w:eastAsia="Arial" w:cs="Arial"/>
          <w:color w:val="000000"/>
          <w:sz w:val="22"/>
          <w:szCs w:val="22"/>
        </w:rPr>
        <w:t xml:space="preserve"> el </w:t>
      </w:r>
      <w:r w:rsidR="00D1667B">
        <w:rPr>
          <w:rFonts w:ascii="Arial" w:hAnsi="Arial" w:eastAsia="Arial" w:cs="Arial"/>
          <w:color w:val="000000"/>
          <w:sz w:val="22"/>
          <w:szCs w:val="22"/>
        </w:rPr>
        <w:t>18</w:t>
      </w:r>
      <w:r w:rsidRPr="006A06F2">
        <w:rPr>
          <w:rFonts w:ascii="Arial" w:hAnsi="Arial" w:eastAsia="Arial" w:cs="Arial"/>
          <w:color w:val="000000"/>
          <w:sz w:val="22"/>
          <w:szCs w:val="22"/>
        </w:rPr>
        <w:t xml:space="preserve"> de</w:t>
      </w:r>
      <w:r w:rsidR="001D486F">
        <w:rPr>
          <w:rFonts w:ascii="Arial" w:hAnsi="Arial" w:eastAsia="Arial" w:cs="Arial"/>
          <w:color w:val="000000"/>
          <w:sz w:val="22"/>
          <w:szCs w:val="22"/>
        </w:rPr>
        <w:t xml:space="preserve"> </w:t>
      </w:r>
      <w:r w:rsidR="00D1667B">
        <w:rPr>
          <w:rFonts w:ascii="Arial" w:hAnsi="Arial" w:eastAsia="Arial" w:cs="Arial"/>
          <w:color w:val="000000"/>
          <w:sz w:val="22"/>
          <w:szCs w:val="22"/>
        </w:rPr>
        <w:t>mayo</w:t>
      </w:r>
      <w:r w:rsidRPr="006A06F2">
        <w:rPr>
          <w:rFonts w:ascii="Arial" w:hAnsi="Arial" w:eastAsia="Arial" w:cs="Arial"/>
          <w:color w:val="000000"/>
          <w:sz w:val="22"/>
          <w:szCs w:val="22"/>
        </w:rPr>
        <w:t xml:space="preserve"> de 202</w:t>
      </w:r>
      <w:r w:rsidR="001D486F">
        <w:rPr>
          <w:rFonts w:ascii="Arial" w:hAnsi="Arial" w:eastAsia="Arial" w:cs="Arial"/>
          <w:color w:val="000000"/>
          <w:sz w:val="22"/>
          <w:szCs w:val="22"/>
        </w:rPr>
        <w:t>2</w:t>
      </w:r>
      <w:r w:rsidRPr="006A06F2">
        <w:rPr>
          <w:rFonts w:ascii="Arial" w:hAnsi="Arial" w:eastAsia="Arial" w:cs="Arial"/>
          <w:color w:val="000000"/>
          <w:sz w:val="22"/>
          <w:szCs w:val="22"/>
        </w:rPr>
        <w:t xml:space="preserve">. </w:t>
      </w:r>
    </w:p>
    <w:p w:rsidRPr="006A06F2" w:rsidR="00871181" w:rsidRDefault="00871181" w14:paraId="498A6BCE" w14:textId="77777777">
      <w:pPr>
        <w:spacing w:after="0"/>
        <w:rPr>
          <w:rFonts w:ascii="Arial" w:hAnsi="Arial" w:eastAsia="Arial" w:cs="Arial"/>
          <w:color w:val="000000"/>
          <w:sz w:val="22"/>
          <w:szCs w:val="22"/>
        </w:rPr>
      </w:pPr>
    </w:p>
    <w:p w:rsidRPr="006A06F2" w:rsidR="00871181" w:rsidRDefault="003E3EF7" w14:paraId="5E5698CC" w14:textId="77777777">
      <w:pPr>
        <w:tabs>
          <w:tab w:val="left" w:pos="284"/>
        </w:tabs>
        <w:spacing w:after="0"/>
        <w:rPr>
          <w:rFonts w:ascii="Arial" w:hAnsi="Arial" w:eastAsia="Arial" w:cs="Arial"/>
          <w:b/>
          <w:color w:val="000000"/>
          <w:sz w:val="22"/>
          <w:szCs w:val="22"/>
        </w:rPr>
      </w:pPr>
      <w:r w:rsidRPr="006A06F2">
        <w:rPr>
          <w:rFonts w:ascii="Arial" w:hAnsi="Arial" w:eastAsia="Arial" w:cs="Arial"/>
          <w:b/>
          <w:color w:val="000000"/>
          <w:sz w:val="22"/>
          <w:szCs w:val="22"/>
        </w:rPr>
        <w:t xml:space="preserve">1. Problema planteado </w:t>
      </w:r>
    </w:p>
    <w:p w:rsidR="00146CDB" w:rsidP="006A06F2" w:rsidRDefault="00D1667B" w14:paraId="7127D407" w14:textId="19BC578D">
      <w:pPr>
        <w:pBdr>
          <w:top w:val="nil"/>
          <w:left w:val="nil"/>
          <w:bottom w:val="nil"/>
          <w:right w:val="nil"/>
          <w:between w:val="nil"/>
        </w:pBdr>
        <w:spacing w:before="280" w:after="280"/>
        <w:rPr>
          <w:rFonts w:ascii="Arial" w:hAnsi="Arial" w:eastAsia="Arial" w:cs="Arial"/>
          <w:color w:val="000000"/>
          <w:sz w:val="22"/>
          <w:szCs w:val="22"/>
        </w:rPr>
      </w:pPr>
      <w:bookmarkStart w:name="_17dp8vu" w:colFirst="0" w:colLast="0" w:id="1"/>
      <w:bookmarkEnd w:id="1"/>
      <w:r>
        <w:rPr>
          <w:rFonts w:ascii="Arial" w:hAnsi="Arial" w:eastAsia="Arial" w:cs="Arial"/>
          <w:color w:val="000000"/>
          <w:sz w:val="22"/>
          <w:szCs w:val="22"/>
        </w:rPr>
        <w:t>En la</w:t>
      </w:r>
      <w:r w:rsidR="003833EC">
        <w:rPr>
          <w:rFonts w:ascii="Arial" w:hAnsi="Arial" w:eastAsia="Arial" w:cs="Arial"/>
          <w:color w:val="000000"/>
          <w:sz w:val="22"/>
          <w:szCs w:val="22"/>
        </w:rPr>
        <w:t xml:space="preserve"> consulta identificada previamente u</w:t>
      </w:r>
      <w:r w:rsidRPr="006A06F2" w:rsidR="003E3EF7">
        <w:rPr>
          <w:rFonts w:ascii="Arial" w:hAnsi="Arial" w:eastAsia="Arial" w:cs="Arial"/>
          <w:color w:val="000000"/>
          <w:sz w:val="22"/>
          <w:szCs w:val="22"/>
        </w:rPr>
        <w:t>sted solicita a la Agencia</w:t>
      </w:r>
      <w:r w:rsidR="00146CDB">
        <w:rPr>
          <w:rFonts w:ascii="Arial" w:hAnsi="Arial" w:eastAsia="Arial" w:cs="Arial"/>
          <w:color w:val="000000"/>
          <w:sz w:val="22"/>
          <w:szCs w:val="22"/>
        </w:rPr>
        <w:t xml:space="preserve"> resolver los siguientes interrogantes, l</w:t>
      </w:r>
      <w:r w:rsidR="001D486F">
        <w:rPr>
          <w:rFonts w:ascii="Arial" w:hAnsi="Arial" w:eastAsia="Arial" w:cs="Arial"/>
          <w:color w:val="000000"/>
          <w:sz w:val="22"/>
          <w:szCs w:val="22"/>
        </w:rPr>
        <w:t xml:space="preserve">os cuales </w:t>
      </w:r>
      <w:r w:rsidR="00301961">
        <w:rPr>
          <w:rFonts w:ascii="Arial" w:hAnsi="Arial" w:eastAsia="Arial" w:cs="Arial"/>
          <w:color w:val="000000"/>
          <w:sz w:val="22"/>
          <w:szCs w:val="22"/>
        </w:rPr>
        <w:t>se relacionan</w:t>
      </w:r>
      <w:r w:rsidR="001D486F">
        <w:rPr>
          <w:rFonts w:ascii="Arial" w:hAnsi="Arial" w:eastAsia="Arial" w:cs="Arial"/>
          <w:color w:val="000000"/>
          <w:sz w:val="22"/>
          <w:szCs w:val="22"/>
        </w:rPr>
        <w:t xml:space="preserve"> </w:t>
      </w:r>
      <w:r w:rsidR="00D738BA">
        <w:rPr>
          <w:rFonts w:ascii="Arial" w:hAnsi="Arial" w:eastAsia="Arial" w:cs="Arial"/>
          <w:color w:val="000000"/>
          <w:sz w:val="22"/>
          <w:szCs w:val="22"/>
        </w:rPr>
        <w:t xml:space="preserve">con </w:t>
      </w:r>
      <w:r w:rsidR="001D486F">
        <w:rPr>
          <w:rFonts w:ascii="Arial" w:hAnsi="Arial" w:eastAsia="Arial" w:cs="Arial"/>
          <w:color w:val="000000"/>
          <w:sz w:val="22"/>
          <w:szCs w:val="22"/>
        </w:rPr>
        <w:t xml:space="preserve">las </w:t>
      </w:r>
      <w:r w:rsidR="00146CDB">
        <w:rPr>
          <w:rFonts w:ascii="Arial" w:hAnsi="Arial" w:eastAsia="Arial" w:cs="Arial"/>
          <w:color w:val="000000"/>
          <w:sz w:val="22"/>
          <w:szCs w:val="22"/>
        </w:rPr>
        <w:t>re</w:t>
      </w:r>
      <w:r w:rsidR="001D486F">
        <w:rPr>
          <w:rFonts w:ascii="Arial" w:hAnsi="Arial" w:eastAsia="Arial" w:cs="Arial"/>
          <w:color w:val="000000"/>
          <w:sz w:val="22"/>
          <w:szCs w:val="22"/>
        </w:rPr>
        <w:t>formas introducidas por la Ley 1920</w:t>
      </w:r>
      <w:r w:rsidR="00146CDB">
        <w:rPr>
          <w:rFonts w:ascii="Arial" w:hAnsi="Arial" w:eastAsia="Arial" w:cs="Arial"/>
          <w:color w:val="000000"/>
          <w:sz w:val="22"/>
          <w:szCs w:val="22"/>
        </w:rPr>
        <w:t xml:space="preserve"> del 20</w:t>
      </w:r>
      <w:r w:rsidR="001D486F">
        <w:rPr>
          <w:rFonts w:ascii="Arial" w:hAnsi="Arial" w:eastAsia="Arial" w:cs="Arial"/>
          <w:color w:val="000000"/>
          <w:sz w:val="22"/>
          <w:szCs w:val="22"/>
        </w:rPr>
        <w:t>18</w:t>
      </w:r>
      <w:r w:rsidR="00146CDB">
        <w:rPr>
          <w:rFonts w:ascii="Arial" w:hAnsi="Arial" w:eastAsia="Arial" w:cs="Arial"/>
          <w:color w:val="000000"/>
          <w:sz w:val="22"/>
          <w:szCs w:val="22"/>
        </w:rPr>
        <w:t xml:space="preserve"> y con su reglamentación, contenida en el Decreto 1</w:t>
      </w:r>
      <w:r w:rsidR="001D486F">
        <w:rPr>
          <w:rFonts w:ascii="Arial" w:hAnsi="Arial" w:eastAsia="Arial" w:cs="Arial"/>
          <w:color w:val="000000"/>
          <w:sz w:val="22"/>
          <w:szCs w:val="22"/>
        </w:rPr>
        <w:t>27</w:t>
      </w:r>
      <w:r w:rsidR="00D738BA">
        <w:rPr>
          <w:rFonts w:ascii="Arial" w:hAnsi="Arial" w:eastAsia="Arial" w:cs="Arial"/>
          <w:color w:val="000000"/>
          <w:sz w:val="22"/>
          <w:szCs w:val="22"/>
        </w:rPr>
        <w:t>9</w:t>
      </w:r>
      <w:r w:rsidR="00146CDB">
        <w:rPr>
          <w:rFonts w:ascii="Arial" w:hAnsi="Arial" w:eastAsia="Arial" w:cs="Arial"/>
          <w:color w:val="000000"/>
          <w:sz w:val="22"/>
          <w:szCs w:val="22"/>
        </w:rPr>
        <w:t xml:space="preserve"> del 2021:</w:t>
      </w:r>
    </w:p>
    <w:p w:rsidR="004E3780" w:rsidP="004E3780" w:rsidRDefault="00676AA1" w14:paraId="3C4A24A3" w14:textId="51E913AC">
      <w:pPr>
        <w:pStyle w:val="Prrafodelista"/>
        <w:spacing w:after="0" w:line="240" w:lineRule="auto"/>
        <w:ind w:left="1069" w:right="709"/>
        <w:rPr>
          <w:rFonts w:ascii="Arial" w:hAnsi="Arial" w:eastAsia="Arial" w:cs="Arial"/>
          <w:bCs/>
          <w:color w:val="000000"/>
          <w:sz w:val="21"/>
          <w:szCs w:val="21"/>
        </w:rPr>
      </w:pPr>
      <w:r w:rsidRPr="00676AA1">
        <w:rPr>
          <w:rFonts w:ascii="Arial" w:hAnsi="Arial" w:eastAsia="Arial" w:cs="Arial"/>
          <w:bCs/>
          <w:color w:val="000000"/>
          <w:sz w:val="21"/>
          <w:szCs w:val="21"/>
          <w:lang w:val="es-ES_tradnl"/>
        </w:rPr>
        <w:t>«</w:t>
      </w:r>
      <w:r w:rsidR="004E3780">
        <w:rPr>
          <w:rFonts w:ascii="Arial" w:hAnsi="Arial" w:eastAsia="Arial" w:cs="Arial"/>
          <w:bCs/>
          <w:color w:val="000000"/>
          <w:sz w:val="21"/>
          <w:szCs w:val="21"/>
          <w:lang w:val="es-ES_tradnl"/>
        </w:rPr>
        <w:t xml:space="preserve">1) </w:t>
      </w:r>
      <w:proofErr w:type="gramStart"/>
      <w:r w:rsidR="00D11461">
        <w:rPr>
          <w:rFonts w:ascii="Arial" w:hAnsi="Arial" w:eastAsia="Arial" w:cs="Arial"/>
          <w:bCs/>
          <w:color w:val="000000"/>
          <w:sz w:val="21"/>
          <w:szCs w:val="21"/>
          <w:lang w:val="es-ES_tradnl"/>
        </w:rPr>
        <w:t>¿</w:t>
      </w:r>
      <w:r w:rsidRPr="004E3780" w:rsidR="00D11461">
        <w:rPr>
          <w:rFonts w:ascii="Arial" w:hAnsi="Arial" w:eastAsia="Arial" w:cs="Arial"/>
          <w:bCs/>
          <w:color w:val="000000"/>
          <w:sz w:val="21"/>
          <w:szCs w:val="21"/>
        </w:rPr>
        <w:t>Los documentos establecidos en el parágrafo primero del artículo 2</w:t>
      </w:r>
      <w:r w:rsidR="009A4CC4">
        <w:rPr>
          <w:rFonts w:ascii="Arial" w:hAnsi="Arial" w:eastAsia="Arial" w:cs="Arial"/>
          <w:bCs/>
          <w:color w:val="000000"/>
          <w:sz w:val="21"/>
          <w:szCs w:val="21"/>
        </w:rPr>
        <w:t>.</w:t>
      </w:r>
      <w:proofErr w:type="gramEnd"/>
      <w:r w:rsidRPr="004E3780" w:rsidR="004E3780">
        <w:rPr>
          <w:rFonts w:ascii="Arial" w:hAnsi="Arial" w:eastAsia="Arial" w:cs="Arial"/>
          <w:bCs/>
          <w:color w:val="000000"/>
          <w:sz w:val="21"/>
          <w:szCs w:val="21"/>
        </w:rPr>
        <w:t xml:space="preserve">2.1.2.4.2.10 son requisitos de la propuesta que afectan la asignación de puntaje? </w:t>
      </w:r>
    </w:p>
    <w:p w:rsidR="004E3780" w:rsidP="004E3780" w:rsidRDefault="004E3780" w14:paraId="2AB95B31" w14:textId="77777777">
      <w:pPr>
        <w:pStyle w:val="Prrafodelista"/>
        <w:spacing w:after="0" w:line="240" w:lineRule="auto"/>
        <w:ind w:left="1069" w:right="709"/>
        <w:rPr>
          <w:rFonts w:ascii="Arial" w:hAnsi="Arial" w:eastAsia="Arial" w:cs="Arial"/>
          <w:bCs/>
          <w:color w:val="000000"/>
          <w:sz w:val="21"/>
          <w:szCs w:val="21"/>
        </w:rPr>
      </w:pPr>
    </w:p>
    <w:p w:rsidR="00734A2B" w:rsidP="004E3780" w:rsidRDefault="004E3780" w14:paraId="61ECBC23" w14:textId="43A16555">
      <w:pPr>
        <w:pStyle w:val="Prrafodelista"/>
        <w:spacing w:after="0" w:line="240" w:lineRule="auto"/>
        <w:ind w:left="1069" w:right="709"/>
        <w:rPr>
          <w:rFonts w:ascii="Arial" w:hAnsi="Arial" w:eastAsia="Arial" w:cs="Arial"/>
          <w:bCs/>
          <w:color w:val="000000"/>
          <w:sz w:val="21"/>
          <w:szCs w:val="21"/>
        </w:rPr>
      </w:pPr>
      <w:r w:rsidRPr="004E3780">
        <w:rPr>
          <w:rFonts w:ascii="Arial" w:hAnsi="Arial" w:eastAsia="Arial" w:cs="Arial"/>
          <w:bCs/>
          <w:color w:val="000000"/>
          <w:sz w:val="21"/>
          <w:szCs w:val="21"/>
        </w:rPr>
        <w:t>2) ¿Las Entidades estatales durante la evaluación de las ofertas pueden de oficio modificar, arreglar y/o corregir el contenido de los certificados y/o las relaciones de personal suscritas por los proponentes, en cumplimiento del numeral 2º del parágrafo primero del artículo 2.2.1.2.4.2.10 (subrayado), si encuentran información no soportada, no concordante, errónea o falsa durante la verificación de los documentos probatorios (establecidos en el numeral 1º e inciso final del numeral 2º) que hayan sido anexados con las ofertas?</w:t>
      </w:r>
      <w:r w:rsidRPr="00676AA1" w:rsidR="00676AA1">
        <w:rPr>
          <w:rFonts w:ascii="Arial" w:hAnsi="Arial" w:eastAsia="Arial" w:cs="Arial"/>
          <w:bCs/>
          <w:color w:val="000000"/>
          <w:sz w:val="21"/>
          <w:szCs w:val="21"/>
        </w:rPr>
        <w:t>»</w:t>
      </w:r>
      <w:r w:rsidR="00E06F4D">
        <w:rPr>
          <w:rFonts w:ascii="Arial" w:hAnsi="Arial" w:eastAsia="Arial" w:cs="Arial"/>
          <w:bCs/>
          <w:color w:val="000000"/>
          <w:sz w:val="21"/>
          <w:szCs w:val="21"/>
        </w:rPr>
        <w:t>.</w:t>
      </w:r>
    </w:p>
    <w:p w:rsidR="00676AA1" w:rsidP="00676AA1" w:rsidRDefault="00676AA1" w14:paraId="5C4B9C24" w14:textId="06A0724F">
      <w:pPr>
        <w:pStyle w:val="Prrafodelista"/>
        <w:spacing w:after="0" w:line="240" w:lineRule="auto"/>
        <w:ind w:left="1069" w:right="709"/>
        <w:rPr>
          <w:rFonts w:ascii="Arial" w:hAnsi="Arial" w:eastAsia="Arial" w:cs="Arial"/>
          <w:bCs/>
          <w:color w:val="000000"/>
          <w:sz w:val="21"/>
          <w:szCs w:val="21"/>
        </w:rPr>
      </w:pPr>
    </w:p>
    <w:p w:rsidRPr="006A06F2" w:rsidR="00871181" w:rsidP="00256FC7" w:rsidRDefault="003E3EF7" w14:paraId="56FF9111" w14:textId="77777777">
      <w:pPr>
        <w:tabs>
          <w:tab w:val="left" w:pos="284"/>
        </w:tabs>
        <w:spacing w:after="0"/>
        <w:rPr>
          <w:rFonts w:ascii="Arial" w:hAnsi="Arial" w:eastAsia="Arial" w:cs="Arial"/>
          <w:b/>
          <w:color w:val="000000"/>
          <w:sz w:val="22"/>
          <w:szCs w:val="22"/>
        </w:rPr>
      </w:pPr>
      <w:r w:rsidRPr="006A06F2">
        <w:rPr>
          <w:rFonts w:ascii="Arial" w:hAnsi="Arial" w:eastAsia="Arial" w:cs="Arial"/>
          <w:b/>
          <w:color w:val="000000"/>
          <w:sz w:val="22"/>
          <w:szCs w:val="22"/>
        </w:rPr>
        <w:t>2. Consideraciones</w:t>
      </w:r>
    </w:p>
    <w:p w:rsidRPr="006A06F2" w:rsidR="00871181" w:rsidP="00256FC7" w:rsidRDefault="00871181" w14:paraId="256D0D06" w14:textId="77777777">
      <w:pPr>
        <w:tabs>
          <w:tab w:val="left" w:pos="426"/>
        </w:tabs>
        <w:spacing w:after="0"/>
        <w:ind w:firstLine="709"/>
        <w:rPr>
          <w:rFonts w:ascii="Arial" w:hAnsi="Arial" w:eastAsia="Arial" w:cs="Arial"/>
          <w:color w:val="000000"/>
          <w:sz w:val="22"/>
          <w:szCs w:val="22"/>
        </w:rPr>
      </w:pPr>
    </w:p>
    <w:p w:rsidR="00D1667B" w:rsidP="001F58BF" w:rsidRDefault="00D1667B" w14:paraId="4286A3D4" w14:textId="67693136">
      <w:pPr>
        <w:tabs>
          <w:tab w:val="left" w:pos="426"/>
        </w:tabs>
        <w:spacing w:after="120"/>
        <w:rPr>
          <w:rFonts w:ascii="Arial" w:hAnsi="Arial" w:cs="Arial"/>
          <w:bCs/>
          <w:sz w:val="22"/>
          <w:szCs w:val="22"/>
          <w:lang w:val="es-ES_tradnl" w:eastAsia="en-US"/>
        </w:rPr>
      </w:pPr>
      <w:r w:rsidRPr="00D1667B">
        <w:rPr>
          <w:rFonts w:ascii="Arial" w:hAnsi="Arial" w:cs="Arial"/>
          <w:bCs/>
          <w:sz w:val="22"/>
          <w:szCs w:val="22"/>
          <w:lang w:val="es-ES_tradnl" w:eastAsia="en-US"/>
        </w:rPr>
        <w:t xml:space="preserve">Para resolver la inquietud planteada, se </w:t>
      </w:r>
      <w:r w:rsidR="00480644">
        <w:rPr>
          <w:rFonts w:ascii="Arial" w:hAnsi="Arial" w:cs="Arial"/>
          <w:bCs/>
          <w:sz w:val="22"/>
          <w:szCs w:val="22"/>
          <w:lang w:val="es-ES_tradnl" w:eastAsia="en-US"/>
        </w:rPr>
        <w:t xml:space="preserve">analizará la regulación legal y reglamentaria del incentivo por vinculación al personal operativo de mujeres, </w:t>
      </w:r>
      <w:r w:rsidR="00301961">
        <w:rPr>
          <w:rFonts w:ascii="Arial" w:hAnsi="Arial" w:cs="Arial"/>
          <w:bCs/>
          <w:sz w:val="22"/>
          <w:szCs w:val="22"/>
          <w:lang w:val="es-ES_tradnl" w:eastAsia="en-US"/>
        </w:rPr>
        <w:t xml:space="preserve">personas con discapacidad </w:t>
      </w:r>
      <w:r w:rsidR="00480644">
        <w:rPr>
          <w:rFonts w:ascii="Arial" w:hAnsi="Arial" w:cs="Arial"/>
          <w:bCs/>
          <w:sz w:val="22"/>
          <w:szCs w:val="22"/>
          <w:lang w:val="es-ES_tradnl" w:eastAsia="en-US"/>
        </w:rPr>
        <w:t xml:space="preserve">o personas menores de 45 años.  Para ello, se </w:t>
      </w:r>
      <w:r w:rsidRPr="00D1667B">
        <w:rPr>
          <w:rFonts w:ascii="Arial" w:hAnsi="Arial" w:cs="Arial"/>
          <w:bCs/>
          <w:sz w:val="22"/>
          <w:szCs w:val="22"/>
          <w:lang w:val="es-ES_tradnl" w:eastAsia="en-US"/>
        </w:rPr>
        <w:t>expondrán tres tópicos: i)</w:t>
      </w:r>
      <w:r w:rsidRPr="00D1667B">
        <w:rPr>
          <w:rFonts w:ascii="Arial" w:hAnsi="Arial" w:cs="Arial"/>
          <w:b/>
          <w:bCs/>
          <w:sz w:val="22"/>
          <w:szCs w:val="22"/>
          <w:lang w:val="es-ES_tradnl" w:eastAsia="en-US"/>
        </w:rPr>
        <w:t xml:space="preserve"> </w:t>
      </w:r>
      <w:r w:rsidRPr="00D1667B">
        <w:rPr>
          <w:rFonts w:ascii="Arial" w:hAnsi="Arial" w:cs="Arial"/>
          <w:bCs/>
          <w:sz w:val="22"/>
          <w:szCs w:val="22"/>
          <w:lang w:val="es-ES_tradnl" w:eastAsia="en-US"/>
        </w:rPr>
        <w:t xml:space="preserve">vigencia y ámbito de aplicación de la Ley 1920 de 2018: impacto sobre la contratación estatal; </w:t>
      </w:r>
      <w:proofErr w:type="spellStart"/>
      <w:r w:rsidRPr="00D1667B">
        <w:rPr>
          <w:rFonts w:ascii="Arial" w:hAnsi="Arial" w:cs="Arial"/>
          <w:bCs/>
          <w:sz w:val="22"/>
          <w:szCs w:val="22"/>
          <w:lang w:val="es-ES_tradnl" w:eastAsia="en-US"/>
        </w:rPr>
        <w:t>ii</w:t>
      </w:r>
      <w:proofErr w:type="spellEnd"/>
      <w:r w:rsidRPr="00D1667B">
        <w:rPr>
          <w:rFonts w:ascii="Arial" w:hAnsi="Arial" w:cs="Arial"/>
          <w:bCs/>
          <w:sz w:val="22"/>
          <w:szCs w:val="22"/>
          <w:lang w:val="es-ES_tradnl" w:eastAsia="en-US"/>
        </w:rPr>
        <w:t xml:space="preserve">) </w:t>
      </w:r>
      <w:r w:rsidRPr="00D1667B">
        <w:rPr>
          <w:rFonts w:ascii="Arial" w:hAnsi="Arial" w:cs="Arial"/>
          <w:sz w:val="22"/>
          <w:szCs w:val="22"/>
          <w:lang w:val="es-ES_tradnl" w:eastAsia="en-US"/>
        </w:rPr>
        <w:t xml:space="preserve">el Decreto 1279 de 2021, reglamento que permite utilizar el incentivo creado en el artículo 6 de la Ley 1920 de 2018 en la contratación estatal; y </w:t>
      </w:r>
      <w:proofErr w:type="spellStart"/>
      <w:r w:rsidRPr="00D1667B">
        <w:rPr>
          <w:rFonts w:ascii="Arial" w:hAnsi="Arial" w:cs="Arial"/>
          <w:sz w:val="22"/>
          <w:szCs w:val="22"/>
          <w:lang w:val="es-ES_tradnl" w:eastAsia="en-US"/>
        </w:rPr>
        <w:t>iii</w:t>
      </w:r>
      <w:proofErr w:type="spellEnd"/>
      <w:r w:rsidRPr="00D1667B">
        <w:rPr>
          <w:rFonts w:ascii="Arial" w:hAnsi="Arial" w:cs="Arial"/>
          <w:sz w:val="22"/>
          <w:szCs w:val="22"/>
          <w:lang w:val="es-ES_tradnl" w:eastAsia="en-US"/>
        </w:rPr>
        <w:t xml:space="preserve">) criterios y condiciones para la acreditación de los incentivos dispuestos en el Decreto 1279 de 2021. </w:t>
      </w:r>
      <w:r w:rsidRPr="00D1667B">
        <w:rPr>
          <w:rFonts w:ascii="Arial" w:hAnsi="Arial" w:cs="Arial"/>
          <w:bCs/>
          <w:sz w:val="22"/>
          <w:szCs w:val="22"/>
          <w:lang w:val="es-ES_tradnl" w:eastAsia="en-US"/>
        </w:rPr>
        <w:tab/>
      </w:r>
      <w:r w:rsidRPr="00D1667B">
        <w:rPr>
          <w:rFonts w:ascii="Arial" w:hAnsi="Arial" w:cs="Arial"/>
          <w:bCs/>
          <w:sz w:val="22"/>
          <w:szCs w:val="22"/>
          <w:lang w:val="es-ES_tradnl" w:eastAsia="en-US"/>
        </w:rPr>
        <w:tab/>
      </w:r>
    </w:p>
    <w:p w:rsidRPr="00D1667B" w:rsidR="00D1667B" w:rsidP="00256FC7" w:rsidRDefault="00D1667B" w14:paraId="4247C48C" w14:textId="658F0569">
      <w:pPr>
        <w:tabs>
          <w:tab w:val="left" w:pos="426"/>
        </w:tabs>
        <w:spacing w:after="0"/>
        <w:rPr>
          <w:rFonts w:ascii="Arial" w:hAnsi="Arial" w:cs="Arial"/>
          <w:bCs/>
          <w:sz w:val="22"/>
          <w:szCs w:val="22"/>
          <w:lang w:val="es-ES_tradnl" w:eastAsia="en-US"/>
        </w:rPr>
      </w:pPr>
      <w:r w:rsidRPr="00D1667B">
        <w:rPr>
          <w:rFonts w:ascii="Arial" w:hAnsi="Arial" w:cs="Arial"/>
          <w:bCs/>
          <w:sz w:val="22"/>
          <w:szCs w:val="22"/>
          <w:lang w:val="es-ES_tradnl" w:eastAsia="en-US"/>
        </w:rPr>
        <w:tab/>
      </w:r>
      <w:r w:rsidRPr="00D1667B">
        <w:rPr>
          <w:rFonts w:ascii="Arial" w:hAnsi="Arial" w:cs="Arial"/>
          <w:bCs/>
          <w:sz w:val="22"/>
          <w:szCs w:val="22"/>
          <w:lang w:val="es-ES_tradnl" w:eastAsia="en-US"/>
        </w:rPr>
        <w:t xml:space="preserve">La Agencia Nacional de Contratación Pública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C-551 del 24 de septiembre de 2020 y C-573 de 13 de octubre de 2021, explicó la relación entre la ley y el reglamento, de manera que si bien, por regla general, la primera rige a partir de su promulgación, excepcionalmente esta requiere desarrollo reglamentario como una condición previa para su aplicación. En los Conceptos C-377 de 9 de junio de </w:t>
      </w:r>
      <w:r w:rsidRPr="00D1667B">
        <w:rPr>
          <w:rFonts w:ascii="Arial" w:hAnsi="Arial" w:cs="Arial"/>
          <w:bCs/>
          <w:sz w:val="22"/>
          <w:szCs w:val="22"/>
          <w:lang w:val="es-ES_tradnl" w:eastAsia="en-US"/>
        </w:rPr>
        <w:lastRenderedPageBreak/>
        <w:t xml:space="preserve">2020 y C-567 de 10 de septiembre de 2020 se trató el tema de la aplicación de incentivos contractuales en la contratación estatal. Así mismo, en </w:t>
      </w:r>
      <w:r w:rsidR="00557CF6">
        <w:rPr>
          <w:rFonts w:ascii="Arial" w:hAnsi="Arial" w:cs="Arial"/>
          <w:bCs/>
          <w:sz w:val="22"/>
          <w:szCs w:val="22"/>
          <w:lang w:val="es-ES_tradnl" w:eastAsia="en-US"/>
        </w:rPr>
        <w:t>los</w:t>
      </w:r>
      <w:r w:rsidRPr="00D1667B">
        <w:rPr>
          <w:rFonts w:ascii="Arial" w:hAnsi="Arial" w:cs="Arial"/>
          <w:bCs/>
          <w:sz w:val="22"/>
          <w:szCs w:val="22"/>
          <w:lang w:val="es-ES_tradnl" w:eastAsia="en-US"/>
        </w:rPr>
        <w:t xml:space="preserve"> Concepto C-602 del 7 de diciembre de 2021</w:t>
      </w:r>
      <w:r w:rsidR="0015675B">
        <w:rPr>
          <w:rFonts w:ascii="Arial" w:hAnsi="Arial" w:cs="Arial"/>
          <w:bCs/>
          <w:sz w:val="22"/>
          <w:szCs w:val="22"/>
          <w:lang w:val="es-ES_tradnl" w:eastAsia="en-US"/>
        </w:rPr>
        <w:t>,</w:t>
      </w:r>
      <w:r w:rsidRPr="00D1667B">
        <w:rPr>
          <w:rFonts w:ascii="Arial" w:hAnsi="Arial" w:cs="Arial"/>
          <w:bCs/>
          <w:sz w:val="22"/>
          <w:szCs w:val="22"/>
          <w:lang w:val="es-ES_tradnl" w:eastAsia="en-US"/>
        </w:rPr>
        <w:t xml:space="preserve"> </w:t>
      </w:r>
      <w:r w:rsidR="0015675B">
        <w:rPr>
          <w:rFonts w:ascii="Arial" w:hAnsi="Arial" w:cs="Arial"/>
          <w:bCs/>
          <w:sz w:val="22"/>
          <w:szCs w:val="22"/>
          <w:lang w:val="es-ES_tradnl" w:eastAsia="en-US"/>
        </w:rPr>
        <w:t>C-240 del 27 de abril del 2022 y C-308 del 20 de mayo del 2022</w:t>
      </w:r>
      <w:r w:rsidR="00557CF6">
        <w:rPr>
          <w:rFonts w:ascii="Arial" w:hAnsi="Arial" w:cs="Arial"/>
          <w:bCs/>
          <w:sz w:val="22"/>
          <w:szCs w:val="22"/>
          <w:lang w:val="es-ES_tradnl" w:eastAsia="en-US"/>
        </w:rPr>
        <w:t xml:space="preserve"> se analizó el alcance </w:t>
      </w:r>
      <w:r w:rsidRPr="00D1667B">
        <w:rPr>
          <w:rFonts w:ascii="Arial" w:hAnsi="Arial" w:cs="Arial"/>
          <w:bCs/>
          <w:sz w:val="22"/>
          <w:szCs w:val="22"/>
          <w:lang w:val="es-ES_tradnl" w:eastAsia="en-US"/>
        </w:rPr>
        <w:t>la Ley 1920 de 2018 y el Decreto 1279 de 2021</w:t>
      </w:r>
      <w:r w:rsidR="00557CF6">
        <w:rPr>
          <w:rFonts w:ascii="Arial" w:hAnsi="Arial" w:cs="Arial"/>
          <w:bCs/>
          <w:sz w:val="22"/>
          <w:szCs w:val="22"/>
          <w:lang w:val="es-ES_tradnl" w:eastAsia="en-US"/>
        </w:rPr>
        <w:t>, que la reglamenta</w:t>
      </w:r>
      <w:r w:rsidRPr="00D1667B">
        <w:rPr>
          <w:rFonts w:ascii="Arial" w:hAnsi="Arial" w:cs="Arial"/>
          <w:bCs/>
          <w:sz w:val="22"/>
          <w:szCs w:val="22"/>
          <w:lang w:val="es-ES_tradnl" w:eastAsia="en-US"/>
        </w:rPr>
        <w:t>. En lo pertinente, las tesis desarrolladas en estos conceptos se reiteran a continuación y se complementa con algunas ideas relativas a la consulta realizada:</w:t>
      </w:r>
    </w:p>
    <w:p w:rsidRPr="00D1667B" w:rsidR="00D1667B" w:rsidP="00256FC7" w:rsidRDefault="00D1667B" w14:paraId="564C021B" w14:textId="77777777">
      <w:pPr>
        <w:tabs>
          <w:tab w:val="left" w:pos="426"/>
        </w:tabs>
        <w:spacing w:after="0"/>
        <w:rPr>
          <w:rFonts w:ascii="Arial" w:hAnsi="Arial" w:cs="Arial"/>
          <w:bCs/>
          <w:color w:val="000000"/>
          <w:sz w:val="22"/>
          <w:szCs w:val="22"/>
          <w:lang w:val="es-ES_tradnl" w:eastAsia="en-US"/>
        </w:rPr>
      </w:pPr>
    </w:p>
    <w:p w:rsidRPr="004E3780" w:rsidR="004E3780" w:rsidP="00256FC7" w:rsidRDefault="004E3780" w14:paraId="1ADC1030" w14:textId="77777777">
      <w:pPr>
        <w:spacing w:after="0"/>
        <w:rPr>
          <w:rFonts w:ascii="Arial" w:hAnsi="Arial" w:cs="Arial"/>
          <w:b/>
          <w:bCs/>
          <w:color w:val="000000"/>
          <w:sz w:val="22"/>
          <w:szCs w:val="22"/>
          <w:lang w:val="es-ES_tradnl" w:eastAsia="en-US"/>
        </w:rPr>
      </w:pPr>
      <w:r w:rsidRPr="004E3780">
        <w:rPr>
          <w:rFonts w:ascii="Arial" w:hAnsi="Arial" w:cs="Arial"/>
          <w:b/>
          <w:bCs/>
          <w:color w:val="000000"/>
          <w:sz w:val="22"/>
          <w:szCs w:val="22"/>
          <w:lang w:val="es-ES_tradnl" w:eastAsia="en-US"/>
        </w:rPr>
        <w:t>2.1. Vigencia y ámbito de aplicación de la Ley 1920 de 2018: impacto sobre la contratación estatal</w:t>
      </w:r>
    </w:p>
    <w:p w:rsidRPr="004E3780" w:rsidR="004E3780" w:rsidP="00256FC7" w:rsidRDefault="004E3780" w14:paraId="0765BBA9" w14:textId="77777777">
      <w:pPr>
        <w:spacing w:after="0"/>
        <w:rPr>
          <w:rFonts w:ascii="Arial" w:hAnsi="Arial" w:cs="Arial"/>
          <w:b/>
          <w:bCs/>
          <w:color w:val="000000"/>
          <w:sz w:val="22"/>
          <w:szCs w:val="22"/>
          <w:lang w:val="es-ES_tradnl" w:eastAsia="en-US"/>
        </w:rPr>
      </w:pPr>
    </w:p>
    <w:p w:rsidR="004E3780" w:rsidP="001F58BF" w:rsidRDefault="004E3780" w14:paraId="64DCFB0A" w14:textId="112E1442">
      <w:pPr>
        <w:spacing w:after="120"/>
        <w:rPr>
          <w:rFonts w:ascii="Arial" w:hAnsi="Arial" w:cs="Arial"/>
          <w:color w:val="000000"/>
          <w:sz w:val="22"/>
          <w:szCs w:val="22"/>
          <w:lang w:val="es-ES_tradnl" w:eastAsia="en-US"/>
        </w:rPr>
      </w:pPr>
      <w:r w:rsidRPr="004E3780">
        <w:rPr>
          <w:rFonts w:ascii="Arial" w:hAnsi="Arial" w:cs="Arial"/>
          <w:color w:val="000000"/>
          <w:sz w:val="22"/>
          <w:szCs w:val="22"/>
          <w:lang w:val="es-ES_tradnl" w:eastAsia="en-US"/>
        </w:rPr>
        <w:t>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w:t>
      </w:r>
      <w:r w:rsidR="00557CF6">
        <w:rPr>
          <w:rFonts w:ascii="Arial" w:hAnsi="Arial" w:cs="Arial"/>
          <w:color w:val="000000"/>
          <w:sz w:val="22"/>
          <w:szCs w:val="22"/>
          <w:lang w:val="es-ES_tradnl" w:eastAsia="en-US"/>
        </w:rPr>
        <w:t>iera</w:t>
      </w:r>
      <w:r w:rsidRPr="004E3780">
        <w:rPr>
          <w:rFonts w:ascii="Arial" w:hAnsi="Arial" w:cs="Arial"/>
          <w:color w:val="000000"/>
          <w:sz w:val="22"/>
          <w:szCs w:val="22"/>
          <w:lang w:val="es-ES_tradnl" w:eastAsia="en-US"/>
        </w:rPr>
        <w:t xml:space="preserve"> el decre</w:t>
      </w:r>
      <w:r w:rsidR="00557CF6">
        <w:rPr>
          <w:rFonts w:ascii="Arial" w:hAnsi="Arial" w:cs="Arial"/>
          <w:color w:val="000000"/>
          <w:sz w:val="22"/>
          <w:szCs w:val="22"/>
          <w:lang w:val="es-ES_tradnl" w:eastAsia="en-US"/>
        </w:rPr>
        <w:t>to correspondiente que permita su ejecución.</w:t>
      </w:r>
    </w:p>
    <w:p w:rsidR="004E3780" w:rsidP="001F58BF" w:rsidRDefault="004E3780" w14:paraId="0C9794C3" w14:textId="2BDBF155">
      <w:pPr>
        <w:spacing w:after="120"/>
        <w:ind w:firstLine="709"/>
        <w:rPr>
          <w:rFonts w:ascii="Arial" w:hAnsi="Arial" w:cs="Arial"/>
          <w:color w:val="000000"/>
          <w:sz w:val="22"/>
          <w:szCs w:val="22"/>
          <w:lang w:val="es-ES_tradnl" w:eastAsia="en-US"/>
        </w:rPr>
      </w:pPr>
      <w:r w:rsidRPr="004E3780">
        <w:rPr>
          <w:rFonts w:ascii="Arial" w:hAnsi="Arial" w:cs="Arial"/>
          <w:color w:val="000000"/>
          <w:sz w:val="22"/>
          <w:szCs w:val="22"/>
          <w:lang w:val="es-ES_tradnl" w:eastAsia="en-US"/>
        </w:rPr>
        <w:t xml:space="preserve">En cuanto a su contenido, es importante señalar que, como dispone el artículo 1, esta </w:t>
      </w:r>
      <w:r w:rsidR="009A32F0">
        <w:rPr>
          <w:rFonts w:ascii="Arial" w:hAnsi="Arial" w:cs="Arial"/>
          <w:color w:val="000000"/>
          <w:sz w:val="22"/>
          <w:szCs w:val="22"/>
          <w:lang w:val="es-ES_tradnl" w:eastAsia="en-US"/>
        </w:rPr>
        <w:t>norma</w:t>
      </w:r>
      <w:r w:rsidRPr="004E3780" w:rsidR="009A32F0">
        <w:rPr>
          <w:rFonts w:ascii="Arial" w:hAnsi="Arial" w:cs="Arial"/>
          <w:color w:val="000000"/>
          <w:sz w:val="22"/>
          <w:szCs w:val="22"/>
          <w:lang w:val="es-ES_tradnl" w:eastAsia="en-US"/>
        </w:rPr>
        <w:t xml:space="preserve"> </w:t>
      </w:r>
      <w:r w:rsidR="009A32F0">
        <w:rPr>
          <w:rFonts w:ascii="Arial" w:hAnsi="Arial" w:cs="Arial"/>
          <w:color w:val="000000"/>
          <w:sz w:val="22"/>
          <w:szCs w:val="22"/>
          <w:lang w:val="es-ES_tradnl" w:eastAsia="en-US"/>
        </w:rPr>
        <w:t>tiene</w:t>
      </w:r>
      <w:r w:rsidR="0015675B">
        <w:rPr>
          <w:rFonts w:ascii="Arial" w:hAnsi="Arial" w:cs="Arial"/>
          <w:color w:val="000000"/>
          <w:sz w:val="22"/>
          <w:szCs w:val="22"/>
          <w:lang w:val="es-ES_tradnl" w:eastAsia="en-US"/>
        </w:rPr>
        <w:t xml:space="preserve"> </w:t>
      </w:r>
      <w:r w:rsidRPr="004E3780">
        <w:rPr>
          <w:rFonts w:ascii="Arial" w:hAnsi="Arial" w:cs="Arial"/>
          <w:color w:val="000000"/>
          <w:sz w:val="22"/>
          <w:szCs w:val="22"/>
          <w:lang w:val="es-ES_tradnl" w:eastAsia="en-US"/>
        </w:rPr>
        <w:t xml:space="preserve">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rsidR="004E3780" w:rsidP="001F58BF" w:rsidRDefault="004E3780" w14:paraId="2E32C66C" w14:textId="5F81CB9F">
      <w:pPr>
        <w:spacing w:after="120"/>
        <w:ind w:firstLine="709"/>
        <w:rPr>
          <w:rFonts w:ascii="Arial" w:hAnsi="Arial" w:cs="Arial"/>
          <w:color w:val="000000"/>
          <w:sz w:val="22"/>
          <w:szCs w:val="22"/>
          <w:lang w:val="es-ES_tradnl" w:eastAsia="en-US"/>
        </w:rPr>
      </w:pPr>
      <w:r w:rsidRPr="004E3780">
        <w:rPr>
          <w:rFonts w:ascii="Arial" w:hAnsi="Arial" w:cs="Arial"/>
          <w:color w:val="000000"/>
          <w:sz w:val="22"/>
          <w:szCs w:val="22"/>
          <w:lang w:val="es-ES_tradnl" w:eastAsia="en-US"/>
        </w:rPr>
        <w:t xml:space="preserve">El artículo 6 de la ley creó un incentivo contractual para prestadores de servicios de vigilancia y seguridad privada basado en la vinculación de mujeres, personas mayores de 45 años o en condición de discapacidad. En </w:t>
      </w:r>
      <w:r w:rsidR="00E31560">
        <w:rPr>
          <w:rFonts w:ascii="Arial" w:hAnsi="Arial" w:cs="Arial"/>
          <w:color w:val="000000"/>
          <w:sz w:val="22"/>
          <w:szCs w:val="22"/>
          <w:lang w:val="es-ES_tradnl" w:eastAsia="en-US"/>
        </w:rPr>
        <w:t xml:space="preserve">efecto, </w:t>
      </w:r>
      <w:r w:rsidRPr="004E3780">
        <w:rPr>
          <w:rFonts w:ascii="Arial" w:hAnsi="Arial" w:cs="Arial"/>
          <w:color w:val="000000"/>
          <w:sz w:val="22"/>
          <w:szCs w:val="22"/>
          <w:lang w:val="es-ES_tradnl" w:eastAsia="en-US"/>
        </w:rPr>
        <w:t>el inciso primero</w:t>
      </w:r>
      <w:r w:rsidR="00E31560">
        <w:rPr>
          <w:rFonts w:ascii="Arial" w:hAnsi="Arial" w:cs="Arial"/>
          <w:color w:val="000000"/>
          <w:sz w:val="22"/>
          <w:szCs w:val="22"/>
          <w:lang w:val="es-ES_tradnl" w:eastAsia="en-US"/>
        </w:rPr>
        <w:t xml:space="preserve"> de</w:t>
      </w:r>
      <w:r w:rsidRPr="004E3780">
        <w:rPr>
          <w:rFonts w:ascii="Arial" w:hAnsi="Arial" w:cs="Arial"/>
          <w:color w:val="000000"/>
          <w:sz w:val="22"/>
          <w:szCs w:val="22"/>
          <w:lang w:val="es-ES_tradnl" w:eastAsia="en-US"/>
        </w:rPr>
        <w:t xml:space="preserve"> la norma dispone</w:t>
      </w:r>
      <w:r w:rsidR="00E31560">
        <w:rPr>
          <w:rFonts w:ascii="Arial" w:hAnsi="Arial" w:cs="Arial"/>
          <w:color w:val="000000"/>
          <w:sz w:val="22"/>
          <w:szCs w:val="22"/>
          <w:lang w:val="es-ES_tradnl" w:eastAsia="en-US"/>
        </w:rPr>
        <w:t xml:space="preserve"> que</w:t>
      </w:r>
      <w:r w:rsidRPr="004E3780">
        <w:rPr>
          <w:rFonts w:ascii="Arial" w:hAnsi="Arial" w:cs="Arial"/>
          <w:color w:val="000000"/>
          <w:sz w:val="22"/>
          <w:szCs w:val="22"/>
          <w:lang w:val="es-ES_tradnl" w:eastAsia="en-US"/>
        </w:rPr>
        <w:t>: «</w:t>
      </w:r>
      <w:r w:rsidR="00E31560">
        <w:rPr>
          <w:rFonts w:ascii="Arial" w:hAnsi="Arial" w:cs="Arial"/>
          <w:color w:val="000000"/>
          <w:sz w:val="22"/>
          <w:szCs w:val="22"/>
          <w:lang w:val="es-ES_tradnl" w:eastAsia="en-US"/>
        </w:rPr>
        <w:t>e</w:t>
      </w:r>
      <w:r w:rsidRPr="004E3780">
        <w:rPr>
          <w:rFonts w:ascii="Arial" w:hAnsi="Arial" w:cs="Arial"/>
          <w:color w:val="000000"/>
          <w:sz w:val="22"/>
          <w:szCs w:val="22"/>
          <w:lang w:val="es-ES_tradnl" w:eastAsia="en-US"/>
        </w:rPr>
        <w:t>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p>
    <w:p w:rsidR="004E3780" w:rsidP="001F58BF" w:rsidRDefault="004E3780" w14:paraId="6CF2DEF2" w14:textId="673619DE">
      <w:pPr>
        <w:tabs>
          <w:tab w:val="left" w:pos="426"/>
        </w:tabs>
        <w:spacing w:after="120"/>
        <w:rPr>
          <w:rFonts w:ascii="Arial" w:hAnsi="Arial" w:cs="Arial"/>
          <w:color w:val="000000"/>
          <w:sz w:val="22"/>
          <w:szCs w:val="22"/>
          <w:lang w:val="es-ES" w:eastAsia="en-US"/>
        </w:rPr>
      </w:pPr>
      <w:r w:rsidRPr="004E3780">
        <w:rPr>
          <w:rFonts w:ascii="Arial" w:hAnsi="Arial" w:cs="Arial"/>
          <w:color w:val="000000"/>
          <w:sz w:val="21"/>
          <w:szCs w:val="21"/>
          <w:lang w:val="es-ES_tradnl" w:eastAsia="en-US"/>
        </w:rPr>
        <w:tab/>
      </w:r>
      <w:r w:rsidRPr="004E3780">
        <w:rPr>
          <w:rFonts w:ascii="Arial" w:hAnsi="Arial" w:cs="Arial"/>
          <w:color w:val="000000"/>
          <w:sz w:val="21"/>
          <w:szCs w:val="21"/>
          <w:lang w:val="es-ES_tradnl" w:eastAsia="en-US"/>
        </w:rPr>
        <w:tab/>
      </w:r>
      <w:r w:rsidRPr="004E3780">
        <w:rPr>
          <w:rFonts w:ascii="Arial" w:hAnsi="Arial" w:cs="Arial"/>
          <w:color w:val="000000"/>
          <w:sz w:val="22"/>
          <w:szCs w:val="22"/>
          <w:lang w:val="es-ES_tradnl" w:eastAsia="en-US"/>
        </w:rPr>
        <w:t xml:space="preserve">Este incentivo </w:t>
      </w:r>
      <w:r w:rsidRPr="004E3780">
        <w:rPr>
          <w:rFonts w:ascii="Arial" w:hAnsi="Arial" w:cs="Arial"/>
          <w:bCs/>
          <w:color w:val="000000"/>
          <w:sz w:val="22"/>
          <w:szCs w:val="22"/>
          <w:lang w:val="es-ES_tradnl" w:eastAsia="en-US"/>
        </w:rPr>
        <w:t xml:space="preserve">impulsa la vinculación laboral de este tipo de población circunscrito a mujeres, personas con discapacidad y personas mayores de 45 años, mediante la creación </w:t>
      </w:r>
      <w:r w:rsidRPr="004E3780">
        <w:rPr>
          <w:rFonts w:ascii="Arial" w:hAnsi="Arial" w:cs="Arial"/>
          <w:bCs/>
          <w:color w:val="000000"/>
          <w:sz w:val="22"/>
          <w:szCs w:val="22"/>
          <w:lang w:val="es-ES_tradnl" w:eastAsia="en-US"/>
        </w:rPr>
        <w:lastRenderedPageBreak/>
        <w:t xml:space="preserve">de un puntaje adicional en los procesos contractuales para la adquisición del servicio de vigilancia y seguridad privada de los proveedores del mercado. En este sentido, la </w:t>
      </w:r>
      <w:r w:rsidRPr="004E3780">
        <w:rPr>
          <w:rFonts w:ascii="Arial" w:hAnsi="Arial" w:cs="Arial"/>
          <w:color w:val="000000"/>
          <w:sz w:val="22"/>
          <w:szCs w:val="22"/>
          <w:lang w:val="es-ES" w:eastAsia="en-US"/>
        </w:rPr>
        <w:t>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sidRPr="004E3780">
        <w:rPr>
          <w:rFonts w:ascii="Arial" w:hAnsi="Arial" w:cs="Arial"/>
          <w:color w:val="000000"/>
          <w:sz w:val="22"/>
          <w:szCs w:val="22"/>
          <w:vertAlign w:val="superscript"/>
          <w:lang w:val="es-ES" w:eastAsia="en-US"/>
        </w:rPr>
        <w:footnoteReference w:id="1"/>
      </w:r>
      <w:r w:rsidRPr="004E3780">
        <w:rPr>
          <w:rFonts w:ascii="Arial" w:hAnsi="Arial" w:cs="Arial"/>
          <w:color w:val="000000"/>
          <w:sz w:val="22"/>
          <w:szCs w:val="22"/>
          <w:lang w:val="es-ES" w:eastAsia="en-US"/>
        </w:rPr>
        <w:t>.</w:t>
      </w:r>
    </w:p>
    <w:p w:rsidR="004E3780" w:rsidP="001F58BF" w:rsidRDefault="004E3780" w14:paraId="3C5FCF38" w14:textId="2179E163">
      <w:pPr>
        <w:tabs>
          <w:tab w:val="left" w:pos="426"/>
        </w:tabs>
        <w:spacing w:after="120"/>
        <w:ind w:firstLine="709"/>
        <w:rPr>
          <w:rFonts w:ascii="Arial" w:hAnsi="Arial" w:cs="Arial"/>
          <w:color w:val="000000"/>
          <w:sz w:val="22"/>
          <w:szCs w:val="22"/>
          <w:lang w:val="es-ES" w:eastAsia="en-US"/>
        </w:rPr>
      </w:pPr>
      <w:r w:rsidRPr="004E3780">
        <w:rPr>
          <w:rFonts w:ascii="Arial" w:hAnsi="Arial" w:cs="Arial"/>
          <w:color w:val="000000"/>
          <w:sz w:val="22"/>
          <w:szCs w:val="22"/>
          <w:lang w:val="es-ES" w:eastAsia="en-US"/>
        </w:rPr>
        <w:t>Estas finalidades reciben diferentes nombres en los diversos contextos en los que se utilizan, algunos recurren al nombre de políticas secundarias, finalidades paralelas, o políticas colaterales u horizontales en materia de contratación</w:t>
      </w:r>
      <w:r w:rsidRPr="004E3780">
        <w:rPr>
          <w:rFonts w:ascii="Arial" w:hAnsi="Arial" w:cs="Arial"/>
          <w:color w:val="000000"/>
          <w:sz w:val="22"/>
          <w:szCs w:val="22"/>
          <w:vertAlign w:val="superscript"/>
          <w:lang w:val="es-ES" w:eastAsia="en-US"/>
        </w:rPr>
        <w:footnoteReference w:id="2"/>
      </w:r>
      <w:r w:rsidRPr="004E3780">
        <w:rPr>
          <w:rFonts w:ascii="Arial" w:hAnsi="Arial" w:cs="Arial"/>
          <w:color w:val="000000"/>
          <w:sz w:val="22"/>
          <w:szCs w:val="22"/>
          <w:lang w:val="es-ES" w:eastAsia="en-US"/>
        </w:rPr>
        <w:t xml:space="preserve">. El concepto de política o finalidad horizontal o colateral pretende subrayar que se trata de políticas no subordinadas o inferiores, sino que acompañan la finalidad principal de la contratación estatal, la cual –de conformidad con el artículo 3º de la Ley 80 de 1993– consiste en «el cumplimiento de los fines estatales, la continua y eficiente prestación de los servicios públicos y la efectividad de los derechos e intereses de los administrados que colaboran con ellas en la consecución de dichos fines». </w:t>
      </w:r>
    </w:p>
    <w:p w:rsidR="004E3780" w:rsidP="001F58BF" w:rsidRDefault="0015675B" w14:paraId="429D6100" w14:textId="563DC059">
      <w:pPr>
        <w:tabs>
          <w:tab w:val="left" w:pos="426"/>
        </w:tabs>
        <w:spacing w:after="120"/>
        <w:ind w:firstLine="709"/>
        <w:rPr>
          <w:rFonts w:ascii="Arial" w:hAnsi="Arial" w:cs="Arial"/>
          <w:color w:val="000000"/>
          <w:sz w:val="22"/>
          <w:szCs w:val="22"/>
          <w:lang w:val="es-ES" w:eastAsia="en-US"/>
        </w:rPr>
      </w:pPr>
      <w:r>
        <w:rPr>
          <w:rFonts w:ascii="Arial" w:hAnsi="Arial" w:cs="Arial"/>
          <w:color w:val="000000"/>
          <w:sz w:val="22"/>
          <w:szCs w:val="22"/>
          <w:lang w:val="es-ES" w:eastAsia="en-US"/>
        </w:rPr>
        <w:t xml:space="preserve">Existen distintos </w:t>
      </w:r>
      <w:r w:rsidRPr="004E3780" w:rsidR="004E3780">
        <w:rPr>
          <w:rFonts w:ascii="Arial" w:hAnsi="Arial" w:cs="Arial"/>
          <w:color w:val="000000"/>
          <w:sz w:val="22"/>
          <w:szCs w:val="22"/>
          <w:lang w:val="es-ES" w:eastAsia="en-US"/>
        </w:rPr>
        <w:t>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4E3780" w:rsidR="004E3780">
        <w:rPr>
          <w:rFonts w:ascii="Arial" w:hAnsi="Arial" w:cs="Arial"/>
          <w:color w:val="000000"/>
          <w:sz w:val="22"/>
          <w:szCs w:val="22"/>
          <w:vertAlign w:val="superscript"/>
          <w:lang w:val="es-ES" w:eastAsia="en-US"/>
        </w:rPr>
        <w:footnoteReference w:id="3"/>
      </w:r>
      <w:r w:rsidRPr="004E3780" w:rsidR="004E3780">
        <w:rPr>
          <w:rFonts w:ascii="Arial" w:hAnsi="Arial" w:cs="Arial"/>
          <w:color w:val="000000"/>
          <w:sz w:val="22"/>
          <w:szCs w:val="22"/>
          <w:lang w:val="es-ES" w:eastAsia="en-US"/>
        </w:rPr>
        <w:t xml:space="preserve">. </w:t>
      </w:r>
    </w:p>
    <w:p w:rsidRPr="004E3780" w:rsidR="004E3780" w:rsidP="00235C6A" w:rsidRDefault="004E3780" w14:paraId="2A9F05AF" w14:textId="77777777">
      <w:pPr>
        <w:spacing w:after="0"/>
        <w:ind w:firstLine="709"/>
        <w:rPr>
          <w:rFonts w:ascii="Arial" w:hAnsi="Arial" w:cs="Arial"/>
          <w:bCs/>
          <w:color w:val="000000"/>
          <w:sz w:val="22"/>
          <w:szCs w:val="22"/>
          <w:lang w:val="es-ES_tradnl" w:eastAsia="en-US"/>
        </w:rPr>
      </w:pPr>
      <w:r w:rsidRPr="004E3780">
        <w:rPr>
          <w:rFonts w:ascii="Arial" w:hAnsi="Arial" w:cs="Arial"/>
          <w:color w:val="000000"/>
          <w:sz w:val="22"/>
          <w:szCs w:val="22"/>
          <w:lang w:val="es-ES" w:eastAsia="en-US"/>
        </w:rPr>
        <w:t>Para comprender este tema, es necesario distinguir entre «política horizontal» e «incentivo». La política horizontal consiste en el fin constitucional o legal legítimamente perseguido por el Estado, para cuya consecución se apoya en la contratación estatal como instrumento. Por su parte, el incentivo corresponde a la herramienta utilizada para garantizar aquellos fines</w:t>
      </w:r>
      <w:r w:rsidRPr="004E3780">
        <w:rPr>
          <w:rFonts w:ascii="Arial" w:hAnsi="Arial" w:cs="Arial"/>
          <w:color w:val="000000"/>
          <w:sz w:val="22"/>
          <w:szCs w:val="22"/>
          <w:vertAlign w:val="superscript"/>
          <w:lang w:val="es-ES" w:eastAsia="en-US"/>
        </w:rPr>
        <w:footnoteReference w:id="4"/>
      </w:r>
      <w:r w:rsidRPr="004E3780">
        <w:rPr>
          <w:rFonts w:ascii="Arial" w:hAnsi="Arial" w:cs="Arial"/>
          <w:color w:val="000000"/>
          <w:sz w:val="22"/>
          <w:szCs w:val="22"/>
          <w:lang w:val="es-ES" w:eastAsia="en-US"/>
        </w:rPr>
        <w:t xml:space="preserve">, como es el caso, se reitera, de los criterios de desempate, puntaje adicional, convocatorias reservadas u obligaciones contractuales. </w:t>
      </w:r>
      <w:r w:rsidRPr="004E3780">
        <w:rPr>
          <w:rFonts w:ascii="Arial" w:hAnsi="Arial" w:cs="Arial"/>
          <w:bCs/>
          <w:color w:val="000000"/>
          <w:sz w:val="22"/>
          <w:szCs w:val="22"/>
          <w:lang w:val="es-ES_tradnl" w:eastAsia="en-US"/>
        </w:rPr>
        <w:t xml:space="preserve">Sin perjuicio de lo anterior, en el caso del incentivo previsto en el artículo 6 de la Ley 1920 de 2018, se </w:t>
      </w:r>
      <w:r w:rsidRPr="004E3780">
        <w:rPr>
          <w:rFonts w:ascii="Arial" w:hAnsi="Arial" w:cs="Arial"/>
          <w:bCs/>
          <w:color w:val="000000"/>
          <w:sz w:val="22"/>
          <w:szCs w:val="22"/>
          <w:lang w:val="es-ES_tradnl" w:eastAsia="en-US"/>
        </w:rPr>
        <w:lastRenderedPageBreak/>
        <w:t>observa que está norma lo creó sometiendo su aplicación a la expedición de un reglamento que detallara las condiciones de su empleo</w:t>
      </w:r>
      <w:r w:rsidRPr="004E3780" w:rsidDel="005D5806">
        <w:rPr>
          <w:rFonts w:ascii="Arial" w:hAnsi="Arial" w:cs="Arial"/>
          <w:bCs/>
          <w:color w:val="000000"/>
          <w:sz w:val="22"/>
          <w:szCs w:val="22"/>
          <w:lang w:val="es-ES_tradnl" w:eastAsia="en-US"/>
        </w:rPr>
        <w:t xml:space="preserve"> </w:t>
      </w:r>
      <w:r w:rsidRPr="004E3780">
        <w:rPr>
          <w:rFonts w:ascii="Arial" w:hAnsi="Arial" w:cs="Arial"/>
          <w:bCs/>
          <w:color w:val="000000"/>
          <w:sz w:val="22"/>
          <w:szCs w:val="22"/>
          <w:lang w:val="es-ES_tradnl" w:eastAsia="en-US"/>
        </w:rPr>
        <w:t xml:space="preserve">efectivo en los procesos contractuales. </w:t>
      </w:r>
    </w:p>
    <w:p w:rsidRPr="004E3780" w:rsidR="004E3780" w:rsidP="004E3780" w:rsidRDefault="004E3780" w14:paraId="31A9C565" w14:textId="77777777">
      <w:pPr>
        <w:spacing w:after="0"/>
        <w:rPr>
          <w:rFonts w:ascii="Arial" w:hAnsi="Arial" w:cs="Arial"/>
          <w:sz w:val="22"/>
          <w:szCs w:val="22"/>
          <w:lang w:val="es-ES_tradnl" w:eastAsia="en-US"/>
        </w:rPr>
      </w:pPr>
    </w:p>
    <w:p w:rsidRPr="004E3780" w:rsidR="004E3780" w:rsidP="004E3780" w:rsidRDefault="004E3780" w14:paraId="59067DB8" w14:textId="77777777">
      <w:pPr>
        <w:tabs>
          <w:tab w:val="left" w:pos="709"/>
        </w:tabs>
        <w:spacing w:after="0"/>
        <w:rPr>
          <w:rFonts w:ascii="Arial" w:hAnsi="Arial" w:cs="Arial"/>
          <w:b/>
          <w:color w:val="000000"/>
          <w:sz w:val="22"/>
          <w:szCs w:val="22"/>
          <w:lang w:val="es-ES_tradnl" w:eastAsia="en-US"/>
        </w:rPr>
      </w:pPr>
      <w:r w:rsidRPr="004E3780">
        <w:rPr>
          <w:rFonts w:ascii="Arial" w:hAnsi="Arial" w:cs="Arial"/>
          <w:b/>
          <w:color w:val="000000"/>
          <w:sz w:val="22"/>
          <w:szCs w:val="22"/>
          <w:lang w:val="es-ES_tradnl" w:eastAsia="en-US"/>
        </w:rPr>
        <w:t>2.2. Decreto 1279 de 2021 como reglamento que permite utilizar el incentivo creado en el artículo 6 de la Ley 1920 de 2018 en la contratación estatal</w:t>
      </w:r>
    </w:p>
    <w:p w:rsidRPr="004E3780" w:rsidR="004E3780" w:rsidP="00132EF5" w:rsidRDefault="004E3780" w14:paraId="6911E75D" w14:textId="77777777">
      <w:pPr>
        <w:tabs>
          <w:tab w:val="left" w:pos="709"/>
        </w:tabs>
        <w:spacing w:after="0"/>
        <w:rPr>
          <w:rFonts w:ascii="Arial" w:hAnsi="Arial" w:cs="Arial"/>
          <w:b/>
          <w:color w:val="000000"/>
          <w:sz w:val="22"/>
          <w:szCs w:val="22"/>
          <w:lang w:val="es-ES_tradnl" w:eastAsia="en-US"/>
        </w:rPr>
      </w:pPr>
    </w:p>
    <w:p w:rsidR="000D69D2" w:rsidP="00DB0CE9" w:rsidRDefault="000D69D2" w14:paraId="568DAF40" w14:textId="56BD4DDC">
      <w:pPr>
        <w:tabs>
          <w:tab w:val="left" w:pos="709"/>
        </w:tabs>
        <w:spacing w:after="120"/>
        <w:rPr>
          <w:rFonts w:ascii="Arial" w:hAnsi="Arial" w:cs="Arial"/>
          <w:bCs/>
          <w:color w:val="000000"/>
          <w:sz w:val="22"/>
          <w:szCs w:val="22"/>
          <w:lang w:val="es-ES_tradnl" w:eastAsia="en-US"/>
        </w:rPr>
      </w:pPr>
      <w:bookmarkStart w:name="_Hlk69580333" w:id="2"/>
      <w:r w:rsidRPr="000D69D2">
        <w:rPr>
          <w:rFonts w:ascii="Arial" w:hAnsi="Arial" w:cs="Arial"/>
          <w:color w:val="000000"/>
          <w:sz w:val="22"/>
          <w:szCs w:val="22"/>
          <w:lang w:val="es-ES_tradnl" w:eastAsia="en-US"/>
        </w:rPr>
        <w:t>El incentivo creado en el artículo 6 de la Ley 1920 de 2018 requiere la existencia de una reglamentación como condición de eficacia</w:t>
      </w:r>
      <w:r w:rsidRPr="000D69D2">
        <w:rPr>
          <w:rFonts w:ascii="Arial" w:hAnsi="Arial" w:cs="Arial"/>
          <w:bCs/>
          <w:color w:val="000000"/>
          <w:sz w:val="22"/>
          <w:szCs w:val="22"/>
          <w:lang w:val="es-ES_tradnl" w:eastAsia="en-US"/>
        </w:rPr>
        <w:t xml:space="preserve">. Para estos efectos, si bien el Congreso de la República conserva la cláusula general de competencia normativa para la expedición de las leyes, en ocasiones puede sujetar su aplicación a una norma de menor jerarquía que regule aspectos de detalle, por lo que exige la expedición del decreto reglamentario correspondiente. Dicha reglamentación quedó contenida en el Decreto 1279 expedido por el gobierno nacional el 13 de octubre de 2021, en ejercicio de la facultad prevista en el numeral 11 del artículo 189 de la Constitución Política.  </w:t>
      </w:r>
    </w:p>
    <w:p w:rsidR="000D69D2" w:rsidP="00DB0CE9" w:rsidRDefault="000D69D2" w14:paraId="14891361" w14:textId="6054BED5">
      <w:pPr>
        <w:tabs>
          <w:tab w:val="left" w:pos="709"/>
        </w:tabs>
        <w:spacing w:after="120"/>
        <w:rPr>
          <w:rFonts w:ascii="Arial" w:hAnsi="Arial" w:cs="Arial"/>
          <w:bCs/>
          <w:color w:val="000000"/>
          <w:sz w:val="22"/>
          <w:szCs w:val="22"/>
          <w:lang w:val="es-ES_tradnl" w:eastAsia="en-US"/>
        </w:rPr>
      </w:pPr>
      <w:r w:rsidRPr="000D69D2">
        <w:rPr>
          <w:rFonts w:ascii="Arial" w:hAnsi="Arial" w:cs="Arial"/>
          <w:bCs/>
          <w:color w:val="000000"/>
          <w:sz w:val="22"/>
          <w:szCs w:val="22"/>
          <w:lang w:val="es-ES_tradnl" w:eastAsia="en-US"/>
        </w:rPr>
        <w:tab/>
      </w:r>
      <w:r w:rsidRPr="000D69D2">
        <w:rPr>
          <w:rFonts w:ascii="Arial" w:hAnsi="Arial" w:cs="Arial"/>
          <w:bCs/>
          <w:color w:val="000000"/>
          <w:sz w:val="22"/>
          <w:szCs w:val="22"/>
          <w:lang w:val="es-ES_tradnl" w:eastAsia="en-US"/>
        </w:rPr>
        <w:t>Es así como el referido artículo de la ley contiene un mandato de reglamentación que debe acatar el Gobierno Nacional</w:t>
      </w:r>
      <w:r w:rsidRPr="000D69D2">
        <w:rPr>
          <w:rFonts w:ascii="Arial" w:hAnsi="Arial" w:cs="Arial"/>
          <w:bCs/>
          <w:color w:val="000000"/>
          <w:sz w:val="22"/>
          <w:szCs w:val="22"/>
          <w:vertAlign w:val="superscript"/>
          <w:lang w:val="es-ES_tradnl" w:eastAsia="en-US"/>
        </w:rPr>
        <w:footnoteReference w:id="5"/>
      </w:r>
      <w:r w:rsidRPr="000D69D2">
        <w:rPr>
          <w:rFonts w:ascii="Arial" w:hAnsi="Arial" w:cs="Arial"/>
          <w:bCs/>
          <w:color w:val="000000"/>
          <w:sz w:val="22"/>
          <w:szCs w:val="22"/>
          <w:lang w:val="es-ES_tradnl" w:eastAsia="en-US"/>
        </w:rPr>
        <w:t xml:space="preserve">. </w:t>
      </w:r>
      <w:r w:rsidR="00CC167E">
        <w:rPr>
          <w:rFonts w:ascii="Arial" w:hAnsi="Arial" w:cs="Arial"/>
          <w:bCs/>
          <w:color w:val="000000"/>
          <w:sz w:val="22"/>
          <w:szCs w:val="22"/>
          <w:lang w:val="es-ES_tradnl" w:eastAsia="en-US"/>
        </w:rPr>
        <w:t>Bajo supuestos como el indicado, a</w:t>
      </w:r>
      <w:r w:rsidRPr="000D69D2">
        <w:rPr>
          <w:rFonts w:ascii="Arial" w:hAnsi="Arial" w:cs="Arial"/>
          <w:bCs/>
          <w:color w:val="000000"/>
          <w:sz w:val="22"/>
          <w:szCs w:val="22"/>
          <w:lang w:val="es-ES_tradnl" w:eastAsia="en-US"/>
        </w:rPr>
        <w:t xml:space="preserve">ntes de que un decreto </w:t>
      </w:r>
      <w:r w:rsidR="00CC167E">
        <w:rPr>
          <w:rFonts w:ascii="Arial" w:hAnsi="Arial" w:cs="Arial"/>
          <w:bCs/>
          <w:color w:val="000000"/>
          <w:sz w:val="22"/>
          <w:szCs w:val="22"/>
          <w:lang w:val="es-ES_tradnl" w:eastAsia="en-US"/>
        </w:rPr>
        <w:t>se expida</w:t>
      </w:r>
      <w:r w:rsidRPr="000D69D2">
        <w:rPr>
          <w:rFonts w:ascii="Arial" w:hAnsi="Arial" w:cs="Arial"/>
          <w:bCs/>
          <w:color w:val="000000"/>
          <w:sz w:val="22"/>
          <w:szCs w:val="22"/>
          <w:lang w:val="es-ES_tradnl" w:eastAsia="en-US"/>
        </w:rPr>
        <w:t xml:space="preserve"> la ley es inaplicable, porque delega en el poder ejecutivo la definición de los aspectos relevantes para </w:t>
      </w:r>
      <w:r w:rsidR="00CC167E">
        <w:rPr>
          <w:rFonts w:ascii="Arial" w:hAnsi="Arial" w:cs="Arial"/>
          <w:bCs/>
          <w:color w:val="000000"/>
          <w:sz w:val="22"/>
          <w:szCs w:val="22"/>
          <w:lang w:val="es-ES_tradnl" w:eastAsia="en-US"/>
        </w:rPr>
        <w:t xml:space="preserve">la </w:t>
      </w:r>
      <w:r w:rsidRPr="000D69D2">
        <w:rPr>
          <w:rFonts w:ascii="Arial" w:hAnsi="Arial" w:cs="Arial"/>
          <w:bCs/>
          <w:color w:val="000000"/>
          <w:sz w:val="22"/>
          <w:szCs w:val="22"/>
          <w:lang w:val="es-ES_tradnl" w:eastAsia="en-US"/>
        </w:rPr>
        <w:t xml:space="preserve">efectividad de los mandatos contenidos en la misma mediante la expedición de un acto administrativo de carácter general. En estos casos, la omisión reglamentaria genera una </w:t>
      </w:r>
      <w:r w:rsidRPr="000D69D2">
        <w:rPr>
          <w:rFonts w:ascii="Arial" w:hAnsi="Arial" w:cs="Arial"/>
          <w:bCs/>
          <w:i/>
          <w:iCs/>
          <w:color w:val="000000"/>
          <w:sz w:val="22"/>
          <w:szCs w:val="22"/>
          <w:lang w:val="es-ES_tradnl" w:eastAsia="en-US"/>
        </w:rPr>
        <w:t>laguna técnica</w:t>
      </w:r>
      <w:r w:rsidRPr="000D69D2">
        <w:rPr>
          <w:rFonts w:ascii="Arial" w:hAnsi="Arial" w:cs="Arial"/>
          <w:bCs/>
          <w:color w:val="000000"/>
          <w:sz w:val="22"/>
          <w:szCs w:val="22"/>
          <w:lang w:val="es-ES_tradnl" w:eastAsia="en-US"/>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0D69D2">
        <w:rPr>
          <w:rFonts w:ascii="Arial" w:hAnsi="Arial" w:cs="Arial"/>
          <w:bCs/>
          <w:color w:val="000000"/>
          <w:sz w:val="22"/>
          <w:szCs w:val="22"/>
          <w:vertAlign w:val="superscript"/>
          <w:lang w:val="es-ES_tradnl" w:eastAsia="en-US"/>
        </w:rPr>
        <w:footnoteReference w:id="6"/>
      </w:r>
      <w:r w:rsidRPr="000D69D2">
        <w:rPr>
          <w:rFonts w:ascii="Arial" w:hAnsi="Arial" w:cs="Arial"/>
          <w:bCs/>
          <w:color w:val="000000"/>
          <w:sz w:val="22"/>
          <w:szCs w:val="22"/>
          <w:lang w:val="es-ES_tradnl" w:eastAsia="en-US"/>
        </w:rPr>
        <w:t>.</w:t>
      </w:r>
    </w:p>
    <w:p w:rsidR="000D69D2" w:rsidP="00DB0CE9" w:rsidRDefault="000D69D2" w14:paraId="69B91DA5" w14:textId="05202B8F">
      <w:pPr>
        <w:tabs>
          <w:tab w:val="left" w:pos="709"/>
        </w:tabs>
        <w:spacing w:after="120"/>
        <w:rPr>
          <w:rFonts w:ascii="Arial" w:hAnsi="Arial" w:cs="Arial"/>
          <w:color w:val="000000"/>
          <w:sz w:val="22"/>
          <w:szCs w:val="22"/>
          <w:lang w:val="es-ES_tradnl" w:eastAsia="en-US"/>
        </w:rPr>
      </w:pPr>
      <w:r w:rsidRPr="000D69D2">
        <w:rPr>
          <w:rFonts w:ascii="Arial" w:hAnsi="Arial" w:cs="Arial"/>
          <w:bCs/>
          <w:color w:val="000000"/>
          <w:sz w:val="22"/>
          <w:szCs w:val="22"/>
          <w:lang w:val="es-ES_tradnl" w:eastAsia="en-US"/>
        </w:rPr>
        <w:lastRenderedPageBreak/>
        <w:tab/>
      </w:r>
      <w:r w:rsidRPr="000D69D2">
        <w:rPr>
          <w:rFonts w:ascii="Arial" w:hAnsi="Arial" w:cs="Arial"/>
          <w:bCs/>
          <w:color w:val="000000"/>
          <w:sz w:val="22"/>
          <w:szCs w:val="22"/>
          <w:lang w:val="es-ES_tradnl" w:eastAsia="en-US"/>
        </w:rPr>
        <w:t>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0D69D2">
        <w:rPr>
          <w:rFonts w:ascii="Arial" w:hAnsi="Arial" w:cs="Arial"/>
          <w:bCs/>
          <w:color w:val="000000"/>
          <w:sz w:val="22"/>
          <w:szCs w:val="22"/>
          <w:vertAlign w:val="superscript"/>
          <w:lang w:val="es-ES_tradnl" w:eastAsia="en-US"/>
        </w:rPr>
        <w:footnoteReference w:id="7"/>
      </w:r>
      <w:r w:rsidRPr="000D69D2">
        <w:rPr>
          <w:rFonts w:ascii="Arial" w:hAnsi="Arial" w:cs="Arial"/>
          <w:bCs/>
          <w:color w:val="000000"/>
          <w:sz w:val="22"/>
          <w:szCs w:val="22"/>
          <w:lang w:val="es-ES_tradnl" w:eastAsia="en-US"/>
        </w:rPr>
        <w:t xml:space="preserve">. </w:t>
      </w:r>
      <w:r w:rsidRPr="000D69D2">
        <w:rPr>
          <w:rFonts w:ascii="Arial" w:hAnsi="Arial" w:cs="Arial"/>
          <w:color w:val="000000"/>
          <w:sz w:val="22"/>
          <w:szCs w:val="22"/>
          <w:lang w:val="es-ES_tradnl" w:eastAsia="en-US"/>
        </w:rPr>
        <w:t xml:space="preserve">Sin embargo, las leyes pueden modular sus efectos en el tiempo y establecer para el inicio de su entrada en vigencia un plazo o una condición. Cuando la entrada en vigencia está sometida a un plazo, el mero transcurso del periodo de tiempo previsto en la norma activa sus efectos jurídicos. No obstante, las leyes pueden establecer no un plazo sino una condición para modular sus efectos en el tiempo. La condición más usual es someter la vigencia a la expedición de un reglamento. </w:t>
      </w:r>
    </w:p>
    <w:p w:rsidRPr="000D69D2" w:rsidR="000D69D2" w:rsidP="000D69D2" w:rsidRDefault="000D69D2" w14:paraId="7DB31FA0" w14:textId="77777777">
      <w:pPr>
        <w:tabs>
          <w:tab w:val="left" w:pos="709"/>
        </w:tabs>
        <w:spacing w:after="0"/>
        <w:rPr>
          <w:rFonts w:ascii="Arial" w:hAnsi="Arial" w:cs="Arial"/>
          <w:color w:val="000000"/>
          <w:sz w:val="22"/>
          <w:szCs w:val="22"/>
          <w:lang w:val="es-ES_tradnl" w:eastAsia="en-US"/>
        </w:rPr>
      </w:pPr>
      <w:r w:rsidRPr="000D69D2">
        <w:rPr>
          <w:rFonts w:ascii="Arial" w:hAnsi="Arial" w:cs="Arial"/>
          <w:color w:val="000000"/>
          <w:sz w:val="22"/>
          <w:szCs w:val="22"/>
          <w:lang w:val="es-ES_tradnl" w:eastAsia="en-US"/>
        </w:rPr>
        <w:tab/>
      </w:r>
      <w:r w:rsidRPr="000D69D2">
        <w:rPr>
          <w:rFonts w:ascii="Arial" w:hAnsi="Arial" w:cs="Arial"/>
          <w:color w:val="000000"/>
          <w:sz w:val="22"/>
          <w:szCs w:val="22"/>
          <w:lang w:val="es-ES_tradnl" w:eastAsia="en-US"/>
        </w:rPr>
        <w:t xml:space="preserve">En este sentido, </w:t>
      </w:r>
      <w:bookmarkStart w:name="_Hlk101942903" w:id="3"/>
      <w:r w:rsidRPr="000D69D2">
        <w:rPr>
          <w:rFonts w:ascii="Arial" w:hAnsi="Arial" w:cs="Arial"/>
          <w:color w:val="000000"/>
          <w:sz w:val="22"/>
          <w:szCs w:val="22"/>
          <w:lang w:val="es-ES_tradnl" w:eastAsia="en-US"/>
        </w:rPr>
        <w:t xml:space="preserve">el artículo 6 de la Ley 1920 de 2018 dispuso que el incentivo debía reglamentarse previamente para que el decreto definiera la «[…]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 Así, la ley creó un incentivo, pero éste no podía aplicarse hasta tanto que no se cumpliera la condición deferida a la existencia del reglamento. Sobre este asunto, el Consejo de Estado considera: </w:t>
      </w:r>
    </w:p>
    <w:p w:rsidRPr="000D69D2" w:rsidR="000D69D2" w:rsidP="000D69D2" w:rsidRDefault="000D69D2" w14:paraId="5BD1316A" w14:textId="77777777">
      <w:pPr>
        <w:shd w:val="clear" w:color="auto" w:fill="FFFFFF"/>
        <w:spacing w:after="0"/>
        <w:ind w:left="709" w:right="760"/>
        <w:rPr>
          <w:rFonts w:ascii="Arial" w:hAnsi="Arial" w:cs="Arial"/>
          <w:color w:val="000000"/>
          <w:sz w:val="22"/>
          <w:szCs w:val="22"/>
          <w:lang w:val="es-ES_tradnl" w:eastAsia="en-US"/>
        </w:rPr>
      </w:pPr>
    </w:p>
    <w:p w:rsidRPr="000D69D2" w:rsidR="000D69D2" w:rsidP="00DB0CE9" w:rsidRDefault="000D69D2" w14:paraId="036185C1" w14:textId="77777777">
      <w:pPr>
        <w:shd w:val="clear" w:color="auto" w:fill="FFFFFF"/>
        <w:spacing w:after="0" w:line="240" w:lineRule="auto"/>
        <w:ind w:left="709" w:right="760"/>
        <w:rPr>
          <w:rFonts w:ascii="Arial" w:hAnsi="Arial" w:cs="Arial"/>
          <w:color w:val="000000"/>
          <w:sz w:val="21"/>
          <w:szCs w:val="21"/>
          <w:lang w:val="es-ES_tradnl" w:eastAsia="en-US"/>
        </w:rPr>
      </w:pPr>
      <w:r w:rsidRPr="000D69D2">
        <w:rPr>
          <w:rFonts w:ascii="Arial" w:hAnsi="Arial" w:cs="Arial"/>
          <w:color w:val="000000"/>
          <w:sz w:val="21"/>
          <w:szCs w:val="21"/>
          <w:lang w:val="es-ES_tradnl" w:eastAsia="en-U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0D69D2">
        <w:rPr>
          <w:rFonts w:ascii="Arial" w:hAnsi="Arial" w:cs="Arial"/>
          <w:color w:val="000000"/>
          <w:sz w:val="21"/>
          <w:szCs w:val="21"/>
          <w:vertAlign w:val="superscript"/>
          <w:lang w:val="es-ES_tradnl" w:eastAsia="en-US"/>
        </w:rPr>
        <w:footnoteReference w:id="8"/>
      </w:r>
      <w:r w:rsidRPr="000D69D2">
        <w:rPr>
          <w:rFonts w:ascii="Arial" w:hAnsi="Arial" w:cs="Arial"/>
          <w:color w:val="000000"/>
          <w:sz w:val="21"/>
          <w:szCs w:val="21"/>
          <w:lang w:val="es-ES_tradnl" w:eastAsia="en-US"/>
        </w:rPr>
        <w:t>.</w:t>
      </w:r>
    </w:p>
    <w:p w:rsidRPr="000D69D2" w:rsidR="000D69D2" w:rsidP="000D69D2" w:rsidRDefault="000D69D2" w14:paraId="4F54F336" w14:textId="77777777">
      <w:pPr>
        <w:shd w:val="clear" w:color="auto" w:fill="FFFFFF"/>
        <w:spacing w:after="0"/>
        <w:ind w:left="709" w:right="760"/>
        <w:rPr>
          <w:rFonts w:ascii="Arial" w:hAnsi="Arial" w:cs="Arial"/>
          <w:color w:val="000000"/>
          <w:sz w:val="22"/>
          <w:szCs w:val="22"/>
          <w:lang w:val="es-ES_tradnl" w:eastAsia="en-US"/>
        </w:rPr>
      </w:pPr>
    </w:p>
    <w:p w:rsidR="000D69D2" w:rsidP="00DB0CE9" w:rsidRDefault="000D69D2" w14:paraId="09033E01" w14:textId="765EEEEE">
      <w:pPr>
        <w:shd w:val="clear" w:color="auto" w:fill="FFFFFF"/>
        <w:spacing w:after="120"/>
        <w:ind w:right="51" w:firstLine="709"/>
        <w:rPr>
          <w:rFonts w:ascii="Arial" w:hAnsi="Arial" w:cs="Arial"/>
          <w:color w:val="000000"/>
          <w:sz w:val="22"/>
          <w:szCs w:val="22"/>
          <w:lang w:val="es-ES_tradnl" w:eastAsia="en-US"/>
        </w:rPr>
      </w:pPr>
      <w:r w:rsidRPr="000D69D2">
        <w:rPr>
          <w:rFonts w:ascii="Arial" w:hAnsi="Arial" w:cs="Arial"/>
          <w:color w:val="000000"/>
          <w:sz w:val="22"/>
          <w:szCs w:val="22"/>
          <w:lang w:val="es-ES_tradnl" w:eastAsia="en-US"/>
        </w:rPr>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se analiza con otros elementos que obran en este sentido, como los antecedentes legislativos, es posible utilizar la referencia al reglamento como una prueba de que la ley moduló sus efectos en el tiempo y se encuentra sometida a condición.</w:t>
      </w:r>
    </w:p>
    <w:p w:rsidR="000D69D2" w:rsidP="00DB0CE9" w:rsidRDefault="000D69D2" w14:paraId="5C6E689B" w14:textId="7E55B19C">
      <w:pPr>
        <w:shd w:val="clear" w:color="auto" w:fill="FFFFFF"/>
        <w:spacing w:after="120"/>
        <w:ind w:right="51" w:firstLine="709"/>
        <w:rPr>
          <w:rFonts w:ascii="Arial" w:hAnsi="Arial" w:cs="Arial"/>
          <w:bCs/>
          <w:color w:val="000000"/>
          <w:sz w:val="22"/>
          <w:szCs w:val="22"/>
          <w:lang w:val="es-ES_tradnl" w:eastAsia="en-US"/>
        </w:rPr>
      </w:pPr>
      <w:r w:rsidRPr="000D69D2">
        <w:rPr>
          <w:rFonts w:ascii="Arial" w:hAnsi="Arial" w:cs="Arial"/>
          <w:color w:val="000000"/>
          <w:sz w:val="22"/>
          <w:szCs w:val="22"/>
          <w:lang w:val="es-ES_tradnl" w:eastAsia="en-US"/>
        </w:rPr>
        <w:lastRenderedPageBreak/>
        <w:t>En tal sentido, el Congreso de la República dispuso la expedición de un decreto reglamentario para detallar el contenido del artículo 6 de la Ley 1920 de 2018</w:t>
      </w:r>
      <w:r w:rsidR="00CC167E">
        <w:rPr>
          <w:rFonts w:ascii="Arial" w:hAnsi="Arial" w:cs="Arial"/>
          <w:color w:val="000000"/>
          <w:sz w:val="22"/>
          <w:szCs w:val="22"/>
          <w:lang w:val="es-ES_tradnl" w:eastAsia="en-US"/>
        </w:rPr>
        <w:t xml:space="preserve">. En armonía con lo anterior, </w:t>
      </w:r>
      <w:r w:rsidRPr="000D69D2">
        <w:rPr>
          <w:rFonts w:ascii="Arial" w:hAnsi="Arial" w:cs="Arial"/>
          <w:color w:val="000000"/>
          <w:sz w:val="22"/>
          <w:szCs w:val="22"/>
          <w:lang w:val="es-ES_tradnl" w:eastAsia="en-US"/>
        </w:rPr>
        <w:t xml:space="preserve">el Gobierno Nacional expidió la reglamentación </w:t>
      </w:r>
      <w:r w:rsidR="00CC167E">
        <w:rPr>
          <w:rFonts w:ascii="Arial" w:hAnsi="Arial" w:cs="Arial"/>
          <w:color w:val="000000"/>
          <w:sz w:val="22"/>
          <w:szCs w:val="22"/>
          <w:lang w:val="es-ES_tradnl" w:eastAsia="en-US"/>
        </w:rPr>
        <w:t xml:space="preserve">respectiva mediante el </w:t>
      </w:r>
      <w:r w:rsidRPr="000D69D2">
        <w:rPr>
          <w:rFonts w:ascii="Arial" w:hAnsi="Arial" w:cs="Arial"/>
          <w:color w:val="000000"/>
          <w:sz w:val="22"/>
          <w:szCs w:val="22"/>
          <w:lang w:val="es-ES_tradnl" w:eastAsia="en-US"/>
        </w:rPr>
        <w:t>Decreto 1279 de 2021</w:t>
      </w:r>
      <w:r w:rsidR="00CC167E">
        <w:rPr>
          <w:rFonts w:ascii="Arial" w:hAnsi="Arial" w:cs="Arial"/>
          <w:color w:val="000000"/>
          <w:sz w:val="22"/>
          <w:szCs w:val="22"/>
          <w:lang w:val="es-ES_tradnl" w:eastAsia="en-US"/>
        </w:rPr>
        <w:t>, que</w:t>
      </w:r>
      <w:r w:rsidRPr="000D69D2">
        <w:rPr>
          <w:rFonts w:ascii="Arial" w:hAnsi="Arial" w:cs="Arial"/>
          <w:color w:val="000000"/>
          <w:sz w:val="22"/>
          <w:szCs w:val="22"/>
          <w:lang w:val="es-ES_tradnl" w:eastAsia="en-US"/>
        </w:rPr>
        <w:t xml:space="preserve"> inició su vigencia desde su publicación el 13 de octubre </w:t>
      </w:r>
      <w:r w:rsidR="00150919">
        <w:rPr>
          <w:rFonts w:ascii="Arial" w:hAnsi="Arial" w:cs="Arial"/>
          <w:color w:val="000000"/>
          <w:sz w:val="22"/>
          <w:szCs w:val="22"/>
          <w:lang w:val="es-ES_tradnl" w:eastAsia="en-US"/>
        </w:rPr>
        <w:t>de dicho año</w:t>
      </w:r>
      <w:r w:rsidRPr="000D69D2">
        <w:rPr>
          <w:rFonts w:ascii="Arial" w:hAnsi="Arial" w:cs="Arial"/>
          <w:color w:val="000000"/>
          <w:sz w:val="22"/>
          <w:szCs w:val="22"/>
          <w:lang w:val="es-ES_tradnl" w:eastAsia="en-US"/>
        </w:rPr>
        <w:t xml:space="preserve">. Por ello, mientras estuvo ausente el referido decreto existió una </w:t>
      </w:r>
      <w:r w:rsidRPr="000D69D2">
        <w:rPr>
          <w:rFonts w:ascii="Arial" w:hAnsi="Arial" w:cs="Arial"/>
          <w:i/>
          <w:iCs/>
          <w:color w:val="000000"/>
          <w:sz w:val="22"/>
          <w:szCs w:val="22"/>
          <w:lang w:val="es-ES_tradnl" w:eastAsia="en-US"/>
        </w:rPr>
        <w:t>laguna técnica</w:t>
      </w:r>
      <w:r w:rsidRPr="000D69D2">
        <w:rPr>
          <w:rFonts w:ascii="Arial" w:hAnsi="Arial" w:cs="Arial"/>
          <w:color w:val="000000"/>
          <w:sz w:val="22"/>
          <w:szCs w:val="22"/>
          <w:lang w:val="es-ES_tradnl" w:eastAsia="en-US"/>
        </w:rPr>
        <w:t xml:space="preserve"> que impedía aplicar el incentivo previsto en la ley</w:t>
      </w:r>
      <w:r w:rsidRPr="000D69D2">
        <w:rPr>
          <w:rFonts w:ascii="Arial" w:hAnsi="Arial" w:cs="Arial"/>
          <w:bCs/>
          <w:color w:val="000000"/>
          <w:sz w:val="22"/>
          <w:szCs w:val="22"/>
          <w:lang w:val="es-ES_tradnl" w:eastAsia="en-US"/>
        </w:rPr>
        <w:t xml:space="preserve">. </w:t>
      </w:r>
    </w:p>
    <w:bookmarkEnd w:id="3"/>
    <w:p w:rsidRPr="000D69D2" w:rsidR="000D69D2" w:rsidP="00DB0CE9" w:rsidRDefault="000D69D2" w14:paraId="12AFDDA6" w14:textId="77777777">
      <w:pPr>
        <w:shd w:val="clear" w:color="auto" w:fill="FFFFFF"/>
        <w:spacing w:after="120"/>
        <w:ind w:right="51" w:firstLine="709"/>
        <w:rPr>
          <w:rFonts w:ascii="Arial" w:hAnsi="Arial" w:cs="Arial"/>
          <w:bCs/>
          <w:color w:val="000000"/>
          <w:sz w:val="22"/>
          <w:szCs w:val="22"/>
          <w:lang w:val="es-ES_tradnl" w:eastAsia="en-US"/>
        </w:rPr>
      </w:pPr>
      <w:r w:rsidRPr="000D69D2">
        <w:rPr>
          <w:rFonts w:ascii="Arial" w:hAnsi="Arial" w:cs="Arial"/>
          <w:bCs/>
          <w:color w:val="000000"/>
          <w:sz w:val="22"/>
          <w:szCs w:val="22"/>
          <w:lang w:val="es-ES_tradnl" w:eastAsia="en-US"/>
        </w:rPr>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puedan establecer puntajes adicionales en los procesos de licitación pública que se inicien para la contratación de los servicios que prestan las empresas  y cooperativas de vigilancia y seguridad privada, cuando estos proveedores acrediten que dentro de su personal operativo cuentan con mujeres, personas con discapacidad y personas mayores de 45 años vinculadas con todas las garantías que establece la ley</w:t>
      </w:r>
      <w:r w:rsidRPr="000D69D2">
        <w:rPr>
          <w:rFonts w:ascii="Arial" w:hAnsi="Arial" w:cs="Arial"/>
          <w:bCs/>
          <w:color w:val="000000"/>
          <w:sz w:val="22"/>
          <w:szCs w:val="22"/>
          <w:vertAlign w:val="superscript"/>
          <w:lang w:val="es-ES_tradnl" w:eastAsia="en-US"/>
        </w:rPr>
        <w:footnoteReference w:id="9"/>
      </w:r>
      <w:r w:rsidRPr="000D69D2">
        <w:rPr>
          <w:rFonts w:ascii="Arial" w:hAnsi="Arial" w:cs="Arial"/>
          <w:bCs/>
          <w:color w:val="000000"/>
          <w:sz w:val="22"/>
          <w:szCs w:val="22"/>
          <w:lang w:val="es-ES_tradnl" w:eastAsia="en-US"/>
        </w:rPr>
        <w:t xml:space="preserve">.  </w:t>
      </w:r>
    </w:p>
    <w:p w:rsidR="000D69D2" w:rsidP="00DB0CE9" w:rsidRDefault="000D69D2" w14:paraId="7FD6ECE3" w14:textId="6FE2D231">
      <w:pPr>
        <w:shd w:val="clear" w:color="auto" w:fill="FFFFFF"/>
        <w:spacing w:after="120"/>
        <w:ind w:right="51" w:firstLine="709"/>
        <w:rPr>
          <w:rFonts w:ascii="Arial" w:hAnsi="Arial" w:cs="Arial"/>
          <w:color w:val="000000"/>
          <w:sz w:val="22"/>
          <w:szCs w:val="22"/>
          <w:lang w:val="es-ES_tradnl" w:eastAsia="en-US"/>
        </w:rPr>
      </w:pPr>
      <w:r w:rsidRPr="000D69D2">
        <w:rPr>
          <w:rFonts w:ascii="Arial" w:hAnsi="Arial" w:cs="Arial"/>
          <w:bCs/>
          <w:color w:val="000000"/>
          <w:sz w:val="22"/>
          <w:szCs w:val="22"/>
          <w:lang w:val="es-ES_tradnl" w:eastAsia="en-US"/>
        </w:rPr>
        <w:lastRenderedPageBreak/>
        <w:t xml:space="preserve">Aunque </w:t>
      </w:r>
      <w:r w:rsidRPr="000D69D2">
        <w:rPr>
          <w:rFonts w:ascii="Arial" w:hAnsi="Arial" w:cs="Arial"/>
          <w:color w:val="000000"/>
          <w:sz w:val="22"/>
          <w:szCs w:val="22"/>
          <w:lang w:val="es-ES_tradnl" w:eastAsia="en-US"/>
        </w:rPr>
        <w:t>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 pero no significa que se garantice un estudio del sector o del mercado</w:t>
      </w:r>
      <w:r w:rsidRPr="000D69D2">
        <w:rPr>
          <w:rFonts w:ascii="Arial" w:hAnsi="Arial" w:cs="Arial"/>
          <w:color w:val="000000"/>
          <w:sz w:val="22"/>
          <w:szCs w:val="22"/>
          <w:vertAlign w:val="superscript"/>
          <w:lang w:val="es-ES_tradnl" w:eastAsia="en-US"/>
        </w:rPr>
        <w:footnoteReference w:id="10"/>
      </w:r>
      <w:r w:rsidRPr="000D69D2">
        <w:rPr>
          <w:rFonts w:ascii="Arial" w:hAnsi="Arial" w:cs="Arial"/>
          <w:color w:val="000000"/>
          <w:sz w:val="22"/>
          <w:szCs w:val="22"/>
          <w:lang w:val="es-ES_tradnl" w:eastAsia="en-US"/>
        </w:rPr>
        <w:t xml:space="preserve">.  </w:t>
      </w:r>
    </w:p>
    <w:p w:rsidR="000D69D2" w:rsidP="00DB0CE9" w:rsidRDefault="000D69D2" w14:paraId="734ABA85" w14:textId="5AC635E3">
      <w:pPr>
        <w:shd w:val="clear" w:color="auto" w:fill="FFFFFF"/>
        <w:spacing w:after="120"/>
        <w:ind w:right="51" w:firstLine="709"/>
        <w:rPr>
          <w:rFonts w:ascii="Arial" w:hAnsi="Arial" w:cs="Arial"/>
          <w:color w:val="000000"/>
          <w:sz w:val="22"/>
          <w:szCs w:val="22"/>
          <w:lang w:val="es-ES_tradnl" w:eastAsia="en-US"/>
        </w:rPr>
      </w:pPr>
      <w:r w:rsidRPr="000D69D2">
        <w:rPr>
          <w:rFonts w:ascii="Arial" w:hAnsi="Arial" w:cs="Arial"/>
          <w:bCs/>
          <w:color w:val="000000"/>
          <w:sz w:val="22"/>
          <w:szCs w:val="22"/>
          <w:lang w:val="es-ES_tradnl" w:eastAsia="en-US"/>
        </w:rPr>
        <w:t xml:space="preserve">Ahora bien, según el artículo 3 del Decreto 1279 de 2021, los nuevos artículos adicionados e incorporados al Decreto 1082 de 2015 entraron a regir desde el 13 de octubre de 2021, fecha en que se publicó el referido decreto. En consecuencia, los efectos de esta nueva reglamentación quedaron sometidos a la regla general de vigencia de las normas en el tiempo, por lo que –conforme a lo explicado en el Concepto C-602 del 7 de diciembre de 2021– </w:t>
      </w:r>
      <w:r w:rsidRPr="000D69D2">
        <w:rPr>
          <w:rFonts w:ascii="Arial" w:hAnsi="Arial" w:cs="Arial"/>
          <w:color w:val="000000"/>
          <w:sz w:val="22"/>
          <w:szCs w:val="22"/>
          <w:lang w:val="es-ES_tradnl" w:eastAsia="en-US"/>
        </w:rPr>
        <w:t xml:space="preserve">deben aplicarse hacia el futuro, esto es, para los procesos de licitación pública que inicien luego de su entrada en vigencia. </w:t>
      </w:r>
    </w:p>
    <w:p w:rsidRPr="000D69D2" w:rsidR="000D69D2" w:rsidP="000D69D2" w:rsidRDefault="000D69D2" w14:paraId="14E27C7A" w14:textId="77777777">
      <w:pPr>
        <w:spacing w:after="0"/>
        <w:ind w:firstLine="709"/>
        <w:rPr>
          <w:rFonts w:ascii="Arial" w:hAnsi="Arial" w:cs="Arial"/>
          <w:color w:val="000000"/>
          <w:sz w:val="22"/>
          <w:lang w:val="es-ES_tradnl"/>
        </w:rPr>
      </w:pPr>
      <w:r w:rsidRPr="000D69D2">
        <w:rPr>
          <w:rFonts w:ascii="Arial" w:hAnsi="Arial" w:cs="Arial"/>
          <w:color w:val="000000"/>
          <w:sz w:val="22"/>
          <w:lang w:val="es-ES_tradnl"/>
        </w:rPr>
        <w:t>Lo anterior teniendo en cuenta que, en principio, las leyes, y en general los actos normativos, comienzan a regir a partir del momento en que se cumple la formalidad dispuesta para conferirles publicidad, en el entendido que se busca garantizar que pueda predicarse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000D69D2">
        <w:rPr>
          <w:rFonts w:ascii="Arial" w:hAnsi="Arial" w:cs="Arial"/>
          <w:color w:val="000000"/>
          <w:sz w:val="22"/>
          <w:vertAlign w:val="superscript"/>
          <w:lang w:val="es-ES_tradnl"/>
        </w:rPr>
        <w:footnoteReference w:id="11"/>
      </w:r>
      <w:r w:rsidRPr="000D69D2">
        <w:rPr>
          <w:rFonts w:ascii="Arial" w:hAnsi="Arial" w:cs="Arial"/>
          <w:color w:val="000000"/>
          <w:sz w:val="22"/>
          <w:lang w:val="es-ES_tradnl"/>
        </w:rPr>
        <w:t xml:space="preserve">. </w:t>
      </w:r>
    </w:p>
    <w:p w:rsidR="000D69D2" w:rsidP="004E3780" w:rsidRDefault="000D69D2" w14:paraId="25E94A0D" w14:textId="77777777">
      <w:pPr>
        <w:shd w:val="clear" w:color="auto" w:fill="FFFFFF"/>
        <w:spacing w:after="0"/>
        <w:ind w:right="51"/>
        <w:rPr>
          <w:rFonts w:ascii="Arial" w:hAnsi="Arial" w:cs="Arial"/>
          <w:b/>
          <w:sz w:val="22"/>
          <w:szCs w:val="22"/>
          <w:lang w:val="es-ES_tradnl" w:eastAsia="en-US"/>
        </w:rPr>
      </w:pPr>
    </w:p>
    <w:p w:rsidRPr="00937D75" w:rsidR="004E3780" w:rsidP="004E3780" w:rsidRDefault="004E3780" w14:paraId="7FCB95B1" w14:textId="07EC12D2">
      <w:pPr>
        <w:shd w:val="clear" w:color="auto" w:fill="FFFFFF"/>
        <w:spacing w:after="0"/>
        <w:ind w:right="51"/>
        <w:rPr>
          <w:rFonts w:ascii="Arial" w:hAnsi="Arial" w:cs="Arial"/>
          <w:b/>
          <w:sz w:val="22"/>
          <w:szCs w:val="22"/>
          <w:lang w:val="es-ES_tradnl" w:eastAsia="en-US"/>
        </w:rPr>
      </w:pPr>
      <w:r w:rsidRPr="00937D75">
        <w:rPr>
          <w:rFonts w:ascii="Arial" w:hAnsi="Arial" w:cs="Arial"/>
          <w:b/>
          <w:sz w:val="22"/>
          <w:szCs w:val="22"/>
          <w:lang w:val="es-ES_tradnl" w:eastAsia="en-US"/>
        </w:rPr>
        <w:t>2.3. Criterios y condiciones para la acreditación de los incentivos dispuestos en el Decreto 1279 de 2021</w:t>
      </w:r>
      <w:r w:rsidRPr="00937D75" w:rsidR="00D1133B">
        <w:rPr>
          <w:rFonts w:ascii="Arial" w:hAnsi="Arial" w:cs="Arial"/>
          <w:b/>
          <w:sz w:val="22"/>
          <w:szCs w:val="22"/>
          <w:lang w:val="es-ES_tradnl" w:eastAsia="en-US"/>
        </w:rPr>
        <w:t xml:space="preserve"> </w:t>
      </w:r>
    </w:p>
    <w:p w:rsidRPr="004E3780" w:rsidR="004E3780" w:rsidP="004E3780" w:rsidRDefault="004E3780" w14:paraId="403A9944" w14:textId="77777777">
      <w:pPr>
        <w:shd w:val="clear" w:color="auto" w:fill="FFFFFF"/>
        <w:spacing w:after="0"/>
        <w:ind w:right="51"/>
        <w:rPr>
          <w:rFonts w:ascii="Arial" w:hAnsi="Arial" w:cs="Arial"/>
          <w:sz w:val="22"/>
          <w:szCs w:val="22"/>
          <w:highlight w:val="yellow"/>
          <w:lang w:val="es-ES_tradnl" w:eastAsia="en-US"/>
        </w:rPr>
      </w:pPr>
    </w:p>
    <w:p w:rsidR="004E3780" w:rsidP="00DB0CE9" w:rsidRDefault="004E3780" w14:paraId="2316AA2F" w14:textId="037233E6">
      <w:pPr>
        <w:shd w:val="clear" w:color="auto" w:fill="FFFFFF"/>
        <w:spacing w:after="120"/>
        <w:ind w:right="51"/>
        <w:rPr>
          <w:rFonts w:ascii="Arial" w:hAnsi="Arial" w:eastAsia="Times New Roman" w:cs="Arial"/>
          <w:bCs/>
          <w:sz w:val="22"/>
          <w:szCs w:val="22"/>
          <w:shd w:val="clear" w:color="auto" w:fill="FFFFFF"/>
          <w:lang w:val="es-CO"/>
        </w:rPr>
      </w:pPr>
      <w:r w:rsidRPr="00937D75">
        <w:rPr>
          <w:rFonts w:ascii="Arial" w:hAnsi="Arial" w:cs="Arial"/>
          <w:sz w:val="22"/>
          <w:szCs w:val="22"/>
          <w:lang w:val="es-ES_tradnl" w:eastAsia="en-US"/>
        </w:rPr>
        <w:lastRenderedPageBreak/>
        <w:t xml:space="preserve">El Decreto 1279 de 2021, </w:t>
      </w:r>
      <w:r w:rsidRPr="00937D75">
        <w:rPr>
          <w:rFonts w:ascii="Arial" w:hAnsi="Arial" w:eastAsia="Arial" w:cs="Arial"/>
          <w:sz w:val="22"/>
          <w:szCs w:val="22"/>
          <w:lang w:val="es-ES_tradnl"/>
        </w:rPr>
        <w:t>«</w:t>
      </w:r>
      <w:r w:rsidRPr="00937D75">
        <w:rPr>
          <w:rFonts w:ascii="Arial" w:hAnsi="Arial" w:eastAsia="Times New Roman" w:cs="Arial"/>
          <w:bCs/>
          <w:sz w:val="22"/>
          <w:szCs w:val="22"/>
          <w:shd w:val="clear" w:color="auto" w:fill="FFFFFF"/>
          <w:lang w:val="es-CO"/>
        </w:rPr>
        <w:t>Por el cual se reglamenta el artículo 6° de la Ley 1920 de 2018 y se adicionan unos artículos a la Subsección 2 de la Sección 4 del Capítulo 2 del Título 1 de la Parte 2 del Libro 2 del Decreto 1082 de 2015, Único Reglamentario del Sector Administrativo de Planeación Nacional</w:t>
      </w:r>
      <w:r w:rsidRPr="00937D75">
        <w:rPr>
          <w:rFonts w:ascii="Arial" w:hAnsi="Arial" w:eastAsia="Times New Roman" w:cs="Arial"/>
          <w:bCs/>
          <w:sz w:val="21"/>
          <w:szCs w:val="21"/>
          <w:lang w:val="es-ES_tradnl"/>
        </w:rPr>
        <w:t>»</w:t>
      </w:r>
      <w:r w:rsidRPr="00937D75">
        <w:rPr>
          <w:rFonts w:ascii="Arial" w:hAnsi="Arial" w:eastAsia="Times New Roman" w:cs="Arial"/>
          <w:bCs/>
          <w:sz w:val="22"/>
          <w:szCs w:val="22"/>
          <w:shd w:val="clear" w:color="auto" w:fill="FFFFFF"/>
          <w:lang w:val="es-CO"/>
        </w:rPr>
        <w:t xml:space="preserve">, establece la regulación de un puntaje adicional </w:t>
      </w:r>
      <w:r w:rsidRPr="00937D75">
        <w:rPr>
          <w:rFonts w:ascii="Arial" w:hAnsi="Arial" w:eastAsia="Times New Roman" w:cs="Arial"/>
          <w:sz w:val="22"/>
          <w:szCs w:val="22"/>
          <w:shd w:val="clear" w:color="auto" w:fill="FFFFFF"/>
          <w:lang w:val="es-CO"/>
        </w:rPr>
        <w:t>para los procesos de licitación pública para las empresas y las cooperativas de vigilancia y seguridad privada, que en su personal operativo tengan contratados</w:t>
      </w:r>
      <w:r w:rsidR="00937D75">
        <w:rPr>
          <w:rFonts w:ascii="Arial" w:hAnsi="Arial" w:eastAsia="Times New Roman" w:cs="Arial"/>
          <w:sz w:val="22"/>
          <w:szCs w:val="22"/>
          <w:shd w:val="clear" w:color="auto" w:fill="FFFFFF"/>
          <w:lang w:val="es-CO"/>
        </w:rPr>
        <w:t>,</w:t>
      </w:r>
      <w:r w:rsidRPr="00937D75">
        <w:rPr>
          <w:rFonts w:ascii="Arial" w:hAnsi="Arial" w:eastAsia="Times New Roman" w:cs="Arial"/>
          <w:sz w:val="22"/>
          <w:szCs w:val="22"/>
          <w:shd w:val="clear" w:color="auto" w:fill="FFFFFF"/>
          <w:lang w:val="es-CO"/>
        </w:rPr>
        <w:t xml:space="preserve"> con todas las exigencias y garantías legalmente establecidas</w:t>
      </w:r>
      <w:r w:rsidR="00937D75">
        <w:rPr>
          <w:rFonts w:ascii="Arial" w:hAnsi="Arial" w:eastAsia="Times New Roman" w:cs="Arial"/>
          <w:sz w:val="22"/>
          <w:szCs w:val="22"/>
          <w:shd w:val="clear" w:color="auto" w:fill="FFFFFF"/>
          <w:lang w:val="es-CO"/>
        </w:rPr>
        <w:t>,</w:t>
      </w:r>
      <w:r w:rsidRPr="00937D75">
        <w:rPr>
          <w:rFonts w:ascii="Arial" w:hAnsi="Arial" w:eastAsia="Times New Roman" w:cs="Arial"/>
          <w:sz w:val="22"/>
          <w:szCs w:val="22"/>
          <w:shd w:val="clear" w:color="auto" w:fill="FFFFFF"/>
          <w:lang w:val="es-CO"/>
        </w:rPr>
        <w:t xml:space="preserve"> a mujeres, personas con discapacidad y personas mayores de 45 años. En este sentido, el artículo</w:t>
      </w:r>
      <w:r w:rsidRPr="00937D75">
        <w:rPr>
          <w:rFonts w:ascii="Arial" w:hAnsi="Arial" w:eastAsia="Times New Roman" w:cs="Arial"/>
          <w:bCs/>
          <w:sz w:val="22"/>
          <w:szCs w:val="22"/>
          <w:shd w:val="clear" w:color="auto" w:fill="FFFFFF"/>
          <w:lang w:val="es-CO"/>
        </w:rPr>
        <w:t xml:space="preserve"> 2.2.1.2.4.2.10 </w:t>
      </w:r>
      <w:r w:rsidRPr="00937D75" w:rsidR="004B4970">
        <w:rPr>
          <w:rFonts w:ascii="Arial" w:hAnsi="Arial" w:eastAsia="Times New Roman" w:cs="Arial"/>
          <w:bCs/>
          <w:sz w:val="22"/>
          <w:szCs w:val="22"/>
          <w:shd w:val="clear" w:color="auto" w:fill="FFFFFF"/>
          <w:lang w:val="es-CO"/>
        </w:rPr>
        <w:t>del Decr</w:t>
      </w:r>
      <w:r w:rsidRPr="00937D75">
        <w:rPr>
          <w:rFonts w:ascii="Arial" w:hAnsi="Arial" w:eastAsia="Times New Roman" w:cs="Arial"/>
          <w:bCs/>
          <w:sz w:val="22"/>
          <w:szCs w:val="22"/>
          <w:shd w:val="clear" w:color="auto" w:fill="FFFFFF"/>
          <w:lang w:val="es-CO"/>
        </w:rPr>
        <w:t>eto 1082 de 2015</w:t>
      </w:r>
      <w:r w:rsidRPr="00937D75" w:rsidR="004B4970">
        <w:rPr>
          <w:rFonts w:ascii="Arial" w:hAnsi="Arial" w:eastAsia="Times New Roman" w:cs="Arial"/>
          <w:bCs/>
          <w:sz w:val="22"/>
          <w:szCs w:val="22"/>
          <w:shd w:val="clear" w:color="auto" w:fill="FFFFFF"/>
          <w:lang w:val="es-CO"/>
        </w:rPr>
        <w:t>, que fue adicionado por el</w:t>
      </w:r>
      <w:r w:rsidR="00937D75">
        <w:rPr>
          <w:rFonts w:ascii="Arial" w:hAnsi="Arial" w:eastAsia="Times New Roman" w:cs="Arial"/>
          <w:bCs/>
          <w:sz w:val="22"/>
          <w:szCs w:val="22"/>
          <w:shd w:val="clear" w:color="auto" w:fill="FFFFFF"/>
          <w:lang w:val="es-CO"/>
        </w:rPr>
        <w:t xml:space="preserve"> Decreto</w:t>
      </w:r>
      <w:r w:rsidRPr="00937D75" w:rsidR="004B4970">
        <w:rPr>
          <w:rFonts w:ascii="Arial" w:hAnsi="Arial" w:eastAsia="Times New Roman" w:cs="Arial"/>
          <w:bCs/>
          <w:sz w:val="22"/>
          <w:szCs w:val="22"/>
          <w:shd w:val="clear" w:color="auto" w:fill="FFFFFF"/>
          <w:lang w:val="es-CO"/>
        </w:rPr>
        <w:t xml:space="preserve"> 1279 del 2021, </w:t>
      </w:r>
      <w:r w:rsidRPr="00937D75">
        <w:rPr>
          <w:rFonts w:ascii="Arial" w:hAnsi="Arial" w:eastAsia="Times New Roman" w:cs="Arial"/>
          <w:bCs/>
          <w:sz w:val="22"/>
          <w:szCs w:val="22"/>
          <w:shd w:val="clear" w:color="auto" w:fill="FFFFFF"/>
          <w:lang w:val="es-CO"/>
        </w:rPr>
        <w:t>dispone que se otorga hasta el tres por ciento (3%) del total de los puntos establecidos en el pliego de condiciones, de acuerdo con los siguientes criterios:</w:t>
      </w:r>
      <w:r w:rsidRPr="004E3780">
        <w:rPr>
          <w:rFonts w:ascii="Arial" w:hAnsi="Arial" w:eastAsia="Times New Roman" w:cs="Arial"/>
          <w:bCs/>
          <w:sz w:val="22"/>
          <w:szCs w:val="22"/>
          <w:shd w:val="clear" w:color="auto" w:fill="FFFFFF"/>
          <w:lang w:val="es-CO"/>
        </w:rPr>
        <w:t xml:space="preserve"> </w:t>
      </w:r>
    </w:p>
    <w:bookmarkEnd w:id="2"/>
    <w:p w:rsidR="007C2FB7" w:rsidP="00DE0678" w:rsidRDefault="00937D75" w14:paraId="04999CA0" w14:textId="2AE9A6CA">
      <w:pPr>
        <w:shd w:val="clear" w:color="auto" w:fill="FFFFFF"/>
        <w:spacing w:after="120"/>
        <w:ind w:firstLine="708"/>
        <w:rPr>
          <w:rFonts w:ascii="Arial" w:hAnsi="Arial" w:eastAsia="Times New Roman" w:cs="Arial"/>
          <w:sz w:val="22"/>
          <w:szCs w:val="22"/>
          <w:lang w:val="es-CO" w:eastAsia="es-CO"/>
        </w:rPr>
      </w:pPr>
      <w:r w:rsidRPr="00DB0CE9">
        <w:rPr>
          <w:rFonts w:ascii="Arial" w:hAnsi="Arial" w:eastAsia="Times New Roman" w:cs="Arial"/>
          <w:b/>
          <w:bCs/>
          <w:sz w:val="22"/>
          <w:szCs w:val="22"/>
          <w:lang w:val="es-CO" w:eastAsia="es-CO"/>
        </w:rPr>
        <w:t xml:space="preserve">i) </w:t>
      </w:r>
      <w:r w:rsidRPr="00937D75">
        <w:rPr>
          <w:rFonts w:ascii="Arial" w:hAnsi="Arial" w:eastAsia="Times New Roman" w:cs="Arial"/>
          <w:sz w:val="22"/>
          <w:szCs w:val="22"/>
          <w:lang w:val="es-CO" w:eastAsia="es-CO"/>
        </w:rPr>
        <w:t xml:space="preserve">Se otorga hasta un uno por ciento (1%) al proponente o los proponentes que acrediten tener dentro de su personal operativo mujeres vinculadas, de la siguiente forma: </w:t>
      </w:r>
      <w:r w:rsidR="00D11461">
        <w:rPr>
          <w:rFonts w:ascii="Arial" w:hAnsi="Arial" w:eastAsia="Times New Roman" w:cs="Arial"/>
          <w:sz w:val="22"/>
          <w:szCs w:val="22"/>
          <w:lang w:val="es-CO" w:eastAsia="es-CO"/>
        </w:rPr>
        <w:t>a)</w:t>
      </w:r>
      <w:r w:rsidRPr="00937D75" w:rsidR="00D11461">
        <w:rPr>
          <w:rFonts w:ascii="Arial" w:hAnsi="Arial" w:eastAsia="Times New Roman" w:cs="Arial"/>
          <w:sz w:val="22"/>
          <w:szCs w:val="22"/>
          <w:lang w:val="es-CO" w:eastAsia="es-CO"/>
        </w:rPr>
        <w:t xml:space="preserve"> El</w:t>
      </w:r>
      <w:r w:rsidRPr="00937D75">
        <w:rPr>
          <w:rFonts w:ascii="Arial" w:hAnsi="Arial" w:eastAsia="Times New Roman" w:cs="Arial"/>
          <w:sz w:val="22"/>
          <w:szCs w:val="22"/>
          <w:lang w:val="es-CO" w:eastAsia="es-CO"/>
        </w:rPr>
        <w:t xml:space="preserve"> cero punto cinco por ciento (0,5%) se le brinda al proponente o proponentes que acrediten el mayor </w:t>
      </w:r>
      <w:r w:rsidRPr="00937D75">
        <w:rPr>
          <w:rFonts w:ascii="Arial" w:hAnsi="Arial" w:eastAsia="Times New Roman" w:cs="Arial"/>
          <w:i/>
          <w:iCs/>
          <w:sz w:val="22"/>
          <w:szCs w:val="22"/>
          <w:lang w:val="es-CO" w:eastAsia="es-CO"/>
        </w:rPr>
        <w:t>porcentaje de mujeres vinculadas</w:t>
      </w:r>
      <w:r w:rsidRPr="00937D75">
        <w:rPr>
          <w:rFonts w:ascii="Arial" w:hAnsi="Arial" w:eastAsia="Times New Roman" w:cs="Arial"/>
          <w:sz w:val="22"/>
          <w:szCs w:val="22"/>
          <w:lang w:val="es-CO" w:eastAsia="es-CO"/>
        </w:rPr>
        <w:t xml:space="preserve"> dentro de su personal operativo. A los demás proponentes se les otorgará un puntaje proporcional de acuerdo con la siguiente fórmula:</w:t>
      </w:r>
    </w:p>
    <w:p w:rsidR="007C2FB7" w:rsidP="00DE0678" w:rsidRDefault="007C2FB7" w14:paraId="555B12A6" w14:textId="2F194512">
      <w:pPr>
        <w:shd w:val="clear" w:color="auto" w:fill="FFFFFF"/>
        <w:spacing w:after="120"/>
        <w:ind w:firstLine="708"/>
        <w:rPr>
          <w:rFonts w:ascii="Arial" w:hAnsi="Arial" w:eastAsia="Times New Roman" w:cs="Arial"/>
          <w:sz w:val="22"/>
          <w:szCs w:val="22"/>
          <w:lang w:val="es-CO" w:eastAsia="es-CO"/>
        </w:rPr>
      </w:pPr>
      <w:r>
        <w:rPr>
          <w:noProof/>
        </w:rPr>
        <w:drawing>
          <wp:inline distT="0" distB="0" distL="0" distR="0" wp14:anchorId="0A311156" wp14:editId="718D83B5">
            <wp:extent cx="4038600" cy="430455"/>
            <wp:effectExtent l="0" t="0" r="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9551" cy="439083"/>
                    </a:xfrm>
                    <a:prstGeom prst="rect">
                      <a:avLst/>
                    </a:prstGeom>
                    <a:noFill/>
                    <a:ln>
                      <a:noFill/>
                    </a:ln>
                  </pic:spPr>
                </pic:pic>
              </a:graphicData>
            </a:graphic>
          </wp:inline>
        </w:drawing>
      </w:r>
    </w:p>
    <w:p w:rsidR="00937D75" w:rsidP="00DE0678" w:rsidRDefault="00937D75" w14:paraId="19B154F8" w14:textId="355F61D7">
      <w:pPr>
        <w:shd w:val="clear" w:color="auto" w:fill="FFFFFF"/>
        <w:spacing w:after="120"/>
        <w:ind w:firstLine="708"/>
        <w:rPr>
          <w:rFonts w:ascii="Arial" w:hAnsi="Arial" w:eastAsia="Times New Roman" w:cs="Arial"/>
          <w:sz w:val="22"/>
          <w:szCs w:val="22"/>
          <w:lang w:val="es-CO" w:eastAsia="en-US"/>
        </w:rPr>
      </w:pPr>
      <w:r w:rsidRPr="00937D75">
        <w:rPr>
          <w:rFonts w:ascii="Arial" w:hAnsi="Arial" w:eastAsia="Times New Roman" w:cs="Arial"/>
          <w:sz w:val="22"/>
          <w:szCs w:val="22"/>
          <w:lang w:val="es-CO" w:eastAsia="es-CO"/>
        </w:rPr>
        <w:t xml:space="preserve">b) El cero punto cinco por ciento (0,5%) se le otorga al proponente o los proponentes que acrediten el mayor </w:t>
      </w:r>
      <w:r w:rsidRPr="00937D75">
        <w:rPr>
          <w:rFonts w:ascii="Arial" w:hAnsi="Arial" w:eastAsia="Times New Roman" w:cs="Arial"/>
          <w:i/>
          <w:iCs/>
          <w:sz w:val="22"/>
          <w:szCs w:val="22"/>
          <w:lang w:val="es-CO" w:eastAsia="es-CO"/>
        </w:rPr>
        <w:t>número de mujeres vinculadas</w:t>
      </w:r>
      <w:r w:rsidRPr="00937D75">
        <w:rPr>
          <w:rFonts w:ascii="Arial" w:hAnsi="Arial" w:eastAsia="Times New Roman" w:cs="Arial"/>
          <w:sz w:val="22"/>
          <w:szCs w:val="22"/>
          <w:lang w:val="es-CO" w:eastAsia="es-CO"/>
        </w:rPr>
        <w:t xml:space="preserve"> dentro de su personal operativo. A los demás proponentes se les brinda un puntaje proporcional de acuerdo con la siguiente fórmula:</w:t>
      </w:r>
      <w:r w:rsidRPr="00937D75">
        <w:rPr>
          <w:rFonts w:ascii="Arial" w:hAnsi="Arial" w:eastAsia="Times New Roman" w:cs="Arial"/>
          <w:sz w:val="22"/>
          <w:szCs w:val="22"/>
          <w:lang w:val="es-CO" w:eastAsia="en-US"/>
        </w:rPr>
        <w:t xml:space="preserve"> </w:t>
      </w:r>
    </w:p>
    <w:p w:rsidR="007C2FB7" w:rsidP="001A0928" w:rsidRDefault="007C2FB7" w14:paraId="60BA1876" w14:textId="11CD6473">
      <w:pPr>
        <w:shd w:val="clear" w:color="auto" w:fill="FFFFFF"/>
        <w:spacing w:after="120"/>
        <w:ind w:firstLine="708"/>
        <w:rPr>
          <w:rFonts w:ascii="Arial" w:hAnsi="Arial" w:eastAsia="Times New Roman" w:cs="Arial"/>
          <w:sz w:val="22"/>
          <w:szCs w:val="22"/>
          <w:lang w:val="es-CO" w:eastAsia="es-CO"/>
        </w:rPr>
      </w:pPr>
      <w:r>
        <w:rPr>
          <w:noProof/>
        </w:rPr>
        <w:drawing>
          <wp:inline distT="0" distB="0" distL="0" distR="0" wp14:anchorId="117B7F52" wp14:editId="7816F2AD">
            <wp:extent cx="4290646" cy="432560"/>
            <wp:effectExtent l="0" t="0" r="0" b="571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97467" cy="443329"/>
                    </a:xfrm>
                    <a:prstGeom prst="rect">
                      <a:avLst/>
                    </a:prstGeom>
                    <a:noFill/>
                    <a:ln>
                      <a:noFill/>
                    </a:ln>
                  </pic:spPr>
                </pic:pic>
              </a:graphicData>
            </a:graphic>
          </wp:inline>
        </w:drawing>
      </w:r>
    </w:p>
    <w:p w:rsidR="007C2FB7" w:rsidP="00DE0678" w:rsidRDefault="00937D75" w14:paraId="34703570" w14:textId="77777777">
      <w:pPr>
        <w:shd w:val="clear" w:color="auto" w:fill="FFFFFF"/>
        <w:spacing w:after="120"/>
        <w:ind w:firstLine="708"/>
        <w:rPr>
          <w:rFonts w:ascii="Arial" w:hAnsi="Arial" w:eastAsia="Times New Roman" w:cs="Arial"/>
          <w:sz w:val="22"/>
          <w:szCs w:val="22"/>
          <w:lang w:val="es-CO" w:eastAsia="es-CO"/>
        </w:rPr>
      </w:pPr>
      <w:proofErr w:type="spellStart"/>
      <w:r w:rsidRPr="001A0928">
        <w:rPr>
          <w:rFonts w:ascii="Arial" w:hAnsi="Arial" w:eastAsia="Times New Roman" w:cs="Arial"/>
          <w:b/>
          <w:bCs/>
          <w:sz w:val="22"/>
          <w:szCs w:val="22"/>
          <w:lang w:val="es-CO" w:eastAsia="es-CO"/>
        </w:rPr>
        <w:t>ii</w:t>
      </w:r>
      <w:proofErr w:type="spellEnd"/>
      <w:r w:rsidRPr="001A0928">
        <w:rPr>
          <w:rFonts w:ascii="Arial" w:hAnsi="Arial" w:eastAsia="Times New Roman" w:cs="Arial"/>
          <w:b/>
          <w:bCs/>
          <w:sz w:val="22"/>
          <w:szCs w:val="22"/>
          <w:lang w:val="es-CO" w:eastAsia="es-CO"/>
        </w:rPr>
        <w:t>)</w:t>
      </w:r>
      <w:r w:rsidRPr="00937D75">
        <w:rPr>
          <w:rFonts w:ascii="Arial" w:hAnsi="Arial" w:eastAsia="Times New Roman" w:cs="Arial"/>
          <w:sz w:val="22"/>
          <w:szCs w:val="22"/>
          <w:lang w:val="es-CO" w:eastAsia="es-CO"/>
        </w:rPr>
        <w:t xml:space="preserve"> Se otorga hasta un uno por ciento (1%) al proponente o proponentes que acrediten tener dentro de su personal operativo personas con discapacidad vinculadas, de la siguiente manera: a) El cero punto cinco por ciento (0,5%) se le brinda al proponente o proponentes que acrediten el mayor </w:t>
      </w:r>
      <w:r w:rsidRPr="00937D75">
        <w:rPr>
          <w:rFonts w:ascii="Arial" w:hAnsi="Arial" w:eastAsia="Times New Roman" w:cs="Arial"/>
          <w:i/>
          <w:iCs/>
          <w:sz w:val="22"/>
          <w:szCs w:val="22"/>
          <w:lang w:val="es-CO" w:eastAsia="es-CO"/>
        </w:rPr>
        <w:t>porcentaje de personas con discapacidad vinculadas</w:t>
      </w:r>
      <w:r w:rsidRPr="00937D75">
        <w:rPr>
          <w:rFonts w:ascii="Arial" w:hAnsi="Arial" w:eastAsia="Times New Roman" w:cs="Arial"/>
          <w:sz w:val="22"/>
          <w:szCs w:val="22"/>
          <w:lang w:val="es-CO" w:eastAsia="es-CO"/>
        </w:rPr>
        <w:t xml:space="preserve"> dentro de su personal operativo. A los demás proponentes se les otorga un puntaje proporcional de acuerdo con la siguiente fórmula:</w:t>
      </w:r>
    </w:p>
    <w:p w:rsidR="007C2FB7" w:rsidP="00DE0678" w:rsidRDefault="007C2FB7" w14:paraId="7769964A" w14:textId="598781B0">
      <w:pPr>
        <w:shd w:val="clear" w:color="auto" w:fill="FFFFFF"/>
        <w:spacing w:after="120"/>
        <w:ind w:firstLine="708"/>
        <w:rPr>
          <w:rFonts w:ascii="Arial" w:hAnsi="Arial" w:eastAsia="Times New Roman" w:cs="Arial"/>
          <w:sz w:val="22"/>
          <w:szCs w:val="22"/>
          <w:lang w:val="es-CO" w:eastAsia="es-CO"/>
        </w:rPr>
      </w:pPr>
      <w:r>
        <w:rPr>
          <w:noProof/>
        </w:rPr>
        <w:drawing>
          <wp:inline distT="0" distB="0" distL="0" distR="0" wp14:anchorId="0E2E61E7" wp14:editId="4BD89F39">
            <wp:extent cx="4085492" cy="4410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03125" cy="442903"/>
                    </a:xfrm>
                    <a:prstGeom prst="rect">
                      <a:avLst/>
                    </a:prstGeom>
                    <a:noFill/>
                    <a:ln>
                      <a:noFill/>
                    </a:ln>
                  </pic:spPr>
                </pic:pic>
              </a:graphicData>
            </a:graphic>
          </wp:inline>
        </w:drawing>
      </w:r>
    </w:p>
    <w:p w:rsidR="007C2FB7" w:rsidP="00DE0678" w:rsidRDefault="00937D75" w14:paraId="584EDD3A" w14:textId="1916EED7">
      <w:pPr>
        <w:shd w:val="clear" w:color="auto" w:fill="FFFFFF"/>
        <w:spacing w:after="120"/>
        <w:ind w:firstLine="708"/>
        <w:rPr>
          <w:rFonts w:ascii="Arial" w:hAnsi="Arial" w:eastAsia="Times New Roman" w:cs="Arial"/>
          <w:sz w:val="22"/>
          <w:szCs w:val="22"/>
          <w:lang w:val="es-CO" w:eastAsia="en-US"/>
        </w:rPr>
      </w:pPr>
      <w:r w:rsidRPr="00937D75">
        <w:rPr>
          <w:rFonts w:ascii="Arial" w:hAnsi="Arial" w:eastAsia="Times New Roman" w:cs="Arial"/>
          <w:sz w:val="22"/>
          <w:szCs w:val="22"/>
          <w:lang w:val="es-CO" w:eastAsia="en-US"/>
        </w:rPr>
        <w:t>b)</w:t>
      </w:r>
      <w:r w:rsidRPr="00937D75">
        <w:rPr>
          <w:rFonts w:ascii="Arial" w:hAnsi="Arial" w:eastAsia="Times New Roman" w:cs="Arial"/>
          <w:sz w:val="22"/>
          <w:szCs w:val="22"/>
          <w:lang w:val="es-CO" w:eastAsia="es-CO"/>
        </w:rPr>
        <w:t xml:space="preserve"> El cero punto cinco por ciento (0,5%) se brinda al proponente o proponentes que acrediten mayor </w:t>
      </w:r>
      <w:r w:rsidRPr="00937D75">
        <w:rPr>
          <w:rFonts w:ascii="Arial" w:hAnsi="Arial" w:eastAsia="Times New Roman" w:cs="Arial"/>
          <w:i/>
          <w:iCs/>
          <w:sz w:val="22"/>
          <w:szCs w:val="22"/>
          <w:lang w:val="es-CO" w:eastAsia="es-CO"/>
        </w:rPr>
        <w:t>número de personas con discapacidad vinculadas</w:t>
      </w:r>
      <w:r w:rsidRPr="00937D75">
        <w:rPr>
          <w:rFonts w:ascii="Arial" w:hAnsi="Arial" w:eastAsia="Times New Roman" w:cs="Arial"/>
          <w:sz w:val="22"/>
          <w:szCs w:val="22"/>
          <w:lang w:val="es-CO" w:eastAsia="es-CO"/>
        </w:rPr>
        <w:t xml:space="preserve"> dentro de su personal </w:t>
      </w:r>
      <w:r w:rsidRPr="00937D75">
        <w:rPr>
          <w:rFonts w:ascii="Arial" w:hAnsi="Arial" w:eastAsia="Times New Roman" w:cs="Arial"/>
          <w:sz w:val="22"/>
          <w:szCs w:val="22"/>
          <w:lang w:val="es-CO" w:eastAsia="es-CO"/>
        </w:rPr>
        <w:lastRenderedPageBreak/>
        <w:t>operativo. A los demás proponentes se les otorga un puntaje proporcional de acuerdo con la siguiente fórmula:</w:t>
      </w:r>
      <w:r w:rsidRPr="00937D75">
        <w:rPr>
          <w:rFonts w:ascii="Arial" w:hAnsi="Arial" w:eastAsia="Times New Roman" w:cs="Arial"/>
          <w:sz w:val="22"/>
          <w:szCs w:val="22"/>
          <w:lang w:val="es-CO" w:eastAsia="en-US"/>
        </w:rPr>
        <w:t xml:space="preserve"> </w:t>
      </w:r>
    </w:p>
    <w:p w:rsidR="007C2FB7" w:rsidP="001A0928" w:rsidRDefault="007C2FB7" w14:paraId="52D33004" w14:textId="174FFE80">
      <w:pPr>
        <w:shd w:val="clear" w:color="auto" w:fill="FFFFFF"/>
        <w:spacing w:after="120"/>
        <w:ind w:firstLine="708"/>
        <w:rPr>
          <w:rFonts w:ascii="Arial" w:hAnsi="Arial" w:eastAsia="Times New Roman" w:cs="Arial"/>
          <w:sz w:val="22"/>
          <w:szCs w:val="22"/>
          <w:lang w:val="es-CO" w:eastAsia="es-CO"/>
        </w:rPr>
      </w:pPr>
      <w:r>
        <w:rPr>
          <w:noProof/>
        </w:rPr>
        <w:drawing>
          <wp:inline distT="0" distB="0" distL="0" distR="0" wp14:anchorId="769E1766" wp14:editId="63B94E18">
            <wp:extent cx="4032738" cy="45903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71925" cy="463493"/>
                    </a:xfrm>
                    <a:prstGeom prst="rect">
                      <a:avLst/>
                    </a:prstGeom>
                    <a:noFill/>
                    <a:ln>
                      <a:noFill/>
                    </a:ln>
                  </pic:spPr>
                </pic:pic>
              </a:graphicData>
            </a:graphic>
          </wp:inline>
        </w:drawing>
      </w:r>
    </w:p>
    <w:p w:rsidR="00046FA3" w:rsidP="00DE0678" w:rsidRDefault="00937D75" w14:paraId="34A9E1A4" w14:textId="77777777">
      <w:pPr>
        <w:shd w:val="clear" w:color="auto" w:fill="FFFFFF"/>
        <w:spacing w:after="120"/>
        <w:ind w:firstLine="708"/>
        <w:rPr>
          <w:rFonts w:ascii="Arial" w:hAnsi="Arial" w:eastAsia="Times New Roman" w:cs="Arial"/>
          <w:sz w:val="22"/>
          <w:szCs w:val="22"/>
          <w:lang w:val="es-CO" w:eastAsia="es-CO"/>
        </w:rPr>
      </w:pPr>
      <w:proofErr w:type="spellStart"/>
      <w:r w:rsidRPr="001A0928">
        <w:rPr>
          <w:rFonts w:ascii="Arial" w:hAnsi="Arial" w:eastAsia="Times New Roman" w:cs="Arial"/>
          <w:b/>
          <w:bCs/>
          <w:sz w:val="22"/>
          <w:szCs w:val="22"/>
          <w:lang w:val="es-CO" w:eastAsia="es-CO"/>
        </w:rPr>
        <w:t>iii</w:t>
      </w:r>
      <w:proofErr w:type="spellEnd"/>
      <w:r w:rsidRPr="001A0928">
        <w:rPr>
          <w:rFonts w:ascii="Arial" w:hAnsi="Arial" w:eastAsia="Times New Roman" w:cs="Arial"/>
          <w:b/>
          <w:bCs/>
          <w:sz w:val="22"/>
          <w:szCs w:val="22"/>
          <w:lang w:val="es-CO" w:eastAsia="es-CO"/>
        </w:rPr>
        <w:t>)</w:t>
      </w:r>
      <w:r w:rsidRPr="00937D75">
        <w:rPr>
          <w:rFonts w:ascii="Arial" w:hAnsi="Arial" w:eastAsia="Times New Roman" w:cs="Arial"/>
          <w:sz w:val="22"/>
          <w:szCs w:val="22"/>
          <w:lang w:val="es-CO" w:eastAsia="es-CO"/>
        </w:rPr>
        <w:t xml:space="preserve"> Se otorga hasta un uno por ciento (1%) al proponente o los proponentes que acrediten tener dentro de su personal operativo personas que al momento de presentar oferta sean mayores de 45 años vinculadas, de la siguiente manera: a) El cero punto cinco por ciento (0,5%) se le brinda al proponente o los proponentes que acrediten el mayor </w:t>
      </w:r>
      <w:r w:rsidRPr="00937D75">
        <w:rPr>
          <w:rFonts w:ascii="Arial" w:hAnsi="Arial" w:eastAsia="Times New Roman" w:cs="Arial"/>
          <w:i/>
          <w:iCs/>
          <w:sz w:val="22"/>
          <w:szCs w:val="22"/>
          <w:lang w:val="es-CO" w:eastAsia="es-CO"/>
        </w:rPr>
        <w:t>porcentaje de personas mayores de 45 años vinculadas</w:t>
      </w:r>
      <w:r w:rsidRPr="00937D75">
        <w:rPr>
          <w:rFonts w:ascii="Arial" w:hAnsi="Arial" w:eastAsia="Times New Roman" w:cs="Arial"/>
          <w:sz w:val="22"/>
          <w:szCs w:val="22"/>
          <w:lang w:val="es-CO" w:eastAsia="es-CO"/>
        </w:rPr>
        <w:t xml:space="preserve"> dentro de su personal operativo. A los demás proponentes se les otorga un puntaje proporcional de acuerdo con la siguiente fórmula: </w:t>
      </w:r>
    </w:p>
    <w:p w:rsidR="00046FA3" w:rsidP="00DE0678" w:rsidRDefault="00046FA3" w14:paraId="45E2E48A" w14:textId="6DFB2B50">
      <w:pPr>
        <w:shd w:val="clear" w:color="auto" w:fill="FFFFFF"/>
        <w:spacing w:after="120"/>
        <w:ind w:firstLine="708"/>
        <w:rPr>
          <w:rFonts w:ascii="Arial" w:hAnsi="Arial" w:eastAsia="Times New Roman" w:cs="Arial"/>
          <w:sz w:val="22"/>
          <w:szCs w:val="22"/>
          <w:lang w:val="es-CO" w:eastAsia="es-CO"/>
        </w:rPr>
      </w:pPr>
      <w:r>
        <w:rPr>
          <w:noProof/>
        </w:rPr>
        <w:drawing>
          <wp:inline distT="0" distB="0" distL="0" distR="0" wp14:anchorId="2F9A4D7A" wp14:editId="51F108D5">
            <wp:extent cx="4003430" cy="408587"/>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31413" cy="411443"/>
                    </a:xfrm>
                    <a:prstGeom prst="rect">
                      <a:avLst/>
                    </a:prstGeom>
                    <a:noFill/>
                    <a:ln>
                      <a:noFill/>
                    </a:ln>
                  </pic:spPr>
                </pic:pic>
              </a:graphicData>
            </a:graphic>
          </wp:inline>
        </w:drawing>
      </w:r>
    </w:p>
    <w:p w:rsidR="00937D75" w:rsidP="001A0928" w:rsidRDefault="00937D75" w14:paraId="26D409A2" w14:textId="314315C8">
      <w:pPr>
        <w:shd w:val="clear" w:color="auto" w:fill="FFFFFF"/>
        <w:spacing w:after="120"/>
        <w:ind w:firstLine="708"/>
        <w:rPr>
          <w:rFonts w:ascii="Arial" w:hAnsi="Arial" w:eastAsia="Times New Roman" w:cs="Arial"/>
          <w:sz w:val="22"/>
          <w:szCs w:val="22"/>
          <w:lang w:val="es-CO" w:eastAsia="es-CO"/>
        </w:rPr>
      </w:pPr>
      <w:r w:rsidRPr="00937D75">
        <w:rPr>
          <w:rFonts w:ascii="Arial" w:hAnsi="Arial" w:eastAsia="Times New Roman" w:cs="Arial"/>
          <w:sz w:val="22"/>
          <w:szCs w:val="22"/>
          <w:lang w:val="es-CO" w:eastAsia="es-CO"/>
        </w:rPr>
        <w:t xml:space="preserve">b)  El cero punto cinco por ciento (0,5%) se otorga al proponente o proponentes que acrediten mayor </w:t>
      </w:r>
      <w:r w:rsidRPr="00937D75">
        <w:rPr>
          <w:rFonts w:ascii="Arial" w:hAnsi="Arial" w:eastAsia="Times New Roman" w:cs="Arial"/>
          <w:i/>
          <w:iCs/>
          <w:sz w:val="22"/>
          <w:szCs w:val="22"/>
          <w:lang w:val="es-CO" w:eastAsia="es-CO"/>
        </w:rPr>
        <w:t>número de personas mayores de 45 años vinculadas</w:t>
      </w:r>
      <w:r w:rsidRPr="00937D75">
        <w:rPr>
          <w:rFonts w:ascii="Arial" w:hAnsi="Arial" w:eastAsia="Times New Roman" w:cs="Arial"/>
          <w:sz w:val="22"/>
          <w:szCs w:val="22"/>
          <w:lang w:val="es-CO" w:eastAsia="es-CO"/>
        </w:rPr>
        <w:t xml:space="preserve"> dentro de su personal operativo. A los demás proponentes se les brinda un puntaje proporcional de acuerdo con la siguiente fórmula: </w:t>
      </w:r>
    </w:p>
    <w:p w:rsidRPr="00937D75" w:rsidR="00937D75" w:rsidP="001A0928" w:rsidRDefault="00046FA3" w14:paraId="08D639AD" w14:textId="0EA2639F">
      <w:pPr>
        <w:shd w:val="clear" w:color="auto" w:fill="FFFFFF"/>
        <w:spacing w:after="120"/>
        <w:ind w:firstLine="708"/>
        <w:rPr>
          <w:rFonts w:ascii="Arial" w:hAnsi="Arial" w:eastAsia="Times New Roman" w:cs="Arial"/>
          <w:sz w:val="22"/>
          <w:szCs w:val="22"/>
          <w:lang w:val="es-CO" w:eastAsia="es-CO"/>
        </w:rPr>
      </w:pPr>
      <w:r>
        <w:rPr>
          <w:noProof/>
        </w:rPr>
        <w:drawing>
          <wp:inline distT="0" distB="0" distL="0" distR="0" wp14:anchorId="71B150DF" wp14:editId="067D2321">
            <wp:extent cx="4003040" cy="465164"/>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22925" cy="467475"/>
                    </a:xfrm>
                    <a:prstGeom prst="rect">
                      <a:avLst/>
                    </a:prstGeom>
                    <a:noFill/>
                    <a:ln>
                      <a:noFill/>
                    </a:ln>
                  </pic:spPr>
                </pic:pic>
              </a:graphicData>
            </a:graphic>
          </wp:inline>
        </w:drawing>
      </w:r>
    </w:p>
    <w:p w:rsidR="00937D75" w:rsidP="001A0928" w:rsidRDefault="00937D75" w14:paraId="2F82635E" w14:textId="609768A1">
      <w:pPr>
        <w:shd w:val="clear" w:color="auto" w:fill="FFFFFF"/>
        <w:spacing w:after="120"/>
        <w:rPr>
          <w:rFonts w:ascii="Arial" w:hAnsi="Arial" w:eastAsia="Times New Roman" w:cs="Arial"/>
          <w:sz w:val="22"/>
          <w:szCs w:val="22"/>
          <w:lang w:val="es-CO" w:eastAsia="es-CO"/>
        </w:rPr>
      </w:pPr>
      <w:r w:rsidRPr="00937D75">
        <w:rPr>
          <w:rFonts w:ascii="Arial" w:hAnsi="Arial" w:eastAsia="Times New Roman" w:cs="Arial"/>
          <w:sz w:val="22"/>
          <w:szCs w:val="22"/>
          <w:lang w:val="es-CO" w:eastAsia="es-CO"/>
        </w:rPr>
        <w:tab/>
      </w:r>
      <w:r w:rsidRPr="00937D75">
        <w:rPr>
          <w:rFonts w:ascii="Arial" w:hAnsi="Arial" w:eastAsia="Times New Roman" w:cs="Arial"/>
          <w:sz w:val="22"/>
          <w:szCs w:val="22"/>
          <w:lang w:val="es-CO" w:eastAsia="es-CO"/>
        </w:rPr>
        <w:t xml:space="preserve">El parágrafo primero del artículo </w:t>
      </w:r>
      <w:r w:rsidRPr="00937D75">
        <w:rPr>
          <w:rFonts w:ascii="Arial" w:hAnsi="Arial" w:eastAsia="Times New Roman" w:cs="Arial"/>
          <w:bCs/>
          <w:sz w:val="22"/>
          <w:szCs w:val="22"/>
          <w:shd w:val="clear" w:color="auto" w:fill="FFFFFF"/>
          <w:lang w:val="es-CO" w:eastAsia="es-CO"/>
        </w:rPr>
        <w:t xml:space="preserve">2.1.2.4.2.10 que fue adicionado en el Decreto 1082 de 2015 regula las condiciones </w:t>
      </w:r>
      <w:r>
        <w:rPr>
          <w:rFonts w:ascii="Arial" w:hAnsi="Arial" w:eastAsia="Times New Roman" w:cs="Arial"/>
          <w:bCs/>
          <w:sz w:val="22"/>
          <w:szCs w:val="22"/>
          <w:shd w:val="clear" w:color="auto" w:fill="FFFFFF"/>
          <w:lang w:val="es-CO" w:eastAsia="es-CO"/>
        </w:rPr>
        <w:t>que deben acreditar los proponentes para acceder al</w:t>
      </w:r>
      <w:r w:rsidRPr="00937D75">
        <w:rPr>
          <w:rFonts w:ascii="Arial" w:hAnsi="Arial" w:eastAsia="Times New Roman" w:cs="Arial"/>
          <w:bCs/>
          <w:sz w:val="22"/>
          <w:szCs w:val="22"/>
          <w:shd w:val="clear" w:color="auto" w:fill="FFFFFF"/>
          <w:lang w:val="es-CO" w:eastAsia="es-CO"/>
        </w:rPr>
        <w:t xml:space="preserve"> puntaje adicional</w:t>
      </w:r>
      <w:r>
        <w:rPr>
          <w:rFonts w:ascii="Arial" w:hAnsi="Arial" w:eastAsia="Times New Roman" w:cs="Arial"/>
          <w:bCs/>
          <w:sz w:val="22"/>
          <w:szCs w:val="22"/>
          <w:shd w:val="clear" w:color="auto" w:fill="FFFFFF"/>
          <w:lang w:val="es-CO" w:eastAsia="es-CO"/>
        </w:rPr>
        <w:t xml:space="preserve"> en los </w:t>
      </w:r>
      <w:r w:rsidRPr="00937D75">
        <w:rPr>
          <w:rFonts w:ascii="Arial" w:hAnsi="Arial" w:eastAsia="Times New Roman" w:cs="Arial"/>
          <w:bCs/>
          <w:sz w:val="22"/>
          <w:szCs w:val="22"/>
          <w:shd w:val="clear" w:color="auto" w:fill="FFFFFF"/>
          <w:lang w:val="es-CO" w:eastAsia="es-CO"/>
        </w:rPr>
        <w:t>procesos de licitación pública</w:t>
      </w:r>
      <w:r w:rsidRPr="00937D75">
        <w:rPr>
          <w:rFonts w:ascii="Arial" w:hAnsi="Arial" w:eastAsia="Times New Roman" w:cs="Arial"/>
          <w:sz w:val="22"/>
          <w:szCs w:val="22"/>
          <w:shd w:val="clear" w:color="auto" w:fill="FFFFFF"/>
          <w:lang w:val="es-CO" w:eastAsia="es-CO"/>
        </w:rPr>
        <w:t xml:space="preserve">. </w:t>
      </w:r>
      <w:r w:rsidRPr="00937D75">
        <w:rPr>
          <w:rFonts w:ascii="Arial" w:hAnsi="Arial" w:eastAsia="Times New Roman" w:cs="Arial"/>
          <w:sz w:val="22"/>
          <w:szCs w:val="22"/>
          <w:lang w:val="es-CO" w:eastAsia="es-CO"/>
        </w:rPr>
        <w:t xml:space="preserve">Al respecto, existen dos (2) elementos que deben ser acreditados por el oferente y verificados por la entidad contratante para asignar el puntaje adicional. </w:t>
      </w:r>
      <w:r w:rsidRPr="00937D75">
        <w:rPr>
          <w:rFonts w:ascii="Arial" w:hAnsi="Arial" w:eastAsia="Times New Roman" w:cs="Arial"/>
          <w:i/>
          <w:iCs/>
          <w:sz w:val="22"/>
          <w:szCs w:val="22"/>
          <w:lang w:val="es-CO" w:eastAsia="es-CO"/>
        </w:rPr>
        <w:t>Por un lado</w:t>
      </w:r>
      <w:r w:rsidRPr="00937D75">
        <w:rPr>
          <w:rFonts w:ascii="Arial" w:hAnsi="Arial" w:eastAsia="Times New Roman" w:cs="Arial"/>
          <w:sz w:val="22"/>
          <w:szCs w:val="22"/>
          <w:lang w:val="es-CO" w:eastAsia="es-CO"/>
        </w:rPr>
        <w:t xml:space="preserve">, las condiciones subjetivas de las personas vinculadas a la empresa de vigilancia y seguridad privada –esto es, que se trate de mujeres, personas con discapacidad y/o mayores de 45 años– y, </w:t>
      </w:r>
      <w:r w:rsidRPr="00937D75">
        <w:rPr>
          <w:rFonts w:ascii="Arial" w:hAnsi="Arial" w:eastAsia="Times New Roman" w:cs="Arial"/>
          <w:i/>
          <w:iCs/>
          <w:sz w:val="22"/>
          <w:szCs w:val="22"/>
          <w:lang w:val="es-CO" w:eastAsia="es-CO"/>
        </w:rPr>
        <w:t>por otro</w:t>
      </w:r>
      <w:r w:rsidRPr="00937D75">
        <w:rPr>
          <w:rFonts w:ascii="Arial" w:hAnsi="Arial" w:eastAsia="Times New Roman" w:cs="Arial"/>
          <w:sz w:val="22"/>
          <w:szCs w:val="22"/>
          <w:lang w:val="es-CO" w:eastAsia="es-CO"/>
        </w:rPr>
        <w:t>, su inclusión en la planta de personal operativo de la empresa.</w:t>
      </w:r>
      <w:r w:rsidRPr="00937D75">
        <w:rPr>
          <w:rFonts w:ascii="Arial" w:hAnsi="Arial" w:eastAsia="Times New Roman" w:cs="Arial"/>
          <w:sz w:val="22"/>
          <w:szCs w:val="22"/>
          <w:shd w:val="clear" w:color="auto" w:fill="FFFFFF"/>
          <w:lang w:val="es-CO" w:eastAsia="es-CO"/>
        </w:rPr>
        <w:t xml:space="preserve"> Por ello, </w:t>
      </w:r>
      <w:r w:rsidRPr="00937D75">
        <w:rPr>
          <w:rFonts w:ascii="Arial" w:hAnsi="Arial" w:eastAsia="Times New Roman" w:cs="Arial"/>
          <w:sz w:val="22"/>
          <w:szCs w:val="22"/>
          <w:lang w:val="es-CO" w:eastAsia="es-CO"/>
        </w:rPr>
        <w:t xml:space="preserve">las condiciones para otorgar el puntaje son constatadas por la entidad contratante mediante los siguientes documentos aportados por el proponente con su oferta de manera física o digital: </w:t>
      </w:r>
    </w:p>
    <w:p w:rsidR="00937D75" w:rsidP="001A0928" w:rsidRDefault="00937D75" w14:paraId="382AECFC" w14:textId="0ABD8CB0">
      <w:pPr>
        <w:shd w:val="clear" w:color="auto" w:fill="FFFFFF"/>
        <w:spacing w:after="120"/>
        <w:ind w:firstLine="708"/>
        <w:rPr>
          <w:rFonts w:ascii="Arial" w:hAnsi="Arial" w:eastAsia="Times New Roman" w:cs="Arial"/>
          <w:sz w:val="22"/>
          <w:szCs w:val="22"/>
          <w:lang w:val="es-CO" w:eastAsia="es-CO"/>
        </w:rPr>
      </w:pPr>
      <w:r w:rsidRPr="00937D75">
        <w:rPr>
          <w:rFonts w:ascii="Arial" w:hAnsi="Arial" w:eastAsia="Times New Roman" w:cs="Arial"/>
          <w:sz w:val="22"/>
          <w:szCs w:val="22"/>
          <w:lang w:val="es-CO" w:eastAsia="es-CO"/>
        </w:rPr>
        <w:t xml:space="preserve">i) Constancia de la relación total del personal operativo publicado en el módulo de Acreditación del Personal Operativo dispuesto en la página web oficial de la </w:t>
      </w:r>
      <w:r w:rsidRPr="00937D75">
        <w:rPr>
          <w:rFonts w:ascii="Arial" w:hAnsi="Arial" w:eastAsia="Times New Roman" w:cs="Arial"/>
          <w:sz w:val="22"/>
          <w:szCs w:val="22"/>
          <w:lang w:val="es-CO" w:eastAsia="es-CO"/>
        </w:rPr>
        <w:lastRenderedPageBreak/>
        <w:t>Superintendencia de Vigilancia y Seguridad Privada, con una fecha no superior a treinta (30) días calendario anteriores a la presentación de la oferta</w:t>
      </w:r>
      <w:r w:rsidRPr="00937D75">
        <w:rPr>
          <w:rFonts w:ascii="Arial" w:hAnsi="Arial" w:eastAsia="Times New Roman" w:cs="Arial"/>
          <w:sz w:val="22"/>
          <w:szCs w:val="22"/>
          <w:vertAlign w:val="superscript"/>
          <w:lang w:val="es-CO" w:eastAsia="es-CO"/>
        </w:rPr>
        <w:footnoteReference w:id="12"/>
      </w:r>
      <w:r w:rsidRPr="00937D75">
        <w:rPr>
          <w:rFonts w:ascii="Arial" w:hAnsi="Arial" w:eastAsia="Times New Roman" w:cs="Arial"/>
          <w:sz w:val="22"/>
          <w:szCs w:val="22"/>
          <w:lang w:val="es-CO" w:eastAsia="es-CO"/>
        </w:rPr>
        <w:t>.</w:t>
      </w:r>
    </w:p>
    <w:p w:rsidR="00937D75" w:rsidP="001A0928" w:rsidRDefault="00937D75" w14:paraId="61D23F3C" w14:textId="3E074C78">
      <w:pPr>
        <w:shd w:val="clear" w:color="auto" w:fill="FFFFFF"/>
        <w:spacing w:after="120"/>
        <w:ind w:firstLine="708"/>
        <w:rPr>
          <w:rFonts w:ascii="Arial" w:hAnsi="Arial" w:eastAsia="Times New Roman" w:cs="Arial"/>
          <w:sz w:val="22"/>
          <w:szCs w:val="22"/>
          <w:lang w:val="es-CO" w:eastAsia="es-CO"/>
        </w:rPr>
      </w:pPr>
      <w:proofErr w:type="spellStart"/>
      <w:r w:rsidRPr="00937D75">
        <w:rPr>
          <w:rFonts w:ascii="Arial" w:hAnsi="Arial" w:eastAsia="Times New Roman" w:cs="Arial"/>
          <w:sz w:val="22"/>
          <w:szCs w:val="22"/>
          <w:lang w:val="es-CO" w:eastAsia="es-CO"/>
        </w:rPr>
        <w:t>ii</w:t>
      </w:r>
      <w:proofErr w:type="spellEnd"/>
      <w:r w:rsidRPr="00937D75">
        <w:rPr>
          <w:rFonts w:ascii="Arial" w:hAnsi="Arial" w:eastAsia="Times New Roman" w:cs="Arial"/>
          <w:sz w:val="22"/>
          <w:szCs w:val="22"/>
          <w:lang w:val="es-CO" w:eastAsia="es-CO"/>
        </w:rPr>
        <w:t>) Certificado con una fecha no superior a treinta (30) días calendario anteriores a la presentación de la oferta, suscrito por el representante legal de la empresa o cooperativa 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rsidR="004E27C9" w:rsidP="001A0928" w:rsidRDefault="00937D75" w14:paraId="272B1B16" w14:textId="0669ED9F">
      <w:pPr>
        <w:shd w:val="clear" w:color="auto" w:fill="FFFFFF"/>
        <w:spacing w:after="120"/>
        <w:ind w:firstLine="708"/>
        <w:rPr>
          <w:rFonts w:ascii="Arial" w:hAnsi="Arial" w:eastAsia="Times New Roman" w:cs="Arial"/>
          <w:sz w:val="22"/>
          <w:szCs w:val="22"/>
          <w:lang w:val="es-CO" w:eastAsia="es-CO"/>
        </w:rPr>
      </w:pPr>
      <w:proofErr w:type="spellStart"/>
      <w:r w:rsidRPr="00937D75">
        <w:rPr>
          <w:rFonts w:ascii="Arial" w:hAnsi="Arial" w:eastAsia="Times New Roman" w:cs="Arial"/>
          <w:sz w:val="22"/>
          <w:szCs w:val="22"/>
          <w:lang w:val="es-CO" w:eastAsia="es-CO"/>
        </w:rPr>
        <w:t>iii</w:t>
      </w:r>
      <w:proofErr w:type="spellEnd"/>
      <w:r w:rsidRPr="00937D75">
        <w:rPr>
          <w:rFonts w:ascii="Arial" w:hAnsi="Arial" w:eastAsia="Times New Roman" w:cs="Arial"/>
          <w:sz w:val="22"/>
          <w:szCs w:val="22"/>
          <w:lang w:val="es-CO" w:eastAsia="es-CO"/>
        </w:rPr>
        <w:t>) La certificación del representante legal debe estar acompañada de la copia de los respectivos documentos de identidad y, para acreditar la condición de discapacidad, del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w:t>
      </w:r>
      <w:r w:rsidR="00E46CF5">
        <w:rPr>
          <w:rFonts w:ascii="Arial" w:hAnsi="Arial" w:eastAsia="Times New Roman" w:cs="Arial"/>
          <w:sz w:val="22"/>
          <w:szCs w:val="22"/>
          <w:lang w:val="es-CO" w:eastAsia="es-CO"/>
        </w:rPr>
        <w:t>ó</w:t>
      </w:r>
      <w:r w:rsidRPr="00937D75">
        <w:rPr>
          <w:rFonts w:ascii="Arial" w:hAnsi="Arial" w:eastAsia="Times New Roman" w:cs="Arial"/>
          <w:sz w:val="22"/>
          <w:szCs w:val="22"/>
          <w:lang w:val="es-CO" w:eastAsia="es-CO"/>
        </w:rPr>
        <w:t xml:space="preserve">n de discapacidad, se requiere que el proponente </w:t>
      </w:r>
      <w:r w:rsidRPr="00937D75">
        <w:rPr>
          <w:rFonts w:ascii="Arial" w:hAnsi="Arial" w:eastAsia="Times New Roman" w:cs="Arial"/>
          <w:i/>
          <w:iCs/>
          <w:sz w:val="22"/>
          <w:szCs w:val="22"/>
          <w:lang w:val="es-CO" w:eastAsia="es-CO"/>
        </w:rPr>
        <w:t>anexe</w:t>
      </w:r>
      <w:r w:rsidRPr="00937D75">
        <w:rPr>
          <w:rFonts w:ascii="Arial" w:hAnsi="Arial" w:eastAsia="Times New Roman" w:cs="Arial"/>
          <w:sz w:val="22"/>
          <w:szCs w:val="22"/>
          <w:lang w:val="es-CO" w:eastAsia="es-CO"/>
        </w:rPr>
        <w:t xml:space="preserve"> los documentos de identidad</w:t>
      </w:r>
      <w:r w:rsidR="004E27C9">
        <w:rPr>
          <w:rFonts w:ascii="Arial" w:hAnsi="Arial" w:eastAsia="Times New Roman" w:cs="Arial"/>
          <w:sz w:val="22"/>
          <w:szCs w:val="22"/>
          <w:lang w:val="es-CO" w:eastAsia="es-CO"/>
        </w:rPr>
        <w:t>,</w:t>
      </w:r>
      <w:r w:rsidRPr="00937D75">
        <w:rPr>
          <w:rFonts w:ascii="Arial" w:hAnsi="Arial" w:eastAsia="Times New Roman" w:cs="Arial"/>
          <w:sz w:val="22"/>
          <w:szCs w:val="22"/>
          <w:lang w:val="es-CO" w:eastAsia="es-CO"/>
        </w:rPr>
        <w:t xml:space="preserve"> así como los certificados que acreditan la condición de discapacidad, según la </w:t>
      </w:r>
      <w:r w:rsidR="004E27C9">
        <w:rPr>
          <w:rFonts w:ascii="Arial" w:hAnsi="Arial" w:eastAsia="Times New Roman" w:cs="Arial"/>
          <w:sz w:val="22"/>
          <w:szCs w:val="22"/>
          <w:lang w:val="es-CO" w:eastAsia="es-CO"/>
        </w:rPr>
        <w:t xml:space="preserve">referida </w:t>
      </w:r>
      <w:r w:rsidRPr="00937D75">
        <w:rPr>
          <w:rFonts w:ascii="Arial" w:hAnsi="Arial" w:eastAsia="Times New Roman" w:cs="Arial"/>
          <w:sz w:val="22"/>
          <w:szCs w:val="22"/>
          <w:lang w:val="es-CO" w:eastAsia="es-CO"/>
        </w:rPr>
        <w:t>Resolución</w:t>
      </w:r>
      <w:r w:rsidR="004E27C9">
        <w:rPr>
          <w:rFonts w:ascii="Arial" w:hAnsi="Arial" w:eastAsia="Times New Roman" w:cs="Arial"/>
          <w:sz w:val="22"/>
          <w:szCs w:val="22"/>
          <w:lang w:val="es-CO" w:eastAsia="es-CO"/>
        </w:rPr>
        <w:t>.</w:t>
      </w:r>
    </w:p>
    <w:p w:rsidR="00937D75" w:rsidP="001A0928" w:rsidRDefault="00937D75" w14:paraId="39D976C3" w14:textId="6CC47043">
      <w:pPr>
        <w:shd w:val="clear" w:color="auto" w:fill="FFFFFF"/>
        <w:spacing w:after="120"/>
        <w:ind w:firstLine="708"/>
        <w:rPr>
          <w:rFonts w:ascii="Arial" w:hAnsi="Arial" w:eastAsia="Times New Roman" w:cs="Arial"/>
          <w:bCs/>
          <w:sz w:val="22"/>
          <w:szCs w:val="22"/>
          <w:shd w:val="clear" w:color="auto" w:fill="FFFFFF"/>
          <w:lang w:val="es-CO" w:eastAsia="es-CO"/>
        </w:rPr>
      </w:pPr>
      <w:r w:rsidRPr="00937D75">
        <w:rPr>
          <w:rFonts w:ascii="Arial" w:hAnsi="Arial" w:eastAsia="Times New Roman" w:cs="Arial"/>
          <w:sz w:val="22"/>
          <w:szCs w:val="22"/>
          <w:lang w:val="es-CO" w:eastAsia="es-CO"/>
        </w:rPr>
        <w:t xml:space="preserve"> De acuerdo con el parágrafo primero del artículo </w:t>
      </w:r>
      <w:r w:rsidRPr="00937D75">
        <w:rPr>
          <w:rFonts w:ascii="Arial" w:hAnsi="Arial" w:eastAsia="Times New Roman" w:cs="Arial"/>
          <w:bCs/>
          <w:sz w:val="22"/>
          <w:szCs w:val="22"/>
          <w:shd w:val="clear" w:color="auto" w:fill="FFFFFF"/>
          <w:lang w:val="es-CO" w:eastAsia="es-CO"/>
        </w:rPr>
        <w:t>2.1.2.4.2.10 del Decreto 1082 de 2015, el otorgamiento del incentivo</w:t>
      </w:r>
      <w:r w:rsidRPr="00937D75">
        <w:rPr>
          <w:rFonts w:ascii="Arial" w:hAnsi="Arial" w:eastAsia="Times New Roman" w:cs="Arial"/>
          <w:bCs/>
          <w:sz w:val="22"/>
          <w:szCs w:val="22"/>
          <w:shd w:val="clear" w:color="auto" w:fill="FFFFFF"/>
          <w:lang w:eastAsia="es-CO"/>
        </w:rPr>
        <w:t xml:space="preserve"> requiere la concurrencia de los documentos descritos. </w:t>
      </w:r>
      <w:r w:rsidR="004E27C9">
        <w:rPr>
          <w:rFonts w:ascii="Arial" w:hAnsi="Arial" w:eastAsia="Times New Roman" w:cs="Arial"/>
          <w:bCs/>
          <w:sz w:val="22"/>
          <w:szCs w:val="22"/>
          <w:shd w:val="clear" w:color="auto" w:fill="FFFFFF"/>
          <w:lang w:eastAsia="es-CO"/>
        </w:rPr>
        <w:t>E</w:t>
      </w:r>
      <w:r w:rsidRPr="00937D75">
        <w:rPr>
          <w:rFonts w:ascii="Arial" w:hAnsi="Arial" w:eastAsia="Times New Roman" w:cs="Arial"/>
          <w:bCs/>
          <w:sz w:val="22"/>
          <w:szCs w:val="22"/>
          <w:shd w:val="clear" w:color="auto" w:fill="FFFFFF"/>
          <w:lang w:eastAsia="es-CO"/>
        </w:rPr>
        <w:t xml:space="preserve">s decir, conforme al tenor literal de la norma, no podrá asignarse puntaje en relación con personas respecto de las cuales no se pruebe el cumplimiento de todos los requisitos exigidos </w:t>
      </w:r>
      <w:r w:rsidR="004E27C9">
        <w:rPr>
          <w:rFonts w:ascii="Arial" w:hAnsi="Arial" w:eastAsia="Times New Roman" w:cs="Arial"/>
          <w:bCs/>
          <w:sz w:val="22"/>
          <w:szCs w:val="22"/>
          <w:shd w:val="clear" w:color="auto" w:fill="FFFFFF"/>
          <w:lang w:eastAsia="es-CO"/>
        </w:rPr>
        <w:t xml:space="preserve">en </w:t>
      </w:r>
      <w:r w:rsidRPr="00937D75">
        <w:rPr>
          <w:rFonts w:ascii="Arial" w:hAnsi="Arial" w:eastAsia="Times New Roman" w:cs="Arial"/>
          <w:bCs/>
          <w:sz w:val="22"/>
          <w:szCs w:val="22"/>
          <w:shd w:val="clear" w:color="auto" w:fill="FFFFFF"/>
          <w:lang w:eastAsia="es-CO"/>
        </w:rPr>
        <w:t xml:space="preserve">la disposición. De esta manera, </w:t>
      </w:r>
      <w:r w:rsidRPr="00937D75">
        <w:rPr>
          <w:rFonts w:ascii="Arial" w:hAnsi="Arial" w:eastAsia="Times New Roman" w:cs="Arial"/>
          <w:bCs/>
          <w:sz w:val="22"/>
          <w:szCs w:val="22"/>
          <w:shd w:val="clear" w:color="auto" w:fill="FFFFFF"/>
          <w:lang w:val="es-CO" w:eastAsia="es-CO"/>
        </w:rPr>
        <w:t xml:space="preserve">el representante legal de la empresa o cooperativa de vigilancia y seguridad privada indicará el número de mujeres, de personas mayores de cuarenta y cinco (45) años cumplidos máximo a la fecha de presentación de la oferta y de personas con discapacidad que conforman su personal operativo. Junto con la certificación, también relacionará el nombre completo, el número de documento de identidad, género, fecha de nacimiento y condición de discapacidad del personal operativo. </w:t>
      </w:r>
    </w:p>
    <w:p w:rsidR="00937D75" w:rsidP="001A0928" w:rsidRDefault="00937D75" w14:paraId="66ADFBC4" w14:textId="3864823D">
      <w:pPr>
        <w:shd w:val="clear" w:color="auto" w:fill="FFFFFF"/>
        <w:spacing w:after="120"/>
        <w:ind w:firstLine="709"/>
        <w:rPr>
          <w:rFonts w:ascii="Arial" w:hAnsi="Arial" w:eastAsia="Times New Roman" w:cs="Arial"/>
          <w:bCs/>
          <w:sz w:val="22"/>
          <w:szCs w:val="22"/>
          <w:shd w:val="clear" w:color="auto" w:fill="FFFFFF"/>
          <w:lang w:val="es-CO" w:eastAsia="es-CO"/>
        </w:rPr>
      </w:pPr>
      <w:r w:rsidRPr="00937D75">
        <w:rPr>
          <w:rFonts w:ascii="Arial" w:hAnsi="Arial" w:eastAsia="Times New Roman" w:cs="Arial"/>
          <w:bCs/>
          <w:sz w:val="22"/>
          <w:szCs w:val="22"/>
          <w:shd w:val="clear" w:color="auto" w:fill="FFFFFF"/>
          <w:lang w:val="es-CO" w:eastAsia="es-CO"/>
        </w:rPr>
        <w:t xml:space="preserve">Ahora bien, respecto a los documentos anexos, si no están los soportes que acreditan la calidad de </w:t>
      </w:r>
      <w:r w:rsidRPr="00937D75">
        <w:rPr>
          <w:rFonts w:ascii="Arial" w:hAnsi="Arial" w:eastAsia="Times New Roman" w:cs="Arial"/>
          <w:bCs/>
          <w:i/>
          <w:iCs/>
          <w:sz w:val="22"/>
          <w:szCs w:val="22"/>
          <w:shd w:val="clear" w:color="auto" w:fill="FFFFFF"/>
          <w:lang w:val="es-CO" w:eastAsia="es-CO"/>
        </w:rPr>
        <w:t>algunas</w:t>
      </w:r>
      <w:r w:rsidRPr="00937D75">
        <w:rPr>
          <w:rFonts w:ascii="Arial" w:hAnsi="Arial" w:eastAsia="Times New Roman" w:cs="Arial"/>
          <w:bCs/>
          <w:sz w:val="22"/>
          <w:szCs w:val="22"/>
          <w:shd w:val="clear" w:color="auto" w:fill="FFFFFF"/>
          <w:lang w:val="es-CO" w:eastAsia="es-CO"/>
        </w:rPr>
        <w:t xml:space="preserve"> de las personas relacionadas en la certificación, la </w:t>
      </w:r>
      <w:r w:rsidRPr="00937D75">
        <w:rPr>
          <w:rFonts w:ascii="Arial" w:hAnsi="Arial" w:eastAsia="Times New Roman" w:cs="Arial"/>
          <w:bCs/>
          <w:sz w:val="22"/>
          <w:szCs w:val="22"/>
          <w:shd w:val="clear" w:color="auto" w:fill="FFFFFF"/>
          <w:lang w:val="es-CO" w:eastAsia="es-CO"/>
        </w:rPr>
        <w:lastRenderedPageBreak/>
        <w:t xml:space="preserve">asignación del puntaje se realizará únicamente con aquellos que cumplan las condiciones explicadas anteriormente. Por ejemplo, si el proponente certifica que tiene diez (10) personas en condición de discapacidad, pero solo aporta la cédula y el certificado de discapacidad de seis (6) de ellas, la asignación del puntaje se realizará excluyendo el número de personas cuya calidad no se acreditó a través de los anexos correspondientes. Lo anterior considerando que la norma analizada no dispone expresamente que el derecho a obtener puntaje adicional por la vinculación de estos grupos poblacionales se pierda totalmente cuando los documentos referidos a una o varias de las personas, cuya vinculación quiere demostrarse, no se anexen a la certificación del representante legal. </w:t>
      </w:r>
    </w:p>
    <w:p w:rsidR="00937D75" w:rsidP="001A0928" w:rsidRDefault="00937D75" w14:paraId="3BA081BE" w14:textId="5DDC1C7C">
      <w:pPr>
        <w:shd w:val="clear" w:color="auto" w:fill="FFFFFF"/>
        <w:spacing w:after="120"/>
        <w:ind w:firstLine="709"/>
        <w:rPr>
          <w:rFonts w:ascii="Arial" w:hAnsi="Arial" w:eastAsia="Times New Roman" w:cs="Arial"/>
          <w:bCs/>
          <w:sz w:val="22"/>
          <w:szCs w:val="22"/>
          <w:shd w:val="clear" w:color="auto" w:fill="FFFFFF"/>
          <w:lang w:val="es-CO" w:eastAsia="es-CO"/>
        </w:rPr>
      </w:pPr>
      <w:r w:rsidRPr="00937D75">
        <w:rPr>
          <w:rFonts w:ascii="Arial" w:hAnsi="Arial" w:eastAsia="Times New Roman" w:cs="Arial"/>
          <w:bCs/>
          <w:sz w:val="22"/>
          <w:szCs w:val="22"/>
          <w:shd w:val="clear" w:color="auto" w:fill="FFFFFF"/>
          <w:lang w:val="es-CO" w:eastAsia="es-CO"/>
        </w:rPr>
        <w:t>Conforme al parágrafo 1 del artículo 5 de la Ley 1150 de 2007, los requisitos de la oferta que afecten la asignación de puntaje son insubsanables, por lo que la documentación faltante no podría entregarse posteriormente</w:t>
      </w:r>
      <w:r w:rsidRPr="00937D75">
        <w:rPr>
          <w:rFonts w:ascii="Arial" w:hAnsi="Arial" w:eastAsia="Times New Roman" w:cs="Arial"/>
          <w:bCs/>
          <w:sz w:val="22"/>
          <w:szCs w:val="22"/>
          <w:shd w:val="clear" w:color="auto" w:fill="FFFFFF"/>
          <w:vertAlign w:val="superscript"/>
          <w:lang w:val="es-CO" w:eastAsia="es-CO"/>
        </w:rPr>
        <w:footnoteReference w:id="13"/>
      </w:r>
      <w:r w:rsidRPr="00937D75">
        <w:rPr>
          <w:rFonts w:ascii="Arial" w:hAnsi="Arial" w:eastAsia="Times New Roman" w:cs="Arial"/>
          <w:bCs/>
          <w:sz w:val="22"/>
          <w:szCs w:val="22"/>
          <w:shd w:val="clear" w:color="auto" w:fill="FFFFFF"/>
          <w:lang w:val="es-CO" w:eastAsia="es-CO"/>
        </w:rPr>
        <w:t>. Por ello, teniendo en cuenta que los incentivos contractuales a los que se ha hecho referencia se expresan en puntos en el procedimiento de selección, la ausencia de los documentos que los soportan es insubsanable. No obstante, es necesario distinguir entre la ausencia del anexo correspondiente y los defectos del documento que, en función de las particularidades de cada caso concreto, impidan comprender el alcance de su contenido. Así las cosas, es necesario distinguir entre el régimen de subsanación y aclaración de las ofertas.</w:t>
      </w:r>
    </w:p>
    <w:p w:rsidRPr="00937D75" w:rsidR="00937D75" w:rsidP="00740ADB" w:rsidRDefault="00937D75" w14:paraId="179E3350" w14:textId="77777777">
      <w:pPr>
        <w:shd w:val="clear" w:color="auto" w:fill="FFFFFF"/>
        <w:spacing w:after="0"/>
        <w:ind w:firstLine="708"/>
        <w:rPr>
          <w:rFonts w:ascii="Arial" w:hAnsi="Arial" w:eastAsia="Times New Roman" w:cs="Arial"/>
          <w:bCs/>
          <w:sz w:val="22"/>
          <w:szCs w:val="22"/>
          <w:shd w:val="clear" w:color="auto" w:fill="FFFFFF"/>
          <w:lang w:val="es-CO" w:eastAsia="es-CO"/>
        </w:rPr>
      </w:pPr>
      <w:r w:rsidRPr="00937D75">
        <w:rPr>
          <w:rFonts w:ascii="Arial" w:hAnsi="Arial" w:eastAsia="Times New Roman" w:cs="Arial"/>
          <w:bCs/>
          <w:sz w:val="22"/>
          <w:szCs w:val="22"/>
          <w:shd w:val="clear" w:color="auto" w:fill="FFFFFF"/>
          <w:lang w:val="es-CO" w:eastAsia="es-CO"/>
        </w:rPr>
        <w:t xml:space="preserve">Respecto a este último, en aras de que la entidad pueda evaluar la oferta adecuadamente y contar con los elementos de juicio suficientes y necesarios para la comprensión integral de cada documento contenido en ella, esta puede acudir a la facultad del artículo 30.7 de la Ley 80 de 1993. Dicha norma dispone que los pliegos de condiciones deben hacer referencia al «plazo razonable dentro del cual la entidad deberá elaborar los estudios técnicos, económicos y jurídicos necesarios para la evaluación de las propuestas y </w:t>
      </w:r>
      <w:r w:rsidRPr="00937D75">
        <w:rPr>
          <w:rFonts w:ascii="Arial" w:hAnsi="Arial" w:eastAsia="Times New Roman" w:cs="Arial"/>
          <w:bCs/>
          <w:i/>
          <w:iCs/>
          <w:sz w:val="22"/>
          <w:szCs w:val="22"/>
          <w:shd w:val="clear" w:color="auto" w:fill="FFFFFF"/>
          <w:lang w:val="es-CO" w:eastAsia="es-CO"/>
        </w:rPr>
        <w:t>para solicitar a los proponentes las aclaraciones y explicaciones que se estimen indispensables</w:t>
      </w:r>
      <w:r w:rsidRPr="00937D75">
        <w:rPr>
          <w:rFonts w:ascii="Arial" w:hAnsi="Arial" w:eastAsia="Times New Roman" w:cs="Arial"/>
          <w:bCs/>
          <w:sz w:val="22"/>
          <w:szCs w:val="22"/>
          <w:shd w:val="clear" w:color="auto" w:fill="FFFFFF"/>
          <w:lang w:val="es-CO" w:eastAsia="es-CO"/>
        </w:rPr>
        <w:t>» (Énfasis fuera de texto). No obstante</w:t>
      </w:r>
      <w:r w:rsidRPr="00937D75">
        <w:rPr>
          <w:rFonts w:ascii="Arial" w:hAnsi="Arial" w:eastAsia="Arial" w:cs="Arial"/>
          <w:color w:val="000000"/>
          <w:sz w:val="22"/>
          <w:szCs w:val="22"/>
          <w:lang w:val="es-CO" w:eastAsia="es-CO"/>
        </w:rPr>
        <w:t xml:space="preserve">, la facultad de solicitar aclaraciones debe comprenderse bajo el entendido </w:t>
      </w:r>
      <w:r w:rsidRPr="00937D75">
        <w:rPr>
          <w:rFonts w:ascii="Arial" w:hAnsi="Arial" w:eastAsia="Arial" w:cs="Arial"/>
          <w:sz w:val="22"/>
          <w:szCs w:val="22"/>
          <w:lang w:val="es-CO" w:eastAsia="es-CO"/>
        </w:rPr>
        <w:t>de</w:t>
      </w:r>
      <w:r w:rsidRPr="00937D75">
        <w:rPr>
          <w:rFonts w:ascii="Arial" w:hAnsi="Arial" w:eastAsia="Arial" w:cs="Arial"/>
          <w:color w:val="000000"/>
          <w:sz w:val="22"/>
          <w:szCs w:val="22"/>
          <w:lang w:val="es-CO" w:eastAsia="es-CO"/>
        </w:rPr>
        <w:t xml:space="preserve"> que el oferente, so pretexto de atender el requerimiento realizado por la entidad, no puede realizar modificaciones que impliquen una mejora o alteración sustancial de la oferta. Como explica el Consejo de Estado:</w:t>
      </w:r>
    </w:p>
    <w:p w:rsidRPr="00937D75" w:rsidR="00937D75" w:rsidP="00740ADB" w:rsidRDefault="00937D75" w14:paraId="2B233D02" w14:textId="77777777">
      <w:pPr>
        <w:spacing w:after="0"/>
        <w:ind w:firstLine="708"/>
        <w:rPr>
          <w:rFonts w:ascii="Arial" w:hAnsi="Arial" w:eastAsia="Arial" w:cs="Arial"/>
          <w:color w:val="000000"/>
          <w:sz w:val="22"/>
          <w:szCs w:val="22"/>
          <w:lang w:val="es-CO"/>
        </w:rPr>
      </w:pPr>
    </w:p>
    <w:p w:rsidR="00937D75" w:rsidP="004E7441" w:rsidRDefault="00937D75" w14:paraId="01E8515E" w14:textId="6594F531">
      <w:pPr>
        <w:spacing w:after="0" w:line="240" w:lineRule="auto"/>
        <w:ind w:left="709" w:right="709"/>
        <w:rPr>
          <w:rFonts w:ascii="Arial" w:hAnsi="Arial" w:eastAsia="Arial" w:cs="Arial"/>
          <w:color w:val="000000"/>
          <w:sz w:val="21"/>
          <w:szCs w:val="21"/>
          <w:lang w:val="es-CO"/>
        </w:rPr>
      </w:pPr>
      <w:r w:rsidRPr="00937D75">
        <w:rPr>
          <w:rFonts w:ascii="Arial" w:hAnsi="Arial" w:eastAsia="Arial" w:cs="Arial"/>
          <w:color w:val="000000"/>
          <w:sz w:val="21"/>
          <w:szCs w:val="21"/>
          <w:lang w:val="es-CO"/>
        </w:rPr>
        <w:t xml:space="preserve">[…] lo anterior no impide que se puedan hacer aclaraciones a las propuestas bien porque la administración las solicite en la etapa de evaluación de las </w:t>
      </w:r>
      <w:r w:rsidRPr="00937D75">
        <w:rPr>
          <w:rFonts w:ascii="Arial" w:hAnsi="Arial" w:eastAsia="Arial" w:cs="Arial"/>
          <w:color w:val="000000"/>
          <w:sz w:val="21"/>
          <w:szCs w:val="21"/>
          <w:lang w:val="es-CO"/>
        </w:rPr>
        <w:lastRenderedPageBreak/>
        <w:t xml:space="preserve">mismas, ora porque las realicen los oferentes en la etapa dispuesta para las observaciones a los informes de </w:t>
      </w:r>
      <w:r w:rsidRPr="00937D75" w:rsidR="00D11461">
        <w:rPr>
          <w:rFonts w:ascii="Arial" w:hAnsi="Arial" w:eastAsia="Arial" w:cs="Arial"/>
          <w:color w:val="000000"/>
          <w:sz w:val="21"/>
          <w:szCs w:val="21"/>
          <w:lang w:val="es-CO"/>
        </w:rPr>
        <w:t>evaluación</w:t>
      </w:r>
      <w:r w:rsidRPr="00937D75">
        <w:rPr>
          <w:rFonts w:ascii="Arial" w:hAnsi="Arial" w:eastAsia="Arial" w:cs="Arial"/>
          <w:color w:val="000000"/>
          <w:sz w:val="21"/>
          <w:szCs w:val="21"/>
          <w:lang w:val="es-CO"/>
        </w:rPr>
        <w:t xml:space="preserve">, pero siempre y cuando verse sobre aspectos meramente formales o adjetivos o que en todo caso no comporten una variación o corrección del fondo de la propuesta a favor de quien las presenta y en detrimento de la posición de los demás proponentes en la </w:t>
      </w:r>
      <w:r w:rsidRPr="00937D75" w:rsidR="00D11461">
        <w:rPr>
          <w:rFonts w:ascii="Arial" w:hAnsi="Arial" w:eastAsia="Arial" w:cs="Arial"/>
          <w:color w:val="000000"/>
          <w:sz w:val="21"/>
          <w:szCs w:val="21"/>
          <w:lang w:val="es-CO"/>
        </w:rPr>
        <w:t>evaluación</w:t>
      </w:r>
      <w:r w:rsidRPr="00937D75">
        <w:rPr>
          <w:rFonts w:ascii="Arial" w:hAnsi="Arial" w:eastAsia="Arial" w:cs="Arial"/>
          <w:color w:val="000000"/>
          <w:sz w:val="21"/>
          <w:szCs w:val="21"/>
          <w:lang w:val="es-CO"/>
        </w:rPr>
        <w:t xml:space="preserve">, esto es, sujetas a condición de que con las mismas no se altere de manera sustancial la información inicialmente suministrada y la situación de los oferentes en el proceso de licitación. </w:t>
      </w:r>
    </w:p>
    <w:p w:rsidRPr="00937D75" w:rsidR="004E7441" w:rsidP="001A0928" w:rsidRDefault="004E7441" w14:paraId="1E8F4214" w14:textId="77777777">
      <w:pPr>
        <w:spacing w:after="0" w:line="240" w:lineRule="auto"/>
        <w:ind w:left="709" w:right="709"/>
        <w:rPr>
          <w:rFonts w:ascii="Times New Roman" w:hAnsi="Times New Roman" w:eastAsia="Times New Roman" w:cs="Times New Roman"/>
          <w:lang w:val="es-CO"/>
        </w:rPr>
      </w:pPr>
    </w:p>
    <w:p w:rsidRPr="00937D75" w:rsidR="00937D75" w:rsidP="001A0928" w:rsidRDefault="00937D75" w14:paraId="48863C3E" w14:textId="138805FC">
      <w:pPr>
        <w:spacing w:after="0" w:line="240" w:lineRule="auto"/>
        <w:ind w:left="709" w:right="709"/>
        <w:rPr>
          <w:rFonts w:ascii="Times New Roman" w:hAnsi="Times New Roman" w:eastAsia="Times New Roman" w:cs="Times New Roman"/>
          <w:lang w:val="es-CO"/>
        </w:rPr>
      </w:pPr>
      <w:r w:rsidRPr="00937D75">
        <w:rPr>
          <w:rFonts w:ascii="Arial" w:hAnsi="Arial" w:eastAsia="Arial" w:cs="Arial"/>
          <w:color w:val="000000"/>
          <w:sz w:val="21"/>
          <w:szCs w:val="21"/>
          <w:lang w:val="es-CO"/>
        </w:rPr>
        <w:t xml:space="preserve">Por eso, como es posible que por vía aclaratoria los proponentes intenten modificar o mejorar sus ofertas, hay que distinguir entre las simples aclaraciones de las propuestas y las modificaciones a </w:t>
      </w:r>
      <w:r w:rsidRPr="00937D75" w:rsidR="00D11461">
        <w:rPr>
          <w:rFonts w:ascii="Arial" w:hAnsi="Arial" w:eastAsia="Arial" w:cs="Arial"/>
          <w:color w:val="000000"/>
          <w:sz w:val="21"/>
          <w:szCs w:val="21"/>
          <w:lang w:val="es-CO"/>
        </w:rPr>
        <w:t>estas</w:t>
      </w:r>
      <w:r w:rsidRPr="00937D75">
        <w:rPr>
          <w:rFonts w:ascii="Arial" w:hAnsi="Arial" w:eastAsia="Arial" w:cs="Arial"/>
          <w:color w:val="000000"/>
          <w:sz w:val="21"/>
          <w:szCs w:val="21"/>
          <w:lang w:val="es-CO"/>
        </w:rPr>
        <w:t xml:space="preserve">; las primeras son los medios para que se pueda hacer perceptible, manifiesto, </w:t>
      </w:r>
      <w:r w:rsidRPr="00937D75" w:rsidR="00D11461">
        <w:rPr>
          <w:rFonts w:ascii="Arial" w:hAnsi="Arial" w:eastAsia="Arial" w:cs="Arial"/>
          <w:color w:val="000000"/>
          <w:sz w:val="21"/>
          <w:szCs w:val="21"/>
          <w:lang w:val="es-CO"/>
        </w:rPr>
        <w:t>explícito</w:t>
      </w:r>
      <w:r w:rsidRPr="00937D75">
        <w:rPr>
          <w:rFonts w:ascii="Arial" w:hAnsi="Arial" w:eastAsia="Arial" w:cs="Arial"/>
          <w:color w:val="000000"/>
          <w:sz w:val="21"/>
          <w:szCs w:val="21"/>
          <w:lang w:val="es-CO"/>
        </w:rPr>
        <w:t xml:space="preserve"> o inteligible algún aspecto confuso de la propuesta, sin implicar una complementación, adición, modificación o mejora de dicho aspecto, que es precisamente en lo que consisten las segundas</w:t>
      </w:r>
      <w:r w:rsidRPr="00937D75">
        <w:rPr>
          <w:rFonts w:ascii="Arial" w:hAnsi="Arial" w:eastAsia="Arial" w:cs="Arial"/>
          <w:color w:val="000000"/>
          <w:sz w:val="21"/>
          <w:szCs w:val="21"/>
          <w:vertAlign w:val="superscript"/>
          <w:lang w:val="es-CO"/>
        </w:rPr>
        <w:footnoteReference w:id="14"/>
      </w:r>
      <w:r w:rsidRPr="00937D75">
        <w:rPr>
          <w:rFonts w:ascii="Arial" w:hAnsi="Arial" w:eastAsia="Arial" w:cs="Arial"/>
          <w:color w:val="000000"/>
          <w:sz w:val="21"/>
          <w:szCs w:val="21"/>
          <w:lang w:val="es-CO"/>
        </w:rPr>
        <w:t>.</w:t>
      </w:r>
    </w:p>
    <w:p w:rsidRPr="00937D75" w:rsidR="00937D75" w:rsidP="00740ADB" w:rsidRDefault="00937D75" w14:paraId="60C20019" w14:textId="77777777">
      <w:pPr>
        <w:spacing w:after="0"/>
        <w:ind w:left="708"/>
        <w:rPr>
          <w:rFonts w:ascii="Times New Roman" w:hAnsi="Times New Roman" w:eastAsia="Times New Roman" w:cs="Times New Roman"/>
          <w:sz w:val="22"/>
          <w:szCs w:val="22"/>
          <w:lang w:val="es-CO"/>
        </w:rPr>
      </w:pPr>
      <w:r w:rsidRPr="00937D75">
        <w:rPr>
          <w:rFonts w:ascii="Arial" w:hAnsi="Arial" w:eastAsia="Arial" w:cs="Arial"/>
          <w:color w:val="000000"/>
          <w:sz w:val="21"/>
          <w:szCs w:val="21"/>
          <w:lang w:val="es-CO"/>
        </w:rPr>
        <w:t xml:space="preserve"> </w:t>
      </w:r>
    </w:p>
    <w:p w:rsidRPr="00937D75" w:rsidR="00937D75" w:rsidP="00740ADB" w:rsidRDefault="00937D75" w14:paraId="0D8AAD4E" w14:textId="5D825676">
      <w:pPr>
        <w:spacing w:after="0"/>
        <w:ind w:firstLine="709"/>
        <w:rPr>
          <w:rFonts w:ascii="Times New Roman" w:hAnsi="Times New Roman" w:eastAsia="Times New Roman" w:cs="Times New Roman"/>
          <w:lang w:val="es-CO"/>
        </w:rPr>
      </w:pPr>
      <w:r w:rsidRPr="00937D75">
        <w:rPr>
          <w:rFonts w:ascii="Arial" w:hAnsi="Arial" w:eastAsia="Arial" w:cs="Arial"/>
          <w:sz w:val="22"/>
          <w:szCs w:val="22"/>
          <w:lang w:val="es-CO"/>
        </w:rPr>
        <w:t xml:space="preserve">Asimismo, la solicitud de aclaraciones permite que las entidades requieran a los proponentes esclarecer aspectos de su propuesta que en principio resultan confusos para efectos de la evaluación, diferenciándose de la subsanabilidad, pues no parte del supuesto de la ausencia de requisitos de la oferta sino de la existencia de inconsistencias </w:t>
      </w:r>
      <w:r w:rsidR="004E7441">
        <w:rPr>
          <w:rFonts w:ascii="Arial" w:hAnsi="Arial" w:eastAsia="Arial" w:cs="Arial"/>
          <w:sz w:val="22"/>
          <w:szCs w:val="22"/>
          <w:lang w:val="es-CO"/>
        </w:rPr>
        <w:t xml:space="preserve">o falta de claridad </w:t>
      </w:r>
      <w:r w:rsidRPr="00937D75">
        <w:rPr>
          <w:rFonts w:ascii="Arial" w:hAnsi="Arial" w:eastAsia="Arial" w:cs="Arial"/>
          <w:sz w:val="22"/>
          <w:szCs w:val="22"/>
          <w:lang w:val="es-CO"/>
        </w:rPr>
        <w:t>en la misma, cuya explicación se requiere para la evaluar la propuesta. Esta diferencia es importante, pues es posible aclarar los requisitos que asignan puntaje, como lo ha explicado la jurisprudencia en los siguientes términos:</w:t>
      </w:r>
    </w:p>
    <w:p w:rsidRPr="00937D75" w:rsidR="00937D75" w:rsidP="00740ADB" w:rsidRDefault="00937D75" w14:paraId="1C27443B" w14:textId="77777777">
      <w:pPr>
        <w:spacing w:after="0"/>
        <w:ind w:left="567" w:right="616"/>
        <w:rPr>
          <w:rFonts w:ascii="Arial" w:hAnsi="Arial" w:eastAsia="Arial" w:cs="Arial"/>
          <w:sz w:val="22"/>
          <w:szCs w:val="22"/>
          <w:lang w:val="es-CO"/>
        </w:rPr>
      </w:pPr>
    </w:p>
    <w:p w:rsidRPr="00937D75" w:rsidR="00937D75" w:rsidP="001A0928" w:rsidRDefault="00937D75" w14:paraId="29715C6F" w14:textId="77777777">
      <w:pPr>
        <w:spacing w:after="0" w:line="240" w:lineRule="auto"/>
        <w:ind w:left="709" w:right="709"/>
        <w:rPr>
          <w:rFonts w:ascii="Arial" w:hAnsi="Arial" w:eastAsia="Arial" w:cs="Arial"/>
          <w:sz w:val="21"/>
          <w:szCs w:val="21"/>
          <w:lang w:val="es-CO"/>
        </w:rPr>
      </w:pPr>
      <w:bookmarkStart w:name="_3znysh7" w:colFirst="0" w:colLast="0" w:id="4"/>
      <w:bookmarkEnd w:id="4"/>
      <w:r w:rsidRPr="00937D75">
        <w:rPr>
          <w:rFonts w:ascii="Arial" w:hAnsi="Arial" w:eastAsia="Arial" w:cs="Arial"/>
          <w:sz w:val="21"/>
          <w:szCs w:val="21"/>
          <w:lang w:val="es-CO"/>
        </w:rPr>
        <w:t>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937D75">
        <w:rPr>
          <w:rFonts w:ascii="Arial" w:hAnsi="Arial" w:eastAsia="Arial" w:cs="Arial"/>
          <w:sz w:val="21"/>
          <w:szCs w:val="21"/>
          <w:vertAlign w:val="superscript"/>
          <w:lang w:val="es-CO"/>
        </w:rPr>
        <w:footnoteReference w:id="15"/>
      </w:r>
    </w:p>
    <w:p w:rsidRPr="00937D75" w:rsidR="00937D75" w:rsidP="00740ADB" w:rsidRDefault="00937D75" w14:paraId="7CF3CF5C" w14:textId="77777777">
      <w:pPr>
        <w:spacing w:after="0"/>
        <w:ind w:firstLine="708"/>
        <w:rPr>
          <w:rFonts w:ascii="Arial" w:hAnsi="Arial" w:eastAsia="Arial" w:cs="Arial"/>
          <w:color w:val="000000"/>
          <w:sz w:val="22"/>
          <w:szCs w:val="22"/>
          <w:lang w:val="es-CO"/>
        </w:rPr>
      </w:pPr>
    </w:p>
    <w:p w:rsidR="00937D75" w:rsidP="001A0928" w:rsidRDefault="00937D75" w14:paraId="3066EFBD" w14:textId="71A6CB74">
      <w:pPr>
        <w:spacing w:after="120"/>
        <w:ind w:firstLine="709"/>
        <w:rPr>
          <w:rFonts w:ascii="Arial" w:hAnsi="Arial" w:eastAsia="Arial" w:cs="Arial"/>
          <w:color w:val="000000"/>
          <w:sz w:val="22"/>
          <w:szCs w:val="22"/>
          <w:lang w:val="es-CO"/>
        </w:rPr>
      </w:pPr>
      <w:r w:rsidRPr="00937D75">
        <w:rPr>
          <w:rFonts w:ascii="Arial" w:hAnsi="Arial" w:eastAsia="Arial" w:cs="Arial"/>
          <w:color w:val="000000"/>
          <w:sz w:val="22"/>
          <w:szCs w:val="22"/>
          <w:lang w:val="es-CO"/>
        </w:rPr>
        <w:t xml:space="preserve">Conforme a la explicación precedente, aclarar una oferta no puede implicar su alteración sustancial o la mejoría de sus componentes, sino que debe limitarse a disipar lo que resulta </w:t>
      </w:r>
      <w:r w:rsidR="004E7441">
        <w:rPr>
          <w:rFonts w:ascii="Arial" w:hAnsi="Arial" w:eastAsia="Arial" w:cs="Arial"/>
          <w:color w:val="000000"/>
          <w:sz w:val="22"/>
          <w:szCs w:val="22"/>
          <w:lang w:val="es-CO"/>
        </w:rPr>
        <w:t>confuso</w:t>
      </w:r>
      <w:r w:rsidRPr="00937D75" w:rsidR="004E7441">
        <w:rPr>
          <w:rFonts w:ascii="Arial" w:hAnsi="Arial" w:eastAsia="Arial" w:cs="Arial"/>
          <w:color w:val="000000"/>
          <w:sz w:val="22"/>
          <w:szCs w:val="22"/>
          <w:lang w:val="es-CO"/>
        </w:rPr>
        <w:t xml:space="preserve"> </w:t>
      </w:r>
      <w:r w:rsidRPr="00937D75">
        <w:rPr>
          <w:rFonts w:ascii="Arial" w:hAnsi="Arial" w:eastAsia="Arial" w:cs="Arial"/>
          <w:color w:val="000000"/>
          <w:sz w:val="22"/>
          <w:szCs w:val="22"/>
          <w:lang w:val="es-CO"/>
        </w:rPr>
        <w:t xml:space="preserve">u otorgar claridad a lo que resulta oscuro o ininteligible. En este punto, se concluye que es distinto aclarar y subsanar una oferta: mientras este último instituto procura que el oferente presente, dentro del plazo y bajo las condiciones dispuestas por la norma aplicable, los documentos que acrediten el cumplimiento de los requisitos exigidos como habilitantes para participar en el respectivo procedimiento de selección, la aclaración permite el mejor entendimiento de los elementos de la oferta, sean o no subsanables, para la correcta verificación y evaluación de los mismos por parte de la entidad pública. </w:t>
      </w:r>
    </w:p>
    <w:p w:rsidR="00937D75" w:rsidP="001A0928" w:rsidRDefault="00937D75" w14:paraId="7807EE1D" w14:textId="61149E8D">
      <w:pPr>
        <w:spacing w:after="120"/>
        <w:ind w:firstLine="709"/>
        <w:rPr>
          <w:rFonts w:ascii="Arial" w:hAnsi="Arial" w:eastAsia="Times New Roman" w:cs="Arial"/>
          <w:bCs/>
          <w:sz w:val="22"/>
          <w:szCs w:val="22"/>
          <w:shd w:val="clear" w:color="auto" w:fill="FFFFFF"/>
          <w:lang w:val="es-CO"/>
        </w:rPr>
      </w:pPr>
      <w:r w:rsidRPr="00937D75">
        <w:rPr>
          <w:rFonts w:ascii="Arial" w:hAnsi="Arial" w:eastAsia="Arial" w:cs="Arial"/>
          <w:color w:val="000000"/>
          <w:sz w:val="22"/>
          <w:szCs w:val="22"/>
          <w:lang w:val="es-CO"/>
        </w:rPr>
        <w:t xml:space="preserve">Regresando al ejemplo </w:t>
      </w:r>
      <w:r w:rsidR="004E7441">
        <w:rPr>
          <w:rFonts w:ascii="Arial" w:hAnsi="Arial" w:eastAsia="Arial" w:cs="Arial"/>
          <w:color w:val="000000"/>
          <w:sz w:val="22"/>
          <w:szCs w:val="22"/>
          <w:lang w:val="es-CO"/>
        </w:rPr>
        <w:t>planteado</w:t>
      </w:r>
      <w:r w:rsidRPr="00937D75">
        <w:rPr>
          <w:rFonts w:ascii="Arial" w:hAnsi="Arial" w:eastAsia="Arial" w:cs="Arial"/>
          <w:color w:val="000000"/>
          <w:sz w:val="22"/>
          <w:szCs w:val="22"/>
          <w:lang w:val="es-CO"/>
        </w:rPr>
        <w:t xml:space="preserve">, </w:t>
      </w:r>
      <w:r w:rsidRPr="00937D75">
        <w:rPr>
          <w:rFonts w:ascii="Arial" w:hAnsi="Arial" w:eastAsia="Times New Roman" w:cs="Arial"/>
          <w:bCs/>
          <w:sz w:val="22"/>
          <w:szCs w:val="22"/>
          <w:shd w:val="clear" w:color="auto" w:fill="FFFFFF"/>
          <w:lang w:val="es-CO"/>
        </w:rPr>
        <w:t xml:space="preserve">también es posible que el proponente certifique que tiene diez (10) personas en condición de discapacidad, pero la cédula o el certificado de discapacidad de cuatro de (4) de ellas ofrezcan dudas sobre la acreditación de la calidad exigida. En este tipo de situaciones, frente a los defectos de la documentación anexa que impidan comprender el alcance de su contenido, la entidad –de cara a las circunstancias particulares de cada caso concreto– definirá tanto la necesidad o no de solicitar aclaraciones conforme al artículo 30.7 de la Ley 80 de 1993 como si la aclaración del proponente satisface o no los criterios jurisprudenciales explicados con anterioridad. Lo anterior previo concepto de su equipo jurídico y sin perjuicio de la responsabilidad por la decisión adoptada, por lo cual deberá tenerse en cuenta que el régimen de aclaración no puede conducir al mejoramiento o alteración sustancial de las </w:t>
      </w:r>
      <w:r w:rsidRPr="00937D75" w:rsidR="00740ADB">
        <w:rPr>
          <w:rFonts w:ascii="Arial" w:hAnsi="Arial" w:eastAsia="Times New Roman" w:cs="Arial"/>
          <w:bCs/>
          <w:sz w:val="22"/>
          <w:szCs w:val="22"/>
          <w:shd w:val="clear" w:color="auto" w:fill="FFFFFF"/>
          <w:lang w:val="es-CO"/>
        </w:rPr>
        <w:t>propuestas,</w:t>
      </w:r>
      <w:r w:rsidRPr="00937D75">
        <w:rPr>
          <w:rFonts w:ascii="Arial" w:hAnsi="Arial" w:eastAsia="Times New Roman" w:cs="Arial"/>
          <w:bCs/>
          <w:sz w:val="22"/>
          <w:szCs w:val="22"/>
          <w:shd w:val="clear" w:color="auto" w:fill="FFFFFF"/>
          <w:lang w:val="es-CO"/>
        </w:rPr>
        <w:t xml:space="preserve"> sino que está dirigido a </w:t>
      </w:r>
      <w:r w:rsidRPr="00937D75">
        <w:rPr>
          <w:rFonts w:ascii="Arial" w:hAnsi="Arial" w:eastAsia="Arial" w:cs="Arial"/>
          <w:sz w:val="22"/>
          <w:szCs w:val="22"/>
          <w:lang w:val="es-CO"/>
        </w:rPr>
        <w:t>esclarecer aspectos de estas que en principio resultan confusos para efectos de la evaluación</w:t>
      </w:r>
      <w:r w:rsidR="004E7441">
        <w:rPr>
          <w:rFonts w:ascii="Arial" w:hAnsi="Arial" w:eastAsia="Times New Roman" w:cs="Arial"/>
          <w:bCs/>
          <w:sz w:val="22"/>
          <w:szCs w:val="22"/>
          <w:shd w:val="clear" w:color="auto" w:fill="FFFFFF"/>
          <w:lang w:val="es-CO"/>
        </w:rPr>
        <w:t>, pero que están presentes en ella.</w:t>
      </w:r>
    </w:p>
    <w:p w:rsidR="00937D75" w:rsidP="001A0928" w:rsidRDefault="00937D75" w14:paraId="6346C12C" w14:textId="652BE461">
      <w:pPr>
        <w:spacing w:after="120"/>
        <w:ind w:firstLine="709"/>
        <w:rPr>
          <w:rFonts w:ascii="Arial" w:hAnsi="Arial" w:eastAsia="Times New Roman" w:cs="Arial"/>
          <w:bCs/>
          <w:sz w:val="22"/>
          <w:szCs w:val="22"/>
          <w:shd w:val="clear" w:color="auto" w:fill="FFFFFF"/>
          <w:lang w:val="es-CO"/>
        </w:rPr>
      </w:pPr>
      <w:r w:rsidRPr="00937D75">
        <w:rPr>
          <w:rFonts w:ascii="Arial" w:hAnsi="Arial" w:eastAsia="Times New Roman" w:cs="Arial"/>
          <w:bCs/>
          <w:sz w:val="22"/>
          <w:szCs w:val="22"/>
          <w:shd w:val="clear" w:color="auto" w:fill="FFFFFF"/>
          <w:lang w:val="es-CO"/>
        </w:rPr>
        <w:t xml:space="preserve">En este contexto, procederá la asignación de puntaje respecto al personal cuya calidad se acredite efectivamente en la oferta o como resultado de la aclaración que la entidad estime satisfactoria en cada caso particular. Por el contrario, cuando alguno de los anexos ofrezca dudas sobre la acreditación de la calidad exigida y la entidad no considere válida la aclaración ofrecida sobre la documentación aportada, dicho personal tampoco podrá tenerse en cuenta para el incentivo. En este caso, la norma analizada no dispone expresamente que el derecho a obtener el puntaje adicional por la vinculación de estos grupos poblacionales se pierda totalmente cuando los documentos referidos a una o varias de las personas, cuya vinculación quiere demostrarse, se anexen a la certificación del representante legal con defectos que impidan comprender el alcance de su contenido. </w:t>
      </w:r>
    </w:p>
    <w:p w:rsidR="00937D75" w:rsidP="001A0928" w:rsidRDefault="00937D75" w14:paraId="2C6DB1E4" w14:textId="72D3A3E4">
      <w:pPr>
        <w:spacing w:after="120"/>
        <w:ind w:firstLine="709"/>
        <w:rPr>
          <w:rFonts w:ascii="Arial" w:hAnsi="Arial" w:eastAsia="Times New Roman" w:cs="Arial"/>
          <w:bCs/>
          <w:sz w:val="22"/>
          <w:szCs w:val="22"/>
          <w:shd w:val="clear" w:color="auto" w:fill="FFFFFF"/>
          <w:lang w:val="es-CO"/>
        </w:rPr>
      </w:pPr>
      <w:r w:rsidRPr="00937D75">
        <w:rPr>
          <w:rFonts w:ascii="Arial" w:hAnsi="Arial" w:eastAsia="Times New Roman" w:cs="Arial"/>
          <w:bCs/>
          <w:sz w:val="22"/>
          <w:szCs w:val="22"/>
          <w:shd w:val="clear" w:color="auto" w:fill="FFFFFF"/>
          <w:lang w:val="es-CO"/>
        </w:rPr>
        <w:t xml:space="preserve">Finalmente, a diferencia de los dos (2) supuestos anteriores en los que el proponente omite la entrega de algunos anexos o estos se aportan con defectos que impiden verificar las calidades exigidas en la norma, también es posible que el oferente certifique que tiene diez (10) personas en condición de discapacidad, pero que aporte la </w:t>
      </w:r>
      <w:r w:rsidRPr="00937D75">
        <w:rPr>
          <w:rFonts w:ascii="Arial" w:hAnsi="Arial" w:eastAsia="Times New Roman" w:cs="Arial"/>
          <w:bCs/>
          <w:sz w:val="22"/>
          <w:szCs w:val="22"/>
          <w:shd w:val="clear" w:color="auto" w:fill="FFFFFF"/>
          <w:lang w:val="es-CO"/>
        </w:rPr>
        <w:lastRenderedPageBreak/>
        <w:t xml:space="preserve">cédula y el certificado de discapacidad </w:t>
      </w:r>
      <w:r w:rsidR="00D56172">
        <w:rPr>
          <w:rFonts w:ascii="Arial" w:hAnsi="Arial" w:eastAsia="Times New Roman" w:cs="Arial"/>
          <w:bCs/>
          <w:sz w:val="22"/>
          <w:szCs w:val="22"/>
          <w:shd w:val="clear" w:color="auto" w:fill="FFFFFF"/>
          <w:lang w:val="es-CO"/>
        </w:rPr>
        <w:t xml:space="preserve">de </w:t>
      </w:r>
      <w:r w:rsidRPr="00937D75">
        <w:rPr>
          <w:rFonts w:ascii="Arial" w:hAnsi="Arial" w:eastAsia="Times New Roman" w:cs="Arial"/>
          <w:bCs/>
          <w:sz w:val="22"/>
          <w:szCs w:val="22"/>
          <w:shd w:val="clear" w:color="auto" w:fill="FFFFFF"/>
          <w:lang w:val="es-CO"/>
        </w:rPr>
        <w:t>seis (6) adicionales a las relacionadas en dicho documento. En este caso, el numeral 2 del parágrafo 1 del artículo d</w:t>
      </w:r>
      <w:r w:rsidRPr="00937D75">
        <w:rPr>
          <w:rFonts w:ascii="Arial" w:hAnsi="Arial" w:eastAsia="Times New Roman" w:cs="Arial"/>
          <w:sz w:val="22"/>
          <w:szCs w:val="22"/>
          <w:lang w:val="es-CO"/>
        </w:rPr>
        <w:t xml:space="preserve">el artículo </w:t>
      </w:r>
      <w:r w:rsidRPr="00937D75">
        <w:rPr>
          <w:rFonts w:ascii="Arial" w:hAnsi="Arial" w:eastAsia="Times New Roman" w:cs="Arial"/>
          <w:bCs/>
          <w:sz w:val="22"/>
          <w:szCs w:val="22"/>
          <w:shd w:val="clear" w:color="auto" w:fill="FFFFFF"/>
          <w:lang w:val="es-CO"/>
        </w:rPr>
        <w:t xml:space="preserve">2.1.2.4.2.10 del Decreto 1082 de 2015 dispone que el representante legal deberá señalar el número de mujeres, de personas mayores de cuarenta y cinco (45) años cumplidos máximo a la fecha de presentación de la oferta y de personas con discapacidad que conforman su personal operativo, y que debe relacionar junto con la certificación «[…] el nombre completo, el número de documento de identidad, género, fecha de nacimiento y condición de discapacidad del personal operativo». </w:t>
      </w:r>
    </w:p>
    <w:p w:rsidR="00937D75" w:rsidP="001A0928" w:rsidRDefault="00937D75" w14:paraId="074E49CE" w14:textId="7BEE9CA4">
      <w:pPr>
        <w:spacing w:after="120"/>
        <w:ind w:firstLine="709"/>
        <w:rPr>
          <w:rFonts w:ascii="Arial" w:hAnsi="Arial" w:eastAsia="Times New Roman" w:cs="Arial"/>
          <w:bCs/>
          <w:sz w:val="22"/>
          <w:szCs w:val="22"/>
          <w:shd w:val="clear" w:color="auto" w:fill="FFFFFF"/>
          <w:lang w:val="es-CO"/>
        </w:rPr>
      </w:pPr>
      <w:r w:rsidRPr="00937D75">
        <w:rPr>
          <w:rFonts w:ascii="Arial" w:hAnsi="Arial" w:eastAsia="Times New Roman" w:cs="Arial"/>
          <w:bCs/>
          <w:sz w:val="22"/>
          <w:szCs w:val="22"/>
          <w:shd w:val="clear" w:color="auto" w:fill="FFFFFF"/>
          <w:lang w:val="es-CO"/>
        </w:rPr>
        <w:t>Por tanto, la pretensión del reglamento cuando agrega que «[…] se anexará copia de los respectivos documentos de identidad y para acreditar la condición de discapacidad, el Certificado de Discapacidad de cada uno de los trabajadores […]» es que únicamente se evalúen los anexos en la cantidad y respecto al personal relacionado en la certificación del representante legal. Esto considerando que tanto el certificado como los anexos correspondientes se cotejan con la «Constancia de la relación total del personal operativo publicado en el módulo de Acreditación del Personal Operativo dispuesto en la página web oficial de la Superintendencia de Vigilancia y Seguridad Privada» para la asignación de puntaje por el mayor número y/o por la mayor proporción de mujeres, personas con discapacidad y personas mayores de cuarenta y cinco (45) años vinculados en la planta de personal.</w:t>
      </w:r>
    </w:p>
    <w:p w:rsidR="00937D75" w:rsidP="001A0928" w:rsidRDefault="00937D75" w14:paraId="61720C5F" w14:textId="1080B3E5">
      <w:pPr>
        <w:spacing w:after="120"/>
        <w:ind w:firstLine="709"/>
        <w:rPr>
          <w:rFonts w:ascii="Arial" w:hAnsi="Arial" w:eastAsia="Times New Roman" w:cs="Arial"/>
          <w:bCs/>
          <w:sz w:val="22"/>
          <w:szCs w:val="22"/>
          <w:shd w:val="clear" w:color="auto" w:fill="FFFFFF"/>
          <w:lang w:val="es-CO"/>
        </w:rPr>
      </w:pPr>
      <w:r w:rsidRPr="00937D75">
        <w:rPr>
          <w:rFonts w:ascii="Arial" w:hAnsi="Arial" w:eastAsia="Times New Roman" w:cs="Arial"/>
          <w:bCs/>
          <w:sz w:val="22"/>
          <w:szCs w:val="22"/>
          <w:shd w:val="clear" w:color="auto" w:fill="FFFFFF"/>
          <w:lang w:val="es-CO"/>
        </w:rPr>
        <w:t xml:space="preserve">En gracia de discusión, respecto al ejemplo propuesto anteriormente, el principio de primacía de realidad sobre las formas podría sugerir que es posible acreditar las calidades subjetivas de más personas que las relacionadas en la certificación del representante legal, por lo que en este tipo de situaciones debería estarse más al número acreditado –dieciséis (16)– que al declarado –diez (10)–. No obstante, la Agencia no comparte este criterio, pues torna inane la exigencia del reglamento de señalar el número de mujeres, de personas mayores de cuarenta y cinco (45) años cumplidos máximo a la fecha de presentación de la oferta y de personas con discapacidad que conforman su personal operativo, así como el deber de relacionar junto con la certificación el nombre completo, el número de documento de identidad, género, fecha de nacimiento y condición de discapacidad del personal operativo. </w:t>
      </w:r>
    </w:p>
    <w:p w:rsidR="00937D75" w:rsidP="00937D75" w:rsidRDefault="00937D75" w14:paraId="6F517C9D" w14:textId="7B2A1168">
      <w:pPr>
        <w:spacing w:after="0"/>
        <w:ind w:firstLine="709"/>
        <w:rPr>
          <w:rFonts w:ascii="Arial" w:hAnsi="Arial" w:eastAsia="Times New Roman" w:cs="Arial"/>
          <w:bCs/>
          <w:sz w:val="22"/>
          <w:szCs w:val="22"/>
          <w:shd w:val="clear" w:color="auto" w:fill="FFFFFF"/>
        </w:rPr>
      </w:pPr>
      <w:r w:rsidRPr="00937D75">
        <w:rPr>
          <w:rFonts w:ascii="Arial" w:hAnsi="Arial" w:eastAsia="Times New Roman" w:cs="Arial"/>
          <w:bCs/>
          <w:sz w:val="22"/>
          <w:szCs w:val="22"/>
          <w:shd w:val="clear" w:color="auto" w:fill="FFFFFF"/>
          <w:lang w:val="es-CO"/>
        </w:rPr>
        <w:t xml:space="preserve">En este contexto, sobre la base del criterio hermenéutico de acuerdo con el cual «el sentido en que una norma produce algún efecto se prefiere sobre aquel en que no produzca efecto alguno», el decreto reglamentario exige una simetría entre el número de personas certificadas y la relación del personal operativo, por un lado, y los anexos que acreditan las condiciones dispuestas en la norma, por otro. </w:t>
      </w:r>
      <w:r w:rsidR="00740ADB">
        <w:rPr>
          <w:rFonts w:ascii="Arial" w:hAnsi="Arial" w:eastAsia="Times New Roman" w:cs="Arial"/>
          <w:bCs/>
          <w:sz w:val="22"/>
          <w:szCs w:val="22"/>
          <w:shd w:val="clear" w:color="auto" w:fill="FFFFFF"/>
          <w:lang w:val="es-CO"/>
        </w:rPr>
        <w:t xml:space="preserve">En efecto, lo que exige el </w:t>
      </w:r>
      <w:r w:rsidRPr="00937D75">
        <w:rPr>
          <w:rFonts w:ascii="Arial" w:hAnsi="Arial" w:eastAsia="Times New Roman" w:cs="Arial"/>
          <w:sz w:val="22"/>
          <w:szCs w:val="22"/>
          <w:lang w:val="es-CO"/>
        </w:rPr>
        <w:t xml:space="preserve">parágrafo primero del artículo </w:t>
      </w:r>
      <w:r w:rsidRPr="00937D75">
        <w:rPr>
          <w:rFonts w:ascii="Arial" w:hAnsi="Arial" w:eastAsia="Times New Roman" w:cs="Arial"/>
          <w:bCs/>
          <w:sz w:val="22"/>
          <w:szCs w:val="22"/>
          <w:shd w:val="clear" w:color="auto" w:fill="FFFFFF"/>
          <w:lang w:val="es-CO"/>
        </w:rPr>
        <w:t>2.1.2.4.2.10 del Decreto 1082 de 2015, e</w:t>
      </w:r>
      <w:r w:rsidR="00740ADB">
        <w:rPr>
          <w:rFonts w:ascii="Arial" w:hAnsi="Arial" w:eastAsia="Times New Roman" w:cs="Arial"/>
          <w:bCs/>
          <w:sz w:val="22"/>
          <w:szCs w:val="22"/>
          <w:shd w:val="clear" w:color="auto" w:fill="FFFFFF"/>
          <w:lang w:val="es-CO"/>
        </w:rPr>
        <w:t xml:space="preserve">s que, para el </w:t>
      </w:r>
      <w:r w:rsidRPr="00937D75">
        <w:rPr>
          <w:rFonts w:ascii="Arial" w:hAnsi="Arial" w:eastAsia="Times New Roman" w:cs="Arial"/>
          <w:bCs/>
          <w:sz w:val="22"/>
          <w:szCs w:val="22"/>
          <w:shd w:val="clear" w:color="auto" w:fill="FFFFFF"/>
          <w:lang w:val="es-CO"/>
        </w:rPr>
        <w:t>otorgamiento del incentivo</w:t>
      </w:r>
      <w:r w:rsidR="00740ADB">
        <w:rPr>
          <w:rFonts w:ascii="Arial" w:hAnsi="Arial" w:eastAsia="Times New Roman" w:cs="Arial"/>
          <w:bCs/>
          <w:sz w:val="22"/>
          <w:szCs w:val="22"/>
          <w:shd w:val="clear" w:color="auto" w:fill="FFFFFF"/>
          <w:lang w:val="es-CO"/>
        </w:rPr>
        <w:t xml:space="preserve"> es necesaria la </w:t>
      </w:r>
      <w:r w:rsidRPr="00937D75">
        <w:rPr>
          <w:rFonts w:ascii="Arial" w:hAnsi="Arial" w:eastAsia="Times New Roman" w:cs="Arial"/>
          <w:bCs/>
          <w:sz w:val="22"/>
          <w:szCs w:val="22"/>
          <w:shd w:val="clear" w:color="auto" w:fill="FFFFFF"/>
        </w:rPr>
        <w:t xml:space="preserve">concurrencia de los documentos descritos. Es decir, </w:t>
      </w:r>
      <w:r w:rsidR="00D56172">
        <w:rPr>
          <w:rFonts w:ascii="Arial" w:hAnsi="Arial" w:eastAsia="Times New Roman" w:cs="Arial"/>
          <w:bCs/>
          <w:sz w:val="22"/>
          <w:szCs w:val="22"/>
          <w:shd w:val="clear" w:color="auto" w:fill="FFFFFF"/>
        </w:rPr>
        <w:t>d</w:t>
      </w:r>
      <w:r w:rsidRPr="00937D75">
        <w:rPr>
          <w:rFonts w:ascii="Arial" w:hAnsi="Arial" w:eastAsia="Times New Roman" w:cs="Arial"/>
          <w:bCs/>
          <w:sz w:val="22"/>
          <w:szCs w:val="22"/>
          <w:shd w:val="clear" w:color="auto" w:fill="FFFFFF"/>
        </w:rPr>
        <w:t>e lo anterior se desprende que se solo es posible validar los anexos en la cantidad y respecto a las personas que se relacionaron en la certificación del representante legal.</w:t>
      </w:r>
    </w:p>
    <w:p w:rsidRPr="00937D75" w:rsidR="00740ADB" w:rsidP="00937D75" w:rsidRDefault="00740ADB" w14:paraId="3B6D4801" w14:textId="77777777">
      <w:pPr>
        <w:spacing w:after="0"/>
        <w:ind w:firstLine="709"/>
        <w:rPr>
          <w:rFonts w:ascii="Arial" w:hAnsi="Arial" w:cs="Arial"/>
          <w:sz w:val="22"/>
          <w:szCs w:val="22"/>
          <w:lang w:val="es-CO" w:eastAsia="en-US"/>
        </w:rPr>
      </w:pPr>
    </w:p>
    <w:p w:rsidRPr="004E3780" w:rsidR="004E3780" w:rsidP="004E3780" w:rsidRDefault="004E3780" w14:paraId="765FC8A3" w14:textId="6BB751E5">
      <w:pPr>
        <w:tabs>
          <w:tab w:val="left" w:pos="284"/>
          <w:tab w:val="left" w:pos="7938"/>
        </w:tabs>
        <w:spacing w:after="0"/>
        <w:rPr>
          <w:rFonts w:ascii="Arial" w:hAnsi="Arial" w:cs="Arial"/>
          <w:b/>
          <w:sz w:val="22"/>
          <w:szCs w:val="22"/>
          <w:lang w:val="es-CO" w:eastAsia="en-US"/>
        </w:rPr>
      </w:pPr>
      <w:r w:rsidRPr="004E3780">
        <w:rPr>
          <w:rFonts w:ascii="Arial" w:hAnsi="Arial" w:cs="Arial"/>
          <w:b/>
          <w:sz w:val="22"/>
          <w:szCs w:val="22"/>
          <w:lang w:val="es-CO" w:eastAsia="en-US"/>
        </w:rPr>
        <w:t>3. Respuestas</w:t>
      </w:r>
    </w:p>
    <w:p w:rsidR="007613A5" w:rsidP="004E3780" w:rsidRDefault="00740ADB" w14:paraId="4E6F5EBE" w14:textId="77777777">
      <w:pPr>
        <w:spacing w:after="0"/>
        <w:rPr>
          <w:rFonts w:ascii="Arial" w:hAnsi="Arial" w:eastAsia="Times New Roman" w:cs="Arial"/>
          <w:sz w:val="22"/>
          <w:szCs w:val="22"/>
          <w:lang w:val="es-CO"/>
        </w:rPr>
      </w:pPr>
      <w:r>
        <w:rPr>
          <w:rFonts w:ascii="Arial" w:hAnsi="Arial" w:eastAsia="Times New Roman" w:cs="Arial"/>
          <w:sz w:val="22"/>
          <w:szCs w:val="22"/>
          <w:lang w:val="es-CO"/>
        </w:rPr>
        <w:tab/>
      </w:r>
    </w:p>
    <w:p w:rsidR="004E3780" w:rsidP="001A0928" w:rsidRDefault="00740ADB" w14:paraId="53A100F6" w14:textId="2D69C9CC">
      <w:pPr>
        <w:spacing w:after="0" w:line="240" w:lineRule="auto"/>
        <w:ind w:firstLine="709"/>
        <w:rPr>
          <w:rFonts w:ascii="Arial" w:hAnsi="Arial" w:eastAsia="Times New Roman" w:cs="Arial"/>
          <w:sz w:val="22"/>
          <w:szCs w:val="22"/>
          <w:lang w:val="es-CO"/>
        </w:rPr>
      </w:pPr>
      <w:r>
        <w:rPr>
          <w:rFonts w:ascii="Arial" w:hAnsi="Arial" w:eastAsia="Times New Roman" w:cs="Arial"/>
          <w:sz w:val="22"/>
          <w:szCs w:val="22"/>
          <w:lang w:val="es-CO"/>
        </w:rPr>
        <w:t>PRIMERA INQUIETUD:</w:t>
      </w:r>
    </w:p>
    <w:p w:rsidRPr="004E3780" w:rsidR="00740ADB" w:rsidP="001A0928" w:rsidRDefault="00740ADB" w14:paraId="65B26535" w14:textId="77777777">
      <w:pPr>
        <w:spacing w:after="0" w:line="240" w:lineRule="auto"/>
        <w:rPr>
          <w:rFonts w:ascii="Arial" w:hAnsi="Arial" w:eastAsia="Times New Roman" w:cs="Arial"/>
          <w:sz w:val="22"/>
          <w:szCs w:val="22"/>
          <w:lang w:val="es-CO"/>
        </w:rPr>
      </w:pPr>
    </w:p>
    <w:p w:rsidR="00740ADB" w:rsidP="001A0928" w:rsidRDefault="00740ADB" w14:paraId="4BB4430F" w14:textId="6C4098B3">
      <w:pPr>
        <w:tabs>
          <w:tab w:val="left" w:pos="284"/>
        </w:tabs>
        <w:spacing w:after="0" w:line="240" w:lineRule="auto"/>
        <w:ind w:left="709"/>
        <w:rPr>
          <w:rFonts w:ascii="Arial" w:hAnsi="Arial" w:eastAsia="Times New Roman" w:cs="Arial"/>
          <w:bCs/>
          <w:sz w:val="21"/>
          <w:szCs w:val="21"/>
        </w:rPr>
      </w:pPr>
      <w:r w:rsidRPr="00740ADB">
        <w:rPr>
          <w:rFonts w:ascii="Arial" w:hAnsi="Arial" w:eastAsia="Times New Roman" w:cs="Arial"/>
          <w:bCs/>
          <w:sz w:val="21"/>
          <w:szCs w:val="21"/>
          <w:lang w:val="es-ES_tradnl"/>
        </w:rPr>
        <w:t xml:space="preserve">«1) </w:t>
      </w:r>
      <w:r w:rsidRPr="00740ADB" w:rsidR="00D11461">
        <w:rPr>
          <w:rFonts w:ascii="Arial" w:hAnsi="Arial" w:eastAsia="Times New Roman" w:cs="Arial"/>
          <w:bCs/>
          <w:sz w:val="21"/>
          <w:szCs w:val="21"/>
          <w:lang w:val="es-ES_tradnl"/>
        </w:rPr>
        <w:t>¿</w:t>
      </w:r>
      <w:r w:rsidRPr="00740ADB" w:rsidR="00D11461">
        <w:rPr>
          <w:rFonts w:ascii="Arial" w:hAnsi="Arial" w:eastAsia="Times New Roman" w:cs="Arial"/>
          <w:bCs/>
          <w:sz w:val="21"/>
          <w:szCs w:val="21"/>
        </w:rPr>
        <w:t>Los documentos establecidos en el parágrafo primero del artículo 2?</w:t>
      </w:r>
      <w:r w:rsidRPr="00740ADB">
        <w:rPr>
          <w:rFonts w:ascii="Arial" w:hAnsi="Arial" w:eastAsia="Times New Roman" w:cs="Arial"/>
          <w:bCs/>
          <w:sz w:val="21"/>
          <w:szCs w:val="21"/>
        </w:rPr>
        <w:t xml:space="preserve">2.1.2.4.2.10 son requisitos de la propuesta que afectan la asignación de puntaje? </w:t>
      </w:r>
    </w:p>
    <w:p w:rsidR="00740ADB" w:rsidP="00740ADB" w:rsidRDefault="00740ADB" w14:paraId="69208456" w14:textId="50045E3D">
      <w:pPr>
        <w:tabs>
          <w:tab w:val="left" w:pos="284"/>
        </w:tabs>
        <w:spacing w:after="0"/>
        <w:rPr>
          <w:rFonts w:ascii="Arial" w:hAnsi="Arial" w:eastAsia="Times New Roman" w:cs="Arial"/>
          <w:bCs/>
          <w:sz w:val="21"/>
          <w:szCs w:val="21"/>
        </w:rPr>
      </w:pPr>
    </w:p>
    <w:p w:rsidR="007613A5" w:rsidP="001A0928" w:rsidRDefault="007613A5" w14:paraId="0B7824E7" w14:textId="5C7B4A3C">
      <w:pPr>
        <w:tabs>
          <w:tab w:val="left" w:pos="284"/>
        </w:tabs>
        <w:spacing w:after="120"/>
        <w:rPr>
          <w:rFonts w:ascii="Arial" w:hAnsi="Arial" w:eastAsia="Arial" w:cs="Arial"/>
          <w:color w:val="000000"/>
          <w:sz w:val="22"/>
          <w:szCs w:val="22"/>
        </w:rPr>
      </w:pPr>
      <w:r w:rsidRPr="007613A5">
        <w:rPr>
          <w:rFonts w:ascii="Arial" w:hAnsi="Arial" w:eastAsia="Arial" w:cs="Arial"/>
          <w:color w:val="000000"/>
          <w:sz w:val="22"/>
          <w:szCs w:val="22"/>
          <w:lang w:val="es-CO"/>
        </w:rPr>
        <w:t xml:space="preserve">El parágrafo primero del artículo </w:t>
      </w:r>
      <w:r w:rsidRPr="007613A5">
        <w:rPr>
          <w:rFonts w:ascii="Arial" w:hAnsi="Arial" w:eastAsia="Arial" w:cs="Arial"/>
          <w:bCs/>
          <w:color w:val="000000"/>
          <w:sz w:val="22"/>
          <w:szCs w:val="22"/>
          <w:lang w:val="es-CO"/>
        </w:rPr>
        <w:t>2.1.2.4.2.10 que fue adicionado en el Decreto 1082 de 2015 regula las condiciones que deben acreditar los proponentes para acceder al puntaje adicional en los procesos de licitación pública</w:t>
      </w:r>
      <w:r w:rsidRPr="007613A5">
        <w:rPr>
          <w:rFonts w:ascii="Arial" w:hAnsi="Arial" w:eastAsia="Arial" w:cs="Arial"/>
          <w:color w:val="000000"/>
          <w:sz w:val="22"/>
          <w:szCs w:val="22"/>
          <w:lang w:val="es-CO"/>
        </w:rPr>
        <w:t>.</w:t>
      </w:r>
      <w:r>
        <w:rPr>
          <w:rFonts w:ascii="Arial" w:hAnsi="Arial" w:eastAsia="Arial" w:cs="Arial"/>
          <w:color w:val="000000"/>
          <w:sz w:val="22"/>
          <w:szCs w:val="22"/>
        </w:rPr>
        <w:t xml:space="preserve"> Se trata, en efecto, de requisitos cuya acreditación les otorga a los proponentes el derecho a recibir un puntaje adicional en los procesos de licitación pública. </w:t>
      </w:r>
    </w:p>
    <w:p w:rsidRPr="007613A5" w:rsidR="007613A5" w:rsidP="007613A5" w:rsidRDefault="00D56172" w14:paraId="598D6259" w14:textId="6E36D8F6">
      <w:pPr>
        <w:tabs>
          <w:tab w:val="left" w:pos="284"/>
        </w:tabs>
        <w:spacing w:after="0"/>
        <w:rPr>
          <w:rFonts w:ascii="Arial" w:hAnsi="Arial" w:eastAsia="Arial" w:cs="Arial"/>
          <w:bCs/>
          <w:color w:val="000000"/>
          <w:sz w:val="22"/>
          <w:szCs w:val="22"/>
        </w:rPr>
      </w:pPr>
      <w:r>
        <w:rPr>
          <w:rFonts w:ascii="Arial" w:hAnsi="Arial" w:eastAsia="Arial" w:cs="Arial"/>
          <w:color w:val="000000"/>
          <w:sz w:val="22"/>
          <w:szCs w:val="22"/>
        </w:rPr>
        <w:tab/>
      </w:r>
      <w:r>
        <w:rPr>
          <w:rFonts w:ascii="Arial" w:hAnsi="Arial" w:eastAsia="Arial" w:cs="Arial"/>
          <w:color w:val="000000"/>
          <w:sz w:val="22"/>
          <w:szCs w:val="22"/>
        </w:rPr>
        <w:tab/>
      </w:r>
      <w:r w:rsidR="007613A5">
        <w:rPr>
          <w:rFonts w:ascii="Arial" w:hAnsi="Arial" w:eastAsia="Arial" w:cs="Arial"/>
          <w:color w:val="000000"/>
          <w:sz w:val="22"/>
          <w:szCs w:val="22"/>
        </w:rPr>
        <w:t>Para el otorgamiento de dicho puntaje, las entidades públicas</w:t>
      </w:r>
      <w:r w:rsidR="00881AFE">
        <w:rPr>
          <w:rFonts w:ascii="Arial" w:hAnsi="Arial" w:eastAsia="Arial" w:cs="Arial"/>
          <w:color w:val="000000"/>
          <w:sz w:val="22"/>
          <w:szCs w:val="22"/>
        </w:rPr>
        <w:t>,</w:t>
      </w:r>
      <w:r w:rsidR="007613A5">
        <w:rPr>
          <w:rFonts w:ascii="Arial" w:hAnsi="Arial" w:eastAsia="Arial" w:cs="Arial"/>
          <w:color w:val="000000"/>
          <w:sz w:val="22"/>
          <w:szCs w:val="22"/>
        </w:rPr>
        <w:t xml:space="preserve"> durante la evaluación de las ofertas, deberán tener en cuenta que al corresponder a factores </w:t>
      </w:r>
      <w:r w:rsidR="00A7165D">
        <w:rPr>
          <w:rFonts w:ascii="Arial" w:hAnsi="Arial" w:eastAsia="Arial" w:cs="Arial"/>
          <w:color w:val="000000"/>
          <w:sz w:val="22"/>
          <w:szCs w:val="22"/>
        </w:rPr>
        <w:t xml:space="preserve">que inciden en la asignación de puntaje, </w:t>
      </w:r>
      <w:r w:rsidR="007613A5">
        <w:rPr>
          <w:rFonts w:ascii="Arial" w:hAnsi="Arial" w:eastAsia="Arial" w:cs="Arial"/>
          <w:color w:val="000000"/>
          <w:sz w:val="22"/>
          <w:szCs w:val="22"/>
        </w:rPr>
        <w:t>las condiciones exigidas para acceder al puntaje adicional no son subsanables</w:t>
      </w:r>
      <w:r>
        <w:rPr>
          <w:rFonts w:ascii="Arial" w:hAnsi="Arial" w:eastAsia="Arial" w:cs="Arial"/>
          <w:color w:val="000000"/>
          <w:sz w:val="22"/>
          <w:szCs w:val="22"/>
        </w:rPr>
        <w:t xml:space="preserve">, sin perjuicio de tener en consideración </w:t>
      </w:r>
      <w:r w:rsidR="00A7165D">
        <w:rPr>
          <w:rFonts w:ascii="Arial" w:hAnsi="Arial" w:eastAsia="Arial" w:cs="Arial"/>
          <w:color w:val="000000"/>
          <w:sz w:val="22"/>
          <w:szCs w:val="22"/>
        </w:rPr>
        <w:t>la posibilidad de solicitar aclaraciones, en los términos expresados en las consideraciones y como se señalará al responder la siguiente pregunta.</w:t>
      </w:r>
    </w:p>
    <w:p w:rsidR="007613A5" w:rsidP="004E3780" w:rsidRDefault="007613A5" w14:paraId="73C5AD09" w14:textId="53557673">
      <w:pPr>
        <w:tabs>
          <w:tab w:val="left" w:pos="284"/>
        </w:tabs>
        <w:spacing w:after="0"/>
        <w:rPr>
          <w:rFonts w:ascii="Arial" w:hAnsi="Arial" w:eastAsia="Arial" w:cs="Arial"/>
          <w:color w:val="000000"/>
          <w:sz w:val="22"/>
          <w:szCs w:val="22"/>
        </w:rPr>
      </w:pPr>
    </w:p>
    <w:p w:rsidRPr="00511475" w:rsidR="00671825" w:rsidP="001A0928" w:rsidRDefault="008F60BF" w14:paraId="333DAF89" w14:textId="5D3D39ED">
      <w:pPr>
        <w:tabs>
          <w:tab w:val="left" w:pos="284"/>
        </w:tabs>
        <w:spacing w:after="0" w:line="240" w:lineRule="auto"/>
        <w:rPr>
          <w:rFonts w:ascii="Arial" w:hAnsi="Arial" w:eastAsia="Arial" w:cs="Arial"/>
          <w:color w:val="000000"/>
          <w:sz w:val="21"/>
          <w:szCs w:val="21"/>
        </w:rPr>
      </w:pPr>
      <w:r>
        <w:rPr>
          <w:rFonts w:ascii="Arial" w:hAnsi="Arial" w:eastAsia="Arial" w:cs="Arial"/>
          <w:color w:val="000000"/>
          <w:sz w:val="22"/>
          <w:szCs w:val="22"/>
        </w:rPr>
        <w:tab/>
      </w:r>
      <w:r>
        <w:rPr>
          <w:rFonts w:ascii="Arial" w:hAnsi="Arial" w:eastAsia="Arial" w:cs="Arial"/>
          <w:color w:val="000000"/>
          <w:sz w:val="22"/>
          <w:szCs w:val="22"/>
        </w:rPr>
        <w:tab/>
      </w:r>
      <w:r w:rsidRPr="00511475">
        <w:rPr>
          <w:rFonts w:ascii="Arial" w:hAnsi="Arial" w:eastAsia="Arial" w:cs="Arial"/>
          <w:color w:val="000000"/>
          <w:sz w:val="21"/>
          <w:szCs w:val="21"/>
        </w:rPr>
        <w:t>SEGUNDA INQUIETUD</w:t>
      </w:r>
    </w:p>
    <w:p w:rsidRPr="00511475" w:rsidR="008F60BF" w:rsidP="001A0928" w:rsidRDefault="008F60BF" w14:paraId="10E4120A" w14:textId="77777777">
      <w:pPr>
        <w:tabs>
          <w:tab w:val="left" w:pos="284"/>
        </w:tabs>
        <w:spacing w:after="0" w:line="240" w:lineRule="auto"/>
        <w:rPr>
          <w:rFonts w:ascii="Arial" w:hAnsi="Arial" w:eastAsia="Arial" w:cs="Arial"/>
          <w:color w:val="000000"/>
          <w:sz w:val="21"/>
          <w:szCs w:val="21"/>
        </w:rPr>
      </w:pPr>
    </w:p>
    <w:p w:rsidRPr="007613A5" w:rsidR="007613A5" w:rsidP="001A0928" w:rsidRDefault="007613A5" w14:paraId="49B06ADF" w14:textId="77777777">
      <w:pPr>
        <w:spacing w:line="240" w:lineRule="auto"/>
        <w:ind w:left="709"/>
        <w:rPr>
          <w:rFonts w:ascii="Arial" w:hAnsi="Arial" w:eastAsia="Arial" w:cs="Arial"/>
          <w:bCs/>
          <w:color w:val="000000"/>
          <w:lang w:val="es-ES_tradnl"/>
        </w:rPr>
      </w:pPr>
      <w:r w:rsidRPr="007613A5">
        <w:rPr>
          <w:rFonts w:ascii="Arial" w:hAnsi="Arial" w:eastAsia="Arial" w:cs="Arial"/>
          <w:bCs/>
          <w:color w:val="000000"/>
          <w:sz w:val="21"/>
          <w:szCs w:val="21"/>
          <w:lang w:val="es-ES_tradnl"/>
        </w:rPr>
        <w:t>2) ¿Las Entidades estatales durante la evaluación de las ofertas pueden de oficio modificar, arreglar y/o corregir el contenido de los certificados y/o las relaciones de personal suscritas por los proponentes, en cumplimiento del numeral 2º del parágrafo primero del artículo 2.2.1.2.4.2.10 (subrayado), si encuentran información no soportada, no concordante, errónea o falsa durante la verificación de los documentos probatorios (establecidos en el numeral 1º e inciso final del numeral 2º) que hayan sido anexados con las ofertas?».</w:t>
      </w:r>
    </w:p>
    <w:p w:rsidRPr="00B96D87" w:rsidR="007613A5" w:rsidP="001A0928" w:rsidRDefault="007613A5" w14:paraId="7F878A43" w14:textId="1E70A915">
      <w:pPr>
        <w:tabs>
          <w:tab w:val="left" w:pos="284"/>
        </w:tabs>
        <w:spacing w:after="120"/>
        <w:rPr>
          <w:rFonts w:ascii="Arial" w:hAnsi="Arial" w:eastAsia="Times New Roman" w:cs="Arial"/>
          <w:bCs/>
          <w:sz w:val="22"/>
          <w:szCs w:val="22"/>
        </w:rPr>
      </w:pPr>
      <w:r w:rsidRPr="00B96D87">
        <w:rPr>
          <w:rFonts w:ascii="Arial" w:hAnsi="Arial" w:eastAsia="Times New Roman" w:cs="Arial"/>
          <w:bCs/>
          <w:sz w:val="22"/>
          <w:szCs w:val="22"/>
        </w:rPr>
        <w:t>Durante la fase de evaluación de las propuestas, las entidades contratantes, a través de su comité evaluador</w:t>
      </w:r>
      <w:r w:rsidR="009A32F0">
        <w:rPr>
          <w:rFonts w:ascii="Arial" w:hAnsi="Arial" w:eastAsia="Times New Roman" w:cs="Arial"/>
          <w:bCs/>
          <w:sz w:val="22"/>
          <w:szCs w:val="22"/>
        </w:rPr>
        <w:t>,</w:t>
      </w:r>
      <w:r w:rsidRPr="00B96D87">
        <w:rPr>
          <w:rFonts w:ascii="Arial" w:hAnsi="Arial" w:eastAsia="Times New Roman" w:cs="Arial"/>
          <w:bCs/>
          <w:sz w:val="22"/>
          <w:szCs w:val="22"/>
        </w:rPr>
        <w:t xml:space="preserve"> deben tener en cuenta que, conforme el artículo 2.2.1</w:t>
      </w:r>
      <w:r w:rsidRPr="00B96D87" w:rsidR="00B96D87">
        <w:rPr>
          <w:rFonts w:ascii="Arial" w:hAnsi="Arial" w:eastAsia="Times New Roman" w:cs="Arial"/>
          <w:bCs/>
          <w:sz w:val="22"/>
          <w:szCs w:val="22"/>
        </w:rPr>
        <w:t>.</w:t>
      </w:r>
      <w:r w:rsidRPr="00B96D87">
        <w:rPr>
          <w:rFonts w:ascii="Arial" w:hAnsi="Arial" w:eastAsia="Times New Roman" w:cs="Arial"/>
          <w:bCs/>
          <w:sz w:val="22"/>
          <w:szCs w:val="22"/>
        </w:rPr>
        <w:t>2.4.2.10 del Decreto 1082 del 2015, los proponentes deben presentar todos los documentos exigidos en su parágrafo para acceder al puntaje adicional por la vinculación, en su personal operativo,  de mujeres, personas mayores de cuarenta y cinco (45) años, cumplidos máximo a la fecha de presentación de la oferta y de personas con discapacidad.</w:t>
      </w:r>
    </w:p>
    <w:p w:rsidR="007613A5" w:rsidP="001A0928" w:rsidRDefault="00881AFE" w14:paraId="3DC65226" w14:textId="369AFA5F">
      <w:pPr>
        <w:tabs>
          <w:tab w:val="left" w:pos="284"/>
        </w:tabs>
        <w:spacing w:after="120"/>
        <w:rPr>
          <w:rFonts w:ascii="Arial" w:hAnsi="Arial" w:eastAsia="Times New Roman" w:cs="Arial"/>
          <w:bCs/>
          <w:sz w:val="22"/>
          <w:szCs w:val="22"/>
        </w:rPr>
      </w:pPr>
      <w:r>
        <w:rPr>
          <w:rFonts w:ascii="Arial" w:hAnsi="Arial" w:eastAsia="Times New Roman" w:cs="Arial"/>
          <w:bCs/>
          <w:sz w:val="22"/>
          <w:szCs w:val="22"/>
        </w:rPr>
        <w:tab/>
      </w:r>
      <w:r>
        <w:rPr>
          <w:rFonts w:ascii="Arial" w:hAnsi="Arial" w:eastAsia="Times New Roman" w:cs="Arial"/>
          <w:bCs/>
          <w:sz w:val="22"/>
          <w:szCs w:val="22"/>
        </w:rPr>
        <w:tab/>
      </w:r>
      <w:r w:rsidRPr="00B96D87" w:rsidR="007613A5">
        <w:rPr>
          <w:rFonts w:ascii="Arial" w:hAnsi="Arial" w:eastAsia="Times New Roman" w:cs="Arial"/>
          <w:bCs/>
          <w:sz w:val="22"/>
          <w:szCs w:val="22"/>
        </w:rPr>
        <w:t xml:space="preserve">Como quiera que, tal como se expresó en la respuesta a la primera inquietud, </w:t>
      </w:r>
      <w:r w:rsidRPr="00B96D87" w:rsidR="00B96D87">
        <w:rPr>
          <w:rFonts w:ascii="Arial" w:hAnsi="Arial" w:eastAsia="Times New Roman" w:cs="Arial"/>
          <w:bCs/>
          <w:sz w:val="22"/>
          <w:szCs w:val="22"/>
        </w:rPr>
        <w:t xml:space="preserve">los requisitos </w:t>
      </w:r>
      <w:r w:rsidR="006C457D">
        <w:rPr>
          <w:rFonts w:ascii="Arial" w:hAnsi="Arial" w:eastAsia="Times New Roman" w:cs="Arial"/>
          <w:bCs/>
          <w:sz w:val="22"/>
          <w:szCs w:val="22"/>
        </w:rPr>
        <w:t>exigidos</w:t>
      </w:r>
      <w:r w:rsidRPr="00B96D87" w:rsidR="006C457D">
        <w:rPr>
          <w:rFonts w:ascii="Arial" w:hAnsi="Arial" w:eastAsia="Times New Roman" w:cs="Arial"/>
          <w:bCs/>
          <w:sz w:val="22"/>
          <w:szCs w:val="22"/>
        </w:rPr>
        <w:t xml:space="preserve"> </w:t>
      </w:r>
      <w:r w:rsidRPr="00B96D87" w:rsidR="00B96D87">
        <w:rPr>
          <w:rFonts w:ascii="Arial" w:hAnsi="Arial" w:eastAsia="Times New Roman" w:cs="Arial"/>
          <w:bCs/>
          <w:sz w:val="22"/>
          <w:szCs w:val="22"/>
        </w:rPr>
        <w:t xml:space="preserve">en la norma, aluden a </w:t>
      </w:r>
      <w:r w:rsidR="006C457D">
        <w:rPr>
          <w:rFonts w:ascii="Arial" w:hAnsi="Arial" w:eastAsia="Times New Roman" w:cs="Arial"/>
          <w:bCs/>
          <w:sz w:val="22"/>
          <w:szCs w:val="22"/>
        </w:rPr>
        <w:t>requisitos que inciden en la asignación de puntaje</w:t>
      </w:r>
      <w:r w:rsidRPr="00B96D87" w:rsidR="00B96D87">
        <w:rPr>
          <w:rFonts w:ascii="Arial" w:hAnsi="Arial" w:eastAsia="Times New Roman" w:cs="Arial"/>
          <w:bCs/>
          <w:sz w:val="22"/>
          <w:szCs w:val="22"/>
        </w:rPr>
        <w:t>, su cumplimiento no puede ser objeto de subsanación, en los términos del artículo 5 de la Ley 1150 de 2007</w:t>
      </w:r>
      <w:r w:rsidR="00590B5E">
        <w:rPr>
          <w:rFonts w:ascii="Arial" w:hAnsi="Arial" w:eastAsia="Times New Roman" w:cs="Arial"/>
          <w:bCs/>
          <w:sz w:val="22"/>
          <w:szCs w:val="22"/>
        </w:rPr>
        <w:t>.</w:t>
      </w:r>
      <w:r w:rsidRPr="00B96D87" w:rsidR="00B96D87">
        <w:rPr>
          <w:rFonts w:ascii="Arial" w:hAnsi="Arial" w:eastAsia="Times New Roman" w:cs="Arial"/>
          <w:bCs/>
          <w:sz w:val="22"/>
          <w:szCs w:val="22"/>
        </w:rPr>
        <w:t xml:space="preserve"> </w:t>
      </w:r>
      <w:r w:rsidR="00590B5E">
        <w:rPr>
          <w:rFonts w:ascii="Arial" w:hAnsi="Arial" w:eastAsia="Times New Roman" w:cs="Arial"/>
          <w:bCs/>
          <w:sz w:val="22"/>
          <w:szCs w:val="22"/>
        </w:rPr>
        <w:t>N</w:t>
      </w:r>
      <w:r w:rsidRPr="00B96D87" w:rsidR="00B96D87">
        <w:rPr>
          <w:rFonts w:ascii="Arial" w:hAnsi="Arial" w:eastAsia="Times New Roman" w:cs="Arial"/>
          <w:bCs/>
          <w:sz w:val="22"/>
          <w:szCs w:val="22"/>
        </w:rPr>
        <w:t xml:space="preserve">o obstante, si en un proceso de selección específico uno o varios proponentes presentan todos los documentos exigidos en el artículo 2.2.1.2.4.2.10. y alguno de éstos </w:t>
      </w:r>
      <w:r w:rsidR="00B96D87">
        <w:rPr>
          <w:rFonts w:ascii="Arial" w:hAnsi="Arial" w:eastAsia="Times New Roman" w:cs="Arial"/>
          <w:bCs/>
          <w:sz w:val="22"/>
          <w:szCs w:val="22"/>
        </w:rPr>
        <w:t>contiene información que es confusa o requiere esclarecerse</w:t>
      </w:r>
      <w:r w:rsidR="00590B5E">
        <w:rPr>
          <w:rFonts w:ascii="Arial" w:hAnsi="Arial" w:eastAsia="Times New Roman" w:cs="Arial"/>
          <w:bCs/>
          <w:sz w:val="22"/>
          <w:szCs w:val="22"/>
        </w:rPr>
        <w:t xml:space="preserve"> su alcance</w:t>
      </w:r>
      <w:r w:rsidR="00B96D87">
        <w:rPr>
          <w:rFonts w:ascii="Arial" w:hAnsi="Arial" w:eastAsia="Times New Roman" w:cs="Arial"/>
          <w:bCs/>
          <w:sz w:val="22"/>
          <w:szCs w:val="22"/>
        </w:rPr>
        <w:t xml:space="preserve">, </w:t>
      </w:r>
      <w:r w:rsidR="00B96D87">
        <w:rPr>
          <w:rFonts w:ascii="Arial" w:hAnsi="Arial" w:eastAsia="Times New Roman" w:cs="Arial"/>
          <w:bCs/>
          <w:sz w:val="22"/>
          <w:szCs w:val="22"/>
        </w:rPr>
        <w:lastRenderedPageBreak/>
        <w:t xml:space="preserve">las entidades pueden acudir </w:t>
      </w:r>
      <w:r w:rsidR="00590B5E">
        <w:rPr>
          <w:rFonts w:ascii="Arial" w:hAnsi="Arial" w:eastAsia="Times New Roman" w:cs="Arial"/>
          <w:bCs/>
          <w:sz w:val="22"/>
          <w:szCs w:val="22"/>
        </w:rPr>
        <w:t xml:space="preserve">a </w:t>
      </w:r>
      <w:r w:rsidR="00B96D87">
        <w:rPr>
          <w:rFonts w:ascii="Arial" w:hAnsi="Arial" w:eastAsia="Times New Roman" w:cs="Arial"/>
          <w:bCs/>
          <w:sz w:val="22"/>
          <w:szCs w:val="22"/>
        </w:rPr>
        <w:t xml:space="preserve">la facultad prevista en el artículo 30.7 de la Ley 80 de 1993 para solicitar la aclaración de la respectiva oferta. </w:t>
      </w:r>
    </w:p>
    <w:p w:rsidR="00B96D87" w:rsidP="001A0928" w:rsidRDefault="00B96D87" w14:paraId="5FE2C3C5" w14:textId="6A3BBA1D">
      <w:pPr>
        <w:tabs>
          <w:tab w:val="left" w:pos="284"/>
        </w:tabs>
        <w:spacing w:after="120"/>
        <w:ind w:firstLine="709"/>
        <w:rPr>
          <w:rFonts w:ascii="Arial" w:hAnsi="Arial" w:eastAsia="Arial" w:cs="Arial"/>
          <w:bCs/>
          <w:color w:val="000000"/>
          <w:sz w:val="22"/>
          <w:szCs w:val="22"/>
          <w:lang w:val="es-CO"/>
        </w:rPr>
      </w:pPr>
      <w:r>
        <w:rPr>
          <w:rFonts w:ascii="Arial" w:hAnsi="Arial" w:eastAsia="Times New Roman" w:cs="Arial"/>
          <w:bCs/>
          <w:sz w:val="22"/>
          <w:szCs w:val="22"/>
        </w:rPr>
        <w:t>En ejercicio de dicha facultad,</w:t>
      </w:r>
      <w:r w:rsidR="009A32F0">
        <w:rPr>
          <w:rFonts w:ascii="Arial" w:hAnsi="Arial" w:eastAsia="Times New Roman" w:cs="Arial"/>
          <w:bCs/>
          <w:sz w:val="22"/>
          <w:szCs w:val="22"/>
        </w:rPr>
        <w:t xml:space="preserve"> les corresponde comprender que ésta </w:t>
      </w:r>
      <w:r>
        <w:rPr>
          <w:rFonts w:ascii="Arial" w:hAnsi="Arial" w:eastAsia="Times New Roman" w:cs="Arial"/>
          <w:bCs/>
          <w:sz w:val="22"/>
          <w:szCs w:val="22"/>
        </w:rPr>
        <w:t xml:space="preserve">se distingue de la </w:t>
      </w:r>
      <w:r w:rsidRPr="00B96D87">
        <w:rPr>
          <w:rFonts w:ascii="Arial" w:hAnsi="Arial" w:eastAsia="Arial" w:cs="Arial"/>
          <w:bCs/>
          <w:color w:val="000000"/>
          <w:sz w:val="22"/>
          <w:szCs w:val="22"/>
          <w:lang w:val="es-CO"/>
        </w:rPr>
        <w:t xml:space="preserve">subsanabilidad, pues no parte del supuesto de la ausencia de requisitos de la oferta sino de la existencia de inconsistencias </w:t>
      </w:r>
      <w:r w:rsidR="00590B5E">
        <w:rPr>
          <w:rFonts w:ascii="Arial" w:hAnsi="Arial" w:eastAsia="Arial" w:cs="Arial"/>
          <w:bCs/>
          <w:color w:val="000000"/>
          <w:sz w:val="22"/>
          <w:szCs w:val="22"/>
          <w:lang w:val="es-CO"/>
        </w:rPr>
        <w:t xml:space="preserve">o falta de claridad </w:t>
      </w:r>
      <w:r w:rsidRPr="00B96D87">
        <w:rPr>
          <w:rFonts w:ascii="Arial" w:hAnsi="Arial" w:eastAsia="Arial" w:cs="Arial"/>
          <w:bCs/>
          <w:color w:val="000000"/>
          <w:sz w:val="22"/>
          <w:szCs w:val="22"/>
          <w:lang w:val="es-CO"/>
        </w:rPr>
        <w:t>en la misma, cuya explicación se requiere para</w:t>
      </w:r>
      <w:r>
        <w:rPr>
          <w:rFonts w:ascii="Arial" w:hAnsi="Arial" w:eastAsia="Arial" w:cs="Arial"/>
          <w:bCs/>
          <w:color w:val="000000"/>
          <w:sz w:val="22"/>
          <w:szCs w:val="22"/>
          <w:lang w:val="es-CO"/>
        </w:rPr>
        <w:t xml:space="preserve"> evaluarla, lo que permite que la aclaración proceda incluso respecto de los requisitos que </w:t>
      </w:r>
      <w:r w:rsidRPr="00B96D87">
        <w:rPr>
          <w:rFonts w:ascii="Arial" w:hAnsi="Arial" w:eastAsia="Arial" w:cs="Arial"/>
          <w:bCs/>
          <w:color w:val="000000"/>
          <w:sz w:val="22"/>
          <w:szCs w:val="22"/>
          <w:lang w:val="es-CO"/>
        </w:rPr>
        <w:t xml:space="preserve">asignan puntaje, como lo ha explicado la jurisprudencia </w:t>
      </w:r>
      <w:r>
        <w:rPr>
          <w:rFonts w:ascii="Arial" w:hAnsi="Arial" w:eastAsia="Arial" w:cs="Arial"/>
          <w:bCs/>
          <w:color w:val="000000"/>
          <w:sz w:val="22"/>
          <w:szCs w:val="22"/>
          <w:lang w:val="es-CO"/>
        </w:rPr>
        <w:t xml:space="preserve">del Consejo de Estado. </w:t>
      </w:r>
    </w:p>
    <w:p w:rsidR="00B96D87" w:rsidP="00881AFE" w:rsidRDefault="00B96D87" w14:paraId="1725FD5A" w14:textId="3AAF239D">
      <w:pPr>
        <w:spacing w:after="120"/>
        <w:ind w:firstLine="709"/>
        <w:rPr>
          <w:rFonts w:ascii="Arial" w:hAnsi="Arial" w:cs="Arial"/>
          <w:color w:val="000000"/>
          <w:sz w:val="22"/>
          <w:szCs w:val="22"/>
          <w:lang w:eastAsia="en-US"/>
        </w:rPr>
      </w:pPr>
      <w:r w:rsidRPr="00391B91">
        <w:rPr>
          <w:rFonts w:ascii="Arial" w:hAnsi="Arial" w:eastAsia="Arial" w:cs="Arial"/>
          <w:bCs/>
          <w:color w:val="000000"/>
          <w:sz w:val="22"/>
          <w:szCs w:val="22"/>
          <w:lang w:val="es-CO"/>
        </w:rPr>
        <w:t>Ahora bien, la facultad</w:t>
      </w:r>
      <w:r w:rsidRPr="00391B91" w:rsidR="009A32F0">
        <w:rPr>
          <w:rFonts w:ascii="Arial" w:hAnsi="Arial" w:eastAsia="Arial" w:cs="Arial"/>
          <w:bCs/>
          <w:color w:val="000000"/>
          <w:sz w:val="22"/>
          <w:szCs w:val="22"/>
          <w:lang w:val="es-CO"/>
        </w:rPr>
        <w:t xml:space="preserve"> de solicitar aclaraciones </w:t>
      </w:r>
      <w:r w:rsidR="00590B5E">
        <w:rPr>
          <w:rFonts w:ascii="Arial" w:hAnsi="Arial" w:eastAsia="Arial" w:cs="Arial"/>
          <w:bCs/>
          <w:color w:val="000000"/>
          <w:sz w:val="22"/>
          <w:szCs w:val="22"/>
          <w:lang w:val="es-CO"/>
        </w:rPr>
        <w:t xml:space="preserve">o explicaciones </w:t>
      </w:r>
      <w:r w:rsidRPr="00391B91" w:rsidR="009A32F0">
        <w:rPr>
          <w:rFonts w:ascii="Arial" w:hAnsi="Arial" w:eastAsia="Arial" w:cs="Arial"/>
          <w:bCs/>
          <w:color w:val="000000"/>
          <w:sz w:val="22"/>
          <w:szCs w:val="22"/>
          <w:lang w:val="es-CO"/>
        </w:rPr>
        <w:t>dirigidas a lograr la correcta evaluación de las ofertas</w:t>
      </w:r>
      <w:r w:rsidRPr="00391B91">
        <w:rPr>
          <w:rFonts w:ascii="Arial" w:hAnsi="Arial" w:eastAsia="Arial" w:cs="Arial"/>
          <w:bCs/>
          <w:color w:val="000000"/>
          <w:sz w:val="22"/>
          <w:szCs w:val="22"/>
          <w:lang w:val="es-CO"/>
        </w:rPr>
        <w:t xml:space="preserve">, no supone la potestad oficiosa de </w:t>
      </w:r>
      <w:r w:rsidRPr="00391B91">
        <w:rPr>
          <w:rFonts w:ascii="Arial" w:hAnsi="Arial" w:eastAsia="Arial" w:cs="Arial"/>
          <w:bCs/>
          <w:color w:val="000000"/>
          <w:sz w:val="22"/>
          <w:szCs w:val="22"/>
          <w:lang w:val="es-ES_tradnl"/>
        </w:rPr>
        <w:t>modificar, arreglar y/o corregir el contenido de los certificados y/o las relaciones de persona</w:t>
      </w:r>
      <w:r w:rsidR="00391B91">
        <w:rPr>
          <w:rFonts w:ascii="Arial" w:hAnsi="Arial" w:eastAsia="Arial" w:cs="Arial"/>
          <w:bCs/>
          <w:color w:val="000000"/>
          <w:sz w:val="22"/>
          <w:szCs w:val="22"/>
          <w:lang w:val="es-ES_tradnl"/>
        </w:rPr>
        <w:t xml:space="preserve">l suscritas por los proponentes. Dicha potestad parte de la premisa general que gobierna la gestión contractual de las entidades públicas, que supone la estructuración de </w:t>
      </w:r>
      <w:r w:rsidRPr="00391B91" w:rsidR="00391B91">
        <w:rPr>
          <w:rFonts w:ascii="Arial" w:hAnsi="Arial" w:cs="Arial"/>
          <w:color w:val="000000"/>
          <w:sz w:val="22"/>
          <w:szCs w:val="22"/>
          <w:lang w:eastAsia="en-US"/>
        </w:rPr>
        <w:t>un procedimiento de contrat</w:t>
      </w:r>
      <w:r w:rsidR="00391B91">
        <w:rPr>
          <w:rFonts w:ascii="Arial" w:hAnsi="Arial" w:cs="Arial"/>
          <w:color w:val="000000"/>
          <w:sz w:val="22"/>
          <w:szCs w:val="22"/>
          <w:lang w:eastAsia="en-US"/>
        </w:rPr>
        <w:t xml:space="preserve">ación </w:t>
      </w:r>
      <w:r w:rsidR="00590B5E">
        <w:rPr>
          <w:rFonts w:ascii="Arial" w:hAnsi="Arial" w:cs="Arial"/>
          <w:color w:val="000000"/>
          <w:sz w:val="22"/>
          <w:szCs w:val="22"/>
          <w:lang w:eastAsia="en-US"/>
        </w:rPr>
        <w:t>que en su evaluación es reglado</w:t>
      </w:r>
      <w:r w:rsidR="00391B91">
        <w:rPr>
          <w:rFonts w:ascii="Arial" w:hAnsi="Arial" w:cs="Arial"/>
          <w:color w:val="000000"/>
          <w:sz w:val="22"/>
          <w:szCs w:val="22"/>
          <w:lang w:eastAsia="en-US"/>
        </w:rPr>
        <w:t xml:space="preserve">, por lo cual, la ejecución de cada una de sus etapas, entre éstas la de evaluación de las ofertas, </w:t>
      </w:r>
      <w:r w:rsidRPr="00391B91" w:rsidR="00391B91">
        <w:rPr>
          <w:rFonts w:ascii="Arial" w:hAnsi="Arial" w:cs="Arial"/>
          <w:color w:val="000000"/>
          <w:sz w:val="22"/>
          <w:szCs w:val="22"/>
          <w:lang w:eastAsia="en-US"/>
        </w:rPr>
        <w:t>debe consultar las normas que lo rigen</w:t>
      </w:r>
      <w:r w:rsidR="00034198">
        <w:rPr>
          <w:rFonts w:ascii="Arial" w:hAnsi="Arial" w:cs="Arial"/>
          <w:color w:val="000000"/>
          <w:sz w:val="22"/>
          <w:szCs w:val="22"/>
          <w:lang w:eastAsia="en-US"/>
        </w:rPr>
        <w:t>.  Para su ejercicio, entonces, deberá estarse al tenor del numeral 7 del artículo 30 de la Ley 80 de 1993 que limita la intervención de la entidad a la solicitud de aclaraciones al respectivo proponente</w:t>
      </w:r>
      <w:r w:rsidR="00590B5E">
        <w:rPr>
          <w:rFonts w:ascii="Arial" w:hAnsi="Arial" w:cs="Arial"/>
          <w:color w:val="000000"/>
          <w:sz w:val="22"/>
          <w:szCs w:val="22"/>
          <w:lang w:eastAsia="en-US"/>
        </w:rPr>
        <w:t>, teniendo en cuenta los pronunciamientos jurisprudenciales referidos en las consideraciones.</w:t>
      </w:r>
    </w:p>
    <w:p w:rsidR="00590B5E" w:rsidP="001A0928" w:rsidRDefault="00590B5E" w14:paraId="42C85357" w14:textId="0B58044E">
      <w:pPr>
        <w:spacing w:after="120"/>
        <w:ind w:firstLine="709"/>
        <w:rPr>
          <w:rFonts w:ascii="Arial" w:hAnsi="Arial" w:eastAsia="Arial" w:cs="Arial"/>
          <w:bCs/>
          <w:color w:val="000000"/>
          <w:sz w:val="22"/>
          <w:szCs w:val="22"/>
          <w:lang w:val="es-ES_tradnl"/>
        </w:rPr>
      </w:pPr>
      <w:r>
        <w:rPr>
          <w:rFonts w:ascii="Arial" w:hAnsi="Arial" w:cs="Arial"/>
          <w:color w:val="000000"/>
          <w:sz w:val="22"/>
          <w:szCs w:val="22"/>
          <w:lang w:eastAsia="en-US"/>
        </w:rPr>
        <w:t xml:space="preserve">Sin perjuicio de lo anterior, atendiendo al alcance de la función consultiva de esta Agencia, corresponderá a cada entidad que adelanta un proceso contractual realizar la evaluación respectiva de las ofertas, </w:t>
      </w:r>
      <w:r w:rsidR="0040500C">
        <w:rPr>
          <w:rFonts w:ascii="Arial" w:hAnsi="Arial" w:cs="Arial"/>
          <w:color w:val="000000"/>
          <w:sz w:val="22"/>
          <w:szCs w:val="22"/>
          <w:lang w:eastAsia="en-US"/>
        </w:rPr>
        <w:t>tomando</w:t>
      </w:r>
      <w:r>
        <w:rPr>
          <w:rFonts w:ascii="Arial" w:hAnsi="Arial" w:cs="Arial"/>
          <w:color w:val="000000"/>
          <w:sz w:val="22"/>
          <w:szCs w:val="22"/>
          <w:lang w:eastAsia="en-US"/>
        </w:rPr>
        <w:t xml:space="preserve"> las determinaciones que considere procedentes en cada proceso, atendiendo a las circunstancias de cada caso en particular.</w:t>
      </w:r>
    </w:p>
    <w:p w:rsidR="00511475" w:rsidP="00896D01" w:rsidRDefault="00511475" w14:paraId="7CD744E4" w14:textId="77777777">
      <w:pPr>
        <w:tabs>
          <w:tab w:val="left" w:pos="284"/>
        </w:tabs>
        <w:spacing w:after="0"/>
        <w:rPr>
          <w:rFonts w:ascii="Arial" w:hAnsi="Arial" w:eastAsia="Arial" w:cs="Arial"/>
          <w:color w:val="000000"/>
          <w:sz w:val="22"/>
          <w:szCs w:val="22"/>
        </w:rPr>
      </w:pPr>
    </w:p>
    <w:p w:rsidRPr="006A06F2" w:rsidR="00871181" w:rsidRDefault="003E3EF7" w14:paraId="38D709B1" w14:textId="77777777">
      <w:pPr>
        <w:spacing w:after="120"/>
        <w:rPr>
          <w:rFonts w:ascii="Arial" w:hAnsi="Arial" w:eastAsia="Arial" w:cs="Arial"/>
          <w:color w:val="000000"/>
          <w:sz w:val="22"/>
          <w:szCs w:val="22"/>
        </w:rPr>
      </w:pPr>
      <w:bookmarkStart w:name="_2grqrue" w:colFirst="0" w:colLast="0" w:id="5"/>
      <w:bookmarkEnd w:id="5"/>
      <w:r w:rsidRPr="006A06F2">
        <w:rPr>
          <w:rFonts w:ascii="Arial" w:hAnsi="Arial" w:eastAsia="Arial" w:cs="Arial"/>
          <w:color w:val="000000"/>
          <w:sz w:val="22"/>
          <w:szCs w:val="22"/>
        </w:rPr>
        <w:t>Este concepto tiene el alcance previsto en el artículo 28 del Código de Procedimiento Administrativo y de lo Contencioso Administrativo.</w:t>
      </w:r>
    </w:p>
    <w:p w:rsidRPr="006A06F2" w:rsidR="00871181" w:rsidRDefault="003E3EF7" w14:paraId="2C9BA73D" w14:textId="77777777">
      <w:pPr>
        <w:spacing w:after="120"/>
        <w:rPr>
          <w:rFonts w:ascii="Arial" w:hAnsi="Arial" w:eastAsia="Arial" w:cs="Arial"/>
          <w:color w:val="000000"/>
          <w:sz w:val="22"/>
          <w:szCs w:val="22"/>
        </w:rPr>
      </w:pPr>
      <w:r w:rsidRPr="006A06F2">
        <w:rPr>
          <w:noProof/>
          <w:lang w:val="es-CO" w:eastAsia="es-CO"/>
        </w:rPr>
        <mc:AlternateContent>
          <mc:Choice Requires="wps">
            <w:drawing>
              <wp:anchor distT="4294967260" distB="4294967260" distL="114300" distR="114300" simplePos="0" relativeHeight="251658240" behindDoc="0" locked="0" layoutInCell="1" hidden="0" allowOverlap="1" wp14:anchorId="4D23C5F8" wp14:editId="706E9BD3">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w:pict w14:anchorId="300AB537">
              <v:line id="Conector recto 1" style="position:absolute;z-index:251658240;visibility:visible;mso-wrap-style:square;mso-wrap-distance-left:9pt;mso-wrap-distance-top:-.001mm;mso-wrap-distance-right:9pt;mso-wrap-distance-bottom:-.001mm;mso-position-horizontal:absolute;mso-position-horizontal-relative:text;mso-position-vertical:absolute;mso-position-vertical-relative:text" o:spid="_x0000_s1026" strokecolor="#dbdbdb" from="34.2pt,.8pt" to="403.2pt,.8pt" w14:anchorId="4041AE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HyywQEAAHUDAAAOAAAAZHJzL2Uyb0RvYy54bWysU9uO0zAQfUfiHyy/07SFrZao6Uq0Wl5W&#10;UGnhA6aOk1j4phnTpH/P2L2wC28IRXLGnuMzM2fG64fJWXHUSCb4Ri5mcym0V6E1vm/k92+P7+6l&#10;oAS+BRu8buRJk3zYvH2zHmOtl2EIttUomMRTPcZGDinFuqpIDdoBzULUnp1dQAeJt9hXLcLI7M5W&#10;y/l8VY0B24hBaSI+3Z2dclP4u06r9LXrSCdhG8m5pbJiWQ95rTZrqHuEOBh1SQP+IQsHxnPQG9UO&#10;EoifaP6ickZhoNClmQquCl1nlC41cDWL+R/VPA8QdamFxaF4k4n+H636ctyjMC33TgoPjlu05Uap&#10;FFBg/olF1miMVDN06/eYq1STf45PQf0g9lWvnHlD8QybOnQZzmWKqWh+ummupyQUH35Y3a/ez7k1&#10;6uqroL5ejEjpsw5OZKOR1vgsB9RwfKKUQ0N9heRjHx6NtaWl1ouxkR/vlnfMDDxYnYXEpotcKvle&#10;CrA9T6xKWBgpWNPm25mHsD9sLYoj8NTsPuUvi8DRXsFy6B3QcMYV1wVmfabRZf4umf7WJVuH0J72&#10;eBWPe1vYL3OYh+flnu2Xr2XzCwAA//8DAFBLAwQUAAYACAAAACEA3oy5G9cAAAAGAQAADwAAAGRy&#10;cy9kb3ducmV2LnhtbEyOQU+EMBCF7yb+h2ZMvLmtZiWIlA0x7tmIG+Ox0BFQOkVaWPz3jl7c4zfv&#10;5c2X71Y3iAWn0HvScL1RIJAab3tqNRxe9lcpiBANWTN4Qg3fGGBXnJ/lJrP+SM+4VLEVPEIhMxq6&#10;GMdMytB06EzY+BGJs3c/ORMZp1bayRx53A3yRqlEOtMTf+jMiA8dNp/V7DTMh7d9/VGFuycqt8vY&#10;l4+3X69K68uLtbwHEXGN/2X41Wd1KNip9jPZIAYNSbrlJt8TEBynKmGu/1gWuTzVL34AAAD//wMA&#10;UEsBAi0AFAAGAAgAAAAhALaDOJL+AAAA4QEAABMAAAAAAAAAAAAAAAAAAAAAAFtDb250ZW50X1R5&#10;cGVzXS54bWxQSwECLQAUAAYACAAAACEAOP0h/9YAAACUAQAACwAAAAAAAAAAAAAAAAAvAQAAX3Jl&#10;bHMvLnJlbHNQSwECLQAUAAYACAAAACEAKZx8ssEBAAB1AwAADgAAAAAAAAAAAAAAAAAuAgAAZHJz&#10;L2Uyb0RvYy54bWxQSwECLQAUAAYACAAAACEA3oy5G9cAAAAGAQAADwAAAAAAAAAAAAAAAAAbBAAA&#10;ZHJzL2Rvd25yZXYueG1sUEsFBgAAAAAEAAQA8wAAAB8FAAAAAA==&#10;">
                <o:lock v:ext="edit" shapetype="f"/>
              </v:line>
            </w:pict>
          </mc:Fallback>
        </mc:AlternateContent>
      </w:r>
    </w:p>
    <w:p w:rsidR="003E3EF7" w:rsidP="270B8FE1" w:rsidRDefault="003E3EF7" w14:paraId="2AB361B4" w14:textId="54BD10A4">
      <w:pPr>
        <w:rPr>
          <w:rFonts w:ascii="Arial" w:hAnsi="Arial" w:eastAsia="Arial" w:cs="Arial"/>
          <w:color w:val="000000" w:themeColor="text1" w:themeTint="FF" w:themeShade="FF"/>
          <w:sz w:val="22"/>
          <w:szCs w:val="22"/>
        </w:rPr>
      </w:pPr>
      <w:r w:rsidRPr="270B8FE1" w:rsidR="003E3EF7">
        <w:rPr>
          <w:rFonts w:ascii="Arial" w:hAnsi="Arial" w:eastAsia="Arial" w:cs="Arial"/>
          <w:color w:val="000000" w:themeColor="text1" w:themeTint="FF" w:themeShade="FF"/>
          <w:sz w:val="22"/>
          <w:szCs w:val="22"/>
        </w:rPr>
        <w:t>Atentamente,</w:t>
      </w:r>
    </w:p>
    <w:p w:rsidR="270B8FE1" w:rsidP="270B8FE1" w:rsidRDefault="270B8FE1" w14:paraId="6525CB6C" w14:textId="1E7E835B">
      <w:pPr>
        <w:pStyle w:val="Normal"/>
        <w:jc w:val="center"/>
      </w:pPr>
      <w:r w:rsidR="270B8FE1">
        <w:drawing>
          <wp:inline wp14:editId="25547B95" wp14:anchorId="195ACBE2">
            <wp:extent cx="2533650" cy="990600"/>
            <wp:effectExtent l="0" t="0" r="0" b="0"/>
            <wp:docPr id="944607815" name="" descr="Texto, Carta&#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42434f11a2484a64">
                      <a:extLst>
                        <a:ext xmlns:a="http://schemas.openxmlformats.org/drawingml/2006/main" uri="{28A0092B-C50C-407E-A947-70E740481C1C}">
                          <a14:useLocalDpi val="0"/>
                        </a:ext>
                      </a:extLst>
                    </a:blip>
                    <a:stretch>
                      <a:fillRect/>
                    </a:stretch>
                  </pic:blipFill>
                  <pic:spPr>
                    <a:xfrm>
                      <a:off x="0" y="0"/>
                      <a:ext cx="2533650" cy="990600"/>
                    </a:xfrm>
                    <a:prstGeom prst="rect">
                      <a:avLst/>
                    </a:prstGeom>
                  </pic:spPr>
                </pic:pic>
              </a:graphicData>
            </a:graphic>
          </wp:inline>
        </w:drawing>
      </w:r>
    </w:p>
    <w:tbl>
      <w:tblPr>
        <w:tblStyle w:val="1"/>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Pr="006A06F2" w:rsidR="00871181" w14:paraId="6F2F4D07" w14:textId="77777777">
        <w:trPr>
          <w:trHeight w:val="315"/>
        </w:trPr>
        <w:tc>
          <w:tcPr>
            <w:tcW w:w="812" w:type="dxa"/>
            <w:vAlign w:val="center"/>
          </w:tcPr>
          <w:p w:rsidRPr="006A06F2" w:rsidR="00871181" w:rsidP="006A06F2" w:rsidRDefault="003E3EF7" w14:paraId="77405AFA" w14:textId="77777777">
            <w:pPr>
              <w:spacing w:before="0"/>
            </w:pPr>
            <w:r w:rsidRPr="006A06F2">
              <w:rPr>
                <w:rFonts w:ascii="Arial" w:hAnsi="Arial" w:eastAsia="Arial" w:cs="Arial"/>
                <w:color w:val="000000"/>
                <w:sz w:val="16"/>
                <w:szCs w:val="16"/>
              </w:rPr>
              <w:t>Elaboró:</w:t>
            </w:r>
          </w:p>
        </w:tc>
        <w:tc>
          <w:tcPr>
            <w:tcW w:w="4413" w:type="dxa"/>
            <w:tcBorders>
              <w:top w:val="nil"/>
              <w:left w:val="nil"/>
              <w:bottom w:val="dotted" w:color="7F7F7F" w:sz="4" w:space="0"/>
              <w:right w:val="nil"/>
            </w:tcBorders>
            <w:vAlign w:val="center"/>
          </w:tcPr>
          <w:p w:rsidRPr="006A06F2" w:rsidR="00871181" w:rsidP="006A06F2" w:rsidRDefault="003E3EF7" w14:paraId="7AEF2B6B" w14:textId="77777777">
            <w:pPr>
              <w:spacing w:before="0"/>
            </w:pPr>
            <w:r w:rsidRPr="006A06F2">
              <w:rPr>
                <w:rFonts w:ascii="Arial" w:hAnsi="Arial" w:eastAsia="Arial" w:cs="Arial"/>
                <w:color w:val="000000"/>
                <w:sz w:val="16"/>
                <w:szCs w:val="16"/>
              </w:rPr>
              <w:t>Álvaro Namén Vargas</w:t>
            </w:r>
          </w:p>
          <w:p w:rsidRPr="006A06F2" w:rsidR="00871181" w:rsidP="006A06F2" w:rsidRDefault="003E3EF7" w14:paraId="446198CA" w14:textId="77777777">
            <w:pPr>
              <w:spacing w:before="0"/>
            </w:pPr>
            <w:r w:rsidRPr="006A06F2">
              <w:rPr>
                <w:rFonts w:ascii="Arial" w:hAnsi="Arial" w:eastAsia="Arial" w:cs="Arial"/>
                <w:color w:val="000000"/>
                <w:sz w:val="16"/>
                <w:szCs w:val="16"/>
              </w:rPr>
              <w:t>Contratista de la Subdirección de Gestión Contractual</w:t>
            </w:r>
          </w:p>
        </w:tc>
      </w:tr>
      <w:tr w:rsidRPr="006A06F2" w:rsidR="00871181" w14:paraId="24CCDCD5" w14:textId="77777777">
        <w:trPr>
          <w:trHeight w:val="330"/>
        </w:trPr>
        <w:tc>
          <w:tcPr>
            <w:tcW w:w="812" w:type="dxa"/>
            <w:vAlign w:val="center"/>
          </w:tcPr>
          <w:p w:rsidRPr="006A06F2" w:rsidR="00871181" w:rsidP="006A06F2" w:rsidRDefault="003E3EF7" w14:paraId="04AB08F9" w14:textId="77777777">
            <w:pPr>
              <w:spacing w:before="0"/>
            </w:pPr>
            <w:r w:rsidRPr="006A06F2">
              <w:rPr>
                <w:rFonts w:ascii="Arial" w:hAnsi="Arial" w:eastAsia="Arial" w:cs="Arial"/>
                <w:color w:val="000000"/>
                <w:sz w:val="16"/>
                <w:szCs w:val="16"/>
              </w:rPr>
              <w:lastRenderedPageBreak/>
              <w:t>Revisó:</w:t>
            </w:r>
          </w:p>
        </w:tc>
        <w:tc>
          <w:tcPr>
            <w:tcW w:w="4413" w:type="dxa"/>
            <w:tcBorders>
              <w:top w:val="dotted" w:color="7F7F7F" w:sz="4" w:space="0"/>
              <w:left w:val="nil"/>
              <w:bottom w:val="dotted" w:color="7F7F7F" w:sz="4" w:space="0"/>
              <w:right w:val="nil"/>
            </w:tcBorders>
            <w:vAlign w:val="center"/>
          </w:tcPr>
          <w:p w:rsidRPr="006A06F2" w:rsidR="00871181" w:rsidP="006A06F2" w:rsidRDefault="003E3EF7" w14:paraId="3083DCA6" w14:textId="77777777">
            <w:pPr>
              <w:spacing w:before="0"/>
            </w:pPr>
            <w:r w:rsidRPr="006A06F2">
              <w:rPr>
                <w:rFonts w:ascii="Arial" w:hAnsi="Arial" w:eastAsia="Arial" w:cs="Arial"/>
                <w:color w:val="000000"/>
                <w:sz w:val="16"/>
                <w:szCs w:val="16"/>
              </w:rPr>
              <w:t>Sebastián Ramírez Grisales</w:t>
            </w:r>
          </w:p>
          <w:p w:rsidRPr="006A06F2" w:rsidR="00871181" w:rsidP="006A06F2" w:rsidRDefault="003E3EF7" w14:paraId="4DB49BE1" w14:textId="77777777">
            <w:pPr>
              <w:spacing w:before="0"/>
            </w:pPr>
            <w:r w:rsidRPr="006A06F2">
              <w:rPr>
                <w:rFonts w:ascii="Arial" w:hAnsi="Arial" w:eastAsia="Arial" w:cs="Arial"/>
                <w:color w:val="000000"/>
                <w:sz w:val="16"/>
                <w:szCs w:val="16"/>
              </w:rPr>
              <w:t>Contratista de la Subdirección de Gestión Contractual</w:t>
            </w:r>
          </w:p>
        </w:tc>
      </w:tr>
      <w:tr w:rsidR="00871181" w14:paraId="0B092314" w14:textId="77777777">
        <w:trPr>
          <w:trHeight w:val="300"/>
        </w:trPr>
        <w:tc>
          <w:tcPr>
            <w:tcW w:w="812" w:type="dxa"/>
            <w:vAlign w:val="center"/>
          </w:tcPr>
          <w:p w:rsidRPr="006A06F2" w:rsidR="00871181" w:rsidP="006A06F2" w:rsidRDefault="003E3EF7" w14:paraId="6240A5E7" w14:textId="77777777">
            <w:pPr>
              <w:spacing w:before="0"/>
            </w:pPr>
            <w:r w:rsidRPr="006A06F2">
              <w:rPr>
                <w:rFonts w:ascii="Arial" w:hAnsi="Arial" w:eastAsia="Arial" w:cs="Arial"/>
                <w:color w:val="000000"/>
                <w:sz w:val="16"/>
                <w:szCs w:val="16"/>
              </w:rPr>
              <w:t>Aprobó:</w:t>
            </w:r>
          </w:p>
        </w:tc>
        <w:tc>
          <w:tcPr>
            <w:tcW w:w="4413" w:type="dxa"/>
            <w:tcBorders>
              <w:top w:val="dotted" w:color="7F7F7F" w:sz="4" w:space="0"/>
              <w:left w:val="nil"/>
              <w:bottom w:val="dotted" w:color="7F7F7F" w:sz="4" w:space="0"/>
              <w:right w:val="nil"/>
            </w:tcBorders>
            <w:vAlign w:val="center"/>
          </w:tcPr>
          <w:p w:rsidRPr="006A06F2" w:rsidR="00871181" w:rsidP="006A06F2" w:rsidRDefault="000941DE" w14:paraId="6529768B" w14:textId="7492AC1B">
            <w:pPr>
              <w:spacing w:before="0"/>
            </w:pPr>
            <w:r>
              <w:rPr>
                <w:rFonts w:ascii="Arial" w:hAnsi="Arial" w:eastAsia="Arial" w:cs="Arial"/>
                <w:color w:val="000000"/>
                <w:sz w:val="16"/>
                <w:szCs w:val="16"/>
              </w:rPr>
              <w:t>Juan David Marín López</w:t>
            </w:r>
          </w:p>
          <w:p w:rsidRPr="006A06F2" w:rsidR="00871181" w:rsidP="006A06F2" w:rsidRDefault="003E3EF7" w14:paraId="02B5945B" w14:textId="7A4C1A5C">
            <w:pPr>
              <w:spacing w:before="0"/>
            </w:pPr>
            <w:r w:rsidRPr="006A06F2">
              <w:rPr>
                <w:rFonts w:ascii="Arial" w:hAnsi="Arial" w:eastAsia="Arial" w:cs="Arial"/>
                <w:color w:val="000000"/>
                <w:sz w:val="16"/>
                <w:szCs w:val="16"/>
              </w:rPr>
              <w:t xml:space="preserve">Subdirector de Gestión Contractual </w:t>
            </w:r>
            <w:r w:rsidR="000941DE">
              <w:rPr>
                <w:rFonts w:ascii="Arial" w:hAnsi="Arial" w:eastAsia="Arial" w:cs="Arial"/>
                <w:color w:val="000000"/>
                <w:sz w:val="16"/>
                <w:szCs w:val="16"/>
              </w:rPr>
              <w:t>(E)</w:t>
            </w:r>
          </w:p>
        </w:tc>
      </w:tr>
    </w:tbl>
    <w:p w:rsidR="00871181" w:rsidRDefault="00871181" w14:paraId="78937CB3" w14:textId="77777777">
      <w:pPr>
        <w:spacing w:after="120"/>
        <w:rPr>
          <w:rFonts w:ascii="Arial" w:hAnsi="Arial" w:eastAsia="Arial" w:cs="Arial"/>
          <w:b/>
          <w:color w:val="000000"/>
          <w:sz w:val="20"/>
          <w:szCs w:val="20"/>
        </w:rPr>
      </w:pPr>
    </w:p>
    <w:sectPr w:rsidR="00871181">
      <w:headerReference w:type="default" r:id="rId16"/>
      <w:footerReference w:type="default" r:id="rId17"/>
      <w:pgSz w:w="12240" w:h="15840" w:orient="portrait"/>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4EA3" w:rsidRDefault="00454EA3" w14:paraId="20FDE2A6" w14:textId="77777777">
      <w:pPr>
        <w:spacing w:after="0" w:line="240" w:lineRule="auto"/>
      </w:pPr>
      <w:r>
        <w:separator/>
      </w:r>
    </w:p>
  </w:endnote>
  <w:endnote w:type="continuationSeparator" w:id="0">
    <w:p w:rsidR="00454EA3" w:rsidRDefault="00454EA3" w14:paraId="0388642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EE669C" w:rsidRDefault="00EE669C" w14:paraId="4257768D" w14:textId="77777777">
    <w:pPr>
      <w:pBdr>
        <w:top w:val="nil"/>
        <w:left w:val="nil"/>
        <w:bottom w:val="nil"/>
        <w:right w:val="nil"/>
        <w:between w:val="nil"/>
      </w:pBdr>
      <w:spacing w:after="0" w:line="240" w:lineRule="auto"/>
      <w:rPr>
        <w:rFonts w:ascii="Arial" w:hAnsi="Arial" w:eastAsia="Arial" w:cs="Arial"/>
        <w:color w:val="000000"/>
        <w:sz w:val="18"/>
        <w:szCs w:val="18"/>
      </w:rPr>
    </w:pPr>
  </w:p>
  <w:p w:rsidR="00EE669C" w:rsidRDefault="00EE669C" w14:paraId="306BC5E2" w14:textId="26ECC629">
    <w:pPr>
      <w:pBdr>
        <w:top w:val="nil"/>
        <w:left w:val="nil"/>
        <w:bottom w:val="nil"/>
        <w:right w:val="nil"/>
        <w:between w:val="nil"/>
      </w:pBdr>
      <w:tabs>
        <w:tab w:val="center" w:pos="4419"/>
        <w:tab w:val="right" w:pos="8838"/>
      </w:tabs>
      <w:jc w:val="right"/>
      <w:rPr>
        <w:rFonts w:ascii="Arial" w:hAnsi="Arial" w:eastAsia="Arial" w:cs="Arial"/>
        <w:color w:val="7F7F7F"/>
        <w:sz w:val="16"/>
        <w:szCs w:val="16"/>
      </w:rPr>
    </w:pPr>
    <w:r>
      <w:rPr>
        <w:rFonts w:ascii="Arial" w:hAnsi="Arial" w:eastAsia="Arial" w:cs="Arial"/>
        <w:color w:val="7F7F7F"/>
        <w:sz w:val="16"/>
        <w:szCs w:val="16"/>
      </w:rPr>
      <w:t xml:space="preserve">Página </w:t>
    </w:r>
    <w:r>
      <w:rPr>
        <w:rFonts w:ascii="Arial" w:hAnsi="Arial" w:eastAsia="Arial" w:cs="Arial"/>
        <w:b/>
        <w:color w:val="7F7F7F"/>
        <w:sz w:val="16"/>
        <w:szCs w:val="16"/>
      </w:rPr>
      <w:fldChar w:fldCharType="begin"/>
    </w:r>
    <w:r>
      <w:rPr>
        <w:rFonts w:ascii="Arial" w:hAnsi="Arial" w:eastAsia="Arial" w:cs="Arial"/>
        <w:b/>
        <w:color w:val="7F7F7F"/>
        <w:sz w:val="16"/>
        <w:szCs w:val="16"/>
      </w:rPr>
      <w:instrText>PAGE</w:instrText>
    </w:r>
    <w:r>
      <w:rPr>
        <w:rFonts w:ascii="Arial" w:hAnsi="Arial" w:eastAsia="Arial" w:cs="Arial"/>
        <w:b/>
        <w:color w:val="7F7F7F"/>
        <w:sz w:val="16"/>
        <w:szCs w:val="16"/>
      </w:rPr>
      <w:fldChar w:fldCharType="separate"/>
    </w:r>
    <w:r w:rsidR="00480644">
      <w:rPr>
        <w:rFonts w:ascii="Arial" w:hAnsi="Arial" w:eastAsia="Arial" w:cs="Arial"/>
        <w:b/>
        <w:noProof/>
        <w:color w:val="7F7F7F"/>
        <w:sz w:val="16"/>
        <w:szCs w:val="16"/>
      </w:rPr>
      <w:t>21</w:t>
    </w:r>
    <w:r>
      <w:rPr>
        <w:rFonts w:ascii="Arial" w:hAnsi="Arial" w:eastAsia="Arial" w:cs="Arial"/>
        <w:b/>
        <w:color w:val="7F7F7F"/>
        <w:sz w:val="16"/>
        <w:szCs w:val="16"/>
      </w:rPr>
      <w:fldChar w:fldCharType="end"/>
    </w:r>
    <w:r>
      <w:rPr>
        <w:rFonts w:ascii="Arial" w:hAnsi="Arial" w:eastAsia="Arial" w:cs="Arial"/>
        <w:color w:val="7F7F7F"/>
        <w:sz w:val="16"/>
        <w:szCs w:val="16"/>
      </w:rPr>
      <w:t xml:space="preserve"> de </w:t>
    </w:r>
    <w:r>
      <w:rPr>
        <w:rFonts w:ascii="Arial" w:hAnsi="Arial" w:eastAsia="Arial" w:cs="Arial"/>
        <w:b/>
        <w:color w:val="7F7F7F"/>
        <w:sz w:val="16"/>
        <w:szCs w:val="16"/>
      </w:rPr>
      <w:fldChar w:fldCharType="begin"/>
    </w:r>
    <w:r>
      <w:rPr>
        <w:rFonts w:ascii="Arial" w:hAnsi="Arial" w:eastAsia="Arial" w:cs="Arial"/>
        <w:b/>
        <w:color w:val="7F7F7F"/>
        <w:sz w:val="16"/>
        <w:szCs w:val="16"/>
      </w:rPr>
      <w:instrText>NUMPAGES</w:instrText>
    </w:r>
    <w:r>
      <w:rPr>
        <w:rFonts w:ascii="Arial" w:hAnsi="Arial" w:eastAsia="Arial" w:cs="Arial"/>
        <w:b/>
        <w:color w:val="7F7F7F"/>
        <w:sz w:val="16"/>
        <w:szCs w:val="16"/>
      </w:rPr>
      <w:fldChar w:fldCharType="separate"/>
    </w:r>
    <w:r w:rsidR="00480644">
      <w:rPr>
        <w:rFonts w:ascii="Arial" w:hAnsi="Arial" w:eastAsia="Arial" w:cs="Arial"/>
        <w:b/>
        <w:noProof/>
        <w:color w:val="7F7F7F"/>
        <w:sz w:val="16"/>
        <w:szCs w:val="16"/>
      </w:rPr>
      <w:t>22</w:t>
    </w:r>
    <w:r>
      <w:rPr>
        <w:rFonts w:ascii="Arial" w:hAnsi="Arial" w:eastAsia="Arial" w:cs="Arial"/>
        <w:b/>
        <w:color w:val="7F7F7F"/>
        <w:sz w:val="16"/>
        <w:szCs w:val="16"/>
      </w:rPr>
      <w:fldChar w:fldCharType="end"/>
    </w:r>
  </w:p>
  <w:p w:rsidR="00EE669C" w:rsidRDefault="00EE669C" w14:paraId="31932D98" w14:textId="77777777">
    <w:pPr>
      <w:pBdr>
        <w:top w:val="nil"/>
        <w:left w:val="nil"/>
        <w:bottom w:val="nil"/>
        <w:right w:val="nil"/>
        <w:between w:val="nil"/>
      </w:pBdr>
      <w:tabs>
        <w:tab w:val="center" w:pos="4419"/>
        <w:tab w:val="right" w:pos="8838"/>
      </w:tabs>
      <w:jc w:val="center"/>
      <w:rPr>
        <w:color w:val="000000"/>
      </w:rPr>
    </w:pPr>
    <w:r>
      <w:rPr>
        <w:noProof/>
        <w:color w:val="000000"/>
        <w:lang w:val="es-CO" w:eastAsia="es-CO"/>
      </w:rPr>
      <w:drawing>
        <wp:inline distT="0" distB="0" distL="0" distR="0" wp14:anchorId="2317FF68" wp14:editId="6AADFB3E">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rsidR="00EE669C" w:rsidRDefault="00EE669C" w14:paraId="7648E66C" w14:textId="77777777">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footnote w:type="separator" w:id="-1">
    <w:p w:rsidR="00454EA3" w:rsidRDefault="00454EA3" w14:paraId="03F2A5E1" w14:textId="77777777">
      <w:pPr>
        <w:spacing w:after="0" w:line="240" w:lineRule="auto"/>
      </w:pPr>
      <w:r>
        <w:separator/>
      </w:r>
    </w:p>
  </w:footnote>
  <w:footnote w:type="continuationSeparator" w:id="0">
    <w:p w:rsidR="00454EA3" w:rsidRDefault="00454EA3" w14:paraId="349BF903" w14:textId="77777777">
      <w:pPr>
        <w:spacing w:after="0" w:line="240" w:lineRule="auto"/>
      </w:pPr>
      <w:r>
        <w:continuationSeparator/>
      </w:r>
    </w:p>
  </w:footnote>
  <w:footnote w:id="1">
    <w:p w:rsidRPr="00A50D11" w:rsidR="004E3780" w:rsidP="00A50D11" w:rsidRDefault="004E3780" w14:paraId="64E23079" w14:textId="77777777">
      <w:pPr>
        <w:pStyle w:val="Textonotapie"/>
        <w:ind w:firstLine="708"/>
        <w:rPr>
          <w:rFonts w:ascii="Arial" w:hAnsi="Arial" w:cs="Arial"/>
          <w:color w:val="000000"/>
          <w:sz w:val="19"/>
          <w:szCs w:val="19"/>
          <w:lang w:val="en-US"/>
        </w:rPr>
      </w:pPr>
      <w:r w:rsidRPr="00A50D11">
        <w:rPr>
          <w:rStyle w:val="Refdenotaalpie"/>
          <w:rFonts w:ascii="Arial" w:hAnsi="Arial" w:cs="Arial"/>
          <w:color w:val="000000"/>
          <w:sz w:val="19"/>
          <w:szCs w:val="19"/>
        </w:rPr>
        <w:footnoteRef/>
      </w:r>
      <w:r w:rsidRPr="00A50D11">
        <w:rPr>
          <w:rFonts w:ascii="Arial" w:hAnsi="Arial" w:cs="Arial"/>
          <w:color w:val="000000"/>
          <w:sz w:val="19"/>
          <w:szCs w:val="19"/>
          <w:lang w:val="en-US"/>
        </w:rPr>
        <w:t xml:space="preserve"> EUROPEAN COMMISSION. Buying Green – A handbook on green procurement, 2016, disponible en: </w:t>
      </w:r>
      <w:hyperlink w:history="1" r:id="rId1">
        <w:r w:rsidRPr="00A50D11">
          <w:rPr>
            <w:rStyle w:val="Hipervnculo"/>
            <w:rFonts w:ascii="Arial" w:hAnsi="Arial" w:cs="Arial"/>
            <w:sz w:val="19"/>
            <w:szCs w:val="19"/>
            <w:lang w:val="en-US"/>
          </w:rPr>
          <w:t>https://ec.europa.eu/environment/gpp/pdf/Buying-Green-Handbook-3rd-Edition.pdf</w:t>
        </w:r>
      </w:hyperlink>
      <w:r w:rsidRPr="00A50D11">
        <w:rPr>
          <w:rFonts w:ascii="Arial" w:hAnsi="Arial" w:cs="Arial"/>
          <w:color w:val="000000"/>
          <w:sz w:val="19"/>
          <w:szCs w:val="19"/>
          <w:lang w:val="en-US"/>
        </w:rPr>
        <w:t>.</w:t>
      </w:r>
    </w:p>
    <w:p w:rsidRPr="00A50D11" w:rsidR="004E3780" w:rsidP="00A50D11" w:rsidRDefault="004E3780" w14:paraId="546A8B1D" w14:textId="77777777">
      <w:pPr>
        <w:pStyle w:val="Textonotapie"/>
        <w:ind w:firstLine="708"/>
        <w:rPr>
          <w:rFonts w:ascii="Arial" w:hAnsi="Arial" w:cs="Arial"/>
          <w:color w:val="000000"/>
          <w:sz w:val="19"/>
          <w:szCs w:val="19"/>
          <w:lang w:val="en-US"/>
        </w:rPr>
      </w:pPr>
    </w:p>
  </w:footnote>
  <w:footnote w:id="2">
    <w:p w:rsidRPr="00A50D11" w:rsidR="004E3780" w:rsidP="00A50D11" w:rsidRDefault="004E3780" w14:paraId="1667CCBA" w14:textId="39B6BD1D">
      <w:pPr>
        <w:pStyle w:val="Textonotapie"/>
        <w:ind w:firstLine="708"/>
        <w:rPr>
          <w:rFonts w:ascii="Arial" w:hAnsi="Arial" w:cs="Arial"/>
          <w:color w:val="000000"/>
          <w:sz w:val="19"/>
          <w:szCs w:val="19"/>
          <w:lang w:val="es-CO"/>
        </w:rPr>
      </w:pPr>
      <w:r w:rsidRPr="00A50D11">
        <w:rPr>
          <w:rStyle w:val="Refdenotaalpie"/>
          <w:rFonts w:ascii="Arial" w:hAnsi="Arial" w:cs="Arial"/>
          <w:color w:val="000000"/>
          <w:sz w:val="19"/>
          <w:szCs w:val="19"/>
        </w:rPr>
        <w:footnoteRef/>
      </w:r>
      <w:r w:rsidRPr="00A50D11">
        <w:rPr>
          <w:rFonts w:ascii="Arial" w:hAnsi="Arial" w:cs="Arial"/>
          <w:color w:val="000000"/>
          <w:sz w:val="19"/>
          <w:szCs w:val="19"/>
          <w:lang w:val="es-ES"/>
        </w:rPr>
        <w:t xml:space="preserve"> ARROWSMITH, SUE. </w:t>
      </w:r>
      <w:r w:rsidRPr="00A50D11">
        <w:rPr>
          <w:rFonts w:ascii="Arial" w:hAnsi="Arial" w:cs="Arial"/>
          <w:color w:val="000000"/>
          <w:sz w:val="19"/>
          <w:szCs w:val="19"/>
          <w:lang w:val="es-CO"/>
        </w:rPr>
        <w:t>Políticas horizontales en la contratación pública: una taxonomía, Revista Digital de Derecho Administrativo. Bogotá: Universidad Externado de Colombia, 2019, pp. 224-226.</w:t>
      </w:r>
    </w:p>
    <w:p w:rsidRPr="00A50D11" w:rsidR="00CC167E" w:rsidP="00A50D11" w:rsidRDefault="00CC167E" w14:paraId="3281C2A6" w14:textId="77777777">
      <w:pPr>
        <w:pStyle w:val="Textonotapie"/>
        <w:ind w:firstLine="708"/>
        <w:rPr>
          <w:rFonts w:ascii="Arial" w:hAnsi="Arial" w:cs="Arial"/>
          <w:color w:val="000000"/>
          <w:sz w:val="19"/>
          <w:szCs w:val="19"/>
          <w:lang w:val="es-CO"/>
        </w:rPr>
      </w:pPr>
    </w:p>
  </w:footnote>
  <w:footnote w:id="3">
    <w:p w:rsidRPr="00A50D11" w:rsidR="004E3780" w:rsidP="00A50D11" w:rsidRDefault="004E3780" w14:paraId="2725B258" w14:textId="77777777">
      <w:pPr>
        <w:pStyle w:val="Textonotapie"/>
        <w:ind w:firstLine="708"/>
        <w:rPr>
          <w:rFonts w:ascii="Arial" w:hAnsi="Arial" w:cs="Arial"/>
          <w:color w:val="000000"/>
          <w:sz w:val="19"/>
          <w:szCs w:val="19"/>
          <w:lang w:val="es-CO"/>
        </w:rPr>
      </w:pPr>
      <w:r w:rsidRPr="00A50D11">
        <w:rPr>
          <w:rStyle w:val="Refdenotaalpie"/>
          <w:rFonts w:ascii="Arial" w:hAnsi="Arial" w:cs="Arial"/>
          <w:color w:val="000000"/>
          <w:sz w:val="19"/>
          <w:szCs w:val="19"/>
        </w:rPr>
        <w:footnoteRef/>
      </w:r>
      <w:r w:rsidRPr="00A50D11">
        <w:rPr>
          <w:rFonts w:ascii="Arial" w:hAnsi="Arial" w:cs="Arial"/>
          <w:color w:val="000000"/>
          <w:sz w:val="19"/>
          <w:szCs w:val="19"/>
        </w:rPr>
        <w:t xml:space="preserve"> </w:t>
      </w:r>
      <w:r w:rsidRPr="00A50D11">
        <w:rPr>
          <w:rFonts w:ascii="Arial" w:hAnsi="Arial" w:cs="Arial"/>
          <w:color w:val="000000"/>
          <w:sz w:val="19"/>
          <w:szCs w:val="19"/>
          <w:lang w:val="es-CO"/>
        </w:rPr>
        <w:t xml:space="preserve">Ibídem, p. 227. </w:t>
      </w:r>
    </w:p>
    <w:p w:rsidRPr="00A50D11" w:rsidR="004E3780" w:rsidP="00A50D11" w:rsidRDefault="004E3780" w14:paraId="6C37AB57" w14:textId="77777777">
      <w:pPr>
        <w:pStyle w:val="Textonotapie"/>
        <w:ind w:firstLine="708"/>
        <w:rPr>
          <w:rFonts w:ascii="Arial" w:hAnsi="Arial" w:cs="Arial"/>
          <w:color w:val="000000"/>
          <w:sz w:val="19"/>
          <w:szCs w:val="19"/>
          <w:lang w:val="es-CO"/>
        </w:rPr>
      </w:pPr>
    </w:p>
  </w:footnote>
  <w:footnote w:id="4">
    <w:p w:rsidRPr="00A50D11" w:rsidR="004E3780" w:rsidP="00A50D11" w:rsidRDefault="004E3780" w14:paraId="2EB50C7C" w14:textId="77777777">
      <w:pPr>
        <w:pStyle w:val="Textonotapie"/>
        <w:ind w:firstLine="708"/>
        <w:rPr>
          <w:rFonts w:ascii="Arial" w:hAnsi="Arial" w:cs="Arial"/>
          <w:color w:val="000000"/>
          <w:sz w:val="19"/>
          <w:szCs w:val="19"/>
        </w:rPr>
      </w:pPr>
      <w:r w:rsidRPr="00A50D11">
        <w:rPr>
          <w:rStyle w:val="Refdenotaalpie"/>
          <w:rFonts w:ascii="Arial" w:hAnsi="Arial" w:cs="Arial"/>
          <w:color w:val="000000"/>
          <w:sz w:val="19"/>
          <w:szCs w:val="19"/>
        </w:rPr>
        <w:footnoteRef/>
      </w:r>
      <w:r w:rsidRPr="00A50D11">
        <w:rPr>
          <w:rFonts w:ascii="Arial" w:hAnsi="Arial" w:cs="Arial"/>
          <w:color w:val="000000"/>
          <w:sz w:val="19"/>
          <w:szCs w:val="19"/>
        </w:rPr>
        <w:t xml:space="preserve"> </w:t>
      </w:r>
      <w:r w:rsidRPr="00A50D11">
        <w:rPr>
          <w:rFonts w:ascii="Arial" w:hAnsi="Arial" w:cs="Arial"/>
          <w:color w:val="000000"/>
          <w:sz w:val="19"/>
          <w:szCs w:val="19"/>
          <w:lang w:val="es-CO"/>
        </w:rPr>
        <w:t xml:space="preserve">CONSEJO DE ESTADO, SALA DE CONSULTA Y SERVICIO CIVIL. Concepto del 8 de marzo de 2017, rad. </w:t>
      </w:r>
      <w:r w:rsidRPr="00A50D11">
        <w:rPr>
          <w:rFonts w:ascii="Arial" w:hAnsi="Arial" w:cs="Arial"/>
          <w:color w:val="000000"/>
          <w:sz w:val="19"/>
          <w:szCs w:val="19"/>
        </w:rPr>
        <w:t xml:space="preserve">11001-03-06-000-2016-00102-00(2298). CP. Édgar González López. </w:t>
      </w:r>
    </w:p>
    <w:p w:rsidRPr="00A50D11" w:rsidR="004E3780" w:rsidP="00A50D11" w:rsidRDefault="004E3780" w14:paraId="72ACCFD4" w14:textId="77777777">
      <w:pPr>
        <w:pStyle w:val="Textonotapie"/>
        <w:ind w:firstLine="708"/>
        <w:rPr>
          <w:rFonts w:ascii="Arial" w:hAnsi="Arial" w:cs="Arial"/>
          <w:color w:val="000000"/>
          <w:sz w:val="19"/>
          <w:szCs w:val="19"/>
        </w:rPr>
      </w:pPr>
    </w:p>
  </w:footnote>
  <w:footnote w:id="5">
    <w:p w:rsidRPr="00A50D11" w:rsidR="000D69D2" w:rsidP="00A50D11" w:rsidRDefault="000D69D2" w14:paraId="4FCE070C" w14:textId="77777777">
      <w:pPr>
        <w:pStyle w:val="Textonotapie"/>
        <w:ind w:firstLine="709"/>
        <w:rPr>
          <w:rFonts w:ascii="Arial" w:hAnsi="Arial" w:cs="Arial"/>
          <w:color w:val="000000"/>
          <w:sz w:val="19"/>
          <w:szCs w:val="19"/>
        </w:rPr>
      </w:pPr>
      <w:r w:rsidRPr="00A50D11">
        <w:rPr>
          <w:rStyle w:val="Refdenotaalpie"/>
          <w:rFonts w:ascii="Arial" w:hAnsi="Arial" w:cs="Arial"/>
          <w:color w:val="000000"/>
          <w:sz w:val="19"/>
          <w:szCs w:val="19"/>
        </w:rPr>
        <w:footnoteRef/>
      </w:r>
      <w:r w:rsidRPr="00A50D11">
        <w:rPr>
          <w:rFonts w:ascii="Arial" w:hAnsi="Arial" w:cs="Arial"/>
          <w:color w:val="000000"/>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A50D11">
        <w:rPr>
          <w:rFonts w:ascii="Arial" w:hAnsi="Arial" w:cs="Arial"/>
          <w:i/>
          <w:iCs/>
          <w:color w:val="000000"/>
          <w:sz w:val="19"/>
          <w:szCs w:val="19"/>
        </w:rPr>
        <w:t>La única consecuencia normativa del término establecido por el legislador es la de imponerle al Presidente de la República el deber de reglamentar la ley dentro de dicho plazo</w:t>
      </w:r>
      <w:r w:rsidRPr="00A50D11">
        <w:rPr>
          <w:rFonts w:ascii="Arial" w:hAnsi="Arial" w:cs="Arial"/>
          <w:color w:val="000000"/>
          <w:sz w:val="19"/>
          <w:szCs w:val="19"/>
        </w:rPr>
        <w:t xml:space="preserve">» (CORTE CONSTITUCIONAL. Sentencia C-805 de 2001. M.P. Rodrigo Escobar Gil. Corchetes y énfasis fuera de texto).  </w:t>
      </w:r>
    </w:p>
    <w:p w:rsidRPr="00A50D11" w:rsidR="000D69D2" w:rsidP="00A50D11" w:rsidRDefault="000D69D2" w14:paraId="2DF13013" w14:textId="77777777">
      <w:pPr>
        <w:pStyle w:val="Textonotapie"/>
        <w:ind w:firstLine="709"/>
        <w:rPr>
          <w:rFonts w:ascii="Arial" w:hAnsi="Arial" w:cs="Arial"/>
          <w:color w:val="000000"/>
          <w:sz w:val="19"/>
          <w:szCs w:val="19"/>
          <w:lang w:val="es-ES"/>
        </w:rPr>
      </w:pPr>
    </w:p>
  </w:footnote>
  <w:footnote w:id="6">
    <w:p w:rsidRPr="00A50D11" w:rsidR="000D69D2" w:rsidP="00A50D11" w:rsidRDefault="000D69D2" w14:paraId="18CE2524" w14:textId="77777777">
      <w:pPr>
        <w:pStyle w:val="Textonotapie"/>
        <w:ind w:firstLine="709"/>
        <w:rPr>
          <w:rFonts w:ascii="Arial" w:hAnsi="Arial" w:cs="Arial"/>
          <w:color w:val="000000"/>
          <w:sz w:val="19"/>
          <w:szCs w:val="19"/>
        </w:rPr>
      </w:pPr>
      <w:r w:rsidRPr="00A50D11">
        <w:rPr>
          <w:rStyle w:val="Refdenotaalpie"/>
          <w:rFonts w:ascii="Arial" w:hAnsi="Arial" w:cs="Arial"/>
          <w:color w:val="000000"/>
          <w:sz w:val="19"/>
          <w:szCs w:val="19"/>
        </w:rPr>
        <w:footnoteRef/>
      </w:r>
      <w:r w:rsidRPr="00A50D11">
        <w:rPr>
          <w:rFonts w:ascii="Arial" w:hAnsi="Arial" w:cs="Arial"/>
          <w:color w:val="000000"/>
          <w:sz w:val="19"/>
          <w:szCs w:val="19"/>
        </w:rPr>
        <w:t xml:space="preserve"> GUASTINI, Riccardo. Interpretar y argumentar. Madrid: Centro de Estudios Políticos y Constitucionales, 2014. p. 145. El autor también propone los siguientes ejemplos de </w:t>
      </w:r>
      <w:r w:rsidRPr="00A50D11">
        <w:rPr>
          <w:rFonts w:ascii="Arial" w:hAnsi="Arial" w:cs="Arial"/>
          <w:i/>
          <w:iCs/>
          <w:color w:val="000000"/>
          <w:sz w:val="19"/>
          <w:szCs w:val="19"/>
        </w:rPr>
        <w:t>lagunas técnicas</w:t>
      </w:r>
      <w:r w:rsidRPr="00A50D11">
        <w:rPr>
          <w:rFonts w:ascii="Arial" w:hAnsi="Arial" w:cs="Arial"/>
          <w:color w:val="000000"/>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A50D11">
        <w:rPr>
          <w:rFonts w:ascii="Arial" w:hAnsi="Arial" w:cs="Arial"/>
          <w:i/>
          <w:iCs/>
          <w:color w:val="000000"/>
          <w:sz w:val="19"/>
          <w:szCs w:val="19"/>
        </w:rPr>
        <w:t>Ibidem</w:t>
      </w:r>
      <w:r w:rsidRPr="00A50D11">
        <w:rPr>
          <w:rFonts w:ascii="Arial" w:hAnsi="Arial" w:cs="Arial"/>
          <w:color w:val="000000"/>
          <w:sz w:val="19"/>
          <w:szCs w:val="19"/>
        </w:rPr>
        <w:t xml:space="preserve">).  </w:t>
      </w:r>
    </w:p>
    <w:p w:rsidRPr="00A50D11" w:rsidR="000D69D2" w:rsidP="00A50D11" w:rsidRDefault="000D69D2" w14:paraId="3773A08F" w14:textId="77777777">
      <w:pPr>
        <w:pStyle w:val="Textonotapie"/>
        <w:ind w:firstLine="709"/>
        <w:rPr>
          <w:rFonts w:ascii="Arial" w:hAnsi="Arial" w:cs="Arial"/>
          <w:color w:val="000000"/>
          <w:sz w:val="19"/>
          <w:szCs w:val="19"/>
        </w:rPr>
      </w:pPr>
    </w:p>
  </w:footnote>
  <w:footnote w:id="7">
    <w:p w:rsidRPr="00A50D11" w:rsidR="000D69D2" w:rsidP="00A50D11" w:rsidRDefault="000D69D2" w14:paraId="69E3568D" w14:textId="77777777">
      <w:pPr>
        <w:pStyle w:val="Textonotapie"/>
        <w:ind w:firstLine="709"/>
        <w:rPr>
          <w:rFonts w:ascii="Arial" w:hAnsi="Arial" w:cs="Arial"/>
          <w:color w:val="000000"/>
          <w:sz w:val="19"/>
          <w:szCs w:val="19"/>
        </w:rPr>
      </w:pPr>
      <w:r w:rsidRPr="00A50D11">
        <w:rPr>
          <w:rStyle w:val="Refdenotaalpie"/>
          <w:rFonts w:ascii="Arial" w:hAnsi="Arial" w:cs="Arial"/>
          <w:color w:val="000000"/>
          <w:sz w:val="19"/>
          <w:szCs w:val="19"/>
        </w:rPr>
        <w:footnoteRef/>
      </w:r>
      <w:r w:rsidRPr="00A50D11">
        <w:rPr>
          <w:rFonts w:ascii="Arial" w:hAnsi="Arial" w:cs="Arial"/>
          <w:color w:val="000000"/>
          <w:sz w:val="19"/>
          <w:szCs w:val="19"/>
        </w:rPr>
        <w:t xml:space="preserve"> Cfr. CORTE CONSTITUCIONAL. Sentencia C-619 del 14 de junio de 2001. M.P. Marco Gerardo Monroy Cabra. </w:t>
      </w:r>
    </w:p>
    <w:p w:rsidRPr="00A50D11" w:rsidR="000D69D2" w:rsidP="00A50D11" w:rsidRDefault="000D69D2" w14:paraId="517C5FCD" w14:textId="77777777">
      <w:pPr>
        <w:pStyle w:val="Textonotapie"/>
        <w:ind w:firstLine="709"/>
        <w:rPr>
          <w:rFonts w:ascii="Arial" w:hAnsi="Arial" w:cs="Arial"/>
          <w:color w:val="000000"/>
          <w:sz w:val="19"/>
          <w:szCs w:val="19"/>
          <w:lang w:val="es-ES"/>
        </w:rPr>
      </w:pPr>
    </w:p>
  </w:footnote>
  <w:footnote w:id="8">
    <w:p w:rsidRPr="00A50D11" w:rsidR="000D69D2" w:rsidP="00A50D11" w:rsidRDefault="000D69D2" w14:paraId="2B7409A0" w14:textId="77777777">
      <w:pPr>
        <w:pStyle w:val="Textonotapie"/>
        <w:ind w:firstLine="709"/>
        <w:rPr>
          <w:rFonts w:ascii="Arial" w:hAnsi="Arial" w:cs="Arial"/>
          <w:color w:val="000000"/>
          <w:sz w:val="19"/>
          <w:szCs w:val="19"/>
        </w:rPr>
      </w:pPr>
      <w:r w:rsidRPr="00A50D11">
        <w:rPr>
          <w:rStyle w:val="Refdenotaalpie"/>
          <w:rFonts w:ascii="Arial" w:hAnsi="Arial" w:cs="Arial"/>
          <w:color w:val="000000"/>
          <w:sz w:val="19"/>
          <w:szCs w:val="19"/>
        </w:rPr>
        <w:footnoteRef/>
      </w:r>
      <w:r w:rsidRPr="00A50D11">
        <w:rPr>
          <w:rFonts w:ascii="Arial" w:hAnsi="Arial" w:cs="Arial"/>
          <w:color w:val="000000"/>
          <w:sz w:val="19"/>
          <w:szCs w:val="19"/>
        </w:rPr>
        <w:t xml:space="preserve"> CONSEJO DE ESTADO. Sección Tercera. Auto de 1 de abril de 2009. Exp. 36476. M.P. Ruth Stella Correa Palacio.  </w:t>
      </w:r>
    </w:p>
    <w:p w:rsidRPr="00A50D11" w:rsidR="000D69D2" w:rsidP="00A50D11" w:rsidRDefault="000D69D2" w14:paraId="1DA203E9" w14:textId="77777777">
      <w:pPr>
        <w:pStyle w:val="Textonotapie"/>
        <w:ind w:firstLine="709"/>
        <w:rPr>
          <w:rFonts w:ascii="Arial" w:hAnsi="Arial" w:cs="Arial"/>
          <w:color w:val="000000"/>
          <w:sz w:val="19"/>
          <w:szCs w:val="19"/>
        </w:rPr>
      </w:pPr>
    </w:p>
  </w:footnote>
  <w:footnote w:id="9">
    <w:p w:rsidRPr="001A0928" w:rsidR="00A50D11" w:rsidP="001A0928" w:rsidRDefault="000D69D2" w14:paraId="3524EF5F" w14:textId="19B9079E">
      <w:pPr>
        <w:pStyle w:val="NormalWeb"/>
        <w:shd w:val="clear" w:color="auto" w:fill="FFFFFF"/>
        <w:spacing w:after="0" w:line="240" w:lineRule="auto"/>
        <w:ind w:firstLine="709"/>
        <w:rPr>
          <w:rFonts w:ascii="Arial" w:hAnsi="Arial" w:cs="Arial"/>
          <w:color w:val="333333"/>
          <w:sz w:val="19"/>
          <w:szCs w:val="19"/>
        </w:rPr>
      </w:pPr>
      <w:r w:rsidRPr="00A50D11">
        <w:rPr>
          <w:rStyle w:val="Refdenotaalpie"/>
          <w:rFonts w:ascii="Arial" w:hAnsi="Arial" w:cs="Arial"/>
          <w:sz w:val="19"/>
          <w:szCs w:val="19"/>
        </w:rPr>
        <w:footnoteRef/>
      </w:r>
      <w:r w:rsidRPr="00A50D11">
        <w:rPr>
          <w:rFonts w:ascii="Arial" w:hAnsi="Arial" w:cs="Arial"/>
          <w:sz w:val="19"/>
          <w:szCs w:val="19"/>
        </w:rPr>
        <w:t xml:space="preserve"> </w:t>
      </w:r>
      <w:r w:rsidRPr="001A0928" w:rsidR="00A50D11">
        <w:rPr>
          <w:rFonts w:ascii="Arial" w:hAnsi="Arial" w:cs="Arial"/>
          <w:b/>
          <w:bCs/>
          <w:color w:val="333333"/>
          <w:sz w:val="19"/>
          <w:szCs w:val="19"/>
        </w:rPr>
        <w:t xml:space="preserve"> </w:t>
      </w:r>
      <w:r w:rsidR="00A50D11">
        <w:rPr>
          <w:rFonts w:ascii="Arial" w:hAnsi="Arial" w:cs="Arial"/>
          <w:b/>
          <w:bCs/>
          <w:color w:val="333333"/>
          <w:sz w:val="19"/>
          <w:szCs w:val="19"/>
        </w:rPr>
        <w:t>«</w:t>
      </w:r>
      <w:r w:rsidRPr="001A0928" w:rsidR="00A50D11">
        <w:rPr>
          <w:rStyle w:val="nfasis"/>
          <w:rFonts w:ascii="Arial" w:hAnsi="Arial" w:cs="Arial"/>
          <w:b/>
          <w:bCs/>
          <w:color w:val="333333"/>
          <w:sz w:val="19"/>
          <w:szCs w:val="19"/>
        </w:rPr>
        <w:t>Artículo 2.2.1.2.4.2.10. Puntaje adicional para proponentes que sean empresas de vigilancia y seguridad privada o cooperativas de vigilancia y seguridad privada.</w:t>
      </w:r>
      <w:r w:rsidRPr="001A0928" w:rsidR="00A50D11">
        <w:rPr>
          <w:rFonts w:ascii="Arial" w:hAnsi="Arial" w:cs="Arial"/>
          <w:color w:val="333333"/>
          <w:sz w:val="19"/>
          <w:szCs w:val="19"/>
        </w:rPr>
        <w:t> En los procesos de licitación pública las Entidades Estatales otorgarán hasta el tres por ciento (3%) del total de los puntos establecidos en el pliego de condiciones a las empresas y cooperativas de vigilancia y seguridad privada que tengan dentro de su personal operativo mujeres, personas con discapacidad y personas mayores de cuarenta y cinco (45) años vinculados a la planta de personal, con todas las exigencias y garantías legalmente establecidas, de acuerdo con los siguientes criterios:  </w:t>
      </w:r>
    </w:p>
    <w:p w:rsidRPr="001A0928" w:rsidR="00A50D11" w:rsidP="001A0928" w:rsidRDefault="00A50D11" w14:paraId="64FFDE56" w14:textId="77777777">
      <w:pPr>
        <w:pStyle w:val="NormalWeb"/>
        <w:shd w:val="clear" w:color="auto" w:fill="FFFFFF"/>
        <w:spacing w:after="0" w:line="240" w:lineRule="auto"/>
        <w:ind w:firstLine="709"/>
        <w:rPr>
          <w:rFonts w:ascii="Arial" w:hAnsi="Arial" w:cs="Arial"/>
          <w:color w:val="333333"/>
          <w:sz w:val="19"/>
          <w:szCs w:val="19"/>
        </w:rPr>
      </w:pPr>
      <w:r w:rsidRPr="001A0928">
        <w:rPr>
          <w:rFonts w:ascii="Arial" w:hAnsi="Arial" w:cs="Arial"/>
          <w:color w:val="333333"/>
          <w:sz w:val="19"/>
          <w:szCs w:val="19"/>
        </w:rPr>
        <w:t>1. Se otorgará hasta un uno por ciento (1%) al proponente o los proponentes que acrediten tener dentro de su personal operativo mujeres vinculadas, de la siguiente manera:</w:t>
      </w:r>
    </w:p>
    <w:p w:rsidRPr="001A0928" w:rsidR="00A50D11" w:rsidP="001A0928" w:rsidRDefault="00A50D11" w14:paraId="47016661" w14:textId="77777777">
      <w:pPr>
        <w:pStyle w:val="NormalWeb"/>
        <w:shd w:val="clear" w:color="auto" w:fill="FFFFFF"/>
        <w:spacing w:after="0" w:line="240" w:lineRule="auto"/>
        <w:ind w:firstLine="709"/>
        <w:rPr>
          <w:rFonts w:ascii="Arial" w:hAnsi="Arial" w:cs="Arial"/>
          <w:color w:val="333333"/>
          <w:sz w:val="19"/>
          <w:szCs w:val="19"/>
        </w:rPr>
      </w:pPr>
      <w:r w:rsidRPr="001A0928">
        <w:rPr>
          <w:rFonts w:ascii="Arial" w:hAnsi="Arial" w:cs="Arial"/>
          <w:color w:val="333333"/>
          <w:sz w:val="19"/>
          <w:szCs w:val="19"/>
        </w:rPr>
        <w:t>1.1 El cero punto cinco por ciento (0,5%) se le otorgará al proponente o los proponentes que acrediten el mayor porcentaje de mujeres vinculadas dentro de su personal operativo. A los demás proponentes se les otorgará un puntaje proporcional de acuerdo con la siguiente fórmula:</w:t>
      </w:r>
    </w:p>
    <w:p w:rsidRPr="001A0928" w:rsidR="00A50D11" w:rsidP="001A0928" w:rsidRDefault="00A50D11" w14:paraId="1BC1689D" w14:textId="32276B55">
      <w:pPr>
        <w:pStyle w:val="NormalWeb"/>
        <w:shd w:val="clear" w:color="auto" w:fill="FFFFFF"/>
        <w:spacing w:after="0" w:line="240" w:lineRule="auto"/>
        <w:rPr>
          <w:rFonts w:ascii="Arial" w:hAnsi="Arial" w:cs="Arial"/>
          <w:color w:val="333333"/>
          <w:sz w:val="19"/>
          <w:szCs w:val="19"/>
        </w:rPr>
      </w:pPr>
      <w:r w:rsidRPr="001A0928">
        <w:rPr>
          <w:rFonts w:ascii="Arial" w:hAnsi="Arial" w:cs="Arial"/>
          <w:noProof/>
          <w:color w:val="333333"/>
          <w:sz w:val="19"/>
          <w:szCs w:val="19"/>
        </w:rPr>
        <w:drawing>
          <wp:inline distT="0" distB="0" distL="0" distR="0" wp14:anchorId="1DDA9752" wp14:editId="540DD814">
            <wp:extent cx="5612130" cy="59817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2130" cy="598170"/>
                    </a:xfrm>
                    <a:prstGeom prst="rect">
                      <a:avLst/>
                    </a:prstGeom>
                    <a:noFill/>
                    <a:ln>
                      <a:noFill/>
                    </a:ln>
                  </pic:spPr>
                </pic:pic>
              </a:graphicData>
            </a:graphic>
          </wp:inline>
        </w:drawing>
      </w:r>
    </w:p>
    <w:p w:rsidRPr="001A0928" w:rsidR="00A50D11" w:rsidP="001A0928" w:rsidRDefault="00A50D11" w14:paraId="65D70C8D"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1.2 El cero punto cinco por ciento (0,5%) se le otorgará al proponente o los proponentes que acrediten el mayor número de mujeres vinculadas dentro de su personal operativo. A los demás proponentes se les otorgará un puntaje proporcional de acuerdo con la siguiente fórmula:</w:t>
      </w:r>
    </w:p>
    <w:p w:rsidRPr="001A0928" w:rsidR="00A50D11" w:rsidP="001A0928" w:rsidRDefault="00A50D11" w14:paraId="06095BF0" w14:textId="58ACF3E7">
      <w:pPr>
        <w:pStyle w:val="NormalWeb"/>
        <w:shd w:val="clear" w:color="auto" w:fill="FFFFFF"/>
        <w:spacing w:after="0" w:line="240" w:lineRule="auto"/>
        <w:rPr>
          <w:rFonts w:ascii="Arial" w:hAnsi="Arial" w:cs="Arial"/>
          <w:color w:val="333333"/>
          <w:sz w:val="19"/>
          <w:szCs w:val="19"/>
        </w:rPr>
      </w:pPr>
      <w:r w:rsidRPr="001A0928">
        <w:rPr>
          <w:rFonts w:ascii="Arial" w:hAnsi="Arial" w:cs="Arial"/>
          <w:noProof/>
          <w:color w:val="333333"/>
          <w:sz w:val="19"/>
          <w:szCs w:val="19"/>
        </w:rPr>
        <w:drawing>
          <wp:inline distT="0" distB="0" distL="0" distR="0" wp14:anchorId="65EBF329" wp14:editId="1899A072">
            <wp:extent cx="5612130" cy="565785"/>
            <wp:effectExtent l="0" t="0" r="7620"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12130" cy="565785"/>
                    </a:xfrm>
                    <a:prstGeom prst="rect">
                      <a:avLst/>
                    </a:prstGeom>
                    <a:noFill/>
                    <a:ln>
                      <a:noFill/>
                    </a:ln>
                  </pic:spPr>
                </pic:pic>
              </a:graphicData>
            </a:graphic>
          </wp:inline>
        </w:drawing>
      </w:r>
    </w:p>
    <w:p w:rsidRPr="001A0928" w:rsidR="00A50D11" w:rsidP="001A0928" w:rsidRDefault="00A50D11" w14:paraId="3018AA14"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2. Se otorgará hasta un uno por ciento (1 %) al proponente o los proponentes que acrediten tener dentro de su personal operativo personas con discapacidad vinculadas, de la siguiente manera:</w:t>
      </w:r>
    </w:p>
    <w:p w:rsidRPr="001A0928" w:rsidR="00A50D11" w:rsidP="001A0928" w:rsidRDefault="00A50D11" w14:paraId="3D419B54"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2.1 El cero punto cinco por ciento (0,5%) se le otorgará al proponente o los proponentes que acrediten el mayor porcentaje de personas con discapacidad vinculadas dentro de su personal operativo. A los demás proponentes se les otorgará un puntaje proporcional de acuerdo con la siguiente fórmula:</w:t>
      </w:r>
    </w:p>
    <w:p w:rsidRPr="001A0928" w:rsidR="00A50D11" w:rsidP="001A0928" w:rsidRDefault="00A50D11" w14:paraId="18F0CC18" w14:textId="6227A83E">
      <w:pPr>
        <w:pStyle w:val="NormalWeb"/>
        <w:shd w:val="clear" w:color="auto" w:fill="FFFFFF"/>
        <w:spacing w:after="0" w:line="240" w:lineRule="auto"/>
        <w:rPr>
          <w:rFonts w:ascii="Arial" w:hAnsi="Arial" w:cs="Arial"/>
          <w:color w:val="333333"/>
          <w:sz w:val="19"/>
          <w:szCs w:val="19"/>
        </w:rPr>
      </w:pPr>
      <w:r w:rsidRPr="001A0928">
        <w:rPr>
          <w:rFonts w:ascii="Arial" w:hAnsi="Arial" w:cs="Arial"/>
          <w:noProof/>
          <w:color w:val="333333"/>
          <w:sz w:val="19"/>
          <w:szCs w:val="19"/>
        </w:rPr>
        <w:drawing>
          <wp:inline distT="0" distB="0" distL="0" distR="0" wp14:anchorId="27DC6BF3" wp14:editId="65F42476">
            <wp:extent cx="5612130" cy="605790"/>
            <wp:effectExtent l="0" t="0" r="7620" b="381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2130" cy="605790"/>
                    </a:xfrm>
                    <a:prstGeom prst="rect">
                      <a:avLst/>
                    </a:prstGeom>
                    <a:noFill/>
                    <a:ln>
                      <a:noFill/>
                    </a:ln>
                  </pic:spPr>
                </pic:pic>
              </a:graphicData>
            </a:graphic>
          </wp:inline>
        </w:drawing>
      </w:r>
    </w:p>
    <w:p w:rsidRPr="001A0928" w:rsidR="00A50D11" w:rsidP="001A0928" w:rsidRDefault="00A50D11" w14:paraId="68D281BE"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2.2 El cero punto cinco por ciento (0,5%) se le otorgará al proponente o los proponentes que acrediten mayor número de personas con discapacidad vinculadas dentro de su personal operativo, A los demás proponentes se les otorgará un puntaje proporcional de acuerdo con la siguiente fórmula:</w:t>
      </w:r>
    </w:p>
    <w:p w:rsidRPr="001A0928" w:rsidR="00A50D11" w:rsidP="001A0928" w:rsidRDefault="00A50D11" w14:paraId="6EC84BBC" w14:textId="6C2ECDEC">
      <w:pPr>
        <w:pStyle w:val="NormalWeb"/>
        <w:shd w:val="clear" w:color="auto" w:fill="FFFFFF"/>
        <w:spacing w:after="0" w:line="240" w:lineRule="auto"/>
        <w:rPr>
          <w:rFonts w:ascii="Arial" w:hAnsi="Arial" w:cs="Arial"/>
          <w:color w:val="333333"/>
          <w:sz w:val="19"/>
          <w:szCs w:val="19"/>
        </w:rPr>
      </w:pPr>
      <w:r w:rsidRPr="001A0928">
        <w:rPr>
          <w:rFonts w:ascii="Arial" w:hAnsi="Arial" w:cs="Arial"/>
          <w:noProof/>
          <w:color w:val="333333"/>
          <w:sz w:val="19"/>
          <w:szCs w:val="19"/>
        </w:rPr>
        <w:drawing>
          <wp:inline distT="0" distB="0" distL="0" distR="0" wp14:anchorId="4E260D03" wp14:editId="3DD33F43">
            <wp:extent cx="5612130" cy="638810"/>
            <wp:effectExtent l="0" t="0" r="7620"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638810"/>
                    </a:xfrm>
                    <a:prstGeom prst="rect">
                      <a:avLst/>
                    </a:prstGeom>
                    <a:noFill/>
                    <a:ln>
                      <a:noFill/>
                    </a:ln>
                  </pic:spPr>
                </pic:pic>
              </a:graphicData>
            </a:graphic>
          </wp:inline>
        </w:drawing>
      </w:r>
    </w:p>
    <w:p w:rsidRPr="001A0928" w:rsidR="00A50D11" w:rsidP="001A0928" w:rsidRDefault="00A50D11" w14:paraId="150E52DA"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3. Se otorgará hasta un uno por ciento (1 %) al proponente o los proponentes que acrediten tener dentro de su personal operativo personas que al momento de presentar oferta sean mayores de 45 años vinculadas, de la siguiente manera:</w:t>
      </w:r>
    </w:p>
    <w:p w:rsidRPr="001A0928" w:rsidR="00A50D11" w:rsidP="001A0928" w:rsidRDefault="00A50D11" w14:paraId="618D29DE"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3.1 El cero punto cinco por ciento (0,5%) se le otorgará al proponente o los proponentes que acrediten el mayor porcentaje de personas mayores de 45 años vinculadas dentro de su personal operativo. A los demás proponentes se les otorgará un puntaje proporcional de acuerdo con la siguiente fórmula:​</w:t>
      </w:r>
    </w:p>
    <w:p w:rsidRPr="001A0928" w:rsidR="00A50D11" w:rsidP="001A0928" w:rsidRDefault="00A50D11" w14:paraId="7F8C1E15" w14:textId="3F24E3AC">
      <w:pPr>
        <w:pStyle w:val="NormalWeb"/>
        <w:shd w:val="clear" w:color="auto" w:fill="FFFFFF"/>
        <w:spacing w:after="0" w:line="240" w:lineRule="auto"/>
        <w:rPr>
          <w:rFonts w:ascii="Arial" w:hAnsi="Arial" w:cs="Arial"/>
          <w:color w:val="333333"/>
          <w:sz w:val="19"/>
          <w:szCs w:val="19"/>
        </w:rPr>
      </w:pPr>
      <w:r w:rsidRPr="001A0928">
        <w:rPr>
          <w:rFonts w:ascii="Arial" w:hAnsi="Arial" w:cs="Arial"/>
          <w:noProof/>
          <w:color w:val="333333"/>
          <w:sz w:val="19"/>
          <w:szCs w:val="19"/>
        </w:rPr>
        <w:drawing>
          <wp:inline distT="0" distB="0" distL="0" distR="0" wp14:anchorId="24CE0DB9" wp14:editId="3876C308">
            <wp:extent cx="5612130" cy="57277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572770"/>
                    </a:xfrm>
                    <a:prstGeom prst="rect">
                      <a:avLst/>
                    </a:prstGeom>
                    <a:noFill/>
                    <a:ln>
                      <a:noFill/>
                    </a:ln>
                  </pic:spPr>
                </pic:pic>
              </a:graphicData>
            </a:graphic>
          </wp:inline>
        </w:drawing>
      </w:r>
    </w:p>
    <w:p w:rsidRPr="001A0928" w:rsidR="00A50D11" w:rsidP="001A0928" w:rsidRDefault="00A50D11" w14:paraId="3D6B162C"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3.2 El cero punto cinco por ciento (0,5%) se le otorgará al proponente o los proponentes que acrediten mayor número de personas mayores de 45 años vinculadas dentro de su personal operativo. A los demás proponentes se les otorgará un puntaje proporcional de acuerdo con la siguiente fórmula:</w:t>
      </w:r>
    </w:p>
    <w:p w:rsidRPr="001A0928" w:rsidR="00A50D11" w:rsidP="001A0928" w:rsidRDefault="00A50D11" w14:paraId="503E6A47" w14:textId="33C35A73">
      <w:pPr>
        <w:pStyle w:val="NormalWeb"/>
        <w:shd w:val="clear" w:color="auto" w:fill="FFFFFF"/>
        <w:spacing w:after="0" w:line="240" w:lineRule="auto"/>
        <w:rPr>
          <w:rFonts w:ascii="Arial" w:hAnsi="Arial" w:cs="Arial"/>
          <w:color w:val="333333"/>
          <w:sz w:val="19"/>
          <w:szCs w:val="19"/>
        </w:rPr>
      </w:pPr>
      <w:r w:rsidRPr="001A0928">
        <w:rPr>
          <w:rFonts w:ascii="Arial" w:hAnsi="Arial" w:cs="Arial"/>
          <w:noProof/>
          <w:color w:val="333333"/>
          <w:sz w:val="19"/>
          <w:szCs w:val="19"/>
        </w:rPr>
        <w:drawing>
          <wp:inline distT="0" distB="0" distL="0" distR="0" wp14:anchorId="0FF13FB0" wp14:editId="58078698">
            <wp:extent cx="5612130" cy="652145"/>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652145"/>
                    </a:xfrm>
                    <a:prstGeom prst="rect">
                      <a:avLst/>
                    </a:prstGeom>
                    <a:noFill/>
                    <a:ln>
                      <a:noFill/>
                    </a:ln>
                  </pic:spPr>
                </pic:pic>
              </a:graphicData>
            </a:graphic>
          </wp:inline>
        </w:drawing>
      </w:r>
    </w:p>
    <w:p w:rsidRPr="001A0928" w:rsidR="00A50D11" w:rsidP="001A0928" w:rsidRDefault="00A50D11" w14:paraId="05800CE6" w14:textId="77777777">
      <w:pPr>
        <w:pStyle w:val="NormalWeb"/>
        <w:shd w:val="clear" w:color="auto" w:fill="FFFFFF"/>
        <w:spacing w:after="0" w:line="240" w:lineRule="auto"/>
        <w:ind w:firstLine="720"/>
        <w:rPr>
          <w:rFonts w:ascii="Arial" w:hAnsi="Arial" w:cs="Arial"/>
          <w:color w:val="333333"/>
          <w:sz w:val="19"/>
          <w:szCs w:val="19"/>
        </w:rPr>
      </w:pPr>
      <w:r w:rsidRPr="001A0928">
        <w:rPr>
          <w:rStyle w:val="Textoennegrita"/>
          <w:rFonts w:ascii="Arial" w:hAnsi="Arial" w:cs="Arial"/>
          <w:color w:val="333333"/>
          <w:sz w:val="19"/>
          <w:szCs w:val="19"/>
        </w:rPr>
        <w:t>Parágrafo Primero.</w:t>
      </w:r>
      <w:r w:rsidRPr="001A0928">
        <w:rPr>
          <w:rFonts w:ascii="Arial" w:hAnsi="Arial" w:cs="Arial"/>
          <w:color w:val="333333"/>
          <w:sz w:val="19"/>
          <w:szCs w:val="19"/>
        </w:rPr>
        <w:t> Las condiciones para otorgar el puntaje descrito serán verificadas por. la entidad contratante mediante los siguientes documentos aportados por el proponente con su oferta de manera física o digital:</w:t>
      </w:r>
    </w:p>
    <w:p w:rsidRPr="001A0928" w:rsidR="00A50D11" w:rsidP="001A0928" w:rsidRDefault="00A50D11" w14:paraId="1C7B84A3"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1.Constancia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rsidRPr="001A0928" w:rsidR="00A50D11" w:rsidP="001A0928" w:rsidRDefault="00A50D11" w14:paraId="499C13B7"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2.Certificado con una fecha no superior a treinta (30) días calendario anteriores a la presentación de la oferta, suscrito por el representante legal de la empresa o cooperativa de vigilancia y seguridad privada en el cual se deberá señalar el número de mujeres, de personas mayores de cuarenta y cinco (45) años cumplidos máximo a la fecha de presentación de la oferta y de personas con discapacidad que conforman su personal operativo.</w:t>
      </w:r>
    </w:p>
    <w:p w:rsidRPr="001A0928" w:rsidR="00A50D11" w:rsidP="001A0928" w:rsidRDefault="00A50D11" w14:paraId="03AD3DA8"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Para el efecto, se deberá relacionar junto con la certificación, el nombre completo, el número de documento de identidad, género, fecha de nacimiento y condición de discapacidad del personal operativo.</w:t>
      </w:r>
    </w:p>
    <w:p w:rsidRPr="001A0928" w:rsidR="00A50D11" w:rsidP="001A0928" w:rsidRDefault="00A50D11" w14:paraId="28231845" w14:textId="77777777">
      <w:pPr>
        <w:pStyle w:val="NormalWeb"/>
        <w:shd w:val="clear" w:color="auto" w:fill="FFFFFF"/>
        <w:spacing w:after="0" w:line="240" w:lineRule="auto"/>
        <w:ind w:firstLine="720"/>
        <w:rPr>
          <w:rFonts w:ascii="Arial" w:hAnsi="Arial" w:cs="Arial"/>
          <w:color w:val="333333"/>
          <w:sz w:val="19"/>
          <w:szCs w:val="19"/>
        </w:rPr>
      </w:pPr>
      <w:r w:rsidRPr="001A0928">
        <w:rPr>
          <w:rFonts w:ascii="Arial" w:hAnsi="Arial" w:cs="Arial"/>
          <w:color w:val="333333"/>
          <w:sz w:val="19"/>
          <w:szCs w:val="19"/>
        </w:rPr>
        <w:t>Adicionalmente, se anexará copia de los respectivos documentos de identidad y para acreditar la condición de discapacidad, el Certificado de Discapacidad de cada uno de los trabajadores de conformidad con la Resolución No. 113 de 2020 del Ministerio de Salud y Protección Social o aquellas normas que la complementen, desarrollen, modifiquen o sustituyan.</w:t>
      </w:r>
    </w:p>
    <w:p w:rsidRPr="001A0928" w:rsidR="00A50D11" w:rsidP="001A0928" w:rsidRDefault="00A50D11" w14:paraId="6566D86B" w14:textId="4C88392D">
      <w:pPr>
        <w:pStyle w:val="NormalWeb"/>
        <w:shd w:val="clear" w:color="auto" w:fill="FFFFFF"/>
        <w:spacing w:after="0" w:line="240" w:lineRule="auto"/>
        <w:ind w:firstLine="708"/>
        <w:rPr>
          <w:rFonts w:ascii="Arial" w:hAnsi="Arial" w:cs="Arial"/>
          <w:color w:val="333333"/>
          <w:sz w:val="19"/>
          <w:szCs w:val="19"/>
        </w:rPr>
      </w:pPr>
      <w:r w:rsidRPr="001A0928">
        <w:rPr>
          <w:rStyle w:val="Textoennegrita"/>
          <w:rFonts w:ascii="Arial" w:hAnsi="Arial" w:cs="Arial"/>
          <w:color w:val="333333"/>
          <w:sz w:val="19"/>
          <w:szCs w:val="19"/>
        </w:rPr>
        <w:t>Parágrafo Segundo.</w:t>
      </w:r>
      <w:r w:rsidRPr="001A0928">
        <w:rPr>
          <w:rFonts w:ascii="Arial" w:hAnsi="Arial" w:cs="Arial"/>
          <w:color w:val="333333"/>
          <w:sz w:val="19"/>
          <w:szCs w:val="19"/>
        </w:rPr>
        <w:t> Si la oferta es presentada por un consorcio o unión temporal, se tendrá en cuenta la sumatoria ponderada del personal operativo del proponente plural para cada uno de los criterios, de acuerdo con el porcentaje de participación de sus integrantes</w:t>
      </w:r>
      <w:r w:rsidR="00601D1B">
        <w:rPr>
          <w:rFonts w:ascii="Arial" w:hAnsi="Arial" w:cs="Arial"/>
          <w:color w:val="333333"/>
          <w:sz w:val="19"/>
          <w:szCs w:val="19"/>
        </w:rPr>
        <w:t>»</w:t>
      </w:r>
      <w:r w:rsidRPr="001A0928">
        <w:rPr>
          <w:rFonts w:ascii="Arial" w:hAnsi="Arial" w:cs="Arial"/>
          <w:color w:val="333333"/>
          <w:sz w:val="19"/>
          <w:szCs w:val="19"/>
        </w:rPr>
        <w:t>.​​</w:t>
      </w:r>
    </w:p>
    <w:p w:rsidRPr="00A50D11" w:rsidR="000D69D2" w:rsidP="00A50D11" w:rsidRDefault="000D69D2" w14:paraId="7D4C02A7" w14:textId="35897A68">
      <w:pPr>
        <w:pStyle w:val="Textonotapie"/>
        <w:ind w:firstLine="709"/>
        <w:rPr>
          <w:rFonts w:ascii="Arial" w:hAnsi="Arial" w:cs="Arial"/>
          <w:color w:val="000000"/>
          <w:sz w:val="19"/>
          <w:szCs w:val="19"/>
        </w:rPr>
      </w:pPr>
    </w:p>
    <w:p w:rsidRPr="00A50D11" w:rsidR="000D69D2" w:rsidP="00A50D11" w:rsidRDefault="000D69D2" w14:paraId="680ECE81" w14:textId="77777777">
      <w:pPr>
        <w:pStyle w:val="Textonotapie"/>
        <w:ind w:firstLine="709"/>
        <w:rPr>
          <w:rFonts w:ascii="Arial" w:hAnsi="Arial" w:cs="Arial"/>
          <w:sz w:val="19"/>
          <w:szCs w:val="19"/>
        </w:rPr>
      </w:pPr>
    </w:p>
  </w:footnote>
  <w:footnote w:id="10">
    <w:p w:rsidRPr="00A50D11" w:rsidR="000D69D2" w:rsidP="00A50D11" w:rsidRDefault="000D69D2" w14:paraId="1B152539" w14:textId="267C1B31">
      <w:pPr>
        <w:pStyle w:val="Textonotapie"/>
        <w:ind w:firstLine="708"/>
        <w:rPr>
          <w:rFonts w:ascii="Arial" w:hAnsi="Arial" w:cs="Arial"/>
          <w:sz w:val="19"/>
          <w:szCs w:val="19"/>
        </w:rPr>
      </w:pPr>
      <w:r w:rsidRPr="00A50D11">
        <w:rPr>
          <w:rStyle w:val="Refdenotaalpie"/>
          <w:rFonts w:ascii="Arial" w:hAnsi="Arial" w:cs="Arial"/>
          <w:sz w:val="19"/>
          <w:szCs w:val="19"/>
        </w:rPr>
        <w:footnoteRef/>
      </w:r>
      <w:r w:rsidRPr="00A50D11">
        <w:rPr>
          <w:rFonts w:ascii="Arial" w:hAnsi="Arial" w:cs="Arial"/>
          <w:sz w:val="19"/>
          <w:szCs w:val="19"/>
        </w:rPr>
        <w:t xml:space="preserve">Cfr. </w:t>
      </w:r>
      <w:hyperlink w:history="1" r:id="rId8">
        <w:r w:rsidRPr="00A50D11">
          <w:rPr>
            <w:rStyle w:val="Hipervnculo"/>
            <w:rFonts w:ascii="Arial" w:hAnsi="Arial" w:cs="Arial"/>
            <w:sz w:val="19"/>
            <w:szCs w:val="19"/>
          </w:rPr>
          <w:t>https://colaboracion.dnp.gov.co/CDT/DNP/Soporte%20t%c3%a9cnico%20Ley%20del%20Vigilante.pdf</w:t>
        </w:r>
      </w:hyperlink>
      <w:r w:rsidRPr="00A50D11">
        <w:rPr>
          <w:rFonts w:ascii="Arial" w:hAnsi="Arial" w:cs="Arial"/>
          <w:sz w:val="19"/>
          <w:szCs w:val="19"/>
        </w:rPr>
        <w:t>. Consultado el 6 de diciembre de 2021.</w:t>
      </w:r>
    </w:p>
  </w:footnote>
  <w:footnote w:id="11">
    <w:p w:rsidRPr="00A50D11" w:rsidR="000D69D2" w:rsidP="00A50D11" w:rsidRDefault="000D69D2" w14:paraId="1541C6F0" w14:textId="77777777">
      <w:pPr>
        <w:pStyle w:val="Textonotapie"/>
        <w:ind w:firstLine="709"/>
        <w:rPr>
          <w:rFonts w:ascii="Arial" w:hAnsi="Arial" w:cs="Arial"/>
          <w:color w:val="000000"/>
          <w:sz w:val="19"/>
          <w:szCs w:val="19"/>
          <w:lang w:val="es-ES"/>
        </w:rPr>
      </w:pPr>
      <w:r w:rsidRPr="00A50D11">
        <w:rPr>
          <w:rStyle w:val="Refdenotaalpie"/>
          <w:rFonts w:ascii="Arial" w:hAnsi="Arial" w:cs="Arial"/>
          <w:color w:val="000000"/>
          <w:sz w:val="19"/>
          <w:szCs w:val="19"/>
        </w:rPr>
        <w:footnoteRef/>
      </w:r>
      <w:r w:rsidRPr="00A50D11">
        <w:rPr>
          <w:rFonts w:ascii="Arial" w:hAnsi="Arial" w:cs="Arial"/>
          <w:color w:val="000000"/>
          <w:sz w:val="19"/>
          <w:szCs w:val="19"/>
        </w:rPr>
        <w:t xml:space="preserve"> </w:t>
      </w:r>
      <w:r w:rsidRPr="00A50D11">
        <w:rPr>
          <w:rFonts w:ascii="Arial" w:hAnsi="Arial" w:cs="Arial"/>
          <w:color w:val="000000"/>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12">
    <w:p w:rsidRPr="00A50D11" w:rsidR="00937D75" w:rsidP="001A0928" w:rsidRDefault="00937D75" w14:paraId="242686A7" w14:textId="77777777">
      <w:pPr>
        <w:pStyle w:val="Textonotapie"/>
        <w:ind w:firstLine="708"/>
        <w:rPr>
          <w:rFonts w:ascii="Arial" w:hAnsi="Arial" w:cs="Arial"/>
          <w:sz w:val="19"/>
          <w:szCs w:val="19"/>
          <w:lang w:val="es-ES_tradnl"/>
        </w:rPr>
      </w:pPr>
      <w:r w:rsidRPr="00A50D11">
        <w:rPr>
          <w:rStyle w:val="Refdenotaalpie"/>
          <w:rFonts w:ascii="Arial" w:hAnsi="Arial" w:cs="Arial"/>
          <w:sz w:val="19"/>
          <w:szCs w:val="19"/>
        </w:rPr>
        <w:footnoteRef/>
      </w:r>
      <w:r w:rsidRPr="00A50D11">
        <w:rPr>
          <w:rFonts w:ascii="Arial" w:hAnsi="Arial" w:cs="Arial"/>
          <w:sz w:val="19"/>
          <w:szCs w:val="19"/>
        </w:rPr>
        <w:t xml:space="preserve"> </w:t>
      </w:r>
      <w:r w:rsidRPr="00A50D11">
        <w:rPr>
          <w:rFonts w:ascii="Arial" w:hAnsi="Arial" w:cs="Arial"/>
          <w:sz w:val="19"/>
          <w:szCs w:val="19"/>
          <w:lang w:val="es-ES_tradnl"/>
        </w:rPr>
        <w:t xml:space="preserve">Este documento debe comprenderse en concordancia con el parágrafo 1 del artículo 87 de la Ley 356 de 1994, modificado por el artículo 103 del Decreto 019 de 2012, en el sentido que las empresas de seguridad y vigilancia privada «[…] estarán en la obligación de hacer el registro de todo su personal, </w:t>
      </w:r>
      <w:r w:rsidRPr="00A50D11">
        <w:rPr>
          <w:rFonts w:ascii="Arial" w:hAnsi="Arial" w:cs="Arial"/>
          <w:sz w:val="19"/>
          <w:szCs w:val="19"/>
          <w:lang w:val="es-CO"/>
        </w:rPr>
        <w:t>para lo cual se utilizarán las herramientas tecnológicas que permitan la verificación de dicha información en cualquier tiempo que incluya el registro fotográfico y reseña dactiloscópica,</w:t>
      </w:r>
      <w:r w:rsidRPr="00A50D11">
        <w:rPr>
          <w:rFonts w:ascii="Arial" w:hAnsi="Arial" w:cs="Arial"/>
          <w:sz w:val="19"/>
          <w:szCs w:val="19"/>
          <w:lang w:val="es-ES_tradnl"/>
        </w:rPr>
        <w:t xml:space="preserve"> el cual estará a disposición de la Superintendencia de Vigilancia y Seguridad Privada. Con el objeto de hacer dicha verificación, con base en la información suministrada por parte de las empresas, la Superintendencia de Vigilancia y Seguridad Privada mantendrá un registro actualizado del personal operativo de los servicios de vigilancia y seguridad privada».</w:t>
      </w:r>
    </w:p>
  </w:footnote>
  <w:footnote w:id="13">
    <w:p w:rsidRPr="00A50D11" w:rsidR="00937D75" w:rsidP="00A50D11" w:rsidRDefault="00937D75" w14:paraId="750872A1" w14:textId="77777777">
      <w:pPr>
        <w:pStyle w:val="Textonotapie"/>
        <w:ind w:firstLine="708"/>
        <w:rPr>
          <w:rFonts w:ascii="Arial" w:hAnsi="Arial" w:cs="Arial"/>
          <w:sz w:val="19"/>
          <w:szCs w:val="19"/>
        </w:rPr>
      </w:pPr>
      <w:r w:rsidRPr="00A50D11">
        <w:rPr>
          <w:rStyle w:val="Refdenotaalpie"/>
          <w:rFonts w:ascii="Arial" w:hAnsi="Arial" w:cs="Arial"/>
          <w:sz w:val="19"/>
          <w:szCs w:val="19"/>
        </w:rPr>
        <w:footnoteRef/>
      </w:r>
      <w:r w:rsidRPr="00A50D11">
        <w:rPr>
          <w:rFonts w:ascii="Arial" w:hAnsi="Arial" w:cs="Arial"/>
          <w:sz w:val="19"/>
          <w:szCs w:val="19"/>
        </w:rPr>
        <w:t xml:space="preserve"> En lo pertinente, la norma citada dispone que «</w:t>
      </w:r>
      <w:r w:rsidRPr="00A50D11">
        <w:rPr>
          <w:rFonts w:ascii="Arial" w:hAnsi="Arial" w:cs="Arial"/>
          <w:sz w:val="19"/>
          <w:szCs w:val="19"/>
          <w:lang w:val="es-CO"/>
        </w:rPr>
        <w:t xml:space="preserve">La ausencia de requisitos o la falta de documentos referentes a la futura contratación o al proponente, no necesarios para la comparación de las propuestas no servirán de título suficiente para el rechazo de los ofrecimientos hechos. En consecuencia, </w:t>
      </w:r>
      <w:r w:rsidRPr="00A50D11">
        <w:rPr>
          <w:rFonts w:ascii="Arial" w:hAnsi="Arial" w:cs="Arial"/>
          <w:i/>
          <w:iCs/>
          <w:sz w:val="19"/>
          <w:szCs w:val="19"/>
          <w:lang w:val="es-CO"/>
        </w:rPr>
        <w:t>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A50D11">
        <w:rPr>
          <w:rFonts w:ascii="Arial" w:hAnsi="Arial" w:cs="Arial"/>
          <w:sz w:val="19"/>
          <w:szCs w:val="19"/>
          <w:lang w:val="es-CO"/>
        </w:rPr>
        <w:t>,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(Énfasis fuera de texto).</w:t>
      </w:r>
    </w:p>
  </w:footnote>
  <w:footnote w:id="14">
    <w:p w:rsidRPr="00A50D11" w:rsidR="00937D75" w:rsidP="00A50D11" w:rsidRDefault="00937D75" w14:paraId="60229302" w14:textId="77777777">
      <w:pPr>
        <w:pStyle w:val="Textonotapie"/>
        <w:ind w:firstLine="708"/>
        <w:rPr>
          <w:rFonts w:ascii="Arial" w:hAnsi="Arial" w:cs="Arial"/>
          <w:sz w:val="19"/>
          <w:szCs w:val="19"/>
          <w:lang w:val="es-ES"/>
        </w:rPr>
      </w:pPr>
      <w:r w:rsidRPr="00A50D11">
        <w:rPr>
          <w:rStyle w:val="Refdenotaalpie"/>
          <w:rFonts w:ascii="Arial" w:hAnsi="Arial" w:cs="Arial"/>
          <w:sz w:val="19"/>
          <w:szCs w:val="19"/>
        </w:rPr>
        <w:footnoteRef/>
      </w:r>
      <w:r w:rsidRPr="00A50D11">
        <w:rPr>
          <w:rFonts w:ascii="Arial" w:hAnsi="Arial" w:cs="Arial"/>
          <w:sz w:val="19"/>
          <w:szCs w:val="19"/>
        </w:rPr>
        <w:t xml:space="preserve"> </w:t>
      </w:r>
      <w:r w:rsidRPr="00A50D11">
        <w:rPr>
          <w:rFonts w:ascii="Arial" w:hAnsi="Arial" w:cs="Arial"/>
          <w:sz w:val="19"/>
          <w:szCs w:val="19"/>
          <w:lang w:val="es-ES"/>
        </w:rPr>
        <w:t>Consejo de Estado. Sección Tercera, Subsección B. Sentencia del 28 de mayo de 2012. C.P. Ruth Stella Correa, Rad. 1996-01886-01 (22.089).</w:t>
      </w:r>
    </w:p>
  </w:footnote>
  <w:footnote w:id="15">
    <w:p w:rsidRPr="00A50D11" w:rsidR="00937D75" w:rsidP="001A0928" w:rsidRDefault="00937D75" w14:paraId="296E8BC5" w14:textId="77777777">
      <w:pPr>
        <w:pBdr>
          <w:top w:val="nil"/>
          <w:left w:val="nil"/>
          <w:bottom w:val="nil"/>
          <w:right w:val="nil"/>
          <w:between w:val="nil"/>
        </w:pBdr>
        <w:spacing w:after="0" w:line="240" w:lineRule="auto"/>
        <w:ind w:firstLine="708"/>
        <w:rPr>
          <w:rFonts w:ascii="Arial" w:hAnsi="Arial" w:eastAsia="Arial" w:cs="Arial"/>
          <w:color w:val="000000"/>
          <w:sz w:val="19"/>
          <w:szCs w:val="19"/>
        </w:rPr>
      </w:pPr>
      <w:r w:rsidRPr="001A0928">
        <w:rPr>
          <w:rFonts w:ascii="Arial" w:hAnsi="Arial" w:cs="Arial"/>
          <w:sz w:val="19"/>
          <w:szCs w:val="19"/>
          <w:vertAlign w:val="superscript"/>
        </w:rPr>
        <w:footnoteRef/>
      </w:r>
      <w:r w:rsidRPr="00A50D11">
        <w:rPr>
          <w:rFonts w:ascii="Arial" w:hAnsi="Arial" w:eastAsia="Arial" w:cs="Arial"/>
          <w:color w:val="000000"/>
          <w:sz w:val="19"/>
          <w:szCs w:val="19"/>
        </w:rPr>
        <w:t xml:space="preserve"> CONSEJO DE ESTADO. Sección Tercera. Subsección C. Sentencia del 12 de noviembre de 2014. Exp. 27.986. C.P. Enrique Gil Botero.</w:t>
      </w:r>
    </w:p>
    <w:p w:rsidRPr="00A50D11" w:rsidR="00937D75" w:rsidP="001A0928" w:rsidRDefault="00937D75" w14:paraId="10F4C874" w14:textId="77777777">
      <w:pPr>
        <w:pBdr>
          <w:top w:val="nil"/>
          <w:left w:val="nil"/>
          <w:bottom w:val="nil"/>
          <w:right w:val="nil"/>
          <w:between w:val="nil"/>
        </w:pBdr>
        <w:spacing w:after="0" w:line="240" w:lineRule="auto"/>
        <w:ind w:firstLine="708"/>
        <w:rPr>
          <w:rFonts w:ascii="Arial" w:hAnsi="Arial" w:eastAsia="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EE669C" w:rsidRDefault="00EE669C" w14:paraId="3C20A4F8" w14:textId="77777777">
    <w:pPr>
      <w:pBdr>
        <w:top w:val="nil"/>
        <w:left w:val="nil"/>
        <w:bottom w:val="nil"/>
        <w:right w:val="nil"/>
        <w:between w:val="nil"/>
      </w:pBdr>
      <w:tabs>
        <w:tab w:val="center" w:pos="4252"/>
        <w:tab w:val="right" w:pos="8504"/>
      </w:tabs>
      <w:rPr>
        <w:color w:val="000000"/>
      </w:rPr>
    </w:pPr>
    <w:r>
      <w:rPr>
        <w:noProof/>
        <w:lang w:val="es-CO" w:eastAsia="es-CO"/>
      </w:rPr>
      <w:drawing>
        <wp:anchor distT="0" distB="0" distL="114300" distR="114300" simplePos="0" relativeHeight="251658240" behindDoc="0" locked="0" layoutInCell="1" hidden="0" allowOverlap="1" wp14:anchorId="1738C0C5" wp14:editId="77481344">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rsidR="00EE669C" w:rsidRDefault="00EE669C" w14:paraId="4B658473" w14:textId="77777777">
    <w:pPr>
      <w:pBdr>
        <w:top w:val="nil"/>
        <w:left w:val="nil"/>
        <w:bottom w:val="nil"/>
        <w:right w:val="nil"/>
        <w:between w:val="nil"/>
      </w:pBdr>
      <w:tabs>
        <w:tab w:val="center" w:pos="4252"/>
        <w:tab w:val="right" w:pos="8504"/>
      </w:tabs>
      <w:spacing w:after="0"/>
      <w:rPr>
        <w:color w:val="000000"/>
      </w:rPr>
    </w:pPr>
  </w:p>
  <w:p w:rsidR="00EE669C" w:rsidRDefault="00EE669C" w14:paraId="10971F20" w14:textId="77777777">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7FE3"/>
    <w:multiLevelType w:val="hybridMultilevel"/>
    <w:tmpl w:val="5796AAE4"/>
    <w:lvl w:ilvl="0" w:tplc="90547F3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B7F2A10"/>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110407C4"/>
    <w:multiLevelType w:val="hybridMultilevel"/>
    <w:tmpl w:val="3EEA22F4"/>
    <w:lvl w:ilvl="0" w:tplc="82D21D6C">
      <w:start w:val="1"/>
      <w:numFmt w:val="bullet"/>
      <w:lvlText w:val="-"/>
      <w:lvlJc w:val="left"/>
      <w:pPr>
        <w:ind w:left="1080" w:hanging="360"/>
      </w:pPr>
      <w:rPr>
        <w:rFonts w:hint="default" w:ascii="Arial" w:hAnsi="Arial" w:eastAsia="Arial" w:cs="Arial"/>
      </w:rPr>
    </w:lvl>
    <w:lvl w:ilvl="1" w:tplc="240A0003" w:tentative="1">
      <w:start w:val="1"/>
      <w:numFmt w:val="bullet"/>
      <w:lvlText w:val="o"/>
      <w:lvlJc w:val="left"/>
      <w:pPr>
        <w:ind w:left="1800" w:hanging="360"/>
      </w:pPr>
      <w:rPr>
        <w:rFonts w:hint="default" w:ascii="Courier New" w:hAnsi="Courier New" w:cs="Courier New"/>
      </w:rPr>
    </w:lvl>
    <w:lvl w:ilvl="2" w:tplc="240A0005" w:tentative="1">
      <w:start w:val="1"/>
      <w:numFmt w:val="bullet"/>
      <w:lvlText w:val=""/>
      <w:lvlJc w:val="left"/>
      <w:pPr>
        <w:ind w:left="2520" w:hanging="360"/>
      </w:pPr>
      <w:rPr>
        <w:rFonts w:hint="default" w:ascii="Wingdings" w:hAnsi="Wingdings"/>
      </w:rPr>
    </w:lvl>
    <w:lvl w:ilvl="3" w:tplc="240A0001" w:tentative="1">
      <w:start w:val="1"/>
      <w:numFmt w:val="bullet"/>
      <w:lvlText w:val=""/>
      <w:lvlJc w:val="left"/>
      <w:pPr>
        <w:ind w:left="3240" w:hanging="360"/>
      </w:pPr>
      <w:rPr>
        <w:rFonts w:hint="default" w:ascii="Symbol" w:hAnsi="Symbol"/>
      </w:rPr>
    </w:lvl>
    <w:lvl w:ilvl="4" w:tplc="240A0003" w:tentative="1">
      <w:start w:val="1"/>
      <w:numFmt w:val="bullet"/>
      <w:lvlText w:val="o"/>
      <w:lvlJc w:val="left"/>
      <w:pPr>
        <w:ind w:left="3960" w:hanging="360"/>
      </w:pPr>
      <w:rPr>
        <w:rFonts w:hint="default" w:ascii="Courier New" w:hAnsi="Courier New" w:cs="Courier New"/>
      </w:rPr>
    </w:lvl>
    <w:lvl w:ilvl="5" w:tplc="240A0005" w:tentative="1">
      <w:start w:val="1"/>
      <w:numFmt w:val="bullet"/>
      <w:lvlText w:val=""/>
      <w:lvlJc w:val="left"/>
      <w:pPr>
        <w:ind w:left="4680" w:hanging="360"/>
      </w:pPr>
      <w:rPr>
        <w:rFonts w:hint="default" w:ascii="Wingdings" w:hAnsi="Wingdings"/>
      </w:rPr>
    </w:lvl>
    <w:lvl w:ilvl="6" w:tplc="240A0001" w:tentative="1">
      <w:start w:val="1"/>
      <w:numFmt w:val="bullet"/>
      <w:lvlText w:val=""/>
      <w:lvlJc w:val="left"/>
      <w:pPr>
        <w:ind w:left="5400" w:hanging="360"/>
      </w:pPr>
      <w:rPr>
        <w:rFonts w:hint="default" w:ascii="Symbol" w:hAnsi="Symbol"/>
      </w:rPr>
    </w:lvl>
    <w:lvl w:ilvl="7" w:tplc="240A0003" w:tentative="1">
      <w:start w:val="1"/>
      <w:numFmt w:val="bullet"/>
      <w:lvlText w:val="o"/>
      <w:lvlJc w:val="left"/>
      <w:pPr>
        <w:ind w:left="6120" w:hanging="360"/>
      </w:pPr>
      <w:rPr>
        <w:rFonts w:hint="default" w:ascii="Courier New" w:hAnsi="Courier New" w:cs="Courier New"/>
      </w:rPr>
    </w:lvl>
    <w:lvl w:ilvl="8" w:tplc="240A0005" w:tentative="1">
      <w:start w:val="1"/>
      <w:numFmt w:val="bullet"/>
      <w:lvlText w:val=""/>
      <w:lvlJc w:val="left"/>
      <w:pPr>
        <w:ind w:left="6840" w:hanging="360"/>
      </w:pPr>
      <w:rPr>
        <w:rFonts w:hint="default" w:ascii="Wingdings" w:hAnsi="Wingdings"/>
      </w:rPr>
    </w:lvl>
  </w:abstractNum>
  <w:abstractNum w:abstractNumId="3" w15:restartNumberingAfterBreak="0">
    <w:nsid w:val="3A98220F"/>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41383C2B"/>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51BC72FE"/>
    <w:multiLevelType w:val="hybridMultilevel"/>
    <w:tmpl w:val="30AA68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70D68B1"/>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98B74AA"/>
    <w:multiLevelType w:val="hybridMultilevel"/>
    <w:tmpl w:val="CB5E6D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A36584C"/>
    <w:multiLevelType w:val="hybridMultilevel"/>
    <w:tmpl w:val="C7BAB5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DE77614"/>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319699514">
    <w:abstractNumId w:val="7"/>
  </w:num>
  <w:num w:numId="2" w16cid:durableId="1405104726">
    <w:abstractNumId w:val="9"/>
  </w:num>
  <w:num w:numId="3" w16cid:durableId="1079592511">
    <w:abstractNumId w:val="3"/>
  </w:num>
  <w:num w:numId="4" w16cid:durableId="1738355664">
    <w:abstractNumId w:val="10"/>
  </w:num>
  <w:num w:numId="5" w16cid:durableId="1718241164">
    <w:abstractNumId w:val="0"/>
  </w:num>
  <w:num w:numId="6" w16cid:durableId="8068636">
    <w:abstractNumId w:val="5"/>
  </w:num>
  <w:num w:numId="7" w16cid:durableId="1752964366">
    <w:abstractNumId w:val="8"/>
  </w:num>
  <w:num w:numId="8" w16cid:durableId="157039926">
    <w:abstractNumId w:val="2"/>
  </w:num>
  <w:num w:numId="9" w16cid:durableId="1906716964">
    <w:abstractNumId w:val="6"/>
  </w:num>
  <w:num w:numId="10" w16cid:durableId="1196503078">
    <w:abstractNumId w:val="4"/>
  </w:num>
  <w:num w:numId="11" w16cid:durableId="205784803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9"/>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81"/>
    <w:rsid w:val="000018DA"/>
    <w:rsid w:val="000030F0"/>
    <w:rsid w:val="000050C5"/>
    <w:rsid w:val="00032699"/>
    <w:rsid w:val="00034198"/>
    <w:rsid w:val="00046FA3"/>
    <w:rsid w:val="000545BA"/>
    <w:rsid w:val="00054969"/>
    <w:rsid w:val="00057AC7"/>
    <w:rsid w:val="00057B15"/>
    <w:rsid w:val="0006799A"/>
    <w:rsid w:val="000845BF"/>
    <w:rsid w:val="000941DE"/>
    <w:rsid w:val="000A2B46"/>
    <w:rsid w:val="000B4594"/>
    <w:rsid w:val="000D69D2"/>
    <w:rsid w:val="000E30C5"/>
    <w:rsid w:val="000E542F"/>
    <w:rsid w:val="000E72A2"/>
    <w:rsid w:val="000F1429"/>
    <w:rsid w:val="000F227D"/>
    <w:rsid w:val="00110386"/>
    <w:rsid w:val="00124845"/>
    <w:rsid w:val="001326E7"/>
    <w:rsid w:val="00132EF5"/>
    <w:rsid w:val="00133F82"/>
    <w:rsid w:val="00146CDB"/>
    <w:rsid w:val="00150919"/>
    <w:rsid w:val="001515A9"/>
    <w:rsid w:val="00151DF3"/>
    <w:rsid w:val="00153293"/>
    <w:rsid w:val="001534FE"/>
    <w:rsid w:val="0015675B"/>
    <w:rsid w:val="00161371"/>
    <w:rsid w:val="00174154"/>
    <w:rsid w:val="001A0928"/>
    <w:rsid w:val="001A6E50"/>
    <w:rsid w:val="001C0FF1"/>
    <w:rsid w:val="001D27F8"/>
    <w:rsid w:val="001D486F"/>
    <w:rsid w:val="001E0B67"/>
    <w:rsid w:val="001F58BF"/>
    <w:rsid w:val="0020665A"/>
    <w:rsid w:val="002126D3"/>
    <w:rsid w:val="00225134"/>
    <w:rsid w:val="00226CCB"/>
    <w:rsid w:val="00235C6A"/>
    <w:rsid w:val="002459F1"/>
    <w:rsid w:val="002460B6"/>
    <w:rsid w:val="00256FC7"/>
    <w:rsid w:val="00260004"/>
    <w:rsid w:val="002649FB"/>
    <w:rsid w:val="00273C71"/>
    <w:rsid w:val="0029138E"/>
    <w:rsid w:val="00294DE1"/>
    <w:rsid w:val="002C0494"/>
    <w:rsid w:val="002C0AC5"/>
    <w:rsid w:val="002C3534"/>
    <w:rsid w:val="002C5413"/>
    <w:rsid w:val="00301961"/>
    <w:rsid w:val="00305C19"/>
    <w:rsid w:val="00311CFD"/>
    <w:rsid w:val="00331302"/>
    <w:rsid w:val="00341FF0"/>
    <w:rsid w:val="003423FE"/>
    <w:rsid w:val="0035084D"/>
    <w:rsid w:val="00355453"/>
    <w:rsid w:val="00356678"/>
    <w:rsid w:val="003751D1"/>
    <w:rsid w:val="003833EC"/>
    <w:rsid w:val="0038381C"/>
    <w:rsid w:val="00384AE8"/>
    <w:rsid w:val="00391B91"/>
    <w:rsid w:val="00394399"/>
    <w:rsid w:val="00397B0E"/>
    <w:rsid w:val="003C7757"/>
    <w:rsid w:val="003E3EF7"/>
    <w:rsid w:val="003E7F27"/>
    <w:rsid w:val="003F484C"/>
    <w:rsid w:val="0040500C"/>
    <w:rsid w:val="0040759B"/>
    <w:rsid w:val="00424B9A"/>
    <w:rsid w:val="00447F59"/>
    <w:rsid w:val="00454EA3"/>
    <w:rsid w:val="004709EB"/>
    <w:rsid w:val="00480644"/>
    <w:rsid w:val="00495D8D"/>
    <w:rsid w:val="004A50F8"/>
    <w:rsid w:val="004B4970"/>
    <w:rsid w:val="004B6D5C"/>
    <w:rsid w:val="004B777F"/>
    <w:rsid w:val="004C1362"/>
    <w:rsid w:val="004D0666"/>
    <w:rsid w:val="004D0B70"/>
    <w:rsid w:val="004E27C9"/>
    <w:rsid w:val="004E3780"/>
    <w:rsid w:val="004E7441"/>
    <w:rsid w:val="004F06CC"/>
    <w:rsid w:val="00511475"/>
    <w:rsid w:val="005255B7"/>
    <w:rsid w:val="00531349"/>
    <w:rsid w:val="0053319E"/>
    <w:rsid w:val="005335E0"/>
    <w:rsid w:val="00534598"/>
    <w:rsid w:val="005452FA"/>
    <w:rsid w:val="00546B3B"/>
    <w:rsid w:val="00557CF6"/>
    <w:rsid w:val="0056543B"/>
    <w:rsid w:val="005667EF"/>
    <w:rsid w:val="0058075D"/>
    <w:rsid w:val="00580CEF"/>
    <w:rsid w:val="00590B5E"/>
    <w:rsid w:val="005D72A5"/>
    <w:rsid w:val="005E25B4"/>
    <w:rsid w:val="005E5EDC"/>
    <w:rsid w:val="005F468A"/>
    <w:rsid w:val="00601D1B"/>
    <w:rsid w:val="0060386F"/>
    <w:rsid w:val="006105C7"/>
    <w:rsid w:val="00612CA1"/>
    <w:rsid w:val="00616E35"/>
    <w:rsid w:val="00626639"/>
    <w:rsid w:val="0063395D"/>
    <w:rsid w:val="00643113"/>
    <w:rsid w:val="0065478D"/>
    <w:rsid w:val="00664A2F"/>
    <w:rsid w:val="00671825"/>
    <w:rsid w:val="00676AA1"/>
    <w:rsid w:val="006A06F2"/>
    <w:rsid w:val="006A2202"/>
    <w:rsid w:val="006B138A"/>
    <w:rsid w:val="006C28C2"/>
    <w:rsid w:val="006C457D"/>
    <w:rsid w:val="006D4E0E"/>
    <w:rsid w:val="00704CEE"/>
    <w:rsid w:val="00730A24"/>
    <w:rsid w:val="00734A2B"/>
    <w:rsid w:val="00740ADB"/>
    <w:rsid w:val="00742700"/>
    <w:rsid w:val="0074635C"/>
    <w:rsid w:val="007613A5"/>
    <w:rsid w:val="0079024C"/>
    <w:rsid w:val="00791555"/>
    <w:rsid w:val="007A5D5E"/>
    <w:rsid w:val="007C2FB7"/>
    <w:rsid w:val="007D1BE4"/>
    <w:rsid w:val="00802A0A"/>
    <w:rsid w:val="00824825"/>
    <w:rsid w:val="00832049"/>
    <w:rsid w:val="0086341F"/>
    <w:rsid w:val="00871181"/>
    <w:rsid w:val="008771D6"/>
    <w:rsid w:val="00881AFE"/>
    <w:rsid w:val="00896D01"/>
    <w:rsid w:val="00897E75"/>
    <w:rsid w:val="008B2F50"/>
    <w:rsid w:val="008C0946"/>
    <w:rsid w:val="008C1947"/>
    <w:rsid w:val="008E4228"/>
    <w:rsid w:val="008E64B5"/>
    <w:rsid w:val="008F60BF"/>
    <w:rsid w:val="008F7B30"/>
    <w:rsid w:val="00917DAD"/>
    <w:rsid w:val="00937D75"/>
    <w:rsid w:val="009419EB"/>
    <w:rsid w:val="00943629"/>
    <w:rsid w:val="009668F8"/>
    <w:rsid w:val="00970570"/>
    <w:rsid w:val="009906B1"/>
    <w:rsid w:val="00991B98"/>
    <w:rsid w:val="0099225D"/>
    <w:rsid w:val="009A32F0"/>
    <w:rsid w:val="009A4CC4"/>
    <w:rsid w:val="009E03DD"/>
    <w:rsid w:val="009E4C14"/>
    <w:rsid w:val="009E579C"/>
    <w:rsid w:val="00A00493"/>
    <w:rsid w:val="00A026F5"/>
    <w:rsid w:val="00A310D3"/>
    <w:rsid w:val="00A50D11"/>
    <w:rsid w:val="00A67050"/>
    <w:rsid w:val="00A70D7A"/>
    <w:rsid w:val="00A7165D"/>
    <w:rsid w:val="00A73E91"/>
    <w:rsid w:val="00AA13A9"/>
    <w:rsid w:val="00AB3C3F"/>
    <w:rsid w:val="00AC5959"/>
    <w:rsid w:val="00B16CF7"/>
    <w:rsid w:val="00B24AF6"/>
    <w:rsid w:val="00B31DF7"/>
    <w:rsid w:val="00B755F9"/>
    <w:rsid w:val="00B777E5"/>
    <w:rsid w:val="00B80D75"/>
    <w:rsid w:val="00B91B22"/>
    <w:rsid w:val="00B96223"/>
    <w:rsid w:val="00B96D87"/>
    <w:rsid w:val="00BB0873"/>
    <w:rsid w:val="00BB2355"/>
    <w:rsid w:val="00BD09FF"/>
    <w:rsid w:val="00BF0131"/>
    <w:rsid w:val="00C161FF"/>
    <w:rsid w:val="00C212FA"/>
    <w:rsid w:val="00C36E16"/>
    <w:rsid w:val="00C55127"/>
    <w:rsid w:val="00C624AB"/>
    <w:rsid w:val="00C7069D"/>
    <w:rsid w:val="00C70C44"/>
    <w:rsid w:val="00C83040"/>
    <w:rsid w:val="00C967E6"/>
    <w:rsid w:val="00CA6CA3"/>
    <w:rsid w:val="00CA6E4F"/>
    <w:rsid w:val="00CC167E"/>
    <w:rsid w:val="00CC3D0A"/>
    <w:rsid w:val="00CD2BBE"/>
    <w:rsid w:val="00CD60F5"/>
    <w:rsid w:val="00CE0B9D"/>
    <w:rsid w:val="00CE21B3"/>
    <w:rsid w:val="00CE7CCA"/>
    <w:rsid w:val="00D06CC6"/>
    <w:rsid w:val="00D1133B"/>
    <w:rsid w:val="00D11461"/>
    <w:rsid w:val="00D1667B"/>
    <w:rsid w:val="00D227C9"/>
    <w:rsid w:val="00D3084A"/>
    <w:rsid w:val="00D31237"/>
    <w:rsid w:val="00D345C2"/>
    <w:rsid w:val="00D56172"/>
    <w:rsid w:val="00D60734"/>
    <w:rsid w:val="00D738BA"/>
    <w:rsid w:val="00DA39D0"/>
    <w:rsid w:val="00DB0CE9"/>
    <w:rsid w:val="00DC3745"/>
    <w:rsid w:val="00DE0678"/>
    <w:rsid w:val="00DE4313"/>
    <w:rsid w:val="00E04F51"/>
    <w:rsid w:val="00E06F4D"/>
    <w:rsid w:val="00E2102B"/>
    <w:rsid w:val="00E31560"/>
    <w:rsid w:val="00E46A6B"/>
    <w:rsid w:val="00E46CF5"/>
    <w:rsid w:val="00E51805"/>
    <w:rsid w:val="00E87D3C"/>
    <w:rsid w:val="00EC68B5"/>
    <w:rsid w:val="00EE4AB0"/>
    <w:rsid w:val="00EE669C"/>
    <w:rsid w:val="00EF3F15"/>
    <w:rsid w:val="00F137F6"/>
    <w:rsid w:val="00F24191"/>
    <w:rsid w:val="00F37CB3"/>
    <w:rsid w:val="00F454DA"/>
    <w:rsid w:val="00F50FA2"/>
    <w:rsid w:val="00F537EB"/>
    <w:rsid w:val="00F57337"/>
    <w:rsid w:val="00F663C3"/>
    <w:rsid w:val="00F6717E"/>
    <w:rsid w:val="00F92C0B"/>
    <w:rsid w:val="00FC1E52"/>
    <w:rsid w:val="00FC4DC4"/>
    <w:rsid w:val="00FD0E21"/>
    <w:rsid w:val="00FD28C5"/>
    <w:rsid w:val="270B8F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AA8D"/>
  <w15:docId w15:val="{74014E73-EE5C-48A0-A275-66C09E71C5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D0E21"/>
  </w:style>
  <w:style w:type="paragraph" w:styleId="Ttulo1">
    <w:name w:val="heading 1"/>
    <w:basedOn w:val="Normal"/>
    <w:next w:val="Normal"/>
    <w:uiPriority w:val="9"/>
    <w:qFormat/>
    <w:pPr>
      <w:keepNext/>
      <w:spacing w:before="240" w:after="60" w:line="240" w:lineRule="auto"/>
      <w:jc w:val="left"/>
      <w:outlineLvl w:val="0"/>
    </w:pPr>
    <w:rPr>
      <w:rFonts w:ascii="Arial" w:hAnsi="Arial" w:eastAsia="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hAnsi="Arial" w:eastAsia="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hAnsi="Arial" w:eastAsia="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hAnsi="Times New Roman" w:eastAsia="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hAnsi="Times New Roman" w:eastAsia="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hAnsi="Times New Roman" w:eastAsia="Times New Roman" w:cs="Times New Roman"/>
      <w:b/>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2" w:customStyle="1">
    <w:name w:val="2"/>
    <w:basedOn w:val="TableNormal"/>
    <w:pPr>
      <w:spacing w:before="120" w:after="0" w:line="240" w:lineRule="auto"/>
      <w:jc w:val="left"/>
    </w:pPr>
    <w:tblPr>
      <w:tblStyleRowBandSize w:val="1"/>
      <w:tblStyleColBandSize w:val="1"/>
      <w:tblCellMar>
        <w:left w:w="108" w:type="dxa"/>
        <w:right w:w="108" w:type="dxa"/>
      </w:tblCellMar>
    </w:tblPr>
  </w:style>
  <w:style w:type="table" w:styleId="1" w:customStyle="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styleId="TextocomentarioCar" w:customStyle="1">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802A0A"/>
    <w:rPr>
      <w:b/>
      <w:bCs/>
    </w:rPr>
  </w:style>
  <w:style w:type="character" w:styleId="AsuntodelcomentarioCar" w:customStyle="1">
    <w:name w:val="Asunto del comentario Car"/>
    <w:basedOn w:val="TextocomentarioCar"/>
    <w:link w:val="Asuntodelcomentario"/>
    <w:uiPriority w:val="99"/>
    <w:semiHidden/>
    <w:rsid w:val="00802A0A"/>
    <w:rPr>
      <w:b/>
      <w:bCs/>
      <w:sz w:val="20"/>
      <w:szCs w:val="20"/>
    </w:rPr>
  </w:style>
  <w:style w:type="paragraph" w:styleId="Textodeglobo">
    <w:name w:val="Balloon Text"/>
    <w:basedOn w:val="Normal"/>
    <w:link w:val="TextodegloboCar"/>
    <w:uiPriority w:val="99"/>
    <w:semiHidden/>
    <w:unhideWhenUsed/>
    <w:rsid w:val="00802A0A"/>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802A0A"/>
    <w:rPr>
      <w:rFonts w:ascii="Segoe UI" w:hAnsi="Segoe UI" w:cs="Segoe UI"/>
      <w:sz w:val="18"/>
      <w:szCs w:val="18"/>
    </w:rPr>
  </w:style>
  <w:style w:type="paragraph" w:styleId="Textonotapie">
    <w:name w:val="footnote text"/>
    <w:basedOn w:val="Normal"/>
    <w:link w:val="TextonotapieCar"/>
    <w:uiPriority w:val="99"/>
    <w:unhideWhenUsed/>
    <w:rsid w:val="00734A2B"/>
    <w:pPr>
      <w:spacing w:after="0" w:line="240" w:lineRule="auto"/>
    </w:pPr>
    <w:rPr>
      <w:sz w:val="20"/>
      <w:szCs w:val="20"/>
    </w:rPr>
  </w:style>
  <w:style w:type="character" w:styleId="TextonotapieCar" w:customStyle="1">
    <w:name w:val="Texto nota pie Car"/>
    <w:basedOn w:val="Fuentedeprrafopredeter"/>
    <w:link w:val="Textonotapie"/>
    <w:uiPriority w:val="99"/>
    <w:rsid w:val="00734A2B"/>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734A2B"/>
    <w:rPr>
      <w:vertAlign w:val="superscript"/>
    </w:rPr>
  </w:style>
  <w:style w:type="paragraph" w:styleId="Appelnotedebasde" w:customStyle="1">
    <w:name w:val="Appel note de bas de..."/>
    <w:basedOn w:val="Normal"/>
    <w:link w:val="Refdenotaalpie"/>
    <w:rsid w:val="00734A2B"/>
    <w:pPr>
      <w:spacing w:after="160" w:line="240" w:lineRule="exact"/>
    </w:pPr>
    <w:rPr>
      <w:vertAlign w:val="superscript"/>
    </w:rPr>
  </w:style>
  <w:style w:type="character" w:styleId="Hipervnculo1" w:customStyle="1">
    <w:name w:val="Hipervínculo1"/>
    <w:basedOn w:val="Fuentedeprrafopredeter"/>
    <w:uiPriority w:val="99"/>
    <w:unhideWhenUsed/>
    <w:rsid w:val="00734A2B"/>
    <w:rPr>
      <w:color w:val="0563C1"/>
      <w:u w:val="single"/>
    </w:rPr>
  </w:style>
  <w:style w:type="character" w:styleId="Hipervnculo">
    <w:name w:val="Hyperlink"/>
    <w:basedOn w:val="Fuentedeprrafopredeter"/>
    <w:uiPriority w:val="99"/>
    <w:unhideWhenUsed/>
    <w:rsid w:val="00734A2B"/>
    <w:rPr>
      <w:color w:val="0000FF" w:themeColor="hyperlink"/>
      <w:u w:val="single"/>
    </w:rPr>
  </w:style>
  <w:style w:type="paragraph" w:styleId="NormalWeb">
    <w:name w:val="Normal (Web)"/>
    <w:basedOn w:val="Normal"/>
    <w:uiPriority w:val="99"/>
    <w:semiHidden/>
    <w:unhideWhenUsed/>
    <w:rsid w:val="000E542F"/>
    <w:rPr>
      <w:rFonts w:ascii="Times New Roman" w:hAnsi="Times New Roman" w:cs="Times New Roman"/>
    </w:rPr>
  </w:style>
  <w:style w:type="paragraph" w:styleId="Prrafodelista">
    <w:name w:val="List Paragraph"/>
    <w:basedOn w:val="Normal"/>
    <w:uiPriority w:val="34"/>
    <w:qFormat/>
    <w:rsid w:val="00A310D3"/>
    <w:pPr>
      <w:ind w:left="720"/>
      <w:contextualSpacing/>
    </w:pPr>
  </w:style>
  <w:style w:type="character" w:styleId="baj" w:customStyle="1">
    <w:name w:val="b_aj"/>
    <w:basedOn w:val="Fuentedeprrafopredeter"/>
    <w:rsid w:val="00897E75"/>
  </w:style>
  <w:style w:type="paragraph" w:styleId="Encabezado">
    <w:name w:val="header"/>
    <w:basedOn w:val="Normal"/>
    <w:link w:val="EncabezadoCar"/>
    <w:uiPriority w:val="99"/>
    <w:unhideWhenUsed/>
    <w:rsid w:val="00897E7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97E75"/>
  </w:style>
  <w:style w:type="paragraph" w:styleId="Piedepgina">
    <w:name w:val="footer"/>
    <w:basedOn w:val="Normal"/>
    <w:link w:val="PiedepginaCar"/>
    <w:uiPriority w:val="99"/>
    <w:unhideWhenUsed/>
    <w:rsid w:val="00897E7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97E75"/>
  </w:style>
  <w:style w:type="character" w:styleId="nfasis">
    <w:name w:val="Emphasis"/>
    <w:basedOn w:val="Fuentedeprrafopredeter"/>
    <w:uiPriority w:val="20"/>
    <w:qFormat/>
    <w:rsid w:val="00397B0E"/>
    <w:rPr>
      <w:i/>
      <w:iCs/>
    </w:rPr>
  </w:style>
  <w:style w:type="character" w:styleId="Textoennegrita">
    <w:name w:val="Strong"/>
    <w:basedOn w:val="Fuentedeprrafopredeter"/>
    <w:uiPriority w:val="22"/>
    <w:qFormat/>
    <w:rsid w:val="00791555"/>
    <w:rPr>
      <w:b/>
      <w:bCs/>
    </w:rPr>
  </w:style>
  <w:style w:type="paragraph" w:styleId="Revisin">
    <w:name w:val="Revision"/>
    <w:hidden/>
    <w:uiPriority w:val="99"/>
    <w:semiHidden/>
    <w:rsid w:val="00301961"/>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03175">
      <w:bodyDiv w:val="1"/>
      <w:marLeft w:val="0"/>
      <w:marRight w:val="0"/>
      <w:marTop w:val="0"/>
      <w:marBottom w:val="0"/>
      <w:divBdr>
        <w:top w:val="none" w:sz="0" w:space="0" w:color="auto"/>
        <w:left w:val="none" w:sz="0" w:space="0" w:color="auto"/>
        <w:bottom w:val="none" w:sz="0" w:space="0" w:color="auto"/>
        <w:right w:val="none" w:sz="0" w:space="0" w:color="auto"/>
      </w:divBdr>
    </w:div>
    <w:div w:id="112867600">
      <w:bodyDiv w:val="1"/>
      <w:marLeft w:val="0"/>
      <w:marRight w:val="0"/>
      <w:marTop w:val="0"/>
      <w:marBottom w:val="0"/>
      <w:divBdr>
        <w:top w:val="none" w:sz="0" w:space="0" w:color="auto"/>
        <w:left w:val="none" w:sz="0" w:space="0" w:color="auto"/>
        <w:bottom w:val="none" w:sz="0" w:space="0" w:color="auto"/>
        <w:right w:val="none" w:sz="0" w:space="0" w:color="auto"/>
      </w:divBdr>
      <w:divsChild>
        <w:div w:id="636229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9668267">
              <w:marLeft w:val="0"/>
              <w:marRight w:val="0"/>
              <w:marTop w:val="0"/>
              <w:marBottom w:val="0"/>
              <w:divBdr>
                <w:top w:val="none" w:sz="0" w:space="0" w:color="auto"/>
                <w:left w:val="none" w:sz="0" w:space="0" w:color="auto"/>
                <w:bottom w:val="none" w:sz="0" w:space="0" w:color="auto"/>
                <w:right w:val="none" w:sz="0" w:space="0" w:color="auto"/>
              </w:divBdr>
              <w:divsChild>
                <w:div w:id="1274169353">
                  <w:marLeft w:val="0"/>
                  <w:marRight w:val="0"/>
                  <w:marTop w:val="0"/>
                  <w:marBottom w:val="0"/>
                  <w:divBdr>
                    <w:top w:val="none" w:sz="0" w:space="0" w:color="auto"/>
                    <w:left w:val="none" w:sz="0" w:space="0" w:color="auto"/>
                    <w:bottom w:val="none" w:sz="0" w:space="0" w:color="auto"/>
                    <w:right w:val="none" w:sz="0" w:space="0" w:color="auto"/>
                  </w:divBdr>
                  <w:divsChild>
                    <w:div w:id="1108816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4607032">
                          <w:marLeft w:val="0"/>
                          <w:marRight w:val="0"/>
                          <w:marTop w:val="0"/>
                          <w:marBottom w:val="0"/>
                          <w:divBdr>
                            <w:top w:val="none" w:sz="0" w:space="0" w:color="auto"/>
                            <w:left w:val="none" w:sz="0" w:space="0" w:color="auto"/>
                            <w:bottom w:val="none" w:sz="0" w:space="0" w:color="auto"/>
                            <w:right w:val="none" w:sz="0" w:space="0" w:color="auto"/>
                          </w:divBdr>
                          <w:divsChild>
                            <w:div w:id="78558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79380">
      <w:bodyDiv w:val="1"/>
      <w:marLeft w:val="0"/>
      <w:marRight w:val="0"/>
      <w:marTop w:val="0"/>
      <w:marBottom w:val="0"/>
      <w:divBdr>
        <w:top w:val="none" w:sz="0" w:space="0" w:color="auto"/>
        <w:left w:val="none" w:sz="0" w:space="0" w:color="auto"/>
        <w:bottom w:val="none" w:sz="0" w:space="0" w:color="auto"/>
        <w:right w:val="none" w:sz="0" w:space="0" w:color="auto"/>
      </w:divBdr>
    </w:div>
    <w:div w:id="225343558">
      <w:bodyDiv w:val="1"/>
      <w:marLeft w:val="0"/>
      <w:marRight w:val="0"/>
      <w:marTop w:val="0"/>
      <w:marBottom w:val="0"/>
      <w:divBdr>
        <w:top w:val="none" w:sz="0" w:space="0" w:color="auto"/>
        <w:left w:val="none" w:sz="0" w:space="0" w:color="auto"/>
        <w:bottom w:val="none" w:sz="0" w:space="0" w:color="auto"/>
        <w:right w:val="none" w:sz="0" w:space="0" w:color="auto"/>
      </w:divBdr>
    </w:div>
    <w:div w:id="698119622">
      <w:bodyDiv w:val="1"/>
      <w:marLeft w:val="0"/>
      <w:marRight w:val="0"/>
      <w:marTop w:val="0"/>
      <w:marBottom w:val="0"/>
      <w:divBdr>
        <w:top w:val="none" w:sz="0" w:space="0" w:color="auto"/>
        <w:left w:val="none" w:sz="0" w:space="0" w:color="auto"/>
        <w:bottom w:val="none" w:sz="0" w:space="0" w:color="auto"/>
        <w:right w:val="none" w:sz="0" w:space="0" w:color="auto"/>
      </w:divBdr>
      <w:divsChild>
        <w:div w:id="183322019">
          <w:marLeft w:val="0"/>
          <w:marRight w:val="0"/>
          <w:marTop w:val="0"/>
          <w:marBottom w:val="0"/>
          <w:divBdr>
            <w:top w:val="none" w:sz="0" w:space="0" w:color="auto"/>
            <w:left w:val="none" w:sz="0" w:space="0" w:color="auto"/>
            <w:bottom w:val="none" w:sz="0" w:space="0" w:color="auto"/>
            <w:right w:val="none" w:sz="0" w:space="0" w:color="auto"/>
          </w:divBdr>
          <w:divsChild>
            <w:div w:id="1159348459">
              <w:marLeft w:val="0"/>
              <w:marRight w:val="0"/>
              <w:marTop w:val="0"/>
              <w:marBottom w:val="0"/>
              <w:divBdr>
                <w:top w:val="none" w:sz="0" w:space="0" w:color="auto"/>
                <w:left w:val="none" w:sz="0" w:space="0" w:color="auto"/>
                <w:bottom w:val="none" w:sz="0" w:space="0" w:color="auto"/>
                <w:right w:val="none" w:sz="0" w:space="0" w:color="auto"/>
              </w:divBdr>
            </w:div>
          </w:divsChild>
        </w:div>
        <w:div w:id="714499568">
          <w:marLeft w:val="0"/>
          <w:marRight w:val="0"/>
          <w:marTop w:val="0"/>
          <w:marBottom w:val="0"/>
          <w:divBdr>
            <w:top w:val="none" w:sz="0" w:space="0" w:color="auto"/>
            <w:left w:val="none" w:sz="0" w:space="0" w:color="auto"/>
            <w:bottom w:val="none" w:sz="0" w:space="0" w:color="auto"/>
            <w:right w:val="none" w:sz="0" w:space="0" w:color="auto"/>
          </w:divBdr>
          <w:divsChild>
            <w:div w:id="1642420608">
              <w:marLeft w:val="0"/>
              <w:marRight w:val="0"/>
              <w:marTop w:val="0"/>
              <w:marBottom w:val="0"/>
              <w:divBdr>
                <w:top w:val="none" w:sz="0" w:space="0" w:color="auto"/>
                <w:left w:val="none" w:sz="0" w:space="0" w:color="auto"/>
                <w:bottom w:val="none" w:sz="0" w:space="0" w:color="auto"/>
                <w:right w:val="none" w:sz="0" w:space="0" w:color="auto"/>
              </w:divBdr>
            </w:div>
          </w:divsChild>
        </w:div>
        <w:div w:id="974798296">
          <w:marLeft w:val="0"/>
          <w:marRight w:val="0"/>
          <w:marTop w:val="0"/>
          <w:marBottom w:val="0"/>
          <w:divBdr>
            <w:top w:val="none" w:sz="0" w:space="0" w:color="auto"/>
            <w:left w:val="none" w:sz="0" w:space="0" w:color="auto"/>
            <w:bottom w:val="none" w:sz="0" w:space="0" w:color="auto"/>
            <w:right w:val="none" w:sz="0" w:space="0" w:color="auto"/>
          </w:divBdr>
          <w:divsChild>
            <w:div w:id="1942491899">
              <w:marLeft w:val="0"/>
              <w:marRight w:val="0"/>
              <w:marTop w:val="0"/>
              <w:marBottom w:val="0"/>
              <w:divBdr>
                <w:top w:val="none" w:sz="0" w:space="0" w:color="auto"/>
                <w:left w:val="none" w:sz="0" w:space="0" w:color="auto"/>
                <w:bottom w:val="none" w:sz="0" w:space="0" w:color="auto"/>
                <w:right w:val="none" w:sz="0" w:space="0" w:color="auto"/>
              </w:divBdr>
            </w:div>
          </w:divsChild>
        </w:div>
        <w:div w:id="1396244973">
          <w:marLeft w:val="0"/>
          <w:marRight w:val="0"/>
          <w:marTop w:val="0"/>
          <w:marBottom w:val="0"/>
          <w:divBdr>
            <w:top w:val="none" w:sz="0" w:space="0" w:color="auto"/>
            <w:left w:val="none" w:sz="0" w:space="0" w:color="auto"/>
            <w:bottom w:val="none" w:sz="0" w:space="0" w:color="auto"/>
            <w:right w:val="none" w:sz="0" w:space="0" w:color="auto"/>
          </w:divBdr>
          <w:divsChild>
            <w:div w:id="405154561">
              <w:marLeft w:val="0"/>
              <w:marRight w:val="0"/>
              <w:marTop w:val="0"/>
              <w:marBottom w:val="0"/>
              <w:divBdr>
                <w:top w:val="none" w:sz="0" w:space="0" w:color="auto"/>
                <w:left w:val="none" w:sz="0" w:space="0" w:color="auto"/>
                <w:bottom w:val="none" w:sz="0" w:space="0" w:color="auto"/>
                <w:right w:val="none" w:sz="0" w:space="0" w:color="auto"/>
              </w:divBdr>
            </w:div>
          </w:divsChild>
        </w:div>
        <w:div w:id="1469468370">
          <w:marLeft w:val="0"/>
          <w:marRight w:val="0"/>
          <w:marTop w:val="0"/>
          <w:marBottom w:val="0"/>
          <w:divBdr>
            <w:top w:val="none" w:sz="0" w:space="0" w:color="auto"/>
            <w:left w:val="none" w:sz="0" w:space="0" w:color="auto"/>
            <w:bottom w:val="none" w:sz="0" w:space="0" w:color="auto"/>
            <w:right w:val="none" w:sz="0" w:space="0" w:color="auto"/>
          </w:divBdr>
          <w:divsChild>
            <w:div w:id="145879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01">
      <w:bodyDiv w:val="1"/>
      <w:marLeft w:val="0"/>
      <w:marRight w:val="0"/>
      <w:marTop w:val="0"/>
      <w:marBottom w:val="0"/>
      <w:divBdr>
        <w:top w:val="none" w:sz="0" w:space="0" w:color="auto"/>
        <w:left w:val="none" w:sz="0" w:space="0" w:color="auto"/>
        <w:bottom w:val="none" w:sz="0" w:space="0" w:color="auto"/>
        <w:right w:val="none" w:sz="0" w:space="0" w:color="auto"/>
      </w:divBdr>
    </w:div>
    <w:div w:id="1079406859">
      <w:bodyDiv w:val="1"/>
      <w:marLeft w:val="0"/>
      <w:marRight w:val="0"/>
      <w:marTop w:val="0"/>
      <w:marBottom w:val="0"/>
      <w:divBdr>
        <w:top w:val="none" w:sz="0" w:space="0" w:color="auto"/>
        <w:left w:val="none" w:sz="0" w:space="0" w:color="auto"/>
        <w:bottom w:val="none" w:sz="0" w:space="0" w:color="auto"/>
        <w:right w:val="none" w:sz="0" w:space="0" w:color="auto"/>
      </w:divBdr>
    </w:div>
    <w:div w:id="1087579755">
      <w:bodyDiv w:val="1"/>
      <w:marLeft w:val="0"/>
      <w:marRight w:val="0"/>
      <w:marTop w:val="0"/>
      <w:marBottom w:val="0"/>
      <w:divBdr>
        <w:top w:val="none" w:sz="0" w:space="0" w:color="auto"/>
        <w:left w:val="none" w:sz="0" w:space="0" w:color="auto"/>
        <w:bottom w:val="none" w:sz="0" w:space="0" w:color="auto"/>
        <w:right w:val="none" w:sz="0" w:space="0" w:color="auto"/>
      </w:divBdr>
    </w:div>
    <w:div w:id="1132556230">
      <w:bodyDiv w:val="1"/>
      <w:marLeft w:val="0"/>
      <w:marRight w:val="0"/>
      <w:marTop w:val="0"/>
      <w:marBottom w:val="0"/>
      <w:divBdr>
        <w:top w:val="none" w:sz="0" w:space="0" w:color="auto"/>
        <w:left w:val="none" w:sz="0" w:space="0" w:color="auto"/>
        <w:bottom w:val="none" w:sz="0" w:space="0" w:color="auto"/>
        <w:right w:val="none" w:sz="0" w:space="0" w:color="auto"/>
      </w:divBdr>
    </w:div>
    <w:div w:id="1248078066">
      <w:bodyDiv w:val="1"/>
      <w:marLeft w:val="0"/>
      <w:marRight w:val="0"/>
      <w:marTop w:val="0"/>
      <w:marBottom w:val="0"/>
      <w:divBdr>
        <w:top w:val="none" w:sz="0" w:space="0" w:color="auto"/>
        <w:left w:val="none" w:sz="0" w:space="0" w:color="auto"/>
        <w:bottom w:val="none" w:sz="0" w:space="0" w:color="auto"/>
        <w:right w:val="none" w:sz="0" w:space="0" w:color="auto"/>
      </w:divBdr>
    </w:div>
    <w:div w:id="1364938419">
      <w:bodyDiv w:val="1"/>
      <w:marLeft w:val="0"/>
      <w:marRight w:val="0"/>
      <w:marTop w:val="0"/>
      <w:marBottom w:val="0"/>
      <w:divBdr>
        <w:top w:val="none" w:sz="0" w:space="0" w:color="auto"/>
        <w:left w:val="none" w:sz="0" w:space="0" w:color="auto"/>
        <w:bottom w:val="none" w:sz="0" w:space="0" w:color="auto"/>
        <w:right w:val="none" w:sz="0" w:space="0" w:color="auto"/>
      </w:divBdr>
      <w:divsChild>
        <w:div w:id="64454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181630">
              <w:marLeft w:val="0"/>
              <w:marRight w:val="0"/>
              <w:marTop w:val="0"/>
              <w:marBottom w:val="0"/>
              <w:divBdr>
                <w:top w:val="none" w:sz="0" w:space="0" w:color="auto"/>
                <w:left w:val="none" w:sz="0" w:space="0" w:color="auto"/>
                <w:bottom w:val="none" w:sz="0" w:space="0" w:color="auto"/>
                <w:right w:val="none" w:sz="0" w:space="0" w:color="auto"/>
              </w:divBdr>
              <w:divsChild>
                <w:div w:id="896816149">
                  <w:marLeft w:val="0"/>
                  <w:marRight w:val="0"/>
                  <w:marTop w:val="0"/>
                  <w:marBottom w:val="0"/>
                  <w:divBdr>
                    <w:top w:val="none" w:sz="0" w:space="0" w:color="auto"/>
                    <w:left w:val="none" w:sz="0" w:space="0" w:color="auto"/>
                    <w:bottom w:val="none" w:sz="0" w:space="0" w:color="auto"/>
                    <w:right w:val="none" w:sz="0" w:space="0" w:color="auto"/>
                  </w:divBdr>
                  <w:divsChild>
                    <w:div w:id="1212301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438782">
                          <w:marLeft w:val="0"/>
                          <w:marRight w:val="0"/>
                          <w:marTop w:val="0"/>
                          <w:marBottom w:val="0"/>
                          <w:divBdr>
                            <w:top w:val="none" w:sz="0" w:space="0" w:color="auto"/>
                            <w:left w:val="none" w:sz="0" w:space="0" w:color="auto"/>
                            <w:bottom w:val="none" w:sz="0" w:space="0" w:color="auto"/>
                            <w:right w:val="none" w:sz="0" w:space="0" w:color="auto"/>
                          </w:divBdr>
                          <w:divsChild>
                            <w:div w:id="183055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320393">
      <w:bodyDiv w:val="1"/>
      <w:marLeft w:val="0"/>
      <w:marRight w:val="0"/>
      <w:marTop w:val="0"/>
      <w:marBottom w:val="0"/>
      <w:divBdr>
        <w:top w:val="none" w:sz="0" w:space="0" w:color="auto"/>
        <w:left w:val="none" w:sz="0" w:space="0" w:color="auto"/>
        <w:bottom w:val="none" w:sz="0" w:space="0" w:color="auto"/>
        <w:right w:val="none" w:sz="0" w:space="0" w:color="auto"/>
      </w:divBdr>
    </w:div>
    <w:div w:id="1908612038">
      <w:bodyDiv w:val="1"/>
      <w:marLeft w:val="0"/>
      <w:marRight w:val="0"/>
      <w:marTop w:val="0"/>
      <w:marBottom w:val="0"/>
      <w:divBdr>
        <w:top w:val="none" w:sz="0" w:space="0" w:color="auto"/>
        <w:left w:val="none" w:sz="0" w:space="0" w:color="auto"/>
        <w:bottom w:val="none" w:sz="0" w:space="0" w:color="auto"/>
        <w:right w:val="none" w:sz="0" w:space="0" w:color="auto"/>
      </w:divBdr>
    </w:div>
    <w:div w:id="1928922599">
      <w:bodyDiv w:val="1"/>
      <w:marLeft w:val="0"/>
      <w:marRight w:val="0"/>
      <w:marTop w:val="0"/>
      <w:marBottom w:val="0"/>
      <w:divBdr>
        <w:top w:val="none" w:sz="0" w:space="0" w:color="auto"/>
        <w:left w:val="none" w:sz="0" w:space="0" w:color="auto"/>
        <w:bottom w:val="none" w:sz="0" w:space="0" w:color="auto"/>
        <w:right w:val="none" w:sz="0" w:space="0" w:color="auto"/>
      </w:divBdr>
      <w:divsChild>
        <w:div w:id="290291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925470">
              <w:marLeft w:val="0"/>
              <w:marRight w:val="0"/>
              <w:marTop w:val="0"/>
              <w:marBottom w:val="0"/>
              <w:divBdr>
                <w:top w:val="none" w:sz="0" w:space="0" w:color="auto"/>
                <w:left w:val="none" w:sz="0" w:space="0" w:color="auto"/>
                <w:bottom w:val="none" w:sz="0" w:space="0" w:color="auto"/>
                <w:right w:val="none" w:sz="0" w:space="0" w:color="auto"/>
              </w:divBdr>
              <w:divsChild>
                <w:div w:id="1807237549">
                  <w:marLeft w:val="0"/>
                  <w:marRight w:val="0"/>
                  <w:marTop w:val="0"/>
                  <w:marBottom w:val="0"/>
                  <w:divBdr>
                    <w:top w:val="none" w:sz="0" w:space="0" w:color="auto"/>
                    <w:left w:val="none" w:sz="0" w:space="0" w:color="auto"/>
                    <w:bottom w:val="none" w:sz="0" w:space="0" w:color="auto"/>
                    <w:right w:val="none" w:sz="0" w:space="0" w:color="auto"/>
                  </w:divBdr>
                  <w:divsChild>
                    <w:div w:id="727453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117388">
                          <w:marLeft w:val="0"/>
                          <w:marRight w:val="0"/>
                          <w:marTop w:val="0"/>
                          <w:marBottom w:val="0"/>
                          <w:divBdr>
                            <w:top w:val="none" w:sz="0" w:space="0" w:color="auto"/>
                            <w:left w:val="none" w:sz="0" w:space="0" w:color="auto"/>
                            <w:bottom w:val="none" w:sz="0" w:space="0" w:color="auto"/>
                            <w:right w:val="none" w:sz="0" w:space="0" w:color="auto"/>
                          </w:divBdr>
                          <w:divsChild>
                            <w:div w:id="136120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649695">
      <w:bodyDiv w:val="1"/>
      <w:marLeft w:val="0"/>
      <w:marRight w:val="0"/>
      <w:marTop w:val="0"/>
      <w:marBottom w:val="0"/>
      <w:divBdr>
        <w:top w:val="none" w:sz="0" w:space="0" w:color="auto"/>
        <w:left w:val="none" w:sz="0" w:space="0" w:color="auto"/>
        <w:bottom w:val="none" w:sz="0" w:space="0" w:color="auto"/>
        <w:right w:val="none" w:sz="0" w:space="0" w:color="auto"/>
      </w:divBdr>
    </w:div>
    <w:div w:id="1949583030">
      <w:bodyDiv w:val="1"/>
      <w:marLeft w:val="0"/>
      <w:marRight w:val="0"/>
      <w:marTop w:val="0"/>
      <w:marBottom w:val="0"/>
      <w:divBdr>
        <w:top w:val="none" w:sz="0" w:space="0" w:color="auto"/>
        <w:left w:val="none" w:sz="0" w:space="0" w:color="auto"/>
        <w:bottom w:val="none" w:sz="0" w:space="0" w:color="auto"/>
        <w:right w:val="none" w:sz="0" w:space="0" w:color="auto"/>
      </w:divBdr>
    </w:div>
    <w:div w:id="2115202505">
      <w:bodyDiv w:val="1"/>
      <w:marLeft w:val="0"/>
      <w:marRight w:val="0"/>
      <w:marTop w:val="0"/>
      <w:marBottom w:val="0"/>
      <w:divBdr>
        <w:top w:val="none" w:sz="0" w:space="0" w:color="auto"/>
        <w:left w:val="none" w:sz="0" w:space="0" w:color="auto"/>
        <w:bottom w:val="none" w:sz="0" w:space="0" w:color="auto"/>
        <w:right w:val="none" w:sz="0" w:space="0" w:color="auto"/>
      </w:divBdr>
      <w:divsChild>
        <w:div w:id="1285312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1709">
              <w:marLeft w:val="0"/>
              <w:marRight w:val="0"/>
              <w:marTop w:val="0"/>
              <w:marBottom w:val="0"/>
              <w:divBdr>
                <w:top w:val="none" w:sz="0" w:space="0" w:color="auto"/>
                <w:left w:val="none" w:sz="0" w:space="0" w:color="auto"/>
                <w:bottom w:val="none" w:sz="0" w:space="0" w:color="auto"/>
                <w:right w:val="none" w:sz="0" w:space="0" w:color="auto"/>
              </w:divBdr>
              <w:divsChild>
                <w:div w:id="473185084">
                  <w:marLeft w:val="0"/>
                  <w:marRight w:val="0"/>
                  <w:marTop w:val="0"/>
                  <w:marBottom w:val="0"/>
                  <w:divBdr>
                    <w:top w:val="none" w:sz="0" w:space="0" w:color="auto"/>
                    <w:left w:val="none" w:sz="0" w:space="0" w:color="auto"/>
                    <w:bottom w:val="none" w:sz="0" w:space="0" w:color="auto"/>
                    <w:right w:val="none" w:sz="0" w:space="0" w:color="auto"/>
                  </w:divBdr>
                  <w:divsChild>
                    <w:div w:id="43064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581329">
                          <w:marLeft w:val="0"/>
                          <w:marRight w:val="0"/>
                          <w:marTop w:val="0"/>
                          <w:marBottom w:val="0"/>
                          <w:divBdr>
                            <w:top w:val="none" w:sz="0" w:space="0" w:color="auto"/>
                            <w:left w:val="none" w:sz="0" w:space="0" w:color="auto"/>
                            <w:bottom w:val="none" w:sz="0" w:space="0" w:color="auto"/>
                            <w:right w:val="none" w:sz="0" w:space="0" w:color="auto"/>
                          </w:divBdr>
                          <w:divsChild>
                            <w:div w:id="149187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197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12.png"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customXml" Target="../customXml/item3.xml" Id="rId21" /><Relationship Type="http://schemas.openxmlformats.org/officeDocument/2006/relationships/endnotes" Target="endnotes.xml" Id="rId7" /><Relationship Type="http://schemas.openxmlformats.org/officeDocument/2006/relationships/image" Target="media/image11.png" Id="rId12" /><Relationship Type="http://schemas.openxmlformats.org/officeDocument/2006/relationships/footer" Target="footer1.xml" Id="rId17" /><Relationship Type="http://schemas.openxmlformats.org/officeDocument/2006/relationships/numbering" Target="numbering.xml" Id="rId2" /><Relationship Type="http://schemas.openxmlformats.org/officeDocument/2006/relationships/header" Target="header1.xml" Id="rId16" /><Relationship Type="http://schemas.openxmlformats.org/officeDocument/2006/relationships/customXml" Target="../customXml/item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10.png" Id="rId11" /><Relationship Type="http://schemas.openxmlformats.org/officeDocument/2006/relationships/webSettings" Target="webSettings.xml" Id="rId5" /><Relationship Type="http://schemas.openxmlformats.org/officeDocument/2006/relationships/image" Target="media/image9.png"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image" Target="media/image8.png" Id="rId9" /><Relationship Type="http://schemas.openxmlformats.org/officeDocument/2006/relationships/image" Target="media/image13.png" Id="rId14" /><Relationship Type="http://schemas.openxmlformats.org/officeDocument/2006/relationships/customXml" Target="../customXml/item4.xml" Id="rId22" /><Relationship Type="http://schemas.openxmlformats.org/officeDocument/2006/relationships/image" Target="/media/image11.png" Id="R42434f11a2484a64" /></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footnotes.xml.rels><?xml version="1.0" encoding="UTF-8" standalone="yes"?>
<Relationships xmlns="http://schemas.openxmlformats.org/package/2006/relationships"><Relationship Id="rId8" Type="http://schemas.openxmlformats.org/officeDocument/2006/relationships/hyperlink" Target="https://colaboracion.dnp.gov.co/CDT/DNP/Soporte%20t%c3%a9cnico%20Ley%20del%20Vigilante.pdf" TargetMode="External"/><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hyperlink" Target="https://ec.europa.eu/environment/gpp/pdf/Buying-Green-Handbook-3rd-Edition.pdf" TargetMode="External"/><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22EE27-437A-4E64-B0C8-C39A00EBBB06}">
  <ds:schemaRefs>
    <ds:schemaRef ds:uri="http://schemas.openxmlformats.org/officeDocument/2006/bibliography"/>
  </ds:schemaRefs>
</ds:datastoreItem>
</file>

<file path=customXml/itemProps2.xml><?xml version="1.0" encoding="utf-8"?>
<ds:datastoreItem xmlns:ds="http://schemas.openxmlformats.org/officeDocument/2006/customXml" ds:itemID="{9F56DE0F-929E-44BE-B7EB-54F99E99AB66}"/>
</file>

<file path=customXml/itemProps3.xml><?xml version="1.0" encoding="utf-8"?>
<ds:datastoreItem xmlns:ds="http://schemas.openxmlformats.org/officeDocument/2006/customXml" ds:itemID="{D65712A0-784A-476D-B9F8-B7C1D0662E36}"/>
</file>

<file path=customXml/itemProps4.xml><?xml version="1.0" encoding="utf-8"?>
<ds:datastoreItem xmlns:ds="http://schemas.openxmlformats.org/officeDocument/2006/customXml" ds:itemID="{DB181EA1-7D5D-4768-875F-4466AC46C4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dc:creator>
  <cp:keywords/>
  <dc:description/>
  <cp:lastModifiedBy>Alvaro Namen Vargas</cp:lastModifiedBy>
  <cp:revision>44</cp:revision>
  <cp:lastPrinted>2022-03-24T20:14:00Z</cp:lastPrinted>
  <dcterms:created xsi:type="dcterms:W3CDTF">2022-06-28T17:41:00Z</dcterms:created>
  <dcterms:modified xsi:type="dcterms:W3CDTF">2022-07-19T15:47:39Z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