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204AD" w:rsidR="006B6BB3" w:rsidP="00B204AD" w:rsidRDefault="006B6BB3" w14:paraId="28423BD7" w14:textId="77777777">
      <w:pPr>
        <w:spacing w:line="240" w:lineRule="auto"/>
        <w:jc w:val="both"/>
        <w:rPr>
          <w:rFonts w:ascii="Century Gothic" w:hAnsi="Century Gothic" w:eastAsia="Calibri" w:cs="Arial"/>
          <w:b/>
          <w:bCs/>
          <w:color w:val="000000" w:themeColor="text1"/>
          <w:sz w:val="20"/>
          <w:szCs w:val="20"/>
          <w:lang w:val="es-ES"/>
        </w:rPr>
      </w:pPr>
      <w:bookmarkStart w:name="_Hlk143780582" w:id="0"/>
      <w:r w:rsidRPr="00B204AD">
        <w:rPr>
          <w:rFonts w:ascii="Century Gothic" w:hAnsi="Century Gothic" w:eastAsia="Calibri" w:cs="Arial"/>
          <w:b/>
          <w:bCs/>
          <w:color w:val="000000" w:themeColor="text1"/>
          <w:sz w:val="20"/>
          <w:szCs w:val="20"/>
          <w:lang w:val="es-ES"/>
        </w:rPr>
        <w:t>EMPRESAS INDUSTRIALES Y COMERCIALES DEL ESTADO – Naturaleza jurídica</w:t>
      </w:r>
    </w:p>
    <w:p w:rsidRPr="00B204AD" w:rsidR="006B6BB3" w:rsidP="00B204AD" w:rsidRDefault="006B6BB3" w14:paraId="4F04544D" w14:textId="34757D0D">
      <w:pPr>
        <w:spacing w:line="240" w:lineRule="auto"/>
        <w:jc w:val="both"/>
        <w:rPr>
          <w:rFonts w:ascii="Century Gothic" w:hAnsi="Century Gothic" w:eastAsia="Calibri" w:cs="Arial"/>
          <w:b/>
          <w:bCs/>
          <w:color w:val="000000" w:themeColor="text1"/>
          <w:sz w:val="20"/>
          <w:szCs w:val="20"/>
          <w:lang w:val="es-ES"/>
        </w:rPr>
      </w:pPr>
      <w:r w:rsidRPr="00B204AD">
        <w:rPr>
          <w:rFonts w:ascii="Century Gothic" w:hAnsi="Century Gothic"/>
          <w:sz w:val="20"/>
          <w:szCs w:val="20"/>
        </w:rPr>
        <w:t>Dentro de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r w:rsidRPr="00B204AD">
        <w:rPr>
          <w:rFonts w:ascii="Century Gothic" w:hAnsi="Century Gothic"/>
          <w:sz w:val="20"/>
          <w:szCs w:val="20"/>
        </w:rPr>
        <w:t>.</w:t>
      </w:r>
    </w:p>
    <w:p w:rsidRPr="00B204AD" w:rsidR="006B6BB3" w:rsidP="00B204AD" w:rsidRDefault="006B6BB3" w14:paraId="7FF64EB3" w14:textId="77777777">
      <w:pPr>
        <w:spacing w:line="240" w:lineRule="auto"/>
        <w:jc w:val="both"/>
        <w:rPr>
          <w:rFonts w:ascii="Century Gothic" w:hAnsi="Century Gothic" w:eastAsia="Calibri" w:cs="Arial"/>
          <w:b/>
          <w:bCs/>
          <w:color w:val="000000" w:themeColor="text1"/>
          <w:sz w:val="20"/>
          <w:szCs w:val="20"/>
          <w:lang w:val="es-ES"/>
        </w:rPr>
      </w:pPr>
      <w:r w:rsidRPr="00B204AD">
        <w:rPr>
          <w:rFonts w:ascii="Century Gothic" w:hAnsi="Century Gothic" w:eastAsia="Calibri" w:cs="Arial"/>
          <w:b/>
          <w:bCs/>
          <w:color w:val="000000" w:themeColor="text1"/>
          <w:sz w:val="20"/>
          <w:szCs w:val="20"/>
          <w:lang w:val="es-ES"/>
        </w:rPr>
        <w:t>EMPRESAS INDUSTRIALES Y COMERCIALES DEL ESTADO - Régimen de contratación</w:t>
      </w:r>
    </w:p>
    <w:p w:rsidRPr="00B204AD" w:rsidR="006B6BB3" w:rsidP="00B204AD" w:rsidRDefault="006B6BB3" w14:paraId="5102619E" w14:textId="5393A99E">
      <w:pPr>
        <w:spacing w:line="240" w:lineRule="auto"/>
        <w:jc w:val="both"/>
        <w:rPr>
          <w:rFonts w:ascii="Century Gothic" w:hAnsi="Century Gothic" w:eastAsia="Calibri" w:cs="Arial"/>
          <w:b/>
          <w:bCs/>
          <w:color w:val="000000" w:themeColor="text1"/>
          <w:sz w:val="20"/>
          <w:szCs w:val="20"/>
          <w:lang w:val="es-ES"/>
        </w:rPr>
      </w:pPr>
      <w:r w:rsidRPr="00B204AD">
        <w:rPr>
          <w:rFonts w:ascii="Century Gothic" w:hAnsi="Century Gothic"/>
          <w:sz w:val="20"/>
          <w:szCs w:val="20"/>
        </w:rPr>
        <w:t xml:space="preserve">Por lo tanto, las EICE en las que el Estado tenga participación superior al cincuenta por ciento (50%), están sometidas, por regla general, al EGCAP, excepto cuando: i) desarrollen actividades comerciales en competencia con el sector privado y/o público, nacional o internacional o </w:t>
      </w:r>
      <w:proofErr w:type="spellStart"/>
      <w:r w:rsidRPr="00B204AD">
        <w:rPr>
          <w:rFonts w:ascii="Century Gothic" w:hAnsi="Century Gothic"/>
          <w:sz w:val="20"/>
          <w:szCs w:val="20"/>
        </w:rPr>
        <w:t>ii</w:t>
      </w:r>
      <w:proofErr w:type="spellEnd"/>
      <w:r w:rsidRPr="00B204AD">
        <w:rPr>
          <w:rFonts w:ascii="Century Gothic" w:hAnsi="Century Gothic"/>
          <w:sz w:val="20"/>
          <w:szCs w:val="20"/>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vigilancia y control fiscal consagrados en los artículos 209 y 267 de la Constitución Política y el régimen de inhabilidades e incompatibilidades previsto legalmente para la contratación estatal</w:t>
      </w:r>
      <w:r w:rsidRPr="00B204AD">
        <w:rPr>
          <w:rFonts w:ascii="Century Gothic" w:hAnsi="Century Gothic"/>
          <w:sz w:val="20"/>
          <w:szCs w:val="20"/>
        </w:rPr>
        <w:t>.</w:t>
      </w:r>
    </w:p>
    <w:p w:rsidRPr="00B204AD" w:rsidR="006B6BB3" w:rsidP="00B204AD" w:rsidRDefault="006B6BB3" w14:paraId="01891E84" w14:textId="0F032F34">
      <w:pPr>
        <w:spacing w:line="240" w:lineRule="auto"/>
        <w:jc w:val="both"/>
        <w:rPr>
          <w:rFonts w:ascii="Century Gothic" w:hAnsi="Century Gothic" w:eastAsia="Calibri" w:cs="Arial"/>
          <w:b w:val="1"/>
          <w:bCs w:val="1"/>
          <w:color w:val="000000" w:themeColor="text1"/>
          <w:sz w:val="20"/>
          <w:szCs w:val="20"/>
          <w:lang w:val="es-ES"/>
        </w:rPr>
      </w:pPr>
      <w:r w:rsidRPr="1A640D15" w:rsidR="006B6BB3">
        <w:rPr>
          <w:rFonts w:ascii="Century Gothic" w:hAnsi="Century Gothic" w:eastAsia="Calibri" w:cs="Arial"/>
          <w:b w:val="1"/>
          <w:bCs w:val="1"/>
          <w:color w:val="000000" w:themeColor="text1" w:themeTint="FF" w:themeShade="FF"/>
          <w:sz w:val="20"/>
          <w:szCs w:val="20"/>
          <w:lang w:val="es-ES"/>
        </w:rPr>
        <w:t>R</w:t>
      </w:r>
      <w:r w:rsidRPr="1A640D15" w:rsidR="3C0A51B6">
        <w:rPr>
          <w:rFonts w:ascii="Century Gothic" w:hAnsi="Century Gothic" w:eastAsia="Calibri" w:cs="Arial"/>
          <w:b w:val="1"/>
          <w:bCs w:val="1"/>
          <w:color w:val="000000" w:themeColor="text1" w:themeTint="FF" w:themeShade="FF"/>
          <w:sz w:val="20"/>
          <w:szCs w:val="20"/>
          <w:lang w:val="es-ES"/>
        </w:rPr>
        <w:t>É</w:t>
      </w:r>
      <w:r w:rsidRPr="1A640D15" w:rsidR="006B6BB3">
        <w:rPr>
          <w:rFonts w:ascii="Century Gothic" w:hAnsi="Century Gothic" w:eastAsia="Calibri" w:cs="Arial"/>
          <w:b w:val="1"/>
          <w:bCs w:val="1"/>
          <w:color w:val="000000" w:themeColor="text1" w:themeTint="FF" w:themeShade="FF"/>
          <w:sz w:val="20"/>
          <w:szCs w:val="20"/>
          <w:lang w:val="es-ES"/>
        </w:rPr>
        <w:t xml:space="preserve">GIMEN ESPECIAL - Obligaciones transversales a las entidades exceptuadas del EGCAP </w:t>
      </w:r>
    </w:p>
    <w:p w:rsidRPr="00B204AD" w:rsidR="006B6BB3" w:rsidP="00B204AD" w:rsidRDefault="006B6BB3" w14:paraId="1C9857A7" w14:textId="6301FFBA">
      <w:pPr>
        <w:spacing w:line="240" w:lineRule="auto"/>
        <w:jc w:val="both"/>
        <w:rPr>
          <w:rFonts w:ascii="Century Gothic" w:hAnsi="Century Gothic" w:eastAsia="Calibri" w:cs="Arial"/>
          <w:b/>
          <w:bCs/>
          <w:color w:val="000000" w:themeColor="text1"/>
          <w:sz w:val="20"/>
          <w:szCs w:val="20"/>
          <w:lang w:val="es-ES"/>
        </w:rPr>
      </w:pPr>
      <w:r w:rsidRPr="00B204AD">
        <w:rPr>
          <w:rFonts w:ascii="Century Gothic" w:hAnsi="Century Gothic"/>
          <w:sz w:val="20"/>
          <w:szCs w:val="20"/>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B204AD">
        <w:rPr>
          <w:rFonts w:ascii="Century Gothic" w:hAnsi="Century Gothic"/>
          <w:sz w:val="20"/>
          <w:szCs w:val="20"/>
        </w:rPr>
        <w:t>ii</w:t>
      </w:r>
      <w:proofErr w:type="spellEnd"/>
      <w:r w:rsidRPr="00B204AD">
        <w:rPr>
          <w:rFonts w:ascii="Century Gothic" w:hAnsi="Century Gothic"/>
          <w:sz w:val="20"/>
          <w:szCs w:val="20"/>
        </w:rPr>
        <w:t xml:space="preserve">) causales de inhabilidad e incompatibilidad; </w:t>
      </w:r>
      <w:proofErr w:type="spellStart"/>
      <w:r w:rsidRPr="00B204AD">
        <w:rPr>
          <w:rFonts w:ascii="Century Gothic" w:hAnsi="Century Gothic"/>
          <w:sz w:val="20"/>
          <w:szCs w:val="20"/>
        </w:rPr>
        <w:t>iii</w:t>
      </w:r>
      <w:proofErr w:type="spellEnd"/>
      <w:r w:rsidRPr="00B204AD">
        <w:rPr>
          <w:rFonts w:ascii="Century Gothic" w:hAnsi="Century Gothic"/>
          <w:sz w:val="20"/>
          <w:szCs w:val="20"/>
        </w:rPr>
        <w:t xml:space="preserve">) el principio de anualidad del gasto; y, </w:t>
      </w:r>
      <w:proofErr w:type="spellStart"/>
      <w:r w:rsidRPr="00B204AD">
        <w:rPr>
          <w:rFonts w:ascii="Century Gothic" w:hAnsi="Century Gothic"/>
          <w:sz w:val="20"/>
          <w:szCs w:val="20"/>
        </w:rPr>
        <w:t>iv</w:t>
      </w:r>
      <w:proofErr w:type="spellEnd"/>
      <w:r w:rsidRPr="00B204AD">
        <w:rPr>
          <w:rFonts w:ascii="Century Gothic" w:hAnsi="Century Gothic"/>
          <w:sz w:val="20"/>
          <w:szCs w:val="20"/>
        </w:rPr>
        <w:t>) restricciones al acceso a la administración de justicia para discutir las controversias contractuales, son, entre otros</w:t>
      </w:r>
      <w:r w:rsidRPr="00B204AD">
        <w:rPr>
          <w:rFonts w:ascii="Century Gothic" w:hAnsi="Century Gothic"/>
          <w:sz w:val="20"/>
          <w:szCs w:val="20"/>
        </w:rPr>
        <w:t xml:space="preserve"> </w:t>
      </w:r>
      <w:r w:rsidRPr="00B204AD">
        <w:rPr>
          <w:rFonts w:ascii="Century Gothic" w:hAnsi="Century Gothic"/>
          <w:sz w:val="20"/>
          <w:szCs w:val="20"/>
        </w:rPr>
        <w:t>temas cuya regulación está reservada al legislador y que, por tanto, las entidades exceptuadas no pueden reglamentar en su manual de contratación</w:t>
      </w:r>
      <w:r w:rsidRPr="00B204AD">
        <w:rPr>
          <w:rFonts w:ascii="Century Gothic" w:hAnsi="Century Gothic"/>
          <w:sz w:val="20"/>
          <w:szCs w:val="20"/>
        </w:rPr>
        <w:t>.</w:t>
      </w:r>
    </w:p>
    <w:p w:rsidRPr="00B204AD" w:rsidR="006B6BB3" w:rsidP="00B204AD" w:rsidRDefault="006B6BB3" w14:paraId="1EA06D19" w14:textId="0BD1AC09">
      <w:pPr>
        <w:spacing w:line="240" w:lineRule="auto"/>
        <w:jc w:val="both"/>
        <w:rPr>
          <w:rFonts w:ascii="Century Gothic" w:hAnsi="Century Gothic" w:eastAsia="Calibri" w:cs="Arial"/>
          <w:b w:val="1"/>
          <w:bCs w:val="1"/>
          <w:color w:val="000000" w:themeColor="text1"/>
          <w:sz w:val="20"/>
          <w:szCs w:val="20"/>
          <w:lang w:val="es-ES"/>
        </w:rPr>
      </w:pPr>
      <w:r w:rsidRPr="1A640D15" w:rsidR="006B6BB3">
        <w:rPr>
          <w:rFonts w:ascii="Century Gothic" w:hAnsi="Century Gothic" w:eastAsia="Calibri" w:cs="Arial"/>
          <w:b w:val="1"/>
          <w:bCs w:val="1"/>
          <w:color w:val="000000" w:themeColor="text1" w:themeTint="FF" w:themeShade="FF"/>
          <w:sz w:val="20"/>
          <w:szCs w:val="20"/>
          <w:lang w:val="es-ES"/>
        </w:rPr>
        <w:t>R</w:t>
      </w:r>
      <w:r w:rsidRPr="1A640D15" w:rsidR="03CFDCC3">
        <w:rPr>
          <w:rFonts w:ascii="Century Gothic" w:hAnsi="Century Gothic" w:eastAsia="Calibri" w:cs="Arial"/>
          <w:b w:val="1"/>
          <w:bCs w:val="1"/>
          <w:color w:val="000000" w:themeColor="text1" w:themeTint="FF" w:themeShade="FF"/>
          <w:sz w:val="20"/>
          <w:szCs w:val="20"/>
          <w:lang w:val="es-ES"/>
        </w:rPr>
        <w:t>É</w:t>
      </w:r>
      <w:r w:rsidRPr="1A640D15" w:rsidR="006B6BB3">
        <w:rPr>
          <w:rFonts w:ascii="Century Gothic" w:hAnsi="Century Gothic" w:eastAsia="Calibri" w:cs="Arial"/>
          <w:b w:val="1"/>
          <w:bCs w:val="1"/>
          <w:color w:val="000000" w:themeColor="text1" w:themeTint="FF" w:themeShade="FF"/>
          <w:sz w:val="20"/>
          <w:szCs w:val="20"/>
          <w:lang w:val="es-ES"/>
        </w:rPr>
        <w:t xml:space="preserve">GIMEN ESPECIAL – Ejercicio de facultades unilaterales </w:t>
      </w:r>
    </w:p>
    <w:p w:rsidRPr="00B204AD" w:rsidR="006B6BB3" w:rsidP="00B204AD" w:rsidRDefault="006B6BB3" w14:paraId="007BDCE8" w14:textId="7AA192FE">
      <w:pPr>
        <w:spacing w:line="240" w:lineRule="auto"/>
        <w:jc w:val="both"/>
        <w:rPr>
          <w:rFonts w:ascii="Century Gothic" w:hAnsi="Century Gothic" w:eastAsia="Calibri" w:cs="Arial"/>
          <w:b/>
          <w:bCs/>
          <w:color w:val="000000" w:themeColor="text1"/>
          <w:sz w:val="20"/>
          <w:szCs w:val="20"/>
          <w:lang w:val="es-ES"/>
        </w:rPr>
      </w:pPr>
      <w:r w:rsidRPr="00B204AD">
        <w:rPr>
          <w:rFonts w:ascii="Century Gothic" w:hAnsi="Century Gothic"/>
          <w:sz w:val="20"/>
          <w:szCs w:val="20"/>
        </w:rPr>
        <w:t xml:space="preserve">En cuanto a las entidades sometidas a régimen especial, cabe destacar que estas adelantan sus procedimientos contractuales a través de regímenes diferentes a los previstos en las Leyes 80 de 1993 y 1150 de 2007. En esta medida, la normativa que rige su actuación viene dada por la norma que crea el régimen especial y por el respectivo manual de contratación de la entidad, debidamente expedido. Adicionalmente, este tipo de entidades actúan en desarrollo de su actividad contractual en igualdad de condiciones con los particulares, es decir, generalmente se rigen por el derecho privado atendiendo a las normas civiles o comerciales. </w:t>
      </w:r>
    </w:p>
    <w:p w:rsidRPr="00B204AD" w:rsidR="006B6BB3" w:rsidP="00B204AD" w:rsidRDefault="006B6BB3" w14:paraId="63D76A24" w14:textId="5B1DB123">
      <w:pPr>
        <w:spacing w:line="240" w:lineRule="auto"/>
        <w:jc w:val="both"/>
        <w:rPr>
          <w:rFonts w:ascii="Century Gothic" w:hAnsi="Century Gothic" w:eastAsia="Calibri" w:cs="Arial"/>
          <w:b w:val="1"/>
          <w:bCs w:val="1"/>
          <w:color w:val="000000" w:themeColor="text1"/>
          <w:sz w:val="20"/>
          <w:szCs w:val="20"/>
          <w:lang w:val="es-ES"/>
        </w:rPr>
      </w:pPr>
      <w:r w:rsidRPr="1A640D15" w:rsidR="006B6BB3">
        <w:rPr>
          <w:rFonts w:ascii="Century Gothic" w:hAnsi="Century Gothic" w:eastAsia="Calibri" w:cs="Arial"/>
          <w:b w:val="1"/>
          <w:bCs w:val="1"/>
          <w:color w:val="000000" w:themeColor="text1" w:themeTint="FF" w:themeShade="FF"/>
          <w:sz w:val="20"/>
          <w:szCs w:val="20"/>
          <w:lang w:val="es-ES"/>
        </w:rPr>
        <w:t>R</w:t>
      </w:r>
      <w:r w:rsidRPr="1A640D15" w:rsidR="29DCA39A">
        <w:rPr>
          <w:rFonts w:ascii="Century Gothic" w:hAnsi="Century Gothic" w:eastAsia="Calibri" w:cs="Arial"/>
          <w:b w:val="1"/>
          <w:bCs w:val="1"/>
          <w:color w:val="000000" w:themeColor="text1" w:themeTint="FF" w:themeShade="FF"/>
          <w:sz w:val="20"/>
          <w:szCs w:val="20"/>
          <w:lang w:val="es-ES"/>
        </w:rPr>
        <w:t>É</w:t>
      </w:r>
      <w:r w:rsidRPr="1A640D15" w:rsidR="006B6BB3">
        <w:rPr>
          <w:rFonts w:ascii="Century Gothic" w:hAnsi="Century Gothic" w:eastAsia="Calibri" w:cs="Arial"/>
          <w:b w:val="1"/>
          <w:bCs w:val="1"/>
          <w:color w:val="000000" w:themeColor="text1" w:themeTint="FF" w:themeShade="FF"/>
          <w:sz w:val="20"/>
          <w:szCs w:val="20"/>
          <w:lang w:val="es-ES"/>
        </w:rPr>
        <w:t>GIMEN ESPECIAL - Potestad sancionatoria</w:t>
      </w:r>
    </w:p>
    <w:p w:rsidRPr="00B204AD" w:rsidR="006B6BB3" w:rsidP="00B204AD" w:rsidRDefault="006B6BB3" w14:paraId="0F1ACE55" w14:textId="1A58E9AA">
      <w:pPr>
        <w:spacing w:line="240" w:lineRule="auto"/>
        <w:jc w:val="both"/>
        <w:rPr>
          <w:rFonts w:ascii="Century Gothic" w:hAnsi="Century Gothic"/>
          <w:sz w:val="20"/>
          <w:szCs w:val="20"/>
        </w:rPr>
      </w:pPr>
      <w:r w:rsidRPr="00B204AD">
        <w:rPr>
          <w:rFonts w:ascii="Century Gothic" w:hAnsi="Century Gothic"/>
          <w:sz w:val="20"/>
          <w:szCs w:val="20"/>
        </w:rPr>
        <w:t xml:space="preserve">En este sentido, en virtud del principio de autonomía de la voluntad de las partes y las normas de derecho privado que rigen la contratación con entidades de régimen especial, estas podrán pactar las cláusulas que consideren necesarias para lograr el cumplimento de </w:t>
      </w:r>
      <w:r w:rsidRPr="00B204AD">
        <w:rPr>
          <w:rFonts w:ascii="Century Gothic" w:hAnsi="Century Gothic"/>
          <w:sz w:val="20"/>
          <w:szCs w:val="20"/>
        </w:rPr>
        <w:t>sus intereses, como podría ser el establecimiento de cláusulas penales o multas. Sin embargo, como se expuso previamente, el Consejo de Estado, indicó en un primer momento, que estas entidades no se encuentran facultadas para determinar procedimientos excepcionales como la aplicación unilateral de multas o cláusulas penales o la imposición de procedimientos sancionatorios, al considerar que su estipulación no podía ser atribuida exclusivamente a la autonomía de las partes, salvo que la Ley que creó el régimen especial autorice su uso</w:t>
      </w:r>
      <w:r w:rsidRPr="00B204AD">
        <w:rPr>
          <w:rFonts w:ascii="Century Gothic" w:hAnsi="Century Gothic"/>
          <w:sz w:val="20"/>
          <w:szCs w:val="20"/>
        </w:rPr>
        <w:t xml:space="preserve"> (…).</w:t>
      </w:r>
    </w:p>
    <w:p w:rsidRPr="00B204AD" w:rsidR="00B204AD" w:rsidP="00B204AD" w:rsidRDefault="006B6BB3" w14:paraId="6FFA991A" w14:textId="77777777">
      <w:pPr>
        <w:spacing w:line="240" w:lineRule="auto"/>
        <w:jc w:val="both"/>
        <w:rPr>
          <w:rFonts w:ascii="Century Gothic" w:hAnsi="Century Gothic"/>
          <w:sz w:val="20"/>
          <w:szCs w:val="20"/>
        </w:rPr>
      </w:pPr>
      <w:r w:rsidRPr="00B204AD">
        <w:rPr>
          <w:rFonts w:ascii="Century Gothic" w:hAnsi="Century Gothic"/>
          <w:sz w:val="20"/>
          <w:szCs w:val="20"/>
        </w:rPr>
        <w:t xml:space="preserve">Sin embargo, en los últimos años, la Sección Tercera del Consejo de Estado, ha ido cambiando la anterior postura indicando que: “las partes contratantes, en ejercicio de la autonomía negocial, pueden pactar dentro de la convención que rige la relación contractual figuras como la multa, la cláusula penal, terminación por mutuo acuerdo o unilateral, todas estas como previsión anticipada de las consecuencias del posible incumplimiento en que pueda incurrir una de ellas” </w:t>
      </w:r>
    </w:p>
    <w:p w:rsidRPr="00B204AD" w:rsidR="00B204AD" w:rsidP="00B204AD" w:rsidRDefault="00B204AD" w14:paraId="072E6770" w14:textId="77777777">
      <w:pPr>
        <w:spacing w:line="240" w:lineRule="auto"/>
        <w:jc w:val="both"/>
        <w:rPr>
          <w:rFonts w:ascii="Century Gothic" w:hAnsi="Century Gothic"/>
          <w:sz w:val="20"/>
          <w:szCs w:val="20"/>
        </w:rPr>
      </w:pPr>
      <w:r w:rsidRPr="00B204AD">
        <w:rPr>
          <w:rFonts w:ascii="Century Gothic" w:hAnsi="Century Gothic"/>
          <w:sz w:val="20"/>
          <w:szCs w:val="20"/>
        </w:rPr>
        <w:t>(…)</w:t>
      </w:r>
    </w:p>
    <w:p w:rsidRPr="00B204AD" w:rsidR="006B6BB3" w:rsidP="00B204AD" w:rsidRDefault="006B6BB3" w14:paraId="4C314CB7" w14:textId="42741AB4">
      <w:pPr>
        <w:spacing w:line="240" w:lineRule="auto"/>
        <w:jc w:val="both"/>
        <w:rPr>
          <w:rFonts w:ascii="Century Gothic" w:hAnsi="Century Gothic"/>
          <w:sz w:val="20"/>
          <w:szCs w:val="20"/>
        </w:rPr>
      </w:pPr>
      <w:r w:rsidRPr="00B204AD">
        <w:rPr>
          <w:rFonts w:ascii="Century Gothic" w:hAnsi="Century Gothic"/>
          <w:sz w:val="20"/>
          <w:szCs w:val="20"/>
        </w:rPr>
        <w:t>La jurisprudencia reciente de este tribunal y de la Corte Suprema de Justicia confirmó no sólo la validez del pacto de poderes unilaterales en el marco de los contratos de derecho privado suscritos por entidades del régimen especial, sino también su capacidad dispositiva de hacerlas efectivas a través actos jurídicos unilaterales de derecho privado, no de actos administrativos.</w:t>
      </w:r>
    </w:p>
    <w:p w:rsidRPr="00B204AD" w:rsidR="00B204AD" w:rsidP="00B204AD" w:rsidRDefault="00B204AD" w14:paraId="3C954072" w14:textId="56814CD1">
      <w:pPr>
        <w:spacing w:line="240" w:lineRule="auto"/>
        <w:jc w:val="both"/>
        <w:rPr>
          <w:rFonts w:ascii="Century Gothic" w:hAnsi="Century Gothic"/>
          <w:sz w:val="20"/>
          <w:szCs w:val="20"/>
        </w:rPr>
      </w:pPr>
      <w:r w:rsidRPr="00B204AD">
        <w:rPr>
          <w:rFonts w:ascii="Century Gothic" w:hAnsi="Century Gothic"/>
          <w:sz w:val="20"/>
          <w:szCs w:val="20"/>
        </w:rPr>
        <w:t>(…)</w:t>
      </w:r>
    </w:p>
    <w:p w:rsidRPr="00B204AD" w:rsidR="006B6BB3" w:rsidP="00B204AD" w:rsidRDefault="006B6BB3" w14:paraId="44EA193F" w14:textId="7CF420A4">
      <w:pPr>
        <w:spacing w:line="240" w:lineRule="auto"/>
        <w:jc w:val="both"/>
        <w:rPr>
          <w:rFonts w:ascii="Century Gothic" w:hAnsi="Century Gothic"/>
          <w:sz w:val="20"/>
          <w:szCs w:val="20"/>
          <w:lang w:val="es-ES"/>
        </w:rPr>
      </w:pPr>
      <w:r w:rsidRPr="00B204AD">
        <w:rPr>
          <w:rFonts w:ascii="Century Gothic" w:hAnsi="Century Gothic"/>
          <w:sz w:val="20"/>
          <w:szCs w:val="20"/>
        </w:rPr>
        <w:t>En ese contexto, ante la posibilidad de estas sanciones puedan ser ejecutadas directamente por la entidad con régimen especial en contratación, a través de actos unilaterales de derecho privado, la Agencia considera que el procedimiento a seguir para realizar dichas declaratorias corresponderá a lo regulado exclusivamente en sus respectivos manuales de contratación sobre la responsabilidad contractual, y ante la ausencia de tales disposiciones en el reglamento interno de contratación de la entidad exceptuada deberá suplirse con las normas del Código Civil y del Código de Comercio , con la costumbre mercantil</w:t>
      </w:r>
      <w:r w:rsidRPr="00B204AD" w:rsidR="00B204AD">
        <w:rPr>
          <w:rFonts w:ascii="Century Gothic" w:hAnsi="Century Gothic"/>
          <w:sz w:val="20"/>
          <w:szCs w:val="20"/>
        </w:rPr>
        <w:t xml:space="preserve"> </w:t>
      </w:r>
      <w:r w:rsidRPr="00B204AD">
        <w:rPr>
          <w:rFonts w:ascii="Century Gothic" w:hAnsi="Century Gothic"/>
          <w:sz w:val="20"/>
          <w:szCs w:val="20"/>
        </w:rPr>
        <w:t xml:space="preserve">y con los principios generales que rigen las relaciones contractuales de los particulares, que ingresan dentro de la categoría de la </w:t>
      </w:r>
      <w:r w:rsidRPr="00B204AD">
        <w:rPr>
          <w:rFonts w:ascii="Century Gothic" w:hAnsi="Century Gothic"/>
          <w:i/>
          <w:iCs/>
          <w:sz w:val="20"/>
          <w:szCs w:val="20"/>
        </w:rPr>
        <w:t>lex mercatoria</w:t>
      </w:r>
      <w:r w:rsidRPr="00B204AD" w:rsidR="00B204AD">
        <w:rPr>
          <w:rFonts w:ascii="Century Gothic" w:hAnsi="Century Gothic"/>
          <w:i/>
          <w:iCs/>
          <w:sz w:val="20"/>
          <w:szCs w:val="20"/>
        </w:rPr>
        <w:t>.</w:t>
      </w:r>
      <w:r w:rsidRPr="00B204AD" w:rsidR="00B204AD">
        <w:rPr>
          <w:rFonts w:ascii="Century Gothic" w:hAnsi="Century Gothic"/>
          <w:sz w:val="20"/>
          <w:szCs w:val="20"/>
        </w:rPr>
        <w:t xml:space="preserve"> </w:t>
      </w:r>
    </w:p>
    <w:p w:rsidR="006B6BB3" w:rsidRDefault="006B6BB3" w14:paraId="7B9162AF" w14:textId="1383DE0B">
      <w:pPr>
        <w:rPr>
          <w:rFonts w:ascii="Century Gothic" w:hAnsi="Century Gothic"/>
        </w:rPr>
      </w:pPr>
      <w:r>
        <w:rPr>
          <w:rFonts w:ascii="Century Gothic" w:hAnsi="Century Gothic"/>
        </w:rPr>
        <w:br w:type="page"/>
      </w:r>
    </w:p>
    <w:p w:rsidRPr="00757E7B" w:rsidR="00E245AB" w:rsidP="00757E7B" w:rsidRDefault="006B6BB3" w14:paraId="3FE2184B" w14:textId="3500D252">
      <w:pPr>
        <w:spacing w:after="0" w:line="276" w:lineRule="auto"/>
        <w:rPr>
          <w:rFonts w:ascii="Century Gothic" w:hAnsi="Century Gothic"/>
        </w:rPr>
      </w:pPr>
      <w:r w:rsidRPr="006B6BB3">
        <w:rPr>
          <w:rFonts w:ascii="Century Gothic" w:hAnsi="Century Gothic"/>
        </w:rPr>
        <w:drawing>
          <wp:anchor distT="0" distB="0" distL="114300" distR="114300" simplePos="0" relativeHeight="251658240" behindDoc="1" locked="0" layoutInCell="1" allowOverlap="1" wp14:anchorId="2BB39B3C" wp14:editId="1A10B2F4">
            <wp:simplePos x="0" y="0"/>
            <wp:positionH relativeFrom="column">
              <wp:posOffset>3245143</wp:posOffset>
            </wp:positionH>
            <wp:positionV relativeFrom="paragraph">
              <wp:posOffset>-15435</wp:posOffset>
            </wp:positionV>
            <wp:extent cx="2476627" cy="723937"/>
            <wp:effectExtent l="0" t="0" r="0" b="0"/>
            <wp:wrapNone/>
            <wp:docPr id="1553182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82299" name=""/>
                    <pic:cNvPicPr/>
                  </pic:nvPicPr>
                  <pic:blipFill>
                    <a:blip r:embed="rId10">
                      <a:extLst>
                        <a:ext uri="{28A0092B-C50C-407E-A947-70E740481C1C}">
                          <a14:useLocalDpi xmlns:a14="http://schemas.microsoft.com/office/drawing/2010/main" val="0"/>
                        </a:ext>
                      </a:extLst>
                    </a:blip>
                    <a:stretch>
                      <a:fillRect/>
                    </a:stretch>
                  </pic:blipFill>
                  <pic:spPr>
                    <a:xfrm>
                      <a:off x="0" y="0"/>
                      <a:ext cx="2476627" cy="723937"/>
                    </a:xfrm>
                    <a:prstGeom prst="rect">
                      <a:avLst/>
                    </a:prstGeom>
                  </pic:spPr>
                </pic:pic>
              </a:graphicData>
            </a:graphic>
          </wp:anchor>
        </w:drawing>
      </w:r>
      <w:r w:rsidRPr="00757E7B" w:rsidR="00E245AB">
        <w:rPr>
          <w:rFonts w:ascii="Century Gothic" w:hAnsi="Century Gothic"/>
        </w:rPr>
        <w:t xml:space="preserve">Bogotá D.C., </w:t>
      </w:r>
      <w:r>
        <w:rPr>
          <w:rFonts w:ascii="Century Gothic" w:hAnsi="Century Gothic"/>
        </w:rPr>
        <w:t>25 de octubre de 2023</w:t>
      </w:r>
    </w:p>
    <w:p w:rsidRPr="00757E7B" w:rsidR="00E245AB" w:rsidP="00757E7B" w:rsidRDefault="00E245AB" w14:paraId="5FCADBF9" w14:textId="6BB8D196">
      <w:pPr>
        <w:spacing w:after="0" w:line="276" w:lineRule="auto"/>
        <w:rPr>
          <w:rFonts w:ascii="Century Gothic" w:hAnsi="Century Gothic"/>
        </w:rPr>
      </w:pPr>
    </w:p>
    <w:p w:rsidRPr="00757E7B" w:rsidR="00E245AB" w:rsidP="00757E7B" w:rsidRDefault="00E245AB" w14:paraId="0465BA6D" w14:textId="77777777">
      <w:pPr>
        <w:spacing w:after="0" w:line="276" w:lineRule="auto"/>
        <w:rPr>
          <w:rFonts w:ascii="Century Gothic" w:hAnsi="Century Gothic"/>
        </w:rPr>
      </w:pPr>
    </w:p>
    <w:bookmarkEnd w:id="0"/>
    <w:p w:rsidRPr="00757E7B" w:rsidR="008D4241" w:rsidP="00757E7B" w:rsidRDefault="008D4241" w14:paraId="07BB987A" w14:textId="77777777">
      <w:pPr>
        <w:spacing w:after="0" w:line="276" w:lineRule="auto"/>
        <w:rPr>
          <w:rFonts w:ascii="Century Gothic" w:hAnsi="Century Gothic"/>
        </w:rPr>
      </w:pPr>
      <w:r w:rsidRPr="00757E7B">
        <w:rPr>
          <w:rFonts w:ascii="Century Gothic" w:hAnsi="Century Gothic"/>
        </w:rPr>
        <w:t>Señora</w:t>
      </w:r>
    </w:p>
    <w:p w:rsidRPr="00D90F9F" w:rsidR="008D4241" w:rsidP="00757E7B" w:rsidRDefault="00752A66" w14:paraId="42D546FA" w14:textId="3304A6C3">
      <w:pPr>
        <w:spacing w:after="0" w:line="276" w:lineRule="auto"/>
        <w:rPr>
          <w:rFonts w:ascii="Century Gothic" w:hAnsi="Century Gothic"/>
          <w:b/>
          <w:bCs/>
        </w:rPr>
      </w:pPr>
      <w:proofErr w:type="spellStart"/>
      <w:r w:rsidRPr="00D90F9F">
        <w:rPr>
          <w:rFonts w:ascii="Century Gothic" w:hAnsi="Century Gothic"/>
          <w:b/>
          <w:bCs/>
        </w:rPr>
        <w:t>Yivy</w:t>
      </w:r>
      <w:proofErr w:type="spellEnd"/>
      <w:r w:rsidRPr="00D90F9F">
        <w:rPr>
          <w:rFonts w:ascii="Century Gothic" w:hAnsi="Century Gothic"/>
          <w:b/>
          <w:bCs/>
        </w:rPr>
        <w:t xml:space="preserve"> Katherine Gómez</w:t>
      </w:r>
      <w:r w:rsidRPr="00D90F9F" w:rsidR="00E07FEF">
        <w:rPr>
          <w:rFonts w:ascii="Century Gothic" w:hAnsi="Century Gothic"/>
          <w:b/>
          <w:bCs/>
        </w:rPr>
        <w:t xml:space="preserve"> Pardo</w:t>
      </w:r>
    </w:p>
    <w:p w:rsidRPr="00757E7B" w:rsidR="008D4241" w:rsidP="00757E7B" w:rsidRDefault="00E07FEF" w14:paraId="0B10C9AD" w14:textId="2735B3CA">
      <w:pPr>
        <w:spacing w:after="0" w:line="276" w:lineRule="auto"/>
        <w:rPr>
          <w:rFonts w:ascii="Century Gothic" w:hAnsi="Century Gothic"/>
        </w:rPr>
      </w:pPr>
      <w:r w:rsidRPr="00757E7B">
        <w:rPr>
          <w:rFonts w:ascii="Century Gothic" w:hAnsi="Century Gothic"/>
        </w:rPr>
        <w:t>Jefe Oficina Jurídica</w:t>
      </w:r>
    </w:p>
    <w:p w:rsidRPr="00757E7B" w:rsidR="00EC0071" w:rsidP="00757E7B" w:rsidRDefault="00EC0071" w14:paraId="72B8F183" w14:textId="255B48A3">
      <w:pPr>
        <w:spacing w:after="0" w:line="276" w:lineRule="auto"/>
        <w:rPr>
          <w:rFonts w:ascii="Century Gothic" w:hAnsi="Century Gothic"/>
        </w:rPr>
      </w:pPr>
      <w:r w:rsidRPr="00757E7B">
        <w:rPr>
          <w:rFonts w:ascii="Century Gothic" w:hAnsi="Century Gothic"/>
        </w:rPr>
        <w:t>Sistema de Comunicación Pública de Bogotá – C</w:t>
      </w:r>
      <w:r w:rsidRPr="00757E7B" w:rsidR="00B110A6">
        <w:rPr>
          <w:rFonts w:ascii="Century Gothic" w:hAnsi="Century Gothic"/>
        </w:rPr>
        <w:t>anal Capital</w:t>
      </w:r>
    </w:p>
    <w:p w:rsidRPr="00757E7B" w:rsidR="008D4241" w:rsidP="00757E7B" w:rsidRDefault="00B110A6" w14:paraId="4242D27E" w14:textId="4C3B2DA6">
      <w:pPr>
        <w:spacing w:after="0" w:line="276" w:lineRule="auto"/>
        <w:rPr>
          <w:rFonts w:ascii="Century Gothic" w:hAnsi="Century Gothic"/>
        </w:rPr>
      </w:pPr>
      <w:r w:rsidRPr="00757E7B">
        <w:rPr>
          <w:rFonts w:ascii="Century Gothic" w:hAnsi="Century Gothic"/>
        </w:rPr>
        <w:t>La ciudad</w:t>
      </w:r>
    </w:p>
    <w:p w:rsidRPr="00757E7B" w:rsidR="008D4241" w:rsidP="00757E7B" w:rsidRDefault="008D4241" w14:paraId="18920AB6" w14:textId="77777777">
      <w:pPr>
        <w:spacing w:after="0" w:line="276" w:lineRule="auto"/>
        <w:ind w:left="2124"/>
        <w:textAlignment w:val="baseline"/>
        <w:rPr>
          <w:rFonts w:ascii="Century Gothic" w:hAnsi="Century Gothic" w:eastAsia="Times New Roman" w:cs="Arial"/>
          <w:b/>
          <w:bCs/>
          <w:lang w:eastAsia="es-CO"/>
        </w:rPr>
      </w:pPr>
    </w:p>
    <w:p w:rsidRPr="00757E7B" w:rsidR="00734443" w:rsidP="00757E7B" w:rsidRDefault="00734443" w14:paraId="3F3511E2" w14:textId="6DF24310">
      <w:pPr>
        <w:spacing w:line="240" w:lineRule="auto"/>
        <w:ind w:left="707" w:firstLine="709"/>
        <w:rPr>
          <w:rFonts w:ascii="Century Gothic" w:hAnsi="Century Gothic" w:eastAsia="Calibri" w:cs="Arial"/>
          <w:b/>
          <w:color w:val="000000"/>
          <w:lang w:val="es-ES_tradnl"/>
        </w:rPr>
      </w:pPr>
      <w:r w:rsidRPr="00757E7B">
        <w:rPr>
          <w:rFonts w:ascii="Century Gothic" w:hAnsi="Century Gothic" w:eastAsia="Calibri" w:cs="Arial"/>
          <w:b/>
          <w:color w:val="000000"/>
          <w:lang w:val="es-ES_tradnl"/>
        </w:rPr>
        <w:t xml:space="preserve">                     Concepto C </w:t>
      </w:r>
      <w:r w:rsidRPr="00757E7B">
        <w:rPr>
          <w:rFonts w:ascii="Arial" w:hAnsi="Arial" w:eastAsia="Calibri" w:cs="Arial"/>
          <w:b/>
          <w:bCs/>
          <w:color w:val="000000"/>
          <w:lang w:val="es-ES_tradnl"/>
        </w:rPr>
        <w:t>‒</w:t>
      </w:r>
      <w:r w:rsidRPr="00757E7B">
        <w:rPr>
          <w:rFonts w:ascii="Century Gothic" w:hAnsi="Century Gothic" w:eastAsia="Calibri" w:cs="Arial"/>
          <w:b/>
          <w:color w:val="000000"/>
          <w:lang w:val="es-ES_tradnl"/>
        </w:rPr>
        <w:t xml:space="preserve"> </w:t>
      </w:r>
      <w:r w:rsidRPr="00757E7B" w:rsidR="00193128">
        <w:rPr>
          <w:rFonts w:ascii="Century Gothic" w:hAnsi="Century Gothic" w:eastAsia="Calibri" w:cs="Arial"/>
          <w:b/>
          <w:color w:val="000000"/>
          <w:lang w:val="es-ES_tradnl"/>
        </w:rPr>
        <w:t>424</w:t>
      </w:r>
      <w:r w:rsidRPr="00757E7B">
        <w:rPr>
          <w:rFonts w:ascii="Century Gothic" w:hAnsi="Century Gothic" w:eastAsia="Calibri" w:cs="Arial"/>
          <w:b/>
          <w:color w:val="000000"/>
          <w:lang w:val="es-ES_tradnl"/>
        </w:rPr>
        <w:t xml:space="preserve"> de 2023</w:t>
      </w: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57E7B" w:rsidR="00734443" w:rsidTr="1A640D15" w14:paraId="54458B75" w14:textId="77777777">
        <w:tc>
          <w:tcPr>
            <w:tcW w:w="2689" w:type="dxa"/>
            <w:tcMar/>
          </w:tcPr>
          <w:p w:rsidRPr="00757E7B" w:rsidR="00734443" w:rsidP="00757E7B" w:rsidRDefault="00734443" w14:paraId="71FBEAA2" w14:textId="77777777">
            <w:pPr>
              <w:rPr>
                <w:rFonts w:ascii="Century Gothic" w:hAnsi="Century Gothic" w:eastAsia="Calibri" w:cs="Arial"/>
                <w:color w:val="000000"/>
                <w:lang w:val="es-ES_tradnl"/>
              </w:rPr>
            </w:pPr>
            <w:r w:rsidRPr="00757E7B">
              <w:rPr>
                <w:rFonts w:ascii="Century Gothic" w:hAnsi="Century Gothic" w:eastAsia="Calibri" w:cs="Arial"/>
                <w:b/>
                <w:color w:val="000000"/>
                <w:lang w:val="es-ES_tradnl"/>
              </w:rPr>
              <w:t>Temas:</w:t>
            </w:r>
            <w:r w:rsidRPr="00757E7B">
              <w:rPr>
                <w:rFonts w:ascii="Century Gothic" w:hAnsi="Century Gothic" w:eastAsia="Calibri" w:cs="Arial"/>
                <w:color w:val="000000"/>
                <w:lang w:val="es-ES_tradnl"/>
              </w:rPr>
              <w:t xml:space="preserve">                                  </w:t>
            </w:r>
          </w:p>
        </w:tc>
        <w:tc>
          <w:tcPr>
            <w:tcW w:w="6237" w:type="dxa"/>
            <w:tcMar/>
          </w:tcPr>
          <w:p w:rsidRPr="00757E7B" w:rsidR="00734443" w:rsidP="00757E7B" w:rsidRDefault="00F973EF" w14:paraId="68653964" w14:textId="6326BF0F">
            <w:pPr>
              <w:rPr>
                <w:rFonts w:ascii="Century Gothic" w:hAnsi="Century Gothic" w:eastAsia="Calibri" w:cs="Arial"/>
                <w:color w:val="000000"/>
                <w:lang w:val="es-ES"/>
              </w:rPr>
            </w:pPr>
            <w:r w:rsidRPr="1A640D15" w:rsidR="00F973EF">
              <w:rPr>
                <w:rFonts w:ascii="Century Gothic" w:hAnsi="Century Gothic" w:eastAsia="Calibri" w:cs="Arial"/>
                <w:color w:val="000000" w:themeColor="text1" w:themeTint="FF" w:themeShade="FF"/>
                <w:lang w:val="es-ES"/>
              </w:rPr>
              <w:t>EMPRESAS</w:t>
            </w:r>
            <w:r w:rsidRPr="1A640D15" w:rsidR="00E263EF">
              <w:rPr>
                <w:rFonts w:ascii="Century Gothic" w:hAnsi="Century Gothic" w:eastAsia="Calibri" w:cs="Arial"/>
                <w:color w:val="000000" w:themeColor="text1" w:themeTint="FF" w:themeShade="FF"/>
                <w:lang w:val="es-ES"/>
              </w:rPr>
              <w:t xml:space="preserve"> </w:t>
            </w:r>
            <w:r w:rsidRPr="1A640D15" w:rsidR="00F973EF">
              <w:rPr>
                <w:rFonts w:ascii="Century Gothic" w:hAnsi="Century Gothic" w:eastAsia="Calibri" w:cs="Arial"/>
                <w:color w:val="000000" w:themeColor="text1" w:themeTint="FF" w:themeShade="FF"/>
                <w:lang w:val="es-ES"/>
              </w:rPr>
              <w:t>IN</w:t>
            </w:r>
            <w:r w:rsidRPr="1A640D15" w:rsidR="00E42A66">
              <w:rPr>
                <w:rFonts w:ascii="Century Gothic" w:hAnsi="Century Gothic" w:eastAsia="Calibri" w:cs="Arial"/>
                <w:color w:val="000000" w:themeColor="text1" w:themeTint="FF" w:themeShade="FF"/>
                <w:lang w:val="es-ES"/>
              </w:rPr>
              <w:t>DUSTRIALES</w:t>
            </w:r>
            <w:r w:rsidRPr="1A640D15" w:rsidR="00E263EF">
              <w:rPr>
                <w:rFonts w:ascii="Century Gothic" w:hAnsi="Century Gothic" w:eastAsia="Calibri" w:cs="Arial"/>
                <w:color w:val="000000" w:themeColor="text1" w:themeTint="FF" w:themeShade="FF"/>
                <w:lang w:val="es-ES"/>
              </w:rPr>
              <w:t xml:space="preserve"> Y COMERCIALES</w:t>
            </w:r>
            <w:r w:rsidRPr="1A640D15" w:rsidR="00E42A66">
              <w:rPr>
                <w:rFonts w:ascii="Century Gothic" w:hAnsi="Century Gothic" w:eastAsia="Calibri" w:cs="Arial"/>
                <w:color w:val="000000" w:themeColor="text1" w:themeTint="FF" w:themeShade="FF"/>
                <w:lang w:val="es-ES"/>
              </w:rPr>
              <w:t xml:space="preserve"> DEL ESTADO – </w:t>
            </w:r>
            <w:r w:rsidRPr="1A640D15" w:rsidR="006D0F00">
              <w:rPr>
                <w:rFonts w:ascii="Century Gothic" w:hAnsi="Century Gothic" w:eastAsia="Calibri" w:cs="Arial"/>
                <w:color w:val="000000" w:themeColor="text1" w:themeTint="FF" w:themeShade="FF"/>
                <w:lang w:val="es-ES"/>
              </w:rPr>
              <w:t>Naturaleza</w:t>
            </w:r>
            <w:r w:rsidRPr="1A640D15" w:rsidR="00E42A66">
              <w:rPr>
                <w:rFonts w:ascii="Century Gothic" w:hAnsi="Century Gothic" w:eastAsia="Calibri" w:cs="Arial"/>
                <w:color w:val="000000" w:themeColor="text1" w:themeTint="FF" w:themeShade="FF"/>
                <w:lang w:val="es-ES"/>
              </w:rPr>
              <w:t xml:space="preserve"> jurídica</w:t>
            </w:r>
            <w:r w:rsidRPr="1A640D15" w:rsidR="004C5FCC">
              <w:rPr>
                <w:rFonts w:ascii="Century Gothic" w:hAnsi="Century Gothic" w:eastAsia="Calibri" w:cs="Arial"/>
                <w:color w:val="000000" w:themeColor="text1" w:themeTint="FF" w:themeShade="FF"/>
                <w:lang w:val="es-ES"/>
              </w:rPr>
              <w:t xml:space="preserve">/ EMPRESAS INDUSTRIALES </w:t>
            </w:r>
            <w:r w:rsidRPr="1A640D15" w:rsidR="0005592D">
              <w:rPr>
                <w:rFonts w:ascii="Century Gothic" w:hAnsi="Century Gothic" w:eastAsia="Calibri" w:cs="Arial"/>
                <w:color w:val="000000" w:themeColor="text1" w:themeTint="FF" w:themeShade="FF"/>
                <w:lang w:val="es-ES"/>
              </w:rPr>
              <w:t xml:space="preserve">Y COMERCIALES </w:t>
            </w:r>
            <w:r w:rsidRPr="1A640D15" w:rsidR="004C5FCC">
              <w:rPr>
                <w:rFonts w:ascii="Century Gothic" w:hAnsi="Century Gothic" w:eastAsia="Calibri" w:cs="Arial"/>
                <w:color w:val="000000" w:themeColor="text1" w:themeTint="FF" w:themeShade="FF"/>
                <w:lang w:val="es-ES"/>
              </w:rPr>
              <w:t xml:space="preserve">DEL ESTADO - </w:t>
            </w:r>
            <w:r w:rsidRPr="1A640D15" w:rsidR="00E42A66">
              <w:rPr>
                <w:rFonts w:ascii="Century Gothic" w:hAnsi="Century Gothic" w:eastAsia="Calibri" w:cs="Arial"/>
                <w:color w:val="000000" w:themeColor="text1" w:themeTint="FF" w:themeShade="FF"/>
                <w:lang w:val="es-ES"/>
              </w:rPr>
              <w:t>Régimen de contratación</w:t>
            </w:r>
            <w:r w:rsidRPr="1A640D15" w:rsidR="006D0F00">
              <w:rPr>
                <w:rFonts w:ascii="Century Gothic" w:hAnsi="Century Gothic" w:eastAsia="Calibri" w:cs="Arial"/>
                <w:color w:val="000000" w:themeColor="text1" w:themeTint="FF" w:themeShade="FF"/>
                <w:lang w:val="es-ES"/>
              </w:rPr>
              <w:t xml:space="preserve">/ </w:t>
            </w:r>
            <w:r w:rsidRPr="1A640D15" w:rsidR="007C61E4">
              <w:rPr>
                <w:rFonts w:ascii="Century Gothic" w:hAnsi="Century Gothic" w:eastAsia="Calibri" w:cs="Arial"/>
                <w:color w:val="000000" w:themeColor="text1" w:themeTint="FF" w:themeShade="FF"/>
                <w:lang w:val="es-ES"/>
              </w:rPr>
              <w:t>R</w:t>
            </w:r>
            <w:r w:rsidRPr="1A640D15" w:rsidR="4CFD8B8F">
              <w:rPr>
                <w:rFonts w:ascii="Century Gothic" w:hAnsi="Century Gothic" w:eastAsia="Calibri" w:cs="Arial"/>
                <w:color w:val="000000" w:themeColor="text1" w:themeTint="FF" w:themeShade="FF"/>
                <w:lang w:val="es-ES"/>
              </w:rPr>
              <w:t>É</w:t>
            </w:r>
            <w:r w:rsidRPr="1A640D15" w:rsidR="007C61E4">
              <w:rPr>
                <w:rFonts w:ascii="Century Gothic" w:hAnsi="Century Gothic" w:eastAsia="Calibri" w:cs="Arial"/>
                <w:color w:val="000000" w:themeColor="text1" w:themeTint="FF" w:themeShade="FF"/>
                <w:lang w:val="es-ES"/>
              </w:rPr>
              <w:t xml:space="preserve">GIMEN ESPECIAL - Obligaciones transversales a las entidades exceptuadas del EGCAP / </w:t>
            </w:r>
            <w:r w:rsidRPr="1A640D15" w:rsidR="006D0F00">
              <w:rPr>
                <w:rFonts w:ascii="Century Gothic" w:hAnsi="Century Gothic" w:eastAsia="Calibri" w:cs="Arial"/>
                <w:color w:val="000000" w:themeColor="text1" w:themeTint="FF" w:themeShade="FF"/>
                <w:lang w:val="es-ES"/>
              </w:rPr>
              <w:t>R</w:t>
            </w:r>
            <w:r w:rsidRPr="1A640D15" w:rsidR="30FC0CAA">
              <w:rPr>
                <w:rFonts w:ascii="Century Gothic" w:hAnsi="Century Gothic" w:eastAsia="Calibri" w:cs="Arial"/>
                <w:color w:val="000000" w:themeColor="text1" w:themeTint="FF" w:themeShade="FF"/>
                <w:lang w:val="es-ES"/>
              </w:rPr>
              <w:t>É</w:t>
            </w:r>
            <w:r w:rsidRPr="1A640D15" w:rsidR="006D0F00">
              <w:rPr>
                <w:rFonts w:ascii="Century Gothic" w:hAnsi="Century Gothic" w:eastAsia="Calibri" w:cs="Arial"/>
                <w:color w:val="000000" w:themeColor="text1" w:themeTint="FF" w:themeShade="FF"/>
                <w:lang w:val="es-ES"/>
              </w:rPr>
              <w:t xml:space="preserve">GIMEN ESPECIAL </w:t>
            </w:r>
            <w:r w:rsidRPr="1A640D15" w:rsidR="00992013">
              <w:rPr>
                <w:rFonts w:ascii="Century Gothic" w:hAnsi="Century Gothic" w:eastAsia="Calibri" w:cs="Arial"/>
                <w:color w:val="000000" w:themeColor="text1" w:themeTint="FF" w:themeShade="FF"/>
                <w:lang w:val="es-ES"/>
              </w:rPr>
              <w:t xml:space="preserve">– Ejercicio </w:t>
            </w:r>
            <w:r w:rsidRPr="1A640D15" w:rsidR="00FB69ED">
              <w:rPr>
                <w:rFonts w:ascii="Century Gothic" w:hAnsi="Century Gothic" w:eastAsia="Calibri" w:cs="Arial"/>
                <w:color w:val="000000" w:themeColor="text1" w:themeTint="FF" w:themeShade="FF"/>
                <w:lang w:val="es-ES"/>
              </w:rPr>
              <w:t xml:space="preserve">de facultades unilaterales </w:t>
            </w:r>
            <w:r w:rsidRPr="1A640D15" w:rsidR="009E7139">
              <w:rPr>
                <w:rFonts w:ascii="Century Gothic" w:hAnsi="Century Gothic" w:eastAsia="Calibri" w:cs="Arial"/>
                <w:color w:val="000000" w:themeColor="text1" w:themeTint="FF" w:themeShade="FF"/>
                <w:lang w:val="es-ES"/>
              </w:rPr>
              <w:t>–</w:t>
            </w:r>
            <w:r w:rsidRPr="1A640D15" w:rsidR="00FB69ED">
              <w:rPr>
                <w:rFonts w:ascii="Century Gothic" w:hAnsi="Century Gothic" w:eastAsia="Calibri" w:cs="Arial"/>
                <w:color w:val="000000" w:themeColor="text1" w:themeTint="FF" w:themeShade="FF"/>
                <w:lang w:val="es-ES"/>
              </w:rPr>
              <w:t xml:space="preserve"> </w:t>
            </w:r>
            <w:r w:rsidRPr="1A640D15" w:rsidR="004C5FCC">
              <w:rPr>
                <w:rFonts w:ascii="Century Gothic" w:hAnsi="Century Gothic" w:eastAsia="Calibri" w:cs="Arial"/>
                <w:color w:val="000000" w:themeColor="text1" w:themeTint="FF" w:themeShade="FF"/>
                <w:lang w:val="es-ES"/>
              </w:rPr>
              <w:t>R</w:t>
            </w:r>
            <w:r w:rsidRPr="1A640D15" w:rsidR="7B153264">
              <w:rPr>
                <w:rFonts w:ascii="Century Gothic" w:hAnsi="Century Gothic" w:eastAsia="Calibri" w:cs="Arial"/>
                <w:color w:val="000000" w:themeColor="text1" w:themeTint="FF" w:themeShade="FF"/>
                <w:lang w:val="es-ES"/>
              </w:rPr>
              <w:t>É</w:t>
            </w:r>
            <w:r w:rsidRPr="1A640D15" w:rsidR="004C5FCC">
              <w:rPr>
                <w:rFonts w:ascii="Century Gothic" w:hAnsi="Century Gothic" w:eastAsia="Calibri" w:cs="Arial"/>
                <w:color w:val="000000" w:themeColor="text1" w:themeTint="FF" w:themeShade="FF"/>
                <w:lang w:val="es-ES"/>
              </w:rPr>
              <w:t xml:space="preserve">GIMEN ESPECIAL - </w:t>
            </w:r>
            <w:r w:rsidRPr="1A640D15" w:rsidR="009E7139">
              <w:rPr>
                <w:rFonts w:ascii="Century Gothic" w:hAnsi="Century Gothic" w:eastAsia="Calibri" w:cs="Arial"/>
                <w:color w:val="000000" w:themeColor="text1" w:themeTint="FF" w:themeShade="FF"/>
                <w:lang w:val="es-ES"/>
              </w:rPr>
              <w:t>Potestad sancionatoria</w:t>
            </w:r>
          </w:p>
          <w:p w:rsidRPr="00757E7B" w:rsidR="00734443" w:rsidP="00757E7B" w:rsidRDefault="00734443" w14:paraId="0E57AAF1" w14:textId="77777777">
            <w:pPr>
              <w:rPr>
                <w:rFonts w:ascii="Century Gothic" w:hAnsi="Century Gothic" w:eastAsia="Calibri" w:cs="Arial"/>
                <w:color w:val="000000"/>
                <w:lang w:val="es-ES_tradnl"/>
              </w:rPr>
            </w:pPr>
          </w:p>
        </w:tc>
      </w:tr>
      <w:tr w:rsidRPr="00757E7B" w:rsidR="00734443" w:rsidTr="1A640D15" w14:paraId="5A343025" w14:textId="77777777">
        <w:trPr>
          <w:trHeight w:val="67"/>
        </w:trPr>
        <w:tc>
          <w:tcPr>
            <w:tcW w:w="2689" w:type="dxa"/>
            <w:tcMar/>
          </w:tcPr>
          <w:p w:rsidRPr="00757E7B" w:rsidR="00734443" w:rsidP="00757E7B" w:rsidRDefault="00734443" w14:paraId="0B03F248" w14:textId="77777777">
            <w:pPr>
              <w:spacing w:before="120"/>
              <w:rPr>
                <w:rFonts w:ascii="Century Gothic" w:hAnsi="Century Gothic" w:eastAsia="Calibri" w:cs="Arial"/>
                <w:b/>
                <w:color w:val="000000"/>
                <w:lang w:val="es-ES_tradnl"/>
              </w:rPr>
            </w:pPr>
            <w:r w:rsidRPr="00757E7B">
              <w:rPr>
                <w:rFonts w:ascii="Century Gothic" w:hAnsi="Century Gothic" w:eastAsia="Calibri" w:cs="Arial"/>
                <w:b/>
                <w:color w:val="000000"/>
                <w:lang w:val="es-ES_tradnl"/>
              </w:rPr>
              <w:t>Radicación:</w:t>
            </w:r>
            <w:r w:rsidRPr="00757E7B">
              <w:rPr>
                <w:rFonts w:ascii="Century Gothic" w:hAnsi="Century Gothic" w:eastAsia="Calibri" w:cs="Arial"/>
                <w:color w:val="000000"/>
                <w:lang w:val="es-ES_tradnl"/>
              </w:rPr>
              <w:t xml:space="preserve">                              </w:t>
            </w:r>
          </w:p>
        </w:tc>
        <w:tc>
          <w:tcPr>
            <w:tcW w:w="6237" w:type="dxa"/>
            <w:tcMar/>
          </w:tcPr>
          <w:p w:rsidRPr="00757E7B" w:rsidR="00734443" w:rsidP="00757E7B" w:rsidRDefault="00734443" w14:paraId="3172616A" w14:textId="51CE6A93">
            <w:pPr>
              <w:rPr>
                <w:rFonts w:ascii="Century Gothic" w:hAnsi="Century Gothic" w:cs="Arial"/>
              </w:rPr>
            </w:pPr>
            <w:r w:rsidRPr="00757E7B">
              <w:rPr>
                <w:rFonts w:ascii="Century Gothic" w:hAnsi="Century Gothic" w:eastAsia="Calibri" w:cs="Arial"/>
                <w:color w:val="000000"/>
                <w:lang w:val="es-ES_tradnl"/>
              </w:rPr>
              <w:t xml:space="preserve">Respuesta a consulta </w:t>
            </w:r>
            <w:r w:rsidRPr="00757E7B" w:rsidR="00E165EA">
              <w:rPr>
                <w:rFonts w:ascii="Century Gothic" w:hAnsi="Century Gothic" w:cs="Arial"/>
              </w:rPr>
              <w:t>P20230905014855</w:t>
            </w:r>
          </w:p>
          <w:p w:rsidRPr="00757E7B" w:rsidR="00734443" w:rsidP="00757E7B" w:rsidRDefault="00734443" w14:paraId="0C0FEE43" w14:textId="77777777">
            <w:pPr>
              <w:spacing w:before="120"/>
              <w:rPr>
                <w:rFonts w:ascii="Century Gothic" w:hAnsi="Century Gothic" w:eastAsia="Calibri" w:cs="Arial"/>
                <w:color w:val="000000"/>
                <w:lang w:val="es-ES_tradnl"/>
              </w:rPr>
            </w:pPr>
          </w:p>
        </w:tc>
      </w:tr>
    </w:tbl>
    <w:p w:rsidRPr="00757E7B" w:rsidR="00734443" w:rsidP="00757E7B" w:rsidRDefault="00734443" w14:paraId="6BAF4D4A" w14:textId="77777777">
      <w:pPr>
        <w:spacing w:after="0" w:line="276" w:lineRule="auto"/>
        <w:textAlignment w:val="baseline"/>
        <w:rPr>
          <w:rFonts w:ascii="Century Gothic" w:hAnsi="Century Gothic" w:eastAsia="Times New Roman" w:cs="Arial"/>
          <w:lang w:val="es-MX" w:eastAsia="es-CO"/>
        </w:rPr>
      </w:pPr>
    </w:p>
    <w:p w:rsidRPr="00757E7B" w:rsidR="008D4241" w:rsidP="00757E7B" w:rsidRDefault="008D4241" w14:paraId="42164D74" w14:textId="28BDB300">
      <w:pPr>
        <w:spacing w:after="0" w:line="276" w:lineRule="auto"/>
        <w:textAlignment w:val="baseline"/>
        <w:rPr>
          <w:rFonts w:ascii="Century Gothic" w:hAnsi="Century Gothic" w:eastAsia="Times New Roman" w:cs="Arial"/>
          <w:b/>
          <w:bCs/>
          <w:lang w:eastAsia="es-CO"/>
        </w:rPr>
      </w:pPr>
      <w:r w:rsidRPr="00757E7B">
        <w:rPr>
          <w:rFonts w:ascii="Century Gothic" w:hAnsi="Century Gothic" w:eastAsia="Times New Roman" w:cs="Arial"/>
          <w:lang w:val="es-MX" w:eastAsia="es-CO"/>
        </w:rPr>
        <w:t>Estimada señora</w:t>
      </w:r>
      <w:r w:rsidRPr="00757E7B" w:rsidR="00E165EA">
        <w:rPr>
          <w:rFonts w:ascii="Century Gothic" w:hAnsi="Century Gothic" w:eastAsia="Times New Roman" w:cs="Arial"/>
          <w:lang w:val="es-MX" w:eastAsia="es-CO"/>
        </w:rPr>
        <w:t xml:space="preserve"> Gómez</w:t>
      </w:r>
      <w:r w:rsidRPr="00757E7B">
        <w:rPr>
          <w:rFonts w:ascii="Century Gothic" w:hAnsi="Century Gothic" w:eastAsia="Times New Roman" w:cs="Arial"/>
          <w:lang w:val="es-MX" w:eastAsia="es-CO"/>
        </w:rPr>
        <w:t xml:space="preserve">, </w:t>
      </w:r>
    </w:p>
    <w:p w:rsidRPr="00757E7B" w:rsidR="008D4241" w:rsidP="00757E7B" w:rsidRDefault="008D4241" w14:paraId="6CA643F7" w14:textId="77777777">
      <w:pPr>
        <w:spacing w:after="0" w:line="276" w:lineRule="auto"/>
        <w:jc w:val="both"/>
        <w:textAlignment w:val="baseline"/>
        <w:rPr>
          <w:rFonts w:ascii="Century Gothic" w:hAnsi="Century Gothic" w:eastAsia="Times New Roman" w:cs="Arial"/>
          <w:color w:val="002060"/>
          <w:lang w:val="es-MX" w:eastAsia="es-CO"/>
        </w:rPr>
      </w:pPr>
    </w:p>
    <w:p w:rsidRPr="00757E7B" w:rsidR="004A47E1" w:rsidP="00757E7B" w:rsidRDefault="004A47E1" w14:paraId="1004E503" w14:textId="0670CF30">
      <w:pPr>
        <w:spacing w:after="120" w:line="276" w:lineRule="auto"/>
        <w:jc w:val="both"/>
        <w:rPr>
          <w:rFonts w:ascii="Century Gothic" w:hAnsi="Century Gothic" w:eastAsia="Times New Roman" w:cs="Arial"/>
          <w:lang w:eastAsia="es-CO"/>
        </w:rPr>
      </w:pPr>
      <w:r w:rsidRPr="00757E7B">
        <w:rPr>
          <w:rFonts w:ascii="Century Gothic" w:hAnsi="Century Gothic" w:eastAsia="Times New Roman" w:cs="Arial"/>
          <w:lang w:eastAsia="es-CO"/>
        </w:rPr>
        <w:t xml:space="preserve">En ejercicio de la competencia otorgada por el numeral 8 del artículo 11 y el numeral 5 del artículo 3 del Decreto Ley 4170 de 2011, la Agencia Nacional de Contratación Pública ― Colombia Compra Eficiente responde su consulta del </w:t>
      </w:r>
      <w:r w:rsidRPr="00757E7B" w:rsidR="00492F96">
        <w:rPr>
          <w:rFonts w:ascii="Century Gothic" w:hAnsi="Century Gothic" w:eastAsia="Times New Roman" w:cs="Arial"/>
          <w:lang w:eastAsia="es-CO"/>
        </w:rPr>
        <w:t>5</w:t>
      </w:r>
      <w:r w:rsidRPr="00757E7B">
        <w:rPr>
          <w:rFonts w:ascii="Century Gothic" w:hAnsi="Century Gothic" w:eastAsia="Times New Roman" w:cs="Arial"/>
          <w:lang w:eastAsia="es-CO"/>
        </w:rPr>
        <w:t xml:space="preserve"> de </w:t>
      </w:r>
      <w:r w:rsidRPr="00757E7B" w:rsidR="00492F96">
        <w:rPr>
          <w:rFonts w:ascii="Century Gothic" w:hAnsi="Century Gothic" w:eastAsia="Times New Roman" w:cs="Arial"/>
          <w:lang w:eastAsia="es-CO"/>
        </w:rPr>
        <w:t>septiembre</w:t>
      </w:r>
      <w:r w:rsidRPr="00757E7B">
        <w:rPr>
          <w:rFonts w:ascii="Century Gothic" w:hAnsi="Century Gothic" w:eastAsia="Times New Roman" w:cs="Arial"/>
          <w:lang w:eastAsia="es-CO"/>
        </w:rPr>
        <w:t xml:space="preserve"> de 2023.</w:t>
      </w:r>
    </w:p>
    <w:p w:rsidRPr="00757E7B" w:rsidR="00763FB2" w:rsidP="00757E7B" w:rsidRDefault="004A47E1" w14:paraId="1AF8AD49" w14:textId="158C4DBB">
      <w:pPr>
        <w:pStyle w:val="Prrafodelista"/>
        <w:numPr>
          <w:ilvl w:val="0"/>
          <w:numId w:val="17"/>
        </w:numPr>
        <w:spacing w:after="120" w:line="276" w:lineRule="auto"/>
        <w:jc w:val="both"/>
        <w:rPr>
          <w:rFonts w:ascii="Century Gothic" w:hAnsi="Century Gothic" w:eastAsia="Times New Roman" w:cs="Arial"/>
          <w:b/>
          <w:bCs/>
          <w:lang w:eastAsia="es-CO"/>
        </w:rPr>
      </w:pPr>
      <w:r w:rsidRPr="00757E7B">
        <w:rPr>
          <w:rFonts w:ascii="Century Gothic" w:hAnsi="Century Gothic" w:eastAsia="Times New Roman" w:cs="Arial"/>
          <w:b/>
          <w:bCs/>
          <w:lang w:eastAsia="es-CO"/>
        </w:rPr>
        <w:t>Problema planteado</w:t>
      </w:r>
    </w:p>
    <w:p w:rsidRPr="00757E7B" w:rsidR="00492F96" w:rsidP="00757E7B" w:rsidRDefault="00D85EBC" w14:paraId="2C4E4D33" w14:textId="137AF7E8">
      <w:pPr>
        <w:spacing w:after="120" w:line="276" w:lineRule="auto"/>
        <w:jc w:val="both"/>
        <w:rPr>
          <w:rFonts w:ascii="Century Gothic" w:hAnsi="Century Gothic" w:eastAsia="Times New Roman" w:cs="Arial"/>
          <w:lang w:eastAsia="es-CO"/>
        </w:rPr>
      </w:pPr>
      <w:r w:rsidRPr="00757E7B">
        <w:rPr>
          <w:rFonts w:ascii="Century Gothic" w:hAnsi="Century Gothic" w:eastAsia="Times New Roman" w:cs="Arial"/>
          <w:lang w:eastAsia="es-CO"/>
        </w:rPr>
        <w:t xml:space="preserve">En el contexto de la naturaleza jurídica y régimen de contratación de </w:t>
      </w:r>
      <w:r w:rsidRPr="00757E7B" w:rsidR="007B717D">
        <w:rPr>
          <w:rFonts w:ascii="Century Gothic" w:hAnsi="Century Gothic" w:eastAsia="Times New Roman" w:cs="Arial"/>
          <w:lang w:eastAsia="es-CO"/>
        </w:rPr>
        <w:t>las Empresas Comerciales e Industriales del Estado,</w:t>
      </w:r>
      <w:r w:rsidRPr="00757E7B" w:rsidR="0052142C">
        <w:rPr>
          <w:rFonts w:ascii="Century Gothic" w:hAnsi="Century Gothic" w:eastAsia="Times New Roman" w:cs="Arial"/>
          <w:lang w:eastAsia="es-CO"/>
        </w:rPr>
        <w:t xml:space="preserve"> Usted</w:t>
      </w:r>
      <w:r w:rsidRPr="00757E7B" w:rsidR="007B717D">
        <w:rPr>
          <w:rFonts w:ascii="Century Gothic" w:hAnsi="Century Gothic" w:eastAsia="Times New Roman" w:cs="Arial"/>
          <w:lang w:eastAsia="es-CO"/>
        </w:rPr>
        <w:t xml:space="preserve"> </w:t>
      </w:r>
      <w:r w:rsidRPr="00757E7B" w:rsidR="00E96D91">
        <w:rPr>
          <w:rFonts w:ascii="Century Gothic" w:hAnsi="Century Gothic" w:eastAsia="Times New Roman" w:cs="Arial"/>
          <w:lang w:eastAsia="es-CO"/>
        </w:rPr>
        <w:t>realiza la siguiente consulta:</w:t>
      </w:r>
    </w:p>
    <w:p w:rsidRPr="00757E7B" w:rsidR="0044302C" w:rsidP="00757E7B" w:rsidRDefault="0044302C" w14:paraId="372EBAC1" w14:textId="59CC0B3C">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 xml:space="preserve">“1) </w:t>
      </w:r>
      <w:r w:rsidRPr="00757E7B" w:rsidR="00295EB2">
        <w:rPr>
          <w:rFonts w:ascii="Century Gothic" w:hAnsi="Century Gothic" w:eastAsia="Times New Roman" w:cs="Arial"/>
          <w:sz w:val="21"/>
          <w:szCs w:val="21"/>
          <w:lang w:eastAsia="es-CO"/>
        </w:rPr>
        <w:t xml:space="preserve">Las EICE que se encuentran en competencia con el sector privado, y que pacten en </w:t>
      </w:r>
      <w:r w:rsidRPr="00757E7B">
        <w:rPr>
          <w:rFonts w:ascii="Century Gothic" w:hAnsi="Century Gothic" w:eastAsia="Times New Roman" w:cs="Arial"/>
          <w:sz w:val="21"/>
          <w:szCs w:val="21"/>
          <w:lang w:eastAsia="es-CO"/>
        </w:rPr>
        <w:t>el ejercicio</w:t>
      </w:r>
      <w:r w:rsidRPr="00757E7B" w:rsidR="00295EB2">
        <w:rPr>
          <w:rFonts w:ascii="Century Gothic" w:hAnsi="Century Gothic" w:eastAsia="Times New Roman" w:cs="Arial"/>
          <w:sz w:val="21"/>
          <w:szCs w:val="21"/>
          <w:lang w:eastAsia="es-CO"/>
        </w:rPr>
        <w:t xml:space="preserve"> de la autonomía de la voluntad de las partes, cláusulas sancionatorias en caso </w:t>
      </w:r>
      <w:r w:rsidRPr="00757E7B">
        <w:rPr>
          <w:rFonts w:ascii="Century Gothic" w:hAnsi="Century Gothic" w:eastAsia="Times New Roman" w:cs="Arial"/>
          <w:sz w:val="21"/>
          <w:szCs w:val="21"/>
          <w:lang w:eastAsia="es-CO"/>
        </w:rPr>
        <w:t>de incumplimiento</w:t>
      </w:r>
      <w:r w:rsidRPr="00757E7B" w:rsidR="00295EB2">
        <w:rPr>
          <w:rFonts w:ascii="Century Gothic" w:hAnsi="Century Gothic" w:eastAsia="Times New Roman" w:cs="Arial"/>
          <w:sz w:val="21"/>
          <w:szCs w:val="21"/>
          <w:lang w:eastAsia="es-CO"/>
        </w:rPr>
        <w:t xml:space="preserve"> total o parcial </w:t>
      </w:r>
      <w:r w:rsidRPr="00757E7B">
        <w:rPr>
          <w:rFonts w:ascii="Century Gothic" w:hAnsi="Century Gothic" w:eastAsia="Times New Roman" w:cs="Arial"/>
          <w:sz w:val="21"/>
          <w:szCs w:val="21"/>
          <w:lang w:eastAsia="es-CO"/>
        </w:rPr>
        <w:t xml:space="preserve"> </w:t>
      </w:r>
    </w:p>
    <w:p w:rsidRPr="00757E7B" w:rsidR="00295EB2" w:rsidP="00757E7B" w:rsidRDefault="00295EB2" w14:paraId="42CF080C" w14:textId="0DCF3B5C">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 xml:space="preserve">1.1. ¿pueden hacer efectivas dichas cláusulas de forma directa a través de un </w:t>
      </w:r>
      <w:r w:rsidRPr="00757E7B" w:rsidR="0044302C">
        <w:rPr>
          <w:rFonts w:ascii="Century Gothic" w:hAnsi="Century Gothic" w:eastAsia="Times New Roman" w:cs="Arial"/>
          <w:sz w:val="21"/>
          <w:szCs w:val="21"/>
          <w:lang w:eastAsia="es-CO"/>
        </w:rPr>
        <w:t>proceso sancionatorio</w:t>
      </w:r>
      <w:r w:rsidRPr="00757E7B">
        <w:rPr>
          <w:rFonts w:ascii="Century Gothic" w:hAnsi="Century Gothic" w:eastAsia="Times New Roman" w:cs="Arial"/>
          <w:sz w:val="21"/>
          <w:szCs w:val="21"/>
          <w:lang w:eastAsia="es-CO"/>
        </w:rPr>
        <w:t xml:space="preserve"> interno sin elevarlo al Juez el contrato?</w:t>
      </w:r>
    </w:p>
    <w:p w:rsidRPr="00757E7B" w:rsidR="00E96D91" w:rsidP="00757E7B" w:rsidRDefault="00295EB2" w14:paraId="7E1E3BBF" w14:textId="34167BBF">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 xml:space="preserve">1.2. En caso de ser viable ¿El proceso sancionatorio que se adelante por parte de la </w:t>
      </w:r>
      <w:r w:rsidRPr="00757E7B" w:rsidR="00EE1826">
        <w:rPr>
          <w:rFonts w:ascii="Century Gothic" w:hAnsi="Century Gothic" w:eastAsia="Times New Roman" w:cs="Arial"/>
          <w:sz w:val="21"/>
          <w:szCs w:val="21"/>
          <w:lang w:eastAsia="es-CO"/>
        </w:rPr>
        <w:t>EICE, deberá</w:t>
      </w:r>
      <w:r w:rsidRPr="00757E7B">
        <w:rPr>
          <w:rFonts w:ascii="Century Gothic" w:hAnsi="Century Gothic" w:eastAsia="Times New Roman" w:cs="Arial"/>
          <w:sz w:val="21"/>
          <w:szCs w:val="21"/>
          <w:lang w:eastAsia="es-CO"/>
        </w:rPr>
        <w:t xml:space="preserve"> surtirse conforme al artículo 86 de la Ley 1474 de 2011 o sería suficiente con aquél que se plasme en el contrato?</w:t>
      </w:r>
      <w:r w:rsidRPr="00757E7B" w:rsidR="00C55B88">
        <w:rPr>
          <w:rFonts w:ascii="Century Gothic" w:hAnsi="Century Gothic" w:eastAsia="Times New Roman" w:cs="Arial"/>
          <w:sz w:val="21"/>
          <w:szCs w:val="21"/>
          <w:lang w:eastAsia="es-CO"/>
        </w:rPr>
        <w:t>”</w:t>
      </w:r>
    </w:p>
    <w:p w:rsidRPr="00757E7B" w:rsidR="008C57C8" w:rsidP="00757E7B" w:rsidRDefault="008C57C8" w14:paraId="52EB1A6A" w14:textId="77777777">
      <w:pPr>
        <w:pStyle w:val="Prrafodelista"/>
        <w:numPr>
          <w:ilvl w:val="0"/>
          <w:numId w:val="17"/>
        </w:numPr>
        <w:tabs>
          <w:tab w:val="left" w:pos="0"/>
          <w:tab w:val="left" w:pos="284"/>
        </w:tabs>
        <w:spacing w:after="0" w:line="276" w:lineRule="auto"/>
        <w:jc w:val="both"/>
        <w:rPr>
          <w:rFonts w:ascii="Century Gothic" w:hAnsi="Century Gothic" w:eastAsia="Calibri" w:cs="Arial"/>
          <w:b/>
          <w:color w:val="000000"/>
          <w:lang w:val="es-ES_tradnl" w:eastAsia="es-ES_tradnl"/>
        </w:rPr>
      </w:pPr>
      <w:r w:rsidRPr="00757E7B">
        <w:rPr>
          <w:rFonts w:ascii="Century Gothic" w:hAnsi="Century Gothic" w:eastAsia="Calibri" w:cs="Arial"/>
          <w:b/>
          <w:color w:val="000000"/>
          <w:lang w:val="es-ES_tradnl"/>
        </w:rPr>
        <w:t>Consideraciones</w:t>
      </w:r>
    </w:p>
    <w:p w:rsidRPr="00757E7B" w:rsidR="008C57C8" w:rsidP="00757E7B" w:rsidRDefault="008C57C8" w14:paraId="4AEE417F" w14:textId="44820108">
      <w:pPr>
        <w:shd w:val="clear" w:color="auto" w:fill="FFFFFF" w:themeFill="background1"/>
        <w:spacing w:before="240"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la Agencia como una autoridad para solucionar problemas jurídicos particulares de todos los partícipes de la contratación estatal</w:t>
      </w:r>
      <w:r w:rsidRPr="00757E7B" w:rsidR="00F54DC8">
        <w:rPr>
          <w:rFonts w:ascii="Century Gothic" w:hAnsi="Century Gothic" w:eastAsia="Calibri" w:cs="Arial"/>
          <w:color w:val="000000" w:themeColor="text1"/>
        </w:rPr>
        <w:t>,</w:t>
      </w:r>
      <w:r w:rsidRPr="00757E7B">
        <w:rPr>
          <w:rFonts w:ascii="Century Gothic" w:hAnsi="Century Gothic" w:eastAsia="Calibri" w:cs="Arial"/>
          <w:color w:val="000000" w:themeColor="text1"/>
        </w:rPr>
        <w:t xml:space="preserve"> ni para interpretar el alcance de cualquier norma vigente en el ordenamiento jurídico.</w:t>
      </w:r>
    </w:p>
    <w:p w:rsidRPr="00757E7B" w:rsidR="00184A9E" w:rsidP="00757E7B" w:rsidRDefault="008C57C8" w14:paraId="300A7EB2" w14:textId="0CC8C9FB">
      <w:pPr>
        <w:spacing w:before="240" w:after="120" w:line="276" w:lineRule="auto"/>
        <w:ind w:firstLine="709"/>
        <w:jc w:val="both"/>
        <w:rPr>
          <w:rFonts w:ascii="Century Gothic" w:hAnsi="Century Gothic" w:eastAsia="Times New Roman" w:cs="Arial"/>
          <w:lang w:val="es-ES" w:eastAsia="es-CO"/>
        </w:rPr>
      </w:pPr>
      <w:r w:rsidRPr="00757E7B">
        <w:rPr>
          <w:rFonts w:ascii="Century Gothic" w:hAnsi="Century Gothic" w:eastAsia="Calibri" w:cs="Arial"/>
          <w:color w:val="000000" w:themeColor="text1"/>
        </w:rPr>
        <w:t xml:space="preserve">La competencia de esta entidad se fija con límites claros, con el objeto de evitar que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r w:rsidRPr="00757E7B" w:rsidR="00184A9E">
        <w:rPr>
          <w:rFonts w:ascii="Century Gothic" w:hAnsi="Century Gothic" w:eastAsia="Times New Roman" w:cs="Arial"/>
          <w:lang w:val="es-ES" w:eastAsia="es-CO"/>
        </w:rPr>
        <w:t>Por lo anterior, previo concepto de los órganos asesores, la solución de estos temas corresponde a la entidad que adelanta el Procedimiento de Contratación y, en caso de conflicto, a las autoridades judiciales, fiscales y disciplinarias.</w:t>
      </w:r>
    </w:p>
    <w:p w:rsidRPr="00757E7B" w:rsidR="008D4241" w:rsidP="00757E7B" w:rsidRDefault="00A7780D" w14:paraId="5B8794E4" w14:textId="68A9F214">
      <w:pPr>
        <w:shd w:val="clear" w:color="auto" w:fill="FFFFFF" w:themeFill="background1"/>
        <w:spacing w:line="276" w:lineRule="auto"/>
        <w:ind w:firstLine="708"/>
        <w:jc w:val="both"/>
        <w:rPr>
          <w:rFonts w:ascii="Century Gothic" w:hAnsi="Century Gothic" w:eastAsia="Calibri" w:cs="Arial"/>
          <w:color w:val="000000"/>
          <w:lang w:val="es-ES_tradnl" w:eastAsia="es-ES_tradnl"/>
        </w:rPr>
      </w:pPr>
      <w:r w:rsidRPr="00757E7B">
        <w:rPr>
          <w:rFonts w:ascii="Century Gothic" w:hAnsi="Century Gothic" w:eastAsia="Calibri" w:cs="Arial"/>
          <w:color w:val="000000" w:themeColor="text1"/>
        </w:rPr>
        <w:t xml:space="preserve">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 los siguientes temas: i) </w:t>
      </w:r>
      <w:r w:rsidRPr="00757E7B" w:rsidR="00467A51">
        <w:rPr>
          <w:rFonts w:ascii="Century Gothic" w:hAnsi="Century Gothic" w:eastAsia="Calibri" w:cs="Arial"/>
          <w:color w:val="000000" w:themeColor="text1"/>
        </w:rPr>
        <w:t xml:space="preserve">régimen contractual de las Empresas Industriales y Comerciales del </w:t>
      </w:r>
      <w:r w:rsidRPr="00757E7B" w:rsidR="00245724">
        <w:rPr>
          <w:rFonts w:ascii="Century Gothic" w:hAnsi="Century Gothic" w:eastAsia="Calibri" w:cs="Arial"/>
          <w:color w:val="000000" w:themeColor="text1"/>
        </w:rPr>
        <w:t xml:space="preserve">Estado; </w:t>
      </w:r>
      <w:proofErr w:type="spellStart"/>
      <w:r w:rsidRPr="00757E7B" w:rsidR="00245724">
        <w:rPr>
          <w:rFonts w:ascii="Century Gothic" w:hAnsi="Century Gothic" w:eastAsia="Calibri" w:cs="Arial"/>
          <w:color w:val="000000" w:themeColor="text1"/>
        </w:rPr>
        <w:t>ii</w:t>
      </w:r>
      <w:proofErr w:type="spellEnd"/>
      <w:r w:rsidRPr="00757E7B" w:rsidR="00467A51">
        <w:rPr>
          <w:rFonts w:ascii="Century Gothic" w:hAnsi="Century Gothic" w:eastAsia="Calibri" w:cs="Arial"/>
          <w:color w:val="000000" w:themeColor="text1"/>
        </w:rPr>
        <w:t>) obligaciones transversales a las entidades exceptuadas del Estatuto General de Contratación de la Administración Pública o que cuentan con un régimen contractual especial;</w:t>
      </w:r>
      <w:r w:rsidR="00FE27A8">
        <w:rPr>
          <w:rFonts w:ascii="Century Gothic" w:hAnsi="Century Gothic" w:eastAsia="Calibri" w:cs="Arial"/>
          <w:color w:val="000000" w:themeColor="text1"/>
        </w:rPr>
        <w:t xml:space="preserve"> y</w:t>
      </w:r>
      <w:r w:rsidR="00245724">
        <w:rPr>
          <w:rFonts w:ascii="Century Gothic" w:hAnsi="Century Gothic" w:eastAsia="Calibri" w:cs="Arial"/>
          <w:color w:val="000000" w:themeColor="text1"/>
        </w:rPr>
        <w:t>,</w:t>
      </w:r>
      <w:r w:rsidRPr="00757E7B" w:rsidR="00467A51">
        <w:rPr>
          <w:rFonts w:ascii="Century Gothic" w:hAnsi="Century Gothic" w:eastAsia="Calibri" w:cs="Arial"/>
          <w:color w:val="000000" w:themeColor="text1"/>
        </w:rPr>
        <w:t xml:space="preserve"> </w:t>
      </w:r>
      <w:proofErr w:type="spellStart"/>
      <w:r w:rsidRPr="00757E7B" w:rsidR="00467A51">
        <w:rPr>
          <w:rFonts w:ascii="Century Gothic" w:hAnsi="Century Gothic" w:eastAsia="Calibri" w:cs="Arial"/>
          <w:color w:val="000000" w:themeColor="text1"/>
        </w:rPr>
        <w:t>iii</w:t>
      </w:r>
      <w:proofErr w:type="spellEnd"/>
      <w:r w:rsidRPr="00757E7B" w:rsidR="00467A51">
        <w:rPr>
          <w:rFonts w:ascii="Century Gothic" w:hAnsi="Century Gothic" w:eastAsia="Calibri" w:cs="Arial"/>
          <w:color w:val="000000" w:themeColor="text1"/>
        </w:rPr>
        <w:t xml:space="preserve">) </w:t>
      </w:r>
      <w:r w:rsidRPr="00757E7B" w:rsidR="00AA3DF7">
        <w:rPr>
          <w:rFonts w:ascii="Century Gothic" w:hAnsi="Century Gothic" w:eastAsia="Times New Roman" w:cs="Arial"/>
          <w:iCs/>
          <w:color w:val="000000"/>
          <w:lang w:val="es-ES_tradnl" w:eastAsia="es-ES_tradnl"/>
        </w:rPr>
        <w:t>potestad</w:t>
      </w:r>
      <w:r w:rsidRPr="00757E7B" w:rsidR="008D4241">
        <w:rPr>
          <w:rFonts w:ascii="Century Gothic" w:hAnsi="Century Gothic" w:eastAsia="Times New Roman" w:cs="Arial"/>
          <w:iCs/>
          <w:color w:val="000000"/>
          <w:lang w:val="es-ES_tradnl" w:eastAsia="es-ES_tradnl"/>
        </w:rPr>
        <w:t xml:space="preserve"> sancionatoria contractual de las entidades </w:t>
      </w:r>
      <w:r w:rsidRPr="00757E7B" w:rsidR="00AA3DF7">
        <w:rPr>
          <w:rFonts w:ascii="Century Gothic" w:hAnsi="Century Gothic" w:eastAsia="Times New Roman" w:cs="Arial"/>
          <w:iCs/>
          <w:color w:val="000000"/>
          <w:lang w:val="es-ES_tradnl" w:eastAsia="es-ES_tradnl"/>
        </w:rPr>
        <w:t xml:space="preserve">estatales </w:t>
      </w:r>
      <w:r w:rsidRPr="00757E7B" w:rsidR="008D4241">
        <w:rPr>
          <w:rFonts w:ascii="Century Gothic" w:hAnsi="Century Gothic" w:eastAsia="Times New Roman" w:cs="Arial"/>
          <w:iCs/>
          <w:color w:val="000000"/>
          <w:lang w:val="es-ES_tradnl" w:eastAsia="es-ES_tradnl"/>
        </w:rPr>
        <w:t>con régimen especial de contratación.</w:t>
      </w:r>
    </w:p>
    <w:p w:rsidRPr="00757E7B" w:rsidR="004910AC" w:rsidP="00757E7B" w:rsidRDefault="004910AC" w14:paraId="2EAFAE08" w14:textId="71AEFFBD">
      <w:pPr>
        <w:spacing w:after="0" w:line="276" w:lineRule="auto"/>
        <w:ind w:firstLine="708"/>
        <w:jc w:val="both"/>
        <w:rPr>
          <w:rFonts w:ascii="Century Gothic" w:hAnsi="Century Gothic" w:eastAsia="Calibri" w:cs="Arial"/>
          <w:color w:val="000000" w:themeColor="text1"/>
        </w:rPr>
      </w:pPr>
      <w:r w:rsidRPr="00757E7B">
        <w:rPr>
          <w:rFonts w:ascii="Century Gothic" w:hAnsi="Century Gothic" w:eastAsia="Calibri" w:cs="Arial"/>
          <w:bCs/>
          <w:color w:val="000000" w:themeColor="text1"/>
          <w:lang w:val="es-ES_tradnl"/>
        </w:rPr>
        <w:t>La Agencia Nacional de Contratación Pública –Colombia Compra Eficiente–</w:t>
      </w:r>
      <w:r w:rsidRPr="00757E7B">
        <w:rPr>
          <w:rFonts w:ascii="Century Gothic" w:hAnsi="Century Gothic" w:eastAsia="Calibri" w:cs="Arial"/>
          <w:color w:val="000000" w:themeColor="text1"/>
        </w:rPr>
        <w:t xml:space="preserve">se ha referido sobre el régimen contractual de las </w:t>
      </w:r>
      <w:r w:rsidRPr="00757E7B" w:rsidR="0005592D">
        <w:rPr>
          <w:rFonts w:ascii="Century Gothic" w:hAnsi="Century Gothic" w:eastAsia="Calibri" w:cs="Arial"/>
          <w:color w:val="000000" w:themeColor="text1"/>
        </w:rPr>
        <w:t>E</w:t>
      </w:r>
      <w:r w:rsidRPr="00757E7B">
        <w:rPr>
          <w:rFonts w:ascii="Century Gothic" w:hAnsi="Century Gothic" w:eastAsia="Calibri" w:cs="Arial"/>
          <w:color w:val="000000" w:themeColor="text1"/>
        </w:rPr>
        <w:t xml:space="preserve">mpresas </w:t>
      </w:r>
      <w:r w:rsidRPr="00757E7B" w:rsidR="0005592D">
        <w:rPr>
          <w:rFonts w:ascii="Century Gothic" w:hAnsi="Century Gothic" w:eastAsia="Calibri" w:cs="Arial"/>
          <w:color w:val="000000" w:themeColor="text1"/>
        </w:rPr>
        <w:t>I</w:t>
      </w:r>
      <w:r w:rsidRPr="00757E7B">
        <w:rPr>
          <w:rFonts w:ascii="Century Gothic" w:hAnsi="Century Gothic" w:eastAsia="Calibri" w:cs="Arial"/>
          <w:color w:val="000000" w:themeColor="text1"/>
        </w:rPr>
        <w:t xml:space="preserve">ndustriales y </w:t>
      </w:r>
      <w:r w:rsidRPr="00757E7B" w:rsidR="0005592D">
        <w:rPr>
          <w:rFonts w:ascii="Century Gothic" w:hAnsi="Century Gothic" w:eastAsia="Calibri" w:cs="Arial"/>
          <w:color w:val="000000" w:themeColor="text1"/>
        </w:rPr>
        <w:t>C</w:t>
      </w:r>
      <w:r w:rsidRPr="00757E7B">
        <w:rPr>
          <w:rFonts w:ascii="Century Gothic" w:hAnsi="Century Gothic" w:eastAsia="Calibri" w:cs="Arial"/>
          <w:color w:val="000000" w:themeColor="text1"/>
        </w:rPr>
        <w:t>omerciales del Estado, según desarrollen o no sus actividades en competencia con el sector privado o en mercados regulados, en los conceptos 2201913000009314 del 17 de diciembre de 2019 –dentro del radicado 4201913000001662, C–251 del 27 de mayo de 2020, C-280 del 6 de julio de 2020, C–253 del 2 de junio de 2021, C–616 del 3 de noviembre de 2021, C-176 del 6 de abril de 2022</w:t>
      </w:r>
      <w:r w:rsidRPr="00757E7B" w:rsidR="009411B6">
        <w:rPr>
          <w:rFonts w:ascii="Century Gothic" w:hAnsi="Century Gothic" w:eastAsia="Calibri" w:cs="Arial"/>
          <w:color w:val="000000" w:themeColor="text1"/>
        </w:rPr>
        <w:t xml:space="preserve">, </w:t>
      </w:r>
      <w:r w:rsidRPr="00757E7B">
        <w:rPr>
          <w:rFonts w:ascii="Century Gothic" w:hAnsi="Century Gothic" w:eastAsia="Calibri" w:cs="Arial"/>
          <w:color w:val="000000" w:themeColor="text1"/>
        </w:rPr>
        <w:t>C-857 del 13 de diciembre de 2022</w:t>
      </w:r>
      <w:r w:rsidRPr="00757E7B" w:rsidR="008B7F2E">
        <w:rPr>
          <w:rFonts w:ascii="Century Gothic" w:hAnsi="Century Gothic" w:eastAsia="Calibri" w:cs="Arial"/>
          <w:color w:val="000000" w:themeColor="text1"/>
        </w:rPr>
        <w:t xml:space="preserve">, </w:t>
      </w:r>
      <w:r w:rsidRPr="00757E7B" w:rsidR="00906708">
        <w:rPr>
          <w:rFonts w:ascii="Century Gothic" w:hAnsi="Century Gothic" w:eastAsia="Calibri" w:cs="Arial"/>
          <w:color w:val="000000" w:themeColor="text1"/>
        </w:rPr>
        <w:t xml:space="preserve">C-205 de 20 de junio de 2023, C-335 </w:t>
      </w:r>
      <w:r w:rsidRPr="00757E7B" w:rsidR="008B7F2E">
        <w:rPr>
          <w:rFonts w:ascii="Century Gothic" w:hAnsi="Century Gothic" w:eastAsia="Calibri" w:cs="Arial"/>
          <w:color w:val="000000" w:themeColor="text1"/>
        </w:rPr>
        <w:t>C-147 de 25 de julio de 2023</w:t>
      </w:r>
      <w:r w:rsidRPr="00757E7B">
        <w:rPr>
          <w:rFonts w:ascii="Century Gothic" w:hAnsi="Century Gothic" w:eastAsia="Calibri" w:cs="Arial"/>
          <w:color w:val="000000" w:themeColor="text1"/>
        </w:rPr>
        <w:t>,</w:t>
      </w:r>
      <w:r w:rsidRPr="00757E7B" w:rsidR="00152C00">
        <w:rPr>
          <w:rFonts w:ascii="Century Gothic" w:hAnsi="Century Gothic" w:eastAsia="Calibri" w:cs="Arial"/>
          <w:color w:val="000000" w:themeColor="text1"/>
        </w:rPr>
        <w:t xml:space="preserve"> C-369 de 12 de septiembre de 2023 y</w:t>
      </w:r>
      <w:r w:rsidRPr="00757E7B" w:rsidR="004F32AB">
        <w:rPr>
          <w:rFonts w:ascii="Century Gothic" w:hAnsi="Century Gothic" w:eastAsia="Calibri" w:cs="Arial"/>
          <w:color w:val="000000" w:themeColor="text1"/>
        </w:rPr>
        <w:t xml:space="preserve"> C-335 de 26 de septiembre de 2023</w:t>
      </w:r>
      <w:r w:rsidRPr="00757E7B" w:rsidR="00152C00">
        <w:rPr>
          <w:rFonts w:ascii="Century Gothic" w:hAnsi="Century Gothic" w:eastAsia="Calibri" w:cs="Arial"/>
          <w:color w:val="000000" w:themeColor="text1"/>
        </w:rPr>
        <w:t>,</w:t>
      </w:r>
      <w:r w:rsidRPr="00757E7B">
        <w:rPr>
          <w:rFonts w:ascii="Century Gothic" w:hAnsi="Century Gothic" w:eastAsia="Calibri" w:cs="Arial"/>
          <w:color w:val="000000" w:themeColor="text1"/>
        </w:rPr>
        <w:t xml:space="preserve"> entre otros</w:t>
      </w:r>
      <w:r w:rsidRPr="00757E7B">
        <w:rPr>
          <w:rStyle w:val="Refdenotaalpie"/>
          <w:rFonts w:ascii="Century Gothic" w:hAnsi="Century Gothic" w:eastAsia="Calibri" w:cs="Arial"/>
          <w:color w:val="000000" w:themeColor="text1"/>
        </w:rPr>
        <w:footnoteReference w:id="1"/>
      </w:r>
      <w:r w:rsidRPr="00757E7B">
        <w:rPr>
          <w:rFonts w:ascii="Century Gothic" w:hAnsi="Century Gothic" w:eastAsia="Calibri" w:cs="Arial"/>
          <w:color w:val="000000" w:themeColor="text1"/>
        </w:rPr>
        <w:t xml:space="preserve">. </w:t>
      </w:r>
    </w:p>
    <w:p w:rsidRPr="00757E7B" w:rsidR="008D4241" w:rsidP="00757E7B" w:rsidRDefault="004910AC" w14:paraId="7B67DA0C" w14:textId="04F361A8">
      <w:pPr>
        <w:spacing w:before="120" w:after="0" w:line="276" w:lineRule="auto"/>
        <w:ind w:firstLine="709"/>
        <w:jc w:val="both"/>
        <w:rPr>
          <w:rFonts w:ascii="Century Gothic" w:hAnsi="Century Gothic" w:eastAsia="Times New Roman" w:cs="Arial"/>
          <w:iCs/>
          <w:color w:val="000000"/>
          <w:lang w:val="es-ES_tradnl" w:eastAsia="es-ES_tradnl"/>
        </w:rPr>
      </w:pPr>
      <w:r w:rsidRPr="00757E7B">
        <w:rPr>
          <w:rFonts w:ascii="Century Gothic" w:hAnsi="Century Gothic" w:eastAsia="Arial" w:cs="Arial"/>
        </w:rPr>
        <w:t>Por su parte, l</w:t>
      </w:r>
      <w:r w:rsidRPr="00757E7B" w:rsidR="008D4241">
        <w:rPr>
          <w:rFonts w:ascii="Century Gothic" w:hAnsi="Century Gothic" w:eastAsia="Arial" w:cs="Arial"/>
        </w:rPr>
        <w:t>a Agencia Nacional de Contratación Pública – Colombia Compra Eficiente, en los conceptos C-147 del 17 de marzo de 2020, C-219 del 29 de abril de 2020, C-434 del 29 de julio de 2020, C-569 del 31 de agosto de 2020, C-641 del 4 de noviembre de 2020, C-060 del 8 de marzo de 2021, C-528 del 5 de abril de 2021, C-40 de 2 de marzo de 2022, C-866 de 20 de diciembre de 2022, C-890 de 13 de febrero de 2023, entre otros, estudió la potestad sancionatoria de las entidades estatales y el procedimiento administrativo que deben efectuar para declarar el incumplimiento y aplicar las sanciones correspondientes, destacando la necesidad de garantizar el debido proceso. Por su parte, en los conceptos con radicado No. 2202013000005840 de 6 de julio de 2020, 2202013000006874 de 29 de julio de 2020, 2202013000007336 de 11 de agosto de 202, C-219 del 29 de abril de 2020 y C-569 del 31 de agosto de 2020, C-699 del 30 de noviembre de 2020, C-717 del 21 de enero de 2022</w:t>
      </w:r>
      <w:r w:rsidRPr="00757E7B" w:rsidR="00420965">
        <w:rPr>
          <w:rFonts w:ascii="Century Gothic" w:hAnsi="Century Gothic" w:eastAsia="Arial" w:cs="Arial"/>
        </w:rPr>
        <w:t xml:space="preserve">, </w:t>
      </w:r>
      <w:r w:rsidRPr="00757E7B" w:rsidR="008D4241">
        <w:rPr>
          <w:rFonts w:ascii="Century Gothic" w:hAnsi="Century Gothic" w:eastAsia="Arial" w:cs="Arial"/>
        </w:rPr>
        <w:t>C-832 del 29 de diciembre de 2022</w:t>
      </w:r>
      <w:r w:rsidRPr="00757E7B" w:rsidR="00420965">
        <w:rPr>
          <w:rFonts w:ascii="Century Gothic" w:hAnsi="Century Gothic" w:eastAsia="Arial" w:cs="Arial"/>
        </w:rPr>
        <w:t xml:space="preserve"> y C-218</w:t>
      </w:r>
      <w:r w:rsidRPr="00757E7B" w:rsidR="00757E7B">
        <w:rPr>
          <w:rFonts w:ascii="Century Gothic" w:hAnsi="Century Gothic" w:eastAsia="Arial" w:cs="Arial"/>
        </w:rPr>
        <w:t xml:space="preserve"> de 13 de julio de 2023</w:t>
      </w:r>
      <w:r w:rsidRPr="00757E7B" w:rsidR="008D4241">
        <w:rPr>
          <w:rFonts w:ascii="Century Gothic" w:hAnsi="Century Gothic" w:eastAsia="Arial" w:cs="Arial"/>
        </w:rPr>
        <w:t xml:space="preserve"> la Agencia analizó la</w:t>
      </w:r>
      <w:r w:rsidRPr="00757E7B" w:rsidR="008D4241">
        <w:rPr>
          <w:rFonts w:ascii="Century Gothic" w:hAnsi="Century Gothic" w:eastAsia="Times New Roman" w:cs="Arial"/>
          <w:iCs/>
          <w:color w:val="000000"/>
          <w:lang w:val="es-ES_tradnl" w:eastAsia="es-ES_tradnl"/>
        </w:rPr>
        <w:t xml:space="preserve"> potestad sancionatoria contractual de las entidades con régimen especial de contratación.</w:t>
      </w:r>
      <w:r w:rsidRPr="00757E7B" w:rsidR="00C20B4D">
        <w:rPr>
          <w:rFonts w:ascii="Century Gothic" w:hAnsi="Century Gothic" w:eastAsia="Times New Roman" w:cs="Arial"/>
          <w:iCs/>
          <w:color w:val="000000"/>
          <w:lang w:val="es-ES_tradnl" w:eastAsia="es-ES_tradnl"/>
        </w:rPr>
        <w:t xml:space="preserve"> </w:t>
      </w:r>
      <w:r w:rsidRPr="00757E7B" w:rsidR="00C20B4D">
        <w:rPr>
          <w:rFonts w:ascii="Century Gothic" w:hAnsi="Century Gothic" w:eastAsia="Calibri" w:cs="Arial"/>
          <w:color w:val="000000" w:themeColor="text1"/>
        </w:rPr>
        <w:t>Las tesis desarrolladas en estos conceptos se complementan en lo pertinente</w:t>
      </w:r>
      <w:r w:rsidRPr="00757E7B" w:rsidR="0046482C">
        <w:rPr>
          <w:rFonts w:ascii="Century Gothic" w:hAnsi="Century Gothic" w:eastAsia="Calibri" w:cs="Arial"/>
          <w:color w:val="000000" w:themeColor="text1"/>
        </w:rPr>
        <w:t xml:space="preserve"> en el presente concepto</w:t>
      </w:r>
      <w:r w:rsidRPr="00757E7B" w:rsidR="00C20B4D">
        <w:rPr>
          <w:rFonts w:ascii="Century Gothic" w:hAnsi="Century Gothic" w:eastAsia="Calibri" w:cs="Arial"/>
          <w:color w:val="000000" w:themeColor="text1"/>
        </w:rPr>
        <w:t>.</w:t>
      </w:r>
    </w:p>
    <w:p w:rsidRPr="00757E7B" w:rsidR="00757E7B" w:rsidP="00757E7B" w:rsidRDefault="00757E7B" w14:paraId="3EC09C5D" w14:textId="10F2DCD5">
      <w:pPr>
        <w:pStyle w:val="Prrafodelista"/>
        <w:numPr>
          <w:ilvl w:val="1"/>
          <w:numId w:val="17"/>
        </w:numPr>
        <w:autoSpaceDE w:val="0"/>
        <w:autoSpaceDN w:val="0"/>
        <w:adjustRightInd w:val="0"/>
        <w:spacing w:before="240" w:line="276" w:lineRule="auto"/>
        <w:jc w:val="both"/>
        <w:rPr>
          <w:rFonts w:ascii="Century Gothic" w:hAnsi="Century Gothic" w:eastAsia="Calibri" w:cs="Arial"/>
          <w:b/>
          <w:bCs/>
          <w:color w:val="000000" w:themeColor="text1"/>
        </w:rPr>
      </w:pPr>
      <w:bookmarkStart w:name="_Hlk31875101" w:id="1"/>
      <w:bookmarkStart w:name="_Hlk29890381" w:id="2"/>
      <w:r w:rsidRPr="00757E7B">
        <w:rPr>
          <w:rFonts w:ascii="Century Gothic" w:hAnsi="Century Gothic" w:eastAsia="Calibri" w:cs="Arial"/>
          <w:b/>
          <w:bCs/>
          <w:color w:val="000000" w:themeColor="text1"/>
        </w:rPr>
        <w:t>Régimen contractual de las Empresas Industriales y Comerciales del Estado</w:t>
      </w:r>
    </w:p>
    <w:p w:rsidRPr="00757E7B" w:rsidR="00E8449C" w:rsidP="00757E7B" w:rsidRDefault="00E8449C" w14:paraId="1D2735EA" w14:textId="2CF499E4">
      <w:pPr>
        <w:autoSpaceDE w:val="0"/>
        <w:autoSpaceDN w:val="0"/>
        <w:adjustRightInd w:val="0"/>
        <w:spacing w:before="240" w:line="276" w:lineRule="auto"/>
        <w:jc w:val="both"/>
        <w:rPr>
          <w:rFonts w:ascii="Century Gothic" w:hAnsi="Century Gothic" w:cs="Arial"/>
          <w:lang w:val="es-ES_tradnl"/>
        </w:rPr>
      </w:pPr>
      <w:r w:rsidRPr="00757E7B">
        <w:rPr>
          <w:rFonts w:ascii="Century Gothic" w:hAnsi="Century Gothic" w:eastAsia="Calibri" w:cs="Arial"/>
          <w:color w:val="000000" w:themeColor="text1"/>
        </w:rPr>
        <w:t>Dentro de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w:t>
      </w:r>
      <w:r w:rsidRPr="00757E7B">
        <w:rPr>
          <w:rFonts w:ascii="Century Gothic" w:hAnsi="Century Gothic" w:eastAsia="Calibri" w:cs="Arial"/>
          <w:b/>
          <w:bCs/>
          <w:color w:val="000000" w:themeColor="text1"/>
        </w:rPr>
        <w:t xml:space="preserve"> </w:t>
      </w:r>
      <w:r w:rsidRPr="00757E7B">
        <w:rPr>
          <w:rFonts w:ascii="Century Gothic" w:hAnsi="Century Gothic" w:eastAsia="Calibri" w:cs="Arial"/>
          <w:color w:val="000000" w:themeColor="text1"/>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rsidRPr="00757E7B" w:rsidR="00E8449C" w:rsidP="00757E7B" w:rsidRDefault="00E8449C" w14:paraId="044C21A9" w14:textId="77777777">
      <w:pPr>
        <w:autoSpaceDE w:val="0"/>
        <w:autoSpaceDN w:val="0"/>
        <w:adjustRightInd w:val="0"/>
        <w:spacing w:before="120" w:line="276" w:lineRule="auto"/>
        <w:ind w:firstLine="709"/>
        <w:jc w:val="both"/>
        <w:rPr>
          <w:rFonts w:ascii="Century Gothic" w:hAnsi="Century Gothic" w:cs="Arial"/>
          <w:lang w:val="es-ES"/>
        </w:rPr>
      </w:pPr>
      <w:r w:rsidRPr="00757E7B">
        <w:rPr>
          <w:rFonts w:ascii="Century Gothic" w:hAnsi="Century Gothic" w:cs="Arial"/>
          <w:lang w:val="es-ES_tradnl"/>
        </w:rPr>
        <w:t>L</w:t>
      </w:r>
      <w:r w:rsidRPr="00757E7B">
        <w:rPr>
          <w:rFonts w:ascii="Century Gothic" w:hAnsi="Century Gothic" w:cs="Arial"/>
          <w:lang w:val="es-ES"/>
        </w:rPr>
        <w:t>as Empresas Industriales y Comerciales del Estado –en adelante EICE–, bajo la denominación de entidades estatales, quedaron sometidas al Estatuto General de Contratación de la Administración Pública –Ley 80 de 1993, artículo 2, numeral 1, literal a–</w:t>
      </w:r>
      <w:r w:rsidRPr="00757E7B">
        <w:rPr>
          <w:rFonts w:ascii="Century Gothic" w:hAnsi="Century Gothic" w:cs="Arial"/>
          <w:vertAlign w:val="superscript"/>
          <w:lang w:val="es-ES"/>
        </w:rPr>
        <w:footnoteReference w:id="2"/>
      </w:r>
      <w:r w:rsidRPr="00757E7B">
        <w:rPr>
          <w:rFonts w:ascii="Century Gothic" w:hAnsi="Century Gothic" w:cs="Arial"/>
          <w:lang w:val="es-ES"/>
        </w:rPr>
        <w:t>. Posteriormente,</w:t>
      </w:r>
      <w:r w:rsidRPr="00757E7B">
        <w:rPr>
          <w:rFonts w:ascii="Century Gothic" w:hAnsi="Century Gothic" w:cs="Arial"/>
          <w:bCs/>
          <w:lang w:val="es-ES"/>
        </w:rPr>
        <w:t xml:space="preserve"> </w:t>
      </w:r>
      <w:r w:rsidRPr="00757E7B">
        <w:rPr>
          <w:rFonts w:ascii="Century Gothic" w:hAnsi="Century Gothic" w:cs="Arial"/>
          <w:lang w:val="es-ES"/>
        </w:rPr>
        <w:t>la Ley 489 de 1998</w:t>
      </w:r>
      <w:r w:rsidRPr="00757E7B">
        <w:rPr>
          <w:rFonts w:ascii="Century Gothic" w:hAnsi="Century Gothic" w:cs="Arial"/>
          <w:vertAlign w:val="superscript"/>
          <w:lang w:val="es-ES"/>
        </w:rPr>
        <w:footnoteReference w:id="3"/>
      </w:r>
      <w:r w:rsidRPr="00757E7B">
        <w:rPr>
          <w:rFonts w:ascii="Century Gothic" w:hAnsi="Century Gothic" w:cs="Arial"/>
          <w:lang w:val="es-ES"/>
        </w:rPr>
        <w:t>, mediante el cual se regula la organización y funcionamiento de las entidades del orden nacional, en su artículo 93 estableció el régimen jurídico aplicable a los contratos celebrados por las empresas industriales y comerciales del Estado, como sigue:</w:t>
      </w:r>
    </w:p>
    <w:p w:rsidRPr="00757E7B" w:rsidR="00E8449C" w:rsidP="00757E7B" w:rsidRDefault="00E8449C" w14:paraId="77B40717" w14:textId="77777777">
      <w:pPr>
        <w:widowControl w:val="0"/>
        <w:autoSpaceDE w:val="0"/>
        <w:autoSpaceDN w:val="0"/>
        <w:spacing w:line="276" w:lineRule="auto"/>
        <w:ind w:left="709" w:right="709"/>
        <w:jc w:val="both"/>
        <w:rPr>
          <w:rFonts w:ascii="Century Gothic" w:hAnsi="Century Gothic" w:eastAsia="Arial" w:cs="Arial"/>
          <w:lang w:val="es-ES" w:eastAsia="es-ES" w:bidi="es-ES"/>
        </w:rPr>
      </w:pPr>
      <w:r w:rsidRPr="00757E7B">
        <w:rPr>
          <w:rFonts w:ascii="Century Gothic" w:hAnsi="Century Gothic" w:eastAsia="Arial" w:cs="Arial"/>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rsidRPr="00757E7B" w:rsidR="00E8449C" w:rsidP="00757E7B" w:rsidRDefault="00E8449C" w14:paraId="5080EE1F" w14:textId="2E8F2C4F">
      <w:pPr>
        <w:autoSpaceDE w:val="0"/>
        <w:autoSpaceDN w:val="0"/>
        <w:adjustRightInd w:val="0"/>
        <w:spacing w:line="276" w:lineRule="auto"/>
        <w:ind w:firstLine="709"/>
        <w:jc w:val="both"/>
        <w:rPr>
          <w:rFonts w:ascii="Century Gothic" w:hAnsi="Century Gothic" w:cs="Arial"/>
          <w:lang w:val="es-ES"/>
        </w:rPr>
      </w:pPr>
      <w:r w:rsidRPr="00757E7B">
        <w:rPr>
          <w:rFonts w:ascii="Century Gothic" w:hAnsi="Century Gothic" w:cs="Arial"/>
          <w:lang w:val="es-ES"/>
        </w:rPr>
        <w:t xml:space="preserve">No obstante,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name="_Hlk75850758" w:id="4"/>
      <w:r w:rsidRPr="00757E7B">
        <w:rPr>
          <w:rFonts w:ascii="Century Gothic" w:hAnsi="Century Gothic" w:cs="Arial"/>
          <w:lang w:val="es-ES"/>
        </w:rPr>
        <w:t>EICE</w:t>
      </w:r>
      <w:bookmarkEnd w:id="4"/>
      <w:r w:rsidRPr="00757E7B">
        <w:rPr>
          <w:rFonts w:ascii="Century Gothic" w:hAnsi="Century Gothic" w:cs="Arial"/>
          <w:lang w:val="es-ES"/>
        </w:rPr>
        <w:t xml:space="preserve"> que ejercen su actividad en competencia con el sector público o privado, o en mercados regulados, quedando las otras EICE dentro del ámbito de aplicación del Estatuto General de Contratación de la Administración Pública</w:t>
      </w:r>
      <w:r w:rsidR="00220DED">
        <w:rPr>
          <w:rFonts w:ascii="Century Gothic" w:hAnsi="Century Gothic" w:cs="Arial"/>
          <w:lang w:val="es-ES"/>
        </w:rPr>
        <w:t xml:space="preserve"> – en adelante EGCAP- </w:t>
      </w:r>
      <w:r w:rsidRPr="00757E7B">
        <w:rPr>
          <w:rFonts w:ascii="Century Gothic" w:hAnsi="Century Gothic" w:cs="Arial"/>
          <w:vertAlign w:val="superscript"/>
          <w:lang w:val="es-ES"/>
        </w:rPr>
        <w:footnoteReference w:id="4"/>
      </w:r>
      <w:r w:rsidRPr="00757E7B">
        <w:rPr>
          <w:rFonts w:ascii="Century Gothic" w:hAnsi="Century Gothic" w:cs="Arial"/>
          <w:lang w:val="es-ES"/>
        </w:rPr>
        <w:t xml:space="preserve">. Así, la norma vigente respecto a su régimen contractual </w:t>
      </w:r>
      <w:r w:rsidR="00C478CB">
        <w:rPr>
          <w:rFonts w:ascii="Century Gothic" w:hAnsi="Century Gothic" w:cs="Arial"/>
          <w:lang w:val="es-ES"/>
        </w:rPr>
        <w:t>dispon</w:t>
      </w:r>
      <w:r w:rsidRPr="00757E7B">
        <w:rPr>
          <w:rFonts w:ascii="Century Gothic" w:hAnsi="Century Gothic" w:cs="Arial"/>
          <w:lang w:val="es-ES"/>
        </w:rPr>
        <w:t>e:</w:t>
      </w:r>
    </w:p>
    <w:p w:rsidRPr="00757E7B" w:rsidR="00E8449C" w:rsidP="00757E7B" w:rsidRDefault="00E8449C" w14:paraId="7D3C0355" w14:textId="77777777">
      <w:pPr>
        <w:widowControl w:val="0"/>
        <w:autoSpaceDE w:val="0"/>
        <w:autoSpaceDN w:val="0"/>
        <w:spacing w:line="276" w:lineRule="auto"/>
        <w:ind w:left="709" w:right="709"/>
        <w:jc w:val="both"/>
        <w:rPr>
          <w:rFonts w:ascii="Century Gothic" w:hAnsi="Century Gothic" w:cs="Arial"/>
          <w:iCs/>
          <w:lang w:val="es-ES"/>
        </w:rPr>
      </w:pPr>
      <w:r w:rsidRPr="00757E7B">
        <w:rPr>
          <w:rFonts w:ascii="Century Gothic" w:hAnsi="Century Gothic" w:eastAsia="Arial" w:cs="Arial"/>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name="_Hlk75720889" w:id="6"/>
      <w:r w:rsidRPr="00757E7B">
        <w:rPr>
          <w:rFonts w:ascii="Century Gothic" w:hAnsi="Century Gothic" w:eastAsia="Arial" w:cs="Arial"/>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6"/>
      <w:r w:rsidRPr="00757E7B">
        <w:rPr>
          <w:rFonts w:ascii="Century Gothic" w:hAnsi="Century Gothic" w:eastAsia="Arial" w:cs="Arial"/>
          <w:lang w:val="es-ES" w:eastAsia="es-ES" w:bidi="es-ES"/>
        </w:rPr>
        <w:t>Se exceptúan los contratos de ciencia y tecnología, que se regirán por la Ley 29 de 1990 y las disposiciones normativas existentes.”</w:t>
      </w:r>
      <w:r w:rsidRPr="00757E7B">
        <w:rPr>
          <w:rFonts w:ascii="Century Gothic" w:hAnsi="Century Gothic" w:cs="Arial"/>
          <w:vertAlign w:val="superscript"/>
          <w:lang w:val="es-ES"/>
        </w:rPr>
        <w:footnoteReference w:id="5"/>
      </w:r>
    </w:p>
    <w:p w:rsidRPr="00757E7B" w:rsidR="00E8449C" w:rsidP="00757E7B" w:rsidRDefault="00E8449C" w14:paraId="0258DF8D" w14:textId="77777777">
      <w:pPr>
        <w:spacing w:before="240" w:after="120" w:line="276" w:lineRule="auto"/>
        <w:ind w:firstLine="709"/>
        <w:jc w:val="both"/>
        <w:rPr>
          <w:rFonts w:ascii="Century Gothic" w:hAnsi="Century Gothic" w:cs="Arial"/>
        </w:rPr>
      </w:pPr>
      <w:r w:rsidRPr="00757E7B">
        <w:rPr>
          <w:rFonts w:ascii="Century Gothic" w:hAnsi="Century Gothic" w:cs="Arial"/>
        </w:rPr>
        <w:t>El sometimiento parcial de las EICE al régimen de derecho privado se ha justificado principalmente por:</w:t>
      </w:r>
    </w:p>
    <w:p w:rsidRPr="00757E7B" w:rsidR="00E8449C" w:rsidP="00757E7B" w:rsidRDefault="00E8449C" w14:paraId="2684C784" w14:textId="77777777">
      <w:pPr>
        <w:spacing w:before="240" w:after="120" w:line="276" w:lineRule="auto"/>
        <w:ind w:left="709" w:right="709"/>
        <w:jc w:val="both"/>
        <w:rPr>
          <w:rFonts w:ascii="Century Gothic" w:hAnsi="Century Gothic" w:cs="Arial"/>
          <w:vertAlign w:val="subscript"/>
        </w:rPr>
      </w:pPr>
      <w:r w:rsidRPr="00757E7B">
        <w:rPr>
          <w:rFonts w:ascii="Century Gothic" w:hAnsi="Century Gothic" w:eastAsia="Calibri" w:cs="Arial"/>
          <w:bCs/>
        </w:rPr>
        <w:t>“</w:t>
      </w:r>
      <w:r w:rsidRPr="00757E7B">
        <w:rPr>
          <w:rFonts w:ascii="Century Gothic" w:hAnsi="Century Gothic" w:cs="Arial"/>
        </w:rPr>
        <w:t xml:space="preserve">la necesidad de </w:t>
      </w:r>
      <w:proofErr w:type="gramStart"/>
      <w:r w:rsidRPr="00757E7B">
        <w:rPr>
          <w:rFonts w:ascii="Century Gothic" w:hAnsi="Century Gothic" w:cs="Arial"/>
        </w:rPr>
        <w:t>que</w:t>
      </w:r>
      <w:proofErr w:type="gramEnd"/>
      <w:r w:rsidRPr="00757E7B">
        <w:rPr>
          <w:rFonts w:ascii="Century Gothic" w:hAnsi="Century Gothic" w:cs="Arial"/>
        </w:rPr>
        <w:t xml:space="preserv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w:t>
      </w:r>
      <w:r w:rsidRPr="00757E7B">
        <w:rPr>
          <w:rFonts w:ascii="Century Gothic" w:hAnsi="Century Gothic" w:eastAsia="Calibri" w:cs="Arial"/>
          <w:bCs/>
        </w:rPr>
        <w:t>]</w:t>
      </w:r>
      <w:r w:rsidRPr="00757E7B">
        <w:rPr>
          <w:rFonts w:ascii="Century Gothic" w:hAnsi="Century Gothic" w:cs="Arial"/>
        </w:rPr>
        <w:t xml:space="preserve"> y en aquellos casos en los que por expresa disposición legal ejerzan alguna función administrativa, puesto que allí sí deberá dar aplicación a las reglas de derecho público pertinentes [...</w:t>
      </w:r>
      <w:r w:rsidRPr="00757E7B">
        <w:rPr>
          <w:rFonts w:ascii="Century Gothic" w:hAnsi="Century Gothic" w:eastAsia="Calibri" w:cs="Arial"/>
          <w:bCs/>
        </w:rPr>
        <w:t>]”</w:t>
      </w:r>
      <w:r w:rsidRPr="00757E7B">
        <w:rPr>
          <w:rFonts w:ascii="Century Gothic" w:hAnsi="Century Gothic" w:cs="Arial"/>
          <w:vertAlign w:val="superscript"/>
        </w:rPr>
        <w:footnoteReference w:id="6"/>
      </w:r>
      <w:r w:rsidRPr="00757E7B">
        <w:rPr>
          <w:rFonts w:ascii="Century Gothic" w:hAnsi="Century Gothic" w:cs="Arial"/>
          <w:vertAlign w:val="subscript"/>
        </w:rPr>
        <w:t xml:space="preserve">. </w:t>
      </w:r>
      <w:r w:rsidRPr="00757E7B">
        <w:rPr>
          <w:rFonts w:ascii="Century Gothic" w:hAnsi="Century Gothic" w:cs="Arial"/>
        </w:rPr>
        <w:t>(corchetes fuera de texto)</w:t>
      </w:r>
    </w:p>
    <w:p w:rsidRPr="00757E7B" w:rsidR="00E8449C" w:rsidP="00757E7B" w:rsidRDefault="00E8449C" w14:paraId="4EE6DBA3" w14:textId="77777777">
      <w:pPr>
        <w:spacing w:line="276" w:lineRule="auto"/>
        <w:ind w:firstLine="709"/>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al no estar sujetas a procedimientos administrativos que entraben sus actuaciones y las pongan en situación de desventaja frente a sus competidores y las exigencias de la economía y del mercado.</w:t>
      </w:r>
    </w:p>
    <w:p w:rsidR="00E8449C" w:rsidP="00757E7B" w:rsidRDefault="00E8449C" w14:paraId="0984CE0A" w14:textId="343A406B">
      <w:pPr>
        <w:spacing w:before="240" w:line="276" w:lineRule="auto"/>
        <w:ind w:firstLine="709"/>
        <w:jc w:val="both"/>
        <w:rPr>
          <w:rFonts w:ascii="Century Gothic" w:hAnsi="Century Gothic" w:cs="Arial"/>
        </w:rPr>
      </w:pPr>
      <w:r w:rsidRPr="00757E7B">
        <w:rPr>
          <w:rFonts w:ascii="Century Gothic" w:hAnsi="Century Gothic"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name="_Hlk77174298" w:id="7"/>
      <w:r w:rsidRPr="00757E7B">
        <w:rPr>
          <w:rFonts w:ascii="Century Gothic" w:hAnsi="Century Gothic" w:cs="Arial"/>
        </w:rPr>
        <w:t xml:space="preserve">las EICE en las que el Estado tenga participación superior al cincuenta por ciento (50%), están sometidas, por regla general, al </w:t>
      </w:r>
      <w:r w:rsidR="003606BD">
        <w:rPr>
          <w:rFonts w:ascii="Century Gothic" w:hAnsi="Century Gothic" w:cs="Arial"/>
        </w:rPr>
        <w:t>EGCAP,</w:t>
      </w:r>
      <w:r w:rsidRPr="00757E7B">
        <w:rPr>
          <w:rFonts w:ascii="Century Gothic" w:hAnsi="Century Gothic" w:cs="Arial"/>
        </w:rPr>
        <w:t xml:space="preserve"> excepto cuando: i) desarrollen actividades comerciales en competencia con el sector privado y/o público, nacional o internacional o </w:t>
      </w:r>
      <w:proofErr w:type="spellStart"/>
      <w:r w:rsidRPr="00757E7B">
        <w:rPr>
          <w:rFonts w:ascii="Century Gothic" w:hAnsi="Century Gothic" w:cs="Arial"/>
        </w:rPr>
        <w:t>ii</w:t>
      </w:r>
      <w:proofErr w:type="spellEnd"/>
      <w:r w:rsidRPr="00757E7B">
        <w:rPr>
          <w:rFonts w:ascii="Century Gothic" w:hAnsi="Century Gothic" w:cs="Arial"/>
        </w:rPr>
        <w:t xml:space="preserve">)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w:t>
      </w:r>
      <w:r w:rsidR="006F3E23">
        <w:rPr>
          <w:rFonts w:ascii="Century Gothic" w:hAnsi="Century Gothic" w:cs="Arial"/>
        </w:rPr>
        <w:t>vig</w:t>
      </w:r>
      <w:r w:rsidR="002E430F">
        <w:rPr>
          <w:rFonts w:ascii="Century Gothic" w:hAnsi="Century Gothic" w:cs="Arial"/>
        </w:rPr>
        <w:t>ilancia</w:t>
      </w:r>
      <w:r w:rsidRPr="00757E7B">
        <w:rPr>
          <w:rFonts w:ascii="Century Gothic" w:hAnsi="Century Gothic" w:cs="Arial"/>
        </w:rPr>
        <w:t xml:space="preserve"> </w:t>
      </w:r>
      <w:r w:rsidR="00AF0322">
        <w:rPr>
          <w:rFonts w:ascii="Century Gothic" w:hAnsi="Century Gothic" w:cs="Arial"/>
        </w:rPr>
        <w:t xml:space="preserve">y control </w:t>
      </w:r>
      <w:r w:rsidRPr="00757E7B">
        <w:rPr>
          <w:rFonts w:ascii="Century Gothic" w:hAnsi="Century Gothic" w:cs="Arial"/>
        </w:rPr>
        <w:t>fiscal consagrados en los artículos 209 y 267 de la Constitución Política</w:t>
      </w:r>
      <w:r w:rsidR="009A3818">
        <w:rPr>
          <w:rFonts w:ascii="Century Gothic" w:hAnsi="Century Gothic" w:cs="Arial"/>
        </w:rPr>
        <w:t xml:space="preserve"> </w:t>
      </w:r>
      <w:r w:rsidRPr="00757E7B">
        <w:rPr>
          <w:rFonts w:ascii="Century Gothic" w:hAnsi="Century Gothic" w:cs="Arial"/>
        </w:rPr>
        <w:t>y el régimen de inhabilidades e incompatibilidades previsto legalmente para la contratación estatal</w:t>
      </w:r>
      <w:bookmarkEnd w:id="7"/>
      <w:r w:rsidRPr="00757E7B">
        <w:rPr>
          <w:rFonts w:ascii="Century Gothic" w:hAnsi="Century Gothic" w:cs="Arial"/>
          <w:vertAlign w:val="superscript"/>
        </w:rPr>
        <w:footnoteReference w:id="7"/>
      </w:r>
      <w:r w:rsidRPr="00757E7B">
        <w:rPr>
          <w:rFonts w:ascii="Century Gothic" w:hAnsi="Century Gothic" w:cs="Arial"/>
        </w:rPr>
        <w:t>.</w:t>
      </w:r>
    </w:p>
    <w:p w:rsidRPr="003F3F64" w:rsidR="003F3F64" w:rsidP="003F3F64" w:rsidRDefault="003F3F64" w14:paraId="47E37882" w14:textId="30B31DF1">
      <w:pPr>
        <w:pStyle w:val="Prrafodelista"/>
        <w:numPr>
          <w:ilvl w:val="1"/>
          <w:numId w:val="17"/>
        </w:numPr>
        <w:spacing w:before="240" w:line="276" w:lineRule="auto"/>
        <w:jc w:val="both"/>
        <w:rPr>
          <w:rFonts w:ascii="Century Gothic" w:hAnsi="Century Gothic" w:cs="Arial"/>
          <w:b/>
          <w:bCs/>
        </w:rPr>
      </w:pPr>
      <w:r w:rsidRPr="003F3F64">
        <w:rPr>
          <w:rFonts w:ascii="Century Gothic" w:hAnsi="Century Gothic" w:eastAsia="Calibri" w:cs="Arial"/>
          <w:b/>
          <w:bCs/>
          <w:color w:val="000000" w:themeColor="text1"/>
        </w:rPr>
        <w:t>Obligaciones transversales a las entidades exceptuadas del Estatuto General de Contratación de la Administración Pública o que cuentan con un régimen contractual especial</w:t>
      </w:r>
    </w:p>
    <w:p w:rsidRPr="00757E7B" w:rsidR="00E8449C" w:rsidP="009A3818" w:rsidRDefault="00E8449C" w14:paraId="46E11698" w14:textId="698A326E">
      <w:pPr>
        <w:spacing w:before="120" w:line="276" w:lineRule="auto"/>
        <w:jc w:val="both"/>
        <w:rPr>
          <w:rFonts w:ascii="Century Gothic" w:hAnsi="Century Gothic" w:eastAsia="Calibri" w:cs="Arial"/>
          <w:color w:val="000000" w:themeColor="text1"/>
        </w:rPr>
      </w:pPr>
      <w:r w:rsidRPr="00757E7B">
        <w:rPr>
          <w:rFonts w:ascii="Century Gothic" w:hAnsi="Century Gothic" w:cs="Arial"/>
        </w:rPr>
        <w:t xml:space="preserve">En línea con lo anterior, resulta pertinente resaltar que, </w:t>
      </w:r>
      <w:r w:rsidRPr="00757E7B">
        <w:rPr>
          <w:rFonts w:ascii="Century Gothic" w:hAnsi="Century Gothic" w:eastAsia="Calibri" w:cs="Arial"/>
          <w:color w:val="000000" w:themeColor="text1"/>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w:t>
      </w:r>
      <w:r w:rsidR="008F6932">
        <w:rPr>
          <w:rFonts w:ascii="Century Gothic" w:hAnsi="Century Gothic" w:eastAsia="Calibri" w:cs="Arial"/>
          <w:color w:val="000000" w:themeColor="text1"/>
        </w:rPr>
        <w:t xml:space="preserve">vigilancia y </w:t>
      </w:r>
      <w:r w:rsidR="00353A63">
        <w:rPr>
          <w:rFonts w:ascii="Century Gothic" w:hAnsi="Century Gothic" w:eastAsia="Calibri" w:cs="Arial"/>
          <w:color w:val="000000" w:themeColor="text1"/>
        </w:rPr>
        <w:t xml:space="preserve">control </w:t>
      </w:r>
      <w:r w:rsidRPr="00757E7B" w:rsidR="00353A63">
        <w:rPr>
          <w:rFonts w:ascii="Century Gothic" w:hAnsi="Century Gothic" w:eastAsia="Calibri" w:cs="Arial"/>
          <w:color w:val="000000" w:themeColor="text1"/>
        </w:rPr>
        <w:t>fiscal</w:t>
      </w:r>
      <w:r w:rsidRPr="00757E7B">
        <w:rPr>
          <w:rFonts w:ascii="Century Gothic" w:hAnsi="Century Gothic" w:eastAsia="Calibri" w:cs="Arial"/>
          <w:color w:val="000000" w:themeColor="text1"/>
        </w:rPr>
        <w:t xml:space="preserve"> </w:t>
      </w:r>
      <w:r w:rsidR="000F150B">
        <w:rPr>
          <w:rFonts w:ascii="Century Gothic" w:hAnsi="Century Gothic" w:eastAsia="Calibri" w:cs="Arial"/>
          <w:color w:val="000000" w:themeColor="text1"/>
        </w:rPr>
        <w:t>y</w:t>
      </w:r>
      <w:r w:rsidRPr="00757E7B">
        <w:rPr>
          <w:rFonts w:ascii="Century Gothic" w:hAnsi="Century Gothic" w:eastAsia="Calibri" w:cs="Arial"/>
          <w:color w:val="000000" w:themeColor="text1"/>
        </w:rPr>
        <w:t xml:space="preserve"> el régimen de inhabilidades e incompatibilidades</w:t>
      </w:r>
      <w:r w:rsidR="000F150B">
        <w:rPr>
          <w:rFonts w:ascii="Century Gothic" w:hAnsi="Century Gothic" w:eastAsia="Calibri" w:cs="Arial"/>
          <w:color w:val="000000" w:themeColor="text1"/>
        </w:rPr>
        <w:t xml:space="preserve"> para la contratación estatal</w:t>
      </w:r>
      <w:r w:rsidRPr="00757E7B">
        <w:rPr>
          <w:rFonts w:ascii="Century Gothic" w:hAnsi="Century Gothic" w:eastAsia="Calibri" w:cs="Arial"/>
          <w:color w:val="000000" w:themeColor="text1"/>
        </w:rPr>
        <w:t xml:space="preserve">. Por el contrario, aquellas EICE que no estén en competencia ni desarrollen su actividad en </w:t>
      </w:r>
      <w:r w:rsidR="009C7F65">
        <w:rPr>
          <w:rFonts w:ascii="Century Gothic" w:hAnsi="Century Gothic" w:eastAsia="Calibri" w:cs="Arial"/>
          <w:color w:val="000000" w:themeColor="text1"/>
        </w:rPr>
        <w:t xml:space="preserve">los </w:t>
      </w:r>
      <w:r w:rsidRPr="00757E7B">
        <w:rPr>
          <w:rFonts w:ascii="Century Gothic" w:hAnsi="Century Gothic" w:eastAsia="Calibri" w:cs="Arial"/>
          <w:color w:val="000000" w:themeColor="text1"/>
        </w:rPr>
        <w:t>mercados regulados</w:t>
      </w:r>
      <w:r w:rsidR="00E3503C">
        <w:rPr>
          <w:rFonts w:ascii="Century Gothic" w:hAnsi="Century Gothic" w:eastAsia="Calibri" w:cs="Arial"/>
          <w:color w:val="000000" w:themeColor="text1"/>
        </w:rPr>
        <w:t xml:space="preserve"> y cuya participación estatal sea superior al 50%,</w:t>
      </w:r>
      <w:r w:rsidRPr="00757E7B">
        <w:rPr>
          <w:rFonts w:ascii="Century Gothic" w:hAnsi="Century Gothic" w:eastAsia="Calibri" w:cs="Arial"/>
          <w:color w:val="000000" w:themeColor="text1"/>
        </w:rPr>
        <w:t xml:space="preserve"> están sometidas al </w:t>
      </w:r>
      <w:r w:rsidR="006E5E16">
        <w:rPr>
          <w:rFonts w:ascii="Century Gothic" w:hAnsi="Century Gothic" w:eastAsia="Calibri" w:cs="Arial"/>
          <w:color w:val="000000" w:themeColor="text1"/>
        </w:rPr>
        <w:t>E</w:t>
      </w:r>
      <w:r w:rsidR="002E31DD">
        <w:rPr>
          <w:rFonts w:ascii="Century Gothic" w:hAnsi="Century Gothic" w:eastAsia="Calibri" w:cs="Arial"/>
          <w:color w:val="000000" w:themeColor="text1"/>
        </w:rPr>
        <w:t>GCAP</w:t>
      </w:r>
      <w:r w:rsidRPr="00757E7B">
        <w:rPr>
          <w:rFonts w:ascii="Century Gothic" w:hAnsi="Century Gothic" w:eastAsia="Calibri" w:cs="Arial"/>
          <w:color w:val="000000" w:themeColor="text1"/>
        </w:rPr>
        <w:t xml:space="preserve"> y las normas que lo complementan, como lo dispone el artículo 14 de la Ley 1150 de 2007. </w:t>
      </w:r>
    </w:p>
    <w:p w:rsidRPr="00757E7B" w:rsidR="00E8449C" w:rsidP="00757E7B" w:rsidRDefault="00E8449C" w14:paraId="442CB191" w14:textId="77777777">
      <w:pPr>
        <w:spacing w:line="276" w:lineRule="auto"/>
        <w:ind w:firstLine="708"/>
        <w:jc w:val="both"/>
        <w:rPr>
          <w:rFonts w:ascii="Century Gothic" w:hAnsi="Century Gothic" w:eastAsia="Calibri" w:cs="Arial"/>
          <w:color w:val="000000" w:themeColor="text1"/>
          <w:lang w:val="es-ES_tradnl"/>
        </w:rPr>
      </w:pPr>
      <w:bookmarkStart w:name="_Hlk82437628" w:id="8"/>
      <w:r w:rsidRPr="00757E7B">
        <w:rPr>
          <w:rFonts w:ascii="Century Gothic" w:hAnsi="Century Gothic" w:eastAsia="Calibri" w:cs="Arial"/>
          <w:color w:val="000000" w:themeColor="text1"/>
          <w:lang w:val="es-ES_tradnl"/>
        </w:rPr>
        <w:t>Lo anterior es reafirmado por el Consejo de Estado, que destaca las reglas que sigue la contratación de las entidades de régimen especial:</w:t>
      </w:r>
    </w:p>
    <w:p w:rsidRPr="00757E7B" w:rsidR="00E8449C" w:rsidP="00757E7B" w:rsidRDefault="00E8449C" w14:paraId="01A4D42F" w14:textId="77777777">
      <w:pPr>
        <w:spacing w:after="120" w:line="276" w:lineRule="auto"/>
        <w:ind w:left="709" w:right="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rsidRPr="00757E7B" w:rsidR="00E8449C" w:rsidP="00757E7B" w:rsidRDefault="00E8449C" w14:paraId="2B6CADA6" w14:textId="77777777">
      <w:pPr>
        <w:spacing w:after="120" w:line="276" w:lineRule="auto"/>
        <w:ind w:left="709" w:right="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xml:space="preserve">La Sala entiende que el régimen preponderante domina y aporta el gran volumen de normas contractuales y que el régimen inspirador influye y ayuda a </w:t>
      </w:r>
      <w:proofErr w:type="gramStart"/>
      <w:r w:rsidRPr="00757E7B">
        <w:rPr>
          <w:rFonts w:ascii="Century Gothic" w:hAnsi="Century Gothic" w:eastAsia="Calibri" w:cs="Arial"/>
          <w:color w:val="000000" w:themeColor="text1"/>
          <w:lang w:val="es-ES_tradnl"/>
        </w:rPr>
        <w:t>interpretar</w:t>
      </w:r>
      <w:proofErr w:type="gramEnd"/>
      <w:r w:rsidRPr="00757E7B">
        <w:rPr>
          <w:rFonts w:ascii="Century Gothic" w:hAnsi="Century Gothic" w:eastAsia="Calibri" w:cs="Arial"/>
          <w:color w:val="000000" w:themeColor="text1"/>
          <w:lang w:val="es-ES_tradnl"/>
        </w:rPr>
        <w:t xml:space="preserve"> pero también transforma parte de esas instituciones, porque se suma a ellas, lo que no siempre se logra conservando intacta la institución privada sino introduciéndole modificaciones. </w:t>
      </w:r>
    </w:p>
    <w:p w:rsidRPr="00757E7B" w:rsidR="00E8449C" w:rsidP="00757E7B" w:rsidRDefault="00E8449C" w14:paraId="034E70FB" w14:textId="77777777">
      <w:pPr>
        <w:spacing w:line="276" w:lineRule="auto"/>
        <w:ind w:left="709" w:right="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757E7B">
        <w:rPr>
          <w:rStyle w:val="Refdenotaalpie"/>
          <w:rFonts w:ascii="Century Gothic" w:hAnsi="Century Gothic" w:eastAsia="Calibri" w:cs="Arial"/>
          <w:color w:val="000000" w:themeColor="text1"/>
          <w:lang w:val="es-ES_tradnl"/>
        </w:rPr>
        <w:footnoteReference w:id="8"/>
      </w:r>
    </w:p>
    <w:p w:rsidRPr="00757E7B" w:rsidR="00E8449C" w:rsidP="00757E7B" w:rsidRDefault="00E8449C" w14:paraId="73510A96" w14:textId="77777777">
      <w:pPr>
        <w:spacing w:line="276" w:lineRule="auto"/>
        <w:ind w:firstLine="708"/>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Teniendo en cuenta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garantizar la selección objetiva y la protección del interés general, por lo que dichas entidades deberán analizar el sector económico de los oferentes y los riesgos contractuales. En particular, en relación con este asunto en la “</w:t>
      </w:r>
      <w:r w:rsidRPr="00757E7B">
        <w:rPr>
          <w:rFonts w:ascii="Century Gothic" w:hAnsi="Century Gothic" w:eastAsia="Calibri" w:cs="Arial"/>
          <w:i/>
          <w:iCs/>
          <w:color w:val="000000" w:themeColor="text1"/>
          <w:lang w:val="es-ES_tradnl"/>
        </w:rPr>
        <w:t>Guía para las Entidades Estatales con régimen especial de Contratación”,</w:t>
      </w:r>
      <w:r w:rsidRPr="00757E7B">
        <w:rPr>
          <w:rFonts w:ascii="Century Gothic" w:hAnsi="Century Gothic" w:eastAsia="Calibri" w:cs="Arial"/>
          <w:color w:val="000000" w:themeColor="text1"/>
          <w:lang w:val="es-ES_tradnl"/>
        </w:rPr>
        <w:t xml:space="preserve"> por ser relevante para la consulta se señaló lo siguiente:</w:t>
      </w:r>
    </w:p>
    <w:p w:rsidRPr="00565B57" w:rsidR="00E8449C" w:rsidP="004C3AD2" w:rsidRDefault="00E8449C" w14:paraId="071003F0"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“Por otra parte, la normativa del Sistema de Compra Pública incluye algunas normas transversales a todas las Entidades Estatales, que son de obligatorio cumplimiento para las Entidades Estatales de régimen especial. Entre estas se encuentran las siguientes:</w:t>
      </w:r>
    </w:p>
    <w:p w:rsidRPr="00565B57" w:rsidR="00E8449C" w:rsidP="004C3AD2" w:rsidRDefault="00E8449C" w14:paraId="0C73BC1F"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 xml:space="preserve">B. Decreto 1082 de 2015 </w:t>
      </w:r>
    </w:p>
    <w:p w:rsidRPr="00565B57" w:rsidR="00E8449C" w:rsidP="004C3AD2" w:rsidRDefault="00E8449C" w14:paraId="4F04B200"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transversales al Sistema de Compra Pública. Entre las mismas está la Sección 1 del Capítulo 1 del Título I de la Parte 2 del Decreto 1082 de 2015 la cual reglamenta los “Conceptos básicos para el Sistema de Compras y Contratación Pública”.</w:t>
      </w:r>
    </w:p>
    <w:p w:rsidRPr="00565B57" w:rsidR="00E8449C" w:rsidP="004C3AD2" w:rsidRDefault="00E8449C" w14:paraId="022D8172"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 xml:space="preserve">Con base en esta norma, las Entidades Estatales de régimen especial, como parte del Sistema de Compra Pública (artículo 2.2.1.1.1.2.1.), deben procurar el logro de los objetivos del Sistema definidos por Colombia Compra Eficiente (artículo 2.2.1.1.1.1.1.); elaborar y publicar su Plan Anual de Adquisiciones (artículo 2.2.1.1.1.4.1.); enviar mensualmente a las cámaras de comercio la información relativa a la inhabilidad por incumplimiento reiterado (artículo 2.2.1.1.1.5.7.); realizar análisis del sector y de Riesgos (artículos 2.2.1.1.1.6.1. y 2.2.1.1.1.6.3.); y, publicar su actividad contractual en el </w:t>
      </w:r>
      <w:proofErr w:type="spellStart"/>
      <w:r w:rsidRPr="00565B57">
        <w:rPr>
          <w:rFonts w:ascii="Century Gothic" w:hAnsi="Century Gothic" w:eastAsia="Calibri" w:cs="Arial"/>
          <w:color w:val="000000" w:themeColor="text1"/>
          <w:sz w:val="21"/>
          <w:szCs w:val="21"/>
          <w:lang w:val="es-ES_tradnl"/>
        </w:rPr>
        <w:t>Secop</w:t>
      </w:r>
      <w:proofErr w:type="spellEnd"/>
      <w:r w:rsidRPr="00565B57">
        <w:rPr>
          <w:rFonts w:ascii="Century Gothic" w:hAnsi="Century Gothic" w:eastAsia="Calibri" w:cs="Arial"/>
          <w:color w:val="000000" w:themeColor="text1"/>
          <w:sz w:val="21"/>
          <w:szCs w:val="21"/>
          <w:lang w:val="es-ES_tradnl"/>
        </w:rPr>
        <w:t xml:space="preserve"> (artículo 2.2.1.1.1.7.1.).</w:t>
      </w:r>
    </w:p>
    <w:p w:rsidRPr="00565B57" w:rsidR="00E8449C" w:rsidP="004C3AD2" w:rsidRDefault="00E8449C" w14:paraId="26CBA4EB"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Asimismo, deben tener en cuenta las disposiciones previstas en los Acuerdos Comerciales y adecuar sus manuales de contratación y sus Procesos de Contratación a lo previsto en aquellos (Subsección 1, Sección 4, Capítulo 2).</w:t>
      </w:r>
    </w:p>
    <w:p w:rsidRPr="00565B57" w:rsidR="00E8449C" w:rsidP="004C3AD2" w:rsidRDefault="00E8449C" w14:paraId="6D828F2E" w14:textId="77777777">
      <w:pPr>
        <w:spacing w:after="240" w:line="240" w:lineRule="auto"/>
        <w:ind w:left="709" w:right="709"/>
        <w:jc w:val="both"/>
        <w:rPr>
          <w:rFonts w:ascii="Century Gothic" w:hAnsi="Century Gothic" w:eastAsia="Calibri" w:cs="Arial"/>
          <w:color w:val="000000" w:themeColor="text1"/>
          <w:sz w:val="21"/>
          <w:szCs w:val="21"/>
          <w:lang w:val="es-ES_tradnl"/>
        </w:rPr>
      </w:pPr>
      <w:r w:rsidRPr="00565B57">
        <w:rPr>
          <w:rFonts w:ascii="Century Gothic" w:hAnsi="Century Gothic" w:eastAsia="Calibri" w:cs="Arial"/>
          <w:color w:val="000000" w:themeColor="text1"/>
          <w:sz w:val="21"/>
          <w:szCs w:val="21"/>
          <w:lang w:val="es-ES_tradnl"/>
        </w:rPr>
        <w:t>Por último, deben tener en cuenta la obligación de adoptar un manual de contratación con base en los lineamientos que expide Colombia Compra Eficiente (artículo 2.2.1.2.5.3.)”</w:t>
      </w:r>
      <w:r w:rsidRPr="00565B57">
        <w:rPr>
          <w:rStyle w:val="Refdenotaalpie"/>
          <w:rFonts w:ascii="Century Gothic" w:hAnsi="Century Gothic" w:eastAsia="Calibri" w:cs="Arial"/>
          <w:color w:val="000000" w:themeColor="text1"/>
          <w:sz w:val="21"/>
          <w:szCs w:val="21"/>
          <w:lang w:val="es-ES_tradnl"/>
        </w:rPr>
        <w:footnoteReference w:id="9"/>
      </w:r>
      <w:r w:rsidRPr="00565B57">
        <w:rPr>
          <w:rFonts w:ascii="Century Gothic" w:hAnsi="Century Gothic" w:eastAsia="Calibri" w:cs="Arial"/>
          <w:color w:val="000000" w:themeColor="text1"/>
          <w:sz w:val="21"/>
          <w:szCs w:val="21"/>
          <w:lang w:val="es-ES_tradnl"/>
        </w:rPr>
        <w:t>.</w:t>
      </w:r>
    </w:p>
    <w:p w:rsidRPr="00757E7B" w:rsidR="00E8449C" w:rsidP="00757E7B" w:rsidRDefault="00E8449C" w14:paraId="44BBD750" w14:textId="77777777">
      <w:pPr>
        <w:spacing w:line="276" w:lineRule="auto"/>
        <w:ind w:firstLine="708"/>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xml:space="preserve">Conforme lo expuesto, el reglamento interno de contratación –comúnmente denominado </w:t>
      </w:r>
      <w:r w:rsidRPr="00757E7B">
        <w:rPr>
          <w:rFonts w:ascii="Century Gothic" w:hAnsi="Century Gothic" w:eastAsia="Calibri" w:cs="Arial"/>
          <w:i/>
          <w:color w:val="000000" w:themeColor="text1"/>
          <w:lang w:val="es-ES_tradnl"/>
        </w:rPr>
        <w:t>manual de contratación</w:t>
      </w:r>
      <w:r w:rsidRPr="00757E7B">
        <w:rPr>
          <w:rFonts w:ascii="Century Gothic" w:hAnsi="Century Gothic" w:eastAsia="Calibri" w:cs="Arial"/>
          <w:color w:val="000000" w:themeColor="text1"/>
          <w:lang w:val="es-ES_tradnl"/>
        </w:rPr>
        <w:t xml:space="preserve">–, que regula los aspectos asociados a la actividad contractual de las EICE, debe contener como mínimo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rsidRPr="00757E7B" w:rsidR="00E8449C" w:rsidP="00757E7B" w:rsidRDefault="00E8449C" w14:paraId="753FFEC9" w14:textId="504509DC">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w:t>
      </w:r>
      <w:r w:rsidR="00031DDB">
        <w:rPr>
          <w:rFonts w:ascii="Century Gothic" w:hAnsi="Century Gothic" w:eastAsia="Calibri" w:cs="Arial"/>
          <w:color w:val="000000" w:themeColor="text1"/>
          <w:lang w:val="es-ES_tradnl"/>
        </w:rPr>
        <w:t>;</w:t>
      </w:r>
      <w:r w:rsidRPr="00757E7B">
        <w:rPr>
          <w:rFonts w:ascii="Century Gothic" w:hAnsi="Century Gothic" w:eastAsia="Calibri" w:cs="Arial"/>
          <w:color w:val="000000" w:themeColor="text1"/>
          <w:lang w:val="es-ES_tradnl"/>
        </w:rPr>
        <w:t xml:space="preserve"> </w:t>
      </w:r>
      <w:proofErr w:type="spellStart"/>
      <w:r w:rsidRPr="00757E7B">
        <w:rPr>
          <w:rFonts w:ascii="Century Gothic" w:hAnsi="Century Gothic" w:eastAsia="Calibri" w:cs="Arial"/>
          <w:color w:val="000000" w:themeColor="text1"/>
          <w:lang w:val="es-ES_tradnl"/>
        </w:rPr>
        <w:t>ii</w:t>
      </w:r>
      <w:proofErr w:type="spellEnd"/>
      <w:r w:rsidRPr="00757E7B">
        <w:rPr>
          <w:rFonts w:ascii="Century Gothic" w:hAnsi="Century Gothic" w:eastAsia="Calibri" w:cs="Arial"/>
          <w:color w:val="000000" w:themeColor="text1"/>
          <w:lang w:val="es-ES_tradnl"/>
        </w:rPr>
        <w:t>) causales de inhabilidad e incompatibilidad</w:t>
      </w:r>
      <w:r w:rsidR="00031DDB">
        <w:rPr>
          <w:rFonts w:ascii="Century Gothic" w:hAnsi="Century Gothic" w:eastAsia="Calibri" w:cs="Arial"/>
          <w:color w:val="000000" w:themeColor="text1"/>
          <w:lang w:val="es-ES_tradnl"/>
        </w:rPr>
        <w:t>;</w:t>
      </w:r>
      <w:r w:rsidRPr="00757E7B">
        <w:rPr>
          <w:rFonts w:ascii="Century Gothic" w:hAnsi="Century Gothic" w:eastAsia="Calibri" w:cs="Arial"/>
          <w:color w:val="000000" w:themeColor="text1"/>
          <w:lang w:val="es-ES_tradnl"/>
        </w:rPr>
        <w:t xml:space="preserve"> </w:t>
      </w:r>
      <w:proofErr w:type="spellStart"/>
      <w:r w:rsidR="00031DDB">
        <w:rPr>
          <w:rFonts w:ascii="Century Gothic" w:hAnsi="Century Gothic" w:eastAsia="Calibri" w:cs="Arial"/>
          <w:color w:val="000000" w:themeColor="text1"/>
          <w:lang w:val="es-ES_tradnl"/>
        </w:rPr>
        <w:t>iii</w:t>
      </w:r>
      <w:proofErr w:type="spellEnd"/>
      <w:r w:rsidRPr="00757E7B">
        <w:rPr>
          <w:rFonts w:ascii="Century Gothic" w:hAnsi="Century Gothic" w:eastAsia="Calibri" w:cs="Arial"/>
          <w:color w:val="000000" w:themeColor="text1"/>
          <w:lang w:val="es-ES_tradnl"/>
        </w:rPr>
        <w:t>) el principio de anualidad del gasto</w:t>
      </w:r>
      <w:r w:rsidR="001B01B5">
        <w:rPr>
          <w:rFonts w:ascii="Century Gothic" w:hAnsi="Century Gothic" w:eastAsia="Calibri" w:cs="Arial"/>
          <w:color w:val="000000" w:themeColor="text1"/>
          <w:lang w:val="es-ES_tradnl"/>
        </w:rPr>
        <w:t>;</w:t>
      </w:r>
      <w:r w:rsidRPr="00757E7B">
        <w:rPr>
          <w:rFonts w:ascii="Century Gothic" w:hAnsi="Century Gothic" w:eastAsia="Calibri" w:cs="Arial"/>
          <w:color w:val="000000" w:themeColor="text1"/>
          <w:lang w:val="es-ES_tradnl"/>
        </w:rPr>
        <w:t xml:space="preserve"> y</w:t>
      </w:r>
      <w:r w:rsidR="001B01B5">
        <w:rPr>
          <w:rFonts w:ascii="Century Gothic" w:hAnsi="Century Gothic" w:eastAsia="Calibri" w:cs="Arial"/>
          <w:color w:val="000000" w:themeColor="text1"/>
          <w:lang w:val="es-ES_tradnl"/>
        </w:rPr>
        <w:t>,</w:t>
      </w:r>
      <w:r w:rsidRPr="00757E7B">
        <w:rPr>
          <w:rFonts w:ascii="Century Gothic" w:hAnsi="Century Gothic" w:eastAsia="Calibri" w:cs="Arial"/>
          <w:color w:val="000000" w:themeColor="text1"/>
          <w:lang w:val="es-ES_tradnl"/>
        </w:rPr>
        <w:t xml:space="preserve"> </w:t>
      </w:r>
      <w:proofErr w:type="spellStart"/>
      <w:r w:rsidR="001B01B5">
        <w:rPr>
          <w:rFonts w:ascii="Century Gothic" w:hAnsi="Century Gothic" w:eastAsia="Calibri" w:cs="Arial"/>
          <w:color w:val="000000" w:themeColor="text1"/>
          <w:lang w:val="es-ES_tradnl"/>
        </w:rPr>
        <w:t>i</w:t>
      </w:r>
      <w:r w:rsidRPr="00757E7B">
        <w:rPr>
          <w:rFonts w:ascii="Century Gothic" w:hAnsi="Century Gothic" w:eastAsia="Calibri" w:cs="Arial"/>
          <w:color w:val="000000" w:themeColor="text1"/>
          <w:lang w:val="es-ES_tradnl"/>
        </w:rPr>
        <w:t>v</w:t>
      </w:r>
      <w:proofErr w:type="spellEnd"/>
      <w:r w:rsidRPr="00757E7B">
        <w:rPr>
          <w:rFonts w:ascii="Century Gothic" w:hAnsi="Century Gothic" w:eastAsia="Calibri" w:cs="Arial"/>
          <w:color w:val="000000" w:themeColor="text1"/>
          <w:lang w:val="es-ES_tradnl"/>
        </w:rPr>
        <w:t>)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757E7B">
        <w:rPr>
          <w:rStyle w:val="Refdenotaalpie"/>
          <w:rFonts w:ascii="Century Gothic" w:hAnsi="Century Gothic" w:eastAsia="Calibri" w:cs="Arial"/>
          <w:color w:val="000000" w:themeColor="text1"/>
          <w:lang w:val="es-ES_tradnl"/>
        </w:rPr>
        <w:footnoteReference w:id="10"/>
      </w:r>
      <w:r w:rsidRPr="00757E7B">
        <w:rPr>
          <w:rFonts w:ascii="Century Gothic" w:hAnsi="Century Gothic" w:eastAsia="Calibri" w:cs="Arial"/>
          <w:color w:val="000000" w:themeColor="text1"/>
          <w:lang w:val="es-ES_tradnl"/>
        </w:rPr>
        <w:t>.</w:t>
      </w:r>
    </w:p>
    <w:p w:rsidRPr="00757E7B" w:rsidR="00E8449C" w:rsidP="00757E7B" w:rsidRDefault="00E8449C" w14:paraId="331E6659" w14:textId="30A5196C">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Ahora bien, ¿a qué normas deben acudir las entidades estatales y los interesados, cuando se presenten lagunas jurídicas –es decir, vacíos o ausencia de regulación de ciertos temas–</w:t>
      </w:r>
      <w:r w:rsidRPr="00757E7B">
        <w:rPr>
          <w:rStyle w:val="Refdenotaalpie"/>
          <w:rFonts w:ascii="Century Gothic" w:hAnsi="Century Gothic" w:eastAsia="Calibri" w:cs="Arial"/>
          <w:color w:val="000000" w:themeColor="text1"/>
          <w:lang w:val="es-ES_tradnl"/>
        </w:rPr>
        <w:footnoteReference w:id="11"/>
      </w:r>
      <w:r w:rsidRPr="00757E7B">
        <w:rPr>
          <w:rFonts w:ascii="Century Gothic" w:hAnsi="Century Gothic" w:eastAsia="Calibri" w:cs="Arial"/>
          <w:color w:val="000000" w:themeColor="text1"/>
          <w:lang w:val="es-ES_tradnl"/>
        </w:rPr>
        <w:t xml:space="preserve">, en los manuales de contratación de las entidades de régimen especial? Como lo establece la </w:t>
      </w:r>
      <w:r w:rsidRPr="00086B6D">
        <w:rPr>
          <w:rFonts w:ascii="Century Gothic" w:hAnsi="Century Gothic" w:eastAsia="Calibri" w:cs="Arial"/>
          <w:i/>
          <w:iCs/>
          <w:color w:val="000000" w:themeColor="text1"/>
          <w:lang w:val="es-ES_tradnl"/>
        </w:rPr>
        <w:t>“Guía para las Entidades Estatales con régimen especial de Contratación”</w:t>
      </w:r>
      <w:r w:rsidRPr="00086B6D">
        <w:rPr>
          <w:rStyle w:val="Refdenotaalpie"/>
          <w:rFonts w:ascii="Century Gothic" w:hAnsi="Century Gothic" w:eastAsia="Calibri" w:cs="Arial"/>
          <w:i/>
          <w:iCs/>
          <w:color w:val="000000" w:themeColor="text1"/>
          <w:lang w:val="es-ES_tradnl"/>
        </w:rPr>
        <w:footnoteReference w:id="12"/>
      </w:r>
      <w:r w:rsidRPr="00086B6D">
        <w:rPr>
          <w:rFonts w:ascii="Century Gothic" w:hAnsi="Century Gothic" w:eastAsia="Calibri" w:cs="Arial"/>
          <w:i/>
          <w:iCs/>
          <w:color w:val="000000" w:themeColor="text1"/>
          <w:lang w:val="es-ES_tradnl"/>
        </w:rPr>
        <w:t>,</w:t>
      </w:r>
      <w:r w:rsidRPr="00757E7B">
        <w:rPr>
          <w:rFonts w:ascii="Century Gothic" w:hAnsi="Century Gothic" w:eastAsia="Calibri" w:cs="Arial"/>
          <w:color w:val="000000" w:themeColor="text1"/>
          <w:lang w:val="es-ES_tradnl"/>
        </w:rPr>
        <w:t xml:space="preserve"> proferida por esta Agencia, en principio, la actividad contractual de las entidades excluidas de la aplicación del </w:t>
      </w:r>
      <w:r w:rsidR="008F7BEF">
        <w:rPr>
          <w:rFonts w:ascii="Century Gothic" w:hAnsi="Century Gothic" w:eastAsia="Calibri" w:cs="Arial"/>
          <w:color w:val="000000" w:themeColor="text1"/>
          <w:lang w:val="es-ES_tradnl"/>
        </w:rPr>
        <w:t>EGCAP</w:t>
      </w:r>
      <w:r w:rsidRPr="00757E7B">
        <w:rPr>
          <w:rFonts w:ascii="Century Gothic" w:hAnsi="Century Gothic" w:eastAsia="Calibri" w:cs="Arial"/>
          <w:color w:val="000000" w:themeColor="text1"/>
          <w:lang w:val="es-ES_tradnl"/>
        </w:rPr>
        <w:t xml:space="preserve">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los preceptos civiles y comerciales. </w:t>
      </w:r>
    </w:p>
    <w:p w:rsidRPr="00757E7B" w:rsidR="00E8449C" w:rsidP="00757E7B" w:rsidRDefault="00E8449C" w14:paraId="30492B97" w14:textId="20C661D7">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en qué materia existiría una laguna. Ello por cuanto existen </w:t>
      </w:r>
      <w:r w:rsidRPr="00757E7B">
        <w:rPr>
          <w:rFonts w:ascii="Century Gothic" w:hAnsi="Century Gothic" w:eastAsia="Calibri" w:cs="Arial"/>
          <w:i/>
          <w:color w:val="000000" w:themeColor="text1"/>
          <w:lang w:val="es-ES_tradnl"/>
        </w:rPr>
        <w:t>tres</w:t>
      </w:r>
      <w:r w:rsidRPr="00757E7B">
        <w:rPr>
          <w:rFonts w:ascii="Century Gothic" w:hAnsi="Century Gothic" w:eastAsia="Calibri" w:cs="Arial"/>
          <w:color w:val="000000" w:themeColor="text1"/>
          <w:lang w:val="es-ES_tradnl"/>
        </w:rPr>
        <w:t xml:space="preserve"> remisiones legales, que deben interpretarse sistemáticamente: i) la que efectúa hacia el derecho privado la norma legal que constituye el régimen especial de la entidad correspondiente –por ejemplo, el artículo 31 de la Ley 142 de 1994 o el artículo 195, numeral 6, de la Ley 100 de 1993, por mencionar solo estos dos casos–; </w:t>
      </w:r>
      <w:proofErr w:type="spellStart"/>
      <w:r w:rsidRPr="00757E7B">
        <w:rPr>
          <w:rFonts w:ascii="Century Gothic" w:hAnsi="Century Gothic" w:eastAsia="Calibri" w:cs="Arial"/>
          <w:color w:val="000000" w:themeColor="text1"/>
          <w:lang w:val="es-ES_tradnl"/>
        </w:rPr>
        <w:t>ii</w:t>
      </w:r>
      <w:proofErr w:type="spellEnd"/>
      <w:r w:rsidRPr="00757E7B">
        <w:rPr>
          <w:rFonts w:ascii="Century Gothic" w:hAnsi="Century Gothic" w:eastAsia="Calibri" w:cs="Arial"/>
          <w:color w:val="000000" w:themeColor="text1"/>
          <w:lang w:val="es-ES_tradnl"/>
        </w:rPr>
        <w:t xml:space="preserve">) la que prevén los artículos 2, 34 y 47 de la Ley 1437 de 2011, los cuales disponen que las normas de la primera parte del Código de Procedimiento Administrativo y de lo Contencioso Administrativo –CPACA– deben aplicarse en ausencia de lo establecido en leyes especiales; y </w:t>
      </w:r>
      <w:proofErr w:type="spellStart"/>
      <w:r w:rsidRPr="00757E7B">
        <w:rPr>
          <w:rFonts w:ascii="Century Gothic" w:hAnsi="Century Gothic" w:eastAsia="Calibri" w:cs="Arial"/>
          <w:color w:val="000000" w:themeColor="text1"/>
          <w:lang w:val="es-ES_tradnl"/>
        </w:rPr>
        <w:t>iii</w:t>
      </w:r>
      <w:proofErr w:type="spellEnd"/>
      <w:r w:rsidRPr="00757E7B">
        <w:rPr>
          <w:rFonts w:ascii="Century Gothic" w:hAnsi="Century Gothic" w:eastAsia="Calibri" w:cs="Arial"/>
          <w:color w:val="000000" w:themeColor="text1"/>
          <w:lang w:val="es-ES_tradnl"/>
        </w:rPr>
        <w:t xml:space="preserve">) la que establece el artículo 13 de la Ley 1150 de 2007 respecto de la aplicación de los principios de la función administrativa –artículo 209 C.P.– y de </w:t>
      </w:r>
      <w:r w:rsidR="000811D6">
        <w:rPr>
          <w:rFonts w:ascii="Century Gothic" w:hAnsi="Century Gothic" w:eastAsia="Calibri" w:cs="Arial"/>
          <w:color w:val="000000" w:themeColor="text1"/>
          <w:lang w:val="es-ES_tradnl"/>
        </w:rPr>
        <w:t>vigilancia y control</w:t>
      </w:r>
      <w:r w:rsidRPr="00757E7B">
        <w:rPr>
          <w:rFonts w:ascii="Century Gothic" w:hAnsi="Century Gothic" w:eastAsia="Calibri" w:cs="Arial"/>
          <w:color w:val="000000" w:themeColor="text1"/>
          <w:lang w:val="es-ES_tradnl"/>
        </w:rPr>
        <w:t xml:space="preserve"> fiscal –artículo 267 C.P.–, así como del régimen de inhabilidades e incompatibilidades previsto para la contratación estatal.</w:t>
      </w:r>
    </w:p>
    <w:p w:rsidRPr="00757E7B" w:rsidR="00E8449C" w:rsidP="00757E7B" w:rsidRDefault="00E8449C" w14:paraId="021A0FBC" w14:textId="77777777">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En consecuencia, si el manual de contratación de la entidad de régimen especial no prevé normas –es decir, si tiene vacíos–</w:t>
      </w:r>
      <w:r w:rsidRPr="00757E7B">
        <w:rPr>
          <w:rStyle w:val="Refdenotaalpie"/>
          <w:rFonts w:ascii="Century Gothic" w:hAnsi="Century Gothic" w:eastAsia="Calibri" w:cs="Arial"/>
          <w:color w:val="000000" w:themeColor="text1"/>
          <w:lang w:val="es-ES_tradnl"/>
        </w:rPr>
        <w:footnoteReference w:id="13"/>
      </w:r>
      <w:r w:rsidRPr="00757E7B">
        <w:rPr>
          <w:rFonts w:ascii="Century Gothic" w:hAnsi="Century Gothic" w:eastAsia="Calibri" w:cs="Arial"/>
          <w:color w:val="000000" w:themeColor="text1"/>
          <w:lang w:val="es-ES_tradnl"/>
        </w:rPr>
        <w:t xml:space="preserve"> sobre: i) los elementos de existencia y validez del contrato, </w:t>
      </w:r>
      <w:proofErr w:type="spellStart"/>
      <w:r w:rsidRPr="00757E7B">
        <w:rPr>
          <w:rFonts w:ascii="Century Gothic" w:hAnsi="Century Gothic" w:eastAsia="Calibri" w:cs="Arial"/>
          <w:color w:val="000000" w:themeColor="text1"/>
          <w:lang w:val="es-ES_tradnl"/>
        </w:rPr>
        <w:t>ii</w:t>
      </w:r>
      <w:proofErr w:type="spellEnd"/>
      <w:r w:rsidRPr="00757E7B">
        <w:rPr>
          <w:rFonts w:ascii="Century Gothic" w:hAnsi="Century Gothic" w:eastAsia="Calibri" w:cs="Arial"/>
          <w:color w:val="000000" w:themeColor="text1"/>
          <w:lang w:val="es-ES_tradnl"/>
        </w:rPr>
        <w:t xml:space="preserve">) los vicios que pueden generar su anulación, </w:t>
      </w:r>
      <w:proofErr w:type="spellStart"/>
      <w:r w:rsidRPr="00757E7B">
        <w:rPr>
          <w:rFonts w:ascii="Century Gothic" w:hAnsi="Century Gothic" w:eastAsia="Calibri" w:cs="Arial"/>
          <w:color w:val="000000" w:themeColor="text1"/>
          <w:lang w:val="es-ES_tradnl"/>
        </w:rPr>
        <w:t>iii</w:t>
      </w:r>
      <w:proofErr w:type="spellEnd"/>
      <w:r w:rsidRPr="00757E7B">
        <w:rPr>
          <w:rFonts w:ascii="Century Gothic" w:hAnsi="Century Gothic" w:eastAsia="Calibri" w:cs="Arial"/>
          <w:color w:val="000000" w:themeColor="text1"/>
          <w:lang w:val="es-ES_tradnl"/>
        </w:rPr>
        <w:t xml:space="preserve">) la tipología de los negocios jurídicos, </w:t>
      </w:r>
      <w:proofErr w:type="spellStart"/>
      <w:r w:rsidRPr="00757E7B">
        <w:rPr>
          <w:rFonts w:ascii="Century Gothic" w:hAnsi="Century Gothic" w:eastAsia="Calibri" w:cs="Arial"/>
          <w:color w:val="000000" w:themeColor="text1"/>
          <w:lang w:val="es-ES_tradnl"/>
        </w:rPr>
        <w:t>iv</w:t>
      </w:r>
      <w:proofErr w:type="spellEnd"/>
      <w:r w:rsidRPr="00757E7B">
        <w:rPr>
          <w:rFonts w:ascii="Century Gothic" w:hAnsi="Century Gothic" w:eastAsia="Calibri" w:cs="Arial"/>
          <w:color w:val="000000" w:themeColor="text1"/>
          <w:lang w:val="es-ES_tradnl"/>
        </w:rPr>
        <w:t xml:space="preserve">) los criterios de interpretación de las estipulaciones contractuales, v) el concepto y los requisitos de la oferta, vi) las formas de extinción de las obligaciones, </w:t>
      </w:r>
      <w:proofErr w:type="spellStart"/>
      <w:r w:rsidRPr="00757E7B">
        <w:rPr>
          <w:rFonts w:ascii="Century Gothic" w:hAnsi="Century Gothic" w:eastAsia="Calibri" w:cs="Arial"/>
          <w:color w:val="000000" w:themeColor="text1"/>
          <w:lang w:val="es-ES_tradnl"/>
        </w:rPr>
        <w:t>vii</w:t>
      </w:r>
      <w:proofErr w:type="spellEnd"/>
      <w:r w:rsidRPr="00757E7B">
        <w:rPr>
          <w:rFonts w:ascii="Century Gothic" w:hAnsi="Century Gothic" w:eastAsia="Calibri" w:cs="Arial"/>
          <w:color w:val="000000" w:themeColor="text1"/>
          <w:lang w:val="es-ES_tradnl"/>
        </w:rPr>
        <w:t>)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757E7B">
        <w:rPr>
          <w:rStyle w:val="Refdenotaalpie"/>
          <w:rFonts w:ascii="Century Gothic" w:hAnsi="Century Gothic" w:eastAsia="Calibri" w:cs="Arial"/>
          <w:color w:val="000000" w:themeColor="text1"/>
          <w:lang w:val="es-ES_tradnl"/>
        </w:rPr>
        <w:footnoteReference w:id="14"/>
      </w:r>
      <w:r w:rsidRPr="00757E7B">
        <w:rPr>
          <w:rFonts w:ascii="Century Gothic" w:hAnsi="Century Gothic" w:eastAsia="Calibri" w:cs="Arial"/>
          <w:color w:val="000000" w:themeColor="text1"/>
          <w:lang w:val="es-ES_tradnl"/>
        </w:rPr>
        <w:t>, con la costumbre mercantil</w:t>
      </w:r>
      <w:r w:rsidRPr="00757E7B">
        <w:rPr>
          <w:rStyle w:val="Refdenotaalpie"/>
          <w:rFonts w:ascii="Century Gothic" w:hAnsi="Century Gothic" w:eastAsia="Calibri" w:cs="Arial"/>
          <w:color w:val="000000" w:themeColor="text1"/>
          <w:lang w:val="es-ES_tradnl"/>
        </w:rPr>
        <w:footnoteReference w:id="15"/>
      </w:r>
      <w:r w:rsidRPr="00757E7B">
        <w:rPr>
          <w:rFonts w:ascii="Century Gothic" w:hAnsi="Century Gothic" w:eastAsia="Calibri" w:cs="Arial"/>
          <w:color w:val="000000" w:themeColor="text1"/>
          <w:lang w:val="es-ES_tradnl"/>
        </w:rPr>
        <w:t xml:space="preserve"> y con los principios generales que rigen las relaciones contractuales de los particulares, que ingresan dentro de la categoría de la </w:t>
      </w:r>
      <w:r w:rsidRPr="00757E7B">
        <w:rPr>
          <w:rFonts w:ascii="Century Gothic" w:hAnsi="Century Gothic" w:eastAsia="Calibri" w:cs="Arial"/>
          <w:i/>
          <w:color w:val="000000" w:themeColor="text1"/>
          <w:lang w:val="es-ES_tradnl"/>
        </w:rPr>
        <w:t xml:space="preserve">lex </w:t>
      </w:r>
      <w:proofErr w:type="spellStart"/>
      <w:r w:rsidRPr="00757E7B">
        <w:rPr>
          <w:rFonts w:ascii="Century Gothic" w:hAnsi="Century Gothic" w:eastAsia="Calibri" w:cs="Arial"/>
          <w:i/>
          <w:color w:val="000000" w:themeColor="text1"/>
          <w:lang w:val="es-ES_tradnl"/>
        </w:rPr>
        <w:t>mercatoria</w:t>
      </w:r>
      <w:proofErr w:type="spellEnd"/>
      <w:r w:rsidRPr="00757E7B">
        <w:rPr>
          <w:rStyle w:val="Refdenotaalpie"/>
          <w:rFonts w:ascii="Century Gothic" w:hAnsi="Century Gothic" w:eastAsia="Calibri" w:cs="Arial"/>
          <w:color w:val="000000" w:themeColor="text1"/>
          <w:lang w:val="es-ES_tradnl"/>
        </w:rPr>
        <w:footnoteReference w:id="16"/>
      </w:r>
      <w:r w:rsidRPr="00757E7B">
        <w:rPr>
          <w:rFonts w:ascii="Century Gothic" w:hAnsi="Century Gothic" w:eastAsia="Calibri" w:cs="Arial"/>
          <w:color w:val="000000" w:themeColor="text1"/>
          <w:lang w:val="es-ES_tradnl"/>
        </w:rPr>
        <w:t>.</w:t>
      </w:r>
    </w:p>
    <w:p w:rsidRPr="00757E7B" w:rsidR="00E8449C" w:rsidP="00757E7B" w:rsidRDefault="00E8449C" w14:paraId="3CDA4489" w14:textId="77777777">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xml:space="preserve">Por el contrario, si el vacío del manual de contratación tiene que ver con asuntos asociados a los procedimientos administrativos, como: i) la forma de iniciar la actuación administrativa, </w:t>
      </w:r>
      <w:proofErr w:type="spellStart"/>
      <w:r w:rsidRPr="00757E7B">
        <w:rPr>
          <w:rFonts w:ascii="Century Gothic" w:hAnsi="Century Gothic" w:eastAsia="Calibri" w:cs="Arial"/>
          <w:color w:val="000000" w:themeColor="text1"/>
          <w:lang w:val="es-ES_tradnl"/>
        </w:rPr>
        <w:t>ii</w:t>
      </w:r>
      <w:proofErr w:type="spellEnd"/>
      <w:r w:rsidRPr="00757E7B">
        <w:rPr>
          <w:rFonts w:ascii="Century Gothic" w:hAnsi="Century Gothic" w:eastAsia="Calibri" w:cs="Arial"/>
          <w:color w:val="000000" w:themeColor="text1"/>
          <w:lang w:val="es-ES_tradnl"/>
        </w:rPr>
        <w:t xml:space="preserve">) los derechos y deberes de las entidades y de los particulares en los procedimientos administrativos, </w:t>
      </w:r>
      <w:proofErr w:type="spellStart"/>
      <w:r w:rsidRPr="00757E7B">
        <w:rPr>
          <w:rFonts w:ascii="Century Gothic" w:hAnsi="Century Gothic" w:eastAsia="Calibri" w:cs="Arial"/>
          <w:color w:val="000000" w:themeColor="text1"/>
          <w:lang w:val="es-ES_tradnl"/>
        </w:rPr>
        <w:t>iii</w:t>
      </w:r>
      <w:proofErr w:type="spellEnd"/>
      <w:r w:rsidRPr="00757E7B">
        <w:rPr>
          <w:rFonts w:ascii="Century Gothic" w:hAnsi="Century Gothic" w:eastAsia="Calibri" w:cs="Arial"/>
          <w:color w:val="000000" w:themeColor="text1"/>
          <w:lang w:val="es-ES_tradnl"/>
        </w:rPr>
        <w:t xml:space="preserve">) el trámite de las peticiones, </w:t>
      </w:r>
      <w:proofErr w:type="spellStart"/>
      <w:r w:rsidRPr="00757E7B">
        <w:rPr>
          <w:rFonts w:ascii="Century Gothic" w:hAnsi="Century Gothic" w:eastAsia="Calibri" w:cs="Arial"/>
          <w:color w:val="000000" w:themeColor="text1"/>
          <w:lang w:val="es-ES_tradnl"/>
        </w:rPr>
        <w:t>iv</w:t>
      </w:r>
      <w:proofErr w:type="spellEnd"/>
      <w:r w:rsidRPr="00757E7B">
        <w:rPr>
          <w:rFonts w:ascii="Century Gothic" w:hAnsi="Century Gothic" w:eastAsia="Calibri" w:cs="Arial"/>
          <w:color w:val="000000" w:themeColor="text1"/>
          <w:lang w:val="es-ES_tradnl"/>
        </w:rPr>
        <w:t>)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o sea, debe llenar tales lagunas con las normas de la primera parte del CPACA.</w:t>
      </w:r>
    </w:p>
    <w:p w:rsidRPr="00757E7B" w:rsidR="00E8449C" w:rsidP="00757E7B" w:rsidRDefault="00E8449C" w14:paraId="1C84202E" w14:textId="77777777">
      <w:pPr>
        <w:spacing w:before="120" w:after="120" w:line="276" w:lineRule="auto"/>
        <w:ind w:firstLine="709"/>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lang w:val="es-ES_tradnl"/>
        </w:rPr>
        <w:t xml:space="preserve">De otro lado, si lo que falta en el manual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p>
    <w:bookmarkEnd w:id="1"/>
    <w:bookmarkEnd w:id="2"/>
    <w:bookmarkEnd w:id="8"/>
    <w:p w:rsidRPr="009318B7" w:rsidR="00993330" w:rsidP="009318B7" w:rsidRDefault="009318B7" w14:paraId="63F453E6" w14:textId="7AFACBA6">
      <w:pPr>
        <w:pStyle w:val="Prrafodelista"/>
        <w:numPr>
          <w:ilvl w:val="1"/>
          <w:numId w:val="17"/>
        </w:numPr>
        <w:spacing w:before="120" w:after="0" w:line="276" w:lineRule="auto"/>
        <w:jc w:val="both"/>
        <w:rPr>
          <w:rFonts w:ascii="Century Gothic" w:hAnsi="Century Gothic" w:eastAsia="Arial" w:cs="Arial"/>
          <w:b/>
          <w:bCs/>
        </w:rPr>
      </w:pPr>
      <w:r w:rsidRPr="009318B7">
        <w:rPr>
          <w:rFonts w:ascii="Century Gothic" w:hAnsi="Century Gothic" w:eastAsia="Times New Roman" w:cs="Arial"/>
          <w:b/>
          <w:bCs/>
          <w:iCs/>
          <w:color w:val="000000"/>
          <w:lang w:val="es-ES_tradnl" w:eastAsia="es-ES_tradnl"/>
        </w:rPr>
        <w:t>Potestad sancionatoria contractual de las entidades estatales con régimen especial de contratación</w:t>
      </w:r>
    </w:p>
    <w:p w:rsidRPr="00757E7B" w:rsidR="008D4241" w:rsidP="009318B7" w:rsidRDefault="008D4241" w14:paraId="57DC50EB" w14:textId="183F768B">
      <w:pPr>
        <w:spacing w:before="120" w:after="0" w:line="276" w:lineRule="auto"/>
        <w:jc w:val="both"/>
        <w:rPr>
          <w:rFonts w:ascii="Century Gothic" w:hAnsi="Century Gothic" w:eastAsia="Times New Roman" w:cs="Arial"/>
          <w:iCs/>
          <w:color w:val="000000"/>
          <w:lang w:eastAsia="es-ES_tradnl"/>
        </w:rPr>
      </w:pPr>
      <w:r w:rsidRPr="00757E7B">
        <w:rPr>
          <w:rFonts w:ascii="Century Gothic" w:hAnsi="Century Gothic" w:eastAsia="Times New Roman" w:cs="Arial"/>
          <w:iCs/>
          <w:color w:val="000000"/>
          <w:lang w:eastAsia="es-ES_tradnl"/>
        </w:rPr>
        <w:t xml:space="preserve">De conformidad con el artículo tercero de la Ley 80 de 1993, las Entidades Estatales deben buscar el cumplimiento de los fines estatales, la continua y eficiente prestación de los servicios públicos y la efectividad de los derechos e intereses de los administrados que colaboran con ellas, de tal suerte que, para la consecución de dichos fines, al celebrar un contrato tendrán la dirección general y la responsabilidad de ejercer el control y vigilancia de la ejecución </w:t>
      </w:r>
      <w:r w:rsidRPr="00757E7B" w:rsidR="0046507B">
        <w:rPr>
          <w:rFonts w:ascii="Century Gothic" w:hAnsi="Century Gothic" w:eastAsia="Times New Roman" w:cs="Arial"/>
          <w:iCs/>
          <w:color w:val="000000"/>
          <w:lang w:eastAsia="es-ES_tradnl"/>
        </w:rPr>
        <w:t>de este</w:t>
      </w:r>
      <w:r w:rsidRPr="00757E7B">
        <w:rPr>
          <w:rFonts w:ascii="Century Gothic" w:hAnsi="Century Gothic" w:eastAsia="Times New Roman" w:cs="Arial"/>
          <w:iCs/>
          <w:color w:val="000000"/>
          <w:lang w:eastAsia="es-ES_tradnl"/>
        </w:rPr>
        <w:t xml:space="preserve">. </w:t>
      </w:r>
    </w:p>
    <w:p w:rsidRPr="00757E7B" w:rsidR="008D4241" w:rsidP="00757E7B" w:rsidRDefault="008D4241" w14:paraId="3A192DB9" w14:textId="77777777">
      <w:pPr>
        <w:spacing w:before="120"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Esto implica que las Entidades Estatales están revestidas de facultades sancionatorias que les permiten, entre otras cosas, el ejercicio de potestades coercitivas en eventos de incumplimiento de las obligaciones contractualmente pactadas que afecten la ejecución de los cometidos estatales, potestades que en todo caso deben ceñirse a lo dispuesto por el ordenamiento jurídico. Al respecto, el Consejo de Estado ha indicado que:</w:t>
      </w:r>
    </w:p>
    <w:p w:rsidRPr="00EE52D9" w:rsidR="008D4241" w:rsidP="00EE52D9" w:rsidRDefault="008D4241" w14:paraId="72FBF0B0" w14:textId="77777777">
      <w:pPr>
        <w:tabs>
          <w:tab w:val="left" w:pos="426"/>
        </w:tabs>
        <w:spacing w:line="240" w:lineRule="auto"/>
        <w:ind w:left="567" w:right="474"/>
        <w:jc w:val="both"/>
        <w:rPr>
          <w:rFonts w:ascii="Century Gothic" w:hAnsi="Century Gothic" w:eastAsia="Calibri" w:cs="Arial"/>
          <w:color w:val="000000" w:themeColor="text1"/>
          <w:sz w:val="21"/>
          <w:szCs w:val="21"/>
          <w:lang w:val="es-ES"/>
        </w:rPr>
      </w:pPr>
      <w:r w:rsidRPr="00EE52D9">
        <w:rPr>
          <w:rFonts w:ascii="Century Gothic" w:hAnsi="Century Gothic" w:eastAsia="Calibri" w:cs="Arial"/>
          <w:color w:val="000000" w:themeColor="text1"/>
          <w:sz w:val="21"/>
          <w:szCs w:val="21"/>
          <w:lang w:val="es-ES"/>
        </w:rPr>
        <w:t>“La potestad sancionadora es sólo un instrumento de los muchos con que cuenta la administración en materia contractual para la consecución de los objetivos que la ley le asigna a través de la delimitación de competencias. […]</w:t>
      </w:r>
    </w:p>
    <w:p w:rsidRPr="00EE52D9" w:rsidR="008D4241" w:rsidP="00EE52D9" w:rsidRDefault="008D4241" w14:paraId="464D9203" w14:textId="77777777">
      <w:pPr>
        <w:tabs>
          <w:tab w:val="left" w:pos="426"/>
        </w:tabs>
        <w:spacing w:line="240" w:lineRule="auto"/>
        <w:ind w:left="567" w:right="474"/>
        <w:jc w:val="both"/>
        <w:rPr>
          <w:rFonts w:ascii="Century Gothic" w:hAnsi="Century Gothic" w:eastAsia="Calibri" w:cs="Arial"/>
          <w:color w:val="000000" w:themeColor="text1"/>
          <w:sz w:val="21"/>
          <w:szCs w:val="21"/>
          <w:lang w:val="es-ES"/>
        </w:rPr>
      </w:pPr>
      <w:r w:rsidRPr="00EE52D9">
        <w:rPr>
          <w:rFonts w:ascii="Century Gothic" w:hAnsi="Century Gothic" w:eastAsia="Calibri" w:cs="Arial"/>
          <w:color w:val="000000" w:themeColor="text1"/>
          <w:sz w:val="21"/>
          <w:szCs w:val="21"/>
          <w:lang w:val="es-ES"/>
        </w:rPr>
        <w:t>De otra parte, la potestad sancionadora, al igual que ocurre con otras potestades reconocidas a la Administración, sólo se puede concebir bajo el postulado según el cual la actividad administrativa se halla supeditada al derecho. Es decir, no se trata de un poder aislado sino sometido en todo momento al principio de legalidad. […]</w:t>
      </w:r>
    </w:p>
    <w:p w:rsidRPr="00EE52D9" w:rsidR="008D4241" w:rsidP="00EE52D9" w:rsidRDefault="008D4241" w14:paraId="28E76385" w14:textId="77777777">
      <w:pPr>
        <w:tabs>
          <w:tab w:val="left" w:pos="426"/>
        </w:tabs>
        <w:spacing w:line="240" w:lineRule="auto"/>
        <w:ind w:left="567" w:right="474"/>
        <w:jc w:val="both"/>
        <w:rPr>
          <w:rFonts w:ascii="Century Gothic" w:hAnsi="Century Gothic" w:eastAsia="Calibri" w:cs="Arial"/>
          <w:color w:val="000000" w:themeColor="text1"/>
          <w:sz w:val="21"/>
          <w:szCs w:val="21"/>
          <w:lang w:val="es-ES"/>
        </w:rPr>
      </w:pPr>
      <w:r w:rsidRPr="00EE52D9">
        <w:rPr>
          <w:rFonts w:ascii="Century Gothic" w:hAnsi="Century Gothic" w:eastAsia="Calibri" w:cs="Arial"/>
          <w:color w:val="000000" w:themeColor="text1"/>
          <w:sz w:val="21"/>
          <w:szCs w:val="21"/>
          <w:lang w:val="es-ES"/>
        </w:rPr>
        <w:t>Visto lo anterior, la potestad sancionadora se halla sometida al principio de legalidad en los siguientes aspectos: 1. Su atribución; 2. El carácter discrecional o reglado de su ejercicio; 3. El espacio temporal en que puede utilizarse, y 4. Las formalidades procedimentales exigidas para imponer una sanción</w:t>
      </w:r>
      <w:r w:rsidRPr="00EE52D9">
        <w:rPr>
          <w:rStyle w:val="Refdenotaalpie"/>
          <w:rFonts w:ascii="Century Gothic" w:hAnsi="Century Gothic" w:eastAsia="Calibri" w:cs="Arial"/>
          <w:color w:val="000000" w:themeColor="text1"/>
          <w:sz w:val="21"/>
          <w:szCs w:val="21"/>
          <w:lang w:val="es-ES"/>
        </w:rPr>
        <w:footnoteReference w:id="17"/>
      </w:r>
      <w:r w:rsidRPr="00EE52D9">
        <w:rPr>
          <w:rFonts w:ascii="Century Gothic" w:hAnsi="Century Gothic" w:eastAsia="Calibri" w:cs="Arial"/>
          <w:color w:val="000000" w:themeColor="text1"/>
          <w:sz w:val="21"/>
          <w:szCs w:val="21"/>
          <w:lang w:val="es-ES"/>
        </w:rPr>
        <w:t>.”</w:t>
      </w:r>
    </w:p>
    <w:p w:rsidRPr="00757E7B" w:rsidR="008D4241" w:rsidP="00757E7B" w:rsidRDefault="008D4241" w14:paraId="4FE1A468" w14:textId="77777777">
      <w:pPr>
        <w:spacing w:line="276" w:lineRule="auto"/>
        <w:jc w:val="both"/>
        <w:rPr>
          <w:rFonts w:ascii="Century Gothic" w:hAnsi="Century Gothic" w:cs="Arial"/>
          <w:color w:val="000000" w:themeColor="text1"/>
        </w:rPr>
      </w:pPr>
      <w:r w:rsidRPr="00757E7B">
        <w:rPr>
          <w:rFonts w:ascii="Century Gothic" w:hAnsi="Century Gothic" w:eastAsia="Calibri" w:cs="Arial"/>
          <w:color w:val="000000" w:themeColor="text1"/>
          <w:lang w:val="es-ES"/>
        </w:rPr>
        <w:tab/>
      </w:r>
      <w:bookmarkStart w:name="_Hlk57643769" w:id="9"/>
      <w:r w:rsidRPr="00757E7B">
        <w:rPr>
          <w:rFonts w:ascii="Century Gothic" w:hAnsi="Century Gothic" w:eastAsia="Calibri" w:cs="Arial"/>
          <w:color w:val="000000" w:themeColor="text1"/>
        </w:rPr>
        <w:t xml:space="preserve">En este sentido, conviene precisar que hay diversos mecanismos de dirección y coerción </w:t>
      </w:r>
      <w:bookmarkEnd w:id="9"/>
      <w:r w:rsidRPr="00757E7B">
        <w:rPr>
          <w:rFonts w:ascii="Century Gothic" w:hAnsi="Century Gothic" w:eastAsia="Calibri" w:cs="Arial"/>
          <w:color w:val="000000" w:themeColor="text1"/>
        </w:rPr>
        <w:t xml:space="preserve">para el cumplimiento de fines contractuales, dentro de los cuales se encuentra: </w:t>
      </w:r>
      <w:r w:rsidRPr="00757E7B">
        <w:rPr>
          <w:rFonts w:ascii="Century Gothic" w:hAnsi="Century Gothic" w:cs="Arial"/>
          <w:color w:val="000000" w:themeColor="text1"/>
        </w:rPr>
        <w:t>(i) sanciones pecuniarias como la efectividad de</w:t>
      </w:r>
      <w:r w:rsidRPr="00757E7B">
        <w:rPr>
          <w:rFonts w:ascii="Century Gothic" w:hAnsi="Century Gothic" w:cs="Arial"/>
          <w:color w:val="000000" w:themeColor="text1"/>
          <w:spacing w:val="11"/>
        </w:rPr>
        <w:t xml:space="preserve"> </w:t>
      </w:r>
      <w:r w:rsidRPr="00757E7B">
        <w:rPr>
          <w:rFonts w:ascii="Century Gothic" w:hAnsi="Century Gothic" w:cs="Arial"/>
          <w:color w:val="000000" w:themeColor="text1"/>
        </w:rPr>
        <w:t>la</w:t>
      </w:r>
      <w:r w:rsidRPr="00757E7B">
        <w:rPr>
          <w:rFonts w:ascii="Century Gothic" w:hAnsi="Century Gothic" w:cs="Arial"/>
          <w:color w:val="000000" w:themeColor="text1"/>
          <w:spacing w:val="12"/>
        </w:rPr>
        <w:t xml:space="preserve"> </w:t>
      </w:r>
      <w:r w:rsidRPr="00757E7B">
        <w:rPr>
          <w:rFonts w:ascii="Century Gothic" w:hAnsi="Century Gothic" w:cs="Arial"/>
          <w:color w:val="000000" w:themeColor="text1"/>
        </w:rPr>
        <w:t>cláusula</w:t>
      </w:r>
      <w:r w:rsidRPr="00757E7B">
        <w:rPr>
          <w:rFonts w:ascii="Century Gothic" w:hAnsi="Century Gothic" w:cs="Arial"/>
          <w:color w:val="000000" w:themeColor="text1"/>
          <w:spacing w:val="11"/>
        </w:rPr>
        <w:t xml:space="preserve"> </w:t>
      </w:r>
      <w:r w:rsidRPr="00757E7B">
        <w:rPr>
          <w:rFonts w:ascii="Century Gothic" w:hAnsi="Century Gothic" w:cs="Arial"/>
          <w:color w:val="000000" w:themeColor="text1"/>
        </w:rPr>
        <w:t>penal;</w:t>
      </w:r>
      <w:r w:rsidRPr="00757E7B">
        <w:rPr>
          <w:rFonts w:ascii="Century Gothic" w:hAnsi="Century Gothic" w:cs="Arial"/>
          <w:color w:val="000000" w:themeColor="text1"/>
          <w:spacing w:val="11"/>
        </w:rPr>
        <w:t xml:space="preserve"> </w:t>
      </w:r>
      <w:r w:rsidRPr="00757E7B">
        <w:rPr>
          <w:rFonts w:ascii="Century Gothic" w:hAnsi="Century Gothic" w:cs="Arial"/>
          <w:color w:val="000000" w:themeColor="text1"/>
        </w:rPr>
        <w:t>(</w:t>
      </w:r>
      <w:proofErr w:type="spellStart"/>
      <w:r w:rsidRPr="00757E7B">
        <w:rPr>
          <w:rFonts w:ascii="Century Gothic" w:hAnsi="Century Gothic" w:cs="Arial"/>
          <w:color w:val="000000" w:themeColor="text1"/>
        </w:rPr>
        <w:t>ii</w:t>
      </w:r>
      <w:proofErr w:type="spellEnd"/>
      <w:r w:rsidRPr="00757E7B">
        <w:rPr>
          <w:rFonts w:ascii="Century Gothic" w:hAnsi="Century Gothic" w:cs="Arial"/>
          <w:color w:val="000000" w:themeColor="text1"/>
        </w:rPr>
        <w:t>)</w:t>
      </w:r>
      <w:r w:rsidRPr="00757E7B">
        <w:rPr>
          <w:rFonts w:ascii="Century Gothic" w:hAnsi="Century Gothic" w:cs="Arial"/>
          <w:color w:val="000000" w:themeColor="text1"/>
          <w:spacing w:val="11"/>
        </w:rPr>
        <w:t xml:space="preserve"> </w:t>
      </w:r>
      <w:r w:rsidRPr="00757E7B">
        <w:rPr>
          <w:rFonts w:ascii="Century Gothic" w:hAnsi="Century Gothic" w:cs="Arial"/>
          <w:color w:val="000000" w:themeColor="text1"/>
        </w:rPr>
        <w:t>sanciones</w:t>
      </w:r>
      <w:r w:rsidRPr="00757E7B">
        <w:rPr>
          <w:rFonts w:ascii="Century Gothic" w:hAnsi="Century Gothic" w:cs="Arial"/>
          <w:color w:val="000000" w:themeColor="text1"/>
          <w:spacing w:val="9"/>
        </w:rPr>
        <w:t xml:space="preserve"> </w:t>
      </w:r>
      <w:r w:rsidRPr="00757E7B">
        <w:rPr>
          <w:rFonts w:ascii="Century Gothic" w:hAnsi="Century Gothic" w:cs="Arial"/>
          <w:color w:val="000000" w:themeColor="text1"/>
        </w:rPr>
        <w:t>rescisorias</w:t>
      </w:r>
      <w:r w:rsidRPr="00757E7B">
        <w:rPr>
          <w:rFonts w:ascii="Century Gothic" w:hAnsi="Century Gothic" w:cs="Arial"/>
          <w:color w:val="000000" w:themeColor="text1"/>
          <w:spacing w:val="9"/>
        </w:rPr>
        <w:t xml:space="preserve"> </w:t>
      </w:r>
      <w:r w:rsidRPr="00757E7B">
        <w:rPr>
          <w:rFonts w:ascii="Century Gothic" w:hAnsi="Century Gothic" w:cs="Arial"/>
          <w:color w:val="000000" w:themeColor="text1"/>
        </w:rPr>
        <w:t>como</w:t>
      </w:r>
      <w:r w:rsidRPr="00757E7B">
        <w:rPr>
          <w:rFonts w:ascii="Century Gothic" w:hAnsi="Century Gothic" w:cs="Arial"/>
          <w:color w:val="000000" w:themeColor="text1"/>
          <w:spacing w:val="6"/>
        </w:rPr>
        <w:t xml:space="preserve"> </w:t>
      </w:r>
      <w:r w:rsidRPr="00757E7B">
        <w:rPr>
          <w:rFonts w:ascii="Century Gothic" w:hAnsi="Century Gothic" w:cs="Arial"/>
          <w:color w:val="000000" w:themeColor="text1"/>
        </w:rPr>
        <w:t>el</w:t>
      </w:r>
      <w:r w:rsidRPr="00757E7B">
        <w:rPr>
          <w:rFonts w:ascii="Century Gothic" w:hAnsi="Century Gothic" w:cs="Arial"/>
          <w:color w:val="000000" w:themeColor="text1"/>
          <w:spacing w:val="12"/>
        </w:rPr>
        <w:t xml:space="preserve"> </w:t>
      </w:r>
      <w:r w:rsidRPr="00757E7B">
        <w:rPr>
          <w:rFonts w:ascii="Century Gothic" w:hAnsi="Century Gothic" w:cs="Arial"/>
          <w:color w:val="000000" w:themeColor="text1"/>
        </w:rPr>
        <w:t>decreto</w:t>
      </w:r>
      <w:r w:rsidRPr="00757E7B">
        <w:rPr>
          <w:rFonts w:ascii="Century Gothic" w:hAnsi="Century Gothic" w:cs="Arial"/>
          <w:color w:val="000000" w:themeColor="text1"/>
          <w:spacing w:val="12"/>
        </w:rPr>
        <w:t xml:space="preserve"> </w:t>
      </w:r>
      <w:r w:rsidRPr="00757E7B">
        <w:rPr>
          <w:rFonts w:ascii="Century Gothic" w:hAnsi="Century Gothic" w:cs="Arial"/>
          <w:color w:val="000000" w:themeColor="text1"/>
        </w:rPr>
        <w:t>de</w:t>
      </w:r>
      <w:r w:rsidRPr="00757E7B">
        <w:rPr>
          <w:rFonts w:ascii="Century Gothic" w:hAnsi="Century Gothic" w:cs="Arial"/>
          <w:color w:val="000000" w:themeColor="text1"/>
          <w:spacing w:val="11"/>
        </w:rPr>
        <w:t xml:space="preserve"> </w:t>
      </w:r>
      <w:r w:rsidRPr="00757E7B">
        <w:rPr>
          <w:rFonts w:ascii="Century Gothic" w:hAnsi="Century Gothic" w:cs="Arial"/>
          <w:color w:val="000000" w:themeColor="text1"/>
        </w:rPr>
        <w:t>la</w:t>
      </w:r>
      <w:r w:rsidRPr="00757E7B">
        <w:rPr>
          <w:rFonts w:ascii="Century Gothic" w:hAnsi="Century Gothic" w:cs="Arial"/>
          <w:color w:val="000000" w:themeColor="text1"/>
          <w:spacing w:val="12"/>
        </w:rPr>
        <w:t xml:space="preserve"> </w:t>
      </w:r>
      <w:r w:rsidRPr="00757E7B">
        <w:rPr>
          <w:rFonts w:ascii="Century Gothic" w:hAnsi="Century Gothic" w:cs="Arial"/>
          <w:color w:val="000000" w:themeColor="text1"/>
        </w:rPr>
        <w:t>caducidad del contrato y (</w:t>
      </w:r>
      <w:proofErr w:type="spellStart"/>
      <w:r w:rsidRPr="00757E7B">
        <w:rPr>
          <w:rFonts w:ascii="Century Gothic" w:hAnsi="Century Gothic" w:cs="Arial"/>
          <w:color w:val="000000" w:themeColor="text1"/>
        </w:rPr>
        <w:t>iii</w:t>
      </w:r>
      <w:proofErr w:type="spellEnd"/>
      <w:r w:rsidRPr="00757E7B">
        <w:rPr>
          <w:rFonts w:ascii="Century Gothic" w:hAnsi="Century Gothic" w:cs="Arial"/>
          <w:color w:val="000000" w:themeColor="text1"/>
        </w:rPr>
        <w:t xml:space="preserve">) </w:t>
      </w:r>
      <w:r w:rsidRPr="00757E7B">
        <w:rPr>
          <w:rFonts w:ascii="Century Gothic" w:hAnsi="Century Gothic" w:cs="Arial"/>
          <w:color w:val="000000" w:themeColor="text1"/>
          <w:u w:color="4E4D4D"/>
        </w:rPr>
        <w:t>sanciones coercitivas como la imposición de multas</w:t>
      </w:r>
      <w:r w:rsidRPr="00757E7B">
        <w:rPr>
          <w:rStyle w:val="Refdenotaalpie"/>
          <w:rFonts w:ascii="Century Gothic" w:hAnsi="Century Gothic" w:eastAsia="Calibri" w:cs="Arial"/>
          <w:color w:val="000000" w:themeColor="text1"/>
          <w:lang w:val="es-ES"/>
        </w:rPr>
        <w:footnoteReference w:id="18"/>
      </w:r>
      <w:r w:rsidRPr="00757E7B">
        <w:rPr>
          <w:rFonts w:ascii="Century Gothic" w:hAnsi="Century Gothic" w:cs="Arial"/>
          <w:color w:val="000000" w:themeColor="text1"/>
        </w:rPr>
        <w:t>.</w:t>
      </w:r>
    </w:p>
    <w:p w:rsidRPr="00757E7B" w:rsidR="008D4241" w:rsidP="00757E7B" w:rsidRDefault="008D4241" w14:paraId="1E6D0160" w14:textId="77777777">
      <w:pPr>
        <w:spacing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Por su parte, esta Subdirección ha indicado que el régimen sancionatorio se edifica sobre los principios de legalidad y de autonomía de la voluntad de las partes, “el primero exige que las conductas reprochables entre las partes del contrato se contemplen previamente, con su correspondiente sanción, y el segundo permite que sean las partes –no la ley; pero autorizadas por ella- quienes definan esas conductas y la sanción”</w:t>
      </w:r>
      <w:r w:rsidRPr="00757E7B">
        <w:rPr>
          <w:rStyle w:val="Refdenotaalpie"/>
          <w:rFonts w:ascii="Century Gothic" w:hAnsi="Century Gothic" w:eastAsia="Calibri" w:cs="Arial"/>
          <w:color w:val="000000" w:themeColor="text1"/>
          <w:lang w:val="es-ES"/>
        </w:rPr>
        <w:footnoteReference w:id="19"/>
      </w:r>
      <w:r w:rsidRPr="00757E7B">
        <w:rPr>
          <w:rStyle w:val="Refdenotaalpie"/>
          <w:rFonts w:ascii="Century Gothic" w:hAnsi="Century Gothic"/>
          <w:lang w:val="es-ES"/>
        </w:rPr>
        <w:t xml:space="preserve"> </w:t>
      </w:r>
      <w:r w:rsidRPr="00757E7B">
        <w:rPr>
          <w:rFonts w:ascii="Century Gothic" w:hAnsi="Century Gothic" w:cs="Arial"/>
          <w:color w:val="000000" w:themeColor="text1"/>
        </w:rPr>
        <w:t>.</w:t>
      </w:r>
    </w:p>
    <w:p w:rsidRPr="00757E7B" w:rsidR="008D4241" w:rsidP="00757E7B" w:rsidRDefault="008D4241" w14:paraId="56DA8050" w14:textId="65BB40F5">
      <w:pPr>
        <w:spacing w:after="120" w:line="276" w:lineRule="auto"/>
        <w:jc w:val="both"/>
        <w:rPr>
          <w:rFonts w:ascii="Century Gothic" w:hAnsi="Century Gothic" w:eastAsia="Calibri" w:cs="Arial"/>
          <w:color w:val="000000" w:themeColor="text1"/>
          <w:lang w:val="es-ES_tradnl"/>
        </w:rPr>
      </w:pP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Sobre l</w:t>
      </w:r>
      <w:r w:rsidRPr="00757E7B">
        <w:rPr>
          <w:rFonts w:ascii="Century Gothic" w:hAnsi="Century Gothic" w:eastAsia="Calibri" w:cs="Arial"/>
          <w:lang w:val="es-ES_tradnl"/>
        </w:rPr>
        <w:t xml:space="preserve">as cláusulas excepcionales se ha indicado que estas no están contempladas en el derecho común, por el contrario, se encuentran limitadas no solo al uso del </w:t>
      </w:r>
      <w:r w:rsidR="00B869B1">
        <w:rPr>
          <w:rFonts w:ascii="Century Gothic" w:hAnsi="Century Gothic" w:eastAsia="Calibri" w:cs="Arial"/>
          <w:lang w:val="es-ES_tradnl"/>
        </w:rPr>
        <w:t>EGCAP</w:t>
      </w:r>
      <w:r w:rsidRPr="00757E7B">
        <w:rPr>
          <w:rFonts w:ascii="Century Gothic" w:hAnsi="Century Gothic" w:eastAsia="Calibri" w:cs="Arial"/>
          <w:lang w:val="es-ES_tradnl"/>
        </w:rPr>
        <w:t xml:space="preserve"> sino a algunos tipos de contratos específicos. En ese sentido, la única forma en que una entidad sujeta a un régimen especial pueda usar estas cláusulas es si </w:t>
      </w:r>
      <w:r w:rsidR="00DA3674">
        <w:rPr>
          <w:rFonts w:ascii="Century Gothic" w:hAnsi="Century Gothic" w:eastAsia="Calibri" w:cs="Arial"/>
          <w:lang w:val="es-ES_tradnl"/>
        </w:rPr>
        <w:t xml:space="preserve">en </w:t>
      </w:r>
      <w:r w:rsidRPr="00757E7B">
        <w:rPr>
          <w:rFonts w:ascii="Century Gothic" w:hAnsi="Century Gothic" w:eastAsia="Calibri" w:cs="Arial"/>
          <w:lang w:val="es-ES_tradnl"/>
        </w:rPr>
        <w:t xml:space="preserve">su norma de creación lo establece. De lo contrario, si una Entidad sujeta al régimen </w:t>
      </w:r>
      <w:r w:rsidRPr="00757E7B" w:rsidR="00245724">
        <w:rPr>
          <w:rFonts w:ascii="Century Gothic" w:hAnsi="Century Gothic" w:eastAsia="Calibri" w:cs="Arial"/>
          <w:lang w:val="es-ES_tradnl"/>
        </w:rPr>
        <w:t xml:space="preserve">especial </w:t>
      </w:r>
      <w:r w:rsidR="00245724">
        <w:rPr>
          <w:rFonts w:ascii="Century Gothic" w:hAnsi="Century Gothic" w:eastAsia="Calibri" w:cs="Arial"/>
          <w:lang w:val="es-ES_tradnl"/>
        </w:rPr>
        <w:t>requiere</w:t>
      </w:r>
      <w:r w:rsidR="007E210B">
        <w:rPr>
          <w:rFonts w:ascii="Century Gothic" w:hAnsi="Century Gothic" w:eastAsia="Calibri" w:cs="Arial"/>
          <w:lang w:val="es-ES_tradnl"/>
        </w:rPr>
        <w:t xml:space="preserve"> </w:t>
      </w:r>
      <w:r w:rsidRPr="00757E7B">
        <w:rPr>
          <w:rFonts w:ascii="Century Gothic" w:hAnsi="Century Gothic" w:eastAsia="Calibri" w:cs="Arial"/>
          <w:lang w:val="es-ES_tradnl"/>
        </w:rPr>
        <w:t xml:space="preserve">dar por terminado </w:t>
      </w:r>
      <w:r w:rsidR="00186D83">
        <w:rPr>
          <w:rFonts w:ascii="Century Gothic" w:hAnsi="Century Gothic" w:eastAsia="Calibri" w:cs="Arial"/>
          <w:lang w:val="es-ES_tradnl"/>
        </w:rPr>
        <w:t xml:space="preserve">unilateralmente </w:t>
      </w:r>
      <w:r w:rsidRPr="00757E7B">
        <w:rPr>
          <w:rFonts w:ascii="Century Gothic" w:hAnsi="Century Gothic" w:eastAsia="Calibri" w:cs="Arial"/>
          <w:lang w:val="es-ES_tradnl"/>
        </w:rPr>
        <w:t>el contrato, por regla general, debe acudir al juez competente</w:t>
      </w:r>
      <w:r w:rsidRPr="00757E7B">
        <w:rPr>
          <w:rFonts w:ascii="Century Gothic" w:hAnsi="Century Gothic" w:eastAsia="Calibri" w:cs="Arial"/>
          <w:vertAlign w:val="superscript"/>
          <w:lang w:val="es-ES_tradnl"/>
        </w:rPr>
        <w:footnoteReference w:id="20"/>
      </w:r>
      <w:r w:rsidRPr="00757E7B">
        <w:rPr>
          <w:rFonts w:ascii="Century Gothic" w:hAnsi="Century Gothic" w:eastAsia="Calibri" w:cs="Arial"/>
          <w:lang w:val="es-ES_tradnl"/>
        </w:rPr>
        <w:t xml:space="preserve">. </w:t>
      </w:r>
      <w:r w:rsidRPr="00757E7B">
        <w:rPr>
          <w:rFonts w:ascii="Century Gothic" w:hAnsi="Century Gothic" w:eastAsia="Calibri" w:cs="Arial"/>
        </w:rPr>
        <w:t>En este sentido, se ha establecido que las Entidades Estatales que por disposición legal se rigen por el derecho privado –conocidas en el medio como entidades de régimen especial, por no someterse al EGCAP–, no pueden usar las cláusulas excepcionales que se ejerzan mediante actos administrativos; salvo que una norma particular les atribuya la potestad.</w:t>
      </w:r>
    </w:p>
    <w:p w:rsidRPr="00757E7B" w:rsidR="008D4241" w:rsidP="00757E7B" w:rsidRDefault="008D4241" w14:paraId="17795EFF" w14:textId="0A7DF86E">
      <w:pPr>
        <w:spacing w:before="120" w:line="276" w:lineRule="auto"/>
        <w:ind w:firstLine="708"/>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En lo que respecta a la imposición unilateral de multas</w:t>
      </w:r>
      <w:r w:rsidR="00634B70">
        <w:rPr>
          <w:rFonts w:ascii="Century Gothic" w:hAnsi="Century Gothic" w:eastAsia="Calibri" w:cs="Arial"/>
          <w:color w:val="000000" w:themeColor="text1"/>
        </w:rPr>
        <w:t xml:space="preserve"> o de hacer efectiva la cláusula penal</w:t>
      </w:r>
      <w:r w:rsidRPr="00757E7B">
        <w:rPr>
          <w:rFonts w:ascii="Century Gothic" w:hAnsi="Century Gothic" w:eastAsia="Calibri" w:cs="Arial"/>
          <w:color w:val="000000" w:themeColor="text1"/>
        </w:rPr>
        <w:t xml:space="preserve">, el Consejo de Estado ha indicado, en un primer momento, que: </w:t>
      </w:r>
    </w:p>
    <w:p w:rsidRPr="003D4895" w:rsidR="008D4241" w:rsidP="003D4895" w:rsidRDefault="008D4241" w14:paraId="263E1FA0" w14:textId="77777777">
      <w:pPr>
        <w:tabs>
          <w:tab w:val="left" w:pos="426"/>
        </w:tabs>
        <w:spacing w:line="240" w:lineRule="auto"/>
        <w:ind w:left="993" w:right="899"/>
        <w:jc w:val="both"/>
        <w:rPr>
          <w:rFonts w:ascii="Century Gothic" w:hAnsi="Century Gothic" w:eastAsia="Calibri" w:cs="Arial"/>
          <w:color w:val="000000" w:themeColor="text1"/>
          <w:sz w:val="21"/>
          <w:szCs w:val="21"/>
          <w:lang w:val="es-ES"/>
        </w:rPr>
      </w:pPr>
      <w:r w:rsidRPr="003D4895">
        <w:rPr>
          <w:rFonts w:ascii="Century Gothic" w:hAnsi="Century Gothic" w:eastAsia="Calibri" w:cs="Arial"/>
          <w:color w:val="000000" w:themeColor="text1"/>
          <w:sz w:val="21"/>
          <w:szCs w:val="21"/>
        </w:rPr>
        <w:t>“La imposición unilateral de multas al tratarse de una competencia pública debe fundarse en el principio de legalidad previsto en los artículos 6, 121 y 122 de la Constitución Política, como postulado esencial del Estado Social de Derecho y de toda manifestación del poder público, conforme al cual será legítima toda actuación de las autoridades en cuanto se desarrolle dentro del preciso ámbito funcional definido por el legislador, proscribiendo las actuaciones de los servidores públicos que impliquen omisión o extralimitación en el ejercicio de sus funciones.”</w:t>
      </w:r>
      <w:r w:rsidRPr="003D4895">
        <w:rPr>
          <w:rStyle w:val="Refdenotaalpie"/>
          <w:rFonts w:ascii="Century Gothic" w:hAnsi="Century Gothic" w:eastAsia="Calibri" w:cs="Arial"/>
          <w:color w:val="000000" w:themeColor="text1"/>
          <w:sz w:val="21"/>
          <w:szCs w:val="21"/>
          <w:lang w:val="es-ES"/>
        </w:rPr>
        <w:footnoteReference w:id="21"/>
      </w:r>
    </w:p>
    <w:p w:rsidRPr="00757E7B" w:rsidR="008D4241" w:rsidP="00757E7B" w:rsidRDefault="008D4241" w14:paraId="384FFF70" w14:textId="0B42C744">
      <w:pPr>
        <w:spacing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lang w:val="es-ES"/>
        </w:rPr>
        <w:tab/>
      </w:r>
      <w:r w:rsidRPr="00757E7B">
        <w:rPr>
          <w:rFonts w:ascii="Century Gothic" w:hAnsi="Century Gothic" w:eastAsia="Calibri" w:cs="Arial"/>
          <w:color w:val="000000" w:themeColor="text1"/>
        </w:rPr>
        <w:t>Bajo estos parámetros, el Consejo de Estado indicó</w:t>
      </w:r>
      <w:r w:rsidR="00F74F05">
        <w:rPr>
          <w:rFonts w:ascii="Century Gothic" w:hAnsi="Century Gothic" w:eastAsia="Calibri" w:cs="Arial"/>
          <w:color w:val="000000" w:themeColor="text1"/>
        </w:rPr>
        <w:t xml:space="preserve"> inicialmente,</w:t>
      </w:r>
      <w:r w:rsidRPr="00757E7B">
        <w:rPr>
          <w:rFonts w:ascii="Century Gothic" w:hAnsi="Century Gothic" w:eastAsia="Calibri" w:cs="Arial"/>
          <w:color w:val="000000" w:themeColor="text1"/>
        </w:rPr>
        <w:t xml:space="preserve"> que el marco regulatorio prescrito por el legislador para efectos de imponer multas a los contratistas se encuentra consagrado en el artículo 17 de la Ley 1150 de 2007, en virtud del cual se faculta expresamente a las entidades sometidas al </w:t>
      </w:r>
      <w:r w:rsidR="005226F0">
        <w:rPr>
          <w:rFonts w:ascii="Century Gothic" w:hAnsi="Century Gothic" w:eastAsia="Calibri" w:cs="Arial"/>
          <w:color w:val="000000" w:themeColor="text1"/>
        </w:rPr>
        <w:t>EGCAP</w:t>
      </w:r>
      <w:r w:rsidRPr="00757E7B">
        <w:rPr>
          <w:rFonts w:ascii="Century Gothic" w:hAnsi="Century Gothic" w:eastAsia="Calibri" w:cs="Arial"/>
          <w:color w:val="000000" w:themeColor="text1"/>
        </w:rPr>
        <w:t xml:space="preserve"> para hacer efectivas las sanciones que hayan sido pactadas con el objeto de conminar al contratista a cumplir con sus obligaciones, garantizando en todo caso el debido proceso. </w:t>
      </w: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 xml:space="preserve"> </w:t>
      </w:r>
    </w:p>
    <w:p w:rsidRPr="00757E7B" w:rsidR="008D4241" w:rsidP="00757E7B" w:rsidRDefault="008D4241" w14:paraId="70073C02" w14:textId="7226407A">
      <w:pPr>
        <w:spacing w:before="120" w:after="120"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 xml:space="preserve">En concordancia con lo anterior, el artículo 86 de la ley 1474 de 2011 estableció expresamente que aquel contempla el procedimiento de imposición de multas, sanciones y declaratoria de incumplimiento, dirigido específicamente a las entidades sometidas al </w:t>
      </w:r>
      <w:r w:rsidR="005226F0">
        <w:rPr>
          <w:rFonts w:ascii="Century Gothic" w:hAnsi="Century Gothic" w:eastAsia="Calibri" w:cs="Arial"/>
          <w:color w:val="000000" w:themeColor="text1"/>
        </w:rPr>
        <w:t>EGCAP</w:t>
      </w:r>
      <w:r w:rsidRPr="00757E7B">
        <w:rPr>
          <w:rFonts w:ascii="Century Gothic" w:hAnsi="Century Gothic" w:eastAsia="Calibri" w:cs="Arial"/>
          <w:color w:val="000000" w:themeColor="text1"/>
        </w:rPr>
        <w:t xml:space="preserve">, esto es, aquellas entidades que, conforme lo dispone en artículo segundo de la Ley 80 de 1993, se regulan por dicho estatuto y las normas que lo modifiquen y reglamenten. De esta manera, las Entidades Estatales </w:t>
      </w:r>
      <w:r w:rsidR="00A2465C">
        <w:rPr>
          <w:rFonts w:ascii="Century Gothic" w:hAnsi="Century Gothic" w:eastAsia="Calibri" w:cs="Arial"/>
          <w:color w:val="000000" w:themeColor="text1"/>
        </w:rPr>
        <w:t>con régimen especial en contratación</w:t>
      </w:r>
      <w:r w:rsidRPr="00757E7B">
        <w:rPr>
          <w:rFonts w:ascii="Century Gothic" w:hAnsi="Century Gothic" w:eastAsia="Calibri" w:cs="Arial"/>
          <w:color w:val="000000" w:themeColor="text1"/>
        </w:rPr>
        <w:t xml:space="preserve"> no son destinatarias de la normativa citada, de tal suerte que no resultaría viable la aplicación del procedimiento de imposición de multas </w:t>
      </w:r>
      <w:r w:rsidR="00165730">
        <w:rPr>
          <w:rFonts w:ascii="Century Gothic" w:hAnsi="Century Gothic" w:eastAsia="Calibri" w:cs="Arial"/>
          <w:color w:val="000000" w:themeColor="text1"/>
        </w:rPr>
        <w:t xml:space="preserve">o de hacer efectiva la cláusula penal </w:t>
      </w:r>
      <w:r w:rsidRPr="00757E7B">
        <w:rPr>
          <w:rFonts w:ascii="Century Gothic" w:hAnsi="Century Gothic" w:eastAsia="Calibri" w:cs="Arial"/>
          <w:color w:val="000000" w:themeColor="text1"/>
        </w:rPr>
        <w:t>de que trata el artículo 86 de la ley 1474 de 2011</w:t>
      </w:r>
      <w:r w:rsidR="00165730">
        <w:rPr>
          <w:rFonts w:ascii="Century Gothic" w:hAnsi="Century Gothic" w:eastAsia="Calibri" w:cs="Arial"/>
          <w:color w:val="000000" w:themeColor="text1"/>
        </w:rPr>
        <w:t xml:space="preserve">, en el desarrollo de </w:t>
      </w:r>
      <w:r w:rsidRPr="00757E7B">
        <w:rPr>
          <w:rFonts w:ascii="Century Gothic" w:hAnsi="Century Gothic" w:eastAsia="Calibri" w:cs="Arial"/>
          <w:color w:val="000000" w:themeColor="text1"/>
        </w:rPr>
        <w:t xml:space="preserve">la actividad contractual de las mismas. </w:t>
      </w:r>
    </w:p>
    <w:p w:rsidRPr="00757E7B" w:rsidR="008D4241" w:rsidP="00757E7B" w:rsidRDefault="008D4241" w14:paraId="60960E23" w14:textId="0B0BA4D6">
      <w:pPr>
        <w:spacing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ab/>
      </w:r>
      <w:r w:rsidRPr="00757E7B">
        <w:rPr>
          <w:rFonts w:ascii="Century Gothic" w:hAnsi="Century Gothic" w:eastAsia="Calibri" w:cs="Arial"/>
          <w:color w:val="000000" w:themeColor="text1"/>
        </w:rPr>
        <w:t>En cuanto a las entidades sometidas a régimen especial, cabe destacar que estas adelantan sus procedimientos contractuales a través de regímenes diferentes a los previstos en las Leyes 80 de 1993 y 1150 de 2007. En esta medida, la normativa que rige su actuación viene dada por la norma que crea el régimen especial y por el respectivo manual de contratación</w:t>
      </w:r>
      <w:r w:rsidR="004238BC">
        <w:rPr>
          <w:rFonts w:ascii="Century Gothic" w:hAnsi="Century Gothic" w:eastAsia="Calibri" w:cs="Arial"/>
          <w:color w:val="000000" w:themeColor="text1"/>
        </w:rPr>
        <w:t xml:space="preserve"> de </w:t>
      </w:r>
      <w:r w:rsidR="00222926">
        <w:rPr>
          <w:rFonts w:ascii="Century Gothic" w:hAnsi="Century Gothic" w:eastAsia="Calibri" w:cs="Arial"/>
          <w:color w:val="000000" w:themeColor="text1"/>
        </w:rPr>
        <w:t>la entidad,</w:t>
      </w:r>
      <w:r w:rsidRPr="00757E7B">
        <w:rPr>
          <w:rFonts w:ascii="Century Gothic" w:hAnsi="Century Gothic" w:eastAsia="Calibri" w:cs="Arial"/>
          <w:color w:val="000000" w:themeColor="text1"/>
        </w:rPr>
        <w:t xml:space="preserve"> debidamente expedido. Adicionalmente, este tipo de entidades actúan en desarrollo de su actividad contractual en igualdad de condiciones con los particulares, es decir, generalmente se rigen por el derecho privado atendiendo a las normas civiles o comerciales. </w:t>
      </w:r>
    </w:p>
    <w:p w:rsidRPr="008052E0" w:rsidR="008D4241" w:rsidP="005577F4" w:rsidRDefault="008D4241" w14:paraId="0C0BD9F8" w14:textId="20948076">
      <w:pPr>
        <w:spacing w:before="120" w:line="276" w:lineRule="auto"/>
        <w:jc w:val="both"/>
        <w:rPr>
          <w:rFonts w:ascii="Century Gothic" w:hAnsi="Century Gothic" w:eastAsia="Calibri" w:cs="Arial"/>
          <w:color w:val="000000" w:themeColor="text1"/>
        </w:rPr>
      </w:pPr>
      <w:r w:rsidRPr="00757E7B">
        <w:rPr>
          <w:rFonts w:ascii="Century Gothic" w:hAnsi="Century Gothic" w:eastAsia="Calibri" w:cs="Arial"/>
          <w:color w:val="000000" w:themeColor="text1"/>
          <w:lang w:val="es-ES"/>
        </w:rPr>
        <w:tab/>
      </w:r>
      <w:r w:rsidRPr="00757E7B">
        <w:rPr>
          <w:rFonts w:ascii="Century Gothic" w:hAnsi="Century Gothic" w:eastAsia="Calibri" w:cs="Arial"/>
          <w:color w:val="000000" w:themeColor="text1"/>
        </w:rPr>
        <w:t>En este sentido</w:t>
      </w:r>
      <w:r w:rsidR="005577F4">
        <w:rPr>
          <w:rFonts w:ascii="Century Gothic" w:hAnsi="Century Gothic" w:eastAsia="Calibri" w:cs="Arial"/>
          <w:color w:val="000000" w:themeColor="text1"/>
        </w:rPr>
        <w:t xml:space="preserve">, </w:t>
      </w:r>
      <w:r w:rsidRPr="00757E7B">
        <w:rPr>
          <w:rFonts w:ascii="Century Gothic" w:hAnsi="Century Gothic" w:eastAsia="Calibri" w:cs="Arial"/>
          <w:color w:val="000000" w:themeColor="text1"/>
        </w:rPr>
        <w:t xml:space="preserve">en virtud del principio de autonomía de la voluntad de las partes y las normas de derecho privado que rigen la contratación con entidades de régimen especial, estas podrán pactar las cláusulas que consideren necesarias para lograr el cumplimento de sus intereses, como podría ser el establecimiento de cláusulas penales o multas. Sin embargo, </w:t>
      </w:r>
      <w:r w:rsidR="008052E0">
        <w:rPr>
          <w:rFonts w:ascii="Century Gothic" w:hAnsi="Century Gothic" w:eastAsia="Calibri" w:cs="Arial"/>
          <w:color w:val="000000" w:themeColor="text1"/>
        </w:rPr>
        <w:t>como se expuso previamente, el</w:t>
      </w:r>
      <w:r w:rsidRPr="00757E7B">
        <w:rPr>
          <w:rFonts w:ascii="Century Gothic" w:hAnsi="Century Gothic" w:eastAsia="Calibri" w:cs="Arial"/>
          <w:color w:val="000000" w:themeColor="text1"/>
        </w:rPr>
        <w:t xml:space="preserve"> Consejo de Estado</w:t>
      </w:r>
      <w:r w:rsidR="008052E0">
        <w:rPr>
          <w:rFonts w:ascii="Century Gothic" w:hAnsi="Century Gothic" w:eastAsia="Calibri" w:cs="Arial"/>
          <w:color w:val="000000" w:themeColor="text1"/>
        </w:rPr>
        <w:t xml:space="preserve">, indicó en un primer momento, </w:t>
      </w:r>
      <w:r w:rsidRPr="00757E7B">
        <w:rPr>
          <w:rFonts w:ascii="Century Gothic" w:hAnsi="Century Gothic" w:eastAsia="Calibri" w:cs="Arial"/>
          <w:color w:val="000000" w:themeColor="text1"/>
        </w:rPr>
        <w:t xml:space="preserve">que estas entidades no se encuentran facultadas para determinar procedimientos excepcionales como la aplicación unilateral de multas o cláusulas penales o la imposición de procedimientos sancionatorios, </w:t>
      </w:r>
      <w:r w:rsidR="00C71481">
        <w:rPr>
          <w:rFonts w:ascii="Century Gothic" w:hAnsi="Century Gothic" w:eastAsia="Calibri" w:cs="Arial"/>
          <w:color w:val="000000" w:themeColor="text1"/>
        </w:rPr>
        <w:t xml:space="preserve">al considerar que </w:t>
      </w:r>
      <w:r w:rsidRPr="00757E7B">
        <w:rPr>
          <w:rFonts w:ascii="Century Gothic" w:hAnsi="Century Gothic" w:eastAsia="Calibri" w:cs="Arial"/>
          <w:color w:val="000000" w:themeColor="text1"/>
        </w:rPr>
        <w:t>su estipulación no p</w:t>
      </w:r>
      <w:r w:rsidR="00C71481">
        <w:rPr>
          <w:rFonts w:ascii="Century Gothic" w:hAnsi="Century Gothic" w:eastAsia="Calibri" w:cs="Arial"/>
          <w:color w:val="000000" w:themeColor="text1"/>
        </w:rPr>
        <w:t>odía</w:t>
      </w:r>
      <w:r w:rsidRPr="00757E7B">
        <w:rPr>
          <w:rFonts w:ascii="Century Gothic" w:hAnsi="Century Gothic" w:eastAsia="Calibri" w:cs="Arial"/>
          <w:color w:val="000000" w:themeColor="text1"/>
        </w:rPr>
        <w:t xml:space="preserve"> ser atribuida exclusivamente a la autonomía de las partes, salvo que la Ley que creó el régimen especial autorice su uso, de la siguiente forma: </w:t>
      </w:r>
    </w:p>
    <w:p w:rsidRPr="003D4895" w:rsidR="008D4241" w:rsidP="003D4895" w:rsidRDefault="008D4241" w14:paraId="3DB5A48F" w14:textId="77777777">
      <w:pPr>
        <w:spacing w:line="240" w:lineRule="auto"/>
        <w:ind w:left="706" w:right="706"/>
        <w:jc w:val="both"/>
        <w:rPr>
          <w:rFonts w:ascii="Century Gothic" w:hAnsi="Century Gothic" w:cs="Arial"/>
          <w:color w:val="000000" w:themeColor="text1"/>
          <w:sz w:val="21"/>
          <w:szCs w:val="21"/>
          <w:lang w:val="es-ES"/>
        </w:rPr>
      </w:pPr>
      <w:r w:rsidRPr="003D4895">
        <w:rPr>
          <w:rFonts w:ascii="Century Gothic" w:hAnsi="Century Gothic" w:eastAsia="Calibri" w:cs="Arial"/>
          <w:color w:val="000000" w:themeColor="text1"/>
          <w:sz w:val="21"/>
          <w:szCs w:val="21"/>
        </w:rPr>
        <w:t>“En efecto, con base en el principio de la igualdad absoluta de las partes en el contrato regido por el derecho privado, ninguna de ellas puede arrogarse el privilegio de declarar incumplida a la otra parte, ni el de establecer el valor de tal incumplimiento, dado que no se puede ser juez y parte a la vez en esa clase de relación negocial; por consiguiente, le corresponde al juez del contrato, de acuerdo con lo alegado y probado en juicio, determinar si se dan los supuestos fácticos y jurídicos que indiquen el incumplimiento del mismo.</w:t>
      </w:r>
      <w:r w:rsidRPr="003D4895">
        <w:rPr>
          <w:rStyle w:val="Refdenotaalpie"/>
          <w:rFonts w:ascii="Century Gothic" w:hAnsi="Century Gothic" w:cs="Arial"/>
          <w:color w:val="000000" w:themeColor="text1"/>
          <w:sz w:val="21"/>
          <w:szCs w:val="21"/>
          <w:lang w:val="es-ES"/>
        </w:rPr>
        <w:footnoteReference w:id="22"/>
      </w:r>
    </w:p>
    <w:p w:rsidRPr="00757E7B" w:rsidR="008D4241" w:rsidP="00757E7B" w:rsidRDefault="008D4241" w14:paraId="7C76D4E4" w14:textId="77777777">
      <w:pPr>
        <w:spacing w:line="276" w:lineRule="auto"/>
        <w:ind w:firstLine="706"/>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Por tal motivo, esta Subdirección consideró, en un primer momento, que “la potestad sancionatoria debe consagrarse expresamente en la ley para que sea viable su ejercicio y que no basta ello, sino que además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w:t>
      </w:r>
      <w:r w:rsidRPr="00757E7B">
        <w:rPr>
          <w:rFonts w:ascii="Century Gothic" w:hAnsi="Century Gothic" w:eastAsia="Calibri" w:cs="Arial"/>
          <w:color w:val="000000" w:themeColor="text1"/>
          <w:lang w:val="es-ES"/>
        </w:rPr>
        <w:t>”</w:t>
      </w:r>
      <w:r w:rsidRPr="00757E7B">
        <w:rPr>
          <w:rStyle w:val="Refdenotaalpie"/>
          <w:rFonts w:ascii="Century Gothic" w:hAnsi="Century Gothic" w:cs="Arial"/>
          <w:color w:val="000000" w:themeColor="text1"/>
          <w:lang w:val="es-ES"/>
        </w:rPr>
        <w:footnoteReference w:id="23"/>
      </w:r>
      <w:r w:rsidRPr="00757E7B">
        <w:rPr>
          <w:rFonts w:ascii="Century Gothic" w:hAnsi="Century Gothic" w:eastAsia="Calibri" w:cs="Arial"/>
          <w:color w:val="000000" w:themeColor="text1"/>
          <w:lang w:val="es-ES"/>
        </w:rPr>
        <w:t>.</w:t>
      </w:r>
    </w:p>
    <w:p w:rsidRPr="00757E7B" w:rsidR="008D4241" w:rsidP="00757E7B" w:rsidRDefault="008D4241" w14:paraId="75D231F3" w14:textId="77777777">
      <w:pPr>
        <w:spacing w:before="120" w:after="120" w:line="276" w:lineRule="auto"/>
        <w:ind w:firstLine="709"/>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En conclusión, se indicó que tanto los poderes excepcionales y los unilaterales atribuidos a la administración pública únicamente pueden ser ejercidos en los casos y en las condiciones que la ley autoriza, especialmente teniendo en cuenta que todas las actuaciones del Estado se rigen por el principio de legalidad, según el cual los servidores públicos solo pueden ejercer las funciones a ellos asignadas específicamente en la Constitución Política, la ley y los reglamentos.</w:t>
      </w:r>
    </w:p>
    <w:p w:rsidRPr="00757E7B" w:rsidR="008D4241" w:rsidP="00757E7B" w:rsidRDefault="008D4241" w14:paraId="1BD332B0" w14:textId="081B6669">
      <w:pPr>
        <w:spacing w:line="276" w:lineRule="auto"/>
        <w:ind w:firstLine="706"/>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Así las cosas, para hacer efectiva la multa que se pacte en los contratos que celebren las entidades con un régimen especial de contratación, se indicó que deberá acudirse al juez del contrato, puesto que dichas entidades no c</w:t>
      </w:r>
      <w:r w:rsidR="006B3626">
        <w:rPr>
          <w:rFonts w:ascii="Century Gothic" w:hAnsi="Century Gothic" w:eastAsia="Calibri" w:cs="Arial"/>
          <w:color w:val="000000" w:themeColor="text1"/>
        </w:rPr>
        <w:t>ontaban</w:t>
      </w:r>
      <w:r w:rsidRPr="00757E7B">
        <w:rPr>
          <w:rFonts w:ascii="Century Gothic" w:hAnsi="Century Gothic" w:eastAsia="Calibri" w:cs="Arial"/>
          <w:color w:val="000000" w:themeColor="text1"/>
        </w:rPr>
        <w:t xml:space="preserve"> con la autorización legal para imponerlas de manera unilateral y por ende, tampoco resulta viable la aplicación del procedimiento establecido en el artículo 86 de la Ley 1474 de 2011, en tanto que este rige únicamente para las entidades sometidas al </w:t>
      </w:r>
      <w:r w:rsidR="00024AD1">
        <w:rPr>
          <w:rFonts w:ascii="Century Gothic" w:hAnsi="Century Gothic" w:eastAsia="Calibri" w:cs="Arial"/>
          <w:color w:val="000000" w:themeColor="text1"/>
        </w:rPr>
        <w:t>EGCAP</w:t>
      </w:r>
      <w:r w:rsidRPr="00757E7B">
        <w:rPr>
          <w:rFonts w:ascii="Century Gothic" w:hAnsi="Century Gothic" w:eastAsia="Calibri" w:cs="Arial"/>
          <w:color w:val="000000" w:themeColor="text1"/>
        </w:rPr>
        <w:t xml:space="preserve">, descartando así a las entidades que cuentan con régimen especial de contratación. </w:t>
      </w:r>
    </w:p>
    <w:p w:rsidRPr="00757E7B" w:rsidR="008D4241" w:rsidP="00757E7B" w:rsidRDefault="00024AD1" w14:paraId="104C43B6" w14:textId="1FF62B72">
      <w:pPr>
        <w:spacing w:before="120" w:line="276" w:lineRule="auto"/>
        <w:ind w:firstLine="709"/>
        <w:jc w:val="both"/>
        <w:rPr>
          <w:rFonts w:ascii="Century Gothic" w:hAnsi="Century Gothic" w:eastAsia="Calibri" w:cs="Arial"/>
          <w:color w:val="000000" w:themeColor="text1"/>
        </w:rPr>
      </w:pPr>
      <w:r>
        <w:rPr>
          <w:rFonts w:ascii="Century Gothic" w:hAnsi="Century Gothic" w:eastAsia="Calibri" w:cs="Arial"/>
          <w:color w:val="000000" w:themeColor="text1"/>
        </w:rPr>
        <w:t>Posteriormente</w:t>
      </w:r>
      <w:r w:rsidRPr="00757E7B" w:rsidR="008D4241">
        <w:rPr>
          <w:rFonts w:ascii="Century Gothic" w:hAnsi="Century Gothic" w:eastAsia="Calibri" w:cs="Arial"/>
          <w:color w:val="000000" w:themeColor="text1"/>
        </w:rPr>
        <w:t xml:space="preserve">, </w:t>
      </w:r>
      <w:r w:rsidR="00EB1DC2">
        <w:rPr>
          <w:rFonts w:ascii="Century Gothic" w:hAnsi="Century Gothic" w:eastAsia="Calibri" w:cs="Arial"/>
          <w:color w:val="000000" w:themeColor="text1"/>
        </w:rPr>
        <w:t xml:space="preserve">la Agencia </w:t>
      </w:r>
      <w:r w:rsidRPr="00757E7B" w:rsidR="008D4241">
        <w:rPr>
          <w:rFonts w:ascii="Century Gothic" w:hAnsi="Century Gothic" w:eastAsia="Calibri" w:cs="Arial"/>
          <w:color w:val="000000" w:themeColor="text1"/>
        </w:rPr>
        <w:t>aclaró que, teniendo en cuenta que las cláusulas contractuales de apremio tienen una naturaleza punitiva y, en virtud de estas, se pacta anticipadamente la pena adjudicable a la parte incumplida, las partes participantes en una relación contractual enmarcada en el régimen especial se encuentran facultadas para incluirla dentro de sus contratos en virtud de la autonomía de la voluntad de las partes. Sin embargo, en virtud de las posturas iniciales adoptadas por el Consejo de Estado, se indicó que para efectos de hacer efectivas las consecuencias que se desprenden de la cláusula de apremio resulta necesario, por regla general, acudir al juez del contrato, por cuanto es este quien tiene la facultad de determinar si existe un incumplimiento y, en tal caso, aplicar las sanciones pactadas o modificarlas según el ordenamiento vigente.</w:t>
      </w:r>
    </w:p>
    <w:p w:rsidRPr="00757E7B" w:rsidR="008D4241" w:rsidP="00757E7B" w:rsidRDefault="008D4241" w14:paraId="58CE5251" w14:textId="77777777">
      <w:pPr>
        <w:spacing w:line="276" w:lineRule="auto"/>
        <w:ind w:firstLine="706"/>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Sin embargo, en los últimos años, la Sección Tercera del Consejo de Estado, ha ido cambiando la anterior postura indicando que:</w:t>
      </w:r>
    </w:p>
    <w:p w:rsidRPr="003D4895" w:rsidR="008D4241" w:rsidP="003D4895" w:rsidRDefault="008D4241" w14:paraId="7E38C5EA" w14:textId="77777777">
      <w:pPr>
        <w:spacing w:after="0" w:line="240" w:lineRule="auto"/>
        <w:ind w:left="709" w:right="709"/>
        <w:jc w:val="both"/>
        <w:rPr>
          <w:rFonts w:ascii="Century Gothic" w:hAnsi="Century Gothic" w:eastAsia="Calibri" w:cs="Arial"/>
          <w:color w:val="000000" w:themeColor="text1"/>
          <w:sz w:val="21"/>
          <w:szCs w:val="21"/>
        </w:rPr>
      </w:pPr>
      <w:r w:rsidRPr="003D4895">
        <w:rPr>
          <w:rFonts w:ascii="Century Gothic" w:hAnsi="Century Gothic" w:eastAsia="Calibri" w:cs="Arial"/>
          <w:color w:val="000000" w:themeColor="text1"/>
          <w:sz w:val="21"/>
          <w:szCs w:val="21"/>
        </w:rPr>
        <w:t>“las partes contratantes, en ejercicio de la autonomía negocial, pueden pactar dentro de la convención que rige la relación contractual figuras como la multa, la cláusula penal, terminación por mutuo acuerdo o unilateral, todas estas como previsión anticipada de las consecuencias del posible incumplimiento en que pueda incurrir una de ellas”</w:t>
      </w:r>
      <w:r w:rsidRPr="003D4895">
        <w:rPr>
          <w:rStyle w:val="Refdenotaalpie"/>
          <w:rFonts w:ascii="Century Gothic" w:hAnsi="Century Gothic" w:eastAsia="Calibri" w:cs="Arial"/>
          <w:color w:val="000000" w:themeColor="text1"/>
          <w:sz w:val="21"/>
          <w:szCs w:val="21"/>
        </w:rPr>
        <w:footnoteReference w:id="24"/>
      </w:r>
    </w:p>
    <w:p w:rsidRPr="00757E7B" w:rsidR="008D4241" w:rsidP="003D4895" w:rsidRDefault="008D4241" w14:paraId="5AA49C47" w14:textId="544D35B1">
      <w:pPr>
        <w:spacing w:before="240" w:after="0" w:line="276" w:lineRule="auto"/>
        <w:ind w:firstLine="708"/>
        <w:jc w:val="both"/>
        <w:rPr>
          <w:rFonts w:ascii="Century Gothic" w:hAnsi="Century Gothic" w:eastAsia="Calibri" w:cs="Arial"/>
          <w:color w:val="000000" w:themeColor="text1"/>
        </w:rPr>
      </w:pPr>
      <w:r w:rsidRPr="00757E7B">
        <w:rPr>
          <w:rFonts w:ascii="Century Gothic" w:hAnsi="Century Gothic" w:eastAsia="Calibri" w:cs="Arial"/>
          <w:color w:val="000000" w:themeColor="text1"/>
        </w:rPr>
        <w:t xml:space="preserve">La anterior postura, se fundamentó bajo el convencimiento de la importancia de atender y respetar la autonomía dispositiva, propia de los contratos regidos por el derecho privado, indicando que: </w:t>
      </w:r>
    </w:p>
    <w:p w:rsidRPr="0066098E" w:rsidR="008D4241" w:rsidP="0066098E" w:rsidRDefault="008D4241" w14:paraId="780C3492" w14:textId="77777777">
      <w:pPr>
        <w:spacing w:before="240" w:line="240" w:lineRule="auto"/>
        <w:ind w:left="709" w:right="709"/>
        <w:jc w:val="both"/>
        <w:rPr>
          <w:rFonts w:ascii="Century Gothic" w:hAnsi="Century Gothic" w:eastAsia="Calibri" w:cs="Arial"/>
          <w:color w:val="000000" w:themeColor="text1"/>
          <w:sz w:val="21"/>
          <w:szCs w:val="21"/>
        </w:rPr>
      </w:pPr>
      <w:r w:rsidRPr="0066098E">
        <w:rPr>
          <w:rFonts w:ascii="Century Gothic" w:hAnsi="Century Gothic" w:eastAsia="Calibri" w:cs="Arial"/>
          <w:color w:val="000000" w:themeColor="text1"/>
          <w:sz w:val="21"/>
          <w:szCs w:val="21"/>
        </w:rPr>
        <w:t>“El cambio de concepción ha significado entonces el pasar de entender que las entidades estatales exceptuadas del Estatuto Contractual no podían pactar cláusulas unilaterales, pues no contaban con la habilitación legal para hacerlo, a un entendimiento que, por el contrario, considera que, al igual que los privados, la habilitación deviene de la propia autonomía contractual.</w:t>
      </w:r>
    </w:p>
    <w:p w:rsidRPr="0066098E" w:rsidR="008D4241" w:rsidP="0066098E" w:rsidRDefault="008D4241" w14:paraId="0749AAA5" w14:textId="77777777">
      <w:pPr>
        <w:spacing w:after="0" w:line="240" w:lineRule="auto"/>
        <w:ind w:left="709" w:right="709"/>
        <w:jc w:val="both"/>
        <w:rPr>
          <w:rFonts w:ascii="Century Gothic" w:hAnsi="Century Gothic" w:eastAsia="Calibri" w:cs="Arial"/>
          <w:color w:val="000000" w:themeColor="text1"/>
          <w:sz w:val="21"/>
          <w:szCs w:val="21"/>
        </w:rPr>
      </w:pPr>
      <w:r w:rsidRPr="0066098E">
        <w:rPr>
          <w:rFonts w:ascii="Century Gothic" w:hAnsi="Century Gothic" w:eastAsia="Calibri" w:cs="Arial"/>
          <w:color w:val="000000" w:themeColor="text1"/>
          <w:sz w:val="21"/>
          <w:szCs w:val="21"/>
        </w:rPr>
        <w:t xml:space="preserve">De esta manera, 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 </w:t>
      </w:r>
    </w:p>
    <w:p w:rsidRPr="0066098E" w:rsidR="008D4241" w:rsidP="0066098E" w:rsidRDefault="008D4241" w14:paraId="30243B1B" w14:textId="77777777">
      <w:pPr>
        <w:spacing w:after="0" w:line="240" w:lineRule="auto"/>
        <w:ind w:left="709" w:right="709"/>
        <w:jc w:val="both"/>
        <w:rPr>
          <w:rFonts w:ascii="Century Gothic" w:hAnsi="Century Gothic" w:eastAsia="Calibri" w:cs="Arial"/>
          <w:color w:val="000000" w:themeColor="text1"/>
          <w:sz w:val="21"/>
          <w:szCs w:val="21"/>
        </w:rPr>
      </w:pPr>
      <w:r w:rsidRPr="0066098E">
        <w:rPr>
          <w:rFonts w:ascii="Century Gothic" w:hAnsi="Century Gothic" w:eastAsia="Calibri" w:cs="Arial"/>
          <w:color w:val="000000" w:themeColor="text1"/>
          <w:sz w:val="21"/>
          <w:szCs w:val="21"/>
        </w:rPr>
        <w:t>[…]</w:t>
      </w:r>
    </w:p>
    <w:p w:rsidRPr="0066098E" w:rsidR="008D4241" w:rsidP="0066098E" w:rsidRDefault="008D4241" w14:paraId="78FC595D" w14:textId="490F2D31">
      <w:pPr>
        <w:spacing w:after="0" w:line="240" w:lineRule="auto"/>
        <w:ind w:left="709" w:right="709"/>
        <w:jc w:val="both"/>
        <w:rPr>
          <w:rFonts w:ascii="Century Gothic" w:hAnsi="Century Gothic" w:eastAsia="Calibri" w:cs="Arial"/>
          <w:color w:val="000000" w:themeColor="text1"/>
          <w:sz w:val="21"/>
          <w:szCs w:val="21"/>
        </w:rPr>
      </w:pPr>
      <w:r w:rsidRPr="0066098E">
        <w:rPr>
          <w:rFonts w:ascii="Century Gothic" w:hAnsi="Century Gothic" w:eastAsia="Calibri" w:cs="Arial"/>
          <w:color w:val="000000" w:themeColor="text1"/>
          <w:sz w:val="21"/>
          <w:szCs w:val="21"/>
        </w:rPr>
        <w:t xml:space="preserve">debe retomarse y dársele valor real al mensaje del legislador de 1994, esto es, debe tomarse en serio el régimen jurídico aplicable. Si ello es así, una de las primeras consecuencias necesarias viene dada por evidenciar que, actos como los expedidos por [una empresa prestadora de servicios públicos domiciliarios], en los que se terminó </w:t>
      </w:r>
      <w:r w:rsidRPr="0066098E" w:rsidR="00245724">
        <w:rPr>
          <w:rFonts w:ascii="Century Gothic" w:hAnsi="Century Gothic" w:eastAsia="Calibri" w:cs="Arial"/>
          <w:color w:val="000000" w:themeColor="text1"/>
          <w:sz w:val="21"/>
          <w:szCs w:val="21"/>
        </w:rPr>
        <w:t>el contrato</w:t>
      </w:r>
      <w:r w:rsidRPr="0066098E">
        <w:rPr>
          <w:rFonts w:ascii="Century Gothic" w:hAnsi="Century Gothic" w:eastAsia="Calibri" w:cs="Arial"/>
          <w:color w:val="000000" w:themeColor="text1"/>
          <w:sz w:val="21"/>
          <w:szCs w:val="21"/>
        </w:rPr>
        <w:t>, no son, en realidad, actos administrativos, en otras palabras, no son actuaciones que concreten una función administrativa a través del ejercicio legítimo del poder”</w:t>
      </w:r>
      <w:r w:rsidRPr="0066098E">
        <w:rPr>
          <w:rStyle w:val="Refdenotaalpie"/>
          <w:rFonts w:ascii="Century Gothic" w:hAnsi="Century Gothic" w:eastAsia="Calibri" w:cs="Arial"/>
          <w:color w:val="000000" w:themeColor="text1"/>
          <w:sz w:val="21"/>
          <w:szCs w:val="21"/>
        </w:rPr>
        <w:footnoteReference w:id="25"/>
      </w:r>
    </w:p>
    <w:p w:rsidRPr="00757E7B" w:rsidR="008D4241" w:rsidP="00757E7B" w:rsidRDefault="008D4241" w14:paraId="03FD4DD5" w14:textId="77777777">
      <w:pPr>
        <w:spacing w:after="0" w:line="276" w:lineRule="auto"/>
        <w:jc w:val="both"/>
        <w:rPr>
          <w:rFonts w:ascii="Century Gothic" w:hAnsi="Century Gothic" w:eastAsia="Calibri" w:cs="Arial"/>
          <w:color w:val="000000" w:themeColor="text1"/>
        </w:rPr>
      </w:pPr>
    </w:p>
    <w:p w:rsidRPr="00757E7B" w:rsidR="008D4241" w:rsidP="00757E7B" w:rsidRDefault="008D4241" w14:paraId="279FA066" w14:textId="59134B0B">
      <w:pPr>
        <w:spacing w:after="120" w:line="276" w:lineRule="auto"/>
        <w:ind w:firstLine="708"/>
        <w:jc w:val="both"/>
        <w:rPr>
          <w:rFonts w:ascii="Century Gothic" w:hAnsi="Century Gothic" w:eastAsia="Calibri" w:cs="Arial"/>
        </w:rPr>
      </w:pPr>
      <w:r w:rsidRPr="00757E7B">
        <w:rPr>
          <w:rFonts w:ascii="Century Gothic" w:hAnsi="Century Gothic" w:eastAsia="Calibri" w:cs="Arial"/>
          <w:lang w:val="es-ES_tradnl"/>
        </w:rPr>
        <w:t>Con base en lo anterior, se ha debatido en los últimos años, al interior de la Sección Tercera del Consejo de Estado, la posibilidad de las entidades con régimen especial de contratación de ejercer autotutela declarativa, imponiendo las sanciones pactadas en el contrato</w:t>
      </w:r>
      <w:r w:rsidRPr="00757E7B">
        <w:rPr>
          <w:rFonts w:ascii="Century Gothic" w:hAnsi="Century Gothic" w:eastAsia="Calibri" w:cs="Arial"/>
          <w:vertAlign w:val="superscript"/>
          <w:lang w:val="es-ES_tradnl"/>
        </w:rPr>
        <w:footnoteReference w:id="26"/>
      </w:r>
      <w:r w:rsidRPr="00757E7B">
        <w:rPr>
          <w:rFonts w:ascii="Century Gothic" w:hAnsi="Century Gothic" w:eastAsia="Calibri" w:cs="Arial"/>
          <w:lang w:val="es-ES_tradnl"/>
        </w:rPr>
        <w:t>. La jurisprudencia reciente de este tribunal</w:t>
      </w:r>
      <w:r w:rsidRPr="00757E7B">
        <w:rPr>
          <w:rStyle w:val="Refdenotaalpie"/>
          <w:rFonts w:ascii="Century Gothic" w:hAnsi="Century Gothic" w:eastAsia="Calibri" w:cs="Arial"/>
          <w:lang w:val="es-ES_tradnl"/>
        </w:rPr>
        <w:footnoteReference w:id="27"/>
      </w:r>
      <w:r w:rsidRPr="00757E7B">
        <w:rPr>
          <w:rFonts w:ascii="Century Gothic" w:hAnsi="Century Gothic" w:eastAsia="Calibri" w:cs="Arial"/>
          <w:lang w:val="es-ES_tradnl"/>
        </w:rPr>
        <w:t xml:space="preserve"> y de </w:t>
      </w:r>
      <w:r w:rsidRPr="00757E7B">
        <w:rPr>
          <w:rFonts w:ascii="Century Gothic" w:hAnsi="Century Gothic" w:eastAsia="Calibri" w:cs="Arial"/>
        </w:rPr>
        <w:t>la Corte Suprema de Justicia</w:t>
      </w:r>
      <w:r w:rsidRPr="00757E7B">
        <w:rPr>
          <w:rStyle w:val="Refdenotaalpie"/>
          <w:rFonts w:ascii="Century Gothic" w:hAnsi="Century Gothic" w:eastAsia="Calibri" w:cs="Arial"/>
        </w:rPr>
        <w:footnoteReference w:id="28"/>
      </w:r>
      <w:r w:rsidRPr="00757E7B">
        <w:rPr>
          <w:rFonts w:ascii="Century Gothic" w:hAnsi="Century Gothic" w:eastAsia="Calibri" w:cs="Arial"/>
        </w:rPr>
        <w:t xml:space="preserve"> confirmó no sólo la validez del pacto de poderes unilaterales en el marco de los contratos de derecho privado suscritos por entidades del régimen especial, </w:t>
      </w:r>
      <w:r w:rsidRPr="00757E7B" w:rsidR="00FD0BAA">
        <w:rPr>
          <w:rFonts w:ascii="Century Gothic" w:hAnsi="Century Gothic" w:eastAsia="Calibri" w:cs="Arial"/>
        </w:rPr>
        <w:t>sino</w:t>
      </w:r>
      <w:r w:rsidRPr="00757E7B">
        <w:rPr>
          <w:rFonts w:ascii="Century Gothic" w:hAnsi="Century Gothic" w:eastAsia="Calibri" w:cs="Arial"/>
        </w:rPr>
        <w:t xml:space="preserve"> también su capacidad dispositiva de hacerlas efectivas a través actos jurídicos unilaterales de derecho privado, no de actos administrativos.</w:t>
      </w:r>
    </w:p>
    <w:p w:rsidR="006E681D" w:rsidP="006E681D" w:rsidRDefault="008D4241" w14:paraId="35902E7E" w14:textId="13706FCF">
      <w:pPr>
        <w:spacing w:after="0" w:line="276" w:lineRule="auto"/>
        <w:ind w:firstLine="708"/>
        <w:jc w:val="both"/>
        <w:rPr>
          <w:rFonts w:ascii="Century Gothic" w:hAnsi="Century Gothic" w:cs="Times New Roman"/>
          <w:lang w:eastAsia="es-CO"/>
        </w:rPr>
      </w:pPr>
      <w:r w:rsidRPr="00757E7B">
        <w:rPr>
          <w:rFonts w:ascii="Century Gothic" w:hAnsi="Century Gothic" w:eastAsia="Calibri" w:cs="Arial"/>
          <w:lang w:val="es-ES_tradnl"/>
        </w:rPr>
        <w:t xml:space="preserve">Por </w:t>
      </w:r>
      <w:r w:rsidR="00E27DEB">
        <w:rPr>
          <w:rFonts w:ascii="Century Gothic" w:hAnsi="Century Gothic" w:eastAsia="Calibri" w:cs="Arial"/>
          <w:lang w:val="es-ES_tradnl"/>
        </w:rPr>
        <w:t xml:space="preserve">lo </w:t>
      </w:r>
      <w:r w:rsidRPr="00757E7B">
        <w:rPr>
          <w:rFonts w:ascii="Century Gothic" w:hAnsi="Century Gothic" w:eastAsia="Calibri" w:cs="Arial"/>
          <w:lang w:val="es-ES_tradnl"/>
        </w:rPr>
        <w:t>tanto,</w:t>
      </w:r>
      <w:r w:rsidR="00E66989">
        <w:rPr>
          <w:rFonts w:ascii="Century Gothic" w:hAnsi="Century Gothic" w:eastAsia="Calibri" w:cs="Arial"/>
          <w:lang w:val="es-ES_tradnl"/>
        </w:rPr>
        <w:t xml:space="preserve"> </w:t>
      </w:r>
      <w:r w:rsidR="00F0683C">
        <w:rPr>
          <w:rFonts w:ascii="Century Gothic" w:hAnsi="Century Gothic" w:eastAsia="Calibri" w:cs="Arial"/>
          <w:lang w:val="es-ES_tradnl"/>
        </w:rPr>
        <w:t xml:space="preserve">a criterio de esta Agencia, </w:t>
      </w:r>
      <w:r w:rsidRPr="00757E7B">
        <w:rPr>
          <w:rFonts w:ascii="Century Gothic" w:hAnsi="Century Gothic" w:eastAsia="Calibri" w:cs="Arial"/>
          <w:lang w:val="es-ES_tradnl"/>
        </w:rPr>
        <w:t>las entidades de régimen especial</w:t>
      </w:r>
      <w:r w:rsidR="004C0973">
        <w:rPr>
          <w:rFonts w:ascii="Century Gothic" w:hAnsi="Century Gothic" w:eastAsia="Calibri" w:cs="Arial"/>
          <w:lang w:val="es-ES_tradnl"/>
        </w:rPr>
        <w:t xml:space="preserve"> en contratación</w:t>
      </w:r>
      <w:r w:rsidRPr="00757E7B">
        <w:rPr>
          <w:rFonts w:ascii="Century Gothic" w:hAnsi="Century Gothic" w:eastAsia="Calibri" w:cs="Arial"/>
          <w:lang w:val="es-ES_tradnl"/>
        </w:rPr>
        <w:t>, en el marco de estas últimas posturas</w:t>
      </w:r>
      <w:r w:rsidR="00E66989">
        <w:rPr>
          <w:rFonts w:ascii="Century Gothic" w:hAnsi="Century Gothic" w:eastAsia="Calibri" w:cs="Arial"/>
          <w:lang w:val="es-ES_tradnl"/>
        </w:rPr>
        <w:t xml:space="preserve"> del Consejo de Estado</w:t>
      </w:r>
      <w:r w:rsidRPr="00757E7B">
        <w:rPr>
          <w:rFonts w:ascii="Century Gothic" w:hAnsi="Century Gothic" w:eastAsia="Calibri" w:cs="Arial"/>
          <w:lang w:val="es-ES_tradnl"/>
        </w:rPr>
        <w:t xml:space="preserve">, </w:t>
      </w:r>
      <w:r w:rsidRPr="00757E7B" w:rsidR="004C0973">
        <w:rPr>
          <w:rFonts w:ascii="Century Gothic" w:hAnsi="Century Gothic" w:eastAsia="Calibri" w:cs="Arial"/>
          <w:lang w:val="es-ES_tradnl"/>
        </w:rPr>
        <w:t>podrá</w:t>
      </w:r>
      <w:r w:rsidR="004C0973">
        <w:rPr>
          <w:rFonts w:ascii="Century Gothic" w:hAnsi="Century Gothic" w:eastAsia="Calibri" w:cs="Arial"/>
          <w:lang w:val="es-ES_tradnl"/>
        </w:rPr>
        <w:t>n</w:t>
      </w:r>
      <w:r w:rsidRPr="00757E7B">
        <w:rPr>
          <w:rFonts w:ascii="Century Gothic" w:hAnsi="Century Gothic" w:eastAsia="Calibri" w:cs="Arial"/>
          <w:lang w:val="es-ES_tradnl"/>
        </w:rPr>
        <w:t xml:space="preserve"> pactar en el contrato que</w:t>
      </w:r>
      <w:r w:rsidR="00913C5F">
        <w:rPr>
          <w:rFonts w:ascii="Century Gothic" w:hAnsi="Century Gothic" w:eastAsia="Calibri" w:cs="Arial"/>
          <w:lang w:val="es-ES_tradnl"/>
        </w:rPr>
        <w:t>,</w:t>
      </w:r>
      <w:r w:rsidRPr="00757E7B">
        <w:rPr>
          <w:rFonts w:ascii="Century Gothic" w:hAnsi="Century Gothic" w:eastAsia="Calibri" w:cs="Arial"/>
          <w:lang w:val="es-ES_tradnl"/>
        </w:rPr>
        <w:t xml:space="preserve"> ante el incumplimiento del contratista</w:t>
      </w:r>
      <w:r w:rsidR="00913C5F">
        <w:rPr>
          <w:rFonts w:ascii="Century Gothic" w:hAnsi="Century Gothic" w:eastAsia="Calibri" w:cs="Arial"/>
          <w:lang w:val="es-ES_tradnl"/>
        </w:rPr>
        <w:t>,</w:t>
      </w:r>
      <w:r w:rsidRPr="00757E7B">
        <w:rPr>
          <w:rFonts w:ascii="Century Gothic" w:hAnsi="Century Gothic" w:eastAsia="Calibri" w:cs="Arial"/>
          <w:lang w:val="es-ES_tradnl"/>
        </w:rPr>
        <w:t xml:space="preserve"> se activará el derecho al pago de sanciones, como la multa o la cláusula penal pecuniaria, y estas sanciones podrán ser ejecutadas directamente por la entidad a través de actos unilaterales de derecho privado o, en su defecto, se podrá acudir a la Jurisdicción de lo Contencioso Administrativo en ejercicio del medio de control de controversias contractuales previsto en el artículo 141 de la Ley 1437 de 2011, teniendo en cuenta que dicho medio de control es “</w:t>
      </w:r>
      <w:proofErr w:type="spellStart"/>
      <w:r w:rsidRPr="00757E7B">
        <w:rPr>
          <w:rFonts w:ascii="Century Gothic" w:hAnsi="Century Gothic" w:eastAsia="Calibri" w:cs="Arial"/>
          <w:lang w:val="es-ES_tradnl"/>
        </w:rPr>
        <w:t>pluripretensional</w:t>
      </w:r>
      <w:proofErr w:type="spellEnd"/>
      <w:r w:rsidRPr="00757E7B">
        <w:rPr>
          <w:rFonts w:ascii="Century Gothic" w:hAnsi="Century Gothic" w:eastAsia="Calibri" w:cs="Arial"/>
          <w:lang w:val="es-ES_tradnl"/>
        </w:rPr>
        <w:t>”</w:t>
      </w:r>
      <w:r w:rsidRPr="00757E7B">
        <w:rPr>
          <w:rFonts w:ascii="Century Gothic" w:hAnsi="Century Gothic" w:eastAsia="Calibri" w:cs="Arial"/>
          <w:vertAlign w:val="superscript"/>
          <w:lang w:val="es-ES_tradnl"/>
        </w:rPr>
        <w:footnoteReference w:id="29"/>
      </w:r>
      <w:r w:rsidRPr="00757E7B">
        <w:rPr>
          <w:rFonts w:ascii="Century Gothic" w:hAnsi="Century Gothic" w:eastAsia="Calibri" w:cs="Arial"/>
          <w:lang w:val="es-ES_tradnl"/>
        </w:rPr>
        <w:t>, pues admite canalizar a través de él múltiples pretensiones, como la solicitud de declaratoria de incumplimiento y consecuencialmente la imposición de las sanciones estipuladas en el contrato.</w:t>
      </w:r>
      <w:r w:rsidRPr="00757E7B">
        <w:rPr>
          <w:rFonts w:ascii="Century Gothic" w:hAnsi="Century Gothic" w:cs="Times New Roman"/>
          <w:lang w:eastAsia="es-CO"/>
        </w:rPr>
        <w:t xml:space="preserve"> </w:t>
      </w:r>
    </w:p>
    <w:p w:rsidRPr="00757E7B" w:rsidR="000740C1" w:rsidP="000740C1" w:rsidRDefault="00990DB0" w14:paraId="7DDB140F" w14:textId="3D8BC5DE">
      <w:pPr>
        <w:spacing w:before="120" w:after="120" w:line="276" w:lineRule="auto"/>
        <w:ind w:firstLine="709"/>
        <w:jc w:val="both"/>
        <w:rPr>
          <w:rFonts w:ascii="Century Gothic" w:hAnsi="Century Gothic" w:eastAsia="Calibri" w:cs="Arial"/>
          <w:color w:val="000000" w:themeColor="text1"/>
          <w:lang w:val="es-ES_tradnl"/>
        </w:rPr>
      </w:pPr>
      <w:r>
        <w:rPr>
          <w:rFonts w:ascii="Century Gothic" w:hAnsi="Century Gothic" w:eastAsia="Calibri" w:cs="Arial"/>
        </w:rPr>
        <w:t>En ese contexto</w:t>
      </w:r>
      <w:r w:rsidRPr="00757E7B" w:rsidR="008D4241">
        <w:rPr>
          <w:rFonts w:ascii="Century Gothic" w:hAnsi="Century Gothic" w:eastAsia="Calibri" w:cs="Arial"/>
        </w:rPr>
        <w:t xml:space="preserve">, ante la posibilidad de </w:t>
      </w:r>
      <w:r w:rsidRPr="00757E7B" w:rsidR="008D4241">
        <w:rPr>
          <w:rFonts w:ascii="Century Gothic" w:hAnsi="Century Gothic" w:eastAsia="Calibri" w:cs="Arial"/>
          <w:lang w:val="es-ES_tradnl"/>
        </w:rPr>
        <w:t xml:space="preserve">estas sanciones puedan ser ejecutadas directamente por la entidad </w:t>
      </w:r>
      <w:r w:rsidR="001659C4">
        <w:rPr>
          <w:rFonts w:ascii="Century Gothic" w:hAnsi="Century Gothic" w:eastAsia="Calibri" w:cs="Arial"/>
          <w:lang w:val="es-ES_tradnl"/>
        </w:rPr>
        <w:t>con</w:t>
      </w:r>
      <w:r w:rsidRPr="00757E7B" w:rsidR="008D4241">
        <w:rPr>
          <w:rFonts w:ascii="Century Gothic" w:hAnsi="Century Gothic" w:eastAsia="Calibri" w:cs="Arial"/>
          <w:lang w:val="es-ES_tradnl"/>
        </w:rPr>
        <w:t xml:space="preserve"> régimen especial </w:t>
      </w:r>
      <w:r w:rsidR="001659C4">
        <w:rPr>
          <w:rFonts w:ascii="Century Gothic" w:hAnsi="Century Gothic" w:eastAsia="Calibri" w:cs="Arial"/>
          <w:lang w:val="es-ES_tradnl"/>
        </w:rPr>
        <w:t xml:space="preserve">en contratación, </w:t>
      </w:r>
      <w:r w:rsidRPr="00757E7B" w:rsidR="008D4241">
        <w:rPr>
          <w:rFonts w:ascii="Century Gothic" w:hAnsi="Century Gothic" w:eastAsia="Calibri" w:cs="Arial"/>
          <w:lang w:val="es-ES_tradnl"/>
        </w:rPr>
        <w:t xml:space="preserve">a través de actos unilaterales de derecho privado, </w:t>
      </w:r>
      <w:r w:rsidR="00A0036A">
        <w:rPr>
          <w:rFonts w:ascii="Century Gothic" w:hAnsi="Century Gothic" w:eastAsia="Calibri" w:cs="Arial"/>
          <w:lang w:val="es-ES_tradnl"/>
        </w:rPr>
        <w:t>la Agencia considera que el</w:t>
      </w:r>
      <w:r w:rsidR="00633D73">
        <w:rPr>
          <w:rFonts w:ascii="Century Gothic" w:hAnsi="Century Gothic" w:eastAsia="Calibri" w:cs="Arial"/>
          <w:lang w:val="es-ES_tradnl"/>
        </w:rPr>
        <w:t xml:space="preserve"> procedimiento a seguir para </w:t>
      </w:r>
      <w:r w:rsidR="00E843F0">
        <w:rPr>
          <w:rFonts w:ascii="Century Gothic" w:hAnsi="Century Gothic" w:eastAsia="Calibri" w:cs="Arial"/>
          <w:lang w:val="es-ES_tradnl"/>
        </w:rPr>
        <w:t>realizar dichas declaratorias</w:t>
      </w:r>
      <w:r w:rsidR="00691C2C">
        <w:rPr>
          <w:rFonts w:ascii="Century Gothic" w:hAnsi="Century Gothic" w:eastAsia="Calibri" w:cs="Arial"/>
          <w:lang w:val="es-ES_tradnl"/>
        </w:rPr>
        <w:t xml:space="preserve"> corresponderá a lo regulado exclusivamente </w:t>
      </w:r>
      <w:r w:rsidR="000740C1">
        <w:rPr>
          <w:rFonts w:ascii="Century Gothic" w:hAnsi="Century Gothic" w:eastAsia="Calibri" w:cs="Arial"/>
          <w:lang w:val="es-ES_tradnl"/>
        </w:rPr>
        <w:t>en sus res</w:t>
      </w:r>
      <w:r w:rsidR="00643C0A">
        <w:rPr>
          <w:rFonts w:ascii="Century Gothic" w:hAnsi="Century Gothic" w:eastAsia="Calibri" w:cs="Arial"/>
          <w:lang w:val="es-ES_tradnl"/>
        </w:rPr>
        <w:t xml:space="preserve">pectivos manuales de contratación sobre </w:t>
      </w:r>
      <w:r w:rsidRPr="00757E7B" w:rsidR="000740C1">
        <w:rPr>
          <w:rFonts w:ascii="Century Gothic" w:hAnsi="Century Gothic" w:eastAsia="Calibri" w:cs="Arial"/>
          <w:color w:val="000000" w:themeColor="text1"/>
          <w:lang w:val="es-ES_tradnl"/>
        </w:rPr>
        <w:t xml:space="preserve">la responsabilidad contractual, y </w:t>
      </w:r>
      <w:r w:rsidR="00643C0A">
        <w:rPr>
          <w:rFonts w:ascii="Century Gothic" w:hAnsi="Century Gothic" w:eastAsia="Calibri" w:cs="Arial"/>
          <w:color w:val="000000" w:themeColor="text1"/>
          <w:lang w:val="es-ES_tradnl"/>
        </w:rPr>
        <w:t xml:space="preserve">ante la </w:t>
      </w:r>
      <w:r w:rsidRPr="00757E7B" w:rsidR="000740C1">
        <w:rPr>
          <w:rFonts w:ascii="Century Gothic" w:hAnsi="Century Gothic" w:eastAsia="Calibri" w:cs="Arial"/>
          <w:color w:val="000000" w:themeColor="text1"/>
          <w:lang w:val="es-ES_tradnl"/>
        </w:rPr>
        <w:t>ausencia de tales disposiciones en el reglamento interno de contratación de la entidad exceptuada debe</w:t>
      </w:r>
      <w:r w:rsidR="008762FE">
        <w:rPr>
          <w:rFonts w:ascii="Century Gothic" w:hAnsi="Century Gothic" w:eastAsia="Calibri" w:cs="Arial"/>
          <w:color w:val="000000" w:themeColor="text1"/>
          <w:lang w:val="es-ES_tradnl"/>
        </w:rPr>
        <w:t>rá</w:t>
      </w:r>
      <w:r w:rsidRPr="00757E7B" w:rsidR="000740C1">
        <w:rPr>
          <w:rFonts w:ascii="Century Gothic" w:hAnsi="Century Gothic" w:eastAsia="Calibri" w:cs="Arial"/>
          <w:color w:val="000000" w:themeColor="text1"/>
          <w:lang w:val="es-ES_tradnl"/>
        </w:rPr>
        <w:t xml:space="preserve"> suplirse con las normas del Código Civil y del Código de Comercio</w:t>
      </w:r>
      <w:r w:rsidRPr="00757E7B" w:rsidR="000740C1">
        <w:rPr>
          <w:rStyle w:val="Refdenotaalpie"/>
          <w:rFonts w:ascii="Century Gothic" w:hAnsi="Century Gothic" w:eastAsia="Calibri" w:cs="Arial"/>
          <w:color w:val="000000" w:themeColor="text1"/>
          <w:lang w:val="es-ES_tradnl"/>
        </w:rPr>
        <w:footnoteReference w:id="30"/>
      </w:r>
      <w:r w:rsidRPr="00757E7B" w:rsidR="000740C1">
        <w:rPr>
          <w:rFonts w:ascii="Century Gothic" w:hAnsi="Century Gothic" w:eastAsia="Calibri" w:cs="Arial"/>
          <w:color w:val="000000" w:themeColor="text1"/>
          <w:lang w:val="es-ES_tradnl"/>
        </w:rPr>
        <w:t>, con la costumbre mercantil</w:t>
      </w:r>
      <w:r w:rsidRPr="00757E7B" w:rsidR="000740C1">
        <w:rPr>
          <w:rStyle w:val="Refdenotaalpie"/>
          <w:rFonts w:ascii="Century Gothic" w:hAnsi="Century Gothic" w:eastAsia="Calibri" w:cs="Arial"/>
          <w:color w:val="000000" w:themeColor="text1"/>
          <w:lang w:val="es-ES_tradnl"/>
        </w:rPr>
        <w:footnoteReference w:id="31"/>
      </w:r>
      <w:r w:rsidRPr="00757E7B" w:rsidR="000740C1">
        <w:rPr>
          <w:rFonts w:ascii="Century Gothic" w:hAnsi="Century Gothic" w:eastAsia="Calibri" w:cs="Arial"/>
          <w:color w:val="000000" w:themeColor="text1"/>
          <w:lang w:val="es-ES_tradnl"/>
        </w:rPr>
        <w:t xml:space="preserve"> y con los principios generales que rigen las relaciones contractuales de los particulares, que ingresan dentro de la categoría de la </w:t>
      </w:r>
      <w:r w:rsidRPr="00757E7B" w:rsidR="000740C1">
        <w:rPr>
          <w:rFonts w:ascii="Century Gothic" w:hAnsi="Century Gothic" w:eastAsia="Calibri" w:cs="Arial"/>
          <w:i/>
          <w:color w:val="000000" w:themeColor="text1"/>
          <w:lang w:val="es-ES_tradnl"/>
        </w:rPr>
        <w:t xml:space="preserve">lex </w:t>
      </w:r>
      <w:proofErr w:type="spellStart"/>
      <w:r w:rsidRPr="00757E7B" w:rsidR="000740C1">
        <w:rPr>
          <w:rFonts w:ascii="Century Gothic" w:hAnsi="Century Gothic" w:eastAsia="Calibri" w:cs="Arial"/>
          <w:i/>
          <w:color w:val="000000" w:themeColor="text1"/>
          <w:lang w:val="es-ES_tradnl"/>
        </w:rPr>
        <w:t>mercatoria</w:t>
      </w:r>
      <w:proofErr w:type="spellEnd"/>
      <w:r w:rsidRPr="00757E7B" w:rsidR="000740C1">
        <w:rPr>
          <w:rStyle w:val="Refdenotaalpie"/>
          <w:rFonts w:ascii="Century Gothic" w:hAnsi="Century Gothic" w:eastAsia="Calibri" w:cs="Arial"/>
          <w:color w:val="000000" w:themeColor="text1"/>
          <w:lang w:val="es-ES_tradnl"/>
        </w:rPr>
        <w:footnoteReference w:id="32"/>
      </w:r>
      <w:r w:rsidRPr="00757E7B" w:rsidR="000740C1">
        <w:rPr>
          <w:rFonts w:ascii="Century Gothic" w:hAnsi="Century Gothic" w:eastAsia="Calibri" w:cs="Arial"/>
          <w:color w:val="000000" w:themeColor="text1"/>
          <w:lang w:val="es-ES_tradnl"/>
        </w:rPr>
        <w:t>.</w:t>
      </w:r>
    </w:p>
    <w:p w:rsidR="00691C2C" w:rsidP="0099722A" w:rsidRDefault="00691C2C" w14:paraId="00A27033" w14:textId="589D6F7F">
      <w:pPr>
        <w:spacing w:before="240" w:after="0" w:line="276" w:lineRule="auto"/>
        <w:ind w:firstLine="708"/>
        <w:jc w:val="both"/>
        <w:rPr>
          <w:rFonts w:ascii="Century Gothic" w:hAnsi="Century Gothic" w:eastAsia="Calibri" w:cs="Arial"/>
          <w:lang w:val="es-ES_tradnl"/>
        </w:rPr>
      </w:pPr>
    </w:p>
    <w:p w:rsidRPr="00757E7B" w:rsidR="008D4241" w:rsidP="0099722A" w:rsidRDefault="008762FE" w14:paraId="14384DB6" w14:textId="1AD06789">
      <w:pPr>
        <w:spacing w:before="240" w:after="0" w:line="276" w:lineRule="auto"/>
        <w:ind w:firstLine="708"/>
        <w:jc w:val="both"/>
        <w:rPr>
          <w:rFonts w:ascii="Century Gothic" w:hAnsi="Century Gothic" w:eastAsia="Calibri" w:cs="Arial"/>
        </w:rPr>
      </w:pPr>
      <w:r>
        <w:rPr>
          <w:rFonts w:ascii="Century Gothic" w:hAnsi="Century Gothic" w:eastAsia="Calibri" w:cs="Arial"/>
          <w:lang w:val="es-ES_tradnl"/>
        </w:rPr>
        <w:t xml:space="preserve">No obstante, se hace la precisión que para </w:t>
      </w:r>
      <w:r w:rsidR="00633D73">
        <w:rPr>
          <w:rFonts w:ascii="Century Gothic" w:hAnsi="Century Gothic" w:eastAsia="Calibri" w:cs="Arial"/>
          <w:lang w:val="es-ES_tradnl"/>
        </w:rPr>
        <w:t xml:space="preserve">hacer efectivo las garantías que respalden dichos contratos, </w:t>
      </w:r>
      <w:r w:rsidR="00165EA5">
        <w:rPr>
          <w:rFonts w:ascii="Century Gothic" w:hAnsi="Century Gothic" w:eastAsia="Calibri" w:cs="Arial"/>
          <w:lang w:val="es-ES_tradnl"/>
        </w:rPr>
        <w:t xml:space="preserve">la entidad estatal sometida a un régimen especial en contratación </w:t>
      </w:r>
      <w:r w:rsidR="00165B9F">
        <w:rPr>
          <w:rFonts w:ascii="Century Gothic" w:hAnsi="Century Gothic" w:eastAsia="Calibri" w:cs="Arial"/>
          <w:lang w:val="es-ES_tradnl"/>
        </w:rPr>
        <w:t xml:space="preserve">debería seguir el procedimiento previsto para </w:t>
      </w:r>
      <w:r w:rsidR="00A0036A">
        <w:rPr>
          <w:rFonts w:ascii="Century Gothic" w:hAnsi="Century Gothic" w:eastAsia="Calibri" w:cs="Arial"/>
          <w:lang w:val="es-ES_tradnl"/>
        </w:rPr>
        <w:t xml:space="preserve">las </w:t>
      </w:r>
      <w:r w:rsidRPr="00757E7B" w:rsidR="00A0036A">
        <w:rPr>
          <w:rFonts w:ascii="Century Gothic" w:hAnsi="Century Gothic" w:eastAsia="Calibri" w:cs="Arial"/>
        </w:rPr>
        <w:t>declaratoria</w:t>
      </w:r>
      <w:r w:rsidRPr="00757E7B" w:rsidR="008D4241">
        <w:rPr>
          <w:rFonts w:ascii="Century Gothic" w:hAnsi="Century Gothic" w:eastAsia="Calibri" w:cs="Arial"/>
        </w:rPr>
        <w:t xml:space="preserve"> del siniestro </w:t>
      </w:r>
      <w:r w:rsidR="00A0036A">
        <w:rPr>
          <w:rFonts w:ascii="Century Gothic" w:hAnsi="Century Gothic" w:eastAsia="Calibri" w:cs="Arial"/>
        </w:rPr>
        <w:t xml:space="preserve">previsto en </w:t>
      </w:r>
      <w:r w:rsidRPr="00757E7B" w:rsidR="008D4241">
        <w:rPr>
          <w:rFonts w:ascii="Century Gothic" w:hAnsi="Century Gothic" w:eastAsia="Calibri" w:cs="Arial"/>
        </w:rPr>
        <w:t>las normas del Código de Comercio. Sobre el particular</w:t>
      </w:r>
      <w:r w:rsidR="00D24042">
        <w:rPr>
          <w:rFonts w:ascii="Century Gothic" w:hAnsi="Century Gothic" w:eastAsia="Calibri" w:cs="Arial"/>
        </w:rPr>
        <w:t>,</w:t>
      </w:r>
      <w:r w:rsidRPr="00757E7B" w:rsidR="008D4241">
        <w:rPr>
          <w:rFonts w:ascii="Century Gothic" w:hAnsi="Century Gothic" w:eastAsia="Calibri" w:cs="Arial"/>
        </w:rPr>
        <w:t xml:space="preserve"> </w:t>
      </w:r>
      <w:r w:rsidR="00D24042">
        <w:rPr>
          <w:rFonts w:ascii="Century Gothic" w:hAnsi="Century Gothic" w:eastAsia="Calibri" w:cs="Arial"/>
        </w:rPr>
        <w:t xml:space="preserve">el </w:t>
      </w:r>
      <w:r w:rsidRPr="00757E7B" w:rsidR="008D4241">
        <w:rPr>
          <w:rFonts w:ascii="Century Gothic" w:hAnsi="Century Gothic" w:eastAsia="Calibri" w:cs="Arial"/>
        </w:rPr>
        <w:t xml:space="preserve">artículo 1077 </w:t>
      </w:r>
      <w:r w:rsidR="00D24042">
        <w:rPr>
          <w:rFonts w:ascii="Century Gothic" w:hAnsi="Century Gothic" w:eastAsia="Calibri" w:cs="Arial"/>
        </w:rPr>
        <w:t xml:space="preserve">del Código de Comercio dispone </w:t>
      </w:r>
      <w:r w:rsidRPr="00757E7B" w:rsidR="008D4241">
        <w:rPr>
          <w:rFonts w:ascii="Century Gothic" w:hAnsi="Century Gothic" w:eastAsia="Calibri" w:cs="Arial"/>
        </w:rPr>
        <w:t xml:space="preserve">que le corresponde al asegurado demostrar la ocurrencia del </w:t>
      </w:r>
      <w:r w:rsidRPr="00757E7B" w:rsidR="0099722A">
        <w:rPr>
          <w:rFonts w:ascii="Century Gothic" w:hAnsi="Century Gothic" w:eastAsia="Calibri" w:cs="Arial"/>
        </w:rPr>
        <w:t>siniestro,</w:t>
      </w:r>
      <w:r w:rsidRPr="00757E7B" w:rsidR="008D4241">
        <w:rPr>
          <w:rFonts w:ascii="Century Gothic" w:hAnsi="Century Gothic" w:eastAsia="Calibri" w:cs="Arial"/>
        </w:rPr>
        <w:t xml:space="preserve"> así como la cuantía de la pérdida</w:t>
      </w:r>
      <w:r w:rsidR="0099722A">
        <w:rPr>
          <w:rFonts w:ascii="Century Gothic" w:hAnsi="Century Gothic" w:eastAsia="Calibri" w:cs="Arial"/>
        </w:rPr>
        <w:t xml:space="preserve">. </w:t>
      </w:r>
      <w:r w:rsidRPr="00757E7B" w:rsidR="008D4241">
        <w:rPr>
          <w:rFonts w:ascii="Century Gothic" w:hAnsi="Century Gothic" w:eastAsia="Calibri" w:cs="Arial"/>
        </w:rPr>
        <w:t xml:space="preserve">Para ello, conforme lo establece el artículo 1075 de Código de Comercio, el asegurado o el beneficiario estarán obligados a dar noticia al asegurador de la ocurrencia del siniestro, dentro de los tres días siguientes a la fecha en que lo hayan conocido o debido conocer. </w:t>
      </w:r>
    </w:p>
    <w:p w:rsidRPr="00757E7B" w:rsidR="008D4241" w:rsidP="00421CBC" w:rsidRDefault="008D4241" w14:paraId="4F09E9D3" w14:textId="12277F1A">
      <w:pPr>
        <w:spacing w:before="240" w:line="276" w:lineRule="auto"/>
        <w:ind w:firstLine="708"/>
        <w:jc w:val="both"/>
        <w:rPr>
          <w:rFonts w:ascii="Century Gothic" w:hAnsi="Century Gothic" w:eastAsia="Calibri" w:cs="Arial"/>
        </w:rPr>
      </w:pPr>
      <w:r w:rsidRPr="00757E7B">
        <w:rPr>
          <w:rFonts w:ascii="Century Gothic" w:hAnsi="Century Gothic" w:eastAsia="Calibri" w:cs="Arial"/>
        </w:rPr>
        <w:t xml:space="preserve">En caso de que la reclamación sea objetada por parte de la compañía de seguros, la entidad </w:t>
      </w:r>
      <w:r w:rsidR="00421CBC">
        <w:rPr>
          <w:rFonts w:ascii="Century Gothic" w:hAnsi="Century Gothic" w:eastAsia="Calibri" w:cs="Arial"/>
        </w:rPr>
        <w:t xml:space="preserve">estatal sometida al régimen especial, no le quedará más que </w:t>
      </w:r>
      <w:r w:rsidRPr="00757E7B">
        <w:rPr>
          <w:rFonts w:ascii="Century Gothic" w:hAnsi="Century Gothic" w:eastAsia="Calibri" w:cs="Arial"/>
        </w:rPr>
        <w:t xml:space="preserve">acudir al juez del contrato contra </w:t>
      </w:r>
      <w:r w:rsidR="00633C0C">
        <w:rPr>
          <w:rFonts w:ascii="Century Gothic" w:hAnsi="Century Gothic" w:eastAsia="Calibri" w:cs="Arial"/>
        </w:rPr>
        <w:t>el</w:t>
      </w:r>
      <w:r w:rsidRPr="00757E7B">
        <w:rPr>
          <w:rFonts w:ascii="Century Gothic" w:hAnsi="Century Gothic" w:eastAsia="Calibri" w:cs="Arial"/>
        </w:rPr>
        <w:t xml:space="preserve"> contratista, vinculando como tercero civilmente responsable a la aseguradora. De esta manera, en caso de que el contratista sea condenado, el juez podrá ordenar a la aseguradora el pago de los perjuicios hasta el monto pactado como valor asegurado.</w:t>
      </w:r>
    </w:p>
    <w:p w:rsidR="00681928" w:rsidP="00757E7B" w:rsidRDefault="00681928" w14:paraId="52CFF80B" w14:textId="6B0BB69B">
      <w:pPr>
        <w:pStyle w:val="Prrafodelista"/>
        <w:numPr>
          <w:ilvl w:val="0"/>
          <w:numId w:val="17"/>
        </w:numPr>
        <w:shd w:val="clear" w:color="auto" w:fill="FFFFFF" w:themeFill="background1"/>
        <w:spacing w:after="0" w:line="276" w:lineRule="auto"/>
        <w:jc w:val="both"/>
        <w:textAlignment w:val="baseline"/>
        <w:rPr>
          <w:rFonts w:ascii="Century Gothic" w:hAnsi="Century Gothic" w:eastAsia="Times New Roman" w:cs="Arial"/>
          <w:b/>
          <w:bCs/>
          <w:lang w:eastAsia="es-CO"/>
        </w:rPr>
      </w:pPr>
      <w:r w:rsidRPr="00757E7B">
        <w:rPr>
          <w:rFonts w:ascii="Century Gothic" w:hAnsi="Century Gothic" w:eastAsia="Times New Roman" w:cs="Arial"/>
          <w:b/>
          <w:bCs/>
          <w:lang w:eastAsia="es-CO"/>
        </w:rPr>
        <w:t>Respuesta</w:t>
      </w:r>
    </w:p>
    <w:p w:rsidR="009318B7" w:rsidP="009318B7" w:rsidRDefault="009318B7" w14:paraId="0D8A046F" w14:textId="77777777">
      <w:pPr>
        <w:shd w:val="clear" w:color="auto" w:fill="FFFFFF" w:themeFill="background1"/>
        <w:spacing w:after="0" w:line="276" w:lineRule="auto"/>
        <w:jc w:val="both"/>
        <w:textAlignment w:val="baseline"/>
        <w:rPr>
          <w:rFonts w:ascii="Century Gothic" w:hAnsi="Century Gothic" w:eastAsia="Times New Roman" w:cs="Arial"/>
          <w:b/>
          <w:bCs/>
          <w:lang w:eastAsia="es-CO"/>
        </w:rPr>
      </w:pPr>
    </w:p>
    <w:p w:rsidRPr="00757E7B" w:rsidR="009318B7" w:rsidP="009318B7" w:rsidRDefault="009318B7" w14:paraId="22F3A40D" w14:textId="77777777">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 xml:space="preserve">“1) Las EICE que se encuentran en competencia con el sector privado, y que pacten en el ejercicio de la autonomía de la voluntad de las partes, cláusulas sancionatorias en caso de incumplimiento total o parcial  </w:t>
      </w:r>
    </w:p>
    <w:p w:rsidRPr="00757E7B" w:rsidR="009318B7" w:rsidP="009318B7" w:rsidRDefault="009318B7" w14:paraId="77E95984" w14:textId="77777777">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1.1. ¿pueden hacer efectivas dichas cláusulas de forma directa a través de un proceso sancionatorio interno sin elevarlo al Juez el contrato?</w:t>
      </w:r>
    </w:p>
    <w:p w:rsidRPr="00757E7B" w:rsidR="009318B7" w:rsidP="009318B7" w:rsidRDefault="009318B7" w14:paraId="4E1C1224" w14:textId="77777777">
      <w:pPr>
        <w:spacing w:after="120" w:line="240" w:lineRule="auto"/>
        <w:ind w:left="709" w:right="709"/>
        <w:jc w:val="both"/>
        <w:rPr>
          <w:rFonts w:ascii="Century Gothic" w:hAnsi="Century Gothic" w:eastAsia="Times New Roman" w:cs="Arial"/>
          <w:sz w:val="21"/>
          <w:szCs w:val="21"/>
          <w:lang w:eastAsia="es-CO"/>
        </w:rPr>
      </w:pPr>
      <w:r w:rsidRPr="00757E7B">
        <w:rPr>
          <w:rFonts w:ascii="Century Gothic" w:hAnsi="Century Gothic" w:eastAsia="Times New Roman" w:cs="Arial"/>
          <w:sz w:val="21"/>
          <w:szCs w:val="21"/>
          <w:lang w:eastAsia="es-CO"/>
        </w:rPr>
        <w:t>1.2. En caso de ser viable ¿El proceso sancionatorio que se adelante por parte de la EICE, deberá surtirse conforme al artículo 86 de la Ley 1474 de 2011 o sería suficiente con aquél que se plasme en el contrato?”</w:t>
      </w:r>
    </w:p>
    <w:p w:rsidR="009318B7" w:rsidP="009318B7" w:rsidRDefault="009318B7" w14:paraId="16808B70" w14:textId="77777777">
      <w:pPr>
        <w:shd w:val="clear" w:color="auto" w:fill="FFFFFF" w:themeFill="background1"/>
        <w:spacing w:after="0" w:line="276" w:lineRule="auto"/>
        <w:jc w:val="both"/>
        <w:textAlignment w:val="baseline"/>
        <w:rPr>
          <w:rFonts w:ascii="Century Gothic" w:hAnsi="Century Gothic" w:eastAsia="Times New Roman" w:cs="Arial"/>
          <w:b/>
          <w:bCs/>
          <w:lang w:eastAsia="es-CO"/>
        </w:rPr>
      </w:pPr>
    </w:p>
    <w:p w:rsidR="0042642B" w:rsidP="00571C0D" w:rsidRDefault="0042642B" w14:paraId="784797E6" w14:textId="7F1C28F9">
      <w:pPr>
        <w:spacing w:line="276" w:lineRule="auto"/>
        <w:jc w:val="both"/>
        <w:rPr>
          <w:rFonts w:ascii="Century Gothic" w:hAnsi="Century Gothic" w:eastAsia="Times New Roman" w:cs="Arial"/>
          <w:lang w:eastAsia="es-CO"/>
        </w:rPr>
      </w:pPr>
      <w:r>
        <w:rPr>
          <w:rFonts w:ascii="Century Gothic" w:hAnsi="Century Gothic" w:eastAsia="Times New Roman" w:cs="Arial"/>
          <w:lang w:eastAsia="es-CO"/>
        </w:rPr>
        <w:t xml:space="preserve">De esta manera, para dar respuesta a sus consultas, se reitera que, si la Entidad Estatal le es aplicable el Estatuto General de la Contratación de la Administración Pública, le será aplicable el </w:t>
      </w:r>
      <w:r w:rsidRPr="00BE576F">
        <w:rPr>
          <w:rFonts w:ascii="Century Gothic" w:hAnsi="Century Gothic" w:eastAsia="Times New Roman" w:cs="Arial"/>
          <w:lang w:eastAsia="es-CO"/>
        </w:rPr>
        <w:t xml:space="preserve">procedimiento </w:t>
      </w:r>
      <w:r>
        <w:rPr>
          <w:rFonts w:ascii="Century Gothic" w:hAnsi="Century Gothic" w:eastAsia="Times New Roman" w:cs="Arial"/>
          <w:lang w:eastAsia="es-CO"/>
        </w:rPr>
        <w:t xml:space="preserve">sancionatorio </w:t>
      </w:r>
      <w:r w:rsidRPr="00BE576F">
        <w:rPr>
          <w:rFonts w:ascii="Century Gothic" w:hAnsi="Century Gothic" w:eastAsia="Times New Roman" w:cs="Arial"/>
          <w:lang w:eastAsia="es-CO"/>
        </w:rPr>
        <w:t>establecido por el artículo 86 de la Ley 1474 de 2011</w:t>
      </w:r>
      <w:r>
        <w:rPr>
          <w:rFonts w:ascii="Century Gothic" w:hAnsi="Century Gothic" w:eastAsia="Times New Roman" w:cs="Arial"/>
          <w:lang w:eastAsia="es-CO"/>
        </w:rPr>
        <w:t xml:space="preserve"> para la imposición de multas, la caducidad o hacer efectiva la cláusula penal. Por el contrario, si la Entidad Estatal cuenta con un régimen especial de contratación, no podrá aplicar el </w:t>
      </w:r>
      <w:r w:rsidRPr="00BE576F">
        <w:rPr>
          <w:rFonts w:ascii="Century Gothic" w:hAnsi="Century Gothic" w:eastAsia="Times New Roman" w:cs="Arial"/>
          <w:lang w:eastAsia="es-CO"/>
        </w:rPr>
        <w:t xml:space="preserve">procedimiento </w:t>
      </w:r>
      <w:r>
        <w:rPr>
          <w:rFonts w:ascii="Century Gothic" w:hAnsi="Century Gothic" w:eastAsia="Times New Roman" w:cs="Arial"/>
          <w:lang w:eastAsia="es-CO"/>
        </w:rPr>
        <w:t xml:space="preserve">sancionatorio </w:t>
      </w:r>
      <w:r w:rsidRPr="00BE576F">
        <w:rPr>
          <w:rFonts w:ascii="Century Gothic" w:hAnsi="Century Gothic" w:eastAsia="Times New Roman" w:cs="Arial"/>
          <w:lang w:eastAsia="es-CO"/>
        </w:rPr>
        <w:t>establecido por el artículo 86 de la Ley 1474 de 201</w:t>
      </w:r>
      <w:r>
        <w:rPr>
          <w:rFonts w:ascii="Century Gothic" w:hAnsi="Century Gothic" w:eastAsia="Times New Roman" w:cs="Arial"/>
          <w:lang w:eastAsia="es-CO"/>
        </w:rPr>
        <w:t xml:space="preserve">1. </w:t>
      </w:r>
    </w:p>
    <w:p w:rsidR="00873A5C" w:rsidP="0042642B" w:rsidRDefault="0042642B" w14:paraId="0AF12656" w14:textId="2A5401F8">
      <w:pPr>
        <w:spacing w:line="276" w:lineRule="auto"/>
        <w:ind w:firstLine="708"/>
        <w:jc w:val="both"/>
        <w:rPr>
          <w:rFonts w:ascii="Century Gothic" w:hAnsi="Century Gothic" w:eastAsia="Calibri" w:cs="Arial"/>
          <w:lang w:val="es-ES_tradnl"/>
        </w:rPr>
      </w:pPr>
      <w:r>
        <w:rPr>
          <w:rFonts w:ascii="Century Gothic" w:hAnsi="Century Gothic" w:eastAsia="Times New Roman" w:cs="Arial"/>
          <w:lang w:eastAsia="es-CO"/>
        </w:rPr>
        <w:t>Ahora bien, se reitera que existen dos posturas vigentes en el Consejo de Estado</w:t>
      </w:r>
      <w:r w:rsidR="00A619D2">
        <w:rPr>
          <w:rFonts w:ascii="Century Gothic" w:hAnsi="Century Gothic" w:eastAsia="Times New Roman" w:cs="Arial"/>
          <w:lang w:eastAsia="es-CO"/>
        </w:rPr>
        <w:t xml:space="preserve"> sin unificación</w:t>
      </w:r>
      <w:r>
        <w:rPr>
          <w:rFonts w:ascii="Century Gothic" w:hAnsi="Century Gothic" w:eastAsia="Times New Roman" w:cs="Arial"/>
          <w:lang w:eastAsia="es-CO"/>
        </w:rPr>
        <w:t xml:space="preserve">, la primera de ella, sobre la posibilidad de que entidades con </w:t>
      </w:r>
      <w:r w:rsidRPr="00930D92">
        <w:rPr>
          <w:rFonts w:ascii="Century Gothic" w:hAnsi="Century Gothic" w:eastAsia="Calibri" w:cs="Arial"/>
          <w:lang w:val="es-ES_tradnl"/>
        </w:rPr>
        <w:t>régimen especial</w:t>
      </w:r>
      <w:r>
        <w:rPr>
          <w:rFonts w:ascii="Century Gothic" w:hAnsi="Century Gothic" w:eastAsia="Calibri" w:cs="Arial"/>
          <w:lang w:val="es-ES_tradnl"/>
        </w:rPr>
        <w:t xml:space="preserve"> de contratación puedan </w:t>
      </w:r>
      <w:r w:rsidRPr="00930D92">
        <w:rPr>
          <w:rFonts w:ascii="Century Gothic" w:hAnsi="Century Gothic" w:eastAsia="Calibri" w:cs="Arial"/>
          <w:lang w:val="es-ES_tradnl"/>
        </w:rPr>
        <w:t>pactar en el contrato que</w:t>
      </w:r>
      <w:r>
        <w:rPr>
          <w:rFonts w:ascii="Century Gothic" w:hAnsi="Century Gothic" w:eastAsia="Calibri" w:cs="Arial"/>
          <w:lang w:val="es-ES_tradnl"/>
        </w:rPr>
        <w:t>,</w:t>
      </w:r>
      <w:r w:rsidRPr="00930D92">
        <w:rPr>
          <w:rFonts w:ascii="Century Gothic" w:hAnsi="Century Gothic" w:eastAsia="Calibri" w:cs="Arial"/>
          <w:lang w:val="es-ES_tradnl"/>
        </w:rPr>
        <w:t xml:space="preserve"> ante el incumplimiento del contratista</w:t>
      </w:r>
      <w:r>
        <w:rPr>
          <w:rFonts w:ascii="Century Gothic" w:hAnsi="Century Gothic" w:eastAsia="Calibri" w:cs="Arial"/>
          <w:lang w:val="es-ES_tradnl"/>
        </w:rPr>
        <w:t>,</w:t>
      </w:r>
      <w:r w:rsidRPr="00930D92">
        <w:rPr>
          <w:rFonts w:ascii="Century Gothic" w:hAnsi="Century Gothic" w:eastAsia="Calibri" w:cs="Arial"/>
          <w:lang w:val="es-ES_tradnl"/>
        </w:rPr>
        <w:t xml:space="preserve"> se activará el derecho al pago de sanciones como la multa o la cláusula penal </w:t>
      </w:r>
      <w:r>
        <w:rPr>
          <w:rFonts w:ascii="Century Gothic" w:hAnsi="Century Gothic" w:eastAsia="Calibri" w:cs="Arial"/>
          <w:lang w:val="es-ES_tradnl"/>
        </w:rPr>
        <w:t>p</w:t>
      </w:r>
      <w:r w:rsidRPr="00930D92">
        <w:rPr>
          <w:rFonts w:ascii="Century Gothic" w:hAnsi="Century Gothic" w:eastAsia="Calibri" w:cs="Arial"/>
          <w:lang w:val="es-ES_tradnl"/>
        </w:rPr>
        <w:t>ecuniaria</w:t>
      </w:r>
      <w:r>
        <w:rPr>
          <w:rFonts w:ascii="Century Gothic" w:hAnsi="Century Gothic" w:eastAsia="Calibri" w:cs="Arial"/>
          <w:lang w:val="es-ES_tradnl"/>
        </w:rPr>
        <w:t>, y e</w:t>
      </w:r>
      <w:r w:rsidRPr="00930D92">
        <w:rPr>
          <w:rFonts w:ascii="Century Gothic" w:hAnsi="Century Gothic" w:eastAsia="Calibri" w:cs="Arial"/>
          <w:lang w:val="es-ES_tradnl"/>
        </w:rPr>
        <w:t>stas sanciones p</w:t>
      </w:r>
      <w:r>
        <w:rPr>
          <w:rFonts w:ascii="Century Gothic" w:hAnsi="Century Gothic" w:eastAsia="Calibri" w:cs="Arial"/>
          <w:lang w:val="es-ES_tradnl"/>
        </w:rPr>
        <w:t>uedan</w:t>
      </w:r>
      <w:r w:rsidRPr="00930D92">
        <w:rPr>
          <w:rFonts w:ascii="Century Gothic" w:hAnsi="Century Gothic" w:eastAsia="Calibri" w:cs="Arial"/>
          <w:lang w:val="es-ES_tradnl"/>
        </w:rPr>
        <w:t xml:space="preserve"> ser ejecutadas directamente por la entidad </w:t>
      </w:r>
      <w:r>
        <w:rPr>
          <w:rFonts w:ascii="Century Gothic" w:hAnsi="Century Gothic" w:eastAsia="Calibri" w:cs="Arial"/>
          <w:lang w:val="es-ES_tradnl"/>
        </w:rPr>
        <w:t>a través de actos unilaterales de derecho privado y, por el contrario, la segunda postura que restringe dicha posibilidad y contempla que ante esas circunstancias se deba a</w:t>
      </w:r>
      <w:r w:rsidRPr="00930D92">
        <w:rPr>
          <w:rFonts w:ascii="Century Gothic" w:hAnsi="Century Gothic" w:eastAsia="Calibri" w:cs="Arial"/>
          <w:lang w:val="es-ES_tradnl"/>
        </w:rPr>
        <w:t>cud</w:t>
      </w:r>
      <w:r>
        <w:rPr>
          <w:rFonts w:ascii="Century Gothic" w:hAnsi="Century Gothic" w:eastAsia="Calibri" w:cs="Arial"/>
          <w:lang w:val="es-ES_tradnl"/>
        </w:rPr>
        <w:t>ir</w:t>
      </w:r>
      <w:r w:rsidRPr="00930D92">
        <w:rPr>
          <w:rFonts w:ascii="Century Gothic" w:hAnsi="Century Gothic" w:eastAsia="Calibri" w:cs="Arial"/>
          <w:lang w:val="es-ES_tradnl"/>
        </w:rPr>
        <w:t xml:space="preserve"> </w:t>
      </w:r>
      <w:r>
        <w:rPr>
          <w:rFonts w:ascii="Century Gothic" w:hAnsi="Century Gothic" w:eastAsia="Calibri" w:cs="Arial"/>
          <w:lang w:val="es-ES_tradnl"/>
        </w:rPr>
        <w:t xml:space="preserve">al Juez del contrato. </w:t>
      </w:r>
    </w:p>
    <w:p w:rsidR="00A07B15" w:rsidP="0042642B" w:rsidRDefault="0042642B" w14:paraId="189DCFCF" w14:textId="0281CFD7">
      <w:pPr>
        <w:spacing w:line="276" w:lineRule="auto"/>
        <w:ind w:firstLine="708"/>
        <w:jc w:val="both"/>
        <w:rPr>
          <w:rFonts w:ascii="Century Gothic" w:hAnsi="Century Gothic" w:eastAsia="Calibri" w:cs="Arial"/>
          <w:lang w:val="es-ES_tradnl"/>
        </w:rPr>
      </w:pPr>
      <w:r>
        <w:rPr>
          <w:rFonts w:ascii="Century Gothic" w:hAnsi="Century Gothic" w:eastAsia="Calibri" w:cs="Arial"/>
          <w:lang w:val="es-ES_tradnl"/>
        </w:rPr>
        <w:t>En todo caso, se aclara que de asumir la postura de que e</w:t>
      </w:r>
      <w:r w:rsidRPr="00930D92">
        <w:rPr>
          <w:rFonts w:ascii="Century Gothic" w:hAnsi="Century Gothic" w:eastAsia="Calibri" w:cs="Arial"/>
          <w:lang w:val="es-ES_tradnl"/>
        </w:rPr>
        <w:t>stas sanciones p</w:t>
      </w:r>
      <w:r>
        <w:rPr>
          <w:rFonts w:ascii="Century Gothic" w:hAnsi="Century Gothic" w:eastAsia="Calibri" w:cs="Arial"/>
          <w:lang w:val="es-ES_tradnl"/>
        </w:rPr>
        <w:t>uedan</w:t>
      </w:r>
      <w:r w:rsidRPr="00930D92">
        <w:rPr>
          <w:rFonts w:ascii="Century Gothic" w:hAnsi="Century Gothic" w:eastAsia="Calibri" w:cs="Arial"/>
          <w:lang w:val="es-ES_tradnl"/>
        </w:rPr>
        <w:t xml:space="preserve"> ser </w:t>
      </w:r>
      <w:r>
        <w:rPr>
          <w:rFonts w:ascii="Century Gothic" w:hAnsi="Century Gothic" w:eastAsia="Calibri" w:cs="Arial"/>
          <w:lang w:val="es-ES_tradnl"/>
        </w:rPr>
        <w:t>declaradas</w:t>
      </w:r>
      <w:r w:rsidRPr="00930D92">
        <w:rPr>
          <w:rFonts w:ascii="Century Gothic" w:hAnsi="Century Gothic" w:eastAsia="Calibri" w:cs="Arial"/>
          <w:lang w:val="es-ES_tradnl"/>
        </w:rPr>
        <w:t xml:space="preserve"> directamente por la entidad </w:t>
      </w:r>
      <w:r>
        <w:rPr>
          <w:rFonts w:ascii="Century Gothic" w:hAnsi="Century Gothic" w:eastAsia="Calibri" w:cs="Arial"/>
          <w:lang w:val="es-ES_tradnl"/>
        </w:rPr>
        <w:t xml:space="preserve">a través de actos unilaterales de derecho privado, se debe tener en cuenta </w:t>
      </w:r>
      <w:r w:rsidR="005A6686">
        <w:rPr>
          <w:rFonts w:ascii="Century Gothic" w:hAnsi="Century Gothic" w:eastAsia="Calibri" w:cs="Arial"/>
          <w:lang w:val="es-ES_tradnl"/>
        </w:rPr>
        <w:t xml:space="preserve">el procedimiento </w:t>
      </w:r>
      <w:r w:rsidR="002C0915">
        <w:rPr>
          <w:rFonts w:ascii="Century Gothic" w:hAnsi="Century Gothic" w:eastAsia="Calibri" w:cs="Arial"/>
          <w:lang w:val="es-ES_tradnl"/>
        </w:rPr>
        <w:t xml:space="preserve">a seguir será el </w:t>
      </w:r>
      <w:r w:rsidR="005A6686">
        <w:rPr>
          <w:rFonts w:ascii="Century Gothic" w:hAnsi="Century Gothic" w:eastAsia="Calibri" w:cs="Arial"/>
          <w:lang w:val="es-ES_tradnl"/>
        </w:rPr>
        <w:t xml:space="preserve">previsto exclusivamente en sus respectivos manuales de contratación sobre </w:t>
      </w:r>
      <w:r w:rsidRPr="00757E7B" w:rsidR="005A6686">
        <w:rPr>
          <w:rFonts w:ascii="Century Gothic" w:hAnsi="Century Gothic" w:eastAsia="Calibri" w:cs="Arial"/>
          <w:color w:val="000000" w:themeColor="text1"/>
          <w:lang w:val="es-ES_tradnl"/>
        </w:rPr>
        <w:t xml:space="preserve">la responsabilidad contractual, y </w:t>
      </w:r>
      <w:r w:rsidR="005A6686">
        <w:rPr>
          <w:rFonts w:ascii="Century Gothic" w:hAnsi="Century Gothic" w:eastAsia="Calibri" w:cs="Arial"/>
          <w:color w:val="000000" w:themeColor="text1"/>
          <w:lang w:val="es-ES_tradnl"/>
        </w:rPr>
        <w:t xml:space="preserve">ante la </w:t>
      </w:r>
      <w:r w:rsidRPr="00757E7B" w:rsidR="005A6686">
        <w:rPr>
          <w:rFonts w:ascii="Century Gothic" w:hAnsi="Century Gothic" w:eastAsia="Calibri" w:cs="Arial"/>
          <w:color w:val="000000" w:themeColor="text1"/>
          <w:lang w:val="es-ES_tradnl"/>
        </w:rPr>
        <w:t>ausencia de tales disposiciones en el reglamento interno de contratación de la entidad exceptuada debe</w:t>
      </w:r>
      <w:r w:rsidR="005A6686">
        <w:rPr>
          <w:rFonts w:ascii="Century Gothic" w:hAnsi="Century Gothic" w:eastAsia="Calibri" w:cs="Arial"/>
          <w:color w:val="000000" w:themeColor="text1"/>
          <w:lang w:val="es-ES_tradnl"/>
        </w:rPr>
        <w:t>rá</w:t>
      </w:r>
      <w:r w:rsidRPr="00757E7B" w:rsidR="005A6686">
        <w:rPr>
          <w:rFonts w:ascii="Century Gothic" w:hAnsi="Century Gothic" w:eastAsia="Calibri" w:cs="Arial"/>
          <w:color w:val="000000" w:themeColor="text1"/>
          <w:lang w:val="es-ES_tradnl"/>
        </w:rPr>
        <w:t xml:space="preserve"> suplirse con las normas del Código Civil y del Código de Comercio</w:t>
      </w:r>
      <w:r w:rsidRPr="00757E7B" w:rsidR="005A6686">
        <w:rPr>
          <w:rStyle w:val="Refdenotaalpie"/>
          <w:rFonts w:ascii="Century Gothic" w:hAnsi="Century Gothic" w:eastAsia="Calibri" w:cs="Arial"/>
          <w:color w:val="000000" w:themeColor="text1"/>
          <w:lang w:val="es-ES_tradnl"/>
        </w:rPr>
        <w:footnoteReference w:id="33"/>
      </w:r>
      <w:r w:rsidRPr="00757E7B" w:rsidR="005A6686">
        <w:rPr>
          <w:rFonts w:ascii="Century Gothic" w:hAnsi="Century Gothic" w:eastAsia="Calibri" w:cs="Arial"/>
          <w:color w:val="000000" w:themeColor="text1"/>
          <w:lang w:val="es-ES_tradnl"/>
        </w:rPr>
        <w:t>, con la costumbre mercantil</w:t>
      </w:r>
      <w:r w:rsidRPr="00757E7B" w:rsidR="005A6686">
        <w:rPr>
          <w:rStyle w:val="Refdenotaalpie"/>
          <w:rFonts w:ascii="Century Gothic" w:hAnsi="Century Gothic" w:eastAsia="Calibri" w:cs="Arial"/>
          <w:color w:val="000000" w:themeColor="text1"/>
          <w:lang w:val="es-ES_tradnl"/>
        </w:rPr>
        <w:footnoteReference w:id="34"/>
      </w:r>
      <w:r w:rsidRPr="00757E7B" w:rsidR="005A6686">
        <w:rPr>
          <w:rFonts w:ascii="Century Gothic" w:hAnsi="Century Gothic" w:eastAsia="Calibri" w:cs="Arial"/>
          <w:color w:val="000000" w:themeColor="text1"/>
          <w:lang w:val="es-ES_tradnl"/>
        </w:rPr>
        <w:t xml:space="preserve"> y con los principios generales que rigen las relaciones contractuales de los particulares, que ingresan dentro de la categoría de la </w:t>
      </w:r>
      <w:r w:rsidRPr="00757E7B" w:rsidR="005A6686">
        <w:rPr>
          <w:rFonts w:ascii="Century Gothic" w:hAnsi="Century Gothic" w:eastAsia="Calibri" w:cs="Arial"/>
          <w:i/>
          <w:color w:val="000000" w:themeColor="text1"/>
          <w:lang w:val="es-ES_tradnl"/>
        </w:rPr>
        <w:t xml:space="preserve">lex </w:t>
      </w:r>
      <w:proofErr w:type="spellStart"/>
      <w:r w:rsidRPr="00757E7B" w:rsidR="005A6686">
        <w:rPr>
          <w:rFonts w:ascii="Century Gothic" w:hAnsi="Century Gothic" w:eastAsia="Calibri" w:cs="Arial"/>
          <w:i/>
          <w:color w:val="000000" w:themeColor="text1"/>
          <w:lang w:val="es-ES_tradnl"/>
        </w:rPr>
        <w:t>mercatoria</w:t>
      </w:r>
      <w:proofErr w:type="spellEnd"/>
      <w:r w:rsidRPr="00757E7B" w:rsidR="005A6686">
        <w:rPr>
          <w:rStyle w:val="Refdenotaalpie"/>
          <w:rFonts w:ascii="Century Gothic" w:hAnsi="Century Gothic" w:eastAsia="Calibri" w:cs="Arial"/>
          <w:color w:val="000000" w:themeColor="text1"/>
          <w:lang w:val="es-ES_tradnl"/>
        </w:rPr>
        <w:footnoteReference w:id="35"/>
      </w:r>
      <w:r w:rsidR="00575CA0">
        <w:rPr>
          <w:rFonts w:ascii="Century Gothic" w:hAnsi="Century Gothic" w:eastAsia="Calibri" w:cs="Arial"/>
          <w:color w:val="000000" w:themeColor="text1"/>
          <w:lang w:val="es-ES_tradnl"/>
        </w:rPr>
        <w:t xml:space="preserve">. Lo anterior, sin obviar que </w:t>
      </w:r>
      <w:r w:rsidR="00E31B00">
        <w:rPr>
          <w:rFonts w:ascii="Century Gothic" w:hAnsi="Century Gothic" w:eastAsia="Calibri" w:cs="Arial"/>
          <w:color w:val="000000" w:themeColor="text1"/>
          <w:lang w:val="es-ES_tradnl"/>
        </w:rPr>
        <w:t>a estas entidades</w:t>
      </w:r>
      <w:r>
        <w:rPr>
          <w:rFonts w:ascii="Century Gothic" w:hAnsi="Century Gothic" w:eastAsia="Calibri" w:cs="Arial"/>
          <w:lang w:val="es-ES_tradnl"/>
        </w:rPr>
        <w:t xml:space="preserve"> al serle aplicable los principios de la función administrativa, debe</w:t>
      </w:r>
      <w:r w:rsidR="00D11B80">
        <w:rPr>
          <w:rFonts w:ascii="Century Gothic" w:hAnsi="Century Gothic" w:eastAsia="Calibri" w:cs="Arial"/>
          <w:lang w:val="es-ES_tradnl"/>
        </w:rPr>
        <w:t>n de</w:t>
      </w:r>
      <w:r>
        <w:rPr>
          <w:rFonts w:ascii="Century Gothic" w:hAnsi="Century Gothic" w:eastAsia="Calibri" w:cs="Arial"/>
          <w:lang w:val="es-ES_tradnl"/>
        </w:rPr>
        <w:t xml:space="preserve"> garantizar en la expedición de dichos actos</w:t>
      </w:r>
      <w:r w:rsidR="00E31B00">
        <w:rPr>
          <w:rFonts w:ascii="Century Gothic" w:hAnsi="Century Gothic" w:eastAsia="Calibri" w:cs="Arial"/>
          <w:lang w:val="es-ES_tradnl"/>
        </w:rPr>
        <w:t xml:space="preserve"> </w:t>
      </w:r>
      <w:r>
        <w:rPr>
          <w:rFonts w:ascii="Century Gothic" w:hAnsi="Century Gothic" w:eastAsia="Calibri" w:cs="Arial"/>
          <w:lang w:val="es-ES_tradnl"/>
        </w:rPr>
        <w:t>el respeto por el debido proceso</w:t>
      </w:r>
      <w:r w:rsidR="00A07B15">
        <w:rPr>
          <w:rFonts w:ascii="Century Gothic" w:hAnsi="Century Gothic" w:eastAsia="Calibri" w:cs="Arial"/>
          <w:lang w:val="es-ES_tradnl"/>
        </w:rPr>
        <w:t xml:space="preserve">, que </w:t>
      </w:r>
      <w:r w:rsidR="002C0915">
        <w:rPr>
          <w:rFonts w:ascii="Century Gothic" w:hAnsi="Century Gothic" w:eastAsia="Calibri" w:cs="Arial"/>
          <w:lang w:val="es-ES_tradnl"/>
        </w:rPr>
        <w:t>incorpora</w:t>
      </w:r>
      <w:r w:rsidR="00A07B15">
        <w:rPr>
          <w:rFonts w:ascii="Century Gothic" w:hAnsi="Century Gothic" w:eastAsia="Calibri" w:cs="Arial"/>
          <w:lang w:val="es-ES_tradnl"/>
        </w:rPr>
        <w:t xml:space="preserve"> </w:t>
      </w:r>
      <w:r w:rsidR="00245724">
        <w:rPr>
          <w:rFonts w:ascii="Century Gothic" w:hAnsi="Century Gothic" w:eastAsia="Calibri" w:cs="Arial"/>
          <w:lang w:val="es-ES_tradnl"/>
        </w:rPr>
        <w:t>el derecho</w:t>
      </w:r>
      <w:r w:rsidR="00A07B15">
        <w:rPr>
          <w:rFonts w:ascii="Century Gothic" w:hAnsi="Century Gothic" w:eastAsia="Calibri" w:cs="Arial"/>
          <w:lang w:val="es-ES_tradnl"/>
        </w:rPr>
        <w:t xml:space="preserve"> a la </w:t>
      </w:r>
      <w:r w:rsidR="002C0915">
        <w:rPr>
          <w:rFonts w:ascii="Century Gothic" w:hAnsi="Century Gothic" w:eastAsia="Calibri" w:cs="Arial"/>
          <w:lang w:val="es-ES_tradnl"/>
        </w:rPr>
        <w:t>defesa</w:t>
      </w:r>
      <w:r w:rsidR="00A07B15">
        <w:rPr>
          <w:rFonts w:ascii="Century Gothic" w:hAnsi="Century Gothic" w:eastAsia="Calibri" w:cs="Arial"/>
          <w:lang w:val="es-ES_tradnl"/>
        </w:rPr>
        <w:t xml:space="preserve"> y contradicción.</w:t>
      </w:r>
    </w:p>
    <w:p w:rsidRPr="00930D92" w:rsidR="0042642B" w:rsidP="0042642B" w:rsidRDefault="00D11B80" w14:paraId="6D9B47D1" w14:textId="0CF037FF">
      <w:pPr>
        <w:spacing w:line="276" w:lineRule="auto"/>
        <w:ind w:firstLine="708"/>
        <w:jc w:val="both"/>
        <w:rPr>
          <w:rFonts w:ascii="Century Gothic" w:hAnsi="Century Gothic" w:eastAsia="Calibri" w:cs="Arial"/>
        </w:rPr>
      </w:pPr>
      <w:r>
        <w:rPr>
          <w:rFonts w:ascii="Century Gothic" w:hAnsi="Century Gothic" w:eastAsia="Calibri" w:cs="Arial"/>
          <w:lang w:val="es-ES_tradnl"/>
        </w:rPr>
        <w:t>Igualmente,</w:t>
      </w:r>
      <w:r w:rsidR="00A07B15">
        <w:rPr>
          <w:rFonts w:ascii="Century Gothic" w:hAnsi="Century Gothic" w:eastAsia="Calibri" w:cs="Arial"/>
          <w:lang w:val="es-ES_tradnl"/>
        </w:rPr>
        <w:t xml:space="preserve"> </w:t>
      </w:r>
      <w:r w:rsidR="000D075D">
        <w:rPr>
          <w:rFonts w:ascii="Century Gothic" w:hAnsi="Century Gothic" w:cs="Times New Roman"/>
          <w:lang w:eastAsia="es-CO"/>
        </w:rPr>
        <w:t>estas entidades exceptuadas al EGCAP deberán</w:t>
      </w:r>
      <w:r w:rsidR="0042642B">
        <w:rPr>
          <w:rFonts w:ascii="Century Gothic" w:hAnsi="Century Gothic" w:cs="Times New Roman"/>
          <w:lang w:eastAsia="es-CO"/>
        </w:rPr>
        <w:t xml:space="preserve"> tener en cuenta que </w:t>
      </w:r>
      <w:r w:rsidR="0042642B">
        <w:rPr>
          <w:rFonts w:ascii="Century Gothic" w:hAnsi="Century Gothic" w:eastAsia="Calibri" w:cs="Arial"/>
          <w:lang w:val="es-ES_tradnl"/>
        </w:rPr>
        <w:t>para la</w:t>
      </w:r>
      <w:r w:rsidRPr="00930D92" w:rsidR="0042642B">
        <w:rPr>
          <w:rFonts w:ascii="Century Gothic" w:hAnsi="Century Gothic" w:eastAsia="Calibri" w:cs="Arial"/>
        </w:rPr>
        <w:t xml:space="preserve"> declaratoria del siniestro que da lugar al cobro de </w:t>
      </w:r>
      <w:r w:rsidRPr="00930D92" w:rsidR="000D075D">
        <w:rPr>
          <w:rFonts w:ascii="Century Gothic" w:hAnsi="Century Gothic" w:eastAsia="Calibri" w:cs="Arial"/>
        </w:rPr>
        <w:t>los seguros</w:t>
      </w:r>
      <w:r w:rsidR="00B846EB">
        <w:rPr>
          <w:rFonts w:ascii="Century Gothic" w:hAnsi="Century Gothic" w:eastAsia="Calibri" w:cs="Arial"/>
        </w:rPr>
        <w:t xml:space="preserve"> que respalden el </w:t>
      </w:r>
      <w:r w:rsidRPr="00930D92" w:rsidR="0042642B">
        <w:rPr>
          <w:rFonts w:ascii="Century Gothic" w:hAnsi="Century Gothic" w:eastAsia="Calibri" w:cs="Arial"/>
        </w:rPr>
        <w:t>cumplimiento</w:t>
      </w:r>
      <w:r w:rsidR="0042642B">
        <w:rPr>
          <w:rFonts w:ascii="Century Gothic" w:hAnsi="Century Gothic" w:eastAsia="Calibri" w:cs="Arial"/>
        </w:rPr>
        <w:t xml:space="preserve"> </w:t>
      </w:r>
      <w:r w:rsidR="00F1292B">
        <w:rPr>
          <w:rFonts w:ascii="Century Gothic" w:hAnsi="Century Gothic" w:eastAsia="Calibri" w:cs="Arial"/>
        </w:rPr>
        <w:t xml:space="preserve">del contrato </w:t>
      </w:r>
      <w:r w:rsidR="0042642B">
        <w:rPr>
          <w:rFonts w:ascii="Century Gothic" w:hAnsi="Century Gothic" w:eastAsia="Calibri" w:cs="Arial"/>
        </w:rPr>
        <w:t xml:space="preserve">se </w:t>
      </w:r>
      <w:r w:rsidRPr="00930D92" w:rsidR="0042642B">
        <w:rPr>
          <w:rFonts w:ascii="Century Gothic" w:hAnsi="Century Gothic" w:eastAsia="Calibri" w:cs="Arial"/>
        </w:rPr>
        <w:t>deben seguir las normas del Código de Comercio</w:t>
      </w:r>
      <w:r w:rsidR="0042642B">
        <w:rPr>
          <w:rFonts w:ascii="Century Gothic" w:hAnsi="Century Gothic" w:eastAsia="Calibri" w:cs="Arial"/>
        </w:rPr>
        <w:t>, previamente citadas</w:t>
      </w:r>
      <w:r w:rsidR="000D075D">
        <w:rPr>
          <w:rFonts w:ascii="Century Gothic" w:hAnsi="Century Gothic" w:eastAsia="Calibri" w:cs="Arial"/>
        </w:rPr>
        <w:t xml:space="preserve"> en la parte considerativa de este concepto</w:t>
      </w:r>
      <w:r w:rsidR="0042642B">
        <w:rPr>
          <w:rFonts w:ascii="Century Gothic" w:hAnsi="Century Gothic" w:eastAsia="Calibri" w:cs="Arial"/>
        </w:rPr>
        <w:t>.</w:t>
      </w:r>
    </w:p>
    <w:p w:rsidRPr="00757E7B" w:rsidR="008D4241" w:rsidP="00571C0D" w:rsidRDefault="008D4241" w14:paraId="3C4C97AC" w14:textId="77777777">
      <w:pPr>
        <w:shd w:val="clear" w:color="auto" w:fill="FFFFFF" w:themeFill="background1"/>
        <w:spacing w:before="240" w:after="0" w:line="276" w:lineRule="auto"/>
        <w:ind w:firstLine="708"/>
        <w:jc w:val="both"/>
        <w:textAlignment w:val="baseline"/>
        <w:rPr>
          <w:rFonts w:ascii="Century Gothic" w:hAnsi="Century Gothic" w:cs="Arial"/>
          <w:color w:val="000000" w:themeColor="text1"/>
          <w:lang w:eastAsia="es-MX"/>
        </w:rPr>
      </w:pPr>
      <w:r w:rsidRPr="00757E7B">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757E7B" w:rsidR="00681928" w:rsidP="00757E7B" w:rsidRDefault="00681928" w14:paraId="5D5116E7" w14:textId="77777777">
      <w:pPr>
        <w:spacing w:after="0" w:line="276" w:lineRule="auto"/>
        <w:rPr>
          <w:rFonts w:ascii="Century Gothic" w:hAnsi="Century Gothic" w:cs="Arial"/>
          <w:lang w:eastAsia="es-CO"/>
        </w:rPr>
      </w:pPr>
    </w:p>
    <w:p w:rsidRPr="00757E7B" w:rsidR="00701B0A" w:rsidP="00757E7B" w:rsidRDefault="00701B0A" w14:paraId="3787E2C3" w14:textId="3B30E1BE">
      <w:pPr>
        <w:spacing w:after="0" w:line="276" w:lineRule="auto"/>
        <w:rPr>
          <w:rFonts w:ascii="Century Gothic" w:hAnsi="Century Gothic" w:cs="Arial"/>
          <w:lang w:eastAsia="es-CO"/>
        </w:rPr>
      </w:pPr>
      <w:r w:rsidRPr="00757E7B">
        <w:rPr>
          <w:rFonts w:ascii="Century Gothic" w:hAnsi="Century Gothic" w:cs="Arial"/>
          <w:lang w:eastAsia="es-CO"/>
        </w:rPr>
        <w:t>Atentamente,</w:t>
      </w:r>
    </w:p>
    <w:p w:rsidRPr="00757E7B" w:rsidR="00701B0A" w:rsidP="00757E7B" w:rsidRDefault="006B6BB3" w14:paraId="731316B9" w14:textId="1B765B43">
      <w:pPr>
        <w:pStyle w:val="NormalWeb"/>
        <w:spacing w:before="0" w:beforeAutospacing="0" w:after="0" w:afterAutospacing="0" w:line="276" w:lineRule="auto"/>
        <w:jc w:val="center"/>
        <w:rPr>
          <w:rFonts w:ascii="Century Gothic" w:hAnsi="Century Gothic" w:cs="Arial"/>
          <w:sz w:val="22"/>
          <w:szCs w:val="22"/>
          <w:lang w:val="es-ES_tradnl"/>
        </w:rPr>
      </w:pPr>
      <w:r w:rsidRPr="001B7209">
        <w:rPr>
          <w:rFonts w:ascii="Century Gothic" w:hAnsi="Century Gothic"/>
          <w:noProof/>
        </w:rPr>
        <w:drawing>
          <wp:inline distT="0" distB="0" distL="0" distR="0" wp14:anchorId="2697E88A" wp14:editId="2CC0CFC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rsidRPr="00757E7B" w:rsidR="00701B0A" w:rsidP="00757E7B" w:rsidRDefault="00701B0A" w14:paraId="3E5BA6C7" w14:textId="77777777">
      <w:pPr>
        <w:pStyle w:val="NormalWeb"/>
        <w:spacing w:before="0" w:beforeAutospacing="0" w:after="0" w:afterAutospacing="0" w:line="276" w:lineRule="auto"/>
        <w:jc w:val="center"/>
        <w:rPr>
          <w:rFonts w:ascii="Century Gothic" w:hAnsi="Century Gothic" w:cs="Arial"/>
          <w:sz w:val="22"/>
          <w:szCs w:val="22"/>
          <w:lang w:val="es-ES_tradnl"/>
        </w:rPr>
      </w:pPr>
    </w:p>
    <w:tbl>
      <w:tblPr>
        <w:tblW w:w="55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9"/>
        <w:gridCol w:w="4785"/>
      </w:tblGrid>
      <w:tr w:rsidRPr="00D90F9F" w:rsidR="00701B0A" w:rsidTr="00D90F9F" w14:paraId="2D71D6B5" w14:textId="77777777">
        <w:trPr>
          <w:trHeight w:val="318"/>
        </w:trPr>
        <w:tc>
          <w:tcPr>
            <w:tcW w:w="769" w:type="dxa"/>
            <w:tcBorders>
              <w:top w:val="nil"/>
              <w:left w:val="nil"/>
              <w:bottom w:val="nil"/>
              <w:right w:val="nil"/>
            </w:tcBorders>
            <w:vAlign w:val="center"/>
            <w:hideMark/>
          </w:tcPr>
          <w:p w:rsidRPr="00D90F9F" w:rsidR="00701B0A" w:rsidP="00193C51" w:rsidRDefault="00701B0A" w14:paraId="5D19E59A"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Elaboró: </w:t>
            </w:r>
          </w:p>
        </w:tc>
        <w:tc>
          <w:tcPr>
            <w:tcW w:w="4785" w:type="dxa"/>
            <w:tcBorders>
              <w:top w:val="nil"/>
              <w:left w:val="nil"/>
              <w:bottom w:val="dotted" w:color="7F7F7F" w:themeColor="text1" w:themeTint="80" w:sz="6" w:space="0"/>
              <w:right w:val="nil"/>
            </w:tcBorders>
            <w:vAlign w:val="center"/>
            <w:hideMark/>
          </w:tcPr>
          <w:p w:rsidRPr="00D90F9F" w:rsidR="00701B0A" w:rsidP="00193C51" w:rsidRDefault="00701B0A" w14:paraId="458A1F75"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Any Alejandra Tovar Castillo</w:t>
            </w:r>
          </w:p>
          <w:p w:rsidRPr="00D90F9F" w:rsidR="00701B0A" w:rsidP="00193C51" w:rsidRDefault="00701B0A" w14:paraId="5EE5B587"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Contratista de la Subdirección de Gestión Contractual</w:t>
            </w:r>
          </w:p>
        </w:tc>
      </w:tr>
      <w:tr w:rsidRPr="00D90F9F" w:rsidR="00701B0A" w:rsidTr="00D90F9F" w14:paraId="2D7B3245" w14:textId="77777777">
        <w:trPr>
          <w:trHeight w:val="394"/>
        </w:trPr>
        <w:tc>
          <w:tcPr>
            <w:tcW w:w="769" w:type="dxa"/>
            <w:tcBorders>
              <w:top w:val="nil"/>
              <w:left w:val="nil"/>
              <w:bottom w:val="nil"/>
              <w:right w:val="nil"/>
            </w:tcBorders>
            <w:vAlign w:val="center"/>
            <w:hideMark/>
          </w:tcPr>
          <w:p w:rsidRPr="00D90F9F" w:rsidR="00701B0A" w:rsidP="00193C51" w:rsidRDefault="00701B0A" w14:paraId="0346AF5B"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Revisó: </w:t>
            </w:r>
          </w:p>
        </w:tc>
        <w:tc>
          <w:tcPr>
            <w:tcW w:w="4785" w:type="dxa"/>
            <w:tcBorders>
              <w:top w:val="dotted" w:color="7F7F7F" w:themeColor="text1" w:themeTint="80" w:sz="6" w:space="0"/>
              <w:left w:val="nil"/>
              <w:bottom w:val="dotted" w:color="7F7F7F" w:themeColor="text1" w:themeTint="80" w:sz="6" w:space="0"/>
              <w:right w:val="nil"/>
            </w:tcBorders>
            <w:vAlign w:val="center"/>
            <w:hideMark/>
          </w:tcPr>
          <w:p w:rsidRPr="00D90F9F" w:rsidR="00701B0A" w:rsidP="00193C51" w:rsidRDefault="00701B0A" w14:paraId="49C1E21E"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Martha Alicia Romero Vargas</w:t>
            </w:r>
          </w:p>
          <w:p w:rsidRPr="00D90F9F" w:rsidR="00701B0A" w:rsidP="00193C51" w:rsidRDefault="00701B0A" w14:paraId="2E0C6B40"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Gestor T1 grado 15 de la Subdirección de Gestión Contractual</w:t>
            </w:r>
          </w:p>
        </w:tc>
      </w:tr>
      <w:tr w:rsidRPr="00D90F9F" w:rsidR="00701B0A" w:rsidTr="00D90F9F" w14:paraId="478B1D9D" w14:textId="77777777">
        <w:trPr>
          <w:trHeight w:val="131"/>
        </w:trPr>
        <w:tc>
          <w:tcPr>
            <w:tcW w:w="769" w:type="dxa"/>
            <w:tcBorders>
              <w:top w:val="nil"/>
              <w:left w:val="nil"/>
              <w:bottom w:val="nil"/>
              <w:right w:val="nil"/>
            </w:tcBorders>
            <w:vAlign w:val="center"/>
            <w:hideMark/>
          </w:tcPr>
          <w:p w:rsidRPr="00D90F9F" w:rsidR="00701B0A" w:rsidP="00193C51" w:rsidRDefault="00701B0A" w14:paraId="6A44477F"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Aprobó: </w:t>
            </w:r>
          </w:p>
        </w:tc>
        <w:tc>
          <w:tcPr>
            <w:tcW w:w="4785" w:type="dxa"/>
            <w:tcBorders>
              <w:top w:val="dotted" w:color="7F7F7F" w:themeColor="text1" w:themeTint="80" w:sz="6" w:space="0"/>
              <w:left w:val="nil"/>
              <w:bottom w:val="dotted" w:color="7F7F7F" w:themeColor="text1" w:themeTint="80" w:sz="6" w:space="0"/>
              <w:right w:val="nil"/>
            </w:tcBorders>
            <w:vAlign w:val="center"/>
            <w:hideMark/>
          </w:tcPr>
          <w:p w:rsidRPr="00D90F9F" w:rsidR="00701B0A" w:rsidP="00193C51" w:rsidRDefault="00701B0A" w14:paraId="5877C973"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Nohelia del Carmen Zawady Palacio</w:t>
            </w:r>
          </w:p>
          <w:p w:rsidRPr="00D90F9F" w:rsidR="00701B0A" w:rsidP="00193C51" w:rsidRDefault="00701B0A" w14:paraId="0678135A" w14:textId="77777777">
            <w:pPr>
              <w:spacing w:after="0" w:line="240" w:lineRule="auto"/>
              <w:jc w:val="both"/>
              <w:rPr>
                <w:rFonts w:ascii="Century Gothic" w:hAnsi="Century Gothic" w:cs="Arial"/>
                <w:sz w:val="14"/>
                <w:szCs w:val="14"/>
              </w:rPr>
            </w:pPr>
            <w:r w:rsidRPr="00D90F9F">
              <w:rPr>
                <w:rFonts w:ascii="Century Gothic" w:hAnsi="Century Gothic" w:cs="Arial"/>
                <w:sz w:val="14"/>
                <w:szCs w:val="14"/>
              </w:rPr>
              <w:t>Subdirectora de Gestión Contractual ANCP - CCE</w:t>
            </w:r>
          </w:p>
        </w:tc>
      </w:tr>
    </w:tbl>
    <w:p w:rsidRPr="00757E7B" w:rsidR="00127233" w:rsidP="00757E7B" w:rsidRDefault="00127233" w14:paraId="0F293BF4" w14:textId="7BBFAB11">
      <w:pPr>
        <w:spacing w:after="0" w:line="276" w:lineRule="auto"/>
        <w:rPr>
          <w:rFonts w:ascii="Century Gothic" w:hAnsi="Century Gothic"/>
        </w:rPr>
      </w:pPr>
    </w:p>
    <w:sectPr w:rsidRPr="00757E7B" w:rsidR="00127233" w:rsidSect="002E4FD9">
      <w:headerReference w:type="default" r:id="rId12"/>
      <w:footerReference w:type="default" r:id="rId13"/>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497B" w:rsidP="004A1847" w:rsidRDefault="007B497B" w14:paraId="24656560" w14:textId="77777777">
      <w:pPr>
        <w:spacing w:after="0" w:line="240" w:lineRule="auto"/>
      </w:pPr>
      <w:r>
        <w:separator/>
      </w:r>
    </w:p>
  </w:endnote>
  <w:endnote w:type="continuationSeparator" w:id="0">
    <w:p w:rsidR="007B497B" w:rsidP="004A1847" w:rsidRDefault="007B497B" w14:paraId="44AD2A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497B" w:rsidP="004A1847" w:rsidRDefault="007B497B" w14:paraId="481F939C" w14:textId="77777777">
      <w:pPr>
        <w:spacing w:after="0" w:line="240" w:lineRule="auto"/>
      </w:pPr>
      <w:r>
        <w:separator/>
      </w:r>
    </w:p>
  </w:footnote>
  <w:footnote w:type="continuationSeparator" w:id="0">
    <w:p w:rsidR="007B497B" w:rsidP="004A1847" w:rsidRDefault="007B497B" w14:paraId="75C6A9CB" w14:textId="77777777">
      <w:pPr>
        <w:spacing w:after="0" w:line="240" w:lineRule="auto"/>
      </w:pPr>
      <w:r>
        <w:continuationSeparator/>
      </w:r>
    </w:p>
  </w:footnote>
  <w:footnote w:id="1">
    <w:p w:rsidRPr="00561460" w:rsidR="004910AC" w:rsidP="00FA04C7" w:rsidRDefault="004910AC" w14:paraId="24B430FD" w14:textId="77777777">
      <w:pPr>
        <w:pStyle w:val="Textonotapie"/>
        <w:spacing w:before="240" w:line="276" w:lineRule="auto"/>
        <w:ind w:firstLine="708"/>
        <w:jc w:val="both"/>
        <w:rPr>
          <w:rFonts w:ascii="Century Gothic" w:hAnsi="Century Gothic" w:cs="Arial"/>
          <w:sz w:val="18"/>
          <w:szCs w:val="18"/>
          <w:lang w:val="es-CO"/>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Estos conceptos pueden ser consultados en la relatoría de Colombia Compra Eficiente en el siguiente enlace: </w:t>
      </w:r>
      <w:hyperlink w:history="1" r:id="rId1">
        <w:r w:rsidRPr="00561460">
          <w:rPr>
            <w:rStyle w:val="Hipervnculo"/>
            <w:rFonts w:ascii="Century Gothic" w:hAnsi="Century Gothic" w:cs="Arial"/>
            <w:sz w:val="18"/>
            <w:szCs w:val="18"/>
          </w:rPr>
          <w:t>http://relatoria.colombiacompra.gov.co/busqueda/conceptos</w:t>
        </w:r>
      </w:hyperlink>
      <w:r w:rsidRPr="00561460">
        <w:rPr>
          <w:rFonts w:ascii="Century Gothic" w:hAnsi="Century Gothic" w:cs="Arial"/>
          <w:sz w:val="18"/>
          <w:szCs w:val="18"/>
        </w:rPr>
        <w:t xml:space="preserve"> </w:t>
      </w:r>
    </w:p>
  </w:footnote>
  <w:footnote w:id="2">
    <w:p w:rsidRPr="00561460" w:rsidR="00E8449C" w:rsidP="00FA04C7" w:rsidRDefault="00E8449C" w14:paraId="5D9CB4D0" w14:textId="77777777">
      <w:pPr>
        <w:pStyle w:val="Textonotapie"/>
        <w:spacing w:before="240" w:line="276" w:lineRule="auto"/>
        <w:ind w:firstLine="709"/>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footnote>
  <w:footnote w:id="3">
    <w:p w:rsidRPr="00561460" w:rsidR="00E8449C" w:rsidP="00FA04C7" w:rsidRDefault="00E8449C" w14:paraId="5FD177A3" w14:textId="77777777">
      <w:pPr>
        <w:spacing w:before="240" w:line="276" w:lineRule="auto"/>
        <w:ind w:firstLine="709"/>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El artículo 85 de la ley 489 de 1998 definió a las empresas industriales y comerciales del Estado </w:t>
      </w:r>
      <w:r w:rsidRPr="00561460">
        <w:rPr>
          <w:rFonts w:ascii="Century Gothic" w:hAnsi="Century Gothic" w:cs="Arial"/>
          <w:color w:val="000000"/>
          <w:sz w:val="18"/>
          <w:szCs w:val="18"/>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bookmarkStart w:name="353" w:id="3"/>
    <w:bookmarkEnd w:id="3"/>
  </w:footnote>
  <w:footnote w:id="4">
    <w:p w:rsidRPr="00561460" w:rsidR="00E8449C" w:rsidP="00FA04C7" w:rsidRDefault="00E8449C" w14:paraId="01E78D86" w14:textId="77777777">
      <w:pPr>
        <w:pStyle w:val="Textonotapie"/>
        <w:spacing w:before="240" w:line="276" w:lineRule="auto"/>
        <w:ind w:firstLine="709"/>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5">
    <w:p w:rsidRPr="00561460" w:rsidR="00E8449C" w:rsidP="00FA04C7" w:rsidRDefault="00E8449C" w14:paraId="2B2CF0F9" w14:textId="77777777">
      <w:pPr>
        <w:pStyle w:val="Textonotapie"/>
        <w:spacing w:before="240" w:line="276" w:lineRule="auto"/>
        <w:ind w:firstLine="709"/>
        <w:jc w:val="both"/>
        <w:rPr>
          <w:rFonts w:ascii="Century Gothic" w:hAnsi="Century Gothic" w:cs="Arial"/>
          <w:sz w:val="18"/>
          <w:szCs w:val="18"/>
          <w:lang w:val="es-CO"/>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6">
    <w:p w:rsidRPr="00561460" w:rsidR="00E8449C" w:rsidP="00FA04C7" w:rsidRDefault="00E8449C" w14:paraId="76254923" w14:textId="77777777">
      <w:pPr>
        <w:pStyle w:val="Textonotapie"/>
        <w:spacing w:before="240" w:line="276" w:lineRule="auto"/>
        <w:ind w:firstLine="709"/>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Consejo de Estado. Sección Tercera, Sentencia del 19 de agosto de 2004 Exp. 12.342, reiterada en sentencia de 6 de febrero de 2006, Exp. 13.414. </w:t>
      </w:r>
    </w:p>
  </w:footnote>
  <w:footnote w:id="7">
    <w:p w:rsidRPr="00561460" w:rsidR="00E8449C" w:rsidP="00FA04C7" w:rsidRDefault="00E8449C" w14:paraId="0F73BBE7" w14:textId="77777777">
      <w:pPr>
        <w:pStyle w:val="Textonotapie"/>
        <w:spacing w:before="240" w:line="276" w:lineRule="auto"/>
        <w:ind w:firstLine="709"/>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Ley 1150 de 2007, artículo 13: </w:t>
      </w:r>
      <w:r w:rsidRPr="00561460">
        <w:rPr>
          <w:rFonts w:ascii="Century Gothic" w:hAnsi="Century Gothic" w:cs="Arial"/>
          <w:color w:val="000000" w:themeColor="text1"/>
          <w:sz w:val="18"/>
          <w:szCs w:val="18"/>
        </w:rPr>
        <w:t>“</w:t>
      </w:r>
      <w:r w:rsidRPr="00561460">
        <w:rPr>
          <w:rFonts w:ascii="Century Gothic" w:hAnsi="Century Gothic" w:cs="Arial"/>
          <w:sz w:val="18"/>
          <w:szCs w:val="18"/>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561460">
        <w:rPr>
          <w:rFonts w:ascii="Century Gothic" w:hAnsi="Century Gothic" w:cs="Arial"/>
          <w:color w:val="000000" w:themeColor="text1"/>
          <w:sz w:val="18"/>
          <w:szCs w:val="18"/>
        </w:rPr>
        <w:t>”.</w:t>
      </w:r>
    </w:p>
  </w:footnote>
  <w:footnote w:id="8">
    <w:p w:rsidRPr="00561460" w:rsidR="00E8449C" w:rsidP="00FA04C7" w:rsidRDefault="00E8449C" w14:paraId="65FC4DE1" w14:textId="77777777">
      <w:pPr>
        <w:pStyle w:val="Textonotapie"/>
        <w:spacing w:before="240" w:line="276" w:lineRule="auto"/>
        <w:ind w:firstLine="709"/>
        <w:jc w:val="both"/>
        <w:rPr>
          <w:rFonts w:ascii="Century Gothic" w:hAnsi="Century Gothic" w:cs="Arial"/>
          <w:color w:val="000000" w:themeColor="text1"/>
          <w:sz w:val="18"/>
          <w:szCs w:val="18"/>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Consejo de Estado. Sección Tercera. Radicado No. 45.607 del 24 de octubre de 2016. Consejera Ponente: María Nubia Velásquez Rico.</w:t>
      </w:r>
    </w:p>
    <w:p w:rsidRPr="00561460" w:rsidR="00E8449C" w:rsidP="00FA04C7" w:rsidRDefault="00E8449C" w14:paraId="1B449D16" w14:textId="77777777">
      <w:pPr>
        <w:pStyle w:val="Textonotapie"/>
        <w:spacing w:before="240" w:line="276" w:lineRule="auto"/>
        <w:ind w:firstLine="709"/>
        <w:jc w:val="both"/>
        <w:rPr>
          <w:rFonts w:ascii="Century Gothic" w:hAnsi="Century Gothic" w:cs="Arial"/>
          <w:color w:val="000000" w:themeColor="text1"/>
          <w:sz w:val="18"/>
          <w:szCs w:val="18"/>
          <w:lang w:val="es-ES"/>
        </w:rPr>
      </w:pPr>
    </w:p>
  </w:footnote>
  <w:footnote w:id="9">
    <w:p w:rsidRPr="00561460" w:rsidR="00E8449C" w:rsidP="00FA04C7" w:rsidRDefault="00E8449C" w14:paraId="324B217F"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rPr>
        <w:tab/>
      </w:r>
      <w:r w:rsidRPr="00561460">
        <w:rPr>
          <w:rFonts w:ascii="Century Gothic" w:hAnsi="Century Gothic" w:cs="Arial"/>
          <w:color w:val="000000" w:themeColor="text1"/>
          <w:sz w:val="18"/>
          <w:szCs w:val="18"/>
        </w:rPr>
        <w:t xml:space="preserve">COLOMBIA COMPRA EFICIENTE. “Guía para las Entidades Estatales con régimen especial de Contratación” </w:t>
      </w:r>
      <w:r w:rsidRPr="00561460">
        <w:rPr>
          <w:rFonts w:ascii="Century Gothic" w:hAnsi="Century Gothic" w:cs="Arial"/>
          <w:color w:val="000000" w:themeColor="text1"/>
          <w:sz w:val="18"/>
          <w:szCs w:val="18"/>
          <w:lang w:val="es-ES"/>
        </w:rPr>
        <w:t xml:space="preserve">Identificada con la referencia G-EEREC-01 y publicada en el siguiente enlace: </w:t>
      </w:r>
      <w:hyperlink w:history="1" r:id="rId2">
        <w:r w:rsidRPr="00561460">
          <w:rPr>
            <w:rStyle w:val="Hipervnculo"/>
            <w:rFonts w:ascii="Century Gothic" w:hAnsi="Century Gothic" w:cs="Arial"/>
            <w:sz w:val="18"/>
            <w:szCs w:val="18"/>
            <w:lang w:val="es-ES"/>
          </w:rPr>
          <w:t>https://www.colombiacompra.gov.co/sites/cce_public/files/cce_documents/cce_guia_regimen_especial.pdf</w:t>
        </w:r>
      </w:hyperlink>
      <w:r w:rsidRPr="00561460">
        <w:rPr>
          <w:rFonts w:ascii="Century Gothic" w:hAnsi="Century Gothic" w:cs="Arial"/>
          <w:color w:val="000000" w:themeColor="text1"/>
          <w:sz w:val="18"/>
          <w:szCs w:val="18"/>
          <w:lang w:val="es-ES"/>
        </w:rPr>
        <w:t xml:space="preserve"> </w:t>
      </w:r>
    </w:p>
  </w:footnote>
  <w:footnote w:id="10">
    <w:p w:rsidRPr="00561460" w:rsidR="00E8449C" w:rsidP="00FA04C7" w:rsidRDefault="00E8449C" w14:paraId="0750CA13" w14:textId="77777777">
      <w:pPr>
        <w:pStyle w:val="Textonotapie"/>
        <w:spacing w:before="240" w:line="276" w:lineRule="auto"/>
        <w:ind w:firstLine="709"/>
        <w:jc w:val="both"/>
        <w:rPr>
          <w:rFonts w:ascii="Century Gothic" w:hAnsi="Century Gothic" w:cs="Arial"/>
          <w:color w:val="000000" w:themeColor="text1"/>
          <w:sz w:val="18"/>
          <w:szCs w:val="18"/>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rsidRPr="00561460" w:rsidR="00E8449C" w:rsidP="00FA04C7" w:rsidRDefault="00E8449C" w14:paraId="4164F293" w14:textId="5C747B4B">
      <w:pPr>
        <w:pStyle w:val="Textonotapie"/>
        <w:spacing w:before="240" w:line="276" w:lineRule="auto"/>
        <w:ind w:firstLine="709"/>
        <w:jc w:val="both"/>
        <w:rPr>
          <w:rFonts w:ascii="Century Gothic" w:hAnsi="Century Gothic" w:cs="Arial"/>
          <w:color w:val="000000" w:themeColor="text1"/>
          <w:sz w:val="18"/>
          <w:szCs w:val="18"/>
        </w:rPr>
      </w:pPr>
      <w:r w:rsidRPr="00561460">
        <w:rPr>
          <w:rFonts w:ascii="Century Gothic" w:hAnsi="Century Gothic" w:cs="Arial"/>
          <w:color w:val="000000" w:themeColor="text1"/>
          <w:sz w:val="18"/>
          <w:szCs w:val="18"/>
        </w:rPr>
        <w:t xml:space="preserve">“Lo anterior explica por qué en el derecho privado las partes no pueden condicionar la existencia de un contrato, que por ley sea consensual, al hecho de que conste por escrito; ni uno que requiere escritura pública al hecho de que el acuerdo verbal sea suficiente. Esto significa </w:t>
      </w:r>
      <w:r w:rsidRPr="00561460" w:rsidR="00E71EBD">
        <w:rPr>
          <w:rFonts w:ascii="Century Gothic" w:hAnsi="Century Gothic" w:cs="Arial"/>
          <w:color w:val="000000" w:themeColor="text1"/>
          <w:sz w:val="18"/>
          <w:szCs w:val="18"/>
        </w:rPr>
        <w:t>que,</w:t>
      </w:r>
      <w:r w:rsidRPr="00561460">
        <w:rPr>
          <w:rFonts w:ascii="Century Gothic" w:hAnsi="Century Gothic" w:cs="Arial"/>
          <w:color w:val="000000" w:themeColor="text1"/>
          <w:sz w:val="18"/>
          <w:szCs w:val="18"/>
        </w:rPr>
        <w:t xml:space="preserv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rsidRPr="00561460" w:rsidR="00E8449C" w:rsidP="00FA04C7" w:rsidRDefault="00E8449C" w14:paraId="58BAC9AB" w14:textId="77777777">
      <w:pPr>
        <w:pStyle w:val="Textonotapie"/>
        <w:spacing w:before="240" w:line="276" w:lineRule="auto"/>
        <w:ind w:firstLine="709"/>
        <w:jc w:val="both"/>
        <w:rPr>
          <w:rFonts w:ascii="Century Gothic" w:hAnsi="Century Gothic" w:cs="Arial"/>
          <w:color w:val="000000" w:themeColor="text1"/>
          <w:sz w:val="18"/>
          <w:szCs w:val="18"/>
        </w:rPr>
      </w:pPr>
      <w:r w:rsidRPr="00561460">
        <w:rPr>
          <w:rFonts w:ascii="Century Gothic" w:hAnsi="Century Gothic" w:cs="Arial"/>
          <w:color w:val="000000" w:themeColor="text1"/>
          <w:sz w:val="18"/>
          <w:szCs w:val="18"/>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rsidRPr="00561460" w:rsidR="00E8449C" w:rsidP="00FA04C7" w:rsidRDefault="00E8449C" w14:paraId="10D77DEA" w14:textId="77777777">
      <w:pPr>
        <w:pStyle w:val="Textonotapie"/>
        <w:spacing w:before="240" w:line="276" w:lineRule="auto"/>
        <w:ind w:firstLine="709"/>
        <w:jc w:val="both"/>
        <w:rPr>
          <w:rFonts w:ascii="Century Gothic" w:hAnsi="Century Gothic" w:cs="Arial"/>
          <w:color w:val="000000" w:themeColor="text1"/>
          <w:sz w:val="18"/>
          <w:szCs w:val="18"/>
        </w:rPr>
      </w:pPr>
      <w:r w:rsidRPr="00561460">
        <w:rPr>
          <w:rFonts w:ascii="Century Gothic" w:hAnsi="Century Gothic" w:cs="Arial"/>
          <w:color w:val="000000" w:themeColor="text1"/>
          <w:sz w:val="18"/>
          <w:szCs w:val="18"/>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rsidRPr="00561460" w:rsidR="00E8449C" w:rsidP="00FA04C7" w:rsidRDefault="00E8449C" w14:paraId="360636DA"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Fonts w:ascii="Century Gothic" w:hAnsi="Century Gothic" w:cs="Arial"/>
          <w:color w:val="000000" w:themeColor="text1"/>
          <w:sz w:val="18"/>
          <w:szCs w:val="18"/>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1">
    <w:p w:rsidRPr="00561460" w:rsidR="00E8449C" w:rsidP="00FA04C7" w:rsidRDefault="00E8449C" w14:paraId="27730F8E"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 xml:space="preserve">Sobre el concepto de </w:t>
      </w:r>
      <w:r w:rsidRPr="00561460">
        <w:rPr>
          <w:rFonts w:ascii="Century Gothic" w:hAnsi="Century Gothic" w:cs="Arial"/>
          <w:i/>
          <w:color w:val="000000" w:themeColor="text1"/>
          <w:sz w:val="18"/>
          <w:szCs w:val="18"/>
          <w:lang w:val="es-ES"/>
        </w:rPr>
        <w:t>lagunas</w:t>
      </w:r>
      <w:r w:rsidRPr="00561460">
        <w:rPr>
          <w:rFonts w:ascii="Century Gothic" w:hAnsi="Century Gothic" w:cs="Arial"/>
          <w:color w:val="000000" w:themeColor="text1"/>
          <w:sz w:val="18"/>
          <w:szCs w:val="18"/>
          <w:lang w:val="es-ES"/>
        </w:rPr>
        <w:t xml:space="preserve"> en el sistema normativo, es decir, de </w:t>
      </w:r>
      <w:r w:rsidRPr="00561460">
        <w:rPr>
          <w:rFonts w:ascii="Century Gothic" w:hAnsi="Century Gothic" w:cs="Arial"/>
          <w:i/>
          <w:color w:val="000000" w:themeColor="text1"/>
          <w:sz w:val="18"/>
          <w:szCs w:val="18"/>
          <w:lang w:val="es-ES"/>
        </w:rPr>
        <w:t>vacíos</w:t>
      </w:r>
      <w:r w:rsidRPr="00561460">
        <w:rPr>
          <w:rFonts w:ascii="Century Gothic" w:hAnsi="Century Gothic" w:cs="Arial"/>
          <w:color w:val="000000" w:themeColor="text1"/>
          <w:sz w:val="18"/>
          <w:szCs w:val="18"/>
          <w:lang w:val="es-ES"/>
        </w:rPr>
        <w:t xml:space="preserve"> de regulación, puede verse: GARCÍA MÁYNEZ, Eduardo. Filosofía del Derecho. 17ª ed. México: Porrúa, 2011. pp. 222-245.</w:t>
      </w:r>
    </w:p>
  </w:footnote>
  <w:footnote w:id="12">
    <w:p w:rsidRPr="00561460" w:rsidR="00E8449C" w:rsidP="00FA04C7" w:rsidRDefault="00E8449C" w14:paraId="214C285F" w14:textId="46813736">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 xml:space="preserve">Identificada con la referencia G-EEREC-01 y publicada en el siguiente enlace: </w:t>
      </w:r>
      <w:hyperlink w:history="1" r:id="rId3">
        <w:r w:rsidRPr="001B1652" w:rsidR="00086B6D">
          <w:rPr>
            <w:rStyle w:val="Hipervnculo"/>
            <w:rFonts w:ascii="Century Gothic" w:hAnsi="Century Gothic" w:cs="Arial"/>
            <w:sz w:val="18"/>
            <w:szCs w:val="18"/>
            <w:lang w:val="es-ES"/>
          </w:rPr>
          <w:t>https://colombiacompra.gov.co/sites/cce_public/files/cce_documents/cce_guia_regimen_especial.pdf</w:t>
        </w:r>
      </w:hyperlink>
      <w:r w:rsidR="00086B6D">
        <w:rPr>
          <w:rFonts w:ascii="Century Gothic" w:hAnsi="Century Gothic" w:cs="Arial"/>
          <w:color w:val="000000" w:themeColor="text1"/>
          <w:sz w:val="18"/>
          <w:szCs w:val="18"/>
          <w:lang w:val="es-ES"/>
        </w:rPr>
        <w:t xml:space="preserve"> </w:t>
      </w:r>
    </w:p>
  </w:footnote>
  <w:footnote w:id="13">
    <w:p w:rsidRPr="00561460" w:rsidR="00E8449C" w:rsidP="00FA04C7" w:rsidRDefault="00E8449C" w14:paraId="2AB1CC1C"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eastAsia="Calibri" w:cs="Arial"/>
          <w:color w:val="000000" w:themeColor="text1"/>
          <w:sz w:val="18"/>
          <w:szCs w:val="18"/>
          <w:lang w:val="es-ES_tradnl"/>
        </w:rPr>
        <w:t>Bien por la reserva legal de las materias o porque no las reguló.</w:t>
      </w:r>
    </w:p>
  </w:footnote>
  <w:footnote w:id="14">
    <w:p w:rsidRPr="00561460" w:rsidR="00E8449C" w:rsidP="00FA04C7" w:rsidRDefault="00E8449C" w14:paraId="01F00CAB"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15">
    <w:p w:rsidRPr="00561460" w:rsidR="00E8449C" w:rsidP="00FA04C7" w:rsidRDefault="00E8449C" w14:paraId="7122B2F7"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rsidRPr="00561460" w:rsidR="00E8449C" w:rsidP="00FA04C7" w:rsidRDefault="00E8449C" w14:paraId="5B38AC6F"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Fonts w:ascii="Century Gothic" w:hAnsi="Century Gothic" w:cs="Arial"/>
          <w:color w:val="000000" w:themeColor="text1"/>
          <w:sz w:val="18"/>
          <w:szCs w:val="18"/>
          <w:lang w:val="es-ES"/>
        </w:rPr>
        <w:t>“En defecto de costumbre local se tendrá en cuenta la general del país, siempre que reúna los requisitos exigidos en el inciso anterior” (art. 3 del Código de Comercio).</w:t>
      </w:r>
    </w:p>
  </w:footnote>
  <w:footnote w:id="16">
    <w:p w:rsidRPr="00561460" w:rsidR="00E8449C" w:rsidP="00FA04C7" w:rsidRDefault="00E8449C" w14:paraId="283C1516" w14:textId="77777777">
      <w:pPr>
        <w:pStyle w:val="Textonotapie"/>
        <w:spacing w:before="240" w:line="276" w:lineRule="auto"/>
        <w:ind w:firstLine="709"/>
        <w:jc w:val="both"/>
        <w:rPr>
          <w:rFonts w:ascii="Century Gothic" w:hAnsi="Century Gothic" w:cs="Arial"/>
          <w:b/>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Dentro de tales principios se encuentran, por ejemplo, los principios UNIDROIT sobre los contratos comerciales internacionales. Ver: https://www.unidroit.org/spanish/principles/contracts/principles2010/blackletter2010-spanish.pdf</w:t>
      </w:r>
    </w:p>
  </w:footnote>
  <w:footnote w:id="17">
    <w:p w:rsidRPr="00561460" w:rsidR="008D4241" w:rsidP="00FA04C7" w:rsidRDefault="008D4241" w14:paraId="541F86FA" w14:textId="5AD358C1">
      <w:pPr>
        <w:pStyle w:val="Textonotapie"/>
        <w:spacing w:before="240" w:after="160" w:line="276" w:lineRule="auto"/>
        <w:ind w:firstLine="709"/>
        <w:jc w:val="both"/>
        <w:rPr>
          <w:rFonts w:ascii="Century Gothic" w:hAnsi="Century Gothic" w:cs="Arial"/>
          <w:color w:val="000000" w:themeColor="text1"/>
          <w:sz w:val="18"/>
          <w:szCs w:val="18"/>
          <w:lang w:val="es-CO"/>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CONSEJO DE ESTADO, </w:t>
      </w:r>
      <w:r w:rsidRPr="00561460">
        <w:rPr>
          <w:rFonts w:ascii="Century Gothic" w:hAnsi="Century Gothic" w:cs="Arial"/>
          <w:color w:val="000000" w:themeColor="text1"/>
          <w:sz w:val="18"/>
          <w:szCs w:val="18"/>
          <w:shd w:val="clear" w:color="auto" w:fill="FFFFFF"/>
        </w:rPr>
        <w:t>Sección Tercera, Sentencia de 22 de octubre de 2012. Consejero Ponente Doctor Enrique Gil Botero. Exp No. 20738.</w:t>
      </w:r>
    </w:p>
  </w:footnote>
  <w:footnote w:id="18">
    <w:p w:rsidRPr="00561460" w:rsidR="008D4241" w:rsidP="00FA04C7" w:rsidRDefault="008D4241" w14:paraId="40EA2BD8" w14:textId="46E13ABC">
      <w:pPr>
        <w:pStyle w:val="Textonotapie"/>
        <w:spacing w:before="240" w:after="160" w:line="276" w:lineRule="auto"/>
        <w:ind w:firstLine="709"/>
        <w:jc w:val="both"/>
        <w:rPr>
          <w:rFonts w:ascii="Century Gothic" w:hAnsi="Century Gothic" w:cs="Arial"/>
          <w:color w:val="000000" w:themeColor="text1"/>
          <w:sz w:val="18"/>
          <w:szCs w:val="18"/>
          <w:lang w:val="es-CO"/>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CONSEJO DE ESTADO, Sección Tercera, radicado número 25000-23-26-000-1995-01699-01(17936). Consejera Ponente Doctora Ruth Stella Correa Palacio.</w:t>
      </w:r>
    </w:p>
  </w:footnote>
  <w:footnote w:id="19">
    <w:p w:rsidRPr="00561460" w:rsidR="008D4241" w:rsidP="00FA04C7" w:rsidRDefault="008D4241" w14:paraId="1D545BB0" w14:textId="186BE428">
      <w:pPr>
        <w:pStyle w:val="Textonotapie"/>
        <w:spacing w:before="240" w:after="160" w:line="276" w:lineRule="auto"/>
        <w:ind w:firstLine="709"/>
        <w:jc w:val="both"/>
        <w:rPr>
          <w:rFonts w:ascii="Century Gothic" w:hAnsi="Century Gothic" w:cs="Arial"/>
          <w:color w:val="000000" w:themeColor="text1"/>
          <w:sz w:val="18"/>
          <w:szCs w:val="18"/>
          <w:lang w:val="es-CO"/>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CONSEJO DE ESTADO, Sección Tercera, Expediente número 17.009. Consejero Ponente Doctor Enrique Gil Botero.</w:t>
      </w:r>
    </w:p>
  </w:footnote>
  <w:footnote w:id="20">
    <w:p w:rsidRPr="00561460" w:rsidR="008D4241" w:rsidP="00FA04C7" w:rsidRDefault="008D4241" w14:paraId="484E299B" w14:textId="77777777">
      <w:pPr>
        <w:pStyle w:val="Textonotapie"/>
        <w:spacing w:before="240" w:after="160" w:line="276" w:lineRule="auto"/>
        <w:ind w:firstLine="709"/>
        <w:jc w:val="both"/>
        <w:rPr>
          <w:rFonts w:ascii="Century Gothic" w:hAnsi="Century Gothic" w:cs="Arial"/>
          <w:color w:val="000000" w:themeColor="text1"/>
          <w:sz w:val="18"/>
          <w:szCs w:val="18"/>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rsidRPr="00561460" w:rsidR="008D4241" w:rsidP="00FA04C7" w:rsidRDefault="008D4241" w14:paraId="799F01C3" w14:textId="77777777">
      <w:pPr>
        <w:pStyle w:val="Textonotapie"/>
        <w:spacing w:before="240" w:after="160" w:line="276" w:lineRule="auto"/>
        <w:ind w:firstLine="709"/>
        <w:jc w:val="both"/>
        <w:rPr>
          <w:rFonts w:ascii="Century Gothic" w:hAnsi="Century Gothic" w:cs="Arial"/>
          <w:color w:val="000000" w:themeColor="text1"/>
          <w:sz w:val="18"/>
          <w:szCs w:val="18"/>
        </w:rPr>
      </w:pPr>
      <w:r w:rsidRPr="00561460">
        <w:rPr>
          <w:rFonts w:ascii="Century Gothic" w:hAnsi="Century Gothic" w:cs="Arial"/>
          <w:color w:val="000000" w:themeColor="text1"/>
          <w:sz w:val="18"/>
          <w:szCs w:val="18"/>
        </w:rPr>
        <w:t xml:space="preserve"> </w:t>
      </w:r>
    </w:p>
  </w:footnote>
  <w:footnote w:id="21">
    <w:p w:rsidRPr="00561460" w:rsidR="008D4241" w:rsidP="00FA04C7" w:rsidRDefault="008D4241" w14:paraId="6413899A" w14:textId="77777777">
      <w:pPr>
        <w:pStyle w:val="Textonotapie"/>
        <w:spacing w:before="240" w:after="160" w:line="276" w:lineRule="auto"/>
        <w:ind w:firstLine="709"/>
        <w:jc w:val="both"/>
        <w:rPr>
          <w:rFonts w:ascii="Century Gothic" w:hAnsi="Century Gothic" w:cs="Arial"/>
          <w:color w:val="000000" w:themeColor="text1"/>
          <w:sz w:val="18"/>
          <w:szCs w:val="18"/>
          <w:lang w:val="es-CO"/>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SALA DE CONSULTA Y SERVICIO CIVIL, providencia de 10 de octubre de 2013. Consejero Ponente: Álvaro Namén Vargas. Radicación número: 11001-03-06-000-2013-00384-00 (2157).</w:t>
      </w:r>
    </w:p>
  </w:footnote>
  <w:footnote w:id="22">
    <w:p w:rsidRPr="00561460" w:rsidR="008D4241" w:rsidP="00FA04C7" w:rsidRDefault="008D4241" w14:paraId="3B90E3A1" w14:textId="77777777">
      <w:pPr>
        <w:pStyle w:val="Textonotapie"/>
        <w:spacing w:before="240" w:after="160" w:line="276" w:lineRule="auto"/>
        <w:ind w:firstLine="709"/>
        <w:jc w:val="both"/>
        <w:rPr>
          <w:rFonts w:ascii="Century Gothic" w:hAnsi="Century Gothic" w:cs="Arial"/>
          <w:color w:val="000000" w:themeColor="text1"/>
          <w:sz w:val="18"/>
          <w:szCs w:val="18"/>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Ver en este sentido: Consejo de Estado, Sección Tercera, sentencia del 26 de junio de 2015, expediente 34.367, sentencia del 21 de octubre de 1994, expediente 9288. </w:t>
      </w:r>
    </w:p>
  </w:footnote>
  <w:footnote w:id="23">
    <w:p w:rsidRPr="00561460" w:rsidR="008D4241" w:rsidP="00FA04C7" w:rsidRDefault="008D4241" w14:paraId="40796617" w14:textId="77777777">
      <w:pPr>
        <w:pStyle w:val="Textonotapie"/>
        <w:spacing w:before="240" w:after="160" w:line="276" w:lineRule="auto"/>
        <w:ind w:firstLine="709"/>
        <w:jc w:val="both"/>
        <w:rPr>
          <w:rFonts w:ascii="Century Gothic" w:hAnsi="Century Gothic" w:cs="Arial"/>
          <w:color w:val="000000" w:themeColor="text1"/>
          <w:sz w:val="18"/>
          <w:szCs w:val="18"/>
          <w:lang w:val="es-CO"/>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Agencia Nacional de Contratación Pública - Colombia Compra Eficiente</w:t>
      </w:r>
      <w:r w:rsidRPr="00561460">
        <w:rPr>
          <w:rFonts w:ascii="Century Gothic" w:hAnsi="Century Gothic" w:cs="Arial"/>
          <w:color w:val="000000" w:themeColor="text1"/>
          <w:sz w:val="18"/>
          <w:szCs w:val="18"/>
          <w:lang w:val="es-CO"/>
        </w:rPr>
        <w:t>, Concepto C-219 del 24 de abril del 2020.</w:t>
      </w:r>
    </w:p>
  </w:footnote>
  <w:footnote w:id="24">
    <w:p w:rsidRPr="00561460" w:rsidR="008D4241" w:rsidP="00FA04C7" w:rsidRDefault="008D4241" w14:paraId="0C4E4897" w14:textId="77777777">
      <w:pPr>
        <w:pStyle w:val="Textonotapie"/>
        <w:spacing w:before="240" w:after="160" w:line="276" w:lineRule="auto"/>
        <w:jc w:val="both"/>
        <w:rPr>
          <w:rFonts w:ascii="Century Gothic" w:hAnsi="Century Gothic"/>
          <w:sz w:val="18"/>
          <w:szCs w:val="18"/>
          <w:lang w:val="es-CO"/>
        </w:rPr>
      </w:pPr>
      <w:r w:rsidRPr="00561460">
        <w:rPr>
          <w:rStyle w:val="Refdenotaalpie"/>
          <w:rFonts w:ascii="Century Gothic" w:hAnsi="Century Gothic"/>
          <w:sz w:val="18"/>
          <w:szCs w:val="18"/>
        </w:rPr>
        <w:footnoteRef/>
      </w:r>
      <w:r w:rsidRPr="00561460">
        <w:rPr>
          <w:rFonts w:ascii="Century Gothic" w:hAnsi="Century Gothic"/>
          <w:sz w:val="18"/>
          <w:szCs w:val="18"/>
        </w:rPr>
        <w:t xml:space="preserve"> </w:t>
      </w:r>
      <w:r w:rsidRPr="00561460">
        <w:rPr>
          <w:rFonts w:ascii="Century Gothic" w:hAnsi="Century Gothic"/>
          <w:sz w:val="18"/>
          <w:szCs w:val="18"/>
          <w:lang w:val="es-CO"/>
        </w:rPr>
        <w:t>Consejo de Estado, Sala de lo Contencioso Administrativo, Sección Tercera, Sentencia de 24 de agosto de 2016, exp. 41783.</w:t>
      </w:r>
    </w:p>
  </w:footnote>
  <w:footnote w:id="25">
    <w:p w:rsidRPr="00561460" w:rsidR="008D4241" w:rsidP="00FA04C7" w:rsidRDefault="008D4241" w14:paraId="3243803B" w14:textId="77777777">
      <w:pPr>
        <w:pStyle w:val="Textonotapie"/>
        <w:spacing w:before="240" w:after="160" w:line="276" w:lineRule="auto"/>
        <w:ind w:firstLine="708"/>
        <w:jc w:val="both"/>
        <w:rPr>
          <w:rFonts w:ascii="Century Gothic" w:hAnsi="Century Gothic"/>
          <w:sz w:val="18"/>
          <w:szCs w:val="18"/>
        </w:rPr>
      </w:pPr>
      <w:r w:rsidRPr="00561460">
        <w:rPr>
          <w:rStyle w:val="Refdenotaalpie"/>
          <w:rFonts w:ascii="Century Gothic" w:hAnsi="Century Gothic"/>
          <w:sz w:val="18"/>
          <w:szCs w:val="18"/>
        </w:rPr>
        <w:footnoteRef/>
      </w:r>
      <w:r w:rsidRPr="00561460">
        <w:rPr>
          <w:rFonts w:ascii="Century Gothic" w:hAnsi="Century Gothic"/>
          <w:sz w:val="18"/>
          <w:szCs w:val="18"/>
        </w:rPr>
        <w:t xml:space="preserve"> Consejo de Estado, Sala de lo Contencioso Administrativo, Sección Tercera, Subsección B, sentencia de 19 de junio de 2019, exp. 39800.</w:t>
      </w:r>
    </w:p>
  </w:footnote>
  <w:footnote w:id="26">
    <w:p w:rsidRPr="00561460" w:rsidR="008D4241" w:rsidP="00FA04C7" w:rsidRDefault="008D4241" w14:paraId="629B13D3" w14:textId="77777777">
      <w:pPr>
        <w:spacing w:before="240" w:line="276" w:lineRule="auto"/>
        <w:ind w:firstLine="709"/>
        <w:jc w:val="both"/>
        <w:rPr>
          <w:rFonts w:ascii="Century Gothic" w:hAnsi="Century Gothic" w:cs="Arial"/>
          <w:color w:val="000000" w:themeColor="text1"/>
          <w:sz w:val="18"/>
          <w:szCs w:val="18"/>
          <w:lang w:val="es-ES_tradnl"/>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 xml:space="preserve">Providencias que avalaron dicha tesis fueron las siguientes: Consejo de Estado. Sección Tercera. Sentencias del 20 de febrero de 2017. Consejero Ponente: Jaime Orlando Santofimio Gamboa. Expedientes: </w:t>
      </w:r>
      <w:r w:rsidRPr="00561460">
        <w:rPr>
          <w:rFonts w:ascii="Century Gothic" w:hAnsi="Century Gothic" w:cs="Arial"/>
          <w:color w:val="000000" w:themeColor="text1"/>
          <w:sz w:val="18"/>
          <w:szCs w:val="18"/>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footnote>
  <w:footnote w:id="27">
    <w:p w:rsidRPr="00561460" w:rsidR="008D4241" w:rsidP="00FA04C7" w:rsidRDefault="008D4241" w14:paraId="72546EED" w14:textId="77777777">
      <w:pPr>
        <w:pStyle w:val="Textonotapie"/>
        <w:spacing w:before="240" w:after="160" w:line="276" w:lineRule="auto"/>
        <w:ind w:firstLine="708"/>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Consejo de Estado, Sala de lo Contencioso Administrativo, Sección Tercera, sentencia de 2 de mayo de 2016, expediente 31.430; Consejo de Estado, Sala de lo Contencioso Administrativo, Sección Tercera, sentencia de 24 de agosto de 2016, expediente 41.783; Consejo de Estado, Sala de lo Contencioso Administrativo, Sección Tercera, sentencia de 8 de noviembre de 2016, expediente 39.692, y Consejo de Estado, Sala de lo Contencioso Administrativo, Sección Tercera, sentencia de 18 de agosto de 2020, expediente 36.875.</w:t>
      </w:r>
    </w:p>
  </w:footnote>
  <w:footnote w:id="28">
    <w:p w:rsidRPr="00561460" w:rsidR="008D4241" w:rsidP="00FA04C7" w:rsidRDefault="008D4241" w14:paraId="2C305BCE" w14:textId="77777777">
      <w:pPr>
        <w:pStyle w:val="Textonotapie"/>
        <w:spacing w:before="240" w:after="160" w:line="276" w:lineRule="auto"/>
        <w:jc w:val="both"/>
        <w:rPr>
          <w:rFonts w:ascii="Century Gothic" w:hAnsi="Century Gothic" w:cs="Arial"/>
          <w:sz w:val="18"/>
          <w:szCs w:val="18"/>
        </w:rPr>
      </w:pPr>
      <w:r w:rsidRPr="00561460">
        <w:rPr>
          <w:rStyle w:val="Refdenotaalpie"/>
          <w:rFonts w:ascii="Century Gothic" w:hAnsi="Century Gothic" w:cs="Arial"/>
          <w:sz w:val="18"/>
          <w:szCs w:val="18"/>
        </w:rPr>
        <w:footnoteRef/>
      </w:r>
      <w:r w:rsidRPr="00561460">
        <w:rPr>
          <w:rFonts w:ascii="Century Gothic" w:hAnsi="Century Gothic" w:cs="Arial"/>
          <w:sz w:val="18"/>
          <w:szCs w:val="18"/>
        </w:rPr>
        <w:t xml:space="preserve"> Corte Suprema de Justicia, Sala de Casación Civil, sentencia de 30 de agosto de 2011, expediente 11001-3103-012-1999-01957-01</w:t>
      </w:r>
    </w:p>
  </w:footnote>
  <w:footnote w:id="29">
    <w:p w:rsidRPr="00561460" w:rsidR="008D4241" w:rsidP="00FA04C7" w:rsidRDefault="008D4241" w14:paraId="563EC247" w14:textId="77777777">
      <w:pPr>
        <w:pStyle w:val="Textonotapie"/>
        <w:spacing w:before="240" w:after="160" w:line="276" w:lineRule="auto"/>
        <w:ind w:firstLine="709"/>
        <w:jc w:val="both"/>
        <w:rPr>
          <w:rFonts w:ascii="Century Gothic" w:hAnsi="Century Gothic" w:cs="Arial"/>
          <w:color w:val="000000" w:themeColor="text1"/>
          <w:sz w:val="18"/>
          <w:szCs w:val="18"/>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Consejo de Estado. Sección Tercera. Auto del 12 de diciembre de 2017. Consejero Ponente: Jaime Orlando Santofimio Gamboa. Expediente: 60.477.</w:t>
      </w:r>
    </w:p>
    <w:p w:rsidRPr="00561460" w:rsidR="008D4241" w:rsidP="00FA04C7" w:rsidRDefault="008D4241" w14:paraId="40B012D5" w14:textId="77777777">
      <w:pPr>
        <w:pStyle w:val="Textonotapie"/>
        <w:spacing w:before="240" w:after="160" w:line="276" w:lineRule="auto"/>
        <w:ind w:firstLine="709"/>
        <w:jc w:val="both"/>
        <w:rPr>
          <w:rFonts w:ascii="Century Gothic" w:hAnsi="Century Gothic" w:cs="Arial"/>
          <w:color w:val="000000" w:themeColor="text1"/>
          <w:sz w:val="18"/>
          <w:szCs w:val="18"/>
        </w:rPr>
      </w:pPr>
    </w:p>
  </w:footnote>
  <w:footnote w:id="30">
    <w:p w:rsidRPr="00561460" w:rsidR="000740C1" w:rsidP="000740C1" w:rsidRDefault="000740C1" w14:paraId="2ACB3248"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31">
    <w:p w:rsidRPr="00561460" w:rsidR="000740C1" w:rsidP="000740C1" w:rsidRDefault="000740C1" w14:paraId="5054B126"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rsidRPr="00561460" w:rsidR="000740C1" w:rsidP="000740C1" w:rsidRDefault="000740C1" w14:paraId="5C1CD319"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Fonts w:ascii="Century Gothic" w:hAnsi="Century Gothic" w:cs="Arial"/>
          <w:color w:val="000000" w:themeColor="text1"/>
          <w:sz w:val="18"/>
          <w:szCs w:val="18"/>
          <w:lang w:val="es-ES"/>
        </w:rPr>
        <w:t>“En defecto de costumbre local se tendrá en cuenta la general del país, siempre que reúna los requisitos exigidos en el inciso anterior” (art. 3 del Código de Comercio).</w:t>
      </w:r>
    </w:p>
  </w:footnote>
  <w:footnote w:id="32">
    <w:p w:rsidRPr="00561460" w:rsidR="000740C1" w:rsidP="000740C1" w:rsidRDefault="000740C1" w14:paraId="58DB4D2F" w14:textId="77777777">
      <w:pPr>
        <w:pStyle w:val="Textonotapie"/>
        <w:spacing w:before="240" w:line="276" w:lineRule="auto"/>
        <w:ind w:firstLine="709"/>
        <w:jc w:val="both"/>
        <w:rPr>
          <w:rFonts w:ascii="Century Gothic" w:hAnsi="Century Gothic" w:cs="Arial"/>
          <w:b/>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Dentro de tales principios se encuentran, por ejemplo, los principios UNIDROIT sobre los contratos comerciales internacionales. Ver: https://www.unidroit.org/spanish/principles/contracts/principles2010/blackletter2010-spanish.pdf</w:t>
      </w:r>
    </w:p>
  </w:footnote>
  <w:footnote w:id="33">
    <w:p w:rsidRPr="00561460" w:rsidR="005A6686" w:rsidP="005A6686" w:rsidRDefault="005A6686" w14:paraId="194579EF"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34">
    <w:p w:rsidRPr="00561460" w:rsidR="005A6686" w:rsidP="005A6686" w:rsidRDefault="005A6686" w14:paraId="19638990"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rsidRPr="00561460" w:rsidR="005A6686" w:rsidP="005A6686" w:rsidRDefault="005A6686" w14:paraId="1AA11495" w14:textId="77777777">
      <w:pPr>
        <w:pStyle w:val="Textonotapie"/>
        <w:spacing w:before="240" w:line="276" w:lineRule="auto"/>
        <w:ind w:firstLine="709"/>
        <w:jc w:val="both"/>
        <w:rPr>
          <w:rFonts w:ascii="Century Gothic" w:hAnsi="Century Gothic" w:cs="Arial"/>
          <w:color w:val="000000" w:themeColor="text1"/>
          <w:sz w:val="18"/>
          <w:szCs w:val="18"/>
          <w:lang w:val="es-ES"/>
        </w:rPr>
      </w:pPr>
      <w:r w:rsidRPr="00561460">
        <w:rPr>
          <w:rFonts w:ascii="Century Gothic" w:hAnsi="Century Gothic" w:cs="Arial"/>
          <w:color w:val="000000" w:themeColor="text1"/>
          <w:sz w:val="18"/>
          <w:szCs w:val="18"/>
          <w:lang w:val="es-ES"/>
        </w:rPr>
        <w:t>“En defecto de costumbre local se tendrá en cuenta la general del país, siempre que reúna los requisitos exigidos en el inciso anterior” (art. 3 del Código de Comercio).</w:t>
      </w:r>
    </w:p>
  </w:footnote>
  <w:footnote w:id="35">
    <w:p w:rsidRPr="00561460" w:rsidR="005A6686" w:rsidP="005A6686" w:rsidRDefault="005A6686" w14:paraId="309F659B" w14:textId="77777777">
      <w:pPr>
        <w:pStyle w:val="Textonotapie"/>
        <w:spacing w:before="240" w:line="276" w:lineRule="auto"/>
        <w:ind w:firstLine="709"/>
        <w:jc w:val="both"/>
        <w:rPr>
          <w:rFonts w:ascii="Century Gothic" w:hAnsi="Century Gothic" w:cs="Arial"/>
          <w:b/>
          <w:color w:val="000000" w:themeColor="text1"/>
          <w:sz w:val="18"/>
          <w:szCs w:val="18"/>
          <w:lang w:val="es-ES"/>
        </w:rPr>
      </w:pPr>
      <w:r w:rsidRPr="00561460">
        <w:rPr>
          <w:rStyle w:val="Refdenotaalpie"/>
          <w:rFonts w:ascii="Century Gothic" w:hAnsi="Century Gothic" w:cs="Arial"/>
          <w:color w:val="000000" w:themeColor="text1"/>
          <w:sz w:val="18"/>
          <w:szCs w:val="18"/>
        </w:rPr>
        <w:footnoteRef/>
      </w:r>
      <w:r w:rsidRPr="00561460">
        <w:rPr>
          <w:rFonts w:ascii="Century Gothic" w:hAnsi="Century Gothic" w:cs="Arial"/>
          <w:color w:val="000000" w:themeColor="text1"/>
          <w:sz w:val="18"/>
          <w:szCs w:val="18"/>
        </w:rPr>
        <w:t xml:space="preserve"> </w:t>
      </w:r>
      <w:r w:rsidRPr="00561460">
        <w:rPr>
          <w:rFonts w:ascii="Century Gothic" w:hAnsi="Century Gothic" w:cs="Arial"/>
          <w:color w:val="000000" w:themeColor="text1"/>
          <w:sz w:val="18"/>
          <w:szCs w:val="18"/>
          <w:lang w:val="es-ES"/>
        </w:rPr>
        <w:t>Dentro de tales principios se encuentran, por ejemplo, los principios UNIDROIT sobre los contratos comerciales internacionales. Ver: https://www.unidroit.org/spanish/principles/contracts/principles2010/blackletter2010-spanish.pdf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8" style="width:11.5pt;height:11.5pt" o:bullet="t" type="#_x0000_t75">
        <v:imagedata o:title="mso1B13" r:id="rId1"/>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7113BE2"/>
    <w:multiLevelType w:val="multilevel"/>
    <w:tmpl w:val="F516D452"/>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686180">
    <w:abstractNumId w:val="7"/>
  </w:num>
  <w:num w:numId="2" w16cid:durableId="1861123395">
    <w:abstractNumId w:val="2"/>
  </w:num>
  <w:num w:numId="3" w16cid:durableId="1732848916">
    <w:abstractNumId w:val="5"/>
  </w:num>
  <w:num w:numId="4" w16cid:durableId="1164396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2716306">
    <w:abstractNumId w:val="2"/>
  </w:num>
  <w:num w:numId="6" w16cid:durableId="679352377">
    <w:abstractNumId w:val="14"/>
  </w:num>
  <w:num w:numId="7" w16cid:durableId="1446920077">
    <w:abstractNumId w:val="6"/>
  </w:num>
  <w:num w:numId="8" w16cid:durableId="1138231751">
    <w:abstractNumId w:val="13"/>
  </w:num>
  <w:num w:numId="9" w16cid:durableId="1599438221">
    <w:abstractNumId w:val="8"/>
  </w:num>
  <w:num w:numId="10" w16cid:durableId="444619077">
    <w:abstractNumId w:val="12"/>
  </w:num>
  <w:num w:numId="11" w16cid:durableId="1539047472">
    <w:abstractNumId w:val="9"/>
  </w:num>
  <w:num w:numId="12" w16cid:durableId="1948462542">
    <w:abstractNumId w:val="1"/>
  </w:num>
  <w:num w:numId="13" w16cid:durableId="1931044090">
    <w:abstractNumId w:val="4"/>
  </w:num>
  <w:num w:numId="14" w16cid:durableId="365260033">
    <w:abstractNumId w:val="15"/>
  </w:num>
  <w:num w:numId="15" w16cid:durableId="672026822">
    <w:abstractNumId w:val="10"/>
  </w:num>
  <w:num w:numId="16" w16cid:durableId="1865098094">
    <w:abstractNumId w:val="0"/>
  </w:num>
  <w:num w:numId="17" w16cid:durableId="362905591">
    <w:abstractNumId w:val="11"/>
  </w:num>
  <w:num w:numId="18" w16cid:durableId="79398283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2E1"/>
    <w:rsid w:val="00004E30"/>
    <w:rsid w:val="00024AD1"/>
    <w:rsid w:val="00031DAC"/>
    <w:rsid w:val="00031DDB"/>
    <w:rsid w:val="0005592D"/>
    <w:rsid w:val="00061B2A"/>
    <w:rsid w:val="000740C1"/>
    <w:rsid w:val="000811D6"/>
    <w:rsid w:val="00082362"/>
    <w:rsid w:val="00086B6D"/>
    <w:rsid w:val="000A683E"/>
    <w:rsid w:val="000B19B9"/>
    <w:rsid w:val="000D0334"/>
    <w:rsid w:val="000D075D"/>
    <w:rsid w:val="000F150B"/>
    <w:rsid w:val="000F6486"/>
    <w:rsid w:val="00125105"/>
    <w:rsid w:val="00127233"/>
    <w:rsid w:val="00152C00"/>
    <w:rsid w:val="00165730"/>
    <w:rsid w:val="001659C4"/>
    <w:rsid w:val="00165B9F"/>
    <w:rsid w:val="00165EA5"/>
    <w:rsid w:val="00184A9E"/>
    <w:rsid w:val="00186D83"/>
    <w:rsid w:val="00193128"/>
    <w:rsid w:val="00193C51"/>
    <w:rsid w:val="001A59E6"/>
    <w:rsid w:val="001B01B5"/>
    <w:rsid w:val="001D4CB3"/>
    <w:rsid w:val="001E4177"/>
    <w:rsid w:val="001F7DC6"/>
    <w:rsid w:val="00220DED"/>
    <w:rsid w:val="00222926"/>
    <w:rsid w:val="002421BB"/>
    <w:rsid w:val="00245724"/>
    <w:rsid w:val="002707A2"/>
    <w:rsid w:val="00281DAD"/>
    <w:rsid w:val="002951A0"/>
    <w:rsid w:val="00295EB2"/>
    <w:rsid w:val="002962BC"/>
    <w:rsid w:val="002A093D"/>
    <w:rsid w:val="002A0DD0"/>
    <w:rsid w:val="002A49AC"/>
    <w:rsid w:val="002A64FD"/>
    <w:rsid w:val="002C0915"/>
    <w:rsid w:val="002C7A84"/>
    <w:rsid w:val="002E31DD"/>
    <w:rsid w:val="002E430F"/>
    <w:rsid w:val="002E4FD9"/>
    <w:rsid w:val="002F5CCB"/>
    <w:rsid w:val="00315AFD"/>
    <w:rsid w:val="00321A00"/>
    <w:rsid w:val="00322A85"/>
    <w:rsid w:val="003448F4"/>
    <w:rsid w:val="00347187"/>
    <w:rsid w:val="00353A63"/>
    <w:rsid w:val="003606BD"/>
    <w:rsid w:val="00374F5E"/>
    <w:rsid w:val="00377E3E"/>
    <w:rsid w:val="003A779E"/>
    <w:rsid w:val="003D0F4D"/>
    <w:rsid w:val="003D4895"/>
    <w:rsid w:val="003D5B0D"/>
    <w:rsid w:val="003E0499"/>
    <w:rsid w:val="003E1F8D"/>
    <w:rsid w:val="003F3941"/>
    <w:rsid w:val="003F3F64"/>
    <w:rsid w:val="003F636B"/>
    <w:rsid w:val="00406575"/>
    <w:rsid w:val="00420965"/>
    <w:rsid w:val="00421CBC"/>
    <w:rsid w:val="004238BC"/>
    <w:rsid w:val="00425AF2"/>
    <w:rsid w:val="0042642B"/>
    <w:rsid w:val="0042722E"/>
    <w:rsid w:val="00435E06"/>
    <w:rsid w:val="0044302C"/>
    <w:rsid w:val="0046482C"/>
    <w:rsid w:val="0046507B"/>
    <w:rsid w:val="00467A51"/>
    <w:rsid w:val="00486DAA"/>
    <w:rsid w:val="004910AC"/>
    <w:rsid w:val="00492F96"/>
    <w:rsid w:val="004A1847"/>
    <w:rsid w:val="004A305D"/>
    <w:rsid w:val="004A47E1"/>
    <w:rsid w:val="004C0973"/>
    <w:rsid w:val="004C3AD2"/>
    <w:rsid w:val="004C5FCC"/>
    <w:rsid w:val="004D084D"/>
    <w:rsid w:val="004F21C4"/>
    <w:rsid w:val="004F32AB"/>
    <w:rsid w:val="004F685F"/>
    <w:rsid w:val="00503B45"/>
    <w:rsid w:val="00513D21"/>
    <w:rsid w:val="0052142C"/>
    <w:rsid w:val="005226F0"/>
    <w:rsid w:val="005566E8"/>
    <w:rsid w:val="005577F4"/>
    <w:rsid w:val="00557D73"/>
    <w:rsid w:val="00561460"/>
    <w:rsid w:val="00565B57"/>
    <w:rsid w:val="00571C0D"/>
    <w:rsid w:val="00574867"/>
    <w:rsid w:val="00575CA0"/>
    <w:rsid w:val="00591460"/>
    <w:rsid w:val="005A2340"/>
    <w:rsid w:val="005A6686"/>
    <w:rsid w:val="005C3777"/>
    <w:rsid w:val="005C5CDC"/>
    <w:rsid w:val="005C7253"/>
    <w:rsid w:val="005C7A19"/>
    <w:rsid w:val="005D476C"/>
    <w:rsid w:val="006219F8"/>
    <w:rsid w:val="00633C0C"/>
    <w:rsid w:val="00633D73"/>
    <w:rsid w:val="00634B70"/>
    <w:rsid w:val="00643C0A"/>
    <w:rsid w:val="0066098E"/>
    <w:rsid w:val="00665D70"/>
    <w:rsid w:val="00681928"/>
    <w:rsid w:val="006900D9"/>
    <w:rsid w:val="00691C2C"/>
    <w:rsid w:val="006A04D4"/>
    <w:rsid w:val="006B3626"/>
    <w:rsid w:val="006B6BB3"/>
    <w:rsid w:val="006D0F00"/>
    <w:rsid w:val="006E5E16"/>
    <w:rsid w:val="006E681D"/>
    <w:rsid w:val="006F3E23"/>
    <w:rsid w:val="00701B0A"/>
    <w:rsid w:val="00706C16"/>
    <w:rsid w:val="00734443"/>
    <w:rsid w:val="00744AF3"/>
    <w:rsid w:val="00752A66"/>
    <w:rsid w:val="00756841"/>
    <w:rsid w:val="00757E7B"/>
    <w:rsid w:val="00763426"/>
    <w:rsid w:val="00763FB2"/>
    <w:rsid w:val="007649AB"/>
    <w:rsid w:val="00771D0C"/>
    <w:rsid w:val="007833AC"/>
    <w:rsid w:val="007845D3"/>
    <w:rsid w:val="00794409"/>
    <w:rsid w:val="007B268C"/>
    <w:rsid w:val="007B497B"/>
    <w:rsid w:val="007B7171"/>
    <w:rsid w:val="007B717D"/>
    <w:rsid w:val="007C3DC2"/>
    <w:rsid w:val="007C61E4"/>
    <w:rsid w:val="007E210B"/>
    <w:rsid w:val="007E5497"/>
    <w:rsid w:val="008052E0"/>
    <w:rsid w:val="00806F5F"/>
    <w:rsid w:val="00820278"/>
    <w:rsid w:val="00862614"/>
    <w:rsid w:val="00873A5C"/>
    <w:rsid w:val="008762FE"/>
    <w:rsid w:val="008843B6"/>
    <w:rsid w:val="00891928"/>
    <w:rsid w:val="008A446D"/>
    <w:rsid w:val="008B7F2E"/>
    <w:rsid w:val="008C57C8"/>
    <w:rsid w:val="008D180B"/>
    <w:rsid w:val="008D4241"/>
    <w:rsid w:val="008F0EA7"/>
    <w:rsid w:val="008F65F4"/>
    <w:rsid w:val="008F6932"/>
    <w:rsid w:val="008F7BEF"/>
    <w:rsid w:val="00906708"/>
    <w:rsid w:val="00913C5F"/>
    <w:rsid w:val="00923EEF"/>
    <w:rsid w:val="009318B7"/>
    <w:rsid w:val="009411B6"/>
    <w:rsid w:val="009419F9"/>
    <w:rsid w:val="00957590"/>
    <w:rsid w:val="00961B09"/>
    <w:rsid w:val="00965334"/>
    <w:rsid w:val="0097093E"/>
    <w:rsid w:val="00990DB0"/>
    <w:rsid w:val="00992013"/>
    <w:rsid w:val="00993330"/>
    <w:rsid w:val="0099722A"/>
    <w:rsid w:val="0099741F"/>
    <w:rsid w:val="009A3818"/>
    <w:rsid w:val="009A6976"/>
    <w:rsid w:val="009C71FA"/>
    <w:rsid w:val="009C72E7"/>
    <w:rsid w:val="009C7F65"/>
    <w:rsid w:val="009E7139"/>
    <w:rsid w:val="009F3A13"/>
    <w:rsid w:val="00A0036A"/>
    <w:rsid w:val="00A07B15"/>
    <w:rsid w:val="00A122D3"/>
    <w:rsid w:val="00A17F13"/>
    <w:rsid w:val="00A20739"/>
    <w:rsid w:val="00A2465C"/>
    <w:rsid w:val="00A33C78"/>
    <w:rsid w:val="00A619D2"/>
    <w:rsid w:val="00A7780D"/>
    <w:rsid w:val="00AA3DF7"/>
    <w:rsid w:val="00AB02C6"/>
    <w:rsid w:val="00AB0ADB"/>
    <w:rsid w:val="00AC3A56"/>
    <w:rsid w:val="00AF0322"/>
    <w:rsid w:val="00AF69BF"/>
    <w:rsid w:val="00B110A6"/>
    <w:rsid w:val="00B129AE"/>
    <w:rsid w:val="00B204AD"/>
    <w:rsid w:val="00B72CD3"/>
    <w:rsid w:val="00B72FFF"/>
    <w:rsid w:val="00B846EB"/>
    <w:rsid w:val="00B869B1"/>
    <w:rsid w:val="00BC3D36"/>
    <w:rsid w:val="00BD7F72"/>
    <w:rsid w:val="00C04FB3"/>
    <w:rsid w:val="00C20B4D"/>
    <w:rsid w:val="00C330EB"/>
    <w:rsid w:val="00C478CB"/>
    <w:rsid w:val="00C55B88"/>
    <w:rsid w:val="00C633A0"/>
    <w:rsid w:val="00C71481"/>
    <w:rsid w:val="00C754BE"/>
    <w:rsid w:val="00C76B1C"/>
    <w:rsid w:val="00CB6357"/>
    <w:rsid w:val="00CC1B26"/>
    <w:rsid w:val="00D11B80"/>
    <w:rsid w:val="00D24042"/>
    <w:rsid w:val="00D3001B"/>
    <w:rsid w:val="00D32D0B"/>
    <w:rsid w:val="00D423A2"/>
    <w:rsid w:val="00D63AC2"/>
    <w:rsid w:val="00D7383B"/>
    <w:rsid w:val="00D85EBC"/>
    <w:rsid w:val="00D90F9F"/>
    <w:rsid w:val="00DA231B"/>
    <w:rsid w:val="00DA3674"/>
    <w:rsid w:val="00DC1BDA"/>
    <w:rsid w:val="00DF5254"/>
    <w:rsid w:val="00E00093"/>
    <w:rsid w:val="00E07FEF"/>
    <w:rsid w:val="00E16408"/>
    <w:rsid w:val="00E165EA"/>
    <w:rsid w:val="00E20894"/>
    <w:rsid w:val="00E245AB"/>
    <w:rsid w:val="00E263EF"/>
    <w:rsid w:val="00E2764C"/>
    <w:rsid w:val="00E27DEB"/>
    <w:rsid w:val="00E27F2E"/>
    <w:rsid w:val="00E31B00"/>
    <w:rsid w:val="00E3503C"/>
    <w:rsid w:val="00E42A66"/>
    <w:rsid w:val="00E50AFE"/>
    <w:rsid w:val="00E66989"/>
    <w:rsid w:val="00E71EBD"/>
    <w:rsid w:val="00E771DC"/>
    <w:rsid w:val="00E843F0"/>
    <w:rsid w:val="00E8449C"/>
    <w:rsid w:val="00E8772A"/>
    <w:rsid w:val="00E90F6B"/>
    <w:rsid w:val="00E92C27"/>
    <w:rsid w:val="00E96D91"/>
    <w:rsid w:val="00E97D30"/>
    <w:rsid w:val="00EA0E3D"/>
    <w:rsid w:val="00EB1DC2"/>
    <w:rsid w:val="00EC0071"/>
    <w:rsid w:val="00EE1826"/>
    <w:rsid w:val="00EE1AA8"/>
    <w:rsid w:val="00EE52D9"/>
    <w:rsid w:val="00F0683C"/>
    <w:rsid w:val="00F1292B"/>
    <w:rsid w:val="00F31EDC"/>
    <w:rsid w:val="00F462B3"/>
    <w:rsid w:val="00F54DC8"/>
    <w:rsid w:val="00F5664F"/>
    <w:rsid w:val="00F666C4"/>
    <w:rsid w:val="00F74F05"/>
    <w:rsid w:val="00F76AFC"/>
    <w:rsid w:val="00F973EF"/>
    <w:rsid w:val="00FA04C7"/>
    <w:rsid w:val="00FB5DD1"/>
    <w:rsid w:val="00FB6543"/>
    <w:rsid w:val="00FB69ED"/>
    <w:rsid w:val="00FC2B5D"/>
    <w:rsid w:val="00FD0BAA"/>
    <w:rsid w:val="00FE27A8"/>
    <w:rsid w:val="00FF1449"/>
    <w:rsid w:val="03CFDCC3"/>
    <w:rsid w:val="187C5841"/>
    <w:rsid w:val="1A640D15"/>
    <w:rsid w:val="29DCA39A"/>
    <w:rsid w:val="30FC0CAA"/>
    <w:rsid w:val="3C0A51B6"/>
    <w:rsid w:val="4CFD8B8F"/>
    <w:rsid w:val="7B1532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8D4241"/>
    <w:pPr>
      <w:spacing w:line="240" w:lineRule="exact"/>
    </w:pPr>
    <w:rPr>
      <w:vertAlign w:val="superscript"/>
    </w:rPr>
  </w:style>
  <w:style w:type="character" w:styleId="NormalWebCar" w:customStyle="1">
    <w:name w:val="Normal (Web) Car"/>
    <w:link w:val="NormalWeb"/>
    <w:uiPriority w:val="99"/>
    <w:rsid w:val="00701B0A"/>
    <w:rPr>
      <w:rFonts w:ascii="Times New Roman" w:hAnsi="Times New Roman" w:eastAsia="Times New Roman" w:cs="Times New Roman"/>
      <w:sz w:val="24"/>
      <w:szCs w:val="24"/>
      <w:lang w:eastAsia="es-CO"/>
    </w:rPr>
  </w:style>
  <w:style w:type="table" w:styleId="Tablaconcuadrcula1" w:customStyle="1">
    <w:name w:val="Tabla con cuadrícula1"/>
    <w:basedOn w:val="Tablanormal"/>
    <w:next w:val="Tablaconcuadrcula"/>
    <w:uiPriority w:val="59"/>
    <w:rsid w:val="0073444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57C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6489087">
      <w:bodyDiv w:val="1"/>
      <w:marLeft w:val="0"/>
      <w:marRight w:val="0"/>
      <w:marTop w:val="0"/>
      <w:marBottom w:val="0"/>
      <w:divBdr>
        <w:top w:val="none" w:sz="0" w:space="0" w:color="auto"/>
        <w:left w:val="none" w:sz="0" w:space="0" w:color="auto"/>
        <w:bottom w:val="none" w:sz="0" w:space="0" w:color="auto"/>
        <w:right w:val="none" w:sz="0" w:space="0" w:color="auto"/>
      </w:divBdr>
      <w:divsChild>
        <w:div w:id="901331102">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s/cce_guia_regimen_especial.pdf" TargetMode="External"/><Relationship Id="rId2" Type="http://schemas.openxmlformats.org/officeDocument/2006/relationships/hyperlink" Target="https://www.colombiacompra.gov.co/sites/cce_public/files/cce_documents/cce_guia_regimen_especial.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64A44A7F-A6D3-4225-AE8D-FA64A01C6F5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Any Alejandra Tovar Castillo</cp:lastModifiedBy>
  <cp:revision>4</cp:revision>
  <cp:lastPrinted>2023-01-10T21:18:00Z</cp:lastPrinted>
  <dcterms:created xsi:type="dcterms:W3CDTF">2023-10-26T01:55:00Z</dcterms:created>
  <dcterms:modified xsi:type="dcterms:W3CDTF">2023-11-29T20:30:38Z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