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64EC2" w14:textId="77777777" w:rsidR="00EB3C5E" w:rsidRPr="00EB3C5E" w:rsidRDefault="00EB3C5E" w:rsidP="00EB3C5E">
      <w:pPr>
        <w:autoSpaceDE w:val="0"/>
        <w:autoSpaceDN w:val="0"/>
        <w:adjustRightInd w:val="0"/>
        <w:jc w:val="right"/>
        <w:rPr>
          <w:rFonts w:ascii="Arial" w:eastAsia="Calibri" w:hAnsi="Arial" w:cs="Arial"/>
          <w:b/>
          <w:bCs/>
          <w:color w:val="000000" w:themeColor="text1"/>
          <w:sz w:val="16"/>
          <w:szCs w:val="16"/>
          <w:lang w:val="es-MX" w:eastAsia="en-US"/>
        </w:rPr>
      </w:pPr>
      <w:r w:rsidRPr="00EB3C5E">
        <w:rPr>
          <w:rFonts w:ascii="Arial" w:eastAsia="Calibri" w:hAnsi="Arial" w:cs="Arial"/>
          <w:b/>
          <w:bCs/>
          <w:color w:val="000000" w:themeColor="text1"/>
          <w:sz w:val="16"/>
          <w:szCs w:val="16"/>
          <w:lang w:val="es-MX" w:eastAsia="en-US"/>
        </w:rPr>
        <w:t>CCE-DES-FM-17</w:t>
      </w:r>
    </w:p>
    <w:p w14:paraId="3AA910CD" w14:textId="77777777" w:rsidR="00EB3C5E" w:rsidRPr="00892F50" w:rsidRDefault="00EB3C5E" w:rsidP="00892F50">
      <w:pPr>
        <w:autoSpaceDE w:val="0"/>
        <w:autoSpaceDN w:val="0"/>
        <w:adjustRightInd w:val="0"/>
        <w:jc w:val="both"/>
        <w:rPr>
          <w:rFonts w:ascii="Arial" w:eastAsia="Calibri" w:hAnsi="Arial" w:cs="Arial"/>
          <w:b/>
          <w:bCs/>
          <w:color w:val="000000" w:themeColor="text1"/>
          <w:sz w:val="22"/>
          <w:szCs w:val="22"/>
          <w:lang w:val="es-MX" w:eastAsia="en-US"/>
        </w:rPr>
      </w:pPr>
    </w:p>
    <w:p w14:paraId="59F04A82" w14:textId="4D11BF34" w:rsidR="00C4318E" w:rsidRPr="00C4318E" w:rsidRDefault="00C4318E" w:rsidP="00892F50">
      <w:pPr>
        <w:jc w:val="both"/>
        <w:rPr>
          <w:rFonts w:ascii="Arial" w:eastAsia="Calibri" w:hAnsi="Arial" w:cs="Arial"/>
          <w:b/>
          <w:color w:val="000000" w:themeColor="text1"/>
          <w:sz w:val="20"/>
          <w:szCs w:val="20"/>
          <w:lang w:val="es-MX" w:eastAsia="en-US"/>
        </w:rPr>
      </w:pPr>
      <w:r w:rsidRPr="00C4318E">
        <w:rPr>
          <w:rFonts w:ascii="Arial" w:eastAsia="Calibri" w:hAnsi="Arial" w:cs="Arial"/>
          <w:b/>
          <w:color w:val="000000" w:themeColor="text1"/>
          <w:sz w:val="22"/>
          <w:szCs w:val="20"/>
          <w:lang w:val="es-MX" w:eastAsia="en-US"/>
        </w:rPr>
        <w:t>MANIFESTACIÓN DE INTERÉS –</w:t>
      </w:r>
      <w:r w:rsidR="00E76DC5">
        <w:rPr>
          <w:rFonts w:ascii="Arial" w:eastAsia="Calibri" w:hAnsi="Arial" w:cs="Arial"/>
          <w:b/>
          <w:color w:val="000000" w:themeColor="text1"/>
          <w:sz w:val="22"/>
          <w:szCs w:val="20"/>
          <w:lang w:val="es-MX" w:eastAsia="en-US"/>
        </w:rPr>
        <w:t xml:space="preserve"> </w:t>
      </w:r>
      <w:r w:rsidRPr="00C4318E">
        <w:rPr>
          <w:rFonts w:ascii="Arial" w:eastAsia="Calibri" w:hAnsi="Arial" w:cs="Arial"/>
          <w:b/>
          <w:color w:val="000000" w:themeColor="text1"/>
          <w:sz w:val="22"/>
          <w:szCs w:val="20"/>
          <w:lang w:val="es-MX" w:eastAsia="en-US"/>
        </w:rPr>
        <w:t>Co</w:t>
      </w:r>
      <w:r>
        <w:rPr>
          <w:rFonts w:ascii="Arial" w:eastAsia="Calibri" w:hAnsi="Arial" w:cs="Arial"/>
          <w:b/>
          <w:color w:val="000000" w:themeColor="text1"/>
          <w:sz w:val="22"/>
          <w:szCs w:val="20"/>
          <w:lang w:val="es-MX" w:eastAsia="en-US"/>
        </w:rPr>
        <w:t xml:space="preserve">ncepto </w:t>
      </w:r>
      <w:r w:rsidRPr="00892F50">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w:t>
      </w:r>
      <w:r w:rsidR="00E76DC5">
        <w:rPr>
          <w:rFonts w:ascii="Arial" w:eastAsia="Calibri" w:hAnsi="Arial" w:cs="Arial"/>
          <w:b/>
          <w:color w:val="000000" w:themeColor="text1"/>
          <w:sz w:val="22"/>
          <w:szCs w:val="20"/>
          <w:lang w:val="es-MX" w:eastAsia="en-US"/>
        </w:rPr>
        <w:t>C</w:t>
      </w:r>
      <w:r w:rsidRPr="00C4318E">
        <w:rPr>
          <w:rFonts w:ascii="Arial" w:eastAsia="Calibri" w:hAnsi="Arial" w:cs="Arial"/>
          <w:b/>
          <w:color w:val="000000" w:themeColor="text1"/>
          <w:sz w:val="22"/>
          <w:szCs w:val="20"/>
          <w:lang w:val="es-MX" w:eastAsia="en-US"/>
        </w:rPr>
        <w:t>aracterísticas</w:t>
      </w:r>
    </w:p>
    <w:p w14:paraId="308F38AC" w14:textId="7F696597" w:rsidR="00C4318E" w:rsidRDefault="00C4318E" w:rsidP="00892F50">
      <w:pPr>
        <w:jc w:val="both"/>
        <w:rPr>
          <w:rFonts w:ascii="Arial" w:eastAsia="Calibri" w:hAnsi="Arial" w:cs="Arial"/>
          <w:color w:val="000000" w:themeColor="text1"/>
          <w:sz w:val="20"/>
          <w:szCs w:val="20"/>
          <w:lang w:val="es-MX" w:eastAsia="en-US"/>
        </w:rPr>
      </w:pPr>
    </w:p>
    <w:p w14:paraId="0E46C13D" w14:textId="7DB6DB00" w:rsidR="00C4318E" w:rsidRPr="003814ED" w:rsidRDefault="00295AE0" w:rsidP="003814ED">
      <w:pPr>
        <w:spacing w:before="120" w:after="120"/>
        <w:jc w:val="both"/>
        <w:rPr>
          <w:rFonts w:ascii="Arial" w:eastAsia="Calibri" w:hAnsi="Arial" w:cs="Arial"/>
          <w:color w:val="000000" w:themeColor="text1"/>
          <w:sz w:val="20"/>
          <w:szCs w:val="22"/>
          <w:lang w:val="es-MX" w:eastAsia="en-US"/>
        </w:rPr>
      </w:pPr>
      <w:r>
        <w:rPr>
          <w:rFonts w:ascii="Arial" w:eastAsia="Calibri" w:hAnsi="Arial" w:cs="Arial"/>
          <w:color w:val="000000" w:themeColor="text1"/>
          <w:sz w:val="20"/>
          <w:szCs w:val="22"/>
          <w:lang w:val="es-MX" w:eastAsia="en-US"/>
        </w:rPr>
        <w:t>[…] l</w:t>
      </w:r>
      <w:r w:rsidR="00C4318E" w:rsidRPr="00C4318E">
        <w:rPr>
          <w:rFonts w:ascii="Arial" w:eastAsia="Calibri" w:hAnsi="Arial" w:cs="Arial"/>
          <w:color w:val="000000" w:themeColor="text1"/>
          <w:sz w:val="20"/>
          <w:szCs w:val="22"/>
          <w:lang w:val="es-MX" w:eastAsia="en-US"/>
        </w:rPr>
        <w:t>a manifestación de interés para participar es un acto mediante el cual el interesado expresa a la entidad su interés de participar en el procedimiento de menor cuantía o en un concurso de méritos con precalificación. Las normas de ambos procesos de selección no señalan la forma como debe realizarse la manifestación, por lo cual es facultativo de la entidad definirlo, pudiendo señalar que sea por correo electrónico, o una comunicación escrita o verbal ante la misma entidad pública, entre otras actuaciones. En todo caso, esta comunicación, mínimo, debe contener la identificación básica del interesado, junto con la manifestación de estar interesado en participar dentro del proceso de contratación respectivo.</w:t>
      </w:r>
    </w:p>
    <w:p w14:paraId="7CB79CD8" w14:textId="3BB452A7" w:rsidR="00786E71" w:rsidRPr="00786E71" w:rsidRDefault="00786E71" w:rsidP="00786E71">
      <w:pPr>
        <w:jc w:val="both"/>
        <w:rPr>
          <w:rFonts w:ascii="Arial" w:eastAsia="Calibri" w:hAnsi="Arial" w:cs="Arial"/>
          <w:color w:val="000000" w:themeColor="text1"/>
          <w:sz w:val="20"/>
          <w:szCs w:val="20"/>
          <w:lang w:val="es-MX" w:eastAsia="en-US"/>
        </w:rPr>
      </w:pPr>
    </w:p>
    <w:p w14:paraId="67AB6AE2" w14:textId="19C475B7" w:rsidR="00C4318E" w:rsidRPr="00295AE0" w:rsidRDefault="00C4318E" w:rsidP="00892F50">
      <w:pPr>
        <w:jc w:val="both"/>
        <w:rPr>
          <w:rFonts w:ascii="Arial" w:eastAsia="Calibri" w:hAnsi="Arial" w:cs="Arial"/>
          <w:b/>
          <w:color w:val="000000" w:themeColor="text1"/>
          <w:sz w:val="22"/>
          <w:szCs w:val="20"/>
          <w:lang w:val="es-MX" w:eastAsia="en-US"/>
        </w:rPr>
      </w:pPr>
      <w:r w:rsidRPr="00295AE0">
        <w:rPr>
          <w:rFonts w:ascii="Arial" w:eastAsia="Calibri" w:hAnsi="Arial" w:cs="Arial"/>
          <w:b/>
          <w:color w:val="000000" w:themeColor="text1"/>
          <w:sz w:val="22"/>
          <w:szCs w:val="20"/>
          <w:lang w:val="es-MX" w:eastAsia="en-US"/>
        </w:rPr>
        <w:t>MANIFESTACIÓN DE INTERÉS –</w:t>
      </w:r>
      <w:r w:rsidR="00E76DC5" w:rsidRPr="00295AE0">
        <w:rPr>
          <w:rFonts w:ascii="Arial" w:eastAsia="Calibri" w:hAnsi="Arial" w:cs="Arial"/>
          <w:b/>
          <w:color w:val="000000" w:themeColor="text1"/>
          <w:sz w:val="22"/>
          <w:szCs w:val="20"/>
          <w:lang w:val="es-MX" w:eastAsia="en-US"/>
        </w:rPr>
        <w:t xml:space="preserve"> </w:t>
      </w:r>
      <w:r w:rsidRPr="00295AE0">
        <w:rPr>
          <w:rFonts w:ascii="Arial" w:eastAsia="Calibri" w:hAnsi="Arial" w:cs="Arial"/>
          <w:b/>
          <w:color w:val="000000" w:themeColor="text1"/>
          <w:sz w:val="22"/>
          <w:szCs w:val="20"/>
          <w:lang w:val="es-MX" w:eastAsia="en-US"/>
        </w:rPr>
        <w:t xml:space="preserve">Selección abreviada de menor cuantía </w:t>
      </w:r>
      <w:r w:rsidRPr="00295AE0">
        <w:rPr>
          <w:rFonts w:ascii="Arial" w:eastAsia="Calibri" w:hAnsi="Arial" w:cs="Arial"/>
          <w:b/>
          <w:color w:val="000000" w:themeColor="text1"/>
          <w:sz w:val="22"/>
          <w:szCs w:val="22"/>
          <w:lang w:val="es-MX" w:eastAsia="en-US"/>
        </w:rPr>
        <w:t>–</w:t>
      </w:r>
      <w:r w:rsidR="008B4C7B" w:rsidRPr="00295AE0">
        <w:rPr>
          <w:rFonts w:ascii="Arial" w:eastAsia="Calibri" w:hAnsi="Arial" w:cs="Arial"/>
          <w:b/>
          <w:color w:val="000000" w:themeColor="text1"/>
          <w:sz w:val="22"/>
          <w:szCs w:val="20"/>
          <w:lang w:val="es-MX" w:eastAsia="en-US"/>
        </w:rPr>
        <w:t xml:space="preserve"> </w:t>
      </w:r>
      <w:r w:rsidR="00E76DC5" w:rsidRPr="00295AE0">
        <w:rPr>
          <w:rFonts w:ascii="Arial" w:eastAsia="Calibri" w:hAnsi="Arial" w:cs="Arial"/>
          <w:b/>
          <w:color w:val="000000" w:themeColor="text1"/>
          <w:sz w:val="22"/>
          <w:szCs w:val="20"/>
          <w:lang w:val="es-MX" w:eastAsia="en-US"/>
        </w:rPr>
        <w:t>R</w:t>
      </w:r>
      <w:r w:rsidR="008B4C7B" w:rsidRPr="00295AE0">
        <w:rPr>
          <w:rFonts w:ascii="Arial" w:eastAsia="Calibri" w:hAnsi="Arial" w:cs="Arial"/>
          <w:b/>
          <w:color w:val="000000" w:themeColor="text1"/>
          <w:sz w:val="22"/>
          <w:szCs w:val="20"/>
          <w:lang w:val="es-MX" w:eastAsia="en-US"/>
        </w:rPr>
        <w:t>equisito</w:t>
      </w:r>
      <w:r w:rsidRPr="00295AE0">
        <w:rPr>
          <w:rFonts w:ascii="Arial" w:eastAsia="Calibri" w:hAnsi="Arial" w:cs="Arial"/>
          <w:b/>
          <w:color w:val="000000" w:themeColor="text1"/>
          <w:sz w:val="22"/>
          <w:szCs w:val="20"/>
          <w:lang w:val="es-MX" w:eastAsia="en-US"/>
        </w:rPr>
        <w:t xml:space="preserve"> habilitante </w:t>
      </w:r>
    </w:p>
    <w:p w14:paraId="1148318D" w14:textId="0D3FCA3E" w:rsidR="00892F50" w:rsidRPr="00295AE0" w:rsidRDefault="00892F50" w:rsidP="00892F50">
      <w:pPr>
        <w:spacing w:after="18"/>
        <w:rPr>
          <w:rFonts w:ascii="Arial" w:eastAsiaTheme="minorHAnsi" w:hAnsi="Arial" w:cs="Arial"/>
          <w:color w:val="000000" w:themeColor="text1"/>
          <w:sz w:val="20"/>
          <w:szCs w:val="20"/>
          <w:lang w:val="es-MX" w:eastAsia="en-US"/>
        </w:rPr>
      </w:pPr>
    </w:p>
    <w:p w14:paraId="4573BAF8" w14:textId="5ED3A854" w:rsidR="00771742" w:rsidRDefault="00771742" w:rsidP="00771742">
      <w:pPr>
        <w:jc w:val="both"/>
        <w:rPr>
          <w:rFonts w:ascii="Arial" w:eastAsia="Calibri" w:hAnsi="Arial" w:cs="Arial"/>
          <w:sz w:val="20"/>
          <w:szCs w:val="20"/>
          <w:lang w:val="es-MX" w:eastAsia="en-US"/>
        </w:rPr>
      </w:pPr>
      <w:r w:rsidRPr="00295AE0">
        <w:rPr>
          <w:rFonts w:ascii="Arial" w:eastAsia="Calibri" w:hAnsi="Arial" w:cs="Arial"/>
          <w:sz w:val="20"/>
          <w:szCs w:val="20"/>
          <w:lang w:val="es-MX" w:eastAsia="en-US"/>
        </w:rPr>
        <w:t xml:space="preserve">[…] </w:t>
      </w:r>
      <w:r w:rsidR="00C62A26" w:rsidRPr="00295AE0">
        <w:rPr>
          <w:rFonts w:ascii="Arial" w:eastAsia="Calibri" w:hAnsi="Arial" w:cs="Arial"/>
          <w:sz w:val="20"/>
          <w:szCs w:val="20"/>
          <w:lang w:val="es-MX" w:eastAsia="en-US"/>
        </w:rPr>
        <w:t>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00C62A26" w:rsidRPr="00295AE0">
        <w:rPr>
          <w:rFonts w:ascii="Arial" w:hAnsi="Arial" w:cs="Arial"/>
          <w:sz w:val="20"/>
          <w:szCs w:val="20"/>
          <w:shd w:val="clear" w:color="auto" w:fill="FFFFFF"/>
        </w:rPr>
        <w:t xml:space="preserve"> para participar en un proceso de contratación como oferente. En efecto, </w:t>
      </w:r>
      <w:r w:rsidR="00C62A26" w:rsidRPr="00295AE0">
        <w:rPr>
          <w:rFonts w:ascii="Arial" w:eastAsia="Calibri" w:hAnsi="Arial" w:cs="Arial"/>
          <w:sz w:val="20"/>
          <w:szCs w:val="20"/>
          <w:lang w:val="es-MX" w:eastAsia="en-US"/>
        </w:rPr>
        <w:t>según lo dispuesto en el artículo 2.2.1.2.1.2.20 del Decreto 1082 de 2015</w:t>
      </w:r>
      <w:r w:rsidR="00C62A26" w:rsidRPr="00295AE0">
        <w:rPr>
          <w:rFonts w:ascii="Arial" w:eastAsia="Calibri" w:hAnsi="Arial" w:cs="Arial"/>
          <w:sz w:val="20"/>
          <w:szCs w:val="20"/>
          <w:vertAlign w:val="superscript"/>
          <w:lang w:val="es-MX" w:eastAsia="en-US"/>
        </w:rPr>
        <w:t xml:space="preserve">, </w:t>
      </w:r>
      <w:r w:rsidR="00C62A26" w:rsidRPr="00295AE0">
        <w:rPr>
          <w:rFonts w:ascii="Arial" w:eastAsia="Calibri" w:hAnsi="Arial" w:cs="Arial"/>
          <w:sz w:val="20"/>
          <w:szCs w:val="20"/>
          <w:lang w:val="es-MX" w:eastAsia="en-US"/>
        </w:rPr>
        <w:t>el procedimiento inicia con la apertura del proceso que haga la entidad, y los interesados en el procedimiento contractual deben presentar una «manifestación de interés» para participar en el mismo, como requisito para poder continuar participando en el procedimiento de selección.</w:t>
      </w:r>
    </w:p>
    <w:p w14:paraId="78ED84DD" w14:textId="77777777" w:rsidR="00DE7862" w:rsidRDefault="00DE7862" w:rsidP="00771742">
      <w:pPr>
        <w:jc w:val="both"/>
        <w:rPr>
          <w:rFonts w:ascii="Arial" w:eastAsia="Calibri" w:hAnsi="Arial" w:cs="Arial"/>
          <w:sz w:val="20"/>
          <w:szCs w:val="20"/>
          <w:lang w:val="es-MX" w:eastAsia="en-US"/>
        </w:rPr>
      </w:pPr>
    </w:p>
    <w:p w14:paraId="5462A15A" w14:textId="77777777" w:rsidR="00DE7862" w:rsidRDefault="00DE7862" w:rsidP="00DE7862">
      <w:pPr>
        <w:jc w:val="both"/>
        <w:rPr>
          <w:rFonts w:ascii="Arial" w:eastAsia="Calibri" w:hAnsi="Arial" w:cs="Arial"/>
          <w:color w:val="000000" w:themeColor="text1"/>
          <w:sz w:val="20"/>
          <w:szCs w:val="20"/>
          <w:lang w:val="es-MX" w:eastAsia="en-US"/>
        </w:rPr>
      </w:pPr>
      <w:r w:rsidRPr="00771742">
        <w:rPr>
          <w:rFonts w:ascii="Arial" w:eastAsia="Calibri" w:hAnsi="Arial" w:cs="Arial"/>
          <w:b/>
          <w:color w:val="000000" w:themeColor="text1"/>
          <w:sz w:val="22"/>
          <w:szCs w:val="22"/>
          <w:lang w:val="es-MX" w:eastAsia="en-US"/>
        </w:rPr>
        <w:t>SELECCIÓN ABREVIADA –</w:t>
      </w:r>
      <w:r>
        <w:rPr>
          <w:rFonts w:ascii="Arial" w:eastAsia="Calibri" w:hAnsi="Arial" w:cs="Arial"/>
          <w:b/>
          <w:color w:val="000000" w:themeColor="text1"/>
          <w:sz w:val="22"/>
          <w:szCs w:val="22"/>
          <w:lang w:val="es-MX" w:eastAsia="en-US"/>
        </w:rPr>
        <w:t xml:space="preserve"> M</w:t>
      </w:r>
      <w:r w:rsidRPr="00771742">
        <w:rPr>
          <w:rFonts w:ascii="Arial" w:eastAsia="Calibri" w:hAnsi="Arial" w:cs="Arial"/>
          <w:b/>
          <w:color w:val="000000" w:themeColor="text1"/>
          <w:sz w:val="22"/>
          <w:szCs w:val="22"/>
          <w:lang w:val="es-MX" w:eastAsia="en-US"/>
        </w:rPr>
        <w:t>enor cuantía</w:t>
      </w:r>
      <w:r>
        <w:rPr>
          <w:rFonts w:ascii="Arial" w:eastAsia="Calibri" w:hAnsi="Arial" w:cs="Arial"/>
          <w:b/>
          <w:color w:val="000000" w:themeColor="text1"/>
          <w:sz w:val="22"/>
          <w:szCs w:val="22"/>
          <w:lang w:val="es-MX" w:eastAsia="en-US"/>
        </w:rPr>
        <w:t xml:space="preserve"> –</w:t>
      </w:r>
      <w:r w:rsidRPr="00771742">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2"/>
          <w:lang w:val="es-MX" w:eastAsia="en-US"/>
        </w:rPr>
        <w:t>Manifestación de interés – Presentación y publicación</w:t>
      </w:r>
    </w:p>
    <w:p w14:paraId="66D4DE3F" w14:textId="77777777" w:rsidR="00DE7862" w:rsidRPr="00771742" w:rsidRDefault="00DE7862" w:rsidP="00DE7862">
      <w:pPr>
        <w:jc w:val="both"/>
        <w:rPr>
          <w:rFonts w:ascii="Arial" w:eastAsia="Calibri" w:hAnsi="Arial" w:cs="Arial"/>
          <w:b/>
          <w:color w:val="000000" w:themeColor="text1"/>
          <w:sz w:val="22"/>
          <w:szCs w:val="22"/>
          <w:lang w:val="es-MX" w:eastAsia="en-US"/>
        </w:rPr>
      </w:pPr>
    </w:p>
    <w:p w14:paraId="0F5F0DF3" w14:textId="77777777" w:rsidR="00DE7862" w:rsidRDefault="00DE7862" w:rsidP="00DE7862">
      <w:pPr>
        <w:jc w:val="both"/>
        <w:rPr>
          <w:rFonts w:ascii="Arial" w:eastAsia="Calibri" w:hAnsi="Arial" w:cs="Arial"/>
          <w:color w:val="000000" w:themeColor="text1"/>
          <w:sz w:val="20"/>
          <w:szCs w:val="20"/>
          <w:lang w:val="es-MX" w:eastAsia="en-US"/>
        </w:rPr>
      </w:pPr>
      <w:r w:rsidRPr="00DE7862">
        <w:rPr>
          <w:rFonts w:ascii="Arial" w:eastAsia="Calibri" w:hAnsi="Arial" w:cs="Arial"/>
          <w:color w:val="000000" w:themeColor="text1"/>
          <w:sz w:val="20"/>
          <w:szCs w:val="20"/>
          <w:lang w:val="es-MX" w:eastAsia="en-US"/>
        </w:rPr>
        <w:t>Por lo tanto, en los procedimientos de selección abreviada de menor cuantía que se tramiten en el SECOP II, la única forma válida de manifestar interés es a través de dicho sistema, salvo que se presente una falla general o específica. En tal caso se puede efectuar la manifestación de interés por mensaje dentro de la plataforma o correo electrónico. Mientras que en los procedimientos de selección abreviada de menor cuantía que se tramiten en el SECOP I, la manifestación de interés deberá presentarse mediante el correo electrónico o la dirección física que determine la entidad en el pliego de condiciones.  En todo caso, en ambas versiones del SECOP la entidad estatal deberá publicar en la lista de manifestaciones de interés recibidas.</w:t>
      </w:r>
    </w:p>
    <w:p w14:paraId="633E6684" w14:textId="097A386A" w:rsidR="00C4318E" w:rsidRDefault="00C4318E" w:rsidP="00892F50">
      <w:pPr>
        <w:spacing w:after="18"/>
        <w:rPr>
          <w:rFonts w:ascii="Arial" w:eastAsiaTheme="minorHAnsi" w:hAnsi="Arial" w:cs="Arial"/>
          <w:color w:val="000000" w:themeColor="text1"/>
          <w:sz w:val="20"/>
          <w:szCs w:val="20"/>
          <w:lang w:val="es-MX" w:eastAsia="en-US"/>
        </w:rPr>
      </w:pPr>
    </w:p>
    <w:p w14:paraId="1D647932" w14:textId="34C712D6" w:rsidR="00DE7862" w:rsidRPr="00C4318E" w:rsidRDefault="00DE7862" w:rsidP="00DE7862">
      <w:pPr>
        <w:jc w:val="both"/>
        <w:rPr>
          <w:rFonts w:ascii="Arial" w:eastAsia="Calibri" w:hAnsi="Arial" w:cs="Arial"/>
          <w:b/>
          <w:color w:val="000000" w:themeColor="text1"/>
          <w:sz w:val="20"/>
          <w:szCs w:val="20"/>
          <w:lang w:val="es-MX" w:eastAsia="en-US"/>
        </w:rPr>
      </w:pPr>
      <w:r w:rsidRPr="00C4318E">
        <w:rPr>
          <w:rFonts w:ascii="Arial" w:eastAsia="Calibri" w:hAnsi="Arial" w:cs="Arial"/>
          <w:b/>
          <w:color w:val="000000" w:themeColor="text1"/>
          <w:sz w:val="22"/>
          <w:szCs w:val="20"/>
          <w:lang w:val="es-MX" w:eastAsia="en-US"/>
        </w:rPr>
        <w:t>MANIFESTACIÓN DE INTERÉS –</w:t>
      </w:r>
      <w:r>
        <w:rPr>
          <w:rFonts w:ascii="Arial" w:eastAsia="Calibri" w:hAnsi="Arial" w:cs="Arial"/>
          <w:b/>
          <w:color w:val="000000" w:themeColor="text1"/>
          <w:sz w:val="22"/>
          <w:szCs w:val="20"/>
          <w:lang w:val="es-MX" w:eastAsia="en-US"/>
        </w:rPr>
        <w:t xml:space="preserve"> Evaluación </w:t>
      </w:r>
      <w:r w:rsidRPr="00892F50">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Sorteo</w:t>
      </w:r>
    </w:p>
    <w:p w14:paraId="328A2E5C" w14:textId="77777777" w:rsidR="00DE7862" w:rsidRDefault="00DE7862" w:rsidP="00DE7862">
      <w:pPr>
        <w:jc w:val="both"/>
        <w:rPr>
          <w:rFonts w:ascii="Arial" w:eastAsia="Calibri" w:hAnsi="Arial" w:cs="Arial"/>
          <w:color w:val="000000" w:themeColor="text1"/>
          <w:sz w:val="20"/>
          <w:szCs w:val="20"/>
          <w:lang w:val="es-MX" w:eastAsia="en-US"/>
        </w:rPr>
      </w:pPr>
    </w:p>
    <w:p w14:paraId="44D8C5EC" w14:textId="544894DD" w:rsidR="007928A1" w:rsidRDefault="00DE7862" w:rsidP="00EB3C5E">
      <w:pPr>
        <w:jc w:val="both"/>
        <w:rPr>
          <w:rFonts w:ascii="Arial" w:eastAsia="Calibri" w:hAnsi="Arial" w:cs="Arial"/>
          <w:color w:val="000000" w:themeColor="text1"/>
          <w:sz w:val="20"/>
          <w:szCs w:val="22"/>
          <w:lang w:val="es-MX" w:eastAsia="en-US"/>
        </w:rPr>
      </w:pPr>
      <w:r w:rsidRPr="00DE7862">
        <w:rPr>
          <w:rFonts w:ascii="Arial" w:eastAsia="Calibri" w:hAnsi="Arial" w:cs="Arial"/>
          <w:color w:val="000000" w:themeColor="text1"/>
          <w:sz w:val="20"/>
          <w:szCs w:val="22"/>
          <w:lang w:val="es-MX" w:eastAsia="en-US"/>
        </w:rPr>
        <w:t xml:space="preserve">El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precalificación, no obstante, esta 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w:t>
      </w:r>
      <w:proofErr w:type="spellStart"/>
      <w:r w:rsidRPr="00DE7862">
        <w:rPr>
          <w:rFonts w:ascii="Arial" w:eastAsia="Calibri" w:hAnsi="Arial" w:cs="Arial"/>
          <w:color w:val="000000" w:themeColor="text1"/>
          <w:sz w:val="20"/>
          <w:szCs w:val="22"/>
          <w:lang w:val="es-MX" w:eastAsia="en-US"/>
        </w:rPr>
        <w:t>corresponda.</w:t>
      </w:r>
      <w:r w:rsidR="00E42AD9">
        <w:rPr>
          <w:rFonts w:ascii="Arial" w:eastAsia="Calibri" w:hAnsi="Arial" w:cs="Arial"/>
          <w:color w:val="000000" w:themeColor="text1"/>
          <w:sz w:val="20"/>
          <w:szCs w:val="22"/>
          <w:lang w:val="es-MX" w:eastAsia="en-US"/>
        </w:rPr>
        <w:t>j</w:t>
      </w:r>
      <w:proofErr w:type="spellEnd"/>
    </w:p>
    <w:p w14:paraId="561132D8" w14:textId="3DA71736" w:rsidR="007928A1" w:rsidRDefault="007928A1" w:rsidP="007928A1">
      <w:pPr>
        <w:jc w:val="right"/>
        <w:rPr>
          <w:rFonts w:ascii="Arial" w:eastAsia="Arial MT" w:hAnsi="Arial MT" w:cs="Arial MT"/>
          <w:b/>
          <w:color w:val="585858"/>
          <w:sz w:val="18"/>
          <w:szCs w:val="22"/>
          <w:lang w:val="es-ES" w:eastAsia="en-US"/>
        </w:rPr>
      </w:pPr>
    </w:p>
    <w:p w14:paraId="247492FA" w14:textId="65E3C0E5" w:rsidR="00C62A26" w:rsidRPr="00EB3C5E" w:rsidRDefault="007928A1" w:rsidP="007928A1">
      <w:pPr>
        <w:jc w:val="right"/>
        <w:rPr>
          <w:rFonts w:ascii="Arial" w:eastAsia="Calibri" w:hAnsi="Arial" w:cs="Arial"/>
          <w:color w:val="000000" w:themeColor="text1"/>
          <w:sz w:val="16"/>
          <w:szCs w:val="16"/>
          <w:lang w:val="es-MX" w:eastAsia="en-US"/>
        </w:rPr>
      </w:pPr>
      <w:r w:rsidRPr="00EB3C5E">
        <w:rPr>
          <w:rFonts w:ascii="Arial" w:eastAsia="Arial MT" w:hAnsi="Arial MT" w:cs="Arial MT"/>
          <w:b/>
          <w:color w:val="585858"/>
          <w:sz w:val="16"/>
          <w:szCs w:val="16"/>
          <w:lang w:val="es-ES" w:eastAsia="en-US"/>
        </w:rPr>
        <w:t>C</w:t>
      </w:r>
      <w:r w:rsidR="00C62A26" w:rsidRPr="00EB3C5E">
        <w:rPr>
          <w:rFonts w:ascii="Arial" w:eastAsia="Arial MT" w:hAnsi="Arial MT" w:cs="Arial MT"/>
          <w:b/>
          <w:color w:val="585858"/>
          <w:sz w:val="16"/>
          <w:szCs w:val="16"/>
          <w:lang w:val="es-ES" w:eastAsia="en-US"/>
        </w:rPr>
        <w:t>CE-DES-FM-17</w:t>
      </w:r>
    </w:p>
    <w:p w14:paraId="27374575" w14:textId="45031F8A" w:rsidR="00C62A26" w:rsidRPr="00C62A26" w:rsidRDefault="00C62A26" w:rsidP="00C62A26">
      <w:pPr>
        <w:widowControl w:val="0"/>
        <w:autoSpaceDE w:val="0"/>
        <w:autoSpaceDN w:val="0"/>
        <w:rPr>
          <w:rFonts w:ascii="Arial" w:eastAsia="Arial MT" w:hAnsi="Arial MT" w:cs="Arial MT"/>
          <w:b/>
          <w:sz w:val="20"/>
          <w:szCs w:val="22"/>
          <w:lang w:val="es-ES" w:eastAsia="en-US"/>
        </w:rPr>
      </w:pPr>
    </w:p>
    <w:p w14:paraId="7C8939CC" w14:textId="191CED5E" w:rsidR="00DE7862" w:rsidRPr="00EB3C5E" w:rsidRDefault="00DE7862" w:rsidP="00DE7862">
      <w:pPr>
        <w:widowControl w:val="0"/>
        <w:spacing w:after="120"/>
        <w:rPr>
          <w:rFonts w:ascii="Arial" w:hAnsi="Arial" w:cs="Arial"/>
          <w:bCs/>
          <w:sz w:val="22"/>
        </w:rPr>
      </w:pPr>
      <w:r w:rsidRPr="00B86532">
        <w:rPr>
          <w:rFonts w:ascii="Arial" w:hAnsi="Arial" w:cs="Arial"/>
          <w:sz w:val="22"/>
        </w:rPr>
        <w:t xml:space="preserve">Bogotá D.C., </w:t>
      </w:r>
      <w:r w:rsidR="00EB3C5E" w:rsidRPr="00EB3C5E">
        <w:rPr>
          <w:rFonts w:ascii="Arial" w:hAnsi="Arial" w:cs="Arial"/>
          <w:bCs/>
          <w:sz w:val="22"/>
        </w:rPr>
        <w:t>06 de julio de 2022</w:t>
      </w:r>
    </w:p>
    <w:p w14:paraId="603C96FA" w14:textId="05CAE2EE" w:rsidR="008A3156" w:rsidRDefault="00EB3C5E" w:rsidP="00C62A26">
      <w:pPr>
        <w:widowControl w:val="0"/>
        <w:autoSpaceDE w:val="0"/>
        <w:autoSpaceDN w:val="0"/>
        <w:spacing w:before="167"/>
        <w:ind w:left="100"/>
        <w:rPr>
          <w:rFonts w:ascii="Arial" w:hAnsi="Arial" w:cs="Arial"/>
          <w:b/>
          <w:sz w:val="22"/>
        </w:rPr>
      </w:pPr>
      <w:r>
        <w:rPr>
          <w:noProof/>
        </w:rPr>
        <w:drawing>
          <wp:anchor distT="0" distB="0" distL="114300" distR="114300" simplePos="0" relativeHeight="251660288" behindDoc="1" locked="0" layoutInCell="1" allowOverlap="1" wp14:anchorId="69C0B59F" wp14:editId="77FE6456">
            <wp:simplePos x="0" y="0"/>
            <wp:positionH relativeFrom="column">
              <wp:posOffset>2904502</wp:posOffset>
            </wp:positionH>
            <wp:positionV relativeFrom="paragraph">
              <wp:posOffset>32816</wp:posOffset>
            </wp:positionV>
            <wp:extent cx="3057525" cy="828675"/>
            <wp:effectExtent l="0" t="0" r="9525" b="9525"/>
            <wp:wrapTight wrapText="bothSides">
              <wp:wrapPolygon edited="0">
                <wp:start x="0" y="0"/>
                <wp:lineTo x="0" y="21352"/>
                <wp:lineTo x="21533" y="21352"/>
                <wp:lineTo x="21533"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57525" cy="828675"/>
                    </a:xfrm>
                    <a:prstGeom prst="rect">
                      <a:avLst/>
                    </a:prstGeom>
                  </pic:spPr>
                </pic:pic>
              </a:graphicData>
            </a:graphic>
          </wp:anchor>
        </w:drawing>
      </w:r>
    </w:p>
    <w:p w14:paraId="1C39F83E" w14:textId="77377508" w:rsidR="00EB3C5E" w:rsidRDefault="00EB3C5E" w:rsidP="00C62A26">
      <w:pPr>
        <w:widowControl w:val="0"/>
        <w:autoSpaceDE w:val="0"/>
        <w:autoSpaceDN w:val="0"/>
        <w:spacing w:before="167"/>
        <w:ind w:left="100"/>
        <w:rPr>
          <w:rFonts w:ascii="Arial" w:hAnsi="Arial" w:cs="Arial"/>
          <w:b/>
          <w:sz w:val="22"/>
        </w:rPr>
      </w:pPr>
    </w:p>
    <w:p w14:paraId="34D25EBB" w14:textId="5017AC6D" w:rsidR="00EB3C5E" w:rsidRDefault="00EB3C5E" w:rsidP="00EB3C5E">
      <w:pPr>
        <w:widowControl w:val="0"/>
        <w:autoSpaceDE w:val="0"/>
        <w:autoSpaceDN w:val="0"/>
        <w:spacing w:before="167"/>
        <w:ind w:left="100"/>
        <w:jc w:val="right"/>
        <w:rPr>
          <w:rFonts w:ascii="Arial MT" w:eastAsia="Arial MT" w:hAnsi="Arial MT" w:cs="Arial MT"/>
          <w:szCs w:val="22"/>
          <w:lang w:eastAsia="en-US"/>
        </w:rPr>
      </w:pPr>
    </w:p>
    <w:p w14:paraId="17D13C3F" w14:textId="6B97E496" w:rsidR="00C62A26" w:rsidRPr="00EB3C5E" w:rsidRDefault="00C62A26" w:rsidP="008A3156">
      <w:pPr>
        <w:widowControl w:val="0"/>
        <w:autoSpaceDE w:val="0"/>
        <w:autoSpaceDN w:val="0"/>
        <w:spacing w:before="167"/>
        <w:rPr>
          <w:rFonts w:ascii="Arial" w:eastAsia="Calibri" w:hAnsi="Arial" w:cs="Arial"/>
          <w:color w:val="000000" w:themeColor="text1"/>
          <w:sz w:val="22"/>
          <w:szCs w:val="22"/>
          <w:lang w:val="es-ES_tradnl"/>
        </w:rPr>
      </w:pPr>
      <w:r w:rsidRPr="00EB3C5E">
        <w:rPr>
          <w:rFonts w:ascii="Arial" w:eastAsia="Calibri" w:hAnsi="Arial" w:cs="Arial"/>
          <w:color w:val="000000" w:themeColor="text1"/>
          <w:sz w:val="22"/>
          <w:szCs w:val="22"/>
          <w:lang w:val="es-ES_tradnl"/>
        </w:rPr>
        <w:t>Señor</w:t>
      </w:r>
      <w:r w:rsidR="00EB3C5E" w:rsidRPr="00EB3C5E">
        <w:rPr>
          <w:rFonts w:ascii="Arial" w:eastAsia="Calibri" w:hAnsi="Arial" w:cs="Arial"/>
          <w:color w:val="000000" w:themeColor="text1"/>
          <w:sz w:val="22"/>
          <w:szCs w:val="22"/>
          <w:lang w:val="es-ES_tradnl"/>
        </w:rPr>
        <w:t>a</w:t>
      </w:r>
    </w:p>
    <w:p w14:paraId="18CA1F50" w14:textId="77777777" w:rsidR="00EB3C5E" w:rsidRPr="00EB3C5E" w:rsidRDefault="00EB3C5E" w:rsidP="008A3156">
      <w:pPr>
        <w:widowControl w:val="0"/>
        <w:autoSpaceDE w:val="0"/>
        <w:autoSpaceDN w:val="0"/>
        <w:rPr>
          <w:rFonts w:ascii="Arial" w:eastAsia="Calibri" w:hAnsi="Arial" w:cs="Arial"/>
          <w:b/>
          <w:bCs/>
          <w:color w:val="000000" w:themeColor="text1"/>
          <w:sz w:val="22"/>
          <w:szCs w:val="22"/>
          <w:lang w:val="es-ES_tradnl"/>
        </w:rPr>
      </w:pPr>
      <w:r w:rsidRPr="00EB3C5E">
        <w:rPr>
          <w:rFonts w:ascii="Arial" w:eastAsia="Calibri" w:hAnsi="Arial" w:cs="Arial"/>
          <w:b/>
          <w:bCs/>
          <w:color w:val="000000" w:themeColor="text1"/>
          <w:sz w:val="22"/>
          <w:szCs w:val="22"/>
          <w:lang w:val="es-ES_tradnl"/>
        </w:rPr>
        <w:t>Laura Milena Chavarro Carranza</w:t>
      </w:r>
    </w:p>
    <w:p w14:paraId="36328E10" w14:textId="37556BC6" w:rsidR="008A3156" w:rsidRDefault="00EB3C5E" w:rsidP="008A3156">
      <w:pPr>
        <w:widowControl w:val="0"/>
        <w:autoSpaceDE w:val="0"/>
        <w:autoSpaceDN w:val="0"/>
        <w:outlineLvl w:val="0"/>
        <w:rPr>
          <w:rFonts w:ascii="Arial" w:eastAsia="Calibri" w:hAnsi="Arial" w:cs="Arial"/>
          <w:color w:val="000000" w:themeColor="text1"/>
          <w:sz w:val="22"/>
          <w:szCs w:val="22"/>
          <w:lang w:val="es-ES_tradnl"/>
        </w:rPr>
      </w:pPr>
      <w:r w:rsidRPr="00EB3C5E">
        <w:rPr>
          <w:rFonts w:ascii="Arial" w:eastAsia="Calibri" w:hAnsi="Arial" w:cs="Arial"/>
          <w:color w:val="000000" w:themeColor="text1"/>
          <w:sz w:val="22"/>
          <w:szCs w:val="22"/>
          <w:lang w:val="es-ES_tradnl"/>
        </w:rPr>
        <w:t>Girardot, Cundinamarca</w:t>
      </w:r>
    </w:p>
    <w:p w14:paraId="63144C57" w14:textId="1CC19567" w:rsidR="00EB3C5E" w:rsidRDefault="00EB3C5E" w:rsidP="008A3156">
      <w:pPr>
        <w:widowControl w:val="0"/>
        <w:autoSpaceDE w:val="0"/>
        <w:autoSpaceDN w:val="0"/>
        <w:outlineLvl w:val="0"/>
        <w:rPr>
          <w:rFonts w:ascii="Arial" w:eastAsia="Calibri" w:hAnsi="Arial" w:cs="Arial"/>
          <w:color w:val="000000" w:themeColor="text1"/>
          <w:sz w:val="22"/>
          <w:szCs w:val="22"/>
          <w:lang w:val="es-ES_tradnl"/>
        </w:rPr>
      </w:pPr>
    </w:p>
    <w:p w14:paraId="498D4431" w14:textId="77777777" w:rsidR="00EB3C5E" w:rsidRPr="00EB3C5E" w:rsidRDefault="00EB3C5E" w:rsidP="008A3156">
      <w:pPr>
        <w:widowControl w:val="0"/>
        <w:autoSpaceDE w:val="0"/>
        <w:autoSpaceDN w:val="0"/>
        <w:outlineLvl w:val="0"/>
        <w:rPr>
          <w:rFonts w:ascii="Arial" w:eastAsia="Calibri" w:hAnsi="Arial" w:cs="Arial"/>
          <w:color w:val="000000" w:themeColor="text1"/>
          <w:sz w:val="22"/>
          <w:szCs w:val="22"/>
          <w:lang w:val="es-ES_tradnl"/>
        </w:rPr>
      </w:pPr>
    </w:p>
    <w:p w14:paraId="4AFA806A" w14:textId="4B7DF958" w:rsidR="00C62A26" w:rsidRPr="00EB3C5E" w:rsidRDefault="00EB3C5E" w:rsidP="00EB3C5E">
      <w:pPr>
        <w:rPr>
          <w:rFonts w:ascii="Arial" w:eastAsia="Calibri" w:hAnsi="Arial" w:cs="Arial"/>
          <w:b/>
          <w:color w:val="000000" w:themeColor="text1"/>
          <w:sz w:val="22"/>
          <w:szCs w:val="22"/>
          <w:lang w:val="es-ES_tradnl" w:eastAsia="en-US"/>
        </w:rPr>
      </w:pPr>
      <w:r>
        <w:rPr>
          <w:rFonts w:ascii="Arial" w:eastAsia="Calibri" w:hAnsi="Arial" w:cs="Arial"/>
          <w:b/>
          <w:color w:val="000000" w:themeColor="text1"/>
          <w:sz w:val="22"/>
          <w:szCs w:val="22"/>
          <w:lang w:val="es-ES_tradnl" w:eastAsia="en-US"/>
        </w:rPr>
        <w:t xml:space="preserve">                                            </w:t>
      </w:r>
      <w:r w:rsidR="00C62A26" w:rsidRPr="00B9156F">
        <w:rPr>
          <w:rFonts w:ascii="Arial" w:eastAsia="Calibri" w:hAnsi="Arial" w:cs="Arial"/>
          <w:b/>
          <w:color w:val="000000" w:themeColor="text1"/>
          <w:sz w:val="22"/>
          <w:szCs w:val="22"/>
          <w:lang w:val="es-ES_tradnl" w:eastAsia="en-US"/>
        </w:rPr>
        <w:t xml:space="preserve">Concepto C – </w:t>
      </w:r>
      <w:r w:rsidR="009453E8" w:rsidRPr="00B9156F">
        <w:rPr>
          <w:rFonts w:ascii="Arial" w:eastAsia="Calibri" w:hAnsi="Arial" w:cs="Arial"/>
          <w:b/>
          <w:color w:val="000000" w:themeColor="text1"/>
          <w:sz w:val="22"/>
          <w:szCs w:val="22"/>
          <w:lang w:val="es-ES_tradnl" w:eastAsia="en-US"/>
        </w:rPr>
        <w:t xml:space="preserve">425 </w:t>
      </w:r>
      <w:r w:rsidR="00C62A26" w:rsidRPr="00B9156F">
        <w:rPr>
          <w:rFonts w:ascii="Arial" w:eastAsia="Calibri" w:hAnsi="Arial" w:cs="Arial"/>
          <w:b/>
          <w:color w:val="000000" w:themeColor="text1"/>
          <w:sz w:val="22"/>
          <w:szCs w:val="22"/>
          <w:lang w:val="es-ES_tradnl" w:eastAsia="en-US"/>
        </w:rPr>
        <w:t xml:space="preserve">de </w:t>
      </w:r>
      <w:r w:rsidR="009453E8" w:rsidRPr="00B9156F">
        <w:rPr>
          <w:rFonts w:ascii="Arial" w:eastAsia="Calibri" w:hAnsi="Arial" w:cs="Arial"/>
          <w:b/>
          <w:color w:val="000000" w:themeColor="text1"/>
          <w:sz w:val="22"/>
          <w:szCs w:val="22"/>
          <w:lang w:val="es-ES_tradnl" w:eastAsia="en-US"/>
        </w:rPr>
        <w:t>2022</w:t>
      </w:r>
    </w:p>
    <w:p w14:paraId="21475E58" w14:textId="77777777" w:rsidR="00EB3C5E" w:rsidRDefault="00EB3C5E" w:rsidP="00C62A26">
      <w:pPr>
        <w:widowControl w:val="0"/>
        <w:autoSpaceDE w:val="0"/>
        <w:autoSpaceDN w:val="0"/>
        <w:rPr>
          <w:rFonts w:ascii="Arial" w:eastAsia="Arial MT" w:hAnsi="Arial MT" w:cs="Arial MT"/>
          <w:b/>
          <w:sz w:val="20"/>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C046A" w:rsidRPr="00F960CD" w14:paraId="2CD374ED" w14:textId="77777777" w:rsidTr="00BA0AC3">
        <w:tc>
          <w:tcPr>
            <w:tcW w:w="2689" w:type="dxa"/>
            <w:hideMark/>
          </w:tcPr>
          <w:p w14:paraId="4F8BF45E" w14:textId="77777777" w:rsidR="003C046A" w:rsidRDefault="003C046A" w:rsidP="00BA0AC3">
            <w:pPr>
              <w:rPr>
                <w:rFonts w:ascii="Arial" w:eastAsia="Calibri" w:hAnsi="Arial" w:cs="Arial"/>
                <w:b/>
                <w:sz w:val="22"/>
              </w:rPr>
            </w:pPr>
          </w:p>
          <w:p w14:paraId="472A98EF" w14:textId="77777777" w:rsidR="003C046A" w:rsidRPr="00F960CD" w:rsidRDefault="003C046A" w:rsidP="00BA0AC3">
            <w:pPr>
              <w:rPr>
                <w:rFonts w:ascii="Arial" w:eastAsia="Calibri" w:hAnsi="Arial" w:cs="Arial"/>
                <w:sz w:val="22"/>
              </w:rPr>
            </w:pPr>
            <w:r w:rsidRPr="00F960CD">
              <w:rPr>
                <w:rFonts w:ascii="Arial" w:eastAsia="Calibri" w:hAnsi="Arial" w:cs="Arial"/>
                <w:b/>
                <w:sz w:val="22"/>
              </w:rPr>
              <w:t>Temas:</w:t>
            </w:r>
            <w:r w:rsidRPr="00F960CD">
              <w:rPr>
                <w:rFonts w:ascii="Arial" w:eastAsia="Calibri" w:hAnsi="Arial" w:cs="Arial"/>
                <w:sz w:val="22"/>
              </w:rPr>
              <w:t xml:space="preserve">   </w:t>
            </w:r>
          </w:p>
        </w:tc>
        <w:tc>
          <w:tcPr>
            <w:tcW w:w="6237" w:type="dxa"/>
            <w:hideMark/>
          </w:tcPr>
          <w:p w14:paraId="6E6ED44D" w14:textId="478DAE51" w:rsidR="003C046A" w:rsidRPr="00E61491" w:rsidRDefault="003C046A" w:rsidP="00BA0AC3">
            <w:pPr>
              <w:jc w:val="both"/>
              <w:rPr>
                <w:rFonts w:ascii="Arial" w:hAnsi="Arial" w:cs="Arial"/>
                <w:sz w:val="22"/>
              </w:rPr>
            </w:pPr>
            <w:r w:rsidRPr="009453E8">
              <w:rPr>
                <w:rFonts w:ascii="Arial MT" w:eastAsia="Arial MT" w:hAnsi="Arial MT" w:cs="Arial MT"/>
                <w:sz w:val="22"/>
                <w:szCs w:val="22"/>
                <w:lang w:val="es-ES" w:eastAsia="en-US"/>
              </w:rPr>
              <w:t>MANIFESTACIÓN</w:t>
            </w:r>
            <w:r w:rsidRPr="009453E8">
              <w:rPr>
                <w:rFonts w:ascii="Arial MT" w:eastAsia="Arial MT" w:hAnsi="Arial MT" w:cs="Arial MT"/>
                <w:spacing w:val="12"/>
                <w:sz w:val="22"/>
                <w:szCs w:val="22"/>
                <w:lang w:val="es-ES" w:eastAsia="en-US"/>
              </w:rPr>
              <w:t xml:space="preserve"> </w:t>
            </w:r>
            <w:r w:rsidRPr="009453E8">
              <w:rPr>
                <w:rFonts w:ascii="Arial MT" w:eastAsia="Arial MT" w:hAnsi="Arial MT" w:cs="Arial MT"/>
                <w:sz w:val="22"/>
                <w:szCs w:val="22"/>
                <w:lang w:val="es-ES" w:eastAsia="en-US"/>
              </w:rPr>
              <w:t>DE</w:t>
            </w:r>
            <w:r w:rsidRPr="009453E8">
              <w:rPr>
                <w:rFonts w:ascii="Arial MT" w:eastAsia="Arial MT" w:hAnsi="Arial MT" w:cs="Arial MT"/>
                <w:spacing w:val="13"/>
                <w:sz w:val="22"/>
                <w:szCs w:val="22"/>
                <w:lang w:val="es-ES" w:eastAsia="en-US"/>
              </w:rPr>
              <w:t xml:space="preserve"> </w:t>
            </w:r>
            <w:r w:rsidRPr="009453E8">
              <w:rPr>
                <w:rFonts w:ascii="Arial MT" w:eastAsia="Arial MT" w:hAnsi="Arial MT" w:cs="Arial MT"/>
                <w:sz w:val="22"/>
                <w:szCs w:val="22"/>
                <w:lang w:val="es-ES" w:eastAsia="en-US"/>
              </w:rPr>
              <w:t>INTERÉS</w:t>
            </w:r>
            <w:r w:rsidRPr="009453E8">
              <w:rPr>
                <w:rFonts w:ascii="Arial MT" w:eastAsia="Arial MT" w:hAnsi="Arial MT" w:cs="Arial MT"/>
                <w:spacing w:val="14"/>
                <w:sz w:val="22"/>
                <w:szCs w:val="22"/>
                <w:lang w:val="es-ES" w:eastAsia="en-US"/>
              </w:rPr>
              <w:t xml:space="preserve"> </w:t>
            </w:r>
            <w:r w:rsidRPr="009453E8">
              <w:rPr>
                <w:rFonts w:ascii="Arial MT" w:eastAsia="Arial MT" w:hAnsi="Arial MT" w:cs="Arial MT"/>
                <w:sz w:val="22"/>
                <w:szCs w:val="22"/>
                <w:lang w:val="es-ES" w:eastAsia="en-US"/>
              </w:rPr>
              <w:t>–</w:t>
            </w:r>
            <w:r w:rsidRPr="009453E8">
              <w:rPr>
                <w:rFonts w:ascii="Arial MT" w:eastAsia="Arial MT" w:hAnsi="Arial MT" w:cs="Arial MT"/>
                <w:spacing w:val="13"/>
                <w:sz w:val="22"/>
                <w:szCs w:val="22"/>
                <w:lang w:val="es-ES" w:eastAsia="en-US"/>
              </w:rPr>
              <w:t xml:space="preserve"> </w:t>
            </w:r>
            <w:r w:rsidRPr="009453E8">
              <w:rPr>
                <w:rFonts w:ascii="Arial MT" w:eastAsia="Arial MT" w:hAnsi="Arial MT" w:cs="Arial MT"/>
                <w:sz w:val="22"/>
                <w:szCs w:val="22"/>
                <w:lang w:val="es-ES" w:eastAsia="en-US"/>
              </w:rPr>
              <w:t xml:space="preserve">Concepto– características / MANIFESTACIÓN DE INTERÉS – Selección abreviada de menor cuantía – Requisito habilitante /SELECCIÓN ABREVIADA – Menor cuantía – Manifestación de interés </w:t>
            </w:r>
            <w:r w:rsidR="00EB3C5E" w:rsidRPr="009453E8">
              <w:rPr>
                <w:rFonts w:ascii="Arial MT" w:eastAsia="Arial MT" w:hAnsi="Arial MT" w:cs="Arial MT"/>
                <w:sz w:val="22"/>
                <w:szCs w:val="22"/>
                <w:lang w:val="es-ES" w:eastAsia="en-US"/>
              </w:rPr>
              <w:t>–</w:t>
            </w:r>
            <w:r w:rsidR="00EB3C5E" w:rsidRPr="009453E8">
              <w:rPr>
                <w:rFonts w:ascii="Arial MT" w:eastAsia="Arial MT" w:hAnsi="Arial MT" w:cs="Arial MT"/>
                <w:spacing w:val="-59"/>
                <w:sz w:val="22"/>
                <w:szCs w:val="22"/>
                <w:lang w:val="es-ES" w:eastAsia="en-US"/>
              </w:rPr>
              <w:t xml:space="preserve"> </w:t>
            </w:r>
            <w:r w:rsidR="00EB3C5E" w:rsidRPr="009453E8">
              <w:rPr>
                <w:rFonts w:ascii="Arial MT" w:eastAsia="Arial MT" w:hAnsi="Arial MT" w:cs="Arial MT"/>
                <w:sz w:val="22"/>
                <w:szCs w:val="22"/>
                <w:lang w:val="es-ES" w:eastAsia="en-US"/>
              </w:rPr>
              <w:t>Presentación</w:t>
            </w:r>
            <w:r w:rsidRPr="009453E8">
              <w:rPr>
                <w:rFonts w:ascii="Arial MT" w:eastAsia="Arial MT" w:hAnsi="Arial MT" w:cs="Arial MT"/>
                <w:sz w:val="22"/>
                <w:szCs w:val="22"/>
                <w:lang w:val="es-ES" w:eastAsia="en-US"/>
              </w:rPr>
              <w:t xml:space="preserve"> y publicación / MANIFESTACIÓN DE INTERÉS – Evaluación – Sorteo</w:t>
            </w:r>
          </w:p>
        </w:tc>
      </w:tr>
      <w:tr w:rsidR="003C046A" w:rsidRPr="00F960CD" w14:paraId="4D9069ED" w14:textId="77777777" w:rsidTr="00BA0AC3">
        <w:tc>
          <w:tcPr>
            <w:tcW w:w="2689" w:type="dxa"/>
          </w:tcPr>
          <w:p w14:paraId="473971C1" w14:textId="77777777" w:rsidR="003C046A" w:rsidRPr="00F960CD" w:rsidRDefault="003C046A" w:rsidP="00BA0AC3">
            <w:pPr>
              <w:spacing w:before="120"/>
              <w:rPr>
                <w:rFonts w:ascii="Arial" w:eastAsia="Calibri" w:hAnsi="Arial" w:cs="Arial"/>
                <w:b/>
                <w:sz w:val="22"/>
              </w:rPr>
            </w:pPr>
            <w:r w:rsidRPr="00F960CD">
              <w:rPr>
                <w:rFonts w:ascii="Arial" w:eastAsia="Calibri" w:hAnsi="Arial" w:cs="Arial"/>
                <w:b/>
                <w:sz w:val="22"/>
              </w:rPr>
              <w:t>Radicación:</w:t>
            </w:r>
            <w:r w:rsidRPr="00F960CD">
              <w:rPr>
                <w:rFonts w:ascii="Arial" w:eastAsia="Calibri" w:hAnsi="Arial" w:cs="Arial"/>
                <w:sz w:val="22"/>
              </w:rPr>
              <w:t xml:space="preserve">                              </w:t>
            </w:r>
          </w:p>
        </w:tc>
        <w:tc>
          <w:tcPr>
            <w:tcW w:w="6237" w:type="dxa"/>
          </w:tcPr>
          <w:p w14:paraId="01CDC1CC" w14:textId="33598768" w:rsidR="003C046A" w:rsidRPr="00E61491" w:rsidRDefault="003C046A" w:rsidP="00BA0AC3">
            <w:pPr>
              <w:jc w:val="both"/>
              <w:rPr>
                <w:rFonts w:ascii="Arial" w:hAnsi="Arial" w:cs="Arial"/>
                <w:sz w:val="22"/>
              </w:rPr>
            </w:pPr>
            <w:r w:rsidRPr="00E61491">
              <w:rPr>
                <w:rFonts w:ascii="Arial" w:hAnsi="Arial" w:cs="Arial"/>
                <w:sz w:val="22"/>
              </w:rPr>
              <w:t xml:space="preserve">Respuesta a consulta </w:t>
            </w:r>
            <w:r w:rsidRPr="009453E8">
              <w:rPr>
                <w:rFonts w:ascii="Arial MT" w:eastAsia="Arial MT" w:hAnsi="Arial MT" w:cs="Arial MT"/>
                <w:sz w:val="22"/>
                <w:szCs w:val="22"/>
                <w:lang w:val="es-ES" w:eastAsia="en-US"/>
              </w:rPr>
              <w:t>P20220513004723</w:t>
            </w:r>
          </w:p>
        </w:tc>
      </w:tr>
    </w:tbl>
    <w:p w14:paraId="73B3B0A1" w14:textId="77777777" w:rsidR="003C046A" w:rsidRDefault="003C046A" w:rsidP="00C62A26">
      <w:pPr>
        <w:widowControl w:val="0"/>
        <w:autoSpaceDE w:val="0"/>
        <w:autoSpaceDN w:val="0"/>
        <w:rPr>
          <w:rFonts w:ascii="Arial" w:eastAsia="Arial MT" w:hAnsi="Arial MT" w:cs="Arial MT"/>
          <w:b/>
          <w:sz w:val="20"/>
          <w:szCs w:val="22"/>
          <w:lang w:val="es-ES" w:eastAsia="en-US"/>
        </w:rPr>
      </w:pPr>
    </w:p>
    <w:p w14:paraId="26F1BBB9" w14:textId="77777777" w:rsidR="00027AAA" w:rsidRDefault="00027AAA" w:rsidP="00C62A26">
      <w:pPr>
        <w:widowControl w:val="0"/>
        <w:autoSpaceDE w:val="0"/>
        <w:autoSpaceDN w:val="0"/>
        <w:rPr>
          <w:rFonts w:ascii="Arial" w:eastAsia="Arial MT" w:hAnsi="Arial MT" w:cs="Arial MT"/>
          <w:b/>
          <w:sz w:val="20"/>
          <w:szCs w:val="22"/>
          <w:lang w:val="es-ES" w:eastAsia="en-US"/>
        </w:rPr>
      </w:pPr>
    </w:p>
    <w:p w14:paraId="0C5F5038" w14:textId="77777777" w:rsidR="00027AAA" w:rsidRDefault="00027AAA" w:rsidP="00C62A26">
      <w:pPr>
        <w:widowControl w:val="0"/>
        <w:autoSpaceDE w:val="0"/>
        <w:autoSpaceDN w:val="0"/>
        <w:rPr>
          <w:rFonts w:ascii="Arial" w:eastAsia="Arial MT" w:hAnsi="Arial MT" w:cs="Arial MT"/>
          <w:b/>
          <w:sz w:val="20"/>
          <w:szCs w:val="22"/>
          <w:lang w:val="es-ES" w:eastAsia="en-US"/>
        </w:rPr>
      </w:pPr>
    </w:p>
    <w:p w14:paraId="7865DC5D" w14:textId="03EFE446" w:rsidR="00C62A26" w:rsidRPr="00C62A26" w:rsidRDefault="00C62A26" w:rsidP="008A3156">
      <w:pPr>
        <w:widowControl w:val="0"/>
        <w:autoSpaceDE w:val="0"/>
        <w:autoSpaceDN w:val="0"/>
        <w:rPr>
          <w:rFonts w:ascii="Arial MT" w:eastAsia="Arial MT" w:hAnsi="Arial MT" w:cs="Arial MT"/>
          <w:sz w:val="22"/>
          <w:szCs w:val="22"/>
          <w:lang w:val="es-ES" w:eastAsia="en-US"/>
        </w:rPr>
      </w:pPr>
      <w:r w:rsidRPr="009453E8">
        <w:rPr>
          <w:rFonts w:ascii="Arial MT" w:eastAsia="Arial MT" w:hAnsi="Arial MT" w:cs="Arial MT"/>
          <w:sz w:val="22"/>
          <w:szCs w:val="22"/>
          <w:lang w:val="es-ES" w:eastAsia="en-US"/>
        </w:rPr>
        <w:t>Estimado</w:t>
      </w:r>
      <w:r w:rsidRPr="009453E8">
        <w:rPr>
          <w:rFonts w:ascii="Arial MT" w:eastAsia="Arial MT" w:hAnsi="Arial MT" w:cs="Arial MT"/>
          <w:spacing w:val="-7"/>
          <w:sz w:val="22"/>
          <w:szCs w:val="22"/>
          <w:lang w:val="es-ES" w:eastAsia="en-US"/>
        </w:rPr>
        <w:t xml:space="preserve"> </w:t>
      </w:r>
      <w:r w:rsidRPr="009453E8">
        <w:rPr>
          <w:rFonts w:ascii="Arial MT" w:eastAsia="Arial MT" w:hAnsi="Arial MT" w:cs="Arial MT"/>
          <w:sz w:val="22"/>
          <w:szCs w:val="22"/>
          <w:lang w:val="es-ES" w:eastAsia="en-US"/>
        </w:rPr>
        <w:t>señor</w:t>
      </w:r>
      <w:r w:rsidRPr="009453E8">
        <w:rPr>
          <w:rFonts w:ascii="Arial MT" w:eastAsia="Arial MT" w:hAnsi="Arial MT" w:cs="Arial MT"/>
          <w:spacing w:val="-6"/>
          <w:sz w:val="22"/>
          <w:szCs w:val="22"/>
          <w:lang w:val="es-ES" w:eastAsia="en-US"/>
        </w:rPr>
        <w:t xml:space="preserve"> </w:t>
      </w:r>
      <w:r w:rsidR="009453E8" w:rsidRPr="009453E8">
        <w:rPr>
          <w:rFonts w:ascii="Arial MT" w:eastAsia="Arial MT" w:hAnsi="Arial MT" w:cs="Arial MT"/>
          <w:sz w:val="22"/>
          <w:szCs w:val="22"/>
          <w:lang w:val="es-ES" w:eastAsia="en-US"/>
        </w:rPr>
        <w:t>Sarmiento</w:t>
      </w:r>
      <w:r w:rsidRPr="009453E8">
        <w:rPr>
          <w:rFonts w:ascii="Arial MT" w:eastAsia="Arial MT" w:hAnsi="Arial MT" w:cs="Arial MT"/>
          <w:sz w:val="22"/>
          <w:szCs w:val="22"/>
          <w:lang w:val="es-ES" w:eastAsia="en-US"/>
        </w:rPr>
        <w:t>:</w:t>
      </w:r>
    </w:p>
    <w:p w14:paraId="76C3D0BF" w14:textId="77777777" w:rsidR="00C62A26" w:rsidRPr="00C62A26" w:rsidRDefault="00C62A26" w:rsidP="00C62A26">
      <w:pPr>
        <w:widowControl w:val="0"/>
        <w:autoSpaceDE w:val="0"/>
        <w:autoSpaceDN w:val="0"/>
        <w:spacing w:before="7"/>
        <w:rPr>
          <w:rFonts w:ascii="Arial MT" w:eastAsia="Arial MT" w:hAnsi="Arial MT" w:cs="Arial MT"/>
          <w:sz w:val="28"/>
          <w:szCs w:val="22"/>
          <w:lang w:val="es-ES" w:eastAsia="en-US"/>
        </w:rPr>
      </w:pPr>
    </w:p>
    <w:p w14:paraId="4C269BBF" w14:textId="36A85224" w:rsidR="009453E8" w:rsidRPr="00755441" w:rsidRDefault="009453E8" w:rsidP="009453E8">
      <w:pPr>
        <w:spacing w:line="276" w:lineRule="auto"/>
        <w:jc w:val="both"/>
        <w:rPr>
          <w:rFonts w:ascii="Arial" w:eastAsia="Calibri" w:hAnsi="Arial" w:cs="Arial"/>
          <w:color w:val="000000" w:themeColor="text1"/>
          <w:sz w:val="22"/>
          <w:szCs w:val="22"/>
          <w:lang w:val="es-ES_tradnl"/>
        </w:rPr>
      </w:pPr>
      <w:r w:rsidRPr="00EB3C5E">
        <w:rPr>
          <w:rFonts w:ascii="Arial" w:eastAsia="Calibri" w:hAnsi="Arial" w:cs="Arial"/>
          <w:color w:val="000000" w:themeColor="text1"/>
          <w:sz w:val="22"/>
          <w:szCs w:val="22"/>
          <w:lang w:val="es-ES_tradnl"/>
        </w:rPr>
        <w:t>En ejercicio de la competencia otorgada por el numeral 8 del artículo 11 y el numeral 5 del artículo</w:t>
      </w:r>
      <w:r w:rsidRPr="00755441">
        <w:rPr>
          <w:rFonts w:ascii="Arial" w:eastAsia="Calibri" w:hAnsi="Arial" w:cs="Arial"/>
          <w:color w:val="000000" w:themeColor="text1"/>
          <w:sz w:val="22"/>
          <w:szCs w:val="22"/>
          <w:lang w:val="es-ES_tradnl"/>
        </w:rPr>
        <w:t xml:space="preserve"> 3 del Decreto Ley 4170 de 2011, la Agencia Nacional de Contratación Pública − Colombia Compra Eficiente procede a dar respuesta a </w:t>
      </w:r>
      <w:r w:rsidR="00437E6E">
        <w:rPr>
          <w:rFonts w:ascii="Arial" w:eastAsia="Calibri" w:hAnsi="Arial" w:cs="Arial"/>
          <w:color w:val="000000" w:themeColor="text1"/>
          <w:sz w:val="22"/>
          <w:szCs w:val="22"/>
          <w:lang w:val="es-ES_tradnl"/>
        </w:rPr>
        <w:t xml:space="preserve">la segunda pregunta de </w:t>
      </w:r>
      <w:r w:rsidRPr="00755441">
        <w:rPr>
          <w:rFonts w:ascii="Arial" w:eastAsia="Calibri" w:hAnsi="Arial" w:cs="Arial"/>
          <w:color w:val="000000" w:themeColor="text1"/>
          <w:sz w:val="22"/>
          <w:szCs w:val="22"/>
          <w:lang w:val="es-ES_tradnl"/>
        </w:rPr>
        <w:t xml:space="preserve">su consulta del </w:t>
      </w:r>
      <w:r>
        <w:rPr>
          <w:rFonts w:ascii="Arial" w:eastAsia="Calibri" w:hAnsi="Arial" w:cs="Arial"/>
          <w:color w:val="000000" w:themeColor="text1"/>
          <w:sz w:val="22"/>
          <w:szCs w:val="22"/>
          <w:lang w:val="es-ES_tradnl"/>
        </w:rPr>
        <w:t>13</w:t>
      </w:r>
      <w:r w:rsidRPr="00AD5385">
        <w:rPr>
          <w:rFonts w:ascii="Arial" w:eastAsia="Calibri" w:hAnsi="Arial" w:cs="Arial"/>
          <w:color w:val="000000" w:themeColor="text1"/>
          <w:sz w:val="22"/>
          <w:szCs w:val="22"/>
          <w:lang w:val="es-ES_tradnl"/>
        </w:rPr>
        <w:t xml:space="preserve"> de mayo de 2022.</w:t>
      </w:r>
      <w:r w:rsidRPr="00755441">
        <w:rPr>
          <w:rFonts w:ascii="Arial" w:eastAsia="Calibri" w:hAnsi="Arial" w:cs="Arial"/>
          <w:color w:val="000000" w:themeColor="text1"/>
          <w:sz w:val="22"/>
          <w:szCs w:val="22"/>
          <w:lang w:val="es-ES_tradnl"/>
        </w:rPr>
        <w:t xml:space="preserve"> </w:t>
      </w:r>
    </w:p>
    <w:p w14:paraId="232D4640" w14:textId="77777777" w:rsidR="001D1DFF" w:rsidRPr="009744A9" w:rsidRDefault="001D1DFF" w:rsidP="00EB6848">
      <w:pPr>
        <w:spacing w:line="276" w:lineRule="auto"/>
        <w:jc w:val="both"/>
        <w:rPr>
          <w:rFonts w:ascii="Arial" w:eastAsia="Calibri" w:hAnsi="Arial" w:cs="Arial"/>
          <w:b/>
          <w:color w:val="000000" w:themeColor="text1"/>
          <w:sz w:val="22"/>
          <w:szCs w:val="22"/>
          <w:lang w:val="es-ES_tradnl"/>
        </w:rPr>
      </w:pPr>
    </w:p>
    <w:p w14:paraId="7701FCC7" w14:textId="3A57CE0A" w:rsidR="00DD5B04" w:rsidRPr="009744A9"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744A9">
        <w:rPr>
          <w:rFonts w:ascii="Arial" w:eastAsia="Calibri" w:hAnsi="Arial" w:cs="Arial"/>
          <w:b/>
          <w:color w:val="000000" w:themeColor="text1"/>
          <w:sz w:val="22"/>
          <w:lang w:val="es-ES_tradnl"/>
        </w:rPr>
        <w:t xml:space="preserve">Problema planteado </w:t>
      </w:r>
    </w:p>
    <w:p w14:paraId="5690C2FE" w14:textId="77777777" w:rsidR="00C6212A" w:rsidRPr="003814ED" w:rsidRDefault="00C6212A" w:rsidP="005F1C09">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4AE4BB5B" w14:textId="665BF2BA" w:rsidR="009744A9" w:rsidRDefault="009453E8" w:rsidP="009744A9">
      <w:pPr>
        <w:spacing w:line="276" w:lineRule="auto"/>
        <w:jc w:val="both"/>
        <w:rPr>
          <w:rFonts w:ascii="Arial" w:eastAsia="Calibri" w:hAnsi="Arial" w:cs="Arial"/>
          <w:bCs/>
          <w:color w:val="000000" w:themeColor="text1"/>
          <w:sz w:val="22"/>
          <w:szCs w:val="22"/>
          <w:lang w:val="es-ES_tradnl"/>
        </w:rPr>
      </w:pPr>
      <w:r>
        <w:rPr>
          <w:rFonts w:ascii="Arial" w:eastAsia="Calibri" w:hAnsi="Arial" w:cs="Arial"/>
          <w:bCs/>
          <w:color w:val="000000" w:themeColor="text1"/>
          <w:sz w:val="22"/>
          <w:szCs w:val="22"/>
          <w:lang w:val="es-ES_tradnl"/>
        </w:rPr>
        <w:t>En relación con el comité evaluador y las manifestaciones de interés, usted realiza la siguiente pregunta en el numeral 2 de su consulta</w:t>
      </w:r>
      <w:r w:rsidR="005F1C09" w:rsidRPr="003814ED">
        <w:rPr>
          <w:rFonts w:ascii="Arial" w:eastAsia="Calibri" w:hAnsi="Arial" w:cs="Arial"/>
          <w:bCs/>
          <w:color w:val="000000" w:themeColor="text1"/>
          <w:sz w:val="22"/>
          <w:szCs w:val="22"/>
          <w:lang w:val="es-ES_tradnl"/>
        </w:rPr>
        <w:t xml:space="preserve">: </w:t>
      </w:r>
    </w:p>
    <w:p w14:paraId="707BADAC" w14:textId="7825667C" w:rsidR="009453E8" w:rsidRDefault="009453E8" w:rsidP="009744A9">
      <w:pPr>
        <w:spacing w:line="276" w:lineRule="auto"/>
        <w:jc w:val="both"/>
        <w:rPr>
          <w:rFonts w:ascii="Arial" w:eastAsia="Calibri" w:hAnsi="Arial" w:cs="Arial"/>
          <w:bCs/>
          <w:color w:val="000000" w:themeColor="text1"/>
          <w:sz w:val="22"/>
          <w:szCs w:val="22"/>
          <w:lang w:val="es-ES_tradnl"/>
        </w:rPr>
      </w:pPr>
    </w:p>
    <w:p w14:paraId="31043DC2" w14:textId="61C9EE70" w:rsidR="009453E8" w:rsidRDefault="009453E8" w:rsidP="009453E8">
      <w:pPr>
        <w:pStyle w:val="Default"/>
        <w:ind w:left="709" w:right="709"/>
        <w:jc w:val="both"/>
        <w:rPr>
          <w:rFonts w:eastAsia="Calibri"/>
          <w:color w:val="000000" w:themeColor="text1"/>
          <w:sz w:val="21"/>
          <w:szCs w:val="21"/>
          <w:lang w:val="es-MX"/>
        </w:rPr>
      </w:pPr>
      <w:r>
        <w:rPr>
          <w:rFonts w:eastAsia="Calibri"/>
          <w:color w:val="000000" w:themeColor="text1"/>
          <w:sz w:val="21"/>
          <w:szCs w:val="21"/>
          <w:lang w:val="es-MX"/>
        </w:rPr>
        <w:t>«</w:t>
      </w:r>
      <w:r w:rsidRPr="00A3664E">
        <w:rPr>
          <w:rFonts w:eastAsia="Calibri"/>
          <w:color w:val="000000" w:themeColor="text1"/>
          <w:sz w:val="21"/>
          <w:szCs w:val="21"/>
          <w:lang w:val="es-MX"/>
        </w:rPr>
        <w:t xml:space="preserve">2. En virtud de los establecido en el en el Decreto 1082 de 2015 Artículo 2.2.1.1.2.2.3. </w:t>
      </w:r>
      <w:r w:rsidRPr="00A3664E">
        <w:rPr>
          <w:rFonts w:eastAsia="Calibri"/>
          <w:i/>
          <w:color w:val="000000" w:themeColor="text1"/>
          <w:sz w:val="21"/>
          <w:szCs w:val="21"/>
          <w:lang w:val="es-MX"/>
        </w:rPr>
        <w:t xml:space="preserve">“Comité evaluador. La Entidad Estatal puede designar un comité evaluador conformado por servidores públicos o por particulares contratados para el efecto para evaluar las ofertas </w:t>
      </w:r>
      <w:r w:rsidRPr="00A3664E">
        <w:rPr>
          <w:rFonts w:eastAsia="Calibri"/>
          <w:b/>
          <w:i/>
          <w:color w:val="000000" w:themeColor="text1"/>
          <w:sz w:val="21"/>
          <w:szCs w:val="21"/>
          <w:u w:val="single"/>
          <w:lang w:val="es-MX"/>
        </w:rPr>
        <w:t>y las manifestaciones de interés para cada Proceso de Contratación</w:t>
      </w:r>
      <w:r w:rsidRPr="00A3664E">
        <w:rPr>
          <w:rFonts w:eastAsia="Calibri"/>
          <w:i/>
          <w:color w:val="000000" w:themeColor="text1"/>
          <w:sz w:val="21"/>
          <w:szCs w:val="21"/>
          <w:lang w:val="es-MX"/>
        </w:rPr>
        <w:t xml:space="preserve"> por licitación, selección abreviada y concurso de méritos. </w:t>
      </w:r>
      <w:r w:rsidRPr="00A3664E">
        <w:rPr>
          <w:rFonts w:eastAsia="Calibri"/>
          <w:b/>
          <w:i/>
          <w:color w:val="000000" w:themeColor="text1"/>
          <w:sz w:val="21"/>
          <w:szCs w:val="21"/>
          <w:u w:val="single"/>
          <w:lang w:val="es-MX"/>
        </w:rPr>
        <w:t xml:space="preserve">El comité evaluador debe realizar su labor de manera objetiva, </w:t>
      </w:r>
      <w:r w:rsidRPr="00A3664E">
        <w:rPr>
          <w:rFonts w:eastAsia="Calibri"/>
          <w:b/>
          <w:i/>
          <w:color w:val="000000" w:themeColor="text1"/>
          <w:sz w:val="21"/>
          <w:szCs w:val="21"/>
          <w:u w:val="single"/>
          <w:lang w:val="es-MX"/>
        </w:rPr>
        <w:lastRenderedPageBreak/>
        <w:t xml:space="preserve">ciñéndose exclusivamente a las reglas contenidas en los pliegos de condiciones. </w:t>
      </w:r>
      <w:r w:rsidRPr="00A3664E">
        <w:rPr>
          <w:rFonts w:eastAsia="Calibri"/>
          <w:color w:val="000000" w:themeColor="text1"/>
          <w:sz w:val="21"/>
          <w:szCs w:val="21"/>
          <w:lang w:val="es-MX"/>
        </w:rPr>
        <w:t>(…).”. Debe antes del sorteo efectuarse la publicación de listado de los manifestantes de interés que cumplen con lo requerido en el pliego de condiciones?, bajo el entendido de que el comité debe sujetarse al Pliego de Condiciones en su total extensión.</w:t>
      </w:r>
      <w:r>
        <w:rPr>
          <w:rFonts w:eastAsia="Calibri"/>
          <w:color w:val="000000" w:themeColor="text1"/>
          <w:sz w:val="21"/>
          <w:szCs w:val="21"/>
          <w:lang w:val="es-MX"/>
        </w:rPr>
        <w:t>»</w:t>
      </w:r>
    </w:p>
    <w:p w14:paraId="0AC20296" w14:textId="77777777" w:rsidR="009453E8" w:rsidRPr="00892F50" w:rsidRDefault="009453E8" w:rsidP="009453E8">
      <w:pPr>
        <w:pStyle w:val="Default"/>
        <w:ind w:left="709" w:right="709"/>
        <w:jc w:val="both"/>
        <w:rPr>
          <w:sz w:val="21"/>
          <w:szCs w:val="21"/>
        </w:rPr>
      </w:pPr>
    </w:p>
    <w:p w14:paraId="124D2DCA" w14:textId="4862B4B8" w:rsidR="00DD5B04" w:rsidRPr="003C046A" w:rsidRDefault="00DD5B04" w:rsidP="003C046A">
      <w:pPr>
        <w:pStyle w:val="Prrafodelista"/>
        <w:numPr>
          <w:ilvl w:val="0"/>
          <w:numId w:val="8"/>
        </w:numPr>
        <w:spacing w:line="276" w:lineRule="auto"/>
        <w:jc w:val="both"/>
        <w:rPr>
          <w:rFonts w:ascii="Arial" w:hAnsi="Arial" w:cs="Arial"/>
          <w:sz w:val="22"/>
        </w:rPr>
      </w:pPr>
      <w:r w:rsidRPr="003C046A">
        <w:rPr>
          <w:rFonts w:ascii="Arial" w:eastAsia="Calibri" w:hAnsi="Arial" w:cs="Arial"/>
          <w:b/>
          <w:color w:val="000000" w:themeColor="text1"/>
          <w:sz w:val="22"/>
          <w:lang w:val="es-ES_tradnl"/>
        </w:rPr>
        <w:t>Consideraciones</w:t>
      </w:r>
    </w:p>
    <w:p w14:paraId="7D050D2E" w14:textId="77777777" w:rsidR="00435703" w:rsidRPr="009744A9" w:rsidRDefault="00435703" w:rsidP="00EB6848">
      <w:pPr>
        <w:spacing w:line="276" w:lineRule="auto"/>
        <w:jc w:val="both"/>
        <w:rPr>
          <w:rFonts w:ascii="Arial" w:eastAsia="Calibri" w:hAnsi="Arial" w:cs="Arial"/>
          <w:color w:val="000000" w:themeColor="text1"/>
          <w:sz w:val="22"/>
          <w:szCs w:val="22"/>
          <w:lang w:val="es-ES_tradnl"/>
        </w:rPr>
      </w:pPr>
    </w:p>
    <w:p w14:paraId="2A69AEE5" w14:textId="2BAFBAF6" w:rsidR="00C66ADF" w:rsidRPr="00755441" w:rsidRDefault="00C66ADF" w:rsidP="003C046A">
      <w:pPr>
        <w:spacing w:after="120" w:line="276" w:lineRule="auto"/>
        <w:jc w:val="both"/>
        <w:rPr>
          <w:rFonts w:ascii="Arial" w:eastAsia="Calibri" w:hAnsi="Arial" w:cs="Arial"/>
          <w:color w:val="000000" w:themeColor="text1"/>
          <w:sz w:val="22"/>
          <w:szCs w:val="22"/>
          <w:lang w:val="es-ES_tradnl"/>
        </w:rPr>
      </w:pPr>
      <w:r w:rsidRPr="00755441">
        <w:rPr>
          <w:rFonts w:ascii="Arial" w:eastAsia="Calibri" w:hAnsi="Arial" w:cs="Arial"/>
          <w:color w:val="000000" w:themeColor="text1"/>
          <w:sz w:val="22"/>
          <w:szCs w:val="22"/>
          <w:lang w:val="es-ES_tradnl"/>
        </w:rPr>
        <w:t>Para desarrollar el</w:t>
      </w:r>
      <w:r>
        <w:rPr>
          <w:rFonts w:ascii="Arial" w:eastAsia="Calibri" w:hAnsi="Arial" w:cs="Arial"/>
          <w:color w:val="000000" w:themeColor="text1"/>
          <w:sz w:val="22"/>
          <w:szCs w:val="22"/>
          <w:lang w:val="es-ES_tradnl"/>
        </w:rPr>
        <w:t xml:space="preserve"> problema planteado se abordará el tema del comité evaluador y las manifestaciones de interés de que trata el artículo </w:t>
      </w:r>
      <w:r w:rsidR="009453E8" w:rsidRPr="009453E8">
        <w:rPr>
          <w:rFonts w:ascii="Arial" w:eastAsia="Calibri" w:hAnsi="Arial" w:cs="Arial"/>
          <w:color w:val="000000" w:themeColor="text1"/>
          <w:sz w:val="22"/>
          <w:szCs w:val="22"/>
          <w:lang w:val="es-ES_tradnl"/>
        </w:rPr>
        <w:t>2.2.1.1.2.2.3</w:t>
      </w:r>
      <w:r>
        <w:rPr>
          <w:rFonts w:ascii="Arial" w:eastAsia="Calibri" w:hAnsi="Arial" w:cs="Arial"/>
          <w:color w:val="000000" w:themeColor="text1"/>
          <w:sz w:val="22"/>
          <w:szCs w:val="22"/>
          <w:lang w:val="es-ES_tradnl"/>
        </w:rPr>
        <w:t xml:space="preserve"> del Decreto 1082 de 2015.</w:t>
      </w:r>
    </w:p>
    <w:p w14:paraId="327CCBC8" w14:textId="5FB0A405" w:rsidR="00A06BD3" w:rsidRPr="00F960CD" w:rsidRDefault="00A06BD3" w:rsidP="003C046A">
      <w:pPr>
        <w:spacing w:line="276" w:lineRule="auto"/>
        <w:ind w:firstLine="708"/>
        <w:jc w:val="both"/>
        <w:rPr>
          <w:rFonts w:ascii="Arial" w:eastAsia="Calibri" w:hAnsi="Arial" w:cs="Arial"/>
          <w:sz w:val="22"/>
        </w:rPr>
      </w:pPr>
      <w:r w:rsidRPr="00E32B61">
        <w:rPr>
          <w:rFonts w:ascii="Arial" w:eastAsia="Calibri" w:hAnsi="Arial" w:cs="Arial"/>
          <w:color w:val="000000" w:themeColor="text1"/>
          <w:sz w:val="22"/>
          <w:szCs w:val="22"/>
          <w:lang w:val="es-MX" w:eastAsia="en-US"/>
        </w:rPr>
        <w:t>Esta Subdirección</w:t>
      </w:r>
      <w:r>
        <w:rPr>
          <w:rFonts w:ascii="Arial" w:eastAsia="Calibri" w:hAnsi="Arial" w:cs="Arial"/>
          <w:color w:val="000000" w:themeColor="text1"/>
          <w:sz w:val="22"/>
          <w:szCs w:val="22"/>
          <w:lang w:val="es-MX" w:eastAsia="en-US"/>
        </w:rPr>
        <w:t>,</w:t>
      </w:r>
      <w:r w:rsidRPr="00E32B61">
        <w:rPr>
          <w:rFonts w:ascii="Arial" w:eastAsia="Calibri" w:hAnsi="Arial" w:cs="Arial"/>
          <w:color w:val="000000" w:themeColor="text1"/>
          <w:sz w:val="22"/>
          <w:szCs w:val="22"/>
          <w:lang w:val="es-MX" w:eastAsia="en-US"/>
        </w:rPr>
        <w:t xml:space="preserve"> en los conceptos </w:t>
      </w:r>
      <w:r>
        <w:rPr>
          <w:rFonts w:ascii="Arial" w:hAnsi="Arial" w:cs="Arial"/>
          <w:sz w:val="22"/>
          <w:szCs w:val="22"/>
        </w:rPr>
        <w:t>2201913000009634 de 2019,</w:t>
      </w:r>
      <w:r w:rsidRPr="00E32B61">
        <w:rPr>
          <w:rFonts w:ascii="Arial" w:hAnsi="Arial" w:cs="Arial"/>
          <w:sz w:val="22"/>
          <w:szCs w:val="22"/>
        </w:rPr>
        <w:t xml:space="preserve"> C-139 de 2020</w:t>
      </w:r>
      <w:r w:rsidR="009453E8">
        <w:rPr>
          <w:rFonts w:ascii="Arial" w:hAnsi="Arial" w:cs="Arial"/>
          <w:sz w:val="22"/>
          <w:szCs w:val="22"/>
        </w:rPr>
        <w:t xml:space="preserve"> y C-</w:t>
      </w:r>
      <w:r w:rsidR="009453E8">
        <w:rPr>
          <w:rFonts w:ascii="Arial" w:hAnsi="Arial" w:cs="Arial"/>
          <w:sz w:val="22"/>
          <w:szCs w:val="22"/>
        </w:rPr>
        <w:softHyphen/>
      </w:r>
      <w:r w:rsidR="009453E8">
        <w:rPr>
          <w:rFonts w:ascii="Arial" w:hAnsi="Arial" w:cs="Arial"/>
          <w:sz w:val="22"/>
          <w:szCs w:val="22"/>
        </w:rPr>
        <w:softHyphen/>
      </w:r>
      <w:r w:rsidR="009453E8">
        <w:rPr>
          <w:rFonts w:ascii="Arial" w:hAnsi="Arial" w:cs="Arial"/>
          <w:sz w:val="22"/>
          <w:szCs w:val="22"/>
        </w:rPr>
        <w:softHyphen/>
      </w:r>
      <w:r w:rsidR="009453E8">
        <w:rPr>
          <w:rFonts w:ascii="Arial" w:hAnsi="Arial" w:cs="Arial"/>
          <w:sz w:val="22"/>
          <w:szCs w:val="22"/>
        </w:rPr>
        <w:softHyphen/>
      </w:r>
      <w:r w:rsidR="009453E8">
        <w:rPr>
          <w:rFonts w:ascii="Arial" w:hAnsi="Arial" w:cs="Arial"/>
          <w:sz w:val="22"/>
          <w:szCs w:val="22"/>
        </w:rPr>
        <w:softHyphen/>
        <w:t xml:space="preserve"> 767 del 07 de enero de 2021</w:t>
      </w:r>
      <w:r>
        <w:rPr>
          <w:rFonts w:ascii="Arial" w:hAnsi="Arial" w:cs="Arial"/>
          <w:sz w:val="22"/>
          <w:szCs w:val="22"/>
        </w:rPr>
        <w:t>,</w:t>
      </w:r>
      <w:r w:rsidRPr="00E32B61">
        <w:rPr>
          <w:rFonts w:ascii="Arial" w:hAnsi="Arial" w:cs="Arial"/>
          <w:sz w:val="22"/>
          <w:szCs w:val="22"/>
        </w:rPr>
        <w:t xml:space="preserve"> se refirió a la manifestación de interés</w:t>
      </w:r>
      <w:r>
        <w:rPr>
          <w:rFonts w:ascii="Arial" w:hAnsi="Arial" w:cs="Arial"/>
          <w:sz w:val="22"/>
          <w:szCs w:val="22"/>
        </w:rPr>
        <w:t xml:space="preserve"> en el proceso de selección abreviada de menor cuantía</w:t>
      </w:r>
      <w:r w:rsidRPr="00E32B61">
        <w:rPr>
          <w:rFonts w:ascii="Arial" w:hAnsi="Arial" w:cs="Arial"/>
          <w:sz w:val="22"/>
          <w:szCs w:val="22"/>
        </w:rPr>
        <w:t xml:space="preserve">. </w:t>
      </w:r>
      <w:r w:rsidR="00437E6E">
        <w:rPr>
          <w:rFonts w:ascii="Arial" w:hAnsi="Arial" w:cs="Arial"/>
          <w:sz w:val="22"/>
          <w:szCs w:val="22"/>
        </w:rPr>
        <w:t xml:space="preserve"> De igual manera, </w:t>
      </w:r>
      <w:r w:rsidR="00437E6E" w:rsidRPr="00FA1604">
        <w:rPr>
          <w:rFonts w:ascii="Arial" w:eastAsia="Calibri" w:hAnsi="Arial" w:cs="Arial"/>
          <w:bCs/>
          <w:sz w:val="22"/>
        </w:rPr>
        <w:t xml:space="preserve">ha emitido lineamientos sobre la figura del comité de evaluación dentro de la contratación pública, entre otros, </w:t>
      </w:r>
      <w:r w:rsidR="00437E6E">
        <w:rPr>
          <w:rFonts w:ascii="Arial" w:eastAsia="Calibri" w:hAnsi="Arial" w:cs="Arial"/>
          <w:bCs/>
          <w:sz w:val="22"/>
        </w:rPr>
        <w:t>en los conceptos</w:t>
      </w:r>
      <w:r w:rsidR="00437E6E" w:rsidRPr="00FA1604">
        <w:rPr>
          <w:rFonts w:ascii="Arial" w:eastAsia="Calibri" w:hAnsi="Arial" w:cs="Arial"/>
          <w:bCs/>
          <w:sz w:val="22"/>
        </w:rPr>
        <w:t xml:space="preserve"> C-128 del 03 de marzo de 2020</w:t>
      </w:r>
      <w:r w:rsidR="00437E6E">
        <w:rPr>
          <w:rFonts w:ascii="Arial" w:eastAsia="Calibri" w:hAnsi="Arial" w:cs="Arial"/>
          <w:bCs/>
          <w:sz w:val="22"/>
        </w:rPr>
        <w:t xml:space="preserve"> y C- 522 del 01 de octubre de 2021.  </w:t>
      </w:r>
      <w:r w:rsidRPr="00F960CD">
        <w:rPr>
          <w:rFonts w:ascii="Arial" w:eastAsia="Calibri" w:hAnsi="Arial" w:cs="Arial"/>
          <w:sz w:val="22"/>
        </w:rPr>
        <w:t>La</w:t>
      </w:r>
      <w:r>
        <w:rPr>
          <w:rFonts w:ascii="Arial" w:eastAsia="Calibri" w:hAnsi="Arial" w:cs="Arial"/>
          <w:sz w:val="22"/>
        </w:rPr>
        <w:t>s</w:t>
      </w:r>
      <w:r w:rsidRPr="00F960CD">
        <w:rPr>
          <w:rFonts w:ascii="Arial" w:eastAsia="Calibri" w:hAnsi="Arial" w:cs="Arial"/>
          <w:sz w:val="22"/>
        </w:rPr>
        <w:t xml:space="preserve"> tesis expuesta</w:t>
      </w:r>
      <w:r>
        <w:rPr>
          <w:rFonts w:ascii="Arial" w:eastAsia="Calibri" w:hAnsi="Arial" w:cs="Arial"/>
          <w:sz w:val="22"/>
        </w:rPr>
        <w:t>s</w:t>
      </w:r>
      <w:r w:rsidRPr="00F960CD">
        <w:rPr>
          <w:rFonts w:ascii="Arial" w:eastAsia="Calibri" w:hAnsi="Arial" w:cs="Arial"/>
          <w:sz w:val="22"/>
        </w:rPr>
        <w:t xml:space="preserve"> en </w:t>
      </w:r>
      <w:r>
        <w:rPr>
          <w:rFonts w:ascii="Arial" w:eastAsia="Calibri" w:hAnsi="Arial" w:cs="Arial"/>
          <w:sz w:val="22"/>
        </w:rPr>
        <w:t>estos conceptos</w:t>
      </w:r>
      <w:r w:rsidRPr="00F960CD">
        <w:rPr>
          <w:rFonts w:ascii="Arial" w:eastAsia="Calibri" w:hAnsi="Arial" w:cs="Arial"/>
          <w:sz w:val="22"/>
        </w:rPr>
        <w:t xml:space="preserve"> se reitera</w:t>
      </w:r>
      <w:r>
        <w:rPr>
          <w:rFonts w:ascii="Arial" w:eastAsia="Calibri" w:hAnsi="Arial" w:cs="Arial"/>
          <w:sz w:val="22"/>
        </w:rPr>
        <w:t>n</w:t>
      </w:r>
      <w:r w:rsidR="00C66ADF">
        <w:rPr>
          <w:rFonts w:ascii="Arial" w:eastAsia="Calibri" w:hAnsi="Arial" w:cs="Arial"/>
          <w:sz w:val="22"/>
        </w:rPr>
        <w:t xml:space="preserve"> y se complementan en lo pertinente a continuación.</w:t>
      </w:r>
    </w:p>
    <w:p w14:paraId="1CEEB045" w14:textId="0153AB3B" w:rsidR="00A06BD3" w:rsidRPr="00C66ADF" w:rsidRDefault="00A06BD3" w:rsidP="003C046A">
      <w:pPr>
        <w:tabs>
          <w:tab w:val="left" w:pos="0"/>
        </w:tabs>
        <w:spacing w:line="276" w:lineRule="auto"/>
        <w:jc w:val="both"/>
        <w:rPr>
          <w:rFonts w:ascii="Arial" w:hAnsi="Arial" w:cs="Arial"/>
          <w:sz w:val="22"/>
          <w:szCs w:val="22"/>
        </w:rPr>
      </w:pPr>
    </w:p>
    <w:p w14:paraId="283A8356" w14:textId="32F31CCD" w:rsidR="00674E0F" w:rsidRPr="006617AB" w:rsidRDefault="006617AB" w:rsidP="003C046A">
      <w:pPr>
        <w:spacing w:line="276" w:lineRule="auto"/>
        <w:jc w:val="both"/>
        <w:rPr>
          <w:rFonts w:ascii="Arial" w:hAnsi="Arial" w:cs="Arial"/>
          <w:b/>
          <w:color w:val="000000" w:themeColor="text1"/>
          <w:sz w:val="22"/>
          <w:bdr w:val="none" w:sz="0" w:space="0" w:color="auto" w:frame="1"/>
          <w:lang w:val="es-ES_tradnl"/>
        </w:rPr>
      </w:pPr>
      <w:r>
        <w:rPr>
          <w:rFonts w:ascii="Arial" w:hAnsi="Arial" w:cs="Arial"/>
          <w:b/>
          <w:color w:val="000000" w:themeColor="text1"/>
          <w:sz w:val="22"/>
          <w:bdr w:val="none" w:sz="0" w:space="0" w:color="auto" w:frame="1"/>
          <w:lang w:val="es-ES_tradnl"/>
        </w:rPr>
        <w:t xml:space="preserve">2.1. </w:t>
      </w:r>
      <w:r w:rsidR="00674E0F" w:rsidRPr="006617AB">
        <w:rPr>
          <w:rFonts w:ascii="Arial" w:hAnsi="Arial" w:cs="Arial"/>
          <w:b/>
          <w:color w:val="000000" w:themeColor="text1"/>
          <w:sz w:val="22"/>
          <w:bdr w:val="none" w:sz="0" w:space="0" w:color="auto" w:frame="1"/>
          <w:lang w:val="es-ES_tradnl"/>
        </w:rPr>
        <w:t>Comité Evaluador</w:t>
      </w:r>
      <w:r>
        <w:rPr>
          <w:rFonts w:ascii="Arial" w:hAnsi="Arial" w:cs="Arial"/>
          <w:b/>
          <w:color w:val="000000" w:themeColor="text1"/>
          <w:sz w:val="22"/>
          <w:bdr w:val="none" w:sz="0" w:space="0" w:color="auto" w:frame="1"/>
          <w:lang w:val="es-ES_tradnl"/>
        </w:rPr>
        <w:t xml:space="preserve"> y las manifestaciones de interés</w:t>
      </w:r>
    </w:p>
    <w:p w14:paraId="67CD37FB" w14:textId="59382169" w:rsidR="00674E0F" w:rsidRPr="00674E0F" w:rsidRDefault="00674E0F" w:rsidP="003C046A">
      <w:pPr>
        <w:spacing w:line="276" w:lineRule="auto"/>
        <w:ind w:firstLine="709"/>
        <w:jc w:val="both"/>
        <w:rPr>
          <w:rFonts w:ascii="Arial" w:hAnsi="Arial" w:cs="Arial"/>
          <w:color w:val="000000" w:themeColor="text1"/>
          <w:sz w:val="22"/>
          <w:bdr w:val="none" w:sz="0" w:space="0" w:color="auto" w:frame="1"/>
          <w:lang w:val="es-ES_tradnl"/>
        </w:rPr>
      </w:pPr>
    </w:p>
    <w:p w14:paraId="46E98BCC" w14:textId="7A84FE48" w:rsidR="00674E0F" w:rsidRPr="00674E0F" w:rsidRDefault="00674E0F" w:rsidP="003C046A">
      <w:pPr>
        <w:spacing w:after="120" w:line="276" w:lineRule="auto"/>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En la medida que la actividad contractual del Estado resulta ser un asunto complejo y que implica la confluencia de distintas disciplinas y especialidades, el ordenamiento normativo colombiano ha otorgado la facultad para que los entes públicos constituyan los denominados comités evaluadores o comités de evaluación, como organismos encargados, en ciertos y predeterminados casos, de la evaluación de las ofertas presentadas. Es así como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08A4F55E" w14:textId="48D08736" w:rsidR="00674E0F" w:rsidRPr="00674E0F" w:rsidRDefault="00674E0F" w:rsidP="003C046A">
      <w:pPr>
        <w:spacing w:after="120"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 xml:space="preserve">Como puede apreciarse, la norma mencionada permite que las entidades estatales sometidas al Estatuto General de Contratación de la Administración Pública puedan constituir un comité evaluador de ofertas y de manifestaciones de interés que podrá estar conformado bien por servidores públicos o particulares contratados para tal finalidad o por una combinación de unos y </w:t>
      </w:r>
      <w:r w:rsidR="00C22F7C" w:rsidRPr="00674E0F">
        <w:rPr>
          <w:rFonts w:ascii="Arial" w:hAnsi="Arial" w:cs="Arial"/>
          <w:color w:val="000000" w:themeColor="text1"/>
          <w:sz w:val="22"/>
          <w:bdr w:val="none" w:sz="0" w:space="0" w:color="auto" w:frame="1"/>
          <w:lang w:val="es-ES_tradnl"/>
        </w:rPr>
        <w:t>otros.</w:t>
      </w:r>
      <w:r w:rsidRPr="00674E0F">
        <w:rPr>
          <w:rFonts w:ascii="Arial" w:hAnsi="Arial" w:cs="Arial"/>
          <w:color w:val="000000" w:themeColor="text1"/>
          <w:sz w:val="22"/>
          <w:bdr w:val="none" w:sz="0" w:space="0" w:color="auto" w:frame="1"/>
          <w:lang w:val="es-ES_tradnl"/>
        </w:rPr>
        <w:t xml:space="preserve"> Así mismo, la norma prescribe que tal figura podrá ser utilizada en los siguientes procesos de selección: i) licitación pública, </w:t>
      </w:r>
      <w:proofErr w:type="spellStart"/>
      <w:r w:rsidRPr="00674E0F">
        <w:rPr>
          <w:rFonts w:ascii="Arial" w:hAnsi="Arial" w:cs="Arial"/>
          <w:color w:val="000000" w:themeColor="text1"/>
          <w:sz w:val="22"/>
          <w:bdr w:val="none" w:sz="0" w:space="0" w:color="auto" w:frame="1"/>
          <w:lang w:val="es-ES_tradnl"/>
        </w:rPr>
        <w:t>ii</w:t>
      </w:r>
      <w:proofErr w:type="spellEnd"/>
      <w:r w:rsidRPr="00674E0F">
        <w:rPr>
          <w:rFonts w:ascii="Arial" w:hAnsi="Arial" w:cs="Arial"/>
          <w:color w:val="000000" w:themeColor="text1"/>
          <w:sz w:val="22"/>
          <w:bdr w:val="none" w:sz="0" w:space="0" w:color="auto" w:frame="1"/>
          <w:lang w:val="es-ES_tradnl"/>
        </w:rPr>
        <w:t xml:space="preserve">) selección abreviada y </w:t>
      </w:r>
      <w:proofErr w:type="spellStart"/>
      <w:r w:rsidRPr="00674E0F">
        <w:rPr>
          <w:rFonts w:ascii="Arial" w:hAnsi="Arial" w:cs="Arial"/>
          <w:color w:val="000000" w:themeColor="text1"/>
          <w:sz w:val="22"/>
          <w:bdr w:val="none" w:sz="0" w:space="0" w:color="auto" w:frame="1"/>
          <w:lang w:val="es-ES_tradnl"/>
        </w:rPr>
        <w:t>iii</w:t>
      </w:r>
      <w:proofErr w:type="spellEnd"/>
      <w:r w:rsidRPr="00674E0F">
        <w:rPr>
          <w:rFonts w:ascii="Arial" w:hAnsi="Arial" w:cs="Arial"/>
          <w:color w:val="000000" w:themeColor="text1"/>
          <w:sz w:val="22"/>
          <w:bdr w:val="none" w:sz="0" w:space="0" w:color="auto" w:frame="1"/>
          <w:lang w:val="es-ES_tradnl"/>
        </w:rPr>
        <w:t xml:space="preserve">) concurso de méritos. En cuanto al proceso de selección por mínima cuantía, el inciso tercero del mismo artículo señala que la evaluación de las ofertas «[…] será adelantada por quien sea designado por el ordenador del gasto sin que se requiera un comité plural» De </w:t>
      </w:r>
      <w:r w:rsidRPr="00674E0F">
        <w:rPr>
          <w:rFonts w:ascii="Arial" w:hAnsi="Arial" w:cs="Arial"/>
          <w:color w:val="000000" w:themeColor="text1"/>
          <w:sz w:val="22"/>
          <w:bdr w:val="none" w:sz="0" w:space="0" w:color="auto" w:frame="1"/>
          <w:lang w:val="es-ES_tradnl"/>
        </w:rPr>
        <w:lastRenderedPageBreak/>
        <w:t xml:space="preserve">esta última parte de la disposición, así como de las expresiones en plural que se emplean en el primer inciso, se infiere, además, el carácter colectivo y asesor del comité.  </w:t>
      </w:r>
    </w:p>
    <w:p w14:paraId="3B65CBF9" w14:textId="77777777" w:rsidR="00674E0F" w:rsidRPr="00674E0F" w:rsidRDefault="00674E0F" w:rsidP="003C046A">
      <w:pPr>
        <w:spacing w:after="120"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En relación con la designación del comité evaluador, valga aclarar, primero, que la norma establece una facultad en cabeza de las entidades públicas, lo cual se denota con el uso de la forma verbal indicativa «puede». Esto indica que no es una obligación de estas conformar dicho organismo y que, por el contrario, existe una prerrogativa en cabeza de la entidad, quien deberá definir la conformación o no del comité, atendiendo a criterios como su propia organización y funciones, la naturaleza y complejidad de los contratos a celebrar, etc.</w:t>
      </w:r>
    </w:p>
    <w:p w14:paraId="4B4EEB78" w14:textId="77777777" w:rsidR="00674E0F" w:rsidRPr="00674E0F" w:rsidRDefault="00674E0F" w:rsidP="003C046A">
      <w:pPr>
        <w:spacing w:after="120"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Lo segundo tiene que ver con los alcances de dicha facultad, frente a lo cual se advierte que la propia norma reglamentaria deja buen espacio para que la entidad determine ciertos elementos en relación con el comité de evaluación que decida constituir. Así, aspectos como el número de miembros, las calidades o profesiones de cada uno, la determinación de los procesos de selección en los cuales se conformará el comité de evaluación, o la determinación de factores como la cuantía u objeto contractual para la misma finalidad, entre otras, son cuestiones que, en la medida que la norma guarda silencio, corresponderá a cada entidad establecerlos para cada proceso de selección o en sus manuales internos de contratación.</w:t>
      </w:r>
    </w:p>
    <w:p w14:paraId="2DAC3688" w14:textId="523C7C8D" w:rsidR="00674E0F" w:rsidRPr="00674E0F" w:rsidRDefault="00674E0F" w:rsidP="003C046A">
      <w:pPr>
        <w:spacing w:after="120"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 xml:space="preserve">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w:t>
      </w:r>
      <w:r w:rsidR="00C22F7C" w:rsidRPr="00674E0F">
        <w:rPr>
          <w:rFonts w:ascii="Arial" w:hAnsi="Arial" w:cs="Arial"/>
          <w:color w:val="000000" w:themeColor="text1"/>
          <w:sz w:val="22"/>
          <w:bdr w:val="none" w:sz="0" w:space="0" w:color="auto" w:frame="1"/>
          <w:lang w:val="es-ES_tradnl"/>
        </w:rPr>
        <w:t>2007.</w:t>
      </w:r>
      <w:r w:rsidRPr="00674E0F">
        <w:rPr>
          <w:rFonts w:ascii="Arial" w:hAnsi="Arial" w:cs="Arial"/>
          <w:color w:val="000000" w:themeColor="text1"/>
          <w:sz w:val="22"/>
          <w:bdr w:val="none" w:sz="0" w:space="0" w:color="auto" w:frame="1"/>
          <w:lang w:val="es-ES_tradnl"/>
        </w:rPr>
        <w:t xml:space="preserve"> La norma citada dispone que «[…] se entiende por desconcentración la distribución adecuada del trabajo que realiza el jefe o representante legal de la entidad, sin que ello implique autonomía administrativa en su ejercicio […]».  </w:t>
      </w:r>
    </w:p>
    <w:p w14:paraId="0B56BF73" w14:textId="4BC0E2BE" w:rsidR="00674E0F" w:rsidRPr="00674E0F" w:rsidRDefault="00EF36C2" w:rsidP="003C046A">
      <w:pPr>
        <w:spacing w:after="120" w:line="276" w:lineRule="auto"/>
        <w:ind w:firstLine="709"/>
        <w:jc w:val="both"/>
        <w:rPr>
          <w:rFonts w:ascii="Arial" w:hAnsi="Arial" w:cs="Arial"/>
          <w:color w:val="000000" w:themeColor="text1"/>
          <w:sz w:val="22"/>
          <w:bdr w:val="none" w:sz="0" w:space="0" w:color="auto" w:frame="1"/>
          <w:lang w:val="es-ES_tradnl"/>
        </w:rPr>
      </w:pPr>
      <w:r>
        <w:rPr>
          <w:rFonts w:ascii="Arial" w:hAnsi="Arial" w:cs="Arial"/>
          <w:color w:val="000000" w:themeColor="text1"/>
          <w:sz w:val="22"/>
          <w:bdr w:val="none" w:sz="0" w:space="0" w:color="auto" w:frame="1"/>
          <w:lang w:val="es-ES_tradnl"/>
        </w:rPr>
        <w:t>L</w:t>
      </w:r>
      <w:r w:rsidR="00674E0F" w:rsidRPr="00674E0F">
        <w:rPr>
          <w:rFonts w:ascii="Arial" w:hAnsi="Arial" w:cs="Arial"/>
          <w:color w:val="000000" w:themeColor="text1"/>
          <w:sz w:val="22"/>
          <w:bdr w:val="none" w:sz="0" w:space="0" w:color="auto" w:frame="1"/>
          <w:lang w:val="es-ES_tradnl"/>
        </w:rPr>
        <w:t xml:space="preserve">a finalidad del </w:t>
      </w:r>
      <w:r w:rsidR="00AC5E21" w:rsidRPr="00674E0F">
        <w:rPr>
          <w:rFonts w:ascii="Arial" w:hAnsi="Arial" w:cs="Arial"/>
          <w:color w:val="000000" w:themeColor="text1"/>
          <w:sz w:val="22"/>
          <w:bdr w:val="none" w:sz="0" w:space="0" w:color="auto" w:frame="1"/>
          <w:lang w:val="es-ES_tradnl"/>
        </w:rPr>
        <w:t>comité evaluador,</w:t>
      </w:r>
      <w:r w:rsidR="00674E0F" w:rsidRPr="00674E0F">
        <w:rPr>
          <w:rFonts w:ascii="Arial" w:hAnsi="Arial" w:cs="Arial"/>
          <w:color w:val="000000" w:themeColor="text1"/>
          <w:sz w:val="22"/>
          <w:bdr w:val="none" w:sz="0" w:space="0" w:color="auto" w:frame="1"/>
          <w:lang w:val="es-ES_tradnl"/>
        </w:rPr>
        <w:t xml:space="preserve"> según la norma en comento, es la evaluación de ofertas y manifestaciones de interés, así como todas las actividades y prerrogativas que se deriven o se hagan necesarias para el cumplimiento de dicha función. Esta evaluación se materializará a través de la emisión de un concepto o dictamen o informe de evaluación, que deberá ser elaborado y presentado tanto al ordenador del gasto, como a los demás interesados en el proceso de contratación bajo las condiciones y plazos previamente definidos por la propia entidad. Su forma de presentación es la publicación en el SECOP dentro del término establecido para ello. </w:t>
      </w:r>
    </w:p>
    <w:p w14:paraId="19FB54A7" w14:textId="3B2B0354" w:rsidR="00674E0F" w:rsidRDefault="00674E0F" w:rsidP="003C046A">
      <w:pPr>
        <w:spacing w:after="120" w:line="276" w:lineRule="auto"/>
        <w:ind w:firstLine="709"/>
        <w:jc w:val="both"/>
        <w:rPr>
          <w:rFonts w:ascii="Arial" w:hAnsi="Arial" w:cs="Arial"/>
          <w:color w:val="000000" w:themeColor="text1"/>
          <w:sz w:val="22"/>
          <w:bdr w:val="none" w:sz="0" w:space="0" w:color="auto" w:frame="1"/>
          <w:lang w:val="es-ES_tradnl"/>
        </w:rPr>
      </w:pPr>
      <w:r w:rsidRPr="00674E0F">
        <w:rPr>
          <w:rFonts w:ascii="Arial" w:hAnsi="Arial" w:cs="Arial"/>
          <w:color w:val="000000" w:themeColor="text1"/>
          <w:sz w:val="22"/>
          <w:bdr w:val="none" w:sz="0" w:space="0" w:color="auto" w:frame="1"/>
          <w:lang w:val="es-ES_tradnl"/>
        </w:rPr>
        <w:t>Para emitir el informe de evaluación, el comité</w:t>
      </w:r>
      <w:r w:rsidR="00EF36C2">
        <w:rPr>
          <w:rFonts w:ascii="Arial" w:hAnsi="Arial" w:cs="Arial"/>
          <w:color w:val="000000" w:themeColor="text1"/>
          <w:sz w:val="22"/>
          <w:bdr w:val="none" w:sz="0" w:space="0" w:color="auto" w:frame="1"/>
          <w:lang w:val="es-ES_tradnl"/>
        </w:rPr>
        <w:t xml:space="preserve"> debe verificar las propuestas y las manifestaciones de interés aplicando</w:t>
      </w:r>
      <w:r w:rsidRPr="00674E0F">
        <w:rPr>
          <w:rFonts w:ascii="Arial" w:hAnsi="Arial" w:cs="Arial"/>
          <w:color w:val="000000" w:themeColor="text1"/>
          <w:sz w:val="22"/>
          <w:bdr w:val="none" w:sz="0" w:space="0" w:color="auto" w:frame="1"/>
          <w:lang w:val="es-ES_tradnl"/>
        </w:rPr>
        <w:t xml:space="preserve"> el procedimiento, los criterios y los requisitos establecidos en el pliego de condiciones o documento equivalente. En el informe, luego de cotejar y comparar las propuestas recibidas, se hará constar por el Comité Evaluador el estudio objetivo de las ofertas y los documentos presentados con esta por los proponentes </w:t>
      </w:r>
      <w:r w:rsidRPr="00674E0F">
        <w:rPr>
          <w:rFonts w:ascii="Arial" w:hAnsi="Arial" w:cs="Arial"/>
          <w:color w:val="000000" w:themeColor="text1"/>
          <w:sz w:val="22"/>
          <w:bdr w:val="none" w:sz="0" w:space="0" w:color="auto" w:frame="1"/>
          <w:lang w:val="es-ES_tradnl"/>
        </w:rPr>
        <w:lastRenderedPageBreak/>
        <w:t xml:space="preserve">para el cumplimiento de los requisitos habilitantes y de asignación de puntaje, los cuales son evaluados jurídica, técnica, financiera y económicamente. </w:t>
      </w:r>
    </w:p>
    <w:p w14:paraId="053E0609" w14:textId="77777777" w:rsidR="00437E6E" w:rsidRDefault="00295AE0" w:rsidP="003C046A">
      <w:pPr>
        <w:spacing w:after="120" w:line="276" w:lineRule="auto"/>
        <w:ind w:firstLine="708"/>
        <w:jc w:val="both"/>
        <w:rPr>
          <w:rFonts w:ascii="Arial" w:hAnsi="Arial" w:cs="Arial"/>
          <w:color w:val="000000" w:themeColor="text1"/>
          <w:sz w:val="22"/>
          <w:bdr w:val="none" w:sz="0" w:space="0" w:color="auto" w:frame="1"/>
          <w:lang w:val="es-MX"/>
        </w:rPr>
      </w:pPr>
      <w:r>
        <w:rPr>
          <w:rFonts w:ascii="Arial" w:hAnsi="Arial" w:cs="Arial"/>
          <w:color w:val="000000" w:themeColor="text1"/>
          <w:sz w:val="22"/>
          <w:bdr w:val="none" w:sz="0" w:space="0" w:color="auto" w:frame="1"/>
          <w:lang w:val="es-MX"/>
        </w:rPr>
        <w:t xml:space="preserve">Teniendo en cuenta la consulta planteada, el análisis se centrará en la función de evaluación de las manifestaciones de interés por parte del comité evaluador de que trata el artículo </w:t>
      </w:r>
      <w:r w:rsidRPr="00674E0F">
        <w:rPr>
          <w:rFonts w:ascii="Arial" w:hAnsi="Arial" w:cs="Arial"/>
          <w:color w:val="000000" w:themeColor="text1"/>
          <w:sz w:val="22"/>
          <w:bdr w:val="none" w:sz="0" w:space="0" w:color="auto" w:frame="1"/>
          <w:lang w:val="es-ES_tradnl"/>
        </w:rPr>
        <w:t>2.2.1.1</w:t>
      </w:r>
      <w:r>
        <w:rPr>
          <w:rFonts w:ascii="Arial" w:hAnsi="Arial" w:cs="Arial"/>
          <w:color w:val="000000" w:themeColor="text1"/>
          <w:sz w:val="22"/>
          <w:bdr w:val="none" w:sz="0" w:space="0" w:color="auto" w:frame="1"/>
          <w:lang w:val="es-ES_tradnl"/>
        </w:rPr>
        <w:t>.2.2.3 del Decreto 1082 de 2015.  En primer lugar, conviene señalar que l</w:t>
      </w:r>
      <w:r w:rsidR="00A50CB9" w:rsidRPr="00A50CB9">
        <w:rPr>
          <w:rFonts w:ascii="Arial" w:hAnsi="Arial" w:cs="Arial"/>
          <w:color w:val="000000" w:themeColor="text1"/>
          <w:sz w:val="22"/>
          <w:bdr w:val="none" w:sz="0" w:space="0" w:color="auto" w:frame="1"/>
          <w:lang w:val="es-MX"/>
        </w:rPr>
        <w:t>a manifestación de interés para participar es un acto mediante el cual el interesado expresa a la entidad su interés de participar en el procedimiento de menor cuantía o en un concurso de méritos con precalificación. Las normas de ambos procesos de selección no señalan la forma como debe realizarse la manifestación, por lo cual es facultativo de la entidad definirlo, pudiendo señalar que sea por correo electrónico, o una comunicación escrita o verbal ante la misma entidad pública, entre otras actuaciones. En todo caso, esta comunicación, mínimo, debe contener la identificación básica del interesado, junto con la manifestación de estar interesado en participar dentro del proceso de contratación respectivo.</w:t>
      </w:r>
      <w:r>
        <w:rPr>
          <w:rFonts w:ascii="Arial" w:hAnsi="Arial" w:cs="Arial"/>
          <w:color w:val="000000" w:themeColor="text1"/>
          <w:sz w:val="22"/>
          <w:bdr w:val="none" w:sz="0" w:space="0" w:color="auto" w:frame="1"/>
          <w:lang w:val="es-MX"/>
        </w:rPr>
        <w:t xml:space="preserve"> </w:t>
      </w:r>
    </w:p>
    <w:p w14:paraId="0CC39A9B" w14:textId="3E740DB1" w:rsidR="00295AE0" w:rsidRDefault="00295AE0" w:rsidP="003C046A">
      <w:pPr>
        <w:spacing w:after="120" w:line="276" w:lineRule="auto"/>
        <w:ind w:firstLine="708"/>
        <w:jc w:val="both"/>
        <w:rPr>
          <w:rFonts w:ascii="Arial" w:eastAsia="Calibri" w:hAnsi="Arial" w:cs="Arial"/>
          <w:color w:val="000000" w:themeColor="text1"/>
          <w:sz w:val="22"/>
        </w:rPr>
      </w:pPr>
      <w:r>
        <w:rPr>
          <w:rFonts w:ascii="Arial" w:hAnsi="Arial" w:cs="Arial"/>
          <w:color w:val="000000" w:themeColor="text1"/>
          <w:sz w:val="22"/>
          <w:bdr w:val="none" w:sz="0" w:space="0" w:color="auto" w:frame="1"/>
          <w:lang w:val="es-MX"/>
        </w:rPr>
        <w:t xml:space="preserve"> </w:t>
      </w:r>
      <w:r>
        <w:rPr>
          <w:rFonts w:ascii="Arial" w:eastAsia="Calibri" w:hAnsi="Arial" w:cs="Arial"/>
          <w:color w:val="000000" w:themeColor="text1"/>
          <w:sz w:val="22"/>
        </w:rPr>
        <w:t xml:space="preserve">Cabe recordar que la manifestación </w:t>
      </w:r>
      <w:r w:rsidRPr="00D7176C">
        <w:rPr>
          <w:rFonts w:ascii="Arial" w:eastAsia="Calibri" w:hAnsi="Arial" w:cs="Arial"/>
          <w:color w:val="000000" w:themeColor="text1"/>
          <w:sz w:val="22"/>
        </w:rPr>
        <w:t>de interés tiene una naturaleza distinta de la oferta que será presentada</w:t>
      </w:r>
      <w:r>
        <w:rPr>
          <w:rFonts w:ascii="Arial" w:eastAsia="Calibri" w:hAnsi="Arial" w:cs="Arial"/>
          <w:color w:val="000000" w:themeColor="text1"/>
          <w:sz w:val="22"/>
        </w:rPr>
        <w:t xml:space="preserve"> y evaluada en el proceso de contratación, y se trata de un acto que no genera la obligación de presentar oferta más adelante en la oportunidad señalada en el cronograma del proceso, pues, de acuerdo con su análisis de conveniencia, el interesado puede desistir de participar sin consecuencia alguna dentro del proceso.</w:t>
      </w:r>
    </w:p>
    <w:p w14:paraId="23560385" w14:textId="43C30B98" w:rsidR="00445A6D" w:rsidRDefault="00295AE0" w:rsidP="003C046A">
      <w:pPr>
        <w:spacing w:after="120" w:line="276" w:lineRule="auto"/>
        <w:ind w:firstLine="708"/>
        <w:jc w:val="both"/>
        <w:rPr>
          <w:rFonts w:ascii="Arial" w:hAnsi="Arial" w:cs="Arial"/>
          <w:color w:val="000000" w:themeColor="text1"/>
          <w:sz w:val="22"/>
          <w:bdr w:val="none" w:sz="0" w:space="0" w:color="auto" w:frame="1"/>
          <w:lang w:val="es-ES_tradnl"/>
        </w:rPr>
      </w:pPr>
      <w:r>
        <w:rPr>
          <w:rFonts w:ascii="Arial" w:hAnsi="Arial" w:cs="Arial"/>
          <w:color w:val="000000" w:themeColor="text1"/>
          <w:sz w:val="22"/>
          <w:bdr w:val="none" w:sz="0" w:space="0" w:color="auto" w:frame="1"/>
          <w:lang w:val="es-ES_tradnl"/>
        </w:rPr>
        <w:t>Ahora bien, r</w:t>
      </w:r>
      <w:r w:rsidR="00EF36C2">
        <w:rPr>
          <w:rFonts w:ascii="Arial" w:hAnsi="Arial" w:cs="Arial"/>
          <w:color w:val="000000" w:themeColor="text1"/>
          <w:sz w:val="22"/>
          <w:bdr w:val="none" w:sz="0" w:space="0" w:color="auto" w:frame="1"/>
          <w:lang w:val="es-ES_tradnl"/>
        </w:rPr>
        <w:t xml:space="preserve">especto de la evaluación de las manifestaciones de interés por parte del comité evaluador </w:t>
      </w:r>
      <w:r w:rsidR="00710835">
        <w:rPr>
          <w:rFonts w:ascii="Arial" w:hAnsi="Arial" w:cs="Arial"/>
          <w:color w:val="000000" w:themeColor="text1"/>
          <w:sz w:val="22"/>
          <w:bdr w:val="none" w:sz="0" w:space="0" w:color="auto" w:frame="1"/>
          <w:lang w:val="es-ES_tradnl"/>
        </w:rPr>
        <w:t>es necesario</w:t>
      </w:r>
      <w:r w:rsidR="00EF36C2">
        <w:rPr>
          <w:rFonts w:ascii="Arial" w:hAnsi="Arial" w:cs="Arial"/>
          <w:color w:val="000000" w:themeColor="text1"/>
          <w:sz w:val="22"/>
          <w:bdr w:val="none" w:sz="0" w:space="0" w:color="auto" w:frame="1"/>
          <w:lang w:val="es-ES_tradnl"/>
        </w:rPr>
        <w:t xml:space="preserve"> armonizar las </w:t>
      </w:r>
      <w:r w:rsidR="00EF36C2" w:rsidRPr="00200C13">
        <w:rPr>
          <w:rFonts w:ascii="Arial" w:hAnsi="Arial" w:cs="Arial"/>
          <w:color w:val="000000" w:themeColor="text1"/>
          <w:sz w:val="22"/>
          <w:bdr w:val="none" w:sz="0" w:space="0" w:color="auto" w:frame="1"/>
          <w:lang w:val="es-ES_tradnl"/>
        </w:rPr>
        <w:t xml:space="preserve">disposiciones del </w:t>
      </w:r>
      <w:r w:rsidR="00200C13" w:rsidRPr="00200C13">
        <w:rPr>
          <w:rFonts w:ascii="Arial" w:hAnsi="Arial" w:cs="Arial"/>
          <w:color w:val="000000" w:themeColor="text1"/>
          <w:sz w:val="22"/>
          <w:bdr w:val="none" w:sz="0" w:space="0" w:color="auto" w:frame="1"/>
          <w:lang w:val="es-ES_tradnl"/>
        </w:rPr>
        <w:t>artículo</w:t>
      </w:r>
      <w:r w:rsidR="00200C13">
        <w:rPr>
          <w:rFonts w:ascii="Arial" w:hAnsi="Arial" w:cs="Arial"/>
          <w:color w:val="000000" w:themeColor="text1"/>
          <w:sz w:val="22"/>
          <w:bdr w:val="none" w:sz="0" w:space="0" w:color="auto" w:frame="1"/>
          <w:lang w:val="es-ES_tradnl"/>
        </w:rPr>
        <w:t xml:space="preserve"> </w:t>
      </w:r>
      <w:r w:rsidR="00200C13" w:rsidRPr="00674E0F">
        <w:rPr>
          <w:rFonts w:ascii="Arial" w:hAnsi="Arial" w:cs="Arial"/>
          <w:color w:val="000000" w:themeColor="text1"/>
          <w:sz w:val="22"/>
          <w:bdr w:val="none" w:sz="0" w:space="0" w:color="auto" w:frame="1"/>
          <w:lang w:val="es-ES_tradnl"/>
        </w:rPr>
        <w:t>2.2.1.1.2.2.3</w:t>
      </w:r>
      <w:r w:rsidR="00200C13">
        <w:rPr>
          <w:rFonts w:ascii="Arial" w:hAnsi="Arial" w:cs="Arial"/>
          <w:color w:val="000000" w:themeColor="text1"/>
          <w:sz w:val="22"/>
          <w:bdr w:val="none" w:sz="0" w:space="0" w:color="auto" w:frame="1"/>
          <w:lang w:val="es-ES_tradnl"/>
        </w:rPr>
        <w:t xml:space="preserve"> </w:t>
      </w:r>
      <w:r w:rsidR="00200C13" w:rsidRPr="00200C13">
        <w:rPr>
          <w:rFonts w:ascii="Arial" w:hAnsi="Arial" w:cs="Arial"/>
          <w:color w:val="000000" w:themeColor="text1"/>
          <w:sz w:val="22"/>
          <w:bdr w:val="none" w:sz="0" w:space="0" w:color="auto" w:frame="1"/>
          <w:lang w:val="es-ES_tradnl"/>
        </w:rPr>
        <w:t>c</w:t>
      </w:r>
      <w:r w:rsidR="00EF36C2" w:rsidRPr="00200C13">
        <w:rPr>
          <w:rFonts w:ascii="Arial" w:hAnsi="Arial" w:cs="Arial"/>
          <w:color w:val="000000" w:themeColor="text1"/>
          <w:sz w:val="22"/>
          <w:bdr w:val="none" w:sz="0" w:space="0" w:color="auto" w:frame="1"/>
          <w:lang w:val="es-ES_tradnl"/>
        </w:rPr>
        <w:t>on aquellas</w:t>
      </w:r>
      <w:r w:rsidR="00EF36C2">
        <w:rPr>
          <w:rFonts w:ascii="Arial" w:hAnsi="Arial" w:cs="Arial"/>
          <w:color w:val="000000" w:themeColor="text1"/>
          <w:sz w:val="22"/>
          <w:bdr w:val="none" w:sz="0" w:space="0" w:color="auto" w:frame="1"/>
          <w:lang w:val="es-ES_tradnl"/>
        </w:rPr>
        <w:t xml:space="preserve"> que </w:t>
      </w:r>
      <w:r w:rsidR="00D9363F">
        <w:rPr>
          <w:rFonts w:ascii="Arial" w:hAnsi="Arial" w:cs="Arial"/>
          <w:color w:val="000000" w:themeColor="text1"/>
          <w:sz w:val="22"/>
          <w:bdr w:val="none" w:sz="0" w:space="0" w:color="auto" w:frame="1"/>
          <w:lang w:val="es-ES_tradnl"/>
        </w:rPr>
        <w:t>exigen la presentación de una manifestación</w:t>
      </w:r>
      <w:r w:rsidR="00EF36C2">
        <w:rPr>
          <w:rFonts w:ascii="Arial" w:hAnsi="Arial" w:cs="Arial"/>
          <w:color w:val="000000" w:themeColor="text1"/>
          <w:sz w:val="22"/>
          <w:bdr w:val="none" w:sz="0" w:space="0" w:color="auto" w:frame="1"/>
          <w:lang w:val="es-ES_tradnl"/>
        </w:rPr>
        <w:t xml:space="preserve"> de inter</w:t>
      </w:r>
      <w:r w:rsidR="00D9363F">
        <w:rPr>
          <w:rFonts w:ascii="Arial" w:hAnsi="Arial" w:cs="Arial"/>
          <w:color w:val="000000" w:themeColor="text1"/>
          <w:sz w:val="22"/>
          <w:bdr w:val="none" w:sz="0" w:space="0" w:color="auto" w:frame="1"/>
          <w:lang w:val="es-ES_tradnl"/>
        </w:rPr>
        <w:t>és en las modalidades de</w:t>
      </w:r>
      <w:r w:rsidR="00EF36C2">
        <w:rPr>
          <w:rFonts w:ascii="Arial" w:hAnsi="Arial" w:cs="Arial"/>
          <w:color w:val="000000" w:themeColor="text1"/>
          <w:sz w:val="22"/>
          <w:bdr w:val="none" w:sz="0" w:space="0" w:color="auto" w:frame="1"/>
          <w:lang w:val="es-ES_tradnl"/>
        </w:rPr>
        <w:t xml:space="preserve"> concurso de méritos con precalificaci</w:t>
      </w:r>
      <w:r w:rsidR="00710835">
        <w:rPr>
          <w:rFonts w:ascii="Arial" w:hAnsi="Arial" w:cs="Arial"/>
          <w:color w:val="000000" w:themeColor="text1"/>
          <w:sz w:val="22"/>
          <w:bdr w:val="none" w:sz="0" w:space="0" w:color="auto" w:frame="1"/>
          <w:lang w:val="es-ES_tradnl"/>
        </w:rPr>
        <w:t>ón y</w:t>
      </w:r>
      <w:r w:rsidR="00EF36C2">
        <w:rPr>
          <w:rFonts w:ascii="Arial" w:hAnsi="Arial" w:cs="Arial"/>
          <w:color w:val="000000" w:themeColor="text1"/>
          <w:sz w:val="22"/>
          <w:bdr w:val="none" w:sz="0" w:space="0" w:color="auto" w:frame="1"/>
          <w:lang w:val="es-ES_tradnl"/>
        </w:rPr>
        <w:t xml:space="preserve"> selección abreviada de menor cuantía.</w:t>
      </w:r>
      <w:r w:rsidR="009922DA" w:rsidRPr="009922DA">
        <w:rPr>
          <w:rFonts w:ascii="Arial" w:eastAsia="Calibri" w:hAnsi="Arial" w:cs="Arial"/>
          <w:color w:val="000000" w:themeColor="text1"/>
          <w:sz w:val="22"/>
        </w:rPr>
        <w:t xml:space="preserve"> </w:t>
      </w:r>
      <w:r w:rsidR="00445A6D">
        <w:rPr>
          <w:rFonts w:ascii="Arial" w:eastAsia="Calibri" w:hAnsi="Arial" w:cs="Arial"/>
          <w:color w:val="000000" w:themeColor="text1"/>
          <w:sz w:val="22"/>
        </w:rPr>
        <w:t xml:space="preserve">De acuerdo con este planteamiento y por </w:t>
      </w:r>
      <w:r w:rsidR="006A101E" w:rsidRPr="00F41065">
        <w:rPr>
          <w:rFonts w:ascii="Arial" w:hAnsi="Arial" w:cs="Arial"/>
          <w:color w:val="000000" w:themeColor="text1"/>
          <w:sz w:val="22"/>
          <w:bdr w:val="none" w:sz="0" w:space="0" w:color="auto" w:frame="1"/>
          <w:lang w:val="es-ES_tradnl"/>
        </w:rPr>
        <w:t>ser relevante para resolver la consulta que hace a la</w:t>
      </w:r>
      <w:r w:rsidR="00265D5C" w:rsidRPr="00F41065">
        <w:rPr>
          <w:rFonts w:ascii="Arial" w:hAnsi="Arial" w:cs="Arial"/>
          <w:color w:val="000000" w:themeColor="text1"/>
          <w:sz w:val="22"/>
          <w:bdr w:val="none" w:sz="0" w:space="0" w:color="auto" w:frame="1"/>
          <w:lang w:val="es-ES_tradnl"/>
        </w:rPr>
        <w:t xml:space="preserve"> </w:t>
      </w:r>
      <w:r w:rsidR="00445A6D">
        <w:rPr>
          <w:rFonts w:ascii="Arial" w:hAnsi="Arial" w:cs="Arial"/>
          <w:color w:val="000000" w:themeColor="text1"/>
          <w:sz w:val="22"/>
          <w:bdr w:val="none" w:sz="0" w:space="0" w:color="auto" w:frame="1"/>
          <w:lang w:val="es-ES_tradnl"/>
        </w:rPr>
        <w:t>Agencia, es pertinente analizar las reglas aplicables a las manifestaciones de interés en estas modalidades de selección.</w:t>
      </w:r>
    </w:p>
    <w:p w14:paraId="7FFD0A88" w14:textId="605E1E59" w:rsidR="00437E6E" w:rsidRDefault="006A101E" w:rsidP="003C046A">
      <w:pPr>
        <w:spacing w:after="120" w:line="276" w:lineRule="auto"/>
        <w:ind w:firstLine="708"/>
        <w:jc w:val="both"/>
        <w:rPr>
          <w:rFonts w:ascii="Arial" w:hAnsi="Arial" w:cs="Arial"/>
          <w:color w:val="000000" w:themeColor="text1"/>
          <w:sz w:val="22"/>
          <w:bdr w:val="none" w:sz="0" w:space="0" w:color="auto" w:frame="1"/>
          <w:lang w:val="es-ES_tradnl"/>
        </w:rPr>
      </w:pPr>
      <w:r w:rsidRPr="00F41065">
        <w:rPr>
          <w:rFonts w:ascii="Arial" w:hAnsi="Arial" w:cs="Arial"/>
          <w:color w:val="000000" w:themeColor="text1"/>
          <w:sz w:val="22"/>
          <w:bdr w:val="none" w:sz="0" w:space="0" w:color="auto" w:frame="1"/>
          <w:lang w:val="es-ES_tradnl"/>
        </w:rPr>
        <w:t xml:space="preserve"> </w:t>
      </w:r>
      <w:r w:rsidR="00445A6D">
        <w:rPr>
          <w:rFonts w:ascii="Arial" w:hAnsi="Arial" w:cs="Arial"/>
          <w:color w:val="000000" w:themeColor="text1"/>
          <w:sz w:val="22"/>
          <w:bdr w:val="none" w:sz="0" w:space="0" w:color="auto" w:frame="1"/>
          <w:lang w:val="es-ES_tradnl"/>
        </w:rPr>
        <w:t>T</w:t>
      </w:r>
      <w:r w:rsidR="00D9363F" w:rsidRPr="00F41065">
        <w:rPr>
          <w:rFonts w:ascii="Arial" w:hAnsi="Arial" w:cs="Arial"/>
          <w:color w:val="000000" w:themeColor="text1"/>
          <w:sz w:val="22"/>
          <w:bdr w:val="none" w:sz="0" w:space="0" w:color="auto" w:frame="1"/>
          <w:lang w:val="es-ES_tradnl"/>
        </w:rPr>
        <w:t>ratándose del concurso de méritos</w:t>
      </w:r>
      <w:r w:rsidR="00710835" w:rsidRPr="00F41065">
        <w:rPr>
          <w:rFonts w:ascii="Arial" w:hAnsi="Arial" w:cs="Arial"/>
          <w:color w:val="000000" w:themeColor="text1"/>
          <w:sz w:val="22"/>
          <w:bdr w:val="none" w:sz="0" w:space="0" w:color="auto" w:frame="1"/>
          <w:lang w:val="es-ES_tradnl"/>
        </w:rPr>
        <w:t xml:space="preserve"> con precalificación</w:t>
      </w:r>
      <w:r w:rsidR="00D9363F" w:rsidRPr="00F41065">
        <w:rPr>
          <w:rFonts w:ascii="Arial" w:hAnsi="Arial" w:cs="Arial"/>
          <w:color w:val="000000" w:themeColor="text1"/>
          <w:sz w:val="22"/>
          <w:bdr w:val="none" w:sz="0" w:space="0" w:color="auto" w:frame="1"/>
          <w:lang w:val="es-ES_tradnl"/>
        </w:rPr>
        <w:t xml:space="preserve">, los artículos </w:t>
      </w:r>
      <w:r w:rsidR="00710835" w:rsidRPr="00F41065">
        <w:rPr>
          <w:rFonts w:ascii="Arial" w:hAnsi="Arial" w:cs="Arial"/>
          <w:color w:val="000000" w:themeColor="text1"/>
          <w:sz w:val="22"/>
          <w:bdr w:val="none" w:sz="0" w:space="0" w:color="auto" w:frame="1"/>
          <w:lang w:val="es-ES_tradnl"/>
        </w:rPr>
        <w:t>2.2.1.2.1.3.4.</w:t>
      </w:r>
      <w:r w:rsidR="00D9363F" w:rsidRPr="00F41065">
        <w:rPr>
          <w:rFonts w:ascii="Arial" w:hAnsi="Arial" w:cs="Arial"/>
          <w:color w:val="000000" w:themeColor="text1"/>
          <w:sz w:val="22"/>
          <w:bdr w:val="none" w:sz="0" w:space="0" w:color="auto" w:frame="1"/>
          <w:lang w:val="es-ES_tradnl"/>
        </w:rPr>
        <w:t xml:space="preserve"> y 2.2.</w:t>
      </w:r>
      <w:r w:rsidR="00D9363F" w:rsidRPr="00D9363F">
        <w:rPr>
          <w:rFonts w:ascii="Arial" w:hAnsi="Arial" w:cs="Arial"/>
          <w:color w:val="000000" w:themeColor="text1"/>
          <w:sz w:val="22"/>
          <w:bdr w:val="none" w:sz="0" w:space="0" w:color="auto" w:frame="1"/>
          <w:lang w:val="es-ES_tradnl"/>
        </w:rPr>
        <w:t>1.2.1.3.5.</w:t>
      </w:r>
      <w:r w:rsidR="00D9363F">
        <w:rPr>
          <w:rFonts w:ascii="Arial" w:hAnsi="Arial" w:cs="Arial"/>
          <w:color w:val="000000" w:themeColor="text1"/>
          <w:sz w:val="22"/>
          <w:bdr w:val="none" w:sz="0" w:space="0" w:color="auto" w:frame="1"/>
          <w:lang w:val="es-ES_tradnl"/>
        </w:rPr>
        <w:t xml:space="preserve"> del Decreto 1082 de 2015 evidencian con mayor </w:t>
      </w:r>
      <w:r w:rsidR="00135E49">
        <w:rPr>
          <w:rFonts w:ascii="Arial" w:hAnsi="Arial" w:cs="Arial"/>
          <w:color w:val="000000" w:themeColor="text1"/>
          <w:sz w:val="22"/>
          <w:bdr w:val="none" w:sz="0" w:space="0" w:color="auto" w:frame="1"/>
          <w:lang w:val="es-ES_tradnl"/>
        </w:rPr>
        <w:t>claridad la intervención del comité evaluado</w:t>
      </w:r>
      <w:r w:rsidR="00F41065">
        <w:rPr>
          <w:rFonts w:ascii="Arial" w:hAnsi="Arial" w:cs="Arial"/>
          <w:color w:val="000000" w:themeColor="text1"/>
          <w:sz w:val="22"/>
          <w:bdr w:val="none" w:sz="0" w:space="0" w:color="auto" w:frame="1"/>
          <w:lang w:val="es-ES_tradnl"/>
        </w:rPr>
        <w:t>r en la evaluación</w:t>
      </w:r>
      <w:r w:rsidR="00690AAF">
        <w:rPr>
          <w:rFonts w:ascii="Arial" w:hAnsi="Arial" w:cs="Arial"/>
          <w:color w:val="000000" w:themeColor="text1"/>
          <w:sz w:val="22"/>
          <w:bdr w:val="none" w:sz="0" w:space="0" w:color="auto" w:frame="1"/>
          <w:lang w:val="es-ES_tradnl"/>
        </w:rPr>
        <w:t xml:space="preserve"> de las manifestaciones de interés</w:t>
      </w:r>
      <w:r w:rsidR="00F41065">
        <w:rPr>
          <w:rFonts w:ascii="Arial" w:hAnsi="Arial" w:cs="Arial"/>
          <w:color w:val="000000" w:themeColor="text1"/>
          <w:sz w:val="22"/>
          <w:bdr w:val="none" w:sz="0" w:space="0" w:color="auto" w:frame="1"/>
          <w:lang w:val="es-ES_tradnl"/>
        </w:rPr>
        <w:t xml:space="preserve"> de que trata el artículo </w:t>
      </w:r>
      <w:r w:rsidR="00F41065" w:rsidRPr="00674E0F">
        <w:rPr>
          <w:rFonts w:ascii="Arial" w:hAnsi="Arial" w:cs="Arial"/>
          <w:color w:val="000000" w:themeColor="text1"/>
          <w:sz w:val="22"/>
          <w:bdr w:val="none" w:sz="0" w:space="0" w:color="auto" w:frame="1"/>
          <w:lang w:val="es-ES_tradnl"/>
        </w:rPr>
        <w:t>2.2.1.1.2.2.3</w:t>
      </w:r>
      <w:r w:rsidR="00F41065">
        <w:rPr>
          <w:rFonts w:ascii="Arial" w:hAnsi="Arial" w:cs="Arial"/>
          <w:color w:val="000000" w:themeColor="text1"/>
          <w:sz w:val="22"/>
          <w:bdr w:val="none" w:sz="0" w:space="0" w:color="auto" w:frame="1"/>
          <w:lang w:val="es-ES_tradnl"/>
        </w:rPr>
        <w:t xml:space="preserve">, </w:t>
      </w:r>
      <w:r w:rsidR="00F41065" w:rsidRPr="00F41065">
        <w:rPr>
          <w:rFonts w:ascii="Arial" w:hAnsi="Arial" w:cs="Arial"/>
          <w:i/>
          <w:color w:val="000000" w:themeColor="text1"/>
          <w:sz w:val="22"/>
          <w:bdr w:val="none" w:sz="0" w:space="0" w:color="auto" w:frame="1"/>
          <w:lang w:val="es-ES_tradnl"/>
        </w:rPr>
        <w:t>ibídem</w:t>
      </w:r>
      <w:r w:rsidR="00135E49">
        <w:rPr>
          <w:rFonts w:ascii="Arial" w:hAnsi="Arial" w:cs="Arial"/>
          <w:color w:val="000000" w:themeColor="text1"/>
          <w:sz w:val="22"/>
          <w:bdr w:val="none" w:sz="0" w:space="0" w:color="auto" w:frame="1"/>
          <w:lang w:val="es-ES_tradnl"/>
        </w:rPr>
        <w:t xml:space="preserve">, puesto que, de acuerdo con </w:t>
      </w:r>
      <w:r w:rsidR="00F41065">
        <w:rPr>
          <w:rFonts w:ascii="Arial" w:hAnsi="Arial" w:cs="Arial"/>
          <w:color w:val="000000" w:themeColor="text1"/>
          <w:sz w:val="22"/>
          <w:bdr w:val="none" w:sz="0" w:space="0" w:color="auto" w:frame="1"/>
          <w:lang w:val="es-ES_tradnl"/>
        </w:rPr>
        <w:t>dichas</w:t>
      </w:r>
      <w:r w:rsidR="00DF5B9B">
        <w:rPr>
          <w:rFonts w:ascii="Arial" w:hAnsi="Arial" w:cs="Arial"/>
          <w:color w:val="000000" w:themeColor="text1"/>
          <w:sz w:val="22"/>
          <w:bdr w:val="none" w:sz="0" w:space="0" w:color="auto" w:frame="1"/>
          <w:lang w:val="es-ES_tradnl"/>
        </w:rPr>
        <w:t xml:space="preserve"> normas </w:t>
      </w:r>
      <w:r w:rsidR="00DF5B9B" w:rsidRPr="00DF5B9B">
        <w:rPr>
          <w:rFonts w:ascii="Arial" w:hAnsi="Arial" w:cs="Arial"/>
          <w:color w:val="000000" w:themeColor="text1"/>
          <w:sz w:val="22"/>
          <w:bdr w:val="none" w:sz="0" w:space="0" w:color="auto" w:frame="1"/>
          <w:lang w:val="es-ES_tradnl"/>
        </w:rPr>
        <w:t>los interesados deben presentar su manifestación de interés y acreditar los requisitos habilitantes de experiencia, formación, publicaciones y la capacidad de organización del in</w:t>
      </w:r>
      <w:r w:rsidR="00DF5B9B">
        <w:rPr>
          <w:rFonts w:ascii="Arial" w:hAnsi="Arial" w:cs="Arial"/>
          <w:color w:val="000000" w:themeColor="text1"/>
          <w:sz w:val="22"/>
          <w:bdr w:val="none" w:sz="0" w:space="0" w:color="auto" w:frame="1"/>
          <w:lang w:val="es-ES_tradnl"/>
        </w:rPr>
        <w:t>teresado y su equipo de trabajo en la forma en que indique la entidad estatal en el aviso de convocatoria para la precalificación, y,</w:t>
      </w:r>
      <w:r w:rsidR="00135E49" w:rsidRPr="00DF5B9B">
        <w:rPr>
          <w:rFonts w:ascii="Arial" w:hAnsi="Arial" w:cs="Arial"/>
          <w:color w:val="000000" w:themeColor="text1"/>
          <w:sz w:val="22"/>
          <w:bdr w:val="none" w:sz="0" w:space="0" w:color="auto" w:frame="1"/>
          <w:lang w:val="es-ES_tradnl"/>
        </w:rPr>
        <w:t xml:space="preserve"> </w:t>
      </w:r>
      <w:r w:rsidR="00135E49">
        <w:rPr>
          <w:rFonts w:ascii="Arial" w:hAnsi="Arial" w:cs="Arial"/>
          <w:color w:val="000000" w:themeColor="text1"/>
          <w:sz w:val="22"/>
          <w:bdr w:val="none" w:sz="0" w:space="0" w:color="auto" w:frame="1"/>
          <w:lang w:val="es-ES_tradnl"/>
        </w:rPr>
        <w:t>l</w:t>
      </w:r>
      <w:r w:rsidR="00135E49" w:rsidRPr="00135E49">
        <w:rPr>
          <w:rFonts w:ascii="Arial" w:hAnsi="Arial" w:cs="Arial"/>
          <w:color w:val="000000" w:themeColor="text1"/>
          <w:sz w:val="22"/>
          <w:bdr w:val="none" w:sz="0" w:space="0" w:color="auto" w:frame="1"/>
          <w:lang w:val="es-ES_tradnl"/>
        </w:rPr>
        <w:t xml:space="preserve">uego de recibir las manifestaciones de interés y los documentos </w:t>
      </w:r>
      <w:r w:rsidR="00710835">
        <w:rPr>
          <w:rFonts w:ascii="Arial" w:hAnsi="Arial" w:cs="Arial"/>
          <w:color w:val="000000" w:themeColor="text1"/>
          <w:sz w:val="22"/>
          <w:bdr w:val="none" w:sz="0" w:space="0" w:color="auto" w:frame="1"/>
          <w:lang w:val="es-ES_tradnl"/>
        </w:rPr>
        <w:t>antes mencionados</w:t>
      </w:r>
      <w:r w:rsidR="00F41065">
        <w:rPr>
          <w:rFonts w:ascii="Arial" w:hAnsi="Arial" w:cs="Arial"/>
          <w:color w:val="000000" w:themeColor="text1"/>
          <w:sz w:val="22"/>
          <w:bdr w:val="none" w:sz="0" w:space="0" w:color="auto" w:frame="1"/>
          <w:lang w:val="es-ES_tradnl"/>
        </w:rPr>
        <w:t>,</w:t>
      </w:r>
      <w:r w:rsidR="00135E49">
        <w:rPr>
          <w:rFonts w:ascii="Arial" w:hAnsi="Arial" w:cs="Arial"/>
          <w:color w:val="000000" w:themeColor="text1"/>
          <w:sz w:val="22"/>
          <w:bdr w:val="none" w:sz="0" w:space="0" w:color="auto" w:frame="1"/>
          <w:lang w:val="es-ES_tradnl"/>
        </w:rPr>
        <w:t xml:space="preserve"> la entidad estatal debe elaborar y publicar un informe de precalificación, para que los </w:t>
      </w:r>
      <w:r w:rsidR="00135E49" w:rsidRPr="00135E49">
        <w:rPr>
          <w:rFonts w:ascii="Arial" w:hAnsi="Arial" w:cs="Arial"/>
          <w:color w:val="000000" w:themeColor="text1"/>
          <w:sz w:val="22"/>
          <w:bdr w:val="none" w:sz="0" w:space="0" w:color="auto" w:frame="1"/>
          <w:lang w:val="es-ES_tradnl"/>
        </w:rPr>
        <w:t>interesa</w:t>
      </w:r>
      <w:r w:rsidR="00F41065">
        <w:rPr>
          <w:rFonts w:ascii="Arial" w:hAnsi="Arial" w:cs="Arial"/>
          <w:color w:val="000000" w:themeColor="text1"/>
          <w:sz w:val="22"/>
          <w:bdr w:val="none" w:sz="0" w:space="0" w:color="auto" w:frame="1"/>
          <w:lang w:val="es-ES_tradnl"/>
        </w:rPr>
        <w:t xml:space="preserve">dos pueden hacer comentarios a dicho </w:t>
      </w:r>
      <w:r w:rsidR="00135E49" w:rsidRPr="00135E49">
        <w:rPr>
          <w:rFonts w:ascii="Arial" w:hAnsi="Arial" w:cs="Arial"/>
          <w:color w:val="000000" w:themeColor="text1"/>
          <w:sz w:val="22"/>
          <w:bdr w:val="none" w:sz="0" w:space="0" w:color="auto" w:frame="1"/>
          <w:lang w:val="es-ES_tradnl"/>
        </w:rPr>
        <w:t xml:space="preserve">informe durante los dos (2) días </w:t>
      </w:r>
      <w:r w:rsidR="00135E49" w:rsidRPr="00135E49">
        <w:rPr>
          <w:rFonts w:ascii="Arial" w:hAnsi="Arial" w:cs="Arial"/>
          <w:color w:val="000000" w:themeColor="text1"/>
          <w:sz w:val="22"/>
          <w:bdr w:val="none" w:sz="0" w:space="0" w:color="auto" w:frame="1"/>
          <w:lang w:val="es-ES_tradnl"/>
        </w:rPr>
        <w:lastRenderedPageBreak/>
        <w:t>hábiles siguientes a la publicación del mismo</w:t>
      </w:r>
      <w:r w:rsidR="001C75E3">
        <w:rPr>
          <w:rStyle w:val="Refdenotaalpie"/>
          <w:rFonts w:ascii="Arial" w:hAnsi="Arial" w:cs="Arial"/>
          <w:color w:val="000000" w:themeColor="text1"/>
          <w:sz w:val="22"/>
          <w:bdr w:val="none" w:sz="0" w:space="0" w:color="auto" w:frame="1"/>
          <w:lang w:val="es-ES_tradnl"/>
        </w:rPr>
        <w:footnoteReference w:id="2"/>
      </w:r>
      <w:r w:rsidR="00135E49" w:rsidRPr="00135E49">
        <w:rPr>
          <w:rFonts w:ascii="Arial" w:hAnsi="Arial" w:cs="Arial"/>
          <w:color w:val="000000" w:themeColor="text1"/>
          <w:sz w:val="22"/>
          <w:bdr w:val="none" w:sz="0" w:space="0" w:color="auto" w:frame="1"/>
          <w:lang w:val="es-ES_tradnl"/>
        </w:rPr>
        <w:t>.</w:t>
      </w:r>
      <w:r w:rsidR="00DF5B9B">
        <w:rPr>
          <w:rFonts w:ascii="Arial" w:hAnsi="Arial" w:cs="Arial"/>
          <w:color w:val="000000" w:themeColor="text1"/>
          <w:sz w:val="22"/>
          <w:bdr w:val="none" w:sz="0" w:space="0" w:color="auto" w:frame="1"/>
          <w:lang w:val="es-ES_tradnl"/>
        </w:rPr>
        <w:t xml:space="preserve"> </w:t>
      </w:r>
      <w:r w:rsidR="00265D5C">
        <w:rPr>
          <w:rFonts w:ascii="Arial" w:hAnsi="Arial" w:cs="Arial"/>
          <w:color w:val="000000" w:themeColor="text1"/>
          <w:sz w:val="22"/>
          <w:bdr w:val="none" w:sz="0" w:space="0" w:color="auto" w:frame="1"/>
          <w:lang w:val="es-ES_tradnl"/>
        </w:rPr>
        <w:t xml:space="preserve"> Luego, se llevará a cabo una audiencia de precalificación, en la cual, si la entidad estatal estableció en el aviso de convocatoria</w:t>
      </w:r>
      <w:r w:rsidR="00265D5C" w:rsidRPr="00265D5C">
        <w:rPr>
          <w:rFonts w:ascii="Arial" w:hAnsi="Arial" w:cs="Arial"/>
          <w:color w:val="000000" w:themeColor="text1"/>
          <w:sz w:val="22"/>
          <w:bdr w:val="none" w:sz="0" w:space="0" w:color="auto" w:frame="1"/>
          <w:lang w:val="es-ES_tradnl"/>
        </w:rPr>
        <w:t xml:space="preserve"> un número máximo de interesados para conformar la lista de precalificados y el número de interesados que cu</w:t>
      </w:r>
      <w:r w:rsidR="00A50CB9">
        <w:rPr>
          <w:rFonts w:ascii="Arial" w:hAnsi="Arial" w:cs="Arial"/>
          <w:color w:val="000000" w:themeColor="text1"/>
          <w:sz w:val="22"/>
          <w:bdr w:val="none" w:sz="0" w:space="0" w:color="auto" w:frame="1"/>
          <w:lang w:val="es-ES_tradnl"/>
        </w:rPr>
        <w:t>mple con las condiciones de pre</w:t>
      </w:r>
      <w:r w:rsidR="00265D5C" w:rsidRPr="00265D5C">
        <w:rPr>
          <w:rFonts w:ascii="Arial" w:hAnsi="Arial" w:cs="Arial"/>
          <w:color w:val="000000" w:themeColor="text1"/>
          <w:sz w:val="22"/>
          <w:bdr w:val="none" w:sz="0" w:space="0" w:color="auto" w:frame="1"/>
          <w:lang w:val="es-ES_tradnl"/>
        </w:rPr>
        <w:t xml:space="preserve">calificación es superior al máximo establecido, la </w:t>
      </w:r>
      <w:r w:rsidR="00265D5C">
        <w:rPr>
          <w:rFonts w:ascii="Arial" w:hAnsi="Arial" w:cs="Arial"/>
          <w:color w:val="000000" w:themeColor="text1"/>
          <w:sz w:val="22"/>
          <w:bdr w:val="none" w:sz="0" w:space="0" w:color="auto" w:frame="1"/>
          <w:lang w:val="es-ES_tradnl"/>
        </w:rPr>
        <w:t>entidad</w:t>
      </w:r>
      <w:r w:rsidR="00265D5C" w:rsidRPr="00265D5C">
        <w:rPr>
          <w:rFonts w:ascii="Arial" w:hAnsi="Arial" w:cs="Arial"/>
          <w:color w:val="000000" w:themeColor="text1"/>
          <w:sz w:val="22"/>
          <w:bdr w:val="none" w:sz="0" w:space="0" w:color="auto" w:frame="1"/>
          <w:lang w:val="es-ES_tradnl"/>
        </w:rPr>
        <w:t xml:space="preserve"> debe hacer el sorteo para conformar la lista, de acuerdo con lo que haya establecido en el aviso de convocatoria.</w:t>
      </w:r>
      <w:r w:rsidR="00265D5C">
        <w:rPr>
          <w:rStyle w:val="Refdenotaalpie"/>
          <w:rFonts w:ascii="Arial" w:hAnsi="Arial" w:cs="Arial"/>
          <w:color w:val="000000" w:themeColor="text1"/>
          <w:sz w:val="22"/>
          <w:bdr w:val="none" w:sz="0" w:space="0" w:color="auto" w:frame="1"/>
          <w:lang w:val="es-ES_tradnl"/>
        </w:rPr>
        <w:footnoteReference w:id="3"/>
      </w:r>
      <w:r w:rsidR="00265D5C">
        <w:rPr>
          <w:rFonts w:ascii="Arial" w:hAnsi="Arial" w:cs="Arial"/>
          <w:color w:val="000000" w:themeColor="text1"/>
          <w:sz w:val="22"/>
          <w:bdr w:val="none" w:sz="0" w:space="0" w:color="auto" w:frame="1"/>
          <w:lang w:val="es-ES_tradnl"/>
        </w:rPr>
        <w:t xml:space="preserve"> </w:t>
      </w:r>
    </w:p>
    <w:p w14:paraId="6EAFF817" w14:textId="17FA32B0" w:rsidR="00D9363F" w:rsidRPr="00D9363F" w:rsidRDefault="00437E6E" w:rsidP="003C046A">
      <w:pPr>
        <w:spacing w:after="120" w:line="276" w:lineRule="auto"/>
        <w:ind w:firstLine="709"/>
        <w:jc w:val="both"/>
        <w:rPr>
          <w:rFonts w:ascii="Arial" w:hAnsi="Arial" w:cs="Arial"/>
          <w:color w:val="000000" w:themeColor="text1"/>
          <w:sz w:val="22"/>
          <w:bdr w:val="none" w:sz="0" w:space="0" w:color="auto" w:frame="1"/>
          <w:lang w:val="es-ES_tradnl"/>
        </w:rPr>
      </w:pPr>
      <w:r>
        <w:rPr>
          <w:rFonts w:ascii="Arial" w:hAnsi="Arial" w:cs="Arial"/>
          <w:color w:val="000000" w:themeColor="text1"/>
          <w:sz w:val="22"/>
          <w:bdr w:val="none" w:sz="0" w:space="0" w:color="auto" w:frame="1"/>
          <w:lang w:val="es-ES_tradnl"/>
        </w:rPr>
        <w:t xml:space="preserve">De acuerdo con lo anterior, </w:t>
      </w:r>
      <w:r w:rsidR="009B2743">
        <w:rPr>
          <w:rFonts w:ascii="Arial" w:eastAsia="Calibri" w:hAnsi="Arial" w:cs="Arial"/>
          <w:color w:val="000000" w:themeColor="text1"/>
          <w:sz w:val="22"/>
        </w:rPr>
        <w:t xml:space="preserve">la manifestación de interés presentada dentro de un proceso de concurso de méritos con precalificación es un acto </w:t>
      </w:r>
      <w:r w:rsidR="001C75E3">
        <w:rPr>
          <w:rFonts w:ascii="Arial" w:eastAsia="Calibri" w:hAnsi="Arial" w:cs="Arial"/>
          <w:color w:val="000000" w:themeColor="text1"/>
          <w:sz w:val="22"/>
        </w:rPr>
        <w:t>que implica</w:t>
      </w:r>
      <w:r w:rsidR="009B2743">
        <w:rPr>
          <w:rFonts w:ascii="Arial" w:eastAsia="Calibri" w:hAnsi="Arial" w:cs="Arial"/>
          <w:color w:val="000000" w:themeColor="text1"/>
          <w:sz w:val="22"/>
        </w:rPr>
        <w:t xml:space="preserve"> una evaluación previa sobre los </w:t>
      </w:r>
      <w:r w:rsidR="009B2743" w:rsidRPr="00DF5B9B">
        <w:rPr>
          <w:rFonts w:ascii="Arial" w:hAnsi="Arial" w:cs="Arial"/>
          <w:color w:val="000000" w:themeColor="text1"/>
          <w:sz w:val="22"/>
          <w:bdr w:val="none" w:sz="0" w:space="0" w:color="auto" w:frame="1"/>
          <w:lang w:val="es-ES_tradnl"/>
        </w:rPr>
        <w:t>requisitos habilitantes de experiencia, formación, publicaciones y la capacidad de organización del in</w:t>
      </w:r>
      <w:r w:rsidR="009B2743">
        <w:rPr>
          <w:rFonts w:ascii="Arial" w:hAnsi="Arial" w:cs="Arial"/>
          <w:color w:val="000000" w:themeColor="text1"/>
          <w:sz w:val="22"/>
          <w:bdr w:val="none" w:sz="0" w:space="0" w:color="auto" w:frame="1"/>
          <w:lang w:val="es-ES_tradnl"/>
        </w:rPr>
        <w:t>teresado y su equipo de trabajo</w:t>
      </w:r>
      <w:r w:rsidR="001C75E3">
        <w:rPr>
          <w:rFonts w:ascii="Arial" w:hAnsi="Arial" w:cs="Arial"/>
          <w:color w:val="000000" w:themeColor="text1"/>
          <w:sz w:val="22"/>
          <w:bdr w:val="none" w:sz="0" w:space="0" w:color="auto" w:frame="1"/>
          <w:lang w:val="es-ES_tradnl"/>
        </w:rPr>
        <w:t xml:space="preserve">, </w:t>
      </w:r>
      <w:r w:rsidR="009B2743">
        <w:rPr>
          <w:rFonts w:ascii="Arial" w:eastAsia="Calibri" w:hAnsi="Arial" w:cs="Arial"/>
          <w:color w:val="000000" w:themeColor="text1"/>
          <w:sz w:val="22"/>
        </w:rPr>
        <w:t xml:space="preserve">para conformar la lista de participantes </w:t>
      </w:r>
      <w:r w:rsidR="009B2743" w:rsidRPr="005D7345">
        <w:rPr>
          <w:rFonts w:ascii="Arial" w:eastAsia="Calibri" w:hAnsi="Arial" w:cs="Arial"/>
          <w:color w:val="000000" w:themeColor="text1"/>
          <w:sz w:val="22"/>
        </w:rPr>
        <w:t>interesado</w:t>
      </w:r>
      <w:r w:rsidR="009B2743">
        <w:rPr>
          <w:rFonts w:ascii="Arial" w:eastAsia="Calibri" w:hAnsi="Arial" w:cs="Arial"/>
          <w:color w:val="000000" w:themeColor="text1"/>
          <w:sz w:val="22"/>
        </w:rPr>
        <w:t xml:space="preserve">s que podrán participar </w:t>
      </w:r>
      <w:r w:rsidR="001C75E3">
        <w:rPr>
          <w:rFonts w:ascii="Arial" w:eastAsia="Calibri" w:hAnsi="Arial" w:cs="Arial"/>
          <w:color w:val="000000" w:themeColor="text1"/>
          <w:sz w:val="22"/>
        </w:rPr>
        <w:t xml:space="preserve">posteriormente </w:t>
      </w:r>
      <w:r w:rsidR="009B2743">
        <w:rPr>
          <w:rFonts w:ascii="Arial" w:eastAsia="Calibri" w:hAnsi="Arial" w:cs="Arial"/>
          <w:color w:val="000000" w:themeColor="text1"/>
          <w:sz w:val="22"/>
        </w:rPr>
        <w:t>en el proceso</w:t>
      </w:r>
      <w:r w:rsidR="001C75E3">
        <w:rPr>
          <w:rFonts w:ascii="Arial" w:eastAsia="Calibri" w:hAnsi="Arial" w:cs="Arial"/>
          <w:color w:val="000000" w:themeColor="text1"/>
          <w:sz w:val="22"/>
        </w:rPr>
        <w:t xml:space="preserve"> de selección.</w:t>
      </w:r>
    </w:p>
    <w:p w14:paraId="2AC2F531" w14:textId="0A775D4F" w:rsidR="00DF5B9B" w:rsidRPr="00D7176C" w:rsidRDefault="00295AE0" w:rsidP="003C046A">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Por otra parte</w:t>
      </w:r>
      <w:r w:rsidR="009B2743">
        <w:rPr>
          <w:rFonts w:ascii="Arial" w:eastAsia="Calibri" w:hAnsi="Arial" w:cs="Arial"/>
          <w:color w:val="000000" w:themeColor="text1"/>
          <w:sz w:val="22"/>
        </w:rPr>
        <w:t>, en la modalidad de selec</w:t>
      </w:r>
      <w:r w:rsidR="00690AAF">
        <w:rPr>
          <w:rFonts w:ascii="Arial" w:eastAsia="Calibri" w:hAnsi="Arial" w:cs="Arial"/>
          <w:color w:val="000000" w:themeColor="text1"/>
          <w:sz w:val="22"/>
        </w:rPr>
        <w:t>ción abreviada de menor cuantía a la cual se refiere la consulta planteada,</w:t>
      </w:r>
      <w:r w:rsidR="009B2743">
        <w:rPr>
          <w:rFonts w:ascii="Arial" w:eastAsia="Calibri" w:hAnsi="Arial" w:cs="Arial"/>
          <w:color w:val="000000" w:themeColor="text1"/>
          <w:sz w:val="22"/>
        </w:rPr>
        <w:t xml:space="preserve"> la manifestación de interés </w:t>
      </w:r>
      <w:r w:rsidR="00A50CB9">
        <w:rPr>
          <w:rFonts w:ascii="Arial" w:eastAsia="Calibri" w:hAnsi="Arial" w:cs="Arial"/>
          <w:color w:val="000000" w:themeColor="text1"/>
          <w:sz w:val="22"/>
        </w:rPr>
        <w:t>es un acto de comunicación que se encuentra regulado</w:t>
      </w:r>
      <w:r w:rsidR="00DF5B9B" w:rsidRPr="00D7176C">
        <w:rPr>
          <w:rFonts w:ascii="Arial" w:eastAsia="Calibri" w:hAnsi="Arial" w:cs="Arial"/>
          <w:color w:val="000000" w:themeColor="text1"/>
          <w:sz w:val="22"/>
        </w:rPr>
        <w:t xml:space="preserve"> en el artículo 2.2.1.2.1.2.20 del Decreto 1082 de 2015, </w:t>
      </w:r>
      <w:r w:rsidR="009B2743">
        <w:rPr>
          <w:rFonts w:ascii="Arial" w:eastAsia="Calibri" w:hAnsi="Arial" w:cs="Arial"/>
          <w:color w:val="000000" w:themeColor="text1"/>
          <w:sz w:val="22"/>
        </w:rPr>
        <w:t>de la</w:t>
      </w:r>
      <w:r w:rsidR="00DF5B9B" w:rsidRPr="00D7176C">
        <w:rPr>
          <w:rFonts w:ascii="Arial" w:eastAsia="Calibri" w:hAnsi="Arial" w:cs="Arial"/>
          <w:color w:val="000000" w:themeColor="text1"/>
          <w:sz w:val="22"/>
        </w:rPr>
        <w:t xml:space="preserve"> siguiente</w:t>
      </w:r>
      <w:r w:rsidR="009B2743">
        <w:rPr>
          <w:rFonts w:ascii="Arial" w:eastAsia="Calibri" w:hAnsi="Arial" w:cs="Arial"/>
          <w:color w:val="000000" w:themeColor="text1"/>
          <w:sz w:val="22"/>
        </w:rPr>
        <w:t xml:space="preserve"> manera</w:t>
      </w:r>
      <w:r w:rsidR="00DF5B9B" w:rsidRPr="00D7176C">
        <w:rPr>
          <w:rFonts w:ascii="Arial" w:eastAsia="Calibri" w:hAnsi="Arial" w:cs="Arial"/>
          <w:color w:val="000000" w:themeColor="text1"/>
          <w:sz w:val="22"/>
        </w:rPr>
        <w:t>:</w:t>
      </w:r>
    </w:p>
    <w:p w14:paraId="14451173" w14:textId="0E4A0AFF" w:rsidR="00DF5B9B" w:rsidRPr="00D7176C" w:rsidRDefault="00DF5B9B" w:rsidP="003C046A">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Artículo 2.2.1.2.1.2.20. Procedimiento para la selección abreviada de menor cuantía. Además de las normas generales establecidas en el presente título, las siguientes reglas son aplicables a la selección abreviada de menor cuantía:</w:t>
      </w:r>
    </w:p>
    <w:p w14:paraId="628B094F" w14:textId="77777777" w:rsidR="003C046A" w:rsidRDefault="003C046A" w:rsidP="003C046A">
      <w:pPr>
        <w:ind w:left="709" w:right="709"/>
        <w:jc w:val="both"/>
        <w:rPr>
          <w:rFonts w:ascii="Arial" w:hAnsi="Arial" w:cs="Arial"/>
          <w:color w:val="000000" w:themeColor="text1"/>
          <w:sz w:val="21"/>
          <w:szCs w:val="21"/>
          <w:lang w:val="es-ES_tradnl"/>
        </w:rPr>
      </w:pPr>
    </w:p>
    <w:p w14:paraId="38BB288B" w14:textId="49948A50" w:rsidR="00DF5B9B" w:rsidRPr="00D7176C" w:rsidRDefault="00DF5B9B" w:rsidP="003C046A">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 xml:space="preserve">1.    En un término no mayor a tres (3) días hábiles contados a partir de la fecha de apertura del Proceso de Contratación los interesados deben manifestar su </w:t>
      </w:r>
      <w:r w:rsidRPr="00D7176C">
        <w:rPr>
          <w:rFonts w:ascii="Arial" w:hAnsi="Arial" w:cs="Arial"/>
          <w:color w:val="000000" w:themeColor="text1"/>
          <w:sz w:val="21"/>
          <w:szCs w:val="21"/>
          <w:lang w:val="es-ES_tradnl"/>
        </w:rPr>
        <w:lastRenderedPageBreak/>
        <w:t>intención de participar, a través del mecanismo establecido para el efecto en los pliegos de condiciones.</w:t>
      </w:r>
    </w:p>
    <w:p w14:paraId="5C4A1B4C" w14:textId="77777777" w:rsidR="003C046A" w:rsidRDefault="003C046A" w:rsidP="003C046A">
      <w:pPr>
        <w:ind w:left="709" w:right="709"/>
        <w:jc w:val="both"/>
        <w:rPr>
          <w:rFonts w:ascii="Arial" w:hAnsi="Arial" w:cs="Arial"/>
          <w:color w:val="000000" w:themeColor="text1"/>
          <w:sz w:val="21"/>
          <w:szCs w:val="21"/>
          <w:lang w:val="es-ES_tradnl"/>
        </w:rPr>
      </w:pPr>
    </w:p>
    <w:p w14:paraId="7F0F2612" w14:textId="0AF10B45" w:rsidR="00DF5B9B" w:rsidRPr="00D7176C" w:rsidRDefault="00DF5B9B" w:rsidP="003C046A">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61E6B219" w14:textId="77777777" w:rsidR="003C046A" w:rsidRDefault="003C046A" w:rsidP="003C046A">
      <w:pPr>
        <w:ind w:left="709" w:right="709"/>
        <w:jc w:val="both"/>
        <w:rPr>
          <w:rFonts w:ascii="Arial" w:hAnsi="Arial" w:cs="Arial"/>
          <w:color w:val="000000" w:themeColor="text1"/>
          <w:sz w:val="21"/>
          <w:szCs w:val="21"/>
          <w:lang w:val="es-ES_tradnl"/>
        </w:rPr>
      </w:pPr>
    </w:p>
    <w:p w14:paraId="03348EFB" w14:textId="22062C85" w:rsidR="00DF5B9B" w:rsidRPr="00D7176C" w:rsidRDefault="00DF5B9B" w:rsidP="003C046A">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3.    Si hay lugar a sorteo, el plazo para la presentación de las ofertas empezará a correr el día hábil siguiente a la fecha en la cual la Entidad Estatal informe a los interesados el resultado del sorteo.</w:t>
      </w:r>
    </w:p>
    <w:p w14:paraId="646468A1" w14:textId="77777777" w:rsidR="003C046A" w:rsidRDefault="003C046A" w:rsidP="003C046A">
      <w:pPr>
        <w:ind w:left="709" w:right="709"/>
        <w:jc w:val="both"/>
        <w:rPr>
          <w:rFonts w:ascii="Arial" w:hAnsi="Arial" w:cs="Arial"/>
          <w:color w:val="000000" w:themeColor="text1"/>
          <w:sz w:val="21"/>
          <w:szCs w:val="21"/>
          <w:lang w:val="es-ES_tradnl"/>
        </w:rPr>
      </w:pPr>
    </w:p>
    <w:p w14:paraId="125DF234" w14:textId="6A4B435E" w:rsidR="00DF5B9B" w:rsidRDefault="00DF5B9B" w:rsidP="003C046A">
      <w:pPr>
        <w:ind w:left="709" w:right="709"/>
        <w:jc w:val="both"/>
        <w:rPr>
          <w:rFonts w:ascii="Arial" w:hAnsi="Arial" w:cs="Arial"/>
          <w:color w:val="000000" w:themeColor="text1"/>
          <w:sz w:val="21"/>
          <w:szCs w:val="21"/>
          <w:lang w:val="es-ES_tradnl"/>
        </w:rPr>
      </w:pPr>
      <w:r w:rsidRPr="00D7176C">
        <w:rPr>
          <w:rFonts w:ascii="Arial" w:hAnsi="Arial" w:cs="Arial"/>
          <w:color w:val="000000" w:themeColor="text1"/>
          <w:sz w:val="21"/>
          <w:szCs w:val="21"/>
          <w:lang w:val="es-ES_tradnl"/>
        </w:rPr>
        <w:t>[…]</w:t>
      </w:r>
    </w:p>
    <w:p w14:paraId="39215F27" w14:textId="77777777" w:rsidR="00DF5B9B" w:rsidRPr="00A2124E" w:rsidRDefault="00DF5B9B" w:rsidP="003C046A">
      <w:pPr>
        <w:spacing w:line="276" w:lineRule="auto"/>
        <w:jc w:val="both"/>
        <w:rPr>
          <w:rFonts w:ascii="Arial" w:eastAsia="Calibri" w:hAnsi="Arial" w:cs="Arial"/>
          <w:sz w:val="22"/>
          <w:szCs w:val="22"/>
          <w:lang w:val="es-MX" w:eastAsia="en-US"/>
        </w:rPr>
      </w:pPr>
    </w:p>
    <w:p w14:paraId="515EE84A" w14:textId="7B0ECF83" w:rsidR="009922DA" w:rsidRDefault="00DF5B9B" w:rsidP="003C046A">
      <w:pPr>
        <w:spacing w:after="120" w:line="276" w:lineRule="auto"/>
        <w:jc w:val="both"/>
        <w:rPr>
          <w:rFonts w:ascii="Arial" w:eastAsia="Calibri" w:hAnsi="Arial" w:cs="Arial"/>
          <w:color w:val="000000" w:themeColor="text1"/>
          <w:sz w:val="22"/>
        </w:rPr>
      </w:pPr>
      <w:r w:rsidRPr="00A2124E">
        <w:rPr>
          <w:rFonts w:ascii="Arial" w:eastAsia="Calibri" w:hAnsi="Arial" w:cs="Arial"/>
          <w:sz w:val="22"/>
          <w:szCs w:val="22"/>
          <w:lang w:val="es-MX" w:eastAsia="en-US"/>
        </w:rPr>
        <w:tab/>
        <w:t xml:space="preserve">El numeral primero del artículo </w:t>
      </w:r>
      <w:r>
        <w:rPr>
          <w:rFonts w:ascii="Arial" w:eastAsia="Calibri" w:hAnsi="Arial" w:cs="Arial"/>
          <w:sz w:val="22"/>
          <w:szCs w:val="22"/>
          <w:lang w:val="es-MX" w:eastAsia="en-US"/>
        </w:rPr>
        <w:t xml:space="preserve">citado, </w:t>
      </w:r>
      <w:r w:rsidRPr="00A2124E">
        <w:rPr>
          <w:rFonts w:ascii="Arial" w:eastAsia="Calibri" w:hAnsi="Arial" w:cs="Arial"/>
          <w:sz w:val="22"/>
          <w:szCs w:val="22"/>
          <w:lang w:val="es-MX" w:eastAsia="en-US"/>
        </w:rPr>
        <w:t xml:space="preserve">dispone que el interesado debe manifestar su «intención» de participar en los procesos de selección abreviada de menor cuantía. Conviene precisar que el fin de esta disposición es que quienes estén interesados expresen a la entidad la intención de hacer parte del procedimiento. </w:t>
      </w:r>
      <w:r>
        <w:rPr>
          <w:rFonts w:ascii="Arial" w:eastAsia="Calibri" w:hAnsi="Arial" w:cs="Arial"/>
          <w:sz w:val="22"/>
          <w:szCs w:val="22"/>
          <w:lang w:val="es-MX" w:eastAsia="en-US"/>
        </w:rPr>
        <w:t>Por ello,</w:t>
      </w:r>
      <w:r w:rsidRPr="00A2124E">
        <w:rPr>
          <w:rFonts w:ascii="Arial" w:eastAsia="Calibri" w:hAnsi="Arial" w:cs="Arial"/>
          <w:sz w:val="22"/>
          <w:szCs w:val="22"/>
          <w:lang w:val="es-MX" w:eastAsia="en-US"/>
        </w:rPr>
        <w:t xml:space="preserve"> la finalidad es que los interesados puedan participar, en igualdad de condiciones, en el procedimiento de contratación, de manera que, permite que expresen a la entidad pública su interés de presentarse al proceso de selección abreviada de menor cuantía. </w:t>
      </w:r>
      <w:r>
        <w:rPr>
          <w:rFonts w:ascii="Arial" w:eastAsia="Calibri" w:hAnsi="Arial" w:cs="Arial"/>
          <w:color w:val="000000" w:themeColor="text1"/>
          <w:sz w:val="22"/>
        </w:rPr>
        <w:t xml:space="preserve">En tal sentido, la manifestación de interés presentada dentro de un proceso de selección abreviada de menor cuantía es </w:t>
      </w:r>
      <w:r w:rsidRPr="005D7345">
        <w:rPr>
          <w:rFonts w:ascii="Arial" w:eastAsia="Calibri" w:hAnsi="Arial" w:cs="Arial"/>
          <w:color w:val="000000" w:themeColor="text1"/>
          <w:sz w:val="22"/>
        </w:rPr>
        <w:t>un acto de comunicación del interesado</w:t>
      </w:r>
      <w:r>
        <w:rPr>
          <w:rFonts w:ascii="Arial" w:eastAsia="Calibri" w:hAnsi="Arial" w:cs="Arial"/>
          <w:color w:val="000000" w:themeColor="text1"/>
          <w:sz w:val="22"/>
        </w:rPr>
        <w:t>,</w:t>
      </w:r>
      <w:r w:rsidRPr="005D7345">
        <w:rPr>
          <w:rFonts w:ascii="Arial" w:eastAsia="Calibri" w:hAnsi="Arial" w:cs="Arial"/>
          <w:color w:val="000000" w:themeColor="text1"/>
          <w:sz w:val="22"/>
        </w:rPr>
        <w:t xml:space="preserve"> </w:t>
      </w:r>
      <w:r>
        <w:rPr>
          <w:rFonts w:ascii="Arial" w:eastAsia="Calibri" w:hAnsi="Arial" w:cs="Arial"/>
          <w:color w:val="000000" w:themeColor="text1"/>
          <w:sz w:val="22"/>
        </w:rPr>
        <w:t>en virtud del cual, como su nombre lo indica, expresa el interés en participar en el proceso de selección</w:t>
      </w:r>
      <w:r w:rsidR="001C75E3">
        <w:rPr>
          <w:rFonts w:ascii="Arial" w:eastAsia="Calibri" w:hAnsi="Arial" w:cs="Arial"/>
          <w:color w:val="000000" w:themeColor="text1"/>
          <w:sz w:val="22"/>
        </w:rPr>
        <w:t>, sin que le sea exigida la presentación de requisitos habilitantes como oc</w:t>
      </w:r>
      <w:r w:rsidR="00690AAF">
        <w:rPr>
          <w:rFonts w:ascii="Arial" w:eastAsia="Calibri" w:hAnsi="Arial" w:cs="Arial"/>
          <w:color w:val="000000" w:themeColor="text1"/>
          <w:sz w:val="22"/>
        </w:rPr>
        <w:t>urre en el concurso de méritos, no obstante, requiere que se verifique que haya sido presentada en la forma y oportunidad establec</w:t>
      </w:r>
      <w:r w:rsidR="00A50CB9">
        <w:rPr>
          <w:rFonts w:ascii="Arial" w:eastAsia="Calibri" w:hAnsi="Arial" w:cs="Arial"/>
          <w:color w:val="000000" w:themeColor="text1"/>
          <w:sz w:val="22"/>
        </w:rPr>
        <w:t>ida en el pliego de condiciones.</w:t>
      </w:r>
    </w:p>
    <w:p w14:paraId="284A863F" w14:textId="2CB3F142" w:rsidR="00B41139" w:rsidRDefault="00DF5B9B" w:rsidP="003C046A">
      <w:pPr>
        <w:spacing w:after="120" w:line="276" w:lineRule="auto"/>
        <w:jc w:val="both"/>
        <w:rPr>
          <w:rFonts w:ascii="Arial" w:eastAsia="Calibri" w:hAnsi="Arial" w:cs="Arial"/>
          <w:color w:val="000000" w:themeColor="text1"/>
          <w:sz w:val="22"/>
          <w:lang w:val="es-ES"/>
        </w:rPr>
      </w:pPr>
      <w:r w:rsidRPr="00A2124E">
        <w:rPr>
          <w:rFonts w:ascii="Arial" w:eastAsia="Calibri" w:hAnsi="Arial" w:cs="Arial"/>
          <w:sz w:val="22"/>
          <w:szCs w:val="22"/>
          <w:lang w:val="es-MX" w:eastAsia="en-US"/>
        </w:rPr>
        <w:tab/>
      </w:r>
      <w:r w:rsidR="00AC5E21">
        <w:rPr>
          <w:rFonts w:ascii="Arial" w:eastAsia="Calibri" w:hAnsi="Arial" w:cs="Arial"/>
          <w:color w:val="000000" w:themeColor="text1"/>
          <w:sz w:val="22"/>
          <w:lang w:val="es-ES"/>
        </w:rPr>
        <w:t>E</w:t>
      </w:r>
      <w:r w:rsidR="00B41139" w:rsidRPr="00710835">
        <w:rPr>
          <w:rFonts w:ascii="Arial" w:eastAsia="Calibri" w:hAnsi="Arial" w:cs="Arial"/>
          <w:color w:val="000000" w:themeColor="text1"/>
          <w:sz w:val="22"/>
          <w:lang w:val="es-ES"/>
        </w:rPr>
        <w:t>n lo que tiene que ver con la forma de manifestar interés en los procesos de selección abreviada de menor cuantía y la publicación de la lista de manifestaciones de interés recibidas, se deberá tener en cuenta la plataforma del SECOP mediante la cual se adelante el proceso de selección.  En cuanto a los procesos que deben adelantarse a través de la plataforma electrónica SECOP II, la Subdirección de Gestión Contractual validó el tema con la Subdirección de Información y</w:t>
      </w:r>
      <w:r w:rsidR="00B41139">
        <w:rPr>
          <w:rFonts w:ascii="Arial" w:eastAsia="Calibri" w:hAnsi="Arial" w:cs="Arial"/>
          <w:color w:val="000000" w:themeColor="text1"/>
          <w:sz w:val="22"/>
          <w:lang w:val="es-ES"/>
        </w:rPr>
        <w:t xml:space="preserve"> Desarrollo Tecnológico en el concepto C-767 </w:t>
      </w:r>
      <w:r w:rsidR="00805292">
        <w:rPr>
          <w:rFonts w:ascii="Arial" w:eastAsia="Calibri" w:hAnsi="Arial" w:cs="Arial"/>
          <w:color w:val="000000" w:themeColor="text1"/>
          <w:sz w:val="22"/>
          <w:lang w:val="es-ES"/>
        </w:rPr>
        <w:t>del 07 de enero de 2021 y</w:t>
      </w:r>
      <w:r w:rsidR="00B41139">
        <w:rPr>
          <w:rFonts w:ascii="Arial" w:eastAsia="Calibri" w:hAnsi="Arial" w:cs="Arial"/>
          <w:color w:val="000000" w:themeColor="text1"/>
          <w:sz w:val="22"/>
          <w:lang w:val="es-ES"/>
        </w:rPr>
        <w:t xml:space="preserve"> constató que cuando el procedimiento de selección se realiza a través de dicho sistema transaccional, por regla general, la única forma de manifestar interés es a través del aplicativo. Esto se explica a continuación:</w:t>
      </w:r>
    </w:p>
    <w:p w14:paraId="4E0CE6D1" w14:textId="77777777" w:rsidR="00B41139" w:rsidRDefault="00B41139" w:rsidP="003C046A">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lastRenderedPageBreak/>
        <w:t>L</w:t>
      </w:r>
      <w:r w:rsidRPr="00776B03">
        <w:rPr>
          <w:rFonts w:ascii="Arial" w:hAnsi="Arial" w:cs="Arial"/>
          <w:color w:val="000000" w:themeColor="text1"/>
          <w:sz w:val="22"/>
        </w:rPr>
        <w:t>a Agencia Nacional de Contratación Pública – Colombia Compra Eficiente</w:t>
      </w:r>
      <w:r>
        <w:rPr>
          <w:rFonts w:ascii="Arial" w:hAnsi="Arial" w:cs="Arial"/>
          <w:color w:val="000000" w:themeColor="text1"/>
          <w:sz w:val="22"/>
        </w:rPr>
        <w:t xml:space="preserve"> </w:t>
      </w:r>
      <w:r w:rsidRPr="00776B03">
        <w:rPr>
          <w:rFonts w:ascii="Arial" w:hAnsi="Arial" w:cs="Arial"/>
          <w:color w:val="000000" w:themeColor="text1"/>
          <w:sz w:val="22"/>
        </w:rPr>
        <w:t>tiene como función la administración del SECOP</w:t>
      </w:r>
      <w:r w:rsidRPr="00776B03">
        <w:rPr>
          <w:rStyle w:val="Refdenotaalpie"/>
          <w:rFonts w:ascii="Arial" w:hAnsi="Arial" w:cs="Arial"/>
          <w:color w:val="000000" w:themeColor="text1"/>
          <w:sz w:val="22"/>
        </w:rPr>
        <w:footnoteReference w:id="4"/>
      </w:r>
      <w:r>
        <w:rPr>
          <w:rFonts w:ascii="Arial" w:hAnsi="Arial" w:cs="Arial"/>
          <w:color w:val="000000" w:themeColor="text1"/>
          <w:sz w:val="22"/>
        </w:rPr>
        <w:t>.</w:t>
      </w:r>
      <w:r w:rsidRPr="00776B03">
        <w:rPr>
          <w:rFonts w:ascii="Arial" w:hAnsi="Arial" w:cs="Arial"/>
          <w:color w:val="000000" w:themeColor="text1"/>
          <w:sz w:val="22"/>
        </w:rPr>
        <w:t xml:space="preserve"> </w:t>
      </w:r>
      <w:r>
        <w:rPr>
          <w:rFonts w:ascii="Arial" w:hAnsi="Arial" w:cs="Arial"/>
          <w:color w:val="000000" w:themeColor="text1"/>
          <w:sz w:val="22"/>
        </w:rPr>
        <w:t>P</w:t>
      </w:r>
      <w:r w:rsidRPr="00776B03">
        <w:rPr>
          <w:rFonts w:ascii="Arial" w:hAnsi="Arial" w:cs="Arial"/>
          <w:color w:val="000000" w:themeColor="text1"/>
          <w:sz w:val="22"/>
        </w:rPr>
        <w:t xml:space="preserve">or </w:t>
      </w:r>
      <w:r>
        <w:rPr>
          <w:rFonts w:ascii="Arial" w:hAnsi="Arial" w:cs="Arial"/>
          <w:color w:val="000000" w:themeColor="text1"/>
          <w:sz w:val="22"/>
        </w:rPr>
        <w:t>esta razón,</w:t>
      </w:r>
      <w:r w:rsidRPr="00776B03">
        <w:rPr>
          <w:rFonts w:ascii="Arial" w:hAnsi="Arial" w:cs="Arial"/>
          <w:color w:val="000000" w:themeColor="text1"/>
          <w:sz w:val="22"/>
        </w:rPr>
        <w:t xml:space="preserve"> se desarrolló la primera versión </w:t>
      </w:r>
      <w:r>
        <w:rPr>
          <w:rFonts w:ascii="Arial" w:hAnsi="Arial" w:cs="Arial"/>
          <w:color w:val="000000" w:themeColor="text1"/>
          <w:sz w:val="22"/>
        </w:rPr>
        <w:t>–</w:t>
      </w:r>
      <w:r w:rsidRPr="00776B03">
        <w:rPr>
          <w:rFonts w:ascii="Arial" w:hAnsi="Arial" w:cs="Arial"/>
          <w:color w:val="000000" w:themeColor="text1"/>
          <w:sz w:val="22"/>
        </w:rPr>
        <w:t>SECOP I</w:t>
      </w:r>
      <w:r>
        <w:rPr>
          <w:rFonts w:ascii="Arial" w:hAnsi="Arial" w:cs="Arial"/>
          <w:color w:val="000000" w:themeColor="text1"/>
          <w:sz w:val="22"/>
        </w:rPr>
        <w:t>–</w:t>
      </w:r>
      <w:r w:rsidRPr="00776B03">
        <w:rPr>
          <w:rFonts w:ascii="Arial" w:hAnsi="Arial" w:cs="Arial"/>
          <w:color w:val="000000" w:themeColor="text1"/>
          <w:sz w:val="22"/>
        </w:rPr>
        <w:t xml:space="preserve">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FFFC826" w14:textId="77777777" w:rsidR="00B41139" w:rsidRDefault="00B41139" w:rsidP="003C046A">
      <w:pPr>
        <w:spacing w:after="120" w:line="276" w:lineRule="auto"/>
        <w:ind w:firstLine="709"/>
        <w:jc w:val="both"/>
        <w:rPr>
          <w:rFonts w:ascii="Arial" w:hAnsi="Arial" w:cs="Arial"/>
          <w:color w:val="000000" w:themeColor="text1"/>
          <w:sz w:val="22"/>
        </w:rPr>
      </w:pPr>
      <w:r w:rsidRPr="005A74BC">
        <w:rPr>
          <w:rFonts w:ascii="Arial" w:hAnsi="Arial" w:cs="Arial"/>
          <w:color w:val="000000" w:themeColor="text1"/>
          <w:sz w:val="22"/>
        </w:rPr>
        <w:t>En su segunda versión</w:t>
      </w:r>
      <w:r>
        <w:rPr>
          <w:rFonts w:ascii="Arial" w:hAnsi="Arial" w:cs="Arial"/>
          <w:color w:val="000000" w:themeColor="text1"/>
          <w:sz w:val="22"/>
        </w:rPr>
        <w:t xml:space="preserve"> –</w:t>
      </w:r>
      <w:r w:rsidRPr="005A74BC">
        <w:rPr>
          <w:rFonts w:ascii="Arial" w:hAnsi="Arial" w:cs="Arial"/>
          <w:color w:val="000000" w:themeColor="text1"/>
          <w:sz w:val="22"/>
        </w:rPr>
        <w:t>SECOP II</w:t>
      </w:r>
      <w:r>
        <w:rPr>
          <w:rFonts w:ascii="Arial" w:hAnsi="Arial" w:cs="Arial"/>
          <w:color w:val="000000" w:themeColor="text1"/>
          <w:sz w:val="22"/>
        </w:rPr>
        <w:t>–</w:t>
      </w:r>
      <w:r w:rsidRPr="005A74BC">
        <w:rPr>
          <w:rFonts w:ascii="Arial" w:hAnsi="Arial" w:cs="Arial"/>
          <w:color w:val="000000" w:themeColor="text1"/>
          <w:sz w:val="22"/>
        </w:rPr>
        <w:t xml:space="preserve"> </w:t>
      </w:r>
      <w:r>
        <w:rPr>
          <w:rFonts w:ascii="Arial" w:hAnsi="Arial" w:cs="Arial"/>
          <w:color w:val="000000" w:themeColor="text1"/>
          <w:sz w:val="22"/>
        </w:rPr>
        <w:t xml:space="preserve">el aplicativo </w:t>
      </w:r>
      <w:r w:rsidRPr="005A74BC">
        <w:rPr>
          <w:rFonts w:ascii="Arial" w:hAnsi="Arial" w:cs="Arial"/>
          <w:color w:val="000000" w:themeColor="text1"/>
          <w:sz w:val="22"/>
        </w:rPr>
        <w:t xml:space="preserve">es una plataforma transaccional, </w:t>
      </w:r>
      <w:r>
        <w:rPr>
          <w:rFonts w:ascii="Arial" w:hAnsi="Arial" w:cs="Arial"/>
          <w:color w:val="000000" w:themeColor="text1"/>
          <w:sz w:val="22"/>
        </w:rPr>
        <w:t>que</w:t>
      </w:r>
      <w:r w:rsidRPr="005A74BC">
        <w:rPr>
          <w:rFonts w:ascii="Arial" w:hAnsi="Arial" w:cs="Arial"/>
          <w:color w:val="000000" w:themeColor="text1"/>
          <w:sz w:val="22"/>
        </w:rPr>
        <w:t xml:space="preserve"> permite gestionar en línea todos los procedimientos de contratación</w:t>
      </w:r>
      <w:r>
        <w:rPr>
          <w:rFonts w:ascii="Arial" w:hAnsi="Arial" w:cs="Arial"/>
          <w:color w:val="000000" w:themeColor="text1"/>
          <w:sz w:val="22"/>
        </w:rPr>
        <w:t>. Dicho sistema tiene</w:t>
      </w:r>
      <w:r w:rsidRPr="005A74BC">
        <w:rPr>
          <w:rFonts w:ascii="Arial" w:hAnsi="Arial" w:cs="Arial"/>
          <w:color w:val="000000" w:themeColor="text1"/>
          <w:sz w:val="22"/>
        </w:rPr>
        <w:t xml:space="preserve"> cuentas y usuarios asociados a </w:t>
      </w:r>
      <w:r>
        <w:rPr>
          <w:rFonts w:ascii="Arial" w:hAnsi="Arial" w:cs="Arial"/>
          <w:color w:val="000000" w:themeColor="text1"/>
          <w:sz w:val="22"/>
        </w:rPr>
        <w:t>e</w:t>
      </w:r>
      <w:r w:rsidRPr="005A74BC">
        <w:rPr>
          <w:rFonts w:ascii="Arial" w:hAnsi="Arial" w:cs="Arial"/>
          <w:color w:val="000000" w:themeColor="text1"/>
          <w:sz w:val="22"/>
        </w:rPr>
        <w:t xml:space="preserve">stas, </w:t>
      </w:r>
      <w:r>
        <w:rPr>
          <w:rFonts w:ascii="Arial" w:hAnsi="Arial" w:cs="Arial"/>
          <w:color w:val="000000" w:themeColor="text1"/>
          <w:sz w:val="22"/>
        </w:rPr>
        <w:t xml:space="preserve">tanto </w:t>
      </w:r>
      <w:r w:rsidRPr="005A74BC">
        <w:rPr>
          <w:rFonts w:ascii="Arial" w:hAnsi="Arial" w:cs="Arial"/>
          <w:color w:val="000000" w:themeColor="text1"/>
          <w:sz w:val="22"/>
        </w:rPr>
        <w:t>para las entidades</w:t>
      </w:r>
      <w:r>
        <w:rPr>
          <w:rFonts w:ascii="Arial" w:hAnsi="Arial" w:cs="Arial"/>
          <w:color w:val="000000" w:themeColor="text1"/>
          <w:sz w:val="22"/>
        </w:rPr>
        <w:t>, como para los</w:t>
      </w:r>
      <w:r w:rsidRPr="005A74BC">
        <w:rPr>
          <w:rFonts w:ascii="Arial" w:hAnsi="Arial" w:cs="Arial"/>
          <w:color w:val="000000" w:themeColor="text1"/>
          <w:sz w:val="22"/>
        </w:rPr>
        <w:t xml:space="preserve"> proveedores</w:t>
      </w:r>
      <w:r>
        <w:rPr>
          <w:rFonts w:ascii="Arial" w:hAnsi="Arial" w:cs="Arial"/>
          <w:color w:val="000000" w:themeColor="text1"/>
          <w:sz w:val="22"/>
        </w:rPr>
        <w:t>.</w:t>
      </w:r>
      <w:r w:rsidRPr="005A74BC">
        <w:rPr>
          <w:rFonts w:ascii="Arial" w:hAnsi="Arial" w:cs="Arial"/>
          <w:color w:val="000000" w:themeColor="text1"/>
          <w:sz w:val="22"/>
        </w:rPr>
        <w:t xml:space="preserve"> </w:t>
      </w:r>
      <w:r>
        <w:rPr>
          <w:rFonts w:ascii="Arial" w:hAnsi="Arial" w:cs="Arial"/>
          <w:color w:val="000000" w:themeColor="text1"/>
          <w:sz w:val="22"/>
        </w:rPr>
        <w:t xml:space="preserve">Además, permite la </w:t>
      </w:r>
      <w:r w:rsidRPr="005A74BC">
        <w:rPr>
          <w:rFonts w:ascii="Arial" w:hAnsi="Arial" w:cs="Arial"/>
          <w:color w:val="000000" w:themeColor="text1"/>
          <w:sz w:val="22"/>
        </w:rPr>
        <w:t xml:space="preserve">vista pública para cualquier interesado en hacer seguimiento a la contratación </w:t>
      </w:r>
      <w:r>
        <w:rPr>
          <w:rFonts w:ascii="Arial" w:hAnsi="Arial" w:cs="Arial"/>
          <w:color w:val="000000" w:themeColor="text1"/>
          <w:sz w:val="22"/>
        </w:rPr>
        <w:t>estatal</w:t>
      </w:r>
      <w:r w:rsidRPr="005A74BC">
        <w:rPr>
          <w:rFonts w:ascii="Arial" w:hAnsi="Arial" w:cs="Arial"/>
          <w:color w:val="000000" w:themeColor="text1"/>
          <w:sz w:val="22"/>
        </w:rPr>
        <w:t>. Desde sus cuentas, las entidades crean, evalúan, responden observaciones, adjudican procesos de contratación</w:t>
      </w:r>
      <w:r>
        <w:rPr>
          <w:rFonts w:ascii="Arial" w:hAnsi="Arial" w:cs="Arial"/>
          <w:color w:val="000000" w:themeColor="text1"/>
          <w:sz w:val="22"/>
        </w:rPr>
        <w:t xml:space="preserve"> </w:t>
      </w:r>
      <w:r w:rsidRPr="005A74BC">
        <w:rPr>
          <w:rFonts w:ascii="Arial" w:hAnsi="Arial" w:cs="Arial"/>
          <w:color w:val="000000" w:themeColor="text1"/>
          <w:sz w:val="22"/>
        </w:rPr>
        <w:t xml:space="preserve">y gestionan la fase de ejecución del contrato, hasta </w:t>
      </w:r>
      <w:r>
        <w:rPr>
          <w:rFonts w:ascii="Arial" w:hAnsi="Arial" w:cs="Arial"/>
          <w:color w:val="000000" w:themeColor="text1"/>
          <w:sz w:val="22"/>
        </w:rPr>
        <w:t>la</w:t>
      </w:r>
      <w:r w:rsidRPr="005A74BC">
        <w:rPr>
          <w:rFonts w:ascii="Arial" w:hAnsi="Arial" w:cs="Arial"/>
          <w:color w:val="000000" w:themeColor="text1"/>
          <w:sz w:val="22"/>
        </w:rPr>
        <w:t xml:space="preserve"> liquidación y cierre del expediente contractual.</w:t>
      </w:r>
    </w:p>
    <w:p w14:paraId="72AE4D0B" w14:textId="0FA8A23D" w:rsidR="00B41139" w:rsidRDefault="00B41139" w:rsidP="003C046A">
      <w:pPr>
        <w:spacing w:after="120" w:line="276" w:lineRule="auto"/>
        <w:ind w:firstLine="709"/>
        <w:jc w:val="both"/>
        <w:rPr>
          <w:rFonts w:ascii="Arial" w:hAnsi="Arial" w:cs="Arial"/>
          <w:color w:val="000000" w:themeColor="text1"/>
          <w:sz w:val="22"/>
        </w:rPr>
      </w:pPr>
      <w:r w:rsidRPr="00850FA6">
        <w:rPr>
          <w:rFonts w:ascii="Arial" w:hAnsi="Arial" w:cs="Arial"/>
          <w:color w:val="000000" w:themeColor="text1"/>
          <w:sz w:val="22"/>
        </w:rPr>
        <w:t>En ese sentido, en el SECOP II los proveedores que tengan la intención de participar en el proceso de contratación</w:t>
      </w:r>
      <w:r>
        <w:rPr>
          <w:rFonts w:ascii="Arial" w:hAnsi="Arial" w:cs="Arial"/>
          <w:color w:val="000000" w:themeColor="text1"/>
          <w:sz w:val="22"/>
        </w:rPr>
        <w:t xml:space="preserve"> de selección abreviada de menor cuantía</w:t>
      </w:r>
      <w:r w:rsidRPr="00850FA6">
        <w:rPr>
          <w:rFonts w:ascii="Arial" w:hAnsi="Arial" w:cs="Arial"/>
          <w:color w:val="000000" w:themeColor="text1"/>
          <w:sz w:val="22"/>
        </w:rPr>
        <w:t xml:space="preserve"> deben manifestar interés a través de la sección destinada en la plataforma, con el fin</w:t>
      </w:r>
      <w:r>
        <w:rPr>
          <w:rFonts w:ascii="Arial" w:hAnsi="Arial" w:cs="Arial"/>
          <w:color w:val="000000" w:themeColor="text1"/>
          <w:sz w:val="22"/>
        </w:rPr>
        <w:t xml:space="preserve"> </w:t>
      </w:r>
      <w:r w:rsidRPr="00850FA6">
        <w:rPr>
          <w:rFonts w:ascii="Arial" w:hAnsi="Arial" w:cs="Arial"/>
          <w:color w:val="000000" w:themeColor="text1"/>
          <w:sz w:val="22"/>
        </w:rPr>
        <w:t>de que la entidad responsable del proceso</w:t>
      </w:r>
      <w:r>
        <w:rPr>
          <w:rFonts w:ascii="Arial" w:hAnsi="Arial" w:cs="Arial"/>
          <w:color w:val="000000" w:themeColor="text1"/>
          <w:sz w:val="22"/>
        </w:rPr>
        <w:t xml:space="preserve">, </w:t>
      </w:r>
      <w:r w:rsidRPr="00850FA6">
        <w:rPr>
          <w:rFonts w:ascii="Arial" w:hAnsi="Arial" w:cs="Arial"/>
          <w:color w:val="000000" w:themeColor="text1"/>
          <w:sz w:val="22"/>
        </w:rPr>
        <w:t>una vez finalizado el término</w:t>
      </w:r>
      <w:r>
        <w:rPr>
          <w:rFonts w:ascii="Arial" w:hAnsi="Arial" w:cs="Arial"/>
          <w:color w:val="000000" w:themeColor="text1"/>
          <w:sz w:val="22"/>
        </w:rPr>
        <w:t xml:space="preserve">, </w:t>
      </w:r>
      <w:r w:rsidRPr="00850FA6">
        <w:rPr>
          <w:rFonts w:ascii="Arial" w:hAnsi="Arial" w:cs="Arial"/>
          <w:color w:val="000000" w:themeColor="text1"/>
          <w:sz w:val="22"/>
        </w:rPr>
        <w:t>pueda realizar el sorteo correspondiente, si así lo define en los pliegos de condiciones. La plataforma no tiene un módulo para realizar el sorteo en línea. Si la entidad estatal no realiza sorteo debe registrar de igual forma esta información en SECOP II. Cuando se venza el plazo para manifestar interés</w:t>
      </w:r>
      <w:r>
        <w:rPr>
          <w:rFonts w:ascii="Arial" w:hAnsi="Arial" w:cs="Arial"/>
          <w:color w:val="000000" w:themeColor="text1"/>
          <w:sz w:val="22"/>
        </w:rPr>
        <w:t xml:space="preserve">, </w:t>
      </w:r>
      <w:r w:rsidRPr="00850FA6">
        <w:rPr>
          <w:rFonts w:ascii="Arial" w:hAnsi="Arial" w:cs="Arial"/>
          <w:color w:val="000000" w:themeColor="text1"/>
          <w:sz w:val="22"/>
        </w:rPr>
        <w:t>si la entidad estatal realizó sorteo</w:t>
      </w:r>
      <w:r>
        <w:rPr>
          <w:rFonts w:ascii="Arial" w:hAnsi="Arial" w:cs="Arial"/>
          <w:color w:val="000000" w:themeColor="text1"/>
          <w:sz w:val="22"/>
        </w:rPr>
        <w:t>,</w:t>
      </w:r>
      <w:r w:rsidRPr="00850FA6">
        <w:rPr>
          <w:rFonts w:ascii="Arial" w:hAnsi="Arial" w:cs="Arial"/>
          <w:color w:val="000000" w:themeColor="text1"/>
          <w:sz w:val="22"/>
        </w:rPr>
        <w:t xml:space="preserve"> la plataforma le habilita la opción de seleccionar a los proveedores que no quedaron escogidos en el sorteo, es decir</w:t>
      </w:r>
      <w:r>
        <w:rPr>
          <w:rFonts w:ascii="Arial" w:hAnsi="Arial" w:cs="Arial"/>
          <w:color w:val="000000" w:themeColor="text1"/>
          <w:sz w:val="22"/>
        </w:rPr>
        <w:t>,</w:t>
      </w:r>
      <w:r w:rsidRPr="00850FA6">
        <w:rPr>
          <w:rFonts w:ascii="Arial" w:hAnsi="Arial" w:cs="Arial"/>
          <w:color w:val="000000" w:themeColor="text1"/>
          <w:sz w:val="22"/>
        </w:rPr>
        <w:t xml:space="preserve"> los que va a excluir del proceso de contratación</w:t>
      </w:r>
      <w:r>
        <w:rPr>
          <w:rFonts w:ascii="Arial" w:hAnsi="Arial" w:cs="Arial"/>
          <w:color w:val="000000" w:themeColor="text1"/>
          <w:sz w:val="22"/>
        </w:rPr>
        <w:t>.</w:t>
      </w:r>
      <w:r w:rsidRPr="00850FA6">
        <w:rPr>
          <w:rFonts w:ascii="Arial" w:hAnsi="Arial" w:cs="Arial"/>
          <w:color w:val="000000" w:themeColor="text1"/>
          <w:sz w:val="22"/>
        </w:rPr>
        <w:t xml:space="preserve"> </w:t>
      </w:r>
      <w:r>
        <w:rPr>
          <w:rFonts w:ascii="Arial" w:hAnsi="Arial" w:cs="Arial"/>
          <w:color w:val="000000" w:themeColor="text1"/>
          <w:sz w:val="22"/>
        </w:rPr>
        <w:t>E</w:t>
      </w:r>
      <w:r w:rsidRPr="00850FA6">
        <w:rPr>
          <w:rFonts w:ascii="Arial" w:hAnsi="Arial" w:cs="Arial"/>
          <w:color w:val="000000" w:themeColor="text1"/>
          <w:sz w:val="22"/>
        </w:rPr>
        <w:t>stos proveedores no podrán presentar oferta para el proceso de contratación. Así mismo</w:t>
      </w:r>
      <w:r w:rsidR="00805292">
        <w:rPr>
          <w:rFonts w:ascii="Arial" w:hAnsi="Arial" w:cs="Arial"/>
          <w:color w:val="000000" w:themeColor="text1"/>
          <w:sz w:val="22"/>
        </w:rPr>
        <w:t>,</w:t>
      </w:r>
      <w:r w:rsidRPr="00850FA6">
        <w:rPr>
          <w:rFonts w:ascii="Arial" w:hAnsi="Arial" w:cs="Arial"/>
          <w:color w:val="000000" w:themeColor="text1"/>
          <w:sz w:val="22"/>
        </w:rPr>
        <w:t xml:space="preserve"> </w:t>
      </w:r>
      <w:r w:rsidR="00AF1610">
        <w:rPr>
          <w:rFonts w:ascii="Arial" w:hAnsi="Arial" w:cs="Arial"/>
          <w:color w:val="000000" w:themeColor="text1"/>
          <w:sz w:val="22"/>
        </w:rPr>
        <w:t>l</w:t>
      </w:r>
      <w:r w:rsidRPr="00850FA6">
        <w:rPr>
          <w:rFonts w:ascii="Arial" w:hAnsi="Arial" w:cs="Arial"/>
          <w:color w:val="000000" w:themeColor="text1"/>
          <w:sz w:val="22"/>
        </w:rPr>
        <w:t>a entidad estatal debe habilitar y publicar una invitación para que los proveedores escogidos puedan presentar su oferta a través de la plataforma.</w:t>
      </w:r>
    </w:p>
    <w:p w14:paraId="23CE86C6" w14:textId="77777777" w:rsidR="00B41139" w:rsidRPr="004A1C79" w:rsidRDefault="00B41139" w:rsidP="003C046A">
      <w:pPr>
        <w:spacing w:line="276" w:lineRule="auto"/>
        <w:ind w:firstLine="709"/>
        <w:jc w:val="both"/>
        <w:rPr>
          <w:rFonts w:ascii="Arial" w:hAnsi="Arial" w:cs="Arial"/>
          <w:color w:val="000000" w:themeColor="text1"/>
          <w:sz w:val="22"/>
        </w:rPr>
      </w:pPr>
      <w:r w:rsidRPr="004A1C79">
        <w:rPr>
          <w:rFonts w:ascii="Arial" w:hAnsi="Arial" w:cs="Arial"/>
          <w:color w:val="000000" w:themeColor="text1"/>
          <w:sz w:val="22"/>
          <w:bdr w:val="none" w:sz="0" w:space="0" w:color="auto" w:frame="1"/>
          <w:lang w:val="es-ES"/>
        </w:rPr>
        <w:t xml:space="preserve">Atendiendo las anteriores consideraciones, </w:t>
      </w:r>
      <w:r w:rsidRPr="004A1C79">
        <w:rPr>
          <w:rFonts w:ascii="Arial" w:hAnsi="Arial" w:cs="Arial"/>
          <w:color w:val="000000" w:themeColor="text1"/>
          <w:sz w:val="22"/>
        </w:rPr>
        <w:t xml:space="preserve">las </w:t>
      </w:r>
      <w:r>
        <w:rPr>
          <w:rFonts w:ascii="Arial" w:hAnsi="Arial" w:cs="Arial"/>
          <w:color w:val="000000" w:themeColor="text1"/>
          <w:sz w:val="22"/>
        </w:rPr>
        <w:t>e</w:t>
      </w:r>
      <w:r w:rsidRPr="004A1C79">
        <w:rPr>
          <w:rFonts w:ascii="Arial" w:hAnsi="Arial" w:cs="Arial"/>
          <w:color w:val="000000" w:themeColor="text1"/>
          <w:sz w:val="22"/>
        </w:rPr>
        <w:t xml:space="preserve">ntidades </w:t>
      </w:r>
      <w:r>
        <w:rPr>
          <w:rFonts w:ascii="Arial" w:hAnsi="Arial" w:cs="Arial"/>
          <w:color w:val="000000" w:themeColor="text1"/>
          <w:sz w:val="22"/>
        </w:rPr>
        <w:t>c</w:t>
      </w:r>
      <w:r w:rsidRPr="004A1C79">
        <w:rPr>
          <w:rFonts w:ascii="Arial" w:hAnsi="Arial" w:cs="Arial"/>
          <w:color w:val="000000" w:themeColor="text1"/>
          <w:sz w:val="22"/>
        </w:rPr>
        <w:t xml:space="preserve">ompradoras, los </w:t>
      </w:r>
      <w:r>
        <w:rPr>
          <w:rFonts w:ascii="Arial" w:hAnsi="Arial" w:cs="Arial"/>
          <w:color w:val="000000" w:themeColor="text1"/>
          <w:sz w:val="22"/>
        </w:rPr>
        <w:t>p</w:t>
      </w:r>
      <w:r w:rsidRPr="004A1C79">
        <w:rPr>
          <w:rFonts w:ascii="Arial" w:hAnsi="Arial" w:cs="Arial"/>
          <w:color w:val="000000" w:themeColor="text1"/>
          <w:sz w:val="22"/>
        </w:rPr>
        <w:t xml:space="preserve">roveedores y los ciudadanos que son usuarios del </w:t>
      </w:r>
      <w:r>
        <w:rPr>
          <w:rFonts w:ascii="Arial" w:hAnsi="Arial" w:cs="Arial"/>
          <w:color w:val="000000" w:themeColor="text1"/>
          <w:sz w:val="22"/>
        </w:rPr>
        <w:t xml:space="preserve">SECOP II </w:t>
      </w:r>
      <w:r w:rsidRPr="004A1C79">
        <w:rPr>
          <w:rFonts w:ascii="Arial" w:hAnsi="Arial" w:cs="Arial"/>
          <w:color w:val="000000" w:themeColor="text1"/>
          <w:sz w:val="22"/>
        </w:rPr>
        <w:t xml:space="preserve">están sujetos a los Términos y Condiciones de Uso </w:t>
      </w:r>
      <w:r>
        <w:rPr>
          <w:rFonts w:ascii="Arial" w:hAnsi="Arial" w:cs="Arial"/>
          <w:color w:val="000000" w:themeColor="text1"/>
          <w:sz w:val="22"/>
        </w:rPr>
        <w:t xml:space="preserve">de aquel, </w:t>
      </w:r>
      <w:r w:rsidRPr="004A1C79">
        <w:rPr>
          <w:rFonts w:ascii="Arial" w:hAnsi="Arial" w:cs="Arial"/>
          <w:color w:val="000000" w:themeColor="text1"/>
          <w:sz w:val="22"/>
        </w:rPr>
        <w:t>en virtud de su aceptación al momento de realizar la creación del usuario y/o cuenta.</w:t>
      </w:r>
      <w:r>
        <w:rPr>
          <w:rFonts w:ascii="Arial" w:hAnsi="Arial" w:cs="Arial"/>
          <w:color w:val="000000" w:themeColor="text1"/>
          <w:sz w:val="22"/>
        </w:rPr>
        <w:t xml:space="preserve"> </w:t>
      </w:r>
      <w:r w:rsidRPr="004A1C79">
        <w:rPr>
          <w:rFonts w:ascii="Arial" w:hAnsi="Arial" w:cs="Arial"/>
          <w:color w:val="000000" w:themeColor="text1"/>
          <w:sz w:val="22"/>
        </w:rPr>
        <w:t xml:space="preserve">En este sentido, en los Términos y Condiciones de Uso generales del SECOP II se indica la aceptación de </w:t>
      </w:r>
      <w:r>
        <w:rPr>
          <w:rFonts w:ascii="Arial" w:hAnsi="Arial" w:cs="Arial"/>
          <w:color w:val="000000" w:themeColor="text1"/>
          <w:sz w:val="22"/>
        </w:rPr>
        <w:t>e</w:t>
      </w:r>
      <w:r w:rsidRPr="004A1C79">
        <w:rPr>
          <w:rFonts w:ascii="Arial" w:hAnsi="Arial" w:cs="Arial"/>
          <w:color w:val="000000" w:themeColor="text1"/>
          <w:sz w:val="22"/>
        </w:rPr>
        <w:t>stos</w:t>
      </w:r>
      <w:r>
        <w:rPr>
          <w:rFonts w:ascii="Arial" w:hAnsi="Arial" w:cs="Arial"/>
          <w:color w:val="000000" w:themeColor="text1"/>
          <w:sz w:val="22"/>
        </w:rPr>
        <w:t>,</w:t>
      </w:r>
      <w:r w:rsidRPr="004A1C79">
        <w:rPr>
          <w:rFonts w:ascii="Arial" w:hAnsi="Arial" w:cs="Arial"/>
          <w:color w:val="000000" w:themeColor="text1"/>
          <w:sz w:val="22"/>
        </w:rPr>
        <w:t xml:space="preserve"> en su segundo numeral, así:</w:t>
      </w:r>
    </w:p>
    <w:p w14:paraId="4515236F" w14:textId="77777777" w:rsidR="00B41139" w:rsidRDefault="00B41139" w:rsidP="003C046A">
      <w:pPr>
        <w:jc w:val="both"/>
        <w:rPr>
          <w:rFonts w:ascii="Arial Nova" w:hAnsi="Arial Nova" w:cs="Arial"/>
          <w:color w:val="4E4D4D"/>
          <w:sz w:val="22"/>
        </w:rPr>
      </w:pPr>
    </w:p>
    <w:p w14:paraId="56FD3A6E" w14:textId="77777777" w:rsidR="00B41139" w:rsidRPr="007D5051" w:rsidRDefault="00B41139" w:rsidP="003C046A">
      <w:pPr>
        <w:ind w:left="709" w:right="709"/>
        <w:jc w:val="both"/>
        <w:rPr>
          <w:rFonts w:ascii="Arial" w:hAnsi="Arial" w:cs="Arial"/>
          <w:color w:val="000000" w:themeColor="text1"/>
          <w:sz w:val="21"/>
          <w:szCs w:val="21"/>
          <w:lang w:eastAsia="es-ES"/>
        </w:rPr>
      </w:pPr>
      <w:r w:rsidRPr="007D5051">
        <w:rPr>
          <w:rFonts w:ascii="Arial" w:hAnsi="Arial" w:cs="Arial"/>
          <w:color w:val="000000" w:themeColor="text1"/>
          <w:sz w:val="21"/>
          <w:szCs w:val="21"/>
          <w:lang w:eastAsia="es-ES"/>
        </w:rPr>
        <w:t xml:space="preserve">2. Conocimiento, aceptación y respeto de los Términos y Condiciones de Uso: Colombia Compra Eficiente recomienda a los Usuarios leer cuidadosamente los Términos y Condiciones de Uso antes de usar el SECOP II, pues la creación de </w:t>
      </w:r>
      <w:r w:rsidRPr="007D5051">
        <w:rPr>
          <w:rFonts w:ascii="Arial" w:hAnsi="Arial" w:cs="Arial"/>
          <w:color w:val="000000" w:themeColor="text1"/>
          <w:sz w:val="21"/>
          <w:szCs w:val="21"/>
          <w:lang w:eastAsia="es-ES"/>
        </w:rPr>
        <w:lastRenderedPageBreak/>
        <w:t>un usuario y/o cuenta implica la aceptación de los Términos y Condiciones de Uso contenidos en el presente documento. Los Usuarios están obligados a conocer y respetar los Términos y Condiciones de Uso vigentes.</w:t>
      </w:r>
      <w:r w:rsidRPr="007D5051">
        <w:rPr>
          <w:rStyle w:val="Refdenotaalpie"/>
          <w:rFonts w:ascii="Arial" w:hAnsi="Arial" w:cs="Arial"/>
          <w:color w:val="000000" w:themeColor="text1"/>
          <w:sz w:val="21"/>
          <w:szCs w:val="21"/>
          <w:lang w:eastAsia="es-ES"/>
        </w:rPr>
        <w:footnoteReference w:id="5"/>
      </w:r>
    </w:p>
    <w:p w14:paraId="4BB77762" w14:textId="77777777" w:rsidR="00B41139" w:rsidRDefault="00B41139" w:rsidP="003C046A">
      <w:pPr>
        <w:jc w:val="both"/>
        <w:rPr>
          <w:rFonts w:ascii="Arial Nova" w:hAnsi="Arial Nova" w:cs="Arial"/>
          <w:color w:val="404040" w:themeColor="text1" w:themeTint="BF"/>
          <w:sz w:val="22"/>
          <w:lang w:eastAsia="es-ES"/>
        </w:rPr>
      </w:pPr>
    </w:p>
    <w:p w14:paraId="586BDA3E" w14:textId="77777777" w:rsidR="00B41139" w:rsidRDefault="00B41139" w:rsidP="003C046A">
      <w:pPr>
        <w:spacing w:after="120" w:line="276" w:lineRule="auto"/>
        <w:ind w:firstLine="709"/>
        <w:jc w:val="both"/>
        <w:rPr>
          <w:rFonts w:ascii="Arial" w:hAnsi="Arial" w:cs="Arial"/>
          <w:color w:val="000000" w:themeColor="text1"/>
          <w:sz w:val="22"/>
          <w:bdr w:val="none" w:sz="0" w:space="0" w:color="auto" w:frame="1"/>
          <w:lang w:val="es-ES"/>
        </w:rPr>
      </w:pPr>
      <w:r w:rsidRPr="00195B51">
        <w:rPr>
          <w:rFonts w:ascii="Arial" w:hAnsi="Arial" w:cs="Arial"/>
          <w:color w:val="000000" w:themeColor="text1"/>
          <w:sz w:val="22"/>
          <w:bdr w:val="none" w:sz="0" w:space="0" w:color="auto" w:frame="1"/>
          <w:lang w:val="es-ES"/>
        </w:rPr>
        <w:t xml:space="preserve">Por esto, la </w:t>
      </w:r>
      <w:r>
        <w:rPr>
          <w:rFonts w:ascii="Arial" w:hAnsi="Arial" w:cs="Arial"/>
          <w:color w:val="000000" w:themeColor="text1"/>
          <w:sz w:val="22"/>
          <w:bdr w:val="none" w:sz="0" w:space="0" w:color="auto" w:frame="1"/>
          <w:lang w:val="es-ES"/>
        </w:rPr>
        <w:t>e</w:t>
      </w:r>
      <w:r w:rsidRPr="00195B51">
        <w:rPr>
          <w:rFonts w:ascii="Arial" w:hAnsi="Arial" w:cs="Arial"/>
          <w:color w:val="000000" w:themeColor="text1"/>
          <w:sz w:val="22"/>
          <w:bdr w:val="none" w:sz="0" w:space="0" w:color="auto" w:frame="1"/>
          <w:lang w:val="es-ES"/>
        </w:rPr>
        <w:t>ntidad</w:t>
      </w:r>
      <w:r>
        <w:rPr>
          <w:rFonts w:ascii="Arial" w:hAnsi="Arial" w:cs="Arial"/>
          <w:color w:val="000000" w:themeColor="text1"/>
          <w:sz w:val="22"/>
          <w:bdr w:val="none" w:sz="0" w:space="0" w:color="auto" w:frame="1"/>
          <w:lang w:val="es-ES"/>
        </w:rPr>
        <w:t xml:space="preserve"> estatal</w:t>
      </w:r>
      <w:r w:rsidRPr="00195B51">
        <w:rPr>
          <w:rFonts w:ascii="Arial" w:hAnsi="Arial" w:cs="Arial"/>
          <w:color w:val="000000" w:themeColor="text1"/>
          <w:sz w:val="22"/>
          <w:bdr w:val="none" w:sz="0" w:space="0" w:color="auto" w:frame="1"/>
          <w:lang w:val="es-ES"/>
        </w:rPr>
        <w:t xml:space="preserve"> que gestione sus procesos de contratación a través de la plataforma y los proveedores que tengan la intención de participar, deberán usar el SECOP II atendiendo los Términos y Condiciones, en </w:t>
      </w:r>
      <w:r>
        <w:rPr>
          <w:rFonts w:ascii="Arial" w:hAnsi="Arial" w:cs="Arial"/>
          <w:color w:val="000000" w:themeColor="text1"/>
          <w:sz w:val="22"/>
          <w:bdr w:val="none" w:sz="0" w:space="0" w:color="auto" w:frame="1"/>
          <w:lang w:val="es-ES"/>
        </w:rPr>
        <w:t>los cuales,</w:t>
      </w:r>
      <w:r w:rsidRPr="00195B51">
        <w:rPr>
          <w:rFonts w:ascii="Arial" w:hAnsi="Arial" w:cs="Arial"/>
          <w:color w:val="000000" w:themeColor="text1"/>
          <w:sz w:val="22"/>
          <w:bdr w:val="none" w:sz="0" w:space="0" w:color="auto" w:frame="1"/>
          <w:lang w:val="es-ES"/>
        </w:rPr>
        <w:t xml:space="preserve"> adicionalmente</w:t>
      </w:r>
      <w:r>
        <w:rPr>
          <w:rFonts w:ascii="Arial" w:hAnsi="Arial" w:cs="Arial"/>
          <w:color w:val="000000" w:themeColor="text1"/>
          <w:sz w:val="22"/>
          <w:bdr w:val="none" w:sz="0" w:space="0" w:color="auto" w:frame="1"/>
          <w:lang w:val="es-ES"/>
        </w:rPr>
        <w:t>,</w:t>
      </w:r>
      <w:r w:rsidRPr="00195B51">
        <w:rPr>
          <w:rFonts w:ascii="Arial" w:hAnsi="Arial" w:cs="Arial"/>
          <w:color w:val="000000" w:themeColor="text1"/>
          <w:sz w:val="22"/>
          <w:bdr w:val="none" w:sz="0" w:space="0" w:color="auto" w:frame="1"/>
          <w:lang w:val="es-ES"/>
        </w:rPr>
        <w:t xml:space="preserve"> se indica que existen unas condiciones particulares para la presentación de oferta y la manifestación de interés en la plataforma</w:t>
      </w:r>
      <w:r>
        <w:rPr>
          <w:rStyle w:val="Refdenotaalpie"/>
          <w:rFonts w:ascii="Arial" w:hAnsi="Arial" w:cs="Arial"/>
          <w:color w:val="000000" w:themeColor="text1"/>
          <w:sz w:val="22"/>
          <w:bdr w:val="none" w:sz="0" w:space="0" w:color="auto" w:frame="1"/>
          <w:lang w:val="es-ES"/>
        </w:rPr>
        <w:footnoteReference w:id="6"/>
      </w:r>
      <w:r>
        <w:rPr>
          <w:rFonts w:ascii="Arial" w:hAnsi="Arial" w:cs="Arial"/>
          <w:color w:val="000000" w:themeColor="text1"/>
          <w:sz w:val="22"/>
          <w:bdr w:val="none" w:sz="0" w:space="0" w:color="auto" w:frame="1"/>
          <w:lang w:val="es-ES"/>
        </w:rPr>
        <w:t xml:space="preserve">. </w:t>
      </w:r>
    </w:p>
    <w:p w14:paraId="3CA06F17" w14:textId="77777777" w:rsidR="00B41139" w:rsidRDefault="00B41139" w:rsidP="003C046A">
      <w:pPr>
        <w:spacing w:after="120" w:line="276" w:lineRule="auto"/>
        <w:ind w:firstLine="709"/>
        <w:jc w:val="both"/>
        <w:rPr>
          <w:rFonts w:ascii="Arial" w:hAnsi="Arial" w:cs="Arial"/>
          <w:color w:val="000000" w:themeColor="text1"/>
          <w:sz w:val="22"/>
          <w:bdr w:val="none" w:sz="0" w:space="0" w:color="auto" w:frame="1"/>
          <w:lang w:val="es-ES"/>
        </w:rPr>
      </w:pPr>
      <w:r>
        <w:rPr>
          <w:rFonts w:ascii="Arial" w:hAnsi="Arial" w:cs="Arial"/>
          <w:color w:val="000000" w:themeColor="text1"/>
          <w:sz w:val="22"/>
          <w:bdr w:val="none" w:sz="0" w:space="0" w:color="auto" w:frame="1"/>
          <w:lang w:val="es-ES"/>
        </w:rPr>
        <w:t xml:space="preserve">En efecto, el numeral 10 de los </w:t>
      </w:r>
      <w:r w:rsidRPr="004A1C79">
        <w:rPr>
          <w:rFonts w:ascii="Arial" w:hAnsi="Arial" w:cs="Arial"/>
          <w:color w:val="000000" w:themeColor="text1"/>
          <w:sz w:val="22"/>
        </w:rPr>
        <w:t>Términos y Condiciones de Uso del SECOP II</w:t>
      </w:r>
      <w:r>
        <w:rPr>
          <w:rFonts w:ascii="Arial" w:hAnsi="Arial" w:cs="Arial"/>
          <w:color w:val="000000" w:themeColor="text1"/>
          <w:sz w:val="22"/>
        </w:rPr>
        <w:t xml:space="preserve"> establece en el</w:t>
      </w:r>
      <w:r w:rsidRPr="004A1C79">
        <w:rPr>
          <w:rFonts w:ascii="Arial" w:hAnsi="Arial" w:cs="Arial"/>
          <w:color w:val="000000" w:themeColor="text1"/>
          <w:sz w:val="22"/>
        </w:rPr>
        <w:t xml:space="preserve"> </w:t>
      </w:r>
      <w:r>
        <w:rPr>
          <w:rFonts w:ascii="Arial" w:hAnsi="Arial" w:cs="Arial"/>
          <w:color w:val="000000" w:themeColor="text1"/>
          <w:sz w:val="22"/>
          <w:bdr w:val="none" w:sz="0" w:space="0" w:color="auto" w:frame="1"/>
          <w:lang w:val="es-ES"/>
        </w:rPr>
        <w:t xml:space="preserve">literal </w:t>
      </w:r>
      <w:r w:rsidRPr="000D7836">
        <w:rPr>
          <w:rFonts w:ascii="Arial" w:hAnsi="Arial" w:cs="Arial"/>
          <w:color w:val="000000" w:themeColor="text1"/>
          <w:sz w:val="22"/>
          <w:bdr w:val="none" w:sz="0" w:space="0" w:color="auto" w:frame="1"/>
          <w:lang w:val="es-ES"/>
        </w:rPr>
        <w:t>a)</w:t>
      </w:r>
      <w:r>
        <w:rPr>
          <w:rFonts w:ascii="Arial" w:hAnsi="Arial" w:cs="Arial"/>
          <w:color w:val="000000" w:themeColor="text1"/>
          <w:sz w:val="22"/>
          <w:bdr w:val="none" w:sz="0" w:space="0" w:color="auto" w:frame="1"/>
          <w:lang w:val="es-ES"/>
        </w:rPr>
        <w:t xml:space="preserve"> </w:t>
      </w:r>
      <w:proofErr w:type="gramStart"/>
      <w:r>
        <w:rPr>
          <w:rFonts w:ascii="Arial" w:hAnsi="Arial" w:cs="Arial"/>
          <w:color w:val="000000" w:themeColor="text1"/>
          <w:sz w:val="22"/>
          <w:bdr w:val="none" w:sz="0" w:space="0" w:color="auto" w:frame="1"/>
          <w:lang w:val="es-ES"/>
        </w:rPr>
        <w:t>que</w:t>
      </w:r>
      <w:proofErr w:type="gramEnd"/>
      <w:r>
        <w:rPr>
          <w:rFonts w:ascii="Arial" w:hAnsi="Arial" w:cs="Arial"/>
          <w:color w:val="000000" w:themeColor="text1"/>
          <w:sz w:val="22"/>
          <w:bdr w:val="none" w:sz="0" w:space="0" w:color="auto" w:frame="1"/>
          <w:lang w:val="es-ES"/>
        </w:rPr>
        <w:t xml:space="preserve"> </w:t>
      </w:r>
      <w:r w:rsidRPr="000D7836">
        <w:rPr>
          <w:rFonts w:ascii="Arial" w:hAnsi="Arial" w:cs="Arial"/>
          <w:color w:val="000000" w:themeColor="text1"/>
          <w:sz w:val="22"/>
          <w:bdr w:val="none" w:sz="0" w:space="0" w:color="auto" w:frame="1"/>
          <w:lang w:val="es-ES"/>
        </w:rPr>
        <w:t>para poder manifestar interés en la plataforma, es necesario que los proveedores se suscriban al proceso de contratación</w:t>
      </w:r>
      <w:r>
        <w:rPr>
          <w:rFonts w:ascii="Arial" w:hAnsi="Arial" w:cs="Arial"/>
          <w:color w:val="000000" w:themeColor="text1"/>
          <w:sz w:val="22"/>
          <w:bdr w:val="none" w:sz="0" w:space="0" w:color="auto" w:frame="1"/>
          <w:lang w:val="es-ES"/>
        </w:rPr>
        <w:t>.</w:t>
      </w:r>
      <w:r w:rsidRPr="000D7836">
        <w:rPr>
          <w:rFonts w:ascii="Arial" w:hAnsi="Arial" w:cs="Arial"/>
          <w:color w:val="000000" w:themeColor="text1"/>
          <w:sz w:val="22"/>
          <w:bdr w:val="none" w:sz="0" w:space="0" w:color="auto" w:frame="1"/>
          <w:lang w:val="es-ES"/>
        </w:rPr>
        <w:t xml:space="preserve"> </w:t>
      </w:r>
      <w:r>
        <w:rPr>
          <w:rFonts w:ascii="Arial" w:hAnsi="Arial" w:cs="Arial"/>
          <w:color w:val="000000" w:themeColor="text1"/>
          <w:sz w:val="22"/>
          <w:bdr w:val="none" w:sz="0" w:space="0" w:color="auto" w:frame="1"/>
          <w:lang w:val="es-ES"/>
        </w:rPr>
        <w:t xml:space="preserve">Por su parte, </w:t>
      </w:r>
      <w:r w:rsidRPr="000D7836">
        <w:rPr>
          <w:rFonts w:ascii="Arial" w:hAnsi="Arial" w:cs="Arial"/>
          <w:color w:val="000000" w:themeColor="text1"/>
          <w:sz w:val="22"/>
          <w:bdr w:val="none" w:sz="0" w:space="0" w:color="auto" w:frame="1"/>
          <w:lang w:val="es-ES"/>
        </w:rPr>
        <w:t>el literal k)</w:t>
      </w:r>
      <w:r>
        <w:rPr>
          <w:rFonts w:ascii="Arial" w:hAnsi="Arial" w:cs="Arial"/>
          <w:color w:val="000000" w:themeColor="text1"/>
          <w:sz w:val="22"/>
          <w:bdr w:val="none" w:sz="0" w:space="0" w:color="auto" w:frame="1"/>
          <w:lang w:val="es-ES"/>
        </w:rPr>
        <w:t xml:space="preserve"> establece que </w:t>
      </w:r>
      <w:r w:rsidRPr="000D7836">
        <w:rPr>
          <w:rFonts w:ascii="Arial" w:hAnsi="Arial" w:cs="Arial"/>
          <w:color w:val="000000" w:themeColor="text1"/>
          <w:sz w:val="22"/>
          <w:bdr w:val="none" w:sz="0" w:space="0" w:color="auto" w:frame="1"/>
          <w:lang w:val="es-ES"/>
        </w:rPr>
        <w:t xml:space="preserve">solo serán válidas las manifestaciones de interés en el SECOP II que se realicen por el canal correspondiente, salvo aquellas que sean atribuibles a fallas </w:t>
      </w:r>
      <w:r>
        <w:rPr>
          <w:rFonts w:ascii="Arial" w:hAnsi="Arial" w:cs="Arial"/>
          <w:color w:val="000000" w:themeColor="text1"/>
          <w:sz w:val="22"/>
          <w:bdr w:val="none" w:sz="0" w:space="0" w:color="auto" w:frame="1"/>
          <w:lang w:val="es-ES"/>
        </w:rPr>
        <w:t>generales o específicas</w:t>
      </w:r>
      <w:r w:rsidRPr="000D7836">
        <w:rPr>
          <w:rFonts w:ascii="Arial" w:hAnsi="Arial" w:cs="Arial"/>
          <w:color w:val="000000" w:themeColor="text1"/>
          <w:sz w:val="22"/>
          <w:bdr w:val="none" w:sz="0" w:space="0" w:color="auto" w:frame="1"/>
          <w:lang w:val="es-ES"/>
        </w:rPr>
        <w:t>.</w:t>
      </w:r>
    </w:p>
    <w:p w14:paraId="71D294C7" w14:textId="5E0BF70B" w:rsidR="00B41139" w:rsidRPr="00E42AD9" w:rsidRDefault="00B41139" w:rsidP="003C046A">
      <w:pPr>
        <w:spacing w:after="120" w:line="276" w:lineRule="auto"/>
        <w:ind w:firstLine="709"/>
        <w:jc w:val="both"/>
        <w:rPr>
          <w:rFonts w:ascii="Arial" w:hAnsi="Arial" w:cs="Arial"/>
          <w:color w:val="000000" w:themeColor="text1"/>
          <w:sz w:val="22"/>
          <w:szCs w:val="22"/>
          <w:bdr w:val="none" w:sz="0" w:space="0" w:color="auto" w:frame="1"/>
          <w:lang w:val="es-ES"/>
        </w:rPr>
      </w:pPr>
      <w:r w:rsidRPr="00E42AD9">
        <w:rPr>
          <w:rFonts w:ascii="Arial" w:hAnsi="Arial" w:cs="Arial"/>
          <w:color w:val="000000" w:themeColor="text1"/>
          <w:sz w:val="22"/>
          <w:szCs w:val="22"/>
          <w:bdr w:val="none" w:sz="0" w:space="0" w:color="auto" w:frame="1"/>
          <w:lang w:val="es-ES"/>
        </w:rPr>
        <w:t xml:space="preserve">Por lo tanto, en los procedimientos de selección abreviada de menor cuantía que se tramiten en el SECOP II, la única forma válida de manifestar interés es a través de dicho sistema, salvo que se presente una falla general o específica. En tal caso se puede efectuar la manifestación de interés por mensaje dentro de la plataforma o correo electrónico. Mientras que en los procedimientos de selección abreviada de menor cuantía que se tramiten en el SECOP I, la manifestación de interés deberá presentarse mediante el correo electrónico o la dirección física que determine la entidad en </w:t>
      </w:r>
      <w:r w:rsidR="00DE7862" w:rsidRPr="00E42AD9">
        <w:rPr>
          <w:rFonts w:ascii="Arial" w:hAnsi="Arial" w:cs="Arial"/>
          <w:color w:val="000000" w:themeColor="text1"/>
          <w:sz w:val="22"/>
          <w:szCs w:val="22"/>
          <w:bdr w:val="none" w:sz="0" w:space="0" w:color="auto" w:frame="1"/>
          <w:lang w:val="es-ES"/>
        </w:rPr>
        <w:t>el pliego de condiciones.  En todo caso, en ambas versiones del SECOP</w:t>
      </w:r>
      <w:r w:rsidR="00AF1610" w:rsidRPr="00E42AD9">
        <w:rPr>
          <w:rFonts w:ascii="Arial" w:hAnsi="Arial" w:cs="Arial"/>
          <w:color w:val="000000" w:themeColor="text1"/>
          <w:sz w:val="22"/>
          <w:szCs w:val="22"/>
          <w:bdr w:val="none" w:sz="0" w:space="0" w:color="auto" w:frame="1"/>
          <w:lang w:val="es-ES"/>
        </w:rPr>
        <w:t xml:space="preserve"> la en</w:t>
      </w:r>
      <w:r w:rsidR="00437E6E" w:rsidRPr="00E42AD9">
        <w:rPr>
          <w:rFonts w:ascii="Arial" w:hAnsi="Arial" w:cs="Arial"/>
          <w:color w:val="000000" w:themeColor="text1"/>
          <w:sz w:val="22"/>
          <w:szCs w:val="22"/>
          <w:bdr w:val="none" w:sz="0" w:space="0" w:color="auto" w:frame="1"/>
          <w:lang w:val="es-ES"/>
        </w:rPr>
        <w:t xml:space="preserve">tidad estatal deberá publicar </w:t>
      </w:r>
      <w:r w:rsidR="00AF1610" w:rsidRPr="00E42AD9">
        <w:rPr>
          <w:rFonts w:ascii="Arial" w:hAnsi="Arial" w:cs="Arial"/>
          <w:color w:val="000000" w:themeColor="text1"/>
          <w:sz w:val="22"/>
          <w:szCs w:val="22"/>
          <w:bdr w:val="none" w:sz="0" w:space="0" w:color="auto" w:frame="1"/>
          <w:lang w:val="es-ES"/>
        </w:rPr>
        <w:t>la lista de manifestaciones de interés recibidas.</w:t>
      </w:r>
    </w:p>
    <w:p w14:paraId="3739611C" w14:textId="1C5E6AF5" w:rsidR="00DE7862" w:rsidRPr="00E42AD9" w:rsidRDefault="00DE7862" w:rsidP="003C046A">
      <w:pPr>
        <w:spacing w:after="120" w:line="276" w:lineRule="auto"/>
        <w:ind w:firstLine="709"/>
        <w:jc w:val="both"/>
        <w:rPr>
          <w:rFonts w:ascii="Arial" w:eastAsia="Calibri" w:hAnsi="Arial" w:cs="Arial"/>
          <w:sz w:val="22"/>
          <w:szCs w:val="22"/>
          <w:lang w:val="es-MX" w:eastAsia="en-US"/>
        </w:rPr>
      </w:pPr>
      <w:r w:rsidRPr="00E42AD9">
        <w:rPr>
          <w:rFonts w:ascii="Arial" w:eastAsia="Calibri" w:hAnsi="Arial" w:cs="Arial"/>
          <w:color w:val="000000" w:themeColor="text1"/>
          <w:sz w:val="22"/>
          <w:szCs w:val="22"/>
        </w:rPr>
        <w:t xml:space="preserve">El artículo </w:t>
      </w:r>
      <w:r w:rsidRPr="00E42AD9">
        <w:rPr>
          <w:rFonts w:ascii="Arial" w:eastAsia="Calibri" w:hAnsi="Arial" w:cs="Arial"/>
          <w:sz w:val="22"/>
          <w:szCs w:val="22"/>
          <w:lang w:val="es-MX" w:eastAsia="en-US"/>
        </w:rPr>
        <w:t xml:space="preserve">2.2.1.2.1.2.20 </w:t>
      </w:r>
      <w:r w:rsidRPr="00E42AD9">
        <w:rPr>
          <w:rFonts w:ascii="Arial" w:eastAsia="Calibri" w:hAnsi="Arial" w:cs="Arial"/>
          <w:color w:val="000000" w:themeColor="text1"/>
          <w:sz w:val="22"/>
          <w:szCs w:val="22"/>
        </w:rPr>
        <w:t xml:space="preserve">del Decreto 1082 de 2015 al fijar las reglas para el proceso de selección abreviada de menor cuantía, no establece expresamente la obligación de </w:t>
      </w:r>
      <w:r w:rsidRPr="00E42AD9">
        <w:rPr>
          <w:rFonts w:ascii="Arial" w:eastAsia="Calibri" w:hAnsi="Arial" w:cs="Arial"/>
          <w:color w:val="000000" w:themeColor="text1"/>
          <w:sz w:val="22"/>
          <w:szCs w:val="22"/>
        </w:rPr>
        <w:lastRenderedPageBreak/>
        <w:t xml:space="preserve">publicar el listado de las manifestaciones de interés recibidas antes de la realización del sorteo, como si lo hace en el proceso de concurso de méritos con precalificación, no obstante, </w:t>
      </w:r>
      <w:r w:rsidRPr="00E42AD9">
        <w:rPr>
          <w:rFonts w:ascii="Arial" w:eastAsia="Calibri" w:hAnsi="Arial" w:cs="Arial"/>
          <w:sz w:val="22"/>
          <w:szCs w:val="22"/>
          <w:lang w:val="es-MX"/>
        </w:rPr>
        <w:t xml:space="preserve">esta Subdirección considera que </w:t>
      </w:r>
      <w:r w:rsidRPr="00E42AD9">
        <w:rPr>
          <w:rFonts w:ascii="Arial" w:eastAsia="Calibri" w:hAnsi="Arial" w:cs="Arial"/>
          <w:sz w:val="22"/>
          <w:szCs w:val="22"/>
          <w:lang w:val="es-MX" w:eastAsia="en-US"/>
        </w:rPr>
        <w:t>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082036C4" w14:textId="6BCB3C0A" w:rsidR="00690AAF" w:rsidRPr="00E42AD9" w:rsidRDefault="00690AAF" w:rsidP="003C046A">
      <w:pPr>
        <w:spacing w:line="276" w:lineRule="auto"/>
        <w:ind w:firstLine="708"/>
        <w:jc w:val="both"/>
        <w:rPr>
          <w:rFonts w:ascii="Arial" w:eastAsia="Calibri" w:hAnsi="Arial" w:cs="Arial"/>
          <w:sz w:val="22"/>
          <w:szCs w:val="22"/>
          <w:lang w:val="es-MX" w:eastAsia="en-US"/>
        </w:rPr>
      </w:pPr>
      <w:r w:rsidRPr="00E42AD9">
        <w:rPr>
          <w:rFonts w:ascii="Arial" w:eastAsia="Calibri" w:hAnsi="Arial" w:cs="Arial"/>
          <w:sz w:val="22"/>
          <w:szCs w:val="22"/>
          <w:lang w:val="es-ES" w:eastAsia="en-US"/>
        </w:rPr>
        <w:t xml:space="preserve">Finalmente, </w:t>
      </w:r>
      <w:r w:rsidRPr="00E42AD9">
        <w:rPr>
          <w:rFonts w:ascii="Arial" w:eastAsia="Calibri" w:hAnsi="Arial" w:cs="Arial"/>
          <w:sz w:val="22"/>
          <w:szCs w:val="22"/>
          <w:lang w:val="es-MX" w:eastAsia="en-US"/>
        </w:rPr>
        <w:t>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Pr="00E42AD9">
        <w:rPr>
          <w:rFonts w:ascii="Arial" w:hAnsi="Arial" w:cs="Arial"/>
          <w:sz w:val="22"/>
          <w:szCs w:val="22"/>
          <w:shd w:val="clear" w:color="auto" w:fill="FFFFFF"/>
        </w:rPr>
        <w:t xml:space="preserve"> para participar en un proceso de contratación como oferente. En efecto, </w:t>
      </w:r>
      <w:r w:rsidRPr="00E42AD9">
        <w:rPr>
          <w:rFonts w:ascii="Arial" w:eastAsia="Calibri" w:hAnsi="Arial" w:cs="Arial"/>
          <w:sz w:val="22"/>
          <w:szCs w:val="22"/>
          <w:lang w:val="es-MX" w:eastAsia="en-US"/>
        </w:rPr>
        <w:t>según lo dispuesto en el artículo 2.2.1.2.1.2.20 del Decreto 1082 de 2015</w:t>
      </w:r>
      <w:r w:rsidRPr="00E42AD9">
        <w:rPr>
          <w:rFonts w:ascii="Arial" w:eastAsia="Calibri" w:hAnsi="Arial" w:cs="Arial"/>
          <w:sz w:val="22"/>
          <w:szCs w:val="22"/>
          <w:vertAlign w:val="superscript"/>
          <w:lang w:val="es-MX" w:eastAsia="en-US"/>
        </w:rPr>
        <w:t xml:space="preserve">, </w:t>
      </w:r>
      <w:r w:rsidRPr="00E42AD9">
        <w:rPr>
          <w:rFonts w:ascii="Arial" w:eastAsia="Calibri" w:hAnsi="Arial" w:cs="Arial"/>
          <w:sz w:val="22"/>
          <w:szCs w:val="22"/>
          <w:lang w:val="es-MX" w:eastAsia="en-US"/>
        </w:rPr>
        <w:t>el procedimiento inicia con la apertura del proceso que haga la entidad, y los interesados en el procedimiento contractual deben presentar una «manifestación de interés» para participar en el mismo, como requisito para poder continuar participando en el procedimiento de selección</w:t>
      </w:r>
      <w:r w:rsidRPr="00E42AD9">
        <w:rPr>
          <w:rStyle w:val="Refdenotaalpie"/>
          <w:rFonts w:ascii="Arial" w:eastAsia="Calibri" w:hAnsi="Arial" w:cs="Arial"/>
          <w:sz w:val="22"/>
          <w:szCs w:val="22"/>
          <w:lang w:val="es-MX" w:eastAsia="en-US"/>
        </w:rPr>
        <w:footnoteReference w:id="7"/>
      </w:r>
      <w:r w:rsidRPr="00E42AD9">
        <w:rPr>
          <w:rFonts w:ascii="Arial" w:eastAsia="Calibri" w:hAnsi="Arial" w:cs="Arial"/>
          <w:sz w:val="22"/>
          <w:szCs w:val="22"/>
          <w:lang w:val="es-MX" w:eastAsia="en-US"/>
        </w:rPr>
        <w:t xml:space="preserve">. </w:t>
      </w:r>
    </w:p>
    <w:p w14:paraId="6ECB3BDF" w14:textId="77777777" w:rsidR="00C64D5F" w:rsidRDefault="00C64D5F" w:rsidP="003C046A">
      <w:pPr>
        <w:spacing w:line="276" w:lineRule="auto"/>
        <w:ind w:firstLine="708"/>
        <w:jc w:val="both"/>
        <w:rPr>
          <w:rFonts w:ascii="Arial" w:eastAsia="Calibri" w:hAnsi="Arial" w:cs="Arial"/>
          <w:sz w:val="22"/>
          <w:szCs w:val="22"/>
          <w:lang w:val="es-MX" w:eastAsia="en-US"/>
        </w:rPr>
      </w:pPr>
    </w:p>
    <w:p w14:paraId="7DCC4738" w14:textId="7CBFB12A" w:rsidR="00016B60" w:rsidRPr="00137928" w:rsidRDefault="00137928" w:rsidP="003C046A">
      <w:pPr>
        <w:tabs>
          <w:tab w:val="left" w:pos="284"/>
        </w:tabs>
        <w:spacing w:line="276" w:lineRule="auto"/>
        <w:contextualSpacing/>
        <w:jc w:val="both"/>
        <w:rPr>
          <w:rFonts w:ascii="Arial" w:eastAsia="Calibri" w:hAnsi="Arial" w:cs="Arial"/>
          <w:b/>
          <w:color w:val="000000" w:themeColor="text1"/>
          <w:sz w:val="22"/>
          <w:szCs w:val="22"/>
          <w:lang w:val="es-MX" w:eastAsia="en-US"/>
        </w:rPr>
      </w:pPr>
      <w:r w:rsidRPr="00137928">
        <w:rPr>
          <w:rFonts w:ascii="Arial" w:eastAsia="Calibri" w:hAnsi="Arial" w:cs="Arial"/>
          <w:b/>
          <w:color w:val="000000" w:themeColor="text1"/>
          <w:sz w:val="22"/>
          <w:szCs w:val="22"/>
          <w:lang w:val="es-MX" w:eastAsia="en-US"/>
        </w:rPr>
        <w:t xml:space="preserve">3. </w:t>
      </w:r>
      <w:r w:rsidR="00016B60" w:rsidRPr="00137928">
        <w:rPr>
          <w:rFonts w:ascii="Arial" w:eastAsia="Calibri" w:hAnsi="Arial" w:cs="Arial"/>
          <w:b/>
          <w:color w:val="000000" w:themeColor="text1"/>
          <w:sz w:val="22"/>
          <w:szCs w:val="22"/>
          <w:lang w:val="es-MX" w:eastAsia="en-US"/>
        </w:rPr>
        <w:t>Respuesta</w:t>
      </w:r>
      <w:r w:rsidRPr="00137928">
        <w:rPr>
          <w:rFonts w:ascii="Arial" w:eastAsia="Calibri" w:hAnsi="Arial" w:cs="Arial"/>
          <w:b/>
          <w:color w:val="000000" w:themeColor="text1"/>
          <w:sz w:val="22"/>
          <w:szCs w:val="22"/>
          <w:lang w:val="es-MX" w:eastAsia="en-US"/>
        </w:rPr>
        <w:t>s</w:t>
      </w:r>
    </w:p>
    <w:p w14:paraId="20D52043" w14:textId="77777777" w:rsidR="00016B60" w:rsidRPr="005C05FF" w:rsidRDefault="00016B60" w:rsidP="003C046A">
      <w:pPr>
        <w:spacing w:line="276" w:lineRule="auto"/>
        <w:jc w:val="both"/>
        <w:rPr>
          <w:rFonts w:ascii="Arial" w:eastAsia="Calibri" w:hAnsi="Arial" w:cs="Arial"/>
          <w:color w:val="000000" w:themeColor="text1"/>
          <w:sz w:val="22"/>
          <w:szCs w:val="22"/>
          <w:highlight w:val="yellow"/>
          <w:lang w:val="es-MX" w:eastAsia="en-US"/>
        </w:rPr>
      </w:pPr>
    </w:p>
    <w:p w14:paraId="6A5C276A" w14:textId="187CD29C" w:rsidR="00892F50" w:rsidRDefault="00A3664E" w:rsidP="003C046A">
      <w:pPr>
        <w:pStyle w:val="Default"/>
        <w:ind w:left="709" w:right="709"/>
        <w:jc w:val="both"/>
        <w:rPr>
          <w:rFonts w:eastAsia="Calibri"/>
          <w:color w:val="000000" w:themeColor="text1"/>
          <w:sz w:val="21"/>
          <w:szCs w:val="21"/>
          <w:lang w:val="es-MX"/>
        </w:rPr>
      </w:pPr>
      <w:r w:rsidRPr="00A3664E">
        <w:rPr>
          <w:rFonts w:eastAsia="Calibri"/>
          <w:color w:val="000000" w:themeColor="text1"/>
          <w:sz w:val="21"/>
          <w:szCs w:val="21"/>
          <w:lang w:val="es-MX"/>
        </w:rPr>
        <w:t xml:space="preserve">2. En virtud de los establecido en el en el Decreto 1082 de 2015 Artículo 2.2.1.1.2.2.3. </w:t>
      </w:r>
      <w:r w:rsidRPr="00A3664E">
        <w:rPr>
          <w:rFonts w:eastAsia="Calibri"/>
          <w:i/>
          <w:color w:val="000000" w:themeColor="text1"/>
          <w:sz w:val="21"/>
          <w:szCs w:val="21"/>
          <w:lang w:val="es-MX"/>
        </w:rPr>
        <w:t xml:space="preserve">“Comité evaluador. La Entidad Estatal puede designar un comité evaluador conformado por servidores públicos o por particulares contratados para el efecto para evaluar las ofertas </w:t>
      </w:r>
      <w:r w:rsidRPr="00A3664E">
        <w:rPr>
          <w:rFonts w:eastAsia="Calibri"/>
          <w:b/>
          <w:i/>
          <w:color w:val="000000" w:themeColor="text1"/>
          <w:sz w:val="21"/>
          <w:szCs w:val="21"/>
          <w:u w:val="single"/>
          <w:lang w:val="es-MX"/>
        </w:rPr>
        <w:t>y las manifestaciones de interés para cada Proceso de Contratación</w:t>
      </w:r>
      <w:r w:rsidRPr="00A3664E">
        <w:rPr>
          <w:rFonts w:eastAsia="Calibri"/>
          <w:i/>
          <w:color w:val="000000" w:themeColor="text1"/>
          <w:sz w:val="21"/>
          <w:szCs w:val="21"/>
          <w:lang w:val="es-MX"/>
        </w:rPr>
        <w:t xml:space="preserve"> por licitación, selección abreviada y concurso de méritos. </w:t>
      </w:r>
      <w:r w:rsidRPr="00A3664E">
        <w:rPr>
          <w:rFonts w:eastAsia="Calibri"/>
          <w:b/>
          <w:i/>
          <w:color w:val="000000" w:themeColor="text1"/>
          <w:sz w:val="21"/>
          <w:szCs w:val="21"/>
          <w:u w:val="single"/>
          <w:lang w:val="es-MX"/>
        </w:rPr>
        <w:t xml:space="preserve">El comité evaluador debe realizar su labor de manera objetiva, ciñéndose exclusivamente a las reglas contenidas en los pliegos de condiciones. </w:t>
      </w:r>
      <w:r w:rsidRPr="00A3664E">
        <w:rPr>
          <w:rFonts w:eastAsia="Calibri"/>
          <w:color w:val="000000" w:themeColor="text1"/>
          <w:sz w:val="21"/>
          <w:szCs w:val="21"/>
          <w:lang w:val="es-MX"/>
        </w:rPr>
        <w:t xml:space="preserve">(…).”. </w:t>
      </w:r>
      <w:proofErr w:type="gramStart"/>
      <w:r w:rsidRPr="00A3664E">
        <w:rPr>
          <w:rFonts w:eastAsia="Calibri"/>
          <w:color w:val="000000" w:themeColor="text1"/>
          <w:sz w:val="21"/>
          <w:szCs w:val="21"/>
          <w:lang w:val="es-MX"/>
        </w:rPr>
        <w:t>Debe antes del sorteo efectuarse la publicación de listado de los manifestantes de interés que cumplen con lo requerido en el pliego de condiciones?</w:t>
      </w:r>
      <w:proofErr w:type="gramEnd"/>
      <w:r w:rsidRPr="00A3664E">
        <w:rPr>
          <w:rFonts w:eastAsia="Calibri"/>
          <w:color w:val="000000" w:themeColor="text1"/>
          <w:sz w:val="21"/>
          <w:szCs w:val="21"/>
          <w:lang w:val="es-MX"/>
        </w:rPr>
        <w:t>, bajo el entendido de que el comité debe sujetarse al Pliego de Condiciones en su total extensión.</w:t>
      </w:r>
    </w:p>
    <w:p w14:paraId="3A24E91E" w14:textId="77777777" w:rsidR="00A3664E" w:rsidRPr="00892F50" w:rsidRDefault="00A3664E" w:rsidP="003C046A">
      <w:pPr>
        <w:pStyle w:val="Default"/>
        <w:ind w:left="709" w:right="709"/>
        <w:jc w:val="both"/>
        <w:rPr>
          <w:sz w:val="21"/>
          <w:szCs w:val="21"/>
        </w:rPr>
      </w:pPr>
    </w:p>
    <w:p w14:paraId="492F96C9" w14:textId="6DE3C3DA" w:rsidR="007B7229" w:rsidRDefault="007B7229" w:rsidP="003C046A">
      <w:pPr>
        <w:spacing w:after="120" w:line="276" w:lineRule="auto"/>
        <w:jc w:val="both"/>
        <w:rPr>
          <w:rFonts w:ascii="Arial" w:eastAsia="Calibri" w:hAnsi="Arial" w:cs="Arial"/>
          <w:color w:val="000000" w:themeColor="text1"/>
          <w:sz w:val="22"/>
        </w:rPr>
      </w:pPr>
      <w:r>
        <w:rPr>
          <w:rFonts w:ascii="Arial" w:eastAsia="Calibri" w:hAnsi="Arial" w:cs="Arial"/>
          <w:sz w:val="22"/>
          <w:szCs w:val="22"/>
          <w:lang w:val="es-MX" w:eastAsia="en-US"/>
        </w:rPr>
        <w:t xml:space="preserve">La manifestación de interés es un requisito especial para las modalidades de concurso de méritos con precalificación y la selección abreviada de menor cuantía. </w:t>
      </w:r>
      <w:r w:rsidR="00B70C92">
        <w:rPr>
          <w:rFonts w:ascii="Arial" w:eastAsia="Calibri" w:hAnsi="Arial" w:cs="Arial"/>
          <w:sz w:val="22"/>
          <w:szCs w:val="22"/>
          <w:lang w:val="es-MX" w:eastAsia="en-US"/>
        </w:rPr>
        <w:t xml:space="preserve">Tratándose de esta </w:t>
      </w:r>
      <w:r w:rsidR="00B70C92">
        <w:rPr>
          <w:rFonts w:ascii="Arial" w:eastAsia="Calibri" w:hAnsi="Arial" w:cs="Arial"/>
          <w:sz w:val="22"/>
          <w:szCs w:val="22"/>
          <w:lang w:val="es-MX" w:eastAsia="en-US"/>
        </w:rPr>
        <w:lastRenderedPageBreak/>
        <w:t xml:space="preserve">última modalidad, </w:t>
      </w:r>
      <w:r w:rsidR="00B70C92">
        <w:rPr>
          <w:rFonts w:ascii="Arial" w:eastAsia="Calibri" w:hAnsi="Arial" w:cs="Arial"/>
          <w:color w:val="000000" w:themeColor="text1"/>
          <w:sz w:val="22"/>
        </w:rPr>
        <w:t xml:space="preserve">la manifestación de interés es </w:t>
      </w:r>
      <w:r w:rsidR="00B70C92" w:rsidRPr="005D7345">
        <w:rPr>
          <w:rFonts w:ascii="Arial" w:eastAsia="Calibri" w:hAnsi="Arial" w:cs="Arial"/>
          <w:color w:val="000000" w:themeColor="text1"/>
          <w:sz w:val="22"/>
        </w:rPr>
        <w:t>un acto de comunicación del interesado</w:t>
      </w:r>
      <w:r w:rsidR="00B70C92">
        <w:rPr>
          <w:rFonts w:ascii="Arial" w:eastAsia="Calibri" w:hAnsi="Arial" w:cs="Arial"/>
          <w:color w:val="000000" w:themeColor="text1"/>
          <w:sz w:val="22"/>
        </w:rPr>
        <w:t>,</w:t>
      </w:r>
      <w:r w:rsidR="00B70C92" w:rsidRPr="005D7345">
        <w:rPr>
          <w:rFonts w:ascii="Arial" w:eastAsia="Calibri" w:hAnsi="Arial" w:cs="Arial"/>
          <w:color w:val="000000" w:themeColor="text1"/>
          <w:sz w:val="22"/>
        </w:rPr>
        <w:t xml:space="preserve"> </w:t>
      </w:r>
      <w:r w:rsidR="00B70C92">
        <w:rPr>
          <w:rFonts w:ascii="Arial" w:eastAsia="Calibri" w:hAnsi="Arial" w:cs="Arial"/>
          <w:color w:val="000000" w:themeColor="text1"/>
          <w:sz w:val="22"/>
        </w:rPr>
        <w:t>en virtud del cual, como su nombre lo indica, expresa el interés en participar en el proceso de selección, sin que le sea exigida la presentación de requisitos habilitantes como o</w:t>
      </w:r>
      <w:r w:rsidR="00405DEC">
        <w:rPr>
          <w:rFonts w:ascii="Arial" w:eastAsia="Calibri" w:hAnsi="Arial" w:cs="Arial"/>
          <w:color w:val="000000" w:themeColor="text1"/>
          <w:sz w:val="22"/>
        </w:rPr>
        <w:t xml:space="preserve">curre en el concurso de méritos con precalificación. </w:t>
      </w:r>
      <w:r w:rsidR="00B70C92">
        <w:rPr>
          <w:rFonts w:ascii="Arial" w:eastAsia="Calibri" w:hAnsi="Arial" w:cs="Arial"/>
          <w:color w:val="000000" w:themeColor="text1"/>
          <w:sz w:val="22"/>
        </w:rPr>
        <w:t>Dicha manifestación de interés debe ser presentada en la forma establecida en el pliego de condiciones físico o electrónico</w:t>
      </w:r>
      <w:r w:rsidR="00405DEC">
        <w:rPr>
          <w:rFonts w:ascii="Arial" w:eastAsia="Calibri" w:hAnsi="Arial" w:cs="Arial"/>
          <w:color w:val="000000" w:themeColor="text1"/>
          <w:sz w:val="22"/>
        </w:rPr>
        <w:t>, según corresponda a la plataforma del SECOP I o el SECOP II en que se adelante el proceso.</w:t>
      </w:r>
    </w:p>
    <w:p w14:paraId="2B60DE3D" w14:textId="0870C274" w:rsidR="00405DEC" w:rsidRDefault="00405DEC" w:rsidP="00EB3C5E">
      <w:pPr>
        <w:spacing w:line="276" w:lineRule="auto"/>
        <w:ind w:firstLine="709"/>
        <w:jc w:val="both"/>
        <w:rPr>
          <w:rFonts w:ascii="Arial" w:eastAsia="Calibri" w:hAnsi="Arial" w:cs="Arial"/>
          <w:sz w:val="22"/>
          <w:szCs w:val="22"/>
          <w:lang w:val="es-MX" w:eastAsia="en-US"/>
        </w:rPr>
      </w:pPr>
      <w:r>
        <w:rPr>
          <w:rFonts w:ascii="Arial" w:eastAsia="Calibri" w:hAnsi="Arial" w:cs="Arial"/>
          <w:color w:val="000000" w:themeColor="text1"/>
          <w:sz w:val="22"/>
        </w:rPr>
        <w:t xml:space="preserve">El artículo </w:t>
      </w:r>
      <w:r w:rsidR="00690AAF" w:rsidRPr="00A2124E">
        <w:rPr>
          <w:rFonts w:ascii="Arial" w:eastAsia="Calibri" w:hAnsi="Arial" w:cs="Arial"/>
          <w:sz w:val="22"/>
          <w:szCs w:val="22"/>
          <w:lang w:val="es-MX" w:eastAsia="en-US"/>
        </w:rPr>
        <w:t xml:space="preserve">2.2.1.2.1.2.20 </w:t>
      </w:r>
      <w:r>
        <w:rPr>
          <w:rFonts w:ascii="Arial" w:eastAsia="Calibri" w:hAnsi="Arial" w:cs="Arial"/>
          <w:color w:val="000000" w:themeColor="text1"/>
          <w:sz w:val="22"/>
        </w:rPr>
        <w:t>del Decreto 1082 de 2015 al fijar las reglas para el proceso de selección abreviada de menor cuantía, no establece expresamente la obligación de publicar el listado de las manifestaciones de interés recibidas antes de la realización del sorteo,</w:t>
      </w:r>
      <w:r w:rsidR="00295AE0">
        <w:rPr>
          <w:rFonts w:ascii="Arial" w:eastAsia="Calibri" w:hAnsi="Arial" w:cs="Arial"/>
          <w:color w:val="000000" w:themeColor="text1"/>
          <w:sz w:val="22"/>
        </w:rPr>
        <w:t xml:space="preserve"> como si</w:t>
      </w:r>
      <w:r>
        <w:rPr>
          <w:rFonts w:ascii="Arial" w:eastAsia="Calibri" w:hAnsi="Arial" w:cs="Arial"/>
          <w:color w:val="000000" w:themeColor="text1"/>
          <w:sz w:val="22"/>
        </w:rPr>
        <w:t xml:space="preserve"> </w:t>
      </w:r>
      <w:r w:rsidR="00295AE0">
        <w:rPr>
          <w:rFonts w:ascii="Arial" w:eastAsia="Calibri" w:hAnsi="Arial" w:cs="Arial"/>
          <w:color w:val="000000" w:themeColor="text1"/>
          <w:sz w:val="22"/>
        </w:rPr>
        <w:t xml:space="preserve">lo hace en el proceso de concurso de méritos con precalificación, </w:t>
      </w:r>
      <w:r>
        <w:rPr>
          <w:rFonts w:ascii="Arial" w:eastAsia="Calibri" w:hAnsi="Arial" w:cs="Arial"/>
          <w:color w:val="000000" w:themeColor="text1"/>
          <w:sz w:val="22"/>
        </w:rPr>
        <w:t xml:space="preserve">no obstante, </w:t>
      </w:r>
      <w:r w:rsidRPr="000D753A">
        <w:rPr>
          <w:rFonts w:ascii="Arial" w:eastAsia="Calibri" w:hAnsi="Arial" w:cs="Arial"/>
          <w:sz w:val="22"/>
          <w:szCs w:val="22"/>
          <w:lang w:val="es-MX"/>
        </w:rPr>
        <w:t xml:space="preserve">esta Subdirección considera que </w:t>
      </w:r>
      <w:r>
        <w:rPr>
          <w:rFonts w:ascii="Arial" w:eastAsia="Calibri" w:hAnsi="Arial" w:cs="Arial"/>
          <w:sz w:val="22"/>
          <w:szCs w:val="22"/>
          <w:lang w:val="es-MX" w:eastAsia="en-US"/>
        </w:rPr>
        <w:t xml:space="preserve">una </w:t>
      </w:r>
      <w:r w:rsidRPr="00A2124E">
        <w:rPr>
          <w:rFonts w:ascii="Arial" w:eastAsia="Calibri" w:hAnsi="Arial" w:cs="Arial"/>
          <w:sz w:val="22"/>
          <w:szCs w:val="22"/>
          <w:lang w:val="es-MX" w:eastAsia="en-US"/>
        </w:rPr>
        <w:t>interpretación ajustada a los principios que orientan la contratación pública</w:t>
      </w:r>
      <w:r w:rsidR="00F41065">
        <w:rPr>
          <w:rFonts w:ascii="Arial" w:eastAsia="Calibri" w:hAnsi="Arial" w:cs="Arial"/>
          <w:sz w:val="22"/>
          <w:szCs w:val="22"/>
          <w:lang w:val="es-MX" w:eastAsia="en-US"/>
        </w:rPr>
        <w:t>, especialmente los</w:t>
      </w:r>
      <w:r>
        <w:rPr>
          <w:rFonts w:ascii="Arial" w:eastAsia="Calibri" w:hAnsi="Arial" w:cs="Arial"/>
          <w:sz w:val="22"/>
          <w:szCs w:val="22"/>
          <w:lang w:val="es-MX" w:eastAsia="en-US"/>
        </w:rPr>
        <w:t xml:space="preserve"> de transparencia</w:t>
      </w:r>
      <w:r w:rsidR="00F41065">
        <w:rPr>
          <w:rFonts w:ascii="Arial" w:eastAsia="Calibri" w:hAnsi="Arial" w:cs="Arial"/>
          <w:sz w:val="22"/>
          <w:szCs w:val="22"/>
          <w:lang w:val="es-MX" w:eastAsia="en-US"/>
        </w:rPr>
        <w:t xml:space="preserve"> y publicidad</w:t>
      </w:r>
      <w:r>
        <w:rPr>
          <w:rFonts w:ascii="Arial" w:eastAsia="Calibri" w:hAnsi="Arial" w:cs="Arial"/>
          <w:sz w:val="22"/>
          <w:szCs w:val="22"/>
          <w:lang w:val="es-MX" w:eastAsia="en-US"/>
        </w:rPr>
        <w:t>,</w:t>
      </w:r>
      <w:r w:rsidRPr="00A2124E">
        <w:rPr>
          <w:rFonts w:ascii="Arial" w:eastAsia="Calibri" w:hAnsi="Arial" w:cs="Arial"/>
          <w:sz w:val="22"/>
          <w:szCs w:val="22"/>
          <w:lang w:val="es-MX" w:eastAsia="en-US"/>
        </w:rPr>
        <w:t xml:space="preserve"> </w:t>
      </w:r>
      <w:r>
        <w:rPr>
          <w:rFonts w:ascii="Arial" w:eastAsia="Calibri" w:hAnsi="Arial" w:cs="Arial"/>
          <w:sz w:val="22"/>
          <w:szCs w:val="22"/>
          <w:lang w:val="es-MX" w:eastAsia="en-US"/>
        </w:rPr>
        <w:t>exige que la entidad estatal publique la lista de las manifestaciones de interés recibidas y las que se ajustan a las exigencias del pliego de condiciones para participar en el sorteo, según corresponda.</w:t>
      </w:r>
    </w:p>
    <w:p w14:paraId="4E46C2CD" w14:textId="3F46D955" w:rsidR="005C05FF" w:rsidRPr="00B70C92" w:rsidRDefault="005C05FF" w:rsidP="003C046A">
      <w:pPr>
        <w:pStyle w:val="Default"/>
        <w:spacing w:after="120"/>
        <w:jc w:val="both"/>
        <w:rPr>
          <w:sz w:val="22"/>
          <w:szCs w:val="22"/>
          <w:lang w:val="es-MX"/>
        </w:rPr>
      </w:pPr>
    </w:p>
    <w:p w14:paraId="16BF81D8" w14:textId="0658E359" w:rsidR="00CE44D5" w:rsidRPr="005C05FF" w:rsidRDefault="00CE44D5" w:rsidP="003C046A">
      <w:pPr>
        <w:spacing w:after="120" w:line="276" w:lineRule="auto"/>
        <w:jc w:val="both"/>
        <w:rPr>
          <w:rFonts w:ascii="Arial" w:eastAsia="Calibri" w:hAnsi="Arial" w:cs="Arial"/>
          <w:sz w:val="22"/>
          <w:szCs w:val="22"/>
          <w:lang w:eastAsia="en-US"/>
        </w:rPr>
      </w:pPr>
      <w:r w:rsidRPr="00C4318E">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77777777" w:rsidR="00CE44D5" w:rsidRPr="005C05FF" w:rsidRDefault="00CE44D5" w:rsidP="005C05FF">
      <w:pPr>
        <w:jc w:val="both"/>
        <w:rPr>
          <w:rFonts w:ascii="Arial" w:eastAsia="Calibri" w:hAnsi="Arial" w:cs="Arial"/>
          <w:sz w:val="22"/>
          <w:szCs w:val="22"/>
          <w:lang w:eastAsia="en-US"/>
        </w:rPr>
      </w:pPr>
      <w:r w:rsidRPr="005C05FF">
        <w:rPr>
          <w:rFonts w:asciiTheme="minorHAnsi" w:eastAsia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79DD958"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9F17D1A" w14:textId="77777777" w:rsidR="00CE44D5" w:rsidRPr="00CE44D5" w:rsidRDefault="00CE44D5" w:rsidP="00CE44D5">
      <w:pPr>
        <w:rPr>
          <w:rFonts w:ascii="Arial" w:hAnsi="Arial" w:cs="Arial"/>
          <w:sz w:val="22"/>
          <w:szCs w:val="22"/>
          <w:lang w:eastAsia="es-CO"/>
        </w:rPr>
      </w:pPr>
      <w:r w:rsidRPr="00CE44D5">
        <w:rPr>
          <w:rFonts w:ascii="Arial" w:hAnsi="Arial" w:cs="Arial"/>
          <w:sz w:val="22"/>
          <w:szCs w:val="22"/>
          <w:lang w:eastAsia="es-CO"/>
        </w:rPr>
        <w:t>Atentamente,</w:t>
      </w:r>
    </w:p>
    <w:p w14:paraId="305926A3" w14:textId="77777777" w:rsidR="00CE44D5" w:rsidRPr="00CE44D5" w:rsidRDefault="00CE44D5" w:rsidP="00CE44D5">
      <w:pPr>
        <w:rPr>
          <w:rFonts w:ascii="Arial" w:hAnsi="Arial" w:cs="Arial"/>
          <w:sz w:val="22"/>
          <w:szCs w:val="22"/>
          <w:lang w:eastAsia="es-CO"/>
        </w:rPr>
      </w:pPr>
    </w:p>
    <w:p w14:paraId="4E063A7F" w14:textId="77777777" w:rsidR="00EB3C5E" w:rsidRDefault="00EB3C5E" w:rsidP="00EB3C5E">
      <w:pPr>
        <w:rPr>
          <w:rFonts w:asciiTheme="minorHAnsi" w:eastAsiaTheme="minorHAnsi" w:hAnsiTheme="minorHAnsi" w:cstheme="minorBidi"/>
          <w:noProof/>
          <w:szCs w:val="22"/>
          <w:lang w:eastAsia="en-US"/>
        </w:rPr>
      </w:pPr>
    </w:p>
    <w:p w14:paraId="51D73B85" w14:textId="77777777" w:rsidR="00EB3C5E" w:rsidRDefault="00EB3C5E" w:rsidP="00CE44D5">
      <w:pPr>
        <w:jc w:val="center"/>
        <w:rPr>
          <w:rFonts w:asciiTheme="minorHAnsi" w:eastAsiaTheme="minorHAnsi" w:hAnsiTheme="minorHAnsi" w:cstheme="minorBidi"/>
          <w:noProof/>
          <w:szCs w:val="22"/>
          <w:lang w:eastAsia="en-US"/>
        </w:rPr>
      </w:pPr>
    </w:p>
    <w:p w14:paraId="01182CA1" w14:textId="77777777" w:rsidR="00EB3C5E" w:rsidRDefault="00EB3C5E" w:rsidP="00CE44D5">
      <w:pPr>
        <w:jc w:val="center"/>
        <w:rPr>
          <w:rFonts w:asciiTheme="minorHAnsi" w:eastAsiaTheme="minorHAnsi" w:hAnsiTheme="minorHAnsi" w:cstheme="minorBidi"/>
          <w:noProof/>
          <w:szCs w:val="22"/>
          <w:lang w:eastAsia="en-US"/>
        </w:rPr>
      </w:pPr>
    </w:p>
    <w:p w14:paraId="1FFCF999" w14:textId="32749FC8" w:rsidR="00CE44D5" w:rsidRPr="00EB3C5E" w:rsidRDefault="00EB3C5E" w:rsidP="00EB3C5E">
      <w:pPr>
        <w:jc w:val="center"/>
        <w:rPr>
          <w:rFonts w:ascii="Arial" w:hAnsi="Arial" w:cs="Arial"/>
          <w:sz w:val="22"/>
          <w:szCs w:val="22"/>
          <w:lang w:eastAsia="es-CO"/>
        </w:rPr>
      </w:pPr>
      <w:r>
        <w:rPr>
          <w:rFonts w:ascii="Arial" w:hAnsi="Arial" w:cs="Arial"/>
          <w:noProof/>
          <w:color w:val="000000" w:themeColor="text1"/>
          <w:lang w:val="es-ES_tradnl"/>
        </w:rPr>
        <w:drawing>
          <wp:inline distT="0" distB="0" distL="0" distR="0" wp14:anchorId="78551D26" wp14:editId="151DC754">
            <wp:extent cx="2825982" cy="1099460"/>
            <wp:effectExtent l="0" t="0" r="0" b="571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8844" cy="1112245"/>
                    </a:xfrm>
                    <a:prstGeom prst="rect">
                      <a:avLst/>
                    </a:prstGeom>
                    <a:noFill/>
                  </pic:spPr>
                </pic:pic>
              </a:graphicData>
            </a:graphic>
          </wp:inline>
        </w:drawing>
      </w:r>
      <w:r w:rsidR="00CE44D5" w:rsidRPr="00CE44D5">
        <w:rPr>
          <w:rFonts w:asciiTheme="minorHAnsi" w:eastAsiaTheme="minorHAnsi" w:hAnsiTheme="minorHAnsi" w:cstheme="minorBidi"/>
          <w:noProof/>
          <w:szCs w:val="22"/>
          <w:lang w:eastAsia="en-US"/>
        </w:rPr>
        <w:t xml:space="preserve"> </w:t>
      </w:r>
    </w:p>
    <w:p w14:paraId="33D1FD18" w14:textId="77777777" w:rsidR="00EB3C5E" w:rsidRPr="00CE44D5" w:rsidRDefault="00EB3C5E" w:rsidP="00CE44D5">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E44D5" w:rsidRPr="00CE44D5" w14:paraId="5B67C3FA" w14:textId="77777777" w:rsidTr="004E282C">
        <w:trPr>
          <w:trHeight w:val="315"/>
        </w:trPr>
        <w:tc>
          <w:tcPr>
            <w:tcW w:w="488" w:type="dxa"/>
            <w:vAlign w:val="center"/>
            <w:hideMark/>
          </w:tcPr>
          <w:p w14:paraId="47002891"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C210F2D" w14:textId="6997238B" w:rsidR="00CE44D5" w:rsidRPr="00CE44D5" w:rsidRDefault="00AC5E21" w:rsidP="00CE44D5">
            <w:pPr>
              <w:rPr>
                <w:rFonts w:ascii="Arial" w:hAnsi="Arial" w:cs="Arial"/>
                <w:sz w:val="16"/>
                <w:szCs w:val="16"/>
                <w:lang w:eastAsia="es-ES"/>
              </w:rPr>
            </w:pPr>
            <w:r>
              <w:rPr>
                <w:rFonts w:ascii="Arial" w:hAnsi="Arial" w:cs="Arial"/>
                <w:sz w:val="16"/>
                <w:szCs w:val="16"/>
                <w:lang w:eastAsia="es-ES"/>
              </w:rPr>
              <w:t>Guillermo Escolar Flórez</w:t>
            </w:r>
          </w:p>
          <w:p w14:paraId="4B501CA5"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Contratista de la Subdirección de Gestión Contractual</w:t>
            </w:r>
          </w:p>
        </w:tc>
      </w:tr>
      <w:tr w:rsidR="00CE44D5" w:rsidRPr="00CE44D5" w14:paraId="258E03EC" w14:textId="77777777" w:rsidTr="004E282C">
        <w:trPr>
          <w:trHeight w:val="330"/>
        </w:trPr>
        <w:tc>
          <w:tcPr>
            <w:tcW w:w="488" w:type="dxa"/>
            <w:vAlign w:val="center"/>
            <w:hideMark/>
          </w:tcPr>
          <w:p w14:paraId="36D62616"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7FF2C8" w14:textId="27A0D55D" w:rsidR="00CE44D5" w:rsidRPr="00CE44D5" w:rsidRDefault="00AC5E21" w:rsidP="00CE44D5">
            <w:pPr>
              <w:rPr>
                <w:rFonts w:ascii="Arial" w:hAnsi="Arial" w:cs="Arial"/>
                <w:sz w:val="16"/>
                <w:szCs w:val="16"/>
                <w:lang w:eastAsia="es-ES"/>
              </w:rPr>
            </w:pPr>
            <w:r>
              <w:rPr>
                <w:rFonts w:ascii="Arial" w:hAnsi="Arial" w:cs="Arial"/>
                <w:sz w:val="16"/>
                <w:szCs w:val="16"/>
                <w:lang w:eastAsia="es-ES"/>
              </w:rPr>
              <w:t>Alejandro Sarmiento Cantillo</w:t>
            </w:r>
          </w:p>
          <w:p w14:paraId="0E6075A5" w14:textId="4C4D0DD9" w:rsidR="00CE44D5" w:rsidRPr="00CE44D5" w:rsidRDefault="00CE44D5" w:rsidP="00CE44D5">
            <w:pPr>
              <w:rPr>
                <w:rFonts w:ascii="Arial" w:hAnsi="Arial" w:cs="Arial"/>
                <w:sz w:val="14"/>
                <w:szCs w:val="14"/>
                <w:lang w:val="es-MX" w:eastAsia="es-ES"/>
              </w:rPr>
            </w:pPr>
            <w:r w:rsidRPr="00CE44D5">
              <w:rPr>
                <w:rFonts w:ascii="Arial" w:hAnsi="Arial" w:cs="Arial"/>
                <w:sz w:val="16"/>
                <w:szCs w:val="16"/>
                <w:lang w:eastAsia="es-ES"/>
              </w:rPr>
              <w:t xml:space="preserve">Gestor T1-15 de la Subdirección de Gestión Contractual </w:t>
            </w:r>
          </w:p>
        </w:tc>
      </w:tr>
      <w:tr w:rsidR="00CE44D5" w:rsidRPr="00CE44D5" w14:paraId="5D5273F4" w14:textId="77777777" w:rsidTr="004E282C">
        <w:trPr>
          <w:trHeight w:val="300"/>
        </w:trPr>
        <w:tc>
          <w:tcPr>
            <w:tcW w:w="488" w:type="dxa"/>
            <w:vAlign w:val="center"/>
            <w:hideMark/>
          </w:tcPr>
          <w:p w14:paraId="54394B6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F7482" w14:textId="2E802D55" w:rsidR="00CE44D5" w:rsidRPr="00CE44D5" w:rsidRDefault="00EB3C5E" w:rsidP="00CE44D5">
            <w:pPr>
              <w:rPr>
                <w:rFonts w:ascii="Arial" w:hAnsi="Arial" w:cs="Arial"/>
                <w:sz w:val="16"/>
                <w:szCs w:val="16"/>
                <w:lang w:eastAsia="es-ES"/>
              </w:rPr>
            </w:pPr>
            <w:r>
              <w:rPr>
                <w:rFonts w:ascii="Arial" w:hAnsi="Arial" w:cs="Arial"/>
                <w:sz w:val="16"/>
                <w:szCs w:val="16"/>
                <w:lang w:eastAsia="es-ES"/>
              </w:rPr>
              <w:t>Juan David Marín López</w:t>
            </w:r>
          </w:p>
          <w:p w14:paraId="2CF565E3" w14:textId="3A2D6FF2"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Subdirector de Gestión Contractual ANCP – CCE</w:t>
            </w:r>
            <w:r w:rsidR="00EB3C5E">
              <w:rPr>
                <w:rFonts w:ascii="Arial" w:hAnsi="Arial" w:cs="Arial"/>
                <w:sz w:val="16"/>
                <w:szCs w:val="16"/>
                <w:lang w:eastAsia="es-ES"/>
              </w:rPr>
              <w:t xml:space="preserve"> (E)</w:t>
            </w:r>
          </w:p>
        </w:tc>
      </w:tr>
    </w:tbl>
    <w:p w14:paraId="3A70A295" w14:textId="2911F0DF" w:rsidR="00CE44D5" w:rsidRDefault="00CE44D5" w:rsidP="00CB3721">
      <w:pPr>
        <w:pStyle w:val="NormalWeb"/>
        <w:spacing w:before="0" w:beforeAutospacing="0" w:after="0" w:afterAutospacing="0" w:line="276" w:lineRule="auto"/>
        <w:jc w:val="both"/>
        <w:rPr>
          <w:rFonts w:ascii="Arial" w:hAnsi="Arial" w:cs="Arial"/>
        </w:rPr>
      </w:pPr>
    </w:p>
    <w:p w14:paraId="30525169" w14:textId="77777777" w:rsidR="00CE44D5" w:rsidRPr="00CB3721" w:rsidRDefault="00CE44D5" w:rsidP="00CB3721">
      <w:pPr>
        <w:pStyle w:val="NormalWeb"/>
        <w:spacing w:before="0" w:beforeAutospacing="0" w:after="0" w:afterAutospacing="0" w:line="276" w:lineRule="auto"/>
        <w:jc w:val="both"/>
        <w:rPr>
          <w:rFonts w:ascii="Arial" w:hAnsi="Arial" w:cs="Arial"/>
        </w:rPr>
      </w:pPr>
    </w:p>
    <w:sectPr w:rsidR="00CE44D5" w:rsidRPr="00CB3721" w:rsidSect="00CE3F2A">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1AE1D" w14:textId="77777777" w:rsidR="008E2DB0" w:rsidRDefault="008E2DB0">
      <w:r>
        <w:separator/>
      </w:r>
    </w:p>
  </w:endnote>
  <w:endnote w:type="continuationSeparator" w:id="0">
    <w:p w14:paraId="52776528" w14:textId="77777777" w:rsidR="008E2DB0" w:rsidRDefault="008E2DB0">
      <w:r>
        <w:continuationSeparator/>
      </w:r>
    </w:p>
  </w:endnote>
  <w:endnote w:type="continuationNotice" w:id="1">
    <w:p w14:paraId="7BB4E5CE" w14:textId="77777777" w:rsidR="008E2DB0" w:rsidRDefault="008E2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4E282C" w:rsidRDefault="004E282C" w:rsidP="00322937">
    <w:pPr>
      <w:pStyle w:val="Sinespaciado"/>
      <w:jc w:val="right"/>
      <w:rPr>
        <w:rFonts w:ascii="Arial" w:hAnsi="Arial" w:cs="Arial"/>
        <w:sz w:val="18"/>
        <w:szCs w:val="18"/>
      </w:rPr>
    </w:pPr>
  </w:p>
  <w:p w14:paraId="7A3785F3" w14:textId="4C4DE4E9" w:rsidR="004E282C" w:rsidRPr="008217B7" w:rsidRDefault="004E282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963CD">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963CD">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4E282C" w:rsidRDefault="004E282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E282C" w:rsidRDefault="004E282C" w:rsidP="007B0854">
    <w:pPr>
      <w:pStyle w:val="Piedepgina"/>
      <w:jc w:val="center"/>
      <w:rPr>
        <w:lang w:val="es-ES"/>
      </w:rPr>
    </w:pPr>
  </w:p>
  <w:p w14:paraId="6C0EFC49" w14:textId="77777777" w:rsidR="004E282C" w:rsidRPr="007B0854" w:rsidRDefault="004E282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FC009" w14:textId="77777777" w:rsidR="008E2DB0" w:rsidRDefault="008E2DB0">
      <w:r>
        <w:separator/>
      </w:r>
    </w:p>
  </w:footnote>
  <w:footnote w:type="continuationSeparator" w:id="0">
    <w:p w14:paraId="37CC7755" w14:textId="77777777" w:rsidR="008E2DB0" w:rsidRDefault="008E2DB0">
      <w:r>
        <w:continuationSeparator/>
      </w:r>
    </w:p>
  </w:footnote>
  <w:footnote w:type="continuationNotice" w:id="1">
    <w:p w14:paraId="4BC61565" w14:textId="77777777" w:rsidR="008E2DB0" w:rsidRDefault="008E2DB0"/>
  </w:footnote>
  <w:footnote w:id="2">
    <w:p w14:paraId="6578F8B8" w14:textId="4EB08086" w:rsidR="001C75E3" w:rsidRPr="00C64D5F" w:rsidRDefault="001C75E3" w:rsidP="001C75E3">
      <w:pPr>
        <w:spacing w:before="120" w:line="276" w:lineRule="auto"/>
        <w:ind w:firstLine="709"/>
        <w:jc w:val="both"/>
        <w:rPr>
          <w:rFonts w:ascii="Arial" w:hAnsi="Arial" w:cs="Arial"/>
          <w:sz w:val="22"/>
          <w:bdr w:val="none" w:sz="0" w:space="0" w:color="auto" w:frame="1"/>
          <w:lang w:val="es-ES_tradnl"/>
        </w:rPr>
      </w:pPr>
      <w:r w:rsidRPr="00C64D5F">
        <w:rPr>
          <w:rStyle w:val="Refdenotaalpie"/>
          <w:rFonts w:ascii="Arial" w:hAnsi="Arial" w:cs="Arial"/>
          <w:sz w:val="19"/>
          <w:szCs w:val="19"/>
        </w:rPr>
        <w:footnoteRef/>
      </w:r>
      <w:r w:rsidRPr="00C64D5F">
        <w:rPr>
          <w:rFonts w:ascii="Arial" w:hAnsi="Arial" w:cs="Arial"/>
          <w:sz w:val="19"/>
          <w:szCs w:val="19"/>
        </w:rPr>
        <w:t xml:space="preserve"> Decreto 1082 de 2015. «</w:t>
      </w:r>
      <w:r w:rsidRPr="00C64D5F">
        <w:rPr>
          <w:rStyle w:val="Textoennegrita"/>
          <w:rFonts w:ascii="Arial" w:hAnsi="Arial" w:cs="Arial"/>
          <w:sz w:val="19"/>
          <w:szCs w:val="19"/>
          <w:shd w:val="clear" w:color="auto" w:fill="FFFFFF"/>
        </w:rPr>
        <w:t>Artículo 2.2.1.2.1.3.5. </w:t>
      </w:r>
      <w:r w:rsidRPr="00C64D5F">
        <w:rPr>
          <w:rStyle w:val="nfasis"/>
          <w:rFonts w:ascii="Arial" w:hAnsi="Arial" w:cs="Arial"/>
          <w:b/>
          <w:bCs/>
          <w:sz w:val="19"/>
          <w:szCs w:val="19"/>
          <w:shd w:val="clear" w:color="auto" w:fill="FFFFFF"/>
        </w:rPr>
        <w:t>Informe de precalificación.</w:t>
      </w:r>
      <w:r w:rsidRPr="00C64D5F">
        <w:rPr>
          <w:rStyle w:val="nfasis"/>
          <w:rFonts w:ascii="Arial" w:hAnsi="Arial" w:cs="Arial"/>
          <w:sz w:val="19"/>
          <w:szCs w:val="19"/>
          <w:shd w:val="clear" w:color="auto" w:fill="FFFFFF"/>
        </w:rPr>
        <w:t> </w:t>
      </w:r>
      <w:r w:rsidRPr="00C64D5F">
        <w:rPr>
          <w:rFonts w:ascii="Arial" w:hAnsi="Arial" w:cs="Arial"/>
          <w:sz w:val="19"/>
          <w:szCs w:val="19"/>
          <w:shd w:val="clear" w:color="auto" w:fill="FFFFFF"/>
        </w:rPr>
        <w:t>Luego de recibir las manifestaciones de interés y los documentos con los cuales los interesados acrediten la experiencia, formación, publi</w:t>
      </w:r>
      <w:r w:rsidRPr="00C64D5F">
        <w:rPr>
          <w:rFonts w:ascii="Arial" w:hAnsi="Arial" w:cs="Arial"/>
          <w:sz w:val="19"/>
          <w:szCs w:val="19"/>
          <w:shd w:val="clear" w:color="auto" w:fill="FFFFFF"/>
        </w:rPr>
        <w:softHyphen/>
        <w:t xml:space="preserve">caciones y la capacidad de organización, la Entidad Estatal debe adelantar la precalificación de acuerdo con lo dispuesto en el aviso de convocatoria para la precalificación. La Entidad Estatal debe elaborar un informe de precalificación y publicarlo en el SECOP por el término establecido en el aviso de convocatoria para la precalificación. Los interesados pueden hacer comentarios al informe de precalificación durante los dos (2) días hábiles siguientes a la publicación </w:t>
      </w:r>
      <w:proofErr w:type="gramStart"/>
      <w:r w:rsidRPr="00C64D5F">
        <w:rPr>
          <w:rFonts w:ascii="Arial" w:hAnsi="Arial" w:cs="Arial"/>
          <w:sz w:val="19"/>
          <w:szCs w:val="19"/>
          <w:shd w:val="clear" w:color="auto" w:fill="FFFFFF"/>
        </w:rPr>
        <w:t>del mismo</w:t>
      </w:r>
      <w:proofErr w:type="gramEnd"/>
      <w:r w:rsidRPr="00C64D5F">
        <w:rPr>
          <w:rFonts w:ascii="Arial" w:hAnsi="Arial" w:cs="Arial"/>
          <w:sz w:val="18"/>
          <w:szCs w:val="18"/>
          <w:shd w:val="clear" w:color="auto" w:fill="FFFFFF"/>
        </w:rPr>
        <w:t>.»</w:t>
      </w:r>
    </w:p>
    <w:p w14:paraId="31625ED5" w14:textId="255B6A7C" w:rsidR="001C75E3" w:rsidRPr="001C75E3" w:rsidRDefault="001C75E3">
      <w:pPr>
        <w:pStyle w:val="Textonotapie"/>
        <w:rPr>
          <w:lang w:val="es-ES_tradnl"/>
        </w:rPr>
      </w:pPr>
    </w:p>
  </w:footnote>
  <w:footnote w:id="3">
    <w:p w14:paraId="0A1CB035" w14:textId="7343DDA6" w:rsidR="00C64D5F" w:rsidRPr="00C64D5F" w:rsidRDefault="00265D5C" w:rsidP="00C64D5F">
      <w:pPr>
        <w:pStyle w:val="NormalWeb"/>
        <w:shd w:val="clear" w:color="auto" w:fill="FFFFFF"/>
        <w:spacing w:before="0" w:beforeAutospacing="0" w:after="0" w:afterAutospacing="0"/>
        <w:jc w:val="both"/>
        <w:rPr>
          <w:rFonts w:ascii="Arial" w:hAnsi="Arial" w:cs="Arial"/>
          <w:sz w:val="19"/>
          <w:szCs w:val="19"/>
          <w:lang w:eastAsia="en-US"/>
        </w:rPr>
      </w:pPr>
      <w:r w:rsidRPr="00C64D5F">
        <w:rPr>
          <w:rStyle w:val="Refdenotaalpie"/>
          <w:rFonts w:ascii="Arial" w:hAnsi="Arial" w:cs="Arial"/>
          <w:sz w:val="19"/>
          <w:szCs w:val="19"/>
        </w:rPr>
        <w:footnoteRef/>
      </w:r>
      <w:r w:rsidRPr="00C64D5F">
        <w:rPr>
          <w:rFonts w:ascii="Arial" w:hAnsi="Arial" w:cs="Arial"/>
          <w:sz w:val="19"/>
          <w:szCs w:val="19"/>
        </w:rPr>
        <w:t xml:space="preserve"> </w:t>
      </w:r>
      <w:r w:rsidR="00C64D5F" w:rsidRPr="00C64D5F">
        <w:rPr>
          <w:rFonts w:ascii="Arial" w:hAnsi="Arial" w:cs="Arial"/>
          <w:sz w:val="19"/>
          <w:szCs w:val="19"/>
        </w:rPr>
        <w:t xml:space="preserve"> Decreto 1082 de 2015. «</w:t>
      </w:r>
      <w:r w:rsidR="00C64D5F" w:rsidRPr="00C64D5F">
        <w:rPr>
          <w:rFonts w:ascii="Arial" w:hAnsi="Arial" w:cs="Arial"/>
          <w:b/>
          <w:bCs/>
          <w:sz w:val="19"/>
          <w:szCs w:val="19"/>
          <w:lang w:eastAsia="en-US"/>
        </w:rPr>
        <w:t>Artículo 2.2.1.2.1.3.6.</w:t>
      </w:r>
      <w:r w:rsidR="00C64D5F" w:rsidRPr="00C64D5F">
        <w:rPr>
          <w:rFonts w:ascii="Arial" w:hAnsi="Arial" w:cs="Arial"/>
          <w:sz w:val="19"/>
          <w:szCs w:val="19"/>
          <w:lang w:eastAsia="en-US"/>
        </w:rPr>
        <w:t> </w:t>
      </w:r>
      <w:r w:rsidR="00C64D5F" w:rsidRPr="00C64D5F">
        <w:rPr>
          <w:rFonts w:ascii="Arial" w:hAnsi="Arial" w:cs="Arial"/>
          <w:b/>
          <w:bCs/>
          <w:i/>
          <w:iCs/>
          <w:sz w:val="19"/>
          <w:szCs w:val="19"/>
          <w:lang w:eastAsia="en-US"/>
        </w:rPr>
        <w:t>Audiencia de precalificación.</w:t>
      </w:r>
      <w:r w:rsidR="00C64D5F" w:rsidRPr="00C64D5F">
        <w:rPr>
          <w:rFonts w:ascii="Arial" w:hAnsi="Arial" w:cs="Arial"/>
          <w:i/>
          <w:iCs/>
          <w:sz w:val="19"/>
          <w:szCs w:val="19"/>
          <w:lang w:eastAsia="en-US"/>
        </w:rPr>
        <w:t> </w:t>
      </w:r>
      <w:r w:rsidR="00C64D5F" w:rsidRPr="00C64D5F">
        <w:rPr>
          <w:rFonts w:ascii="Arial" w:hAnsi="Arial" w:cs="Arial"/>
          <w:sz w:val="19"/>
          <w:szCs w:val="19"/>
          <w:lang w:eastAsia="en-US"/>
        </w:rPr>
        <w:t>La Entidad Estatal debe efectuar una audien</w:t>
      </w:r>
      <w:r w:rsidR="00C64D5F" w:rsidRPr="00C64D5F">
        <w:rPr>
          <w:rFonts w:ascii="Arial" w:hAnsi="Arial" w:cs="Arial"/>
          <w:sz w:val="19"/>
          <w:szCs w:val="19"/>
          <w:lang w:eastAsia="en-US"/>
        </w:rPr>
        <w:softHyphen/>
        <w:t>cia pública en la cual conformará la lista de interesados precalificados para participar en el Proceso de Contratación respectivo. En la audiencia contestará las observaciones al informe de precalificación y notificará la lista de precalificación de acuerdo con lo establecido en la ley. Si la Entidad Estatal establece un número máximo de interesados para conformar la lista de precalificados y el número de interesados que cumple con las condiciones de pre</w:t>
      </w:r>
      <w:r w:rsidR="00C64D5F" w:rsidRPr="00C64D5F">
        <w:rPr>
          <w:rFonts w:ascii="Arial" w:hAnsi="Arial" w:cs="Arial"/>
          <w:sz w:val="19"/>
          <w:szCs w:val="19"/>
          <w:lang w:eastAsia="en-US"/>
        </w:rPr>
        <w:softHyphen/>
        <w:t>calificación es superior al máximo establecido, en la audiencia de precalificación la Entidad Estatal debe hacer el sorteo para conformar la lista, de acuerdo con lo que haya establecido en el aviso de convocatoria.</w:t>
      </w:r>
    </w:p>
    <w:p w14:paraId="0D9B1E1F" w14:textId="77777777" w:rsidR="00C64D5F" w:rsidRPr="00C64D5F" w:rsidRDefault="00C64D5F" w:rsidP="00C64D5F">
      <w:pPr>
        <w:pStyle w:val="NormalWeb"/>
        <w:shd w:val="clear" w:color="auto" w:fill="FFFFFF"/>
        <w:spacing w:before="0" w:beforeAutospacing="0" w:after="0" w:afterAutospacing="0"/>
        <w:jc w:val="both"/>
        <w:rPr>
          <w:rFonts w:ascii="Arial" w:hAnsi="Arial" w:cs="Arial"/>
          <w:sz w:val="19"/>
          <w:szCs w:val="19"/>
          <w:lang w:eastAsia="en-US"/>
        </w:rPr>
      </w:pPr>
    </w:p>
    <w:p w14:paraId="09A09B67" w14:textId="67A77CA6" w:rsidR="00C64D5F" w:rsidRPr="00C64D5F" w:rsidRDefault="00C64D5F" w:rsidP="00C64D5F">
      <w:pPr>
        <w:shd w:val="clear" w:color="auto" w:fill="FFFFFF"/>
        <w:spacing w:after="150"/>
        <w:jc w:val="both"/>
        <w:rPr>
          <w:rFonts w:ascii="Arial" w:hAnsi="Arial" w:cs="Arial"/>
          <w:sz w:val="19"/>
          <w:szCs w:val="19"/>
          <w:lang w:eastAsia="en-US"/>
        </w:rPr>
      </w:pPr>
      <w:r w:rsidRPr="00C64D5F">
        <w:rPr>
          <w:rFonts w:ascii="Arial" w:hAnsi="Arial" w:cs="Arial"/>
          <w:sz w:val="19"/>
          <w:szCs w:val="19"/>
          <w:lang w:eastAsia="en-US"/>
        </w:rPr>
        <w:t>» Si la Entidad Estatal no puede conformar la lista de precalificados, puede continuar con el Proceso de Contratación en la modalidad de concurso de méritos abierto o sin precalificación.»</w:t>
      </w:r>
    </w:p>
    <w:p w14:paraId="108E9077" w14:textId="0A129C22" w:rsidR="00265D5C" w:rsidRPr="00C64D5F" w:rsidRDefault="00265D5C">
      <w:pPr>
        <w:pStyle w:val="Textonotapie"/>
        <w:rPr>
          <w:rFonts w:ascii="Arial" w:hAnsi="Arial" w:cs="Arial"/>
          <w:sz w:val="19"/>
          <w:szCs w:val="19"/>
          <w:lang w:val="es-CO"/>
        </w:rPr>
      </w:pPr>
    </w:p>
  </w:footnote>
  <w:footnote w:id="4">
    <w:p w14:paraId="13CDF668" w14:textId="77777777" w:rsidR="00B41139" w:rsidRPr="00D514F4" w:rsidRDefault="00B41139" w:rsidP="00B41139">
      <w:pPr>
        <w:pStyle w:val="Textonotapie"/>
        <w:ind w:firstLine="709"/>
        <w:jc w:val="both"/>
        <w:rPr>
          <w:rFonts w:ascii="Arial" w:eastAsia="Calibri" w:hAnsi="Arial" w:cs="Arial"/>
          <w:color w:val="000000" w:themeColor="text1"/>
          <w:sz w:val="19"/>
          <w:szCs w:val="19"/>
          <w:lang w:val="es-ES" w:eastAsia="es-ES" w:bidi="es-ES"/>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w:t>
      </w:r>
      <w:r w:rsidRPr="00D514F4">
        <w:rPr>
          <w:rFonts w:ascii="Arial" w:eastAsia="Calibri" w:hAnsi="Arial" w:cs="Arial"/>
          <w:color w:val="000000" w:themeColor="text1"/>
          <w:sz w:val="19"/>
          <w:szCs w:val="19"/>
          <w:lang w:val="es-ES" w:eastAsia="es-ES" w:bidi="es-ES"/>
        </w:rPr>
        <w:t>Decreto 4170 de 2011. «Artículo 3. Funciones. La Agencia Nacional de Contratación Pública –Colombia Compra Eficiente– ejercerá las siguientes funciones:</w:t>
      </w:r>
    </w:p>
    <w:p w14:paraId="5F72BB43" w14:textId="77777777" w:rsidR="00B41139" w:rsidRPr="00D514F4" w:rsidRDefault="00B41139" w:rsidP="00B41139">
      <w:pPr>
        <w:pStyle w:val="Textonotapie"/>
        <w:ind w:firstLine="709"/>
        <w:jc w:val="both"/>
        <w:rPr>
          <w:rFonts w:ascii="Arial" w:eastAsia="Calibri" w:hAnsi="Arial" w:cs="Arial"/>
          <w:color w:val="000000" w:themeColor="text1"/>
          <w:sz w:val="19"/>
          <w:szCs w:val="19"/>
          <w:lang w:val="es-ES" w:eastAsia="es-ES" w:bidi="es-ES"/>
        </w:rPr>
      </w:pPr>
      <w:r w:rsidRPr="00D514F4">
        <w:rPr>
          <w:rFonts w:ascii="Arial" w:eastAsia="Calibri" w:hAnsi="Arial" w:cs="Arial"/>
          <w:color w:val="000000" w:themeColor="text1"/>
          <w:sz w:val="19"/>
          <w:szCs w:val="19"/>
          <w:lang w:val="es-ES" w:eastAsia="es-ES" w:bidi="es-ES"/>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5">
    <w:p w14:paraId="4F86DE1E" w14:textId="77777777" w:rsidR="00B41139" w:rsidRPr="00D514F4" w:rsidRDefault="00B41139" w:rsidP="00B41139">
      <w:pPr>
        <w:pStyle w:val="Textonotapie"/>
        <w:ind w:firstLine="709"/>
        <w:jc w:val="both"/>
        <w:rPr>
          <w:rFonts w:ascii="Arial" w:hAnsi="Arial" w:cs="Arial"/>
          <w:color w:val="000000" w:themeColor="text1"/>
          <w:sz w:val="19"/>
          <w:szCs w:val="19"/>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Términos y condiciones de uso del SECOP II, en </w:t>
      </w:r>
    </w:p>
    <w:p w14:paraId="04040A81" w14:textId="77777777" w:rsidR="00B41139" w:rsidRPr="00D514F4" w:rsidRDefault="00B41139" w:rsidP="00B41139">
      <w:pPr>
        <w:pStyle w:val="Textonotapie"/>
        <w:ind w:firstLine="709"/>
        <w:jc w:val="both"/>
        <w:rPr>
          <w:rFonts w:ascii="Arial" w:hAnsi="Arial" w:cs="Arial"/>
          <w:color w:val="000000" w:themeColor="text1"/>
          <w:sz w:val="19"/>
          <w:szCs w:val="19"/>
          <w:lang w:val="es-CO"/>
        </w:rPr>
      </w:pPr>
      <w:r w:rsidRPr="00D514F4">
        <w:rPr>
          <w:rFonts w:ascii="Arial" w:hAnsi="Arial" w:cs="Arial"/>
          <w:color w:val="000000" w:themeColor="text1"/>
          <w:sz w:val="19"/>
          <w:szCs w:val="19"/>
        </w:rPr>
        <w:t>https://www.colombiacompra.gov.co/secop/terminos-y-condiciones</w:t>
      </w:r>
    </w:p>
  </w:footnote>
  <w:footnote w:id="6">
    <w:p w14:paraId="2A13B608" w14:textId="77777777" w:rsidR="00B41139" w:rsidRPr="00D514F4" w:rsidRDefault="00B41139" w:rsidP="00B41139">
      <w:pPr>
        <w:ind w:firstLine="709"/>
        <w:jc w:val="both"/>
        <w:rPr>
          <w:rFonts w:ascii="Arial" w:hAnsi="Arial" w:cs="Arial"/>
          <w:color w:val="000000" w:themeColor="text1"/>
          <w:sz w:val="19"/>
          <w:szCs w:val="19"/>
          <w:lang w:eastAsia="es-ES"/>
        </w:rPr>
      </w:pPr>
      <w:r w:rsidRPr="00D514F4">
        <w:rPr>
          <w:rStyle w:val="Refdenotaalpie"/>
          <w:rFonts w:ascii="Arial" w:hAnsi="Arial" w:cs="Arial"/>
          <w:color w:val="000000" w:themeColor="text1"/>
          <w:sz w:val="19"/>
          <w:szCs w:val="19"/>
        </w:rPr>
        <w:footnoteRef/>
      </w:r>
      <w:r w:rsidRPr="00D514F4">
        <w:rPr>
          <w:rFonts w:ascii="Arial" w:hAnsi="Arial" w:cs="Arial"/>
          <w:color w:val="000000" w:themeColor="text1"/>
          <w:sz w:val="19"/>
          <w:szCs w:val="19"/>
        </w:rPr>
        <w:t xml:space="preserve"> </w:t>
      </w:r>
      <w:r w:rsidRPr="00D514F4">
        <w:rPr>
          <w:rFonts w:ascii="Arial" w:hAnsi="Arial" w:cs="Arial"/>
          <w:color w:val="000000" w:themeColor="text1"/>
          <w:sz w:val="19"/>
          <w:szCs w:val="19"/>
          <w:lang w:eastAsia="es-ES"/>
        </w:rPr>
        <w:t>«10. Términos de la presentación de ofertas y las manifestaciones de interés.</w:t>
      </w:r>
    </w:p>
    <w:p w14:paraId="513B091A" w14:textId="77777777" w:rsidR="00B41139" w:rsidRPr="00D514F4" w:rsidRDefault="00B41139" w:rsidP="00B41139">
      <w:pPr>
        <w:ind w:firstLine="709"/>
        <w:jc w:val="both"/>
        <w:rPr>
          <w:rFonts w:ascii="Arial" w:hAnsi="Arial" w:cs="Arial"/>
          <w:color w:val="000000" w:themeColor="text1"/>
          <w:sz w:val="19"/>
          <w:szCs w:val="19"/>
          <w:lang w:eastAsia="es-ES"/>
        </w:rPr>
      </w:pPr>
      <w:proofErr w:type="gramStart"/>
      <w:r w:rsidRPr="00D514F4">
        <w:rPr>
          <w:rFonts w:ascii="Arial" w:hAnsi="Arial" w:cs="Arial"/>
          <w:color w:val="000000" w:themeColor="text1"/>
          <w:sz w:val="19"/>
          <w:szCs w:val="19"/>
          <w:lang w:eastAsia="es-ES"/>
        </w:rPr>
        <w:t>»Los</w:t>
      </w:r>
      <w:proofErr w:type="gramEnd"/>
      <w:r w:rsidRPr="00D514F4">
        <w:rPr>
          <w:rFonts w:ascii="Arial" w:hAnsi="Arial" w:cs="Arial"/>
          <w:color w:val="000000" w:themeColor="text1"/>
          <w:sz w:val="19"/>
          <w:szCs w:val="19"/>
          <w:lang w:eastAsia="es-ES"/>
        </w:rPr>
        <w:t xml:space="preserve"> Usuarios del SECOP II deben tener en cuenta para la presentación de las ofertas por medio de la plataforma las siguientes indicaciones.</w:t>
      </w:r>
    </w:p>
    <w:p w14:paraId="60D90D20" w14:textId="77777777" w:rsidR="00B41139" w:rsidRPr="00D514F4" w:rsidRDefault="00B41139" w:rsidP="00B41139">
      <w:pPr>
        <w:pStyle w:val="Prrafodelista"/>
        <w:ind w:left="0" w:firstLine="709"/>
        <w:jc w:val="both"/>
        <w:rPr>
          <w:rFonts w:ascii="Arial" w:eastAsia="Times New Roman" w:hAnsi="Arial" w:cs="Arial"/>
          <w:color w:val="000000" w:themeColor="text1"/>
          <w:sz w:val="19"/>
          <w:szCs w:val="19"/>
          <w:lang w:eastAsia="es-ES"/>
        </w:rPr>
      </w:pPr>
      <w:proofErr w:type="gramStart"/>
      <w:r w:rsidRPr="00D514F4">
        <w:rPr>
          <w:rFonts w:ascii="Arial" w:eastAsia="Times New Roman" w:hAnsi="Arial" w:cs="Arial"/>
          <w:color w:val="000000" w:themeColor="text1"/>
          <w:sz w:val="19"/>
          <w:szCs w:val="19"/>
          <w:lang w:val="es-CO" w:eastAsia="es-ES"/>
        </w:rPr>
        <w:t>»a</w:t>
      </w:r>
      <w:proofErr w:type="gramEnd"/>
      <w:r w:rsidRPr="00D514F4">
        <w:rPr>
          <w:rFonts w:ascii="Arial" w:eastAsia="Times New Roman" w:hAnsi="Arial" w:cs="Arial"/>
          <w:color w:val="000000" w:themeColor="text1"/>
          <w:sz w:val="19"/>
          <w:szCs w:val="19"/>
          <w:lang w:val="es-CO" w:eastAsia="es-ES"/>
        </w:rPr>
        <w:t xml:space="preserve">) </w:t>
      </w:r>
      <w:r w:rsidRPr="00D514F4">
        <w:rPr>
          <w:rFonts w:ascii="Arial" w:eastAsia="Times New Roman" w:hAnsi="Arial" w:cs="Arial"/>
          <w:color w:val="000000" w:themeColor="text1"/>
          <w:sz w:val="19"/>
          <w:szCs w:val="19"/>
          <w:lang w:eastAsia="es-ES"/>
        </w:rPr>
        <w:t>Es necesario suscribirse al proceso de contratación para presentar interés y para enviar ofertas.</w:t>
      </w:r>
    </w:p>
    <w:p w14:paraId="01D966EF" w14:textId="77777777" w:rsidR="00B41139" w:rsidRPr="00D514F4" w:rsidRDefault="00B41139" w:rsidP="00B41139">
      <w:pPr>
        <w:pStyle w:val="Prrafodelista"/>
        <w:ind w:left="0" w:firstLine="709"/>
        <w:jc w:val="both"/>
        <w:rPr>
          <w:rFonts w:ascii="Arial" w:eastAsia="Times New Roman" w:hAnsi="Arial" w:cs="Arial"/>
          <w:color w:val="000000" w:themeColor="text1"/>
          <w:sz w:val="19"/>
          <w:szCs w:val="19"/>
          <w:lang w:eastAsia="es-ES"/>
        </w:rPr>
      </w:pPr>
      <w:proofErr w:type="gramStart"/>
      <w:r w:rsidRPr="00D514F4">
        <w:rPr>
          <w:rFonts w:ascii="Arial" w:eastAsia="Times New Roman" w:hAnsi="Arial" w:cs="Arial"/>
          <w:color w:val="000000" w:themeColor="text1"/>
          <w:sz w:val="19"/>
          <w:szCs w:val="19"/>
          <w:lang w:eastAsia="es-ES"/>
        </w:rPr>
        <w:t>»b</w:t>
      </w:r>
      <w:proofErr w:type="gramEnd"/>
      <w:r w:rsidRPr="00D514F4">
        <w:rPr>
          <w:rFonts w:ascii="Arial" w:eastAsia="Times New Roman" w:hAnsi="Arial" w:cs="Arial"/>
          <w:color w:val="000000" w:themeColor="text1"/>
          <w:sz w:val="19"/>
          <w:szCs w:val="19"/>
          <w:lang w:eastAsia="es-ES"/>
        </w:rPr>
        <w:t>) Si después de manifestar interés el proveedor retira su suscripción del proceso de contratación, la manifestación de interés no quedará registrada y el proveedor no podrá enviar oferta.</w:t>
      </w:r>
    </w:p>
    <w:p w14:paraId="0C4E9E4B" w14:textId="77777777" w:rsidR="00B41139" w:rsidRPr="00D514F4" w:rsidRDefault="00B41139" w:rsidP="00B41139">
      <w:pPr>
        <w:pStyle w:val="Prrafodelista"/>
        <w:ind w:left="0" w:firstLine="709"/>
        <w:jc w:val="both"/>
        <w:rPr>
          <w:rFonts w:ascii="Arial" w:eastAsia="Times New Roman" w:hAnsi="Arial" w:cs="Arial"/>
          <w:color w:val="000000" w:themeColor="text1"/>
          <w:sz w:val="19"/>
          <w:szCs w:val="19"/>
          <w:lang w:eastAsia="es-ES"/>
        </w:rPr>
      </w:pPr>
      <w:r w:rsidRPr="00D514F4">
        <w:rPr>
          <w:rFonts w:ascii="Arial" w:eastAsia="Times New Roman" w:hAnsi="Arial" w:cs="Arial"/>
          <w:color w:val="000000" w:themeColor="text1"/>
          <w:sz w:val="19"/>
          <w:szCs w:val="19"/>
          <w:lang w:eastAsia="es-ES"/>
        </w:rPr>
        <w:t>[…]</w:t>
      </w:r>
    </w:p>
    <w:p w14:paraId="3F1B50F5" w14:textId="77777777" w:rsidR="00B41139" w:rsidRPr="00D514F4" w:rsidRDefault="00B41139" w:rsidP="00B41139">
      <w:pPr>
        <w:pStyle w:val="Prrafodelista"/>
        <w:ind w:left="0" w:firstLine="709"/>
        <w:jc w:val="both"/>
        <w:rPr>
          <w:rFonts w:ascii="Arial" w:eastAsia="Times New Roman" w:hAnsi="Arial" w:cs="Arial"/>
          <w:color w:val="000000" w:themeColor="text1"/>
          <w:sz w:val="19"/>
          <w:szCs w:val="19"/>
          <w:lang w:eastAsia="es-ES"/>
        </w:rPr>
      </w:pPr>
      <w:proofErr w:type="gramStart"/>
      <w:r w:rsidRPr="00D514F4">
        <w:rPr>
          <w:rFonts w:ascii="Arial" w:eastAsia="Times New Roman" w:hAnsi="Arial" w:cs="Arial"/>
          <w:color w:val="000000" w:themeColor="text1"/>
          <w:sz w:val="19"/>
          <w:szCs w:val="19"/>
          <w:lang w:eastAsia="es-ES"/>
        </w:rPr>
        <w:t>»j</w:t>
      </w:r>
      <w:proofErr w:type="gramEnd"/>
      <w:r w:rsidRPr="00D514F4">
        <w:rPr>
          <w:rFonts w:ascii="Arial" w:eastAsia="Times New Roman" w:hAnsi="Arial" w:cs="Arial"/>
          <w:color w:val="000000" w:themeColor="text1"/>
          <w:sz w:val="19"/>
          <w:szCs w:val="19"/>
          <w:lang w:eastAsia="es-ES"/>
        </w:rPr>
        <w:t>) En la modalidad de selección abreviada de menor cuantía, para presentar oferta como proponente plural, el proponente debe manifestar interés como proponente plural (es decir desde la cuenta del proponente plural conformado a través de la plataforma).</w:t>
      </w:r>
    </w:p>
    <w:p w14:paraId="15FD89D5" w14:textId="77777777" w:rsidR="00B41139" w:rsidRPr="00D514F4" w:rsidRDefault="00B41139" w:rsidP="00B41139">
      <w:pPr>
        <w:pStyle w:val="Prrafodelista"/>
        <w:ind w:left="0" w:firstLine="709"/>
        <w:jc w:val="both"/>
        <w:rPr>
          <w:rFonts w:ascii="Arial" w:eastAsia="Times New Roman" w:hAnsi="Arial" w:cs="Arial"/>
          <w:color w:val="000000" w:themeColor="text1"/>
          <w:sz w:val="19"/>
          <w:szCs w:val="19"/>
          <w:lang w:eastAsia="es-ES"/>
        </w:rPr>
      </w:pPr>
      <w:proofErr w:type="gramStart"/>
      <w:r w:rsidRPr="00D514F4">
        <w:rPr>
          <w:rFonts w:ascii="Arial" w:eastAsia="Times New Roman" w:hAnsi="Arial" w:cs="Arial"/>
          <w:color w:val="000000" w:themeColor="text1"/>
          <w:sz w:val="19"/>
          <w:szCs w:val="19"/>
          <w:lang w:eastAsia="es-ES"/>
        </w:rPr>
        <w:t>»k</w:t>
      </w:r>
      <w:proofErr w:type="gramEnd"/>
      <w:r w:rsidRPr="00D514F4">
        <w:rPr>
          <w:rFonts w:ascii="Arial" w:eastAsia="Times New Roman" w:hAnsi="Arial" w:cs="Arial"/>
          <w:color w:val="000000" w:themeColor="text1"/>
          <w:sz w:val="19"/>
          <w:szCs w:val="19"/>
          <w:lang w:eastAsia="es-ES"/>
        </w:rPr>
        <w:t>) No son válidas las manifestaciones de interés presentadas por mensaje dentro de la plataforma o correo electrónico, excepto debido a una falla general o específica de la plataforma certificada por Colombia Compra Eficiente.</w:t>
      </w:r>
    </w:p>
    <w:p w14:paraId="3A9D7BD5" w14:textId="77777777" w:rsidR="00B41139" w:rsidRPr="00D514F4" w:rsidRDefault="00B41139" w:rsidP="00B41139">
      <w:pPr>
        <w:pStyle w:val="Prrafodelista"/>
        <w:ind w:left="0" w:firstLine="709"/>
        <w:jc w:val="both"/>
        <w:rPr>
          <w:rFonts w:ascii="Arial" w:eastAsia="Times New Roman" w:hAnsi="Arial" w:cs="Arial"/>
          <w:color w:val="000000" w:themeColor="text1"/>
          <w:sz w:val="19"/>
          <w:szCs w:val="19"/>
          <w:lang w:eastAsia="es-ES"/>
        </w:rPr>
      </w:pPr>
      <w:r>
        <w:rPr>
          <w:rFonts w:ascii="Arial" w:eastAsia="Times New Roman" w:hAnsi="Arial" w:cs="Arial"/>
          <w:color w:val="000000" w:themeColor="text1"/>
          <w:sz w:val="19"/>
          <w:szCs w:val="19"/>
          <w:lang w:eastAsia="es-ES"/>
        </w:rPr>
        <w:t>»</w:t>
      </w:r>
      <w:r w:rsidRPr="00D514F4">
        <w:rPr>
          <w:rFonts w:ascii="Arial" w:eastAsia="Times New Roman" w:hAnsi="Arial" w:cs="Arial"/>
          <w:color w:val="000000" w:themeColor="text1"/>
          <w:sz w:val="19"/>
          <w:szCs w:val="19"/>
          <w:lang w:eastAsia="es-ES"/>
        </w:rPr>
        <w:t>[…]</w:t>
      </w:r>
      <w:r>
        <w:rPr>
          <w:rFonts w:ascii="Arial" w:eastAsia="Times New Roman" w:hAnsi="Arial" w:cs="Arial"/>
          <w:color w:val="000000" w:themeColor="text1"/>
          <w:sz w:val="19"/>
          <w:szCs w:val="19"/>
          <w:lang w:eastAsia="es-ES"/>
        </w:rPr>
        <w:t>»</w:t>
      </w:r>
      <w:r w:rsidRPr="00D514F4">
        <w:rPr>
          <w:rFonts w:ascii="Arial" w:eastAsia="Times New Roman" w:hAnsi="Arial" w:cs="Arial"/>
          <w:color w:val="000000" w:themeColor="text1"/>
          <w:sz w:val="19"/>
          <w:szCs w:val="19"/>
          <w:lang w:eastAsia="es-ES"/>
        </w:rPr>
        <w:t>.</w:t>
      </w:r>
    </w:p>
  </w:footnote>
  <w:footnote w:id="7">
    <w:p w14:paraId="56E1AD9B" w14:textId="77777777" w:rsidR="00690AAF" w:rsidRPr="00C62A26" w:rsidRDefault="00690AAF" w:rsidP="00690AAF">
      <w:pPr>
        <w:pStyle w:val="Textonotapie"/>
        <w:ind w:firstLine="708"/>
        <w:jc w:val="both"/>
        <w:rPr>
          <w:rFonts w:ascii="Arial" w:hAnsi="Arial" w:cs="Arial"/>
          <w:sz w:val="19"/>
          <w:szCs w:val="19"/>
        </w:rPr>
      </w:pPr>
      <w:r w:rsidRPr="00C62A26">
        <w:rPr>
          <w:rStyle w:val="Refdenotaalpie"/>
          <w:rFonts w:ascii="Arial" w:hAnsi="Arial" w:cs="Arial"/>
          <w:sz w:val="19"/>
          <w:szCs w:val="19"/>
        </w:rPr>
        <w:footnoteRef/>
      </w:r>
      <w:r w:rsidRPr="00C62A26">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adoptados mediante la Resolución 241 de 2020, por parte de la Agencia Nacional de Contratación Pública Colombia Compra Eficiente, incluyen la siguiente causal de rechazo en dicho pliego tipo: «X. </w:t>
      </w:r>
      <w:r w:rsidRPr="00C62A26">
        <w:rPr>
          <w:rFonts w:ascii="Arial" w:eastAsiaTheme="minorEastAsia" w:hAnsi="Arial" w:cs="Arial"/>
          <w:color w:val="000000" w:themeColor="text1"/>
          <w:sz w:val="19"/>
          <w:szCs w:val="19"/>
          <w:lang w:eastAsia="es-CO"/>
        </w:rPr>
        <w:t>Que el proponente no haya presentado la manifestación de interés para participar en el proceso de selección, y aun así haya presentado propuesta».</w:t>
      </w:r>
    </w:p>
    <w:p w14:paraId="2ACDFA30" w14:textId="77777777" w:rsidR="00690AAF" w:rsidRPr="00C62A26" w:rsidRDefault="00690AAF" w:rsidP="00690AAF">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E282C" w:rsidRDefault="004E282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1"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5"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0"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3"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1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9"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7"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6"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0"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05867651">
    <w:abstractNumId w:val="17"/>
  </w:num>
  <w:num w:numId="2" w16cid:durableId="573587035">
    <w:abstractNumId w:val="15"/>
  </w:num>
  <w:num w:numId="3" w16cid:durableId="124741221">
    <w:abstractNumId w:val="24"/>
  </w:num>
  <w:num w:numId="4" w16cid:durableId="211968772">
    <w:abstractNumId w:val="30"/>
  </w:num>
  <w:num w:numId="5" w16cid:durableId="457991927">
    <w:abstractNumId w:val="34"/>
  </w:num>
  <w:num w:numId="6" w16cid:durableId="189742442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6036178">
    <w:abstractNumId w:val="32"/>
  </w:num>
  <w:num w:numId="8" w16cid:durableId="1315917343">
    <w:abstractNumId w:val="1"/>
  </w:num>
  <w:num w:numId="9" w16cid:durableId="1508129236">
    <w:abstractNumId w:val="10"/>
  </w:num>
  <w:num w:numId="10" w16cid:durableId="20238919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60240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0481597">
    <w:abstractNumId w:val="16"/>
  </w:num>
  <w:num w:numId="13" w16cid:durableId="1262448802">
    <w:abstractNumId w:val="22"/>
  </w:num>
  <w:num w:numId="14" w16cid:durableId="1631788073">
    <w:abstractNumId w:val="14"/>
  </w:num>
  <w:num w:numId="15" w16cid:durableId="547911407">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098189">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7441930">
    <w:abstractNumId w:val="37"/>
  </w:num>
  <w:num w:numId="18" w16cid:durableId="67384942">
    <w:abstractNumId w:val="25"/>
  </w:num>
  <w:num w:numId="19" w16cid:durableId="473185003">
    <w:abstractNumId w:val="7"/>
  </w:num>
  <w:num w:numId="20" w16cid:durableId="514149837">
    <w:abstractNumId w:val="38"/>
  </w:num>
  <w:num w:numId="21" w16cid:durableId="1297251772">
    <w:abstractNumId w:val="29"/>
  </w:num>
  <w:num w:numId="22" w16cid:durableId="1715080601">
    <w:abstractNumId w:val="12"/>
  </w:num>
  <w:num w:numId="23" w16cid:durableId="1258445498">
    <w:abstractNumId w:val="11"/>
  </w:num>
  <w:num w:numId="24" w16cid:durableId="1122112071">
    <w:abstractNumId w:val="35"/>
  </w:num>
  <w:num w:numId="25" w16cid:durableId="721949318">
    <w:abstractNumId w:val="31"/>
  </w:num>
  <w:num w:numId="26" w16cid:durableId="519979145">
    <w:abstractNumId w:val="9"/>
  </w:num>
  <w:num w:numId="27" w16cid:durableId="791247854">
    <w:abstractNumId w:val="26"/>
  </w:num>
  <w:num w:numId="28" w16cid:durableId="20830930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08892872">
    <w:abstractNumId w:val="21"/>
  </w:num>
  <w:num w:numId="30" w16cid:durableId="624849673">
    <w:abstractNumId w:val="2"/>
  </w:num>
  <w:num w:numId="31" w16cid:durableId="1950316244">
    <w:abstractNumId w:val="0"/>
  </w:num>
  <w:num w:numId="32" w16cid:durableId="1303270988">
    <w:abstractNumId w:val="23"/>
  </w:num>
  <w:num w:numId="33" w16cid:durableId="1771701438">
    <w:abstractNumId w:val="4"/>
  </w:num>
  <w:num w:numId="34" w16cid:durableId="1715274982">
    <w:abstractNumId w:val="3"/>
  </w:num>
  <w:num w:numId="35" w16cid:durableId="1762949718">
    <w:abstractNumId w:val="28"/>
  </w:num>
  <w:num w:numId="36" w16cid:durableId="293675934">
    <w:abstractNumId w:val="27"/>
  </w:num>
  <w:num w:numId="37" w16cid:durableId="2072270485">
    <w:abstractNumId w:val="8"/>
  </w:num>
  <w:num w:numId="38" w16cid:durableId="690763502">
    <w:abstractNumId w:val="13"/>
  </w:num>
  <w:num w:numId="39" w16cid:durableId="456073147">
    <w:abstractNumId w:val="40"/>
  </w:num>
  <w:num w:numId="40" w16cid:durableId="1102411312">
    <w:abstractNumId w:val="36"/>
  </w:num>
  <w:num w:numId="41" w16cid:durableId="1542860083">
    <w:abstractNumId w:val="20"/>
  </w:num>
  <w:num w:numId="42" w16cid:durableId="599918691">
    <w:abstractNumId w:val="19"/>
  </w:num>
  <w:num w:numId="43" w16cid:durableId="849565735">
    <w:abstractNumId w:val="5"/>
  </w:num>
  <w:num w:numId="44" w16cid:durableId="184261839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27AAA"/>
    <w:rsid w:val="00030E2A"/>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1C2"/>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2DE0"/>
    <w:rsid w:val="00063AD6"/>
    <w:rsid w:val="000640AF"/>
    <w:rsid w:val="00064940"/>
    <w:rsid w:val="00064CAE"/>
    <w:rsid w:val="00064DB7"/>
    <w:rsid w:val="00064FA7"/>
    <w:rsid w:val="00065195"/>
    <w:rsid w:val="0006536C"/>
    <w:rsid w:val="00065706"/>
    <w:rsid w:val="00065D20"/>
    <w:rsid w:val="0006626E"/>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40B"/>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6E0A"/>
    <w:rsid w:val="000A73BB"/>
    <w:rsid w:val="000A73E8"/>
    <w:rsid w:val="000A7EF4"/>
    <w:rsid w:val="000B081A"/>
    <w:rsid w:val="000B0A15"/>
    <w:rsid w:val="000B103F"/>
    <w:rsid w:val="000B1437"/>
    <w:rsid w:val="000B1470"/>
    <w:rsid w:val="000B17EC"/>
    <w:rsid w:val="000B244D"/>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6288"/>
    <w:rsid w:val="000D753A"/>
    <w:rsid w:val="000D7541"/>
    <w:rsid w:val="000D75E1"/>
    <w:rsid w:val="000E0266"/>
    <w:rsid w:val="000E14CE"/>
    <w:rsid w:val="000E1FF3"/>
    <w:rsid w:val="000E22CF"/>
    <w:rsid w:val="000E2977"/>
    <w:rsid w:val="000E2CC0"/>
    <w:rsid w:val="000E30AC"/>
    <w:rsid w:val="000E3B46"/>
    <w:rsid w:val="000E3E11"/>
    <w:rsid w:val="000E44ED"/>
    <w:rsid w:val="000E4596"/>
    <w:rsid w:val="000E4B94"/>
    <w:rsid w:val="000E4D50"/>
    <w:rsid w:val="000E5768"/>
    <w:rsid w:val="000E5843"/>
    <w:rsid w:val="000E5948"/>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A40"/>
    <w:rsid w:val="000F722C"/>
    <w:rsid w:val="000F7E8F"/>
    <w:rsid w:val="000F7FBB"/>
    <w:rsid w:val="001000FB"/>
    <w:rsid w:val="00100A9E"/>
    <w:rsid w:val="00100F6A"/>
    <w:rsid w:val="001010D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96"/>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0823"/>
    <w:rsid w:val="00131B5A"/>
    <w:rsid w:val="00132C30"/>
    <w:rsid w:val="00132EFD"/>
    <w:rsid w:val="001331E1"/>
    <w:rsid w:val="00133AED"/>
    <w:rsid w:val="00133CA2"/>
    <w:rsid w:val="001345AE"/>
    <w:rsid w:val="00134BCD"/>
    <w:rsid w:val="00134E09"/>
    <w:rsid w:val="001350AB"/>
    <w:rsid w:val="001359CF"/>
    <w:rsid w:val="00135DB9"/>
    <w:rsid w:val="00135E49"/>
    <w:rsid w:val="0013695C"/>
    <w:rsid w:val="00136BF7"/>
    <w:rsid w:val="00136C78"/>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ACB"/>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204"/>
    <w:rsid w:val="0016685F"/>
    <w:rsid w:val="0016712F"/>
    <w:rsid w:val="00167503"/>
    <w:rsid w:val="001676A9"/>
    <w:rsid w:val="00167A15"/>
    <w:rsid w:val="00167A50"/>
    <w:rsid w:val="00167D1A"/>
    <w:rsid w:val="00167DF5"/>
    <w:rsid w:val="00167ED3"/>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BD"/>
    <w:rsid w:val="001904E3"/>
    <w:rsid w:val="0019087A"/>
    <w:rsid w:val="00191C5A"/>
    <w:rsid w:val="00191CEB"/>
    <w:rsid w:val="00191E63"/>
    <w:rsid w:val="00192D68"/>
    <w:rsid w:val="00192E04"/>
    <w:rsid w:val="00192F9B"/>
    <w:rsid w:val="0019388B"/>
    <w:rsid w:val="00193ADE"/>
    <w:rsid w:val="00193B9A"/>
    <w:rsid w:val="00193EEE"/>
    <w:rsid w:val="001940ED"/>
    <w:rsid w:val="001946AE"/>
    <w:rsid w:val="001946D5"/>
    <w:rsid w:val="00194E8C"/>
    <w:rsid w:val="001962EC"/>
    <w:rsid w:val="001963CD"/>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54CD"/>
    <w:rsid w:val="001A5F12"/>
    <w:rsid w:val="001A66DF"/>
    <w:rsid w:val="001A67D0"/>
    <w:rsid w:val="001A6863"/>
    <w:rsid w:val="001A7591"/>
    <w:rsid w:val="001A75B1"/>
    <w:rsid w:val="001A7B06"/>
    <w:rsid w:val="001B0366"/>
    <w:rsid w:val="001B0444"/>
    <w:rsid w:val="001B06E9"/>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5E3"/>
    <w:rsid w:val="001C7C7B"/>
    <w:rsid w:val="001D00F7"/>
    <w:rsid w:val="001D068D"/>
    <w:rsid w:val="001D12D1"/>
    <w:rsid w:val="001D15DF"/>
    <w:rsid w:val="001D1DFF"/>
    <w:rsid w:val="001D2EEE"/>
    <w:rsid w:val="001D30F3"/>
    <w:rsid w:val="001D31A0"/>
    <w:rsid w:val="001D338E"/>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C13"/>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00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D5C"/>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CF4"/>
    <w:rsid w:val="002920DF"/>
    <w:rsid w:val="002929BB"/>
    <w:rsid w:val="00293D2F"/>
    <w:rsid w:val="00294368"/>
    <w:rsid w:val="00294B78"/>
    <w:rsid w:val="00295416"/>
    <w:rsid w:val="002956FB"/>
    <w:rsid w:val="00295949"/>
    <w:rsid w:val="00295AE0"/>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EA5"/>
    <w:rsid w:val="002A3132"/>
    <w:rsid w:val="002A3482"/>
    <w:rsid w:val="002A39B5"/>
    <w:rsid w:val="002A3D94"/>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C20"/>
    <w:rsid w:val="002C24B4"/>
    <w:rsid w:val="002C2B3A"/>
    <w:rsid w:val="002C2B87"/>
    <w:rsid w:val="002C3CF4"/>
    <w:rsid w:val="002C441A"/>
    <w:rsid w:val="002C456E"/>
    <w:rsid w:val="002C4A73"/>
    <w:rsid w:val="002C4B84"/>
    <w:rsid w:val="002C4C0C"/>
    <w:rsid w:val="002C5016"/>
    <w:rsid w:val="002C5C2F"/>
    <w:rsid w:val="002C5D0F"/>
    <w:rsid w:val="002C60B9"/>
    <w:rsid w:val="002C6CF2"/>
    <w:rsid w:val="002C6F77"/>
    <w:rsid w:val="002C704D"/>
    <w:rsid w:val="002C7102"/>
    <w:rsid w:val="002D0845"/>
    <w:rsid w:val="002D0933"/>
    <w:rsid w:val="002D19BB"/>
    <w:rsid w:val="002D1A9B"/>
    <w:rsid w:val="002D20F8"/>
    <w:rsid w:val="002D21A1"/>
    <w:rsid w:val="002D22BD"/>
    <w:rsid w:val="002D22C5"/>
    <w:rsid w:val="002D233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2C3F"/>
    <w:rsid w:val="002E2CB5"/>
    <w:rsid w:val="002E2D7D"/>
    <w:rsid w:val="002E32D0"/>
    <w:rsid w:val="002E3C26"/>
    <w:rsid w:val="002E3D76"/>
    <w:rsid w:val="002E3DC6"/>
    <w:rsid w:val="002E3FF4"/>
    <w:rsid w:val="002E40A1"/>
    <w:rsid w:val="002E48EC"/>
    <w:rsid w:val="002E4B44"/>
    <w:rsid w:val="002E4ECB"/>
    <w:rsid w:val="002E4F23"/>
    <w:rsid w:val="002E512C"/>
    <w:rsid w:val="002E56D4"/>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CB4"/>
    <w:rsid w:val="00300E24"/>
    <w:rsid w:val="00301742"/>
    <w:rsid w:val="00302CDD"/>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0F"/>
    <w:rsid w:val="00313447"/>
    <w:rsid w:val="00313748"/>
    <w:rsid w:val="003137DE"/>
    <w:rsid w:val="00313C96"/>
    <w:rsid w:val="00313E3D"/>
    <w:rsid w:val="00313EA3"/>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501E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4012"/>
    <w:rsid w:val="0037401C"/>
    <w:rsid w:val="0037507B"/>
    <w:rsid w:val="00375C7C"/>
    <w:rsid w:val="00375DA0"/>
    <w:rsid w:val="003765ED"/>
    <w:rsid w:val="00377027"/>
    <w:rsid w:val="00377135"/>
    <w:rsid w:val="00380272"/>
    <w:rsid w:val="003805DB"/>
    <w:rsid w:val="003808A9"/>
    <w:rsid w:val="003814ED"/>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B7458"/>
    <w:rsid w:val="003C046A"/>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6719"/>
    <w:rsid w:val="003D6B8F"/>
    <w:rsid w:val="003D7566"/>
    <w:rsid w:val="003E0224"/>
    <w:rsid w:val="003E09BB"/>
    <w:rsid w:val="003E159D"/>
    <w:rsid w:val="003E19A0"/>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487"/>
    <w:rsid w:val="00405730"/>
    <w:rsid w:val="00405B8A"/>
    <w:rsid w:val="00405DEC"/>
    <w:rsid w:val="0040602B"/>
    <w:rsid w:val="0040606C"/>
    <w:rsid w:val="004060DC"/>
    <w:rsid w:val="004067D6"/>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37E6E"/>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3D8F"/>
    <w:rsid w:val="00444038"/>
    <w:rsid w:val="0044500B"/>
    <w:rsid w:val="00445A6D"/>
    <w:rsid w:val="00446037"/>
    <w:rsid w:val="004463DB"/>
    <w:rsid w:val="0044642F"/>
    <w:rsid w:val="00446FBF"/>
    <w:rsid w:val="0044772C"/>
    <w:rsid w:val="00447C1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A6A"/>
    <w:rsid w:val="00470D73"/>
    <w:rsid w:val="00470D92"/>
    <w:rsid w:val="0047179C"/>
    <w:rsid w:val="00471DF7"/>
    <w:rsid w:val="004721A4"/>
    <w:rsid w:val="004734CF"/>
    <w:rsid w:val="0047586C"/>
    <w:rsid w:val="00475C5A"/>
    <w:rsid w:val="00475C9C"/>
    <w:rsid w:val="00475D79"/>
    <w:rsid w:val="0047676B"/>
    <w:rsid w:val="0047773C"/>
    <w:rsid w:val="004777DF"/>
    <w:rsid w:val="00477C5F"/>
    <w:rsid w:val="00480050"/>
    <w:rsid w:val="0048011C"/>
    <w:rsid w:val="00480170"/>
    <w:rsid w:val="004808DE"/>
    <w:rsid w:val="00481680"/>
    <w:rsid w:val="00481AC4"/>
    <w:rsid w:val="00481DC1"/>
    <w:rsid w:val="00482507"/>
    <w:rsid w:val="0048268A"/>
    <w:rsid w:val="004831B1"/>
    <w:rsid w:val="00483379"/>
    <w:rsid w:val="004835CA"/>
    <w:rsid w:val="004836F8"/>
    <w:rsid w:val="004836FE"/>
    <w:rsid w:val="004839EB"/>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114B"/>
    <w:rsid w:val="004912A8"/>
    <w:rsid w:val="00491577"/>
    <w:rsid w:val="004917DD"/>
    <w:rsid w:val="004918E1"/>
    <w:rsid w:val="0049196A"/>
    <w:rsid w:val="0049196E"/>
    <w:rsid w:val="0049241A"/>
    <w:rsid w:val="00492C1F"/>
    <w:rsid w:val="00492E4C"/>
    <w:rsid w:val="00493664"/>
    <w:rsid w:val="004938FD"/>
    <w:rsid w:val="00493E04"/>
    <w:rsid w:val="004940E3"/>
    <w:rsid w:val="004947B8"/>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716E"/>
    <w:rsid w:val="004E023F"/>
    <w:rsid w:val="004E0546"/>
    <w:rsid w:val="004E0742"/>
    <w:rsid w:val="004E0C64"/>
    <w:rsid w:val="004E0F6B"/>
    <w:rsid w:val="004E133F"/>
    <w:rsid w:val="004E1545"/>
    <w:rsid w:val="004E1F1C"/>
    <w:rsid w:val="004E282C"/>
    <w:rsid w:val="004E2A35"/>
    <w:rsid w:val="004E40CE"/>
    <w:rsid w:val="004E5736"/>
    <w:rsid w:val="004E5A3C"/>
    <w:rsid w:val="004E5B36"/>
    <w:rsid w:val="004E5D5D"/>
    <w:rsid w:val="004E6045"/>
    <w:rsid w:val="004E6F43"/>
    <w:rsid w:val="004E7120"/>
    <w:rsid w:val="004E7200"/>
    <w:rsid w:val="004E787E"/>
    <w:rsid w:val="004E7AA1"/>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930"/>
    <w:rsid w:val="004F5970"/>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5DCB"/>
    <w:rsid w:val="005075CA"/>
    <w:rsid w:val="00507B06"/>
    <w:rsid w:val="00507BF1"/>
    <w:rsid w:val="0051074C"/>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FD3"/>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0E4"/>
    <w:rsid w:val="00545E30"/>
    <w:rsid w:val="00545EA3"/>
    <w:rsid w:val="00546C9B"/>
    <w:rsid w:val="00547AD6"/>
    <w:rsid w:val="00547BF6"/>
    <w:rsid w:val="00547FB3"/>
    <w:rsid w:val="005500D4"/>
    <w:rsid w:val="00551098"/>
    <w:rsid w:val="00551598"/>
    <w:rsid w:val="0055162B"/>
    <w:rsid w:val="00551A56"/>
    <w:rsid w:val="00551BFF"/>
    <w:rsid w:val="00551D68"/>
    <w:rsid w:val="00551DFF"/>
    <w:rsid w:val="00552491"/>
    <w:rsid w:val="005525C9"/>
    <w:rsid w:val="00552B3E"/>
    <w:rsid w:val="005535B9"/>
    <w:rsid w:val="00554D57"/>
    <w:rsid w:val="00554DF6"/>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271F"/>
    <w:rsid w:val="00573355"/>
    <w:rsid w:val="0057337D"/>
    <w:rsid w:val="00573504"/>
    <w:rsid w:val="00573B84"/>
    <w:rsid w:val="00573BA3"/>
    <w:rsid w:val="005746B2"/>
    <w:rsid w:val="00574708"/>
    <w:rsid w:val="00574D81"/>
    <w:rsid w:val="005756AA"/>
    <w:rsid w:val="00575AE3"/>
    <w:rsid w:val="00576097"/>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6412"/>
    <w:rsid w:val="005864B9"/>
    <w:rsid w:val="005866C4"/>
    <w:rsid w:val="005873BE"/>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5FF"/>
    <w:rsid w:val="005C084F"/>
    <w:rsid w:val="005C0EE9"/>
    <w:rsid w:val="005C0FC4"/>
    <w:rsid w:val="005C16A8"/>
    <w:rsid w:val="005C1716"/>
    <w:rsid w:val="005C1954"/>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5CEB"/>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E70"/>
    <w:rsid w:val="0065339A"/>
    <w:rsid w:val="00653469"/>
    <w:rsid w:val="00653A14"/>
    <w:rsid w:val="00653A35"/>
    <w:rsid w:val="0065443A"/>
    <w:rsid w:val="00654A38"/>
    <w:rsid w:val="00655301"/>
    <w:rsid w:val="00655371"/>
    <w:rsid w:val="00655507"/>
    <w:rsid w:val="00656855"/>
    <w:rsid w:val="00656C4B"/>
    <w:rsid w:val="00656EEE"/>
    <w:rsid w:val="006572A7"/>
    <w:rsid w:val="006573EA"/>
    <w:rsid w:val="006606A4"/>
    <w:rsid w:val="00660748"/>
    <w:rsid w:val="0066087C"/>
    <w:rsid w:val="00661029"/>
    <w:rsid w:val="006610C3"/>
    <w:rsid w:val="0066135A"/>
    <w:rsid w:val="006617AB"/>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E42"/>
    <w:rsid w:val="0067271C"/>
    <w:rsid w:val="00672E80"/>
    <w:rsid w:val="0067333F"/>
    <w:rsid w:val="006734EE"/>
    <w:rsid w:val="006739E4"/>
    <w:rsid w:val="00673DD7"/>
    <w:rsid w:val="00673ECF"/>
    <w:rsid w:val="0067426B"/>
    <w:rsid w:val="00674A1B"/>
    <w:rsid w:val="00674D3C"/>
    <w:rsid w:val="00674E0F"/>
    <w:rsid w:val="00674F1C"/>
    <w:rsid w:val="006754F8"/>
    <w:rsid w:val="00675579"/>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5CE"/>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87F38"/>
    <w:rsid w:val="00690839"/>
    <w:rsid w:val="006908DB"/>
    <w:rsid w:val="00690AAF"/>
    <w:rsid w:val="00690DE9"/>
    <w:rsid w:val="00691563"/>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665"/>
    <w:rsid w:val="006978E1"/>
    <w:rsid w:val="00697C9A"/>
    <w:rsid w:val="00697E68"/>
    <w:rsid w:val="00697FC1"/>
    <w:rsid w:val="006A0274"/>
    <w:rsid w:val="006A063D"/>
    <w:rsid w:val="006A101E"/>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6BA"/>
    <w:rsid w:val="006E2C34"/>
    <w:rsid w:val="006E359B"/>
    <w:rsid w:val="006E39D1"/>
    <w:rsid w:val="006E3B05"/>
    <w:rsid w:val="006E437F"/>
    <w:rsid w:val="006E4D5B"/>
    <w:rsid w:val="006E602F"/>
    <w:rsid w:val="006E6720"/>
    <w:rsid w:val="006E7275"/>
    <w:rsid w:val="006E76C7"/>
    <w:rsid w:val="006E77B8"/>
    <w:rsid w:val="006E77DF"/>
    <w:rsid w:val="006E7AAF"/>
    <w:rsid w:val="006F0F74"/>
    <w:rsid w:val="006F13BA"/>
    <w:rsid w:val="006F15CC"/>
    <w:rsid w:val="006F15F6"/>
    <w:rsid w:val="006F2AE6"/>
    <w:rsid w:val="006F36EA"/>
    <w:rsid w:val="006F3D9B"/>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0835"/>
    <w:rsid w:val="00711019"/>
    <w:rsid w:val="007110F4"/>
    <w:rsid w:val="007112B1"/>
    <w:rsid w:val="0071130F"/>
    <w:rsid w:val="007116C4"/>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3E9F"/>
    <w:rsid w:val="007341D8"/>
    <w:rsid w:val="00734952"/>
    <w:rsid w:val="00734990"/>
    <w:rsid w:val="00734FF5"/>
    <w:rsid w:val="00735233"/>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5B1"/>
    <w:rsid w:val="0077768C"/>
    <w:rsid w:val="00777696"/>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E71"/>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28A1"/>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229"/>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AE3"/>
    <w:rsid w:val="007D3C6D"/>
    <w:rsid w:val="007D4050"/>
    <w:rsid w:val="007D481A"/>
    <w:rsid w:val="007D4ED0"/>
    <w:rsid w:val="007D5648"/>
    <w:rsid w:val="007D58C5"/>
    <w:rsid w:val="007D5DE8"/>
    <w:rsid w:val="007D7B1C"/>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D9D"/>
    <w:rsid w:val="00805292"/>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A60"/>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66A0"/>
    <w:rsid w:val="00847535"/>
    <w:rsid w:val="00847B6D"/>
    <w:rsid w:val="00850542"/>
    <w:rsid w:val="0085092D"/>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D8"/>
    <w:rsid w:val="00871E3C"/>
    <w:rsid w:val="00871EF3"/>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4FB"/>
    <w:rsid w:val="008A2A23"/>
    <w:rsid w:val="008A2AF5"/>
    <w:rsid w:val="008A2B5A"/>
    <w:rsid w:val="008A3156"/>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543"/>
    <w:rsid w:val="008B263F"/>
    <w:rsid w:val="008B2BE2"/>
    <w:rsid w:val="008B3045"/>
    <w:rsid w:val="008B3F6B"/>
    <w:rsid w:val="008B47A6"/>
    <w:rsid w:val="008B4C7B"/>
    <w:rsid w:val="008B5C7C"/>
    <w:rsid w:val="008B63FE"/>
    <w:rsid w:val="008B672C"/>
    <w:rsid w:val="008B733E"/>
    <w:rsid w:val="008B7781"/>
    <w:rsid w:val="008B7B98"/>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2DB0"/>
    <w:rsid w:val="008E30C4"/>
    <w:rsid w:val="008E38B4"/>
    <w:rsid w:val="008E3BA4"/>
    <w:rsid w:val="008E3CC4"/>
    <w:rsid w:val="008E3F88"/>
    <w:rsid w:val="008E44AB"/>
    <w:rsid w:val="008E4CAE"/>
    <w:rsid w:val="008E5179"/>
    <w:rsid w:val="008E5208"/>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6603"/>
    <w:rsid w:val="008F71AB"/>
    <w:rsid w:val="008F7905"/>
    <w:rsid w:val="008F7989"/>
    <w:rsid w:val="00900E28"/>
    <w:rsid w:val="00901F1D"/>
    <w:rsid w:val="009028E8"/>
    <w:rsid w:val="00902E5C"/>
    <w:rsid w:val="0090363E"/>
    <w:rsid w:val="00903E0D"/>
    <w:rsid w:val="009046E5"/>
    <w:rsid w:val="009047C5"/>
    <w:rsid w:val="0090783B"/>
    <w:rsid w:val="00910683"/>
    <w:rsid w:val="00910E00"/>
    <w:rsid w:val="00910E04"/>
    <w:rsid w:val="009116CE"/>
    <w:rsid w:val="00911714"/>
    <w:rsid w:val="00911D04"/>
    <w:rsid w:val="00911EFF"/>
    <w:rsid w:val="00912294"/>
    <w:rsid w:val="00912747"/>
    <w:rsid w:val="0091310F"/>
    <w:rsid w:val="009136D4"/>
    <w:rsid w:val="0091480F"/>
    <w:rsid w:val="00914B9A"/>
    <w:rsid w:val="00914C3F"/>
    <w:rsid w:val="00914E27"/>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805"/>
    <w:rsid w:val="00921BE2"/>
    <w:rsid w:val="00921E63"/>
    <w:rsid w:val="00922379"/>
    <w:rsid w:val="00922B4A"/>
    <w:rsid w:val="00923396"/>
    <w:rsid w:val="00923F56"/>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3E8"/>
    <w:rsid w:val="0094562F"/>
    <w:rsid w:val="00945994"/>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ED"/>
    <w:rsid w:val="0098022F"/>
    <w:rsid w:val="009810DE"/>
    <w:rsid w:val="0098152C"/>
    <w:rsid w:val="00981B91"/>
    <w:rsid w:val="009822D7"/>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22DA"/>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743"/>
    <w:rsid w:val="009B2E29"/>
    <w:rsid w:val="009B3163"/>
    <w:rsid w:val="009B35AE"/>
    <w:rsid w:val="009B422F"/>
    <w:rsid w:val="009B46BC"/>
    <w:rsid w:val="009B4B66"/>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BD3"/>
    <w:rsid w:val="00A06E4A"/>
    <w:rsid w:val="00A070E9"/>
    <w:rsid w:val="00A07327"/>
    <w:rsid w:val="00A073F1"/>
    <w:rsid w:val="00A078FB"/>
    <w:rsid w:val="00A07CDC"/>
    <w:rsid w:val="00A101E1"/>
    <w:rsid w:val="00A1036D"/>
    <w:rsid w:val="00A1069F"/>
    <w:rsid w:val="00A10ACA"/>
    <w:rsid w:val="00A10D08"/>
    <w:rsid w:val="00A11BB6"/>
    <w:rsid w:val="00A11E78"/>
    <w:rsid w:val="00A12355"/>
    <w:rsid w:val="00A12574"/>
    <w:rsid w:val="00A127D2"/>
    <w:rsid w:val="00A1284E"/>
    <w:rsid w:val="00A130A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664E"/>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0CB9"/>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3D22"/>
    <w:rsid w:val="00AC46B0"/>
    <w:rsid w:val="00AC484F"/>
    <w:rsid w:val="00AC4B20"/>
    <w:rsid w:val="00AC56F2"/>
    <w:rsid w:val="00AC5897"/>
    <w:rsid w:val="00AC5E21"/>
    <w:rsid w:val="00AC6408"/>
    <w:rsid w:val="00AC71C3"/>
    <w:rsid w:val="00AC7C7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6ECF"/>
    <w:rsid w:val="00AD7619"/>
    <w:rsid w:val="00AD76A1"/>
    <w:rsid w:val="00AD7770"/>
    <w:rsid w:val="00AE01F3"/>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10"/>
    <w:rsid w:val="00AF16CA"/>
    <w:rsid w:val="00AF186E"/>
    <w:rsid w:val="00AF19D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C23"/>
    <w:rsid w:val="00B33F86"/>
    <w:rsid w:val="00B345B4"/>
    <w:rsid w:val="00B348B1"/>
    <w:rsid w:val="00B34A28"/>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139"/>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FBF"/>
    <w:rsid w:val="00B70803"/>
    <w:rsid w:val="00B70832"/>
    <w:rsid w:val="00B7087F"/>
    <w:rsid w:val="00B70B39"/>
    <w:rsid w:val="00B70C92"/>
    <w:rsid w:val="00B71376"/>
    <w:rsid w:val="00B716D7"/>
    <w:rsid w:val="00B717E5"/>
    <w:rsid w:val="00B72110"/>
    <w:rsid w:val="00B72217"/>
    <w:rsid w:val="00B72B91"/>
    <w:rsid w:val="00B73019"/>
    <w:rsid w:val="00B7315F"/>
    <w:rsid w:val="00B7323A"/>
    <w:rsid w:val="00B7353B"/>
    <w:rsid w:val="00B737FB"/>
    <w:rsid w:val="00B73E5D"/>
    <w:rsid w:val="00B73EF3"/>
    <w:rsid w:val="00B7423D"/>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56F"/>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9B"/>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FB3"/>
    <w:rsid w:val="00C132D2"/>
    <w:rsid w:val="00C138BC"/>
    <w:rsid w:val="00C13D85"/>
    <w:rsid w:val="00C1427C"/>
    <w:rsid w:val="00C1453D"/>
    <w:rsid w:val="00C145FE"/>
    <w:rsid w:val="00C14639"/>
    <w:rsid w:val="00C14E82"/>
    <w:rsid w:val="00C14F05"/>
    <w:rsid w:val="00C14FF6"/>
    <w:rsid w:val="00C157FE"/>
    <w:rsid w:val="00C15A85"/>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2F7C"/>
    <w:rsid w:val="00C2338B"/>
    <w:rsid w:val="00C233CE"/>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4D5F"/>
    <w:rsid w:val="00C65151"/>
    <w:rsid w:val="00C657F4"/>
    <w:rsid w:val="00C6598D"/>
    <w:rsid w:val="00C660FE"/>
    <w:rsid w:val="00C66119"/>
    <w:rsid w:val="00C66292"/>
    <w:rsid w:val="00C66ADF"/>
    <w:rsid w:val="00C66B7D"/>
    <w:rsid w:val="00C67265"/>
    <w:rsid w:val="00C672A3"/>
    <w:rsid w:val="00C672F1"/>
    <w:rsid w:val="00C673D0"/>
    <w:rsid w:val="00C6742E"/>
    <w:rsid w:val="00C67B0B"/>
    <w:rsid w:val="00C67C0E"/>
    <w:rsid w:val="00C70012"/>
    <w:rsid w:val="00C7141C"/>
    <w:rsid w:val="00C71744"/>
    <w:rsid w:val="00C71E2A"/>
    <w:rsid w:val="00C733BA"/>
    <w:rsid w:val="00C74306"/>
    <w:rsid w:val="00C760DC"/>
    <w:rsid w:val="00C8082B"/>
    <w:rsid w:val="00C80AA3"/>
    <w:rsid w:val="00C81A88"/>
    <w:rsid w:val="00C81BD5"/>
    <w:rsid w:val="00C81D46"/>
    <w:rsid w:val="00C81E4E"/>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C3A"/>
    <w:rsid w:val="00CB2D38"/>
    <w:rsid w:val="00CB31B4"/>
    <w:rsid w:val="00CB3721"/>
    <w:rsid w:val="00CB3725"/>
    <w:rsid w:val="00CB4137"/>
    <w:rsid w:val="00CB50D0"/>
    <w:rsid w:val="00CB52D0"/>
    <w:rsid w:val="00CB5578"/>
    <w:rsid w:val="00CB5671"/>
    <w:rsid w:val="00CB56EB"/>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0E7B"/>
    <w:rsid w:val="00CF1226"/>
    <w:rsid w:val="00CF1ABB"/>
    <w:rsid w:val="00CF1E1D"/>
    <w:rsid w:val="00CF24FE"/>
    <w:rsid w:val="00CF287F"/>
    <w:rsid w:val="00CF35D0"/>
    <w:rsid w:val="00CF3B57"/>
    <w:rsid w:val="00CF3DD5"/>
    <w:rsid w:val="00CF3F14"/>
    <w:rsid w:val="00CF3F3F"/>
    <w:rsid w:val="00CF4AF7"/>
    <w:rsid w:val="00CF4D0E"/>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2F79"/>
    <w:rsid w:val="00D1306E"/>
    <w:rsid w:val="00D130B7"/>
    <w:rsid w:val="00D134CD"/>
    <w:rsid w:val="00D1488B"/>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43A"/>
    <w:rsid w:val="00D4073C"/>
    <w:rsid w:val="00D40DB0"/>
    <w:rsid w:val="00D41093"/>
    <w:rsid w:val="00D41858"/>
    <w:rsid w:val="00D41DB1"/>
    <w:rsid w:val="00D422DB"/>
    <w:rsid w:val="00D42AC2"/>
    <w:rsid w:val="00D4498E"/>
    <w:rsid w:val="00D4515F"/>
    <w:rsid w:val="00D451E8"/>
    <w:rsid w:val="00D45230"/>
    <w:rsid w:val="00D466C9"/>
    <w:rsid w:val="00D47275"/>
    <w:rsid w:val="00D5160B"/>
    <w:rsid w:val="00D517F6"/>
    <w:rsid w:val="00D51AB7"/>
    <w:rsid w:val="00D51E15"/>
    <w:rsid w:val="00D5211B"/>
    <w:rsid w:val="00D522CB"/>
    <w:rsid w:val="00D52B7E"/>
    <w:rsid w:val="00D52E2F"/>
    <w:rsid w:val="00D52F59"/>
    <w:rsid w:val="00D53445"/>
    <w:rsid w:val="00D53D54"/>
    <w:rsid w:val="00D53E3E"/>
    <w:rsid w:val="00D54620"/>
    <w:rsid w:val="00D54A86"/>
    <w:rsid w:val="00D55904"/>
    <w:rsid w:val="00D5614E"/>
    <w:rsid w:val="00D5616F"/>
    <w:rsid w:val="00D5636D"/>
    <w:rsid w:val="00D56C96"/>
    <w:rsid w:val="00D57940"/>
    <w:rsid w:val="00D60327"/>
    <w:rsid w:val="00D61384"/>
    <w:rsid w:val="00D61526"/>
    <w:rsid w:val="00D61B44"/>
    <w:rsid w:val="00D61C39"/>
    <w:rsid w:val="00D61F81"/>
    <w:rsid w:val="00D6200A"/>
    <w:rsid w:val="00D620A6"/>
    <w:rsid w:val="00D62BE6"/>
    <w:rsid w:val="00D63766"/>
    <w:rsid w:val="00D63912"/>
    <w:rsid w:val="00D63923"/>
    <w:rsid w:val="00D6451B"/>
    <w:rsid w:val="00D64B57"/>
    <w:rsid w:val="00D64E46"/>
    <w:rsid w:val="00D651A1"/>
    <w:rsid w:val="00D652C0"/>
    <w:rsid w:val="00D65DEA"/>
    <w:rsid w:val="00D6650F"/>
    <w:rsid w:val="00D66579"/>
    <w:rsid w:val="00D676D3"/>
    <w:rsid w:val="00D67B06"/>
    <w:rsid w:val="00D67BC7"/>
    <w:rsid w:val="00D701F1"/>
    <w:rsid w:val="00D705D3"/>
    <w:rsid w:val="00D70E00"/>
    <w:rsid w:val="00D70F7C"/>
    <w:rsid w:val="00D715AC"/>
    <w:rsid w:val="00D7176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223C"/>
    <w:rsid w:val="00D82B57"/>
    <w:rsid w:val="00D82CE5"/>
    <w:rsid w:val="00D831E3"/>
    <w:rsid w:val="00D8342C"/>
    <w:rsid w:val="00D834BC"/>
    <w:rsid w:val="00D83751"/>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234D"/>
    <w:rsid w:val="00D92B91"/>
    <w:rsid w:val="00D9310B"/>
    <w:rsid w:val="00D931F3"/>
    <w:rsid w:val="00D9363F"/>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5FD"/>
    <w:rsid w:val="00DC0954"/>
    <w:rsid w:val="00DC0DF8"/>
    <w:rsid w:val="00DC15BA"/>
    <w:rsid w:val="00DC18CD"/>
    <w:rsid w:val="00DC1A68"/>
    <w:rsid w:val="00DC23E5"/>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3119"/>
    <w:rsid w:val="00DE3E0B"/>
    <w:rsid w:val="00DE3FF0"/>
    <w:rsid w:val="00DE4105"/>
    <w:rsid w:val="00DE4BE9"/>
    <w:rsid w:val="00DE5189"/>
    <w:rsid w:val="00DE6D5C"/>
    <w:rsid w:val="00DE7108"/>
    <w:rsid w:val="00DE771D"/>
    <w:rsid w:val="00DE7862"/>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5B9B"/>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042"/>
    <w:rsid w:val="00E07225"/>
    <w:rsid w:val="00E076B4"/>
    <w:rsid w:val="00E07B55"/>
    <w:rsid w:val="00E10579"/>
    <w:rsid w:val="00E109DD"/>
    <w:rsid w:val="00E11229"/>
    <w:rsid w:val="00E114CA"/>
    <w:rsid w:val="00E127D1"/>
    <w:rsid w:val="00E13867"/>
    <w:rsid w:val="00E1397F"/>
    <w:rsid w:val="00E13AB8"/>
    <w:rsid w:val="00E1482E"/>
    <w:rsid w:val="00E14FD0"/>
    <w:rsid w:val="00E162D7"/>
    <w:rsid w:val="00E16382"/>
    <w:rsid w:val="00E1699C"/>
    <w:rsid w:val="00E16E75"/>
    <w:rsid w:val="00E1746D"/>
    <w:rsid w:val="00E174E8"/>
    <w:rsid w:val="00E2012A"/>
    <w:rsid w:val="00E205A2"/>
    <w:rsid w:val="00E205DC"/>
    <w:rsid w:val="00E20BA4"/>
    <w:rsid w:val="00E210D0"/>
    <w:rsid w:val="00E21575"/>
    <w:rsid w:val="00E23137"/>
    <w:rsid w:val="00E23980"/>
    <w:rsid w:val="00E241E9"/>
    <w:rsid w:val="00E24CD0"/>
    <w:rsid w:val="00E257C3"/>
    <w:rsid w:val="00E25A2C"/>
    <w:rsid w:val="00E25CB3"/>
    <w:rsid w:val="00E25DA4"/>
    <w:rsid w:val="00E26237"/>
    <w:rsid w:val="00E26CB8"/>
    <w:rsid w:val="00E26D16"/>
    <w:rsid w:val="00E26FCF"/>
    <w:rsid w:val="00E27165"/>
    <w:rsid w:val="00E275D9"/>
    <w:rsid w:val="00E3044A"/>
    <w:rsid w:val="00E30E49"/>
    <w:rsid w:val="00E31A4A"/>
    <w:rsid w:val="00E32B61"/>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1AF1"/>
    <w:rsid w:val="00E424C8"/>
    <w:rsid w:val="00E4251D"/>
    <w:rsid w:val="00E42AD9"/>
    <w:rsid w:val="00E43D00"/>
    <w:rsid w:val="00E443B4"/>
    <w:rsid w:val="00E445E4"/>
    <w:rsid w:val="00E457CB"/>
    <w:rsid w:val="00E45D47"/>
    <w:rsid w:val="00E45DE4"/>
    <w:rsid w:val="00E45E63"/>
    <w:rsid w:val="00E4759C"/>
    <w:rsid w:val="00E50A7B"/>
    <w:rsid w:val="00E50B0B"/>
    <w:rsid w:val="00E50C57"/>
    <w:rsid w:val="00E510FE"/>
    <w:rsid w:val="00E514BA"/>
    <w:rsid w:val="00E51705"/>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8A9"/>
    <w:rsid w:val="00E630A2"/>
    <w:rsid w:val="00E630C0"/>
    <w:rsid w:val="00E63107"/>
    <w:rsid w:val="00E6312C"/>
    <w:rsid w:val="00E634E6"/>
    <w:rsid w:val="00E63DCE"/>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41E"/>
    <w:rsid w:val="00E92460"/>
    <w:rsid w:val="00E924FE"/>
    <w:rsid w:val="00E92E62"/>
    <w:rsid w:val="00E92E75"/>
    <w:rsid w:val="00E93073"/>
    <w:rsid w:val="00E93804"/>
    <w:rsid w:val="00E9429D"/>
    <w:rsid w:val="00E9477D"/>
    <w:rsid w:val="00E95434"/>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8CD"/>
    <w:rsid w:val="00EA39F7"/>
    <w:rsid w:val="00EA3AB4"/>
    <w:rsid w:val="00EA3DC2"/>
    <w:rsid w:val="00EA434E"/>
    <w:rsid w:val="00EA4395"/>
    <w:rsid w:val="00EA4757"/>
    <w:rsid w:val="00EA560B"/>
    <w:rsid w:val="00EA5669"/>
    <w:rsid w:val="00EA57BD"/>
    <w:rsid w:val="00EA5CC6"/>
    <w:rsid w:val="00EA63EF"/>
    <w:rsid w:val="00EA7182"/>
    <w:rsid w:val="00EA76ED"/>
    <w:rsid w:val="00EA7CBF"/>
    <w:rsid w:val="00EB0329"/>
    <w:rsid w:val="00EB0923"/>
    <w:rsid w:val="00EB0A89"/>
    <w:rsid w:val="00EB1573"/>
    <w:rsid w:val="00EB185F"/>
    <w:rsid w:val="00EB1910"/>
    <w:rsid w:val="00EB2D83"/>
    <w:rsid w:val="00EB2E97"/>
    <w:rsid w:val="00EB3416"/>
    <w:rsid w:val="00EB3AA6"/>
    <w:rsid w:val="00EB3C5E"/>
    <w:rsid w:val="00EB45AE"/>
    <w:rsid w:val="00EB4AE1"/>
    <w:rsid w:val="00EB52F4"/>
    <w:rsid w:val="00EB5694"/>
    <w:rsid w:val="00EB5779"/>
    <w:rsid w:val="00EB5D2F"/>
    <w:rsid w:val="00EB67F1"/>
    <w:rsid w:val="00EB6848"/>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2"/>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56B"/>
    <w:rsid w:val="00EF0E50"/>
    <w:rsid w:val="00EF0EA4"/>
    <w:rsid w:val="00EF1E97"/>
    <w:rsid w:val="00EF2436"/>
    <w:rsid w:val="00EF2547"/>
    <w:rsid w:val="00EF2942"/>
    <w:rsid w:val="00EF29D9"/>
    <w:rsid w:val="00EF2B2B"/>
    <w:rsid w:val="00EF2E1C"/>
    <w:rsid w:val="00EF2EE2"/>
    <w:rsid w:val="00EF2FD6"/>
    <w:rsid w:val="00EF326A"/>
    <w:rsid w:val="00EF36C2"/>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F"/>
    <w:rsid w:val="00F37068"/>
    <w:rsid w:val="00F371E2"/>
    <w:rsid w:val="00F37F3F"/>
    <w:rsid w:val="00F40992"/>
    <w:rsid w:val="00F409C4"/>
    <w:rsid w:val="00F409C6"/>
    <w:rsid w:val="00F40C84"/>
    <w:rsid w:val="00F40F72"/>
    <w:rsid w:val="00F41065"/>
    <w:rsid w:val="00F41596"/>
    <w:rsid w:val="00F41B60"/>
    <w:rsid w:val="00F41D8B"/>
    <w:rsid w:val="00F42121"/>
    <w:rsid w:val="00F424B3"/>
    <w:rsid w:val="00F428B1"/>
    <w:rsid w:val="00F428B4"/>
    <w:rsid w:val="00F433CB"/>
    <w:rsid w:val="00F4345D"/>
    <w:rsid w:val="00F4387B"/>
    <w:rsid w:val="00F45138"/>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1606"/>
    <w:rsid w:val="00F8297B"/>
    <w:rsid w:val="00F82E49"/>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2985034">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8724B8-C634-419B-A1E1-C6DA5FE2056F}">
  <ds:schemaRefs>
    <ds:schemaRef ds:uri="http://schemas.openxmlformats.org/officeDocument/2006/bibliography"/>
  </ds:schemaRefs>
</ds:datastoreItem>
</file>

<file path=customXml/itemProps2.xml><?xml version="1.0" encoding="utf-8"?>
<ds:datastoreItem xmlns:ds="http://schemas.openxmlformats.org/officeDocument/2006/customXml" ds:itemID="{8A51DDCC-FA0F-498D-90D0-69C54B9296FD}"/>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consultas.dotm</Template>
  <TotalTime>1</TotalTime>
  <Pages>11</Pages>
  <Words>4124</Words>
  <Characters>22687</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Leidy Johana Avila Arias</cp:lastModifiedBy>
  <cp:revision>2</cp:revision>
  <cp:lastPrinted>2020-01-30T15:05:00Z</cp:lastPrinted>
  <dcterms:created xsi:type="dcterms:W3CDTF">2022-10-13T15:05:00Z</dcterms:created>
  <dcterms:modified xsi:type="dcterms:W3CDTF">2022-10-13T15:05:00Z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