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5E345" w14:textId="77777777" w:rsidR="001F224B" w:rsidRPr="00DE2B01" w:rsidRDefault="001F224B" w:rsidP="001F224B">
      <w:pPr>
        <w:spacing w:after="0" w:line="240" w:lineRule="auto"/>
        <w:jc w:val="both"/>
        <w:rPr>
          <w:rFonts w:ascii="Century Gothic" w:eastAsia="Calibri" w:hAnsi="Century Gothic" w:cs="Arial"/>
          <w:b/>
          <w:lang w:eastAsia="es-CO"/>
        </w:rPr>
      </w:pPr>
      <w:bookmarkStart w:id="0" w:name="_Hlk143780582"/>
      <w:r w:rsidRPr="00DE2B01">
        <w:rPr>
          <w:rFonts w:ascii="Century Gothic" w:eastAsia="Calibri" w:hAnsi="Century Gothic" w:cs="Arial"/>
          <w:b/>
          <w:lang w:eastAsia="es-ES_tradnl"/>
        </w:rPr>
        <w:t>COLOMBIA COMPRA EFICIENTE – Competencia Consultiva – Contratación Estatal – Normas Generales – Alcance – No vinculante</w:t>
      </w:r>
    </w:p>
    <w:p w14:paraId="72CC935F" w14:textId="77777777" w:rsidR="001F224B" w:rsidRPr="00DE2B01" w:rsidRDefault="001F224B" w:rsidP="001F224B">
      <w:pPr>
        <w:spacing w:after="0" w:line="240" w:lineRule="auto"/>
        <w:jc w:val="both"/>
        <w:rPr>
          <w:rFonts w:ascii="Century Gothic" w:eastAsia="Times New Roman" w:hAnsi="Century Gothic" w:cs="Arial"/>
          <w:sz w:val="20"/>
          <w:szCs w:val="20"/>
          <w:lang w:eastAsia="es-ES_tradnl"/>
        </w:rPr>
      </w:pPr>
    </w:p>
    <w:p w14:paraId="2D3EA464" w14:textId="77777777" w:rsidR="001F224B" w:rsidRPr="00DE2B01" w:rsidRDefault="001F224B" w:rsidP="001F224B">
      <w:pPr>
        <w:spacing w:after="120" w:line="240" w:lineRule="auto"/>
        <w:jc w:val="both"/>
        <w:rPr>
          <w:rFonts w:ascii="Century Gothic" w:eastAsia="Times New Roman" w:hAnsi="Century Gothic" w:cs="Arial"/>
          <w:sz w:val="20"/>
          <w:szCs w:val="20"/>
          <w:lang w:eastAsia="es-ES_tradnl"/>
        </w:rPr>
      </w:pPr>
      <w:r w:rsidRPr="00DE2B01">
        <w:rPr>
          <w:rFonts w:ascii="Century Gothic" w:eastAsia="Times New Roman" w:hAnsi="Century Gothic" w:cs="Arial"/>
          <w:sz w:val="20"/>
          <w:szCs w:val="20"/>
          <w:lang w:eastAsia="es-ES_tradnl"/>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573553FD" w14:textId="77777777" w:rsidR="001F224B" w:rsidRPr="00DE2B01" w:rsidRDefault="001F224B" w:rsidP="001F224B">
      <w:pPr>
        <w:spacing w:after="0" w:line="240" w:lineRule="auto"/>
        <w:jc w:val="both"/>
        <w:rPr>
          <w:rFonts w:ascii="Century Gothic" w:eastAsia="Times New Roman" w:hAnsi="Century Gothic" w:cs="Arial"/>
          <w:sz w:val="20"/>
          <w:szCs w:val="20"/>
          <w:lang w:eastAsia="es-ES_tradnl"/>
        </w:rPr>
      </w:pPr>
      <w:r w:rsidRPr="00DE2B01">
        <w:rPr>
          <w:rFonts w:ascii="Century Gothic" w:eastAsia="Times New Roman" w:hAnsi="Century Gothic" w:cs="Arial"/>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33E3EB93" w14:textId="77777777" w:rsidR="001F224B" w:rsidRPr="00DE2B01" w:rsidRDefault="001F224B" w:rsidP="001F224B">
      <w:pPr>
        <w:spacing w:after="0"/>
        <w:rPr>
          <w:rFonts w:ascii="Century Gothic" w:hAnsi="Century Gothic"/>
        </w:rPr>
      </w:pPr>
    </w:p>
    <w:p w14:paraId="49D13800" w14:textId="77777777" w:rsidR="001F224B" w:rsidRPr="00DE2B01" w:rsidRDefault="001F224B" w:rsidP="001F224B">
      <w:pPr>
        <w:spacing w:after="0" w:line="240" w:lineRule="auto"/>
        <w:jc w:val="both"/>
        <w:rPr>
          <w:rFonts w:ascii="Century Gothic" w:eastAsia="Times New Roman" w:hAnsi="Century Gothic" w:cs="Arial"/>
          <w:b/>
          <w:bCs/>
          <w:color w:val="000000" w:themeColor="text1"/>
          <w:szCs w:val="24"/>
          <w:shd w:val="clear" w:color="auto" w:fill="FFFFFF"/>
          <w:lang w:val="es-ES" w:eastAsia="es-MX"/>
        </w:rPr>
      </w:pPr>
      <w:r w:rsidRPr="00DE2B01">
        <w:rPr>
          <w:rFonts w:ascii="Century Gothic" w:eastAsia="Times New Roman" w:hAnsi="Century Gothic" w:cs="Arial"/>
          <w:b/>
          <w:bCs/>
          <w:color w:val="000000" w:themeColor="text1"/>
          <w:szCs w:val="24"/>
          <w:shd w:val="clear" w:color="auto" w:fill="FFFFFF"/>
          <w:lang w:val="es-ES" w:eastAsia="es-MX"/>
        </w:rPr>
        <w:t>CONTRATO DE INTERVENTORÍA – Finalidad – Ley 1474 de 2011 – Artículo 83</w:t>
      </w:r>
    </w:p>
    <w:p w14:paraId="7A5E2A6B" w14:textId="77777777" w:rsidR="001F224B" w:rsidRPr="00DE2B01" w:rsidRDefault="001F224B" w:rsidP="001F224B">
      <w:pPr>
        <w:spacing w:after="0" w:line="276" w:lineRule="auto"/>
        <w:jc w:val="both"/>
        <w:rPr>
          <w:rFonts w:ascii="Century Gothic" w:eastAsia="Times New Roman" w:hAnsi="Century Gothic" w:cs="Arial"/>
          <w:color w:val="000000" w:themeColor="text1"/>
          <w:szCs w:val="24"/>
          <w:shd w:val="clear" w:color="auto" w:fill="FFFFFF"/>
          <w:lang w:val="es-ES" w:eastAsia="es-MX"/>
        </w:rPr>
      </w:pPr>
    </w:p>
    <w:p w14:paraId="098E4396" w14:textId="77777777" w:rsidR="001F224B" w:rsidRPr="00DE2B01" w:rsidRDefault="001F224B" w:rsidP="001F224B">
      <w:pPr>
        <w:spacing w:after="0" w:line="240" w:lineRule="auto"/>
        <w:jc w:val="both"/>
        <w:rPr>
          <w:rFonts w:ascii="Century Gothic" w:eastAsia="Times New Roman" w:hAnsi="Century Gothic" w:cs="Arial"/>
          <w:color w:val="000000" w:themeColor="text1"/>
          <w:sz w:val="20"/>
          <w:szCs w:val="20"/>
          <w:shd w:val="clear" w:color="auto" w:fill="FFFFFF"/>
          <w:lang w:val="es-ES" w:eastAsia="es-MX"/>
        </w:rPr>
      </w:pPr>
      <w:r w:rsidRPr="00DE2B01">
        <w:rPr>
          <w:rFonts w:ascii="Century Gothic" w:eastAsia="Times New Roman" w:hAnsi="Century Gothic" w:cs="Arial"/>
          <w:color w:val="000000" w:themeColor="text1"/>
          <w:sz w:val="20"/>
          <w:szCs w:val="20"/>
          <w:shd w:val="clear" w:color="auto" w:fill="FFFFFF"/>
          <w:lang w:val="es-ES" w:eastAsia="es-MX"/>
        </w:rPr>
        <w:t>La Ley 1474 de 2011 enmarcó el seguimiento, control y vigilancia de la ejecución del contrato estatal dentro del principio de moralidad administrativa. El artículo 83 ibidem señala: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supervisión en interventoría, como mecanismos que pueden usar las Entidades Estatales para vigilar el contrato […].</w:t>
      </w:r>
    </w:p>
    <w:p w14:paraId="31C37695" w14:textId="77777777" w:rsidR="001F224B" w:rsidRPr="00DE2B01" w:rsidRDefault="001F224B" w:rsidP="001F224B">
      <w:pPr>
        <w:spacing w:after="0" w:line="276" w:lineRule="auto"/>
        <w:jc w:val="both"/>
        <w:rPr>
          <w:rFonts w:ascii="Century Gothic" w:eastAsia="Times New Roman" w:hAnsi="Century Gothic" w:cs="Arial"/>
          <w:color w:val="000000" w:themeColor="text1"/>
          <w:szCs w:val="24"/>
          <w:shd w:val="clear" w:color="auto" w:fill="FFFFFF"/>
          <w:lang w:val="es-ES" w:eastAsia="es-MX"/>
        </w:rPr>
      </w:pPr>
    </w:p>
    <w:p w14:paraId="32A90899" w14:textId="77777777" w:rsidR="001F224B" w:rsidRPr="00DE2B01" w:rsidRDefault="001F224B" w:rsidP="001F224B">
      <w:pPr>
        <w:spacing w:after="0" w:line="240" w:lineRule="auto"/>
        <w:jc w:val="both"/>
        <w:rPr>
          <w:rFonts w:ascii="Century Gothic" w:eastAsia="Times New Roman" w:hAnsi="Century Gothic" w:cs="Arial"/>
          <w:b/>
          <w:bCs/>
          <w:color w:val="000000" w:themeColor="text1"/>
          <w:szCs w:val="24"/>
          <w:shd w:val="clear" w:color="auto" w:fill="FFFFFF"/>
          <w:lang w:val="es-ES" w:eastAsia="es-MX"/>
        </w:rPr>
      </w:pPr>
      <w:bookmarkStart w:id="1" w:name="_Hlk151804843"/>
      <w:r w:rsidRPr="00DE2B01">
        <w:rPr>
          <w:rFonts w:ascii="Century Gothic" w:eastAsia="Times New Roman" w:hAnsi="Century Gothic" w:cs="Arial"/>
          <w:b/>
          <w:bCs/>
          <w:color w:val="000000" w:themeColor="text1"/>
          <w:szCs w:val="24"/>
          <w:shd w:val="clear" w:color="auto" w:fill="FFFFFF"/>
          <w:lang w:val="es-ES" w:eastAsia="es-MX"/>
        </w:rPr>
        <w:t>CONTRATO DE INTERVENTORÍA – Características</w:t>
      </w:r>
    </w:p>
    <w:bookmarkEnd w:id="1"/>
    <w:p w14:paraId="19BBA097" w14:textId="77777777" w:rsidR="001F224B" w:rsidRPr="00DE2B01" w:rsidRDefault="001F224B" w:rsidP="001F224B">
      <w:pPr>
        <w:spacing w:after="0" w:line="276" w:lineRule="auto"/>
        <w:jc w:val="both"/>
        <w:rPr>
          <w:rFonts w:ascii="Century Gothic" w:eastAsia="Times New Roman" w:hAnsi="Century Gothic" w:cs="Arial"/>
          <w:b/>
          <w:bCs/>
          <w:color w:val="000000" w:themeColor="text1"/>
          <w:szCs w:val="24"/>
          <w:shd w:val="clear" w:color="auto" w:fill="FFFFFF"/>
          <w:lang w:val="es-ES" w:eastAsia="es-MX"/>
        </w:rPr>
      </w:pPr>
    </w:p>
    <w:p w14:paraId="4E0C6D83" w14:textId="77777777" w:rsidR="001F224B" w:rsidRPr="007C6F48" w:rsidRDefault="001F224B" w:rsidP="001F224B">
      <w:pPr>
        <w:spacing w:after="0" w:line="240" w:lineRule="auto"/>
        <w:jc w:val="both"/>
        <w:rPr>
          <w:rFonts w:ascii="Century Gothic" w:eastAsia="Times New Roman" w:hAnsi="Century Gothic" w:cs="Arial"/>
          <w:color w:val="000000" w:themeColor="text1"/>
          <w:sz w:val="20"/>
          <w:shd w:val="clear" w:color="auto" w:fill="FFFFFF"/>
          <w:lang w:val="es-ES" w:eastAsia="es-MX"/>
        </w:rPr>
      </w:pPr>
      <w:r w:rsidRPr="00DE2B01">
        <w:rPr>
          <w:rFonts w:ascii="Century Gothic" w:eastAsia="Times New Roman" w:hAnsi="Century Gothic" w:cs="Arial"/>
          <w:color w:val="000000" w:themeColor="text1"/>
          <w:sz w:val="20"/>
          <w:shd w:val="clear" w:color="auto" w:fill="FFFFFF"/>
          <w:lang w:val="es-ES" w:eastAsia="es-MX"/>
        </w:rPr>
        <w:t xml:space="preserve">[…]la interventoría puede caracterizarse de la siguiente manera: i) es un mecanismo de vigilancia contingente en la medida que sólo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especia del contrato de consultoría – art. 32, numeral 2, inciso 2, Ley 80 de 1993 </w:t>
      </w:r>
      <w:r w:rsidRPr="00DE2B01">
        <w:rPr>
          <w:rFonts w:ascii="Arial" w:eastAsia="Times New Roman" w:hAnsi="Arial" w:cs="Arial"/>
          <w:color w:val="000000" w:themeColor="text1"/>
          <w:sz w:val="20"/>
          <w:shd w:val="clear" w:color="auto" w:fill="FFFFFF"/>
          <w:lang w:val="es-ES" w:eastAsia="es-MX"/>
        </w:rPr>
        <w:t>‒</w:t>
      </w:r>
      <w:r w:rsidRPr="00DE2B01">
        <w:rPr>
          <w:rFonts w:ascii="Century Gothic" w:eastAsia="Times New Roman" w:hAnsi="Century Gothic" w:cs="Arial"/>
          <w:color w:val="000000" w:themeColor="text1"/>
          <w:sz w:val="20"/>
          <w:shd w:val="clear" w:color="auto" w:fill="FFFFFF"/>
          <w:lang w:val="es-ES" w:eastAsia="es-MX"/>
        </w:rPr>
        <w:t>, de manera que la interventor</w:t>
      </w:r>
      <w:r w:rsidRPr="00DE2B01">
        <w:rPr>
          <w:rFonts w:ascii="Century Gothic" w:eastAsia="Times New Roman" w:hAnsi="Century Gothic" w:cs="Century Gothic"/>
          <w:color w:val="000000" w:themeColor="text1"/>
          <w:sz w:val="20"/>
          <w:shd w:val="clear" w:color="auto" w:fill="FFFFFF"/>
          <w:lang w:val="es-ES" w:eastAsia="es-MX"/>
        </w:rPr>
        <w:t>í</w:t>
      </w:r>
      <w:r w:rsidRPr="00DE2B01">
        <w:rPr>
          <w:rFonts w:ascii="Century Gothic" w:eastAsia="Times New Roman" w:hAnsi="Century Gothic" w:cs="Arial"/>
          <w:color w:val="000000" w:themeColor="text1"/>
          <w:sz w:val="20"/>
          <w:shd w:val="clear" w:color="auto" w:fill="FFFFFF"/>
          <w:lang w:val="es-ES" w:eastAsia="es-MX"/>
        </w:rPr>
        <w:t xml:space="preserve">a es realizada por </w:t>
      </w:r>
      <w:r w:rsidRPr="00DE2B01">
        <w:rPr>
          <w:rFonts w:ascii="Century Gothic" w:eastAsia="Times New Roman" w:hAnsi="Century Gothic" w:cs="Century Gothic"/>
          <w:color w:val="000000" w:themeColor="text1"/>
          <w:sz w:val="20"/>
          <w:shd w:val="clear" w:color="auto" w:fill="FFFFFF"/>
          <w:lang w:val="es-ES" w:eastAsia="es-MX"/>
        </w:rPr>
        <w:t>“</w:t>
      </w:r>
      <w:r w:rsidRPr="00DE2B01">
        <w:rPr>
          <w:rFonts w:ascii="Century Gothic" w:eastAsia="Times New Roman" w:hAnsi="Century Gothic" w:cs="Arial"/>
          <w:color w:val="000000" w:themeColor="text1"/>
          <w:sz w:val="20"/>
          <w:shd w:val="clear" w:color="auto" w:fill="FFFFFF"/>
          <w:lang w:val="es-ES" w:eastAsia="es-MX"/>
        </w:rPr>
        <w:t>una persona natural o jur</w:t>
      </w:r>
      <w:r w:rsidRPr="00DE2B01">
        <w:rPr>
          <w:rFonts w:ascii="Century Gothic" w:eastAsia="Times New Roman" w:hAnsi="Century Gothic" w:cs="Century Gothic"/>
          <w:color w:val="000000" w:themeColor="text1"/>
          <w:sz w:val="20"/>
          <w:shd w:val="clear" w:color="auto" w:fill="FFFFFF"/>
          <w:lang w:val="es-ES" w:eastAsia="es-MX"/>
        </w:rPr>
        <w:t>í</w:t>
      </w:r>
      <w:r w:rsidRPr="00DE2B01">
        <w:rPr>
          <w:rFonts w:ascii="Century Gothic" w:eastAsia="Times New Roman" w:hAnsi="Century Gothic" w:cs="Arial"/>
          <w:color w:val="000000" w:themeColor="text1"/>
          <w:sz w:val="20"/>
          <w:shd w:val="clear" w:color="auto" w:fill="FFFFFF"/>
          <w:lang w:val="es-ES" w:eastAsia="es-MX"/>
        </w:rPr>
        <w:t>dica contratada para tal fin por la Entidad Estatal</w:t>
      </w:r>
      <w:r w:rsidRPr="00DE2B01">
        <w:rPr>
          <w:rFonts w:ascii="Century Gothic" w:eastAsia="Times New Roman" w:hAnsi="Century Gothic" w:cs="Century Gothic"/>
          <w:color w:val="000000" w:themeColor="text1"/>
          <w:sz w:val="20"/>
          <w:shd w:val="clear" w:color="auto" w:fill="FFFFFF"/>
          <w:lang w:val="es-ES" w:eastAsia="es-MX"/>
        </w:rPr>
        <w:t>”</w:t>
      </w:r>
      <w:r w:rsidRPr="00DE2B01">
        <w:rPr>
          <w:rFonts w:ascii="Century Gothic" w:eastAsia="Times New Roman" w:hAnsi="Century Gothic" w:cs="Arial"/>
          <w:color w:val="000000" w:themeColor="text1"/>
          <w:sz w:val="20"/>
          <w:shd w:val="clear" w:color="auto" w:fill="FFFFFF"/>
          <w:lang w:val="es-ES" w:eastAsia="es-MX"/>
        </w:rPr>
        <w:t xml:space="preserve"> </w:t>
      </w:r>
      <w:r w:rsidRPr="00DE2B01">
        <w:rPr>
          <w:rFonts w:ascii="Century Gothic" w:eastAsia="Times New Roman" w:hAnsi="Century Gothic" w:cs="Century Gothic"/>
          <w:color w:val="000000" w:themeColor="text1"/>
          <w:sz w:val="20"/>
          <w:shd w:val="clear" w:color="auto" w:fill="FFFFFF"/>
          <w:lang w:val="es-ES" w:eastAsia="es-MX"/>
        </w:rPr>
        <w:t>–</w:t>
      </w:r>
      <w:r w:rsidRPr="00DE2B01">
        <w:rPr>
          <w:rFonts w:ascii="Century Gothic" w:eastAsia="Times New Roman" w:hAnsi="Century Gothic" w:cs="Arial"/>
          <w:color w:val="000000" w:themeColor="text1"/>
          <w:sz w:val="20"/>
          <w:shd w:val="clear" w:color="auto" w:fill="FFFFFF"/>
          <w:lang w:val="es-ES" w:eastAsia="es-MX"/>
        </w:rPr>
        <w:t>art. 83, Ley 1474</w:t>
      </w:r>
      <w:r w:rsidRPr="00DE2B01">
        <w:rPr>
          <w:rFonts w:ascii="Century Gothic" w:eastAsia="Times New Roman" w:hAnsi="Century Gothic" w:cs="Century Gothic"/>
          <w:color w:val="000000" w:themeColor="text1"/>
          <w:sz w:val="20"/>
          <w:shd w:val="clear" w:color="auto" w:fill="FFFFFF"/>
          <w:lang w:val="es-ES" w:eastAsia="es-MX"/>
        </w:rPr>
        <w:t>–</w:t>
      </w:r>
      <w:r w:rsidRPr="00DE2B01">
        <w:rPr>
          <w:rFonts w:ascii="Century Gothic" w:eastAsia="Times New Roman" w:hAnsi="Century Gothic" w:cs="Arial"/>
          <w:color w:val="000000" w:themeColor="text1"/>
          <w:sz w:val="20"/>
          <w:shd w:val="clear" w:color="auto" w:fill="FFFFFF"/>
          <w:lang w:val="es-ES" w:eastAsia="es-MX"/>
        </w:rPr>
        <w:t>. iv) Le es inherente el seguimiento t</w:t>
      </w:r>
      <w:r w:rsidRPr="00DE2B01">
        <w:rPr>
          <w:rFonts w:ascii="Century Gothic" w:eastAsia="Times New Roman" w:hAnsi="Century Gothic" w:cs="Century Gothic"/>
          <w:color w:val="000000" w:themeColor="text1"/>
          <w:sz w:val="20"/>
          <w:shd w:val="clear" w:color="auto" w:fill="FFFFFF"/>
          <w:lang w:val="es-ES" w:eastAsia="es-MX"/>
        </w:rPr>
        <w:t>é</w:t>
      </w:r>
      <w:r w:rsidRPr="00DE2B01">
        <w:rPr>
          <w:rFonts w:ascii="Century Gothic" w:eastAsia="Times New Roman" w:hAnsi="Century Gothic" w:cs="Arial"/>
          <w:color w:val="000000" w:themeColor="text1"/>
          <w:sz w:val="20"/>
          <w:shd w:val="clear" w:color="auto" w:fill="FFFFFF"/>
          <w:lang w:val="es-ES" w:eastAsia="es-MX"/>
        </w:rPr>
        <w:t xml:space="preserve">cnico, frente a la vigilancia de la correcta ejecución del contrato vigilado; sin embargo, el artículo 83 de la Ley 1474 de 2011 permite que en el contrato de interventoría también se pacten obligaciones para que el contratista realice el </w:t>
      </w:r>
      <w:r w:rsidRPr="00DE2B01">
        <w:rPr>
          <w:rFonts w:ascii="Century Gothic" w:eastAsia="Times New Roman" w:hAnsi="Century Gothic" w:cs="Arial"/>
          <w:color w:val="000000" w:themeColor="text1"/>
          <w:sz w:val="20"/>
          <w:shd w:val="clear" w:color="auto" w:fill="FFFFFF"/>
          <w:lang w:val="es-ES" w:eastAsia="es-MX"/>
        </w:rPr>
        <w:lastRenderedPageBreak/>
        <w:t xml:space="preserve">seguimiento administrativo, financiero, contable o jurídico. v) En caso de que no se encomiende al interventor el seguimiento total del contrato, en el contrato de interventoría “se deberán indicar las actividades técnicas a cargo del interventor y las demás quedarán </w:t>
      </w:r>
      <w:r w:rsidRPr="007C6F48">
        <w:rPr>
          <w:rFonts w:ascii="Century Gothic" w:eastAsia="Times New Roman" w:hAnsi="Century Gothic" w:cs="Arial"/>
          <w:color w:val="000000" w:themeColor="text1"/>
          <w:sz w:val="20"/>
          <w:shd w:val="clear" w:color="auto" w:fill="FFFFFF"/>
          <w:lang w:val="es-ES" w:eastAsia="es-MX"/>
        </w:rPr>
        <w:t>a cargo de la Entidad a través del supervisor” –art. 83, inciso 3–. Finalmente, vi) el contrato de interventoría será supervisado directamente por la entidad –art. 23, inciso 4–.</w:t>
      </w:r>
    </w:p>
    <w:p w14:paraId="4DD21E52" w14:textId="77777777" w:rsidR="001F224B" w:rsidRPr="007C6F48" w:rsidRDefault="001F224B" w:rsidP="001F224B">
      <w:pPr>
        <w:spacing w:after="0"/>
        <w:rPr>
          <w:rFonts w:ascii="Century Gothic" w:hAnsi="Century Gothic"/>
        </w:rPr>
      </w:pPr>
    </w:p>
    <w:p w14:paraId="10E20091" w14:textId="77777777" w:rsidR="001F224B" w:rsidRDefault="001F224B" w:rsidP="001F224B">
      <w:pPr>
        <w:spacing w:after="0" w:line="240" w:lineRule="auto"/>
        <w:jc w:val="both"/>
        <w:rPr>
          <w:rFonts w:ascii="Century Gothic" w:eastAsia="Times New Roman" w:hAnsi="Century Gothic" w:cs="Arial"/>
          <w:b/>
          <w:bCs/>
          <w:color w:val="000000" w:themeColor="text1"/>
          <w:szCs w:val="24"/>
          <w:shd w:val="clear" w:color="auto" w:fill="FFFFFF"/>
          <w:lang w:val="es-ES" w:eastAsia="es-MX"/>
        </w:rPr>
      </w:pPr>
      <w:bookmarkStart w:id="2" w:name="_Hlk151873078"/>
      <w:r w:rsidRPr="007C6F48">
        <w:rPr>
          <w:rFonts w:ascii="Century Gothic" w:eastAsia="Times New Roman" w:hAnsi="Century Gothic" w:cs="Arial"/>
          <w:b/>
          <w:bCs/>
          <w:color w:val="000000" w:themeColor="text1"/>
          <w:szCs w:val="24"/>
          <w:shd w:val="clear" w:color="auto" w:fill="FFFFFF"/>
          <w:lang w:val="es-ES" w:eastAsia="es-MX"/>
        </w:rPr>
        <w:t xml:space="preserve">PROCEDIMIENTO SANCIONATORIO CONTRACTUAL </w:t>
      </w:r>
      <w:bookmarkStart w:id="3" w:name="_Hlk151804941"/>
      <w:r w:rsidRPr="007C6F48">
        <w:rPr>
          <w:rFonts w:ascii="Century Gothic" w:eastAsia="Times New Roman" w:hAnsi="Century Gothic" w:cs="Arial"/>
          <w:b/>
          <w:bCs/>
          <w:color w:val="000000" w:themeColor="text1"/>
          <w:szCs w:val="24"/>
          <w:shd w:val="clear" w:color="auto" w:fill="FFFFFF"/>
          <w:lang w:val="es-ES" w:eastAsia="es-MX"/>
        </w:rPr>
        <w:t>–</w:t>
      </w:r>
      <w:bookmarkEnd w:id="3"/>
      <w:r w:rsidRPr="007C6F48">
        <w:rPr>
          <w:rFonts w:ascii="Century Gothic" w:eastAsia="Times New Roman" w:hAnsi="Century Gothic" w:cs="Arial"/>
          <w:b/>
          <w:bCs/>
          <w:color w:val="000000" w:themeColor="text1"/>
          <w:szCs w:val="24"/>
          <w:shd w:val="clear" w:color="auto" w:fill="FFFFFF"/>
          <w:lang w:val="es-ES" w:eastAsia="es-MX"/>
        </w:rPr>
        <w:t xml:space="preserve"> Imposición de multas, sanciones y declaratorias de incumplimiento – Cláusulas exorbitantes – Imposición unilateral – Potestades excepcionales de la administración pública</w:t>
      </w:r>
    </w:p>
    <w:p w14:paraId="493C66CF" w14:textId="77777777" w:rsidR="001F224B" w:rsidRDefault="001F224B" w:rsidP="001F224B">
      <w:pPr>
        <w:spacing w:after="0" w:line="240" w:lineRule="auto"/>
        <w:jc w:val="both"/>
        <w:rPr>
          <w:rFonts w:ascii="Century Gothic" w:eastAsia="Times New Roman" w:hAnsi="Century Gothic" w:cs="Arial"/>
          <w:b/>
          <w:bCs/>
          <w:color w:val="000000" w:themeColor="text1"/>
          <w:szCs w:val="24"/>
          <w:shd w:val="clear" w:color="auto" w:fill="FFFFFF"/>
          <w:lang w:val="es-ES" w:eastAsia="es-MX"/>
        </w:rPr>
      </w:pPr>
    </w:p>
    <w:bookmarkEnd w:id="2"/>
    <w:p w14:paraId="2D40EC84" w14:textId="77777777" w:rsidR="001F224B" w:rsidRDefault="001F224B" w:rsidP="001F224B">
      <w:pPr>
        <w:spacing w:after="0" w:line="240" w:lineRule="auto"/>
        <w:jc w:val="both"/>
        <w:rPr>
          <w:rFonts w:ascii="Century Gothic" w:eastAsia="Times New Roman" w:hAnsi="Century Gothic" w:cs="Arial"/>
          <w:b/>
          <w:bCs/>
          <w:color w:val="000000" w:themeColor="text1"/>
          <w:szCs w:val="24"/>
          <w:shd w:val="clear" w:color="auto" w:fill="FFFFFF"/>
          <w:lang w:val="es-ES_tradnl" w:eastAsia="es-MX"/>
        </w:rPr>
      </w:pPr>
      <w:r w:rsidRPr="007C6F48">
        <w:rPr>
          <w:rFonts w:ascii="Century Gothic" w:eastAsia="Times New Roman" w:hAnsi="Century Gothic" w:cs="Arial"/>
          <w:iCs/>
          <w:sz w:val="20"/>
          <w:szCs w:val="20"/>
          <w:lang w:val="es-ES_tradnl" w:eastAsia="es-ES_tradnl"/>
          <w14:ligatures w14:val="standardContextual"/>
        </w:rPr>
        <w:t xml:space="preserve">Durante la ejecución de los contratos, las entidades estatales sometidas al Estatuto General de Contratación de la Administración Pública – en adelante EGCAP –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7C6F48">
        <w:rPr>
          <w:rFonts w:ascii="Century Gothic" w:eastAsia="Times New Roman" w:hAnsi="Century Gothic" w:cs="Arial"/>
          <w:i/>
          <w:sz w:val="20"/>
          <w:szCs w:val="20"/>
          <w:lang w:val="es-ES_tradnl" w:eastAsia="es-ES_tradnl"/>
          <w14:ligatures w14:val="standardContextual"/>
        </w:rPr>
        <w:t>ibidem</w:t>
      </w:r>
      <w:r w:rsidRPr="007C6F48">
        <w:rPr>
          <w:rFonts w:ascii="Century Gothic" w:eastAsia="Times New Roman" w:hAnsi="Century Gothic" w:cs="Arial"/>
          <w:iCs/>
          <w:sz w:val="20"/>
          <w:szCs w:val="20"/>
          <w:lang w:val="es-ES_tradnl" w:eastAsia="es-ES_tradnl"/>
          <w14:ligatures w14:val="standardContextual"/>
        </w:rPr>
        <w:t xml:space="preserve">; ii) en algunas disposiciones también establecen otras potestades exorbitantes, como la liquidación unilateral y la declaratoria unilateral del siniestro –artículos 7 y 11 de la Ley 1150 de 2007–. Dentro de las potestades unilaterales también se encuentran iii) las cláusulas excepcionales de </w:t>
      </w:r>
      <w:r w:rsidRPr="007C6F48">
        <w:rPr>
          <w:rFonts w:ascii="Century Gothic" w:eastAsia="Times New Roman" w:hAnsi="Century Gothic" w:cs="Arial"/>
          <w:i/>
          <w:sz w:val="20"/>
          <w:szCs w:val="20"/>
          <w:lang w:val="es-ES_tradnl" w:eastAsia="es-ES_tradnl"/>
          <w14:ligatures w14:val="standardContextual"/>
        </w:rPr>
        <w:t>imposición unilateral</w:t>
      </w:r>
      <w:r w:rsidRPr="007C6F48">
        <w:rPr>
          <w:rFonts w:ascii="Century Gothic" w:eastAsia="Times New Roman" w:hAnsi="Century Gothic" w:cs="Arial"/>
          <w:iCs/>
          <w:sz w:val="20"/>
          <w:szCs w:val="20"/>
          <w:lang w:val="es-ES_tradnl" w:eastAsia="es-ES_tradnl"/>
          <w14:ligatures w14:val="standardContextual"/>
        </w:rPr>
        <w:t xml:space="preserve"> de las cláusulas penales y de multas –artículo 17 de la Ley 1150 de 2007–, aclarando que su exorbitancia se refiere a su imposición unilateral, no a su pacto, que es posible en virtud de las normas civiles y comerciales.</w:t>
      </w:r>
    </w:p>
    <w:p w14:paraId="2EBE4B36" w14:textId="77777777" w:rsidR="001F224B" w:rsidRDefault="001F224B" w:rsidP="001F224B">
      <w:pPr>
        <w:spacing w:after="0" w:line="240" w:lineRule="auto"/>
        <w:jc w:val="both"/>
        <w:rPr>
          <w:rFonts w:ascii="Century Gothic" w:eastAsia="Times New Roman" w:hAnsi="Century Gothic" w:cs="Arial"/>
          <w:b/>
          <w:bCs/>
          <w:color w:val="000000" w:themeColor="text1"/>
          <w:szCs w:val="24"/>
          <w:shd w:val="clear" w:color="auto" w:fill="FFFFFF"/>
          <w:lang w:val="es-ES_tradnl" w:eastAsia="es-MX"/>
        </w:rPr>
      </w:pPr>
    </w:p>
    <w:p w14:paraId="5558267D" w14:textId="77777777" w:rsidR="001F224B" w:rsidRPr="007C6F48" w:rsidRDefault="001F224B" w:rsidP="001F224B">
      <w:pPr>
        <w:spacing w:after="0" w:line="240" w:lineRule="auto"/>
        <w:jc w:val="both"/>
        <w:rPr>
          <w:rFonts w:ascii="Century Gothic" w:eastAsia="Times New Roman" w:hAnsi="Century Gothic" w:cs="Arial"/>
          <w:b/>
          <w:bCs/>
          <w:color w:val="000000" w:themeColor="text1"/>
          <w:szCs w:val="24"/>
          <w:shd w:val="clear" w:color="auto" w:fill="FFFFFF"/>
          <w:lang w:val="es-ES" w:eastAsia="es-MX"/>
        </w:rPr>
      </w:pPr>
      <w:r w:rsidRPr="007C6F48">
        <w:rPr>
          <w:rFonts w:ascii="Century Gothic" w:eastAsia="Times New Roman" w:hAnsi="Century Gothic" w:cs="Arial"/>
          <w:iCs/>
          <w:sz w:val="20"/>
          <w:szCs w:val="20"/>
          <w:lang w:val="es-ES_tradnl" w:eastAsia="es-ES_tradnl"/>
        </w:rPr>
        <w:t>D</w:t>
      </w:r>
      <w:r w:rsidRPr="007C6F48">
        <w:rPr>
          <w:rFonts w:ascii="Century Gothic" w:eastAsia="Times New Roman" w:hAnsi="Century Gothic" w:cs="Arial"/>
          <w:iCs/>
          <w:sz w:val="20"/>
          <w:szCs w:val="20"/>
          <w:lang w:val="es-ES_tradnl" w:eastAsia="es-ES_tradnl"/>
          <w14:ligatures w14:val="standardContextual"/>
        </w:rPr>
        <w:t>e conformidad con lo anterior, el artículo 86 de la Ley 1474 de 2011 establece las etapas del procedimiento que se deben seguir, las cuales se sintetizan, de forma esquemática, así: i) c</w:t>
      </w:r>
      <w:r w:rsidRPr="007C6F48">
        <w:rPr>
          <w:rFonts w:ascii="Century Gothic" w:eastAsia="Times New Roman" w:hAnsi="Century Gothic" w:cs="Arial"/>
          <w:i/>
          <w:iCs/>
          <w:sz w:val="20"/>
          <w:szCs w:val="20"/>
          <w:lang w:val="es-ES_tradnl" w:eastAsia="es-ES_tradnl"/>
          <w14:ligatures w14:val="standardContextual"/>
        </w:rPr>
        <w:t>itación a audiencia</w:t>
      </w:r>
      <w:r w:rsidRPr="007C6F48">
        <w:rPr>
          <w:rFonts w:ascii="Century Gothic" w:eastAsia="Times New Roman" w:hAnsi="Century Gothic" w:cs="Arial"/>
          <w:iCs/>
          <w:sz w:val="20"/>
          <w:szCs w:val="20"/>
          <w:lang w:val="es-ES_tradnl" w:eastAsia="es-ES_tradnl"/>
          <w14:ligatures w14:val="standardContextual"/>
        </w:rPr>
        <w:t xml:space="preserve">. Es necesario remitir una citación a audiencia al contratista y al garante –cuando proceda–, cuyo contenido de señalará más adelante. ii) </w:t>
      </w:r>
      <w:r w:rsidRPr="007C6F48">
        <w:rPr>
          <w:rFonts w:ascii="Century Gothic" w:eastAsia="Times New Roman" w:hAnsi="Century Gothic" w:cs="Arial"/>
          <w:i/>
          <w:iCs/>
          <w:sz w:val="20"/>
          <w:szCs w:val="20"/>
          <w:lang w:val="es-ES_tradnl" w:eastAsia="es-ES_tradnl"/>
          <w14:ligatures w14:val="standardContextual"/>
        </w:rPr>
        <w:t>Audiencia</w:t>
      </w:r>
      <w:r w:rsidRPr="007C6F48">
        <w:rPr>
          <w:rFonts w:ascii="Century Gothic" w:eastAsia="Times New Roman" w:hAnsi="Century Gothic" w:cs="Arial"/>
          <w:iCs/>
          <w:sz w:val="20"/>
          <w:szCs w:val="20"/>
          <w:lang w:val="es-ES_tradnl" w:eastAsia="es-ES_tradnl"/>
          <w14:ligatures w14:val="standardContextua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7C6F48">
        <w:rPr>
          <w:rFonts w:ascii="Century Gothic" w:eastAsia="Times New Roman" w:hAnsi="Century Gothic" w:cs="Arial"/>
          <w:i/>
          <w:iCs/>
          <w:sz w:val="20"/>
          <w:szCs w:val="20"/>
          <w:lang w:val="es-ES_tradnl" w:eastAsia="es-ES_tradnl"/>
          <w14:ligatures w14:val="standardContextual"/>
        </w:rPr>
        <w:t>Decisión</w:t>
      </w:r>
      <w:r w:rsidRPr="007C6F48">
        <w:rPr>
          <w:rFonts w:ascii="Century Gothic" w:eastAsia="Times New Roman" w:hAnsi="Century Gothic" w:cs="Arial"/>
          <w:iCs/>
          <w:sz w:val="20"/>
          <w:szCs w:val="20"/>
          <w:lang w:val="es-ES_tradnl" w:eastAsia="es-ES_tradnl"/>
          <w14:ligatures w14:val="standardContextua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31C97B61" w14:textId="77777777" w:rsidR="001F224B" w:rsidRPr="007C6F48" w:rsidRDefault="001F224B" w:rsidP="001F224B">
      <w:pPr>
        <w:spacing w:after="0"/>
        <w:rPr>
          <w:rFonts w:ascii="Century Gothic" w:hAnsi="Century Gothic"/>
          <w:lang w:val="es-ES_tradnl"/>
        </w:rPr>
      </w:pPr>
    </w:p>
    <w:p w14:paraId="198EF648" w14:textId="77777777" w:rsidR="001F224B" w:rsidRDefault="001F224B" w:rsidP="001F224B">
      <w:pPr>
        <w:spacing w:after="0"/>
        <w:rPr>
          <w:rFonts w:ascii="Century Gothic" w:hAnsi="Century Gothic"/>
        </w:rPr>
      </w:pPr>
    </w:p>
    <w:p w14:paraId="1C8AEAEB" w14:textId="77777777" w:rsidR="001F224B" w:rsidRDefault="001F224B" w:rsidP="001F224B">
      <w:pPr>
        <w:spacing w:after="0"/>
        <w:rPr>
          <w:rFonts w:ascii="Century Gothic" w:hAnsi="Century Gothic"/>
        </w:rPr>
      </w:pPr>
    </w:p>
    <w:p w14:paraId="18630D25" w14:textId="77777777" w:rsidR="001F224B" w:rsidRDefault="001F224B" w:rsidP="001F224B">
      <w:pPr>
        <w:spacing w:after="0"/>
        <w:rPr>
          <w:rFonts w:ascii="Century Gothic" w:hAnsi="Century Gothic"/>
        </w:rPr>
      </w:pPr>
    </w:p>
    <w:p w14:paraId="2AFBFAC4" w14:textId="77777777" w:rsidR="001F224B" w:rsidRDefault="001F224B" w:rsidP="001F224B">
      <w:pPr>
        <w:spacing w:after="0"/>
        <w:rPr>
          <w:rFonts w:ascii="Century Gothic" w:hAnsi="Century Gothic"/>
        </w:rPr>
      </w:pPr>
    </w:p>
    <w:p w14:paraId="1FCFFF21" w14:textId="77777777" w:rsidR="001F224B" w:rsidRDefault="001F224B" w:rsidP="001F224B">
      <w:pPr>
        <w:spacing w:after="0"/>
        <w:rPr>
          <w:rFonts w:ascii="Century Gothic" w:hAnsi="Century Gothic"/>
        </w:rPr>
      </w:pPr>
    </w:p>
    <w:p w14:paraId="35934859" w14:textId="77777777" w:rsidR="001F224B" w:rsidRDefault="001F224B" w:rsidP="00E245AB">
      <w:pPr>
        <w:spacing w:after="0"/>
        <w:rPr>
          <w:rFonts w:ascii="Century Gothic" w:hAnsi="Century Gothic"/>
        </w:rPr>
      </w:pPr>
    </w:p>
    <w:p w14:paraId="3FE2184B" w14:textId="0C305756" w:rsidR="00E245AB" w:rsidRDefault="00E245AB" w:rsidP="00E245AB">
      <w:pPr>
        <w:spacing w:after="0"/>
        <w:rPr>
          <w:rFonts w:ascii="Century Gothic" w:hAnsi="Century Gothic"/>
        </w:rPr>
      </w:pPr>
      <w:r w:rsidRPr="00322A85">
        <w:rPr>
          <w:rFonts w:ascii="Century Gothic" w:hAnsi="Century Gothic"/>
        </w:rPr>
        <w:t xml:space="preserve">Bogotá D.C., </w:t>
      </w:r>
      <w:r w:rsidR="00891928" w:rsidRPr="00322A85">
        <w:rPr>
          <w:rFonts w:ascii="Century Gothic" w:hAnsi="Century Gothic"/>
        </w:rPr>
        <w:t>[Día]</w:t>
      </w:r>
      <w:r w:rsidR="005A2340">
        <w:rPr>
          <w:rFonts w:ascii="Century Gothic" w:hAnsi="Century Gothic"/>
        </w:rPr>
        <w:t xml:space="preserve"> </w:t>
      </w:r>
      <w:r w:rsidR="00891928" w:rsidRPr="00322A85">
        <w:rPr>
          <w:rFonts w:ascii="Century Gothic" w:hAnsi="Century Gothic"/>
        </w:rPr>
        <w:t>[Mes</w:t>
      </w:r>
      <w:r w:rsidR="005A2340">
        <w:rPr>
          <w:rFonts w:ascii="Century Gothic" w:hAnsi="Century Gothic"/>
        </w:rPr>
        <w:t>.</w:t>
      </w:r>
      <w:r w:rsidR="00891928" w:rsidRPr="00322A85">
        <w:rPr>
          <w:rFonts w:ascii="Century Gothic" w:hAnsi="Century Gothic"/>
        </w:rPr>
        <w:t>NombreCapitalizado]</w:t>
      </w:r>
      <w:r w:rsidR="005A2340">
        <w:rPr>
          <w:rFonts w:ascii="Century Gothic" w:hAnsi="Century Gothic"/>
        </w:rPr>
        <w:t xml:space="preserve"> </w:t>
      </w:r>
      <w:r w:rsidR="00891928" w:rsidRPr="00322A85">
        <w:rPr>
          <w:rFonts w:ascii="Century Gothic" w:hAnsi="Century Gothic"/>
        </w:rPr>
        <w:t>[Año]</w:t>
      </w:r>
    </w:p>
    <w:p w14:paraId="292F58EB" w14:textId="77777777" w:rsidR="002D0890" w:rsidRDefault="002D0890" w:rsidP="00E245AB">
      <w:pPr>
        <w:spacing w:after="0"/>
        <w:rPr>
          <w:rFonts w:ascii="Century Gothic" w:hAnsi="Century Gothic"/>
        </w:rPr>
      </w:pPr>
    </w:p>
    <w:p w14:paraId="5EA71CDE" w14:textId="77777777" w:rsidR="002D0890" w:rsidRPr="0021231E" w:rsidRDefault="002D0890" w:rsidP="002D0890">
      <w:pPr>
        <w:spacing w:after="0" w:line="276" w:lineRule="auto"/>
        <w:contextualSpacing/>
        <w:rPr>
          <w:rFonts w:ascii="Century Gothic" w:eastAsia="Calibri" w:hAnsi="Century Gothic" w:cs="Arial"/>
          <w:lang w:eastAsia="es-CO"/>
        </w:rPr>
      </w:pPr>
      <w:r w:rsidRPr="0021231E">
        <w:rPr>
          <w:rFonts w:ascii="Century Gothic" w:eastAsia="Calibri" w:hAnsi="Century Gothic" w:cs="Arial"/>
          <w:lang w:eastAsia="es-CO"/>
        </w:rPr>
        <w:t>Señor</w:t>
      </w:r>
      <w:r>
        <w:rPr>
          <w:rFonts w:ascii="Century Gothic" w:eastAsia="Calibri" w:hAnsi="Century Gothic" w:cs="Arial"/>
          <w:lang w:eastAsia="es-CO"/>
        </w:rPr>
        <w:t>a</w:t>
      </w:r>
    </w:p>
    <w:p w14:paraId="4C0B6A08" w14:textId="77777777" w:rsidR="002D0890" w:rsidRPr="0021231E" w:rsidRDefault="002D0890" w:rsidP="002D0890">
      <w:pPr>
        <w:spacing w:after="0" w:line="276" w:lineRule="auto"/>
        <w:contextualSpacing/>
        <w:rPr>
          <w:rFonts w:ascii="Century Gothic" w:eastAsia="Calibri" w:hAnsi="Century Gothic" w:cs="Arial"/>
          <w:b/>
          <w:lang w:eastAsia="es-CO"/>
        </w:rPr>
      </w:pPr>
      <w:r>
        <w:rPr>
          <w:rFonts w:ascii="Century Gothic" w:eastAsia="Calibri" w:hAnsi="Century Gothic" w:cs="Arial"/>
          <w:b/>
          <w:lang w:eastAsia="es-CO"/>
        </w:rPr>
        <w:t xml:space="preserve">Carolina </w:t>
      </w:r>
      <w:r w:rsidRPr="0021231E">
        <w:rPr>
          <w:rFonts w:ascii="Century Gothic" w:eastAsia="Calibri" w:hAnsi="Century Gothic" w:cs="Arial"/>
          <w:b/>
          <w:lang w:eastAsia="es-CO"/>
        </w:rPr>
        <w:t>N</w:t>
      </w:r>
      <w:r>
        <w:rPr>
          <w:rFonts w:ascii="Century Gothic" w:eastAsia="Calibri" w:hAnsi="Century Gothic" w:cs="Arial"/>
          <w:b/>
          <w:lang w:eastAsia="es-CO"/>
        </w:rPr>
        <w:t>arváez</w:t>
      </w:r>
    </w:p>
    <w:p w14:paraId="6CEF98A2" w14:textId="77777777" w:rsidR="002D0890" w:rsidRPr="0021231E" w:rsidRDefault="002D0890" w:rsidP="002D0890">
      <w:pPr>
        <w:spacing w:after="0" w:line="276" w:lineRule="auto"/>
        <w:contextualSpacing/>
        <w:rPr>
          <w:rFonts w:ascii="Century Gothic" w:eastAsia="Calibri" w:hAnsi="Century Gothic" w:cs="Arial"/>
          <w:lang w:eastAsia="es-CO"/>
        </w:rPr>
      </w:pPr>
      <w:r w:rsidRPr="0021231E">
        <w:rPr>
          <w:rFonts w:ascii="Century Gothic" w:eastAsia="Calibri" w:hAnsi="Century Gothic" w:cs="Arial"/>
          <w:lang w:eastAsia="es-CO"/>
        </w:rPr>
        <w:t>B</w:t>
      </w:r>
      <w:r>
        <w:rPr>
          <w:rFonts w:ascii="Century Gothic" w:eastAsia="Calibri" w:hAnsi="Century Gothic" w:cs="Arial"/>
          <w:lang w:eastAsia="es-CO"/>
        </w:rPr>
        <w:t>ogotá D.C.</w:t>
      </w:r>
    </w:p>
    <w:p w14:paraId="3EBF75FD" w14:textId="77777777" w:rsidR="002D0890" w:rsidRPr="0021231E" w:rsidRDefault="002D0890" w:rsidP="002D0890">
      <w:pPr>
        <w:spacing w:after="0" w:line="240" w:lineRule="auto"/>
        <w:contextualSpacing/>
        <w:rPr>
          <w:rFonts w:ascii="Century Gothic" w:eastAsia="Calibri" w:hAnsi="Century Gothic" w:cs="Arial"/>
          <w:szCs w:val="24"/>
          <w:lang w:eastAsia="es-CO"/>
        </w:rPr>
      </w:pPr>
    </w:p>
    <w:p w14:paraId="521E3D8E" w14:textId="77777777" w:rsidR="002D0890" w:rsidRPr="0021231E" w:rsidRDefault="002D0890" w:rsidP="002D0890">
      <w:pPr>
        <w:spacing w:after="0" w:line="240" w:lineRule="auto"/>
        <w:ind w:right="571"/>
        <w:contextualSpacing/>
        <w:jc w:val="center"/>
        <w:rPr>
          <w:rFonts w:ascii="Century Gothic" w:eastAsia="Calibri" w:hAnsi="Century Gothic" w:cs="Arial"/>
          <w:b/>
          <w:szCs w:val="24"/>
          <w:lang w:eastAsia="es-CO"/>
        </w:rPr>
      </w:pPr>
      <w:r w:rsidRPr="0021231E">
        <w:rPr>
          <w:rFonts w:ascii="Century Gothic" w:eastAsia="Calibri" w:hAnsi="Century Gothic" w:cs="Arial"/>
          <w:b/>
          <w:szCs w:val="24"/>
          <w:lang w:eastAsia="es-CO"/>
        </w:rPr>
        <w:t>Concepto C-</w:t>
      </w:r>
      <w:r>
        <w:rPr>
          <w:rFonts w:ascii="Century Gothic" w:eastAsia="Calibri" w:hAnsi="Century Gothic" w:cs="Arial"/>
          <w:b/>
          <w:szCs w:val="24"/>
          <w:lang w:eastAsia="es-CO"/>
        </w:rPr>
        <w:t xml:space="preserve">425 </w:t>
      </w:r>
      <w:r w:rsidRPr="0021231E">
        <w:rPr>
          <w:rFonts w:ascii="Century Gothic" w:eastAsia="Calibri" w:hAnsi="Century Gothic" w:cs="Arial"/>
          <w:b/>
          <w:szCs w:val="24"/>
          <w:lang w:eastAsia="es-CO"/>
        </w:rPr>
        <w:t>de 2023</w:t>
      </w:r>
    </w:p>
    <w:p w14:paraId="6D2C57D6" w14:textId="77777777" w:rsidR="002D0890" w:rsidRPr="0021231E" w:rsidRDefault="002D0890" w:rsidP="002D0890">
      <w:pPr>
        <w:spacing w:after="0" w:line="240" w:lineRule="auto"/>
        <w:jc w:val="both"/>
        <w:rPr>
          <w:rFonts w:ascii="Century Gothic" w:eastAsia="Calibri" w:hAnsi="Century Gothic" w:cs="Arial"/>
          <w:szCs w:val="24"/>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2D0890" w:rsidRPr="0021231E" w14:paraId="604BEDA0" w14:textId="77777777" w:rsidTr="00E91D3F">
        <w:trPr>
          <w:jc w:val="right"/>
        </w:trPr>
        <w:tc>
          <w:tcPr>
            <w:tcW w:w="1838" w:type="dxa"/>
          </w:tcPr>
          <w:p w14:paraId="5932921E" w14:textId="77777777" w:rsidR="002D0890" w:rsidRPr="0021231E" w:rsidRDefault="002D0890" w:rsidP="00E91D3F">
            <w:pPr>
              <w:jc w:val="center"/>
              <w:rPr>
                <w:rFonts w:ascii="Century Gothic" w:eastAsia="Calibri" w:hAnsi="Century Gothic" w:cs="Arial"/>
                <w:szCs w:val="24"/>
                <w:lang w:val="es-ES_tradnl" w:eastAsia="es-ES_tradnl"/>
              </w:rPr>
            </w:pPr>
            <w:r w:rsidRPr="0021231E">
              <w:rPr>
                <w:rFonts w:ascii="Century Gothic" w:eastAsia="Calibri" w:hAnsi="Century Gothic" w:cs="Arial"/>
                <w:b/>
                <w:szCs w:val="24"/>
                <w:lang w:val="es-ES_tradnl" w:eastAsia="es-ES_tradnl"/>
              </w:rPr>
              <w:t>Temas:</w:t>
            </w:r>
          </w:p>
        </w:tc>
        <w:tc>
          <w:tcPr>
            <w:tcW w:w="6237" w:type="dxa"/>
          </w:tcPr>
          <w:p w14:paraId="041C7FF7" w14:textId="77777777" w:rsidR="002D0890" w:rsidRPr="00D34F24" w:rsidRDefault="002D0890" w:rsidP="00E91D3F">
            <w:pPr>
              <w:spacing w:after="120"/>
              <w:contextualSpacing/>
              <w:jc w:val="both"/>
              <w:rPr>
                <w:rFonts w:ascii="Century Gothic" w:eastAsia="Calibri" w:hAnsi="Century Gothic" w:cs="Arial"/>
                <w:bCs/>
                <w:lang w:val="es-ES_tradnl" w:eastAsia="es-ES_tradnl"/>
              </w:rPr>
            </w:pPr>
            <w:r w:rsidRPr="0021231E">
              <w:rPr>
                <w:rFonts w:ascii="Century Gothic" w:eastAsia="Calibri" w:hAnsi="Century Gothic" w:cs="Arial"/>
                <w:szCs w:val="24"/>
                <w:lang w:eastAsia="es-ES_tradnl"/>
              </w:rPr>
              <w:t>COLOMBIA COMPRA EFICIENTE – Competencia Consultiva – Contratación Estatal – Normas Generales /</w:t>
            </w:r>
            <w:r>
              <w:rPr>
                <w:rFonts w:ascii="Century Gothic" w:eastAsia="Calibri" w:hAnsi="Century Gothic" w:cs="Arial"/>
                <w:szCs w:val="24"/>
                <w:lang w:eastAsia="es-ES_tradnl"/>
              </w:rPr>
              <w:t xml:space="preserve"> </w:t>
            </w:r>
            <w:r w:rsidRPr="00DE2B01">
              <w:rPr>
                <w:rFonts w:ascii="Century Gothic" w:eastAsia="Calibri" w:hAnsi="Century Gothic" w:cs="Arial"/>
                <w:szCs w:val="24"/>
                <w:lang w:eastAsia="es-ES_tradnl"/>
              </w:rPr>
              <w:t>FUNCIÓN CONSULTIVA – Alcance – No vinculante</w:t>
            </w:r>
            <w:r w:rsidRPr="00DE2B01">
              <w:rPr>
                <w:rFonts w:ascii="Century Gothic" w:eastAsia="Calibri" w:hAnsi="Century Gothic" w:cs="Arial"/>
                <w:szCs w:val="24"/>
                <w:lang w:val="es-ES_tradnl" w:eastAsia="es-ES_tradnl"/>
              </w:rPr>
              <w:t xml:space="preserve"> / CONTRATO DE INTERVENTORÍA </w:t>
            </w:r>
            <w:r w:rsidRPr="00DE2B01">
              <w:rPr>
                <w:rFonts w:ascii="Century Gothic" w:eastAsia="Calibri" w:hAnsi="Century Gothic" w:cs="Arial"/>
                <w:szCs w:val="24"/>
                <w:lang w:eastAsia="es-ES_tradnl"/>
              </w:rPr>
              <w:t>– Finalidad – Ley 1474 de 2011 / CONTRATO DE INTERVENTORÍA – Características</w:t>
            </w:r>
            <w:r>
              <w:rPr>
                <w:rFonts w:ascii="Century Gothic" w:eastAsia="Calibri" w:hAnsi="Century Gothic" w:cs="Arial"/>
                <w:szCs w:val="24"/>
                <w:lang w:eastAsia="es-ES_tradnl"/>
              </w:rPr>
              <w:t xml:space="preserve"> / </w:t>
            </w:r>
            <w:r w:rsidRPr="00D34F24">
              <w:rPr>
                <w:rFonts w:ascii="Century Gothic" w:eastAsia="Times New Roman" w:hAnsi="Century Gothic" w:cs="Arial"/>
                <w:color w:val="000000" w:themeColor="text1"/>
                <w:szCs w:val="24"/>
                <w:shd w:val="clear" w:color="auto" w:fill="FFFFFF"/>
                <w:lang w:val="es-ES" w:eastAsia="es-MX"/>
              </w:rPr>
              <w:t>PROCEDIMIENTO SANCIONATORIO CONTRACTUAL – Imposición de multas, sanciones y declaratorias de incumplimiento – Cláusulas exorbitantes – Imposición unilateral – Potestades excepcionales de la administración pública</w:t>
            </w:r>
          </w:p>
          <w:p w14:paraId="5465CBE5" w14:textId="77777777" w:rsidR="002D0890" w:rsidRPr="0021231E" w:rsidRDefault="002D0890" w:rsidP="00E91D3F">
            <w:pPr>
              <w:spacing w:after="120"/>
              <w:contextualSpacing/>
              <w:jc w:val="both"/>
              <w:rPr>
                <w:rFonts w:ascii="Century Gothic" w:eastAsia="Calibri" w:hAnsi="Century Gothic" w:cs="Arial"/>
                <w:bCs/>
                <w:lang w:val="es-MX" w:eastAsia="es-ES_tradnl"/>
              </w:rPr>
            </w:pPr>
          </w:p>
        </w:tc>
      </w:tr>
      <w:tr w:rsidR="002D0890" w:rsidRPr="0021231E" w14:paraId="6966177D" w14:textId="77777777" w:rsidTr="00E91D3F">
        <w:trPr>
          <w:jc w:val="right"/>
        </w:trPr>
        <w:tc>
          <w:tcPr>
            <w:tcW w:w="1838" w:type="dxa"/>
          </w:tcPr>
          <w:p w14:paraId="5BE8005E" w14:textId="77777777" w:rsidR="002D0890" w:rsidRPr="0021231E" w:rsidRDefault="002D0890" w:rsidP="00E91D3F">
            <w:pPr>
              <w:jc w:val="center"/>
              <w:rPr>
                <w:rFonts w:ascii="Century Gothic" w:eastAsia="Calibri" w:hAnsi="Century Gothic" w:cs="Arial"/>
                <w:b/>
                <w:szCs w:val="24"/>
                <w:lang w:val="es-ES" w:eastAsia="es-ES_tradnl"/>
              </w:rPr>
            </w:pPr>
            <w:r w:rsidRPr="0021231E">
              <w:rPr>
                <w:rFonts w:ascii="Century Gothic" w:eastAsia="Calibri" w:hAnsi="Century Gothic" w:cs="Arial"/>
                <w:b/>
                <w:szCs w:val="24"/>
                <w:lang w:val="es-ES" w:eastAsia="es-ES_tradnl"/>
              </w:rPr>
              <w:t xml:space="preserve"> Radicación:</w:t>
            </w:r>
          </w:p>
        </w:tc>
        <w:tc>
          <w:tcPr>
            <w:tcW w:w="6237" w:type="dxa"/>
          </w:tcPr>
          <w:p w14:paraId="6E630FE8" w14:textId="77777777" w:rsidR="002D0890" w:rsidRPr="0021231E" w:rsidRDefault="002D0890" w:rsidP="00E91D3F">
            <w:pPr>
              <w:jc w:val="both"/>
              <w:rPr>
                <w:rFonts w:ascii="Century Gothic" w:eastAsia="Calibri" w:hAnsi="Century Gothic" w:cs="Arial"/>
                <w:szCs w:val="24"/>
                <w:lang w:val="es-ES" w:eastAsia="es-ES_tradnl"/>
              </w:rPr>
            </w:pPr>
            <w:r w:rsidRPr="0021231E">
              <w:rPr>
                <w:rFonts w:ascii="Century Gothic" w:eastAsia="Calibri" w:hAnsi="Century Gothic" w:cs="Arial"/>
                <w:szCs w:val="24"/>
                <w:lang w:val="es-ES" w:eastAsia="es-ES_tradnl"/>
              </w:rPr>
              <w:t>Respuesta a consulta P2023</w:t>
            </w:r>
            <w:r>
              <w:rPr>
                <w:rFonts w:ascii="Century Gothic" w:eastAsia="Calibri" w:hAnsi="Century Gothic" w:cs="Arial"/>
                <w:szCs w:val="24"/>
                <w:lang w:val="es-ES" w:eastAsia="es-ES_tradnl"/>
              </w:rPr>
              <w:t>1012016007</w:t>
            </w:r>
          </w:p>
        </w:tc>
      </w:tr>
    </w:tbl>
    <w:p w14:paraId="0C9FF8F2" w14:textId="77777777" w:rsidR="002D0890" w:rsidRPr="0021231E" w:rsidRDefault="002D0890" w:rsidP="002D0890">
      <w:pPr>
        <w:spacing w:after="0" w:line="276" w:lineRule="auto"/>
        <w:jc w:val="both"/>
        <w:rPr>
          <w:rFonts w:ascii="Century Gothic" w:eastAsia="Calibri" w:hAnsi="Century Gothic" w:cs="Arial"/>
          <w:szCs w:val="24"/>
          <w:lang w:val="es-ES_tradnl" w:eastAsia="es-ES_tradnl"/>
        </w:rPr>
      </w:pPr>
    </w:p>
    <w:p w14:paraId="701E09EB" w14:textId="77777777" w:rsidR="002D0890" w:rsidRPr="0021231E" w:rsidRDefault="002D0890" w:rsidP="002D0890">
      <w:pPr>
        <w:spacing w:after="0" w:line="276" w:lineRule="auto"/>
        <w:jc w:val="both"/>
        <w:rPr>
          <w:rFonts w:ascii="Century Gothic" w:eastAsia="Calibri" w:hAnsi="Century Gothic" w:cs="Arial"/>
          <w:szCs w:val="24"/>
          <w:lang w:val="es-ES_tradnl" w:eastAsia="es-ES_tradnl"/>
        </w:rPr>
      </w:pPr>
      <w:r w:rsidRPr="0021231E">
        <w:rPr>
          <w:rFonts w:ascii="Century Gothic" w:eastAsia="Calibri" w:hAnsi="Century Gothic" w:cs="Arial"/>
          <w:szCs w:val="24"/>
          <w:lang w:val="es-ES_tradnl" w:eastAsia="es-ES_tradnl"/>
        </w:rPr>
        <w:t>Estimad</w:t>
      </w:r>
      <w:r>
        <w:rPr>
          <w:rFonts w:ascii="Century Gothic" w:eastAsia="Calibri" w:hAnsi="Century Gothic" w:cs="Arial"/>
          <w:szCs w:val="24"/>
          <w:lang w:val="es-ES_tradnl" w:eastAsia="es-ES_tradnl"/>
        </w:rPr>
        <w:t>a</w:t>
      </w:r>
      <w:r w:rsidRPr="0021231E">
        <w:rPr>
          <w:rFonts w:ascii="Century Gothic" w:eastAsia="Calibri" w:hAnsi="Century Gothic" w:cs="Arial"/>
          <w:szCs w:val="24"/>
          <w:lang w:val="es-ES_tradnl" w:eastAsia="es-ES_tradnl"/>
        </w:rPr>
        <w:t xml:space="preserve"> señor</w:t>
      </w:r>
      <w:r>
        <w:rPr>
          <w:rFonts w:ascii="Century Gothic" w:eastAsia="Calibri" w:hAnsi="Century Gothic" w:cs="Arial"/>
          <w:szCs w:val="24"/>
          <w:lang w:val="es-ES_tradnl" w:eastAsia="es-ES_tradnl"/>
        </w:rPr>
        <w:t>a</w:t>
      </w:r>
      <w:r w:rsidRPr="0021231E">
        <w:rPr>
          <w:rFonts w:ascii="Century Gothic" w:eastAsia="Calibri" w:hAnsi="Century Gothic" w:cs="Arial"/>
          <w:szCs w:val="24"/>
          <w:lang w:val="es-ES_tradnl" w:eastAsia="es-ES_tradnl"/>
        </w:rPr>
        <w:t xml:space="preserve"> N</w:t>
      </w:r>
      <w:r>
        <w:rPr>
          <w:rFonts w:ascii="Century Gothic" w:eastAsia="Calibri" w:hAnsi="Century Gothic" w:cs="Arial"/>
          <w:szCs w:val="24"/>
          <w:lang w:val="es-ES_tradnl" w:eastAsia="es-ES_tradnl"/>
        </w:rPr>
        <w:t>arváez</w:t>
      </w:r>
      <w:r w:rsidRPr="0021231E">
        <w:rPr>
          <w:rFonts w:ascii="Century Gothic" w:eastAsia="Calibri" w:hAnsi="Century Gothic" w:cs="Arial"/>
          <w:szCs w:val="24"/>
          <w:lang w:val="es-ES_tradnl" w:eastAsia="es-ES_tradnl"/>
        </w:rPr>
        <w:t>:</w:t>
      </w:r>
    </w:p>
    <w:p w14:paraId="4B6F6A71" w14:textId="77777777" w:rsidR="002D0890" w:rsidRPr="0021231E" w:rsidRDefault="002D0890" w:rsidP="002D0890">
      <w:pPr>
        <w:spacing w:after="0" w:line="276" w:lineRule="auto"/>
        <w:jc w:val="both"/>
        <w:rPr>
          <w:rFonts w:ascii="Century Gothic" w:eastAsia="Calibri" w:hAnsi="Century Gothic" w:cs="Arial"/>
          <w:szCs w:val="24"/>
          <w:lang w:val="es-ES_tradnl" w:eastAsia="es-ES_tradnl"/>
        </w:rPr>
      </w:pPr>
    </w:p>
    <w:p w14:paraId="0C534473" w14:textId="77777777" w:rsidR="002D0890" w:rsidRPr="0021231E" w:rsidRDefault="002D0890" w:rsidP="002D0890">
      <w:pPr>
        <w:spacing w:after="0" w:line="276" w:lineRule="auto"/>
        <w:jc w:val="both"/>
        <w:rPr>
          <w:rFonts w:ascii="Century Gothic" w:eastAsia="Calibri" w:hAnsi="Century Gothic" w:cs="Arial"/>
          <w:szCs w:val="24"/>
          <w:lang w:val="es-ES" w:eastAsia="es-ES_tradnl"/>
        </w:rPr>
      </w:pPr>
      <w:r w:rsidRPr="0021231E">
        <w:rPr>
          <w:rFonts w:ascii="Century Gothic" w:eastAsia="Calibri" w:hAnsi="Century Gothic" w:cs="Arial"/>
          <w:szCs w:val="24"/>
          <w:lang w:val="es-ES" w:eastAsia="es-ES_tradnl"/>
        </w:rPr>
        <w:t>En virtud de la competencia conferida por el numeral 8 del artículo 11 y el numeral 5 del artículo 3 del Decreto Ley 4170 de 2011, la Agencia Nacional de Contratación Pública -Colombia Compra Eficiente- responde a su consulta</w:t>
      </w:r>
      <w:r>
        <w:rPr>
          <w:rFonts w:ascii="Century Gothic" w:eastAsia="Calibri" w:hAnsi="Century Gothic" w:cs="Arial"/>
          <w:szCs w:val="24"/>
          <w:lang w:val="es-ES" w:eastAsia="es-ES_tradnl"/>
        </w:rPr>
        <w:t xml:space="preserve"> d</w:t>
      </w:r>
      <w:r w:rsidRPr="0021231E">
        <w:rPr>
          <w:rFonts w:ascii="Century Gothic" w:eastAsia="Calibri" w:hAnsi="Century Gothic" w:cs="Arial"/>
          <w:szCs w:val="24"/>
          <w:lang w:val="es-ES" w:eastAsia="es-ES_tradnl"/>
        </w:rPr>
        <w:t>el 1</w:t>
      </w:r>
      <w:r>
        <w:rPr>
          <w:rFonts w:ascii="Century Gothic" w:eastAsia="Calibri" w:hAnsi="Century Gothic" w:cs="Arial"/>
          <w:szCs w:val="24"/>
          <w:lang w:val="es-ES" w:eastAsia="es-ES_tradnl"/>
        </w:rPr>
        <w:t xml:space="preserve">2 </w:t>
      </w:r>
      <w:r w:rsidRPr="0021231E">
        <w:rPr>
          <w:rFonts w:ascii="Century Gothic" w:eastAsia="Calibri" w:hAnsi="Century Gothic" w:cs="Arial"/>
          <w:szCs w:val="24"/>
          <w:lang w:val="es-ES" w:eastAsia="es-ES_tradnl"/>
        </w:rPr>
        <w:t xml:space="preserve">de </w:t>
      </w:r>
      <w:r>
        <w:rPr>
          <w:rFonts w:ascii="Century Gothic" w:eastAsia="Calibri" w:hAnsi="Century Gothic" w:cs="Arial"/>
          <w:szCs w:val="24"/>
          <w:lang w:val="es-ES" w:eastAsia="es-ES_tradnl"/>
        </w:rPr>
        <w:t xml:space="preserve">octubre </w:t>
      </w:r>
      <w:r w:rsidRPr="0021231E">
        <w:rPr>
          <w:rFonts w:ascii="Century Gothic" w:eastAsia="Calibri" w:hAnsi="Century Gothic" w:cs="Arial"/>
          <w:szCs w:val="24"/>
          <w:lang w:val="es-ES" w:eastAsia="es-ES_tradnl"/>
        </w:rPr>
        <w:t>de 2023.</w:t>
      </w:r>
    </w:p>
    <w:p w14:paraId="7175A99F" w14:textId="77777777" w:rsidR="002D0890" w:rsidRPr="0021231E" w:rsidRDefault="002D0890" w:rsidP="002D0890">
      <w:pPr>
        <w:spacing w:after="0" w:line="276" w:lineRule="auto"/>
        <w:jc w:val="both"/>
        <w:rPr>
          <w:rFonts w:ascii="Century Gothic" w:eastAsia="Calibri" w:hAnsi="Century Gothic" w:cs="Arial"/>
          <w:szCs w:val="24"/>
          <w:lang w:val="es-ES_tradnl" w:eastAsia="es-CO"/>
        </w:rPr>
      </w:pPr>
    </w:p>
    <w:p w14:paraId="49F91B4B" w14:textId="77777777" w:rsidR="002D0890" w:rsidRPr="0021231E" w:rsidRDefault="002D0890" w:rsidP="002D0890">
      <w:pPr>
        <w:spacing w:after="0" w:line="276" w:lineRule="auto"/>
        <w:jc w:val="both"/>
        <w:rPr>
          <w:rFonts w:ascii="Century Gothic" w:eastAsia="Calibri" w:hAnsi="Century Gothic" w:cs="Arial"/>
          <w:szCs w:val="24"/>
          <w:lang w:val="es-ES_tradnl" w:eastAsia="es-CO"/>
        </w:rPr>
      </w:pPr>
      <w:r w:rsidRPr="0021231E">
        <w:rPr>
          <w:rFonts w:ascii="Century Gothic" w:eastAsia="Calibri" w:hAnsi="Century Gothic" w:cs="Arial"/>
          <w:b/>
          <w:szCs w:val="24"/>
          <w:lang w:val="es-ES_tradnl" w:eastAsia="es-CO"/>
        </w:rPr>
        <w:t>1.</w:t>
      </w:r>
      <w:r w:rsidRPr="0021231E">
        <w:rPr>
          <w:rFonts w:ascii="Century Gothic" w:eastAsia="Calibri" w:hAnsi="Century Gothic" w:cs="Arial"/>
          <w:b/>
          <w:szCs w:val="24"/>
          <w:lang w:val="es-ES_tradnl" w:eastAsia="es-CO"/>
        </w:rPr>
        <w:tab/>
        <w:t>Problema planteado</w:t>
      </w:r>
    </w:p>
    <w:p w14:paraId="7498E0B0" w14:textId="77777777" w:rsidR="002D0890" w:rsidRPr="0021231E" w:rsidRDefault="002D0890" w:rsidP="002D0890">
      <w:pPr>
        <w:tabs>
          <w:tab w:val="left" w:pos="0"/>
          <w:tab w:val="left" w:pos="142"/>
          <w:tab w:val="left" w:pos="284"/>
        </w:tabs>
        <w:spacing w:after="0" w:line="276" w:lineRule="auto"/>
        <w:contextualSpacing/>
        <w:jc w:val="both"/>
        <w:rPr>
          <w:rFonts w:ascii="Century Gothic" w:eastAsia="Calibri" w:hAnsi="Century Gothic" w:cs="Arial"/>
          <w:szCs w:val="24"/>
          <w:lang w:val="es-ES_tradnl" w:eastAsia="es-ES_tradnl"/>
        </w:rPr>
      </w:pPr>
    </w:p>
    <w:p w14:paraId="27F0B4FA" w14:textId="77777777" w:rsidR="002D0890" w:rsidRDefault="002D0890" w:rsidP="002D0890">
      <w:pPr>
        <w:spacing w:after="0" w:line="276" w:lineRule="auto"/>
        <w:jc w:val="both"/>
        <w:rPr>
          <w:rFonts w:ascii="Century Gothic" w:eastAsia="Times New Roman" w:hAnsi="Century Gothic" w:cs="Arial"/>
          <w:szCs w:val="24"/>
          <w:lang w:val="es-ES_tradnl" w:eastAsia="es-ES_tradnl"/>
        </w:rPr>
      </w:pPr>
      <w:r w:rsidRPr="0021231E">
        <w:rPr>
          <w:rFonts w:ascii="Century Gothic" w:eastAsia="Times New Roman" w:hAnsi="Century Gothic" w:cs="Arial"/>
          <w:szCs w:val="24"/>
          <w:lang w:val="es-ES_tradnl" w:eastAsia="es-ES_tradnl"/>
        </w:rPr>
        <w:t xml:space="preserve">En relación con </w:t>
      </w:r>
      <w:r>
        <w:rPr>
          <w:rFonts w:ascii="Century Gothic" w:eastAsia="Times New Roman" w:hAnsi="Century Gothic" w:cs="Arial"/>
          <w:szCs w:val="24"/>
          <w:lang w:val="es-ES_tradnl" w:eastAsia="es-ES_tradnl"/>
        </w:rPr>
        <w:t>algunos artículos de las Leyes 1150 de 2007 y 1474 de 2011</w:t>
      </w:r>
      <w:r w:rsidRPr="0021231E">
        <w:rPr>
          <w:rFonts w:ascii="Century Gothic" w:eastAsia="Times New Roman" w:hAnsi="Century Gothic" w:cs="Arial"/>
          <w:szCs w:val="24"/>
          <w:lang w:val="es-ES_tradnl" w:eastAsia="es-ES_tradnl"/>
        </w:rPr>
        <w:t>, usted</w:t>
      </w:r>
      <w:r>
        <w:rPr>
          <w:rFonts w:ascii="Century Gothic" w:eastAsia="Times New Roman" w:hAnsi="Century Gothic" w:cs="Arial"/>
          <w:szCs w:val="24"/>
          <w:lang w:val="es-ES_tradnl" w:eastAsia="es-ES_tradnl"/>
        </w:rPr>
        <w:t xml:space="preserve"> </w:t>
      </w:r>
      <w:r w:rsidRPr="0021231E">
        <w:rPr>
          <w:rFonts w:ascii="Century Gothic" w:eastAsia="Times New Roman" w:hAnsi="Century Gothic" w:cs="Arial"/>
          <w:szCs w:val="24"/>
          <w:lang w:val="es-ES_tradnl" w:eastAsia="es-ES_tradnl"/>
        </w:rPr>
        <w:t xml:space="preserve">solicita sea emitido un concepto jurídico en el que se </w:t>
      </w:r>
      <w:r>
        <w:rPr>
          <w:rFonts w:ascii="Century Gothic" w:eastAsia="Times New Roman" w:hAnsi="Century Gothic" w:cs="Arial"/>
          <w:szCs w:val="24"/>
          <w:lang w:val="es-ES_tradnl" w:eastAsia="es-ES_tradnl"/>
        </w:rPr>
        <w:t>aborden las siguientes inquietudes:</w:t>
      </w:r>
    </w:p>
    <w:p w14:paraId="585BAA2B" w14:textId="77777777" w:rsidR="002D0890" w:rsidRPr="00DE2B01" w:rsidRDefault="002D0890" w:rsidP="002D0890">
      <w:pPr>
        <w:spacing w:after="0" w:line="276" w:lineRule="auto"/>
        <w:jc w:val="both"/>
        <w:rPr>
          <w:rFonts w:ascii="Century Gothic" w:eastAsia="Times New Roman" w:hAnsi="Century Gothic" w:cs="Arial"/>
          <w:szCs w:val="24"/>
          <w:lang w:val="es-ES_tradnl" w:eastAsia="es-ES_tradnl"/>
        </w:rPr>
      </w:pPr>
    </w:p>
    <w:p w14:paraId="4F9C1B2C"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bookmarkStart w:id="4" w:name="_Hlk151875880"/>
      <w:r w:rsidRPr="00256233">
        <w:rPr>
          <w:rFonts w:ascii="Century Gothic" w:eastAsia="Times New Roman" w:hAnsi="Century Gothic" w:cs="Arial"/>
          <w:i/>
          <w:iCs/>
          <w:sz w:val="21"/>
          <w:szCs w:val="21"/>
          <w:lang w:eastAsia="es-CO"/>
        </w:rPr>
        <w:t>“</w:t>
      </w:r>
      <w:r w:rsidRPr="00256233">
        <w:rPr>
          <w:rFonts w:ascii="Century Gothic" w:hAnsi="Century Gothic"/>
          <w:i/>
          <w:iCs/>
          <w:sz w:val="21"/>
          <w:szCs w:val="21"/>
        </w:rPr>
        <w:t>1. ¿Puede una entidad adicionar plazo a un contrato de interventoría de manera unilateral?</w:t>
      </w:r>
    </w:p>
    <w:p w14:paraId="32CB41E0"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p>
    <w:p w14:paraId="3AAAEE84"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r w:rsidRPr="00256233">
        <w:rPr>
          <w:rFonts w:ascii="Century Gothic" w:hAnsi="Century Gothic"/>
          <w:i/>
          <w:iCs/>
          <w:sz w:val="21"/>
          <w:szCs w:val="21"/>
        </w:rPr>
        <w:t>2. ¿Puede una entidad solicitar al contratista de una interventoría suscribir la firma de una prórroga del contrato, sin establecer valor alguno a dicho plazo?</w:t>
      </w:r>
    </w:p>
    <w:p w14:paraId="4A8D0403"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p>
    <w:p w14:paraId="1EDFBA90"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r w:rsidRPr="00256233">
        <w:rPr>
          <w:rFonts w:ascii="Century Gothic" w:hAnsi="Century Gothic"/>
          <w:i/>
          <w:iCs/>
          <w:sz w:val="21"/>
          <w:szCs w:val="21"/>
        </w:rPr>
        <w:lastRenderedPageBreak/>
        <w:t>3. ¿El contratista de una interventoría puede negarse a suscribir prorroga de un contrato cuando no se establezca el valor de la misma?</w:t>
      </w:r>
    </w:p>
    <w:p w14:paraId="0804E721"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p>
    <w:bookmarkEnd w:id="4"/>
    <w:p w14:paraId="3F239509"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r w:rsidRPr="00256233">
        <w:rPr>
          <w:rFonts w:ascii="Century Gothic" w:hAnsi="Century Gothic"/>
          <w:i/>
          <w:iCs/>
          <w:sz w:val="21"/>
          <w:szCs w:val="21"/>
        </w:rPr>
        <w:t>4. ¿Una entidad puede imponer multas, sanciones o declarar incumplimiento de un contrato cuando el contratista se niegue a suscribir prorroga, debido a la falta de recursos para su ejecución?</w:t>
      </w:r>
    </w:p>
    <w:p w14:paraId="53194F03"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p>
    <w:p w14:paraId="0CF910A4" w14:textId="77777777" w:rsidR="002D0890" w:rsidRPr="00256233" w:rsidRDefault="002D0890" w:rsidP="002D0890">
      <w:pPr>
        <w:spacing w:after="0" w:line="240" w:lineRule="auto"/>
        <w:ind w:left="851" w:right="760"/>
        <w:contextualSpacing/>
        <w:jc w:val="both"/>
        <w:rPr>
          <w:rFonts w:ascii="Century Gothic" w:eastAsia="Times New Roman" w:hAnsi="Century Gothic" w:cs="Arial"/>
          <w:i/>
          <w:iCs/>
          <w:sz w:val="21"/>
          <w:szCs w:val="21"/>
          <w:lang w:eastAsia="es-CO"/>
        </w:rPr>
      </w:pPr>
      <w:r w:rsidRPr="00256233">
        <w:rPr>
          <w:rFonts w:ascii="Century Gothic" w:hAnsi="Century Gothic"/>
          <w:i/>
          <w:iCs/>
          <w:sz w:val="21"/>
          <w:szCs w:val="21"/>
        </w:rPr>
        <w:t>5. ¿Cuál es el plazo que tiene una entidad para la imposición de multas, sanciones o declarar incumplimiento de un contrato, una vez este haya terminado su ejecución?”.</w:t>
      </w:r>
    </w:p>
    <w:p w14:paraId="4A00224B" w14:textId="77777777" w:rsidR="002D0890" w:rsidRDefault="002D0890" w:rsidP="002D0890">
      <w:pPr>
        <w:spacing w:after="0" w:line="276" w:lineRule="auto"/>
        <w:jc w:val="both"/>
        <w:rPr>
          <w:rFonts w:ascii="Century Gothic" w:eastAsia="Times New Roman" w:hAnsi="Century Gothic" w:cs="Arial"/>
          <w:szCs w:val="24"/>
          <w:lang w:val="es-ES_tradnl" w:eastAsia="es-ES_tradnl"/>
        </w:rPr>
      </w:pPr>
    </w:p>
    <w:p w14:paraId="0230725D" w14:textId="77777777" w:rsidR="002D0890" w:rsidRPr="004E1D79" w:rsidRDefault="002D0890" w:rsidP="002D0890">
      <w:pPr>
        <w:spacing w:after="0" w:line="276" w:lineRule="auto"/>
        <w:jc w:val="both"/>
        <w:rPr>
          <w:rFonts w:ascii="Century Gothic" w:eastAsia="Calibri" w:hAnsi="Century Gothic" w:cs="Arial"/>
          <w:szCs w:val="24"/>
          <w:lang w:val="es-ES_tradnl" w:eastAsia="es-CO"/>
        </w:rPr>
      </w:pPr>
      <w:r w:rsidRPr="004E1D79">
        <w:rPr>
          <w:rFonts w:ascii="Century Gothic" w:eastAsia="Calibri" w:hAnsi="Century Gothic" w:cs="Arial"/>
          <w:b/>
          <w:szCs w:val="24"/>
          <w:lang w:val="es-ES_tradnl" w:eastAsia="es-CO"/>
        </w:rPr>
        <w:t>2.</w:t>
      </w:r>
      <w:r w:rsidRPr="004E1D79">
        <w:rPr>
          <w:rFonts w:ascii="Century Gothic" w:eastAsia="Calibri" w:hAnsi="Century Gothic" w:cs="Arial"/>
          <w:b/>
          <w:szCs w:val="24"/>
          <w:lang w:val="es-ES_tradnl" w:eastAsia="es-CO"/>
        </w:rPr>
        <w:tab/>
        <w:t>Consideraciones</w:t>
      </w:r>
    </w:p>
    <w:p w14:paraId="17A00878" w14:textId="77777777" w:rsidR="002D0890" w:rsidRPr="004E1D79" w:rsidRDefault="002D0890" w:rsidP="002D0890">
      <w:pPr>
        <w:spacing w:after="0" w:line="276" w:lineRule="auto"/>
        <w:jc w:val="both"/>
        <w:rPr>
          <w:rFonts w:ascii="Century Gothic" w:eastAsia="Times New Roman" w:hAnsi="Century Gothic" w:cs="Arial"/>
          <w:szCs w:val="24"/>
          <w:lang w:val="es-ES_tradnl" w:eastAsia="es-ES_tradnl"/>
        </w:rPr>
      </w:pPr>
    </w:p>
    <w:p w14:paraId="71719D4A" w14:textId="77777777" w:rsidR="002D0890" w:rsidRPr="004E1D79" w:rsidRDefault="002D0890" w:rsidP="002D0890">
      <w:pPr>
        <w:spacing w:after="120" w:line="276" w:lineRule="auto"/>
        <w:jc w:val="both"/>
        <w:rPr>
          <w:rFonts w:ascii="Century Gothic" w:eastAsia="Times New Roman" w:hAnsi="Century Gothic" w:cs="Arial"/>
          <w:szCs w:val="24"/>
          <w:lang w:val="es-ES" w:eastAsia="es-ES_tradnl"/>
        </w:rPr>
      </w:pPr>
      <w:r w:rsidRPr="004E1D79">
        <w:rPr>
          <w:rFonts w:ascii="Century Gothic" w:eastAsia="Times New Roman" w:hAnsi="Century Gothic" w:cs="Arial"/>
          <w:szCs w:val="24"/>
          <w:lang w:eastAsia="es-ES_tradnl"/>
        </w:rPr>
        <w:t>En ejercicio de las competencias previstas en los artículos 3, numeral 5° y 11, numeral 8° del Decreto-Ley 4170 de 2011, la Agencia Nacional de Contratación Pública -Colombia Compra Eficiente- resuelve las consultas sobre los asuntos de su competencia, esto es, sobre las temáticas de la contratación estatal y compras públicas relacionadas en los artículos citados.</w:t>
      </w:r>
      <w:r w:rsidRPr="004E1D79">
        <w:rPr>
          <w:rFonts w:ascii="Century Gothic" w:eastAsia="Times New Roman" w:hAnsi="Century Gothic" w:cs="Arial"/>
          <w:szCs w:val="24"/>
          <w:shd w:val="clear" w:color="auto" w:fill="E6E6E6"/>
          <w:lang w:eastAsia="es-ES_tradnl"/>
        </w:rPr>
        <w:t xml:space="preserve"> </w:t>
      </w:r>
      <w:r w:rsidRPr="004E1D79">
        <w:rPr>
          <w:rFonts w:ascii="Century Gothic" w:eastAsia="Times New Roman" w:hAnsi="Century Gothic" w:cs="Arial"/>
          <w:szCs w:val="24"/>
          <w:lang w:val="es-ES" w:eastAsia="es-ES_tradnl"/>
        </w:rPr>
        <w:t>Es necesario tener en cuenta que esta entidad solo tiene competencia para responder solicitudes sobre la aplicación de normas de carácter general en materia de compras y contratación pública. En este sentido, resolver casos particulares desborda las atribuciones asignadas por el legislador extraordinario, que no concibió a Colombia Compra Eficiente como una autoridad para solucionar problemas jurídicos particulares</w:t>
      </w:r>
      <w:r w:rsidRPr="004E1D79">
        <w:rPr>
          <w:rFonts w:ascii="Century Gothic" w:eastAsia="Times New Roman" w:hAnsi="Century Gothic" w:cs="Arial"/>
          <w:szCs w:val="24"/>
          <w:lang w:eastAsia="es-ES_tradnl"/>
        </w:rPr>
        <w:t xml:space="preserve"> de todos los partícipes de la contratación estatal.</w:t>
      </w:r>
    </w:p>
    <w:p w14:paraId="2EAC0B7B" w14:textId="77777777" w:rsidR="002D0890" w:rsidRPr="004E1D79" w:rsidRDefault="002D0890" w:rsidP="002D0890">
      <w:pPr>
        <w:spacing w:after="120" w:line="276" w:lineRule="auto"/>
        <w:ind w:firstLine="708"/>
        <w:jc w:val="both"/>
        <w:rPr>
          <w:rFonts w:ascii="Century Gothic" w:eastAsia="Times New Roman" w:hAnsi="Century Gothic" w:cs="Arial"/>
          <w:szCs w:val="24"/>
          <w:lang w:val="es-ES" w:eastAsia="es-ES_tradnl"/>
        </w:rPr>
      </w:pPr>
      <w:r w:rsidRPr="004E1D79">
        <w:rPr>
          <w:rFonts w:ascii="Century Gothic" w:eastAsia="Times New Roman" w:hAnsi="Century Gothic" w:cs="Arial"/>
          <w:szCs w:val="24"/>
          <w:lang w:val="es-ES" w:eastAsia="es-ES_tradnl"/>
        </w:rP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sidRPr="004E1D79">
        <w:rPr>
          <w:rFonts w:ascii="Century Gothic" w:eastAsia="Times New Roman" w:hAnsi="Century Gothic" w:cs="Arial"/>
          <w:szCs w:val="24"/>
          <w:vertAlign w:val="superscript"/>
          <w:lang w:val="es-ES" w:eastAsia="es-ES_tradnl"/>
        </w:rPr>
        <w:footnoteReference w:id="2"/>
      </w:r>
      <w:r w:rsidRPr="004E1D79">
        <w:rPr>
          <w:rFonts w:ascii="Century Gothic" w:eastAsia="Times New Roman" w:hAnsi="Century Gothic" w:cs="Arial"/>
          <w:szCs w:val="24"/>
          <w:lang w:val="es-ES" w:eastAsia="es-ES_tradnl"/>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w:t>
      </w:r>
      <w:r w:rsidRPr="004E1D79">
        <w:rPr>
          <w:rFonts w:ascii="Century Gothic" w:eastAsia="Times New Roman" w:hAnsi="Century Gothic" w:cs="Arial"/>
          <w:szCs w:val="24"/>
          <w:lang w:val="es-ES" w:eastAsia="es-ES_tradnl"/>
        </w:rPr>
        <w:lastRenderedPageBreak/>
        <w:t>inquietud. Por lo anterior, previo concepto de sus órganos asesores, la solución de estos temas corresponde a la entidad que adelanta el procedimiento de selección y, en caso de conflicto, a las autoridades judiciales, fiscales y/o disciplinarias, según corresponda.</w:t>
      </w:r>
    </w:p>
    <w:p w14:paraId="1941413B" w14:textId="77777777" w:rsidR="002D0890" w:rsidRDefault="002D0890" w:rsidP="002D0890">
      <w:pPr>
        <w:spacing w:after="120" w:line="276" w:lineRule="auto"/>
        <w:ind w:firstLine="708"/>
        <w:jc w:val="both"/>
        <w:rPr>
          <w:rFonts w:ascii="Century Gothic" w:eastAsia="Calibri" w:hAnsi="Century Gothic" w:cs="Arial"/>
          <w:color w:val="000000" w:themeColor="text1"/>
          <w:lang w:val="es-ES_tradnl"/>
        </w:rPr>
      </w:pPr>
      <w:r w:rsidRPr="004E1D79">
        <w:rPr>
          <w:rFonts w:ascii="Century Gothic" w:eastAsia="Times New Roman" w:hAnsi="Century Gothic" w:cs="Arial"/>
          <w:szCs w:val="24"/>
          <w:lang w:val="es-ES" w:eastAsia="es-ES_tradnl"/>
        </w:rPr>
        <w:t xml:space="preserve">Bajo este entendido, </w:t>
      </w:r>
      <w:r w:rsidRPr="004E1D79">
        <w:rPr>
          <w:rFonts w:ascii="Century Gothic" w:eastAsia="Times New Roman" w:hAnsi="Century Gothic" w:cs="Arial"/>
          <w:szCs w:val="24"/>
          <w:lang w:eastAsia="es-ES_tradnl"/>
        </w:rPr>
        <w:t>la Subdirección -dentro del límite de sus atribuciones, esto es, haciendo abstracción de cualquier caso particular que pueda llegar a proponer l</w:t>
      </w:r>
      <w:r>
        <w:rPr>
          <w:rFonts w:ascii="Century Gothic" w:eastAsia="Times New Roman" w:hAnsi="Century Gothic" w:cs="Arial"/>
          <w:szCs w:val="24"/>
          <w:lang w:eastAsia="es-ES_tradnl"/>
        </w:rPr>
        <w:t>a</w:t>
      </w:r>
      <w:r w:rsidRPr="004E1D79">
        <w:rPr>
          <w:rFonts w:ascii="Century Gothic" w:eastAsia="Times New Roman" w:hAnsi="Century Gothic" w:cs="Arial"/>
          <w:szCs w:val="24"/>
          <w:lang w:eastAsia="es-ES_tradnl"/>
        </w:rPr>
        <w:t xml:space="preserve"> peticionari</w:t>
      </w:r>
      <w:r>
        <w:rPr>
          <w:rFonts w:ascii="Century Gothic" w:eastAsia="Times New Roman" w:hAnsi="Century Gothic" w:cs="Arial"/>
          <w:szCs w:val="24"/>
          <w:lang w:eastAsia="es-ES_tradnl"/>
        </w:rPr>
        <w:t>a</w:t>
      </w:r>
      <w:r w:rsidRPr="004E1D79">
        <w:rPr>
          <w:rFonts w:ascii="Century Gothic" w:eastAsia="Times New Roman" w:hAnsi="Century Gothic" w:cs="Arial"/>
          <w:szCs w:val="24"/>
          <w:lang w:eastAsia="es-ES_tradnl"/>
        </w:rPr>
        <w:t xml:space="preserve">- resolverá la presente consulta de acuerdo con el alcance general de las normas en materia de contratación estatal. Con tal propósito, analizará los siguientes temas: </w:t>
      </w:r>
      <w:r w:rsidRPr="004E1D79">
        <w:rPr>
          <w:rFonts w:ascii="Century Gothic" w:eastAsia="Times New Roman" w:hAnsi="Century Gothic" w:cs="Arial"/>
          <w:i/>
          <w:szCs w:val="24"/>
          <w:lang w:eastAsia="es-ES_tradnl"/>
        </w:rPr>
        <w:t>(i)</w:t>
      </w:r>
      <w:r w:rsidRPr="004E1D79">
        <w:rPr>
          <w:rFonts w:ascii="Century Gothic" w:eastAsia="Times New Roman" w:hAnsi="Century Gothic" w:cs="Arial"/>
          <w:szCs w:val="24"/>
          <w:lang w:eastAsia="es-ES_tradnl"/>
        </w:rPr>
        <w:t xml:space="preserve"> los efectos de los conceptos emitidos por la Agencia Nacional de Contratación Pública -Colombia Compra Eficiente; </w:t>
      </w:r>
      <w:r w:rsidRPr="004E1D79">
        <w:rPr>
          <w:rFonts w:ascii="Century Gothic" w:eastAsia="Times New Roman" w:hAnsi="Century Gothic" w:cs="Arial"/>
          <w:i/>
          <w:iCs/>
          <w:szCs w:val="24"/>
          <w:lang w:eastAsia="es-ES_tradnl"/>
        </w:rPr>
        <w:t>(ii)</w:t>
      </w:r>
      <w:r w:rsidRPr="004E1D79">
        <w:rPr>
          <w:rFonts w:ascii="Century Gothic" w:eastAsia="Times New Roman" w:hAnsi="Century Gothic" w:cs="Arial"/>
          <w:szCs w:val="24"/>
          <w:lang w:eastAsia="es-ES_tradnl"/>
        </w:rPr>
        <w:t xml:space="preserve"> la finalidad y características del contrato de interventoría a la luz de lo previsto en el artículo 83 de la Ley 1474 de 2011; y </w:t>
      </w:r>
      <w:r w:rsidRPr="004E1D79">
        <w:rPr>
          <w:rFonts w:ascii="Century Gothic" w:eastAsia="Times New Roman" w:hAnsi="Century Gothic" w:cs="Arial"/>
          <w:i/>
          <w:iCs/>
          <w:szCs w:val="24"/>
          <w:lang w:eastAsia="es-ES_tradnl"/>
        </w:rPr>
        <w:t>(iii)</w:t>
      </w:r>
      <w:r w:rsidRPr="004E1D79">
        <w:rPr>
          <w:rFonts w:ascii="Century Gothic" w:eastAsia="Times New Roman" w:hAnsi="Century Gothic" w:cs="Arial"/>
          <w:szCs w:val="24"/>
          <w:lang w:eastAsia="es-ES_tradnl"/>
        </w:rPr>
        <w:t xml:space="preserve"> </w:t>
      </w:r>
      <w:r>
        <w:rPr>
          <w:rFonts w:ascii="Century Gothic" w:eastAsia="Times New Roman" w:hAnsi="Century Gothic" w:cs="Arial"/>
          <w:szCs w:val="24"/>
          <w:lang w:eastAsia="es-ES_tradnl"/>
        </w:rPr>
        <w:t xml:space="preserve">el régimen sancionatorio en el Estatuto General de Contratación de la Administración Pública, </w:t>
      </w:r>
      <w:r w:rsidRPr="00D4101E">
        <w:rPr>
          <w:rFonts w:ascii="Century Gothic" w:eastAsia="Calibri" w:hAnsi="Century Gothic" w:cs="Arial"/>
          <w:color w:val="000000" w:themeColor="text1"/>
          <w:lang w:val="es-ES_tradnl"/>
        </w:rPr>
        <w:t>particularmente en torno a la potestad sancionatoria de las entidades estatales y el procedimiento administrativo que deben adelantar para declarar el incumplimiento y aplicar las sanciones correspondientes</w:t>
      </w:r>
      <w:r>
        <w:rPr>
          <w:rFonts w:ascii="Century Gothic" w:eastAsia="Calibri" w:hAnsi="Century Gothic" w:cs="Arial"/>
          <w:color w:val="000000" w:themeColor="text1"/>
          <w:lang w:val="es-ES_tradnl"/>
        </w:rPr>
        <w:t>.</w:t>
      </w:r>
    </w:p>
    <w:p w14:paraId="77703C36" w14:textId="77777777" w:rsidR="002D0890" w:rsidRPr="004E1D79" w:rsidRDefault="002D0890" w:rsidP="009A4245">
      <w:pPr>
        <w:spacing w:after="0" w:line="276" w:lineRule="auto"/>
        <w:ind w:firstLine="708"/>
        <w:jc w:val="both"/>
        <w:rPr>
          <w:rFonts w:ascii="Century Gothic" w:eastAsia="Times New Roman" w:hAnsi="Century Gothic" w:cs="Arial"/>
          <w:szCs w:val="24"/>
          <w:lang w:eastAsia="es-ES_tradnl"/>
        </w:rPr>
      </w:pPr>
      <w:r w:rsidRPr="004E1D79">
        <w:rPr>
          <w:rFonts w:ascii="Century Gothic" w:eastAsia="Times New Roman" w:hAnsi="Century Gothic" w:cs="Arial"/>
          <w:szCs w:val="24"/>
          <w:lang w:eastAsia="es-ES_tradnl"/>
        </w:rPr>
        <w:t xml:space="preserve">La Agencia Nacional de Contratación Pública -Colombia Compra Eficiente- se ha referido previamente a los temas planteados en los conceptos </w:t>
      </w:r>
      <w:r w:rsidRPr="004E1D79">
        <w:rPr>
          <w:rFonts w:ascii="Century Gothic" w:eastAsia="Calibri" w:hAnsi="Century Gothic" w:cs="Arial"/>
          <w:color w:val="000000" w:themeColor="text1"/>
          <w:lang w:val="es-ES"/>
        </w:rPr>
        <w:t xml:space="preserve">4201714000006240 del 27 de septiembre de 2017, </w:t>
      </w:r>
      <w:r w:rsidRPr="004E1D79">
        <w:rPr>
          <w:rFonts w:ascii="Century Gothic" w:eastAsia="Calibri" w:hAnsi="Century Gothic" w:cs="Arial"/>
          <w:szCs w:val="24"/>
          <w:lang w:val="es-ES_tradnl" w:eastAsia="es-ES_tradnl"/>
        </w:rPr>
        <w:t xml:space="preserve">conceptos 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 C-590 del 20 de septiembre de 2022, </w:t>
      </w:r>
      <w:r w:rsidRPr="004E1D79">
        <w:rPr>
          <w:rFonts w:ascii="Century Gothic" w:eastAsia="Calibri" w:hAnsi="Century Gothic" w:cs="Arial"/>
          <w:color w:val="000000" w:themeColor="text1"/>
          <w:lang w:val="es-MX"/>
        </w:rPr>
        <w:t>C-716 del 15 de noviembre de 2022</w:t>
      </w:r>
      <w:r w:rsidRPr="004E1D79">
        <w:rPr>
          <w:rFonts w:ascii="Century Gothic" w:eastAsia="Calibri" w:hAnsi="Century Gothic" w:cs="Arial"/>
          <w:color w:val="000000" w:themeColor="text1"/>
          <w:lang w:val="es-ES"/>
        </w:rPr>
        <w:t xml:space="preserve">, C-114 del 4 de mayo de 2023, </w:t>
      </w:r>
      <w:r>
        <w:rPr>
          <w:rFonts w:ascii="Century Gothic" w:eastAsia="Calibri" w:hAnsi="Century Gothic" w:cs="Arial"/>
          <w:color w:val="000000" w:themeColor="text1"/>
          <w:lang w:val="es-ES"/>
        </w:rPr>
        <w:t xml:space="preserve">C-140 del 13 de junio de 2023, </w:t>
      </w:r>
      <w:r w:rsidRPr="004E1D79">
        <w:rPr>
          <w:rFonts w:ascii="Century Gothic" w:eastAsia="Calibri" w:hAnsi="Century Gothic" w:cs="Arial"/>
          <w:color w:val="000000" w:themeColor="text1"/>
          <w:lang w:val="es-ES"/>
        </w:rPr>
        <w:t>C-198 del 16 de junio de 2023, C-250 del 31 de julio de 2023</w:t>
      </w:r>
      <w:r>
        <w:rPr>
          <w:rFonts w:ascii="Century Gothic" w:eastAsia="Calibri" w:hAnsi="Century Gothic" w:cs="Arial"/>
          <w:color w:val="000000" w:themeColor="text1"/>
          <w:lang w:val="es-ES"/>
        </w:rPr>
        <w:t xml:space="preserve">, C-276 del 14 de julio de 2023, </w:t>
      </w:r>
      <w:r w:rsidRPr="004E1D79">
        <w:rPr>
          <w:rFonts w:ascii="Century Gothic" w:eastAsia="Calibri" w:hAnsi="Century Gothic" w:cs="Arial"/>
          <w:color w:val="000000" w:themeColor="text1"/>
          <w:lang w:val="es-ES"/>
        </w:rPr>
        <w:t>C-288 del 14 de julio de 2023</w:t>
      </w:r>
      <w:r w:rsidRPr="004E1D79">
        <w:rPr>
          <w:rFonts w:ascii="Century Gothic" w:hAnsi="Century Gothic" w:cs="Arial"/>
        </w:rPr>
        <w:t>,</w:t>
      </w:r>
      <w:r>
        <w:rPr>
          <w:rFonts w:ascii="Century Gothic" w:hAnsi="Century Gothic" w:cs="Arial"/>
        </w:rPr>
        <w:t xml:space="preserve"> C-307 del 25 de julio de 2023, C-388 del 25 de septiembre de 2023, C-442 del 31 de octubre de 2023 y C-454 del 16 de noviembre de 2023, </w:t>
      </w:r>
      <w:r w:rsidRPr="004E1D79">
        <w:rPr>
          <w:rFonts w:ascii="Century Gothic" w:hAnsi="Century Gothic" w:cs="Arial"/>
        </w:rPr>
        <w:t>entre otros</w:t>
      </w:r>
      <w:r w:rsidRPr="004E1D79">
        <w:rPr>
          <w:rFonts w:ascii="Century Gothic" w:hAnsi="Century Gothic" w:cs="Arial"/>
          <w:shd w:val="clear" w:color="auto" w:fill="FFFFFF"/>
          <w:vertAlign w:val="superscript"/>
        </w:rPr>
        <w:footnoteReference w:id="3"/>
      </w:r>
      <w:r w:rsidRPr="004E1D79">
        <w:rPr>
          <w:rFonts w:ascii="Century Gothic" w:hAnsi="Century Gothic" w:cs="Arial"/>
        </w:rPr>
        <w:t>. Las tesis propuestas se reiteran y complementan en lo pertinente a continuación:</w:t>
      </w:r>
    </w:p>
    <w:p w14:paraId="27C2E445" w14:textId="77777777" w:rsidR="002D0890" w:rsidRDefault="002D0890" w:rsidP="002D0890">
      <w:pPr>
        <w:spacing w:after="0" w:line="276" w:lineRule="auto"/>
        <w:jc w:val="both"/>
        <w:rPr>
          <w:rFonts w:ascii="Century Gothic" w:hAnsi="Century Gothic" w:cs="Arial"/>
          <w:b/>
          <w:bCs/>
        </w:rPr>
      </w:pPr>
    </w:p>
    <w:p w14:paraId="7ABC0042" w14:textId="77777777" w:rsidR="002D0890" w:rsidRPr="005C780B" w:rsidRDefault="002D0890" w:rsidP="002D0890">
      <w:pPr>
        <w:spacing w:after="120" w:line="276" w:lineRule="auto"/>
        <w:jc w:val="both"/>
        <w:rPr>
          <w:rFonts w:ascii="Century Gothic" w:hAnsi="Century Gothic" w:cs="Arial"/>
        </w:rPr>
      </w:pPr>
      <w:r w:rsidRPr="005C780B">
        <w:rPr>
          <w:rFonts w:ascii="Century Gothic" w:eastAsia="Calibri" w:hAnsi="Century Gothic" w:cs="Arial"/>
          <w:b/>
          <w:lang w:val="es-ES_tradnl"/>
        </w:rPr>
        <w:t>2.1.</w:t>
      </w:r>
      <w:r w:rsidRPr="005C780B">
        <w:rPr>
          <w:rFonts w:ascii="Century Gothic" w:eastAsia="Calibri" w:hAnsi="Century Gothic" w:cs="Arial"/>
          <w:b/>
          <w:lang w:val="es-ES_tradnl"/>
        </w:rPr>
        <w:tab/>
        <w:t>Los efectos de los conceptos emitidos por Colombia Compra Eficiente</w:t>
      </w:r>
    </w:p>
    <w:p w14:paraId="1962D1F9" w14:textId="77777777" w:rsidR="002D0890" w:rsidRPr="005C780B" w:rsidRDefault="002D0890" w:rsidP="002D0890">
      <w:pPr>
        <w:tabs>
          <w:tab w:val="left" w:pos="426"/>
        </w:tabs>
        <w:spacing w:line="276" w:lineRule="auto"/>
        <w:jc w:val="both"/>
        <w:rPr>
          <w:rFonts w:ascii="Century Gothic" w:eastAsia="Calibri" w:hAnsi="Century Gothic" w:cs="Arial"/>
          <w:bCs/>
          <w:lang w:val="es-ES_tradnl"/>
        </w:rPr>
      </w:pPr>
      <w:r>
        <w:rPr>
          <w:rFonts w:ascii="Century Gothic" w:eastAsia="Calibri" w:hAnsi="Century Gothic" w:cs="Arial"/>
          <w:bCs/>
          <w:lang w:val="es-ES_tradnl"/>
        </w:rPr>
        <w:t xml:space="preserve">Además de lo previamente </w:t>
      </w:r>
      <w:r w:rsidRPr="005C780B">
        <w:rPr>
          <w:rFonts w:ascii="Century Gothic" w:eastAsia="Calibri" w:hAnsi="Century Gothic" w:cs="Arial"/>
          <w:bCs/>
          <w:lang w:val="es-ES_tradnl"/>
        </w:rPr>
        <w:t>expuesto sobre la competencia consultiva de esta entidad,</w:t>
      </w:r>
      <w:r>
        <w:rPr>
          <w:rFonts w:ascii="Century Gothic" w:eastAsia="Calibri" w:hAnsi="Century Gothic" w:cs="Arial"/>
          <w:bCs/>
          <w:lang w:val="es-ES_tradnl"/>
        </w:rPr>
        <w:t xml:space="preserve"> interesa a</w:t>
      </w:r>
      <w:r w:rsidRPr="005C780B">
        <w:rPr>
          <w:rFonts w:ascii="Century Gothic" w:eastAsia="Calibri" w:hAnsi="Century Gothic" w:cs="Arial"/>
          <w:bCs/>
          <w:lang w:val="es-ES_tradnl"/>
        </w:rPr>
        <w:t xml:space="preserve">clarar </w:t>
      </w:r>
      <w:r>
        <w:rPr>
          <w:rFonts w:ascii="Century Gothic" w:eastAsia="Calibri" w:hAnsi="Century Gothic" w:cs="Arial"/>
          <w:bCs/>
          <w:lang w:val="es-ES_tradnl"/>
        </w:rPr>
        <w:t xml:space="preserve">preliminarmente </w:t>
      </w:r>
      <w:r w:rsidRPr="005C780B">
        <w:rPr>
          <w:rFonts w:ascii="Century Gothic" w:eastAsia="Calibri" w:hAnsi="Century Gothic" w:cs="Arial"/>
          <w:bCs/>
          <w:lang w:val="es-ES_tradnl"/>
        </w:rPr>
        <w:t xml:space="preserve">que, en ejercicio de las competencias </w:t>
      </w:r>
      <w:r w:rsidRPr="005C780B">
        <w:rPr>
          <w:rFonts w:ascii="Century Gothic" w:eastAsia="Calibri" w:hAnsi="Century Gothic" w:cs="Arial"/>
          <w:bCs/>
          <w:lang w:val="es-ES_tradnl"/>
        </w:rPr>
        <w:lastRenderedPageBreak/>
        <w:t xml:space="preserve">consagradas en los artículos 3, numeral 5, 11, numeral 8, 12, numeral 6, y 13, numeral 4, del Decreto 4170 de 2011, la Agencia Nacional de Contratación Pública – Colombia Compra Eficiente resuelve las consultas </w:t>
      </w:r>
      <w:r>
        <w:rPr>
          <w:rFonts w:ascii="Century Gothic" w:eastAsia="Calibri" w:hAnsi="Century Gothic" w:cs="Arial"/>
          <w:bCs/>
          <w:lang w:val="es-ES_tradnl"/>
        </w:rPr>
        <w:t>en relación con l</w:t>
      </w:r>
      <w:r w:rsidRPr="005C780B">
        <w:rPr>
          <w:rFonts w:ascii="Century Gothic" w:eastAsia="Calibri" w:hAnsi="Century Gothic" w:cs="Arial"/>
          <w:bCs/>
          <w:lang w:val="es-ES_tradnl"/>
        </w:rPr>
        <w:t>os asuntos de su competencia, esto es, sobre las temáticas de contratación estatal relacionadas en los artículos antes referidos. Esta atribución se relaciona con el artículo 28 de la Ley 1437 de 2011, sustituido por el artículo 1 de la Ley 1755, que dispone lo siguiente:</w:t>
      </w:r>
    </w:p>
    <w:p w14:paraId="7F1E09CE" w14:textId="77777777" w:rsidR="002D0890" w:rsidRPr="005C780B" w:rsidRDefault="002D0890" w:rsidP="002D0890">
      <w:pPr>
        <w:tabs>
          <w:tab w:val="left" w:pos="426"/>
        </w:tabs>
        <w:spacing w:after="0" w:line="240" w:lineRule="auto"/>
        <w:ind w:left="709" w:right="709"/>
        <w:jc w:val="both"/>
        <w:rPr>
          <w:rFonts w:ascii="Century Gothic" w:eastAsia="Calibri" w:hAnsi="Century Gothic" w:cs="Arial"/>
          <w:bCs/>
          <w:sz w:val="21"/>
          <w:szCs w:val="21"/>
          <w:lang w:val="es-ES_tradnl"/>
        </w:rPr>
      </w:pPr>
      <w:r w:rsidRPr="005C780B">
        <w:rPr>
          <w:rFonts w:ascii="Century Gothic" w:eastAsia="Calibri" w:hAnsi="Century Gothic" w:cs="Arial"/>
          <w:bCs/>
          <w:sz w:val="21"/>
          <w:szCs w:val="21"/>
          <w:lang w:val="es-ES_tradnl"/>
        </w:rPr>
        <w:t>“Artículo 28. Alcance de los conceptos. Salvo disposición legal en contrario, los conceptos emitidos por las autoridades como respuestas a peticiones realizadas en ejercicio del derecho a formular consultas no serán de obligatorio cumplimiento o ejecución”.</w:t>
      </w:r>
    </w:p>
    <w:p w14:paraId="3E6B278F" w14:textId="77777777" w:rsidR="002D0890" w:rsidRPr="005C780B" w:rsidRDefault="002D0890" w:rsidP="002D0890">
      <w:pPr>
        <w:tabs>
          <w:tab w:val="left" w:pos="426"/>
        </w:tabs>
        <w:spacing w:after="0" w:line="240" w:lineRule="auto"/>
        <w:ind w:right="709"/>
        <w:jc w:val="both"/>
        <w:rPr>
          <w:rFonts w:ascii="Century Gothic" w:eastAsia="Calibri" w:hAnsi="Century Gothic" w:cs="Arial"/>
          <w:bCs/>
          <w:sz w:val="20"/>
          <w:szCs w:val="20"/>
          <w:lang w:val="es-ES_tradnl"/>
        </w:rPr>
      </w:pPr>
    </w:p>
    <w:p w14:paraId="2FD97F61" w14:textId="77777777" w:rsidR="002D0890" w:rsidRPr="005C780B" w:rsidRDefault="002D0890" w:rsidP="002D0890">
      <w:pPr>
        <w:tabs>
          <w:tab w:val="left" w:pos="709"/>
        </w:tabs>
        <w:spacing w:line="276" w:lineRule="auto"/>
        <w:jc w:val="both"/>
        <w:rPr>
          <w:rFonts w:ascii="Century Gothic" w:eastAsia="Calibri" w:hAnsi="Century Gothic" w:cs="Arial"/>
          <w:bCs/>
          <w:lang w:val="es-ES_tradnl"/>
        </w:rPr>
      </w:pPr>
      <w:r>
        <w:rPr>
          <w:rFonts w:ascii="Century Gothic" w:eastAsia="Calibri" w:hAnsi="Century Gothic" w:cs="Arial"/>
          <w:bCs/>
          <w:lang w:val="es-ES_tradnl"/>
        </w:rPr>
        <w:tab/>
      </w:r>
      <w:r w:rsidRPr="005C780B">
        <w:rPr>
          <w:rFonts w:ascii="Century Gothic" w:eastAsia="Calibri" w:hAnsi="Century Gothic" w:cs="Arial"/>
          <w:bCs/>
          <w:lang w:val="es-ES_tradnl"/>
        </w:rPr>
        <w:t>La ley es clara cuando establece que los conceptos emitidos por las autoridades al responder peticiones realizadas en ejercicio del derecho a formular consultas –como fue el caso del concepto de la solicitud de queja– no son de obligatorio cumplimiento o de obligatoria ejecución, en otras palabras, no tienen efectos vinculantes. Las respuestas emitidas como concepto, entonces, consisten en la posición hermenéutica que las entidades tienen respecto del ordenamiento jurídico. Esto explica por qué esta Agencia no resuelve controversias concretas ni brinda asesoría a los partícipes de la contratación estatal</w:t>
      </w:r>
      <w:r w:rsidRPr="005C780B">
        <w:rPr>
          <w:rFonts w:ascii="Century Gothic" w:eastAsia="Calibri" w:hAnsi="Century Gothic" w:cs="Arial"/>
          <w:vertAlign w:val="superscript"/>
          <w:lang w:val="es-ES_tradnl"/>
        </w:rPr>
        <w:footnoteReference w:id="4"/>
      </w:r>
      <w:r w:rsidRPr="005C780B">
        <w:rPr>
          <w:rFonts w:ascii="Century Gothic" w:eastAsia="Calibri" w:hAnsi="Century Gothic" w:cs="Arial"/>
          <w:bCs/>
          <w:lang w:val="es-ES_tradnl"/>
        </w:rPr>
        <w:t>.</w:t>
      </w:r>
    </w:p>
    <w:p w14:paraId="45F86B54" w14:textId="77777777" w:rsidR="002D0890" w:rsidRPr="005C780B" w:rsidRDefault="002D0890" w:rsidP="002D0890">
      <w:pPr>
        <w:tabs>
          <w:tab w:val="left" w:pos="709"/>
        </w:tabs>
        <w:spacing w:before="120" w:line="276" w:lineRule="auto"/>
        <w:jc w:val="both"/>
        <w:rPr>
          <w:rFonts w:ascii="Century Gothic" w:eastAsia="Calibri" w:hAnsi="Century Gothic" w:cs="Arial"/>
          <w:bCs/>
          <w:sz w:val="21"/>
          <w:szCs w:val="21"/>
        </w:rPr>
      </w:pPr>
      <w:r w:rsidRPr="005C780B">
        <w:rPr>
          <w:rFonts w:ascii="Century Gothic" w:eastAsia="Calibri" w:hAnsi="Century Gothic" w:cs="Arial"/>
          <w:bCs/>
          <w:lang w:val="es-ES_tradnl"/>
        </w:rPr>
        <w:tab/>
        <w:t xml:space="preserve">Esta posición es compartida por varias entidades públicas que ejercen la misma función. Por ejemplo, la Procuraduría General de la Nación aclaró que el concepto </w:t>
      </w:r>
      <w:r w:rsidRPr="005C780B">
        <w:rPr>
          <w:rFonts w:ascii="Century Gothic" w:eastAsia="Calibri" w:hAnsi="Century Gothic" w:cs="Arial"/>
          <w:bCs/>
          <w:i/>
          <w:iCs/>
          <w:lang w:val="es-ES_tradnl"/>
        </w:rPr>
        <w:t xml:space="preserve">“[…] </w:t>
      </w:r>
      <w:r w:rsidRPr="005C780B">
        <w:rPr>
          <w:rFonts w:ascii="Century Gothic" w:eastAsia="Calibri" w:hAnsi="Century Gothic" w:cs="Arial"/>
          <w:bCs/>
          <w:i/>
          <w:iCs/>
        </w:rPr>
        <w:t>sólo constituye un criterio auxiliar de interpretación y que no tiene carácter vinculante de acuerdo con lo dispuesto en los artículos 230 de la Constitución Política, 5° de la Ley 153 de 1887 y 28 de la ley 1437 de 2011”</w:t>
      </w:r>
      <w:r w:rsidRPr="005C780B">
        <w:rPr>
          <w:rFonts w:ascii="Century Gothic" w:eastAsia="Calibri" w:hAnsi="Century Gothic" w:cs="Arial"/>
          <w:vertAlign w:val="superscript"/>
          <w:lang w:val="es-ES_tradnl"/>
        </w:rPr>
        <w:footnoteReference w:id="5"/>
      </w:r>
      <w:r w:rsidRPr="005C780B">
        <w:rPr>
          <w:rFonts w:ascii="Century Gothic" w:eastAsia="Calibri" w:hAnsi="Century Gothic" w:cs="Arial"/>
          <w:bCs/>
        </w:rPr>
        <w:t>. Igualmente, en concepto del año 2017</w:t>
      </w:r>
      <w:r w:rsidRPr="005C780B">
        <w:rPr>
          <w:rFonts w:ascii="Century Gothic" w:eastAsia="Calibri" w:hAnsi="Century Gothic" w:cs="Arial"/>
          <w:vertAlign w:val="superscript"/>
        </w:rPr>
        <w:footnoteReference w:id="6"/>
      </w:r>
      <w:r w:rsidRPr="005C780B">
        <w:rPr>
          <w:rFonts w:ascii="Century Gothic" w:eastAsia="Calibri" w:hAnsi="Century Gothic" w:cs="Arial"/>
          <w:bCs/>
        </w:rPr>
        <w:t xml:space="preserve">,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w:t>
      </w:r>
      <w:r w:rsidRPr="005C780B">
        <w:rPr>
          <w:rFonts w:ascii="Century Gothic" w:eastAsia="Calibri" w:hAnsi="Century Gothic" w:cs="Arial"/>
          <w:bCs/>
        </w:rPr>
        <w:lastRenderedPageBreak/>
        <w:t>sólo pueden ser utilizados para facilitar la interpretación y aplicación de las normas jurídicas vigentes […]”.</w:t>
      </w:r>
    </w:p>
    <w:p w14:paraId="663A4D1B" w14:textId="77777777" w:rsidR="002D0890" w:rsidRPr="005C780B" w:rsidRDefault="002D0890" w:rsidP="002D0890">
      <w:pPr>
        <w:tabs>
          <w:tab w:val="left" w:pos="709"/>
        </w:tabs>
        <w:spacing w:before="120" w:line="276" w:lineRule="auto"/>
        <w:jc w:val="both"/>
        <w:rPr>
          <w:rFonts w:ascii="Century Gothic" w:eastAsia="Calibri" w:hAnsi="Century Gothic" w:cs="Arial"/>
          <w:bCs/>
          <w:lang w:val="es-ES_tradnl"/>
        </w:rPr>
      </w:pPr>
      <w:r w:rsidRPr="005C780B">
        <w:rPr>
          <w:rFonts w:ascii="Century Gothic" w:eastAsia="Calibri" w:hAnsi="Century Gothic" w:cs="Arial"/>
          <w:bCs/>
          <w:lang w:val="es-ES_tradnl"/>
        </w:rPr>
        <w:tab/>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 Al respecto, el profesor Enrique José Arboleda Perdomo</w:t>
      </w:r>
      <w:r w:rsidRPr="005C780B">
        <w:rPr>
          <w:rFonts w:ascii="Century Gothic" w:eastAsia="Calibri" w:hAnsi="Century Gothic" w:cs="Arial"/>
          <w:vertAlign w:val="superscript"/>
          <w:lang w:val="es-ES_tradnl"/>
        </w:rPr>
        <w:footnoteReference w:id="7"/>
      </w:r>
      <w:r w:rsidRPr="005C780B">
        <w:rPr>
          <w:rFonts w:ascii="Century Gothic" w:eastAsia="Calibri" w:hAnsi="Century Gothic" w:cs="Arial"/>
          <w:bCs/>
          <w:lang w:val="es-ES_tradnl"/>
        </w:rPr>
        <w:t>, al interpretar el artículo transcrito, expuso lo siguiente:</w:t>
      </w:r>
    </w:p>
    <w:p w14:paraId="65ACEB9C" w14:textId="77777777" w:rsidR="002D0890" w:rsidRPr="005C780B" w:rsidRDefault="002D0890" w:rsidP="002D0890">
      <w:pPr>
        <w:tabs>
          <w:tab w:val="left" w:pos="709"/>
        </w:tabs>
        <w:spacing w:after="120" w:line="240" w:lineRule="auto"/>
        <w:ind w:left="709" w:right="709"/>
        <w:jc w:val="both"/>
        <w:rPr>
          <w:rFonts w:ascii="Century Gothic" w:eastAsia="Calibri" w:hAnsi="Century Gothic" w:cs="Arial"/>
          <w:bCs/>
          <w:sz w:val="20"/>
          <w:szCs w:val="20"/>
          <w:lang w:val="es-ES_tradnl"/>
        </w:rPr>
      </w:pPr>
      <w:r w:rsidRPr="005C780B">
        <w:rPr>
          <w:rFonts w:ascii="Century Gothic" w:eastAsia="Calibri" w:hAnsi="Century Gothic" w:cs="Arial"/>
          <w:bCs/>
          <w:sz w:val="20"/>
          <w:szCs w:val="20"/>
          <w:lang w:val="es-ES_tradnl"/>
        </w:rPr>
        <w:t xml:space="preserve">“El artículo 28 regula los efectos jurídicos de los conceptos que emita la entidad como respuesta a las consultas que le formulen los particulares, ordenando que </w:t>
      </w:r>
      <w:r w:rsidRPr="005C780B">
        <w:rPr>
          <w:rFonts w:ascii="Century Gothic" w:eastAsia="Calibri" w:hAnsi="Century Gothic" w:cs="Arial"/>
          <w:bCs/>
          <w:i/>
          <w:iCs/>
          <w:sz w:val="20"/>
          <w:szCs w:val="20"/>
          <w:lang w:val="es-ES_tradnl"/>
        </w:rPr>
        <w:t>no serán de obligatorio cumplimiento o ejecución</w:t>
      </w:r>
      <w:r w:rsidRPr="005C780B">
        <w:rPr>
          <w:rFonts w:ascii="Century Gothic" w:eastAsia="Calibri" w:hAnsi="Century Gothic" w:cs="Arial"/>
          <w:bCs/>
          <w:sz w:val="20"/>
          <w:szCs w:val="20"/>
          <w:lang w:val="es-ES_tradnl"/>
        </w:rPr>
        <w:t>. De este mandato surgen las siguientes consideraciones:</w:t>
      </w:r>
    </w:p>
    <w:p w14:paraId="35D7A19B" w14:textId="77777777" w:rsidR="002D0890" w:rsidRPr="005C780B" w:rsidRDefault="002D0890" w:rsidP="002D0890">
      <w:pPr>
        <w:tabs>
          <w:tab w:val="left" w:pos="709"/>
        </w:tabs>
        <w:spacing w:after="120" w:line="240" w:lineRule="auto"/>
        <w:ind w:left="709" w:right="709"/>
        <w:jc w:val="both"/>
        <w:rPr>
          <w:rFonts w:ascii="Century Gothic" w:eastAsia="Calibri" w:hAnsi="Century Gothic" w:cs="Arial"/>
          <w:bCs/>
          <w:sz w:val="20"/>
          <w:szCs w:val="20"/>
        </w:rPr>
      </w:pPr>
      <w:r w:rsidRPr="005C780B">
        <w:rPr>
          <w:rFonts w:ascii="Century Gothic" w:eastAsia="Calibri" w:hAnsi="Century Gothic" w:cs="Arial"/>
          <w:bCs/>
          <w:sz w:val="20"/>
          <w:szCs w:val="20"/>
          <w:lang w:val="es-ES_tradnl"/>
        </w:rPr>
        <w:t xml:space="preserve">La primera, </w:t>
      </w:r>
      <w:r w:rsidRPr="005C780B">
        <w:rPr>
          <w:rFonts w:ascii="Century Gothic" w:eastAsia="Calibri" w:hAnsi="Century Gothic" w:cs="Arial"/>
          <w:bCs/>
          <w:sz w:val="20"/>
          <w:szCs w:val="20"/>
        </w:rPr>
        <w:t>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2C5F7A4C" w14:textId="77777777" w:rsidR="002D0890" w:rsidRPr="005C780B" w:rsidRDefault="002D0890" w:rsidP="002D0890">
      <w:pPr>
        <w:tabs>
          <w:tab w:val="left" w:pos="709"/>
        </w:tabs>
        <w:spacing w:after="120" w:line="240" w:lineRule="auto"/>
        <w:ind w:left="709" w:right="709"/>
        <w:jc w:val="both"/>
        <w:rPr>
          <w:rFonts w:ascii="Century Gothic" w:eastAsia="Calibri" w:hAnsi="Century Gothic" w:cs="Arial"/>
          <w:bCs/>
          <w:sz w:val="20"/>
          <w:szCs w:val="20"/>
        </w:rPr>
      </w:pPr>
      <w:r w:rsidRPr="005C780B">
        <w:rPr>
          <w:rFonts w:ascii="Century Gothic" w:eastAsia="Calibri" w:hAnsi="Century Gothic" w:cs="Arial"/>
          <w:bCs/>
          <w:sz w:val="20"/>
          <w:szCs w:val="20"/>
        </w:rPr>
        <w:t xml:space="preserve">La segunda, que la forma como la administración actúa de manera vinculante para sí misma y para la Generalidad de las personas es el reglamento, no sólo a través de la potestad reglamentaria propia del presidente de la República, sino a través de los demás reglamentos de la administración en el preciso marco de las competencias de cada organismo o entidad, por lo cual los conceptos emitidos no pueden suplir ni menos aún competir con los reglamentos. </w:t>
      </w:r>
    </w:p>
    <w:p w14:paraId="65E377EB" w14:textId="77777777" w:rsidR="002D0890" w:rsidRPr="005C780B" w:rsidRDefault="002D0890" w:rsidP="002D0890">
      <w:pPr>
        <w:tabs>
          <w:tab w:val="left" w:pos="709"/>
        </w:tabs>
        <w:spacing w:line="240" w:lineRule="auto"/>
        <w:ind w:left="709" w:right="709"/>
        <w:jc w:val="both"/>
        <w:rPr>
          <w:rFonts w:ascii="Century Gothic" w:eastAsia="Calibri" w:hAnsi="Century Gothic" w:cs="Arial"/>
          <w:bCs/>
          <w:sz w:val="20"/>
          <w:szCs w:val="20"/>
          <w:lang w:val="es-ES_tradnl"/>
        </w:rPr>
      </w:pPr>
      <w:r w:rsidRPr="005C780B">
        <w:rPr>
          <w:rFonts w:ascii="Century Gothic" w:eastAsia="Calibri" w:hAnsi="Century Gothic" w:cs="Arial"/>
          <w:bCs/>
          <w:sz w:val="20"/>
          <w:szCs w:val="20"/>
        </w:rPr>
        <w:t>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w:t>
      </w:r>
    </w:p>
    <w:p w14:paraId="627C690E" w14:textId="77777777" w:rsidR="002D0890" w:rsidRPr="005C780B" w:rsidRDefault="002D0890" w:rsidP="002D0890">
      <w:pPr>
        <w:tabs>
          <w:tab w:val="left" w:pos="709"/>
        </w:tabs>
        <w:spacing w:line="276" w:lineRule="auto"/>
        <w:jc w:val="both"/>
        <w:rPr>
          <w:rFonts w:ascii="Century Gothic" w:eastAsia="Calibri" w:hAnsi="Century Gothic" w:cs="Arial"/>
          <w:bCs/>
          <w:lang w:val="es-ES_tradnl"/>
        </w:rPr>
      </w:pPr>
      <w:r w:rsidRPr="005C780B">
        <w:rPr>
          <w:rFonts w:ascii="Century Gothic" w:eastAsia="Calibri" w:hAnsi="Century Gothic" w:cs="Arial"/>
          <w:bCs/>
          <w:lang w:val="es-ES_tradnl"/>
        </w:rPr>
        <w:lastRenderedPageBreak/>
        <w:tab/>
        <w:t>A las autoridades que ejercen funciones consultivas no les corresponde darle un alcance o preferir un sentido frente a otro, ya que estas se limitan a expresar su posición hermenéutica respecto a las disposiciones normativas. En tal sentido, no pueden, pues, sobreponer su opinión sobre otras posibles.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tal y no adquiere efectos vinculantes, por más que coincida con el de la autoridad judicial, pues, en esa hipótesis, lo que vincula es la decisión del juez, no el criterio de la entidad que ejerció la función consultiva, pues, como se viene diciendo, dicha competencia se enmarca en el artículo 28 de la Ley 1437 de 2011, en otras palabras, los conceptos “no serán de obligatorio cumplimiento o ejecución”.</w:t>
      </w:r>
    </w:p>
    <w:p w14:paraId="59D7337F" w14:textId="77777777" w:rsidR="002D0890" w:rsidRPr="005C780B" w:rsidRDefault="002D0890" w:rsidP="002D0890">
      <w:pPr>
        <w:tabs>
          <w:tab w:val="left" w:pos="709"/>
        </w:tabs>
        <w:spacing w:before="120" w:line="276" w:lineRule="auto"/>
        <w:jc w:val="both"/>
        <w:rPr>
          <w:rFonts w:ascii="Century Gothic" w:eastAsia="Calibri" w:hAnsi="Century Gothic" w:cs="Arial"/>
          <w:bCs/>
          <w:lang w:val="es-ES_tradnl"/>
        </w:rPr>
      </w:pPr>
      <w:r w:rsidRPr="005C780B">
        <w:rPr>
          <w:rFonts w:ascii="Century Gothic" w:eastAsia="Calibri" w:hAnsi="Century Gothic" w:cs="Arial"/>
          <w:bCs/>
          <w:lang w:val="es-ES_tradnl"/>
        </w:rPr>
        <w:tab/>
        <w:t>En similares términos, el artículo 112 de la Ley 1437 de 2011 establece, en relación con la Sala de Consulta y Servicio Civil, que “[…] los conceptos de la Sala no serán vinculantes, salvo que la ley disponga lo contrario”</w:t>
      </w:r>
      <w:r w:rsidRPr="005C780B">
        <w:rPr>
          <w:rFonts w:ascii="Century Gothic" w:eastAsia="Calibri" w:hAnsi="Century Gothic" w:cs="Arial"/>
          <w:vertAlign w:val="superscript"/>
          <w:lang w:val="es-ES_tradnl"/>
        </w:rPr>
        <w:footnoteReference w:id="8"/>
      </w:r>
      <w:r w:rsidRPr="005C780B">
        <w:rPr>
          <w:rFonts w:ascii="Century Gothic" w:eastAsia="Calibri" w:hAnsi="Century Gothic" w:cs="Arial"/>
          <w:bCs/>
          <w:lang w:val="es-ES_tradnl"/>
        </w:rPr>
        <w:t xml:space="preserve">. Se trata, </w:t>
      </w:r>
      <w:r w:rsidRPr="005C780B">
        <w:rPr>
          <w:rFonts w:ascii="Century Gothic" w:eastAsia="Calibri" w:hAnsi="Century Gothic" w:cs="Arial"/>
          <w:bCs/>
          <w:i/>
          <w:iCs/>
          <w:lang w:val="es-ES_tradnl"/>
        </w:rPr>
        <w:t>mutatis mutandi</w:t>
      </w:r>
      <w:r w:rsidRPr="005C780B">
        <w:rPr>
          <w:rFonts w:ascii="Century Gothic" w:eastAsia="Calibri" w:hAnsi="Century Gothic" w:cs="Arial"/>
          <w:bCs/>
          <w:lang w:val="es-ES_tradnl"/>
        </w:rPr>
        <w:t>,</w:t>
      </w:r>
      <w:r w:rsidRPr="005C780B">
        <w:rPr>
          <w:rFonts w:ascii="Century Gothic" w:eastAsia="Calibri" w:hAnsi="Century Gothic" w:cs="Arial"/>
          <w:bCs/>
          <w:i/>
          <w:iCs/>
          <w:lang w:val="es-ES_tradnl"/>
        </w:rPr>
        <w:t xml:space="preserve"> </w:t>
      </w:r>
      <w:r w:rsidRPr="005C780B">
        <w:rPr>
          <w:rFonts w:ascii="Century Gothic" w:eastAsia="Calibri" w:hAnsi="Century Gothic" w:cs="Arial"/>
          <w:bCs/>
          <w:lang w:val="es-ES_tradnl"/>
        </w:rPr>
        <w:t>del ejercicio de una función consultiva, cuyos efectos, por ende, serán los mismos: no vinculantes ni de obligatorio cumplimiento. En relación con el tema objeto de controversia, la Sala de Consulta y Servicio Civil del Consejo de Estado</w:t>
      </w:r>
      <w:r w:rsidRPr="005C780B">
        <w:rPr>
          <w:rFonts w:ascii="Century Gothic" w:eastAsia="Calibri" w:hAnsi="Century Gothic" w:cs="Arial"/>
          <w:vertAlign w:val="superscript"/>
          <w:lang w:val="es-ES_tradnl"/>
        </w:rPr>
        <w:footnoteReference w:id="9"/>
      </w:r>
      <w:r w:rsidRPr="005C780B">
        <w:rPr>
          <w:rFonts w:ascii="Century Gothic" w:eastAsia="Calibri" w:hAnsi="Century Gothic" w:cs="Arial"/>
          <w:bCs/>
          <w:lang w:val="es-ES_tradnl"/>
        </w:rPr>
        <w:t>, se pronunció en los siguientes términos:</w:t>
      </w:r>
    </w:p>
    <w:p w14:paraId="2FDF812E" w14:textId="77777777" w:rsidR="002D0890" w:rsidRPr="005C780B" w:rsidRDefault="002D0890" w:rsidP="002D0890">
      <w:pPr>
        <w:tabs>
          <w:tab w:val="left" w:pos="426"/>
        </w:tabs>
        <w:spacing w:after="120" w:line="240" w:lineRule="auto"/>
        <w:ind w:left="709" w:right="709"/>
        <w:jc w:val="both"/>
        <w:rPr>
          <w:rFonts w:ascii="Century Gothic" w:eastAsia="Calibri" w:hAnsi="Century Gothic" w:cs="Arial"/>
          <w:bCs/>
          <w:sz w:val="21"/>
          <w:szCs w:val="21"/>
        </w:rPr>
      </w:pPr>
      <w:r w:rsidRPr="005C780B">
        <w:rPr>
          <w:rFonts w:ascii="Century Gothic" w:eastAsia="Calibri" w:hAnsi="Century Gothic" w:cs="Arial"/>
          <w:bCs/>
          <w:sz w:val="21"/>
          <w:szCs w:val="21"/>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w:t>
      </w:r>
      <w:r w:rsidRPr="005C780B">
        <w:rPr>
          <w:rFonts w:ascii="Century Gothic" w:eastAsia="Calibri" w:hAnsi="Century Gothic" w:cs="Arial"/>
          <w:bCs/>
          <w:sz w:val="21"/>
          <w:szCs w:val="21"/>
        </w:rPr>
        <w:lastRenderedPageBreak/>
        <w:t>tanto con independencia de criterios, dentro de una lógica de colaboración armónica de poderes (art.113 C.P).</w:t>
      </w:r>
    </w:p>
    <w:p w14:paraId="2C6B86B9" w14:textId="77777777" w:rsidR="002D0890" w:rsidRPr="005C780B" w:rsidRDefault="002D0890" w:rsidP="002D0890">
      <w:pPr>
        <w:tabs>
          <w:tab w:val="left" w:pos="426"/>
        </w:tabs>
        <w:spacing w:line="240" w:lineRule="auto"/>
        <w:ind w:left="709" w:right="709"/>
        <w:jc w:val="both"/>
        <w:rPr>
          <w:rFonts w:ascii="Century Gothic" w:eastAsia="Calibri" w:hAnsi="Century Gothic" w:cs="Arial"/>
          <w:bCs/>
          <w:sz w:val="21"/>
          <w:szCs w:val="21"/>
        </w:rPr>
      </w:pPr>
      <w:r w:rsidRPr="005C780B">
        <w:rPr>
          <w:rFonts w:ascii="Century Gothic" w:eastAsia="Calibri" w:hAnsi="Century Gothic" w:cs="Arial"/>
          <w:bCs/>
          <w:sz w:val="21"/>
          <w:szCs w:val="21"/>
        </w:rPr>
        <w:t>No se trata entonces de dar la razón a una u otra posición en temas controvertibles, sino de rendir un concepto jurídico que sirva a la Administración en la búsqueda del cumplimiento de las finalidades esenciales del Estado”.</w:t>
      </w:r>
    </w:p>
    <w:p w14:paraId="341C25D9" w14:textId="77777777" w:rsidR="002D0890" w:rsidRPr="005C780B" w:rsidRDefault="002D0890" w:rsidP="002D0890">
      <w:pPr>
        <w:tabs>
          <w:tab w:val="left" w:pos="709"/>
        </w:tabs>
        <w:spacing w:line="276" w:lineRule="auto"/>
        <w:jc w:val="both"/>
        <w:rPr>
          <w:rFonts w:ascii="Century Gothic" w:eastAsia="Calibri" w:hAnsi="Century Gothic" w:cs="Arial"/>
          <w:bCs/>
          <w:lang w:val="es-ES_tradnl"/>
        </w:rPr>
      </w:pPr>
      <w:r w:rsidRPr="005C780B">
        <w:rPr>
          <w:rFonts w:ascii="Century Gothic" w:eastAsia="Calibri" w:hAnsi="Century Gothic" w:cs="Arial"/>
          <w:bCs/>
          <w:lang w:val="es-ES_tradnl"/>
        </w:rPr>
        <w:tab/>
        <w:t>El ejercicio de la función consultiva del artículo 28 de la Ley 1437 de 2011 descarta la resolución de controversias en curso o de problemas cuyos efectos se concreten. Lo primero, debe manejarlo la propia entidad ante la que se presenta el problema, y lo segundo el juez competente. En últimas, siempre que no exista una decisión judicial vinculante, los destinatarios de la norma serán los que interpreten el ordenamiento jurídico. Así las cosas, a título de ejemplo, si una entidad considera que un término vence en un momento específico, habida cuenta de su lectura exegética de la norma respectiva, pero otra entiende que el término vence en otro momento, amparada en una lectura teleológica del ordenamiento jurídico, serán los destinatarios de dicha norma los que decidirán cuál es la interpretación por la que optan, claro está, sin perjuicio del posterior control judicial que podrá hacerse a solicitud de alguno de los interesados. No se trata, entonces, de jerarquías interpretativas sino de opiniones diferentes. El peso de la interpretación depende de la razonabilidad de los argumentos y de la inteligibilidad de la opinión, pero nunca de la autoridad de quien opina.</w:t>
      </w:r>
    </w:p>
    <w:p w14:paraId="36E4C9FA" w14:textId="77777777" w:rsidR="002D0890" w:rsidRPr="005C780B" w:rsidRDefault="002D0890" w:rsidP="002D0890">
      <w:pPr>
        <w:tabs>
          <w:tab w:val="left" w:pos="709"/>
        </w:tabs>
        <w:spacing w:before="120" w:after="120" w:line="276" w:lineRule="auto"/>
        <w:jc w:val="both"/>
        <w:rPr>
          <w:rFonts w:ascii="Century Gothic" w:eastAsia="Calibri" w:hAnsi="Century Gothic" w:cs="Arial"/>
          <w:bCs/>
          <w:lang w:val="es-ES_tradnl"/>
        </w:rPr>
      </w:pPr>
      <w:r w:rsidRPr="005C780B">
        <w:rPr>
          <w:rFonts w:ascii="Century Gothic" w:eastAsia="Calibri" w:hAnsi="Century Gothic" w:cs="Arial"/>
          <w:bCs/>
          <w:lang w:val="es-ES_tradnl"/>
        </w:rPr>
        <w:tab/>
        <w:t>Otro asunto es que la entidad que lee la norma exegéticamente, luego de la decisión judicial, ejerza sus competencias desconociendo la interpretación del juez, como podría pasar, en el ejemplo propuesto, si la entidad rechaza por extemporáneo un recurso, omitiendo la lectura que los jueces hicieron con criterio de autoridad. Con todo, por la naturaleza de la función consultiva, es perfectamente válido que la misma entidad, a título de concepto, mantenga la opinión que no coincide con la judicial, porque la misma no es vinculante.</w:t>
      </w:r>
    </w:p>
    <w:p w14:paraId="022554FD" w14:textId="77777777" w:rsidR="002D0890" w:rsidRDefault="002D0890" w:rsidP="002D0890">
      <w:pPr>
        <w:tabs>
          <w:tab w:val="left" w:pos="709"/>
        </w:tabs>
        <w:spacing w:before="120" w:line="276" w:lineRule="auto"/>
        <w:jc w:val="both"/>
        <w:rPr>
          <w:rFonts w:ascii="Century Gothic" w:eastAsia="Calibri" w:hAnsi="Century Gothic" w:cs="Arial"/>
          <w:bCs/>
          <w:lang w:val="es-ES_tradnl"/>
        </w:rPr>
      </w:pPr>
      <w:r w:rsidRPr="005C780B">
        <w:rPr>
          <w:rFonts w:ascii="Century Gothic" w:eastAsia="Calibri" w:hAnsi="Century Gothic" w:cs="Arial"/>
          <w:bCs/>
          <w:lang w:val="es-ES_tradnl"/>
        </w:rPr>
        <w:tab/>
        <w:t>Así las cosas,</w:t>
      </w:r>
      <w:r>
        <w:rPr>
          <w:rFonts w:ascii="Century Gothic" w:eastAsia="Calibri" w:hAnsi="Century Gothic" w:cs="Arial"/>
          <w:bCs/>
          <w:lang w:val="es-ES_tradnl"/>
        </w:rPr>
        <w:t xml:space="preserve"> ha de insistirse en que </w:t>
      </w:r>
      <w:r w:rsidRPr="005C780B">
        <w:rPr>
          <w:rFonts w:ascii="Century Gothic" w:eastAsia="Calibri" w:hAnsi="Century Gothic" w:cs="Arial"/>
          <w:bCs/>
          <w:lang w:val="es-ES_tradnl"/>
        </w:rPr>
        <w:t>los conceptos de esta Agencia no son actos administrativos y, por lo mismo, no tienen efectos vinculantes en relación con una situación jurídica particular y concreta. Simplemente, en ellos se expone un criterio que, aunque jurídicamente fundamentado, no representa la única interpretación válida del ordenamiento jurídico.</w:t>
      </w:r>
    </w:p>
    <w:p w14:paraId="6AFFDA8D" w14:textId="77777777" w:rsidR="002D0890" w:rsidRPr="005C780B" w:rsidRDefault="002D0890" w:rsidP="002D0890">
      <w:pPr>
        <w:spacing w:after="120" w:line="276" w:lineRule="auto"/>
        <w:jc w:val="both"/>
        <w:rPr>
          <w:rFonts w:ascii="Century Gothic" w:eastAsia="Times New Roman" w:hAnsi="Century Gothic" w:cs="Arial"/>
          <w:szCs w:val="24"/>
          <w:lang w:val="es-ES_tradnl" w:eastAsia="es-ES_tradnl"/>
        </w:rPr>
      </w:pPr>
      <w:bookmarkStart w:id="5" w:name="_Hlk151873111"/>
      <w:r w:rsidRPr="005C780B">
        <w:rPr>
          <w:rFonts w:ascii="Century Gothic" w:eastAsia="Calibri" w:hAnsi="Century Gothic" w:cs="Arial"/>
          <w:b/>
          <w:szCs w:val="24"/>
          <w:lang w:val="es-ES_tradnl" w:eastAsia="es-CO"/>
        </w:rPr>
        <w:t>2.2.</w:t>
      </w:r>
      <w:r w:rsidRPr="005C780B">
        <w:rPr>
          <w:rFonts w:ascii="Century Gothic" w:eastAsia="Calibri" w:hAnsi="Century Gothic" w:cs="Arial"/>
          <w:b/>
          <w:szCs w:val="24"/>
          <w:lang w:val="es-ES_tradnl" w:eastAsia="es-CO"/>
        </w:rPr>
        <w:tab/>
        <w:t>El contrato de interventoría: finalidades y principales características</w:t>
      </w:r>
    </w:p>
    <w:bookmarkEnd w:id="5"/>
    <w:p w14:paraId="74703527" w14:textId="77777777" w:rsidR="002D0890" w:rsidRDefault="002D0890" w:rsidP="002D0890">
      <w:pPr>
        <w:spacing w:after="120" w:line="276" w:lineRule="auto"/>
        <w:jc w:val="both"/>
        <w:rPr>
          <w:rFonts w:ascii="Century Gothic" w:eastAsia="Calibri" w:hAnsi="Century Gothic" w:cs="Arial"/>
          <w:lang w:val="es-MX"/>
        </w:rPr>
      </w:pPr>
      <w:r w:rsidRPr="005C780B">
        <w:rPr>
          <w:rFonts w:ascii="Century Gothic" w:eastAsia="Calibri" w:hAnsi="Century Gothic" w:cs="Arial"/>
          <w:color w:val="000000" w:themeColor="text1"/>
          <w:lang w:val="es-MX"/>
        </w:rPr>
        <w:t xml:space="preserve">La Ley 1474 de 2011 </w:t>
      </w:r>
      <w:r w:rsidRPr="009A4245">
        <w:rPr>
          <w:rFonts w:ascii="Century Gothic" w:hAnsi="Century Gothic"/>
          <w:i/>
          <w:color w:val="000000" w:themeColor="text1"/>
          <w:shd w:val="clear" w:color="auto" w:fill="FFFFFF"/>
        </w:rPr>
        <w:t xml:space="preserve">"[p]or la cual se dictan normas orientadas a fortalecer los mecanismos de prevención, investigación y sanción de actos de corrupción y la </w:t>
      </w:r>
      <w:r w:rsidRPr="009A4245">
        <w:rPr>
          <w:rFonts w:ascii="Century Gothic" w:hAnsi="Century Gothic"/>
          <w:i/>
          <w:color w:val="000000" w:themeColor="text1"/>
          <w:shd w:val="clear" w:color="auto" w:fill="FFFFFF"/>
        </w:rPr>
        <w:lastRenderedPageBreak/>
        <w:t>efectividad del control de la gestión pública"</w:t>
      </w:r>
      <w:r w:rsidRPr="009A4245">
        <w:rPr>
          <w:rFonts w:ascii="Century Gothic" w:eastAsia="Calibri" w:hAnsi="Century Gothic" w:cs="Arial"/>
          <w:i/>
          <w:color w:val="000000" w:themeColor="text1"/>
        </w:rPr>
        <w:t xml:space="preserve"> </w:t>
      </w:r>
      <w:r w:rsidRPr="005C780B">
        <w:rPr>
          <w:rFonts w:ascii="Century Gothic" w:eastAsia="Calibri" w:hAnsi="Century Gothic" w:cs="Arial"/>
          <w:color w:val="000000" w:themeColor="text1"/>
        </w:rPr>
        <w:t>tuvo como uno de sus propósitos enmarcar e</w:t>
      </w:r>
      <w:r w:rsidRPr="005C780B">
        <w:rPr>
          <w:rFonts w:ascii="Century Gothic" w:eastAsia="Calibri" w:hAnsi="Century Gothic" w:cs="Arial"/>
          <w:lang w:val="es-MX"/>
        </w:rPr>
        <w:t>l seguimiento, control y vigilancia de la ejecución del contrato estatal dentro del principio de moralidad administrativa.</w:t>
      </w:r>
    </w:p>
    <w:p w14:paraId="0FB40298" w14:textId="77777777" w:rsidR="002D0890" w:rsidRPr="005C780B" w:rsidRDefault="002D0890" w:rsidP="002D0890">
      <w:pPr>
        <w:spacing w:after="120" w:line="276" w:lineRule="auto"/>
        <w:ind w:firstLine="708"/>
        <w:jc w:val="both"/>
        <w:rPr>
          <w:rFonts w:ascii="Century Gothic" w:eastAsia="Calibri" w:hAnsi="Century Gothic" w:cs="Arial"/>
          <w:color w:val="000000" w:themeColor="text1"/>
        </w:rPr>
      </w:pPr>
      <w:r w:rsidRPr="005C780B">
        <w:rPr>
          <w:rFonts w:ascii="Century Gothic" w:eastAsia="Calibri" w:hAnsi="Century Gothic" w:cs="Arial"/>
          <w:lang w:val="es-MX"/>
        </w:rPr>
        <w:t xml:space="preserve">En efecto, en su artículo 83 se dispuso que </w:t>
      </w:r>
      <w:r w:rsidRPr="009A4245">
        <w:rPr>
          <w:rFonts w:ascii="Century Gothic" w:eastAsia="Calibri" w:hAnsi="Century Gothic" w:cs="Arial"/>
          <w:i/>
          <w:lang w:val="es-MX"/>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sidRPr="005C780B">
        <w:rPr>
          <w:rFonts w:ascii="Century Gothic" w:eastAsia="Calibri" w:hAnsi="Century Gothic" w:cs="Arial"/>
          <w:lang w:val="es-MX"/>
        </w:rPr>
        <w:t xml:space="preserve">. Además, el legislador, en el mismo precepto, definió las nociones de </w:t>
      </w:r>
      <w:r w:rsidRPr="005C780B">
        <w:rPr>
          <w:rFonts w:ascii="Century Gothic" w:eastAsia="Calibri" w:hAnsi="Century Gothic" w:cs="Arial"/>
          <w:i/>
          <w:lang w:val="es-MX"/>
        </w:rPr>
        <w:t>supervisión</w:t>
      </w:r>
      <w:r w:rsidRPr="005C780B">
        <w:rPr>
          <w:rFonts w:ascii="Century Gothic" w:eastAsia="Calibri" w:hAnsi="Century Gothic" w:cs="Arial"/>
          <w:lang w:val="es-MX"/>
        </w:rPr>
        <w:t xml:space="preserve"> e </w:t>
      </w:r>
      <w:r w:rsidRPr="005C780B">
        <w:rPr>
          <w:rFonts w:ascii="Century Gothic" w:eastAsia="Calibri" w:hAnsi="Century Gothic" w:cs="Arial"/>
          <w:i/>
          <w:lang w:val="es-MX"/>
        </w:rPr>
        <w:t>interventoría</w:t>
      </w:r>
      <w:r w:rsidRPr="005C780B">
        <w:rPr>
          <w:rFonts w:ascii="Century Gothic" w:eastAsia="Calibri" w:hAnsi="Century Gothic" w:cs="Arial"/>
          <w:lang w:val="es-MX"/>
        </w:rPr>
        <w:t>, como mecanismos que pueden usar las entidades estatales para vigilar el contrato, en estos términos:</w:t>
      </w:r>
    </w:p>
    <w:p w14:paraId="07D44A94" w14:textId="77777777" w:rsidR="002D0890" w:rsidRPr="005C780B" w:rsidRDefault="002D0890" w:rsidP="002D0890">
      <w:pPr>
        <w:spacing w:after="120" w:line="240" w:lineRule="auto"/>
        <w:ind w:left="709" w:right="709"/>
        <w:jc w:val="both"/>
        <w:rPr>
          <w:rFonts w:ascii="Century Gothic" w:eastAsia="Calibri" w:hAnsi="Century Gothic" w:cs="Arial"/>
          <w:sz w:val="21"/>
          <w:szCs w:val="21"/>
          <w:lang w:val="es-MX"/>
        </w:rPr>
      </w:pPr>
      <w:r w:rsidRPr="005C780B">
        <w:rPr>
          <w:rFonts w:ascii="Century Gothic" w:eastAsia="Calibri" w:hAnsi="Century Gothic" w:cs="Arial"/>
          <w:sz w:val="21"/>
          <w:szCs w:val="21"/>
          <w:lang w:val="es-MX"/>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763DBC92" w14:textId="77777777" w:rsidR="002D0890" w:rsidRPr="005C780B" w:rsidRDefault="002D0890" w:rsidP="002D0890">
      <w:pPr>
        <w:spacing w:after="0" w:line="240" w:lineRule="auto"/>
        <w:ind w:left="709" w:right="709"/>
        <w:jc w:val="both"/>
        <w:rPr>
          <w:rFonts w:ascii="Century Gothic" w:eastAsia="Calibri" w:hAnsi="Century Gothic" w:cs="Arial"/>
          <w:sz w:val="21"/>
          <w:szCs w:val="21"/>
          <w:lang w:val="es-MX"/>
        </w:rPr>
      </w:pPr>
      <w:r w:rsidRPr="005C780B">
        <w:rPr>
          <w:rFonts w:ascii="Century Gothic" w:eastAsia="Calibri" w:hAnsi="Century Gothic" w:cs="Arial"/>
          <w:sz w:val="21"/>
          <w:szCs w:val="21"/>
          <w:lang w:val="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39781EB5" w14:textId="77777777" w:rsidR="002D0890" w:rsidRPr="005C780B" w:rsidRDefault="002D0890" w:rsidP="002D0890">
      <w:pPr>
        <w:spacing w:after="0" w:line="276" w:lineRule="auto"/>
        <w:jc w:val="both"/>
        <w:rPr>
          <w:rFonts w:ascii="Century Gothic" w:eastAsia="Calibri" w:hAnsi="Century Gothic" w:cs="Arial"/>
          <w:sz w:val="21"/>
          <w:szCs w:val="21"/>
          <w:lang w:val="es-ES"/>
        </w:rPr>
      </w:pPr>
    </w:p>
    <w:p w14:paraId="503ECE5C" w14:textId="77777777" w:rsidR="002D0890" w:rsidRPr="005C780B" w:rsidRDefault="002D0890" w:rsidP="002D0890">
      <w:pPr>
        <w:spacing w:after="0" w:line="276" w:lineRule="auto"/>
        <w:ind w:firstLine="709"/>
        <w:jc w:val="both"/>
        <w:rPr>
          <w:rFonts w:ascii="Century Gothic" w:eastAsia="Calibri" w:hAnsi="Century Gothic" w:cs="Arial"/>
          <w:lang w:val="es-MX"/>
        </w:rPr>
      </w:pPr>
      <w:bookmarkStart w:id="6" w:name="_Hlk151924612"/>
      <w:r w:rsidRPr="005C780B">
        <w:rPr>
          <w:rFonts w:ascii="Century Gothic" w:eastAsia="Calibri" w:hAnsi="Century Gothic" w:cs="Arial"/>
          <w:lang w:val="es-MX"/>
        </w:rPr>
        <w:t xml:space="preserve">De conformidad con lo anterior, dentro de las principales características del contrato de interventoría, pueden mencionarse: </w:t>
      </w:r>
      <w:r w:rsidRPr="005C780B">
        <w:rPr>
          <w:rFonts w:ascii="Century Gothic" w:eastAsia="Calibri" w:hAnsi="Century Gothic" w:cs="Arial"/>
          <w:i/>
          <w:iCs/>
          <w:lang w:val="es-MX"/>
        </w:rPr>
        <w:t>(i)</w:t>
      </w:r>
      <w:r w:rsidRPr="005C780B">
        <w:rPr>
          <w:rFonts w:ascii="Century Gothic" w:eastAsia="Calibri" w:hAnsi="Century Gothic" w:cs="Arial"/>
          <w:lang w:val="es-MX"/>
        </w:rPr>
        <w:t xml:space="preserve"> es un mecanismo de vigilancia contingente, de suerte que solo es obligatorio para el seguimiento de los contratos de obra adjudicados por licitación pública </w:t>
      </w:r>
      <w:r w:rsidRPr="005C780B">
        <w:rPr>
          <w:rFonts w:ascii="Arial" w:eastAsia="Calibri" w:hAnsi="Arial" w:cs="Arial"/>
          <w:lang w:val="es-MX"/>
        </w:rPr>
        <w:t>-</w:t>
      </w:r>
      <w:r w:rsidRPr="005C780B">
        <w:rPr>
          <w:rFonts w:ascii="Century Gothic" w:eastAsia="Calibri" w:hAnsi="Century Gothic" w:cs="Arial"/>
          <w:lang w:val="es-MX"/>
        </w:rPr>
        <w:t>art. 32, numeral 1</w:t>
      </w:r>
      <w:r w:rsidRPr="005C780B">
        <w:rPr>
          <w:rFonts w:ascii="Arial" w:eastAsia="Calibri" w:hAnsi="Arial" w:cs="Arial"/>
          <w:lang w:val="es-MX"/>
        </w:rPr>
        <w:t>-</w:t>
      </w:r>
      <w:r w:rsidRPr="005C780B">
        <w:rPr>
          <w:rFonts w:ascii="Century Gothic" w:eastAsia="Calibri" w:hAnsi="Century Gothic" w:cs="Arial"/>
          <w:lang w:val="es-MX"/>
        </w:rPr>
        <w:t xml:space="preserve">; en los demás casos se requerirá cuando “el seguimiento del contrato suponga conocimiento especializado en la materia, o cuando la complejidad o la extensión del mismo lo justifiquen” </w:t>
      </w:r>
      <w:r w:rsidRPr="005C780B">
        <w:rPr>
          <w:rFonts w:ascii="Arial" w:eastAsia="Calibri" w:hAnsi="Arial" w:cs="Arial"/>
          <w:lang w:val="es-MX"/>
        </w:rPr>
        <w:t>-</w:t>
      </w:r>
      <w:r w:rsidRPr="005C780B">
        <w:rPr>
          <w:rFonts w:ascii="Century Gothic" w:eastAsia="Calibri" w:hAnsi="Century Gothic" w:cs="Arial"/>
          <w:lang w:val="es-MX"/>
        </w:rPr>
        <w:t>art. 83, Ley 1474 de 2011</w:t>
      </w:r>
      <w:r w:rsidRPr="005C780B">
        <w:rPr>
          <w:rFonts w:ascii="Arial" w:eastAsia="Calibri" w:hAnsi="Arial" w:cs="Arial"/>
          <w:lang w:val="es-MX"/>
        </w:rPr>
        <w:t>-</w:t>
      </w:r>
      <w:r w:rsidRPr="005C780B">
        <w:rPr>
          <w:rFonts w:ascii="Century Gothic" w:eastAsia="Calibri" w:hAnsi="Century Gothic" w:cs="Arial"/>
          <w:lang w:val="es-MX"/>
        </w:rPr>
        <w:t xml:space="preserve">; </w:t>
      </w:r>
      <w:r w:rsidRPr="005C780B">
        <w:rPr>
          <w:rFonts w:ascii="Century Gothic" w:eastAsia="Calibri" w:hAnsi="Century Gothic" w:cs="Arial"/>
          <w:i/>
          <w:iCs/>
          <w:lang w:val="es-MX"/>
        </w:rPr>
        <w:t>(ii)</w:t>
      </w:r>
      <w:r w:rsidRPr="005C780B">
        <w:rPr>
          <w:rFonts w:ascii="Century Gothic" w:eastAsia="Calibri" w:hAnsi="Century Gothic" w:cs="Arial"/>
          <w:lang w:val="es-MX"/>
        </w:rPr>
        <w:t xml:space="preserve"> este mecanismo de vigilancia exige, en su ejecución, la utilización de conocimientos especializados; (iii) en virtud de lo anterior, la entidad contrata un experto a través de un concurso de méritos, al tratarse la interventoría de una especie del contrato de consultoría </w:t>
      </w:r>
      <w:r w:rsidRPr="005C780B">
        <w:rPr>
          <w:rFonts w:ascii="Arial" w:eastAsia="Calibri" w:hAnsi="Arial" w:cs="Arial"/>
          <w:lang w:val="es-MX"/>
        </w:rPr>
        <w:t>-</w:t>
      </w:r>
      <w:r w:rsidRPr="005C780B">
        <w:rPr>
          <w:rFonts w:ascii="Century Gothic" w:eastAsia="Calibri" w:hAnsi="Century Gothic" w:cs="Arial"/>
          <w:lang w:val="es-MX"/>
        </w:rPr>
        <w:t xml:space="preserve">art. 32, numeral </w:t>
      </w:r>
      <w:r w:rsidRPr="005C780B">
        <w:rPr>
          <w:rFonts w:ascii="Century Gothic" w:eastAsia="Calibri" w:hAnsi="Century Gothic" w:cs="Arial"/>
          <w:lang w:val="es-MX"/>
        </w:rPr>
        <w:lastRenderedPageBreak/>
        <w:t>2, inciso 2, Ley 80 de 1993</w:t>
      </w:r>
      <w:r w:rsidRPr="005C780B">
        <w:rPr>
          <w:rFonts w:ascii="Century Gothic" w:eastAsia="Calibri" w:hAnsi="Century Gothic" w:cs="Arial"/>
          <w:vertAlign w:val="superscript"/>
          <w:lang w:val="es-MX"/>
        </w:rPr>
        <w:footnoteReference w:id="10"/>
      </w:r>
      <w:r w:rsidRPr="005C780B">
        <w:rPr>
          <w:rFonts w:ascii="Arial" w:eastAsia="Calibri" w:hAnsi="Arial" w:cs="Arial"/>
          <w:lang w:val="es-MX"/>
        </w:rPr>
        <w:t>-</w:t>
      </w:r>
      <w:r w:rsidRPr="005C780B">
        <w:rPr>
          <w:rFonts w:ascii="Century Gothic" w:eastAsia="Calibri" w:hAnsi="Century Gothic" w:cs="Arial"/>
          <w:lang w:val="es-MX"/>
        </w:rPr>
        <w:t xml:space="preserve">, de manera que la interventoría es realizada por una </w:t>
      </w:r>
      <w:r w:rsidRPr="009A4245">
        <w:rPr>
          <w:rFonts w:ascii="Century Gothic" w:eastAsia="Calibri" w:hAnsi="Century Gothic" w:cs="Arial"/>
          <w:i/>
          <w:lang w:val="es-MX"/>
        </w:rPr>
        <w:t>“persona natural o jurídica contratada para tal fin por la Entidad Estatal”</w:t>
      </w:r>
      <w:r w:rsidRPr="005C780B">
        <w:rPr>
          <w:rFonts w:ascii="Century Gothic" w:eastAsia="Calibri" w:hAnsi="Century Gothic" w:cs="Arial"/>
          <w:lang w:val="es-MX"/>
        </w:rPr>
        <w:t xml:space="preserve"> </w:t>
      </w:r>
      <w:r w:rsidRPr="005C780B">
        <w:rPr>
          <w:rFonts w:ascii="Arial" w:eastAsia="Calibri" w:hAnsi="Arial" w:cs="Arial"/>
          <w:lang w:val="es-MX"/>
        </w:rPr>
        <w:t>‒</w:t>
      </w:r>
      <w:r w:rsidRPr="005C780B">
        <w:rPr>
          <w:rFonts w:ascii="Century Gothic" w:eastAsia="Calibri" w:hAnsi="Century Gothic" w:cs="Arial"/>
          <w:lang w:val="es-MX"/>
        </w:rPr>
        <w:t>art. 83, Ley 1474</w:t>
      </w:r>
      <w:r w:rsidRPr="005C780B">
        <w:rPr>
          <w:rFonts w:ascii="Arial" w:eastAsia="Calibri" w:hAnsi="Arial" w:cs="Arial"/>
          <w:lang w:val="es-MX"/>
        </w:rPr>
        <w:t>-</w:t>
      </w:r>
      <w:r w:rsidRPr="005C780B">
        <w:rPr>
          <w:rFonts w:ascii="Century Gothic" w:eastAsia="Calibri" w:hAnsi="Century Gothic" w:cs="Arial"/>
          <w:lang w:val="es-MX"/>
        </w:rPr>
        <w:t xml:space="preserve">; </w:t>
      </w:r>
      <w:r w:rsidRPr="005C780B">
        <w:rPr>
          <w:rFonts w:ascii="Century Gothic" w:eastAsia="Calibri" w:hAnsi="Century Gothic" w:cs="Arial"/>
          <w:i/>
          <w:iCs/>
          <w:lang w:val="es-MX"/>
        </w:rPr>
        <w:t>(iv)</w:t>
      </w:r>
      <w:r w:rsidRPr="005C780B">
        <w:rPr>
          <w:rFonts w:ascii="Century Gothic" w:eastAsia="Calibri" w:hAnsi="Century Gothic" w:cs="Arial"/>
          <w:lang w:val="es-MX"/>
        </w:rP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w:t>
      </w:r>
      <w:r w:rsidRPr="009A4245">
        <w:rPr>
          <w:rFonts w:ascii="Century Gothic" w:eastAsia="Calibri" w:hAnsi="Century Gothic" w:cs="Arial"/>
          <w:i/>
          <w:lang w:val="es-MX"/>
        </w:rPr>
        <w:t>“se deberán indicar las actividades técnicas a cargo del interventor y las demás quedarán a cargo de la Entidad a través del supervisor”</w:t>
      </w:r>
      <w:r w:rsidRPr="005C780B">
        <w:rPr>
          <w:rFonts w:ascii="Century Gothic" w:eastAsia="Calibri" w:hAnsi="Century Gothic" w:cs="Arial"/>
          <w:lang w:val="es-MX"/>
        </w:rPr>
        <w:t xml:space="preserve"> </w:t>
      </w:r>
      <w:r w:rsidRPr="005C780B">
        <w:rPr>
          <w:rFonts w:ascii="Arial" w:eastAsia="Calibri" w:hAnsi="Arial" w:cs="Arial"/>
          <w:lang w:val="es-MX"/>
        </w:rPr>
        <w:t>‒</w:t>
      </w:r>
      <w:r w:rsidRPr="005C780B">
        <w:rPr>
          <w:rFonts w:ascii="Century Gothic" w:eastAsia="Calibri" w:hAnsi="Century Gothic" w:cs="Arial"/>
          <w:lang w:val="es-MX"/>
        </w:rPr>
        <w:t>art. 83, inciso 3</w:t>
      </w:r>
      <w:r w:rsidRPr="005C780B">
        <w:rPr>
          <w:rFonts w:ascii="Arial" w:eastAsia="Calibri" w:hAnsi="Arial" w:cs="Arial"/>
          <w:lang w:val="es-MX"/>
        </w:rPr>
        <w:t>‒</w:t>
      </w:r>
      <w:r w:rsidRPr="005C780B">
        <w:rPr>
          <w:rFonts w:ascii="Century Gothic" w:eastAsia="Calibri" w:hAnsi="Century Gothic" w:cs="Arial"/>
          <w:lang w:val="es-MX"/>
        </w:rPr>
        <w:t xml:space="preserve">; y, finalmente, </w:t>
      </w:r>
      <w:r w:rsidRPr="005C780B">
        <w:rPr>
          <w:rFonts w:ascii="Century Gothic" w:eastAsia="Calibri" w:hAnsi="Century Gothic" w:cs="Arial"/>
          <w:i/>
          <w:iCs/>
          <w:lang w:val="es-MX"/>
        </w:rPr>
        <w:t>(vi)</w:t>
      </w:r>
      <w:r w:rsidRPr="005C780B">
        <w:rPr>
          <w:rFonts w:ascii="Century Gothic" w:eastAsia="Calibri" w:hAnsi="Century Gothic" w:cs="Arial"/>
          <w:lang w:val="es-MX"/>
        </w:rPr>
        <w:t xml:space="preserve"> el contrato de interventoría será supervisado directamente por la entidad </w:t>
      </w:r>
      <w:r w:rsidRPr="005C780B">
        <w:rPr>
          <w:rFonts w:ascii="Arial" w:eastAsia="Calibri" w:hAnsi="Arial" w:cs="Arial"/>
          <w:lang w:val="es-MX"/>
        </w:rPr>
        <w:t>-</w:t>
      </w:r>
      <w:r w:rsidRPr="005C780B">
        <w:rPr>
          <w:rFonts w:ascii="Century Gothic" w:eastAsia="Calibri" w:hAnsi="Century Gothic" w:cs="Arial"/>
          <w:lang w:val="es-MX"/>
        </w:rPr>
        <w:t>art. 83, inciso 4</w:t>
      </w:r>
      <w:r w:rsidRPr="005C780B">
        <w:rPr>
          <w:rFonts w:ascii="Arial" w:eastAsia="Calibri" w:hAnsi="Arial" w:cs="Arial"/>
          <w:lang w:val="es-MX"/>
        </w:rPr>
        <w:t>-</w:t>
      </w:r>
      <w:r w:rsidRPr="005C780B">
        <w:rPr>
          <w:rFonts w:ascii="Century Gothic" w:eastAsia="Calibri" w:hAnsi="Century Gothic" w:cs="Arial"/>
          <w:lang w:val="es-MX"/>
        </w:rPr>
        <w:t>.</w:t>
      </w:r>
    </w:p>
    <w:p w14:paraId="147F79A3" w14:textId="77777777" w:rsidR="002D0890" w:rsidRPr="005C780B" w:rsidRDefault="002D0890" w:rsidP="002D0890">
      <w:pPr>
        <w:spacing w:before="120" w:after="0" w:line="276" w:lineRule="auto"/>
        <w:ind w:firstLine="709"/>
        <w:jc w:val="both"/>
        <w:rPr>
          <w:rFonts w:ascii="Century Gothic" w:eastAsia="Calibri" w:hAnsi="Century Gothic" w:cs="Arial"/>
          <w:lang w:val="es-MX"/>
        </w:rPr>
      </w:pPr>
      <w:r w:rsidRPr="005C780B">
        <w:rPr>
          <w:rFonts w:ascii="Century Gothic" w:eastAsia="Calibri" w:hAnsi="Century Gothic" w:cs="Arial"/>
          <w:lang w:val="es-MX"/>
        </w:rPr>
        <w:t>Por otra parte, interesa mencionar que el interventor es un contratista externo a la entidad estatal y al contratista vigilado, de tal forma que es seleccionado por la entidad estatal mediante los procedimientos del artículo 2 de la Ley 1150 de 2007, en principio, a través del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w:t>
      </w:r>
    </w:p>
    <w:p w14:paraId="796A305D" w14:textId="77777777" w:rsidR="002D0890" w:rsidRPr="005C780B" w:rsidRDefault="002D0890" w:rsidP="002D0890">
      <w:pPr>
        <w:spacing w:before="120" w:after="0" w:line="276" w:lineRule="auto"/>
        <w:ind w:firstLine="709"/>
        <w:jc w:val="both"/>
        <w:rPr>
          <w:rFonts w:ascii="Century Gothic" w:eastAsia="Calibri" w:hAnsi="Century Gothic" w:cs="Arial"/>
          <w:color w:val="000000"/>
          <w:lang w:val="es-MX"/>
        </w:rPr>
      </w:pPr>
      <w:r w:rsidRPr="005C780B">
        <w:rPr>
          <w:rFonts w:ascii="Century Gothic" w:eastAsia="Calibri" w:hAnsi="Century Gothic" w:cs="Arial"/>
          <w:color w:val="000000"/>
          <w:lang w:val="es-MX"/>
        </w:rPr>
        <w:t>El interventor contratado usará las facultades previstas en el artículo 84 de la Ley 1474 de 2011 para hacer el seguimiento al cumplimiento obligacional del contrato y estará sometido a los deberes y responsabilidades que implica el ejercicio de dicha actividad. Así las cosas, aun cuando el contrato de interventoría se celebra con un tercero a quien se le confía la labor de vigilar la ejecución idónea de otro contrato, por lo general un contrato de obra pública, aquel actúa con facultades similares a las que tiene la entidad estatal cuando ejerce la supervisión por su propia cuenta. Esto, en la medida en que ambos son mecanismos a través de los cuales las entidades cumplen el deber de vigilar la correcta ejecución de los contratos, por lo que comparten una finalidad común.</w:t>
      </w:r>
    </w:p>
    <w:p w14:paraId="79CE4AEE" w14:textId="77777777" w:rsidR="002D0890" w:rsidRPr="005C780B" w:rsidRDefault="002D0890" w:rsidP="002D0890">
      <w:pPr>
        <w:spacing w:before="120" w:after="0" w:line="276" w:lineRule="auto"/>
        <w:ind w:firstLine="709"/>
        <w:jc w:val="both"/>
        <w:rPr>
          <w:rFonts w:ascii="Century Gothic" w:eastAsia="Calibri" w:hAnsi="Century Gothic" w:cs="Arial"/>
          <w:color w:val="000000"/>
          <w:lang w:val="es-MX"/>
        </w:rPr>
      </w:pPr>
      <w:r w:rsidRPr="005C780B">
        <w:rPr>
          <w:rFonts w:ascii="Century Gothic" w:eastAsia="Calibri" w:hAnsi="Century Gothic" w:cs="Arial"/>
          <w:color w:val="000000"/>
          <w:lang w:val="es-MX"/>
        </w:rPr>
        <w:lastRenderedPageBreak/>
        <w:t>Ahora bien, el contrato de interventoría supone la existencia de otro contrato -es decir, el contrato vigilado-, por lo que la jurisprudencia ha caracterizado esta tipología como un negocio jurídico íntimamente relacionado en su objeto con el contrato respecto del que ejerce las actividades del interventor</w:t>
      </w:r>
      <w:r w:rsidRPr="005C780B">
        <w:rPr>
          <w:rFonts w:ascii="Century Gothic" w:eastAsia="Calibri" w:hAnsi="Century Gothic" w:cs="Arial"/>
          <w:color w:val="000000"/>
          <w:vertAlign w:val="superscript"/>
          <w:lang w:val="es-MX"/>
        </w:rPr>
        <w:footnoteReference w:id="11"/>
      </w:r>
      <w:r w:rsidRPr="005C780B">
        <w:rPr>
          <w:rFonts w:ascii="Century Gothic" w:eastAsia="Calibri" w:hAnsi="Century Gothic" w:cs="Arial"/>
          <w:color w:val="000000"/>
          <w:lang w:val="es-MX"/>
        </w:rPr>
        <w:t>. No obstante, a pesar de ello, el contrato de interventoría es independiente del otro contrato 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w:t>
      </w:r>
      <w:r w:rsidRPr="005C780B">
        <w:rPr>
          <w:rFonts w:ascii="Century Gothic" w:eastAsia="Calibri" w:hAnsi="Century Gothic" w:cs="Arial"/>
          <w:color w:val="000000"/>
          <w:vertAlign w:val="superscript"/>
          <w:lang w:val="es-MX"/>
        </w:rPr>
        <w:footnoteReference w:id="12"/>
      </w:r>
      <w:r w:rsidRPr="005C780B">
        <w:rPr>
          <w:rFonts w:ascii="Century Gothic" w:eastAsia="Calibri" w:hAnsi="Century Gothic" w:cs="Arial"/>
          <w:color w:val="000000"/>
          <w:lang w:val="es-MX"/>
        </w:rPr>
        <w:t>.</w:t>
      </w:r>
    </w:p>
    <w:p w14:paraId="7A1D8312" w14:textId="77777777" w:rsidR="002D0890" w:rsidRPr="005C780B" w:rsidRDefault="002D0890" w:rsidP="002D0890">
      <w:pPr>
        <w:spacing w:before="120" w:after="120" w:line="276" w:lineRule="auto"/>
        <w:ind w:firstLine="709"/>
        <w:jc w:val="both"/>
        <w:rPr>
          <w:rFonts w:ascii="Century Gothic" w:eastAsia="Calibri" w:hAnsi="Century Gothic" w:cs="Arial"/>
          <w:color w:val="000000"/>
          <w:lang w:val="es-MX"/>
        </w:rPr>
      </w:pPr>
      <w:r w:rsidRPr="005C780B">
        <w:rPr>
          <w:rFonts w:ascii="Century Gothic" w:eastAsia="Calibri" w:hAnsi="Century Gothic" w:cs="Arial"/>
          <w:color w:val="000000"/>
          <w:lang w:val="es-MX"/>
        </w:rPr>
        <w:t>El contrato de interventoría es un contrato bilateral, conmutativo y oneroso, por lo que crea obligaciones tanto para la entidad contratante como para el contratista interventor. Asimismo, este contrato es de ejecución sucesiva, toda vez que las prestaciones se prolongan en el tiempo, es decir, la satisfacción de las prestaciones no se da con la prestación de un solo servicio, sino que se requiere el desarrollo de dicha actividad durante un periodo de tiempo. No obstante, también puede ser de ejecución inmediata cuando recae sobre obligaciones, razón por la cual tendría la virtualidad de modificar su naturaleza siendo, no ya de ejecución sucesiva, sino instantánea</w:t>
      </w:r>
      <w:r w:rsidRPr="005C780B">
        <w:rPr>
          <w:rFonts w:ascii="Century Gothic" w:eastAsia="Calibri" w:hAnsi="Century Gothic" w:cs="Arial"/>
          <w:color w:val="000000"/>
          <w:vertAlign w:val="superscript"/>
          <w:lang w:val="es-MX"/>
        </w:rPr>
        <w:footnoteReference w:id="13"/>
      </w:r>
      <w:r w:rsidRPr="005C780B">
        <w:rPr>
          <w:rFonts w:ascii="Century Gothic" w:eastAsia="Calibri" w:hAnsi="Century Gothic" w:cs="Arial"/>
          <w:color w:val="000000"/>
          <w:lang w:val="es-MX"/>
        </w:rPr>
        <w:t>.</w:t>
      </w:r>
    </w:p>
    <w:p w14:paraId="593A380F" w14:textId="77777777" w:rsidR="002D0890" w:rsidRDefault="002D0890" w:rsidP="002D0890">
      <w:pPr>
        <w:spacing w:after="0" w:line="276" w:lineRule="auto"/>
        <w:ind w:firstLine="709"/>
        <w:jc w:val="both"/>
        <w:rPr>
          <w:rFonts w:ascii="Century Gothic" w:hAnsi="Century Gothic" w:cs="Arial"/>
          <w:color w:val="000000" w:themeColor="text1"/>
          <w:kern w:val="2"/>
          <w:lang w:val="es-ES_tradnl"/>
          <w14:ligatures w14:val="standardContextual"/>
        </w:rPr>
      </w:pPr>
      <w:r w:rsidRPr="005C780B">
        <w:rPr>
          <w:rFonts w:ascii="Century Gothic" w:hAnsi="Century Gothic" w:cs="Arial"/>
          <w:color w:val="000000" w:themeColor="text1"/>
          <w:kern w:val="2"/>
          <w:lang w:val="es-ES_tradnl"/>
          <w14:ligatures w14:val="standardContextual"/>
        </w:rPr>
        <w:t xml:space="preserve">A su vez, las obligaciones del interventor se derivan de dos fuentes: (i) las disposiciones normativas de carácter legal o reglamentario; y (ii) el contrato –lo que incluye no solo la minuta, sino también el pliego de condiciones, o el documento equivalente, y sus anexos–. Ciertamente, la Ley 1474 de 2011 es el principal cuerpo normativo en el que se encuentran consagrados los deberes de los interventores. Estas obligaciones, con fundamento en los artículos 83 –inciso 3– y 84 de dicha Ley, se sintetizan en el ejercicio de una adecuada inspección del cumplimiento del contrato objeto de interventoría. Por ello, como indica el referido artículo 84, “[l]os interventores y supervisores están facultados para solicitar informes, aclaraciones y </w:t>
      </w:r>
      <w:r w:rsidRPr="005C780B">
        <w:rPr>
          <w:rFonts w:ascii="Century Gothic" w:hAnsi="Century Gothic" w:cs="Arial"/>
          <w:color w:val="000000" w:themeColor="text1"/>
          <w:kern w:val="2"/>
          <w:lang w:val="es-ES_tradnl"/>
          <w14:ligatures w14:val="standardContextual"/>
        </w:rPr>
        <w:lastRenderedPageBreak/>
        <w:t>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w:t>
      </w:r>
      <w:r>
        <w:rPr>
          <w:rFonts w:ascii="Century Gothic" w:hAnsi="Century Gothic" w:cs="Arial"/>
          <w:color w:val="000000" w:themeColor="text1"/>
          <w:kern w:val="2"/>
          <w:lang w:val="es-ES_tradnl"/>
          <w14:ligatures w14:val="standardContextual"/>
        </w:rPr>
        <w:t>.</w:t>
      </w:r>
    </w:p>
    <w:p w14:paraId="29856E4B" w14:textId="77777777" w:rsidR="002D0890" w:rsidRDefault="002D0890" w:rsidP="002D0890">
      <w:pPr>
        <w:spacing w:after="0" w:line="276" w:lineRule="auto"/>
        <w:ind w:firstLine="709"/>
        <w:jc w:val="both"/>
        <w:rPr>
          <w:rFonts w:ascii="Century Gothic" w:hAnsi="Century Gothic" w:cs="Arial"/>
          <w:color w:val="000000" w:themeColor="text1"/>
          <w:kern w:val="2"/>
          <w:lang w:val="es-ES_tradnl"/>
          <w14:ligatures w14:val="standardContextual"/>
        </w:rPr>
      </w:pPr>
    </w:p>
    <w:p w14:paraId="7EE4FAB9" w14:textId="77777777" w:rsidR="002D0890" w:rsidRPr="00D41DDD" w:rsidRDefault="002D0890" w:rsidP="002D0890">
      <w:pPr>
        <w:spacing w:after="0" w:line="276" w:lineRule="auto"/>
        <w:ind w:firstLine="709"/>
        <w:jc w:val="both"/>
        <w:rPr>
          <w:rFonts w:ascii="Century Gothic" w:hAnsi="Century Gothic" w:cs="Arial"/>
          <w:color w:val="000000" w:themeColor="text1"/>
          <w:kern w:val="2"/>
          <w:lang w:val="es-ES_tradnl"/>
          <w14:ligatures w14:val="standardContextual"/>
        </w:rPr>
      </w:pPr>
      <w:r w:rsidRPr="005C780B">
        <w:rPr>
          <w:rFonts w:ascii="Century Gothic" w:hAnsi="Century Gothic" w:cs="Arial"/>
          <w:color w:val="000000" w:themeColor="text1"/>
          <w:kern w:val="2"/>
          <w:lang w:val="es-ES_tradnl"/>
          <w14:ligatures w14:val="standardContextual"/>
        </w:rPr>
        <w:t>Esto último</w:t>
      </w:r>
      <w:r>
        <w:rPr>
          <w:rFonts w:ascii="Century Gothic" w:hAnsi="Century Gothic" w:cs="Arial"/>
          <w:color w:val="000000" w:themeColor="text1"/>
          <w:kern w:val="2"/>
          <w:lang w:val="es-ES_tradnl"/>
          <w14:ligatures w14:val="standardContextual"/>
        </w:rPr>
        <w:t xml:space="preserve">, </w:t>
      </w:r>
      <w:r w:rsidRPr="005C780B">
        <w:rPr>
          <w:rFonts w:ascii="Century Gothic" w:hAnsi="Century Gothic" w:cs="Arial"/>
          <w:color w:val="000000" w:themeColor="text1"/>
          <w:kern w:val="2"/>
          <w:lang w:val="es-ES_tradnl"/>
          <w14:ligatures w14:val="standardContextual"/>
        </w:rPr>
        <w:t>no obsta para que las partes, en ejercicio de su autonomía de la voluntad, puedan estipular en el contrato -con la debida justificación- obligaciones conexas, que el interventor también deberá cumplir e incluso contemplar, pues el plazo de ejecución del contrato de interventoría puede extenderse por un término adicional a la liquidación del contrato objeto de seguimiento, para que vigile el cumplimiento de las obligaciones post-contractuales que queden pendientes, salvaguardando así el equilibrio económico del contrato de interventoría.</w:t>
      </w:r>
    </w:p>
    <w:p w14:paraId="3173965A" w14:textId="77777777" w:rsidR="002D0890" w:rsidRPr="00D41DDD" w:rsidRDefault="002D0890" w:rsidP="002D0890">
      <w:pPr>
        <w:spacing w:after="0" w:line="276" w:lineRule="auto"/>
        <w:ind w:firstLine="709"/>
        <w:jc w:val="both"/>
        <w:rPr>
          <w:rFonts w:ascii="Century Gothic" w:hAnsi="Century Gothic" w:cs="Arial"/>
          <w:color w:val="000000" w:themeColor="text1"/>
          <w:kern w:val="2"/>
          <w:lang w:val="es-ES_tradnl"/>
          <w14:ligatures w14:val="standardContextual"/>
        </w:rPr>
      </w:pPr>
    </w:p>
    <w:p w14:paraId="3A5BBA03" w14:textId="77777777" w:rsidR="002D0890" w:rsidRPr="00D41DDD" w:rsidRDefault="002D0890" w:rsidP="002D0890">
      <w:pPr>
        <w:spacing w:after="0" w:line="276" w:lineRule="auto"/>
        <w:ind w:firstLine="709"/>
        <w:jc w:val="both"/>
        <w:rPr>
          <w:rFonts w:ascii="Century Gothic" w:hAnsi="Century Gothic" w:cs="Arial"/>
          <w:color w:val="000000" w:themeColor="text1"/>
          <w:kern w:val="2"/>
          <w:lang w:val="es-ES_tradnl"/>
          <w14:ligatures w14:val="standardContextual"/>
        </w:rPr>
      </w:pPr>
      <w:r w:rsidRPr="00D41DDD">
        <w:rPr>
          <w:rFonts w:ascii="Century Gothic" w:hAnsi="Century Gothic" w:cs="Arial"/>
          <w:color w:val="000000" w:themeColor="text1"/>
          <w:kern w:val="2"/>
          <w:lang w:val="es-ES_tradnl"/>
          <w14:ligatures w14:val="standardContextual"/>
        </w:rPr>
        <w:t>Sobre los contratos de interventoría, el Consejo de Estado ha puntualizado que son una especie del contrato de consultoría frente al cual se encuentra prohibido incluir y, por tanto, ejercer cláusulas o estipulaciones excepcionales. Ello, comoquiera que en el Estatuto de Contratación Estatal existe un régimen legal expreso sobre la nulidad absoluta de los contratos que se encuentra contenido en los artículos 44 a 49 de la Ley 80 de 1993 y que no da lugar a acudir a sus previsiones en esta materia. En otras palabras, en los contratos de interventoría no está prevista o dispuesta la inclusión obligatoria de tales cláusulas ni tampoco se autoriza su estipulación por acuerdo de las partes, pues ello excede las competencias definidas por el legislador para la entidad estatal contratante, así como los límites que en dicha tipología contractual encuentra en clave de autonomía de la voluntad de los contratantes</w:t>
      </w:r>
      <w:r>
        <w:rPr>
          <w:rStyle w:val="Refdenotaalpie"/>
          <w:rFonts w:ascii="Century Gothic" w:hAnsi="Century Gothic" w:cs="Arial"/>
          <w:color w:val="000000" w:themeColor="text1"/>
          <w:kern w:val="2"/>
          <w:lang w:val="es-ES_tradnl"/>
          <w14:ligatures w14:val="standardContextual"/>
        </w:rPr>
        <w:footnoteReference w:id="14"/>
      </w:r>
      <w:r w:rsidRPr="00D41DDD">
        <w:rPr>
          <w:rFonts w:ascii="Century Gothic" w:hAnsi="Century Gothic" w:cs="Arial"/>
          <w:color w:val="000000" w:themeColor="text1"/>
          <w:kern w:val="2"/>
          <w:lang w:val="es-ES_tradnl"/>
          <w14:ligatures w14:val="standardContextual"/>
        </w:rPr>
        <w:t>.</w:t>
      </w:r>
    </w:p>
    <w:p w14:paraId="6BFBCB38" w14:textId="77777777" w:rsidR="002D0890" w:rsidRPr="00D41DDD" w:rsidRDefault="002D0890" w:rsidP="002D0890">
      <w:pPr>
        <w:spacing w:after="0" w:line="276" w:lineRule="auto"/>
        <w:ind w:firstLine="709"/>
        <w:jc w:val="both"/>
        <w:rPr>
          <w:rFonts w:ascii="Century Gothic" w:hAnsi="Century Gothic" w:cs="Arial"/>
          <w:color w:val="000000" w:themeColor="text1"/>
          <w:kern w:val="2"/>
          <w:lang w:val="es-ES_tradnl"/>
          <w14:ligatures w14:val="standardContextual"/>
        </w:rPr>
      </w:pPr>
    </w:p>
    <w:p w14:paraId="35B02425" w14:textId="77777777" w:rsidR="002D0890" w:rsidRDefault="002D0890" w:rsidP="002D0890">
      <w:pPr>
        <w:spacing w:after="0" w:line="276" w:lineRule="auto"/>
        <w:ind w:firstLine="709"/>
        <w:jc w:val="both"/>
        <w:rPr>
          <w:rFonts w:ascii="Century Gothic" w:hAnsi="Century Gothic"/>
        </w:rPr>
      </w:pPr>
      <w:r w:rsidRPr="00D41DDD">
        <w:rPr>
          <w:rFonts w:ascii="Century Gothic" w:hAnsi="Century Gothic" w:cs="Arial"/>
          <w:color w:val="000000" w:themeColor="text1"/>
          <w:kern w:val="2"/>
          <w:lang w:val="es-ES_tradnl"/>
          <w14:ligatures w14:val="standardContextual"/>
        </w:rPr>
        <w:t xml:space="preserve">Lo anterior, si se tiene en cuenta el numeral 2º del artículo 14 de la Ley 80 de 1993, que determina con total precisión y claridad cuáles son los únicos eventos en los que la inclusión de cláusulas excepcionales resulta forzosa u obligatoria: (i) </w:t>
      </w:r>
      <w:r w:rsidRPr="00D41DDD">
        <w:rPr>
          <w:rFonts w:ascii="Century Gothic" w:hAnsi="Century Gothic"/>
        </w:rPr>
        <w:t xml:space="preserve">Contratos que tengan por objeto el desarrollo de una actividad que constituya monopolio estatal; (ii) Contratos que tengan por objeto la prestación de un servicio público; (iii) Contratos de obra y (iv) Contratos que tengan por objeto la concesión o explotación de bienes del Estado. De igual forma, en esta norma se precisa también cuáles son lo únicos contratos en que se autoriza la inclusión de cláusulas </w:t>
      </w:r>
      <w:r w:rsidRPr="00D41DDD">
        <w:rPr>
          <w:rFonts w:ascii="Century Gothic" w:hAnsi="Century Gothic"/>
        </w:rPr>
        <w:lastRenderedPageBreak/>
        <w:t xml:space="preserve">excepcionales de manera facultativa (suministro y prestación de servicios), sin que los contratos de interventoría correspondan a alguna de tales categorías, de lo cual se tiene que </w:t>
      </w:r>
      <w:r>
        <w:rPr>
          <w:rFonts w:ascii="Century Gothic" w:hAnsi="Century Gothic"/>
        </w:rPr>
        <w:t xml:space="preserve">en </w:t>
      </w:r>
      <w:r w:rsidRPr="00D41DDD">
        <w:rPr>
          <w:rFonts w:ascii="Century Gothic" w:hAnsi="Century Gothic"/>
        </w:rPr>
        <w:t>este tipo de contratos no está prevista u ordenada la inclusión forzosa</w:t>
      </w:r>
      <w:r>
        <w:rPr>
          <w:rFonts w:ascii="Century Gothic" w:hAnsi="Century Gothic"/>
        </w:rPr>
        <w:t>, ni mucho menos s</w:t>
      </w:r>
      <w:r w:rsidRPr="00D41DDD">
        <w:rPr>
          <w:rFonts w:ascii="Century Gothic" w:hAnsi="Century Gothic"/>
        </w:rPr>
        <w:t>e autoriza la inclusión facultativa de las mencionadas cláusulas excepcionales</w:t>
      </w:r>
      <w:r>
        <w:rPr>
          <w:rFonts w:ascii="Century Gothic" w:hAnsi="Century Gothic"/>
        </w:rPr>
        <w:t>.</w:t>
      </w:r>
    </w:p>
    <w:bookmarkEnd w:id="6"/>
    <w:p w14:paraId="41678292" w14:textId="77777777" w:rsidR="002D0890" w:rsidRDefault="002D0890" w:rsidP="002D0890">
      <w:pPr>
        <w:spacing w:after="0" w:line="276" w:lineRule="auto"/>
        <w:jc w:val="both"/>
        <w:rPr>
          <w:rFonts w:ascii="Century Gothic" w:hAnsi="Century Gothic"/>
        </w:rPr>
      </w:pPr>
    </w:p>
    <w:p w14:paraId="3B0900CB" w14:textId="77777777" w:rsidR="002D0890" w:rsidRPr="005C780B" w:rsidRDefault="002D0890" w:rsidP="002D0890">
      <w:pPr>
        <w:spacing w:after="120" w:line="276" w:lineRule="auto"/>
        <w:jc w:val="both"/>
        <w:rPr>
          <w:rFonts w:ascii="Century Gothic" w:eastAsia="Times New Roman" w:hAnsi="Century Gothic" w:cs="Arial"/>
          <w:szCs w:val="24"/>
          <w:lang w:val="es-ES_tradnl" w:eastAsia="es-ES_tradnl"/>
        </w:rPr>
      </w:pPr>
      <w:r w:rsidRPr="005C780B">
        <w:rPr>
          <w:rFonts w:ascii="Century Gothic" w:eastAsia="Calibri" w:hAnsi="Century Gothic" w:cs="Arial"/>
          <w:b/>
          <w:szCs w:val="24"/>
          <w:lang w:val="es-ES_tradnl" w:eastAsia="es-CO"/>
        </w:rPr>
        <w:t>2.</w:t>
      </w:r>
      <w:r>
        <w:rPr>
          <w:rFonts w:ascii="Century Gothic" w:eastAsia="Calibri" w:hAnsi="Century Gothic" w:cs="Arial"/>
          <w:b/>
          <w:szCs w:val="24"/>
          <w:lang w:val="es-ES_tradnl" w:eastAsia="es-CO"/>
        </w:rPr>
        <w:t>3</w:t>
      </w:r>
      <w:r w:rsidRPr="005C780B">
        <w:rPr>
          <w:rFonts w:ascii="Century Gothic" w:eastAsia="Calibri" w:hAnsi="Century Gothic" w:cs="Arial"/>
          <w:b/>
          <w:szCs w:val="24"/>
          <w:lang w:val="es-ES_tradnl" w:eastAsia="es-CO"/>
        </w:rPr>
        <w:t>.</w:t>
      </w:r>
      <w:r w:rsidRPr="005C780B">
        <w:rPr>
          <w:rFonts w:ascii="Century Gothic" w:eastAsia="Calibri" w:hAnsi="Century Gothic" w:cs="Arial"/>
          <w:b/>
          <w:szCs w:val="24"/>
          <w:lang w:val="es-ES_tradnl" w:eastAsia="es-CO"/>
        </w:rPr>
        <w:tab/>
        <w:t xml:space="preserve">El </w:t>
      </w:r>
      <w:r>
        <w:rPr>
          <w:rFonts w:ascii="Century Gothic" w:eastAsia="Calibri" w:hAnsi="Century Gothic" w:cs="Arial"/>
          <w:b/>
          <w:szCs w:val="24"/>
          <w:lang w:val="es-ES_tradnl" w:eastAsia="es-CO"/>
        </w:rPr>
        <w:t>procedimiento sancionatorio contractual: la imposición de multas, sanciones y declaratorias de incumplimiento. Cláusulas excepcionales de imposición unilateral. Potestades exorbitantes de la administración pública.</w:t>
      </w:r>
    </w:p>
    <w:p w14:paraId="637038D8" w14:textId="77777777" w:rsidR="002D0890" w:rsidRPr="00D4101E" w:rsidRDefault="002D0890" w:rsidP="002D0890">
      <w:pPr>
        <w:spacing w:after="120" w:line="276" w:lineRule="auto"/>
        <w:jc w:val="both"/>
        <w:rPr>
          <w:rFonts w:ascii="Century Gothic" w:eastAsia="Times New Roman" w:hAnsi="Century Gothic" w:cs="Arial"/>
          <w:iCs/>
          <w:lang w:val="es-ES_tradnl" w:eastAsia="es-ES_tradnl"/>
          <w14:ligatures w14:val="standardContextual"/>
        </w:rPr>
      </w:pPr>
      <w:r>
        <w:rPr>
          <w:rFonts w:ascii="Century Gothic" w:eastAsia="Calibri" w:hAnsi="Century Gothic" w:cs="Arial"/>
          <w:color w:val="000000" w:themeColor="text1"/>
          <w:lang w:val="es-ES_tradnl"/>
        </w:rPr>
        <w:t xml:space="preserve">Como fue señalado previamente, </w:t>
      </w:r>
      <w:r w:rsidRPr="00D4101E">
        <w:rPr>
          <w:rFonts w:ascii="Century Gothic" w:hAnsi="Century Gothic" w:cs="Arial"/>
          <w:lang w:val="es-MX"/>
        </w:rPr>
        <w:t xml:space="preserve">durante </w:t>
      </w:r>
      <w:r w:rsidRPr="00D4101E">
        <w:rPr>
          <w:rFonts w:ascii="Century Gothic" w:eastAsia="Times New Roman" w:hAnsi="Century Gothic" w:cs="Arial"/>
          <w:iCs/>
          <w:lang w:val="es-ES_tradnl" w:eastAsia="es-ES_tradnl"/>
          <w14:ligatures w14:val="standardContextual"/>
        </w:rPr>
        <w:t>la ejecución de los contratos, las entidades estatales sometidas al Estatuto General de Contratación de la Administración Pública -en adelante EGCAP- usualmente cuentan con distintas potestades excepcionales, a partir de las cuales ejercen la dirección general del contrato y realizan las actividades propias de vigilancia y control.</w:t>
      </w:r>
    </w:p>
    <w:p w14:paraId="6341B326" w14:textId="77777777" w:rsidR="002D0890" w:rsidRPr="00D4101E" w:rsidRDefault="002D0890" w:rsidP="002D0890">
      <w:pPr>
        <w:spacing w:after="120" w:line="276" w:lineRule="auto"/>
        <w:ind w:firstLine="709"/>
        <w:jc w:val="both"/>
        <w:rPr>
          <w:rFonts w:ascii="Century Gothic" w:eastAsia="Times New Roman" w:hAnsi="Century Gothic" w:cs="Arial"/>
          <w:iCs/>
          <w:lang w:val="es-ES_tradnl" w:eastAsia="es-ES_tradnl"/>
          <w14:ligatures w14:val="standardContextual"/>
        </w:rPr>
      </w:pPr>
      <w:r w:rsidRPr="00D4101E">
        <w:rPr>
          <w:rFonts w:ascii="Century Gothic" w:eastAsia="Times New Roman" w:hAnsi="Century Gothic" w:cs="Arial"/>
          <w:iCs/>
          <w:lang w:val="es-ES_tradnl" w:eastAsia="es-ES_tradnl"/>
          <w14:ligatures w14:val="standardContextual"/>
        </w:rPr>
        <w:t xml:space="preserve">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D4101E">
        <w:rPr>
          <w:rFonts w:ascii="Century Gothic" w:eastAsia="Times New Roman" w:hAnsi="Century Gothic" w:cs="Arial"/>
          <w:i/>
          <w:lang w:val="es-ES_tradnl" w:eastAsia="es-ES_tradnl"/>
          <w14:ligatures w14:val="standardContextual"/>
        </w:rPr>
        <w:t>ibidem</w:t>
      </w:r>
      <w:r w:rsidRPr="00D4101E">
        <w:rPr>
          <w:rFonts w:ascii="Century Gothic" w:eastAsia="Times New Roman" w:hAnsi="Century Gothic" w:cs="Arial"/>
          <w:iCs/>
          <w:lang w:val="es-ES_tradnl" w:eastAsia="es-ES_tradnl"/>
          <w14:ligatures w14:val="standardContextual"/>
        </w:rPr>
        <w:t xml:space="preserve">; (ii) en algunas disposiciones también establecen otras potestades </w:t>
      </w:r>
      <w:r>
        <w:rPr>
          <w:rFonts w:ascii="Century Gothic" w:eastAsia="Times New Roman" w:hAnsi="Century Gothic" w:cs="Arial"/>
          <w:iCs/>
          <w:lang w:val="es-ES_tradnl" w:eastAsia="es-ES_tradnl"/>
          <w14:ligatures w14:val="standardContextual"/>
        </w:rPr>
        <w:t>excepcionales</w:t>
      </w:r>
      <w:r w:rsidRPr="00D4101E">
        <w:rPr>
          <w:rFonts w:ascii="Century Gothic" w:eastAsia="Times New Roman" w:hAnsi="Century Gothic" w:cs="Arial"/>
          <w:iCs/>
          <w:lang w:val="es-ES_tradnl" w:eastAsia="es-ES_tradnl"/>
          <w14:ligatures w14:val="standardContextual"/>
        </w:rPr>
        <w:t xml:space="preserve">, como la liquidación unilateral y la declaratoria unilateral del siniestro –artículos 7 y 11 de la Ley 1150 de 2007–. </w:t>
      </w:r>
      <w:bookmarkStart w:id="7" w:name="_Hlk151927960"/>
      <w:r w:rsidRPr="00D4101E">
        <w:rPr>
          <w:rFonts w:ascii="Century Gothic" w:eastAsia="Times New Roman" w:hAnsi="Century Gothic" w:cs="Arial"/>
          <w:iCs/>
          <w:lang w:val="es-ES_tradnl" w:eastAsia="es-ES_tradnl"/>
          <w14:ligatures w14:val="standardContextual"/>
        </w:rPr>
        <w:t xml:space="preserve">Dentro de las potestades unilaterales también se encuentran (iii) las cláusulas excepcionales de </w:t>
      </w:r>
      <w:r w:rsidRPr="00D4101E">
        <w:rPr>
          <w:rFonts w:ascii="Century Gothic" w:eastAsia="Times New Roman" w:hAnsi="Century Gothic" w:cs="Arial"/>
          <w:i/>
          <w:lang w:val="es-ES_tradnl" w:eastAsia="es-ES_tradnl"/>
          <w14:ligatures w14:val="standardContextual"/>
        </w:rPr>
        <w:t>imposición unilateral</w:t>
      </w:r>
      <w:r w:rsidRPr="00D4101E">
        <w:rPr>
          <w:rFonts w:ascii="Century Gothic" w:eastAsia="Times New Roman" w:hAnsi="Century Gothic" w:cs="Arial"/>
          <w:iCs/>
          <w:lang w:val="es-ES_tradnl" w:eastAsia="es-ES_tradnl"/>
          <w14:ligatures w14:val="standardContextual"/>
        </w:rPr>
        <w:t xml:space="preserve"> de las cláusulas penales y de multas –artículo 17 de la Ley 1150 de 2007–, aclarando que su e</w:t>
      </w:r>
      <w:r>
        <w:rPr>
          <w:rFonts w:ascii="Century Gothic" w:eastAsia="Times New Roman" w:hAnsi="Century Gothic" w:cs="Arial"/>
          <w:iCs/>
          <w:lang w:val="es-ES_tradnl" w:eastAsia="es-ES_tradnl"/>
          <w14:ligatures w14:val="standardContextual"/>
        </w:rPr>
        <w:t>xcepcionalidad</w:t>
      </w:r>
      <w:r w:rsidRPr="00D4101E">
        <w:rPr>
          <w:rFonts w:ascii="Century Gothic" w:eastAsia="Times New Roman" w:hAnsi="Century Gothic" w:cs="Arial"/>
          <w:iCs/>
          <w:lang w:val="es-ES_tradnl" w:eastAsia="es-ES_tradnl"/>
          <w14:ligatures w14:val="standardContextual"/>
        </w:rPr>
        <w:t xml:space="preserve"> se refiere a su imposición unilateral, no a su pacto, que es posible en virtud de las normas civiles y comerciales.</w:t>
      </w:r>
    </w:p>
    <w:p w14:paraId="6A829C3B" w14:textId="77777777" w:rsidR="002D0890" w:rsidRPr="00D4101E" w:rsidRDefault="002D0890" w:rsidP="002D0890">
      <w:pPr>
        <w:spacing w:after="120" w:line="276" w:lineRule="auto"/>
        <w:ind w:firstLine="709"/>
        <w:jc w:val="both"/>
        <w:rPr>
          <w:rFonts w:ascii="Century Gothic" w:eastAsia="Times New Roman" w:hAnsi="Century Gothic" w:cs="Arial"/>
          <w:iCs/>
          <w:lang w:val="es-ES_tradnl" w:eastAsia="es-ES_tradnl"/>
          <w14:ligatures w14:val="standardContextual"/>
        </w:rPr>
      </w:pPr>
      <w:r>
        <w:rPr>
          <w:rFonts w:ascii="Century Gothic" w:eastAsia="Times New Roman" w:hAnsi="Century Gothic" w:cs="Arial"/>
          <w:iCs/>
          <w:lang w:val="es-ES_tradnl" w:eastAsia="es-ES_tradnl"/>
          <w14:ligatures w14:val="standardContextual"/>
        </w:rPr>
        <w:t>De esta manera, p</w:t>
      </w:r>
      <w:r w:rsidRPr="00D4101E">
        <w:rPr>
          <w:rFonts w:ascii="Century Gothic" w:eastAsia="Times New Roman" w:hAnsi="Century Gothic" w:cs="Arial"/>
          <w:iCs/>
          <w:lang w:val="es-ES_tradnl" w:eastAsia="es-ES_tradnl"/>
          <w14:ligatures w14:val="standardContextual"/>
        </w:rPr>
        <w:t>or interesar a la presente consulta, interesa aclarar que estas últimas potestades cuentan con una particular combinación entre el principio de legalidad y autonomía de la voluntad, pu</w:t>
      </w:r>
      <w:r>
        <w:rPr>
          <w:rFonts w:ascii="Century Gothic" w:eastAsia="Times New Roman" w:hAnsi="Century Gothic" w:cs="Arial"/>
          <w:iCs/>
          <w:lang w:val="es-ES_tradnl" w:eastAsia="es-ES_tradnl"/>
          <w14:ligatures w14:val="standardContextual"/>
        </w:rPr>
        <w:t>e</w:t>
      </w:r>
      <w:r w:rsidRPr="00D4101E">
        <w:rPr>
          <w:rFonts w:ascii="Century Gothic" w:eastAsia="Times New Roman" w:hAnsi="Century Gothic" w:cs="Arial"/>
          <w:iCs/>
          <w:lang w:val="es-ES_tradnl" w:eastAsia="es-ES_tradnl"/>
          <w14:ligatures w14:val="standardContextual"/>
        </w:rPr>
        <w:t>s si bien el legislador autorizó a las entidades para declarar el incumplimiento con el objetivo de multar al contratista para conminarlo al cumplimiento o bien hacer efectiva la cláusula penal, resulta indispensable que en uno y otro caso se hayan pactado en el contrato. Cumplida esta condición, las entidades estatales sometidas al Estatuto General de Contratación de la Administración Pública, por ministerio de la ley, se entienden investidas de la prerrogativa de imposición unilateral.</w:t>
      </w:r>
    </w:p>
    <w:p w14:paraId="2FB08510" w14:textId="77777777" w:rsidR="002D0890" w:rsidRPr="00D4101E" w:rsidRDefault="002D0890" w:rsidP="002D0890">
      <w:pPr>
        <w:spacing w:after="120" w:line="276" w:lineRule="auto"/>
        <w:ind w:firstLine="709"/>
        <w:jc w:val="both"/>
        <w:rPr>
          <w:rFonts w:ascii="Century Gothic" w:eastAsia="Times New Roman" w:hAnsi="Century Gothic" w:cs="Arial"/>
          <w:iCs/>
          <w:color w:val="000000" w:themeColor="text1"/>
          <w:lang w:val="es-ES_tradnl" w:eastAsia="es-ES_tradnl"/>
        </w:rPr>
      </w:pPr>
      <w:r w:rsidRPr="00D4101E">
        <w:rPr>
          <w:rFonts w:ascii="Century Gothic" w:eastAsia="Times New Roman" w:hAnsi="Century Gothic" w:cs="Arial"/>
          <w:iCs/>
          <w:lang w:val="es-ES_tradnl" w:eastAsia="es-ES_tradnl"/>
          <w14:ligatures w14:val="standardContextual"/>
        </w:rPr>
        <w:t xml:space="preserve">De ahí que, por ejemplo, en el caso de las multas, en cumplimiento del principio de tipicidad, las partes deben determinar en forma pormenorizada las </w:t>
      </w:r>
      <w:r w:rsidRPr="00D4101E">
        <w:rPr>
          <w:rFonts w:ascii="Century Gothic" w:eastAsia="Times New Roman" w:hAnsi="Century Gothic" w:cs="Arial"/>
          <w:iCs/>
          <w:lang w:val="es-ES_tradnl" w:eastAsia="es-ES_tradnl"/>
          <w14:ligatures w14:val="standardContextual"/>
        </w:rPr>
        <w:lastRenderedPageBreak/>
        <w:t xml:space="preserve">acciones u omisiones objeto de sanción y el monto de la sanción a imponer, el cual, en todo caso, debe atender a los criterios de proporcionalidad y razonabilidad. En efecto, el artículo 17 de la Ley 1150 de 2007, además de autorizar la imposición unilateral de multas, también precisa que la declaración de incumplimiento tiene como propósito </w:t>
      </w:r>
      <w:r w:rsidRPr="00D4101E">
        <w:rPr>
          <w:rFonts w:ascii="Century Gothic" w:eastAsia="Times New Roman" w:hAnsi="Century Gothic" w:cs="Arial"/>
          <w:iCs/>
          <w:color w:val="000000" w:themeColor="text1"/>
          <w:lang w:val="es-ES_tradnl" w:eastAsia="es-ES_tradnl"/>
        </w:rPr>
        <w:t>“hacer efectiva la cláusula penal pecuniaria incluida en el contrato”.</w:t>
      </w:r>
    </w:p>
    <w:bookmarkEnd w:id="7"/>
    <w:p w14:paraId="21ED736F" w14:textId="77777777" w:rsidR="002D0890" w:rsidRPr="00D4101E" w:rsidRDefault="002D0890" w:rsidP="002D0890">
      <w:pPr>
        <w:spacing w:after="120" w:line="276" w:lineRule="auto"/>
        <w:ind w:firstLine="709"/>
        <w:jc w:val="both"/>
        <w:rPr>
          <w:rFonts w:ascii="Century Gothic" w:eastAsia="Times New Roman" w:hAnsi="Century Gothic" w:cs="Arial"/>
          <w:iCs/>
          <w:color w:val="000000" w:themeColor="text1"/>
          <w:lang w:val="es-ES_tradnl" w:eastAsia="es-ES_tradnl"/>
        </w:rPr>
      </w:pPr>
      <w:r w:rsidRPr="00D4101E">
        <w:rPr>
          <w:rFonts w:ascii="Century Gothic" w:eastAsia="Times New Roman" w:hAnsi="Century Gothic" w:cs="Arial"/>
          <w:iCs/>
          <w:color w:val="000000" w:themeColor="text1"/>
          <w:lang w:val="es-ES_tradnl" w:eastAsia="es-ES_tradnl"/>
        </w:rPr>
        <w:t>En este punto, conviene resaltar lo dicho por la Sección Tercera del Consejo de Estado</w:t>
      </w:r>
      <w:r w:rsidRPr="00D4101E">
        <w:rPr>
          <w:rFonts w:ascii="Century Gothic" w:eastAsia="Times New Roman" w:hAnsi="Century Gothic" w:cs="Arial"/>
          <w:vertAlign w:val="superscript"/>
          <w:lang w:eastAsia="es-ES_tradnl"/>
        </w:rPr>
        <w:footnoteReference w:id="15"/>
      </w:r>
      <w:r w:rsidRPr="00D4101E">
        <w:rPr>
          <w:rFonts w:ascii="Century Gothic" w:eastAsia="Times New Roman" w:hAnsi="Century Gothic" w:cs="Arial"/>
          <w:iCs/>
          <w:color w:val="000000" w:themeColor="text1"/>
          <w:lang w:val="es-ES_tradnl" w:eastAsia="es-ES_tradnl"/>
        </w:rPr>
        <w:t>, en relación con las diferencias entre las multas y la cláusula penal: “[a]unque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mientras la cláusula penal constituye en principio una tasación anticipada de perjuicios, a raíz de la declaratoria de caducidad o del incumplimiento definitivo del contrato”</w:t>
      </w:r>
      <w:r w:rsidRPr="00D4101E">
        <w:rPr>
          <w:rFonts w:ascii="Century Gothic" w:eastAsia="Times New Roman" w:hAnsi="Century Gothic" w:cs="Arial"/>
          <w:vertAlign w:val="superscript"/>
          <w:lang w:eastAsia="es-ES_tradnl"/>
        </w:rPr>
        <w:footnoteReference w:id="16"/>
      </w:r>
      <w:r w:rsidRPr="00D4101E">
        <w:rPr>
          <w:rFonts w:ascii="Century Gothic" w:eastAsia="Times New Roman" w:hAnsi="Century Gothic" w:cs="Arial"/>
          <w:iCs/>
          <w:color w:val="000000" w:themeColor="text1"/>
          <w:lang w:val="es-ES_tradnl" w:eastAsia="es-ES_tradnl"/>
        </w:rPr>
        <w:t>.</w:t>
      </w:r>
    </w:p>
    <w:p w14:paraId="2D721AC7" w14:textId="77777777" w:rsidR="002D0890" w:rsidRPr="00D4101E" w:rsidRDefault="002D0890" w:rsidP="002D0890">
      <w:pPr>
        <w:spacing w:after="120" w:line="276" w:lineRule="auto"/>
        <w:ind w:firstLine="709"/>
        <w:jc w:val="both"/>
        <w:rPr>
          <w:rFonts w:ascii="Century Gothic" w:eastAsia="Times New Roman" w:hAnsi="Century Gothic" w:cs="Arial"/>
          <w:iCs/>
          <w:color w:val="000000" w:themeColor="text1"/>
          <w:lang w:val="es-ES_tradnl" w:eastAsia="es-ES_tradnl"/>
        </w:rPr>
      </w:pPr>
      <w:r w:rsidRPr="00D4101E">
        <w:rPr>
          <w:rFonts w:ascii="Century Gothic" w:eastAsia="Times New Roman" w:hAnsi="Century Gothic" w:cs="Arial"/>
          <w:iCs/>
          <w:color w:val="000000" w:themeColor="text1"/>
          <w:lang w:val="es-ES_tradnl" w:eastAsia="es-ES_tradnl"/>
        </w:rPr>
        <w:t>De suerte que mientras esté pendiente la ejecución de la obligaciones por parte del contratista, la entidad estatal podrá imponer las multas y/o la cláusula penal pactada en el contrato, definiéndose así el límite temporal para su realización. Así, pese al vencimiento del plazo de ejecución, estas potestades podrán ser utilizadas en procura de lograr el pleno cumplimiento y/o acatamiento de las obligaciones a cargo del contratista.</w:t>
      </w:r>
    </w:p>
    <w:p w14:paraId="0D7A19A4" w14:textId="77777777" w:rsidR="002D0890" w:rsidRPr="00D4101E" w:rsidRDefault="002D0890" w:rsidP="002D0890">
      <w:pPr>
        <w:spacing w:after="120" w:line="276" w:lineRule="auto"/>
        <w:ind w:firstLine="708"/>
        <w:jc w:val="both"/>
        <w:rPr>
          <w:rFonts w:ascii="Century Gothic" w:eastAsia="Times New Roman" w:hAnsi="Century Gothic" w:cs="Arial"/>
          <w:iCs/>
          <w:lang w:val="es-ES_tradnl" w:eastAsia="es-ES_tradnl"/>
          <w14:ligatures w14:val="standardContextual"/>
        </w:rPr>
      </w:pPr>
      <w:r w:rsidRPr="00D4101E">
        <w:rPr>
          <w:rFonts w:ascii="Century Gothic" w:eastAsia="Times New Roman" w:hAnsi="Century Gothic" w:cs="Arial"/>
          <w:iCs/>
          <w:lang w:val="es-MX" w:eastAsia="es-ES_tradnl"/>
          <w14:ligatures w14:val="standardContextual"/>
        </w:rPr>
        <w:t>Ahora bien, en e</w:t>
      </w:r>
      <w:r w:rsidRPr="00D4101E">
        <w:rPr>
          <w:rFonts w:ascii="Century Gothic" w:eastAsia="Times New Roman" w:hAnsi="Century Gothic" w:cs="Arial"/>
          <w:iCs/>
          <w:lang w:val="es-ES_tradnl" w:eastAsia="es-ES_tradnl"/>
          <w14:ligatures w14:val="standardContextual"/>
        </w:rPr>
        <w:t>l artículo 86 de la Ley 1474 de 2011 se establecen las reglas procedimentales a través de las cuales se materializan los derechos y garantías derivadas del debido proceso, para su aplicación concreta en materia sancionatoria contractual. Con arreglo a esta disposición,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203657C9" w14:textId="77777777" w:rsidR="002D0890" w:rsidRPr="00D4101E" w:rsidRDefault="002D0890" w:rsidP="002D0890">
      <w:pPr>
        <w:spacing w:after="120" w:line="276" w:lineRule="auto"/>
        <w:ind w:firstLine="709"/>
        <w:jc w:val="both"/>
        <w:rPr>
          <w:rFonts w:ascii="Century Gothic" w:eastAsia="Times New Roman" w:hAnsi="Century Gothic" w:cs="Arial"/>
          <w:iCs/>
          <w:lang w:val="es-ES_tradnl" w:eastAsia="es-ES_tradnl"/>
          <w14:ligatures w14:val="standardContextual"/>
        </w:rPr>
      </w:pPr>
      <w:r w:rsidRPr="00D4101E">
        <w:rPr>
          <w:rFonts w:ascii="Century Gothic" w:eastAsia="Times New Roman" w:hAnsi="Century Gothic" w:cs="Arial"/>
          <w:iCs/>
          <w:lang w:val="es-ES_tradnl" w:eastAsia="es-ES_tradnl"/>
          <w14:ligatures w14:val="standardContextual"/>
        </w:rPr>
        <w:t xml:space="preserve">Cabe destacar que esta norma no cualifica o se circunscribe a ciertos tipos de incumplimiento. En consecuencia, la declaratoria de cualquier incumplimiento, sea total o parcial, durante o con posterioridad a la terminación del contrato e, independientemente de su gravedad, debe realizarse con plena observancia de </w:t>
      </w:r>
      <w:r w:rsidRPr="00D4101E">
        <w:rPr>
          <w:rFonts w:ascii="Century Gothic" w:eastAsia="Times New Roman" w:hAnsi="Century Gothic" w:cs="Arial"/>
          <w:iCs/>
          <w:lang w:val="es-ES_tradnl" w:eastAsia="es-ES_tradnl"/>
          <w14:ligatures w14:val="standardContextual"/>
        </w:rPr>
        <w:lastRenderedPageBreak/>
        <w:t>las reglas procedimentales del artículo 86 de la Ley 1474 de 2011. Esto es así como consecuencia del “principio general de interpretación jurídica según el cual donde la norma no distingue, no le corresponde distinguir al intérprete”</w:t>
      </w:r>
      <w:r w:rsidRPr="00D4101E">
        <w:rPr>
          <w:rFonts w:ascii="Century Gothic" w:eastAsia="Times New Roman" w:hAnsi="Century Gothic" w:cs="Arial"/>
          <w:vertAlign w:val="superscript"/>
          <w:lang w:eastAsia="es-ES_tradnl"/>
          <w14:ligatures w14:val="standardContextual"/>
        </w:rPr>
        <w:footnoteReference w:id="17"/>
      </w:r>
      <w:r w:rsidRPr="00D4101E">
        <w:rPr>
          <w:rFonts w:ascii="Century Gothic" w:eastAsia="Times New Roman" w:hAnsi="Century Gothic" w:cs="Arial"/>
          <w:iCs/>
          <w:lang w:val="es-ES_tradnl" w:eastAsia="es-ES_tradnl"/>
          <w14:ligatures w14:val="standardContextual"/>
        </w:rPr>
        <w:t>. A idéntica conclusión se llega si se tiene en cuenta la necesidad de garantizar el debido proceso en “todas las actuaciones administrativas”, tal y como se consagra en el artículo 29 Superior.</w:t>
      </w:r>
    </w:p>
    <w:p w14:paraId="5FD27E21" w14:textId="77777777" w:rsidR="002D0890" w:rsidRPr="00D4101E" w:rsidRDefault="002D0890" w:rsidP="002D0890">
      <w:pPr>
        <w:spacing w:after="120" w:line="276" w:lineRule="auto"/>
        <w:ind w:firstLine="709"/>
        <w:jc w:val="both"/>
        <w:rPr>
          <w:rFonts w:ascii="Century Gothic" w:eastAsia="Times New Roman" w:hAnsi="Century Gothic" w:cs="Arial"/>
          <w:iCs/>
          <w:lang w:val="es-ES_tradnl" w:eastAsia="es-ES_tradnl"/>
          <w14:ligatures w14:val="standardContextual"/>
        </w:rPr>
      </w:pPr>
      <w:r w:rsidRPr="00D4101E">
        <w:rPr>
          <w:rFonts w:ascii="Century Gothic" w:eastAsia="Times New Roman" w:hAnsi="Century Gothic" w:cs="Arial"/>
          <w:iCs/>
          <w:lang w:val="es-ES_tradnl" w:eastAsia="es-ES_tradnl"/>
          <w14:ligatures w14:val="standardContextual"/>
        </w:rPr>
        <w:t xml:space="preserve">Específicamente, el artículo 86 de la Ley 1474 de 2011 fija las etapas del procedimiento que se deben seguir, las cuales, de forma esquemática, son las siguientes: (i) </w:t>
      </w:r>
      <w:r w:rsidRPr="00D4101E">
        <w:rPr>
          <w:rFonts w:ascii="Century Gothic" w:eastAsia="Times New Roman" w:hAnsi="Century Gothic" w:cs="Arial"/>
          <w:iCs/>
          <w:u w:val="single"/>
          <w:lang w:val="es-ES_tradnl" w:eastAsia="es-ES_tradnl"/>
          <w14:ligatures w14:val="standardContextual"/>
        </w:rPr>
        <w:t>c</w:t>
      </w:r>
      <w:r w:rsidRPr="00D4101E">
        <w:rPr>
          <w:rFonts w:ascii="Century Gothic" w:eastAsia="Times New Roman" w:hAnsi="Century Gothic" w:cs="Arial"/>
          <w:i/>
          <w:iCs/>
          <w:u w:val="single"/>
          <w:lang w:val="es-ES_tradnl" w:eastAsia="es-ES_tradnl"/>
          <w14:ligatures w14:val="standardContextual"/>
        </w:rPr>
        <w:t>itación a audiencia</w:t>
      </w:r>
      <w:r w:rsidRPr="00D4101E">
        <w:rPr>
          <w:rFonts w:ascii="Century Gothic" w:eastAsia="Times New Roman" w:hAnsi="Century Gothic" w:cs="Arial"/>
          <w:iCs/>
          <w:lang w:val="es-ES_tradnl" w:eastAsia="es-ES_tradnl"/>
          <w14:ligatures w14:val="standardContextual"/>
        </w:rPr>
        <w:t xml:space="preserve">: Es necesario remitir una citación a audiencia al contratista y al garante –cuando proceda–; (ii) </w:t>
      </w:r>
      <w:r w:rsidRPr="00D4101E">
        <w:rPr>
          <w:rFonts w:ascii="Century Gothic" w:eastAsia="Times New Roman" w:hAnsi="Century Gothic" w:cs="Arial"/>
          <w:i/>
          <w:iCs/>
          <w:u w:val="single"/>
          <w:lang w:val="es-ES_tradnl" w:eastAsia="es-ES_tradnl"/>
          <w14:ligatures w14:val="standardContextual"/>
        </w:rPr>
        <w:t>Audiencia</w:t>
      </w:r>
      <w:r w:rsidRPr="00D4101E">
        <w:rPr>
          <w:rFonts w:ascii="Century Gothic" w:eastAsia="Times New Roman" w:hAnsi="Century Gothic" w:cs="Arial"/>
          <w:iCs/>
          <w:u w:val="single"/>
          <w:lang w:val="es-ES_tradnl" w:eastAsia="es-ES_tradnl"/>
          <w14:ligatures w14:val="standardContextual"/>
        </w:rPr>
        <w:t>:</w:t>
      </w:r>
      <w:r w:rsidRPr="00D4101E">
        <w:rPr>
          <w:rFonts w:ascii="Century Gothic" w:eastAsia="Times New Roman" w:hAnsi="Century Gothic" w:cs="Arial"/>
          <w:iCs/>
          <w:lang w:val="es-ES_tradnl" w:eastAsia="es-ES_tradnl"/>
          <w14:ligatures w14:val="standardContextua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D4101E">
        <w:rPr>
          <w:rFonts w:ascii="Century Gothic" w:eastAsia="Times New Roman" w:hAnsi="Century Gothic" w:cs="Arial"/>
          <w:i/>
          <w:iCs/>
          <w:u w:val="single"/>
          <w:lang w:val="es-ES_tradnl" w:eastAsia="es-ES_tradnl"/>
          <w14:ligatures w14:val="standardContextual"/>
        </w:rPr>
        <w:t>Decisión</w:t>
      </w:r>
      <w:r w:rsidRPr="00D4101E">
        <w:rPr>
          <w:rFonts w:ascii="Century Gothic" w:eastAsia="Times New Roman" w:hAnsi="Century Gothic" w:cs="Arial"/>
          <w:iCs/>
          <w:lang w:val="es-ES_tradnl" w:eastAsia="es-ES_tradnl"/>
          <w14:ligatures w14:val="standardContextua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posterior que llegue a efectuarse.</w:t>
      </w:r>
    </w:p>
    <w:p w14:paraId="293D961A" w14:textId="77777777" w:rsidR="002D0890" w:rsidRPr="00D4101E" w:rsidRDefault="002D0890" w:rsidP="002D0890">
      <w:pPr>
        <w:spacing w:after="0" w:line="276" w:lineRule="auto"/>
        <w:ind w:firstLine="709"/>
        <w:jc w:val="both"/>
        <w:rPr>
          <w:rFonts w:ascii="Century Gothic" w:eastAsia="Calibri" w:hAnsi="Century Gothic" w:cs="Arial"/>
          <w:lang w:val="es-ES_tradnl" w:eastAsia="es-ES_tradnl"/>
          <w14:ligatures w14:val="standardContextual"/>
        </w:rPr>
      </w:pPr>
      <w:r w:rsidRPr="00D4101E">
        <w:rPr>
          <w:rFonts w:ascii="Century Gothic" w:eastAsia="Times New Roman" w:hAnsi="Century Gothic" w:cs="Arial"/>
          <w:iCs/>
          <w:lang w:val="es-ES_tradnl" w:eastAsia="es-ES_tradnl"/>
          <w14:ligatures w14:val="standardContextual"/>
        </w:rPr>
        <w:t>En términos generales, e</w:t>
      </w:r>
      <w:r w:rsidRPr="00D4101E">
        <w:rPr>
          <w:rFonts w:ascii="Century Gothic" w:eastAsia="Calibri" w:hAnsi="Century Gothic" w:cs="Arial"/>
          <w:lang w:val="es-ES_tradnl" w:eastAsia="es-ES_tradnl"/>
          <w14:ligatures w14:val="standardContextual"/>
        </w:rPr>
        <w:t>l artículo en cita regula un procedimiento administrativo sancionatorio dirigido a sujetos específicos: las entidades sometidas al EGCAP</w:t>
      </w:r>
      <w:r w:rsidRPr="00D4101E">
        <w:rPr>
          <w:rFonts w:ascii="Century Gothic" w:eastAsia="Calibri" w:hAnsi="Century Gothic" w:cs="Arial"/>
          <w:vertAlign w:val="superscript"/>
          <w:lang w:eastAsia="es-ES_tradnl"/>
          <w14:ligatures w14:val="standardContextual"/>
        </w:rPr>
        <w:footnoteReference w:id="18"/>
      </w:r>
      <w:r w:rsidRPr="00D4101E">
        <w:rPr>
          <w:rFonts w:ascii="Century Gothic" w:eastAsia="Calibri" w:hAnsi="Century Gothic" w:cs="Arial"/>
          <w:lang w:val="es-ES_tradnl" w:eastAsia="es-ES_tradnl"/>
          <w14:ligatures w14:val="standardContextual"/>
        </w:rPr>
        <w:t xml:space="preserve">. De ahí que las entidades de </w:t>
      </w:r>
      <w:r w:rsidRPr="00D4101E">
        <w:rPr>
          <w:rFonts w:ascii="Century Gothic" w:eastAsia="Calibri" w:hAnsi="Century Gothic" w:cs="Arial"/>
          <w:i/>
          <w:iCs/>
          <w:lang w:val="es-ES_tradnl" w:eastAsia="es-ES_tradnl"/>
          <w14:ligatures w14:val="standardContextual"/>
        </w:rPr>
        <w:t>régimen especial</w:t>
      </w:r>
      <w:r w:rsidRPr="00D4101E">
        <w:rPr>
          <w:rFonts w:ascii="Century Gothic" w:eastAsia="Calibri" w:hAnsi="Century Gothic" w:cs="Arial"/>
          <w:vertAlign w:val="superscript"/>
          <w:lang w:eastAsia="es-ES_tradnl"/>
          <w14:ligatures w14:val="standardContextual"/>
        </w:rPr>
        <w:footnoteReference w:id="19"/>
      </w:r>
      <w:r w:rsidRPr="00D4101E">
        <w:rPr>
          <w:rFonts w:ascii="Century Gothic" w:eastAsia="Calibri" w:hAnsi="Century Gothic" w:cs="Arial"/>
          <w:lang w:val="es-ES_tradnl" w:eastAsia="es-ES_tradnl"/>
          <w14:ligatures w14:val="standardContextual"/>
        </w:rPr>
        <w:t xml:space="preserve"> en materia contractual no pueden aplicar el procedimiento administrativo sancionatorio regulado en el artículo 86 de la Ley 1474 de 2011, al no ser entidades sometidas al EGCAP, sino, por el contrario, entidades exceptuadas de este</w:t>
      </w:r>
      <w:r w:rsidRPr="00D4101E">
        <w:rPr>
          <w:rFonts w:ascii="Century Gothic" w:eastAsia="Calibri" w:hAnsi="Century Gothic" w:cs="Arial"/>
          <w:vertAlign w:val="superscript"/>
          <w:lang w:eastAsia="es-ES_tradnl"/>
          <w14:ligatures w14:val="standardContextual"/>
        </w:rPr>
        <w:footnoteReference w:id="20"/>
      </w:r>
      <w:r w:rsidRPr="00D4101E">
        <w:rPr>
          <w:rFonts w:ascii="Century Gothic" w:eastAsia="Calibri" w:hAnsi="Century Gothic" w:cs="Arial"/>
          <w:lang w:val="es-ES_tradnl" w:eastAsia="es-ES_tradnl"/>
          <w14:ligatures w14:val="standardContextual"/>
        </w:rPr>
        <w:t>. La norma indicada desarrolla el procedimiento de la siguiente manera:</w:t>
      </w:r>
    </w:p>
    <w:p w14:paraId="3AB41C51" w14:textId="77777777" w:rsidR="002D0890" w:rsidRPr="00D4101E" w:rsidRDefault="002D0890" w:rsidP="002D0890">
      <w:pPr>
        <w:spacing w:after="0" w:line="276" w:lineRule="auto"/>
        <w:ind w:right="142" w:firstLine="709"/>
        <w:jc w:val="both"/>
        <w:rPr>
          <w:rFonts w:ascii="Century Gothic" w:eastAsia="Calibri" w:hAnsi="Century Gothic" w:cs="Arial"/>
          <w:lang w:val="es-ES_tradnl" w:eastAsia="es-ES_tradnl"/>
          <w14:ligatures w14:val="standardContextual"/>
        </w:rPr>
      </w:pPr>
    </w:p>
    <w:p w14:paraId="2AAF2419" w14:textId="77777777" w:rsidR="002D0890" w:rsidRPr="00D4101E" w:rsidRDefault="002D0890" w:rsidP="002D0890">
      <w:pPr>
        <w:spacing w:after="0" w:line="240" w:lineRule="auto"/>
        <w:ind w:left="709" w:right="709"/>
        <w:contextualSpacing/>
        <w:jc w:val="both"/>
        <w:rPr>
          <w:rFonts w:ascii="Century Gothic" w:hAnsi="Century Gothic" w:cs="Arial"/>
          <w:iCs/>
          <w:sz w:val="21"/>
          <w:szCs w:val="21"/>
          <w:lang w:val="es-ES_tradnl"/>
          <w14:ligatures w14:val="standardContextual"/>
        </w:rPr>
      </w:pPr>
      <w:bookmarkStart w:id="8" w:name="86"/>
      <w:r w:rsidRPr="00D4101E">
        <w:rPr>
          <w:rFonts w:ascii="Century Gothic" w:hAnsi="Century Gothic" w:cs="Arial"/>
          <w:iCs/>
          <w:sz w:val="21"/>
          <w:szCs w:val="21"/>
          <w:lang w:val="es-ES_tradnl"/>
          <w14:ligatures w14:val="standardContextual"/>
        </w:rPr>
        <w:lastRenderedPageBreak/>
        <w:t>“Artículo 86. Imposición de multas, sanciones y declaratorias de incumplimiento.</w:t>
      </w:r>
      <w:bookmarkEnd w:id="8"/>
      <w:r w:rsidRPr="00D4101E">
        <w:rPr>
          <w:rFonts w:ascii="Century Gothic" w:hAnsi="Century Gothic" w:cs="Arial"/>
          <w:iCs/>
          <w:sz w:val="21"/>
          <w:szCs w:val="21"/>
          <w:lang w:val="es-ES_tradnl"/>
          <w14:ligatures w14:val="standardContextual"/>
        </w:rPr>
        <w:t xml:space="preserv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1C08904D" w14:textId="77777777" w:rsidR="002D0890" w:rsidRPr="00D4101E" w:rsidRDefault="002D0890" w:rsidP="002D0890">
      <w:pPr>
        <w:spacing w:after="0" w:line="240" w:lineRule="auto"/>
        <w:ind w:left="709" w:right="709"/>
        <w:contextualSpacing/>
        <w:jc w:val="both"/>
        <w:rPr>
          <w:rFonts w:ascii="Century Gothic" w:hAnsi="Century Gothic" w:cs="Arial"/>
          <w:iCs/>
          <w:sz w:val="21"/>
          <w:szCs w:val="21"/>
          <w:lang w:val="es-ES_tradnl"/>
          <w14:ligatures w14:val="standardContextual"/>
        </w:rPr>
      </w:pPr>
    </w:p>
    <w:p w14:paraId="0F949CD0" w14:textId="77777777" w:rsidR="002D0890" w:rsidRPr="00D4101E" w:rsidRDefault="002D0890" w:rsidP="002D0890">
      <w:pPr>
        <w:spacing w:after="0" w:line="240" w:lineRule="auto"/>
        <w:ind w:left="709" w:right="709"/>
        <w:contextualSpacing/>
        <w:jc w:val="both"/>
        <w:rPr>
          <w:rFonts w:ascii="Century Gothic" w:hAnsi="Century Gothic" w:cs="Arial"/>
          <w:iCs/>
          <w:sz w:val="21"/>
          <w:szCs w:val="21"/>
          <w:lang w:val="es-ES_tradnl"/>
          <w14:ligatures w14:val="standardContextual"/>
        </w:rPr>
      </w:pPr>
      <w:r w:rsidRPr="00D4101E">
        <w:rPr>
          <w:rFonts w:ascii="Century Gothic" w:hAnsi="Century Gothic" w:cs="Arial"/>
          <w:iCs/>
          <w:sz w:val="21"/>
          <w:szCs w:val="21"/>
          <w:lang w:val="es-ES_tradnl"/>
          <w14:ligatures w14:val="standardContextua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53508BF0" w14:textId="77777777" w:rsidR="002D0890" w:rsidRPr="00D4101E" w:rsidRDefault="002D0890" w:rsidP="002D0890">
      <w:pPr>
        <w:spacing w:after="0" w:line="240" w:lineRule="auto"/>
        <w:ind w:left="709" w:right="709"/>
        <w:contextualSpacing/>
        <w:jc w:val="both"/>
        <w:rPr>
          <w:rFonts w:ascii="Century Gothic" w:hAnsi="Century Gothic" w:cs="Arial"/>
          <w:sz w:val="21"/>
          <w:szCs w:val="21"/>
          <w:lang w:val="es-ES_tradnl"/>
          <w14:ligatures w14:val="standardContextual"/>
        </w:rPr>
      </w:pPr>
    </w:p>
    <w:p w14:paraId="54154EC0" w14:textId="77777777" w:rsidR="002D0890" w:rsidRPr="00D4101E" w:rsidRDefault="002D0890" w:rsidP="002D0890">
      <w:pPr>
        <w:spacing w:after="0" w:line="240" w:lineRule="auto"/>
        <w:ind w:left="709" w:right="709"/>
        <w:contextualSpacing/>
        <w:jc w:val="both"/>
        <w:rPr>
          <w:rFonts w:ascii="Century Gothic" w:hAnsi="Century Gothic" w:cs="Arial"/>
          <w:iCs/>
          <w:sz w:val="21"/>
          <w:szCs w:val="21"/>
          <w:lang w:val="es-ES_tradnl"/>
          <w14:ligatures w14:val="standardContextual"/>
        </w:rPr>
      </w:pPr>
      <w:r w:rsidRPr="00D4101E">
        <w:rPr>
          <w:rFonts w:ascii="Century Gothic" w:hAnsi="Century Gothic" w:cs="Arial"/>
          <w:iCs/>
          <w:sz w:val="21"/>
          <w:szCs w:val="21"/>
          <w:lang w:val="es-ES_tradnl"/>
          <w14:ligatures w14:val="standardContextua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507B106A" w14:textId="77777777" w:rsidR="002D0890" w:rsidRPr="00D4101E" w:rsidRDefault="002D0890" w:rsidP="002D0890">
      <w:pPr>
        <w:spacing w:after="0" w:line="240" w:lineRule="auto"/>
        <w:ind w:left="709" w:right="709"/>
        <w:contextualSpacing/>
        <w:jc w:val="both"/>
        <w:rPr>
          <w:rFonts w:ascii="Century Gothic" w:hAnsi="Century Gothic" w:cs="Arial"/>
          <w:iCs/>
          <w:sz w:val="21"/>
          <w:szCs w:val="21"/>
          <w:lang w:val="es-ES_tradnl"/>
          <w14:ligatures w14:val="standardContextual"/>
        </w:rPr>
      </w:pPr>
    </w:p>
    <w:p w14:paraId="1C31853B" w14:textId="77777777" w:rsidR="002D0890" w:rsidRPr="00D4101E" w:rsidRDefault="002D0890" w:rsidP="002D0890">
      <w:pPr>
        <w:spacing w:after="0" w:line="240" w:lineRule="auto"/>
        <w:ind w:left="709" w:right="709"/>
        <w:contextualSpacing/>
        <w:jc w:val="both"/>
        <w:rPr>
          <w:rFonts w:ascii="Century Gothic" w:hAnsi="Century Gothic" w:cs="Arial"/>
          <w:iCs/>
          <w:sz w:val="21"/>
          <w:szCs w:val="21"/>
          <w:lang w:val="es-ES_tradnl"/>
          <w14:ligatures w14:val="standardContextual"/>
        </w:rPr>
      </w:pPr>
      <w:r w:rsidRPr="00D4101E">
        <w:rPr>
          <w:rFonts w:ascii="Century Gothic" w:hAnsi="Century Gothic" w:cs="Arial"/>
          <w:iCs/>
          <w:sz w:val="21"/>
          <w:szCs w:val="21"/>
          <w:lang w:val="es-ES_tradnl"/>
          <w14:ligatures w14:val="standardContextua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32D0F04A" w14:textId="77777777" w:rsidR="002D0890" w:rsidRPr="00D4101E" w:rsidRDefault="002D0890" w:rsidP="002D0890">
      <w:pPr>
        <w:spacing w:after="0" w:line="240" w:lineRule="auto"/>
        <w:ind w:left="709" w:right="709"/>
        <w:contextualSpacing/>
        <w:jc w:val="both"/>
        <w:rPr>
          <w:rFonts w:ascii="Century Gothic" w:hAnsi="Century Gothic" w:cs="Arial"/>
          <w:iCs/>
          <w:sz w:val="21"/>
          <w:szCs w:val="21"/>
          <w:lang w:val="es-ES_tradnl"/>
          <w14:ligatures w14:val="standardContextual"/>
        </w:rPr>
      </w:pPr>
    </w:p>
    <w:p w14:paraId="149F2825" w14:textId="77777777" w:rsidR="002D0890" w:rsidRPr="00D4101E" w:rsidRDefault="002D0890" w:rsidP="002D0890">
      <w:pPr>
        <w:spacing w:after="0" w:line="240" w:lineRule="auto"/>
        <w:ind w:left="709" w:right="709"/>
        <w:contextualSpacing/>
        <w:jc w:val="both"/>
        <w:rPr>
          <w:rFonts w:ascii="Century Gothic" w:hAnsi="Century Gothic" w:cs="Arial"/>
          <w:iCs/>
          <w:sz w:val="21"/>
          <w:szCs w:val="21"/>
          <w:lang w:val="es-ES_tradnl"/>
          <w14:ligatures w14:val="standardContextual"/>
        </w:rPr>
      </w:pPr>
      <w:r w:rsidRPr="00D4101E">
        <w:rPr>
          <w:rFonts w:ascii="Century Gothic" w:hAnsi="Century Gothic" w:cs="Arial"/>
          <w:iCs/>
          <w:sz w:val="21"/>
          <w:szCs w:val="21"/>
          <w:lang w:val="es-ES_tradnl"/>
          <w14:ligatures w14:val="standardContextual"/>
        </w:rPr>
        <w:t xml:space="preserve">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w:t>
      </w:r>
      <w:r w:rsidRPr="00D4101E">
        <w:rPr>
          <w:rFonts w:ascii="Century Gothic" w:hAnsi="Century Gothic" w:cs="Arial"/>
          <w:iCs/>
          <w:sz w:val="21"/>
          <w:szCs w:val="21"/>
          <w:lang w:val="es-ES_tradnl"/>
          <w14:ligatures w14:val="standardContextual"/>
        </w:rPr>
        <w:lastRenderedPageBreak/>
        <w:t>adoptar la decisión, se señalará fecha y hora para reanudar la audiencia. La entidad podrá dar por terminado el procedimiento en cualquier momento, si por algún medio tiene conocimiento de la cesación de situación de incumplimiento”.</w:t>
      </w:r>
    </w:p>
    <w:p w14:paraId="38D3BE14" w14:textId="77777777" w:rsidR="002D0890" w:rsidRPr="00D4101E" w:rsidRDefault="002D0890" w:rsidP="002D0890">
      <w:pPr>
        <w:spacing w:after="0" w:line="276" w:lineRule="auto"/>
        <w:ind w:right="142"/>
        <w:contextualSpacing/>
        <w:jc w:val="both"/>
        <w:rPr>
          <w:rFonts w:ascii="Century Gothic" w:eastAsia="Calibri" w:hAnsi="Century Gothic" w:cs="Arial"/>
          <w:szCs w:val="24"/>
          <w:lang w:val="es-ES_tradnl" w:eastAsia="es-ES_tradnl"/>
          <w14:ligatures w14:val="standardContextual"/>
        </w:rPr>
      </w:pPr>
    </w:p>
    <w:p w14:paraId="2E2FC64E" w14:textId="77777777" w:rsidR="002D0890" w:rsidRPr="00D4101E" w:rsidRDefault="002D0890" w:rsidP="002D0890">
      <w:pPr>
        <w:spacing w:after="120" w:line="276" w:lineRule="auto"/>
        <w:ind w:firstLine="709"/>
        <w:jc w:val="both"/>
        <w:rPr>
          <w:rFonts w:ascii="Century Gothic" w:eastAsia="Calibri" w:hAnsi="Century Gothic" w:cs="Arial"/>
          <w:lang w:val="es-ES_tradnl" w:eastAsia="es-ES_tradnl"/>
          <w14:ligatures w14:val="standardContextual"/>
        </w:rPr>
      </w:pPr>
      <w:r w:rsidRPr="00D4101E">
        <w:rPr>
          <w:rFonts w:ascii="Century Gothic" w:eastAsia="Calibri" w:hAnsi="Century Gothic" w:cs="Arial"/>
          <w:lang w:val="es-ES_tradnl" w:eastAsia="es-ES_tradnl"/>
          <w14:ligatures w14:val="standardContextual"/>
        </w:rPr>
        <w:t xml:space="preserve">Como se observa, la citación a la audiencia debe cumplir </w:t>
      </w:r>
      <w:r w:rsidRPr="00D4101E">
        <w:rPr>
          <w:rFonts w:ascii="Century Gothic" w:eastAsia="Calibri" w:hAnsi="Century Gothic" w:cs="Arial"/>
          <w:i/>
          <w:iCs/>
          <w:lang w:val="es-ES_tradnl" w:eastAsia="es-ES_tradnl"/>
          <w14:ligatures w14:val="standardContextual"/>
        </w:rPr>
        <w:t>mínimamente</w:t>
      </w:r>
      <w:r w:rsidRPr="00D4101E">
        <w:rPr>
          <w:rFonts w:ascii="Century Gothic" w:eastAsia="Calibri" w:hAnsi="Century Gothic" w:cs="Arial"/>
          <w:lang w:val="es-ES_tradnl" w:eastAsia="es-ES_tradnl"/>
          <w14:ligatures w14:val="standardContextual"/>
        </w:rPr>
        <w:t xml:space="preserve"> los siguientes aspectos: (i) señalar los </w:t>
      </w:r>
      <w:r w:rsidRPr="00D4101E">
        <w:rPr>
          <w:rFonts w:ascii="Century Gothic" w:eastAsia="Calibri" w:hAnsi="Century Gothic" w:cs="Arial"/>
          <w:i/>
          <w:iCs/>
          <w:lang w:val="es-ES_tradnl" w:eastAsia="es-ES_tradnl"/>
          <w14:ligatures w14:val="standardContextual"/>
        </w:rPr>
        <w:t>hechos</w:t>
      </w:r>
      <w:r w:rsidRPr="00D4101E">
        <w:rPr>
          <w:rFonts w:ascii="Century Gothic" w:eastAsia="Calibri" w:hAnsi="Century Gothic" w:cs="Arial"/>
          <w:lang w:val="es-ES_tradnl" w:eastAsia="es-ES_tradnl"/>
          <w14:ligatures w14:val="standardContextual"/>
        </w:rPr>
        <w:t xml:space="preserve"> que soportan la actuación, en particular la descripción detallada de cuáles son las actuaciones u omisiones del contratista que materializan el incumplimiento de las obligaciones. Además, se deben (ii) adjuntar los </w:t>
      </w:r>
      <w:r w:rsidRPr="00D4101E">
        <w:rPr>
          <w:rFonts w:ascii="Century Gothic" w:eastAsia="Calibri" w:hAnsi="Century Gothic" w:cs="Arial"/>
          <w:i/>
          <w:iCs/>
          <w:lang w:val="es-ES_tradnl" w:eastAsia="es-ES_tradnl"/>
          <w14:ligatures w14:val="standardContextual"/>
        </w:rPr>
        <w:t>informes de supervisión o de interventoría</w:t>
      </w:r>
      <w:r w:rsidRPr="00D4101E">
        <w:rPr>
          <w:rFonts w:ascii="Century Gothic" w:eastAsia="Calibri" w:hAnsi="Century Gothic" w:cs="Arial"/>
          <w:lang w:val="es-ES_tradnl" w:eastAsia="es-ES_tradnl"/>
          <w14:ligatures w14:val="standardContextual"/>
        </w:rPr>
        <w:t xml:space="preserve"> que soportan la actuación, donde la entidad fundamenta su decisión de iniciar el procedimiento sancionatorio. Asimismo, (iii) lo anterior debe acompañarse con las </w:t>
      </w:r>
      <w:r w:rsidRPr="00D4101E">
        <w:rPr>
          <w:rFonts w:ascii="Century Gothic" w:eastAsia="Calibri" w:hAnsi="Century Gothic" w:cs="Arial"/>
          <w:i/>
          <w:iCs/>
          <w:lang w:val="es-ES_tradnl" w:eastAsia="es-ES_tradnl"/>
          <w14:ligatures w14:val="standardContextual"/>
        </w:rPr>
        <w:t>pruebas adicionales</w:t>
      </w:r>
      <w:r w:rsidRPr="00D4101E">
        <w:rPr>
          <w:rFonts w:ascii="Century Gothic" w:eastAsia="Calibri" w:hAnsi="Century Gothic" w:cs="Arial"/>
          <w:lang w:val="es-ES_tradnl" w:eastAsia="es-ES_tradnl"/>
          <w14:ligatures w14:val="standardContextual"/>
        </w:rPr>
        <w:t xml:space="preserve">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r w:rsidRPr="00D4101E">
        <w:rPr>
          <w:rFonts w:ascii="Century Gothic" w:eastAsia="Calibri" w:hAnsi="Century Gothic" w:cs="Arial"/>
          <w:vertAlign w:val="superscript"/>
          <w:lang w:eastAsia="es-ES_tradnl"/>
          <w14:ligatures w14:val="standardContextual"/>
        </w:rPr>
        <w:footnoteReference w:id="21"/>
      </w:r>
      <w:r w:rsidRPr="00D4101E">
        <w:rPr>
          <w:rFonts w:ascii="Century Gothic" w:eastAsia="Calibri" w:hAnsi="Century Gothic" w:cs="Arial"/>
          <w:lang w:val="es-ES_tradnl" w:eastAsia="es-ES_tradnl"/>
          <w14:ligatures w14:val="standardContextual"/>
        </w:rPr>
        <w:t>.</w:t>
      </w:r>
    </w:p>
    <w:p w14:paraId="79D76B49" w14:textId="77777777" w:rsidR="002D0890" w:rsidRPr="00D4101E" w:rsidRDefault="002D0890" w:rsidP="002D0890">
      <w:pPr>
        <w:spacing w:before="240" w:line="276" w:lineRule="auto"/>
        <w:ind w:firstLine="709"/>
        <w:jc w:val="both"/>
        <w:rPr>
          <w:rFonts w:ascii="Century Gothic" w:hAnsi="Century Gothic"/>
        </w:rPr>
      </w:pPr>
      <w:r w:rsidRPr="00D4101E">
        <w:rPr>
          <w:rFonts w:ascii="Century Gothic" w:eastAsia="Calibri" w:hAnsi="Century Gothic" w:cs="Arial"/>
          <w:color w:val="000000"/>
          <w:lang w:val="es-ES" w:eastAsia="es-ES"/>
        </w:rPr>
        <w:t xml:space="preserve">En cuanto a la cuantificación de perjuicios </w:t>
      </w:r>
      <w:r w:rsidRPr="00D4101E">
        <w:rPr>
          <w:rFonts w:ascii="Century Gothic" w:eastAsia="Arial" w:hAnsi="Century Gothic" w:cs="Arial"/>
          <w:color w:val="000000" w:themeColor="text1"/>
        </w:rPr>
        <w:t xml:space="preserve">ocasionados por el incumplimiento –inciso primero del artículo 86–, no se puede entender este como requisito obligatorio del contenido de la citación a la audiencia de que trata el artículo en cita, toda vez que, en el inciso respectivo de la Ley, no está contenido textualmente. No obstante, de la lectura de la norma se entiende que estos podrán ser agregados en la citación por parte de la Entidad Estatal, si así lo considera </w:t>
      </w:r>
      <w:r w:rsidRPr="00D4101E">
        <w:rPr>
          <w:rFonts w:ascii="Century Gothic" w:eastAsia="Arial" w:hAnsi="Century Gothic" w:cs="Arial"/>
          <w:color w:val="000000" w:themeColor="text1"/>
        </w:rPr>
        <w:lastRenderedPageBreak/>
        <w:t>pertinente. Con todo, se aclara que</w:t>
      </w:r>
      <w:r>
        <w:rPr>
          <w:rFonts w:ascii="Century Gothic" w:eastAsia="Arial" w:hAnsi="Century Gothic" w:cs="Arial"/>
          <w:color w:val="000000" w:themeColor="text1"/>
        </w:rPr>
        <w:t>,</w:t>
      </w:r>
      <w:r w:rsidRPr="00D4101E">
        <w:rPr>
          <w:rFonts w:ascii="Century Gothic" w:eastAsia="Arial" w:hAnsi="Century Gothic" w:cs="Arial"/>
          <w:color w:val="000000" w:themeColor="text1"/>
        </w:rPr>
        <w:t xml:space="preserve"> para efectos de imponer las multas y sanciones y hacer efectiva la cláusula penal, es necesario dar a conocer dicha cuantificación al contratista en garantía de su derecho de defensa, contradicción, y al debido proceso que consagra el artículo 29 de la Constitución Política de 1991, pues con base en estos se determinará y verificará la proporcionalidad de las sanciones a aplicar.</w:t>
      </w:r>
    </w:p>
    <w:p w14:paraId="583BBE43" w14:textId="77777777" w:rsidR="002D0890" w:rsidRPr="00D4101E" w:rsidRDefault="002D0890" w:rsidP="002D0890">
      <w:pPr>
        <w:spacing w:line="276" w:lineRule="auto"/>
        <w:ind w:firstLine="708"/>
        <w:jc w:val="both"/>
        <w:rPr>
          <w:rFonts w:ascii="Century Gothic" w:eastAsia="Times New Roman" w:hAnsi="Century Gothic" w:cs="Arial"/>
          <w:color w:val="000000"/>
          <w:lang w:eastAsia="es-ES_tradnl"/>
        </w:rPr>
      </w:pPr>
      <w:r w:rsidRPr="00D4101E">
        <w:rPr>
          <w:rFonts w:ascii="Century Gothic" w:eastAsia="Times New Roman" w:hAnsi="Century Gothic" w:cs="Arial"/>
          <w:color w:val="000000"/>
          <w:lang w:eastAsia="es-ES_tradnl"/>
        </w:rPr>
        <w:t>Al respecto, es importante indicar que el artículo 17 de la Ley 1150 de 2007 dispuso el debido proceso como principio rector de la potestad sancionatoria de la administración en contratación estatal, y el artículo 86 de la Ley 1474 de 2011, como ya lo vimos, reglamentó su procedimiento. De la lectura de dichos artículos se observa el querer, por parte del legislador, de que el contratista cuente con un procedimiento sancionatorio contractual que tenga plena garantía al debido proceso.</w:t>
      </w:r>
    </w:p>
    <w:p w14:paraId="06FEFC2A" w14:textId="77777777" w:rsidR="002D0890" w:rsidRPr="00D4101E" w:rsidRDefault="002D0890" w:rsidP="002D0890">
      <w:pPr>
        <w:spacing w:line="276" w:lineRule="auto"/>
        <w:ind w:firstLine="709"/>
        <w:jc w:val="both"/>
        <w:rPr>
          <w:rFonts w:ascii="Century Gothic" w:eastAsia="Times New Roman" w:hAnsi="Century Gothic" w:cs="Arial"/>
          <w:color w:val="000000"/>
          <w:lang w:eastAsia="es-ES_tradnl"/>
        </w:rPr>
      </w:pPr>
      <w:r w:rsidRPr="00D4101E">
        <w:rPr>
          <w:rFonts w:ascii="Century Gothic" w:eastAsia="Times New Roman" w:hAnsi="Century Gothic" w:cs="Arial"/>
          <w:color w:val="000000"/>
          <w:lang w:eastAsia="es-ES_tradnl"/>
        </w:rPr>
        <w:t>La Corte Constitucional, en Sentencia SU-339 de 2011</w:t>
      </w:r>
      <w:r w:rsidRPr="00D4101E">
        <w:rPr>
          <w:rFonts w:ascii="Century Gothic" w:eastAsia="Times New Roman" w:hAnsi="Century Gothic" w:cs="Arial"/>
          <w:color w:val="000000"/>
          <w:vertAlign w:val="superscript"/>
          <w:lang w:eastAsia="es-ES_tradnl"/>
        </w:rPr>
        <w:footnoteReference w:id="22"/>
      </w:r>
      <w:r w:rsidRPr="00D4101E">
        <w:rPr>
          <w:rFonts w:ascii="Century Gothic" w:eastAsia="Times New Roman" w:hAnsi="Century Gothic" w:cs="Arial"/>
          <w:color w:val="000000"/>
          <w:lang w:eastAsia="es-ES_tradnl"/>
        </w:rPr>
        <w:t xml:space="preserve">, </w:t>
      </w:r>
      <w:r>
        <w:rPr>
          <w:rFonts w:ascii="Century Gothic" w:eastAsia="Times New Roman" w:hAnsi="Century Gothic" w:cs="Arial"/>
          <w:color w:val="000000"/>
          <w:lang w:eastAsia="es-ES_tradnl"/>
        </w:rPr>
        <w:t>precisó q</w:t>
      </w:r>
      <w:r w:rsidRPr="00D4101E">
        <w:rPr>
          <w:rFonts w:ascii="Century Gothic" w:eastAsia="Times New Roman" w:hAnsi="Century Gothic" w:cs="Arial"/>
          <w:color w:val="000000"/>
          <w:lang w:eastAsia="es-ES_tradnl"/>
        </w:rPr>
        <w:t xml:space="preserve">ue el derecho al debido proceso, en ciertos casos tiene un </w:t>
      </w:r>
      <w:r w:rsidRPr="00D4101E">
        <w:rPr>
          <w:rFonts w:ascii="Century Gothic" w:eastAsia="Times New Roman" w:hAnsi="Century Gothic" w:cs="Arial"/>
          <w:iCs/>
          <w:color w:val="000000"/>
          <w:lang w:val="es-ES_tradnl" w:eastAsia="es-ES_tradnl"/>
        </w:rPr>
        <w:t xml:space="preserve">“carácter instrumental”, pues el estricto cumplimiento de “las garantías constitutivas del debido proceso administrativo y de las regulaciones legales que determinan la actuación del poder público, </w:t>
      </w:r>
      <w:r w:rsidRPr="00D4101E">
        <w:rPr>
          <w:rFonts w:ascii="Century Gothic" w:eastAsia="Times New Roman" w:hAnsi="Century Gothic" w:cs="Arial"/>
          <w:i/>
          <w:color w:val="000000"/>
          <w:lang w:val="es-ES_tradnl" w:eastAsia="es-ES_tradnl"/>
        </w:rPr>
        <w:t>se deriva la salvaguarda de otros derechos fundamentales</w:t>
      </w:r>
      <w:r w:rsidRPr="00D4101E">
        <w:rPr>
          <w:rFonts w:ascii="Century Gothic" w:eastAsia="Times New Roman" w:hAnsi="Century Gothic" w:cs="Arial"/>
          <w:iCs/>
          <w:color w:val="000000"/>
          <w:lang w:val="es-ES_tradnl" w:eastAsia="es-ES_tradnl"/>
        </w:rPr>
        <w:t xml:space="preserve">”. </w:t>
      </w:r>
      <w:r w:rsidRPr="00D4101E">
        <w:rPr>
          <w:rFonts w:ascii="Century Gothic" w:eastAsia="Times New Roman" w:hAnsi="Century Gothic" w:cs="Arial"/>
          <w:color w:val="000000"/>
          <w:lang w:eastAsia="es-ES_tradnl"/>
        </w:rPr>
        <w:t>En tal virtud, el contratista contra quien se adelanta esta clase de procedimiento administrativo sancionatorio cuenta, entre otros, con los siguientes derechos: (i) a un procedimiento público; (ii) el ser oído antes de la decisión; (iii) a la defensa y contradicción; (iv) a aportar pruebas y a contradecir las que se alleguen en su contra; (iv) que el procedimiento se adelante ante la autoridad competente para conocer del asunto; (v) a que se le otorgue un tratamiento igual que el dado a otros particulares; (vi) a que el procedimiento se adelante en un término razonable; y, (vii) a que las decisiones sean motivadas, debidamente notificadas y a impugnar las mismas.</w:t>
      </w:r>
    </w:p>
    <w:p w14:paraId="7F1C9957" w14:textId="77777777" w:rsidR="002D0890" w:rsidRPr="00D4101E" w:rsidRDefault="002D0890" w:rsidP="002D0890">
      <w:pPr>
        <w:spacing w:line="276" w:lineRule="auto"/>
        <w:ind w:firstLine="708"/>
        <w:jc w:val="both"/>
        <w:rPr>
          <w:rFonts w:ascii="Century Gothic" w:eastAsia="Calibri" w:hAnsi="Century Gothic" w:cs="Arial"/>
          <w:lang w:val="es-ES_tradnl" w:eastAsia="es-ES_tradnl"/>
          <w14:ligatures w14:val="standardContextual"/>
        </w:rPr>
      </w:pPr>
      <w:r w:rsidRPr="00D4101E">
        <w:rPr>
          <w:rFonts w:ascii="Century Gothic" w:eastAsia="Times New Roman" w:hAnsi="Century Gothic" w:cs="Arial"/>
          <w:color w:val="000000"/>
          <w:lang w:eastAsia="es-ES_tradnl"/>
        </w:rPr>
        <w:t xml:space="preserve"> </w:t>
      </w:r>
      <w:r w:rsidRPr="00D4101E">
        <w:rPr>
          <w:rFonts w:ascii="Century Gothic" w:eastAsia="Calibri" w:hAnsi="Century Gothic" w:cs="Arial"/>
          <w:lang w:val="es-ES_tradnl" w:eastAsia="es-ES_tradnl"/>
          <w14:ligatures w14:val="standardContextual"/>
        </w:rPr>
        <w:t>Conforme lo expuesto, es importante que la entidad acompañe la citación de la audiencia, con las pruebas que dan a lugar al reproche sancionatorio, adicionales a los informes de supervisión o de interventoría que sirven para acreditar el incumplimiento de obligaciones contractuales.</w:t>
      </w:r>
    </w:p>
    <w:p w14:paraId="0733A6C1" w14:textId="77777777" w:rsidR="002D0890" w:rsidRPr="00D4101E" w:rsidRDefault="002D0890" w:rsidP="002D0890">
      <w:pPr>
        <w:spacing w:after="120" w:line="276" w:lineRule="auto"/>
        <w:ind w:firstLine="708"/>
        <w:jc w:val="both"/>
        <w:rPr>
          <w:rFonts w:ascii="Century Gothic" w:eastAsia="Times New Roman" w:hAnsi="Century Gothic" w:cs="Arial"/>
          <w:iCs/>
          <w:lang w:val="es-ES_tradnl" w:eastAsia="es-ES_tradnl"/>
          <w14:ligatures w14:val="standardContextual"/>
        </w:rPr>
      </w:pPr>
      <w:r w:rsidRPr="00D4101E">
        <w:rPr>
          <w:rFonts w:ascii="Century Gothic" w:eastAsia="Arial" w:hAnsi="Century Gothic" w:cs="Arial"/>
          <w:lang w:eastAsia="es-ES_tradnl"/>
          <w14:ligatures w14:val="standardContextual"/>
        </w:rPr>
        <w:t xml:space="preserve">Sin embargo, también </w:t>
      </w:r>
      <w:r w:rsidRPr="00D4101E">
        <w:rPr>
          <w:rFonts w:ascii="Century Gothic" w:eastAsia="Calibri" w:hAnsi="Century Gothic" w:cs="Arial"/>
          <w:lang w:val="es-ES_tradnl" w:eastAsia="es-ES_tradnl"/>
          <w14:ligatures w14:val="standardContextual"/>
        </w:rPr>
        <w:t xml:space="preserve">debe señalarse que el literal d) del artículo 86 dispone que, en </w:t>
      </w:r>
      <w:r w:rsidRPr="00D4101E">
        <w:rPr>
          <w:rFonts w:ascii="Century Gothic" w:eastAsia="Times New Roman" w:hAnsi="Century Gothic" w:cs="Arial"/>
          <w:iCs/>
          <w:lang w:val="es-ES_tradnl" w:eastAsia="es-ES_tradnl"/>
          <w14:ligatures w14:val="standardContextual"/>
        </w:rPr>
        <w:t xml:space="preserve">cualquier momento del desarrollo de la audiencia, el jefe de la entidad o </w:t>
      </w:r>
      <w:r w:rsidRPr="00D4101E">
        <w:rPr>
          <w:rFonts w:ascii="Century Gothic" w:eastAsia="Times New Roman" w:hAnsi="Century Gothic" w:cs="Arial"/>
          <w:iCs/>
          <w:lang w:val="es-ES_tradnl" w:eastAsia="es-ES_tradnl"/>
          <w14:ligatures w14:val="standardContextual"/>
        </w:rPr>
        <w:lastRenderedPageBreak/>
        <w:t>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w:t>
      </w:r>
    </w:p>
    <w:p w14:paraId="6390EF3C" w14:textId="77777777" w:rsidR="002D0890" w:rsidRDefault="002D0890" w:rsidP="002D0890">
      <w:pPr>
        <w:spacing w:after="120" w:line="276" w:lineRule="auto"/>
        <w:ind w:right="142" w:firstLine="708"/>
        <w:jc w:val="both"/>
        <w:rPr>
          <w:rFonts w:ascii="Century Gothic" w:hAnsi="Century Gothic" w:cs="Arial"/>
          <w:iCs/>
          <w:color w:val="000000" w:themeColor="text1"/>
          <w:lang w:val="es-ES_tradnl"/>
        </w:rPr>
      </w:pPr>
      <w:r w:rsidRPr="00D4101E">
        <w:rPr>
          <w:rFonts w:ascii="Century Gothic" w:hAnsi="Century Gothic" w:cs="Arial"/>
          <w:iCs/>
          <w:color w:val="000000" w:themeColor="text1"/>
          <w:lang w:val="es-ES_tradnl"/>
        </w:rPr>
        <w:t xml:space="preserve">Finalmente, la potestad discrecional comentada aplica en los supuestos en que la entidad, </w:t>
      </w:r>
      <w:r w:rsidRPr="00D4101E">
        <w:rPr>
          <w:rFonts w:ascii="Century Gothic" w:hAnsi="Century Gothic" w:cs="Arial"/>
          <w:i/>
          <w:color w:val="000000" w:themeColor="text1"/>
          <w:lang w:val="es-ES_tradnl"/>
        </w:rPr>
        <w:t>por cualquier medio</w:t>
      </w:r>
      <w:r w:rsidRPr="00D4101E">
        <w:rPr>
          <w:rFonts w:ascii="Century Gothic" w:hAnsi="Century Gothic" w:cs="Arial"/>
          <w:iCs/>
          <w:color w:val="000000" w:themeColor="text1"/>
          <w:lang w:val="es-ES_tradnl"/>
        </w:rPr>
        <w:t>, tenga conocimiento de la cesación de la situación de incumplimiento; conocimiento al que puede llegar por sus actuaciones oficiosas o por advertencia de cualquier interesado.</w:t>
      </w:r>
    </w:p>
    <w:p w14:paraId="4A36C8AF" w14:textId="77777777" w:rsidR="002D0890" w:rsidRPr="00C90005" w:rsidRDefault="002D0890" w:rsidP="002D0890">
      <w:pPr>
        <w:spacing w:after="120" w:line="276" w:lineRule="auto"/>
        <w:ind w:right="142" w:firstLine="708"/>
        <w:jc w:val="both"/>
        <w:rPr>
          <w:rFonts w:ascii="Century Gothic" w:hAnsi="Century Gothic" w:cs="Arial"/>
          <w:iCs/>
          <w:color w:val="000000" w:themeColor="text1"/>
          <w:lang w:val="es-ES_tradnl"/>
        </w:rPr>
      </w:pPr>
      <w:bookmarkStart w:id="9" w:name="_Hlk151927444"/>
      <w:r>
        <w:rPr>
          <w:rFonts w:ascii="Century Gothic" w:hAnsi="Century Gothic" w:cs="Arial"/>
          <w:iCs/>
          <w:color w:val="000000" w:themeColor="text1"/>
          <w:lang w:val="es-ES_tradnl"/>
        </w:rPr>
        <w:t xml:space="preserve">Ahora bien, una vez explicado lo anterior, no está demás señalar </w:t>
      </w:r>
      <w:r w:rsidRPr="00C90005">
        <w:rPr>
          <w:rFonts w:ascii="Century Gothic" w:eastAsia="Calibri" w:hAnsi="Century Gothic" w:cs="Arial"/>
          <w:color w:val="000000"/>
          <w:lang w:val="es-ES_tradnl"/>
        </w:rPr>
        <w:t>que el límite temporal para la imposición de multas y cláusulas penales debe definirse con fundamento en el artículo 17 de la Ley 1150 de 2007, que es la norma vigente que actualmente asigna esta potestad a las entidades estatales y define los límites frente a su aplicación. En este sentido, la Ley 1150 de 2007 determinó de manera expresa que las entidades sometidas al Estatuto General de Contratación de la Administración Pública pueden imponer las multas pactadas en el contrato, siempre que “se halle pendiente la ejecución de las obligaciones a cargo del contratista” y que, así mismo, “podrán declarar el incumplimiento con el propósito de hacer efectiva la cláusula penal pecuniaria incluida en el contrato”. En lo pertinente, el artículo 17 prescribe lo siguiente:</w:t>
      </w:r>
    </w:p>
    <w:p w14:paraId="32BDAD07" w14:textId="77777777" w:rsidR="002D0890" w:rsidRPr="00C90005" w:rsidRDefault="002D0890" w:rsidP="002D0890">
      <w:pPr>
        <w:spacing w:after="0" w:line="240" w:lineRule="auto"/>
        <w:ind w:left="709" w:right="709"/>
        <w:jc w:val="both"/>
        <w:rPr>
          <w:rFonts w:ascii="Century Gothic" w:eastAsia="Calibri" w:hAnsi="Century Gothic" w:cs="Arial"/>
          <w:color w:val="000000"/>
          <w:sz w:val="21"/>
          <w:szCs w:val="21"/>
          <w:lang w:val="es-ES_tradnl"/>
        </w:rPr>
      </w:pPr>
      <w:r w:rsidRPr="00C90005">
        <w:rPr>
          <w:rFonts w:ascii="Century Gothic" w:eastAsia="Calibri" w:hAnsi="Century Gothic" w:cs="Arial"/>
          <w:color w:val="000000"/>
          <w:sz w:val="21"/>
          <w:szCs w:val="21"/>
          <w:lang w:val="es-ES_tradnl"/>
        </w:rPr>
        <w:t>“El debido proceso será un principio rector en materia sancionatoria de las actuaciones contractuales.</w:t>
      </w:r>
    </w:p>
    <w:p w14:paraId="31A3BC03" w14:textId="77777777" w:rsidR="002D0890" w:rsidRPr="00C90005" w:rsidRDefault="002D0890" w:rsidP="002D0890">
      <w:pPr>
        <w:spacing w:before="120" w:after="0" w:line="240" w:lineRule="auto"/>
        <w:ind w:left="709" w:right="709"/>
        <w:jc w:val="both"/>
        <w:rPr>
          <w:rFonts w:ascii="Century Gothic" w:eastAsia="Calibri" w:hAnsi="Century Gothic" w:cs="Arial"/>
          <w:color w:val="000000"/>
          <w:sz w:val="21"/>
          <w:szCs w:val="21"/>
          <w:lang w:val="es-ES_tradnl"/>
        </w:rPr>
      </w:pPr>
      <w:r w:rsidRPr="00C90005">
        <w:rPr>
          <w:rFonts w:ascii="Century Gothic" w:eastAsia="Calibri" w:hAnsi="Century Gothic" w:cs="Arial"/>
          <w:color w:val="000000"/>
          <w:sz w:val="21"/>
          <w:szCs w:val="21"/>
          <w:lang w:val="es-ES_tradnl"/>
        </w:rPr>
        <w:t xml:space="preserve">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w:t>
      </w:r>
      <w:r w:rsidRPr="00C90005">
        <w:rPr>
          <w:rFonts w:ascii="Century Gothic" w:eastAsia="Calibri" w:hAnsi="Century Gothic" w:cs="Arial"/>
          <w:i/>
          <w:iCs/>
          <w:color w:val="000000"/>
          <w:sz w:val="21"/>
          <w:szCs w:val="21"/>
          <w:lang w:val="es-ES_tradnl"/>
        </w:rPr>
        <w:t>procede sólo mientras se halle pendiente la ejecución de las obligaciones a cargo del contratista</w:t>
      </w:r>
      <w:r w:rsidRPr="00C90005">
        <w:rPr>
          <w:rFonts w:ascii="Century Gothic" w:eastAsia="Calibri" w:hAnsi="Century Gothic" w:cs="Arial"/>
          <w:color w:val="000000"/>
          <w:sz w:val="21"/>
          <w:szCs w:val="21"/>
          <w:lang w:val="es-ES_tradnl"/>
        </w:rPr>
        <w:t>. Así mismo podrán declarar el incumplimiento con el propósito de hacer efectiva la cláusula penal pecuniaria incluida en el contrato. (Énfasis fuera de texto).</w:t>
      </w:r>
    </w:p>
    <w:p w14:paraId="71708A17" w14:textId="77777777" w:rsidR="002D0890" w:rsidRPr="00C90005" w:rsidRDefault="002D0890" w:rsidP="002D0890">
      <w:pPr>
        <w:spacing w:after="0" w:line="276" w:lineRule="auto"/>
        <w:jc w:val="both"/>
        <w:rPr>
          <w:rFonts w:ascii="Century Gothic" w:eastAsia="Calibri" w:hAnsi="Century Gothic" w:cs="Arial"/>
          <w:color w:val="000000"/>
          <w:sz w:val="21"/>
          <w:szCs w:val="21"/>
          <w:lang w:val="es-ES_tradnl"/>
        </w:rPr>
      </w:pPr>
    </w:p>
    <w:p w14:paraId="056E8DBE" w14:textId="77777777" w:rsidR="002D0890" w:rsidRPr="00C90005" w:rsidRDefault="002D0890" w:rsidP="002D0890">
      <w:pPr>
        <w:spacing w:after="0" w:line="276" w:lineRule="auto"/>
        <w:ind w:firstLine="708"/>
        <w:jc w:val="both"/>
        <w:rPr>
          <w:rFonts w:ascii="Century Gothic" w:eastAsia="Calibri" w:hAnsi="Century Gothic" w:cs="Arial"/>
          <w:color w:val="000000"/>
          <w:lang w:val="es-ES_tradnl"/>
        </w:rPr>
      </w:pPr>
      <w:r w:rsidRPr="00C90005">
        <w:rPr>
          <w:rFonts w:ascii="Century Gothic" w:eastAsia="Calibri" w:hAnsi="Century Gothic" w:cs="Arial"/>
          <w:color w:val="000000"/>
          <w:lang w:val="es-ES_tradnl"/>
        </w:rPr>
        <w:t xml:space="preserve">Lo anterior quiere decir, </w:t>
      </w:r>
      <w:bookmarkStart w:id="10" w:name="_Hlk73431776"/>
      <w:r w:rsidRPr="00C90005">
        <w:rPr>
          <w:rFonts w:ascii="Century Gothic" w:eastAsia="Calibri" w:hAnsi="Century Gothic" w:cs="Arial"/>
          <w:color w:val="000000"/>
          <w:lang w:val="es-ES_tradnl"/>
        </w:rPr>
        <w:t xml:space="preserve">como se desprende de su literalidad, que la entidad puede imponer las multas pactadas en el contrato, mientras esté pendiente la ejecución de las obligaciones del contratista, lo que define el límite temporal para </w:t>
      </w:r>
      <w:r w:rsidRPr="00C90005">
        <w:rPr>
          <w:rFonts w:ascii="Century Gothic" w:eastAsia="Calibri" w:hAnsi="Century Gothic" w:cs="Arial"/>
          <w:color w:val="000000"/>
          <w:lang w:val="es-ES_tradnl"/>
        </w:rPr>
        <w:lastRenderedPageBreak/>
        <w:t xml:space="preserve">hacerlo. De hecho, no condicionó la aplicación de estas sanciones al plazo de ejecución del contrato, y esto tiene sentido si se armoniza con la finalidad de la multa o de la cláusula penal y los fines de la contratación estatal. </w:t>
      </w:r>
      <w:r>
        <w:rPr>
          <w:rFonts w:ascii="Century Gothic" w:eastAsia="Calibri" w:hAnsi="Century Gothic" w:cs="Arial"/>
          <w:color w:val="000000"/>
          <w:lang w:val="es-ES_tradnl"/>
        </w:rPr>
        <w:t xml:space="preserve">Así se reconoció, por ejemplo, en el Concepto C-276 del 14 de julio de 2023, pues allí se sostuvo no solo que </w:t>
      </w:r>
      <w:r w:rsidRPr="00C90005">
        <w:rPr>
          <w:rFonts w:ascii="Century Gothic" w:eastAsia="Calibri" w:hAnsi="Century Gothic" w:cs="Arial"/>
          <w:color w:val="000000"/>
          <w:lang w:val="es-ES_tradnl"/>
        </w:rPr>
        <w:t>existen obligaciones cuyo cumplimiento solo puede verificarse después del plazo de ejecución y en caso de no cumplir en las condiciones acordadas la entidad tiene la facultad para conminar al contratista incumplido</w:t>
      </w:r>
      <w:r>
        <w:rPr>
          <w:rFonts w:ascii="Century Gothic" w:eastAsia="Calibri" w:hAnsi="Century Gothic" w:cs="Arial"/>
          <w:color w:val="000000"/>
          <w:lang w:val="es-ES_tradnl"/>
        </w:rPr>
        <w:t xml:space="preserve">, sino que también, si una vez </w:t>
      </w:r>
      <w:r w:rsidRPr="00C90005">
        <w:rPr>
          <w:rFonts w:ascii="Century Gothic" w:eastAsia="Calibri" w:hAnsi="Century Gothic" w:cs="Arial"/>
          <w:color w:val="000000"/>
          <w:lang w:val="es-ES_tradnl"/>
        </w:rPr>
        <w:t>vencido el plazo de ejecución el contratista no cumple, la obligación no se extingue, pues de acuerdo con el artículo 1625 del Código Civil</w:t>
      </w:r>
      <w:r>
        <w:rPr>
          <w:rFonts w:ascii="Century Gothic" w:eastAsia="Calibri" w:hAnsi="Century Gothic" w:cs="Arial"/>
          <w:color w:val="000000"/>
          <w:lang w:val="es-ES_tradnl"/>
        </w:rPr>
        <w:t>,</w:t>
      </w:r>
      <w:r w:rsidRPr="00C90005">
        <w:rPr>
          <w:rFonts w:ascii="Century Gothic" w:eastAsia="Calibri" w:hAnsi="Century Gothic" w:cs="Arial"/>
          <w:color w:val="000000"/>
          <w:lang w:val="es-ES_tradnl"/>
        </w:rPr>
        <w:t xml:space="preserve"> el vencimiento del plazo contractual no es un modo de extinguir las obligaciones, salvo pacto en ese sentido, por lo que la obligación continuará pendiente y el contratista estará en mora de cumplir por no haberlo hecho en el plazo acordado. Esto indica que lo que terminó fue el plazo de ejecución, pero la obligación todavía está pendiente de cumplimiento y el contratista podría hacerlo tardíamente con las consecuencias gravosas que esto pueda conllevar</w:t>
      </w:r>
      <w:r w:rsidRPr="00C90005">
        <w:rPr>
          <w:rFonts w:ascii="Century Gothic" w:eastAsia="Calibri" w:hAnsi="Century Gothic" w:cs="Arial"/>
          <w:color w:val="000000"/>
          <w:vertAlign w:val="superscript"/>
          <w:lang w:val="es-ES_tradnl"/>
        </w:rPr>
        <w:footnoteReference w:id="23"/>
      </w:r>
      <w:r w:rsidRPr="00C90005">
        <w:rPr>
          <w:rFonts w:ascii="Century Gothic" w:eastAsia="Calibri" w:hAnsi="Century Gothic" w:cs="Arial"/>
          <w:color w:val="000000"/>
          <w:lang w:val="es-ES_tradnl"/>
        </w:rPr>
        <w:t>. No obstante, la entidad deberá determinar si, inclusive, con el cumplimiento tardío aún se satisface el interés público.</w:t>
      </w:r>
    </w:p>
    <w:p w14:paraId="7D406F63" w14:textId="77777777" w:rsidR="002D0890" w:rsidRPr="00C90005" w:rsidRDefault="002D0890" w:rsidP="002D0890">
      <w:pPr>
        <w:spacing w:before="120" w:after="0" w:line="276" w:lineRule="auto"/>
        <w:ind w:firstLine="708"/>
        <w:jc w:val="both"/>
        <w:rPr>
          <w:rFonts w:ascii="Century Gothic" w:eastAsia="Calibri" w:hAnsi="Century Gothic" w:cs="Arial"/>
          <w:color w:val="000000"/>
          <w:lang w:val="es-ES_tradnl"/>
        </w:rPr>
      </w:pPr>
      <w:r>
        <w:rPr>
          <w:rFonts w:ascii="Century Gothic" w:eastAsia="Calibri" w:hAnsi="Century Gothic" w:cs="Arial"/>
          <w:color w:val="000000"/>
          <w:lang w:val="es-ES_tradnl"/>
        </w:rPr>
        <w:t>En ese orden</w:t>
      </w:r>
      <w:r w:rsidRPr="00C90005">
        <w:rPr>
          <w:rFonts w:ascii="Century Gothic" w:eastAsia="Calibri" w:hAnsi="Century Gothic" w:cs="Arial"/>
          <w:color w:val="000000"/>
          <w:lang w:val="es-ES_tradnl"/>
        </w:rPr>
        <w:t xml:space="preserve">, </w:t>
      </w:r>
      <w:bookmarkStart w:id="11" w:name="_Hlk37703639"/>
      <w:bookmarkStart w:id="12" w:name="_Hlk55584998"/>
      <w:r w:rsidRPr="00C90005">
        <w:rPr>
          <w:rFonts w:ascii="Century Gothic" w:eastAsia="Calibri" w:hAnsi="Century Gothic" w:cs="Arial"/>
          <w:color w:val="000000"/>
          <w:lang w:val="es-ES_tradnl"/>
        </w:rPr>
        <w:t xml:space="preserve">teniendo en cuenta que </w:t>
      </w:r>
      <w:bookmarkStart w:id="13" w:name="_Hlk38558502"/>
      <w:r w:rsidRPr="00C90005">
        <w:rPr>
          <w:rFonts w:ascii="Century Gothic" w:eastAsia="Calibri" w:hAnsi="Century Gothic" w:cs="Arial"/>
          <w:color w:val="000000"/>
          <w:lang w:val="es-ES_tradnl"/>
        </w:rPr>
        <w:t xml:space="preserve">el artículo 17 de la Ley 1150 de 2007 no condicionó la imposición de las multas y la cláusula penal al plazo del contrato, y por el contrario, de manera expresa indicó que estas proceden “[…] mientras se halle pendiente la ejecución de las obligaciones a cargo del contratista […]”, la Administración podrá imponer las multas y hacer efectiva la cláusula penal inclusive después de vencido su plazo de ejecución, siempre que la o las obligaciones estén pendientes de </w:t>
      </w:r>
      <w:bookmarkEnd w:id="11"/>
      <w:r w:rsidRPr="00C90005">
        <w:rPr>
          <w:rFonts w:ascii="Century Gothic" w:eastAsia="Calibri" w:hAnsi="Century Gothic" w:cs="Arial"/>
          <w:color w:val="000000"/>
          <w:lang w:val="es-ES_tradnl"/>
        </w:rPr>
        <w:t>cumplirse. De esta manera, la entidad podrá hacer uso de estas facultades para procurar el cumplimiento de las obligaciones a cargo del contratista</w:t>
      </w:r>
      <w:bookmarkEnd w:id="12"/>
      <w:bookmarkEnd w:id="13"/>
      <w:r w:rsidRPr="00C90005">
        <w:rPr>
          <w:rFonts w:ascii="Century Gothic" w:eastAsia="Calibri" w:hAnsi="Century Gothic" w:cs="Arial"/>
          <w:color w:val="000000"/>
          <w:lang w:val="es-ES_tradnl"/>
        </w:rPr>
        <w:t>, precisamente cuando advierta su incumplimiento y con la finalidad de conminarlo a su efectivo acatamiento</w:t>
      </w:r>
      <w:bookmarkEnd w:id="10"/>
      <w:r w:rsidRPr="00C90005">
        <w:rPr>
          <w:rFonts w:ascii="Century Gothic" w:eastAsia="Calibri" w:hAnsi="Century Gothic" w:cs="Arial"/>
          <w:color w:val="000000"/>
          <w:lang w:val="es-ES_tradnl"/>
        </w:rPr>
        <w:t>.</w:t>
      </w:r>
    </w:p>
    <w:bookmarkEnd w:id="9"/>
    <w:p w14:paraId="2BFE201A" w14:textId="77777777" w:rsidR="002D0890" w:rsidRPr="0021231E" w:rsidRDefault="002D0890" w:rsidP="002D0890">
      <w:pPr>
        <w:spacing w:before="120" w:after="0" w:line="276" w:lineRule="auto"/>
        <w:jc w:val="both"/>
        <w:rPr>
          <w:rFonts w:ascii="Century Gothic" w:eastAsia="Times New Roman" w:hAnsi="Century Gothic" w:cs="Arial"/>
          <w:b/>
          <w:szCs w:val="24"/>
          <w:lang w:eastAsia="es-MX"/>
        </w:rPr>
      </w:pPr>
      <w:r w:rsidRPr="0021231E">
        <w:rPr>
          <w:rFonts w:ascii="Century Gothic" w:eastAsia="Times New Roman" w:hAnsi="Century Gothic" w:cs="Arial"/>
          <w:b/>
          <w:szCs w:val="24"/>
          <w:lang w:eastAsia="es-MX"/>
        </w:rPr>
        <w:t>3.</w:t>
      </w:r>
      <w:r w:rsidRPr="0021231E">
        <w:rPr>
          <w:rFonts w:ascii="Century Gothic" w:eastAsia="Times New Roman" w:hAnsi="Century Gothic" w:cs="Arial"/>
          <w:b/>
          <w:szCs w:val="24"/>
          <w:lang w:eastAsia="es-MX"/>
        </w:rPr>
        <w:tab/>
        <w:t>Respuesta</w:t>
      </w:r>
    </w:p>
    <w:p w14:paraId="4F225817" w14:textId="77777777" w:rsidR="002D0890" w:rsidRPr="0021231E" w:rsidRDefault="002D0890" w:rsidP="002D0890">
      <w:pPr>
        <w:spacing w:after="0" w:line="240" w:lineRule="auto"/>
        <w:ind w:right="714"/>
        <w:jc w:val="both"/>
        <w:rPr>
          <w:rFonts w:ascii="Century Gothic" w:eastAsia="Times New Roman" w:hAnsi="Century Gothic" w:cs="Arial"/>
          <w:i/>
          <w:szCs w:val="24"/>
          <w:lang w:val="es-ES_tradnl" w:eastAsia="es-ES_tradnl"/>
        </w:rPr>
      </w:pPr>
    </w:p>
    <w:p w14:paraId="739A519B" w14:textId="77777777" w:rsidR="002D0890" w:rsidRDefault="002D0890" w:rsidP="002D0890">
      <w:pPr>
        <w:spacing w:after="120" w:line="276" w:lineRule="auto"/>
        <w:jc w:val="both"/>
        <w:rPr>
          <w:rFonts w:ascii="Century Gothic" w:eastAsia="Times New Roman" w:hAnsi="Century Gothic" w:cs="Arial"/>
          <w:lang w:eastAsia="es-CO"/>
        </w:rPr>
      </w:pPr>
      <w:r w:rsidRPr="0021231E">
        <w:rPr>
          <w:rFonts w:ascii="Century Gothic" w:eastAsia="Times New Roman" w:hAnsi="Century Gothic" w:cs="Arial"/>
          <w:lang w:val="es-ES" w:eastAsia="es-CO"/>
        </w:rPr>
        <w:t xml:space="preserve">En ejercicio de las competencias establecidas en los artículos 3, numeral 5° y 11, numeral 8° del Decreto 4170 de 2011, la Agencia Nacional de Contratación Pública -Colombia Compra Eficiente- solo tiene competencia para responder solicitudes sobre la aplicación de normas de carácter general en materia de compras y </w:t>
      </w:r>
      <w:r w:rsidRPr="0021231E">
        <w:rPr>
          <w:rFonts w:ascii="Century Gothic" w:eastAsia="Times New Roman" w:hAnsi="Century Gothic" w:cs="Arial"/>
          <w:lang w:val="es-ES" w:eastAsia="es-CO"/>
        </w:rPr>
        <w:lastRenderedPageBreak/>
        <w:t xml:space="preserve">contratación pública. En ese sentido, esta Agencia no tiene competencia para </w:t>
      </w:r>
      <w:r w:rsidRPr="0021231E">
        <w:rPr>
          <w:rFonts w:ascii="Century Gothic" w:eastAsia="Times New Roman" w:hAnsi="Century Gothic" w:cs="Arial"/>
          <w:lang w:eastAsia="es-CO"/>
        </w:rPr>
        <w:t xml:space="preserve">brindar asesorías, ni para pronunciarse sobre asuntos particulares, mucho menos para brindar directrices especiales en materia de </w:t>
      </w:r>
      <w:r>
        <w:rPr>
          <w:rFonts w:ascii="Century Gothic" w:eastAsia="Times New Roman" w:hAnsi="Century Gothic" w:cs="Arial"/>
          <w:lang w:eastAsia="es-CO"/>
        </w:rPr>
        <w:t>contratos de interventoría e imposición de multas y sanciones ante diversas circunstancias que en aquellos acontezcan.</w:t>
      </w:r>
    </w:p>
    <w:p w14:paraId="02398CB1" w14:textId="77777777" w:rsidR="002D0890" w:rsidRDefault="002D0890" w:rsidP="002D0890">
      <w:pPr>
        <w:spacing w:after="120" w:line="276" w:lineRule="auto"/>
        <w:ind w:firstLine="708"/>
        <w:jc w:val="both"/>
        <w:rPr>
          <w:rFonts w:ascii="Century Gothic" w:eastAsia="Calibri" w:hAnsi="Century Gothic" w:cs="Arial"/>
          <w:lang w:val="es-MX"/>
        </w:rPr>
      </w:pPr>
      <w:r w:rsidRPr="0021231E">
        <w:rPr>
          <w:rFonts w:ascii="Century Gothic" w:eastAsia="Calibri" w:hAnsi="Century Gothic" w:cs="Arial"/>
          <w:lang w:val="es-MX"/>
        </w:rPr>
        <w:t>Sin embargo, en línea con las precisiones normativas previamente realizadas,</w:t>
      </w:r>
      <w:r>
        <w:rPr>
          <w:rFonts w:ascii="Century Gothic" w:eastAsia="Calibri" w:hAnsi="Century Gothic" w:cs="Arial"/>
          <w:lang w:val="es-MX"/>
        </w:rPr>
        <w:t xml:space="preserve"> habrá de ofrecerse respuesta a los distintos interrogantes que originaron la presente consulta, agrupándose temáticamente para dar una respuesta unificada:</w:t>
      </w:r>
    </w:p>
    <w:p w14:paraId="74D70CA2"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r w:rsidRPr="00256233">
        <w:rPr>
          <w:rFonts w:ascii="Century Gothic" w:eastAsia="Times New Roman" w:hAnsi="Century Gothic" w:cs="Arial"/>
          <w:i/>
          <w:iCs/>
          <w:sz w:val="21"/>
          <w:szCs w:val="21"/>
          <w:lang w:eastAsia="es-CO"/>
        </w:rPr>
        <w:t>“</w:t>
      </w:r>
      <w:r w:rsidRPr="00256233">
        <w:rPr>
          <w:rFonts w:ascii="Century Gothic" w:hAnsi="Century Gothic"/>
          <w:i/>
          <w:iCs/>
          <w:sz w:val="21"/>
          <w:szCs w:val="21"/>
        </w:rPr>
        <w:t>1. ¿Puede una entidad adicionar plazo a un contrato de interventoría de manera unilateral?</w:t>
      </w:r>
    </w:p>
    <w:p w14:paraId="790C94BE"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p>
    <w:p w14:paraId="72B33189"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r w:rsidRPr="00256233">
        <w:rPr>
          <w:rFonts w:ascii="Century Gothic" w:hAnsi="Century Gothic"/>
          <w:i/>
          <w:iCs/>
          <w:sz w:val="21"/>
          <w:szCs w:val="21"/>
        </w:rPr>
        <w:t>2. ¿Puede una entidad solicitar al contratista de una interventoría suscribir la firma de una prórroga del contrato, sin establecer valor alguno a dicho plazo?</w:t>
      </w:r>
    </w:p>
    <w:p w14:paraId="5F803FFE"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p>
    <w:p w14:paraId="5623CA6A"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r w:rsidRPr="00256233">
        <w:rPr>
          <w:rFonts w:ascii="Century Gothic" w:hAnsi="Century Gothic"/>
          <w:i/>
          <w:iCs/>
          <w:sz w:val="21"/>
          <w:szCs w:val="21"/>
        </w:rPr>
        <w:t>3. ¿El contratista de una interventoría puede negarse a suscribir prorroga de un contrato cuando no se establezca el valor de la misma?</w:t>
      </w:r>
    </w:p>
    <w:p w14:paraId="361927DD" w14:textId="77777777" w:rsidR="002D0890" w:rsidRPr="008F2B1B" w:rsidRDefault="002D0890" w:rsidP="002D0890">
      <w:pPr>
        <w:spacing w:after="0" w:line="240" w:lineRule="auto"/>
        <w:ind w:right="760"/>
        <w:contextualSpacing/>
        <w:jc w:val="both"/>
        <w:rPr>
          <w:rFonts w:ascii="Century Gothic" w:hAnsi="Century Gothic"/>
          <w:sz w:val="21"/>
          <w:szCs w:val="21"/>
        </w:rPr>
      </w:pPr>
    </w:p>
    <w:p w14:paraId="7E1B1D93" w14:textId="77777777" w:rsidR="002D0890" w:rsidRDefault="002D0890" w:rsidP="002D0890">
      <w:pPr>
        <w:spacing w:after="120" w:line="276" w:lineRule="auto"/>
        <w:jc w:val="both"/>
        <w:rPr>
          <w:rFonts w:ascii="Century Gothic" w:eastAsia="Calibri" w:hAnsi="Century Gothic" w:cs="Arial"/>
          <w:lang w:val="es-MX"/>
        </w:rPr>
      </w:pPr>
      <w:r>
        <w:rPr>
          <w:rFonts w:ascii="Century Gothic" w:eastAsia="Calibri" w:hAnsi="Century Gothic" w:cs="Arial"/>
          <w:lang w:val="es-MX"/>
        </w:rPr>
        <w:t>Conforme a lo indicado en acápite previo de la presente consulta, el contrato de interventoría es un típico mecanismo de vigilancia con carácter contingente, en la medida en que solo resulta obligatorio para el seguimiento de los contratos de obra adjudicados por licitación pública. En los demás casos se requerirá bien cuando el seguimiento del contrato suponga conocimiento especializado en la materia o bien cuando la complejidad o la extensión del mismo así lo justifique.</w:t>
      </w:r>
    </w:p>
    <w:p w14:paraId="714A9DDD" w14:textId="77777777" w:rsidR="002D0890" w:rsidRDefault="002D0890" w:rsidP="002D0890">
      <w:pPr>
        <w:spacing w:after="120" w:line="276" w:lineRule="auto"/>
        <w:jc w:val="both"/>
        <w:rPr>
          <w:rFonts w:ascii="Century Gothic" w:eastAsia="Calibri" w:hAnsi="Century Gothic" w:cs="Arial"/>
          <w:lang w:val="es-ES_tradnl"/>
        </w:rPr>
      </w:pPr>
      <w:r>
        <w:rPr>
          <w:rFonts w:ascii="Century Gothic" w:eastAsia="Calibri" w:hAnsi="Century Gothic" w:cs="Arial"/>
          <w:lang w:val="es-MX"/>
        </w:rPr>
        <w:tab/>
        <w:t xml:space="preserve">La Ley </w:t>
      </w:r>
      <w:r w:rsidRPr="005C780B">
        <w:rPr>
          <w:rFonts w:ascii="Century Gothic" w:hAnsi="Century Gothic" w:cs="Arial"/>
          <w:color w:val="000000" w:themeColor="text1"/>
          <w:kern w:val="2"/>
          <w:lang w:val="es-ES_tradnl"/>
          <w14:ligatures w14:val="standardContextual"/>
        </w:rPr>
        <w:t>1474</w:t>
      </w:r>
      <w:r>
        <w:rPr>
          <w:rFonts w:ascii="Century Gothic" w:hAnsi="Century Gothic" w:cs="Arial"/>
          <w:color w:val="000000" w:themeColor="text1"/>
          <w:kern w:val="2"/>
          <w:lang w:val="es-ES_tradnl"/>
          <w14:ligatures w14:val="standardContextual"/>
        </w:rPr>
        <w:t xml:space="preserve"> </w:t>
      </w:r>
      <w:r w:rsidRPr="005C780B">
        <w:rPr>
          <w:rFonts w:ascii="Century Gothic" w:hAnsi="Century Gothic" w:cs="Arial"/>
          <w:color w:val="000000" w:themeColor="text1"/>
          <w:kern w:val="2"/>
          <w:lang w:val="es-ES_tradnl"/>
          <w14:ligatures w14:val="standardContextual"/>
        </w:rPr>
        <w:t>de</w:t>
      </w:r>
      <w:r>
        <w:rPr>
          <w:rFonts w:ascii="Century Gothic" w:hAnsi="Century Gothic" w:cs="Arial"/>
          <w:color w:val="000000" w:themeColor="text1"/>
          <w:kern w:val="2"/>
          <w:lang w:val="es-ES_tradnl"/>
          <w14:ligatures w14:val="standardContextual"/>
        </w:rPr>
        <w:t xml:space="preserve"> </w:t>
      </w:r>
      <w:r w:rsidRPr="005C780B">
        <w:rPr>
          <w:rFonts w:ascii="Century Gothic" w:hAnsi="Century Gothic" w:cs="Arial"/>
          <w:color w:val="000000" w:themeColor="text1"/>
          <w:kern w:val="2"/>
          <w:lang w:val="es-ES_tradnl"/>
          <w14:ligatures w14:val="standardContextual"/>
        </w:rPr>
        <w:t>2011</w:t>
      </w:r>
      <w:r>
        <w:rPr>
          <w:rFonts w:ascii="Century Gothic" w:hAnsi="Century Gothic" w:cs="Arial"/>
          <w:color w:val="000000" w:themeColor="text1"/>
          <w:kern w:val="2"/>
          <w:lang w:val="es-ES_tradnl"/>
          <w14:ligatures w14:val="standardContextual"/>
        </w:rPr>
        <w:t xml:space="preserve"> </w:t>
      </w:r>
      <w:r w:rsidRPr="005C780B">
        <w:rPr>
          <w:rFonts w:ascii="Century Gothic" w:hAnsi="Century Gothic" w:cs="Arial"/>
          <w:color w:val="000000" w:themeColor="text1"/>
          <w:kern w:val="2"/>
          <w:lang w:val="es-ES_tradnl"/>
          <w14:ligatures w14:val="standardContextual"/>
        </w:rPr>
        <w:t>es el principal cuerpo normativo en el que se encuentran consagrados los deberes de los interventores. Estas obligaciones, con fundamento en los artículos 83 –inciso 3– y 84 de dicha Ley, se sintetizan en el ejercicio de una adecuada inspección del cumplimiento del contrato objeto de interventoría. Por ello, como indica el referido artículo 84, “[l]os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w:t>
      </w:r>
      <w:r>
        <w:rPr>
          <w:rFonts w:ascii="Century Gothic" w:hAnsi="Century Gothic" w:cs="Arial"/>
          <w:color w:val="000000" w:themeColor="text1"/>
          <w:kern w:val="2"/>
          <w:lang w:val="es-ES_tradnl"/>
          <w14:ligatures w14:val="standardContextual"/>
        </w:rPr>
        <w:t>.</w:t>
      </w:r>
    </w:p>
    <w:p w14:paraId="56972517" w14:textId="77777777" w:rsidR="002D0890" w:rsidRDefault="002D0890" w:rsidP="002D0890">
      <w:pPr>
        <w:spacing w:after="120" w:line="276" w:lineRule="auto"/>
        <w:ind w:firstLine="708"/>
        <w:jc w:val="both"/>
        <w:rPr>
          <w:rFonts w:ascii="Century Gothic" w:hAnsi="Century Gothic" w:cs="Arial"/>
          <w:color w:val="000000" w:themeColor="text1"/>
          <w:kern w:val="2"/>
          <w:lang w:val="es-ES_tradnl"/>
          <w14:ligatures w14:val="standardContextual"/>
        </w:rPr>
      </w:pPr>
      <w:r w:rsidRPr="005C780B">
        <w:rPr>
          <w:rFonts w:ascii="Century Gothic" w:hAnsi="Century Gothic" w:cs="Arial"/>
          <w:color w:val="000000" w:themeColor="text1"/>
          <w:kern w:val="2"/>
          <w:lang w:val="es-ES_tradnl"/>
          <w14:ligatures w14:val="standardContextual"/>
        </w:rPr>
        <w:t>Esto último</w:t>
      </w:r>
      <w:r>
        <w:rPr>
          <w:rFonts w:ascii="Century Gothic" w:hAnsi="Century Gothic" w:cs="Arial"/>
          <w:color w:val="000000" w:themeColor="text1"/>
          <w:kern w:val="2"/>
          <w:lang w:val="es-ES_tradnl"/>
          <w14:ligatures w14:val="standardContextual"/>
        </w:rPr>
        <w:t xml:space="preserve">, </w:t>
      </w:r>
      <w:r w:rsidRPr="005C780B">
        <w:rPr>
          <w:rFonts w:ascii="Century Gothic" w:hAnsi="Century Gothic" w:cs="Arial"/>
          <w:color w:val="000000" w:themeColor="text1"/>
          <w:kern w:val="2"/>
          <w:lang w:val="es-ES_tradnl"/>
          <w14:ligatures w14:val="standardContextual"/>
        </w:rPr>
        <w:t>no obsta</w:t>
      </w:r>
      <w:r>
        <w:rPr>
          <w:rFonts w:ascii="Century Gothic" w:hAnsi="Century Gothic" w:cs="Arial"/>
          <w:color w:val="000000" w:themeColor="text1"/>
          <w:kern w:val="2"/>
          <w:lang w:val="es-ES_tradnl"/>
          <w14:ligatures w14:val="standardContextual"/>
        </w:rPr>
        <w:t xml:space="preserve">, sin embargo, </w:t>
      </w:r>
      <w:r w:rsidRPr="005C780B">
        <w:rPr>
          <w:rFonts w:ascii="Century Gothic" w:hAnsi="Century Gothic" w:cs="Arial"/>
          <w:color w:val="000000" w:themeColor="text1"/>
          <w:kern w:val="2"/>
          <w:lang w:val="es-ES_tradnl"/>
          <w14:ligatures w14:val="standardContextual"/>
        </w:rPr>
        <w:t xml:space="preserve">para que las partes, en </w:t>
      </w:r>
      <w:r w:rsidRPr="005C780B">
        <w:rPr>
          <w:rFonts w:ascii="Century Gothic" w:hAnsi="Century Gothic" w:cs="Arial"/>
          <w:color w:val="000000" w:themeColor="text1"/>
          <w:kern w:val="2"/>
          <w:u w:val="single"/>
          <w:lang w:val="es-ES_tradnl"/>
          <w14:ligatures w14:val="standardContextual"/>
        </w:rPr>
        <w:t>ejercicio de su autonomía de la voluntad,</w:t>
      </w:r>
      <w:r w:rsidRPr="005C780B">
        <w:rPr>
          <w:rFonts w:ascii="Century Gothic" w:hAnsi="Century Gothic" w:cs="Arial"/>
          <w:color w:val="000000" w:themeColor="text1"/>
          <w:kern w:val="2"/>
          <w:lang w:val="es-ES_tradnl"/>
          <w14:ligatures w14:val="standardContextual"/>
        </w:rPr>
        <w:t xml:space="preserve"> puedan estipular en el contrato -con la debida justificación- obligaciones conexas</w:t>
      </w:r>
      <w:r>
        <w:rPr>
          <w:rFonts w:ascii="Century Gothic" w:hAnsi="Century Gothic" w:cs="Arial"/>
          <w:color w:val="000000" w:themeColor="text1"/>
          <w:kern w:val="2"/>
          <w:lang w:val="es-ES_tradnl"/>
          <w14:ligatures w14:val="standardContextual"/>
        </w:rPr>
        <w:t xml:space="preserve"> o modificaciones específicas</w:t>
      </w:r>
      <w:r w:rsidRPr="005C780B">
        <w:rPr>
          <w:rFonts w:ascii="Century Gothic" w:hAnsi="Century Gothic" w:cs="Arial"/>
          <w:color w:val="000000" w:themeColor="text1"/>
          <w:kern w:val="2"/>
          <w:lang w:val="es-ES_tradnl"/>
          <w14:ligatures w14:val="standardContextual"/>
        </w:rPr>
        <w:t xml:space="preserve">, que el interventor </w:t>
      </w:r>
      <w:r w:rsidRPr="005C780B">
        <w:rPr>
          <w:rFonts w:ascii="Century Gothic" w:hAnsi="Century Gothic" w:cs="Arial"/>
          <w:color w:val="000000" w:themeColor="text1"/>
          <w:kern w:val="2"/>
          <w:lang w:val="es-ES_tradnl"/>
          <w14:ligatures w14:val="standardContextual"/>
        </w:rPr>
        <w:lastRenderedPageBreak/>
        <w:t>también deberá cumplir e incluso contemplar, pues el plazo de ejecución del contrato de interventoría puede extenderse por un término adicional a la liquidación del contrato objeto de seguimiento, para que vigile el cumplimiento de las obligaciones post-contractuales que queden pendientes, salvaguardando así el equilibrio económico del contrato de interventoría.</w:t>
      </w:r>
    </w:p>
    <w:p w14:paraId="7F76BC4B" w14:textId="77777777" w:rsidR="002D0890" w:rsidRDefault="002D0890" w:rsidP="002D0890">
      <w:pPr>
        <w:spacing w:after="120" w:line="276" w:lineRule="auto"/>
        <w:ind w:firstLine="708"/>
        <w:jc w:val="both"/>
        <w:rPr>
          <w:rFonts w:ascii="Century Gothic" w:hAnsi="Century Gothic" w:cs="Arial"/>
          <w:color w:val="000000" w:themeColor="text1"/>
          <w:kern w:val="2"/>
          <w:lang w:val="es-ES_tradnl"/>
          <w14:ligatures w14:val="standardContextual"/>
        </w:rPr>
      </w:pPr>
      <w:r>
        <w:rPr>
          <w:rFonts w:ascii="Century Gothic" w:hAnsi="Century Gothic" w:cs="Arial"/>
          <w:color w:val="000000" w:themeColor="text1"/>
          <w:kern w:val="2"/>
          <w:lang w:val="es-ES_tradnl"/>
          <w14:ligatures w14:val="standardContextual"/>
        </w:rPr>
        <w:t>Recuérdese que, según el artículo 16 de la Ley 80 de 1993,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 Justamente, si las modificaciones alteran el valor del contrato en un veinte por ciento (20%) o más del valor inicial, el contratista podrá renunciar a la continuación de la ejecución. En este escenario en el que se da cuenta de la potestad excepcional de modificación unilateral, se ordenará la liquidación del contrato y la entidad adoptará de manera inmediata las medidas que fueren necesarias para garantizar la terminación del objeto contractual.</w:t>
      </w:r>
    </w:p>
    <w:p w14:paraId="09227A64" w14:textId="77777777" w:rsidR="002D0890" w:rsidRDefault="002D0890" w:rsidP="002D0890">
      <w:pPr>
        <w:spacing w:after="120" w:line="276" w:lineRule="auto"/>
        <w:ind w:firstLine="708"/>
        <w:jc w:val="both"/>
        <w:rPr>
          <w:rFonts w:ascii="Century Gothic" w:hAnsi="Century Gothic" w:cs="Arial"/>
          <w:color w:val="000000" w:themeColor="text1"/>
          <w:kern w:val="2"/>
          <w:lang w:val="es-ES_tradnl"/>
          <w14:ligatures w14:val="standardContextual"/>
        </w:rPr>
      </w:pPr>
      <w:r>
        <w:rPr>
          <w:rFonts w:ascii="Century Gothic" w:hAnsi="Century Gothic" w:cs="Arial"/>
          <w:color w:val="000000" w:themeColor="text1"/>
          <w:kern w:val="2"/>
          <w:lang w:val="es-ES_tradnl"/>
          <w14:ligatures w14:val="standardContextual"/>
        </w:rPr>
        <w:t>Con todo, es del caso apuntar que, como se reseñó en forma previa, en los contratos de interventoría se encuentra prohibido incluir y, por ende, aplicar cláusulas o estipulaciones excepcionales, debido a la existencia de un régimen legal expreso de nulidades absolutas en materia de contratación estatal (artículos 44 a 49 de la Ley 80 de 1993). De ahí que al disponerse su incorporación se estaría desconociendo no solo la voluntad de los contratantes, sino la propia competencia otorgada por el legislador en cuanto al ejercicio de la respectiva tipología contractual.</w:t>
      </w:r>
    </w:p>
    <w:p w14:paraId="0ABE0C99" w14:textId="77777777" w:rsidR="002D0890" w:rsidRDefault="002D0890" w:rsidP="002D0890">
      <w:pPr>
        <w:spacing w:after="120" w:line="276" w:lineRule="auto"/>
        <w:ind w:firstLine="708"/>
        <w:jc w:val="both"/>
        <w:rPr>
          <w:rFonts w:ascii="Century Gothic" w:hAnsi="Century Gothic" w:cs="Arial"/>
          <w:color w:val="000000" w:themeColor="text1"/>
          <w:kern w:val="2"/>
          <w:lang w:val="es-ES_tradnl"/>
          <w14:ligatures w14:val="standardContextual"/>
        </w:rPr>
      </w:pPr>
      <w:r>
        <w:rPr>
          <w:rFonts w:ascii="Century Gothic" w:hAnsi="Century Gothic" w:cs="Arial"/>
          <w:color w:val="000000" w:themeColor="text1"/>
          <w:kern w:val="2"/>
          <w:lang w:val="es-ES_tradnl"/>
          <w14:ligatures w14:val="standardContextual"/>
        </w:rPr>
        <w:t>Aun así, no sobra agregar que el artículo 85 de la Ley 1474 de 2011 dispone sobre la continuidad de la interventoría que los contratos de ese tipo podrán prorrogarse por el mismo plazo que se haya prorrogado el contrato objeto de vigilancia y, en tal caso, su valor ajustarse de acuerdo con las obligaciones del objeto de interventoría, sin que resulte aplicable lo previsto en el parágrafo del artículo 40 de la Ley 80 de 1993 sobre anticipos y adiciones a los contratos.</w:t>
      </w:r>
    </w:p>
    <w:p w14:paraId="37F5FAE3" w14:textId="77777777" w:rsidR="002D0890" w:rsidRDefault="002D0890" w:rsidP="002D0890">
      <w:pPr>
        <w:spacing w:after="0" w:line="240" w:lineRule="auto"/>
        <w:ind w:left="851" w:right="760"/>
        <w:contextualSpacing/>
        <w:jc w:val="both"/>
        <w:rPr>
          <w:rFonts w:ascii="Century Gothic" w:hAnsi="Century Gothic"/>
          <w:i/>
          <w:iCs/>
          <w:sz w:val="21"/>
          <w:szCs w:val="21"/>
        </w:rPr>
      </w:pPr>
      <w:bookmarkStart w:id="14" w:name="85"/>
      <w:bookmarkEnd w:id="14"/>
    </w:p>
    <w:p w14:paraId="72A69DDE"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r>
        <w:rPr>
          <w:rFonts w:ascii="Century Gothic" w:hAnsi="Century Gothic"/>
          <w:i/>
          <w:iCs/>
          <w:sz w:val="21"/>
          <w:szCs w:val="21"/>
        </w:rPr>
        <w:t>“</w:t>
      </w:r>
      <w:r w:rsidRPr="00256233">
        <w:rPr>
          <w:rFonts w:ascii="Century Gothic" w:hAnsi="Century Gothic"/>
          <w:i/>
          <w:iCs/>
          <w:sz w:val="21"/>
          <w:szCs w:val="21"/>
        </w:rPr>
        <w:t>4. ¿Una entidad puede imponer multas, sanciones o declarar incumplimiento de un contrato cuando el contratista se niegue a suscribir prorroga, debido a la falta de recursos para su ejecución?</w:t>
      </w:r>
    </w:p>
    <w:p w14:paraId="7D0351D2" w14:textId="77777777" w:rsidR="002D0890" w:rsidRPr="00256233" w:rsidRDefault="002D0890" w:rsidP="002D0890">
      <w:pPr>
        <w:spacing w:after="0" w:line="240" w:lineRule="auto"/>
        <w:ind w:left="851" w:right="760"/>
        <w:contextualSpacing/>
        <w:jc w:val="both"/>
        <w:rPr>
          <w:rFonts w:ascii="Century Gothic" w:hAnsi="Century Gothic"/>
          <w:i/>
          <w:iCs/>
          <w:sz w:val="21"/>
          <w:szCs w:val="21"/>
        </w:rPr>
      </w:pPr>
    </w:p>
    <w:p w14:paraId="0366CF04" w14:textId="77777777" w:rsidR="002D0890" w:rsidRPr="00FD7F4A" w:rsidRDefault="002D0890" w:rsidP="002D0890">
      <w:pPr>
        <w:spacing w:after="0" w:line="240" w:lineRule="auto"/>
        <w:ind w:left="851" w:right="760"/>
        <w:contextualSpacing/>
        <w:jc w:val="both"/>
        <w:rPr>
          <w:rFonts w:ascii="Century Gothic" w:eastAsia="Times New Roman" w:hAnsi="Century Gothic" w:cs="Arial"/>
          <w:sz w:val="21"/>
          <w:szCs w:val="21"/>
          <w:lang w:eastAsia="es-CO"/>
        </w:rPr>
      </w:pPr>
      <w:r w:rsidRPr="00256233">
        <w:rPr>
          <w:rFonts w:ascii="Century Gothic" w:hAnsi="Century Gothic"/>
          <w:i/>
          <w:iCs/>
          <w:sz w:val="21"/>
          <w:szCs w:val="21"/>
        </w:rPr>
        <w:lastRenderedPageBreak/>
        <w:t>5. ¿Cuál es el plazo que tiene una entidad para la imposición de multas, sanciones o declarar incumplimiento de un contrato, una vez este haya terminado su ejecución?”</w:t>
      </w:r>
      <w:r>
        <w:rPr>
          <w:rFonts w:ascii="Century Gothic" w:hAnsi="Century Gothic"/>
          <w:sz w:val="21"/>
          <w:szCs w:val="21"/>
        </w:rPr>
        <w:t>.</w:t>
      </w:r>
    </w:p>
    <w:p w14:paraId="1A208B52" w14:textId="77777777" w:rsidR="002D0890" w:rsidRDefault="002D0890" w:rsidP="002D0890">
      <w:pPr>
        <w:spacing w:after="120" w:line="276" w:lineRule="auto"/>
        <w:ind w:right="142"/>
        <w:jc w:val="both"/>
        <w:rPr>
          <w:rFonts w:ascii="Century Gothic" w:hAnsi="Century Gothic" w:cs="Arial"/>
          <w:iCs/>
          <w:color w:val="000000" w:themeColor="text1"/>
          <w:lang w:val="es-ES_tradnl"/>
        </w:rPr>
      </w:pPr>
    </w:p>
    <w:p w14:paraId="6D8D8B79" w14:textId="77777777" w:rsidR="002D0890" w:rsidRPr="0008139D" w:rsidRDefault="002D0890" w:rsidP="002D0890">
      <w:pPr>
        <w:spacing w:after="120" w:line="276" w:lineRule="auto"/>
        <w:ind w:right="142" w:firstLine="708"/>
        <w:jc w:val="both"/>
        <w:rPr>
          <w:rFonts w:ascii="Century Gothic" w:hAnsi="Century Gothic" w:cs="Arial"/>
          <w:iCs/>
          <w:color w:val="000000" w:themeColor="text1"/>
          <w:lang w:val="es-ES_tradnl"/>
        </w:rPr>
      </w:pPr>
      <w:r>
        <w:rPr>
          <w:rFonts w:ascii="Century Gothic" w:hAnsi="Century Gothic" w:cs="Arial"/>
          <w:iCs/>
          <w:color w:val="000000" w:themeColor="text1"/>
          <w:lang w:val="es-ES_tradnl"/>
        </w:rPr>
        <w:t xml:space="preserve">Según se dejó en claro en el respectivo capítulo, </w:t>
      </w:r>
      <w:r>
        <w:rPr>
          <w:rFonts w:ascii="Century Gothic" w:eastAsia="Times New Roman" w:hAnsi="Century Gothic" w:cs="Arial"/>
          <w:iCs/>
          <w:lang w:val="es-ES_tradnl" w:eastAsia="es-ES_tradnl"/>
          <w14:ligatures w14:val="standardContextual"/>
        </w:rPr>
        <w:t>d</w:t>
      </w:r>
      <w:r w:rsidRPr="00D4101E">
        <w:rPr>
          <w:rFonts w:ascii="Century Gothic" w:eastAsia="Times New Roman" w:hAnsi="Century Gothic" w:cs="Arial"/>
          <w:iCs/>
          <w:lang w:val="es-ES_tradnl" w:eastAsia="es-ES_tradnl"/>
          <w14:ligatures w14:val="standardContextual"/>
        </w:rPr>
        <w:t xml:space="preserve">entro de las potestades unilaterales </w:t>
      </w:r>
      <w:r>
        <w:rPr>
          <w:rFonts w:ascii="Century Gothic" w:eastAsia="Times New Roman" w:hAnsi="Century Gothic" w:cs="Arial"/>
          <w:iCs/>
          <w:lang w:val="es-ES_tradnl" w:eastAsia="es-ES_tradnl"/>
          <w14:ligatures w14:val="standardContextual"/>
        </w:rPr>
        <w:t>de la administración s</w:t>
      </w:r>
      <w:r w:rsidRPr="00D4101E">
        <w:rPr>
          <w:rFonts w:ascii="Century Gothic" w:eastAsia="Times New Roman" w:hAnsi="Century Gothic" w:cs="Arial"/>
          <w:iCs/>
          <w:lang w:val="es-ES_tradnl" w:eastAsia="es-ES_tradnl"/>
          <w14:ligatures w14:val="standardContextual"/>
        </w:rPr>
        <w:t>e encuentran</w:t>
      </w:r>
      <w:r>
        <w:rPr>
          <w:rFonts w:ascii="Century Gothic" w:eastAsia="Times New Roman" w:hAnsi="Century Gothic" w:cs="Arial"/>
          <w:iCs/>
          <w:lang w:val="es-ES_tradnl" w:eastAsia="es-ES_tradnl"/>
          <w14:ligatures w14:val="standardContextual"/>
        </w:rPr>
        <w:t xml:space="preserve"> </w:t>
      </w:r>
      <w:r w:rsidRPr="00D4101E">
        <w:rPr>
          <w:rFonts w:ascii="Century Gothic" w:eastAsia="Times New Roman" w:hAnsi="Century Gothic" w:cs="Arial"/>
          <w:iCs/>
          <w:lang w:val="es-ES_tradnl" w:eastAsia="es-ES_tradnl"/>
          <w14:ligatures w14:val="standardContextual"/>
        </w:rPr>
        <w:t xml:space="preserve">las cláusulas excepcionales de </w:t>
      </w:r>
      <w:r w:rsidRPr="00D4101E">
        <w:rPr>
          <w:rFonts w:ascii="Century Gothic" w:eastAsia="Times New Roman" w:hAnsi="Century Gothic" w:cs="Arial"/>
          <w:i/>
          <w:lang w:val="es-ES_tradnl" w:eastAsia="es-ES_tradnl"/>
          <w14:ligatures w14:val="standardContextual"/>
        </w:rPr>
        <w:t>imposición unilateral</w:t>
      </w:r>
      <w:r w:rsidRPr="00D4101E">
        <w:rPr>
          <w:rFonts w:ascii="Century Gothic" w:eastAsia="Times New Roman" w:hAnsi="Century Gothic" w:cs="Arial"/>
          <w:iCs/>
          <w:lang w:val="es-ES_tradnl" w:eastAsia="es-ES_tradnl"/>
          <w14:ligatures w14:val="standardContextual"/>
        </w:rPr>
        <w:t xml:space="preserve"> de las cláusulas penales y de multas –artículo 17 de la Ley 1150 de 2007–, </w:t>
      </w:r>
      <w:r>
        <w:rPr>
          <w:rFonts w:ascii="Century Gothic" w:eastAsia="Times New Roman" w:hAnsi="Century Gothic" w:cs="Arial"/>
          <w:iCs/>
          <w:lang w:val="es-ES_tradnl" w:eastAsia="es-ES_tradnl"/>
          <w14:ligatures w14:val="standardContextual"/>
        </w:rPr>
        <w:t xml:space="preserve">precisándose </w:t>
      </w:r>
      <w:r w:rsidRPr="00D4101E">
        <w:rPr>
          <w:rFonts w:ascii="Century Gothic" w:eastAsia="Times New Roman" w:hAnsi="Century Gothic" w:cs="Arial"/>
          <w:iCs/>
          <w:lang w:val="es-ES_tradnl" w:eastAsia="es-ES_tradnl"/>
          <w14:ligatures w14:val="standardContextual"/>
        </w:rPr>
        <w:t>que su e</w:t>
      </w:r>
      <w:r>
        <w:rPr>
          <w:rFonts w:ascii="Century Gothic" w:eastAsia="Times New Roman" w:hAnsi="Century Gothic" w:cs="Arial"/>
          <w:iCs/>
          <w:lang w:val="es-ES_tradnl" w:eastAsia="es-ES_tradnl"/>
          <w14:ligatures w14:val="standardContextual"/>
        </w:rPr>
        <w:t>xcepcionalidad</w:t>
      </w:r>
      <w:r w:rsidRPr="00D4101E">
        <w:rPr>
          <w:rFonts w:ascii="Century Gothic" w:eastAsia="Times New Roman" w:hAnsi="Century Gothic" w:cs="Arial"/>
          <w:iCs/>
          <w:lang w:val="es-ES_tradnl" w:eastAsia="es-ES_tradnl"/>
          <w14:ligatures w14:val="standardContextual"/>
        </w:rPr>
        <w:t xml:space="preserve"> se refiere a su imposición unilateral, no a su pacto, que es posible en virtud de las normas civiles y comerciales.</w:t>
      </w:r>
    </w:p>
    <w:p w14:paraId="6A2C941F" w14:textId="77777777" w:rsidR="002D0890" w:rsidRPr="00D4101E" w:rsidRDefault="002D0890" w:rsidP="002D0890">
      <w:pPr>
        <w:spacing w:after="120" w:line="276" w:lineRule="auto"/>
        <w:ind w:firstLine="709"/>
        <w:jc w:val="both"/>
        <w:rPr>
          <w:rFonts w:ascii="Century Gothic" w:eastAsia="Times New Roman" w:hAnsi="Century Gothic" w:cs="Arial"/>
          <w:iCs/>
          <w:lang w:val="es-ES_tradnl" w:eastAsia="es-ES_tradnl"/>
          <w14:ligatures w14:val="standardContextual"/>
        </w:rPr>
      </w:pPr>
      <w:r>
        <w:rPr>
          <w:rFonts w:ascii="Century Gothic" w:eastAsia="Times New Roman" w:hAnsi="Century Gothic" w:cs="Arial"/>
          <w:iCs/>
          <w:lang w:val="es-ES_tradnl" w:eastAsia="es-ES_tradnl"/>
          <w14:ligatures w14:val="standardContextual"/>
        </w:rPr>
        <w:t xml:space="preserve">Tales </w:t>
      </w:r>
      <w:r w:rsidRPr="00D4101E">
        <w:rPr>
          <w:rFonts w:ascii="Century Gothic" w:eastAsia="Times New Roman" w:hAnsi="Century Gothic" w:cs="Arial"/>
          <w:iCs/>
          <w:lang w:val="es-ES_tradnl" w:eastAsia="es-ES_tradnl"/>
          <w14:ligatures w14:val="standardContextual"/>
        </w:rPr>
        <w:t>potestades cuentan con una particular combinación entre el principio de legalidad y autonomía de la voluntad, pu</w:t>
      </w:r>
      <w:r>
        <w:rPr>
          <w:rFonts w:ascii="Century Gothic" w:eastAsia="Times New Roman" w:hAnsi="Century Gothic" w:cs="Arial"/>
          <w:iCs/>
          <w:lang w:val="es-ES_tradnl" w:eastAsia="es-ES_tradnl"/>
          <w14:ligatures w14:val="standardContextual"/>
        </w:rPr>
        <w:t>e</w:t>
      </w:r>
      <w:r w:rsidRPr="00D4101E">
        <w:rPr>
          <w:rFonts w:ascii="Century Gothic" w:eastAsia="Times New Roman" w:hAnsi="Century Gothic" w:cs="Arial"/>
          <w:iCs/>
          <w:lang w:val="es-ES_tradnl" w:eastAsia="es-ES_tradnl"/>
          <w14:ligatures w14:val="standardContextual"/>
        </w:rPr>
        <w:t>s si bien el legislador autorizó a las entidades para declarar el incumplimiento con el objetivo de multar al contratista para conminarlo al cumplimiento o bien hacer efectiva la cláusula penal, resulta indispensable que en uno y otro caso se hayan pactado en el contrato. Cumplida esta condición, las entidades estatales sometidas al Estatuto General de Contratación de la Administración Pública, por ministerio de la ley, se entienden investidas de la prerrogativa de imposición unilateral.</w:t>
      </w:r>
    </w:p>
    <w:p w14:paraId="4B3B4A25" w14:textId="77777777" w:rsidR="002D0890" w:rsidRPr="00D4101E" w:rsidRDefault="002D0890" w:rsidP="002D0890">
      <w:pPr>
        <w:spacing w:after="120" w:line="276" w:lineRule="auto"/>
        <w:ind w:firstLine="709"/>
        <w:jc w:val="both"/>
        <w:rPr>
          <w:rFonts w:ascii="Century Gothic" w:eastAsia="Times New Roman" w:hAnsi="Century Gothic" w:cs="Arial"/>
          <w:iCs/>
          <w:color w:val="000000" w:themeColor="text1"/>
          <w:lang w:val="es-ES_tradnl" w:eastAsia="es-ES_tradnl"/>
        </w:rPr>
      </w:pPr>
      <w:r w:rsidRPr="00D4101E">
        <w:rPr>
          <w:rFonts w:ascii="Century Gothic" w:eastAsia="Times New Roman" w:hAnsi="Century Gothic" w:cs="Arial"/>
          <w:iCs/>
          <w:lang w:val="es-ES_tradnl" w:eastAsia="es-ES_tradnl"/>
          <w14:ligatures w14:val="standardContextual"/>
        </w:rPr>
        <w:t xml:space="preserve">De ahí que, por ejemplo, en el caso de las multas, en cumplimiento del principio de tipicidad, las partes deben determinar en forma pormenorizada las acciones u omisiones objeto de sanción y el monto de la sanción a imponer, el cual, en todo caso, debe atender a los criterios de proporcionalidad y razonabilidad. En efecto, el artículo 17 de la Ley 1150 de 2007, además de autorizar la imposición unilateral de multas, también precisa que la declaración de incumplimiento tiene como propósito </w:t>
      </w:r>
      <w:r w:rsidRPr="00D4101E">
        <w:rPr>
          <w:rFonts w:ascii="Century Gothic" w:eastAsia="Times New Roman" w:hAnsi="Century Gothic" w:cs="Arial"/>
          <w:iCs/>
          <w:color w:val="000000" w:themeColor="text1"/>
          <w:lang w:val="es-ES_tradnl" w:eastAsia="es-ES_tradnl"/>
        </w:rPr>
        <w:t>“hacer efectiva la cláusula penal pecuniaria incluida en el contrato”.</w:t>
      </w:r>
    </w:p>
    <w:p w14:paraId="3C9841F6" w14:textId="77777777" w:rsidR="002D0890" w:rsidRPr="0008139D" w:rsidRDefault="002D0890" w:rsidP="002D0890">
      <w:pPr>
        <w:spacing w:after="120" w:line="276" w:lineRule="auto"/>
        <w:ind w:right="142" w:firstLine="708"/>
        <w:jc w:val="both"/>
        <w:rPr>
          <w:rFonts w:ascii="Century Gothic" w:hAnsi="Century Gothic" w:cs="Arial"/>
          <w:iCs/>
          <w:color w:val="000000" w:themeColor="text1"/>
          <w:lang w:val="es-ES_tradnl"/>
        </w:rPr>
      </w:pPr>
      <w:r>
        <w:rPr>
          <w:rFonts w:ascii="Century Gothic" w:hAnsi="Century Gothic" w:cs="Arial"/>
          <w:iCs/>
          <w:color w:val="000000" w:themeColor="text1"/>
          <w:lang w:val="es-ES_tradnl"/>
        </w:rPr>
        <w:t>De esta suerte, e</w:t>
      </w:r>
      <w:r w:rsidRPr="00C90005">
        <w:rPr>
          <w:rFonts w:ascii="Century Gothic" w:eastAsia="Calibri" w:hAnsi="Century Gothic" w:cs="Arial"/>
          <w:color w:val="000000"/>
          <w:lang w:val="es-ES_tradnl"/>
        </w:rPr>
        <w:t>l</w:t>
      </w:r>
      <w:r>
        <w:rPr>
          <w:rFonts w:ascii="Century Gothic" w:eastAsia="Calibri" w:hAnsi="Century Gothic" w:cs="Arial"/>
          <w:color w:val="000000"/>
          <w:lang w:val="es-ES_tradnl"/>
        </w:rPr>
        <w:t xml:space="preserve"> </w:t>
      </w:r>
      <w:r w:rsidRPr="00C90005">
        <w:rPr>
          <w:rFonts w:ascii="Century Gothic" w:eastAsia="Calibri" w:hAnsi="Century Gothic" w:cs="Arial"/>
          <w:color w:val="000000"/>
          <w:lang w:val="es-ES_tradnl"/>
        </w:rPr>
        <w:t>límit</w:t>
      </w:r>
      <w:r>
        <w:rPr>
          <w:rFonts w:ascii="Century Gothic" w:eastAsia="Calibri" w:hAnsi="Century Gothic" w:cs="Arial"/>
          <w:color w:val="000000"/>
          <w:lang w:val="es-ES_tradnl"/>
        </w:rPr>
        <w:t xml:space="preserve">e </w:t>
      </w:r>
      <w:r w:rsidRPr="00C90005">
        <w:rPr>
          <w:rFonts w:ascii="Century Gothic" w:eastAsia="Calibri" w:hAnsi="Century Gothic" w:cs="Arial"/>
          <w:color w:val="000000"/>
          <w:lang w:val="es-ES_tradnl"/>
        </w:rPr>
        <w:t>temporal para la imposición de multas y cláusulas penales debe definirse con fundamento en el artículo 17 de la Ley 1150 de 2007, que es la norma vigente que actualmente asigna esta potestad a las entidades estatales y define los límites frente a su aplicación. En este sentido, la Ley 1150 de 2007 determinó de manera expresa que las entidades sometidas al Estatuto General de Contratación de la Administración Pública pueden imponer las multas pactadas en el contrato, siempre que “se halle pendiente la ejecución de las obligaciones a cargo del contratista” y que, así mismo, “podrán declarar el incumplimiento con el propósito de hacer efectiva la cláusula penal pecuniaria incluida en el contrato”.</w:t>
      </w:r>
    </w:p>
    <w:p w14:paraId="38275003" w14:textId="77777777" w:rsidR="002D0890" w:rsidRDefault="002D0890" w:rsidP="002D0890">
      <w:pPr>
        <w:spacing w:after="120" w:line="276" w:lineRule="auto"/>
        <w:ind w:right="142" w:firstLine="708"/>
        <w:jc w:val="both"/>
        <w:rPr>
          <w:rFonts w:ascii="Century Gothic" w:eastAsia="Calibri" w:hAnsi="Century Gothic" w:cs="Arial"/>
          <w:color w:val="000000"/>
          <w:lang w:val="es-ES_tradnl"/>
        </w:rPr>
      </w:pPr>
      <w:r>
        <w:rPr>
          <w:rFonts w:ascii="Century Gothic" w:eastAsia="Calibri" w:hAnsi="Century Gothic" w:cs="Arial"/>
          <w:color w:val="000000"/>
          <w:lang w:val="es-ES_tradnl"/>
        </w:rPr>
        <w:lastRenderedPageBreak/>
        <w:t xml:space="preserve">En otras palabras, una </w:t>
      </w:r>
      <w:r w:rsidRPr="00C90005">
        <w:rPr>
          <w:rFonts w:ascii="Century Gothic" w:eastAsia="Calibri" w:hAnsi="Century Gothic" w:cs="Arial"/>
          <w:color w:val="000000"/>
          <w:lang w:val="es-ES_tradnl"/>
        </w:rPr>
        <w:t>entidad puede imponer las multas pactadas en el contrato, mientras esté pendiente la ejecución de las obligaciones del contratista, lo que define el límite temporal para hacerlo.</w:t>
      </w:r>
    </w:p>
    <w:p w14:paraId="57354E2B" w14:textId="77777777" w:rsidR="002D0890" w:rsidRPr="0021231E" w:rsidRDefault="002D0890" w:rsidP="002D0890">
      <w:pPr>
        <w:spacing w:after="120" w:line="276" w:lineRule="auto"/>
        <w:ind w:firstLine="708"/>
        <w:jc w:val="both"/>
        <w:rPr>
          <w:rFonts w:ascii="Century Gothic" w:eastAsia="Calibri" w:hAnsi="Century Gothic" w:cs="Arial"/>
          <w:color w:val="000000" w:themeColor="text1"/>
          <w:lang w:val="es-ES"/>
        </w:rPr>
      </w:pPr>
      <w:r w:rsidRPr="0021231E">
        <w:rPr>
          <w:rFonts w:ascii="Century Gothic" w:eastAsia="Times New Roman" w:hAnsi="Century Gothic" w:cs="Arial"/>
          <w:szCs w:val="24"/>
          <w:lang w:eastAsia="es-CO"/>
        </w:rPr>
        <w:t>Este concepto tiene el alcance previsto en el artículo 28 del Código de Procedimiento Administrativo y de lo Contencioso Administrativo.</w:t>
      </w:r>
    </w:p>
    <w:p w14:paraId="3304A19C" w14:textId="77777777" w:rsidR="002D0890" w:rsidRDefault="002D0890" w:rsidP="002D0890">
      <w:pPr>
        <w:spacing w:after="120" w:line="276" w:lineRule="auto"/>
        <w:jc w:val="both"/>
        <w:rPr>
          <w:rFonts w:ascii="Century Gothic" w:eastAsia="Times New Roman" w:hAnsi="Century Gothic" w:cs="Arial"/>
          <w:lang w:val="es-MX" w:eastAsia="es-CO"/>
        </w:rPr>
      </w:pPr>
    </w:p>
    <w:p w14:paraId="53B8BD48" w14:textId="77777777" w:rsidR="002D0890" w:rsidRPr="0021231E" w:rsidRDefault="002D0890" w:rsidP="002D0890">
      <w:pPr>
        <w:spacing w:after="120" w:line="276" w:lineRule="auto"/>
        <w:jc w:val="both"/>
        <w:rPr>
          <w:rFonts w:ascii="Century Gothic" w:eastAsia="Calibri" w:hAnsi="Century Gothic" w:cs="Arial"/>
        </w:rPr>
      </w:pPr>
      <w:r w:rsidRPr="0021231E">
        <w:rPr>
          <w:rFonts w:ascii="Century Gothic" w:eastAsia="Times New Roman" w:hAnsi="Century Gothic" w:cs="Arial"/>
          <w:lang w:val="es-MX" w:eastAsia="es-CO"/>
        </w:rPr>
        <w:t>Atentamente,</w:t>
      </w:r>
    </w:p>
    <w:p w14:paraId="7142444D" w14:textId="4BAF2010" w:rsidR="002D0890" w:rsidRPr="0021231E" w:rsidRDefault="00080A55" w:rsidP="002D0890">
      <w:pPr>
        <w:spacing w:after="0" w:line="276" w:lineRule="auto"/>
        <w:jc w:val="center"/>
        <w:textAlignment w:val="baseline"/>
        <w:rPr>
          <w:rFonts w:ascii="Century Gothic" w:eastAsia="Times New Roman" w:hAnsi="Century Gothic" w:cs="Arial"/>
          <w:sz w:val="24"/>
          <w:szCs w:val="24"/>
          <w:lang w:eastAsia="es-CO"/>
        </w:rPr>
      </w:pPr>
      <w:r>
        <w:rPr>
          <w:noProof/>
        </w:rPr>
        <w:drawing>
          <wp:inline distT="0" distB="0" distL="0" distR="0" wp14:anchorId="1EB70FF2" wp14:editId="6FEB78EC">
            <wp:extent cx="3161905" cy="1209524"/>
            <wp:effectExtent l="0" t="0" r="635" b="0"/>
            <wp:docPr id="130404836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48368" name="Imagen 1" descr="Texto&#10;&#10;Descripción generada automáticamente"/>
                    <pic:cNvPicPr/>
                  </pic:nvPicPr>
                  <pic:blipFill>
                    <a:blip r:embed="rId10"/>
                    <a:stretch>
                      <a:fillRect/>
                    </a:stretch>
                  </pic:blipFill>
                  <pic:spPr>
                    <a:xfrm>
                      <a:off x="0" y="0"/>
                      <a:ext cx="3161905" cy="1209524"/>
                    </a:xfrm>
                    <a:prstGeom prst="rect">
                      <a:avLst/>
                    </a:prstGeom>
                  </pic:spPr>
                </pic:pic>
              </a:graphicData>
            </a:graphic>
          </wp:inline>
        </w:drawing>
      </w:r>
    </w:p>
    <w:tbl>
      <w:tblPr>
        <w:tblW w:w="58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9"/>
        <w:gridCol w:w="5177"/>
      </w:tblGrid>
      <w:tr w:rsidR="002D0890" w:rsidRPr="0021231E" w14:paraId="277B00DC" w14:textId="77777777" w:rsidTr="0BD449C4">
        <w:trPr>
          <w:trHeight w:val="315"/>
        </w:trPr>
        <w:tc>
          <w:tcPr>
            <w:tcW w:w="639" w:type="dxa"/>
            <w:tcBorders>
              <w:top w:val="nil"/>
              <w:left w:val="nil"/>
              <w:bottom w:val="nil"/>
              <w:right w:val="nil"/>
            </w:tcBorders>
            <w:shd w:val="clear" w:color="auto" w:fill="auto"/>
            <w:vAlign w:val="center"/>
            <w:hideMark/>
          </w:tcPr>
          <w:p w14:paraId="16433350" w14:textId="77777777" w:rsidR="002D0890" w:rsidRPr="0021231E" w:rsidRDefault="002D0890" w:rsidP="00E91D3F">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Elaboró:</w:t>
            </w:r>
          </w:p>
        </w:tc>
        <w:tc>
          <w:tcPr>
            <w:tcW w:w="5177" w:type="dxa"/>
            <w:tcBorders>
              <w:top w:val="nil"/>
              <w:left w:val="nil"/>
              <w:bottom w:val="dotted" w:sz="6" w:space="0" w:color="7F7F7F" w:themeColor="text1" w:themeTint="80"/>
              <w:right w:val="nil"/>
            </w:tcBorders>
            <w:shd w:val="clear" w:color="auto" w:fill="auto"/>
            <w:vAlign w:val="center"/>
            <w:hideMark/>
          </w:tcPr>
          <w:p w14:paraId="2B1448EC" w14:textId="77777777" w:rsidR="002D0890" w:rsidRPr="0021231E" w:rsidRDefault="002D0890" w:rsidP="00E91D3F">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Diego Andrés Zambrano Pérez</w:t>
            </w:r>
          </w:p>
          <w:p w14:paraId="443E5CCD" w14:textId="77777777" w:rsidR="002D0890" w:rsidRPr="0021231E" w:rsidRDefault="002D0890" w:rsidP="00E91D3F">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Contratista de la Subdirección de Gestión Contractual</w:t>
            </w:r>
          </w:p>
        </w:tc>
      </w:tr>
      <w:tr w:rsidR="002D0890" w:rsidRPr="0021231E" w14:paraId="2B6CB88F" w14:textId="77777777" w:rsidTr="0BD449C4">
        <w:trPr>
          <w:trHeight w:val="315"/>
        </w:trPr>
        <w:tc>
          <w:tcPr>
            <w:tcW w:w="639" w:type="dxa"/>
            <w:tcBorders>
              <w:top w:val="nil"/>
              <w:left w:val="nil"/>
              <w:bottom w:val="nil"/>
              <w:right w:val="nil"/>
            </w:tcBorders>
            <w:shd w:val="clear" w:color="auto" w:fill="auto"/>
            <w:vAlign w:val="center"/>
            <w:hideMark/>
          </w:tcPr>
          <w:p w14:paraId="34DCD057" w14:textId="77777777" w:rsidR="002D0890" w:rsidRPr="0021231E" w:rsidRDefault="002D0890" w:rsidP="00E91D3F">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Revisó:</w:t>
            </w:r>
          </w:p>
        </w:tc>
        <w:tc>
          <w:tcPr>
            <w:tcW w:w="5177"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163159F9" w14:textId="77777777" w:rsidR="002D0890" w:rsidRPr="0021231E" w:rsidRDefault="002D0890" w:rsidP="00E91D3F">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Alejandro Raúl Sarmiento Cantillo</w:t>
            </w:r>
          </w:p>
          <w:p w14:paraId="7E555A0E" w14:textId="69D845C8" w:rsidR="002D0890" w:rsidRPr="0021231E" w:rsidRDefault="002D0890" w:rsidP="00E91D3F">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Gestor T1-15 de la Subdirección de Gestión Contractual</w:t>
            </w:r>
          </w:p>
        </w:tc>
      </w:tr>
      <w:tr w:rsidR="002D0890" w:rsidRPr="0021231E" w14:paraId="626B0A10" w14:textId="77777777" w:rsidTr="0BD449C4">
        <w:trPr>
          <w:trHeight w:val="300"/>
        </w:trPr>
        <w:tc>
          <w:tcPr>
            <w:tcW w:w="639" w:type="dxa"/>
            <w:tcBorders>
              <w:top w:val="nil"/>
              <w:left w:val="nil"/>
              <w:bottom w:val="nil"/>
              <w:right w:val="nil"/>
            </w:tcBorders>
            <w:shd w:val="clear" w:color="auto" w:fill="auto"/>
            <w:vAlign w:val="center"/>
            <w:hideMark/>
          </w:tcPr>
          <w:p w14:paraId="04F107F7" w14:textId="77777777" w:rsidR="002D0890" w:rsidRPr="0021231E" w:rsidRDefault="002D0890" w:rsidP="00E91D3F">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Aprobó:</w:t>
            </w:r>
          </w:p>
        </w:tc>
        <w:tc>
          <w:tcPr>
            <w:tcW w:w="5177"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2DCB432F" w14:textId="77777777" w:rsidR="002D0890" w:rsidRPr="0021231E" w:rsidRDefault="002D0890" w:rsidP="00E91D3F">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Nohelia del Carmen Zawady Palacio</w:t>
            </w:r>
          </w:p>
          <w:p w14:paraId="69DD1B3E" w14:textId="77777777" w:rsidR="002D0890" w:rsidRPr="0021231E" w:rsidRDefault="002D0890" w:rsidP="00E91D3F">
            <w:pPr>
              <w:spacing w:after="0" w:line="240" w:lineRule="auto"/>
              <w:textAlignment w:val="baseline"/>
              <w:rPr>
                <w:rFonts w:ascii="Century Gothic" w:eastAsia="Times New Roman" w:hAnsi="Century Gothic" w:cs="Arial"/>
                <w:sz w:val="14"/>
                <w:szCs w:val="14"/>
                <w:lang w:val="es-MX" w:eastAsia="es-CO"/>
              </w:rPr>
            </w:pPr>
            <w:r w:rsidRPr="0021231E">
              <w:rPr>
                <w:rFonts w:ascii="Century Gothic" w:eastAsia="Times New Roman" w:hAnsi="Century Gothic" w:cs="Arial"/>
                <w:sz w:val="14"/>
                <w:szCs w:val="14"/>
                <w:lang w:val="es-MX" w:eastAsia="es-CO"/>
              </w:rPr>
              <w:t>Subdirectora de Gestión Contractual</w:t>
            </w:r>
          </w:p>
        </w:tc>
      </w:tr>
      <w:bookmarkEnd w:id="0"/>
    </w:tbl>
    <w:p w14:paraId="51B3CD9C" w14:textId="77777777" w:rsidR="002D0890" w:rsidRPr="00322A85" w:rsidRDefault="002D0890" w:rsidP="00E245AB">
      <w:pPr>
        <w:spacing w:after="0"/>
        <w:rPr>
          <w:rFonts w:ascii="Century Gothic" w:hAnsi="Century Gothic"/>
        </w:rPr>
      </w:pPr>
    </w:p>
    <w:sectPr w:rsidR="002D0890" w:rsidRPr="00322A85" w:rsidSect="002E4FD9">
      <w:headerReference w:type="default" r:id="rId11"/>
      <w:footerReference w:type="default" r:id="rId12"/>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B4E13" w14:textId="77777777" w:rsidR="00D43266" w:rsidRDefault="00D43266" w:rsidP="004A1847">
      <w:pPr>
        <w:spacing w:after="0" w:line="240" w:lineRule="auto"/>
      </w:pPr>
      <w:r>
        <w:separator/>
      </w:r>
    </w:p>
  </w:endnote>
  <w:endnote w:type="continuationSeparator" w:id="0">
    <w:p w14:paraId="02C9FFE4" w14:textId="77777777" w:rsidR="00D43266" w:rsidRDefault="00D43266" w:rsidP="004A1847">
      <w:pPr>
        <w:spacing w:after="0" w:line="240" w:lineRule="auto"/>
      </w:pPr>
      <w:r>
        <w:continuationSeparator/>
      </w:r>
    </w:p>
  </w:endnote>
  <w:endnote w:type="continuationNotice" w:id="1">
    <w:p w14:paraId="029EE2A3" w14:textId="77777777" w:rsidR="007E12AE" w:rsidRDefault="007E12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C8877" w14:textId="77777777" w:rsidR="00D43266" w:rsidRDefault="00D43266" w:rsidP="004A1847">
      <w:pPr>
        <w:spacing w:after="0" w:line="240" w:lineRule="auto"/>
      </w:pPr>
      <w:r>
        <w:separator/>
      </w:r>
    </w:p>
  </w:footnote>
  <w:footnote w:type="continuationSeparator" w:id="0">
    <w:p w14:paraId="184E4B0A" w14:textId="77777777" w:rsidR="00D43266" w:rsidRDefault="00D43266" w:rsidP="004A1847">
      <w:pPr>
        <w:spacing w:after="0" w:line="240" w:lineRule="auto"/>
      </w:pPr>
      <w:r>
        <w:continuationSeparator/>
      </w:r>
    </w:p>
  </w:footnote>
  <w:footnote w:type="continuationNotice" w:id="1">
    <w:p w14:paraId="63F69E95" w14:textId="77777777" w:rsidR="007E12AE" w:rsidRDefault="007E12AE">
      <w:pPr>
        <w:spacing w:after="0" w:line="240" w:lineRule="auto"/>
      </w:pPr>
    </w:p>
  </w:footnote>
  <w:footnote w:id="2">
    <w:p w14:paraId="2C0E5181" w14:textId="77777777" w:rsidR="002D0890" w:rsidRPr="00812014" w:rsidRDefault="002D0890" w:rsidP="002D0890">
      <w:pPr>
        <w:pStyle w:val="Textonotapie"/>
        <w:ind w:firstLine="708"/>
        <w:jc w:val="both"/>
        <w:rPr>
          <w:rFonts w:ascii="Century Gothic" w:hAnsi="Century Gothic" w:cs="Arial"/>
          <w:color w:val="000000" w:themeColor="text1"/>
          <w:sz w:val="14"/>
          <w:szCs w:val="14"/>
          <w:lang w:val="es-ES"/>
        </w:rPr>
      </w:pPr>
      <w:r w:rsidRPr="00812014">
        <w:rPr>
          <w:rStyle w:val="Refdenotaalpie"/>
          <w:rFonts w:ascii="Century Gothic" w:eastAsiaTheme="majorEastAsia" w:hAnsi="Century Gothic" w:cs="Arial"/>
          <w:color w:val="000000" w:themeColor="text1"/>
          <w:sz w:val="14"/>
          <w:szCs w:val="14"/>
        </w:rPr>
        <w:footnoteRef/>
      </w:r>
      <w:r w:rsidRPr="00812014">
        <w:rPr>
          <w:rFonts w:ascii="Century Gothic" w:hAnsi="Century Gothic" w:cs="Arial"/>
          <w:color w:val="000000" w:themeColor="text1"/>
          <w:sz w:val="14"/>
          <w:szCs w:val="14"/>
        </w:rPr>
        <w:t xml:space="preserve"> La Agencia Nacional de Contratación Pública -Colombia Compra Eficiente- fue creada por el Decreto-Ley 4170 de 2011. Su objetivo 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sidRPr="00812014">
        <w:rPr>
          <w:rFonts w:ascii="Century Gothic" w:hAnsi="Century Gothic" w:cs="Arial"/>
          <w:i/>
          <w:color w:val="000000" w:themeColor="text1"/>
          <w:sz w:val="14"/>
          <w:szCs w:val="14"/>
        </w:rPr>
        <w:t xml:space="preserve">ibidem </w:t>
      </w:r>
      <w:r w:rsidRPr="00812014">
        <w:rPr>
          <w:rFonts w:ascii="Century Gothic" w:hAnsi="Century Gothic" w:cs="Arial"/>
          <w:color w:val="000000" w:themeColor="text1"/>
          <w:sz w:val="14"/>
          <w:szCs w:val="14"/>
        </w:rPr>
        <w:t xml:space="preserve">señala, de manera precisa, las funciones de la entidad. Concretamente, el numeral 5º del citado artículo establece que le corresponde a esta entidad: </w:t>
      </w:r>
      <w:r w:rsidRPr="00812014">
        <w:rPr>
          <w:rFonts w:ascii="Century Gothic" w:hAnsi="Century Gothic" w:cs="Arial"/>
          <w:i/>
          <w:color w:val="000000" w:themeColor="text1"/>
          <w:sz w:val="14"/>
          <w:szCs w:val="14"/>
        </w:rPr>
        <w:t>“[a]bsolver consultas sobre la aplicación de normas de carácter general y expedir circulares externas en materia de compras y contratación pública”</w:t>
      </w:r>
      <w:r w:rsidRPr="00812014">
        <w:rPr>
          <w:rFonts w:ascii="Century Gothic" w:hAnsi="Century Gothic" w:cs="Arial"/>
          <w:color w:val="000000" w:themeColor="text1"/>
          <w:sz w:val="14"/>
          <w:szCs w:val="14"/>
        </w:rPr>
        <w:t xml:space="preserve">. A su turno, el numeral 8º del artículo 11 </w:t>
      </w:r>
      <w:r w:rsidRPr="00812014">
        <w:rPr>
          <w:rFonts w:ascii="Century Gothic" w:hAnsi="Century Gothic" w:cs="Arial"/>
          <w:i/>
          <w:color w:val="000000" w:themeColor="text1"/>
          <w:sz w:val="14"/>
          <w:szCs w:val="14"/>
        </w:rPr>
        <w:t>ibidem</w:t>
      </w:r>
      <w:r w:rsidRPr="00812014">
        <w:rPr>
          <w:rFonts w:ascii="Century Gothic" w:hAnsi="Century Gothic" w:cs="Arial"/>
          <w:color w:val="000000" w:themeColor="text1"/>
          <w:sz w:val="14"/>
          <w:szCs w:val="14"/>
        </w:rPr>
        <w:t xml:space="preserve"> indica que es función de la Subdirección de Gestión Contractual: </w:t>
      </w:r>
      <w:r w:rsidRPr="00812014">
        <w:rPr>
          <w:rFonts w:ascii="Century Gothic" w:hAnsi="Century Gothic" w:cs="Arial"/>
          <w:i/>
          <w:color w:val="000000" w:themeColor="text1"/>
          <w:sz w:val="14"/>
          <w:szCs w:val="14"/>
        </w:rPr>
        <w:t>“[a]bsolver consultas sobre la aplicación de normas de carácter general”</w:t>
      </w:r>
      <w:r w:rsidRPr="00812014">
        <w:rPr>
          <w:rFonts w:ascii="Century Gothic" w:hAnsi="Century Gothic" w:cs="Arial"/>
          <w:color w:val="000000" w:themeColor="text1"/>
          <w:sz w:val="14"/>
          <w:szCs w:val="14"/>
        </w:rPr>
        <w:t>.</w:t>
      </w:r>
    </w:p>
  </w:footnote>
  <w:footnote w:id="3">
    <w:p w14:paraId="3C599EA0" w14:textId="77777777" w:rsidR="002D0890" w:rsidRPr="00812014" w:rsidRDefault="002D0890" w:rsidP="002D0890">
      <w:pPr>
        <w:pStyle w:val="Textonotapie"/>
        <w:spacing w:after="240"/>
        <w:ind w:firstLine="708"/>
        <w:jc w:val="both"/>
        <w:rPr>
          <w:rFonts w:ascii="Century Gothic" w:hAnsi="Century Gothic" w:cs="Arial"/>
          <w:color w:val="000000" w:themeColor="text1"/>
          <w:sz w:val="14"/>
          <w:szCs w:val="14"/>
          <w:lang w:val="es-ES"/>
        </w:rPr>
      </w:pPr>
      <w:r w:rsidRPr="00812014">
        <w:rPr>
          <w:rStyle w:val="Refdenotaalpie"/>
          <w:rFonts w:ascii="Century Gothic" w:hAnsi="Century Gothic" w:cs="Arial"/>
          <w:color w:val="000000" w:themeColor="text1"/>
          <w:sz w:val="14"/>
          <w:szCs w:val="14"/>
        </w:rPr>
        <w:footnoteRef/>
      </w:r>
      <w:r w:rsidRPr="00812014">
        <w:rPr>
          <w:rFonts w:ascii="Century Gothic" w:hAnsi="Century Gothic" w:cs="Arial"/>
          <w:color w:val="000000" w:themeColor="text1"/>
          <w:sz w:val="14"/>
          <w:szCs w:val="14"/>
        </w:rPr>
        <w:t xml:space="preserve"> </w:t>
      </w:r>
      <w:r w:rsidRPr="004E5637">
        <w:rPr>
          <w:rFonts w:ascii="Century Gothic" w:hAnsi="Century Gothic" w:cs="Arial"/>
          <w:sz w:val="14"/>
          <w:szCs w:val="14"/>
        </w:rPr>
        <w:t xml:space="preserve">Los conceptos referenciados, así como otros expedidos por la Subdirección se encuentran disponibles para consulta pública en el portal de relatoría de la Agencia, al cual se puede acceder a través del siguiente enlace: </w:t>
      </w:r>
      <w:hyperlink r:id="rId1" w:history="1">
        <w:r w:rsidRPr="004E5637">
          <w:rPr>
            <w:rStyle w:val="Hipervnculo"/>
            <w:rFonts w:ascii="Century Gothic" w:hAnsi="Century Gothic" w:cs="Arial"/>
            <w:sz w:val="14"/>
            <w:szCs w:val="14"/>
          </w:rPr>
          <w:t>https://relatoria.colombiacompra.gov.co/busqueda/conceptos</w:t>
        </w:r>
      </w:hyperlink>
      <w:r>
        <w:rPr>
          <w:rStyle w:val="Hipervnculo"/>
          <w:rFonts w:ascii="Century Gothic" w:hAnsi="Century Gothic" w:cs="Arial"/>
          <w:sz w:val="14"/>
          <w:szCs w:val="14"/>
        </w:rPr>
        <w:t>.</w:t>
      </w:r>
    </w:p>
  </w:footnote>
  <w:footnote w:id="4">
    <w:p w14:paraId="55273505" w14:textId="77777777" w:rsidR="002D0890" w:rsidRPr="00812014" w:rsidRDefault="002D0890" w:rsidP="002D0890">
      <w:pPr>
        <w:pStyle w:val="Textonotapie"/>
        <w:ind w:firstLine="708"/>
        <w:jc w:val="both"/>
        <w:rPr>
          <w:rFonts w:ascii="Century Gothic" w:hAnsi="Century Gothic" w:cs="Arial"/>
          <w:color w:val="000000" w:themeColor="text1"/>
          <w:sz w:val="14"/>
          <w:szCs w:val="14"/>
        </w:rPr>
      </w:pPr>
      <w:r w:rsidRPr="00812014">
        <w:rPr>
          <w:rStyle w:val="Refdenotaalpie"/>
          <w:rFonts w:ascii="Century Gothic" w:hAnsi="Century Gothic" w:cs="Arial"/>
          <w:color w:val="000000" w:themeColor="text1"/>
          <w:sz w:val="14"/>
          <w:szCs w:val="14"/>
        </w:rPr>
        <w:footnoteRef/>
      </w:r>
      <w:r w:rsidRPr="00812014">
        <w:rPr>
          <w:rFonts w:ascii="Century Gothic" w:hAnsi="Century Gothic" w:cs="Arial"/>
          <w:color w:val="000000" w:themeColor="text1"/>
          <w:sz w:val="14"/>
          <w:szCs w:val="14"/>
        </w:rPr>
        <w:t xml:space="preserve"> Cfr. Respuestas emitidas dentro de los radicados Nos.: 4202013000002250, 4202013000002249, 202013000002232, 4202013000002225, 4202013000002227, 4202013000002220, 4202013000002221, 4202013000002217, 4202013000002215, 4202013000002230, 4202013000002223, 4202013000002219, 4202013000002237, 4202013000002210, 4202013000002278, 4202013000002277, 4202013000002272, 4202013000002696, 4202013000002699, 4202012000002681, 4202012000002683, 4202012000002676, 4202012000002682, 4202012000002689, 4202013000002697, 4202013000002723, 4202012000002688, 4202013000002813, 4202013000002808, 4202013000002798, 4202013000002793, 4202013000002792, 4202013000002791, 4202013000002790 y 4202020000002788, entre muchos otros similares.</w:t>
      </w:r>
    </w:p>
    <w:p w14:paraId="5C29D2F0" w14:textId="77777777" w:rsidR="002D0890" w:rsidRPr="00812014" w:rsidRDefault="002D0890" w:rsidP="002D0890">
      <w:pPr>
        <w:pStyle w:val="Textonotapie"/>
        <w:ind w:firstLine="708"/>
        <w:jc w:val="both"/>
        <w:rPr>
          <w:rFonts w:ascii="Century Gothic" w:hAnsi="Century Gothic" w:cs="Arial"/>
          <w:color w:val="000000" w:themeColor="text1"/>
          <w:sz w:val="14"/>
          <w:szCs w:val="14"/>
        </w:rPr>
      </w:pPr>
    </w:p>
  </w:footnote>
  <w:footnote w:id="5">
    <w:p w14:paraId="4B8E1E06" w14:textId="77777777" w:rsidR="002D0890" w:rsidRPr="00812014" w:rsidRDefault="002D0890" w:rsidP="002D0890">
      <w:pPr>
        <w:pStyle w:val="Textonotapie"/>
        <w:ind w:firstLine="709"/>
        <w:jc w:val="both"/>
        <w:rPr>
          <w:rFonts w:ascii="Century Gothic" w:hAnsi="Century Gothic" w:cs="Arial"/>
          <w:color w:val="000000" w:themeColor="text1"/>
          <w:sz w:val="14"/>
          <w:szCs w:val="14"/>
        </w:rPr>
      </w:pPr>
      <w:r w:rsidRPr="00812014">
        <w:rPr>
          <w:rStyle w:val="Refdenotaalpie"/>
          <w:rFonts w:ascii="Century Gothic" w:hAnsi="Century Gothic" w:cs="Arial"/>
          <w:color w:val="000000" w:themeColor="text1"/>
          <w:sz w:val="14"/>
          <w:szCs w:val="14"/>
        </w:rPr>
        <w:footnoteRef/>
      </w:r>
      <w:r w:rsidRPr="00812014">
        <w:rPr>
          <w:rFonts w:ascii="Century Gothic" w:hAnsi="Century Gothic" w:cs="Arial"/>
          <w:color w:val="000000" w:themeColor="text1"/>
          <w:sz w:val="14"/>
          <w:szCs w:val="14"/>
        </w:rPr>
        <w:t xml:space="preserve"> Procuraduría General de la Nación. Concepto del 15 de octubre de 2014. Procuraduría Delegada para Asuntos Disciplinarios. Radicado PAD C-114-2014.</w:t>
      </w:r>
    </w:p>
    <w:p w14:paraId="2622A80B" w14:textId="77777777" w:rsidR="002D0890" w:rsidRPr="00812014" w:rsidRDefault="002D0890" w:rsidP="002D0890">
      <w:pPr>
        <w:pStyle w:val="Textonotapie"/>
        <w:ind w:firstLine="709"/>
        <w:jc w:val="both"/>
        <w:rPr>
          <w:rFonts w:ascii="Century Gothic" w:hAnsi="Century Gothic" w:cs="Arial"/>
          <w:color w:val="000000" w:themeColor="text1"/>
          <w:sz w:val="14"/>
          <w:szCs w:val="14"/>
        </w:rPr>
      </w:pPr>
    </w:p>
  </w:footnote>
  <w:footnote w:id="6">
    <w:p w14:paraId="1A957C00" w14:textId="77777777" w:rsidR="002D0890" w:rsidRPr="00812014" w:rsidRDefault="002D0890" w:rsidP="002D0890">
      <w:pPr>
        <w:pStyle w:val="Textonotapie"/>
        <w:ind w:firstLine="708"/>
        <w:jc w:val="both"/>
        <w:rPr>
          <w:rFonts w:ascii="Century Gothic" w:hAnsi="Century Gothic"/>
          <w:color w:val="000000" w:themeColor="text1"/>
          <w:sz w:val="14"/>
          <w:szCs w:val="14"/>
        </w:rPr>
      </w:pPr>
      <w:r w:rsidRPr="00812014">
        <w:rPr>
          <w:rStyle w:val="Refdenotaalpie"/>
          <w:rFonts w:ascii="Century Gothic" w:hAnsi="Century Gothic" w:cs="Arial"/>
          <w:color w:val="000000" w:themeColor="text1"/>
          <w:sz w:val="14"/>
          <w:szCs w:val="14"/>
        </w:rPr>
        <w:footnoteRef/>
      </w:r>
      <w:r w:rsidRPr="00812014">
        <w:rPr>
          <w:rFonts w:ascii="Century Gothic" w:hAnsi="Century Gothic" w:cs="Arial"/>
          <w:color w:val="000000" w:themeColor="text1"/>
          <w:sz w:val="14"/>
          <w:szCs w:val="14"/>
        </w:rPr>
        <w:t xml:space="preserve"> Contraloría General de la República. Oficina Jurídica. Concepto 80112-OJ-008 2017.</w:t>
      </w:r>
    </w:p>
  </w:footnote>
  <w:footnote w:id="7">
    <w:p w14:paraId="73C2C2D8" w14:textId="77777777" w:rsidR="002D0890" w:rsidRPr="00812014" w:rsidRDefault="002D0890" w:rsidP="002D0890">
      <w:pPr>
        <w:pStyle w:val="Textonotapie"/>
        <w:ind w:firstLine="708"/>
        <w:jc w:val="both"/>
        <w:rPr>
          <w:rFonts w:ascii="Century Gothic" w:hAnsi="Century Gothic" w:cs="Arial"/>
          <w:color w:val="000000" w:themeColor="text1"/>
          <w:sz w:val="14"/>
          <w:szCs w:val="14"/>
        </w:rPr>
      </w:pPr>
      <w:r w:rsidRPr="00812014">
        <w:rPr>
          <w:rStyle w:val="Refdenotaalpie"/>
          <w:rFonts w:ascii="Century Gothic" w:hAnsi="Century Gothic" w:cs="Arial"/>
          <w:color w:val="000000" w:themeColor="text1"/>
          <w:sz w:val="14"/>
          <w:szCs w:val="14"/>
        </w:rPr>
        <w:footnoteRef/>
      </w:r>
      <w:r w:rsidRPr="00812014">
        <w:rPr>
          <w:rFonts w:ascii="Century Gothic" w:hAnsi="Century Gothic" w:cs="Arial"/>
          <w:color w:val="000000" w:themeColor="text1"/>
          <w:sz w:val="14"/>
          <w:szCs w:val="14"/>
        </w:rPr>
        <w:t xml:space="preserve"> ARBOLEDA PERDOMO, Enrique José. Comentarios al Nuevo Código de Procedimiento Administrativo y de lo Contencioso Administrativo (2ª ed.). Editorial Legis. Bogotá. 2012. p.59.</w:t>
      </w:r>
    </w:p>
  </w:footnote>
  <w:footnote w:id="8">
    <w:p w14:paraId="11B9D72D" w14:textId="77777777" w:rsidR="002D0890" w:rsidRPr="00812014" w:rsidRDefault="002D0890" w:rsidP="002D0890">
      <w:pPr>
        <w:pStyle w:val="Textonotapie"/>
        <w:ind w:firstLine="709"/>
        <w:jc w:val="both"/>
        <w:rPr>
          <w:rFonts w:ascii="Century Gothic" w:hAnsi="Century Gothic" w:cs="Arial"/>
          <w:color w:val="000000" w:themeColor="text1"/>
          <w:sz w:val="14"/>
          <w:szCs w:val="14"/>
        </w:rPr>
      </w:pPr>
      <w:r w:rsidRPr="00812014">
        <w:rPr>
          <w:rStyle w:val="Refdenotaalpie"/>
          <w:rFonts w:ascii="Century Gothic" w:hAnsi="Century Gothic" w:cs="Arial"/>
          <w:color w:val="000000" w:themeColor="text1"/>
          <w:sz w:val="14"/>
          <w:szCs w:val="14"/>
        </w:rPr>
        <w:footnoteRef/>
      </w:r>
      <w:r w:rsidRPr="00812014">
        <w:rPr>
          <w:rFonts w:ascii="Century Gothic" w:hAnsi="Century Gothic" w:cs="Arial"/>
          <w:color w:val="000000" w:themeColor="text1"/>
          <w:sz w:val="14"/>
          <w:szCs w:val="14"/>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2" w:history="1">
        <w:r w:rsidRPr="00812014">
          <w:rPr>
            <w:rStyle w:val="Hipervnculo"/>
            <w:rFonts w:ascii="Century Gothic" w:hAnsi="Century Gothic" w:cs="Arial"/>
            <w:color w:val="000000" w:themeColor="text1"/>
            <w:sz w:val="14"/>
            <w:szCs w:val="14"/>
          </w:rPr>
          <w:t>https://issuu.com/estudiolegalhernandez/docs/ahb._funci__n_consultiva_y_consejo_</w:t>
        </w:r>
      </w:hyperlink>
      <w:r w:rsidRPr="00812014">
        <w:rPr>
          <w:rFonts w:ascii="Century Gothic" w:hAnsi="Century Gothic" w:cs="Arial"/>
          <w:color w:val="000000" w:themeColor="text1"/>
          <w:sz w:val="14"/>
          <w:szCs w:val="14"/>
        </w:rPr>
        <w:t>.</w:t>
      </w:r>
    </w:p>
    <w:p w14:paraId="218092D2" w14:textId="77777777" w:rsidR="002D0890" w:rsidRPr="00812014" w:rsidRDefault="002D0890" w:rsidP="002D0890">
      <w:pPr>
        <w:pStyle w:val="Textonotapie"/>
        <w:ind w:firstLine="709"/>
        <w:jc w:val="both"/>
        <w:rPr>
          <w:rFonts w:ascii="Century Gothic" w:hAnsi="Century Gothic" w:cs="Arial"/>
          <w:color w:val="000000" w:themeColor="text1"/>
          <w:sz w:val="14"/>
          <w:szCs w:val="14"/>
        </w:rPr>
      </w:pPr>
    </w:p>
  </w:footnote>
  <w:footnote w:id="9">
    <w:p w14:paraId="5C8D41FA" w14:textId="77777777" w:rsidR="002D0890" w:rsidRPr="00812014" w:rsidRDefault="002D0890" w:rsidP="002D0890">
      <w:pPr>
        <w:pStyle w:val="Textonotapie"/>
        <w:ind w:firstLine="708"/>
        <w:jc w:val="both"/>
        <w:rPr>
          <w:rFonts w:ascii="Century Gothic" w:hAnsi="Century Gothic" w:cs="Arial"/>
          <w:color w:val="000000" w:themeColor="text1"/>
          <w:sz w:val="14"/>
          <w:szCs w:val="14"/>
        </w:rPr>
      </w:pPr>
      <w:r w:rsidRPr="00812014">
        <w:rPr>
          <w:rStyle w:val="Refdenotaalpie"/>
          <w:rFonts w:ascii="Century Gothic" w:hAnsi="Century Gothic" w:cs="Arial"/>
          <w:color w:val="000000" w:themeColor="text1"/>
          <w:sz w:val="14"/>
          <w:szCs w:val="14"/>
        </w:rPr>
        <w:footnoteRef/>
      </w:r>
      <w:r w:rsidRPr="00812014">
        <w:rPr>
          <w:rFonts w:ascii="Century Gothic" w:hAnsi="Century Gothic" w:cs="Arial"/>
          <w:color w:val="000000" w:themeColor="text1"/>
          <w:sz w:val="14"/>
          <w:szCs w:val="14"/>
        </w:rPr>
        <w:t xml:space="preserve"> CONSEJO DE ESTADO. Sala de Consulta y Servicio Civil. Concepto del 5 de octubre de 2009. Expediente 11001-03-06-000-2009-00049-00(1966). C.P. William Zambrano Cetina.</w:t>
      </w:r>
    </w:p>
  </w:footnote>
  <w:footnote w:id="10">
    <w:p w14:paraId="3228FCCC" w14:textId="77777777" w:rsidR="002D0890" w:rsidRPr="00812014" w:rsidRDefault="002D0890" w:rsidP="002D0890">
      <w:pPr>
        <w:pStyle w:val="Textonotapie"/>
        <w:ind w:firstLine="708"/>
        <w:jc w:val="both"/>
        <w:rPr>
          <w:rFonts w:ascii="Century Gothic" w:hAnsi="Century Gothic" w:cs="Arial"/>
          <w:color w:val="000000" w:themeColor="text1"/>
          <w:sz w:val="14"/>
          <w:szCs w:val="14"/>
        </w:rPr>
      </w:pPr>
      <w:r w:rsidRPr="00812014">
        <w:rPr>
          <w:rStyle w:val="Refdenotaalpie"/>
          <w:rFonts w:ascii="Century Gothic" w:hAnsi="Century Gothic" w:cs="Arial"/>
          <w:color w:val="000000" w:themeColor="text1"/>
          <w:sz w:val="14"/>
          <w:szCs w:val="14"/>
        </w:rPr>
        <w:footnoteRef/>
      </w:r>
      <w:r w:rsidRPr="00812014">
        <w:rPr>
          <w:rFonts w:ascii="Century Gothic" w:hAnsi="Century Gothic" w:cs="Arial"/>
          <w:color w:val="000000" w:themeColor="text1"/>
          <w:sz w:val="14"/>
          <w:szCs w:val="14"/>
        </w:rPr>
        <w:t xml:space="preserve"> “Son también contratos de consultoría los que tienen por objeto la interventoría […]”.</w:t>
      </w:r>
    </w:p>
    <w:p w14:paraId="6976E3F1" w14:textId="77777777" w:rsidR="002D0890" w:rsidRPr="00812014" w:rsidRDefault="002D0890" w:rsidP="002D0890">
      <w:pPr>
        <w:pStyle w:val="Textonotapie"/>
        <w:spacing w:before="120" w:after="120"/>
        <w:ind w:firstLine="708"/>
        <w:jc w:val="both"/>
        <w:rPr>
          <w:rFonts w:ascii="Century Gothic" w:hAnsi="Century Gothic" w:cs="Arial"/>
          <w:color w:val="000000" w:themeColor="text1"/>
          <w:sz w:val="14"/>
          <w:szCs w:val="14"/>
        </w:rPr>
      </w:pPr>
    </w:p>
  </w:footnote>
  <w:footnote w:id="11">
    <w:p w14:paraId="1113797B" w14:textId="77777777" w:rsidR="002D0890" w:rsidRPr="00812014" w:rsidRDefault="002D0890" w:rsidP="002D0890">
      <w:pPr>
        <w:pStyle w:val="Textonotapie"/>
        <w:spacing w:before="120"/>
        <w:ind w:firstLine="708"/>
        <w:jc w:val="both"/>
        <w:rPr>
          <w:rFonts w:ascii="Century Gothic" w:hAnsi="Century Gothic" w:cs="Arial"/>
          <w:color w:val="000000" w:themeColor="text1"/>
          <w:sz w:val="14"/>
          <w:szCs w:val="14"/>
        </w:rPr>
      </w:pPr>
      <w:r w:rsidRPr="00812014">
        <w:rPr>
          <w:rStyle w:val="Refdenotaalpie"/>
          <w:rFonts w:ascii="Century Gothic" w:hAnsi="Century Gothic" w:cs="Arial"/>
          <w:color w:val="000000" w:themeColor="text1"/>
          <w:sz w:val="14"/>
          <w:szCs w:val="14"/>
        </w:rPr>
        <w:footnoteRef/>
      </w:r>
      <w:r w:rsidRPr="00812014">
        <w:rPr>
          <w:rFonts w:ascii="Century Gothic" w:hAnsi="Century Gothic" w:cs="Arial"/>
          <w:color w:val="000000" w:themeColor="text1"/>
          <w:sz w:val="14"/>
          <w:szCs w:val="14"/>
        </w:rPr>
        <w:t xml:space="preserve"> Consejo de Estado. Sección Tercera. Sentencia del 28 de febrero de 2013. Exp. 24.266 M.P. Danilo Rojas Betancourth.</w:t>
      </w:r>
    </w:p>
    <w:p w14:paraId="332830DC" w14:textId="77777777" w:rsidR="002D0890" w:rsidRPr="00812014" w:rsidRDefault="002D0890" w:rsidP="002D0890">
      <w:pPr>
        <w:pStyle w:val="Textonotapie"/>
        <w:ind w:firstLine="708"/>
        <w:jc w:val="both"/>
        <w:rPr>
          <w:rFonts w:ascii="Century Gothic" w:hAnsi="Century Gothic" w:cs="Arial"/>
          <w:color w:val="000000" w:themeColor="text1"/>
          <w:sz w:val="14"/>
          <w:szCs w:val="14"/>
        </w:rPr>
      </w:pPr>
    </w:p>
  </w:footnote>
  <w:footnote w:id="12">
    <w:p w14:paraId="27E74536" w14:textId="77777777" w:rsidR="002D0890" w:rsidRPr="00812014" w:rsidRDefault="002D0890" w:rsidP="002D0890">
      <w:pPr>
        <w:pStyle w:val="Textonotapie"/>
        <w:spacing w:before="120"/>
        <w:ind w:firstLine="708"/>
        <w:jc w:val="both"/>
        <w:rPr>
          <w:rFonts w:ascii="Century Gothic" w:hAnsi="Century Gothic" w:cs="Arial"/>
          <w:color w:val="000000" w:themeColor="text1"/>
          <w:sz w:val="14"/>
          <w:szCs w:val="14"/>
        </w:rPr>
      </w:pPr>
      <w:r w:rsidRPr="00812014">
        <w:rPr>
          <w:rStyle w:val="Refdenotaalpie"/>
          <w:rFonts w:ascii="Century Gothic" w:hAnsi="Century Gothic" w:cs="Arial"/>
          <w:color w:val="000000" w:themeColor="text1"/>
          <w:sz w:val="14"/>
          <w:szCs w:val="14"/>
        </w:rPr>
        <w:footnoteRef/>
      </w:r>
      <w:r w:rsidRPr="00812014">
        <w:rPr>
          <w:rFonts w:ascii="Century Gothic" w:hAnsi="Century Gothic" w:cs="Arial"/>
          <w:color w:val="000000" w:themeColor="text1"/>
          <w:sz w:val="14"/>
          <w:szCs w:val="14"/>
        </w:rPr>
        <w:t xml:space="preserve"> Consejo de Estado, Sección Tercera. Sentencia del 8 de marzo de 1996, expediente n.° 8070, C.P. Jesús María Carrillo: “el interventor carece de facultades para exigir del contratante un supuesto derecho a prórrogas, como queriendo hacer valer el contrato de interventoría como un contrato accesorio del contrato de obra, y con esa perspectiva alegar que por la sola naturaleza accesoria "debe" obtener la misma suerte que la del contrato principal”. Consejo de Estado, Sala de lo Contencioso Administrativo, Sección Tercera, sentencia del 13 de septiembre de 1991, expediente n°. 5127, C.P. Carlos Betancur: “Debe distinguirse entre el contrato de obra pública y el de interventoría, pues el incumplimiento del contratista de obra no puede imputarse al del interventor como si éste fuera obligado a la ejecución de la obra”.  </w:t>
      </w:r>
    </w:p>
  </w:footnote>
  <w:footnote w:id="13">
    <w:p w14:paraId="6E56E18F" w14:textId="77777777" w:rsidR="002D0890" w:rsidRPr="00812014" w:rsidRDefault="002D0890" w:rsidP="002D0890">
      <w:pPr>
        <w:pStyle w:val="Textonotapie"/>
        <w:spacing w:before="120" w:after="120"/>
        <w:ind w:firstLine="708"/>
        <w:jc w:val="both"/>
        <w:rPr>
          <w:rFonts w:ascii="Century Gothic" w:hAnsi="Century Gothic" w:cs="Arial"/>
          <w:color w:val="000000" w:themeColor="text1"/>
          <w:sz w:val="14"/>
          <w:szCs w:val="14"/>
        </w:rPr>
      </w:pPr>
      <w:r w:rsidRPr="00812014">
        <w:rPr>
          <w:rStyle w:val="Refdenotaalpie"/>
          <w:rFonts w:ascii="Century Gothic" w:hAnsi="Century Gothic" w:cs="Arial"/>
          <w:color w:val="000000" w:themeColor="text1"/>
          <w:sz w:val="14"/>
          <w:szCs w:val="14"/>
        </w:rPr>
        <w:footnoteRef/>
      </w:r>
      <w:r>
        <w:rPr>
          <w:rFonts w:ascii="Century Gothic" w:hAnsi="Century Gothic" w:cs="Arial"/>
          <w:color w:val="000000" w:themeColor="text1"/>
          <w:sz w:val="14"/>
          <w:szCs w:val="14"/>
        </w:rPr>
        <w:t xml:space="preserve"> </w:t>
      </w:r>
      <w:r w:rsidRPr="00812014">
        <w:rPr>
          <w:rFonts w:ascii="Century Gothic" w:hAnsi="Century Gothic" w:cs="Arial"/>
          <w:color w:val="000000" w:themeColor="text1"/>
          <w:sz w:val="14"/>
          <w:szCs w:val="14"/>
        </w:rPr>
        <w:t xml:space="preserve">SANCHEZ CALVO, John Gilberto. La liquidación. Análisis del contrato de interventoría desde la visión de la jurisprudencia colombiana. Disponible en el siguiente enlace: </w:t>
      </w:r>
      <w:hyperlink r:id="rId3" w:history="1">
        <w:r w:rsidRPr="00812014">
          <w:rPr>
            <w:rStyle w:val="Hipervnculo"/>
            <w:rFonts w:ascii="Century Gothic" w:hAnsi="Century Gothic" w:cs="Arial"/>
            <w:color w:val="000000" w:themeColor="text1"/>
            <w:sz w:val="14"/>
            <w:szCs w:val="14"/>
          </w:rPr>
          <w:t>https://revistas.usergioarboleda.edu.co/index.php/Cuadernos/article/download/1008/844/3102</w:t>
        </w:r>
      </w:hyperlink>
      <w:r w:rsidRPr="00812014">
        <w:rPr>
          <w:rFonts w:ascii="Century Gothic" w:hAnsi="Century Gothic" w:cs="Arial"/>
          <w:color w:val="000000" w:themeColor="text1"/>
          <w:sz w:val="14"/>
          <w:szCs w:val="14"/>
        </w:rPr>
        <w:t xml:space="preserve"> </w:t>
      </w:r>
    </w:p>
  </w:footnote>
  <w:footnote w:id="14">
    <w:p w14:paraId="16182CF4" w14:textId="77777777" w:rsidR="002D0890" w:rsidRPr="00B03D83" w:rsidRDefault="002D0890" w:rsidP="002D0890">
      <w:pPr>
        <w:pStyle w:val="Textonotapie"/>
        <w:ind w:firstLine="708"/>
        <w:jc w:val="both"/>
        <w:rPr>
          <w:rFonts w:ascii="Century Gothic" w:hAnsi="Century Gothic"/>
          <w:sz w:val="14"/>
          <w:szCs w:val="14"/>
          <w:lang w:val="es-CO"/>
        </w:rPr>
      </w:pPr>
      <w:r w:rsidRPr="00B03D83">
        <w:rPr>
          <w:rStyle w:val="Refdenotaalpie"/>
          <w:rFonts w:ascii="Century Gothic" w:hAnsi="Century Gothic"/>
          <w:sz w:val="14"/>
          <w:szCs w:val="14"/>
        </w:rPr>
        <w:footnoteRef/>
      </w:r>
      <w:r w:rsidRPr="00B03D83">
        <w:rPr>
          <w:rFonts w:ascii="Century Gothic" w:hAnsi="Century Gothic"/>
          <w:sz w:val="14"/>
          <w:szCs w:val="14"/>
        </w:rPr>
        <w:t xml:space="preserve"> Consejo de Estado -Sala de lo Contencioso Administrativo -Sección Tercera, Subsección A-. Radicación Número 76001-23-31-000-1999-02622-01 (24996). 13 de febrero de 2013.</w:t>
      </w:r>
    </w:p>
  </w:footnote>
  <w:footnote w:id="15">
    <w:p w14:paraId="388145D0" w14:textId="77777777" w:rsidR="002D0890" w:rsidRPr="003E0139" w:rsidRDefault="002D0890" w:rsidP="002D0890">
      <w:pPr>
        <w:pStyle w:val="Textonotapie"/>
        <w:ind w:firstLine="709"/>
        <w:jc w:val="both"/>
        <w:rPr>
          <w:rFonts w:ascii="Century Gothic" w:hAnsi="Century Gothic" w:cs="Arial"/>
          <w:color w:val="000000" w:themeColor="text1"/>
          <w:sz w:val="14"/>
          <w:szCs w:val="14"/>
        </w:rPr>
      </w:pPr>
      <w:r w:rsidRPr="003E0139">
        <w:rPr>
          <w:rStyle w:val="Refdenotaalpie"/>
          <w:rFonts w:ascii="Century Gothic" w:hAnsi="Century Gothic" w:cs="Arial"/>
          <w:sz w:val="14"/>
          <w:szCs w:val="14"/>
        </w:rPr>
        <w:footnoteRef/>
      </w:r>
      <w:r w:rsidRPr="003E0139">
        <w:rPr>
          <w:rFonts w:ascii="Century Gothic" w:hAnsi="Century Gothic" w:cs="Arial"/>
          <w:color w:val="000000" w:themeColor="text1"/>
          <w:sz w:val="14"/>
          <w:szCs w:val="14"/>
          <w:vertAlign w:val="superscript"/>
        </w:rPr>
        <w:t xml:space="preserve"> </w:t>
      </w:r>
      <w:r w:rsidRPr="003E0139">
        <w:rPr>
          <w:rFonts w:ascii="Century Gothic" w:hAnsi="Century Gothic" w:cs="Arial"/>
          <w:color w:val="000000" w:themeColor="text1"/>
          <w:sz w:val="14"/>
          <w:szCs w:val="14"/>
        </w:rPr>
        <w:t>CONSEJO DE ESTADO. Sección Tercera. Sentencia del 13 de noviembre de 2008. Exp. 17.009. C.P. Enrique Gil Botero.</w:t>
      </w:r>
    </w:p>
    <w:p w14:paraId="526006BE" w14:textId="77777777" w:rsidR="002D0890" w:rsidRPr="003E0139" w:rsidRDefault="002D0890" w:rsidP="002D0890">
      <w:pPr>
        <w:pStyle w:val="Textonotapie"/>
        <w:ind w:firstLine="709"/>
        <w:jc w:val="both"/>
        <w:rPr>
          <w:rFonts w:ascii="Century Gothic" w:hAnsi="Century Gothic" w:cs="Arial"/>
          <w:color w:val="000000" w:themeColor="text1"/>
          <w:sz w:val="14"/>
          <w:szCs w:val="14"/>
        </w:rPr>
      </w:pPr>
    </w:p>
  </w:footnote>
  <w:footnote w:id="16">
    <w:p w14:paraId="48EF7A1E" w14:textId="77777777" w:rsidR="002D0890" w:rsidRPr="003E0139" w:rsidRDefault="002D0890" w:rsidP="002D0890">
      <w:pPr>
        <w:pStyle w:val="Textonotapie"/>
        <w:ind w:firstLine="709"/>
        <w:jc w:val="both"/>
        <w:rPr>
          <w:rFonts w:ascii="Century Gothic" w:hAnsi="Century Gothic" w:cs="Arial"/>
          <w:sz w:val="14"/>
          <w:szCs w:val="14"/>
        </w:rPr>
      </w:pPr>
      <w:r w:rsidRPr="003E0139">
        <w:rPr>
          <w:rStyle w:val="Refdenotaalpie"/>
          <w:rFonts w:ascii="Century Gothic" w:hAnsi="Century Gothic" w:cs="Arial"/>
          <w:sz w:val="14"/>
          <w:szCs w:val="14"/>
        </w:rPr>
        <w:footnoteRef/>
      </w:r>
      <w:r w:rsidRPr="003E0139">
        <w:rPr>
          <w:rFonts w:ascii="Century Gothic" w:hAnsi="Century Gothic" w:cs="Arial"/>
          <w:sz w:val="14"/>
          <w:szCs w:val="14"/>
        </w:rPr>
        <w:t xml:space="preserve"> Ibídem.</w:t>
      </w:r>
    </w:p>
  </w:footnote>
  <w:footnote w:id="17">
    <w:p w14:paraId="262CBB99" w14:textId="77777777" w:rsidR="002D0890" w:rsidRPr="003E0139" w:rsidRDefault="002D0890" w:rsidP="002D0890">
      <w:pPr>
        <w:pStyle w:val="Textonotapie"/>
        <w:ind w:firstLine="709"/>
        <w:contextualSpacing/>
        <w:jc w:val="both"/>
        <w:rPr>
          <w:rFonts w:ascii="Century Gothic" w:hAnsi="Century Gothic" w:cs="Arial"/>
          <w:sz w:val="14"/>
          <w:szCs w:val="14"/>
        </w:rPr>
      </w:pPr>
      <w:r w:rsidRPr="003E0139">
        <w:rPr>
          <w:rStyle w:val="Refdenotaalpie"/>
          <w:rFonts w:ascii="Century Gothic" w:hAnsi="Century Gothic" w:cs="Arial"/>
          <w:sz w:val="14"/>
          <w:szCs w:val="14"/>
        </w:rPr>
        <w:footnoteRef/>
      </w:r>
      <w:r w:rsidRPr="003E0139">
        <w:rPr>
          <w:rFonts w:ascii="Century Gothic" w:hAnsi="Century Gothic" w:cs="Arial"/>
          <w:sz w:val="14"/>
          <w:szCs w:val="14"/>
        </w:rPr>
        <w:t xml:space="preserve"> Corte Constitucional. Sentencia C-317 de 2012. M.P. María Victoria Calle Correa.</w:t>
      </w:r>
    </w:p>
    <w:p w14:paraId="1D25A93C" w14:textId="77777777" w:rsidR="002D0890" w:rsidRPr="003E0139" w:rsidRDefault="002D0890" w:rsidP="002D0890">
      <w:pPr>
        <w:pStyle w:val="Textonotapie"/>
        <w:ind w:firstLine="709"/>
        <w:contextualSpacing/>
        <w:jc w:val="both"/>
        <w:rPr>
          <w:rFonts w:ascii="Century Gothic" w:hAnsi="Century Gothic" w:cs="Arial"/>
          <w:sz w:val="14"/>
          <w:szCs w:val="14"/>
        </w:rPr>
      </w:pPr>
    </w:p>
  </w:footnote>
  <w:footnote w:id="18">
    <w:p w14:paraId="48DA35AB" w14:textId="77777777" w:rsidR="002D0890" w:rsidRPr="003E0139" w:rsidRDefault="002D0890" w:rsidP="002D0890">
      <w:pPr>
        <w:pStyle w:val="Textonotapie"/>
        <w:ind w:firstLine="709"/>
        <w:contextualSpacing/>
        <w:jc w:val="both"/>
        <w:rPr>
          <w:rFonts w:ascii="Century Gothic" w:hAnsi="Century Gothic" w:cs="Arial"/>
          <w:sz w:val="14"/>
          <w:szCs w:val="14"/>
        </w:rPr>
      </w:pPr>
      <w:r w:rsidRPr="003E0139">
        <w:rPr>
          <w:rStyle w:val="Refdenotaalpie"/>
          <w:rFonts w:ascii="Century Gothic" w:hAnsi="Century Gothic" w:cs="Arial"/>
          <w:sz w:val="14"/>
          <w:szCs w:val="14"/>
        </w:rPr>
        <w:footnoteRef/>
      </w:r>
      <w:r w:rsidRPr="003E0139">
        <w:rPr>
          <w:rFonts w:ascii="Century Gothic" w:hAnsi="Century Gothic" w:cs="Arial"/>
          <w:sz w:val="14"/>
          <w:szCs w:val="14"/>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7649B6E9" w14:textId="77777777" w:rsidR="002D0890" w:rsidRPr="003E0139" w:rsidRDefault="002D0890" w:rsidP="002D0890">
      <w:pPr>
        <w:pStyle w:val="Textonotapie"/>
        <w:ind w:firstLine="709"/>
        <w:contextualSpacing/>
        <w:jc w:val="both"/>
        <w:rPr>
          <w:rFonts w:ascii="Century Gothic" w:hAnsi="Century Gothic" w:cs="Arial"/>
          <w:sz w:val="14"/>
          <w:szCs w:val="14"/>
        </w:rPr>
      </w:pPr>
    </w:p>
  </w:footnote>
  <w:footnote w:id="19">
    <w:p w14:paraId="04FB0807" w14:textId="77777777" w:rsidR="002D0890" w:rsidRPr="003E0139" w:rsidRDefault="002D0890" w:rsidP="002D0890">
      <w:pPr>
        <w:pStyle w:val="Textonotapie"/>
        <w:ind w:firstLine="709"/>
        <w:contextualSpacing/>
        <w:jc w:val="both"/>
        <w:rPr>
          <w:rFonts w:ascii="Century Gothic" w:hAnsi="Century Gothic" w:cs="Arial"/>
          <w:sz w:val="14"/>
          <w:szCs w:val="14"/>
        </w:rPr>
      </w:pPr>
      <w:r w:rsidRPr="003E0139">
        <w:rPr>
          <w:rStyle w:val="Refdenotaalpie"/>
          <w:rFonts w:ascii="Century Gothic" w:hAnsi="Century Gothic" w:cs="Arial"/>
          <w:sz w:val="14"/>
          <w:szCs w:val="14"/>
        </w:rPr>
        <w:footnoteRef/>
      </w:r>
      <w:r w:rsidRPr="003E0139">
        <w:rPr>
          <w:rFonts w:ascii="Century Gothic" w:hAnsi="Century Gothic" w:cs="Arial"/>
          <w:sz w:val="14"/>
          <w:szCs w:val="14"/>
        </w:rPr>
        <w:t xml:space="preserve"> Se entiende por entidades de </w:t>
      </w:r>
      <w:r w:rsidRPr="003E0139">
        <w:rPr>
          <w:rFonts w:ascii="Century Gothic" w:hAnsi="Century Gothic" w:cs="Arial"/>
          <w:i/>
          <w:iCs/>
          <w:sz w:val="14"/>
          <w:szCs w:val="14"/>
        </w:rPr>
        <w:t xml:space="preserve">régimen especial </w:t>
      </w:r>
      <w:r w:rsidRPr="003E0139">
        <w:rPr>
          <w:rFonts w:ascii="Century Gothic" w:hAnsi="Century Gothic" w:cs="Arial"/>
          <w:sz w:val="14"/>
          <w:szCs w:val="14"/>
        </w:rPr>
        <w:t>aquellas que tienen un régimen contractual distinto al Estatuto General de Contratación de la Administración Pública, y que por regla general se rigen por el derecho privado.</w:t>
      </w:r>
    </w:p>
    <w:p w14:paraId="2D6F9FEE" w14:textId="77777777" w:rsidR="002D0890" w:rsidRPr="003E0139" w:rsidRDefault="002D0890" w:rsidP="002D0890">
      <w:pPr>
        <w:pStyle w:val="Textonotapie"/>
        <w:ind w:firstLine="709"/>
        <w:contextualSpacing/>
        <w:jc w:val="both"/>
        <w:rPr>
          <w:rFonts w:ascii="Century Gothic" w:hAnsi="Century Gothic" w:cs="Arial"/>
          <w:sz w:val="14"/>
          <w:szCs w:val="14"/>
          <w:lang w:val="es-CO"/>
        </w:rPr>
      </w:pPr>
    </w:p>
  </w:footnote>
  <w:footnote w:id="20">
    <w:p w14:paraId="2E572775" w14:textId="77777777" w:rsidR="002D0890" w:rsidRPr="003E0139" w:rsidRDefault="002D0890" w:rsidP="002D0890">
      <w:pPr>
        <w:pStyle w:val="Textonotapie"/>
        <w:ind w:firstLine="709"/>
        <w:contextualSpacing/>
        <w:jc w:val="both"/>
        <w:rPr>
          <w:rFonts w:ascii="Century Gothic" w:hAnsi="Century Gothic" w:cs="Arial"/>
          <w:sz w:val="14"/>
          <w:szCs w:val="14"/>
          <w:lang w:val="es-CO"/>
        </w:rPr>
      </w:pPr>
      <w:r w:rsidRPr="003E0139">
        <w:rPr>
          <w:rStyle w:val="Refdenotaalpie"/>
          <w:rFonts w:ascii="Century Gothic" w:hAnsi="Century Gothic" w:cs="Arial"/>
          <w:sz w:val="14"/>
          <w:szCs w:val="14"/>
        </w:rPr>
        <w:footnoteRef/>
      </w:r>
      <w:r w:rsidRPr="003E0139">
        <w:rPr>
          <w:rFonts w:ascii="Century Gothic" w:hAnsi="Century Gothic" w:cs="Arial"/>
          <w:sz w:val="14"/>
          <w:szCs w:val="14"/>
        </w:rPr>
        <w:t xml:space="preserve"> Esto se ha señalado en distintos conceptos de esta Subdirección, como el C-219 del 29 de abril de 2020, el C-280 del 6 de julio de 2020 y el C–434 del 29 de julio de 2020.</w:t>
      </w:r>
    </w:p>
  </w:footnote>
  <w:footnote w:id="21">
    <w:p w14:paraId="60917D9B" w14:textId="77777777" w:rsidR="002D0890" w:rsidRPr="003E0139" w:rsidRDefault="002D0890" w:rsidP="002D0890">
      <w:pPr>
        <w:pStyle w:val="Textonotapie"/>
        <w:ind w:firstLine="709"/>
        <w:contextualSpacing/>
        <w:jc w:val="both"/>
        <w:rPr>
          <w:rFonts w:ascii="Century Gothic" w:hAnsi="Century Gothic" w:cs="Arial"/>
          <w:sz w:val="14"/>
          <w:szCs w:val="14"/>
        </w:rPr>
      </w:pPr>
      <w:r w:rsidRPr="003E0139">
        <w:rPr>
          <w:rStyle w:val="Refdenotaalpie"/>
          <w:rFonts w:ascii="Century Gothic" w:hAnsi="Century Gothic" w:cs="Arial"/>
          <w:sz w:val="14"/>
          <w:szCs w:val="14"/>
        </w:rPr>
        <w:footnoteRef/>
      </w:r>
      <w:r w:rsidRPr="003E0139">
        <w:rPr>
          <w:rFonts w:ascii="Century Gothic" w:hAnsi="Century Gothic" w:cs="Arial"/>
          <w:sz w:val="14"/>
          <w:szCs w:val="14"/>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488C95CC" w14:textId="77777777" w:rsidR="002D0890" w:rsidRPr="003E0139" w:rsidRDefault="002D0890" w:rsidP="002D0890">
      <w:pPr>
        <w:pStyle w:val="Textonotapie"/>
        <w:ind w:firstLine="709"/>
        <w:contextualSpacing/>
        <w:jc w:val="both"/>
        <w:rPr>
          <w:rFonts w:ascii="Century Gothic" w:hAnsi="Century Gothic" w:cs="Arial"/>
          <w:sz w:val="14"/>
          <w:szCs w:val="14"/>
        </w:rPr>
      </w:pPr>
    </w:p>
    <w:p w14:paraId="545BA1ED" w14:textId="77777777" w:rsidR="002D0890" w:rsidRPr="003E0139" w:rsidRDefault="002D0890" w:rsidP="002D0890">
      <w:pPr>
        <w:pStyle w:val="Textonotapie"/>
        <w:ind w:firstLine="709"/>
        <w:contextualSpacing/>
        <w:jc w:val="both"/>
        <w:rPr>
          <w:rFonts w:ascii="Century Gothic" w:hAnsi="Century Gothic" w:cs="Arial"/>
          <w:sz w:val="14"/>
          <w:szCs w:val="14"/>
        </w:rPr>
      </w:pPr>
      <w:r w:rsidRPr="003E0139">
        <w:rPr>
          <w:rFonts w:ascii="Century Gothic" w:hAnsi="Century Gothic" w:cs="Arial"/>
          <w:sz w:val="14"/>
          <w:szCs w:val="14"/>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5A5FF3BD" w14:textId="77777777" w:rsidR="002D0890" w:rsidRPr="003E0139" w:rsidRDefault="002D0890" w:rsidP="002D0890">
      <w:pPr>
        <w:pStyle w:val="Textonotapie"/>
        <w:ind w:firstLine="709"/>
        <w:contextualSpacing/>
        <w:jc w:val="both"/>
        <w:rPr>
          <w:rFonts w:ascii="Century Gothic" w:hAnsi="Century Gothic" w:cs="Arial"/>
          <w:sz w:val="14"/>
          <w:szCs w:val="14"/>
        </w:rPr>
      </w:pPr>
    </w:p>
    <w:p w14:paraId="2E16700E" w14:textId="77777777" w:rsidR="002D0890" w:rsidRPr="003E0139" w:rsidRDefault="002D0890" w:rsidP="002D0890">
      <w:pPr>
        <w:pStyle w:val="Textonotapie"/>
        <w:ind w:firstLine="709"/>
        <w:contextualSpacing/>
        <w:jc w:val="both"/>
        <w:rPr>
          <w:rFonts w:ascii="Century Gothic" w:hAnsi="Century Gothic" w:cs="Arial"/>
          <w:sz w:val="14"/>
          <w:szCs w:val="14"/>
        </w:rPr>
      </w:pPr>
      <w:r w:rsidRPr="003E0139">
        <w:rPr>
          <w:rFonts w:ascii="Century Gothic" w:hAnsi="Century Gothic" w:cs="Arial"/>
          <w:sz w:val="14"/>
          <w:szCs w:val="14"/>
        </w:rPr>
        <w:t>La entidad estatal debe elegir y garantizar los medios electrónicos y de comunicación que utilizará, así como los mecanismos para el registro de la Información generada.</w:t>
      </w:r>
    </w:p>
    <w:p w14:paraId="2DD58D1F" w14:textId="77777777" w:rsidR="002D0890" w:rsidRPr="003E0139" w:rsidRDefault="002D0890" w:rsidP="002D0890">
      <w:pPr>
        <w:pStyle w:val="Textonotapie"/>
        <w:ind w:firstLine="709"/>
        <w:contextualSpacing/>
        <w:jc w:val="both"/>
        <w:rPr>
          <w:rFonts w:ascii="Century Gothic" w:hAnsi="Century Gothic" w:cs="Arial"/>
          <w:sz w:val="14"/>
          <w:szCs w:val="14"/>
        </w:rPr>
      </w:pPr>
    </w:p>
    <w:p w14:paraId="7493B567" w14:textId="77777777" w:rsidR="002D0890" w:rsidRPr="003E0139" w:rsidRDefault="002D0890" w:rsidP="002D0890">
      <w:pPr>
        <w:pStyle w:val="Textonotapie"/>
        <w:ind w:firstLine="709"/>
        <w:contextualSpacing/>
        <w:jc w:val="both"/>
        <w:rPr>
          <w:rFonts w:ascii="Century Gothic" w:hAnsi="Century Gothic" w:cs="Arial"/>
          <w:sz w:val="14"/>
          <w:szCs w:val="14"/>
        </w:rPr>
      </w:pPr>
      <w:r w:rsidRPr="003E0139">
        <w:rPr>
          <w:rFonts w:ascii="Century Gothic" w:hAnsi="Century Gothic" w:cs="Arial"/>
          <w:sz w:val="14"/>
          <w:szCs w:val="14"/>
        </w:rPr>
        <w:t>Sin perjuicio de lo anterior, el ordenador del gasto o funcionario competente podrá decretar la suspensión de términos, inclusive los iniciados con anterioridad a la vigencia de este Decreto”.</w:t>
      </w:r>
    </w:p>
    <w:p w14:paraId="61A313C5" w14:textId="77777777" w:rsidR="002D0890" w:rsidRPr="003E0139" w:rsidRDefault="002D0890" w:rsidP="002D0890">
      <w:pPr>
        <w:pStyle w:val="Textonotapie"/>
        <w:ind w:firstLine="709"/>
        <w:contextualSpacing/>
        <w:jc w:val="both"/>
        <w:rPr>
          <w:rFonts w:ascii="Century Gothic" w:hAnsi="Century Gothic" w:cs="Arial"/>
          <w:sz w:val="14"/>
          <w:szCs w:val="14"/>
          <w:lang w:val="es-CO"/>
        </w:rPr>
      </w:pPr>
      <w:r w:rsidRPr="003E0139">
        <w:rPr>
          <w:rFonts w:ascii="Century Gothic" w:hAnsi="Century Gothic" w:cs="Arial"/>
          <w:sz w:val="14"/>
          <w:szCs w:val="14"/>
        </w:rPr>
        <w:t xml:space="preserve"> </w:t>
      </w:r>
    </w:p>
  </w:footnote>
  <w:footnote w:id="22">
    <w:p w14:paraId="483A6760" w14:textId="77777777" w:rsidR="002D0890" w:rsidRPr="003E0139" w:rsidRDefault="002D0890" w:rsidP="002D0890">
      <w:pPr>
        <w:pStyle w:val="Textonotapie"/>
        <w:ind w:firstLine="708"/>
        <w:jc w:val="both"/>
        <w:rPr>
          <w:rFonts w:ascii="Century Gothic" w:hAnsi="Century Gothic" w:cs="Arial"/>
          <w:sz w:val="14"/>
          <w:szCs w:val="14"/>
          <w:lang w:val="es-CO"/>
        </w:rPr>
      </w:pPr>
      <w:r w:rsidRPr="003E0139">
        <w:rPr>
          <w:rStyle w:val="Refdenotaalpie"/>
          <w:rFonts w:ascii="Century Gothic" w:hAnsi="Century Gothic" w:cs="Arial"/>
          <w:sz w:val="14"/>
          <w:szCs w:val="14"/>
        </w:rPr>
        <w:footnoteRef/>
      </w:r>
      <w:r w:rsidRPr="003E0139">
        <w:rPr>
          <w:rFonts w:ascii="Century Gothic" w:hAnsi="Century Gothic" w:cs="Arial"/>
          <w:sz w:val="14"/>
          <w:szCs w:val="14"/>
        </w:rPr>
        <w:t xml:space="preserve"> </w:t>
      </w:r>
      <w:r w:rsidRPr="003E0139">
        <w:rPr>
          <w:rFonts w:ascii="Century Gothic" w:hAnsi="Century Gothic" w:cs="Arial"/>
          <w:sz w:val="14"/>
          <w:szCs w:val="14"/>
          <w:lang w:val="es-CO"/>
        </w:rPr>
        <w:t>Corte Constitucional, sentencia de Unificación Jurisprudencial SU 339 del 4 de mayo de 2011. Magistrado ponente: Humberto Antonio Sierra Porto. Exp. T-2.735.401</w:t>
      </w:r>
    </w:p>
    <w:p w14:paraId="039C9C8E" w14:textId="77777777" w:rsidR="002D0890" w:rsidRPr="003E0139" w:rsidRDefault="002D0890" w:rsidP="002D0890">
      <w:pPr>
        <w:pStyle w:val="Textonotapie"/>
        <w:ind w:firstLine="708"/>
        <w:jc w:val="both"/>
        <w:rPr>
          <w:rFonts w:ascii="Century Gothic" w:hAnsi="Century Gothic" w:cs="Arial"/>
          <w:sz w:val="14"/>
          <w:szCs w:val="14"/>
          <w:lang w:val="es-CO"/>
        </w:rPr>
      </w:pPr>
    </w:p>
  </w:footnote>
  <w:footnote w:id="23">
    <w:p w14:paraId="2A2E9C6C" w14:textId="77777777" w:rsidR="002D0890" w:rsidRPr="00414E11" w:rsidRDefault="002D0890" w:rsidP="002D0890">
      <w:pPr>
        <w:pStyle w:val="Textonotapie"/>
        <w:ind w:firstLine="708"/>
        <w:jc w:val="both"/>
        <w:rPr>
          <w:rFonts w:ascii="Century Gothic" w:hAnsi="Century Gothic" w:cs="Arial"/>
          <w:sz w:val="14"/>
          <w:szCs w:val="14"/>
          <w:lang w:val="es-ES"/>
        </w:rPr>
      </w:pPr>
      <w:r w:rsidRPr="00414E11">
        <w:rPr>
          <w:rStyle w:val="Refdenotaalpie"/>
          <w:rFonts w:ascii="Century Gothic" w:hAnsi="Century Gothic" w:cs="Arial"/>
          <w:sz w:val="14"/>
          <w:szCs w:val="14"/>
        </w:rPr>
        <w:footnoteRef/>
      </w:r>
      <w:r w:rsidRPr="00414E11">
        <w:rPr>
          <w:rFonts w:ascii="Century Gothic" w:hAnsi="Century Gothic" w:cs="Arial"/>
          <w:sz w:val="14"/>
          <w:szCs w:val="14"/>
        </w:rPr>
        <w:t xml:space="preserve"> </w:t>
      </w:r>
      <w:r w:rsidRPr="00414E11">
        <w:rPr>
          <w:rFonts w:ascii="Century Gothic" w:eastAsia="Calibri" w:hAnsi="Century Gothic" w:cs="Arial"/>
          <w:sz w:val="14"/>
          <w:szCs w:val="14"/>
          <w:lang w:val="es-ES_tradnl"/>
        </w:rPr>
        <w:t>CONSEJO DE ESTADO. Sección Tercera. Auto del 13 de septiembre de 1999. Rad. 10.264. C.P. Ricardo Hoyos Duque. No en vano, explica lo siguiente: “[…] cuando el contratista de la administración no cumple dentro del plazo establecido en el contrato, es precisamente el vencimiento del plazo el que pone en evidencia su incumplimiento y es este el momento en el que la administración debe calificar la responsabilidad que le incumbe al contratista, de manera que si lo fue por motivos únicamente imputables a él que no encuentran justificación, debe sancionar su incumplimiento”.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2167858">
    <w:abstractNumId w:val="6"/>
  </w:num>
  <w:num w:numId="2" w16cid:durableId="1322386888">
    <w:abstractNumId w:val="2"/>
  </w:num>
  <w:num w:numId="3" w16cid:durableId="1933778762">
    <w:abstractNumId w:val="4"/>
  </w:num>
  <w:num w:numId="4" w16cid:durableId="2408697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4370265">
    <w:abstractNumId w:val="2"/>
  </w:num>
  <w:num w:numId="6" w16cid:durableId="340553271">
    <w:abstractNumId w:val="12"/>
  </w:num>
  <w:num w:numId="7" w16cid:durableId="2009861857">
    <w:abstractNumId w:val="5"/>
  </w:num>
  <w:num w:numId="8" w16cid:durableId="1177159929">
    <w:abstractNumId w:val="11"/>
  </w:num>
  <w:num w:numId="9" w16cid:durableId="1585725078">
    <w:abstractNumId w:val="7"/>
  </w:num>
  <w:num w:numId="10" w16cid:durableId="1876766868">
    <w:abstractNumId w:val="10"/>
  </w:num>
  <w:num w:numId="11" w16cid:durableId="1057321620">
    <w:abstractNumId w:val="8"/>
  </w:num>
  <w:num w:numId="12" w16cid:durableId="908271437">
    <w:abstractNumId w:val="1"/>
  </w:num>
  <w:num w:numId="13" w16cid:durableId="1901280928">
    <w:abstractNumId w:val="3"/>
  </w:num>
  <w:num w:numId="14" w16cid:durableId="993337922">
    <w:abstractNumId w:val="13"/>
  </w:num>
  <w:num w:numId="15" w16cid:durableId="1181889613">
    <w:abstractNumId w:val="9"/>
  </w:num>
  <w:num w:numId="16" w16cid:durableId="391927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21F2F"/>
    <w:rsid w:val="00061B2A"/>
    <w:rsid w:val="00080A55"/>
    <w:rsid w:val="00082362"/>
    <w:rsid w:val="000A683E"/>
    <w:rsid w:val="000B19B9"/>
    <w:rsid w:val="000D0334"/>
    <w:rsid w:val="000F6486"/>
    <w:rsid w:val="00125105"/>
    <w:rsid w:val="00127233"/>
    <w:rsid w:val="00173DEB"/>
    <w:rsid w:val="001E4177"/>
    <w:rsid w:val="001F224B"/>
    <w:rsid w:val="001F7DC6"/>
    <w:rsid w:val="002421BB"/>
    <w:rsid w:val="00265D99"/>
    <w:rsid w:val="002707A2"/>
    <w:rsid w:val="002951A0"/>
    <w:rsid w:val="002962BC"/>
    <w:rsid w:val="002A093D"/>
    <w:rsid w:val="002A0DD0"/>
    <w:rsid w:val="002A49AC"/>
    <w:rsid w:val="002A64FD"/>
    <w:rsid w:val="002C7A84"/>
    <w:rsid w:val="002D0890"/>
    <w:rsid w:val="002E4FD9"/>
    <w:rsid w:val="00322A85"/>
    <w:rsid w:val="003448F4"/>
    <w:rsid w:val="00374F5E"/>
    <w:rsid w:val="00377E3E"/>
    <w:rsid w:val="003A779E"/>
    <w:rsid w:val="003D0F4D"/>
    <w:rsid w:val="003D5B0D"/>
    <w:rsid w:val="003E0499"/>
    <w:rsid w:val="003E1F8D"/>
    <w:rsid w:val="003F3941"/>
    <w:rsid w:val="00406575"/>
    <w:rsid w:val="0042722E"/>
    <w:rsid w:val="004A1847"/>
    <w:rsid w:val="004A305D"/>
    <w:rsid w:val="004F21C4"/>
    <w:rsid w:val="004F685F"/>
    <w:rsid w:val="005566E8"/>
    <w:rsid w:val="00574867"/>
    <w:rsid w:val="00591460"/>
    <w:rsid w:val="005A2340"/>
    <w:rsid w:val="005C3777"/>
    <w:rsid w:val="005C5CDC"/>
    <w:rsid w:val="005D476C"/>
    <w:rsid w:val="006219F8"/>
    <w:rsid w:val="00665D70"/>
    <w:rsid w:val="006900D9"/>
    <w:rsid w:val="00706C16"/>
    <w:rsid w:val="007114B8"/>
    <w:rsid w:val="00756841"/>
    <w:rsid w:val="007649AB"/>
    <w:rsid w:val="00771D0C"/>
    <w:rsid w:val="007833AC"/>
    <w:rsid w:val="007845D3"/>
    <w:rsid w:val="007B268C"/>
    <w:rsid w:val="007B7171"/>
    <w:rsid w:val="007C3DC2"/>
    <w:rsid w:val="007E12AE"/>
    <w:rsid w:val="007E5497"/>
    <w:rsid w:val="007E5F08"/>
    <w:rsid w:val="00806F5F"/>
    <w:rsid w:val="00820278"/>
    <w:rsid w:val="008266D4"/>
    <w:rsid w:val="008843B6"/>
    <w:rsid w:val="00891928"/>
    <w:rsid w:val="008A446D"/>
    <w:rsid w:val="008D180B"/>
    <w:rsid w:val="008F0EA7"/>
    <w:rsid w:val="00923EEF"/>
    <w:rsid w:val="009419F9"/>
    <w:rsid w:val="00960818"/>
    <w:rsid w:val="00961B09"/>
    <w:rsid w:val="00965334"/>
    <w:rsid w:val="0097093E"/>
    <w:rsid w:val="009A4245"/>
    <w:rsid w:val="009A6976"/>
    <w:rsid w:val="009C71FA"/>
    <w:rsid w:val="009C72E7"/>
    <w:rsid w:val="009F3A13"/>
    <w:rsid w:val="00A122D3"/>
    <w:rsid w:val="00A17F13"/>
    <w:rsid w:val="00A20739"/>
    <w:rsid w:val="00A31BE6"/>
    <w:rsid w:val="00A33C78"/>
    <w:rsid w:val="00A4163A"/>
    <w:rsid w:val="00A81047"/>
    <w:rsid w:val="00AB02C6"/>
    <w:rsid w:val="00AB0ADB"/>
    <w:rsid w:val="00AC0945"/>
    <w:rsid w:val="00B61114"/>
    <w:rsid w:val="00B72CD3"/>
    <w:rsid w:val="00B72FFF"/>
    <w:rsid w:val="00BC3D36"/>
    <w:rsid w:val="00BD7F72"/>
    <w:rsid w:val="00C04FB3"/>
    <w:rsid w:val="00C330EB"/>
    <w:rsid w:val="00C633A0"/>
    <w:rsid w:val="00C754BE"/>
    <w:rsid w:val="00C76B1C"/>
    <w:rsid w:val="00C87C5A"/>
    <w:rsid w:val="00CB0A08"/>
    <w:rsid w:val="00CB1A1C"/>
    <w:rsid w:val="00CB6357"/>
    <w:rsid w:val="00CC1B26"/>
    <w:rsid w:val="00D423A2"/>
    <w:rsid w:val="00D43266"/>
    <w:rsid w:val="00D53065"/>
    <w:rsid w:val="00D63AC2"/>
    <w:rsid w:val="00D7383B"/>
    <w:rsid w:val="00DA231B"/>
    <w:rsid w:val="00DF5254"/>
    <w:rsid w:val="00E16408"/>
    <w:rsid w:val="00E20894"/>
    <w:rsid w:val="00E245AB"/>
    <w:rsid w:val="00E2764C"/>
    <w:rsid w:val="00E27F2E"/>
    <w:rsid w:val="00E50AFE"/>
    <w:rsid w:val="00E611FC"/>
    <w:rsid w:val="00E771DC"/>
    <w:rsid w:val="00E8772A"/>
    <w:rsid w:val="00E90F6B"/>
    <w:rsid w:val="00E92C27"/>
    <w:rsid w:val="00E97D30"/>
    <w:rsid w:val="00EA0E3D"/>
    <w:rsid w:val="00EE1AA8"/>
    <w:rsid w:val="00F31EDC"/>
    <w:rsid w:val="00F462B3"/>
    <w:rsid w:val="00F5664F"/>
    <w:rsid w:val="00F666C4"/>
    <w:rsid w:val="00F76AFC"/>
    <w:rsid w:val="00FB5DD1"/>
    <w:rsid w:val="00FC2B5D"/>
    <w:rsid w:val="00FF1449"/>
    <w:rsid w:val="0BD449C4"/>
    <w:rsid w:val="25AC1D96"/>
    <w:rsid w:val="768B8FC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D089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revistas.usergioarboleda.edu.co/index.php/Cuadernos/article/download/1008/844/3102" TargetMode="External"/><Relationship Id="rId2" Type="http://schemas.openxmlformats.org/officeDocument/2006/relationships/hyperlink" Target="about:blank"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Diego Andres Zambrano Perez</DisplayName>
        <AccountId>661</AccountId>
        <AccountType/>
      </UserInfo>
      <UserInfo>
        <DisplayName>Alejandro Sarmiento</DisplayName>
        <AccountId>119</AccountId>
        <AccountType/>
      </UserInfo>
      <UserInfo>
        <DisplayName>Nohelia Del Carmen Zawady Palacio</DisplayName>
        <AccountId>289</AccountId>
        <AccountType/>
      </UserInfo>
    </SharedWithUsers>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03192bf5-533c-4092-b85d-ca07e08abf8d"/>
    <ds:schemaRef ds:uri="http://schemas.microsoft.com/office/2006/metadata/properties"/>
    <ds:schemaRef ds:uri="http://purl.org/dc/dcmitype/"/>
    <ds:schemaRef ds:uri="http://www.w3.org/XML/1998/namespace"/>
    <ds:schemaRef ds:uri="http://purl.org/dc/elements/1.1/"/>
    <ds:schemaRef ds:uri="http://schemas.microsoft.com/office/infopath/2007/PartnerControls"/>
    <ds:schemaRef ds:uri="http://schemas.openxmlformats.org/package/2006/metadata/core-properties"/>
    <ds:schemaRef ds:uri="8ae15d26-076e-464e-81a7-6f76a0fb3917"/>
    <ds:schemaRef ds:uri="http://purl.org/dc/term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CCFC308-417E-47E4-9DB4-0A064B78C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9128</Words>
  <Characters>50210</Characters>
  <Application>Microsoft Office Word</Application>
  <DocSecurity>0</DocSecurity>
  <Lines>418</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4</cp:revision>
  <cp:lastPrinted>2023-01-10T21:18:00Z</cp:lastPrinted>
  <dcterms:created xsi:type="dcterms:W3CDTF">2023-11-28T00:40:00Z</dcterms:created>
  <dcterms:modified xsi:type="dcterms:W3CDTF">2024-03-15T19:58:00Z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