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104B3" w14:textId="13730B79" w:rsidR="004C3641" w:rsidRDefault="004C3641" w:rsidP="004061E0">
      <w:pPr>
        <w:spacing w:after="0" w:line="276" w:lineRule="auto"/>
        <w:rPr>
          <w:rFonts w:ascii="Arial" w:hAnsi="Arial" w:cs="Arial"/>
          <w:b/>
          <w:bCs/>
        </w:rPr>
      </w:pPr>
      <w:bookmarkStart w:id="0" w:name="_Hlk143780582"/>
      <w:r w:rsidRPr="004C3641">
        <w:rPr>
          <w:rFonts w:ascii="Arial" w:hAnsi="Arial" w:cs="Arial"/>
          <w:b/>
          <w:bCs/>
        </w:rPr>
        <w:t>LIQUIDACIÓN</w:t>
      </w:r>
      <w:r w:rsidRPr="004C3641">
        <w:rPr>
          <w:rFonts w:ascii="Arial" w:hAnsi="Arial" w:cs="Arial"/>
          <w:b/>
          <w:bCs/>
          <w:spacing w:val="1"/>
        </w:rPr>
        <w:t xml:space="preserve"> </w:t>
      </w:r>
      <w:r w:rsidRPr="004C3641">
        <w:rPr>
          <w:rFonts w:ascii="Arial" w:hAnsi="Arial" w:cs="Arial"/>
          <w:b/>
          <w:bCs/>
        </w:rPr>
        <w:t>DEL</w:t>
      </w:r>
      <w:r w:rsidRPr="004C3641">
        <w:rPr>
          <w:rFonts w:ascii="Arial" w:hAnsi="Arial" w:cs="Arial"/>
          <w:b/>
          <w:bCs/>
          <w:spacing w:val="1"/>
        </w:rPr>
        <w:t xml:space="preserve"> </w:t>
      </w:r>
      <w:r w:rsidRPr="004C3641">
        <w:rPr>
          <w:rFonts w:ascii="Arial" w:hAnsi="Arial" w:cs="Arial"/>
          <w:b/>
          <w:bCs/>
        </w:rPr>
        <w:t>CONTRATO</w:t>
      </w:r>
      <w:r>
        <w:rPr>
          <w:rFonts w:ascii="Arial" w:hAnsi="Arial" w:cs="Arial"/>
          <w:b/>
          <w:bCs/>
        </w:rPr>
        <w:t xml:space="preserve"> – Definición - Normatividad</w:t>
      </w:r>
    </w:p>
    <w:p w14:paraId="0A2F6718" w14:textId="77777777" w:rsidR="004C3641" w:rsidRDefault="004C3641" w:rsidP="004061E0">
      <w:pPr>
        <w:spacing w:after="0" w:line="276" w:lineRule="auto"/>
        <w:rPr>
          <w:rFonts w:ascii="Arial" w:hAnsi="Arial" w:cs="Arial"/>
          <w:b/>
          <w:bCs/>
        </w:rPr>
      </w:pPr>
    </w:p>
    <w:p w14:paraId="328ACAD6" w14:textId="64B4464B" w:rsidR="004C3641" w:rsidRDefault="004C3641" w:rsidP="004061E0">
      <w:pPr>
        <w:spacing w:after="0" w:line="276" w:lineRule="auto"/>
        <w:rPr>
          <w:rFonts w:ascii="Arial" w:hAnsi="Arial" w:cs="Arial"/>
          <w:color w:val="000000" w:themeColor="text1"/>
          <w:lang w:val="es-ES_tradnl"/>
        </w:rPr>
      </w:pPr>
      <w:r w:rsidRPr="00D15703">
        <w:rPr>
          <w:rFonts w:ascii="Arial" w:hAnsi="Arial" w:cs="Arial"/>
          <w:color w:val="000000" w:themeColor="text1"/>
          <w:lang w:val="es-ES_tradnl"/>
        </w:rPr>
        <w:t>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cumplidas</w:t>
      </w:r>
      <w:r>
        <w:rPr>
          <w:rFonts w:ascii="Arial" w:hAnsi="Arial" w:cs="Arial"/>
          <w:color w:val="000000" w:themeColor="text1"/>
          <w:lang w:val="es-ES_tradnl"/>
        </w:rPr>
        <w:t>.</w:t>
      </w:r>
    </w:p>
    <w:p w14:paraId="4DB95D64" w14:textId="77777777" w:rsidR="004C3641" w:rsidRDefault="004C3641" w:rsidP="004061E0">
      <w:pPr>
        <w:spacing w:after="0" w:line="276" w:lineRule="auto"/>
        <w:rPr>
          <w:rFonts w:ascii="Arial" w:hAnsi="Arial" w:cs="Arial"/>
          <w:color w:val="000000" w:themeColor="text1"/>
          <w:lang w:val="es-ES_tradnl"/>
        </w:rPr>
      </w:pPr>
    </w:p>
    <w:p w14:paraId="6C396EB8" w14:textId="5B409AD2" w:rsidR="004C3641" w:rsidRDefault="004C3641" w:rsidP="004061E0">
      <w:pPr>
        <w:spacing w:after="0" w:line="276" w:lineRule="auto"/>
        <w:rPr>
          <w:rFonts w:ascii="Arial" w:hAnsi="Arial" w:cs="Arial"/>
          <w:color w:val="000000" w:themeColor="text1"/>
          <w:lang w:val="es-ES_tradnl"/>
        </w:rPr>
      </w:pPr>
      <w:r>
        <w:rPr>
          <w:rFonts w:ascii="Arial" w:hAnsi="Arial" w:cs="Arial"/>
          <w:color w:val="000000" w:themeColor="text1"/>
          <w:lang w:val="es-ES_tradnl"/>
        </w:rPr>
        <w:t>[…] [S]</w:t>
      </w:r>
      <w:r w:rsidRPr="00D15703">
        <w:rPr>
          <w:rFonts w:ascii="Arial" w:hAnsi="Arial" w:cs="Arial"/>
          <w:color w:val="000000" w:themeColor="text1"/>
          <w:lang w:val="es-ES_tradnl"/>
        </w:rPr>
        <w:t xml:space="preserve">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00D15703">
        <w:rPr>
          <w:rFonts w:ascii="Arial" w:hAnsi="Arial" w:cs="Arial"/>
          <w:i/>
          <w:iCs/>
          <w:color w:val="000000" w:themeColor="text1"/>
          <w:lang w:val="es-ES_tradnl"/>
        </w:rPr>
        <w:t>liquidar</w:t>
      </w:r>
      <w:r w:rsidRPr="00D15703">
        <w:rPr>
          <w:rFonts w:ascii="Arial" w:hAnsi="Arial" w:cs="Arial"/>
          <w:color w:val="000000" w:themeColor="text1"/>
          <w:lang w:val="es-ES_tradnl"/>
        </w:rPr>
        <w:t xml:space="preserve"> supone un ajuste en relación con las cuentas y el estado de cumplimiento del contrato estatal y, por el otro, que la </w:t>
      </w:r>
      <w:r w:rsidRPr="00D15703">
        <w:rPr>
          <w:rFonts w:ascii="Arial" w:hAnsi="Arial" w:cs="Arial"/>
          <w:i/>
          <w:iCs/>
          <w:color w:val="000000" w:themeColor="text1"/>
          <w:lang w:val="es-ES_tradnl"/>
        </w:rPr>
        <w:t>liquidación</w:t>
      </w:r>
      <w:r w:rsidRPr="00D15703">
        <w:rPr>
          <w:rFonts w:ascii="Arial" w:hAnsi="Arial" w:cs="Arial"/>
          <w:color w:val="000000" w:themeColor="text1"/>
          <w:lang w:val="es-ES_tradnl"/>
        </w:rPr>
        <w:t xml:space="preserve"> debe incluir el análisis de las condiciones de calidad y oportunidad en la entrega de los bienes, obras o servicios, así como el balance económico y el comportamiento financiero del negocio</w:t>
      </w:r>
      <w:r>
        <w:rPr>
          <w:rFonts w:ascii="Arial" w:hAnsi="Arial" w:cs="Arial"/>
          <w:color w:val="000000" w:themeColor="text1"/>
          <w:lang w:val="es-ES_tradnl"/>
        </w:rPr>
        <w:t>.</w:t>
      </w:r>
    </w:p>
    <w:p w14:paraId="4268F987" w14:textId="77777777" w:rsidR="004C3641" w:rsidRDefault="004C3641" w:rsidP="004061E0">
      <w:pPr>
        <w:spacing w:after="0" w:line="276" w:lineRule="auto"/>
        <w:rPr>
          <w:rFonts w:ascii="Arial" w:hAnsi="Arial" w:cs="Arial"/>
          <w:color w:val="000000" w:themeColor="text1"/>
          <w:lang w:val="es-ES_tradnl"/>
        </w:rPr>
      </w:pPr>
    </w:p>
    <w:p w14:paraId="1EF2C022" w14:textId="77777777" w:rsidR="004C3641" w:rsidRDefault="004C3641" w:rsidP="004C3641">
      <w:pPr>
        <w:spacing w:after="0" w:line="276" w:lineRule="auto"/>
        <w:rPr>
          <w:rFonts w:ascii="Arial" w:hAnsi="Arial" w:cs="Arial"/>
          <w:b/>
          <w:bCs/>
        </w:rPr>
      </w:pPr>
      <w:r w:rsidRPr="004C3641">
        <w:rPr>
          <w:rFonts w:ascii="Arial" w:hAnsi="Arial" w:cs="Arial"/>
          <w:b/>
          <w:bCs/>
          <w:color w:val="000000" w:themeColor="text1"/>
          <w:lang w:val="es-ES_tradnl"/>
        </w:rPr>
        <w:t>TIPOS DE LIQUIDACIÓN</w:t>
      </w:r>
      <w:r>
        <w:rPr>
          <w:rFonts w:ascii="Arial" w:hAnsi="Arial" w:cs="Arial"/>
          <w:color w:val="000000" w:themeColor="text1"/>
          <w:lang w:val="es-ES_tradnl"/>
        </w:rPr>
        <w:t xml:space="preserve"> - </w:t>
      </w:r>
      <w:r>
        <w:rPr>
          <w:rFonts w:ascii="Arial" w:hAnsi="Arial" w:cs="Arial"/>
          <w:b/>
          <w:bCs/>
        </w:rPr>
        <w:t>– Liquidación unilateral – Liquidación bilateral – Liquidación judicial</w:t>
      </w:r>
    </w:p>
    <w:p w14:paraId="4A4EB611" w14:textId="61C188AE" w:rsidR="004C3641" w:rsidRPr="004C3641" w:rsidRDefault="004C3641" w:rsidP="004061E0">
      <w:pPr>
        <w:spacing w:after="0" w:line="276" w:lineRule="auto"/>
        <w:rPr>
          <w:rFonts w:ascii="Arial" w:hAnsi="Arial" w:cs="Arial"/>
          <w:color w:val="000000" w:themeColor="text1"/>
        </w:rPr>
      </w:pPr>
    </w:p>
    <w:p w14:paraId="5C22FB66" w14:textId="7EC1D79A" w:rsidR="00772E2D" w:rsidRDefault="00772E2D" w:rsidP="00772E2D">
      <w:pPr>
        <w:spacing w:after="200" w:line="276" w:lineRule="auto"/>
        <w:jc w:val="both"/>
        <w:rPr>
          <w:rFonts w:ascii="Arial" w:hAnsi="Arial" w:cs="Arial"/>
          <w:color w:val="000000" w:themeColor="text1"/>
          <w:lang w:val="es-ES_tradnl"/>
        </w:rPr>
      </w:pPr>
      <w:r w:rsidRPr="00D15703">
        <w:rPr>
          <w:rFonts w:ascii="Arial" w:hAnsi="Arial" w:cs="Arial"/>
          <w:color w:val="000000" w:themeColor="text1"/>
          <w:lang w:val="es-ES_tradnl"/>
        </w:rPr>
        <w:t>El artículo 11 de la Ley 1150 de 2007 contiene las reglas de tipo procedimental para liquidar los contratos estatales, las cuales se pasan a explicar.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ii) la expedición del acto administrativo que ordene la terminación del contrato; o, iii) la fecha del acuerdo que disponga la terminación del contrato.</w:t>
      </w:r>
    </w:p>
    <w:p w14:paraId="6BB351AF" w14:textId="0E0AB098" w:rsidR="00772E2D" w:rsidRDefault="00772E2D" w:rsidP="00772E2D">
      <w:pPr>
        <w:spacing w:after="200" w:line="276" w:lineRule="auto"/>
        <w:jc w:val="both"/>
        <w:rPr>
          <w:rFonts w:ascii="Arial" w:hAnsi="Arial" w:cs="Arial"/>
          <w:lang w:val="es-ES_tradnl"/>
        </w:rPr>
      </w:pPr>
      <w:r w:rsidRPr="00D15703">
        <w:rPr>
          <w:rFonts w:ascii="Arial" w:hAnsi="Arial" w:cs="Arial"/>
          <w:lang w:val="es-ES_tradnl"/>
        </w:rPr>
        <w:t>El artículo 11 de la Ley 1150 de 2007 señala que la liquidación de mutuo acuerdo</w:t>
      </w:r>
      <w:r>
        <w:rPr>
          <w:rFonts w:ascii="Arial" w:hAnsi="Arial" w:cs="Arial"/>
          <w:lang w:val="es-ES_tradnl"/>
        </w:rPr>
        <w:t xml:space="preserve"> se</w:t>
      </w:r>
      <w:r w:rsidRPr="00D15703">
        <w:rPr>
          <w:rFonts w:ascii="Arial" w:hAnsi="Arial" w:cs="Arial"/>
          <w:lang w:val="es-ES_tradnl"/>
        </w:rPr>
        <w:t xml:space="preserve"> deberá realizar dentro del plazo previsto en </w:t>
      </w:r>
      <w:r w:rsidRPr="00D15703">
        <w:rPr>
          <w:rFonts w:ascii="Arial" w:hAnsi="Arial" w:cs="Arial"/>
          <w:i/>
          <w:iCs/>
          <w:lang w:val="es-ES_tradnl"/>
        </w:rPr>
        <w:t xml:space="preserve">los </w:t>
      </w:r>
      <w:r w:rsidR="00E26613">
        <w:rPr>
          <w:rFonts w:ascii="Arial" w:hAnsi="Arial" w:cs="Arial"/>
          <w:i/>
          <w:iCs/>
          <w:lang w:val="es-ES_tradnl"/>
        </w:rPr>
        <w:t>“</w:t>
      </w:r>
      <w:r w:rsidRPr="00D15703">
        <w:rPr>
          <w:rFonts w:ascii="Arial" w:hAnsi="Arial" w:cs="Arial"/>
          <w:i/>
          <w:iCs/>
          <w:lang w:val="es-ES_tradnl"/>
        </w:rPr>
        <w:t>pliegos de condiciones o sus equivalentes, o dentro del que acuerden las partes para el efecto</w:t>
      </w:r>
      <w:r w:rsidR="00E26613">
        <w:rPr>
          <w:rFonts w:ascii="Arial" w:hAnsi="Arial" w:cs="Arial"/>
          <w:i/>
          <w:iCs/>
          <w:lang w:val="es-ES_tradnl"/>
        </w:rPr>
        <w:t xml:space="preserve">”, </w:t>
      </w:r>
      <w:r w:rsidR="00E26613" w:rsidRPr="00D15703">
        <w:rPr>
          <w:rFonts w:ascii="Arial" w:hAnsi="Arial" w:cs="Arial"/>
          <w:lang w:val="es-ES_tradnl"/>
        </w:rPr>
        <w:t xml:space="preserve">para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Este hecho no impide que, en el marco de la ejecución del contrato, las partes acuerden fijar el referido plazo; acuerdo que, en tanto significa una alteración de las reglas que orientan la relación contractual, entraña una modificación del contrato. Por </w:t>
      </w:r>
      <w:r w:rsidR="00E26613" w:rsidRPr="00D15703">
        <w:rPr>
          <w:rFonts w:ascii="Arial" w:hAnsi="Arial" w:cs="Arial"/>
          <w:lang w:val="es-ES_tradnl"/>
        </w:rPr>
        <w:lastRenderedPageBreak/>
        <w:t>tal razón, su celebración debe cumplir con los requisitos del negocio jurídico, ameritando la concurrencia de capacidad jurídica de los agentes, un consentimiento libre de vicios, un objeto y causa lícita, así como la elevación a escrito requerida en materia de contratación estatal</w:t>
      </w:r>
      <w:r w:rsidR="00E26613">
        <w:rPr>
          <w:rFonts w:ascii="Arial" w:hAnsi="Arial" w:cs="Arial"/>
          <w:lang w:val="es-ES_tradnl"/>
        </w:rPr>
        <w:t>.</w:t>
      </w:r>
    </w:p>
    <w:p w14:paraId="5ED02EE8" w14:textId="02B79560" w:rsidR="00F15889" w:rsidRDefault="00F15889" w:rsidP="00F15889">
      <w:pPr>
        <w:spacing w:after="200" w:line="276" w:lineRule="auto"/>
        <w:ind w:firstLine="705"/>
        <w:jc w:val="both"/>
        <w:rPr>
          <w:rFonts w:ascii="Arial" w:hAnsi="Arial" w:cs="Arial"/>
          <w:color w:val="000000" w:themeColor="text1"/>
          <w:bdr w:val="none" w:sz="0" w:space="0" w:color="auto" w:frame="1"/>
          <w:shd w:val="clear" w:color="auto" w:fill="FFFFFF"/>
          <w:lang w:val="es-ES"/>
        </w:rPr>
      </w:pPr>
      <w:r w:rsidRPr="00D15703">
        <w:rPr>
          <w:rFonts w:ascii="Arial" w:hAnsi="Arial" w:cs="Arial"/>
          <w:color w:val="000000" w:themeColor="text1"/>
          <w:bdr w:val="none" w:sz="0" w:space="0" w:color="auto" w:frame="1"/>
          <w:shd w:val="clear" w:color="auto" w:fill="FFFFFF"/>
          <w:lang w:val="es-ES"/>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 judicialmente por el interesado.</w:t>
      </w:r>
    </w:p>
    <w:p w14:paraId="310B1FE9" w14:textId="77777777" w:rsidR="00F15889" w:rsidRDefault="00F15889" w:rsidP="00F15889">
      <w:pPr>
        <w:spacing w:after="200" w:line="276" w:lineRule="auto"/>
        <w:ind w:firstLine="705"/>
        <w:jc w:val="both"/>
        <w:rPr>
          <w:rFonts w:ascii="Arial" w:hAnsi="Arial" w:cs="Arial"/>
          <w:color w:val="000000" w:themeColor="text1"/>
          <w:bdr w:val="none" w:sz="0" w:space="0" w:color="auto" w:frame="1"/>
          <w:shd w:val="clear" w:color="auto" w:fill="FFFFFF"/>
          <w:lang w:val="es-ES"/>
        </w:rPr>
      </w:pPr>
    </w:p>
    <w:p w14:paraId="454189DD" w14:textId="3C56E12A" w:rsidR="00F15889" w:rsidRDefault="00F15889" w:rsidP="00F15889">
      <w:pPr>
        <w:spacing w:after="200" w:line="276" w:lineRule="auto"/>
        <w:jc w:val="both"/>
        <w:rPr>
          <w:rFonts w:ascii="Arial" w:hAnsi="Arial" w:cs="Arial"/>
          <w:b/>
          <w:bCs/>
          <w:color w:val="000000" w:themeColor="text1"/>
          <w:bdr w:val="none" w:sz="0" w:space="0" w:color="auto" w:frame="1"/>
          <w:shd w:val="clear" w:color="auto" w:fill="FFFFFF"/>
          <w:lang w:val="es-ES"/>
        </w:rPr>
      </w:pPr>
      <w:r w:rsidRPr="00F15889">
        <w:rPr>
          <w:rFonts w:ascii="Arial" w:hAnsi="Arial" w:cs="Arial"/>
          <w:b/>
          <w:bCs/>
          <w:color w:val="000000" w:themeColor="text1"/>
          <w:bdr w:val="none" w:sz="0" w:space="0" w:color="auto" w:frame="1"/>
          <w:shd w:val="clear" w:color="auto" w:fill="FFFFFF"/>
          <w:lang w:val="es-ES"/>
        </w:rPr>
        <w:t xml:space="preserve">CONTRATOS O CONVENIOS INTERADMINISTRATIVOS – Normatividad - Definición – Liquidación </w:t>
      </w:r>
    </w:p>
    <w:p w14:paraId="402CE570" w14:textId="77777777" w:rsidR="00F15889" w:rsidRDefault="00F15889" w:rsidP="00F15889">
      <w:pPr>
        <w:tabs>
          <w:tab w:val="left" w:pos="7851"/>
        </w:tabs>
        <w:spacing w:after="0" w:line="276" w:lineRule="auto"/>
        <w:jc w:val="both"/>
        <w:rPr>
          <w:rFonts w:ascii="Arial" w:eastAsiaTheme="minorEastAsia" w:hAnsi="Arial" w:cs="Arial"/>
          <w:lang w:eastAsia="es-CO"/>
        </w:rPr>
      </w:pPr>
      <w:r w:rsidRPr="00381B35">
        <w:rPr>
          <w:rFonts w:ascii="Arial" w:eastAsiaTheme="minorEastAsia" w:hAnsi="Arial" w:cs="Arial"/>
          <w:lang w:eastAsia="es-CO"/>
        </w:rPr>
        <w:t>La tipología del contrato o convenio interadministrativo fue creada en la Ley 80 de 1993, y el Decreto 1082 de 2015 la califica como aquella contratación entre Entidades Estatales</w:t>
      </w:r>
      <w:r w:rsidRPr="00283724">
        <w:rPr>
          <w:vertAlign w:val="superscript"/>
          <w:lang w:eastAsia="es-CO"/>
        </w:rPr>
        <w:footnoteReference w:id="2"/>
      </w:r>
      <w:r w:rsidRPr="00381B35">
        <w:rPr>
          <w:rFonts w:ascii="Arial" w:eastAsiaTheme="minorEastAsia" w:hAnsi="Arial" w:cs="Arial"/>
          <w:lang w:eastAsia="es-CO"/>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381B35">
        <w:rPr>
          <w:rFonts w:ascii="Arial" w:eastAsiaTheme="minorEastAsia" w:hAnsi="Arial" w:cs="Arial"/>
          <w:spacing w:val="-6"/>
          <w:lang w:eastAsia="es-CO"/>
        </w:rPr>
        <w:t xml:space="preserve"> </w:t>
      </w:r>
      <w:r w:rsidRPr="00381B35">
        <w:rPr>
          <w:rFonts w:ascii="Arial" w:eastAsiaTheme="minorEastAsia" w:hAnsi="Arial" w:cs="Arial"/>
          <w:lang w:eastAsia="es-CO"/>
        </w:rPr>
        <w:t>Estatales.</w:t>
      </w:r>
    </w:p>
    <w:p w14:paraId="405E1B67" w14:textId="77777777" w:rsidR="00F15889" w:rsidRDefault="00F15889" w:rsidP="00F15889">
      <w:pPr>
        <w:tabs>
          <w:tab w:val="left" w:pos="7851"/>
        </w:tabs>
        <w:spacing w:after="0" w:line="276" w:lineRule="auto"/>
        <w:jc w:val="both"/>
        <w:rPr>
          <w:rFonts w:ascii="Arial" w:eastAsiaTheme="minorEastAsia" w:hAnsi="Arial" w:cs="Arial"/>
          <w:lang w:eastAsia="es-CO"/>
        </w:rPr>
      </w:pPr>
    </w:p>
    <w:p w14:paraId="7AC9C8C8" w14:textId="49CFB3AE" w:rsidR="00F15889" w:rsidRPr="00381B35" w:rsidRDefault="00F15889" w:rsidP="00F15889">
      <w:pPr>
        <w:tabs>
          <w:tab w:val="left" w:pos="7851"/>
        </w:tabs>
        <w:spacing w:after="0" w:line="276" w:lineRule="auto"/>
        <w:jc w:val="both"/>
        <w:rPr>
          <w:rFonts w:ascii="Arial" w:hAnsi="Arial" w:cs="Arial"/>
          <w:b/>
          <w:lang w:val="es-ES_tradnl"/>
        </w:rPr>
      </w:pPr>
      <w:r>
        <w:rPr>
          <w:rFonts w:ascii="Arial" w:eastAsiaTheme="minorEastAsia" w:hAnsi="Arial" w:cs="Arial"/>
          <w:lang w:eastAsia="es-CO"/>
        </w:rPr>
        <w:t xml:space="preserve"> </w:t>
      </w:r>
      <w:r w:rsidRPr="00283724">
        <w:rPr>
          <w:rFonts w:ascii="Arial" w:eastAsiaTheme="minorEastAsia" w:hAnsi="Arial" w:cs="Arial"/>
          <w:lang w:eastAsia="es-CO"/>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2D5D992B" w14:textId="77777777" w:rsidR="00F15889" w:rsidRPr="00F15889" w:rsidRDefault="00F15889" w:rsidP="00F15889">
      <w:pPr>
        <w:spacing w:after="200" w:line="276" w:lineRule="auto"/>
        <w:jc w:val="both"/>
        <w:rPr>
          <w:rFonts w:ascii="Arial" w:hAnsi="Arial" w:cs="Arial"/>
          <w:b/>
          <w:bCs/>
          <w:color w:val="000000" w:themeColor="text1"/>
          <w:bdr w:val="none" w:sz="0" w:space="0" w:color="auto" w:frame="1"/>
          <w:shd w:val="clear" w:color="auto" w:fill="FFFFFF"/>
          <w:lang w:val="es-ES_tradnl"/>
        </w:rPr>
      </w:pPr>
    </w:p>
    <w:p w14:paraId="194C4DE5" w14:textId="053241FF" w:rsidR="004C3641" w:rsidRDefault="00B36DAA" w:rsidP="00B36DAA">
      <w:pPr>
        <w:spacing w:after="0" w:line="276" w:lineRule="auto"/>
        <w:jc w:val="right"/>
        <w:rPr>
          <w:rFonts w:ascii="Arial" w:hAnsi="Arial" w:cs="Arial"/>
        </w:rPr>
      </w:pPr>
      <w:r>
        <w:rPr>
          <w:rFonts w:ascii="Arial" w:hAnsi="Arial" w:cs="Arial"/>
        </w:rPr>
        <w:lastRenderedPageBreak/>
        <w:t xml:space="preserve"> </w:t>
      </w:r>
      <w:r>
        <w:rPr>
          <w:noProof/>
        </w:rPr>
        <w:drawing>
          <wp:inline distT="0" distB="0" distL="0" distR="0" wp14:anchorId="741A8024" wp14:editId="47323AC1">
            <wp:extent cx="2063921" cy="821933"/>
            <wp:effectExtent l="0" t="0" r="0" b="0"/>
            <wp:docPr id="9" name="image5.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descr="Texto&#10;&#10;Descripción generada automáticamente"/>
                    <pic:cNvPicPr>
                      <a:picLocks noChangeAspect="1"/>
                    </pic:cNvPicPr>
                  </pic:nvPicPr>
                  <pic:blipFill>
                    <a:blip r:embed="rId11" cstate="print"/>
                    <a:stretch>
                      <a:fillRect/>
                    </a:stretch>
                  </pic:blipFill>
                  <pic:spPr>
                    <a:xfrm>
                      <a:off x="0" y="0"/>
                      <a:ext cx="2100952" cy="836680"/>
                    </a:xfrm>
                    <a:prstGeom prst="rect">
                      <a:avLst/>
                    </a:prstGeom>
                  </pic:spPr>
                </pic:pic>
              </a:graphicData>
            </a:graphic>
          </wp:inline>
        </w:drawing>
      </w:r>
    </w:p>
    <w:p w14:paraId="3FE2184B" w14:textId="30CC9AEA" w:rsidR="00E245AB" w:rsidRPr="00DC149E" w:rsidRDefault="00E245AB" w:rsidP="004061E0">
      <w:pPr>
        <w:spacing w:after="0" w:line="276" w:lineRule="auto"/>
        <w:rPr>
          <w:rFonts w:ascii="Arial" w:hAnsi="Arial" w:cs="Arial"/>
        </w:rPr>
      </w:pPr>
      <w:r w:rsidRPr="00DC149E">
        <w:rPr>
          <w:rFonts w:ascii="Arial" w:hAnsi="Arial" w:cs="Arial"/>
        </w:rPr>
        <w:t xml:space="preserve">Bogotá D.C., </w:t>
      </w:r>
      <w:r w:rsidR="00891928" w:rsidRPr="00DC149E">
        <w:rPr>
          <w:rFonts w:ascii="Arial" w:hAnsi="Arial" w:cs="Arial"/>
        </w:rPr>
        <w:t>[Día]</w:t>
      </w:r>
      <w:r w:rsidR="005A2340" w:rsidRPr="00DC149E">
        <w:rPr>
          <w:rFonts w:ascii="Arial" w:hAnsi="Arial" w:cs="Arial"/>
        </w:rPr>
        <w:t xml:space="preserve"> </w:t>
      </w:r>
      <w:r w:rsidR="00891928" w:rsidRPr="00DC149E">
        <w:rPr>
          <w:rFonts w:ascii="Arial" w:hAnsi="Arial" w:cs="Arial"/>
        </w:rPr>
        <w:t>[Mes</w:t>
      </w:r>
      <w:r w:rsidR="005A2340" w:rsidRPr="00DC149E">
        <w:rPr>
          <w:rFonts w:ascii="Arial" w:hAnsi="Arial" w:cs="Arial"/>
        </w:rPr>
        <w:t>.</w:t>
      </w:r>
      <w:r w:rsidR="00891928" w:rsidRPr="00DC149E">
        <w:rPr>
          <w:rFonts w:ascii="Arial" w:hAnsi="Arial" w:cs="Arial"/>
        </w:rPr>
        <w:t>NombreCapitalizado]</w:t>
      </w:r>
      <w:r w:rsidR="005A2340" w:rsidRPr="00DC149E">
        <w:rPr>
          <w:rFonts w:ascii="Arial" w:hAnsi="Arial" w:cs="Arial"/>
        </w:rPr>
        <w:t xml:space="preserve"> </w:t>
      </w:r>
      <w:r w:rsidR="00891928" w:rsidRPr="00DC149E">
        <w:rPr>
          <w:rFonts w:ascii="Arial" w:hAnsi="Arial" w:cs="Arial"/>
        </w:rPr>
        <w:t>[Año]</w:t>
      </w:r>
      <w:r w:rsidR="00891928" w:rsidRPr="00DC149E">
        <w:rPr>
          <w:rFonts w:ascii="Arial" w:hAnsi="Arial" w:cs="Arial"/>
        </w:rPr>
        <w:tab/>
      </w:r>
    </w:p>
    <w:p w14:paraId="5FCADBF9" w14:textId="77777777" w:rsidR="00E245AB" w:rsidRPr="00322A85" w:rsidRDefault="00E245AB" w:rsidP="004061E0">
      <w:pPr>
        <w:spacing w:after="0" w:line="276" w:lineRule="auto"/>
        <w:rPr>
          <w:rFonts w:ascii="Century Gothic" w:hAnsi="Century Gothic"/>
        </w:rPr>
      </w:pPr>
    </w:p>
    <w:p w14:paraId="5A5B291D" w14:textId="77777777" w:rsidR="00946943" w:rsidRDefault="00946943" w:rsidP="00946943">
      <w:pPr>
        <w:spacing w:after="0" w:line="276" w:lineRule="auto"/>
        <w:rPr>
          <w:rFonts w:ascii="Arial" w:hAnsi="Arial" w:cs="Arial"/>
        </w:rPr>
      </w:pPr>
      <w:r>
        <w:rPr>
          <w:rFonts w:ascii="Arial" w:hAnsi="Arial" w:cs="Arial"/>
        </w:rPr>
        <w:t>Señora</w:t>
      </w:r>
    </w:p>
    <w:p w14:paraId="76451546" w14:textId="77777777" w:rsidR="00946943" w:rsidRPr="00BF3C0F" w:rsidRDefault="00946943" w:rsidP="00946943">
      <w:pPr>
        <w:spacing w:after="0" w:line="276" w:lineRule="auto"/>
        <w:rPr>
          <w:rFonts w:ascii="Arial" w:hAnsi="Arial" w:cs="Arial"/>
          <w:b/>
          <w:bCs/>
        </w:rPr>
      </w:pPr>
      <w:r>
        <w:rPr>
          <w:rFonts w:ascii="Arial" w:hAnsi="Arial" w:cs="Arial"/>
          <w:b/>
          <w:bCs/>
        </w:rPr>
        <w:t xml:space="preserve">María Luisa Galvis Velandia </w:t>
      </w:r>
    </w:p>
    <w:p w14:paraId="534E132B" w14:textId="77777777" w:rsidR="00946943" w:rsidRPr="007322D0" w:rsidRDefault="00946943" w:rsidP="00946943">
      <w:pPr>
        <w:spacing w:after="0" w:line="276" w:lineRule="auto"/>
        <w:rPr>
          <w:rFonts w:ascii="Arial" w:hAnsi="Arial" w:cs="Arial"/>
        </w:rPr>
      </w:pPr>
      <w:r>
        <w:rPr>
          <w:rFonts w:ascii="Arial" w:hAnsi="Arial" w:cs="Arial"/>
        </w:rPr>
        <w:t>Ciudad</w:t>
      </w:r>
      <w:r w:rsidRPr="007322D0">
        <w:rPr>
          <w:rFonts w:ascii="Arial" w:hAnsi="Arial" w:cs="Arial"/>
        </w:rPr>
        <w:t xml:space="preserve"> </w:t>
      </w:r>
    </w:p>
    <w:p w14:paraId="75423275" w14:textId="77777777" w:rsidR="00946943" w:rsidRPr="007322D0" w:rsidRDefault="00946943" w:rsidP="00946943">
      <w:pPr>
        <w:spacing w:after="0" w:line="276" w:lineRule="auto"/>
        <w:rPr>
          <w:rFonts w:ascii="Arial" w:hAnsi="Arial" w:cs="Arial"/>
        </w:rPr>
      </w:pPr>
    </w:p>
    <w:p w14:paraId="0796AA8B" w14:textId="77777777" w:rsidR="00946943" w:rsidRPr="00A148D9" w:rsidRDefault="00946943" w:rsidP="00946943">
      <w:pPr>
        <w:spacing w:after="0" w:line="276" w:lineRule="auto"/>
        <w:contextualSpacing/>
        <w:rPr>
          <w:rFonts w:ascii="Arial" w:eastAsia="Calibri" w:hAnsi="Arial" w:cs="Arial"/>
          <w:szCs w:val="24"/>
          <w:lang w:val="es-ES_tradnl" w:eastAsia="es-ES_tradnl"/>
        </w:rPr>
      </w:pPr>
    </w:p>
    <w:p w14:paraId="3A1949AC" w14:textId="77777777" w:rsidR="00946943" w:rsidRDefault="00946943" w:rsidP="00946943">
      <w:pPr>
        <w:spacing w:after="0" w:line="276" w:lineRule="auto"/>
        <w:ind w:left="2694"/>
        <w:contextualSpacing/>
        <w:rPr>
          <w:rFonts w:ascii="Arial" w:eastAsia="Calibri" w:hAnsi="Arial" w:cs="Arial"/>
          <w:b/>
          <w:bCs/>
          <w:lang w:val="es-ES" w:eastAsia="es-ES_tradnl"/>
        </w:rPr>
      </w:pPr>
      <w:r w:rsidRPr="00A148D9">
        <w:rPr>
          <w:rFonts w:ascii="Arial" w:eastAsia="Calibri" w:hAnsi="Arial" w:cs="Arial"/>
          <w:b/>
          <w:bCs/>
          <w:lang w:val="es-ES" w:eastAsia="es-ES_tradnl"/>
        </w:rPr>
        <w:t>Concepto C</w:t>
      </w:r>
      <w:r>
        <w:rPr>
          <w:rFonts w:ascii="Arial" w:eastAsia="Calibri" w:hAnsi="Arial" w:cs="Arial"/>
          <w:b/>
          <w:bCs/>
          <w:lang w:val="es-ES" w:eastAsia="es-ES_tradnl"/>
        </w:rPr>
        <w:t>-427</w:t>
      </w:r>
      <w:r w:rsidRPr="00A148D9">
        <w:rPr>
          <w:rFonts w:ascii="Arial" w:eastAsia="Calibri" w:hAnsi="Arial" w:cs="Arial"/>
          <w:b/>
          <w:bCs/>
          <w:lang w:val="es-ES" w:eastAsia="es-ES_tradnl"/>
        </w:rPr>
        <w:t xml:space="preserve"> de 2023</w:t>
      </w:r>
    </w:p>
    <w:p w14:paraId="5996C6F7" w14:textId="085911C2" w:rsidR="00B73DBE" w:rsidRPr="00783750" w:rsidRDefault="00B73DBE" w:rsidP="00783750">
      <w:pPr>
        <w:pStyle w:val="Textoindependiente"/>
        <w:tabs>
          <w:tab w:val="left" w:pos="2806"/>
        </w:tabs>
        <w:spacing w:before="93"/>
        <w:ind w:left="2807" w:right="674" w:hanging="2689"/>
        <w:jc w:val="both"/>
      </w:pPr>
      <w:r>
        <w:rPr>
          <w:b/>
        </w:rPr>
        <w:t>Temas:</w:t>
      </w:r>
      <w:r>
        <w:rPr>
          <w:b/>
        </w:rPr>
        <w:tab/>
      </w:r>
      <w:r>
        <w:t>LIQUIDACIÓN</w:t>
      </w:r>
      <w:r>
        <w:rPr>
          <w:spacing w:val="1"/>
        </w:rPr>
        <w:t xml:space="preserve"> </w:t>
      </w:r>
      <w:r>
        <w:t>DEL</w:t>
      </w:r>
      <w:r>
        <w:rPr>
          <w:spacing w:val="1"/>
        </w:rPr>
        <w:t xml:space="preserve"> </w:t>
      </w:r>
      <w:r>
        <w:t>CONTRATO</w:t>
      </w:r>
      <w:r>
        <w:rPr>
          <w:spacing w:val="1"/>
        </w:rPr>
        <w:t xml:space="preserve"> </w:t>
      </w:r>
      <w:r>
        <w:t>–</w:t>
      </w:r>
      <w:r>
        <w:rPr>
          <w:spacing w:val="1"/>
        </w:rPr>
        <w:t xml:space="preserve"> </w:t>
      </w:r>
      <w:r>
        <w:t>Definición</w:t>
      </w:r>
      <w:r>
        <w:rPr>
          <w:spacing w:val="1"/>
        </w:rPr>
        <w:t xml:space="preserve"> </w:t>
      </w:r>
      <w:r>
        <w:t>–</w:t>
      </w:r>
      <w:r>
        <w:rPr>
          <w:spacing w:val="1"/>
        </w:rPr>
        <w:t xml:space="preserve"> </w:t>
      </w:r>
      <w:r w:rsidR="00326F1B">
        <w:t>Liquidación bilatera</w:t>
      </w:r>
      <w:r w:rsidR="003D54B9">
        <w:t xml:space="preserve">l – Liquidación unilateral – Liquidación </w:t>
      </w:r>
      <w:r w:rsidR="004455AD">
        <w:t xml:space="preserve">judicial </w:t>
      </w:r>
      <w:r w:rsidR="004455AD">
        <w:rPr>
          <w:spacing w:val="1"/>
        </w:rPr>
        <w:t>/</w:t>
      </w:r>
      <w:r>
        <w:rPr>
          <w:spacing w:val="1"/>
        </w:rPr>
        <w:t xml:space="preserve"> </w:t>
      </w:r>
      <w:r>
        <w:t xml:space="preserve">LIQUIDACIÓN DEL </w:t>
      </w:r>
      <w:r w:rsidR="00E26613">
        <w:t xml:space="preserve">CONTRATO </w:t>
      </w:r>
      <w:r w:rsidR="00E26613">
        <w:rPr>
          <w:spacing w:val="32"/>
        </w:rPr>
        <w:t>–</w:t>
      </w:r>
      <w:r>
        <w:rPr>
          <w:spacing w:val="31"/>
        </w:rPr>
        <w:t xml:space="preserve"> </w:t>
      </w:r>
      <w:r>
        <w:t>Oportunidad</w:t>
      </w:r>
      <w:r>
        <w:rPr>
          <w:spacing w:val="33"/>
        </w:rPr>
        <w:t xml:space="preserve"> </w:t>
      </w:r>
      <w:r>
        <w:t>–</w:t>
      </w:r>
      <w:r>
        <w:rPr>
          <w:spacing w:val="1"/>
        </w:rPr>
        <w:t xml:space="preserve"> </w:t>
      </w:r>
      <w:r>
        <w:t>Pérdida</w:t>
      </w:r>
      <w:r>
        <w:rPr>
          <w:spacing w:val="1"/>
        </w:rPr>
        <w:t xml:space="preserve"> </w:t>
      </w:r>
      <w:r>
        <w:t>de</w:t>
      </w:r>
      <w:r>
        <w:rPr>
          <w:spacing w:val="1"/>
        </w:rPr>
        <w:t xml:space="preserve"> </w:t>
      </w:r>
      <w:r>
        <w:t>competencia</w:t>
      </w:r>
      <w:r>
        <w:rPr>
          <w:spacing w:val="1"/>
        </w:rPr>
        <w:t xml:space="preserve"> </w:t>
      </w:r>
      <w:r>
        <w:t>/</w:t>
      </w:r>
      <w:r>
        <w:rPr>
          <w:spacing w:val="1"/>
        </w:rPr>
        <w:t xml:space="preserve"> </w:t>
      </w:r>
      <w:r w:rsidR="00A707AA">
        <w:rPr>
          <w:spacing w:val="1"/>
        </w:rPr>
        <w:t>CONVENIOS</w:t>
      </w:r>
      <w:r w:rsidR="00A51DE8">
        <w:rPr>
          <w:spacing w:val="1"/>
        </w:rPr>
        <w:t xml:space="preserve"> O </w:t>
      </w:r>
      <w:r w:rsidR="006E2520">
        <w:rPr>
          <w:spacing w:val="1"/>
        </w:rPr>
        <w:t>CONTRATOS</w:t>
      </w:r>
      <w:r w:rsidR="00A707AA">
        <w:rPr>
          <w:spacing w:val="1"/>
        </w:rPr>
        <w:t xml:space="preserve"> INTERADMINISTRATIVOS</w:t>
      </w:r>
      <w:r w:rsidR="00B21F31">
        <w:rPr>
          <w:spacing w:val="1"/>
        </w:rPr>
        <w:t xml:space="preserve"> – </w:t>
      </w:r>
      <w:r w:rsidR="00054AAF">
        <w:rPr>
          <w:spacing w:val="1"/>
        </w:rPr>
        <w:t>De</w:t>
      </w:r>
      <w:r w:rsidR="006A7812">
        <w:rPr>
          <w:spacing w:val="1"/>
        </w:rPr>
        <w:t xml:space="preserve">finición – Liquidación </w:t>
      </w:r>
    </w:p>
    <w:p w14:paraId="772C27A5" w14:textId="77777777" w:rsidR="00946943" w:rsidRPr="00A148D9" w:rsidRDefault="00946943" w:rsidP="00946943">
      <w:pPr>
        <w:spacing w:after="0" w:line="276" w:lineRule="auto"/>
        <w:ind w:left="2694"/>
        <w:contextualSpacing/>
        <w:rPr>
          <w:rFonts w:ascii="Arial" w:eastAsia="Calibri" w:hAnsi="Arial" w:cs="Arial"/>
          <w:b/>
          <w:bCs/>
          <w:lang w:val="es-ES" w:eastAsia="es-ES_tradnl"/>
        </w:rPr>
      </w:pPr>
    </w:p>
    <w:tbl>
      <w:tblPr>
        <w:tblStyle w:val="Tablaconcuadrcula"/>
        <w:tblpPr w:leftFromText="141" w:rightFromText="141" w:vertAnchor="text" w:horzAnchor="margin" w:tblpY="175"/>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B73DBE" w:rsidRPr="00A148D9" w14:paraId="0ADAC865" w14:textId="77777777" w:rsidTr="006439BA">
        <w:tc>
          <w:tcPr>
            <w:tcW w:w="1838" w:type="dxa"/>
          </w:tcPr>
          <w:p w14:paraId="591ADCD4" w14:textId="77777777" w:rsidR="00B73DBE" w:rsidRPr="00A148D9" w:rsidRDefault="00B73DBE" w:rsidP="006439BA">
            <w:pPr>
              <w:spacing w:line="276" w:lineRule="auto"/>
              <w:contextualSpacing/>
              <w:rPr>
                <w:rFonts w:ascii="Arial" w:eastAsia="Calibri" w:hAnsi="Arial" w:cs="Arial"/>
                <w:b/>
                <w:lang w:val="es-ES" w:eastAsia="es-ES_tradnl"/>
              </w:rPr>
            </w:pPr>
            <w:r w:rsidRPr="00A148D9">
              <w:rPr>
                <w:rFonts w:ascii="Arial" w:eastAsia="Calibri" w:hAnsi="Arial" w:cs="Arial"/>
                <w:b/>
                <w:lang w:val="es-ES" w:eastAsia="es-ES_tradnl"/>
              </w:rPr>
              <w:t>Radicación:</w:t>
            </w:r>
          </w:p>
        </w:tc>
        <w:tc>
          <w:tcPr>
            <w:tcW w:w="6237" w:type="dxa"/>
          </w:tcPr>
          <w:p w14:paraId="76969B90" w14:textId="77777777" w:rsidR="00B73DBE" w:rsidRPr="00A148D9" w:rsidRDefault="00B73DBE" w:rsidP="006439BA">
            <w:pPr>
              <w:spacing w:line="276" w:lineRule="auto"/>
              <w:contextualSpacing/>
              <w:jc w:val="both"/>
              <w:rPr>
                <w:rFonts w:ascii="Arial" w:eastAsia="Calibri" w:hAnsi="Arial" w:cs="Arial"/>
                <w:lang w:val="es-ES" w:eastAsia="es-ES_tradnl"/>
              </w:rPr>
            </w:pPr>
            <w:r w:rsidRPr="00A148D9">
              <w:rPr>
                <w:rFonts w:ascii="Arial" w:eastAsia="Calibri" w:hAnsi="Arial" w:cs="Arial"/>
                <w:lang w:val="es-ES" w:eastAsia="es-ES_tradnl"/>
              </w:rPr>
              <w:t xml:space="preserve">Respuesta a consulta </w:t>
            </w:r>
            <w:r w:rsidRPr="00CC1512">
              <w:rPr>
                <w:rFonts w:ascii="Arial" w:eastAsia="Calibri" w:hAnsi="Arial" w:cs="Arial"/>
                <w:lang w:val="es-ES" w:eastAsia="es-ES_tradnl"/>
              </w:rPr>
              <w:t>P20231012015971</w:t>
            </w:r>
          </w:p>
        </w:tc>
      </w:tr>
    </w:tbl>
    <w:p w14:paraId="3E0F7C75" w14:textId="77777777" w:rsidR="00946943" w:rsidRDefault="00946943" w:rsidP="00946943">
      <w:pPr>
        <w:spacing w:after="0" w:line="276" w:lineRule="auto"/>
        <w:rPr>
          <w:rFonts w:ascii="Century Gothic" w:eastAsia="Times New Roman" w:hAnsi="Century Gothic" w:cs="Calibri"/>
          <w:color w:val="000000"/>
          <w:lang w:eastAsia="es-CO"/>
        </w:rPr>
      </w:pPr>
    </w:p>
    <w:p w14:paraId="73265DA2" w14:textId="77777777" w:rsidR="00946943" w:rsidRDefault="00946943" w:rsidP="00946943">
      <w:pPr>
        <w:tabs>
          <w:tab w:val="left" w:pos="2866"/>
        </w:tabs>
        <w:spacing w:after="0" w:line="276" w:lineRule="auto"/>
        <w:rPr>
          <w:rFonts w:ascii="Arial" w:hAnsi="Arial" w:cs="Arial"/>
        </w:rPr>
      </w:pPr>
    </w:p>
    <w:p w14:paraId="21E2F47C" w14:textId="77777777" w:rsidR="00946943" w:rsidRDefault="00946943" w:rsidP="00946943">
      <w:pPr>
        <w:tabs>
          <w:tab w:val="left" w:pos="2866"/>
        </w:tabs>
        <w:spacing w:after="0" w:line="276" w:lineRule="auto"/>
        <w:rPr>
          <w:rFonts w:ascii="Arial" w:hAnsi="Arial" w:cs="Arial"/>
        </w:rPr>
      </w:pPr>
    </w:p>
    <w:p w14:paraId="1AC9EA6D" w14:textId="77777777" w:rsidR="00946943" w:rsidRDefault="00946943" w:rsidP="00946943">
      <w:pPr>
        <w:tabs>
          <w:tab w:val="left" w:pos="2866"/>
        </w:tabs>
        <w:spacing w:after="0" w:line="276" w:lineRule="auto"/>
        <w:rPr>
          <w:rFonts w:ascii="Arial" w:hAnsi="Arial" w:cs="Arial"/>
        </w:rPr>
      </w:pPr>
    </w:p>
    <w:p w14:paraId="4F3325F9" w14:textId="77777777" w:rsidR="00946943" w:rsidRDefault="00946943" w:rsidP="00946943">
      <w:pPr>
        <w:tabs>
          <w:tab w:val="left" w:pos="2866"/>
        </w:tabs>
        <w:spacing w:after="0" w:line="276" w:lineRule="auto"/>
        <w:rPr>
          <w:rFonts w:ascii="Arial" w:hAnsi="Arial" w:cs="Arial"/>
        </w:rPr>
      </w:pPr>
    </w:p>
    <w:p w14:paraId="78449B25" w14:textId="77777777" w:rsidR="00946943" w:rsidRDefault="00946943" w:rsidP="00946943">
      <w:pPr>
        <w:tabs>
          <w:tab w:val="left" w:pos="2866"/>
        </w:tabs>
        <w:spacing w:after="0" w:line="276" w:lineRule="auto"/>
        <w:rPr>
          <w:rFonts w:ascii="Arial" w:hAnsi="Arial" w:cs="Arial"/>
        </w:rPr>
      </w:pPr>
      <w:r>
        <w:rPr>
          <w:rFonts w:ascii="Arial" w:hAnsi="Arial" w:cs="Arial"/>
        </w:rPr>
        <w:t>Estimada señora Galvis:</w:t>
      </w:r>
      <w:r>
        <w:rPr>
          <w:rFonts w:ascii="Arial" w:hAnsi="Arial" w:cs="Arial"/>
        </w:rPr>
        <w:tab/>
      </w:r>
    </w:p>
    <w:p w14:paraId="7B00C489" w14:textId="77777777" w:rsidR="00946943" w:rsidRDefault="00946943" w:rsidP="00946943">
      <w:pPr>
        <w:tabs>
          <w:tab w:val="left" w:pos="2866"/>
        </w:tabs>
        <w:spacing w:after="0" w:line="276" w:lineRule="auto"/>
        <w:rPr>
          <w:rFonts w:ascii="Arial" w:hAnsi="Arial" w:cs="Arial"/>
        </w:rPr>
      </w:pPr>
    </w:p>
    <w:p w14:paraId="6780C3C3" w14:textId="77777777" w:rsidR="00946943" w:rsidRPr="00C662C0" w:rsidRDefault="00946943" w:rsidP="00946943">
      <w:pPr>
        <w:spacing w:after="0" w:line="276" w:lineRule="auto"/>
        <w:jc w:val="both"/>
        <w:rPr>
          <w:rFonts w:ascii="Arial" w:eastAsia="Calibri" w:hAnsi="Arial" w:cs="Arial"/>
          <w:lang w:val="es-ES" w:eastAsia="es-ES_tradnl"/>
        </w:rPr>
      </w:pPr>
      <w:r w:rsidRPr="00C662C0">
        <w:rPr>
          <w:rFonts w:ascii="Arial" w:eastAsia="Calibri" w:hAnsi="Arial" w:cs="Arial"/>
          <w:lang w:val="es-ES" w:eastAsia="es-ES_tradnl"/>
        </w:rPr>
        <w:t>En ejercicio de la competencia otorgada por el numeral 8° del artículo 11 y el numeral 5° del artículo 3 del Decreto Ley 4170 de 2011</w:t>
      </w:r>
      <w:r w:rsidRPr="00C662C0">
        <w:rPr>
          <w:rFonts w:ascii="Arial" w:eastAsia="Calibri" w:hAnsi="Arial" w:cs="Arial"/>
          <w:lang w:eastAsia="es-ES_tradnl"/>
        </w:rPr>
        <w:t xml:space="preserve">, </w:t>
      </w:r>
      <w:r w:rsidRPr="00C662C0">
        <w:rPr>
          <w:rFonts w:ascii="Arial" w:eastAsia="Times New Roman" w:hAnsi="Arial" w:cs="Arial"/>
          <w:lang w:eastAsia="es-ES_tradnl"/>
        </w:rPr>
        <w:t>así como lo establecido en la Resolución 1707 de 2018 expedida por esta Entidad</w:t>
      </w:r>
      <w:r w:rsidRPr="00C662C0">
        <w:rPr>
          <w:rFonts w:ascii="Arial" w:eastAsia="Calibri" w:hAnsi="Arial" w:cs="Arial"/>
          <w:lang w:val="es-ES" w:eastAsia="es-ES_tradnl"/>
        </w:rPr>
        <w:t xml:space="preserve">, la Agencia Nacional de Contratación Pública </w:t>
      </w:r>
      <w:r>
        <w:rPr>
          <w:rFonts w:ascii="Arial" w:eastAsia="Calibri" w:hAnsi="Arial" w:cs="Arial"/>
          <w:lang w:val="es-ES" w:eastAsia="es-ES_tradnl"/>
        </w:rPr>
        <w:t>-</w:t>
      </w:r>
      <w:r w:rsidRPr="00C662C0">
        <w:rPr>
          <w:rFonts w:ascii="Arial" w:eastAsia="Calibri" w:hAnsi="Arial" w:cs="Arial"/>
          <w:lang w:val="es-ES" w:eastAsia="es-ES_tradnl"/>
        </w:rPr>
        <w:t xml:space="preserve"> Colombia Compra Eficiente responde su consulta del 1</w:t>
      </w:r>
      <w:r>
        <w:rPr>
          <w:rFonts w:ascii="Arial" w:eastAsia="Calibri" w:hAnsi="Arial" w:cs="Arial"/>
          <w:lang w:val="es-ES" w:eastAsia="es-ES_tradnl"/>
        </w:rPr>
        <w:t>1</w:t>
      </w:r>
      <w:r w:rsidRPr="00C662C0">
        <w:rPr>
          <w:rFonts w:ascii="Arial" w:eastAsia="Calibri" w:hAnsi="Arial" w:cs="Arial"/>
          <w:lang w:val="es-ES" w:eastAsia="es-ES_tradnl"/>
        </w:rPr>
        <w:t xml:space="preserve"> de </w:t>
      </w:r>
      <w:r>
        <w:rPr>
          <w:rFonts w:ascii="Arial" w:eastAsia="Calibri" w:hAnsi="Arial" w:cs="Arial"/>
          <w:lang w:val="es-ES" w:eastAsia="es-ES_tradnl"/>
        </w:rPr>
        <w:t>octubre</w:t>
      </w:r>
      <w:r w:rsidRPr="00C662C0">
        <w:rPr>
          <w:rFonts w:ascii="Arial" w:eastAsia="Calibri" w:hAnsi="Arial" w:cs="Arial"/>
          <w:lang w:val="es-ES" w:eastAsia="es-ES_tradnl"/>
        </w:rPr>
        <w:t xml:space="preserve"> de 2023.</w:t>
      </w:r>
    </w:p>
    <w:p w14:paraId="51E303C1" w14:textId="77777777" w:rsidR="00946943" w:rsidRDefault="00946943" w:rsidP="00946943">
      <w:pPr>
        <w:spacing w:after="0" w:line="276" w:lineRule="auto"/>
        <w:rPr>
          <w:rFonts w:ascii="Arial" w:hAnsi="Arial" w:cs="Arial"/>
          <w:lang w:val="es-ES"/>
        </w:rPr>
      </w:pPr>
    </w:p>
    <w:p w14:paraId="0D13DCE1" w14:textId="77777777" w:rsidR="00946943" w:rsidRPr="00A0227B" w:rsidRDefault="00946943" w:rsidP="00946943">
      <w:pPr>
        <w:spacing w:after="0" w:line="276" w:lineRule="auto"/>
        <w:rPr>
          <w:rFonts w:ascii="Arial" w:hAnsi="Arial" w:cs="Arial"/>
          <w:b/>
        </w:rPr>
      </w:pPr>
      <w:r>
        <w:rPr>
          <w:rFonts w:ascii="Arial" w:hAnsi="Arial" w:cs="Arial"/>
          <w:b/>
          <w:bCs/>
        </w:rPr>
        <w:t xml:space="preserve">1. </w:t>
      </w:r>
      <w:r w:rsidRPr="00A0227B">
        <w:rPr>
          <w:rFonts w:ascii="Arial" w:hAnsi="Arial" w:cs="Arial"/>
          <w:b/>
        </w:rPr>
        <w:t>Problema planteado</w:t>
      </w:r>
    </w:p>
    <w:p w14:paraId="4E0D6E71" w14:textId="77777777" w:rsidR="00946943" w:rsidRDefault="00946943" w:rsidP="00946943">
      <w:pPr>
        <w:spacing w:after="0" w:line="276" w:lineRule="auto"/>
        <w:rPr>
          <w:rFonts w:ascii="Arial" w:hAnsi="Arial" w:cs="Arial"/>
          <w:lang w:val="es-ES"/>
        </w:rPr>
      </w:pPr>
    </w:p>
    <w:p w14:paraId="7452C28F" w14:textId="77777777" w:rsidR="00946943" w:rsidRDefault="00946943" w:rsidP="00946943">
      <w:pPr>
        <w:spacing w:after="0" w:line="276" w:lineRule="auto"/>
        <w:rPr>
          <w:rFonts w:ascii="Arial" w:hAnsi="Arial" w:cs="Arial"/>
          <w:lang w:val="es-ES"/>
        </w:rPr>
      </w:pPr>
      <w:r>
        <w:rPr>
          <w:rFonts w:ascii="Arial" w:hAnsi="Arial" w:cs="Arial"/>
          <w:lang w:val="es-ES"/>
        </w:rPr>
        <w:t>Usted formula las siguientes preguntas:</w:t>
      </w:r>
    </w:p>
    <w:p w14:paraId="25FEDC2A" w14:textId="77777777" w:rsidR="00946943" w:rsidRDefault="00946943" w:rsidP="00946943">
      <w:pPr>
        <w:spacing w:after="0" w:line="276" w:lineRule="auto"/>
        <w:rPr>
          <w:rFonts w:ascii="Arial" w:hAnsi="Arial" w:cs="Arial"/>
          <w:lang w:val="es-ES"/>
        </w:rPr>
      </w:pPr>
    </w:p>
    <w:p w14:paraId="3D51069B" w14:textId="77777777" w:rsidR="00946943" w:rsidRDefault="00946943" w:rsidP="00946943">
      <w:pPr>
        <w:spacing w:after="0" w:line="276" w:lineRule="auto"/>
        <w:ind w:left="709" w:right="709"/>
        <w:jc w:val="both"/>
        <w:rPr>
          <w:rFonts w:ascii="Arial" w:hAnsi="Arial" w:cs="Arial"/>
          <w:i/>
          <w:iCs/>
          <w:sz w:val="21"/>
          <w:szCs w:val="21"/>
          <w:lang w:val="es-ES"/>
        </w:rPr>
      </w:pPr>
      <w:r w:rsidRPr="008E4768">
        <w:rPr>
          <w:rFonts w:ascii="Arial" w:hAnsi="Arial" w:cs="Arial"/>
          <w:i/>
          <w:iCs/>
          <w:sz w:val="21"/>
          <w:szCs w:val="21"/>
          <w:lang w:val="es-ES"/>
        </w:rPr>
        <w:t>“Primera: si es expedida y notificada una Resolución Unilateral que liquida un convenio interadministrativo, un día antes del vencimiento del plazo que se tiene para la liquidación judicial ¿la entidad ya perdió competencia para liquidar ese convenio?</w:t>
      </w:r>
    </w:p>
    <w:p w14:paraId="68774FDB" w14:textId="77777777" w:rsidR="00946943" w:rsidRPr="008E4768" w:rsidRDefault="00946943" w:rsidP="00946943">
      <w:pPr>
        <w:spacing w:after="0" w:line="276" w:lineRule="auto"/>
        <w:ind w:left="709" w:right="709"/>
        <w:jc w:val="both"/>
        <w:rPr>
          <w:rFonts w:ascii="Arial" w:hAnsi="Arial" w:cs="Arial"/>
          <w:i/>
          <w:iCs/>
          <w:sz w:val="21"/>
          <w:szCs w:val="21"/>
          <w:lang w:val="es-ES"/>
        </w:rPr>
      </w:pPr>
    </w:p>
    <w:p w14:paraId="443F85CF" w14:textId="77777777" w:rsidR="00946943" w:rsidRDefault="00946943" w:rsidP="00946943">
      <w:pPr>
        <w:spacing w:after="0" w:line="276" w:lineRule="auto"/>
        <w:ind w:left="709" w:right="709"/>
        <w:jc w:val="both"/>
        <w:rPr>
          <w:rFonts w:ascii="Arial" w:hAnsi="Arial" w:cs="Arial"/>
          <w:i/>
          <w:iCs/>
          <w:sz w:val="21"/>
          <w:szCs w:val="21"/>
          <w:lang w:val="es-ES"/>
        </w:rPr>
      </w:pPr>
      <w:r w:rsidRPr="008E4768">
        <w:rPr>
          <w:rFonts w:ascii="Arial" w:hAnsi="Arial" w:cs="Arial"/>
          <w:i/>
          <w:iCs/>
          <w:sz w:val="21"/>
          <w:szCs w:val="21"/>
          <w:lang w:val="es-ES"/>
        </w:rPr>
        <w:lastRenderedPageBreak/>
        <w:t>Segunda: ¿si frente a esa resolución se interpone recurso de reposición, aplica si o no la pérdida de competencia o el hecho de haber notificado el día antes a la pérdida de competencia me habilita para resolver el recurso, notificarlo y expedir ejecutoria y posteriormente envío a la jurisdicción coactiva?</w:t>
      </w:r>
    </w:p>
    <w:p w14:paraId="53FD3CB3" w14:textId="77777777" w:rsidR="00946943" w:rsidRPr="008E4768" w:rsidRDefault="00946943" w:rsidP="00946943">
      <w:pPr>
        <w:spacing w:after="0" w:line="276" w:lineRule="auto"/>
        <w:ind w:left="709" w:right="709"/>
        <w:jc w:val="both"/>
        <w:rPr>
          <w:rFonts w:ascii="Arial" w:hAnsi="Arial" w:cs="Arial"/>
          <w:i/>
          <w:iCs/>
          <w:sz w:val="21"/>
          <w:szCs w:val="21"/>
          <w:lang w:val="es-ES"/>
        </w:rPr>
      </w:pPr>
    </w:p>
    <w:p w14:paraId="350E8B73" w14:textId="77777777" w:rsidR="00946943" w:rsidRPr="008E4768" w:rsidRDefault="00946943" w:rsidP="00946943">
      <w:pPr>
        <w:spacing w:after="0" w:line="276" w:lineRule="auto"/>
        <w:ind w:left="709" w:right="709"/>
        <w:jc w:val="both"/>
        <w:rPr>
          <w:rFonts w:ascii="Arial" w:hAnsi="Arial" w:cs="Arial"/>
          <w:i/>
          <w:iCs/>
          <w:sz w:val="21"/>
          <w:szCs w:val="21"/>
          <w:lang w:val="es-ES"/>
        </w:rPr>
      </w:pPr>
      <w:r w:rsidRPr="008E4768">
        <w:rPr>
          <w:rFonts w:ascii="Arial" w:hAnsi="Arial" w:cs="Arial"/>
          <w:i/>
          <w:iCs/>
          <w:sz w:val="21"/>
          <w:szCs w:val="21"/>
          <w:lang w:val="es-ES"/>
        </w:rPr>
        <w:t>Tercera: ¿es procedente la liquidación unilateral de convenios interadministrativos, entre entidades regidas por la Ley 80 de 1993?”.</w:t>
      </w:r>
    </w:p>
    <w:p w14:paraId="0A088E40" w14:textId="77777777" w:rsidR="00946943" w:rsidRDefault="00946943" w:rsidP="00946943">
      <w:pPr>
        <w:tabs>
          <w:tab w:val="left" w:pos="7851"/>
        </w:tabs>
        <w:spacing w:after="0" w:line="276" w:lineRule="auto"/>
        <w:rPr>
          <w:rFonts w:ascii="Arial" w:hAnsi="Arial" w:cs="Arial"/>
          <w:i/>
          <w:iCs/>
          <w:lang w:val="es-ES"/>
        </w:rPr>
      </w:pPr>
      <w:r>
        <w:rPr>
          <w:rFonts w:ascii="Arial" w:hAnsi="Arial" w:cs="Arial"/>
          <w:i/>
          <w:iCs/>
          <w:lang w:val="es-ES"/>
        </w:rPr>
        <w:tab/>
      </w:r>
    </w:p>
    <w:p w14:paraId="0545EE11" w14:textId="77777777" w:rsidR="00946943" w:rsidRPr="00A0227B" w:rsidRDefault="00946943" w:rsidP="00946943">
      <w:pPr>
        <w:tabs>
          <w:tab w:val="left" w:pos="7851"/>
        </w:tabs>
        <w:spacing w:after="0" w:line="276" w:lineRule="auto"/>
        <w:rPr>
          <w:rFonts w:ascii="Arial" w:hAnsi="Arial" w:cs="Arial"/>
          <w:b/>
        </w:rPr>
      </w:pPr>
      <w:r>
        <w:rPr>
          <w:rFonts w:ascii="Arial" w:hAnsi="Arial" w:cs="Arial"/>
          <w:b/>
          <w:bCs/>
        </w:rPr>
        <w:t xml:space="preserve">2. </w:t>
      </w:r>
      <w:r w:rsidRPr="00A0227B">
        <w:rPr>
          <w:rFonts w:ascii="Arial" w:hAnsi="Arial" w:cs="Arial"/>
          <w:b/>
        </w:rPr>
        <w:t xml:space="preserve">Consideraciones </w:t>
      </w:r>
    </w:p>
    <w:p w14:paraId="66CABA38" w14:textId="77777777" w:rsidR="00946943" w:rsidRPr="00B32201" w:rsidRDefault="00946943" w:rsidP="00946943">
      <w:pPr>
        <w:tabs>
          <w:tab w:val="left" w:pos="7851"/>
        </w:tabs>
        <w:spacing w:after="0" w:line="276" w:lineRule="auto"/>
        <w:ind w:left="360"/>
        <w:rPr>
          <w:rFonts w:ascii="Arial" w:hAnsi="Arial" w:cs="Arial"/>
          <w:b/>
          <w:bCs/>
        </w:rPr>
      </w:pPr>
    </w:p>
    <w:p w14:paraId="0A56F174" w14:textId="77777777" w:rsidR="00946943" w:rsidRPr="000328B9" w:rsidRDefault="00946943" w:rsidP="27A719FD">
      <w:pPr>
        <w:spacing w:after="120" w:line="276" w:lineRule="auto"/>
        <w:jc w:val="both"/>
        <w:rPr>
          <w:rFonts w:ascii="Arial" w:eastAsia="Times New Roman" w:hAnsi="Arial" w:cs="Arial"/>
          <w:lang w:val="es-ES" w:eastAsia="es-MX"/>
        </w:rPr>
      </w:pPr>
      <w:r w:rsidRPr="27A719FD">
        <w:rPr>
          <w:rFonts w:ascii="Arial" w:eastAsia="Times New Roman" w:hAnsi="Arial" w:cs="Arial"/>
          <w:lang w:val="es-ES" w:eastAsia="es-MX"/>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Agencia Nacional de Contratación Pública – Colombia Compra Eficiente como una autoridad para solucionar problemas jurídicos particulares de todos los partícipes de la contratación estatal.</w:t>
      </w:r>
    </w:p>
    <w:p w14:paraId="4479B353" w14:textId="77777777" w:rsidR="00946943" w:rsidRDefault="00946943" w:rsidP="00946943">
      <w:pPr>
        <w:spacing w:after="120" w:line="276" w:lineRule="auto"/>
        <w:jc w:val="both"/>
        <w:rPr>
          <w:rFonts w:ascii="Arial" w:eastAsia="Times New Roman" w:hAnsi="Arial" w:cs="Arial"/>
          <w:lang w:val="es-ES_tradnl" w:eastAsia="es-MX"/>
        </w:rPr>
      </w:pPr>
      <w:r>
        <w:rPr>
          <w:rFonts w:ascii="Arial" w:eastAsia="Times New Roman" w:hAnsi="Arial" w:cs="Arial"/>
          <w:lang w:val="es-ES_tradnl" w:eastAsia="es-MX"/>
        </w:rPr>
        <w:tab/>
      </w:r>
      <w:r w:rsidRPr="00A0227B">
        <w:rPr>
          <w:rFonts w:ascii="Arial" w:eastAsia="Times New Roman" w:hAnsi="Arial" w:cs="Arial"/>
          <w:lang w:val="es-ES_tradnl" w:eastAsia="es-MX"/>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B32201">
        <w:rPr>
          <w:vertAlign w:val="superscript"/>
          <w:lang w:eastAsia="es-MX"/>
        </w:rPr>
        <w:footnoteReference w:id="3"/>
      </w:r>
      <w:r w:rsidRPr="00A0227B">
        <w:rPr>
          <w:rFonts w:ascii="Arial" w:eastAsia="Times New Roman" w:hAnsi="Arial" w:cs="Arial"/>
          <w:lang w:val="es-ES_tradnl" w:eastAsia="es-MX"/>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 </w:t>
      </w:r>
    </w:p>
    <w:p w14:paraId="0BE15C3C" w14:textId="17E6AEBF" w:rsidR="00946943" w:rsidRPr="00D64021" w:rsidRDefault="00946943" w:rsidP="00946943">
      <w:pPr>
        <w:spacing w:after="120" w:line="276" w:lineRule="auto"/>
        <w:ind w:firstLine="708"/>
        <w:jc w:val="both"/>
        <w:rPr>
          <w:rFonts w:ascii="Arial" w:hAnsi="Arial" w:cs="Arial"/>
        </w:rPr>
      </w:pPr>
      <w:r w:rsidRPr="27A719FD">
        <w:rPr>
          <w:rFonts w:ascii="Arial" w:eastAsia="Times New Roman" w:hAnsi="Arial" w:cs="Arial"/>
          <w:lang w:val="es-ES" w:eastAsia="es-MX"/>
        </w:rPr>
        <w:t xml:space="preserve">Sin perjuicio de lo anterior, dentro de los límites de las atribuciones de la función consultiva atribuida a esta entidad, esto es, interpretando de manera general las normas relevantes, la Agencia, para absolver </w:t>
      </w:r>
      <w:r w:rsidRPr="00D64021">
        <w:rPr>
          <w:rFonts w:ascii="Arial" w:hAnsi="Arial" w:cs="Arial"/>
        </w:rPr>
        <w:t>l</w:t>
      </w:r>
      <w:r>
        <w:rPr>
          <w:rFonts w:ascii="Arial" w:hAnsi="Arial" w:cs="Arial"/>
        </w:rPr>
        <w:t>o</w:t>
      </w:r>
      <w:r w:rsidRPr="00D64021">
        <w:rPr>
          <w:rFonts w:ascii="Arial" w:hAnsi="Arial" w:cs="Arial"/>
        </w:rPr>
        <w:t xml:space="preserve">s interrogantes, estudiará los siguientes temas: i) la liquidación de los contratos estatales, ii) tipos de liquidación, </w:t>
      </w:r>
      <w:r w:rsidRPr="27A719FD">
        <w:rPr>
          <w:rFonts w:ascii="Arial" w:hAnsi="Arial" w:cs="Arial"/>
        </w:rPr>
        <w:t>término</w:t>
      </w:r>
      <w:r w:rsidR="5D153DEC" w:rsidRPr="27A719FD">
        <w:rPr>
          <w:rFonts w:ascii="Arial" w:hAnsi="Arial" w:cs="Arial"/>
        </w:rPr>
        <w:t>s</w:t>
      </w:r>
      <w:r w:rsidRPr="00D64021">
        <w:rPr>
          <w:rFonts w:ascii="Arial" w:hAnsi="Arial" w:cs="Arial"/>
        </w:rPr>
        <w:t xml:space="preserve"> para efectuarla y, pérdida de competencia</w:t>
      </w:r>
      <w:r>
        <w:rPr>
          <w:rFonts w:ascii="Arial" w:hAnsi="Arial" w:cs="Arial"/>
        </w:rPr>
        <w:t>, y</w:t>
      </w:r>
      <w:r w:rsidRPr="00D64021">
        <w:rPr>
          <w:rFonts w:ascii="Arial" w:hAnsi="Arial" w:cs="Arial"/>
        </w:rPr>
        <w:t xml:space="preserve"> iii) convenios interadministrativos</w:t>
      </w:r>
      <w:r>
        <w:rPr>
          <w:rFonts w:ascii="Arial" w:hAnsi="Arial" w:cs="Arial"/>
        </w:rPr>
        <w:t xml:space="preserve"> y su liquidación</w:t>
      </w:r>
      <w:r w:rsidRPr="00D64021">
        <w:rPr>
          <w:rFonts w:ascii="Arial" w:hAnsi="Arial" w:cs="Arial"/>
        </w:rPr>
        <w:t>.</w:t>
      </w:r>
    </w:p>
    <w:p w14:paraId="5F9C1E8B" w14:textId="77777777" w:rsidR="00946943" w:rsidRDefault="00946943" w:rsidP="00946943">
      <w:pPr>
        <w:spacing w:after="120" w:line="276" w:lineRule="auto"/>
        <w:ind w:firstLine="708"/>
        <w:jc w:val="both"/>
        <w:rPr>
          <w:rFonts w:ascii="Arial" w:eastAsia="Times New Roman" w:hAnsi="Arial" w:cs="Arial"/>
          <w:lang w:val="es-ES_tradnl" w:eastAsia="es-MX"/>
        </w:rPr>
      </w:pPr>
      <w:r w:rsidRPr="00A0227B">
        <w:rPr>
          <w:rFonts w:ascii="Arial" w:eastAsia="Times New Roman" w:hAnsi="Arial" w:cs="Arial"/>
          <w:lang w:val="es-ES_tradnl" w:eastAsia="es-MX"/>
        </w:rPr>
        <w:lastRenderedPageBreak/>
        <w:t>La Agencia Nacional de Contratación Pública-Colombia Compra Eficiente se pronunció sobre la liquidación de los contratos en el concepto radicado No. 4201913000008510 de 2020, y en los conceptos con números internos CU-028 de 2020, C-220 de 2021, C-625 de 2020, C-307 de 2023, C-360 de 2023, C-209 de 2023, C-158 de 2023, C-176 de 2023, C-019 de 2023, C-015 de 2023, C-955 de 2022, C-930 de 2022, C-924 de 2022, C-873 de 2022, C-876 de 2022, C-548 de 2021, C-494 de 2021, C-444 de 2021, C-168 de 2021, C-103 de 2021, C-078 de 2020, C-739 de 2020, C-646 de 2020, C-616 de 2020, C-479 de 2020, C-221 de 2020, C-625 de 2020.</w:t>
      </w:r>
    </w:p>
    <w:p w14:paraId="034CB5E8" w14:textId="77777777" w:rsidR="00946943" w:rsidRPr="00A0227B" w:rsidRDefault="00946943" w:rsidP="00946943">
      <w:pPr>
        <w:spacing w:after="120" w:line="276" w:lineRule="auto"/>
        <w:ind w:firstLine="708"/>
        <w:jc w:val="both"/>
        <w:rPr>
          <w:rFonts w:ascii="Arial" w:eastAsia="Times New Roman" w:hAnsi="Arial" w:cs="Arial"/>
          <w:lang w:val="es-ES_tradnl" w:eastAsia="es-MX"/>
        </w:rPr>
      </w:pPr>
      <w:r w:rsidRPr="00A0227B">
        <w:rPr>
          <w:rFonts w:ascii="Arial" w:eastAsia="Times New Roman" w:hAnsi="Arial" w:cs="Arial"/>
          <w:lang w:val="es-ES_tradnl" w:eastAsia="es-MX"/>
        </w:rPr>
        <w:t>Sobre los contratos o convenios interadministrativos se pronunció en los conceptos C-143 de 2023, C-226 de 2023, C-354 de 2023, C-359 de 2023, C-171 de 2023, C-257 de 2023, C-332 de 2023, C-331 de 2023, C-239 de 2023, C-308 de 2023, C-380 de 2023, C-212 de 2023, C-320 de 2023, C-314 de 2023, C-311 de 2023, C-233 de 2023, C-358 de 2023, C-268 de 2023, C-247 de 2023, C-136 de 2023, C-251 de 2023, C-182 de 2023, C-134 de 2023, C-241 de 2023, C-105 de 2023, C-193 de 2023, C-149 de 2023, C-243 de 2023, C-145 de 2023, C-118 de 2023, C-115 de 2023, C-098 de 2023, C-056 de 2023, C-052 de 2023, C-049 de 2023, C-027 de 2023, C-116 de 2023, C-033 de 2023, C-916 de 2022, C-893 de 2022, C-910 de 2022, C-795 de 2022, C-727 de 2022, C-664 de 2022, C-659 de 2022, C-608 de 2022, C-270 de 2022, C-450 de 2022, C-230 de 2022, C-608 de 2022, C-270 de 2022, C-450 de 2022, C-230 de 2022, C-387 de 2022, C-272 de 2022, C-350 de 2022, C-337 de 2022, C-329 de 2022, C-364 de 2022, C-175 de 2022, C-368 de 2022, C-258 de 2022, C-231 de 2022, C-207 de 2022, C-004 de 2022, C-746 de 2021, C-743 de 2021, C-740 de 2021, C-736 de 2021, C-720 de 2021, C-726 de 2021, C-037 de 2021, C-715 de 2021, C-015 de 2021, C-702 de 2021, C-699 de 2021, C-723 de 2021, C-695 de 2021, C-686 de 2021, C-674 de 2021, C-677 de 2021, C-633 de 2021, C-614 de 2021, C-585 de 2021</w:t>
      </w:r>
      <w:r>
        <w:rPr>
          <w:rStyle w:val="Refdenotaalpie"/>
          <w:rFonts w:ascii="Arial" w:eastAsia="Times New Roman" w:hAnsi="Arial" w:cs="Arial"/>
          <w:lang w:val="es-ES_tradnl" w:eastAsia="es-MX"/>
        </w:rPr>
        <w:footnoteReference w:id="4"/>
      </w:r>
      <w:r w:rsidRPr="00A0227B">
        <w:rPr>
          <w:rFonts w:ascii="Arial" w:eastAsia="Times New Roman" w:hAnsi="Arial" w:cs="Arial"/>
          <w:lang w:val="es-ES_tradnl" w:eastAsia="es-MX"/>
        </w:rPr>
        <w:t xml:space="preserve">. </w:t>
      </w:r>
      <w:r w:rsidRPr="000328B9">
        <w:rPr>
          <w:rFonts w:ascii="Arial" w:eastAsia="Times New Roman" w:hAnsi="Arial" w:cs="Arial"/>
          <w:lang w:val="es-ES_tradnl" w:eastAsia="es-MX"/>
        </w:rPr>
        <w:t>La</w:t>
      </w:r>
      <w:r>
        <w:rPr>
          <w:rFonts w:ascii="Arial" w:eastAsia="Times New Roman" w:hAnsi="Arial" w:cs="Arial"/>
          <w:lang w:val="es-ES_tradnl" w:eastAsia="es-MX"/>
        </w:rPr>
        <w:t>s</w:t>
      </w:r>
      <w:r w:rsidRPr="00A0227B">
        <w:rPr>
          <w:rFonts w:ascii="Arial" w:eastAsia="Times New Roman" w:hAnsi="Arial" w:cs="Arial"/>
          <w:lang w:val="es-ES_tradnl" w:eastAsia="es-MX"/>
        </w:rPr>
        <w:t xml:space="preserve"> tesis expuestas en dichas oportunidades se reiteran</w:t>
      </w:r>
      <w:r>
        <w:rPr>
          <w:rFonts w:ascii="Arial" w:eastAsia="Times New Roman" w:hAnsi="Arial" w:cs="Arial"/>
          <w:lang w:val="es-ES_tradnl" w:eastAsia="es-MX"/>
        </w:rPr>
        <w:t xml:space="preserve"> y complementan</w:t>
      </w:r>
      <w:r w:rsidRPr="000328B9">
        <w:rPr>
          <w:rFonts w:ascii="Arial" w:eastAsia="Times New Roman" w:hAnsi="Arial" w:cs="Arial"/>
          <w:lang w:val="es-ES_tradnl" w:eastAsia="es-MX"/>
        </w:rPr>
        <w:t xml:space="preserve"> </w:t>
      </w:r>
      <w:r w:rsidRPr="00A0227B">
        <w:rPr>
          <w:rFonts w:ascii="Arial" w:eastAsia="Times New Roman" w:hAnsi="Arial" w:cs="Arial"/>
          <w:lang w:val="es-ES_tradnl" w:eastAsia="es-MX"/>
        </w:rPr>
        <w:t>a continuación.</w:t>
      </w:r>
    </w:p>
    <w:p w14:paraId="30EB3EFA" w14:textId="77777777" w:rsidR="00946943" w:rsidRDefault="00946943" w:rsidP="00946943">
      <w:pPr>
        <w:tabs>
          <w:tab w:val="left" w:pos="7851"/>
        </w:tabs>
        <w:spacing w:after="0" w:line="276" w:lineRule="auto"/>
        <w:rPr>
          <w:rFonts w:ascii="Arial" w:hAnsi="Arial" w:cs="Arial"/>
        </w:rPr>
      </w:pPr>
    </w:p>
    <w:p w14:paraId="4BDBD16B" w14:textId="77777777" w:rsidR="00946943" w:rsidRPr="00A0227B" w:rsidRDefault="00946943" w:rsidP="00946943">
      <w:pPr>
        <w:tabs>
          <w:tab w:val="left" w:pos="7851"/>
        </w:tabs>
        <w:spacing w:after="0" w:line="276" w:lineRule="auto"/>
        <w:rPr>
          <w:rFonts w:ascii="Arial" w:hAnsi="Arial" w:cs="Arial"/>
          <w:b/>
        </w:rPr>
      </w:pPr>
      <w:r>
        <w:rPr>
          <w:rFonts w:ascii="Arial" w:hAnsi="Arial" w:cs="Arial"/>
          <w:b/>
          <w:bCs/>
        </w:rPr>
        <w:t xml:space="preserve">2.1 </w:t>
      </w:r>
      <w:r w:rsidRPr="00A0227B">
        <w:rPr>
          <w:rFonts w:ascii="Arial" w:hAnsi="Arial" w:cs="Arial"/>
          <w:b/>
        </w:rPr>
        <w:t>Liquidación de los contratos estatales</w:t>
      </w:r>
    </w:p>
    <w:p w14:paraId="4AFDC31F" w14:textId="77777777" w:rsidR="00946943" w:rsidRDefault="00946943" w:rsidP="00946943">
      <w:pPr>
        <w:pStyle w:val="Prrafodelista"/>
        <w:tabs>
          <w:tab w:val="left" w:pos="7851"/>
        </w:tabs>
        <w:spacing w:after="0" w:line="276" w:lineRule="auto"/>
        <w:ind w:left="1080"/>
        <w:rPr>
          <w:rFonts w:ascii="Arial" w:hAnsi="Arial" w:cs="Arial"/>
          <w:b/>
          <w:bCs/>
        </w:rPr>
      </w:pPr>
    </w:p>
    <w:p w14:paraId="04336085" w14:textId="77777777" w:rsidR="00946943" w:rsidRPr="00D15703" w:rsidRDefault="00946943" w:rsidP="00946943">
      <w:pPr>
        <w:spacing w:after="200" w:line="276" w:lineRule="auto"/>
        <w:jc w:val="both"/>
        <w:rPr>
          <w:rFonts w:ascii="Arial" w:hAnsi="Arial" w:cs="Arial"/>
          <w:color w:val="000000" w:themeColor="text1"/>
          <w:lang w:val="es-ES_tradnl"/>
        </w:rPr>
      </w:pPr>
      <w:r w:rsidRPr="00D15703">
        <w:rPr>
          <w:rFonts w:ascii="Arial" w:hAnsi="Arial" w:cs="Arial"/>
          <w:color w:val="000000" w:themeColor="text1"/>
          <w:lang w:val="es-ES_tradnl"/>
        </w:rPr>
        <w:t>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cumplidas</w:t>
      </w:r>
      <w:r w:rsidRPr="00D15703">
        <w:rPr>
          <w:rFonts w:ascii="Arial" w:hAnsi="Arial" w:cs="Arial"/>
          <w:color w:val="000000" w:themeColor="text1"/>
          <w:vertAlign w:val="superscript"/>
          <w:lang w:val="es-ES_tradnl"/>
        </w:rPr>
        <w:footnoteReference w:id="5"/>
      </w:r>
      <w:r w:rsidRPr="00D15703">
        <w:rPr>
          <w:rFonts w:ascii="Arial" w:hAnsi="Arial" w:cs="Arial"/>
          <w:color w:val="000000" w:themeColor="text1"/>
          <w:lang w:val="es-ES_tradnl"/>
        </w:rPr>
        <w:t>. En armonía con lo anterior, la doctrina ha definido la liquidación de la siguiente manera:</w:t>
      </w:r>
    </w:p>
    <w:p w14:paraId="420A8324" w14:textId="77777777" w:rsidR="00946943" w:rsidRPr="00D15703" w:rsidRDefault="00946943" w:rsidP="00946943">
      <w:pPr>
        <w:spacing w:after="200" w:line="276" w:lineRule="auto"/>
        <w:ind w:left="709" w:right="758"/>
        <w:jc w:val="both"/>
        <w:rPr>
          <w:rFonts w:ascii="Arial" w:hAnsi="Arial" w:cs="Arial"/>
          <w:sz w:val="21"/>
          <w:szCs w:val="21"/>
          <w:lang w:val="es-MX"/>
        </w:rPr>
      </w:pPr>
      <w:r>
        <w:rPr>
          <w:rFonts w:ascii="Arial" w:hAnsi="Arial" w:cs="Arial"/>
          <w:i/>
          <w:iCs/>
          <w:color w:val="000000" w:themeColor="text1"/>
          <w:sz w:val="21"/>
          <w:szCs w:val="21"/>
          <w:lang w:val="es-ES_tradnl"/>
        </w:rPr>
        <w:lastRenderedPageBreak/>
        <w:t>“</w:t>
      </w:r>
      <w:r w:rsidRPr="00D15703">
        <w:rPr>
          <w:rFonts w:ascii="Arial" w:hAnsi="Arial" w:cs="Arial"/>
          <w:sz w:val="21"/>
          <w:szCs w:val="21"/>
          <w:lang w:val="es-MX"/>
        </w:rPr>
        <w:t>[…]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ii) definir la situación jurídica de las partes, estableciendo si pueden constituirse o no a paz y salvo; lo que exige, en la práctica, que los negociantes dialoguen e intenten ponerse de acuerdo (aspecto subjetivo)</w:t>
      </w:r>
      <w:r>
        <w:rPr>
          <w:rFonts w:ascii="Arial" w:hAnsi="Arial" w:cs="Arial"/>
          <w:sz w:val="21"/>
          <w:szCs w:val="21"/>
          <w:lang w:val="es-MX"/>
        </w:rPr>
        <w:t>”.</w:t>
      </w:r>
      <w:r w:rsidRPr="00D15703">
        <w:rPr>
          <w:rFonts w:ascii="Arial" w:hAnsi="Arial" w:cs="Arial"/>
          <w:sz w:val="21"/>
          <w:szCs w:val="21"/>
          <w:vertAlign w:val="superscript"/>
          <w:lang w:val="es-MX"/>
        </w:rPr>
        <w:footnoteReference w:id="6"/>
      </w:r>
      <w:r w:rsidRPr="00D15703">
        <w:rPr>
          <w:rFonts w:ascii="Arial" w:hAnsi="Arial" w:cs="Arial"/>
          <w:sz w:val="21"/>
          <w:szCs w:val="21"/>
          <w:lang w:val="es-MX"/>
        </w:rPr>
        <w:t xml:space="preserve"> </w:t>
      </w:r>
    </w:p>
    <w:p w14:paraId="2855D818" w14:textId="77777777" w:rsidR="00946943" w:rsidRPr="00D15703" w:rsidRDefault="00946943" w:rsidP="00946943">
      <w:pPr>
        <w:spacing w:after="120" w:line="276" w:lineRule="auto"/>
        <w:ind w:firstLine="709"/>
        <w:jc w:val="both"/>
        <w:rPr>
          <w:rFonts w:ascii="Arial" w:hAnsi="Arial" w:cs="Arial"/>
          <w:color w:val="000000" w:themeColor="text1"/>
          <w:sz w:val="21"/>
          <w:szCs w:val="21"/>
          <w:lang w:val="es-ES_tradnl"/>
        </w:rPr>
      </w:pPr>
      <w:r w:rsidRPr="00D15703">
        <w:rPr>
          <w:rFonts w:ascii="Arial" w:hAnsi="Arial" w:cs="Arial"/>
          <w:color w:val="000000" w:themeColor="text1"/>
          <w:lang w:val="es-ES_tradnl"/>
        </w:rPr>
        <w:t xml:space="preserve">En línea con lo anterior, 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00D15703">
        <w:rPr>
          <w:rFonts w:ascii="Arial" w:hAnsi="Arial" w:cs="Arial"/>
          <w:i/>
          <w:iCs/>
          <w:color w:val="000000" w:themeColor="text1"/>
          <w:lang w:val="es-ES_tradnl"/>
        </w:rPr>
        <w:t>liquidar</w:t>
      </w:r>
      <w:r w:rsidRPr="00D15703">
        <w:rPr>
          <w:rFonts w:ascii="Arial" w:hAnsi="Arial" w:cs="Arial"/>
          <w:color w:val="000000" w:themeColor="text1"/>
          <w:lang w:val="es-ES_tradnl"/>
        </w:rPr>
        <w:t xml:space="preserve"> supone un ajuste en relación con las cuentas y el estado de cumplimiento del contrato estatal y, por el otro, que la </w:t>
      </w:r>
      <w:r w:rsidRPr="00D15703">
        <w:rPr>
          <w:rFonts w:ascii="Arial" w:hAnsi="Arial" w:cs="Arial"/>
          <w:i/>
          <w:iCs/>
          <w:color w:val="000000" w:themeColor="text1"/>
          <w:lang w:val="es-ES_tradnl"/>
        </w:rPr>
        <w:t>liquidación</w:t>
      </w:r>
      <w:r w:rsidRPr="00D15703">
        <w:rPr>
          <w:rFonts w:ascii="Arial" w:hAnsi="Arial" w:cs="Arial"/>
          <w:color w:val="000000" w:themeColor="text1"/>
          <w:lang w:val="es-ES_tradnl"/>
        </w:rPr>
        <w:t xml:space="preserve"> debe incluir el análisis de las condiciones de calidad y oportunidad en la entrega de los bienes, obras o servicios, así como el balance económico y el comportamiento financiero del negocio</w:t>
      </w:r>
      <w:r w:rsidRPr="00D15703">
        <w:rPr>
          <w:rFonts w:ascii="Arial" w:hAnsi="Arial" w:cs="Arial"/>
          <w:color w:val="000000" w:themeColor="text1"/>
          <w:vertAlign w:val="superscript"/>
          <w:lang w:val="es-ES_tradnl"/>
        </w:rPr>
        <w:footnoteReference w:id="7"/>
      </w:r>
      <w:r w:rsidRPr="00D15703">
        <w:rPr>
          <w:rFonts w:ascii="Arial" w:hAnsi="Arial" w:cs="Arial"/>
          <w:color w:val="000000" w:themeColor="text1"/>
          <w:lang w:val="es-ES_tradnl"/>
        </w:rPr>
        <w:t xml:space="preserve">. </w:t>
      </w:r>
    </w:p>
    <w:p w14:paraId="004FC64C" w14:textId="77777777" w:rsidR="00946943" w:rsidRPr="00D15703" w:rsidRDefault="00946943" w:rsidP="00946943">
      <w:pPr>
        <w:spacing w:after="200" w:line="276" w:lineRule="auto"/>
        <w:ind w:firstLine="709"/>
        <w:jc w:val="both"/>
        <w:rPr>
          <w:rFonts w:ascii="Arial" w:hAnsi="Arial" w:cs="Arial"/>
          <w:color w:val="000000" w:themeColor="text1"/>
          <w:lang w:val="es-ES_tradnl"/>
        </w:rPr>
      </w:pPr>
      <w:r w:rsidRPr="00D15703">
        <w:rPr>
          <w:rFonts w:ascii="Arial" w:hAnsi="Arial" w:cs="Arial"/>
          <w:color w:val="000000" w:themeColor="text1"/>
          <w:lang w:val="es-ES_tradnl"/>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w:t>
      </w:r>
    </w:p>
    <w:p w14:paraId="0F770038" w14:textId="77777777" w:rsidR="00946943" w:rsidRPr="00D15703" w:rsidRDefault="00946943" w:rsidP="00946943">
      <w:pPr>
        <w:spacing w:after="200" w:line="276" w:lineRule="auto"/>
        <w:ind w:left="709" w:right="758"/>
        <w:jc w:val="both"/>
        <w:rPr>
          <w:rFonts w:ascii="Arial" w:hAnsi="Arial" w:cs="Arial"/>
          <w:color w:val="000000"/>
          <w:sz w:val="21"/>
          <w:szCs w:val="21"/>
          <w:shd w:val="clear" w:color="auto" w:fill="FFFFFF"/>
          <w:lang w:val="es-ES_tradnl"/>
        </w:rPr>
      </w:pPr>
      <w:r>
        <w:rPr>
          <w:rFonts w:ascii="Arial" w:hAnsi="Arial" w:cs="Arial"/>
          <w:i/>
          <w:iCs/>
          <w:color w:val="000000" w:themeColor="text1"/>
          <w:lang w:val="es-ES_tradnl"/>
        </w:rPr>
        <w:lastRenderedPageBreak/>
        <w:t>“</w:t>
      </w:r>
      <w:r w:rsidRPr="00D15703">
        <w:rPr>
          <w:rFonts w:ascii="Arial" w:hAnsi="Arial" w:cs="Arial"/>
          <w:sz w:val="21"/>
          <w:szCs w:val="21"/>
          <w:lang w:val="es-MX"/>
        </w:rPr>
        <w:t xml:space="preserve">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w:t>
      </w:r>
      <w:r>
        <w:rPr>
          <w:rFonts w:ascii="Arial" w:hAnsi="Arial" w:cs="Arial"/>
          <w:sz w:val="21"/>
          <w:szCs w:val="21"/>
          <w:lang w:val="es-MX"/>
        </w:rPr>
        <w:t>“</w:t>
      </w:r>
      <w:r w:rsidRPr="00D15703">
        <w:rPr>
          <w:rFonts w:ascii="Arial" w:hAnsi="Arial" w:cs="Arial"/>
          <w:sz w:val="21"/>
          <w:szCs w:val="21"/>
          <w:lang w:val="es-MX"/>
        </w:rPr>
        <w:t>los acuerdos, conciliaciones y transacciones a que llegaren las partes para poner fin a las divergencias presentadas y poder declararse a paz y salvo</w:t>
      </w:r>
      <w:r>
        <w:rPr>
          <w:rFonts w:ascii="Arial" w:hAnsi="Arial" w:cs="Arial"/>
          <w:sz w:val="21"/>
          <w:szCs w:val="21"/>
          <w:lang w:val="es-MX"/>
        </w:rPr>
        <w:t>”.</w:t>
      </w:r>
      <w:r w:rsidRPr="00D15703">
        <w:rPr>
          <w:rFonts w:ascii="Arial" w:hAnsi="Arial" w:cs="Arial"/>
          <w:color w:val="000000"/>
          <w:sz w:val="21"/>
          <w:szCs w:val="21"/>
          <w:shd w:val="clear" w:color="auto" w:fill="FFFFFF"/>
          <w:vertAlign w:val="superscript"/>
          <w:lang w:val="es-MX"/>
        </w:rPr>
        <w:footnoteReference w:id="8"/>
      </w:r>
    </w:p>
    <w:p w14:paraId="63501712" w14:textId="77777777" w:rsidR="00946943" w:rsidRPr="00D15703" w:rsidRDefault="00946943" w:rsidP="00946943">
      <w:pPr>
        <w:spacing w:after="200" w:line="276" w:lineRule="auto"/>
        <w:ind w:firstLine="708"/>
        <w:jc w:val="both"/>
        <w:rPr>
          <w:rFonts w:ascii="Arial" w:hAnsi="Arial" w:cs="Arial"/>
          <w:color w:val="000000" w:themeColor="text1"/>
          <w:lang w:val="es-ES_tradnl"/>
        </w:rPr>
      </w:pPr>
      <w:r w:rsidRPr="00D15703">
        <w:rPr>
          <w:rFonts w:ascii="Arial" w:hAnsi="Arial" w:cs="Arial"/>
          <w:color w:val="000000" w:themeColor="text1"/>
          <w:lang w:val="es-ES_tradnl"/>
        </w:rPr>
        <w:t xml:space="preserve">Así las cosas, de acuerdo con el artículo 60 de la Ley 80 de 1993, los contratos de tracto sucesivo, aquellos cuyo cumplimiento o ejecución se prolongue en el tiempo y los demás que lo requieran </w:t>
      </w:r>
      <w:r>
        <w:rPr>
          <w:rFonts w:ascii="Arial" w:hAnsi="Arial" w:cs="Arial"/>
          <w:color w:val="000000" w:themeColor="text1"/>
          <w:lang w:val="es-ES_tradnl"/>
        </w:rPr>
        <w:t>“</w:t>
      </w:r>
      <w:r w:rsidRPr="00D15703">
        <w:rPr>
          <w:rFonts w:ascii="Arial" w:hAnsi="Arial" w:cs="Arial"/>
          <w:i/>
          <w:iCs/>
          <w:color w:val="000000" w:themeColor="text1"/>
          <w:lang w:val="es-ES_tradnl"/>
        </w:rPr>
        <w:t>serán objeto de liquidación</w:t>
      </w:r>
      <w:r>
        <w:rPr>
          <w:rFonts w:ascii="Arial" w:hAnsi="Arial" w:cs="Arial"/>
          <w:color w:val="000000" w:themeColor="text1"/>
          <w:lang w:val="es-ES_tradnl"/>
        </w:rPr>
        <w:t>”</w:t>
      </w:r>
      <w:r w:rsidRPr="00D15703">
        <w:rPr>
          <w:rFonts w:ascii="Arial" w:hAnsi="Arial" w:cs="Arial"/>
          <w:color w:val="000000" w:themeColor="text1"/>
          <w:lang w:val="es-ES_tradnl"/>
        </w:rPr>
        <w:t>.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D15703">
        <w:rPr>
          <w:rFonts w:ascii="Arial" w:hAnsi="Arial" w:cs="Arial"/>
          <w:color w:val="000000" w:themeColor="text1"/>
          <w:vertAlign w:val="superscript"/>
          <w:lang w:val="es-ES_tradnl"/>
        </w:rPr>
        <w:footnoteReference w:id="9"/>
      </w:r>
      <w:r w:rsidRPr="00D15703">
        <w:rPr>
          <w:rFonts w:ascii="Arial" w:hAnsi="Arial" w:cs="Arial"/>
          <w:color w:val="000000" w:themeColor="text1"/>
          <w:lang w:val="es-ES_tradnl"/>
        </w:rPr>
        <w:t xml:space="preserve">, así como la probabilidad de que puedan surgir diferencias durante la ejecución del contrato; sin perjuicio de que, como se indicó, todos los contratos estatales de </w:t>
      </w:r>
      <w:r w:rsidRPr="00D15703">
        <w:rPr>
          <w:rFonts w:ascii="Arial" w:hAnsi="Arial" w:cs="Arial"/>
          <w:i/>
          <w:iCs/>
          <w:color w:val="000000" w:themeColor="text1"/>
          <w:lang w:val="es-ES_tradnl"/>
        </w:rPr>
        <w:t>tracto sucesivo</w:t>
      </w:r>
      <w:r w:rsidRPr="00D15703">
        <w:rPr>
          <w:rFonts w:ascii="Arial" w:hAnsi="Arial" w:cs="Arial"/>
          <w:color w:val="000000" w:themeColor="text1"/>
          <w:lang w:val="es-ES_tradnl"/>
        </w:rPr>
        <w:t xml:space="preserve"> o aquellos cuya ejecución se prolongue en el tiempo siempre deban liquidarse, convirtiéndose en estos contratos en una cláusula de la naturaleza, conforme a la clasificación prevista en el Código Civil.</w:t>
      </w:r>
    </w:p>
    <w:p w14:paraId="1291F4A0" w14:textId="77777777" w:rsidR="00946943" w:rsidRPr="00A0227B" w:rsidRDefault="00946943" w:rsidP="00946943">
      <w:pPr>
        <w:pStyle w:val="Prrafodelista"/>
        <w:numPr>
          <w:ilvl w:val="1"/>
          <w:numId w:val="20"/>
        </w:numPr>
        <w:tabs>
          <w:tab w:val="left" w:pos="7851"/>
        </w:tabs>
        <w:spacing w:after="0" w:line="276" w:lineRule="auto"/>
        <w:rPr>
          <w:rFonts w:ascii="Arial" w:hAnsi="Arial" w:cs="Arial"/>
          <w:b/>
          <w:lang w:val="es-ES_tradnl"/>
        </w:rPr>
      </w:pPr>
      <w:r w:rsidRPr="00A0227B">
        <w:rPr>
          <w:rFonts w:ascii="Arial" w:hAnsi="Arial" w:cs="Arial"/>
          <w:b/>
          <w:lang w:val="es-ES_tradnl"/>
        </w:rPr>
        <w:t>Tipos de liquidación, términos para efectuarla y pérdida de competencia</w:t>
      </w:r>
    </w:p>
    <w:p w14:paraId="04625713" w14:textId="77777777" w:rsidR="00946943" w:rsidRDefault="00946943" w:rsidP="00946943">
      <w:pPr>
        <w:tabs>
          <w:tab w:val="left" w:pos="7851"/>
        </w:tabs>
        <w:spacing w:after="0" w:line="276" w:lineRule="auto"/>
        <w:rPr>
          <w:rFonts w:ascii="Arial" w:hAnsi="Arial" w:cs="Arial"/>
        </w:rPr>
      </w:pPr>
    </w:p>
    <w:p w14:paraId="4BB3292D" w14:textId="77777777" w:rsidR="00946943" w:rsidRPr="00D15703" w:rsidRDefault="00946943" w:rsidP="00946943">
      <w:pPr>
        <w:spacing w:after="200" w:line="276" w:lineRule="auto"/>
        <w:jc w:val="both"/>
        <w:rPr>
          <w:rFonts w:ascii="Arial" w:hAnsi="Arial" w:cs="Arial"/>
          <w:color w:val="000000" w:themeColor="text1"/>
          <w:lang w:val="es-ES_tradnl"/>
        </w:rPr>
      </w:pPr>
      <w:r w:rsidRPr="00D15703">
        <w:rPr>
          <w:rFonts w:ascii="Arial" w:hAnsi="Arial" w:cs="Arial"/>
          <w:color w:val="000000" w:themeColor="text1"/>
          <w:lang w:val="es-ES_tradnl"/>
        </w:rPr>
        <w:t>El artículo 11 de la Ley 1150 de 2007</w:t>
      </w:r>
      <w:r w:rsidRPr="00D15703">
        <w:rPr>
          <w:rFonts w:ascii="Arial" w:hAnsi="Arial" w:cs="Arial"/>
          <w:color w:val="000000" w:themeColor="text1"/>
          <w:vertAlign w:val="superscript"/>
          <w:lang w:val="es-ES_tradnl"/>
        </w:rPr>
        <w:footnoteReference w:id="10"/>
      </w:r>
      <w:r w:rsidRPr="00D15703">
        <w:rPr>
          <w:rFonts w:ascii="Arial" w:hAnsi="Arial" w:cs="Arial"/>
          <w:color w:val="000000" w:themeColor="text1"/>
          <w:lang w:val="es-ES_tradnl"/>
        </w:rPr>
        <w:t xml:space="preserve"> contiene las reglas de tipo procedimental para liquidar los contratos estatales, las cuales se pasan a explicar.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ii) la expedición del acto administrativo que ordene la terminación del contrato; o, iii) la fecha del acuerdo que disponga la terminación del contrato.</w:t>
      </w:r>
    </w:p>
    <w:p w14:paraId="333F82CF" w14:textId="77777777" w:rsidR="00946943" w:rsidRPr="00D15703" w:rsidRDefault="00946943" w:rsidP="00946943">
      <w:pPr>
        <w:spacing w:after="120" w:line="276" w:lineRule="auto"/>
        <w:ind w:firstLine="709"/>
        <w:jc w:val="both"/>
        <w:rPr>
          <w:rFonts w:ascii="Arial" w:hAnsi="Arial" w:cs="Arial"/>
          <w:lang w:val="es-ES_tradnl"/>
        </w:rPr>
      </w:pPr>
      <w:r w:rsidRPr="00D15703">
        <w:rPr>
          <w:rFonts w:ascii="Arial" w:hAnsi="Arial" w:cs="Arial"/>
          <w:lang w:val="es-ES_tradnl"/>
        </w:rPr>
        <w:lastRenderedPageBreak/>
        <w:t>El artículo 11 de la Ley 1150 de 2007 señala que la liquidación de mutuo acuerdo</w:t>
      </w:r>
      <w:r>
        <w:rPr>
          <w:rFonts w:ascii="Arial" w:hAnsi="Arial" w:cs="Arial"/>
          <w:lang w:val="es-ES_tradnl"/>
        </w:rPr>
        <w:t xml:space="preserve"> se</w:t>
      </w:r>
      <w:r w:rsidRPr="00D15703">
        <w:rPr>
          <w:rFonts w:ascii="Arial" w:hAnsi="Arial" w:cs="Arial"/>
          <w:lang w:val="es-ES_tradnl"/>
        </w:rPr>
        <w:t xml:space="preserve"> deberá realizar dentro del plazo previsto en </w:t>
      </w:r>
      <w:r>
        <w:rPr>
          <w:rFonts w:ascii="Arial" w:hAnsi="Arial" w:cs="Arial"/>
          <w:i/>
          <w:iCs/>
          <w:lang w:val="es-ES_tradnl"/>
        </w:rPr>
        <w:t>“</w:t>
      </w:r>
      <w:r w:rsidRPr="00D15703">
        <w:rPr>
          <w:rFonts w:ascii="Arial" w:hAnsi="Arial" w:cs="Arial"/>
          <w:i/>
          <w:iCs/>
          <w:lang w:val="es-ES_tradnl"/>
        </w:rPr>
        <w:t>los pliegos de condiciones o sus equivalentes, o dentro del que acuerden las partes para el efecto</w:t>
      </w:r>
      <w:r>
        <w:rPr>
          <w:rFonts w:ascii="Arial" w:hAnsi="Arial" w:cs="Arial"/>
          <w:i/>
          <w:iCs/>
          <w:lang w:val="es-ES_tradnl"/>
        </w:rPr>
        <w:t>”</w:t>
      </w:r>
      <w:r w:rsidRPr="00D15703">
        <w:rPr>
          <w:rFonts w:ascii="Arial" w:hAnsi="Arial" w:cs="Arial"/>
          <w:i/>
          <w:iCs/>
          <w:lang w:val="es-ES_tradnl"/>
        </w:rPr>
        <w:t>.</w:t>
      </w:r>
      <w:r w:rsidRPr="00D15703">
        <w:rPr>
          <w:rFonts w:ascii="Arial" w:hAnsi="Arial" w:cs="Arial"/>
          <w:lang w:val="es-ES_tradnl"/>
        </w:rPr>
        <w:t xml:space="preserve"> Para dilucidar a qué se refiere la norma con </w:t>
      </w:r>
      <w:r>
        <w:rPr>
          <w:rFonts w:ascii="Arial" w:hAnsi="Arial" w:cs="Arial"/>
          <w:lang w:val="es-ES_tradnl"/>
        </w:rPr>
        <w:t>“</w:t>
      </w:r>
      <w:r w:rsidRPr="00D15703">
        <w:rPr>
          <w:rFonts w:ascii="Arial" w:hAnsi="Arial" w:cs="Arial"/>
          <w:lang w:val="es-ES_tradnl"/>
        </w:rPr>
        <w:t>equivalentes</w:t>
      </w:r>
      <w:r>
        <w:rPr>
          <w:rFonts w:ascii="Arial" w:hAnsi="Arial" w:cs="Arial"/>
          <w:lang w:val="es-ES_tradnl"/>
        </w:rPr>
        <w:t>”</w:t>
      </w:r>
      <w:r w:rsidRPr="00D15703">
        <w:rPr>
          <w:rFonts w:ascii="Arial" w:hAnsi="Arial" w:cs="Arial"/>
          <w:lang w:val="es-ES_tradnl"/>
        </w:rPr>
        <w:t xml:space="preserve"> resulta necesario tener presente que el pliego de condiciones es un documento contentivo de las reglas aplicables a un determinado proceso de selección, que </w:t>
      </w:r>
      <w:r>
        <w:rPr>
          <w:rFonts w:ascii="Arial" w:hAnsi="Arial" w:cs="Arial"/>
          <w:i/>
          <w:iCs/>
          <w:lang w:val="es-ES_tradnl"/>
        </w:rPr>
        <w:t>“</w:t>
      </w:r>
      <w:r w:rsidRPr="00D15703">
        <w:rPr>
          <w:rFonts w:ascii="Arial" w:hAnsi="Arial" w:cs="Arial"/>
          <w:i/>
          <w:iCs/>
          <w:lang w:val="es-ES_tradnl"/>
        </w:rPr>
        <w:t>materializa los principios de planeación contractual y de trasparencia, comoquiera que su adecuada formulación permite o garantiza la selección objetiva del contratista de acuerdo con los parámetros de calificación correspondientes para cada tipo de procedimiento [y que] constituye la ley tanto del procedimiento administrativo de selección del contratista, como del contrato a</w:t>
      </w:r>
      <w:r w:rsidRPr="00D15703">
        <w:rPr>
          <w:rFonts w:ascii="Arial" w:hAnsi="Arial" w:cs="Arial"/>
          <w:i/>
          <w:iCs/>
          <w:spacing w:val="-7"/>
          <w:lang w:val="es-ES_tradnl"/>
        </w:rPr>
        <w:t xml:space="preserve"> </w:t>
      </w:r>
      <w:r w:rsidRPr="00D15703">
        <w:rPr>
          <w:rFonts w:ascii="Arial" w:hAnsi="Arial" w:cs="Arial"/>
          <w:i/>
          <w:iCs/>
          <w:lang w:val="es-ES_tradnl"/>
        </w:rPr>
        <w:t>celebrar</w:t>
      </w:r>
      <w:r>
        <w:rPr>
          <w:rFonts w:ascii="Arial" w:hAnsi="Arial" w:cs="Arial"/>
          <w:i/>
          <w:iCs/>
          <w:lang w:val="es-ES_tradnl"/>
        </w:rPr>
        <w:t>”</w:t>
      </w:r>
      <w:r w:rsidRPr="00D15703">
        <w:rPr>
          <w:rFonts w:ascii="Arial" w:hAnsi="Arial" w:cs="Arial"/>
          <w:i/>
          <w:iCs/>
          <w:vertAlign w:val="superscript"/>
          <w:lang w:val="es-ES_tradnl"/>
        </w:rPr>
        <w:footnoteReference w:id="11"/>
      </w:r>
      <w:r w:rsidRPr="00D15703">
        <w:rPr>
          <w:rFonts w:ascii="Arial" w:hAnsi="Arial" w:cs="Arial"/>
          <w:i/>
          <w:iCs/>
          <w:lang w:val="es-ES_tradnl"/>
        </w:rPr>
        <w:t>.</w:t>
      </w:r>
      <w:r w:rsidRPr="00D15703">
        <w:rPr>
          <w:rFonts w:ascii="Arial" w:hAnsi="Arial" w:cs="Arial"/>
          <w:lang w:val="es-ES_tradnl"/>
        </w:rPr>
        <w:t xml:space="preserve"> A partir de tales características debe determinarse la equivalencia de un documento con un pliego de condiciones, la cual se puede ejemplificar claramente con la invitación a participar en los procesos de mínima cuantía</w:t>
      </w:r>
      <w:r w:rsidRPr="00D15703">
        <w:rPr>
          <w:rFonts w:ascii="Arial" w:hAnsi="Arial" w:cs="Arial"/>
          <w:vertAlign w:val="superscript"/>
          <w:lang w:val="es-ES_tradnl"/>
        </w:rPr>
        <w:footnoteReference w:id="12"/>
      </w:r>
      <w:r w:rsidRPr="00D15703">
        <w:rPr>
          <w:rFonts w:ascii="Arial" w:hAnsi="Arial" w:cs="Arial"/>
          <w:lang w:val="es-ES_tradnl"/>
        </w:rPr>
        <w:t xml:space="preserve">, documento dentro del cual la entidad contratante debe fijar las reglas aplicables al procedimiento de selección, cumpliendo con la función del pliego de condiciones. En tal sentido, es un documento </w:t>
      </w:r>
      <w:r>
        <w:rPr>
          <w:rFonts w:ascii="Arial" w:hAnsi="Arial" w:cs="Arial"/>
          <w:lang w:val="es-ES_tradnl"/>
        </w:rPr>
        <w:t>“</w:t>
      </w:r>
      <w:r w:rsidRPr="00D15703">
        <w:rPr>
          <w:rFonts w:ascii="Arial" w:hAnsi="Arial" w:cs="Arial"/>
          <w:lang w:val="es-ES_tradnl"/>
        </w:rPr>
        <w:t>equivalente</w:t>
      </w:r>
      <w:r>
        <w:rPr>
          <w:rFonts w:ascii="Arial" w:hAnsi="Arial" w:cs="Arial"/>
          <w:lang w:val="es-ES_tradnl"/>
        </w:rPr>
        <w:t>”</w:t>
      </w:r>
      <w:r w:rsidRPr="00D15703">
        <w:rPr>
          <w:rFonts w:ascii="Arial" w:hAnsi="Arial" w:cs="Arial"/>
          <w:lang w:val="es-ES_tradnl"/>
        </w:rPr>
        <w:t xml:space="preserve"> del mismo en los términos del artículo 11 </w:t>
      </w:r>
      <w:r w:rsidRPr="00D15703">
        <w:rPr>
          <w:rFonts w:ascii="Arial" w:hAnsi="Arial" w:cs="Arial"/>
          <w:i/>
          <w:iCs/>
          <w:lang w:val="es-ES_tradnl"/>
        </w:rPr>
        <w:t xml:space="preserve">Ibidem, </w:t>
      </w:r>
      <w:r w:rsidRPr="00D15703">
        <w:rPr>
          <w:rFonts w:ascii="Arial" w:hAnsi="Arial" w:cs="Arial"/>
          <w:lang w:val="es-ES_tradnl"/>
        </w:rPr>
        <w:t xml:space="preserve">dentro del cual es viable establecer el plazo para la liquidación de mutuo acuerdo. </w:t>
      </w:r>
    </w:p>
    <w:p w14:paraId="268A0269" w14:textId="77777777" w:rsidR="00946943" w:rsidRPr="00D15703" w:rsidRDefault="00946943" w:rsidP="00946943">
      <w:pPr>
        <w:spacing w:after="120" w:line="276" w:lineRule="auto"/>
        <w:ind w:firstLine="709"/>
        <w:jc w:val="both"/>
        <w:rPr>
          <w:rFonts w:ascii="Arial" w:hAnsi="Arial" w:cs="Arial"/>
          <w:lang w:val="es-ES_tradnl"/>
        </w:rPr>
      </w:pPr>
      <w:r w:rsidRPr="00D15703">
        <w:rPr>
          <w:rFonts w:ascii="Arial" w:hAnsi="Arial" w:cs="Arial"/>
          <w:lang w:val="es-ES_tradnl"/>
        </w:rPr>
        <w:t xml:space="preserve">De otra parte, cuando el artículo 11 de la Ley 1150 de 2007 hace referencia al término que </w:t>
      </w:r>
      <w:r>
        <w:rPr>
          <w:rFonts w:ascii="Arial" w:hAnsi="Arial" w:cs="Arial"/>
          <w:lang w:val="es-ES_tradnl"/>
        </w:rPr>
        <w:t>“</w:t>
      </w:r>
      <w:r w:rsidRPr="00D15703">
        <w:rPr>
          <w:rFonts w:ascii="Arial" w:hAnsi="Arial" w:cs="Arial"/>
          <w:i/>
          <w:iCs/>
          <w:lang w:val="es-ES_tradnl"/>
        </w:rPr>
        <w:t>acuerden las partes</w:t>
      </w:r>
      <w:r>
        <w:rPr>
          <w:rFonts w:ascii="Arial" w:hAnsi="Arial" w:cs="Arial"/>
          <w:lang w:val="es-ES_tradnl"/>
        </w:rPr>
        <w:t>”</w:t>
      </w:r>
      <w:r w:rsidRPr="00D15703">
        <w:rPr>
          <w:rFonts w:ascii="Arial" w:hAnsi="Arial" w:cs="Arial"/>
          <w:lang w:val="es-ES_tradnl"/>
        </w:rPr>
        <w:t xml:space="preserve"> para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Este hecho no impide que, en el marco de la ejecución del contrato, las partes acuerden fijar el referido plazo; acuerdo que, en tanto significa una alteración de las reglas que orientan la relación contractual, entraña una modificación del contrato. Por tal razón, su celebración debe cumplir con los requisitos del negocio jurídico, ameritando la concurrencia de capacidad jurídica de los agentes, un consentimiento libre de vicios, un objeto y causa lícita, así como la elevación a escrito requerida en materia de contratación estatal</w:t>
      </w:r>
      <w:r w:rsidRPr="00D15703">
        <w:rPr>
          <w:rFonts w:ascii="Arial" w:hAnsi="Arial" w:cs="Arial"/>
          <w:vertAlign w:val="superscript"/>
          <w:lang w:val="es-ES_tradnl"/>
        </w:rPr>
        <w:footnoteReference w:id="13"/>
      </w:r>
      <w:r w:rsidRPr="00D15703">
        <w:rPr>
          <w:rFonts w:ascii="Arial" w:hAnsi="Arial" w:cs="Arial"/>
          <w:lang w:val="es-ES_tradnl"/>
        </w:rPr>
        <w:t xml:space="preserve">. Esto significa que para que un documento en el que se fije el plazo para la </w:t>
      </w:r>
      <w:r w:rsidRPr="00D15703">
        <w:rPr>
          <w:rFonts w:ascii="Arial" w:hAnsi="Arial" w:cs="Arial"/>
          <w:lang w:val="es-ES_tradnl"/>
        </w:rPr>
        <w:lastRenderedPageBreak/>
        <w:t>liquidación de común acuerdo sea válido, requiere de la confluencia de los mencionados elementos.</w:t>
      </w:r>
    </w:p>
    <w:p w14:paraId="178B4D5D" w14:textId="77777777" w:rsidR="00946943" w:rsidRPr="00E338AB" w:rsidRDefault="00946943" w:rsidP="00946943">
      <w:pPr>
        <w:spacing w:after="120" w:line="276" w:lineRule="auto"/>
        <w:ind w:firstLine="709"/>
        <w:jc w:val="both"/>
        <w:rPr>
          <w:rFonts w:ascii="Arial" w:hAnsi="Arial" w:cs="Arial"/>
          <w:lang w:val="es-ES_tradnl"/>
        </w:rPr>
      </w:pPr>
      <w:r w:rsidRPr="00D15703">
        <w:rPr>
          <w:rFonts w:ascii="Arial" w:hAnsi="Arial" w:cs="Arial"/>
          <w:lang w:val="es-ES_tradnl"/>
        </w:rPr>
        <w:t>Ahora bien, el término de 4 meses previsto en el artículo 11 de la Ley 1150 de 2007, dado su carácter supletivo, solo resulta aplicable ante la ausencia de regulación de este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se encuentran sometidas a los principios de la función administrativa</w:t>
      </w:r>
      <w:r w:rsidRPr="00D15703">
        <w:rPr>
          <w:rFonts w:ascii="Arial" w:hAnsi="Arial" w:cs="Arial"/>
          <w:vertAlign w:val="superscript"/>
          <w:lang w:val="es-ES_tradnl"/>
        </w:rPr>
        <w:footnoteReference w:id="14"/>
      </w:r>
      <w:r w:rsidRPr="00D15703">
        <w:rPr>
          <w:rFonts w:ascii="Arial" w:hAnsi="Arial" w:cs="Arial"/>
          <w:lang w:val="es-ES_tradnl"/>
        </w:rPr>
        <w:t>, lo cual implica que las mismas se desarrollen en procura de la economía y la celeridad</w:t>
      </w:r>
      <w:r w:rsidRPr="00D15703">
        <w:rPr>
          <w:rFonts w:ascii="Arial" w:hAnsi="Arial" w:cs="Arial"/>
          <w:vertAlign w:val="superscript"/>
          <w:lang w:val="es-ES_tradnl"/>
        </w:rPr>
        <w:footnoteReference w:id="15"/>
      </w:r>
      <w:r w:rsidRPr="00D15703">
        <w:rPr>
          <w:rFonts w:ascii="Arial" w:hAnsi="Arial" w:cs="Arial"/>
          <w:lang w:val="es-ES_tradnl"/>
        </w:rPr>
        <w:t>. Esto significa que, en ejercicio de la facultad que les asiste para fijar el plazo para la liquidación bilateral, las partes deben actuar en garantía de estos principios, por lo que el término que se acuerde debe ser fijado de manera razonable.</w:t>
      </w:r>
      <w:r>
        <w:rPr>
          <w:rFonts w:ascii="Arial" w:hAnsi="Arial" w:cs="Arial"/>
          <w:lang w:val="es-ES_tradnl"/>
        </w:rPr>
        <w:t xml:space="preserve"> </w:t>
      </w:r>
      <w:r w:rsidRPr="00D15703">
        <w:rPr>
          <w:rFonts w:ascii="Arial" w:hAnsi="Arial" w:cs="Arial"/>
          <w:color w:val="000000" w:themeColor="text1"/>
          <w:lang w:val="es-ES_tradnl"/>
        </w:rPr>
        <w:t>Durante este término, el contratista puede solicitar que se adelante el trámite de liquidación. Sin embargo, es responsabilidad de la Entidad Estatal convocarlo para adelantar la liquidación de común acuerdo o notificarlo para que se presente a realizarla</w:t>
      </w:r>
      <w:r w:rsidRPr="00D15703">
        <w:rPr>
          <w:rFonts w:ascii="Arial" w:hAnsi="Arial" w:cs="Arial"/>
          <w:color w:val="000000" w:themeColor="text1"/>
          <w:vertAlign w:val="superscript"/>
          <w:lang w:val="es-ES_tradnl"/>
        </w:rPr>
        <w:footnoteReference w:id="16"/>
      </w:r>
      <w:r w:rsidRPr="00D15703">
        <w:rPr>
          <w:rFonts w:ascii="Arial" w:hAnsi="Arial" w:cs="Arial"/>
          <w:color w:val="000000" w:themeColor="text1"/>
          <w:lang w:val="es-ES_tradnl"/>
        </w:rPr>
        <w:t>, de manera que el contrato pueda ser liquidado bilateralmente, bien sea en el plazo previsto en el pliego de condiciones, el acordado por las partes, o el supletivo de cuatro meses señalado en la ley, según corresponda. Esta liquidación bilateral puede ser total o parcial</w:t>
      </w:r>
      <w:r w:rsidRPr="00D15703">
        <w:rPr>
          <w:rFonts w:ascii="Arial" w:hAnsi="Arial" w:cs="Arial"/>
          <w:iCs/>
          <w:color w:val="000000" w:themeColor="text1"/>
          <w:vertAlign w:val="superscript"/>
          <w:lang w:val="es-ES_tradnl"/>
        </w:rPr>
        <w:footnoteReference w:id="17"/>
      </w:r>
      <w:r w:rsidRPr="00D15703">
        <w:rPr>
          <w:rFonts w:ascii="Arial" w:hAnsi="Arial" w:cs="Arial"/>
          <w:color w:val="000000" w:themeColor="text1"/>
          <w:lang w:val="es-ES_tradnl"/>
        </w:rPr>
        <w:t xml:space="preserve">, </w:t>
      </w:r>
      <w:r w:rsidRPr="00D15703">
        <w:rPr>
          <w:rFonts w:ascii="Arial" w:hAnsi="Arial" w:cs="Arial"/>
          <w:color w:val="000000" w:themeColor="text1"/>
          <w:lang w:val="es-ES_tradnl"/>
        </w:rPr>
        <w:lastRenderedPageBreak/>
        <w:t xml:space="preserve">y </w:t>
      </w:r>
      <w:r w:rsidRPr="00D15703">
        <w:rPr>
          <w:rFonts w:ascii="Arial" w:hAnsi="Arial" w:cs="Arial"/>
          <w:iCs/>
          <w:color w:val="000000" w:themeColor="text1"/>
          <w:lang w:val="es-ES_tradnl"/>
        </w:rPr>
        <w:t>el documento que la contiene presta mérito ejecutivo, siempre que se satisfagan los elementos para considerarlo como tal</w:t>
      </w:r>
      <w:r w:rsidRPr="00D15703">
        <w:rPr>
          <w:rFonts w:ascii="Arial" w:hAnsi="Arial" w:cs="Arial"/>
          <w:color w:val="000000" w:themeColor="text1"/>
          <w:lang w:val="es-ES_tradnl"/>
        </w:rPr>
        <w:t>.</w:t>
      </w:r>
    </w:p>
    <w:p w14:paraId="5623ACBE" w14:textId="77777777" w:rsidR="00946943" w:rsidRPr="00D15703" w:rsidRDefault="00946943" w:rsidP="00946943">
      <w:pPr>
        <w:spacing w:after="200" w:line="276" w:lineRule="auto"/>
        <w:ind w:firstLine="705"/>
        <w:jc w:val="both"/>
        <w:rPr>
          <w:rFonts w:ascii="Arial" w:hAnsi="Arial" w:cs="Arial"/>
          <w:color w:val="000000" w:themeColor="text1"/>
          <w:lang w:val="es-MX"/>
        </w:rPr>
      </w:pPr>
      <w:r w:rsidRPr="00D15703">
        <w:rPr>
          <w:rFonts w:ascii="Arial" w:hAnsi="Arial" w:cs="Arial"/>
          <w:color w:val="000000" w:themeColor="text1"/>
          <w:bdr w:val="none" w:sz="0" w:space="0" w:color="auto" w:frame="1"/>
          <w:shd w:val="clear" w:color="auto" w:fill="FFFFFF"/>
          <w:lang w:val="es-ES"/>
        </w:rPr>
        <w:t xml:space="preserve">Si no es posible efectuar la liquidación de manera bilateral, el ordenamiento jurídico prevé una facultad, de carácter subsidiario, para que la Entidad Estatal realice la liquidación unilateralmente. En relación con este aspecto, la </w:t>
      </w:r>
      <w:r w:rsidRPr="00D15703">
        <w:rPr>
          <w:rFonts w:ascii="Arial" w:hAnsi="Arial" w:cs="Arial"/>
          <w:color w:val="000000" w:themeColor="text1"/>
          <w:bdr w:val="none" w:sz="0" w:space="0" w:color="auto" w:frame="1"/>
          <w:shd w:val="clear" w:color="auto" w:fill="FFFFFF"/>
          <w:lang w:val="es-MX"/>
        </w:rPr>
        <w:t xml:space="preserve">Sala de Consulta y Servicio Civil del </w:t>
      </w:r>
      <w:r w:rsidRPr="00D15703">
        <w:rPr>
          <w:rFonts w:ascii="Arial" w:hAnsi="Arial" w:cs="Arial"/>
          <w:color w:val="000000" w:themeColor="text1"/>
          <w:bdr w:val="none" w:sz="0" w:space="0" w:color="auto" w:frame="1"/>
          <w:shd w:val="clear" w:color="auto" w:fill="FFFFFF"/>
          <w:lang w:val="es-ES"/>
        </w:rPr>
        <w:t>Consejo de Estado</w:t>
      </w:r>
      <w:r w:rsidRPr="00D15703">
        <w:rPr>
          <w:rFonts w:ascii="Arial" w:hAnsi="Arial" w:cs="Arial"/>
          <w:color w:val="000000" w:themeColor="text1"/>
          <w:bdr w:val="none" w:sz="0" w:space="0" w:color="auto" w:frame="1"/>
          <w:shd w:val="clear" w:color="auto" w:fill="FFFFFF"/>
          <w:lang w:val="es-MX"/>
        </w:rPr>
        <w:t>, en concepto del 28 de junio de 2016</w:t>
      </w:r>
      <w:r w:rsidRPr="00D15703">
        <w:rPr>
          <w:rFonts w:ascii="Arial" w:hAnsi="Arial" w:cs="Arial"/>
          <w:color w:val="000000" w:themeColor="text1"/>
          <w:bdr w:val="none" w:sz="0" w:space="0" w:color="auto" w:frame="1"/>
          <w:shd w:val="clear" w:color="auto" w:fill="FFFFFF"/>
          <w:vertAlign w:val="superscript"/>
          <w:lang w:val="es-MX"/>
        </w:rPr>
        <w:footnoteReference w:id="18"/>
      </w:r>
      <w:r w:rsidRPr="00D15703">
        <w:rPr>
          <w:rFonts w:ascii="Arial" w:hAnsi="Arial" w:cs="Arial"/>
          <w:color w:val="000000" w:themeColor="text1"/>
          <w:bdr w:val="none" w:sz="0" w:space="0" w:color="auto" w:frame="1"/>
          <w:shd w:val="clear" w:color="auto" w:fill="FFFFFF"/>
          <w:lang w:val="es-MX"/>
        </w:rPr>
        <w:t>, manifestó que:  </w:t>
      </w:r>
    </w:p>
    <w:p w14:paraId="31A6EB90" w14:textId="77777777" w:rsidR="00946943" w:rsidRPr="00D15703" w:rsidRDefault="00946943" w:rsidP="00946943">
      <w:pPr>
        <w:spacing w:after="200" w:line="276" w:lineRule="auto"/>
        <w:ind w:left="705" w:right="750"/>
        <w:jc w:val="both"/>
        <w:rPr>
          <w:rFonts w:ascii="Arial" w:hAnsi="Arial" w:cs="Arial"/>
          <w:color w:val="000000" w:themeColor="text1"/>
          <w:sz w:val="21"/>
          <w:szCs w:val="21"/>
          <w:lang w:val="es-MX"/>
        </w:rPr>
      </w:pPr>
      <w:r>
        <w:rPr>
          <w:rFonts w:ascii="Arial" w:hAnsi="Arial" w:cs="Arial"/>
          <w:i/>
          <w:iCs/>
          <w:sz w:val="21"/>
          <w:szCs w:val="21"/>
          <w:lang w:val="es-ES_tradnl"/>
        </w:rPr>
        <w:t>“</w:t>
      </w:r>
      <w:r w:rsidRPr="00D15703">
        <w:rPr>
          <w:rFonts w:ascii="Arial" w:eastAsia="Calibri" w:hAnsi="Arial" w:cs="Arial"/>
          <w:color w:val="000000" w:themeColor="text1"/>
          <w:sz w:val="21"/>
          <w:szCs w:val="21"/>
          <w:lang w:val="es-ES"/>
        </w:rPr>
        <w:t>[</w:t>
      </w:r>
      <w:r w:rsidRPr="00D15703">
        <w:rPr>
          <w:rFonts w:ascii="Arial" w:hAnsi="Arial" w:cs="Arial"/>
          <w:color w:val="000000" w:themeColor="text1"/>
          <w:sz w:val="21"/>
          <w:szCs w:val="21"/>
          <w:bdr w:val="none" w:sz="0" w:space="0" w:color="auto" w:frame="1"/>
          <w:shd w:val="clear" w:color="auto" w:fill="FFFFFF"/>
          <w:lang w:val="es-MX"/>
        </w:rPr>
        <w:t>…]</w:t>
      </w:r>
      <w:r>
        <w:rPr>
          <w:rFonts w:ascii="Arial" w:hAnsi="Arial" w:cs="Arial"/>
          <w:color w:val="000000" w:themeColor="text1"/>
          <w:sz w:val="21"/>
          <w:szCs w:val="21"/>
          <w:bdr w:val="none" w:sz="0" w:space="0" w:color="auto" w:frame="1"/>
          <w:shd w:val="clear" w:color="auto" w:fill="FFFFFF"/>
          <w:lang w:val="es-MX"/>
        </w:rPr>
        <w:t xml:space="preserve"> </w:t>
      </w:r>
      <w:r w:rsidRPr="00D15703">
        <w:rPr>
          <w:rFonts w:ascii="Arial" w:hAnsi="Arial" w:cs="Arial"/>
          <w:color w:val="000000" w:themeColor="text1"/>
          <w:sz w:val="21"/>
          <w:szCs w:val="21"/>
          <w:bdr w:val="none" w:sz="0" w:space="0" w:color="auto" w:frame="1"/>
          <w:shd w:val="clear" w:color="auto" w:fill="FFFFFF"/>
          <w:lang w:val="es-ES"/>
        </w:rPr>
        <w:t>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Pr>
          <w:rFonts w:ascii="Arial" w:hAnsi="Arial" w:cs="Arial"/>
          <w:sz w:val="21"/>
          <w:szCs w:val="21"/>
          <w:lang w:val="es-ES_tradnl"/>
        </w:rPr>
        <w:t>”</w:t>
      </w:r>
      <w:r w:rsidRPr="00D15703">
        <w:rPr>
          <w:rFonts w:ascii="Arial" w:hAnsi="Arial" w:cs="Arial"/>
          <w:sz w:val="21"/>
          <w:szCs w:val="21"/>
          <w:lang w:val="es-ES_tradnl"/>
        </w:rPr>
        <w:t>.</w:t>
      </w:r>
      <w:r w:rsidRPr="00D15703">
        <w:rPr>
          <w:rFonts w:ascii="Arial" w:hAnsi="Arial" w:cs="Arial"/>
          <w:color w:val="000000" w:themeColor="text1"/>
          <w:sz w:val="21"/>
          <w:szCs w:val="21"/>
          <w:bdr w:val="none" w:sz="0" w:space="0" w:color="auto" w:frame="1"/>
          <w:shd w:val="clear" w:color="auto" w:fill="FFFFFF"/>
          <w:lang w:val="es-ES"/>
        </w:rPr>
        <w:t> </w:t>
      </w:r>
      <w:r w:rsidRPr="00D15703">
        <w:rPr>
          <w:rFonts w:ascii="Arial" w:hAnsi="Arial" w:cs="Arial"/>
          <w:color w:val="000000" w:themeColor="text1"/>
          <w:sz w:val="21"/>
          <w:szCs w:val="21"/>
          <w:bdr w:val="none" w:sz="0" w:space="0" w:color="auto" w:frame="1"/>
          <w:shd w:val="clear" w:color="auto" w:fill="FFFFFF"/>
          <w:lang w:val="es-MX"/>
        </w:rPr>
        <w:t>  </w:t>
      </w:r>
    </w:p>
    <w:p w14:paraId="6BA7B46C" w14:textId="77777777" w:rsidR="00946943" w:rsidRPr="00D15703" w:rsidRDefault="00946943" w:rsidP="00946943">
      <w:pPr>
        <w:spacing w:after="200" w:line="276" w:lineRule="auto"/>
        <w:ind w:firstLine="705"/>
        <w:jc w:val="both"/>
        <w:rPr>
          <w:rFonts w:ascii="Arial" w:hAnsi="Arial" w:cs="Arial"/>
          <w:color w:val="000000" w:themeColor="text1"/>
          <w:lang w:val="es-MX"/>
        </w:rPr>
      </w:pPr>
      <w:r w:rsidRPr="00D15703">
        <w:rPr>
          <w:rFonts w:ascii="Arial" w:hAnsi="Arial" w:cs="Arial"/>
          <w:color w:val="000000" w:themeColor="text1"/>
          <w:bdr w:val="none" w:sz="0" w:space="0" w:color="auto" w:frame="1"/>
          <w:shd w:val="clear" w:color="auto" w:fill="FFFFFF"/>
          <w:lang w:val="es-ES"/>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w:t>
      </w:r>
    </w:p>
    <w:p w14:paraId="1BC18D85" w14:textId="77777777" w:rsidR="00946943" w:rsidRPr="00D15703" w:rsidRDefault="00946943" w:rsidP="00946943">
      <w:pPr>
        <w:spacing w:after="200" w:line="276" w:lineRule="auto"/>
        <w:ind w:firstLine="705"/>
        <w:jc w:val="both"/>
        <w:rPr>
          <w:rFonts w:ascii="Arial" w:hAnsi="Arial" w:cs="Arial"/>
          <w:color w:val="000000" w:themeColor="text1"/>
          <w:bdr w:val="none" w:sz="0" w:space="0" w:color="auto" w:frame="1"/>
          <w:shd w:val="clear" w:color="auto" w:fill="FFFFFF"/>
          <w:lang w:val="es-MX"/>
        </w:rPr>
      </w:pPr>
      <w:r w:rsidRPr="00D15703">
        <w:rPr>
          <w:rFonts w:ascii="Arial" w:hAnsi="Arial" w:cs="Arial"/>
          <w:color w:val="000000" w:themeColor="text1"/>
          <w:bdr w:val="none" w:sz="0" w:space="0" w:color="auto" w:frame="1"/>
          <w:shd w:val="clear" w:color="auto" w:fill="FFFFFF"/>
          <w:lang w:val="es-ES"/>
        </w:rPr>
        <w:t xml:space="preserve">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 judicialmente por el interesado. En este sentido, en decisión de unificación de la </w:t>
      </w:r>
      <w:r w:rsidRPr="00D15703">
        <w:rPr>
          <w:rFonts w:ascii="Arial" w:hAnsi="Arial" w:cs="Arial"/>
          <w:color w:val="000000" w:themeColor="text1"/>
          <w:bdr w:val="none" w:sz="0" w:space="0" w:color="auto" w:frame="1"/>
          <w:shd w:val="clear" w:color="auto" w:fill="FFFFFF"/>
          <w:lang w:val="es-MX"/>
        </w:rPr>
        <w:t>Sección Tercera</w:t>
      </w:r>
      <w:r w:rsidRPr="00D15703">
        <w:rPr>
          <w:rFonts w:ascii="Arial" w:hAnsi="Arial" w:cs="Arial"/>
          <w:color w:val="000000" w:themeColor="text1"/>
          <w:bdr w:val="none" w:sz="0" w:space="0" w:color="auto" w:frame="1"/>
          <w:shd w:val="clear" w:color="auto" w:fill="FFFFFF"/>
          <w:lang w:val="es-ES"/>
        </w:rPr>
        <w:t xml:space="preserve"> del Consejo de Estado, del</w:t>
      </w:r>
      <w:r w:rsidRPr="00D15703">
        <w:rPr>
          <w:rFonts w:ascii="Arial" w:hAnsi="Arial" w:cs="Arial"/>
          <w:color w:val="000000" w:themeColor="text1"/>
          <w:bdr w:val="none" w:sz="0" w:space="0" w:color="auto" w:frame="1"/>
          <w:shd w:val="clear" w:color="auto" w:fill="FFFFFF"/>
          <w:lang w:val="es-MX"/>
        </w:rPr>
        <w:t> 1 de agosto de 2019</w:t>
      </w:r>
      <w:r w:rsidRPr="00D15703">
        <w:rPr>
          <w:rFonts w:ascii="Arial" w:hAnsi="Arial" w:cs="Arial"/>
          <w:color w:val="000000" w:themeColor="text1"/>
          <w:bdr w:val="none" w:sz="0" w:space="0" w:color="auto" w:frame="1"/>
          <w:shd w:val="clear" w:color="auto" w:fill="FFFFFF"/>
          <w:vertAlign w:val="superscript"/>
          <w:lang w:val="es-MX"/>
        </w:rPr>
        <w:footnoteReference w:id="19"/>
      </w:r>
      <w:r w:rsidRPr="00D15703">
        <w:rPr>
          <w:rFonts w:ascii="Arial" w:hAnsi="Arial" w:cs="Arial"/>
          <w:color w:val="000000" w:themeColor="text1"/>
          <w:bdr w:val="none" w:sz="0" w:space="0" w:color="auto" w:frame="1"/>
          <w:shd w:val="clear" w:color="auto" w:fill="FFFFFF"/>
          <w:lang w:val="es-MX"/>
        </w:rPr>
        <w:t>, se expresó: </w:t>
      </w:r>
    </w:p>
    <w:p w14:paraId="6B5EEB93" w14:textId="77777777" w:rsidR="00946943" w:rsidRPr="00D15703" w:rsidRDefault="00946943" w:rsidP="00946943">
      <w:pPr>
        <w:spacing w:after="200" w:line="276" w:lineRule="auto"/>
        <w:ind w:left="705" w:right="750"/>
        <w:jc w:val="both"/>
        <w:rPr>
          <w:rFonts w:ascii="Arial" w:hAnsi="Arial" w:cs="Arial"/>
          <w:color w:val="000000" w:themeColor="text1"/>
          <w:sz w:val="21"/>
          <w:szCs w:val="21"/>
          <w:lang w:val="es-ES"/>
        </w:rPr>
      </w:pPr>
      <w:r>
        <w:rPr>
          <w:rFonts w:ascii="Arial" w:hAnsi="Arial" w:cs="Arial"/>
          <w:i/>
          <w:iCs/>
          <w:sz w:val="21"/>
          <w:szCs w:val="21"/>
          <w:lang w:val="es-ES_tradnl"/>
        </w:rPr>
        <w:t>“</w:t>
      </w:r>
      <w:r w:rsidRPr="00D15703">
        <w:rPr>
          <w:rFonts w:ascii="Arial" w:hAnsi="Arial" w:cs="Arial"/>
          <w:color w:val="000000" w:themeColor="text1"/>
          <w:sz w:val="21"/>
          <w:szCs w:val="21"/>
          <w:bdr w:val="none" w:sz="0" w:space="0" w:color="auto" w:frame="1"/>
          <w:shd w:val="clear" w:color="auto" w:fill="FFFFFF"/>
          <w:lang w:val="es-ES"/>
        </w:rPr>
        <w:t xml:space="preserve">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liquidatorio se logre dentro del lapso de dos años contados a partir del vencimiento del término legalmente conocido para la liquidación unilateral, pues </w:t>
      </w:r>
      <w:r w:rsidRPr="00D15703">
        <w:rPr>
          <w:rFonts w:ascii="Arial" w:hAnsi="Arial" w:cs="Arial"/>
          <w:color w:val="000000" w:themeColor="text1"/>
          <w:sz w:val="21"/>
          <w:szCs w:val="21"/>
          <w:bdr w:val="none" w:sz="0" w:space="0" w:color="auto" w:frame="1"/>
          <w:shd w:val="clear" w:color="auto" w:fill="FFFFFF"/>
          <w:lang w:val="es-ES"/>
        </w:rPr>
        <w:lastRenderedPageBreak/>
        <w:t>ese es el lapso que el ordenamiento ha fijado para el ejercicio oportuno de la acción</w:t>
      </w:r>
      <w:r>
        <w:rPr>
          <w:rFonts w:ascii="Arial" w:hAnsi="Arial" w:cs="Arial"/>
          <w:i/>
          <w:iCs/>
          <w:sz w:val="21"/>
          <w:szCs w:val="21"/>
          <w:lang w:val="es-ES_tradnl"/>
        </w:rPr>
        <w:t>”</w:t>
      </w:r>
      <w:r w:rsidRPr="00D15703">
        <w:rPr>
          <w:rFonts w:ascii="Arial" w:hAnsi="Arial" w:cs="Arial"/>
          <w:color w:val="000000" w:themeColor="text1"/>
          <w:sz w:val="21"/>
          <w:szCs w:val="21"/>
          <w:bdr w:val="none" w:sz="0" w:space="0" w:color="auto" w:frame="1"/>
          <w:shd w:val="clear" w:color="auto" w:fill="FFFFFF"/>
          <w:lang w:val="es-ES"/>
        </w:rPr>
        <w:t> </w:t>
      </w:r>
    </w:p>
    <w:p w14:paraId="33805273" w14:textId="77777777" w:rsidR="00946943" w:rsidRPr="00E60DE1" w:rsidRDefault="00946943" w:rsidP="00946943">
      <w:pPr>
        <w:spacing w:after="200" w:line="276" w:lineRule="auto"/>
        <w:ind w:right="106"/>
        <w:jc w:val="both"/>
        <w:rPr>
          <w:rFonts w:ascii="Arial" w:hAnsi="Arial" w:cs="Arial"/>
          <w:color w:val="000000" w:themeColor="text1"/>
          <w:bdr w:val="none" w:sz="0" w:space="0" w:color="auto" w:frame="1"/>
          <w:shd w:val="clear" w:color="auto" w:fill="FFFFFF"/>
          <w:lang w:val="es-MX"/>
        </w:rPr>
      </w:pPr>
      <w:r w:rsidRPr="00E60DE1">
        <w:rPr>
          <w:rFonts w:ascii="Arial" w:hAnsi="Arial" w:cs="Arial"/>
          <w:color w:val="000000" w:themeColor="text1"/>
          <w:bdr w:val="none" w:sz="0" w:space="0" w:color="auto" w:frame="1"/>
          <w:shd w:val="clear" w:color="auto" w:fill="FFFFFF"/>
          <w:lang w:val="es-MX"/>
        </w:rPr>
        <w:t>A su turno, en relación con la pérdida de competencia de la administración para liquidar el contrato unilateralmente, ante la presentación de una demanda, el Consejo de Estado, en sentencia del 1 de junio de 2020, varió la línea jurisprudencial, en el sentido de ubicar la pérdida de competencia con la presentación de la demanda, y no en la notificación del auto admisorio, como se sostenía anteriormente. En efecto, se indicó que:</w:t>
      </w:r>
    </w:p>
    <w:p w14:paraId="5CE7DCEB" w14:textId="77777777" w:rsidR="00946943" w:rsidRPr="00D15703" w:rsidRDefault="00946943" w:rsidP="00946943">
      <w:pPr>
        <w:spacing w:after="200" w:line="276" w:lineRule="auto"/>
        <w:ind w:left="709" w:right="758"/>
        <w:jc w:val="both"/>
        <w:rPr>
          <w:rFonts w:ascii="Arial" w:hAnsi="Arial" w:cs="Arial"/>
          <w:color w:val="000000" w:themeColor="text1"/>
          <w:sz w:val="21"/>
          <w:szCs w:val="21"/>
          <w:bdr w:val="none" w:sz="0" w:space="0" w:color="auto" w:frame="1"/>
          <w:shd w:val="clear" w:color="auto" w:fill="FFFFFF"/>
          <w:lang w:val="es-ES"/>
        </w:rPr>
      </w:pPr>
      <w:r w:rsidRPr="00E60DE1">
        <w:rPr>
          <w:rFonts w:ascii="Arial" w:hAnsi="Arial" w:cs="Arial"/>
          <w:i/>
          <w:iCs/>
          <w:sz w:val="21"/>
          <w:szCs w:val="21"/>
          <w:lang w:val="es-ES_tradnl"/>
        </w:rPr>
        <w:t>“</w:t>
      </w:r>
      <w:r w:rsidRPr="00E60DE1">
        <w:rPr>
          <w:rFonts w:ascii="Arial" w:hAnsi="Arial" w:cs="Arial"/>
          <w:color w:val="000000" w:themeColor="text1"/>
          <w:sz w:val="21"/>
          <w:szCs w:val="21"/>
          <w:bdr w:val="none" w:sz="0" w:space="0" w:color="auto" w:frame="1"/>
          <w:shd w:val="clear" w:color="auto" w:fill="FFFFFF"/>
          <w:lang w:val="es-MX"/>
        </w:rPr>
        <w:t>La Corporación ha señalado de manera consistente que la Administración pierde la competencia para liquidar el contrato cuando el contratista, previamente, haya instaurado la acción judicial correspondiente, fenómeno que se explica por el traslado de esa competencia a otra autoridad […] La jurisprudencia ha sostenido, a partir de lo preceptuado en el literal d) del numeral 10 del artículo 136 del CCA, [subrogado por el artículo 44 de la ley 446 de 1998] , que la notificación del auto admisorio de la demanda que tenga por objeto la liquidación judicial del contrato es el hito que genera la pérdida de competencia de la entidad para ejercer la facultad de liquidar unilateralmente el contrato, mientras esta no lo haya liquidado unilateral o bilateralmente. […] No obstante, la Sala encuentra que el punto de partida de la pérdida de competencia que se fijó jurisprudencialmente es susceptible de ser revisado, a partir del empleo de un criterio de interpretación que resulte coherente con los efectos procesales que el legislador fijó la presentación de la demanda. […] [L]a demanda produce numerosos e importantes efectos jurídicos materiales que equivalen, en general, a un reforzamiento o intensificación, desde el punto de vista del actor, de una situación jurídica sustantiva.  Este reforzamiento se produce creando consecuencias que originalmente no existían, como la constitución en mora, o conservando consecuencias que existían, pero estaban en trance de desaparecer. La consecuencia típica de conservación es la que produce la presentación de la demanda, al interrumpir la prescripción. Al efecto, el Artículo 90 del Código de Procedimiento Civil, modificado por el decreto 2282 de 1989, aplicable a la presente controversia, […] Frente al vacío que se pretende colmar se hace necesario un ejercicio de integración normativa que esté más (sic) acorde con los efectos que la legislación procesal le atribuye a la presentación de la demanda, y que no están condicionados a su notificación. Desde este enfoque, la Sala declarará que la Administración perdió competencia para liquidar el contrato en forma unilateral, a partir de la fecha en que se presentó la demanda que pretendió su liquidación judicial</w:t>
      </w:r>
      <w:r w:rsidRPr="00E60DE1">
        <w:rPr>
          <w:rFonts w:ascii="Arial" w:hAnsi="Arial" w:cs="Arial"/>
          <w:i/>
          <w:iCs/>
          <w:sz w:val="21"/>
          <w:szCs w:val="21"/>
          <w:lang w:val="es-ES_tradnl"/>
        </w:rPr>
        <w:t>”.</w:t>
      </w:r>
      <w:r w:rsidRPr="00D15703">
        <w:rPr>
          <w:rFonts w:ascii="Arial" w:hAnsi="Arial" w:cs="Arial"/>
          <w:color w:val="000000" w:themeColor="text1"/>
          <w:sz w:val="21"/>
          <w:szCs w:val="21"/>
          <w:bdr w:val="none" w:sz="0" w:space="0" w:color="auto" w:frame="1"/>
          <w:shd w:val="clear" w:color="auto" w:fill="FFFFFF"/>
          <w:lang w:val="es-ES"/>
        </w:rPr>
        <w:t> </w:t>
      </w:r>
    </w:p>
    <w:p w14:paraId="461306BA" w14:textId="77777777" w:rsidR="00946943" w:rsidRPr="00D15703" w:rsidRDefault="00946943" w:rsidP="00946943">
      <w:pPr>
        <w:spacing w:after="120" w:line="276" w:lineRule="auto"/>
        <w:ind w:right="108" w:firstLine="703"/>
        <w:jc w:val="both"/>
        <w:rPr>
          <w:rFonts w:ascii="Arial" w:hAnsi="Arial" w:cs="Arial"/>
          <w:color w:val="000000" w:themeColor="text1"/>
          <w:lang w:val="es-MX"/>
        </w:rPr>
      </w:pPr>
      <w:r w:rsidRPr="00D15703">
        <w:rPr>
          <w:rFonts w:ascii="Arial" w:hAnsi="Arial" w:cs="Arial"/>
          <w:color w:val="000000" w:themeColor="text1"/>
          <w:bdr w:val="none" w:sz="0" w:space="0" w:color="auto" w:frame="1"/>
          <w:shd w:val="clear" w:color="auto" w:fill="FFFFFF"/>
          <w:lang w:val="es-MX"/>
        </w:rPr>
        <w:t xml:space="preserve">En armonía con lo anterior, se podrá, entonces, interponer una demanda ante la jurisdicción de lo contencioso administrativo solicitando la liquidación judicial del contrato mediante el medio de control de controversias contractuales, en los términos del artículo </w:t>
      </w:r>
      <w:r w:rsidRPr="00D15703">
        <w:rPr>
          <w:rFonts w:ascii="Arial" w:hAnsi="Arial" w:cs="Arial"/>
          <w:color w:val="000000" w:themeColor="text1"/>
          <w:bdr w:val="none" w:sz="0" w:space="0" w:color="auto" w:frame="1"/>
          <w:shd w:val="clear" w:color="auto" w:fill="FFFFFF"/>
          <w:lang w:val="es-MX"/>
        </w:rPr>
        <w:lastRenderedPageBreak/>
        <w:t>141 del Código de Procedimiento Administrativo y de lo Contencioso Administrativo –CPACA–. La demanda debe ser presentada dentro del término que establece el artículo 164 del CPACA, pues de lo contrario operará el fenómeno de la caducidad, por lo cual no sería posible realizar la liquidación del contrato por ningún medio. </w:t>
      </w:r>
    </w:p>
    <w:p w14:paraId="62F5E1DD" w14:textId="77777777" w:rsidR="00946943" w:rsidRPr="00D15703" w:rsidRDefault="00946943" w:rsidP="00946943">
      <w:pPr>
        <w:spacing w:after="120" w:line="276" w:lineRule="auto"/>
        <w:ind w:right="108" w:firstLine="703"/>
        <w:jc w:val="both"/>
        <w:rPr>
          <w:rFonts w:ascii="Arial" w:hAnsi="Arial" w:cs="Arial"/>
          <w:color w:val="000000" w:themeColor="text1"/>
          <w:lang w:val="es-MX"/>
        </w:rPr>
      </w:pPr>
      <w:r w:rsidRPr="00D15703">
        <w:rPr>
          <w:rFonts w:ascii="Arial" w:hAnsi="Arial" w:cs="Arial"/>
          <w:color w:val="000000" w:themeColor="text1"/>
          <w:bdr w:val="none" w:sz="0" w:space="0" w:color="auto" w:frame="1"/>
          <w:shd w:val="clear" w:color="auto" w:fill="FFFFFF"/>
          <w:lang w:val="es-MX"/>
        </w:rPr>
        <w:t>En este punto, vale la pena aclarar que en relación con el término de caducidad para demandar en aquellos contratos que requieran liquidación, la jurisprudencia unificada del Consejo de Estado ha determinado que, en virtud del artículo 164 de la Ley 1437 de 2011, la regla general es que los dos años comiencen a correr a partir de la fecha de expedición del acta de liquidación, bien sea unilateral o de mutuo acuerdo, y solo en caso de que no exista liquidación de ningún tipo, el término de dos años comienza a contar a partir de la suma de los seis meses que trata en artículo 11 de la Ley 1150 de</w:t>
      </w:r>
      <w:r w:rsidRPr="00D15703">
        <w:rPr>
          <w:rFonts w:ascii="Arial" w:hAnsi="Arial" w:cs="Arial"/>
          <w:color w:val="000000" w:themeColor="text1"/>
          <w:spacing w:val="-25"/>
          <w:bdr w:val="none" w:sz="0" w:space="0" w:color="auto" w:frame="1"/>
          <w:shd w:val="clear" w:color="auto" w:fill="FFFFFF"/>
          <w:lang w:val="es-MX"/>
        </w:rPr>
        <w:t> </w:t>
      </w:r>
      <w:r w:rsidRPr="00D15703">
        <w:rPr>
          <w:rFonts w:ascii="Arial" w:hAnsi="Arial" w:cs="Arial"/>
          <w:color w:val="000000" w:themeColor="text1"/>
          <w:bdr w:val="none" w:sz="0" w:space="0" w:color="auto" w:frame="1"/>
          <w:shd w:val="clear" w:color="auto" w:fill="FFFFFF"/>
          <w:lang w:val="es-MX"/>
        </w:rPr>
        <w:t>2011. </w:t>
      </w:r>
    </w:p>
    <w:p w14:paraId="0DE6C264" w14:textId="77777777" w:rsidR="00946943" w:rsidRPr="00D15703" w:rsidRDefault="00946943" w:rsidP="00946943">
      <w:pPr>
        <w:spacing w:after="120" w:line="276" w:lineRule="auto"/>
        <w:ind w:firstLine="703"/>
        <w:jc w:val="both"/>
        <w:rPr>
          <w:rFonts w:ascii="Arial" w:hAnsi="Arial" w:cs="Arial"/>
          <w:color w:val="000000" w:themeColor="text1"/>
          <w:bdr w:val="none" w:sz="0" w:space="0" w:color="auto" w:frame="1"/>
          <w:shd w:val="clear" w:color="auto" w:fill="FFFFFF"/>
          <w:lang w:val="es-MX"/>
        </w:rPr>
      </w:pPr>
      <w:r w:rsidRPr="00D15703">
        <w:rPr>
          <w:rFonts w:ascii="Arial" w:hAnsi="Arial" w:cs="Arial"/>
          <w:color w:val="000000" w:themeColor="text1"/>
          <w:bdr w:val="none" w:sz="0" w:space="0" w:color="auto" w:frame="1"/>
          <w:shd w:val="clear" w:color="auto" w:fill="FFFFFF"/>
          <w:lang w:val="es-ES"/>
        </w:rPr>
        <w:t>Así las cosas, es claro que el ordenamiento jurídico vigente permite la liquidación unilateral, bilateral incluso judicial una vez vencido el plazo establecido por el artículo 11 de la Ley 1150 de 2007. En otras palabras, la liquidación final de los contratos estatales tiene un ámbito temporal que empieza con la terminación del contrato y comprende el período contractual pactado por las partes o supletivo legal –de 4 meses– para la liquidación bilateral, más el período legal para la liquidación unilateral –de 2 meses–, más el plazo de dos años para hacerlo de mutuo acuerdo o unilateralmente, sin perjuicio de que se solicite la liquidación judicial.</w:t>
      </w:r>
      <w:r w:rsidRPr="00D15703">
        <w:rPr>
          <w:rFonts w:ascii="Arial" w:hAnsi="Arial" w:cs="Arial"/>
          <w:color w:val="000000" w:themeColor="text1"/>
          <w:bdr w:val="none" w:sz="0" w:space="0" w:color="auto" w:frame="1"/>
          <w:shd w:val="clear" w:color="auto" w:fill="FFFFFF"/>
          <w:lang w:val="es-MX"/>
        </w:rPr>
        <w:t> </w:t>
      </w:r>
    </w:p>
    <w:p w14:paraId="68BC2767" w14:textId="77777777" w:rsidR="00946943" w:rsidRPr="00D15703" w:rsidRDefault="00946943" w:rsidP="00946943">
      <w:pPr>
        <w:spacing w:after="120" w:line="276" w:lineRule="auto"/>
        <w:ind w:firstLine="703"/>
        <w:jc w:val="both"/>
        <w:rPr>
          <w:rFonts w:ascii="Arial" w:hAnsi="Arial" w:cs="Arial"/>
          <w:color w:val="000000" w:themeColor="text1"/>
          <w:bdr w:val="none" w:sz="0" w:space="0" w:color="auto" w:frame="1"/>
          <w:shd w:val="clear" w:color="auto" w:fill="FFFFFF"/>
          <w:lang w:val="es-MX"/>
        </w:rPr>
      </w:pPr>
      <w:r w:rsidRPr="00D15703">
        <w:rPr>
          <w:rFonts w:ascii="Arial" w:hAnsi="Arial" w:cs="Arial"/>
          <w:lang w:val="es-ES_tradnl"/>
        </w:rPr>
        <w:t>Por tanto, si se trata de un contrato en el cual no existe pacto sobre el término para la liquidación bilateral, el término supletivo aplicaría, y se podría liquidar el contrato dentro de los 4 meses siguientes a su terminación de manera bilateral, dentro de los 2 meses siguientes a ellos de manera unilateral por la entidad, más un plazo de 2 años para la liquidación unilateral, bilateral o judicial: para un total de 2 años y 6 meses.  Estos términos pueden verse modificados si las partes acuerdan un plazo mayor o menor para realizar la liquidación de mutuo acuerdo, con lo cual dejaría de estar incluido el término supletivo de la Ley 1150 de 2007</w:t>
      </w:r>
    </w:p>
    <w:p w14:paraId="154099A6" w14:textId="77777777" w:rsidR="00946943" w:rsidRDefault="00946943" w:rsidP="00946943">
      <w:pPr>
        <w:spacing w:after="0" w:line="276" w:lineRule="auto"/>
        <w:ind w:firstLine="709"/>
        <w:jc w:val="both"/>
        <w:rPr>
          <w:rFonts w:ascii="Arial" w:hAnsi="Arial" w:cs="Arial"/>
          <w:lang w:val="es-ES_tradnl"/>
        </w:rPr>
      </w:pPr>
      <w:r w:rsidRPr="00D15703">
        <w:rPr>
          <w:rFonts w:ascii="Arial" w:hAnsi="Arial" w:cs="Arial"/>
          <w:lang w:val="es-ES_tradnl"/>
        </w:rPr>
        <w:t>En suma, de</w:t>
      </w:r>
      <w:r w:rsidRPr="00D15703">
        <w:rPr>
          <w:rFonts w:ascii="Arial" w:hAnsi="Arial" w:cs="Arial"/>
          <w:iCs/>
          <w:lang w:val="es-ES_tradnl"/>
        </w:rPr>
        <w:t xml:space="preserve"> acuerdo con el artículo 11 de la Ley 1150 de 2007, existen tres tipos de liquidación: i) bilateral, ii) unilateral y iii) judicial. En términos generales, la primera, que puede ser total o parcial, debe hacerse en el término que estipulen las partes o, en su defecto, dentro del término supletivo de cuatro meses. La segunda se debe practicar d</w:t>
      </w:r>
      <w:r w:rsidRPr="00D15703">
        <w:rPr>
          <w:rFonts w:ascii="Arial" w:hAnsi="Arial" w:cs="Arial"/>
          <w:lang w:val="es-ES_tradnl"/>
        </w:rPr>
        <w:t xml:space="preserve">entro de los dos meses siguientes al vencimiento del término que acuerden las partes, o ante el silencio de estas, luego de los cuatro meses para realizar la liquidación bilateral, sin que esta se efectúe. Finalmente, la tercera la realiza el juez contencioso administrativo o un tribunal arbitral dentro de un proceso judicial de controversias contractuales y puede darse con ocasión de una demanda del interesado solicitando dicha liquidación y para ello existe un plazo máximo de 2 años contados a partir de los dos meses establecidos en la Ley para </w:t>
      </w:r>
      <w:r w:rsidRPr="00D15703">
        <w:rPr>
          <w:rFonts w:ascii="Arial" w:hAnsi="Arial" w:cs="Arial"/>
          <w:lang w:val="es-ES_tradnl"/>
        </w:rPr>
        <w:lastRenderedPageBreak/>
        <w:t>realizar la liquidación unilateral, de conformidad con la citada sentencia de unificación del Consejo de Estado.</w:t>
      </w:r>
    </w:p>
    <w:p w14:paraId="2D7D93B6" w14:textId="77777777" w:rsidR="00946943" w:rsidRDefault="00946943" w:rsidP="00946943">
      <w:pPr>
        <w:tabs>
          <w:tab w:val="left" w:pos="7851"/>
        </w:tabs>
        <w:spacing w:after="0" w:line="276" w:lineRule="auto"/>
        <w:rPr>
          <w:rFonts w:ascii="Arial" w:hAnsi="Arial" w:cs="Arial"/>
          <w:lang w:val="es-ES_tradnl"/>
        </w:rPr>
      </w:pPr>
    </w:p>
    <w:p w14:paraId="6E4DC618" w14:textId="77777777" w:rsidR="000A190A" w:rsidRDefault="000A190A" w:rsidP="00946943">
      <w:pPr>
        <w:tabs>
          <w:tab w:val="left" w:pos="7851"/>
        </w:tabs>
        <w:spacing w:after="0" w:line="276" w:lineRule="auto"/>
        <w:rPr>
          <w:rFonts w:ascii="Arial" w:hAnsi="Arial" w:cs="Arial"/>
          <w:lang w:val="es-ES_tradnl"/>
        </w:rPr>
      </w:pPr>
    </w:p>
    <w:p w14:paraId="7E76969D" w14:textId="77777777" w:rsidR="00381B35" w:rsidRPr="00D709BF" w:rsidRDefault="00946943" w:rsidP="00381B35">
      <w:pPr>
        <w:pStyle w:val="Prrafodelista"/>
        <w:numPr>
          <w:ilvl w:val="1"/>
          <w:numId w:val="20"/>
        </w:numPr>
        <w:tabs>
          <w:tab w:val="left" w:pos="7851"/>
        </w:tabs>
        <w:spacing w:after="0" w:line="276" w:lineRule="auto"/>
        <w:rPr>
          <w:rFonts w:ascii="Arial" w:hAnsi="Arial" w:cs="Arial"/>
          <w:b/>
          <w:lang w:val="es-ES_tradnl"/>
        </w:rPr>
      </w:pPr>
      <w:r w:rsidRPr="00A0227B">
        <w:rPr>
          <w:rFonts w:ascii="Arial" w:hAnsi="Arial" w:cs="Arial"/>
          <w:b/>
          <w:lang w:val="es-ES_tradnl"/>
        </w:rPr>
        <w:t>Convenios interadministrativos</w:t>
      </w:r>
      <w:r>
        <w:rPr>
          <w:rFonts w:ascii="Arial" w:hAnsi="Arial" w:cs="Arial"/>
          <w:b/>
          <w:bCs/>
          <w:lang w:val="es-ES_tradnl"/>
        </w:rPr>
        <w:t xml:space="preserve"> y su liquidación</w:t>
      </w:r>
    </w:p>
    <w:p w14:paraId="17068061" w14:textId="77777777" w:rsidR="00D709BF" w:rsidRPr="00381B35" w:rsidRDefault="00D709BF" w:rsidP="00D709BF">
      <w:pPr>
        <w:pStyle w:val="Prrafodelista"/>
        <w:tabs>
          <w:tab w:val="left" w:pos="7851"/>
        </w:tabs>
        <w:spacing w:after="0" w:line="276" w:lineRule="auto"/>
        <w:ind w:left="360"/>
        <w:rPr>
          <w:rFonts w:ascii="Arial" w:hAnsi="Arial" w:cs="Arial"/>
          <w:b/>
          <w:lang w:val="es-ES_tradnl"/>
        </w:rPr>
      </w:pPr>
    </w:p>
    <w:p w14:paraId="5B34F93A" w14:textId="12D7DE44" w:rsidR="00946943" w:rsidRPr="00381B35" w:rsidRDefault="00946943" w:rsidP="00EB3A1B">
      <w:pPr>
        <w:tabs>
          <w:tab w:val="left" w:pos="7851"/>
        </w:tabs>
        <w:spacing w:after="0" w:line="276" w:lineRule="auto"/>
        <w:jc w:val="both"/>
        <w:rPr>
          <w:rFonts w:ascii="Arial" w:hAnsi="Arial" w:cs="Arial"/>
          <w:b/>
          <w:lang w:val="es-ES_tradnl"/>
        </w:rPr>
      </w:pPr>
      <w:r w:rsidRPr="00381B35">
        <w:rPr>
          <w:rFonts w:ascii="Arial" w:eastAsiaTheme="minorEastAsia" w:hAnsi="Arial" w:cs="Arial"/>
          <w:lang w:eastAsia="es-CO"/>
        </w:rPr>
        <w:t>La tipología del contrato o convenio interadministrativo fue creada en la Ley 80 de 1993, y el Decreto 1082 de 2015 la califica como aquella contratación entre Entidades Estatales</w:t>
      </w:r>
      <w:r w:rsidRPr="00283724">
        <w:rPr>
          <w:vertAlign w:val="superscript"/>
          <w:lang w:eastAsia="es-CO"/>
        </w:rPr>
        <w:footnoteReference w:id="20"/>
      </w:r>
      <w:r w:rsidRPr="00381B35">
        <w:rPr>
          <w:rFonts w:ascii="Arial" w:eastAsiaTheme="minorEastAsia" w:hAnsi="Arial" w:cs="Arial"/>
          <w:lang w:eastAsia="es-CO"/>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381B35">
        <w:rPr>
          <w:rFonts w:ascii="Arial" w:eastAsiaTheme="minorEastAsia" w:hAnsi="Arial" w:cs="Arial"/>
          <w:spacing w:val="-6"/>
          <w:lang w:eastAsia="es-CO"/>
        </w:rPr>
        <w:t xml:space="preserve"> </w:t>
      </w:r>
      <w:r w:rsidRPr="00381B35">
        <w:rPr>
          <w:rFonts w:ascii="Arial" w:eastAsiaTheme="minorEastAsia" w:hAnsi="Arial" w:cs="Arial"/>
          <w:lang w:eastAsia="es-CO"/>
        </w:rPr>
        <w:t>Estatales.</w:t>
      </w:r>
    </w:p>
    <w:p w14:paraId="1A4A1F75" w14:textId="77777777" w:rsidR="00946943" w:rsidRPr="00C60AA9" w:rsidRDefault="00946943" w:rsidP="00946943">
      <w:pPr>
        <w:pStyle w:val="Prrafodelista"/>
        <w:tabs>
          <w:tab w:val="left" w:pos="7851"/>
        </w:tabs>
        <w:spacing w:after="0" w:line="276" w:lineRule="auto"/>
        <w:ind w:left="360"/>
        <w:jc w:val="both"/>
        <w:rPr>
          <w:rFonts w:ascii="Arial" w:hAnsi="Arial" w:cs="Arial"/>
          <w:b/>
          <w:lang w:val="es-ES_tradnl"/>
        </w:rPr>
      </w:pPr>
    </w:p>
    <w:p w14:paraId="28A588DF" w14:textId="77777777" w:rsidR="00946943" w:rsidRPr="00283724" w:rsidRDefault="00946943" w:rsidP="00946943">
      <w:pPr>
        <w:spacing w:after="120" w:line="276" w:lineRule="auto"/>
        <w:ind w:firstLine="707"/>
        <w:jc w:val="both"/>
        <w:rPr>
          <w:rFonts w:ascii="Arial" w:eastAsiaTheme="minorEastAsia" w:hAnsi="Arial" w:cs="Arial"/>
          <w:lang w:eastAsia="es-CO"/>
        </w:rPr>
      </w:pPr>
      <w:r w:rsidRPr="00283724">
        <w:rPr>
          <w:rFonts w:ascii="Arial" w:eastAsiaTheme="minorEastAsia" w:hAnsi="Arial" w:cs="Arial"/>
          <w:lang w:eastAsia="es-CO"/>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7180A3C8" w14:textId="77777777" w:rsidR="00946943" w:rsidRPr="00283724" w:rsidRDefault="00946943" w:rsidP="00946943">
      <w:pPr>
        <w:spacing w:after="120" w:line="276" w:lineRule="auto"/>
        <w:ind w:firstLine="707"/>
        <w:jc w:val="both"/>
        <w:rPr>
          <w:rFonts w:ascii="Arial" w:eastAsiaTheme="minorEastAsia" w:hAnsi="Arial" w:cs="Arial"/>
          <w:lang w:eastAsia="es-CO"/>
        </w:rPr>
      </w:pPr>
      <w:r w:rsidRPr="00283724">
        <w:rPr>
          <w:rFonts w:ascii="Arial" w:eastAsiaTheme="minorEastAsia" w:hAnsi="Arial" w:cs="Arial"/>
          <w:lang w:eastAsia="es-CO"/>
        </w:rPr>
        <w:t>Un contrato o convenio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283724">
        <w:rPr>
          <w:rFonts w:ascii="Arial" w:eastAsiaTheme="minorEastAsia" w:hAnsi="Arial" w:cs="Arial"/>
          <w:vertAlign w:val="superscript"/>
          <w:lang w:eastAsia="es-CO"/>
        </w:rPr>
        <w:footnoteReference w:id="21"/>
      </w:r>
      <w:r w:rsidRPr="00283724">
        <w:rPr>
          <w:rFonts w:ascii="Arial" w:eastAsiaTheme="minorEastAsia" w:hAnsi="Arial" w:cs="Arial"/>
          <w:lang w:eastAsia="es-CO"/>
        </w:rPr>
        <w:t>. Nótese que, en este caso, lo que cambia es la modalidad de selección y no la naturaleza de contrato</w:t>
      </w:r>
      <w:r w:rsidRPr="00283724">
        <w:rPr>
          <w:rFonts w:ascii="Arial" w:eastAsiaTheme="minorEastAsia" w:hAnsi="Arial" w:cs="Arial"/>
          <w:spacing w:val="-18"/>
          <w:lang w:eastAsia="es-CO"/>
        </w:rPr>
        <w:t xml:space="preserve"> </w:t>
      </w:r>
      <w:r w:rsidRPr="00283724">
        <w:rPr>
          <w:rFonts w:ascii="Arial" w:eastAsiaTheme="minorEastAsia" w:hAnsi="Arial" w:cs="Arial"/>
          <w:lang w:eastAsia="es-CO"/>
        </w:rPr>
        <w:t>interadministrativo.</w:t>
      </w:r>
    </w:p>
    <w:p w14:paraId="6F182883" w14:textId="77777777" w:rsidR="00946943" w:rsidRPr="00283724" w:rsidRDefault="00946943" w:rsidP="00946943">
      <w:pPr>
        <w:spacing w:after="0" w:line="276" w:lineRule="auto"/>
        <w:ind w:firstLine="709"/>
        <w:jc w:val="both"/>
        <w:rPr>
          <w:rFonts w:ascii="Arial" w:eastAsiaTheme="minorEastAsia" w:hAnsi="Arial" w:cs="Arial"/>
          <w:lang w:eastAsia="es-CO"/>
        </w:rPr>
      </w:pPr>
      <w:r w:rsidRPr="00283724">
        <w:rPr>
          <w:rFonts w:ascii="Arial" w:eastAsiaTheme="minorEastAsia" w:hAnsi="Arial" w:cs="Arial"/>
          <w:lang w:eastAsia="es-CO"/>
        </w:rPr>
        <w:t xml:space="preserve">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w:t>
      </w:r>
      <w:r w:rsidRPr="00283724">
        <w:rPr>
          <w:rFonts w:ascii="Arial" w:eastAsiaTheme="minorEastAsia" w:hAnsi="Arial" w:cs="Arial"/>
          <w:lang w:eastAsia="es-CO"/>
        </w:rPr>
        <w:lastRenderedPageBreak/>
        <w:t>derecho público. Adicionalmente, el Consejo de Estado ha indicado, frente al convenio interadministrativo y sus características,</w:t>
      </w:r>
      <w:r w:rsidRPr="00283724">
        <w:rPr>
          <w:rFonts w:ascii="Arial" w:eastAsiaTheme="minorEastAsia" w:hAnsi="Arial" w:cs="Arial"/>
          <w:spacing w:val="-13"/>
          <w:lang w:eastAsia="es-CO"/>
        </w:rPr>
        <w:t xml:space="preserve"> </w:t>
      </w:r>
      <w:r w:rsidRPr="00283724">
        <w:rPr>
          <w:rFonts w:ascii="Arial" w:eastAsiaTheme="minorEastAsia" w:hAnsi="Arial" w:cs="Arial"/>
          <w:lang w:eastAsia="es-CO"/>
        </w:rPr>
        <w:t>que:</w:t>
      </w:r>
    </w:p>
    <w:p w14:paraId="0CD72959" w14:textId="77777777" w:rsidR="00946943" w:rsidRPr="00283724" w:rsidRDefault="00946943" w:rsidP="00946943">
      <w:pPr>
        <w:spacing w:after="0" w:line="276" w:lineRule="auto"/>
        <w:ind w:firstLine="709"/>
        <w:jc w:val="both"/>
        <w:rPr>
          <w:rFonts w:ascii="Arial" w:eastAsiaTheme="minorEastAsia" w:hAnsi="Arial" w:cs="Arial"/>
          <w:lang w:eastAsia="es-CO"/>
        </w:rPr>
      </w:pPr>
    </w:p>
    <w:p w14:paraId="3559E345" w14:textId="77777777" w:rsidR="00946943" w:rsidRPr="00283724" w:rsidRDefault="00946943" w:rsidP="00946943">
      <w:pPr>
        <w:spacing w:after="0" w:line="276" w:lineRule="auto"/>
        <w:ind w:left="709" w:right="709"/>
        <w:jc w:val="both"/>
        <w:rPr>
          <w:rFonts w:ascii="Arial" w:eastAsia="Times New Roman" w:hAnsi="Arial" w:cs="Arial"/>
          <w:sz w:val="20"/>
          <w:szCs w:val="20"/>
          <w:lang w:eastAsia="es-ES_tradnl"/>
        </w:rPr>
      </w:pPr>
      <w:r w:rsidRPr="00283724">
        <w:rPr>
          <w:rFonts w:ascii="Arial" w:eastAsia="Times New Roman" w:hAnsi="Arial" w:cs="Arial"/>
          <w:sz w:val="20"/>
          <w:szCs w:val="20"/>
          <w:lang w:eastAsia="es-ES_tradnl"/>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283724">
        <w:rPr>
          <w:rFonts w:ascii="Arial" w:eastAsia="Times New Roman" w:hAnsi="Arial" w:cs="Arial"/>
          <w:sz w:val="20"/>
          <w:szCs w:val="20"/>
          <w:vertAlign w:val="superscript"/>
          <w:lang w:eastAsia="es-ES_tradnl"/>
        </w:rPr>
        <w:footnoteReference w:id="22"/>
      </w:r>
      <w:r w:rsidRPr="00283724">
        <w:rPr>
          <w:rFonts w:ascii="Arial" w:eastAsia="Times New Roman" w:hAnsi="Arial" w:cs="Arial"/>
          <w:sz w:val="20"/>
          <w:szCs w:val="20"/>
          <w:lang w:eastAsia="es-ES_tradnl"/>
        </w:rPr>
        <w:t>.</w:t>
      </w:r>
    </w:p>
    <w:p w14:paraId="5470A0C9" w14:textId="77777777" w:rsidR="00946943" w:rsidRPr="00283724" w:rsidRDefault="00946943" w:rsidP="00946943">
      <w:pPr>
        <w:spacing w:after="0" w:line="276" w:lineRule="auto"/>
        <w:ind w:left="709" w:right="709"/>
        <w:jc w:val="both"/>
        <w:rPr>
          <w:rFonts w:ascii="Arial" w:eastAsia="Times New Roman" w:hAnsi="Arial" w:cs="Arial"/>
          <w:lang w:eastAsia="es-ES_tradnl"/>
        </w:rPr>
      </w:pPr>
    </w:p>
    <w:p w14:paraId="7FD52D3C" w14:textId="77777777" w:rsidR="00946943" w:rsidRPr="00283724" w:rsidRDefault="00946943" w:rsidP="00946943">
      <w:pPr>
        <w:spacing w:after="120" w:line="276" w:lineRule="auto"/>
        <w:ind w:firstLine="707"/>
        <w:jc w:val="both"/>
        <w:rPr>
          <w:rFonts w:ascii="Arial" w:eastAsiaTheme="minorEastAsia" w:hAnsi="Arial" w:cs="Arial"/>
          <w:lang w:eastAsia="es-CO"/>
        </w:rPr>
      </w:pPr>
      <w:r w:rsidRPr="00283724">
        <w:rPr>
          <w:rFonts w:ascii="Arial" w:eastAsiaTheme="minorEastAsia" w:hAnsi="Arial" w:cs="Arial"/>
          <w:lang w:eastAsia="es-CO"/>
        </w:rPr>
        <w:t>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Estatuto General de Contratación de la Administración Pública – en adelante EGCAP – establece la contratación directa como la modalidad de selección aplicable, por regla general, a la celebración de los contratos interadministrativos, no obstante, como se verá más adelante existen algunas excepciones.</w:t>
      </w:r>
    </w:p>
    <w:p w14:paraId="30355E6B" w14:textId="77777777" w:rsidR="00946943" w:rsidRPr="00283724" w:rsidRDefault="00946943" w:rsidP="00946943">
      <w:pPr>
        <w:spacing w:after="120" w:line="276" w:lineRule="auto"/>
        <w:ind w:firstLine="707"/>
        <w:jc w:val="both"/>
        <w:rPr>
          <w:rFonts w:ascii="Arial" w:eastAsiaTheme="minorEastAsia" w:hAnsi="Arial" w:cs="Arial"/>
          <w:lang w:eastAsia="es-CO"/>
        </w:rPr>
      </w:pPr>
      <w:r w:rsidRPr="00283724">
        <w:rPr>
          <w:rFonts w:ascii="Arial" w:eastAsiaTheme="minorEastAsia" w:hAnsi="Arial" w:cs="Arial"/>
          <w:lang w:eastAsia="es-CO"/>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plausible que se celebren contratos interadministrativos en el marco de un proceso donde sea posible la participación de los interesados en ofertar, es decir, a través de las otras modalidades de selección previstas en la Ley 1150 de 2007 diferentes a la de contratación directa. Como se indicó, la existencia de un contrato interadministrativo no está determinada por la modalidad de selección sino, entre otras cosas, por la calidad de las partes que lo suscriben, es decir, debe tratarse de Entidades</w:t>
      </w:r>
      <w:r w:rsidRPr="00283724">
        <w:rPr>
          <w:rFonts w:ascii="Arial" w:eastAsiaTheme="minorEastAsia" w:hAnsi="Arial" w:cs="Arial"/>
          <w:spacing w:val="-3"/>
          <w:lang w:eastAsia="es-CO"/>
        </w:rPr>
        <w:t xml:space="preserve"> </w:t>
      </w:r>
      <w:r w:rsidRPr="00283724">
        <w:rPr>
          <w:rFonts w:ascii="Arial" w:eastAsiaTheme="minorEastAsia" w:hAnsi="Arial" w:cs="Arial"/>
          <w:lang w:eastAsia="es-CO"/>
        </w:rPr>
        <w:t>Estatales.</w:t>
      </w:r>
    </w:p>
    <w:p w14:paraId="0A740006" w14:textId="77777777" w:rsidR="00946943" w:rsidRDefault="00946943" w:rsidP="00946943">
      <w:pPr>
        <w:spacing w:after="120" w:line="276" w:lineRule="auto"/>
        <w:ind w:firstLine="709"/>
        <w:jc w:val="both"/>
        <w:rPr>
          <w:rFonts w:ascii="Arial" w:eastAsiaTheme="minorEastAsia" w:hAnsi="Arial" w:cs="Arial"/>
          <w:lang w:eastAsia="es-CO"/>
        </w:rPr>
      </w:pPr>
      <w:r w:rsidRPr="00283724">
        <w:rPr>
          <w:rFonts w:ascii="Arial" w:eastAsiaTheme="minorEastAsia" w:hAnsi="Arial" w:cs="Arial"/>
          <w:lang w:eastAsia="es-CO"/>
        </w:rPr>
        <w:lastRenderedPageBreak/>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 los contratos interadministrativos y no a los convenios,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283724">
        <w:rPr>
          <w:rFonts w:ascii="Arial" w:eastAsiaTheme="minorEastAsia" w:hAnsi="Arial" w:cs="Arial"/>
          <w:spacing w:val="-4"/>
          <w:lang w:eastAsia="es-CO"/>
        </w:rPr>
        <w:t xml:space="preserve"> </w:t>
      </w:r>
      <w:r w:rsidRPr="00283724">
        <w:rPr>
          <w:rFonts w:ascii="Arial" w:eastAsiaTheme="minorEastAsia" w:hAnsi="Arial" w:cs="Arial"/>
          <w:lang w:eastAsia="es-CO"/>
        </w:rPr>
        <w:t>estatales.</w:t>
      </w:r>
    </w:p>
    <w:p w14:paraId="1F318ECB" w14:textId="0C39B544" w:rsidR="00946943" w:rsidRDefault="00487565" w:rsidP="00946943">
      <w:pPr>
        <w:spacing w:line="276" w:lineRule="auto"/>
        <w:ind w:firstLine="708"/>
        <w:jc w:val="both"/>
        <w:rPr>
          <w:rFonts w:ascii="Arial" w:eastAsia="Times New Roman" w:hAnsi="Arial" w:cs="Arial"/>
          <w:color w:val="000000" w:themeColor="text1"/>
          <w:szCs w:val="24"/>
          <w:lang w:val="es-ES_tradnl" w:eastAsia="es-ES_tradnl"/>
        </w:rPr>
      </w:pPr>
      <w:r>
        <w:rPr>
          <w:rFonts w:ascii="Arial" w:eastAsia="Times New Roman" w:hAnsi="Arial" w:cs="Arial"/>
          <w:color w:val="000000" w:themeColor="text1"/>
          <w:szCs w:val="24"/>
          <w:lang w:val="es-ES_tradnl" w:eastAsia="es-ES_tradnl"/>
        </w:rPr>
        <w:t>Teniendo</w:t>
      </w:r>
      <w:r w:rsidR="00946943" w:rsidRPr="008A0A1B">
        <w:rPr>
          <w:rFonts w:ascii="Arial" w:eastAsia="Times New Roman" w:hAnsi="Arial" w:cs="Arial"/>
          <w:color w:val="000000" w:themeColor="text1"/>
          <w:szCs w:val="24"/>
          <w:lang w:val="es-ES_tradnl" w:eastAsia="es-ES_tradnl"/>
        </w:rPr>
        <w:t xml:space="preserve"> en </w:t>
      </w:r>
      <w:r>
        <w:rPr>
          <w:rFonts w:ascii="Arial" w:eastAsia="Times New Roman" w:hAnsi="Arial" w:cs="Arial"/>
          <w:color w:val="000000" w:themeColor="text1"/>
          <w:szCs w:val="24"/>
          <w:lang w:val="es-ES_tradnl" w:eastAsia="es-ES_tradnl"/>
        </w:rPr>
        <w:t>cuenta lo anterior</w:t>
      </w:r>
      <w:r w:rsidR="00946943" w:rsidRPr="008A0A1B">
        <w:rPr>
          <w:rFonts w:ascii="Arial" w:eastAsia="Times New Roman" w:hAnsi="Arial" w:cs="Arial"/>
          <w:color w:val="000000" w:themeColor="text1"/>
          <w:szCs w:val="24"/>
          <w:lang w:val="es-ES_tradnl" w:eastAsia="es-ES_tradnl"/>
        </w:rPr>
        <w:t xml:space="preserve">, como el artículo 60 de la Ley 80 de 1993 y el artículo 11 de la Ley 1150 de 2007 exigen la liquidación de los contratos de tracto sucesivo, si el convenio </w:t>
      </w:r>
      <w:r>
        <w:rPr>
          <w:rFonts w:ascii="Arial" w:eastAsia="Times New Roman" w:hAnsi="Arial" w:cs="Arial"/>
          <w:color w:val="000000" w:themeColor="text1"/>
          <w:szCs w:val="24"/>
          <w:lang w:val="es-ES_tradnl" w:eastAsia="es-ES_tradnl"/>
        </w:rPr>
        <w:t>interadministrativo</w:t>
      </w:r>
      <w:r w:rsidR="00946943" w:rsidRPr="008A0A1B">
        <w:rPr>
          <w:rFonts w:ascii="Arial" w:eastAsia="Times New Roman" w:hAnsi="Arial" w:cs="Arial"/>
          <w:color w:val="000000" w:themeColor="text1"/>
          <w:szCs w:val="24"/>
          <w:lang w:val="es-ES_tradnl" w:eastAsia="es-ES_tradnl"/>
        </w:rPr>
        <w:t xml:space="preserve"> celebrado por dos o más entidades públicas tiene una ejecución que se prolonga en el tiempo, debe liquidarse</w:t>
      </w:r>
      <w:r w:rsidR="00946943">
        <w:rPr>
          <w:rFonts w:ascii="Arial" w:eastAsia="Times New Roman" w:hAnsi="Arial" w:cs="Arial"/>
          <w:color w:val="000000" w:themeColor="text1"/>
          <w:szCs w:val="24"/>
          <w:lang w:val="es-ES_tradnl" w:eastAsia="es-ES_tradnl"/>
        </w:rPr>
        <w:t xml:space="preserve">, como se ha venido explicando, el mandato de liquidar los contratos estatales exige que, primero, se intente la liquidación de mutuo acuerdo, en el </w:t>
      </w:r>
      <w:r w:rsidR="007E32B9">
        <w:rPr>
          <w:rFonts w:ascii="Arial" w:eastAsia="Times New Roman" w:hAnsi="Arial" w:cs="Arial"/>
          <w:color w:val="000000" w:themeColor="text1"/>
          <w:szCs w:val="24"/>
          <w:lang w:val="es-ES_tradnl" w:eastAsia="es-ES_tradnl"/>
        </w:rPr>
        <w:t>término</w:t>
      </w:r>
      <w:r w:rsidR="00946943">
        <w:rPr>
          <w:rFonts w:ascii="Arial" w:eastAsia="Times New Roman" w:hAnsi="Arial" w:cs="Arial"/>
          <w:color w:val="000000" w:themeColor="text1"/>
          <w:szCs w:val="24"/>
          <w:lang w:val="es-ES_tradnl" w:eastAsia="es-ES_tradnl"/>
        </w:rPr>
        <w:t xml:space="preserve"> indicado en el pliego de condiciones o en el documento equivalente o en el pactado por las partes, </w:t>
      </w:r>
      <w:r w:rsidR="003640F8">
        <w:rPr>
          <w:rFonts w:ascii="Arial" w:eastAsia="Times New Roman" w:hAnsi="Arial" w:cs="Arial"/>
          <w:color w:val="000000" w:themeColor="text1"/>
          <w:szCs w:val="24"/>
          <w:lang w:val="es-ES_tradnl" w:eastAsia="es-ES_tradnl"/>
        </w:rPr>
        <w:t>o</w:t>
      </w:r>
      <w:r w:rsidR="00946943">
        <w:rPr>
          <w:rFonts w:ascii="Arial" w:eastAsia="Times New Roman" w:hAnsi="Arial" w:cs="Arial"/>
          <w:color w:val="000000" w:themeColor="text1"/>
          <w:szCs w:val="24"/>
          <w:lang w:val="es-ES_tradnl" w:eastAsia="es-ES_tradnl"/>
        </w:rPr>
        <w:t xml:space="preserve">, subsidiariamente, en el </w:t>
      </w:r>
      <w:r w:rsidR="007E32B9">
        <w:rPr>
          <w:rFonts w:ascii="Arial" w:eastAsia="Times New Roman" w:hAnsi="Arial" w:cs="Arial"/>
          <w:color w:val="000000" w:themeColor="text1"/>
          <w:szCs w:val="24"/>
          <w:lang w:val="es-ES_tradnl" w:eastAsia="es-ES_tradnl"/>
        </w:rPr>
        <w:t>término</w:t>
      </w:r>
      <w:r w:rsidR="00946943">
        <w:rPr>
          <w:rFonts w:ascii="Arial" w:eastAsia="Times New Roman" w:hAnsi="Arial" w:cs="Arial"/>
          <w:color w:val="000000" w:themeColor="text1"/>
          <w:szCs w:val="24"/>
          <w:lang w:val="es-ES_tradnl" w:eastAsia="es-ES_tradnl"/>
        </w:rPr>
        <w:t xml:space="preserve"> de cuatro meses. </w:t>
      </w:r>
    </w:p>
    <w:p w14:paraId="148B5C5A" w14:textId="751BBD4C" w:rsidR="00946943" w:rsidRDefault="00946943" w:rsidP="009A6685">
      <w:pPr>
        <w:spacing w:line="276" w:lineRule="auto"/>
        <w:ind w:firstLine="708"/>
        <w:jc w:val="both"/>
        <w:rPr>
          <w:rFonts w:ascii="Arial" w:eastAsia="Times New Roman" w:hAnsi="Arial" w:cs="Arial"/>
          <w:color w:val="000000" w:themeColor="text1"/>
          <w:szCs w:val="24"/>
          <w:lang w:val="es-ES_tradnl" w:eastAsia="es-ES_tradnl"/>
        </w:rPr>
      </w:pPr>
      <w:r>
        <w:rPr>
          <w:rFonts w:ascii="Arial" w:eastAsia="Times New Roman" w:hAnsi="Arial" w:cs="Arial"/>
          <w:color w:val="000000" w:themeColor="text1"/>
          <w:szCs w:val="24"/>
          <w:lang w:val="es-ES_tradnl" w:eastAsia="es-ES_tradnl"/>
        </w:rPr>
        <w:t>Si la liquidación no se logra en este término, se puede proceder con la liquidación unilateral dentro de los dos meses siguientes. En los dos años posteriores se puede efectuar la liquidación bilateral, unilateral o judicial. Tales reglas también son aplicables, en principio, a los contratos interadministrativos. Sin embargo, debe tenerse en cuenta que, tratándose de convenios de asociación entre entidades públicas, la Sección Tercera del Consejo de Estado, en reciente pronunciamiento, indicó que la liquidación unilateral no resulta procedente en aquellos convenios en los que las entidades tienen la “finalidad asociativa”, actuando en pie de igualdad, como sucede en los regulado en el artículo 95 de la Ley 489 de 1998, pues “[…] de obrar en el pacto una finalidad asociativa entre las partes, ninguna de estas podría imponerle a la otra su propio balance de cuentas, porque la situación de paridad entre ambas entidades públicas asociadas en virtud el convenio, es incompatible con el ejercicio de prerrogativas como la liquidación unilateral, […]”, en la misma sentencia se aclara y es esta la posición jurisprudencial vigente del Consejo de Estado</w:t>
      </w:r>
      <w:r w:rsidR="00796C2F">
        <w:rPr>
          <w:rStyle w:val="Refdenotaalpie"/>
          <w:rFonts w:ascii="Arial" w:eastAsia="Times New Roman" w:hAnsi="Arial" w:cs="Arial"/>
          <w:color w:val="000000" w:themeColor="text1"/>
          <w:szCs w:val="24"/>
          <w:lang w:val="es-ES_tradnl" w:eastAsia="es-ES_tradnl"/>
        </w:rPr>
        <w:footnoteReference w:id="23"/>
      </w:r>
      <w:r>
        <w:rPr>
          <w:rFonts w:ascii="Arial" w:eastAsia="Times New Roman" w:hAnsi="Arial" w:cs="Arial"/>
          <w:color w:val="000000" w:themeColor="text1"/>
          <w:szCs w:val="24"/>
          <w:lang w:val="es-ES_tradnl" w:eastAsia="es-ES_tradnl"/>
        </w:rPr>
        <w:t xml:space="preserve"> que si en contrato interadministrativo no hay finalidad asociativa, sino una verdadera relación conmutativa en virtud de la cual una entidad estatal presta un  servicio a la otra o le suministra un bien, por ejemplo, la liquidación unilateral si resulta viable.  </w:t>
      </w:r>
    </w:p>
    <w:p w14:paraId="6FE29F8A" w14:textId="77777777" w:rsidR="009A6685" w:rsidRPr="009A6685" w:rsidRDefault="009A6685" w:rsidP="009A6685">
      <w:pPr>
        <w:spacing w:line="276" w:lineRule="auto"/>
        <w:ind w:firstLine="708"/>
        <w:jc w:val="both"/>
        <w:rPr>
          <w:rFonts w:ascii="Arial" w:eastAsia="Times New Roman" w:hAnsi="Arial" w:cs="Arial"/>
          <w:color w:val="000000" w:themeColor="text1"/>
          <w:szCs w:val="24"/>
          <w:lang w:val="es-ES_tradnl" w:eastAsia="es-ES_tradnl"/>
        </w:rPr>
      </w:pPr>
    </w:p>
    <w:p w14:paraId="4162B01A" w14:textId="77777777" w:rsidR="00946943" w:rsidRDefault="00946943" w:rsidP="00946943">
      <w:pPr>
        <w:spacing w:after="120" w:line="276" w:lineRule="auto"/>
        <w:jc w:val="both"/>
        <w:rPr>
          <w:rFonts w:ascii="Arial" w:eastAsia="Times New Roman" w:hAnsi="Arial" w:cs="Arial"/>
          <w:b/>
          <w:bCs/>
          <w:lang w:eastAsia="es-ES_tradnl"/>
        </w:rPr>
      </w:pPr>
      <w:r>
        <w:rPr>
          <w:rFonts w:ascii="Arial" w:eastAsia="Times New Roman" w:hAnsi="Arial" w:cs="Arial"/>
          <w:b/>
          <w:bCs/>
          <w:lang w:eastAsia="es-ES_tradnl"/>
        </w:rPr>
        <w:t xml:space="preserve">3. </w:t>
      </w:r>
      <w:r w:rsidRPr="00A0227B">
        <w:rPr>
          <w:rFonts w:ascii="Arial" w:eastAsia="Times New Roman" w:hAnsi="Arial" w:cs="Arial"/>
          <w:b/>
          <w:lang w:eastAsia="es-ES_tradnl"/>
        </w:rPr>
        <w:t>Respuesta</w:t>
      </w:r>
    </w:p>
    <w:p w14:paraId="35C155C2" w14:textId="7B39FCF1" w:rsidR="00796C2F" w:rsidRPr="00796C2F" w:rsidRDefault="00946943" w:rsidP="0A02007B">
      <w:pPr>
        <w:spacing w:after="0" w:line="276" w:lineRule="auto"/>
        <w:ind w:left="709" w:right="709"/>
        <w:jc w:val="both"/>
        <w:rPr>
          <w:rFonts w:ascii="Arial" w:eastAsia="Calibri" w:hAnsi="Arial" w:cs="Arial"/>
        </w:rPr>
      </w:pPr>
      <w:r w:rsidRPr="008E4768">
        <w:rPr>
          <w:rFonts w:ascii="Arial" w:hAnsi="Arial" w:cs="Arial"/>
          <w:i/>
          <w:iCs/>
          <w:sz w:val="21"/>
          <w:szCs w:val="21"/>
          <w:lang w:val="es-ES"/>
        </w:rPr>
        <w:t>“Primera: si es expedida y notificada una Resolución Unilateral que liquida un convenio interadministrativo, un día antes del vencimiento del plazo que se tiene para la liquidación judicial ¿la entidad ya perdió competencia para liquidar ese convenio?</w:t>
      </w:r>
      <w:r>
        <w:rPr>
          <w:rFonts w:ascii="Arial" w:hAnsi="Arial" w:cs="Arial"/>
          <w:i/>
          <w:iCs/>
          <w:sz w:val="21"/>
          <w:szCs w:val="21"/>
          <w:lang w:val="es-ES"/>
        </w:rPr>
        <w:t>”</w:t>
      </w:r>
      <w:r w:rsidR="0058336D">
        <w:rPr>
          <w:rFonts w:ascii="Arial" w:hAnsi="Arial" w:cs="Arial"/>
          <w:i/>
          <w:iCs/>
          <w:sz w:val="21"/>
          <w:szCs w:val="21"/>
          <w:lang w:val="es-ES"/>
        </w:rPr>
        <w:t>,</w:t>
      </w:r>
      <w:r w:rsidR="000B40D5">
        <w:rPr>
          <w:rFonts w:ascii="Arial" w:hAnsi="Arial" w:cs="Arial"/>
          <w:i/>
          <w:iCs/>
          <w:sz w:val="21"/>
          <w:szCs w:val="21"/>
          <w:lang w:val="es-ES"/>
        </w:rPr>
        <w:t>y</w:t>
      </w:r>
      <w:r w:rsidR="0058336D">
        <w:rPr>
          <w:rFonts w:ascii="Arial" w:hAnsi="Arial" w:cs="Arial"/>
          <w:i/>
          <w:iCs/>
          <w:sz w:val="21"/>
          <w:szCs w:val="21"/>
          <w:lang w:val="es-ES"/>
        </w:rPr>
        <w:t xml:space="preserve">  “</w:t>
      </w:r>
      <w:r w:rsidR="0058336D" w:rsidRPr="008E4768">
        <w:rPr>
          <w:rFonts w:ascii="Arial" w:hAnsi="Arial" w:cs="Arial"/>
          <w:i/>
          <w:iCs/>
          <w:sz w:val="21"/>
          <w:szCs w:val="21"/>
          <w:lang w:val="es-ES"/>
        </w:rPr>
        <w:t>Segunda: ¿si frente a esa resolución se interpone recurso de reposición, aplica sí o no la pérdida de competencia o el hecho de haber notificado el día antes a la pérdida de competencia me habilita para resolver el recurso, notificarlo y expedir ejecutoria y posteriormente envío a la jurisdicción coactiva</w:t>
      </w:r>
      <w:r w:rsidR="0058336D">
        <w:rPr>
          <w:rFonts w:ascii="Arial" w:hAnsi="Arial" w:cs="Arial"/>
          <w:i/>
          <w:iCs/>
          <w:sz w:val="21"/>
          <w:szCs w:val="21"/>
          <w:lang w:val="es-ES"/>
        </w:rPr>
        <w:t>?”</w:t>
      </w:r>
      <w:r w:rsidR="00796C2F">
        <w:rPr>
          <w:rFonts w:ascii="Arial" w:hAnsi="Arial" w:cs="Arial"/>
          <w:i/>
          <w:iCs/>
          <w:sz w:val="21"/>
          <w:szCs w:val="21"/>
          <w:lang w:val="es-ES"/>
        </w:rPr>
        <w:t xml:space="preserve"> </w:t>
      </w:r>
      <w:r w:rsidR="00796C2F">
        <w:rPr>
          <w:rFonts w:ascii="Arial" w:eastAsia="Calibri" w:hAnsi="Arial" w:cs="Arial"/>
        </w:rPr>
        <w:t xml:space="preserve"> y </w:t>
      </w:r>
      <w:r w:rsidR="00796C2F">
        <w:rPr>
          <w:rFonts w:ascii="Arial" w:hAnsi="Arial" w:cs="Arial"/>
          <w:i/>
          <w:iCs/>
          <w:sz w:val="21"/>
          <w:szCs w:val="21"/>
          <w:lang w:val="es-ES"/>
        </w:rPr>
        <w:t>“</w:t>
      </w:r>
      <w:r w:rsidR="00796C2F" w:rsidRPr="008E4768">
        <w:rPr>
          <w:rFonts w:ascii="Arial" w:hAnsi="Arial" w:cs="Arial"/>
          <w:i/>
          <w:iCs/>
          <w:sz w:val="21"/>
          <w:szCs w:val="21"/>
          <w:lang w:val="es-ES"/>
        </w:rPr>
        <w:t>Tercera: ¿es procedente la liquidación unilateral de convenios interadministrativos, entre entidades regidas por la Ley 80 de 1993?”.</w:t>
      </w:r>
      <w:r w:rsidR="00796C2F">
        <w:rPr>
          <w:rFonts w:ascii="Arial" w:hAnsi="Arial" w:cs="Arial"/>
          <w:i/>
          <w:iCs/>
          <w:sz w:val="21"/>
          <w:szCs w:val="21"/>
          <w:lang w:val="es-ES"/>
        </w:rPr>
        <w:t xml:space="preserve"> </w:t>
      </w:r>
    </w:p>
    <w:p w14:paraId="79F941DA" w14:textId="5503B7CF" w:rsidR="0058336D" w:rsidRDefault="0058336D" w:rsidP="0058336D">
      <w:pPr>
        <w:spacing w:after="0" w:line="276" w:lineRule="auto"/>
        <w:ind w:left="709" w:right="709"/>
        <w:jc w:val="both"/>
        <w:rPr>
          <w:rFonts w:ascii="Arial" w:hAnsi="Arial" w:cs="Arial"/>
          <w:i/>
          <w:iCs/>
          <w:sz w:val="21"/>
          <w:szCs w:val="21"/>
          <w:lang w:val="es-ES"/>
        </w:rPr>
      </w:pPr>
    </w:p>
    <w:p w14:paraId="6F8BAE56" w14:textId="77777777" w:rsidR="00946943" w:rsidRDefault="00946943" w:rsidP="00946943">
      <w:pPr>
        <w:spacing w:after="0" w:line="276" w:lineRule="auto"/>
        <w:ind w:right="709"/>
        <w:jc w:val="both"/>
        <w:rPr>
          <w:rFonts w:ascii="Arial" w:hAnsi="Arial" w:cs="Arial"/>
          <w:i/>
          <w:iCs/>
          <w:sz w:val="21"/>
          <w:szCs w:val="21"/>
          <w:lang w:val="es-ES"/>
        </w:rPr>
      </w:pPr>
    </w:p>
    <w:p w14:paraId="5FF5B705" w14:textId="53653472" w:rsidR="00946943" w:rsidRDefault="00946943" w:rsidP="00DB2A80">
      <w:pPr>
        <w:spacing w:after="120" w:line="276" w:lineRule="auto"/>
        <w:ind w:right="108"/>
        <w:jc w:val="both"/>
        <w:rPr>
          <w:rFonts w:ascii="Arial" w:eastAsia="Calibri" w:hAnsi="Arial" w:cs="Arial"/>
        </w:rPr>
      </w:pPr>
      <w:r>
        <w:rPr>
          <w:rFonts w:ascii="Arial" w:hAnsi="Arial" w:cs="Arial"/>
        </w:rPr>
        <w:t xml:space="preserve">En línea con lo expuesto, y para dar respuesta </w:t>
      </w:r>
      <w:r w:rsidR="0058336D">
        <w:rPr>
          <w:rFonts w:ascii="Arial" w:hAnsi="Arial" w:cs="Arial"/>
        </w:rPr>
        <w:t xml:space="preserve">a </w:t>
      </w:r>
      <w:r>
        <w:rPr>
          <w:rFonts w:ascii="Arial" w:hAnsi="Arial" w:cs="Arial"/>
        </w:rPr>
        <w:t xml:space="preserve">su consulta, </w:t>
      </w:r>
      <w:r>
        <w:rPr>
          <w:rFonts w:ascii="Arial" w:hAnsi="Arial" w:cs="Arial"/>
          <w:color w:val="000000" w:themeColor="text1"/>
          <w:bdr w:val="none" w:sz="0" w:space="0" w:color="auto" w:frame="1"/>
          <w:shd w:val="clear" w:color="auto" w:fill="FFFFFF"/>
          <w:lang w:val="es-MX"/>
        </w:rPr>
        <w:t xml:space="preserve">la liquidación unilateral se puede realizar durante los dos años que es el término de caducidad de la acción de controversias contractuales, los cuales se cuentan después de que se terminen los plazos señalados por el </w:t>
      </w:r>
      <w:r w:rsidRPr="00D15703">
        <w:rPr>
          <w:rFonts w:ascii="Arial" w:hAnsi="Arial" w:cs="Arial"/>
          <w:color w:val="000000" w:themeColor="text1"/>
          <w:bdr w:val="none" w:sz="0" w:space="0" w:color="auto" w:frame="1"/>
          <w:shd w:val="clear" w:color="auto" w:fill="FFFFFF"/>
          <w:lang w:val="es-MX"/>
        </w:rPr>
        <w:t>artículo 11 de la Ley 1150 de</w:t>
      </w:r>
      <w:r w:rsidRPr="00D15703">
        <w:rPr>
          <w:rFonts w:ascii="Arial" w:hAnsi="Arial" w:cs="Arial"/>
          <w:color w:val="000000" w:themeColor="text1"/>
          <w:spacing w:val="-25"/>
          <w:bdr w:val="none" w:sz="0" w:space="0" w:color="auto" w:frame="1"/>
          <w:shd w:val="clear" w:color="auto" w:fill="FFFFFF"/>
          <w:lang w:val="es-MX"/>
        </w:rPr>
        <w:t> </w:t>
      </w:r>
      <w:r w:rsidRPr="00D15703">
        <w:rPr>
          <w:rFonts w:ascii="Arial" w:hAnsi="Arial" w:cs="Arial"/>
          <w:color w:val="000000" w:themeColor="text1"/>
          <w:bdr w:val="none" w:sz="0" w:space="0" w:color="auto" w:frame="1"/>
          <w:shd w:val="clear" w:color="auto" w:fill="FFFFFF"/>
          <w:lang w:val="es-MX"/>
        </w:rPr>
        <w:t>20</w:t>
      </w:r>
      <w:r>
        <w:rPr>
          <w:rFonts w:ascii="Arial" w:hAnsi="Arial" w:cs="Arial"/>
          <w:color w:val="000000" w:themeColor="text1"/>
          <w:bdr w:val="none" w:sz="0" w:space="0" w:color="auto" w:frame="1"/>
          <w:shd w:val="clear" w:color="auto" w:fill="FFFFFF"/>
          <w:lang w:val="es-MX"/>
        </w:rPr>
        <w:t>07 para intentar la liquidación bilateral o unilateral, y no se pierde competencia si no se ha presentado la demanda o si no han finalizado los dos años de caducidad de la acción, así como tampoco se pierde competencia para resolver los recursos a que haya lugar frente al acto administrativo que resuelve la liquidación unilateral del contrato</w:t>
      </w:r>
      <w:r>
        <w:rPr>
          <w:rFonts w:ascii="Arial" w:eastAsia="Calibri" w:hAnsi="Arial" w:cs="Arial"/>
          <w:bCs/>
        </w:rPr>
        <w:t>, así mismo, el Consejo de Estado en reiteradas ocasiones ha sostenido que, se pierde la competencia cuando el contratista, previamente haya instaurado la acción judicial correspondiente, fenómeno que se explica por el traslado de esa competencia a otra entidad, y sucede a partir de la presentación de la demanda que tenga objeto la liquidación judicial del contrato, mientras no se haya liquidado unilateral o bilateralmente.</w:t>
      </w:r>
    </w:p>
    <w:p w14:paraId="78BB422F" w14:textId="7D0CCE0F" w:rsidR="00946943" w:rsidRPr="00C62141" w:rsidRDefault="00946943" w:rsidP="49DC5889">
      <w:pPr>
        <w:spacing w:after="120" w:line="276" w:lineRule="auto"/>
        <w:ind w:firstLine="708"/>
        <w:jc w:val="both"/>
        <w:rPr>
          <w:rFonts w:ascii="Arial" w:eastAsia="Calibri" w:hAnsi="Arial" w:cs="Arial"/>
          <w:bCs/>
          <w:lang w:val="es-ES"/>
        </w:rPr>
      </w:pPr>
      <w:r>
        <w:rPr>
          <w:rFonts w:ascii="Arial" w:eastAsia="Calibri" w:hAnsi="Arial" w:cs="Arial"/>
          <w:bCs/>
          <w:lang w:val="es-ES"/>
        </w:rPr>
        <w:t xml:space="preserve">En lo que respecta a si es procedente la liquidación unilateral de los convenios interadministrativos entre entidades regidas por la Ley 80 de 1993, la norma define los contratos que las Entidades Estatales deben liquidar: i) los contratos de tracto sucesivo, esto es aquellos cuyas obligaciones se ejecuten de manera periódica o difieren en el tiempo o sucesivamente a medida que se van causando, ii) aquellos contratos cuya ejecución o cumplimiento se prolonguen en el tiempo, ya sea por la naturaleza periódica de las prestaciones o por las vicisitudes que se presenten en su ejecución que lo dilaten o prorroguen y, iii) los demás que lo requieran, con fundamento en su naturaleza, objeto y plazo, así como su importancia o relevancia o por la eventualidad de discrepancias y controversias en torno a su ejecución; y a su vez, establece una salvedad, que en los contratos de prestación de servicios profesionales y de apoyo a la gestión, no es obligatoria la liquidación. </w:t>
      </w:r>
      <w:r>
        <w:tab/>
      </w:r>
      <w:r>
        <w:rPr>
          <w:rFonts w:ascii="Arial" w:eastAsia="Calibri" w:hAnsi="Arial" w:cs="Arial"/>
          <w:bCs/>
          <w:lang w:val="es-ES"/>
        </w:rPr>
        <w:t xml:space="preserve">En ese sentido, si el convenio interadministrativo cumple con las condiciones </w:t>
      </w:r>
      <w:r>
        <w:rPr>
          <w:rFonts w:ascii="Arial" w:eastAsia="Calibri" w:hAnsi="Arial" w:cs="Arial"/>
          <w:bCs/>
          <w:lang w:val="es-ES"/>
        </w:rPr>
        <w:lastRenderedPageBreak/>
        <w:t>señaladas sobre los contratos que las entidades deben liquidar, la entidad contratante debe establecer si es procedente o no y</w:t>
      </w:r>
      <w:r w:rsidRPr="0025183C">
        <w:rPr>
          <w:rFonts w:ascii="Arial" w:eastAsia="Calibri" w:hAnsi="Arial" w:cs="Arial"/>
          <w:bCs/>
          <w:lang w:val="es-ES"/>
        </w:rPr>
        <w:t xml:space="preserve"> </w:t>
      </w:r>
      <w:r>
        <w:rPr>
          <w:rFonts w:ascii="Arial" w:eastAsia="Calibri" w:hAnsi="Arial" w:cs="Arial"/>
          <w:bCs/>
          <w:lang w:val="es-ES"/>
        </w:rPr>
        <w:t>la forma en que se hará</w:t>
      </w:r>
      <w:r w:rsidR="001646DF">
        <w:rPr>
          <w:rFonts w:ascii="Arial" w:eastAsia="Calibri" w:hAnsi="Arial" w:cs="Arial"/>
          <w:bCs/>
          <w:lang w:val="es-ES"/>
        </w:rPr>
        <w:t>.</w:t>
      </w:r>
    </w:p>
    <w:p w14:paraId="06C5B6BB" w14:textId="77777777" w:rsidR="00A12BDF" w:rsidRDefault="00A12BDF" w:rsidP="00A12BDF">
      <w:pPr>
        <w:spacing w:line="276" w:lineRule="auto"/>
        <w:jc w:val="both"/>
        <w:rPr>
          <w:rFonts w:ascii="Arial" w:eastAsia="Calibri" w:hAnsi="Arial" w:cs="Arial"/>
          <w:bCs/>
          <w:lang w:val="es-ES"/>
        </w:rPr>
      </w:pPr>
    </w:p>
    <w:p w14:paraId="42E6F59E" w14:textId="4AAA6A88" w:rsidR="00946943" w:rsidRPr="00A34F0F" w:rsidRDefault="00946943" w:rsidP="00A12BDF">
      <w:pPr>
        <w:spacing w:line="276" w:lineRule="auto"/>
        <w:jc w:val="both"/>
        <w:rPr>
          <w:rFonts w:ascii="Arial" w:eastAsia="Times New Roman" w:hAnsi="Arial" w:cs="Arial"/>
          <w:color w:val="000000" w:themeColor="text1"/>
          <w:szCs w:val="24"/>
          <w:lang w:val="es-ES_tradnl" w:eastAsia="es-ES_tradnl"/>
        </w:rPr>
      </w:pPr>
      <w:r w:rsidRPr="006123FF">
        <w:rPr>
          <w:rFonts w:ascii="Arial" w:eastAsia="Calibri" w:hAnsi="Arial" w:cs="Arial"/>
          <w:bCs/>
          <w:lang w:val="es-ES"/>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16981A5" w14:textId="77777777" w:rsidR="00946943" w:rsidRDefault="00946943" w:rsidP="00946943">
      <w:pPr>
        <w:tabs>
          <w:tab w:val="left" w:pos="7851"/>
        </w:tabs>
        <w:spacing w:after="0" w:line="276" w:lineRule="auto"/>
        <w:jc w:val="both"/>
        <w:rPr>
          <w:rFonts w:ascii="Arial" w:eastAsia="Calibri" w:hAnsi="Arial" w:cs="Arial"/>
          <w:bCs/>
          <w:lang w:val="es-ES"/>
        </w:rPr>
      </w:pPr>
    </w:p>
    <w:p w14:paraId="379F6937" w14:textId="77777777" w:rsidR="00946943" w:rsidRDefault="00946943" w:rsidP="00946943">
      <w:pPr>
        <w:tabs>
          <w:tab w:val="left" w:pos="7851"/>
        </w:tabs>
        <w:spacing w:after="0" w:line="276" w:lineRule="auto"/>
        <w:jc w:val="both"/>
        <w:rPr>
          <w:rFonts w:ascii="Arial" w:eastAsia="Calibri" w:hAnsi="Arial" w:cs="Arial"/>
          <w:bCs/>
          <w:lang w:val="es-ES"/>
        </w:rPr>
      </w:pPr>
      <w:r>
        <w:rPr>
          <w:rFonts w:ascii="Arial" w:eastAsia="Calibri" w:hAnsi="Arial" w:cs="Arial"/>
          <w:bCs/>
          <w:lang w:val="es-ES"/>
        </w:rPr>
        <w:t>Atentamente,</w:t>
      </w:r>
    </w:p>
    <w:p w14:paraId="79942763" w14:textId="77777777" w:rsidR="00946943" w:rsidRDefault="00946943" w:rsidP="00946943">
      <w:pPr>
        <w:tabs>
          <w:tab w:val="left" w:pos="7851"/>
        </w:tabs>
        <w:spacing w:after="0" w:line="276" w:lineRule="auto"/>
        <w:jc w:val="center"/>
        <w:rPr>
          <w:rFonts w:ascii="Arial" w:eastAsia="Calibri" w:hAnsi="Arial" w:cs="Arial"/>
          <w:bCs/>
          <w:lang w:val="es-ES"/>
        </w:rPr>
      </w:pPr>
    </w:p>
    <w:p w14:paraId="43B7FAF3" w14:textId="65E97019" w:rsidR="00946943" w:rsidRDefault="00B36DAA" w:rsidP="00946943">
      <w:pPr>
        <w:tabs>
          <w:tab w:val="left" w:pos="7851"/>
        </w:tabs>
        <w:spacing w:after="0" w:line="276" w:lineRule="auto"/>
        <w:jc w:val="center"/>
        <w:rPr>
          <w:rFonts w:ascii="Arial" w:eastAsia="Calibri" w:hAnsi="Arial" w:cs="Arial"/>
          <w:bCs/>
          <w:lang w:val="es-ES"/>
        </w:rPr>
      </w:pPr>
      <w:r>
        <w:rPr>
          <w:rFonts w:ascii="Arial" w:eastAsia="Calibri" w:hAnsi="Arial" w:cs="Arial"/>
          <w:bCs/>
          <w:noProof/>
          <w:lang w:val="es-ES"/>
        </w:rPr>
        <w:drawing>
          <wp:inline distT="0" distB="0" distL="0" distR="0" wp14:anchorId="477E6DA3" wp14:editId="5AF6D7A5">
            <wp:extent cx="3153215" cy="1209844"/>
            <wp:effectExtent l="0" t="0" r="9525" b="9525"/>
            <wp:docPr id="166492305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923050" name="Imagen 1"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3153215" cy="1209844"/>
                    </a:xfrm>
                    <a:prstGeom prst="rect">
                      <a:avLst/>
                    </a:prstGeom>
                  </pic:spPr>
                </pic:pic>
              </a:graphicData>
            </a:graphic>
          </wp:inline>
        </w:drawing>
      </w:r>
    </w:p>
    <w:p w14:paraId="04230B08" w14:textId="77777777" w:rsidR="00946943" w:rsidRPr="00920CB0" w:rsidRDefault="00946943" w:rsidP="00946943">
      <w:pPr>
        <w:pStyle w:val="Sinespaciado"/>
        <w:spacing w:line="276" w:lineRule="auto"/>
        <w:rPr>
          <w:rFonts w:ascii="Arial" w:hAnsi="Arial" w:cs="Arial"/>
          <w:sz w:val="16"/>
          <w:szCs w:val="16"/>
          <w:lang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5276"/>
      </w:tblGrid>
      <w:tr w:rsidR="00946943" w:rsidRPr="00920CB0" w14:paraId="6CA2EC94" w14:textId="77777777" w:rsidTr="00A22687">
        <w:trPr>
          <w:trHeight w:val="291"/>
        </w:trPr>
        <w:tc>
          <w:tcPr>
            <w:tcW w:w="1266" w:type="dxa"/>
            <w:vAlign w:val="center"/>
            <w:hideMark/>
          </w:tcPr>
          <w:p w14:paraId="4F6AE1B6" w14:textId="77777777" w:rsidR="00946943" w:rsidRPr="00920CB0" w:rsidRDefault="00946943" w:rsidP="00A22687">
            <w:pPr>
              <w:pStyle w:val="Sinespaciado"/>
              <w:spacing w:line="276" w:lineRule="auto"/>
              <w:rPr>
                <w:rFonts w:ascii="Arial" w:hAnsi="Arial" w:cs="Arial"/>
                <w:sz w:val="16"/>
                <w:szCs w:val="16"/>
                <w:lang w:eastAsia="es-ES"/>
              </w:rPr>
            </w:pPr>
            <w:r w:rsidRPr="00920CB0">
              <w:rPr>
                <w:rFonts w:ascii="Arial" w:hAnsi="Arial" w:cs="Arial"/>
                <w:sz w:val="16"/>
                <w:szCs w:val="16"/>
                <w:lang w:eastAsia="es-ES"/>
              </w:rPr>
              <w:t>Elaboró:</w:t>
            </w:r>
          </w:p>
        </w:tc>
        <w:tc>
          <w:tcPr>
            <w:tcW w:w="5276" w:type="dxa"/>
            <w:tcBorders>
              <w:top w:val="nil"/>
              <w:left w:val="nil"/>
              <w:bottom w:val="dotted" w:sz="4" w:space="0" w:color="7F7F7F"/>
              <w:right w:val="nil"/>
            </w:tcBorders>
            <w:vAlign w:val="center"/>
            <w:hideMark/>
          </w:tcPr>
          <w:p w14:paraId="5261D89C" w14:textId="77777777" w:rsidR="00946943" w:rsidRPr="00920CB0" w:rsidRDefault="00946943" w:rsidP="00A22687">
            <w:pPr>
              <w:pStyle w:val="Sinespaciado"/>
              <w:spacing w:line="276" w:lineRule="auto"/>
              <w:rPr>
                <w:rFonts w:ascii="Arial" w:hAnsi="Arial" w:cs="Arial"/>
                <w:sz w:val="16"/>
                <w:szCs w:val="16"/>
                <w:lang w:eastAsia="es-ES"/>
              </w:rPr>
            </w:pPr>
            <w:r>
              <w:rPr>
                <w:rFonts w:ascii="Arial" w:hAnsi="Arial" w:cs="Arial"/>
                <w:sz w:val="16"/>
                <w:szCs w:val="16"/>
                <w:lang w:eastAsia="es-ES"/>
              </w:rPr>
              <w:t>Kelmis Yirama Brugés Alvarado</w:t>
            </w:r>
          </w:p>
          <w:p w14:paraId="0EBFBC2E" w14:textId="77777777" w:rsidR="00946943" w:rsidRPr="00920CB0" w:rsidRDefault="00946943" w:rsidP="00A22687">
            <w:pPr>
              <w:pStyle w:val="Sinespaciado"/>
              <w:spacing w:line="276" w:lineRule="auto"/>
              <w:rPr>
                <w:rFonts w:ascii="Arial" w:hAnsi="Arial" w:cs="Arial"/>
                <w:sz w:val="16"/>
                <w:szCs w:val="16"/>
                <w:lang w:eastAsia="es-ES"/>
              </w:rPr>
            </w:pPr>
            <w:r w:rsidRPr="00920CB0">
              <w:rPr>
                <w:rFonts w:ascii="Arial" w:hAnsi="Arial" w:cs="Arial"/>
                <w:sz w:val="16"/>
                <w:szCs w:val="16"/>
                <w:lang w:eastAsia="es-ES"/>
              </w:rPr>
              <w:t>Analista T2-</w:t>
            </w:r>
            <w:r>
              <w:rPr>
                <w:rFonts w:ascii="Arial" w:hAnsi="Arial" w:cs="Arial"/>
                <w:sz w:val="16"/>
                <w:szCs w:val="16"/>
                <w:lang w:eastAsia="es-ES"/>
              </w:rPr>
              <w:t>04</w:t>
            </w:r>
            <w:r w:rsidRPr="00920CB0">
              <w:rPr>
                <w:rFonts w:ascii="Arial" w:hAnsi="Arial" w:cs="Arial"/>
                <w:sz w:val="16"/>
                <w:szCs w:val="16"/>
                <w:lang w:eastAsia="es-ES"/>
              </w:rPr>
              <w:t xml:space="preserve"> de la Subdirección de Gestión Contractual</w:t>
            </w:r>
          </w:p>
        </w:tc>
      </w:tr>
      <w:tr w:rsidR="00946943" w:rsidRPr="00920CB0" w14:paraId="3C0AF6FF" w14:textId="77777777" w:rsidTr="00A22687">
        <w:trPr>
          <w:trHeight w:val="304"/>
        </w:trPr>
        <w:tc>
          <w:tcPr>
            <w:tcW w:w="1266" w:type="dxa"/>
            <w:vAlign w:val="center"/>
          </w:tcPr>
          <w:p w14:paraId="415AC8A0" w14:textId="77777777" w:rsidR="00946943" w:rsidRPr="00920CB0" w:rsidRDefault="00946943" w:rsidP="00A22687">
            <w:pPr>
              <w:pStyle w:val="Sinespaciado"/>
              <w:spacing w:line="276" w:lineRule="auto"/>
              <w:rPr>
                <w:rFonts w:ascii="Arial" w:hAnsi="Arial" w:cs="Arial"/>
                <w:sz w:val="16"/>
                <w:szCs w:val="16"/>
                <w:lang w:eastAsia="es-ES"/>
              </w:rPr>
            </w:pPr>
            <w:r w:rsidRPr="00920CB0">
              <w:rPr>
                <w:rFonts w:ascii="Arial" w:hAnsi="Arial" w:cs="Arial"/>
                <w:sz w:val="16"/>
                <w:szCs w:val="16"/>
                <w:lang w:eastAsia="es-ES"/>
              </w:rPr>
              <w:t>Revisó:</w:t>
            </w:r>
          </w:p>
        </w:tc>
        <w:tc>
          <w:tcPr>
            <w:tcW w:w="5276" w:type="dxa"/>
            <w:tcBorders>
              <w:top w:val="dotted" w:sz="4" w:space="0" w:color="7F7F7F"/>
              <w:left w:val="nil"/>
              <w:bottom w:val="dotted" w:sz="4" w:space="0" w:color="7F7F7F"/>
              <w:right w:val="nil"/>
            </w:tcBorders>
            <w:vAlign w:val="center"/>
          </w:tcPr>
          <w:p w14:paraId="52CF7A77" w14:textId="77777777" w:rsidR="00946943" w:rsidRPr="00920CB0" w:rsidRDefault="00946943" w:rsidP="00A22687">
            <w:pPr>
              <w:pStyle w:val="Sinespaciado"/>
              <w:spacing w:line="276" w:lineRule="auto"/>
              <w:rPr>
                <w:rFonts w:ascii="Arial" w:hAnsi="Arial" w:cs="Arial"/>
                <w:color w:val="000000" w:themeColor="text1"/>
                <w:sz w:val="16"/>
                <w:szCs w:val="16"/>
                <w:lang w:eastAsia="es-ES"/>
              </w:rPr>
            </w:pPr>
            <w:r>
              <w:rPr>
                <w:rFonts w:ascii="Arial" w:hAnsi="Arial" w:cs="Arial"/>
                <w:color w:val="000000" w:themeColor="text1"/>
                <w:sz w:val="16"/>
                <w:szCs w:val="16"/>
                <w:lang w:eastAsia="es-ES"/>
              </w:rPr>
              <w:t>Ximena Ríos López</w:t>
            </w:r>
          </w:p>
          <w:p w14:paraId="7C9A06FC" w14:textId="77777777" w:rsidR="00946943" w:rsidRPr="00920CB0" w:rsidRDefault="00946943" w:rsidP="00A22687">
            <w:pPr>
              <w:pStyle w:val="Sinespaciado"/>
              <w:spacing w:line="276" w:lineRule="auto"/>
              <w:rPr>
                <w:rFonts w:ascii="Arial" w:hAnsi="Arial" w:cs="Arial"/>
                <w:sz w:val="16"/>
                <w:szCs w:val="16"/>
                <w:lang w:eastAsia="es-ES"/>
              </w:rPr>
            </w:pPr>
            <w:r>
              <w:rPr>
                <w:rFonts w:ascii="Arial" w:hAnsi="Arial" w:cs="Arial"/>
                <w:sz w:val="16"/>
                <w:szCs w:val="16"/>
                <w:lang w:eastAsia="es-ES"/>
              </w:rPr>
              <w:t>Gestor T1-11 de la Subdirección de Gestión Contractual</w:t>
            </w:r>
          </w:p>
        </w:tc>
      </w:tr>
      <w:tr w:rsidR="00946943" w:rsidRPr="00920CB0" w14:paraId="77CF207A" w14:textId="77777777" w:rsidTr="00A22687">
        <w:trPr>
          <w:trHeight w:val="277"/>
        </w:trPr>
        <w:tc>
          <w:tcPr>
            <w:tcW w:w="1266" w:type="dxa"/>
            <w:vAlign w:val="center"/>
            <w:hideMark/>
          </w:tcPr>
          <w:p w14:paraId="0BB25B73" w14:textId="77777777" w:rsidR="00946943" w:rsidRPr="00920CB0" w:rsidRDefault="00946943" w:rsidP="00A22687">
            <w:pPr>
              <w:pStyle w:val="Sinespaciado"/>
              <w:spacing w:line="276" w:lineRule="auto"/>
              <w:rPr>
                <w:rFonts w:ascii="Arial" w:hAnsi="Arial" w:cs="Arial"/>
                <w:sz w:val="16"/>
                <w:szCs w:val="16"/>
                <w:lang w:eastAsia="es-ES"/>
              </w:rPr>
            </w:pPr>
            <w:r w:rsidRPr="00920CB0">
              <w:rPr>
                <w:rFonts w:ascii="Arial" w:hAnsi="Arial" w:cs="Arial"/>
                <w:sz w:val="16"/>
                <w:szCs w:val="16"/>
                <w:lang w:eastAsia="es-ES"/>
              </w:rPr>
              <w:t>Aprobó:</w:t>
            </w:r>
          </w:p>
        </w:tc>
        <w:tc>
          <w:tcPr>
            <w:tcW w:w="5276" w:type="dxa"/>
            <w:tcBorders>
              <w:top w:val="dotted" w:sz="4" w:space="0" w:color="7F7F7F"/>
              <w:left w:val="nil"/>
              <w:bottom w:val="dotted" w:sz="4" w:space="0" w:color="7F7F7F"/>
              <w:right w:val="nil"/>
            </w:tcBorders>
            <w:vAlign w:val="center"/>
            <w:hideMark/>
          </w:tcPr>
          <w:p w14:paraId="546AF0D7" w14:textId="77777777" w:rsidR="00946943" w:rsidRPr="00920CB0" w:rsidRDefault="00946943" w:rsidP="00A22687">
            <w:pPr>
              <w:pStyle w:val="Sinespaciado"/>
              <w:spacing w:line="276" w:lineRule="auto"/>
              <w:rPr>
                <w:rFonts w:ascii="Arial" w:hAnsi="Arial" w:cs="Arial"/>
                <w:sz w:val="16"/>
                <w:szCs w:val="16"/>
                <w:lang w:eastAsia="es-ES"/>
              </w:rPr>
            </w:pPr>
            <w:r w:rsidRPr="00920CB0">
              <w:rPr>
                <w:rFonts w:ascii="Arial" w:hAnsi="Arial" w:cs="Arial"/>
                <w:sz w:val="16"/>
                <w:szCs w:val="16"/>
                <w:lang w:eastAsia="es-ES"/>
              </w:rPr>
              <w:t>Nohelia del Carmen Zawady Palacio</w:t>
            </w:r>
          </w:p>
          <w:p w14:paraId="25A64C70" w14:textId="77777777" w:rsidR="00946943" w:rsidRPr="00920CB0" w:rsidRDefault="00946943" w:rsidP="00A22687">
            <w:pPr>
              <w:pStyle w:val="Sinespaciado"/>
              <w:spacing w:line="276" w:lineRule="auto"/>
              <w:rPr>
                <w:rFonts w:ascii="Arial" w:hAnsi="Arial" w:cs="Arial"/>
                <w:sz w:val="16"/>
                <w:szCs w:val="16"/>
                <w:lang w:eastAsia="es-ES"/>
              </w:rPr>
            </w:pPr>
            <w:r w:rsidRPr="00920CB0">
              <w:rPr>
                <w:rFonts w:ascii="Arial" w:hAnsi="Arial" w:cs="Arial"/>
                <w:sz w:val="16"/>
                <w:szCs w:val="16"/>
                <w:lang w:eastAsia="es-ES"/>
              </w:rPr>
              <w:t>Subdirectora de Gestión Contractual ANCP – CCE</w:t>
            </w:r>
          </w:p>
        </w:tc>
      </w:tr>
    </w:tbl>
    <w:p w14:paraId="601DE693" w14:textId="77777777" w:rsidR="00946943" w:rsidRPr="00920CB0" w:rsidRDefault="00946943" w:rsidP="00946943">
      <w:pPr>
        <w:pStyle w:val="Sinespaciado"/>
        <w:spacing w:line="276" w:lineRule="auto"/>
        <w:rPr>
          <w:rFonts w:ascii="Arial" w:hAnsi="Arial" w:cs="Arial"/>
          <w:sz w:val="16"/>
          <w:szCs w:val="16"/>
        </w:rPr>
      </w:pPr>
    </w:p>
    <w:p w14:paraId="762371C9" w14:textId="77777777" w:rsidR="00946943" w:rsidRPr="00920CB0" w:rsidRDefault="00946943" w:rsidP="00946943">
      <w:pPr>
        <w:pStyle w:val="Sinespaciado"/>
        <w:spacing w:line="276" w:lineRule="auto"/>
        <w:rPr>
          <w:rFonts w:ascii="Arial" w:hAnsi="Arial" w:cs="Arial"/>
          <w:b/>
          <w:color w:val="404040" w:themeColor="text1" w:themeTint="BF"/>
          <w:sz w:val="16"/>
          <w:szCs w:val="16"/>
        </w:rPr>
      </w:pPr>
    </w:p>
    <w:p w14:paraId="48D12ACC" w14:textId="77777777" w:rsidR="00946943" w:rsidRPr="00920CB0" w:rsidRDefault="00946943" w:rsidP="00946943">
      <w:pPr>
        <w:pStyle w:val="Sinespaciado"/>
        <w:spacing w:line="276" w:lineRule="auto"/>
        <w:rPr>
          <w:rFonts w:ascii="Arial" w:hAnsi="Arial" w:cs="Arial"/>
          <w:b/>
          <w:color w:val="404040" w:themeColor="text1" w:themeTint="BF"/>
          <w:sz w:val="16"/>
          <w:szCs w:val="16"/>
          <w:lang w:val="es-ES"/>
        </w:rPr>
      </w:pPr>
    </w:p>
    <w:p w14:paraId="1B63BAD7" w14:textId="77777777" w:rsidR="00946943" w:rsidRPr="00920CB0" w:rsidRDefault="00946943" w:rsidP="00946943">
      <w:pPr>
        <w:spacing w:after="120" w:line="276" w:lineRule="auto"/>
        <w:jc w:val="both"/>
        <w:rPr>
          <w:rFonts w:ascii="Arial" w:eastAsia="Arial" w:hAnsi="Arial" w:cs="Arial"/>
          <w:color w:val="000000"/>
          <w:lang w:eastAsia="es-ES_tradnl"/>
        </w:rPr>
      </w:pPr>
    </w:p>
    <w:p w14:paraId="5C037EB4" w14:textId="77777777" w:rsidR="00946943" w:rsidRDefault="00946943" w:rsidP="00946943">
      <w:pPr>
        <w:widowControl w:val="0"/>
        <w:autoSpaceDE w:val="0"/>
        <w:autoSpaceDN w:val="0"/>
        <w:spacing w:after="240" w:line="276" w:lineRule="auto"/>
        <w:jc w:val="both"/>
        <w:rPr>
          <w:rFonts w:ascii="Arial" w:eastAsia="Times New Roman" w:hAnsi="Arial" w:cs="Arial"/>
        </w:rPr>
      </w:pPr>
    </w:p>
    <w:p w14:paraId="0D20ACDD" w14:textId="77777777" w:rsidR="00946943" w:rsidRPr="007C12A6" w:rsidRDefault="00946943" w:rsidP="00946943">
      <w:pPr>
        <w:widowControl w:val="0"/>
        <w:autoSpaceDE w:val="0"/>
        <w:autoSpaceDN w:val="0"/>
        <w:spacing w:after="240" w:line="276" w:lineRule="auto"/>
        <w:jc w:val="both"/>
        <w:rPr>
          <w:rFonts w:ascii="Arial" w:eastAsia="Times New Roman" w:hAnsi="Arial" w:cs="Arial"/>
        </w:rPr>
      </w:pPr>
    </w:p>
    <w:p w14:paraId="39945C39" w14:textId="77777777" w:rsidR="00946943" w:rsidRPr="006A44B9" w:rsidRDefault="00946943" w:rsidP="00946943">
      <w:pPr>
        <w:tabs>
          <w:tab w:val="left" w:pos="7851"/>
        </w:tabs>
        <w:spacing w:after="0" w:line="276" w:lineRule="auto"/>
        <w:rPr>
          <w:rFonts w:ascii="Arial" w:eastAsia="Calibri" w:hAnsi="Arial" w:cs="Arial"/>
          <w:bCs/>
        </w:rPr>
      </w:pPr>
    </w:p>
    <w:p w14:paraId="0BA2CA8E" w14:textId="77777777" w:rsidR="00946943" w:rsidRPr="006A44B9" w:rsidRDefault="00946943" w:rsidP="00946943">
      <w:pPr>
        <w:tabs>
          <w:tab w:val="left" w:pos="7851"/>
        </w:tabs>
        <w:spacing w:after="0" w:line="276" w:lineRule="auto"/>
        <w:jc w:val="both"/>
        <w:rPr>
          <w:rFonts w:ascii="Arial" w:eastAsia="Calibri" w:hAnsi="Arial" w:cs="Arial"/>
          <w:bCs/>
          <w:lang w:val="es-ES"/>
        </w:rPr>
      </w:pPr>
    </w:p>
    <w:p w14:paraId="7F4166E0" w14:textId="77777777" w:rsidR="00946943" w:rsidRDefault="00946943" w:rsidP="00946943">
      <w:pPr>
        <w:tabs>
          <w:tab w:val="left" w:pos="7851"/>
        </w:tabs>
        <w:spacing w:after="0" w:line="276" w:lineRule="auto"/>
        <w:jc w:val="both"/>
        <w:rPr>
          <w:rFonts w:ascii="Arial" w:eastAsia="Calibri" w:hAnsi="Arial" w:cs="Arial"/>
          <w:bCs/>
        </w:rPr>
      </w:pPr>
    </w:p>
    <w:p w14:paraId="0B148F8C" w14:textId="77777777" w:rsidR="00946943" w:rsidRDefault="00946943" w:rsidP="00946943">
      <w:pPr>
        <w:tabs>
          <w:tab w:val="left" w:pos="7851"/>
        </w:tabs>
        <w:spacing w:after="0" w:line="276" w:lineRule="auto"/>
        <w:jc w:val="both"/>
        <w:rPr>
          <w:rFonts w:ascii="Arial" w:eastAsia="Calibri" w:hAnsi="Arial" w:cs="Arial"/>
          <w:bCs/>
        </w:rPr>
      </w:pPr>
    </w:p>
    <w:p w14:paraId="2ED39E31" w14:textId="77777777" w:rsidR="00946943" w:rsidRPr="0097386D" w:rsidRDefault="00946943" w:rsidP="00946943">
      <w:pPr>
        <w:tabs>
          <w:tab w:val="left" w:pos="7851"/>
        </w:tabs>
        <w:spacing w:after="0" w:line="276" w:lineRule="auto"/>
        <w:rPr>
          <w:rFonts w:ascii="Arial" w:eastAsia="Calibri" w:hAnsi="Arial" w:cs="Arial"/>
          <w:bCs/>
        </w:rPr>
      </w:pPr>
    </w:p>
    <w:p w14:paraId="07687759" w14:textId="77777777" w:rsidR="00946943" w:rsidRPr="004D48AA" w:rsidRDefault="00946943" w:rsidP="00946943">
      <w:pPr>
        <w:spacing w:after="0" w:line="276" w:lineRule="auto"/>
        <w:rPr>
          <w:rFonts w:ascii="Arial" w:hAnsi="Arial" w:cs="Arial"/>
        </w:rPr>
      </w:pPr>
    </w:p>
    <w:p w14:paraId="1ADCE2A1" w14:textId="77777777" w:rsidR="00AA5E23" w:rsidRDefault="00AA5E23" w:rsidP="004061E0">
      <w:pPr>
        <w:spacing w:after="0" w:line="276" w:lineRule="auto"/>
        <w:rPr>
          <w:rFonts w:ascii="Arial" w:hAnsi="Arial" w:cs="Arial"/>
        </w:rPr>
      </w:pPr>
    </w:p>
    <w:p w14:paraId="285EA12F" w14:textId="607CA86D" w:rsidR="00AA5E23" w:rsidRDefault="00AA5E23" w:rsidP="004061E0">
      <w:pPr>
        <w:spacing w:after="0" w:line="276" w:lineRule="auto"/>
        <w:rPr>
          <w:rFonts w:ascii="Arial" w:hAnsi="Arial" w:cs="Arial"/>
        </w:rPr>
      </w:pPr>
    </w:p>
    <w:bookmarkEnd w:id="0"/>
    <w:sectPr w:rsidR="00AA5E23" w:rsidSect="002E4FD9">
      <w:headerReference w:type="default" r:id="rId13"/>
      <w:footerReference w:type="default" r:id="rId14"/>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541A0" w14:textId="77777777" w:rsidR="00BB0C20" w:rsidRDefault="00BB0C20" w:rsidP="004A1847">
      <w:pPr>
        <w:spacing w:after="0" w:line="240" w:lineRule="auto"/>
      </w:pPr>
      <w:r>
        <w:separator/>
      </w:r>
    </w:p>
  </w:endnote>
  <w:endnote w:type="continuationSeparator" w:id="0">
    <w:p w14:paraId="6B971FC8" w14:textId="77777777" w:rsidR="00BB0C20" w:rsidRDefault="00BB0C20" w:rsidP="004A1847">
      <w:pPr>
        <w:spacing w:after="0" w:line="240" w:lineRule="auto"/>
      </w:pPr>
      <w:r>
        <w:continuationSeparator/>
      </w:r>
    </w:p>
  </w:endnote>
  <w:endnote w:type="continuationNotice" w:id="1">
    <w:p w14:paraId="069A3EE1" w14:textId="77777777" w:rsidR="006E3648" w:rsidRDefault="006E36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18334" w14:textId="77777777" w:rsidR="00BB0C20" w:rsidRDefault="00BB0C20" w:rsidP="004A1847">
      <w:pPr>
        <w:spacing w:after="0" w:line="240" w:lineRule="auto"/>
      </w:pPr>
      <w:r>
        <w:separator/>
      </w:r>
    </w:p>
  </w:footnote>
  <w:footnote w:type="continuationSeparator" w:id="0">
    <w:p w14:paraId="53D8DCD9" w14:textId="77777777" w:rsidR="00BB0C20" w:rsidRDefault="00BB0C20" w:rsidP="004A1847">
      <w:pPr>
        <w:spacing w:after="0" w:line="240" w:lineRule="auto"/>
      </w:pPr>
      <w:r>
        <w:continuationSeparator/>
      </w:r>
    </w:p>
  </w:footnote>
  <w:footnote w:type="continuationNotice" w:id="1">
    <w:p w14:paraId="4CF85B1E" w14:textId="77777777" w:rsidR="006E3648" w:rsidRDefault="006E3648">
      <w:pPr>
        <w:spacing w:after="0" w:line="240" w:lineRule="auto"/>
      </w:pPr>
    </w:p>
  </w:footnote>
  <w:footnote w:id="2">
    <w:p w14:paraId="2A288968" w14:textId="77777777" w:rsidR="00F15889" w:rsidRPr="000328B9" w:rsidRDefault="00F15889" w:rsidP="00F15889">
      <w:pPr>
        <w:spacing w:after="0" w:line="240" w:lineRule="auto"/>
        <w:ind w:firstLine="709"/>
        <w:contextualSpacing/>
        <w:jc w:val="both"/>
        <w:rPr>
          <w:rFonts w:ascii="Arial" w:hAnsi="Arial" w:cs="Arial"/>
          <w:sz w:val="10"/>
          <w:szCs w:val="10"/>
        </w:rPr>
      </w:pPr>
      <w:r w:rsidRPr="000328B9">
        <w:rPr>
          <w:rStyle w:val="Refdenotaalpie"/>
          <w:rFonts w:ascii="Arial" w:hAnsi="Arial" w:cs="Arial"/>
          <w:sz w:val="10"/>
          <w:szCs w:val="10"/>
        </w:rPr>
        <w:footnoteRef/>
      </w:r>
      <w:r w:rsidRPr="000328B9">
        <w:rPr>
          <w:rFonts w:ascii="Arial" w:hAnsi="Arial" w:cs="Arial"/>
          <w:sz w:val="10"/>
          <w:szCs w:val="10"/>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702C3238" w14:textId="77777777" w:rsidR="00F15889" w:rsidRPr="000328B9" w:rsidRDefault="00F15889" w:rsidP="00F15889">
      <w:pPr>
        <w:spacing w:after="0" w:line="240" w:lineRule="auto"/>
        <w:ind w:firstLine="709"/>
        <w:contextualSpacing/>
        <w:jc w:val="both"/>
        <w:rPr>
          <w:rFonts w:ascii="Arial" w:hAnsi="Arial" w:cs="Arial"/>
          <w:sz w:val="10"/>
          <w:szCs w:val="10"/>
        </w:rPr>
      </w:pPr>
      <w:r w:rsidRPr="000328B9">
        <w:rPr>
          <w:rFonts w:ascii="Arial" w:hAnsi="Arial" w:cs="Arial"/>
          <w:sz w:val="10"/>
          <w:szCs w:val="10"/>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0328B9">
        <w:rPr>
          <w:rFonts w:ascii="Arial" w:hAnsi="Arial" w:cs="Arial"/>
          <w:spacing w:val="-1"/>
          <w:sz w:val="10"/>
          <w:szCs w:val="10"/>
        </w:rPr>
        <w:t xml:space="preserve"> </w:t>
      </w:r>
      <w:r w:rsidRPr="000328B9">
        <w:rPr>
          <w:rFonts w:ascii="Arial" w:hAnsi="Arial" w:cs="Arial"/>
          <w:sz w:val="10"/>
          <w:szCs w:val="10"/>
        </w:rPr>
        <w:t>Estatales”.</w:t>
      </w:r>
    </w:p>
    <w:p w14:paraId="6A8F8D92" w14:textId="77777777" w:rsidR="00F15889" w:rsidRPr="000328B9" w:rsidRDefault="00F15889" w:rsidP="00F15889">
      <w:pPr>
        <w:spacing w:after="0" w:line="240" w:lineRule="auto"/>
        <w:ind w:firstLine="709"/>
        <w:contextualSpacing/>
        <w:jc w:val="both"/>
        <w:rPr>
          <w:rFonts w:ascii="Arial" w:hAnsi="Arial" w:cs="Arial"/>
          <w:sz w:val="10"/>
          <w:szCs w:val="10"/>
        </w:rPr>
      </w:pPr>
    </w:p>
  </w:footnote>
  <w:footnote w:id="3">
    <w:p w14:paraId="50614A69" w14:textId="77777777" w:rsidR="00946943" w:rsidRPr="000328B9" w:rsidRDefault="00946943" w:rsidP="00946943">
      <w:pPr>
        <w:pStyle w:val="Textonotapie"/>
        <w:spacing w:line="276" w:lineRule="auto"/>
        <w:ind w:firstLine="708"/>
        <w:jc w:val="both"/>
        <w:rPr>
          <w:rFonts w:ascii="Arial" w:hAnsi="Arial" w:cs="Arial"/>
          <w:sz w:val="10"/>
          <w:szCs w:val="10"/>
        </w:rPr>
      </w:pPr>
      <w:r w:rsidRPr="000328B9">
        <w:rPr>
          <w:rFonts w:ascii="Arial" w:hAnsi="Arial" w:cs="Arial"/>
          <w:sz w:val="10"/>
          <w:szCs w:val="10"/>
          <w:vertAlign w:val="superscript"/>
        </w:rPr>
        <w:footnoteRef/>
      </w:r>
      <w:r w:rsidRPr="000328B9">
        <w:rPr>
          <w:rFonts w:ascii="Arial" w:hAnsi="Arial" w:cs="Arial"/>
          <w:sz w:val="10"/>
          <w:szCs w:val="10"/>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0328B9">
        <w:rPr>
          <w:rFonts w:ascii="Arial" w:hAnsi="Arial" w:cs="Arial"/>
          <w:i/>
          <w:sz w:val="10"/>
          <w:szCs w:val="10"/>
        </w:rPr>
        <w:t xml:space="preserve">ibidem </w:t>
      </w:r>
      <w:r w:rsidRPr="000328B9">
        <w:rPr>
          <w:rFonts w:ascii="Arial" w:hAnsi="Arial" w:cs="Arial"/>
          <w:sz w:val="10"/>
          <w:szCs w:val="10"/>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4">
    <w:p w14:paraId="3F707F8D" w14:textId="77777777" w:rsidR="00946943" w:rsidRPr="000328B9" w:rsidRDefault="00946943" w:rsidP="00946943">
      <w:pPr>
        <w:pStyle w:val="Textonotapie"/>
        <w:ind w:firstLine="708"/>
        <w:jc w:val="both"/>
        <w:rPr>
          <w:rFonts w:ascii="Arial" w:hAnsi="Arial" w:cs="Arial"/>
          <w:sz w:val="10"/>
          <w:szCs w:val="10"/>
        </w:rPr>
      </w:pPr>
      <w:r w:rsidRPr="000328B9">
        <w:rPr>
          <w:rStyle w:val="Refdenotaalpie"/>
          <w:rFonts w:ascii="Arial" w:hAnsi="Arial" w:cs="Arial"/>
          <w:sz w:val="10"/>
          <w:szCs w:val="10"/>
        </w:rPr>
        <w:footnoteRef/>
      </w:r>
      <w:r w:rsidRPr="000328B9">
        <w:rPr>
          <w:rFonts w:ascii="Arial" w:hAnsi="Arial" w:cs="Arial"/>
          <w:sz w:val="10"/>
          <w:szCs w:val="10"/>
        </w:rPr>
        <w:t xml:space="preserve"> Estos conceptos pueden ser consultados en la relatoría de la Agencia en el siguiente enlace:</w:t>
      </w:r>
    </w:p>
    <w:p w14:paraId="59DA2328" w14:textId="77777777" w:rsidR="00946943" w:rsidRDefault="00091309" w:rsidP="00946943">
      <w:pPr>
        <w:pStyle w:val="Textonotapie"/>
        <w:jc w:val="both"/>
        <w:rPr>
          <w:rFonts w:ascii="Arial" w:hAnsi="Arial" w:cs="Arial"/>
          <w:sz w:val="10"/>
          <w:szCs w:val="10"/>
        </w:rPr>
      </w:pPr>
      <w:hyperlink r:id="rId1" w:history="1">
        <w:r w:rsidR="00946943" w:rsidRPr="000328B9">
          <w:rPr>
            <w:rStyle w:val="Hipervnculo"/>
            <w:rFonts w:ascii="Arial" w:hAnsi="Arial" w:cs="Arial"/>
            <w:sz w:val="10"/>
            <w:szCs w:val="10"/>
          </w:rPr>
          <w:t>https://relatoria.colombiacompra.gov.co/busqueda/conceptos</w:t>
        </w:r>
      </w:hyperlink>
      <w:r w:rsidR="00946943" w:rsidRPr="000328B9">
        <w:rPr>
          <w:rFonts w:ascii="Arial" w:hAnsi="Arial" w:cs="Arial"/>
          <w:sz w:val="10"/>
          <w:szCs w:val="10"/>
        </w:rPr>
        <w:t xml:space="preserve"> </w:t>
      </w:r>
    </w:p>
    <w:p w14:paraId="208394B1" w14:textId="77777777" w:rsidR="00946943" w:rsidRPr="00A0227B" w:rsidRDefault="00946943" w:rsidP="00946943">
      <w:pPr>
        <w:pStyle w:val="Textonotapie"/>
        <w:jc w:val="both"/>
        <w:rPr>
          <w:rFonts w:ascii="Arial" w:hAnsi="Arial" w:cs="Arial"/>
          <w:sz w:val="10"/>
          <w:szCs w:val="10"/>
        </w:rPr>
      </w:pPr>
    </w:p>
  </w:footnote>
  <w:footnote w:id="5">
    <w:p w14:paraId="72EC1800" w14:textId="77777777" w:rsidR="00946943" w:rsidRPr="000328B9" w:rsidRDefault="00946943" w:rsidP="00946943">
      <w:pPr>
        <w:pStyle w:val="Textonotapie"/>
        <w:ind w:firstLine="708"/>
        <w:jc w:val="both"/>
        <w:rPr>
          <w:rFonts w:ascii="Arial" w:hAnsi="Arial" w:cs="Arial"/>
          <w:color w:val="000000" w:themeColor="text1"/>
          <w:sz w:val="10"/>
          <w:szCs w:val="10"/>
        </w:rPr>
      </w:pPr>
      <w:r w:rsidRPr="000328B9">
        <w:rPr>
          <w:rStyle w:val="Refdenotaalpie"/>
          <w:rFonts w:ascii="Arial" w:hAnsi="Arial" w:cs="Arial"/>
          <w:color w:val="000000" w:themeColor="text1"/>
          <w:sz w:val="10"/>
          <w:szCs w:val="10"/>
        </w:rPr>
        <w:footnoteRef/>
      </w:r>
      <w:r w:rsidRPr="000328B9">
        <w:rPr>
          <w:rFonts w:ascii="Arial" w:hAnsi="Arial" w:cs="Arial"/>
          <w:color w:val="000000" w:themeColor="text1"/>
          <w:sz w:val="10"/>
          <w:szCs w:val="10"/>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0328B9">
        <w:rPr>
          <w:rFonts w:ascii="Arial" w:hAnsi="Arial" w:cs="Arial"/>
          <w:color w:val="000000" w:themeColor="text1"/>
          <w:sz w:val="10"/>
          <w:szCs w:val="10"/>
          <w:shd w:val="clear" w:color="auto" w:fill="FFFFFF"/>
        </w:rPr>
        <w:t>”</w:t>
      </w:r>
      <w:r w:rsidRPr="000328B9">
        <w:rPr>
          <w:rFonts w:ascii="Arial" w:hAnsi="Arial" w:cs="Arial"/>
          <w:color w:val="000000" w:themeColor="text1"/>
          <w:sz w:val="10"/>
          <w:szCs w:val="10"/>
        </w:rPr>
        <w:t xml:space="preserve"> EXPOSITO, Juan Carlos. Forma y contenido del contrato estatal. Bogotá: Universidad Externado de Colombia, p. 89 y 90.</w:t>
      </w:r>
    </w:p>
    <w:p w14:paraId="66619FB3" w14:textId="77777777" w:rsidR="00946943" w:rsidRPr="000328B9" w:rsidRDefault="00946943" w:rsidP="00946943">
      <w:pPr>
        <w:pStyle w:val="Textonotapie"/>
        <w:ind w:firstLine="708"/>
        <w:jc w:val="both"/>
        <w:rPr>
          <w:rFonts w:ascii="Arial" w:hAnsi="Arial" w:cs="Arial"/>
          <w:color w:val="000000" w:themeColor="text1"/>
          <w:sz w:val="10"/>
          <w:szCs w:val="10"/>
        </w:rPr>
      </w:pPr>
      <w:r w:rsidRPr="000328B9">
        <w:rPr>
          <w:rFonts w:ascii="Arial" w:hAnsi="Arial" w:cs="Arial"/>
          <w:color w:val="000000" w:themeColor="text1"/>
          <w:sz w:val="10"/>
          <w:szCs w:val="10"/>
        </w:rPr>
        <w:t xml:space="preserve"> </w:t>
      </w:r>
    </w:p>
  </w:footnote>
  <w:footnote w:id="6">
    <w:p w14:paraId="4A387EDA" w14:textId="77777777" w:rsidR="00946943" w:rsidRPr="000328B9" w:rsidRDefault="00946943" w:rsidP="00946943">
      <w:pPr>
        <w:pStyle w:val="Textonotapie"/>
        <w:ind w:firstLine="708"/>
        <w:jc w:val="both"/>
        <w:rPr>
          <w:rFonts w:ascii="Arial" w:hAnsi="Arial" w:cs="Arial"/>
          <w:color w:val="000000" w:themeColor="text1"/>
          <w:sz w:val="10"/>
          <w:szCs w:val="10"/>
        </w:rPr>
      </w:pPr>
      <w:r w:rsidRPr="000328B9">
        <w:rPr>
          <w:rStyle w:val="Refdenotaalpie"/>
          <w:rFonts w:ascii="Arial" w:hAnsi="Arial" w:cs="Arial"/>
          <w:color w:val="000000" w:themeColor="text1"/>
          <w:sz w:val="10"/>
          <w:szCs w:val="10"/>
        </w:rPr>
        <w:footnoteRef/>
      </w:r>
      <w:r w:rsidRPr="000328B9">
        <w:rPr>
          <w:rFonts w:ascii="Arial" w:hAnsi="Arial" w:cs="Arial"/>
          <w:color w:val="000000" w:themeColor="text1"/>
          <w:sz w:val="10"/>
          <w:szCs w:val="10"/>
        </w:rPr>
        <w:t xml:space="preserve"> DÍAZ DÍEZ, Cristian Andrés. La liquidación. Serie: Las Cláusulas del Contrato Estatal. Medellín: Librería Jurídica Sánchez y Centro de Estudios de Derecho Administrativo –CEDA–, 2013, pp. 53-54.</w:t>
      </w:r>
    </w:p>
    <w:p w14:paraId="74674F74" w14:textId="77777777" w:rsidR="00946943" w:rsidRPr="000328B9" w:rsidRDefault="00946943" w:rsidP="00946943">
      <w:pPr>
        <w:pStyle w:val="Textonotapie"/>
        <w:ind w:firstLine="708"/>
        <w:jc w:val="both"/>
        <w:rPr>
          <w:rFonts w:ascii="Arial" w:hAnsi="Arial" w:cs="Arial"/>
          <w:color w:val="000000" w:themeColor="text1"/>
          <w:sz w:val="10"/>
          <w:szCs w:val="10"/>
          <w:lang w:val="es-CO"/>
        </w:rPr>
      </w:pPr>
    </w:p>
  </w:footnote>
  <w:footnote w:id="7">
    <w:p w14:paraId="3A600250" w14:textId="77777777" w:rsidR="00946943" w:rsidRPr="000328B9" w:rsidRDefault="00946943" w:rsidP="00946943">
      <w:pPr>
        <w:spacing w:after="0"/>
        <w:ind w:firstLine="708"/>
        <w:jc w:val="both"/>
        <w:rPr>
          <w:rFonts w:ascii="Arial" w:hAnsi="Arial" w:cs="Arial"/>
          <w:color w:val="000000" w:themeColor="text1"/>
          <w:sz w:val="10"/>
          <w:szCs w:val="10"/>
        </w:rPr>
      </w:pPr>
      <w:r w:rsidRPr="000328B9">
        <w:rPr>
          <w:rStyle w:val="Refdenotaalpie"/>
          <w:rFonts w:ascii="Arial" w:hAnsi="Arial" w:cs="Arial"/>
          <w:color w:val="000000" w:themeColor="text1"/>
          <w:sz w:val="10"/>
          <w:szCs w:val="10"/>
        </w:rPr>
        <w:footnoteRef/>
      </w:r>
      <w:r w:rsidRPr="000328B9">
        <w:rPr>
          <w:rFonts w:ascii="Arial" w:hAnsi="Arial" w:cs="Arial"/>
          <w:color w:val="000000" w:themeColor="text1"/>
          <w:sz w:val="10"/>
          <w:szCs w:val="10"/>
        </w:rPr>
        <w:t xml:space="preserve"> CONSEJO DE ESTADO. Sección Tercera. Subsección C. 20 de octubre de 2014, M.P: Enrique Gil Botero. Exp.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8">
    <w:p w14:paraId="10458391" w14:textId="77777777" w:rsidR="00946943" w:rsidRPr="000328B9" w:rsidRDefault="00946943" w:rsidP="00946943">
      <w:pPr>
        <w:pStyle w:val="Textonotapie"/>
        <w:ind w:firstLine="708"/>
        <w:jc w:val="both"/>
        <w:rPr>
          <w:rFonts w:ascii="Arial" w:hAnsi="Arial" w:cs="Arial"/>
          <w:color w:val="000000" w:themeColor="text1"/>
          <w:sz w:val="10"/>
          <w:szCs w:val="10"/>
        </w:rPr>
      </w:pPr>
      <w:r w:rsidRPr="000328B9">
        <w:rPr>
          <w:rStyle w:val="Refdenotaalpie"/>
          <w:rFonts w:ascii="Arial" w:hAnsi="Arial" w:cs="Arial"/>
          <w:color w:val="000000" w:themeColor="text1"/>
          <w:sz w:val="10"/>
          <w:szCs w:val="10"/>
        </w:rPr>
        <w:footnoteRef/>
      </w:r>
      <w:r w:rsidRPr="000328B9">
        <w:rPr>
          <w:rFonts w:ascii="Arial" w:hAnsi="Arial" w:cs="Arial"/>
          <w:color w:val="000000" w:themeColor="text1"/>
          <w:sz w:val="10"/>
          <w:szCs w:val="10"/>
        </w:rPr>
        <w:t xml:space="preserve"> EXPÓSITO VÉLEZ. Juan Carlos. Forma y contenido del contrato estatal, p. 90.</w:t>
      </w:r>
    </w:p>
    <w:p w14:paraId="55D5169C" w14:textId="77777777" w:rsidR="00946943" w:rsidRPr="000328B9" w:rsidRDefault="00946943" w:rsidP="00946943">
      <w:pPr>
        <w:pStyle w:val="Textonotapie"/>
        <w:ind w:firstLine="708"/>
        <w:jc w:val="both"/>
        <w:rPr>
          <w:rFonts w:ascii="Arial" w:hAnsi="Arial" w:cs="Arial"/>
          <w:color w:val="000000" w:themeColor="text1"/>
          <w:sz w:val="10"/>
          <w:szCs w:val="10"/>
        </w:rPr>
      </w:pPr>
    </w:p>
  </w:footnote>
  <w:footnote w:id="9">
    <w:p w14:paraId="6AD13CB4" w14:textId="77777777" w:rsidR="00946943" w:rsidRPr="000328B9" w:rsidRDefault="00946943" w:rsidP="00946943">
      <w:pPr>
        <w:pStyle w:val="Textonotapie"/>
        <w:ind w:firstLine="708"/>
        <w:jc w:val="both"/>
        <w:rPr>
          <w:rFonts w:ascii="Arial" w:hAnsi="Arial" w:cs="Arial"/>
          <w:color w:val="000000" w:themeColor="text1"/>
          <w:sz w:val="10"/>
          <w:szCs w:val="10"/>
        </w:rPr>
      </w:pPr>
      <w:r w:rsidRPr="000328B9">
        <w:rPr>
          <w:rStyle w:val="Refdenotaalpie"/>
          <w:rFonts w:ascii="Arial" w:hAnsi="Arial" w:cs="Arial"/>
          <w:color w:val="000000" w:themeColor="text1"/>
          <w:sz w:val="10"/>
          <w:szCs w:val="10"/>
        </w:rPr>
        <w:footnoteRef/>
      </w:r>
      <w:r w:rsidRPr="000328B9">
        <w:rPr>
          <w:rFonts w:ascii="Arial" w:hAnsi="Arial" w:cs="Arial"/>
          <w:color w:val="000000" w:themeColor="text1"/>
          <w:sz w:val="10"/>
          <w:szCs w:val="10"/>
        </w:rPr>
        <w:t xml:space="preserve"> CONSEJO DE ESTADO, Sala de Consulta y Servicio Civil. Radicado No. 1453. Concepto de 6 de agosto de 2003. MP. Augusto Trejos.</w:t>
      </w:r>
    </w:p>
    <w:p w14:paraId="7812C404" w14:textId="77777777" w:rsidR="00946943" w:rsidRPr="000328B9" w:rsidRDefault="00946943" w:rsidP="00946943">
      <w:pPr>
        <w:pStyle w:val="Textonotapie"/>
        <w:ind w:firstLine="708"/>
        <w:jc w:val="both"/>
        <w:rPr>
          <w:rFonts w:ascii="Arial" w:hAnsi="Arial" w:cs="Arial"/>
          <w:color w:val="000000" w:themeColor="text1"/>
          <w:sz w:val="10"/>
          <w:szCs w:val="10"/>
        </w:rPr>
      </w:pPr>
    </w:p>
  </w:footnote>
  <w:footnote w:id="10">
    <w:p w14:paraId="02F6CCC3" w14:textId="77777777" w:rsidR="00946943" w:rsidRPr="000328B9" w:rsidRDefault="00946943" w:rsidP="00946943">
      <w:pPr>
        <w:pStyle w:val="Textonotapie"/>
        <w:ind w:firstLine="708"/>
        <w:jc w:val="both"/>
        <w:rPr>
          <w:rFonts w:ascii="Arial" w:hAnsi="Arial" w:cs="Arial"/>
          <w:color w:val="000000" w:themeColor="text1"/>
          <w:sz w:val="10"/>
          <w:szCs w:val="10"/>
          <w:lang w:val="es-ES"/>
        </w:rPr>
      </w:pPr>
      <w:r w:rsidRPr="000328B9">
        <w:rPr>
          <w:rStyle w:val="Refdenotaalpie"/>
          <w:rFonts w:ascii="Arial" w:hAnsi="Arial" w:cs="Arial"/>
          <w:color w:val="000000" w:themeColor="text1"/>
          <w:sz w:val="10"/>
          <w:szCs w:val="10"/>
        </w:rPr>
        <w:footnoteRef/>
      </w:r>
      <w:r w:rsidRPr="000328B9">
        <w:rPr>
          <w:rFonts w:ascii="Arial" w:hAnsi="Arial" w:cs="Arial"/>
          <w:color w:val="000000" w:themeColor="text1"/>
          <w:sz w:val="10"/>
          <w:szCs w:val="10"/>
        </w:rPr>
        <w:t xml:space="preserve"> </w:t>
      </w:r>
      <w:r w:rsidRPr="000328B9">
        <w:rPr>
          <w:rFonts w:ascii="Arial" w:hAnsi="Arial" w:cs="Arial"/>
          <w:color w:val="000000" w:themeColor="text1"/>
          <w:sz w:val="10"/>
          <w:szCs w:val="10"/>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5119F954" w14:textId="77777777" w:rsidR="00946943" w:rsidRPr="000328B9" w:rsidRDefault="00946943" w:rsidP="00946943">
      <w:pPr>
        <w:pStyle w:val="Textonotapie"/>
        <w:ind w:firstLine="708"/>
        <w:jc w:val="both"/>
        <w:rPr>
          <w:rFonts w:ascii="Arial" w:hAnsi="Arial" w:cs="Arial"/>
          <w:color w:val="000000" w:themeColor="text1"/>
          <w:sz w:val="10"/>
          <w:szCs w:val="10"/>
          <w:lang w:val="es-ES"/>
        </w:rPr>
      </w:pPr>
      <w:r w:rsidRPr="000328B9">
        <w:rPr>
          <w:rFonts w:ascii="Arial" w:hAnsi="Arial" w:cs="Arial"/>
          <w:color w:val="000000" w:themeColor="text1"/>
          <w:sz w:val="10"/>
          <w:szCs w:val="10"/>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6C7EF6F6" w14:textId="77777777" w:rsidR="00946943" w:rsidRPr="000328B9" w:rsidRDefault="00946943" w:rsidP="00946943">
      <w:pPr>
        <w:pStyle w:val="Textonotapie"/>
        <w:ind w:firstLine="708"/>
        <w:jc w:val="both"/>
        <w:rPr>
          <w:rFonts w:ascii="Arial" w:hAnsi="Arial" w:cs="Arial"/>
          <w:color w:val="000000" w:themeColor="text1"/>
          <w:sz w:val="10"/>
          <w:szCs w:val="10"/>
          <w:lang w:val="es-ES"/>
        </w:rPr>
      </w:pPr>
      <w:r w:rsidRPr="000328B9">
        <w:rPr>
          <w:rFonts w:ascii="Arial" w:hAnsi="Arial" w:cs="Arial"/>
          <w:color w:val="000000" w:themeColor="text1"/>
          <w:sz w:val="10"/>
          <w:szCs w:val="10"/>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5DD53E57" w14:textId="77777777" w:rsidR="00946943" w:rsidRPr="000328B9" w:rsidRDefault="00946943" w:rsidP="00946943">
      <w:pPr>
        <w:pStyle w:val="Textonotapie"/>
        <w:ind w:firstLine="708"/>
        <w:jc w:val="both"/>
        <w:rPr>
          <w:rFonts w:ascii="Arial" w:hAnsi="Arial" w:cs="Arial"/>
          <w:color w:val="000000" w:themeColor="text1"/>
          <w:sz w:val="10"/>
          <w:szCs w:val="10"/>
          <w:lang w:val="es-ES"/>
        </w:rPr>
      </w:pPr>
      <w:r w:rsidRPr="000328B9">
        <w:rPr>
          <w:rFonts w:ascii="Arial" w:hAnsi="Arial" w:cs="Arial"/>
          <w:color w:val="000000" w:themeColor="text1"/>
          <w:sz w:val="10"/>
          <w:szCs w:val="10"/>
          <w:lang w:val="es-ES"/>
        </w:rPr>
        <w:t>“Los contratistas tendrán derecho a efectuar salvedades a la liquidación por mutuo acuerdo, y en este evento la liquidación unilateral solo procederá en relación con los aspectos que no hayan sido objeto de acuerdo”.</w:t>
      </w:r>
    </w:p>
  </w:footnote>
  <w:footnote w:id="11">
    <w:p w14:paraId="58C57CED" w14:textId="77777777" w:rsidR="00946943" w:rsidRPr="000328B9" w:rsidRDefault="00946943" w:rsidP="00946943">
      <w:pPr>
        <w:pStyle w:val="Textonotapie"/>
        <w:ind w:firstLine="709"/>
        <w:jc w:val="both"/>
        <w:rPr>
          <w:rFonts w:ascii="Arial" w:hAnsi="Arial" w:cs="Arial"/>
          <w:color w:val="000000" w:themeColor="text1"/>
          <w:sz w:val="10"/>
          <w:szCs w:val="10"/>
          <w:lang w:val="es-CO"/>
        </w:rPr>
      </w:pPr>
      <w:r w:rsidRPr="000328B9">
        <w:rPr>
          <w:rStyle w:val="Refdenotaalpie"/>
          <w:rFonts w:ascii="Arial" w:hAnsi="Arial" w:cs="Arial"/>
          <w:color w:val="000000" w:themeColor="text1"/>
          <w:sz w:val="10"/>
          <w:szCs w:val="10"/>
        </w:rPr>
        <w:footnoteRef/>
      </w:r>
      <w:r w:rsidRPr="000328B9">
        <w:rPr>
          <w:rFonts w:ascii="Arial" w:hAnsi="Arial" w:cs="Arial"/>
          <w:color w:val="000000" w:themeColor="text1"/>
          <w:sz w:val="10"/>
          <w:szCs w:val="10"/>
        </w:rPr>
        <w:t xml:space="preserve"> CONSEJO DE ESTADO, Sección Tercera, Subsección C, Sentencia del 24 de julio de 2013, radicado No. 25.642, Consejero Ponente Enrique Gil Botero.</w:t>
      </w:r>
    </w:p>
  </w:footnote>
  <w:footnote w:id="12">
    <w:p w14:paraId="2B566A76" w14:textId="77777777" w:rsidR="00946943" w:rsidRPr="000328B9" w:rsidRDefault="00946943" w:rsidP="00946943">
      <w:pPr>
        <w:pStyle w:val="NormalWeb"/>
        <w:spacing w:after="0"/>
        <w:ind w:firstLine="709"/>
        <w:jc w:val="both"/>
        <w:rPr>
          <w:rFonts w:ascii="Arial" w:hAnsi="Arial" w:cs="Arial"/>
          <w:color w:val="000000" w:themeColor="text1"/>
          <w:sz w:val="10"/>
          <w:szCs w:val="10"/>
        </w:rPr>
      </w:pPr>
      <w:r w:rsidRPr="000328B9">
        <w:rPr>
          <w:rStyle w:val="Refdenotaalpie"/>
          <w:rFonts w:ascii="Arial" w:hAnsi="Arial" w:cs="Arial"/>
          <w:color w:val="000000" w:themeColor="text1"/>
          <w:sz w:val="10"/>
          <w:szCs w:val="10"/>
        </w:rPr>
        <w:footnoteRef/>
      </w:r>
      <w:r w:rsidRPr="000328B9">
        <w:rPr>
          <w:rFonts w:ascii="Arial" w:hAnsi="Arial" w:cs="Arial"/>
          <w:color w:val="000000" w:themeColor="text1"/>
          <w:sz w:val="10"/>
          <w:szCs w:val="10"/>
        </w:rPr>
        <w:t xml:space="preserve"> Decreto 1082 de 2015 “</w:t>
      </w:r>
      <w:r w:rsidRPr="000328B9">
        <w:rPr>
          <w:rStyle w:val="Textoennegrita"/>
          <w:rFonts w:ascii="Arial" w:hAnsi="Arial" w:cs="Arial"/>
          <w:color w:val="000000" w:themeColor="text1"/>
          <w:sz w:val="10"/>
          <w:szCs w:val="10"/>
        </w:rPr>
        <w:t>Artículo 2.2.1.2.1.5.2. </w:t>
      </w:r>
      <w:r w:rsidRPr="000328B9">
        <w:rPr>
          <w:rStyle w:val="nfasis"/>
          <w:rFonts w:ascii="Arial" w:eastAsiaTheme="minorEastAsia" w:hAnsi="Arial" w:cs="Arial"/>
          <w:color w:val="000000" w:themeColor="text1"/>
          <w:sz w:val="10"/>
          <w:szCs w:val="10"/>
        </w:rPr>
        <w:t>Procedimiento para la contratación de mínima cuantía. </w:t>
      </w:r>
      <w:r w:rsidRPr="000328B9">
        <w:rPr>
          <w:rFonts w:ascii="Arial" w:hAnsi="Arial" w:cs="Arial"/>
          <w:color w:val="000000" w:themeColor="text1"/>
          <w:sz w:val="10"/>
          <w:szCs w:val="10"/>
        </w:rPr>
        <w:t>Las siguientes reglas son aplicables a la contratación cuyo valor no excede del 10% de la menor cuantía de la Entidad Estatal, independientemente de su objeto: </w:t>
      </w:r>
    </w:p>
    <w:p w14:paraId="2D3F0CF5" w14:textId="77777777" w:rsidR="00946943" w:rsidRPr="000328B9" w:rsidRDefault="00946943" w:rsidP="00946943">
      <w:pPr>
        <w:pStyle w:val="NormalWeb"/>
        <w:spacing w:after="0"/>
        <w:jc w:val="both"/>
        <w:rPr>
          <w:rFonts w:ascii="Arial" w:hAnsi="Arial" w:cs="Arial"/>
          <w:color w:val="000000" w:themeColor="text1"/>
          <w:sz w:val="10"/>
          <w:szCs w:val="10"/>
        </w:rPr>
      </w:pPr>
      <w:r w:rsidRPr="000328B9">
        <w:rPr>
          <w:rFonts w:ascii="Arial" w:hAnsi="Arial" w:cs="Arial"/>
          <w:color w:val="000000" w:themeColor="text1"/>
          <w:sz w:val="10"/>
          <w:szCs w:val="10"/>
        </w:rPr>
        <w:t>  </w:t>
      </w:r>
      <w:r w:rsidRPr="000328B9">
        <w:rPr>
          <w:rFonts w:ascii="Arial" w:hAnsi="Arial" w:cs="Arial"/>
          <w:color w:val="000000" w:themeColor="text1"/>
          <w:sz w:val="10"/>
          <w:szCs w:val="10"/>
        </w:rPr>
        <w:tab/>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 </w:t>
      </w:r>
    </w:p>
  </w:footnote>
  <w:footnote w:id="13">
    <w:p w14:paraId="66E0CF8B" w14:textId="77777777" w:rsidR="00946943" w:rsidRPr="000328B9" w:rsidRDefault="00946943" w:rsidP="00946943">
      <w:pPr>
        <w:pStyle w:val="NormalWeb"/>
        <w:spacing w:after="0"/>
        <w:ind w:firstLine="720"/>
        <w:jc w:val="both"/>
        <w:rPr>
          <w:rFonts w:ascii="Arial" w:hAnsi="Arial" w:cs="Arial"/>
          <w:color w:val="000000" w:themeColor="text1"/>
          <w:sz w:val="10"/>
          <w:szCs w:val="10"/>
        </w:rPr>
      </w:pPr>
      <w:r w:rsidRPr="000328B9">
        <w:rPr>
          <w:rStyle w:val="Refdenotaalpie"/>
          <w:rFonts w:ascii="Arial" w:hAnsi="Arial" w:cs="Arial"/>
          <w:color w:val="000000" w:themeColor="text1"/>
          <w:sz w:val="10"/>
          <w:szCs w:val="10"/>
        </w:rPr>
        <w:footnoteRef/>
      </w:r>
      <w:r w:rsidRPr="000328B9">
        <w:rPr>
          <w:rFonts w:ascii="Arial" w:hAnsi="Arial" w:cs="Arial"/>
          <w:color w:val="000000" w:themeColor="text1"/>
          <w:sz w:val="10"/>
          <w:szCs w:val="10"/>
        </w:rPr>
        <w:t xml:space="preserve"> Ley 80 de 1993 “</w:t>
      </w:r>
      <w:r w:rsidRPr="000328B9">
        <w:rPr>
          <w:rStyle w:val="Textoennegrita"/>
          <w:rFonts w:ascii="Arial" w:hAnsi="Arial" w:cs="Arial"/>
          <w:color w:val="000000" w:themeColor="text1"/>
          <w:sz w:val="10"/>
          <w:szCs w:val="10"/>
        </w:rPr>
        <w:t>Articulo 39. De la forma del contrato estatal. </w:t>
      </w:r>
      <w:r w:rsidRPr="000328B9">
        <w:rPr>
          <w:rFonts w:ascii="Arial" w:hAnsi="Arial" w:cs="Arial"/>
          <w:color w:val="000000" w:themeColor="text1"/>
          <w:sz w:val="10"/>
          <w:szCs w:val="10"/>
        </w:rPr>
        <w:t>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w:t>
      </w:r>
    </w:p>
    <w:p w14:paraId="5986FEB5" w14:textId="77777777" w:rsidR="00946943" w:rsidRPr="000328B9" w:rsidRDefault="00946943" w:rsidP="00946943">
      <w:pPr>
        <w:pStyle w:val="NormalWeb"/>
        <w:spacing w:after="0"/>
        <w:jc w:val="both"/>
        <w:rPr>
          <w:rFonts w:ascii="Arial" w:hAnsi="Arial" w:cs="Arial"/>
          <w:color w:val="000000" w:themeColor="text1"/>
          <w:sz w:val="10"/>
          <w:szCs w:val="10"/>
        </w:rPr>
      </w:pPr>
      <w:r w:rsidRPr="000328B9">
        <w:rPr>
          <w:rFonts w:ascii="Arial" w:hAnsi="Arial" w:cs="Arial"/>
          <w:color w:val="000000" w:themeColor="text1"/>
          <w:sz w:val="10"/>
          <w:szCs w:val="10"/>
        </w:rPr>
        <w:t>  </w:t>
      </w:r>
      <w:r w:rsidRPr="000328B9">
        <w:rPr>
          <w:rFonts w:ascii="Arial" w:hAnsi="Arial" w:cs="Arial"/>
          <w:color w:val="000000" w:themeColor="text1"/>
          <w:sz w:val="10"/>
          <w:szCs w:val="10"/>
        </w:rPr>
        <w:tab/>
        <w:t>[…]</w:t>
      </w:r>
    </w:p>
    <w:p w14:paraId="2AE63F38" w14:textId="77777777" w:rsidR="00946943" w:rsidRPr="000328B9" w:rsidRDefault="00946943" w:rsidP="00946943">
      <w:pPr>
        <w:pStyle w:val="NormalWeb"/>
        <w:spacing w:after="0"/>
        <w:ind w:firstLine="720"/>
        <w:jc w:val="both"/>
        <w:rPr>
          <w:rFonts w:ascii="Arial" w:hAnsi="Arial" w:cs="Arial"/>
          <w:color w:val="000000" w:themeColor="text1"/>
          <w:sz w:val="10"/>
          <w:szCs w:val="10"/>
        </w:rPr>
      </w:pPr>
      <w:r w:rsidRPr="000328B9">
        <w:rPr>
          <w:rStyle w:val="Textoennegrita"/>
          <w:rFonts w:ascii="Arial" w:hAnsi="Arial" w:cs="Arial"/>
          <w:color w:val="000000" w:themeColor="text1"/>
          <w:sz w:val="10"/>
          <w:szCs w:val="10"/>
        </w:rPr>
        <w:t>“Articulo 40. Del contenido del contrato estatal.</w:t>
      </w:r>
      <w:r w:rsidRPr="000328B9">
        <w:rPr>
          <w:rFonts w:ascii="Arial" w:hAnsi="Arial" w:cs="Arial"/>
          <w:color w:val="000000" w:themeColor="text1"/>
          <w:sz w:val="10"/>
          <w:szCs w:val="10"/>
        </w:rPr>
        <w:t> Las estipulaciones de los contratos serán las que de acuerdo con las normas civiles, comerciales y las previstas en esta ley, correspondan a su esencia y naturaleza. </w:t>
      </w:r>
    </w:p>
    <w:p w14:paraId="5E141C89" w14:textId="77777777" w:rsidR="00946943" w:rsidRPr="000328B9" w:rsidRDefault="00946943" w:rsidP="00946943">
      <w:pPr>
        <w:pStyle w:val="NormalWeb"/>
        <w:spacing w:after="0"/>
        <w:ind w:firstLine="720"/>
        <w:jc w:val="both"/>
        <w:rPr>
          <w:rFonts w:ascii="Arial" w:hAnsi="Arial" w:cs="Arial"/>
          <w:color w:val="000000" w:themeColor="text1"/>
          <w:sz w:val="10"/>
          <w:szCs w:val="10"/>
        </w:rPr>
      </w:pPr>
      <w:r w:rsidRPr="000328B9">
        <w:rPr>
          <w:rFonts w:ascii="Arial" w:hAnsi="Arial" w:cs="Arial"/>
          <w:color w:val="000000" w:themeColor="text1"/>
          <w:sz w:val="10"/>
          <w:szCs w:val="10"/>
        </w:rPr>
        <w:t>“Las entidades podrán celebrar los contratos y acuerdos que permitan la autonomía de la voluntad y requieran el cumplimiento de los fines estatales. </w:t>
      </w:r>
    </w:p>
    <w:p w14:paraId="4497A1C4" w14:textId="77777777" w:rsidR="00946943" w:rsidRPr="000328B9" w:rsidRDefault="00946943" w:rsidP="00946943">
      <w:pPr>
        <w:pStyle w:val="NormalWeb"/>
        <w:spacing w:after="0"/>
        <w:jc w:val="both"/>
        <w:rPr>
          <w:rFonts w:ascii="Arial" w:hAnsi="Arial" w:cs="Arial"/>
          <w:color w:val="000000" w:themeColor="text1"/>
          <w:sz w:val="10"/>
          <w:szCs w:val="10"/>
        </w:rPr>
      </w:pPr>
      <w:r w:rsidRPr="000328B9">
        <w:rPr>
          <w:rFonts w:ascii="Arial" w:hAnsi="Arial" w:cs="Arial"/>
          <w:color w:val="000000" w:themeColor="text1"/>
          <w:sz w:val="10"/>
          <w:szCs w:val="10"/>
        </w:rPr>
        <w:t>  </w:t>
      </w:r>
      <w:r w:rsidRPr="000328B9">
        <w:rPr>
          <w:rFonts w:ascii="Arial" w:hAnsi="Arial" w:cs="Arial"/>
          <w:color w:val="000000" w:themeColor="text1"/>
          <w:sz w:val="10"/>
          <w:szCs w:val="10"/>
        </w:rPr>
        <w:tab/>
        <w:t>[…]  </w:t>
      </w:r>
    </w:p>
    <w:p w14:paraId="0825A88F" w14:textId="77777777" w:rsidR="00946943" w:rsidRPr="000328B9" w:rsidRDefault="00946943" w:rsidP="00946943">
      <w:pPr>
        <w:pStyle w:val="NormalWeb"/>
        <w:spacing w:after="0"/>
        <w:ind w:firstLine="720"/>
        <w:jc w:val="both"/>
      </w:pPr>
      <w:r w:rsidRPr="000328B9">
        <w:rPr>
          <w:rStyle w:val="Textoennegrita"/>
          <w:rFonts w:ascii="Arial" w:hAnsi="Arial" w:cs="Arial"/>
          <w:color w:val="000000" w:themeColor="text1"/>
          <w:sz w:val="10"/>
          <w:szCs w:val="10"/>
        </w:rPr>
        <w:t>“Artículo 41. Del perfeccionamiento del contrato.</w:t>
      </w:r>
      <w:r w:rsidRPr="000328B9">
        <w:rPr>
          <w:rFonts w:ascii="Arial" w:hAnsi="Arial" w:cs="Arial"/>
          <w:color w:val="000000" w:themeColor="text1"/>
          <w:sz w:val="10"/>
          <w:szCs w:val="10"/>
        </w:rPr>
        <w:t> Los contratos del Estado se perfeccionan cuando se logre acuerdo sobre el objeto y la contraprestación y éste se eleve a escrito […]”.</w:t>
      </w:r>
    </w:p>
  </w:footnote>
  <w:footnote w:id="14">
    <w:p w14:paraId="27C02CF3" w14:textId="77777777" w:rsidR="00946943" w:rsidRPr="000328B9" w:rsidRDefault="00946943" w:rsidP="00946943">
      <w:pPr>
        <w:pStyle w:val="Textonotapie"/>
        <w:ind w:firstLine="708"/>
        <w:jc w:val="both"/>
        <w:rPr>
          <w:rFonts w:ascii="Arial" w:hAnsi="Arial" w:cs="Arial"/>
          <w:color w:val="000000" w:themeColor="text1"/>
          <w:sz w:val="10"/>
          <w:szCs w:val="10"/>
        </w:rPr>
      </w:pPr>
      <w:r w:rsidRPr="000328B9">
        <w:rPr>
          <w:rStyle w:val="Refdenotaalpie"/>
          <w:rFonts w:ascii="Arial" w:hAnsi="Arial" w:cs="Arial"/>
          <w:color w:val="000000" w:themeColor="text1"/>
          <w:sz w:val="10"/>
          <w:szCs w:val="10"/>
        </w:rPr>
        <w:footnoteRef/>
      </w:r>
      <w:r w:rsidRPr="000328B9">
        <w:rPr>
          <w:rFonts w:ascii="Arial" w:hAnsi="Arial" w:cs="Arial"/>
          <w:color w:val="000000" w:themeColor="text1"/>
          <w:sz w:val="10"/>
          <w:szCs w:val="10"/>
        </w:rPr>
        <w:t xml:space="preserve"> Ley 80 de 1993 “</w:t>
      </w:r>
      <w:r w:rsidRPr="000328B9">
        <w:rPr>
          <w:rStyle w:val="Textoennegrita"/>
          <w:rFonts w:ascii="Arial" w:hAnsi="Arial" w:cs="Arial"/>
          <w:color w:val="000000" w:themeColor="text1"/>
          <w:sz w:val="10"/>
          <w:szCs w:val="10"/>
        </w:rPr>
        <w:t>Artículo 77. De la normatividad aplicable en las actuaciones administrativas.</w:t>
      </w:r>
      <w:r w:rsidRPr="000328B9">
        <w:rPr>
          <w:rFonts w:ascii="Arial" w:hAnsi="Arial" w:cs="Arial"/>
          <w:color w:val="000000" w:themeColor="text1"/>
          <w:sz w:val="10"/>
          <w:szCs w:val="10"/>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 […]”. </w:t>
      </w:r>
    </w:p>
  </w:footnote>
  <w:footnote w:id="15">
    <w:p w14:paraId="12892632" w14:textId="77777777" w:rsidR="00946943" w:rsidRPr="000328B9" w:rsidRDefault="00946943" w:rsidP="00946943">
      <w:pPr>
        <w:pStyle w:val="NormalWeb"/>
        <w:spacing w:after="0"/>
        <w:ind w:firstLine="708"/>
        <w:jc w:val="both"/>
        <w:rPr>
          <w:rFonts w:ascii="Arial" w:hAnsi="Arial" w:cs="Arial"/>
          <w:color w:val="000000" w:themeColor="text1"/>
          <w:sz w:val="10"/>
          <w:szCs w:val="10"/>
        </w:rPr>
      </w:pPr>
      <w:r w:rsidRPr="000328B9">
        <w:rPr>
          <w:rStyle w:val="Refdenotaalpie"/>
          <w:rFonts w:ascii="Arial" w:hAnsi="Arial" w:cs="Arial"/>
          <w:color w:val="000000" w:themeColor="text1"/>
          <w:sz w:val="10"/>
          <w:szCs w:val="10"/>
        </w:rPr>
        <w:footnoteRef/>
      </w:r>
      <w:r w:rsidRPr="000328B9">
        <w:rPr>
          <w:rFonts w:ascii="Arial" w:hAnsi="Arial" w:cs="Arial"/>
          <w:color w:val="000000" w:themeColor="text1"/>
          <w:sz w:val="10"/>
          <w:szCs w:val="10"/>
        </w:rPr>
        <w:t xml:space="preserve"> Ley 80 de 1993 “</w:t>
      </w:r>
      <w:r w:rsidRPr="000328B9">
        <w:rPr>
          <w:rStyle w:val="Textoennegrita"/>
          <w:rFonts w:ascii="Arial" w:hAnsi="Arial" w:cs="Arial"/>
          <w:color w:val="000000" w:themeColor="text1"/>
          <w:sz w:val="10"/>
          <w:szCs w:val="10"/>
        </w:rPr>
        <w:t>Artículo 25. Del principio de economía.</w:t>
      </w:r>
      <w:r w:rsidRPr="000328B9">
        <w:rPr>
          <w:rFonts w:ascii="Arial" w:hAnsi="Arial" w:cs="Arial"/>
          <w:color w:val="000000" w:themeColor="text1"/>
          <w:sz w:val="10"/>
          <w:szCs w:val="10"/>
        </w:rPr>
        <w:t> En virtud de este principio: </w:t>
      </w:r>
    </w:p>
    <w:p w14:paraId="328AFD51" w14:textId="77777777" w:rsidR="00946943" w:rsidRPr="000328B9" w:rsidRDefault="00946943" w:rsidP="00946943">
      <w:pPr>
        <w:pStyle w:val="NormalWeb"/>
        <w:spacing w:after="0"/>
        <w:ind w:firstLine="709"/>
        <w:jc w:val="both"/>
        <w:rPr>
          <w:rFonts w:ascii="Arial" w:hAnsi="Arial" w:cs="Arial"/>
          <w:color w:val="000000" w:themeColor="text1"/>
          <w:sz w:val="10"/>
          <w:szCs w:val="10"/>
        </w:rPr>
      </w:pPr>
      <w:r w:rsidRPr="000328B9">
        <w:rPr>
          <w:rFonts w:ascii="Arial" w:hAnsi="Arial" w:cs="Arial"/>
          <w:color w:val="000000" w:themeColor="text1"/>
          <w:sz w:val="10"/>
          <w:szCs w:val="10"/>
        </w:rPr>
        <w:t>[…]</w:t>
      </w:r>
    </w:p>
    <w:p w14:paraId="1924EC43" w14:textId="77777777" w:rsidR="00946943" w:rsidRPr="000328B9" w:rsidRDefault="00946943" w:rsidP="00946943">
      <w:pPr>
        <w:pStyle w:val="NormalWeb"/>
        <w:spacing w:after="0"/>
        <w:ind w:firstLine="709"/>
        <w:jc w:val="both"/>
        <w:rPr>
          <w:rFonts w:ascii="Arial" w:hAnsi="Arial" w:cs="Arial"/>
          <w:color w:val="000000" w:themeColor="text1"/>
          <w:sz w:val="10"/>
          <w:szCs w:val="10"/>
        </w:rPr>
      </w:pPr>
      <w:r w:rsidRPr="000328B9">
        <w:rPr>
          <w:rFonts w:ascii="Arial" w:hAnsi="Arial" w:cs="Arial"/>
          <w:color w:val="000000" w:themeColor="text1"/>
          <w:sz w:val="10"/>
          <w:szCs w:val="10"/>
        </w:rPr>
        <w:t>“4o. Los trámites se adelantarán con austeridad de tiempo, medios y gastos y se impedirán las dilaciones y los retardos en la ejecución del contrato. </w:t>
      </w:r>
    </w:p>
    <w:p w14:paraId="38888608" w14:textId="77777777" w:rsidR="00946943" w:rsidRPr="000328B9" w:rsidRDefault="00946943" w:rsidP="00946943">
      <w:pPr>
        <w:pStyle w:val="NormalWeb"/>
        <w:spacing w:after="0"/>
        <w:jc w:val="both"/>
        <w:rPr>
          <w:rFonts w:ascii="Arial" w:hAnsi="Arial" w:cs="Arial"/>
          <w:color w:val="000000" w:themeColor="text1"/>
          <w:sz w:val="10"/>
          <w:szCs w:val="10"/>
        </w:rPr>
      </w:pPr>
      <w:r w:rsidRPr="000328B9">
        <w:rPr>
          <w:rFonts w:ascii="Arial" w:hAnsi="Arial" w:cs="Arial"/>
          <w:color w:val="000000" w:themeColor="text1"/>
          <w:sz w:val="10"/>
          <w:szCs w:val="10"/>
        </w:rPr>
        <w:t>  </w:t>
      </w:r>
      <w:r w:rsidRPr="000328B9">
        <w:rPr>
          <w:rFonts w:ascii="Arial" w:hAnsi="Arial" w:cs="Arial"/>
          <w:color w:val="000000" w:themeColor="text1"/>
          <w:sz w:val="10"/>
          <w:szCs w:val="10"/>
        </w:rPr>
        <w:tab/>
        <w:t>“5o. Se adoptarán procedimientos que garanticen la pronta solución de las diferencias y controversias que con motivo de la celebración y ejecución del contrato se presenten […]”.</w:t>
      </w:r>
    </w:p>
  </w:footnote>
  <w:footnote w:id="16">
    <w:p w14:paraId="688AA384" w14:textId="77777777" w:rsidR="00946943" w:rsidRDefault="00946943" w:rsidP="00946943">
      <w:pPr>
        <w:pStyle w:val="Textonotapie"/>
        <w:ind w:firstLine="708"/>
        <w:jc w:val="both"/>
        <w:rPr>
          <w:rFonts w:ascii="Arial" w:hAnsi="Arial" w:cs="Arial"/>
          <w:color w:val="000000" w:themeColor="text1"/>
          <w:sz w:val="10"/>
          <w:szCs w:val="10"/>
        </w:rPr>
      </w:pPr>
      <w:r w:rsidRPr="000328B9">
        <w:rPr>
          <w:rStyle w:val="Refdenotaalpie"/>
          <w:rFonts w:ascii="Arial" w:hAnsi="Arial" w:cs="Arial"/>
          <w:color w:val="000000" w:themeColor="text1"/>
          <w:sz w:val="10"/>
          <w:szCs w:val="10"/>
        </w:rPr>
        <w:footnoteRef/>
      </w:r>
      <w:r w:rsidRPr="000328B9">
        <w:rPr>
          <w:rFonts w:ascii="Arial" w:hAnsi="Arial" w:cs="Arial"/>
          <w:color w:val="000000" w:themeColor="text1"/>
          <w:sz w:val="10"/>
          <w:szCs w:val="10"/>
        </w:rPr>
        <w:t xml:space="preserve"> COLOMBIA COMPRA EFICIENTE. Guía para la Liquidación de los Procesos de Contratación. página 5, disponible en:   </w:t>
      </w:r>
      <w:hyperlink r:id="rId2" w:history="1">
        <w:r w:rsidRPr="000328B9">
          <w:rPr>
            <w:rStyle w:val="Hipervnculo"/>
            <w:rFonts w:ascii="Arial" w:hAnsi="Arial" w:cs="Arial"/>
            <w:sz w:val="10"/>
            <w:szCs w:val="10"/>
          </w:rPr>
          <w:t>https://www.colombiacompra.gov.co/sites/cce_public/files/cce_documents/cce_guia_liquidacion_procesos.pdf</w:t>
        </w:r>
      </w:hyperlink>
      <w:r w:rsidRPr="000328B9">
        <w:rPr>
          <w:rStyle w:val="Hipervnculo"/>
          <w:rFonts w:ascii="Arial" w:hAnsi="Arial" w:cs="Arial"/>
          <w:color w:val="000000" w:themeColor="text1"/>
          <w:sz w:val="10"/>
          <w:szCs w:val="10"/>
        </w:rPr>
        <w:t xml:space="preserve">     </w:t>
      </w:r>
      <w:r w:rsidRPr="000328B9">
        <w:rPr>
          <w:rFonts w:ascii="Arial" w:hAnsi="Arial" w:cs="Arial"/>
          <w:color w:val="000000" w:themeColor="text1"/>
          <w:sz w:val="10"/>
          <w:szCs w:val="10"/>
        </w:rPr>
        <w:t xml:space="preserve">      </w:t>
      </w:r>
    </w:p>
    <w:p w14:paraId="29AFEB27" w14:textId="77777777" w:rsidR="00946943" w:rsidRPr="00A0227B" w:rsidRDefault="00946943" w:rsidP="00946943">
      <w:pPr>
        <w:pStyle w:val="Textonotapie"/>
        <w:ind w:firstLine="708"/>
        <w:jc w:val="both"/>
        <w:rPr>
          <w:rFonts w:ascii="Arial" w:hAnsi="Arial" w:cs="Arial"/>
          <w:color w:val="000000" w:themeColor="text1"/>
          <w:sz w:val="10"/>
          <w:szCs w:val="10"/>
        </w:rPr>
      </w:pPr>
    </w:p>
  </w:footnote>
  <w:footnote w:id="17">
    <w:p w14:paraId="5CDCF5BB" w14:textId="77777777" w:rsidR="00946943" w:rsidRPr="000328B9" w:rsidRDefault="00946943" w:rsidP="00946943">
      <w:pPr>
        <w:pStyle w:val="Textonotapie"/>
        <w:ind w:firstLine="708"/>
        <w:jc w:val="both"/>
        <w:rPr>
          <w:rFonts w:ascii="Arial" w:hAnsi="Arial" w:cs="Arial"/>
          <w:color w:val="000000" w:themeColor="text1"/>
          <w:sz w:val="10"/>
          <w:szCs w:val="10"/>
        </w:rPr>
      </w:pPr>
      <w:r w:rsidRPr="000328B9">
        <w:rPr>
          <w:rStyle w:val="Refdenotaalpie"/>
          <w:rFonts w:ascii="Arial" w:hAnsi="Arial" w:cs="Arial"/>
          <w:color w:val="000000" w:themeColor="text1"/>
          <w:sz w:val="10"/>
          <w:szCs w:val="10"/>
        </w:rPr>
        <w:footnoteRef/>
      </w:r>
      <w:r w:rsidRPr="000328B9">
        <w:rPr>
          <w:rFonts w:ascii="Arial" w:hAnsi="Arial" w:cs="Arial"/>
          <w:color w:val="000000" w:themeColor="text1"/>
          <w:sz w:val="10"/>
          <w:szCs w:val="10"/>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18">
    <w:p w14:paraId="23CBFA7A" w14:textId="77777777" w:rsidR="00946943" w:rsidRDefault="00946943" w:rsidP="00946943">
      <w:pPr>
        <w:pStyle w:val="Textonotapie"/>
        <w:ind w:firstLine="708"/>
        <w:jc w:val="both"/>
        <w:rPr>
          <w:rFonts w:ascii="Arial" w:hAnsi="Arial" w:cs="Arial"/>
          <w:color w:val="000000" w:themeColor="text1"/>
          <w:sz w:val="10"/>
          <w:szCs w:val="10"/>
        </w:rPr>
      </w:pPr>
    </w:p>
    <w:p w14:paraId="6354D13E" w14:textId="77777777" w:rsidR="00946943" w:rsidRPr="000328B9" w:rsidRDefault="00946943" w:rsidP="00946943">
      <w:pPr>
        <w:pStyle w:val="Textonotapie"/>
        <w:ind w:firstLine="708"/>
        <w:jc w:val="both"/>
        <w:rPr>
          <w:rFonts w:ascii="Arial" w:hAnsi="Arial" w:cs="Arial"/>
          <w:color w:val="000000" w:themeColor="text1"/>
          <w:sz w:val="10"/>
          <w:szCs w:val="10"/>
        </w:rPr>
      </w:pPr>
      <w:r w:rsidRPr="000328B9">
        <w:rPr>
          <w:rStyle w:val="Refdenotaalpie"/>
          <w:rFonts w:ascii="Arial" w:hAnsi="Arial" w:cs="Arial"/>
          <w:color w:val="000000" w:themeColor="text1"/>
          <w:sz w:val="10"/>
          <w:szCs w:val="10"/>
        </w:rPr>
        <w:footnoteRef/>
      </w:r>
      <w:r w:rsidRPr="000328B9">
        <w:rPr>
          <w:rFonts w:ascii="Arial" w:hAnsi="Arial" w:cs="Arial"/>
          <w:color w:val="000000" w:themeColor="text1"/>
          <w:sz w:val="10"/>
          <w:szCs w:val="10"/>
        </w:rPr>
        <w:t xml:space="preserve"> CONSEJO DE ESTADO. Sala de Consulta y Servicio Civil. Concepto de 28 de Junio de 2016. Radicación: 2253. C.P. Álvaro Namén Vargas. </w:t>
      </w:r>
    </w:p>
    <w:p w14:paraId="47EC16D5" w14:textId="77777777" w:rsidR="00946943" w:rsidRPr="000328B9" w:rsidRDefault="00946943" w:rsidP="00946943">
      <w:pPr>
        <w:pStyle w:val="Textonotapie"/>
        <w:ind w:firstLine="708"/>
        <w:jc w:val="both"/>
        <w:rPr>
          <w:rFonts w:ascii="Arial" w:hAnsi="Arial" w:cs="Arial"/>
          <w:color w:val="000000" w:themeColor="text1"/>
          <w:sz w:val="10"/>
          <w:szCs w:val="10"/>
        </w:rPr>
      </w:pPr>
    </w:p>
  </w:footnote>
  <w:footnote w:id="19">
    <w:p w14:paraId="4734C504" w14:textId="77777777" w:rsidR="00946943" w:rsidRPr="000328B9" w:rsidRDefault="00946943" w:rsidP="00946943">
      <w:pPr>
        <w:pStyle w:val="Textonotapie"/>
        <w:ind w:firstLine="708"/>
        <w:jc w:val="both"/>
        <w:rPr>
          <w:rFonts w:ascii="Arial" w:hAnsi="Arial" w:cs="Arial"/>
          <w:color w:val="000000" w:themeColor="text1"/>
          <w:sz w:val="10"/>
          <w:szCs w:val="10"/>
          <w:lang w:val="es-ES"/>
        </w:rPr>
      </w:pPr>
      <w:r w:rsidRPr="000328B9">
        <w:rPr>
          <w:rStyle w:val="Refdenotaalpie"/>
          <w:rFonts w:ascii="Arial" w:hAnsi="Arial" w:cs="Arial"/>
          <w:color w:val="000000" w:themeColor="text1"/>
          <w:sz w:val="10"/>
          <w:szCs w:val="10"/>
        </w:rPr>
        <w:footnoteRef/>
      </w:r>
      <w:r w:rsidRPr="000328B9">
        <w:rPr>
          <w:rFonts w:ascii="Arial" w:hAnsi="Arial" w:cs="Arial"/>
          <w:color w:val="000000" w:themeColor="text1"/>
          <w:sz w:val="10"/>
          <w:szCs w:val="10"/>
        </w:rPr>
        <w:t xml:space="preserve"> CONSEJO DE ESTADO. Sección Tercera. </w:t>
      </w:r>
      <w:r w:rsidRPr="000328B9">
        <w:rPr>
          <w:rFonts w:ascii="Arial" w:hAnsi="Arial" w:cs="Arial"/>
          <w:color w:val="000000" w:themeColor="text1"/>
          <w:sz w:val="10"/>
          <w:szCs w:val="10"/>
          <w:lang w:val="es-CO"/>
        </w:rPr>
        <w:t xml:space="preserve">Sala Plena. Auto del 1 de agosto de 2019. </w:t>
      </w:r>
      <w:r w:rsidRPr="000328B9">
        <w:rPr>
          <w:rFonts w:ascii="Arial" w:hAnsi="Arial" w:cs="Arial"/>
          <w:color w:val="000000" w:themeColor="text1"/>
          <w:sz w:val="10"/>
          <w:szCs w:val="10"/>
        </w:rPr>
        <w:t xml:space="preserve">Exp. 62009. C.P. Jaime Enrique Rodríguez Navas. </w:t>
      </w:r>
      <w:r w:rsidRPr="000328B9">
        <w:rPr>
          <w:rFonts w:ascii="Arial" w:hAnsi="Arial" w:cs="Arial"/>
          <w:color w:val="000000" w:themeColor="text1"/>
          <w:sz w:val="10"/>
          <w:szCs w:val="10"/>
          <w:lang w:val="es-ES"/>
        </w:rPr>
        <w:t xml:space="preserve"> </w:t>
      </w:r>
    </w:p>
  </w:footnote>
  <w:footnote w:id="20">
    <w:p w14:paraId="4E7709E9" w14:textId="77777777" w:rsidR="00946943" w:rsidRPr="000328B9" w:rsidRDefault="00946943" w:rsidP="00946943">
      <w:pPr>
        <w:spacing w:after="0" w:line="240" w:lineRule="auto"/>
        <w:ind w:firstLine="709"/>
        <w:contextualSpacing/>
        <w:jc w:val="both"/>
        <w:rPr>
          <w:rFonts w:ascii="Arial" w:hAnsi="Arial" w:cs="Arial"/>
          <w:sz w:val="10"/>
          <w:szCs w:val="10"/>
        </w:rPr>
      </w:pPr>
      <w:r w:rsidRPr="000328B9">
        <w:rPr>
          <w:rStyle w:val="Refdenotaalpie"/>
          <w:rFonts w:ascii="Arial" w:hAnsi="Arial" w:cs="Arial"/>
          <w:sz w:val="10"/>
          <w:szCs w:val="10"/>
        </w:rPr>
        <w:footnoteRef/>
      </w:r>
      <w:r w:rsidRPr="000328B9">
        <w:rPr>
          <w:rFonts w:ascii="Arial" w:hAnsi="Arial" w:cs="Arial"/>
          <w:sz w:val="10"/>
          <w:szCs w:val="10"/>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47C41938" w14:textId="77777777" w:rsidR="00946943" w:rsidRPr="000328B9" w:rsidRDefault="00946943" w:rsidP="00946943">
      <w:pPr>
        <w:spacing w:after="0" w:line="240" w:lineRule="auto"/>
        <w:ind w:firstLine="709"/>
        <w:contextualSpacing/>
        <w:jc w:val="both"/>
        <w:rPr>
          <w:rFonts w:ascii="Arial" w:hAnsi="Arial" w:cs="Arial"/>
          <w:sz w:val="10"/>
          <w:szCs w:val="10"/>
        </w:rPr>
      </w:pPr>
      <w:r w:rsidRPr="000328B9">
        <w:rPr>
          <w:rFonts w:ascii="Arial" w:hAnsi="Arial" w:cs="Arial"/>
          <w:sz w:val="10"/>
          <w:szCs w:val="10"/>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0328B9">
        <w:rPr>
          <w:rFonts w:ascii="Arial" w:hAnsi="Arial" w:cs="Arial"/>
          <w:spacing w:val="-1"/>
          <w:sz w:val="10"/>
          <w:szCs w:val="10"/>
        </w:rPr>
        <w:t xml:space="preserve"> </w:t>
      </w:r>
      <w:r w:rsidRPr="000328B9">
        <w:rPr>
          <w:rFonts w:ascii="Arial" w:hAnsi="Arial" w:cs="Arial"/>
          <w:sz w:val="10"/>
          <w:szCs w:val="10"/>
        </w:rPr>
        <w:t>Estatales”.</w:t>
      </w:r>
    </w:p>
    <w:p w14:paraId="4908508F" w14:textId="77777777" w:rsidR="00946943" w:rsidRPr="000328B9" w:rsidRDefault="00946943" w:rsidP="00946943">
      <w:pPr>
        <w:spacing w:after="0" w:line="240" w:lineRule="auto"/>
        <w:ind w:firstLine="709"/>
        <w:contextualSpacing/>
        <w:jc w:val="both"/>
        <w:rPr>
          <w:rFonts w:ascii="Arial" w:hAnsi="Arial" w:cs="Arial"/>
          <w:sz w:val="10"/>
          <w:szCs w:val="10"/>
        </w:rPr>
      </w:pPr>
    </w:p>
  </w:footnote>
  <w:footnote w:id="21">
    <w:p w14:paraId="5F076845" w14:textId="77777777" w:rsidR="00946943" w:rsidRPr="000328B9" w:rsidRDefault="00946943" w:rsidP="00946943">
      <w:pPr>
        <w:spacing w:after="0" w:line="240" w:lineRule="auto"/>
        <w:ind w:firstLine="709"/>
        <w:contextualSpacing/>
        <w:jc w:val="both"/>
        <w:rPr>
          <w:rFonts w:ascii="Arial" w:hAnsi="Arial" w:cs="Arial"/>
          <w:sz w:val="10"/>
          <w:szCs w:val="10"/>
        </w:rPr>
      </w:pPr>
      <w:r w:rsidRPr="000328B9">
        <w:rPr>
          <w:rStyle w:val="Refdenotaalpie"/>
          <w:rFonts w:ascii="Arial" w:hAnsi="Arial" w:cs="Arial"/>
          <w:sz w:val="10"/>
          <w:szCs w:val="10"/>
        </w:rPr>
        <w:footnoteRef/>
      </w:r>
      <w:r w:rsidRPr="000328B9">
        <w:rPr>
          <w:rFonts w:ascii="Arial" w:hAnsi="Arial" w:cs="Arial"/>
          <w:sz w:val="10"/>
          <w:szCs w:val="10"/>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0328B9">
        <w:rPr>
          <w:rFonts w:ascii="Arial" w:hAnsi="Arial" w:cs="Arial"/>
          <w:spacing w:val="-6"/>
          <w:sz w:val="10"/>
          <w:szCs w:val="10"/>
        </w:rPr>
        <w:t xml:space="preserve"> </w:t>
      </w:r>
      <w:r w:rsidRPr="000328B9">
        <w:rPr>
          <w:rFonts w:ascii="Arial" w:hAnsi="Arial" w:cs="Arial"/>
          <w:sz w:val="10"/>
          <w:szCs w:val="10"/>
        </w:rPr>
        <w:t>artículo”.</w:t>
      </w:r>
    </w:p>
    <w:p w14:paraId="3A38159B" w14:textId="77777777" w:rsidR="00946943" w:rsidRPr="000328B9" w:rsidRDefault="00946943" w:rsidP="00946943">
      <w:pPr>
        <w:spacing w:after="0" w:line="240" w:lineRule="auto"/>
        <w:ind w:firstLine="709"/>
        <w:contextualSpacing/>
        <w:jc w:val="both"/>
        <w:rPr>
          <w:rFonts w:ascii="Arial" w:hAnsi="Arial" w:cs="Arial"/>
          <w:sz w:val="10"/>
          <w:szCs w:val="10"/>
        </w:rPr>
      </w:pPr>
    </w:p>
  </w:footnote>
  <w:footnote w:id="22">
    <w:p w14:paraId="14A19C6D" w14:textId="77777777" w:rsidR="00946943" w:rsidRPr="000328B9" w:rsidRDefault="00946943" w:rsidP="00946943">
      <w:pPr>
        <w:spacing w:after="0" w:line="240" w:lineRule="auto"/>
        <w:ind w:firstLine="709"/>
        <w:contextualSpacing/>
        <w:jc w:val="both"/>
        <w:rPr>
          <w:rFonts w:ascii="Arial" w:hAnsi="Arial" w:cs="Arial"/>
          <w:sz w:val="10"/>
          <w:szCs w:val="10"/>
        </w:rPr>
      </w:pPr>
      <w:r w:rsidRPr="000328B9">
        <w:rPr>
          <w:rStyle w:val="Refdenotaalpie"/>
          <w:rFonts w:ascii="Arial" w:hAnsi="Arial" w:cs="Arial"/>
          <w:sz w:val="10"/>
          <w:szCs w:val="10"/>
        </w:rPr>
        <w:footnoteRef/>
      </w:r>
      <w:r w:rsidRPr="000328B9">
        <w:rPr>
          <w:rFonts w:ascii="Arial" w:hAnsi="Arial" w:cs="Arial"/>
          <w:position w:val="7"/>
          <w:sz w:val="10"/>
          <w:szCs w:val="10"/>
        </w:rPr>
        <w:t xml:space="preserve"> </w:t>
      </w:r>
      <w:r w:rsidRPr="000328B9">
        <w:rPr>
          <w:rFonts w:ascii="Arial" w:hAnsi="Arial" w:cs="Arial"/>
          <w:sz w:val="10"/>
          <w:szCs w:val="10"/>
        </w:rPr>
        <w:t>Consejo de Estado. Sección Tercera. Sentencia del 23 de junio de 2010. Radicación No. 66001-23-31-000-1998-00261-01(17.860). Consejero Ponente: Mauricio Fajardo Gómez.</w:t>
      </w:r>
    </w:p>
    <w:p w14:paraId="16FAAF28" w14:textId="77777777" w:rsidR="00946943" w:rsidRPr="000328B9" w:rsidRDefault="00946943" w:rsidP="00946943">
      <w:pPr>
        <w:spacing w:after="0" w:line="240" w:lineRule="auto"/>
        <w:ind w:firstLine="709"/>
        <w:contextualSpacing/>
        <w:jc w:val="both"/>
        <w:rPr>
          <w:rFonts w:ascii="Arial" w:hAnsi="Arial" w:cs="Arial"/>
          <w:sz w:val="10"/>
          <w:szCs w:val="10"/>
        </w:rPr>
      </w:pPr>
    </w:p>
  </w:footnote>
  <w:footnote w:id="23">
    <w:p w14:paraId="443A071E" w14:textId="30BFE931" w:rsidR="00796C2F" w:rsidRDefault="00796C2F">
      <w:pPr>
        <w:pStyle w:val="Textonotapie"/>
      </w:pPr>
      <w:r>
        <w:rPr>
          <w:rStyle w:val="Refdenotaalpie"/>
        </w:rPr>
        <w:footnoteRef/>
      </w:r>
      <w:r>
        <w:t xml:space="preserve"> </w:t>
      </w:r>
      <w:r w:rsidR="00AF0559">
        <w:rPr>
          <w:spacing w:val="-9"/>
        </w:rPr>
        <w:t xml:space="preserve"> </w:t>
      </w:r>
      <w:r w:rsidR="00AF0559" w:rsidRPr="00AF0559">
        <w:rPr>
          <w:rFonts w:ascii="Arial" w:hAnsi="Arial" w:cs="Arial"/>
          <w:sz w:val="16"/>
          <w:szCs w:val="16"/>
        </w:rPr>
        <w:t>Sección</w:t>
      </w:r>
      <w:r w:rsidR="00AF0559" w:rsidRPr="00AF0559">
        <w:rPr>
          <w:rFonts w:ascii="Arial" w:hAnsi="Arial" w:cs="Arial"/>
          <w:spacing w:val="-7"/>
          <w:sz w:val="16"/>
          <w:szCs w:val="16"/>
        </w:rPr>
        <w:t xml:space="preserve"> </w:t>
      </w:r>
      <w:r w:rsidR="00AF0559" w:rsidRPr="00AF0559">
        <w:rPr>
          <w:rFonts w:ascii="Arial" w:hAnsi="Arial" w:cs="Arial"/>
          <w:sz w:val="16"/>
          <w:szCs w:val="16"/>
        </w:rPr>
        <w:t>Tercera</w:t>
      </w:r>
      <w:r w:rsidR="00AF0559" w:rsidRPr="00AF0559">
        <w:rPr>
          <w:rFonts w:ascii="Arial" w:hAnsi="Arial" w:cs="Arial"/>
          <w:spacing w:val="-7"/>
          <w:sz w:val="16"/>
          <w:szCs w:val="16"/>
        </w:rPr>
        <w:t xml:space="preserve"> </w:t>
      </w:r>
      <w:r w:rsidR="00AF0559" w:rsidRPr="00AF0559">
        <w:rPr>
          <w:rFonts w:ascii="Arial" w:hAnsi="Arial" w:cs="Arial"/>
          <w:sz w:val="16"/>
          <w:szCs w:val="16"/>
        </w:rPr>
        <w:t>del</w:t>
      </w:r>
      <w:r w:rsidR="00AF0559" w:rsidRPr="00AF0559">
        <w:rPr>
          <w:rFonts w:ascii="Arial" w:hAnsi="Arial" w:cs="Arial"/>
          <w:spacing w:val="-8"/>
          <w:sz w:val="16"/>
          <w:szCs w:val="16"/>
        </w:rPr>
        <w:t xml:space="preserve"> </w:t>
      </w:r>
      <w:r w:rsidR="00AF0559" w:rsidRPr="00AF0559">
        <w:rPr>
          <w:rFonts w:ascii="Arial" w:hAnsi="Arial" w:cs="Arial"/>
          <w:sz w:val="16"/>
          <w:szCs w:val="16"/>
        </w:rPr>
        <w:t>Consejo</w:t>
      </w:r>
      <w:r w:rsidR="00AF0559" w:rsidRPr="00AF0559">
        <w:rPr>
          <w:rFonts w:ascii="Arial" w:hAnsi="Arial" w:cs="Arial"/>
          <w:spacing w:val="-59"/>
          <w:sz w:val="16"/>
          <w:szCs w:val="16"/>
        </w:rPr>
        <w:t xml:space="preserve"> </w:t>
      </w:r>
      <w:r w:rsidR="00AF0559" w:rsidRPr="00AF0559">
        <w:rPr>
          <w:rFonts w:ascii="Arial" w:hAnsi="Arial" w:cs="Arial"/>
          <w:sz w:val="16"/>
          <w:szCs w:val="16"/>
        </w:rPr>
        <w:t>de</w:t>
      </w:r>
      <w:r w:rsidR="00AF0559" w:rsidRPr="00AF0559">
        <w:rPr>
          <w:rFonts w:ascii="Arial" w:hAnsi="Arial" w:cs="Arial"/>
          <w:spacing w:val="1"/>
          <w:sz w:val="16"/>
          <w:szCs w:val="16"/>
        </w:rPr>
        <w:t xml:space="preserve"> </w:t>
      </w:r>
      <w:r w:rsidR="00AF0559" w:rsidRPr="00AF0559">
        <w:rPr>
          <w:rFonts w:ascii="Arial" w:hAnsi="Arial" w:cs="Arial"/>
          <w:sz w:val="16"/>
          <w:szCs w:val="16"/>
        </w:rPr>
        <w:t>Estado,</w:t>
      </w:r>
      <w:r w:rsidR="00AF0559" w:rsidRPr="00AF0559">
        <w:rPr>
          <w:rFonts w:ascii="Arial" w:hAnsi="Arial" w:cs="Arial"/>
          <w:spacing w:val="1"/>
          <w:sz w:val="16"/>
          <w:szCs w:val="16"/>
        </w:rPr>
        <w:t xml:space="preserve"> </w:t>
      </w:r>
      <w:r w:rsidR="00AF0559" w:rsidRPr="00AF0559">
        <w:rPr>
          <w:rFonts w:ascii="Arial" w:hAnsi="Arial" w:cs="Arial"/>
          <w:sz w:val="16"/>
          <w:szCs w:val="16"/>
        </w:rPr>
        <w:t>radicación</w:t>
      </w:r>
      <w:r w:rsidR="00AF0559" w:rsidRPr="00AF0559">
        <w:rPr>
          <w:rFonts w:ascii="Arial" w:hAnsi="Arial" w:cs="Arial"/>
          <w:spacing w:val="1"/>
          <w:sz w:val="16"/>
          <w:szCs w:val="16"/>
        </w:rPr>
        <w:t xml:space="preserve"> </w:t>
      </w:r>
      <w:r w:rsidR="00AF0559" w:rsidRPr="00AF0559">
        <w:rPr>
          <w:rFonts w:ascii="Arial" w:hAnsi="Arial" w:cs="Arial"/>
          <w:sz w:val="16"/>
          <w:szCs w:val="16"/>
        </w:rPr>
        <w:t>05001-23-33-000-2018-00342-01</w:t>
      </w:r>
      <w:r w:rsidR="00AF0559" w:rsidRPr="00AF0559">
        <w:rPr>
          <w:rFonts w:ascii="Arial" w:hAnsi="Arial" w:cs="Arial"/>
          <w:spacing w:val="1"/>
          <w:sz w:val="16"/>
          <w:szCs w:val="16"/>
        </w:rPr>
        <w:t xml:space="preserve"> </w:t>
      </w:r>
      <w:r w:rsidR="00AF0559" w:rsidRPr="00AF0559">
        <w:rPr>
          <w:rFonts w:ascii="Arial" w:hAnsi="Arial" w:cs="Arial"/>
          <w:sz w:val="16"/>
          <w:szCs w:val="16"/>
        </w:rPr>
        <w:t>(62009)</w:t>
      </w:r>
      <w:r w:rsidR="00AF0559" w:rsidRPr="00AF0559">
        <w:rPr>
          <w:rFonts w:ascii="Arial" w:hAnsi="Arial" w:cs="Arial"/>
          <w:spacing w:val="1"/>
          <w:sz w:val="16"/>
          <w:szCs w:val="16"/>
        </w:rPr>
        <w:t xml:space="preserve"> </w:t>
      </w:r>
      <w:r w:rsidR="00AF0559" w:rsidRPr="00AF0559">
        <w:rPr>
          <w:rFonts w:ascii="Arial" w:hAnsi="Arial" w:cs="Arial"/>
          <w:sz w:val="16"/>
          <w:szCs w:val="16"/>
        </w:rPr>
        <w:t>del</w:t>
      </w:r>
      <w:r w:rsidR="00AF0559" w:rsidRPr="00AF0559">
        <w:rPr>
          <w:rFonts w:ascii="Arial" w:hAnsi="Arial" w:cs="Arial"/>
          <w:spacing w:val="1"/>
          <w:sz w:val="16"/>
          <w:szCs w:val="16"/>
        </w:rPr>
        <w:t xml:space="preserve"> </w:t>
      </w:r>
      <w:r w:rsidR="00AF0559" w:rsidRPr="00AF0559">
        <w:rPr>
          <w:rFonts w:ascii="Arial" w:hAnsi="Arial" w:cs="Arial"/>
          <w:sz w:val="16"/>
          <w:szCs w:val="16"/>
        </w:rPr>
        <w:t>1</w:t>
      </w:r>
      <w:r w:rsidR="00AF0559" w:rsidRPr="00AF0559">
        <w:rPr>
          <w:rFonts w:ascii="Arial" w:hAnsi="Arial" w:cs="Arial"/>
          <w:spacing w:val="1"/>
          <w:sz w:val="16"/>
          <w:szCs w:val="16"/>
        </w:rPr>
        <w:t xml:space="preserve"> </w:t>
      </w:r>
      <w:r w:rsidR="00AF0559" w:rsidRPr="00AF0559">
        <w:rPr>
          <w:rFonts w:ascii="Arial" w:hAnsi="Arial" w:cs="Arial"/>
          <w:sz w:val="16"/>
          <w:szCs w:val="16"/>
        </w:rPr>
        <w:t>de</w:t>
      </w:r>
      <w:r w:rsidR="00AF0559" w:rsidRPr="00AF0559">
        <w:rPr>
          <w:rFonts w:ascii="Arial" w:hAnsi="Arial" w:cs="Arial"/>
          <w:spacing w:val="1"/>
          <w:sz w:val="16"/>
          <w:szCs w:val="16"/>
        </w:rPr>
        <w:t xml:space="preserve"> </w:t>
      </w:r>
      <w:r w:rsidR="00AF0559" w:rsidRPr="00AF0559">
        <w:rPr>
          <w:rFonts w:ascii="Arial" w:hAnsi="Arial" w:cs="Arial"/>
          <w:sz w:val="16"/>
          <w:szCs w:val="16"/>
        </w:rPr>
        <w:t>agosto</w:t>
      </w:r>
      <w:r w:rsidR="00AF0559" w:rsidRPr="00AF0559">
        <w:rPr>
          <w:rFonts w:ascii="Arial" w:hAnsi="Arial" w:cs="Arial"/>
          <w:spacing w:val="1"/>
          <w:sz w:val="16"/>
          <w:szCs w:val="16"/>
        </w:rPr>
        <w:t xml:space="preserve"> </w:t>
      </w:r>
      <w:r w:rsidR="00AF0559" w:rsidRPr="00AF0559">
        <w:rPr>
          <w:rFonts w:ascii="Arial" w:hAnsi="Arial" w:cs="Arial"/>
          <w:sz w:val="16"/>
          <w:szCs w:val="16"/>
        </w:rPr>
        <w:t>de</w:t>
      </w:r>
      <w:r w:rsidR="00AF0559" w:rsidRPr="00AF0559">
        <w:rPr>
          <w:rFonts w:ascii="Arial" w:hAnsi="Arial" w:cs="Arial"/>
          <w:spacing w:val="1"/>
          <w:sz w:val="16"/>
          <w:szCs w:val="16"/>
        </w:rPr>
        <w:t xml:space="preserve"> </w:t>
      </w:r>
      <w:r w:rsidR="00AF0559" w:rsidRPr="00AF0559">
        <w:rPr>
          <w:rFonts w:ascii="Arial" w:hAnsi="Arial" w:cs="Arial"/>
          <w:sz w:val="16"/>
          <w:szCs w:val="16"/>
        </w:rPr>
        <w:t>2019,</w:t>
      </w:r>
      <w:r w:rsidR="00AF0559" w:rsidRPr="00AF0559">
        <w:rPr>
          <w:rFonts w:ascii="Arial" w:hAnsi="Arial" w:cs="Arial"/>
          <w:spacing w:val="1"/>
          <w:sz w:val="16"/>
          <w:szCs w:val="16"/>
        </w:rPr>
        <w:t xml:space="preserve"> </w:t>
      </w:r>
      <w:r w:rsidR="00AF0559" w:rsidRPr="00AF0559">
        <w:rPr>
          <w:rFonts w:ascii="Arial" w:hAnsi="Arial" w:cs="Arial"/>
          <w:sz w:val="16"/>
          <w:szCs w:val="16"/>
        </w:rPr>
        <w:t>Consejero</w:t>
      </w:r>
      <w:r w:rsidR="00AF0559" w:rsidRPr="00AF0559">
        <w:rPr>
          <w:rFonts w:ascii="Arial" w:hAnsi="Arial" w:cs="Arial"/>
          <w:spacing w:val="-2"/>
          <w:sz w:val="16"/>
          <w:szCs w:val="16"/>
        </w:rPr>
        <w:t xml:space="preserve"> </w:t>
      </w:r>
      <w:r w:rsidR="00AF0559" w:rsidRPr="00AF0559">
        <w:rPr>
          <w:rFonts w:ascii="Arial" w:hAnsi="Arial" w:cs="Arial"/>
          <w:sz w:val="16"/>
          <w:szCs w:val="16"/>
        </w:rPr>
        <w:t>Ponente:</w:t>
      </w:r>
      <w:r w:rsidR="00AF0559" w:rsidRPr="00AF0559">
        <w:rPr>
          <w:rFonts w:ascii="Arial" w:hAnsi="Arial" w:cs="Arial"/>
          <w:spacing w:val="-1"/>
          <w:sz w:val="16"/>
          <w:szCs w:val="16"/>
        </w:rPr>
        <w:t xml:space="preserve"> </w:t>
      </w:r>
      <w:r w:rsidR="00AF0559" w:rsidRPr="00AF0559">
        <w:rPr>
          <w:rFonts w:ascii="Arial" w:hAnsi="Arial" w:cs="Arial"/>
          <w:sz w:val="16"/>
          <w:szCs w:val="16"/>
        </w:rPr>
        <w:t>Jaime</w:t>
      </w:r>
      <w:r w:rsidR="00AF0559" w:rsidRPr="00AF0559">
        <w:rPr>
          <w:rFonts w:ascii="Arial" w:hAnsi="Arial" w:cs="Arial"/>
          <w:spacing w:val="-2"/>
          <w:sz w:val="16"/>
          <w:szCs w:val="16"/>
        </w:rPr>
        <w:t xml:space="preserve"> </w:t>
      </w:r>
      <w:r w:rsidR="00AF0559" w:rsidRPr="00AF0559">
        <w:rPr>
          <w:rFonts w:ascii="Arial" w:hAnsi="Arial" w:cs="Arial"/>
          <w:sz w:val="16"/>
          <w:szCs w:val="16"/>
        </w:rPr>
        <w:t>Enrique</w:t>
      </w:r>
      <w:r w:rsidR="00AF0559" w:rsidRPr="00AF0559">
        <w:rPr>
          <w:rFonts w:ascii="Arial" w:hAnsi="Arial" w:cs="Arial"/>
          <w:spacing w:val="-1"/>
          <w:sz w:val="16"/>
          <w:szCs w:val="16"/>
        </w:rPr>
        <w:t xml:space="preserve"> </w:t>
      </w:r>
      <w:r w:rsidR="00AF0559" w:rsidRPr="00AF0559">
        <w:rPr>
          <w:rFonts w:ascii="Arial" w:hAnsi="Arial" w:cs="Arial"/>
          <w:sz w:val="16"/>
          <w:szCs w:val="16"/>
        </w:rPr>
        <w:t>Rodríguez</w:t>
      </w:r>
      <w:r w:rsidR="00AF0559" w:rsidRPr="00AF0559">
        <w:rPr>
          <w:rFonts w:ascii="Arial" w:hAnsi="Arial" w:cs="Arial"/>
          <w:spacing w:val="-2"/>
          <w:sz w:val="16"/>
          <w:szCs w:val="16"/>
        </w:rPr>
        <w:t xml:space="preserve"> </w:t>
      </w:r>
      <w:r w:rsidR="00AF0559" w:rsidRPr="00AF0559">
        <w:rPr>
          <w:rFonts w:ascii="Arial" w:hAnsi="Arial" w:cs="Arial"/>
          <w:sz w:val="16"/>
          <w:szCs w:val="16"/>
        </w:rPr>
        <w:t>Navas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075455F"/>
    <w:multiLevelType w:val="multilevel"/>
    <w:tmpl w:val="97C0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BF497F"/>
    <w:multiLevelType w:val="hybridMultilevel"/>
    <w:tmpl w:val="BD4A633C"/>
    <w:lvl w:ilvl="0" w:tplc="7BCA7ED8">
      <w:start w:val="1"/>
      <w:numFmt w:val="lowerLetter"/>
      <w:lvlText w:val="%1."/>
      <w:lvlJc w:val="left"/>
      <w:pPr>
        <w:ind w:left="110" w:hanging="455"/>
      </w:pPr>
      <w:rPr>
        <w:rFonts w:ascii="Arial" w:eastAsia="Arial" w:hAnsi="Arial" w:cs="Arial" w:hint="default"/>
        <w:color w:val="4E4D4D"/>
        <w:spacing w:val="-17"/>
        <w:w w:val="100"/>
        <w:sz w:val="22"/>
        <w:szCs w:val="22"/>
        <w:lang w:val="es-ES" w:eastAsia="en-US" w:bidi="ar-SA"/>
      </w:rPr>
    </w:lvl>
    <w:lvl w:ilvl="1" w:tplc="81AACB12">
      <w:numFmt w:val="bullet"/>
      <w:lvlText w:val="•"/>
      <w:lvlJc w:val="left"/>
      <w:pPr>
        <w:ind w:left="645" w:hanging="455"/>
      </w:pPr>
      <w:rPr>
        <w:rFonts w:hint="default"/>
        <w:lang w:val="es-ES" w:eastAsia="en-US" w:bidi="ar-SA"/>
      </w:rPr>
    </w:lvl>
    <w:lvl w:ilvl="2" w:tplc="E78691D6">
      <w:numFmt w:val="bullet"/>
      <w:lvlText w:val="•"/>
      <w:lvlJc w:val="left"/>
      <w:pPr>
        <w:ind w:left="1170" w:hanging="455"/>
      </w:pPr>
      <w:rPr>
        <w:rFonts w:hint="default"/>
        <w:lang w:val="es-ES" w:eastAsia="en-US" w:bidi="ar-SA"/>
      </w:rPr>
    </w:lvl>
    <w:lvl w:ilvl="3" w:tplc="5ABE9DF0">
      <w:numFmt w:val="bullet"/>
      <w:lvlText w:val="•"/>
      <w:lvlJc w:val="left"/>
      <w:pPr>
        <w:ind w:left="1696" w:hanging="455"/>
      </w:pPr>
      <w:rPr>
        <w:rFonts w:hint="default"/>
        <w:lang w:val="es-ES" w:eastAsia="en-US" w:bidi="ar-SA"/>
      </w:rPr>
    </w:lvl>
    <w:lvl w:ilvl="4" w:tplc="89BED12C">
      <w:numFmt w:val="bullet"/>
      <w:lvlText w:val="•"/>
      <w:lvlJc w:val="left"/>
      <w:pPr>
        <w:ind w:left="2221" w:hanging="455"/>
      </w:pPr>
      <w:rPr>
        <w:rFonts w:hint="default"/>
        <w:lang w:val="es-ES" w:eastAsia="en-US" w:bidi="ar-SA"/>
      </w:rPr>
    </w:lvl>
    <w:lvl w:ilvl="5" w:tplc="1634189C">
      <w:numFmt w:val="bullet"/>
      <w:lvlText w:val="•"/>
      <w:lvlJc w:val="left"/>
      <w:pPr>
        <w:ind w:left="2747" w:hanging="455"/>
      </w:pPr>
      <w:rPr>
        <w:rFonts w:hint="default"/>
        <w:lang w:val="es-ES" w:eastAsia="en-US" w:bidi="ar-SA"/>
      </w:rPr>
    </w:lvl>
    <w:lvl w:ilvl="6" w:tplc="623288BE">
      <w:numFmt w:val="bullet"/>
      <w:lvlText w:val="•"/>
      <w:lvlJc w:val="left"/>
      <w:pPr>
        <w:ind w:left="3272" w:hanging="455"/>
      </w:pPr>
      <w:rPr>
        <w:rFonts w:hint="default"/>
        <w:lang w:val="es-ES" w:eastAsia="en-US" w:bidi="ar-SA"/>
      </w:rPr>
    </w:lvl>
    <w:lvl w:ilvl="7" w:tplc="4E965FFC">
      <w:numFmt w:val="bullet"/>
      <w:lvlText w:val="•"/>
      <w:lvlJc w:val="left"/>
      <w:pPr>
        <w:ind w:left="3797" w:hanging="455"/>
      </w:pPr>
      <w:rPr>
        <w:rFonts w:hint="default"/>
        <w:lang w:val="es-ES" w:eastAsia="en-US" w:bidi="ar-SA"/>
      </w:rPr>
    </w:lvl>
    <w:lvl w:ilvl="8" w:tplc="B70A8408">
      <w:numFmt w:val="bullet"/>
      <w:lvlText w:val="•"/>
      <w:lvlJc w:val="left"/>
      <w:pPr>
        <w:ind w:left="4323" w:hanging="455"/>
      </w:pPr>
      <w:rPr>
        <w:rFonts w:hint="default"/>
        <w:lang w:val="es-ES" w:eastAsia="en-US" w:bidi="ar-SA"/>
      </w:rPr>
    </w:lvl>
  </w:abstractNum>
  <w:abstractNum w:abstractNumId="10" w15:restartNumberingAfterBreak="0">
    <w:nsid w:val="54EE025C"/>
    <w:multiLevelType w:val="multilevel"/>
    <w:tmpl w:val="A13E331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9642751"/>
    <w:multiLevelType w:val="multilevel"/>
    <w:tmpl w:val="2C12214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9FC5192"/>
    <w:multiLevelType w:val="hybridMultilevel"/>
    <w:tmpl w:val="362EECAE"/>
    <w:lvl w:ilvl="0" w:tplc="882EEF0C">
      <w:start w:val="1"/>
      <w:numFmt w:val="lowerLetter"/>
      <w:lvlText w:val="%1."/>
      <w:lvlJc w:val="left"/>
      <w:pPr>
        <w:ind w:left="110" w:hanging="270"/>
      </w:pPr>
      <w:rPr>
        <w:rFonts w:ascii="Arial" w:eastAsia="Arial" w:hAnsi="Arial" w:cs="Arial" w:hint="default"/>
        <w:color w:val="4E4D4D"/>
        <w:spacing w:val="-1"/>
        <w:w w:val="100"/>
        <w:sz w:val="22"/>
        <w:szCs w:val="22"/>
        <w:lang w:val="es-ES" w:eastAsia="en-US" w:bidi="ar-SA"/>
      </w:rPr>
    </w:lvl>
    <w:lvl w:ilvl="1" w:tplc="5E124FE4">
      <w:numFmt w:val="bullet"/>
      <w:lvlText w:val="•"/>
      <w:lvlJc w:val="left"/>
      <w:pPr>
        <w:ind w:left="645" w:hanging="270"/>
      </w:pPr>
      <w:rPr>
        <w:rFonts w:hint="default"/>
        <w:lang w:val="es-ES" w:eastAsia="en-US" w:bidi="ar-SA"/>
      </w:rPr>
    </w:lvl>
    <w:lvl w:ilvl="2" w:tplc="750A7CF6">
      <w:numFmt w:val="bullet"/>
      <w:lvlText w:val="•"/>
      <w:lvlJc w:val="left"/>
      <w:pPr>
        <w:ind w:left="1170" w:hanging="270"/>
      </w:pPr>
      <w:rPr>
        <w:rFonts w:hint="default"/>
        <w:lang w:val="es-ES" w:eastAsia="en-US" w:bidi="ar-SA"/>
      </w:rPr>
    </w:lvl>
    <w:lvl w:ilvl="3" w:tplc="489CE27A">
      <w:numFmt w:val="bullet"/>
      <w:lvlText w:val="•"/>
      <w:lvlJc w:val="left"/>
      <w:pPr>
        <w:ind w:left="1696" w:hanging="270"/>
      </w:pPr>
      <w:rPr>
        <w:rFonts w:hint="default"/>
        <w:lang w:val="es-ES" w:eastAsia="en-US" w:bidi="ar-SA"/>
      </w:rPr>
    </w:lvl>
    <w:lvl w:ilvl="4" w:tplc="EC4A7680">
      <w:numFmt w:val="bullet"/>
      <w:lvlText w:val="•"/>
      <w:lvlJc w:val="left"/>
      <w:pPr>
        <w:ind w:left="2221" w:hanging="270"/>
      </w:pPr>
      <w:rPr>
        <w:rFonts w:hint="default"/>
        <w:lang w:val="es-ES" w:eastAsia="en-US" w:bidi="ar-SA"/>
      </w:rPr>
    </w:lvl>
    <w:lvl w:ilvl="5" w:tplc="7974F6DC">
      <w:numFmt w:val="bullet"/>
      <w:lvlText w:val="•"/>
      <w:lvlJc w:val="left"/>
      <w:pPr>
        <w:ind w:left="2747" w:hanging="270"/>
      </w:pPr>
      <w:rPr>
        <w:rFonts w:hint="default"/>
        <w:lang w:val="es-ES" w:eastAsia="en-US" w:bidi="ar-SA"/>
      </w:rPr>
    </w:lvl>
    <w:lvl w:ilvl="6" w:tplc="00ECB0CA">
      <w:numFmt w:val="bullet"/>
      <w:lvlText w:val="•"/>
      <w:lvlJc w:val="left"/>
      <w:pPr>
        <w:ind w:left="3272" w:hanging="270"/>
      </w:pPr>
      <w:rPr>
        <w:rFonts w:hint="default"/>
        <w:lang w:val="es-ES" w:eastAsia="en-US" w:bidi="ar-SA"/>
      </w:rPr>
    </w:lvl>
    <w:lvl w:ilvl="7" w:tplc="C33C4C1E">
      <w:numFmt w:val="bullet"/>
      <w:lvlText w:val="•"/>
      <w:lvlJc w:val="left"/>
      <w:pPr>
        <w:ind w:left="3797" w:hanging="270"/>
      </w:pPr>
      <w:rPr>
        <w:rFonts w:hint="default"/>
        <w:lang w:val="es-ES" w:eastAsia="en-US" w:bidi="ar-SA"/>
      </w:rPr>
    </w:lvl>
    <w:lvl w:ilvl="8" w:tplc="ABFC7ED8">
      <w:numFmt w:val="bullet"/>
      <w:lvlText w:val="•"/>
      <w:lvlJc w:val="left"/>
      <w:pPr>
        <w:ind w:left="4323" w:hanging="270"/>
      </w:pPr>
      <w:rPr>
        <w:rFonts w:hint="default"/>
        <w:lang w:val="es-ES" w:eastAsia="en-US" w:bidi="ar-SA"/>
      </w:rPr>
    </w:lvl>
  </w:abstractNum>
  <w:abstractNum w:abstractNumId="13"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3259938">
    <w:abstractNumId w:val="6"/>
  </w:num>
  <w:num w:numId="2" w16cid:durableId="280304797">
    <w:abstractNumId w:val="2"/>
  </w:num>
  <w:num w:numId="3" w16cid:durableId="26688621">
    <w:abstractNumId w:val="4"/>
  </w:num>
  <w:num w:numId="4" w16cid:durableId="9535159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6259988">
    <w:abstractNumId w:val="2"/>
  </w:num>
  <w:num w:numId="6" w16cid:durableId="1922718144">
    <w:abstractNumId w:val="16"/>
  </w:num>
  <w:num w:numId="7" w16cid:durableId="231233362">
    <w:abstractNumId w:val="5"/>
  </w:num>
  <w:num w:numId="8" w16cid:durableId="684090452">
    <w:abstractNumId w:val="15"/>
  </w:num>
  <w:num w:numId="9" w16cid:durableId="1114250514">
    <w:abstractNumId w:val="7"/>
  </w:num>
  <w:num w:numId="10" w16cid:durableId="562523886">
    <w:abstractNumId w:val="14"/>
  </w:num>
  <w:num w:numId="11" w16cid:durableId="1923250079">
    <w:abstractNumId w:val="8"/>
  </w:num>
  <w:num w:numId="12" w16cid:durableId="880626795">
    <w:abstractNumId w:val="1"/>
  </w:num>
  <w:num w:numId="13" w16cid:durableId="148837024">
    <w:abstractNumId w:val="3"/>
  </w:num>
  <w:num w:numId="14" w16cid:durableId="776950096">
    <w:abstractNumId w:val="17"/>
  </w:num>
  <w:num w:numId="15" w16cid:durableId="1882865253">
    <w:abstractNumId w:val="13"/>
  </w:num>
  <w:num w:numId="16" w16cid:durableId="663976244">
    <w:abstractNumId w:val="0"/>
  </w:num>
  <w:num w:numId="17" w16cid:durableId="794250691">
    <w:abstractNumId w:val="10"/>
  </w:num>
  <w:num w:numId="18" w16cid:durableId="24332607">
    <w:abstractNumId w:val="12"/>
  </w:num>
  <w:num w:numId="19" w16cid:durableId="639842777">
    <w:abstractNumId w:val="9"/>
  </w:num>
  <w:num w:numId="20" w16cid:durableId="465331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07BB7"/>
    <w:rsid w:val="0002227F"/>
    <w:rsid w:val="00023547"/>
    <w:rsid w:val="00030EEF"/>
    <w:rsid w:val="00053A99"/>
    <w:rsid w:val="00053EAB"/>
    <w:rsid w:val="00054AAF"/>
    <w:rsid w:val="0006039F"/>
    <w:rsid w:val="00061B2A"/>
    <w:rsid w:val="000622E5"/>
    <w:rsid w:val="00082362"/>
    <w:rsid w:val="00091309"/>
    <w:rsid w:val="00093C5D"/>
    <w:rsid w:val="000A190A"/>
    <w:rsid w:val="000A683E"/>
    <w:rsid w:val="000B19B9"/>
    <w:rsid w:val="000B3DF2"/>
    <w:rsid w:val="000B40D5"/>
    <w:rsid w:val="000C1FC9"/>
    <w:rsid w:val="000C38CB"/>
    <w:rsid w:val="000D0334"/>
    <w:rsid w:val="000D42B6"/>
    <w:rsid w:val="000D7896"/>
    <w:rsid w:val="000E01B1"/>
    <w:rsid w:val="000F2276"/>
    <w:rsid w:val="000F6486"/>
    <w:rsid w:val="00125105"/>
    <w:rsid w:val="00127233"/>
    <w:rsid w:val="00137177"/>
    <w:rsid w:val="001424D6"/>
    <w:rsid w:val="00142F55"/>
    <w:rsid w:val="001433A7"/>
    <w:rsid w:val="00151C58"/>
    <w:rsid w:val="0016399C"/>
    <w:rsid w:val="00163C6C"/>
    <w:rsid w:val="001646DF"/>
    <w:rsid w:val="0017036E"/>
    <w:rsid w:val="00171061"/>
    <w:rsid w:val="00181167"/>
    <w:rsid w:val="001A054D"/>
    <w:rsid w:val="001B5B74"/>
    <w:rsid w:val="001C1189"/>
    <w:rsid w:val="001E2E18"/>
    <w:rsid w:val="001E4177"/>
    <w:rsid w:val="001F7DC6"/>
    <w:rsid w:val="001F7DCF"/>
    <w:rsid w:val="00200246"/>
    <w:rsid w:val="00202D25"/>
    <w:rsid w:val="002402F7"/>
    <w:rsid w:val="002421BB"/>
    <w:rsid w:val="0025183C"/>
    <w:rsid w:val="002707A2"/>
    <w:rsid w:val="002722C0"/>
    <w:rsid w:val="0028380A"/>
    <w:rsid w:val="002951A0"/>
    <w:rsid w:val="002962BC"/>
    <w:rsid w:val="0029726B"/>
    <w:rsid w:val="002A093D"/>
    <w:rsid w:val="002A0DD0"/>
    <w:rsid w:val="002A49AC"/>
    <w:rsid w:val="002A64FD"/>
    <w:rsid w:val="002C6430"/>
    <w:rsid w:val="002C6962"/>
    <w:rsid w:val="002C7A84"/>
    <w:rsid w:val="002D6437"/>
    <w:rsid w:val="002E4FD9"/>
    <w:rsid w:val="002F28B6"/>
    <w:rsid w:val="002F38FB"/>
    <w:rsid w:val="002F6AB0"/>
    <w:rsid w:val="002F7310"/>
    <w:rsid w:val="0030619B"/>
    <w:rsid w:val="00320CF3"/>
    <w:rsid w:val="00322A85"/>
    <w:rsid w:val="00326F1B"/>
    <w:rsid w:val="00335DDC"/>
    <w:rsid w:val="00340B9A"/>
    <w:rsid w:val="003434CC"/>
    <w:rsid w:val="003448F4"/>
    <w:rsid w:val="003463EA"/>
    <w:rsid w:val="003640F8"/>
    <w:rsid w:val="00365D97"/>
    <w:rsid w:val="00374F5E"/>
    <w:rsid w:val="00377E3E"/>
    <w:rsid w:val="00381B35"/>
    <w:rsid w:val="003A779E"/>
    <w:rsid w:val="003C1265"/>
    <w:rsid w:val="003D05E1"/>
    <w:rsid w:val="003D0F4D"/>
    <w:rsid w:val="003D54B9"/>
    <w:rsid w:val="003D5B0D"/>
    <w:rsid w:val="003E0499"/>
    <w:rsid w:val="003E1F8D"/>
    <w:rsid w:val="003F3941"/>
    <w:rsid w:val="003F7023"/>
    <w:rsid w:val="00401BCF"/>
    <w:rsid w:val="004061E0"/>
    <w:rsid w:val="00406575"/>
    <w:rsid w:val="00406AED"/>
    <w:rsid w:val="00422D9C"/>
    <w:rsid w:val="00423693"/>
    <w:rsid w:val="0042419D"/>
    <w:rsid w:val="004271E8"/>
    <w:rsid w:val="0042722E"/>
    <w:rsid w:val="00441E68"/>
    <w:rsid w:val="00442ECC"/>
    <w:rsid w:val="004455AD"/>
    <w:rsid w:val="00465E67"/>
    <w:rsid w:val="00466A97"/>
    <w:rsid w:val="004703A8"/>
    <w:rsid w:val="00482474"/>
    <w:rsid w:val="00487565"/>
    <w:rsid w:val="0049613D"/>
    <w:rsid w:val="004A1847"/>
    <w:rsid w:val="004A305D"/>
    <w:rsid w:val="004B09D2"/>
    <w:rsid w:val="004B112F"/>
    <w:rsid w:val="004C3641"/>
    <w:rsid w:val="004C42A0"/>
    <w:rsid w:val="004D48AA"/>
    <w:rsid w:val="004E2048"/>
    <w:rsid w:val="004F21C4"/>
    <w:rsid w:val="004F685F"/>
    <w:rsid w:val="00500AE7"/>
    <w:rsid w:val="00502E2A"/>
    <w:rsid w:val="00505967"/>
    <w:rsid w:val="00514E5C"/>
    <w:rsid w:val="00521EB4"/>
    <w:rsid w:val="005405F1"/>
    <w:rsid w:val="00540A32"/>
    <w:rsid w:val="005421B8"/>
    <w:rsid w:val="005423EA"/>
    <w:rsid w:val="00544ABC"/>
    <w:rsid w:val="005558BB"/>
    <w:rsid w:val="005563D4"/>
    <w:rsid w:val="005566E8"/>
    <w:rsid w:val="00557E02"/>
    <w:rsid w:val="0056381F"/>
    <w:rsid w:val="00573F32"/>
    <w:rsid w:val="00574867"/>
    <w:rsid w:val="0058336D"/>
    <w:rsid w:val="005909F7"/>
    <w:rsid w:val="00591460"/>
    <w:rsid w:val="005A2340"/>
    <w:rsid w:val="005B2E12"/>
    <w:rsid w:val="005B5A1E"/>
    <w:rsid w:val="005C3777"/>
    <w:rsid w:val="005C5CDC"/>
    <w:rsid w:val="005D476C"/>
    <w:rsid w:val="005E5E8D"/>
    <w:rsid w:val="00605695"/>
    <w:rsid w:val="006123FF"/>
    <w:rsid w:val="006219F8"/>
    <w:rsid w:val="00641298"/>
    <w:rsid w:val="00654047"/>
    <w:rsid w:val="00665D70"/>
    <w:rsid w:val="00666061"/>
    <w:rsid w:val="006702A2"/>
    <w:rsid w:val="006716CC"/>
    <w:rsid w:val="006842F5"/>
    <w:rsid w:val="006900D9"/>
    <w:rsid w:val="00695386"/>
    <w:rsid w:val="006A7812"/>
    <w:rsid w:val="006A7F6C"/>
    <w:rsid w:val="006B3AAE"/>
    <w:rsid w:val="006E2520"/>
    <w:rsid w:val="006E3648"/>
    <w:rsid w:val="006E56FD"/>
    <w:rsid w:val="006E57A3"/>
    <w:rsid w:val="006F7953"/>
    <w:rsid w:val="00706C16"/>
    <w:rsid w:val="00714276"/>
    <w:rsid w:val="007209FB"/>
    <w:rsid w:val="00731AED"/>
    <w:rsid w:val="00736B3F"/>
    <w:rsid w:val="00756841"/>
    <w:rsid w:val="007649AB"/>
    <w:rsid w:val="00771D0C"/>
    <w:rsid w:val="00772E2D"/>
    <w:rsid w:val="0077674F"/>
    <w:rsid w:val="00777D64"/>
    <w:rsid w:val="007833AC"/>
    <w:rsid w:val="00783750"/>
    <w:rsid w:val="007845D3"/>
    <w:rsid w:val="00796C2F"/>
    <w:rsid w:val="007B1889"/>
    <w:rsid w:val="007B268C"/>
    <w:rsid w:val="007B4420"/>
    <w:rsid w:val="007B7171"/>
    <w:rsid w:val="007C3DC2"/>
    <w:rsid w:val="007D4319"/>
    <w:rsid w:val="007E32B9"/>
    <w:rsid w:val="007E5497"/>
    <w:rsid w:val="00805CA8"/>
    <w:rsid w:val="00806F5F"/>
    <w:rsid w:val="00820278"/>
    <w:rsid w:val="00881C35"/>
    <w:rsid w:val="00882450"/>
    <w:rsid w:val="008843B6"/>
    <w:rsid w:val="00887340"/>
    <w:rsid w:val="00891928"/>
    <w:rsid w:val="00896153"/>
    <w:rsid w:val="008966E6"/>
    <w:rsid w:val="008A446D"/>
    <w:rsid w:val="008C11C5"/>
    <w:rsid w:val="008C14AF"/>
    <w:rsid w:val="008C3E5A"/>
    <w:rsid w:val="008D180B"/>
    <w:rsid w:val="008E19AF"/>
    <w:rsid w:val="008F0E74"/>
    <w:rsid w:val="008F0EA7"/>
    <w:rsid w:val="008F3C61"/>
    <w:rsid w:val="00901274"/>
    <w:rsid w:val="00903A0D"/>
    <w:rsid w:val="00923EEF"/>
    <w:rsid w:val="0093227E"/>
    <w:rsid w:val="0093751F"/>
    <w:rsid w:val="009419F9"/>
    <w:rsid w:val="009420A4"/>
    <w:rsid w:val="00946943"/>
    <w:rsid w:val="00946B02"/>
    <w:rsid w:val="0094771E"/>
    <w:rsid w:val="009557BB"/>
    <w:rsid w:val="00961B09"/>
    <w:rsid w:val="00965334"/>
    <w:rsid w:val="0097093E"/>
    <w:rsid w:val="009758B3"/>
    <w:rsid w:val="00977514"/>
    <w:rsid w:val="00994F24"/>
    <w:rsid w:val="00997D3D"/>
    <w:rsid w:val="009A6685"/>
    <w:rsid w:val="009A6976"/>
    <w:rsid w:val="009B2293"/>
    <w:rsid w:val="009B3420"/>
    <w:rsid w:val="009C71FA"/>
    <w:rsid w:val="009C72E7"/>
    <w:rsid w:val="009E58A8"/>
    <w:rsid w:val="009E76FB"/>
    <w:rsid w:val="009F3A13"/>
    <w:rsid w:val="00A06322"/>
    <w:rsid w:val="00A122D3"/>
    <w:rsid w:val="00A12BDF"/>
    <w:rsid w:val="00A131A5"/>
    <w:rsid w:val="00A15B19"/>
    <w:rsid w:val="00A17F13"/>
    <w:rsid w:val="00A20739"/>
    <w:rsid w:val="00A327BF"/>
    <w:rsid w:val="00A33C78"/>
    <w:rsid w:val="00A51DE8"/>
    <w:rsid w:val="00A56366"/>
    <w:rsid w:val="00A707AA"/>
    <w:rsid w:val="00A85745"/>
    <w:rsid w:val="00AA5E23"/>
    <w:rsid w:val="00AB02C6"/>
    <w:rsid w:val="00AB0625"/>
    <w:rsid w:val="00AB0ADB"/>
    <w:rsid w:val="00AB7C81"/>
    <w:rsid w:val="00AC3F47"/>
    <w:rsid w:val="00AC4E09"/>
    <w:rsid w:val="00AD739F"/>
    <w:rsid w:val="00AE0327"/>
    <w:rsid w:val="00AE5E95"/>
    <w:rsid w:val="00AF0559"/>
    <w:rsid w:val="00AF7C80"/>
    <w:rsid w:val="00B0298D"/>
    <w:rsid w:val="00B04999"/>
    <w:rsid w:val="00B1043A"/>
    <w:rsid w:val="00B2127A"/>
    <w:rsid w:val="00B21F31"/>
    <w:rsid w:val="00B2338A"/>
    <w:rsid w:val="00B36DAA"/>
    <w:rsid w:val="00B477D9"/>
    <w:rsid w:val="00B5142C"/>
    <w:rsid w:val="00B72CD3"/>
    <w:rsid w:val="00B72FFF"/>
    <w:rsid w:val="00B73DBE"/>
    <w:rsid w:val="00B74773"/>
    <w:rsid w:val="00B81D63"/>
    <w:rsid w:val="00B97D55"/>
    <w:rsid w:val="00BB0C20"/>
    <w:rsid w:val="00BC1608"/>
    <w:rsid w:val="00BC3D36"/>
    <w:rsid w:val="00BD7F72"/>
    <w:rsid w:val="00BE4AC4"/>
    <w:rsid w:val="00BF3C0F"/>
    <w:rsid w:val="00C04FB3"/>
    <w:rsid w:val="00C10B46"/>
    <w:rsid w:val="00C13176"/>
    <w:rsid w:val="00C24939"/>
    <w:rsid w:val="00C330EB"/>
    <w:rsid w:val="00C47466"/>
    <w:rsid w:val="00C50669"/>
    <w:rsid w:val="00C54CC2"/>
    <w:rsid w:val="00C633A0"/>
    <w:rsid w:val="00C754BE"/>
    <w:rsid w:val="00C75DE1"/>
    <w:rsid w:val="00C76B1C"/>
    <w:rsid w:val="00C87787"/>
    <w:rsid w:val="00CB6357"/>
    <w:rsid w:val="00CC1512"/>
    <w:rsid w:val="00CC1B26"/>
    <w:rsid w:val="00CD1B68"/>
    <w:rsid w:val="00CD5EFB"/>
    <w:rsid w:val="00CF0A7B"/>
    <w:rsid w:val="00CF38C7"/>
    <w:rsid w:val="00D00D03"/>
    <w:rsid w:val="00D13A97"/>
    <w:rsid w:val="00D347D3"/>
    <w:rsid w:val="00D423A2"/>
    <w:rsid w:val="00D63AC2"/>
    <w:rsid w:val="00D709BF"/>
    <w:rsid w:val="00D7383B"/>
    <w:rsid w:val="00D7397C"/>
    <w:rsid w:val="00DA231B"/>
    <w:rsid w:val="00DA2809"/>
    <w:rsid w:val="00DB2A80"/>
    <w:rsid w:val="00DC149E"/>
    <w:rsid w:val="00DD0A27"/>
    <w:rsid w:val="00DE237E"/>
    <w:rsid w:val="00DE3BD2"/>
    <w:rsid w:val="00DF5254"/>
    <w:rsid w:val="00E16408"/>
    <w:rsid w:val="00E20894"/>
    <w:rsid w:val="00E23195"/>
    <w:rsid w:val="00E245AB"/>
    <w:rsid w:val="00E26613"/>
    <w:rsid w:val="00E2764C"/>
    <w:rsid w:val="00E27F2E"/>
    <w:rsid w:val="00E3650F"/>
    <w:rsid w:val="00E508FC"/>
    <w:rsid w:val="00E50AFE"/>
    <w:rsid w:val="00E57900"/>
    <w:rsid w:val="00E64886"/>
    <w:rsid w:val="00E771DC"/>
    <w:rsid w:val="00E8772A"/>
    <w:rsid w:val="00E90F6B"/>
    <w:rsid w:val="00E92C27"/>
    <w:rsid w:val="00E97D30"/>
    <w:rsid w:val="00EA0E3D"/>
    <w:rsid w:val="00EA61DF"/>
    <w:rsid w:val="00EB3A1B"/>
    <w:rsid w:val="00EE1AA8"/>
    <w:rsid w:val="00EE4E56"/>
    <w:rsid w:val="00EE62CB"/>
    <w:rsid w:val="00EF5A42"/>
    <w:rsid w:val="00F15889"/>
    <w:rsid w:val="00F158BE"/>
    <w:rsid w:val="00F20DA7"/>
    <w:rsid w:val="00F31EDC"/>
    <w:rsid w:val="00F462B3"/>
    <w:rsid w:val="00F46F5D"/>
    <w:rsid w:val="00F54D36"/>
    <w:rsid w:val="00F5664F"/>
    <w:rsid w:val="00F574BE"/>
    <w:rsid w:val="00F66522"/>
    <w:rsid w:val="00F666C4"/>
    <w:rsid w:val="00F70C47"/>
    <w:rsid w:val="00F75062"/>
    <w:rsid w:val="00F76AFC"/>
    <w:rsid w:val="00F85912"/>
    <w:rsid w:val="00FB0655"/>
    <w:rsid w:val="00FB5DD1"/>
    <w:rsid w:val="00FB63C9"/>
    <w:rsid w:val="00FC2B5D"/>
    <w:rsid w:val="00FC76B0"/>
    <w:rsid w:val="00FF1449"/>
    <w:rsid w:val="00FF146A"/>
    <w:rsid w:val="00FF4EAA"/>
    <w:rsid w:val="0A02007B"/>
    <w:rsid w:val="27A719FD"/>
    <w:rsid w:val="44ADBD72"/>
    <w:rsid w:val="49DC5889"/>
    <w:rsid w:val="5D153DE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9"/>
    <w:qFormat/>
    <w:rsid w:val="00F1588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D48AA"/>
    <w:pPr>
      <w:spacing w:line="240" w:lineRule="exact"/>
      <w:jc w:val="both"/>
    </w:pPr>
    <w:rPr>
      <w:vertAlign w:val="superscript"/>
    </w:rPr>
  </w:style>
  <w:style w:type="character" w:styleId="Textoennegrita">
    <w:name w:val="Strong"/>
    <w:basedOn w:val="Fuentedeprrafopredeter"/>
    <w:uiPriority w:val="22"/>
    <w:qFormat/>
    <w:rsid w:val="004D48AA"/>
    <w:rPr>
      <w:b/>
      <w:bCs/>
    </w:rPr>
  </w:style>
  <w:style w:type="character" w:styleId="nfasis">
    <w:name w:val="Emphasis"/>
    <w:basedOn w:val="Fuentedeprrafopredeter"/>
    <w:uiPriority w:val="20"/>
    <w:qFormat/>
    <w:rsid w:val="004D48AA"/>
    <w:rPr>
      <w:i/>
      <w:iCs/>
    </w:rPr>
  </w:style>
  <w:style w:type="table" w:customStyle="1" w:styleId="NormalTable0">
    <w:name w:val="Normal Table0"/>
    <w:uiPriority w:val="2"/>
    <w:semiHidden/>
    <w:unhideWhenUsed/>
    <w:qFormat/>
    <w:rsid w:val="004D48A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D48AA"/>
    <w:pPr>
      <w:widowControl w:val="0"/>
      <w:autoSpaceDE w:val="0"/>
      <w:autoSpaceDN w:val="0"/>
      <w:spacing w:after="0" w:line="240" w:lineRule="auto"/>
      <w:ind w:left="110"/>
    </w:pPr>
    <w:rPr>
      <w:rFonts w:ascii="Arial" w:eastAsia="Arial" w:hAnsi="Arial" w:cs="Arial"/>
      <w:lang w:val="es-ES"/>
    </w:rPr>
  </w:style>
  <w:style w:type="paragraph" w:styleId="Textoindependiente">
    <w:name w:val="Body Text"/>
    <w:basedOn w:val="Normal"/>
    <w:link w:val="TextoindependienteCar"/>
    <w:uiPriority w:val="1"/>
    <w:qFormat/>
    <w:rsid w:val="004D48A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4D48AA"/>
    <w:rPr>
      <w:rFonts w:ascii="Arial" w:eastAsia="Arial" w:hAnsi="Arial" w:cs="Arial"/>
      <w:lang w:val="es-ES"/>
    </w:rPr>
  </w:style>
  <w:style w:type="table" w:customStyle="1" w:styleId="Tablaconcuadrcula11">
    <w:name w:val="Tabla con cuadrícula11"/>
    <w:basedOn w:val="Tablanormal"/>
    <w:next w:val="Tablaconcuadrcula"/>
    <w:uiPriority w:val="59"/>
    <w:rsid w:val="004D48A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4D48AA"/>
    <w:pPr>
      <w:spacing w:after="0" w:line="240" w:lineRule="auto"/>
    </w:pPr>
  </w:style>
  <w:style w:type="character" w:styleId="Refdecomentario">
    <w:name w:val="annotation reference"/>
    <w:basedOn w:val="Fuentedeprrafopredeter"/>
    <w:uiPriority w:val="99"/>
    <w:semiHidden/>
    <w:unhideWhenUsed/>
    <w:rsid w:val="00881C35"/>
    <w:rPr>
      <w:sz w:val="16"/>
      <w:szCs w:val="16"/>
    </w:rPr>
  </w:style>
  <w:style w:type="paragraph" w:styleId="Textocomentario">
    <w:name w:val="annotation text"/>
    <w:basedOn w:val="Normal"/>
    <w:link w:val="TextocomentarioCar"/>
    <w:uiPriority w:val="99"/>
    <w:unhideWhenUsed/>
    <w:rsid w:val="00881C35"/>
    <w:pPr>
      <w:spacing w:line="240" w:lineRule="auto"/>
    </w:pPr>
    <w:rPr>
      <w:sz w:val="20"/>
      <w:szCs w:val="20"/>
    </w:rPr>
  </w:style>
  <w:style w:type="character" w:customStyle="1" w:styleId="TextocomentarioCar">
    <w:name w:val="Texto comentario Car"/>
    <w:basedOn w:val="Fuentedeprrafopredeter"/>
    <w:link w:val="Textocomentario"/>
    <w:uiPriority w:val="99"/>
    <w:rsid w:val="00881C35"/>
    <w:rPr>
      <w:sz w:val="20"/>
      <w:szCs w:val="20"/>
    </w:rPr>
  </w:style>
  <w:style w:type="paragraph" w:styleId="Asuntodelcomentario">
    <w:name w:val="annotation subject"/>
    <w:basedOn w:val="Textocomentario"/>
    <w:next w:val="Textocomentario"/>
    <w:link w:val="AsuntodelcomentarioCar"/>
    <w:uiPriority w:val="99"/>
    <w:semiHidden/>
    <w:unhideWhenUsed/>
    <w:rsid w:val="00881C35"/>
    <w:rPr>
      <w:b/>
      <w:bCs/>
    </w:rPr>
  </w:style>
  <w:style w:type="character" w:customStyle="1" w:styleId="AsuntodelcomentarioCar">
    <w:name w:val="Asunto del comentario Car"/>
    <w:basedOn w:val="TextocomentarioCar"/>
    <w:link w:val="Asuntodelcomentario"/>
    <w:uiPriority w:val="99"/>
    <w:semiHidden/>
    <w:rsid w:val="00881C35"/>
    <w:rPr>
      <w:b/>
      <w:bCs/>
      <w:sz w:val="20"/>
      <w:szCs w:val="20"/>
    </w:rPr>
  </w:style>
  <w:style w:type="character" w:customStyle="1" w:styleId="Ttulo1Car">
    <w:name w:val="Título 1 Car"/>
    <w:basedOn w:val="Fuentedeprrafopredeter"/>
    <w:link w:val="Ttulo1"/>
    <w:uiPriority w:val="9"/>
    <w:rsid w:val="00F15889"/>
    <w:rPr>
      <w:rFonts w:ascii="Times New Roman" w:eastAsia="Times New Roman" w:hAnsi="Times New Roman" w:cs="Times New Roman"/>
      <w:b/>
      <w:bCs/>
      <w:kern w:val="36"/>
      <w:sz w:val="48"/>
      <w:szCs w:val="48"/>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78254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67687767">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s/cce_guia_liquidacion_procesos.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ae15d26-076e-464e-81a7-6f76a0fb3917" xsi:nil="true"/>
    <lcf76f155ced4ddcb4097134ff3c332f xmlns="cabc2350-70b2-4dba-bb42-96a3175f4d5a">
      <Terms xmlns="http://schemas.microsoft.com/office/infopath/2007/PartnerControls"/>
    </lcf76f155ced4ddcb4097134ff3c332f>
    <SharedWithUsers xmlns="8ae15d26-076e-464e-81a7-6f76a0fb3917">
      <UserInfo>
        <DisplayName>Kelmis Yimara Bruges Alvarado</DisplayName>
        <AccountId>739</AccountId>
        <AccountType/>
      </UserInfo>
      <UserInfo>
        <DisplayName>Ximena Ríos López</DisplayName>
        <AccountId>48</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AEA84CFFEBAA943834E3DE46A2E1FCD" ma:contentTypeVersion="15" ma:contentTypeDescription="Crear nuevo documento." ma:contentTypeScope="" ma:versionID="4005c6eff25bcf6a670094955cadbb19">
  <xsd:schema xmlns:xsd="http://www.w3.org/2001/XMLSchema" xmlns:xs="http://www.w3.org/2001/XMLSchema" xmlns:p="http://schemas.microsoft.com/office/2006/metadata/properties" xmlns:ns2="cabc2350-70b2-4dba-bb42-96a3175f4d5a" xmlns:ns3="8ae15d26-076e-464e-81a7-6f76a0fb3917" targetNamespace="http://schemas.microsoft.com/office/2006/metadata/properties" ma:root="true" ma:fieldsID="cfc19de0a1878e58da989b69a22230e6" ns2:_="" ns3:_="">
    <xsd:import namespace="cabc2350-70b2-4dba-bb42-96a3175f4d5a"/>
    <xsd:import namespace="8ae15d26-076e-464e-81a7-6f76a0fb391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c2350-70b2-4dba-bb42-96a3175f4d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http://purl.org/dc/terms/"/>
    <ds:schemaRef ds:uri="8ae15d26-076e-464e-81a7-6f76a0fb3917"/>
    <ds:schemaRef ds:uri="http://www.w3.org/XML/1998/namespace"/>
    <ds:schemaRef ds:uri="http://purl.org/dc/elements/1.1/"/>
    <ds:schemaRef ds:uri="http://schemas.microsoft.com/office/2006/metadata/properties"/>
    <ds:schemaRef ds:uri="cabc2350-70b2-4dba-bb42-96a3175f4d5a"/>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465BA0A6-4AFA-4D2D-94DF-B97B1E88D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bc2350-70b2-4dba-bb42-96a3175f4d5a"/>
    <ds:schemaRef ds:uri="8ae15d26-076e-464e-81a7-6f76a0fb3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C5099188-FB9E-4275-9529-90E104ADD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6518</Words>
  <Characters>35851</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42285</CharactersWithSpaces>
  <SharedDoc>false</SharedDoc>
  <HLinks>
    <vt:vector size="12" baseType="variant">
      <vt:variant>
        <vt:i4>8257615</vt:i4>
      </vt:variant>
      <vt:variant>
        <vt:i4>3</vt:i4>
      </vt:variant>
      <vt:variant>
        <vt:i4>0</vt:i4>
      </vt:variant>
      <vt:variant>
        <vt:i4>5</vt:i4>
      </vt:variant>
      <vt:variant>
        <vt:lpwstr>https://www.colombiacompra.gov.co/sites/cce_public/files/cce_documents/cce_guia_liquidacion_procesos.pdf</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2024-05-27T13:43:00Z</dcterms:created>
  <dcterms:modified xsi:type="dcterms:W3CDTF">2024-05-27T13:43:00Z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0x0101005AEA84CFFEBAA943834E3DE46A2E1FCD</vt:lpwstr>
  </property>
  <property fmtid="{D5CDD505-2E9C-101B-9397-08002B2CF9AE}" pid="3" name="MediaServiceImageTags">
    <vt:lpwstr/>
  </property>
</Properties>
</file>