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E914D1" w14:textId="1214E9ED" w:rsidR="00834D75" w:rsidRPr="004E350C" w:rsidRDefault="00834D75" w:rsidP="003A6660">
      <w:pPr>
        <w:spacing w:line="240" w:lineRule="auto"/>
        <w:jc w:val="both"/>
        <w:rPr>
          <w:rFonts w:ascii="Arial" w:eastAsia="Calibri" w:hAnsi="Arial" w:cs="Arial"/>
          <w:b/>
          <w:bCs/>
        </w:rPr>
      </w:pPr>
      <w:bookmarkStart w:id="0" w:name="_Hlk28946138"/>
      <w:bookmarkStart w:id="1" w:name="_Hlk29548183"/>
      <w:bookmarkStart w:id="2" w:name="_Hlk29890381"/>
      <w:r w:rsidRPr="004E350C">
        <w:rPr>
          <w:rFonts w:ascii="Arial" w:eastAsia="Calibri" w:hAnsi="Arial" w:cs="Arial"/>
          <w:b/>
          <w:bCs/>
        </w:rPr>
        <w:t>DOCUMENTOS TIPO – I</w:t>
      </w:r>
      <w:r w:rsidR="005F51F1" w:rsidRPr="004E350C">
        <w:rPr>
          <w:rFonts w:ascii="Arial" w:eastAsia="Calibri" w:hAnsi="Arial" w:cs="Arial"/>
          <w:b/>
          <w:bCs/>
        </w:rPr>
        <w:t>nalterabilidad</w:t>
      </w:r>
    </w:p>
    <w:p w14:paraId="0AD0948F" w14:textId="64BFBEFC" w:rsidR="00670375" w:rsidRPr="004E350C" w:rsidRDefault="00AF7120" w:rsidP="00670375">
      <w:pPr>
        <w:spacing w:after="0" w:line="240" w:lineRule="auto"/>
        <w:jc w:val="both"/>
        <w:rPr>
          <w:rFonts w:ascii="Arial" w:eastAsia="Calibri" w:hAnsi="Arial" w:cs="Arial"/>
          <w:sz w:val="20"/>
          <w:szCs w:val="20"/>
        </w:rPr>
      </w:pPr>
      <w:r w:rsidRPr="004E350C">
        <w:rPr>
          <w:rFonts w:ascii="Arial" w:eastAsia="Calibri" w:hAnsi="Arial" w:cs="Arial"/>
          <w:sz w:val="20"/>
          <w:szCs w:val="20"/>
        </w:rPr>
        <w:t>L</w:t>
      </w:r>
      <w:r w:rsidR="00C06C55" w:rsidRPr="004E350C">
        <w:rPr>
          <w:rFonts w:ascii="Arial" w:eastAsia="Calibri" w:hAnsi="Arial" w:cs="Arial"/>
          <w:sz w:val="20"/>
          <w:szCs w:val="20"/>
        </w:rPr>
        <w:t>a Agencia Nacional de Contratación Pública ― Colombia Compra Eficiente, actualizó los Documentos Tipo  para los procesos de selección de licitación de obra pública de infraestructura de transporte  introduciendo su tercera versión mediant</w:t>
      </w:r>
      <w:r w:rsidR="00592147" w:rsidRPr="004E350C">
        <w:rPr>
          <w:rFonts w:ascii="Arial" w:eastAsia="Calibri" w:hAnsi="Arial" w:cs="Arial"/>
          <w:sz w:val="20"/>
          <w:szCs w:val="20"/>
        </w:rPr>
        <w:t>e la  Resolución No 240 de 2020</w:t>
      </w:r>
      <w:r w:rsidR="00C06C55" w:rsidRPr="004E350C">
        <w:rPr>
          <w:rFonts w:ascii="Arial" w:eastAsia="Calibri" w:hAnsi="Arial" w:cs="Arial"/>
          <w:sz w:val="20"/>
          <w:szCs w:val="20"/>
        </w:rPr>
        <w:t xml:space="preserve">, precisando en sus  artículos 2 y 3 la obligatoriedad de los parámetros contenidos en </w:t>
      </w:r>
      <w:r w:rsidR="0070512C" w:rsidRPr="004E350C">
        <w:rPr>
          <w:rFonts w:ascii="Arial" w:eastAsia="Calibri" w:hAnsi="Arial" w:cs="Arial"/>
          <w:sz w:val="20"/>
          <w:szCs w:val="20"/>
        </w:rPr>
        <w:t>los mismos y su inalterabilidad</w:t>
      </w:r>
      <w:r w:rsidR="00C06C55" w:rsidRPr="004E350C">
        <w:rPr>
          <w:rFonts w:ascii="Arial" w:eastAsia="Calibri" w:hAnsi="Arial" w:cs="Arial"/>
          <w:sz w:val="20"/>
          <w:szCs w:val="20"/>
        </w:rPr>
        <w:t>, de modo que es deber de las entidades sometidas al Estatuto General de la Contratación de la Administración Pública utilizar los Documentos Tipo en los procesos de selección que adelanten, quedando vedadas de la posibilidad de efectuar modificaciones a las condiciones habilitantes, factores de escogencia y sistemas de ponderación contenidos en los mismos, por lo que solo podrán realizar modifiaciones en los lugares en que expresamente lo establezcan los Documentos Tipo.</w:t>
      </w:r>
    </w:p>
    <w:p w14:paraId="7EDFE486" w14:textId="77777777" w:rsidR="00C06C55" w:rsidRPr="004E350C" w:rsidRDefault="00C06C55" w:rsidP="00670375">
      <w:pPr>
        <w:spacing w:after="0" w:line="240" w:lineRule="auto"/>
        <w:jc w:val="both"/>
        <w:rPr>
          <w:rFonts w:ascii="Arial" w:eastAsia="Calibri" w:hAnsi="Arial" w:cs="Arial"/>
          <w:b/>
          <w:sz w:val="20"/>
          <w:szCs w:val="20"/>
        </w:rPr>
      </w:pPr>
    </w:p>
    <w:p w14:paraId="6E4ED9D2" w14:textId="74E3FA54" w:rsidR="00834D75" w:rsidRPr="004E350C" w:rsidRDefault="00947768" w:rsidP="003A6660">
      <w:pPr>
        <w:spacing w:line="240" w:lineRule="auto"/>
        <w:jc w:val="both"/>
        <w:rPr>
          <w:rFonts w:ascii="Arial" w:eastAsia="Calibri" w:hAnsi="Arial" w:cs="Arial"/>
          <w:b/>
        </w:rPr>
      </w:pPr>
      <w:r w:rsidRPr="004E350C">
        <w:rPr>
          <w:rFonts w:ascii="Arial" w:eastAsia="Calibri" w:hAnsi="Arial" w:cs="Arial"/>
          <w:b/>
        </w:rPr>
        <w:t xml:space="preserve">FORMATOS </w:t>
      </w:r>
      <w:r w:rsidR="00834D75" w:rsidRPr="004E350C">
        <w:rPr>
          <w:rFonts w:ascii="Arial" w:eastAsia="Calibri" w:hAnsi="Arial" w:cs="Arial"/>
          <w:b/>
        </w:rPr>
        <w:t xml:space="preserve">FACTOR CALIDAD – </w:t>
      </w:r>
      <w:r w:rsidRPr="004E350C">
        <w:rPr>
          <w:rFonts w:ascii="Arial" w:eastAsia="Calibri" w:hAnsi="Arial" w:cs="Arial"/>
          <w:b/>
        </w:rPr>
        <w:t xml:space="preserve">Inalterabilidad – </w:t>
      </w:r>
      <w:r w:rsidR="00B56652" w:rsidRPr="004E350C">
        <w:rPr>
          <w:rFonts w:ascii="Arial" w:eastAsia="Calibri" w:hAnsi="Arial" w:cs="Arial"/>
          <w:b/>
        </w:rPr>
        <w:t>Formatos  7A, 7B, 7C y 7D</w:t>
      </w:r>
      <w:r w:rsidR="005602FE" w:rsidRPr="004E350C">
        <w:rPr>
          <w:rFonts w:ascii="Arial" w:eastAsia="Calibri" w:hAnsi="Arial" w:cs="Arial"/>
          <w:b/>
        </w:rPr>
        <w:t xml:space="preserve"> –– Suficiencia para obtención de puntaje </w:t>
      </w:r>
    </w:p>
    <w:p w14:paraId="5C36FF4A" w14:textId="5F96F871" w:rsidR="00B56652" w:rsidRPr="004E350C" w:rsidRDefault="005602FE" w:rsidP="00B56652">
      <w:pPr>
        <w:autoSpaceDE w:val="0"/>
        <w:autoSpaceDN w:val="0"/>
        <w:adjustRightInd w:val="0"/>
        <w:spacing w:after="0" w:line="240" w:lineRule="auto"/>
        <w:jc w:val="both"/>
        <w:rPr>
          <w:rFonts w:ascii="Arial" w:eastAsia="Calibri" w:hAnsi="Arial" w:cs="Arial"/>
          <w:bCs/>
          <w:sz w:val="20"/>
          <w:szCs w:val="20"/>
        </w:rPr>
      </w:pPr>
      <w:r w:rsidRPr="004E350C">
        <w:rPr>
          <w:rFonts w:ascii="Arial" w:eastAsia="Calibri" w:hAnsi="Arial" w:cs="Arial"/>
          <w:bCs/>
          <w:sz w:val="20"/>
          <w:szCs w:val="20"/>
        </w:rPr>
        <w:t>T</w:t>
      </w:r>
      <w:r w:rsidR="00B56652" w:rsidRPr="004E350C">
        <w:rPr>
          <w:rFonts w:ascii="Arial" w:eastAsia="Calibri" w:hAnsi="Arial" w:cs="Arial"/>
          <w:bCs/>
          <w:sz w:val="20"/>
          <w:szCs w:val="20"/>
        </w:rPr>
        <w:t>odos los formatos  como parte integral de los «Documentos Tipo», ostentan las características de obligatoriedad e inalterabilidad que los distingue, salvo en aquellos aspectos donde expresamente se faculte a las entidades contratantes o a los proponentes para su diligenciamiento, como ocurre con los espacios señalados entre corchetes y resaltados en gris, en consecuencia,  no se admite injerencia alguna para efectos de adición o supresión de los elementos que consagran, por lo que tampoco es viable la exigencia de documentación adicional.</w:t>
      </w:r>
    </w:p>
    <w:p w14:paraId="3DC5F63F" w14:textId="77777777" w:rsidR="005602FE" w:rsidRPr="004E350C" w:rsidRDefault="005602FE" w:rsidP="00B56652">
      <w:pPr>
        <w:autoSpaceDE w:val="0"/>
        <w:autoSpaceDN w:val="0"/>
        <w:adjustRightInd w:val="0"/>
        <w:spacing w:after="0" w:line="240" w:lineRule="auto"/>
        <w:jc w:val="both"/>
        <w:rPr>
          <w:rFonts w:ascii="Arial" w:eastAsia="Calibri" w:hAnsi="Arial" w:cs="Arial"/>
          <w:bCs/>
          <w:sz w:val="20"/>
          <w:szCs w:val="20"/>
        </w:rPr>
      </w:pPr>
    </w:p>
    <w:p w14:paraId="182A4CB1" w14:textId="26FFB3CC" w:rsidR="00B56652" w:rsidRPr="004E350C" w:rsidRDefault="00B56652" w:rsidP="00B56652">
      <w:pPr>
        <w:autoSpaceDE w:val="0"/>
        <w:autoSpaceDN w:val="0"/>
        <w:adjustRightInd w:val="0"/>
        <w:spacing w:after="0" w:line="240" w:lineRule="auto"/>
        <w:jc w:val="both"/>
        <w:rPr>
          <w:rFonts w:ascii="Arial" w:eastAsia="Calibri" w:hAnsi="Arial" w:cs="Arial"/>
          <w:bCs/>
          <w:sz w:val="20"/>
          <w:szCs w:val="20"/>
        </w:rPr>
      </w:pPr>
      <w:r w:rsidRPr="004E350C">
        <w:rPr>
          <w:rFonts w:ascii="Arial" w:eastAsia="Calibri" w:hAnsi="Arial" w:cs="Arial"/>
          <w:bCs/>
          <w:sz w:val="20"/>
          <w:szCs w:val="20"/>
        </w:rPr>
        <w:t>De lo anterior se desprende que, el único documento requerido para otorgar el puntaje frente al factor de calidad es la suscripción del formato que corresponda, de acuerdo con las opciones seleccionadas por la entidad estatal</w:t>
      </w:r>
      <w:r w:rsidR="002979ED" w:rsidRPr="004E350C">
        <w:rPr>
          <w:rFonts w:ascii="Arial" w:eastAsia="Calibri" w:hAnsi="Arial" w:cs="Arial"/>
          <w:bCs/>
          <w:sz w:val="20"/>
          <w:szCs w:val="20"/>
        </w:rPr>
        <w:t xml:space="preserve">, </w:t>
      </w:r>
      <w:r w:rsidRPr="004E350C">
        <w:rPr>
          <w:rFonts w:ascii="Arial" w:eastAsia="Calibri" w:hAnsi="Arial" w:cs="Arial"/>
          <w:bCs/>
          <w:sz w:val="20"/>
          <w:szCs w:val="20"/>
        </w:rPr>
        <w:t>en consecuencia</w:t>
      </w:r>
      <w:r w:rsidR="002979ED" w:rsidRPr="004E350C">
        <w:rPr>
          <w:rFonts w:ascii="Arial" w:eastAsia="Calibri" w:hAnsi="Arial" w:cs="Arial"/>
          <w:bCs/>
          <w:sz w:val="20"/>
          <w:szCs w:val="20"/>
        </w:rPr>
        <w:t>,</w:t>
      </w:r>
      <w:r w:rsidRPr="004E350C">
        <w:rPr>
          <w:rFonts w:ascii="Arial" w:eastAsia="Calibri" w:hAnsi="Arial" w:cs="Arial"/>
          <w:bCs/>
          <w:sz w:val="20"/>
          <w:szCs w:val="20"/>
        </w:rPr>
        <w:t xml:space="preserve"> no resulta viable exigir a los proponentes documentos adicionales para que se otorgue el puntaje de factor de calidad durante el procedimiento de selección.</w:t>
      </w:r>
    </w:p>
    <w:p w14:paraId="4912DC1D" w14:textId="77777777" w:rsidR="00834D75" w:rsidRPr="004E350C" w:rsidRDefault="00834D75" w:rsidP="003A6660">
      <w:pPr>
        <w:autoSpaceDE w:val="0"/>
        <w:autoSpaceDN w:val="0"/>
        <w:adjustRightInd w:val="0"/>
        <w:spacing w:after="0" w:line="240" w:lineRule="auto"/>
        <w:jc w:val="both"/>
        <w:rPr>
          <w:rFonts w:ascii="Arial" w:eastAsia="Calibri" w:hAnsi="Arial" w:cs="Arial"/>
          <w:bCs/>
          <w:sz w:val="20"/>
          <w:szCs w:val="20"/>
        </w:rPr>
      </w:pPr>
    </w:p>
    <w:p w14:paraId="739312E8" w14:textId="770FCAF8" w:rsidR="00834D75" w:rsidRPr="004E350C" w:rsidRDefault="00834D75" w:rsidP="003A6660">
      <w:pPr>
        <w:autoSpaceDE w:val="0"/>
        <w:autoSpaceDN w:val="0"/>
        <w:adjustRightInd w:val="0"/>
        <w:spacing w:after="0" w:line="240" w:lineRule="auto"/>
        <w:jc w:val="both"/>
        <w:rPr>
          <w:rFonts w:ascii="Arial" w:eastAsia="Calibri" w:hAnsi="Arial" w:cs="Arial"/>
          <w:b/>
          <w:bCs/>
        </w:rPr>
      </w:pPr>
      <w:r w:rsidRPr="004E350C">
        <w:rPr>
          <w:rFonts w:ascii="Arial" w:eastAsia="Calibri" w:hAnsi="Arial" w:cs="Arial"/>
          <w:b/>
          <w:bCs/>
        </w:rPr>
        <w:t xml:space="preserve">BUENA FE </w:t>
      </w:r>
      <w:r w:rsidR="005F51F1" w:rsidRPr="004E350C">
        <w:rPr>
          <w:rFonts w:ascii="Arial" w:eastAsia="Calibri" w:hAnsi="Arial" w:cs="Arial"/>
          <w:b/>
          <w:bCs/>
        </w:rPr>
        <w:t>‒ Contratación estatal</w:t>
      </w:r>
      <w:r w:rsidRPr="004E350C">
        <w:rPr>
          <w:rFonts w:ascii="Arial" w:eastAsia="Calibri" w:hAnsi="Arial" w:cs="Arial"/>
          <w:b/>
          <w:bCs/>
        </w:rPr>
        <w:t xml:space="preserve"> </w:t>
      </w:r>
      <w:r w:rsidR="005F51F1" w:rsidRPr="004E350C">
        <w:rPr>
          <w:rFonts w:ascii="Arial" w:eastAsia="Calibri" w:hAnsi="Arial" w:cs="Arial"/>
          <w:b/>
          <w:bCs/>
        </w:rPr>
        <w:t>‒ Factor de calidad</w:t>
      </w:r>
      <w:r w:rsidRPr="004E350C">
        <w:rPr>
          <w:rFonts w:ascii="Arial" w:eastAsia="Calibri" w:hAnsi="Arial" w:cs="Arial"/>
          <w:b/>
          <w:bCs/>
        </w:rPr>
        <w:t xml:space="preserve"> </w:t>
      </w:r>
    </w:p>
    <w:p w14:paraId="6C494E55" w14:textId="77777777" w:rsidR="00834D75" w:rsidRPr="004E350C" w:rsidRDefault="00834D75" w:rsidP="003A6660">
      <w:pPr>
        <w:autoSpaceDE w:val="0"/>
        <w:autoSpaceDN w:val="0"/>
        <w:adjustRightInd w:val="0"/>
        <w:spacing w:after="0" w:line="240" w:lineRule="auto"/>
        <w:jc w:val="both"/>
        <w:rPr>
          <w:rFonts w:ascii="Arial" w:eastAsia="Calibri" w:hAnsi="Arial" w:cs="Arial"/>
          <w:bCs/>
          <w:sz w:val="20"/>
          <w:szCs w:val="20"/>
        </w:rPr>
      </w:pPr>
    </w:p>
    <w:p w14:paraId="534EFD0D" w14:textId="03204DCA" w:rsidR="00834D75" w:rsidRPr="004E350C" w:rsidRDefault="00834D75" w:rsidP="003A6660">
      <w:pPr>
        <w:autoSpaceDE w:val="0"/>
        <w:autoSpaceDN w:val="0"/>
        <w:adjustRightInd w:val="0"/>
        <w:spacing w:after="0" w:line="240" w:lineRule="auto"/>
        <w:jc w:val="both"/>
        <w:rPr>
          <w:rFonts w:ascii="Arial" w:eastAsia="Calibri" w:hAnsi="Arial" w:cs="Arial"/>
          <w:bCs/>
          <w:sz w:val="20"/>
          <w:szCs w:val="20"/>
        </w:rPr>
      </w:pPr>
      <w:r w:rsidRPr="004E350C">
        <w:rPr>
          <w:rFonts w:ascii="Arial" w:eastAsia="Calibri" w:hAnsi="Arial" w:cs="Arial"/>
          <w:bCs/>
          <w:sz w:val="20"/>
          <w:szCs w:val="20"/>
        </w:rPr>
        <w:t>La buena fe se ha instituido como principio rector de los contratos civiles, comerciales y estatales, en estos últimos reviste una indiscutible importancia, máxime cuando está de por medio el interés general, entendiéndose como un desarrollo del principio de planeación, en virtud del cual, el proponente honrando su palabra mediante la gravedad de juramento, deberá cumplir con las condiciones precisadas, razón por la que el diligenciamiento de</w:t>
      </w:r>
      <w:r w:rsidR="005602FE" w:rsidRPr="004E350C">
        <w:rPr>
          <w:rFonts w:ascii="Arial" w:eastAsia="Calibri" w:hAnsi="Arial" w:cs="Arial"/>
          <w:bCs/>
          <w:sz w:val="20"/>
          <w:szCs w:val="20"/>
        </w:rPr>
        <w:t xml:space="preserve"> los formatos establecidos para la acreditación del factor calidad durante los procesos de selección </w:t>
      </w:r>
      <w:r w:rsidRPr="004E350C">
        <w:rPr>
          <w:rFonts w:ascii="Arial" w:eastAsia="Calibri" w:hAnsi="Arial" w:cs="Arial"/>
          <w:bCs/>
          <w:sz w:val="20"/>
          <w:szCs w:val="20"/>
        </w:rPr>
        <w:t xml:space="preserve">resultará suficiente para la obtención del puntaje asignado por la </w:t>
      </w:r>
      <w:r w:rsidR="005602FE" w:rsidRPr="004E350C">
        <w:rPr>
          <w:rFonts w:ascii="Arial" w:eastAsia="Calibri" w:hAnsi="Arial" w:cs="Arial"/>
          <w:bCs/>
          <w:sz w:val="20"/>
          <w:szCs w:val="20"/>
        </w:rPr>
        <w:t>e</w:t>
      </w:r>
      <w:r w:rsidRPr="004E350C">
        <w:rPr>
          <w:rFonts w:ascii="Arial" w:eastAsia="Calibri" w:hAnsi="Arial" w:cs="Arial"/>
          <w:bCs/>
          <w:sz w:val="20"/>
          <w:szCs w:val="20"/>
        </w:rPr>
        <w:t xml:space="preserve">ntidad en cada </w:t>
      </w:r>
      <w:r w:rsidR="005602FE" w:rsidRPr="004E350C">
        <w:rPr>
          <w:rFonts w:ascii="Arial" w:eastAsia="Calibri" w:hAnsi="Arial" w:cs="Arial"/>
          <w:bCs/>
          <w:sz w:val="20"/>
          <w:szCs w:val="20"/>
        </w:rPr>
        <w:t xml:space="preserve">caso, </w:t>
      </w:r>
      <w:r w:rsidRPr="004E350C">
        <w:rPr>
          <w:rFonts w:ascii="Arial" w:eastAsia="Calibri" w:hAnsi="Arial" w:cs="Arial"/>
          <w:bCs/>
          <w:sz w:val="20"/>
          <w:szCs w:val="20"/>
        </w:rPr>
        <w:t>cristalizándose la presunción de buena fe que se predica del actuar de la administración y de los particulares.</w:t>
      </w:r>
    </w:p>
    <w:p w14:paraId="184EC466" w14:textId="77777777" w:rsidR="00834D75" w:rsidRPr="004E350C" w:rsidRDefault="00834D75" w:rsidP="003A6660">
      <w:pPr>
        <w:autoSpaceDE w:val="0"/>
        <w:autoSpaceDN w:val="0"/>
        <w:adjustRightInd w:val="0"/>
        <w:spacing w:after="0" w:line="240" w:lineRule="auto"/>
        <w:rPr>
          <w:rFonts w:ascii="Arial" w:eastAsia="Calibri" w:hAnsi="Arial" w:cs="Arial"/>
          <w:sz w:val="20"/>
          <w:szCs w:val="20"/>
        </w:rPr>
      </w:pPr>
    </w:p>
    <w:p w14:paraId="20D14D61" w14:textId="48AD7576" w:rsidR="002D6C05" w:rsidRPr="004E350C" w:rsidRDefault="002979ED" w:rsidP="003A6660">
      <w:pPr>
        <w:autoSpaceDE w:val="0"/>
        <w:autoSpaceDN w:val="0"/>
        <w:adjustRightInd w:val="0"/>
        <w:spacing w:after="0" w:line="240" w:lineRule="auto"/>
        <w:rPr>
          <w:rFonts w:ascii="Arial" w:eastAsia="Calibri" w:hAnsi="Arial" w:cs="Arial"/>
          <w:b/>
          <w:bCs/>
        </w:rPr>
      </w:pPr>
      <w:r w:rsidRPr="004E350C">
        <w:rPr>
          <w:rFonts w:ascii="Arial" w:eastAsia="Calibri" w:hAnsi="Arial" w:cs="Arial"/>
          <w:b/>
          <w:bCs/>
        </w:rPr>
        <w:t xml:space="preserve">FACTOR CALIDAD – Ofrecimiento </w:t>
      </w:r>
      <w:r w:rsidR="003F05B2">
        <w:rPr>
          <w:rFonts w:ascii="Arial" w:eastAsia="Calibri" w:hAnsi="Arial" w:cs="Arial"/>
          <w:b/>
          <w:bCs/>
        </w:rPr>
        <w:t>– O</w:t>
      </w:r>
      <w:r w:rsidRPr="004E350C">
        <w:rPr>
          <w:rFonts w:ascii="Arial" w:eastAsia="Calibri" w:hAnsi="Arial" w:cs="Arial"/>
          <w:b/>
          <w:bCs/>
        </w:rPr>
        <w:t>bligación contractual</w:t>
      </w:r>
    </w:p>
    <w:p w14:paraId="0E90ED2E" w14:textId="77777777" w:rsidR="002979ED" w:rsidRPr="004E350C" w:rsidRDefault="002979ED" w:rsidP="003A6660">
      <w:pPr>
        <w:autoSpaceDE w:val="0"/>
        <w:autoSpaceDN w:val="0"/>
        <w:adjustRightInd w:val="0"/>
        <w:spacing w:after="0" w:line="240" w:lineRule="auto"/>
        <w:rPr>
          <w:rFonts w:ascii="Arial" w:eastAsia="Calibri" w:hAnsi="Arial" w:cs="Arial"/>
          <w:sz w:val="20"/>
          <w:szCs w:val="20"/>
        </w:rPr>
      </w:pPr>
    </w:p>
    <w:p w14:paraId="1892514A" w14:textId="52F6DD10" w:rsidR="002D6C05" w:rsidRPr="004E350C" w:rsidRDefault="002979ED" w:rsidP="002979ED">
      <w:pPr>
        <w:autoSpaceDE w:val="0"/>
        <w:autoSpaceDN w:val="0"/>
        <w:adjustRightInd w:val="0"/>
        <w:spacing w:after="0" w:line="240" w:lineRule="auto"/>
        <w:jc w:val="both"/>
        <w:rPr>
          <w:rFonts w:ascii="Arial" w:eastAsia="Calibri" w:hAnsi="Arial" w:cs="Arial"/>
          <w:sz w:val="20"/>
          <w:szCs w:val="20"/>
        </w:rPr>
      </w:pPr>
      <w:r w:rsidRPr="004E350C">
        <w:rPr>
          <w:rFonts w:ascii="Arial" w:eastAsia="Calibri" w:hAnsi="Arial" w:cs="Arial"/>
          <w:sz w:val="20"/>
          <w:szCs w:val="20"/>
        </w:rPr>
        <w:t xml:space="preserve">Los ofrecimientos realizados en relación con los factores de calidad mencionados se convierten en una obligación contractual y se deben cumplir, so pena de que se impongan las sanciones pactadas en el contrato, como, por ejemplo, la multa o la cláusula penal por este incumplimiento, de acuerdo con el contenido de cada contrato. Asimismo, el artículo 1603 del Código Civil indica que los contratos deben ejecutarse de buena fe y, por consiguiente, obligan no solo a lo que en ellos se expresa, sino a todas cosas que emanan de la naturaleza de la obligación, o que por la ley pertenecen a ella. </w:t>
      </w:r>
    </w:p>
    <w:p w14:paraId="40454F90" w14:textId="77777777" w:rsidR="002D6C05" w:rsidRPr="004E350C" w:rsidRDefault="002D6C05" w:rsidP="003A6660">
      <w:pPr>
        <w:autoSpaceDE w:val="0"/>
        <w:autoSpaceDN w:val="0"/>
        <w:adjustRightInd w:val="0"/>
        <w:spacing w:after="0" w:line="240" w:lineRule="auto"/>
        <w:rPr>
          <w:rFonts w:ascii="Arial" w:eastAsia="Calibri" w:hAnsi="Arial" w:cs="Arial"/>
          <w:sz w:val="20"/>
          <w:szCs w:val="20"/>
        </w:rPr>
      </w:pPr>
    </w:p>
    <w:p w14:paraId="78A42E7B" w14:textId="77777777" w:rsidR="006E7044" w:rsidRDefault="006E7044" w:rsidP="006903E5">
      <w:pPr>
        <w:tabs>
          <w:tab w:val="left" w:pos="3374"/>
        </w:tabs>
        <w:spacing w:after="0"/>
        <w:rPr>
          <w:rFonts w:ascii="Arial" w:hAnsi="Arial" w:cs="Arial"/>
        </w:rPr>
      </w:pPr>
    </w:p>
    <w:p w14:paraId="5CF7B663" w14:textId="5727EECC" w:rsidR="006E7044" w:rsidRDefault="006E7044" w:rsidP="006E7044">
      <w:pPr>
        <w:tabs>
          <w:tab w:val="left" w:pos="3374"/>
        </w:tabs>
        <w:spacing w:after="0"/>
        <w:jc w:val="right"/>
        <w:rPr>
          <w:rFonts w:ascii="Arial" w:hAnsi="Arial" w:cs="Arial"/>
        </w:rPr>
      </w:pPr>
      <w:r>
        <w:drawing>
          <wp:inline distT="0" distB="0" distL="0" distR="0" wp14:anchorId="3200F1FC" wp14:editId="69501D45">
            <wp:extent cx="2438400" cy="600075"/>
            <wp:effectExtent l="0" t="0" r="0" b="952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438400" cy="600075"/>
                    </a:xfrm>
                    <a:prstGeom prst="rect">
                      <a:avLst/>
                    </a:prstGeom>
                  </pic:spPr>
                </pic:pic>
              </a:graphicData>
            </a:graphic>
          </wp:inline>
        </w:drawing>
      </w:r>
    </w:p>
    <w:p w14:paraId="39F64AAC" w14:textId="17EFC624" w:rsidR="006E7044" w:rsidRDefault="006E7044" w:rsidP="006E7044">
      <w:pPr>
        <w:tabs>
          <w:tab w:val="left" w:pos="3374"/>
        </w:tabs>
        <w:spacing w:after="0"/>
        <w:jc w:val="right"/>
        <w:rPr>
          <w:rFonts w:ascii="Arial" w:hAnsi="Arial" w:cs="Arial"/>
        </w:rPr>
      </w:pPr>
      <w:r>
        <w:t>CCE-DES-FM-17</w:t>
      </w:r>
    </w:p>
    <w:p w14:paraId="19C184F3" w14:textId="77777777" w:rsidR="006E7044" w:rsidRDefault="006E7044" w:rsidP="006903E5">
      <w:pPr>
        <w:tabs>
          <w:tab w:val="left" w:pos="3374"/>
        </w:tabs>
        <w:spacing w:after="0"/>
        <w:rPr>
          <w:rFonts w:ascii="Arial" w:hAnsi="Arial" w:cs="Arial"/>
        </w:rPr>
      </w:pPr>
    </w:p>
    <w:p w14:paraId="1922B605" w14:textId="6C7F4C59" w:rsidR="00614939" w:rsidRPr="004E350C" w:rsidRDefault="00863104" w:rsidP="006903E5">
      <w:pPr>
        <w:tabs>
          <w:tab w:val="left" w:pos="3374"/>
        </w:tabs>
        <w:spacing w:after="0"/>
        <w:rPr>
          <w:rFonts w:ascii="Arial" w:eastAsia="Calibri" w:hAnsi="Arial" w:cs="Arial"/>
        </w:rPr>
      </w:pPr>
      <w:r w:rsidRPr="004E350C">
        <w:rPr>
          <w:rFonts w:ascii="Arial" w:hAnsi="Arial" w:cs="Arial"/>
        </w:rPr>
        <w:t>Bogotá,</w:t>
      </w:r>
      <w:r w:rsidR="00F76893">
        <w:rPr>
          <w:rFonts w:ascii="Arial" w:hAnsi="Arial" w:cs="Arial"/>
        </w:rPr>
        <w:t xml:space="preserve"> 13 de septiembre de 2021</w:t>
      </w:r>
    </w:p>
    <w:p w14:paraId="1782FB34" w14:textId="66F546D6" w:rsidR="00614939" w:rsidRDefault="00614939" w:rsidP="006903E5">
      <w:pPr>
        <w:tabs>
          <w:tab w:val="left" w:pos="3374"/>
        </w:tabs>
        <w:spacing w:after="0"/>
        <w:rPr>
          <w:rFonts w:ascii="Arial" w:eastAsia="Calibri" w:hAnsi="Arial" w:cs="Arial"/>
        </w:rPr>
      </w:pPr>
    </w:p>
    <w:p w14:paraId="6AAB6E1C" w14:textId="77777777" w:rsidR="00B66066" w:rsidRPr="004E350C" w:rsidRDefault="00B66066" w:rsidP="006903E5">
      <w:pPr>
        <w:tabs>
          <w:tab w:val="left" w:pos="3374"/>
        </w:tabs>
        <w:spacing w:after="0"/>
        <w:rPr>
          <w:rFonts w:ascii="Arial" w:eastAsia="Calibri" w:hAnsi="Arial" w:cs="Arial"/>
        </w:rPr>
      </w:pPr>
    </w:p>
    <w:p w14:paraId="052F7AA9" w14:textId="47579345" w:rsidR="00834D75" w:rsidRPr="004E350C" w:rsidRDefault="00834D75" w:rsidP="003A6660">
      <w:pPr>
        <w:spacing w:after="0" w:line="240" w:lineRule="auto"/>
        <w:rPr>
          <w:rFonts w:ascii="Arial" w:eastAsia="Calibri" w:hAnsi="Arial" w:cs="Arial"/>
          <w:bCs/>
        </w:rPr>
      </w:pPr>
      <w:r w:rsidRPr="004E350C">
        <w:rPr>
          <w:rFonts w:ascii="Arial" w:eastAsia="Calibri" w:hAnsi="Arial" w:cs="Arial"/>
          <w:bCs/>
        </w:rPr>
        <w:t>Señor</w:t>
      </w:r>
      <w:r w:rsidR="00AB6E6E" w:rsidRPr="004E350C">
        <w:rPr>
          <w:rFonts w:ascii="Arial" w:eastAsia="Calibri" w:hAnsi="Arial" w:cs="Arial"/>
          <w:bCs/>
        </w:rPr>
        <w:t>a</w:t>
      </w:r>
    </w:p>
    <w:p w14:paraId="2B2A2E5D" w14:textId="2F715F65" w:rsidR="00311CFA" w:rsidRPr="004E350C" w:rsidRDefault="00311CFA" w:rsidP="003A6660">
      <w:pPr>
        <w:spacing w:after="0" w:line="240" w:lineRule="auto"/>
        <w:rPr>
          <w:rFonts w:ascii="Arial" w:eastAsia="Calibri" w:hAnsi="Arial" w:cs="Arial"/>
          <w:b/>
        </w:rPr>
      </w:pPr>
      <w:r w:rsidRPr="004E350C">
        <w:rPr>
          <w:rFonts w:ascii="Arial" w:eastAsia="Calibri" w:hAnsi="Arial" w:cs="Arial"/>
          <w:b/>
        </w:rPr>
        <w:t>Yamile Lizeth Eulegelo Romero</w:t>
      </w:r>
    </w:p>
    <w:p w14:paraId="401ECCFF" w14:textId="027DB234" w:rsidR="00834D75" w:rsidRPr="004E350C" w:rsidRDefault="00834D75" w:rsidP="003A6660">
      <w:pPr>
        <w:spacing w:after="0" w:line="240" w:lineRule="auto"/>
        <w:rPr>
          <w:rFonts w:ascii="Arial" w:eastAsia="Calibri" w:hAnsi="Arial" w:cs="Arial"/>
          <w:lang w:val="pl-PL"/>
        </w:rPr>
      </w:pPr>
      <w:r w:rsidRPr="004E350C">
        <w:rPr>
          <w:rFonts w:ascii="Arial" w:eastAsia="Calibri" w:hAnsi="Arial" w:cs="Arial"/>
        </w:rPr>
        <w:t>Ciudad</w:t>
      </w:r>
    </w:p>
    <w:p w14:paraId="5AE449D6" w14:textId="6B62C53D" w:rsidR="00834D75" w:rsidRPr="004E350C" w:rsidRDefault="00311CFA" w:rsidP="003A6660">
      <w:pPr>
        <w:spacing w:after="0" w:line="240" w:lineRule="auto"/>
        <w:rPr>
          <w:rFonts w:ascii="Arial" w:eastAsia="Calibri" w:hAnsi="Arial" w:cs="Arial"/>
        </w:rPr>
      </w:pPr>
      <w:r w:rsidRPr="004E350C">
        <w:rPr>
          <w:rFonts w:ascii="Arial" w:eastAsia="Calibri" w:hAnsi="Arial" w:cs="Arial"/>
        </w:rPr>
        <w:t>yamilizeth_08@hotmail.com</w:t>
      </w:r>
    </w:p>
    <w:p w14:paraId="4735B6DC" w14:textId="32772996" w:rsidR="00311CFA" w:rsidRPr="004E350C" w:rsidRDefault="00311CFA" w:rsidP="003A6660">
      <w:pPr>
        <w:spacing w:after="0" w:line="240" w:lineRule="auto"/>
        <w:rPr>
          <w:rFonts w:ascii="Arial" w:eastAsia="Calibri" w:hAnsi="Arial" w:cs="Arial"/>
          <w:lang w:val="pl-PL"/>
        </w:rPr>
      </w:pPr>
    </w:p>
    <w:p w14:paraId="20832B8C" w14:textId="77777777" w:rsidR="00311CFA" w:rsidRPr="004E350C" w:rsidRDefault="00311CFA" w:rsidP="003A6660">
      <w:pPr>
        <w:spacing w:after="0" w:line="240" w:lineRule="auto"/>
        <w:rPr>
          <w:rFonts w:ascii="Arial" w:eastAsia="Calibri" w:hAnsi="Arial" w:cs="Arial"/>
          <w:lang w:val="pl-PL"/>
        </w:rPr>
      </w:pPr>
    </w:p>
    <w:p w14:paraId="02F16C64" w14:textId="6B11F31E" w:rsidR="00834D75" w:rsidRPr="004E350C" w:rsidRDefault="00834D75" w:rsidP="003A6660">
      <w:pPr>
        <w:spacing w:after="0" w:line="240" w:lineRule="auto"/>
        <w:rPr>
          <w:rFonts w:ascii="Arial" w:eastAsia="Calibri" w:hAnsi="Arial" w:cs="Arial"/>
          <w:b/>
        </w:rPr>
      </w:pPr>
      <w:r w:rsidRPr="004E350C">
        <w:rPr>
          <w:rFonts w:ascii="Arial" w:eastAsia="Calibri" w:hAnsi="Arial" w:cs="Arial"/>
          <w:b/>
        </w:rPr>
        <w:t xml:space="preserve">                                            Concepto C –</w:t>
      </w:r>
      <w:r w:rsidR="00311CFA" w:rsidRPr="004E350C">
        <w:rPr>
          <w:rFonts w:ascii="Arial" w:eastAsia="Calibri" w:hAnsi="Arial" w:cs="Arial"/>
          <w:b/>
        </w:rPr>
        <w:t xml:space="preserve"> </w:t>
      </w:r>
      <w:r w:rsidR="00472609">
        <w:rPr>
          <w:rFonts w:ascii="Arial" w:eastAsia="Calibri" w:hAnsi="Arial" w:cs="Arial"/>
          <w:b/>
        </w:rPr>
        <w:t>430</w:t>
      </w:r>
      <w:r w:rsidR="00311CFA" w:rsidRPr="004E350C">
        <w:rPr>
          <w:rFonts w:ascii="Arial" w:eastAsia="Calibri" w:hAnsi="Arial" w:cs="Arial"/>
          <w:b/>
        </w:rPr>
        <w:t xml:space="preserve"> </w:t>
      </w:r>
      <w:r w:rsidRPr="004E350C">
        <w:rPr>
          <w:rFonts w:ascii="Arial" w:eastAsia="Calibri" w:hAnsi="Arial" w:cs="Arial"/>
          <w:b/>
        </w:rPr>
        <w:t>de 2021</w:t>
      </w:r>
    </w:p>
    <w:p w14:paraId="02D7DD0C" w14:textId="77777777" w:rsidR="00834D75" w:rsidRPr="004E350C" w:rsidRDefault="00834D75" w:rsidP="003A6660">
      <w:pPr>
        <w:spacing w:after="0" w:line="240" w:lineRule="auto"/>
        <w:rPr>
          <w:rFonts w:ascii="Arial" w:eastAsia="Calibri" w:hAnsi="Arial" w:cs="Arial"/>
          <w:b/>
        </w:rPr>
      </w:pPr>
    </w:p>
    <w:tbl>
      <w:tblPr>
        <w:tblStyle w:val="Tablaconcuadrcula1"/>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675AEA" w:rsidRPr="004E350C" w14:paraId="112058F9" w14:textId="77777777" w:rsidTr="005D2E72">
        <w:trPr>
          <w:trHeight w:val="1038"/>
        </w:trPr>
        <w:tc>
          <w:tcPr>
            <w:tcW w:w="2689" w:type="dxa"/>
            <w:hideMark/>
          </w:tcPr>
          <w:p w14:paraId="2E47C8FD" w14:textId="77777777" w:rsidR="00675AEA" w:rsidRPr="004E350C" w:rsidRDefault="00675AEA" w:rsidP="002B3C9F">
            <w:pPr>
              <w:jc w:val="both"/>
              <w:rPr>
                <w:rFonts w:ascii="Arial" w:eastAsia="Calibri" w:hAnsi="Arial" w:cs="Arial"/>
                <w:b/>
              </w:rPr>
            </w:pPr>
            <w:r w:rsidRPr="004E350C">
              <w:rPr>
                <w:rFonts w:ascii="Arial" w:eastAsia="Calibri" w:hAnsi="Arial" w:cs="Arial"/>
                <w:b/>
              </w:rPr>
              <w:t>Temas:</w:t>
            </w:r>
          </w:p>
        </w:tc>
        <w:tc>
          <w:tcPr>
            <w:tcW w:w="6237" w:type="dxa"/>
            <w:hideMark/>
          </w:tcPr>
          <w:p w14:paraId="440DC27E" w14:textId="2AA8B924" w:rsidR="007E0DFC" w:rsidRPr="004E350C" w:rsidRDefault="00675AEA" w:rsidP="007E0DFC">
            <w:pPr>
              <w:autoSpaceDE w:val="0"/>
              <w:autoSpaceDN w:val="0"/>
              <w:adjustRightInd w:val="0"/>
              <w:rPr>
                <w:rFonts w:ascii="Arial" w:eastAsia="Calibri" w:hAnsi="Arial" w:cs="Arial"/>
                <w:b/>
                <w:bCs/>
              </w:rPr>
            </w:pPr>
            <w:r w:rsidRPr="004E350C">
              <w:rPr>
                <w:rFonts w:ascii="Arial" w:eastAsia="Calibri" w:hAnsi="Arial" w:cs="Arial"/>
              </w:rPr>
              <w:t>DOCUMENTOS TIPO  – I</w:t>
            </w:r>
            <w:r w:rsidR="002979ED" w:rsidRPr="004E350C">
              <w:rPr>
                <w:rFonts w:ascii="Arial" w:eastAsia="Calibri" w:hAnsi="Arial" w:cs="Arial"/>
              </w:rPr>
              <w:t>nalterabilidad / FACTOR CALIDAD –  – Formatos  7A, 7B, 7C y 7D – Suficiencia para obtención de puntaje</w:t>
            </w:r>
            <w:r w:rsidR="007E0DFC">
              <w:rPr>
                <w:rFonts w:ascii="Arial" w:eastAsia="Calibri" w:hAnsi="Arial" w:cs="Arial"/>
              </w:rPr>
              <w:t xml:space="preserve"> </w:t>
            </w:r>
            <w:r w:rsidR="002979ED" w:rsidRPr="004E350C">
              <w:rPr>
                <w:rFonts w:ascii="Arial" w:eastAsia="Calibri" w:hAnsi="Arial" w:cs="Arial"/>
              </w:rPr>
              <w:t>/ BUENA FE ‒ Contratación estatal – Factor calidad</w:t>
            </w:r>
            <w:r w:rsidR="007E0DFC">
              <w:rPr>
                <w:rFonts w:ascii="Arial" w:eastAsia="Calibri" w:hAnsi="Arial" w:cs="Arial"/>
              </w:rPr>
              <w:t xml:space="preserve"> / </w:t>
            </w:r>
            <w:r w:rsidR="007E0DFC" w:rsidRPr="007E0DFC">
              <w:rPr>
                <w:rFonts w:ascii="Arial" w:eastAsia="Calibri" w:hAnsi="Arial" w:cs="Arial"/>
              </w:rPr>
              <w:t xml:space="preserve">FACTOR CALIDAD – Ofrecimiento </w:t>
            </w:r>
            <w:r w:rsidR="003F05B2">
              <w:rPr>
                <w:rFonts w:ascii="Arial" w:eastAsia="Calibri" w:hAnsi="Arial" w:cs="Arial"/>
              </w:rPr>
              <w:t xml:space="preserve">– </w:t>
            </w:r>
            <w:r w:rsidR="003F05B2" w:rsidRPr="003F05B2">
              <w:rPr>
                <w:rFonts w:ascii="Arial" w:eastAsia="Calibri" w:hAnsi="Arial" w:cs="Arial"/>
              </w:rPr>
              <w:t>Obligación contractual</w:t>
            </w:r>
          </w:p>
          <w:p w14:paraId="3BC3584D" w14:textId="5EEB41F9" w:rsidR="002979ED" w:rsidRPr="004E350C" w:rsidRDefault="002979ED" w:rsidP="002979ED">
            <w:pPr>
              <w:jc w:val="both"/>
              <w:rPr>
                <w:rFonts w:ascii="Arial" w:eastAsia="Calibri" w:hAnsi="Arial" w:cs="Arial"/>
              </w:rPr>
            </w:pPr>
          </w:p>
          <w:p w14:paraId="12F66228" w14:textId="501F57B1" w:rsidR="00675AEA" w:rsidRPr="004E350C" w:rsidRDefault="00675AEA" w:rsidP="00675AEA">
            <w:pPr>
              <w:ind w:left="146"/>
              <w:jc w:val="both"/>
              <w:rPr>
                <w:rFonts w:ascii="Arial" w:eastAsia="Calibri" w:hAnsi="Arial" w:cs="Arial"/>
              </w:rPr>
            </w:pPr>
          </w:p>
        </w:tc>
      </w:tr>
      <w:tr w:rsidR="00675AEA" w:rsidRPr="004E350C" w14:paraId="5F687AB7" w14:textId="77777777" w:rsidTr="005D2E72">
        <w:tc>
          <w:tcPr>
            <w:tcW w:w="2689" w:type="dxa"/>
          </w:tcPr>
          <w:p w14:paraId="21020407" w14:textId="77777777" w:rsidR="00675AEA" w:rsidRPr="004E350C" w:rsidRDefault="00675AEA" w:rsidP="002B3C9F">
            <w:pPr>
              <w:rPr>
                <w:rFonts w:ascii="Arial" w:eastAsia="Calibri" w:hAnsi="Arial" w:cs="Arial"/>
                <w:b/>
                <w:color w:val="000000" w:themeColor="text1"/>
              </w:rPr>
            </w:pPr>
            <w:r w:rsidRPr="004E350C">
              <w:rPr>
                <w:rFonts w:ascii="Arial" w:eastAsia="Calibri" w:hAnsi="Arial" w:cs="Arial"/>
                <w:b/>
                <w:color w:val="000000" w:themeColor="text1"/>
              </w:rPr>
              <w:t>Radicación:</w:t>
            </w:r>
          </w:p>
        </w:tc>
        <w:tc>
          <w:tcPr>
            <w:tcW w:w="6237" w:type="dxa"/>
          </w:tcPr>
          <w:p w14:paraId="65614387" w14:textId="1F445A53" w:rsidR="00675AEA" w:rsidRPr="004E350C" w:rsidRDefault="00675AEA" w:rsidP="003165E5">
            <w:pPr>
              <w:rPr>
                <w:rFonts w:ascii="Arial" w:eastAsia="Calibri" w:hAnsi="Arial" w:cs="Arial"/>
                <w:b/>
                <w:color w:val="000000" w:themeColor="text1"/>
              </w:rPr>
            </w:pPr>
            <w:r w:rsidRPr="004E350C">
              <w:rPr>
                <w:rFonts w:ascii="Arial" w:eastAsia="Calibri" w:hAnsi="Arial" w:cs="Arial"/>
                <w:color w:val="000000" w:themeColor="text1"/>
              </w:rPr>
              <w:t xml:space="preserve">Respuesta a consulta # </w:t>
            </w:r>
            <w:r w:rsidR="00927D7D" w:rsidRPr="004E350C">
              <w:rPr>
                <w:rFonts w:ascii="Arial" w:eastAsia="Calibri" w:hAnsi="Arial" w:cs="Arial"/>
              </w:rPr>
              <w:t>P202107030006703</w:t>
            </w:r>
          </w:p>
        </w:tc>
      </w:tr>
    </w:tbl>
    <w:p w14:paraId="4638B52B" w14:textId="77777777" w:rsidR="00675AEA" w:rsidRPr="004E350C" w:rsidRDefault="00675AEA" w:rsidP="003A6660">
      <w:pPr>
        <w:spacing w:after="0" w:line="240" w:lineRule="auto"/>
        <w:rPr>
          <w:rFonts w:ascii="Arial" w:eastAsia="Calibri" w:hAnsi="Arial" w:cs="Arial"/>
          <w:b/>
        </w:rPr>
      </w:pPr>
    </w:p>
    <w:p w14:paraId="088B01AD" w14:textId="77777777" w:rsidR="00613419" w:rsidRPr="004E350C" w:rsidRDefault="00613419" w:rsidP="000A0509">
      <w:pPr>
        <w:spacing w:after="0"/>
        <w:rPr>
          <w:rFonts w:ascii="Arial" w:eastAsia="Calibri" w:hAnsi="Arial" w:cs="Arial"/>
        </w:rPr>
      </w:pPr>
    </w:p>
    <w:p w14:paraId="45A2E344" w14:textId="4FE36794" w:rsidR="00FF0037" w:rsidRPr="004E350C" w:rsidRDefault="00FF0037" w:rsidP="000A0509">
      <w:pPr>
        <w:spacing w:after="0"/>
        <w:rPr>
          <w:rFonts w:ascii="Arial" w:eastAsia="Calibri" w:hAnsi="Arial" w:cs="Arial"/>
        </w:rPr>
      </w:pPr>
      <w:r w:rsidRPr="004E350C">
        <w:rPr>
          <w:rFonts w:ascii="Arial" w:eastAsia="Calibri" w:hAnsi="Arial" w:cs="Arial"/>
        </w:rPr>
        <w:t>Estimad</w:t>
      </w:r>
      <w:r w:rsidR="00927D7D" w:rsidRPr="004E350C">
        <w:rPr>
          <w:rFonts w:ascii="Arial" w:eastAsia="Calibri" w:hAnsi="Arial" w:cs="Arial"/>
        </w:rPr>
        <w:t>a</w:t>
      </w:r>
      <w:r w:rsidRPr="004E350C">
        <w:rPr>
          <w:rFonts w:ascii="Arial" w:eastAsia="Calibri" w:hAnsi="Arial" w:cs="Arial"/>
        </w:rPr>
        <w:t xml:space="preserve"> señor</w:t>
      </w:r>
      <w:r w:rsidR="00927D7D" w:rsidRPr="004E350C">
        <w:rPr>
          <w:rFonts w:ascii="Arial" w:eastAsia="Calibri" w:hAnsi="Arial" w:cs="Arial"/>
        </w:rPr>
        <w:t>a</w:t>
      </w:r>
      <w:r w:rsidRPr="004E350C">
        <w:rPr>
          <w:rFonts w:ascii="Arial" w:eastAsia="Calibri" w:hAnsi="Arial" w:cs="Arial"/>
        </w:rPr>
        <w:t xml:space="preserve"> </w:t>
      </w:r>
      <w:r w:rsidR="00927D7D" w:rsidRPr="004E350C">
        <w:rPr>
          <w:rFonts w:ascii="Arial" w:eastAsia="Calibri" w:hAnsi="Arial" w:cs="Arial"/>
        </w:rPr>
        <w:t>Eulegelo</w:t>
      </w:r>
      <w:r w:rsidRPr="004E350C">
        <w:rPr>
          <w:rFonts w:ascii="Arial" w:eastAsia="Calibri" w:hAnsi="Arial" w:cs="Arial"/>
        </w:rPr>
        <w:t>,</w:t>
      </w:r>
    </w:p>
    <w:p w14:paraId="14F58CB6" w14:textId="77777777" w:rsidR="00FF0037" w:rsidRPr="004E350C" w:rsidRDefault="00FF0037" w:rsidP="000A0509">
      <w:pPr>
        <w:spacing w:after="0"/>
        <w:rPr>
          <w:rFonts w:ascii="Arial" w:eastAsia="Calibri" w:hAnsi="Arial" w:cs="Arial"/>
        </w:rPr>
      </w:pPr>
    </w:p>
    <w:p w14:paraId="2B23CFE6" w14:textId="2212F634" w:rsidR="00FF0037" w:rsidRPr="004E350C" w:rsidRDefault="00FF0037" w:rsidP="000A0509">
      <w:pPr>
        <w:spacing w:after="0"/>
        <w:jc w:val="both"/>
        <w:rPr>
          <w:rFonts w:ascii="Arial" w:eastAsia="Calibri" w:hAnsi="Arial" w:cs="Arial"/>
          <w:lang w:val="es-MX"/>
        </w:rPr>
      </w:pPr>
      <w:r w:rsidRPr="004E350C">
        <w:rPr>
          <w:rFonts w:ascii="Arial" w:eastAsia="Calibri" w:hAnsi="Arial" w:cs="Arial"/>
          <w:lang w:val="es-MX"/>
        </w:rPr>
        <w:t xml:space="preserve">En ejercicio de la competencia otorgada por el numeral 8 del artículo 11 y el numeral 5 del artículo 3 del Decreto Ley 4170 de 2011, la Agencia Nacional de Contratación Pública ― Colombia Compra Eficiente responde su consulta del </w:t>
      </w:r>
      <w:r w:rsidR="00FF2549" w:rsidRPr="004E350C">
        <w:rPr>
          <w:rFonts w:ascii="Arial" w:eastAsia="Calibri" w:hAnsi="Arial" w:cs="Arial"/>
          <w:lang w:val="es-MX"/>
        </w:rPr>
        <w:t>2 de agosto</w:t>
      </w:r>
      <w:r w:rsidR="00842998" w:rsidRPr="004E350C">
        <w:rPr>
          <w:rFonts w:ascii="Arial" w:eastAsia="Calibri" w:hAnsi="Arial" w:cs="Arial"/>
          <w:lang w:val="es-MX"/>
        </w:rPr>
        <w:t xml:space="preserve"> de 2021</w:t>
      </w:r>
      <w:r w:rsidRPr="004E350C">
        <w:rPr>
          <w:rFonts w:ascii="Arial" w:eastAsia="Calibri" w:hAnsi="Arial" w:cs="Arial"/>
          <w:lang w:val="es-MX"/>
        </w:rPr>
        <w:t xml:space="preserve">. </w:t>
      </w:r>
    </w:p>
    <w:p w14:paraId="17EB83B9" w14:textId="77777777" w:rsidR="00FF0037" w:rsidRPr="004E350C" w:rsidRDefault="00FF0037" w:rsidP="000A0509">
      <w:pPr>
        <w:tabs>
          <w:tab w:val="left" w:pos="284"/>
        </w:tabs>
        <w:spacing w:after="0"/>
        <w:contextualSpacing/>
        <w:jc w:val="both"/>
        <w:rPr>
          <w:rFonts w:ascii="Arial" w:eastAsia="Calibri" w:hAnsi="Arial" w:cs="Arial"/>
          <w:b/>
        </w:rPr>
      </w:pPr>
      <w:bookmarkStart w:id="3" w:name="_Hlk50978304"/>
    </w:p>
    <w:p w14:paraId="41290987" w14:textId="77777777" w:rsidR="00FF0037" w:rsidRPr="004E350C" w:rsidRDefault="00FF0037" w:rsidP="000A0509">
      <w:pPr>
        <w:tabs>
          <w:tab w:val="left" w:pos="284"/>
        </w:tabs>
        <w:spacing w:after="0"/>
        <w:contextualSpacing/>
        <w:jc w:val="both"/>
        <w:rPr>
          <w:rFonts w:ascii="Arial" w:eastAsia="Calibri" w:hAnsi="Arial" w:cs="Arial"/>
          <w:b/>
        </w:rPr>
      </w:pPr>
      <w:r w:rsidRPr="004E350C">
        <w:rPr>
          <w:rFonts w:ascii="Arial" w:eastAsia="Calibri" w:hAnsi="Arial" w:cs="Arial"/>
          <w:b/>
        </w:rPr>
        <w:t>1. Problemas planteados</w:t>
      </w:r>
    </w:p>
    <w:p w14:paraId="5E5F5828" w14:textId="77777777" w:rsidR="00FF0037" w:rsidRPr="004E350C" w:rsidRDefault="00FF0037" w:rsidP="000A0509">
      <w:pPr>
        <w:tabs>
          <w:tab w:val="left" w:pos="426"/>
        </w:tabs>
        <w:spacing w:after="0"/>
        <w:jc w:val="both"/>
        <w:rPr>
          <w:rFonts w:ascii="Arial" w:eastAsia="Calibri" w:hAnsi="Arial" w:cs="Arial"/>
          <w:b/>
        </w:rPr>
      </w:pPr>
    </w:p>
    <w:p w14:paraId="655875D5" w14:textId="25D35BA4" w:rsidR="00675AEA" w:rsidRPr="004E350C" w:rsidRDefault="00D6796E" w:rsidP="00857C37">
      <w:pPr>
        <w:jc w:val="both"/>
        <w:rPr>
          <w:rFonts w:ascii="Arial" w:eastAsia="Calibri" w:hAnsi="Arial" w:cs="Arial"/>
        </w:rPr>
      </w:pPr>
      <w:r w:rsidRPr="004E350C">
        <w:rPr>
          <w:rFonts w:ascii="Arial" w:eastAsia="Calibri" w:hAnsi="Arial" w:cs="Arial"/>
        </w:rPr>
        <w:t>U</w:t>
      </w:r>
      <w:r w:rsidR="000B162D" w:rsidRPr="004E350C">
        <w:rPr>
          <w:rFonts w:ascii="Arial" w:eastAsia="Calibri" w:hAnsi="Arial" w:cs="Arial"/>
        </w:rPr>
        <w:t xml:space="preserve">sted realiza la siguiente pregunta: </w:t>
      </w:r>
      <w:r w:rsidRPr="004E350C">
        <w:rPr>
          <w:rFonts w:ascii="Arial" w:eastAsia="Calibri" w:hAnsi="Arial" w:cs="Arial"/>
        </w:rPr>
        <w:t xml:space="preserve">«[…] Pueden las Entidades Estatales dentro de la aplicación de los Pliegos Tipo para obras de infraestructura de transporte version 3, solicitar documentos adicionales a los Formatos establecidos para acreditar el factor de Calidad (Formato 7)[…]». </w:t>
      </w:r>
    </w:p>
    <w:bookmarkEnd w:id="3"/>
    <w:p w14:paraId="4E2344B8" w14:textId="77777777" w:rsidR="002D6C05" w:rsidRPr="004E350C" w:rsidRDefault="00FF0037" w:rsidP="000A0509">
      <w:pPr>
        <w:tabs>
          <w:tab w:val="left" w:pos="426"/>
        </w:tabs>
        <w:spacing w:after="0"/>
        <w:jc w:val="both"/>
        <w:rPr>
          <w:rFonts w:ascii="Arial" w:eastAsia="Calibri" w:hAnsi="Arial" w:cs="Arial"/>
          <w:b/>
        </w:rPr>
      </w:pPr>
      <w:r w:rsidRPr="004E350C">
        <w:rPr>
          <w:rFonts w:ascii="Arial" w:eastAsia="Calibri" w:hAnsi="Arial" w:cs="Arial"/>
          <w:b/>
        </w:rPr>
        <w:t>2. Consideraciones</w:t>
      </w:r>
      <w:bookmarkEnd w:id="0"/>
      <w:bookmarkEnd w:id="1"/>
    </w:p>
    <w:p w14:paraId="3A102062" w14:textId="77777777" w:rsidR="000A0509" w:rsidRPr="004E350C" w:rsidRDefault="000A0509" w:rsidP="000A0509">
      <w:pPr>
        <w:tabs>
          <w:tab w:val="left" w:pos="426"/>
        </w:tabs>
        <w:spacing w:after="0"/>
        <w:jc w:val="both"/>
        <w:rPr>
          <w:rFonts w:ascii="Arial" w:eastAsia="Calibri" w:hAnsi="Arial" w:cs="Arial"/>
          <w:b/>
        </w:rPr>
      </w:pPr>
    </w:p>
    <w:p w14:paraId="17B72BC4" w14:textId="3E42BBF8" w:rsidR="008311F6" w:rsidRPr="004E350C" w:rsidRDefault="00FF0037" w:rsidP="00DF4BF6">
      <w:pPr>
        <w:tabs>
          <w:tab w:val="left" w:pos="426"/>
        </w:tabs>
        <w:spacing w:after="120"/>
        <w:jc w:val="both"/>
        <w:rPr>
          <w:rFonts w:ascii="Arial" w:eastAsia="Calibri" w:hAnsi="Arial" w:cs="Arial"/>
        </w:rPr>
      </w:pPr>
      <w:r w:rsidRPr="004E350C">
        <w:rPr>
          <w:rFonts w:ascii="Arial" w:eastAsia="Calibri" w:hAnsi="Arial" w:cs="Arial"/>
        </w:rPr>
        <w:t>Para resolver esta consulta se analizarán los siguientes temas: i)</w:t>
      </w:r>
      <w:r w:rsidR="00DC2970" w:rsidRPr="004E350C">
        <w:rPr>
          <w:rFonts w:ascii="Arial" w:eastAsia="Calibri" w:hAnsi="Arial" w:cs="Arial"/>
        </w:rPr>
        <w:t xml:space="preserve"> o</w:t>
      </w:r>
      <w:r w:rsidR="002F01A8" w:rsidRPr="004E350C">
        <w:rPr>
          <w:rFonts w:ascii="Arial" w:eastAsia="Calibri" w:hAnsi="Arial" w:cs="Arial"/>
        </w:rPr>
        <w:t xml:space="preserve">bligatoriedad e inalterabilidad de los </w:t>
      </w:r>
      <w:r w:rsidRPr="004E350C">
        <w:rPr>
          <w:rFonts w:ascii="Arial" w:eastAsia="Calibri" w:hAnsi="Arial" w:cs="Arial"/>
        </w:rPr>
        <w:t>Documentos Tipo</w:t>
      </w:r>
      <w:r w:rsidR="005717DA" w:rsidRPr="004E350C">
        <w:rPr>
          <w:rFonts w:ascii="Arial" w:eastAsia="Calibri" w:hAnsi="Arial" w:cs="Arial"/>
        </w:rPr>
        <w:t>;</w:t>
      </w:r>
      <w:r w:rsidRPr="004E350C">
        <w:rPr>
          <w:rFonts w:ascii="Arial" w:eastAsia="Calibri" w:hAnsi="Arial" w:cs="Arial"/>
        </w:rPr>
        <w:t xml:space="preserve"> </w:t>
      </w:r>
      <w:r w:rsidR="00900BBC" w:rsidRPr="004E350C">
        <w:rPr>
          <w:rFonts w:ascii="Arial" w:eastAsia="Calibri" w:hAnsi="Arial" w:cs="Arial"/>
        </w:rPr>
        <w:t>ii)</w:t>
      </w:r>
      <w:r w:rsidR="00DC2970" w:rsidRPr="004E350C">
        <w:rPr>
          <w:rFonts w:ascii="Arial" w:eastAsia="Calibri" w:hAnsi="Arial" w:cs="Arial"/>
        </w:rPr>
        <w:t xml:space="preserve"> </w:t>
      </w:r>
      <w:r w:rsidR="00B0378B" w:rsidRPr="004E350C">
        <w:rPr>
          <w:rFonts w:ascii="Arial" w:eastAsia="Calibri" w:hAnsi="Arial" w:cs="Arial"/>
        </w:rPr>
        <w:t>acreditación del factor de calidad y iii)</w:t>
      </w:r>
      <w:r w:rsidR="00DF4BF6" w:rsidRPr="004E350C">
        <w:rPr>
          <w:rFonts w:ascii="Arial" w:eastAsia="Calibri" w:hAnsi="Arial" w:cs="Arial"/>
        </w:rPr>
        <w:t xml:space="preserve"> el</w:t>
      </w:r>
      <w:r w:rsidR="00B0378B" w:rsidRPr="004E350C">
        <w:rPr>
          <w:rFonts w:ascii="Arial" w:eastAsia="Calibri" w:hAnsi="Arial" w:cs="Arial"/>
        </w:rPr>
        <w:t xml:space="preserve"> principio </w:t>
      </w:r>
      <w:r w:rsidR="00B0378B" w:rsidRPr="004E350C">
        <w:rPr>
          <w:rFonts w:ascii="Arial" w:eastAsia="Calibri" w:hAnsi="Arial" w:cs="Arial"/>
        </w:rPr>
        <w:lastRenderedPageBreak/>
        <w:t>de buena fe en la contratación pública y su incidencia en los compromisos adquiridos por los proponentes frente a</w:t>
      </w:r>
      <w:r w:rsidR="00DF4BF6" w:rsidRPr="004E350C">
        <w:rPr>
          <w:rFonts w:ascii="Arial" w:eastAsia="Calibri" w:hAnsi="Arial" w:cs="Arial"/>
        </w:rPr>
        <w:t>l factor</w:t>
      </w:r>
      <w:r w:rsidR="00B0378B" w:rsidRPr="004E350C">
        <w:rPr>
          <w:rFonts w:ascii="Arial" w:eastAsia="Calibri" w:hAnsi="Arial" w:cs="Arial"/>
        </w:rPr>
        <w:t xml:space="preserve"> calidad</w:t>
      </w:r>
      <w:r w:rsidR="00DF4BF6" w:rsidRPr="004E350C">
        <w:rPr>
          <w:rFonts w:ascii="Arial" w:eastAsia="Calibri" w:hAnsi="Arial" w:cs="Arial"/>
        </w:rPr>
        <w:t>.</w:t>
      </w:r>
    </w:p>
    <w:p w14:paraId="6916C1B6" w14:textId="4DB759AC" w:rsidR="00850DF8" w:rsidRPr="004E350C" w:rsidRDefault="008311F6" w:rsidP="000A0509">
      <w:pPr>
        <w:spacing w:after="0"/>
        <w:ind w:firstLine="708"/>
        <w:jc w:val="both"/>
        <w:rPr>
          <w:rFonts w:ascii="Arial" w:eastAsia="Arial" w:hAnsi="Arial" w:cs="Arial"/>
        </w:rPr>
      </w:pPr>
      <w:r w:rsidRPr="004E350C">
        <w:rPr>
          <w:rFonts w:ascii="Arial" w:eastAsia="Calibri" w:hAnsi="Arial" w:cs="Arial"/>
        </w:rPr>
        <w:t>La Agencia Nacional de Contratación Púb</w:t>
      </w:r>
      <w:r w:rsidR="00850DF8" w:rsidRPr="004E350C">
        <w:rPr>
          <w:rFonts w:ascii="Arial" w:eastAsia="Calibri" w:hAnsi="Arial" w:cs="Arial"/>
        </w:rPr>
        <w:t xml:space="preserve">lica </w:t>
      </w:r>
      <w:r w:rsidR="00360115">
        <w:rPr>
          <w:rFonts w:ascii="Arial" w:eastAsia="Calibri" w:hAnsi="Arial" w:cs="Arial"/>
        </w:rPr>
        <w:t>–</w:t>
      </w:r>
      <w:r w:rsidR="00850DF8" w:rsidRPr="004E350C">
        <w:rPr>
          <w:rFonts w:ascii="Arial" w:eastAsia="Calibri" w:hAnsi="Arial" w:cs="Arial"/>
        </w:rPr>
        <w:t xml:space="preserve"> Colombia Compra Eficiente</w:t>
      </w:r>
      <w:r w:rsidRPr="004E350C">
        <w:rPr>
          <w:rFonts w:ascii="Arial" w:eastAsia="Calibri" w:hAnsi="Arial" w:cs="Arial"/>
        </w:rPr>
        <w:t xml:space="preserve"> se ha pronunciado </w:t>
      </w:r>
      <w:r w:rsidR="00850DF8" w:rsidRPr="004E350C">
        <w:rPr>
          <w:rFonts w:ascii="Arial" w:hAnsi="Arial" w:cs="Arial"/>
          <w:bCs/>
        </w:rPr>
        <w:t xml:space="preserve">sobre </w:t>
      </w:r>
      <w:r w:rsidR="00C176E3" w:rsidRPr="004E350C">
        <w:rPr>
          <w:rFonts w:ascii="Arial" w:hAnsi="Arial" w:cs="Arial"/>
          <w:bCs/>
        </w:rPr>
        <w:t xml:space="preserve">la acreditación del </w:t>
      </w:r>
      <w:r w:rsidR="00850DF8" w:rsidRPr="004E350C">
        <w:rPr>
          <w:rFonts w:ascii="Arial" w:hAnsi="Arial" w:cs="Arial"/>
          <w:bCs/>
        </w:rPr>
        <w:t>factor de calidad en procesos de selección regidos por documentos tipo</w:t>
      </w:r>
      <w:r w:rsidR="006B7602" w:rsidRPr="004E350C">
        <w:rPr>
          <w:rFonts w:ascii="Arial" w:eastAsia="Calibri" w:hAnsi="Arial" w:cs="Arial"/>
          <w:bCs/>
        </w:rPr>
        <w:t xml:space="preserve"> </w:t>
      </w:r>
      <w:r w:rsidR="00850DF8" w:rsidRPr="004E350C">
        <w:rPr>
          <w:rFonts w:ascii="Arial" w:hAnsi="Arial" w:cs="Arial"/>
          <w:bCs/>
        </w:rPr>
        <w:t xml:space="preserve">en </w:t>
      </w:r>
      <w:r w:rsidR="00850DF8" w:rsidRPr="004E350C">
        <w:rPr>
          <w:rFonts w:ascii="Arial" w:eastAsia="Arial" w:hAnsi="Arial" w:cs="Arial"/>
        </w:rPr>
        <w:t>los conceptos</w:t>
      </w:r>
      <w:r w:rsidR="008D3646" w:rsidRPr="004E350C">
        <w:rPr>
          <w:rFonts w:ascii="Arial" w:eastAsia="Arial" w:hAnsi="Arial" w:cs="Arial"/>
        </w:rPr>
        <w:t xml:space="preserve"> con radicados</w:t>
      </w:r>
      <w:r w:rsidR="00B84011" w:rsidRPr="004E350C">
        <w:rPr>
          <w:rFonts w:ascii="Arial" w:eastAsia="Arial" w:hAnsi="Arial" w:cs="Arial"/>
        </w:rPr>
        <w:t>:</w:t>
      </w:r>
      <w:r w:rsidR="008D3646" w:rsidRPr="004E350C">
        <w:t xml:space="preserve"> </w:t>
      </w:r>
      <w:r w:rsidR="008D3646" w:rsidRPr="004E350C">
        <w:rPr>
          <w:rFonts w:ascii="Arial" w:eastAsia="Arial" w:hAnsi="Arial" w:cs="Arial"/>
        </w:rPr>
        <w:t xml:space="preserve">2201913000006967 del 19 de septiembre de 2019, </w:t>
      </w:r>
      <w:r w:rsidR="006F7F74" w:rsidRPr="004E350C">
        <w:rPr>
          <w:rFonts w:ascii="Arial" w:eastAsia="Arial" w:hAnsi="Arial" w:cs="Arial"/>
        </w:rPr>
        <w:t>2201913000008144 del 30 de octubre de 2019</w:t>
      </w:r>
      <w:r w:rsidR="00015F7D" w:rsidRPr="004E350C">
        <w:rPr>
          <w:rFonts w:ascii="Arial" w:eastAsia="Arial" w:hAnsi="Arial" w:cs="Arial"/>
        </w:rPr>
        <w:t>, 2201913000008483 del 14 de noviembre de 2019</w:t>
      </w:r>
      <w:r w:rsidR="00C74B1C" w:rsidRPr="004E350C">
        <w:rPr>
          <w:rFonts w:ascii="Arial" w:eastAsia="Arial" w:hAnsi="Arial" w:cs="Arial"/>
        </w:rPr>
        <w:t>, 2201913000009022 del 6 de diciembre de 2019</w:t>
      </w:r>
      <w:r w:rsidR="00F6743E" w:rsidRPr="004E350C">
        <w:rPr>
          <w:rFonts w:ascii="Arial" w:eastAsia="Arial" w:hAnsi="Arial" w:cs="Arial"/>
        </w:rPr>
        <w:t xml:space="preserve">, 2201913000009573 del 24 de diciembre de </w:t>
      </w:r>
      <w:r w:rsidR="004530B4" w:rsidRPr="004E350C">
        <w:rPr>
          <w:rFonts w:ascii="Arial" w:eastAsia="Arial" w:hAnsi="Arial" w:cs="Arial"/>
        </w:rPr>
        <w:t>2019,</w:t>
      </w:r>
      <w:r w:rsidR="00850DF8" w:rsidRPr="004E350C">
        <w:rPr>
          <w:rFonts w:ascii="Arial" w:eastAsia="Arial" w:hAnsi="Arial" w:cs="Arial"/>
        </w:rPr>
        <w:t xml:space="preserve"> </w:t>
      </w:r>
      <w:r w:rsidR="004530B4" w:rsidRPr="004E350C">
        <w:rPr>
          <w:rFonts w:ascii="Arial" w:eastAsia="Arial" w:hAnsi="Arial" w:cs="Arial"/>
        </w:rPr>
        <w:t>C–</w:t>
      </w:r>
      <w:r w:rsidR="00B15A0E" w:rsidRPr="004E350C">
        <w:rPr>
          <w:rFonts w:ascii="Arial" w:eastAsia="Arial" w:hAnsi="Arial" w:cs="Arial"/>
        </w:rPr>
        <w:t>0</w:t>
      </w:r>
      <w:r w:rsidR="004530B4" w:rsidRPr="004E350C">
        <w:rPr>
          <w:rFonts w:ascii="Arial" w:eastAsia="Arial" w:hAnsi="Arial" w:cs="Arial"/>
        </w:rPr>
        <w:t xml:space="preserve">39 del 16 de enero </w:t>
      </w:r>
      <w:r w:rsidR="005717DA" w:rsidRPr="004E350C">
        <w:rPr>
          <w:rFonts w:ascii="Arial" w:eastAsia="Arial" w:hAnsi="Arial" w:cs="Arial"/>
        </w:rPr>
        <w:t xml:space="preserve">de </w:t>
      </w:r>
      <w:r w:rsidR="00A508A0" w:rsidRPr="004E350C">
        <w:rPr>
          <w:rFonts w:ascii="Arial" w:eastAsia="Arial" w:hAnsi="Arial" w:cs="Arial"/>
        </w:rPr>
        <w:t>2020,</w:t>
      </w:r>
      <w:r w:rsidR="00A508A0" w:rsidRPr="004E350C">
        <w:t xml:space="preserve"> </w:t>
      </w:r>
      <w:r w:rsidR="004B3519" w:rsidRPr="004E350C">
        <w:rPr>
          <w:rFonts w:ascii="Arial" w:eastAsia="Arial" w:hAnsi="Arial" w:cs="Arial"/>
        </w:rPr>
        <w:t>C─</w:t>
      </w:r>
      <w:r w:rsidR="00A508A0" w:rsidRPr="004E350C">
        <w:rPr>
          <w:rFonts w:ascii="Arial" w:eastAsia="Arial" w:hAnsi="Arial" w:cs="Arial"/>
        </w:rPr>
        <w:t>103 del  3 de marzo de 2020,</w:t>
      </w:r>
      <w:r w:rsidR="004530B4" w:rsidRPr="004E350C">
        <w:rPr>
          <w:rFonts w:ascii="Arial" w:eastAsia="Arial" w:hAnsi="Arial" w:cs="Arial"/>
        </w:rPr>
        <w:t xml:space="preserve"> </w:t>
      </w:r>
      <w:r w:rsidR="00B87FD6" w:rsidRPr="004E350C">
        <w:rPr>
          <w:rFonts w:ascii="Arial" w:eastAsia="Arial" w:hAnsi="Arial" w:cs="Arial"/>
        </w:rPr>
        <w:t>C─</w:t>
      </w:r>
      <w:r w:rsidR="00091977" w:rsidRPr="004E350C">
        <w:rPr>
          <w:rFonts w:ascii="Arial" w:eastAsia="Arial" w:hAnsi="Arial" w:cs="Arial"/>
        </w:rPr>
        <w:t>119 del 18 de marzo de 2020,</w:t>
      </w:r>
      <w:r w:rsidR="009B3310" w:rsidRPr="004E350C">
        <w:rPr>
          <w:rFonts w:ascii="Arial" w:eastAsia="Arial" w:hAnsi="Arial" w:cs="Arial"/>
        </w:rPr>
        <w:t xml:space="preserve"> C─145 del 31 de marzo de 2020, </w:t>
      </w:r>
      <w:r w:rsidR="005F2834" w:rsidRPr="004E350C">
        <w:rPr>
          <w:rFonts w:ascii="Arial" w:eastAsia="Arial" w:hAnsi="Arial" w:cs="Arial"/>
        </w:rPr>
        <w:t xml:space="preserve">C─217 del 21 de abril de  2020, </w:t>
      </w:r>
      <w:r w:rsidR="008E5ABB" w:rsidRPr="004E350C">
        <w:rPr>
          <w:rFonts w:ascii="Arial" w:eastAsia="Arial" w:hAnsi="Arial" w:cs="Arial"/>
        </w:rPr>
        <w:t>C–294 del 18 de mayo de 2020</w:t>
      </w:r>
      <w:r w:rsidR="001A7C9A" w:rsidRPr="004E350C">
        <w:rPr>
          <w:rFonts w:ascii="Arial" w:eastAsia="Arial" w:hAnsi="Arial" w:cs="Arial"/>
        </w:rPr>
        <w:t xml:space="preserve">, </w:t>
      </w:r>
      <w:r w:rsidR="004D1ADE" w:rsidRPr="004E350C">
        <w:rPr>
          <w:rFonts w:ascii="Arial" w:eastAsia="Arial" w:hAnsi="Arial" w:cs="Arial"/>
        </w:rPr>
        <w:t xml:space="preserve">C–352 del 30 de junio de 2020, </w:t>
      </w:r>
      <w:r w:rsidR="000E1439" w:rsidRPr="004E350C">
        <w:rPr>
          <w:rFonts w:ascii="Arial" w:eastAsia="Arial" w:hAnsi="Arial" w:cs="Arial"/>
        </w:rPr>
        <w:t xml:space="preserve">C–432 de 2020 del 27 de julio de 2020, </w:t>
      </w:r>
      <w:r w:rsidR="00F60905" w:rsidRPr="004E350C">
        <w:rPr>
          <w:rFonts w:ascii="Arial" w:eastAsia="Arial" w:hAnsi="Arial" w:cs="Arial"/>
        </w:rPr>
        <w:t>C–519 del 3 de agosto de 2020,</w:t>
      </w:r>
      <w:r w:rsidR="005675E1" w:rsidRPr="004E350C">
        <w:rPr>
          <w:rFonts w:ascii="Arial" w:eastAsia="Arial" w:hAnsi="Arial" w:cs="Arial"/>
        </w:rPr>
        <w:t xml:space="preserve"> </w:t>
      </w:r>
      <w:r w:rsidR="00F54C16" w:rsidRPr="004E350C">
        <w:rPr>
          <w:rFonts w:ascii="Arial" w:eastAsia="Arial" w:hAnsi="Arial" w:cs="Arial"/>
        </w:rPr>
        <w:t xml:space="preserve">C–766 del 8 de enero de 2021, </w:t>
      </w:r>
      <w:r w:rsidR="005675E1" w:rsidRPr="004E350C">
        <w:rPr>
          <w:rFonts w:ascii="Arial" w:eastAsia="Arial" w:hAnsi="Arial" w:cs="Arial"/>
        </w:rPr>
        <w:t>C–001</w:t>
      </w:r>
      <w:r w:rsidR="00F54C16" w:rsidRPr="004E350C">
        <w:rPr>
          <w:rFonts w:ascii="Arial" w:eastAsia="Arial" w:hAnsi="Arial" w:cs="Arial"/>
        </w:rPr>
        <w:t xml:space="preserve"> del 10 de febrero de 2021</w:t>
      </w:r>
      <w:r w:rsidR="00B854A7" w:rsidRPr="004E350C">
        <w:rPr>
          <w:rFonts w:ascii="Arial" w:eastAsia="Arial" w:hAnsi="Arial" w:cs="Arial"/>
        </w:rPr>
        <w:t>,</w:t>
      </w:r>
      <w:r w:rsidR="00F54C16" w:rsidRPr="004E350C">
        <w:rPr>
          <w:rFonts w:ascii="Arial" w:eastAsia="Arial" w:hAnsi="Arial" w:cs="Arial"/>
        </w:rPr>
        <w:t xml:space="preserve"> </w:t>
      </w:r>
      <w:r w:rsidR="00D4333B" w:rsidRPr="004E350C">
        <w:rPr>
          <w:rFonts w:ascii="Arial" w:eastAsia="Arial" w:hAnsi="Arial" w:cs="Arial"/>
        </w:rPr>
        <w:t>C</w:t>
      </w:r>
      <w:r w:rsidR="00B15A0E" w:rsidRPr="004E350C">
        <w:rPr>
          <w:rFonts w:ascii="Arial" w:eastAsia="Arial" w:hAnsi="Arial" w:cs="Arial"/>
        </w:rPr>
        <w:t>‒</w:t>
      </w:r>
      <w:r w:rsidR="00D4333B" w:rsidRPr="004E350C">
        <w:rPr>
          <w:rFonts w:ascii="Arial" w:eastAsia="Arial" w:hAnsi="Arial" w:cs="Arial"/>
        </w:rPr>
        <w:t>046 del 8 de marzo de 2021</w:t>
      </w:r>
      <w:r w:rsidR="00255F9C" w:rsidRPr="004E350C">
        <w:rPr>
          <w:rFonts w:ascii="Arial" w:eastAsia="Arial" w:hAnsi="Arial" w:cs="Arial"/>
        </w:rPr>
        <w:t>,</w:t>
      </w:r>
      <w:r w:rsidR="00B854A7" w:rsidRPr="004E350C">
        <w:rPr>
          <w:rFonts w:ascii="Arial" w:eastAsia="Arial" w:hAnsi="Arial" w:cs="Arial"/>
        </w:rPr>
        <w:t xml:space="preserve"> C</w:t>
      </w:r>
      <w:r w:rsidR="00255F9C" w:rsidRPr="004E350C">
        <w:rPr>
          <w:rFonts w:ascii="Arial" w:eastAsia="Arial" w:hAnsi="Arial" w:cs="Arial"/>
        </w:rPr>
        <w:t>-</w:t>
      </w:r>
      <w:r w:rsidR="00B854A7" w:rsidRPr="004E350C">
        <w:rPr>
          <w:rFonts w:ascii="Arial" w:eastAsia="Arial" w:hAnsi="Arial" w:cs="Arial"/>
        </w:rPr>
        <w:t>184 del 29 de abril de 2021</w:t>
      </w:r>
      <w:r w:rsidR="00255F9C" w:rsidRPr="004E350C">
        <w:rPr>
          <w:rFonts w:ascii="Arial" w:eastAsia="Arial" w:hAnsi="Arial" w:cs="Arial"/>
        </w:rPr>
        <w:t xml:space="preserve"> y C-301 del 16 de junio de 2021</w:t>
      </w:r>
      <w:r w:rsidR="00B87FD6" w:rsidRPr="004E350C">
        <w:rPr>
          <w:rFonts w:ascii="Arial" w:eastAsia="Arial" w:hAnsi="Arial" w:cs="Arial"/>
        </w:rPr>
        <w:t xml:space="preserve">. </w:t>
      </w:r>
      <w:r w:rsidR="00F163D4" w:rsidRPr="004E350C">
        <w:rPr>
          <w:rFonts w:ascii="Arial" w:eastAsia="Arial" w:hAnsi="Arial" w:cs="Arial"/>
        </w:rPr>
        <w:t xml:space="preserve">Las tesis </w:t>
      </w:r>
      <w:r w:rsidR="00850DF8" w:rsidRPr="004E350C">
        <w:rPr>
          <w:rFonts w:ascii="Arial" w:eastAsia="Arial" w:hAnsi="Arial" w:cs="Arial"/>
        </w:rPr>
        <w:t>expuestas en estos conce</w:t>
      </w:r>
      <w:r w:rsidR="005717DA" w:rsidRPr="004E350C">
        <w:rPr>
          <w:rFonts w:ascii="Arial" w:eastAsia="Arial" w:hAnsi="Arial" w:cs="Arial"/>
        </w:rPr>
        <w:t>ptos se reiteran a continuación</w:t>
      </w:r>
      <w:r w:rsidR="00360115">
        <w:rPr>
          <w:rFonts w:ascii="Arial" w:eastAsia="Arial" w:hAnsi="Arial" w:cs="Arial"/>
        </w:rPr>
        <w:t>.</w:t>
      </w:r>
    </w:p>
    <w:p w14:paraId="29125635" w14:textId="77777777" w:rsidR="000A0509" w:rsidRPr="004E350C" w:rsidRDefault="000A0509" w:rsidP="000A0509">
      <w:pPr>
        <w:tabs>
          <w:tab w:val="left" w:pos="426"/>
        </w:tabs>
        <w:spacing w:after="0"/>
        <w:jc w:val="both"/>
        <w:rPr>
          <w:rFonts w:ascii="Arial" w:eastAsia="Calibri" w:hAnsi="Arial" w:cs="Arial"/>
          <w:b/>
        </w:rPr>
      </w:pPr>
    </w:p>
    <w:p w14:paraId="3F820918" w14:textId="70BD428F" w:rsidR="000A0509" w:rsidRPr="004E350C" w:rsidRDefault="00B87FD6" w:rsidP="000A0509">
      <w:pPr>
        <w:tabs>
          <w:tab w:val="left" w:pos="426"/>
        </w:tabs>
        <w:spacing w:after="0"/>
        <w:jc w:val="both"/>
        <w:rPr>
          <w:rFonts w:ascii="Arial" w:eastAsia="Calibri" w:hAnsi="Arial" w:cs="Arial"/>
          <w:b/>
        </w:rPr>
      </w:pPr>
      <w:r w:rsidRPr="004E350C">
        <w:rPr>
          <w:rFonts w:ascii="Arial" w:eastAsia="Calibri" w:hAnsi="Arial" w:cs="Arial"/>
          <w:b/>
        </w:rPr>
        <w:t>2.1 Obligatoriedad e inalterabilidad de los Documentos Tipo</w:t>
      </w:r>
    </w:p>
    <w:p w14:paraId="7AA3AF63" w14:textId="77777777" w:rsidR="000A0509" w:rsidRPr="004E350C" w:rsidRDefault="000A0509" w:rsidP="000A0509">
      <w:pPr>
        <w:tabs>
          <w:tab w:val="left" w:pos="426"/>
        </w:tabs>
        <w:spacing w:after="0"/>
        <w:jc w:val="both"/>
        <w:rPr>
          <w:rFonts w:ascii="Arial" w:eastAsia="Calibri" w:hAnsi="Arial" w:cs="Arial"/>
          <w:b/>
        </w:rPr>
      </w:pPr>
    </w:p>
    <w:p w14:paraId="748C68B7" w14:textId="7DA21647" w:rsidR="00D02694" w:rsidRPr="004E350C" w:rsidRDefault="00D02694" w:rsidP="004E6311">
      <w:pPr>
        <w:tabs>
          <w:tab w:val="left" w:pos="426"/>
        </w:tabs>
        <w:spacing w:after="120"/>
        <w:jc w:val="both"/>
        <w:rPr>
          <w:rFonts w:ascii="Arial" w:eastAsia="Calibri" w:hAnsi="Arial" w:cs="Arial"/>
        </w:rPr>
      </w:pPr>
      <w:r w:rsidRPr="004E350C">
        <w:rPr>
          <w:rFonts w:ascii="Arial" w:eastAsia="Calibri" w:hAnsi="Arial" w:cs="Arial"/>
        </w:rPr>
        <w:t>Al tenor de lo dispuesto en el parágrafo 7 del artículo 2 de la Ley 1150 de 2007, adicionad</w:t>
      </w:r>
      <w:r w:rsidR="00360115">
        <w:rPr>
          <w:rFonts w:ascii="Arial" w:eastAsia="Calibri" w:hAnsi="Arial" w:cs="Arial"/>
        </w:rPr>
        <w:t>o</w:t>
      </w:r>
      <w:r w:rsidRPr="004E350C">
        <w:rPr>
          <w:rFonts w:ascii="Arial" w:eastAsia="Calibri" w:hAnsi="Arial" w:cs="Arial"/>
        </w:rPr>
        <w:t xml:space="preserve"> y modificad</w:t>
      </w:r>
      <w:r w:rsidR="00360115">
        <w:rPr>
          <w:rFonts w:ascii="Arial" w:eastAsia="Calibri" w:hAnsi="Arial" w:cs="Arial"/>
        </w:rPr>
        <w:t>o</w:t>
      </w:r>
      <w:r w:rsidRPr="004E350C">
        <w:rPr>
          <w:rFonts w:ascii="Arial" w:eastAsia="Calibri" w:hAnsi="Arial" w:cs="Arial"/>
        </w:rPr>
        <w:t xml:space="preserve"> por las Leyes 1882 de 2018 y 2022 de 2020, «corresponde a la Agencia Nacional de Contratación Pública ― Colombia Compra Eficiente, la adopción de  documentos tipo que serán de obligatorio cumplimiento en la actividad contractual de todas las entidades sometidas al Estatuto General de Contratación de la Administración Pública […] establecerán los requisitos habilitantes, factores técnicos, económicos y otros factores de escogencia […]»</w:t>
      </w:r>
      <w:r w:rsidR="004C3A4A" w:rsidRPr="004E350C">
        <w:rPr>
          <w:rFonts w:ascii="Arial" w:eastAsia="Calibri" w:hAnsi="Arial" w:cs="Arial"/>
        </w:rPr>
        <w:t>.</w:t>
      </w:r>
      <w:r w:rsidRPr="004E350C">
        <w:rPr>
          <w:rFonts w:ascii="Arial" w:eastAsia="Calibri" w:hAnsi="Arial" w:cs="Arial"/>
        </w:rPr>
        <w:t xml:space="preserve"> </w:t>
      </w:r>
      <w:r w:rsidR="004C3A4A" w:rsidRPr="004E350C">
        <w:rPr>
          <w:rFonts w:ascii="Arial" w:eastAsia="Calibri" w:hAnsi="Arial" w:cs="Arial"/>
        </w:rPr>
        <w:t>P</w:t>
      </w:r>
      <w:r w:rsidRPr="004E350C">
        <w:rPr>
          <w:rFonts w:ascii="Arial" w:eastAsia="Calibri" w:hAnsi="Arial" w:cs="Arial"/>
        </w:rPr>
        <w:t>ara tal fin, se considerarán las características propias de las regiones,  la cuantía, la naturaleza y especialidad de la contratación, entre otros aspectos, previendo un procedimiento coordinado con entidades técnicas o especializadas para su incorporación, enfatizando en su obligatoriedad para procesos de selección de obras públicas.</w:t>
      </w:r>
    </w:p>
    <w:p w14:paraId="686F3C4C" w14:textId="58D41F5F" w:rsidR="00277424" w:rsidRPr="004E350C" w:rsidRDefault="00D02694" w:rsidP="004E6311">
      <w:pPr>
        <w:tabs>
          <w:tab w:val="left" w:pos="426"/>
        </w:tabs>
        <w:spacing w:after="120"/>
        <w:ind w:firstLine="709"/>
        <w:jc w:val="both"/>
        <w:rPr>
          <w:rFonts w:ascii="Arial" w:eastAsia="Calibri" w:hAnsi="Arial" w:cs="Arial"/>
        </w:rPr>
      </w:pPr>
      <w:r w:rsidRPr="004E350C">
        <w:rPr>
          <w:rFonts w:ascii="Arial" w:eastAsia="Calibri" w:hAnsi="Arial" w:cs="Arial"/>
        </w:rPr>
        <w:t>Dando cumplimiento al precitado mandato legal, la Agencia Nacional de Contratación Pública ― Colombia Compra Eficiente, actualizó los Documentos Tipo</w:t>
      </w:r>
      <w:r w:rsidRPr="004E350C">
        <w:rPr>
          <w:rFonts w:ascii="Arial" w:eastAsia="Calibri" w:hAnsi="Arial" w:cs="Arial"/>
          <w:vertAlign w:val="superscript"/>
        </w:rPr>
        <w:footnoteReference w:id="1"/>
      </w:r>
      <w:r w:rsidRPr="004E350C">
        <w:rPr>
          <w:rFonts w:ascii="Arial" w:eastAsia="Calibri" w:hAnsi="Arial" w:cs="Arial"/>
        </w:rPr>
        <w:t xml:space="preserve"> para los procesos de selección de licitación de obra pública de infraestructura de transporte</w:t>
      </w:r>
      <w:r w:rsidR="00360115">
        <w:rPr>
          <w:rFonts w:ascii="Arial" w:eastAsia="Calibri" w:hAnsi="Arial" w:cs="Arial"/>
        </w:rPr>
        <w:t>,</w:t>
      </w:r>
      <w:r w:rsidRPr="004E350C">
        <w:rPr>
          <w:rFonts w:ascii="Arial" w:eastAsia="Calibri" w:hAnsi="Arial" w:cs="Arial"/>
        </w:rPr>
        <w:t xml:space="preserve">  </w:t>
      </w:r>
      <w:r w:rsidR="00F3468B" w:rsidRPr="004E350C">
        <w:rPr>
          <w:rFonts w:ascii="Arial" w:eastAsia="Calibri" w:hAnsi="Arial" w:cs="Arial"/>
        </w:rPr>
        <w:lastRenderedPageBreak/>
        <w:t>adoptando</w:t>
      </w:r>
      <w:r w:rsidRPr="004E350C">
        <w:rPr>
          <w:rFonts w:ascii="Arial" w:eastAsia="Calibri" w:hAnsi="Arial" w:cs="Arial"/>
        </w:rPr>
        <w:t xml:space="preserve"> su tercera versión mediante la  Resolución No 240 de 2020</w:t>
      </w:r>
      <w:r w:rsidRPr="004E350C">
        <w:rPr>
          <w:rFonts w:ascii="Arial" w:eastAsia="Calibri" w:hAnsi="Arial" w:cs="Arial"/>
          <w:vertAlign w:val="superscript"/>
        </w:rPr>
        <w:footnoteReference w:id="2"/>
      </w:r>
      <w:r w:rsidRPr="004E350C">
        <w:rPr>
          <w:rFonts w:ascii="Arial" w:eastAsia="Calibri" w:hAnsi="Arial" w:cs="Arial"/>
        </w:rPr>
        <w:t>, precisando en sus  artículos 2 y 3 la obligatoriedad de los parámetros contenidos en los mismos y su inalterabilidad</w:t>
      </w:r>
      <w:r w:rsidRPr="004E350C">
        <w:rPr>
          <w:rFonts w:ascii="Arial" w:eastAsia="Calibri" w:hAnsi="Arial" w:cs="Arial"/>
          <w:color w:val="000000"/>
          <w:shd w:val="clear" w:color="auto" w:fill="FFFFFF"/>
          <w:vertAlign w:val="superscript"/>
          <w:lang w:val="es-MX"/>
        </w:rPr>
        <w:footnoteReference w:id="3"/>
      </w:r>
      <w:r w:rsidR="00277424" w:rsidRPr="004E350C">
        <w:rPr>
          <w:rFonts w:ascii="Arial" w:eastAsia="Calibri" w:hAnsi="Arial" w:cs="Arial"/>
        </w:rPr>
        <w:t xml:space="preserve">. </w:t>
      </w:r>
    </w:p>
    <w:p w14:paraId="1223F361" w14:textId="3D9CA3A2" w:rsidR="00277424" w:rsidRPr="004E350C" w:rsidRDefault="00277424" w:rsidP="004E6311">
      <w:pPr>
        <w:tabs>
          <w:tab w:val="left" w:pos="426"/>
        </w:tabs>
        <w:spacing w:after="120"/>
        <w:ind w:firstLine="709"/>
        <w:jc w:val="both"/>
        <w:rPr>
          <w:rFonts w:ascii="Arial" w:eastAsia="Calibri" w:hAnsi="Arial" w:cs="Arial"/>
        </w:rPr>
      </w:pPr>
      <w:r w:rsidRPr="004E350C">
        <w:rPr>
          <w:rFonts w:ascii="Arial" w:eastAsia="Calibri" w:hAnsi="Arial" w:cs="Arial"/>
        </w:rPr>
        <w:t xml:space="preserve">Posteriormente, considerando que el </w:t>
      </w:r>
      <w:r w:rsidRPr="004E350C">
        <w:rPr>
          <w:rFonts w:ascii="Arial" w:eastAsia="Times New Roman" w:hAnsi="Arial" w:cs="Arial"/>
          <w:lang w:eastAsia="es-MX"/>
        </w:rPr>
        <w:t xml:space="preserve">artículo 35 de la Ley 2069 de 2020 dispuso una nueva regulación de los criterios de desempate  que  rigen   en   los   procesos  de  contratación </w:t>
      </w:r>
      <w:r w:rsidR="00F23C86" w:rsidRPr="004E350C">
        <w:rPr>
          <w:rFonts w:ascii="Arial" w:eastAsia="Times New Roman" w:hAnsi="Arial" w:cs="Arial"/>
          <w:lang w:eastAsia="es-MX"/>
        </w:rPr>
        <w:t>pública</w:t>
      </w:r>
      <w:r w:rsidRPr="004E350C">
        <w:rPr>
          <w:rFonts w:ascii="Arial" w:eastAsia="Times New Roman" w:hAnsi="Arial" w:cs="Arial"/>
          <w:lang w:eastAsia="es-MX"/>
        </w:rPr>
        <w:t xml:space="preserve">, </w:t>
      </w:r>
      <w:r w:rsidR="00F23C86" w:rsidRPr="004E350C">
        <w:rPr>
          <w:rFonts w:ascii="Arial" w:eastAsia="Times New Roman" w:hAnsi="Arial" w:cs="Arial"/>
          <w:lang w:eastAsia="es-MX"/>
        </w:rPr>
        <w:t>con lo cual</w:t>
      </w:r>
      <w:r w:rsidRPr="004E350C">
        <w:rPr>
          <w:rFonts w:ascii="Arial" w:eastAsia="Times New Roman" w:hAnsi="Arial" w:cs="Arial"/>
          <w:lang w:eastAsia="es-MX"/>
        </w:rPr>
        <w:t xml:space="preserve"> derogó los factores previstos en normas anteriores,  generando Ia  pérdida  de  fuerza  ejecutoria  de  los  criterios dispuestos en el Decreto 1082 de 2015 por desaparición de sus fundamentos de derecho, </w:t>
      </w:r>
      <w:r w:rsidR="00F23C86" w:rsidRPr="004E350C">
        <w:rPr>
          <w:rFonts w:ascii="Arial" w:eastAsia="Times New Roman" w:hAnsi="Arial" w:cs="Arial"/>
          <w:lang w:eastAsia="es-MX"/>
        </w:rPr>
        <w:t xml:space="preserve">mediante la Resolución No 161 de 2021 se modificaron </w:t>
      </w:r>
      <w:r w:rsidRPr="004E350C">
        <w:rPr>
          <w:rFonts w:ascii="Arial" w:eastAsia="Times New Roman" w:hAnsi="Arial" w:cs="Arial"/>
          <w:lang w:eastAsia="es-MX"/>
        </w:rPr>
        <w:t>los   documentos tip</w:t>
      </w:r>
      <w:r w:rsidR="008D32B5" w:rsidRPr="004E350C">
        <w:rPr>
          <w:rFonts w:ascii="Arial" w:eastAsia="Times New Roman" w:hAnsi="Arial" w:cs="Arial"/>
          <w:lang w:eastAsia="es-MX"/>
        </w:rPr>
        <w:t>o</w:t>
      </w:r>
      <w:r w:rsidR="00F23C86" w:rsidRPr="004E350C">
        <w:rPr>
          <w:rFonts w:ascii="Arial" w:eastAsia="Times New Roman" w:hAnsi="Arial" w:cs="Arial"/>
          <w:lang w:eastAsia="es-MX"/>
        </w:rPr>
        <w:t xml:space="preserve"> adoptados por la Agencia Nacional de Contratación Pública- Colombia Compra Eficiente, principalmente en lo concerniente a los factores de desempate</w:t>
      </w:r>
      <w:r w:rsidR="00360115">
        <w:rPr>
          <w:rFonts w:ascii="Arial" w:eastAsia="Times New Roman" w:hAnsi="Arial" w:cs="Arial"/>
          <w:lang w:eastAsia="es-MX"/>
        </w:rPr>
        <w:t xml:space="preserve"> y</w:t>
      </w:r>
      <w:r w:rsidR="00F23C86" w:rsidRPr="004E350C">
        <w:rPr>
          <w:rFonts w:ascii="Arial" w:eastAsia="Times New Roman" w:hAnsi="Arial" w:cs="Arial"/>
          <w:lang w:eastAsia="es-MX"/>
        </w:rPr>
        <w:t xml:space="preserve"> </w:t>
      </w:r>
      <w:r w:rsidR="00360115">
        <w:rPr>
          <w:rFonts w:ascii="Arial" w:eastAsia="Times New Roman" w:hAnsi="Arial" w:cs="Arial"/>
          <w:lang w:eastAsia="es-MX"/>
        </w:rPr>
        <w:t>algunos aspectos adicionales relacionados, entre otras cosas, con los documentos tipo de licitación de obra pública de infraetstructura de transporte – Versión 3.</w:t>
      </w:r>
    </w:p>
    <w:p w14:paraId="499A2925" w14:textId="1CB6C777" w:rsidR="00D02694" w:rsidRPr="004E350C" w:rsidRDefault="00360115" w:rsidP="004E6311">
      <w:pPr>
        <w:tabs>
          <w:tab w:val="left" w:pos="426"/>
        </w:tabs>
        <w:spacing w:after="120"/>
        <w:ind w:firstLine="709"/>
        <w:jc w:val="both"/>
        <w:rPr>
          <w:rFonts w:ascii="Arial" w:eastAsia="Calibri" w:hAnsi="Arial" w:cs="Arial"/>
        </w:rPr>
      </w:pPr>
      <w:r>
        <w:rPr>
          <w:rFonts w:ascii="Arial" w:eastAsia="Calibri" w:hAnsi="Arial" w:cs="Arial"/>
          <w:color w:val="000000"/>
          <w:shd w:val="clear" w:color="auto" w:fill="FFFFFF"/>
          <w:lang w:val="es-MX"/>
        </w:rPr>
        <w:t>En línea con lo anteiror, d</w:t>
      </w:r>
      <w:r w:rsidR="00705E6D" w:rsidRPr="004E350C">
        <w:rPr>
          <w:rFonts w:ascii="Arial" w:eastAsia="Calibri" w:hAnsi="Arial" w:cs="Arial"/>
          <w:color w:val="000000"/>
          <w:shd w:val="clear" w:color="auto" w:fill="FFFFFF"/>
          <w:lang w:val="es-MX"/>
        </w:rPr>
        <w:t xml:space="preserve">adas las características  de obligatoriedad e inalterabilidad que ostentan los documentos tipo, </w:t>
      </w:r>
      <w:r w:rsidR="00D02694" w:rsidRPr="004E350C">
        <w:rPr>
          <w:rFonts w:ascii="Arial" w:eastAsia="Calibri" w:hAnsi="Arial" w:cs="Arial"/>
        </w:rPr>
        <w:t>es deber de las entidades sometidas al Estatuto General de la Contratación de la Administración Pública</w:t>
      </w:r>
      <w:r w:rsidR="00705E6D" w:rsidRPr="004E350C">
        <w:rPr>
          <w:rFonts w:ascii="Arial" w:eastAsia="Calibri" w:hAnsi="Arial" w:cs="Arial"/>
        </w:rPr>
        <w:t xml:space="preserve"> su utilización</w:t>
      </w:r>
      <w:r w:rsidR="00D02694" w:rsidRPr="004E350C">
        <w:rPr>
          <w:rFonts w:ascii="Arial" w:eastAsia="Calibri" w:hAnsi="Arial" w:cs="Arial"/>
        </w:rPr>
        <w:t xml:space="preserve"> en los procesos de selección que adelanten, quedando vedadas de la posibilidad de efectuar modificaciones a las condiciones habilitantes, factores de escogencia y sistemas de ponderación contenidos en los mismos, por lo que solo podrán realizar modifi</w:t>
      </w:r>
      <w:r w:rsidR="00D26E76" w:rsidRPr="004E350C">
        <w:rPr>
          <w:rFonts w:ascii="Arial" w:eastAsia="Calibri" w:hAnsi="Arial" w:cs="Arial"/>
        </w:rPr>
        <w:t>c</w:t>
      </w:r>
      <w:r w:rsidR="00D02694" w:rsidRPr="004E350C">
        <w:rPr>
          <w:rFonts w:ascii="Arial" w:eastAsia="Calibri" w:hAnsi="Arial" w:cs="Arial"/>
        </w:rPr>
        <w:t xml:space="preserve">aciones en los lugares en que expresamente lo establezcan </w:t>
      </w:r>
      <w:r>
        <w:rPr>
          <w:rFonts w:ascii="Arial" w:eastAsia="Calibri" w:hAnsi="Arial" w:cs="Arial"/>
        </w:rPr>
        <w:t xml:space="preserve">y permitan </w:t>
      </w:r>
      <w:r w:rsidR="00D02694" w:rsidRPr="004E350C">
        <w:rPr>
          <w:rFonts w:ascii="Arial" w:eastAsia="Calibri" w:hAnsi="Arial" w:cs="Arial"/>
        </w:rPr>
        <w:t>los Documentos Tipo.</w:t>
      </w:r>
    </w:p>
    <w:p w14:paraId="3A29433D" w14:textId="2B0EE41E" w:rsidR="00A95599" w:rsidRPr="004E350C" w:rsidRDefault="00A95599" w:rsidP="00F04596">
      <w:pPr>
        <w:tabs>
          <w:tab w:val="left" w:pos="426"/>
        </w:tabs>
        <w:spacing w:after="0"/>
        <w:ind w:firstLine="709"/>
        <w:jc w:val="both"/>
        <w:rPr>
          <w:rFonts w:ascii="Arial" w:eastAsia="Calibri" w:hAnsi="Arial" w:cs="Arial"/>
        </w:rPr>
      </w:pPr>
      <w:r w:rsidRPr="004E350C">
        <w:rPr>
          <w:rFonts w:ascii="Arial" w:eastAsia="Calibri" w:hAnsi="Arial" w:cs="Arial"/>
        </w:rPr>
        <w:t xml:space="preserve">De acuerdo con lo anterior, la introducción del  Documento Base </w:t>
      </w:r>
      <w:r w:rsidR="002B70A4" w:rsidRPr="004E350C">
        <w:rPr>
          <w:rFonts w:ascii="Arial" w:eastAsia="Calibri" w:hAnsi="Arial" w:cs="Arial"/>
        </w:rPr>
        <w:t>del documento tipo de</w:t>
      </w:r>
      <w:r w:rsidRPr="004E350C">
        <w:rPr>
          <w:rFonts w:ascii="Arial" w:eastAsia="Calibri" w:hAnsi="Arial" w:cs="Arial"/>
        </w:rPr>
        <w:t xml:space="preserve"> </w:t>
      </w:r>
      <w:r w:rsidR="002B70A4" w:rsidRPr="004E350C">
        <w:rPr>
          <w:rFonts w:ascii="Arial" w:eastAsia="Calibri" w:hAnsi="Arial" w:cs="Arial"/>
        </w:rPr>
        <w:t>licitación de obra infraestructura de transporte ‒ versión 3</w:t>
      </w:r>
      <w:r w:rsidRPr="004E350C">
        <w:rPr>
          <w:rFonts w:ascii="Arial" w:eastAsia="Calibri" w:hAnsi="Arial" w:cs="Arial"/>
        </w:rPr>
        <w:t xml:space="preserve">, señala claramente que «[Los </w:t>
      </w:r>
      <w:r w:rsidRPr="004E350C">
        <w:rPr>
          <w:rFonts w:ascii="Arial" w:eastAsia="Calibri" w:hAnsi="Arial" w:cs="Arial"/>
        </w:rPr>
        <w:lastRenderedPageBreak/>
        <w:t>aspectos incluidos en corchetes y resaltado</w:t>
      </w:r>
      <w:r w:rsidR="00007EC7" w:rsidRPr="004E350C">
        <w:rPr>
          <w:rFonts w:ascii="Arial" w:eastAsia="Calibri" w:hAnsi="Arial" w:cs="Arial"/>
        </w:rPr>
        <w:t>s en</w:t>
      </w:r>
      <w:r w:rsidRPr="004E350C">
        <w:rPr>
          <w:rFonts w:ascii="Arial" w:eastAsia="Calibri" w:hAnsi="Arial" w:cs="Arial"/>
        </w:rPr>
        <w:t xml:space="preserve"> gris deben ser diligenciados por la Entidad]», es decir, la entidad puede modificar o estructurar los aspectos que cumplen con estos parámetros o aquellos que expresamente señalan los documentos que deben ser definidos por la entidad. Por regla general, los aspectos relacionados con el objeto, su alcance y especificaciones técnicas necesarias para la ejecución de la obra deben ser configurados por la entidad, con excepción de aquellos establecidos en los Documentos Tipo, sin la posibilidad de establecer reglas o requisitos adicionales para la acreditación de los requisitos habilitantes y de asignación de puntaje, porque han sido definidos en </w:t>
      </w:r>
      <w:r w:rsidR="002B70A4" w:rsidRPr="004E350C">
        <w:rPr>
          <w:rFonts w:ascii="Arial" w:eastAsia="Calibri" w:hAnsi="Arial" w:cs="Arial"/>
        </w:rPr>
        <w:t>los</w:t>
      </w:r>
      <w:r w:rsidRPr="004E350C">
        <w:rPr>
          <w:rFonts w:ascii="Arial" w:eastAsia="Calibri" w:hAnsi="Arial" w:cs="Arial"/>
        </w:rPr>
        <w:t xml:space="preserve"> </w:t>
      </w:r>
      <w:r w:rsidR="002B70A4" w:rsidRPr="004E350C">
        <w:rPr>
          <w:rFonts w:ascii="Arial" w:eastAsia="Calibri" w:hAnsi="Arial" w:cs="Arial"/>
        </w:rPr>
        <w:t>d</w:t>
      </w:r>
      <w:r w:rsidRPr="004E350C">
        <w:rPr>
          <w:rFonts w:ascii="Arial" w:eastAsia="Calibri" w:hAnsi="Arial" w:cs="Arial"/>
        </w:rPr>
        <w:t>ocument</w:t>
      </w:r>
      <w:r w:rsidR="002B70A4" w:rsidRPr="004E350C">
        <w:rPr>
          <w:rFonts w:ascii="Arial" w:eastAsia="Calibri" w:hAnsi="Arial" w:cs="Arial"/>
        </w:rPr>
        <w:t>os tipo</w:t>
      </w:r>
      <w:r w:rsidRPr="004E350C">
        <w:rPr>
          <w:rFonts w:ascii="Arial" w:eastAsia="Calibri" w:hAnsi="Arial" w:cs="Arial"/>
        </w:rPr>
        <w:t>.</w:t>
      </w:r>
    </w:p>
    <w:p w14:paraId="1E567BF3" w14:textId="77777777" w:rsidR="00F04596" w:rsidRPr="004E350C" w:rsidRDefault="00F04596" w:rsidP="00F04596">
      <w:pPr>
        <w:tabs>
          <w:tab w:val="left" w:pos="426"/>
        </w:tabs>
        <w:spacing w:after="0"/>
        <w:ind w:firstLine="709"/>
        <w:jc w:val="both"/>
        <w:rPr>
          <w:rFonts w:ascii="Arial" w:eastAsia="Calibri" w:hAnsi="Arial" w:cs="Arial"/>
        </w:rPr>
      </w:pPr>
    </w:p>
    <w:p w14:paraId="76DDD6CA" w14:textId="373C9858" w:rsidR="00C22526" w:rsidRPr="004E350C" w:rsidRDefault="00C22526" w:rsidP="00F04596">
      <w:pPr>
        <w:tabs>
          <w:tab w:val="left" w:pos="426"/>
        </w:tabs>
        <w:spacing w:after="0"/>
        <w:jc w:val="both"/>
        <w:rPr>
          <w:rFonts w:ascii="Arial" w:eastAsia="Calibri" w:hAnsi="Arial" w:cs="Arial"/>
          <w:b/>
          <w:lang w:val="es-MX"/>
        </w:rPr>
      </w:pPr>
      <w:r w:rsidRPr="004E350C">
        <w:rPr>
          <w:rFonts w:ascii="Arial" w:eastAsia="Calibri" w:hAnsi="Arial" w:cs="Arial"/>
          <w:b/>
          <w:lang w:val="es-MX"/>
        </w:rPr>
        <w:t>2.2 Acreditación de</w:t>
      </w:r>
      <w:r w:rsidR="00360115">
        <w:rPr>
          <w:rFonts w:ascii="Arial" w:eastAsia="Calibri" w:hAnsi="Arial" w:cs="Arial"/>
          <w:b/>
          <w:lang w:val="es-MX"/>
        </w:rPr>
        <w:t xml:space="preserve"> </w:t>
      </w:r>
      <w:r w:rsidRPr="004E350C">
        <w:rPr>
          <w:rFonts w:ascii="Arial" w:eastAsia="Calibri" w:hAnsi="Arial" w:cs="Arial"/>
          <w:b/>
          <w:lang w:val="es-MX"/>
        </w:rPr>
        <w:t>l</w:t>
      </w:r>
      <w:r w:rsidR="00360115">
        <w:rPr>
          <w:rFonts w:ascii="Arial" w:eastAsia="Calibri" w:hAnsi="Arial" w:cs="Arial"/>
          <w:b/>
          <w:lang w:val="es-MX"/>
        </w:rPr>
        <w:t>os</w:t>
      </w:r>
      <w:r w:rsidRPr="004E350C">
        <w:rPr>
          <w:rFonts w:ascii="Arial" w:eastAsia="Calibri" w:hAnsi="Arial" w:cs="Arial"/>
          <w:b/>
          <w:lang w:val="es-MX"/>
        </w:rPr>
        <w:t xml:space="preserve"> </w:t>
      </w:r>
      <w:r w:rsidR="00360115">
        <w:rPr>
          <w:rFonts w:ascii="Arial" w:eastAsia="Calibri" w:hAnsi="Arial" w:cs="Arial"/>
          <w:b/>
          <w:lang w:val="es-MX"/>
        </w:rPr>
        <w:t>«</w:t>
      </w:r>
      <w:r w:rsidRPr="004E350C">
        <w:rPr>
          <w:rFonts w:ascii="Arial" w:eastAsia="Calibri" w:hAnsi="Arial" w:cs="Arial"/>
          <w:b/>
          <w:lang w:val="es-MX"/>
        </w:rPr>
        <w:t>factor</w:t>
      </w:r>
      <w:r w:rsidR="00360115">
        <w:rPr>
          <w:rFonts w:ascii="Arial" w:eastAsia="Calibri" w:hAnsi="Arial" w:cs="Arial"/>
          <w:b/>
          <w:lang w:val="es-MX"/>
        </w:rPr>
        <w:t>es</w:t>
      </w:r>
      <w:r w:rsidRPr="004E350C">
        <w:rPr>
          <w:rFonts w:ascii="Arial" w:eastAsia="Calibri" w:hAnsi="Arial" w:cs="Arial"/>
          <w:b/>
          <w:lang w:val="es-MX"/>
        </w:rPr>
        <w:t xml:space="preserve"> de calidad</w:t>
      </w:r>
      <w:r w:rsidR="00360115">
        <w:rPr>
          <w:rFonts w:ascii="Arial" w:eastAsia="Calibri" w:hAnsi="Arial" w:cs="Arial"/>
          <w:b/>
          <w:lang w:val="es-MX"/>
        </w:rPr>
        <w:t>»</w:t>
      </w:r>
      <w:r w:rsidRPr="004E350C">
        <w:rPr>
          <w:rFonts w:ascii="Arial" w:eastAsia="Calibri" w:hAnsi="Arial" w:cs="Arial"/>
          <w:b/>
          <w:lang w:val="es-MX"/>
        </w:rPr>
        <w:t xml:space="preserve"> </w:t>
      </w:r>
    </w:p>
    <w:p w14:paraId="37860875" w14:textId="77777777" w:rsidR="00F04596" w:rsidRPr="004E350C" w:rsidRDefault="00F04596" w:rsidP="00F04596">
      <w:pPr>
        <w:tabs>
          <w:tab w:val="left" w:pos="426"/>
        </w:tabs>
        <w:spacing w:after="0"/>
        <w:jc w:val="both"/>
        <w:rPr>
          <w:rFonts w:ascii="Arial" w:eastAsia="Calibri" w:hAnsi="Arial" w:cs="Arial"/>
          <w:b/>
          <w:lang w:val="es-MX"/>
        </w:rPr>
      </w:pPr>
    </w:p>
    <w:p w14:paraId="2BFF3AC2" w14:textId="67101C14" w:rsidR="005717DA" w:rsidRPr="004E350C" w:rsidRDefault="005717DA" w:rsidP="00B6742A">
      <w:pPr>
        <w:spacing w:after="120"/>
        <w:jc w:val="both"/>
        <w:rPr>
          <w:rFonts w:ascii="Arial" w:eastAsia="Calibri" w:hAnsi="Arial" w:cs="Arial"/>
          <w:color w:val="000000" w:themeColor="text1"/>
        </w:rPr>
      </w:pPr>
      <w:r w:rsidRPr="004E350C">
        <w:rPr>
          <w:rFonts w:ascii="Arial" w:eastAsia="Calibri" w:hAnsi="Arial" w:cs="Arial"/>
          <w:color w:val="000000" w:themeColor="text1"/>
        </w:rPr>
        <w:t xml:space="preserve">En el capítulo IV del «Documento Base o Pliego Tipo» </w:t>
      </w:r>
      <w:r w:rsidR="00765C91" w:rsidRPr="004E350C">
        <w:rPr>
          <w:rFonts w:ascii="Arial" w:eastAsia="Calibri" w:hAnsi="Arial" w:cs="Arial"/>
          <w:color w:val="000000" w:themeColor="text1"/>
        </w:rPr>
        <w:t xml:space="preserve">de Licitación de </w:t>
      </w:r>
      <w:r w:rsidR="005A4FE5">
        <w:rPr>
          <w:rFonts w:ascii="Arial" w:eastAsia="Calibri" w:hAnsi="Arial" w:cs="Arial"/>
          <w:color w:val="000000" w:themeColor="text1"/>
        </w:rPr>
        <w:t xml:space="preserve">Obras de </w:t>
      </w:r>
      <w:r w:rsidR="00765C91" w:rsidRPr="004E350C">
        <w:rPr>
          <w:rFonts w:ascii="Arial" w:eastAsia="Calibri" w:hAnsi="Arial" w:cs="Arial"/>
          <w:color w:val="000000" w:themeColor="text1"/>
        </w:rPr>
        <w:t xml:space="preserve">Infraestructura de Transporte  </w:t>
      </w:r>
      <w:r w:rsidR="005A4FE5">
        <w:rPr>
          <w:rFonts w:ascii="Arial" w:eastAsia="Calibri" w:hAnsi="Arial" w:cs="Arial"/>
          <w:color w:val="000000" w:themeColor="text1"/>
        </w:rPr>
        <w:t>–</w:t>
      </w:r>
      <w:r w:rsidR="00765C91" w:rsidRPr="004E350C">
        <w:rPr>
          <w:rFonts w:ascii="Arial" w:eastAsia="Calibri" w:hAnsi="Arial" w:cs="Arial"/>
          <w:color w:val="000000" w:themeColor="text1"/>
        </w:rPr>
        <w:t xml:space="preserve"> Versión 3, </w:t>
      </w:r>
      <w:r w:rsidRPr="004E350C">
        <w:rPr>
          <w:rFonts w:ascii="Arial" w:eastAsia="Calibri" w:hAnsi="Arial" w:cs="Arial"/>
          <w:color w:val="000000" w:themeColor="text1"/>
        </w:rPr>
        <w:t xml:space="preserve">se señalan los criterios de evaluación, asignación de puntaje y criterios de desempate a aplicarse en el correspondiente proceso de selección, señalándose que la </w:t>
      </w:r>
      <w:r w:rsidR="005A4FE5" w:rsidRPr="004E350C">
        <w:rPr>
          <w:rFonts w:ascii="Arial" w:eastAsia="Calibri" w:hAnsi="Arial" w:cs="Arial"/>
          <w:color w:val="000000" w:themeColor="text1"/>
        </w:rPr>
        <w:t xml:space="preserve">entidad </w:t>
      </w:r>
      <w:r w:rsidRPr="004E350C">
        <w:rPr>
          <w:rFonts w:ascii="Arial" w:eastAsia="Calibri" w:hAnsi="Arial" w:cs="Arial"/>
          <w:color w:val="000000" w:themeColor="text1"/>
        </w:rPr>
        <w:t>respectiva calificará las ofertas que hayan cumplido con los requisitos habilitantes con los siguientes puntajes máximos: i) oferta económica (60 puntos), ii) factor de calidad (19 puntos), iii) apoyo a la industria nacional (20 puntos) y iv) vinculación de personas con discapacidad (1 punto)</w:t>
      </w:r>
      <w:r w:rsidR="00961392" w:rsidRPr="004E350C">
        <w:rPr>
          <w:rStyle w:val="Refdenotaalpie"/>
          <w:rFonts w:ascii="Arial" w:eastAsia="Calibri" w:hAnsi="Arial" w:cs="Arial"/>
          <w:color w:val="000000" w:themeColor="text1"/>
        </w:rPr>
        <w:footnoteReference w:id="4"/>
      </w:r>
      <w:r w:rsidR="00961392" w:rsidRPr="004E350C">
        <w:rPr>
          <w:rFonts w:ascii="Arial" w:eastAsia="Calibri" w:hAnsi="Arial" w:cs="Arial"/>
          <w:color w:val="000000" w:themeColor="text1"/>
        </w:rPr>
        <w:t>.</w:t>
      </w:r>
    </w:p>
    <w:p w14:paraId="2B1A3FF5" w14:textId="6A627B00" w:rsidR="00BD11AE" w:rsidRPr="004E350C" w:rsidRDefault="00A4507F" w:rsidP="00BD11AE">
      <w:pPr>
        <w:tabs>
          <w:tab w:val="left" w:pos="426"/>
        </w:tabs>
        <w:spacing w:after="120"/>
        <w:ind w:firstLine="709"/>
        <w:jc w:val="both"/>
        <w:rPr>
          <w:rFonts w:ascii="Arial" w:eastAsia="Calibri" w:hAnsi="Arial" w:cs="Arial"/>
        </w:rPr>
      </w:pPr>
      <w:r w:rsidRPr="004E350C">
        <w:rPr>
          <w:rFonts w:ascii="Arial" w:eastAsia="Calibri" w:hAnsi="Arial" w:cs="Arial"/>
          <w:lang w:val="es-ES"/>
        </w:rPr>
        <w:t>De otro lado, el numeral 4.2.</w:t>
      </w:r>
      <w:r w:rsidR="00BD11AE" w:rsidRPr="004E350C">
        <w:rPr>
          <w:rFonts w:ascii="Arial" w:eastAsia="Calibri" w:hAnsi="Arial" w:cs="Arial"/>
          <w:lang w:val="es-ES"/>
        </w:rPr>
        <w:t xml:space="preserve"> establece que </w:t>
      </w:r>
      <w:r w:rsidR="00F136E6" w:rsidRPr="004E350C">
        <w:rPr>
          <w:rFonts w:ascii="Arial" w:eastAsia="Calibri" w:hAnsi="Arial" w:cs="Arial"/>
          <w:lang w:val="es-ES"/>
        </w:rPr>
        <w:t>de acuerdo con</w:t>
      </w:r>
      <w:r w:rsidR="00C42DB8" w:rsidRPr="004E350C">
        <w:rPr>
          <w:rFonts w:ascii="Arial" w:eastAsia="Calibri" w:hAnsi="Arial" w:cs="Arial"/>
          <w:lang w:val="es-ES"/>
        </w:rPr>
        <w:t xml:space="preserve"> la justificación consignada en el estudio del sector, estudios y documentos previos, </w:t>
      </w:r>
      <w:r w:rsidR="00BD11AE" w:rsidRPr="004E350C">
        <w:rPr>
          <w:rFonts w:ascii="Arial" w:eastAsia="Calibri" w:hAnsi="Arial" w:cs="Arial"/>
          <w:lang w:val="es-ES"/>
        </w:rPr>
        <w:t xml:space="preserve">la entidad contratante deberá elegir una o </w:t>
      </w:r>
      <w:r w:rsidR="00577880" w:rsidRPr="004E350C">
        <w:rPr>
          <w:rFonts w:ascii="Arial" w:eastAsia="Calibri" w:hAnsi="Arial" w:cs="Arial"/>
          <w:lang w:val="es-ES"/>
        </w:rPr>
        <w:t xml:space="preserve">máximo tres de </w:t>
      </w:r>
      <w:r w:rsidR="00BD11AE" w:rsidRPr="004E350C">
        <w:rPr>
          <w:rFonts w:ascii="Arial" w:eastAsia="Calibri" w:hAnsi="Arial" w:cs="Arial"/>
          <w:lang w:val="es-ES"/>
        </w:rPr>
        <w:t>las cuatro opciones previstas para evaluar el factor calidad,</w:t>
      </w:r>
      <w:r w:rsidR="00C42DB8" w:rsidRPr="004E350C">
        <w:rPr>
          <w:rFonts w:ascii="Arial" w:eastAsia="Calibri" w:hAnsi="Arial" w:cs="Arial"/>
          <w:lang w:val="es-ES"/>
        </w:rPr>
        <w:t xml:space="preserve"> </w:t>
      </w:r>
      <w:r w:rsidR="00BD11AE" w:rsidRPr="004E350C">
        <w:rPr>
          <w:rFonts w:ascii="Arial" w:eastAsia="Calibri" w:hAnsi="Arial" w:cs="Arial"/>
          <w:lang w:val="es-ES"/>
        </w:rPr>
        <w:t>siendo estas: (i) implementación del programa de gerencia de proyectos; (ii) disponibilidad y condiciones funcionales de la maquinaria de obra; (iii) presentación de un plan de calidad y</w:t>
      </w:r>
      <w:r w:rsidR="00BD11AE" w:rsidRPr="004E350C">
        <w:rPr>
          <w:rFonts w:ascii="Arial" w:eastAsia="Calibri" w:hAnsi="Arial" w:cs="Arial"/>
        </w:rPr>
        <w:t xml:space="preserve">/o </w:t>
      </w:r>
      <w:r w:rsidR="00BD11AE" w:rsidRPr="004E350C">
        <w:rPr>
          <w:rFonts w:ascii="Arial" w:eastAsia="Calibri" w:hAnsi="Arial" w:cs="Arial"/>
          <w:lang w:val="es-ES"/>
        </w:rPr>
        <w:t xml:space="preserve"> (iv) garantía suplementaria o adicional por cuenta del Contratista</w:t>
      </w:r>
      <w:r w:rsidR="00A310AA">
        <w:rPr>
          <w:rFonts w:ascii="Arial" w:eastAsia="Calibri" w:hAnsi="Arial" w:cs="Arial"/>
          <w:lang w:val="es-ES"/>
        </w:rPr>
        <w:t>.</w:t>
      </w:r>
      <w:r w:rsidR="00C42DB8" w:rsidRPr="004E350C">
        <w:rPr>
          <w:rFonts w:ascii="Arial" w:eastAsia="Calibri" w:hAnsi="Arial" w:cs="Arial"/>
          <w:lang w:val="es-ES"/>
        </w:rPr>
        <w:t xml:space="preserve"> </w:t>
      </w:r>
      <w:r w:rsidR="00A310AA">
        <w:rPr>
          <w:rFonts w:ascii="Arial" w:eastAsia="Calibri" w:hAnsi="Arial" w:cs="Arial"/>
          <w:lang w:val="es-ES"/>
        </w:rPr>
        <w:t>P</w:t>
      </w:r>
      <w:r w:rsidR="00C42DB8" w:rsidRPr="004E350C">
        <w:rPr>
          <w:rFonts w:ascii="Arial" w:eastAsia="Calibri" w:hAnsi="Arial" w:cs="Arial"/>
          <w:lang w:val="es-ES"/>
        </w:rPr>
        <w:t>ara esta última</w:t>
      </w:r>
      <w:r w:rsidR="00CA7B55" w:rsidRPr="004E350C">
        <w:rPr>
          <w:rFonts w:ascii="Arial" w:eastAsia="Calibri" w:hAnsi="Arial" w:cs="Arial"/>
          <w:lang w:val="es-ES"/>
        </w:rPr>
        <w:t>,</w:t>
      </w:r>
      <w:r w:rsidR="00BD11AE" w:rsidRPr="004E350C">
        <w:rPr>
          <w:rFonts w:ascii="Arial" w:eastAsia="Calibri" w:hAnsi="Arial" w:cs="Arial"/>
          <w:lang w:val="es-ES"/>
        </w:rPr>
        <w:t xml:space="preserve"> </w:t>
      </w:r>
      <w:r w:rsidR="00C42DB8" w:rsidRPr="004E350C">
        <w:rPr>
          <w:rFonts w:ascii="Arial" w:eastAsia="Calibri" w:hAnsi="Arial" w:cs="Arial"/>
          <w:lang w:val="es-ES"/>
        </w:rPr>
        <w:t>se prevé una regulación especial en el numeral 4.2.4., en el que se precisa que será obligatori</w:t>
      </w:r>
      <w:r w:rsidR="00A310AA">
        <w:rPr>
          <w:rFonts w:ascii="Arial" w:eastAsia="Calibri" w:hAnsi="Arial" w:cs="Arial"/>
          <w:lang w:val="es-ES"/>
        </w:rPr>
        <w:t>o este factor de calidad</w:t>
      </w:r>
      <w:r w:rsidR="00C42DB8" w:rsidRPr="004E350C">
        <w:rPr>
          <w:rFonts w:ascii="Arial" w:eastAsia="Calibri" w:hAnsi="Arial" w:cs="Arial"/>
          <w:lang w:val="es-ES"/>
        </w:rPr>
        <w:t xml:space="preserve"> cuando se trate de obras nuevas y el puntaje que se le asignará será de mínimo </w:t>
      </w:r>
      <w:r w:rsidR="00F968C6" w:rsidRPr="004E350C">
        <w:rPr>
          <w:rFonts w:ascii="Arial" w:eastAsia="Calibri" w:hAnsi="Arial" w:cs="Arial"/>
          <w:lang w:val="es-ES"/>
        </w:rPr>
        <w:t>cinco (</w:t>
      </w:r>
      <w:r w:rsidR="00C42DB8" w:rsidRPr="004E350C">
        <w:rPr>
          <w:rFonts w:ascii="Arial" w:eastAsia="Calibri" w:hAnsi="Arial" w:cs="Arial"/>
          <w:lang w:val="es-ES"/>
        </w:rPr>
        <w:t>5</w:t>
      </w:r>
      <w:r w:rsidR="00F968C6" w:rsidRPr="004E350C">
        <w:rPr>
          <w:rFonts w:ascii="Arial" w:eastAsia="Calibri" w:hAnsi="Arial" w:cs="Arial"/>
          <w:lang w:val="es-ES"/>
        </w:rPr>
        <w:t>)</w:t>
      </w:r>
      <w:r w:rsidR="00C42DB8" w:rsidRPr="004E350C">
        <w:rPr>
          <w:rFonts w:ascii="Arial" w:eastAsia="Calibri" w:hAnsi="Arial" w:cs="Arial"/>
          <w:lang w:val="es-ES"/>
        </w:rPr>
        <w:t xml:space="preserve">, </w:t>
      </w:r>
      <w:r w:rsidR="00A310AA">
        <w:rPr>
          <w:rFonts w:ascii="Arial" w:eastAsia="Calibri" w:hAnsi="Arial" w:cs="Arial"/>
          <w:lang w:val="es-ES"/>
        </w:rPr>
        <w:t>sin perjuicio de incluir un puntaje superior para este factor</w:t>
      </w:r>
      <w:r w:rsidR="00F968C6" w:rsidRPr="004E350C">
        <w:rPr>
          <w:rFonts w:ascii="Arial" w:eastAsia="Calibri" w:hAnsi="Arial" w:cs="Arial"/>
          <w:lang w:val="es-ES"/>
        </w:rPr>
        <w:t>.</w:t>
      </w:r>
    </w:p>
    <w:p w14:paraId="0D0900BC" w14:textId="1B289F70" w:rsidR="00BD11AE" w:rsidRPr="004E350C" w:rsidRDefault="00BD11AE" w:rsidP="00BD11AE">
      <w:pPr>
        <w:tabs>
          <w:tab w:val="left" w:pos="426"/>
        </w:tabs>
        <w:spacing w:after="120"/>
        <w:ind w:firstLine="709"/>
        <w:jc w:val="both"/>
        <w:rPr>
          <w:rFonts w:ascii="Arial" w:eastAsia="Calibri" w:hAnsi="Arial" w:cs="Arial"/>
          <w:lang w:val="es-ES"/>
        </w:rPr>
      </w:pPr>
      <w:r w:rsidRPr="004E350C">
        <w:rPr>
          <w:rFonts w:ascii="Arial" w:eastAsia="Calibri" w:hAnsi="Arial" w:cs="Arial"/>
          <w:lang w:val="es-ES"/>
        </w:rPr>
        <w:t xml:space="preserve">Las opciones </w:t>
      </w:r>
      <w:r w:rsidR="00FE00D5" w:rsidRPr="004E350C">
        <w:rPr>
          <w:rFonts w:ascii="Arial" w:eastAsia="Calibri" w:hAnsi="Arial" w:cs="Arial"/>
          <w:lang w:val="es-ES"/>
        </w:rPr>
        <w:t>mencionadas</w:t>
      </w:r>
      <w:r w:rsidR="00C42DB8" w:rsidRPr="004E350C">
        <w:rPr>
          <w:rFonts w:ascii="Arial" w:eastAsia="Calibri" w:hAnsi="Arial" w:cs="Arial"/>
          <w:lang w:val="es-ES"/>
        </w:rPr>
        <w:t xml:space="preserve"> se identifican en el documento base</w:t>
      </w:r>
      <w:r w:rsidR="00FE00D5" w:rsidRPr="004E350C">
        <w:rPr>
          <w:rFonts w:ascii="Arial" w:eastAsia="Calibri" w:hAnsi="Arial" w:cs="Arial"/>
          <w:lang w:val="es-ES"/>
        </w:rPr>
        <w:t xml:space="preserve"> resaltadas en </w:t>
      </w:r>
      <w:r w:rsidR="00C42DB8" w:rsidRPr="004E350C">
        <w:rPr>
          <w:rFonts w:ascii="Arial" w:eastAsia="Calibri" w:hAnsi="Arial" w:cs="Arial"/>
          <w:lang w:val="es-ES"/>
        </w:rPr>
        <w:t>gris y entre corchetes</w:t>
      </w:r>
      <w:r w:rsidR="00CA7B55" w:rsidRPr="004E350C">
        <w:rPr>
          <w:rFonts w:ascii="Arial" w:eastAsia="Calibri" w:hAnsi="Arial" w:cs="Arial"/>
          <w:lang w:val="es-ES"/>
        </w:rPr>
        <w:t xml:space="preserve">, aspecto que indica la libertad de la entidad para efectuar la selección de la o las opciones que considerará para la asignación del puntaje del factor calidad, así como el valor de cada una, excepto en lo referente al mínimo para la opción </w:t>
      </w:r>
      <w:r w:rsidR="00CE07F3" w:rsidRPr="004E350C">
        <w:rPr>
          <w:rFonts w:ascii="Arial" w:eastAsia="Calibri" w:hAnsi="Arial" w:cs="Arial"/>
          <w:lang w:val="es-ES"/>
        </w:rPr>
        <w:t xml:space="preserve">«(iv) garantía </w:t>
      </w:r>
      <w:r w:rsidR="00CE07F3" w:rsidRPr="004E350C">
        <w:rPr>
          <w:rFonts w:ascii="Arial" w:eastAsia="Calibri" w:hAnsi="Arial" w:cs="Arial"/>
          <w:lang w:val="es-ES"/>
        </w:rPr>
        <w:lastRenderedPageBreak/>
        <w:t>suplementaria o adicional por cuenta del Contratista»</w:t>
      </w:r>
      <w:r w:rsidR="00577880" w:rsidRPr="004E350C">
        <w:rPr>
          <w:rFonts w:ascii="Arial" w:eastAsia="Calibri" w:hAnsi="Arial" w:cs="Arial"/>
          <w:lang w:val="es-ES"/>
        </w:rPr>
        <w:t xml:space="preserve">, </w:t>
      </w:r>
      <w:r w:rsidR="00AB1B46">
        <w:rPr>
          <w:rFonts w:ascii="Arial" w:eastAsia="Calibri" w:hAnsi="Arial" w:cs="Arial"/>
          <w:lang w:val="es-ES"/>
        </w:rPr>
        <w:t xml:space="preserve">que como se indicó </w:t>
      </w:r>
      <w:r w:rsidR="00577880" w:rsidRPr="004E350C">
        <w:rPr>
          <w:rFonts w:ascii="Arial" w:eastAsia="Calibri" w:hAnsi="Arial" w:cs="Arial"/>
          <w:lang w:val="es-ES"/>
        </w:rPr>
        <w:t xml:space="preserve">será de </w:t>
      </w:r>
      <w:r w:rsidR="00AB1B46">
        <w:rPr>
          <w:rFonts w:ascii="Arial" w:eastAsia="Calibri" w:hAnsi="Arial" w:cs="Arial"/>
          <w:lang w:val="es-ES"/>
        </w:rPr>
        <w:t xml:space="preserve">mínimo </w:t>
      </w:r>
      <w:r w:rsidR="00577880" w:rsidRPr="004E350C">
        <w:rPr>
          <w:rFonts w:ascii="Arial" w:eastAsia="Calibri" w:hAnsi="Arial" w:cs="Arial"/>
          <w:lang w:val="es-ES"/>
        </w:rPr>
        <w:t>cinco (5) puntos,</w:t>
      </w:r>
      <w:r w:rsidR="00CE07F3" w:rsidRPr="004E350C">
        <w:rPr>
          <w:rFonts w:ascii="Arial" w:eastAsia="Calibri" w:hAnsi="Arial" w:cs="Arial"/>
          <w:lang w:val="es-ES"/>
        </w:rPr>
        <w:t xml:space="preserve"> </w:t>
      </w:r>
      <w:r w:rsidR="00AB1B46">
        <w:rPr>
          <w:rFonts w:ascii="Arial" w:eastAsia="Calibri" w:hAnsi="Arial" w:cs="Arial"/>
          <w:lang w:val="es-ES"/>
        </w:rPr>
        <w:t>sin perjuicio de incluir un puntaje superior para este factor</w:t>
      </w:r>
      <w:r w:rsidR="00CE07F3" w:rsidRPr="004E350C">
        <w:rPr>
          <w:rFonts w:ascii="Arial" w:eastAsia="Calibri" w:hAnsi="Arial" w:cs="Arial"/>
          <w:lang w:val="es-ES"/>
        </w:rPr>
        <w:t>.</w:t>
      </w:r>
    </w:p>
    <w:p w14:paraId="175D25DC" w14:textId="0079550C" w:rsidR="00F4440D" w:rsidRPr="004E350C" w:rsidRDefault="00D5452F" w:rsidP="00DE0E3A">
      <w:pPr>
        <w:tabs>
          <w:tab w:val="left" w:pos="426"/>
        </w:tabs>
        <w:spacing w:after="120"/>
        <w:ind w:firstLine="709"/>
        <w:jc w:val="both"/>
        <w:rPr>
          <w:rFonts w:ascii="Arial" w:eastAsia="Calibri" w:hAnsi="Arial" w:cs="Arial"/>
          <w:lang w:val="es-ES"/>
        </w:rPr>
      </w:pPr>
      <w:r w:rsidRPr="004E350C">
        <w:rPr>
          <w:rFonts w:ascii="Arial" w:eastAsia="Calibri" w:hAnsi="Arial" w:cs="Arial"/>
          <w:lang w:val="es-ES"/>
        </w:rPr>
        <w:t>De igual forma, precisa el numeral 4.2 del pliego tipo, c</w:t>
      </w:r>
      <w:r w:rsidR="00577880" w:rsidRPr="004E350C">
        <w:rPr>
          <w:rFonts w:ascii="Arial" w:eastAsia="Calibri" w:hAnsi="Arial" w:cs="Arial"/>
          <w:lang w:val="es-ES"/>
        </w:rPr>
        <w:t>omo parte de la valoración del factor calidad,</w:t>
      </w:r>
      <w:r w:rsidRPr="004E350C">
        <w:rPr>
          <w:rFonts w:ascii="Arial" w:eastAsia="Calibri" w:hAnsi="Arial" w:cs="Arial"/>
          <w:lang w:val="es-ES"/>
        </w:rPr>
        <w:t xml:space="preserve"> que las entidades estatales deberán consultar el</w:t>
      </w:r>
      <w:r w:rsidR="00577880" w:rsidRPr="004E350C">
        <w:rPr>
          <w:rFonts w:ascii="Arial" w:eastAsia="Calibri" w:hAnsi="Arial" w:cs="Arial"/>
          <w:lang w:val="es-ES"/>
        </w:rPr>
        <w:t xml:space="preserve"> </w:t>
      </w:r>
      <w:r w:rsidRPr="004E350C">
        <w:rPr>
          <w:rFonts w:ascii="Arial" w:eastAsia="Calibri" w:hAnsi="Arial" w:cs="Arial"/>
          <w:lang w:val="es-ES"/>
        </w:rPr>
        <w:t>Registro Nacional de Obras Civiles Inconclusas, de que trata la Ley 2020 de 2020, y descontar un (1) punto de la sumatoria obtenida en relación con el factor de calidad al proponente que cuente con alguna anotación vigente</w:t>
      </w:r>
      <w:r w:rsidR="00AB1B46">
        <w:rPr>
          <w:rStyle w:val="Refdenotaalpie"/>
          <w:rFonts w:ascii="Arial" w:eastAsia="Calibri" w:hAnsi="Arial" w:cs="Arial"/>
          <w:lang w:val="es-ES"/>
        </w:rPr>
        <w:footnoteReference w:id="5"/>
      </w:r>
      <w:r w:rsidRPr="004E350C">
        <w:rPr>
          <w:rFonts w:ascii="Arial" w:eastAsia="Calibri" w:hAnsi="Arial" w:cs="Arial"/>
          <w:lang w:val="es-ES"/>
        </w:rPr>
        <w:t>.</w:t>
      </w:r>
    </w:p>
    <w:p w14:paraId="7AB05967" w14:textId="34AE9722" w:rsidR="00F4440D" w:rsidRPr="004E350C" w:rsidRDefault="00E46D40" w:rsidP="00BD11AE">
      <w:pPr>
        <w:tabs>
          <w:tab w:val="left" w:pos="426"/>
        </w:tabs>
        <w:spacing w:after="120"/>
        <w:ind w:firstLine="709"/>
        <w:jc w:val="both"/>
        <w:rPr>
          <w:rFonts w:ascii="Arial" w:eastAsia="Calibri" w:hAnsi="Arial" w:cs="Arial"/>
          <w:lang w:val="es-ES"/>
        </w:rPr>
      </w:pPr>
      <w:r>
        <w:rPr>
          <w:rFonts w:ascii="Arial" w:eastAsia="Calibri" w:hAnsi="Arial" w:cs="Arial"/>
        </w:rPr>
        <w:t>En caunto a la acreditación de los ofrecimientos del factor de calidad durante el procedimiento de selección, respecto</w:t>
      </w:r>
      <w:r w:rsidR="00F4440D" w:rsidRPr="004E350C">
        <w:rPr>
          <w:rFonts w:ascii="Arial" w:eastAsia="Calibri" w:hAnsi="Arial" w:cs="Arial"/>
        </w:rPr>
        <w:t xml:space="preserve"> al criterio de «</w:t>
      </w:r>
      <w:r w:rsidR="00F4440D" w:rsidRPr="004E350C">
        <w:rPr>
          <w:rFonts w:ascii="Arial" w:eastAsia="Calibri" w:hAnsi="Arial" w:cs="Arial"/>
          <w:lang w:val="es-ES"/>
        </w:rPr>
        <w:t>implementación del programa de gerencia de proyectos»</w:t>
      </w:r>
      <w:r w:rsidR="00CC7CB5" w:rsidRPr="004E350C">
        <w:rPr>
          <w:rFonts w:ascii="Arial" w:eastAsia="Calibri" w:hAnsi="Arial" w:cs="Arial"/>
          <w:lang w:val="es-ES"/>
        </w:rPr>
        <w:t>, se precisa en el numeral 4.2.1 del documento tipo que la entidad asignará el puntaje  que defina «al proponente que se comprometa a instaurar un programa de gerencia de proyectos mediante la suscripción del Formato 7A – Programa de gerencia de proyectos, en el cual bajo la gravedad de juramento conste el compromiso que en este sentido asume»,</w:t>
      </w:r>
      <w:r w:rsidR="00463AA8" w:rsidRPr="004E350C">
        <w:rPr>
          <w:rFonts w:ascii="Arial" w:eastAsia="Calibri" w:hAnsi="Arial" w:cs="Arial"/>
          <w:lang w:val="es-ES"/>
        </w:rPr>
        <w:t xml:space="preserve"> sin que para efectos de la evaluación y asignación de puntaje para dicho factor se hagan exigencias adicionales en el pliego tipo, requerimientos que s</w:t>
      </w:r>
      <w:r>
        <w:rPr>
          <w:rFonts w:ascii="Arial" w:eastAsia="Calibri" w:hAnsi="Arial" w:cs="Arial"/>
          <w:lang w:val="es-ES"/>
        </w:rPr>
        <w:t>í</w:t>
      </w:r>
      <w:r w:rsidR="00463AA8" w:rsidRPr="004E350C">
        <w:rPr>
          <w:rFonts w:ascii="Arial" w:eastAsia="Calibri" w:hAnsi="Arial" w:cs="Arial"/>
          <w:lang w:val="es-ES"/>
        </w:rPr>
        <w:t xml:space="preserve"> procederán </w:t>
      </w:r>
      <w:r>
        <w:rPr>
          <w:rFonts w:ascii="Arial" w:eastAsia="Calibri" w:hAnsi="Arial" w:cs="Arial"/>
          <w:lang w:val="es-ES"/>
        </w:rPr>
        <w:t>posteriormente frente al</w:t>
      </w:r>
      <w:r w:rsidRPr="004E350C">
        <w:rPr>
          <w:rFonts w:ascii="Arial" w:eastAsia="Calibri" w:hAnsi="Arial" w:cs="Arial"/>
          <w:lang w:val="es-ES"/>
        </w:rPr>
        <w:t xml:space="preserve"> </w:t>
      </w:r>
      <w:r w:rsidR="00463AA8" w:rsidRPr="004E350C">
        <w:rPr>
          <w:rFonts w:ascii="Arial" w:eastAsia="Calibri" w:hAnsi="Arial" w:cs="Arial"/>
          <w:lang w:val="es-ES"/>
        </w:rPr>
        <w:t>adjudicatario, quien en la etapa respectiva s</w:t>
      </w:r>
      <w:r>
        <w:rPr>
          <w:rFonts w:ascii="Arial" w:eastAsia="Calibri" w:hAnsi="Arial" w:cs="Arial"/>
          <w:lang w:val="es-ES"/>
        </w:rPr>
        <w:t>í</w:t>
      </w:r>
      <w:r w:rsidR="00463AA8" w:rsidRPr="004E350C">
        <w:rPr>
          <w:rFonts w:ascii="Arial" w:eastAsia="Calibri" w:hAnsi="Arial" w:cs="Arial"/>
          <w:lang w:val="es-ES"/>
        </w:rPr>
        <w:t xml:space="preserve"> deberá instaurar el programa de gerencia de proyectos y aportar la documentación  </w:t>
      </w:r>
      <w:r w:rsidR="00944CDA" w:rsidRPr="004E350C">
        <w:rPr>
          <w:rFonts w:ascii="Arial" w:eastAsia="Calibri" w:hAnsi="Arial" w:cs="Arial"/>
          <w:lang w:val="es-ES"/>
        </w:rPr>
        <w:t>prevista para tal fin.</w:t>
      </w:r>
      <w:r w:rsidR="00463AA8" w:rsidRPr="004E350C">
        <w:rPr>
          <w:rFonts w:ascii="Arial" w:eastAsia="Calibri" w:hAnsi="Arial" w:cs="Arial"/>
          <w:lang w:val="es-ES"/>
        </w:rPr>
        <w:t xml:space="preserve"> </w:t>
      </w:r>
      <w:r w:rsidR="00AA0286" w:rsidRPr="004E350C">
        <w:rPr>
          <w:rFonts w:ascii="Arial" w:eastAsia="Calibri" w:hAnsi="Arial" w:cs="Arial"/>
          <w:lang w:val="es-ES"/>
        </w:rPr>
        <w:t xml:space="preserve"> </w:t>
      </w:r>
    </w:p>
    <w:p w14:paraId="23BE6894" w14:textId="28E8BEBB" w:rsidR="00C71D6F" w:rsidRPr="004E350C" w:rsidRDefault="00AA6FE3" w:rsidP="000A0509">
      <w:pPr>
        <w:tabs>
          <w:tab w:val="left" w:pos="426"/>
        </w:tabs>
        <w:spacing w:after="120"/>
        <w:ind w:firstLine="709"/>
        <w:jc w:val="both"/>
        <w:rPr>
          <w:rFonts w:ascii="Arial" w:eastAsia="Calibri" w:hAnsi="Arial" w:cs="Arial"/>
          <w:lang w:val="es-ES"/>
        </w:rPr>
      </w:pPr>
      <w:r w:rsidRPr="004E350C">
        <w:rPr>
          <w:rFonts w:ascii="Arial" w:eastAsia="Calibri" w:hAnsi="Arial" w:cs="Arial"/>
          <w:lang w:val="es-ES"/>
        </w:rPr>
        <w:t xml:space="preserve">Respecto </w:t>
      </w:r>
      <w:r w:rsidR="00A4507F" w:rsidRPr="004E350C">
        <w:rPr>
          <w:rFonts w:ascii="Arial" w:eastAsia="Calibri" w:hAnsi="Arial" w:cs="Arial"/>
          <w:lang w:val="es-ES"/>
        </w:rPr>
        <w:t>a la disponibilidad y condiciones fun</w:t>
      </w:r>
      <w:r w:rsidR="00DB34EF" w:rsidRPr="004E350C">
        <w:rPr>
          <w:rFonts w:ascii="Arial" w:eastAsia="Calibri" w:hAnsi="Arial" w:cs="Arial"/>
          <w:lang w:val="es-ES"/>
        </w:rPr>
        <w:t xml:space="preserve">cionales de la maquinaría de </w:t>
      </w:r>
      <w:r w:rsidR="00A4507F" w:rsidRPr="004E350C">
        <w:rPr>
          <w:rFonts w:ascii="Arial" w:eastAsia="Calibri" w:hAnsi="Arial" w:cs="Arial"/>
          <w:lang w:val="es-ES"/>
        </w:rPr>
        <w:t xml:space="preserve">obra, </w:t>
      </w:r>
      <w:r w:rsidRPr="004E350C">
        <w:rPr>
          <w:rFonts w:ascii="Arial" w:eastAsia="Calibri" w:hAnsi="Arial" w:cs="Arial"/>
          <w:lang w:val="es-ES"/>
        </w:rPr>
        <w:t xml:space="preserve">en el numeral 4.2.2. </w:t>
      </w:r>
      <w:r w:rsidR="00C71D6F" w:rsidRPr="004E350C">
        <w:rPr>
          <w:rFonts w:ascii="Arial" w:eastAsia="Calibri" w:hAnsi="Arial" w:cs="Arial"/>
        </w:rPr>
        <w:t xml:space="preserve">se señala que </w:t>
      </w:r>
      <w:r w:rsidR="00A4507F" w:rsidRPr="004E350C">
        <w:rPr>
          <w:rFonts w:ascii="Arial" w:eastAsia="Calibri" w:hAnsi="Arial" w:cs="Arial"/>
          <w:lang w:val="es-ES"/>
        </w:rPr>
        <w:t xml:space="preserve">la entidad asignará el puntaje previamente </w:t>
      </w:r>
      <w:r w:rsidR="00C71D6F" w:rsidRPr="004E350C">
        <w:rPr>
          <w:rFonts w:ascii="Arial" w:eastAsia="Calibri" w:hAnsi="Arial" w:cs="Arial"/>
          <w:lang w:val="es-ES"/>
        </w:rPr>
        <w:t>establecido</w:t>
      </w:r>
      <w:r w:rsidR="00A4507F" w:rsidRPr="004E350C">
        <w:rPr>
          <w:rFonts w:ascii="Arial" w:eastAsia="Calibri" w:hAnsi="Arial" w:cs="Arial"/>
          <w:lang w:val="es-ES"/>
        </w:rPr>
        <w:t xml:space="preserve"> para este ítem, </w:t>
      </w:r>
      <w:r w:rsidR="00C71D6F" w:rsidRPr="004E350C">
        <w:rPr>
          <w:rFonts w:ascii="Arial" w:eastAsia="Calibri" w:hAnsi="Arial" w:cs="Arial"/>
          <w:lang w:val="es-ES"/>
        </w:rPr>
        <w:t>«</w:t>
      </w:r>
      <w:r w:rsidR="00DE0E3A" w:rsidRPr="004E350C">
        <w:rPr>
          <w:rFonts w:ascii="Arial" w:eastAsia="Calibri" w:hAnsi="Arial" w:cs="Arial"/>
          <w:lang w:val="es-ES"/>
        </w:rPr>
        <w:t xml:space="preserve">al </w:t>
      </w:r>
      <w:r w:rsidR="00C71D6F" w:rsidRPr="004E350C">
        <w:rPr>
          <w:rFonts w:ascii="Arial" w:eastAsia="Calibri" w:hAnsi="Arial" w:cs="Arial"/>
          <w:lang w:val="es-ES"/>
        </w:rPr>
        <w:t>proponente que se comprometa a utilizar maquinaria con una edad menor a veinte (20) años mediante la suscripción del Formato 7B - Disponibilidad y condiciones funcionales de la maquinaria de obra. En caso de que la maquinaria haya sido repotenciada, los veinte (20) años cuentan desde la fecha de repotenciación de la máquina»</w:t>
      </w:r>
      <w:r w:rsidR="00DE0E3A" w:rsidRPr="004E350C">
        <w:rPr>
          <w:rFonts w:ascii="Arial" w:eastAsia="Calibri" w:hAnsi="Arial" w:cs="Arial"/>
          <w:lang w:val="es-ES"/>
        </w:rPr>
        <w:t xml:space="preserve">, correspondiendo la acreditación de las condiciones de la maquinaria </w:t>
      </w:r>
      <w:r w:rsidR="00E46D40">
        <w:rPr>
          <w:rFonts w:ascii="Arial" w:eastAsia="Calibri" w:hAnsi="Arial" w:cs="Arial"/>
          <w:lang w:val="es-ES"/>
        </w:rPr>
        <w:t xml:space="preserve">posteriormente </w:t>
      </w:r>
      <w:r w:rsidR="00DE0E3A" w:rsidRPr="004E350C">
        <w:rPr>
          <w:rFonts w:ascii="Arial" w:eastAsia="Calibri" w:hAnsi="Arial" w:cs="Arial"/>
          <w:lang w:val="es-ES"/>
        </w:rPr>
        <w:t xml:space="preserve">al </w:t>
      </w:r>
      <w:r w:rsidR="00E46D40">
        <w:rPr>
          <w:rFonts w:ascii="Arial" w:eastAsia="Calibri" w:hAnsi="Arial" w:cs="Arial"/>
          <w:lang w:val="es-ES"/>
        </w:rPr>
        <w:t>contratista</w:t>
      </w:r>
      <w:r w:rsidR="00DE0E3A" w:rsidRPr="004E350C">
        <w:rPr>
          <w:rFonts w:ascii="Arial" w:eastAsia="Calibri" w:hAnsi="Arial" w:cs="Arial"/>
          <w:lang w:val="es-ES"/>
        </w:rPr>
        <w:t xml:space="preserve">, </w:t>
      </w:r>
      <w:r w:rsidR="00F5026F" w:rsidRPr="004E350C">
        <w:rPr>
          <w:rFonts w:ascii="Arial" w:eastAsia="Calibri" w:hAnsi="Arial" w:cs="Arial"/>
          <w:lang w:val="es-ES"/>
        </w:rPr>
        <w:t>y la verificación del ofrecimiento</w:t>
      </w:r>
      <w:r w:rsidR="0075182F" w:rsidRPr="004E350C">
        <w:rPr>
          <w:rFonts w:ascii="Arial" w:eastAsia="Calibri" w:hAnsi="Arial" w:cs="Arial"/>
          <w:lang w:val="es-ES"/>
        </w:rPr>
        <w:t xml:space="preserve"> deberá hacerla la interentoría, cada uno, </w:t>
      </w:r>
      <w:r w:rsidR="00DE0E3A" w:rsidRPr="004E350C">
        <w:rPr>
          <w:rFonts w:ascii="Arial" w:eastAsia="Calibri" w:hAnsi="Arial" w:cs="Arial"/>
          <w:lang w:val="es-ES"/>
        </w:rPr>
        <w:t xml:space="preserve">en la etapa pertinente. </w:t>
      </w:r>
    </w:p>
    <w:p w14:paraId="604FAD41" w14:textId="06C77694" w:rsidR="00F5026F" w:rsidRPr="004E350C" w:rsidRDefault="00E46D40" w:rsidP="000A0509">
      <w:pPr>
        <w:tabs>
          <w:tab w:val="left" w:pos="426"/>
        </w:tabs>
        <w:spacing w:after="120"/>
        <w:ind w:firstLine="709"/>
        <w:jc w:val="both"/>
        <w:rPr>
          <w:rFonts w:ascii="Arial" w:eastAsia="Calibri" w:hAnsi="Arial" w:cs="Arial"/>
          <w:lang w:val="es-ES"/>
        </w:rPr>
      </w:pPr>
      <w:r>
        <w:rPr>
          <w:rFonts w:ascii="Arial" w:eastAsia="Calibri" w:hAnsi="Arial" w:cs="Arial"/>
          <w:lang w:val="es-ES"/>
        </w:rPr>
        <w:t>De forma similar</w:t>
      </w:r>
      <w:r w:rsidR="0045575D" w:rsidRPr="004E350C">
        <w:rPr>
          <w:rFonts w:ascii="Arial" w:eastAsia="Calibri" w:hAnsi="Arial" w:cs="Arial"/>
          <w:lang w:val="es-ES"/>
        </w:rPr>
        <w:t xml:space="preserve">, </w:t>
      </w:r>
      <w:r w:rsidR="00170F8C" w:rsidRPr="004E350C">
        <w:rPr>
          <w:rFonts w:ascii="Arial" w:eastAsia="Calibri" w:hAnsi="Arial" w:cs="Arial"/>
          <w:lang w:val="es-ES"/>
        </w:rPr>
        <w:t>en el numeral 4.2.3. se indica que la entidad otorgará  el puntaje establecido por esta, «al proponente que se comprometa a presentar un Plan de Calidad específico para el proyecto, […]</w:t>
      </w:r>
      <w:r w:rsidR="00D43BB1" w:rsidRPr="004E350C">
        <w:rPr>
          <w:rFonts w:ascii="Arial" w:eastAsia="Calibri" w:hAnsi="Arial" w:cs="Arial"/>
          <w:lang w:val="es-ES"/>
        </w:rPr>
        <w:t xml:space="preserve"> </w:t>
      </w:r>
      <w:r w:rsidR="00170F8C" w:rsidRPr="004E350C">
        <w:rPr>
          <w:rFonts w:ascii="Arial" w:eastAsia="Calibri" w:hAnsi="Arial" w:cs="Arial"/>
          <w:lang w:val="es-ES"/>
        </w:rPr>
        <w:t>mediante la suscripción del Formato 7C - Plan de calidad»</w:t>
      </w:r>
      <w:r w:rsidR="00D43BB1" w:rsidRPr="004E350C">
        <w:rPr>
          <w:rFonts w:ascii="Arial" w:eastAsia="Calibri" w:hAnsi="Arial" w:cs="Arial"/>
          <w:lang w:val="es-ES"/>
        </w:rPr>
        <w:t xml:space="preserve">, y que su verificación corresponderá a la interventoría, </w:t>
      </w:r>
      <w:r w:rsidR="00FD2CCB">
        <w:rPr>
          <w:rFonts w:ascii="Arial" w:eastAsia="Calibri" w:hAnsi="Arial" w:cs="Arial"/>
          <w:lang w:val="es-ES"/>
        </w:rPr>
        <w:t>en los términos establecidos en el documento base</w:t>
      </w:r>
      <w:r w:rsidR="00170F8C" w:rsidRPr="004E350C">
        <w:rPr>
          <w:rFonts w:ascii="Arial" w:eastAsia="Calibri" w:hAnsi="Arial" w:cs="Arial"/>
          <w:lang w:val="es-ES"/>
        </w:rPr>
        <w:t>.</w:t>
      </w:r>
    </w:p>
    <w:p w14:paraId="25EA20A7" w14:textId="2D1CC3F7" w:rsidR="00A172AE" w:rsidRPr="004E350C" w:rsidRDefault="007402CA" w:rsidP="00A172AE">
      <w:pPr>
        <w:tabs>
          <w:tab w:val="left" w:pos="426"/>
        </w:tabs>
        <w:spacing w:after="120"/>
        <w:ind w:firstLine="709"/>
        <w:jc w:val="both"/>
        <w:rPr>
          <w:rFonts w:ascii="Arial" w:eastAsia="Calibri" w:hAnsi="Arial" w:cs="Arial"/>
          <w:lang w:val="es-ES"/>
        </w:rPr>
      </w:pPr>
      <w:r w:rsidRPr="004E350C">
        <w:rPr>
          <w:rFonts w:ascii="Arial" w:eastAsia="Calibri" w:hAnsi="Arial" w:cs="Arial"/>
          <w:lang w:val="es-ES"/>
        </w:rPr>
        <w:lastRenderedPageBreak/>
        <w:t>Por último, como se mencionó con antelación, en el numeral 4.2.4.</w:t>
      </w:r>
      <w:r w:rsidR="00527A8F" w:rsidRPr="004E350C">
        <w:rPr>
          <w:rFonts w:ascii="Arial" w:eastAsia="Calibri" w:hAnsi="Arial" w:cs="Arial"/>
          <w:lang w:val="es-ES"/>
        </w:rPr>
        <w:t xml:space="preserve"> se regul</w:t>
      </w:r>
      <w:r w:rsidR="00A35F65" w:rsidRPr="004E350C">
        <w:rPr>
          <w:rFonts w:ascii="Arial" w:eastAsia="Calibri" w:hAnsi="Arial" w:cs="Arial"/>
          <w:lang w:val="es-ES"/>
        </w:rPr>
        <w:t>ó</w:t>
      </w:r>
      <w:r w:rsidR="00527A8F" w:rsidRPr="004E350C">
        <w:rPr>
          <w:rFonts w:ascii="Arial" w:eastAsia="Calibri" w:hAnsi="Arial" w:cs="Arial"/>
          <w:lang w:val="es-ES"/>
        </w:rPr>
        <w:t xml:space="preserve"> lo referente a la garantía suplementaria o adicional, criterio por el cual se asignará el puntaje señalado por la entidad contratante «al proponente que se comprometa a otorgar garantías suplementarias o adicionales a la legal establecida para la estabilidad y calidad de la obra, mediante la suscripción del Formato 7D - Garantía Suplementaria o Adicional, en el cual bajo la gravedad de juramento conste el compromiso que asume».</w:t>
      </w:r>
      <w:r w:rsidR="00E76A3F" w:rsidRPr="004E350C">
        <w:rPr>
          <w:rFonts w:ascii="Arial" w:eastAsia="Calibri" w:hAnsi="Arial" w:cs="Arial"/>
          <w:lang w:val="es-ES"/>
        </w:rPr>
        <w:t xml:space="preserve"> La verificación de este requisito</w:t>
      </w:r>
      <w:r w:rsidR="00652258" w:rsidRPr="004E350C">
        <w:rPr>
          <w:rFonts w:ascii="Arial" w:eastAsia="Calibri" w:hAnsi="Arial" w:cs="Arial"/>
          <w:lang w:val="es-ES"/>
        </w:rPr>
        <w:t xml:space="preserve"> la efectuará la interventoría en la ejecución del contrato, y será el adjudicatario quien deberá areditar en su momento que ha otorgado la garantía, de acuerdo a</w:t>
      </w:r>
      <w:r w:rsidR="00FD2CCB">
        <w:rPr>
          <w:rFonts w:ascii="Arial" w:eastAsia="Calibri" w:hAnsi="Arial" w:cs="Arial"/>
          <w:lang w:val="es-ES"/>
        </w:rPr>
        <w:t xml:space="preserve"> las</w:t>
      </w:r>
      <w:r w:rsidR="00652258" w:rsidRPr="004E350C">
        <w:rPr>
          <w:rFonts w:ascii="Arial" w:eastAsia="Calibri" w:hAnsi="Arial" w:cs="Arial"/>
          <w:lang w:val="es-ES"/>
        </w:rPr>
        <w:t xml:space="preserve"> previsiones del pliego de condiciones</w:t>
      </w:r>
      <w:r w:rsidR="00652258" w:rsidRPr="004E350C">
        <w:rPr>
          <w:rStyle w:val="Refdenotaalpie"/>
          <w:rFonts w:ascii="Arial" w:eastAsia="Calibri" w:hAnsi="Arial" w:cs="Arial"/>
          <w:lang w:val="es-ES"/>
        </w:rPr>
        <w:footnoteReference w:id="6"/>
      </w:r>
      <w:r w:rsidR="00652258" w:rsidRPr="004E350C">
        <w:rPr>
          <w:rFonts w:ascii="Arial" w:eastAsia="Calibri" w:hAnsi="Arial" w:cs="Arial"/>
          <w:lang w:val="es-ES"/>
        </w:rPr>
        <w:t>.</w:t>
      </w:r>
    </w:p>
    <w:p w14:paraId="3C603BEE" w14:textId="4396970C" w:rsidR="0032157D" w:rsidRPr="004E350C" w:rsidRDefault="0085174A" w:rsidP="00A172AE">
      <w:pPr>
        <w:tabs>
          <w:tab w:val="left" w:pos="426"/>
        </w:tabs>
        <w:spacing w:after="120"/>
        <w:ind w:firstLine="709"/>
        <w:jc w:val="both"/>
        <w:rPr>
          <w:rFonts w:ascii="Arial" w:hAnsi="Arial" w:cs="Arial"/>
          <w:bCs/>
        </w:rPr>
      </w:pPr>
      <w:r w:rsidRPr="004E350C">
        <w:rPr>
          <w:rFonts w:ascii="Arial" w:eastAsia="Calibri" w:hAnsi="Arial" w:cs="Arial"/>
          <w:lang w:val="es-ES"/>
        </w:rPr>
        <w:t xml:space="preserve">Ahora bien, al revisar el contenido de </w:t>
      </w:r>
      <w:r w:rsidR="00A172AE" w:rsidRPr="004E350C">
        <w:rPr>
          <w:rFonts w:ascii="Arial" w:eastAsia="Calibri" w:hAnsi="Arial" w:cs="Arial"/>
          <w:lang w:val="es-ES"/>
        </w:rPr>
        <w:t xml:space="preserve">los formatos: </w:t>
      </w:r>
      <w:r w:rsidR="00A172AE" w:rsidRPr="004E350C">
        <w:rPr>
          <w:rFonts w:ascii="Arial" w:hAnsi="Arial" w:cs="Arial"/>
          <w:bCs/>
          <w:lang w:val="es-ES"/>
        </w:rPr>
        <w:t>7A— Programa de Gerencia de Proyectos;  7B—</w:t>
      </w:r>
      <w:r w:rsidR="00A172AE" w:rsidRPr="004E350C">
        <w:rPr>
          <w:rFonts w:ascii="Arial" w:hAnsi="Arial" w:cs="Arial"/>
          <w:bCs/>
        </w:rPr>
        <w:t>Disponibilidad y Condiciones Funcionales de la Maquinaria de Obra; 7C—Plan de Calidad y 7D—Garantía Suplementaria o Adicional, se observa la manifestación expresa del compromiso adquirido por el proponente en cada caso, bajo la gravedad de juramento, sin que se indique la obligación adicional de aportar documentación para tal fin</w:t>
      </w:r>
      <w:r w:rsidR="00FD2CCB">
        <w:rPr>
          <w:rFonts w:ascii="Arial" w:hAnsi="Arial" w:cs="Arial"/>
          <w:bCs/>
        </w:rPr>
        <w:t xml:space="preserve"> durante el procedimiento de selección.</w:t>
      </w:r>
    </w:p>
    <w:p w14:paraId="79A9A7E6" w14:textId="4ADC385B" w:rsidR="0032157D" w:rsidRPr="004E350C" w:rsidRDefault="0032157D" w:rsidP="0032157D">
      <w:pPr>
        <w:tabs>
          <w:tab w:val="left" w:pos="426"/>
        </w:tabs>
        <w:spacing w:after="120"/>
        <w:ind w:firstLine="709"/>
        <w:jc w:val="both"/>
        <w:rPr>
          <w:rFonts w:ascii="Arial" w:eastAsia="Calibri" w:hAnsi="Arial" w:cs="Arial"/>
        </w:rPr>
      </w:pPr>
      <w:r w:rsidRPr="004E350C">
        <w:rPr>
          <w:rFonts w:ascii="Arial" w:eastAsia="Calibri" w:hAnsi="Arial" w:cs="Arial"/>
        </w:rPr>
        <w:t>Aunado a lo anterior, es menester recordar que todos los formatos  como parte integral de los «Documentos Tipo», ostentan las características de obligatoriedad e inalterabilidad que los distingue, salvo en aquellos aspectos donde expresamente se faculte a las entidades contratantes o a los proponentes para su diligenciamiento, como ocurre con los espacios señalados entre corchetes y resaltados en gris, en consecuencia,  no se admite injerencia alguna para efectos de adición o supresión de los elementos que consagran, por lo que tampoco es viable la exigencia de documentación adicional.</w:t>
      </w:r>
    </w:p>
    <w:p w14:paraId="00D601C0" w14:textId="7FC77B76" w:rsidR="00857C37" w:rsidRPr="004E350C" w:rsidRDefault="0032157D" w:rsidP="00857C37">
      <w:pPr>
        <w:tabs>
          <w:tab w:val="left" w:pos="426"/>
        </w:tabs>
        <w:spacing w:after="0"/>
        <w:ind w:firstLine="709"/>
        <w:jc w:val="both"/>
        <w:rPr>
          <w:rFonts w:ascii="Arial" w:eastAsia="Calibri" w:hAnsi="Arial" w:cs="Arial"/>
          <w:color w:val="000000" w:themeColor="text1"/>
        </w:rPr>
      </w:pPr>
      <w:r w:rsidRPr="004E350C">
        <w:rPr>
          <w:rFonts w:ascii="Arial" w:hAnsi="Arial" w:cs="Arial"/>
          <w:bCs/>
        </w:rPr>
        <w:t xml:space="preserve">De lo anterior se desprende que </w:t>
      </w:r>
      <w:r w:rsidRPr="004E350C">
        <w:rPr>
          <w:rFonts w:ascii="Arial" w:eastAsia="Calibri" w:hAnsi="Arial" w:cs="Arial"/>
          <w:color w:val="000000" w:themeColor="text1"/>
        </w:rPr>
        <w:t>el único documento requerido para otorgar el puntaje frente al factor de calidad</w:t>
      </w:r>
      <w:r w:rsidR="001E4ED7">
        <w:rPr>
          <w:rFonts w:ascii="Arial" w:eastAsia="Calibri" w:hAnsi="Arial" w:cs="Arial"/>
          <w:color w:val="000000" w:themeColor="text1"/>
        </w:rPr>
        <w:t xml:space="preserve"> en el procedimiento de selección consiste en diligenciar y</w:t>
      </w:r>
      <w:r w:rsidRPr="004E350C">
        <w:rPr>
          <w:rFonts w:ascii="Arial" w:eastAsia="Calibri" w:hAnsi="Arial" w:cs="Arial"/>
          <w:color w:val="000000" w:themeColor="text1"/>
        </w:rPr>
        <w:t xml:space="preserve"> </w:t>
      </w:r>
      <w:r w:rsidR="001E4ED7">
        <w:rPr>
          <w:rFonts w:ascii="Arial" w:eastAsia="Calibri" w:hAnsi="Arial" w:cs="Arial"/>
          <w:color w:val="000000" w:themeColor="text1"/>
        </w:rPr>
        <w:t>suscribir</w:t>
      </w:r>
      <w:r w:rsidR="001E4ED7" w:rsidRPr="004E350C">
        <w:rPr>
          <w:rFonts w:ascii="Arial" w:eastAsia="Calibri" w:hAnsi="Arial" w:cs="Arial"/>
          <w:color w:val="000000" w:themeColor="text1"/>
        </w:rPr>
        <w:t xml:space="preserve"> </w:t>
      </w:r>
      <w:r w:rsidRPr="004E350C">
        <w:rPr>
          <w:rFonts w:ascii="Arial" w:eastAsia="Calibri" w:hAnsi="Arial" w:cs="Arial"/>
          <w:color w:val="000000" w:themeColor="text1"/>
        </w:rPr>
        <w:t>el formato que corresponda, de acuerdo con las opciones seleccionadas por la entidad estatal para el otorgamiento del puntaje respectivo</w:t>
      </w:r>
      <w:r w:rsidR="00F048A4" w:rsidRPr="004E350C">
        <w:rPr>
          <w:rFonts w:ascii="Arial" w:eastAsia="Calibri" w:hAnsi="Arial" w:cs="Arial"/>
          <w:color w:val="000000" w:themeColor="text1"/>
        </w:rPr>
        <w:t>.</w:t>
      </w:r>
      <w:r w:rsidRPr="004E350C">
        <w:rPr>
          <w:rFonts w:ascii="Arial" w:eastAsia="Calibri" w:hAnsi="Arial" w:cs="Arial"/>
          <w:color w:val="000000" w:themeColor="text1"/>
        </w:rPr>
        <w:t xml:space="preserve"> </w:t>
      </w:r>
      <w:r w:rsidR="00F048A4" w:rsidRPr="004E350C">
        <w:rPr>
          <w:rFonts w:ascii="Arial" w:eastAsia="Calibri" w:hAnsi="Arial" w:cs="Arial"/>
          <w:color w:val="000000" w:themeColor="text1"/>
        </w:rPr>
        <w:t xml:space="preserve">En este punto conviene traer a colación que precisamente </w:t>
      </w:r>
      <w:r w:rsidR="00F048A4" w:rsidRPr="004E350C">
        <w:rPr>
          <w:rFonts w:ascii="Arial" w:hAnsi="Arial" w:cs="Arial"/>
          <w:bCs/>
        </w:rPr>
        <w:t>e</w:t>
      </w:r>
      <w:r w:rsidR="00F048A4" w:rsidRPr="004E350C">
        <w:rPr>
          <w:rFonts w:ascii="Arial" w:eastAsia="Calibri" w:hAnsi="Arial" w:cs="Arial"/>
          <w:lang w:val="es-ES"/>
        </w:rPr>
        <w:t>n la introducción del documento base se indica que: «</w:t>
      </w:r>
      <w:r w:rsidR="00F048A4" w:rsidRPr="004E350C">
        <w:rPr>
          <w:rFonts w:ascii="Arial" w:hAnsi="Arial" w:cs="Arial"/>
          <w:lang w:val="es-MX"/>
        </w:rPr>
        <w:t>[La entidad no podrá modificar los Formatos, Anexos, Matrices y Formularios, ni solicitar soportes o requisitos adicionales a los establecidos en el documento tipo]»</w:t>
      </w:r>
      <w:r w:rsidRPr="004E350C">
        <w:rPr>
          <w:rFonts w:ascii="Arial" w:eastAsia="Calibri" w:hAnsi="Arial" w:cs="Arial"/>
          <w:color w:val="000000" w:themeColor="text1"/>
        </w:rPr>
        <w:t xml:space="preserve"> en consecuencia</w:t>
      </w:r>
      <w:r w:rsidR="001E4ED7">
        <w:rPr>
          <w:rFonts w:ascii="Arial" w:eastAsia="Calibri" w:hAnsi="Arial" w:cs="Arial"/>
          <w:color w:val="000000" w:themeColor="text1"/>
        </w:rPr>
        <w:t>, de acuerdo con lo establecido en los documentos tipo,</w:t>
      </w:r>
      <w:r w:rsidRPr="004E350C">
        <w:rPr>
          <w:rFonts w:ascii="Arial" w:eastAsia="Calibri" w:hAnsi="Arial" w:cs="Arial"/>
          <w:color w:val="000000" w:themeColor="text1"/>
        </w:rPr>
        <w:t xml:space="preserve"> no resulta viable exigir a los proponentes documentos </w:t>
      </w:r>
      <w:r w:rsidR="001E4ED7">
        <w:rPr>
          <w:rFonts w:ascii="Arial" w:eastAsia="Calibri" w:hAnsi="Arial" w:cs="Arial"/>
          <w:color w:val="000000" w:themeColor="text1"/>
        </w:rPr>
        <w:t xml:space="preserve">o requisitos </w:t>
      </w:r>
      <w:r w:rsidRPr="004E350C">
        <w:rPr>
          <w:rFonts w:ascii="Arial" w:eastAsia="Calibri" w:hAnsi="Arial" w:cs="Arial"/>
          <w:color w:val="000000" w:themeColor="text1"/>
        </w:rPr>
        <w:t>adicionales</w:t>
      </w:r>
      <w:r w:rsidR="00F048A4" w:rsidRPr="004E350C">
        <w:rPr>
          <w:rFonts w:ascii="Arial" w:eastAsia="Calibri" w:hAnsi="Arial" w:cs="Arial"/>
          <w:color w:val="000000" w:themeColor="text1"/>
        </w:rPr>
        <w:t xml:space="preserve"> para que se otorgue el puntaje de factor de calidad durante el procedimiento de selección.</w:t>
      </w:r>
    </w:p>
    <w:p w14:paraId="50A72BE1" w14:textId="77777777" w:rsidR="00857C37" w:rsidRPr="004E350C" w:rsidRDefault="00857C37" w:rsidP="00857C37">
      <w:pPr>
        <w:tabs>
          <w:tab w:val="left" w:pos="426"/>
        </w:tabs>
        <w:spacing w:after="0"/>
        <w:ind w:firstLine="709"/>
        <w:jc w:val="both"/>
        <w:rPr>
          <w:rFonts w:ascii="Arial" w:eastAsia="Calibri" w:hAnsi="Arial" w:cs="Arial"/>
          <w:color w:val="000000" w:themeColor="text1"/>
        </w:rPr>
      </w:pPr>
    </w:p>
    <w:p w14:paraId="0F031632" w14:textId="36F41896" w:rsidR="00FF0037" w:rsidRPr="004E350C" w:rsidRDefault="00946F42" w:rsidP="00F04596">
      <w:pPr>
        <w:spacing w:after="0"/>
        <w:jc w:val="both"/>
        <w:rPr>
          <w:rFonts w:ascii="Arial" w:eastAsia="Calibri" w:hAnsi="Arial" w:cs="Arial"/>
          <w:b/>
          <w:bCs/>
        </w:rPr>
      </w:pPr>
      <w:r w:rsidRPr="004E350C">
        <w:rPr>
          <w:rFonts w:ascii="Arial" w:eastAsia="Calibri" w:hAnsi="Arial" w:cs="Arial"/>
          <w:b/>
          <w:bCs/>
        </w:rPr>
        <w:lastRenderedPageBreak/>
        <w:t>2.3</w:t>
      </w:r>
      <w:r w:rsidR="00FF0037" w:rsidRPr="004E350C">
        <w:rPr>
          <w:rFonts w:ascii="Arial" w:eastAsia="Calibri" w:hAnsi="Arial" w:cs="Arial"/>
          <w:b/>
          <w:bCs/>
        </w:rPr>
        <w:t xml:space="preserve">. </w:t>
      </w:r>
      <w:r w:rsidR="009C4306" w:rsidRPr="004E350C">
        <w:rPr>
          <w:rFonts w:ascii="Arial" w:eastAsia="Calibri" w:hAnsi="Arial" w:cs="Arial"/>
          <w:b/>
          <w:bCs/>
        </w:rPr>
        <w:t>El principio de buena fe en la contratación pública</w:t>
      </w:r>
      <w:r w:rsidR="00B95108" w:rsidRPr="004E350C">
        <w:rPr>
          <w:rFonts w:ascii="Arial" w:eastAsia="Calibri" w:hAnsi="Arial" w:cs="Arial"/>
          <w:b/>
          <w:bCs/>
        </w:rPr>
        <w:t xml:space="preserve"> y su incidencia en los compromisos adquiridos por los proponentes frente a</w:t>
      </w:r>
      <w:r w:rsidR="0096582F" w:rsidRPr="004E350C">
        <w:rPr>
          <w:rFonts w:ascii="Arial" w:eastAsia="Calibri" w:hAnsi="Arial" w:cs="Arial"/>
          <w:b/>
          <w:bCs/>
        </w:rPr>
        <w:t xml:space="preserve">l factor </w:t>
      </w:r>
      <w:r w:rsidR="00B95108" w:rsidRPr="004E350C">
        <w:rPr>
          <w:rFonts w:ascii="Arial" w:eastAsia="Calibri" w:hAnsi="Arial" w:cs="Arial"/>
          <w:b/>
          <w:bCs/>
        </w:rPr>
        <w:t>calidad</w:t>
      </w:r>
    </w:p>
    <w:p w14:paraId="04772A19" w14:textId="77777777" w:rsidR="00F04596" w:rsidRPr="004E350C" w:rsidRDefault="00F04596" w:rsidP="00F04596">
      <w:pPr>
        <w:spacing w:after="0"/>
        <w:jc w:val="both"/>
        <w:rPr>
          <w:rFonts w:ascii="Arial" w:eastAsia="Calibri" w:hAnsi="Arial" w:cs="Arial"/>
          <w:b/>
          <w:bCs/>
        </w:rPr>
      </w:pPr>
    </w:p>
    <w:p w14:paraId="6A96C1D1" w14:textId="35600597" w:rsidR="008C3771" w:rsidRPr="004E350C" w:rsidRDefault="00731AB6" w:rsidP="002B3C9F">
      <w:pPr>
        <w:tabs>
          <w:tab w:val="left" w:pos="426"/>
        </w:tabs>
        <w:spacing w:after="120"/>
        <w:jc w:val="both"/>
        <w:rPr>
          <w:rFonts w:ascii="Arial" w:eastAsia="Calibri" w:hAnsi="Arial" w:cs="Arial"/>
        </w:rPr>
      </w:pPr>
      <w:r>
        <w:rPr>
          <w:rFonts w:ascii="Arial" w:eastAsia="Calibri" w:hAnsi="Arial" w:cs="Arial"/>
        </w:rPr>
        <w:t>No obstante lo señalado en el numeral anteiror, esta Agencia considera relevetantes las sigueintes consideraciones qué fundamentan la regulación establecida en los documentos tipo. De esta manera, l</w:t>
      </w:r>
      <w:r w:rsidR="008C3771" w:rsidRPr="004E350C">
        <w:rPr>
          <w:rFonts w:ascii="Arial" w:eastAsia="Calibri" w:hAnsi="Arial" w:cs="Arial"/>
        </w:rPr>
        <w:t>a buena fe se ha instituido como principio rector de los contratos civiles, comerciales y estatales</w:t>
      </w:r>
      <w:r>
        <w:rPr>
          <w:rFonts w:ascii="Arial" w:eastAsia="Calibri" w:hAnsi="Arial" w:cs="Arial"/>
        </w:rPr>
        <w:t>.</w:t>
      </w:r>
      <w:r w:rsidR="008C3771" w:rsidRPr="004E350C">
        <w:rPr>
          <w:rFonts w:ascii="Arial" w:eastAsia="Calibri" w:hAnsi="Arial" w:cs="Arial"/>
        </w:rPr>
        <w:t xml:space="preserve"> </w:t>
      </w:r>
      <w:r>
        <w:rPr>
          <w:rFonts w:ascii="Arial" w:eastAsia="Calibri" w:hAnsi="Arial" w:cs="Arial"/>
        </w:rPr>
        <w:t>E</w:t>
      </w:r>
      <w:r w:rsidR="008C3771" w:rsidRPr="004E350C">
        <w:rPr>
          <w:rFonts w:ascii="Arial" w:eastAsia="Calibri" w:hAnsi="Arial" w:cs="Arial"/>
        </w:rPr>
        <w:t>n estos últimos reviste una indiscutible importancia, máxime cuando está de por medio el interés general</w:t>
      </w:r>
      <w:r w:rsidR="009D1597" w:rsidRPr="004E350C">
        <w:rPr>
          <w:rFonts w:ascii="Arial" w:eastAsia="Calibri" w:hAnsi="Arial" w:cs="Arial"/>
        </w:rPr>
        <w:t>. En particular, el Consejo de Estado in</w:t>
      </w:r>
      <w:r w:rsidR="004E6DD5" w:rsidRPr="004E350C">
        <w:rPr>
          <w:rFonts w:ascii="Arial" w:eastAsia="Calibri" w:hAnsi="Arial" w:cs="Arial"/>
        </w:rPr>
        <w:t>c</w:t>
      </w:r>
      <w:r w:rsidR="009D1597" w:rsidRPr="004E350C">
        <w:rPr>
          <w:rFonts w:ascii="Arial" w:eastAsia="Calibri" w:hAnsi="Arial" w:cs="Arial"/>
        </w:rPr>
        <w:t>luso la ha</w:t>
      </w:r>
      <w:r w:rsidR="008C3771" w:rsidRPr="004E350C">
        <w:rPr>
          <w:rFonts w:ascii="Arial" w:eastAsia="Calibri" w:hAnsi="Arial" w:cs="Arial"/>
        </w:rPr>
        <w:t xml:space="preserve"> entendi</w:t>
      </w:r>
      <w:r w:rsidR="007C7ABE" w:rsidRPr="004E350C">
        <w:rPr>
          <w:rFonts w:ascii="Arial" w:eastAsia="Calibri" w:hAnsi="Arial" w:cs="Arial"/>
        </w:rPr>
        <w:t>d</w:t>
      </w:r>
      <w:r w:rsidR="008C3771" w:rsidRPr="004E350C">
        <w:rPr>
          <w:rFonts w:ascii="Arial" w:eastAsia="Calibri" w:hAnsi="Arial" w:cs="Arial"/>
        </w:rPr>
        <w:t>o como un desarrollo del principio de planeación, en los siguientes t</w:t>
      </w:r>
      <w:r w:rsidR="00330C21" w:rsidRPr="004E350C">
        <w:rPr>
          <w:rFonts w:ascii="Arial" w:eastAsia="Calibri" w:hAnsi="Arial" w:cs="Arial"/>
        </w:rPr>
        <w:t>érminos:</w:t>
      </w:r>
    </w:p>
    <w:p w14:paraId="34966CBB" w14:textId="77777777" w:rsidR="008C3771" w:rsidRPr="004E350C" w:rsidRDefault="00F04596" w:rsidP="00F04596">
      <w:pPr>
        <w:tabs>
          <w:tab w:val="left" w:pos="426"/>
        </w:tabs>
        <w:spacing w:after="0" w:line="240" w:lineRule="auto"/>
        <w:ind w:right="709"/>
        <w:jc w:val="both"/>
        <w:rPr>
          <w:rFonts w:ascii="Arial" w:eastAsia="Calibri" w:hAnsi="Arial" w:cs="Arial"/>
          <w:sz w:val="21"/>
          <w:szCs w:val="21"/>
        </w:rPr>
      </w:pPr>
      <w:r w:rsidRPr="004E350C">
        <w:rPr>
          <w:rFonts w:ascii="Arial" w:eastAsia="Calibri" w:hAnsi="Arial" w:cs="Arial"/>
          <w:sz w:val="21"/>
          <w:szCs w:val="21"/>
        </w:rPr>
        <w:tab/>
      </w:r>
      <w:r w:rsidRPr="004E350C">
        <w:rPr>
          <w:rFonts w:ascii="Arial" w:eastAsia="Calibri" w:hAnsi="Arial" w:cs="Arial"/>
          <w:sz w:val="21"/>
          <w:szCs w:val="21"/>
        </w:rPr>
        <w:tab/>
      </w:r>
      <w:r w:rsidR="00330C21" w:rsidRPr="004E350C">
        <w:rPr>
          <w:rFonts w:ascii="Arial" w:eastAsia="Calibri" w:hAnsi="Arial" w:cs="Arial"/>
          <w:sz w:val="21"/>
          <w:szCs w:val="21"/>
        </w:rPr>
        <w:t>[…]</w:t>
      </w:r>
    </w:p>
    <w:p w14:paraId="09D61ACD" w14:textId="3FC34E8B" w:rsidR="008C3771" w:rsidRPr="004E350C" w:rsidRDefault="008C3771" w:rsidP="00524FB0">
      <w:pPr>
        <w:tabs>
          <w:tab w:val="left" w:pos="426"/>
        </w:tabs>
        <w:spacing w:after="0" w:line="240" w:lineRule="auto"/>
        <w:ind w:left="709" w:right="709"/>
        <w:jc w:val="both"/>
        <w:rPr>
          <w:rFonts w:ascii="Arial" w:eastAsia="Calibri" w:hAnsi="Arial" w:cs="Arial"/>
          <w:sz w:val="21"/>
          <w:szCs w:val="21"/>
        </w:rPr>
      </w:pPr>
      <w:r w:rsidRPr="004E350C">
        <w:rPr>
          <w:rFonts w:ascii="Arial" w:eastAsia="Calibri" w:hAnsi="Arial" w:cs="Arial"/>
          <w:sz w:val="21"/>
          <w:szCs w:val="21"/>
        </w:rPr>
        <w:t>De lo preceptuado en el artículo 871 del Código de Comercio, con redacción parecida al artículo 1603 del Código Civil, se desprende que en todo el iter contractual, esto es antes, durante y después de la celebración del contrato, y aún después de su extinción, se impone a los intervinientes el deber de obrar de conformidad con los postulados de la buena fe . En efecto, aquel precepto prevé que los contratos deben “celebrarse y ejecutarse de buena fe, y en consecuencia, obligarán no sólo a lo pactado expresamente en ellos, sino a todo lo que corresponda a la naturaleza de los mismos, según la ley, la costumbre o la equidad natural.” Pero además, como si no fuera suficiente, el artículo 863 de esa misma codificación ordena que “las partes deberán proceder de buena fe exenta de culpa  en el periodo precontractual, so pena de indemnizar los perjuicios que se causen”, precepto este que en la contratación pública ha de tenerse como un desarrollo del principio general de planeación que debe informar a toda la actividad contractual del Estado.</w:t>
      </w:r>
    </w:p>
    <w:p w14:paraId="75CEEE48" w14:textId="77777777" w:rsidR="008C3771" w:rsidRPr="004E350C" w:rsidRDefault="008C3771" w:rsidP="002B3C9F">
      <w:pPr>
        <w:tabs>
          <w:tab w:val="left" w:pos="426"/>
        </w:tabs>
        <w:spacing w:after="120" w:line="240" w:lineRule="auto"/>
        <w:ind w:left="709" w:right="709"/>
        <w:jc w:val="both"/>
        <w:rPr>
          <w:rFonts w:ascii="Arial" w:eastAsia="Calibri" w:hAnsi="Arial" w:cs="Arial"/>
          <w:sz w:val="21"/>
          <w:szCs w:val="21"/>
        </w:rPr>
      </w:pPr>
      <w:r w:rsidRPr="004E350C">
        <w:rPr>
          <w:rFonts w:ascii="Arial" w:eastAsia="Calibri" w:hAnsi="Arial" w:cs="Arial"/>
          <w:sz w:val="21"/>
          <w:szCs w:val="21"/>
        </w:rPr>
        <w:t>[…]</w:t>
      </w:r>
    </w:p>
    <w:p w14:paraId="1E9828C2" w14:textId="77777777" w:rsidR="008C3771" w:rsidRPr="004E350C" w:rsidRDefault="008C3771" w:rsidP="002B3C9F">
      <w:pPr>
        <w:tabs>
          <w:tab w:val="left" w:pos="426"/>
        </w:tabs>
        <w:spacing w:after="120" w:line="240" w:lineRule="auto"/>
        <w:ind w:left="709" w:right="709"/>
        <w:jc w:val="both"/>
        <w:rPr>
          <w:rFonts w:ascii="Arial" w:eastAsia="Calibri" w:hAnsi="Arial" w:cs="Arial"/>
          <w:sz w:val="21"/>
          <w:szCs w:val="21"/>
        </w:rPr>
      </w:pPr>
      <w:r w:rsidRPr="004E350C">
        <w:rPr>
          <w:rFonts w:ascii="Arial" w:eastAsia="Calibri" w:hAnsi="Arial" w:cs="Arial"/>
          <w:sz w:val="21"/>
          <w:szCs w:val="21"/>
        </w:rPr>
        <w:t>Sin embargo hay eventos en que de manera clara el deber de informar se impone como consecuencia de la buena fe que debe imperar en las relaciones contractuales y, en concreto, habida cuenta de la función social y económica del contrato.</w:t>
      </w:r>
    </w:p>
    <w:p w14:paraId="4E6063D5" w14:textId="77777777" w:rsidR="008C3771" w:rsidRPr="004E350C" w:rsidRDefault="008C3771" w:rsidP="002B3C9F">
      <w:pPr>
        <w:tabs>
          <w:tab w:val="left" w:pos="426"/>
        </w:tabs>
        <w:spacing w:after="120" w:line="240" w:lineRule="auto"/>
        <w:ind w:left="709" w:right="709"/>
        <w:jc w:val="both"/>
        <w:rPr>
          <w:rFonts w:ascii="Arial" w:eastAsia="Calibri" w:hAnsi="Arial" w:cs="Arial"/>
          <w:sz w:val="21"/>
          <w:szCs w:val="21"/>
        </w:rPr>
      </w:pPr>
      <w:r w:rsidRPr="004E350C">
        <w:rPr>
          <w:rFonts w:ascii="Arial" w:eastAsia="Calibri" w:hAnsi="Arial" w:cs="Arial"/>
          <w:sz w:val="21"/>
          <w:szCs w:val="21"/>
        </w:rPr>
        <w:t xml:space="preserve">En efecto, tales casos son: a) Cuando la información es determinante para la expresión del designio negocial de la otra parte, de tal suerte que de haber conocido o sabido no habría contratado o lo hubiera hecho en condiciones diferentes; b) Cuando una parte le pide una determinada información a la otra; c) Cuando una parte se decide a informar y comunica esta decisión; y d) Cuando hay específicas relaciones de confianza entre las partes. </w:t>
      </w:r>
    </w:p>
    <w:p w14:paraId="62E2B58C" w14:textId="1D581933" w:rsidR="008C3771" w:rsidRPr="004E350C" w:rsidRDefault="008C3771" w:rsidP="002B3C9F">
      <w:pPr>
        <w:tabs>
          <w:tab w:val="left" w:pos="426"/>
        </w:tabs>
        <w:spacing w:after="120" w:line="240" w:lineRule="auto"/>
        <w:ind w:left="709" w:right="709"/>
        <w:jc w:val="both"/>
        <w:rPr>
          <w:rFonts w:ascii="Arial" w:eastAsia="Calibri" w:hAnsi="Arial" w:cs="Arial"/>
          <w:sz w:val="21"/>
          <w:szCs w:val="21"/>
        </w:rPr>
      </w:pPr>
      <w:r w:rsidRPr="004E350C">
        <w:rPr>
          <w:rFonts w:ascii="Arial" w:eastAsia="Calibri" w:hAnsi="Arial" w:cs="Arial"/>
          <w:sz w:val="21"/>
          <w:szCs w:val="21"/>
        </w:rPr>
        <w:t>[…]</w:t>
      </w:r>
    </w:p>
    <w:p w14:paraId="2E5BAD87" w14:textId="77777777" w:rsidR="008C3771" w:rsidRPr="004E350C" w:rsidRDefault="008C3771" w:rsidP="00524FB0">
      <w:pPr>
        <w:tabs>
          <w:tab w:val="left" w:pos="426"/>
        </w:tabs>
        <w:spacing w:after="0" w:line="240" w:lineRule="auto"/>
        <w:ind w:left="709" w:right="709"/>
        <w:jc w:val="both"/>
        <w:rPr>
          <w:rFonts w:ascii="Arial" w:eastAsia="Calibri" w:hAnsi="Arial" w:cs="Arial"/>
          <w:sz w:val="21"/>
          <w:szCs w:val="21"/>
        </w:rPr>
      </w:pPr>
      <w:r w:rsidRPr="004E350C">
        <w:rPr>
          <w:rFonts w:ascii="Arial" w:eastAsia="Calibri" w:hAnsi="Arial" w:cs="Arial"/>
          <w:sz w:val="21"/>
          <w:szCs w:val="21"/>
        </w:rPr>
        <w:t xml:space="preserve">2.3 Finalmente, debe decirse cómo ha de ser esa información que se debe brindar cuando existe el deber de informar y con miras en esta precisión se dice que ella debe ser veraz, auténtica y completa. La información es veraz cuando corresponde con la realidad, es auténtica cuando coincide con la fuente de la </w:t>
      </w:r>
      <w:r w:rsidRPr="004E350C">
        <w:rPr>
          <w:rFonts w:ascii="Arial" w:eastAsia="Calibri" w:hAnsi="Arial" w:cs="Arial"/>
          <w:sz w:val="21"/>
          <w:szCs w:val="21"/>
        </w:rPr>
        <w:lastRenderedPageBreak/>
        <w:t>que se ha tomado y es completa cuando contiene todos los datos inherentes al asunto informado</w:t>
      </w:r>
      <w:r w:rsidR="00330C21" w:rsidRPr="004E350C">
        <w:rPr>
          <w:rStyle w:val="Refdenotaalpie"/>
          <w:rFonts w:ascii="Arial" w:eastAsia="Calibri" w:hAnsi="Arial" w:cs="Arial"/>
          <w:sz w:val="21"/>
          <w:szCs w:val="21"/>
        </w:rPr>
        <w:footnoteReference w:id="7"/>
      </w:r>
      <w:r w:rsidRPr="004E350C">
        <w:rPr>
          <w:rFonts w:ascii="Arial" w:eastAsia="Calibri" w:hAnsi="Arial" w:cs="Arial"/>
          <w:sz w:val="21"/>
          <w:szCs w:val="21"/>
        </w:rPr>
        <w:t>.</w:t>
      </w:r>
    </w:p>
    <w:p w14:paraId="0E1CDC94" w14:textId="77777777" w:rsidR="008C3771" w:rsidRPr="004E350C" w:rsidRDefault="008C3771" w:rsidP="003A6660">
      <w:pPr>
        <w:tabs>
          <w:tab w:val="left" w:pos="426"/>
        </w:tabs>
        <w:spacing w:after="0" w:line="240" w:lineRule="auto"/>
        <w:ind w:left="709"/>
        <w:jc w:val="both"/>
        <w:rPr>
          <w:rFonts w:ascii="Arial" w:eastAsia="Calibri" w:hAnsi="Arial" w:cs="Arial"/>
        </w:rPr>
      </w:pPr>
    </w:p>
    <w:p w14:paraId="0EF73D8A" w14:textId="42A8F86C" w:rsidR="00626FC1" w:rsidRPr="004E350C" w:rsidRDefault="00626FC1" w:rsidP="00626FC1">
      <w:pPr>
        <w:tabs>
          <w:tab w:val="left" w:pos="426"/>
        </w:tabs>
        <w:spacing w:after="120"/>
        <w:ind w:firstLine="709"/>
        <w:jc w:val="both"/>
        <w:rPr>
          <w:rFonts w:ascii="Arial" w:hAnsi="Arial" w:cs="Arial"/>
          <w:bCs/>
        </w:rPr>
      </w:pPr>
      <w:r w:rsidRPr="004E350C">
        <w:rPr>
          <w:rFonts w:ascii="Arial" w:eastAsia="Calibri" w:hAnsi="Arial" w:cs="Arial"/>
        </w:rPr>
        <w:t xml:space="preserve">En efecto, </w:t>
      </w:r>
      <w:r w:rsidR="009D5B63" w:rsidRPr="004E350C">
        <w:rPr>
          <w:rFonts w:ascii="Arial" w:eastAsia="Calibri" w:hAnsi="Arial" w:cs="Arial"/>
        </w:rPr>
        <w:t xml:space="preserve">cuando se </w:t>
      </w:r>
      <w:r w:rsidR="008B42A6" w:rsidRPr="004E350C">
        <w:rPr>
          <w:rFonts w:ascii="Arial" w:eastAsia="Calibri" w:hAnsi="Arial" w:cs="Arial"/>
        </w:rPr>
        <w:t>contempla</w:t>
      </w:r>
      <w:r w:rsidR="009D5B63" w:rsidRPr="004E350C">
        <w:rPr>
          <w:rFonts w:ascii="Arial" w:eastAsia="Calibri" w:hAnsi="Arial" w:cs="Arial"/>
        </w:rPr>
        <w:t xml:space="preserve"> en el proceso de contratación la presentación </w:t>
      </w:r>
      <w:r w:rsidRPr="004E350C">
        <w:rPr>
          <w:rFonts w:ascii="Arial" w:eastAsia="Calibri" w:hAnsi="Arial" w:cs="Arial"/>
          <w:lang w:val="es-ES"/>
        </w:rPr>
        <w:t xml:space="preserve">de los formatos: </w:t>
      </w:r>
      <w:r w:rsidRPr="004E350C">
        <w:rPr>
          <w:rFonts w:ascii="Arial" w:hAnsi="Arial" w:cs="Arial"/>
          <w:bCs/>
          <w:lang w:val="es-ES"/>
        </w:rPr>
        <w:t>7A— Programa de Gerencia de Proyectos;  7B—</w:t>
      </w:r>
      <w:r w:rsidRPr="004E350C">
        <w:rPr>
          <w:rFonts w:ascii="Arial" w:hAnsi="Arial" w:cs="Arial"/>
          <w:bCs/>
        </w:rPr>
        <w:t>Disponibilidad y Condiciones Funcionales de la Maquinaria de Obra; 7C—Plan de Calidad y 7D—Garantía Suplementaria o Adicional, según corresponda, se observa la manifestación expresa del compromiso adquirido por el proponente en cada caso, bajo la gravedad de juramento, sin que se indique la obligación adicional de aportar documentación para tal fin</w:t>
      </w:r>
      <w:r w:rsidR="00731AB6">
        <w:rPr>
          <w:rFonts w:ascii="Arial" w:hAnsi="Arial" w:cs="Arial"/>
          <w:bCs/>
        </w:rPr>
        <w:t>, lo que garatrntiza principios como la celeridad en los procedimientos de selección.</w:t>
      </w:r>
    </w:p>
    <w:p w14:paraId="0C48200E" w14:textId="612AADC8" w:rsidR="002468D9" w:rsidRPr="004E350C" w:rsidRDefault="002468D9" w:rsidP="002468D9">
      <w:pPr>
        <w:tabs>
          <w:tab w:val="left" w:pos="426"/>
        </w:tabs>
        <w:spacing w:after="120"/>
        <w:ind w:firstLine="709"/>
        <w:jc w:val="both"/>
        <w:rPr>
          <w:rFonts w:ascii="Arial" w:eastAsia="Calibri" w:hAnsi="Arial" w:cs="Arial"/>
        </w:rPr>
      </w:pPr>
      <w:r w:rsidRPr="004E350C">
        <w:rPr>
          <w:rFonts w:ascii="Arial" w:eastAsia="Calibri" w:hAnsi="Arial" w:cs="Arial"/>
        </w:rPr>
        <w:t xml:space="preserve">De otra parte, </w:t>
      </w:r>
      <w:r w:rsidR="009D5B63" w:rsidRPr="004E350C">
        <w:rPr>
          <w:rFonts w:ascii="Arial" w:eastAsia="Calibri" w:hAnsi="Arial" w:cs="Arial"/>
        </w:rPr>
        <w:t xml:space="preserve">existe por parte de los proponentes el deber de </w:t>
      </w:r>
      <w:r w:rsidR="007406F6" w:rsidRPr="004E350C">
        <w:rPr>
          <w:rFonts w:ascii="Arial" w:eastAsia="Calibri" w:hAnsi="Arial" w:cs="Arial"/>
        </w:rPr>
        <w:t>brindar una información real, es decir que</w:t>
      </w:r>
      <w:r w:rsidR="00B6144F" w:rsidRPr="004E350C">
        <w:rPr>
          <w:rFonts w:ascii="Arial" w:eastAsia="Calibri" w:hAnsi="Arial" w:cs="Arial"/>
        </w:rPr>
        <w:t>,</w:t>
      </w:r>
      <w:r w:rsidR="007406F6" w:rsidRPr="004E350C">
        <w:rPr>
          <w:rFonts w:ascii="Arial" w:eastAsia="Calibri" w:hAnsi="Arial" w:cs="Arial"/>
        </w:rPr>
        <w:t xml:space="preserve"> efectivamente</w:t>
      </w:r>
      <w:r w:rsidRPr="004E350C">
        <w:rPr>
          <w:rFonts w:ascii="Arial" w:eastAsia="Calibri" w:hAnsi="Arial" w:cs="Arial"/>
        </w:rPr>
        <w:t xml:space="preserve">, de resultar adjudicatario, el </w:t>
      </w:r>
      <w:r w:rsidR="00731AB6">
        <w:rPr>
          <w:rFonts w:ascii="Arial" w:eastAsia="Calibri" w:hAnsi="Arial" w:cs="Arial"/>
        </w:rPr>
        <w:t>contratista</w:t>
      </w:r>
      <w:r w:rsidR="00731AB6" w:rsidRPr="004E350C">
        <w:rPr>
          <w:rFonts w:ascii="Arial" w:eastAsia="Calibri" w:hAnsi="Arial" w:cs="Arial"/>
        </w:rPr>
        <w:t xml:space="preserve"> </w:t>
      </w:r>
      <w:r w:rsidR="009E3688" w:rsidRPr="004E350C">
        <w:rPr>
          <w:rFonts w:ascii="Arial" w:eastAsia="Calibri" w:hAnsi="Arial" w:cs="Arial"/>
        </w:rPr>
        <w:t xml:space="preserve">deberá </w:t>
      </w:r>
      <w:r w:rsidRPr="004E350C">
        <w:rPr>
          <w:rFonts w:ascii="Arial" w:eastAsia="Calibri" w:hAnsi="Arial" w:cs="Arial"/>
        </w:rPr>
        <w:t>implementa</w:t>
      </w:r>
      <w:r w:rsidR="009E3688" w:rsidRPr="004E350C">
        <w:rPr>
          <w:rFonts w:ascii="Arial" w:eastAsia="Calibri" w:hAnsi="Arial" w:cs="Arial"/>
        </w:rPr>
        <w:t>r</w:t>
      </w:r>
      <w:r w:rsidRPr="004E350C">
        <w:rPr>
          <w:rFonts w:ascii="Arial" w:eastAsia="Calibri" w:hAnsi="Arial" w:cs="Arial"/>
        </w:rPr>
        <w:t xml:space="preserve"> el programa de gerencia de proyectos; dispon</w:t>
      </w:r>
      <w:r w:rsidR="009E3688" w:rsidRPr="004E350C">
        <w:rPr>
          <w:rFonts w:ascii="Arial" w:eastAsia="Calibri" w:hAnsi="Arial" w:cs="Arial"/>
        </w:rPr>
        <w:t xml:space="preserve">er </w:t>
      </w:r>
      <w:r w:rsidRPr="004E350C">
        <w:rPr>
          <w:rFonts w:ascii="Arial" w:eastAsia="Calibri" w:hAnsi="Arial" w:cs="Arial"/>
        </w:rPr>
        <w:t>de la maquinaria con la edad y las condiciones que declaró; present</w:t>
      </w:r>
      <w:r w:rsidR="009E3688" w:rsidRPr="004E350C">
        <w:rPr>
          <w:rFonts w:ascii="Arial" w:eastAsia="Calibri" w:hAnsi="Arial" w:cs="Arial"/>
        </w:rPr>
        <w:t>ar</w:t>
      </w:r>
      <w:r w:rsidRPr="004E350C">
        <w:rPr>
          <w:rFonts w:ascii="Arial" w:eastAsia="Calibri" w:hAnsi="Arial" w:cs="Arial"/>
        </w:rPr>
        <w:t xml:space="preserve"> el plan de calidad y/u otorgar las garantías suplementarias o adicionales a la legal establecida para la estabilidad y calidad de la obra</w:t>
      </w:r>
      <w:r w:rsidR="00731AB6">
        <w:rPr>
          <w:rFonts w:ascii="Arial" w:eastAsia="Calibri" w:hAnsi="Arial" w:cs="Arial"/>
        </w:rPr>
        <w:t>. Sin embaergo, para</w:t>
      </w:r>
      <w:r w:rsidR="0060272C" w:rsidRPr="004E350C">
        <w:rPr>
          <w:rFonts w:ascii="Arial" w:eastAsia="Calibri" w:hAnsi="Arial" w:cs="Arial"/>
        </w:rPr>
        <w:t xml:space="preserve"> aspirar al puntaje designado en cada caso, le bastará </w:t>
      </w:r>
      <w:r w:rsidR="00B21220" w:rsidRPr="004E350C">
        <w:rPr>
          <w:rFonts w:ascii="Arial" w:eastAsia="Calibri" w:hAnsi="Arial" w:cs="Arial"/>
        </w:rPr>
        <w:t>con el</w:t>
      </w:r>
      <w:r w:rsidR="0060272C" w:rsidRPr="004E350C">
        <w:rPr>
          <w:rFonts w:ascii="Arial" w:eastAsia="Calibri" w:hAnsi="Arial" w:cs="Arial"/>
        </w:rPr>
        <w:t xml:space="preserve">  diligenciamiento y presentación de cualquiera de los formularios establecidos para la obtención del puntaje que se determine</w:t>
      </w:r>
      <w:r w:rsidR="00B21220" w:rsidRPr="004E350C">
        <w:rPr>
          <w:rFonts w:ascii="Arial" w:eastAsia="Calibri" w:hAnsi="Arial" w:cs="Arial"/>
        </w:rPr>
        <w:t>.</w:t>
      </w:r>
    </w:p>
    <w:p w14:paraId="0446C6A7" w14:textId="3D59B10A" w:rsidR="00C86418" w:rsidRPr="004E350C" w:rsidRDefault="009D1597" w:rsidP="00973588">
      <w:pPr>
        <w:tabs>
          <w:tab w:val="left" w:pos="426"/>
        </w:tabs>
        <w:spacing w:after="120"/>
        <w:ind w:firstLine="709"/>
        <w:jc w:val="both"/>
        <w:rPr>
          <w:rFonts w:ascii="Arial" w:eastAsia="Calibri" w:hAnsi="Arial" w:cs="Arial"/>
        </w:rPr>
      </w:pPr>
      <w:r w:rsidRPr="004E350C">
        <w:rPr>
          <w:rFonts w:ascii="Arial" w:eastAsia="Calibri" w:hAnsi="Arial" w:cs="Arial"/>
        </w:rPr>
        <w:t>En tal sentido,</w:t>
      </w:r>
      <w:r w:rsidR="00C4489C" w:rsidRPr="004E350C">
        <w:rPr>
          <w:rFonts w:ascii="Arial" w:eastAsia="Calibri" w:hAnsi="Arial" w:cs="Arial"/>
        </w:rPr>
        <w:t xml:space="preserve"> </w:t>
      </w:r>
      <w:r w:rsidR="008B42A6" w:rsidRPr="004E350C">
        <w:rPr>
          <w:rFonts w:ascii="Arial" w:eastAsia="Calibri" w:hAnsi="Arial" w:cs="Arial"/>
        </w:rPr>
        <w:t>deberá</w:t>
      </w:r>
      <w:r w:rsidR="00B6144F" w:rsidRPr="004E350C">
        <w:rPr>
          <w:rFonts w:ascii="Arial" w:eastAsia="Calibri" w:hAnsi="Arial" w:cs="Arial"/>
        </w:rPr>
        <w:t xml:space="preserve"> cumplir con las condiciones </w:t>
      </w:r>
      <w:r w:rsidR="00C4489C" w:rsidRPr="004E350C">
        <w:rPr>
          <w:rFonts w:ascii="Arial" w:eastAsia="Calibri" w:hAnsi="Arial" w:cs="Arial"/>
        </w:rPr>
        <w:t>precisadas</w:t>
      </w:r>
      <w:r w:rsidR="00B6144F" w:rsidRPr="004E350C">
        <w:rPr>
          <w:rFonts w:ascii="Arial" w:eastAsia="Calibri" w:hAnsi="Arial" w:cs="Arial"/>
        </w:rPr>
        <w:t xml:space="preserve">, </w:t>
      </w:r>
      <w:r w:rsidR="00150FF1" w:rsidRPr="004E350C">
        <w:rPr>
          <w:rFonts w:ascii="Arial" w:eastAsia="Calibri" w:hAnsi="Arial" w:cs="Arial"/>
        </w:rPr>
        <w:t>cristalizándose</w:t>
      </w:r>
      <w:r w:rsidR="00C4489C" w:rsidRPr="004E350C">
        <w:rPr>
          <w:rFonts w:ascii="Arial" w:eastAsia="Calibri" w:hAnsi="Arial" w:cs="Arial"/>
        </w:rPr>
        <w:t xml:space="preserve"> la presunción </w:t>
      </w:r>
      <w:r w:rsidR="00150FF1" w:rsidRPr="004E350C">
        <w:rPr>
          <w:rFonts w:ascii="Arial" w:eastAsia="Calibri" w:hAnsi="Arial" w:cs="Arial"/>
        </w:rPr>
        <w:t>de buena fe que se predica</w:t>
      </w:r>
      <w:r w:rsidR="00D13C58" w:rsidRPr="004E350C">
        <w:rPr>
          <w:rFonts w:ascii="Arial" w:eastAsia="Calibri" w:hAnsi="Arial" w:cs="Arial"/>
        </w:rPr>
        <w:t xml:space="preserve"> </w:t>
      </w:r>
      <w:r w:rsidR="00C4489C" w:rsidRPr="004E350C">
        <w:rPr>
          <w:rFonts w:ascii="Arial" w:eastAsia="Calibri" w:hAnsi="Arial" w:cs="Arial"/>
        </w:rPr>
        <w:t>del actuar de la administración y de los particulares</w:t>
      </w:r>
      <w:r w:rsidR="006B33B1" w:rsidRPr="004E350C">
        <w:rPr>
          <w:rStyle w:val="Refdenotaalpie"/>
          <w:rFonts w:ascii="Arial" w:eastAsia="Calibri" w:hAnsi="Arial" w:cs="Arial"/>
        </w:rPr>
        <w:footnoteReference w:id="8"/>
      </w:r>
      <w:r w:rsidR="009E3688" w:rsidRPr="004E350C">
        <w:rPr>
          <w:rFonts w:ascii="Arial" w:eastAsia="Calibri" w:hAnsi="Arial" w:cs="Arial"/>
        </w:rPr>
        <w:t xml:space="preserve">, </w:t>
      </w:r>
      <w:r w:rsidR="00D21535" w:rsidRPr="004E350C">
        <w:rPr>
          <w:rFonts w:ascii="Arial" w:eastAsia="Calibri" w:hAnsi="Arial" w:cs="Arial"/>
        </w:rPr>
        <w:t>dado que</w:t>
      </w:r>
      <w:r w:rsidR="00E95F23" w:rsidRPr="004E350C">
        <w:rPr>
          <w:rFonts w:ascii="Arial" w:eastAsia="Calibri" w:hAnsi="Arial" w:cs="Arial"/>
        </w:rPr>
        <w:t xml:space="preserve"> </w:t>
      </w:r>
      <w:r w:rsidRPr="004E350C">
        <w:rPr>
          <w:rFonts w:ascii="Arial" w:eastAsia="Calibri" w:hAnsi="Arial" w:cs="Arial"/>
        </w:rPr>
        <w:t>e</w:t>
      </w:r>
      <w:r w:rsidR="00C86418" w:rsidRPr="004E350C">
        <w:rPr>
          <w:rFonts w:ascii="Arial" w:eastAsia="Calibri" w:hAnsi="Arial" w:cs="Arial"/>
        </w:rPr>
        <w:t>l propósito</w:t>
      </w:r>
      <w:r w:rsidR="009813BB" w:rsidRPr="004E350C">
        <w:rPr>
          <w:rFonts w:ascii="Arial" w:eastAsia="Calibri" w:hAnsi="Arial" w:cs="Arial"/>
        </w:rPr>
        <w:t xml:space="preserve"> </w:t>
      </w:r>
      <w:r w:rsidR="00C86418" w:rsidRPr="004E350C">
        <w:rPr>
          <w:rFonts w:ascii="Arial" w:eastAsia="Calibri" w:hAnsi="Arial" w:cs="Arial"/>
        </w:rPr>
        <w:t xml:space="preserve">de </w:t>
      </w:r>
      <w:r w:rsidR="009813BB" w:rsidRPr="004E350C">
        <w:rPr>
          <w:rFonts w:ascii="Arial" w:eastAsia="Calibri" w:hAnsi="Arial" w:cs="Arial"/>
        </w:rPr>
        <w:t xml:space="preserve">que se </w:t>
      </w:r>
      <w:r w:rsidR="00731AB6">
        <w:rPr>
          <w:rFonts w:ascii="Arial" w:eastAsia="Calibri" w:hAnsi="Arial" w:cs="Arial"/>
        </w:rPr>
        <w:t>tenga como acreditado</w:t>
      </w:r>
      <w:r w:rsidR="00731AB6" w:rsidRPr="004E350C">
        <w:rPr>
          <w:rFonts w:ascii="Arial" w:eastAsia="Calibri" w:hAnsi="Arial" w:cs="Arial"/>
        </w:rPr>
        <w:t xml:space="preserve"> </w:t>
      </w:r>
      <w:r w:rsidR="009813BB" w:rsidRPr="004E350C">
        <w:rPr>
          <w:rFonts w:ascii="Arial" w:eastAsia="Calibri" w:hAnsi="Arial" w:cs="Arial"/>
        </w:rPr>
        <w:t xml:space="preserve">el </w:t>
      </w:r>
      <w:r w:rsidR="00C86418" w:rsidRPr="004E350C">
        <w:rPr>
          <w:rFonts w:ascii="Arial" w:eastAsia="Calibri" w:hAnsi="Arial" w:cs="Arial"/>
        </w:rPr>
        <w:t xml:space="preserve">cumplimiento del factor de calidad </w:t>
      </w:r>
      <w:r w:rsidR="00D21535" w:rsidRPr="004E350C">
        <w:rPr>
          <w:rFonts w:ascii="Arial" w:eastAsia="Calibri" w:hAnsi="Arial" w:cs="Arial"/>
        </w:rPr>
        <w:t xml:space="preserve">en la etapa precontractual </w:t>
      </w:r>
      <w:r w:rsidR="009813BB" w:rsidRPr="004E350C">
        <w:rPr>
          <w:rFonts w:ascii="Arial" w:eastAsia="Calibri" w:hAnsi="Arial" w:cs="Arial"/>
        </w:rPr>
        <w:t xml:space="preserve">solo </w:t>
      </w:r>
      <w:r w:rsidR="00C86418" w:rsidRPr="004E350C">
        <w:rPr>
          <w:rFonts w:ascii="Arial" w:eastAsia="Calibri" w:hAnsi="Arial" w:cs="Arial"/>
        </w:rPr>
        <w:t xml:space="preserve">con la presentación </w:t>
      </w:r>
      <w:r w:rsidR="009813BB" w:rsidRPr="004E350C">
        <w:rPr>
          <w:rFonts w:ascii="Arial" w:eastAsia="Calibri" w:hAnsi="Arial" w:cs="Arial"/>
        </w:rPr>
        <w:t>de</w:t>
      </w:r>
      <w:r w:rsidR="00D21535" w:rsidRPr="004E350C">
        <w:rPr>
          <w:rFonts w:ascii="Arial" w:eastAsia="Calibri" w:hAnsi="Arial" w:cs="Arial"/>
        </w:rPr>
        <w:t xml:space="preserve"> </w:t>
      </w:r>
      <w:r w:rsidR="009813BB" w:rsidRPr="004E350C">
        <w:rPr>
          <w:rFonts w:ascii="Arial" w:eastAsia="Calibri" w:hAnsi="Arial" w:cs="Arial"/>
        </w:rPr>
        <w:t>l</w:t>
      </w:r>
      <w:r w:rsidR="00D21535" w:rsidRPr="004E350C">
        <w:rPr>
          <w:rFonts w:ascii="Arial" w:eastAsia="Calibri" w:hAnsi="Arial" w:cs="Arial"/>
        </w:rPr>
        <w:t>os</w:t>
      </w:r>
      <w:r w:rsidR="009813BB" w:rsidRPr="004E350C">
        <w:rPr>
          <w:rFonts w:ascii="Arial" w:eastAsia="Calibri" w:hAnsi="Arial" w:cs="Arial"/>
        </w:rPr>
        <w:t xml:space="preserve"> </w:t>
      </w:r>
      <w:r w:rsidR="00E95F23" w:rsidRPr="004E350C">
        <w:rPr>
          <w:rFonts w:ascii="Arial" w:eastAsia="Calibri" w:hAnsi="Arial" w:cs="Arial"/>
        </w:rPr>
        <w:t>formato</w:t>
      </w:r>
      <w:r w:rsidR="00D21535" w:rsidRPr="004E350C">
        <w:rPr>
          <w:rFonts w:ascii="Arial" w:eastAsia="Calibri" w:hAnsi="Arial" w:cs="Arial"/>
        </w:rPr>
        <w:t>s</w:t>
      </w:r>
      <w:r w:rsidR="00E95F23" w:rsidRPr="004E350C">
        <w:rPr>
          <w:rFonts w:ascii="Arial" w:eastAsia="Calibri" w:hAnsi="Arial" w:cs="Arial"/>
        </w:rPr>
        <w:t xml:space="preserve">, es precisametne </w:t>
      </w:r>
      <w:r w:rsidR="00C86418" w:rsidRPr="004E350C">
        <w:rPr>
          <w:rFonts w:ascii="Arial" w:eastAsia="Calibri" w:hAnsi="Arial" w:cs="Arial"/>
        </w:rPr>
        <w:t>evitar debates en la evaluación de las ofertas, de</w:t>
      </w:r>
      <w:r w:rsidR="00E95F23" w:rsidRPr="004E350C">
        <w:rPr>
          <w:rFonts w:ascii="Arial" w:eastAsia="Calibri" w:hAnsi="Arial" w:cs="Arial"/>
        </w:rPr>
        <w:t xml:space="preserve"> esta manera impera el principio de buena fe</w:t>
      </w:r>
      <w:r w:rsidR="002B6CF0" w:rsidRPr="004E350C">
        <w:rPr>
          <w:rFonts w:ascii="Arial" w:eastAsia="Calibri" w:hAnsi="Arial" w:cs="Arial"/>
        </w:rPr>
        <w:t xml:space="preserve">, pues </w:t>
      </w:r>
      <w:r w:rsidR="00C86418" w:rsidRPr="004E350C">
        <w:rPr>
          <w:rFonts w:ascii="Arial" w:eastAsia="Calibri" w:hAnsi="Arial" w:cs="Arial"/>
        </w:rPr>
        <w:t>los proponentes saben a qué se están comprometiendo</w:t>
      </w:r>
      <w:r w:rsidRPr="004E350C">
        <w:rPr>
          <w:rFonts w:ascii="Arial" w:eastAsia="Calibri" w:hAnsi="Arial" w:cs="Arial"/>
        </w:rPr>
        <w:t xml:space="preserve"> y obligando</w:t>
      </w:r>
      <w:r w:rsidR="00C86418" w:rsidRPr="004E350C">
        <w:rPr>
          <w:rFonts w:ascii="Arial" w:eastAsia="Calibri" w:hAnsi="Arial" w:cs="Arial"/>
        </w:rPr>
        <w:t>.</w:t>
      </w:r>
    </w:p>
    <w:p w14:paraId="2A3FA094" w14:textId="4C67ABB0" w:rsidR="00AB2F6F" w:rsidRPr="004E350C" w:rsidRDefault="00D21535" w:rsidP="002B3C9F">
      <w:pPr>
        <w:tabs>
          <w:tab w:val="left" w:pos="709"/>
          <w:tab w:val="left" w:pos="7938"/>
        </w:tabs>
        <w:spacing w:after="0"/>
        <w:ind w:firstLine="709"/>
        <w:jc w:val="both"/>
        <w:rPr>
          <w:rFonts w:ascii="Arial" w:eastAsia="Calibri" w:hAnsi="Arial" w:cs="Arial"/>
          <w:color w:val="000000" w:themeColor="text1"/>
        </w:rPr>
      </w:pPr>
      <w:r w:rsidRPr="004E350C">
        <w:rPr>
          <w:rFonts w:ascii="Arial" w:eastAsia="Calibri" w:hAnsi="Arial" w:cs="Arial"/>
          <w:color w:val="000000" w:themeColor="text1"/>
        </w:rPr>
        <w:t xml:space="preserve">Sin perjuicio de lo anterior, la presentación de los formatos </w:t>
      </w:r>
      <w:r w:rsidR="00064391" w:rsidRPr="004E350C">
        <w:rPr>
          <w:rFonts w:ascii="Arial" w:eastAsia="Calibri" w:hAnsi="Arial" w:cs="Arial"/>
        </w:rPr>
        <w:t>supone el respectivo deber de verificación por parte de la entidad</w:t>
      </w:r>
      <w:r w:rsidR="000316BF" w:rsidRPr="004E350C">
        <w:rPr>
          <w:rFonts w:ascii="Arial" w:eastAsia="Calibri" w:hAnsi="Arial" w:cs="Arial"/>
        </w:rPr>
        <w:t xml:space="preserve"> frente al adjudicatario</w:t>
      </w:r>
      <w:r w:rsidR="00731AB6">
        <w:rPr>
          <w:rFonts w:ascii="Arial" w:eastAsia="Calibri" w:hAnsi="Arial" w:cs="Arial"/>
        </w:rPr>
        <w:t xml:space="preserve"> y futuro contratistas</w:t>
      </w:r>
      <w:r w:rsidR="000316BF" w:rsidRPr="004E350C">
        <w:rPr>
          <w:rFonts w:ascii="Arial" w:eastAsia="Calibri" w:hAnsi="Arial" w:cs="Arial"/>
        </w:rPr>
        <w:t xml:space="preserve"> </w:t>
      </w:r>
      <w:r w:rsidR="001C4763" w:rsidRPr="004E350C">
        <w:rPr>
          <w:rFonts w:ascii="Arial" w:eastAsia="Calibri" w:hAnsi="Arial" w:cs="Arial"/>
        </w:rPr>
        <w:t>durante toda la ejecución del contrato</w:t>
      </w:r>
      <w:r w:rsidR="00064391" w:rsidRPr="004E350C">
        <w:rPr>
          <w:rFonts w:ascii="Arial" w:eastAsia="Calibri" w:hAnsi="Arial" w:cs="Arial"/>
        </w:rPr>
        <w:t>,</w:t>
      </w:r>
      <w:r w:rsidR="000316BF" w:rsidRPr="004E350C">
        <w:rPr>
          <w:rFonts w:ascii="Arial" w:eastAsia="Calibri" w:hAnsi="Arial" w:cs="Arial"/>
        </w:rPr>
        <w:t xml:space="preserve"> </w:t>
      </w:r>
      <w:r w:rsidR="00731AB6">
        <w:rPr>
          <w:rFonts w:ascii="Arial" w:eastAsia="Calibri" w:hAnsi="Arial" w:cs="Arial"/>
        </w:rPr>
        <w:t xml:space="preserve">del efectivo cumplimiento de dichos ofrecimientos, </w:t>
      </w:r>
      <w:r w:rsidR="000316BF" w:rsidRPr="004E350C">
        <w:rPr>
          <w:rFonts w:ascii="Arial" w:eastAsia="Calibri" w:hAnsi="Arial" w:cs="Arial"/>
        </w:rPr>
        <w:t>como quiera que</w:t>
      </w:r>
      <w:r w:rsidR="00441BE1" w:rsidRPr="004E350C">
        <w:rPr>
          <w:rFonts w:ascii="Arial" w:eastAsia="Calibri" w:hAnsi="Arial" w:cs="Arial"/>
        </w:rPr>
        <w:t xml:space="preserve"> </w:t>
      </w:r>
      <w:r w:rsidR="00731AB6">
        <w:rPr>
          <w:rFonts w:ascii="Arial" w:eastAsia="Calibri" w:hAnsi="Arial" w:cs="Arial"/>
        </w:rPr>
        <w:t>estos</w:t>
      </w:r>
      <w:r w:rsidR="00441BE1" w:rsidRPr="004E350C">
        <w:rPr>
          <w:rFonts w:ascii="Arial" w:eastAsia="Calibri" w:hAnsi="Arial" w:cs="Arial"/>
        </w:rPr>
        <w:t xml:space="preserve"> pasa</w:t>
      </w:r>
      <w:r w:rsidR="00731AB6">
        <w:rPr>
          <w:rFonts w:ascii="Arial" w:eastAsia="Calibri" w:hAnsi="Arial" w:cs="Arial"/>
        </w:rPr>
        <w:t>n</w:t>
      </w:r>
      <w:r w:rsidR="00441BE1" w:rsidRPr="004E350C">
        <w:rPr>
          <w:rFonts w:ascii="Arial" w:eastAsia="Calibri" w:hAnsi="Arial" w:cs="Arial"/>
        </w:rPr>
        <w:t xml:space="preserve"> a constituirse</w:t>
      </w:r>
      <w:r w:rsidR="000316BF" w:rsidRPr="004E350C">
        <w:rPr>
          <w:rFonts w:ascii="Arial" w:eastAsia="Calibri" w:hAnsi="Arial" w:cs="Arial"/>
        </w:rPr>
        <w:t xml:space="preserve"> como una obligación contractual</w:t>
      </w:r>
      <w:r w:rsidR="00064391" w:rsidRPr="004E350C">
        <w:rPr>
          <w:rFonts w:ascii="Arial" w:eastAsia="Calibri" w:hAnsi="Arial" w:cs="Arial"/>
        </w:rPr>
        <w:t xml:space="preserve"> </w:t>
      </w:r>
      <w:r w:rsidR="00AB2F6F" w:rsidRPr="004E350C">
        <w:rPr>
          <w:rFonts w:ascii="Arial" w:eastAsia="Calibri" w:hAnsi="Arial" w:cs="Arial"/>
        </w:rPr>
        <w:t>y</w:t>
      </w:r>
      <w:r w:rsidR="001C4763" w:rsidRPr="004E350C">
        <w:rPr>
          <w:rFonts w:ascii="Arial" w:eastAsia="Calibri" w:hAnsi="Arial" w:cs="Arial"/>
        </w:rPr>
        <w:t>,</w:t>
      </w:r>
      <w:r w:rsidR="00AB2F6F" w:rsidRPr="004E350C">
        <w:rPr>
          <w:rFonts w:ascii="Arial" w:eastAsia="Calibri" w:hAnsi="Arial" w:cs="Arial"/>
        </w:rPr>
        <w:t xml:space="preserve"> en caso</w:t>
      </w:r>
      <w:r w:rsidR="00064391" w:rsidRPr="004E350C">
        <w:rPr>
          <w:rFonts w:ascii="Arial" w:eastAsia="Calibri" w:hAnsi="Arial" w:cs="Arial"/>
        </w:rPr>
        <w:t xml:space="preserve"> de evidenciar un incumplimiento, l</w:t>
      </w:r>
      <w:r w:rsidR="00064391" w:rsidRPr="004E350C">
        <w:rPr>
          <w:rFonts w:ascii="Arial" w:eastAsia="Calibri" w:hAnsi="Arial" w:cs="Arial"/>
          <w:color w:val="000000" w:themeColor="text1"/>
        </w:rPr>
        <w:t>a Ley 1150 de 2007</w:t>
      </w:r>
      <w:r w:rsidR="001C4763" w:rsidRPr="004E350C">
        <w:rPr>
          <w:rFonts w:ascii="Arial" w:eastAsia="Calibri" w:hAnsi="Arial" w:cs="Arial"/>
          <w:color w:val="000000" w:themeColor="text1"/>
        </w:rPr>
        <w:t>,</w:t>
      </w:r>
      <w:r w:rsidR="00AB2F6F" w:rsidRPr="004E350C">
        <w:rPr>
          <w:rFonts w:ascii="Arial" w:eastAsia="Calibri" w:hAnsi="Arial" w:cs="Arial"/>
          <w:color w:val="000000" w:themeColor="text1"/>
        </w:rPr>
        <w:t xml:space="preserve"> en el artículo 17, establece que en virtud del derecho al debido proceso y del deber de control y vigilancia sobre los contratos </w:t>
      </w:r>
      <w:r w:rsidR="00AB2F6F" w:rsidRPr="004E350C">
        <w:rPr>
          <w:rFonts w:ascii="Arial" w:eastAsia="Calibri" w:hAnsi="Arial" w:cs="Arial"/>
          <w:color w:val="000000" w:themeColor="text1"/>
        </w:rPr>
        <w:lastRenderedPageBreak/>
        <w:t>que corresponde a las entidades sometidas al Estatuto General de Contratación de la Administración Pública, estas tienen la facultad de imponer multas que hayan sido pactadas con el objeto de conminar al contratista a cumplir con sus obligaciones</w:t>
      </w:r>
      <w:r w:rsidR="00AB2F6F" w:rsidRPr="004E350C">
        <w:rPr>
          <w:rStyle w:val="Refdenotaalpie"/>
          <w:rFonts w:ascii="Arial" w:eastAsia="Calibri" w:hAnsi="Arial" w:cs="Arial"/>
          <w:color w:val="000000" w:themeColor="text1"/>
        </w:rPr>
        <w:footnoteReference w:id="9"/>
      </w:r>
      <w:r w:rsidR="00AB2F6F" w:rsidRPr="004E350C">
        <w:rPr>
          <w:rFonts w:ascii="Arial" w:eastAsia="Calibri" w:hAnsi="Arial" w:cs="Arial"/>
          <w:color w:val="000000" w:themeColor="text1"/>
        </w:rPr>
        <w:t xml:space="preserve">. </w:t>
      </w:r>
      <w:r w:rsidRPr="004E350C">
        <w:rPr>
          <w:rFonts w:ascii="Arial" w:eastAsia="Calibri" w:hAnsi="Arial" w:cs="Arial"/>
          <w:color w:val="000000" w:themeColor="text1"/>
        </w:rPr>
        <w:t>Por</w:t>
      </w:r>
      <w:r w:rsidR="00AB2F6F" w:rsidRPr="004E350C">
        <w:rPr>
          <w:rFonts w:ascii="Arial" w:eastAsia="Calibri" w:hAnsi="Arial" w:cs="Arial"/>
          <w:color w:val="000000" w:themeColor="text1"/>
        </w:rPr>
        <w:t xml:space="preserve"> lo anterior, en el «Anexo 5 – Minuta del Contrato», en la «Cláusula 15. Multas», numeral 7, prevé como uno de los contenidos de las cláusulas que las entidades pueden incorporar en sus contratos, que se impondrá una multa por incumplir el ofrecimiento otorgado en cuanto al factor de calidad. Así se indicó en los siguientes términos:</w:t>
      </w:r>
    </w:p>
    <w:p w14:paraId="6600122C" w14:textId="77777777" w:rsidR="00C377EC" w:rsidRPr="004E350C" w:rsidRDefault="00C377EC" w:rsidP="002B3C9F">
      <w:pPr>
        <w:tabs>
          <w:tab w:val="left" w:pos="709"/>
          <w:tab w:val="left" w:pos="7938"/>
        </w:tabs>
        <w:spacing w:after="0"/>
        <w:ind w:firstLine="709"/>
        <w:jc w:val="both"/>
        <w:rPr>
          <w:rFonts w:ascii="Arial" w:eastAsia="Calibri" w:hAnsi="Arial" w:cs="Arial"/>
          <w:color w:val="000000" w:themeColor="text1"/>
        </w:rPr>
      </w:pPr>
    </w:p>
    <w:p w14:paraId="2BC61BF8" w14:textId="77777777" w:rsidR="00AB2F6F" w:rsidRPr="004E350C" w:rsidRDefault="00AB2F6F" w:rsidP="00C377EC">
      <w:pPr>
        <w:tabs>
          <w:tab w:val="left" w:pos="426"/>
        </w:tabs>
        <w:spacing w:after="0" w:line="240" w:lineRule="auto"/>
        <w:ind w:left="709" w:right="709"/>
        <w:jc w:val="both"/>
        <w:rPr>
          <w:rFonts w:ascii="Arial" w:eastAsia="Calibri" w:hAnsi="Arial" w:cs="Arial"/>
          <w:color w:val="000000" w:themeColor="text1"/>
          <w:sz w:val="21"/>
          <w:szCs w:val="21"/>
        </w:rPr>
      </w:pPr>
      <w:r w:rsidRPr="004E350C">
        <w:rPr>
          <w:rFonts w:ascii="Arial" w:eastAsia="Calibri" w:hAnsi="Arial" w:cs="Arial"/>
          <w:color w:val="000000" w:themeColor="text1"/>
          <w:sz w:val="21"/>
          <w:szCs w:val="21"/>
        </w:rPr>
        <w:t>CLÁUSULA 15. MULTAS</w:t>
      </w:r>
    </w:p>
    <w:p w14:paraId="6A2BC7D7" w14:textId="77777777" w:rsidR="00AB2F6F" w:rsidRPr="004E350C" w:rsidRDefault="00AB2F6F" w:rsidP="00B145E5">
      <w:pPr>
        <w:tabs>
          <w:tab w:val="left" w:pos="426"/>
        </w:tabs>
        <w:spacing w:after="0" w:line="240" w:lineRule="auto"/>
        <w:ind w:left="709" w:right="709"/>
        <w:jc w:val="both"/>
        <w:rPr>
          <w:rFonts w:ascii="Arial" w:eastAsia="Calibri" w:hAnsi="Arial" w:cs="Arial"/>
          <w:color w:val="000000" w:themeColor="text1"/>
          <w:sz w:val="21"/>
          <w:szCs w:val="21"/>
        </w:rPr>
      </w:pPr>
      <w:r w:rsidRPr="004E350C">
        <w:rPr>
          <w:rFonts w:ascii="Arial" w:eastAsia="Calibri" w:hAnsi="Arial" w:cs="Arial"/>
          <w:color w:val="000000" w:themeColor="text1"/>
          <w:sz w:val="21"/>
          <w:szCs w:val="21"/>
        </w:rPr>
        <w:t>[…]</w:t>
      </w:r>
    </w:p>
    <w:p w14:paraId="2C9E7FA3" w14:textId="77777777" w:rsidR="00AB2F6F" w:rsidRPr="004E350C" w:rsidRDefault="00AB2F6F" w:rsidP="00B145E5">
      <w:pPr>
        <w:spacing w:after="0" w:line="240" w:lineRule="auto"/>
        <w:ind w:left="709" w:right="709"/>
        <w:jc w:val="both"/>
        <w:rPr>
          <w:rFonts w:ascii="Arial" w:eastAsia="Calibri" w:hAnsi="Arial" w:cs="Arial"/>
          <w:color w:val="000000" w:themeColor="text1"/>
          <w:sz w:val="21"/>
          <w:szCs w:val="21"/>
        </w:rPr>
      </w:pPr>
      <w:r w:rsidRPr="004E350C">
        <w:rPr>
          <w:rFonts w:ascii="Arial" w:eastAsia="Calibri" w:hAnsi="Arial" w:cs="Arial"/>
          <w:color w:val="000000" w:themeColor="text1"/>
          <w:sz w:val="21"/>
          <w:szCs w:val="21"/>
        </w:rPr>
        <w:t>Si durante la ejecución del Contrato se generaran incumplimientos del Contratista, se causarán las siguientes multas:</w:t>
      </w:r>
    </w:p>
    <w:p w14:paraId="579365B5" w14:textId="77777777" w:rsidR="00AB2F6F" w:rsidRPr="004E350C" w:rsidRDefault="00AB2F6F" w:rsidP="00B145E5">
      <w:pPr>
        <w:spacing w:after="0" w:line="240" w:lineRule="auto"/>
        <w:ind w:left="709" w:right="709"/>
        <w:rPr>
          <w:rFonts w:ascii="Arial" w:eastAsia="Calibri" w:hAnsi="Arial" w:cs="Arial"/>
          <w:color w:val="000000" w:themeColor="text1"/>
          <w:sz w:val="21"/>
          <w:szCs w:val="21"/>
        </w:rPr>
      </w:pPr>
      <w:r w:rsidRPr="004E350C">
        <w:rPr>
          <w:rFonts w:ascii="Arial" w:eastAsia="Calibri" w:hAnsi="Arial" w:cs="Arial"/>
          <w:color w:val="000000" w:themeColor="text1"/>
          <w:sz w:val="21"/>
          <w:szCs w:val="21"/>
        </w:rPr>
        <w:t>[…]</w:t>
      </w:r>
    </w:p>
    <w:p w14:paraId="4CB1B442" w14:textId="6ABC7979" w:rsidR="00AB2F6F" w:rsidRPr="004E350C" w:rsidRDefault="00AB2F6F" w:rsidP="003165E5">
      <w:pPr>
        <w:pStyle w:val="Prrafodelista"/>
        <w:numPr>
          <w:ilvl w:val="0"/>
          <w:numId w:val="14"/>
        </w:numPr>
        <w:spacing w:after="0" w:line="240" w:lineRule="auto"/>
        <w:ind w:left="709" w:right="709" w:firstLine="11"/>
        <w:jc w:val="both"/>
        <w:rPr>
          <w:rFonts w:ascii="Arial" w:eastAsia="Arial" w:hAnsi="Arial" w:cs="Arial"/>
          <w:color w:val="000000" w:themeColor="text1"/>
          <w:sz w:val="20"/>
          <w:szCs w:val="20"/>
        </w:rPr>
      </w:pPr>
      <w:r w:rsidRPr="004E350C">
        <w:rPr>
          <w:rFonts w:ascii="Arial" w:eastAsia="Arial" w:hAnsi="Arial" w:cs="Arial"/>
          <w:color w:val="000000" w:themeColor="text1"/>
          <w:sz w:val="20"/>
          <w:szCs w:val="20"/>
        </w:rPr>
        <w:t xml:space="preserve">Por </w:t>
      </w:r>
      <w:r w:rsidRPr="004E350C">
        <w:rPr>
          <w:rFonts w:ascii="Arial" w:eastAsia="Calibri" w:hAnsi="Arial" w:cs="Arial"/>
          <w:color w:val="000000" w:themeColor="text1"/>
          <w:sz w:val="21"/>
          <w:szCs w:val="21"/>
        </w:rPr>
        <w:t xml:space="preserve">incumplir el ofrecimiento otorgado en cuanto al factor calidad, al Contratista se le impondrá una multa equivalente al </w:t>
      </w:r>
      <w:r w:rsidRPr="003165E5">
        <w:rPr>
          <w:rFonts w:ascii="Arial" w:eastAsia="Calibri" w:hAnsi="Arial" w:cs="Arial"/>
          <w:color w:val="000000" w:themeColor="text1"/>
          <w:sz w:val="21"/>
          <w:szCs w:val="21"/>
          <w:highlight w:val="lightGray"/>
        </w:rPr>
        <w:t>[0,5%]</w:t>
      </w:r>
      <w:r w:rsidRPr="004E350C">
        <w:rPr>
          <w:rFonts w:ascii="Arial" w:eastAsia="Calibri" w:hAnsi="Arial" w:cs="Arial"/>
          <w:color w:val="000000" w:themeColor="text1"/>
          <w:sz w:val="21"/>
          <w:szCs w:val="21"/>
        </w:rPr>
        <w:t xml:space="preserve"> del valor del contrato, </w:t>
      </w:r>
      <w:r w:rsidRPr="003165E5">
        <w:rPr>
          <w:rFonts w:ascii="Arial" w:eastAsia="Calibri" w:hAnsi="Arial" w:cs="Arial"/>
          <w:color w:val="000000" w:themeColor="text1"/>
          <w:sz w:val="21"/>
          <w:szCs w:val="21"/>
          <w:highlight w:val="lightGray"/>
        </w:rPr>
        <w:t>[por cada día calendario de atraso en el cumplimiento de dicha obligación]</w:t>
      </w:r>
      <w:r w:rsidR="001C4763" w:rsidRPr="004E350C">
        <w:rPr>
          <w:rStyle w:val="Refdenotaalpie"/>
          <w:rFonts w:ascii="Arial" w:eastAsia="Calibri" w:hAnsi="Arial" w:cs="Arial"/>
          <w:color w:val="000000" w:themeColor="text1"/>
          <w:sz w:val="21"/>
          <w:szCs w:val="21"/>
        </w:rPr>
        <w:footnoteReference w:id="10"/>
      </w:r>
      <w:r w:rsidRPr="004E350C">
        <w:rPr>
          <w:rFonts w:ascii="Arial" w:eastAsia="Calibri" w:hAnsi="Arial" w:cs="Arial"/>
          <w:color w:val="000000" w:themeColor="text1"/>
          <w:sz w:val="21"/>
          <w:szCs w:val="21"/>
        </w:rPr>
        <w:t>.</w:t>
      </w:r>
    </w:p>
    <w:p w14:paraId="585D2A35" w14:textId="77777777" w:rsidR="00AB2F6F" w:rsidRPr="004E350C" w:rsidRDefault="00AB2F6F" w:rsidP="00B145E5">
      <w:pPr>
        <w:pStyle w:val="Prrafodelista"/>
        <w:spacing w:after="120"/>
        <w:ind w:left="709" w:right="709"/>
        <w:jc w:val="both"/>
        <w:rPr>
          <w:rFonts w:ascii="Arial" w:eastAsia="Arial" w:hAnsi="Arial" w:cs="Arial"/>
          <w:color w:val="000000" w:themeColor="text1"/>
          <w:sz w:val="20"/>
          <w:szCs w:val="20"/>
        </w:rPr>
      </w:pPr>
      <w:r w:rsidRPr="004E350C">
        <w:rPr>
          <w:rFonts w:ascii="Arial" w:eastAsia="Calibri" w:hAnsi="Arial" w:cs="Arial"/>
          <w:color w:val="000000" w:themeColor="text1"/>
        </w:rPr>
        <w:t xml:space="preserve"> </w:t>
      </w:r>
    </w:p>
    <w:p w14:paraId="0929121E" w14:textId="3E1C3402" w:rsidR="00AB2F6F" w:rsidRPr="004E350C" w:rsidRDefault="00AB2F6F" w:rsidP="007E117F">
      <w:pPr>
        <w:tabs>
          <w:tab w:val="left" w:pos="709"/>
        </w:tabs>
        <w:spacing w:after="120"/>
        <w:jc w:val="both"/>
        <w:rPr>
          <w:rFonts w:ascii="Arial" w:eastAsia="Calibri" w:hAnsi="Arial" w:cs="Arial"/>
          <w:color w:val="000000" w:themeColor="text1"/>
        </w:rPr>
      </w:pPr>
      <w:r w:rsidRPr="004E350C">
        <w:rPr>
          <w:rFonts w:ascii="Arial" w:eastAsia="Calibri" w:hAnsi="Arial" w:cs="Arial"/>
          <w:color w:val="000000" w:themeColor="text1"/>
        </w:rPr>
        <w:tab/>
        <w:t>En este sentido, en caso de que el oferente resulte adjudicatario del procedimiento de selección, y en consecuencia</w:t>
      </w:r>
      <w:r w:rsidR="00E4551B" w:rsidRPr="004E350C">
        <w:rPr>
          <w:rFonts w:ascii="Arial" w:eastAsia="Calibri" w:hAnsi="Arial" w:cs="Arial"/>
          <w:color w:val="000000" w:themeColor="text1"/>
        </w:rPr>
        <w:t>,</w:t>
      </w:r>
      <w:r w:rsidRPr="004E350C">
        <w:rPr>
          <w:rFonts w:ascii="Arial" w:eastAsia="Calibri" w:hAnsi="Arial" w:cs="Arial"/>
          <w:color w:val="000000" w:themeColor="text1"/>
        </w:rPr>
        <w:t xml:space="preserve"> celebre el contrato con la entidad estatal, los ofrecimientos realizados en relación con los factores de calidad mencionados se convierten en una obligación contractual y se deben cumplir, so pena de que se impongan las </w:t>
      </w:r>
      <w:r w:rsidRPr="004E350C">
        <w:rPr>
          <w:rFonts w:ascii="Arial" w:eastAsia="Calibri" w:hAnsi="Arial" w:cs="Arial"/>
          <w:color w:val="000000" w:themeColor="text1"/>
        </w:rPr>
        <w:lastRenderedPageBreak/>
        <w:t>sanciones pactadas en el contrato, como, por ejemplo, la multa o la cláusula penal por este incumplimiento</w:t>
      </w:r>
      <w:r w:rsidR="00426CF1" w:rsidRPr="004E350C">
        <w:rPr>
          <w:rFonts w:ascii="Arial" w:eastAsia="Calibri" w:hAnsi="Arial" w:cs="Arial"/>
          <w:color w:val="000000" w:themeColor="text1"/>
        </w:rPr>
        <w:t>, de acuerdo con el contenido de cada contrato.</w:t>
      </w:r>
      <w:r w:rsidRPr="004E350C">
        <w:rPr>
          <w:rFonts w:ascii="Arial" w:eastAsia="Calibri" w:hAnsi="Arial" w:cs="Arial"/>
          <w:color w:val="000000" w:themeColor="text1"/>
        </w:rPr>
        <w:t xml:space="preserve"> </w:t>
      </w:r>
    </w:p>
    <w:p w14:paraId="07A8BABB" w14:textId="573F6C22" w:rsidR="00AB2F6F" w:rsidRPr="004E350C" w:rsidRDefault="00AB2F6F" w:rsidP="007E117F">
      <w:pPr>
        <w:tabs>
          <w:tab w:val="left" w:pos="709"/>
          <w:tab w:val="left" w:pos="7938"/>
        </w:tabs>
        <w:spacing w:before="120" w:after="120"/>
        <w:jc w:val="both"/>
        <w:rPr>
          <w:rFonts w:ascii="Arial" w:eastAsia="Calibri" w:hAnsi="Arial" w:cs="Arial"/>
          <w:color w:val="000000" w:themeColor="text1"/>
        </w:rPr>
      </w:pPr>
      <w:r w:rsidRPr="004E350C">
        <w:rPr>
          <w:rFonts w:ascii="Arial" w:eastAsia="Calibri" w:hAnsi="Arial" w:cs="Arial"/>
          <w:color w:val="000000" w:themeColor="text1"/>
        </w:rPr>
        <w:tab/>
        <w:t xml:space="preserve">De este modo, la entidad en el «Anexo 5 – Minuta del Contrato» determina el valor de la multa en el evento en que se incumplan los ofrecimientos realizados </w:t>
      </w:r>
      <w:r w:rsidR="00426CF1" w:rsidRPr="004E350C">
        <w:rPr>
          <w:rFonts w:ascii="Arial" w:eastAsia="Calibri" w:hAnsi="Arial" w:cs="Arial"/>
          <w:color w:val="000000" w:themeColor="text1"/>
        </w:rPr>
        <w:t>frente a</w:t>
      </w:r>
      <w:r w:rsidRPr="004E350C">
        <w:rPr>
          <w:rFonts w:ascii="Arial" w:eastAsia="Calibri" w:hAnsi="Arial" w:cs="Arial"/>
          <w:color w:val="000000" w:themeColor="text1"/>
        </w:rPr>
        <w:t>l factor de calidad</w:t>
      </w:r>
      <w:r w:rsidR="00426CF1" w:rsidRPr="004E350C">
        <w:rPr>
          <w:rFonts w:ascii="Arial" w:eastAsia="Calibri" w:hAnsi="Arial" w:cs="Arial"/>
          <w:color w:val="000000" w:themeColor="text1"/>
        </w:rPr>
        <w:t>, para conminar al contratista a su efectivo cumplimiento</w:t>
      </w:r>
      <w:r w:rsidRPr="004E350C">
        <w:rPr>
          <w:rFonts w:ascii="Arial" w:eastAsia="Calibri" w:hAnsi="Arial" w:cs="Arial"/>
          <w:color w:val="000000" w:themeColor="text1"/>
        </w:rPr>
        <w:t>. La imposición de multas tiene fundamento</w:t>
      </w:r>
      <w:r w:rsidR="00426CF1" w:rsidRPr="004E350C">
        <w:rPr>
          <w:rFonts w:ascii="Arial" w:eastAsia="Calibri" w:hAnsi="Arial" w:cs="Arial"/>
          <w:color w:val="000000" w:themeColor="text1"/>
        </w:rPr>
        <w:t>, entre otras disposiciones,</w:t>
      </w:r>
      <w:r w:rsidRPr="004E350C">
        <w:rPr>
          <w:rFonts w:ascii="Arial" w:eastAsia="Calibri" w:hAnsi="Arial" w:cs="Arial"/>
          <w:color w:val="000000" w:themeColor="text1"/>
        </w:rPr>
        <w:t xml:space="preserve"> en el artículo 1602 del Código Civil que señala que todo contrato legalmente celebrado es ley para los contratantes y no puede ser invalidado sino por su consentimiento mutuo o por causas legales</w:t>
      </w:r>
      <w:r w:rsidRPr="004E350C">
        <w:rPr>
          <w:rStyle w:val="Refdenotaalpie"/>
          <w:rFonts w:ascii="Arial" w:eastAsia="Calibri" w:hAnsi="Arial" w:cs="Arial"/>
          <w:color w:val="000000" w:themeColor="text1"/>
        </w:rPr>
        <w:footnoteReference w:id="11"/>
      </w:r>
      <w:r w:rsidRPr="004E350C">
        <w:rPr>
          <w:rFonts w:ascii="Arial" w:eastAsia="Calibri" w:hAnsi="Arial" w:cs="Arial"/>
          <w:color w:val="000000" w:themeColor="text1"/>
        </w:rPr>
        <w:t xml:space="preserve">. En este sentido, si el </w:t>
      </w:r>
      <w:r w:rsidR="00426CF1" w:rsidRPr="004E350C">
        <w:rPr>
          <w:rFonts w:ascii="Arial" w:eastAsia="Calibri" w:hAnsi="Arial" w:cs="Arial"/>
          <w:color w:val="000000" w:themeColor="text1"/>
        </w:rPr>
        <w:t xml:space="preserve">proponente </w:t>
      </w:r>
      <w:r w:rsidRPr="004E350C">
        <w:rPr>
          <w:rFonts w:ascii="Arial" w:eastAsia="Calibri" w:hAnsi="Arial" w:cs="Arial"/>
          <w:color w:val="000000" w:themeColor="text1"/>
        </w:rPr>
        <w:t>realiza un ofrecimiento en el «</w:t>
      </w:r>
      <w:r w:rsidR="00E4551B" w:rsidRPr="004E350C">
        <w:rPr>
          <w:rFonts w:ascii="Arial" w:eastAsia="Calibri" w:hAnsi="Arial" w:cs="Arial"/>
          <w:color w:val="000000" w:themeColor="text1"/>
        </w:rPr>
        <w:t>f</w:t>
      </w:r>
      <w:r w:rsidRPr="004E350C">
        <w:rPr>
          <w:rFonts w:ascii="Arial" w:eastAsia="Calibri" w:hAnsi="Arial" w:cs="Arial"/>
          <w:color w:val="000000" w:themeColor="text1"/>
        </w:rPr>
        <w:t xml:space="preserve">actor de calidad» y resulta adjudicatario del procedimiento de </w:t>
      </w:r>
      <w:r w:rsidR="00DC2EAE">
        <w:rPr>
          <w:rFonts w:ascii="Arial" w:eastAsia="Calibri" w:hAnsi="Arial" w:cs="Arial"/>
          <w:color w:val="000000" w:themeColor="text1"/>
        </w:rPr>
        <w:t>selección</w:t>
      </w:r>
      <w:r w:rsidRPr="004E350C">
        <w:rPr>
          <w:rFonts w:ascii="Arial" w:eastAsia="Calibri" w:hAnsi="Arial" w:cs="Arial"/>
          <w:color w:val="000000" w:themeColor="text1"/>
        </w:rPr>
        <w:t xml:space="preserve">, </w:t>
      </w:r>
      <w:r w:rsidR="00426CF1" w:rsidRPr="004E350C">
        <w:rPr>
          <w:rFonts w:ascii="Arial" w:eastAsia="Calibri" w:hAnsi="Arial" w:cs="Arial"/>
          <w:color w:val="000000" w:themeColor="text1"/>
        </w:rPr>
        <w:t>este</w:t>
      </w:r>
      <w:r w:rsidRPr="004E350C">
        <w:rPr>
          <w:rFonts w:ascii="Arial" w:eastAsia="Calibri" w:hAnsi="Arial" w:cs="Arial"/>
          <w:color w:val="000000" w:themeColor="text1"/>
        </w:rPr>
        <w:t xml:space="preserve"> se convierte en </w:t>
      </w:r>
      <w:r w:rsidR="00DC2EAE">
        <w:rPr>
          <w:rFonts w:ascii="Arial" w:eastAsia="Calibri" w:hAnsi="Arial" w:cs="Arial"/>
          <w:color w:val="000000" w:themeColor="text1"/>
        </w:rPr>
        <w:t>«</w:t>
      </w:r>
      <w:r w:rsidRPr="004E350C">
        <w:rPr>
          <w:rFonts w:ascii="Arial" w:eastAsia="Calibri" w:hAnsi="Arial" w:cs="Arial"/>
          <w:color w:val="000000" w:themeColor="text1"/>
        </w:rPr>
        <w:t>ley para las partes</w:t>
      </w:r>
      <w:r w:rsidR="00DC2EAE">
        <w:rPr>
          <w:rFonts w:ascii="Arial" w:eastAsia="Calibri" w:hAnsi="Arial" w:cs="Arial"/>
          <w:color w:val="000000" w:themeColor="text1"/>
        </w:rPr>
        <w:t>»</w:t>
      </w:r>
      <w:r w:rsidRPr="004E350C">
        <w:rPr>
          <w:rFonts w:ascii="Arial" w:eastAsia="Calibri" w:hAnsi="Arial" w:cs="Arial"/>
          <w:color w:val="000000" w:themeColor="text1"/>
        </w:rPr>
        <w:t xml:space="preserve"> y por lo tanto es de obligatorio cumplimiento. </w:t>
      </w:r>
    </w:p>
    <w:p w14:paraId="009B42CE" w14:textId="65B9FF54" w:rsidR="00783B8B" w:rsidRPr="004E350C" w:rsidRDefault="00AB2F6F" w:rsidP="002979ED">
      <w:pPr>
        <w:tabs>
          <w:tab w:val="left" w:pos="709"/>
          <w:tab w:val="left" w:pos="7938"/>
        </w:tabs>
        <w:spacing w:before="120"/>
        <w:jc w:val="both"/>
        <w:rPr>
          <w:rFonts w:ascii="Arial" w:eastAsia="Calibri" w:hAnsi="Arial" w:cs="Arial"/>
          <w:color w:val="000000" w:themeColor="text1"/>
        </w:rPr>
      </w:pPr>
      <w:r w:rsidRPr="004E350C">
        <w:rPr>
          <w:rFonts w:ascii="Arial" w:eastAsia="Calibri" w:hAnsi="Arial" w:cs="Arial"/>
          <w:color w:val="000000" w:themeColor="text1"/>
        </w:rPr>
        <w:tab/>
        <w:t>Asimismo, el artículo 1603 del Código Civil indica que los contratos deben ejecutarse de buena fe y, por consiguiente, obligan no solo a lo que en ellos se expresa, sino a todas cosas que emanan de la naturaleza de la obligación, o que por la ley pertenecen a ella. Es así como los proponentes, al comprometerse con su oferta</w:t>
      </w:r>
      <w:r w:rsidR="00E4551B" w:rsidRPr="004E350C">
        <w:rPr>
          <w:rFonts w:ascii="Arial" w:eastAsia="Calibri" w:hAnsi="Arial" w:cs="Arial"/>
          <w:color w:val="000000" w:themeColor="text1"/>
        </w:rPr>
        <w:t xml:space="preserve"> y especificamente en lo concerniente al factor calidad, </w:t>
      </w:r>
      <w:r w:rsidRPr="004E350C">
        <w:rPr>
          <w:rFonts w:ascii="Arial" w:eastAsia="Calibri" w:hAnsi="Arial" w:cs="Arial"/>
          <w:color w:val="000000" w:themeColor="text1"/>
        </w:rPr>
        <w:t>adquieren obligaciones adicionales que deben cumplir en la ejecución del contrato, conforme a la buena fe</w:t>
      </w:r>
      <w:r w:rsidRPr="004E350C">
        <w:rPr>
          <w:rStyle w:val="Refdenotaalpie"/>
          <w:rFonts w:ascii="Arial" w:eastAsia="Calibri" w:hAnsi="Arial" w:cs="Arial"/>
          <w:color w:val="000000" w:themeColor="text1"/>
        </w:rPr>
        <w:footnoteReference w:id="12"/>
      </w:r>
      <w:r w:rsidRPr="004E350C">
        <w:rPr>
          <w:rFonts w:ascii="Arial" w:eastAsia="Calibri" w:hAnsi="Arial" w:cs="Arial"/>
          <w:color w:val="000000" w:themeColor="text1"/>
        </w:rPr>
        <w:t xml:space="preserve">. </w:t>
      </w:r>
    </w:p>
    <w:p w14:paraId="5DF63AA7" w14:textId="794B09A6" w:rsidR="00FF0037" w:rsidRPr="004E350C" w:rsidRDefault="00FF0037" w:rsidP="007E117F">
      <w:pPr>
        <w:spacing w:after="0" w:line="240" w:lineRule="auto"/>
        <w:jc w:val="both"/>
        <w:textAlignment w:val="baseline"/>
        <w:rPr>
          <w:rFonts w:ascii="Arial" w:eastAsia="Times New Roman" w:hAnsi="Arial" w:cs="Arial"/>
          <w:b/>
          <w:lang w:eastAsia="es-CO"/>
        </w:rPr>
      </w:pPr>
      <w:r w:rsidRPr="004E350C">
        <w:rPr>
          <w:rFonts w:ascii="Arial" w:eastAsia="Times New Roman" w:hAnsi="Arial" w:cs="Arial"/>
          <w:b/>
          <w:lang w:eastAsia="es-CO"/>
        </w:rPr>
        <w:t>3. Respuestas</w:t>
      </w:r>
    </w:p>
    <w:p w14:paraId="4EBE11A7" w14:textId="2B851CCC" w:rsidR="00783B8B" w:rsidRPr="004E350C" w:rsidRDefault="00783B8B" w:rsidP="007E117F">
      <w:pPr>
        <w:spacing w:after="0" w:line="240" w:lineRule="auto"/>
        <w:jc w:val="both"/>
        <w:textAlignment w:val="baseline"/>
        <w:rPr>
          <w:rFonts w:ascii="Arial" w:eastAsia="Times New Roman" w:hAnsi="Arial" w:cs="Arial"/>
          <w:lang w:eastAsia="es-CO"/>
        </w:rPr>
      </w:pPr>
    </w:p>
    <w:p w14:paraId="42AE4B09" w14:textId="137FCA19" w:rsidR="002979ED" w:rsidRPr="004E350C" w:rsidRDefault="002979ED" w:rsidP="00F55B1C">
      <w:pPr>
        <w:spacing w:after="0" w:line="240" w:lineRule="auto"/>
        <w:ind w:left="709" w:right="709"/>
        <w:jc w:val="both"/>
        <w:textAlignment w:val="baseline"/>
        <w:rPr>
          <w:rFonts w:ascii="Arial" w:eastAsia="Times New Roman" w:hAnsi="Arial" w:cs="Arial"/>
          <w:sz w:val="21"/>
          <w:szCs w:val="21"/>
          <w:lang w:eastAsia="es-CO"/>
        </w:rPr>
      </w:pPr>
      <w:r w:rsidRPr="004E350C">
        <w:rPr>
          <w:rFonts w:ascii="Arial" w:eastAsia="Times New Roman" w:hAnsi="Arial" w:cs="Arial"/>
          <w:sz w:val="21"/>
          <w:szCs w:val="21"/>
          <w:lang w:eastAsia="es-CO"/>
        </w:rPr>
        <w:t>«[…] Pueden las Entidades Estatales dentro de la aplicación de los Pliegos Tipo para obras de infraestructura de transporte version 3, solicitar documentos adicionales a los Formatos establecidos para acreditar el factor de Calidad (Formato 7)[…]».</w:t>
      </w:r>
    </w:p>
    <w:p w14:paraId="2878CF51" w14:textId="77777777" w:rsidR="00F55B1C" w:rsidRPr="004E350C" w:rsidRDefault="00F55B1C" w:rsidP="00F55B1C">
      <w:pPr>
        <w:spacing w:after="0" w:line="240" w:lineRule="auto"/>
        <w:ind w:left="709" w:right="709"/>
        <w:jc w:val="both"/>
        <w:textAlignment w:val="baseline"/>
        <w:rPr>
          <w:rFonts w:ascii="Arial" w:eastAsia="Times New Roman" w:hAnsi="Arial" w:cs="Arial"/>
          <w:sz w:val="21"/>
          <w:szCs w:val="21"/>
          <w:lang w:eastAsia="es-CO"/>
        </w:rPr>
      </w:pPr>
    </w:p>
    <w:p w14:paraId="5599A6A3" w14:textId="06489AFF" w:rsidR="004175AA" w:rsidRPr="004E350C" w:rsidRDefault="008C7B39" w:rsidP="004175AA">
      <w:pPr>
        <w:tabs>
          <w:tab w:val="left" w:pos="8789"/>
        </w:tabs>
        <w:spacing w:after="120"/>
        <w:jc w:val="both"/>
        <w:rPr>
          <w:rFonts w:ascii="Arial" w:eastAsia="Calibri" w:hAnsi="Arial" w:cs="Arial"/>
        </w:rPr>
      </w:pPr>
      <w:r w:rsidRPr="004E350C">
        <w:rPr>
          <w:rFonts w:ascii="Arial" w:hAnsi="Arial" w:cs="Arial"/>
        </w:rPr>
        <w:t>Con base en las consideraciones expuestas</w:t>
      </w:r>
      <w:r w:rsidR="00E11A72" w:rsidRPr="004E350C">
        <w:rPr>
          <w:rFonts w:ascii="Arial" w:hAnsi="Arial" w:cs="Arial"/>
        </w:rPr>
        <w:t>,</w:t>
      </w:r>
      <w:r w:rsidRPr="004E350C">
        <w:rPr>
          <w:rFonts w:ascii="Arial" w:eastAsia="Calibri" w:hAnsi="Arial" w:cs="Arial"/>
        </w:rPr>
        <w:t xml:space="preserve"> se concluye que</w:t>
      </w:r>
      <w:r w:rsidR="00E26814" w:rsidRPr="004E350C">
        <w:rPr>
          <w:rFonts w:ascii="Arial" w:eastAsia="Calibri" w:hAnsi="Arial" w:cs="Arial"/>
        </w:rPr>
        <w:t xml:space="preserve"> </w:t>
      </w:r>
      <w:r w:rsidR="00DC2EAE">
        <w:rPr>
          <w:rFonts w:ascii="Arial" w:eastAsia="Calibri" w:hAnsi="Arial" w:cs="Arial"/>
        </w:rPr>
        <w:t>de acuerdo con lo establ</w:t>
      </w:r>
      <w:r w:rsidR="005E1334">
        <w:rPr>
          <w:rFonts w:ascii="Arial" w:eastAsia="Calibri" w:hAnsi="Arial" w:cs="Arial"/>
        </w:rPr>
        <w:t>e</w:t>
      </w:r>
      <w:r w:rsidR="00DC2EAE">
        <w:rPr>
          <w:rFonts w:ascii="Arial" w:eastAsia="Calibri" w:hAnsi="Arial" w:cs="Arial"/>
        </w:rPr>
        <w:t xml:space="preserve">cido en los documento tipo de licitación de obra pública de infraestructura de trasnporte – Versión 3, </w:t>
      </w:r>
      <w:r w:rsidR="00E26814" w:rsidRPr="004E350C">
        <w:rPr>
          <w:rFonts w:ascii="Arial" w:eastAsia="Calibri" w:hAnsi="Arial" w:cs="Arial"/>
        </w:rPr>
        <w:t>l</w:t>
      </w:r>
      <w:r w:rsidR="000F2943" w:rsidRPr="004E350C">
        <w:rPr>
          <w:rFonts w:ascii="Arial" w:eastAsia="Calibri" w:hAnsi="Arial" w:cs="Arial"/>
        </w:rPr>
        <w:t xml:space="preserve">as </w:t>
      </w:r>
      <w:r w:rsidR="00A36553" w:rsidRPr="004E350C">
        <w:rPr>
          <w:rFonts w:ascii="Arial" w:eastAsia="Calibri" w:hAnsi="Arial" w:cs="Arial"/>
        </w:rPr>
        <w:t>e</w:t>
      </w:r>
      <w:r w:rsidR="000F2943" w:rsidRPr="004E350C">
        <w:rPr>
          <w:rFonts w:ascii="Arial" w:eastAsia="Calibri" w:hAnsi="Arial" w:cs="Arial"/>
        </w:rPr>
        <w:t xml:space="preserve">ntidades </w:t>
      </w:r>
      <w:r w:rsidR="00A36553" w:rsidRPr="004E350C">
        <w:rPr>
          <w:rFonts w:ascii="Arial" w:eastAsia="Calibri" w:hAnsi="Arial" w:cs="Arial"/>
        </w:rPr>
        <w:t>estatales</w:t>
      </w:r>
      <w:r w:rsidR="00DC2EAE">
        <w:rPr>
          <w:rFonts w:ascii="Arial" w:eastAsia="Calibri" w:hAnsi="Arial" w:cs="Arial"/>
        </w:rPr>
        <w:t xml:space="preserve"> en procesos regidos por estos documentos tipo </w:t>
      </w:r>
      <w:r w:rsidR="000F2943" w:rsidRPr="004E350C">
        <w:rPr>
          <w:rFonts w:ascii="Arial" w:eastAsia="Calibri" w:hAnsi="Arial" w:cs="Arial"/>
        </w:rPr>
        <w:t xml:space="preserve">no </w:t>
      </w:r>
      <w:r w:rsidR="00DC2EAE">
        <w:rPr>
          <w:rFonts w:ascii="Arial" w:eastAsia="Calibri" w:hAnsi="Arial" w:cs="Arial"/>
        </w:rPr>
        <w:t>podrían</w:t>
      </w:r>
      <w:r w:rsidR="000F2943" w:rsidRPr="004E350C">
        <w:rPr>
          <w:rFonts w:ascii="Arial" w:eastAsia="Calibri" w:hAnsi="Arial" w:cs="Arial"/>
        </w:rPr>
        <w:t xml:space="preserve"> solicitar o incluir en el </w:t>
      </w:r>
      <w:r w:rsidR="00A36553" w:rsidRPr="004E350C">
        <w:rPr>
          <w:rFonts w:ascii="Arial" w:eastAsia="Calibri" w:hAnsi="Arial" w:cs="Arial"/>
        </w:rPr>
        <w:t>pliego de condiciones</w:t>
      </w:r>
      <w:r w:rsidR="000F2943" w:rsidRPr="004E350C">
        <w:rPr>
          <w:rFonts w:ascii="Arial" w:eastAsia="Calibri" w:hAnsi="Arial" w:cs="Arial"/>
        </w:rPr>
        <w:t xml:space="preserve"> para acreditar </w:t>
      </w:r>
      <w:r w:rsidR="002979ED" w:rsidRPr="004E350C">
        <w:rPr>
          <w:rFonts w:ascii="Arial" w:eastAsia="Calibri" w:hAnsi="Arial" w:cs="Arial"/>
        </w:rPr>
        <w:t>el factor calidad</w:t>
      </w:r>
      <w:r w:rsidR="004175AA" w:rsidRPr="004E350C">
        <w:rPr>
          <w:rFonts w:ascii="Arial" w:eastAsia="Calibri" w:hAnsi="Arial" w:cs="Arial"/>
        </w:rPr>
        <w:t xml:space="preserve"> documentos</w:t>
      </w:r>
      <w:r w:rsidR="002979ED" w:rsidRPr="004E350C">
        <w:rPr>
          <w:rFonts w:ascii="Arial" w:eastAsia="Calibri" w:hAnsi="Arial" w:cs="Arial"/>
        </w:rPr>
        <w:t xml:space="preserve"> adicionales a los formatos 7A— Programa de Gerencia de Proyectos;  7B—Disponibilidad y Condiciones Funcionales de la Maquinaria de Obra</w:t>
      </w:r>
      <w:r w:rsidR="00DC2EAE">
        <w:rPr>
          <w:rFonts w:ascii="Arial" w:eastAsia="Calibri" w:hAnsi="Arial" w:cs="Arial"/>
        </w:rPr>
        <w:t>;</w:t>
      </w:r>
      <w:r w:rsidR="002979ED" w:rsidRPr="004E350C">
        <w:rPr>
          <w:rFonts w:ascii="Arial" w:eastAsia="Calibri" w:hAnsi="Arial" w:cs="Arial"/>
        </w:rPr>
        <w:t xml:space="preserve"> 7C—Plan de Calidad y 7D—Garantía Suplementaria o Adicional, según corresponda</w:t>
      </w:r>
      <w:r w:rsidR="004175AA" w:rsidRPr="004E350C">
        <w:rPr>
          <w:rFonts w:ascii="Arial" w:eastAsia="Calibri" w:hAnsi="Arial" w:cs="Arial"/>
        </w:rPr>
        <w:t>.</w:t>
      </w:r>
      <w:r w:rsidR="00DC2EAE">
        <w:rPr>
          <w:rFonts w:ascii="Arial" w:eastAsia="Calibri" w:hAnsi="Arial" w:cs="Arial"/>
        </w:rPr>
        <w:t xml:space="preserve"> Lo anteiror, sin perjuicio </w:t>
      </w:r>
      <w:r w:rsidR="005E1334">
        <w:rPr>
          <w:rFonts w:ascii="Arial" w:eastAsia="Calibri" w:hAnsi="Arial" w:cs="Arial"/>
        </w:rPr>
        <w:lastRenderedPageBreak/>
        <w:t>de verificar el efectivo</w:t>
      </w:r>
      <w:r w:rsidR="00DC2EAE">
        <w:rPr>
          <w:rFonts w:ascii="Arial" w:eastAsia="Calibri" w:hAnsi="Arial" w:cs="Arial"/>
        </w:rPr>
        <w:t xml:space="preserve"> cumplimiento de estos ofrecimeintos en relación con futuro contratista.</w:t>
      </w:r>
    </w:p>
    <w:p w14:paraId="79C70312" w14:textId="77777777" w:rsidR="00DC2EAE" w:rsidRPr="004E350C" w:rsidRDefault="00DC2EAE" w:rsidP="004175AA">
      <w:pPr>
        <w:tabs>
          <w:tab w:val="left" w:pos="8789"/>
        </w:tabs>
        <w:spacing w:after="120"/>
        <w:ind w:firstLine="709"/>
        <w:jc w:val="both"/>
        <w:rPr>
          <w:rFonts w:ascii="Arial" w:eastAsia="Calibri" w:hAnsi="Arial" w:cs="Arial"/>
        </w:rPr>
      </w:pPr>
    </w:p>
    <w:p w14:paraId="1B3ADC93" w14:textId="77777777" w:rsidR="00FF0037" w:rsidRPr="004E350C" w:rsidRDefault="00FF0037" w:rsidP="00FF0037">
      <w:pPr>
        <w:spacing w:after="0"/>
        <w:jc w:val="both"/>
        <w:rPr>
          <w:rFonts w:ascii="Arial" w:eastAsia="Calibri" w:hAnsi="Arial" w:cs="Arial"/>
        </w:rPr>
      </w:pPr>
      <w:r w:rsidRPr="004E350C">
        <w:rPr>
          <w:rFonts w:ascii="Arial" w:eastAsia="Calibri" w:hAnsi="Arial" w:cs="Arial"/>
        </w:rPr>
        <w:t>Este concepto tiene el alcance previsto en el artículo 28 del Código de Procedimiento Administrativo y de lo Contencioso Administrativo.</w:t>
      </w:r>
    </w:p>
    <w:p w14:paraId="5EBC6903" w14:textId="77777777" w:rsidR="00783B8B" w:rsidRPr="004E350C" w:rsidRDefault="00783B8B" w:rsidP="00E97533">
      <w:pPr>
        <w:spacing w:after="0"/>
        <w:jc w:val="both"/>
        <w:rPr>
          <w:rFonts w:ascii="Arial" w:eastAsia="Times New Roman" w:hAnsi="Arial" w:cs="Arial"/>
          <w:lang w:val="es-MX" w:eastAsia="es-CO"/>
        </w:rPr>
      </w:pPr>
    </w:p>
    <w:p w14:paraId="0E77D199" w14:textId="77777777" w:rsidR="00783B8B" w:rsidRPr="004E350C" w:rsidRDefault="00783B8B" w:rsidP="00E97533">
      <w:pPr>
        <w:spacing w:after="0"/>
        <w:jc w:val="both"/>
        <w:rPr>
          <w:rFonts w:ascii="Arial" w:eastAsia="Times New Roman" w:hAnsi="Arial" w:cs="Arial"/>
          <w:lang w:val="es-MX" w:eastAsia="es-CO"/>
        </w:rPr>
      </w:pPr>
    </w:p>
    <w:p w14:paraId="5FB713E2" w14:textId="0AF9438F" w:rsidR="00FF0037" w:rsidRDefault="00FF0037" w:rsidP="00E97533">
      <w:pPr>
        <w:spacing w:after="0"/>
        <w:jc w:val="both"/>
        <w:rPr>
          <w:rFonts w:ascii="Arial" w:eastAsia="Times New Roman" w:hAnsi="Arial" w:cs="Arial"/>
          <w:sz w:val="18"/>
          <w:szCs w:val="18"/>
          <w:lang w:eastAsia="es-CO"/>
        </w:rPr>
      </w:pPr>
      <w:r w:rsidRPr="004E350C">
        <w:rPr>
          <w:rFonts w:ascii="Arial" w:eastAsia="Calibri" w:hAnsi="Arial" w:cs="Arial"/>
          <w:sz w:val="24"/>
          <w:lang w:eastAsia="es-CO"/>
        </w:rPr>
        <mc:AlternateContent>
          <mc:Choice Requires="wps">
            <w:drawing>
              <wp:anchor distT="0" distB="0" distL="114300" distR="114300" simplePos="0" relativeHeight="251659264" behindDoc="0" locked="0" layoutInCell="1" allowOverlap="1" wp14:anchorId="31854C6C" wp14:editId="61D1A572">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2C4F2D07" id="Conector recto 1"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strokecolor="#dbdbdb">
                <w10:wrap anchorx="page"/>
              </v:line>
            </w:pict>
          </mc:Fallback>
        </mc:AlternateContent>
      </w:r>
      <w:bookmarkEnd w:id="2"/>
      <w:r w:rsidRPr="004E350C">
        <w:rPr>
          <w:rFonts w:ascii="Arial" w:eastAsia="Times New Roman" w:hAnsi="Arial" w:cs="Arial"/>
          <w:lang w:val="es-MX" w:eastAsia="es-CO"/>
        </w:rPr>
        <w:t>Atentamente,</w:t>
      </w:r>
      <w:r w:rsidRPr="004E350C">
        <w:rPr>
          <w:rFonts w:ascii="Arial" w:eastAsia="Times New Roman" w:hAnsi="Arial" w:cs="Arial"/>
          <w:lang w:eastAsia="es-CO"/>
        </w:rPr>
        <w:t>  </w:t>
      </w:r>
      <w:r w:rsidRPr="004E350C">
        <w:rPr>
          <w:rFonts w:ascii="Arial" w:eastAsia="Times New Roman" w:hAnsi="Arial" w:cs="Arial"/>
          <w:sz w:val="18"/>
          <w:szCs w:val="18"/>
          <w:lang w:eastAsia="es-CO"/>
        </w:rPr>
        <w:t> </w:t>
      </w:r>
    </w:p>
    <w:p w14:paraId="17A17009" w14:textId="2BEEDAF8" w:rsidR="00667701" w:rsidRDefault="00667701" w:rsidP="00E97533">
      <w:pPr>
        <w:spacing w:after="0"/>
        <w:jc w:val="both"/>
        <w:rPr>
          <w:rFonts w:ascii="Arial" w:eastAsia="Times New Roman" w:hAnsi="Arial" w:cs="Arial"/>
          <w:sz w:val="18"/>
          <w:szCs w:val="18"/>
          <w:lang w:eastAsia="es-CO"/>
        </w:rPr>
      </w:pPr>
    </w:p>
    <w:p w14:paraId="055321B5" w14:textId="465D3C0D" w:rsidR="00667701" w:rsidRDefault="006E7044" w:rsidP="006E7044">
      <w:pPr>
        <w:spacing w:after="0"/>
        <w:jc w:val="center"/>
        <w:rPr>
          <w:rFonts w:ascii="Arial" w:eastAsia="Times New Roman" w:hAnsi="Arial" w:cs="Arial"/>
          <w:sz w:val="18"/>
          <w:szCs w:val="18"/>
          <w:lang w:eastAsia="es-CO"/>
        </w:rPr>
      </w:pPr>
      <w:r>
        <w:rPr>
          <w:rFonts w:ascii="Arial" w:eastAsia="Times New Roman" w:hAnsi="Arial" w:cs="Arial"/>
          <w:sz w:val="18"/>
          <w:szCs w:val="18"/>
          <w:lang w:eastAsia="es-CO"/>
        </w:rPr>
        <w:br/>
      </w:r>
      <w:r w:rsidRPr="001667C3">
        <w:rPr>
          <w:rFonts w:ascii="Arial" w:hAnsi="Arial" w:cs="Arial"/>
          <w:lang w:eastAsia="es-CO"/>
        </w:rPr>
        <w:drawing>
          <wp:inline distT="0" distB="0" distL="0" distR="0" wp14:anchorId="01D5A8E6" wp14:editId="7CBD41CA">
            <wp:extent cx="2514600" cy="1152525"/>
            <wp:effectExtent l="0" t="0" r="0" b="9525"/>
            <wp:docPr id="6" name="Imagen 6"/>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2"/>
                    <a:stretch>
                      <a:fillRect/>
                    </a:stretch>
                  </pic:blipFill>
                  <pic:spPr>
                    <a:xfrm>
                      <a:off x="0" y="0"/>
                      <a:ext cx="2514600" cy="1152525"/>
                    </a:xfrm>
                    <a:prstGeom prst="rect">
                      <a:avLst/>
                    </a:prstGeom>
                  </pic:spPr>
                </pic:pic>
              </a:graphicData>
            </a:graphic>
          </wp:inline>
        </w:drawing>
      </w:r>
    </w:p>
    <w:p w14:paraId="0D08AA0D" w14:textId="32A961F3" w:rsidR="00667701" w:rsidRPr="004E350C" w:rsidRDefault="00667701" w:rsidP="00667701">
      <w:pPr>
        <w:spacing w:after="0"/>
        <w:jc w:val="center"/>
        <w:rPr>
          <w:rFonts w:ascii="Segoe UI" w:eastAsia="Times New Roman" w:hAnsi="Segoe UI" w:cs="Segoe UI"/>
          <w:sz w:val="18"/>
          <w:szCs w:val="18"/>
          <w:lang w:eastAsia="es-CO"/>
        </w:rPr>
      </w:pPr>
    </w:p>
    <w:p w14:paraId="0D829D85" w14:textId="4613E3A1" w:rsidR="00FF0037" w:rsidRPr="004E350C" w:rsidRDefault="00FF0037" w:rsidP="00FF0037">
      <w:pPr>
        <w:spacing w:after="0" w:line="240" w:lineRule="auto"/>
        <w:jc w:val="center"/>
        <w:textAlignment w:val="baseline"/>
        <w:rPr>
          <w:rFonts w:ascii="Segoe UI" w:eastAsia="Times New Roman" w:hAnsi="Segoe UI" w:cs="Segoe UI"/>
          <w:sz w:val="18"/>
          <w:szCs w:val="18"/>
          <w:lang w:eastAsia="es-CO"/>
        </w:rPr>
      </w:pPr>
      <w:r w:rsidRPr="004E350C">
        <w:rPr>
          <w:rFonts w:ascii="Arial" w:eastAsia="Times New Roman" w:hAnsi="Arial" w:cs="Arial"/>
          <w:sz w:val="18"/>
          <w:szCs w:val="18"/>
          <w:lang w:eastAsia="es-CO"/>
        </w:rPr>
        <w:t> </w:t>
      </w:r>
    </w:p>
    <w:p w14:paraId="66E1B7AE" w14:textId="77777777" w:rsidR="00FF0037" w:rsidRPr="004E350C" w:rsidRDefault="00FF0037" w:rsidP="00FF0037">
      <w:pPr>
        <w:spacing w:after="0" w:line="240" w:lineRule="auto"/>
        <w:jc w:val="center"/>
        <w:textAlignment w:val="baseline"/>
        <w:rPr>
          <w:rFonts w:ascii="Segoe UI" w:eastAsia="Times New Roman" w:hAnsi="Segoe UI" w:cs="Segoe UI"/>
          <w:sz w:val="18"/>
          <w:szCs w:val="18"/>
          <w:lang w:eastAsia="es-CO"/>
        </w:rPr>
      </w:pPr>
      <w:r w:rsidRPr="004E350C">
        <w:rPr>
          <w:rFonts w:ascii="Arial" w:eastAsia="Times New Roman" w:hAnsi="Arial" w:cs="Arial"/>
          <w:sz w:val="18"/>
          <w:szCs w:val="18"/>
          <w:lang w:eastAsia="es-CO"/>
        </w:rPr>
        <w:t> </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7E117F" w:rsidRPr="004E350C" w14:paraId="253BFEC5" w14:textId="77777777" w:rsidTr="005D2E72">
        <w:trPr>
          <w:trHeight w:val="315"/>
        </w:trPr>
        <w:tc>
          <w:tcPr>
            <w:tcW w:w="812" w:type="dxa"/>
            <w:vAlign w:val="center"/>
            <w:hideMark/>
          </w:tcPr>
          <w:p w14:paraId="7C50692C" w14:textId="77777777" w:rsidR="007E117F" w:rsidRPr="004E350C" w:rsidRDefault="007E117F" w:rsidP="005D2E72">
            <w:pPr>
              <w:jc w:val="both"/>
              <w:rPr>
                <w:rFonts w:ascii="Arial" w:eastAsia="Times New Roman" w:hAnsi="Arial" w:cs="Arial"/>
                <w:color w:val="000000" w:themeColor="text1"/>
                <w:sz w:val="16"/>
                <w:szCs w:val="16"/>
                <w:lang w:eastAsia="es-ES"/>
              </w:rPr>
            </w:pPr>
            <w:r w:rsidRPr="004E350C">
              <w:rPr>
                <w:rFonts w:ascii="Arial" w:eastAsia="Times New Roman"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33DFAA75" w14:textId="77777777" w:rsidR="007E117F" w:rsidRPr="004E350C" w:rsidRDefault="007E117F" w:rsidP="005D2E72">
            <w:pPr>
              <w:jc w:val="both"/>
              <w:rPr>
                <w:rFonts w:ascii="Arial" w:eastAsia="Times New Roman" w:hAnsi="Arial" w:cs="Arial"/>
                <w:color w:val="000000" w:themeColor="text1"/>
                <w:sz w:val="16"/>
                <w:szCs w:val="16"/>
                <w:lang w:eastAsia="es-ES"/>
              </w:rPr>
            </w:pPr>
            <w:r w:rsidRPr="004E350C">
              <w:rPr>
                <w:rFonts w:ascii="Arial" w:eastAsia="Times New Roman" w:hAnsi="Arial" w:cs="Arial"/>
                <w:sz w:val="16"/>
                <w:szCs w:val="16"/>
                <w:lang w:val="es-MX" w:eastAsia="es-CO"/>
              </w:rPr>
              <w:t>Alfredo Benavides Zarate</w:t>
            </w:r>
          </w:p>
          <w:p w14:paraId="269B0C85" w14:textId="77777777" w:rsidR="007E117F" w:rsidRPr="004E350C" w:rsidRDefault="007E117F" w:rsidP="005D2E72">
            <w:pPr>
              <w:jc w:val="both"/>
              <w:rPr>
                <w:rFonts w:ascii="Arial" w:eastAsia="Times New Roman" w:hAnsi="Arial" w:cs="Arial"/>
                <w:color w:val="000000" w:themeColor="text1"/>
                <w:sz w:val="16"/>
                <w:szCs w:val="16"/>
                <w:lang w:eastAsia="es-ES"/>
              </w:rPr>
            </w:pPr>
            <w:r w:rsidRPr="004E350C">
              <w:rPr>
                <w:rFonts w:ascii="Arial" w:eastAsia="Times New Roman" w:hAnsi="Arial" w:cs="Arial"/>
                <w:color w:val="000000" w:themeColor="text1"/>
                <w:sz w:val="16"/>
                <w:szCs w:val="16"/>
                <w:lang w:eastAsia="es-ES"/>
              </w:rPr>
              <w:t>Contratista de la Subdirección de Gestión Contractual</w:t>
            </w:r>
          </w:p>
        </w:tc>
      </w:tr>
      <w:tr w:rsidR="007E117F" w:rsidRPr="004E350C" w14:paraId="26761E3A" w14:textId="77777777" w:rsidTr="005D2E72">
        <w:trPr>
          <w:trHeight w:val="330"/>
        </w:trPr>
        <w:tc>
          <w:tcPr>
            <w:tcW w:w="812" w:type="dxa"/>
            <w:vAlign w:val="center"/>
            <w:hideMark/>
          </w:tcPr>
          <w:p w14:paraId="09A984BE" w14:textId="77777777" w:rsidR="007E117F" w:rsidRPr="004E350C" w:rsidRDefault="007E117F" w:rsidP="005D2E72">
            <w:pPr>
              <w:jc w:val="both"/>
              <w:rPr>
                <w:rFonts w:ascii="Arial" w:eastAsia="Times New Roman" w:hAnsi="Arial" w:cs="Arial"/>
                <w:color w:val="000000" w:themeColor="text1"/>
                <w:sz w:val="16"/>
                <w:szCs w:val="16"/>
                <w:lang w:eastAsia="es-ES"/>
              </w:rPr>
            </w:pPr>
            <w:r w:rsidRPr="004E350C">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75610D7" w14:textId="77777777" w:rsidR="007E117F" w:rsidRPr="004E350C" w:rsidRDefault="007E117F" w:rsidP="005D2E72">
            <w:pPr>
              <w:jc w:val="both"/>
              <w:rPr>
                <w:rFonts w:ascii="Arial" w:eastAsia="Times New Roman" w:hAnsi="Arial" w:cs="Arial"/>
                <w:color w:val="000000" w:themeColor="text1"/>
                <w:sz w:val="16"/>
                <w:szCs w:val="16"/>
                <w:lang w:eastAsia="es-ES"/>
              </w:rPr>
            </w:pPr>
            <w:r w:rsidRPr="004E350C">
              <w:rPr>
                <w:rFonts w:ascii="Arial" w:eastAsia="Times New Roman" w:hAnsi="Arial" w:cs="Arial"/>
                <w:color w:val="000000" w:themeColor="text1"/>
                <w:sz w:val="16"/>
                <w:szCs w:val="16"/>
                <w:lang w:eastAsia="es-ES"/>
              </w:rPr>
              <w:t>Sebastián Ramírez Grisales</w:t>
            </w:r>
          </w:p>
          <w:p w14:paraId="4BD0DB33" w14:textId="77777777" w:rsidR="007E117F" w:rsidRPr="004E350C" w:rsidRDefault="007E117F" w:rsidP="005D2E72">
            <w:pPr>
              <w:jc w:val="both"/>
              <w:rPr>
                <w:rFonts w:ascii="Arial" w:eastAsia="Times New Roman" w:hAnsi="Arial" w:cs="Arial"/>
                <w:color w:val="000000" w:themeColor="text1"/>
                <w:sz w:val="16"/>
                <w:szCs w:val="16"/>
                <w:lang w:eastAsia="es-ES"/>
              </w:rPr>
            </w:pPr>
            <w:r w:rsidRPr="004E350C">
              <w:rPr>
                <w:rFonts w:ascii="Arial" w:eastAsia="Times New Roman" w:hAnsi="Arial" w:cs="Arial"/>
                <w:color w:val="000000" w:themeColor="text1"/>
                <w:sz w:val="16"/>
                <w:szCs w:val="16"/>
                <w:lang w:eastAsia="es-ES"/>
              </w:rPr>
              <w:t>Gestor T1 – Grado 15 Subdirección de Gestión Contractual</w:t>
            </w:r>
          </w:p>
        </w:tc>
      </w:tr>
      <w:tr w:rsidR="007E117F" w:rsidRPr="00781A1B" w14:paraId="0433548B" w14:textId="77777777" w:rsidTr="005D2E72">
        <w:trPr>
          <w:trHeight w:val="300"/>
        </w:trPr>
        <w:tc>
          <w:tcPr>
            <w:tcW w:w="812" w:type="dxa"/>
            <w:vAlign w:val="center"/>
            <w:hideMark/>
          </w:tcPr>
          <w:p w14:paraId="1C7263B9" w14:textId="77777777" w:rsidR="007E117F" w:rsidRPr="004E350C" w:rsidRDefault="007E117F" w:rsidP="005D2E72">
            <w:pPr>
              <w:jc w:val="both"/>
              <w:rPr>
                <w:rFonts w:ascii="Arial" w:eastAsia="Times New Roman" w:hAnsi="Arial" w:cs="Arial"/>
                <w:color w:val="000000" w:themeColor="text1"/>
                <w:sz w:val="16"/>
                <w:szCs w:val="16"/>
                <w:lang w:eastAsia="es-ES"/>
              </w:rPr>
            </w:pPr>
            <w:r w:rsidRPr="004E350C">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B688313" w14:textId="77777777" w:rsidR="007E117F" w:rsidRPr="004E350C" w:rsidRDefault="007E117F" w:rsidP="005D2E72">
            <w:pPr>
              <w:jc w:val="both"/>
              <w:rPr>
                <w:rFonts w:ascii="Arial" w:eastAsia="Times New Roman" w:hAnsi="Arial" w:cs="Arial"/>
                <w:color w:val="000000" w:themeColor="text1"/>
                <w:sz w:val="16"/>
                <w:szCs w:val="16"/>
                <w:lang w:eastAsia="es-ES"/>
              </w:rPr>
            </w:pPr>
            <w:r w:rsidRPr="004E350C">
              <w:rPr>
                <w:rFonts w:ascii="Arial" w:eastAsia="Times New Roman" w:hAnsi="Arial" w:cs="Arial"/>
                <w:color w:val="000000" w:themeColor="text1"/>
                <w:sz w:val="16"/>
                <w:szCs w:val="16"/>
                <w:lang w:eastAsia="es-ES"/>
              </w:rPr>
              <w:t>Jorge Augusto Tirado Navarro</w:t>
            </w:r>
          </w:p>
          <w:p w14:paraId="23796C10" w14:textId="77777777" w:rsidR="007E117F" w:rsidRPr="00781A1B" w:rsidRDefault="007E117F" w:rsidP="005D2E72">
            <w:pPr>
              <w:jc w:val="both"/>
              <w:rPr>
                <w:rFonts w:ascii="Arial" w:eastAsia="Times New Roman" w:hAnsi="Arial" w:cs="Arial"/>
                <w:color w:val="000000" w:themeColor="text1"/>
                <w:sz w:val="16"/>
                <w:szCs w:val="16"/>
                <w:lang w:eastAsia="es-ES"/>
              </w:rPr>
            </w:pPr>
            <w:r w:rsidRPr="004E350C">
              <w:rPr>
                <w:rFonts w:ascii="Arial" w:eastAsia="Times New Roman" w:hAnsi="Arial" w:cs="Arial"/>
                <w:color w:val="000000" w:themeColor="text1"/>
                <w:sz w:val="16"/>
                <w:szCs w:val="16"/>
                <w:lang w:eastAsia="es-ES"/>
              </w:rPr>
              <w:t>Subdirector Gestión Contractual ANCP – CCE</w:t>
            </w:r>
          </w:p>
        </w:tc>
      </w:tr>
    </w:tbl>
    <w:p w14:paraId="403F0AD9" w14:textId="77777777" w:rsidR="00FF0037" w:rsidRPr="00FF0037" w:rsidRDefault="00FF0037" w:rsidP="00FF0037">
      <w:pPr>
        <w:spacing w:after="0" w:line="240" w:lineRule="auto"/>
        <w:jc w:val="both"/>
        <w:rPr>
          <w:rFonts w:ascii="Arial" w:eastAsia="Calibri" w:hAnsi="Arial" w:cs="Arial"/>
          <w:lang w:val="es-MX"/>
        </w:rPr>
      </w:pPr>
    </w:p>
    <w:p w14:paraId="4D900311" w14:textId="77777777" w:rsidR="00FF0037" w:rsidRPr="00FF0037" w:rsidRDefault="00FF0037" w:rsidP="00FF0037">
      <w:pPr>
        <w:spacing w:after="0"/>
        <w:jc w:val="both"/>
        <w:rPr>
          <w:rFonts w:ascii="Arial" w:eastAsia="Times New Roman" w:hAnsi="Arial" w:cs="Arial"/>
          <w:sz w:val="24"/>
          <w:szCs w:val="24"/>
          <w:lang w:eastAsia="es-CO"/>
        </w:rPr>
      </w:pPr>
    </w:p>
    <w:p w14:paraId="28D29405" w14:textId="77777777" w:rsidR="00812177" w:rsidRPr="00FF0037" w:rsidRDefault="00812177" w:rsidP="00FF0037"/>
    <w:sectPr w:rsidR="00812177" w:rsidRPr="00FF0037" w:rsidSect="000949EA">
      <w:headerReference w:type="default" r:id="rId13"/>
      <w:footerReference w:type="default" r:id="rId14"/>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5177B5" w14:textId="77777777" w:rsidR="008051F5" w:rsidRDefault="008051F5" w:rsidP="00FF0037">
      <w:pPr>
        <w:spacing w:after="0" w:line="240" w:lineRule="auto"/>
      </w:pPr>
      <w:r>
        <w:separator/>
      </w:r>
    </w:p>
  </w:endnote>
  <w:endnote w:type="continuationSeparator" w:id="0">
    <w:p w14:paraId="75EBEBD1" w14:textId="77777777" w:rsidR="008051F5" w:rsidRDefault="008051F5" w:rsidP="00FF00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Segoe UI">
    <w:altName w:val="Calibr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965E40" w14:textId="77777777" w:rsidR="000949EA" w:rsidRDefault="000949EA" w:rsidP="000949EA">
    <w:pPr>
      <w:pStyle w:val="Sinespaciado1"/>
      <w:jc w:val="right"/>
      <w:rPr>
        <w:rFonts w:ascii="Arial" w:hAnsi="Arial" w:cs="Arial"/>
        <w:sz w:val="18"/>
        <w:szCs w:val="18"/>
      </w:rPr>
    </w:pPr>
  </w:p>
  <w:p w14:paraId="78AA99C9" w14:textId="77777777" w:rsidR="000949EA" w:rsidRPr="008217B7" w:rsidRDefault="000949EA" w:rsidP="000949EA">
    <w:pPr>
      <w:pStyle w:val="Piedepgina1"/>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BB70E8">
      <w:rPr>
        <w:rFonts w:ascii="Arial" w:hAnsi="Arial" w:cs="Arial"/>
        <w:b/>
        <w:bCs/>
        <w:color w:val="7F7F7F" w:themeColor="text1" w:themeTint="80"/>
        <w:sz w:val="16"/>
        <w:szCs w:val="16"/>
      </w:rPr>
      <w:t>10</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BB70E8">
      <w:rPr>
        <w:rFonts w:ascii="Arial" w:hAnsi="Arial" w:cs="Arial"/>
        <w:b/>
        <w:bCs/>
        <w:color w:val="7F7F7F" w:themeColor="text1" w:themeTint="80"/>
        <w:sz w:val="16"/>
        <w:szCs w:val="16"/>
      </w:rPr>
      <w:t>10</w:t>
    </w:r>
    <w:r w:rsidRPr="00084B97">
      <w:rPr>
        <w:rFonts w:ascii="Arial" w:hAnsi="Arial" w:cs="Arial"/>
        <w:b/>
        <w:bCs/>
        <w:color w:val="7F7F7F" w:themeColor="text1" w:themeTint="80"/>
        <w:sz w:val="16"/>
        <w:szCs w:val="16"/>
      </w:rPr>
      <w:fldChar w:fldCharType="end"/>
    </w:r>
  </w:p>
  <w:p w14:paraId="43DA9A5F" w14:textId="77777777" w:rsidR="000949EA" w:rsidRDefault="000949EA" w:rsidP="000949EA">
    <w:pPr>
      <w:pStyle w:val="Piedepgina1"/>
      <w:jc w:val="center"/>
      <w:rPr>
        <w:lang w:val="es-ES"/>
      </w:rPr>
    </w:pPr>
    <w:r>
      <w:rPr>
        <w:lang w:val="es-CO" w:eastAsia="es-CO"/>
      </w:rPr>
      <w:drawing>
        <wp:inline distT="0" distB="0" distL="0" distR="0" wp14:anchorId="7264DDDD" wp14:editId="22A06817">
          <wp:extent cx="3700130" cy="519139"/>
          <wp:effectExtent l="0" t="0" r="0" b="0"/>
          <wp:docPr id="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34610D26" w14:textId="77777777" w:rsidR="000949EA" w:rsidRDefault="000949EA" w:rsidP="000949EA">
    <w:pPr>
      <w:pStyle w:val="Piedepgina1"/>
      <w:jc w:val="center"/>
      <w:rPr>
        <w:lang w:val="es-ES"/>
      </w:rPr>
    </w:pPr>
  </w:p>
  <w:p w14:paraId="0A422E18" w14:textId="77777777" w:rsidR="000949EA" w:rsidRPr="007B0854" w:rsidRDefault="000949EA" w:rsidP="000949EA">
    <w:pPr>
      <w:pStyle w:val="Piedepgina1"/>
      <w:jc w:val="center"/>
      <w:rPr>
        <w:lang w:val="es-ES"/>
      </w:rPr>
    </w:pPr>
  </w:p>
  <w:p w14:paraId="27EF068B" w14:textId="77777777" w:rsidR="000949EA" w:rsidRPr="00856133" w:rsidRDefault="000949EA" w:rsidP="000949EA">
    <w:pPr>
      <w:pStyle w:val="Piedepgina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EA968E" w14:textId="77777777" w:rsidR="008051F5" w:rsidRDefault="008051F5" w:rsidP="00FF0037">
      <w:pPr>
        <w:spacing w:after="0" w:line="240" w:lineRule="auto"/>
      </w:pPr>
      <w:r>
        <w:separator/>
      </w:r>
    </w:p>
  </w:footnote>
  <w:footnote w:type="continuationSeparator" w:id="0">
    <w:p w14:paraId="186164C5" w14:textId="77777777" w:rsidR="008051F5" w:rsidRDefault="008051F5" w:rsidP="00FF0037">
      <w:pPr>
        <w:spacing w:after="0" w:line="240" w:lineRule="auto"/>
      </w:pPr>
      <w:r>
        <w:continuationSeparator/>
      </w:r>
    </w:p>
  </w:footnote>
  <w:footnote w:id="1">
    <w:p w14:paraId="7EC5F71E" w14:textId="77777777" w:rsidR="00D02694" w:rsidRPr="00AB1B46" w:rsidRDefault="00D02694" w:rsidP="00AB1B46">
      <w:pPr>
        <w:pStyle w:val="Car1"/>
        <w:ind w:firstLine="709"/>
        <w:jc w:val="both"/>
        <w:rPr>
          <w:rFonts w:ascii="Arial" w:hAnsi="Arial" w:cs="Arial"/>
          <w:sz w:val="19"/>
          <w:szCs w:val="19"/>
        </w:rPr>
      </w:pPr>
      <w:r w:rsidRPr="00AB1B46">
        <w:rPr>
          <w:rStyle w:val="Refdenotaalpie"/>
          <w:rFonts w:ascii="Arial" w:hAnsi="Arial" w:cs="Arial"/>
          <w:sz w:val="19"/>
          <w:szCs w:val="19"/>
        </w:rPr>
        <w:footnoteRef/>
      </w:r>
      <w:r w:rsidRPr="00AB1B46">
        <w:rPr>
          <w:rFonts w:ascii="Arial" w:hAnsi="Arial" w:cs="Arial"/>
          <w:sz w:val="19"/>
          <w:szCs w:val="19"/>
        </w:rPr>
        <w:t xml:space="preserve"> Los artículos 2.2.1.2.6.1.2. del Decreto 1082 de 2015 y 1 de la Resolución No 240 de 2020 coinciden en señalar que los Documentos Tipo están constituidos por el documento base del pliego tipo, sus anexos, formatos, matrices y formularios; por su parte, el ANEXO 3 – GLOSARIO de los Documentos Tipo para los procesos de selección de licitación de obra pública Versión 3 señala estos    « […] incorporan los Pliegos de Condiciones Tipo, sus anexos, matrices y demás documentos que incluyen las condiciones habilitantes, factores técnicos, económicos y otros factores de escogencia».</w:t>
      </w:r>
    </w:p>
    <w:p w14:paraId="0BA64605" w14:textId="77777777" w:rsidR="00D02694" w:rsidRPr="00AB1B46" w:rsidRDefault="00D02694" w:rsidP="00AB1B46">
      <w:pPr>
        <w:pStyle w:val="Car1"/>
        <w:ind w:firstLine="709"/>
        <w:jc w:val="both"/>
        <w:rPr>
          <w:rFonts w:ascii="Arial" w:hAnsi="Arial" w:cs="Arial"/>
          <w:sz w:val="19"/>
          <w:szCs w:val="19"/>
        </w:rPr>
      </w:pPr>
    </w:p>
  </w:footnote>
  <w:footnote w:id="2">
    <w:p w14:paraId="04D8D4B5" w14:textId="77777777" w:rsidR="00D02694" w:rsidRPr="00AB1B46" w:rsidRDefault="00D02694" w:rsidP="00AB1B46">
      <w:pPr>
        <w:pStyle w:val="Car1"/>
        <w:ind w:firstLine="709"/>
        <w:jc w:val="both"/>
        <w:rPr>
          <w:rFonts w:ascii="Arial" w:hAnsi="Arial" w:cs="Arial"/>
          <w:sz w:val="19"/>
          <w:szCs w:val="19"/>
        </w:rPr>
      </w:pPr>
      <w:r w:rsidRPr="00AB1B46">
        <w:rPr>
          <w:rStyle w:val="Refdenotaalpie"/>
          <w:rFonts w:ascii="Arial" w:hAnsi="Arial" w:cs="Arial"/>
          <w:sz w:val="19"/>
          <w:szCs w:val="19"/>
        </w:rPr>
        <w:footnoteRef/>
      </w:r>
      <w:r w:rsidRPr="00AB1B46">
        <w:rPr>
          <w:rFonts w:ascii="Arial" w:hAnsi="Arial" w:cs="Arial"/>
          <w:sz w:val="19"/>
          <w:szCs w:val="19"/>
        </w:rPr>
        <w:t xml:space="preserve"> Antes de la modificación del parágrafo 7 del artículo 2 de la Ley 1150 de 2007 efectuada mediante la Ley 2022 de 2020, el Gobierno Nacional expidió los Decretos 342 y 2096 de 2019 y 594 de 2020, adicionó el Decreto 1082  de 2015, reglamentó parcialmente el parágrafo 7 del artículo 2 de la Ley 1150 de 2007 y adoptó los «Documentos Tipo para los pliegos de condiciones de los procesos de selección de licitación de obra pública de infraestructura de transporte» y sus equivalentes para las modalidades de menor y mínima cuantía. Dentro de este marco normativo la Agencia Nacional de Contratación Pública ― Colombia Compra Eficiente mediante Resolución No 1798 de 2019 expidió la Versión 1 de los Documentos Tipo para los procesos de selección de licitación de obra pública de infraestructura de transporte,  que a través de las Resoluciones 0044 y 0045 de 2020 se adoptaron y desarrollaron  para la modalidad de selección de menor cuantía y se actualizaron en lo que respecta a la modalidad de licitación implementando la Versión 2.</w:t>
      </w:r>
    </w:p>
    <w:p w14:paraId="0D64E1A6" w14:textId="77777777" w:rsidR="00D02694" w:rsidRPr="00AB1B46" w:rsidRDefault="00D02694" w:rsidP="00AB1B46">
      <w:pPr>
        <w:pStyle w:val="Car1"/>
        <w:ind w:firstLine="709"/>
        <w:jc w:val="both"/>
        <w:rPr>
          <w:rFonts w:ascii="Arial" w:hAnsi="Arial" w:cs="Arial"/>
          <w:sz w:val="19"/>
          <w:szCs w:val="19"/>
        </w:rPr>
      </w:pPr>
    </w:p>
  </w:footnote>
  <w:footnote w:id="3">
    <w:p w14:paraId="72315220" w14:textId="77777777" w:rsidR="00D02694" w:rsidRPr="00AB1B46" w:rsidRDefault="00D02694" w:rsidP="00AB1B46">
      <w:pPr>
        <w:pStyle w:val="Car1"/>
        <w:ind w:firstLine="709"/>
        <w:jc w:val="both"/>
        <w:rPr>
          <w:rFonts w:ascii="Arial" w:hAnsi="Arial" w:cs="Arial"/>
          <w:sz w:val="19"/>
          <w:szCs w:val="19"/>
        </w:rPr>
      </w:pPr>
      <w:r w:rsidRPr="00AB1B46">
        <w:rPr>
          <w:rStyle w:val="Refdenotaalpie"/>
          <w:rFonts w:ascii="Arial" w:hAnsi="Arial" w:cs="Arial"/>
          <w:sz w:val="19"/>
          <w:szCs w:val="19"/>
        </w:rPr>
        <w:footnoteRef/>
      </w:r>
      <w:r w:rsidRPr="00AB1B46">
        <w:rPr>
          <w:rFonts w:ascii="Arial" w:hAnsi="Arial" w:cs="Arial"/>
          <w:sz w:val="19"/>
          <w:szCs w:val="19"/>
        </w:rPr>
        <w:t xml:space="preserve"> Los artículos 2 y 3 de la Resolución 240 del 27 de noviembre de 2020 establecen: «Artículo 2. OBLIGATORIEDAD. Los Documentos Tipo contienen parámetros obligatorios para las entidades estatales sometidas al Estatuto General de Contratación de la Administración Pública que adelanten procesos de selección de licitación de obra pública de infraestructura de transporte de acuerdo con lo establecido en los Documentos Tipo».</w:t>
      </w:r>
    </w:p>
    <w:p w14:paraId="692897FF" w14:textId="77777777" w:rsidR="00D02694" w:rsidRPr="00AB1B46" w:rsidRDefault="00D02694" w:rsidP="00AB1B46">
      <w:pPr>
        <w:pStyle w:val="Car1"/>
        <w:ind w:firstLine="709"/>
        <w:jc w:val="both"/>
        <w:rPr>
          <w:rFonts w:ascii="Arial" w:hAnsi="Arial" w:cs="Arial"/>
          <w:sz w:val="19"/>
          <w:szCs w:val="19"/>
        </w:rPr>
      </w:pPr>
      <w:r w:rsidRPr="00AB1B46">
        <w:rPr>
          <w:rFonts w:ascii="Arial" w:hAnsi="Arial" w:cs="Arial"/>
          <w:sz w:val="19"/>
          <w:szCs w:val="19"/>
        </w:rPr>
        <w:t>«Artículo 3. INALTERABILIDAD DE LOS DOCUMENTOS TIPO. Las Entidades estatales contratantes no podrán incluir o modificar dentro de los documentos del proceso las condiciones habilitantes, los factores técnicos y económicos de escogencia y los sistemas de ponderación que han sido definidos y señalados en los Documentos Tipo».</w:t>
      </w:r>
    </w:p>
  </w:footnote>
  <w:footnote w:id="4">
    <w:p w14:paraId="4D1032A6" w14:textId="6F1AB5DC" w:rsidR="00961392" w:rsidRPr="003165E5" w:rsidRDefault="00961392" w:rsidP="00AB1B46">
      <w:pPr>
        <w:pStyle w:val="Textonotapie"/>
        <w:ind w:firstLine="708"/>
        <w:jc w:val="both"/>
        <w:rPr>
          <w:rFonts w:ascii="Arial" w:hAnsi="Arial" w:cs="Arial"/>
          <w:sz w:val="19"/>
          <w:szCs w:val="19"/>
          <w:lang w:val="es-CO"/>
        </w:rPr>
      </w:pPr>
      <w:r w:rsidRPr="003165E5">
        <w:rPr>
          <w:rStyle w:val="Refdenotaalpie"/>
          <w:rFonts w:ascii="Arial" w:hAnsi="Arial" w:cs="Arial"/>
          <w:sz w:val="19"/>
          <w:szCs w:val="19"/>
        </w:rPr>
        <w:footnoteRef/>
      </w:r>
      <w:r w:rsidRPr="003165E5">
        <w:rPr>
          <w:rFonts w:ascii="Arial" w:hAnsi="Arial" w:cs="Arial"/>
          <w:sz w:val="19"/>
          <w:szCs w:val="19"/>
        </w:rPr>
        <w:t xml:space="preserve"> </w:t>
      </w:r>
      <w:r w:rsidRPr="003165E5">
        <w:rPr>
          <w:rFonts w:ascii="Arial" w:eastAsia="Calibri" w:hAnsi="Arial" w:cs="Arial"/>
          <w:color w:val="000000" w:themeColor="text1"/>
          <w:sz w:val="19"/>
          <w:szCs w:val="19"/>
        </w:rPr>
        <w:t>De similar forma se hará cuando el objeto del contrato deba desarrollarse en el Archipiélago</w:t>
      </w:r>
      <w:r w:rsidR="005A4FE5" w:rsidRPr="003165E5">
        <w:rPr>
          <w:rFonts w:ascii="Arial" w:eastAsia="Calibri" w:hAnsi="Arial" w:cs="Arial"/>
          <w:color w:val="000000" w:themeColor="text1"/>
          <w:sz w:val="19"/>
          <w:szCs w:val="19"/>
        </w:rPr>
        <w:t xml:space="preserve"> de San Andrés</w:t>
      </w:r>
      <w:r w:rsidRPr="003165E5">
        <w:rPr>
          <w:rFonts w:ascii="Arial" w:eastAsia="Calibri" w:hAnsi="Arial" w:cs="Arial"/>
          <w:color w:val="000000" w:themeColor="text1"/>
          <w:sz w:val="19"/>
          <w:szCs w:val="19"/>
        </w:rPr>
        <w:t>, con la siguiente variación:  i) oferta económica (55 puntos)</w:t>
      </w:r>
      <w:r w:rsidR="005A4FE5" w:rsidRPr="003165E5">
        <w:rPr>
          <w:rFonts w:ascii="Arial" w:eastAsia="Calibri" w:hAnsi="Arial" w:cs="Arial"/>
          <w:color w:val="000000" w:themeColor="text1"/>
          <w:sz w:val="19"/>
          <w:szCs w:val="19"/>
        </w:rPr>
        <w:t>, ii) factor de calidad (19 puntos), iii) apoyo a la industria nacional (20 puntos), iv) vinculación de personas con discapacidad (1 punto)</w:t>
      </w:r>
      <w:r w:rsidRPr="003165E5">
        <w:rPr>
          <w:rFonts w:ascii="Arial" w:eastAsia="Calibri" w:hAnsi="Arial" w:cs="Arial"/>
          <w:color w:val="000000" w:themeColor="text1"/>
          <w:sz w:val="19"/>
          <w:szCs w:val="19"/>
        </w:rPr>
        <w:t xml:space="preserve"> </w:t>
      </w:r>
      <w:r w:rsidR="005A4FE5" w:rsidRPr="003165E5">
        <w:rPr>
          <w:rFonts w:ascii="Arial" w:eastAsia="Calibri" w:hAnsi="Arial" w:cs="Arial"/>
          <w:color w:val="000000" w:themeColor="text1"/>
          <w:sz w:val="19"/>
          <w:szCs w:val="19"/>
        </w:rPr>
        <w:t xml:space="preserve">y </w:t>
      </w:r>
      <w:r w:rsidRPr="003165E5">
        <w:rPr>
          <w:rFonts w:ascii="Arial" w:eastAsia="Calibri" w:hAnsi="Arial" w:cs="Arial"/>
          <w:color w:val="000000" w:themeColor="text1"/>
          <w:sz w:val="19"/>
          <w:szCs w:val="19"/>
        </w:rPr>
        <w:t>v) Tarjeta de Circulación y Residencia “OCCRE” (5 puntos)</w:t>
      </w:r>
      <w:r w:rsidR="00CB0144" w:rsidRPr="003165E5">
        <w:rPr>
          <w:rFonts w:ascii="Arial" w:eastAsia="Calibri" w:hAnsi="Arial" w:cs="Arial"/>
          <w:color w:val="000000" w:themeColor="text1"/>
          <w:sz w:val="19"/>
          <w:szCs w:val="19"/>
        </w:rPr>
        <w:t>, en aplicación del artículo 67 de la Ley 915 de 2004</w:t>
      </w:r>
      <w:r w:rsidRPr="003165E5">
        <w:rPr>
          <w:rFonts w:ascii="Arial" w:eastAsia="Calibri" w:hAnsi="Arial" w:cs="Arial"/>
          <w:color w:val="000000" w:themeColor="text1"/>
          <w:sz w:val="19"/>
          <w:szCs w:val="19"/>
        </w:rPr>
        <w:t>.</w:t>
      </w:r>
    </w:p>
  </w:footnote>
  <w:footnote w:id="5">
    <w:p w14:paraId="2A996231" w14:textId="2CB4E6E2" w:rsidR="00AB1B46" w:rsidRPr="003165E5" w:rsidRDefault="00AB1B46" w:rsidP="003165E5">
      <w:pPr>
        <w:pStyle w:val="Textonotapie"/>
        <w:ind w:firstLine="708"/>
        <w:jc w:val="both"/>
        <w:rPr>
          <w:rFonts w:ascii="Arial" w:hAnsi="Arial" w:cs="Arial"/>
          <w:sz w:val="19"/>
          <w:szCs w:val="19"/>
        </w:rPr>
      </w:pPr>
      <w:r w:rsidRPr="003165E5">
        <w:rPr>
          <w:rStyle w:val="Refdenotaalpie"/>
          <w:rFonts w:ascii="Arial" w:hAnsi="Arial" w:cs="Arial"/>
          <w:sz w:val="19"/>
          <w:szCs w:val="19"/>
        </w:rPr>
        <w:footnoteRef/>
      </w:r>
      <w:r w:rsidRPr="003165E5">
        <w:rPr>
          <w:rFonts w:ascii="Arial" w:hAnsi="Arial" w:cs="Arial"/>
          <w:sz w:val="19"/>
          <w:szCs w:val="19"/>
        </w:rPr>
        <w:t xml:space="preserve"> En el numeral indicado se establece: «Las entidades estatales deben consultar y analizar las anotaciones vigentes que reposen en el Registro Nacional de Obras Civiles Inconclusas, de que trata la Ley 2020 de 2020. En el evento que las personas naturales o jurídicas, nacionales o extranjeras domiciliadas o con sucursal en Colombia, o integrantes de proponentes plurales, cuenten con alguna anotación vigente de obra civil inconclusa, en el mencionado registro, se descontará un (1) punto de la sumatoria obtenida en relación con el factor de calidad».</w:t>
      </w:r>
    </w:p>
  </w:footnote>
  <w:footnote w:id="6">
    <w:p w14:paraId="023DEA73" w14:textId="77777777" w:rsidR="00652258" w:rsidRPr="00AB1B46" w:rsidRDefault="00652258">
      <w:pPr>
        <w:tabs>
          <w:tab w:val="left" w:pos="426"/>
        </w:tabs>
        <w:spacing w:after="0" w:line="240" w:lineRule="auto"/>
        <w:ind w:firstLine="709"/>
        <w:jc w:val="both"/>
        <w:rPr>
          <w:rFonts w:ascii="Arial" w:hAnsi="Arial" w:cs="Arial"/>
          <w:sz w:val="19"/>
          <w:szCs w:val="19"/>
        </w:rPr>
      </w:pPr>
      <w:r w:rsidRPr="00AB1B46">
        <w:rPr>
          <w:rStyle w:val="Refdenotaalpie"/>
          <w:rFonts w:ascii="Arial" w:hAnsi="Arial" w:cs="Arial"/>
          <w:sz w:val="19"/>
          <w:szCs w:val="19"/>
        </w:rPr>
        <w:footnoteRef/>
      </w:r>
      <w:r w:rsidRPr="00AB1B46">
        <w:rPr>
          <w:rFonts w:ascii="Arial" w:hAnsi="Arial" w:cs="Arial"/>
          <w:sz w:val="19"/>
          <w:szCs w:val="19"/>
        </w:rPr>
        <w:t xml:space="preserve">  Documento Base  - Licitación de Infraestructura de Transporte (Versión 3), numeral 4.2.4.:</w:t>
      </w:r>
    </w:p>
    <w:p w14:paraId="1C57DE26" w14:textId="77777777" w:rsidR="00652258" w:rsidRPr="00AB1B46" w:rsidRDefault="00652258">
      <w:pPr>
        <w:tabs>
          <w:tab w:val="left" w:pos="426"/>
        </w:tabs>
        <w:spacing w:after="0" w:line="240" w:lineRule="auto"/>
        <w:ind w:firstLine="709"/>
        <w:jc w:val="both"/>
        <w:rPr>
          <w:rFonts w:ascii="Arial" w:hAnsi="Arial" w:cs="Arial"/>
          <w:sz w:val="19"/>
          <w:szCs w:val="19"/>
        </w:rPr>
      </w:pPr>
      <w:r w:rsidRPr="00AB1B46">
        <w:rPr>
          <w:rFonts w:ascii="Arial" w:hAnsi="Arial" w:cs="Arial"/>
          <w:sz w:val="19"/>
          <w:szCs w:val="19"/>
        </w:rPr>
        <w:t>[…]</w:t>
      </w:r>
    </w:p>
    <w:p w14:paraId="71F21D43" w14:textId="4E9C6FEC" w:rsidR="00652258" w:rsidRPr="00AB1B46" w:rsidRDefault="00FD2CCB">
      <w:pPr>
        <w:tabs>
          <w:tab w:val="left" w:pos="426"/>
        </w:tabs>
        <w:spacing w:after="0" w:line="240" w:lineRule="auto"/>
        <w:ind w:firstLine="709"/>
        <w:jc w:val="both"/>
        <w:rPr>
          <w:rFonts w:ascii="Arial" w:eastAsia="Calibri" w:hAnsi="Arial" w:cs="Arial"/>
          <w:sz w:val="19"/>
          <w:szCs w:val="19"/>
          <w:lang w:val="es-ES"/>
        </w:rPr>
      </w:pPr>
      <w:r>
        <w:rPr>
          <w:rFonts w:ascii="Arial" w:eastAsia="Calibri" w:hAnsi="Arial" w:cs="Arial"/>
          <w:sz w:val="19"/>
          <w:szCs w:val="19"/>
          <w:lang w:val="es-ES"/>
        </w:rPr>
        <w:t>«</w:t>
      </w:r>
      <w:r w:rsidR="00652258" w:rsidRPr="00AB1B46">
        <w:rPr>
          <w:rFonts w:ascii="Arial" w:eastAsia="Calibri" w:hAnsi="Arial" w:cs="Arial"/>
          <w:sz w:val="19"/>
          <w:szCs w:val="19"/>
          <w:lang w:val="es-ES"/>
        </w:rPr>
        <w:t>VIII.</w:t>
      </w:r>
      <w:r w:rsidR="00652258" w:rsidRPr="00AB1B46">
        <w:rPr>
          <w:rFonts w:ascii="Arial" w:eastAsia="Calibri" w:hAnsi="Arial" w:cs="Arial"/>
          <w:sz w:val="19"/>
          <w:szCs w:val="19"/>
          <w:lang w:val="es-ES"/>
        </w:rPr>
        <w:tab/>
        <w:t>La verificación de este ofrecimiento se hará por parte de la Interventoría en la ejecución del contrato. En virtud de lo anterior, el adjudicatario del proceso de contratación deberá acreditar que ha otorgado la garantía en las condiciones aquí descritas, para lo cual, allegará el documento idóneo</w:t>
      </w:r>
      <w:r>
        <w:rPr>
          <w:rFonts w:ascii="Arial" w:eastAsia="Calibri" w:hAnsi="Arial" w:cs="Arial"/>
          <w:sz w:val="19"/>
          <w:szCs w:val="19"/>
          <w:lang w:val="es-ES"/>
        </w:rPr>
        <w:t>»</w:t>
      </w:r>
      <w:r w:rsidR="00652258" w:rsidRPr="00AB1B46">
        <w:rPr>
          <w:rFonts w:ascii="Arial" w:eastAsia="Calibri" w:hAnsi="Arial" w:cs="Arial"/>
          <w:sz w:val="19"/>
          <w:szCs w:val="19"/>
          <w:lang w:val="es-ES"/>
        </w:rPr>
        <w:t>.</w:t>
      </w:r>
    </w:p>
    <w:p w14:paraId="705992CA" w14:textId="77777777" w:rsidR="00652258" w:rsidRPr="003165E5" w:rsidRDefault="00652258" w:rsidP="003165E5">
      <w:pPr>
        <w:pStyle w:val="Textonotapie"/>
        <w:jc w:val="both"/>
        <w:rPr>
          <w:rFonts w:ascii="Arial" w:hAnsi="Arial" w:cs="Arial"/>
          <w:sz w:val="19"/>
          <w:szCs w:val="19"/>
          <w:lang w:val="es-ES_tradnl"/>
        </w:rPr>
      </w:pPr>
    </w:p>
  </w:footnote>
  <w:footnote w:id="7">
    <w:p w14:paraId="555C13F0" w14:textId="77777777" w:rsidR="00330C21" w:rsidRPr="00AB1B46" w:rsidRDefault="00330C21">
      <w:pPr>
        <w:pStyle w:val="Textonotapie"/>
        <w:ind w:firstLine="709"/>
        <w:jc w:val="both"/>
        <w:rPr>
          <w:rFonts w:ascii="Arial" w:hAnsi="Arial" w:cs="Arial"/>
          <w:sz w:val="19"/>
          <w:szCs w:val="19"/>
        </w:rPr>
      </w:pPr>
      <w:r w:rsidRPr="00AB1B46">
        <w:rPr>
          <w:rStyle w:val="Refdenotaalpie"/>
          <w:rFonts w:ascii="Arial" w:hAnsi="Arial" w:cs="Arial"/>
          <w:sz w:val="19"/>
          <w:szCs w:val="19"/>
        </w:rPr>
        <w:footnoteRef/>
      </w:r>
      <w:r w:rsidRPr="00AB1B46">
        <w:rPr>
          <w:rFonts w:ascii="Arial" w:hAnsi="Arial" w:cs="Arial"/>
          <w:sz w:val="19"/>
          <w:szCs w:val="19"/>
        </w:rPr>
        <w:t xml:space="preserve"> Sentencia Consejo de Estado del 19 de noviembre de 2012, radicación No 25000-23-26-000-1998-00324-01(22043), Consejero Ponente Jaime Orlando Santofimio Gamboa.</w:t>
      </w:r>
    </w:p>
    <w:p w14:paraId="4875B328" w14:textId="77777777" w:rsidR="00BB70E8" w:rsidRPr="00AB1B46" w:rsidRDefault="00BB70E8">
      <w:pPr>
        <w:pStyle w:val="Textonotapie"/>
        <w:ind w:firstLine="709"/>
        <w:jc w:val="both"/>
        <w:rPr>
          <w:rFonts w:ascii="Arial" w:hAnsi="Arial" w:cs="Arial"/>
          <w:sz w:val="19"/>
          <w:szCs w:val="19"/>
          <w:lang w:val="es-CO"/>
        </w:rPr>
      </w:pPr>
    </w:p>
  </w:footnote>
  <w:footnote w:id="8">
    <w:p w14:paraId="6666DE9E" w14:textId="57291135" w:rsidR="0008002E" w:rsidRPr="00AB1B46" w:rsidRDefault="006B33B1">
      <w:pPr>
        <w:pStyle w:val="Textonotapie"/>
        <w:ind w:firstLine="709"/>
        <w:jc w:val="both"/>
        <w:rPr>
          <w:rFonts w:ascii="Arial" w:hAnsi="Arial" w:cs="Arial"/>
          <w:color w:val="4D5156"/>
          <w:sz w:val="19"/>
          <w:szCs w:val="19"/>
          <w:shd w:val="clear" w:color="auto" w:fill="FFFFFF"/>
        </w:rPr>
      </w:pPr>
      <w:r w:rsidRPr="00AB1B46">
        <w:rPr>
          <w:rStyle w:val="Refdenotaalpie"/>
          <w:rFonts w:ascii="Arial" w:hAnsi="Arial" w:cs="Arial"/>
          <w:sz w:val="19"/>
          <w:szCs w:val="19"/>
        </w:rPr>
        <w:footnoteRef/>
      </w:r>
      <w:r w:rsidRPr="00AB1B46">
        <w:rPr>
          <w:rStyle w:val="Refdenotaalpie"/>
          <w:rFonts w:ascii="Arial" w:hAnsi="Arial" w:cs="Arial"/>
          <w:sz w:val="19"/>
          <w:szCs w:val="19"/>
        </w:rPr>
        <w:t xml:space="preserve"> </w:t>
      </w:r>
      <w:r w:rsidRPr="00AB1B46">
        <w:rPr>
          <w:rFonts w:ascii="Arial" w:hAnsi="Arial" w:cs="Arial"/>
          <w:sz w:val="19"/>
          <w:szCs w:val="19"/>
          <w:lang w:val="es-CO"/>
        </w:rPr>
        <w:t xml:space="preserve"> Entre otros pronunciamientos, la Corte Constitucional en la Sentencia  C-1194/08, respecto al principio de buena fe, expresó:</w:t>
      </w:r>
      <w:r w:rsidR="0008002E" w:rsidRPr="00AB1B46">
        <w:rPr>
          <w:rFonts w:ascii="Arial" w:hAnsi="Arial" w:cs="Arial"/>
          <w:sz w:val="19"/>
          <w:szCs w:val="19"/>
        </w:rPr>
        <w:t xml:space="preserve"> </w:t>
      </w:r>
      <w:r w:rsidR="00400612" w:rsidRPr="00AB1B46">
        <w:rPr>
          <w:rFonts w:ascii="Arial" w:hAnsi="Arial" w:cs="Arial"/>
          <w:sz w:val="19"/>
          <w:szCs w:val="19"/>
        </w:rPr>
        <w:t>«</w:t>
      </w:r>
      <w:r w:rsidR="0008002E" w:rsidRPr="00AB1B46">
        <w:rPr>
          <w:rFonts w:ascii="Arial" w:hAnsi="Arial" w:cs="Arial"/>
          <w:sz w:val="19"/>
          <w:szCs w:val="19"/>
          <w:lang w:val="es-CO"/>
        </w:rPr>
        <w:t>[…]</w:t>
      </w:r>
      <w:r w:rsidRPr="00AB1B46">
        <w:rPr>
          <w:rFonts w:ascii="Arial" w:hAnsi="Arial" w:cs="Arial"/>
          <w:sz w:val="19"/>
          <w:szCs w:val="19"/>
          <w:lang w:val="es-CO"/>
        </w:rPr>
        <w:t>La jurisprudencia constitucional ha definido el principio de buena fe como aquel que exige a los particulares y a las autoridades públicas ajustar sus comportamientos a una conducta honesta, leal y conforme con las actuaciones que podrían esperarse de una “persona correcta (vir bonus)”. Así la buena fe presupone la existencia de relaciones reciprocas con trascendencia jurídica, y se refiere a la “confianza, seguridad y credibilidad que otorga la palabra dada”</w:t>
      </w:r>
      <w:r w:rsidR="00BB70E8" w:rsidRPr="00AB1B46">
        <w:rPr>
          <w:rFonts w:ascii="Arial" w:hAnsi="Arial" w:cs="Arial"/>
          <w:sz w:val="19"/>
          <w:szCs w:val="19"/>
          <w:lang w:val="es-CO"/>
        </w:rPr>
        <w:t xml:space="preserve"> </w:t>
      </w:r>
      <w:r w:rsidR="0008002E" w:rsidRPr="00AB1B46">
        <w:rPr>
          <w:rFonts w:ascii="Arial" w:hAnsi="Arial" w:cs="Arial"/>
          <w:sz w:val="19"/>
          <w:szCs w:val="19"/>
          <w:lang w:val="es-CO"/>
        </w:rPr>
        <w:t>[…]</w:t>
      </w:r>
      <w:r w:rsidR="00400612" w:rsidRPr="00AB1B46">
        <w:rPr>
          <w:rFonts w:ascii="Arial" w:hAnsi="Arial" w:cs="Arial"/>
          <w:color w:val="4D5156"/>
          <w:sz w:val="19"/>
          <w:szCs w:val="19"/>
          <w:shd w:val="clear" w:color="auto" w:fill="FFFFFF"/>
        </w:rPr>
        <w:t>»</w:t>
      </w:r>
    </w:p>
    <w:p w14:paraId="5D85F2B2" w14:textId="77777777" w:rsidR="00F500BE" w:rsidRPr="00AB1B46" w:rsidRDefault="00F500BE">
      <w:pPr>
        <w:pStyle w:val="Textonotapie"/>
        <w:ind w:firstLine="709"/>
        <w:jc w:val="both"/>
        <w:rPr>
          <w:rFonts w:ascii="Arial" w:hAnsi="Arial" w:cs="Arial"/>
          <w:sz w:val="19"/>
          <w:szCs w:val="19"/>
          <w:lang w:val="es-CO"/>
        </w:rPr>
      </w:pPr>
    </w:p>
  </w:footnote>
  <w:footnote w:id="9">
    <w:p w14:paraId="1377527B" w14:textId="77777777" w:rsidR="00AB2F6F" w:rsidRPr="00AB1B46" w:rsidRDefault="00AB2F6F">
      <w:pPr>
        <w:pStyle w:val="Textonotapie"/>
        <w:ind w:firstLine="708"/>
        <w:jc w:val="both"/>
        <w:rPr>
          <w:rFonts w:ascii="Arial" w:hAnsi="Arial" w:cs="Arial"/>
          <w:sz w:val="19"/>
          <w:szCs w:val="19"/>
        </w:rPr>
      </w:pPr>
      <w:r w:rsidRPr="00AB1B46">
        <w:rPr>
          <w:rStyle w:val="Refdenotaalpie"/>
          <w:rFonts w:ascii="Arial" w:hAnsi="Arial" w:cs="Arial"/>
          <w:sz w:val="19"/>
          <w:szCs w:val="19"/>
        </w:rPr>
        <w:footnoteRef/>
      </w:r>
      <w:r w:rsidRPr="00AB1B46">
        <w:rPr>
          <w:rFonts w:ascii="Arial" w:hAnsi="Arial" w:cs="Arial"/>
          <w:sz w:val="19"/>
          <w:szCs w:val="19"/>
        </w:rPr>
        <w:t xml:space="preserve"> Ley 1150 de 2007: «Artículo 17. Del derecho al debido proceso.  El debido proceso será un principio rector en materia sancionatoria de las actuaciones contractuales.</w:t>
      </w:r>
    </w:p>
    <w:p w14:paraId="63A3EE8E" w14:textId="77777777" w:rsidR="00AB2F6F" w:rsidRPr="00AB1B46" w:rsidRDefault="00AB2F6F">
      <w:pPr>
        <w:pStyle w:val="Textonotapie"/>
        <w:ind w:firstLine="708"/>
        <w:jc w:val="both"/>
        <w:rPr>
          <w:rFonts w:ascii="Arial" w:hAnsi="Arial" w:cs="Arial"/>
          <w:sz w:val="19"/>
          <w:szCs w:val="19"/>
        </w:rPr>
      </w:pPr>
      <w:r w:rsidRPr="00AB1B46">
        <w:rPr>
          <w:rFonts w:ascii="Arial" w:hAnsi="Arial" w:cs="Arial"/>
          <w:sz w:val="19"/>
          <w:szCs w:val="19"/>
        </w:rPr>
        <w:t>»En desarrollo de lo anterior y del deber de control y vigilancia sobre los contratos que corresponde a las entidades sometidas al Estatuto General de Contratación de la Administración Pública, tendrán la facultad de imponer las multas que hayan sido pactadas con el objeto de conminar al contratista a cumplir con sus obligaciones. Esta decisión deberá estar precedida de audiencia del afectado que deberá tener un procedimiento mínimo que garantice el derecho al debido proceso del contratista y procede sólo mientras se halle pendiente la ejecución de las obligaciones a cargo del contratista. Así mismo podrán declarar el incumplimiento con el propósito de hacer efectiva la cláusula penal pecuniaria incluida en el contrato.</w:t>
      </w:r>
    </w:p>
    <w:p w14:paraId="2303AE6E" w14:textId="77777777" w:rsidR="00AB2F6F" w:rsidRPr="00AB1B46" w:rsidRDefault="00AB2F6F">
      <w:pPr>
        <w:pStyle w:val="Textonotapie"/>
        <w:ind w:firstLine="708"/>
        <w:jc w:val="both"/>
        <w:rPr>
          <w:rFonts w:ascii="Arial" w:hAnsi="Arial" w:cs="Arial"/>
          <w:sz w:val="19"/>
          <w:szCs w:val="19"/>
        </w:rPr>
      </w:pPr>
      <w:r w:rsidRPr="00AB1B46">
        <w:rPr>
          <w:rFonts w:ascii="Arial" w:hAnsi="Arial" w:cs="Arial"/>
          <w:sz w:val="19"/>
          <w:szCs w:val="19"/>
        </w:rPr>
        <w:t>»Parágrafo. La cláusula penal y las multas así impuestas, se harán efectivas directamente por las entidades estatales, pudiendo acudir para el efecto entre otros a los mecanismos de compensación de las sumas adeudadas al contratista, cobro de la garantía, o a cualquier otro medio para obtener el pago, incluyendo el de la jurisdicción coactiva.</w:t>
      </w:r>
    </w:p>
    <w:p w14:paraId="5F477A91" w14:textId="77777777" w:rsidR="00AB2F6F" w:rsidRPr="00AB1B46" w:rsidRDefault="00AB2F6F">
      <w:pPr>
        <w:pStyle w:val="Textonotapie"/>
        <w:ind w:firstLine="708"/>
        <w:jc w:val="both"/>
        <w:rPr>
          <w:rFonts w:ascii="Arial" w:hAnsi="Arial" w:cs="Arial"/>
          <w:sz w:val="19"/>
          <w:szCs w:val="19"/>
        </w:rPr>
      </w:pPr>
      <w:r w:rsidRPr="00AB1B46">
        <w:rPr>
          <w:rFonts w:ascii="Arial" w:hAnsi="Arial" w:cs="Arial"/>
          <w:sz w:val="19"/>
          <w:szCs w:val="19"/>
        </w:rPr>
        <w:t>»Parágrafo transitorio. Las facultades previstas en este artículo se entienden atribuidas respecto de las cláusulas de multas o cláusula penal pecuniaria pactadas en los contratos celebrados con anterioridad a la expedición de esta ley y en los que por autonomía de la voluntad de las partes se hubiese previsto la competencia de las entidades estatales para imponerlas y hacerlas efectivas».</w:t>
      </w:r>
    </w:p>
    <w:p w14:paraId="5435E6E3" w14:textId="77777777" w:rsidR="00AB2F6F" w:rsidRPr="00AB1B46" w:rsidRDefault="00AB2F6F">
      <w:pPr>
        <w:pStyle w:val="Textonotapie"/>
        <w:ind w:firstLine="708"/>
        <w:jc w:val="both"/>
        <w:rPr>
          <w:rFonts w:ascii="Arial" w:hAnsi="Arial" w:cs="Arial"/>
          <w:sz w:val="19"/>
          <w:szCs w:val="19"/>
        </w:rPr>
      </w:pPr>
    </w:p>
  </w:footnote>
  <w:footnote w:id="10">
    <w:p w14:paraId="5C153D68" w14:textId="1DDB4D25" w:rsidR="001C4763" w:rsidRPr="00AB1B46" w:rsidRDefault="001C4763">
      <w:pPr>
        <w:pStyle w:val="Textonotapie"/>
        <w:ind w:firstLine="708"/>
        <w:jc w:val="both"/>
        <w:rPr>
          <w:rFonts w:ascii="Arial" w:hAnsi="Arial" w:cs="Arial"/>
          <w:sz w:val="19"/>
          <w:szCs w:val="19"/>
        </w:rPr>
      </w:pPr>
      <w:r w:rsidRPr="003165E5">
        <w:rPr>
          <w:rStyle w:val="Refdenotaalpie"/>
          <w:rFonts w:ascii="Arial" w:hAnsi="Arial" w:cs="Arial"/>
          <w:sz w:val="19"/>
          <w:szCs w:val="19"/>
        </w:rPr>
        <w:footnoteRef/>
      </w:r>
      <w:r w:rsidRPr="003165E5">
        <w:rPr>
          <w:rFonts w:ascii="Arial" w:hAnsi="Arial" w:cs="Arial"/>
          <w:sz w:val="19"/>
          <w:szCs w:val="19"/>
        </w:rPr>
        <w:t xml:space="preserve"> </w:t>
      </w:r>
      <w:r w:rsidRPr="00AB1B46">
        <w:rPr>
          <w:rFonts w:ascii="Arial" w:hAnsi="Arial" w:cs="Arial"/>
          <w:sz w:val="19"/>
          <w:szCs w:val="19"/>
        </w:rPr>
        <w:t>Esta causal de multa es coherente y armónica con las obligaciones contractuales que se sugieren establecer</w:t>
      </w:r>
      <w:r w:rsidR="00426CF1" w:rsidRPr="00AB1B46">
        <w:rPr>
          <w:rFonts w:ascii="Arial" w:hAnsi="Arial" w:cs="Arial"/>
          <w:sz w:val="19"/>
          <w:szCs w:val="19"/>
        </w:rPr>
        <w:t>,</w:t>
      </w:r>
      <w:r w:rsidRPr="00AB1B46">
        <w:rPr>
          <w:rFonts w:ascii="Arial" w:hAnsi="Arial" w:cs="Arial"/>
          <w:sz w:val="19"/>
          <w:szCs w:val="19"/>
        </w:rPr>
        <w:t xml:space="preserve"> de acuerdo con el documento tipo</w:t>
      </w:r>
      <w:r w:rsidR="00426CF1" w:rsidRPr="00AB1B46">
        <w:rPr>
          <w:rFonts w:ascii="Arial" w:hAnsi="Arial" w:cs="Arial"/>
          <w:sz w:val="19"/>
          <w:szCs w:val="19"/>
        </w:rPr>
        <w:t>,</w:t>
      </w:r>
      <w:r w:rsidRPr="00AB1B46">
        <w:rPr>
          <w:rFonts w:ascii="Arial" w:hAnsi="Arial" w:cs="Arial"/>
          <w:sz w:val="19"/>
          <w:szCs w:val="19"/>
        </w:rPr>
        <w:t xml:space="preserve"> en el </w:t>
      </w:r>
      <w:r w:rsidRPr="00AB1B46">
        <w:rPr>
          <w:rFonts w:ascii="Arial" w:eastAsia="Calibri" w:hAnsi="Arial" w:cs="Arial"/>
          <w:color w:val="000000" w:themeColor="text1"/>
          <w:sz w:val="19"/>
          <w:szCs w:val="19"/>
        </w:rPr>
        <w:t>«Anexo 5 – Minuta del Contrato», en la «Cláusula 9. Obligaciones generales del contratista</w:t>
      </w:r>
      <w:r w:rsidR="00426CF1" w:rsidRPr="00AB1B46">
        <w:rPr>
          <w:rFonts w:ascii="Arial" w:eastAsia="Calibri" w:hAnsi="Arial" w:cs="Arial"/>
          <w:color w:val="000000" w:themeColor="text1"/>
          <w:sz w:val="19"/>
          <w:szCs w:val="19"/>
        </w:rPr>
        <w:t>»</w:t>
      </w:r>
      <w:r w:rsidRPr="00AB1B46">
        <w:rPr>
          <w:rFonts w:ascii="Arial" w:hAnsi="Arial" w:cs="Arial"/>
          <w:sz w:val="19"/>
          <w:szCs w:val="19"/>
        </w:rPr>
        <w:t xml:space="preserve"> </w:t>
      </w:r>
      <w:r w:rsidR="00426CF1" w:rsidRPr="00AB1B46">
        <w:rPr>
          <w:rFonts w:ascii="Arial" w:hAnsi="Arial" w:cs="Arial"/>
          <w:sz w:val="19"/>
          <w:szCs w:val="19"/>
        </w:rPr>
        <w:t>donde se recomienda incluir la siguiente:</w:t>
      </w:r>
      <w:r w:rsidRPr="00AB1B46">
        <w:rPr>
          <w:rFonts w:ascii="Arial" w:hAnsi="Arial" w:cs="Arial"/>
          <w:sz w:val="19"/>
          <w:szCs w:val="19"/>
        </w:rPr>
        <w:t xml:space="preserve"> «</w:t>
      </w:r>
      <w:r w:rsidR="00F00C7D" w:rsidRPr="00AB1B46">
        <w:rPr>
          <w:rFonts w:ascii="Arial" w:hAnsi="Arial" w:cs="Arial"/>
          <w:sz w:val="19"/>
          <w:szCs w:val="19"/>
        </w:rPr>
        <w:t xml:space="preserve">6. </w:t>
      </w:r>
      <w:r w:rsidRPr="00AB1B46">
        <w:rPr>
          <w:rFonts w:ascii="Arial" w:hAnsi="Arial" w:cs="Arial"/>
          <w:sz w:val="19"/>
          <w:szCs w:val="19"/>
        </w:rPr>
        <w:t>Acreditar el cumplimiento del factor de calidad ofrecido durante la fase de selección en los plazos acordados con la Entidad</w:t>
      </w:r>
      <w:r w:rsidR="00426CF1" w:rsidRPr="00AB1B46">
        <w:rPr>
          <w:rFonts w:ascii="Arial" w:hAnsi="Arial" w:cs="Arial"/>
          <w:sz w:val="19"/>
          <w:szCs w:val="19"/>
        </w:rPr>
        <w:t>»</w:t>
      </w:r>
      <w:r w:rsidRPr="00AB1B46">
        <w:rPr>
          <w:rFonts w:ascii="Arial" w:hAnsi="Arial" w:cs="Arial"/>
          <w:sz w:val="19"/>
          <w:szCs w:val="19"/>
        </w:rPr>
        <w:t>.</w:t>
      </w:r>
    </w:p>
    <w:p w14:paraId="171550D6" w14:textId="77777777" w:rsidR="00F500BE" w:rsidRPr="003165E5" w:rsidRDefault="00F500BE">
      <w:pPr>
        <w:pStyle w:val="Textonotapie"/>
        <w:ind w:firstLine="708"/>
        <w:jc w:val="both"/>
        <w:rPr>
          <w:rFonts w:ascii="Arial" w:hAnsi="Arial" w:cs="Arial"/>
          <w:sz w:val="19"/>
          <w:szCs w:val="19"/>
          <w:lang w:val="es-CO"/>
        </w:rPr>
      </w:pPr>
    </w:p>
  </w:footnote>
  <w:footnote w:id="11">
    <w:p w14:paraId="32E786FB" w14:textId="77777777" w:rsidR="00AB2F6F" w:rsidRPr="00AB1B46" w:rsidRDefault="00AB2F6F">
      <w:pPr>
        <w:pStyle w:val="Textonotapie"/>
        <w:ind w:firstLine="708"/>
        <w:jc w:val="both"/>
        <w:rPr>
          <w:rFonts w:ascii="Arial" w:hAnsi="Arial" w:cs="Arial"/>
          <w:sz w:val="19"/>
          <w:szCs w:val="19"/>
        </w:rPr>
      </w:pPr>
      <w:r w:rsidRPr="00AB1B46">
        <w:rPr>
          <w:rStyle w:val="Refdenotaalpie"/>
          <w:rFonts w:ascii="Arial" w:hAnsi="Arial" w:cs="Arial"/>
          <w:sz w:val="19"/>
          <w:szCs w:val="19"/>
        </w:rPr>
        <w:footnoteRef/>
      </w:r>
      <w:r w:rsidRPr="00AB1B46">
        <w:rPr>
          <w:rFonts w:ascii="Arial" w:hAnsi="Arial" w:cs="Arial"/>
          <w:sz w:val="19"/>
          <w:szCs w:val="19"/>
        </w:rPr>
        <w:t xml:space="preserve"> Código Civil: «Artículo 1602. Los Contratos son ley para las partes. Todo contrato legalmente celebrado es una ley para los contratantes, y no puede ser invalidado sino por su consentimiento mutuo o por causas legales».</w:t>
      </w:r>
    </w:p>
    <w:p w14:paraId="77320FF7" w14:textId="77777777" w:rsidR="00AB2F6F" w:rsidRPr="00AB1B46" w:rsidRDefault="00AB2F6F">
      <w:pPr>
        <w:pStyle w:val="Textonotapie"/>
        <w:ind w:firstLine="708"/>
        <w:jc w:val="both"/>
        <w:rPr>
          <w:rFonts w:ascii="Arial" w:hAnsi="Arial" w:cs="Arial"/>
          <w:sz w:val="19"/>
          <w:szCs w:val="19"/>
        </w:rPr>
      </w:pPr>
    </w:p>
  </w:footnote>
  <w:footnote w:id="12">
    <w:p w14:paraId="569B6D31" w14:textId="77777777" w:rsidR="00AB2F6F" w:rsidRPr="00AB1B46" w:rsidRDefault="00AB2F6F">
      <w:pPr>
        <w:pStyle w:val="Textonotapie"/>
        <w:ind w:firstLine="708"/>
        <w:jc w:val="both"/>
        <w:rPr>
          <w:rFonts w:ascii="Arial" w:hAnsi="Arial" w:cs="Arial"/>
          <w:sz w:val="19"/>
          <w:szCs w:val="19"/>
        </w:rPr>
      </w:pPr>
      <w:r w:rsidRPr="00AB1B46">
        <w:rPr>
          <w:rStyle w:val="Refdenotaalpie"/>
          <w:rFonts w:ascii="Arial" w:hAnsi="Arial" w:cs="Arial"/>
          <w:sz w:val="19"/>
          <w:szCs w:val="19"/>
        </w:rPr>
        <w:footnoteRef/>
      </w:r>
      <w:r w:rsidRPr="00AB1B46">
        <w:rPr>
          <w:rFonts w:ascii="Arial" w:hAnsi="Arial" w:cs="Arial"/>
          <w:sz w:val="19"/>
          <w:szCs w:val="19"/>
        </w:rPr>
        <w:t xml:space="preserve"> Código Civil. «Artículo 1603. Los contratos deben ejecutarse de buena fe, y por consiguiente obligan no solo a lo que en ellos se expresa, sino a todas las cosas que emanan precisamente de la naturaleza de la obligación, o que por ley pertenecen a ella».</w:t>
      </w:r>
    </w:p>
    <w:p w14:paraId="23B8D163" w14:textId="77777777" w:rsidR="00AB2F6F" w:rsidRPr="00AB1B46" w:rsidRDefault="00AB2F6F">
      <w:pPr>
        <w:pStyle w:val="Textonotapie"/>
        <w:ind w:firstLine="708"/>
        <w:jc w:val="both"/>
        <w:rPr>
          <w:rFonts w:ascii="Arial" w:hAnsi="Arial" w:cs="Arial"/>
          <w:sz w:val="19"/>
          <w:szCs w:val="19"/>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70198" w14:textId="77777777" w:rsidR="000949EA" w:rsidRDefault="000949EA">
    <w:pPr>
      <w:pStyle w:val="Encabezado"/>
    </w:pPr>
    <w:r>
      <w:rPr>
        <w:lang w:eastAsia="es-CO"/>
      </w:rPr>
      <w:drawing>
        <wp:anchor distT="0" distB="0" distL="114300" distR="114300" simplePos="0" relativeHeight="251659264" behindDoc="1" locked="0" layoutInCell="1" allowOverlap="1" wp14:anchorId="3E0F8256" wp14:editId="740802EB">
          <wp:simplePos x="0" y="0"/>
          <wp:positionH relativeFrom="column">
            <wp:posOffset>4382219</wp:posOffset>
          </wp:positionH>
          <wp:positionV relativeFrom="paragraph">
            <wp:posOffset>232997</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4"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F534B"/>
    <w:multiLevelType w:val="multilevel"/>
    <w:tmpl w:val="D4AA352C"/>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9EB2C21"/>
    <w:multiLevelType w:val="hybridMultilevel"/>
    <w:tmpl w:val="6DA8621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1ED32F83"/>
    <w:multiLevelType w:val="hybridMultilevel"/>
    <w:tmpl w:val="3CA26132"/>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20EC42EB"/>
    <w:multiLevelType w:val="multilevel"/>
    <w:tmpl w:val="F9A6194E"/>
    <w:lvl w:ilvl="0">
      <w:start w:val="4"/>
      <w:numFmt w:val="decimal"/>
      <w:lvlText w:val="%1."/>
      <w:lvlJc w:val="left"/>
      <w:pPr>
        <w:ind w:left="500" w:hanging="500"/>
      </w:pPr>
      <w:rPr>
        <w:rFonts w:hint="default"/>
      </w:rPr>
    </w:lvl>
    <w:lvl w:ilvl="1">
      <w:start w:val="2"/>
      <w:numFmt w:val="decimal"/>
      <w:lvlText w:val="%1.%2."/>
      <w:lvlJc w:val="left"/>
      <w:pPr>
        <w:ind w:left="500" w:hanging="5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CD24149"/>
    <w:multiLevelType w:val="multilevel"/>
    <w:tmpl w:val="750496EC"/>
    <w:lvl w:ilvl="0">
      <w:start w:val="3"/>
      <w:numFmt w:val="decimal"/>
      <w:lvlText w:val="%1"/>
      <w:lvlJc w:val="left"/>
      <w:pPr>
        <w:ind w:left="808" w:hanging="440"/>
        <w:jc w:val="left"/>
      </w:pPr>
      <w:rPr>
        <w:rFonts w:hint="default"/>
        <w:lang w:val="es-ES" w:eastAsia="en-US" w:bidi="ar-SA"/>
      </w:rPr>
    </w:lvl>
    <w:lvl w:ilvl="1">
      <w:start w:val="4"/>
      <w:numFmt w:val="decimal"/>
      <w:lvlText w:val="%1.%2"/>
      <w:lvlJc w:val="left"/>
      <w:pPr>
        <w:ind w:left="808" w:hanging="440"/>
        <w:jc w:val="left"/>
      </w:pPr>
      <w:rPr>
        <w:rFonts w:ascii="Arial" w:eastAsia="Arial" w:hAnsi="Arial" w:cs="Arial" w:hint="default"/>
        <w:b/>
        <w:bCs/>
        <w:color w:val="auto"/>
        <w:spacing w:val="-8"/>
        <w:w w:val="100"/>
        <w:sz w:val="20"/>
        <w:szCs w:val="20"/>
        <w:lang w:val="es-ES" w:eastAsia="en-US" w:bidi="ar-SA"/>
      </w:rPr>
    </w:lvl>
    <w:lvl w:ilvl="2">
      <w:start w:val="1"/>
      <w:numFmt w:val="decimal"/>
      <w:lvlText w:val="%1.%2.%3."/>
      <w:lvlJc w:val="left"/>
      <w:pPr>
        <w:ind w:left="1828" w:hanging="625"/>
        <w:jc w:val="left"/>
      </w:pPr>
      <w:rPr>
        <w:rFonts w:ascii="Arial" w:eastAsia="Arial" w:hAnsi="Arial" w:cs="Arial" w:hint="default"/>
        <w:b/>
        <w:bCs/>
        <w:color w:val="auto"/>
        <w:spacing w:val="-5"/>
        <w:w w:val="100"/>
        <w:sz w:val="20"/>
        <w:szCs w:val="20"/>
        <w:lang w:val="es-ES" w:eastAsia="en-US" w:bidi="ar-SA"/>
      </w:rPr>
    </w:lvl>
    <w:lvl w:ilvl="3">
      <w:numFmt w:val="bullet"/>
      <w:lvlText w:val="•"/>
      <w:lvlJc w:val="left"/>
      <w:pPr>
        <w:ind w:left="3446" w:hanging="625"/>
      </w:pPr>
      <w:rPr>
        <w:rFonts w:hint="default"/>
        <w:lang w:val="es-ES" w:eastAsia="en-US" w:bidi="ar-SA"/>
      </w:rPr>
    </w:lvl>
    <w:lvl w:ilvl="4">
      <w:numFmt w:val="bullet"/>
      <w:lvlText w:val="•"/>
      <w:lvlJc w:val="left"/>
      <w:pPr>
        <w:ind w:left="4260" w:hanging="625"/>
      </w:pPr>
      <w:rPr>
        <w:rFonts w:hint="default"/>
        <w:lang w:val="es-ES" w:eastAsia="en-US" w:bidi="ar-SA"/>
      </w:rPr>
    </w:lvl>
    <w:lvl w:ilvl="5">
      <w:numFmt w:val="bullet"/>
      <w:lvlText w:val="•"/>
      <w:lvlJc w:val="left"/>
      <w:pPr>
        <w:ind w:left="5073" w:hanging="625"/>
      </w:pPr>
      <w:rPr>
        <w:rFonts w:hint="default"/>
        <w:lang w:val="es-ES" w:eastAsia="en-US" w:bidi="ar-SA"/>
      </w:rPr>
    </w:lvl>
    <w:lvl w:ilvl="6">
      <w:numFmt w:val="bullet"/>
      <w:lvlText w:val="•"/>
      <w:lvlJc w:val="left"/>
      <w:pPr>
        <w:ind w:left="5886" w:hanging="625"/>
      </w:pPr>
      <w:rPr>
        <w:rFonts w:hint="default"/>
        <w:lang w:val="es-ES" w:eastAsia="en-US" w:bidi="ar-SA"/>
      </w:rPr>
    </w:lvl>
    <w:lvl w:ilvl="7">
      <w:numFmt w:val="bullet"/>
      <w:lvlText w:val="•"/>
      <w:lvlJc w:val="left"/>
      <w:pPr>
        <w:ind w:left="6700" w:hanging="625"/>
      </w:pPr>
      <w:rPr>
        <w:rFonts w:hint="default"/>
        <w:lang w:val="es-ES" w:eastAsia="en-US" w:bidi="ar-SA"/>
      </w:rPr>
    </w:lvl>
    <w:lvl w:ilvl="8">
      <w:numFmt w:val="bullet"/>
      <w:lvlText w:val="•"/>
      <w:lvlJc w:val="left"/>
      <w:pPr>
        <w:ind w:left="7513" w:hanging="625"/>
      </w:pPr>
      <w:rPr>
        <w:rFonts w:hint="default"/>
        <w:lang w:val="es-ES" w:eastAsia="en-US" w:bidi="ar-SA"/>
      </w:rPr>
    </w:lvl>
  </w:abstractNum>
  <w:abstractNum w:abstractNumId="5"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9AE0B84"/>
    <w:multiLevelType w:val="multilevel"/>
    <w:tmpl w:val="D4AA352C"/>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437E6DB7"/>
    <w:multiLevelType w:val="multilevel"/>
    <w:tmpl w:val="7420941E"/>
    <w:lvl w:ilvl="0">
      <w:start w:val="3"/>
      <w:numFmt w:val="decimal"/>
      <w:lvlText w:val="%1"/>
      <w:lvlJc w:val="left"/>
      <w:pPr>
        <w:ind w:left="1800" w:hanging="623"/>
        <w:jc w:val="left"/>
      </w:pPr>
      <w:rPr>
        <w:rFonts w:hint="default"/>
        <w:lang w:val="es-ES" w:eastAsia="en-US" w:bidi="ar-SA"/>
      </w:rPr>
    </w:lvl>
    <w:lvl w:ilvl="1">
      <w:start w:val="5"/>
      <w:numFmt w:val="decimal"/>
      <w:lvlText w:val="%1.%2"/>
      <w:lvlJc w:val="left"/>
      <w:pPr>
        <w:ind w:left="1800" w:hanging="623"/>
        <w:jc w:val="left"/>
      </w:pPr>
      <w:rPr>
        <w:rFonts w:hint="default"/>
        <w:lang w:val="es-ES" w:eastAsia="en-US" w:bidi="ar-SA"/>
      </w:rPr>
    </w:lvl>
    <w:lvl w:ilvl="2">
      <w:start w:val="1"/>
      <w:numFmt w:val="decimal"/>
      <w:lvlText w:val="%1.%2.%3."/>
      <w:lvlJc w:val="left"/>
      <w:pPr>
        <w:ind w:left="1800" w:hanging="623"/>
        <w:jc w:val="left"/>
      </w:pPr>
      <w:rPr>
        <w:rFonts w:ascii="Arial" w:eastAsia="Arial" w:hAnsi="Arial" w:cs="Arial" w:hint="default"/>
        <w:b/>
        <w:bCs/>
        <w:color w:val="auto"/>
        <w:spacing w:val="-8"/>
        <w:w w:val="100"/>
        <w:sz w:val="20"/>
        <w:szCs w:val="20"/>
        <w:lang w:val="es-ES" w:eastAsia="en-US" w:bidi="ar-SA"/>
      </w:rPr>
    </w:lvl>
    <w:lvl w:ilvl="3">
      <w:start w:val="1"/>
      <w:numFmt w:val="upperLetter"/>
      <w:lvlText w:val="%4."/>
      <w:lvlJc w:val="left"/>
      <w:pPr>
        <w:ind w:left="1895" w:hanging="360"/>
        <w:jc w:val="left"/>
      </w:pPr>
      <w:rPr>
        <w:rFonts w:ascii="Arial" w:eastAsia="Arial" w:hAnsi="Arial" w:cs="Arial" w:hint="default"/>
        <w:color w:val="auto"/>
        <w:spacing w:val="-2"/>
        <w:w w:val="100"/>
        <w:sz w:val="20"/>
        <w:szCs w:val="20"/>
        <w:lang w:val="es-ES" w:eastAsia="en-US" w:bidi="ar-SA"/>
      </w:rPr>
    </w:lvl>
    <w:lvl w:ilvl="4">
      <w:numFmt w:val="bullet"/>
      <w:lvlText w:val="•"/>
      <w:lvlJc w:val="left"/>
      <w:pPr>
        <w:ind w:left="4313" w:hanging="360"/>
      </w:pPr>
      <w:rPr>
        <w:rFonts w:hint="default"/>
        <w:lang w:val="es-ES" w:eastAsia="en-US" w:bidi="ar-SA"/>
      </w:rPr>
    </w:lvl>
    <w:lvl w:ilvl="5">
      <w:numFmt w:val="bullet"/>
      <w:lvlText w:val="•"/>
      <w:lvlJc w:val="left"/>
      <w:pPr>
        <w:ind w:left="5117" w:hanging="360"/>
      </w:pPr>
      <w:rPr>
        <w:rFonts w:hint="default"/>
        <w:lang w:val="es-ES" w:eastAsia="en-US" w:bidi="ar-SA"/>
      </w:rPr>
    </w:lvl>
    <w:lvl w:ilvl="6">
      <w:numFmt w:val="bullet"/>
      <w:lvlText w:val="•"/>
      <w:lvlJc w:val="left"/>
      <w:pPr>
        <w:ind w:left="5922" w:hanging="360"/>
      </w:pPr>
      <w:rPr>
        <w:rFonts w:hint="default"/>
        <w:lang w:val="es-ES" w:eastAsia="en-US" w:bidi="ar-SA"/>
      </w:rPr>
    </w:lvl>
    <w:lvl w:ilvl="7">
      <w:numFmt w:val="bullet"/>
      <w:lvlText w:val="•"/>
      <w:lvlJc w:val="left"/>
      <w:pPr>
        <w:ind w:left="6726" w:hanging="360"/>
      </w:pPr>
      <w:rPr>
        <w:rFonts w:hint="default"/>
        <w:lang w:val="es-ES" w:eastAsia="en-US" w:bidi="ar-SA"/>
      </w:rPr>
    </w:lvl>
    <w:lvl w:ilvl="8">
      <w:numFmt w:val="bullet"/>
      <w:lvlText w:val="•"/>
      <w:lvlJc w:val="left"/>
      <w:pPr>
        <w:ind w:left="7531" w:hanging="360"/>
      </w:pPr>
      <w:rPr>
        <w:rFonts w:hint="default"/>
        <w:lang w:val="es-ES" w:eastAsia="en-US" w:bidi="ar-SA"/>
      </w:rPr>
    </w:lvl>
  </w:abstractNum>
  <w:abstractNum w:abstractNumId="8" w15:restartNumberingAfterBreak="0">
    <w:nsid w:val="4A642A14"/>
    <w:multiLevelType w:val="multilevel"/>
    <w:tmpl w:val="7FB02042"/>
    <w:lvl w:ilvl="0">
      <w:start w:val="1"/>
      <w:numFmt w:val="decimal"/>
      <w:lvlText w:val="%1."/>
      <w:lvlJc w:val="left"/>
      <w:pPr>
        <w:ind w:left="385" w:hanging="285"/>
        <w:jc w:val="left"/>
      </w:pPr>
      <w:rPr>
        <w:rFonts w:ascii="Arial" w:eastAsia="Arial" w:hAnsi="Arial" w:cs="Arial" w:hint="default"/>
        <w:b/>
        <w:bCs/>
        <w:color w:val="auto"/>
        <w:spacing w:val="-21"/>
        <w:w w:val="100"/>
        <w:sz w:val="22"/>
        <w:szCs w:val="22"/>
        <w:lang w:val="es-ES" w:eastAsia="en-US" w:bidi="ar-SA"/>
      </w:rPr>
    </w:lvl>
    <w:lvl w:ilvl="1">
      <w:start w:val="1"/>
      <w:numFmt w:val="decimal"/>
      <w:lvlText w:val="%1.%2."/>
      <w:lvlJc w:val="left"/>
      <w:pPr>
        <w:ind w:left="1180" w:hanging="720"/>
        <w:jc w:val="left"/>
      </w:pPr>
      <w:rPr>
        <w:rFonts w:ascii="Arial" w:eastAsia="Arial" w:hAnsi="Arial" w:cs="Arial" w:hint="default"/>
        <w:b/>
        <w:bCs/>
        <w:color w:val="auto"/>
        <w:spacing w:val="-2"/>
        <w:w w:val="100"/>
        <w:sz w:val="22"/>
        <w:szCs w:val="22"/>
        <w:lang w:val="es-ES" w:eastAsia="en-US" w:bidi="ar-SA"/>
      </w:rPr>
    </w:lvl>
    <w:lvl w:ilvl="2">
      <w:start w:val="1"/>
      <w:numFmt w:val="decimal"/>
      <w:lvlText w:val="%3."/>
      <w:lvlJc w:val="left"/>
      <w:pPr>
        <w:ind w:left="808" w:hanging="263"/>
        <w:jc w:val="left"/>
      </w:pPr>
      <w:rPr>
        <w:rFonts w:ascii="Arial" w:eastAsia="Arial" w:hAnsi="Arial" w:cs="Arial" w:hint="default"/>
        <w:color w:val="auto"/>
        <w:spacing w:val="-16"/>
        <w:w w:val="100"/>
        <w:sz w:val="20"/>
        <w:szCs w:val="20"/>
        <w:lang w:val="es-ES" w:eastAsia="en-US" w:bidi="ar-SA"/>
      </w:rPr>
    </w:lvl>
    <w:lvl w:ilvl="3">
      <w:numFmt w:val="bullet"/>
      <w:lvlText w:val="•"/>
      <w:lvlJc w:val="left"/>
      <w:pPr>
        <w:ind w:left="2175" w:hanging="263"/>
      </w:pPr>
      <w:rPr>
        <w:rFonts w:hint="default"/>
        <w:lang w:val="es-ES" w:eastAsia="en-US" w:bidi="ar-SA"/>
      </w:rPr>
    </w:lvl>
    <w:lvl w:ilvl="4">
      <w:numFmt w:val="bullet"/>
      <w:lvlText w:val="•"/>
      <w:lvlJc w:val="left"/>
      <w:pPr>
        <w:ind w:left="3170" w:hanging="263"/>
      </w:pPr>
      <w:rPr>
        <w:rFonts w:hint="default"/>
        <w:lang w:val="es-ES" w:eastAsia="en-US" w:bidi="ar-SA"/>
      </w:rPr>
    </w:lvl>
    <w:lvl w:ilvl="5">
      <w:numFmt w:val="bullet"/>
      <w:lvlText w:val="•"/>
      <w:lvlJc w:val="left"/>
      <w:pPr>
        <w:ind w:left="4165" w:hanging="263"/>
      </w:pPr>
      <w:rPr>
        <w:rFonts w:hint="default"/>
        <w:lang w:val="es-ES" w:eastAsia="en-US" w:bidi="ar-SA"/>
      </w:rPr>
    </w:lvl>
    <w:lvl w:ilvl="6">
      <w:numFmt w:val="bullet"/>
      <w:lvlText w:val="•"/>
      <w:lvlJc w:val="left"/>
      <w:pPr>
        <w:ind w:left="5160" w:hanging="263"/>
      </w:pPr>
      <w:rPr>
        <w:rFonts w:hint="default"/>
        <w:lang w:val="es-ES" w:eastAsia="en-US" w:bidi="ar-SA"/>
      </w:rPr>
    </w:lvl>
    <w:lvl w:ilvl="7">
      <w:numFmt w:val="bullet"/>
      <w:lvlText w:val="•"/>
      <w:lvlJc w:val="left"/>
      <w:pPr>
        <w:ind w:left="6155" w:hanging="263"/>
      </w:pPr>
      <w:rPr>
        <w:rFonts w:hint="default"/>
        <w:lang w:val="es-ES" w:eastAsia="en-US" w:bidi="ar-SA"/>
      </w:rPr>
    </w:lvl>
    <w:lvl w:ilvl="8">
      <w:numFmt w:val="bullet"/>
      <w:lvlText w:val="•"/>
      <w:lvlJc w:val="left"/>
      <w:pPr>
        <w:ind w:left="7150" w:hanging="263"/>
      </w:pPr>
      <w:rPr>
        <w:rFonts w:hint="default"/>
        <w:lang w:val="es-ES" w:eastAsia="en-US" w:bidi="ar-SA"/>
      </w:rPr>
    </w:lvl>
  </w:abstractNum>
  <w:abstractNum w:abstractNumId="9" w15:restartNumberingAfterBreak="0">
    <w:nsid w:val="578B3D84"/>
    <w:multiLevelType w:val="multilevel"/>
    <w:tmpl w:val="17FEB804"/>
    <w:lvl w:ilvl="0">
      <w:start w:val="1"/>
      <w:numFmt w:val="decimal"/>
      <w:lvlText w:val="%1."/>
      <w:lvlJc w:val="left"/>
      <w:pPr>
        <w:ind w:left="360" w:hanging="360"/>
      </w:pPr>
      <w:rPr>
        <w:rFonts w:hint="default"/>
      </w:rPr>
    </w:lvl>
    <w:lvl w:ilvl="1">
      <w:start w:val="1"/>
      <w:numFmt w:val="decimal"/>
      <w:pStyle w:val="Ttulo2"/>
      <w:lvlText w:val="%1.%2."/>
      <w:lvlJc w:val="left"/>
      <w:pPr>
        <w:ind w:left="644" w:hanging="360"/>
      </w:pPr>
      <w:rPr>
        <w:rFonts w:hint="default"/>
      </w:rPr>
    </w:lvl>
    <w:lvl w:ilvl="2">
      <w:start w:val="1"/>
      <w:numFmt w:val="decimal"/>
      <w:pStyle w:val="Ttulo3"/>
      <w:lvlText w:val="%1.%2.%3."/>
      <w:lvlJc w:val="left"/>
      <w:pPr>
        <w:ind w:left="1997"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5B8C4DEE"/>
    <w:multiLevelType w:val="hybridMultilevel"/>
    <w:tmpl w:val="ABC8BC0A"/>
    <w:lvl w:ilvl="0" w:tplc="2E700C2E">
      <w:start w:val="7"/>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1" w15:restartNumberingAfterBreak="0">
    <w:nsid w:val="5DC52852"/>
    <w:multiLevelType w:val="multilevel"/>
    <w:tmpl w:val="F030E6A4"/>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5.%3."/>
      <w:lvlJc w:val="left"/>
      <w:pPr>
        <w:ind w:left="964" w:hanging="624"/>
      </w:pPr>
      <w:rPr>
        <w:rFonts w:hint="default"/>
        <w:b w:val="0"/>
        <w:bCs/>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69F77B96"/>
    <w:multiLevelType w:val="hybridMultilevel"/>
    <w:tmpl w:val="03F4F80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6BA73004"/>
    <w:multiLevelType w:val="multilevel"/>
    <w:tmpl w:val="8BB07518"/>
    <w:lvl w:ilvl="0">
      <w:start w:val="3"/>
      <w:numFmt w:val="decimal"/>
      <w:lvlText w:val="%1"/>
      <w:lvlJc w:val="left"/>
      <w:pPr>
        <w:ind w:left="1785" w:hanging="720"/>
        <w:jc w:val="left"/>
      </w:pPr>
      <w:rPr>
        <w:rFonts w:hint="default"/>
        <w:lang w:val="es-ES" w:eastAsia="en-US" w:bidi="ar-SA"/>
      </w:rPr>
    </w:lvl>
    <w:lvl w:ilvl="1">
      <w:start w:val="5"/>
      <w:numFmt w:val="decimal"/>
      <w:lvlText w:val="%1.%2"/>
      <w:lvlJc w:val="left"/>
      <w:pPr>
        <w:ind w:left="1785" w:hanging="720"/>
        <w:jc w:val="left"/>
      </w:pPr>
      <w:rPr>
        <w:rFonts w:hint="default"/>
        <w:lang w:val="es-ES" w:eastAsia="en-US" w:bidi="ar-SA"/>
      </w:rPr>
    </w:lvl>
    <w:lvl w:ilvl="2">
      <w:start w:val="4"/>
      <w:numFmt w:val="decimal"/>
      <w:lvlText w:val="%1.%2.%3"/>
      <w:lvlJc w:val="left"/>
      <w:pPr>
        <w:ind w:left="1785" w:hanging="720"/>
        <w:jc w:val="left"/>
      </w:pPr>
      <w:rPr>
        <w:rFonts w:ascii="Arial" w:eastAsia="Arial" w:hAnsi="Arial" w:cs="Arial" w:hint="default"/>
        <w:b/>
        <w:bCs/>
        <w:color w:val="auto"/>
        <w:spacing w:val="-5"/>
        <w:w w:val="100"/>
        <w:sz w:val="20"/>
        <w:szCs w:val="20"/>
        <w:lang w:val="es-ES" w:eastAsia="en-US" w:bidi="ar-SA"/>
      </w:rPr>
    </w:lvl>
    <w:lvl w:ilvl="3">
      <w:start w:val="1"/>
      <w:numFmt w:val="upperLetter"/>
      <w:lvlText w:val="%4."/>
      <w:lvlJc w:val="left"/>
      <w:pPr>
        <w:ind w:left="1535" w:hanging="361"/>
        <w:jc w:val="left"/>
      </w:pPr>
      <w:rPr>
        <w:rFonts w:ascii="Arial" w:eastAsia="Arial" w:hAnsi="Arial" w:cs="Arial" w:hint="default"/>
        <w:color w:val="auto"/>
        <w:spacing w:val="-2"/>
        <w:w w:val="100"/>
        <w:sz w:val="20"/>
        <w:szCs w:val="20"/>
        <w:lang w:val="es-ES" w:eastAsia="en-US" w:bidi="ar-SA"/>
      </w:rPr>
    </w:lvl>
    <w:lvl w:ilvl="4">
      <w:numFmt w:val="bullet"/>
      <w:lvlText w:val="•"/>
      <w:lvlJc w:val="left"/>
      <w:pPr>
        <w:ind w:left="4233" w:hanging="361"/>
      </w:pPr>
      <w:rPr>
        <w:rFonts w:hint="default"/>
        <w:lang w:val="es-ES" w:eastAsia="en-US" w:bidi="ar-SA"/>
      </w:rPr>
    </w:lvl>
    <w:lvl w:ilvl="5">
      <w:numFmt w:val="bullet"/>
      <w:lvlText w:val="•"/>
      <w:lvlJc w:val="left"/>
      <w:pPr>
        <w:ind w:left="5051" w:hanging="361"/>
      </w:pPr>
      <w:rPr>
        <w:rFonts w:hint="default"/>
        <w:lang w:val="es-ES" w:eastAsia="en-US" w:bidi="ar-SA"/>
      </w:rPr>
    </w:lvl>
    <w:lvl w:ilvl="6">
      <w:numFmt w:val="bullet"/>
      <w:lvlText w:val="•"/>
      <w:lvlJc w:val="left"/>
      <w:pPr>
        <w:ind w:left="5868" w:hanging="361"/>
      </w:pPr>
      <w:rPr>
        <w:rFonts w:hint="default"/>
        <w:lang w:val="es-ES" w:eastAsia="en-US" w:bidi="ar-SA"/>
      </w:rPr>
    </w:lvl>
    <w:lvl w:ilvl="7">
      <w:numFmt w:val="bullet"/>
      <w:lvlText w:val="•"/>
      <w:lvlJc w:val="left"/>
      <w:pPr>
        <w:ind w:left="6686" w:hanging="361"/>
      </w:pPr>
      <w:rPr>
        <w:rFonts w:hint="default"/>
        <w:lang w:val="es-ES" w:eastAsia="en-US" w:bidi="ar-SA"/>
      </w:rPr>
    </w:lvl>
    <w:lvl w:ilvl="8">
      <w:numFmt w:val="bullet"/>
      <w:lvlText w:val="•"/>
      <w:lvlJc w:val="left"/>
      <w:pPr>
        <w:ind w:left="7504" w:hanging="361"/>
      </w:pPr>
      <w:rPr>
        <w:rFonts w:hint="default"/>
        <w:lang w:val="es-ES" w:eastAsia="en-US" w:bidi="ar-SA"/>
      </w:rPr>
    </w:lvl>
  </w:abstractNum>
  <w:num w:numId="1">
    <w:abstractNumId w:val="12"/>
  </w:num>
  <w:num w:numId="2">
    <w:abstractNumId w:val="1"/>
  </w:num>
  <w:num w:numId="3">
    <w:abstractNumId w:val="2"/>
  </w:num>
  <w:num w:numId="4">
    <w:abstractNumId w:val="13"/>
  </w:num>
  <w:num w:numId="5">
    <w:abstractNumId w:val="7"/>
  </w:num>
  <w:num w:numId="6">
    <w:abstractNumId w:val="8"/>
  </w:num>
  <w:num w:numId="7">
    <w:abstractNumId w:val="5"/>
  </w:num>
  <w:num w:numId="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6"/>
  </w:num>
  <w:num w:numId="11">
    <w:abstractNumId w:val="9"/>
  </w:num>
  <w:num w:numId="12">
    <w:abstractNumId w:val="3"/>
  </w:num>
  <w:num w:numId="13">
    <w:abstractNumId w:val="0"/>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57DA"/>
    <w:rsid w:val="00005197"/>
    <w:rsid w:val="00005360"/>
    <w:rsid w:val="00007AB9"/>
    <w:rsid w:val="00007EC7"/>
    <w:rsid w:val="00015F7D"/>
    <w:rsid w:val="000244E5"/>
    <w:rsid w:val="000316BF"/>
    <w:rsid w:val="00033771"/>
    <w:rsid w:val="00040D56"/>
    <w:rsid w:val="00041C14"/>
    <w:rsid w:val="00045E83"/>
    <w:rsid w:val="00050AF6"/>
    <w:rsid w:val="00056E1A"/>
    <w:rsid w:val="00062AC6"/>
    <w:rsid w:val="00064391"/>
    <w:rsid w:val="00065248"/>
    <w:rsid w:val="0008002E"/>
    <w:rsid w:val="00085ABA"/>
    <w:rsid w:val="00086E4A"/>
    <w:rsid w:val="00086FAB"/>
    <w:rsid w:val="00091977"/>
    <w:rsid w:val="000949EA"/>
    <w:rsid w:val="000A0509"/>
    <w:rsid w:val="000A1991"/>
    <w:rsid w:val="000A2538"/>
    <w:rsid w:val="000A391F"/>
    <w:rsid w:val="000A5BE6"/>
    <w:rsid w:val="000B0181"/>
    <w:rsid w:val="000B162D"/>
    <w:rsid w:val="000B1C8A"/>
    <w:rsid w:val="000B33D1"/>
    <w:rsid w:val="000C5A33"/>
    <w:rsid w:val="000E0A2F"/>
    <w:rsid w:val="000E1439"/>
    <w:rsid w:val="000E67F4"/>
    <w:rsid w:val="000F0DA2"/>
    <w:rsid w:val="000F2943"/>
    <w:rsid w:val="000F5DCF"/>
    <w:rsid w:val="00100405"/>
    <w:rsid w:val="00102B81"/>
    <w:rsid w:val="00107E11"/>
    <w:rsid w:val="0011316F"/>
    <w:rsid w:val="00127EF6"/>
    <w:rsid w:val="00133838"/>
    <w:rsid w:val="001339DA"/>
    <w:rsid w:val="00143D83"/>
    <w:rsid w:val="00150FF1"/>
    <w:rsid w:val="00151BAF"/>
    <w:rsid w:val="001650AF"/>
    <w:rsid w:val="00170F8C"/>
    <w:rsid w:val="0017229A"/>
    <w:rsid w:val="00176C9E"/>
    <w:rsid w:val="00177661"/>
    <w:rsid w:val="001870ED"/>
    <w:rsid w:val="00191C63"/>
    <w:rsid w:val="001939B4"/>
    <w:rsid w:val="00197F5A"/>
    <w:rsid w:val="001A7C9A"/>
    <w:rsid w:val="001B6786"/>
    <w:rsid w:val="001B7C39"/>
    <w:rsid w:val="001B7C84"/>
    <w:rsid w:val="001C1AB2"/>
    <w:rsid w:val="001C29E4"/>
    <w:rsid w:val="001C4763"/>
    <w:rsid w:val="001C4B2B"/>
    <w:rsid w:val="001D2694"/>
    <w:rsid w:val="001D3C0E"/>
    <w:rsid w:val="001E29DB"/>
    <w:rsid w:val="001E4ED7"/>
    <w:rsid w:val="001F15D2"/>
    <w:rsid w:val="001F36EA"/>
    <w:rsid w:val="002077A7"/>
    <w:rsid w:val="0021058B"/>
    <w:rsid w:val="00212DE7"/>
    <w:rsid w:val="00226F2D"/>
    <w:rsid w:val="00232C91"/>
    <w:rsid w:val="002346C5"/>
    <w:rsid w:val="0023524A"/>
    <w:rsid w:val="00236327"/>
    <w:rsid w:val="002414BC"/>
    <w:rsid w:val="00243825"/>
    <w:rsid w:val="0024488D"/>
    <w:rsid w:val="00245F73"/>
    <w:rsid w:val="00246763"/>
    <w:rsid w:val="002468D9"/>
    <w:rsid w:val="0025142D"/>
    <w:rsid w:val="00255F9C"/>
    <w:rsid w:val="002608E8"/>
    <w:rsid w:val="002614B2"/>
    <w:rsid w:val="0026387F"/>
    <w:rsid w:val="00265A4A"/>
    <w:rsid w:val="00273C3C"/>
    <w:rsid w:val="00275991"/>
    <w:rsid w:val="00277424"/>
    <w:rsid w:val="00277AD4"/>
    <w:rsid w:val="002816B9"/>
    <w:rsid w:val="002859B8"/>
    <w:rsid w:val="002875F0"/>
    <w:rsid w:val="00296AD8"/>
    <w:rsid w:val="002979ED"/>
    <w:rsid w:val="002B3C9F"/>
    <w:rsid w:val="002B4619"/>
    <w:rsid w:val="002B66C8"/>
    <w:rsid w:val="002B6CF0"/>
    <w:rsid w:val="002B70A4"/>
    <w:rsid w:val="002D1889"/>
    <w:rsid w:val="002D6C05"/>
    <w:rsid w:val="002E07C5"/>
    <w:rsid w:val="002E12AA"/>
    <w:rsid w:val="002E2D4A"/>
    <w:rsid w:val="002E6C11"/>
    <w:rsid w:val="002F01A8"/>
    <w:rsid w:val="002F3E96"/>
    <w:rsid w:val="002F5320"/>
    <w:rsid w:val="002F6553"/>
    <w:rsid w:val="002F729A"/>
    <w:rsid w:val="00300560"/>
    <w:rsid w:val="0030509C"/>
    <w:rsid w:val="0030597A"/>
    <w:rsid w:val="00307DAB"/>
    <w:rsid w:val="00311CFA"/>
    <w:rsid w:val="003127FC"/>
    <w:rsid w:val="00315B2A"/>
    <w:rsid w:val="003165E5"/>
    <w:rsid w:val="0032028A"/>
    <w:rsid w:val="0032157D"/>
    <w:rsid w:val="00327499"/>
    <w:rsid w:val="00330641"/>
    <w:rsid w:val="00330C21"/>
    <w:rsid w:val="003421E5"/>
    <w:rsid w:val="00357F31"/>
    <w:rsid w:val="00360115"/>
    <w:rsid w:val="003615E0"/>
    <w:rsid w:val="00374040"/>
    <w:rsid w:val="00385C6A"/>
    <w:rsid w:val="00395116"/>
    <w:rsid w:val="003A0319"/>
    <w:rsid w:val="003A3B83"/>
    <w:rsid w:val="003A4683"/>
    <w:rsid w:val="003A476D"/>
    <w:rsid w:val="003A6660"/>
    <w:rsid w:val="003C1806"/>
    <w:rsid w:val="003C7F62"/>
    <w:rsid w:val="003D318E"/>
    <w:rsid w:val="003F05B2"/>
    <w:rsid w:val="003F1BB5"/>
    <w:rsid w:val="003F3F34"/>
    <w:rsid w:val="00400612"/>
    <w:rsid w:val="004175AA"/>
    <w:rsid w:val="00425924"/>
    <w:rsid w:val="00426CF1"/>
    <w:rsid w:val="004355C0"/>
    <w:rsid w:val="00441BE1"/>
    <w:rsid w:val="00442530"/>
    <w:rsid w:val="004431C2"/>
    <w:rsid w:val="004448ED"/>
    <w:rsid w:val="004460C2"/>
    <w:rsid w:val="00447022"/>
    <w:rsid w:val="00451DC2"/>
    <w:rsid w:val="004530B4"/>
    <w:rsid w:val="0045575D"/>
    <w:rsid w:val="00461E07"/>
    <w:rsid w:val="00463AA8"/>
    <w:rsid w:val="004675C1"/>
    <w:rsid w:val="00472609"/>
    <w:rsid w:val="004727F8"/>
    <w:rsid w:val="00476749"/>
    <w:rsid w:val="00476A3D"/>
    <w:rsid w:val="00481494"/>
    <w:rsid w:val="004872C8"/>
    <w:rsid w:val="0049734C"/>
    <w:rsid w:val="004B2630"/>
    <w:rsid w:val="004B3519"/>
    <w:rsid w:val="004C3A4A"/>
    <w:rsid w:val="004D1ADE"/>
    <w:rsid w:val="004D1C85"/>
    <w:rsid w:val="004E350C"/>
    <w:rsid w:val="004E6311"/>
    <w:rsid w:val="004E6DD5"/>
    <w:rsid w:val="004F0B7D"/>
    <w:rsid w:val="004F6912"/>
    <w:rsid w:val="00507504"/>
    <w:rsid w:val="00510B41"/>
    <w:rsid w:val="00515CE6"/>
    <w:rsid w:val="00517A2F"/>
    <w:rsid w:val="005217BF"/>
    <w:rsid w:val="00524FB0"/>
    <w:rsid w:val="00525B9A"/>
    <w:rsid w:val="005265A1"/>
    <w:rsid w:val="00526674"/>
    <w:rsid w:val="00527A8F"/>
    <w:rsid w:val="005466F6"/>
    <w:rsid w:val="005602FE"/>
    <w:rsid w:val="0056292E"/>
    <w:rsid w:val="0056706E"/>
    <w:rsid w:val="005675E1"/>
    <w:rsid w:val="005717DA"/>
    <w:rsid w:val="00577880"/>
    <w:rsid w:val="00586112"/>
    <w:rsid w:val="0058702C"/>
    <w:rsid w:val="00592147"/>
    <w:rsid w:val="00596F0A"/>
    <w:rsid w:val="005A4FE5"/>
    <w:rsid w:val="005C02A4"/>
    <w:rsid w:val="005C1938"/>
    <w:rsid w:val="005C2E95"/>
    <w:rsid w:val="005D039D"/>
    <w:rsid w:val="005D0C0D"/>
    <w:rsid w:val="005D5982"/>
    <w:rsid w:val="005E1334"/>
    <w:rsid w:val="005E2A89"/>
    <w:rsid w:val="005F2834"/>
    <w:rsid w:val="005F2962"/>
    <w:rsid w:val="005F47C5"/>
    <w:rsid w:val="005F51F1"/>
    <w:rsid w:val="0060272C"/>
    <w:rsid w:val="0061328F"/>
    <w:rsid w:val="00613419"/>
    <w:rsid w:val="00614939"/>
    <w:rsid w:val="00615773"/>
    <w:rsid w:val="00617B56"/>
    <w:rsid w:val="006256EB"/>
    <w:rsid w:val="00626EB4"/>
    <w:rsid w:val="00626FC1"/>
    <w:rsid w:val="006371CB"/>
    <w:rsid w:val="00647922"/>
    <w:rsid w:val="00650C71"/>
    <w:rsid w:val="00652258"/>
    <w:rsid w:val="00655605"/>
    <w:rsid w:val="00655C2F"/>
    <w:rsid w:val="00657C0B"/>
    <w:rsid w:val="00667701"/>
    <w:rsid w:val="00670375"/>
    <w:rsid w:val="006757A4"/>
    <w:rsid w:val="00675AEA"/>
    <w:rsid w:val="006859A6"/>
    <w:rsid w:val="006903E5"/>
    <w:rsid w:val="00691E10"/>
    <w:rsid w:val="00691E1F"/>
    <w:rsid w:val="00692940"/>
    <w:rsid w:val="00693F2E"/>
    <w:rsid w:val="006A171A"/>
    <w:rsid w:val="006A5E0E"/>
    <w:rsid w:val="006B3019"/>
    <w:rsid w:val="006B33B1"/>
    <w:rsid w:val="006B7602"/>
    <w:rsid w:val="006C10E3"/>
    <w:rsid w:val="006C4B71"/>
    <w:rsid w:val="006C7B76"/>
    <w:rsid w:val="006E536E"/>
    <w:rsid w:val="006E7044"/>
    <w:rsid w:val="006F335E"/>
    <w:rsid w:val="006F35E6"/>
    <w:rsid w:val="006F407C"/>
    <w:rsid w:val="006F7F74"/>
    <w:rsid w:val="0070512C"/>
    <w:rsid w:val="00705E6D"/>
    <w:rsid w:val="007275C3"/>
    <w:rsid w:val="00731AB6"/>
    <w:rsid w:val="007402CA"/>
    <w:rsid w:val="007406F6"/>
    <w:rsid w:val="0075182F"/>
    <w:rsid w:val="0075709F"/>
    <w:rsid w:val="00760E0B"/>
    <w:rsid w:val="00762A53"/>
    <w:rsid w:val="00765C91"/>
    <w:rsid w:val="00777ACD"/>
    <w:rsid w:val="00783B8B"/>
    <w:rsid w:val="00793C27"/>
    <w:rsid w:val="007A06D3"/>
    <w:rsid w:val="007A12C1"/>
    <w:rsid w:val="007A3AD4"/>
    <w:rsid w:val="007A64AF"/>
    <w:rsid w:val="007B3ABC"/>
    <w:rsid w:val="007B767C"/>
    <w:rsid w:val="007C21CC"/>
    <w:rsid w:val="007C4E2C"/>
    <w:rsid w:val="007C7ABE"/>
    <w:rsid w:val="007D3236"/>
    <w:rsid w:val="007D35DE"/>
    <w:rsid w:val="007E0DFC"/>
    <w:rsid w:val="007E117F"/>
    <w:rsid w:val="00801577"/>
    <w:rsid w:val="008044E4"/>
    <w:rsid w:val="008051F5"/>
    <w:rsid w:val="008064A0"/>
    <w:rsid w:val="00812177"/>
    <w:rsid w:val="0081271D"/>
    <w:rsid w:val="0081362A"/>
    <w:rsid w:val="00815330"/>
    <w:rsid w:val="00822AB7"/>
    <w:rsid w:val="0082480C"/>
    <w:rsid w:val="008311F6"/>
    <w:rsid w:val="00831E87"/>
    <w:rsid w:val="00832112"/>
    <w:rsid w:val="008339DF"/>
    <w:rsid w:val="00834D75"/>
    <w:rsid w:val="00837F4B"/>
    <w:rsid w:val="00842249"/>
    <w:rsid w:val="00842998"/>
    <w:rsid w:val="00850DF8"/>
    <w:rsid w:val="0085174A"/>
    <w:rsid w:val="008517CC"/>
    <w:rsid w:val="00857C37"/>
    <w:rsid w:val="00863104"/>
    <w:rsid w:val="00863885"/>
    <w:rsid w:val="00863F9F"/>
    <w:rsid w:val="00864671"/>
    <w:rsid w:val="00865ECD"/>
    <w:rsid w:val="0086714E"/>
    <w:rsid w:val="008768C0"/>
    <w:rsid w:val="0088473D"/>
    <w:rsid w:val="00891639"/>
    <w:rsid w:val="00893946"/>
    <w:rsid w:val="00894472"/>
    <w:rsid w:val="00897FB6"/>
    <w:rsid w:val="008A4008"/>
    <w:rsid w:val="008A4335"/>
    <w:rsid w:val="008A4FDD"/>
    <w:rsid w:val="008B05E2"/>
    <w:rsid w:val="008B0B0F"/>
    <w:rsid w:val="008B42A6"/>
    <w:rsid w:val="008B6C60"/>
    <w:rsid w:val="008B6E2C"/>
    <w:rsid w:val="008C3771"/>
    <w:rsid w:val="008C4D6E"/>
    <w:rsid w:val="008C7B39"/>
    <w:rsid w:val="008D32B5"/>
    <w:rsid w:val="008D3646"/>
    <w:rsid w:val="008D3764"/>
    <w:rsid w:val="008D6B68"/>
    <w:rsid w:val="008E1869"/>
    <w:rsid w:val="008E5ABB"/>
    <w:rsid w:val="008F3962"/>
    <w:rsid w:val="008F7249"/>
    <w:rsid w:val="008F793B"/>
    <w:rsid w:val="00900BBC"/>
    <w:rsid w:val="00901A87"/>
    <w:rsid w:val="0090524E"/>
    <w:rsid w:val="00912BFE"/>
    <w:rsid w:val="009141CC"/>
    <w:rsid w:val="00922E97"/>
    <w:rsid w:val="00925A22"/>
    <w:rsid w:val="00927D7D"/>
    <w:rsid w:val="00933CE8"/>
    <w:rsid w:val="00935736"/>
    <w:rsid w:val="00941A7F"/>
    <w:rsid w:val="00944CDA"/>
    <w:rsid w:val="00946F42"/>
    <w:rsid w:val="00947768"/>
    <w:rsid w:val="00952081"/>
    <w:rsid w:val="0095316F"/>
    <w:rsid w:val="00953728"/>
    <w:rsid w:val="009576D4"/>
    <w:rsid w:val="0095775E"/>
    <w:rsid w:val="00961392"/>
    <w:rsid w:val="0096202E"/>
    <w:rsid w:val="0096582F"/>
    <w:rsid w:val="009659E5"/>
    <w:rsid w:val="00973588"/>
    <w:rsid w:val="00975BF1"/>
    <w:rsid w:val="00980A31"/>
    <w:rsid w:val="009813BB"/>
    <w:rsid w:val="00991A72"/>
    <w:rsid w:val="00991DED"/>
    <w:rsid w:val="0099353F"/>
    <w:rsid w:val="009A66E9"/>
    <w:rsid w:val="009B01B7"/>
    <w:rsid w:val="009B3310"/>
    <w:rsid w:val="009B5554"/>
    <w:rsid w:val="009C11C1"/>
    <w:rsid w:val="009C13B7"/>
    <w:rsid w:val="009C4306"/>
    <w:rsid w:val="009C743A"/>
    <w:rsid w:val="009D1374"/>
    <w:rsid w:val="009D1597"/>
    <w:rsid w:val="009D5B63"/>
    <w:rsid w:val="009E217D"/>
    <w:rsid w:val="009E30C0"/>
    <w:rsid w:val="009E3688"/>
    <w:rsid w:val="009F6DAB"/>
    <w:rsid w:val="00A172AE"/>
    <w:rsid w:val="00A21AF2"/>
    <w:rsid w:val="00A310AA"/>
    <w:rsid w:val="00A343DA"/>
    <w:rsid w:val="00A35F65"/>
    <w:rsid w:val="00A36553"/>
    <w:rsid w:val="00A41AE9"/>
    <w:rsid w:val="00A4507F"/>
    <w:rsid w:val="00A508A0"/>
    <w:rsid w:val="00A5643D"/>
    <w:rsid w:val="00A65DF3"/>
    <w:rsid w:val="00A66856"/>
    <w:rsid w:val="00A84DD5"/>
    <w:rsid w:val="00A90C43"/>
    <w:rsid w:val="00A95599"/>
    <w:rsid w:val="00AA0286"/>
    <w:rsid w:val="00AA6FE3"/>
    <w:rsid w:val="00AB1B46"/>
    <w:rsid w:val="00AB1BE7"/>
    <w:rsid w:val="00AB2F6F"/>
    <w:rsid w:val="00AB4DA6"/>
    <w:rsid w:val="00AB6E6E"/>
    <w:rsid w:val="00AC2308"/>
    <w:rsid w:val="00AC58E1"/>
    <w:rsid w:val="00AC6849"/>
    <w:rsid w:val="00AD4320"/>
    <w:rsid w:val="00AD5A52"/>
    <w:rsid w:val="00AF2C7A"/>
    <w:rsid w:val="00AF4E6A"/>
    <w:rsid w:val="00AF7120"/>
    <w:rsid w:val="00B0378B"/>
    <w:rsid w:val="00B145E5"/>
    <w:rsid w:val="00B15A0E"/>
    <w:rsid w:val="00B21220"/>
    <w:rsid w:val="00B23D5B"/>
    <w:rsid w:val="00B264FB"/>
    <w:rsid w:val="00B277D4"/>
    <w:rsid w:val="00B3540D"/>
    <w:rsid w:val="00B3794F"/>
    <w:rsid w:val="00B40BA6"/>
    <w:rsid w:val="00B4708C"/>
    <w:rsid w:val="00B50D29"/>
    <w:rsid w:val="00B53447"/>
    <w:rsid w:val="00B55CBC"/>
    <w:rsid w:val="00B56652"/>
    <w:rsid w:val="00B60C47"/>
    <w:rsid w:val="00B6144F"/>
    <w:rsid w:val="00B66066"/>
    <w:rsid w:val="00B6742A"/>
    <w:rsid w:val="00B74D09"/>
    <w:rsid w:val="00B75E4D"/>
    <w:rsid w:val="00B76629"/>
    <w:rsid w:val="00B76646"/>
    <w:rsid w:val="00B80D34"/>
    <w:rsid w:val="00B826CD"/>
    <w:rsid w:val="00B83062"/>
    <w:rsid w:val="00B83F9C"/>
    <w:rsid w:val="00B84011"/>
    <w:rsid w:val="00B854A7"/>
    <w:rsid w:val="00B87FD6"/>
    <w:rsid w:val="00B91B59"/>
    <w:rsid w:val="00B95108"/>
    <w:rsid w:val="00BA231C"/>
    <w:rsid w:val="00BA4D2A"/>
    <w:rsid w:val="00BA5467"/>
    <w:rsid w:val="00BB0791"/>
    <w:rsid w:val="00BB1D8D"/>
    <w:rsid w:val="00BB2A04"/>
    <w:rsid w:val="00BB2A82"/>
    <w:rsid w:val="00BB70E8"/>
    <w:rsid w:val="00BC31C4"/>
    <w:rsid w:val="00BD11AE"/>
    <w:rsid w:val="00BD59BF"/>
    <w:rsid w:val="00BE3149"/>
    <w:rsid w:val="00BE6ED4"/>
    <w:rsid w:val="00BE7D5B"/>
    <w:rsid w:val="00C06C55"/>
    <w:rsid w:val="00C120EE"/>
    <w:rsid w:val="00C173D3"/>
    <w:rsid w:val="00C176E3"/>
    <w:rsid w:val="00C22526"/>
    <w:rsid w:val="00C27948"/>
    <w:rsid w:val="00C27E46"/>
    <w:rsid w:val="00C31728"/>
    <w:rsid w:val="00C3457F"/>
    <w:rsid w:val="00C3511B"/>
    <w:rsid w:val="00C370D5"/>
    <w:rsid w:val="00C377EC"/>
    <w:rsid w:val="00C37FDF"/>
    <w:rsid w:val="00C42DB8"/>
    <w:rsid w:val="00C4489C"/>
    <w:rsid w:val="00C62171"/>
    <w:rsid w:val="00C639D7"/>
    <w:rsid w:val="00C71D6F"/>
    <w:rsid w:val="00C74B1C"/>
    <w:rsid w:val="00C86418"/>
    <w:rsid w:val="00C90AB8"/>
    <w:rsid w:val="00C95ACC"/>
    <w:rsid w:val="00CA57DA"/>
    <w:rsid w:val="00CA7B55"/>
    <w:rsid w:val="00CB0144"/>
    <w:rsid w:val="00CB7BEE"/>
    <w:rsid w:val="00CC2665"/>
    <w:rsid w:val="00CC7CB5"/>
    <w:rsid w:val="00CD5899"/>
    <w:rsid w:val="00CE07F3"/>
    <w:rsid w:val="00CE0839"/>
    <w:rsid w:val="00D02694"/>
    <w:rsid w:val="00D105C1"/>
    <w:rsid w:val="00D13C58"/>
    <w:rsid w:val="00D2098A"/>
    <w:rsid w:val="00D20EA1"/>
    <w:rsid w:val="00D21535"/>
    <w:rsid w:val="00D22254"/>
    <w:rsid w:val="00D26D3D"/>
    <w:rsid w:val="00D26E20"/>
    <w:rsid w:val="00D26E76"/>
    <w:rsid w:val="00D33712"/>
    <w:rsid w:val="00D353E6"/>
    <w:rsid w:val="00D421EF"/>
    <w:rsid w:val="00D4333B"/>
    <w:rsid w:val="00D43BB1"/>
    <w:rsid w:val="00D44BBF"/>
    <w:rsid w:val="00D46FA3"/>
    <w:rsid w:val="00D5452F"/>
    <w:rsid w:val="00D61386"/>
    <w:rsid w:val="00D62670"/>
    <w:rsid w:val="00D6796E"/>
    <w:rsid w:val="00D70FD7"/>
    <w:rsid w:val="00D74EBF"/>
    <w:rsid w:val="00D75120"/>
    <w:rsid w:val="00D82C95"/>
    <w:rsid w:val="00D95215"/>
    <w:rsid w:val="00D978FE"/>
    <w:rsid w:val="00DA0BC3"/>
    <w:rsid w:val="00DB34EF"/>
    <w:rsid w:val="00DC2970"/>
    <w:rsid w:val="00DC2EAE"/>
    <w:rsid w:val="00DD6A23"/>
    <w:rsid w:val="00DE0E3A"/>
    <w:rsid w:val="00DE4399"/>
    <w:rsid w:val="00DF2992"/>
    <w:rsid w:val="00DF3FD0"/>
    <w:rsid w:val="00DF4BF6"/>
    <w:rsid w:val="00DF4E27"/>
    <w:rsid w:val="00DF79BC"/>
    <w:rsid w:val="00E11A72"/>
    <w:rsid w:val="00E12810"/>
    <w:rsid w:val="00E12A53"/>
    <w:rsid w:val="00E13648"/>
    <w:rsid w:val="00E24F45"/>
    <w:rsid w:val="00E25D2D"/>
    <w:rsid w:val="00E26814"/>
    <w:rsid w:val="00E32040"/>
    <w:rsid w:val="00E3353C"/>
    <w:rsid w:val="00E34B0C"/>
    <w:rsid w:val="00E35FCE"/>
    <w:rsid w:val="00E414D8"/>
    <w:rsid w:val="00E422F4"/>
    <w:rsid w:val="00E43380"/>
    <w:rsid w:val="00E4551B"/>
    <w:rsid w:val="00E457DA"/>
    <w:rsid w:val="00E46D40"/>
    <w:rsid w:val="00E53E73"/>
    <w:rsid w:val="00E61030"/>
    <w:rsid w:val="00E74666"/>
    <w:rsid w:val="00E74925"/>
    <w:rsid w:val="00E75688"/>
    <w:rsid w:val="00E76A3F"/>
    <w:rsid w:val="00E80565"/>
    <w:rsid w:val="00E872B7"/>
    <w:rsid w:val="00E8793C"/>
    <w:rsid w:val="00E90199"/>
    <w:rsid w:val="00E903C9"/>
    <w:rsid w:val="00E95F23"/>
    <w:rsid w:val="00E97533"/>
    <w:rsid w:val="00EA71BC"/>
    <w:rsid w:val="00EB051F"/>
    <w:rsid w:val="00EC10EA"/>
    <w:rsid w:val="00ED0D17"/>
    <w:rsid w:val="00ED3187"/>
    <w:rsid w:val="00ED5C95"/>
    <w:rsid w:val="00EE12BC"/>
    <w:rsid w:val="00EE700B"/>
    <w:rsid w:val="00EF6D6D"/>
    <w:rsid w:val="00F00C7D"/>
    <w:rsid w:val="00F02388"/>
    <w:rsid w:val="00F02A66"/>
    <w:rsid w:val="00F04596"/>
    <w:rsid w:val="00F048A4"/>
    <w:rsid w:val="00F136E6"/>
    <w:rsid w:val="00F163D4"/>
    <w:rsid w:val="00F23C0E"/>
    <w:rsid w:val="00F23C86"/>
    <w:rsid w:val="00F3468B"/>
    <w:rsid w:val="00F4440D"/>
    <w:rsid w:val="00F44E71"/>
    <w:rsid w:val="00F47633"/>
    <w:rsid w:val="00F500BE"/>
    <w:rsid w:val="00F5026F"/>
    <w:rsid w:val="00F50360"/>
    <w:rsid w:val="00F51667"/>
    <w:rsid w:val="00F54C16"/>
    <w:rsid w:val="00F55B1C"/>
    <w:rsid w:val="00F60905"/>
    <w:rsid w:val="00F6743E"/>
    <w:rsid w:val="00F72F23"/>
    <w:rsid w:val="00F7548B"/>
    <w:rsid w:val="00F76893"/>
    <w:rsid w:val="00F838B7"/>
    <w:rsid w:val="00F968C6"/>
    <w:rsid w:val="00FB0629"/>
    <w:rsid w:val="00FC24E4"/>
    <w:rsid w:val="00FC3868"/>
    <w:rsid w:val="00FD2A33"/>
    <w:rsid w:val="00FD2CCB"/>
    <w:rsid w:val="00FD6869"/>
    <w:rsid w:val="00FE00D5"/>
    <w:rsid w:val="00FE5F5A"/>
    <w:rsid w:val="00FE5F6E"/>
    <w:rsid w:val="00FF0037"/>
    <w:rsid w:val="00FF0123"/>
    <w:rsid w:val="00FF1F5A"/>
    <w:rsid w:val="00FF2549"/>
    <w:rsid w:val="00FF2A0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19830D"/>
  <w15:docId w15:val="{9F95AA01-9D24-4E7E-B75F-08B659DFE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lang w:val="es-ES_tradnl"/>
    </w:rPr>
  </w:style>
  <w:style w:type="paragraph" w:styleId="Ttulo2">
    <w:name w:val="heading 2"/>
    <w:basedOn w:val="Normal"/>
    <w:next w:val="Normal"/>
    <w:link w:val="Ttulo2Car"/>
    <w:uiPriority w:val="9"/>
    <w:unhideWhenUsed/>
    <w:qFormat/>
    <w:rsid w:val="00F4440D"/>
    <w:pPr>
      <w:keepNext/>
      <w:keepLines/>
      <w:numPr>
        <w:ilvl w:val="1"/>
        <w:numId w:val="11"/>
      </w:numPr>
      <w:spacing w:before="40" w:after="120" w:line="259" w:lineRule="auto"/>
      <w:jc w:val="both"/>
      <w:outlineLvl w:val="1"/>
    </w:pPr>
    <w:rPr>
      <w:rFonts w:ascii="Arial" w:eastAsiaTheme="majorEastAsia" w:hAnsi="Arial" w:cstheme="majorBidi"/>
      <w:b/>
      <w:caps/>
      <w:noProof w:val="0"/>
      <w:color w:val="000000" w:themeColor="text1"/>
      <w:sz w:val="20"/>
      <w:szCs w:val="26"/>
      <w:lang w:val="es-MX"/>
    </w:rPr>
  </w:style>
  <w:style w:type="paragraph" w:styleId="Ttulo3">
    <w:name w:val="heading 3"/>
    <w:basedOn w:val="Normal"/>
    <w:next w:val="Normal"/>
    <w:link w:val="Ttulo3Car"/>
    <w:uiPriority w:val="9"/>
    <w:unhideWhenUsed/>
    <w:qFormat/>
    <w:rsid w:val="00F4440D"/>
    <w:pPr>
      <w:keepNext/>
      <w:keepLines/>
      <w:numPr>
        <w:ilvl w:val="2"/>
        <w:numId w:val="11"/>
      </w:numPr>
      <w:spacing w:before="40" w:after="120" w:line="259" w:lineRule="auto"/>
      <w:ind w:left="720"/>
      <w:jc w:val="both"/>
      <w:outlineLvl w:val="2"/>
    </w:pPr>
    <w:rPr>
      <w:rFonts w:ascii="Arial" w:eastAsiaTheme="majorEastAsia" w:hAnsi="Arial" w:cstheme="majorBidi"/>
      <w:b/>
      <w:caps/>
      <w:noProof w:val="0"/>
      <w:color w:val="000000" w:themeColor="text1"/>
      <w:sz w:val="20"/>
      <w:szCs w:val="24"/>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617B56"/>
    <w:pPr>
      <w:ind w:left="720"/>
      <w:contextualSpacing/>
    </w:pPr>
  </w:style>
  <w:style w:type="character" w:styleId="Hipervnculo">
    <w:name w:val="Hyperlink"/>
    <w:basedOn w:val="Fuentedeprrafopredeter"/>
    <w:uiPriority w:val="99"/>
    <w:unhideWhenUsed/>
    <w:rsid w:val="00812177"/>
    <w:rPr>
      <w:color w:val="0000FF" w:themeColor="hyperlink"/>
      <w:u w:val="single"/>
    </w:rPr>
  </w:style>
  <w:style w:type="paragraph" w:styleId="Encabezado">
    <w:name w:val="header"/>
    <w:basedOn w:val="Normal"/>
    <w:link w:val="EncabezadoCar"/>
    <w:uiPriority w:val="99"/>
    <w:unhideWhenUsed/>
    <w:rsid w:val="00FF003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F0037"/>
  </w:style>
  <w:style w:type="paragraph" w:styleId="Textoindependiente">
    <w:name w:val="Body Text"/>
    <w:basedOn w:val="Normal"/>
    <w:link w:val="TextoindependienteCar"/>
    <w:uiPriority w:val="99"/>
    <w:semiHidden/>
    <w:unhideWhenUsed/>
    <w:rsid w:val="00FF0037"/>
    <w:pPr>
      <w:spacing w:after="120"/>
    </w:pPr>
  </w:style>
  <w:style w:type="character" w:customStyle="1" w:styleId="TextoindependienteCar">
    <w:name w:val="Texto independiente Car"/>
    <w:basedOn w:val="Fuentedeprrafopredeter"/>
    <w:link w:val="Textoindependiente"/>
    <w:uiPriority w:val="99"/>
    <w:semiHidden/>
    <w:rsid w:val="00FF0037"/>
  </w:style>
  <w:style w:type="paragraph" w:customStyle="1" w:styleId="Piedepgina1">
    <w:name w:val="Pie de página1"/>
    <w:basedOn w:val="Normal"/>
    <w:next w:val="Piedepgina"/>
    <w:link w:val="PiedepginaCar"/>
    <w:uiPriority w:val="99"/>
    <w:unhideWhenUsed/>
    <w:rsid w:val="00FF0037"/>
    <w:pPr>
      <w:tabs>
        <w:tab w:val="center" w:pos="4419"/>
        <w:tab w:val="right" w:pos="8838"/>
      </w:tabs>
      <w:spacing w:after="0" w:line="240" w:lineRule="auto"/>
    </w:pPr>
    <w:rPr>
      <w:sz w:val="24"/>
      <w:lang w:val="es-MX"/>
    </w:rPr>
  </w:style>
  <w:style w:type="character" w:customStyle="1" w:styleId="PiedepginaCar">
    <w:name w:val="Pie de página Car"/>
    <w:basedOn w:val="Fuentedeprrafopredeter"/>
    <w:link w:val="Piedepgina1"/>
    <w:uiPriority w:val="99"/>
    <w:rsid w:val="00FF0037"/>
    <w:rPr>
      <w:sz w:val="24"/>
      <w:lang w:val="es-MX"/>
    </w:rPr>
  </w:style>
  <w:style w:type="table" w:customStyle="1" w:styleId="Tablaconcuadrcula1">
    <w:name w:val="Tabla con cuadrícula1"/>
    <w:basedOn w:val="Tablanormal"/>
    <w:next w:val="Tablaconcuadrcula"/>
    <w:uiPriority w:val="39"/>
    <w:rsid w:val="00FF00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inespaciado1">
    <w:name w:val="Sin espaciado1"/>
    <w:next w:val="Sinespaciado"/>
    <w:uiPriority w:val="1"/>
    <w:qFormat/>
    <w:rsid w:val="00FF0037"/>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FF0037"/>
    <w:rPr>
      <w:sz w:val="20"/>
      <w:szCs w:val="20"/>
      <w:lang w:val="es-MX"/>
    </w:rPr>
  </w:style>
  <w:style w:type="paragraph" w:customStyle="1" w:styleId="Car1">
    <w:name w:val="Car1"/>
    <w:basedOn w:val="Normal"/>
    <w:next w:val="Textonotapie"/>
    <w:uiPriority w:val="99"/>
    <w:unhideWhenUsed/>
    <w:qFormat/>
    <w:rsid w:val="00FF0037"/>
    <w:pPr>
      <w:spacing w:after="0" w:line="240" w:lineRule="auto"/>
    </w:pPr>
    <w:rPr>
      <w:sz w:val="20"/>
      <w:szCs w:val="20"/>
      <w:lang w:val="es-MX"/>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F,R"/>
    <w:basedOn w:val="Fuentedeprrafopredeter"/>
    <w:link w:val="Appelnotedebasde"/>
    <w:uiPriority w:val="99"/>
    <w:unhideWhenUsed/>
    <w:qFormat/>
    <w:rsid w:val="00FF0037"/>
    <w:rPr>
      <w:vertAlign w:val="superscript"/>
    </w:rPr>
  </w:style>
  <w:style w:type="paragraph" w:styleId="Piedepgina">
    <w:name w:val="footer"/>
    <w:basedOn w:val="Normal"/>
    <w:link w:val="PiedepginaCar1"/>
    <w:uiPriority w:val="99"/>
    <w:unhideWhenUsed/>
    <w:rsid w:val="00FF0037"/>
    <w:pPr>
      <w:tabs>
        <w:tab w:val="center" w:pos="4419"/>
        <w:tab w:val="right" w:pos="8838"/>
      </w:tabs>
      <w:spacing w:after="0" w:line="240" w:lineRule="auto"/>
    </w:pPr>
  </w:style>
  <w:style w:type="character" w:customStyle="1" w:styleId="PiedepginaCar1">
    <w:name w:val="Pie de página Car1"/>
    <w:basedOn w:val="Fuentedeprrafopredeter"/>
    <w:link w:val="Piedepgina"/>
    <w:uiPriority w:val="99"/>
    <w:rsid w:val="00FF0037"/>
  </w:style>
  <w:style w:type="table" w:styleId="Tablaconcuadrcula">
    <w:name w:val="Table Grid"/>
    <w:basedOn w:val="Tablanormal"/>
    <w:uiPriority w:val="59"/>
    <w:rsid w:val="00FF00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FF0037"/>
    <w:pPr>
      <w:spacing w:after="0" w:line="240" w:lineRule="auto"/>
    </w:p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FF0037"/>
    <w:pPr>
      <w:spacing w:after="0" w:line="240" w:lineRule="auto"/>
    </w:pPr>
    <w:rPr>
      <w:sz w:val="20"/>
      <w:szCs w:val="20"/>
      <w:lang w:val="es-MX"/>
    </w:rPr>
  </w:style>
  <w:style w:type="character" w:customStyle="1" w:styleId="TextonotapieCar1">
    <w:name w:val="Texto nota pie Car1"/>
    <w:basedOn w:val="Fuentedeprrafopredeter"/>
    <w:uiPriority w:val="99"/>
    <w:semiHidden/>
    <w:rsid w:val="00FF0037"/>
    <w:rPr>
      <w:sz w:val="20"/>
      <w:szCs w:val="20"/>
    </w:rPr>
  </w:style>
  <w:style w:type="paragraph" w:styleId="Textodeglobo">
    <w:name w:val="Balloon Text"/>
    <w:basedOn w:val="Normal"/>
    <w:link w:val="TextodegloboCar"/>
    <w:uiPriority w:val="99"/>
    <w:semiHidden/>
    <w:unhideWhenUsed/>
    <w:rsid w:val="00FF0037"/>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F0037"/>
    <w:rPr>
      <w:rFonts w:ascii="Tahoma" w:hAnsi="Tahoma" w:cs="Tahoma"/>
      <w:sz w:val="16"/>
      <w:szCs w:val="16"/>
    </w:rPr>
  </w:style>
  <w:style w:type="paragraph" w:styleId="NormalWeb">
    <w:name w:val="Normal (Web)"/>
    <w:basedOn w:val="Normal"/>
    <w:uiPriority w:val="99"/>
    <w:semiHidden/>
    <w:unhideWhenUsed/>
    <w:rsid w:val="0024488D"/>
    <w:rPr>
      <w:rFonts w:ascii="Times New Roman" w:hAnsi="Times New Roman" w:cs="Times New Roman"/>
      <w:sz w:val="24"/>
      <w:szCs w:val="24"/>
    </w:rPr>
  </w:style>
  <w:style w:type="paragraph" w:customStyle="1" w:styleId="Appelnotedebasde">
    <w:name w:val="Appel note de bas de..."/>
    <w:basedOn w:val="Normal"/>
    <w:link w:val="Refdenotaalpie"/>
    <w:uiPriority w:val="99"/>
    <w:rsid w:val="0024488D"/>
    <w:pPr>
      <w:spacing w:after="160" w:line="240" w:lineRule="exact"/>
    </w:pPr>
    <w:rPr>
      <w:vertAlign w:val="superscript"/>
    </w:rPr>
  </w:style>
  <w:style w:type="paragraph" w:customStyle="1" w:styleId="InviasNormal">
    <w:name w:val="Invias Normal"/>
    <w:basedOn w:val="Normal"/>
    <w:link w:val="InviasNormalCar"/>
    <w:qFormat/>
    <w:rsid w:val="00442530"/>
    <w:pPr>
      <w:tabs>
        <w:tab w:val="left" w:pos="-142"/>
      </w:tabs>
      <w:autoSpaceDE w:val="0"/>
      <w:autoSpaceDN w:val="0"/>
      <w:adjustRightInd w:val="0"/>
      <w:spacing w:before="120" w:after="240" w:line="240" w:lineRule="auto"/>
      <w:jc w:val="both"/>
    </w:pPr>
    <w:rPr>
      <w:rFonts w:ascii="Arial" w:eastAsia="Times New Roman" w:hAnsi="Arial" w:cs="Arial"/>
      <w:szCs w:val="24"/>
      <w:lang w:eastAsia="es-ES"/>
    </w:rPr>
  </w:style>
  <w:style w:type="character" w:customStyle="1" w:styleId="InviasNormalCar">
    <w:name w:val="Invias Normal Car"/>
    <w:link w:val="InviasNormal"/>
    <w:rsid w:val="00442530"/>
    <w:rPr>
      <w:rFonts w:ascii="Arial" w:eastAsia="Times New Roman" w:hAnsi="Arial" w:cs="Arial"/>
      <w:szCs w:val="24"/>
      <w:lang w:eastAsia="es-ES"/>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AB2F6F"/>
  </w:style>
  <w:style w:type="character" w:styleId="Refdecomentario">
    <w:name w:val="annotation reference"/>
    <w:basedOn w:val="Fuentedeprrafopredeter"/>
    <w:uiPriority w:val="99"/>
    <w:semiHidden/>
    <w:unhideWhenUsed/>
    <w:rsid w:val="005F51F1"/>
    <w:rPr>
      <w:sz w:val="16"/>
      <w:szCs w:val="16"/>
    </w:rPr>
  </w:style>
  <w:style w:type="paragraph" w:styleId="Textocomentario">
    <w:name w:val="annotation text"/>
    <w:basedOn w:val="Normal"/>
    <w:link w:val="TextocomentarioCar"/>
    <w:uiPriority w:val="99"/>
    <w:unhideWhenUsed/>
    <w:rsid w:val="005F51F1"/>
    <w:pPr>
      <w:spacing w:line="240" w:lineRule="auto"/>
    </w:pPr>
    <w:rPr>
      <w:sz w:val="20"/>
      <w:szCs w:val="20"/>
    </w:rPr>
  </w:style>
  <w:style w:type="character" w:customStyle="1" w:styleId="TextocomentarioCar">
    <w:name w:val="Texto comentario Car"/>
    <w:basedOn w:val="Fuentedeprrafopredeter"/>
    <w:link w:val="Textocomentario"/>
    <w:uiPriority w:val="99"/>
    <w:rsid w:val="005F51F1"/>
    <w:rPr>
      <w:sz w:val="20"/>
      <w:szCs w:val="20"/>
    </w:rPr>
  </w:style>
  <w:style w:type="paragraph" w:styleId="Asuntodelcomentario">
    <w:name w:val="annotation subject"/>
    <w:basedOn w:val="Textocomentario"/>
    <w:next w:val="Textocomentario"/>
    <w:link w:val="AsuntodelcomentarioCar"/>
    <w:uiPriority w:val="99"/>
    <w:semiHidden/>
    <w:unhideWhenUsed/>
    <w:rsid w:val="005F51F1"/>
    <w:rPr>
      <w:b/>
      <w:bCs/>
    </w:rPr>
  </w:style>
  <w:style w:type="character" w:customStyle="1" w:styleId="AsuntodelcomentarioCar">
    <w:name w:val="Asunto del comentario Car"/>
    <w:basedOn w:val="TextocomentarioCar"/>
    <w:link w:val="Asuntodelcomentario"/>
    <w:uiPriority w:val="99"/>
    <w:semiHidden/>
    <w:rsid w:val="005F51F1"/>
    <w:rPr>
      <w:b/>
      <w:bCs/>
      <w:sz w:val="20"/>
      <w:szCs w:val="20"/>
    </w:rPr>
  </w:style>
  <w:style w:type="character" w:styleId="Mencinsinresolver">
    <w:name w:val="Unresolved Mention"/>
    <w:basedOn w:val="Fuentedeprrafopredeter"/>
    <w:uiPriority w:val="99"/>
    <w:semiHidden/>
    <w:unhideWhenUsed/>
    <w:rsid w:val="0025142D"/>
    <w:rPr>
      <w:color w:val="605E5C"/>
      <w:shd w:val="clear" w:color="auto" w:fill="E1DFDD"/>
    </w:rPr>
  </w:style>
  <w:style w:type="character" w:styleId="Hipervnculovisitado">
    <w:name w:val="FollowedHyperlink"/>
    <w:basedOn w:val="Fuentedeprrafopredeter"/>
    <w:uiPriority w:val="99"/>
    <w:semiHidden/>
    <w:unhideWhenUsed/>
    <w:rsid w:val="006F35E6"/>
    <w:rPr>
      <w:color w:val="800080" w:themeColor="followedHyperlink"/>
      <w:u w:val="single"/>
    </w:rPr>
  </w:style>
  <w:style w:type="character" w:customStyle="1" w:styleId="Ttulo2Car">
    <w:name w:val="Título 2 Car"/>
    <w:basedOn w:val="Fuentedeprrafopredeter"/>
    <w:link w:val="Ttulo2"/>
    <w:uiPriority w:val="9"/>
    <w:rsid w:val="00F4440D"/>
    <w:rPr>
      <w:rFonts w:ascii="Arial" w:eastAsiaTheme="majorEastAsia" w:hAnsi="Arial" w:cstheme="majorBidi"/>
      <w:b/>
      <w:caps/>
      <w:color w:val="000000" w:themeColor="text1"/>
      <w:sz w:val="20"/>
      <w:szCs w:val="26"/>
      <w:lang w:val="es-MX"/>
    </w:rPr>
  </w:style>
  <w:style w:type="character" w:customStyle="1" w:styleId="Ttulo3Car">
    <w:name w:val="Título 3 Car"/>
    <w:basedOn w:val="Fuentedeprrafopredeter"/>
    <w:link w:val="Ttulo3"/>
    <w:uiPriority w:val="9"/>
    <w:rsid w:val="00F4440D"/>
    <w:rPr>
      <w:rFonts w:ascii="Arial" w:eastAsiaTheme="majorEastAsia" w:hAnsi="Arial" w:cstheme="majorBidi"/>
      <w:b/>
      <w:caps/>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3294162">
      <w:bodyDiv w:val="1"/>
      <w:marLeft w:val="0"/>
      <w:marRight w:val="0"/>
      <w:marTop w:val="0"/>
      <w:marBottom w:val="0"/>
      <w:divBdr>
        <w:top w:val="none" w:sz="0" w:space="0" w:color="auto"/>
        <w:left w:val="none" w:sz="0" w:space="0" w:color="auto"/>
        <w:bottom w:val="none" w:sz="0" w:space="0" w:color="auto"/>
        <w:right w:val="none" w:sz="0" w:space="0" w:color="auto"/>
      </w:divBdr>
    </w:div>
    <w:div w:id="951284942">
      <w:bodyDiv w:val="1"/>
      <w:marLeft w:val="0"/>
      <w:marRight w:val="0"/>
      <w:marTop w:val="0"/>
      <w:marBottom w:val="0"/>
      <w:divBdr>
        <w:top w:val="none" w:sz="0" w:space="0" w:color="auto"/>
        <w:left w:val="none" w:sz="0" w:space="0" w:color="auto"/>
        <w:bottom w:val="none" w:sz="0" w:space="0" w:color="auto"/>
        <w:right w:val="none" w:sz="0" w:space="0" w:color="auto"/>
      </w:divBdr>
    </w:div>
    <w:div w:id="1049913048">
      <w:bodyDiv w:val="1"/>
      <w:marLeft w:val="0"/>
      <w:marRight w:val="0"/>
      <w:marTop w:val="0"/>
      <w:marBottom w:val="0"/>
      <w:divBdr>
        <w:top w:val="none" w:sz="0" w:space="0" w:color="auto"/>
        <w:left w:val="none" w:sz="0" w:space="0" w:color="auto"/>
        <w:bottom w:val="none" w:sz="0" w:space="0" w:color="auto"/>
        <w:right w:val="none" w:sz="0" w:space="0" w:color="auto"/>
      </w:divBdr>
    </w:div>
    <w:div w:id="1101874101">
      <w:bodyDiv w:val="1"/>
      <w:marLeft w:val="0"/>
      <w:marRight w:val="0"/>
      <w:marTop w:val="0"/>
      <w:marBottom w:val="0"/>
      <w:divBdr>
        <w:top w:val="none" w:sz="0" w:space="0" w:color="auto"/>
        <w:left w:val="none" w:sz="0" w:space="0" w:color="auto"/>
        <w:bottom w:val="none" w:sz="0" w:space="0" w:color="auto"/>
        <w:right w:val="none" w:sz="0" w:space="0" w:color="auto"/>
      </w:divBdr>
    </w:div>
    <w:div w:id="1798143074">
      <w:bodyDiv w:val="1"/>
      <w:marLeft w:val="0"/>
      <w:marRight w:val="0"/>
      <w:marTop w:val="0"/>
      <w:marBottom w:val="0"/>
      <w:divBdr>
        <w:top w:val="none" w:sz="0" w:space="0" w:color="auto"/>
        <w:left w:val="none" w:sz="0" w:space="0" w:color="auto"/>
        <w:bottom w:val="none" w:sz="0" w:space="0" w:color="auto"/>
        <w:right w:val="none" w:sz="0" w:space="0" w:color="auto"/>
      </w:divBdr>
    </w:div>
    <w:div w:id="2007122209">
      <w:bodyDiv w:val="1"/>
      <w:marLeft w:val="0"/>
      <w:marRight w:val="0"/>
      <w:marTop w:val="0"/>
      <w:marBottom w:val="0"/>
      <w:divBdr>
        <w:top w:val="none" w:sz="0" w:space="0" w:color="auto"/>
        <w:left w:val="none" w:sz="0" w:space="0" w:color="auto"/>
        <w:bottom w:val="none" w:sz="0" w:space="0" w:color="auto"/>
        <w:right w:val="none" w:sz="0" w:space="0" w:color="auto"/>
      </w:divBdr>
    </w:div>
    <w:div w:id="2109504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076F783-ECAC-4CC1-ADE5-E3ADD8B79EA6}">
  <ds:schemaRefs>
    <ds:schemaRef ds:uri="http://schemas.openxmlformats.org/officeDocument/2006/bibliography"/>
  </ds:schemaRefs>
</ds:datastoreItem>
</file>

<file path=customXml/itemProps2.xml><?xml version="1.0" encoding="utf-8"?>
<ds:datastoreItem xmlns:ds="http://schemas.openxmlformats.org/officeDocument/2006/customXml" ds:itemID="{64C46B95-473C-4B2B-92E7-8FAA642FB5AA}">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4B9EEF24-A6C4-4614-BA54-51F9A9F674A9}"/>
</file>

<file path=customXml/itemProps4.xml><?xml version="1.0" encoding="utf-8"?>
<ds:datastoreItem xmlns:ds="http://schemas.openxmlformats.org/officeDocument/2006/customXml" ds:itemID="{9507F045-A35A-49EE-ABE6-D0B45232C61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12</Pages>
  <Words>3942</Words>
  <Characters>21685</Characters>
  <Application>Microsoft Office Word</Application>
  <DocSecurity>0</DocSecurity>
  <Lines>180</Lines>
  <Paragraphs>51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ACER</dc:creator>
  <cp:lastModifiedBy>alfredo benavides zarate</cp:lastModifiedBy>
  <cp:revision>7</cp:revision>
  <dcterms:created xsi:type="dcterms:W3CDTF">2021-09-13T20:26:00Z</dcterms:created>
  <dcterms:modified xsi:type="dcterms:W3CDTF">2021-09-14T02:58:00Z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