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2E8F" w14:textId="77777777" w:rsidR="00FE4C26" w:rsidRPr="00827DBF" w:rsidRDefault="00FE4C26" w:rsidP="00827DBF">
      <w:pPr>
        <w:spacing w:before="240"/>
        <w:jc w:val="right"/>
        <w:rPr>
          <w:rFonts w:ascii="Arial" w:eastAsia="Calibri" w:hAnsi="Arial" w:cs="Arial"/>
          <w:b/>
          <w:bCs/>
          <w:color w:val="161616" w:themeColor="background1" w:themeShade="1A"/>
          <w:sz w:val="16"/>
          <w:szCs w:val="16"/>
          <w:lang w:val="es-ES_tradnl"/>
        </w:rPr>
      </w:pPr>
      <w:bookmarkStart w:id="0" w:name="_Hlk47949675"/>
      <w:r w:rsidRPr="00827DBF">
        <w:rPr>
          <w:rFonts w:ascii="Arial" w:hAnsi="Arial" w:cs="Arial"/>
          <w:b/>
          <w:bCs/>
          <w:color w:val="161616" w:themeColor="background1" w:themeShade="1A"/>
          <w:sz w:val="16"/>
          <w:szCs w:val="16"/>
          <w:lang w:val="es-ES_tradnl" w:eastAsia="es-ES"/>
        </w:rPr>
        <w:t>CCE-DES-FM-17</w:t>
      </w:r>
    </w:p>
    <w:p w14:paraId="0E5EA32E" w14:textId="583257F8" w:rsidR="003F18DE" w:rsidRPr="00827DBF" w:rsidRDefault="003F18DE" w:rsidP="00827DBF">
      <w:pPr>
        <w:spacing w:before="240"/>
        <w:jc w:val="both"/>
        <w:rPr>
          <w:rFonts w:ascii="Arial" w:eastAsia="Calibri" w:hAnsi="Arial" w:cs="Arial"/>
          <w:b/>
          <w:color w:val="161616" w:themeColor="background1" w:themeShade="1A"/>
          <w:sz w:val="22"/>
          <w:szCs w:val="22"/>
          <w:lang w:val="es-ES_tradnl" w:eastAsia="en-US"/>
        </w:rPr>
      </w:pPr>
      <w:bookmarkStart w:id="1" w:name="_Hlk52928496"/>
      <w:bookmarkEnd w:id="0"/>
    </w:p>
    <w:bookmarkEnd w:id="1"/>
    <w:p w14:paraId="3463F909" w14:textId="77777777" w:rsidR="002E0122" w:rsidRPr="00827DBF" w:rsidRDefault="002E0122" w:rsidP="00827DBF">
      <w:pPr>
        <w:jc w:val="both"/>
        <w:rPr>
          <w:rFonts w:ascii="Arial" w:eastAsia="Calibri" w:hAnsi="Arial" w:cs="Arial"/>
          <w:sz w:val="22"/>
          <w:szCs w:val="22"/>
          <w:lang w:val="es-ES_tradnl" w:eastAsia="en-US"/>
        </w:rPr>
      </w:pPr>
      <w:r w:rsidRPr="00827DBF">
        <w:rPr>
          <w:rFonts w:ascii="Arial" w:eastAsia="Calibri" w:hAnsi="Arial" w:cs="Arial"/>
          <w:b/>
          <w:sz w:val="22"/>
          <w:szCs w:val="22"/>
          <w:lang w:val="es-ES_tradnl" w:eastAsia="en-US"/>
        </w:rPr>
        <w:t xml:space="preserve">PRINCIPIO DE SELECCIÓN OBJETIVA </w:t>
      </w:r>
      <w:bookmarkStart w:id="2" w:name="_Hlk39676694"/>
      <w:r w:rsidRPr="00827DBF">
        <w:rPr>
          <w:rFonts w:ascii="Arial" w:eastAsia="Calibri" w:hAnsi="Arial" w:cs="Arial"/>
          <w:b/>
          <w:sz w:val="22"/>
          <w:szCs w:val="22"/>
          <w:lang w:val="es-MX" w:eastAsia="en-US"/>
        </w:rPr>
        <w:t>–</w:t>
      </w:r>
      <w:bookmarkEnd w:id="2"/>
      <w:r w:rsidRPr="00827DBF">
        <w:rPr>
          <w:rFonts w:ascii="Arial" w:eastAsia="Calibri" w:hAnsi="Arial" w:cs="Arial"/>
          <w:b/>
          <w:sz w:val="22"/>
          <w:szCs w:val="22"/>
          <w:lang w:val="es-ES_tradnl" w:eastAsia="en-US"/>
        </w:rPr>
        <w:t xml:space="preserve"> Rechazo de ofertas </w:t>
      </w:r>
      <w:r w:rsidRPr="00827DBF">
        <w:rPr>
          <w:rFonts w:ascii="Arial" w:eastAsia="Calibri" w:hAnsi="Arial" w:cs="Arial"/>
          <w:b/>
          <w:sz w:val="22"/>
          <w:szCs w:val="22"/>
          <w:lang w:val="es-MX" w:eastAsia="en-US"/>
        </w:rPr>
        <w:t>–</w:t>
      </w:r>
      <w:r w:rsidRPr="00827DBF">
        <w:rPr>
          <w:rFonts w:ascii="Arial" w:eastAsia="Calibri" w:hAnsi="Arial" w:cs="Arial"/>
          <w:b/>
          <w:sz w:val="22"/>
          <w:szCs w:val="22"/>
          <w:lang w:val="es-ES_tradnl" w:eastAsia="en-US"/>
        </w:rPr>
        <w:t xml:space="preserve"> Subsanabilidad</w:t>
      </w:r>
    </w:p>
    <w:p w14:paraId="7A55AF00" w14:textId="77777777" w:rsidR="002E0122" w:rsidRPr="00827DBF" w:rsidRDefault="002E0122" w:rsidP="00827DBF">
      <w:pPr>
        <w:jc w:val="both"/>
        <w:rPr>
          <w:rFonts w:ascii="Arial" w:eastAsia="Calibri" w:hAnsi="Arial" w:cs="Arial"/>
          <w:sz w:val="20"/>
          <w:szCs w:val="20"/>
          <w:lang w:val="es-ES_tradnl" w:eastAsia="en-US"/>
        </w:rPr>
      </w:pPr>
    </w:p>
    <w:p w14:paraId="0A95664D" w14:textId="6B4D7BA2" w:rsidR="003D49CB" w:rsidRPr="00827DBF" w:rsidRDefault="002E0122" w:rsidP="00827DBF">
      <w:pPr>
        <w:jc w:val="both"/>
        <w:rPr>
          <w:rFonts w:ascii="Arial" w:eastAsia="Calibri" w:hAnsi="Arial" w:cs="Arial"/>
          <w:sz w:val="20"/>
          <w:szCs w:val="20"/>
          <w:lang w:val="es-ES" w:eastAsia="en-US"/>
        </w:rPr>
      </w:pPr>
      <w:r w:rsidRPr="00827DBF">
        <w:rPr>
          <w:rFonts w:ascii="Arial" w:eastAsia="Calibri" w:hAnsi="Arial" w:cs="Arial"/>
          <w:sz w:val="20"/>
          <w:szCs w:val="20"/>
          <w:lang w:val="es-ES" w:eastAsia="en-US"/>
        </w:rPr>
        <w:t>[…]</w:t>
      </w:r>
      <w:r w:rsidR="003D49CB">
        <w:rPr>
          <w:rFonts w:ascii="Arial" w:eastAsia="Calibri" w:hAnsi="Arial" w:cs="Arial"/>
          <w:sz w:val="20"/>
          <w:szCs w:val="20"/>
          <w:lang w:val="es-ES" w:eastAsia="en-US"/>
        </w:rPr>
        <w:t xml:space="preserve"> </w:t>
      </w:r>
      <w:r w:rsidR="003D49CB" w:rsidRPr="003D49CB">
        <w:rPr>
          <w:rFonts w:ascii="Arial" w:eastAsia="Calibri" w:hAnsi="Arial" w:cs="Arial"/>
          <w:sz w:val="20"/>
          <w:szCs w:val="20"/>
          <w:lang w:val="es-ES" w:eastAsia="en-US"/>
        </w:rPr>
        <w:t xml:space="preserve">en torno a la </w:t>
      </w:r>
      <w:proofErr w:type="spellStart"/>
      <w:r w:rsidR="003D49CB" w:rsidRPr="003D49CB">
        <w:rPr>
          <w:rFonts w:ascii="Arial" w:eastAsia="Calibri" w:hAnsi="Arial" w:cs="Arial"/>
          <w:sz w:val="20"/>
          <w:szCs w:val="20"/>
          <w:lang w:val="es-ES" w:eastAsia="en-US"/>
        </w:rPr>
        <w:t>subsanabilidad</w:t>
      </w:r>
      <w:proofErr w:type="spellEnd"/>
      <w:r w:rsidR="003D49CB" w:rsidRPr="003D49CB">
        <w:rPr>
          <w:rFonts w:ascii="Arial" w:eastAsia="Calibri" w:hAnsi="Arial" w:cs="Arial"/>
          <w:sz w:val="20"/>
          <w:szCs w:val="20"/>
          <w:lang w:val="es-ES" w:eastAsia="en-US"/>
        </w:rPr>
        <w:t xml:space="preserve"> de las ofertas y teniendo en cuenta las reglas dispuestas en la Ley 1882 de 2018, se establece que 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Por ello, si los requisitos no afectan la asignación de puntaje y tienen el carácter de habilitantes para la participación en el proceso de contratación, se entiende que, en principio, pueden subsanarse. De este modo, en el caso de la subasta y la mínima cuantía no debe perderse de vista que para este tipo de procedimientos también serán aplicables los criterios desarrollados en este concepto, para determinar si los documentos faltantes son susceptibles o no de subsanación, analizando si inciden o no en la asignación de puntaje y si se relacionan con el cumplimiento de un requisito que constituye una circunstancia ocurrida con anterioridad o con posterioridad al cierre del proceso.</w:t>
      </w:r>
    </w:p>
    <w:p w14:paraId="3A6444F3" w14:textId="77777777" w:rsidR="002E0122" w:rsidRPr="00827DBF" w:rsidRDefault="002E0122" w:rsidP="00827DBF">
      <w:pPr>
        <w:jc w:val="both"/>
        <w:rPr>
          <w:rFonts w:ascii="Arial" w:eastAsia="Calibri" w:hAnsi="Arial" w:cs="Arial"/>
          <w:sz w:val="20"/>
          <w:szCs w:val="20"/>
          <w:lang w:val="es-ES_tradnl" w:eastAsia="en-US"/>
        </w:rPr>
      </w:pPr>
    </w:p>
    <w:p w14:paraId="33B5F68B" w14:textId="0A2C1857" w:rsidR="002E0122" w:rsidRPr="00827DBF" w:rsidRDefault="002E0122" w:rsidP="00827DBF">
      <w:pPr>
        <w:jc w:val="both"/>
        <w:rPr>
          <w:rFonts w:ascii="Arial" w:eastAsia="Calibri" w:hAnsi="Arial" w:cs="Arial"/>
          <w:b/>
          <w:sz w:val="22"/>
          <w:szCs w:val="22"/>
          <w:lang w:val="es-MX" w:eastAsia="en-US"/>
        </w:rPr>
      </w:pPr>
      <w:r w:rsidRPr="00827DBF">
        <w:rPr>
          <w:rFonts w:ascii="Arial" w:eastAsia="Calibri" w:hAnsi="Arial" w:cs="Arial"/>
          <w:b/>
          <w:color w:val="000000" w:themeColor="text1"/>
          <w:sz w:val="22"/>
          <w:szCs w:val="22"/>
          <w:lang w:val="es-ES_tradnl" w:eastAsia="en-US"/>
        </w:rPr>
        <w:t xml:space="preserve">SUBSANABILIDAD DE LAS OFERTAS </w:t>
      </w:r>
      <w:r w:rsidRPr="00827DBF">
        <w:rPr>
          <w:rFonts w:ascii="Arial" w:eastAsia="Calibri" w:hAnsi="Arial" w:cs="Arial"/>
          <w:b/>
          <w:sz w:val="22"/>
          <w:szCs w:val="22"/>
          <w:lang w:val="es-MX" w:eastAsia="en-US"/>
        </w:rPr>
        <w:t>– Alcance de la regla – Ley 1882 de 2018 –Criterio material</w:t>
      </w:r>
      <w:r w:rsidR="00DA1614" w:rsidRPr="00827DBF">
        <w:rPr>
          <w:rFonts w:ascii="Arial" w:eastAsia="Calibri" w:hAnsi="Arial" w:cs="Arial"/>
          <w:b/>
          <w:sz w:val="22"/>
          <w:szCs w:val="22"/>
          <w:lang w:val="es-MX" w:eastAsia="en-US"/>
        </w:rPr>
        <w:t xml:space="preserve"> – Ámbito temporal </w:t>
      </w:r>
    </w:p>
    <w:p w14:paraId="66C00B49" w14:textId="77777777" w:rsidR="002E0122" w:rsidRPr="00827DBF" w:rsidRDefault="002E0122" w:rsidP="00827DBF">
      <w:pPr>
        <w:jc w:val="both"/>
        <w:rPr>
          <w:rFonts w:ascii="Arial" w:eastAsia="Calibri" w:hAnsi="Arial" w:cs="Arial"/>
          <w:b/>
          <w:sz w:val="22"/>
          <w:szCs w:val="22"/>
          <w:lang w:val="es-MX" w:eastAsia="en-US"/>
        </w:rPr>
      </w:pPr>
    </w:p>
    <w:p w14:paraId="707DD2B9" w14:textId="658B2A20" w:rsidR="002E0122" w:rsidRPr="00827DBF" w:rsidRDefault="002E0122" w:rsidP="00827DBF">
      <w:pPr>
        <w:jc w:val="both"/>
        <w:rPr>
          <w:rFonts w:ascii="Arial" w:eastAsiaTheme="minorHAnsi" w:hAnsi="Arial" w:cs="Arial"/>
          <w:sz w:val="20"/>
          <w:szCs w:val="20"/>
          <w:lang w:val="es-ES_tradnl" w:eastAsia="en-US"/>
        </w:rPr>
      </w:pPr>
      <w:r w:rsidRPr="00827DBF">
        <w:rPr>
          <w:rFonts w:ascii="Arial" w:eastAsiaTheme="minorHAnsi" w:hAnsi="Arial" w:cs="Arial"/>
          <w:sz w:val="20"/>
          <w:szCs w:val="20"/>
          <w:lang w:val="es-ES_tradnl" w:eastAsia="en-U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w:t>
      </w:r>
    </w:p>
    <w:p w14:paraId="1E319A56" w14:textId="77777777" w:rsidR="00117961" w:rsidRPr="00827DBF" w:rsidRDefault="00117961" w:rsidP="00827DBF">
      <w:pPr>
        <w:spacing w:before="240"/>
        <w:ind w:right="51"/>
        <w:jc w:val="both"/>
        <w:rPr>
          <w:rFonts w:ascii="Arial" w:eastAsiaTheme="minorHAnsi" w:hAnsi="Arial" w:cs="Arial"/>
          <w:sz w:val="20"/>
          <w:szCs w:val="20"/>
          <w:lang w:val="es-ES_tradnl" w:eastAsia="en-US"/>
        </w:rPr>
      </w:pPr>
      <w:r w:rsidRPr="00827DBF">
        <w:rPr>
          <w:rFonts w:ascii="Arial" w:eastAsiaTheme="minorHAnsi" w:hAnsi="Arial" w:cs="Arial"/>
          <w:sz w:val="20"/>
          <w:szCs w:val="20"/>
          <w:lang w:val="es-ES_tradnl" w:eastAsia="en-US"/>
        </w:rPr>
        <w:t xml:space="preserve">De lo anterior se colige que, a la luz de la Ley 1882 de 2018 se introdujo una modificación frente al criterio material, directamente relacionado con los aspectos subsanables según el cual: «los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62CC6E00" w14:textId="77777777" w:rsidR="002C1890" w:rsidRPr="00827DBF" w:rsidRDefault="002C1890" w:rsidP="00827DBF">
      <w:pPr>
        <w:jc w:val="both"/>
        <w:rPr>
          <w:rFonts w:ascii="Arial" w:eastAsiaTheme="minorHAnsi" w:hAnsi="Arial" w:cs="Arial"/>
          <w:sz w:val="20"/>
          <w:szCs w:val="20"/>
          <w:lang w:val="es-ES_tradnl" w:eastAsia="en-US"/>
        </w:rPr>
      </w:pPr>
    </w:p>
    <w:p w14:paraId="4A0ACC64" w14:textId="344C69B3" w:rsidR="008D07D1" w:rsidRPr="00827DBF" w:rsidRDefault="00145478" w:rsidP="00827DBF">
      <w:pPr>
        <w:jc w:val="both"/>
        <w:rPr>
          <w:rFonts w:ascii="Arial" w:eastAsia="Calibri" w:hAnsi="Arial" w:cs="Arial"/>
          <w:sz w:val="20"/>
          <w:szCs w:val="20"/>
          <w:lang w:val="es-ES_tradnl" w:eastAsia="en-US"/>
        </w:rPr>
      </w:pPr>
      <w:r w:rsidRPr="00827DBF">
        <w:rPr>
          <w:rFonts w:ascii="Arial" w:eastAsia="Calibri" w:hAnsi="Arial" w:cs="Arial"/>
          <w:sz w:val="20"/>
          <w:szCs w:val="20"/>
          <w:lang w:val="es-ES" w:eastAsia="en-US"/>
        </w:rPr>
        <w:t xml:space="preserve">[…] </w:t>
      </w:r>
      <w:r w:rsidR="002E0122" w:rsidRPr="00827DBF">
        <w:rPr>
          <w:rFonts w:ascii="Arial" w:eastAsiaTheme="minorHAnsi" w:hAnsi="Arial" w:cs="Arial"/>
          <w:sz w:val="20"/>
          <w:szCs w:val="20"/>
          <w:lang w:val="es-ES_tradnl" w:eastAsia="en-US"/>
        </w:rPr>
        <w:t xml:space="preserve">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002E0122" w:rsidRPr="00827DBF">
        <w:rPr>
          <w:rFonts w:ascii="Arial" w:eastAsia="Calibri" w:hAnsi="Arial" w:cs="Arial"/>
          <w:sz w:val="20"/>
          <w:szCs w:val="20"/>
          <w:lang w:val="es-ES_tradnl" w:eastAsia="en-US"/>
        </w:rPr>
        <w:t xml:space="preserve">de selección a través del sistema de subasta; en el último los documentos o requisitos subsanables pueden y deben solicitarse hasta el momento previo a </w:t>
      </w:r>
      <w:r w:rsidR="00074853" w:rsidRPr="00074853">
        <w:rPr>
          <w:rFonts w:ascii="Arial" w:eastAsia="Calibri" w:hAnsi="Arial" w:cs="Arial"/>
          <w:sz w:val="20"/>
          <w:szCs w:val="20"/>
          <w:lang w:val="es-ES_tradnl" w:eastAsia="en-US"/>
        </w:rPr>
        <w:t>la celebración de la audiencia</w:t>
      </w:r>
      <w:r w:rsidR="002E0122" w:rsidRPr="00827DBF">
        <w:rPr>
          <w:rFonts w:ascii="Arial" w:eastAsia="Calibri" w:hAnsi="Arial" w:cs="Arial"/>
          <w:sz w:val="20"/>
          <w:szCs w:val="20"/>
          <w:lang w:val="es-ES_tradnl" w:eastAsia="en-US"/>
        </w:rPr>
        <w:t xml:space="preserve">.  </w:t>
      </w:r>
    </w:p>
    <w:p w14:paraId="664EFEAD" w14:textId="77777777" w:rsidR="008D07D1" w:rsidRPr="00827DBF" w:rsidRDefault="008D07D1" w:rsidP="00827DBF">
      <w:pPr>
        <w:jc w:val="both"/>
        <w:rPr>
          <w:rFonts w:ascii="Arial" w:eastAsia="Calibri" w:hAnsi="Arial" w:cs="Arial"/>
          <w:sz w:val="20"/>
          <w:szCs w:val="20"/>
          <w:lang w:val="es-ES_tradnl" w:eastAsia="en-US"/>
        </w:rPr>
      </w:pPr>
    </w:p>
    <w:p w14:paraId="77C68D28" w14:textId="4D45936E" w:rsidR="00D42064" w:rsidRPr="00827DBF" w:rsidRDefault="008D07D1" w:rsidP="00827DBF">
      <w:pPr>
        <w:jc w:val="both"/>
        <w:rPr>
          <w:rFonts w:ascii="Arial" w:eastAsia="Calibri" w:hAnsi="Arial" w:cs="Arial"/>
          <w:b/>
          <w:color w:val="000000" w:themeColor="text1"/>
          <w:sz w:val="22"/>
          <w:szCs w:val="22"/>
          <w:lang w:val="es-ES_tradnl" w:eastAsia="en-US"/>
        </w:rPr>
      </w:pPr>
      <w:r w:rsidRPr="00827DBF">
        <w:rPr>
          <w:rFonts w:ascii="Arial" w:eastAsia="Calibri" w:hAnsi="Arial" w:cs="Arial"/>
          <w:b/>
          <w:color w:val="000000" w:themeColor="text1"/>
          <w:sz w:val="22"/>
          <w:szCs w:val="22"/>
          <w:lang w:val="es-ES_tradnl" w:eastAsia="en-US"/>
        </w:rPr>
        <w:t xml:space="preserve">PRINCIPIO DE ECONOMIA – Plazos – Perentorios – Preclusivos </w:t>
      </w:r>
    </w:p>
    <w:p w14:paraId="64F627D5" w14:textId="75B5712D" w:rsidR="007B55F8" w:rsidRPr="00827DBF" w:rsidRDefault="007B55F8" w:rsidP="00827DBF">
      <w:pPr>
        <w:spacing w:before="240"/>
        <w:jc w:val="both"/>
        <w:rPr>
          <w:rFonts w:ascii="Arial" w:eastAsiaTheme="minorHAnsi" w:hAnsi="Arial" w:cs="Arial"/>
          <w:sz w:val="20"/>
          <w:szCs w:val="20"/>
          <w:lang w:val="es-ES_tradnl" w:eastAsia="en-US"/>
        </w:rPr>
      </w:pPr>
      <w:r w:rsidRPr="00827DBF">
        <w:rPr>
          <w:rFonts w:ascii="Arial" w:eastAsia="Calibri" w:hAnsi="Arial" w:cs="Arial"/>
          <w:sz w:val="20"/>
          <w:szCs w:val="20"/>
          <w:lang w:val="es-ES" w:eastAsia="en-US"/>
        </w:rPr>
        <w:t xml:space="preserve">[…] </w:t>
      </w:r>
      <w:r w:rsidRPr="00827DBF">
        <w:rPr>
          <w:rFonts w:ascii="Arial" w:eastAsiaTheme="minorHAnsi" w:hAnsi="Arial" w:cs="Arial"/>
          <w:sz w:val="20"/>
          <w:szCs w:val="20"/>
          <w:lang w:val="es-ES_tradnl" w:eastAsia="en-US"/>
        </w:rPr>
        <w:t>todo lo anterior, debe ser interpretado y aplicado sin menoscabo del principio de Economía, consagrado en el Estatuto General de Contratación de la Administración Pública, en virtud del cual, conforme lo establece el numeral 1° del artículo 25, en las normas de selección y en los pliegos de condiciones o términos de referencia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2631588" w14:textId="77777777" w:rsidR="007B55F8" w:rsidRPr="00827DBF" w:rsidRDefault="007B55F8" w:rsidP="00827DBF">
      <w:pPr>
        <w:jc w:val="both"/>
        <w:rPr>
          <w:rFonts w:ascii="Arial" w:eastAsiaTheme="minorHAnsi" w:hAnsi="Arial" w:cs="Arial"/>
          <w:sz w:val="20"/>
          <w:szCs w:val="20"/>
          <w:lang w:val="es-ES_tradnl" w:eastAsia="en-US"/>
        </w:rPr>
      </w:pPr>
    </w:p>
    <w:p w14:paraId="3E3DE59D" w14:textId="4248958D" w:rsidR="007B55F8" w:rsidRPr="00AC5727" w:rsidRDefault="007B55F8" w:rsidP="00827DBF">
      <w:pPr>
        <w:jc w:val="both"/>
        <w:rPr>
          <w:rFonts w:ascii="Arial" w:eastAsiaTheme="minorHAnsi" w:hAnsi="Arial" w:cs="Arial"/>
          <w:sz w:val="20"/>
          <w:szCs w:val="20"/>
          <w:lang w:val="es-ES_tradnl" w:eastAsia="en-US"/>
        </w:rPr>
      </w:pPr>
      <w:r w:rsidRPr="00827DBF">
        <w:rPr>
          <w:rFonts w:ascii="Arial" w:eastAsiaTheme="minorHAnsi" w:hAnsi="Arial" w:cs="Arial"/>
          <w:sz w:val="20"/>
          <w:szCs w:val="20"/>
          <w:lang w:val="es-ES_tradnl" w:eastAsia="en-US"/>
        </w:rPr>
        <w:lastRenderedPageBreak/>
        <w:t xml:space="preserve">En este orden de ideas, estos plazos, que corresponden a las distintas etapas del proceso de selección, son perentorios y preclusivos, como lo consagra el numeral 1° del artículo 25 del Estatuto General de Contratación de </w:t>
      </w:r>
      <w:r w:rsidR="00AC5727">
        <w:rPr>
          <w:rFonts w:ascii="Arial" w:eastAsiaTheme="minorHAnsi" w:hAnsi="Arial" w:cs="Arial"/>
          <w:sz w:val="20"/>
          <w:szCs w:val="20"/>
          <w:lang w:val="es-ES_tradnl" w:eastAsia="en-US"/>
        </w:rPr>
        <w:t xml:space="preserve">la </w:t>
      </w:r>
      <w:r w:rsidRPr="00827DBF">
        <w:rPr>
          <w:rFonts w:ascii="Arial" w:eastAsiaTheme="minorHAnsi" w:hAnsi="Arial" w:cs="Arial"/>
          <w:sz w:val="20"/>
          <w:szCs w:val="20"/>
          <w:lang w:val="es-ES_tradnl" w:eastAsia="en-US"/>
        </w:rPr>
        <w:t xml:space="preserve">Administración Pública. El término perentorio, significa </w:t>
      </w:r>
      <w:r w:rsidR="00AC5727" w:rsidRPr="00AC5727">
        <w:rPr>
          <w:rFonts w:ascii="Arial" w:eastAsiaTheme="minorHAnsi" w:hAnsi="Arial" w:cs="Arial"/>
          <w:sz w:val="20"/>
          <w:szCs w:val="20"/>
          <w:lang w:val="es-ES_tradnl" w:eastAsia="en-US"/>
        </w:rPr>
        <w:t>«</w:t>
      </w:r>
      <w:r w:rsidRPr="00827DBF">
        <w:rPr>
          <w:rFonts w:ascii="Arial" w:eastAsiaTheme="minorHAnsi" w:hAnsi="Arial" w:cs="Arial"/>
          <w:sz w:val="20"/>
          <w:szCs w:val="20"/>
          <w:lang w:val="es-ES_tradnl" w:eastAsia="en-US"/>
        </w:rPr>
        <w:t>Improrrogable</w:t>
      </w:r>
      <w:r w:rsidR="00AC5727" w:rsidRPr="00AC5727">
        <w:rPr>
          <w:rFonts w:ascii="Arial" w:eastAsiaTheme="minorHAnsi" w:hAnsi="Arial" w:cs="Arial"/>
          <w:sz w:val="20"/>
          <w:szCs w:val="20"/>
          <w:lang w:val="es-ES_tradnl" w:eastAsia="en-US"/>
        </w:rPr>
        <w:t>»</w:t>
      </w:r>
      <w:r w:rsidRPr="00827DBF">
        <w:rPr>
          <w:rFonts w:ascii="Arial" w:eastAsiaTheme="minorHAnsi" w:hAnsi="Arial" w:cs="Arial"/>
          <w:sz w:val="20"/>
          <w:szCs w:val="20"/>
          <w:lang w:val="es-ES_tradnl" w:eastAsia="en-US"/>
        </w:rPr>
        <w:t>, cuyo transcurso extingue o cancela la facultad o el derecho que durante él no se ejerció. Por otra parte, el término preclusivo, significa, que el carácter del proceso se divide en</w:t>
      </w:r>
      <w:r w:rsidRPr="00AC5727">
        <w:rPr>
          <w:rFonts w:ascii="Arial" w:eastAsiaTheme="minorHAnsi" w:hAnsi="Arial" w:cs="Arial"/>
          <w:sz w:val="20"/>
          <w:szCs w:val="20"/>
          <w:lang w:val="es-ES_tradnl" w:eastAsia="en-US"/>
        </w:rPr>
        <w:t xml:space="preserve"> etapas, cada una de las cuales finaliza la anterior, sin otorgar la posibilidad de replantear lo ya decidido en ella.</w:t>
      </w:r>
    </w:p>
    <w:p w14:paraId="3A88DDF1" w14:textId="252704F6" w:rsidR="00310659" w:rsidRPr="00AC5727" w:rsidRDefault="00310659" w:rsidP="00827DBF">
      <w:pPr>
        <w:jc w:val="both"/>
        <w:rPr>
          <w:rFonts w:ascii="Arial" w:eastAsiaTheme="minorHAnsi" w:hAnsi="Arial" w:cs="Arial"/>
          <w:sz w:val="20"/>
          <w:szCs w:val="20"/>
          <w:lang w:val="es-ES_tradnl" w:eastAsia="en-US"/>
        </w:rPr>
      </w:pPr>
    </w:p>
    <w:p w14:paraId="2B024044" w14:textId="3C04F395" w:rsidR="00B17249" w:rsidRPr="002A551B" w:rsidRDefault="00B17249" w:rsidP="00827DBF">
      <w:pPr>
        <w:spacing w:before="240"/>
        <w:jc w:val="both"/>
        <w:rPr>
          <w:rFonts w:ascii="Arial" w:eastAsiaTheme="minorHAnsi" w:hAnsi="Arial" w:cs="Arial"/>
          <w:b/>
          <w:bCs/>
          <w:sz w:val="22"/>
          <w:szCs w:val="22"/>
          <w:lang w:val="es-ES_tradnl" w:eastAsia="en-US"/>
        </w:rPr>
      </w:pPr>
      <w:bookmarkStart w:id="3" w:name="_Hlk106711536"/>
      <w:r w:rsidRPr="002A551B">
        <w:rPr>
          <w:rFonts w:ascii="Arial" w:eastAsiaTheme="minorHAnsi" w:hAnsi="Arial" w:cs="Arial"/>
          <w:sz w:val="22"/>
          <w:szCs w:val="22"/>
          <w:lang w:val="es-ES_tradnl" w:eastAsia="en-US"/>
        </w:rPr>
        <w:t xml:space="preserve"> </w:t>
      </w:r>
      <w:r w:rsidR="00400B00" w:rsidRPr="002A551B">
        <w:rPr>
          <w:rFonts w:ascii="Arial" w:eastAsiaTheme="minorHAnsi" w:hAnsi="Arial" w:cs="Arial"/>
          <w:b/>
          <w:bCs/>
          <w:sz w:val="22"/>
          <w:szCs w:val="22"/>
          <w:lang w:val="es-ES_tradnl" w:eastAsia="en-US"/>
        </w:rPr>
        <w:t xml:space="preserve">SUBSANABILIDAD DE LAS OFERTAS – Alcance </w:t>
      </w:r>
    </w:p>
    <w:bookmarkEnd w:id="3"/>
    <w:p w14:paraId="4D9E7774" w14:textId="7F61F700" w:rsidR="004F510B" w:rsidRPr="002A551B" w:rsidRDefault="00400B00" w:rsidP="00827DBF">
      <w:pPr>
        <w:spacing w:before="240"/>
        <w:jc w:val="both"/>
        <w:rPr>
          <w:rFonts w:ascii="Arial" w:eastAsiaTheme="minorHAnsi" w:hAnsi="Arial" w:cs="Arial"/>
          <w:sz w:val="20"/>
          <w:szCs w:val="20"/>
          <w:lang w:val="es-ES_tradnl" w:eastAsia="en-US"/>
        </w:rPr>
      </w:pPr>
      <w:r w:rsidRPr="002A551B">
        <w:rPr>
          <w:rFonts w:ascii="Arial" w:eastAsia="Calibri" w:hAnsi="Arial" w:cs="Arial"/>
          <w:sz w:val="20"/>
          <w:szCs w:val="20"/>
          <w:lang w:val="es-ES_tradnl" w:eastAsia="en-US"/>
        </w:rPr>
        <w:t xml:space="preserve">Así las cosas, el </w:t>
      </w:r>
      <w:r w:rsidRPr="002A551B">
        <w:rPr>
          <w:rFonts w:ascii="Arial" w:eastAsiaTheme="minorHAnsi" w:hAnsi="Arial" w:cs="Arial"/>
          <w:sz w:val="20"/>
          <w:szCs w:val="20"/>
          <w:lang w:val="es-ES_tradnl" w:eastAsia="en-US"/>
        </w:rPr>
        <w:t xml:space="preserve">artículo 5 de la Ley 1882 de 2018 determinó el plazo máximo para subsanar las ofertas, como se estudió anteriormente, de tal suerte que, siempre que se haya otorgado la posibilidad para ejercer oportunamente el derecho a subsanar, por ejemplo, la acreditación de un requisito habilitante, </w:t>
      </w:r>
      <w:r w:rsidRPr="002A551B">
        <w:rPr>
          <w:rFonts w:ascii="Arial" w:eastAsia="Calibri" w:hAnsi="Arial" w:cs="Arial"/>
          <w:sz w:val="20"/>
          <w:szCs w:val="20"/>
          <w:lang w:val="es-ES_tradnl" w:eastAsia="en-US"/>
        </w:rPr>
        <w:t xml:space="preserve">la entidad estatal deberá rechazar las ofertas de quienes no aporten la información solicitada por ella una vez </w:t>
      </w:r>
      <w:r w:rsidRPr="002A551B">
        <w:rPr>
          <w:rFonts w:ascii="Arial" w:eastAsiaTheme="minorHAnsi" w:hAnsi="Arial" w:cs="Arial"/>
          <w:sz w:val="20"/>
          <w:szCs w:val="20"/>
          <w:lang w:val="es-ES_tradnl" w:eastAsia="en-US"/>
        </w:rPr>
        <w:t xml:space="preserve">agotado el referido plazo. Sin embargo, en cada caso, las entidades públicas deberán evaluar si, conforme con la regla de </w:t>
      </w:r>
      <w:proofErr w:type="spellStart"/>
      <w:r w:rsidRPr="002A551B">
        <w:rPr>
          <w:rFonts w:ascii="Arial" w:eastAsiaTheme="minorHAnsi" w:hAnsi="Arial" w:cs="Arial"/>
          <w:sz w:val="20"/>
          <w:szCs w:val="20"/>
          <w:lang w:val="es-ES_tradnl" w:eastAsia="en-US"/>
        </w:rPr>
        <w:t>subsanabilidad</w:t>
      </w:r>
      <w:proofErr w:type="spellEnd"/>
      <w:r w:rsidRPr="002A551B">
        <w:rPr>
          <w:rFonts w:ascii="Arial" w:eastAsiaTheme="minorHAnsi" w:hAnsi="Arial" w:cs="Arial"/>
          <w:sz w:val="20"/>
          <w:szCs w:val="20"/>
          <w:lang w:val="es-ES_tradnl" w:eastAsia="en-US"/>
        </w:rPr>
        <w:t xml:space="preserve"> </w:t>
      </w:r>
      <w:proofErr w:type="gramStart"/>
      <w:r w:rsidRPr="002A551B">
        <w:rPr>
          <w:rFonts w:ascii="Arial" w:eastAsiaTheme="minorHAnsi" w:hAnsi="Arial" w:cs="Arial"/>
          <w:sz w:val="20"/>
          <w:szCs w:val="20"/>
          <w:lang w:val="es-ES_tradnl" w:eastAsia="en-US"/>
        </w:rPr>
        <w:t>precitada,  procede</w:t>
      </w:r>
      <w:proofErr w:type="gramEnd"/>
      <w:r w:rsidRPr="002A551B">
        <w:rPr>
          <w:rFonts w:ascii="Arial" w:eastAsiaTheme="minorHAnsi" w:hAnsi="Arial" w:cs="Arial"/>
          <w:sz w:val="20"/>
          <w:szCs w:val="20"/>
          <w:lang w:val="es-ES_tradnl" w:eastAsia="en-US"/>
        </w:rPr>
        <w:t xml:space="preserve"> la subsanación para lo cual, debe tenerse en cuenta que se trate de un requisito habilitante y que el evento a acreditar sea una circunstancia anterior al cierre del proceso.</w:t>
      </w:r>
    </w:p>
    <w:p w14:paraId="7046682D" w14:textId="53596C1D" w:rsidR="00B012D7" w:rsidRPr="002A551B" w:rsidRDefault="00B012D7" w:rsidP="00827DBF">
      <w:pPr>
        <w:spacing w:before="240"/>
        <w:jc w:val="both"/>
        <w:rPr>
          <w:rFonts w:ascii="Arial" w:eastAsia="Calibri" w:hAnsi="Arial" w:cs="Arial"/>
          <w:color w:val="161616" w:themeColor="background1" w:themeShade="1A"/>
          <w:sz w:val="20"/>
          <w:szCs w:val="20"/>
          <w:lang w:val="es-ES_tradnl"/>
        </w:rPr>
      </w:pPr>
      <w:r w:rsidRPr="002A551B">
        <w:rPr>
          <w:rFonts w:ascii="Arial" w:eastAsia="Calibri" w:hAnsi="Arial" w:cs="Arial"/>
          <w:color w:val="161616" w:themeColor="background1" w:themeShade="1A"/>
          <w:sz w:val="20"/>
          <w:szCs w:val="20"/>
          <w:lang w:val="es-ES_tradnl"/>
        </w:rPr>
        <w:br w:type="page"/>
      </w:r>
    </w:p>
    <w:p w14:paraId="2A7DFDE7" w14:textId="449D11B7" w:rsidR="00532CFA" w:rsidRDefault="00532CFA" w:rsidP="00532CFA">
      <w:pPr>
        <w:jc w:val="right"/>
        <w:rPr>
          <w:rFonts w:ascii="Arial" w:hAnsi="Arial" w:cs="Arial"/>
          <w:color w:val="161616" w:themeColor="background1" w:themeShade="1A"/>
          <w:sz w:val="22"/>
          <w:szCs w:val="22"/>
          <w:lang w:val="es-ES_tradnl"/>
        </w:rPr>
      </w:pPr>
      <w:bookmarkStart w:id="4" w:name="_Hlk70510939"/>
    </w:p>
    <w:p w14:paraId="58BD714C" w14:textId="77777777" w:rsidR="00532CFA" w:rsidRDefault="00532CFA" w:rsidP="00532CFA">
      <w:pPr>
        <w:jc w:val="right"/>
        <w:rPr>
          <w:rFonts w:ascii="Arial" w:hAnsi="Arial" w:cs="Arial"/>
          <w:color w:val="161616" w:themeColor="background1" w:themeShade="1A"/>
          <w:sz w:val="22"/>
          <w:szCs w:val="22"/>
          <w:lang w:val="es-ES_tradnl"/>
        </w:rPr>
      </w:pPr>
    </w:p>
    <w:p w14:paraId="25AADEFE" w14:textId="77777777" w:rsidR="00532CFA" w:rsidRDefault="00532CFA" w:rsidP="00532CFA">
      <w:pPr>
        <w:jc w:val="right"/>
        <w:rPr>
          <w:rFonts w:ascii="Arial" w:hAnsi="Arial" w:cs="Arial"/>
          <w:color w:val="161616" w:themeColor="background1" w:themeShade="1A"/>
          <w:sz w:val="22"/>
          <w:szCs w:val="22"/>
          <w:lang w:val="es-ES_tradnl"/>
        </w:rPr>
      </w:pPr>
    </w:p>
    <w:p w14:paraId="23904C26" w14:textId="3E823EAA" w:rsidR="00536E8B" w:rsidRDefault="00532CFA" w:rsidP="00532CFA">
      <w:pPr>
        <w:jc w:val="right"/>
        <w:rPr>
          <w:rFonts w:ascii="Arial" w:hAnsi="Arial" w:cs="Arial"/>
          <w:color w:val="161616" w:themeColor="background1" w:themeShade="1A"/>
          <w:sz w:val="22"/>
          <w:szCs w:val="22"/>
          <w:lang w:val="es-ES_tradnl"/>
        </w:rPr>
      </w:pPr>
      <w:r w:rsidRPr="00532CFA">
        <w:rPr>
          <w:rFonts w:ascii="Arial" w:hAnsi="Arial" w:cs="Arial"/>
          <w:color w:val="161616" w:themeColor="background1" w:themeShade="1A"/>
          <w:sz w:val="22"/>
          <w:szCs w:val="22"/>
          <w:lang w:val="es-ES_tradnl"/>
        </w:rPr>
        <w:drawing>
          <wp:inline distT="0" distB="0" distL="0" distR="0" wp14:anchorId="1F2A24E4" wp14:editId="049B8E2A">
            <wp:extent cx="3005302" cy="798653"/>
            <wp:effectExtent l="0" t="0" r="5080" b="1905"/>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3033051" cy="806027"/>
                    </a:xfrm>
                    <a:prstGeom prst="rect">
                      <a:avLst/>
                    </a:prstGeom>
                  </pic:spPr>
                </pic:pic>
              </a:graphicData>
            </a:graphic>
          </wp:inline>
        </w:drawing>
      </w:r>
    </w:p>
    <w:p w14:paraId="22BB6124" w14:textId="10E62E81" w:rsidR="00F5266E" w:rsidRDefault="00F5266E" w:rsidP="00827DBF">
      <w:pPr>
        <w:rPr>
          <w:rFonts w:ascii="Arial" w:hAnsi="Arial" w:cs="Arial"/>
          <w:color w:val="161616" w:themeColor="background1" w:themeShade="1A"/>
          <w:sz w:val="22"/>
          <w:szCs w:val="22"/>
          <w:lang w:val="es-ES_tradnl"/>
        </w:rPr>
      </w:pPr>
    </w:p>
    <w:p w14:paraId="63787735" w14:textId="77777777" w:rsidR="00532CFA" w:rsidRDefault="00532CFA" w:rsidP="00827DBF">
      <w:pPr>
        <w:rPr>
          <w:rFonts w:ascii="Arial" w:hAnsi="Arial" w:cs="Arial"/>
          <w:color w:val="161616" w:themeColor="background1" w:themeShade="1A"/>
          <w:sz w:val="22"/>
          <w:szCs w:val="22"/>
          <w:lang w:val="es-ES_tradnl"/>
        </w:rPr>
      </w:pPr>
      <w:r>
        <w:rPr>
          <w:rFonts w:ascii="Arial" w:hAnsi="Arial" w:cs="Arial"/>
          <w:color w:val="161616" w:themeColor="background1" w:themeShade="1A"/>
          <w:sz w:val="22"/>
          <w:szCs w:val="22"/>
          <w:lang w:val="es-ES_tradnl"/>
        </w:rPr>
        <w:tab/>
      </w:r>
      <w:r>
        <w:rPr>
          <w:rFonts w:ascii="Arial" w:hAnsi="Arial" w:cs="Arial"/>
          <w:color w:val="161616" w:themeColor="background1" w:themeShade="1A"/>
          <w:sz w:val="22"/>
          <w:szCs w:val="22"/>
          <w:lang w:val="es-ES_tradnl"/>
        </w:rPr>
        <w:tab/>
      </w:r>
      <w:r>
        <w:rPr>
          <w:rFonts w:ascii="Arial" w:hAnsi="Arial" w:cs="Arial"/>
          <w:color w:val="161616" w:themeColor="background1" w:themeShade="1A"/>
          <w:sz w:val="22"/>
          <w:szCs w:val="22"/>
          <w:lang w:val="es-ES_tradnl"/>
        </w:rPr>
        <w:tab/>
      </w:r>
      <w:r>
        <w:rPr>
          <w:rFonts w:ascii="Arial" w:hAnsi="Arial" w:cs="Arial"/>
          <w:color w:val="161616" w:themeColor="background1" w:themeShade="1A"/>
          <w:sz w:val="22"/>
          <w:szCs w:val="22"/>
          <w:lang w:val="es-ES_tradnl"/>
        </w:rPr>
        <w:tab/>
      </w:r>
      <w:r>
        <w:rPr>
          <w:rFonts w:ascii="Arial" w:hAnsi="Arial" w:cs="Arial"/>
          <w:color w:val="161616" w:themeColor="background1" w:themeShade="1A"/>
          <w:sz w:val="22"/>
          <w:szCs w:val="22"/>
          <w:lang w:val="es-ES_tradnl"/>
        </w:rPr>
        <w:tab/>
      </w:r>
      <w:r>
        <w:rPr>
          <w:rFonts w:ascii="Arial" w:hAnsi="Arial" w:cs="Arial"/>
          <w:color w:val="161616" w:themeColor="background1" w:themeShade="1A"/>
          <w:sz w:val="22"/>
          <w:szCs w:val="22"/>
          <w:lang w:val="es-ES_tradnl"/>
        </w:rPr>
        <w:tab/>
      </w:r>
      <w:r>
        <w:rPr>
          <w:rFonts w:ascii="Arial" w:hAnsi="Arial" w:cs="Arial"/>
          <w:color w:val="161616" w:themeColor="background1" w:themeShade="1A"/>
          <w:sz w:val="22"/>
          <w:szCs w:val="22"/>
          <w:lang w:val="es-ES_tradnl"/>
        </w:rPr>
        <w:tab/>
      </w:r>
      <w:r>
        <w:rPr>
          <w:rFonts w:ascii="Arial" w:hAnsi="Arial" w:cs="Arial"/>
          <w:color w:val="161616" w:themeColor="background1" w:themeShade="1A"/>
          <w:sz w:val="22"/>
          <w:szCs w:val="22"/>
          <w:lang w:val="es-ES_tradnl"/>
        </w:rPr>
        <w:tab/>
      </w:r>
      <w:r>
        <w:rPr>
          <w:rFonts w:ascii="Arial" w:hAnsi="Arial" w:cs="Arial"/>
          <w:color w:val="161616" w:themeColor="background1" w:themeShade="1A"/>
          <w:sz w:val="22"/>
          <w:szCs w:val="22"/>
          <w:lang w:val="es-ES_tradnl"/>
        </w:rPr>
        <w:tab/>
      </w:r>
      <w:r>
        <w:rPr>
          <w:rFonts w:ascii="Arial" w:hAnsi="Arial" w:cs="Arial"/>
          <w:color w:val="161616" w:themeColor="background1" w:themeShade="1A"/>
          <w:sz w:val="22"/>
          <w:szCs w:val="22"/>
          <w:lang w:val="es-ES_tradnl"/>
        </w:rPr>
        <w:tab/>
      </w:r>
    </w:p>
    <w:p w14:paraId="5CB47B6C" w14:textId="77777777" w:rsidR="00532CFA" w:rsidRDefault="00532CFA" w:rsidP="00827DBF">
      <w:pPr>
        <w:rPr>
          <w:rFonts w:ascii="Arial" w:hAnsi="Arial" w:cs="Arial"/>
          <w:color w:val="161616" w:themeColor="background1" w:themeShade="1A"/>
          <w:sz w:val="22"/>
          <w:szCs w:val="22"/>
          <w:lang w:val="es-ES_tradnl"/>
        </w:rPr>
      </w:pPr>
    </w:p>
    <w:p w14:paraId="65942321" w14:textId="1F8216E1" w:rsidR="00532CFA" w:rsidRPr="00532CFA" w:rsidRDefault="00532CFA" w:rsidP="00532CFA">
      <w:pPr>
        <w:ind w:left="6372" w:firstLine="708"/>
        <w:rPr>
          <w:rFonts w:ascii="Arial" w:hAnsi="Arial" w:cs="Arial"/>
          <w:color w:val="161616" w:themeColor="background1" w:themeShade="1A"/>
          <w:sz w:val="18"/>
          <w:szCs w:val="18"/>
          <w:lang w:val="es-ES_tradnl"/>
        </w:rPr>
      </w:pPr>
      <w:r w:rsidRPr="00532CFA">
        <w:rPr>
          <w:rFonts w:ascii="Arial" w:hAnsi="Arial" w:cs="Arial"/>
          <w:sz w:val="20"/>
          <w:szCs w:val="20"/>
        </w:rPr>
        <w:t>CCE-DES-FM-17</w:t>
      </w:r>
    </w:p>
    <w:p w14:paraId="5339162D" w14:textId="07D9B8BE" w:rsidR="00532CFA" w:rsidRDefault="00532CFA" w:rsidP="00827DBF">
      <w:pPr>
        <w:rPr>
          <w:rFonts w:ascii="Arial" w:hAnsi="Arial" w:cs="Arial"/>
          <w:color w:val="161616" w:themeColor="background1" w:themeShade="1A"/>
          <w:sz w:val="22"/>
          <w:szCs w:val="22"/>
          <w:lang w:val="es-ES_tradnl"/>
        </w:rPr>
      </w:pPr>
    </w:p>
    <w:p w14:paraId="469105EC" w14:textId="77777777" w:rsidR="00532CFA" w:rsidRDefault="00532CFA" w:rsidP="00827DBF">
      <w:pPr>
        <w:rPr>
          <w:rFonts w:ascii="Arial" w:hAnsi="Arial" w:cs="Arial"/>
          <w:color w:val="161616" w:themeColor="background1" w:themeShade="1A"/>
          <w:sz w:val="22"/>
          <w:szCs w:val="22"/>
          <w:lang w:val="es-ES_tradnl"/>
        </w:rPr>
      </w:pPr>
    </w:p>
    <w:p w14:paraId="6992D33E" w14:textId="7F14922F" w:rsidR="00F5266E" w:rsidRDefault="00F5266E" w:rsidP="00827DBF">
      <w:pPr>
        <w:rPr>
          <w:rFonts w:ascii="Arial" w:hAnsi="Arial" w:cs="Arial"/>
          <w:color w:val="161616" w:themeColor="background1" w:themeShade="1A"/>
          <w:sz w:val="22"/>
          <w:szCs w:val="22"/>
          <w:lang w:val="es-ES_tradnl"/>
        </w:rPr>
      </w:pPr>
      <w:r>
        <w:rPr>
          <w:rFonts w:ascii="Arial" w:hAnsi="Arial" w:cs="Arial"/>
          <w:color w:val="161616" w:themeColor="background1" w:themeShade="1A"/>
          <w:sz w:val="22"/>
          <w:szCs w:val="22"/>
          <w:lang w:val="es-ES_tradnl"/>
        </w:rPr>
        <w:t xml:space="preserve">Bogotá, </w:t>
      </w:r>
      <w:r w:rsidR="00D17ED8">
        <w:rPr>
          <w:rFonts w:ascii="Arial" w:hAnsi="Arial" w:cs="Arial"/>
          <w:color w:val="161616" w:themeColor="background1" w:themeShade="1A"/>
          <w:sz w:val="22"/>
          <w:szCs w:val="22"/>
          <w:lang w:val="es-ES_tradnl"/>
        </w:rPr>
        <w:t>7 Julio 2022</w:t>
      </w:r>
    </w:p>
    <w:p w14:paraId="06B808B5" w14:textId="12EFB53B" w:rsidR="00F5266E" w:rsidRDefault="00F5266E" w:rsidP="00827DBF">
      <w:pPr>
        <w:rPr>
          <w:rFonts w:ascii="Arial" w:hAnsi="Arial" w:cs="Arial"/>
          <w:color w:val="161616" w:themeColor="background1" w:themeShade="1A"/>
          <w:sz w:val="22"/>
          <w:szCs w:val="22"/>
          <w:lang w:val="es-ES_tradnl"/>
        </w:rPr>
      </w:pPr>
    </w:p>
    <w:p w14:paraId="1108477E" w14:textId="77777777" w:rsidR="00532CFA" w:rsidRDefault="00532CFA" w:rsidP="00827DBF">
      <w:pPr>
        <w:rPr>
          <w:rFonts w:ascii="Arial" w:hAnsi="Arial" w:cs="Arial"/>
          <w:color w:val="161616" w:themeColor="background1" w:themeShade="1A"/>
          <w:sz w:val="22"/>
          <w:szCs w:val="22"/>
          <w:lang w:val="es-ES_tradnl"/>
        </w:rPr>
      </w:pPr>
    </w:p>
    <w:p w14:paraId="08E10C05" w14:textId="77777777" w:rsidR="00F5266E" w:rsidRDefault="00F5266E" w:rsidP="00827DBF">
      <w:pPr>
        <w:rPr>
          <w:rFonts w:ascii="Arial" w:hAnsi="Arial" w:cs="Arial"/>
          <w:color w:val="161616" w:themeColor="background1" w:themeShade="1A"/>
          <w:sz w:val="22"/>
          <w:szCs w:val="22"/>
          <w:lang w:val="es-ES_tradnl"/>
        </w:rPr>
      </w:pPr>
    </w:p>
    <w:bookmarkEnd w:id="4"/>
    <w:p w14:paraId="79622A1C" w14:textId="77777777" w:rsidR="004B2BFB" w:rsidRPr="00423E69" w:rsidRDefault="00423E69" w:rsidP="004B2BFB">
      <w:pPr>
        <w:rPr>
          <w:rFonts w:ascii="Arial" w:hAnsi="Arial" w:cs="Arial"/>
          <w:color w:val="161616" w:themeColor="background1" w:themeShade="1A"/>
          <w:sz w:val="22"/>
          <w:szCs w:val="22"/>
          <w:lang w:val="es-ES_tradnl"/>
        </w:rPr>
      </w:pPr>
      <w:r>
        <w:rPr>
          <w:rFonts w:ascii="Arial" w:hAnsi="Arial" w:cs="Arial"/>
          <w:color w:val="161616" w:themeColor="background1" w:themeShade="1A"/>
          <w:sz w:val="22"/>
          <w:szCs w:val="22"/>
          <w:lang w:val="es-ES_tradnl"/>
        </w:rPr>
        <w:t xml:space="preserve"> </w:t>
      </w:r>
      <w:r w:rsidR="004B2BFB" w:rsidRPr="00423E69">
        <w:rPr>
          <w:rFonts w:ascii="Arial" w:hAnsi="Arial" w:cs="Arial"/>
          <w:color w:val="161616" w:themeColor="background1" w:themeShade="1A"/>
          <w:sz w:val="22"/>
          <w:szCs w:val="22"/>
          <w:lang w:val="es-ES_tradnl"/>
        </w:rPr>
        <w:t>Señor</w:t>
      </w:r>
    </w:p>
    <w:p w14:paraId="45F66AA2" w14:textId="77777777" w:rsidR="004B2BFB" w:rsidRPr="00423E69" w:rsidRDefault="004B2BFB" w:rsidP="004B2BFB">
      <w:pPr>
        <w:rPr>
          <w:rFonts w:ascii="Arial" w:hAnsi="Arial" w:cs="Arial"/>
          <w:b/>
          <w:color w:val="161616" w:themeColor="background1" w:themeShade="1A"/>
          <w:sz w:val="22"/>
          <w:szCs w:val="22"/>
          <w:lang w:val="es-ES_tradnl"/>
        </w:rPr>
      </w:pPr>
      <w:r w:rsidRPr="00423E69">
        <w:rPr>
          <w:rFonts w:ascii="Arial" w:hAnsi="Arial" w:cs="Arial"/>
          <w:b/>
          <w:color w:val="161616" w:themeColor="background1" w:themeShade="1A"/>
          <w:sz w:val="22"/>
          <w:szCs w:val="22"/>
          <w:lang w:val="es-ES_tradnl"/>
        </w:rPr>
        <w:t>Gustavo Adolfo Patarroyo Cubides</w:t>
      </w:r>
    </w:p>
    <w:p w14:paraId="1965A970" w14:textId="77777777" w:rsidR="004B2BFB" w:rsidRPr="00423E69" w:rsidRDefault="004B2BFB" w:rsidP="004B2BFB">
      <w:pPr>
        <w:rPr>
          <w:rFonts w:ascii="Arial" w:hAnsi="Arial" w:cs="Arial"/>
          <w:color w:val="161616" w:themeColor="background1" w:themeShade="1A"/>
          <w:sz w:val="22"/>
          <w:szCs w:val="22"/>
          <w:lang w:val="es-ES_tradnl"/>
        </w:rPr>
      </w:pPr>
      <w:r w:rsidRPr="00423E69">
        <w:rPr>
          <w:rFonts w:ascii="Arial" w:hAnsi="Arial" w:cs="Arial"/>
          <w:color w:val="161616" w:themeColor="background1" w:themeShade="1A"/>
          <w:sz w:val="22"/>
          <w:szCs w:val="22"/>
          <w:lang w:val="es-ES_tradnl"/>
        </w:rPr>
        <w:t xml:space="preserve">Ibagué, Tolima </w:t>
      </w:r>
    </w:p>
    <w:p w14:paraId="6C21E655" w14:textId="77777777" w:rsidR="004B2BFB" w:rsidRPr="00423E69" w:rsidRDefault="004B2BFB" w:rsidP="004B2BFB">
      <w:pPr>
        <w:rPr>
          <w:rFonts w:ascii="Arial" w:hAnsi="Arial" w:cs="Arial"/>
          <w:color w:val="161616" w:themeColor="background1" w:themeShade="1A"/>
          <w:sz w:val="22"/>
          <w:szCs w:val="22"/>
          <w:lang w:val="es-ES_tradnl"/>
        </w:rPr>
      </w:pPr>
    </w:p>
    <w:p w14:paraId="6B8E3101" w14:textId="05AB62F3" w:rsidR="004B2BFB" w:rsidRDefault="004B2BFB" w:rsidP="004B2BFB">
      <w:pPr>
        <w:rPr>
          <w:rFonts w:ascii="Arial" w:hAnsi="Arial" w:cs="Arial"/>
          <w:b/>
          <w:bCs/>
          <w:color w:val="161616" w:themeColor="background1" w:themeShade="1A"/>
          <w:sz w:val="22"/>
          <w:szCs w:val="22"/>
          <w:lang w:val="es-ES_tradnl"/>
        </w:rPr>
      </w:pPr>
    </w:p>
    <w:p w14:paraId="1AFFC445" w14:textId="77777777" w:rsidR="00532CFA" w:rsidRPr="00423E69" w:rsidRDefault="00532CFA" w:rsidP="004B2BFB">
      <w:pPr>
        <w:rPr>
          <w:rFonts w:ascii="Arial" w:hAnsi="Arial" w:cs="Arial"/>
          <w:b/>
          <w:bCs/>
          <w:color w:val="161616" w:themeColor="background1" w:themeShade="1A"/>
          <w:sz w:val="22"/>
          <w:szCs w:val="22"/>
          <w:lang w:val="es-ES_tradnl"/>
        </w:rPr>
      </w:pPr>
    </w:p>
    <w:p w14:paraId="48FAE362" w14:textId="61194330" w:rsidR="004B2BFB" w:rsidRDefault="004B2BFB" w:rsidP="004B2BFB">
      <w:pPr>
        <w:ind w:left="2124" w:firstLine="708"/>
        <w:rPr>
          <w:rFonts w:ascii="Arial" w:hAnsi="Arial" w:cs="Arial"/>
          <w:b/>
          <w:bCs/>
          <w:color w:val="161616" w:themeColor="background1" w:themeShade="1A"/>
          <w:sz w:val="22"/>
          <w:szCs w:val="22"/>
          <w:lang w:val="es-ES_tradnl"/>
        </w:rPr>
      </w:pPr>
      <w:r w:rsidRPr="00423E69">
        <w:rPr>
          <w:rFonts w:ascii="Arial" w:hAnsi="Arial" w:cs="Arial"/>
          <w:b/>
          <w:bCs/>
          <w:color w:val="161616" w:themeColor="background1" w:themeShade="1A"/>
          <w:sz w:val="22"/>
          <w:szCs w:val="22"/>
          <w:lang w:val="es-ES_tradnl"/>
        </w:rPr>
        <w:t>Concepto C – 431 de 2022</w:t>
      </w:r>
    </w:p>
    <w:p w14:paraId="21336427" w14:textId="77777777" w:rsidR="00532CFA" w:rsidRPr="00423E69" w:rsidRDefault="00532CFA" w:rsidP="004B2BFB">
      <w:pPr>
        <w:ind w:left="2124" w:firstLine="708"/>
        <w:rPr>
          <w:rFonts w:ascii="Arial" w:hAnsi="Arial" w:cs="Arial"/>
          <w:b/>
          <w:bCs/>
          <w:color w:val="161616" w:themeColor="background1" w:themeShade="1A"/>
          <w:sz w:val="22"/>
          <w:szCs w:val="22"/>
          <w:lang w:val="es-ES_tradnl"/>
        </w:rPr>
      </w:pPr>
    </w:p>
    <w:p w14:paraId="5BF1EF5B" w14:textId="77777777" w:rsidR="004B2BFB" w:rsidRPr="00423E69" w:rsidRDefault="004B2BFB" w:rsidP="004B2BFB">
      <w:pPr>
        <w:ind w:left="2824" w:hanging="2818"/>
        <w:jc w:val="both"/>
        <w:rPr>
          <w:rFonts w:ascii="Arial" w:eastAsia="Calibri" w:hAnsi="Arial" w:cs="Arial"/>
          <w:b/>
          <w:noProof/>
          <w:color w:val="161616" w:themeColor="background1" w:themeShade="1A"/>
          <w:sz w:val="22"/>
          <w:szCs w:val="22"/>
          <w:lang w:val="es-ES_tradnl" w:eastAsia="en-US"/>
        </w:rPr>
      </w:pPr>
    </w:p>
    <w:p w14:paraId="6B785E35" w14:textId="77777777" w:rsidR="004B2BFB" w:rsidRPr="00423E69" w:rsidRDefault="004B2BFB" w:rsidP="004B2BFB">
      <w:pPr>
        <w:spacing w:after="120"/>
        <w:ind w:left="2824" w:hanging="2818"/>
        <w:jc w:val="both"/>
        <w:rPr>
          <w:rFonts w:ascii="Arial" w:eastAsia="Calibri" w:hAnsi="Arial" w:cs="Arial"/>
          <w:bCs/>
          <w:noProof/>
          <w:color w:val="161616" w:themeColor="background1" w:themeShade="1A"/>
          <w:sz w:val="22"/>
          <w:szCs w:val="22"/>
          <w:lang w:val="es-ES_tradnl" w:eastAsia="en-US"/>
        </w:rPr>
      </w:pPr>
      <w:r w:rsidRPr="00423E69">
        <w:rPr>
          <w:rFonts w:ascii="Arial" w:eastAsia="Calibri" w:hAnsi="Arial" w:cs="Arial"/>
          <w:b/>
          <w:noProof/>
          <w:color w:val="161616" w:themeColor="background1" w:themeShade="1A"/>
          <w:sz w:val="22"/>
          <w:szCs w:val="22"/>
          <w:lang w:val="es-ES_tradnl" w:eastAsia="en-US"/>
        </w:rPr>
        <w:t>Temas</w:t>
      </w:r>
      <w:r w:rsidRPr="00423E69">
        <w:rPr>
          <w:rFonts w:ascii="Arial" w:eastAsia="Calibri" w:hAnsi="Arial" w:cs="Arial"/>
          <w:bCs/>
          <w:noProof/>
          <w:color w:val="161616" w:themeColor="background1" w:themeShade="1A"/>
          <w:sz w:val="22"/>
          <w:szCs w:val="22"/>
          <w:lang w:val="es-ES_tradnl" w:eastAsia="en-US"/>
        </w:rPr>
        <w:t xml:space="preserve">: </w:t>
      </w:r>
      <w:r w:rsidRPr="00423E69">
        <w:rPr>
          <w:rFonts w:ascii="Arial" w:eastAsia="Calibri" w:hAnsi="Arial" w:cs="Arial"/>
          <w:bCs/>
          <w:noProof/>
          <w:color w:val="161616" w:themeColor="background1" w:themeShade="1A"/>
          <w:sz w:val="22"/>
          <w:szCs w:val="22"/>
          <w:lang w:val="es-ES_tradnl" w:eastAsia="en-US"/>
        </w:rPr>
        <w:tab/>
      </w:r>
      <w:r w:rsidRPr="00423E69">
        <w:rPr>
          <w:rFonts w:ascii="Arial" w:eastAsia="Calibri" w:hAnsi="Arial" w:cs="Arial"/>
          <w:b/>
          <w:noProof/>
          <w:color w:val="161616" w:themeColor="background1" w:themeShade="1A"/>
          <w:sz w:val="22"/>
          <w:szCs w:val="22"/>
          <w:lang w:val="es-ES_tradnl" w:eastAsia="en-US"/>
        </w:rPr>
        <w:tab/>
      </w:r>
      <w:r w:rsidRPr="00423E69">
        <w:rPr>
          <w:rFonts w:ascii="Arial" w:eastAsia="Calibri" w:hAnsi="Arial" w:cs="Arial"/>
          <w:bCs/>
          <w:sz w:val="22"/>
          <w:szCs w:val="22"/>
          <w:lang w:val="es-MX" w:eastAsia="en-US"/>
        </w:rPr>
        <w:t xml:space="preserve">PRINCIPIO DE SELECCIÓN OBJETIVA– Rechazo de las ofertas – </w:t>
      </w:r>
      <w:proofErr w:type="spellStart"/>
      <w:r w:rsidRPr="00423E69">
        <w:rPr>
          <w:rFonts w:ascii="Arial" w:eastAsia="Calibri" w:hAnsi="Arial" w:cs="Arial"/>
          <w:bCs/>
          <w:sz w:val="22"/>
          <w:szCs w:val="22"/>
          <w:lang w:val="es-MX" w:eastAsia="en-US"/>
        </w:rPr>
        <w:t>Subsanabilidad</w:t>
      </w:r>
      <w:proofErr w:type="spellEnd"/>
      <w:r w:rsidRPr="00423E69">
        <w:rPr>
          <w:rFonts w:ascii="Arial" w:eastAsia="Calibri" w:hAnsi="Arial" w:cs="Arial"/>
          <w:bCs/>
          <w:sz w:val="22"/>
          <w:szCs w:val="22"/>
          <w:lang w:val="es-MX" w:eastAsia="en-US"/>
        </w:rPr>
        <w:t xml:space="preserve"> / SUBSANABILIDAD DE LAS OFERTAS </w:t>
      </w:r>
      <w:r w:rsidRPr="00423E69">
        <w:rPr>
          <w:rFonts w:ascii="Arial" w:eastAsia="Calibri" w:hAnsi="Arial" w:cs="Arial"/>
          <w:sz w:val="22"/>
          <w:szCs w:val="22"/>
          <w:lang w:val="es-MX" w:eastAsia="en-US"/>
        </w:rPr>
        <w:t>– Alcance de la regla – Ley 1882 de 2018</w:t>
      </w:r>
      <w:r w:rsidRPr="00423E69">
        <w:rPr>
          <w:rFonts w:ascii="Arial" w:eastAsia="Calibri" w:hAnsi="Arial" w:cs="Arial"/>
          <w:bCs/>
          <w:sz w:val="22"/>
          <w:szCs w:val="22"/>
          <w:lang w:val="es-MX" w:eastAsia="en-US"/>
        </w:rPr>
        <w:t>–</w:t>
      </w:r>
      <w:r w:rsidRPr="00423E69">
        <w:rPr>
          <w:rFonts w:ascii="Arial" w:eastAsia="Calibri" w:hAnsi="Arial" w:cs="Arial"/>
          <w:bCs/>
          <w:sz w:val="22"/>
          <w:szCs w:val="22"/>
          <w:lang w:val="es-ES" w:eastAsia="en-US"/>
        </w:rPr>
        <w:t xml:space="preserve"> Ámbito temporal </w:t>
      </w:r>
      <w:r w:rsidRPr="00423E69">
        <w:rPr>
          <w:rFonts w:ascii="Arial" w:eastAsia="Calibri" w:hAnsi="Arial" w:cs="Arial"/>
          <w:bCs/>
          <w:sz w:val="22"/>
          <w:szCs w:val="22"/>
          <w:lang w:val="es-MX" w:eastAsia="en-US"/>
        </w:rPr>
        <w:t xml:space="preserve">– Criterio material / </w:t>
      </w:r>
      <w:r w:rsidRPr="00423E69">
        <w:rPr>
          <w:rFonts w:ascii="Arial" w:eastAsia="Calibri" w:hAnsi="Arial" w:cs="Arial"/>
          <w:bCs/>
          <w:color w:val="000000" w:themeColor="text1"/>
          <w:sz w:val="22"/>
          <w:szCs w:val="22"/>
          <w:lang w:val="es-ES_tradnl" w:eastAsia="en-US"/>
        </w:rPr>
        <w:t>PRINCIPIO DE ECONOMIA – Plazos – Perentorios – Preclusivos/   SUBSANABILIDAD DE LAS OFERTAS – Alcance</w:t>
      </w:r>
    </w:p>
    <w:p w14:paraId="03C30387" w14:textId="77777777" w:rsidR="004B2BFB" w:rsidRPr="00423E69" w:rsidRDefault="004B2BFB" w:rsidP="004B2BFB">
      <w:pPr>
        <w:ind w:left="2835" w:hanging="2835"/>
        <w:jc w:val="both"/>
        <w:rPr>
          <w:rFonts w:ascii="Arial" w:eastAsia="Calibri" w:hAnsi="Arial" w:cs="Arial"/>
          <w:bCs/>
          <w:noProof/>
          <w:color w:val="161616" w:themeColor="background1" w:themeShade="1A"/>
          <w:sz w:val="22"/>
          <w:szCs w:val="22"/>
          <w:lang w:val="es-ES_tradnl" w:eastAsia="en-US"/>
        </w:rPr>
      </w:pPr>
      <w:r w:rsidRPr="00423E69">
        <w:rPr>
          <w:rFonts w:ascii="Arial" w:eastAsia="Calibri" w:hAnsi="Arial" w:cs="Arial"/>
          <w:b/>
          <w:noProof/>
          <w:color w:val="161616" w:themeColor="background1" w:themeShade="1A"/>
          <w:sz w:val="22"/>
          <w:szCs w:val="22"/>
          <w:lang w:val="es-ES_tradnl" w:eastAsia="en-US"/>
        </w:rPr>
        <w:t>Radicación</w:t>
      </w:r>
      <w:r w:rsidRPr="00423E69">
        <w:rPr>
          <w:rFonts w:ascii="Arial" w:eastAsia="Calibri" w:hAnsi="Arial" w:cs="Arial"/>
          <w:bCs/>
          <w:noProof/>
          <w:color w:val="161616" w:themeColor="background1" w:themeShade="1A"/>
          <w:sz w:val="22"/>
          <w:szCs w:val="22"/>
          <w:lang w:val="es-ES_tradnl" w:eastAsia="en-US"/>
        </w:rPr>
        <w:t>:</w:t>
      </w:r>
      <w:r w:rsidRPr="00423E69">
        <w:rPr>
          <w:rFonts w:ascii="Arial" w:eastAsia="Calibri" w:hAnsi="Arial" w:cs="Arial"/>
          <w:bCs/>
          <w:noProof/>
          <w:color w:val="161616" w:themeColor="background1" w:themeShade="1A"/>
          <w:sz w:val="22"/>
          <w:szCs w:val="22"/>
          <w:lang w:val="es-ES_tradnl" w:eastAsia="en-US"/>
        </w:rPr>
        <w:tab/>
        <w:t>Respuesta a consulta P20220520005033</w:t>
      </w:r>
    </w:p>
    <w:p w14:paraId="6B6B17A6" w14:textId="77777777" w:rsidR="004B2BFB" w:rsidRPr="00423E69" w:rsidRDefault="004B2BFB" w:rsidP="004B2BFB">
      <w:pPr>
        <w:rPr>
          <w:rFonts w:ascii="Arial" w:hAnsi="Arial" w:cs="Arial"/>
          <w:color w:val="161616" w:themeColor="background1" w:themeShade="1A"/>
          <w:sz w:val="22"/>
          <w:szCs w:val="22"/>
          <w:lang w:val="es-ES_tradnl"/>
        </w:rPr>
      </w:pPr>
    </w:p>
    <w:p w14:paraId="067731B2" w14:textId="77777777" w:rsidR="004B2BFB" w:rsidRPr="00423E69" w:rsidRDefault="004B2BFB" w:rsidP="004B2BFB">
      <w:pPr>
        <w:rPr>
          <w:rFonts w:ascii="Arial" w:hAnsi="Arial" w:cs="Arial"/>
          <w:color w:val="161616" w:themeColor="background1" w:themeShade="1A"/>
          <w:sz w:val="22"/>
          <w:szCs w:val="22"/>
          <w:lang w:val="es-ES_tradnl"/>
        </w:rPr>
      </w:pPr>
    </w:p>
    <w:p w14:paraId="25BA2CD8" w14:textId="77777777" w:rsidR="004B2BFB" w:rsidRPr="00423E69" w:rsidRDefault="004B2BFB" w:rsidP="004B2BFB">
      <w:pPr>
        <w:rPr>
          <w:rFonts w:ascii="Arial" w:hAnsi="Arial" w:cs="Arial"/>
          <w:color w:val="161616" w:themeColor="background1" w:themeShade="1A"/>
          <w:sz w:val="22"/>
          <w:szCs w:val="22"/>
          <w:lang w:val="es-ES_tradnl"/>
        </w:rPr>
      </w:pPr>
      <w:r w:rsidRPr="00423E69">
        <w:rPr>
          <w:rFonts w:ascii="Arial" w:hAnsi="Arial" w:cs="Arial"/>
          <w:color w:val="161616" w:themeColor="background1" w:themeShade="1A"/>
          <w:sz w:val="22"/>
          <w:szCs w:val="22"/>
          <w:lang w:val="es-ES_tradnl"/>
        </w:rPr>
        <w:t xml:space="preserve">Estimado señor Patarroyo,  </w:t>
      </w:r>
    </w:p>
    <w:p w14:paraId="72571044" w14:textId="77777777" w:rsidR="004B2BFB" w:rsidRPr="00423E69" w:rsidRDefault="004B2BFB" w:rsidP="004B2BFB">
      <w:pPr>
        <w:spacing w:before="240" w:line="276" w:lineRule="auto"/>
        <w:jc w:val="both"/>
        <w:rPr>
          <w:rFonts w:ascii="Arial" w:hAnsi="Arial" w:cs="Arial"/>
          <w:color w:val="161616" w:themeColor="background1" w:themeShade="1A"/>
          <w:sz w:val="22"/>
          <w:szCs w:val="22"/>
          <w:lang w:val="es-ES_tradnl"/>
        </w:rPr>
      </w:pPr>
      <w:r w:rsidRPr="00423E69">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20 de mayo de 2022. </w:t>
      </w:r>
    </w:p>
    <w:p w14:paraId="1117EA94" w14:textId="77777777" w:rsidR="004B2BFB" w:rsidRPr="00423E69" w:rsidRDefault="004B2BFB" w:rsidP="004B2BFB">
      <w:pPr>
        <w:spacing w:before="240"/>
        <w:rPr>
          <w:rFonts w:ascii="Arial" w:hAnsi="Arial" w:cs="Arial"/>
          <w:b/>
          <w:color w:val="161616" w:themeColor="background1" w:themeShade="1A"/>
          <w:sz w:val="22"/>
          <w:szCs w:val="22"/>
          <w:lang w:val="es-ES_tradnl"/>
        </w:rPr>
      </w:pPr>
      <w:r w:rsidRPr="00423E69">
        <w:rPr>
          <w:rFonts w:ascii="Arial" w:hAnsi="Arial" w:cs="Arial"/>
          <w:b/>
          <w:color w:val="161616" w:themeColor="background1" w:themeShade="1A"/>
          <w:sz w:val="22"/>
          <w:szCs w:val="22"/>
          <w:lang w:val="es-ES_tradnl"/>
        </w:rPr>
        <w:t xml:space="preserve">1. Problema planteado </w:t>
      </w:r>
    </w:p>
    <w:p w14:paraId="5D8EFC91" w14:textId="77777777" w:rsidR="004B2BFB" w:rsidRPr="00423E69" w:rsidRDefault="004B2BFB" w:rsidP="004B2BFB">
      <w:pPr>
        <w:spacing w:before="240"/>
        <w:jc w:val="both"/>
        <w:rPr>
          <w:rFonts w:ascii="Arial" w:hAnsi="Arial" w:cs="Arial"/>
          <w:color w:val="161616" w:themeColor="background1" w:themeShade="1A"/>
          <w:sz w:val="22"/>
          <w:szCs w:val="22"/>
          <w:lang w:val="es-ES_tradnl"/>
        </w:rPr>
      </w:pPr>
      <w:r w:rsidRPr="00423E69">
        <w:rPr>
          <w:rFonts w:ascii="Arial" w:hAnsi="Arial" w:cs="Arial"/>
          <w:color w:val="161616" w:themeColor="background1" w:themeShade="1A"/>
          <w:sz w:val="22"/>
          <w:szCs w:val="22"/>
          <w:lang w:val="es-ES_tradnl"/>
        </w:rPr>
        <w:t>Usted formula la siguiente consulta:</w:t>
      </w:r>
    </w:p>
    <w:p w14:paraId="517C277B" w14:textId="77777777" w:rsidR="004B2BFB" w:rsidRPr="00423E69" w:rsidRDefault="004B2BFB" w:rsidP="004B2BFB">
      <w:pPr>
        <w:spacing w:before="240"/>
        <w:ind w:left="709" w:right="786"/>
        <w:jc w:val="both"/>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lastRenderedPageBreak/>
        <w:t>«En los documentos tipo referente al documento base consultoría de estudios de ingeniería de infraestructura de transporte, señala en el pliego en el numeral 2.4 Elaboración y presentación de la propuesta, señala expresamente:</w:t>
      </w:r>
    </w:p>
    <w:p w14:paraId="23038D9A" w14:textId="77777777" w:rsidR="004B2BFB" w:rsidRPr="00423E69" w:rsidRDefault="004B2BFB" w:rsidP="004B2BFB">
      <w:pPr>
        <w:spacing w:before="240"/>
        <w:ind w:left="709" w:right="786"/>
        <w:jc w:val="both"/>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“el sobre debe contener la siguiente información, y para su entrega se observarán las siguientes reglas: </w:t>
      </w:r>
    </w:p>
    <w:p w14:paraId="5A5C0058" w14:textId="77777777" w:rsidR="004B2BFB" w:rsidRPr="00423E69" w:rsidRDefault="004B2BFB" w:rsidP="004B2BFB">
      <w:pPr>
        <w:pStyle w:val="Prrafodelista"/>
        <w:numPr>
          <w:ilvl w:val="0"/>
          <w:numId w:val="25"/>
        </w:numPr>
        <w:spacing w:before="240"/>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El sobre debe indicar: i) el nombre de la entidad; </w:t>
      </w:r>
      <w:proofErr w:type="spellStart"/>
      <w:r w:rsidRPr="00423E69">
        <w:rPr>
          <w:rFonts w:ascii="Arial" w:hAnsi="Arial" w:cs="Arial"/>
          <w:color w:val="000000"/>
          <w:sz w:val="21"/>
          <w:szCs w:val="21"/>
          <w:bdr w:val="none" w:sz="0" w:space="0" w:color="auto" w:frame="1"/>
        </w:rPr>
        <w:t>ii</w:t>
      </w:r>
      <w:proofErr w:type="spellEnd"/>
      <w:r w:rsidRPr="00423E69">
        <w:rPr>
          <w:rFonts w:ascii="Arial" w:hAnsi="Arial" w:cs="Arial"/>
          <w:color w:val="000000"/>
          <w:sz w:val="21"/>
          <w:szCs w:val="21"/>
          <w:bdr w:val="none" w:sz="0" w:space="0" w:color="auto" w:frame="1"/>
        </w:rPr>
        <w:t xml:space="preserve">) la dirección de radicación; </w:t>
      </w:r>
      <w:proofErr w:type="spellStart"/>
      <w:r w:rsidRPr="00423E69">
        <w:rPr>
          <w:rFonts w:ascii="Arial" w:hAnsi="Arial" w:cs="Arial"/>
          <w:color w:val="000000"/>
          <w:sz w:val="21"/>
          <w:szCs w:val="21"/>
          <w:bdr w:val="none" w:sz="0" w:space="0" w:color="auto" w:frame="1"/>
        </w:rPr>
        <w:t>iii</w:t>
      </w:r>
      <w:proofErr w:type="spellEnd"/>
      <w:r w:rsidRPr="00423E69">
        <w:rPr>
          <w:rFonts w:ascii="Arial" w:hAnsi="Arial" w:cs="Arial"/>
          <w:color w:val="000000"/>
          <w:sz w:val="21"/>
          <w:szCs w:val="21"/>
          <w:bdr w:val="none" w:sz="0" w:space="0" w:color="auto" w:frame="1"/>
        </w:rPr>
        <w:t xml:space="preserve">) el objeto del proceso de contratación; </w:t>
      </w:r>
      <w:proofErr w:type="spellStart"/>
      <w:r w:rsidRPr="00423E69">
        <w:rPr>
          <w:rFonts w:ascii="Arial" w:hAnsi="Arial" w:cs="Arial"/>
          <w:color w:val="000000"/>
          <w:sz w:val="21"/>
          <w:szCs w:val="21"/>
          <w:bdr w:val="none" w:sz="0" w:space="0" w:color="auto" w:frame="1"/>
        </w:rPr>
        <w:t>iv</w:t>
      </w:r>
      <w:proofErr w:type="spellEnd"/>
      <w:r w:rsidRPr="00423E69">
        <w:rPr>
          <w:rFonts w:ascii="Arial" w:hAnsi="Arial" w:cs="Arial"/>
          <w:color w:val="000000"/>
          <w:sz w:val="21"/>
          <w:szCs w:val="21"/>
          <w:bdr w:val="none" w:sz="0" w:space="0" w:color="auto" w:frame="1"/>
        </w:rPr>
        <w:t xml:space="preserve">) el número del proceso de contratación; v) el nombre y dirección comercial tanto física como electrónica del proponente; y vi) el nombre del representante legal del proponente. </w:t>
      </w:r>
    </w:p>
    <w:p w14:paraId="1686210A" w14:textId="77777777" w:rsidR="004B2BFB" w:rsidRPr="00423E69" w:rsidRDefault="004B2BFB" w:rsidP="004B2BFB">
      <w:pPr>
        <w:pStyle w:val="Prrafodelista"/>
        <w:numPr>
          <w:ilvl w:val="0"/>
          <w:numId w:val="25"/>
        </w:numPr>
        <w:spacing w:before="240"/>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Los documentos que conforman el sobre deberán presentarse legajados, foliados, escritos en idioma castellano y en medio magnético. Se deben numerar todas las hojas que contiene la oferta. La propuesta debe contener un índice, en el que se identifique en forma clara la documentación de la oferta y el folio o folios a los que corresponde. </w:t>
      </w:r>
    </w:p>
    <w:p w14:paraId="32AE33C8" w14:textId="77777777" w:rsidR="004B2BFB" w:rsidRPr="00423E69" w:rsidRDefault="004B2BFB" w:rsidP="004B2BFB">
      <w:pPr>
        <w:pStyle w:val="Prrafodelista"/>
        <w:numPr>
          <w:ilvl w:val="0"/>
          <w:numId w:val="25"/>
        </w:numPr>
        <w:spacing w:before="240"/>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El proponente debe presentar el sobre en físico. Sin perjuicio de lo anterior, el proponente podrá adicionalmente presentar el contenido del Sobre en medio magnético u óptico. </w:t>
      </w:r>
    </w:p>
    <w:p w14:paraId="60054D81" w14:textId="77777777" w:rsidR="004B2BFB" w:rsidRPr="00423E69" w:rsidRDefault="004B2BFB" w:rsidP="004B2BFB">
      <w:pPr>
        <w:pStyle w:val="Prrafodelista"/>
        <w:numPr>
          <w:ilvl w:val="0"/>
          <w:numId w:val="25"/>
        </w:numPr>
        <w:spacing w:before="240"/>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La información en físico y en medio magnético debe ser idéntica. En caso de presentarse discrepancias entre la información consignada en medio físico y la incluida en medio magnético, prevalecerá la primera. </w:t>
      </w:r>
    </w:p>
    <w:p w14:paraId="467B4380" w14:textId="77777777" w:rsidR="004B2BFB" w:rsidRPr="00423E69" w:rsidRDefault="004B2BFB" w:rsidP="004B2BFB">
      <w:pPr>
        <w:pStyle w:val="Prrafodelista"/>
        <w:numPr>
          <w:ilvl w:val="0"/>
          <w:numId w:val="25"/>
        </w:numPr>
        <w:spacing w:before="240"/>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Debe incluir la propuesta económica en la forma prevista por la Entidad. </w:t>
      </w:r>
    </w:p>
    <w:p w14:paraId="01D96616" w14:textId="77777777" w:rsidR="004B2BFB" w:rsidRPr="00423E69" w:rsidRDefault="004B2BFB" w:rsidP="004B2BFB">
      <w:pPr>
        <w:pStyle w:val="Prrafodelista"/>
        <w:numPr>
          <w:ilvl w:val="0"/>
          <w:numId w:val="25"/>
        </w:numPr>
        <w:spacing w:before="240"/>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El proponente al presentar la oferta económica incluirá todos los impuestos, tasas y contribuciones, incluido el IVA. La propuesta económica debe estar firmada”. </w:t>
      </w:r>
    </w:p>
    <w:p w14:paraId="0C2E12A4" w14:textId="77777777" w:rsidR="004B2BFB" w:rsidRPr="00423E69" w:rsidRDefault="004B2BFB" w:rsidP="004B2BFB">
      <w:pPr>
        <w:spacing w:before="240"/>
        <w:ind w:left="709" w:right="786"/>
        <w:jc w:val="both"/>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En caso de que falte algún requisito por parte del proponente debe subsanarlo o se debe aceptar con esas falencias» (SIC) </w:t>
      </w:r>
    </w:p>
    <w:p w14:paraId="5E8DDD58" w14:textId="77777777" w:rsidR="004B2BFB" w:rsidRPr="00423E69" w:rsidRDefault="004B2BFB" w:rsidP="004B2BFB">
      <w:pPr>
        <w:jc w:val="both"/>
        <w:rPr>
          <w:rFonts w:ascii="Arial" w:hAnsi="Arial" w:cs="Arial"/>
          <w:b/>
          <w:color w:val="161616" w:themeColor="background1" w:themeShade="1A"/>
          <w:sz w:val="22"/>
          <w:szCs w:val="22"/>
          <w:lang w:val="es-ES_tradnl"/>
        </w:rPr>
      </w:pPr>
    </w:p>
    <w:p w14:paraId="0371598C" w14:textId="77777777" w:rsidR="004B2BFB" w:rsidRPr="00423E69" w:rsidRDefault="004B2BFB" w:rsidP="004B2BFB">
      <w:pPr>
        <w:jc w:val="both"/>
        <w:rPr>
          <w:rFonts w:ascii="Arial" w:hAnsi="Arial" w:cs="Arial"/>
          <w:b/>
          <w:color w:val="161616" w:themeColor="background1" w:themeShade="1A"/>
          <w:sz w:val="22"/>
          <w:szCs w:val="22"/>
          <w:lang w:val="es-ES_tradnl"/>
        </w:rPr>
      </w:pPr>
      <w:r w:rsidRPr="00423E69">
        <w:rPr>
          <w:rFonts w:ascii="Arial" w:hAnsi="Arial" w:cs="Arial"/>
          <w:b/>
          <w:color w:val="161616" w:themeColor="background1" w:themeShade="1A"/>
          <w:sz w:val="22"/>
          <w:szCs w:val="22"/>
          <w:lang w:val="es-ES_tradnl"/>
        </w:rPr>
        <w:t xml:space="preserve">2. Consideraciones </w:t>
      </w:r>
    </w:p>
    <w:p w14:paraId="2E84F939" w14:textId="77777777" w:rsidR="004B2BFB" w:rsidRPr="00423E69" w:rsidRDefault="004B2BFB" w:rsidP="004B2BFB">
      <w:pPr>
        <w:tabs>
          <w:tab w:val="left" w:pos="426"/>
        </w:tabs>
        <w:spacing w:line="276" w:lineRule="auto"/>
        <w:jc w:val="both"/>
        <w:rPr>
          <w:rFonts w:ascii="Arial" w:eastAsia="Calibri" w:hAnsi="Arial" w:cs="Arial"/>
          <w:color w:val="161616" w:themeColor="background1" w:themeShade="1A"/>
          <w:sz w:val="22"/>
          <w:szCs w:val="22"/>
          <w:lang w:val="es-ES_tradnl"/>
        </w:rPr>
      </w:pPr>
    </w:p>
    <w:p w14:paraId="3E59BD60" w14:textId="77777777" w:rsidR="004B2BFB" w:rsidRPr="00423E69" w:rsidRDefault="004B2BFB" w:rsidP="004B2BFB">
      <w:pPr>
        <w:tabs>
          <w:tab w:val="left" w:pos="426"/>
        </w:tabs>
        <w:spacing w:after="120" w:line="276" w:lineRule="auto"/>
        <w:jc w:val="both"/>
        <w:rPr>
          <w:rFonts w:ascii="Arial" w:eastAsiaTheme="minorHAnsi" w:hAnsi="Arial" w:cs="Arial"/>
          <w:sz w:val="22"/>
          <w:szCs w:val="22"/>
          <w:lang w:val="es-ES_tradnl" w:eastAsia="en-US"/>
        </w:rPr>
      </w:pPr>
      <w:r w:rsidRPr="00423E69">
        <w:rPr>
          <w:rFonts w:ascii="Arial" w:eastAsia="Calibri" w:hAnsi="Arial" w:cs="Arial"/>
          <w:color w:val="161616" w:themeColor="background1" w:themeShade="1A"/>
          <w:sz w:val="22"/>
          <w:szCs w:val="22"/>
          <w:lang w:val="es-ES_tradnl"/>
        </w:rPr>
        <w:t xml:space="preserve">La Agencia Nacional de Contratación Pública ‒ Colombia Compra Eficiente estudió el principio de selección objetiva en la contratación estatal y el ámbito material y temporal de la </w:t>
      </w:r>
      <w:proofErr w:type="spellStart"/>
      <w:r w:rsidRPr="00423E69">
        <w:rPr>
          <w:rFonts w:ascii="Arial" w:eastAsia="Calibri" w:hAnsi="Arial" w:cs="Arial"/>
          <w:color w:val="161616" w:themeColor="background1" w:themeShade="1A"/>
          <w:sz w:val="22"/>
          <w:szCs w:val="22"/>
          <w:lang w:val="es-ES_tradnl"/>
        </w:rPr>
        <w:t>subsanabilidad</w:t>
      </w:r>
      <w:proofErr w:type="spellEnd"/>
      <w:r w:rsidRPr="00423E69">
        <w:rPr>
          <w:rFonts w:ascii="Arial" w:eastAsia="Calibri" w:hAnsi="Arial" w:cs="Arial"/>
          <w:color w:val="161616" w:themeColor="background1" w:themeShade="1A"/>
          <w:sz w:val="22"/>
          <w:szCs w:val="22"/>
          <w:lang w:val="es-ES_tradnl"/>
        </w:rPr>
        <w:t xml:space="preserve"> de ofertas en los procesos de selección del </w:t>
      </w:r>
      <w:r w:rsidRPr="00423E69">
        <w:rPr>
          <w:rFonts w:ascii="Arial" w:hAnsi="Arial" w:cs="Arial"/>
          <w:color w:val="161616" w:themeColor="background1" w:themeShade="1A"/>
          <w:sz w:val="22"/>
          <w:szCs w:val="22"/>
          <w:lang w:val="es-ES_tradnl" w:eastAsia="x-none"/>
        </w:rPr>
        <w:t>Estatuto General de la Contratación de la Administración Pública</w:t>
      </w:r>
      <w:r w:rsidRPr="00423E69">
        <w:rPr>
          <w:rFonts w:ascii="Arial" w:eastAsia="Calibri" w:hAnsi="Arial" w:cs="Arial"/>
          <w:color w:val="161616" w:themeColor="background1" w:themeShade="1A"/>
          <w:sz w:val="22"/>
          <w:szCs w:val="22"/>
          <w:lang w:val="es-ES_tradnl"/>
        </w:rPr>
        <w:t xml:space="preserve">, entre otros pronunciamientos, en los conceptos: </w:t>
      </w:r>
      <w:r w:rsidRPr="00423E69">
        <w:rPr>
          <w:rFonts w:ascii="Arial" w:eastAsia="Calibri" w:hAnsi="Arial" w:cs="Arial"/>
          <w:sz w:val="22"/>
          <w:szCs w:val="22"/>
          <w:lang w:val="es-ES_tradnl" w:eastAsia="en-US"/>
        </w:rPr>
        <w:t>radicados Nos.</w:t>
      </w:r>
      <w:r w:rsidRPr="00423E69">
        <w:rPr>
          <w:rStyle w:val="normaltextrun"/>
          <w:rFonts w:ascii="Arial" w:hAnsi="Arial" w:cs="Arial"/>
          <w:color w:val="000000"/>
          <w:sz w:val="22"/>
          <w:szCs w:val="22"/>
          <w:shd w:val="clear" w:color="auto" w:fill="FFFFFF"/>
          <w:lang w:val="es-MX"/>
        </w:rPr>
        <w:t xml:space="preserve"> 4201913000006471 del 28 de octubre de 2019, 4201912000006711 del 12 de noviembre de 2019 y 4201912000006496 del 15 de noviembre de 2019; las cuales se unificaron en el Concepto CU-060 d</w:t>
      </w:r>
      <w:r w:rsidRPr="00423E69">
        <w:rPr>
          <w:rStyle w:val="normaltextrun"/>
          <w:rFonts w:ascii="Arial" w:hAnsi="Arial" w:cs="Arial"/>
          <w:sz w:val="22"/>
          <w:szCs w:val="22"/>
          <w:shd w:val="clear" w:color="auto" w:fill="FFFFFF"/>
          <w:lang w:val="es-MX"/>
        </w:rPr>
        <w:t>el 16 de enero de 2020</w:t>
      </w:r>
      <w:r w:rsidRPr="00423E69">
        <w:rPr>
          <w:rFonts w:ascii="Arial" w:eastAsia="Calibri" w:hAnsi="Arial" w:cs="Arial"/>
          <w:sz w:val="22"/>
          <w:szCs w:val="22"/>
          <w:lang w:val="es-ES_tradnl" w:eastAsia="en-US"/>
        </w:rPr>
        <w:t xml:space="preserve">, C–082 de 27 de enero de 2020, C–127 de 12 de febrero de 2020, </w:t>
      </w:r>
      <w:r w:rsidRPr="00423E69">
        <w:rPr>
          <w:rStyle w:val="normaltextrun"/>
          <w:rFonts w:ascii="Arial" w:hAnsi="Arial" w:cs="Arial"/>
          <w:color w:val="000000"/>
          <w:sz w:val="22"/>
          <w:szCs w:val="22"/>
          <w:shd w:val="clear" w:color="auto" w:fill="FFFFFF"/>
          <w:lang w:val="es-MX"/>
        </w:rPr>
        <w:t xml:space="preserve">C-121 del 3 de marzo de 2020, C-160 del 3 de abril de 2020, C-013 del 17 de abril de 2020, </w:t>
      </w:r>
      <w:r w:rsidRPr="00423E69">
        <w:rPr>
          <w:rStyle w:val="normaltextrun"/>
          <w:rFonts w:ascii="Arial" w:hAnsi="Arial" w:cs="Arial"/>
          <w:color w:val="000000"/>
          <w:sz w:val="22"/>
          <w:szCs w:val="22"/>
          <w:shd w:val="clear" w:color="auto" w:fill="FFFFFF"/>
          <w:lang w:val="es-ES"/>
        </w:rPr>
        <w:t xml:space="preserve">C-294 del 18 de mayo de 2020, C-276 y C-277 del 26 de mayo de 2020, C–380 y C–381 del 1 de junio de 2020, C-404 del 12 de junio de 2020, </w:t>
      </w:r>
      <w:r w:rsidRPr="00423E69">
        <w:rPr>
          <w:rStyle w:val="normaltextrun"/>
          <w:rFonts w:ascii="Arial" w:hAnsi="Arial" w:cs="Arial"/>
          <w:color w:val="000000"/>
          <w:sz w:val="22"/>
          <w:szCs w:val="22"/>
          <w:shd w:val="clear" w:color="auto" w:fill="FFFFFF"/>
          <w:lang w:val="es-ES"/>
        </w:rPr>
        <w:lastRenderedPageBreak/>
        <w:t xml:space="preserve">C-352 del 30 de junio de 2020, C-430 del 7 de julio de 2020, C-481 del 27 de julio de 2020, </w:t>
      </w:r>
      <w:r w:rsidRPr="00423E69">
        <w:rPr>
          <w:rStyle w:val="normaltextrun"/>
          <w:rFonts w:ascii="Arial" w:hAnsi="Arial" w:cs="Arial"/>
          <w:color w:val="000000"/>
          <w:sz w:val="22"/>
          <w:szCs w:val="22"/>
          <w:shd w:val="clear" w:color="auto" w:fill="FFFFFF"/>
          <w:lang w:val="es-MX"/>
        </w:rPr>
        <w:t xml:space="preserve">C-465 del 27 de julio de 2020, </w:t>
      </w:r>
      <w:r w:rsidRPr="00423E69">
        <w:rPr>
          <w:rStyle w:val="normaltextrun"/>
          <w:rFonts w:ascii="Arial" w:hAnsi="Arial" w:cs="Arial"/>
          <w:color w:val="000000"/>
          <w:sz w:val="22"/>
          <w:szCs w:val="22"/>
          <w:shd w:val="clear" w:color="auto" w:fill="FFFFFF"/>
          <w:lang w:val="es-ES"/>
        </w:rPr>
        <w:t xml:space="preserve">C-502 del 29 de julio de 2020, C-500 del 3 de agosto de 2020, </w:t>
      </w:r>
      <w:r w:rsidRPr="00423E69">
        <w:rPr>
          <w:rStyle w:val="normaltextrun"/>
          <w:rFonts w:ascii="Arial" w:hAnsi="Arial" w:cs="Arial"/>
          <w:color w:val="000000"/>
          <w:sz w:val="22"/>
          <w:szCs w:val="22"/>
          <w:shd w:val="clear" w:color="auto" w:fill="FFFFFF"/>
          <w:lang w:val="es-MX"/>
        </w:rPr>
        <w:t xml:space="preserve">C-557 del 21 de agosto de 2020, </w:t>
      </w:r>
      <w:r w:rsidRPr="00423E69">
        <w:rPr>
          <w:rStyle w:val="normaltextrun"/>
          <w:rFonts w:ascii="Arial" w:hAnsi="Arial" w:cs="Arial"/>
          <w:color w:val="000000"/>
          <w:sz w:val="22"/>
          <w:szCs w:val="22"/>
          <w:shd w:val="clear" w:color="auto" w:fill="FFFFFF"/>
          <w:lang w:val="es-ES"/>
        </w:rPr>
        <w:t xml:space="preserve">C-563 del 26 de agosto de 2020, C-570 del 27 de agosto de 2020, </w:t>
      </w:r>
      <w:r w:rsidRPr="00423E69">
        <w:rPr>
          <w:rStyle w:val="normaltextrun"/>
          <w:rFonts w:ascii="Arial" w:hAnsi="Arial" w:cs="Arial"/>
          <w:color w:val="000000"/>
          <w:sz w:val="22"/>
          <w:szCs w:val="22"/>
          <w:shd w:val="clear" w:color="auto" w:fill="FFFFFF"/>
          <w:lang w:val="es-MX"/>
        </w:rPr>
        <w:t>C-573 del 27 de agosto de 2020 , C-595 del 21 de septiembre de 2020,</w:t>
      </w:r>
      <w:r w:rsidRPr="00423E69">
        <w:rPr>
          <w:rStyle w:val="normaltextrun"/>
          <w:rFonts w:ascii="Arial" w:hAnsi="Arial" w:cs="Arial"/>
          <w:color w:val="000000"/>
          <w:sz w:val="22"/>
          <w:szCs w:val="22"/>
          <w:shd w:val="clear" w:color="auto" w:fill="FFFFFF"/>
          <w:lang w:val="es-ES"/>
        </w:rPr>
        <w:t xml:space="preserve"> C-713 del 2 de diciembre de 2020 y C-744 del 22 de diciembre de 2020, C-083 del 18 de marzo de 2021, C-311 del 10 de junio de 2021 y C-329 del 8 de julio de 2021</w:t>
      </w:r>
      <w:r w:rsidRPr="00423E69">
        <w:rPr>
          <w:rFonts w:ascii="Arial" w:eastAsia="Calibri" w:hAnsi="Arial" w:cs="Arial"/>
          <w:sz w:val="22"/>
          <w:szCs w:val="22"/>
          <w:lang w:val="es-ES_tradnl" w:eastAsia="en-US"/>
        </w:rPr>
        <w:t xml:space="preserve">C-568 del 11 de octubre de 2021, C-728 de 26 de enero de 2022, C- 114 de 22 de marzo de 2022, C-285 de 20 de mayo de 2022 y C-343 de 31 de mayo de 2022. </w:t>
      </w:r>
      <w:r w:rsidRPr="00423E69">
        <w:rPr>
          <w:rFonts w:ascii="Arial" w:eastAsia="Arial" w:hAnsi="Arial" w:cs="Arial"/>
          <w:color w:val="161616" w:themeColor="background1" w:themeShade="1A"/>
          <w:sz w:val="22"/>
          <w:szCs w:val="22"/>
          <w:lang w:val="es-ES_tradnl"/>
        </w:rPr>
        <w:t>Las tesis desarrolladas en estos conceptos se reiteran y complementan a continuación</w:t>
      </w:r>
      <w:r w:rsidRPr="00423E69">
        <w:rPr>
          <w:rFonts w:ascii="Arial" w:eastAsia="Calibri" w:hAnsi="Arial" w:cs="Arial"/>
          <w:sz w:val="22"/>
          <w:szCs w:val="22"/>
          <w:lang w:val="es-ES_tradnl" w:eastAsia="en-US"/>
        </w:rPr>
        <w:t>:</w:t>
      </w:r>
    </w:p>
    <w:p w14:paraId="13C2D229" w14:textId="77777777" w:rsidR="004B2BFB" w:rsidRPr="00423E69" w:rsidRDefault="004B2BFB" w:rsidP="004B2BFB">
      <w:pPr>
        <w:spacing w:line="276" w:lineRule="auto"/>
        <w:ind w:firstLine="708"/>
        <w:jc w:val="both"/>
        <w:rPr>
          <w:rFonts w:ascii="Arial" w:hAnsi="Arial" w:cs="Arial"/>
          <w:color w:val="000000" w:themeColor="text1"/>
          <w:sz w:val="22"/>
          <w:lang w:val="es-ES_tradnl"/>
        </w:rPr>
      </w:pPr>
      <w:r w:rsidRPr="00423E69">
        <w:rPr>
          <w:rFonts w:ascii="Arial" w:eastAsiaTheme="minorHAnsi" w:hAnsi="Arial" w:cs="Arial"/>
          <w:sz w:val="22"/>
          <w:szCs w:val="22"/>
          <w:lang w:val="es-ES_tradnl" w:eastAsia="en-US"/>
        </w:rPr>
        <w:t xml:space="preserve">La Agencia Nacional de Contratación Pública – Colombia Compra Eficiente, mediante concepto CU - 060 de 16 de enero de 2020, unificó su postura entorno al alcance de la regla de </w:t>
      </w:r>
      <w:proofErr w:type="spellStart"/>
      <w:r w:rsidRPr="00423E69">
        <w:rPr>
          <w:rFonts w:ascii="Arial" w:eastAsiaTheme="minorHAnsi" w:hAnsi="Arial" w:cs="Arial"/>
          <w:sz w:val="22"/>
          <w:szCs w:val="22"/>
          <w:lang w:val="es-ES_tradnl" w:eastAsia="en-US"/>
        </w:rPr>
        <w:t>subsanabilidad</w:t>
      </w:r>
      <w:proofErr w:type="spellEnd"/>
      <w:r w:rsidRPr="00423E69">
        <w:rPr>
          <w:rFonts w:ascii="Arial" w:eastAsiaTheme="minorHAnsi" w:hAnsi="Arial" w:cs="Arial"/>
          <w:sz w:val="22"/>
          <w:szCs w:val="22"/>
          <w:lang w:val="es-ES_tradnl" w:eastAsia="en-US"/>
        </w:rPr>
        <w:t xml:space="preserve"> contemplada en el artículo 5 de la Ley 1150 de 2007, en los siguientes términos: </w:t>
      </w:r>
      <w:r w:rsidRPr="00423E69">
        <w:rPr>
          <w:rFonts w:ascii="Arial" w:hAnsi="Arial" w:cs="Arial"/>
          <w:color w:val="000000" w:themeColor="text1"/>
          <w:sz w:val="22"/>
          <w:lang w:val="es-ES_tradnl"/>
        </w:rPr>
        <w:t xml:space="preserve">por regla general, i) la falta de entrega o </w:t>
      </w:r>
      <w:proofErr w:type="spellStart"/>
      <w:r w:rsidRPr="00423E69">
        <w:rPr>
          <w:rFonts w:ascii="Arial" w:hAnsi="Arial" w:cs="Arial"/>
          <w:color w:val="000000" w:themeColor="text1"/>
          <w:sz w:val="22"/>
          <w:lang w:val="es-ES_tradnl"/>
        </w:rPr>
        <w:t>ii</w:t>
      </w:r>
      <w:proofErr w:type="spellEnd"/>
      <w:r w:rsidRPr="00423E69">
        <w:rPr>
          <w:rFonts w:ascii="Arial" w:hAnsi="Arial" w:cs="Arial"/>
          <w:color w:val="000000" w:themeColor="text1"/>
          <w:sz w:val="22"/>
          <w:lang w:val="es-ES_tradnl"/>
        </w:rPr>
        <w:t>) los defectos, de los requisitos habilitantes, son subsanables</w:t>
      </w:r>
      <w:r w:rsidRPr="00423E69">
        <w:rPr>
          <w:rStyle w:val="Refdenotaalpie"/>
          <w:rFonts w:ascii="Arial" w:eastAsiaTheme="minorHAnsi" w:hAnsi="Arial" w:cs="Arial"/>
          <w:sz w:val="22"/>
          <w:szCs w:val="22"/>
          <w:lang w:val="es-ES_tradnl" w:eastAsia="en-US"/>
        </w:rPr>
        <w:footnoteReference w:id="1"/>
      </w:r>
      <w:r w:rsidRPr="00423E69">
        <w:rPr>
          <w:rFonts w:ascii="Arial" w:hAnsi="Arial" w:cs="Arial"/>
          <w:color w:val="000000" w:themeColor="text1"/>
          <w:sz w:val="22"/>
          <w:lang w:val="es-ES_tradnl"/>
        </w:rPr>
        <w:t xml:space="preserve">. La excepción se encuentra en los casos, previstos en la ley, que limitan la </w:t>
      </w:r>
      <w:proofErr w:type="spellStart"/>
      <w:r w:rsidRPr="00423E69">
        <w:rPr>
          <w:rFonts w:ascii="Arial" w:hAnsi="Arial" w:cs="Arial"/>
          <w:color w:val="000000" w:themeColor="text1"/>
          <w:sz w:val="22"/>
          <w:lang w:val="es-ES_tradnl"/>
        </w:rPr>
        <w:t>subsanabilidad</w:t>
      </w:r>
      <w:proofErr w:type="spellEnd"/>
      <w:r w:rsidRPr="00423E69">
        <w:rPr>
          <w:rFonts w:ascii="Arial" w:hAnsi="Arial" w:cs="Arial"/>
          <w:color w:val="000000" w:themeColor="text1"/>
          <w:sz w:val="22"/>
          <w:lang w:val="es-ES_tradnl"/>
        </w:rPr>
        <w:t xml:space="preserve">, es decir, en la prohibición de permitir la entrega de la garantía de seriedad de la oferta que no fue aportada con la propuesta y de valer la acreditación de circunstancias ocurridas con posterioridad al cierre del proceso. </w:t>
      </w:r>
    </w:p>
    <w:p w14:paraId="340530E8"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Sobre este aspecto, debe resaltarse que la posibilidad de enmendar, corregir o subsanar los errores en los que se incurre en los documentos contentivos de la oferta es un tema que ha tenido diferentes momentos o etapas en el ordenamiento jurídico colombiano. </w:t>
      </w:r>
    </w:p>
    <w:p w14:paraId="46320F18"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En un </w:t>
      </w:r>
      <w:r w:rsidRPr="00423E69">
        <w:rPr>
          <w:rFonts w:ascii="Arial" w:eastAsiaTheme="minorHAnsi" w:hAnsi="Arial" w:cs="Arial"/>
          <w:i/>
          <w:sz w:val="22"/>
          <w:szCs w:val="22"/>
          <w:lang w:val="es-ES_tradnl" w:eastAsia="en-US"/>
        </w:rPr>
        <w:t>primer momento</w:t>
      </w:r>
      <w:r w:rsidRPr="00423E69">
        <w:rPr>
          <w:rFonts w:ascii="Arial" w:eastAsiaTheme="minorHAnsi" w:hAnsi="Arial" w:cs="Arial"/>
          <w:sz w:val="22"/>
          <w:szCs w:val="22"/>
          <w:lang w:val="es-ES_tradnl" w:eastAsia="en-US"/>
        </w:rPr>
        <w:t xml:space="preserve">, antes de la </w:t>
      </w:r>
      <w:proofErr w:type="gramStart"/>
      <w:r w:rsidRPr="00423E69">
        <w:rPr>
          <w:rFonts w:ascii="Arial" w:eastAsiaTheme="minorHAnsi" w:hAnsi="Arial" w:cs="Arial"/>
          <w:sz w:val="22"/>
          <w:szCs w:val="22"/>
          <w:lang w:val="es-ES_tradnl" w:eastAsia="en-US"/>
        </w:rPr>
        <w:t>entrada en vigencia</w:t>
      </w:r>
      <w:proofErr w:type="gramEnd"/>
      <w:r w:rsidRPr="00423E69">
        <w:rPr>
          <w:rFonts w:ascii="Arial" w:eastAsiaTheme="minorHAnsi" w:hAnsi="Arial" w:cs="Arial"/>
          <w:sz w:val="22"/>
          <w:szCs w:val="22"/>
          <w:lang w:val="es-ES_tradnl" w:eastAsia="en-US"/>
        </w:rPr>
        <w:t xml:space="preserve"> de la Constitución Política de 1991, el régimen jurídico de la </w:t>
      </w:r>
      <w:proofErr w:type="spellStart"/>
      <w:r w:rsidRPr="00423E69">
        <w:rPr>
          <w:rFonts w:ascii="Arial" w:eastAsiaTheme="minorHAnsi" w:hAnsi="Arial" w:cs="Arial"/>
          <w:sz w:val="22"/>
          <w:szCs w:val="22"/>
          <w:lang w:val="es-ES_tradnl" w:eastAsia="en-US"/>
        </w:rPr>
        <w:t>subsanabilidad</w:t>
      </w:r>
      <w:proofErr w:type="spellEnd"/>
      <w:r w:rsidRPr="00423E69">
        <w:rPr>
          <w:rFonts w:ascii="Arial" w:eastAsiaTheme="minorHAnsi" w:hAnsi="Arial" w:cs="Arial"/>
          <w:sz w:val="22"/>
          <w:szCs w:val="22"/>
          <w:lang w:val="es-ES_tradnl" w:eastAsia="en-US"/>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0979EB42"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En un </w:t>
      </w:r>
      <w:r w:rsidRPr="00423E69">
        <w:rPr>
          <w:rFonts w:ascii="Arial" w:eastAsiaTheme="minorHAnsi" w:hAnsi="Arial" w:cs="Arial"/>
          <w:i/>
          <w:sz w:val="22"/>
          <w:szCs w:val="22"/>
          <w:lang w:val="es-ES_tradnl" w:eastAsia="en-US"/>
        </w:rPr>
        <w:t>segundo momento</w:t>
      </w:r>
      <w:r w:rsidRPr="00423E69">
        <w:rPr>
          <w:rFonts w:ascii="Arial" w:eastAsiaTheme="minorHAnsi" w:hAnsi="Arial" w:cs="Arial"/>
          <w:sz w:val="22"/>
          <w:szCs w:val="22"/>
          <w:lang w:val="es-ES_tradnl" w:eastAsia="en-US"/>
        </w:rPr>
        <w:t xml:space="preserve"> se expidió la Ley 80 de 1993, bajo el nuevo paradigma que supuso la Constitución de 1991, particularmente en la forma como se relaciona lo formal y lo sustancial en las actuaciones judiciales y administrativas, el cual quedó consignado en el artículo 228, que introdujo un principio de supremacía o prevalencia del derecho </w:t>
      </w:r>
      <w:r w:rsidRPr="00423E69">
        <w:rPr>
          <w:rFonts w:ascii="Arial" w:eastAsiaTheme="minorHAnsi" w:hAnsi="Arial" w:cs="Arial"/>
          <w:sz w:val="22"/>
          <w:szCs w:val="22"/>
          <w:lang w:val="es-ES_tradnl" w:eastAsia="en-US"/>
        </w:rPr>
        <w:lastRenderedPageBreak/>
        <w:t xml:space="preserve">sustancial sobre lo procedimental. En este nuevo escenario constitucional, el numeral 15 del artículo 25 de la Ley 80 de 1993 dispuso lo siguiente: </w:t>
      </w:r>
    </w:p>
    <w:p w14:paraId="2542E6CB" w14:textId="77777777" w:rsidR="004B2BFB" w:rsidRPr="00423E69" w:rsidRDefault="004B2BFB" w:rsidP="004B2BFB">
      <w:pPr>
        <w:spacing w:before="240"/>
        <w:ind w:left="709" w:right="709"/>
        <w:jc w:val="both"/>
        <w:rPr>
          <w:rFonts w:ascii="Arial" w:eastAsiaTheme="minorHAnsi" w:hAnsi="Arial" w:cs="Arial"/>
          <w:sz w:val="21"/>
          <w:szCs w:val="21"/>
          <w:lang w:val="es-ES_tradnl" w:eastAsia="en-US"/>
        </w:rPr>
      </w:pPr>
      <w:r w:rsidRPr="00423E69">
        <w:rPr>
          <w:rFonts w:ascii="Arial" w:eastAsiaTheme="minorHAnsi" w:hAnsi="Arial" w:cs="Arial"/>
          <w:sz w:val="21"/>
          <w:szCs w:val="21"/>
          <w:lang w:val="es-ES_tradnl" w:eastAsia="en-US"/>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29CCCD8" w14:textId="77777777" w:rsidR="004B2BFB" w:rsidRPr="00423E69" w:rsidRDefault="004B2BFB" w:rsidP="004B2BFB">
      <w:pPr>
        <w:spacing w:before="240"/>
        <w:ind w:left="709" w:right="709"/>
        <w:jc w:val="both"/>
        <w:rPr>
          <w:rFonts w:ascii="Arial" w:eastAsiaTheme="minorHAnsi" w:hAnsi="Arial" w:cs="Arial"/>
          <w:sz w:val="21"/>
          <w:szCs w:val="21"/>
          <w:lang w:val="es-ES_tradnl" w:eastAsia="en-US"/>
        </w:rPr>
      </w:pPr>
      <w:r w:rsidRPr="00423E69">
        <w:rPr>
          <w:rFonts w:ascii="Arial" w:eastAsiaTheme="minorHAnsi" w:hAnsi="Arial" w:cs="Arial"/>
          <w:sz w:val="21"/>
          <w:szCs w:val="21"/>
          <w:lang w:val="es-ES_tradnl" w:eastAsia="en-US"/>
        </w:rPr>
        <w:t xml:space="preserve">La ausencia de requisitos o la falta de documentos referentes a la futura contratación o al proponente, no necesarios para la comparación de propuestas, no servirá de título suficiente para el rechazo de los ofrecimientos hechos. </w:t>
      </w:r>
    </w:p>
    <w:p w14:paraId="246B3ECE" w14:textId="77777777" w:rsidR="004B2BFB" w:rsidRPr="00423E69" w:rsidRDefault="004B2BFB" w:rsidP="004B2BFB">
      <w:pPr>
        <w:spacing w:line="276" w:lineRule="auto"/>
        <w:ind w:firstLine="709"/>
        <w:jc w:val="both"/>
        <w:rPr>
          <w:rFonts w:ascii="Arial" w:eastAsiaTheme="minorHAnsi" w:hAnsi="Arial" w:cs="Arial"/>
          <w:sz w:val="22"/>
          <w:szCs w:val="22"/>
          <w:lang w:val="es-ES_tradnl" w:eastAsia="en-US"/>
        </w:rPr>
      </w:pPr>
    </w:p>
    <w:p w14:paraId="4155317D" w14:textId="77777777" w:rsidR="004B2BFB" w:rsidRPr="00423E69" w:rsidRDefault="004B2BFB" w:rsidP="004B2BFB">
      <w:pPr>
        <w:spacing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Bajo el amparo de esta norma, el régimen jurídico de </w:t>
      </w:r>
      <w:proofErr w:type="spellStart"/>
      <w:r w:rsidRPr="00423E69">
        <w:rPr>
          <w:rFonts w:ascii="Arial" w:eastAsiaTheme="minorHAnsi" w:hAnsi="Arial" w:cs="Arial"/>
          <w:sz w:val="22"/>
          <w:szCs w:val="22"/>
          <w:lang w:val="es-ES_tradnl" w:eastAsia="en-US"/>
        </w:rPr>
        <w:t>subsanabilidad</w:t>
      </w:r>
      <w:proofErr w:type="spellEnd"/>
      <w:r w:rsidRPr="00423E69">
        <w:rPr>
          <w:rFonts w:ascii="Arial" w:eastAsiaTheme="minorHAnsi" w:hAnsi="Arial" w:cs="Arial"/>
          <w:sz w:val="22"/>
          <w:szCs w:val="22"/>
          <w:lang w:val="es-ES_tradnl" w:eastAsia="en-US"/>
        </w:rPr>
        <w:t xml:space="preserve"> de las ofertas sufrió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7C585B47"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Esta norma debía leerse en conjunto con otras de la Ley 80 de 1993, particularmente con el artículo 30.7</w:t>
      </w:r>
      <w:r w:rsidRPr="00423E69">
        <w:rPr>
          <w:rFonts w:ascii="Arial" w:eastAsiaTheme="minorHAnsi" w:hAnsi="Arial" w:cs="Arial"/>
          <w:sz w:val="22"/>
          <w:szCs w:val="22"/>
          <w:vertAlign w:val="superscript"/>
          <w:lang w:val="es-ES_tradnl" w:eastAsia="en-US"/>
        </w:rPr>
        <w:footnoteReference w:id="2"/>
      </w:r>
      <w:r w:rsidRPr="00423E69">
        <w:rPr>
          <w:rFonts w:ascii="Arial" w:eastAsiaTheme="minorHAnsi" w:hAnsi="Arial" w:cs="Arial"/>
          <w:sz w:val="22"/>
          <w:szCs w:val="22"/>
          <w:lang w:val="es-ES_tradnl" w:eastAsia="en-US"/>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423E69">
        <w:rPr>
          <w:rFonts w:ascii="Arial" w:eastAsiaTheme="minorHAnsi" w:hAnsi="Arial" w:cs="Arial"/>
          <w:sz w:val="22"/>
          <w:szCs w:val="22"/>
          <w:vertAlign w:val="superscript"/>
          <w:lang w:val="es-ES_tradnl" w:eastAsia="en-US"/>
        </w:rPr>
        <w:footnoteReference w:id="3"/>
      </w:r>
      <w:r w:rsidRPr="00423E69">
        <w:rPr>
          <w:rFonts w:ascii="Arial" w:eastAsiaTheme="minorHAnsi" w:hAnsi="Arial" w:cs="Arial"/>
          <w:sz w:val="22"/>
          <w:szCs w:val="22"/>
          <w:lang w:val="es-ES_tradnl" w:eastAsia="en-US"/>
        </w:rPr>
        <w:t xml:space="preserve">, que consagró el término de 5 días hábiles para que los oferentes presenten observaciones al informe de evaluación de las propuestas, sin que sea posible completar, adicionar, modificar o mejorar su oferta.  </w:t>
      </w:r>
    </w:p>
    <w:p w14:paraId="64B2AEF2"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A partir de la lectura integrada de estas tres normas debía concluirse que con la Ley 80 de 1993 era posible subsanar las propuestas, y la omisión o el error en algún aspecto de </w:t>
      </w:r>
      <w:proofErr w:type="gramStart"/>
      <w:r w:rsidRPr="00423E69">
        <w:rPr>
          <w:rFonts w:ascii="Arial" w:eastAsiaTheme="minorHAnsi" w:hAnsi="Arial" w:cs="Arial"/>
          <w:sz w:val="22"/>
          <w:szCs w:val="22"/>
          <w:lang w:val="es-ES_tradnl" w:eastAsia="en-US"/>
        </w:rPr>
        <w:t>la misma</w:t>
      </w:r>
      <w:proofErr w:type="gramEnd"/>
      <w:r w:rsidRPr="00423E69">
        <w:rPr>
          <w:rFonts w:ascii="Arial" w:eastAsiaTheme="minorHAnsi" w:hAnsi="Arial" w:cs="Arial"/>
          <w:sz w:val="22"/>
          <w:szCs w:val="22"/>
          <w:lang w:val="es-ES_tradnl" w:eastAsia="en-US"/>
        </w:rPr>
        <w:t xml:space="preserve"> no podía llevar a su rechazo, sin antes verificar que lo omitido fuera un aspecto necesario para su comparación. </w:t>
      </w:r>
    </w:p>
    <w:p w14:paraId="35EE795E"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lastRenderedPageBreak/>
        <w:t xml:space="preserve">En un </w:t>
      </w:r>
      <w:r w:rsidRPr="00423E69">
        <w:rPr>
          <w:rFonts w:ascii="Arial" w:eastAsiaTheme="minorHAnsi" w:hAnsi="Arial" w:cs="Arial"/>
          <w:i/>
          <w:sz w:val="22"/>
          <w:szCs w:val="22"/>
          <w:lang w:val="es-ES_tradnl" w:eastAsia="en-US"/>
        </w:rPr>
        <w:t>tercer momento</w:t>
      </w:r>
      <w:r w:rsidRPr="00423E69">
        <w:rPr>
          <w:rFonts w:ascii="Arial" w:eastAsiaTheme="minorHAnsi" w:hAnsi="Arial" w:cs="Arial"/>
          <w:sz w:val="22"/>
          <w:szCs w:val="22"/>
          <w:lang w:val="es-ES_tradnl" w:eastAsia="en-US"/>
        </w:rPr>
        <w:t>, siguiendo la línea trazada por la Ley 80 de 1993, el legislador expidió la Ley 1150 de 2007, que en el parágrafo 1º del artículo 5 determinó lo siguiente:</w:t>
      </w:r>
    </w:p>
    <w:p w14:paraId="18B2E3DE" w14:textId="77777777" w:rsidR="004B2BFB" w:rsidRPr="00423E69" w:rsidRDefault="004B2BFB" w:rsidP="004B2BFB">
      <w:pPr>
        <w:spacing w:before="240"/>
        <w:ind w:left="709" w:right="709"/>
        <w:jc w:val="both"/>
        <w:rPr>
          <w:rFonts w:ascii="Arial" w:eastAsiaTheme="minorHAnsi" w:hAnsi="Arial" w:cs="Arial"/>
          <w:sz w:val="21"/>
          <w:szCs w:val="21"/>
          <w:lang w:val="es-ES_tradnl" w:eastAsia="en-US"/>
        </w:rPr>
      </w:pPr>
      <w:r w:rsidRPr="00423E69">
        <w:rPr>
          <w:rFonts w:ascii="Arial" w:eastAsiaTheme="minorHAnsi" w:hAnsi="Arial" w:cs="Arial"/>
          <w:sz w:val="21"/>
          <w:szCs w:val="21"/>
          <w:lang w:val="es-ES_tradnl" w:eastAsia="en-US"/>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423E69">
        <w:rPr>
          <w:rFonts w:ascii="Arial" w:eastAsiaTheme="minorHAnsi" w:hAnsi="Arial" w:cs="Arial"/>
          <w:b/>
          <w:sz w:val="21"/>
          <w:szCs w:val="21"/>
          <w:lang w:val="es-ES_tradnl" w:eastAsia="en-US"/>
        </w:rPr>
        <w:t xml:space="preserve">, </w:t>
      </w:r>
      <w:r w:rsidRPr="00423E69">
        <w:rPr>
          <w:rFonts w:ascii="Arial" w:eastAsiaTheme="minorHAnsi" w:hAnsi="Arial" w:cs="Arial"/>
          <w:sz w:val="21"/>
          <w:szCs w:val="21"/>
          <w:lang w:val="es-ES_tradnl" w:eastAsia="en-US"/>
        </w:rPr>
        <w:t xml:space="preserve">todos aquellos requisitos de la propuesta que no afecten la asignación de </w:t>
      </w:r>
      <w:proofErr w:type="gramStart"/>
      <w:r w:rsidRPr="00423E69">
        <w:rPr>
          <w:rFonts w:ascii="Arial" w:eastAsiaTheme="minorHAnsi" w:hAnsi="Arial" w:cs="Arial"/>
          <w:sz w:val="21"/>
          <w:szCs w:val="21"/>
          <w:lang w:val="es-ES_tradnl" w:eastAsia="en-US"/>
        </w:rPr>
        <w:t>puntaje,</w:t>
      </w:r>
      <w:proofErr w:type="gramEnd"/>
      <w:r w:rsidRPr="00423E69">
        <w:rPr>
          <w:rFonts w:ascii="Arial" w:eastAsiaTheme="minorHAnsi" w:hAnsi="Arial" w:cs="Arial"/>
          <w:sz w:val="21"/>
          <w:szCs w:val="21"/>
          <w:lang w:val="es-ES_tradnl" w:eastAsia="en-US"/>
        </w:rPr>
        <w:t xml:space="preserve"> podrán ser solicitados por las entidades en cualquier momento, hasta la adjudicación. No </w:t>
      </w:r>
      <w:proofErr w:type="gramStart"/>
      <w:r w:rsidRPr="00423E69">
        <w:rPr>
          <w:rFonts w:ascii="Arial" w:eastAsiaTheme="minorHAnsi" w:hAnsi="Arial" w:cs="Arial"/>
          <w:sz w:val="21"/>
          <w:szCs w:val="21"/>
          <w:lang w:val="es-ES_tradnl" w:eastAsia="en-US"/>
        </w:rPr>
        <w:t>obstante</w:t>
      </w:r>
      <w:proofErr w:type="gramEnd"/>
      <w:r w:rsidRPr="00423E69">
        <w:rPr>
          <w:rFonts w:ascii="Arial" w:eastAsiaTheme="minorHAnsi" w:hAnsi="Arial" w:cs="Arial"/>
          <w:sz w:val="21"/>
          <w:szCs w:val="21"/>
          <w:lang w:val="es-ES_tradnl" w:eastAsia="en-US"/>
        </w:rPr>
        <w:t xml:space="preserve"> lo anterior, en aquellos procesos de selección en los que se utilice el mecanismo de subasta, deberán ser solicitados hasta el momento previo a su realización.</w:t>
      </w:r>
    </w:p>
    <w:p w14:paraId="21DC7186" w14:textId="77777777" w:rsidR="004B2BFB" w:rsidRPr="00423E69" w:rsidRDefault="004B2BFB" w:rsidP="004B2BFB">
      <w:pPr>
        <w:spacing w:line="276" w:lineRule="auto"/>
        <w:ind w:firstLine="709"/>
        <w:jc w:val="both"/>
        <w:rPr>
          <w:rFonts w:ascii="Arial" w:eastAsiaTheme="minorHAnsi" w:hAnsi="Arial" w:cs="Arial"/>
          <w:sz w:val="22"/>
          <w:szCs w:val="22"/>
          <w:lang w:val="es-ES_tradnl" w:eastAsia="en-US"/>
        </w:rPr>
      </w:pPr>
    </w:p>
    <w:p w14:paraId="20FBEC29" w14:textId="77777777" w:rsidR="004B2BFB" w:rsidRPr="00423E69" w:rsidRDefault="004B2BFB" w:rsidP="004B2BFB">
      <w:pPr>
        <w:spacing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7B9FA97F"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37366DB7"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El artículo 5 de la Ley 1150 de 2007, además de consagrar un criterio más claro, y, de paso, reducir la discrecionalidad de la Administración, fijó un ámbito temporal para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w:t>
      </w:r>
    </w:p>
    <w:p w14:paraId="3E1BD3A2" w14:textId="77777777" w:rsidR="004B2BFB" w:rsidRPr="00423E69" w:rsidRDefault="004B2BFB" w:rsidP="004B2BFB">
      <w:pPr>
        <w:spacing w:before="240"/>
        <w:ind w:left="709" w:right="709"/>
        <w:jc w:val="both"/>
        <w:rPr>
          <w:rFonts w:ascii="Arial" w:eastAsiaTheme="minorHAnsi" w:hAnsi="Arial" w:cs="Arial"/>
          <w:sz w:val="21"/>
          <w:szCs w:val="21"/>
          <w:lang w:val="es-ES_tradnl" w:eastAsia="en-US"/>
        </w:rPr>
      </w:pPr>
      <w:r w:rsidRPr="00423E69">
        <w:rPr>
          <w:rFonts w:ascii="Arial" w:eastAsiaTheme="minorHAnsi" w:hAnsi="Arial" w:cs="Arial"/>
          <w:sz w:val="21"/>
          <w:szCs w:val="21"/>
          <w:lang w:val="es-ES_tradnl" w:eastAsia="en-U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423E69">
        <w:rPr>
          <w:rFonts w:ascii="Arial" w:eastAsiaTheme="minorHAnsi" w:hAnsi="Arial" w:cs="Arial"/>
          <w:sz w:val="21"/>
          <w:szCs w:val="21"/>
          <w:vertAlign w:val="superscript"/>
          <w:lang w:val="es-ES_tradnl" w:eastAsia="en-US"/>
        </w:rPr>
        <w:footnoteReference w:id="4"/>
      </w:r>
      <w:r w:rsidRPr="00423E69">
        <w:rPr>
          <w:rFonts w:ascii="Arial" w:eastAsiaTheme="minorHAnsi" w:hAnsi="Arial" w:cs="Arial"/>
          <w:sz w:val="21"/>
          <w:szCs w:val="21"/>
          <w:lang w:val="es-ES_tradnl" w:eastAsia="en-US"/>
        </w:rPr>
        <w:t>.</w:t>
      </w:r>
    </w:p>
    <w:p w14:paraId="4C92B2A3" w14:textId="77777777" w:rsidR="004B2BFB" w:rsidRPr="00423E69" w:rsidRDefault="004B2BFB" w:rsidP="004B2BFB">
      <w:pPr>
        <w:tabs>
          <w:tab w:val="left" w:pos="284"/>
        </w:tabs>
        <w:spacing w:before="24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lastRenderedPageBreak/>
        <w:t xml:space="preserve">Esa interpretación fue compartida por la </w:t>
      </w:r>
      <w:r w:rsidRPr="00423E69">
        <w:rPr>
          <w:rFonts w:ascii="Arial" w:hAnsi="Arial" w:cs="Arial"/>
          <w:sz w:val="22"/>
          <w:szCs w:val="22"/>
          <w:lang w:val="es-ES_tradnl" w:eastAsia="es-CO"/>
        </w:rPr>
        <w:t>Agencia Nacional de Contratación Pública – Colombia Compra Eficiente</w:t>
      </w:r>
      <w:r w:rsidRPr="00423E69">
        <w:rPr>
          <w:rFonts w:ascii="Arial" w:eastAsiaTheme="minorHAnsi" w:hAnsi="Arial" w:cs="Arial"/>
          <w:sz w:val="22"/>
          <w:szCs w:val="22"/>
          <w:lang w:val="es-ES_tradnl" w:eastAsia="en-US"/>
        </w:rPr>
        <w:t xml:space="preserve">, pues en la Circular Externa Única se precisó que, si durante un proceso de contratación hay proponentes que no acreditaron en sus ofertas requisitos que no afectan la asignación de puntaje o la comparación de </w:t>
      </w:r>
      <w:proofErr w:type="gramStart"/>
      <w:r w:rsidRPr="00423E69">
        <w:rPr>
          <w:rFonts w:ascii="Arial" w:eastAsiaTheme="minorHAnsi" w:hAnsi="Arial" w:cs="Arial"/>
          <w:sz w:val="22"/>
          <w:szCs w:val="22"/>
          <w:lang w:val="es-ES_tradnl" w:eastAsia="en-US"/>
        </w:rPr>
        <w:t>las mismas</w:t>
      </w:r>
      <w:proofErr w:type="gramEnd"/>
      <w:r w:rsidRPr="00423E69">
        <w:rPr>
          <w:rFonts w:ascii="Arial" w:eastAsiaTheme="minorHAnsi" w:hAnsi="Arial" w:cs="Arial"/>
          <w:sz w:val="22"/>
          <w:szCs w:val="22"/>
          <w:lang w:val="es-ES_tradnl" w:eastAsia="en-US"/>
        </w:rPr>
        <w:t>, la entidad estatal deberá indicarlo en el informe de evaluación y advertir que la correspondiente oferta no será evaluada hasta que se subsane.</w:t>
      </w:r>
    </w:p>
    <w:p w14:paraId="32DBE750" w14:textId="77777777" w:rsidR="004B2BFB" w:rsidRPr="00423E69" w:rsidRDefault="004B2BFB" w:rsidP="004B2BFB">
      <w:pPr>
        <w:tabs>
          <w:tab w:val="left" w:pos="284"/>
        </w:tabs>
        <w:spacing w:before="120" w:line="276" w:lineRule="auto"/>
        <w:ind w:firstLine="709"/>
        <w:jc w:val="both"/>
        <w:rPr>
          <w:rFonts w:ascii="Arial" w:hAnsi="Arial" w:cs="Arial"/>
          <w:sz w:val="22"/>
          <w:szCs w:val="22"/>
          <w:lang w:val="es-ES_tradnl" w:eastAsia="es-CO"/>
        </w:rPr>
      </w:pPr>
      <w:r w:rsidRPr="00423E69">
        <w:rPr>
          <w:rFonts w:ascii="Arial" w:hAnsi="Arial" w:cs="Arial"/>
          <w:sz w:val="22"/>
          <w:szCs w:val="22"/>
          <w:lang w:val="es-ES_tradnl" w:eastAsia="es-CO"/>
        </w:rPr>
        <w:t xml:space="preserve">Finalmente, en un </w:t>
      </w:r>
      <w:r w:rsidRPr="00423E69">
        <w:rPr>
          <w:rFonts w:ascii="Arial" w:hAnsi="Arial" w:cs="Arial"/>
          <w:i/>
          <w:sz w:val="22"/>
          <w:szCs w:val="22"/>
          <w:lang w:val="es-ES_tradnl" w:eastAsia="es-CO"/>
        </w:rPr>
        <w:t>cuarto momento</w:t>
      </w:r>
      <w:r w:rsidRPr="00423E69">
        <w:rPr>
          <w:rFonts w:ascii="Arial" w:hAnsi="Arial" w:cs="Arial"/>
          <w:sz w:val="22"/>
          <w:szCs w:val="22"/>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3945C892" w14:textId="77777777" w:rsidR="004B2BFB" w:rsidRPr="00423E69" w:rsidRDefault="004B2BFB" w:rsidP="004B2BFB">
      <w:pPr>
        <w:spacing w:before="240"/>
        <w:ind w:left="709" w:right="709"/>
        <w:jc w:val="both"/>
        <w:rPr>
          <w:rFonts w:ascii="Arial" w:eastAsiaTheme="minorHAnsi" w:hAnsi="Arial" w:cs="Arial"/>
          <w:sz w:val="21"/>
          <w:szCs w:val="21"/>
          <w:lang w:val="es-ES_tradnl" w:eastAsia="en-US"/>
        </w:rPr>
      </w:pPr>
      <w:r w:rsidRPr="00423E69">
        <w:rPr>
          <w:rFonts w:ascii="Arial" w:eastAsiaTheme="minorHAnsi" w:hAnsi="Arial" w:cs="Arial"/>
          <w:sz w:val="21"/>
          <w:szCs w:val="21"/>
          <w:lang w:val="es-ES_tradnl" w:eastAsia="en-US"/>
        </w:rPr>
        <w:t xml:space="preserve">Artículo 5°. De la selección objetiva. </w:t>
      </w:r>
    </w:p>
    <w:p w14:paraId="452C6114" w14:textId="77777777" w:rsidR="004B2BFB" w:rsidRPr="00423E69" w:rsidRDefault="004B2BFB" w:rsidP="004B2BFB">
      <w:pPr>
        <w:spacing w:before="240"/>
        <w:ind w:left="709" w:right="709"/>
        <w:jc w:val="both"/>
        <w:rPr>
          <w:rFonts w:ascii="Arial" w:eastAsiaTheme="minorHAnsi" w:hAnsi="Arial" w:cs="Arial"/>
          <w:sz w:val="21"/>
          <w:szCs w:val="21"/>
          <w:lang w:val="es-ES_tradnl" w:eastAsia="en-US"/>
        </w:rPr>
      </w:pPr>
      <w:r w:rsidRPr="00423E69">
        <w:rPr>
          <w:rFonts w:ascii="Arial" w:eastAsiaTheme="minorHAnsi" w:hAnsi="Arial" w:cs="Arial"/>
          <w:sz w:val="21"/>
          <w:szCs w:val="21"/>
          <w:lang w:val="es-ES_tradnl" w:eastAsia="en-US"/>
        </w:rPr>
        <w:t>[... ]</w:t>
      </w:r>
    </w:p>
    <w:p w14:paraId="52952683" w14:textId="77777777" w:rsidR="004B2BFB" w:rsidRPr="00423E69" w:rsidRDefault="004B2BFB" w:rsidP="004B2BFB">
      <w:pPr>
        <w:spacing w:before="240"/>
        <w:ind w:left="709" w:right="709"/>
        <w:jc w:val="both"/>
        <w:rPr>
          <w:rFonts w:ascii="Arial" w:eastAsiaTheme="minorHAnsi" w:hAnsi="Arial" w:cs="Arial"/>
          <w:sz w:val="21"/>
          <w:szCs w:val="21"/>
          <w:lang w:val="es-ES_tradnl" w:eastAsia="en-US"/>
        </w:rPr>
      </w:pPr>
      <w:r w:rsidRPr="00423E69">
        <w:rPr>
          <w:rFonts w:ascii="Arial" w:eastAsiaTheme="minorHAnsi" w:hAnsi="Arial" w:cs="Arial"/>
          <w:sz w:val="21"/>
          <w:szCs w:val="21"/>
          <w:lang w:val="es-ES_tradnl" w:eastAsia="en-U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423E69">
        <w:rPr>
          <w:rFonts w:ascii="Arial" w:eastAsiaTheme="minorHAnsi" w:hAnsi="Arial" w:cs="Arial"/>
          <w:sz w:val="21"/>
          <w:szCs w:val="21"/>
          <w:lang w:val="es-ES_tradnl" w:eastAsia="en-US"/>
        </w:rPr>
        <w:t>puntaje,</w:t>
      </w:r>
      <w:proofErr w:type="gramEnd"/>
      <w:r w:rsidRPr="00423E69">
        <w:rPr>
          <w:rFonts w:ascii="Arial" w:eastAsiaTheme="minorHAnsi" w:hAnsi="Arial" w:cs="Arial"/>
          <w:sz w:val="21"/>
          <w:szCs w:val="21"/>
          <w:lang w:val="es-ES_tradnl" w:eastAsia="en-U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EF35F29" w14:textId="77777777" w:rsidR="004B2BFB" w:rsidRPr="00423E69" w:rsidRDefault="004B2BFB" w:rsidP="004B2BFB">
      <w:pPr>
        <w:spacing w:line="276" w:lineRule="auto"/>
        <w:ind w:firstLine="709"/>
        <w:jc w:val="both"/>
        <w:rPr>
          <w:rFonts w:ascii="Arial" w:eastAsiaTheme="minorHAnsi" w:hAnsi="Arial" w:cs="Arial"/>
          <w:sz w:val="22"/>
          <w:szCs w:val="22"/>
          <w:lang w:val="es-ES_tradnl" w:eastAsia="en-US"/>
        </w:rPr>
      </w:pPr>
    </w:p>
    <w:p w14:paraId="19966D22" w14:textId="77777777" w:rsidR="004B2BFB" w:rsidRPr="00423E69" w:rsidRDefault="004B2BFB" w:rsidP="004B2BFB">
      <w:pPr>
        <w:spacing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Como puede observarse, la Ley 1882 de 2018: i) mantiene el criterio de la Ley 80 de 1993, relativo a que todo lo que no sea necesario para la comparación de propuestas no es título suficiente para su rechazo; y </w:t>
      </w:r>
      <w:proofErr w:type="spellStart"/>
      <w:r w:rsidRPr="00423E69">
        <w:rPr>
          <w:rFonts w:ascii="Arial" w:eastAsiaTheme="minorHAnsi" w:hAnsi="Arial" w:cs="Arial"/>
          <w:sz w:val="22"/>
          <w:szCs w:val="22"/>
          <w:lang w:val="es-ES_tradnl" w:eastAsia="en-US"/>
        </w:rPr>
        <w:t>ii</w:t>
      </w:r>
      <w:proofErr w:type="spellEnd"/>
      <w:r w:rsidRPr="00423E69">
        <w:rPr>
          <w:rFonts w:ascii="Arial" w:eastAsiaTheme="minorHAnsi" w:hAnsi="Arial" w:cs="Arial"/>
          <w:sz w:val="22"/>
          <w:szCs w:val="22"/>
          <w:lang w:val="es-ES_tradnl" w:eastAsia="en-US"/>
        </w:rPr>
        <w:t xml:space="preserve">) mantiene el criterio aclaratorio de la Ley 1150 de 2007, según el cual todo lo que no afecte la asignación de puntaje puede subsanarse. </w:t>
      </w:r>
    </w:p>
    <w:p w14:paraId="3AE55E89"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De lo anterior se colige que, a la luz de la </w:t>
      </w:r>
      <w:r w:rsidRPr="00423E69">
        <w:rPr>
          <w:rFonts w:ascii="Arial" w:eastAsia="Calibri" w:hAnsi="Arial" w:cs="Arial"/>
          <w:sz w:val="22"/>
          <w:szCs w:val="22"/>
          <w:lang w:val="es-ES_tradnl" w:eastAsia="en-US"/>
        </w:rPr>
        <w:t>Ley 1882 de 2018 se introdujo una modificación frente al criterio material, directamente relacionado con los aspectos subsanables según el cual: «</w:t>
      </w:r>
      <w:r w:rsidRPr="00423E69">
        <w:rPr>
          <w:rFonts w:ascii="Arial" w:eastAsiaTheme="minorHAnsi" w:hAnsi="Arial" w:cs="Arial"/>
          <w:sz w:val="22"/>
          <w:szCs w:val="22"/>
          <w:lang w:val="es-ES_tradnl" w:eastAsia="en-US"/>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0C68758E"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lastRenderedPageBreak/>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423E69">
        <w:rPr>
          <w:rFonts w:ascii="Arial" w:eastAsiaTheme="minorHAnsi" w:hAnsi="Arial" w:cs="Arial"/>
          <w:sz w:val="22"/>
          <w:szCs w:val="22"/>
          <w:vertAlign w:val="superscript"/>
          <w:lang w:val="es-ES_tradnl" w:eastAsia="en-US"/>
        </w:rPr>
        <w:footnoteReference w:id="5"/>
      </w:r>
      <w:r w:rsidRPr="00423E69">
        <w:rPr>
          <w:rFonts w:ascii="Arial" w:eastAsiaTheme="minorHAnsi" w:hAnsi="Arial" w:cs="Arial"/>
          <w:sz w:val="22"/>
          <w:szCs w:val="22"/>
          <w:lang w:val="es-ES_tradnl" w:eastAsia="en-US"/>
        </w:rPr>
        <w:t>.</w:t>
      </w:r>
    </w:p>
    <w:p w14:paraId="1E727C83"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91F82B6"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Un mejor entendimiento del significado de la expresión «circunstancias ocurridas con posterioridad al cierre del proceso» implica distinguir entre la prueba de un hecho y el hecho mismo. En el caso de la </w:t>
      </w:r>
      <w:proofErr w:type="spellStart"/>
      <w:r w:rsidRPr="00423E69">
        <w:rPr>
          <w:rFonts w:ascii="Arial" w:eastAsia="Calibri" w:hAnsi="Arial" w:cs="Arial"/>
          <w:sz w:val="22"/>
          <w:szCs w:val="22"/>
          <w:lang w:val="es-ES_tradnl" w:eastAsia="en-US"/>
        </w:rPr>
        <w:t>subsanabilidad</w:t>
      </w:r>
      <w:proofErr w:type="spellEnd"/>
      <w:r w:rsidRPr="00423E69">
        <w:rPr>
          <w:rFonts w:ascii="Arial" w:eastAsia="Calibri" w:hAnsi="Arial" w:cs="Arial"/>
          <w:sz w:val="22"/>
          <w:szCs w:val="22"/>
          <w:lang w:val="es-ES_tradnl" w:eastAsia="en-U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38E640C8"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Por ejemplo: i) si un oferente olvidó adjuntar con su propuesta el certificado que da cuenta de su inscripción en el RUP, el requisito será subsanable siempre que la prueba </w:t>
      </w:r>
      <w:r w:rsidRPr="00423E69">
        <w:rPr>
          <w:rFonts w:ascii="Arial" w:eastAsia="Calibri" w:hAnsi="Arial" w:cs="Arial"/>
          <w:sz w:val="22"/>
          <w:szCs w:val="22"/>
          <w:lang w:val="es-ES_tradnl" w:eastAsia="en-US"/>
        </w:rPr>
        <w:lastRenderedPageBreak/>
        <w:t xml:space="preserve">allegada demuestre que el hecho, esto es, la inscripción en el registro, ocurrió con anterioridad al cierre del proceso; </w:t>
      </w:r>
      <w:proofErr w:type="spellStart"/>
      <w:r w:rsidRPr="00423E69">
        <w:rPr>
          <w:rFonts w:ascii="Arial" w:eastAsia="Calibri" w:hAnsi="Arial" w:cs="Arial"/>
          <w:sz w:val="22"/>
          <w:szCs w:val="22"/>
          <w:lang w:val="es-ES_tradnl" w:eastAsia="en-US"/>
        </w:rPr>
        <w:t>ii</w:t>
      </w:r>
      <w:proofErr w:type="spellEnd"/>
      <w:r w:rsidRPr="00423E69">
        <w:rPr>
          <w:rFonts w:ascii="Arial" w:eastAsia="Calibri" w:hAnsi="Arial" w:cs="Arial"/>
          <w:sz w:val="22"/>
          <w:szCs w:val="22"/>
          <w:lang w:val="es-ES_tradnl" w:eastAsia="en-U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423E69">
        <w:rPr>
          <w:rFonts w:ascii="Arial" w:eastAsia="Calibri" w:hAnsi="Arial" w:cs="Arial"/>
          <w:sz w:val="22"/>
          <w:szCs w:val="22"/>
          <w:vertAlign w:val="superscript"/>
          <w:lang w:val="es-ES_tradnl" w:eastAsia="en-US"/>
        </w:rPr>
        <w:footnoteReference w:id="6"/>
      </w:r>
      <w:r w:rsidRPr="00423E69">
        <w:rPr>
          <w:rFonts w:ascii="Arial" w:eastAsia="Calibri" w:hAnsi="Arial" w:cs="Arial"/>
          <w:sz w:val="22"/>
          <w:szCs w:val="22"/>
          <w:lang w:val="es-ES_tradnl" w:eastAsia="en-US"/>
        </w:rPr>
        <w:t xml:space="preserve">; </w:t>
      </w:r>
      <w:proofErr w:type="spellStart"/>
      <w:r w:rsidRPr="00423E69">
        <w:rPr>
          <w:rFonts w:ascii="Arial" w:eastAsia="Calibri" w:hAnsi="Arial" w:cs="Arial"/>
          <w:sz w:val="22"/>
          <w:szCs w:val="22"/>
          <w:lang w:val="es-ES_tradnl" w:eastAsia="en-US"/>
        </w:rPr>
        <w:t>iii</w:t>
      </w:r>
      <w:proofErr w:type="spellEnd"/>
      <w:r w:rsidRPr="00423E69">
        <w:rPr>
          <w:rFonts w:ascii="Arial" w:eastAsia="Calibri" w:hAnsi="Arial" w:cs="Arial"/>
          <w:sz w:val="22"/>
          <w:szCs w:val="22"/>
          <w:lang w:val="es-ES_tradnl" w:eastAsia="en-US"/>
        </w:rPr>
        <w:t>) si un oferente no anexó el Certificado de existencia y representación legal, el documento aportado con posterioridad debe dar cuenta de que la sociedad existía antes del cierre del proceso</w:t>
      </w:r>
      <w:r w:rsidRPr="00423E69">
        <w:rPr>
          <w:rFonts w:ascii="Arial" w:eastAsia="Calibri" w:hAnsi="Arial" w:cs="Arial"/>
          <w:sz w:val="22"/>
          <w:szCs w:val="22"/>
          <w:vertAlign w:val="superscript"/>
          <w:lang w:val="es-ES_tradnl" w:eastAsia="en-US"/>
        </w:rPr>
        <w:footnoteReference w:id="7"/>
      </w:r>
      <w:r w:rsidRPr="00423E69">
        <w:rPr>
          <w:rFonts w:ascii="Arial" w:eastAsia="Calibri" w:hAnsi="Arial" w:cs="Arial"/>
          <w:sz w:val="22"/>
          <w:szCs w:val="22"/>
          <w:lang w:val="es-ES_tradnl" w:eastAsia="en-US"/>
        </w:rPr>
        <w:t xml:space="preserve">; </w:t>
      </w:r>
      <w:proofErr w:type="spellStart"/>
      <w:r w:rsidRPr="00423E69">
        <w:rPr>
          <w:rFonts w:ascii="Arial" w:eastAsia="Calibri" w:hAnsi="Arial" w:cs="Arial"/>
          <w:sz w:val="22"/>
          <w:szCs w:val="22"/>
          <w:lang w:val="es-ES_tradnl" w:eastAsia="en-US"/>
        </w:rPr>
        <w:t>iv</w:t>
      </w:r>
      <w:proofErr w:type="spellEnd"/>
      <w:r w:rsidRPr="00423E69">
        <w:rPr>
          <w:rFonts w:ascii="Arial" w:eastAsia="Calibri" w:hAnsi="Arial" w:cs="Arial"/>
          <w:sz w:val="22"/>
          <w:szCs w:val="22"/>
          <w:lang w:val="es-ES_tradnl" w:eastAsia="en-U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74500920"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423E69">
        <w:rPr>
          <w:rFonts w:ascii="Arial" w:eastAsia="Calibri" w:hAnsi="Arial" w:cs="Arial"/>
          <w:sz w:val="22"/>
          <w:szCs w:val="22"/>
          <w:lang w:val="es-ES_tradnl" w:eastAsia="en-US"/>
        </w:rPr>
        <w:t>que</w:t>
      </w:r>
      <w:proofErr w:type="gramEnd"/>
      <w:r w:rsidRPr="00423E69">
        <w:rPr>
          <w:rFonts w:ascii="Arial" w:eastAsia="Calibri" w:hAnsi="Arial" w:cs="Arial"/>
          <w:sz w:val="22"/>
          <w:szCs w:val="22"/>
          <w:lang w:val="es-ES_tradnl" w:eastAsia="en-U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423E69">
        <w:rPr>
          <w:rFonts w:ascii="Arial" w:eastAsia="Calibri" w:hAnsi="Arial" w:cs="Arial"/>
          <w:sz w:val="22"/>
          <w:szCs w:val="22"/>
          <w:vertAlign w:val="superscript"/>
          <w:lang w:val="es-ES_tradnl" w:eastAsia="en-US"/>
        </w:rPr>
        <w:footnoteReference w:id="8"/>
      </w:r>
      <w:r w:rsidRPr="00423E69">
        <w:rPr>
          <w:rFonts w:ascii="Arial" w:eastAsia="Calibri" w:hAnsi="Arial" w:cs="Arial"/>
          <w:sz w:val="22"/>
          <w:szCs w:val="22"/>
          <w:lang w:val="es-ES_tradnl" w:eastAsia="en-US"/>
        </w:rPr>
        <w:t xml:space="preserve">. </w:t>
      </w:r>
    </w:p>
    <w:p w14:paraId="3D7B13FA"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w:t>
      </w:r>
      <w:r w:rsidRPr="00423E69">
        <w:rPr>
          <w:rFonts w:ascii="Arial" w:eastAsia="Calibri" w:hAnsi="Arial" w:cs="Arial"/>
          <w:sz w:val="22"/>
          <w:szCs w:val="22"/>
          <w:lang w:val="es-ES_tradnl" w:eastAsia="en-US"/>
        </w:rPr>
        <w:lastRenderedPageBreak/>
        <w:t xml:space="preserve">y la respuesta al segundo interrogante debe dar cuenta de que lo omitido sea la prueba de una circunstancia o hecho que ocurrió con anterioridad al cierre del proceso. </w:t>
      </w:r>
    </w:p>
    <w:p w14:paraId="35BA2155"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De acuerdo con lo expuesto en torno a la </w:t>
      </w:r>
      <w:proofErr w:type="spellStart"/>
      <w:r w:rsidRPr="00423E69">
        <w:rPr>
          <w:rFonts w:ascii="Arial" w:eastAsia="Calibri" w:hAnsi="Arial" w:cs="Arial"/>
          <w:sz w:val="22"/>
          <w:szCs w:val="22"/>
          <w:lang w:val="es-ES_tradnl" w:eastAsia="en-US"/>
        </w:rPr>
        <w:t>subsanabilidad</w:t>
      </w:r>
      <w:proofErr w:type="spellEnd"/>
      <w:r w:rsidRPr="00423E69">
        <w:rPr>
          <w:rFonts w:ascii="Arial" w:eastAsia="Calibri" w:hAnsi="Arial" w:cs="Arial"/>
          <w:sz w:val="22"/>
          <w:szCs w:val="22"/>
          <w:lang w:val="es-ES_tradnl" w:eastAsia="en-US"/>
        </w:rPr>
        <w:t xml:space="preserve"> de las ofertas</w:t>
      </w:r>
      <w:r w:rsidRPr="00423E69">
        <w:rPr>
          <w:rFonts w:ascii="Arial" w:hAnsi="Arial" w:cs="Arial"/>
          <w:sz w:val="22"/>
        </w:rPr>
        <w:t xml:space="preserve"> y teniendo en cuenta las reglas dispuestas en </w:t>
      </w:r>
      <w:r w:rsidRPr="00423E69">
        <w:rPr>
          <w:rFonts w:ascii="Arial" w:eastAsia="Calibri" w:hAnsi="Arial" w:cs="Arial"/>
          <w:sz w:val="22"/>
          <w:szCs w:val="22"/>
          <w:lang w:val="es-ES_tradnl" w:eastAsia="en-US"/>
        </w:rPr>
        <w:t>la Ley 1882 de 2018, se 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Por ello, si los requisitos no afectan la asignación de puntaje y tienen el carácter de habilitantes para la participación en el proceso de contratación, se entiende que, en principio, pueden subsanarse</w:t>
      </w:r>
      <w:r w:rsidRPr="00423E69">
        <w:rPr>
          <w:rStyle w:val="normaltextrun"/>
          <w:rFonts w:ascii="Arial" w:hAnsi="Arial" w:cs="Arial"/>
          <w:color w:val="000000"/>
          <w:sz w:val="22"/>
          <w:szCs w:val="22"/>
          <w:shd w:val="clear" w:color="auto" w:fill="FFFFFF"/>
          <w:lang w:val="es-ES_tradnl"/>
        </w:rPr>
        <w:t xml:space="preserve">, siempre que </w:t>
      </w:r>
      <w:r w:rsidRPr="00423E69">
        <w:rPr>
          <w:rFonts w:ascii="Arial" w:eastAsia="Calibri" w:hAnsi="Arial" w:cs="Arial"/>
          <w:sz w:val="22"/>
          <w:szCs w:val="22"/>
          <w:lang w:val="es-ES_tradnl" w:eastAsia="en-US"/>
        </w:rPr>
        <w:t>no se acrediten circunstancias ocurridas con posterioridad al cierre del proceso</w:t>
      </w:r>
      <w:r w:rsidRPr="00423E69">
        <w:rPr>
          <w:rStyle w:val="normaltextrun"/>
          <w:rFonts w:ascii="Arial" w:hAnsi="Arial" w:cs="Arial"/>
          <w:color w:val="000000"/>
          <w:sz w:val="22"/>
          <w:szCs w:val="22"/>
          <w:shd w:val="clear" w:color="auto" w:fill="FFFFFF"/>
          <w:lang w:val="es-ES"/>
        </w:rPr>
        <w:t>. </w:t>
      </w:r>
      <w:r w:rsidRPr="00423E69">
        <w:rPr>
          <w:rStyle w:val="eop"/>
          <w:rFonts w:ascii="Arial" w:hAnsi="Arial" w:cs="Arial"/>
          <w:color w:val="000000"/>
          <w:sz w:val="22"/>
          <w:szCs w:val="22"/>
          <w:shd w:val="clear" w:color="auto" w:fill="FFFFFF"/>
        </w:rPr>
        <w:t> </w:t>
      </w:r>
    </w:p>
    <w:p w14:paraId="409D869B"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Con fundamento en los criterios analizados, para efectos de los documentos tipo adoptados mediante la Resolución 193 del 14 de julio de 2021, puede analizarse si los seis (6) requisitos del numeral 2.4 del pliego de condiciones de los documentos tipo de concurso de méritos para la consultoría de estudios de ingeniería de infraestructura de transporte son o no subsanables. Al respecto, es necesario tener en cuenta que los literales D, Q y R del numeral 1.15 del documento base disponen el rechazo de las ofertas «Cuando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un requisito habilitante en los términos establecidos en la sección 1.6», por «Presentar la oferta extemporáneamente» y por «No presentar oferta económica y no subsanar su entrega, en los términos del numeral 1.6».</w:t>
      </w:r>
    </w:p>
    <w:p w14:paraId="7641C225"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De acuerdo con lo anterior, si el proponente no entrega oportunamente la oferta</w:t>
      </w:r>
      <w:r w:rsidRPr="00423E69" w:rsidDel="002E0191">
        <w:rPr>
          <w:rFonts w:ascii="Arial" w:eastAsia="Calibri" w:hAnsi="Arial" w:cs="Arial"/>
          <w:sz w:val="22"/>
          <w:szCs w:val="22"/>
          <w:lang w:val="es-ES_tradnl" w:eastAsia="en-US"/>
        </w:rPr>
        <w:t xml:space="preserve"> </w:t>
      </w:r>
      <w:r w:rsidRPr="00423E69">
        <w:rPr>
          <w:rFonts w:ascii="Arial" w:eastAsia="Calibri" w:hAnsi="Arial" w:cs="Arial"/>
          <w:sz w:val="22"/>
          <w:szCs w:val="22"/>
          <w:lang w:val="es-ES_tradnl" w:eastAsia="en-US"/>
        </w:rPr>
        <w:t xml:space="preserve">mediante sobre en físico descrito en el literal C del numeral 4.2 del documento base, aplicará la causal del rechazo del citado literal Q del numeral 1.15 sin que sea posible subsanar. Esto es lógico dado que los procesos de selección se rigen por el criterio de </w:t>
      </w:r>
      <w:proofErr w:type="spellStart"/>
      <w:r w:rsidRPr="00423E69">
        <w:rPr>
          <w:rFonts w:ascii="Arial" w:eastAsia="Calibri" w:hAnsi="Arial" w:cs="Arial"/>
          <w:sz w:val="22"/>
          <w:szCs w:val="22"/>
          <w:lang w:val="es-ES_tradnl" w:eastAsia="en-US"/>
        </w:rPr>
        <w:t>preclusividad</w:t>
      </w:r>
      <w:proofErr w:type="spellEnd"/>
      <w:r w:rsidRPr="00423E69">
        <w:rPr>
          <w:rFonts w:ascii="Arial" w:eastAsia="Calibri" w:hAnsi="Arial" w:cs="Arial"/>
          <w:sz w:val="22"/>
          <w:szCs w:val="22"/>
          <w:lang w:val="es-ES_tradnl" w:eastAsia="en-US"/>
        </w:rPr>
        <w:t>, lo cual obliga a los interesados radiquen sus ofertas dentro de los términos previsto en el cronograma respectivo. En todo caso, si bien el mismo literal C del numeral 4.2 dispone que «[…]</w:t>
      </w:r>
      <w:r w:rsidRPr="00423E69">
        <w:t xml:space="preserve"> </w:t>
      </w:r>
      <w:r w:rsidRPr="00423E69">
        <w:rPr>
          <w:rFonts w:ascii="Arial" w:eastAsia="Calibri" w:hAnsi="Arial" w:cs="Arial"/>
          <w:sz w:val="22"/>
          <w:szCs w:val="22"/>
          <w:lang w:val="es-ES_tradnl" w:eastAsia="en-US"/>
        </w:rPr>
        <w:t xml:space="preserve">el Proponente </w:t>
      </w:r>
      <w:r w:rsidRPr="00423E69">
        <w:rPr>
          <w:rFonts w:ascii="Arial" w:eastAsia="Calibri" w:hAnsi="Arial" w:cs="Arial"/>
          <w:i/>
          <w:iCs/>
          <w:sz w:val="22"/>
          <w:szCs w:val="22"/>
          <w:lang w:val="es-ES_tradnl" w:eastAsia="en-US"/>
        </w:rPr>
        <w:t>podrá</w:t>
      </w:r>
      <w:r w:rsidRPr="00423E69">
        <w:rPr>
          <w:rFonts w:ascii="Arial" w:eastAsia="Calibri" w:hAnsi="Arial" w:cs="Arial"/>
          <w:sz w:val="22"/>
          <w:szCs w:val="22"/>
          <w:lang w:val="es-ES_tradnl" w:eastAsia="en-US"/>
        </w:rPr>
        <w:t xml:space="preserve"> adicionalmente presentar el contenido del Sobre en Medio Magnético u óptico» (Énfasis fuera de texto), es necesario tener en cuenta que –de acuerdo con el verbo utilizado– este requisito es facultativo, no obligatorio. Por tanto, con la entrega oportuna del sobre medio físico, la entidad no podría rechazar la oferta por la ausencia del medio magnético u óptico. De esta manera, cuando el oferente realice la propuesta utilizando ambos medios aplicará la regla literal D del numeral 4.2, por la cual «[…] En caso de presentarse discrepancias entre la información consignada en medio físico y la incluida en Medio Magnético, prevalecerá la primera». </w:t>
      </w:r>
      <w:r w:rsidRPr="00423E69" w:rsidDel="002E0191">
        <w:rPr>
          <w:rFonts w:ascii="Arial" w:eastAsia="Calibri" w:hAnsi="Arial" w:cs="Arial"/>
          <w:sz w:val="22"/>
          <w:szCs w:val="22"/>
          <w:lang w:val="es-ES_tradnl" w:eastAsia="en-US"/>
        </w:rPr>
        <w:t xml:space="preserve"> </w:t>
      </w:r>
    </w:p>
    <w:p w14:paraId="53C1FD7A"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lastRenderedPageBreak/>
        <w:t>Por otra parte, en lo relacionado con la no entrega de la propuesta económica, se advierte que –en concordancia con el inciso segundo del numeral 4 del artículo 5 de la Ley 1150 de 2007– el precio no es un factor evaluable en la selección de consultores. Así las cosas, a diferencia de lo que sucede en los documentos tipo de licitación, menor cuantía y mínima cuantía para obra pública de infraestructura de transporte, el requisito previsto en el literal E del numeral 4.2 puede subsanarse, razón por la que la causal de rechazo del literal R aplica cuando no se realiza la entrega en los términos del numeral 1.6 del pliego de condiciones. Asimismo, la regla del literal F del numeral 4.2 es una pauta de conducta para el proponente, quien al presentar la oferta económica debe incluir todos los impuestos, tasas y contribuciones para calcular el precio</w:t>
      </w:r>
      <w:r w:rsidRPr="00423E69">
        <w:rPr>
          <w:rStyle w:val="Refdenotaalpie"/>
          <w:rFonts w:ascii="Arial" w:eastAsia="Calibri" w:hAnsi="Arial" w:cs="Arial"/>
          <w:sz w:val="22"/>
          <w:szCs w:val="22"/>
          <w:lang w:val="es-ES_tradnl" w:eastAsia="en-US"/>
        </w:rPr>
        <w:footnoteReference w:id="9"/>
      </w:r>
      <w:r w:rsidRPr="00423E69">
        <w:rPr>
          <w:rFonts w:ascii="Arial" w:eastAsia="Calibri" w:hAnsi="Arial" w:cs="Arial"/>
          <w:sz w:val="22"/>
          <w:szCs w:val="22"/>
          <w:lang w:val="es-ES_tradnl" w:eastAsia="en-US"/>
        </w:rPr>
        <w:t>.</w:t>
      </w:r>
    </w:p>
    <w:p w14:paraId="54260ADC"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Finalmente, los literales A y B del numeral 4.2 definen las condiciones formales del sobre que contiene la propuesta. Salvo lo relacionado con el idioma, gran parte de estas directrices no inciden verificación de las condiciones del oferente ni en la evaluación de los ofrecimientos, pues son aspectos referentes a las indicaciones del sobre, así como a la necesidad de que los documentos estén legajados y foliados, con escritura en medio mecánico, así como la inclusión del índice respectivo. En este contexto, se trata de condiciones que admiten subsanación. Sin embargo, si después de la solicitud permanecen estos defectos, la entidad no estaría habilitada para rechazar la propuesta. Lo anterior, teniendo en cuenta que la causal de rechazo del literal D del numeral 1.15 solo procede cuando la subsanación sea necesaria para cumplir un requisito habilitante en los términos establecidos en la sección 1.6. Por tanto, salvo el supuesto de hecho mencionado en la citada causal de rechazo y sin perjuicio de la imposibilidad de acreditar circunstancias ocurridas con posterioridad al cierre del proceso, la entidad debe evaluar la </w:t>
      </w:r>
      <w:proofErr w:type="gramStart"/>
      <w:r w:rsidRPr="00423E69">
        <w:rPr>
          <w:rFonts w:ascii="Arial" w:eastAsia="Calibri" w:hAnsi="Arial" w:cs="Arial"/>
          <w:sz w:val="22"/>
          <w:szCs w:val="22"/>
          <w:lang w:val="es-ES_tradnl" w:eastAsia="en-US"/>
        </w:rPr>
        <w:t>oferta</w:t>
      </w:r>
      <w:proofErr w:type="gramEnd"/>
      <w:r w:rsidRPr="00423E69">
        <w:rPr>
          <w:rFonts w:ascii="Arial" w:eastAsia="Calibri" w:hAnsi="Arial" w:cs="Arial"/>
          <w:sz w:val="22"/>
          <w:szCs w:val="22"/>
          <w:lang w:val="es-ES_tradnl" w:eastAsia="en-US"/>
        </w:rPr>
        <w:t xml:space="preserve"> aunque se presenten falencias formales en la presentación del sobre.</w:t>
      </w:r>
    </w:p>
    <w:p w14:paraId="527B7615"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Theme="minorHAnsi" w:hAnsi="Arial" w:cs="Arial"/>
          <w:sz w:val="22"/>
          <w:szCs w:val="22"/>
          <w:lang w:val="es-ES_tradnl" w:eastAsia="en-US"/>
        </w:rPr>
        <w:t xml:space="preserve">Ahora bien, en lo relacionado con el aspecto temporal de la </w:t>
      </w:r>
      <w:proofErr w:type="spellStart"/>
      <w:r w:rsidRPr="00423E69">
        <w:rPr>
          <w:rFonts w:ascii="Arial" w:eastAsiaTheme="minorHAnsi" w:hAnsi="Arial" w:cs="Arial"/>
          <w:sz w:val="22"/>
          <w:szCs w:val="22"/>
          <w:lang w:val="es-ES_tradnl" w:eastAsia="en-US"/>
        </w:rPr>
        <w:t>subsanabilidad</w:t>
      </w:r>
      <w:proofErr w:type="spellEnd"/>
      <w:r w:rsidRPr="00423E69">
        <w:rPr>
          <w:rFonts w:ascii="Arial" w:eastAsiaTheme="minorHAnsi" w:hAnsi="Arial" w:cs="Arial"/>
          <w:sz w:val="22"/>
          <w:szCs w:val="22"/>
          <w:lang w:val="es-ES_tradnl" w:eastAsia="en-US"/>
        </w:rPr>
        <w:t xml:space="preserve">, es menester analizar el ámbito temporal para ejercer la facultad de subsanar la oferta, frente a lo cual se puede afirmar que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w:t>
      </w:r>
      <w:r w:rsidRPr="00423E69">
        <w:rPr>
          <w:rFonts w:ascii="Arial" w:eastAsia="Calibri" w:hAnsi="Arial" w:cs="Arial"/>
          <w:sz w:val="22"/>
          <w:szCs w:val="22"/>
          <w:lang w:val="es-ES_tradnl" w:eastAsia="en-US"/>
        </w:rPr>
        <w:t>de selección a través del sistema de subasta</w:t>
      </w:r>
      <w:r w:rsidRPr="00423E69">
        <w:rPr>
          <w:rFonts w:ascii="Arial" w:eastAsia="Calibri" w:hAnsi="Arial" w:cs="Arial"/>
          <w:sz w:val="22"/>
          <w:szCs w:val="22"/>
          <w:vertAlign w:val="superscript"/>
          <w:lang w:val="es-ES_tradnl" w:eastAsia="en-US"/>
        </w:rPr>
        <w:footnoteReference w:id="10"/>
      </w:r>
      <w:r w:rsidRPr="00423E69">
        <w:rPr>
          <w:rFonts w:ascii="Arial" w:eastAsia="Calibri" w:hAnsi="Arial" w:cs="Arial"/>
          <w:sz w:val="22"/>
          <w:szCs w:val="22"/>
          <w:lang w:val="es-ES_tradnl" w:eastAsia="en-US"/>
        </w:rPr>
        <w:t xml:space="preserve">; en el último, los documentos o requisitos subsanables pueden y deben </w:t>
      </w:r>
      <w:r w:rsidRPr="00423E69">
        <w:rPr>
          <w:rFonts w:ascii="Arial" w:eastAsia="Calibri" w:hAnsi="Arial" w:cs="Arial"/>
          <w:i/>
          <w:iCs/>
          <w:sz w:val="22"/>
          <w:szCs w:val="22"/>
          <w:lang w:val="es-ES_tradnl" w:eastAsia="en-US"/>
        </w:rPr>
        <w:t>solicitarse</w:t>
      </w:r>
      <w:r w:rsidRPr="00423E69">
        <w:rPr>
          <w:rFonts w:ascii="Arial" w:eastAsia="Calibri" w:hAnsi="Arial" w:cs="Arial"/>
          <w:sz w:val="22"/>
          <w:szCs w:val="22"/>
          <w:lang w:val="es-ES_tradnl" w:eastAsia="en-US"/>
        </w:rPr>
        <w:t xml:space="preserve"> </w:t>
      </w:r>
      <w:r w:rsidRPr="00423E69">
        <w:rPr>
          <w:rFonts w:ascii="Arial" w:eastAsia="Calibri" w:hAnsi="Arial" w:cs="Arial"/>
          <w:sz w:val="22"/>
          <w:szCs w:val="22"/>
          <w:lang w:val="es-ES_tradnl" w:eastAsia="en-US"/>
        </w:rPr>
        <w:lastRenderedPageBreak/>
        <w:t>hasta el momento previo a la celebración de la audiencia. En cuanto al proceso de mínima cuantía, el Decreto 1082 de 2015, en su artículo 2.2.1.2.1.5.2., numeral 5 –modificado por el Decreto 1860 de 2021–, prescribe que las entidades estatales establecerán en la invitación el término preclusivo para recibir los documentos subsanables, frente a cada uno de los requerimientos que formulen. Sin embargo, agrega que en los casos en que no se establezca dicho término, subsidiariamente, los proponentes podrán subsanar sus ofertas hasta antes que finalice el traslado del informe de evaluación</w:t>
      </w:r>
      <w:r w:rsidRPr="00423E69">
        <w:rPr>
          <w:rStyle w:val="Refdenotaalpie"/>
          <w:rFonts w:ascii="Arial" w:eastAsia="Calibri" w:hAnsi="Arial" w:cs="Arial"/>
          <w:sz w:val="22"/>
          <w:szCs w:val="22"/>
          <w:lang w:val="es-ES_tradnl" w:eastAsia="en-US"/>
        </w:rPr>
        <w:footnoteReference w:id="11"/>
      </w:r>
      <w:r w:rsidRPr="00423E69">
        <w:rPr>
          <w:rFonts w:ascii="Arial" w:eastAsia="Calibri" w:hAnsi="Arial" w:cs="Arial"/>
          <w:sz w:val="22"/>
          <w:szCs w:val="22"/>
          <w:lang w:val="es-ES_tradnl" w:eastAsia="en-US"/>
        </w:rPr>
        <w:t xml:space="preserve">. </w:t>
      </w:r>
    </w:p>
    <w:p w14:paraId="656DED80"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Calibri" w:hAnsi="Arial" w:cs="Arial"/>
          <w:sz w:val="22"/>
          <w:szCs w:val="22"/>
          <w:lang w:val="es-ES_tradnl" w:eastAsia="en-US"/>
        </w:rPr>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tal como se sostuvo en el Concepto de Unificación CU-060 del 24 de febrero de 2020. En efecto, la redacción de la norma permite que la Administración solicite a los oferentes subsanar y que estos lo hagan hasta antes del término del traslado del informe de evaluación: «</w:t>
      </w:r>
      <w:r w:rsidRPr="00423E69">
        <w:rPr>
          <w:rFonts w:ascii="Arial" w:eastAsiaTheme="minorHAnsi" w:hAnsi="Arial" w:cs="Arial"/>
          <w:sz w:val="22"/>
          <w:szCs w:val="22"/>
          <w:lang w:val="es-ES_tradnl" w:eastAsia="en-US"/>
        </w:rPr>
        <w:t xml:space="preserve">deberán ser solicitados por las entidades estatales y deberán ser entregados por los proponentes hasta el término de traslado del informe de evaluación que corresponda a cada modalidad de selección». </w:t>
      </w:r>
    </w:p>
    <w:p w14:paraId="453D3A97"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No obstante, de la lectura de este aparte podrían, en la práctica, darse dos interpretaciones que dan lugar a dos formas de proceder en los procesos de selección, en lo que a la </w:t>
      </w:r>
      <w:proofErr w:type="spellStart"/>
      <w:r w:rsidRPr="00423E69">
        <w:rPr>
          <w:rFonts w:ascii="Arial" w:eastAsiaTheme="minorHAnsi" w:hAnsi="Arial" w:cs="Arial"/>
          <w:sz w:val="22"/>
          <w:szCs w:val="22"/>
          <w:lang w:val="es-ES_tradnl" w:eastAsia="en-US"/>
        </w:rPr>
        <w:t>subsanabilidad</w:t>
      </w:r>
      <w:proofErr w:type="spellEnd"/>
      <w:r w:rsidRPr="00423E69">
        <w:rPr>
          <w:rFonts w:ascii="Arial" w:eastAsiaTheme="minorHAnsi" w:hAnsi="Arial" w:cs="Arial"/>
          <w:sz w:val="22"/>
          <w:szCs w:val="22"/>
          <w:lang w:val="es-ES_tradnl" w:eastAsia="en-US"/>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423E69">
        <w:rPr>
          <w:rFonts w:ascii="Arial" w:eastAsiaTheme="minorHAnsi" w:hAnsi="Arial" w:cs="Arial"/>
          <w:i/>
          <w:iCs/>
          <w:sz w:val="22"/>
          <w:szCs w:val="22"/>
          <w:lang w:val="es-ES_tradnl" w:eastAsia="en-US"/>
        </w:rPr>
        <w:t>límite</w:t>
      </w:r>
      <w:r w:rsidRPr="00423E69">
        <w:rPr>
          <w:rFonts w:ascii="Arial" w:eastAsiaTheme="minorHAnsi" w:hAnsi="Arial" w:cs="Arial"/>
          <w:sz w:val="22"/>
          <w:szCs w:val="22"/>
          <w:lang w:val="es-ES_tradnl" w:eastAsia="en-US"/>
        </w:rPr>
        <w:t xml:space="preserve"> para la subsanación de ofertas, pero no el único momento para hacerlo. </w:t>
      </w:r>
    </w:p>
    <w:p w14:paraId="58FD8CB1"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lastRenderedPageBreak/>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120B5A57"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58956EA1"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 xml:space="preserve">En criterio de esta Subdirección, la segunda interpretación es la más ajustada a la norma, pero, además, es la más conveniente para el desarrollo del proceso de selección, porque permite que el informe de evaluación presente una comparación de propuestas más depurada y el término de traslado para observaciones al mismo sea una oportunidad en la que se planteen aspectos sustanciales o de fondo a la evaluación, teniendo en cuenta que las propuestas ya estarán consolidadas en lo formal. Subsanar antes del informe de evaluación ofrece mayor seguridad y certeza al proceso de selección, a la Administración y a los oferentes. </w:t>
      </w:r>
    </w:p>
    <w:p w14:paraId="77C20B13"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Así,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6A2FCA04" w14:textId="77777777" w:rsidR="004B2BFB" w:rsidRPr="00423E69" w:rsidRDefault="004B2BFB" w:rsidP="004B2BFB">
      <w:pPr>
        <w:spacing w:before="120" w:line="276" w:lineRule="auto"/>
        <w:ind w:firstLine="709"/>
        <w:jc w:val="both"/>
        <w:rPr>
          <w:rFonts w:ascii="Arial" w:eastAsiaTheme="minorHAnsi" w:hAnsi="Arial" w:cs="Arial"/>
          <w:sz w:val="22"/>
          <w:szCs w:val="22"/>
          <w:lang w:val="es-ES_tradnl" w:eastAsia="en-US"/>
        </w:rPr>
      </w:pPr>
      <w:r w:rsidRPr="00423E69">
        <w:rPr>
          <w:rFonts w:ascii="Arial" w:eastAsiaTheme="minorHAnsi" w:hAnsi="Arial" w:cs="Arial"/>
          <w:sz w:val="22"/>
          <w:szCs w:val="22"/>
          <w:lang w:val="es-ES_tradnl" w:eastAsia="en-US"/>
        </w:rPr>
        <w:t>Ahora bien, todo lo anterior debe ser interpretado y aplicado sin menoscabo del principio de economía, consagrado en el Estatuto General de Contratación de la Administración Pública, en virtud del cual, conforme lo establece el numeral 1° del artículo 25, en las normas de selección y en los pliegos de condiciones o términos de referencia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665EDDE"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Theme="minorHAnsi" w:hAnsi="Arial" w:cs="Arial"/>
          <w:sz w:val="22"/>
          <w:szCs w:val="22"/>
          <w:lang w:val="es-ES_tradnl" w:eastAsia="en-US"/>
        </w:rPr>
        <w:lastRenderedPageBreak/>
        <w:t>En este orden de ideas, estos plazos, que corresponden a las distintas etapas del proceso de selección, son perentorios y preclusivos, como lo consagra el numeral 1° del artículo 25 del Estatuto General de Contratación de la Administración Pública. El término perentorio, significa «improrrogable», cuyo transcurso extingue o cancela la facultad o el derecho que durante él no se ejerció. Por otra parte, el término preclusivo, significa, que el carácter del proceso se divide en</w:t>
      </w:r>
      <w:r w:rsidRPr="00423E69">
        <w:rPr>
          <w:rFonts w:ascii="Arial" w:eastAsia="Calibri" w:hAnsi="Arial" w:cs="Arial"/>
          <w:sz w:val="22"/>
          <w:szCs w:val="22"/>
          <w:lang w:val="es-ES_tradnl" w:eastAsia="en-US"/>
        </w:rPr>
        <w:t xml:space="preserve"> etapas, cada una de las cuales finaliza la anterior, sin otorgar la posibilidad de replantear lo ya decidido en ella. En tal sentido se pronunció la Sección Tercera del Consejo de Estado, al señalar: </w:t>
      </w:r>
    </w:p>
    <w:p w14:paraId="4F634580" w14:textId="77777777" w:rsidR="004B2BFB" w:rsidRPr="00423E69" w:rsidRDefault="004B2BFB" w:rsidP="004B2BFB">
      <w:pPr>
        <w:ind w:firstLine="709"/>
        <w:jc w:val="both"/>
        <w:rPr>
          <w:rFonts w:ascii="Arial" w:eastAsia="Calibri" w:hAnsi="Arial" w:cs="Arial"/>
          <w:sz w:val="22"/>
          <w:szCs w:val="22"/>
          <w:lang w:val="es-ES_tradnl" w:eastAsia="en-US"/>
        </w:rPr>
      </w:pPr>
    </w:p>
    <w:p w14:paraId="2E6E0FE6" w14:textId="77777777" w:rsidR="004B2BFB" w:rsidRPr="00423E69" w:rsidRDefault="004B2BFB" w:rsidP="004B2BFB">
      <w:pPr>
        <w:ind w:left="709" w:right="786"/>
        <w:jc w:val="both"/>
        <w:rPr>
          <w:rFonts w:ascii="Arial" w:eastAsia="Calibri" w:hAnsi="Arial" w:cs="Arial"/>
          <w:sz w:val="21"/>
          <w:szCs w:val="21"/>
          <w:lang w:val="es-ES_tradnl" w:eastAsia="en-US"/>
        </w:rPr>
      </w:pPr>
      <w:r w:rsidRPr="00423E69">
        <w:rPr>
          <w:rFonts w:ascii="Arial" w:hAnsi="Arial" w:cs="Arial"/>
          <w:sz w:val="21"/>
          <w:szCs w:val="21"/>
          <w:shd w:val="clear" w:color="auto" w:fill="FFFFFF"/>
        </w:rPr>
        <w:t>En segundo lugar, y como corolario del debido proceso, en los procesos de selección deben cumplirse únicamente las etapas estrictamente necesarias con el fin de asegurar la selección objetiva de la propuesta más favorable; además, con este mismo propósito los términos son preclusivos y perentorios y las autoridades están en la obligación de dar impulso oficioso a las actuaciones (art. 25 No.1). Bajo este mismo criterio de eficiencia, son deberes de las entidades públicas adelantar los trámites con austeridad de tiempo, medios y gastos, impidiendo las dilataciones y los retardos (art. 25 No. 4); abstenerse de someter el acto de adjudicación del contrato a aprobaciones o revisiones administrativas posteriores, o a cualquier otra clase de exigencias o requisitos, diferentes de los previstos en el estatuto (No. 8 art. 25), y adoptar procedimientos que garanticen la pronta solución de las diferencias y controversias que con motivo del proceso de selección y celebración del contrato se presenten</w:t>
      </w:r>
      <w:r w:rsidRPr="00423E69">
        <w:rPr>
          <w:rStyle w:val="Refdenotaalpie"/>
          <w:rFonts w:ascii="Arial" w:hAnsi="Arial" w:cs="Arial"/>
          <w:sz w:val="21"/>
          <w:szCs w:val="21"/>
          <w:shd w:val="clear" w:color="auto" w:fill="FFFFFF"/>
        </w:rPr>
        <w:footnoteReference w:id="12"/>
      </w:r>
      <w:r w:rsidRPr="00423E69">
        <w:rPr>
          <w:rFonts w:ascii="Arial" w:hAnsi="Arial" w:cs="Arial"/>
          <w:sz w:val="21"/>
          <w:szCs w:val="21"/>
          <w:shd w:val="clear" w:color="auto" w:fill="FFFFFF"/>
        </w:rPr>
        <w:t>.</w:t>
      </w:r>
    </w:p>
    <w:p w14:paraId="4F64C092" w14:textId="77777777" w:rsidR="004B2BFB" w:rsidRPr="00423E69" w:rsidRDefault="004B2BFB" w:rsidP="004B2BFB">
      <w:pPr>
        <w:jc w:val="both"/>
        <w:rPr>
          <w:rFonts w:ascii="Arial" w:eastAsia="Calibri" w:hAnsi="Arial" w:cs="Arial"/>
          <w:sz w:val="22"/>
          <w:szCs w:val="22"/>
          <w:lang w:val="es-ES_tradnl" w:eastAsia="en-US"/>
        </w:rPr>
      </w:pPr>
    </w:p>
    <w:p w14:paraId="673C8EF5" w14:textId="77777777" w:rsidR="004B2BFB" w:rsidRPr="00423E69" w:rsidRDefault="004B2BFB" w:rsidP="004B2BFB">
      <w:pPr>
        <w:spacing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Así las cosas, el </w:t>
      </w:r>
      <w:r w:rsidRPr="00423E69">
        <w:rPr>
          <w:rFonts w:ascii="Arial" w:eastAsiaTheme="minorHAnsi" w:hAnsi="Arial" w:cs="Arial"/>
          <w:sz w:val="22"/>
          <w:szCs w:val="22"/>
          <w:lang w:val="es-ES_tradnl" w:eastAsia="en-US"/>
        </w:rPr>
        <w:t xml:space="preserve">artículo 5 de la Ley 1882 de 2018 determinó el plazo máximo para subsanar las ofertas, como se estudió anteriormente, de tal suerte que, siempre que se haya otorgado la posibilidad para ejercer oportunamente el derecho a subsanar, por ejemplo, la acreditación de un requisito habilitante, </w:t>
      </w:r>
      <w:r w:rsidRPr="00423E69">
        <w:rPr>
          <w:rFonts w:ascii="Arial" w:eastAsia="Calibri" w:hAnsi="Arial" w:cs="Arial"/>
          <w:sz w:val="22"/>
          <w:szCs w:val="22"/>
          <w:lang w:val="es-ES_tradnl" w:eastAsia="en-US"/>
        </w:rPr>
        <w:t xml:space="preserve">la entidad estatal deberá rechazar las ofertas de quienes no aporten la información solicitada por ella una vez </w:t>
      </w:r>
      <w:r w:rsidRPr="00423E69">
        <w:rPr>
          <w:rFonts w:ascii="Arial" w:eastAsiaTheme="minorHAnsi" w:hAnsi="Arial" w:cs="Arial"/>
          <w:sz w:val="22"/>
          <w:szCs w:val="22"/>
          <w:lang w:val="es-ES_tradnl" w:eastAsia="en-US"/>
        </w:rPr>
        <w:t xml:space="preserve">agotado el referido plazo. Sin embargo, en cada caso, las entidades públicas deberán evaluar si, conforme con la regla de </w:t>
      </w:r>
      <w:proofErr w:type="spellStart"/>
      <w:r w:rsidRPr="00423E69">
        <w:rPr>
          <w:rFonts w:ascii="Arial" w:eastAsiaTheme="minorHAnsi" w:hAnsi="Arial" w:cs="Arial"/>
          <w:sz w:val="22"/>
          <w:szCs w:val="22"/>
          <w:lang w:val="es-ES_tradnl" w:eastAsia="en-US"/>
        </w:rPr>
        <w:t>subsanabilidad</w:t>
      </w:r>
      <w:proofErr w:type="spellEnd"/>
      <w:r w:rsidRPr="00423E69">
        <w:rPr>
          <w:rFonts w:ascii="Arial" w:eastAsiaTheme="minorHAnsi" w:hAnsi="Arial" w:cs="Arial"/>
          <w:sz w:val="22"/>
          <w:szCs w:val="22"/>
          <w:lang w:val="es-ES_tradnl" w:eastAsia="en-US"/>
        </w:rPr>
        <w:t xml:space="preserve"> precitada, procede la subsanación para lo cual, debe tenerse en cuenta que se trate de un requisito habilitante y que el evento a acreditar sea una circunstancia anterior al cierre del proceso. </w:t>
      </w:r>
    </w:p>
    <w:p w14:paraId="194538C1" w14:textId="77777777" w:rsidR="004B2BFB" w:rsidRPr="00423E69" w:rsidRDefault="004B2BFB" w:rsidP="004B2BFB">
      <w:pPr>
        <w:spacing w:before="240"/>
        <w:rPr>
          <w:rFonts w:ascii="Arial" w:eastAsia="Calibri" w:hAnsi="Arial" w:cs="Arial"/>
          <w:b/>
          <w:noProof/>
          <w:color w:val="161616" w:themeColor="background1" w:themeShade="1A"/>
          <w:sz w:val="22"/>
          <w:szCs w:val="22"/>
          <w:lang w:val="es-ES_tradnl"/>
        </w:rPr>
      </w:pPr>
      <w:r w:rsidRPr="00423E69">
        <w:rPr>
          <w:rFonts w:ascii="Arial" w:eastAsia="Calibri" w:hAnsi="Arial" w:cs="Arial"/>
          <w:b/>
          <w:noProof/>
          <w:color w:val="161616" w:themeColor="background1" w:themeShade="1A"/>
          <w:sz w:val="22"/>
          <w:szCs w:val="22"/>
          <w:lang w:val="es-ES_tradnl"/>
        </w:rPr>
        <w:t xml:space="preserve">3. Respuesta </w:t>
      </w:r>
    </w:p>
    <w:p w14:paraId="0F9EFF3C" w14:textId="77777777" w:rsidR="004B2BFB" w:rsidRPr="00423E69" w:rsidRDefault="004B2BFB" w:rsidP="004B2BFB">
      <w:pPr>
        <w:spacing w:before="240"/>
        <w:ind w:left="709" w:right="786"/>
        <w:jc w:val="both"/>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«En los documentos tipo referente al documento base consultoría de estudios de ingeniería de infraestructura de transporte, señala en el pliego en el numeral 2.4 Elaboración y presentación de la propuesta, señala expresamente:</w:t>
      </w:r>
    </w:p>
    <w:p w14:paraId="61B26056" w14:textId="77777777" w:rsidR="004B2BFB" w:rsidRPr="00423E69" w:rsidRDefault="004B2BFB" w:rsidP="004B2BFB">
      <w:pPr>
        <w:spacing w:before="240"/>
        <w:ind w:left="709" w:right="786"/>
        <w:jc w:val="both"/>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lastRenderedPageBreak/>
        <w:t xml:space="preserve">“el sobre debe contener la siguiente información, y para su entrega se observarán las siguientes reglas: </w:t>
      </w:r>
    </w:p>
    <w:p w14:paraId="13269E48" w14:textId="77777777" w:rsidR="004B2BFB" w:rsidRPr="00423E69" w:rsidRDefault="004B2BFB" w:rsidP="004B2BFB">
      <w:pPr>
        <w:pStyle w:val="Prrafodelista"/>
        <w:numPr>
          <w:ilvl w:val="0"/>
          <w:numId w:val="26"/>
        </w:numPr>
        <w:spacing w:before="240" w:line="240" w:lineRule="auto"/>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El sobre debe indicar: i) el nombre de la entidad; </w:t>
      </w:r>
      <w:proofErr w:type="spellStart"/>
      <w:r w:rsidRPr="00423E69">
        <w:rPr>
          <w:rFonts w:ascii="Arial" w:hAnsi="Arial" w:cs="Arial"/>
          <w:color w:val="000000"/>
          <w:sz w:val="21"/>
          <w:szCs w:val="21"/>
          <w:bdr w:val="none" w:sz="0" w:space="0" w:color="auto" w:frame="1"/>
        </w:rPr>
        <w:t>ii</w:t>
      </w:r>
      <w:proofErr w:type="spellEnd"/>
      <w:r w:rsidRPr="00423E69">
        <w:rPr>
          <w:rFonts w:ascii="Arial" w:hAnsi="Arial" w:cs="Arial"/>
          <w:color w:val="000000"/>
          <w:sz w:val="21"/>
          <w:szCs w:val="21"/>
          <w:bdr w:val="none" w:sz="0" w:space="0" w:color="auto" w:frame="1"/>
        </w:rPr>
        <w:t xml:space="preserve">) la dirección de radicación; </w:t>
      </w:r>
      <w:proofErr w:type="spellStart"/>
      <w:r w:rsidRPr="00423E69">
        <w:rPr>
          <w:rFonts w:ascii="Arial" w:hAnsi="Arial" w:cs="Arial"/>
          <w:color w:val="000000"/>
          <w:sz w:val="21"/>
          <w:szCs w:val="21"/>
          <w:bdr w:val="none" w:sz="0" w:space="0" w:color="auto" w:frame="1"/>
        </w:rPr>
        <w:t>iii</w:t>
      </w:r>
      <w:proofErr w:type="spellEnd"/>
      <w:r w:rsidRPr="00423E69">
        <w:rPr>
          <w:rFonts w:ascii="Arial" w:hAnsi="Arial" w:cs="Arial"/>
          <w:color w:val="000000"/>
          <w:sz w:val="21"/>
          <w:szCs w:val="21"/>
          <w:bdr w:val="none" w:sz="0" w:space="0" w:color="auto" w:frame="1"/>
        </w:rPr>
        <w:t xml:space="preserve">) el objeto del proceso de contratación; </w:t>
      </w:r>
      <w:proofErr w:type="spellStart"/>
      <w:r w:rsidRPr="00423E69">
        <w:rPr>
          <w:rFonts w:ascii="Arial" w:hAnsi="Arial" w:cs="Arial"/>
          <w:color w:val="000000"/>
          <w:sz w:val="21"/>
          <w:szCs w:val="21"/>
          <w:bdr w:val="none" w:sz="0" w:space="0" w:color="auto" w:frame="1"/>
        </w:rPr>
        <w:t>iv</w:t>
      </w:r>
      <w:proofErr w:type="spellEnd"/>
      <w:r w:rsidRPr="00423E69">
        <w:rPr>
          <w:rFonts w:ascii="Arial" w:hAnsi="Arial" w:cs="Arial"/>
          <w:color w:val="000000"/>
          <w:sz w:val="21"/>
          <w:szCs w:val="21"/>
          <w:bdr w:val="none" w:sz="0" w:space="0" w:color="auto" w:frame="1"/>
        </w:rPr>
        <w:t xml:space="preserve">) el número del proceso de contratación; v) el nombre y dirección comercial tanto física como electrónica del proponente; y vi) el nombre del representante legal del proponente. </w:t>
      </w:r>
    </w:p>
    <w:p w14:paraId="4B92FE3B" w14:textId="77777777" w:rsidR="004B2BFB" w:rsidRPr="00423E69" w:rsidRDefault="004B2BFB" w:rsidP="004B2BFB">
      <w:pPr>
        <w:pStyle w:val="Prrafodelista"/>
        <w:numPr>
          <w:ilvl w:val="0"/>
          <w:numId w:val="26"/>
        </w:numPr>
        <w:spacing w:before="240" w:line="240" w:lineRule="auto"/>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Los documentos que conforman el sobre deberán presentarse legajados, foliados, escritos en idioma castellano y en medio magnético. Se deben numerar todas las hojas que contiene la oferta. La propuesta debe contener un índice, en el que se identifique en forma clara la documentación de la oferta y el folio o folios a los que corresponde. </w:t>
      </w:r>
    </w:p>
    <w:p w14:paraId="6130019C" w14:textId="77777777" w:rsidR="004B2BFB" w:rsidRPr="00423E69" w:rsidRDefault="004B2BFB" w:rsidP="004B2BFB">
      <w:pPr>
        <w:pStyle w:val="Prrafodelista"/>
        <w:numPr>
          <w:ilvl w:val="0"/>
          <w:numId w:val="26"/>
        </w:numPr>
        <w:spacing w:before="240" w:line="240" w:lineRule="auto"/>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El proponente debe presentar el sobre en físico. Sin perjuicio de lo anterior, el proponente podrá adicionalmente presentar el contenido del Sobre en medio magnético u óptico. </w:t>
      </w:r>
    </w:p>
    <w:p w14:paraId="09BAB842" w14:textId="77777777" w:rsidR="004B2BFB" w:rsidRPr="00423E69" w:rsidRDefault="004B2BFB" w:rsidP="004B2BFB">
      <w:pPr>
        <w:pStyle w:val="Prrafodelista"/>
        <w:numPr>
          <w:ilvl w:val="0"/>
          <w:numId w:val="26"/>
        </w:numPr>
        <w:spacing w:before="240" w:line="240" w:lineRule="auto"/>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La información en físico y en medio magnético debe ser idéntica. En caso de presentarse discrepancias entre la información consignada en medio físico y la incluida en medio magnético, prevalecerá la primera. </w:t>
      </w:r>
    </w:p>
    <w:p w14:paraId="5B3B75BF" w14:textId="77777777" w:rsidR="004B2BFB" w:rsidRPr="00423E69" w:rsidRDefault="004B2BFB" w:rsidP="004B2BFB">
      <w:pPr>
        <w:pStyle w:val="Prrafodelista"/>
        <w:numPr>
          <w:ilvl w:val="0"/>
          <w:numId w:val="26"/>
        </w:numPr>
        <w:spacing w:before="240" w:line="240" w:lineRule="auto"/>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Debe incluir la propuesta económica en la forma prevista por la Entidad. </w:t>
      </w:r>
    </w:p>
    <w:p w14:paraId="1320FBF4" w14:textId="77777777" w:rsidR="004B2BFB" w:rsidRPr="00423E69" w:rsidRDefault="004B2BFB" w:rsidP="004B2BFB">
      <w:pPr>
        <w:pStyle w:val="Prrafodelista"/>
        <w:numPr>
          <w:ilvl w:val="0"/>
          <w:numId w:val="26"/>
        </w:numPr>
        <w:spacing w:before="240" w:line="240" w:lineRule="auto"/>
        <w:ind w:right="786"/>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El proponente al presentar la oferta económica incluirá todos los impuestos, tasas y contribuciones, incluido el IVA. La propuesta económica debe estar firmada”. </w:t>
      </w:r>
    </w:p>
    <w:p w14:paraId="736E71C4" w14:textId="77777777" w:rsidR="004B2BFB" w:rsidRPr="00423E69" w:rsidRDefault="004B2BFB" w:rsidP="004B2BFB">
      <w:pPr>
        <w:spacing w:before="240"/>
        <w:ind w:left="709" w:right="786"/>
        <w:jc w:val="both"/>
        <w:rPr>
          <w:rFonts w:ascii="Arial" w:hAnsi="Arial" w:cs="Arial"/>
          <w:color w:val="000000"/>
          <w:sz w:val="21"/>
          <w:szCs w:val="21"/>
          <w:bdr w:val="none" w:sz="0" w:space="0" w:color="auto" w:frame="1"/>
        </w:rPr>
      </w:pPr>
      <w:r w:rsidRPr="00423E69">
        <w:rPr>
          <w:rFonts w:ascii="Arial" w:hAnsi="Arial" w:cs="Arial"/>
          <w:color w:val="000000"/>
          <w:sz w:val="21"/>
          <w:szCs w:val="21"/>
          <w:bdr w:val="none" w:sz="0" w:space="0" w:color="auto" w:frame="1"/>
        </w:rPr>
        <w:t xml:space="preserve">En caso de que falte algún requisito por parte del proponente debe subsanarlo o se debe aceptar con esas falencias» (SIC) </w:t>
      </w:r>
    </w:p>
    <w:p w14:paraId="6F0F59E5" w14:textId="77777777" w:rsidR="004B2BFB" w:rsidRPr="00423E69" w:rsidRDefault="004B2BFB" w:rsidP="004B2BFB">
      <w:pPr>
        <w:pStyle w:val="NormalWeb"/>
        <w:spacing w:before="0" w:beforeAutospacing="0" w:after="0" w:afterAutospacing="0"/>
        <w:ind w:right="77"/>
        <w:rPr>
          <w:rFonts w:ascii="Arial" w:eastAsia="Calibri" w:hAnsi="Arial" w:cs="Arial"/>
          <w:color w:val="161616" w:themeColor="background1" w:themeShade="1A"/>
          <w:sz w:val="22"/>
          <w:szCs w:val="22"/>
          <w:lang w:val="es-ES_tradnl"/>
        </w:rPr>
      </w:pPr>
    </w:p>
    <w:p w14:paraId="3AF8A366" w14:textId="77777777" w:rsidR="004B2BFB" w:rsidRPr="00423E69" w:rsidRDefault="004B2BFB" w:rsidP="004B2BFB">
      <w:pPr>
        <w:spacing w:line="276" w:lineRule="auto"/>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De acuerdo con lo expuesto en torno a la </w:t>
      </w:r>
      <w:proofErr w:type="spellStart"/>
      <w:r w:rsidRPr="00423E69">
        <w:rPr>
          <w:rFonts w:ascii="Arial" w:eastAsia="Calibri" w:hAnsi="Arial" w:cs="Arial"/>
          <w:sz w:val="22"/>
          <w:szCs w:val="22"/>
          <w:lang w:val="es-ES_tradnl" w:eastAsia="en-US"/>
        </w:rPr>
        <w:t>subsanabilidad</w:t>
      </w:r>
      <w:proofErr w:type="spellEnd"/>
      <w:r w:rsidRPr="00423E69">
        <w:rPr>
          <w:rFonts w:ascii="Arial" w:eastAsia="Calibri" w:hAnsi="Arial" w:cs="Arial"/>
          <w:sz w:val="22"/>
          <w:szCs w:val="22"/>
          <w:lang w:val="es-ES_tradnl" w:eastAsia="en-US"/>
        </w:rPr>
        <w:t xml:space="preserve"> de las ofertas</w:t>
      </w:r>
      <w:r w:rsidRPr="00423E69">
        <w:rPr>
          <w:rFonts w:ascii="Arial" w:hAnsi="Arial" w:cs="Arial"/>
          <w:sz w:val="22"/>
        </w:rPr>
        <w:t xml:space="preserve"> y teniendo en cuenta las reglas dispuestas en </w:t>
      </w:r>
      <w:r w:rsidRPr="00423E69">
        <w:rPr>
          <w:rFonts w:ascii="Arial" w:eastAsia="Calibri" w:hAnsi="Arial" w:cs="Arial"/>
          <w:sz w:val="22"/>
          <w:szCs w:val="22"/>
          <w:lang w:val="es-ES_tradnl" w:eastAsia="en-US"/>
        </w:rPr>
        <w:t>la Ley 1882 de 2018, se 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Por ello, si los requisitos no afectan la asignación de puntaje y tienen el carácter de habilitantes para la participación en el proceso de contratación, se entiende que, en principio, pueden subsanarse</w:t>
      </w:r>
      <w:r w:rsidRPr="00423E69">
        <w:rPr>
          <w:rStyle w:val="normaltextrun"/>
          <w:rFonts w:ascii="Arial" w:hAnsi="Arial" w:cs="Arial"/>
          <w:color w:val="000000"/>
          <w:sz w:val="22"/>
          <w:szCs w:val="22"/>
          <w:shd w:val="clear" w:color="auto" w:fill="FFFFFF"/>
          <w:lang w:val="es-ES_tradnl"/>
        </w:rPr>
        <w:t xml:space="preserve">, siempre que </w:t>
      </w:r>
      <w:r w:rsidRPr="00423E69">
        <w:rPr>
          <w:rFonts w:ascii="Arial" w:eastAsia="Calibri" w:hAnsi="Arial" w:cs="Arial"/>
          <w:sz w:val="22"/>
          <w:szCs w:val="22"/>
          <w:lang w:val="es-ES_tradnl" w:eastAsia="en-US"/>
        </w:rPr>
        <w:t>no se acrediten circunstancias ocurridas con posterioridad al cierre del proceso</w:t>
      </w:r>
      <w:r w:rsidRPr="00423E69">
        <w:rPr>
          <w:rStyle w:val="normaltextrun"/>
          <w:rFonts w:ascii="Arial" w:hAnsi="Arial" w:cs="Arial"/>
          <w:color w:val="000000"/>
          <w:sz w:val="22"/>
          <w:szCs w:val="22"/>
          <w:shd w:val="clear" w:color="auto" w:fill="FFFFFF"/>
          <w:lang w:val="es-ES"/>
        </w:rPr>
        <w:t>. </w:t>
      </w:r>
      <w:r w:rsidRPr="00423E69">
        <w:rPr>
          <w:rStyle w:val="eop"/>
          <w:rFonts w:ascii="Arial" w:hAnsi="Arial" w:cs="Arial"/>
          <w:color w:val="000000"/>
          <w:sz w:val="22"/>
          <w:szCs w:val="22"/>
          <w:shd w:val="clear" w:color="auto" w:fill="FFFFFF"/>
        </w:rPr>
        <w:t> </w:t>
      </w:r>
    </w:p>
    <w:p w14:paraId="6FA1479C"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Con fundamento en los criterios analizados, para efectos de los documentos tipo adoptados mediante la Resolución 193 del 14 de julio de 2021, puede analizarse si los seis (6) requisitos del numeral 2.4 del pliego de condiciones de los documentos tipo de concurso de méritos para la consultoría de estudios de ingeniería de infraestructura de transporte son o no subsanables. Al respecto, es necesario tener en cuenta que los literales D, Q y R del numeral 1.15 del documento base disponen el rechazo de las ofertas «Cuando al Proponente se le haya requerido con el propósito de subsanar o aclarar o aportar un documento de la propuesta y no lo efectúe dentro del plazo indicado o no lo realice </w:t>
      </w:r>
      <w:r w:rsidRPr="00423E69">
        <w:rPr>
          <w:rFonts w:ascii="Arial" w:eastAsia="Calibri" w:hAnsi="Arial" w:cs="Arial"/>
          <w:sz w:val="22"/>
          <w:szCs w:val="22"/>
          <w:lang w:val="es-ES_tradnl" w:eastAsia="en-US"/>
        </w:rPr>
        <w:lastRenderedPageBreak/>
        <w:t>correctamente o de acuerdo con lo solicitado, siempre que la subsanación, aclaración o aporte requerido sea necesario para cumplir un requisito habilitante en los términos establecidos en la sección 1.6», por «Presentar la oferta extemporáneamente» y por «No presentar oferta económica y no subsanar su entrega, en los términos del numeral 1.6».</w:t>
      </w:r>
    </w:p>
    <w:p w14:paraId="1945176C"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De acuerdo con lo anterior, si el proponente no entrega oportunamente la oferta</w:t>
      </w:r>
      <w:r w:rsidRPr="00423E69" w:rsidDel="002E0191">
        <w:rPr>
          <w:rFonts w:ascii="Arial" w:eastAsia="Calibri" w:hAnsi="Arial" w:cs="Arial"/>
          <w:sz w:val="22"/>
          <w:szCs w:val="22"/>
          <w:lang w:val="es-ES_tradnl" w:eastAsia="en-US"/>
        </w:rPr>
        <w:t xml:space="preserve"> </w:t>
      </w:r>
      <w:r w:rsidRPr="00423E69">
        <w:rPr>
          <w:rFonts w:ascii="Arial" w:eastAsia="Calibri" w:hAnsi="Arial" w:cs="Arial"/>
          <w:sz w:val="22"/>
          <w:szCs w:val="22"/>
          <w:lang w:val="es-ES_tradnl" w:eastAsia="en-US"/>
        </w:rPr>
        <w:t xml:space="preserve">mediante sobre en físico descrito en el literal C del numeral 4.2 del documento base, aplicará la causal del rechazo del citado literal Q del numeral 1.15 sin que sea posible subsanar. Esto es lógico dado que los procesos de selección se rigen por el criterio de </w:t>
      </w:r>
      <w:proofErr w:type="spellStart"/>
      <w:r w:rsidRPr="00423E69">
        <w:rPr>
          <w:rFonts w:ascii="Arial" w:eastAsia="Calibri" w:hAnsi="Arial" w:cs="Arial"/>
          <w:sz w:val="22"/>
          <w:szCs w:val="22"/>
          <w:lang w:val="es-ES_tradnl" w:eastAsia="en-US"/>
        </w:rPr>
        <w:t>preclusividad</w:t>
      </w:r>
      <w:proofErr w:type="spellEnd"/>
      <w:r w:rsidRPr="00423E69">
        <w:rPr>
          <w:rFonts w:ascii="Arial" w:eastAsia="Calibri" w:hAnsi="Arial" w:cs="Arial"/>
          <w:sz w:val="22"/>
          <w:szCs w:val="22"/>
          <w:lang w:val="es-ES_tradnl" w:eastAsia="en-US"/>
        </w:rPr>
        <w:t>, lo cual obliga a los interesados radiquen sus ofertas dentro de los términos previsto en el cronograma respectivo. En todo caso, si bien el mismo literal C del numeral 4.2 dispone que «[…]</w:t>
      </w:r>
      <w:r w:rsidRPr="00423E69">
        <w:t xml:space="preserve"> </w:t>
      </w:r>
      <w:r w:rsidRPr="00423E69">
        <w:rPr>
          <w:rFonts w:ascii="Arial" w:eastAsia="Calibri" w:hAnsi="Arial" w:cs="Arial"/>
          <w:sz w:val="22"/>
          <w:szCs w:val="22"/>
          <w:lang w:val="es-ES_tradnl" w:eastAsia="en-US"/>
        </w:rPr>
        <w:t xml:space="preserve">el Proponente </w:t>
      </w:r>
      <w:r w:rsidRPr="00423E69">
        <w:rPr>
          <w:rFonts w:ascii="Arial" w:eastAsia="Calibri" w:hAnsi="Arial" w:cs="Arial"/>
          <w:i/>
          <w:iCs/>
          <w:sz w:val="22"/>
          <w:szCs w:val="22"/>
          <w:lang w:val="es-ES_tradnl" w:eastAsia="en-US"/>
        </w:rPr>
        <w:t>podrá</w:t>
      </w:r>
      <w:r w:rsidRPr="00423E69">
        <w:rPr>
          <w:rFonts w:ascii="Arial" w:eastAsia="Calibri" w:hAnsi="Arial" w:cs="Arial"/>
          <w:sz w:val="22"/>
          <w:szCs w:val="22"/>
          <w:lang w:val="es-ES_tradnl" w:eastAsia="en-US"/>
        </w:rPr>
        <w:t xml:space="preserve"> adicionalmente presentar el contenido del Sobre en Medio Magnético u óptico» (Énfasis fuera de texto), es necesario tener en cuenta que –de acuerdo con el verbo utilizado– este requisito es facultativo, no obligatorio. Por tanto, con la entrega oportuna del sobre medio físico, la entidad no podría rechazar la oferta por la ausencia del medio magnético u óptico. De esta manera, cuando el oferente realice la propuesta utilizando ambos medios aplicará la regla literal D del numeral 4.2, por la cual «[…] En caso de presentarse discrepancias entre la información consignada en medio físico y la incluida en Medio Magnético, prevalecerá la primera». </w:t>
      </w:r>
      <w:r w:rsidRPr="00423E69" w:rsidDel="002E0191">
        <w:rPr>
          <w:rFonts w:ascii="Arial" w:eastAsia="Calibri" w:hAnsi="Arial" w:cs="Arial"/>
          <w:sz w:val="22"/>
          <w:szCs w:val="22"/>
          <w:lang w:val="es-ES_tradnl" w:eastAsia="en-US"/>
        </w:rPr>
        <w:t xml:space="preserve"> </w:t>
      </w:r>
    </w:p>
    <w:p w14:paraId="0AA04582"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Por otra parte, en lo relacionado con la no entrega de la propuesta económica, se advierte que –en concordancia con el inciso segundo del numeral 4 del artículo 5 de la Ley 1150 de 2007– el precio no es un factor evaluable en la selección de consultores. Así las cosas, a diferencia de lo que sucede en los documentos tipo de licitación, menor cuantía y mínima cuantía para obra pública de infraestructura de transporte, el requisito previsto en el literal E del numeral 4.2 puede subsanarse, razón por la que la causal de rechazo del literal R aplica cuando no se realiza la entrega en los términos del numeral 1.6 del pliego de condiciones. Asimismo, la regla del literal F del numeral 4.2 es una pauta de conducta para el proponente, quien al presentar la oferta económica debe incluir todos los impuestos, tasas y contribuciones para calcular el precio.</w:t>
      </w:r>
    </w:p>
    <w:p w14:paraId="41973357" w14:textId="77777777" w:rsidR="004B2BFB" w:rsidRPr="00423E69" w:rsidRDefault="004B2BFB" w:rsidP="004B2BFB">
      <w:pPr>
        <w:spacing w:before="120" w:line="276" w:lineRule="auto"/>
        <w:ind w:firstLine="709"/>
        <w:jc w:val="both"/>
        <w:rPr>
          <w:rFonts w:ascii="Arial" w:eastAsia="Calibri" w:hAnsi="Arial" w:cs="Arial"/>
          <w:sz w:val="22"/>
          <w:szCs w:val="22"/>
          <w:lang w:val="es-ES_tradnl" w:eastAsia="en-US"/>
        </w:rPr>
      </w:pPr>
      <w:r w:rsidRPr="00423E69">
        <w:rPr>
          <w:rFonts w:ascii="Arial" w:eastAsia="Calibri" w:hAnsi="Arial" w:cs="Arial"/>
          <w:sz w:val="22"/>
          <w:szCs w:val="22"/>
          <w:lang w:val="es-ES_tradnl" w:eastAsia="en-US"/>
        </w:rPr>
        <w:t xml:space="preserve">Finalmente, los literales A y B del numeral 4.2 definen las condiciones formales del sobre que contiene la propuesta. Salvo lo relacionado con el idioma, gran parte de estas directrices no inciden verificación de las condiciones del oferente ni en la evaluación de los ofrecimientos, pues son aspectos referentes a las indicaciones del sobre, así como a la necesidad de que los documentos estén legajados y foliados, con escritura en medio mecánico, así como la inclusión del índice respectivo. En este contexto, se trata de condiciones que admiten subsanación. Sin embargo, si después de la solicitud permanecen estos defectos, la entidad no estaría habilitada para rechazar la propuesta. Lo anterior, teniendo en cuenta que la causal de rechazo del literal D del numeral 1.15 solo procede cuando la subsanación sea necesaria para cumplir un requisito habilitante en los términos establecidos en la sección 1.6. Por tanto, salvo el supuesto de hecho mencionado en la </w:t>
      </w:r>
      <w:r w:rsidRPr="00423E69">
        <w:rPr>
          <w:rFonts w:ascii="Arial" w:eastAsia="Calibri" w:hAnsi="Arial" w:cs="Arial"/>
          <w:sz w:val="22"/>
          <w:szCs w:val="22"/>
          <w:lang w:val="es-ES_tradnl" w:eastAsia="en-US"/>
        </w:rPr>
        <w:lastRenderedPageBreak/>
        <w:t xml:space="preserve">citada causal de rechazo y sin perjuicio de la imposibilidad de acreditar circunstancias ocurridas con posterioridad al cierre del proceso, la entidad debe evaluar la </w:t>
      </w:r>
      <w:proofErr w:type="gramStart"/>
      <w:r w:rsidRPr="00423E69">
        <w:rPr>
          <w:rFonts w:ascii="Arial" w:eastAsia="Calibri" w:hAnsi="Arial" w:cs="Arial"/>
          <w:sz w:val="22"/>
          <w:szCs w:val="22"/>
          <w:lang w:val="es-ES_tradnl" w:eastAsia="en-US"/>
        </w:rPr>
        <w:t>oferta</w:t>
      </w:r>
      <w:proofErr w:type="gramEnd"/>
      <w:r w:rsidRPr="00423E69">
        <w:rPr>
          <w:rFonts w:ascii="Arial" w:eastAsia="Calibri" w:hAnsi="Arial" w:cs="Arial"/>
          <w:sz w:val="22"/>
          <w:szCs w:val="22"/>
          <w:lang w:val="es-ES_tradnl" w:eastAsia="en-US"/>
        </w:rPr>
        <w:t xml:space="preserve"> aunque se presenten falencias formales en la presentación del sobre.</w:t>
      </w:r>
    </w:p>
    <w:p w14:paraId="60996366" w14:textId="77777777" w:rsidR="004B2BFB" w:rsidRPr="00423E69" w:rsidRDefault="004B2BFB" w:rsidP="004B2BFB">
      <w:pPr>
        <w:spacing w:line="276" w:lineRule="auto"/>
        <w:ind w:firstLine="709"/>
        <w:jc w:val="both"/>
        <w:rPr>
          <w:rFonts w:ascii="Arial" w:eastAsia="Calibri" w:hAnsi="Arial" w:cs="Arial"/>
          <w:sz w:val="22"/>
          <w:szCs w:val="22"/>
          <w:lang w:val="es-ES_tradnl" w:eastAsia="en-US"/>
        </w:rPr>
      </w:pPr>
    </w:p>
    <w:p w14:paraId="7787353D" w14:textId="77777777" w:rsidR="004B2BFB" w:rsidRPr="00423E69" w:rsidRDefault="004B2BFB" w:rsidP="004B2BFB">
      <w:pPr>
        <w:pStyle w:val="NormalWeb"/>
        <w:spacing w:before="120" w:beforeAutospacing="0" w:after="0" w:afterAutospacing="0"/>
        <w:ind w:right="77"/>
        <w:rPr>
          <w:rFonts w:ascii="Arial" w:eastAsia="Calibri" w:hAnsi="Arial" w:cs="Arial"/>
          <w:color w:val="161616" w:themeColor="background1" w:themeShade="1A"/>
          <w:sz w:val="22"/>
          <w:szCs w:val="22"/>
          <w:lang w:val="es-ES_tradnl"/>
        </w:rPr>
      </w:pPr>
      <w:r w:rsidRPr="00423E69">
        <w:rPr>
          <w:rFonts w:ascii="Arial" w:eastAsia="Calibri" w:hAnsi="Arial" w:cs="Arial"/>
          <w:color w:val="161616" w:themeColor="background1" w:themeShade="1A"/>
          <w:sz w:val="22"/>
          <w:szCs w:val="22"/>
          <w:lang w:val="es-ES_tradnl"/>
        </w:rPr>
        <w:t>Este concepto tiene el alcance previsto en el artículo 28 del Código de Procedimiento Administrativo y de lo Contencioso Administrativo.</w:t>
      </w:r>
    </w:p>
    <w:p w14:paraId="191268A9" w14:textId="77777777" w:rsidR="004B2BFB" w:rsidRPr="00423E69" w:rsidRDefault="004B2BFB" w:rsidP="004B2BFB">
      <w:pPr>
        <w:spacing w:before="240"/>
        <w:rPr>
          <w:rFonts w:ascii="Arial" w:hAnsi="Arial" w:cs="Arial"/>
          <w:color w:val="161616" w:themeColor="background1" w:themeShade="1A"/>
          <w:sz w:val="22"/>
          <w:szCs w:val="22"/>
          <w:lang w:val="es-ES_tradnl" w:eastAsia="es-CO"/>
        </w:rPr>
      </w:pPr>
      <w:bookmarkStart w:id="5" w:name="_Hlk50986665"/>
      <w:bookmarkStart w:id="6" w:name="_Hlk52766744"/>
      <w:r w:rsidRPr="00423E69">
        <w:rPr>
          <w:rFonts w:ascii="Arial" w:hAnsi="Arial" w:cs="Arial"/>
          <w:color w:val="161616" w:themeColor="background1" w:themeShade="1A"/>
          <w:sz w:val="22"/>
          <w:szCs w:val="22"/>
          <w:lang w:val="es-ES_tradnl" w:eastAsia="es-CO"/>
        </w:rPr>
        <w:t>Atentamente,</w:t>
      </w:r>
      <w:bookmarkEnd w:id="5"/>
      <w:bookmarkEnd w:id="6"/>
    </w:p>
    <w:p w14:paraId="7245ECD7" w14:textId="252DE536" w:rsidR="004B2BFB" w:rsidRPr="00423E69" w:rsidRDefault="00532CFA" w:rsidP="004B2BFB">
      <w:pPr>
        <w:spacing w:before="240"/>
        <w:jc w:val="center"/>
        <w:rPr>
          <w:rFonts w:ascii="Arial" w:hAnsi="Arial" w:cs="Arial"/>
          <w:color w:val="161616" w:themeColor="background1" w:themeShade="1A"/>
          <w:sz w:val="22"/>
          <w:szCs w:val="22"/>
          <w:lang w:val="es-ES_tradnl" w:eastAsia="es-CO"/>
        </w:rPr>
      </w:pPr>
      <w:r w:rsidRPr="00B56176">
        <w:rPr>
          <w:rFonts w:ascii="Arial" w:hAnsi="Arial" w:cs="Arial"/>
          <w:noProof/>
          <w:color w:val="FF0000"/>
          <w:lang w:eastAsia="es-CO"/>
        </w:rPr>
        <w:drawing>
          <wp:inline distT="0" distB="0" distL="0" distR="0" wp14:anchorId="6CBF1C62" wp14:editId="7AB0DEA6">
            <wp:extent cx="2533650" cy="981075"/>
            <wp:effectExtent l="0" t="0" r="0" b="952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p>
    <w:p w14:paraId="38388EE1" w14:textId="77777777" w:rsidR="004B2BFB" w:rsidRPr="00423E69" w:rsidRDefault="004B2BFB" w:rsidP="004B2BFB">
      <w:pPr>
        <w:spacing w:before="240"/>
        <w:rPr>
          <w:rFonts w:ascii="Arial" w:hAnsi="Arial" w:cs="Arial"/>
          <w:color w:val="161616" w:themeColor="background1" w:themeShade="1A"/>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
        <w:gridCol w:w="4298"/>
      </w:tblGrid>
      <w:tr w:rsidR="004B2BFB" w:rsidRPr="00423E69" w14:paraId="4AEF64FE" w14:textId="77777777" w:rsidTr="00AF241E">
        <w:trPr>
          <w:trHeight w:val="237"/>
        </w:trPr>
        <w:tc>
          <w:tcPr>
            <w:tcW w:w="790" w:type="dxa"/>
            <w:vAlign w:val="center"/>
          </w:tcPr>
          <w:p w14:paraId="6CCE2301" w14:textId="77777777" w:rsidR="004B2BFB" w:rsidRPr="00423E69" w:rsidRDefault="004B2BFB" w:rsidP="00AF241E">
            <w:pPr>
              <w:rPr>
                <w:rFonts w:ascii="Arial" w:hAnsi="Arial" w:cs="Arial"/>
                <w:color w:val="161616" w:themeColor="background1" w:themeShade="1A"/>
                <w:sz w:val="14"/>
                <w:szCs w:val="14"/>
                <w:lang w:val="es-ES_tradnl" w:eastAsia="es-ES"/>
              </w:rPr>
            </w:pPr>
            <w:r w:rsidRPr="00423E69">
              <w:rPr>
                <w:rFonts w:ascii="Arial" w:hAnsi="Arial" w:cs="Arial"/>
                <w:color w:val="161616" w:themeColor="background1" w:themeShade="1A"/>
                <w:sz w:val="14"/>
                <w:szCs w:val="14"/>
                <w:lang w:val="es-ES_tradnl" w:eastAsia="es-ES"/>
              </w:rPr>
              <w:t>Elaboró:</w:t>
            </w:r>
          </w:p>
        </w:tc>
        <w:tc>
          <w:tcPr>
            <w:tcW w:w="4298" w:type="dxa"/>
            <w:tcBorders>
              <w:bottom w:val="dotted" w:sz="4" w:space="0" w:color="7F7F7F"/>
            </w:tcBorders>
            <w:vAlign w:val="center"/>
          </w:tcPr>
          <w:p w14:paraId="3B21D254" w14:textId="77777777" w:rsidR="004B2BFB" w:rsidRPr="00423E69" w:rsidRDefault="004B2BFB" w:rsidP="00AF241E">
            <w:pPr>
              <w:rPr>
                <w:rFonts w:ascii="Arial" w:hAnsi="Arial" w:cs="Arial"/>
                <w:color w:val="161616" w:themeColor="background1" w:themeShade="1A"/>
                <w:sz w:val="14"/>
                <w:szCs w:val="14"/>
                <w:lang w:val="es-ES_tradnl" w:eastAsia="es-ES"/>
              </w:rPr>
            </w:pPr>
            <w:r w:rsidRPr="00423E69">
              <w:rPr>
                <w:rFonts w:ascii="Arial" w:hAnsi="Arial" w:cs="Arial"/>
                <w:color w:val="161616" w:themeColor="background1" w:themeShade="1A"/>
                <w:sz w:val="14"/>
                <w:szCs w:val="14"/>
                <w:lang w:val="es-ES_tradnl" w:eastAsia="es-ES"/>
              </w:rPr>
              <w:t xml:space="preserve">Nina María Padrón Ballestas </w:t>
            </w:r>
          </w:p>
          <w:p w14:paraId="1B8EA8D3" w14:textId="77777777" w:rsidR="004B2BFB" w:rsidRPr="00423E69" w:rsidRDefault="004B2BFB" w:rsidP="00AF241E">
            <w:pPr>
              <w:rPr>
                <w:rFonts w:ascii="Arial" w:hAnsi="Arial" w:cs="Arial"/>
                <w:color w:val="161616" w:themeColor="background1" w:themeShade="1A"/>
                <w:sz w:val="14"/>
                <w:szCs w:val="14"/>
                <w:lang w:val="es-ES_tradnl" w:eastAsia="es-ES"/>
              </w:rPr>
            </w:pPr>
            <w:r w:rsidRPr="00423E69">
              <w:rPr>
                <w:rFonts w:ascii="Arial" w:hAnsi="Arial" w:cs="Arial"/>
                <w:color w:val="161616" w:themeColor="background1" w:themeShade="1A"/>
                <w:sz w:val="14"/>
                <w:szCs w:val="14"/>
                <w:lang w:val="es-ES_tradnl" w:eastAsia="es-ES"/>
              </w:rPr>
              <w:t>Contratista de la Subdirección de Gestión Contractual</w:t>
            </w:r>
          </w:p>
        </w:tc>
      </w:tr>
      <w:tr w:rsidR="004B2BFB" w:rsidRPr="00423E69" w14:paraId="48BA2725" w14:textId="77777777" w:rsidTr="00AF241E">
        <w:trPr>
          <w:trHeight w:val="248"/>
        </w:trPr>
        <w:tc>
          <w:tcPr>
            <w:tcW w:w="790" w:type="dxa"/>
            <w:vAlign w:val="center"/>
          </w:tcPr>
          <w:p w14:paraId="5D0242E8" w14:textId="77777777" w:rsidR="004B2BFB" w:rsidRPr="00423E69" w:rsidRDefault="004B2BFB" w:rsidP="00AF241E">
            <w:pPr>
              <w:rPr>
                <w:rFonts w:ascii="Arial" w:hAnsi="Arial" w:cs="Arial"/>
                <w:color w:val="161616" w:themeColor="background1" w:themeShade="1A"/>
                <w:sz w:val="14"/>
                <w:szCs w:val="14"/>
                <w:lang w:val="es-ES_tradnl" w:eastAsia="es-ES"/>
              </w:rPr>
            </w:pPr>
            <w:r w:rsidRPr="00423E69">
              <w:rPr>
                <w:rFonts w:ascii="Arial" w:hAnsi="Arial" w:cs="Arial"/>
                <w:color w:val="161616" w:themeColor="background1" w:themeShade="1A"/>
                <w:sz w:val="14"/>
                <w:szCs w:val="14"/>
                <w:lang w:val="es-ES_tradnl" w:eastAsia="es-ES"/>
              </w:rPr>
              <w:t>Revisó:</w:t>
            </w:r>
          </w:p>
        </w:tc>
        <w:tc>
          <w:tcPr>
            <w:tcW w:w="4298" w:type="dxa"/>
            <w:tcBorders>
              <w:top w:val="dotted" w:sz="4" w:space="0" w:color="7F7F7F"/>
              <w:bottom w:val="dotted" w:sz="4" w:space="0" w:color="7F7F7F"/>
            </w:tcBorders>
            <w:vAlign w:val="center"/>
          </w:tcPr>
          <w:p w14:paraId="3ACDA7EE" w14:textId="77777777" w:rsidR="004B2BFB" w:rsidRPr="00423E69" w:rsidRDefault="004B2BFB" w:rsidP="00AF241E">
            <w:pPr>
              <w:rPr>
                <w:rFonts w:ascii="Arial" w:hAnsi="Arial" w:cs="Arial"/>
                <w:sz w:val="14"/>
                <w:szCs w:val="14"/>
                <w:lang w:eastAsia="es-ES"/>
              </w:rPr>
            </w:pPr>
            <w:r w:rsidRPr="00423E69">
              <w:rPr>
                <w:rFonts w:ascii="Arial" w:hAnsi="Arial" w:cs="Arial"/>
                <w:sz w:val="14"/>
                <w:szCs w:val="14"/>
                <w:lang w:eastAsia="es-ES"/>
              </w:rPr>
              <w:t>Juan David Montoya Penagos</w:t>
            </w:r>
          </w:p>
          <w:p w14:paraId="7EB033A4" w14:textId="77777777" w:rsidR="004B2BFB" w:rsidRPr="00423E69" w:rsidRDefault="004B2BFB" w:rsidP="00AF241E">
            <w:pPr>
              <w:rPr>
                <w:rFonts w:ascii="Arial" w:hAnsi="Arial" w:cs="Arial"/>
                <w:color w:val="161616" w:themeColor="background1" w:themeShade="1A"/>
                <w:sz w:val="14"/>
                <w:szCs w:val="14"/>
                <w:lang w:val="es-ES_tradnl" w:eastAsia="es-ES"/>
              </w:rPr>
            </w:pPr>
            <w:r w:rsidRPr="00423E69">
              <w:rPr>
                <w:rFonts w:ascii="Arial" w:hAnsi="Arial" w:cs="Arial"/>
                <w:sz w:val="14"/>
                <w:szCs w:val="14"/>
                <w:lang w:eastAsia="es-ES"/>
              </w:rPr>
              <w:t>Gestor T1-15 de la Subdirección de Gestión Contractual</w:t>
            </w:r>
          </w:p>
        </w:tc>
      </w:tr>
      <w:tr w:rsidR="004B2BFB" w:rsidRPr="00827DBF" w14:paraId="23B573DE" w14:textId="77777777" w:rsidTr="00AF241E">
        <w:trPr>
          <w:trHeight w:val="225"/>
        </w:trPr>
        <w:tc>
          <w:tcPr>
            <w:tcW w:w="790" w:type="dxa"/>
            <w:vAlign w:val="center"/>
          </w:tcPr>
          <w:p w14:paraId="287C86FE" w14:textId="77777777" w:rsidR="004B2BFB" w:rsidRPr="00423E69" w:rsidRDefault="004B2BFB" w:rsidP="00AF241E">
            <w:pPr>
              <w:rPr>
                <w:rFonts w:ascii="Arial" w:hAnsi="Arial" w:cs="Arial"/>
                <w:color w:val="161616" w:themeColor="background1" w:themeShade="1A"/>
                <w:sz w:val="14"/>
                <w:szCs w:val="14"/>
                <w:lang w:val="es-ES_tradnl" w:eastAsia="es-ES"/>
              </w:rPr>
            </w:pPr>
            <w:r w:rsidRPr="00423E69">
              <w:rPr>
                <w:rFonts w:ascii="Arial" w:hAnsi="Arial" w:cs="Arial"/>
                <w:color w:val="161616" w:themeColor="background1" w:themeShade="1A"/>
                <w:sz w:val="14"/>
                <w:szCs w:val="14"/>
                <w:lang w:val="es-ES_tradnl" w:eastAsia="es-ES"/>
              </w:rPr>
              <w:t>Aprobó:</w:t>
            </w:r>
          </w:p>
        </w:tc>
        <w:tc>
          <w:tcPr>
            <w:tcW w:w="4298" w:type="dxa"/>
            <w:tcBorders>
              <w:top w:val="dotted" w:sz="4" w:space="0" w:color="7F7F7F"/>
              <w:bottom w:val="dotted" w:sz="4" w:space="0" w:color="7F7F7F"/>
            </w:tcBorders>
            <w:vAlign w:val="center"/>
          </w:tcPr>
          <w:p w14:paraId="4C537BDD" w14:textId="77777777" w:rsidR="004B2BFB" w:rsidRPr="00423E69" w:rsidRDefault="004B2BFB" w:rsidP="00AF241E">
            <w:pPr>
              <w:rPr>
                <w:rFonts w:ascii="Arial" w:hAnsi="Arial" w:cs="Arial"/>
                <w:sz w:val="14"/>
                <w:szCs w:val="14"/>
                <w:lang w:eastAsia="es-ES"/>
              </w:rPr>
            </w:pPr>
            <w:r w:rsidRPr="00423E69">
              <w:rPr>
                <w:rFonts w:ascii="Arial" w:hAnsi="Arial" w:cs="Arial"/>
                <w:sz w:val="14"/>
                <w:szCs w:val="14"/>
                <w:lang w:eastAsia="es-ES"/>
              </w:rPr>
              <w:t>Juan David Marín López</w:t>
            </w:r>
          </w:p>
          <w:p w14:paraId="39C3B2F7" w14:textId="77777777" w:rsidR="004B2BFB" w:rsidRPr="00827DBF" w:rsidRDefault="004B2BFB" w:rsidP="00AF241E">
            <w:pPr>
              <w:rPr>
                <w:rFonts w:ascii="Arial" w:hAnsi="Arial" w:cs="Arial"/>
                <w:color w:val="161616" w:themeColor="background1" w:themeShade="1A"/>
                <w:sz w:val="14"/>
                <w:szCs w:val="14"/>
                <w:lang w:val="es-ES_tradnl" w:eastAsia="es-ES"/>
              </w:rPr>
            </w:pPr>
            <w:r w:rsidRPr="00423E69">
              <w:rPr>
                <w:rFonts w:ascii="Arial" w:hAnsi="Arial" w:cs="Arial"/>
                <w:sz w:val="14"/>
                <w:szCs w:val="14"/>
                <w:lang w:eastAsia="es-ES"/>
              </w:rPr>
              <w:t>Subdirector de Gestión Contractual (E)</w:t>
            </w:r>
          </w:p>
        </w:tc>
      </w:tr>
    </w:tbl>
    <w:p w14:paraId="46A2D6C9" w14:textId="032ABFBA" w:rsidR="00123BE2" w:rsidRPr="0071727F" w:rsidRDefault="00123BE2" w:rsidP="00827DBF">
      <w:pPr>
        <w:spacing w:before="240"/>
        <w:rPr>
          <w:rFonts w:ascii="Arial" w:hAnsi="Arial" w:cs="Arial"/>
          <w:color w:val="161616" w:themeColor="background1" w:themeShade="1A"/>
          <w:sz w:val="22"/>
          <w:szCs w:val="22"/>
          <w:lang w:val="es-ES_tradnl"/>
        </w:rPr>
      </w:pPr>
    </w:p>
    <w:sectPr w:rsidR="00123BE2" w:rsidRPr="0071727F" w:rsidSect="00835F5B">
      <w:headerReference w:type="default" r:id="rId13"/>
      <w:footerReference w:type="default" r:id="rId14"/>
      <w:pgSz w:w="12240" w:h="15840"/>
      <w:pgMar w:top="2041" w:right="1701" w:bottom="1474"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8F6F0" w14:textId="77777777" w:rsidR="005128DA" w:rsidRDefault="005128DA">
      <w:r>
        <w:separator/>
      </w:r>
    </w:p>
  </w:endnote>
  <w:endnote w:type="continuationSeparator" w:id="0">
    <w:p w14:paraId="5F0F3097" w14:textId="77777777" w:rsidR="005128DA" w:rsidRDefault="00512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B10B4">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B10B4">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9221E" w14:textId="77777777" w:rsidR="005128DA" w:rsidRDefault="005128DA">
      <w:r>
        <w:separator/>
      </w:r>
    </w:p>
  </w:footnote>
  <w:footnote w:type="continuationSeparator" w:id="0">
    <w:p w14:paraId="0352405E" w14:textId="77777777" w:rsidR="005128DA" w:rsidRDefault="005128DA">
      <w:r>
        <w:continuationSeparator/>
      </w:r>
    </w:p>
  </w:footnote>
  <w:footnote w:id="1">
    <w:p w14:paraId="6D168FD9" w14:textId="77777777" w:rsidR="004B2BFB" w:rsidRPr="00A01F50" w:rsidRDefault="004B2BFB" w:rsidP="004B2BFB">
      <w:pPr>
        <w:pStyle w:val="Textonotapie"/>
        <w:rPr>
          <w:lang w:val="es-ES"/>
        </w:rPr>
      </w:pPr>
      <w:r>
        <w:rPr>
          <w:rStyle w:val="Refdenotaalpie"/>
        </w:rPr>
        <w:footnoteRef/>
      </w:r>
      <w:r>
        <w:t xml:space="preserve"> </w:t>
      </w:r>
      <w:r w:rsidRPr="007C4DB5">
        <w:rPr>
          <w:rFonts w:ascii="Arial" w:hAnsi="Arial" w:cs="Arial"/>
          <w:sz w:val="22"/>
          <w:szCs w:val="22"/>
          <w:lang w:val="es-ES_tradnl"/>
        </w:rPr>
        <w:t xml:space="preserve">En dicho concepto se unificó la </w:t>
      </w:r>
      <w:r w:rsidRPr="007C4DB5">
        <w:rPr>
          <w:rFonts w:ascii="Arial" w:eastAsia="Calibri" w:hAnsi="Arial" w:cs="Arial"/>
          <w:sz w:val="22"/>
          <w:szCs w:val="22"/>
          <w:lang w:val="es-ES_tradnl"/>
        </w:rPr>
        <w:t>tesis expuesta en los conceptos con radicado No. 4201913000006471 del 28 de octubre de 2019, 4201912000006711 del 12 de noviembre de 2019 y 4201912000006496 del 15 de noviembre de 2019</w:t>
      </w:r>
    </w:p>
  </w:footnote>
  <w:footnote w:id="2">
    <w:p w14:paraId="15996B13"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p>
    <w:p w14:paraId="39AD7977"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r w:rsidRPr="00827DBF">
        <w:rPr>
          <w:rStyle w:val="Refdenotaalpie"/>
          <w:rFonts w:ascii="Arial" w:hAnsi="Arial" w:cs="Arial"/>
          <w:color w:val="000000" w:themeColor="text1"/>
          <w:sz w:val="19"/>
          <w:szCs w:val="19"/>
        </w:rPr>
        <w:footnoteRef/>
      </w:r>
      <w:r w:rsidRPr="00827DBF">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4F19A199"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p>
  </w:footnote>
  <w:footnote w:id="3">
    <w:p w14:paraId="25593C7B"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r w:rsidRPr="00827DBF">
        <w:rPr>
          <w:rStyle w:val="Refdenotaalpie"/>
          <w:rFonts w:ascii="Arial" w:hAnsi="Arial" w:cs="Arial"/>
          <w:color w:val="000000" w:themeColor="text1"/>
          <w:sz w:val="19"/>
          <w:szCs w:val="19"/>
        </w:rPr>
        <w:footnoteRef/>
      </w:r>
      <w:r w:rsidRPr="00827DBF">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4">
    <w:p w14:paraId="6B72029D"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p>
    <w:p w14:paraId="0FDB2944"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r w:rsidRPr="00827DBF">
        <w:rPr>
          <w:rStyle w:val="Refdenotaalpie"/>
          <w:rFonts w:ascii="Arial" w:hAnsi="Arial" w:cs="Arial"/>
          <w:color w:val="000000" w:themeColor="text1"/>
          <w:sz w:val="19"/>
          <w:szCs w:val="19"/>
        </w:rPr>
        <w:footnoteRef/>
      </w:r>
      <w:r w:rsidRPr="00827DBF">
        <w:rPr>
          <w:rFonts w:ascii="Arial" w:hAnsi="Arial" w:cs="Arial"/>
          <w:color w:val="000000" w:themeColor="text1"/>
          <w:sz w:val="19"/>
          <w:szCs w:val="19"/>
        </w:rPr>
        <w:t xml:space="preserve"> Consejo de Estado. Sección Tercera. Subsección C. Sentencia del 26 de febrero de 2014. Expediente: 25.804. Consejero Ponente: Enrique Gil Botero.</w:t>
      </w:r>
    </w:p>
  </w:footnote>
  <w:footnote w:id="5">
    <w:p w14:paraId="65CABC4A"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r w:rsidRPr="00827DBF">
        <w:rPr>
          <w:rStyle w:val="Refdenotaalpie"/>
          <w:rFonts w:ascii="Arial" w:hAnsi="Arial" w:cs="Arial"/>
          <w:color w:val="000000" w:themeColor="text1"/>
          <w:sz w:val="19"/>
          <w:szCs w:val="19"/>
        </w:rPr>
        <w:footnoteRef/>
      </w:r>
      <w:r w:rsidRPr="00827DBF">
        <w:rPr>
          <w:rFonts w:ascii="Arial" w:hAnsi="Arial" w:cs="Arial"/>
          <w:color w:val="000000" w:themeColor="text1"/>
          <w:sz w:val="19"/>
          <w:szCs w:val="19"/>
        </w:rPr>
        <w:t xml:space="preserve"> «Sin embargo, debe tenerse en cuenta que la última norma en cita -Decreto 2474 de 2008, aparte subrayado-, establece un límite a la </w:t>
      </w:r>
      <w:proofErr w:type="spellStart"/>
      <w:r w:rsidRPr="00827DBF">
        <w:rPr>
          <w:rFonts w:ascii="Arial" w:hAnsi="Arial" w:cs="Arial"/>
          <w:color w:val="000000" w:themeColor="text1"/>
          <w:sz w:val="19"/>
          <w:szCs w:val="19"/>
        </w:rPr>
        <w:t>subsanabilidad</w:t>
      </w:r>
      <w:proofErr w:type="spellEnd"/>
      <w:r w:rsidRPr="00827DBF">
        <w:rPr>
          <w:rFonts w:ascii="Arial" w:hAnsi="Arial" w:cs="Arial"/>
          <w:color w:val="000000" w:themeColor="text1"/>
          <w:sz w:val="19"/>
          <w:szCs w:val="19"/>
        </w:rPr>
        <w:t>, puesto que en cualquier caso debe referirse o recaer sobre circunstancias ocurridas antes del cierre del respectivo proceso, esto es, del vencimiento del plazo para presentar ofertas.</w:t>
      </w:r>
    </w:p>
    <w:p w14:paraId="2DA651A1"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proofErr w:type="gramStart"/>
      <w:r w:rsidRPr="00827DBF">
        <w:rPr>
          <w:rFonts w:ascii="Arial" w:hAnsi="Arial" w:cs="Arial"/>
          <w:color w:val="000000" w:themeColor="text1"/>
          <w:sz w:val="19"/>
          <w:szCs w:val="19"/>
        </w:rPr>
        <w:t>»De</w:t>
      </w:r>
      <w:proofErr w:type="gramEnd"/>
      <w:r w:rsidRPr="00827DBF">
        <w:rPr>
          <w:rFonts w:ascii="Arial" w:hAnsi="Arial" w:cs="Arial"/>
          <w:color w:val="000000" w:themeColor="text1"/>
          <w:sz w:val="19"/>
          <w:szCs w:val="19"/>
        </w:rPr>
        <w:t xml:space="preserv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827DBF">
        <w:rPr>
          <w:rFonts w:ascii="Arial" w:hAnsi="Arial" w:cs="Arial"/>
          <w:color w:val="000000" w:themeColor="text1"/>
          <w:sz w:val="19"/>
          <w:szCs w:val="19"/>
        </w:rPr>
        <w:t>la misma</w:t>
      </w:r>
      <w:proofErr w:type="gramEnd"/>
      <w:r w:rsidRPr="00827DBF">
        <w:rPr>
          <w:rFonts w:ascii="Arial" w:hAnsi="Arial" w:cs="Arial"/>
          <w:color w:val="000000" w:themeColor="text1"/>
          <w:sz w:val="19"/>
          <w:szCs w:val="19"/>
        </w:rPr>
        <w:t>,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609652CC"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p>
  </w:footnote>
  <w:footnote w:id="6">
    <w:p w14:paraId="01F336A0"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r w:rsidRPr="00827DBF">
        <w:rPr>
          <w:rStyle w:val="Refdenotaalpie"/>
          <w:rFonts w:ascii="Arial" w:hAnsi="Arial" w:cs="Arial"/>
          <w:color w:val="000000" w:themeColor="text1"/>
          <w:sz w:val="19"/>
          <w:szCs w:val="19"/>
        </w:rPr>
        <w:footnoteRef/>
      </w:r>
      <w:r w:rsidRPr="00827DBF">
        <w:rPr>
          <w:rFonts w:ascii="Arial" w:hAnsi="Arial" w:cs="Arial"/>
          <w:color w:val="000000" w:themeColor="text1"/>
          <w:sz w:val="19"/>
          <w:szCs w:val="19"/>
        </w:rPr>
        <w:t xml:space="preserve"> Ver Consejo de Estado, Sección Tercera, Subsección C. Sentencia del 26 de febrero de 2011. C.P. Jaime Orlando Santofimio. Rad. 36.408.  </w:t>
      </w:r>
    </w:p>
  </w:footnote>
  <w:footnote w:id="7">
    <w:p w14:paraId="6A835BC8"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r w:rsidRPr="00827DBF">
        <w:rPr>
          <w:rStyle w:val="Refdenotaalpie"/>
          <w:rFonts w:ascii="Arial" w:hAnsi="Arial" w:cs="Arial"/>
          <w:color w:val="000000" w:themeColor="text1"/>
          <w:sz w:val="19"/>
          <w:szCs w:val="19"/>
        </w:rPr>
        <w:footnoteRef/>
      </w:r>
      <w:r w:rsidRPr="00827DBF">
        <w:rPr>
          <w:rFonts w:ascii="Arial" w:hAnsi="Arial" w:cs="Arial"/>
          <w:color w:val="000000" w:themeColor="text1"/>
          <w:sz w:val="19"/>
          <w:szCs w:val="19"/>
        </w:rPr>
        <w:t xml:space="preserve"> Ver Consejo de Estado, Sección Tercera, Subsección C. Sentencia del 26 de febrero de 2014. C.P. Enrique Gil Botero. Rad. 25.804.  </w:t>
      </w:r>
    </w:p>
  </w:footnote>
  <w:footnote w:id="8">
    <w:p w14:paraId="4C6508AF"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r w:rsidRPr="00827DBF">
        <w:rPr>
          <w:rStyle w:val="Refdenotaalpie"/>
          <w:rFonts w:ascii="Arial" w:hAnsi="Arial" w:cs="Arial"/>
          <w:color w:val="000000" w:themeColor="text1"/>
          <w:sz w:val="19"/>
          <w:szCs w:val="19"/>
        </w:rPr>
        <w:footnoteRef/>
      </w:r>
      <w:r w:rsidRPr="00827DBF">
        <w:rPr>
          <w:rFonts w:ascii="Arial" w:hAnsi="Arial" w:cs="Arial"/>
          <w:color w:val="000000" w:themeColor="text1"/>
          <w:sz w:val="19"/>
          <w:szCs w:val="19"/>
        </w:rPr>
        <w:t xml:space="preserve"> Consejo de Estado. Sala de Consulta y Servicio Civil. Concepto del 20 de mayo de 2010. Expediente: 1992. Consejero Ponente: Enrique José Arboleda Perdomo.</w:t>
      </w:r>
    </w:p>
    <w:p w14:paraId="5B0B0A2C"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p>
  </w:footnote>
  <w:footnote w:id="9">
    <w:p w14:paraId="519229B4" w14:textId="77777777" w:rsidR="004B2BFB" w:rsidRPr="00423E69" w:rsidRDefault="004B2BFB" w:rsidP="004B2BFB">
      <w:pPr>
        <w:pStyle w:val="Textonotapie"/>
        <w:spacing w:before="0" w:after="0"/>
        <w:ind w:firstLine="708"/>
        <w:rPr>
          <w:rFonts w:ascii="Arial" w:hAnsi="Arial" w:cs="Arial"/>
          <w:sz w:val="19"/>
          <w:szCs w:val="19"/>
        </w:rPr>
      </w:pPr>
      <w:r w:rsidRPr="00423E69">
        <w:rPr>
          <w:rStyle w:val="Refdenotaalpie"/>
          <w:rFonts w:ascii="Arial" w:hAnsi="Arial" w:cs="Arial"/>
          <w:sz w:val="19"/>
          <w:szCs w:val="19"/>
        </w:rPr>
        <w:footnoteRef/>
      </w:r>
      <w:r w:rsidRPr="00423E69">
        <w:rPr>
          <w:rFonts w:ascii="Arial" w:hAnsi="Arial" w:cs="Arial"/>
          <w:sz w:val="19"/>
          <w:szCs w:val="19"/>
        </w:rPr>
        <w:t xml:space="preserve"> </w:t>
      </w:r>
      <w:r>
        <w:rPr>
          <w:rFonts w:ascii="Arial" w:hAnsi="Arial" w:cs="Arial"/>
          <w:sz w:val="19"/>
          <w:szCs w:val="19"/>
        </w:rPr>
        <w:t xml:space="preserve">Sobre este aspecto, el Concepto CU-182 del 31 de marzo de 2020 explica que «[…] </w:t>
      </w:r>
      <w:r w:rsidRPr="00097F4D">
        <w:rPr>
          <w:rFonts w:ascii="Arial" w:hAnsi="Arial" w:cs="Arial"/>
          <w:sz w:val="19"/>
          <w:szCs w:val="19"/>
        </w:rPr>
        <w:t xml:space="preserve">las propuestas económicas </w:t>
      </w:r>
      <w:r>
        <w:rPr>
          <w:rFonts w:ascii="Arial" w:hAnsi="Arial" w:cs="Arial"/>
          <w:sz w:val="19"/>
          <w:szCs w:val="19"/>
        </w:rPr>
        <w:t>[…]</w:t>
      </w:r>
      <w:r w:rsidRPr="00097F4D">
        <w:rPr>
          <w:rFonts w:ascii="Arial" w:hAnsi="Arial" w:cs="Arial"/>
          <w:sz w:val="19"/>
          <w:szCs w:val="19"/>
        </w:rPr>
        <w:t xml:space="preserve"> debe</w:t>
      </w:r>
      <w:r>
        <w:rPr>
          <w:rFonts w:ascii="Arial" w:hAnsi="Arial" w:cs="Arial"/>
          <w:sz w:val="19"/>
          <w:szCs w:val="19"/>
        </w:rPr>
        <w:t>n</w:t>
      </w:r>
      <w:r w:rsidRPr="00097F4D">
        <w:rPr>
          <w:rFonts w:ascii="Arial" w:hAnsi="Arial" w:cs="Arial"/>
          <w:sz w:val="19"/>
          <w:szCs w:val="19"/>
        </w:rPr>
        <w:t xml:space="preserve"> hacerse sobre el precio real ofrecido por cada proponente, esto es, con la inclusión de los impuestos, que se entienden parte del precio. Así, si un oferente es responsable de IVA y ello influye en el precio ofertado, la ponderación se debe hacer sobre el precio final, sin importar si en el proceso existen otros oferentes que no son responsables de dicho impuesto</w:t>
      </w:r>
      <w:r>
        <w:rPr>
          <w:rFonts w:ascii="Arial" w:hAnsi="Arial" w:cs="Arial"/>
          <w:sz w:val="19"/>
          <w:szCs w:val="19"/>
        </w:rPr>
        <w:t>».</w:t>
      </w:r>
    </w:p>
  </w:footnote>
  <w:footnote w:id="10">
    <w:p w14:paraId="6F56B18F"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p>
    <w:p w14:paraId="6BE6AC9D" w14:textId="77777777" w:rsidR="004B2BFB" w:rsidRPr="00827DBF" w:rsidRDefault="004B2BFB" w:rsidP="004B2BFB">
      <w:pPr>
        <w:pStyle w:val="Textonotapie"/>
        <w:spacing w:before="0" w:after="0" w:line="240" w:lineRule="auto"/>
        <w:ind w:firstLine="709"/>
        <w:rPr>
          <w:rFonts w:ascii="Arial" w:hAnsi="Arial" w:cs="Arial"/>
          <w:color w:val="000000" w:themeColor="text1"/>
          <w:sz w:val="19"/>
          <w:szCs w:val="19"/>
        </w:rPr>
      </w:pPr>
      <w:r w:rsidRPr="00827DBF">
        <w:rPr>
          <w:rStyle w:val="Refdenotaalpie"/>
          <w:rFonts w:ascii="Arial" w:hAnsi="Arial" w:cs="Arial"/>
          <w:color w:val="000000" w:themeColor="text1"/>
          <w:sz w:val="19"/>
          <w:szCs w:val="19"/>
        </w:rPr>
        <w:footnoteRef/>
      </w:r>
      <w:r w:rsidRPr="00827DBF">
        <w:rPr>
          <w:rStyle w:val="Refdenotaalpie"/>
          <w:rFonts w:ascii="Arial" w:hAnsi="Arial" w:cs="Arial"/>
          <w:color w:val="000000" w:themeColor="text1"/>
          <w:sz w:val="19"/>
          <w:szCs w:val="19"/>
        </w:rPr>
        <w:t xml:space="preserve"> </w:t>
      </w:r>
      <w:r w:rsidRPr="00827DBF">
        <w:rPr>
          <w:rFonts w:ascii="Arial" w:hAnsi="Arial" w:cs="Arial"/>
          <w:color w:val="000000" w:themeColor="text1"/>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1">
    <w:p w14:paraId="0B78F202" w14:textId="77777777" w:rsidR="004B2BFB" w:rsidRPr="00827DBF" w:rsidRDefault="004B2BFB" w:rsidP="004B2BFB">
      <w:pPr>
        <w:pStyle w:val="NormalWeb"/>
        <w:shd w:val="clear" w:color="auto" w:fill="FFFFFF"/>
        <w:spacing w:before="0" w:beforeAutospacing="0" w:after="0" w:afterAutospacing="0" w:line="240" w:lineRule="auto"/>
        <w:ind w:firstLine="708"/>
        <w:rPr>
          <w:rFonts w:ascii="Arial" w:hAnsi="Arial" w:cs="Arial"/>
          <w:color w:val="333333"/>
          <w:sz w:val="19"/>
          <w:szCs w:val="19"/>
          <w:lang w:val="es-ES" w:eastAsia="en-US"/>
        </w:rPr>
      </w:pPr>
      <w:r w:rsidRPr="00827DBF">
        <w:rPr>
          <w:rStyle w:val="Refdenotaalpie"/>
          <w:rFonts w:ascii="Arial" w:hAnsi="Arial" w:cs="Arial"/>
          <w:sz w:val="19"/>
          <w:szCs w:val="19"/>
        </w:rPr>
        <w:footnoteRef/>
      </w:r>
      <w:r w:rsidRPr="00827DBF">
        <w:rPr>
          <w:rFonts w:ascii="Arial" w:hAnsi="Arial" w:cs="Arial"/>
          <w:sz w:val="19"/>
          <w:szCs w:val="19"/>
        </w:rPr>
        <w:t xml:space="preserve"> </w:t>
      </w:r>
      <w:r w:rsidRPr="00827DBF">
        <w:rPr>
          <w:rFonts w:ascii="Arial" w:hAnsi="Arial" w:cs="Arial"/>
          <w:color w:val="000000" w:themeColor="text1"/>
          <w:sz w:val="19"/>
          <w:szCs w:val="19"/>
        </w:rPr>
        <w:t>«</w:t>
      </w:r>
      <w:r w:rsidRPr="00827DBF">
        <w:rPr>
          <w:rFonts w:ascii="Arial" w:hAnsi="Arial" w:cs="Arial"/>
          <w:color w:val="333333"/>
          <w:sz w:val="19"/>
          <w:szCs w:val="19"/>
          <w:shd w:val="clear" w:color="auto" w:fill="FFFFFF"/>
        </w:rPr>
        <w:t>2.2.1.2.1.5.2</w:t>
      </w:r>
      <w:r w:rsidRPr="00827DBF">
        <w:rPr>
          <w:rFonts w:ascii="Arial" w:hAnsi="Arial" w:cs="Arial"/>
          <w:color w:val="333333"/>
          <w:sz w:val="19"/>
          <w:szCs w:val="19"/>
          <w:lang w:val="es-ES" w:eastAsia="en-US"/>
        </w:rPr>
        <w:t>5. Procedimiento para la contratación de mínima cuantía. Las siguientes reglas son aplicables a la contratación cuyo valor no excede del diez por ciento (10%) de la menor cuantía de la Entidad Estatal, independientemente de su objeto:</w:t>
      </w:r>
    </w:p>
    <w:p w14:paraId="39E8EAA7" w14:textId="77777777" w:rsidR="004B2BFB" w:rsidRPr="00827DBF" w:rsidRDefault="004B2BFB" w:rsidP="004B2BFB">
      <w:pPr>
        <w:pStyle w:val="NormalWeb"/>
        <w:shd w:val="clear" w:color="auto" w:fill="FFFFFF"/>
        <w:spacing w:before="0" w:beforeAutospacing="0" w:after="0" w:afterAutospacing="0" w:line="240" w:lineRule="auto"/>
        <w:ind w:firstLine="708"/>
        <w:rPr>
          <w:rFonts w:ascii="Arial" w:hAnsi="Arial" w:cs="Arial"/>
          <w:color w:val="333333"/>
          <w:sz w:val="19"/>
          <w:szCs w:val="19"/>
          <w:lang w:val="es-ES" w:eastAsia="en-US"/>
        </w:rPr>
      </w:pPr>
      <w:r w:rsidRPr="00827DBF">
        <w:rPr>
          <w:rFonts w:ascii="Arial" w:hAnsi="Arial" w:cs="Arial"/>
          <w:color w:val="333333"/>
          <w:sz w:val="19"/>
          <w:szCs w:val="19"/>
          <w:lang w:val="es-ES" w:eastAsia="en-US"/>
        </w:rPr>
        <w:t>[…]</w:t>
      </w:r>
    </w:p>
    <w:p w14:paraId="377EDDCA" w14:textId="77777777" w:rsidR="004B2BFB" w:rsidRPr="00827DBF" w:rsidRDefault="004B2BFB" w:rsidP="004B2BFB">
      <w:pPr>
        <w:pStyle w:val="NormalWeb"/>
        <w:shd w:val="clear" w:color="auto" w:fill="FFFFFF"/>
        <w:spacing w:before="0" w:beforeAutospacing="0" w:after="0" w:afterAutospacing="0" w:line="240" w:lineRule="auto"/>
        <w:ind w:firstLine="708"/>
        <w:rPr>
          <w:rFonts w:ascii="Arial" w:hAnsi="Arial" w:cs="Arial"/>
          <w:color w:val="333333"/>
          <w:sz w:val="19"/>
          <w:szCs w:val="19"/>
          <w:lang w:val="es-ES" w:eastAsia="en-US"/>
        </w:rPr>
      </w:pPr>
      <w:r w:rsidRPr="00827DBF">
        <w:rPr>
          <w:rFonts w:ascii="Arial" w:hAnsi="Arial" w:cs="Arial"/>
          <w:color w:val="000000" w:themeColor="text1"/>
          <w:sz w:val="19"/>
          <w:szCs w:val="19"/>
        </w:rPr>
        <w:t>»</w:t>
      </w:r>
      <w:r w:rsidRPr="00827DBF">
        <w:rPr>
          <w:rFonts w:ascii="Arial" w:hAnsi="Arial" w:cs="Arial"/>
          <w:color w:val="333333"/>
          <w:sz w:val="19"/>
          <w:szCs w:val="19"/>
          <w:lang w:val="es-ES" w:eastAsia="en-U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1" w:anchor="5" w:history="1">
        <w:r w:rsidRPr="00827DBF">
          <w:rPr>
            <w:rFonts w:ascii="Arial" w:hAnsi="Arial" w:cs="Arial"/>
            <w:color w:val="333333"/>
            <w:sz w:val="19"/>
            <w:szCs w:val="19"/>
            <w:lang w:val="es-ES" w:eastAsia="en-US"/>
          </w:rPr>
          <w:t>5 </w:t>
        </w:r>
      </w:hyperlink>
      <w:r w:rsidRPr="00827DBF">
        <w:rPr>
          <w:rFonts w:ascii="Arial" w:hAnsi="Arial" w:cs="Arial"/>
          <w:color w:val="333333"/>
          <w:sz w:val="19"/>
          <w:szCs w:val="19"/>
          <w:lang w:val="es-ES" w:eastAsia="en-U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827DBF">
        <w:rPr>
          <w:rFonts w:ascii="Arial" w:hAnsi="Arial" w:cs="Arial"/>
          <w:color w:val="000000" w:themeColor="text1"/>
          <w:sz w:val="19"/>
          <w:szCs w:val="19"/>
        </w:rPr>
        <w:t>»</w:t>
      </w:r>
      <w:r w:rsidRPr="00827DBF">
        <w:rPr>
          <w:rFonts w:ascii="Arial" w:hAnsi="Arial" w:cs="Arial"/>
          <w:color w:val="333333"/>
          <w:sz w:val="19"/>
          <w:szCs w:val="19"/>
          <w:lang w:val="es-ES" w:eastAsia="en-US"/>
        </w:rPr>
        <w:t>.</w:t>
      </w:r>
    </w:p>
    <w:p w14:paraId="190F4F0C" w14:textId="77777777" w:rsidR="004B2BFB" w:rsidRPr="00827DBF" w:rsidRDefault="004B2BFB" w:rsidP="004B2BFB">
      <w:pPr>
        <w:pStyle w:val="Textonotapie"/>
        <w:spacing w:before="0" w:after="0" w:line="240" w:lineRule="auto"/>
        <w:rPr>
          <w:rFonts w:ascii="Arial" w:hAnsi="Arial" w:cs="Arial"/>
          <w:sz w:val="19"/>
          <w:szCs w:val="19"/>
          <w:lang w:val="es-ES"/>
        </w:rPr>
      </w:pPr>
    </w:p>
  </w:footnote>
  <w:footnote w:id="12">
    <w:p w14:paraId="7B584FD4" w14:textId="77777777" w:rsidR="004B2BFB" w:rsidRPr="00827DBF" w:rsidRDefault="004B2BFB" w:rsidP="004B2BFB">
      <w:pPr>
        <w:pStyle w:val="Textonotapie"/>
        <w:spacing w:before="0" w:after="0" w:line="240" w:lineRule="auto"/>
        <w:ind w:firstLine="709"/>
        <w:rPr>
          <w:rFonts w:ascii="Arial" w:eastAsia="Times New Roman" w:hAnsi="Arial" w:cs="Arial"/>
          <w:color w:val="000000" w:themeColor="text1"/>
          <w:sz w:val="19"/>
          <w:szCs w:val="19"/>
          <w:lang w:val="es-ES"/>
        </w:rPr>
      </w:pPr>
      <w:r>
        <w:rPr>
          <w:rStyle w:val="Refdenotaalpie"/>
        </w:rPr>
        <w:footnoteRef/>
      </w:r>
      <w:r>
        <w:t xml:space="preserve"> </w:t>
      </w:r>
      <w:r w:rsidRPr="00827DBF">
        <w:rPr>
          <w:rFonts w:ascii="Arial" w:eastAsia="Times New Roman" w:hAnsi="Arial" w:cs="Arial"/>
          <w:color w:val="000000" w:themeColor="text1"/>
          <w:sz w:val="19"/>
          <w:szCs w:val="19"/>
          <w:lang w:val="es-ES"/>
        </w:rPr>
        <w:t xml:space="preserve">CONSEJO DE ESTADO. Sección Tercera. Sentencia del 3 de diciembre de 2007. Consejera Ponente: </w:t>
      </w:r>
      <w:r w:rsidRPr="00933DE5">
        <w:rPr>
          <w:rFonts w:ascii="Arial" w:eastAsia="Times New Roman" w:hAnsi="Arial" w:cs="Arial"/>
          <w:color w:val="000000" w:themeColor="text1"/>
          <w:sz w:val="19"/>
          <w:szCs w:val="19"/>
          <w:lang w:val="es-ES"/>
        </w:rPr>
        <w:t>Ruth Stella Correa Palacio</w:t>
      </w:r>
      <w:r>
        <w:rPr>
          <w:rFonts w:ascii="Arial" w:eastAsia="Times New Roman" w:hAnsi="Arial" w:cs="Arial"/>
          <w:color w:val="000000" w:themeColor="text1"/>
          <w:sz w:val="19"/>
          <w:szCs w:val="19"/>
          <w:lang w:val="es-ES"/>
        </w:rPr>
        <w:t xml:space="preserve">. </w:t>
      </w:r>
      <w:proofErr w:type="spellStart"/>
      <w:r w:rsidRPr="00827DBF">
        <w:rPr>
          <w:rFonts w:ascii="Arial" w:eastAsia="Times New Roman" w:hAnsi="Arial" w:cs="Arial"/>
          <w:color w:val="000000" w:themeColor="text1"/>
          <w:sz w:val="19"/>
          <w:szCs w:val="19"/>
          <w:lang w:val="es-ES"/>
        </w:rPr>
        <w:t>Exp</w:t>
      </w:r>
      <w:proofErr w:type="spellEnd"/>
      <w:r w:rsidRPr="00827DBF">
        <w:rPr>
          <w:rFonts w:ascii="Arial" w:eastAsia="Times New Roman" w:hAnsi="Arial" w:cs="Arial"/>
          <w:color w:val="000000" w:themeColor="text1"/>
          <w:sz w:val="19"/>
          <w:szCs w:val="19"/>
          <w:lang w:val="es-ES"/>
        </w:rPr>
        <w:t>. 24.715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3E3C49EF"/>
    <w:multiLevelType w:val="hybridMultilevel"/>
    <w:tmpl w:val="91341318"/>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CBA153D"/>
    <w:multiLevelType w:val="hybridMultilevel"/>
    <w:tmpl w:val="91341318"/>
    <w:lvl w:ilvl="0" w:tplc="203030FC">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5"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35270579">
    <w:abstractNumId w:val="10"/>
  </w:num>
  <w:num w:numId="2" w16cid:durableId="1005478896">
    <w:abstractNumId w:val="8"/>
  </w:num>
  <w:num w:numId="3" w16cid:durableId="1355228222">
    <w:abstractNumId w:val="16"/>
  </w:num>
  <w:num w:numId="4" w16cid:durableId="787165928">
    <w:abstractNumId w:val="17"/>
  </w:num>
  <w:num w:numId="5" w16cid:durableId="309024841">
    <w:abstractNumId w:val="22"/>
  </w:num>
  <w:num w:numId="6" w16cid:durableId="28273126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7828755">
    <w:abstractNumId w:val="18"/>
  </w:num>
  <w:num w:numId="8" w16cid:durableId="47190547">
    <w:abstractNumId w:val="5"/>
  </w:num>
  <w:num w:numId="9" w16cid:durableId="886262128">
    <w:abstractNumId w:val="1"/>
  </w:num>
  <w:num w:numId="10" w16cid:durableId="948053245">
    <w:abstractNumId w:val="6"/>
  </w:num>
  <w:num w:numId="11" w16cid:durableId="33314295">
    <w:abstractNumId w:val="2"/>
  </w:num>
  <w:num w:numId="12" w16cid:durableId="54361269">
    <w:abstractNumId w:val="9"/>
  </w:num>
  <w:num w:numId="13" w16cid:durableId="1125543980">
    <w:abstractNumId w:val="3"/>
  </w:num>
  <w:num w:numId="14" w16cid:durableId="1349915229">
    <w:abstractNumId w:val="20"/>
  </w:num>
  <w:num w:numId="15" w16cid:durableId="1481534400">
    <w:abstractNumId w:val="15"/>
  </w:num>
  <w:num w:numId="16" w16cid:durableId="1702591461">
    <w:abstractNumId w:val="12"/>
  </w:num>
  <w:num w:numId="17" w16cid:durableId="211772314">
    <w:abstractNumId w:val="24"/>
  </w:num>
  <w:num w:numId="18" w16cid:durableId="122771427">
    <w:abstractNumId w:val="4"/>
  </w:num>
  <w:num w:numId="19" w16cid:durableId="2044135546">
    <w:abstractNumId w:val="11"/>
  </w:num>
  <w:num w:numId="20" w16cid:durableId="1812792937">
    <w:abstractNumId w:val="13"/>
  </w:num>
  <w:num w:numId="21" w16cid:durableId="593442194">
    <w:abstractNumId w:val="21"/>
  </w:num>
  <w:num w:numId="22" w16cid:durableId="1443265368">
    <w:abstractNumId w:val="7"/>
  </w:num>
  <w:num w:numId="23" w16cid:durableId="1194223148">
    <w:abstractNumId w:val="25"/>
  </w:num>
  <w:num w:numId="24" w16cid:durableId="585655590">
    <w:abstractNumId w:val="23"/>
  </w:num>
  <w:num w:numId="25" w16cid:durableId="1905800850">
    <w:abstractNumId w:val="19"/>
  </w:num>
  <w:num w:numId="26" w16cid:durableId="15795527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3ACD"/>
    <w:rsid w:val="000070A8"/>
    <w:rsid w:val="00011B2A"/>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271C"/>
    <w:rsid w:val="000229A9"/>
    <w:rsid w:val="00023CD9"/>
    <w:rsid w:val="00024653"/>
    <w:rsid w:val="0002686F"/>
    <w:rsid w:val="000268E2"/>
    <w:rsid w:val="0002739B"/>
    <w:rsid w:val="000300C6"/>
    <w:rsid w:val="00030271"/>
    <w:rsid w:val="00032989"/>
    <w:rsid w:val="00032A51"/>
    <w:rsid w:val="00032AFA"/>
    <w:rsid w:val="00033C14"/>
    <w:rsid w:val="00033D8C"/>
    <w:rsid w:val="00034398"/>
    <w:rsid w:val="00034663"/>
    <w:rsid w:val="00040044"/>
    <w:rsid w:val="000414BE"/>
    <w:rsid w:val="000432DF"/>
    <w:rsid w:val="00044D8C"/>
    <w:rsid w:val="00050C64"/>
    <w:rsid w:val="0005181E"/>
    <w:rsid w:val="00052400"/>
    <w:rsid w:val="00052B73"/>
    <w:rsid w:val="00052F6F"/>
    <w:rsid w:val="00053136"/>
    <w:rsid w:val="000540E1"/>
    <w:rsid w:val="00054817"/>
    <w:rsid w:val="000641A8"/>
    <w:rsid w:val="0006467C"/>
    <w:rsid w:val="0006474E"/>
    <w:rsid w:val="00065205"/>
    <w:rsid w:val="00066517"/>
    <w:rsid w:val="00071132"/>
    <w:rsid w:val="00071351"/>
    <w:rsid w:val="000716B2"/>
    <w:rsid w:val="00072478"/>
    <w:rsid w:val="0007405A"/>
    <w:rsid w:val="00074853"/>
    <w:rsid w:val="00074BEE"/>
    <w:rsid w:val="00075D07"/>
    <w:rsid w:val="00076B31"/>
    <w:rsid w:val="000770DB"/>
    <w:rsid w:val="00077965"/>
    <w:rsid w:val="0008228E"/>
    <w:rsid w:val="000822A6"/>
    <w:rsid w:val="00082CE0"/>
    <w:rsid w:val="00084B97"/>
    <w:rsid w:val="00086D8D"/>
    <w:rsid w:val="000877B5"/>
    <w:rsid w:val="00087FD0"/>
    <w:rsid w:val="000902BC"/>
    <w:rsid w:val="00091AC6"/>
    <w:rsid w:val="00092617"/>
    <w:rsid w:val="00092B6A"/>
    <w:rsid w:val="000942EB"/>
    <w:rsid w:val="000943FC"/>
    <w:rsid w:val="00095B25"/>
    <w:rsid w:val="00096C01"/>
    <w:rsid w:val="0009763D"/>
    <w:rsid w:val="00097F4D"/>
    <w:rsid w:val="000A4DD7"/>
    <w:rsid w:val="000A5915"/>
    <w:rsid w:val="000A5EF6"/>
    <w:rsid w:val="000A780A"/>
    <w:rsid w:val="000B076C"/>
    <w:rsid w:val="000B0E61"/>
    <w:rsid w:val="000B103F"/>
    <w:rsid w:val="000B14BA"/>
    <w:rsid w:val="000B2D9A"/>
    <w:rsid w:val="000B5C13"/>
    <w:rsid w:val="000C00A2"/>
    <w:rsid w:val="000C1515"/>
    <w:rsid w:val="000C3232"/>
    <w:rsid w:val="000C394F"/>
    <w:rsid w:val="000C3F9B"/>
    <w:rsid w:val="000C4E3E"/>
    <w:rsid w:val="000C5512"/>
    <w:rsid w:val="000C5D99"/>
    <w:rsid w:val="000D13AA"/>
    <w:rsid w:val="000D1837"/>
    <w:rsid w:val="000D1842"/>
    <w:rsid w:val="000D186A"/>
    <w:rsid w:val="000D22B4"/>
    <w:rsid w:val="000D25BC"/>
    <w:rsid w:val="000D7953"/>
    <w:rsid w:val="000D7A0F"/>
    <w:rsid w:val="000E0B40"/>
    <w:rsid w:val="000E0DED"/>
    <w:rsid w:val="000E11A3"/>
    <w:rsid w:val="000E3909"/>
    <w:rsid w:val="000E6563"/>
    <w:rsid w:val="000E739D"/>
    <w:rsid w:val="000F091C"/>
    <w:rsid w:val="000F14E8"/>
    <w:rsid w:val="000F2AA2"/>
    <w:rsid w:val="000F2EE1"/>
    <w:rsid w:val="000F4695"/>
    <w:rsid w:val="000F7FC3"/>
    <w:rsid w:val="00100D69"/>
    <w:rsid w:val="00101018"/>
    <w:rsid w:val="00103915"/>
    <w:rsid w:val="001041A9"/>
    <w:rsid w:val="001072DB"/>
    <w:rsid w:val="001078AA"/>
    <w:rsid w:val="00107C8F"/>
    <w:rsid w:val="00110CE1"/>
    <w:rsid w:val="001112FD"/>
    <w:rsid w:val="0011178C"/>
    <w:rsid w:val="00111CDF"/>
    <w:rsid w:val="001124EB"/>
    <w:rsid w:val="00113157"/>
    <w:rsid w:val="00114327"/>
    <w:rsid w:val="00114900"/>
    <w:rsid w:val="0011520A"/>
    <w:rsid w:val="001155B8"/>
    <w:rsid w:val="001160FC"/>
    <w:rsid w:val="00116C84"/>
    <w:rsid w:val="00117602"/>
    <w:rsid w:val="0011766B"/>
    <w:rsid w:val="00117961"/>
    <w:rsid w:val="00120D67"/>
    <w:rsid w:val="001214BC"/>
    <w:rsid w:val="00121ECA"/>
    <w:rsid w:val="00122B23"/>
    <w:rsid w:val="00122B9A"/>
    <w:rsid w:val="00123BE2"/>
    <w:rsid w:val="00124A82"/>
    <w:rsid w:val="00130457"/>
    <w:rsid w:val="001336B2"/>
    <w:rsid w:val="00133F8F"/>
    <w:rsid w:val="00134D65"/>
    <w:rsid w:val="0013770F"/>
    <w:rsid w:val="001377EC"/>
    <w:rsid w:val="00137E66"/>
    <w:rsid w:val="00137FFA"/>
    <w:rsid w:val="0014071F"/>
    <w:rsid w:val="00141B41"/>
    <w:rsid w:val="00141CCA"/>
    <w:rsid w:val="00141E25"/>
    <w:rsid w:val="0014214B"/>
    <w:rsid w:val="00142560"/>
    <w:rsid w:val="001429C2"/>
    <w:rsid w:val="0014342E"/>
    <w:rsid w:val="00143D03"/>
    <w:rsid w:val="00144D68"/>
    <w:rsid w:val="00145478"/>
    <w:rsid w:val="00150CB3"/>
    <w:rsid w:val="00151129"/>
    <w:rsid w:val="00151936"/>
    <w:rsid w:val="00152FDA"/>
    <w:rsid w:val="00153729"/>
    <w:rsid w:val="00154785"/>
    <w:rsid w:val="00155B3D"/>
    <w:rsid w:val="00155C13"/>
    <w:rsid w:val="00156216"/>
    <w:rsid w:val="00160CB0"/>
    <w:rsid w:val="0016189D"/>
    <w:rsid w:val="00161A37"/>
    <w:rsid w:val="001643A4"/>
    <w:rsid w:val="00165347"/>
    <w:rsid w:val="00165995"/>
    <w:rsid w:val="001669E8"/>
    <w:rsid w:val="00171685"/>
    <w:rsid w:val="00171A20"/>
    <w:rsid w:val="0017335A"/>
    <w:rsid w:val="00173B85"/>
    <w:rsid w:val="0017465C"/>
    <w:rsid w:val="00176FEB"/>
    <w:rsid w:val="00180188"/>
    <w:rsid w:val="00180618"/>
    <w:rsid w:val="001824DD"/>
    <w:rsid w:val="001827CB"/>
    <w:rsid w:val="00182A86"/>
    <w:rsid w:val="00182EEE"/>
    <w:rsid w:val="0018335C"/>
    <w:rsid w:val="0018635C"/>
    <w:rsid w:val="00190961"/>
    <w:rsid w:val="00191C4D"/>
    <w:rsid w:val="00191F21"/>
    <w:rsid w:val="00192CDC"/>
    <w:rsid w:val="00192CE0"/>
    <w:rsid w:val="001961C8"/>
    <w:rsid w:val="00197BB3"/>
    <w:rsid w:val="001A0A19"/>
    <w:rsid w:val="001A0E7A"/>
    <w:rsid w:val="001A1753"/>
    <w:rsid w:val="001A1A00"/>
    <w:rsid w:val="001A217F"/>
    <w:rsid w:val="001A40A1"/>
    <w:rsid w:val="001A5BE1"/>
    <w:rsid w:val="001A78DE"/>
    <w:rsid w:val="001A7FD7"/>
    <w:rsid w:val="001B0444"/>
    <w:rsid w:val="001B0A83"/>
    <w:rsid w:val="001B0BE3"/>
    <w:rsid w:val="001B2F08"/>
    <w:rsid w:val="001B39FA"/>
    <w:rsid w:val="001B5217"/>
    <w:rsid w:val="001B5D90"/>
    <w:rsid w:val="001C01AF"/>
    <w:rsid w:val="001C24BF"/>
    <w:rsid w:val="001C47C8"/>
    <w:rsid w:val="001C6F95"/>
    <w:rsid w:val="001C763E"/>
    <w:rsid w:val="001D0C03"/>
    <w:rsid w:val="001D1378"/>
    <w:rsid w:val="001D1560"/>
    <w:rsid w:val="001D17C2"/>
    <w:rsid w:val="001D2F93"/>
    <w:rsid w:val="001D2FC9"/>
    <w:rsid w:val="001D30D8"/>
    <w:rsid w:val="001D4899"/>
    <w:rsid w:val="001D4EA4"/>
    <w:rsid w:val="001D54C5"/>
    <w:rsid w:val="001D567B"/>
    <w:rsid w:val="001D612F"/>
    <w:rsid w:val="001D783B"/>
    <w:rsid w:val="001E01F9"/>
    <w:rsid w:val="001E074F"/>
    <w:rsid w:val="001E0B16"/>
    <w:rsid w:val="001E1959"/>
    <w:rsid w:val="001E1EEE"/>
    <w:rsid w:val="001E2866"/>
    <w:rsid w:val="001E2A7A"/>
    <w:rsid w:val="001E4B0D"/>
    <w:rsid w:val="001E53DC"/>
    <w:rsid w:val="001E7D79"/>
    <w:rsid w:val="001F4D43"/>
    <w:rsid w:val="001F4F5C"/>
    <w:rsid w:val="001F5388"/>
    <w:rsid w:val="001F5745"/>
    <w:rsid w:val="001F6290"/>
    <w:rsid w:val="001F6378"/>
    <w:rsid w:val="001F7341"/>
    <w:rsid w:val="0020001F"/>
    <w:rsid w:val="0020059F"/>
    <w:rsid w:val="00200651"/>
    <w:rsid w:val="002025CC"/>
    <w:rsid w:val="0020324E"/>
    <w:rsid w:val="00203C47"/>
    <w:rsid w:val="00203E16"/>
    <w:rsid w:val="00204675"/>
    <w:rsid w:val="00205185"/>
    <w:rsid w:val="00205753"/>
    <w:rsid w:val="00205CAE"/>
    <w:rsid w:val="0020632A"/>
    <w:rsid w:val="002075B6"/>
    <w:rsid w:val="002076CC"/>
    <w:rsid w:val="00210A2D"/>
    <w:rsid w:val="00210DF2"/>
    <w:rsid w:val="002110EB"/>
    <w:rsid w:val="00211338"/>
    <w:rsid w:val="002133FE"/>
    <w:rsid w:val="00213541"/>
    <w:rsid w:val="0021518A"/>
    <w:rsid w:val="00215618"/>
    <w:rsid w:val="00215B97"/>
    <w:rsid w:val="00216AEE"/>
    <w:rsid w:val="00216E64"/>
    <w:rsid w:val="002177D9"/>
    <w:rsid w:val="00217988"/>
    <w:rsid w:val="00217C7F"/>
    <w:rsid w:val="00220120"/>
    <w:rsid w:val="00220E20"/>
    <w:rsid w:val="0022167B"/>
    <w:rsid w:val="00222C80"/>
    <w:rsid w:val="002232F5"/>
    <w:rsid w:val="002233DE"/>
    <w:rsid w:val="002249BC"/>
    <w:rsid w:val="002270C0"/>
    <w:rsid w:val="002309D1"/>
    <w:rsid w:val="00230F89"/>
    <w:rsid w:val="00233909"/>
    <w:rsid w:val="002339D3"/>
    <w:rsid w:val="00234113"/>
    <w:rsid w:val="00234B84"/>
    <w:rsid w:val="00234C1A"/>
    <w:rsid w:val="002364D4"/>
    <w:rsid w:val="0023691B"/>
    <w:rsid w:val="002379B1"/>
    <w:rsid w:val="002409B6"/>
    <w:rsid w:val="00242DC5"/>
    <w:rsid w:val="00243EE8"/>
    <w:rsid w:val="002449E9"/>
    <w:rsid w:val="002456DB"/>
    <w:rsid w:val="00245B13"/>
    <w:rsid w:val="00246944"/>
    <w:rsid w:val="00247C35"/>
    <w:rsid w:val="0025069C"/>
    <w:rsid w:val="0025151A"/>
    <w:rsid w:val="002534F1"/>
    <w:rsid w:val="002538B5"/>
    <w:rsid w:val="00253F25"/>
    <w:rsid w:val="00254711"/>
    <w:rsid w:val="00255215"/>
    <w:rsid w:val="00255D2C"/>
    <w:rsid w:val="00256CE7"/>
    <w:rsid w:val="002576FD"/>
    <w:rsid w:val="00260EE8"/>
    <w:rsid w:val="002627A8"/>
    <w:rsid w:val="0026362F"/>
    <w:rsid w:val="00263755"/>
    <w:rsid w:val="0026403D"/>
    <w:rsid w:val="002647F7"/>
    <w:rsid w:val="00264E94"/>
    <w:rsid w:val="002654C1"/>
    <w:rsid w:val="0026616C"/>
    <w:rsid w:val="00267A47"/>
    <w:rsid w:val="00267DDA"/>
    <w:rsid w:val="002708A2"/>
    <w:rsid w:val="00271043"/>
    <w:rsid w:val="002725EE"/>
    <w:rsid w:val="002737FD"/>
    <w:rsid w:val="00273E83"/>
    <w:rsid w:val="00274DDF"/>
    <w:rsid w:val="00275E86"/>
    <w:rsid w:val="0027641D"/>
    <w:rsid w:val="002777B7"/>
    <w:rsid w:val="002801C7"/>
    <w:rsid w:val="00285503"/>
    <w:rsid w:val="00285AC8"/>
    <w:rsid w:val="00285AC9"/>
    <w:rsid w:val="00286089"/>
    <w:rsid w:val="00287343"/>
    <w:rsid w:val="00287741"/>
    <w:rsid w:val="00287F18"/>
    <w:rsid w:val="00290E9F"/>
    <w:rsid w:val="002914E1"/>
    <w:rsid w:val="00291C4F"/>
    <w:rsid w:val="00291FE3"/>
    <w:rsid w:val="002938BD"/>
    <w:rsid w:val="00293BBD"/>
    <w:rsid w:val="002941C6"/>
    <w:rsid w:val="002955F5"/>
    <w:rsid w:val="00296B40"/>
    <w:rsid w:val="002A1393"/>
    <w:rsid w:val="002A2E12"/>
    <w:rsid w:val="002A3C35"/>
    <w:rsid w:val="002A4667"/>
    <w:rsid w:val="002A4F9E"/>
    <w:rsid w:val="002A5498"/>
    <w:rsid w:val="002A551B"/>
    <w:rsid w:val="002A5F87"/>
    <w:rsid w:val="002A695B"/>
    <w:rsid w:val="002B3433"/>
    <w:rsid w:val="002B41FB"/>
    <w:rsid w:val="002B4390"/>
    <w:rsid w:val="002B55C7"/>
    <w:rsid w:val="002C1890"/>
    <w:rsid w:val="002C1E5A"/>
    <w:rsid w:val="002C216A"/>
    <w:rsid w:val="002C28E1"/>
    <w:rsid w:val="002C2B56"/>
    <w:rsid w:val="002C2D1E"/>
    <w:rsid w:val="002C32E1"/>
    <w:rsid w:val="002C40FB"/>
    <w:rsid w:val="002C4C0C"/>
    <w:rsid w:val="002C57C8"/>
    <w:rsid w:val="002C6821"/>
    <w:rsid w:val="002D155C"/>
    <w:rsid w:val="002D2CD0"/>
    <w:rsid w:val="002D3589"/>
    <w:rsid w:val="002D41CB"/>
    <w:rsid w:val="002D481A"/>
    <w:rsid w:val="002D65E2"/>
    <w:rsid w:val="002D7275"/>
    <w:rsid w:val="002E0122"/>
    <w:rsid w:val="002E0191"/>
    <w:rsid w:val="002E06A1"/>
    <w:rsid w:val="002E7979"/>
    <w:rsid w:val="002F334B"/>
    <w:rsid w:val="002F4470"/>
    <w:rsid w:val="002F7BD7"/>
    <w:rsid w:val="00302897"/>
    <w:rsid w:val="003033BA"/>
    <w:rsid w:val="00304580"/>
    <w:rsid w:val="00304B38"/>
    <w:rsid w:val="0030589C"/>
    <w:rsid w:val="00306C30"/>
    <w:rsid w:val="00307067"/>
    <w:rsid w:val="003073C0"/>
    <w:rsid w:val="00307476"/>
    <w:rsid w:val="00307855"/>
    <w:rsid w:val="003078D7"/>
    <w:rsid w:val="00307F9F"/>
    <w:rsid w:val="00310659"/>
    <w:rsid w:val="003108EF"/>
    <w:rsid w:val="0031206F"/>
    <w:rsid w:val="00312204"/>
    <w:rsid w:val="00312D89"/>
    <w:rsid w:val="00314C7D"/>
    <w:rsid w:val="00316214"/>
    <w:rsid w:val="003162C8"/>
    <w:rsid w:val="00316B16"/>
    <w:rsid w:val="003207DF"/>
    <w:rsid w:val="00321018"/>
    <w:rsid w:val="0032155F"/>
    <w:rsid w:val="00322937"/>
    <w:rsid w:val="0032350A"/>
    <w:rsid w:val="003238A9"/>
    <w:rsid w:val="00327549"/>
    <w:rsid w:val="00327CEB"/>
    <w:rsid w:val="00330722"/>
    <w:rsid w:val="00334638"/>
    <w:rsid w:val="00336AAF"/>
    <w:rsid w:val="003404C6"/>
    <w:rsid w:val="0034096E"/>
    <w:rsid w:val="0034177C"/>
    <w:rsid w:val="00341D52"/>
    <w:rsid w:val="003429F6"/>
    <w:rsid w:val="00344B03"/>
    <w:rsid w:val="00345705"/>
    <w:rsid w:val="0034680A"/>
    <w:rsid w:val="00347024"/>
    <w:rsid w:val="00350AA9"/>
    <w:rsid w:val="00350DA7"/>
    <w:rsid w:val="00353653"/>
    <w:rsid w:val="00353DD5"/>
    <w:rsid w:val="00353EE8"/>
    <w:rsid w:val="00355084"/>
    <w:rsid w:val="00355E8C"/>
    <w:rsid w:val="00357167"/>
    <w:rsid w:val="00361495"/>
    <w:rsid w:val="00361B7E"/>
    <w:rsid w:val="003642AA"/>
    <w:rsid w:val="00364EF6"/>
    <w:rsid w:val="003652E7"/>
    <w:rsid w:val="00366283"/>
    <w:rsid w:val="00366693"/>
    <w:rsid w:val="00367828"/>
    <w:rsid w:val="00371F43"/>
    <w:rsid w:val="00372E26"/>
    <w:rsid w:val="003754D2"/>
    <w:rsid w:val="003757C2"/>
    <w:rsid w:val="00376421"/>
    <w:rsid w:val="00376930"/>
    <w:rsid w:val="003779CA"/>
    <w:rsid w:val="00381629"/>
    <w:rsid w:val="00381C32"/>
    <w:rsid w:val="00384C43"/>
    <w:rsid w:val="00385A31"/>
    <w:rsid w:val="00385CF3"/>
    <w:rsid w:val="00386456"/>
    <w:rsid w:val="003901B3"/>
    <w:rsid w:val="003903B0"/>
    <w:rsid w:val="00390C02"/>
    <w:rsid w:val="003912A3"/>
    <w:rsid w:val="0039143D"/>
    <w:rsid w:val="003949EE"/>
    <w:rsid w:val="00395851"/>
    <w:rsid w:val="003964D5"/>
    <w:rsid w:val="003A0878"/>
    <w:rsid w:val="003A0EBE"/>
    <w:rsid w:val="003A2151"/>
    <w:rsid w:val="003A5056"/>
    <w:rsid w:val="003A581E"/>
    <w:rsid w:val="003A5E90"/>
    <w:rsid w:val="003A659A"/>
    <w:rsid w:val="003A6751"/>
    <w:rsid w:val="003A7F89"/>
    <w:rsid w:val="003B027A"/>
    <w:rsid w:val="003B2341"/>
    <w:rsid w:val="003B267F"/>
    <w:rsid w:val="003B43DB"/>
    <w:rsid w:val="003B49DA"/>
    <w:rsid w:val="003B73DE"/>
    <w:rsid w:val="003C01B1"/>
    <w:rsid w:val="003C6CBA"/>
    <w:rsid w:val="003C75FC"/>
    <w:rsid w:val="003D15BF"/>
    <w:rsid w:val="003D1BE9"/>
    <w:rsid w:val="003D33FF"/>
    <w:rsid w:val="003D3D29"/>
    <w:rsid w:val="003D3D9D"/>
    <w:rsid w:val="003D43B0"/>
    <w:rsid w:val="003D45AC"/>
    <w:rsid w:val="003D49CB"/>
    <w:rsid w:val="003D527E"/>
    <w:rsid w:val="003D7E29"/>
    <w:rsid w:val="003E0D9E"/>
    <w:rsid w:val="003E1992"/>
    <w:rsid w:val="003E4A30"/>
    <w:rsid w:val="003E6423"/>
    <w:rsid w:val="003E6884"/>
    <w:rsid w:val="003E7AA5"/>
    <w:rsid w:val="003F00C3"/>
    <w:rsid w:val="003F0161"/>
    <w:rsid w:val="003F18DE"/>
    <w:rsid w:val="003F1B38"/>
    <w:rsid w:val="003F1D3C"/>
    <w:rsid w:val="00400B00"/>
    <w:rsid w:val="0040246E"/>
    <w:rsid w:val="004030F2"/>
    <w:rsid w:val="00404A97"/>
    <w:rsid w:val="00405913"/>
    <w:rsid w:val="00406251"/>
    <w:rsid w:val="00406A1A"/>
    <w:rsid w:val="00407705"/>
    <w:rsid w:val="0040799E"/>
    <w:rsid w:val="004129BB"/>
    <w:rsid w:val="00413C8D"/>
    <w:rsid w:val="00413E61"/>
    <w:rsid w:val="00414152"/>
    <w:rsid w:val="00415DDE"/>
    <w:rsid w:val="00416308"/>
    <w:rsid w:val="00416996"/>
    <w:rsid w:val="00417025"/>
    <w:rsid w:val="00421624"/>
    <w:rsid w:val="00421DF6"/>
    <w:rsid w:val="004228D3"/>
    <w:rsid w:val="00423E69"/>
    <w:rsid w:val="00423F66"/>
    <w:rsid w:val="00423F9F"/>
    <w:rsid w:val="00425FD7"/>
    <w:rsid w:val="00427F2F"/>
    <w:rsid w:val="00430D86"/>
    <w:rsid w:val="00431771"/>
    <w:rsid w:val="00431F7C"/>
    <w:rsid w:val="00432AD1"/>
    <w:rsid w:val="00432B52"/>
    <w:rsid w:val="00433494"/>
    <w:rsid w:val="00434140"/>
    <w:rsid w:val="00435826"/>
    <w:rsid w:val="0043612C"/>
    <w:rsid w:val="004376B9"/>
    <w:rsid w:val="00437BA7"/>
    <w:rsid w:val="00440848"/>
    <w:rsid w:val="00441DC6"/>
    <w:rsid w:val="00441EE4"/>
    <w:rsid w:val="004422D6"/>
    <w:rsid w:val="00442771"/>
    <w:rsid w:val="0044490E"/>
    <w:rsid w:val="00446E21"/>
    <w:rsid w:val="00447165"/>
    <w:rsid w:val="00447729"/>
    <w:rsid w:val="00452F9A"/>
    <w:rsid w:val="00457110"/>
    <w:rsid w:val="00460D1C"/>
    <w:rsid w:val="00464311"/>
    <w:rsid w:val="00464436"/>
    <w:rsid w:val="00466026"/>
    <w:rsid w:val="0046603E"/>
    <w:rsid w:val="00466082"/>
    <w:rsid w:val="0046653B"/>
    <w:rsid w:val="0046694E"/>
    <w:rsid w:val="00470205"/>
    <w:rsid w:val="00470B4C"/>
    <w:rsid w:val="00472B5B"/>
    <w:rsid w:val="00472B78"/>
    <w:rsid w:val="0047380F"/>
    <w:rsid w:val="0047426F"/>
    <w:rsid w:val="0047453E"/>
    <w:rsid w:val="004746AD"/>
    <w:rsid w:val="00475F18"/>
    <w:rsid w:val="00477514"/>
    <w:rsid w:val="004779F8"/>
    <w:rsid w:val="00477D43"/>
    <w:rsid w:val="00480824"/>
    <w:rsid w:val="00480D03"/>
    <w:rsid w:val="00480ECA"/>
    <w:rsid w:val="004812DB"/>
    <w:rsid w:val="0048574C"/>
    <w:rsid w:val="004861E4"/>
    <w:rsid w:val="0048674D"/>
    <w:rsid w:val="004870BB"/>
    <w:rsid w:val="004872D8"/>
    <w:rsid w:val="0048754A"/>
    <w:rsid w:val="00487C10"/>
    <w:rsid w:val="00490A62"/>
    <w:rsid w:val="0049117B"/>
    <w:rsid w:val="0049241A"/>
    <w:rsid w:val="004956F3"/>
    <w:rsid w:val="004974CD"/>
    <w:rsid w:val="004A0085"/>
    <w:rsid w:val="004A0106"/>
    <w:rsid w:val="004A0A04"/>
    <w:rsid w:val="004A0F49"/>
    <w:rsid w:val="004A34D2"/>
    <w:rsid w:val="004A4DAC"/>
    <w:rsid w:val="004A4F76"/>
    <w:rsid w:val="004A6841"/>
    <w:rsid w:val="004A7B59"/>
    <w:rsid w:val="004B0B42"/>
    <w:rsid w:val="004B2BFB"/>
    <w:rsid w:val="004B353C"/>
    <w:rsid w:val="004B4080"/>
    <w:rsid w:val="004B6500"/>
    <w:rsid w:val="004B6E7D"/>
    <w:rsid w:val="004B7D5F"/>
    <w:rsid w:val="004C17A1"/>
    <w:rsid w:val="004C246A"/>
    <w:rsid w:val="004C279E"/>
    <w:rsid w:val="004C31AF"/>
    <w:rsid w:val="004C3ADF"/>
    <w:rsid w:val="004C3BA4"/>
    <w:rsid w:val="004C562C"/>
    <w:rsid w:val="004C59F7"/>
    <w:rsid w:val="004C60C5"/>
    <w:rsid w:val="004C755C"/>
    <w:rsid w:val="004C7603"/>
    <w:rsid w:val="004D087D"/>
    <w:rsid w:val="004D12A7"/>
    <w:rsid w:val="004D22DE"/>
    <w:rsid w:val="004D2646"/>
    <w:rsid w:val="004D4A87"/>
    <w:rsid w:val="004D52FA"/>
    <w:rsid w:val="004D53FA"/>
    <w:rsid w:val="004D5756"/>
    <w:rsid w:val="004D63F7"/>
    <w:rsid w:val="004D65AC"/>
    <w:rsid w:val="004D702B"/>
    <w:rsid w:val="004D7944"/>
    <w:rsid w:val="004D7D21"/>
    <w:rsid w:val="004D7FB4"/>
    <w:rsid w:val="004E07A4"/>
    <w:rsid w:val="004E38C4"/>
    <w:rsid w:val="004E4C6D"/>
    <w:rsid w:val="004E5463"/>
    <w:rsid w:val="004F1425"/>
    <w:rsid w:val="004F16DB"/>
    <w:rsid w:val="004F30F8"/>
    <w:rsid w:val="004F3492"/>
    <w:rsid w:val="004F3517"/>
    <w:rsid w:val="004F3CDF"/>
    <w:rsid w:val="004F510B"/>
    <w:rsid w:val="004F5B24"/>
    <w:rsid w:val="004F6048"/>
    <w:rsid w:val="00501473"/>
    <w:rsid w:val="005051F8"/>
    <w:rsid w:val="0051074C"/>
    <w:rsid w:val="00510CF8"/>
    <w:rsid w:val="005112E4"/>
    <w:rsid w:val="00511922"/>
    <w:rsid w:val="005128DA"/>
    <w:rsid w:val="00513AF2"/>
    <w:rsid w:val="00514439"/>
    <w:rsid w:val="00514D99"/>
    <w:rsid w:val="00514E3C"/>
    <w:rsid w:val="0051759B"/>
    <w:rsid w:val="0052030A"/>
    <w:rsid w:val="005216C1"/>
    <w:rsid w:val="00523703"/>
    <w:rsid w:val="00525997"/>
    <w:rsid w:val="00525F64"/>
    <w:rsid w:val="00525FE7"/>
    <w:rsid w:val="005265E4"/>
    <w:rsid w:val="00526943"/>
    <w:rsid w:val="00527E3C"/>
    <w:rsid w:val="0053038B"/>
    <w:rsid w:val="0053170C"/>
    <w:rsid w:val="005318FB"/>
    <w:rsid w:val="00531D5C"/>
    <w:rsid w:val="00532B96"/>
    <w:rsid w:val="00532CFA"/>
    <w:rsid w:val="005338B5"/>
    <w:rsid w:val="00535106"/>
    <w:rsid w:val="005355D8"/>
    <w:rsid w:val="00535A34"/>
    <w:rsid w:val="00536E8B"/>
    <w:rsid w:val="0054155D"/>
    <w:rsid w:val="00542B62"/>
    <w:rsid w:val="00542BA7"/>
    <w:rsid w:val="0054413A"/>
    <w:rsid w:val="0054713D"/>
    <w:rsid w:val="005472F5"/>
    <w:rsid w:val="00550567"/>
    <w:rsid w:val="00550D93"/>
    <w:rsid w:val="005514ED"/>
    <w:rsid w:val="00551EDB"/>
    <w:rsid w:val="0055448C"/>
    <w:rsid w:val="00554A77"/>
    <w:rsid w:val="0055602C"/>
    <w:rsid w:val="005564CA"/>
    <w:rsid w:val="005601A8"/>
    <w:rsid w:val="00561506"/>
    <w:rsid w:val="0056182B"/>
    <w:rsid w:val="005622EB"/>
    <w:rsid w:val="00562332"/>
    <w:rsid w:val="00566737"/>
    <w:rsid w:val="00567F3B"/>
    <w:rsid w:val="005721B3"/>
    <w:rsid w:val="005756AA"/>
    <w:rsid w:val="00575A1C"/>
    <w:rsid w:val="0057646F"/>
    <w:rsid w:val="00577148"/>
    <w:rsid w:val="00580FA9"/>
    <w:rsid w:val="00582AE3"/>
    <w:rsid w:val="0058679D"/>
    <w:rsid w:val="00586BDB"/>
    <w:rsid w:val="005879CA"/>
    <w:rsid w:val="00590380"/>
    <w:rsid w:val="005930B1"/>
    <w:rsid w:val="00596896"/>
    <w:rsid w:val="00597412"/>
    <w:rsid w:val="005A0414"/>
    <w:rsid w:val="005A1645"/>
    <w:rsid w:val="005A2130"/>
    <w:rsid w:val="005A438D"/>
    <w:rsid w:val="005A4FC5"/>
    <w:rsid w:val="005A6AB9"/>
    <w:rsid w:val="005A7DBD"/>
    <w:rsid w:val="005B1144"/>
    <w:rsid w:val="005B4267"/>
    <w:rsid w:val="005B5BE2"/>
    <w:rsid w:val="005B753A"/>
    <w:rsid w:val="005C00FA"/>
    <w:rsid w:val="005C04CF"/>
    <w:rsid w:val="005C343C"/>
    <w:rsid w:val="005C5C9A"/>
    <w:rsid w:val="005C6A48"/>
    <w:rsid w:val="005C6C85"/>
    <w:rsid w:val="005C7184"/>
    <w:rsid w:val="005D1BC0"/>
    <w:rsid w:val="005D3155"/>
    <w:rsid w:val="005D35B6"/>
    <w:rsid w:val="005D36B1"/>
    <w:rsid w:val="005D38E1"/>
    <w:rsid w:val="005D4AEF"/>
    <w:rsid w:val="005D4E8A"/>
    <w:rsid w:val="005D50CE"/>
    <w:rsid w:val="005D51FA"/>
    <w:rsid w:val="005D5B90"/>
    <w:rsid w:val="005D791B"/>
    <w:rsid w:val="005E01CE"/>
    <w:rsid w:val="005E09A6"/>
    <w:rsid w:val="005E139E"/>
    <w:rsid w:val="005E1974"/>
    <w:rsid w:val="005E214B"/>
    <w:rsid w:val="005E3B5B"/>
    <w:rsid w:val="005E4646"/>
    <w:rsid w:val="005E4765"/>
    <w:rsid w:val="005E5697"/>
    <w:rsid w:val="005F055F"/>
    <w:rsid w:val="005F1B0F"/>
    <w:rsid w:val="005F317C"/>
    <w:rsid w:val="005F37CD"/>
    <w:rsid w:val="005F3CD0"/>
    <w:rsid w:val="005F51FB"/>
    <w:rsid w:val="005F53B6"/>
    <w:rsid w:val="005F599B"/>
    <w:rsid w:val="005F650A"/>
    <w:rsid w:val="005F68F7"/>
    <w:rsid w:val="005F788C"/>
    <w:rsid w:val="0060070B"/>
    <w:rsid w:val="00602708"/>
    <w:rsid w:val="00602E6C"/>
    <w:rsid w:val="00603E4D"/>
    <w:rsid w:val="00603FBE"/>
    <w:rsid w:val="00604893"/>
    <w:rsid w:val="00604B04"/>
    <w:rsid w:val="006058F6"/>
    <w:rsid w:val="00611ED9"/>
    <w:rsid w:val="00612C51"/>
    <w:rsid w:val="00613FDA"/>
    <w:rsid w:val="006146F1"/>
    <w:rsid w:val="00614817"/>
    <w:rsid w:val="00614C41"/>
    <w:rsid w:val="006165F2"/>
    <w:rsid w:val="00616E1F"/>
    <w:rsid w:val="00617711"/>
    <w:rsid w:val="00620FE8"/>
    <w:rsid w:val="00621021"/>
    <w:rsid w:val="00621A1E"/>
    <w:rsid w:val="00623D2C"/>
    <w:rsid w:val="00624498"/>
    <w:rsid w:val="0062724E"/>
    <w:rsid w:val="00627A4C"/>
    <w:rsid w:val="00630D7C"/>
    <w:rsid w:val="006318E7"/>
    <w:rsid w:val="0063224F"/>
    <w:rsid w:val="0063269D"/>
    <w:rsid w:val="006333B7"/>
    <w:rsid w:val="00633DBF"/>
    <w:rsid w:val="006341BB"/>
    <w:rsid w:val="00635DED"/>
    <w:rsid w:val="00636411"/>
    <w:rsid w:val="0063667E"/>
    <w:rsid w:val="00642640"/>
    <w:rsid w:val="00643B51"/>
    <w:rsid w:val="006441CE"/>
    <w:rsid w:val="006447B9"/>
    <w:rsid w:val="00644D7F"/>
    <w:rsid w:val="0064514E"/>
    <w:rsid w:val="00650FE8"/>
    <w:rsid w:val="00652BAA"/>
    <w:rsid w:val="0065392B"/>
    <w:rsid w:val="00653CA3"/>
    <w:rsid w:val="00654069"/>
    <w:rsid w:val="00655371"/>
    <w:rsid w:val="006559E3"/>
    <w:rsid w:val="00657259"/>
    <w:rsid w:val="00657446"/>
    <w:rsid w:val="00660D51"/>
    <w:rsid w:val="00661E45"/>
    <w:rsid w:val="00662C7E"/>
    <w:rsid w:val="0066325D"/>
    <w:rsid w:val="00667768"/>
    <w:rsid w:val="006678A3"/>
    <w:rsid w:val="00667E0E"/>
    <w:rsid w:val="00670466"/>
    <w:rsid w:val="0067148D"/>
    <w:rsid w:val="0067157B"/>
    <w:rsid w:val="00672272"/>
    <w:rsid w:val="006728A0"/>
    <w:rsid w:val="006734E6"/>
    <w:rsid w:val="006748E0"/>
    <w:rsid w:val="00674F99"/>
    <w:rsid w:val="006753EB"/>
    <w:rsid w:val="006807C6"/>
    <w:rsid w:val="00680B58"/>
    <w:rsid w:val="00681EED"/>
    <w:rsid w:val="00682E7B"/>
    <w:rsid w:val="006852F3"/>
    <w:rsid w:val="00687C11"/>
    <w:rsid w:val="006906D4"/>
    <w:rsid w:val="0069141C"/>
    <w:rsid w:val="006919EA"/>
    <w:rsid w:val="00692992"/>
    <w:rsid w:val="00692F57"/>
    <w:rsid w:val="006954E4"/>
    <w:rsid w:val="00695B70"/>
    <w:rsid w:val="00697665"/>
    <w:rsid w:val="00697742"/>
    <w:rsid w:val="00697C55"/>
    <w:rsid w:val="00697DD0"/>
    <w:rsid w:val="006A0EB7"/>
    <w:rsid w:val="006A599B"/>
    <w:rsid w:val="006A6ACB"/>
    <w:rsid w:val="006A7BB4"/>
    <w:rsid w:val="006A7CB5"/>
    <w:rsid w:val="006A7FD0"/>
    <w:rsid w:val="006B064B"/>
    <w:rsid w:val="006B08EC"/>
    <w:rsid w:val="006B0C4E"/>
    <w:rsid w:val="006B1AF6"/>
    <w:rsid w:val="006B2398"/>
    <w:rsid w:val="006B24DE"/>
    <w:rsid w:val="006B2D45"/>
    <w:rsid w:val="006B318A"/>
    <w:rsid w:val="006B39D4"/>
    <w:rsid w:val="006B5051"/>
    <w:rsid w:val="006B5FA9"/>
    <w:rsid w:val="006C06E6"/>
    <w:rsid w:val="006C116D"/>
    <w:rsid w:val="006C132E"/>
    <w:rsid w:val="006C1463"/>
    <w:rsid w:val="006C18C1"/>
    <w:rsid w:val="006C1A72"/>
    <w:rsid w:val="006C2144"/>
    <w:rsid w:val="006C2A51"/>
    <w:rsid w:val="006C2B00"/>
    <w:rsid w:val="006C3B52"/>
    <w:rsid w:val="006C6EE9"/>
    <w:rsid w:val="006C771B"/>
    <w:rsid w:val="006C7CD4"/>
    <w:rsid w:val="006C7F3D"/>
    <w:rsid w:val="006D0BAE"/>
    <w:rsid w:val="006D2519"/>
    <w:rsid w:val="006D5552"/>
    <w:rsid w:val="006D5B2B"/>
    <w:rsid w:val="006D7687"/>
    <w:rsid w:val="006D77CB"/>
    <w:rsid w:val="006D7CF6"/>
    <w:rsid w:val="006E0572"/>
    <w:rsid w:val="006E131E"/>
    <w:rsid w:val="006E170C"/>
    <w:rsid w:val="006E19D3"/>
    <w:rsid w:val="006E1E98"/>
    <w:rsid w:val="006E37FA"/>
    <w:rsid w:val="006E66D9"/>
    <w:rsid w:val="006F239D"/>
    <w:rsid w:val="006F2E81"/>
    <w:rsid w:val="006F3617"/>
    <w:rsid w:val="006F4EB3"/>
    <w:rsid w:val="006F56C4"/>
    <w:rsid w:val="006F6168"/>
    <w:rsid w:val="006F7679"/>
    <w:rsid w:val="00700B57"/>
    <w:rsid w:val="007014F8"/>
    <w:rsid w:val="00705403"/>
    <w:rsid w:val="00705631"/>
    <w:rsid w:val="00706C8B"/>
    <w:rsid w:val="00707531"/>
    <w:rsid w:val="00710134"/>
    <w:rsid w:val="00711205"/>
    <w:rsid w:val="007136AC"/>
    <w:rsid w:val="00715437"/>
    <w:rsid w:val="00715EAA"/>
    <w:rsid w:val="00716CC3"/>
    <w:rsid w:val="0071727F"/>
    <w:rsid w:val="00720050"/>
    <w:rsid w:val="007213F0"/>
    <w:rsid w:val="00722293"/>
    <w:rsid w:val="00723B38"/>
    <w:rsid w:val="00724351"/>
    <w:rsid w:val="00724D11"/>
    <w:rsid w:val="00726F60"/>
    <w:rsid w:val="00733BCA"/>
    <w:rsid w:val="0073441F"/>
    <w:rsid w:val="0073589B"/>
    <w:rsid w:val="00735AEF"/>
    <w:rsid w:val="007412B8"/>
    <w:rsid w:val="00741A9E"/>
    <w:rsid w:val="00742281"/>
    <w:rsid w:val="007429AF"/>
    <w:rsid w:val="00742DD2"/>
    <w:rsid w:val="00746E08"/>
    <w:rsid w:val="00747C96"/>
    <w:rsid w:val="007503E9"/>
    <w:rsid w:val="0075094E"/>
    <w:rsid w:val="007522E8"/>
    <w:rsid w:val="0075353C"/>
    <w:rsid w:val="00755CC4"/>
    <w:rsid w:val="0075647A"/>
    <w:rsid w:val="007572F9"/>
    <w:rsid w:val="00757CB7"/>
    <w:rsid w:val="00762948"/>
    <w:rsid w:val="00762F48"/>
    <w:rsid w:val="007634AD"/>
    <w:rsid w:val="00764011"/>
    <w:rsid w:val="0076432E"/>
    <w:rsid w:val="007668D9"/>
    <w:rsid w:val="00766A70"/>
    <w:rsid w:val="00766A86"/>
    <w:rsid w:val="0077057C"/>
    <w:rsid w:val="007707A7"/>
    <w:rsid w:val="00770B28"/>
    <w:rsid w:val="00771DF3"/>
    <w:rsid w:val="00773CB2"/>
    <w:rsid w:val="00775563"/>
    <w:rsid w:val="00776689"/>
    <w:rsid w:val="0078122E"/>
    <w:rsid w:val="00783A83"/>
    <w:rsid w:val="007867C0"/>
    <w:rsid w:val="00792E66"/>
    <w:rsid w:val="00792F13"/>
    <w:rsid w:val="007930A5"/>
    <w:rsid w:val="007931D4"/>
    <w:rsid w:val="00793E57"/>
    <w:rsid w:val="00794007"/>
    <w:rsid w:val="00795647"/>
    <w:rsid w:val="007973B1"/>
    <w:rsid w:val="007A174B"/>
    <w:rsid w:val="007A3611"/>
    <w:rsid w:val="007A5737"/>
    <w:rsid w:val="007A6125"/>
    <w:rsid w:val="007A76FC"/>
    <w:rsid w:val="007B02F9"/>
    <w:rsid w:val="007B0854"/>
    <w:rsid w:val="007B1A64"/>
    <w:rsid w:val="007B1ACE"/>
    <w:rsid w:val="007B2562"/>
    <w:rsid w:val="007B27D7"/>
    <w:rsid w:val="007B4F45"/>
    <w:rsid w:val="007B4F4C"/>
    <w:rsid w:val="007B55F8"/>
    <w:rsid w:val="007B660A"/>
    <w:rsid w:val="007C0AB3"/>
    <w:rsid w:val="007C0AF3"/>
    <w:rsid w:val="007C15C8"/>
    <w:rsid w:val="007C209F"/>
    <w:rsid w:val="007C22B6"/>
    <w:rsid w:val="007C2357"/>
    <w:rsid w:val="007C2D7E"/>
    <w:rsid w:val="007C33A6"/>
    <w:rsid w:val="007C4A1C"/>
    <w:rsid w:val="007C4BE5"/>
    <w:rsid w:val="007C58BD"/>
    <w:rsid w:val="007C5C1C"/>
    <w:rsid w:val="007C5DDB"/>
    <w:rsid w:val="007D00BD"/>
    <w:rsid w:val="007D01F0"/>
    <w:rsid w:val="007D0B72"/>
    <w:rsid w:val="007D0C15"/>
    <w:rsid w:val="007D197A"/>
    <w:rsid w:val="007D23AC"/>
    <w:rsid w:val="007D3671"/>
    <w:rsid w:val="007D4295"/>
    <w:rsid w:val="007D4919"/>
    <w:rsid w:val="007D4DBE"/>
    <w:rsid w:val="007D5C3E"/>
    <w:rsid w:val="007D6C71"/>
    <w:rsid w:val="007D7901"/>
    <w:rsid w:val="007D7DD8"/>
    <w:rsid w:val="007E02AE"/>
    <w:rsid w:val="007E0C58"/>
    <w:rsid w:val="007E1312"/>
    <w:rsid w:val="007E25A3"/>
    <w:rsid w:val="007E3ACA"/>
    <w:rsid w:val="007E4492"/>
    <w:rsid w:val="007E5510"/>
    <w:rsid w:val="007E5C16"/>
    <w:rsid w:val="007E676C"/>
    <w:rsid w:val="007E73D7"/>
    <w:rsid w:val="007E7A93"/>
    <w:rsid w:val="007F11DD"/>
    <w:rsid w:val="007F15AE"/>
    <w:rsid w:val="007F1C69"/>
    <w:rsid w:val="007F51B0"/>
    <w:rsid w:val="007F54FB"/>
    <w:rsid w:val="007F5623"/>
    <w:rsid w:val="007F573F"/>
    <w:rsid w:val="007F6A64"/>
    <w:rsid w:val="007F6B46"/>
    <w:rsid w:val="007F6D80"/>
    <w:rsid w:val="007F72CB"/>
    <w:rsid w:val="007F7555"/>
    <w:rsid w:val="00800516"/>
    <w:rsid w:val="00800C47"/>
    <w:rsid w:val="0080224B"/>
    <w:rsid w:val="0080370F"/>
    <w:rsid w:val="0080514C"/>
    <w:rsid w:val="008067F9"/>
    <w:rsid w:val="00806AD5"/>
    <w:rsid w:val="008132FA"/>
    <w:rsid w:val="00813988"/>
    <w:rsid w:val="00814E0D"/>
    <w:rsid w:val="0081553B"/>
    <w:rsid w:val="00815BCC"/>
    <w:rsid w:val="008160B2"/>
    <w:rsid w:val="00817744"/>
    <w:rsid w:val="00817C29"/>
    <w:rsid w:val="0082065D"/>
    <w:rsid w:val="00820A37"/>
    <w:rsid w:val="008217B7"/>
    <w:rsid w:val="008249C8"/>
    <w:rsid w:val="00824BF9"/>
    <w:rsid w:val="0082512A"/>
    <w:rsid w:val="00827DBF"/>
    <w:rsid w:val="00830018"/>
    <w:rsid w:val="00830303"/>
    <w:rsid w:val="0083119B"/>
    <w:rsid w:val="00833039"/>
    <w:rsid w:val="0083451C"/>
    <w:rsid w:val="00835917"/>
    <w:rsid w:val="00835F5B"/>
    <w:rsid w:val="00836EAB"/>
    <w:rsid w:val="0083782B"/>
    <w:rsid w:val="0083785F"/>
    <w:rsid w:val="00840960"/>
    <w:rsid w:val="00840C1B"/>
    <w:rsid w:val="008420C6"/>
    <w:rsid w:val="008445AD"/>
    <w:rsid w:val="00844864"/>
    <w:rsid w:val="00845AF5"/>
    <w:rsid w:val="00846235"/>
    <w:rsid w:val="00846B3D"/>
    <w:rsid w:val="0085092D"/>
    <w:rsid w:val="00850F79"/>
    <w:rsid w:val="00851723"/>
    <w:rsid w:val="00851D62"/>
    <w:rsid w:val="00853074"/>
    <w:rsid w:val="00853AE0"/>
    <w:rsid w:val="00853AF8"/>
    <w:rsid w:val="00854D44"/>
    <w:rsid w:val="00854DB7"/>
    <w:rsid w:val="008562E8"/>
    <w:rsid w:val="008565CB"/>
    <w:rsid w:val="00857EEA"/>
    <w:rsid w:val="00861F54"/>
    <w:rsid w:val="0086218A"/>
    <w:rsid w:val="008632AF"/>
    <w:rsid w:val="00864796"/>
    <w:rsid w:val="00864821"/>
    <w:rsid w:val="008654BA"/>
    <w:rsid w:val="00870AF9"/>
    <w:rsid w:val="00871990"/>
    <w:rsid w:val="00872A2E"/>
    <w:rsid w:val="008749A9"/>
    <w:rsid w:val="00875DAC"/>
    <w:rsid w:val="00876146"/>
    <w:rsid w:val="0087668B"/>
    <w:rsid w:val="00876868"/>
    <w:rsid w:val="008770F7"/>
    <w:rsid w:val="00877B14"/>
    <w:rsid w:val="00877CC7"/>
    <w:rsid w:val="00880378"/>
    <w:rsid w:val="00880D11"/>
    <w:rsid w:val="00881812"/>
    <w:rsid w:val="00881A23"/>
    <w:rsid w:val="00882C43"/>
    <w:rsid w:val="00882F5E"/>
    <w:rsid w:val="00883B81"/>
    <w:rsid w:val="0088409B"/>
    <w:rsid w:val="0088434E"/>
    <w:rsid w:val="0088605D"/>
    <w:rsid w:val="00886E97"/>
    <w:rsid w:val="00887C57"/>
    <w:rsid w:val="00890D42"/>
    <w:rsid w:val="00891FB0"/>
    <w:rsid w:val="008927F9"/>
    <w:rsid w:val="00894211"/>
    <w:rsid w:val="0089774F"/>
    <w:rsid w:val="008A0A87"/>
    <w:rsid w:val="008A18EE"/>
    <w:rsid w:val="008A1C35"/>
    <w:rsid w:val="008A1C99"/>
    <w:rsid w:val="008A1E91"/>
    <w:rsid w:val="008A2550"/>
    <w:rsid w:val="008A2823"/>
    <w:rsid w:val="008A3153"/>
    <w:rsid w:val="008A383B"/>
    <w:rsid w:val="008A426D"/>
    <w:rsid w:val="008A4934"/>
    <w:rsid w:val="008A519B"/>
    <w:rsid w:val="008B10B4"/>
    <w:rsid w:val="008B1829"/>
    <w:rsid w:val="008B2C6A"/>
    <w:rsid w:val="008B3AED"/>
    <w:rsid w:val="008B6265"/>
    <w:rsid w:val="008B6B7E"/>
    <w:rsid w:val="008C12BF"/>
    <w:rsid w:val="008C30C7"/>
    <w:rsid w:val="008C34B5"/>
    <w:rsid w:val="008C3736"/>
    <w:rsid w:val="008C4741"/>
    <w:rsid w:val="008C4858"/>
    <w:rsid w:val="008C48DE"/>
    <w:rsid w:val="008C6F87"/>
    <w:rsid w:val="008C7C2E"/>
    <w:rsid w:val="008D07D1"/>
    <w:rsid w:val="008D1EFE"/>
    <w:rsid w:val="008D271F"/>
    <w:rsid w:val="008D46D3"/>
    <w:rsid w:val="008D56BF"/>
    <w:rsid w:val="008D572E"/>
    <w:rsid w:val="008D79F4"/>
    <w:rsid w:val="008D7EE7"/>
    <w:rsid w:val="008E1C15"/>
    <w:rsid w:val="008E3C08"/>
    <w:rsid w:val="008E4E6A"/>
    <w:rsid w:val="008E5687"/>
    <w:rsid w:val="008E6E06"/>
    <w:rsid w:val="008E7DBB"/>
    <w:rsid w:val="008F0B5E"/>
    <w:rsid w:val="008F2D5F"/>
    <w:rsid w:val="008F39C7"/>
    <w:rsid w:val="008F4A80"/>
    <w:rsid w:val="008F538E"/>
    <w:rsid w:val="008F5551"/>
    <w:rsid w:val="008F6CB0"/>
    <w:rsid w:val="008F7712"/>
    <w:rsid w:val="00900304"/>
    <w:rsid w:val="00900817"/>
    <w:rsid w:val="009008CF"/>
    <w:rsid w:val="00900F40"/>
    <w:rsid w:val="00901285"/>
    <w:rsid w:val="009037EE"/>
    <w:rsid w:val="00904534"/>
    <w:rsid w:val="00904597"/>
    <w:rsid w:val="00904785"/>
    <w:rsid w:val="009047C5"/>
    <w:rsid w:val="009065BE"/>
    <w:rsid w:val="00906A56"/>
    <w:rsid w:val="00912B6E"/>
    <w:rsid w:val="009139FF"/>
    <w:rsid w:val="00913DEE"/>
    <w:rsid w:val="00914DA0"/>
    <w:rsid w:val="00914F6A"/>
    <w:rsid w:val="00915799"/>
    <w:rsid w:val="00915933"/>
    <w:rsid w:val="00915B66"/>
    <w:rsid w:val="00916D58"/>
    <w:rsid w:val="009173EE"/>
    <w:rsid w:val="0091758D"/>
    <w:rsid w:val="00917D8E"/>
    <w:rsid w:val="00920A32"/>
    <w:rsid w:val="00921674"/>
    <w:rsid w:val="009220FB"/>
    <w:rsid w:val="009224E5"/>
    <w:rsid w:val="00922597"/>
    <w:rsid w:val="00922786"/>
    <w:rsid w:val="009234B9"/>
    <w:rsid w:val="00923802"/>
    <w:rsid w:val="009246D0"/>
    <w:rsid w:val="00924C63"/>
    <w:rsid w:val="009255FC"/>
    <w:rsid w:val="009273F9"/>
    <w:rsid w:val="0092793A"/>
    <w:rsid w:val="00927D00"/>
    <w:rsid w:val="00933DE5"/>
    <w:rsid w:val="00934F48"/>
    <w:rsid w:val="009350C1"/>
    <w:rsid w:val="009368B9"/>
    <w:rsid w:val="00937020"/>
    <w:rsid w:val="00940DB9"/>
    <w:rsid w:val="00941470"/>
    <w:rsid w:val="00943678"/>
    <w:rsid w:val="0094567D"/>
    <w:rsid w:val="009458F0"/>
    <w:rsid w:val="009471A0"/>
    <w:rsid w:val="00947622"/>
    <w:rsid w:val="00947A71"/>
    <w:rsid w:val="00951621"/>
    <w:rsid w:val="00952E98"/>
    <w:rsid w:val="0095385A"/>
    <w:rsid w:val="00954E1E"/>
    <w:rsid w:val="00955202"/>
    <w:rsid w:val="00955B44"/>
    <w:rsid w:val="00956821"/>
    <w:rsid w:val="00962285"/>
    <w:rsid w:val="00964425"/>
    <w:rsid w:val="009658C0"/>
    <w:rsid w:val="00967268"/>
    <w:rsid w:val="00967CD8"/>
    <w:rsid w:val="00970437"/>
    <w:rsid w:val="00971F9D"/>
    <w:rsid w:val="00971FAB"/>
    <w:rsid w:val="009726BB"/>
    <w:rsid w:val="0097606C"/>
    <w:rsid w:val="00976295"/>
    <w:rsid w:val="00981216"/>
    <w:rsid w:val="00982027"/>
    <w:rsid w:val="009820DB"/>
    <w:rsid w:val="0098238F"/>
    <w:rsid w:val="00982775"/>
    <w:rsid w:val="0098489D"/>
    <w:rsid w:val="00984AB9"/>
    <w:rsid w:val="009906BE"/>
    <w:rsid w:val="0099095D"/>
    <w:rsid w:val="009916A7"/>
    <w:rsid w:val="00992127"/>
    <w:rsid w:val="009922C8"/>
    <w:rsid w:val="0099237F"/>
    <w:rsid w:val="0099262B"/>
    <w:rsid w:val="00994DF5"/>
    <w:rsid w:val="00994E2D"/>
    <w:rsid w:val="009976EE"/>
    <w:rsid w:val="009A2B57"/>
    <w:rsid w:val="009A3569"/>
    <w:rsid w:val="009A4826"/>
    <w:rsid w:val="009A60FC"/>
    <w:rsid w:val="009A758C"/>
    <w:rsid w:val="009B2BD0"/>
    <w:rsid w:val="009B4776"/>
    <w:rsid w:val="009B512E"/>
    <w:rsid w:val="009B5190"/>
    <w:rsid w:val="009B61A4"/>
    <w:rsid w:val="009C0D78"/>
    <w:rsid w:val="009C1600"/>
    <w:rsid w:val="009C215D"/>
    <w:rsid w:val="009C31BE"/>
    <w:rsid w:val="009C37DC"/>
    <w:rsid w:val="009C487F"/>
    <w:rsid w:val="009C57EF"/>
    <w:rsid w:val="009C6959"/>
    <w:rsid w:val="009C713B"/>
    <w:rsid w:val="009D3CF6"/>
    <w:rsid w:val="009D4945"/>
    <w:rsid w:val="009D4B2F"/>
    <w:rsid w:val="009D5C7D"/>
    <w:rsid w:val="009D6E69"/>
    <w:rsid w:val="009E30D4"/>
    <w:rsid w:val="009E54F2"/>
    <w:rsid w:val="009E5853"/>
    <w:rsid w:val="009E64D5"/>
    <w:rsid w:val="009E7728"/>
    <w:rsid w:val="009F261D"/>
    <w:rsid w:val="009F3602"/>
    <w:rsid w:val="009F5096"/>
    <w:rsid w:val="009F59C2"/>
    <w:rsid w:val="009F6F3A"/>
    <w:rsid w:val="009F773F"/>
    <w:rsid w:val="009F78A0"/>
    <w:rsid w:val="00A0103E"/>
    <w:rsid w:val="00A010FC"/>
    <w:rsid w:val="00A01F50"/>
    <w:rsid w:val="00A02213"/>
    <w:rsid w:val="00A03425"/>
    <w:rsid w:val="00A04977"/>
    <w:rsid w:val="00A04B5C"/>
    <w:rsid w:val="00A05140"/>
    <w:rsid w:val="00A0528D"/>
    <w:rsid w:val="00A066BD"/>
    <w:rsid w:val="00A10053"/>
    <w:rsid w:val="00A11895"/>
    <w:rsid w:val="00A13886"/>
    <w:rsid w:val="00A14415"/>
    <w:rsid w:val="00A146B7"/>
    <w:rsid w:val="00A16FAB"/>
    <w:rsid w:val="00A1798B"/>
    <w:rsid w:val="00A2084E"/>
    <w:rsid w:val="00A2244B"/>
    <w:rsid w:val="00A228C5"/>
    <w:rsid w:val="00A23693"/>
    <w:rsid w:val="00A23CE5"/>
    <w:rsid w:val="00A2433B"/>
    <w:rsid w:val="00A2439B"/>
    <w:rsid w:val="00A24560"/>
    <w:rsid w:val="00A24834"/>
    <w:rsid w:val="00A27708"/>
    <w:rsid w:val="00A27A7D"/>
    <w:rsid w:val="00A31161"/>
    <w:rsid w:val="00A32B79"/>
    <w:rsid w:val="00A3420B"/>
    <w:rsid w:val="00A34538"/>
    <w:rsid w:val="00A350AF"/>
    <w:rsid w:val="00A35AD8"/>
    <w:rsid w:val="00A37C18"/>
    <w:rsid w:val="00A37FB6"/>
    <w:rsid w:val="00A40817"/>
    <w:rsid w:val="00A40A28"/>
    <w:rsid w:val="00A41D67"/>
    <w:rsid w:val="00A42365"/>
    <w:rsid w:val="00A426EC"/>
    <w:rsid w:val="00A452E7"/>
    <w:rsid w:val="00A46183"/>
    <w:rsid w:val="00A462AB"/>
    <w:rsid w:val="00A500EF"/>
    <w:rsid w:val="00A51659"/>
    <w:rsid w:val="00A5350E"/>
    <w:rsid w:val="00A53A8E"/>
    <w:rsid w:val="00A54986"/>
    <w:rsid w:val="00A5539A"/>
    <w:rsid w:val="00A568F6"/>
    <w:rsid w:val="00A57160"/>
    <w:rsid w:val="00A61297"/>
    <w:rsid w:val="00A612F6"/>
    <w:rsid w:val="00A61F17"/>
    <w:rsid w:val="00A62322"/>
    <w:rsid w:val="00A65AD5"/>
    <w:rsid w:val="00A7090A"/>
    <w:rsid w:val="00A734C1"/>
    <w:rsid w:val="00A74544"/>
    <w:rsid w:val="00A74CA8"/>
    <w:rsid w:val="00A757E2"/>
    <w:rsid w:val="00A771A5"/>
    <w:rsid w:val="00A82473"/>
    <w:rsid w:val="00A83087"/>
    <w:rsid w:val="00A83E55"/>
    <w:rsid w:val="00A83F78"/>
    <w:rsid w:val="00A8570E"/>
    <w:rsid w:val="00A87ECD"/>
    <w:rsid w:val="00A90982"/>
    <w:rsid w:val="00A91BEA"/>
    <w:rsid w:val="00A944C2"/>
    <w:rsid w:val="00A9502E"/>
    <w:rsid w:val="00A95095"/>
    <w:rsid w:val="00A95142"/>
    <w:rsid w:val="00A95345"/>
    <w:rsid w:val="00A957B9"/>
    <w:rsid w:val="00A9641E"/>
    <w:rsid w:val="00A97234"/>
    <w:rsid w:val="00A97B98"/>
    <w:rsid w:val="00AA08E7"/>
    <w:rsid w:val="00AA0B78"/>
    <w:rsid w:val="00AA0BE1"/>
    <w:rsid w:val="00AA2094"/>
    <w:rsid w:val="00AA442B"/>
    <w:rsid w:val="00AA669D"/>
    <w:rsid w:val="00AA7403"/>
    <w:rsid w:val="00AA7503"/>
    <w:rsid w:val="00AB0808"/>
    <w:rsid w:val="00AB0CF9"/>
    <w:rsid w:val="00AB3212"/>
    <w:rsid w:val="00AB35A6"/>
    <w:rsid w:val="00AB5852"/>
    <w:rsid w:val="00AB5969"/>
    <w:rsid w:val="00AB5C7F"/>
    <w:rsid w:val="00AB628F"/>
    <w:rsid w:val="00AB6591"/>
    <w:rsid w:val="00AC146A"/>
    <w:rsid w:val="00AC27E8"/>
    <w:rsid w:val="00AC30A0"/>
    <w:rsid w:val="00AC4829"/>
    <w:rsid w:val="00AC514C"/>
    <w:rsid w:val="00AC5690"/>
    <w:rsid w:val="00AC5727"/>
    <w:rsid w:val="00AC5F3A"/>
    <w:rsid w:val="00AD1A73"/>
    <w:rsid w:val="00AD45E3"/>
    <w:rsid w:val="00AE08F9"/>
    <w:rsid w:val="00AE1539"/>
    <w:rsid w:val="00AE2D2E"/>
    <w:rsid w:val="00AE32F2"/>
    <w:rsid w:val="00AE4B35"/>
    <w:rsid w:val="00AE4C20"/>
    <w:rsid w:val="00AE5ABF"/>
    <w:rsid w:val="00AE61E1"/>
    <w:rsid w:val="00AE6434"/>
    <w:rsid w:val="00AE69A5"/>
    <w:rsid w:val="00AE6C09"/>
    <w:rsid w:val="00AE7779"/>
    <w:rsid w:val="00AF0BEC"/>
    <w:rsid w:val="00AF373E"/>
    <w:rsid w:val="00AF40E4"/>
    <w:rsid w:val="00AF561D"/>
    <w:rsid w:val="00AF609E"/>
    <w:rsid w:val="00B000D8"/>
    <w:rsid w:val="00B012D7"/>
    <w:rsid w:val="00B02774"/>
    <w:rsid w:val="00B04012"/>
    <w:rsid w:val="00B042CF"/>
    <w:rsid w:val="00B04E6F"/>
    <w:rsid w:val="00B050B8"/>
    <w:rsid w:val="00B05411"/>
    <w:rsid w:val="00B0753B"/>
    <w:rsid w:val="00B12F06"/>
    <w:rsid w:val="00B13EC0"/>
    <w:rsid w:val="00B13FAE"/>
    <w:rsid w:val="00B16829"/>
    <w:rsid w:val="00B17249"/>
    <w:rsid w:val="00B179C1"/>
    <w:rsid w:val="00B20525"/>
    <w:rsid w:val="00B21442"/>
    <w:rsid w:val="00B22E22"/>
    <w:rsid w:val="00B2513E"/>
    <w:rsid w:val="00B2548B"/>
    <w:rsid w:val="00B25E66"/>
    <w:rsid w:val="00B27AD4"/>
    <w:rsid w:val="00B30086"/>
    <w:rsid w:val="00B31F22"/>
    <w:rsid w:val="00B32BCD"/>
    <w:rsid w:val="00B35625"/>
    <w:rsid w:val="00B359ED"/>
    <w:rsid w:val="00B36260"/>
    <w:rsid w:val="00B37C00"/>
    <w:rsid w:val="00B415FE"/>
    <w:rsid w:val="00B426AA"/>
    <w:rsid w:val="00B44270"/>
    <w:rsid w:val="00B44AD6"/>
    <w:rsid w:val="00B44E8E"/>
    <w:rsid w:val="00B46C42"/>
    <w:rsid w:val="00B51003"/>
    <w:rsid w:val="00B512FD"/>
    <w:rsid w:val="00B525CB"/>
    <w:rsid w:val="00B5487A"/>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1E95"/>
    <w:rsid w:val="00B7315F"/>
    <w:rsid w:val="00B750D9"/>
    <w:rsid w:val="00B76967"/>
    <w:rsid w:val="00B77F95"/>
    <w:rsid w:val="00B81F6E"/>
    <w:rsid w:val="00B842C6"/>
    <w:rsid w:val="00B84416"/>
    <w:rsid w:val="00B84BA7"/>
    <w:rsid w:val="00B85186"/>
    <w:rsid w:val="00B85679"/>
    <w:rsid w:val="00B91AF0"/>
    <w:rsid w:val="00B91B8E"/>
    <w:rsid w:val="00B9384C"/>
    <w:rsid w:val="00B93C9A"/>
    <w:rsid w:val="00B94548"/>
    <w:rsid w:val="00B9493C"/>
    <w:rsid w:val="00B955AB"/>
    <w:rsid w:val="00B95AC8"/>
    <w:rsid w:val="00B9618B"/>
    <w:rsid w:val="00B97B1C"/>
    <w:rsid w:val="00B97E63"/>
    <w:rsid w:val="00BA19D8"/>
    <w:rsid w:val="00BA3286"/>
    <w:rsid w:val="00BA3542"/>
    <w:rsid w:val="00BA3871"/>
    <w:rsid w:val="00BA4D28"/>
    <w:rsid w:val="00BA4E77"/>
    <w:rsid w:val="00BA7609"/>
    <w:rsid w:val="00BB30E1"/>
    <w:rsid w:val="00BB3B04"/>
    <w:rsid w:val="00BB3EE8"/>
    <w:rsid w:val="00BB584D"/>
    <w:rsid w:val="00BB7084"/>
    <w:rsid w:val="00BB7E79"/>
    <w:rsid w:val="00BC2704"/>
    <w:rsid w:val="00BC3986"/>
    <w:rsid w:val="00BC7280"/>
    <w:rsid w:val="00BD120E"/>
    <w:rsid w:val="00BD2036"/>
    <w:rsid w:val="00BD2700"/>
    <w:rsid w:val="00BD5D4A"/>
    <w:rsid w:val="00BD78FE"/>
    <w:rsid w:val="00BE0AD3"/>
    <w:rsid w:val="00BE15DA"/>
    <w:rsid w:val="00BE16E8"/>
    <w:rsid w:val="00BE1CEA"/>
    <w:rsid w:val="00BE642B"/>
    <w:rsid w:val="00BE67A9"/>
    <w:rsid w:val="00BE72D6"/>
    <w:rsid w:val="00BF0202"/>
    <w:rsid w:val="00BF31BA"/>
    <w:rsid w:val="00BF5E9C"/>
    <w:rsid w:val="00BF6D70"/>
    <w:rsid w:val="00BF6D9D"/>
    <w:rsid w:val="00BF7724"/>
    <w:rsid w:val="00C00B9C"/>
    <w:rsid w:val="00C014AB"/>
    <w:rsid w:val="00C0241E"/>
    <w:rsid w:val="00C02CA7"/>
    <w:rsid w:val="00C0362B"/>
    <w:rsid w:val="00C03773"/>
    <w:rsid w:val="00C0469E"/>
    <w:rsid w:val="00C052E2"/>
    <w:rsid w:val="00C055D5"/>
    <w:rsid w:val="00C057B4"/>
    <w:rsid w:val="00C06A57"/>
    <w:rsid w:val="00C06B30"/>
    <w:rsid w:val="00C07B9B"/>
    <w:rsid w:val="00C07C30"/>
    <w:rsid w:val="00C10FED"/>
    <w:rsid w:val="00C126E0"/>
    <w:rsid w:val="00C14127"/>
    <w:rsid w:val="00C1486D"/>
    <w:rsid w:val="00C170AF"/>
    <w:rsid w:val="00C17E35"/>
    <w:rsid w:val="00C20738"/>
    <w:rsid w:val="00C20AB9"/>
    <w:rsid w:val="00C21ABC"/>
    <w:rsid w:val="00C220CE"/>
    <w:rsid w:val="00C22BB6"/>
    <w:rsid w:val="00C24150"/>
    <w:rsid w:val="00C245B6"/>
    <w:rsid w:val="00C24D7E"/>
    <w:rsid w:val="00C269AB"/>
    <w:rsid w:val="00C27711"/>
    <w:rsid w:val="00C27D29"/>
    <w:rsid w:val="00C3033B"/>
    <w:rsid w:val="00C30808"/>
    <w:rsid w:val="00C309CE"/>
    <w:rsid w:val="00C32119"/>
    <w:rsid w:val="00C32440"/>
    <w:rsid w:val="00C34208"/>
    <w:rsid w:val="00C366C4"/>
    <w:rsid w:val="00C373C2"/>
    <w:rsid w:val="00C374F0"/>
    <w:rsid w:val="00C404E4"/>
    <w:rsid w:val="00C42508"/>
    <w:rsid w:val="00C42C10"/>
    <w:rsid w:val="00C42D9F"/>
    <w:rsid w:val="00C4437C"/>
    <w:rsid w:val="00C50170"/>
    <w:rsid w:val="00C50A4B"/>
    <w:rsid w:val="00C5372F"/>
    <w:rsid w:val="00C54BAF"/>
    <w:rsid w:val="00C6465E"/>
    <w:rsid w:val="00C64A86"/>
    <w:rsid w:val="00C64DF0"/>
    <w:rsid w:val="00C64E43"/>
    <w:rsid w:val="00C6552A"/>
    <w:rsid w:val="00C65533"/>
    <w:rsid w:val="00C70B9D"/>
    <w:rsid w:val="00C75629"/>
    <w:rsid w:val="00C758C6"/>
    <w:rsid w:val="00C76212"/>
    <w:rsid w:val="00C76AD9"/>
    <w:rsid w:val="00C77849"/>
    <w:rsid w:val="00C77F03"/>
    <w:rsid w:val="00C818AF"/>
    <w:rsid w:val="00C81ADC"/>
    <w:rsid w:val="00C81F3D"/>
    <w:rsid w:val="00C822C2"/>
    <w:rsid w:val="00C82C96"/>
    <w:rsid w:val="00C841DD"/>
    <w:rsid w:val="00C8458D"/>
    <w:rsid w:val="00C8725E"/>
    <w:rsid w:val="00C9106A"/>
    <w:rsid w:val="00C91242"/>
    <w:rsid w:val="00C9258A"/>
    <w:rsid w:val="00C93CD1"/>
    <w:rsid w:val="00C9585F"/>
    <w:rsid w:val="00C96C1B"/>
    <w:rsid w:val="00C97AAA"/>
    <w:rsid w:val="00CA059D"/>
    <w:rsid w:val="00CA2C72"/>
    <w:rsid w:val="00CA52CF"/>
    <w:rsid w:val="00CA6FB7"/>
    <w:rsid w:val="00CA7385"/>
    <w:rsid w:val="00CB0765"/>
    <w:rsid w:val="00CB26BE"/>
    <w:rsid w:val="00CB2B36"/>
    <w:rsid w:val="00CB2C0F"/>
    <w:rsid w:val="00CB323E"/>
    <w:rsid w:val="00CB42FC"/>
    <w:rsid w:val="00CB4402"/>
    <w:rsid w:val="00CB5943"/>
    <w:rsid w:val="00CB619A"/>
    <w:rsid w:val="00CB63B3"/>
    <w:rsid w:val="00CC00CD"/>
    <w:rsid w:val="00CC0339"/>
    <w:rsid w:val="00CC0B3D"/>
    <w:rsid w:val="00CC0E85"/>
    <w:rsid w:val="00CC33F8"/>
    <w:rsid w:val="00CC4DF1"/>
    <w:rsid w:val="00CC748E"/>
    <w:rsid w:val="00CD2B8C"/>
    <w:rsid w:val="00CD4A86"/>
    <w:rsid w:val="00CD5576"/>
    <w:rsid w:val="00CD57EC"/>
    <w:rsid w:val="00CD7832"/>
    <w:rsid w:val="00CD7E27"/>
    <w:rsid w:val="00CE12E2"/>
    <w:rsid w:val="00CE15B5"/>
    <w:rsid w:val="00CE2805"/>
    <w:rsid w:val="00CE3AF6"/>
    <w:rsid w:val="00CE4E6E"/>
    <w:rsid w:val="00CE7A1A"/>
    <w:rsid w:val="00CF02E0"/>
    <w:rsid w:val="00CF0701"/>
    <w:rsid w:val="00CF600D"/>
    <w:rsid w:val="00CF7275"/>
    <w:rsid w:val="00CF7A13"/>
    <w:rsid w:val="00D01716"/>
    <w:rsid w:val="00D01760"/>
    <w:rsid w:val="00D01EBF"/>
    <w:rsid w:val="00D06596"/>
    <w:rsid w:val="00D077EB"/>
    <w:rsid w:val="00D078B8"/>
    <w:rsid w:val="00D10800"/>
    <w:rsid w:val="00D11F9F"/>
    <w:rsid w:val="00D12085"/>
    <w:rsid w:val="00D13D5F"/>
    <w:rsid w:val="00D142E7"/>
    <w:rsid w:val="00D15B95"/>
    <w:rsid w:val="00D160CB"/>
    <w:rsid w:val="00D16E39"/>
    <w:rsid w:val="00D170B9"/>
    <w:rsid w:val="00D17379"/>
    <w:rsid w:val="00D1798A"/>
    <w:rsid w:val="00D17ED8"/>
    <w:rsid w:val="00D21C43"/>
    <w:rsid w:val="00D220D3"/>
    <w:rsid w:val="00D2214A"/>
    <w:rsid w:val="00D223B6"/>
    <w:rsid w:val="00D22BEB"/>
    <w:rsid w:val="00D23495"/>
    <w:rsid w:val="00D23AD8"/>
    <w:rsid w:val="00D2423E"/>
    <w:rsid w:val="00D2686C"/>
    <w:rsid w:val="00D26B57"/>
    <w:rsid w:val="00D32981"/>
    <w:rsid w:val="00D32A50"/>
    <w:rsid w:val="00D33226"/>
    <w:rsid w:val="00D350DE"/>
    <w:rsid w:val="00D35FC1"/>
    <w:rsid w:val="00D40F84"/>
    <w:rsid w:val="00D41655"/>
    <w:rsid w:val="00D41EE1"/>
    <w:rsid w:val="00D42064"/>
    <w:rsid w:val="00D42298"/>
    <w:rsid w:val="00D4320D"/>
    <w:rsid w:val="00D44E97"/>
    <w:rsid w:val="00D460D9"/>
    <w:rsid w:val="00D47709"/>
    <w:rsid w:val="00D506C0"/>
    <w:rsid w:val="00D53894"/>
    <w:rsid w:val="00D53C6C"/>
    <w:rsid w:val="00D54876"/>
    <w:rsid w:val="00D54C45"/>
    <w:rsid w:val="00D60327"/>
    <w:rsid w:val="00D641C3"/>
    <w:rsid w:val="00D64981"/>
    <w:rsid w:val="00D650B5"/>
    <w:rsid w:val="00D66C4F"/>
    <w:rsid w:val="00D679D8"/>
    <w:rsid w:val="00D7075B"/>
    <w:rsid w:val="00D710B9"/>
    <w:rsid w:val="00D71D22"/>
    <w:rsid w:val="00D72126"/>
    <w:rsid w:val="00D72E9D"/>
    <w:rsid w:val="00D73BBE"/>
    <w:rsid w:val="00D73FA7"/>
    <w:rsid w:val="00D74765"/>
    <w:rsid w:val="00D74923"/>
    <w:rsid w:val="00D7568C"/>
    <w:rsid w:val="00D76E91"/>
    <w:rsid w:val="00D7727A"/>
    <w:rsid w:val="00D77495"/>
    <w:rsid w:val="00D82CE5"/>
    <w:rsid w:val="00D84FE0"/>
    <w:rsid w:val="00D85C8F"/>
    <w:rsid w:val="00D87181"/>
    <w:rsid w:val="00D8736E"/>
    <w:rsid w:val="00D90EFA"/>
    <w:rsid w:val="00D914DB"/>
    <w:rsid w:val="00D92770"/>
    <w:rsid w:val="00D93287"/>
    <w:rsid w:val="00D94D04"/>
    <w:rsid w:val="00D970D3"/>
    <w:rsid w:val="00D978B4"/>
    <w:rsid w:val="00D97DDD"/>
    <w:rsid w:val="00DA1614"/>
    <w:rsid w:val="00DA41EF"/>
    <w:rsid w:val="00DA583D"/>
    <w:rsid w:val="00DA5AB1"/>
    <w:rsid w:val="00DA7B6E"/>
    <w:rsid w:val="00DA7CCA"/>
    <w:rsid w:val="00DB0D51"/>
    <w:rsid w:val="00DB0DFA"/>
    <w:rsid w:val="00DB1542"/>
    <w:rsid w:val="00DB1B17"/>
    <w:rsid w:val="00DB28B8"/>
    <w:rsid w:val="00DB3D31"/>
    <w:rsid w:val="00DB6234"/>
    <w:rsid w:val="00DB68F9"/>
    <w:rsid w:val="00DC02B2"/>
    <w:rsid w:val="00DC1562"/>
    <w:rsid w:val="00DC2AFD"/>
    <w:rsid w:val="00DC3544"/>
    <w:rsid w:val="00DC3A87"/>
    <w:rsid w:val="00DC4E41"/>
    <w:rsid w:val="00DC62E5"/>
    <w:rsid w:val="00DC6638"/>
    <w:rsid w:val="00DC743F"/>
    <w:rsid w:val="00DD00C5"/>
    <w:rsid w:val="00DD0BB0"/>
    <w:rsid w:val="00DD32A0"/>
    <w:rsid w:val="00DD3E02"/>
    <w:rsid w:val="00DD3E55"/>
    <w:rsid w:val="00DD428E"/>
    <w:rsid w:val="00DD451F"/>
    <w:rsid w:val="00DD47A2"/>
    <w:rsid w:val="00DD652D"/>
    <w:rsid w:val="00DD6845"/>
    <w:rsid w:val="00DD6847"/>
    <w:rsid w:val="00DD735D"/>
    <w:rsid w:val="00DD7FA8"/>
    <w:rsid w:val="00DE247F"/>
    <w:rsid w:val="00DE308A"/>
    <w:rsid w:val="00DE3119"/>
    <w:rsid w:val="00DE3139"/>
    <w:rsid w:val="00DE5A17"/>
    <w:rsid w:val="00DE5BCA"/>
    <w:rsid w:val="00DE6872"/>
    <w:rsid w:val="00DE7C9B"/>
    <w:rsid w:val="00DF0F06"/>
    <w:rsid w:val="00DF1918"/>
    <w:rsid w:val="00DF20FB"/>
    <w:rsid w:val="00DF2128"/>
    <w:rsid w:val="00DF236B"/>
    <w:rsid w:val="00DF2804"/>
    <w:rsid w:val="00DF28C7"/>
    <w:rsid w:val="00DF3553"/>
    <w:rsid w:val="00DF3F8D"/>
    <w:rsid w:val="00DF64F5"/>
    <w:rsid w:val="00DF6AA5"/>
    <w:rsid w:val="00DF7086"/>
    <w:rsid w:val="00DF7F9E"/>
    <w:rsid w:val="00E00221"/>
    <w:rsid w:val="00E0048D"/>
    <w:rsid w:val="00E018F9"/>
    <w:rsid w:val="00E03F9F"/>
    <w:rsid w:val="00E04A52"/>
    <w:rsid w:val="00E057C5"/>
    <w:rsid w:val="00E0677C"/>
    <w:rsid w:val="00E06A8D"/>
    <w:rsid w:val="00E10879"/>
    <w:rsid w:val="00E13AB8"/>
    <w:rsid w:val="00E13D3F"/>
    <w:rsid w:val="00E1640E"/>
    <w:rsid w:val="00E16924"/>
    <w:rsid w:val="00E234D7"/>
    <w:rsid w:val="00E25CB3"/>
    <w:rsid w:val="00E27E15"/>
    <w:rsid w:val="00E3074B"/>
    <w:rsid w:val="00E31537"/>
    <w:rsid w:val="00E31A47"/>
    <w:rsid w:val="00E31F83"/>
    <w:rsid w:val="00E32A49"/>
    <w:rsid w:val="00E33B62"/>
    <w:rsid w:val="00E34106"/>
    <w:rsid w:val="00E34DEB"/>
    <w:rsid w:val="00E354CF"/>
    <w:rsid w:val="00E356D7"/>
    <w:rsid w:val="00E36139"/>
    <w:rsid w:val="00E40D14"/>
    <w:rsid w:val="00E4143A"/>
    <w:rsid w:val="00E41823"/>
    <w:rsid w:val="00E41943"/>
    <w:rsid w:val="00E42461"/>
    <w:rsid w:val="00E42761"/>
    <w:rsid w:val="00E43624"/>
    <w:rsid w:val="00E44610"/>
    <w:rsid w:val="00E45611"/>
    <w:rsid w:val="00E46137"/>
    <w:rsid w:val="00E50774"/>
    <w:rsid w:val="00E510C7"/>
    <w:rsid w:val="00E5199E"/>
    <w:rsid w:val="00E51CF8"/>
    <w:rsid w:val="00E53B77"/>
    <w:rsid w:val="00E54365"/>
    <w:rsid w:val="00E5462E"/>
    <w:rsid w:val="00E56EC0"/>
    <w:rsid w:val="00E57652"/>
    <w:rsid w:val="00E62C10"/>
    <w:rsid w:val="00E631C7"/>
    <w:rsid w:val="00E65BDD"/>
    <w:rsid w:val="00E66455"/>
    <w:rsid w:val="00E70C4B"/>
    <w:rsid w:val="00E73728"/>
    <w:rsid w:val="00E73C2F"/>
    <w:rsid w:val="00E73F9E"/>
    <w:rsid w:val="00E742E7"/>
    <w:rsid w:val="00E749E5"/>
    <w:rsid w:val="00E76013"/>
    <w:rsid w:val="00E76D64"/>
    <w:rsid w:val="00E76DD0"/>
    <w:rsid w:val="00E81CD9"/>
    <w:rsid w:val="00E81FD0"/>
    <w:rsid w:val="00E867DB"/>
    <w:rsid w:val="00E87FB5"/>
    <w:rsid w:val="00E91B88"/>
    <w:rsid w:val="00E9622C"/>
    <w:rsid w:val="00E96F1A"/>
    <w:rsid w:val="00EA0C86"/>
    <w:rsid w:val="00EA2A78"/>
    <w:rsid w:val="00EA2E7A"/>
    <w:rsid w:val="00EA3761"/>
    <w:rsid w:val="00EA3B8E"/>
    <w:rsid w:val="00EA4951"/>
    <w:rsid w:val="00EB03A0"/>
    <w:rsid w:val="00EB0D38"/>
    <w:rsid w:val="00EB23D0"/>
    <w:rsid w:val="00EB2CBD"/>
    <w:rsid w:val="00EB5263"/>
    <w:rsid w:val="00EB5408"/>
    <w:rsid w:val="00EB55EE"/>
    <w:rsid w:val="00EB5A79"/>
    <w:rsid w:val="00EB5DEA"/>
    <w:rsid w:val="00EB72FC"/>
    <w:rsid w:val="00EC5592"/>
    <w:rsid w:val="00EC5B1B"/>
    <w:rsid w:val="00EC77E0"/>
    <w:rsid w:val="00ED0181"/>
    <w:rsid w:val="00ED05A8"/>
    <w:rsid w:val="00ED0D83"/>
    <w:rsid w:val="00ED18C9"/>
    <w:rsid w:val="00ED1921"/>
    <w:rsid w:val="00ED1A5E"/>
    <w:rsid w:val="00ED21E1"/>
    <w:rsid w:val="00ED2C7A"/>
    <w:rsid w:val="00ED5E7E"/>
    <w:rsid w:val="00ED6D48"/>
    <w:rsid w:val="00EE084F"/>
    <w:rsid w:val="00EE2C9C"/>
    <w:rsid w:val="00EE336A"/>
    <w:rsid w:val="00EE4DB1"/>
    <w:rsid w:val="00EE59B5"/>
    <w:rsid w:val="00EE6A82"/>
    <w:rsid w:val="00EE75CC"/>
    <w:rsid w:val="00EE7C1A"/>
    <w:rsid w:val="00EF0420"/>
    <w:rsid w:val="00EF169E"/>
    <w:rsid w:val="00EF1F7B"/>
    <w:rsid w:val="00EF288E"/>
    <w:rsid w:val="00EF28A9"/>
    <w:rsid w:val="00EF2D58"/>
    <w:rsid w:val="00EF3258"/>
    <w:rsid w:val="00EF3F42"/>
    <w:rsid w:val="00EF4E3B"/>
    <w:rsid w:val="00EF5547"/>
    <w:rsid w:val="00EF5E20"/>
    <w:rsid w:val="00EF5E27"/>
    <w:rsid w:val="00EF64D8"/>
    <w:rsid w:val="00EF6FEA"/>
    <w:rsid w:val="00F0076F"/>
    <w:rsid w:val="00F01990"/>
    <w:rsid w:val="00F04156"/>
    <w:rsid w:val="00F04D40"/>
    <w:rsid w:val="00F05E5B"/>
    <w:rsid w:val="00F0608C"/>
    <w:rsid w:val="00F06296"/>
    <w:rsid w:val="00F074DD"/>
    <w:rsid w:val="00F0774D"/>
    <w:rsid w:val="00F0778D"/>
    <w:rsid w:val="00F077AE"/>
    <w:rsid w:val="00F10954"/>
    <w:rsid w:val="00F11955"/>
    <w:rsid w:val="00F11D29"/>
    <w:rsid w:val="00F128BC"/>
    <w:rsid w:val="00F164D9"/>
    <w:rsid w:val="00F16AE2"/>
    <w:rsid w:val="00F172E0"/>
    <w:rsid w:val="00F2035B"/>
    <w:rsid w:val="00F2107D"/>
    <w:rsid w:val="00F21B2C"/>
    <w:rsid w:val="00F21BA2"/>
    <w:rsid w:val="00F21D09"/>
    <w:rsid w:val="00F227E6"/>
    <w:rsid w:val="00F24230"/>
    <w:rsid w:val="00F24E5E"/>
    <w:rsid w:val="00F26F3C"/>
    <w:rsid w:val="00F26F4E"/>
    <w:rsid w:val="00F301AD"/>
    <w:rsid w:val="00F3110C"/>
    <w:rsid w:val="00F33364"/>
    <w:rsid w:val="00F34431"/>
    <w:rsid w:val="00F34C8E"/>
    <w:rsid w:val="00F34CBA"/>
    <w:rsid w:val="00F3533F"/>
    <w:rsid w:val="00F36B8B"/>
    <w:rsid w:val="00F37139"/>
    <w:rsid w:val="00F3791E"/>
    <w:rsid w:val="00F42CA4"/>
    <w:rsid w:val="00F43A17"/>
    <w:rsid w:val="00F43A68"/>
    <w:rsid w:val="00F43B3D"/>
    <w:rsid w:val="00F476A9"/>
    <w:rsid w:val="00F5101F"/>
    <w:rsid w:val="00F51E02"/>
    <w:rsid w:val="00F520D5"/>
    <w:rsid w:val="00F5266E"/>
    <w:rsid w:val="00F536CD"/>
    <w:rsid w:val="00F53A47"/>
    <w:rsid w:val="00F55F3A"/>
    <w:rsid w:val="00F574CC"/>
    <w:rsid w:val="00F6029C"/>
    <w:rsid w:val="00F6064F"/>
    <w:rsid w:val="00F61B1D"/>
    <w:rsid w:val="00F61C41"/>
    <w:rsid w:val="00F61F32"/>
    <w:rsid w:val="00F64812"/>
    <w:rsid w:val="00F65EC5"/>
    <w:rsid w:val="00F66985"/>
    <w:rsid w:val="00F6751F"/>
    <w:rsid w:val="00F73D70"/>
    <w:rsid w:val="00F764CE"/>
    <w:rsid w:val="00F77855"/>
    <w:rsid w:val="00F80D0F"/>
    <w:rsid w:val="00F80E8A"/>
    <w:rsid w:val="00F8483C"/>
    <w:rsid w:val="00F84899"/>
    <w:rsid w:val="00F859F0"/>
    <w:rsid w:val="00F87141"/>
    <w:rsid w:val="00F907FC"/>
    <w:rsid w:val="00F90DB0"/>
    <w:rsid w:val="00F91287"/>
    <w:rsid w:val="00F91CA1"/>
    <w:rsid w:val="00F92D53"/>
    <w:rsid w:val="00F93250"/>
    <w:rsid w:val="00F94503"/>
    <w:rsid w:val="00F94805"/>
    <w:rsid w:val="00F94B44"/>
    <w:rsid w:val="00F95598"/>
    <w:rsid w:val="00F95FAB"/>
    <w:rsid w:val="00FA0BE5"/>
    <w:rsid w:val="00FA1420"/>
    <w:rsid w:val="00FA15DA"/>
    <w:rsid w:val="00FA1947"/>
    <w:rsid w:val="00FA28BF"/>
    <w:rsid w:val="00FA3221"/>
    <w:rsid w:val="00FA63A7"/>
    <w:rsid w:val="00FA6B54"/>
    <w:rsid w:val="00FB13BC"/>
    <w:rsid w:val="00FB48C5"/>
    <w:rsid w:val="00FB5E3B"/>
    <w:rsid w:val="00FC08AD"/>
    <w:rsid w:val="00FC16AE"/>
    <w:rsid w:val="00FC4AF7"/>
    <w:rsid w:val="00FC5EB6"/>
    <w:rsid w:val="00FD008C"/>
    <w:rsid w:val="00FD2088"/>
    <w:rsid w:val="00FD2829"/>
    <w:rsid w:val="00FD2EA3"/>
    <w:rsid w:val="00FD3F65"/>
    <w:rsid w:val="00FD461D"/>
    <w:rsid w:val="00FD46B4"/>
    <w:rsid w:val="00FD4AA4"/>
    <w:rsid w:val="00FD5F1B"/>
    <w:rsid w:val="00FD7084"/>
    <w:rsid w:val="00FD7D17"/>
    <w:rsid w:val="00FE07B7"/>
    <w:rsid w:val="00FE094E"/>
    <w:rsid w:val="00FE0B32"/>
    <w:rsid w:val="00FE141E"/>
    <w:rsid w:val="00FE1C75"/>
    <w:rsid w:val="00FE1E34"/>
    <w:rsid w:val="00FE38FF"/>
    <w:rsid w:val="00FE42ED"/>
    <w:rsid w:val="00FE4C26"/>
    <w:rsid w:val="00FE4EF2"/>
    <w:rsid w:val="00FE63C7"/>
    <w:rsid w:val="00FE759E"/>
    <w:rsid w:val="00FE7664"/>
    <w:rsid w:val="00FF1C68"/>
    <w:rsid w:val="00FF4164"/>
    <w:rsid w:val="00FF485B"/>
    <w:rsid w:val="00FF4CB9"/>
    <w:rsid w:val="00FF5E5E"/>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9E5"/>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paragraph" w:customStyle="1" w:styleId="Default">
    <w:name w:val="Default"/>
    <w:rsid w:val="000A5EF6"/>
    <w:pPr>
      <w:autoSpaceDE w:val="0"/>
      <w:autoSpaceDN w:val="0"/>
      <w:adjustRightInd w:val="0"/>
      <w:spacing w:before="0" w:after="0" w:line="240" w:lineRule="auto"/>
      <w:jc w:val="left"/>
    </w:pPr>
    <w:rPr>
      <w:rFonts w:ascii="Arial" w:hAnsi="Arial" w:cs="Arial"/>
      <w:color w:val="000000"/>
      <w:sz w:val="24"/>
      <w:szCs w:val="24"/>
    </w:rPr>
  </w:style>
  <w:style w:type="paragraph" w:customStyle="1" w:styleId="paragraph">
    <w:name w:val="paragraph"/>
    <w:basedOn w:val="Normal"/>
    <w:rsid w:val="000A5EF6"/>
    <w:pPr>
      <w:spacing w:before="100" w:beforeAutospacing="1" w:after="100" w:afterAutospacing="1"/>
    </w:pPr>
    <w:rPr>
      <w:lang w:eastAsia="es-CO"/>
    </w:rPr>
  </w:style>
  <w:style w:type="character" w:customStyle="1" w:styleId="normaltextrun">
    <w:name w:val="normaltextrun"/>
    <w:basedOn w:val="Fuentedeprrafopredeter"/>
    <w:rsid w:val="00F36B8B"/>
  </w:style>
  <w:style w:type="character" w:customStyle="1" w:styleId="eop">
    <w:name w:val="eop"/>
    <w:basedOn w:val="Fuentedeprrafopredeter"/>
    <w:rsid w:val="002E0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48120725">
      <w:bodyDiv w:val="1"/>
      <w:marLeft w:val="0"/>
      <w:marRight w:val="0"/>
      <w:marTop w:val="0"/>
      <w:marBottom w:val="0"/>
      <w:divBdr>
        <w:top w:val="none" w:sz="0" w:space="0" w:color="auto"/>
        <w:left w:val="none" w:sz="0" w:space="0" w:color="auto"/>
        <w:bottom w:val="none" w:sz="0" w:space="0" w:color="auto"/>
        <w:right w:val="none" w:sz="0" w:space="0" w:color="auto"/>
      </w:divBdr>
      <w:divsChild>
        <w:div w:id="1726371223">
          <w:marLeft w:val="0"/>
          <w:marRight w:val="0"/>
          <w:marTop w:val="0"/>
          <w:marBottom w:val="0"/>
          <w:divBdr>
            <w:top w:val="none" w:sz="0" w:space="0" w:color="auto"/>
            <w:left w:val="none" w:sz="0" w:space="0" w:color="auto"/>
            <w:bottom w:val="none" w:sz="0" w:space="0" w:color="auto"/>
            <w:right w:val="none" w:sz="0" w:space="0" w:color="auto"/>
          </w:divBdr>
        </w:div>
        <w:div w:id="573202674">
          <w:marLeft w:val="0"/>
          <w:marRight w:val="0"/>
          <w:marTop w:val="0"/>
          <w:marBottom w:val="0"/>
          <w:divBdr>
            <w:top w:val="none" w:sz="0" w:space="0" w:color="auto"/>
            <w:left w:val="none" w:sz="0" w:space="0" w:color="auto"/>
            <w:bottom w:val="none" w:sz="0" w:space="0" w:color="auto"/>
            <w:right w:val="none" w:sz="0" w:space="0" w:color="auto"/>
          </w:divBdr>
        </w:div>
        <w:div w:id="1027289974">
          <w:marLeft w:val="0"/>
          <w:marRight w:val="0"/>
          <w:marTop w:val="0"/>
          <w:marBottom w:val="0"/>
          <w:divBdr>
            <w:top w:val="none" w:sz="0" w:space="0" w:color="auto"/>
            <w:left w:val="none" w:sz="0" w:space="0" w:color="auto"/>
            <w:bottom w:val="none" w:sz="0" w:space="0" w:color="auto"/>
            <w:right w:val="none" w:sz="0" w:space="0" w:color="auto"/>
          </w:divBdr>
        </w:div>
        <w:div w:id="1116876450">
          <w:marLeft w:val="0"/>
          <w:marRight w:val="0"/>
          <w:marTop w:val="0"/>
          <w:marBottom w:val="0"/>
          <w:divBdr>
            <w:top w:val="none" w:sz="0" w:space="0" w:color="auto"/>
            <w:left w:val="none" w:sz="0" w:space="0" w:color="auto"/>
            <w:bottom w:val="none" w:sz="0" w:space="0" w:color="auto"/>
            <w:right w:val="none" w:sz="0" w:space="0" w:color="auto"/>
          </w:divBdr>
        </w:div>
        <w:div w:id="497383613">
          <w:marLeft w:val="0"/>
          <w:marRight w:val="0"/>
          <w:marTop w:val="0"/>
          <w:marBottom w:val="0"/>
          <w:divBdr>
            <w:top w:val="none" w:sz="0" w:space="0" w:color="auto"/>
            <w:left w:val="none" w:sz="0" w:space="0" w:color="auto"/>
            <w:bottom w:val="none" w:sz="0" w:space="0" w:color="auto"/>
            <w:right w:val="none" w:sz="0" w:space="0" w:color="auto"/>
          </w:divBdr>
        </w:div>
        <w:div w:id="383067181">
          <w:marLeft w:val="0"/>
          <w:marRight w:val="0"/>
          <w:marTop w:val="0"/>
          <w:marBottom w:val="0"/>
          <w:divBdr>
            <w:top w:val="none" w:sz="0" w:space="0" w:color="auto"/>
            <w:left w:val="none" w:sz="0" w:space="0" w:color="auto"/>
            <w:bottom w:val="none" w:sz="0" w:space="0" w:color="auto"/>
            <w:right w:val="none" w:sz="0" w:space="0" w:color="auto"/>
          </w:divBdr>
        </w:div>
        <w:div w:id="1930194795">
          <w:marLeft w:val="0"/>
          <w:marRight w:val="0"/>
          <w:marTop w:val="0"/>
          <w:marBottom w:val="0"/>
          <w:divBdr>
            <w:top w:val="none" w:sz="0" w:space="0" w:color="auto"/>
            <w:left w:val="none" w:sz="0" w:space="0" w:color="auto"/>
            <w:bottom w:val="none" w:sz="0" w:space="0" w:color="auto"/>
            <w:right w:val="none" w:sz="0" w:space="0" w:color="auto"/>
          </w:divBdr>
        </w:div>
        <w:div w:id="2010449610">
          <w:marLeft w:val="0"/>
          <w:marRight w:val="0"/>
          <w:marTop w:val="0"/>
          <w:marBottom w:val="0"/>
          <w:divBdr>
            <w:top w:val="none" w:sz="0" w:space="0" w:color="auto"/>
            <w:left w:val="none" w:sz="0" w:space="0" w:color="auto"/>
            <w:bottom w:val="none" w:sz="0" w:space="0" w:color="auto"/>
            <w:right w:val="none" w:sz="0" w:space="0" w:color="auto"/>
          </w:divBdr>
        </w:div>
        <w:div w:id="1801192312">
          <w:marLeft w:val="0"/>
          <w:marRight w:val="0"/>
          <w:marTop w:val="0"/>
          <w:marBottom w:val="0"/>
          <w:divBdr>
            <w:top w:val="none" w:sz="0" w:space="0" w:color="auto"/>
            <w:left w:val="none" w:sz="0" w:space="0" w:color="auto"/>
            <w:bottom w:val="none" w:sz="0" w:space="0" w:color="auto"/>
            <w:right w:val="none" w:sz="0" w:space="0" w:color="auto"/>
          </w:divBdr>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1519855">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59079806">
      <w:bodyDiv w:val="1"/>
      <w:marLeft w:val="0"/>
      <w:marRight w:val="0"/>
      <w:marTop w:val="0"/>
      <w:marBottom w:val="0"/>
      <w:divBdr>
        <w:top w:val="none" w:sz="0" w:space="0" w:color="auto"/>
        <w:left w:val="none" w:sz="0" w:space="0" w:color="auto"/>
        <w:bottom w:val="none" w:sz="0" w:space="0" w:color="auto"/>
        <w:right w:val="none" w:sz="0" w:space="0" w:color="auto"/>
      </w:divBdr>
      <w:divsChild>
        <w:div w:id="314376255">
          <w:marLeft w:val="0"/>
          <w:marRight w:val="0"/>
          <w:marTop w:val="0"/>
          <w:marBottom w:val="0"/>
          <w:divBdr>
            <w:top w:val="none" w:sz="0" w:space="0" w:color="auto"/>
            <w:left w:val="none" w:sz="0" w:space="0" w:color="auto"/>
            <w:bottom w:val="none" w:sz="0" w:space="0" w:color="auto"/>
            <w:right w:val="none" w:sz="0" w:space="0" w:color="auto"/>
          </w:divBdr>
        </w:div>
        <w:div w:id="2142914635">
          <w:marLeft w:val="0"/>
          <w:marRight w:val="0"/>
          <w:marTop w:val="0"/>
          <w:marBottom w:val="0"/>
          <w:divBdr>
            <w:top w:val="none" w:sz="0" w:space="0" w:color="auto"/>
            <w:left w:val="none" w:sz="0" w:space="0" w:color="auto"/>
            <w:bottom w:val="none" w:sz="0" w:space="0" w:color="auto"/>
            <w:right w:val="none" w:sz="0" w:space="0" w:color="auto"/>
          </w:divBdr>
        </w:div>
        <w:div w:id="23873468">
          <w:marLeft w:val="0"/>
          <w:marRight w:val="0"/>
          <w:marTop w:val="0"/>
          <w:marBottom w:val="0"/>
          <w:divBdr>
            <w:top w:val="none" w:sz="0" w:space="0" w:color="auto"/>
            <w:left w:val="none" w:sz="0" w:space="0" w:color="auto"/>
            <w:bottom w:val="none" w:sz="0" w:space="0" w:color="auto"/>
            <w:right w:val="none" w:sz="0" w:space="0" w:color="auto"/>
          </w:divBdr>
        </w:div>
        <w:div w:id="28727000">
          <w:marLeft w:val="0"/>
          <w:marRight w:val="0"/>
          <w:marTop w:val="0"/>
          <w:marBottom w:val="0"/>
          <w:divBdr>
            <w:top w:val="none" w:sz="0" w:space="0" w:color="auto"/>
            <w:left w:val="none" w:sz="0" w:space="0" w:color="auto"/>
            <w:bottom w:val="none" w:sz="0" w:space="0" w:color="auto"/>
            <w:right w:val="none" w:sz="0" w:space="0" w:color="auto"/>
          </w:divBdr>
        </w:div>
        <w:div w:id="810170373">
          <w:marLeft w:val="0"/>
          <w:marRight w:val="0"/>
          <w:marTop w:val="0"/>
          <w:marBottom w:val="0"/>
          <w:divBdr>
            <w:top w:val="none" w:sz="0" w:space="0" w:color="auto"/>
            <w:left w:val="none" w:sz="0" w:space="0" w:color="auto"/>
            <w:bottom w:val="none" w:sz="0" w:space="0" w:color="auto"/>
            <w:right w:val="none" w:sz="0" w:space="0" w:color="auto"/>
          </w:divBdr>
        </w:div>
        <w:div w:id="789937932">
          <w:marLeft w:val="0"/>
          <w:marRight w:val="0"/>
          <w:marTop w:val="0"/>
          <w:marBottom w:val="0"/>
          <w:divBdr>
            <w:top w:val="none" w:sz="0" w:space="0" w:color="auto"/>
            <w:left w:val="none" w:sz="0" w:space="0" w:color="auto"/>
            <w:bottom w:val="none" w:sz="0" w:space="0" w:color="auto"/>
            <w:right w:val="none" w:sz="0" w:space="0" w:color="auto"/>
          </w:divBdr>
        </w:div>
        <w:div w:id="432824493">
          <w:marLeft w:val="0"/>
          <w:marRight w:val="0"/>
          <w:marTop w:val="0"/>
          <w:marBottom w:val="0"/>
          <w:divBdr>
            <w:top w:val="none" w:sz="0" w:space="0" w:color="auto"/>
            <w:left w:val="none" w:sz="0" w:space="0" w:color="auto"/>
            <w:bottom w:val="none" w:sz="0" w:space="0" w:color="auto"/>
            <w:right w:val="none" w:sz="0" w:space="0" w:color="auto"/>
          </w:divBdr>
        </w:div>
        <w:div w:id="2093549361">
          <w:marLeft w:val="0"/>
          <w:marRight w:val="0"/>
          <w:marTop w:val="0"/>
          <w:marBottom w:val="0"/>
          <w:divBdr>
            <w:top w:val="none" w:sz="0" w:space="0" w:color="auto"/>
            <w:left w:val="none" w:sz="0" w:space="0" w:color="auto"/>
            <w:bottom w:val="none" w:sz="0" w:space="0" w:color="auto"/>
            <w:right w:val="none" w:sz="0" w:space="0" w:color="auto"/>
          </w:divBdr>
        </w:div>
        <w:div w:id="2054117922">
          <w:marLeft w:val="0"/>
          <w:marRight w:val="0"/>
          <w:marTop w:val="0"/>
          <w:marBottom w:val="0"/>
          <w:divBdr>
            <w:top w:val="none" w:sz="0" w:space="0" w:color="auto"/>
            <w:left w:val="none" w:sz="0" w:space="0" w:color="auto"/>
            <w:bottom w:val="none" w:sz="0" w:space="0" w:color="auto"/>
            <w:right w:val="none" w:sz="0" w:space="0" w:color="auto"/>
          </w:divBdr>
        </w:div>
      </w:divsChild>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03643086">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A4EF1F-67DA-46DB-B079-64C0C8F79909}">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41FC1479-62EE-4FE9-AFCD-375484206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18</Pages>
  <Words>6812</Words>
  <Characters>37471</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2022-07-26T12:42:00Z</dcterms:created>
  <dcterms:modified xsi:type="dcterms:W3CDTF">2022-07-26T12:42:00Z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