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66B3D" w14:textId="77777777" w:rsidR="001E0C9C" w:rsidRPr="00F60F45" w:rsidRDefault="001E0C9C" w:rsidP="001E0C9C">
      <w:pPr>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315049">
        <w:rPr>
          <w:rFonts w:ascii="Arial" w:hAnsi="Arial" w:cs="Arial"/>
          <w:b/>
          <w:color w:val="000000" w:themeColor="text1"/>
          <w:sz w:val="16"/>
          <w:szCs w:val="16"/>
          <w:lang w:eastAsia="es-ES"/>
        </w:rPr>
        <w:tab/>
      </w:r>
      <w:r w:rsidRPr="00F60F45">
        <w:rPr>
          <w:rFonts w:ascii="Arial" w:hAnsi="Arial" w:cs="Arial"/>
          <w:b/>
          <w:color w:val="000000" w:themeColor="text1"/>
          <w:sz w:val="16"/>
          <w:szCs w:val="16"/>
          <w:lang w:eastAsia="es-ES"/>
        </w:rPr>
        <w:t>CCE-DES-FM-17</w:t>
      </w:r>
    </w:p>
    <w:p w14:paraId="103CD7D5" w14:textId="77777777" w:rsidR="001E0C9C" w:rsidRPr="008853DE" w:rsidRDefault="001E0C9C" w:rsidP="001E0C9C">
      <w:pPr>
        <w:jc w:val="both"/>
        <w:rPr>
          <w:rFonts w:ascii="Arial" w:eastAsia="Calibri" w:hAnsi="Arial" w:cs="Arial"/>
          <w:b/>
          <w:color w:val="000000" w:themeColor="text1"/>
          <w:sz w:val="20"/>
          <w:szCs w:val="20"/>
        </w:rPr>
      </w:pPr>
    </w:p>
    <w:p w14:paraId="0930C399" w14:textId="77777777" w:rsidR="001E0C9C" w:rsidRPr="008853DE" w:rsidRDefault="001E0C9C" w:rsidP="001E0C9C">
      <w:pPr>
        <w:jc w:val="both"/>
        <w:rPr>
          <w:rFonts w:ascii="Arial" w:eastAsia="Calibri" w:hAnsi="Arial" w:cs="Arial"/>
          <w:b/>
          <w:i/>
          <w:iCs/>
          <w:color w:val="000000" w:themeColor="text1"/>
          <w:sz w:val="22"/>
        </w:rPr>
      </w:pPr>
      <w:r w:rsidRPr="008853DE">
        <w:rPr>
          <w:rFonts w:ascii="Arial" w:eastAsia="Calibri" w:hAnsi="Arial" w:cs="Arial"/>
          <w:b/>
          <w:color w:val="000000" w:themeColor="text1"/>
          <w:sz w:val="22"/>
        </w:rPr>
        <w:t xml:space="preserve">CLÁUSULAS EXCEPCIONALES – Multas – Cláusula penal – </w:t>
      </w:r>
      <w:r w:rsidRPr="008853DE">
        <w:rPr>
          <w:rFonts w:ascii="Arial" w:eastAsia="Calibri" w:hAnsi="Arial" w:cs="Arial"/>
          <w:b/>
          <w:i/>
          <w:iCs/>
          <w:color w:val="000000" w:themeColor="text1"/>
          <w:sz w:val="22"/>
        </w:rPr>
        <w:t>Imposición unilateral</w:t>
      </w:r>
    </w:p>
    <w:p w14:paraId="2ECC876B" w14:textId="77777777" w:rsidR="001E0C9C" w:rsidRPr="008853DE" w:rsidRDefault="001E0C9C" w:rsidP="001E0C9C">
      <w:pPr>
        <w:jc w:val="both"/>
        <w:rPr>
          <w:rFonts w:ascii="Arial" w:eastAsia="Calibri" w:hAnsi="Arial" w:cs="Arial"/>
          <w:b/>
          <w:color w:val="000000" w:themeColor="text1"/>
          <w:sz w:val="22"/>
        </w:rPr>
      </w:pPr>
    </w:p>
    <w:p w14:paraId="7773EE9B" w14:textId="77777777" w:rsidR="001E0C9C" w:rsidRPr="008853DE" w:rsidRDefault="001E0C9C" w:rsidP="001E0C9C">
      <w:pPr>
        <w:jc w:val="both"/>
        <w:rPr>
          <w:rFonts w:ascii="Arial" w:eastAsia="Calibri" w:hAnsi="Arial" w:cs="Arial"/>
          <w:color w:val="000000" w:themeColor="text1"/>
          <w:sz w:val="20"/>
          <w:szCs w:val="20"/>
        </w:rPr>
      </w:pPr>
      <w:r w:rsidRPr="00C84C21">
        <w:rPr>
          <w:rFonts w:ascii="Arial" w:eastAsia="Calibri" w:hAnsi="Arial" w:cs="Arial"/>
          <w:color w:val="000000" w:themeColor="text1"/>
          <w:sz w:val="20"/>
          <w:szCs w:val="20"/>
        </w:rPr>
        <w:t>El último grupo de potestades excepcionales –</w:t>
      </w:r>
      <w:r w:rsidRPr="00C84C21">
        <w:rPr>
          <w:rFonts w:ascii="Arial" w:eastAsia="Calibri" w:hAnsi="Arial" w:cs="Arial"/>
          <w:i/>
          <w:iCs/>
          <w:color w:val="000000" w:themeColor="text1"/>
          <w:sz w:val="20"/>
          <w:szCs w:val="20"/>
        </w:rPr>
        <w:t>imposición unilateral</w:t>
      </w:r>
      <w:r w:rsidRPr="00C84C21">
        <w:rPr>
          <w:rFonts w:ascii="Arial" w:eastAsia="Calibri" w:hAnsi="Arial" w:cs="Arial"/>
          <w:color w:val="000000" w:themeColor="text1"/>
          <w:sz w:val="20"/>
          <w:szCs w:val="20"/>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3595AF3D" w14:textId="77777777" w:rsidR="001E0C9C" w:rsidRPr="008853DE" w:rsidRDefault="001E0C9C" w:rsidP="001E0C9C">
      <w:pPr>
        <w:jc w:val="both"/>
        <w:rPr>
          <w:rFonts w:ascii="Arial" w:eastAsia="Calibri" w:hAnsi="Arial" w:cs="Arial"/>
          <w:color w:val="000000" w:themeColor="text1"/>
          <w:sz w:val="20"/>
          <w:szCs w:val="20"/>
        </w:rPr>
      </w:pPr>
    </w:p>
    <w:p w14:paraId="4A70859C" w14:textId="77777777" w:rsidR="001E0C9C" w:rsidRPr="008853DE" w:rsidRDefault="001E0C9C" w:rsidP="001E0C9C">
      <w:pPr>
        <w:jc w:val="both"/>
        <w:rPr>
          <w:rFonts w:ascii="Arial" w:eastAsia="Calibri" w:hAnsi="Arial" w:cs="Arial"/>
          <w:b/>
          <w:bCs/>
          <w:color w:val="000000" w:themeColor="text1"/>
          <w:sz w:val="22"/>
        </w:rPr>
      </w:pPr>
      <w:r w:rsidRPr="008853DE">
        <w:rPr>
          <w:rFonts w:ascii="Arial" w:eastAsia="Calibri" w:hAnsi="Arial" w:cs="Arial"/>
          <w:b/>
          <w:bCs/>
          <w:color w:val="000000" w:themeColor="text1"/>
          <w:sz w:val="22"/>
        </w:rPr>
        <w:t xml:space="preserve">PROCEDIMIENTO SANCIONATORIO CONTRACTUAL – Etapas – trámite </w:t>
      </w:r>
    </w:p>
    <w:p w14:paraId="59C29254" w14:textId="77777777" w:rsidR="001E0C9C" w:rsidRPr="008853DE" w:rsidRDefault="001E0C9C" w:rsidP="001E0C9C">
      <w:pPr>
        <w:jc w:val="both"/>
        <w:rPr>
          <w:rFonts w:ascii="Arial" w:eastAsia="Calibri" w:hAnsi="Arial" w:cs="Arial"/>
          <w:color w:val="000000" w:themeColor="text1"/>
          <w:sz w:val="22"/>
        </w:rPr>
      </w:pPr>
    </w:p>
    <w:p w14:paraId="1874867F" w14:textId="77777777" w:rsidR="001E0C9C" w:rsidRPr="008853DE" w:rsidRDefault="001E0C9C" w:rsidP="001E0C9C">
      <w:pPr>
        <w:ind w:right="142"/>
        <w:jc w:val="both"/>
        <w:rPr>
          <w:rFonts w:ascii="Arial" w:hAnsi="Arial" w:cs="Arial"/>
          <w:iCs/>
          <w:color w:val="000000" w:themeColor="text1"/>
          <w:sz w:val="20"/>
          <w:szCs w:val="20"/>
        </w:rPr>
      </w:pPr>
      <w:r w:rsidRPr="008853DE">
        <w:rPr>
          <w:rFonts w:ascii="Arial" w:hAnsi="Arial" w:cs="Arial"/>
          <w:iCs/>
          <w:color w:val="000000" w:themeColor="text1"/>
          <w:sz w:val="20"/>
          <w:szCs w:val="20"/>
        </w:rPr>
        <w:t>Igualmente, la Ley 1474 de 2011 contempla la posibilidad de declarar el incumplimiento cuantificando los perjuicios del mismo, claro está, previa citación del contratista y respetando el debido proceso. Al respecto, el artículo 86 de la Ley 1474 de 2011 establece las etapas del procedimiento que se deben seguir:  i) c</w:t>
      </w:r>
      <w:r w:rsidRPr="008853DE">
        <w:rPr>
          <w:rFonts w:ascii="Arial" w:hAnsi="Arial" w:cs="Arial"/>
          <w:i/>
          <w:iCs/>
          <w:color w:val="000000" w:themeColor="text1"/>
          <w:sz w:val="20"/>
          <w:szCs w:val="20"/>
        </w:rPr>
        <w:t>itación a audiencia</w:t>
      </w:r>
      <w:r w:rsidRPr="008853DE">
        <w:rPr>
          <w:rFonts w:ascii="Arial" w:hAnsi="Arial" w:cs="Arial"/>
          <w:iCs/>
          <w:color w:val="000000" w:themeColor="text1"/>
          <w:sz w:val="20"/>
          <w:szCs w:val="20"/>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ii) </w:t>
      </w:r>
      <w:r w:rsidRPr="008853DE">
        <w:rPr>
          <w:rFonts w:ascii="Arial" w:hAnsi="Arial" w:cs="Arial"/>
          <w:i/>
          <w:iCs/>
          <w:color w:val="000000" w:themeColor="text1"/>
          <w:sz w:val="20"/>
          <w:szCs w:val="20"/>
        </w:rPr>
        <w:t>Audiencia</w:t>
      </w:r>
      <w:r w:rsidRPr="008853DE">
        <w:rPr>
          <w:rFonts w:ascii="Arial" w:hAnsi="Arial" w:cs="Arial"/>
          <w:iCs/>
          <w:color w:val="000000" w:themeColor="text1"/>
          <w:sz w:val="20"/>
          <w:szCs w:val="20"/>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8853DE">
        <w:rPr>
          <w:rFonts w:ascii="Arial" w:hAnsi="Arial" w:cs="Arial"/>
          <w:i/>
          <w:iCs/>
          <w:color w:val="000000" w:themeColor="text1"/>
          <w:sz w:val="20"/>
          <w:szCs w:val="20"/>
        </w:rPr>
        <w:t>Decisión</w:t>
      </w:r>
      <w:r w:rsidRPr="008853DE">
        <w:rPr>
          <w:rFonts w:ascii="Arial" w:hAnsi="Arial" w:cs="Arial"/>
          <w:iCs/>
          <w:color w:val="000000" w:themeColor="text1"/>
          <w:sz w:val="20"/>
          <w:szCs w:val="20"/>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495871C8" w14:textId="77777777" w:rsidR="001E0C9C" w:rsidRPr="008853DE" w:rsidRDefault="001E0C9C" w:rsidP="001E0C9C">
      <w:pPr>
        <w:ind w:right="142"/>
        <w:jc w:val="both"/>
        <w:rPr>
          <w:rFonts w:ascii="Arial" w:hAnsi="Arial" w:cs="Arial"/>
          <w:iCs/>
          <w:color w:val="000000" w:themeColor="text1"/>
          <w:sz w:val="20"/>
          <w:szCs w:val="20"/>
        </w:rPr>
      </w:pPr>
    </w:p>
    <w:p w14:paraId="6111CF9C" w14:textId="77777777" w:rsidR="001E0C9C" w:rsidRPr="008853DE" w:rsidRDefault="001E0C9C" w:rsidP="001E0C9C">
      <w:pPr>
        <w:ind w:right="142"/>
        <w:jc w:val="both"/>
        <w:rPr>
          <w:rFonts w:ascii="Arial" w:hAnsi="Arial" w:cs="Arial"/>
          <w:b/>
          <w:bCs/>
          <w:iCs/>
          <w:color w:val="000000" w:themeColor="text1"/>
          <w:sz w:val="22"/>
        </w:rPr>
      </w:pPr>
      <w:r w:rsidRPr="008853DE">
        <w:rPr>
          <w:rFonts w:ascii="Arial" w:hAnsi="Arial" w:cs="Arial"/>
          <w:b/>
          <w:bCs/>
          <w:iCs/>
          <w:color w:val="000000" w:themeColor="text1"/>
          <w:sz w:val="22"/>
        </w:rPr>
        <w:t xml:space="preserve">PROCEDIMIENTO SANCIONATORIO CONTRACTUAL – Inaplicación – Entidades de régimen especial </w:t>
      </w:r>
    </w:p>
    <w:p w14:paraId="0356783B" w14:textId="77777777" w:rsidR="001E0C9C" w:rsidRPr="008853DE" w:rsidRDefault="001E0C9C" w:rsidP="001E0C9C">
      <w:pPr>
        <w:jc w:val="both"/>
        <w:rPr>
          <w:rFonts w:ascii="Arial" w:eastAsia="Calibri" w:hAnsi="Arial" w:cs="Arial"/>
          <w:bCs/>
          <w:color w:val="000000" w:themeColor="text1"/>
          <w:sz w:val="22"/>
        </w:rPr>
      </w:pPr>
    </w:p>
    <w:p w14:paraId="274F19C5" w14:textId="77777777" w:rsidR="001E0C9C" w:rsidRPr="008853DE" w:rsidRDefault="001E0C9C" w:rsidP="001E0C9C">
      <w:pPr>
        <w:jc w:val="both"/>
        <w:rPr>
          <w:rFonts w:ascii="Arial" w:eastAsia="Calibri" w:hAnsi="Arial" w:cs="Arial"/>
          <w:bCs/>
          <w:color w:val="000000" w:themeColor="text1"/>
          <w:sz w:val="20"/>
          <w:szCs w:val="20"/>
        </w:rPr>
      </w:pPr>
      <w:r w:rsidRPr="008853DE">
        <w:rPr>
          <w:rFonts w:ascii="Arial" w:hAnsi="Arial" w:cs="Arial"/>
          <w:iCs/>
          <w:color w:val="000000" w:themeColor="text1"/>
          <w:sz w:val="20"/>
          <w:szCs w:val="20"/>
        </w:rPr>
        <w:t xml:space="preserve">[…] </w:t>
      </w:r>
      <w:r w:rsidRPr="00C84C21">
        <w:rPr>
          <w:rFonts w:ascii="Arial" w:hAnsi="Arial" w:cs="Arial"/>
          <w:iCs/>
          <w:color w:val="000000" w:themeColor="text1"/>
          <w:sz w:val="20"/>
          <w:szCs w:val="20"/>
        </w:rPr>
        <w:t xml:space="preserve">el artículo 86 de la Ley 1474 de 2011 regula un procedimiento administrativo sancionatorio dirigido a sujetos específicos: las entidades sometidas al Estatuto General de Contratación de la Administración Pública. De ahí que las entidades de </w:t>
      </w:r>
      <w:r w:rsidRPr="00C84C21">
        <w:rPr>
          <w:rFonts w:ascii="Arial" w:hAnsi="Arial" w:cs="Arial"/>
          <w:i/>
          <w:color w:val="000000" w:themeColor="text1"/>
          <w:sz w:val="20"/>
          <w:szCs w:val="20"/>
        </w:rPr>
        <w:t>régimen especial</w:t>
      </w:r>
      <w:r w:rsidRPr="00C84C21">
        <w:rPr>
          <w:rFonts w:ascii="Arial" w:hAnsi="Arial" w:cs="Arial"/>
          <w:iCs/>
          <w:color w:val="000000" w:themeColor="text1"/>
          <w:sz w:val="20"/>
          <w:szCs w:val="20"/>
        </w:rPr>
        <w:t xml:space="preserve"> en materia contractual no pueden aplicar el procedimiento administrativo sancionatorio regulado en el artículo 86 de la Ley 1474 de 2011, al no ser entidades sometidas al EGCAP, sino, por el contrario, entidades exceptuadas de este</w:t>
      </w:r>
      <w:r>
        <w:rPr>
          <w:rFonts w:ascii="Arial" w:hAnsi="Arial" w:cs="Arial"/>
          <w:iCs/>
          <w:color w:val="000000" w:themeColor="text1"/>
          <w:sz w:val="20"/>
          <w:szCs w:val="20"/>
        </w:rPr>
        <w:t>.</w:t>
      </w:r>
    </w:p>
    <w:p w14:paraId="209C6619" w14:textId="77777777" w:rsidR="001E0C9C" w:rsidRPr="008853DE" w:rsidRDefault="001E0C9C" w:rsidP="001E0C9C">
      <w:pPr>
        <w:jc w:val="both"/>
        <w:rPr>
          <w:rFonts w:ascii="Arial" w:eastAsia="Calibri" w:hAnsi="Arial" w:cs="Arial"/>
          <w:bCs/>
          <w:color w:val="000000" w:themeColor="text1"/>
          <w:sz w:val="22"/>
        </w:rPr>
      </w:pPr>
    </w:p>
    <w:p w14:paraId="2B058428" w14:textId="74C9BD72" w:rsidR="001E0C9C" w:rsidRPr="008853DE" w:rsidRDefault="001E0C9C" w:rsidP="001E0C9C">
      <w:pPr>
        <w:jc w:val="both"/>
        <w:rPr>
          <w:rFonts w:ascii="Arial" w:eastAsia="Calibri" w:hAnsi="Arial" w:cs="Arial"/>
          <w:b/>
          <w:color w:val="000000" w:themeColor="text1"/>
          <w:sz w:val="22"/>
        </w:rPr>
      </w:pPr>
      <w:r w:rsidRPr="008853DE">
        <w:rPr>
          <w:rFonts w:ascii="Arial" w:eastAsia="Calibri" w:hAnsi="Arial" w:cs="Arial"/>
          <w:b/>
          <w:color w:val="000000" w:themeColor="text1"/>
          <w:sz w:val="22"/>
        </w:rPr>
        <w:t xml:space="preserve">CLÁUSULAS PENALES Y MULTAS – </w:t>
      </w:r>
      <w:r>
        <w:rPr>
          <w:rFonts w:ascii="Arial" w:eastAsia="Calibri" w:hAnsi="Arial" w:cs="Arial"/>
          <w:b/>
          <w:color w:val="000000" w:themeColor="text1"/>
          <w:sz w:val="22"/>
        </w:rPr>
        <w:t xml:space="preserve">Imposición unilateral – </w:t>
      </w:r>
      <w:r w:rsidRPr="008853DE">
        <w:rPr>
          <w:rFonts w:ascii="Arial" w:eastAsia="Calibri" w:hAnsi="Arial" w:cs="Arial"/>
          <w:b/>
          <w:color w:val="000000" w:themeColor="text1"/>
          <w:sz w:val="22"/>
        </w:rPr>
        <w:t xml:space="preserve">Proporcionalidad – Régimen jurídico </w:t>
      </w:r>
      <w:r>
        <w:rPr>
          <w:rFonts w:ascii="Arial" w:eastAsia="Calibri" w:hAnsi="Arial" w:cs="Arial"/>
          <w:b/>
          <w:color w:val="000000" w:themeColor="text1"/>
          <w:sz w:val="22"/>
        </w:rPr>
        <w:t>– Derecho privado</w:t>
      </w:r>
      <w:r w:rsidR="00D84C5E">
        <w:rPr>
          <w:rFonts w:ascii="Arial" w:eastAsia="Calibri" w:hAnsi="Arial" w:cs="Arial"/>
          <w:b/>
          <w:color w:val="000000" w:themeColor="text1"/>
          <w:sz w:val="22"/>
        </w:rPr>
        <w:t xml:space="preserve"> ‒ Ley 1437 de 2011</w:t>
      </w:r>
      <w:bookmarkStart w:id="3" w:name="_GoBack"/>
      <w:bookmarkEnd w:id="3"/>
    </w:p>
    <w:p w14:paraId="0DABB96B" w14:textId="77777777" w:rsidR="001E0C9C" w:rsidRPr="008853DE" w:rsidRDefault="001E0C9C" w:rsidP="001E0C9C">
      <w:pPr>
        <w:jc w:val="both"/>
        <w:rPr>
          <w:rFonts w:ascii="Arial" w:eastAsia="Calibri" w:hAnsi="Arial" w:cs="Arial"/>
          <w:bCs/>
          <w:color w:val="000000" w:themeColor="text1"/>
          <w:sz w:val="22"/>
        </w:rPr>
      </w:pPr>
    </w:p>
    <w:p w14:paraId="0FF4EAE8" w14:textId="77777777" w:rsidR="001E0C9C" w:rsidRPr="005713B3" w:rsidRDefault="001E0C9C" w:rsidP="001E0C9C">
      <w:pPr>
        <w:spacing w:after="120"/>
        <w:jc w:val="both"/>
        <w:rPr>
          <w:rFonts w:ascii="Arial" w:hAnsi="Arial" w:cs="Arial"/>
          <w:iCs/>
          <w:color w:val="000000" w:themeColor="text1"/>
          <w:sz w:val="20"/>
          <w:szCs w:val="20"/>
          <w:lang w:val="es-ES_tradnl"/>
        </w:rPr>
      </w:pPr>
      <w:r w:rsidRPr="005713B3">
        <w:rPr>
          <w:rFonts w:ascii="Arial" w:hAnsi="Arial" w:cs="Arial"/>
          <w:iCs/>
          <w:color w:val="000000" w:themeColor="text1"/>
          <w:sz w:val="20"/>
          <w:szCs w:val="20"/>
          <w:lang w:val="es-ES_tradnl"/>
        </w:rPr>
        <w:lastRenderedPageBreak/>
        <w:t xml:space="preserve">[…] Frente a la </w:t>
      </w:r>
      <w:r w:rsidRPr="005713B3">
        <w:rPr>
          <w:rFonts w:ascii="Arial" w:hAnsi="Arial" w:cs="Arial"/>
          <w:i/>
          <w:color w:val="000000" w:themeColor="text1"/>
          <w:sz w:val="20"/>
          <w:szCs w:val="20"/>
          <w:lang w:val="es-ES_tradnl"/>
        </w:rPr>
        <w:t xml:space="preserve">imposición unilateral </w:t>
      </w:r>
      <w:r w:rsidRPr="005713B3">
        <w:rPr>
          <w:rFonts w:ascii="Arial" w:hAnsi="Arial" w:cs="Arial"/>
          <w:iCs/>
          <w:color w:val="000000" w:themeColor="text1"/>
          <w:sz w:val="20"/>
          <w:szCs w:val="20"/>
          <w:lang w:val="es-ES_tradnl"/>
        </w:rPr>
        <w:t>de las cláusulas penales y de multas, en relación con la graduación de las sanciones en los procedimientos administrativos sancionatorios contractuales, cabe destacar el artículo 50 de la Ley 1437 de 2011 –en adelante, también, CPACA–, norma que contiene «criterios de graduación de las 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que, a su vez, se sustenta en el parágrafo del artículo 47 del CPACA que establece, en relación con el procedimiento administrativo sancionatorio general, que: «Las actuaciones administrativas contractuales sancionatorias, incluyendo los recursos, se regirán por lo dispuesto en las normas especiales sobre la materia». De modo que en relación con este aspecto concreto, al existir regulación especial en otras leyes, se deben aplicar dichos criterios de proporcionalidad.</w:t>
      </w:r>
    </w:p>
    <w:p w14:paraId="41E48020" w14:textId="77777777" w:rsidR="001E0C9C" w:rsidRPr="005713B3" w:rsidRDefault="001E0C9C" w:rsidP="001E0C9C">
      <w:pPr>
        <w:jc w:val="both"/>
        <w:rPr>
          <w:rFonts w:ascii="Arial" w:eastAsia="Calibri" w:hAnsi="Arial" w:cs="Arial"/>
          <w:bCs/>
          <w:color w:val="000000" w:themeColor="text1"/>
          <w:sz w:val="20"/>
          <w:szCs w:val="20"/>
        </w:rPr>
      </w:pPr>
      <w:r w:rsidRPr="005713B3">
        <w:rPr>
          <w:rFonts w:ascii="Arial" w:hAnsi="Arial" w:cs="Arial"/>
          <w:iCs/>
          <w:color w:val="000000" w:themeColor="text1"/>
          <w:sz w:val="20"/>
          <w:szCs w:val="20"/>
          <w:lang w:val="es-ES_tradnl"/>
        </w:rPr>
        <w:t xml:space="preserve">En efecto, en el procedimiento sancionatorio contractual las entidades estatales deben actuar de acuerdo con el principio de proporcionalidad para «graduar las sanciones».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 y que complementan dicho estatuto contractual; de manera que, en relación con el principio de proporcionalidad y la graduación de las sanciones, resulta especialmente relevante destacar los artículos 1596 del Código Civil y 867 del Código de Comercio, los cuales contienen los parámetros para tasar el monto de las </w:t>
      </w:r>
      <w:r w:rsidRPr="005713B3">
        <w:rPr>
          <w:rFonts w:ascii="Arial" w:hAnsi="Arial" w:cs="Arial"/>
          <w:i/>
          <w:color w:val="000000" w:themeColor="text1"/>
          <w:sz w:val="20"/>
          <w:szCs w:val="20"/>
          <w:lang w:val="es-ES_tradnl"/>
        </w:rPr>
        <w:t xml:space="preserve">penas </w:t>
      </w:r>
      <w:r w:rsidRPr="005713B3">
        <w:rPr>
          <w:rFonts w:ascii="Arial" w:hAnsi="Arial" w:cs="Arial"/>
          <w:iCs/>
          <w:color w:val="000000" w:themeColor="text1"/>
          <w:sz w:val="20"/>
          <w:szCs w:val="20"/>
          <w:lang w:val="es-ES_tradnl"/>
        </w:rPr>
        <w:t>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w:t>
      </w:r>
    </w:p>
    <w:p w14:paraId="76142E27" w14:textId="77777777" w:rsidR="001E0C9C" w:rsidRPr="008853DE" w:rsidRDefault="001E0C9C" w:rsidP="001E0C9C">
      <w:pPr>
        <w:jc w:val="both"/>
        <w:rPr>
          <w:rFonts w:ascii="Arial" w:eastAsia="Calibri" w:hAnsi="Arial" w:cs="Arial"/>
          <w:bCs/>
          <w:color w:val="000000" w:themeColor="text1"/>
          <w:sz w:val="22"/>
        </w:rPr>
      </w:pPr>
    </w:p>
    <w:p w14:paraId="7F3B88E6" w14:textId="6B3BDAA8" w:rsidR="001E0C9C" w:rsidRPr="008853DE" w:rsidRDefault="001E0C9C" w:rsidP="001E0C9C">
      <w:pPr>
        <w:jc w:val="both"/>
        <w:rPr>
          <w:rFonts w:ascii="Arial" w:eastAsia="Calibri" w:hAnsi="Arial" w:cs="Arial"/>
          <w:b/>
          <w:color w:val="000000" w:themeColor="text1"/>
          <w:sz w:val="22"/>
        </w:rPr>
      </w:pPr>
      <w:r w:rsidRPr="008853DE">
        <w:rPr>
          <w:rFonts w:ascii="Arial" w:eastAsia="Calibri" w:hAnsi="Arial" w:cs="Arial"/>
          <w:b/>
          <w:color w:val="000000" w:themeColor="text1"/>
          <w:sz w:val="22"/>
        </w:rPr>
        <w:t>PROCEDIMIENTO SANCIONATORIO CONTRACTUAL – Terminación – Cesación de la situación de incumplimiento – Potestad discrecional</w:t>
      </w:r>
      <w:r>
        <w:rPr>
          <w:rFonts w:ascii="Arial" w:eastAsia="Calibri" w:hAnsi="Arial" w:cs="Arial"/>
          <w:b/>
          <w:color w:val="000000" w:themeColor="text1"/>
          <w:sz w:val="22"/>
        </w:rPr>
        <w:t xml:space="preserve"> – Artículo 86 </w:t>
      </w:r>
      <w:r w:rsidR="002433EC">
        <w:rPr>
          <w:rFonts w:ascii="Arial" w:eastAsia="Calibri" w:hAnsi="Arial" w:cs="Arial"/>
          <w:b/>
          <w:color w:val="000000" w:themeColor="text1"/>
          <w:sz w:val="22"/>
        </w:rPr>
        <w:t xml:space="preserve">– </w:t>
      </w:r>
      <w:r>
        <w:rPr>
          <w:rFonts w:ascii="Arial" w:eastAsia="Calibri" w:hAnsi="Arial" w:cs="Arial"/>
          <w:b/>
          <w:color w:val="000000" w:themeColor="text1"/>
          <w:sz w:val="22"/>
        </w:rPr>
        <w:t>Ley 1474 de 2011</w:t>
      </w:r>
    </w:p>
    <w:p w14:paraId="29FFCDC7" w14:textId="77777777" w:rsidR="001E0C9C" w:rsidRPr="008853DE" w:rsidRDefault="001E0C9C" w:rsidP="001E0C9C">
      <w:pPr>
        <w:jc w:val="both"/>
        <w:rPr>
          <w:rFonts w:ascii="Arial" w:eastAsia="Calibri" w:hAnsi="Arial" w:cs="Arial"/>
          <w:b/>
          <w:color w:val="000000" w:themeColor="text1"/>
          <w:sz w:val="22"/>
        </w:rPr>
      </w:pPr>
    </w:p>
    <w:p w14:paraId="55860643" w14:textId="77777777" w:rsidR="001E0C9C" w:rsidRPr="008853DE" w:rsidRDefault="001E0C9C" w:rsidP="001E0C9C">
      <w:pPr>
        <w:spacing w:after="120"/>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En relación con este literal</w:t>
      </w:r>
      <w:r>
        <w:rPr>
          <w:rFonts w:ascii="Arial" w:hAnsi="Arial" w:cs="Arial"/>
          <w:iCs/>
          <w:color w:val="000000" w:themeColor="text1"/>
          <w:sz w:val="22"/>
          <w:lang w:val="es-ES_tradnl"/>
        </w:rPr>
        <w:t xml:space="preserve"> [</w:t>
      </w:r>
      <w:r w:rsidRPr="007F2F98">
        <w:rPr>
          <w:rFonts w:ascii="Arial" w:hAnsi="Arial" w:cs="Arial"/>
          <w:i/>
          <w:color w:val="000000" w:themeColor="text1"/>
          <w:sz w:val="22"/>
          <w:lang w:val="es-ES_tradnl"/>
        </w:rPr>
        <w:t>d</w:t>
      </w:r>
      <w:r>
        <w:rPr>
          <w:rFonts w:ascii="Arial" w:hAnsi="Arial" w:cs="Arial"/>
          <w:iCs/>
          <w:color w:val="000000" w:themeColor="text1"/>
          <w:sz w:val="22"/>
          <w:lang w:val="es-ES_tradnl"/>
        </w:rPr>
        <w:t>, del artículo 86 de la Ley 1474 de 2011]</w:t>
      </w:r>
      <w:r w:rsidRPr="008853DE">
        <w:rPr>
          <w:rFonts w:ascii="Arial" w:hAnsi="Arial" w:cs="Arial"/>
          <w:iCs/>
          <w:color w:val="000000" w:themeColor="text1"/>
          <w:sz w:val="22"/>
          <w:lang w:val="es-ES_tradnl"/>
        </w:rPr>
        <w:t xml:space="preserve">, es necesario realizar algunas precisiones: </w:t>
      </w:r>
      <w:r w:rsidRPr="008853DE">
        <w:rPr>
          <w:rFonts w:ascii="Arial" w:hAnsi="Arial" w:cs="Arial"/>
          <w:i/>
          <w:color w:val="000000" w:themeColor="text1"/>
          <w:sz w:val="22"/>
          <w:lang w:val="es-ES_tradnl"/>
        </w:rPr>
        <w:t>i)</w:t>
      </w:r>
      <w:r w:rsidRPr="008853DE">
        <w:rPr>
          <w:rFonts w:ascii="Arial" w:hAnsi="Arial" w:cs="Arial"/>
          <w:iCs/>
          <w:color w:val="000000" w:themeColor="text1"/>
          <w:sz w:val="22"/>
          <w:lang w:val="es-ES_tradnl"/>
        </w:rPr>
        <w:t xml:space="preserve"> esta norma regula la forma como debe actuar la entidad cuando cesa la situación de incumplimiento </w:t>
      </w:r>
      <w:r w:rsidRPr="008853DE">
        <w:rPr>
          <w:rFonts w:ascii="Arial" w:hAnsi="Arial" w:cs="Arial"/>
          <w:i/>
          <w:color w:val="000000" w:themeColor="text1"/>
          <w:sz w:val="22"/>
          <w:lang w:val="es-ES_tradnl"/>
        </w:rPr>
        <w:t>durante el trámite del procedimiento administrativo sancionatorio</w:t>
      </w:r>
      <w:r w:rsidRPr="008853DE">
        <w:rPr>
          <w:rFonts w:ascii="Arial" w:hAnsi="Arial" w:cs="Arial"/>
          <w:iCs/>
          <w:color w:val="000000" w:themeColor="text1"/>
          <w:sz w:val="22"/>
          <w:lang w:val="es-ES_tradnl"/>
        </w:rPr>
        <w:t>, esto es, una vez iniciado</w:t>
      </w:r>
      <w:r w:rsidRPr="008853DE">
        <w:rPr>
          <w:rFonts w:ascii="Arial" w:hAnsi="Arial" w:cs="Arial"/>
          <w:i/>
          <w:color w:val="000000" w:themeColor="text1"/>
          <w:sz w:val="22"/>
          <w:lang w:val="es-ES_tradnl"/>
        </w:rPr>
        <w:t xml:space="preserve">; </w:t>
      </w:r>
      <w:r w:rsidRPr="008853DE">
        <w:rPr>
          <w:rFonts w:ascii="Arial" w:hAnsi="Arial" w:cs="Arial"/>
          <w:iCs/>
          <w:color w:val="000000" w:themeColor="text1"/>
          <w:sz w:val="22"/>
          <w:lang w:val="es-ES_tradnl"/>
        </w:rPr>
        <w:t xml:space="preserve">de manera que es ajeno a la norma anterior la definición de cómo debe actuar la entidad cuando la cesación de la situación de incumplimiento se da con anterioridad, es decir, cuando pese a un incumplimiento previo, el contratista cumple sus obligaciones, dejando de quedar pendiente el cumplimiento antes de que se inicie el procedimiento sancionatorio; en dicho caso la entidad no podrá iniciarlo, toda vez que como lo establece el artículo 17 de la Ley 1150 de 2007, este procedimiento, tendiente a la imposición unilateral de cláusulas penales o de multas procede «[…] sólo mientras se halle pendiente la ejecución de las obligaciones a cargo del contratista […]». </w:t>
      </w:r>
    </w:p>
    <w:p w14:paraId="11AB104F" w14:textId="77777777" w:rsidR="001E0C9C" w:rsidRPr="008853DE" w:rsidRDefault="001E0C9C" w:rsidP="001E0C9C">
      <w:pPr>
        <w:jc w:val="both"/>
        <w:rPr>
          <w:rFonts w:ascii="Arial" w:eastAsia="Calibri" w:hAnsi="Arial" w:cs="Arial"/>
          <w:b/>
          <w:color w:val="000000" w:themeColor="text1"/>
          <w:sz w:val="20"/>
          <w:szCs w:val="20"/>
        </w:rPr>
      </w:pPr>
      <w:r w:rsidRPr="008853DE">
        <w:rPr>
          <w:rFonts w:ascii="Arial" w:hAnsi="Arial" w:cs="Arial"/>
          <w:iCs/>
          <w:color w:val="000000" w:themeColor="text1"/>
          <w:sz w:val="22"/>
          <w:lang w:val="es-ES_tradnl"/>
        </w:rPr>
        <w:t xml:space="preserve">Sin perjuicio de lo anterior, </w:t>
      </w:r>
      <w:r>
        <w:rPr>
          <w:rFonts w:ascii="Arial" w:hAnsi="Arial" w:cs="Arial"/>
          <w:iCs/>
          <w:color w:val="000000" w:themeColor="text1"/>
          <w:sz w:val="22"/>
          <w:lang w:val="es-ES_tradnl"/>
        </w:rPr>
        <w:t>[…]</w:t>
      </w:r>
      <w:r w:rsidRPr="008853DE">
        <w:rPr>
          <w:rFonts w:ascii="Arial" w:hAnsi="Arial" w:cs="Arial"/>
          <w:iCs/>
          <w:color w:val="000000" w:themeColor="text1"/>
          <w:sz w:val="22"/>
          <w:lang w:val="es-ES_tradnl"/>
        </w:rPr>
        <w:t xml:space="preserve"> iniciado el procedimiento sancionatorio, por estar el contratista incumpliendo las obligaciones, si esta situación cesa durante el trámite, esto es, después de iniciado, la entidad, discrecionalmente, puede terminarlo o continuarlo, como lo dispone el literal d) artículo 86 de la Ley 1474 de 2011.</w:t>
      </w:r>
    </w:p>
    <w:p w14:paraId="6A9D639D" w14:textId="77777777" w:rsidR="001E0C9C" w:rsidRPr="008853DE" w:rsidRDefault="001E0C9C" w:rsidP="001E0C9C">
      <w:pPr>
        <w:jc w:val="both"/>
        <w:rPr>
          <w:rFonts w:ascii="Arial" w:eastAsia="Calibri" w:hAnsi="Arial" w:cs="Arial"/>
          <w:bCs/>
          <w:color w:val="000000" w:themeColor="text1"/>
          <w:sz w:val="20"/>
          <w:szCs w:val="20"/>
        </w:rPr>
      </w:pPr>
    </w:p>
    <w:p w14:paraId="330371BA" w14:textId="77777777" w:rsidR="001E0C9C" w:rsidRPr="008853DE" w:rsidRDefault="001E0C9C" w:rsidP="001E0C9C">
      <w:pPr>
        <w:jc w:val="both"/>
        <w:rPr>
          <w:rFonts w:ascii="Arial" w:eastAsia="Calibri" w:hAnsi="Arial" w:cs="Arial"/>
          <w:bCs/>
          <w:color w:val="000000" w:themeColor="text1"/>
          <w:sz w:val="22"/>
        </w:rPr>
      </w:pPr>
    </w:p>
    <w:p w14:paraId="262EB16E" w14:textId="77777777" w:rsidR="001E0C9C" w:rsidRDefault="001E0C9C" w:rsidP="001E0C9C">
      <w:pPr>
        <w:rPr>
          <w:rFonts w:ascii="Arial" w:hAnsi="Arial" w:cs="Arial"/>
          <w:color w:val="000000" w:themeColor="text1"/>
          <w:sz w:val="22"/>
        </w:rPr>
      </w:pPr>
    </w:p>
    <w:p w14:paraId="6859A007" w14:textId="77777777" w:rsidR="001E0C9C" w:rsidRDefault="001E0C9C" w:rsidP="001E0C9C">
      <w:pPr>
        <w:rPr>
          <w:rFonts w:ascii="Arial" w:hAnsi="Arial" w:cs="Arial"/>
          <w:color w:val="000000" w:themeColor="text1"/>
          <w:sz w:val="22"/>
        </w:rPr>
      </w:pPr>
    </w:p>
    <w:p w14:paraId="515D08EE" w14:textId="77777777" w:rsidR="001E0C9C" w:rsidRPr="008853DE" w:rsidRDefault="001E0C9C" w:rsidP="001E0C9C">
      <w:pPr>
        <w:rPr>
          <w:rFonts w:ascii="Arial" w:hAnsi="Arial" w:cs="Arial"/>
          <w:b/>
          <w:color w:val="000000" w:themeColor="text1"/>
          <w:sz w:val="22"/>
        </w:rPr>
      </w:pPr>
      <w:r w:rsidRPr="008853DE">
        <w:rPr>
          <w:rFonts w:ascii="Arial" w:hAnsi="Arial" w:cs="Arial"/>
          <w:color w:val="000000" w:themeColor="text1"/>
          <w:sz w:val="22"/>
        </w:rPr>
        <w:lastRenderedPageBreak/>
        <w:t xml:space="preserve">Bogotá D.C., </w:t>
      </w:r>
      <w:r w:rsidRPr="0096439F">
        <w:rPr>
          <w:rFonts w:ascii="Arial" w:hAnsi="Arial" w:cs="Arial"/>
          <w:b/>
          <w:color w:val="000000" w:themeColor="text1"/>
          <w:sz w:val="22"/>
        </w:rPr>
        <w:t>29/07/2020 Hora 23:55:0s</w:t>
      </w:r>
    </w:p>
    <w:p w14:paraId="792C6AE0" w14:textId="77777777" w:rsidR="001E0C9C" w:rsidRPr="008853DE" w:rsidRDefault="001E0C9C" w:rsidP="001E0C9C">
      <w:pPr>
        <w:jc w:val="right"/>
        <w:rPr>
          <w:rFonts w:ascii="Arial" w:hAnsi="Arial" w:cs="Arial"/>
          <w:b/>
          <w:color w:val="000000" w:themeColor="text1"/>
          <w:sz w:val="22"/>
        </w:rPr>
      </w:pPr>
    </w:p>
    <w:p w14:paraId="380CFA1A" w14:textId="77777777" w:rsidR="001E0C9C" w:rsidRPr="008853DE" w:rsidRDefault="001E0C9C" w:rsidP="001E0C9C">
      <w:pPr>
        <w:jc w:val="right"/>
        <w:rPr>
          <w:rFonts w:ascii="Arial" w:eastAsia="Calibri" w:hAnsi="Arial" w:cs="Arial"/>
          <w:color w:val="000000" w:themeColor="text1"/>
          <w:sz w:val="22"/>
        </w:rPr>
      </w:pPr>
      <w:r w:rsidRPr="008853DE">
        <w:rPr>
          <w:rFonts w:ascii="Arial" w:hAnsi="Arial" w:cs="Arial"/>
          <w:b/>
          <w:color w:val="000000" w:themeColor="text1"/>
          <w:sz w:val="22"/>
        </w:rPr>
        <w:t xml:space="preserve">N° Radicado: </w:t>
      </w:r>
      <w:r w:rsidRPr="0096439F">
        <w:rPr>
          <w:rFonts w:ascii="Arial" w:hAnsi="Arial" w:cs="Arial"/>
          <w:b/>
          <w:color w:val="000000" w:themeColor="text1"/>
          <w:sz w:val="22"/>
        </w:rPr>
        <w:t>2202013000006874</w:t>
      </w:r>
    </w:p>
    <w:p w14:paraId="64E3927B" w14:textId="77777777" w:rsidR="001E0C9C" w:rsidRPr="008853DE" w:rsidRDefault="001E0C9C" w:rsidP="001E0C9C">
      <w:pPr>
        <w:rPr>
          <w:rFonts w:ascii="Arial" w:eastAsia="Calibri" w:hAnsi="Arial" w:cs="Arial"/>
          <w:color w:val="000000" w:themeColor="text1"/>
          <w:sz w:val="22"/>
        </w:rPr>
      </w:pPr>
    </w:p>
    <w:p w14:paraId="09776D20" w14:textId="77777777" w:rsidR="001E0C9C" w:rsidRPr="008853DE" w:rsidRDefault="001E0C9C" w:rsidP="001E0C9C">
      <w:pPr>
        <w:rPr>
          <w:rFonts w:ascii="Arial" w:eastAsia="Calibri" w:hAnsi="Arial" w:cs="Arial"/>
          <w:color w:val="000000" w:themeColor="text1"/>
          <w:sz w:val="22"/>
        </w:rPr>
      </w:pPr>
      <w:r w:rsidRPr="008853DE">
        <w:rPr>
          <w:rFonts w:ascii="Arial" w:eastAsia="Calibri" w:hAnsi="Arial" w:cs="Arial"/>
          <w:color w:val="000000" w:themeColor="text1"/>
          <w:sz w:val="22"/>
        </w:rPr>
        <w:t>Señora</w:t>
      </w:r>
    </w:p>
    <w:p w14:paraId="45A22271" w14:textId="77777777" w:rsidR="001E0C9C" w:rsidRPr="008853DE" w:rsidRDefault="001E0C9C" w:rsidP="001E0C9C">
      <w:pPr>
        <w:rPr>
          <w:rFonts w:ascii="Arial" w:eastAsia="Calibri" w:hAnsi="Arial" w:cs="Arial"/>
          <w:b/>
          <w:color w:val="000000" w:themeColor="text1"/>
          <w:sz w:val="22"/>
        </w:rPr>
      </w:pPr>
      <w:r w:rsidRPr="008853DE">
        <w:rPr>
          <w:rFonts w:ascii="Arial" w:eastAsia="Calibri" w:hAnsi="Arial" w:cs="Arial"/>
          <w:b/>
          <w:color w:val="000000" w:themeColor="text1"/>
          <w:sz w:val="22"/>
        </w:rPr>
        <w:t>María Clara Estarda Galeano</w:t>
      </w:r>
    </w:p>
    <w:p w14:paraId="78101D44" w14:textId="77777777" w:rsidR="001E0C9C" w:rsidRPr="008853DE" w:rsidRDefault="001E0C9C" w:rsidP="001E0C9C">
      <w:pPr>
        <w:rPr>
          <w:rFonts w:ascii="Arial" w:eastAsia="Calibri" w:hAnsi="Arial" w:cs="Arial"/>
          <w:color w:val="000000" w:themeColor="text1"/>
          <w:sz w:val="22"/>
        </w:rPr>
      </w:pPr>
      <w:r w:rsidRPr="008853DE">
        <w:rPr>
          <w:rFonts w:ascii="Arial" w:eastAsia="Calibri" w:hAnsi="Arial" w:cs="Arial"/>
          <w:color w:val="000000" w:themeColor="text1"/>
          <w:sz w:val="22"/>
        </w:rPr>
        <w:t>Bogotá D.C., Cundinamarca</w:t>
      </w:r>
    </w:p>
    <w:p w14:paraId="1D3FC034" w14:textId="77777777" w:rsidR="001E0C9C" w:rsidRPr="008853DE" w:rsidRDefault="001E0C9C" w:rsidP="001E0C9C">
      <w:pPr>
        <w:rPr>
          <w:rFonts w:ascii="Arial" w:eastAsia="Calibri" w:hAnsi="Arial" w:cs="Arial"/>
          <w:color w:val="000000" w:themeColor="text1"/>
          <w:sz w:val="22"/>
        </w:rPr>
      </w:pPr>
    </w:p>
    <w:p w14:paraId="31BD402A" w14:textId="77777777" w:rsidR="001E0C9C" w:rsidRPr="008853DE" w:rsidRDefault="001E0C9C" w:rsidP="001E0C9C">
      <w:pPr>
        <w:rPr>
          <w:rFonts w:ascii="Arial" w:eastAsia="Calibri" w:hAnsi="Arial" w:cs="Arial"/>
          <w:color w:val="000000" w:themeColor="text1"/>
          <w:sz w:val="22"/>
        </w:rPr>
      </w:pPr>
    </w:p>
    <w:p w14:paraId="44536AB7" w14:textId="77777777" w:rsidR="001E0C9C" w:rsidRPr="008853DE" w:rsidRDefault="001E0C9C" w:rsidP="001E0C9C">
      <w:pPr>
        <w:ind w:firstLine="2694"/>
        <w:rPr>
          <w:rFonts w:ascii="Arial" w:eastAsia="Calibri" w:hAnsi="Arial" w:cs="Arial"/>
          <w:b/>
          <w:color w:val="000000" w:themeColor="text1"/>
          <w:sz w:val="22"/>
        </w:rPr>
      </w:pPr>
      <w:r w:rsidRPr="008853DE">
        <w:rPr>
          <w:rFonts w:ascii="Arial" w:eastAsia="Calibri" w:hAnsi="Arial" w:cs="Arial"/>
          <w:b/>
          <w:color w:val="000000" w:themeColor="text1"/>
          <w:sz w:val="22"/>
        </w:rPr>
        <w:t>Concepto C – 434 de 2020</w:t>
      </w:r>
    </w:p>
    <w:p w14:paraId="4F31D80E" w14:textId="77777777" w:rsidR="001E0C9C" w:rsidRPr="008853DE" w:rsidRDefault="001E0C9C" w:rsidP="001E0C9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E0C9C" w:rsidRPr="008853DE" w14:paraId="4F61C1BE" w14:textId="77777777" w:rsidTr="00A83269">
        <w:tc>
          <w:tcPr>
            <w:tcW w:w="2689" w:type="dxa"/>
            <w:hideMark/>
          </w:tcPr>
          <w:p w14:paraId="463A684D" w14:textId="77777777" w:rsidR="001E0C9C" w:rsidRPr="008853DE" w:rsidRDefault="001E0C9C" w:rsidP="00A83269">
            <w:pPr>
              <w:rPr>
                <w:rFonts w:ascii="Arial" w:eastAsia="Calibri" w:hAnsi="Arial" w:cs="Arial"/>
                <w:color w:val="000000" w:themeColor="text1"/>
                <w:sz w:val="22"/>
              </w:rPr>
            </w:pPr>
            <w:r w:rsidRPr="008853DE">
              <w:rPr>
                <w:rFonts w:ascii="Arial" w:eastAsia="Calibri" w:hAnsi="Arial" w:cs="Arial"/>
                <w:b/>
                <w:color w:val="000000" w:themeColor="text1"/>
                <w:sz w:val="22"/>
              </w:rPr>
              <w:t>Temas:</w:t>
            </w:r>
            <w:r w:rsidRPr="008853DE">
              <w:rPr>
                <w:rFonts w:ascii="Arial" w:eastAsia="Calibri" w:hAnsi="Arial" w:cs="Arial"/>
                <w:color w:val="000000" w:themeColor="text1"/>
                <w:sz w:val="22"/>
              </w:rPr>
              <w:t xml:space="preserve"> </w:t>
            </w:r>
          </w:p>
          <w:p w14:paraId="49C03C4C" w14:textId="77777777" w:rsidR="001E0C9C" w:rsidRDefault="001E0C9C" w:rsidP="00A83269">
            <w:pPr>
              <w:tabs>
                <w:tab w:val="left" w:pos="1834"/>
              </w:tabs>
              <w:rPr>
                <w:rFonts w:ascii="Arial" w:eastAsia="Calibri" w:hAnsi="Arial" w:cs="Arial"/>
                <w:color w:val="000000" w:themeColor="text1"/>
                <w:sz w:val="22"/>
              </w:rPr>
            </w:pPr>
            <w:r w:rsidRPr="008853DE">
              <w:rPr>
                <w:rFonts w:ascii="Arial" w:eastAsia="Calibri" w:hAnsi="Arial" w:cs="Arial"/>
                <w:color w:val="000000" w:themeColor="text1"/>
                <w:sz w:val="22"/>
              </w:rPr>
              <w:t xml:space="preserve"> </w:t>
            </w:r>
            <w:r w:rsidRPr="008853DE">
              <w:rPr>
                <w:rFonts w:ascii="Arial" w:eastAsia="Calibri" w:hAnsi="Arial" w:cs="Arial"/>
                <w:color w:val="000000" w:themeColor="text1"/>
                <w:sz w:val="22"/>
              </w:rPr>
              <w:tab/>
            </w:r>
          </w:p>
          <w:p w14:paraId="6ED5FFC8" w14:textId="77777777" w:rsidR="001E0C9C" w:rsidRDefault="001E0C9C" w:rsidP="00A83269">
            <w:pPr>
              <w:jc w:val="right"/>
              <w:rPr>
                <w:rFonts w:ascii="Arial" w:eastAsia="Calibri" w:hAnsi="Arial" w:cs="Arial"/>
                <w:color w:val="000000" w:themeColor="text1"/>
                <w:sz w:val="22"/>
              </w:rPr>
            </w:pPr>
          </w:p>
          <w:p w14:paraId="22C28322" w14:textId="77777777" w:rsidR="001E0C9C" w:rsidRPr="006B3B29" w:rsidRDefault="001E0C9C" w:rsidP="00A83269">
            <w:pPr>
              <w:rPr>
                <w:rFonts w:ascii="Arial" w:eastAsia="Calibri" w:hAnsi="Arial" w:cs="Arial"/>
                <w:sz w:val="22"/>
              </w:rPr>
            </w:pPr>
          </w:p>
        </w:tc>
        <w:tc>
          <w:tcPr>
            <w:tcW w:w="6237" w:type="dxa"/>
            <w:hideMark/>
          </w:tcPr>
          <w:p w14:paraId="1B2D8359" w14:textId="77777777" w:rsidR="001E0C9C" w:rsidRPr="006B3B29" w:rsidRDefault="001E0C9C" w:rsidP="00A83269">
            <w:pPr>
              <w:jc w:val="both"/>
              <w:rPr>
                <w:rFonts w:ascii="Arial" w:eastAsia="Calibri" w:hAnsi="Arial" w:cs="Arial"/>
                <w:bCs/>
                <w:color w:val="000000" w:themeColor="text1"/>
                <w:sz w:val="22"/>
              </w:rPr>
            </w:pPr>
            <w:r w:rsidRPr="006B3B29">
              <w:rPr>
                <w:rFonts w:ascii="Arial" w:eastAsia="Calibri" w:hAnsi="Arial" w:cs="Arial"/>
                <w:bCs/>
                <w:color w:val="000000" w:themeColor="text1"/>
                <w:sz w:val="22"/>
              </w:rPr>
              <w:t xml:space="preserve">CLÁUSULAS EXCEPCIONALES – Multas – Cláusula penal – </w:t>
            </w:r>
            <w:r w:rsidRPr="006B3B29">
              <w:rPr>
                <w:rFonts w:ascii="Arial" w:eastAsia="Calibri" w:hAnsi="Arial" w:cs="Arial"/>
                <w:bCs/>
                <w:i/>
                <w:iCs/>
                <w:color w:val="000000" w:themeColor="text1"/>
                <w:sz w:val="22"/>
              </w:rPr>
              <w:t xml:space="preserve">Imposición unilateral </w:t>
            </w:r>
            <w:r w:rsidRPr="006B3B29">
              <w:rPr>
                <w:rFonts w:ascii="Arial" w:eastAsia="Calibri" w:hAnsi="Arial" w:cs="Arial"/>
                <w:bCs/>
                <w:color w:val="000000" w:themeColor="text1"/>
                <w:sz w:val="22"/>
              </w:rPr>
              <w:t>/</w:t>
            </w:r>
            <w:r w:rsidRPr="006B3B29">
              <w:rPr>
                <w:rFonts w:ascii="Arial" w:eastAsia="Calibri" w:hAnsi="Arial" w:cs="Arial"/>
                <w:bCs/>
                <w:i/>
                <w:iCs/>
                <w:color w:val="000000" w:themeColor="text1"/>
                <w:sz w:val="22"/>
              </w:rPr>
              <w:t xml:space="preserve"> </w:t>
            </w:r>
            <w:r w:rsidRPr="006B3B29">
              <w:rPr>
                <w:rFonts w:ascii="Arial" w:eastAsia="Calibri" w:hAnsi="Arial" w:cs="Arial"/>
                <w:bCs/>
                <w:color w:val="000000" w:themeColor="text1"/>
                <w:sz w:val="22"/>
              </w:rPr>
              <w:t xml:space="preserve">PROCEDIMIENTO SANCIONATORIO CONTRACTUAL – Etapas – trámite / </w:t>
            </w:r>
            <w:r w:rsidRPr="006B3B29">
              <w:rPr>
                <w:rFonts w:ascii="Arial" w:hAnsi="Arial" w:cs="Arial"/>
                <w:bCs/>
                <w:iCs/>
                <w:color w:val="000000" w:themeColor="text1"/>
                <w:sz w:val="22"/>
              </w:rPr>
              <w:t xml:space="preserve">PROCEDIMIENTO SANCIONATORIO CONTRACTUAL – Inaplicación – Entidades de régimen especial / </w:t>
            </w:r>
            <w:r w:rsidRPr="006B3B29">
              <w:rPr>
                <w:rFonts w:ascii="Arial" w:eastAsia="Calibri" w:hAnsi="Arial" w:cs="Arial"/>
                <w:bCs/>
                <w:color w:val="000000" w:themeColor="text1"/>
                <w:sz w:val="22"/>
              </w:rPr>
              <w:t>CLÁUSULAS PENALES Y MULTAS – Imposición unilateral – Proporcionalidad – Régimen jurídico – Derecho privado / PROCEDIMIENTO SANCIONATORIO CONTRACTUAL – Terminación – Cesación de la situación de incumplimiento – Potestad discrecional – Artículo 86 Ley 1474 de 2011</w:t>
            </w:r>
          </w:p>
          <w:p w14:paraId="3C14B890" w14:textId="77777777" w:rsidR="001E0C9C" w:rsidRPr="008853DE" w:rsidRDefault="001E0C9C" w:rsidP="00A83269">
            <w:pPr>
              <w:jc w:val="both"/>
              <w:rPr>
                <w:rFonts w:ascii="Arial" w:eastAsia="Calibri" w:hAnsi="Arial" w:cs="Arial"/>
                <w:b/>
                <w:color w:val="000000" w:themeColor="text1"/>
                <w:sz w:val="22"/>
              </w:rPr>
            </w:pPr>
          </w:p>
          <w:p w14:paraId="01F92DE1" w14:textId="77777777" w:rsidR="001E0C9C" w:rsidRPr="008853DE" w:rsidRDefault="001E0C9C" w:rsidP="00A83269">
            <w:pPr>
              <w:jc w:val="both"/>
              <w:rPr>
                <w:rFonts w:ascii="Arial" w:eastAsia="Calibri" w:hAnsi="Arial" w:cs="Arial"/>
                <w:color w:val="000000" w:themeColor="text1"/>
                <w:sz w:val="22"/>
              </w:rPr>
            </w:pPr>
          </w:p>
        </w:tc>
      </w:tr>
      <w:tr w:rsidR="001E0C9C" w:rsidRPr="008853DE" w14:paraId="28522A5B" w14:textId="77777777" w:rsidTr="00A83269">
        <w:tc>
          <w:tcPr>
            <w:tcW w:w="2689" w:type="dxa"/>
          </w:tcPr>
          <w:p w14:paraId="745267EB" w14:textId="77777777" w:rsidR="001E0C9C" w:rsidRPr="008853DE" w:rsidRDefault="001E0C9C" w:rsidP="00A83269">
            <w:pPr>
              <w:spacing w:before="120"/>
              <w:rPr>
                <w:rFonts w:ascii="Arial" w:eastAsia="Calibri" w:hAnsi="Arial" w:cs="Arial"/>
                <w:b/>
                <w:color w:val="000000" w:themeColor="text1"/>
                <w:sz w:val="22"/>
              </w:rPr>
            </w:pPr>
            <w:r w:rsidRPr="008853DE">
              <w:rPr>
                <w:rFonts w:ascii="Arial" w:eastAsia="Calibri" w:hAnsi="Arial" w:cs="Arial"/>
                <w:b/>
                <w:color w:val="000000" w:themeColor="text1"/>
                <w:sz w:val="22"/>
              </w:rPr>
              <w:t>Radicación:</w:t>
            </w:r>
            <w:r w:rsidRPr="008853DE">
              <w:rPr>
                <w:rFonts w:ascii="Arial" w:eastAsia="Calibri" w:hAnsi="Arial" w:cs="Arial"/>
                <w:color w:val="000000" w:themeColor="text1"/>
                <w:sz w:val="22"/>
              </w:rPr>
              <w:t xml:space="preserve"> </w:t>
            </w:r>
          </w:p>
        </w:tc>
        <w:tc>
          <w:tcPr>
            <w:tcW w:w="6237" w:type="dxa"/>
          </w:tcPr>
          <w:p w14:paraId="1869A7AC" w14:textId="77777777" w:rsidR="001E0C9C" w:rsidRPr="008853DE" w:rsidRDefault="001E0C9C" w:rsidP="00A83269">
            <w:pPr>
              <w:spacing w:before="120"/>
              <w:jc w:val="both"/>
              <w:rPr>
                <w:rFonts w:ascii="Arial" w:eastAsia="Calibri" w:hAnsi="Arial" w:cs="Arial"/>
                <w:color w:val="000000" w:themeColor="text1"/>
                <w:sz w:val="22"/>
              </w:rPr>
            </w:pPr>
            <w:r w:rsidRPr="008853DE">
              <w:rPr>
                <w:rFonts w:ascii="Arial" w:eastAsia="Calibri" w:hAnsi="Arial" w:cs="Arial"/>
                <w:color w:val="000000" w:themeColor="text1"/>
                <w:sz w:val="22"/>
              </w:rPr>
              <w:t>Respuesta a consulta 4202012000004955</w:t>
            </w:r>
            <w:r>
              <w:rPr>
                <w:rFonts w:ascii="Arial" w:eastAsia="Calibri" w:hAnsi="Arial" w:cs="Arial"/>
                <w:color w:val="000000" w:themeColor="text1"/>
                <w:sz w:val="22"/>
              </w:rPr>
              <w:t xml:space="preserve"> y </w:t>
            </w:r>
            <w:r w:rsidRPr="0040662A">
              <w:rPr>
                <w:rFonts w:ascii="Arial" w:eastAsia="Calibri" w:hAnsi="Arial" w:cs="Arial"/>
                <w:color w:val="000000" w:themeColor="text1"/>
                <w:sz w:val="22"/>
              </w:rPr>
              <w:t>4202013000005167</w:t>
            </w:r>
          </w:p>
        </w:tc>
      </w:tr>
      <w:tr w:rsidR="001E0C9C" w:rsidRPr="008853DE" w14:paraId="38E0B314" w14:textId="77777777" w:rsidTr="00A83269">
        <w:tc>
          <w:tcPr>
            <w:tcW w:w="2689" w:type="dxa"/>
          </w:tcPr>
          <w:p w14:paraId="732FB9BA" w14:textId="77777777" w:rsidR="001E0C9C" w:rsidRPr="008853DE" w:rsidRDefault="001E0C9C" w:rsidP="00A83269">
            <w:pPr>
              <w:spacing w:before="120"/>
              <w:rPr>
                <w:rFonts w:ascii="Arial" w:eastAsia="Calibri" w:hAnsi="Arial" w:cs="Arial"/>
                <w:b/>
                <w:color w:val="000000" w:themeColor="text1"/>
                <w:sz w:val="22"/>
              </w:rPr>
            </w:pPr>
          </w:p>
        </w:tc>
        <w:tc>
          <w:tcPr>
            <w:tcW w:w="6237" w:type="dxa"/>
          </w:tcPr>
          <w:p w14:paraId="08F4F827" w14:textId="77777777" w:rsidR="001E0C9C" w:rsidRPr="008853DE" w:rsidRDefault="001E0C9C" w:rsidP="00A83269">
            <w:pPr>
              <w:spacing w:before="120"/>
              <w:jc w:val="both"/>
              <w:rPr>
                <w:rFonts w:ascii="Arial" w:eastAsia="Calibri" w:hAnsi="Arial" w:cs="Arial"/>
                <w:color w:val="000000" w:themeColor="text1"/>
                <w:sz w:val="22"/>
              </w:rPr>
            </w:pPr>
          </w:p>
        </w:tc>
      </w:tr>
    </w:tbl>
    <w:p w14:paraId="1F42E7F9" w14:textId="77777777" w:rsidR="001E0C9C" w:rsidRPr="008853DE" w:rsidRDefault="001E0C9C" w:rsidP="001E0C9C">
      <w:pPr>
        <w:rPr>
          <w:rFonts w:ascii="Arial" w:eastAsia="Calibri" w:hAnsi="Arial" w:cs="Arial"/>
          <w:color w:val="000000" w:themeColor="text1"/>
          <w:sz w:val="22"/>
        </w:rPr>
      </w:pPr>
      <w:r w:rsidRPr="008853DE">
        <w:rPr>
          <w:rFonts w:ascii="Arial" w:eastAsia="Calibri" w:hAnsi="Arial" w:cs="Arial"/>
          <w:color w:val="000000" w:themeColor="text1"/>
          <w:sz w:val="22"/>
        </w:rPr>
        <w:t>Estimada señora Estrada:</w:t>
      </w:r>
    </w:p>
    <w:p w14:paraId="64CA0FE6" w14:textId="77777777" w:rsidR="001E0C9C" w:rsidRPr="008853DE" w:rsidRDefault="001E0C9C" w:rsidP="001E0C9C">
      <w:pPr>
        <w:rPr>
          <w:rFonts w:ascii="Arial" w:eastAsia="Calibri" w:hAnsi="Arial" w:cs="Arial"/>
          <w:color w:val="000000" w:themeColor="text1"/>
          <w:sz w:val="22"/>
        </w:rPr>
      </w:pPr>
    </w:p>
    <w:p w14:paraId="36D0DF98" w14:textId="77777777" w:rsidR="001E0C9C" w:rsidRPr="008853DE" w:rsidRDefault="001E0C9C" w:rsidP="001E0C9C">
      <w:pPr>
        <w:spacing w:line="276" w:lineRule="auto"/>
        <w:jc w:val="both"/>
        <w:rPr>
          <w:rFonts w:ascii="Arial" w:eastAsia="Calibri" w:hAnsi="Arial" w:cs="Arial"/>
          <w:color w:val="000000" w:themeColor="text1"/>
          <w:sz w:val="22"/>
        </w:rPr>
      </w:pPr>
      <w:r w:rsidRPr="008853DE">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 − Colombia Compra Eficiente responde su</w:t>
      </w:r>
      <w:r>
        <w:rPr>
          <w:rFonts w:ascii="Arial" w:eastAsia="Calibri" w:hAnsi="Arial" w:cs="Arial"/>
          <w:color w:val="000000" w:themeColor="text1"/>
          <w:sz w:val="22"/>
        </w:rPr>
        <w:t>s</w:t>
      </w:r>
      <w:r w:rsidRPr="008853DE">
        <w:rPr>
          <w:rFonts w:ascii="Arial" w:eastAsia="Calibri" w:hAnsi="Arial" w:cs="Arial"/>
          <w:color w:val="000000" w:themeColor="text1"/>
          <w:sz w:val="22"/>
        </w:rPr>
        <w:t xml:space="preserve"> consulta</w:t>
      </w:r>
      <w:r>
        <w:rPr>
          <w:rFonts w:ascii="Arial" w:eastAsia="Calibri" w:hAnsi="Arial" w:cs="Arial"/>
          <w:color w:val="000000" w:themeColor="text1"/>
          <w:sz w:val="22"/>
        </w:rPr>
        <w:t>s</w:t>
      </w:r>
      <w:r w:rsidRPr="008853DE">
        <w:rPr>
          <w:rFonts w:ascii="Arial" w:eastAsia="Calibri" w:hAnsi="Arial" w:cs="Arial"/>
          <w:color w:val="000000" w:themeColor="text1"/>
          <w:sz w:val="22"/>
        </w:rPr>
        <w:t xml:space="preserve"> del 12 </w:t>
      </w:r>
      <w:r>
        <w:rPr>
          <w:rFonts w:ascii="Arial" w:eastAsia="Calibri" w:hAnsi="Arial" w:cs="Arial"/>
          <w:color w:val="000000" w:themeColor="text1"/>
          <w:sz w:val="22"/>
        </w:rPr>
        <w:t>y del 18 de junio de 2020.</w:t>
      </w:r>
      <w:r w:rsidRPr="008853DE">
        <w:rPr>
          <w:rFonts w:ascii="Arial" w:eastAsia="Calibri" w:hAnsi="Arial" w:cs="Arial"/>
          <w:color w:val="000000" w:themeColor="text1"/>
          <w:sz w:val="22"/>
        </w:rPr>
        <w:t xml:space="preserve"> </w:t>
      </w:r>
    </w:p>
    <w:p w14:paraId="061E996C" w14:textId="77777777" w:rsidR="001E0C9C" w:rsidRPr="008853DE" w:rsidRDefault="001E0C9C" w:rsidP="001E0C9C">
      <w:pPr>
        <w:spacing w:line="276" w:lineRule="auto"/>
        <w:jc w:val="both"/>
        <w:rPr>
          <w:rFonts w:ascii="Arial" w:eastAsia="Calibri" w:hAnsi="Arial" w:cs="Arial"/>
          <w:color w:val="000000" w:themeColor="text1"/>
          <w:sz w:val="22"/>
        </w:rPr>
      </w:pPr>
    </w:p>
    <w:p w14:paraId="5EF0777C" w14:textId="77777777" w:rsidR="001E0C9C" w:rsidRPr="008853DE" w:rsidRDefault="001E0C9C" w:rsidP="001E0C9C">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8853DE">
        <w:rPr>
          <w:rFonts w:ascii="Arial" w:eastAsia="Calibri" w:hAnsi="Arial" w:cs="Arial"/>
          <w:b/>
          <w:color w:val="000000" w:themeColor="text1"/>
          <w:sz w:val="22"/>
        </w:rPr>
        <w:t xml:space="preserve">Problemas planteados </w:t>
      </w:r>
    </w:p>
    <w:p w14:paraId="4A24B32D" w14:textId="77777777" w:rsidR="001E0C9C" w:rsidRPr="008853DE" w:rsidRDefault="001E0C9C" w:rsidP="001E0C9C">
      <w:pPr>
        <w:tabs>
          <w:tab w:val="left" w:pos="426"/>
        </w:tabs>
        <w:spacing w:line="276" w:lineRule="auto"/>
        <w:jc w:val="both"/>
        <w:rPr>
          <w:rFonts w:ascii="Arial" w:eastAsia="Calibri" w:hAnsi="Arial" w:cs="Arial"/>
          <w:b/>
          <w:color w:val="000000" w:themeColor="text1"/>
          <w:sz w:val="22"/>
        </w:rPr>
      </w:pPr>
    </w:p>
    <w:p w14:paraId="7CFAAB19" w14:textId="77777777" w:rsidR="001E0C9C" w:rsidRPr="008853DE" w:rsidRDefault="001E0C9C" w:rsidP="001E0C9C">
      <w:pPr>
        <w:tabs>
          <w:tab w:val="left" w:pos="426"/>
        </w:tabs>
        <w:spacing w:line="276" w:lineRule="auto"/>
        <w:jc w:val="both"/>
        <w:rPr>
          <w:rFonts w:ascii="Arial" w:eastAsia="Calibri" w:hAnsi="Arial" w:cs="Arial"/>
          <w:color w:val="000000" w:themeColor="text1"/>
          <w:sz w:val="22"/>
        </w:rPr>
      </w:pPr>
      <w:r w:rsidRPr="008853DE">
        <w:rPr>
          <w:rFonts w:ascii="Arial" w:eastAsia="Calibri" w:hAnsi="Arial" w:cs="Arial"/>
          <w:color w:val="000000" w:themeColor="text1"/>
          <w:sz w:val="22"/>
        </w:rPr>
        <w:t xml:space="preserve">Usted plantea algunas preguntas relacionadas con los procedimientos administrativos contractuales sancionatorios: </w:t>
      </w:r>
    </w:p>
    <w:p w14:paraId="3782D18C" w14:textId="77777777" w:rsidR="001E0C9C" w:rsidRPr="008853DE" w:rsidRDefault="001E0C9C" w:rsidP="001E0C9C">
      <w:pPr>
        <w:tabs>
          <w:tab w:val="left" w:pos="426"/>
        </w:tabs>
        <w:spacing w:line="276" w:lineRule="auto"/>
        <w:jc w:val="both"/>
        <w:rPr>
          <w:rFonts w:ascii="Arial" w:eastAsia="Calibri" w:hAnsi="Arial" w:cs="Arial"/>
          <w:color w:val="000000" w:themeColor="text1"/>
          <w:sz w:val="22"/>
        </w:rPr>
      </w:pPr>
    </w:p>
    <w:p w14:paraId="30ADBE41"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«1. Los procesos administrativos sancionatorios adelantados por las entidades públicas deben regirse por una variedad de principios de raigambre constitucional, entre ellos, la proporcionalidad. Al respecto, sírvase indicar:</w:t>
      </w:r>
    </w:p>
    <w:p w14:paraId="146887A7"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0928C273"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»i. En aplicación del principio de proporcionalidad en la sanción y a falta de una </w:t>
      </w:r>
    </w:p>
    <w:p w14:paraId="7BB872C4"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disposición contractual expresa, ¿debe la entidad pública contratante definir la proporción de la multa o cláusula penal a imponer al contratista? ¿Qué parámetros debe utilizar para la definición de dicha proporción?</w:t>
      </w:r>
    </w:p>
    <w:p w14:paraId="6E17C3DC"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20C1B61A"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lastRenderedPageBreak/>
        <w:t>»ii. En caso de que se trate de incumplimiento de labores o tareas recurrentes, y no del incumplimiento en entrega de productos determinados, ¿qué parámetros se recomienda utilizar para definir la proporción del incumplimiento?</w:t>
      </w:r>
    </w:p>
    <w:p w14:paraId="4273BB91"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6CEF8563"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»2. De conformidad con el literal d) del artículo 86 de la Ley 1474 “La entidad podrá dar por terminado el procedimiento en cualquier momento, si por algún medio tiene conocimiento de la cesación de situación de incumplimiento”. Al respecto, sírvase indicar: </w:t>
      </w:r>
    </w:p>
    <w:p w14:paraId="3BDD0D64"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 </w:t>
      </w:r>
    </w:p>
    <w:p w14:paraId="2A579ADC"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i. ¿Qué pasa en caso de que el contratista cumpla parcialmente? ¿Se debe terminar el proceso o se debe continuar respecto a las obligaciones que continúan incumplidas? </w:t>
      </w:r>
    </w:p>
    <w:p w14:paraId="7DDCA21D"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14443B95"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ii. En caso de que se trate de incumplimiento de labores o tareas recurrentes, y no del incumplimiento en entrega de productos determinados, ¿es posible para el contratista acreditar el cumplimiento tardío de sus obligaciones y solicitar la terminación del proceso sancionatorio, aun cuando el plazo contractual para ejecutar la labor o tarea ya esté vencido?</w:t>
      </w:r>
    </w:p>
    <w:p w14:paraId="18AE7F26" w14:textId="77777777" w:rsidR="001E0C9C" w:rsidRPr="008853DE" w:rsidRDefault="001E0C9C" w:rsidP="001E0C9C">
      <w:pPr>
        <w:tabs>
          <w:tab w:val="left" w:pos="709"/>
        </w:tabs>
        <w:spacing w:line="276" w:lineRule="auto"/>
        <w:jc w:val="both"/>
        <w:rPr>
          <w:rFonts w:ascii="Arial" w:eastAsia="Calibri" w:hAnsi="Arial" w:cs="Arial"/>
          <w:color w:val="000000" w:themeColor="text1"/>
          <w:sz w:val="22"/>
        </w:rPr>
      </w:pPr>
    </w:p>
    <w:p w14:paraId="79509B3C" w14:textId="77777777" w:rsidR="001E0C9C" w:rsidRPr="008853DE" w:rsidRDefault="001E0C9C" w:rsidP="001E0C9C">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8853DE">
        <w:rPr>
          <w:rFonts w:ascii="Arial" w:eastAsia="Calibri" w:hAnsi="Arial" w:cs="Arial"/>
          <w:b/>
          <w:color w:val="000000" w:themeColor="text1"/>
          <w:sz w:val="22"/>
        </w:rPr>
        <w:t>Consideraciones</w:t>
      </w:r>
    </w:p>
    <w:p w14:paraId="2460431C" w14:textId="77777777" w:rsidR="001E0C9C" w:rsidRPr="008853DE" w:rsidRDefault="001E0C9C" w:rsidP="001E0C9C">
      <w:pPr>
        <w:spacing w:line="276" w:lineRule="auto"/>
        <w:jc w:val="both"/>
        <w:rPr>
          <w:rFonts w:ascii="Arial" w:eastAsia="Calibri" w:hAnsi="Arial" w:cs="Arial"/>
          <w:color w:val="000000" w:themeColor="text1"/>
          <w:sz w:val="22"/>
        </w:rPr>
      </w:pPr>
    </w:p>
    <w:p w14:paraId="1BFB5BD2" w14:textId="77777777" w:rsidR="001E0C9C" w:rsidRPr="008853DE" w:rsidRDefault="001E0C9C" w:rsidP="001E0C9C">
      <w:pPr>
        <w:spacing w:after="120" w:line="276" w:lineRule="auto"/>
        <w:jc w:val="both"/>
        <w:rPr>
          <w:rFonts w:ascii="Arial" w:eastAsia="Calibri" w:hAnsi="Arial" w:cs="Arial"/>
          <w:color w:val="000000" w:themeColor="text1"/>
          <w:sz w:val="22"/>
        </w:rPr>
      </w:pPr>
      <w:r w:rsidRPr="008853DE">
        <w:rPr>
          <w:rFonts w:ascii="Arial" w:eastAsia="Calibri" w:hAnsi="Arial" w:cs="Arial"/>
          <w:color w:val="000000" w:themeColor="text1"/>
          <w:sz w:val="22"/>
        </w:rPr>
        <w:t>Para responder las preguntas planteadas, se estudiará, en términos generales, el régimen sancionatorio en el Estatuto General de Contratación de la Administración Pública, donde se desarrollará, entre otras cosas, la naturaleza jurídica de las cláusulas penales y de multas. Además, al interior de este tema, se desarrollarán los siguientes aspectos particulares: la proporcionalidad en la imposición unilateral de las cláusulas penales y las de multas; y la terminación del procedimiento sancionatorio contractual por cesación del incumplimiento, como una potestad discrecional.</w:t>
      </w:r>
    </w:p>
    <w:p w14:paraId="14FE482E" w14:textId="77777777" w:rsidR="001E0C9C" w:rsidRPr="008853DE" w:rsidRDefault="001E0C9C" w:rsidP="001E0C9C">
      <w:pPr>
        <w:spacing w:line="276" w:lineRule="auto"/>
        <w:jc w:val="both"/>
        <w:rPr>
          <w:rFonts w:ascii="Arial" w:eastAsia="Calibri" w:hAnsi="Arial" w:cs="Arial"/>
          <w:color w:val="000000" w:themeColor="text1"/>
          <w:sz w:val="22"/>
        </w:rPr>
      </w:pPr>
    </w:p>
    <w:p w14:paraId="7A23CBB9" w14:textId="77777777" w:rsidR="001E0C9C" w:rsidRPr="008853DE" w:rsidRDefault="001E0C9C" w:rsidP="001E0C9C">
      <w:pPr>
        <w:spacing w:line="276" w:lineRule="auto"/>
        <w:jc w:val="both"/>
        <w:rPr>
          <w:rFonts w:ascii="Arial" w:eastAsia="Calibri" w:hAnsi="Arial" w:cs="Arial"/>
          <w:b/>
          <w:bCs/>
          <w:color w:val="000000" w:themeColor="text1"/>
          <w:sz w:val="22"/>
        </w:rPr>
      </w:pPr>
      <w:r w:rsidRPr="008853DE">
        <w:rPr>
          <w:rFonts w:ascii="Arial" w:eastAsia="Calibri" w:hAnsi="Arial" w:cs="Arial"/>
          <w:b/>
          <w:bCs/>
          <w:color w:val="000000" w:themeColor="text1"/>
          <w:sz w:val="22"/>
        </w:rPr>
        <w:t>2.1. Régimen sancionatorio en el Estatuto General de Contratación de la Administración Pública</w:t>
      </w:r>
    </w:p>
    <w:p w14:paraId="4A4B6F31" w14:textId="77777777" w:rsidR="001E0C9C" w:rsidRPr="008853DE" w:rsidRDefault="001E0C9C" w:rsidP="001E0C9C">
      <w:pPr>
        <w:spacing w:line="276" w:lineRule="auto"/>
        <w:jc w:val="both"/>
        <w:rPr>
          <w:rFonts w:ascii="Arial" w:eastAsia="Calibri" w:hAnsi="Arial" w:cs="Arial"/>
          <w:b/>
          <w:bCs/>
          <w:color w:val="000000" w:themeColor="text1"/>
          <w:sz w:val="22"/>
        </w:rPr>
      </w:pPr>
    </w:p>
    <w:p w14:paraId="4AF595B9" w14:textId="77777777" w:rsidR="001E0C9C" w:rsidRPr="008853DE" w:rsidRDefault="001E0C9C" w:rsidP="001E0C9C">
      <w:pPr>
        <w:tabs>
          <w:tab w:val="left" w:pos="426"/>
        </w:tabs>
        <w:spacing w:line="276" w:lineRule="auto"/>
        <w:jc w:val="both"/>
        <w:rPr>
          <w:rFonts w:ascii="Arial" w:eastAsia="Calibri" w:hAnsi="Arial" w:cs="Arial"/>
          <w:bCs/>
          <w:color w:val="000000" w:themeColor="text1"/>
          <w:sz w:val="22"/>
        </w:rPr>
      </w:pPr>
      <w:r w:rsidRPr="008853DE">
        <w:rPr>
          <w:rFonts w:ascii="Arial" w:eastAsia="Calibri" w:hAnsi="Arial" w:cs="Arial"/>
          <w:bCs/>
          <w:color w:val="000000" w:themeColor="text1"/>
          <w:sz w:val="22"/>
        </w:rPr>
        <w:t>En los conceptos del 16 de octubre de 2019 –rad. 2201913000007661–, del 5 de diciembre de 2019 −rad. 2201913000008964− y en el C-219 del 29 de abril de 2020 la Agencia Nacional de Contratación Pública – Colombia Compra Eficiente se pronunció en relación con el régimen sancionatorio en materia contractual como herramienta para la dirección general del negocio y la realización de las actividades propias de vigilancia y control. La tesis propuesta se reitera y amplía a continuación.</w:t>
      </w:r>
    </w:p>
    <w:p w14:paraId="4A7DBBC3"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 xml:space="preserve">Durante la ejecución de los contratos, las entidades estatales generalmente cuentan con distintas potestades exorbitantes o excepcionales con base en las cuales ejercen la dirección general del contrato y realizan las actividades propias de vigilancia y control, entre otras están: i) las cláusulas excepcionales del artículo 14 de la Ley 80 de 1993, donde se encuentran la terminación unilateral, la interpretación unilateral, la </w:t>
      </w:r>
      <w:r w:rsidRPr="008853DE">
        <w:rPr>
          <w:rFonts w:ascii="Arial" w:hAnsi="Arial" w:cs="Arial"/>
          <w:iCs/>
          <w:color w:val="000000" w:themeColor="text1"/>
          <w:sz w:val="22"/>
        </w:rPr>
        <w:lastRenderedPageBreak/>
        <w:t xml:space="preserve">modificación unilateral, la caducidad y la reversión, las cuales se desarrollan en los artículos 15 a 19 </w:t>
      </w:r>
      <w:r w:rsidRPr="008853DE">
        <w:rPr>
          <w:rFonts w:ascii="Arial" w:hAnsi="Arial" w:cs="Arial"/>
          <w:i/>
          <w:color w:val="000000" w:themeColor="text1"/>
          <w:sz w:val="22"/>
        </w:rPr>
        <w:t>ibidem</w:t>
      </w:r>
      <w:r w:rsidRPr="008853DE">
        <w:rPr>
          <w:rFonts w:ascii="Arial" w:hAnsi="Arial" w:cs="Arial"/>
          <w:iCs/>
          <w:color w:val="000000" w:themeColor="text1"/>
          <w:sz w:val="22"/>
        </w:rPr>
        <w:t xml:space="preserve">; ii) en otras disposiciones también se encuentran establecidas otras potestades exorbitantes, como la liquidación unilateral y la declaratoria unilateral del siniestro; y iii) por sus características, que se enunciarán en este concepto, se tratan en un grupo distinto las cláusulas excepcionales de </w:t>
      </w:r>
      <w:r w:rsidRPr="008853DE">
        <w:rPr>
          <w:rFonts w:ascii="Arial" w:hAnsi="Arial" w:cs="Arial"/>
          <w:i/>
          <w:color w:val="000000" w:themeColor="text1"/>
          <w:sz w:val="22"/>
        </w:rPr>
        <w:t>imposición unilateral</w:t>
      </w:r>
      <w:r w:rsidRPr="008853DE">
        <w:rPr>
          <w:rFonts w:ascii="Arial" w:hAnsi="Arial" w:cs="Arial"/>
          <w:iCs/>
          <w:color w:val="000000" w:themeColor="text1"/>
          <w:sz w:val="22"/>
        </w:rPr>
        <w:t xml:space="preserve"> de las cláusulas penales y de multas; aclarando que su exorbitancia se refiere a su imposición unilateral; no a su pacto, que es posible en virtud de las normas civiles y comerciales.</w:t>
      </w:r>
    </w:p>
    <w:p w14:paraId="549914B6"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Las primeras, esto es, las cláusulas excepcionales del artículo 14 de la Ley 80 de 1993, son denominadas por la jurisprudencia del Consejo de Estado y por la doctrina como estipulaciones virtuales en los contratos de concesión, obra, prestación de servicios públicos y aquellos que tengan por objeto el ejercicio de una actividad que constituya monopolio estatal, pues en ellos, sin importar si se incorporaron o no dentro del instrumento negocial, se entienden incluidas por el ministerio de la ley, como lo dispone el artículo 14 de la Ley 80 de 1993.</w:t>
      </w:r>
    </w:p>
    <w:p w14:paraId="0FBC610A"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En relación con dichas cláusulas, al analizarse el régimen sancionatorio contractual, procede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ha precisado</w:t>
      </w:r>
      <w:r w:rsidRPr="008853DE">
        <w:rPr>
          <w:rFonts w:ascii="Arial" w:hAnsi="Arial" w:cs="Arial"/>
          <w:iCs/>
          <w:color w:val="000000" w:themeColor="text1"/>
          <w:sz w:val="22"/>
          <w:vertAlign w:val="superscript"/>
        </w:rPr>
        <w:footnoteReference w:id="1"/>
      </w:r>
      <w:r w:rsidRPr="008853DE">
        <w:rPr>
          <w:rFonts w:ascii="Arial" w:hAnsi="Arial" w:cs="Arial"/>
          <w:iCs/>
          <w:color w:val="000000" w:themeColor="text1"/>
          <w:sz w:val="22"/>
        </w:rPr>
        <w:t>:</w:t>
      </w:r>
    </w:p>
    <w:p w14:paraId="48E364B8" w14:textId="77777777" w:rsidR="001E0C9C" w:rsidRPr="008853DE" w:rsidRDefault="001E0C9C" w:rsidP="001E0C9C">
      <w:pPr>
        <w:spacing w:line="276" w:lineRule="auto"/>
        <w:jc w:val="both"/>
        <w:rPr>
          <w:rFonts w:ascii="Arial" w:hAnsi="Arial" w:cs="Arial"/>
          <w:iCs/>
          <w:color w:val="000000" w:themeColor="text1"/>
          <w:sz w:val="22"/>
        </w:rPr>
      </w:pPr>
    </w:p>
    <w:p w14:paraId="569BC780" w14:textId="77777777" w:rsidR="001E0C9C" w:rsidRPr="008853DE" w:rsidRDefault="001E0C9C" w:rsidP="001E0C9C">
      <w:pPr>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 </w:t>
      </w:r>
    </w:p>
    <w:p w14:paraId="31415F7B" w14:textId="77777777" w:rsidR="001E0C9C" w:rsidRPr="008853DE" w:rsidRDefault="001E0C9C" w:rsidP="001E0C9C">
      <w:pPr>
        <w:spacing w:line="276" w:lineRule="auto"/>
        <w:jc w:val="both"/>
        <w:rPr>
          <w:rFonts w:ascii="Arial" w:hAnsi="Arial" w:cs="Arial"/>
          <w:iCs/>
          <w:color w:val="000000" w:themeColor="text1"/>
          <w:sz w:val="22"/>
        </w:rPr>
      </w:pPr>
    </w:p>
    <w:p w14:paraId="33F8AD54" w14:textId="77777777" w:rsidR="001E0C9C" w:rsidRPr="008853DE" w:rsidRDefault="001E0C9C" w:rsidP="001E0C9C">
      <w:pPr>
        <w:spacing w:line="276" w:lineRule="auto"/>
        <w:ind w:right="142" w:firstLine="708"/>
        <w:jc w:val="both"/>
        <w:rPr>
          <w:rFonts w:ascii="Arial" w:hAnsi="Arial" w:cs="Arial"/>
          <w:iCs/>
          <w:color w:val="000000" w:themeColor="text1"/>
          <w:sz w:val="22"/>
        </w:rPr>
      </w:pPr>
      <w:r w:rsidRPr="008853DE">
        <w:rPr>
          <w:rFonts w:ascii="Arial" w:hAnsi="Arial" w:cs="Arial"/>
          <w:iCs/>
          <w:color w:val="000000" w:themeColor="text1"/>
          <w:sz w:val="22"/>
        </w:rPr>
        <w:t xml:space="preserve">Las consecuencias jurídicas que se generan con la caducidad son: i) terminación del contrato; ii) iniciación del trámite de liquidación bilateral; iii) inhabilidad sobreviniente por cinco años; iv) efectividad de la garantía única de cumplimiento; y v) reporte al Secop, </w:t>
      </w:r>
      <w:r w:rsidRPr="008853DE">
        <w:rPr>
          <w:rFonts w:ascii="Arial" w:hAnsi="Arial" w:cs="Arial"/>
          <w:iCs/>
          <w:color w:val="000000" w:themeColor="text1"/>
          <w:sz w:val="22"/>
        </w:rPr>
        <w:lastRenderedPageBreak/>
        <w:t>Procuraduría General de la Nación y a la Cámara de Comercio donde el contratista esté inscrito con el propósito de incluir la anotación en el Registro Único de Proponentes.</w:t>
      </w:r>
    </w:p>
    <w:p w14:paraId="661E3978"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El último grupo de potestades excepcionales –</w:t>
      </w:r>
      <w:r w:rsidRPr="008853DE">
        <w:rPr>
          <w:rFonts w:ascii="Arial" w:hAnsi="Arial" w:cs="Arial"/>
          <w:i/>
          <w:color w:val="000000" w:themeColor="text1"/>
          <w:sz w:val="22"/>
        </w:rPr>
        <w:t>imposición unilateral</w:t>
      </w:r>
      <w:r w:rsidRPr="008853DE">
        <w:rPr>
          <w:rFonts w:ascii="Arial" w:hAnsi="Arial" w:cs="Arial"/>
          <w:iCs/>
          <w:color w:val="000000" w:themeColor="text1"/>
          <w:sz w:val="22"/>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8853DE">
        <w:rPr>
          <w:rFonts w:ascii="Arial" w:hAnsi="Arial" w:cs="Arial"/>
          <w:color w:val="000000" w:themeColor="text1"/>
          <w:sz w:val="22"/>
          <w:vertAlign w:val="superscript"/>
        </w:rPr>
        <w:footnoteReference w:id="2"/>
      </w:r>
      <w:r w:rsidRPr="008853DE">
        <w:rPr>
          <w:rFonts w:ascii="Arial" w:hAnsi="Arial" w:cs="Arial"/>
          <w:iCs/>
          <w:color w:val="000000" w:themeColor="text1"/>
          <w:sz w:val="22"/>
        </w:rPr>
        <w:t>. No obstante, cumplido el requisito del pacto en el contrato, las entidades estatales sometidas al Estatuto General de Contratación de la Administración Pública –Leyes 80 de 1993 y 1150 de 2007, y sus modificaciones, en adelante EGCAP–, por ministerio de la ley –artículo 17 de la Ley 1150 de 2007–, se 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308F9526"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En efecto, tratándose de las multas, en cumplimiento del principio de tipicidad, las partes deben determinar pormenorizadamente las acciones u omisiones objeto de sanción y el monto de la sanción a imponer, el cual, en todo caso, debe atender los criterios de proporcionalidad y razonabilidad. En esa línea se pronunció la Sección Tercera del Consejo de Estado, en la Sentencia del 15 de noviembre de 2011, expediente 20.916, con ponencia de Olga Mélida Valle de De La Hoz:</w:t>
      </w:r>
    </w:p>
    <w:p w14:paraId="0F59A381" w14:textId="77777777" w:rsidR="001E0C9C" w:rsidRPr="008853DE" w:rsidRDefault="001E0C9C" w:rsidP="001E0C9C">
      <w:pPr>
        <w:pStyle w:val="Prrafodelista"/>
        <w:spacing w:line="276" w:lineRule="auto"/>
        <w:ind w:right="-425"/>
        <w:jc w:val="both"/>
        <w:rPr>
          <w:rFonts w:ascii="Arial" w:hAnsi="Arial" w:cs="Arial"/>
          <w:iCs/>
          <w:color w:val="000000" w:themeColor="text1"/>
          <w:sz w:val="22"/>
        </w:rPr>
      </w:pPr>
    </w:p>
    <w:p w14:paraId="7CE25763"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 </w:t>
      </w:r>
    </w:p>
    <w:p w14:paraId="123F74C4" w14:textId="77777777" w:rsidR="001E0C9C" w:rsidRPr="008853DE" w:rsidRDefault="001E0C9C" w:rsidP="001E0C9C">
      <w:pPr>
        <w:ind w:left="709" w:right="758"/>
        <w:jc w:val="both"/>
        <w:rPr>
          <w:rFonts w:ascii="Arial" w:hAnsi="Arial" w:cs="Arial"/>
          <w:iCs/>
          <w:color w:val="000000" w:themeColor="text1"/>
          <w:sz w:val="21"/>
          <w:szCs w:val="21"/>
        </w:rPr>
      </w:pPr>
    </w:p>
    <w:p w14:paraId="276F4A29" w14:textId="77777777" w:rsidR="001E0C9C" w:rsidRPr="008853DE" w:rsidRDefault="001E0C9C" w:rsidP="001E0C9C">
      <w:pPr>
        <w:spacing w:line="276" w:lineRule="auto"/>
        <w:ind w:right="142" w:firstLine="708"/>
        <w:jc w:val="both"/>
        <w:rPr>
          <w:rFonts w:ascii="Arial" w:hAnsi="Arial" w:cs="Arial"/>
          <w:iCs/>
          <w:color w:val="000000" w:themeColor="text1"/>
          <w:sz w:val="22"/>
        </w:rPr>
      </w:pPr>
      <w:r w:rsidRPr="008853DE">
        <w:rPr>
          <w:rFonts w:ascii="Arial" w:hAnsi="Arial" w:cs="Arial"/>
          <w:iCs/>
          <w:color w:val="000000" w:themeColor="text1"/>
          <w:sz w:val="22"/>
        </w:rPr>
        <w:t xml:space="preserve">De igual forma, en la sentencia del 23 de junio de 2010, expediente 16.367 y ponencia de Enrique Gil Botero, la Sección Tercera del Consejo de Estado indicó que «el núcleo mínimo de este derecho exige que una norma –legal o contractual– contemple la falta y la sanción. Si ni siquiera lo hace el contrato, la administración no puede imponer sanciones, so pena de violar el debido proceso». Así mismo, frente al tema </w:t>
      </w:r>
      <w:r w:rsidRPr="008853DE">
        <w:rPr>
          <w:rFonts w:ascii="Arial" w:hAnsi="Arial" w:cs="Arial"/>
          <w:i/>
          <w:color w:val="000000" w:themeColor="text1"/>
          <w:sz w:val="22"/>
        </w:rPr>
        <w:t xml:space="preserve">sub examine, </w:t>
      </w:r>
      <w:r w:rsidRPr="008853DE">
        <w:rPr>
          <w:rFonts w:ascii="Arial" w:hAnsi="Arial" w:cs="Arial"/>
          <w:iCs/>
          <w:color w:val="000000" w:themeColor="text1"/>
          <w:sz w:val="22"/>
        </w:rPr>
        <w:lastRenderedPageBreak/>
        <w:t>el máximo Tribunal de lo Contencioso Administrativo, en sentencia del 13 de noviembre de 2008</w:t>
      </w:r>
      <w:r w:rsidRPr="008853DE">
        <w:rPr>
          <w:rStyle w:val="Refdenotaalpie"/>
          <w:rFonts w:ascii="Arial" w:hAnsi="Arial" w:cs="Arial"/>
          <w:iCs/>
          <w:color w:val="000000" w:themeColor="text1"/>
          <w:sz w:val="22"/>
        </w:rPr>
        <w:footnoteReference w:id="3"/>
      </w:r>
      <w:r w:rsidRPr="008853DE">
        <w:rPr>
          <w:rFonts w:ascii="Arial" w:hAnsi="Arial" w:cs="Arial"/>
          <w:iCs/>
          <w:color w:val="000000" w:themeColor="text1"/>
          <w:sz w:val="22"/>
        </w:rPr>
        <w:t xml:space="preserve">, indicó </w:t>
      </w:r>
      <w:r w:rsidRPr="008853DE">
        <w:rPr>
          <w:rFonts w:ascii="Arial" w:hAnsi="Arial" w:cs="Arial"/>
          <w:i/>
          <w:color w:val="000000" w:themeColor="text1"/>
          <w:sz w:val="22"/>
        </w:rPr>
        <w:t xml:space="preserve">in extenso </w:t>
      </w:r>
      <w:r w:rsidRPr="008853DE">
        <w:rPr>
          <w:rFonts w:ascii="Arial" w:hAnsi="Arial" w:cs="Arial"/>
          <w:iCs/>
          <w:color w:val="000000" w:themeColor="text1"/>
          <w:sz w:val="22"/>
        </w:rPr>
        <w:t>lo siguiente:</w:t>
      </w:r>
    </w:p>
    <w:p w14:paraId="737CE141" w14:textId="77777777" w:rsidR="001E0C9C" w:rsidRPr="008853DE" w:rsidRDefault="001E0C9C" w:rsidP="001E0C9C">
      <w:pPr>
        <w:pStyle w:val="Prrafodelista"/>
        <w:spacing w:line="276" w:lineRule="auto"/>
        <w:ind w:right="-425"/>
        <w:jc w:val="both"/>
        <w:rPr>
          <w:rFonts w:ascii="Arial" w:hAnsi="Arial" w:cs="Arial"/>
          <w:iCs/>
          <w:color w:val="000000" w:themeColor="text1"/>
          <w:sz w:val="22"/>
        </w:rPr>
      </w:pPr>
    </w:p>
    <w:p w14:paraId="18DA7D11"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10FCB1CC"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xml:space="preserve"> </w:t>
      </w:r>
    </w:p>
    <w:p w14:paraId="493D9090"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14:paraId="59DFB9A8" w14:textId="77777777" w:rsidR="001E0C9C" w:rsidRPr="008853DE" w:rsidRDefault="001E0C9C" w:rsidP="001E0C9C">
      <w:pPr>
        <w:pStyle w:val="Prrafodelista"/>
        <w:ind w:left="709" w:right="758"/>
        <w:jc w:val="both"/>
        <w:rPr>
          <w:rFonts w:ascii="Arial" w:hAnsi="Arial" w:cs="Arial"/>
          <w:iCs/>
          <w:color w:val="000000" w:themeColor="text1"/>
          <w:sz w:val="21"/>
          <w:szCs w:val="21"/>
        </w:rPr>
      </w:pPr>
    </w:p>
    <w:p w14:paraId="76E23799"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Obsérvese cómo el «principio de legalidad»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5F7BD30E" w14:textId="77777777" w:rsidR="001E0C9C" w:rsidRPr="008853DE" w:rsidRDefault="001E0C9C" w:rsidP="001E0C9C">
      <w:pPr>
        <w:pStyle w:val="Prrafodelista"/>
        <w:ind w:left="709" w:right="758"/>
        <w:jc w:val="both"/>
        <w:rPr>
          <w:rFonts w:ascii="Arial" w:hAnsi="Arial" w:cs="Arial"/>
          <w:iCs/>
          <w:color w:val="000000" w:themeColor="text1"/>
          <w:sz w:val="21"/>
          <w:szCs w:val="21"/>
        </w:rPr>
      </w:pPr>
    </w:p>
    <w:p w14:paraId="2C5C9E46"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p>
    <w:p w14:paraId="7830A344" w14:textId="77777777" w:rsidR="001E0C9C" w:rsidRPr="008853DE" w:rsidRDefault="001E0C9C" w:rsidP="001E0C9C">
      <w:pPr>
        <w:pStyle w:val="Prrafodelista"/>
        <w:spacing w:line="276" w:lineRule="auto"/>
        <w:ind w:right="-425"/>
        <w:jc w:val="both"/>
        <w:rPr>
          <w:rFonts w:ascii="Arial" w:hAnsi="Arial" w:cs="Arial"/>
          <w:iCs/>
          <w:color w:val="000000" w:themeColor="text1"/>
          <w:sz w:val="22"/>
        </w:rPr>
      </w:pPr>
    </w:p>
    <w:p w14:paraId="7CF45E9C" w14:textId="77777777" w:rsidR="001E0C9C" w:rsidRPr="008853DE" w:rsidRDefault="001E0C9C" w:rsidP="001E0C9C">
      <w:pPr>
        <w:spacing w:line="276" w:lineRule="auto"/>
        <w:ind w:right="142" w:firstLine="708"/>
        <w:jc w:val="both"/>
        <w:rPr>
          <w:rFonts w:ascii="Arial" w:hAnsi="Arial" w:cs="Arial"/>
          <w:iCs/>
          <w:color w:val="000000" w:themeColor="text1"/>
          <w:sz w:val="22"/>
        </w:rPr>
      </w:pPr>
      <w:r w:rsidRPr="008853DE">
        <w:rPr>
          <w:rFonts w:ascii="Arial" w:hAnsi="Arial" w:cs="Arial"/>
          <w:iCs/>
          <w:color w:val="000000" w:themeColor="text1"/>
          <w:sz w:val="22"/>
        </w:rPr>
        <w:t>De otro lado, la Corte Constitucional</w:t>
      </w:r>
      <w:r w:rsidRPr="008853DE">
        <w:rPr>
          <w:rStyle w:val="Refdenotaalpie"/>
          <w:rFonts w:ascii="Arial" w:hAnsi="Arial" w:cs="Arial"/>
          <w:iCs/>
          <w:color w:val="000000" w:themeColor="text1"/>
          <w:sz w:val="22"/>
        </w:rPr>
        <w:footnoteReference w:id="4"/>
      </w:r>
      <w:r w:rsidRPr="008853DE">
        <w:rPr>
          <w:rFonts w:ascii="Arial" w:hAnsi="Arial" w:cs="Arial"/>
          <w:iCs/>
          <w:color w:val="000000" w:themeColor="text1"/>
          <w:sz w:val="22"/>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45DE9110"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lastRenderedPageBreak/>
        <w:t xml:space="preserve">Por su parte, el artículo 17 de la Ley 1150 de 2007, además de autorizar la imposición unilateral de multas, también precisa que la declaración de incumplimiento tiene como propósito «hacer efectiva la cláusula penal pecuniaria incluida en el contrato». </w:t>
      </w:r>
    </w:p>
    <w:p w14:paraId="066FFF8A"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En este punto, conviene resaltar lo dicho por la Sección Tercera del Consejo de Estado</w:t>
      </w:r>
      <w:r w:rsidRPr="008853DE">
        <w:rPr>
          <w:rFonts w:ascii="Arial" w:hAnsi="Arial" w:cs="Arial"/>
          <w:color w:val="000000" w:themeColor="text1"/>
          <w:sz w:val="22"/>
          <w:vertAlign w:val="superscript"/>
        </w:rPr>
        <w:footnoteReference w:id="5"/>
      </w:r>
      <w:r w:rsidRPr="008853DE">
        <w:rPr>
          <w:rFonts w:ascii="Arial" w:hAnsi="Arial" w:cs="Arial"/>
          <w:iCs/>
          <w:color w:val="000000" w:themeColor="text1"/>
          <w:sz w:val="22"/>
        </w:rPr>
        <w:t>, en relación con las diferencias entre las multas y la cláusula penal, esto es: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11AAF3C1"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Igualmente, la Ley 1474 de 2011 contempla la posibilidad de declarar el incumplimiento cuantificando los perjuicios del mismo, claro está, previa citación del contratista y respetando el debido proceso. Al respecto, el artículo 86 de la Ley 1474 de 2011 establece las etapas del procedimiento que se deben seguir:  i) c</w:t>
      </w:r>
      <w:r w:rsidRPr="008853DE">
        <w:rPr>
          <w:rFonts w:ascii="Arial" w:hAnsi="Arial" w:cs="Arial"/>
          <w:i/>
          <w:iCs/>
          <w:color w:val="000000" w:themeColor="text1"/>
          <w:sz w:val="22"/>
        </w:rPr>
        <w:t>itación a audiencia</w:t>
      </w:r>
      <w:r w:rsidRPr="008853DE">
        <w:rPr>
          <w:rFonts w:ascii="Arial" w:hAnsi="Arial" w:cs="Arial"/>
          <w:iCs/>
          <w:color w:val="000000" w:themeColor="text1"/>
          <w:sz w:val="22"/>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ii) </w:t>
      </w:r>
      <w:r w:rsidRPr="008853DE">
        <w:rPr>
          <w:rFonts w:ascii="Arial" w:hAnsi="Arial" w:cs="Arial"/>
          <w:i/>
          <w:iCs/>
          <w:color w:val="000000" w:themeColor="text1"/>
          <w:sz w:val="22"/>
        </w:rPr>
        <w:t>Audiencia</w:t>
      </w:r>
      <w:r w:rsidRPr="008853DE">
        <w:rPr>
          <w:rFonts w:ascii="Arial" w:hAnsi="Arial" w:cs="Arial"/>
          <w:iCs/>
          <w:color w:val="000000" w:themeColor="text1"/>
          <w:sz w:val="22"/>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8853DE">
        <w:rPr>
          <w:rFonts w:ascii="Arial" w:hAnsi="Arial" w:cs="Arial"/>
          <w:i/>
          <w:iCs/>
          <w:color w:val="000000" w:themeColor="text1"/>
          <w:sz w:val="22"/>
        </w:rPr>
        <w:t>Decisión</w:t>
      </w:r>
      <w:r w:rsidRPr="008853DE">
        <w:rPr>
          <w:rFonts w:ascii="Arial" w:hAnsi="Arial" w:cs="Arial"/>
          <w:iCs/>
          <w:color w:val="000000" w:themeColor="text1"/>
          <w:sz w:val="22"/>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6655E371" w14:textId="77777777" w:rsidR="001E0C9C" w:rsidRPr="008853DE" w:rsidRDefault="001E0C9C" w:rsidP="001E0C9C">
      <w:pPr>
        <w:spacing w:before="120" w:line="276" w:lineRule="auto"/>
        <w:ind w:right="142" w:firstLine="709"/>
        <w:jc w:val="both"/>
        <w:rPr>
          <w:rFonts w:ascii="Arial" w:hAnsi="Arial" w:cs="Arial"/>
          <w:iCs/>
          <w:color w:val="000000" w:themeColor="text1"/>
          <w:sz w:val="22"/>
        </w:rPr>
      </w:pPr>
      <w:r w:rsidRPr="008853DE">
        <w:rPr>
          <w:rFonts w:ascii="Arial" w:hAnsi="Arial" w:cs="Arial"/>
          <w:iCs/>
          <w:color w:val="000000" w:themeColor="text1"/>
          <w:sz w:val="22"/>
        </w:rPr>
        <w:t>En este sentido, la entidad está facultada para cuantificar los perjuicios causados por el incumplimiento del contratista, previa declaración del mismo y luego de haberse surtido el trámite antes referido. Esta facultad, en palabras de la Corte Constitucional, «[…] está reglada y se ejerce conforme a un procedimiento administrativo, del que debe darse cuenta en un acto administrativo motivado, de tal suerte que la cuantificación de los perjuicios no obedece a la mera discrecionalidad de la entidad estatal, ni es fruto de su capricho […]»</w:t>
      </w:r>
      <w:r w:rsidRPr="008853DE">
        <w:rPr>
          <w:rStyle w:val="Refdenotaalpie"/>
          <w:rFonts w:ascii="Arial" w:hAnsi="Arial" w:cs="Arial"/>
          <w:iCs/>
          <w:color w:val="000000" w:themeColor="text1"/>
          <w:sz w:val="22"/>
        </w:rPr>
        <w:footnoteReference w:id="6"/>
      </w:r>
      <w:r w:rsidRPr="008853DE">
        <w:rPr>
          <w:rFonts w:ascii="Arial" w:hAnsi="Arial" w:cs="Arial"/>
          <w:iCs/>
          <w:color w:val="000000" w:themeColor="text1"/>
          <w:sz w:val="22"/>
        </w:rPr>
        <w:t>.</w:t>
      </w:r>
    </w:p>
    <w:p w14:paraId="080345F6" w14:textId="77777777" w:rsidR="001E0C9C" w:rsidRPr="008853DE" w:rsidRDefault="001E0C9C" w:rsidP="001E0C9C">
      <w:pPr>
        <w:spacing w:before="120" w:line="276" w:lineRule="auto"/>
        <w:ind w:right="142" w:firstLine="709"/>
        <w:jc w:val="both"/>
        <w:rPr>
          <w:rFonts w:ascii="Arial" w:eastAsia="Calibri" w:hAnsi="Arial" w:cs="Arial"/>
          <w:color w:val="000000" w:themeColor="text1"/>
          <w:sz w:val="22"/>
          <w:lang w:val="es-ES_tradnl"/>
        </w:rPr>
      </w:pPr>
      <w:r w:rsidRPr="008853DE">
        <w:rPr>
          <w:rFonts w:ascii="Arial" w:hAnsi="Arial" w:cs="Arial"/>
          <w:iCs/>
          <w:color w:val="000000" w:themeColor="text1"/>
          <w:sz w:val="22"/>
        </w:rPr>
        <w:lastRenderedPageBreak/>
        <w:t>Valga la pena precisar que e</w:t>
      </w:r>
      <w:r w:rsidRPr="008853DE">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8853DE">
        <w:rPr>
          <w:rStyle w:val="Refdenotaalpie"/>
          <w:rFonts w:ascii="Arial" w:eastAsia="Calibri" w:hAnsi="Arial" w:cs="Arial"/>
          <w:color w:val="000000" w:themeColor="text1"/>
          <w:sz w:val="22"/>
          <w:lang w:val="es-ES_tradnl"/>
        </w:rPr>
        <w:footnoteReference w:id="7"/>
      </w:r>
      <w:r w:rsidRPr="008853DE">
        <w:rPr>
          <w:rFonts w:ascii="Arial" w:eastAsia="Calibri" w:hAnsi="Arial" w:cs="Arial"/>
          <w:color w:val="000000" w:themeColor="text1"/>
          <w:sz w:val="22"/>
          <w:lang w:val="es-ES_tradnl"/>
        </w:rPr>
        <w:t xml:space="preserve">. De ahí que las entidades de </w:t>
      </w:r>
      <w:r w:rsidRPr="008853DE">
        <w:rPr>
          <w:rFonts w:ascii="Arial" w:eastAsia="Calibri" w:hAnsi="Arial" w:cs="Arial"/>
          <w:i/>
          <w:iCs/>
          <w:color w:val="000000" w:themeColor="text1"/>
          <w:sz w:val="22"/>
          <w:lang w:val="es-ES_tradnl"/>
        </w:rPr>
        <w:t>régimen especial</w:t>
      </w:r>
      <w:r w:rsidRPr="008853DE">
        <w:rPr>
          <w:rStyle w:val="Refdenotaalpie"/>
          <w:rFonts w:ascii="Arial" w:eastAsia="Calibri" w:hAnsi="Arial" w:cs="Arial"/>
          <w:i/>
          <w:iCs/>
          <w:color w:val="000000" w:themeColor="text1"/>
          <w:sz w:val="22"/>
          <w:lang w:val="es-ES_tradnl"/>
        </w:rPr>
        <w:footnoteReference w:id="8"/>
      </w:r>
      <w:r w:rsidRPr="008853DE">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EGCAP, sino, por el contrario, entidades exceptuadas de este.</w:t>
      </w:r>
    </w:p>
    <w:p w14:paraId="009FB507" w14:textId="77777777" w:rsidR="001E0C9C" w:rsidRPr="008853DE" w:rsidRDefault="001E0C9C" w:rsidP="001E0C9C">
      <w:pPr>
        <w:spacing w:before="120" w:after="120" w:line="276" w:lineRule="auto"/>
        <w:ind w:firstLine="709"/>
        <w:jc w:val="both"/>
        <w:rPr>
          <w:rFonts w:ascii="Arial" w:eastAsia="Calibri" w:hAnsi="Arial" w:cs="Arial"/>
          <w:color w:val="000000" w:themeColor="text1"/>
          <w:sz w:val="22"/>
          <w:lang w:val="es-ES_tradnl"/>
        </w:rPr>
      </w:pPr>
      <w:r w:rsidRPr="008853DE">
        <w:rPr>
          <w:rFonts w:ascii="Arial" w:eastAsia="Calibri" w:hAnsi="Arial" w:cs="Arial"/>
          <w:color w:val="000000" w:themeColor="text1"/>
          <w:sz w:val="22"/>
          <w:lang w:val="es-ES_tradnl"/>
        </w:rPr>
        <w:t>Si bien en los últimos años se ha presentado un intenso debate al interior de la Sección Tercera del Consejo de Estado, acerca de la posibilidad de las entidades con régimen especial de contratación de ejercer autotutela declarativa, imponiendo las sanciones pactadas en el contrato</w:t>
      </w:r>
      <w:r w:rsidRPr="008853DE">
        <w:rPr>
          <w:rStyle w:val="Refdenotaalpie"/>
          <w:rFonts w:ascii="Arial" w:eastAsia="Calibri" w:hAnsi="Arial" w:cs="Arial"/>
          <w:color w:val="000000" w:themeColor="text1"/>
          <w:sz w:val="22"/>
          <w:lang w:val="es-ES_tradnl"/>
        </w:rPr>
        <w:footnoteReference w:id="9"/>
      </w:r>
      <w:r w:rsidRPr="008853DE">
        <w:rPr>
          <w:rFonts w:ascii="Arial" w:eastAsia="Calibri" w:hAnsi="Arial" w:cs="Arial"/>
          <w:color w:val="000000" w:themeColor="text1"/>
          <w:sz w:val="22"/>
          <w:lang w:val="es-ES_tradnl"/>
        </w:rPr>
        <w:t xml:space="preserve">, esta Subdirección ha considerado que la potestad sancionatoria debe consagrarse expresamente en la ley, para que sea viable su ejercicio; además, es necesario que se regule previamente y a nivel legal el procedimiento aplicable para la imposición de las sanciones. Ambas condiciones son la materialización de los principios de competencia y de legalidad de las formas propias de cada juicio, contenidas en el derecho fundamental al debido proceso, que rige también en las actuaciones </w:t>
      </w:r>
      <w:r w:rsidRPr="008853DE">
        <w:rPr>
          <w:rFonts w:ascii="Arial" w:eastAsia="Calibri" w:hAnsi="Arial" w:cs="Arial"/>
          <w:color w:val="000000" w:themeColor="text1"/>
          <w:sz w:val="22"/>
          <w:lang w:val="es-ES_tradnl"/>
        </w:rPr>
        <w:lastRenderedPageBreak/>
        <w:t>administrativas, según lo indica el primer inciso del artículo 29 de la Constitución</w:t>
      </w:r>
      <w:r w:rsidRPr="008853DE">
        <w:rPr>
          <w:rStyle w:val="Refdenotaalpie"/>
          <w:rFonts w:ascii="Arial" w:eastAsia="Calibri" w:hAnsi="Arial" w:cs="Arial"/>
          <w:color w:val="000000" w:themeColor="text1"/>
          <w:sz w:val="22"/>
          <w:lang w:val="es-ES_tradnl"/>
        </w:rPr>
        <w:footnoteReference w:id="10"/>
      </w:r>
      <w:r w:rsidRPr="008853DE">
        <w:rPr>
          <w:rFonts w:ascii="Arial" w:eastAsia="Calibri" w:hAnsi="Arial" w:cs="Arial"/>
          <w:color w:val="000000" w:themeColor="text1"/>
          <w:sz w:val="22"/>
          <w:lang w:val="es-ES_tradnl"/>
        </w:rPr>
        <w:t xml:space="preserve"> y el artículo 3, numeral 1 de la Ley 1437 de 2011</w:t>
      </w:r>
      <w:r w:rsidRPr="008853DE">
        <w:rPr>
          <w:rStyle w:val="Refdenotaalpie"/>
          <w:rFonts w:ascii="Arial" w:eastAsia="Calibri" w:hAnsi="Arial" w:cs="Arial"/>
          <w:color w:val="000000" w:themeColor="text1"/>
          <w:sz w:val="22"/>
          <w:lang w:val="es-ES_tradnl"/>
        </w:rPr>
        <w:footnoteReference w:id="11"/>
      </w:r>
      <w:r w:rsidRPr="008853DE">
        <w:rPr>
          <w:rFonts w:ascii="Arial" w:eastAsia="Calibri" w:hAnsi="Arial" w:cs="Arial"/>
          <w:color w:val="000000" w:themeColor="text1"/>
          <w:sz w:val="22"/>
          <w:lang w:val="es-ES_tradnl"/>
        </w:rPr>
        <w:t xml:space="preserve">. </w:t>
      </w:r>
    </w:p>
    <w:p w14:paraId="09F08C09" w14:textId="77777777" w:rsidR="001E0C9C" w:rsidRPr="008853DE" w:rsidRDefault="001E0C9C" w:rsidP="001E0C9C">
      <w:pPr>
        <w:spacing w:before="120" w:after="120" w:line="276" w:lineRule="auto"/>
        <w:ind w:firstLine="709"/>
        <w:jc w:val="both"/>
        <w:rPr>
          <w:rFonts w:ascii="Arial" w:eastAsia="Calibri" w:hAnsi="Arial" w:cs="Arial"/>
          <w:color w:val="000000" w:themeColor="text1"/>
          <w:sz w:val="22"/>
          <w:lang w:val="es-ES_tradnl"/>
        </w:rPr>
      </w:pPr>
      <w:r w:rsidRPr="008853DE">
        <w:rPr>
          <w:rFonts w:ascii="Arial" w:eastAsia="Calibri" w:hAnsi="Arial" w:cs="Arial"/>
          <w:color w:val="000000" w:themeColor="text1"/>
          <w:sz w:val="22"/>
          <w:lang w:val="es-ES_tradnl"/>
        </w:rPr>
        <w:t xml:space="preserve">Por tanto, las entidades de </w:t>
      </w:r>
      <w:r w:rsidRPr="008853DE">
        <w:rPr>
          <w:rFonts w:ascii="Arial" w:eastAsia="Calibri" w:hAnsi="Arial" w:cs="Arial"/>
          <w:i/>
          <w:iCs/>
          <w:color w:val="000000" w:themeColor="text1"/>
          <w:sz w:val="22"/>
          <w:lang w:val="es-ES_tradnl"/>
        </w:rPr>
        <w:t xml:space="preserve">régimen especial </w:t>
      </w:r>
      <w:r w:rsidRPr="008853DE">
        <w:rPr>
          <w:rFonts w:ascii="Arial" w:eastAsia="Calibri" w:hAnsi="Arial" w:cs="Arial"/>
          <w:color w:val="000000" w:themeColor="text1"/>
          <w:sz w:val="22"/>
          <w:lang w:val="es-ES_tradnl"/>
        </w:rPr>
        <w:t>pueden pactar en el contrato que, ante el incumplimiento del contratista, se activará el derecho al pago de sanciones, como la multa o la cláusula penal pecuniaria, pero para hacerlas efectivas deben acudir a la Jurisdicción de lo Contencioso Administrativo, en ejercicio del medio de control de controversias contractuales previsto en el artículo 141 de la Ley 1437 de 2011, que, como lo ha indicado la jurisprudencia, es un medio de control «pluripretensional»</w:t>
      </w:r>
      <w:r w:rsidRPr="008853DE">
        <w:rPr>
          <w:rStyle w:val="Refdenotaalpie"/>
          <w:rFonts w:ascii="Arial" w:eastAsia="Calibri" w:hAnsi="Arial" w:cs="Arial"/>
          <w:color w:val="000000" w:themeColor="text1"/>
          <w:sz w:val="22"/>
          <w:lang w:val="es-ES_tradnl"/>
        </w:rPr>
        <w:footnoteReference w:id="12"/>
      </w:r>
      <w:r w:rsidRPr="008853DE">
        <w:rPr>
          <w:rFonts w:ascii="Arial" w:eastAsia="Calibri" w:hAnsi="Arial" w:cs="Arial"/>
          <w:color w:val="000000" w:themeColor="text1"/>
          <w:sz w:val="22"/>
          <w:lang w:val="es-ES_tradnl"/>
        </w:rPr>
        <w:t xml:space="preserve">, pues admite canalizar a través de él múltiples pretensiones, como la solicitud de declaratoria de incumplimiento y consecuencialmente la imposición de las sanciones estipuladas en el contrato. En efecto, dicho artículo establece que en la demanda se puede pedir «[…] que se declare su existencia o su nulidad, que se ordene su revisión, que se declare su incumplimiento, que se declare la nulidad de los actos administrativos contractuales, que se condene al responsable a indemnizar los perjuicios, y que se hagan otras declaraciones y condenas […]». </w:t>
      </w:r>
    </w:p>
    <w:p w14:paraId="6C38FB7A" w14:textId="77777777" w:rsidR="001E0C9C" w:rsidRPr="008853DE" w:rsidRDefault="001E0C9C" w:rsidP="001E0C9C">
      <w:pPr>
        <w:spacing w:before="120" w:after="120" w:line="276" w:lineRule="auto"/>
        <w:ind w:firstLine="709"/>
        <w:jc w:val="both"/>
        <w:rPr>
          <w:rFonts w:ascii="Arial" w:eastAsia="Calibri" w:hAnsi="Arial" w:cs="Arial"/>
          <w:color w:val="000000" w:themeColor="text1"/>
          <w:sz w:val="22"/>
          <w:lang w:val="es-ES_tradnl"/>
        </w:rPr>
      </w:pPr>
      <w:r w:rsidRPr="008853DE">
        <w:rPr>
          <w:rFonts w:ascii="Arial" w:eastAsia="Calibri" w:hAnsi="Arial" w:cs="Arial"/>
          <w:color w:val="000000" w:themeColor="text1"/>
          <w:sz w:val="22"/>
          <w:lang w:val="es-ES_tradnl"/>
        </w:rPr>
        <w:lastRenderedPageBreak/>
        <w:t>No considera entonces esta Subdirección que las entidades de régimen especial, que se exceptúan de la aplicación del EGCAP, tengan competencia para imponer unilateralmente sanciones contractuales</w:t>
      </w:r>
      <w:r w:rsidRPr="008853DE">
        <w:rPr>
          <w:rStyle w:val="Refdenotaalpie"/>
          <w:rFonts w:ascii="Arial" w:eastAsia="Calibri" w:hAnsi="Arial" w:cs="Arial"/>
          <w:color w:val="000000" w:themeColor="text1"/>
          <w:sz w:val="22"/>
          <w:lang w:val="es-ES_tradnl"/>
        </w:rPr>
        <w:footnoteReference w:id="13"/>
      </w:r>
      <w:r w:rsidRPr="008853DE">
        <w:rPr>
          <w:rFonts w:ascii="Arial" w:eastAsia="Calibri" w:hAnsi="Arial" w:cs="Arial"/>
          <w:color w:val="000000" w:themeColor="text1"/>
          <w:sz w:val="22"/>
          <w:lang w:val="es-ES_tradnl"/>
        </w:rPr>
        <w:t>. Pero si en gracia de discusión gozaran de ella, el procedimiento administrativo que deberían adelantar para imponerlas no sería el del artículo 86 de la Ley 1474 de 2011, porque, como se explicó, el primer inciso de dicha norma establece que rige para las entidades sometidas al Estatuto General de Contratación de la Administración Pública. Entonces, si se admitiera que estas entidades pueden declarar el incumplimiento mediante acto administrativo, para hacer efectivas las sanciones contractuales, al no existir un procedimiento especial tendrían que cumplir con el procedimiento administrativo regulado en los artículos 47 al 52 de la Ley 1437 de 2011, pues la primera de las referidas disposiciones establece, en armonía con el artículo 2 dicho Código –consagratorio del principio de subsidiariedad–, que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Sin embargo, se reitera que esto solo sería en el evento de aceptarse que dichos órganos del Estado tienen competencia para imponer sanciones contractuales; lo que en realidad no sucede.</w:t>
      </w:r>
    </w:p>
    <w:p w14:paraId="6114643A" w14:textId="77777777" w:rsidR="001E0C9C" w:rsidRPr="008853DE" w:rsidRDefault="001E0C9C" w:rsidP="001E0C9C">
      <w:pPr>
        <w:spacing w:line="276" w:lineRule="auto"/>
        <w:ind w:firstLine="709"/>
        <w:jc w:val="both"/>
        <w:rPr>
          <w:rFonts w:ascii="Arial" w:eastAsia="Calibri" w:hAnsi="Arial" w:cs="Arial"/>
          <w:color w:val="000000" w:themeColor="text1"/>
          <w:sz w:val="22"/>
          <w:lang w:val="es-ES_tradnl"/>
        </w:rPr>
      </w:pPr>
      <w:r w:rsidRPr="008853DE">
        <w:rPr>
          <w:rFonts w:ascii="Arial" w:eastAsia="Calibri" w:hAnsi="Arial" w:cs="Arial"/>
          <w:color w:val="000000" w:themeColor="text1"/>
          <w:sz w:val="22"/>
          <w:lang w:val="es-ES_tradnl"/>
        </w:rPr>
        <w:t>Sin perjuicio de la anterior, hay entidades de régimen especial que tienen la competencia para declarar la caducidad del contrato, pues la ley las sujeta a las normas de derecho privado, pero les permite ejercer tales exorbitancias. Tal es el caso de las empresas prestadoras de servicios públicos domiciliarios</w:t>
      </w:r>
      <w:r w:rsidRPr="008853DE">
        <w:rPr>
          <w:rStyle w:val="Refdenotaalpie"/>
          <w:rFonts w:ascii="Arial" w:eastAsia="Calibri" w:hAnsi="Arial" w:cs="Arial"/>
          <w:color w:val="000000" w:themeColor="text1"/>
          <w:sz w:val="22"/>
          <w:lang w:val="es-ES_tradnl"/>
        </w:rPr>
        <w:footnoteReference w:id="14"/>
      </w:r>
      <w:r w:rsidRPr="008853DE">
        <w:rPr>
          <w:rFonts w:ascii="Arial" w:eastAsia="Calibri" w:hAnsi="Arial" w:cs="Arial"/>
          <w:color w:val="000000" w:themeColor="text1"/>
          <w:sz w:val="22"/>
          <w:lang w:val="es-ES_tradnl"/>
        </w:rPr>
        <w:t xml:space="preserve"> y de las empresas sociales del </w:t>
      </w:r>
      <w:r w:rsidRPr="008853DE">
        <w:rPr>
          <w:rFonts w:ascii="Arial" w:eastAsia="Calibri" w:hAnsi="Arial" w:cs="Arial"/>
          <w:color w:val="000000" w:themeColor="text1"/>
          <w:sz w:val="22"/>
          <w:lang w:val="es-ES_tradnl"/>
        </w:rPr>
        <w:lastRenderedPageBreak/>
        <w:t>Estado</w:t>
      </w:r>
      <w:r w:rsidRPr="008853DE">
        <w:rPr>
          <w:rStyle w:val="Refdenotaalpie"/>
          <w:rFonts w:ascii="Arial" w:eastAsia="Calibri" w:hAnsi="Arial" w:cs="Arial"/>
          <w:color w:val="000000" w:themeColor="text1"/>
          <w:sz w:val="22"/>
          <w:lang w:val="es-ES_tradnl"/>
        </w:rPr>
        <w:footnoteReference w:id="15"/>
      </w:r>
      <w:r w:rsidRPr="008853DE">
        <w:rPr>
          <w:rFonts w:ascii="Arial" w:eastAsia="Calibri" w:hAnsi="Arial" w:cs="Arial"/>
          <w:color w:val="000000" w:themeColor="text1"/>
          <w:sz w:val="22"/>
          <w:lang w:val="es-ES_tradnl"/>
        </w:rPr>
        <w:t>. En tales eventos, las entidades de régimen especial deben aplicar el procedimiento administrativo sancionatorio del artículo 86 de la Ley 1474 de 2011, ya que en el pacto e imposición de la caducidad se consideran entidades sometidas al EGCAP. Sin embargo, una posibilidad como la anterior se restringe a los supuestos donde, pese a tratarse de entidades de régimen especial, existe una atribución particular de potestades excepcionales, cuya regulación las remita particularmente al EGCAP.</w:t>
      </w:r>
    </w:p>
    <w:p w14:paraId="6655F2B0" w14:textId="77777777" w:rsidR="001E0C9C" w:rsidRPr="008853DE" w:rsidRDefault="001E0C9C" w:rsidP="001E0C9C">
      <w:pPr>
        <w:spacing w:line="276" w:lineRule="auto"/>
        <w:jc w:val="both"/>
        <w:rPr>
          <w:rFonts w:ascii="Arial" w:eastAsia="Calibri" w:hAnsi="Arial" w:cs="Arial"/>
          <w:color w:val="000000" w:themeColor="text1"/>
          <w:sz w:val="22"/>
          <w:lang w:val="es-ES_tradnl"/>
        </w:rPr>
      </w:pPr>
    </w:p>
    <w:p w14:paraId="0A4C402E" w14:textId="77777777" w:rsidR="001E0C9C" w:rsidRPr="008853DE" w:rsidRDefault="001E0C9C" w:rsidP="001E0C9C">
      <w:pPr>
        <w:spacing w:line="276" w:lineRule="auto"/>
        <w:jc w:val="both"/>
        <w:rPr>
          <w:rFonts w:ascii="Arial" w:eastAsia="Calibri" w:hAnsi="Arial" w:cs="Arial"/>
          <w:b/>
          <w:bCs/>
          <w:color w:val="000000" w:themeColor="text1"/>
          <w:sz w:val="22"/>
          <w:lang w:val="es-ES_tradnl"/>
        </w:rPr>
      </w:pPr>
      <w:r w:rsidRPr="008853DE">
        <w:rPr>
          <w:rFonts w:ascii="Arial" w:eastAsia="Calibri" w:hAnsi="Arial" w:cs="Arial"/>
          <w:b/>
          <w:bCs/>
          <w:color w:val="000000" w:themeColor="text1"/>
          <w:sz w:val="22"/>
          <w:lang w:val="es-ES_tradnl"/>
        </w:rPr>
        <w:t>2.1.1. Proporcionalidad en la imposición unilateral de la</w:t>
      </w:r>
      <w:r>
        <w:rPr>
          <w:rFonts w:ascii="Arial" w:eastAsia="Calibri" w:hAnsi="Arial" w:cs="Arial"/>
          <w:b/>
          <w:bCs/>
          <w:color w:val="000000" w:themeColor="text1"/>
          <w:sz w:val="22"/>
          <w:lang w:val="es-ES_tradnl"/>
        </w:rPr>
        <w:t>s</w:t>
      </w:r>
      <w:r w:rsidRPr="008853DE">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cláusulas penales</w:t>
      </w:r>
      <w:r w:rsidRPr="008853DE">
        <w:rPr>
          <w:rFonts w:ascii="Arial" w:eastAsia="Calibri" w:hAnsi="Arial" w:cs="Arial"/>
          <w:b/>
          <w:bCs/>
          <w:color w:val="000000" w:themeColor="text1"/>
          <w:sz w:val="22"/>
          <w:lang w:val="es-ES_tradnl"/>
        </w:rPr>
        <w:t xml:space="preserve"> y de multas</w:t>
      </w:r>
    </w:p>
    <w:p w14:paraId="2A46C9F4" w14:textId="77777777" w:rsidR="001E0C9C" w:rsidRPr="008853DE" w:rsidRDefault="001E0C9C" w:rsidP="001E0C9C">
      <w:pPr>
        <w:spacing w:line="276" w:lineRule="auto"/>
        <w:jc w:val="both"/>
        <w:rPr>
          <w:rFonts w:ascii="Arial" w:eastAsia="Calibri" w:hAnsi="Arial" w:cs="Arial"/>
          <w:color w:val="000000" w:themeColor="text1"/>
          <w:sz w:val="22"/>
          <w:lang w:val="es-ES_tradnl"/>
        </w:rPr>
      </w:pPr>
    </w:p>
    <w:p w14:paraId="78BE53AE" w14:textId="77777777" w:rsidR="001E0C9C" w:rsidRPr="008853DE" w:rsidRDefault="001E0C9C" w:rsidP="001E0C9C">
      <w:pPr>
        <w:spacing w:before="120" w:line="276" w:lineRule="auto"/>
        <w:ind w:right="142"/>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 xml:space="preserve">Frente a la </w:t>
      </w:r>
      <w:r w:rsidRPr="008853DE">
        <w:rPr>
          <w:rFonts w:ascii="Arial" w:hAnsi="Arial" w:cs="Arial"/>
          <w:i/>
          <w:color w:val="000000" w:themeColor="text1"/>
          <w:sz w:val="22"/>
          <w:lang w:val="es-ES_tradnl"/>
        </w:rPr>
        <w:t xml:space="preserve">imposición unilateral </w:t>
      </w:r>
      <w:r w:rsidRPr="008853DE">
        <w:rPr>
          <w:rFonts w:ascii="Arial" w:hAnsi="Arial" w:cs="Arial"/>
          <w:iCs/>
          <w:color w:val="000000" w:themeColor="text1"/>
          <w:sz w:val="22"/>
          <w:lang w:val="es-ES_tradnl"/>
        </w:rPr>
        <w:t>de las cláusulas penales y de multas, en relación con la graduación de las sanciones en los procedimientos administrativos sancionatorios contractuales, cabe destacar el artículo 50 de la Ley 1437 de 2011 –en adelante, también, CPACA–, norma que contiene «criterios de graduación de las 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que, a su vez, se sustenta en el parágrafo del artículo 47 del CPACA que establece, en relación con el procedimiento administrativo sancionatorio general, que: «Las actuaciones administrativas contractuales sancionatorias, incluyendo los recursos, se regirán por lo dispuesto en las normas especiales sobre la materia». De modo que en relación con este aspecto concreto, al existir regulación especial en otras leyes, se deben aplicar dichos criterios de proporcionalidad</w:t>
      </w:r>
      <w:r w:rsidRPr="008853DE">
        <w:rPr>
          <w:rStyle w:val="Refdenotaalpie"/>
          <w:rFonts w:ascii="Arial" w:hAnsi="Arial" w:cs="Arial"/>
          <w:iCs/>
          <w:color w:val="000000" w:themeColor="text1"/>
          <w:sz w:val="22"/>
          <w:lang w:val="es-ES_tradnl"/>
        </w:rPr>
        <w:footnoteReference w:id="16"/>
      </w:r>
      <w:r w:rsidRPr="008853DE">
        <w:rPr>
          <w:rFonts w:ascii="Arial" w:hAnsi="Arial" w:cs="Arial"/>
          <w:iCs/>
          <w:color w:val="000000" w:themeColor="text1"/>
          <w:sz w:val="22"/>
          <w:lang w:val="es-ES_tradnl"/>
        </w:rPr>
        <w:t>.</w:t>
      </w:r>
    </w:p>
    <w:p w14:paraId="389D2356" w14:textId="77777777" w:rsidR="001E0C9C" w:rsidRPr="008853DE" w:rsidRDefault="001E0C9C" w:rsidP="001E0C9C">
      <w:pPr>
        <w:spacing w:before="120" w:line="276" w:lineRule="auto"/>
        <w:ind w:right="142" w:firstLine="709"/>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En efecto, en el procedimiento sancionatorio contractual las entidades estatales deben actuar de acuerdo con el principio de proporcionalidad para «graduar las sanciones».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w:t>
      </w:r>
      <w:r w:rsidRPr="008853DE">
        <w:rPr>
          <w:rStyle w:val="Refdenotaalpie"/>
          <w:rFonts w:ascii="Arial" w:hAnsi="Arial" w:cs="Arial"/>
          <w:iCs/>
          <w:color w:val="000000" w:themeColor="text1"/>
          <w:sz w:val="22"/>
          <w:lang w:val="es-ES_tradnl"/>
        </w:rPr>
        <w:footnoteReference w:id="17"/>
      </w:r>
      <w:r w:rsidRPr="008853DE">
        <w:rPr>
          <w:rFonts w:ascii="Arial" w:hAnsi="Arial" w:cs="Arial"/>
          <w:iCs/>
          <w:color w:val="000000" w:themeColor="text1"/>
          <w:sz w:val="22"/>
          <w:lang w:val="es-ES_tradnl"/>
        </w:rPr>
        <w:t xml:space="preserve">– y que complementan dicho estatuto contractual; de manera que, </w:t>
      </w:r>
      <w:r w:rsidRPr="008853DE">
        <w:rPr>
          <w:rFonts w:ascii="Arial" w:hAnsi="Arial" w:cs="Arial"/>
          <w:iCs/>
          <w:color w:val="000000" w:themeColor="text1"/>
          <w:sz w:val="22"/>
          <w:lang w:val="es-ES_tradnl"/>
        </w:rPr>
        <w:lastRenderedPageBreak/>
        <w:t>en relación con el principio de proporcionalidad y la graduación de las sanciones, resulta especialmente relevante destacar los artículos 1596 del Código Civil</w:t>
      </w:r>
      <w:r w:rsidRPr="008853DE">
        <w:rPr>
          <w:rStyle w:val="Refdenotaalpie"/>
          <w:rFonts w:ascii="Arial" w:hAnsi="Arial" w:cs="Arial"/>
          <w:iCs/>
          <w:color w:val="000000" w:themeColor="text1"/>
          <w:sz w:val="22"/>
          <w:lang w:val="es-ES_tradnl"/>
        </w:rPr>
        <w:footnoteReference w:id="18"/>
      </w:r>
      <w:r w:rsidRPr="008853DE">
        <w:rPr>
          <w:rFonts w:ascii="Arial" w:hAnsi="Arial" w:cs="Arial"/>
          <w:iCs/>
          <w:color w:val="000000" w:themeColor="text1"/>
          <w:sz w:val="22"/>
          <w:lang w:val="es-ES_tradnl"/>
        </w:rPr>
        <w:t xml:space="preserve"> y 867 del Código de Comercio</w:t>
      </w:r>
      <w:r w:rsidRPr="008853DE">
        <w:rPr>
          <w:rStyle w:val="Refdenotaalpie"/>
          <w:rFonts w:ascii="Arial" w:hAnsi="Arial" w:cs="Arial"/>
          <w:iCs/>
          <w:color w:val="000000" w:themeColor="text1"/>
          <w:sz w:val="22"/>
          <w:lang w:val="es-ES_tradnl"/>
        </w:rPr>
        <w:footnoteReference w:id="19"/>
      </w:r>
      <w:r w:rsidRPr="008853DE">
        <w:rPr>
          <w:rFonts w:ascii="Arial" w:hAnsi="Arial" w:cs="Arial"/>
          <w:iCs/>
          <w:color w:val="000000" w:themeColor="text1"/>
          <w:sz w:val="22"/>
          <w:lang w:val="es-ES_tradnl"/>
        </w:rPr>
        <w:t xml:space="preserve">, los cuales contienen los parámetros para tasar el monto de las </w:t>
      </w:r>
      <w:r w:rsidRPr="008853DE">
        <w:rPr>
          <w:rFonts w:ascii="Arial" w:hAnsi="Arial" w:cs="Arial"/>
          <w:i/>
          <w:color w:val="000000" w:themeColor="text1"/>
          <w:sz w:val="22"/>
          <w:lang w:val="es-ES_tradnl"/>
        </w:rPr>
        <w:t xml:space="preserve">penas </w:t>
      </w:r>
      <w:r w:rsidRPr="008853DE">
        <w:rPr>
          <w:rFonts w:ascii="Arial" w:hAnsi="Arial" w:cs="Arial"/>
          <w:iCs/>
          <w:color w:val="000000" w:themeColor="text1"/>
          <w:sz w:val="22"/>
          <w:lang w:val="es-ES_tradnl"/>
        </w:rPr>
        <w:t>a imponer pactadas en el contrato; disposiciones que deben ser observadas por las entidades estatales en los procedimientos sancionatorios, so pena de que, en caso de demandarse su nulidad, el juez declare la nulidad parcial de los actos administrativos que aplican dichas cláusulas contractuales. Así lo ha señalado la jurisdicción de lo contencioso administrativo:</w:t>
      </w:r>
    </w:p>
    <w:p w14:paraId="7F616E15" w14:textId="77777777" w:rsidR="001E0C9C" w:rsidRPr="008853DE" w:rsidRDefault="001E0C9C" w:rsidP="001E0C9C">
      <w:pPr>
        <w:spacing w:line="276" w:lineRule="auto"/>
        <w:ind w:right="142" w:firstLine="709"/>
        <w:jc w:val="both"/>
        <w:rPr>
          <w:rFonts w:ascii="Arial" w:hAnsi="Arial" w:cs="Arial"/>
          <w:iCs/>
          <w:color w:val="000000" w:themeColor="text1"/>
          <w:sz w:val="22"/>
          <w:lang w:val="es-ES_tradnl"/>
        </w:rPr>
      </w:pPr>
    </w:p>
    <w:p w14:paraId="57C925A5"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Conforme a lo anterior, se debe tener presente que el decreto-ley 222 de 1983 -al igual que hoy acontece con la Ley 1.150 de 2007-, facultaron a las entidades públicas para que -previo pacto- impusieran y ejecutaran la cláusula penal pecuniaria frente a sus contratistas -al verificar un incumplimiento contractual-. Pero es necesario considerar, igualmente, que la normatividad -arts. 1596 del CC y 867 Co de Co.-, la doctrina y la jurisprudencia del Consejo de Estado, han dispuesto y analizado la posibilidad de graduar -disminuyendo y aumentando- dicha cláusula.</w:t>
      </w:r>
    </w:p>
    <w:p w14:paraId="5AB61B42" w14:textId="77777777" w:rsidR="001E0C9C" w:rsidRPr="008853DE" w:rsidRDefault="001E0C9C" w:rsidP="001E0C9C">
      <w:pPr>
        <w:pStyle w:val="Prrafodelista"/>
        <w:ind w:left="709" w:right="758"/>
        <w:jc w:val="both"/>
        <w:rPr>
          <w:rFonts w:ascii="Arial" w:hAnsi="Arial" w:cs="Arial"/>
          <w:iCs/>
          <w:color w:val="000000" w:themeColor="text1"/>
          <w:sz w:val="21"/>
          <w:szCs w:val="21"/>
        </w:rPr>
      </w:pPr>
    </w:p>
    <w:p w14:paraId="17409788"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De allí que, si el contratista afectado con la imposición de la cláusula penal considera que el monto establecido por tal concepto es excesivo, injusto o desproporcionado, puede acudir al juez para que revise la decisión administrativa</w:t>
      </w:r>
      <w:r w:rsidRPr="008853DE">
        <w:rPr>
          <w:rStyle w:val="Refdenotaalpie"/>
          <w:rFonts w:ascii="Arial" w:hAnsi="Arial" w:cs="Arial"/>
          <w:iCs/>
          <w:color w:val="000000" w:themeColor="text1"/>
          <w:sz w:val="21"/>
          <w:szCs w:val="21"/>
        </w:rPr>
        <w:footnoteReference w:id="20"/>
      </w:r>
      <w:r w:rsidRPr="008853DE">
        <w:rPr>
          <w:rFonts w:ascii="Arial" w:hAnsi="Arial" w:cs="Arial"/>
          <w:iCs/>
          <w:color w:val="000000" w:themeColor="text1"/>
          <w:sz w:val="21"/>
          <w:szCs w:val="21"/>
        </w:rPr>
        <w:t>.</w:t>
      </w:r>
    </w:p>
    <w:p w14:paraId="24020D1B" w14:textId="77777777" w:rsidR="001E0C9C" w:rsidRPr="008853DE" w:rsidRDefault="001E0C9C" w:rsidP="001E0C9C">
      <w:pPr>
        <w:spacing w:line="276" w:lineRule="auto"/>
        <w:ind w:right="142"/>
        <w:jc w:val="both"/>
        <w:rPr>
          <w:rFonts w:ascii="Arial" w:hAnsi="Arial" w:cs="Arial"/>
          <w:iCs/>
          <w:color w:val="000000" w:themeColor="text1"/>
          <w:sz w:val="22"/>
          <w:lang w:val="es-ES_tradnl"/>
        </w:rPr>
      </w:pPr>
    </w:p>
    <w:p w14:paraId="7DBD9055" w14:textId="77777777" w:rsidR="001E0C9C" w:rsidRPr="008853DE" w:rsidRDefault="001E0C9C" w:rsidP="001E0C9C">
      <w:pPr>
        <w:spacing w:before="120" w:line="276" w:lineRule="auto"/>
        <w:ind w:right="142" w:firstLine="708"/>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 xml:space="preserve">En tal sentido, las disposiciones anteriores constituyen los parámetros que deben observar las entidades estatales al imponer unilateralmente una multa o al ejercer </w:t>
      </w:r>
      <w:r w:rsidRPr="008853DE">
        <w:rPr>
          <w:rFonts w:ascii="Arial" w:hAnsi="Arial" w:cs="Arial"/>
          <w:iCs/>
          <w:color w:val="000000" w:themeColor="text1"/>
          <w:sz w:val="22"/>
          <w:lang w:val="es-ES_tradnl"/>
        </w:rPr>
        <w:lastRenderedPageBreak/>
        <w:t xml:space="preserve">unilateralmente la cláusula penal, pues las normas citadas aplican a ambos supuestos. Ahora bien, la regla general es que las partes estipulen lo relacionado con la tipificación de la multa y la cláusula penal pecuniaria, incluido lo referente a sus montos, claro está, sin exceder los límites legales y sin incurrir en abuso del derecho. Además, en su pacto y aplicación se deben observar las normas del derecho privado estudiadas previamente. </w:t>
      </w:r>
    </w:p>
    <w:p w14:paraId="6C5710AD" w14:textId="77777777" w:rsidR="001E0C9C" w:rsidRPr="008853DE" w:rsidRDefault="001E0C9C" w:rsidP="001E0C9C">
      <w:pPr>
        <w:spacing w:before="120" w:line="276" w:lineRule="auto"/>
        <w:ind w:right="142"/>
        <w:jc w:val="both"/>
        <w:rPr>
          <w:rFonts w:ascii="Arial" w:hAnsi="Arial" w:cs="Arial"/>
          <w:iCs/>
          <w:color w:val="000000" w:themeColor="text1"/>
          <w:sz w:val="22"/>
          <w:lang w:val="es-ES_tradnl"/>
        </w:rPr>
      </w:pPr>
    </w:p>
    <w:p w14:paraId="6327AA2B" w14:textId="77777777" w:rsidR="001E0C9C" w:rsidRPr="008853DE" w:rsidRDefault="001E0C9C" w:rsidP="001E0C9C">
      <w:pPr>
        <w:spacing w:after="120" w:line="276" w:lineRule="auto"/>
        <w:ind w:right="142"/>
        <w:jc w:val="both"/>
        <w:rPr>
          <w:rFonts w:ascii="Arial" w:hAnsi="Arial" w:cs="Arial"/>
          <w:b/>
          <w:bCs/>
          <w:iCs/>
          <w:color w:val="000000" w:themeColor="text1"/>
          <w:sz w:val="22"/>
          <w:lang w:val="es-ES_tradnl"/>
        </w:rPr>
      </w:pPr>
      <w:r w:rsidRPr="008853DE">
        <w:rPr>
          <w:rFonts w:ascii="Arial" w:hAnsi="Arial" w:cs="Arial"/>
          <w:b/>
          <w:bCs/>
          <w:iCs/>
          <w:color w:val="000000" w:themeColor="text1"/>
          <w:sz w:val="22"/>
          <w:lang w:val="es-ES_tradnl"/>
        </w:rPr>
        <w:t>2.1.2. Terminación del procedimiento sancionatorio contractual por cesación del incumplimiento. Potestad discrecional</w:t>
      </w:r>
    </w:p>
    <w:p w14:paraId="03B80E10" w14:textId="77777777" w:rsidR="001E0C9C" w:rsidRPr="008853DE" w:rsidRDefault="001E0C9C" w:rsidP="001E0C9C">
      <w:pPr>
        <w:spacing w:line="276" w:lineRule="auto"/>
        <w:ind w:right="142"/>
        <w:jc w:val="both"/>
        <w:rPr>
          <w:rFonts w:ascii="Arial" w:hAnsi="Arial" w:cs="Arial"/>
          <w:b/>
          <w:bCs/>
          <w:iCs/>
          <w:color w:val="000000" w:themeColor="text1"/>
          <w:sz w:val="22"/>
          <w:lang w:val="es-ES_tradnl"/>
        </w:rPr>
      </w:pPr>
    </w:p>
    <w:p w14:paraId="47003881" w14:textId="77777777" w:rsidR="001E0C9C" w:rsidRPr="008853DE" w:rsidRDefault="001E0C9C" w:rsidP="001E0C9C">
      <w:pPr>
        <w:spacing w:line="276" w:lineRule="auto"/>
        <w:ind w:right="142"/>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El literal d) del artículo 86 de la Ley 1474 de 2011 establece la posibilidad de terminar el procedimiento administrativo sancionatorio contractual en caso de cesar la situación de incumplimiento. Literalmente establece:</w:t>
      </w:r>
    </w:p>
    <w:p w14:paraId="6E848BA5" w14:textId="77777777" w:rsidR="001E0C9C" w:rsidRPr="008853DE" w:rsidRDefault="001E0C9C" w:rsidP="001E0C9C">
      <w:pPr>
        <w:spacing w:line="276" w:lineRule="auto"/>
        <w:ind w:right="142"/>
        <w:jc w:val="both"/>
        <w:rPr>
          <w:rFonts w:ascii="Arial" w:hAnsi="Arial" w:cs="Arial"/>
          <w:iCs/>
          <w:color w:val="000000" w:themeColor="text1"/>
          <w:sz w:val="22"/>
          <w:lang w:val="es-ES_tradnl"/>
        </w:rPr>
      </w:pPr>
    </w:p>
    <w:p w14:paraId="6DEE3086" w14:textId="77777777" w:rsidR="001E0C9C" w:rsidRPr="008853DE" w:rsidRDefault="001E0C9C" w:rsidP="001E0C9C">
      <w:pPr>
        <w:pStyle w:val="Prrafodelista"/>
        <w:ind w:left="709" w:right="758"/>
        <w:jc w:val="both"/>
        <w:rPr>
          <w:rFonts w:ascii="Arial" w:hAnsi="Arial" w:cs="Arial"/>
          <w:iCs/>
          <w:color w:val="000000" w:themeColor="text1"/>
          <w:sz w:val="21"/>
          <w:szCs w:val="21"/>
        </w:rPr>
      </w:pPr>
      <w:r w:rsidRPr="008853DE">
        <w:rPr>
          <w:rFonts w:ascii="Arial" w:hAnsi="Arial" w:cs="Arial"/>
          <w:iCs/>
          <w:color w:val="000000" w:themeColor="text1"/>
          <w:sz w:val="21"/>
          <w:szCs w:val="21"/>
        </w:rPr>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w:t>
      </w:r>
      <w:r w:rsidRPr="008853DE">
        <w:rPr>
          <w:rFonts w:ascii="Arial" w:hAnsi="Arial" w:cs="Arial"/>
          <w:i/>
          <w:color w:val="000000" w:themeColor="text1"/>
          <w:sz w:val="21"/>
          <w:szCs w:val="21"/>
        </w:rPr>
        <w:t>La entidad podrá dar por terminado el procedimiento en cualquier momento, si por algún medio tiene conocimiento de la cesación de situación de incumplimiento</w:t>
      </w:r>
      <w:r w:rsidRPr="008853DE">
        <w:rPr>
          <w:rFonts w:ascii="Arial" w:hAnsi="Arial" w:cs="Arial"/>
          <w:iCs/>
          <w:color w:val="000000" w:themeColor="text1"/>
          <w:sz w:val="21"/>
          <w:szCs w:val="21"/>
        </w:rPr>
        <w:t>. (Cursiva fuera del original).</w:t>
      </w:r>
    </w:p>
    <w:p w14:paraId="65C880FC" w14:textId="77777777" w:rsidR="001E0C9C" w:rsidRPr="008853DE" w:rsidRDefault="001E0C9C" w:rsidP="001E0C9C">
      <w:pPr>
        <w:spacing w:line="276" w:lineRule="auto"/>
        <w:ind w:right="142"/>
        <w:jc w:val="both"/>
        <w:rPr>
          <w:rFonts w:ascii="Arial" w:hAnsi="Arial" w:cs="Arial"/>
          <w:iCs/>
          <w:color w:val="000000" w:themeColor="text1"/>
          <w:sz w:val="22"/>
          <w:lang w:val="es-ES_tradnl"/>
        </w:rPr>
      </w:pPr>
    </w:p>
    <w:p w14:paraId="58092A92" w14:textId="77777777" w:rsidR="001E0C9C" w:rsidRPr="008853DE" w:rsidRDefault="001E0C9C" w:rsidP="001E0C9C">
      <w:pPr>
        <w:spacing w:after="120" w:line="276" w:lineRule="auto"/>
        <w:ind w:right="142" w:firstLine="708"/>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 xml:space="preserve">En relación con este literal, es necesario realizar algunas precisiones: </w:t>
      </w:r>
      <w:r w:rsidRPr="008853DE">
        <w:rPr>
          <w:rFonts w:ascii="Arial" w:hAnsi="Arial" w:cs="Arial"/>
          <w:i/>
          <w:color w:val="000000" w:themeColor="text1"/>
          <w:sz w:val="22"/>
          <w:lang w:val="es-ES_tradnl"/>
        </w:rPr>
        <w:t>i)</w:t>
      </w:r>
      <w:r w:rsidRPr="008853DE">
        <w:rPr>
          <w:rFonts w:ascii="Arial" w:hAnsi="Arial" w:cs="Arial"/>
          <w:iCs/>
          <w:color w:val="000000" w:themeColor="text1"/>
          <w:sz w:val="22"/>
          <w:lang w:val="es-ES_tradnl"/>
        </w:rPr>
        <w:t xml:space="preserve"> esta norma regula la forma como debe actuar la entidad cuando cesa la situación de incumplimiento </w:t>
      </w:r>
      <w:r w:rsidRPr="008853DE">
        <w:rPr>
          <w:rFonts w:ascii="Arial" w:hAnsi="Arial" w:cs="Arial"/>
          <w:i/>
          <w:color w:val="000000" w:themeColor="text1"/>
          <w:sz w:val="22"/>
          <w:lang w:val="es-ES_tradnl"/>
        </w:rPr>
        <w:t>durante el trámite del procedimiento administrativo sancionatorio</w:t>
      </w:r>
      <w:r w:rsidRPr="008853DE">
        <w:rPr>
          <w:rFonts w:ascii="Arial" w:hAnsi="Arial" w:cs="Arial"/>
          <w:iCs/>
          <w:color w:val="000000" w:themeColor="text1"/>
          <w:sz w:val="22"/>
          <w:lang w:val="es-ES_tradnl"/>
        </w:rPr>
        <w:t>, esto es, una vez iniciado</w:t>
      </w:r>
      <w:r w:rsidRPr="008853DE">
        <w:rPr>
          <w:rFonts w:ascii="Arial" w:hAnsi="Arial" w:cs="Arial"/>
          <w:i/>
          <w:color w:val="000000" w:themeColor="text1"/>
          <w:sz w:val="22"/>
          <w:lang w:val="es-ES_tradnl"/>
        </w:rPr>
        <w:t xml:space="preserve">; </w:t>
      </w:r>
      <w:r w:rsidRPr="008853DE">
        <w:rPr>
          <w:rFonts w:ascii="Arial" w:hAnsi="Arial" w:cs="Arial"/>
          <w:iCs/>
          <w:color w:val="000000" w:themeColor="text1"/>
          <w:sz w:val="22"/>
          <w:lang w:val="es-ES_tradnl"/>
        </w:rPr>
        <w:t xml:space="preserve">de manera que es ajeno a la norma anterior la definición de cómo debe actuar la entidad cuando la cesación de la situación de incumplimiento se da con anterioridad, es decir, cuando pese a un incumplimiento previo, el contratista cumple sus obligaciones, dejando de quedar pendiente el cumplimiento antes de que se inicie el procedimiento sancionatorio; en dicho caso la entidad no podrá iniciarlo, toda vez que como lo establece el artículo 17 de la Ley 1150 de 2007, este procedimiento, tendiente a la imposición unilateral de cláusulas penales o de multas procede «[…] sólo mientras se halle pendiente la ejecución de las obligaciones a cargo del contratista […]». </w:t>
      </w:r>
    </w:p>
    <w:p w14:paraId="72B319DF" w14:textId="77777777" w:rsidR="001E0C9C" w:rsidRPr="008853DE" w:rsidRDefault="001E0C9C" w:rsidP="001E0C9C">
      <w:pPr>
        <w:spacing w:after="120" w:line="276" w:lineRule="auto"/>
        <w:ind w:right="142" w:firstLine="708"/>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Sin perjuicio de lo anterior, y como se desarrollará más adelante, iniciado el procedimiento sancionatorio, por estar el contratista incumpliendo las obligaciones, si esta situación cesa durante el trámite, esto es, después de iniciado, la entidad, discrecionalmente, puede terminarlo o continuarlo, como lo dispone el literal d) artículo 86 de la Ley 1474 de 2011.</w:t>
      </w:r>
    </w:p>
    <w:p w14:paraId="5BF4835C" w14:textId="77777777" w:rsidR="001E0C9C" w:rsidRPr="008853DE" w:rsidRDefault="001E0C9C" w:rsidP="001E0C9C">
      <w:pPr>
        <w:spacing w:after="120" w:line="276" w:lineRule="auto"/>
        <w:ind w:right="142" w:firstLine="708"/>
        <w:jc w:val="both"/>
        <w:rPr>
          <w:rFonts w:ascii="Arial" w:hAnsi="Arial" w:cs="Arial"/>
          <w:iCs/>
          <w:color w:val="000000" w:themeColor="text1"/>
          <w:sz w:val="22"/>
          <w:lang w:val="es-ES_tradnl"/>
        </w:rPr>
      </w:pPr>
      <w:r w:rsidRPr="008853DE">
        <w:rPr>
          <w:rFonts w:ascii="Arial" w:hAnsi="Arial" w:cs="Arial"/>
          <w:i/>
          <w:color w:val="000000" w:themeColor="text1"/>
          <w:sz w:val="22"/>
          <w:lang w:val="es-ES_tradnl"/>
        </w:rPr>
        <w:lastRenderedPageBreak/>
        <w:t>ii)</w:t>
      </w:r>
      <w:r w:rsidRPr="008853DE">
        <w:rPr>
          <w:rFonts w:ascii="Arial" w:hAnsi="Arial" w:cs="Arial"/>
          <w:iCs/>
          <w:color w:val="000000" w:themeColor="text1"/>
          <w:sz w:val="22"/>
          <w:lang w:val="es-ES_tradnl"/>
        </w:rPr>
        <w:t xml:space="preserve"> Aclarado que la norma se refiere a la cesación del incumplimiento una vez iniciado el procedimiento sancionatorio, se debe destacar que la potestad otorgada a la entidad para terminarlo, con fundamento en dicha circunstancia, </w:t>
      </w:r>
      <w:r w:rsidRPr="008853DE">
        <w:rPr>
          <w:rFonts w:ascii="Arial" w:hAnsi="Arial" w:cs="Arial"/>
          <w:i/>
          <w:color w:val="000000" w:themeColor="text1"/>
          <w:sz w:val="22"/>
          <w:lang w:val="es-ES_tradnl"/>
        </w:rPr>
        <w:t>es una decisión discrecional</w:t>
      </w:r>
      <w:r w:rsidRPr="008853DE">
        <w:rPr>
          <w:rStyle w:val="Refdenotaalpie"/>
          <w:rFonts w:ascii="Arial" w:hAnsi="Arial" w:cs="Arial"/>
          <w:iCs/>
          <w:color w:val="000000" w:themeColor="text1"/>
          <w:sz w:val="22"/>
          <w:lang w:val="es-ES_tradnl"/>
        </w:rPr>
        <w:footnoteReference w:id="21"/>
      </w:r>
      <w:r w:rsidRPr="008853DE">
        <w:rPr>
          <w:rFonts w:ascii="Arial" w:hAnsi="Arial" w:cs="Arial"/>
          <w:iCs/>
          <w:color w:val="000000" w:themeColor="text1"/>
          <w:sz w:val="22"/>
          <w:lang w:val="es-ES_tradnl"/>
        </w:rPr>
        <w:t xml:space="preserve">. Esto es evidente en la norma, toda vez que utiliza el término común con el que se otorgan potestades discrecionales: </w:t>
      </w:r>
      <w:r w:rsidRPr="008853DE">
        <w:rPr>
          <w:rFonts w:ascii="Arial" w:hAnsi="Arial" w:cs="Arial"/>
          <w:i/>
          <w:color w:val="000000" w:themeColor="text1"/>
          <w:sz w:val="22"/>
          <w:lang w:val="es-ES_tradnl"/>
        </w:rPr>
        <w:t xml:space="preserve">podrá. </w:t>
      </w:r>
      <w:r w:rsidRPr="008853DE">
        <w:rPr>
          <w:rFonts w:ascii="Arial" w:hAnsi="Arial" w:cs="Arial"/>
          <w:iCs/>
          <w:color w:val="000000" w:themeColor="text1"/>
          <w:sz w:val="22"/>
          <w:lang w:val="es-ES_tradnl"/>
        </w:rPr>
        <w:t>En tal sentido, se puede decidir sobre la conveniencia o no de terminar el procedimiento, al advertirse que cesa la situación de incumplimiento, de manera que no es un deber hacerlo.</w:t>
      </w:r>
    </w:p>
    <w:p w14:paraId="4E604A4C" w14:textId="77777777" w:rsidR="001E0C9C" w:rsidRPr="008853DE" w:rsidRDefault="001E0C9C" w:rsidP="001E0C9C">
      <w:pPr>
        <w:spacing w:after="120" w:line="276" w:lineRule="auto"/>
        <w:ind w:right="142"/>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ab/>
      </w:r>
      <w:r w:rsidRPr="008853DE">
        <w:rPr>
          <w:rFonts w:ascii="Arial" w:hAnsi="Arial" w:cs="Arial"/>
          <w:i/>
          <w:color w:val="000000" w:themeColor="text1"/>
          <w:sz w:val="22"/>
          <w:lang w:val="es-ES_tradnl"/>
        </w:rPr>
        <w:t>iii)</w:t>
      </w:r>
      <w:r w:rsidRPr="008853DE">
        <w:rPr>
          <w:rFonts w:ascii="Arial" w:hAnsi="Arial" w:cs="Arial"/>
          <w:iCs/>
          <w:color w:val="000000" w:themeColor="text1"/>
          <w:sz w:val="22"/>
          <w:lang w:val="es-ES_tradnl"/>
        </w:rPr>
        <w:t xml:space="preserve"> El presupuesto para que se active la potestad discrecional consiste en que la entidad conozca la «</w:t>
      </w:r>
      <w:r w:rsidRPr="008853DE">
        <w:rPr>
          <w:rFonts w:ascii="Arial" w:hAnsi="Arial" w:cs="Arial"/>
          <w:i/>
          <w:color w:val="000000" w:themeColor="text1"/>
          <w:sz w:val="22"/>
          <w:lang w:val="es-ES_tradnl"/>
        </w:rPr>
        <w:t>cesación de la situación de incumplimiento</w:t>
      </w:r>
      <w:r w:rsidRPr="008853DE">
        <w:rPr>
          <w:rFonts w:ascii="Arial" w:hAnsi="Arial" w:cs="Arial"/>
          <w:iCs/>
          <w:color w:val="000000" w:themeColor="text1"/>
          <w:sz w:val="22"/>
          <w:lang w:val="es-ES_tradnl"/>
        </w:rPr>
        <w:t xml:space="preserve">». Esta circunstancia también debe valorarla la entidad; pues solo en tal caso se activa la potestad conferida. Además, la cesación del incumplimiento podría ser frente a algunos de los incumplimientos por los cuales se adelanta el procedimiento sancionatorio; en tal caso, la entidad podrá terminarlo </w:t>
      </w:r>
      <w:r w:rsidRPr="008853DE">
        <w:rPr>
          <w:rFonts w:ascii="Arial" w:hAnsi="Arial" w:cs="Arial"/>
          <w:i/>
          <w:color w:val="000000" w:themeColor="text1"/>
          <w:sz w:val="22"/>
          <w:lang w:val="es-ES_tradnl"/>
        </w:rPr>
        <w:t>parcialmente</w:t>
      </w:r>
      <w:r w:rsidRPr="008853DE">
        <w:rPr>
          <w:rFonts w:ascii="Arial" w:hAnsi="Arial" w:cs="Arial"/>
          <w:iCs/>
          <w:color w:val="000000" w:themeColor="text1"/>
          <w:sz w:val="22"/>
          <w:lang w:val="es-ES_tradnl"/>
        </w:rPr>
        <w:t xml:space="preserve">, esto es, frente a algunos de los supuestos de incumplimiento, pudiendo continuar con los demás. En todo caso, las posibilidades anteriores siguen siendo facultades discrecionales. </w:t>
      </w:r>
    </w:p>
    <w:p w14:paraId="5F0F1256" w14:textId="77777777" w:rsidR="001E0C9C" w:rsidRPr="008853DE" w:rsidRDefault="001E0C9C" w:rsidP="001E0C9C">
      <w:pPr>
        <w:spacing w:after="120" w:line="276" w:lineRule="auto"/>
        <w:ind w:right="142"/>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ab/>
        <w:t xml:space="preserve">También cabe resaltar que la posibilidad de terminar el procedimiento aplica en los casos en que efectivamente cese la situación de incumplimiento, pues, atendiendo a las prestaciones de ciertos contratos, existen obligaciones que deben cumplirse en determinado momento, atendiendo a la finalidad con que se haya celebrado el negocio jurídico, pues la ejecución de prestaciones tardías, en ciertos contratos, podría no reportarle utilidad a la entidad, por lo que dichos «cumplimientos» tardíos en realidad no implicarían que el contratista cese en la situación de incumplimiento. Esto sucedería, por ejemplo, si un contratista se compromete a entregar algunos refrigerios para un evento que se realizará el 30 de agosto, incumpliendo dicha obligación, por lo cual la entidad inicia un procedimiento sancionatorio y, durante su trámite, el contratista entrega los refrigerios, por ejemplo, el 2 de septiembre, cuando la entidad ya no los necesita. </w:t>
      </w:r>
    </w:p>
    <w:p w14:paraId="603F4714" w14:textId="77777777" w:rsidR="001E0C9C" w:rsidRPr="008853DE" w:rsidRDefault="001E0C9C" w:rsidP="001E0C9C">
      <w:pPr>
        <w:spacing w:after="120" w:line="276" w:lineRule="auto"/>
        <w:ind w:right="142"/>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ab/>
      </w:r>
      <w:r w:rsidRPr="008853DE">
        <w:rPr>
          <w:rFonts w:ascii="Arial" w:hAnsi="Arial" w:cs="Arial"/>
          <w:i/>
          <w:color w:val="000000" w:themeColor="text1"/>
          <w:sz w:val="22"/>
          <w:lang w:val="es-ES_tradnl"/>
        </w:rPr>
        <w:t>iv)</w:t>
      </w:r>
      <w:r w:rsidRPr="008853DE">
        <w:rPr>
          <w:rFonts w:ascii="Arial" w:hAnsi="Arial" w:cs="Arial"/>
          <w:iCs/>
          <w:color w:val="000000" w:themeColor="text1"/>
          <w:sz w:val="22"/>
          <w:lang w:val="es-ES_tradnl"/>
        </w:rPr>
        <w:t xml:space="preserve"> Finalmente, la potestad discrecional comentada aplica en los supuestos en que la entidad, </w:t>
      </w:r>
      <w:r w:rsidRPr="008853DE">
        <w:rPr>
          <w:rFonts w:ascii="Arial" w:hAnsi="Arial" w:cs="Arial"/>
          <w:i/>
          <w:color w:val="000000" w:themeColor="text1"/>
          <w:sz w:val="22"/>
          <w:lang w:val="es-ES_tradnl"/>
        </w:rPr>
        <w:t>por cualquier medio</w:t>
      </w:r>
      <w:r w:rsidRPr="008853DE">
        <w:rPr>
          <w:rFonts w:ascii="Arial" w:hAnsi="Arial" w:cs="Arial"/>
          <w:iCs/>
          <w:color w:val="000000" w:themeColor="text1"/>
          <w:sz w:val="22"/>
          <w:lang w:val="es-ES_tradnl"/>
        </w:rPr>
        <w:t>, tenga conocimiento de la cesación de la situación de incumplimiento; conocimiento al que puede llegar por sus actuaciones oficiosas o por advertencia de cualquier interesado.</w:t>
      </w:r>
    </w:p>
    <w:p w14:paraId="7696C24C" w14:textId="77777777" w:rsidR="001E0C9C" w:rsidRPr="008853DE" w:rsidRDefault="001E0C9C" w:rsidP="001E0C9C">
      <w:pPr>
        <w:pStyle w:val="NormalWeb"/>
        <w:spacing w:before="0" w:beforeAutospacing="0" w:after="0" w:afterAutospacing="0" w:line="270" w:lineRule="atLeast"/>
        <w:ind w:left="709" w:right="709"/>
        <w:jc w:val="both"/>
        <w:rPr>
          <w:rFonts w:ascii="Arial" w:hAnsi="Arial" w:cs="Arial"/>
          <w:color w:val="000000" w:themeColor="text1"/>
          <w:sz w:val="22"/>
          <w:szCs w:val="22"/>
        </w:rPr>
      </w:pPr>
      <w:r w:rsidRPr="008853DE">
        <w:rPr>
          <w:rFonts w:ascii="Arial" w:eastAsia="Calibri" w:hAnsi="Arial" w:cs="Arial"/>
          <w:color w:val="000000" w:themeColor="text1"/>
          <w:sz w:val="22"/>
          <w:szCs w:val="22"/>
          <w:lang w:val="es-MX" w:eastAsia="en-US"/>
        </w:rPr>
        <w:tab/>
      </w:r>
    </w:p>
    <w:p w14:paraId="10A8DD5E" w14:textId="77777777" w:rsidR="001E0C9C" w:rsidRPr="008853DE" w:rsidRDefault="001E0C9C" w:rsidP="001E0C9C">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8853DE">
        <w:rPr>
          <w:rFonts w:ascii="Arial" w:hAnsi="Arial" w:cs="Arial"/>
          <w:b/>
          <w:bCs/>
          <w:color w:val="000000" w:themeColor="text1"/>
          <w:sz w:val="22"/>
          <w:lang w:val="es-CO"/>
        </w:rPr>
        <w:t xml:space="preserve">Respuesta </w:t>
      </w:r>
    </w:p>
    <w:p w14:paraId="39410716" w14:textId="77777777" w:rsidR="001E0C9C" w:rsidRPr="008853DE" w:rsidRDefault="001E0C9C" w:rsidP="001E0C9C">
      <w:pPr>
        <w:pStyle w:val="Prrafodelista"/>
        <w:tabs>
          <w:tab w:val="left" w:pos="284"/>
        </w:tabs>
        <w:spacing w:line="276" w:lineRule="auto"/>
        <w:ind w:left="0"/>
        <w:rPr>
          <w:rFonts w:ascii="Arial" w:hAnsi="Arial" w:cs="Arial"/>
          <w:b/>
          <w:bCs/>
          <w:color w:val="000000" w:themeColor="text1"/>
          <w:sz w:val="22"/>
          <w:lang w:val="es-CO"/>
        </w:rPr>
      </w:pPr>
    </w:p>
    <w:p w14:paraId="0EB9A9B7" w14:textId="77777777" w:rsidR="001E0C9C" w:rsidRPr="008853DE" w:rsidRDefault="001E0C9C" w:rsidP="001E0C9C">
      <w:pPr>
        <w:spacing w:line="276" w:lineRule="auto"/>
        <w:jc w:val="both"/>
        <w:rPr>
          <w:rFonts w:ascii="Arial" w:hAnsi="Arial" w:cs="Arial"/>
          <w:color w:val="000000" w:themeColor="text1"/>
          <w:sz w:val="22"/>
          <w:lang w:val="es-CO"/>
        </w:rPr>
      </w:pPr>
      <w:r w:rsidRPr="008853DE">
        <w:rPr>
          <w:rFonts w:ascii="Arial" w:hAnsi="Arial" w:cs="Arial"/>
          <w:color w:val="000000" w:themeColor="text1"/>
          <w:sz w:val="22"/>
          <w:lang w:val="es-CO"/>
        </w:rPr>
        <w:lastRenderedPageBreak/>
        <w:t>Con fundamento en las consideraciones anteriores, se responderán las preguntas planteadas por la peticionaria:</w:t>
      </w:r>
    </w:p>
    <w:p w14:paraId="03B09957" w14:textId="77777777" w:rsidR="001E0C9C" w:rsidRPr="008853DE" w:rsidRDefault="001E0C9C" w:rsidP="001E0C9C">
      <w:pPr>
        <w:tabs>
          <w:tab w:val="left" w:pos="426"/>
        </w:tabs>
        <w:spacing w:line="276" w:lineRule="auto"/>
        <w:jc w:val="both"/>
        <w:rPr>
          <w:rFonts w:ascii="Arial" w:hAnsi="Arial" w:cs="Arial"/>
          <w:color w:val="000000" w:themeColor="text1"/>
          <w:sz w:val="22"/>
          <w:lang w:val="es-CO"/>
        </w:rPr>
      </w:pPr>
      <w:r w:rsidRPr="008853DE">
        <w:rPr>
          <w:rFonts w:ascii="Arial" w:hAnsi="Arial" w:cs="Arial"/>
          <w:color w:val="000000" w:themeColor="text1"/>
          <w:sz w:val="22"/>
          <w:lang w:val="es-CO"/>
        </w:rPr>
        <w:t xml:space="preserve"> </w:t>
      </w:r>
    </w:p>
    <w:p w14:paraId="28F75980"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«1. Los procesos administrativos sancionatorios adelantados por las entidades públicas deben regirse por una variedad de principios de raigambre constitucional, entre ellos, la proporcionalidad. Al respecto, sírvase indicar:</w:t>
      </w:r>
    </w:p>
    <w:p w14:paraId="34315480"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63837389"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»i. En aplicación del principio de proporcionalidad en la sanción y a falta de una </w:t>
      </w:r>
    </w:p>
    <w:p w14:paraId="44F44216"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disposición contractual expresa, ¿debe la entidad pública contratante definir la proporción de la multa o cláusula penal a imponer al contratista? ¿Qué parámetros debe utilizar para la definición de dicha proporción?</w:t>
      </w:r>
    </w:p>
    <w:p w14:paraId="69980E5F"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096C3E30"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»ii. En caso de que se trate de incumplimiento de labores o tareas recurrentes, y no del incumplimiento en entrega de productos determinados, ¿qué parámetros se recomienda utilizar para definir la proporción del incumplimiento?</w:t>
      </w:r>
    </w:p>
    <w:p w14:paraId="189A6B97" w14:textId="77777777" w:rsidR="001E0C9C" w:rsidRPr="008853DE" w:rsidRDefault="001E0C9C" w:rsidP="001E0C9C">
      <w:pPr>
        <w:tabs>
          <w:tab w:val="left" w:pos="426"/>
        </w:tabs>
        <w:ind w:right="709"/>
        <w:jc w:val="both"/>
        <w:rPr>
          <w:rFonts w:ascii="Arial" w:eastAsia="Calibri" w:hAnsi="Arial" w:cs="Arial"/>
          <w:color w:val="000000" w:themeColor="text1"/>
          <w:sz w:val="21"/>
          <w:szCs w:val="21"/>
        </w:rPr>
      </w:pPr>
    </w:p>
    <w:p w14:paraId="771E4383" w14:textId="77777777" w:rsidR="001E0C9C" w:rsidRPr="008853DE" w:rsidRDefault="001E0C9C" w:rsidP="001E0C9C">
      <w:pPr>
        <w:spacing w:before="120" w:line="276" w:lineRule="auto"/>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En el procedimiento sancionatorio contractual las entidades estatales deben actuar de acuerdo con el principio de proporcionalidad para «graduar las sanciones». En tal sentido, los parámetros a emplear son los siguientes: primero se deben atender las circunstancias de cada caso en particular y revisar cuidadosamente la forma como se pactaron las penalidades asociadas al incumplimiento en el contrato. Además, se deben tener en cuenta las normas de derecho privado a las que remite la Ley 80 de 1993 –art. 32, 40 y 13, particularmente</w:t>
      </w:r>
      <w:r w:rsidRPr="008853DE">
        <w:rPr>
          <w:rStyle w:val="Refdenotaalpie"/>
          <w:rFonts w:ascii="Arial" w:hAnsi="Arial" w:cs="Arial"/>
          <w:iCs/>
          <w:color w:val="000000" w:themeColor="text1"/>
          <w:sz w:val="22"/>
          <w:lang w:val="es-ES_tradnl"/>
        </w:rPr>
        <w:footnoteReference w:id="22"/>
      </w:r>
      <w:r w:rsidRPr="008853DE">
        <w:rPr>
          <w:rFonts w:ascii="Arial" w:hAnsi="Arial" w:cs="Arial"/>
          <w:iCs/>
          <w:color w:val="000000" w:themeColor="text1"/>
          <w:sz w:val="22"/>
          <w:lang w:val="es-ES_tradnl"/>
        </w:rPr>
        <w:t>– y que complementan dicho estatuto contractual; de manera que, en relación con el principio de proporcionalidad y la graduación de las sanciones, resultan aplicables los artículos 1596 del Código Civil</w:t>
      </w:r>
      <w:r w:rsidRPr="008853DE">
        <w:rPr>
          <w:rStyle w:val="Refdenotaalpie"/>
          <w:rFonts w:ascii="Arial" w:hAnsi="Arial" w:cs="Arial"/>
          <w:iCs/>
          <w:color w:val="000000" w:themeColor="text1"/>
          <w:sz w:val="22"/>
          <w:lang w:val="es-ES_tradnl"/>
        </w:rPr>
        <w:footnoteReference w:id="23"/>
      </w:r>
      <w:r w:rsidRPr="008853DE">
        <w:rPr>
          <w:rFonts w:ascii="Arial" w:hAnsi="Arial" w:cs="Arial"/>
          <w:iCs/>
          <w:color w:val="000000" w:themeColor="text1"/>
          <w:sz w:val="22"/>
          <w:lang w:val="es-ES_tradnl"/>
        </w:rPr>
        <w:t xml:space="preserve"> y 867 del Código de Comercio</w:t>
      </w:r>
      <w:r w:rsidRPr="008853DE">
        <w:rPr>
          <w:rStyle w:val="Refdenotaalpie"/>
          <w:rFonts w:ascii="Arial" w:hAnsi="Arial" w:cs="Arial"/>
          <w:iCs/>
          <w:color w:val="000000" w:themeColor="text1"/>
          <w:sz w:val="22"/>
          <w:lang w:val="es-ES_tradnl"/>
        </w:rPr>
        <w:footnoteReference w:id="24"/>
      </w:r>
      <w:r w:rsidRPr="008853DE">
        <w:rPr>
          <w:rFonts w:ascii="Arial" w:hAnsi="Arial" w:cs="Arial"/>
          <w:iCs/>
          <w:color w:val="000000" w:themeColor="text1"/>
          <w:sz w:val="22"/>
          <w:lang w:val="es-ES_tradnl"/>
        </w:rPr>
        <w:t xml:space="preserve">, los cuales contienen los parámetros para tasar el monto de las </w:t>
      </w:r>
      <w:r w:rsidRPr="008853DE">
        <w:rPr>
          <w:rFonts w:ascii="Arial" w:hAnsi="Arial" w:cs="Arial"/>
          <w:i/>
          <w:color w:val="000000" w:themeColor="text1"/>
          <w:sz w:val="22"/>
          <w:lang w:val="es-ES_tradnl"/>
        </w:rPr>
        <w:t xml:space="preserve">penas </w:t>
      </w:r>
      <w:r w:rsidRPr="008853DE">
        <w:rPr>
          <w:rFonts w:ascii="Arial" w:hAnsi="Arial" w:cs="Arial"/>
          <w:iCs/>
          <w:color w:val="000000" w:themeColor="text1"/>
          <w:sz w:val="22"/>
          <w:lang w:val="es-ES_tradnl"/>
        </w:rPr>
        <w:t xml:space="preserve">a imponer pactadas en el contrato; disposiciones que deben ser observadas por las entidades estatales en los procedimientos sancionatorios, so pena de que, en caso de demandarse su nulidad, el juez </w:t>
      </w:r>
      <w:r w:rsidRPr="008853DE">
        <w:rPr>
          <w:rFonts w:ascii="Arial" w:hAnsi="Arial" w:cs="Arial"/>
          <w:iCs/>
          <w:color w:val="000000" w:themeColor="text1"/>
          <w:sz w:val="22"/>
          <w:lang w:val="es-ES_tradnl"/>
        </w:rPr>
        <w:lastRenderedPageBreak/>
        <w:t xml:space="preserve">declare la nulidad parcial de los actos administrativos que aplican dichas cláusulas contractuales. </w:t>
      </w:r>
    </w:p>
    <w:p w14:paraId="5F10F99D" w14:textId="77777777" w:rsidR="001E0C9C" w:rsidRPr="008853DE" w:rsidRDefault="001E0C9C" w:rsidP="001E0C9C">
      <w:pPr>
        <w:spacing w:before="120" w:line="276" w:lineRule="auto"/>
        <w:ind w:firstLine="708"/>
        <w:jc w:val="both"/>
        <w:rPr>
          <w:rFonts w:ascii="Arial" w:hAnsi="Arial" w:cs="Arial"/>
          <w:iCs/>
          <w:color w:val="000000" w:themeColor="text1"/>
          <w:sz w:val="22"/>
          <w:lang w:val="es-ES_tradnl"/>
        </w:rPr>
      </w:pPr>
      <w:r w:rsidRPr="008853DE">
        <w:rPr>
          <w:rFonts w:ascii="Arial" w:hAnsi="Arial" w:cs="Arial"/>
          <w:iCs/>
          <w:color w:val="000000" w:themeColor="text1"/>
          <w:sz w:val="22"/>
          <w:lang w:val="es-ES_tradnl"/>
        </w:rPr>
        <w:t>En tal sentido, las disposiciones anteriores constituyen los parámetros que deben observar las entidades estatales al imponer unilateralmente una multa o al ejercer unilateralmente la cláusula penal, pues las normas citadas aplican a ambos supuestos. Ahora bien, la regla general es que las partes estipulen lo relacionado con la tipificación de la multa y la cláusula penal pecuniaria, incluido lo referente a sus montos, claro está, sin exceder los límites legales y sin incurrir en abuso del derecho. Además, en su pacto y aplicación se deben observar las normas del derecho privado estudiadas previamente y desarrolladas en el numeral 2.1.1.</w:t>
      </w:r>
      <w:r>
        <w:rPr>
          <w:rFonts w:ascii="Arial" w:hAnsi="Arial" w:cs="Arial"/>
          <w:iCs/>
          <w:color w:val="000000" w:themeColor="text1"/>
          <w:sz w:val="22"/>
          <w:lang w:val="es-ES_tradnl"/>
        </w:rPr>
        <w:t xml:space="preserve"> de las consideraciones.</w:t>
      </w:r>
      <w:r w:rsidRPr="008853DE">
        <w:rPr>
          <w:rFonts w:ascii="Arial" w:hAnsi="Arial" w:cs="Arial"/>
          <w:iCs/>
          <w:color w:val="000000" w:themeColor="text1"/>
          <w:sz w:val="22"/>
          <w:lang w:val="es-ES_tradnl"/>
        </w:rPr>
        <w:t xml:space="preserve"> </w:t>
      </w:r>
    </w:p>
    <w:p w14:paraId="2944F426" w14:textId="77777777" w:rsidR="001E0C9C" w:rsidRPr="008853DE" w:rsidRDefault="001E0C9C" w:rsidP="001E0C9C">
      <w:pPr>
        <w:spacing w:before="120" w:line="276" w:lineRule="auto"/>
        <w:ind w:firstLine="708"/>
        <w:jc w:val="both"/>
        <w:rPr>
          <w:rFonts w:ascii="Arial" w:eastAsia="Calibri" w:hAnsi="Arial" w:cs="Arial"/>
          <w:color w:val="000000" w:themeColor="text1"/>
          <w:sz w:val="21"/>
          <w:szCs w:val="21"/>
        </w:rPr>
      </w:pPr>
      <w:r w:rsidRPr="008853DE">
        <w:rPr>
          <w:rFonts w:ascii="Arial" w:hAnsi="Arial" w:cs="Arial"/>
          <w:color w:val="000000" w:themeColor="text1"/>
          <w:sz w:val="22"/>
          <w:lang w:val="es-CO"/>
        </w:rPr>
        <w:t xml:space="preserve"> En relación con el último aspecto planteado por la peticionaria, debe tenerse en cuenta que </w:t>
      </w:r>
      <w:r w:rsidRPr="008853DE">
        <w:rPr>
          <w:rFonts w:ascii="Arial" w:eastAsia="Arial" w:hAnsi="Arial" w:cs="Arial"/>
          <w:sz w:val="22"/>
        </w:rPr>
        <w:t>de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por tal motivo, esta Agencia carece de competencia para decidir sobre la legalidad de las decisiones tomadas por las entidades estatales con ocasión de su actividad contractual, o para pronunciarse respecto de actuaciones contractuales específicas. En tal sentido, se remite la peticionaria a las consideraciones realizadas en el numeral 2.1.1. de este concepto, las cuales aplican en términos generales frente a cualquier incumplimiento.</w:t>
      </w:r>
    </w:p>
    <w:p w14:paraId="55570FCC" w14:textId="77777777" w:rsidR="001E0C9C" w:rsidRPr="008853DE" w:rsidRDefault="001E0C9C" w:rsidP="001E0C9C">
      <w:pPr>
        <w:tabs>
          <w:tab w:val="left" w:pos="426"/>
        </w:tabs>
        <w:ind w:right="709"/>
        <w:jc w:val="both"/>
        <w:rPr>
          <w:rFonts w:ascii="Arial" w:eastAsia="Calibri" w:hAnsi="Arial" w:cs="Arial"/>
          <w:color w:val="000000" w:themeColor="text1"/>
          <w:sz w:val="21"/>
          <w:szCs w:val="21"/>
        </w:rPr>
      </w:pPr>
    </w:p>
    <w:p w14:paraId="0805F595"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»2. De conformidad con el literal d) del artículo 86 de la Ley 1474 “La entidad podrá dar por terminado el procedimiento en cualquier momento, si por algún medio tiene conocimiento de la cesación de situación de incumplimiento”. Al respecto, sírvase indicar: </w:t>
      </w:r>
    </w:p>
    <w:p w14:paraId="67AAFAE4"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 </w:t>
      </w:r>
    </w:p>
    <w:p w14:paraId="2567EBA6"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i. ¿Qué pasa en caso de que el contratista cumpla parcialmente? ¿Se debe terminar el proceso o se debe continuar respecto a las obligaciones que continúan incumplidas? </w:t>
      </w:r>
    </w:p>
    <w:p w14:paraId="1EC80B96"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p>
    <w:p w14:paraId="7B712985"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ii. En caso de que se trate de incumplimiento de labores o tareas recurrentes, y no del incumplimiento en entrega de productos determinados, ¿es posible para el contratista acreditar el cumplimiento tardío de sus obligaciones y solicitar la terminación del proceso sancionatorio, aun cuando el plazo contractual para ejecutar la labor o tarea ya esté vencido?</w:t>
      </w:r>
    </w:p>
    <w:p w14:paraId="3F52BDB7" w14:textId="77777777" w:rsidR="001E0C9C" w:rsidRPr="008853DE" w:rsidRDefault="001E0C9C" w:rsidP="001E0C9C">
      <w:pPr>
        <w:tabs>
          <w:tab w:val="left" w:pos="426"/>
        </w:tabs>
        <w:ind w:left="709" w:right="709"/>
        <w:jc w:val="both"/>
        <w:rPr>
          <w:rFonts w:ascii="Arial" w:eastAsia="Calibri" w:hAnsi="Arial" w:cs="Arial"/>
          <w:color w:val="000000" w:themeColor="text1"/>
          <w:sz w:val="21"/>
          <w:szCs w:val="21"/>
        </w:rPr>
      </w:pPr>
      <w:r w:rsidRPr="008853DE">
        <w:rPr>
          <w:rFonts w:ascii="Arial" w:eastAsia="Calibri" w:hAnsi="Arial" w:cs="Arial"/>
          <w:color w:val="000000" w:themeColor="text1"/>
          <w:sz w:val="21"/>
          <w:szCs w:val="21"/>
        </w:rPr>
        <w:t xml:space="preserve"> </w:t>
      </w:r>
    </w:p>
    <w:p w14:paraId="6444EC9F" w14:textId="77777777" w:rsidR="001E0C9C" w:rsidRPr="008853DE" w:rsidRDefault="001E0C9C" w:rsidP="001E0C9C">
      <w:pPr>
        <w:spacing w:before="120" w:line="276" w:lineRule="auto"/>
        <w:ind w:firstLine="709"/>
        <w:jc w:val="both"/>
        <w:rPr>
          <w:rFonts w:ascii="Arial" w:eastAsia="Arial" w:hAnsi="Arial" w:cs="Arial"/>
          <w:sz w:val="22"/>
        </w:rPr>
      </w:pPr>
      <w:r w:rsidRPr="008853DE">
        <w:rPr>
          <w:rFonts w:ascii="Arial" w:eastAsia="Arial" w:hAnsi="Arial" w:cs="Arial"/>
          <w:sz w:val="22"/>
        </w:rPr>
        <w:t xml:space="preserve">Frente a las preguntas anteriores, al igual que en el supuesto anterior se reitera, en primer lugar, que de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w:t>
      </w:r>
      <w:r w:rsidRPr="008853DE">
        <w:rPr>
          <w:rFonts w:ascii="Arial" w:eastAsia="Arial" w:hAnsi="Arial" w:cs="Arial"/>
          <w:sz w:val="22"/>
        </w:rPr>
        <w:lastRenderedPageBreak/>
        <w:t>de compras y contratación pública; por tal motivo, esta Agencia carece de competencia para decidir sobre la legalidad de las decisiones tomadas por las entidades estatales con ocasión de su actividad contractual, o para pronunciarse respecto de actuaciones contractuales específicas.</w:t>
      </w:r>
    </w:p>
    <w:p w14:paraId="4336731E" w14:textId="77777777" w:rsidR="001E0C9C" w:rsidRPr="008853DE" w:rsidRDefault="001E0C9C" w:rsidP="001E0C9C">
      <w:pPr>
        <w:spacing w:before="120" w:line="276" w:lineRule="auto"/>
        <w:ind w:firstLine="709"/>
        <w:jc w:val="both"/>
        <w:rPr>
          <w:rFonts w:ascii="Arial" w:eastAsia="Arial" w:hAnsi="Arial" w:cs="Arial"/>
          <w:sz w:val="22"/>
        </w:rPr>
      </w:pPr>
      <w:r w:rsidRPr="008853DE">
        <w:rPr>
          <w:rFonts w:ascii="Arial" w:eastAsia="Arial" w:hAnsi="Arial" w:cs="Arial"/>
          <w:sz w:val="22"/>
        </w:rPr>
        <w:t>Sin perjuicio de lo anterior, y abordando los cuestionamientos en términos abstractos, cabe aclarar que la posibilidad de terminar el procedimiento administrativo sancionatorio cuando la entidad tienen conocimiento de la cesación de la situación de incumplimiento, es una potestad discrecional, de manera que la disposición permite que la entidad termine o continúe con el procedimiento administrativo. En todo caso, se remite a la peticionaria al numeral 2.1.2. de este concepto, donde se desarrolló a profundidad este tema, de manera que con base en dichos parámetros cada entidad estatal debe valorar la conveniencia de continuar o no con el procedimiento administrativo sancionatorio y frente a cuáles incumplimientos.</w:t>
      </w:r>
    </w:p>
    <w:p w14:paraId="1AEB1A32" w14:textId="77777777" w:rsidR="001E0C9C" w:rsidRPr="008853DE" w:rsidRDefault="001E0C9C" w:rsidP="001E0C9C">
      <w:pPr>
        <w:spacing w:line="276" w:lineRule="auto"/>
        <w:jc w:val="both"/>
        <w:rPr>
          <w:rFonts w:ascii="Arial" w:eastAsia="Calibri" w:hAnsi="Arial" w:cs="Arial"/>
          <w:color w:val="000000" w:themeColor="text1"/>
          <w:sz w:val="22"/>
        </w:rPr>
      </w:pPr>
    </w:p>
    <w:p w14:paraId="4858B0E7" w14:textId="77777777" w:rsidR="001E0C9C" w:rsidRPr="008853DE" w:rsidRDefault="001E0C9C" w:rsidP="001E0C9C">
      <w:pPr>
        <w:spacing w:before="120" w:line="276" w:lineRule="auto"/>
        <w:jc w:val="both"/>
        <w:rPr>
          <w:rFonts w:ascii="Arial" w:eastAsia="Calibri" w:hAnsi="Arial" w:cs="Arial"/>
          <w:color w:val="000000" w:themeColor="text1"/>
          <w:sz w:val="22"/>
        </w:rPr>
      </w:pPr>
      <w:r w:rsidRPr="008853DE">
        <w:rPr>
          <w:rFonts w:ascii="Arial" w:eastAsia="Calibri" w:hAnsi="Arial" w:cs="Arial"/>
          <w:color w:val="000000" w:themeColor="text1"/>
          <w:sz w:val="22"/>
        </w:rPr>
        <w:t>Este concepto tiene el alcance previsto en el artículo 28 del Código de Procedimiento Administrativo y de lo Contencioso Administrativo.</w:t>
      </w:r>
    </w:p>
    <w:p w14:paraId="0D87655D" w14:textId="77777777" w:rsidR="001E0C9C" w:rsidRPr="008853DE" w:rsidRDefault="001E0C9C" w:rsidP="001E0C9C">
      <w:pPr>
        <w:ind w:firstLine="709"/>
        <w:jc w:val="both"/>
        <w:rPr>
          <w:rFonts w:ascii="Arial" w:eastAsia="Calibri" w:hAnsi="Arial" w:cs="Arial"/>
          <w:color w:val="000000" w:themeColor="text1"/>
          <w:sz w:val="22"/>
        </w:rPr>
      </w:pPr>
    </w:p>
    <w:p w14:paraId="1E48534A" w14:textId="77777777" w:rsidR="001E0C9C" w:rsidRPr="008853DE" w:rsidRDefault="001E0C9C" w:rsidP="001E0C9C">
      <w:pPr>
        <w:jc w:val="both"/>
        <w:rPr>
          <w:rFonts w:ascii="Arial" w:eastAsia="Times New Roman" w:hAnsi="Arial" w:cs="Arial"/>
          <w:color w:val="000000" w:themeColor="text1"/>
          <w:sz w:val="22"/>
          <w:lang w:eastAsia="es-CO"/>
        </w:rPr>
      </w:pPr>
      <w:r w:rsidRPr="008853DE">
        <w:rPr>
          <w:rFonts w:ascii="Arial" w:eastAsia="Times New Roman" w:hAnsi="Arial" w:cs="Arial"/>
          <w:color w:val="000000" w:themeColor="text1"/>
          <w:sz w:val="22"/>
          <w:lang w:eastAsia="es-CO"/>
        </w:rPr>
        <w:t>Atentamente,</w:t>
      </w:r>
    </w:p>
    <w:bookmarkEnd w:id="0"/>
    <w:bookmarkEnd w:id="1"/>
    <w:p w14:paraId="57B001B1" w14:textId="77777777" w:rsidR="001E0C9C" w:rsidRPr="008853DE" w:rsidRDefault="001E0C9C" w:rsidP="001E0C9C">
      <w:pPr>
        <w:jc w:val="center"/>
        <w:rPr>
          <w:rFonts w:ascii="Arial" w:eastAsia="Times New Roman" w:hAnsi="Arial" w:cs="Arial"/>
          <w:color w:val="000000" w:themeColor="text1"/>
          <w:sz w:val="18"/>
          <w:szCs w:val="20"/>
          <w:lang w:eastAsia="es-CO"/>
        </w:rPr>
      </w:pPr>
      <w:r>
        <w:rPr>
          <w:noProof/>
          <w:lang w:val="en-US"/>
        </w:rPr>
        <w:drawing>
          <wp:inline distT="0" distB="0" distL="0" distR="0" wp14:anchorId="3F0AB8C9" wp14:editId="195FDE59">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63DCBE7" w14:textId="77777777" w:rsidR="001E0C9C" w:rsidRPr="008853DE" w:rsidRDefault="001E0C9C" w:rsidP="001E0C9C">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E0C9C" w:rsidRPr="008853DE" w14:paraId="501AF0C8" w14:textId="77777777" w:rsidTr="00A83269">
        <w:trPr>
          <w:trHeight w:val="315"/>
        </w:trPr>
        <w:tc>
          <w:tcPr>
            <w:tcW w:w="812" w:type="dxa"/>
            <w:vAlign w:val="center"/>
            <w:hideMark/>
          </w:tcPr>
          <w:p w14:paraId="5BC42645"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EFD1E9A"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Sebastián Ramírez Grisales</w:t>
            </w:r>
          </w:p>
          <w:p w14:paraId="1F8BC540"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Contratista – Subdirección de Gestión Contractual</w:t>
            </w:r>
          </w:p>
        </w:tc>
      </w:tr>
      <w:tr w:rsidR="001E0C9C" w:rsidRPr="008853DE" w14:paraId="5F75EE3C" w14:textId="77777777" w:rsidTr="00A83269">
        <w:trPr>
          <w:trHeight w:val="330"/>
        </w:trPr>
        <w:tc>
          <w:tcPr>
            <w:tcW w:w="812" w:type="dxa"/>
            <w:vAlign w:val="center"/>
            <w:hideMark/>
          </w:tcPr>
          <w:p w14:paraId="3493FBE7"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339F31"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Fabián Gonzalo Marín Cortés</w:t>
            </w:r>
          </w:p>
          <w:p w14:paraId="536EDF36"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Subdirector de Gestión Contractual</w:t>
            </w:r>
          </w:p>
        </w:tc>
      </w:tr>
      <w:tr w:rsidR="001E0C9C" w:rsidRPr="00315049" w14:paraId="1FF62198" w14:textId="77777777" w:rsidTr="00A83269">
        <w:trPr>
          <w:trHeight w:val="300"/>
        </w:trPr>
        <w:tc>
          <w:tcPr>
            <w:tcW w:w="812" w:type="dxa"/>
            <w:vAlign w:val="center"/>
            <w:hideMark/>
          </w:tcPr>
          <w:p w14:paraId="4A4168E9"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6288D0" w14:textId="77777777" w:rsidR="001E0C9C" w:rsidRPr="008853DE"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Fabián Gonzalo Marín Cortés</w:t>
            </w:r>
          </w:p>
          <w:p w14:paraId="4127690E" w14:textId="77777777" w:rsidR="001E0C9C" w:rsidRPr="00315049" w:rsidRDefault="001E0C9C" w:rsidP="00A83269">
            <w:pPr>
              <w:rPr>
                <w:rFonts w:ascii="Arial" w:eastAsia="Times New Roman" w:hAnsi="Arial" w:cs="Arial"/>
                <w:color w:val="000000" w:themeColor="text1"/>
                <w:sz w:val="16"/>
                <w:szCs w:val="16"/>
                <w:lang w:eastAsia="es-ES"/>
              </w:rPr>
            </w:pPr>
            <w:r w:rsidRPr="008853DE">
              <w:rPr>
                <w:rFonts w:ascii="Arial" w:eastAsia="Times New Roman" w:hAnsi="Arial" w:cs="Arial"/>
                <w:color w:val="000000" w:themeColor="text1"/>
                <w:sz w:val="16"/>
                <w:szCs w:val="16"/>
                <w:lang w:eastAsia="es-ES"/>
              </w:rPr>
              <w:t>Subdirector de Gestión Contractual</w:t>
            </w:r>
          </w:p>
        </w:tc>
      </w:tr>
    </w:tbl>
    <w:p w14:paraId="40738016" w14:textId="77777777" w:rsidR="001E0C9C" w:rsidRPr="00315049" w:rsidRDefault="001E0C9C" w:rsidP="001E0C9C">
      <w:pPr>
        <w:rPr>
          <w:rFonts w:ascii="Arial" w:hAnsi="Arial" w:cs="Arial"/>
          <w:color w:val="000000" w:themeColor="text1"/>
        </w:rPr>
      </w:pPr>
    </w:p>
    <w:p w14:paraId="2A05AADA" w14:textId="77777777" w:rsidR="001E0C9C" w:rsidRPr="00315049" w:rsidRDefault="001E0C9C" w:rsidP="001E0C9C">
      <w:pPr>
        <w:rPr>
          <w:color w:val="000000" w:themeColor="text1"/>
        </w:rPr>
      </w:pPr>
    </w:p>
    <w:bookmarkEnd w:id="2"/>
    <w:p w14:paraId="36784563" w14:textId="77777777" w:rsidR="001E0C9C" w:rsidRPr="00C96CE9" w:rsidRDefault="001E0C9C" w:rsidP="001E0C9C"/>
    <w:p w14:paraId="7EBF297E" w14:textId="77777777" w:rsidR="007B0854" w:rsidRPr="001E0C9C" w:rsidRDefault="007B0854" w:rsidP="001E0C9C"/>
    <w:sectPr w:rsidR="007B0854" w:rsidRPr="001E0C9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06DB3" w14:textId="77777777" w:rsidR="00FC03CE" w:rsidRDefault="00FC03CE">
      <w:r>
        <w:separator/>
      </w:r>
    </w:p>
  </w:endnote>
  <w:endnote w:type="continuationSeparator" w:id="0">
    <w:p w14:paraId="076A6567" w14:textId="77777777" w:rsidR="00FC03CE" w:rsidRDefault="00FC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0F2C9" w14:textId="77777777" w:rsidR="004A34D2" w:rsidRDefault="004A34D2" w:rsidP="007B0854">
    <w:pPr>
      <w:pStyle w:val="Sinespaciado"/>
      <w:jc w:val="center"/>
      <w:rPr>
        <w:rFonts w:ascii="Arial" w:hAnsi="Arial" w:cs="Arial"/>
        <w:sz w:val="18"/>
        <w:szCs w:val="18"/>
      </w:rPr>
    </w:pPr>
  </w:p>
  <w:p w14:paraId="312C4A14" w14:textId="68D68F0C"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433EC">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433EC">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B85B8" w14:textId="77777777" w:rsidR="00FC03CE" w:rsidRDefault="00FC03CE">
      <w:r>
        <w:separator/>
      </w:r>
    </w:p>
  </w:footnote>
  <w:footnote w:type="continuationSeparator" w:id="0">
    <w:p w14:paraId="1CEB30A1" w14:textId="77777777" w:rsidR="00FC03CE" w:rsidRDefault="00FC03CE">
      <w:r>
        <w:continuationSeparator/>
      </w:r>
    </w:p>
  </w:footnote>
  <w:footnote w:id="1">
    <w:p w14:paraId="0DE1C252" w14:textId="77777777" w:rsidR="001E0C9C" w:rsidRPr="008853DE" w:rsidRDefault="001E0C9C" w:rsidP="001E0C9C">
      <w:pPr>
        <w:pStyle w:val="Textonotapie"/>
        <w:jc w:val="both"/>
        <w:rPr>
          <w:rFonts w:ascii="Arial" w:hAnsi="Arial" w:cs="Arial"/>
          <w:iCs/>
          <w:color w:val="000000" w:themeColor="text1"/>
          <w:sz w:val="19"/>
          <w:szCs w:val="19"/>
        </w:rPr>
      </w:pPr>
      <w:r w:rsidRPr="001439D5">
        <w:rPr>
          <w:rFonts w:ascii="Arial" w:hAnsi="Arial" w:cs="Arial"/>
          <w:iCs/>
          <w:color w:val="000000" w:themeColor="text1"/>
          <w:sz w:val="19"/>
          <w:szCs w:val="19"/>
        </w:rPr>
        <w:tab/>
      </w:r>
      <w:r w:rsidRPr="008853DE">
        <w:rPr>
          <w:rFonts w:ascii="Arial" w:hAnsi="Arial" w:cs="Arial"/>
          <w:iCs/>
          <w:color w:val="000000" w:themeColor="text1"/>
          <w:sz w:val="19"/>
          <w:szCs w:val="19"/>
          <w:vertAlign w:val="superscript"/>
        </w:rPr>
        <w:footnoteRef/>
      </w:r>
      <w:r w:rsidRPr="008853DE">
        <w:rPr>
          <w:rFonts w:ascii="Arial" w:hAnsi="Arial" w:cs="Arial"/>
          <w:iCs/>
          <w:color w:val="000000" w:themeColor="text1"/>
          <w:sz w:val="19"/>
          <w:szCs w:val="19"/>
        </w:rPr>
        <w:t xml:space="preserve"> Sección Tercera, Sentencia del 12 de julio de 2012, expediente 15.024 y ponencia de Danilo Rojas Betancourth.</w:t>
      </w:r>
    </w:p>
    <w:p w14:paraId="28E869EE" w14:textId="77777777" w:rsidR="001E0C9C" w:rsidRPr="008853DE" w:rsidRDefault="001E0C9C" w:rsidP="001E0C9C">
      <w:pPr>
        <w:pStyle w:val="Textonotapie"/>
        <w:jc w:val="both"/>
        <w:rPr>
          <w:rFonts w:ascii="Arial" w:hAnsi="Arial" w:cs="Arial"/>
          <w:color w:val="000000" w:themeColor="text1"/>
          <w:sz w:val="19"/>
          <w:szCs w:val="19"/>
        </w:rPr>
      </w:pPr>
    </w:p>
  </w:footnote>
  <w:footnote w:id="2">
    <w:p w14:paraId="77349464" w14:textId="77777777" w:rsidR="001E0C9C" w:rsidRPr="008853DE" w:rsidRDefault="001E0C9C" w:rsidP="001E0C9C">
      <w:pPr>
        <w:pStyle w:val="Textonotapie"/>
        <w:jc w:val="both"/>
        <w:rPr>
          <w:rFonts w:ascii="Arial" w:hAnsi="Arial" w:cs="Arial"/>
          <w:color w:val="000000" w:themeColor="text1"/>
          <w:sz w:val="19"/>
          <w:szCs w:val="19"/>
        </w:rPr>
      </w:pPr>
      <w:r w:rsidRPr="008853DE">
        <w:rPr>
          <w:rFonts w:ascii="Arial" w:hAnsi="Arial" w:cs="Arial"/>
          <w:iCs/>
          <w:color w:val="000000" w:themeColor="text1"/>
          <w:sz w:val="19"/>
          <w:szCs w:val="19"/>
        </w:rPr>
        <w:tab/>
      </w:r>
      <w:r w:rsidRPr="008853DE">
        <w:rPr>
          <w:rFonts w:ascii="Arial" w:hAnsi="Arial" w:cs="Arial"/>
          <w:iCs/>
          <w:color w:val="000000" w:themeColor="text1"/>
          <w:sz w:val="19"/>
          <w:szCs w:val="19"/>
          <w:vertAlign w:val="superscript"/>
        </w:rPr>
        <w:footnoteRef/>
      </w:r>
      <w:r w:rsidRPr="008853DE">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footnote>
  <w:footnote w:id="3">
    <w:p w14:paraId="372DC4BA" w14:textId="77777777" w:rsidR="001E0C9C" w:rsidRPr="008853DE" w:rsidRDefault="001E0C9C" w:rsidP="001E0C9C">
      <w:pPr>
        <w:pStyle w:val="Textonotapie"/>
        <w:ind w:firstLine="708"/>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CONSEJO DE ESTADO. Sección Tercera. Exp. 17.009. C.P. Enrique Gil Botero.</w:t>
      </w:r>
    </w:p>
    <w:p w14:paraId="71E0EBE8" w14:textId="77777777" w:rsidR="001E0C9C" w:rsidRPr="008853DE" w:rsidRDefault="001E0C9C" w:rsidP="001E0C9C">
      <w:pPr>
        <w:pStyle w:val="Textonotapie"/>
        <w:ind w:firstLine="708"/>
        <w:jc w:val="both"/>
        <w:rPr>
          <w:rFonts w:ascii="Arial" w:hAnsi="Arial" w:cs="Arial"/>
          <w:color w:val="000000" w:themeColor="text1"/>
          <w:sz w:val="19"/>
          <w:szCs w:val="19"/>
        </w:rPr>
      </w:pPr>
    </w:p>
  </w:footnote>
  <w:footnote w:id="4">
    <w:p w14:paraId="5CC72967" w14:textId="77777777" w:rsidR="001E0C9C" w:rsidRPr="008853DE" w:rsidRDefault="001E0C9C" w:rsidP="001E0C9C">
      <w:pPr>
        <w:pStyle w:val="Textonotapie"/>
        <w:ind w:firstLine="708"/>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Corte Constitucional. Sentencia C-827 de 2001. M.P. Álvaro Tafur Galvis.</w:t>
      </w:r>
    </w:p>
    <w:p w14:paraId="5F8C33A6" w14:textId="77777777" w:rsidR="001E0C9C" w:rsidRPr="008853DE" w:rsidRDefault="001E0C9C" w:rsidP="001E0C9C">
      <w:pPr>
        <w:pStyle w:val="Textonotapie"/>
        <w:ind w:firstLine="708"/>
        <w:jc w:val="both"/>
        <w:rPr>
          <w:rFonts w:ascii="Arial" w:hAnsi="Arial" w:cs="Arial"/>
          <w:color w:val="000000" w:themeColor="text1"/>
          <w:sz w:val="19"/>
          <w:szCs w:val="19"/>
        </w:rPr>
      </w:pPr>
    </w:p>
  </w:footnote>
  <w:footnote w:id="5">
    <w:p w14:paraId="20A66257" w14:textId="77777777" w:rsidR="001E0C9C" w:rsidRPr="008853DE" w:rsidRDefault="001E0C9C" w:rsidP="001E0C9C">
      <w:pPr>
        <w:pStyle w:val="Textonotapie"/>
        <w:jc w:val="both"/>
        <w:rPr>
          <w:rFonts w:ascii="Arial" w:hAnsi="Arial" w:cs="Arial"/>
          <w:color w:val="000000" w:themeColor="text1"/>
          <w:sz w:val="19"/>
          <w:szCs w:val="19"/>
        </w:rPr>
      </w:pPr>
      <w:r w:rsidRPr="008853DE">
        <w:rPr>
          <w:rFonts w:ascii="Arial" w:hAnsi="Arial" w:cs="Arial"/>
          <w:color w:val="000000" w:themeColor="text1"/>
          <w:sz w:val="19"/>
          <w:szCs w:val="19"/>
          <w:vertAlign w:val="superscript"/>
        </w:rPr>
        <w:tab/>
      </w:r>
      <w:r w:rsidRPr="008853DE">
        <w:rPr>
          <w:rFonts w:ascii="Arial" w:hAnsi="Arial" w:cs="Arial"/>
          <w:color w:val="000000" w:themeColor="text1"/>
          <w:sz w:val="19"/>
          <w:szCs w:val="19"/>
          <w:vertAlign w:val="superscript"/>
        </w:rPr>
        <w:footnoteRef/>
      </w:r>
      <w:r w:rsidRPr="008853DE">
        <w:rPr>
          <w:rFonts w:ascii="Arial" w:hAnsi="Arial" w:cs="Arial"/>
          <w:color w:val="000000" w:themeColor="text1"/>
          <w:sz w:val="19"/>
          <w:szCs w:val="19"/>
          <w:vertAlign w:val="superscript"/>
        </w:rPr>
        <w:t xml:space="preserve"> </w:t>
      </w:r>
      <w:r w:rsidRPr="008853DE">
        <w:rPr>
          <w:rFonts w:ascii="Arial" w:hAnsi="Arial" w:cs="Arial"/>
          <w:color w:val="000000" w:themeColor="text1"/>
          <w:sz w:val="19"/>
          <w:szCs w:val="19"/>
        </w:rPr>
        <w:t>Sentencia del 13 de noviembre de 2008, expediente 17.009, C.P. Enrique Gil Botero.</w:t>
      </w:r>
    </w:p>
  </w:footnote>
  <w:footnote w:id="6">
    <w:p w14:paraId="2A1760D3" w14:textId="77777777" w:rsidR="001E0C9C" w:rsidRPr="008853DE" w:rsidRDefault="001E0C9C" w:rsidP="001E0C9C">
      <w:pPr>
        <w:pStyle w:val="Textonotapie"/>
        <w:ind w:firstLine="708"/>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Corte Constitucional. Sentencia C-499 de 2015. M.P. Mauricio González Cuervo.</w:t>
      </w:r>
    </w:p>
    <w:p w14:paraId="5DEA417D" w14:textId="77777777" w:rsidR="001E0C9C" w:rsidRPr="008853DE" w:rsidRDefault="001E0C9C" w:rsidP="001E0C9C">
      <w:pPr>
        <w:pStyle w:val="Textonotapie"/>
        <w:ind w:firstLine="708"/>
        <w:jc w:val="both"/>
        <w:rPr>
          <w:rFonts w:ascii="Arial" w:hAnsi="Arial" w:cs="Arial"/>
          <w:color w:val="000000" w:themeColor="text1"/>
          <w:sz w:val="19"/>
          <w:szCs w:val="19"/>
        </w:rPr>
      </w:pPr>
    </w:p>
  </w:footnote>
  <w:footnote w:id="7">
    <w:p w14:paraId="7EDF3325"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53BA115E"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footnote>
  <w:footnote w:id="8">
    <w:p w14:paraId="243937F7" w14:textId="77777777" w:rsidR="001E0C9C" w:rsidRPr="008853DE" w:rsidRDefault="001E0C9C" w:rsidP="001E0C9C">
      <w:pPr>
        <w:pStyle w:val="Textonotapie"/>
        <w:ind w:firstLine="708"/>
        <w:jc w:val="both"/>
        <w:rPr>
          <w:rFonts w:ascii="Arial" w:hAnsi="Arial" w:cs="Arial"/>
          <w:sz w:val="19"/>
          <w:szCs w:val="19"/>
          <w:lang w:val="es-CO"/>
        </w:rPr>
      </w:pPr>
      <w:r w:rsidRPr="008853DE">
        <w:rPr>
          <w:rStyle w:val="Refdenotaalpie"/>
          <w:rFonts w:ascii="Arial" w:hAnsi="Arial" w:cs="Arial"/>
          <w:sz w:val="19"/>
          <w:szCs w:val="19"/>
        </w:rPr>
        <w:footnoteRef/>
      </w:r>
      <w:r w:rsidRPr="008853DE">
        <w:rPr>
          <w:rFonts w:ascii="Arial" w:hAnsi="Arial" w:cs="Arial"/>
          <w:sz w:val="19"/>
          <w:szCs w:val="19"/>
        </w:rPr>
        <w:t xml:space="preserve"> </w:t>
      </w:r>
      <w:r w:rsidRPr="008853DE">
        <w:rPr>
          <w:rFonts w:ascii="Arial" w:hAnsi="Arial" w:cs="Arial"/>
          <w:color w:val="000000" w:themeColor="text1"/>
          <w:sz w:val="19"/>
          <w:szCs w:val="19"/>
          <w:lang w:val="es-ES"/>
        </w:rPr>
        <w:t xml:space="preserve">Se entiende por entidades de </w:t>
      </w:r>
      <w:r w:rsidRPr="008853DE">
        <w:rPr>
          <w:rFonts w:ascii="Arial" w:hAnsi="Arial" w:cs="Arial"/>
          <w:i/>
          <w:iCs/>
          <w:color w:val="000000" w:themeColor="text1"/>
          <w:sz w:val="19"/>
          <w:szCs w:val="19"/>
          <w:lang w:val="es-ES"/>
        </w:rPr>
        <w:t xml:space="preserve">régimen especial </w:t>
      </w:r>
      <w:r w:rsidRPr="008853DE">
        <w:rPr>
          <w:rFonts w:ascii="Arial" w:hAnsi="Arial" w:cs="Arial"/>
          <w:color w:val="000000" w:themeColor="text1"/>
          <w:sz w:val="19"/>
          <w:szCs w:val="19"/>
          <w:lang w:val="es-ES"/>
        </w:rPr>
        <w:t>aquellas que tienen un régimen contractual distinto al Estatuto General de Contratación de la Administración Pública, y que por regla general se rigen por el derecho privado.</w:t>
      </w:r>
    </w:p>
  </w:footnote>
  <w:footnote w:id="9">
    <w:p w14:paraId="4224B906" w14:textId="77777777" w:rsidR="001E0C9C" w:rsidRPr="008853DE" w:rsidRDefault="001E0C9C" w:rsidP="001E0C9C">
      <w:pPr>
        <w:ind w:firstLine="709"/>
        <w:jc w:val="both"/>
        <w:rPr>
          <w:rFonts w:ascii="Arial" w:hAnsi="Arial" w:cs="Arial"/>
          <w:color w:val="000000" w:themeColor="text1"/>
          <w:sz w:val="19"/>
          <w:szCs w:val="19"/>
          <w:lang w:val="es-ES_tradnl"/>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 xml:space="preserve">Providencias que avalaron dicha tesis fueron las siguientes: Consejo de Estado. Sección Tercera. Sentencias del 20 de febrero de 2017. Consejero Ponente: Jaime Orlando Santofimio Gamboa. Expedientes: </w:t>
      </w:r>
      <w:r w:rsidRPr="008853DE">
        <w:rPr>
          <w:rFonts w:ascii="Arial" w:hAnsi="Arial" w:cs="Arial"/>
          <w:color w:val="000000" w:themeColor="text1"/>
          <w:sz w:val="19"/>
          <w:szCs w:val="19"/>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p w14:paraId="15DB0129" w14:textId="77777777" w:rsidR="001E0C9C" w:rsidRPr="008853DE" w:rsidRDefault="001E0C9C" w:rsidP="001E0C9C">
      <w:pPr>
        <w:pStyle w:val="Textonotapie"/>
        <w:jc w:val="both"/>
        <w:rPr>
          <w:rFonts w:ascii="Arial" w:hAnsi="Arial" w:cs="Arial"/>
          <w:color w:val="000000" w:themeColor="text1"/>
          <w:sz w:val="19"/>
          <w:szCs w:val="19"/>
          <w:lang w:val="es-ES_tradnl"/>
        </w:rPr>
      </w:pPr>
    </w:p>
  </w:footnote>
  <w:footnote w:id="10">
    <w:p w14:paraId="0DC83D8A" w14:textId="77777777" w:rsidR="001E0C9C" w:rsidRPr="008853DE" w:rsidRDefault="001E0C9C" w:rsidP="001E0C9C">
      <w:pPr>
        <w:pStyle w:val="Textonotapie"/>
        <w:ind w:firstLine="709"/>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«Artículo 29. El debido proceso se aplicará a toda clase de actuaciones judiciales y administrativas.</w:t>
      </w:r>
    </w:p>
    <w:p w14:paraId="55EDA116" w14:textId="77777777" w:rsidR="001E0C9C" w:rsidRPr="008853DE" w:rsidRDefault="001E0C9C" w:rsidP="001E0C9C">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»Nadie podrá ser juzgado sino conforme a leyes preexistentes al acto que se le imputa, ante juez o tribunal competente y con observancia de la plenitud de las formas propias de cada juicio.</w:t>
      </w:r>
    </w:p>
    <w:p w14:paraId="1849AD8C" w14:textId="77777777" w:rsidR="001E0C9C" w:rsidRPr="008853DE" w:rsidRDefault="001E0C9C" w:rsidP="001E0C9C">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»En materia penal, la ley permisiva o favorable, aun cuando sea posterior, se aplicará de preferencia a la restrictiva o desfavorable.</w:t>
      </w:r>
    </w:p>
    <w:p w14:paraId="5D93A48E" w14:textId="77777777" w:rsidR="001E0C9C" w:rsidRPr="008853DE" w:rsidRDefault="001E0C9C" w:rsidP="001E0C9C">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»Toda persona se presume inocente mientras no se la haya declarado judicialmente culpable. Quien sea sindicado tiene derecho a la defensa y a la asistencia de un abogado escogido por él, o de oficio, durante la investigación y el juzgamiento; a un debido proceso público sin dilaciones injustificadas; a presentar pruebas y a controvertir las que se alleguen en su contra; a impugnar la sentencia condenatoria, y a no ser juzgado dos veces por el mismo hecho.</w:t>
      </w:r>
    </w:p>
    <w:p w14:paraId="041CCD7B" w14:textId="77777777" w:rsidR="001E0C9C" w:rsidRPr="008853DE" w:rsidRDefault="001E0C9C" w:rsidP="001E0C9C">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»Es nula, de pleno derecho, la prueba obtenida con violación del debido proceso».</w:t>
      </w:r>
    </w:p>
    <w:p w14:paraId="60039EC1"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footnote>
  <w:footnote w:id="11">
    <w:p w14:paraId="05EE3F5D" w14:textId="77777777" w:rsidR="001E0C9C" w:rsidRPr="008853DE" w:rsidRDefault="001E0C9C" w:rsidP="001E0C9C">
      <w:pPr>
        <w:pStyle w:val="NormalWeb"/>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w:t>
      </w:r>
      <w:r w:rsidRPr="008853DE">
        <w:rPr>
          <w:rFonts w:ascii="Arial" w:eastAsiaTheme="minorHAnsi" w:hAnsi="Arial" w:cs="Arial"/>
          <w:color w:val="000000" w:themeColor="text1"/>
          <w:sz w:val="19"/>
          <w:szCs w:val="19"/>
          <w:lang w:val="es-ES_tradnl" w:eastAsia="es-ES_tradnl"/>
        </w:rPr>
        <w:t>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20017FD2" w14:textId="77777777" w:rsidR="001E0C9C" w:rsidRPr="008853DE" w:rsidRDefault="001E0C9C" w:rsidP="001E0C9C">
      <w:pPr>
        <w:ind w:firstLine="709"/>
        <w:jc w:val="both"/>
        <w:rPr>
          <w:rFonts w:ascii="Arial" w:hAnsi="Arial" w:cs="Arial"/>
          <w:color w:val="000000" w:themeColor="text1"/>
          <w:sz w:val="19"/>
          <w:szCs w:val="19"/>
          <w:lang w:val="es-ES_tradnl"/>
        </w:rPr>
      </w:pPr>
      <w:r w:rsidRPr="008853DE">
        <w:rPr>
          <w:rFonts w:ascii="Arial" w:hAnsi="Arial" w:cs="Arial"/>
          <w:color w:val="000000" w:themeColor="text1"/>
          <w:sz w:val="19"/>
          <w:szCs w:val="19"/>
          <w:lang w:val="es-ES_tradnl"/>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74915521" w14:textId="77777777" w:rsidR="001E0C9C" w:rsidRPr="008853DE" w:rsidRDefault="001E0C9C" w:rsidP="001E0C9C">
      <w:pPr>
        <w:ind w:firstLine="709"/>
        <w:jc w:val="both"/>
        <w:rPr>
          <w:rFonts w:ascii="Arial" w:hAnsi="Arial" w:cs="Arial"/>
          <w:color w:val="000000" w:themeColor="text1"/>
          <w:sz w:val="19"/>
          <w:szCs w:val="19"/>
          <w:lang w:val="es-ES_tradnl"/>
        </w:rPr>
      </w:pPr>
      <w:r w:rsidRPr="008853DE">
        <w:rPr>
          <w:rFonts w:ascii="Arial" w:hAnsi="Arial" w:cs="Arial"/>
          <w:color w:val="000000" w:themeColor="text1"/>
          <w:sz w:val="19"/>
          <w:szCs w:val="19"/>
          <w:lang w:val="es-ES_tradnl"/>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067BDBE3" w14:textId="77777777" w:rsidR="001E0C9C" w:rsidRPr="008853DE" w:rsidRDefault="001E0C9C" w:rsidP="001E0C9C">
      <w:pPr>
        <w:ind w:firstLine="709"/>
        <w:jc w:val="both"/>
        <w:rPr>
          <w:rFonts w:ascii="Arial" w:hAnsi="Arial" w:cs="Arial"/>
          <w:iCs/>
          <w:color w:val="000000" w:themeColor="text1"/>
          <w:sz w:val="19"/>
          <w:szCs w:val="19"/>
          <w:lang w:val="es-ES_tradnl"/>
        </w:rPr>
      </w:pPr>
      <w:r w:rsidRPr="008853DE">
        <w:rPr>
          <w:rFonts w:ascii="Arial" w:hAnsi="Arial" w:cs="Arial"/>
          <w:color w:val="000000" w:themeColor="text1"/>
          <w:sz w:val="19"/>
          <w:szCs w:val="19"/>
          <w:lang w:val="es-ES_tradnl"/>
        </w:rPr>
        <w:t>»En materia administrativa sancionatoria, se observarán adicionalmente los principios de legalidad de las faltas y de las sanciones, de presunción de inocencia, de no </w:t>
      </w:r>
      <w:r w:rsidRPr="008853DE">
        <w:rPr>
          <w:rFonts w:ascii="Arial" w:hAnsi="Arial" w:cs="Arial"/>
          <w:i/>
          <w:iCs/>
          <w:color w:val="000000" w:themeColor="text1"/>
          <w:sz w:val="19"/>
          <w:szCs w:val="19"/>
          <w:lang w:val="es-ES_tradnl"/>
        </w:rPr>
        <w:t>reformatio in pejus y non bis in ídem</w:t>
      </w:r>
    </w:p>
    <w:p w14:paraId="58AF418B" w14:textId="77777777" w:rsidR="001E0C9C" w:rsidRPr="008853DE" w:rsidRDefault="001E0C9C" w:rsidP="001E0C9C">
      <w:pPr>
        <w:ind w:firstLine="709"/>
        <w:jc w:val="both"/>
        <w:rPr>
          <w:rFonts w:ascii="Arial" w:hAnsi="Arial" w:cs="Arial"/>
          <w:color w:val="000000" w:themeColor="text1"/>
          <w:sz w:val="19"/>
          <w:szCs w:val="19"/>
          <w:lang w:val="es-ES_tradnl"/>
        </w:rPr>
      </w:pPr>
      <w:r w:rsidRPr="008853DE">
        <w:rPr>
          <w:rFonts w:ascii="Arial" w:hAnsi="Arial" w:cs="Arial"/>
          <w:iCs/>
          <w:color w:val="000000" w:themeColor="text1"/>
          <w:sz w:val="19"/>
          <w:szCs w:val="19"/>
          <w:lang w:val="es-ES_tradnl"/>
        </w:rPr>
        <w:t>[…]»</w:t>
      </w:r>
      <w:r w:rsidRPr="008853DE">
        <w:rPr>
          <w:rFonts w:ascii="Arial" w:hAnsi="Arial" w:cs="Arial"/>
          <w:i/>
          <w:iCs/>
          <w:color w:val="000000" w:themeColor="text1"/>
          <w:sz w:val="19"/>
          <w:szCs w:val="19"/>
          <w:lang w:val="es-ES_tradnl"/>
        </w:rPr>
        <w:t>.</w:t>
      </w:r>
    </w:p>
    <w:p w14:paraId="56726688"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footnote>
  <w:footnote w:id="12">
    <w:p w14:paraId="7DD464F7"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CONSEJO DE ESTADO. Sección Tercera. Auto del 12 de diciembre de 2017. Exp. 60.477. C.P. Jaime Orlando Santofimio Gamboa</w:t>
      </w:r>
    </w:p>
    <w:p w14:paraId="583257B5"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footnote>
  <w:footnote w:id="13">
    <w:p w14:paraId="1E5B9DE3" w14:textId="77777777" w:rsidR="001E0C9C" w:rsidRPr="008853DE" w:rsidRDefault="001E0C9C" w:rsidP="001E0C9C">
      <w:pPr>
        <w:pStyle w:val="Textonotapie"/>
        <w:ind w:firstLine="709"/>
        <w:jc w:val="both"/>
        <w:rPr>
          <w:lang w:val="es-CO"/>
        </w:rPr>
      </w:pPr>
      <w:r w:rsidRPr="008853DE">
        <w:rPr>
          <w:rStyle w:val="Refdenotaalpie"/>
        </w:rPr>
        <w:footnoteRef/>
      </w:r>
      <w:r w:rsidRPr="008853DE">
        <w:t xml:space="preserve"> </w:t>
      </w:r>
      <w:r w:rsidRPr="008853DE">
        <w:rPr>
          <w:rFonts w:ascii="Arial" w:hAnsi="Arial" w:cs="Arial"/>
          <w:color w:val="000000" w:themeColor="text1"/>
          <w:sz w:val="19"/>
          <w:szCs w:val="19"/>
          <w:lang w:val="es-ES"/>
        </w:rPr>
        <w:t>Como se ha señalado en distintos conceptos de esta Subdirección, como el C-219 del 29 de abril de 2020 y el C-280 del 6 de julio de 2020.</w:t>
      </w:r>
    </w:p>
  </w:footnote>
  <w:footnote w:id="14">
    <w:p w14:paraId="3BC4CCDB"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El artículo 31 de la Ley 142 de 1994, modificado por el artículo 3 de la Ley 689 de 2001, establece: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07F3BAAA"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r w:rsidRPr="008853DE">
        <w:rPr>
          <w:rFonts w:ascii="Arial" w:hAnsi="Arial" w:cs="Arial"/>
          <w:color w:val="000000" w:themeColor="text1"/>
          <w:sz w:val="19"/>
          <w:szCs w:val="19"/>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2C4CBBB7"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r w:rsidRPr="008853DE">
        <w:rPr>
          <w:rFonts w:ascii="Arial" w:hAnsi="Arial" w:cs="Arial"/>
          <w:color w:val="000000" w:themeColor="text1"/>
          <w:sz w:val="19"/>
          <w:szCs w:val="19"/>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16CA188D"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footnote>
  <w:footnote w:id="15">
    <w:p w14:paraId="621C8E1F"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14:paraId="7C851E3D"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p w14:paraId="19E60858" w14:textId="77777777" w:rsidR="001E0C9C" w:rsidRPr="008853DE" w:rsidRDefault="001E0C9C" w:rsidP="001E0C9C">
      <w:pPr>
        <w:pStyle w:val="Textonotapie"/>
        <w:ind w:firstLine="709"/>
        <w:jc w:val="both"/>
        <w:rPr>
          <w:rFonts w:ascii="Arial" w:hAnsi="Arial" w:cs="Arial"/>
          <w:color w:val="000000" w:themeColor="text1"/>
          <w:sz w:val="19"/>
          <w:szCs w:val="19"/>
          <w:lang w:val="es-ES"/>
        </w:rPr>
      </w:pPr>
    </w:p>
  </w:footnote>
  <w:footnote w:id="16">
    <w:p w14:paraId="28DAC6F3" w14:textId="77777777" w:rsidR="001E0C9C" w:rsidRPr="008853DE" w:rsidRDefault="001E0C9C" w:rsidP="001E0C9C">
      <w:pPr>
        <w:pStyle w:val="Textonotapie"/>
        <w:ind w:firstLine="708"/>
        <w:jc w:val="both"/>
        <w:rPr>
          <w:rFonts w:ascii="Arial" w:hAnsi="Arial" w:cs="Arial"/>
          <w:lang w:val="es-CO"/>
        </w:rPr>
      </w:pPr>
      <w:r w:rsidRPr="008853DE">
        <w:rPr>
          <w:rStyle w:val="Refdenotaalpie"/>
        </w:rPr>
        <w:footnoteRef/>
      </w:r>
      <w:r w:rsidRPr="008853DE">
        <w:t xml:space="preserve"> </w:t>
      </w:r>
      <w:r w:rsidRPr="008853DE">
        <w:rPr>
          <w:rFonts w:ascii="Arial" w:hAnsi="Arial" w:cs="Arial"/>
        </w:rPr>
        <w:t>Esta misma interpretación se expuso en el concepto C-211 del 21 de abril de 2020 y conforme a las líneas anteriores se deben entender las consideraciones realizadas en dicho concepto.</w:t>
      </w:r>
    </w:p>
  </w:footnote>
  <w:footnote w:id="17">
    <w:p w14:paraId="6C0F2DD8" w14:textId="77777777" w:rsidR="001E0C9C" w:rsidRPr="008853DE" w:rsidRDefault="001E0C9C" w:rsidP="001E0C9C">
      <w:pPr>
        <w:pStyle w:val="Textonotapie"/>
        <w:ind w:firstLine="708"/>
        <w:jc w:val="both"/>
        <w:rPr>
          <w:rFonts w:ascii="Arial" w:hAnsi="Arial" w:cs="Arial"/>
          <w:sz w:val="19"/>
          <w:szCs w:val="19"/>
        </w:rPr>
      </w:pPr>
    </w:p>
    <w:p w14:paraId="1D5EA1F2"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El inciso primero del último artículo establece: «Artículo 13. </w:t>
      </w:r>
      <w:bookmarkStart w:id="4" w:name="13"/>
      <w:r w:rsidRPr="008853DE">
        <w:rPr>
          <w:rFonts w:ascii="Arial" w:hAnsi="Arial" w:cs="Arial"/>
          <w:sz w:val="19"/>
          <w:szCs w:val="19"/>
        </w:rPr>
        <w:t>De la normatividad aplicable a los contratos estatales.</w:t>
      </w:r>
      <w:bookmarkEnd w:id="4"/>
      <w:r w:rsidRPr="008853DE">
        <w:rPr>
          <w:rFonts w:ascii="Arial" w:hAnsi="Arial" w:cs="Arial"/>
          <w:sz w:val="19"/>
          <w:szCs w:val="19"/>
        </w:rPr>
        <w:t> Los contratos que celebren las entidades a que se refiere el artículo </w:t>
      </w:r>
      <w:hyperlink r:id="rId1" w:anchor="2" w:history="1">
        <w:r w:rsidRPr="008853DE">
          <w:rPr>
            <w:rFonts w:ascii="Arial" w:hAnsi="Arial" w:cs="Arial"/>
            <w:sz w:val="19"/>
            <w:szCs w:val="19"/>
          </w:rPr>
          <w:t>2</w:t>
        </w:r>
      </w:hyperlink>
      <w:r w:rsidRPr="008853DE">
        <w:rPr>
          <w:rFonts w:ascii="Arial" w:hAnsi="Arial" w:cs="Arial"/>
          <w:sz w:val="19"/>
          <w:szCs w:val="19"/>
        </w:rPr>
        <w:t>o. del presente estatuto se regirán por las disposiciones comerciales y civiles pertinentes, salvo en las materias particularmente reguladas en esta ley».</w:t>
      </w:r>
    </w:p>
    <w:p w14:paraId="527778BC" w14:textId="77777777" w:rsidR="001E0C9C" w:rsidRPr="008853DE" w:rsidRDefault="001E0C9C" w:rsidP="001E0C9C">
      <w:pPr>
        <w:pStyle w:val="Textonotapie"/>
        <w:ind w:firstLine="708"/>
        <w:jc w:val="both"/>
        <w:rPr>
          <w:rFonts w:ascii="Arial" w:hAnsi="Arial" w:cs="Arial"/>
          <w:sz w:val="19"/>
          <w:szCs w:val="19"/>
        </w:rPr>
      </w:pPr>
    </w:p>
  </w:footnote>
  <w:footnote w:id="18">
    <w:p w14:paraId="4C5FAA80"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«Artículo 1596. Rebaja de pena por cumplimiento parcial. Si el deudor cumple solamente una parte de la obligación principal y el acreedor acepta esta parte, tendrá derecho para que se rebaje proporcionalmente la pena estipulada por falta de cumplimiento de la obligación principal».</w:t>
      </w:r>
    </w:p>
    <w:p w14:paraId="0D1CC10D" w14:textId="77777777" w:rsidR="001E0C9C" w:rsidRPr="008853DE" w:rsidRDefault="001E0C9C" w:rsidP="001E0C9C">
      <w:pPr>
        <w:pStyle w:val="Textonotapie"/>
        <w:ind w:firstLine="708"/>
        <w:jc w:val="both"/>
        <w:rPr>
          <w:rFonts w:ascii="Arial" w:hAnsi="Arial" w:cs="Arial"/>
          <w:sz w:val="19"/>
          <w:szCs w:val="19"/>
          <w:lang w:val="es-CO"/>
        </w:rPr>
      </w:pPr>
    </w:p>
  </w:footnote>
  <w:footnote w:id="19">
    <w:p w14:paraId="2326CD51"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«Artículo 867. Cuando se estipule el pago de una prestación determinada para el caso de incumplimiento, o de mora, se entenderá que las partes no pueden retractarse. </w:t>
      </w:r>
    </w:p>
    <w:p w14:paraId="229F5BBE" w14:textId="77777777" w:rsidR="001E0C9C" w:rsidRPr="008853DE" w:rsidRDefault="001E0C9C" w:rsidP="001E0C9C">
      <w:pPr>
        <w:pStyle w:val="Textonotapie"/>
        <w:ind w:firstLine="708"/>
        <w:jc w:val="both"/>
        <w:rPr>
          <w:rFonts w:ascii="Arial" w:hAnsi="Arial" w:cs="Arial"/>
          <w:sz w:val="19"/>
          <w:szCs w:val="19"/>
        </w:rPr>
      </w:pPr>
      <w:r w:rsidRPr="008853DE">
        <w:rPr>
          <w:rFonts w:ascii="Arial" w:hAnsi="Arial" w:cs="Arial"/>
          <w:sz w:val="19"/>
          <w:szCs w:val="19"/>
        </w:rPr>
        <w:t xml:space="preserve">»Cuando la prestación principal esté determinada o sea determinable en una suma cierta de dinero la pena no podrá ser superior al monto de aquella. </w:t>
      </w:r>
    </w:p>
    <w:p w14:paraId="568F4E28" w14:textId="77777777" w:rsidR="001E0C9C" w:rsidRPr="008853DE" w:rsidRDefault="001E0C9C" w:rsidP="001E0C9C">
      <w:pPr>
        <w:pStyle w:val="Textonotapie"/>
        <w:ind w:firstLine="708"/>
        <w:jc w:val="both"/>
        <w:rPr>
          <w:rFonts w:ascii="Arial" w:hAnsi="Arial" w:cs="Arial"/>
          <w:sz w:val="19"/>
          <w:szCs w:val="19"/>
        </w:rPr>
      </w:pPr>
      <w:r w:rsidRPr="008853DE">
        <w:rPr>
          <w:rFonts w:ascii="Arial" w:hAnsi="Arial" w:cs="Arial"/>
          <w:sz w:val="19"/>
          <w:szCs w:val="19"/>
        </w:rPr>
        <w:t>»</w:t>
      </w:r>
      <w:r w:rsidRPr="008853DE">
        <w:rPr>
          <w:rFonts w:ascii="Arial" w:hAnsi="Arial" w:cs="Arial"/>
          <w:i/>
          <w:iCs/>
          <w:sz w:val="19"/>
          <w:szCs w:val="19"/>
        </w:rPr>
        <w:t>Cuando la prestación principal no esté determinada ni sea determinable en una suma cierta de dinero, podrá el juez reducir equitativamente la pena, si la considera manifiestamente excesiva habida cuenta del interés que tenga el acreedor en que se cumpla la obligación. Lo mismo hará cuando la obligación principal se haya cumplido en parte</w:t>
      </w:r>
      <w:r w:rsidRPr="008853DE">
        <w:rPr>
          <w:rFonts w:ascii="Arial" w:hAnsi="Arial" w:cs="Arial"/>
          <w:sz w:val="19"/>
          <w:szCs w:val="19"/>
        </w:rPr>
        <w:t>» (Cursiva fuera del original).</w:t>
      </w:r>
    </w:p>
    <w:p w14:paraId="52B62EF8" w14:textId="77777777" w:rsidR="001E0C9C" w:rsidRPr="008853DE" w:rsidRDefault="001E0C9C" w:rsidP="001E0C9C">
      <w:pPr>
        <w:pStyle w:val="Textonotapie"/>
        <w:ind w:firstLine="708"/>
        <w:jc w:val="both"/>
        <w:rPr>
          <w:rFonts w:ascii="Arial" w:hAnsi="Arial" w:cs="Arial"/>
          <w:sz w:val="19"/>
          <w:szCs w:val="19"/>
          <w:lang w:val="es-CO"/>
        </w:rPr>
      </w:pPr>
    </w:p>
  </w:footnote>
  <w:footnote w:id="20">
    <w:p w14:paraId="3234C326"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CONSEJO DE ESTADO. Sección Tercera. Sentencia del 13 de noviembre de 2008. Exp: 17.009. C.P. Enrique Gil Botero. </w:t>
      </w:r>
    </w:p>
    <w:p w14:paraId="2D2F6797" w14:textId="77777777" w:rsidR="001E0C9C" w:rsidRPr="008853DE" w:rsidRDefault="001E0C9C" w:rsidP="001E0C9C">
      <w:pPr>
        <w:pStyle w:val="Textonotapie"/>
        <w:ind w:firstLine="708"/>
        <w:jc w:val="both"/>
        <w:rPr>
          <w:rFonts w:ascii="Arial" w:hAnsi="Arial" w:cs="Arial"/>
          <w:sz w:val="19"/>
          <w:szCs w:val="19"/>
          <w:lang w:val="es-ES"/>
        </w:rPr>
      </w:pPr>
    </w:p>
  </w:footnote>
  <w:footnote w:id="21">
    <w:p w14:paraId="0EA5DD15" w14:textId="77777777" w:rsidR="001E0C9C" w:rsidRPr="008853DE" w:rsidRDefault="001E0C9C" w:rsidP="001E0C9C">
      <w:pPr>
        <w:shd w:val="clear" w:color="auto" w:fill="FFFFFF"/>
        <w:ind w:firstLine="708"/>
        <w:jc w:val="both"/>
        <w:rPr>
          <w:rFonts w:ascii="Arial" w:hAnsi="Arial" w:cs="Arial"/>
          <w:sz w:val="19"/>
          <w:szCs w:val="19"/>
          <w:lang w:val="es-CO"/>
        </w:rPr>
      </w:pPr>
      <w:r w:rsidRPr="008853DE">
        <w:rPr>
          <w:rStyle w:val="Refdenotaalpie"/>
          <w:rFonts w:ascii="Arial" w:hAnsi="Arial" w:cs="Arial"/>
          <w:sz w:val="19"/>
          <w:szCs w:val="19"/>
        </w:rPr>
        <w:footnoteRef/>
      </w:r>
      <w:r w:rsidRPr="008853DE">
        <w:rPr>
          <w:rFonts w:ascii="Arial" w:hAnsi="Arial" w:cs="Arial"/>
          <w:sz w:val="19"/>
          <w:szCs w:val="19"/>
        </w:rPr>
        <w:t xml:space="preserve"> «</w:t>
      </w:r>
      <w:r w:rsidRPr="008853DE">
        <w:rPr>
          <w:rFonts w:ascii="Arial" w:hAnsi="Arial" w:cs="Arial"/>
          <w:bCs/>
          <w:color w:val="000000" w:themeColor="text1"/>
          <w:spacing w:val="10"/>
          <w:sz w:val="19"/>
          <w:szCs w:val="19"/>
          <w:lang w:eastAsia="es-CO"/>
        </w:rPr>
        <w:t xml:space="preserve">La discrecionalidad es esencialmente una libertad de elección entre alternativas igualmente justas o, si se prefiere, entre indiferentes jurídicos, porque la decisión se fundamenta en criterios extrajurídicos (de oportunidad, económicos, etc.) no incluidos en la ley y remitidos al juicio subjetivo de la Administración». (GARCÍA DE ENTERRÍA, Eduardo y FERNÁNDEZ, Tomás-Ramón. </w:t>
      </w:r>
      <w:r w:rsidRPr="008853DE">
        <w:rPr>
          <w:rFonts w:ascii="Arial" w:hAnsi="Arial" w:cs="Arial"/>
          <w:bCs/>
          <w:iCs/>
          <w:color w:val="000000" w:themeColor="text1"/>
          <w:spacing w:val="10"/>
          <w:sz w:val="19"/>
          <w:szCs w:val="19"/>
          <w:lang w:eastAsia="es-CO"/>
        </w:rPr>
        <w:t>Curso de Derecho Administrativo</w:t>
      </w:r>
      <w:r w:rsidRPr="008853DE">
        <w:rPr>
          <w:rFonts w:ascii="Arial" w:hAnsi="Arial" w:cs="Arial"/>
          <w:bCs/>
          <w:color w:val="000000" w:themeColor="text1"/>
          <w:spacing w:val="10"/>
          <w:sz w:val="19"/>
          <w:szCs w:val="19"/>
          <w:lang w:eastAsia="es-CO"/>
        </w:rPr>
        <w:t xml:space="preserve">. Tomo I. Séptima edición, Madrid: ed. Civitas, 1995. P. 447). </w:t>
      </w:r>
    </w:p>
  </w:footnote>
  <w:footnote w:id="22">
    <w:p w14:paraId="0C1F1E36"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El inciso primero del último artículo establece: «Artículo 13. De la normatividad aplicable a los contratos estatales. Los contratos que celebren las entidades a que se refiere el artículo </w:t>
      </w:r>
      <w:hyperlink r:id="rId2" w:anchor="2" w:history="1">
        <w:r w:rsidRPr="008853DE">
          <w:rPr>
            <w:rFonts w:ascii="Arial" w:hAnsi="Arial" w:cs="Arial"/>
            <w:sz w:val="19"/>
            <w:szCs w:val="19"/>
          </w:rPr>
          <w:t>2</w:t>
        </w:r>
      </w:hyperlink>
      <w:r w:rsidRPr="008853DE">
        <w:rPr>
          <w:rFonts w:ascii="Arial" w:hAnsi="Arial" w:cs="Arial"/>
          <w:sz w:val="19"/>
          <w:szCs w:val="19"/>
        </w:rPr>
        <w:t>o. del presente estatuto se regirán por las disposiciones comerciales y civiles pertinentes, salvo en las materias particularmente reguladas en esta ley».</w:t>
      </w:r>
    </w:p>
    <w:p w14:paraId="20D6BE35" w14:textId="77777777" w:rsidR="001E0C9C" w:rsidRPr="008853DE" w:rsidRDefault="001E0C9C" w:rsidP="001E0C9C">
      <w:pPr>
        <w:pStyle w:val="Textonotapie"/>
        <w:ind w:firstLine="708"/>
        <w:jc w:val="both"/>
        <w:rPr>
          <w:rFonts w:ascii="Arial" w:hAnsi="Arial" w:cs="Arial"/>
          <w:sz w:val="19"/>
          <w:szCs w:val="19"/>
        </w:rPr>
      </w:pPr>
    </w:p>
  </w:footnote>
  <w:footnote w:id="23">
    <w:p w14:paraId="694BC0C2"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«Artículo 1596. Rebaja de pena por cumplimiento parcial. Si el deudor cumple solamente una parte de la obligación principal y el acreedor acepta esta parte, tendrá derecho para que se rebaje proporcionalmente la pena estipulada por falta de cumplimiento de la obligación principal».</w:t>
      </w:r>
    </w:p>
    <w:p w14:paraId="1A2EB396" w14:textId="77777777" w:rsidR="001E0C9C" w:rsidRPr="008853DE" w:rsidRDefault="001E0C9C" w:rsidP="001E0C9C">
      <w:pPr>
        <w:pStyle w:val="Textonotapie"/>
        <w:ind w:firstLine="708"/>
        <w:jc w:val="both"/>
        <w:rPr>
          <w:rFonts w:ascii="Arial" w:hAnsi="Arial" w:cs="Arial"/>
          <w:sz w:val="19"/>
          <w:szCs w:val="19"/>
          <w:lang w:val="es-CO"/>
        </w:rPr>
      </w:pPr>
    </w:p>
  </w:footnote>
  <w:footnote w:id="24">
    <w:p w14:paraId="0CAC448E" w14:textId="77777777" w:rsidR="001E0C9C" w:rsidRPr="008853DE" w:rsidRDefault="001E0C9C" w:rsidP="001E0C9C">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«Artículo 867. Cuando se estipule el pago de una prestación determinada para el caso de incumplimiento, o de mora, se entenderá que las partes no pueden retractarse. </w:t>
      </w:r>
    </w:p>
    <w:p w14:paraId="47CEC4DE" w14:textId="77777777" w:rsidR="001E0C9C" w:rsidRPr="008853DE" w:rsidRDefault="001E0C9C" w:rsidP="001E0C9C">
      <w:pPr>
        <w:pStyle w:val="Textonotapie"/>
        <w:ind w:firstLine="708"/>
        <w:jc w:val="both"/>
        <w:rPr>
          <w:rFonts w:ascii="Arial" w:hAnsi="Arial" w:cs="Arial"/>
          <w:sz w:val="19"/>
          <w:szCs w:val="19"/>
        </w:rPr>
      </w:pPr>
      <w:r w:rsidRPr="008853DE">
        <w:rPr>
          <w:rFonts w:ascii="Arial" w:hAnsi="Arial" w:cs="Arial"/>
          <w:sz w:val="19"/>
          <w:szCs w:val="19"/>
        </w:rPr>
        <w:t xml:space="preserve">»Cuando la prestación principal esté determinada o sea determinable en una suma cierta de dinero la pena no podrá ser superior al monto de aquella. </w:t>
      </w:r>
    </w:p>
    <w:p w14:paraId="626344D9" w14:textId="77777777" w:rsidR="001E0C9C" w:rsidRPr="001439D5" w:rsidRDefault="001E0C9C" w:rsidP="001E0C9C">
      <w:pPr>
        <w:pStyle w:val="Textonotapie"/>
        <w:ind w:firstLine="708"/>
        <w:jc w:val="both"/>
        <w:rPr>
          <w:rFonts w:ascii="Arial" w:hAnsi="Arial" w:cs="Arial"/>
          <w:sz w:val="19"/>
          <w:szCs w:val="19"/>
        </w:rPr>
      </w:pPr>
      <w:r w:rsidRPr="008853DE">
        <w:rPr>
          <w:rFonts w:ascii="Arial" w:hAnsi="Arial" w:cs="Arial"/>
          <w:sz w:val="19"/>
          <w:szCs w:val="19"/>
        </w:rPr>
        <w:t>»</w:t>
      </w:r>
      <w:r w:rsidRPr="008853DE">
        <w:rPr>
          <w:rFonts w:ascii="Arial" w:hAnsi="Arial" w:cs="Arial"/>
          <w:i/>
          <w:iCs/>
          <w:sz w:val="19"/>
          <w:szCs w:val="19"/>
        </w:rPr>
        <w:t>Cuando la prestación principal no esté determinada ni sea determinable en una suma cierta de dinero, podrá el juez reducir equitativamente la pena, si la considera manifiestamente excesiva habida cuenta del interés que tenga el acreedor en que se cumpla la obligación. Lo mismo hará cuando la obligación principal se haya cumplido en parte</w:t>
      </w:r>
      <w:r w:rsidRPr="008853DE">
        <w:rPr>
          <w:rFonts w:ascii="Arial" w:hAnsi="Arial" w:cs="Arial"/>
          <w:sz w:val="19"/>
          <w:szCs w:val="19"/>
        </w:rPr>
        <w:t>» (Cursiva fuera del original).</w:t>
      </w:r>
    </w:p>
    <w:p w14:paraId="15552E9F" w14:textId="77777777" w:rsidR="001E0C9C" w:rsidRPr="001439D5" w:rsidRDefault="001E0C9C" w:rsidP="001E0C9C">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942EB"/>
    <w:rsid w:val="000B103F"/>
    <w:rsid w:val="000F14E8"/>
    <w:rsid w:val="00103915"/>
    <w:rsid w:val="00122B23"/>
    <w:rsid w:val="00137FFA"/>
    <w:rsid w:val="001E0C9C"/>
    <w:rsid w:val="00234B84"/>
    <w:rsid w:val="002433EC"/>
    <w:rsid w:val="003033BA"/>
    <w:rsid w:val="0034680A"/>
    <w:rsid w:val="00386456"/>
    <w:rsid w:val="003A581E"/>
    <w:rsid w:val="004422D6"/>
    <w:rsid w:val="004634EE"/>
    <w:rsid w:val="004A34D2"/>
    <w:rsid w:val="0051074C"/>
    <w:rsid w:val="00513AF2"/>
    <w:rsid w:val="0054413A"/>
    <w:rsid w:val="005564CA"/>
    <w:rsid w:val="005A79FE"/>
    <w:rsid w:val="005F47CC"/>
    <w:rsid w:val="00655371"/>
    <w:rsid w:val="00697665"/>
    <w:rsid w:val="006A7FD0"/>
    <w:rsid w:val="006D7687"/>
    <w:rsid w:val="006E0572"/>
    <w:rsid w:val="00705631"/>
    <w:rsid w:val="00742DD2"/>
    <w:rsid w:val="0075647A"/>
    <w:rsid w:val="007634AD"/>
    <w:rsid w:val="0078122E"/>
    <w:rsid w:val="007B0854"/>
    <w:rsid w:val="007F72CB"/>
    <w:rsid w:val="0083119B"/>
    <w:rsid w:val="00836EAB"/>
    <w:rsid w:val="0085092D"/>
    <w:rsid w:val="008E1C15"/>
    <w:rsid w:val="009047C5"/>
    <w:rsid w:val="0095385A"/>
    <w:rsid w:val="0096439F"/>
    <w:rsid w:val="00A24560"/>
    <w:rsid w:val="00A34538"/>
    <w:rsid w:val="00AA442B"/>
    <w:rsid w:val="00B00F6D"/>
    <w:rsid w:val="00B22E22"/>
    <w:rsid w:val="00B525CB"/>
    <w:rsid w:val="00B61A58"/>
    <w:rsid w:val="00B63CB2"/>
    <w:rsid w:val="00BD78FE"/>
    <w:rsid w:val="00C756AF"/>
    <w:rsid w:val="00C96CE9"/>
    <w:rsid w:val="00CA287E"/>
    <w:rsid w:val="00CC00CD"/>
    <w:rsid w:val="00D16E39"/>
    <w:rsid w:val="00D20303"/>
    <w:rsid w:val="00D72E9D"/>
    <w:rsid w:val="00D82CE5"/>
    <w:rsid w:val="00D84C5E"/>
    <w:rsid w:val="00DA5AB1"/>
    <w:rsid w:val="00DC62E5"/>
    <w:rsid w:val="00DD735D"/>
    <w:rsid w:val="00DE3119"/>
    <w:rsid w:val="00DF236B"/>
    <w:rsid w:val="00E13AB8"/>
    <w:rsid w:val="00E33B62"/>
    <w:rsid w:val="00EC5726"/>
    <w:rsid w:val="00F60F45"/>
    <w:rsid w:val="00F84899"/>
    <w:rsid w:val="00F859F0"/>
    <w:rsid w:val="00F908AD"/>
    <w:rsid w:val="00FC03CE"/>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character" w:customStyle="1" w:styleId="NormalWebCar">
    <w:name w:val="Normal (Web) Car"/>
    <w:link w:val="NormalWeb"/>
    <w:uiPriority w:val="99"/>
    <w:rsid w:val="00C96CE9"/>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C96CE9"/>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12CD906-209B-4345-A9F7-74EF11F3B9E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433C2F5-7986-41F0-B246-FD722D078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8D49B0-E4BD-493E-83F8-CAD4DA87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18</Pages>
  <Words>6574</Words>
  <Characters>36161</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3</cp:revision>
  <dcterms:created xsi:type="dcterms:W3CDTF">2020-08-19T20:36:00Z</dcterms:created>
  <dcterms:modified xsi:type="dcterms:W3CDTF">2020-08-21T21:40:00Z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