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CB700" w14:textId="77777777" w:rsidR="0063179B" w:rsidRPr="0063179B" w:rsidRDefault="0063179B" w:rsidP="00483F5F">
      <w:pPr>
        <w:spacing w:after="0"/>
        <w:jc w:val="center"/>
        <w:rPr>
          <w:rFonts w:ascii="Century Gothic" w:eastAsia="Times New Roman" w:hAnsi="Century Gothic" w:cs="Arial"/>
          <w:bCs/>
          <w:lang w:val="es-MX" w:eastAsia="es-ES"/>
        </w:rPr>
      </w:pPr>
      <w:bookmarkStart w:id="0" w:name="_Hlk94281581"/>
      <w:bookmarkStart w:id="1" w:name="_Hlk102489058"/>
      <w:bookmarkStart w:id="2" w:name="_Hlk34951122"/>
    </w:p>
    <w:p w14:paraId="7CB70371" w14:textId="77777777" w:rsidR="00255BE3" w:rsidRPr="00396321" w:rsidRDefault="00255BE3" w:rsidP="00255BE3">
      <w:pPr>
        <w:spacing w:after="0" w:line="240" w:lineRule="auto"/>
        <w:jc w:val="both"/>
        <w:rPr>
          <w:rFonts w:ascii="Century Gothic" w:eastAsia="Calibri" w:hAnsi="Century Gothic" w:cs="Arial"/>
          <w:b/>
          <w:sz w:val="16"/>
          <w:szCs w:val="16"/>
          <w:lang w:val="es-ES_tradnl" w:eastAsia="es-ES"/>
        </w:rPr>
      </w:pPr>
      <w:r w:rsidRPr="00396321">
        <w:rPr>
          <w:rFonts w:ascii="Century Gothic" w:eastAsia="Calibri" w:hAnsi="Century Gothic" w:cs="Arial"/>
          <w:b/>
          <w:bCs/>
          <w:lang w:val="es-MX"/>
        </w:rPr>
        <w:t>EMPRESAS DE SERIVICIOS PÚBLICOS DOMICILIARIOS – Naturaleza jurídica – Régimen contractual</w:t>
      </w:r>
      <w:r w:rsidRPr="00396321">
        <w:rPr>
          <w:rFonts w:ascii="Century Gothic" w:eastAsia="Calibri" w:hAnsi="Century Gothic" w:cs="Arial"/>
          <w:b/>
          <w:sz w:val="16"/>
          <w:szCs w:val="16"/>
          <w:lang w:val="es-ES_tradnl" w:eastAsia="es-ES"/>
        </w:rPr>
        <w:tab/>
      </w:r>
    </w:p>
    <w:p w14:paraId="140BF985" w14:textId="77777777" w:rsidR="00255BE3" w:rsidRPr="00396321" w:rsidRDefault="00255BE3" w:rsidP="00255BE3">
      <w:pPr>
        <w:spacing w:after="0" w:line="240" w:lineRule="auto"/>
        <w:rPr>
          <w:rFonts w:ascii="Century Gothic" w:eastAsia="Calibri" w:hAnsi="Century Gothic" w:cs="Arial"/>
          <w:b/>
          <w:sz w:val="16"/>
          <w:szCs w:val="16"/>
          <w:lang w:val="es-ES_tradnl" w:eastAsia="es-ES"/>
        </w:rPr>
      </w:pPr>
    </w:p>
    <w:p w14:paraId="2A701359" w14:textId="77777777" w:rsidR="00255BE3" w:rsidRPr="00396321" w:rsidRDefault="00255BE3" w:rsidP="00255BE3">
      <w:pPr>
        <w:spacing w:after="0" w:line="240" w:lineRule="auto"/>
        <w:jc w:val="both"/>
        <w:rPr>
          <w:rFonts w:ascii="Century Gothic" w:eastAsia="Calibri" w:hAnsi="Century Gothic" w:cs="Arial"/>
          <w:sz w:val="20"/>
          <w:szCs w:val="20"/>
          <w:lang w:val="es-MX"/>
        </w:rPr>
      </w:pPr>
      <w:r w:rsidRPr="00396321">
        <w:rPr>
          <w:rFonts w:ascii="Century Gothic" w:eastAsia="Calibri" w:hAnsi="Century Gothic" w:cs="Arial"/>
          <w:sz w:val="20"/>
          <w:szCs w:val="20"/>
          <w:lang w:val="es-MX"/>
        </w:rPr>
        <w:t>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w:t>
      </w:r>
    </w:p>
    <w:p w14:paraId="28A3015E" w14:textId="77777777" w:rsidR="00255BE3" w:rsidRPr="00396321" w:rsidRDefault="00255BE3" w:rsidP="00255BE3">
      <w:pPr>
        <w:spacing w:after="0" w:line="240" w:lineRule="auto"/>
        <w:jc w:val="both"/>
        <w:rPr>
          <w:rFonts w:ascii="Century Gothic" w:eastAsia="Calibri" w:hAnsi="Century Gothic" w:cs="Arial"/>
          <w:sz w:val="20"/>
          <w:szCs w:val="20"/>
          <w:lang w:val="es-MX"/>
        </w:rPr>
      </w:pPr>
    </w:p>
    <w:p w14:paraId="10784A4B" w14:textId="77777777" w:rsidR="00255BE3" w:rsidRPr="00396321" w:rsidRDefault="00255BE3" w:rsidP="00255BE3">
      <w:pPr>
        <w:spacing w:after="0" w:line="240" w:lineRule="auto"/>
        <w:jc w:val="both"/>
        <w:rPr>
          <w:rFonts w:ascii="Century Gothic" w:eastAsia="Calibri" w:hAnsi="Century Gothic" w:cs="Arial"/>
          <w:sz w:val="20"/>
          <w:szCs w:val="20"/>
          <w:lang w:val="es-MX"/>
        </w:rPr>
      </w:pPr>
      <w:r w:rsidRPr="00396321">
        <w:rPr>
          <w:rFonts w:ascii="Century Gothic" w:eastAsia="Calibri" w:hAnsi="Century Gothic" w:cs="Arial"/>
          <w:sz w:val="20"/>
          <w:szCs w:val="20"/>
          <w:lang w:val="es-MX"/>
        </w:rPr>
        <w:t xml:space="preserve">El artículo 31 de la le Ley 142 de 1994, modificado por el artículo 3 de la Ley 689 de 2001, dispone que los contratos que celebren las entidades estatales que prestan los servicios públicos domiciliarios </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no estarán sujetos a las disposiciones del Estatuto General de Contratación de la Administración Pública, salvo en lo que la presente ley disponga otra cosa</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 Por su parte, el artículo 32 de la Ley 142 de 1994, consagra el régimen de derecho privado para las empresas de servicios públicos domiciliarios, indicando que sus actos se rigen por los principios y reglas aplicables a los particulares.</w:t>
      </w:r>
    </w:p>
    <w:p w14:paraId="71C6DC3C" w14:textId="77777777" w:rsidR="00255BE3" w:rsidRPr="00396321" w:rsidRDefault="00255BE3" w:rsidP="00255BE3">
      <w:pPr>
        <w:spacing w:after="0" w:line="240" w:lineRule="auto"/>
        <w:jc w:val="both"/>
        <w:rPr>
          <w:rFonts w:ascii="Century Gothic" w:eastAsia="Calibri" w:hAnsi="Century Gothic" w:cs="Arial"/>
          <w:sz w:val="20"/>
          <w:szCs w:val="20"/>
          <w:lang w:val="es-MX"/>
        </w:rPr>
      </w:pPr>
    </w:p>
    <w:p w14:paraId="74FBE474" w14:textId="77777777" w:rsidR="00255BE3" w:rsidRPr="00396321" w:rsidRDefault="00255BE3" w:rsidP="00255BE3">
      <w:pPr>
        <w:spacing w:after="0" w:line="240" w:lineRule="auto"/>
        <w:jc w:val="both"/>
        <w:rPr>
          <w:rFonts w:ascii="Century Gothic" w:eastAsia="Calibri" w:hAnsi="Century Gothic" w:cs="Arial"/>
          <w:sz w:val="20"/>
          <w:szCs w:val="20"/>
          <w:lang w:val="es-MX"/>
        </w:rPr>
      </w:pPr>
      <w:r w:rsidRPr="00396321">
        <w:rPr>
          <w:rFonts w:ascii="Century Gothic" w:eastAsia="Calibri" w:hAnsi="Century Gothic" w:cs="Arial"/>
          <w:sz w:val="20"/>
          <w:szCs w:val="20"/>
          <w:lang w:val="es-MX"/>
        </w:rPr>
        <w:t>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–Ley 80 de 1993–. En otras palabras, dichas empresas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w:t>
      </w:r>
    </w:p>
    <w:p w14:paraId="7E781D50" w14:textId="77777777" w:rsidR="00255BE3" w:rsidRPr="00396321" w:rsidRDefault="00255BE3" w:rsidP="00255BE3">
      <w:pPr>
        <w:spacing w:after="0" w:line="240" w:lineRule="auto"/>
        <w:jc w:val="both"/>
        <w:rPr>
          <w:rFonts w:ascii="Century Gothic" w:eastAsia="Calibri" w:hAnsi="Century Gothic" w:cs="Arial"/>
          <w:sz w:val="20"/>
          <w:szCs w:val="20"/>
          <w:lang w:val="es-MX"/>
        </w:rPr>
      </w:pPr>
    </w:p>
    <w:p w14:paraId="61098AE9" w14:textId="77777777" w:rsidR="00255BE3" w:rsidRPr="00396321" w:rsidRDefault="00255BE3" w:rsidP="00255BE3">
      <w:pPr>
        <w:spacing w:after="0" w:line="240" w:lineRule="auto"/>
        <w:jc w:val="both"/>
        <w:rPr>
          <w:rFonts w:ascii="Century Gothic" w:eastAsia="Calibri" w:hAnsi="Century Gothic" w:cs="Arial"/>
          <w:b/>
          <w:bCs/>
          <w:lang w:val="es-MX"/>
        </w:rPr>
      </w:pPr>
      <w:r w:rsidRPr="00396321">
        <w:rPr>
          <w:rFonts w:ascii="Century Gothic" w:eastAsia="Calibri" w:hAnsi="Century Gothic" w:cs="Arial"/>
          <w:b/>
          <w:bCs/>
          <w:lang w:val="es-MX"/>
        </w:rPr>
        <w:t>EMPRESAS DE SERVICIOS PÚBLICOS DOMICILIARIOS – Aplicabilidad Ley 80 de 1993 – Autonomía – Expedición de manual de contratación – Determinación de cuantías</w:t>
      </w:r>
    </w:p>
    <w:p w14:paraId="4622E86E" w14:textId="77777777" w:rsidR="00255BE3" w:rsidRPr="00396321" w:rsidRDefault="00255BE3" w:rsidP="00255BE3">
      <w:pPr>
        <w:spacing w:after="0" w:line="240" w:lineRule="auto"/>
        <w:jc w:val="both"/>
        <w:rPr>
          <w:rFonts w:ascii="Century Gothic" w:eastAsia="Calibri" w:hAnsi="Century Gothic" w:cs="Arial"/>
          <w:b/>
          <w:bCs/>
          <w:sz w:val="20"/>
          <w:szCs w:val="20"/>
          <w:lang w:val="es-MX"/>
        </w:rPr>
      </w:pPr>
    </w:p>
    <w:p w14:paraId="443BB15B" w14:textId="77777777" w:rsidR="00255BE3" w:rsidRPr="00396321" w:rsidRDefault="00255BE3" w:rsidP="00255BE3">
      <w:pPr>
        <w:spacing w:after="0" w:line="240" w:lineRule="auto"/>
        <w:jc w:val="both"/>
        <w:rPr>
          <w:rFonts w:ascii="Century Gothic" w:eastAsia="Calibri" w:hAnsi="Century Gothic" w:cs="Arial"/>
          <w:sz w:val="20"/>
          <w:szCs w:val="20"/>
          <w:lang w:val="es-MX"/>
        </w:rPr>
      </w:pPr>
      <w:r w:rsidRPr="00396321">
        <w:rPr>
          <w:rFonts w:ascii="Century Gothic" w:eastAsia="Calibri" w:hAnsi="Century Gothic" w:cs="Arial"/>
          <w:sz w:val="20"/>
          <w:szCs w:val="20"/>
          <w:lang w:val="es-MX"/>
        </w:rPr>
        <w:t>A pesar de que las empresas prestadoras de servicios públicos domiciliarios en lo concerniente a sus actividades contractuales, por regla general, se rigen por lo dispuesto en las normas del derecho privado, en casos en los que se establezcan cláusulas excepcionales en sus contratos, bien sea por mandato de las Comisiones de Regulación o por solicitud de dichas empresas, deberán someterse a lo dispuesto en el Estatuto General de Contratación de la Administración Pública –Ley 80 de 1993–, la Ley 1150 de 2007 y demás normas complementarias, así como en las situaciones en las que la Ley 142 de 1994 u otras leyes especiales lo dispongan.</w:t>
      </w:r>
    </w:p>
    <w:p w14:paraId="410FD164" w14:textId="77777777" w:rsidR="00255BE3" w:rsidRPr="00396321" w:rsidRDefault="00255BE3" w:rsidP="00255BE3">
      <w:pPr>
        <w:spacing w:after="0" w:line="240" w:lineRule="auto"/>
        <w:jc w:val="both"/>
        <w:rPr>
          <w:rFonts w:ascii="Century Gothic" w:eastAsia="Calibri" w:hAnsi="Century Gothic" w:cs="Arial"/>
          <w:sz w:val="20"/>
          <w:szCs w:val="20"/>
          <w:lang w:val="es-MX"/>
        </w:rPr>
      </w:pPr>
      <w:r w:rsidRPr="00396321">
        <w:rPr>
          <w:rFonts w:ascii="Century Gothic" w:eastAsia="Calibri" w:hAnsi="Century Gothic" w:cs="Arial"/>
          <w:sz w:val="20"/>
          <w:szCs w:val="20"/>
          <w:lang w:val="es-MX"/>
        </w:rPr>
        <w:t>[…]</w:t>
      </w:r>
    </w:p>
    <w:p w14:paraId="16E0C14C" w14:textId="77777777" w:rsidR="00255BE3" w:rsidRPr="00396321" w:rsidRDefault="00255BE3" w:rsidP="00255BE3">
      <w:pPr>
        <w:spacing w:after="0" w:line="240" w:lineRule="auto"/>
        <w:jc w:val="both"/>
        <w:rPr>
          <w:rFonts w:ascii="Century Gothic" w:eastAsia="Calibri" w:hAnsi="Century Gothic" w:cs="Arial"/>
          <w:sz w:val="20"/>
          <w:szCs w:val="20"/>
          <w:lang w:val="es-MX"/>
        </w:rPr>
      </w:pPr>
      <w:r w:rsidRPr="00396321">
        <w:rPr>
          <w:rFonts w:ascii="Century Gothic" w:eastAsia="Calibri" w:hAnsi="Century Gothic" w:cs="Arial"/>
          <w:sz w:val="20"/>
          <w:szCs w:val="20"/>
          <w:lang w:val="es-MX"/>
        </w:rPr>
        <w:t xml:space="preserve">[…] las entidades estatales que por disposición legal cuentan con un régimen especial exceptuado del EGCAP, de conformidad con el principio de autonomía de la voluntad, pueden expedir un reglamento interno de contratación –comúnmente denominado manual de contratación–, que regule aspectos asociados a su actividad contractual, como los procedimientos de selección, los requisitos de participación, las condiciones de ejecución del contrato, etc. Por ende, corresponderá a las entidades estatales de régimen especial, incluidas las empresas de servicios públicos domiciliarios, dilucidar según las </w:t>
      </w:r>
      <w:r w:rsidRPr="00396321">
        <w:rPr>
          <w:rFonts w:ascii="Century Gothic" w:eastAsia="Calibri" w:hAnsi="Century Gothic" w:cs="Arial"/>
          <w:sz w:val="20"/>
          <w:szCs w:val="20"/>
          <w:lang w:val="es-MX"/>
        </w:rPr>
        <w:lastRenderedPageBreak/>
        <w:t>disposiciones que les sean aplicables, la forma en la que determinarán en los manuales de contratación, sus respectivas cuantías.</w:t>
      </w:r>
    </w:p>
    <w:p w14:paraId="47643D87" w14:textId="77777777" w:rsidR="00255BE3" w:rsidRPr="00396321" w:rsidRDefault="00255BE3" w:rsidP="00255BE3">
      <w:pPr>
        <w:spacing w:after="0" w:line="240" w:lineRule="auto"/>
        <w:jc w:val="both"/>
        <w:rPr>
          <w:rFonts w:ascii="Century Gothic" w:eastAsia="Calibri" w:hAnsi="Century Gothic" w:cs="Arial"/>
          <w:sz w:val="20"/>
          <w:szCs w:val="20"/>
          <w:lang w:val="es-MX"/>
        </w:rPr>
      </w:pPr>
    </w:p>
    <w:p w14:paraId="6B99315E" w14:textId="77777777" w:rsidR="00255BE3" w:rsidRPr="00396321" w:rsidRDefault="00255BE3" w:rsidP="00255BE3">
      <w:pPr>
        <w:spacing w:after="0" w:line="240" w:lineRule="auto"/>
        <w:jc w:val="both"/>
        <w:rPr>
          <w:rFonts w:ascii="Century Gothic" w:eastAsia="Calibri" w:hAnsi="Century Gothic" w:cs="Arial"/>
          <w:b/>
          <w:bCs/>
          <w:lang w:val="es-MX"/>
        </w:rPr>
      </w:pPr>
      <w:r w:rsidRPr="00396321">
        <w:rPr>
          <w:rFonts w:ascii="Century Gothic" w:eastAsia="Calibri" w:hAnsi="Century Gothic" w:cs="Arial"/>
          <w:b/>
          <w:bCs/>
          <w:lang w:val="es-MX"/>
        </w:rPr>
        <w:t>PUBLICIDAD SECOP – Entidades exceptuadas – Estatuto general de contratación – Modificación del artículo 53 – Ley 2195 de 2022</w:t>
      </w:r>
    </w:p>
    <w:p w14:paraId="6F07CE5E" w14:textId="77777777" w:rsidR="00255BE3" w:rsidRPr="00396321" w:rsidRDefault="00255BE3" w:rsidP="00255BE3">
      <w:pPr>
        <w:spacing w:after="0" w:line="240" w:lineRule="auto"/>
        <w:jc w:val="both"/>
        <w:rPr>
          <w:rFonts w:ascii="Century Gothic" w:eastAsia="Calibri" w:hAnsi="Century Gothic" w:cs="Arial"/>
          <w:b/>
          <w:bCs/>
          <w:sz w:val="20"/>
          <w:szCs w:val="20"/>
          <w:lang w:val="es-MX"/>
        </w:rPr>
      </w:pPr>
    </w:p>
    <w:p w14:paraId="1984E9A8" w14:textId="77777777" w:rsidR="00255BE3" w:rsidRPr="00396321" w:rsidRDefault="00255BE3" w:rsidP="00255BE3">
      <w:pPr>
        <w:spacing w:after="0" w:line="240" w:lineRule="auto"/>
        <w:jc w:val="both"/>
        <w:rPr>
          <w:rFonts w:ascii="Century Gothic" w:eastAsia="Calibri" w:hAnsi="Century Gothic" w:cs="Arial"/>
          <w:sz w:val="20"/>
          <w:szCs w:val="20"/>
          <w:lang w:val="es-MX"/>
        </w:rPr>
      </w:pPr>
      <w:r w:rsidRPr="00396321">
        <w:rPr>
          <w:rFonts w:ascii="Century Gothic" w:eastAsia="Calibri" w:hAnsi="Century Gothic" w:cs="Arial"/>
          <w:sz w:val="20"/>
          <w:szCs w:val="20"/>
          <w:lang w:val="es-MX"/>
        </w:rPr>
        <w:t xml:space="preserve">El principio de publicidad impone a las autoridades el deber de dar a conocer sus actos, contratos y decisiones, para que se divulguen y eventualmente se controlen dichas actuaciones. Es por eso </w:t>
      </w:r>
      <w:proofErr w:type="gramStart"/>
      <w:r w:rsidRPr="00396321">
        <w:rPr>
          <w:rFonts w:ascii="Century Gothic" w:eastAsia="Calibri" w:hAnsi="Century Gothic" w:cs="Arial"/>
          <w:sz w:val="20"/>
          <w:szCs w:val="20"/>
          <w:lang w:val="es-MX"/>
        </w:rPr>
        <w:t>que</w:t>
      </w:r>
      <w:proofErr w:type="gramEnd"/>
      <w:r w:rsidRPr="00396321">
        <w:rPr>
          <w:rFonts w:ascii="Century Gothic" w:eastAsia="Calibri" w:hAnsi="Century Gothic" w:cs="Arial"/>
          <w:sz w:val="20"/>
          <w:szCs w:val="20"/>
          <w:lang w:val="es-MX"/>
        </w:rPr>
        <w:t xml:space="preserve">, en materia de la contratación estatal, el literal c) del artículo 3 de la Ley 1150 de 2007 establece el Sistema Electrónico para la Contratación Pública –SECOP– como un mecanismo que </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contará con la información oficial de la contratación realizada con dineros públicos, para lo cual establecerá los patrones a que haya lugar y se encargará de su difusión a través de canales electrónicos</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w:t>
      </w:r>
    </w:p>
    <w:p w14:paraId="1B048F1A" w14:textId="77777777" w:rsidR="00255BE3" w:rsidRPr="00396321" w:rsidRDefault="00255BE3" w:rsidP="00255BE3">
      <w:pPr>
        <w:spacing w:after="0" w:line="240" w:lineRule="auto"/>
        <w:jc w:val="both"/>
        <w:rPr>
          <w:rFonts w:ascii="Century Gothic" w:eastAsia="Calibri" w:hAnsi="Century Gothic" w:cs="Arial"/>
          <w:sz w:val="20"/>
          <w:szCs w:val="20"/>
          <w:lang w:val="es-MX"/>
        </w:rPr>
      </w:pPr>
    </w:p>
    <w:p w14:paraId="18F28D59" w14:textId="77777777" w:rsidR="00255BE3" w:rsidRPr="00396321" w:rsidRDefault="00255BE3" w:rsidP="00255BE3">
      <w:pPr>
        <w:spacing w:after="0" w:line="240" w:lineRule="auto"/>
        <w:jc w:val="both"/>
        <w:rPr>
          <w:rFonts w:ascii="Century Gothic" w:eastAsia="Calibri" w:hAnsi="Century Gothic" w:cs="Arial"/>
          <w:sz w:val="20"/>
          <w:szCs w:val="20"/>
          <w:lang w:val="es-MX"/>
        </w:rPr>
      </w:pPr>
      <w:r w:rsidRPr="00396321">
        <w:rPr>
          <w:rFonts w:ascii="Century Gothic" w:eastAsia="Calibri" w:hAnsi="Century Gothic" w:cs="Arial"/>
          <w:sz w:val="20"/>
          <w:szCs w:val="20"/>
          <w:lang w:val="es-MX"/>
        </w:rPr>
        <w:t xml:space="preserve">La Ley 2195 de 2022, por medio de la cual se adoptan medidas en materia de transparencia, prevención y lucha contra la corrupción. Según lo dispone su artículo 1, esta Ley </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 xml:space="preserve">. Dentro del capítulo VIII de esta Ley, que lleva por título </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Disposiciones en materia contractual para la moralización y la transparencia</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14:paraId="2C254BF3" w14:textId="77777777" w:rsidR="00255BE3" w:rsidRPr="00396321" w:rsidRDefault="00255BE3" w:rsidP="00255BE3">
      <w:pPr>
        <w:spacing w:after="0" w:line="240" w:lineRule="auto"/>
        <w:jc w:val="both"/>
        <w:rPr>
          <w:rFonts w:ascii="Century Gothic" w:eastAsia="Calibri" w:hAnsi="Century Gothic" w:cs="Arial"/>
          <w:sz w:val="20"/>
          <w:szCs w:val="20"/>
          <w:lang w:val="es-MX"/>
        </w:rPr>
      </w:pPr>
    </w:p>
    <w:p w14:paraId="2DDF8118" w14:textId="77777777" w:rsidR="00255BE3" w:rsidRPr="00396321" w:rsidRDefault="00255BE3" w:rsidP="00255BE3">
      <w:pPr>
        <w:spacing w:after="0" w:line="240" w:lineRule="auto"/>
        <w:jc w:val="both"/>
        <w:rPr>
          <w:rFonts w:ascii="Century Gothic" w:eastAsia="Calibri" w:hAnsi="Century Gothic" w:cs="Arial"/>
          <w:b/>
          <w:bCs/>
          <w:lang w:val="es-MX"/>
        </w:rPr>
      </w:pPr>
      <w:r w:rsidRPr="00396321">
        <w:rPr>
          <w:rFonts w:ascii="Century Gothic" w:eastAsia="Calibri" w:hAnsi="Century Gothic" w:cs="Arial"/>
          <w:b/>
          <w:bCs/>
          <w:lang w:val="es-MX"/>
        </w:rPr>
        <w:t>SECOP II – Deber de publicidad – Entidades exceptuadas – Documentos relacionados con la actividad contractual</w:t>
      </w:r>
    </w:p>
    <w:p w14:paraId="72684B0F" w14:textId="77777777" w:rsidR="00255BE3" w:rsidRPr="00396321" w:rsidRDefault="00255BE3" w:rsidP="00255BE3">
      <w:pPr>
        <w:spacing w:after="0" w:line="240" w:lineRule="auto"/>
        <w:jc w:val="both"/>
        <w:rPr>
          <w:rFonts w:ascii="Century Gothic" w:eastAsia="Calibri" w:hAnsi="Century Gothic" w:cs="Arial"/>
          <w:b/>
          <w:bCs/>
          <w:sz w:val="20"/>
          <w:szCs w:val="20"/>
          <w:lang w:val="es-MX"/>
        </w:rPr>
      </w:pPr>
    </w:p>
    <w:p w14:paraId="26147A62" w14:textId="77777777" w:rsidR="00255BE3" w:rsidRPr="00396321" w:rsidRDefault="00255BE3" w:rsidP="00255BE3">
      <w:pPr>
        <w:spacing w:after="0" w:line="240" w:lineRule="auto"/>
        <w:jc w:val="both"/>
        <w:rPr>
          <w:rFonts w:ascii="Century Gothic" w:eastAsia="Calibri" w:hAnsi="Century Gothic" w:cs="Arial"/>
          <w:sz w:val="20"/>
          <w:szCs w:val="20"/>
          <w:lang w:val="es-MX"/>
        </w:rPr>
      </w:pPr>
      <w:r w:rsidRPr="00396321">
        <w:rPr>
          <w:rFonts w:ascii="Century Gothic" w:eastAsia="Calibri" w:hAnsi="Century Gothic" w:cs="Arial"/>
          <w:sz w:val="20"/>
          <w:szCs w:val="20"/>
          <w:lang w:val="es-MX"/>
        </w:rPr>
        <w:t xml:space="preserve">El mencionado deber de publicidad debe cumplirse en el SECOP II o </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la plataforma transaccional que haga sus veces</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la plataforma que haga sus veces</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 xml:space="preserve">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7AA7C5DC" w14:textId="77777777" w:rsidR="00255BE3" w:rsidRPr="00396321" w:rsidRDefault="00255BE3" w:rsidP="00255BE3">
      <w:pPr>
        <w:spacing w:after="0" w:line="240" w:lineRule="auto"/>
        <w:jc w:val="both"/>
        <w:rPr>
          <w:rFonts w:ascii="Century Gothic" w:eastAsia="Calibri" w:hAnsi="Century Gothic" w:cs="Arial"/>
          <w:sz w:val="20"/>
          <w:szCs w:val="20"/>
          <w:lang w:val="es-MX"/>
        </w:rPr>
      </w:pPr>
    </w:p>
    <w:p w14:paraId="115E74F9" w14:textId="77777777" w:rsidR="00255BE3" w:rsidRPr="00396321" w:rsidRDefault="00255BE3" w:rsidP="00255BE3">
      <w:pPr>
        <w:spacing w:after="0" w:line="240" w:lineRule="auto"/>
        <w:jc w:val="both"/>
        <w:rPr>
          <w:rFonts w:ascii="Century Gothic" w:eastAsia="Calibri" w:hAnsi="Century Gothic" w:cs="Arial"/>
          <w:sz w:val="20"/>
          <w:szCs w:val="20"/>
          <w:lang w:val="es-MX"/>
        </w:rPr>
      </w:pPr>
      <w:r w:rsidRPr="00396321">
        <w:rPr>
          <w:rFonts w:ascii="Century Gothic" w:eastAsia="Calibri" w:hAnsi="Century Gothic" w:cs="Arial"/>
          <w:sz w:val="20"/>
          <w:szCs w:val="20"/>
          <w:lang w:val="es-MX"/>
        </w:rPr>
        <w:t xml:space="preserve">En cuanto a los documentos que deben ser publicados en el SECOP II a efectos de dar cumplimiento al mandato consagrado en el artículo 53 de la Ley 2195 de 2022, es preciso </w:t>
      </w:r>
      <w:r w:rsidRPr="00396321">
        <w:rPr>
          <w:rFonts w:ascii="Century Gothic" w:eastAsia="Calibri" w:hAnsi="Century Gothic" w:cs="Arial"/>
          <w:sz w:val="20"/>
          <w:szCs w:val="20"/>
          <w:lang w:val="es-MX"/>
        </w:rPr>
        <w:lastRenderedPageBreak/>
        <w:t xml:space="preserve">advertir que la disposición hace referencia a los documentos relacionados con su actividad contractual, la cual define como </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 xml:space="preserve">[…] los documentos, contratos, actos e información generada por oferentes, contratista, contratante, supervisor o interventor, tanto en la etapa precontractual, como en la contractual y la </w:t>
      </w:r>
      <w:proofErr w:type="spellStart"/>
      <w:r w:rsidRPr="00396321">
        <w:rPr>
          <w:rFonts w:ascii="Century Gothic" w:eastAsia="Calibri" w:hAnsi="Century Gothic" w:cs="Arial"/>
          <w:sz w:val="20"/>
          <w:szCs w:val="20"/>
          <w:lang w:val="es-MX"/>
        </w:rPr>
        <w:t>postcontractual</w:t>
      </w:r>
      <w:proofErr w:type="spellEnd"/>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 xml:space="preserve">.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no misionales</w:t>
      </w:r>
      <w:r>
        <w:rPr>
          <w:rFonts w:ascii="Century Gothic" w:eastAsia="Calibri" w:hAnsi="Century Gothic" w:cs="Arial"/>
          <w:sz w:val="20"/>
          <w:szCs w:val="20"/>
          <w:lang w:val="es-MX"/>
        </w:rPr>
        <w:t>”</w:t>
      </w:r>
      <w:r w:rsidRPr="00396321">
        <w:rPr>
          <w:rFonts w:ascii="Century Gothic" w:eastAsia="Calibri" w:hAnsi="Century Gothic" w:cs="Arial"/>
          <w:sz w:val="20"/>
          <w:szCs w:val="20"/>
          <w:lang w:val="es-MX"/>
        </w:rPr>
        <w:t xml:space="preserve"> estén per se excluidos del deber de publicidad.</w:t>
      </w:r>
    </w:p>
    <w:p w14:paraId="6FBA253C" w14:textId="77777777" w:rsidR="00255BE3" w:rsidRDefault="00255BE3" w:rsidP="00255BE3">
      <w:pPr>
        <w:spacing w:after="0"/>
        <w:rPr>
          <w:rFonts w:ascii="Century Gothic" w:eastAsia="Geomanist Light" w:hAnsi="Century Gothic" w:cs="Arial"/>
          <w:color w:val="000000" w:themeColor="text1"/>
          <w:lang w:val="es-MX"/>
        </w:rPr>
      </w:pPr>
    </w:p>
    <w:p w14:paraId="53335227" w14:textId="77777777" w:rsidR="00255BE3" w:rsidRDefault="00255BE3" w:rsidP="00255BE3">
      <w:pPr>
        <w:spacing w:after="0"/>
        <w:rPr>
          <w:rFonts w:ascii="Century Gothic" w:eastAsia="Geomanist Light" w:hAnsi="Century Gothic" w:cs="Arial"/>
          <w:color w:val="000000" w:themeColor="text1"/>
          <w:lang w:val="es-MX"/>
        </w:rPr>
      </w:pPr>
    </w:p>
    <w:p w14:paraId="72E3769C" w14:textId="77777777" w:rsidR="00255BE3" w:rsidRDefault="00255BE3" w:rsidP="00255BE3">
      <w:pPr>
        <w:spacing w:after="0"/>
        <w:rPr>
          <w:rFonts w:ascii="Century Gothic" w:eastAsia="Geomanist Light" w:hAnsi="Century Gothic" w:cs="Arial"/>
          <w:color w:val="000000" w:themeColor="text1"/>
          <w:lang w:val="es-MX"/>
        </w:rPr>
      </w:pPr>
    </w:p>
    <w:p w14:paraId="1B4A33B6" w14:textId="77777777" w:rsidR="00255BE3" w:rsidRDefault="00255BE3" w:rsidP="00255BE3">
      <w:pPr>
        <w:spacing w:after="0"/>
        <w:rPr>
          <w:rFonts w:ascii="Century Gothic" w:eastAsia="Geomanist Light" w:hAnsi="Century Gothic" w:cs="Arial"/>
          <w:color w:val="000000" w:themeColor="text1"/>
          <w:lang w:val="es-MX"/>
        </w:rPr>
      </w:pPr>
    </w:p>
    <w:p w14:paraId="08AE9C78" w14:textId="77777777" w:rsidR="00255BE3" w:rsidRDefault="00255BE3" w:rsidP="00255BE3">
      <w:pPr>
        <w:spacing w:after="0"/>
        <w:rPr>
          <w:rFonts w:ascii="Century Gothic" w:eastAsia="Geomanist Light" w:hAnsi="Century Gothic" w:cs="Arial"/>
          <w:color w:val="000000" w:themeColor="text1"/>
          <w:lang w:val="es-MX"/>
        </w:rPr>
      </w:pPr>
    </w:p>
    <w:p w14:paraId="0901D7FE" w14:textId="77777777" w:rsidR="00255BE3" w:rsidRDefault="00255BE3" w:rsidP="00255BE3">
      <w:pPr>
        <w:spacing w:after="0"/>
        <w:rPr>
          <w:rFonts w:ascii="Century Gothic" w:eastAsia="Geomanist Light" w:hAnsi="Century Gothic" w:cs="Arial"/>
          <w:color w:val="000000" w:themeColor="text1"/>
          <w:lang w:val="es-MX"/>
        </w:rPr>
      </w:pPr>
    </w:p>
    <w:p w14:paraId="5CE73B5A" w14:textId="77777777" w:rsidR="00255BE3" w:rsidRDefault="00255BE3" w:rsidP="00255BE3">
      <w:pPr>
        <w:spacing w:after="0"/>
        <w:rPr>
          <w:rFonts w:ascii="Century Gothic" w:eastAsia="Geomanist Light" w:hAnsi="Century Gothic" w:cs="Arial"/>
          <w:color w:val="000000" w:themeColor="text1"/>
          <w:lang w:val="es-MX"/>
        </w:rPr>
      </w:pPr>
    </w:p>
    <w:p w14:paraId="0B1F9899" w14:textId="77777777" w:rsidR="00255BE3" w:rsidRDefault="00255BE3" w:rsidP="00255BE3">
      <w:pPr>
        <w:spacing w:after="0"/>
        <w:rPr>
          <w:rFonts w:ascii="Century Gothic" w:eastAsia="Geomanist Light" w:hAnsi="Century Gothic" w:cs="Arial"/>
          <w:color w:val="000000" w:themeColor="text1"/>
          <w:lang w:val="es-MX"/>
        </w:rPr>
      </w:pPr>
    </w:p>
    <w:p w14:paraId="38DE5B42" w14:textId="77777777" w:rsidR="00255BE3" w:rsidRDefault="00255BE3" w:rsidP="00255BE3">
      <w:pPr>
        <w:spacing w:after="0"/>
        <w:rPr>
          <w:rFonts w:ascii="Century Gothic" w:eastAsia="Geomanist Light" w:hAnsi="Century Gothic" w:cs="Arial"/>
          <w:color w:val="000000" w:themeColor="text1"/>
          <w:lang w:val="es-MX"/>
        </w:rPr>
      </w:pPr>
    </w:p>
    <w:p w14:paraId="070D81EE" w14:textId="77777777" w:rsidR="00255BE3" w:rsidRDefault="00255BE3" w:rsidP="00255BE3">
      <w:pPr>
        <w:spacing w:after="0"/>
        <w:rPr>
          <w:rFonts w:ascii="Century Gothic" w:eastAsia="Geomanist Light" w:hAnsi="Century Gothic" w:cs="Arial"/>
          <w:color w:val="000000" w:themeColor="text1"/>
          <w:lang w:val="es-MX"/>
        </w:rPr>
      </w:pPr>
    </w:p>
    <w:p w14:paraId="2DB568C8" w14:textId="77777777" w:rsidR="00255BE3" w:rsidRDefault="00255BE3" w:rsidP="00255BE3">
      <w:pPr>
        <w:spacing w:after="0"/>
        <w:rPr>
          <w:rFonts w:ascii="Century Gothic" w:eastAsia="Geomanist Light" w:hAnsi="Century Gothic" w:cs="Arial"/>
          <w:color w:val="000000" w:themeColor="text1"/>
          <w:lang w:val="es-MX"/>
        </w:rPr>
      </w:pPr>
    </w:p>
    <w:p w14:paraId="69F4E008" w14:textId="77777777" w:rsidR="00255BE3" w:rsidRDefault="00255BE3" w:rsidP="00255BE3">
      <w:pPr>
        <w:spacing w:after="0"/>
        <w:rPr>
          <w:rFonts w:ascii="Century Gothic" w:eastAsia="Geomanist Light" w:hAnsi="Century Gothic" w:cs="Arial"/>
          <w:color w:val="000000" w:themeColor="text1"/>
          <w:lang w:val="es-MX"/>
        </w:rPr>
      </w:pPr>
    </w:p>
    <w:p w14:paraId="21535A2E" w14:textId="77777777" w:rsidR="00255BE3" w:rsidRDefault="00255BE3" w:rsidP="00255BE3">
      <w:pPr>
        <w:spacing w:after="0"/>
        <w:rPr>
          <w:rFonts w:ascii="Century Gothic" w:eastAsia="Geomanist Light" w:hAnsi="Century Gothic" w:cs="Arial"/>
          <w:color w:val="000000" w:themeColor="text1"/>
          <w:lang w:val="es-MX"/>
        </w:rPr>
      </w:pPr>
    </w:p>
    <w:p w14:paraId="356650EF" w14:textId="77777777" w:rsidR="00255BE3" w:rsidRDefault="00255BE3" w:rsidP="00255BE3">
      <w:pPr>
        <w:spacing w:after="0"/>
        <w:rPr>
          <w:rFonts w:ascii="Century Gothic" w:eastAsia="Geomanist Light" w:hAnsi="Century Gothic" w:cs="Arial"/>
          <w:color w:val="000000" w:themeColor="text1"/>
          <w:lang w:val="es-MX"/>
        </w:rPr>
      </w:pPr>
    </w:p>
    <w:p w14:paraId="5CC80E2B" w14:textId="77777777" w:rsidR="00255BE3" w:rsidRDefault="00255BE3" w:rsidP="00255BE3">
      <w:pPr>
        <w:spacing w:after="0"/>
        <w:rPr>
          <w:rFonts w:ascii="Century Gothic" w:eastAsia="Geomanist Light" w:hAnsi="Century Gothic" w:cs="Arial"/>
          <w:color w:val="000000" w:themeColor="text1"/>
          <w:lang w:val="es-MX"/>
        </w:rPr>
      </w:pPr>
    </w:p>
    <w:p w14:paraId="4D77A8D9" w14:textId="77777777" w:rsidR="00255BE3" w:rsidRDefault="00255BE3" w:rsidP="00255BE3">
      <w:pPr>
        <w:spacing w:after="0"/>
        <w:rPr>
          <w:rFonts w:ascii="Century Gothic" w:eastAsia="Geomanist Light" w:hAnsi="Century Gothic" w:cs="Arial"/>
          <w:color w:val="000000" w:themeColor="text1"/>
          <w:lang w:val="es-MX"/>
        </w:rPr>
      </w:pPr>
    </w:p>
    <w:p w14:paraId="376B8A5A" w14:textId="77777777" w:rsidR="00255BE3" w:rsidRDefault="00255BE3" w:rsidP="00255BE3">
      <w:pPr>
        <w:spacing w:after="0"/>
        <w:rPr>
          <w:rFonts w:ascii="Century Gothic" w:eastAsia="Geomanist Light" w:hAnsi="Century Gothic" w:cs="Arial"/>
          <w:color w:val="000000" w:themeColor="text1"/>
          <w:lang w:val="es-MX"/>
        </w:rPr>
      </w:pPr>
    </w:p>
    <w:p w14:paraId="391BBBB7" w14:textId="77777777" w:rsidR="00255BE3" w:rsidRDefault="00255BE3" w:rsidP="00255BE3">
      <w:pPr>
        <w:spacing w:after="0"/>
        <w:rPr>
          <w:rFonts w:ascii="Century Gothic" w:eastAsia="Geomanist Light" w:hAnsi="Century Gothic" w:cs="Arial"/>
          <w:color w:val="000000" w:themeColor="text1"/>
          <w:lang w:val="es-MX"/>
        </w:rPr>
      </w:pPr>
    </w:p>
    <w:p w14:paraId="468EEC7F" w14:textId="77777777" w:rsidR="00255BE3" w:rsidRDefault="00255BE3" w:rsidP="00255BE3">
      <w:pPr>
        <w:spacing w:after="0"/>
        <w:rPr>
          <w:rFonts w:ascii="Century Gothic" w:eastAsia="Geomanist Light" w:hAnsi="Century Gothic" w:cs="Arial"/>
          <w:color w:val="000000" w:themeColor="text1"/>
          <w:lang w:val="es-MX"/>
        </w:rPr>
      </w:pPr>
    </w:p>
    <w:p w14:paraId="316C3CCD" w14:textId="77777777" w:rsidR="00255BE3" w:rsidRDefault="00255BE3" w:rsidP="00255BE3">
      <w:pPr>
        <w:spacing w:after="0"/>
        <w:rPr>
          <w:rFonts w:ascii="Century Gothic" w:eastAsia="Geomanist Light" w:hAnsi="Century Gothic" w:cs="Arial"/>
          <w:color w:val="000000" w:themeColor="text1"/>
          <w:lang w:val="es-MX"/>
        </w:rPr>
      </w:pPr>
    </w:p>
    <w:p w14:paraId="6AC081AA" w14:textId="77777777" w:rsidR="00255BE3" w:rsidRDefault="00255BE3" w:rsidP="00255BE3">
      <w:pPr>
        <w:spacing w:after="0"/>
        <w:rPr>
          <w:rFonts w:ascii="Century Gothic" w:eastAsia="Geomanist Light" w:hAnsi="Century Gothic" w:cs="Arial"/>
          <w:color w:val="000000" w:themeColor="text1"/>
          <w:lang w:val="es-MX"/>
        </w:rPr>
      </w:pPr>
    </w:p>
    <w:p w14:paraId="5BF73EE2" w14:textId="77777777" w:rsidR="00255BE3" w:rsidRDefault="00255BE3" w:rsidP="00255BE3">
      <w:pPr>
        <w:spacing w:after="0"/>
        <w:rPr>
          <w:rFonts w:ascii="Century Gothic" w:eastAsia="Geomanist Light" w:hAnsi="Century Gothic" w:cs="Arial"/>
          <w:color w:val="000000" w:themeColor="text1"/>
          <w:lang w:val="es-MX"/>
        </w:rPr>
      </w:pPr>
    </w:p>
    <w:p w14:paraId="703C0DBB" w14:textId="77777777" w:rsidR="00255BE3" w:rsidRDefault="00255BE3" w:rsidP="00255BE3">
      <w:pPr>
        <w:spacing w:after="0"/>
        <w:rPr>
          <w:rFonts w:ascii="Century Gothic" w:eastAsia="Geomanist Light" w:hAnsi="Century Gothic" w:cs="Arial"/>
          <w:color w:val="000000" w:themeColor="text1"/>
          <w:lang w:val="es-MX"/>
        </w:rPr>
      </w:pPr>
    </w:p>
    <w:p w14:paraId="35776C17" w14:textId="77777777" w:rsidR="00255BE3" w:rsidRDefault="00255BE3" w:rsidP="00255BE3">
      <w:pPr>
        <w:spacing w:after="0"/>
        <w:rPr>
          <w:rFonts w:ascii="Century Gothic" w:eastAsia="Geomanist Light" w:hAnsi="Century Gothic" w:cs="Arial"/>
          <w:color w:val="000000" w:themeColor="text1"/>
          <w:lang w:val="es-MX"/>
        </w:rPr>
      </w:pPr>
    </w:p>
    <w:p w14:paraId="11F0788F" w14:textId="77777777" w:rsidR="00255BE3" w:rsidRDefault="00255BE3" w:rsidP="00255BE3">
      <w:pPr>
        <w:spacing w:after="0"/>
        <w:rPr>
          <w:rFonts w:ascii="Century Gothic" w:eastAsia="Geomanist Light" w:hAnsi="Century Gothic" w:cs="Arial"/>
          <w:color w:val="000000" w:themeColor="text1"/>
          <w:lang w:val="es-MX"/>
        </w:rPr>
      </w:pPr>
    </w:p>
    <w:p w14:paraId="2EC3B147" w14:textId="77777777" w:rsidR="00255BE3" w:rsidRDefault="00255BE3" w:rsidP="00255BE3">
      <w:pPr>
        <w:spacing w:after="0"/>
        <w:rPr>
          <w:rFonts w:ascii="Century Gothic" w:eastAsia="Geomanist Light" w:hAnsi="Century Gothic" w:cs="Arial"/>
          <w:color w:val="000000" w:themeColor="text1"/>
          <w:lang w:val="es-MX"/>
        </w:rPr>
      </w:pPr>
    </w:p>
    <w:p w14:paraId="2EBCA3F7" w14:textId="77777777" w:rsidR="00255BE3" w:rsidRDefault="00255BE3" w:rsidP="00255BE3">
      <w:pPr>
        <w:spacing w:after="0"/>
        <w:rPr>
          <w:rFonts w:ascii="Century Gothic" w:eastAsia="Geomanist Light" w:hAnsi="Century Gothic" w:cs="Arial"/>
          <w:color w:val="000000" w:themeColor="text1"/>
          <w:lang w:val="es-MX"/>
        </w:rPr>
      </w:pPr>
    </w:p>
    <w:p w14:paraId="7586E1F6" w14:textId="77777777" w:rsidR="00255BE3" w:rsidRDefault="00255BE3" w:rsidP="00255BE3">
      <w:pPr>
        <w:spacing w:after="0"/>
        <w:rPr>
          <w:rFonts w:ascii="Century Gothic" w:eastAsia="Geomanist Light" w:hAnsi="Century Gothic" w:cs="Arial"/>
          <w:color w:val="000000" w:themeColor="text1"/>
          <w:lang w:val="es-MX"/>
        </w:rPr>
      </w:pPr>
    </w:p>
    <w:p w14:paraId="6EE4E26C" w14:textId="77777777" w:rsidR="00255BE3" w:rsidRDefault="00255BE3" w:rsidP="00255BE3">
      <w:pPr>
        <w:spacing w:after="0"/>
        <w:rPr>
          <w:rFonts w:ascii="Century Gothic" w:eastAsia="Geomanist Light" w:hAnsi="Century Gothic" w:cs="Arial"/>
          <w:color w:val="000000" w:themeColor="text1"/>
          <w:lang w:val="es-MX"/>
        </w:rPr>
      </w:pPr>
    </w:p>
    <w:p w14:paraId="0A757E0E" w14:textId="77777777" w:rsidR="0063179B" w:rsidRDefault="0063179B" w:rsidP="0063179B">
      <w:pPr>
        <w:spacing w:after="0"/>
        <w:contextualSpacing/>
        <w:jc w:val="both"/>
        <w:rPr>
          <w:rFonts w:ascii="Century Gothic" w:eastAsia="Calibri" w:hAnsi="Century Gothic" w:cs="Arial"/>
          <w:lang w:val="es-ES_tradnl" w:eastAsia="es-ES_tradnl"/>
        </w:rPr>
      </w:pPr>
    </w:p>
    <w:p w14:paraId="37E3F77C" w14:textId="77777777" w:rsidR="00312C77" w:rsidRPr="0063179B" w:rsidRDefault="00312C77" w:rsidP="0063179B">
      <w:pPr>
        <w:spacing w:after="0"/>
        <w:contextualSpacing/>
        <w:jc w:val="both"/>
        <w:rPr>
          <w:rFonts w:ascii="Century Gothic" w:eastAsia="Calibri" w:hAnsi="Century Gothic" w:cs="Arial"/>
          <w:lang w:val="es-ES_tradnl" w:eastAsia="es-ES_tradnl"/>
        </w:rPr>
      </w:pPr>
    </w:p>
    <w:p w14:paraId="11ECB7E4" w14:textId="77777777" w:rsidR="00255BE3" w:rsidRDefault="00255BE3" w:rsidP="0063179B">
      <w:pPr>
        <w:contextualSpacing/>
        <w:jc w:val="both"/>
        <w:rPr>
          <w:rFonts w:ascii="Century Gothic" w:eastAsia="Calibri" w:hAnsi="Century Gothic" w:cs="Arial"/>
          <w:lang w:eastAsia="es-ES_tradnl"/>
        </w:rPr>
      </w:pPr>
    </w:p>
    <w:p w14:paraId="4F013765" w14:textId="6DECB445" w:rsidR="00255BE3" w:rsidRDefault="00C53AFE" w:rsidP="0063179B">
      <w:pPr>
        <w:contextualSpacing/>
        <w:jc w:val="both"/>
        <w:rPr>
          <w:rFonts w:ascii="Century Gothic" w:eastAsia="Calibri" w:hAnsi="Century Gothic" w:cs="Arial"/>
          <w:lang w:eastAsia="es-ES_tradnl"/>
        </w:rPr>
      </w:pPr>
      <w:r>
        <w:rPr>
          <w:rFonts w:ascii="Century Gothic" w:eastAsia="Calibri" w:hAnsi="Century Gothic" w:cs="Arial"/>
          <w:lang w:eastAsia="es-ES_tradnl"/>
        </w:rPr>
        <w:lastRenderedPageBreak/>
        <w:t>Bogotá, 23 de octubre de 2023</w:t>
      </w:r>
    </w:p>
    <w:p w14:paraId="587186B9" w14:textId="41575914" w:rsidR="0063179B" w:rsidRPr="0063179B" w:rsidRDefault="0063179B" w:rsidP="0063179B">
      <w:pPr>
        <w:contextualSpacing/>
        <w:jc w:val="both"/>
        <w:rPr>
          <w:rFonts w:ascii="Century Gothic" w:eastAsia="Calibri" w:hAnsi="Century Gothic" w:cs="Arial"/>
          <w:lang w:eastAsia="es-ES_tradnl"/>
        </w:rPr>
      </w:pPr>
      <w:r w:rsidRPr="0063179B">
        <w:rPr>
          <w:rFonts w:ascii="Century Gothic" w:eastAsia="Calibri" w:hAnsi="Century Gothic" w:cs="Arial"/>
          <w:lang w:eastAsia="es-ES_tradnl"/>
        </w:rPr>
        <w:t>Señor</w:t>
      </w:r>
    </w:p>
    <w:p w14:paraId="164A446C" w14:textId="77777777" w:rsidR="0063179B" w:rsidRPr="0063179B" w:rsidRDefault="0063179B" w:rsidP="0063179B">
      <w:pPr>
        <w:contextualSpacing/>
        <w:jc w:val="both"/>
        <w:rPr>
          <w:rFonts w:ascii="Century Gothic" w:eastAsia="Calibri" w:hAnsi="Century Gothic" w:cs="Arial"/>
          <w:b/>
          <w:lang w:eastAsia="es-ES_tradnl"/>
        </w:rPr>
      </w:pPr>
      <w:r w:rsidRPr="0063179B">
        <w:rPr>
          <w:rFonts w:ascii="Century Gothic" w:eastAsia="Calibri" w:hAnsi="Century Gothic" w:cs="Arial"/>
          <w:b/>
          <w:lang w:eastAsia="es-ES_tradnl"/>
        </w:rPr>
        <w:t>Juan Sebastián Borja Garzón</w:t>
      </w:r>
    </w:p>
    <w:p w14:paraId="3A2F9536" w14:textId="77777777" w:rsidR="0063179B" w:rsidRPr="0063179B" w:rsidRDefault="0063179B" w:rsidP="0063179B">
      <w:pPr>
        <w:contextualSpacing/>
        <w:jc w:val="both"/>
        <w:rPr>
          <w:rFonts w:ascii="Century Gothic" w:eastAsia="Calibri" w:hAnsi="Century Gothic" w:cs="Arial"/>
          <w:bCs/>
          <w:lang w:eastAsia="es-ES_tradnl"/>
        </w:rPr>
      </w:pPr>
      <w:r w:rsidRPr="0063179B">
        <w:rPr>
          <w:rFonts w:ascii="Century Gothic" w:eastAsia="Geomanist Light" w:hAnsi="Century Gothic" w:cs="Arial"/>
          <w:color w:val="000000" w:themeColor="text1"/>
          <w:lang w:val="es-MX"/>
        </w:rPr>
        <w:t>Bogotá D.C.</w:t>
      </w:r>
    </w:p>
    <w:p w14:paraId="4E7C1860" w14:textId="77777777" w:rsidR="0063179B" w:rsidRPr="0063179B" w:rsidRDefault="0063179B" w:rsidP="0063179B">
      <w:pPr>
        <w:contextualSpacing/>
        <w:jc w:val="both"/>
        <w:rPr>
          <w:rFonts w:ascii="Century Gothic" w:eastAsia="Calibri" w:hAnsi="Century Gothic" w:cs="Arial"/>
          <w:lang w:val="es-ES_tradnl" w:eastAsia="es-ES_tradnl"/>
        </w:rPr>
      </w:pPr>
    </w:p>
    <w:p w14:paraId="09BFF9F6" w14:textId="6171EA4D" w:rsidR="0063179B" w:rsidRDefault="00AA21C5" w:rsidP="00AA21C5">
      <w:pPr>
        <w:contextualSpacing/>
        <w:jc w:val="right"/>
        <w:rPr>
          <w:rFonts w:ascii="Century Gothic" w:eastAsia="Calibri" w:hAnsi="Century Gothic" w:cs="Arial"/>
          <w:b/>
          <w:bCs/>
          <w:lang w:val="es-ES_tradnl" w:eastAsia="es-ES_tradnl"/>
        </w:rPr>
      </w:pPr>
      <w:r w:rsidRPr="00AA21C5">
        <w:rPr>
          <w:rFonts w:ascii="Century Gothic" w:eastAsia="Calibri" w:hAnsi="Century Gothic" w:cs="Arial"/>
          <w:b/>
          <w:bCs/>
          <w:lang w:val="es-ES_tradnl" w:eastAsia="es-ES_tradnl"/>
        </w:rPr>
        <w:drawing>
          <wp:inline distT="0" distB="0" distL="0" distR="0" wp14:anchorId="6A368368" wp14:editId="485C1B27">
            <wp:extent cx="2467319" cy="752580"/>
            <wp:effectExtent l="0" t="0" r="9525" b="9525"/>
            <wp:docPr id="48322173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21730" name="Imagen 1" descr="Texto&#10;&#10;Descripción generada automáticamente"/>
                    <pic:cNvPicPr/>
                  </pic:nvPicPr>
                  <pic:blipFill>
                    <a:blip r:embed="rId10"/>
                    <a:stretch>
                      <a:fillRect/>
                    </a:stretch>
                  </pic:blipFill>
                  <pic:spPr>
                    <a:xfrm>
                      <a:off x="0" y="0"/>
                      <a:ext cx="2467319" cy="752580"/>
                    </a:xfrm>
                    <a:prstGeom prst="rect">
                      <a:avLst/>
                    </a:prstGeom>
                  </pic:spPr>
                </pic:pic>
              </a:graphicData>
            </a:graphic>
          </wp:inline>
        </w:drawing>
      </w:r>
    </w:p>
    <w:p w14:paraId="42C906EF" w14:textId="77777777" w:rsidR="00483F5F" w:rsidRDefault="00483F5F" w:rsidP="0063179B">
      <w:pPr>
        <w:contextualSpacing/>
        <w:rPr>
          <w:rFonts w:ascii="Century Gothic" w:eastAsia="Calibri" w:hAnsi="Century Gothic" w:cs="Arial"/>
          <w:b/>
          <w:bCs/>
          <w:lang w:val="es-ES_tradnl" w:eastAsia="es-ES_tradnl"/>
        </w:rPr>
      </w:pPr>
    </w:p>
    <w:p w14:paraId="08456414" w14:textId="77777777" w:rsidR="00483F5F" w:rsidRPr="0063179B" w:rsidRDefault="00483F5F" w:rsidP="0063179B">
      <w:pPr>
        <w:contextualSpacing/>
        <w:rPr>
          <w:rFonts w:ascii="Century Gothic" w:eastAsia="Calibri" w:hAnsi="Century Gothic" w:cs="Arial"/>
          <w:b/>
          <w:bCs/>
          <w:lang w:val="es-ES_tradnl" w:eastAsia="es-ES_tradnl"/>
        </w:rPr>
      </w:pPr>
    </w:p>
    <w:p w14:paraId="24E5191A" w14:textId="77777777" w:rsidR="0063179B" w:rsidRPr="0063179B" w:rsidRDefault="0063179B" w:rsidP="0063179B">
      <w:pPr>
        <w:ind w:left="2124" w:firstLine="570"/>
        <w:contextualSpacing/>
        <w:rPr>
          <w:rFonts w:ascii="Century Gothic" w:eastAsia="Calibri" w:hAnsi="Century Gothic" w:cs="Arial"/>
          <w:b/>
          <w:bCs/>
          <w:lang w:val="es-ES_tradnl" w:eastAsia="es-ES_tradnl"/>
        </w:rPr>
      </w:pPr>
      <w:r w:rsidRPr="0063179B">
        <w:rPr>
          <w:rFonts w:ascii="Century Gothic" w:eastAsia="Calibri" w:hAnsi="Century Gothic" w:cs="Arial"/>
          <w:b/>
          <w:bCs/>
          <w:lang w:val="es-ES_tradnl" w:eastAsia="es-ES_tradnl"/>
        </w:rPr>
        <w:t>Concepto C – 434 de 2023</w:t>
      </w:r>
    </w:p>
    <w:p w14:paraId="0400BFE8" w14:textId="77777777" w:rsidR="0063179B" w:rsidRPr="0063179B" w:rsidRDefault="0063179B" w:rsidP="0063179B">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3179B" w:rsidRPr="0063179B" w14:paraId="13FD021D" w14:textId="77777777" w:rsidTr="00A54EA5">
        <w:tc>
          <w:tcPr>
            <w:tcW w:w="2689" w:type="dxa"/>
          </w:tcPr>
          <w:p w14:paraId="2BCEE95F" w14:textId="77777777" w:rsidR="0063179B" w:rsidRPr="0063179B" w:rsidRDefault="0063179B" w:rsidP="0063179B">
            <w:pPr>
              <w:contextualSpacing/>
              <w:jc w:val="both"/>
              <w:rPr>
                <w:rFonts w:ascii="Century Gothic" w:eastAsia="Calibri" w:hAnsi="Century Gothic" w:cs="Arial"/>
                <w:highlight w:val="yellow"/>
                <w:lang w:val="es-ES_tradnl" w:eastAsia="es-ES_tradnl"/>
              </w:rPr>
            </w:pPr>
            <w:r w:rsidRPr="0063179B">
              <w:rPr>
                <w:rFonts w:ascii="Century Gothic" w:eastAsia="Calibri" w:hAnsi="Century Gothic" w:cs="Arial"/>
                <w:b/>
                <w:lang w:val="es-ES_tradnl" w:eastAsia="es-ES_tradnl"/>
              </w:rPr>
              <w:t>Temas:</w:t>
            </w:r>
            <w:r w:rsidRPr="0063179B">
              <w:rPr>
                <w:rFonts w:ascii="Century Gothic" w:eastAsia="Calibri" w:hAnsi="Century Gothic" w:cs="Arial"/>
                <w:lang w:val="es-ES_tradnl" w:eastAsia="es-ES_tradnl"/>
              </w:rPr>
              <w:t xml:space="preserve">                                      </w:t>
            </w:r>
          </w:p>
        </w:tc>
        <w:tc>
          <w:tcPr>
            <w:tcW w:w="6237" w:type="dxa"/>
          </w:tcPr>
          <w:p w14:paraId="3BDB9CEE" w14:textId="77777777" w:rsidR="0063179B" w:rsidRPr="0063179B" w:rsidRDefault="0063179B" w:rsidP="0063179B">
            <w:pPr>
              <w:spacing w:after="120"/>
              <w:contextualSpacing/>
              <w:jc w:val="both"/>
              <w:rPr>
                <w:rFonts w:ascii="Century Gothic" w:eastAsia="Calibri" w:hAnsi="Century Gothic" w:cs="Arial"/>
                <w:bCs/>
                <w:lang w:val="es-ES_tradnl" w:eastAsia="es-ES_tradnl"/>
              </w:rPr>
            </w:pPr>
            <w:r w:rsidRPr="0063179B">
              <w:rPr>
                <w:rFonts w:ascii="Century Gothic" w:eastAsia="Calibri" w:hAnsi="Century Gothic" w:cs="Arial"/>
                <w:bCs/>
                <w:lang w:val="es-ES_tradnl" w:eastAsia="es-ES_tradnl"/>
              </w:rPr>
              <w:t>EMPRESAS DE SERVICIOS PÚBLICOS DOMICILIARIOS – Naturaleza jurídica – Régimen contractual / EMPRESAS DE SERVICIOS PÚBLICOS DOMICILIARIOS – Aplicabilidad ley 80 de 1993 – Autonomía – Expedición de manual de contratación – Determinación de cuantías / PUBLICIDAD SECOP – Entidades con régimen especial – Modificación artículo 53 de la ley 2195 de 2022 / SECOP II – Deber de publicidad – Entidades exceptuadas – Documentos relacionados con la actividad contractual</w:t>
            </w:r>
          </w:p>
          <w:p w14:paraId="732031DF" w14:textId="77777777" w:rsidR="0063179B" w:rsidRPr="0063179B" w:rsidRDefault="0063179B" w:rsidP="0063179B">
            <w:pPr>
              <w:spacing w:after="120"/>
              <w:contextualSpacing/>
              <w:jc w:val="both"/>
              <w:rPr>
                <w:rFonts w:ascii="Century Gothic" w:eastAsia="Calibri" w:hAnsi="Century Gothic" w:cs="Arial"/>
                <w:bCs/>
                <w:sz w:val="12"/>
                <w:szCs w:val="12"/>
                <w:highlight w:val="yellow"/>
                <w:lang w:val="es-ES_tradnl" w:eastAsia="es-ES_tradnl"/>
              </w:rPr>
            </w:pPr>
          </w:p>
          <w:p w14:paraId="352628EE" w14:textId="77777777" w:rsidR="0063179B" w:rsidRPr="0063179B" w:rsidRDefault="0063179B" w:rsidP="0063179B">
            <w:pPr>
              <w:spacing w:after="120"/>
              <w:contextualSpacing/>
              <w:jc w:val="both"/>
              <w:rPr>
                <w:rFonts w:ascii="Century Gothic" w:eastAsia="Calibri" w:hAnsi="Century Gothic" w:cs="Arial"/>
                <w:bCs/>
                <w:sz w:val="12"/>
                <w:szCs w:val="12"/>
                <w:highlight w:val="yellow"/>
                <w:lang w:val="es-ES_tradnl" w:eastAsia="es-ES_tradnl"/>
              </w:rPr>
            </w:pPr>
          </w:p>
        </w:tc>
      </w:tr>
      <w:tr w:rsidR="0063179B" w:rsidRPr="0063179B" w14:paraId="6AA7059A" w14:textId="77777777" w:rsidTr="00A54EA5">
        <w:trPr>
          <w:trHeight w:val="227"/>
        </w:trPr>
        <w:tc>
          <w:tcPr>
            <w:tcW w:w="2689" w:type="dxa"/>
          </w:tcPr>
          <w:p w14:paraId="6C46C93B" w14:textId="77777777" w:rsidR="0063179B" w:rsidRPr="0063179B" w:rsidRDefault="0063179B" w:rsidP="0063179B">
            <w:pPr>
              <w:contextualSpacing/>
              <w:jc w:val="both"/>
              <w:rPr>
                <w:rFonts w:ascii="Century Gothic" w:eastAsia="Calibri" w:hAnsi="Century Gothic" w:cs="Arial"/>
                <w:b/>
                <w:lang w:val="es-ES_tradnl" w:eastAsia="es-ES_tradnl"/>
              </w:rPr>
            </w:pPr>
            <w:r w:rsidRPr="0063179B">
              <w:rPr>
                <w:rFonts w:ascii="Century Gothic" w:eastAsia="Calibri" w:hAnsi="Century Gothic" w:cs="Arial"/>
                <w:b/>
                <w:lang w:val="es-ES_tradnl" w:eastAsia="es-ES_tradnl"/>
              </w:rPr>
              <w:t>Radicación:</w:t>
            </w:r>
            <w:r w:rsidRPr="0063179B">
              <w:rPr>
                <w:rFonts w:ascii="Century Gothic" w:eastAsia="Calibri" w:hAnsi="Century Gothic" w:cs="Arial"/>
                <w:lang w:val="es-ES_tradnl" w:eastAsia="es-ES_tradnl"/>
              </w:rPr>
              <w:t xml:space="preserve">                             </w:t>
            </w:r>
          </w:p>
        </w:tc>
        <w:tc>
          <w:tcPr>
            <w:tcW w:w="6237" w:type="dxa"/>
          </w:tcPr>
          <w:p w14:paraId="72A2CD33" w14:textId="77777777" w:rsidR="0063179B" w:rsidRPr="0063179B" w:rsidRDefault="0063179B" w:rsidP="0063179B">
            <w:pPr>
              <w:contextualSpacing/>
              <w:jc w:val="both"/>
              <w:rPr>
                <w:rFonts w:ascii="Century Gothic" w:eastAsia="Calibri" w:hAnsi="Century Gothic" w:cs="Arial"/>
                <w:lang w:val="es-ES_tradnl" w:eastAsia="es-ES_tradnl"/>
              </w:rPr>
            </w:pPr>
            <w:r w:rsidRPr="0063179B">
              <w:rPr>
                <w:rFonts w:ascii="Century Gothic" w:eastAsia="Calibri" w:hAnsi="Century Gothic" w:cs="Arial"/>
                <w:lang w:val="es-ES_tradnl" w:eastAsia="es-ES_tradnl"/>
              </w:rPr>
              <w:t>Respuesta a consulta P20230912015033</w:t>
            </w:r>
            <w:r w:rsidRPr="0063179B">
              <w:rPr>
                <w:rFonts w:ascii="Century Gothic" w:eastAsia="Calibri" w:hAnsi="Century Gothic" w:cs="Arial"/>
                <w:lang w:val="es-ES_tradnl" w:eastAsia="es-ES_tradnl"/>
              </w:rPr>
              <w:tab/>
            </w:r>
            <w:r w:rsidRPr="0063179B">
              <w:rPr>
                <w:rFonts w:ascii="Century Gothic" w:eastAsia="Calibri" w:hAnsi="Century Gothic" w:cs="Arial"/>
                <w:lang w:val="es-ES_tradnl" w:eastAsia="es-ES_tradnl"/>
              </w:rPr>
              <w:tab/>
            </w:r>
          </w:p>
        </w:tc>
      </w:tr>
    </w:tbl>
    <w:p w14:paraId="248ECA53" w14:textId="77777777" w:rsidR="0063179B" w:rsidRPr="0063179B" w:rsidRDefault="0063179B" w:rsidP="0063179B">
      <w:pPr>
        <w:contextualSpacing/>
        <w:jc w:val="both"/>
        <w:rPr>
          <w:rFonts w:ascii="Century Gothic" w:eastAsia="Calibri" w:hAnsi="Century Gothic" w:cs="Arial"/>
          <w:lang w:val="es-ES_tradnl" w:eastAsia="es-ES_tradnl"/>
        </w:rPr>
      </w:pPr>
    </w:p>
    <w:p w14:paraId="14F4A2C7" w14:textId="77777777" w:rsidR="0063179B" w:rsidRPr="0063179B" w:rsidRDefault="0063179B" w:rsidP="0063179B">
      <w:pPr>
        <w:contextualSpacing/>
        <w:jc w:val="both"/>
        <w:rPr>
          <w:rFonts w:ascii="Century Gothic" w:eastAsia="Calibri" w:hAnsi="Century Gothic" w:cs="Arial"/>
          <w:lang w:val="es-ES_tradnl" w:eastAsia="es-ES_tradnl"/>
        </w:rPr>
      </w:pPr>
    </w:p>
    <w:p w14:paraId="081570DB" w14:textId="77777777" w:rsidR="0063179B" w:rsidRPr="0063179B" w:rsidRDefault="0063179B" w:rsidP="0063179B">
      <w:pPr>
        <w:contextualSpacing/>
        <w:jc w:val="both"/>
        <w:rPr>
          <w:rFonts w:ascii="Century Gothic" w:eastAsia="Calibri" w:hAnsi="Century Gothic" w:cs="Arial"/>
          <w:lang w:val="es-ES" w:eastAsia="es-ES"/>
        </w:rPr>
      </w:pPr>
      <w:r w:rsidRPr="0063179B">
        <w:rPr>
          <w:rFonts w:ascii="Century Gothic" w:eastAsia="Calibri" w:hAnsi="Century Gothic" w:cs="Arial"/>
          <w:lang w:val="es-ES" w:eastAsia="es-ES"/>
        </w:rPr>
        <w:t>Estimado Señor Borja:</w:t>
      </w:r>
    </w:p>
    <w:p w14:paraId="39973CC1" w14:textId="77777777" w:rsidR="0063179B" w:rsidRPr="0063179B" w:rsidRDefault="0063179B" w:rsidP="0063179B">
      <w:pPr>
        <w:spacing w:line="276" w:lineRule="auto"/>
        <w:contextualSpacing/>
        <w:jc w:val="both"/>
        <w:rPr>
          <w:rFonts w:ascii="Century Gothic" w:eastAsia="Calibri" w:hAnsi="Century Gothic" w:cs="Arial"/>
          <w:szCs w:val="24"/>
          <w:lang w:val="es-ES_tradnl" w:eastAsia="es-ES_tradnl"/>
        </w:rPr>
      </w:pPr>
    </w:p>
    <w:bookmarkEnd w:id="0"/>
    <w:bookmarkEnd w:id="1"/>
    <w:p w14:paraId="7A027E9E" w14:textId="77777777" w:rsidR="0063179B" w:rsidRPr="0063179B" w:rsidRDefault="0063179B" w:rsidP="0063179B">
      <w:pPr>
        <w:spacing w:after="0" w:line="276" w:lineRule="auto"/>
        <w:jc w:val="both"/>
        <w:rPr>
          <w:rFonts w:ascii="Century Gothic" w:eastAsia="Calibri" w:hAnsi="Century Gothic" w:cs="Arial"/>
          <w:color w:val="000000" w:themeColor="text1"/>
          <w:lang w:val="es-ES_tradnl"/>
        </w:rPr>
      </w:pPr>
      <w:r w:rsidRPr="0063179B">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63179B">
        <w:rPr>
          <w:rFonts w:ascii="Century Gothic" w:eastAsia="Arial MT" w:hAnsi="Century Gothic" w:cs="Arial MT"/>
          <w:lang w:val="es-ES"/>
        </w:rPr>
        <w:t xml:space="preserve">, </w:t>
      </w:r>
      <w:bookmarkEnd w:id="3"/>
      <w:r w:rsidRPr="0063179B">
        <w:rPr>
          <w:rFonts w:ascii="Century Gothic" w:eastAsia="Calibri" w:hAnsi="Century Gothic" w:cs="Arial"/>
          <w:color w:val="000000" w:themeColor="text1"/>
          <w:lang w:val="es-ES_tradnl"/>
        </w:rPr>
        <w:t>la Agencia Nacional de Contratación Pública – Colombia Compra Eficiente responde la consulta radicada el 11 de septiembre de 2023.</w:t>
      </w:r>
    </w:p>
    <w:p w14:paraId="4CC070AE" w14:textId="77777777" w:rsidR="0063179B" w:rsidRPr="0063179B" w:rsidRDefault="0063179B" w:rsidP="0063179B">
      <w:pPr>
        <w:spacing w:after="0" w:line="276" w:lineRule="auto"/>
        <w:jc w:val="both"/>
        <w:rPr>
          <w:rFonts w:ascii="Century Gothic" w:eastAsia="Calibri" w:hAnsi="Century Gothic" w:cs="Arial"/>
          <w:b/>
          <w:color w:val="000000" w:themeColor="text1"/>
          <w:lang w:val="es-ES_tradnl"/>
        </w:rPr>
      </w:pPr>
    </w:p>
    <w:p w14:paraId="0DAF91AA" w14:textId="77777777" w:rsidR="0063179B" w:rsidRPr="0063179B" w:rsidRDefault="0063179B" w:rsidP="0063179B">
      <w:pPr>
        <w:numPr>
          <w:ilvl w:val="0"/>
          <w:numId w:val="17"/>
        </w:numPr>
        <w:tabs>
          <w:tab w:val="left" w:pos="0"/>
          <w:tab w:val="left" w:pos="142"/>
          <w:tab w:val="left" w:pos="284"/>
        </w:tabs>
        <w:spacing w:after="0" w:line="276" w:lineRule="auto"/>
        <w:ind w:left="0" w:firstLine="0"/>
        <w:contextualSpacing/>
        <w:jc w:val="both"/>
        <w:rPr>
          <w:rFonts w:ascii="Century Gothic" w:eastAsia="Calibri" w:hAnsi="Century Gothic" w:cs="Arial"/>
          <w:b/>
          <w:color w:val="000000" w:themeColor="text1"/>
          <w:lang w:val="es-ES_tradnl"/>
        </w:rPr>
      </w:pPr>
      <w:r w:rsidRPr="0063179B">
        <w:rPr>
          <w:rFonts w:ascii="Century Gothic" w:eastAsia="Calibri" w:hAnsi="Century Gothic" w:cs="Arial"/>
          <w:b/>
          <w:color w:val="000000" w:themeColor="text1"/>
          <w:lang w:val="es-ES_tradnl"/>
        </w:rPr>
        <w:t xml:space="preserve">Problemas planteados </w:t>
      </w:r>
    </w:p>
    <w:p w14:paraId="2373E10E" w14:textId="77777777" w:rsidR="0063179B" w:rsidRPr="0063179B" w:rsidRDefault="0063179B" w:rsidP="0063179B">
      <w:pPr>
        <w:tabs>
          <w:tab w:val="left" w:pos="426"/>
        </w:tabs>
        <w:spacing w:after="0" w:line="276" w:lineRule="auto"/>
        <w:jc w:val="both"/>
        <w:rPr>
          <w:rFonts w:ascii="Century Gothic" w:eastAsia="Calibri" w:hAnsi="Century Gothic" w:cs="Arial"/>
          <w:b/>
          <w:color w:val="000000" w:themeColor="text1"/>
          <w:lang w:val="es-ES_tradnl"/>
        </w:rPr>
      </w:pPr>
    </w:p>
    <w:p w14:paraId="2F8D95B4" w14:textId="77777777" w:rsidR="0063179B" w:rsidRPr="0063179B" w:rsidRDefault="0063179B" w:rsidP="0063179B">
      <w:pPr>
        <w:spacing w:after="0" w:line="276" w:lineRule="auto"/>
        <w:jc w:val="both"/>
        <w:rPr>
          <w:rFonts w:ascii="Century Gothic" w:hAnsi="Century Gothic" w:cs="Arial"/>
          <w:color w:val="000000" w:themeColor="text1"/>
          <w:lang w:val="es-ES_tradnl"/>
        </w:rPr>
      </w:pPr>
      <w:r w:rsidRPr="0063179B">
        <w:rPr>
          <w:rFonts w:ascii="Century Gothic" w:hAnsi="Century Gothic" w:cs="Arial"/>
          <w:color w:val="000000" w:themeColor="text1"/>
          <w:lang w:val="es-ES_tradnl"/>
        </w:rPr>
        <w:t xml:space="preserve">Usted realiza la siguiente consulta: </w:t>
      </w:r>
    </w:p>
    <w:p w14:paraId="65B4D608" w14:textId="77777777" w:rsidR="0063179B" w:rsidRPr="0063179B" w:rsidRDefault="0063179B" w:rsidP="0063179B">
      <w:pPr>
        <w:spacing w:after="0" w:line="276" w:lineRule="auto"/>
        <w:jc w:val="both"/>
        <w:rPr>
          <w:rFonts w:ascii="Century Gothic" w:hAnsi="Century Gothic" w:cs="Arial"/>
          <w:color w:val="000000" w:themeColor="text1"/>
          <w:lang w:val="es-ES_tradnl"/>
        </w:rPr>
      </w:pPr>
    </w:p>
    <w:p w14:paraId="6583E139" w14:textId="77777777" w:rsidR="0063179B" w:rsidRPr="0063179B" w:rsidRDefault="0063179B" w:rsidP="0063179B">
      <w:pPr>
        <w:spacing w:after="0" w:line="240" w:lineRule="auto"/>
        <w:ind w:left="709" w:right="709"/>
        <w:jc w:val="both"/>
        <w:rPr>
          <w:rFonts w:ascii="Century Gothic" w:hAnsi="Century Gothic" w:cs="Arial"/>
          <w:color w:val="000000" w:themeColor="text1"/>
          <w:sz w:val="21"/>
          <w:szCs w:val="21"/>
          <w:lang w:val="es-ES_tradnl"/>
        </w:rPr>
      </w:pPr>
      <w:r w:rsidRPr="0063179B">
        <w:rPr>
          <w:rFonts w:ascii="Century Gothic" w:hAnsi="Century Gothic" w:cs="Arial"/>
          <w:color w:val="000000" w:themeColor="text1"/>
          <w:sz w:val="21"/>
          <w:szCs w:val="21"/>
          <w:lang w:val="es-ES_tradnl"/>
        </w:rPr>
        <w:t xml:space="preserve">“1. Solicito se precise si una empresa de servicios públicos mixta que es gestor del plan Departamental de agua de ostentar 2 manuales de </w:t>
      </w:r>
      <w:r w:rsidRPr="0063179B">
        <w:rPr>
          <w:rFonts w:ascii="Century Gothic" w:hAnsi="Century Gothic" w:cs="Arial"/>
          <w:color w:val="000000" w:themeColor="text1"/>
          <w:sz w:val="21"/>
          <w:szCs w:val="21"/>
          <w:lang w:val="es-ES_tradnl"/>
        </w:rPr>
        <w:lastRenderedPageBreak/>
        <w:t>contratación. ¿Uno para la contratación de régimen privado y otro para la contratación por Ley 80 de 1993 como gestor del PDA?</w:t>
      </w:r>
    </w:p>
    <w:p w14:paraId="0F642C44" w14:textId="77777777" w:rsidR="0063179B" w:rsidRPr="0063179B" w:rsidRDefault="0063179B" w:rsidP="0063179B">
      <w:pPr>
        <w:spacing w:before="120" w:after="0" w:line="240" w:lineRule="auto"/>
        <w:ind w:left="709" w:right="709"/>
        <w:jc w:val="both"/>
        <w:rPr>
          <w:rFonts w:ascii="Century Gothic" w:hAnsi="Century Gothic" w:cs="Arial"/>
          <w:b/>
          <w:bCs/>
          <w:i/>
          <w:iCs/>
          <w:color w:val="000000" w:themeColor="text1"/>
          <w:sz w:val="21"/>
          <w:szCs w:val="21"/>
          <w:lang w:val="es-ES_tradnl"/>
        </w:rPr>
      </w:pPr>
      <w:bookmarkStart w:id="4" w:name="_Hlk148078429"/>
      <w:r w:rsidRPr="0063179B">
        <w:rPr>
          <w:rFonts w:ascii="Century Gothic" w:hAnsi="Century Gothic" w:cs="Arial"/>
          <w:color w:val="000000" w:themeColor="text1"/>
          <w:sz w:val="21"/>
          <w:szCs w:val="21"/>
          <w:lang w:val="es-ES_tradnl"/>
        </w:rPr>
        <w:t xml:space="preserve">2. </w:t>
      </w:r>
      <w:r w:rsidRPr="0063179B">
        <w:rPr>
          <w:rFonts w:ascii="Century Gothic" w:hAnsi="Century Gothic" w:cs="Arial"/>
          <w:b/>
          <w:bCs/>
          <w:i/>
          <w:iCs/>
          <w:color w:val="000000" w:themeColor="text1"/>
          <w:sz w:val="21"/>
          <w:szCs w:val="21"/>
          <w:lang w:val="es-ES_tradnl"/>
        </w:rPr>
        <w:t>¿Qué contratos debe publicar en SECOP II una empresa de servicios públicos que es gestor del PDA Departamental?</w:t>
      </w:r>
    </w:p>
    <w:p w14:paraId="1102D70A" w14:textId="77777777" w:rsidR="0063179B" w:rsidRPr="0063179B" w:rsidRDefault="0063179B" w:rsidP="0063179B">
      <w:pPr>
        <w:spacing w:before="120" w:after="0" w:line="240" w:lineRule="auto"/>
        <w:ind w:left="709" w:right="709"/>
        <w:jc w:val="both"/>
        <w:rPr>
          <w:rFonts w:ascii="Century Gothic" w:hAnsi="Century Gothic" w:cs="Arial"/>
          <w:color w:val="000000" w:themeColor="text1"/>
          <w:sz w:val="21"/>
          <w:szCs w:val="21"/>
          <w:lang w:val="es-ES_tradnl"/>
        </w:rPr>
      </w:pPr>
      <w:r w:rsidRPr="0063179B">
        <w:rPr>
          <w:rFonts w:ascii="Century Gothic" w:hAnsi="Century Gothic" w:cs="Arial"/>
          <w:color w:val="000000" w:themeColor="text1"/>
          <w:sz w:val="21"/>
          <w:szCs w:val="21"/>
          <w:lang w:val="es-ES_tradnl"/>
        </w:rPr>
        <w:t xml:space="preserve">3. </w:t>
      </w:r>
      <w:r w:rsidRPr="0063179B">
        <w:rPr>
          <w:rFonts w:ascii="Century Gothic" w:hAnsi="Century Gothic" w:cs="Arial"/>
          <w:b/>
          <w:bCs/>
          <w:i/>
          <w:iCs/>
          <w:color w:val="000000" w:themeColor="text1"/>
          <w:sz w:val="21"/>
          <w:szCs w:val="21"/>
          <w:lang w:val="es-ES_tradnl"/>
        </w:rPr>
        <w:t>Una empresa de servicios públicos no tiene cuantías como las Alcaldías o Gobernaciones. Cómo se debe establecer la mínima cuantía si no se plasmó en el manual de contratación.</w:t>
      </w:r>
    </w:p>
    <w:bookmarkEnd w:id="4"/>
    <w:p w14:paraId="35006629" w14:textId="77777777" w:rsidR="0063179B" w:rsidRPr="0063179B" w:rsidRDefault="0063179B" w:rsidP="0063179B">
      <w:pPr>
        <w:spacing w:before="120" w:after="0" w:line="240" w:lineRule="auto"/>
        <w:ind w:left="709" w:right="709"/>
        <w:jc w:val="both"/>
        <w:rPr>
          <w:rFonts w:ascii="Century Gothic" w:hAnsi="Century Gothic" w:cs="Arial"/>
          <w:color w:val="000000" w:themeColor="text1"/>
          <w:sz w:val="21"/>
          <w:szCs w:val="21"/>
          <w:lang w:val="es-ES_tradnl"/>
        </w:rPr>
      </w:pPr>
      <w:r w:rsidRPr="0063179B">
        <w:rPr>
          <w:rFonts w:ascii="Century Gothic" w:hAnsi="Century Gothic" w:cs="Arial"/>
          <w:color w:val="000000" w:themeColor="text1"/>
          <w:sz w:val="21"/>
          <w:szCs w:val="21"/>
          <w:lang w:val="es-ES_tradnl"/>
        </w:rPr>
        <w:t>4. Sírvase indicar si en los contratos interadministrativos de gerencia integral de proyectos suscritos entre entidades estatales y empresas de servicios públicos se debe aplicar el artículo 56 de la Ley 2195 de 2022. Toda vez que la gerencia integral de proyectos es una obligación de resultado y no tendría cabida el artículo 56 de dicha norma. Igualmente, la obligación se le extiende es a las entidades que tiene su régimen basado en el Estatuto General de Contratación de la Administración Pública”. [sic]Énfasis fuera de texto]</w:t>
      </w:r>
    </w:p>
    <w:p w14:paraId="6B5C1054" w14:textId="77777777" w:rsidR="0063179B" w:rsidRPr="0063179B" w:rsidRDefault="0063179B" w:rsidP="0063179B">
      <w:pPr>
        <w:spacing w:after="0" w:line="276" w:lineRule="auto"/>
        <w:ind w:right="709"/>
        <w:jc w:val="both"/>
        <w:rPr>
          <w:rFonts w:ascii="Century Gothic" w:hAnsi="Century Gothic" w:cs="Arial"/>
          <w:color w:val="000000" w:themeColor="text1"/>
        </w:rPr>
      </w:pPr>
    </w:p>
    <w:p w14:paraId="45EB53C3" w14:textId="77777777" w:rsidR="0063179B" w:rsidRPr="0063179B" w:rsidRDefault="0063179B" w:rsidP="0063179B">
      <w:pPr>
        <w:numPr>
          <w:ilvl w:val="0"/>
          <w:numId w:val="17"/>
        </w:numPr>
        <w:tabs>
          <w:tab w:val="left" w:pos="0"/>
          <w:tab w:val="left" w:pos="284"/>
        </w:tabs>
        <w:spacing w:after="0" w:line="240" w:lineRule="auto"/>
        <w:ind w:left="0" w:firstLine="0"/>
        <w:contextualSpacing/>
        <w:jc w:val="both"/>
        <w:rPr>
          <w:rFonts w:ascii="Century Gothic" w:eastAsia="Calibri" w:hAnsi="Century Gothic" w:cs="Arial"/>
          <w:b/>
          <w:color w:val="000000" w:themeColor="text1"/>
          <w:lang w:val="es-ES_tradnl"/>
        </w:rPr>
      </w:pPr>
      <w:r w:rsidRPr="0063179B">
        <w:rPr>
          <w:rFonts w:ascii="Century Gothic" w:eastAsia="Calibri" w:hAnsi="Century Gothic" w:cs="Arial"/>
          <w:b/>
          <w:color w:val="000000" w:themeColor="text1"/>
          <w:lang w:val="es-ES_tradnl"/>
        </w:rPr>
        <w:t>Consideraciones</w:t>
      </w:r>
    </w:p>
    <w:p w14:paraId="6FF93362" w14:textId="77777777" w:rsidR="0063179B" w:rsidRPr="0063179B" w:rsidRDefault="0063179B" w:rsidP="0063179B">
      <w:pPr>
        <w:spacing w:after="0" w:line="276" w:lineRule="auto"/>
        <w:jc w:val="both"/>
        <w:rPr>
          <w:rFonts w:ascii="Century Gothic" w:eastAsia="Calibri" w:hAnsi="Century Gothic" w:cs="Arial"/>
          <w:color w:val="000000" w:themeColor="text1"/>
          <w:lang w:val="es-ES"/>
        </w:rPr>
      </w:pPr>
    </w:p>
    <w:p w14:paraId="463524BF" w14:textId="77777777" w:rsidR="0063179B" w:rsidRPr="0063179B" w:rsidRDefault="0063179B" w:rsidP="0063179B">
      <w:pPr>
        <w:spacing w:after="120" w:line="276" w:lineRule="auto"/>
        <w:jc w:val="both"/>
        <w:rPr>
          <w:rFonts w:ascii="Century Gothic" w:hAnsi="Century Gothic" w:cs="Arial"/>
          <w:lang w:val="es-ES"/>
        </w:rPr>
      </w:pPr>
      <w:r w:rsidRPr="0063179B">
        <w:rPr>
          <w:rFonts w:ascii="Century Gothic" w:hAnsi="Century Gothic" w:cs="Arial"/>
          <w:bCs/>
        </w:rPr>
        <w:t xml:space="preserve">En ejercicio de las competencias establecidas en los artículos 3.5 y 11.8 del Decreto 4170 de 2011, la Agencia Nacional de Contratación Pública – Colombia Compra Eficiente resuelve consultas sobre </w:t>
      </w:r>
      <w:r w:rsidRPr="0063179B">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63179B">
        <w:rPr>
          <w:rFonts w:ascii="Century Gothic" w:hAnsi="Century Gothic" w:cs="Arial"/>
          <w:bCs/>
        </w:rPr>
        <w:t xml:space="preserve"> de todos los partícipes de la contratación estatal.</w:t>
      </w:r>
    </w:p>
    <w:p w14:paraId="7FCF8DD2" w14:textId="77777777" w:rsidR="0063179B" w:rsidRPr="0063179B" w:rsidRDefault="0063179B" w:rsidP="0063179B">
      <w:pPr>
        <w:spacing w:after="120" w:line="276" w:lineRule="auto"/>
        <w:ind w:firstLine="708"/>
        <w:jc w:val="both"/>
        <w:rPr>
          <w:rFonts w:ascii="Century Gothic" w:hAnsi="Century Gothic" w:cs="Arial"/>
          <w:lang w:val="es-ES"/>
        </w:rPr>
      </w:pPr>
      <w:r w:rsidRPr="0063179B">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3179B">
        <w:rPr>
          <w:rFonts w:ascii="Century Gothic" w:hAnsi="Century Gothic" w:cs="Arial"/>
          <w:vertAlign w:val="superscript"/>
          <w:lang w:val="es-ES"/>
        </w:rPr>
        <w:footnoteReference w:id="1"/>
      </w:r>
      <w:r w:rsidRPr="0063179B">
        <w:rPr>
          <w:rFonts w:ascii="Century Gothic" w:hAnsi="Century Gothic" w:cs="Arial"/>
          <w:lang w:val="es-ES"/>
        </w:rPr>
        <w:t>. Esta competencia de interpretación de normas generales, por definición, no puede extenderse a la resolución de controversias ni brindar asesorías sobre casos puntuales. Por lo anterior</w:t>
      </w:r>
      <w:r w:rsidRPr="0063179B">
        <w:rPr>
          <w:rFonts w:ascii="Century Gothic" w:eastAsia="Calibri" w:hAnsi="Century Gothic" w:cs="Arial"/>
          <w:color w:val="000000"/>
          <w:lang w:val="es-MX"/>
        </w:rPr>
        <w:t xml:space="preserve">, Colombia Compra Eficiente al estudiar el contenido de su consulta, en virtud de lo dispuesto en el artículo 21 de la Ley 1437 de 2011, mediante oficio No. RS20230918010111 del 18 de septiembre </w:t>
      </w:r>
      <w:r w:rsidRPr="0063179B">
        <w:rPr>
          <w:rFonts w:ascii="Century Gothic" w:eastAsia="Calibri" w:hAnsi="Century Gothic" w:cs="Arial"/>
          <w:color w:val="000000"/>
          <w:lang w:val="es-MX"/>
        </w:rPr>
        <w:lastRenderedPageBreak/>
        <w:t xml:space="preserve">de 2023, manifestó su falta de competencia para manifestarse sobre sus preguntas 1 y 4. </w:t>
      </w:r>
    </w:p>
    <w:p w14:paraId="5880BAB5" w14:textId="77777777" w:rsidR="0063179B" w:rsidRPr="0063179B" w:rsidRDefault="0063179B" w:rsidP="0063179B">
      <w:pPr>
        <w:spacing w:after="120" w:line="276" w:lineRule="auto"/>
        <w:ind w:firstLine="708"/>
        <w:jc w:val="both"/>
        <w:rPr>
          <w:rFonts w:ascii="Century Gothic" w:eastAsia="Calibri" w:hAnsi="Century Gothic" w:cs="Arial"/>
          <w:lang w:val="es-ES_tradnl" w:eastAsia="es-MX"/>
        </w:rPr>
      </w:pPr>
      <w:r w:rsidRPr="0063179B">
        <w:rPr>
          <w:rFonts w:ascii="Century Gothic" w:eastAsia="Calibri" w:hAnsi="Century Gothic" w:cs="Arial"/>
          <w:color w:val="000000"/>
          <w:lang w:val="es-MX"/>
        </w:rPr>
        <w:t xml:space="preserve">Sin perjuicio de lo anterior, </w:t>
      </w:r>
      <w:r w:rsidRPr="0063179B">
        <w:rPr>
          <w:rFonts w:ascii="Century Gothic" w:eastAsia="Calibri" w:hAnsi="Century Gothic" w:cs="Arial"/>
          <w:color w:val="000000"/>
          <w:lang w:val="es-ES"/>
        </w:rPr>
        <w:t>la Subdirección de Gestión Contractual de esta Agencia –dentro de los límites de sus atribuciones, esto es, haciendo abstracción del caso particular expuesto por el peticionario– resolverá los interrogantes 2 y 3 conforme a las normas generales en materia de contratación estatal</w:t>
      </w:r>
      <w:r w:rsidRPr="0063179B">
        <w:rPr>
          <w:rFonts w:ascii="Century Gothic" w:eastAsia="Calibri" w:hAnsi="Century Gothic" w:cs="Arial"/>
          <w:lang w:val="es-ES_tradnl" w:eastAsia="es-MX"/>
        </w:rPr>
        <w:t xml:space="preserve">. Con este objetivo se analizarán los siguientes temas: i) naturaleza jurídica de las empresas prestadoras de servicios públicos domiciliarios, </w:t>
      </w:r>
      <w:proofErr w:type="spellStart"/>
      <w:r w:rsidRPr="0063179B">
        <w:rPr>
          <w:rFonts w:ascii="Century Gothic" w:eastAsia="Calibri" w:hAnsi="Century Gothic" w:cs="Arial"/>
          <w:lang w:val="es-ES_tradnl" w:eastAsia="es-MX"/>
        </w:rPr>
        <w:t>ii</w:t>
      </w:r>
      <w:proofErr w:type="spellEnd"/>
      <w:r w:rsidRPr="0063179B">
        <w:rPr>
          <w:rFonts w:ascii="Century Gothic" w:eastAsia="Calibri" w:hAnsi="Century Gothic" w:cs="Arial"/>
          <w:lang w:val="es-ES_tradnl" w:eastAsia="es-MX"/>
        </w:rPr>
        <w:t xml:space="preserve">) régimen contractual de las empresas prestadoras de servicios públicos domiciliarios. Situaciones de aplicabilidad de la Ley 80 de 1993 y; </w:t>
      </w:r>
      <w:proofErr w:type="spellStart"/>
      <w:r w:rsidRPr="0063179B">
        <w:rPr>
          <w:rFonts w:ascii="Century Gothic" w:eastAsia="Calibri" w:hAnsi="Century Gothic" w:cs="Arial"/>
          <w:lang w:val="es-ES_tradnl" w:eastAsia="es-MX"/>
        </w:rPr>
        <w:t>iii</w:t>
      </w:r>
      <w:proofErr w:type="spellEnd"/>
      <w:r w:rsidRPr="0063179B">
        <w:rPr>
          <w:rFonts w:ascii="Century Gothic" w:eastAsia="Calibri" w:hAnsi="Century Gothic" w:cs="Arial"/>
          <w:lang w:val="es-ES_tradnl" w:eastAsia="es-MX"/>
        </w:rPr>
        <w:t>) deber de las entidades exceptuadas del Estatuto General de Contratación de la Administración Pública de publicar los documentos relacionados con su actividad contractual en el SECOP II.</w:t>
      </w:r>
    </w:p>
    <w:p w14:paraId="5D8790B0" w14:textId="77777777" w:rsidR="0063179B" w:rsidRPr="0063179B" w:rsidRDefault="0063179B" w:rsidP="0063179B">
      <w:pPr>
        <w:spacing w:after="120" w:line="276" w:lineRule="auto"/>
        <w:ind w:firstLine="709"/>
        <w:jc w:val="both"/>
        <w:rPr>
          <w:rFonts w:ascii="Century Gothic" w:eastAsia="Calibri" w:hAnsi="Century Gothic" w:cs="Arial"/>
          <w:bCs/>
          <w:lang w:val="es-MX"/>
        </w:rPr>
      </w:pPr>
      <w:r w:rsidRPr="0063179B">
        <w:rPr>
          <w:rFonts w:ascii="Century Gothic" w:eastAsia="Calibri" w:hAnsi="Century Gothic" w:cs="Arial"/>
          <w:bCs/>
          <w:lang w:val="es-MX"/>
        </w:rPr>
        <w:t>La Agencia Nacional de Contratación Pública – Colombia Compra Eficiente se pronunció sobre las definiciones para la correcta aplicación e interpretación del régimen de servicios públicos domiciliarios en los conceptos 4201912000004354 –radicado de salida 2201913000006639– del 9 de septiembre de 2019 y 4201913000007243 –radicado de salida 2201913000008999– del 5 de diciembre de 2019 y C-307 de 18 de junio de 2021. Así mismo, se pronunció sobre el régimen contractual de los prestadores de servicios públicos domiciliarios en los Conceptos C-027 del 23 de enero de 2020, C-032 del 19 de febrero de 2020, C-157 del 16 de marzo de 2020, el C-147 del 17 de marzo de 2020, C-168 del 31 de marzo de 2020, C-158 del 3 de abril de 2020, C-227 del 7 de abril de 2020, C-362 del 3 de julio de 2020, C-462 del 24 de julio de 2020, C-718 del 17 de diciembre de 2020, C-053 del 9 de marzo de 2021, C-072 del 16 de marzo de 2021, C-077 del 16 de marzo de 2021, C-218 del 14 de mayo de 2021, C-290 del 15 de junio de 2021, C-163 del 29 de marzo de 2022, C-651 del 07 de octubre de 2022, C-071 del 28 de marzo de 2023 y C-259 del  04 de julio de 2023.</w:t>
      </w:r>
    </w:p>
    <w:p w14:paraId="34C68F19" w14:textId="77777777" w:rsidR="0063179B" w:rsidRPr="0063179B" w:rsidRDefault="0063179B" w:rsidP="0063179B">
      <w:pPr>
        <w:spacing w:after="0" w:line="276" w:lineRule="auto"/>
        <w:ind w:firstLine="709"/>
        <w:jc w:val="both"/>
        <w:rPr>
          <w:rFonts w:ascii="Century Gothic" w:eastAsia="Calibri" w:hAnsi="Century Gothic" w:cs="Arial"/>
          <w:bCs/>
          <w:lang w:val="es-MX"/>
        </w:rPr>
      </w:pPr>
      <w:r w:rsidRPr="0063179B">
        <w:rPr>
          <w:rFonts w:ascii="Century Gothic" w:eastAsia="Calibri" w:hAnsi="Century Gothic" w:cs="Arial"/>
          <w:bCs/>
          <w:lang w:val="es-MX"/>
        </w:rPr>
        <w:t xml:space="preserve">Por otro lado, esta entidad se ha pronunciado en diferentes oportunidades respecto a la aplicación los principios de publicidad y de acceso a la información pública en la contratación estatal sus fundamentos normativos y el deber de publicar la documentación contractual en el SECOP, en conceptos como el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w:t>
      </w:r>
      <w:r w:rsidRPr="0063179B">
        <w:rPr>
          <w:rFonts w:ascii="Century Gothic" w:eastAsia="Calibri" w:hAnsi="Century Gothic" w:cs="Arial"/>
          <w:bCs/>
          <w:lang w:val="es-MX"/>
        </w:rPr>
        <w:lastRenderedPageBreak/>
        <w:t>del 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 y C-071 del 28 de marzo de 2023</w:t>
      </w:r>
      <w:r w:rsidRPr="0063179B">
        <w:rPr>
          <w:rFonts w:ascii="Century Gothic" w:eastAsia="Calibri" w:hAnsi="Century Gothic" w:cs="Arial"/>
          <w:vertAlign w:val="superscript"/>
        </w:rPr>
        <w:footnoteReference w:id="2"/>
      </w:r>
      <w:r w:rsidRPr="0063179B">
        <w:rPr>
          <w:rFonts w:ascii="Century Gothic" w:eastAsia="Calibri" w:hAnsi="Century Gothic" w:cs="Arial"/>
          <w:bCs/>
          <w:lang w:val="es-MX"/>
        </w:rPr>
        <w:t xml:space="preserve">. Las tesis expuestas en los anteriores conceptos se reiteran a continuación y se complementan en lo pertinente: </w:t>
      </w:r>
    </w:p>
    <w:p w14:paraId="406C7FC8" w14:textId="77777777" w:rsidR="0063179B" w:rsidRPr="0063179B" w:rsidRDefault="0063179B" w:rsidP="0063179B">
      <w:pPr>
        <w:widowControl w:val="0"/>
        <w:autoSpaceDE w:val="0"/>
        <w:autoSpaceDN w:val="0"/>
        <w:spacing w:after="0" w:line="276" w:lineRule="auto"/>
        <w:jc w:val="both"/>
        <w:rPr>
          <w:rFonts w:ascii="Century Gothic" w:hAnsi="Century Gothic" w:cs="Arial"/>
          <w:b/>
          <w:lang w:val="es-MX"/>
        </w:rPr>
      </w:pPr>
    </w:p>
    <w:p w14:paraId="1D6F035C" w14:textId="77777777" w:rsidR="0063179B" w:rsidRPr="0063179B" w:rsidRDefault="0063179B" w:rsidP="0063179B">
      <w:pPr>
        <w:spacing w:after="0" w:line="276" w:lineRule="auto"/>
        <w:contextualSpacing/>
        <w:jc w:val="both"/>
        <w:rPr>
          <w:rFonts w:ascii="Century Gothic" w:eastAsia="Arial" w:hAnsi="Century Gothic" w:cs="Arial"/>
          <w:b/>
          <w:bCs/>
          <w:lang w:val="es-ES_tradnl" w:eastAsia="es-ES_tradnl"/>
        </w:rPr>
      </w:pPr>
      <w:bookmarkStart w:id="5" w:name="_Hlk73970609"/>
      <w:r w:rsidRPr="0063179B">
        <w:rPr>
          <w:rFonts w:ascii="Century Gothic" w:eastAsia="Arial" w:hAnsi="Century Gothic" w:cs="Arial"/>
          <w:b/>
          <w:bCs/>
          <w:lang w:val="es-ES_tradnl" w:eastAsia="es-ES_tradnl"/>
        </w:rPr>
        <w:t>2.1. Naturaleza jurídica de las empresas prestadoras de servicios públicos domiciliarios. Reiteración de línea</w:t>
      </w:r>
    </w:p>
    <w:p w14:paraId="46E0A2E2" w14:textId="77777777" w:rsidR="0063179B" w:rsidRPr="0063179B" w:rsidRDefault="0063179B" w:rsidP="0063179B">
      <w:pPr>
        <w:spacing w:after="0" w:line="276" w:lineRule="auto"/>
        <w:contextualSpacing/>
        <w:jc w:val="both"/>
        <w:rPr>
          <w:rFonts w:ascii="Century Gothic" w:eastAsia="Arial" w:hAnsi="Century Gothic" w:cs="Arial"/>
          <w:b/>
          <w:bCs/>
          <w:lang w:val="es-ES_tradnl" w:eastAsia="es-ES_tradnl"/>
        </w:rPr>
      </w:pPr>
    </w:p>
    <w:p w14:paraId="32D5965D" w14:textId="77777777" w:rsidR="0063179B" w:rsidRPr="0063179B" w:rsidRDefault="0063179B" w:rsidP="0063179B">
      <w:pPr>
        <w:spacing w:after="0" w:line="276" w:lineRule="auto"/>
        <w:jc w:val="both"/>
        <w:rPr>
          <w:rFonts w:ascii="Century Gothic" w:eastAsia="Arial" w:hAnsi="Century Gothic" w:cs="Arial"/>
          <w:color w:val="000000"/>
        </w:rPr>
      </w:pPr>
      <w:r w:rsidRPr="0063179B">
        <w:rPr>
          <w:rFonts w:ascii="Century Gothic" w:eastAsia="Arial" w:hAnsi="Century Gothic" w:cs="Arial"/>
          <w:color w:val="000000"/>
        </w:rPr>
        <w:t xml:space="preserve">El artículo 14 de la Ley 142 de 1994 contiene definiciones para la correcta aplicación e interpretación del régimen de servicios públicos domiciliarios. Esta norma define las empresas prestadoras de servicios públicos oficial, mixta y privada en los siguientes términos: </w:t>
      </w:r>
    </w:p>
    <w:p w14:paraId="46F63498" w14:textId="77777777" w:rsidR="0063179B" w:rsidRPr="0063179B" w:rsidRDefault="0063179B" w:rsidP="0063179B">
      <w:pPr>
        <w:spacing w:after="0" w:line="276" w:lineRule="auto"/>
        <w:jc w:val="both"/>
        <w:rPr>
          <w:rFonts w:ascii="Century Gothic" w:eastAsia="Arial" w:hAnsi="Century Gothic" w:cs="Arial"/>
          <w:color w:val="000000"/>
        </w:rPr>
      </w:pPr>
    </w:p>
    <w:p w14:paraId="6E4C77A5"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“14.5. Empresa de servicios públicos oficial. Es aquella en cuyo capital la Nación, las entidades territoriales, o las entidades descentralizadas de aquella o estas tienen el 100% de los aportes.</w:t>
      </w:r>
    </w:p>
    <w:p w14:paraId="0696D946"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p>
    <w:p w14:paraId="641A0E4C"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14.6. Empresa de servicios públicos mixta. Es aquella en cuyo capital la Nación, las entidades territoriales, o las entidades descentralizadas de aquella o éstas tienen aportes iguales o superiores al 50%. </w:t>
      </w:r>
    </w:p>
    <w:p w14:paraId="56A35878"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p>
    <w:p w14:paraId="5385CBC9"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4EE7AFD7" w14:textId="77777777" w:rsidR="0063179B" w:rsidRPr="0063179B" w:rsidRDefault="0063179B" w:rsidP="0063179B">
      <w:pPr>
        <w:spacing w:after="0" w:line="276" w:lineRule="auto"/>
        <w:jc w:val="both"/>
        <w:rPr>
          <w:rFonts w:ascii="Century Gothic" w:eastAsia="Arial" w:hAnsi="Century Gothic" w:cs="Arial"/>
          <w:color w:val="000000"/>
        </w:rPr>
      </w:pPr>
    </w:p>
    <w:p w14:paraId="2951B26F" w14:textId="77777777" w:rsidR="0063179B" w:rsidRPr="0063179B" w:rsidRDefault="0063179B" w:rsidP="0063179B">
      <w:pPr>
        <w:tabs>
          <w:tab w:val="left" w:pos="0"/>
        </w:tabs>
        <w:spacing w:after="120" w:line="276" w:lineRule="auto"/>
        <w:jc w:val="both"/>
        <w:rPr>
          <w:rFonts w:ascii="Century Gothic" w:eastAsia="Arial" w:hAnsi="Century Gothic" w:cs="Arial"/>
          <w:color w:val="000000"/>
        </w:rPr>
      </w:pPr>
      <w:r w:rsidRPr="0063179B">
        <w:rPr>
          <w:rFonts w:ascii="Century Gothic" w:eastAsia="Arial" w:hAnsi="Century Gothic" w:cs="Arial"/>
          <w:color w:val="000000"/>
        </w:rPr>
        <w:tab/>
        <w:t xml:space="preserve">A su vez, el artículo 17 de la citada ley señala que “las empresas de servicios públicos son sociedades por acciones cuyo objeto es la prestación de los servicios públicos de que trata esta ley”. De otro lado, la Ley 489 de 1998 determina la integración de la Rama Ejecutiva del Poder Público en el orden nacional, y en el artículo 38, numeral 2, literal d) señala que las empresas sociales del Estado y las empresas oficiales de servicios públicos domiciliarios pertenecen a las entidades de la Rama Ejecutiva del sector descentralizado por servicios. El artículo 68 </w:t>
      </w:r>
      <w:r w:rsidRPr="0063179B">
        <w:rPr>
          <w:rFonts w:ascii="Century Gothic" w:eastAsia="Arial" w:hAnsi="Century Gothic" w:cs="Arial"/>
          <w:i/>
          <w:iCs/>
          <w:color w:val="000000"/>
        </w:rPr>
        <w:t xml:space="preserve">ibídem, </w:t>
      </w:r>
      <w:r w:rsidRPr="0063179B">
        <w:rPr>
          <w:rFonts w:ascii="Century Gothic" w:eastAsia="Arial" w:hAnsi="Century Gothic" w:cs="Arial"/>
          <w:color w:val="000000"/>
        </w:rPr>
        <w:t xml:space="preserve">al </w:t>
      </w:r>
      <w:r w:rsidRPr="0063179B">
        <w:rPr>
          <w:rFonts w:ascii="Century Gothic" w:eastAsia="Arial" w:hAnsi="Century Gothic" w:cs="Arial"/>
          <w:color w:val="000000"/>
        </w:rPr>
        <w:lastRenderedPageBreak/>
        <w:t>enlistar las entidades descentralizadas del orden nacional, se refirió únicamente a las empresas oficiales de servicios públicos, esto es, aquellas en las que la participación del Estado es del 100%</w:t>
      </w:r>
      <w:r w:rsidRPr="0063179B">
        <w:rPr>
          <w:rFonts w:ascii="Century Gothic" w:eastAsia="Calibri" w:hAnsi="Century Gothic" w:cs="Arial"/>
          <w:bCs/>
          <w:vertAlign w:val="superscript"/>
          <w:lang w:val="es-MX"/>
        </w:rPr>
        <w:footnoteReference w:id="3"/>
      </w:r>
      <w:r w:rsidRPr="0063179B">
        <w:rPr>
          <w:rFonts w:ascii="Century Gothic" w:eastAsia="Arial" w:hAnsi="Century Gothic" w:cs="Arial"/>
          <w:color w:val="000000"/>
        </w:rPr>
        <w:t>.</w:t>
      </w:r>
    </w:p>
    <w:p w14:paraId="3E37124F" w14:textId="77777777" w:rsidR="0063179B" w:rsidRPr="0063179B" w:rsidRDefault="0063179B" w:rsidP="0063179B">
      <w:pPr>
        <w:tabs>
          <w:tab w:val="left" w:pos="0"/>
        </w:tabs>
        <w:spacing w:after="0" w:line="276" w:lineRule="auto"/>
        <w:jc w:val="both"/>
        <w:rPr>
          <w:rFonts w:ascii="Century Gothic" w:hAnsi="Century Gothic" w:cs="Arial"/>
          <w:noProof/>
          <w:lang w:val="es-ES_tradnl"/>
        </w:rPr>
      </w:pPr>
      <w:r w:rsidRPr="0063179B">
        <w:rPr>
          <w:rFonts w:ascii="Century Gothic" w:hAnsi="Century Gothic" w:cs="Arial"/>
          <w:noProof/>
          <w:lang w:val="es-ES_tradnl"/>
        </w:rPr>
        <w:tab/>
        <w:t>Lo anterior llevó a pensar que las entidades partícipes del sistema de compras públicas que el legislador había excluido de la Rama Ejecutiva a las empresas de servicios públicos mixta –capital público superior al 50%– y las prviadas –capital público inferior al 50%–. Sin embargo, la Corte Constitucional determinó que tanto las empresas de servicios públicos mixta como las privadas hacían parte de la Rama Ejecutiva, toda vez que el literal g) del artículo 38, numeral 2 de la Ley 489 de 1998 dice en su literal g) “Las demás entidades administrativas nacionales con personería jurídica que cree, organice o autorice la ley para que formen parte de la Rama Ejecutiva del Poder Público”.</w:t>
      </w:r>
    </w:p>
    <w:p w14:paraId="61C62D33" w14:textId="77777777" w:rsidR="0063179B" w:rsidRPr="0063179B" w:rsidRDefault="0063179B" w:rsidP="0063179B">
      <w:pPr>
        <w:tabs>
          <w:tab w:val="left" w:pos="0"/>
        </w:tabs>
        <w:spacing w:before="120" w:after="0" w:line="276" w:lineRule="auto"/>
        <w:jc w:val="both"/>
        <w:rPr>
          <w:rFonts w:ascii="Century Gothic" w:hAnsi="Century Gothic" w:cs="Arial"/>
          <w:noProof/>
          <w:lang w:val="es-ES_tradnl"/>
        </w:rPr>
      </w:pPr>
      <w:r w:rsidRPr="0063179B">
        <w:rPr>
          <w:rFonts w:ascii="Century Gothic" w:hAnsi="Century Gothic" w:cs="Arial"/>
          <w:noProof/>
          <w:lang w:val="es-ES_tradnl"/>
        </w:rPr>
        <w:tab/>
        <w:t xml:space="preserve">La Corte Constitucional, además de señalar la pertenencia a la Rama Ejecutiva de las empresas de servicios públicos mixtas y privadas, sostuvo que se trataba de entidades descentralizadas por servicios, en los términos del artículo 68 de la Ley 489 de 1998: </w:t>
      </w:r>
    </w:p>
    <w:p w14:paraId="0AC0E8D4" w14:textId="77777777" w:rsidR="0063179B" w:rsidRPr="0063179B" w:rsidRDefault="0063179B" w:rsidP="0063179B">
      <w:pPr>
        <w:spacing w:after="0" w:line="240" w:lineRule="auto"/>
        <w:ind w:left="709" w:right="709"/>
        <w:contextualSpacing/>
        <w:jc w:val="both"/>
        <w:rPr>
          <w:rFonts w:ascii="Arial" w:eastAsia="Calibri" w:hAnsi="Arial" w:cs="Arial"/>
          <w:bCs/>
          <w:sz w:val="21"/>
          <w:szCs w:val="21"/>
          <w:lang w:val="es-MX"/>
        </w:rPr>
      </w:pPr>
    </w:p>
    <w:p w14:paraId="25B0C4B0" w14:textId="77777777" w:rsidR="0063179B" w:rsidRPr="0063179B" w:rsidRDefault="0063179B" w:rsidP="0063179B">
      <w:pPr>
        <w:spacing w:before="120"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09766C35" w14:textId="77777777" w:rsidR="0063179B" w:rsidRPr="0063179B" w:rsidRDefault="0063179B" w:rsidP="0063179B">
      <w:pPr>
        <w:spacing w:before="120" w:after="0" w:line="240" w:lineRule="auto"/>
        <w:ind w:right="709"/>
        <w:contextualSpacing/>
        <w:jc w:val="both"/>
        <w:rPr>
          <w:rFonts w:ascii="Century Gothic" w:eastAsia="Calibri" w:hAnsi="Century Gothic" w:cs="Arial"/>
          <w:bCs/>
          <w:sz w:val="21"/>
          <w:szCs w:val="21"/>
          <w:lang w:val="es-MX"/>
        </w:rPr>
      </w:pPr>
    </w:p>
    <w:p w14:paraId="1F21DFAF" w14:textId="77777777" w:rsidR="0063179B" w:rsidRPr="0063179B" w:rsidRDefault="0063179B" w:rsidP="0063179B">
      <w:pPr>
        <w:spacing w:before="120"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718EF96A" w14:textId="77777777" w:rsidR="0063179B" w:rsidRPr="0063179B" w:rsidRDefault="0063179B" w:rsidP="0063179B">
      <w:pPr>
        <w:spacing w:before="120" w:after="0" w:line="240" w:lineRule="auto"/>
        <w:ind w:left="709" w:right="709"/>
        <w:contextualSpacing/>
        <w:jc w:val="both"/>
        <w:rPr>
          <w:rFonts w:ascii="Century Gothic" w:eastAsia="Calibri" w:hAnsi="Century Gothic" w:cs="Arial"/>
          <w:bCs/>
          <w:sz w:val="21"/>
          <w:szCs w:val="21"/>
          <w:lang w:val="es-MX"/>
        </w:rPr>
      </w:pPr>
    </w:p>
    <w:p w14:paraId="1503443B" w14:textId="77777777" w:rsidR="0063179B" w:rsidRPr="0063179B" w:rsidRDefault="0063179B" w:rsidP="0063179B">
      <w:pPr>
        <w:spacing w:before="120"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lastRenderedPageBreak/>
        <w:t>Nótese como en el literal d) el legislador incluye a las “demás entidades nacionales con personería jurídica que creen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14:paraId="395D547D" w14:textId="77777777" w:rsidR="0063179B" w:rsidRPr="0063179B" w:rsidRDefault="0063179B" w:rsidP="0063179B">
      <w:pPr>
        <w:spacing w:before="120" w:after="0" w:line="240" w:lineRule="auto"/>
        <w:ind w:left="709" w:right="709"/>
        <w:contextualSpacing/>
        <w:jc w:val="both"/>
        <w:rPr>
          <w:rFonts w:ascii="Century Gothic" w:eastAsia="Calibri" w:hAnsi="Century Gothic" w:cs="Arial"/>
          <w:bCs/>
          <w:sz w:val="21"/>
          <w:szCs w:val="21"/>
          <w:lang w:val="es-MX"/>
        </w:rPr>
      </w:pPr>
    </w:p>
    <w:p w14:paraId="4C7F1D12" w14:textId="77777777" w:rsidR="0063179B" w:rsidRPr="0063179B" w:rsidRDefault="0063179B" w:rsidP="0063179B">
      <w:pPr>
        <w:spacing w:before="120"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Así las cosas, de cara a la constitucionalidad del artículo 38 de la Ley 489 de 1998, y concretamente de la expresión “las empresas oficiales de servicios públicos domiciliarios” contenida en su literal d), la Corte declarará su exequibiliad, por considerar que dentro del supuesto normativo del literal g) se comprenden las empresas mixtas o privadas de servicios públicos, que de esta manera viene a conformar también la Rama Ejecutiva del poder público.</w:t>
      </w:r>
    </w:p>
    <w:p w14:paraId="438B1754" w14:textId="77777777" w:rsidR="0063179B" w:rsidRPr="0063179B" w:rsidRDefault="0063179B" w:rsidP="0063179B">
      <w:pPr>
        <w:spacing w:before="120"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w:t>
      </w:r>
    </w:p>
    <w:p w14:paraId="4A0AB88C" w14:textId="77777777" w:rsidR="0063179B" w:rsidRPr="0063179B" w:rsidRDefault="0063179B" w:rsidP="0063179B">
      <w:pPr>
        <w:spacing w:before="120"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Obsérvese que si bien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63179B">
        <w:rPr>
          <w:rFonts w:ascii="Century Gothic" w:eastAsia="Calibri" w:hAnsi="Century Gothic" w:cs="Arial"/>
          <w:bCs/>
          <w:sz w:val="21"/>
          <w:szCs w:val="21"/>
          <w:vertAlign w:val="superscript"/>
          <w:lang w:val="es-MX"/>
        </w:rPr>
        <w:footnoteReference w:id="4"/>
      </w:r>
    </w:p>
    <w:p w14:paraId="1856B432" w14:textId="77777777" w:rsidR="0063179B" w:rsidRPr="0063179B" w:rsidRDefault="0063179B" w:rsidP="0063179B">
      <w:pPr>
        <w:spacing w:before="120" w:after="0" w:line="240" w:lineRule="auto"/>
        <w:ind w:left="709" w:right="709"/>
        <w:contextualSpacing/>
        <w:jc w:val="both"/>
        <w:rPr>
          <w:rFonts w:ascii="Century Gothic" w:eastAsia="Calibri" w:hAnsi="Century Gothic" w:cs="Arial"/>
          <w:bCs/>
          <w:sz w:val="21"/>
          <w:szCs w:val="21"/>
          <w:lang w:val="es-MX"/>
        </w:rPr>
      </w:pPr>
    </w:p>
    <w:p w14:paraId="514B93C4" w14:textId="77777777" w:rsidR="0063179B" w:rsidRPr="0063179B" w:rsidRDefault="0063179B" w:rsidP="0063179B">
      <w:pPr>
        <w:spacing w:after="0"/>
        <w:jc w:val="both"/>
        <w:rPr>
          <w:rFonts w:ascii="Century Gothic" w:hAnsi="Century Gothic" w:cs="Arial"/>
          <w:noProof/>
          <w:lang w:val="es-ES_tradnl"/>
        </w:rPr>
      </w:pPr>
      <w:r w:rsidRPr="0063179B">
        <w:rPr>
          <w:rFonts w:ascii="Century Gothic" w:hAnsi="Century Gothic" w:cs="Arial"/>
          <w:noProof/>
          <w:lang w:val="es-ES_tradnl"/>
        </w:rPr>
        <w:tab/>
        <w:t>En esta providencia también se hace una aclaración que resulta importante: “las empresas prestadoras de servicios públicos, de carácter mixto, no deben ser consideradas como sociedades de economía mixta”. La anterior conclusión fue fundamentada sobre la idea del carácter o naturaleza especial que la Constitución les dio a las empresas de servicios públicos:</w:t>
      </w:r>
    </w:p>
    <w:p w14:paraId="5B70A97B"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p>
    <w:p w14:paraId="0C22C760"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 xml:space="preserve">“No obstante, después de haber estudiado los conceptos de sociedad de economía mixta y de empresa de servicios públicos, la Corte estima que la naturaleza y el régimen jurídico especial de la prestación de los servicios públicos dispuesto por el constituyente de la Carta impiden considerar que las empresas de servicios públicos constituidas bajo la forma de sociedades por acciones, en las cuales concurran en cualquier proporción el capital público y el privado, sean “sociedades de </w:t>
      </w:r>
      <w:r w:rsidRPr="0063179B">
        <w:rPr>
          <w:rFonts w:ascii="Century Gothic" w:eastAsia="Calibri" w:hAnsi="Century Gothic" w:cs="Arial"/>
          <w:bCs/>
          <w:sz w:val="21"/>
          <w:szCs w:val="21"/>
          <w:lang w:val="es-MX"/>
        </w:rPr>
        <w:lastRenderedPageBreak/>
        <w:t>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2D4772BC"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w:t>
      </w:r>
    </w:p>
    <w:p w14:paraId="29096D5E"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Al parecer la Corte, la interpretación según la cual las empresas de servicios públicos son sociedades de economía mixta resulta contraria a la Constitución. Ciertamente, según se dijo arriba, del artículo 365 superior se desprende que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 distintas de los establecimientos públicos, las empresas comerciales e industriales del Estado y las Sociedades de economía mixta”</w:t>
      </w:r>
      <w:r w:rsidRPr="0063179B">
        <w:rPr>
          <w:rFonts w:ascii="Century Gothic" w:eastAsia="Calibri" w:hAnsi="Century Gothic" w:cs="Arial"/>
          <w:bCs/>
          <w:sz w:val="21"/>
          <w:szCs w:val="21"/>
          <w:vertAlign w:val="superscript"/>
          <w:lang w:val="es-MX"/>
        </w:rPr>
        <w:footnoteReference w:id="5"/>
      </w:r>
      <w:r w:rsidRPr="0063179B">
        <w:rPr>
          <w:rFonts w:ascii="Century Gothic" w:eastAsia="Calibri" w:hAnsi="Century Gothic" w:cs="Arial"/>
          <w:bCs/>
          <w:sz w:val="21"/>
          <w:szCs w:val="21"/>
          <w:lang w:val="es-MX"/>
        </w:rPr>
        <w:t>.</w:t>
      </w:r>
    </w:p>
    <w:p w14:paraId="69B5652B" w14:textId="77777777" w:rsidR="0063179B" w:rsidRPr="0063179B" w:rsidRDefault="0063179B" w:rsidP="0063179B">
      <w:pPr>
        <w:spacing w:after="0" w:line="276" w:lineRule="auto"/>
        <w:ind w:firstLine="709"/>
        <w:contextualSpacing/>
        <w:jc w:val="both"/>
        <w:rPr>
          <w:rFonts w:ascii="Arial" w:eastAsia="Calibri" w:hAnsi="Arial" w:cs="Arial"/>
          <w:bCs/>
          <w:lang w:val="es-MX"/>
        </w:rPr>
      </w:pPr>
    </w:p>
    <w:p w14:paraId="6EF72166" w14:textId="77777777" w:rsidR="0063179B" w:rsidRPr="0063179B" w:rsidRDefault="0063179B" w:rsidP="0063179B">
      <w:pPr>
        <w:spacing w:before="120" w:after="0" w:line="276" w:lineRule="auto"/>
        <w:ind w:firstLine="709"/>
        <w:contextualSpacing/>
        <w:jc w:val="both"/>
        <w:rPr>
          <w:rFonts w:ascii="Century Gothic" w:eastAsia="Calibri" w:hAnsi="Century Gothic" w:cs="Arial"/>
          <w:bCs/>
          <w:lang w:val="es-MX"/>
        </w:rPr>
      </w:pPr>
      <w:r w:rsidRPr="0063179B">
        <w:rPr>
          <w:rFonts w:ascii="Century Gothic" w:eastAsia="Calibri" w:hAnsi="Century Gothic" w:cs="Arial"/>
          <w:bCs/>
          <w:lang w:val="es-MX"/>
        </w:rPr>
        <w:t xml:space="preserve">Así las cosas, es preciso afirmar que 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19C92CC9" w14:textId="77777777" w:rsidR="0063179B" w:rsidRPr="0063179B" w:rsidRDefault="0063179B" w:rsidP="0063179B">
      <w:pPr>
        <w:tabs>
          <w:tab w:val="left" w:pos="0"/>
        </w:tabs>
        <w:spacing w:before="120" w:after="0" w:line="276" w:lineRule="auto"/>
        <w:jc w:val="both"/>
        <w:rPr>
          <w:rFonts w:ascii="Century Gothic" w:eastAsia="Calibri" w:hAnsi="Century Gothic" w:cs="Arial"/>
          <w:bCs/>
          <w:lang w:val="es-MX"/>
        </w:rPr>
      </w:pPr>
      <w:r w:rsidRPr="0063179B">
        <w:rPr>
          <w:rFonts w:ascii="Century Gothic" w:eastAsia="Calibri" w:hAnsi="Century Gothic" w:cs="Arial"/>
          <w:bCs/>
          <w:lang w:val="es-MX"/>
        </w:rPr>
        <w:tab/>
        <w:t xml:space="preserve">Una vez expuesta la naturaleza jurídica de las empresas prestadoras de servicios públicos domiciliarios, teniendo en cuenta el objeto de la consulta, a continuación, se procede a explicar el régimen contractual que les aplica. </w:t>
      </w:r>
    </w:p>
    <w:p w14:paraId="55C7CFB1" w14:textId="77777777" w:rsidR="0063179B" w:rsidRPr="0063179B" w:rsidRDefault="0063179B" w:rsidP="0063179B">
      <w:pPr>
        <w:spacing w:after="0"/>
        <w:jc w:val="both"/>
        <w:rPr>
          <w:rFonts w:ascii="Century Gothic" w:hAnsi="Century Gothic" w:cs="Arial"/>
          <w:noProof/>
          <w:lang w:val="es-ES_tradnl"/>
        </w:rPr>
      </w:pPr>
    </w:p>
    <w:p w14:paraId="6D77ADBD" w14:textId="77777777" w:rsidR="0063179B" w:rsidRPr="0063179B" w:rsidRDefault="0063179B" w:rsidP="0063179B">
      <w:pPr>
        <w:spacing w:after="0"/>
        <w:jc w:val="both"/>
        <w:rPr>
          <w:rFonts w:ascii="Century Gothic" w:hAnsi="Century Gothic" w:cs="Arial"/>
          <w:b/>
          <w:bCs/>
          <w:noProof/>
          <w:lang w:val="es-ES_tradnl"/>
        </w:rPr>
      </w:pPr>
      <w:r w:rsidRPr="0063179B">
        <w:rPr>
          <w:rFonts w:ascii="Century Gothic" w:hAnsi="Century Gothic" w:cs="Arial"/>
          <w:b/>
          <w:bCs/>
          <w:noProof/>
          <w:lang w:val="es-ES_tradnl"/>
        </w:rPr>
        <w:t>2.2. Régimen contractual de las empresas prestadoras de servicios públicos domiciliarios. Situaciones de aplicabilidad de la Ley 80 de 1993. Reiteración de línea</w:t>
      </w:r>
    </w:p>
    <w:p w14:paraId="23510FD7" w14:textId="77777777" w:rsidR="0063179B" w:rsidRPr="0063179B" w:rsidRDefault="0063179B" w:rsidP="0063179B">
      <w:pPr>
        <w:spacing w:after="0"/>
        <w:jc w:val="both"/>
        <w:rPr>
          <w:rFonts w:ascii="Century Gothic" w:hAnsi="Century Gothic" w:cs="Arial"/>
          <w:b/>
          <w:bCs/>
          <w:noProof/>
          <w:lang w:val="es-ES_tradnl"/>
        </w:rPr>
      </w:pPr>
    </w:p>
    <w:p w14:paraId="77D97F66" w14:textId="77777777" w:rsidR="0063179B" w:rsidRPr="0063179B" w:rsidRDefault="0063179B" w:rsidP="0063179B">
      <w:pPr>
        <w:spacing w:after="0"/>
        <w:jc w:val="both"/>
        <w:rPr>
          <w:rFonts w:ascii="Century Gothic" w:hAnsi="Century Gothic" w:cs="Arial"/>
          <w:noProof/>
          <w:lang w:val="es-ES_tradnl"/>
        </w:rPr>
      </w:pPr>
      <w:r w:rsidRPr="0063179B">
        <w:rPr>
          <w:rFonts w:ascii="Century Gothic" w:hAnsi="Century Gothic" w:cs="Arial"/>
          <w:noProof/>
          <w:lang w:val="es-ES_tradnl"/>
        </w:rPr>
        <w:t>La constitución Política de 1991 incorporó un modelo de liberación para prestar servicios públicos domiciliarios, con arreglo al cual estos pueden ofrecerse en el mercado, en un esquema de libre competencia, directamente por el Estado, por particulares o por comunidades organizadas</w:t>
      </w:r>
      <w:r w:rsidRPr="0063179B">
        <w:rPr>
          <w:rFonts w:ascii="Arial" w:eastAsia="Calibri" w:hAnsi="Arial" w:cs="Arial"/>
          <w:bCs/>
          <w:vertAlign w:val="superscript"/>
          <w:lang w:val="es-MX"/>
        </w:rPr>
        <w:footnoteReference w:id="6"/>
      </w:r>
      <w:r w:rsidRPr="0063179B">
        <w:rPr>
          <w:rFonts w:ascii="Century Gothic" w:hAnsi="Century Gothic" w:cs="Arial"/>
          <w:noProof/>
          <w:lang w:val="es-ES_tradnl"/>
        </w:rPr>
        <w:t>. En tal sentido, el artículo 365 de la Constitución dispone lo siguiente:</w:t>
      </w:r>
    </w:p>
    <w:p w14:paraId="6DF95327" w14:textId="77777777" w:rsidR="0063179B" w:rsidRPr="0063179B" w:rsidRDefault="0063179B" w:rsidP="0063179B">
      <w:pPr>
        <w:spacing w:after="0" w:line="240" w:lineRule="auto"/>
        <w:ind w:left="709" w:right="709"/>
        <w:contextualSpacing/>
        <w:jc w:val="both"/>
        <w:rPr>
          <w:rFonts w:ascii="Arial" w:eastAsia="Calibri" w:hAnsi="Arial" w:cs="Arial"/>
          <w:bCs/>
          <w:sz w:val="21"/>
          <w:szCs w:val="21"/>
          <w:lang w:val="es-MX"/>
        </w:rPr>
      </w:pPr>
    </w:p>
    <w:p w14:paraId="10F7FCFA"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“Los servicios públicos son inherentes a la finalidad social del Estado. Es deber del Estado asegurar su prestación eficiente a todos los habitantes del territorio nacional.</w:t>
      </w:r>
    </w:p>
    <w:p w14:paraId="14B0B566"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p>
    <w:p w14:paraId="5A2BD4D5" w14:textId="77777777" w:rsidR="0063179B" w:rsidRPr="0063179B" w:rsidRDefault="0063179B" w:rsidP="0063179B">
      <w:pPr>
        <w:spacing w:after="0" w:line="240" w:lineRule="auto"/>
        <w:ind w:left="709" w:right="709"/>
        <w:contextualSpacing/>
        <w:jc w:val="both"/>
        <w:rPr>
          <w:rFonts w:ascii="Century Gothic" w:eastAsia="Calibri" w:hAnsi="Century Gothic" w:cs="Arial"/>
          <w:bCs/>
          <w:lang w:val="es-MX"/>
        </w:rPr>
      </w:pPr>
      <w:r w:rsidRPr="0063179B">
        <w:rPr>
          <w:rFonts w:ascii="Century Gothic" w:eastAsia="Calibri" w:hAnsi="Century Gothic" w:cs="Arial"/>
          <w:bCs/>
          <w:sz w:val="21"/>
          <w:szCs w:val="21"/>
          <w:lang w:val="es-MX"/>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5E90D3DB" w14:textId="77777777" w:rsidR="0063179B" w:rsidRPr="0063179B" w:rsidRDefault="0063179B" w:rsidP="0063179B">
      <w:pPr>
        <w:tabs>
          <w:tab w:val="left" w:pos="0"/>
        </w:tabs>
        <w:spacing w:after="0" w:line="276" w:lineRule="auto"/>
        <w:jc w:val="both"/>
        <w:rPr>
          <w:rFonts w:ascii="Century Gothic" w:hAnsi="Century Gothic" w:cs="Arial"/>
          <w:noProof/>
          <w:lang w:val="es-ES_tradnl"/>
        </w:rPr>
      </w:pPr>
    </w:p>
    <w:p w14:paraId="751C68A6" w14:textId="77777777" w:rsidR="0063179B" w:rsidRPr="0063179B" w:rsidRDefault="0063179B" w:rsidP="0063179B">
      <w:pPr>
        <w:tabs>
          <w:tab w:val="left" w:pos="0"/>
        </w:tabs>
        <w:spacing w:after="0" w:line="276" w:lineRule="auto"/>
        <w:jc w:val="both"/>
        <w:rPr>
          <w:rFonts w:ascii="Century Gothic" w:hAnsi="Century Gothic" w:cs="Arial"/>
          <w:noProof/>
          <w:lang w:val="es-ES_tradnl"/>
        </w:rPr>
      </w:pPr>
      <w:r w:rsidRPr="0063179B">
        <w:rPr>
          <w:rFonts w:ascii="Century Gothic" w:hAnsi="Century Gothic" w:cs="Arial"/>
          <w:noProof/>
          <w:lang w:val="es-ES_tradnl"/>
        </w:rPr>
        <w:tab/>
        <w:t>Con base en este presupuesto constitucional de liberación de los servicios públicos domiciliarios, el legislador expidió l</w:t>
      </w:r>
      <w:r w:rsidRPr="0063179B">
        <w:rPr>
          <w:rFonts w:ascii="Century Gothic" w:eastAsia="Calibri" w:hAnsi="Century Gothic" w:cs="Arial"/>
          <w:bCs/>
          <w:lang w:val="es-MX"/>
        </w:rPr>
        <w:t xml:space="preserve">a Ley 142 de 1994, mediante la cual se establece el régimen de los servicios públicos domiciliarios. El artículo 15 </w:t>
      </w:r>
      <w:r w:rsidRPr="0063179B">
        <w:rPr>
          <w:rFonts w:ascii="Century Gothic" w:eastAsia="Calibri" w:hAnsi="Century Gothic" w:cs="Arial"/>
          <w:bCs/>
          <w:i/>
          <w:iCs/>
          <w:lang w:val="es-MX"/>
        </w:rPr>
        <w:t>Ibidem</w:t>
      </w:r>
      <w:r w:rsidRPr="0063179B">
        <w:rPr>
          <w:rFonts w:ascii="Century Gothic" w:eastAsia="Calibri" w:hAnsi="Century Gothic" w:cs="Arial"/>
          <w:bCs/>
          <w:lang w:val="es-MX"/>
        </w:rPr>
        <w:t xml:space="preserve"> enuncia las personas autorizadas para prestar los servicios públicos domiciliarios: i) las empresas de servicios públicos, </w:t>
      </w:r>
      <w:proofErr w:type="spellStart"/>
      <w:r w:rsidRPr="0063179B">
        <w:rPr>
          <w:rFonts w:ascii="Century Gothic" w:eastAsia="Calibri" w:hAnsi="Century Gothic" w:cs="Arial"/>
          <w:bCs/>
          <w:lang w:val="es-MX"/>
        </w:rPr>
        <w:t>ii</w:t>
      </w:r>
      <w:proofErr w:type="spellEnd"/>
      <w:r w:rsidRPr="0063179B">
        <w:rPr>
          <w:rFonts w:ascii="Century Gothic" w:eastAsia="Calibri" w:hAnsi="Century Gothic" w:cs="Arial"/>
          <w:bCs/>
          <w:lang w:val="es-MX"/>
        </w:rPr>
        <w:t xml:space="preserve">) los productores marginales, </w:t>
      </w:r>
      <w:proofErr w:type="spellStart"/>
      <w:r w:rsidRPr="0063179B">
        <w:rPr>
          <w:rFonts w:ascii="Century Gothic" w:eastAsia="Calibri" w:hAnsi="Century Gothic" w:cs="Arial"/>
          <w:bCs/>
          <w:lang w:val="es-MX"/>
        </w:rPr>
        <w:t>iii</w:t>
      </w:r>
      <w:proofErr w:type="spellEnd"/>
      <w:r w:rsidRPr="0063179B">
        <w:rPr>
          <w:rFonts w:ascii="Century Gothic" w:eastAsia="Calibri" w:hAnsi="Century Gothic" w:cs="Arial"/>
          <w:bCs/>
          <w:lang w:val="es-MX"/>
        </w:rPr>
        <w:t xml:space="preserve">) los municipios, en ciertos casos, </w:t>
      </w:r>
      <w:proofErr w:type="spellStart"/>
      <w:r w:rsidRPr="0063179B">
        <w:rPr>
          <w:rFonts w:ascii="Century Gothic" w:eastAsia="Calibri" w:hAnsi="Century Gothic" w:cs="Arial"/>
          <w:bCs/>
          <w:lang w:val="es-MX"/>
        </w:rPr>
        <w:t>iv</w:t>
      </w:r>
      <w:proofErr w:type="spellEnd"/>
      <w:r w:rsidRPr="0063179B">
        <w:rPr>
          <w:rFonts w:ascii="Century Gothic" w:eastAsia="Calibri" w:hAnsi="Century Gothic" w:cs="Arial"/>
          <w:bCs/>
          <w:lang w:val="es-MX"/>
        </w:rPr>
        <w:t>) las organizaciones autorizadas y v) las entidades descentralizadas que se encontraran prestándolos y cumplan los requisitos establecidos en la ley</w:t>
      </w:r>
      <w:r w:rsidRPr="0063179B">
        <w:rPr>
          <w:rFonts w:ascii="Century Gothic" w:eastAsia="Calibri" w:hAnsi="Century Gothic" w:cs="Arial"/>
          <w:bCs/>
          <w:vertAlign w:val="superscript"/>
          <w:lang w:val="es-MX"/>
        </w:rPr>
        <w:footnoteReference w:id="7"/>
      </w:r>
      <w:r w:rsidRPr="0063179B">
        <w:rPr>
          <w:rFonts w:ascii="Century Gothic" w:eastAsia="Calibri" w:hAnsi="Century Gothic" w:cs="Arial"/>
          <w:bCs/>
          <w:lang w:val="es-MX"/>
        </w:rPr>
        <w:t>.</w:t>
      </w:r>
    </w:p>
    <w:p w14:paraId="5DE79E51" w14:textId="77777777" w:rsidR="0063179B" w:rsidRPr="0063179B" w:rsidRDefault="0063179B" w:rsidP="0063179B">
      <w:pPr>
        <w:spacing w:before="120" w:after="120" w:line="276" w:lineRule="auto"/>
        <w:ind w:firstLine="709"/>
        <w:jc w:val="both"/>
        <w:rPr>
          <w:rFonts w:ascii="Century Gothic" w:eastAsia="Calibri" w:hAnsi="Century Gothic" w:cs="Arial"/>
          <w:bCs/>
          <w:lang w:val="es-MX"/>
        </w:rPr>
      </w:pPr>
      <w:r w:rsidRPr="0063179B">
        <w:rPr>
          <w:rFonts w:ascii="Century Gothic" w:eastAsia="Calibri" w:hAnsi="Century Gothic" w:cs="Arial"/>
          <w:bCs/>
          <w:lang w:val="es-MX"/>
        </w:rPr>
        <w:t xml:space="preserve">Ahora bien, </w:t>
      </w:r>
      <w:bookmarkStart w:id="6" w:name="_Hlk120622020"/>
      <w:r w:rsidRPr="0063179B">
        <w:rPr>
          <w:rFonts w:ascii="Century Gothic" w:eastAsia="Calibri" w:hAnsi="Century Gothic" w:cs="Arial"/>
          <w:bCs/>
          <w:lang w:val="es-MX"/>
        </w:rPr>
        <w:t xml:space="preserve">en lo que atañe específicamente al régimen de contratación, el artículo 31 de la le Ley 142 de 1994, modificado por el artículo 3 de la Ley 689 de 2001, dispone que los contratos que celebren las entidades estatales que prestan los servicios públicos domiciliarios “no estarán sujetos a las disposiciones del Estatuto General de Contratación de la Administración Pública, salvo en lo que la presente </w:t>
      </w:r>
      <w:r w:rsidRPr="0063179B">
        <w:rPr>
          <w:rFonts w:ascii="Century Gothic" w:eastAsia="Calibri" w:hAnsi="Century Gothic" w:cs="Arial"/>
          <w:bCs/>
          <w:lang w:val="es-MX"/>
        </w:rPr>
        <w:lastRenderedPageBreak/>
        <w:t>ley disponga otra cosa”. Por su parte, el artículo 32 de la Ley 142 de 1994, consagra el régimen de derecho privado para las empresas de servicios públicos domiciliarios, indicando que sus actos se rigen por los principios y reglas aplicables a los particulares</w:t>
      </w:r>
      <w:r w:rsidRPr="0063179B">
        <w:rPr>
          <w:rFonts w:ascii="Century Gothic" w:eastAsia="Calibri" w:hAnsi="Century Gothic" w:cs="Arial"/>
          <w:bCs/>
          <w:vertAlign w:val="superscript"/>
          <w:lang w:val="es-MX"/>
        </w:rPr>
        <w:footnoteReference w:id="8"/>
      </w:r>
      <w:r w:rsidRPr="0063179B">
        <w:rPr>
          <w:rFonts w:ascii="Century Gothic" w:eastAsia="Calibri" w:hAnsi="Century Gothic" w:cs="Arial"/>
          <w:bCs/>
          <w:lang w:val="es-MX"/>
        </w:rPr>
        <w:t>.</w:t>
      </w:r>
      <w:bookmarkEnd w:id="6"/>
    </w:p>
    <w:p w14:paraId="19B16690" w14:textId="77777777" w:rsidR="0063179B" w:rsidRPr="0063179B" w:rsidRDefault="0063179B" w:rsidP="0063179B">
      <w:pPr>
        <w:spacing w:after="120" w:line="276" w:lineRule="auto"/>
        <w:ind w:firstLine="709"/>
        <w:jc w:val="both"/>
        <w:rPr>
          <w:rFonts w:ascii="Century Gothic" w:eastAsia="Calibri" w:hAnsi="Century Gothic" w:cs="Arial"/>
          <w:bCs/>
          <w:lang w:val="es-MX"/>
        </w:rPr>
      </w:pPr>
      <w:r w:rsidRPr="0063179B">
        <w:rPr>
          <w:rFonts w:ascii="Century Gothic" w:eastAsia="Calibri" w:hAnsi="Century Gothic" w:cs="Arial"/>
          <w:bCs/>
          <w:lang w:val="es-MX"/>
        </w:rPr>
        <w:t xml:space="preserve">En consecuencia, </w:t>
      </w:r>
      <w:bookmarkStart w:id="7" w:name="_Hlk120622006"/>
      <w:r w:rsidRPr="0063179B">
        <w:rPr>
          <w:rFonts w:ascii="Century Gothic" w:eastAsia="Calibri" w:hAnsi="Century Gothic" w:cs="Arial"/>
          <w:bCs/>
          <w:lang w:val="es-MX"/>
        </w:rPr>
        <w:t>de la lectura sistemática de las normas referidas puede concluirse que el régimen jurídico que, por regla general, debe aplicarse a la contratación que efectúan las empresas prestadoras de servicios públicos domiciliarios es el derecho privado y sólo, excepcionalmente, el contenido en el Estatuto General de Contratación de la Administración Pública –en adelante EGCAP–</w:t>
      </w:r>
      <w:r w:rsidRPr="0063179B">
        <w:rPr>
          <w:rFonts w:ascii="Century Gothic" w:eastAsia="Calibri" w:hAnsi="Century Gothic" w:cs="Arial"/>
          <w:bCs/>
          <w:vertAlign w:val="superscript"/>
          <w:lang w:val="es-MX"/>
        </w:rPr>
        <w:footnoteReference w:id="9"/>
      </w:r>
      <w:r w:rsidRPr="0063179B">
        <w:rPr>
          <w:rFonts w:ascii="Century Gothic" w:eastAsia="Calibri" w:hAnsi="Century Gothic" w:cs="Arial"/>
          <w:bCs/>
          <w:lang w:val="es-MX"/>
        </w:rPr>
        <w:t>. En otras palabras, dichas empresas se sujetan, en su actividad contractual, a las disposiciones del derecho privado, salvo en aquellos casos en los que la Constitución, la Ley 142 de 1994 u otras leyes especiales, sometan tal conducta al EGCAP, es decir, a la Ley 80 de 1993, Ley 1150 de 2007 y demás normas complementarias.</w:t>
      </w:r>
    </w:p>
    <w:bookmarkEnd w:id="7"/>
    <w:p w14:paraId="45B873AF" w14:textId="77777777" w:rsidR="0063179B" w:rsidRPr="0063179B" w:rsidRDefault="0063179B" w:rsidP="0063179B">
      <w:pPr>
        <w:tabs>
          <w:tab w:val="left" w:pos="0"/>
        </w:tabs>
        <w:spacing w:before="120" w:after="0" w:line="276" w:lineRule="auto"/>
        <w:jc w:val="both"/>
        <w:rPr>
          <w:rFonts w:ascii="Century Gothic" w:hAnsi="Century Gothic" w:cs="Arial"/>
          <w:noProof/>
          <w:lang w:val="es-ES_tradnl"/>
        </w:rPr>
      </w:pPr>
      <w:r w:rsidRPr="0063179B">
        <w:rPr>
          <w:rFonts w:ascii="Century Gothic" w:hAnsi="Century Gothic" w:cs="Arial"/>
          <w:noProof/>
          <w:lang w:val="es-ES_tradnl"/>
        </w:rPr>
        <w:tab/>
        <w:t>Lo anterior no significa que la actividad contractual de las empresas prestadoras de servicios públicos domiciliarios se rija por un “derecho privado puro”, pues este se encuentra irrigado, entre otras coas, por los principios de la función administrativa y de la gestión fiscal previstos en los artículos 209 y 267 de la Constitución, toda vez que así lo dispone el artículo 13 de la Ley 1150 de 2007</w:t>
      </w:r>
      <w:r w:rsidRPr="0063179B">
        <w:rPr>
          <w:rFonts w:ascii="Arial" w:eastAsia="Calibri" w:hAnsi="Arial" w:cs="Arial"/>
          <w:bCs/>
          <w:vertAlign w:val="superscript"/>
          <w:lang w:val="es-MX"/>
        </w:rPr>
        <w:footnoteReference w:id="10"/>
      </w:r>
      <w:r w:rsidRPr="0063179B">
        <w:rPr>
          <w:rFonts w:ascii="Arial" w:eastAsia="Calibri" w:hAnsi="Arial" w:cs="Arial"/>
          <w:bCs/>
          <w:lang w:val="es-MX"/>
        </w:rPr>
        <w:t>.</w:t>
      </w:r>
    </w:p>
    <w:p w14:paraId="503AE474" w14:textId="77777777" w:rsidR="0063179B" w:rsidRPr="0063179B" w:rsidRDefault="0063179B" w:rsidP="0063179B">
      <w:pPr>
        <w:tabs>
          <w:tab w:val="left" w:pos="0"/>
        </w:tabs>
        <w:spacing w:before="120" w:after="0" w:line="276" w:lineRule="auto"/>
        <w:jc w:val="both"/>
        <w:rPr>
          <w:rFonts w:ascii="Century Gothic" w:hAnsi="Century Gothic" w:cs="Arial"/>
          <w:noProof/>
          <w:lang w:val="es-ES_tradnl"/>
        </w:rPr>
      </w:pPr>
      <w:r w:rsidRPr="0063179B">
        <w:rPr>
          <w:rFonts w:ascii="Century Gothic" w:hAnsi="Century Gothic" w:cs="Arial"/>
          <w:noProof/>
          <w:lang w:val="es-ES_tradnl"/>
        </w:rPr>
        <w:tab/>
        <w:t>Ahora bien, pese a que el artículo 31 de la Ley 142 de 1994, modificado por el artículo 3 de la Ley 689 de 2001, dispuso que los contratos celebrados por las entidades prestadoras de servicios públicos no se regirían por las disposiciones contenidas en el EGCAP, dicha norma estableció como excepción a esta regla general, las situaciones en las que estas entidades deberán aplicarlo, así:</w:t>
      </w:r>
    </w:p>
    <w:p w14:paraId="7E5B14D9" w14:textId="77777777" w:rsidR="0063179B" w:rsidRPr="0063179B" w:rsidRDefault="0063179B" w:rsidP="0063179B">
      <w:pPr>
        <w:spacing w:after="0" w:line="240" w:lineRule="auto"/>
        <w:ind w:left="709" w:right="709"/>
        <w:contextualSpacing/>
        <w:jc w:val="both"/>
        <w:rPr>
          <w:rFonts w:ascii="Arial" w:eastAsia="Calibri" w:hAnsi="Arial" w:cs="Arial"/>
          <w:bCs/>
          <w:sz w:val="21"/>
          <w:szCs w:val="21"/>
          <w:lang w:val="es-MX"/>
        </w:rPr>
      </w:pPr>
    </w:p>
    <w:p w14:paraId="073BB974"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 xml:space="preserve">“Artículo 31. Régimen de la Contratación. </w:t>
      </w:r>
    </w:p>
    <w:p w14:paraId="19464AEB"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w:t>
      </w:r>
    </w:p>
    <w:p w14:paraId="38B4E08E"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lastRenderedPageBreak/>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w:t>
      </w:r>
      <w:r w:rsidRPr="0063179B">
        <w:rPr>
          <w:rFonts w:ascii="Century Gothic" w:eastAsia="Calibri" w:hAnsi="Century Gothic" w:cs="Arial"/>
          <w:b/>
          <w:i/>
          <w:iCs/>
          <w:sz w:val="21"/>
          <w:szCs w:val="21"/>
          <w:lang w:val="es-MX"/>
        </w:rPr>
        <w:t>Cuando la inclusión sea forzosa, todo lo relativo a tales cláusulas se regirá, en cuanto sea pertinente, por lo dispuesto en la Ley 80 de 1993,</w:t>
      </w:r>
      <w:r w:rsidRPr="0063179B">
        <w:rPr>
          <w:rFonts w:ascii="Century Gothic" w:eastAsia="Calibri" w:hAnsi="Century Gothic" w:cs="Arial"/>
          <w:bCs/>
          <w:sz w:val="21"/>
          <w:szCs w:val="21"/>
          <w:lang w:val="es-MX"/>
        </w:rPr>
        <w:t xml:space="preserve">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0E17707F" w14:textId="77777777" w:rsidR="0063179B" w:rsidRPr="0063179B" w:rsidRDefault="0063179B" w:rsidP="0063179B">
      <w:pPr>
        <w:spacing w:after="0" w:line="240" w:lineRule="auto"/>
        <w:ind w:left="709" w:right="709"/>
        <w:contextualSpacing/>
        <w:jc w:val="both"/>
        <w:rPr>
          <w:rFonts w:ascii="Century Gothic" w:eastAsia="Calibri" w:hAnsi="Century Gothic" w:cs="Arial"/>
          <w:bCs/>
          <w:sz w:val="21"/>
          <w:szCs w:val="21"/>
          <w:lang w:val="es-MX"/>
        </w:rPr>
      </w:pPr>
      <w:r w:rsidRPr="0063179B">
        <w:rPr>
          <w:rFonts w:ascii="Century Gothic" w:eastAsia="Calibri" w:hAnsi="Century Gothic" w:cs="Arial"/>
          <w:bCs/>
          <w:sz w:val="21"/>
          <w:szCs w:val="21"/>
          <w:lang w:val="es-MX"/>
        </w:rPr>
        <w:t>[…]”. [Énfasis fuera de texto]</w:t>
      </w:r>
    </w:p>
    <w:p w14:paraId="34436180" w14:textId="77777777" w:rsidR="0063179B" w:rsidRPr="0063179B" w:rsidRDefault="0063179B" w:rsidP="0063179B">
      <w:pPr>
        <w:tabs>
          <w:tab w:val="left" w:pos="0"/>
        </w:tabs>
        <w:spacing w:after="0" w:line="240" w:lineRule="auto"/>
        <w:ind w:firstLine="709"/>
        <w:jc w:val="both"/>
        <w:rPr>
          <w:rFonts w:ascii="Century Gothic" w:hAnsi="Century Gothic" w:cs="Arial"/>
          <w:noProof/>
          <w:lang w:val="es-ES_tradnl"/>
        </w:rPr>
      </w:pPr>
    </w:p>
    <w:p w14:paraId="1800292B" w14:textId="77777777" w:rsidR="0063179B" w:rsidRPr="0063179B" w:rsidRDefault="0063179B" w:rsidP="0063179B">
      <w:pPr>
        <w:tabs>
          <w:tab w:val="left" w:pos="0"/>
        </w:tabs>
        <w:spacing w:after="0" w:line="276" w:lineRule="auto"/>
        <w:ind w:firstLine="709"/>
        <w:jc w:val="both"/>
        <w:rPr>
          <w:rFonts w:ascii="Century Gothic" w:hAnsi="Century Gothic" w:cs="Arial"/>
          <w:noProof/>
          <w:lang w:val="es-ES_tradnl"/>
        </w:rPr>
      </w:pPr>
      <w:r w:rsidRPr="0063179B">
        <w:rPr>
          <w:rFonts w:ascii="Century Gothic" w:hAnsi="Century Gothic" w:cs="Arial"/>
          <w:noProof/>
          <w:lang w:val="es-ES_tradnl"/>
        </w:rPr>
        <w:t>De lo anterior, puede colegirse que a pesar de que las empresas prestadoras de servicios públicos domiciliarios en lo concerniente a sus actividades contractuales, por regla general, se rigen por lo dispuesto en las normas de derecho privado, en casos en los que se establezcan cláusulas excepcionales en sus contratos, bien sea por mandato de las Comisiones de Regulación o por solicitud de dichas empresas, deberán someterse a lo dispuesto en el EGCAP –Ley 80 de 1993– la ley 1150 de 2007 y demás normas complementarias, así como en las situaciones en las que la Ley 142 de 1992 u otras leyes especiales lo dispongan.</w:t>
      </w:r>
    </w:p>
    <w:p w14:paraId="59381CE7" w14:textId="77777777" w:rsidR="0063179B" w:rsidRPr="0063179B" w:rsidRDefault="0063179B" w:rsidP="0063179B">
      <w:pPr>
        <w:tabs>
          <w:tab w:val="left" w:pos="0"/>
        </w:tabs>
        <w:spacing w:before="120" w:after="0" w:line="276" w:lineRule="auto"/>
        <w:ind w:firstLine="709"/>
        <w:jc w:val="both"/>
        <w:rPr>
          <w:rFonts w:ascii="Century Gothic" w:hAnsi="Century Gothic" w:cs="Arial"/>
          <w:noProof/>
          <w:lang w:val="es-ES_tradnl"/>
        </w:rPr>
      </w:pPr>
      <w:r w:rsidRPr="0063179B">
        <w:rPr>
          <w:rFonts w:ascii="Century Gothic" w:hAnsi="Century Gothic" w:cs="Arial"/>
          <w:noProof/>
          <w:lang w:val="es-ES_tradnl"/>
        </w:rPr>
        <w:t>Ahora bien, teniendo en cuenta lo consultado, resulta importante aclarar que las entidades estatales que por disposición legal cuentan con un régimen especial</w:t>
      </w:r>
      <w:r w:rsidRPr="0063179B">
        <w:rPr>
          <w:rFonts w:ascii="Century Gothic" w:hAnsi="Century Gothic" w:cs="Arial"/>
          <w:noProof/>
          <w:vertAlign w:val="superscript"/>
          <w:lang w:val="es-ES_tradnl"/>
        </w:rPr>
        <w:footnoteReference w:id="11"/>
      </w:r>
      <w:r w:rsidRPr="0063179B">
        <w:rPr>
          <w:rFonts w:ascii="Century Gothic" w:hAnsi="Century Gothic" w:cs="Arial"/>
          <w:noProof/>
          <w:lang w:val="es-ES_tradnl"/>
        </w:rPr>
        <w:t xml:space="preserve"> exceptuado del EGCAP, de conformidad con el principio de autonomía de la voluntad, pueden expedir un reglamento interno de contratación –comúnmente denominado </w:t>
      </w:r>
      <w:r w:rsidRPr="0063179B">
        <w:rPr>
          <w:rFonts w:ascii="Century Gothic" w:hAnsi="Century Gothic" w:cs="Arial"/>
          <w:i/>
          <w:iCs/>
          <w:noProof/>
          <w:lang w:val="es-ES_tradnl"/>
        </w:rPr>
        <w:t>manual de contratación</w:t>
      </w:r>
      <w:r w:rsidRPr="0063179B">
        <w:rPr>
          <w:rFonts w:ascii="Century Gothic" w:hAnsi="Century Gothic" w:cs="Arial"/>
          <w:noProof/>
          <w:lang w:val="es-ES_tradnl"/>
        </w:rPr>
        <w:t>–, que regule aspectos asociados a su actividad contractual, como los procedimientos de selección, los requisitos de participación, las condiciones de ejecución del contrato, etc. Por ende, corresponderá a las entidades estatales de régimen especial, incluidas las empresas de servicios públicos domiciliarios, dilucidar según las disposiciones que les sean aplicables,</w:t>
      </w:r>
      <w:r w:rsidRPr="0063179B">
        <w:rPr>
          <w:rFonts w:ascii="Century Gothic" w:eastAsia="Calibri" w:hAnsi="Century Gothic" w:cs="Arial"/>
          <w:color w:val="000000" w:themeColor="text1"/>
          <w:lang w:val="es-MX"/>
        </w:rPr>
        <w:t xml:space="preserve"> la forma en la que determinarán en los manuales de contratación, sus respectivas cuantías.</w:t>
      </w:r>
    </w:p>
    <w:p w14:paraId="58B9B24B" w14:textId="77777777" w:rsidR="0063179B" w:rsidRPr="0063179B" w:rsidRDefault="0063179B" w:rsidP="0063179B">
      <w:pPr>
        <w:tabs>
          <w:tab w:val="left" w:pos="0"/>
        </w:tabs>
        <w:spacing w:before="120" w:after="0" w:line="276" w:lineRule="auto"/>
        <w:ind w:firstLine="709"/>
        <w:jc w:val="both"/>
        <w:rPr>
          <w:rFonts w:ascii="Century Gothic" w:hAnsi="Century Gothic" w:cs="Arial"/>
          <w:noProof/>
          <w:lang w:val="es-ES_tradnl"/>
        </w:rPr>
      </w:pPr>
      <w:r w:rsidRPr="0063179B">
        <w:rPr>
          <w:rFonts w:ascii="Century Gothic" w:hAnsi="Century Gothic" w:cs="Arial"/>
          <w:noProof/>
          <w:lang w:val="es-ES_tradnl"/>
        </w:rPr>
        <w:lastRenderedPageBreak/>
        <w:t>De conformidad con lo antes expuesto, se procede a analizar la obligación de las empresas prestadoras de servicios públicos domiciliarios de publicar todo lo relacionado con su actividad contractual en el SECOP II.</w:t>
      </w:r>
    </w:p>
    <w:p w14:paraId="66F9C20F" w14:textId="77777777" w:rsidR="0063179B" w:rsidRPr="0063179B" w:rsidRDefault="0063179B" w:rsidP="0063179B">
      <w:pPr>
        <w:tabs>
          <w:tab w:val="left" w:pos="0"/>
        </w:tabs>
        <w:spacing w:after="0" w:line="240" w:lineRule="auto"/>
        <w:jc w:val="both"/>
        <w:rPr>
          <w:rFonts w:ascii="Century Gothic" w:hAnsi="Century Gothic" w:cs="Arial"/>
          <w:noProof/>
          <w:lang w:val="es-ES_tradnl"/>
        </w:rPr>
      </w:pPr>
    </w:p>
    <w:p w14:paraId="169698FC" w14:textId="77777777" w:rsidR="0063179B" w:rsidRPr="0063179B" w:rsidRDefault="0063179B" w:rsidP="0063179B">
      <w:pPr>
        <w:tabs>
          <w:tab w:val="left" w:pos="0"/>
        </w:tabs>
        <w:spacing w:after="0" w:line="240" w:lineRule="auto"/>
        <w:jc w:val="both"/>
        <w:rPr>
          <w:rFonts w:ascii="Century Gothic" w:hAnsi="Century Gothic" w:cs="Arial"/>
          <w:b/>
          <w:bCs/>
          <w:noProof/>
          <w:lang w:val="es-ES_tradnl"/>
        </w:rPr>
      </w:pPr>
      <w:r w:rsidRPr="0063179B">
        <w:rPr>
          <w:rFonts w:ascii="Century Gothic" w:hAnsi="Century Gothic" w:cs="Arial"/>
          <w:b/>
          <w:bCs/>
          <w:noProof/>
          <w:lang w:val="es-ES_tradnl"/>
        </w:rPr>
        <w:t>2.3. Deber las entidades estatales exceptuadas del Estatuto General de Contratación de la Administración Pública, de publicar los documentos relacionados con su actividad contractual en el SECOP II. Modificación introducida por el artículo 53 de la Ley 2195 de 2022. Reiteración de línea</w:t>
      </w:r>
    </w:p>
    <w:p w14:paraId="2A77C5BA" w14:textId="77777777" w:rsidR="0063179B" w:rsidRPr="0063179B" w:rsidRDefault="0063179B" w:rsidP="0063179B">
      <w:pPr>
        <w:tabs>
          <w:tab w:val="left" w:pos="0"/>
        </w:tabs>
        <w:spacing w:after="0" w:line="276" w:lineRule="auto"/>
        <w:jc w:val="both"/>
        <w:rPr>
          <w:rFonts w:ascii="Century Gothic" w:hAnsi="Century Gothic" w:cs="Arial"/>
          <w:noProof/>
          <w:lang w:val="es-ES_tradnl"/>
        </w:rPr>
      </w:pPr>
    </w:p>
    <w:p w14:paraId="4FE943AA" w14:textId="77777777" w:rsidR="0063179B" w:rsidRPr="0063179B" w:rsidRDefault="0063179B" w:rsidP="0063179B">
      <w:pPr>
        <w:spacing w:after="0" w:line="276" w:lineRule="auto"/>
        <w:contextualSpacing/>
        <w:jc w:val="both"/>
        <w:rPr>
          <w:rFonts w:ascii="Century Gothic" w:eastAsia="Calibri" w:hAnsi="Century Gothic" w:cstheme="majorHAnsi"/>
          <w:bCs/>
          <w:lang w:val="es-MX"/>
        </w:rPr>
      </w:pPr>
      <w:r w:rsidRPr="0063179B">
        <w:rPr>
          <w:rFonts w:ascii="Century Gothic" w:eastAsia="Calibri" w:hAnsi="Century Gothic" w:cstheme="majorHAnsi"/>
          <w:bCs/>
          <w:lang w:val="es-MX"/>
        </w:rPr>
        <w:t xml:space="preserve">Uno de los postulados más importantes de un Estado Social y Democrático de Derecho es el </w:t>
      </w:r>
      <w:r w:rsidRPr="0063179B">
        <w:rPr>
          <w:rFonts w:ascii="Century Gothic" w:eastAsia="Calibri" w:hAnsi="Century Gothic" w:cstheme="majorHAnsi"/>
          <w:bCs/>
          <w:i/>
          <w:iCs/>
          <w:lang w:val="es-MX"/>
        </w:rPr>
        <w:t>principio de publicidad</w:t>
      </w:r>
      <w:r w:rsidRPr="0063179B">
        <w:rPr>
          <w:rFonts w:ascii="Century Gothic" w:eastAsia="Calibri" w:hAnsi="Century Gothic" w:cstheme="majorHAnsi"/>
          <w:bCs/>
          <w:lang w:val="es-MX"/>
        </w:rPr>
        <w:t>,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42D5BB75" w14:textId="77777777" w:rsidR="0063179B" w:rsidRPr="0063179B" w:rsidRDefault="0063179B" w:rsidP="0063179B">
      <w:pPr>
        <w:spacing w:after="0" w:line="276" w:lineRule="auto"/>
        <w:ind w:firstLine="709"/>
        <w:contextualSpacing/>
        <w:jc w:val="both"/>
        <w:rPr>
          <w:rFonts w:ascii="Century Gothic" w:eastAsia="Calibri" w:hAnsi="Century Gothic" w:cstheme="majorHAnsi"/>
          <w:bCs/>
          <w:lang w:val="es-MX"/>
        </w:rPr>
      </w:pPr>
    </w:p>
    <w:p w14:paraId="1C854428" w14:textId="77777777" w:rsidR="0063179B" w:rsidRPr="0063179B" w:rsidRDefault="0063179B" w:rsidP="0063179B">
      <w:pPr>
        <w:tabs>
          <w:tab w:val="left" w:pos="3885"/>
        </w:tabs>
        <w:spacing w:after="0" w:line="240" w:lineRule="auto"/>
        <w:ind w:left="709" w:right="709"/>
        <w:contextualSpacing/>
        <w:jc w:val="both"/>
        <w:rPr>
          <w:rFonts w:ascii="Century Gothic" w:eastAsia="Calibri" w:hAnsi="Century Gothic" w:cstheme="majorHAnsi"/>
          <w:bCs/>
          <w:sz w:val="21"/>
          <w:szCs w:val="21"/>
          <w:lang w:val="es-MX"/>
        </w:rPr>
      </w:pPr>
      <m:oMath>
        <m:r>
          <m:rPr>
            <m:sty m:val="p"/>
          </m:rPr>
          <w:rPr>
            <w:rFonts w:ascii="Cambria Math" w:eastAsia="Calibri" w:hAnsi="Cambria Math" w:cstheme="majorHAnsi"/>
            <w:sz w:val="21"/>
            <w:szCs w:val="21"/>
            <w:lang w:val="es-MX"/>
          </w:rPr>
          <m:t>“</m:t>
        </m:r>
      </m:oMath>
      <w:r w:rsidRPr="0063179B">
        <w:rPr>
          <w:rFonts w:ascii="Century Gothic" w:eastAsia="Calibri" w:hAnsi="Century Gothic" w:cstheme="majorHAnsi"/>
          <w:bCs/>
          <w:sz w:val="21"/>
          <w:szCs w:val="21"/>
          <w:lang w:val="es-MX"/>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3F948567" w14:textId="77777777" w:rsidR="0063179B" w:rsidRPr="0063179B" w:rsidRDefault="0063179B" w:rsidP="0063179B">
      <w:pPr>
        <w:tabs>
          <w:tab w:val="left" w:pos="3885"/>
        </w:tabs>
        <w:spacing w:after="0" w:line="240" w:lineRule="auto"/>
        <w:ind w:left="709" w:right="709"/>
        <w:contextualSpacing/>
        <w:jc w:val="both"/>
        <w:rPr>
          <w:rFonts w:ascii="Century Gothic" w:eastAsia="Calibri" w:hAnsi="Century Gothic" w:cstheme="majorHAnsi"/>
          <w:bCs/>
          <w:sz w:val="21"/>
          <w:szCs w:val="21"/>
          <w:lang w:val="es-MX"/>
        </w:rPr>
      </w:pPr>
    </w:p>
    <w:p w14:paraId="3FCE9636" w14:textId="77777777" w:rsidR="0063179B" w:rsidRPr="0063179B" w:rsidRDefault="0063179B" w:rsidP="0063179B">
      <w:pPr>
        <w:tabs>
          <w:tab w:val="left" w:pos="3885"/>
          <w:tab w:val="left" w:pos="8222"/>
        </w:tabs>
        <w:spacing w:after="0" w:line="240" w:lineRule="auto"/>
        <w:ind w:left="709" w:right="709"/>
        <w:contextualSpacing/>
        <w:jc w:val="both"/>
        <w:rPr>
          <w:rFonts w:ascii="Century Gothic" w:eastAsia="Calibri" w:hAnsi="Century Gothic" w:cstheme="majorHAnsi"/>
          <w:bCs/>
          <w:sz w:val="21"/>
          <w:szCs w:val="21"/>
          <w:lang w:val="es-MX"/>
        </w:rPr>
      </w:pPr>
      <w:r w:rsidRPr="0063179B">
        <w:rPr>
          <w:rFonts w:ascii="Century Gothic" w:eastAsia="Calibri" w:hAnsi="Century Gothic" w:cstheme="majorHAnsi"/>
          <w:bCs/>
          <w:sz w:val="21"/>
          <w:szCs w:val="21"/>
          <w:lang w:val="es-MX"/>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63179B">
        <w:rPr>
          <w:rFonts w:ascii="Century Gothic" w:eastAsia="Calibri" w:hAnsi="Century Gothic" w:cstheme="majorHAnsi"/>
          <w:bCs/>
          <w:sz w:val="21"/>
          <w:szCs w:val="21"/>
          <w:lang w:val="es-MX"/>
        </w:rPr>
        <w:t>autoridades públicas</w:t>
      </w:r>
      <w:proofErr w:type="gramEnd"/>
      <w:r w:rsidRPr="0063179B">
        <w:rPr>
          <w:rFonts w:ascii="Century Gothic" w:eastAsia="Calibri" w:hAnsi="Century Gothic" w:cstheme="majorHAnsi"/>
          <w:bCs/>
          <w:sz w:val="21"/>
          <w:szCs w:val="21"/>
          <w:lang w:val="es-MX"/>
        </w:rPr>
        <w:t xml:space="preserve"> y, a través de ese conocimiento, a exigir que ellas se surtan conforme a la ley”.</w:t>
      </w:r>
      <w:r w:rsidRPr="0063179B">
        <w:rPr>
          <w:rFonts w:ascii="Century Gothic" w:eastAsia="Calibri" w:hAnsi="Century Gothic" w:cstheme="majorHAnsi"/>
          <w:bCs/>
          <w:sz w:val="21"/>
          <w:szCs w:val="21"/>
          <w:vertAlign w:val="superscript"/>
          <w:lang w:val="es-MX"/>
        </w:rPr>
        <w:footnoteReference w:id="12"/>
      </w:r>
    </w:p>
    <w:p w14:paraId="73656EA1" w14:textId="77777777" w:rsidR="0063179B" w:rsidRPr="0063179B" w:rsidRDefault="0063179B" w:rsidP="0063179B">
      <w:pPr>
        <w:spacing w:after="0" w:line="276" w:lineRule="auto"/>
        <w:ind w:firstLine="709"/>
        <w:contextualSpacing/>
        <w:jc w:val="both"/>
        <w:rPr>
          <w:rFonts w:ascii="Century Gothic" w:eastAsia="Calibri" w:hAnsi="Century Gothic" w:cstheme="majorHAnsi"/>
          <w:bCs/>
          <w:lang w:val="es-MX"/>
        </w:rPr>
      </w:pPr>
    </w:p>
    <w:p w14:paraId="15520E9A" w14:textId="77777777" w:rsidR="0063179B" w:rsidRPr="0063179B" w:rsidRDefault="0063179B" w:rsidP="0063179B">
      <w:pPr>
        <w:spacing w:after="120" w:line="276" w:lineRule="auto"/>
        <w:ind w:firstLine="709"/>
        <w:jc w:val="both"/>
        <w:rPr>
          <w:rFonts w:ascii="Century Gothic" w:eastAsia="Calibri" w:hAnsi="Century Gothic" w:cstheme="majorHAnsi"/>
          <w:bCs/>
          <w:lang w:val="es-MX"/>
        </w:rPr>
      </w:pPr>
      <w:r w:rsidRPr="0063179B">
        <w:rPr>
          <w:rFonts w:ascii="Century Gothic" w:eastAsia="Calibri" w:hAnsi="Century Gothic" w:cstheme="majorHAnsi"/>
          <w:bCs/>
          <w:lang w:val="es-MX"/>
        </w:rPr>
        <w:t xml:space="preserve">El principio de publicidad impone a las autoridades el deber de dar a conocer sus actos, contratos y decisiones, para que se divulguen y, eventualmente, se controlen dichas actuaciones. Es por eso </w:t>
      </w:r>
      <w:proofErr w:type="gramStart"/>
      <w:r w:rsidRPr="0063179B">
        <w:rPr>
          <w:rFonts w:ascii="Century Gothic" w:eastAsia="Calibri" w:hAnsi="Century Gothic" w:cstheme="majorHAnsi"/>
          <w:bCs/>
          <w:lang w:val="es-MX"/>
        </w:rPr>
        <w:t>que</w:t>
      </w:r>
      <w:proofErr w:type="gramEnd"/>
      <w:r w:rsidRPr="0063179B">
        <w:rPr>
          <w:rFonts w:ascii="Century Gothic" w:eastAsia="Calibri" w:hAnsi="Century Gothic" w:cstheme="majorHAnsi"/>
          <w:bCs/>
          <w:lang w:val="es-MX"/>
        </w:rPr>
        <w:t xml:space="preserve">, en materia de la contratación </w:t>
      </w:r>
      <w:r w:rsidRPr="0063179B">
        <w:rPr>
          <w:rFonts w:ascii="Century Gothic" w:eastAsia="Calibri" w:hAnsi="Century Gothic" w:cstheme="majorHAnsi"/>
          <w:bCs/>
          <w:lang w:val="es-MX"/>
        </w:rPr>
        <w:lastRenderedPageBreak/>
        <w:t>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63179B">
        <w:rPr>
          <w:rFonts w:ascii="Century Gothic" w:eastAsia="Calibri" w:hAnsi="Century Gothic" w:cstheme="majorHAnsi"/>
          <w:bCs/>
          <w:vertAlign w:val="superscript"/>
          <w:lang w:val="es-MX"/>
        </w:rPr>
        <w:footnoteReference w:id="13"/>
      </w:r>
      <w:r w:rsidRPr="0063179B">
        <w:rPr>
          <w:rFonts w:ascii="Century Gothic" w:eastAsia="Calibri" w:hAnsi="Century Gothic" w:cstheme="majorHAnsi"/>
          <w:bCs/>
          <w:lang w:val="es-MX"/>
        </w:rPr>
        <w:t xml:space="preserve">. </w:t>
      </w:r>
    </w:p>
    <w:p w14:paraId="0806E405" w14:textId="77777777" w:rsidR="0063179B" w:rsidRPr="0063179B" w:rsidRDefault="0063179B" w:rsidP="0063179B">
      <w:pPr>
        <w:spacing w:after="120" w:line="276" w:lineRule="auto"/>
        <w:ind w:firstLine="708"/>
        <w:jc w:val="both"/>
        <w:rPr>
          <w:rFonts w:ascii="Century Gothic" w:eastAsia="Calibri" w:hAnsi="Century Gothic" w:cstheme="majorHAnsi"/>
          <w:bCs/>
          <w:lang w:val="es-MX"/>
        </w:rPr>
      </w:pPr>
      <w:r w:rsidRPr="0063179B">
        <w:rPr>
          <w:rFonts w:ascii="Century Gothic" w:eastAsia="Calibri" w:hAnsi="Century Gothic" w:cstheme="majorHAnsi"/>
          <w:bCs/>
          <w:lang w:val="es-MX"/>
        </w:rPr>
        <w:t>De otra parte, la Ley 1712 de 2014, “</w:t>
      </w:r>
      <w:r w:rsidRPr="0063179B">
        <w:rPr>
          <w:rFonts w:ascii="Century Gothic" w:eastAsia="Calibri" w:hAnsi="Century Gothic" w:cstheme="majorHAnsi"/>
        </w:rPr>
        <w:t>P</w:t>
      </w:r>
      <w:r w:rsidRPr="0063179B">
        <w:rPr>
          <w:rFonts w:ascii="Century Gothic" w:eastAsia="Times New Roman" w:hAnsi="Century Gothic" w:cstheme="majorHAnsi"/>
          <w:lang w:eastAsia="es-CO"/>
        </w:rPr>
        <w:t>or medio de la cual se crea la Ley de Transparencia y del Derecho de Acceso a la Información Pública Nacional y se dictan otras disposiciones</w:t>
      </w:r>
      <w:r w:rsidRPr="0063179B">
        <w:rPr>
          <w:rFonts w:ascii="Century Gothic" w:eastAsia="Calibri" w:hAnsi="Century Gothic" w:cstheme="majorHAnsi"/>
          <w:bCs/>
          <w:lang w:val="es-MX"/>
        </w:rPr>
        <w:t xml:space="preserve">”, identifica como principios que orientan el derecho de acceso a la información pública, el principio de máxima publicidad, el principio de transparencia en la información y el principio de buena fe. El principio de </w:t>
      </w:r>
      <w:r w:rsidRPr="0063179B">
        <w:rPr>
          <w:rFonts w:ascii="Century Gothic" w:eastAsia="Calibri" w:hAnsi="Century Gothic" w:cstheme="majorHAnsi"/>
          <w:bCs/>
          <w:i/>
          <w:iCs/>
          <w:lang w:val="es-MX"/>
        </w:rPr>
        <w:t>máxima publicidad</w:t>
      </w:r>
      <w:r w:rsidRPr="0063179B">
        <w:rPr>
          <w:rFonts w:ascii="Century Gothic" w:eastAsia="Calibri" w:hAnsi="Century Gothic" w:cstheme="majorHAnsi"/>
          <w:bCs/>
          <w:lang w:val="es-MX"/>
        </w:rPr>
        <w:t xml:space="preserve"> establece que “toda información en posesión, bajo control o custodia de un sujeto obligado es pública y no podrá ser reservada o limitada sino por disposición constitucional o legal”</w:t>
      </w:r>
      <w:r w:rsidRPr="0063179B">
        <w:rPr>
          <w:rFonts w:ascii="Century Gothic" w:eastAsia="Calibri" w:hAnsi="Century Gothic" w:cstheme="majorHAnsi"/>
          <w:bCs/>
          <w:vertAlign w:val="superscript"/>
          <w:lang w:val="es-MX"/>
        </w:rPr>
        <w:footnoteReference w:id="14"/>
      </w:r>
      <w:r w:rsidRPr="0063179B">
        <w:rPr>
          <w:rFonts w:ascii="Century Gothic" w:eastAsia="Calibri" w:hAnsi="Century Gothic" w:cstheme="majorHAnsi"/>
          <w:bCs/>
          <w:lang w:val="es-MX"/>
        </w:rPr>
        <w:t xml:space="preserve">. El </w:t>
      </w:r>
      <w:r w:rsidRPr="0063179B">
        <w:rPr>
          <w:rFonts w:ascii="Century Gothic" w:eastAsia="Calibri" w:hAnsi="Century Gothic" w:cstheme="majorHAnsi"/>
          <w:bCs/>
          <w:i/>
          <w:iCs/>
          <w:lang w:val="es-MX"/>
        </w:rPr>
        <w:t>principio de transparencia</w:t>
      </w:r>
      <w:r w:rsidRPr="0063179B">
        <w:rPr>
          <w:rFonts w:ascii="Century Gothic" w:eastAsia="Calibri" w:hAnsi="Century Gothic" w:cstheme="majorHAnsi"/>
          <w:bCs/>
          <w:lang w:val="es-MX"/>
        </w:rPr>
        <w:t xml:space="preserve"> en la información alude al deber de los sujetos de proporcionar y facilitar el acceso a la misma en los términos más amplios posibles, a través de los medios y procedimientos legales</w:t>
      </w:r>
      <w:r w:rsidRPr="0063179B">
        <w:rPr>
          <w:rFonts w:ascii="Century Gothic" w:eastAsia="Times New Roman" w:hAnsi="Century Gothic" w:cstheme="majorHAnsi"/>
          <w:vertAlign w:val="superscript"/>
          <w:lang w:eastAsia="es-CO"/>
        </w:rPr>
        <w:footnoteReference w:id="15"/>
      </w:r>
      <w:r w:rsidRPr="0063179B">
        <w:rPr>
          <w:rFonts w:ascii="Century Gothic" w:eastAsia="Calibri" w:hAnsi="Century Gothic" w:cstheme="majorHAnsi"/>
          <w:bCs/>
          <w:lang w:val="es-MX"/>
        </w:rPr>
        <w:t xml:space="preserve">. Y el </w:t>
      </w:r>
      <w:r w:rsidRPr="0063179B">
        <w:rPr>
          <w:rFonts w:ascii="Century Gothic" w:eastAsia="Calibri" w:hAnsi="Century Gothic" w:cstheme="majorHAnsi"/>
          <w:bCs/>
          <w:i/>
          <w:iCs/>
          <w:lang w:val="es-MX"/>
        </w:rPr>
        <w:t>principio de buena fe</w:t>
      </w:r>
      <w:r w:rsidRPr="0063179B">
        <w:rPr>
          <w:rFonts w:ascii="Century Gothic" w:eastAsia="Calibri" w:hAnsi="Century Gothic" w:cstheme="majorHAnsi"/>
          <w:bCs/>
          <w:lang w:val="es-MX"/>
        </w:rPr>
        <w:t xml:space="preserve"> hace referencia al deber de todo sujeto obligado de cumplir con las obligaciones derivadas del derecho de acceso a la información pública con motivación honesta, leal y desprovista de cualquier intención dolosa o culposa</w:t>
      </w:r>
      <w:r w:rsidRPr="0063179B">
        <w:rPr>
          <w:rFonts w:ascii="Century Gothic" w:eastAsia="Calibri" w:hAnsi="Century Gothic" w:cstheme="majorHAnsi"/>
          <w:bCs/>
          <w:vertAlign w:val="superscript"/>
          <w:lang w:val="es-MX"/>
        </w:rPr>
        <w:footnoteReference w:id="16"/>
      </w:r>
      <w:r w:rsidRPr="0063179B">
        <w:rPr>
          <w:rFonts w:ascii="Century Gothic" w:eastAsia="Calibri" w:hAnsi="Century Gothic" w:cstheme="majorHAnsi"/>
          <w:bCs/>
          <w:lang w:val="es-MX"/>
        </w:rPr>
        <w:t xml:space="preserve">. </w:t>
      </w:r>
    </w:p>
    <w:p w14:paraId="0B663E87" w14:textId="77777777" w:rsidR="0063179B" w:rsidRPr="0063179B" w:rsidRDefault="0063179B" w:rsidP="0063179B">
      <w:pPr>
        <w:spacing w:after="120" w:line="276" w:lineRule="auto"/>
        <w:ind w:firstLine="709"/>
        <w:jc w:val="both"/>
        <w:rPr>
          <w:rFonts w:ascii="Century Gothic" w:eastAsia="Times New Roman" w:hAnsi="Century Gothic" w:cstheme="majorHAnsi"/>
          <w:lang w:eastAsia="es-CO"/>
        </w:rPr>
      </w:pPr>
      <w:r w:rsidRPr="0063179B">
        <w:rPr>
          <w:rFonts w:ascii="Century Gothic" w:eastAsia="Calibri" w:hAnsi="Century Gothic" w:cstheme="majorHAnsi"/>
          <w:bCs/>
          <w:lang w:val="es-MX"/>
        </w:rPr>
        <w:t xml:space="preserve">La citada Ley establece, </w:t>
      </w:r>
      <w:bookmarkStart w:id="9" w:name="_Hlk112225357"/>
      <w:r w:rsidRPr="0063179B">
        <w:rPr>
          <w:rFonts w:ascii="Century Gothic" w:eastAsia="Calibri" w:hAnsi="Century Gothic" w:cstheme="majorHAnsi"/>
          <w:bCs/>
          <w:lang w:val="es-MX"/>
        </w:rPr>
        <w:t xml:space="preserve">en el literal e) del artículo 9, que los </w:t>
      </w:r>
      <w:r w:rsidRPr="0063179B">
        <w:rPr>
          <w:rFonts w:ascii="Century Gothic" w:eastAsia="Calibri" w:hAnsi="Century Gothic" w:cstheme="majorHAnsi"/>
          <w:bCs/>
          <w:i/>
          <w:iCs/>
          <w:lang w:val="es-MX"/>
        </w:rPr>
        <w:t>sujetos obligados</w:t>
      </w:r>
      <w:r w:rsidRPr="0063179B">
        <w:rPr>
          <w:rFonts w:ascii="Century Gothic" w:eastAsia="Calibri" w:hAnsi="Century Gothic" w:cstheme="majorHAnsi"/>
          <w:bCs/>
          <w:lang w:val="es-MX"/>
        </w:rPr>
        <w:t xml:space="preserve"> deben publicar la información relativa a su contratación</w:t>
      </w:r>
      <w:r w:rsidRPr="0063179B">
        <w:rPr>
          <w:rFonts w:ascii="Century Gothic" w:eastAsia="Times New Roman" w:hAnsi="Century Gothic" w:cstheme="majorHAnsi"/>
          <w:vertAlign w:val="superscript"/>
          <w:lang w:eastAsia="es-CO"/>
        </w:rPr>
        <w:footnoteReference w:id="17"/>
      </w:r>
      <w:r w:rsidRPr="0063179B">
        <w:rPr>
          <w:rFonts w:ascii="Century Gothic" w:eastAsia="Calibri" w:hAnsi="Century Gothic" w:cstheme="majorHAnsi"/>
          <w:bCs/>
          <w:lang w:val="es-MX"/>
        </w:rPr>
        <w:t xml:space="preserve">. El artículo 5 </w:t>
      </w:r>
      <w:r w:rsidRPr="0063179B">
        <w:rPr>
          <w:rFonts w:ascii="Century Gothic" w:eastAsia="Calibri" w:hAnsi="Century Gothic" w:cstheme="majorHAnsi"/>
          <w:bCs/>
          <w:lang w:val="es-MX"/>
        </w:rPr>
        <w:lastRenderedPageBreak/>
        <w:t xml:space="preserve">ibidem, al describir qué se entiende por sujetos obligados, consagra una lista cuyo propósito es incluir a cualquier entidad, órgano, organismo, o persona natural que desempeñe funciones públicas o administre recursos públicos. </w:t>
      </w:r>
      <w:r w:rsidRPr="0063179B">
        <w:rPr>
          <w:rFonts w:ascii="Century Gothic" w:eastAsia="Arial MT" w:hAnsi="Century Gothic" w:cstheme="majorHAnsi"/>
          <w:lang w:val="es-ES"/>
        </w:rPr>
        <w:t>Igualmente, establece que son sujetos obligados las empresas públicas, las empresas del Estado y las sociedades en las que el Estado tenga participación, sin que importe su monto</w:t>
      </w:r>
      <w:r w:rsidRPr="0063179B">
        <w:rPr>
          <w:rFonts w:ascii="Century Gothic" w:eastAsia="Times New Roman" w:hAnsi="Century Gothic" w:cstheme="majorHAnsi"/>
          <w:vertAlign w:val="superscript"/>
          <w:lang w:eastAsia="es-CO"/>
        </w:rPr>
        <w:footnoteReference w:id="18"/>
      </w:r>
      <w:r w:rsidRPr="0063179B">
        <w:rPr>
          <w:rFonts w:ascii="Century Gothic" w:eastAsia="Arial MT" w:hAnsi="Century Gothic" w:cstheme="majorHAnsi"/>
          <w:lang w:val="es-ES"/>
        </w:rPr>
        <w:t>.</w:t>
      </w:r>
      <w:r w:rsidRPr="0063179B">
        <w:rPr>
          <w:rFonts w:ascii="Century Gothic" w:eastAsia="Times New Roman" w:hAnsi="Century Gothic" w:cstheme="majorHAnsi"/>
          <w:lang w:eastAsia="es-CO"/>
        </w:rPr>
        <w:t xml:space="preserve"> 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bookmarkEnd w:id="9"/>
    <w:p w14:paraId="6C79890C" w14:textId="77777777" w:rsidR="0063179B" w:rsidRPr="0063179B" w:rsidRDefault="0063179B" w:rsidP="0063179B">
      <w:pPr>
        <w:spacing w:after="120" w:line="276" w:lineRule="auto"/>
        <w:ind w:firstLine="708"/>
        <w:jc w:val="both"/>
        <w:rPr>
          <w:rFonts w:ascii="Century Gothic" w:eastAsia="Calibri" w:hAnsi="Century Gothic" w:cstheme="majorHAnsi"/>
          <w:bCs/>
          <w:lang w:val="es-MX"/>
        </w:rPr>
      </w:pPr>
      <w:r w:rsidRPr="0063179B">
        <w:rPr>
          <w:rFonts w:ascii="Century Gothic" w:eastAsia="Calibri" w:hAnsi="Century Gothic" w:cstheme="majorHAnsi"/>
          <w:bCs/>
          <w:lang w:val="es-MX"/>
        </w:rPr>
        <w:t>Esta obligación fue desarrollada por el artículo 2.1.1.2.1.7. del Decreto Único Reglamentario 1081 de 2015</w:t>
      </w:r>
      <w:r w:rsidRPr="0063179B">
        <w:rPr>
          <w:rFonts w:ascii="Century Gothic" w:eastAsia="Calibri" w:hAnsi="Century Gothic" w:cstheme="majorHAnsi"/>
          <w:bCs/>
          <w:vertAlign w:val="superscript"/>
          <w:lang w:val="es-MX"/>
        </w:rPr>
        <w:footnoteReference w:id="19"/>
      </w:r>
      <w:r w:rsidRPr="0063179B">
        <w:rPr>
          <w:rFonts w:ascii="Century Gothic" w:eastAsia="Calibri" w:hAnsi="Century Gothic" w:cstheme="majorHAnsi"/>
          <w:bCs/>
          <w:lang w:val="es-MX"/>
        </w:rPr>
        <w:t>, el cual dispuso que la publicación de la información contractual de los sujetos obligados, que contratan con cargo a recursos públicos, debe hacerse en el Sistema Electrónico para la Contratación Pública ─</w:t>
      </w:r>
      <w:r w:rsidRPr="0063179B">
        <w:rPr>
          <w:rFonts w:ascii="Century Gothic" w:eastAsia="Calibri" w:hAnsi="Century Gothic" w:cstheme="majorHAnsi"/>
          <w:bCs/>
          <w:lang w:val="es-MX"/>
        </w:rPr>
        <w:softHyphen/>
        <w:t xml:space="preserve"> </w:t>
      </w:r>
      <w:r w:rsidRPr="0063179B">
        <w:rPr>
          <w:rFonts w:ascii="Century Gothic" w:eastAsia="Calibri" w:hAnsi="Century Gothic" w:cstheme="majorHAnsi"/>
          <w:bCs/>
          <w:lang w:val="es-MX"/>
        </w:rPr>
        <w:softHyphen/>
        <w:t>SECOP–.</w:t>
      </w:r>
    </w:p>
    <w:p w14:paraId="0D8B808E" w14:textId="77777777" w:rsidR="0063179B" w:rsidRPr="0063179B" w:rsidRDefault="0063179B" w:rsidP="0063179B">
      <w:pPr>
        <w:spacing w:after="0" w:line="276" w:lineRule="auto"/>
        <w:ind w:firstLine="709"/>
        <w:contextualSpacing/>
        <w:jc w:val="both"/>
        <w:rPr>
          <w:rFonts w:ascii="Century Gothic" w:eastAsia="Calibri" w:hAnsi="Century Gothic" w:cstheme="majorHAnsi"/>
          <w:bCs/>
          <w:lang w:val="es-MX"/>
        </w:rPr>
      </w:pPr>
      <w:r w:rsidRPr="0063179B">
        <w:rPr>
          <w:rFonts w:ascii="Century Gothic" w:eastAsia="Calibri" w:hAnsi="Century Gothic" w:cstheme="majorHAnsi"/>
          <w:bCs/>
          <w:lang w:val="es-MX"/>
        </w:rPr>
        <w:t xml:space="preserve">Las anteriores disposiciones normativas fueron complementadas con la expedición de la </w:t>
      </w:r>
      <w:bookmarkStart w:id="10" w:name="_Hlk109111930"/>
      <w:r w:rsidRPr="0063179B">
        <w:rPr>
          <w:rFonts w:ascii="Century Gothic" w:eastAsia="Calibri" w:hAnsi="Century Gothic" w:cstheme="majorHAnsi"/>
          <w:bCs/>
          <w:lang w:val="es-MX"/>
        </w:rPr>
        <w:t xml:space="preserve">Ley 2195 de 2022, “Por medio de la cual se adoptan medidas en materia de transparencia, prevención y lucha contra la corrupción”. Según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w:t>
      </w:r>
      <w:r w:rsidRPr="0063179B">
        <w:rPr>
          <w:rFonts w:ascii="Century Gothic" w:eastAsia="Calibri" w:hAnsi="Century Gothic" w:cstheme="majorHAnsi"/>
          <w:bCs/>
          <w:lang w:val="es-MX"/>
        </w:rPr>
        <w:lastRenderedPageBreak/>
        <w:t xml:space="preserve">régimen contractual excepcional al del EGCAP de publicar los documentos relacionados con su actividad contractual en el Sistema Electrónico para la Contratación Pública –SECOP II- o la plataforma transaccional que haga sus veces. </w:t>
      </w:r>
      <w:bookmarkEnd w:id="10"/>
      <w:r w:rsidRPr="0063179B">
        <w:rPr>
          <w:rFonts w:ascii="Century Gothic" w:eastAsia="Calibri" w:hAnsi="Century Gothic" w:cstheme="majorHAnsi"/>
          <w:bCs/>
          <w:lang w:val="es-MX"/>
        </w:rPr>
        <w:t>Al respecto, la norma citada, de manera expresa, señala:</w:t>
      </w:r>
    </w:p>
    <w:p w14:paraId="3BCF9058" w14:textId="77777777" w:rsidR="0063179B" w:rsidRPr="0063179B" w:rsidRDefault="0063179B" w:rsidP="0063179B">
      <w:pPr>
        <w:spacing w:after="0" w:line="276" w:lineRule="auto"/>
        <w:ind w:firstLine="301"/>
        <w:contextualSpacing/>
        <w:rPr>
          <w:rFonts w:ascii="Century Gothic" w:eastAsia="Calibri" w:hAnsi="Century Gothic" w:cstheme="majorHAnsi"/>
          <w:bCs/>
          <w:lang w:val="es-MX"/>
        </w:rPr>
      </w:pPr>
    </w:p>
    <w:p w14:paraId="24E141C2" w14:textId="77777777" w:rsidR="0063179B" w:rsidRPr="0063179B" w:rsidRDefault="0063179B" w:rsidP="0063179B">
      <w:pPr>
        <w:spacing w:after="0" w:line="240" w:lineRule="auto"/>
        <w:ind w:left="709" w:right="709"/>
        <w:contextualSpacing/>
        <w:jc w:val="both"/>
        <w:rPr>
          <w:rFonts w:ascii="Century Gothic" w:eastAsia="Calibri" w:hAnsi="Century Gothic" w:cstheme="majorHAnsi"/>
          <w:bCs/>
          <w:sz w:val="21"/>
          <w:szCs w:val="21"/>
          <w:lang w:val="es-MX"/>
        </w:rPr>
      </w:pPr>
      <w:r w:rsidRPr="0063179B">
        <w:rPr>
          <w:rFonts w:ascii="Century Gothic" w:eastAsia="Calibri" w:hAnsi="Century Gothic" w:cstheme="majorHAnsi"/>
          <w:bCs/>
          <w:sz w:val="21"/>
          <w:szCs w:val="21"/>
          <w:lang w:val="es-MX"/>
        </w:rPr>
        <w:t>“Adiciónese los siguientes incisos al artículo 13 de la Ley 1150 de 2007, el cual quedará así:</w:t>
      </w:r>
    </w:p>
    <w:p w14:paraId="70A47562" w14:textId="77777777" w:rsidR="0063179B" w:rsidRPr="0063179B" w:rsidRDefault="0063179B" w:rsidP="0063179B">
      <w:pPr>
        <w:spacing w:after="0" w:line="240" w:lineRule="auto"/>
        <w:ind w:left="709" w:right="709"/>
        <w:contextualSpacing/>
        <w:jc w:val="both"/>
        <w:rPr>
          <w:rFonts w:ascii="Century Gothic" w:eastAsia="Calibri" w:hAnsi="Century Gothic" w:cstheme="majorHAnsi"/>
          <w:bCs/>
          <w:sz w:val="21"/>
          <w:szCs w:val="21"/>
          <w:lang w:val="es-MX"/>
        </w:rPr>
      </w:pPr>
    </w:p>
    <w:p w14:paraId="70381C7F" w14:textId="77777777" w:rsidR="0063179B" w:rsidRPr="0063179B" w:rsidRDefault="0063179B" w:rsidP="0063179B">
      <w:pPr>
        <w:spacing w:after="0" w:line="240" w:lineRule="auto"/>
        <w:ind w:left="709" w:right="709"/>
        <w:contextualSpacing/>
        <w:jc w:val="both"/>
        <w:rPr>
          <w:rFonts w:ascii="Century Gothic" w:eastAsia="Calibri" w:hAnsi="Century Gothic" w:cstheme="majorHAnsi"/>
          <w:bCs/>
          <w:sz w:val="21"/>
          <w:szCs w:val="21"/>
          <w:lang w:val="es-MX"/>
        </w:rPr>
      </w:pPr>
      <w:r w:rsidRPr="0063179B">
        <w:rPr>
          <w:rFonts w:ascii="Century Gothic" w:eastAsia="Calibri" w:hAnsi="Century Gothic" w:cstheme="majorHAnsi"/>
          <w:bCs/>
          <w:sz w:val="21"/>
          <w:szCs w:val="21"/>
          <w:lang w:val="es-MX"/>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3AA238E" w14:textId="77777777" w:rsidR="0063179B" w:rsidRPr="0063179B" w:rsidRDefault="0063179B" w:rsidP="0063179B">
      <w:pPr>
        <w:spacing w:after="0" w:line="240" w:lineRule="auto"/>
        <w:ind w:left="709" w:right="709"/>
        <w:contextualSpacing/>
        <w:jc w:val="both"/>
        <w:rPr>
          <w:rFonts w:ascii="Century Gothic" w:eastAsia="Calibri" w:hAnsi="Century Gothic" w:cstheme="majorHAnsi"/>
          <w:bCs/>
          <w:sz w:val="21"/>
          <w:szCs w:val="21"/>
          <w:lang w:val="es-MX"/>
        </w:rPr>
      </w:pPr>
    </w:p>
    <w:p w14:paraId="2122DC53" w14:textId="77777777" w:rsidR="0063179B" w:rsidRPr="0063179B" w:rsidRDefault="0063179B" w:rsidP="0063179B">
      <w:pPr>
        <w:spacing w:after="0" w:line="240" w:lineRule="auto"/>
        <w:ind w:left="709" w:right="709"/>
        <w:contextualSpacing/>
        <w:jc w:val="both"/>
        <w:rPr>
          <w:rFonts w:ascii="Century Gothic" w:eastAsia="Calibri" w:hAnsi="Century Gothic" w:cstheme="majorHAnsi"/>
          <w:bCs/>
          <w:i/>
          <w:iCs/>
          <w:sz w:val="21"/>
          <w:szCs w:val="21"/>
          <w:lang w:val="es-MX"/>
        </w:rPr>
      </w:pPr>
      <w:r w:rsidRPr="0063179B">
        <w:rPr>
          <w:rFonts w:ascii="Century Gothic" w:eastAsia="Calibri" w:hAnsi="Century Gothic" w:cstheme="majorHAnsi"/>
          <w:bCs/>
          <w:i/>
          <w:iCs/>
          <w:sz w:val="21"/>
          <w:szCs w:val="21"/>
          <w:lang w:val="es-MX"/>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63179B">
        <w:rPr>
          <w:rFonts w:ascii="Century Gothic" w:eastAsia="Calibri" w:hAnsi="Century Gothic" w:cstheme="majorHAnsi"/>
          <w:bCs/>
          <w:i/>
          <w:iCs/>
          <w:sz w:val="21"/>
          <w:szCs w:val="21"/>
          <w:lang w:val="es-MX"/>
        </w:rPr>
        <w:t>postcontractual</w:t>
      </w:r>
      <w:proofErr w:type="spellEnd"/>
      <w:r w:rsidRPr="0063179B">
        <w:rPr>
          <w:rFonts w:ascii="Century Gothic" w:eastAsia="Calibri" w:hAnsi="Century Gothic" w:cstheme="majorHAnsi"/>
          <w:bCs/>
          <w:i/>
          <w:iCs/>
          <w:sz w:val="21"/>
          <w:szCs w:val="21"/>
          <w:lang w:val="es-MX"/>
        </w:rPr>
        <w:t>.</w:t>
      </w:r>
    </w:p>
    <w:p w14:paraId="516B188B" w14:textId="77777777" w:rsidR="0063179B" w:rsidRPr="0063179B" w:rsidRDefault="0063179B" w:rsidP="0063179B">
      <w:pPr>
        <w:spacing w:after="0" w:line="240" w:lineRule="auto"/>
        <w:ind w:left="709" w:right="709"/>
        <w:contextualSpacing/>
        <w:jc w:val="both"/>
        <w:rPr>
          <w:rFonts w:ascii="Century Gothic" w:eastAsia="Calibri" w:hAnsi="Century Gothic" w:cstheme="majorHAnsi"/>
          <w:bCs/>
          <w:sz w:val="21"/>
          <w:szCs w:val="21"/>
          <w:lang w:val="es-MX"/>
        </w:rPr>
      </w:pPr>
    </w:p>
    <w:p w14:paraId="149975C6" w14:textId="77777777" w:rsidR="0063179B" w:rsidRPr="0063179B" w:rsidRDefault="0063179B" w:rsidP="0063179B">
      <w:pPr>
        <w:spacing w:after="0" w:line="240" w:lineRule="auto"/>
        <w:ind w:left="709" w:right="709"/>
        <w:contextualSpacing/>
        <w:jc w:val="both"/>
        <w:rPr>
          <w:rFonts w:ascii="Century Gothic" w:eastAsia="Calibri" w:hAnsi="Century Gothic" w:cstheme="majorHAnsi"/>
          <w:bCs/>
          <w:sz w:val="21"/>
          <w:szCs w:val="21"/>
          <w:lang w:val="es-MX"/>
        </w:rPr>
      </w:pPr>
      <w:r w:rsidRPr="0063179B">
        <w:rPr>
          <w:rFonts w:ascii="Century Gothic" w:eastAsia="Calibri" w:hAnsi="Century Gothic" w:cstheme="majorHAnsi"/>
          <w:bCs/>
          <w:sz w:val="21"/>
          <w:szCs w:val="21"/>
          <w:lang w:val="es-MX"/>
        </w:rPr>
        <w:t>A partir de la entrada en vigencia de la presente Ley, se establecerá un periodo de transición de seis (6) meses, para que las entidades den cumplimiento efectivo a lo aquí establecido”. [Énfasis fuera de texto].</w:t>
      </w:r>
    </w:p>
    <w:p w14:paraId="5E47E845" w14:textId="77777777" w:rsidR="0063179B" w:rsidRPr="0063179B" w:rsidRDefault="0063179B" w:rsidP="0063179B">
      <w:pPr>
        <w:spacing w:after="0" w:line="276" w:lineRule="auto"/>
        <w:ind w:firstLine="709"/>
        <w:contextualSpacing/>
        <w:jc w:val="both"/>
        <w:rPr>
          <w:rFonts w:ascii="Century Gothic" w:eastAsia="Calibri" w:hAnsi="Century Gothic" w:cstheme="majorHAnsi"/>
          <w:bCs/>
          <w:lang w:val="es-MX"/>
        </w:rPr>
      </w:pPr>
    </w:p>
    <w:p w14:paraId="07A699E1" w14:textId="77777777" w:rsidR="0063179B" w:rsidRPr="0063179B" w:rsidRDefault="0063179B" w:rsidP="0063179B">
      <w:pPr>
        <w:spacing w:after="120" w:line="276" w:lineRule="auto"/>
        <w:ind w:firstLine="709"/>
        <w:jc w:val="both"/>
        <w:rPr>
          <w:rFonts w:ascii="Century Gothic" w:eastAsia="Calibri" w:hAnsi="Century Gothic" w:cstheme="majorHAnsi"/>
          <w:lang w:val="es-ES_tradnl"/>
        </w:rPr>
      </w:pPr>
      <w:r w:rsidRPr="0063179B">
        <w:rPr>
          <w:rFonts w:ascii="Century Gothic" w:eastAsia="Calibri" w:hAnsi="Century Gothic" w:cstheme="majorHAnsi"/>
          <w:lang w:val="es-ES_tradnl"/>
        </w:rPr>
        <w:t xml:space="preserve">Como puede observarse, aunque la publicación en el SECOP de los documentos relacionados con la actividad contractual ya era obligatoria para las entidades que cuentan con un régimen especial, el artículo 53 de la Ley 2195 de 2022 –que modifica el artículo 13 de la Ley 1150 de 2007– establece con mayor precisión esta obligación y la complementa con la exigencia de emplear el SECOP II. En otras palabras, a través del artículo 53 de la Ley 2195 de 2022, el Congreso de la República dispone que las entidades estatales exceptuadas del EGCAP deben publicar en el SECOP II –es decir en la plataforma transaccional vigente– su actividad contractual. </w:t>
      </w:r>
    </w:p>
    <w:p w14:paraId="1D69F50D" w14:textId="77777777" w:rsidR="0063179B" w:rsidRPr="0063179B" w:rsidRDefault="0063179B" w:rsidP="0063179B">
      <w:pPr>
        <w:spacing w:after="120" w:line="276" w:lineRule="auto"/>
        <w:ind w:firstLine="709"/>
        <w:jc w:val="both"/>
        <w:rPr>
          <w:rFonts w:ascii="Century Gothic" w:eastAsia="Calibri" w:hAnsi="Century Gothic" w:cstheme="majorHAnsi"/>
          <w:bCs/>
          <w:lang w:val="es-MX"/>
        </w:rPr>
      </w:pPr>
      <w:r w:rsidRPr="0063179B">
        <w:rPr>
          <w:rFonts w:ascii="Century Gothic" w:eastAsia="Calibri" w:hAnsi="Century Gothic" w:cstheme="majorHAnsi"/>
          <w:bCs/>
          <w:lang w:val="es-MX"/>
        </w:rPr>
        <w:lastRenderedPageBreak/>
        <w:t>Ahora bien, cabe destacar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en el futuro dicha plataforma sea remplazada por otra que tenga una denominación distinta, las entidades que tienen un régimen exceptuado deben continuar publicando la documentación de su actividad contractual en la nueva plataforma transaccional que para el efecto se cree. En ese sentido, la locución “la plataforma que haga sus veces” no puede interpretarse como una autorización para que las entidades obligadas en virtud del artículo 53 de la Ley 2195 de 2022 empleen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04EAC2ED" w14:textId="77777777" w:rsidR="0063179B" w:rsidRPr="0063179B" w:rsidRDefault="0063179B" w:rsidP="0063179B">
      <w:pPr>
        <w:spacing w:after="120" w:line="276" w:lineRule="auto"/>
        <w:ind w:firstLine="709"/>
        <w:jc w:val="both"/>
        <w:rPr>
          <w:rFonts w:ascii="Century Gothic" w:eastAsia="Calibri" w:hAnsi="Century Gothic" w:cstheme="majorHAnsi"/>
          <w:bCs/>
          <w:lang w:val="es-MX"/>
        </w:rPr>
      </w:pPr>
      <w:bookmarkStart w:id="11" w:name="_Hlk109111956"/>
      <w:r w:rsidRPr="0063179B">
        <w:rPr>
          <w:rFonts w:ascii="Century Gothic" w:eastAsia="Calibri" w:hAnsi="Century Gothic" w:cstheme="majorHAnsi"/>
          <w:bCs/>
          <w:lang w:val="es-MX"/>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63179B">
        <w:rPr>
          <w:rFonts w:ascii="Century Gothic" w:eastAsia="Calibri" w:hAnsi="Century Gothic" w:cstheme="majorHAnsi"/>
          <w:bCs/>
          <w:i/>
          <w:iCs/>
          <w:lang w:val="es-MX"/>
        </w:rPr>
        <w:t>actividad contractual</w:t>
      </w:r>
      <w:r w:rsidRPr="0063179B">
        <w:rPr>
          <w:rFonts w:ascii="Century Gothic" w:eastAsia="Calibri" w:hAnsi="Century Gothic" w:cstheme="majorHAnsi"/>
          <w:bCs/>
          <w:lang w:val="es-MX"/>
        </w:rPr>
        <w:t xml:space="preserve">, la cual define como “[…] los documentos, contratos, actos e información generada por oferentes, contratista, contratante, supervisor o interventor, tanto en la etapa precontractual, como en la contractual y la </w:t>
      </w:r>
      <w:proofErr w:type="spellStart"/>
      <w:r w:rsidRPr="0063179B">
        <w:rPr>
          <w:rFonts w:ascii="Century Gothic" w:eastAsia="Calibri" w:hAnsi="Century Gothic" w:cstheme="majorHAnsi"/>
          <w:bCs/>
          <w:lang w:val="es-MX"/>
        </w:rPr>
        <w:t>postcontractual</w:t>
      </w:r>
      <w:proofErr w:type="spellEnd"/>
      <w:r w:rsidRPr="0063179B">
        <w:rPr>
          <w:rFonts w:ascii="Century Gothic" w:eastAsia="Calibri" w:hAnsi="Century Gothic" w:cstheme="majorHAnsi"/>
          <w:bCs/>
          <w:lang w:val="es-MX"/>
        </w:rPr>
        <w:t xml:space="preserve">”. En ese sentido, el artículo 53 de la Ley 2195 de 2022 establece el deber de publicar toda aquella información relacionada con el respectivo contrato, sin incluir ninguna excepción relacionada con la naturaleza u objeto contractual. Por lo tanto, </w:t>
      </w:r>
      <w:bookmarkEnd w:id="11"/>
      <w:r w:rsidRPr="0063179B">
        <w:rPr>
          <w:rFonts w:ascii="Century Gothic" w:eastAsia="Calibri" w:hAnsi="Century Gothic" w:cstheme="majorHAnsi"/>
          <w:bCs/>
          <w:lang w:val="es-MX"/>
        </w:rPr>
        <w:t xml:space="preserve">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3D44B159" w14:textId="77777777" w:rsidR="0063179B" w:rsidRPr="0063179B" w:rsidRDefault="0063179B" w:rsidP="0063179B">
      <w:pPr>
        <w:spacing w:after="120" w:line="276" w:lineRule="auto"/>
        <w:ind w:firstLine="709"/>
        <w:jc w:val="both"/>
        <w:rPr>
          <w:rFonts w:ascii="Century Gothic" w:eastAsia="Calibri" w:hAnsi="Century Gothic" w:cstheme="majorHAnsi"/>
          <w:bCs/>
          <w:lang w:val="es-MX"/>
        </w:rPr>
      </w:pPr>
      <w:r w:rsidRPr="0063179B">
        <w:rPr>
          <w:rFonts w:ascii="Century Gothic" w:eastAsia="Calibri" w:hAnsi="Century Gothic" w:cstheme="majorHAnsi"/>
          <w:bCs/>
          <w:lang w:val="es-MX"/>
        </w:rPr>
        <w:t>Sin perjuicio de lo anterior, vale la pena aclarar que el cumplimiento del deber de publicación de la documentación contractual debe armonizarse con las normas aplicables al tipo de información que estas contienen</w:t>
      </w:r>
      <w:r w:rsidRPr="0063179B">
        <w:rPr>
          <w:rFonts w:ascii="Century Gothic" w:eastAsia="Calibri" w:hAnsi="Century Gothic" w:cstheme="majorHAnsi"/>
          <w:bCs/>
          <w:vertAlign w:val="superscript"/>
          <w:lang w:val="es-MX"/>
        </w:rPr>
        <w:footnoteReference w:id="20"/>
      </w:r>
      <w:r w:rsidRPr="0063179B">
        <w:rPr>
          <w:rFonts w:ascii="Century Gothic" w:eastAsia="Calibri" w:hAnsi="Century Gothic" w:cstheme="majorHAnsi"/>
          <w:bCs/>
          <w:lang w:val="es-MX"/>
        </w:rPr>
        <w:t xml:space="preserve">. Lo anterior significa </w:t>
      </w:r>
      <w:r w:rsidRPr="0063179B">
        <w:rPr>
          <w:rFonts w:ascii="Century Gothic" w:eastAsia="Calibri" w:hAnsi="Century Gothic" w:cstheme="majorHAnsi"/>
          <w:bCs/>
          <w:lang w:val="es-MX"/>
        </w:rPr>
        <w:lastRenderedPageBreak/>
        <w:t xml:space="preserve">que, respecto de datos sensibles, información sometida a reserva o de la cual proceda un tratamiento especial que impida su publicidad, las entidades deberán proceder de conformidad con el tratamiento que impongan tales normas. </w:t>
      </w:r>
    </w:p>
    <w:p w14:paraId="0F548677" w14:textId="77777777" w:rsidR="0063179B" w:rsidRPr="0063179B" w:rsidRDefault="0063179B" w:rsidP="0063179B">
      <w:pPr>
        <w:spacing w:after="120" w:line="276" w:lineRule="auto"/>
        <w:ind w:firstLine="709"/>
        <w:jc w:val="both"/>
        <w:rPr>
          <w:rFonts w:ascii="Century Gothic" w:eastAsia="Calibri" w:hAnsi="Century Gothic" w:cstheme="majorHAnsi"/>
          <w:bCs/>
          <w:lang w:val="es-MX"/>
        </w:rPr>
      </w:pPr>
      <w:bookmarkStart w:id="12" w:name="_Hlk109111976"/>
      <w:r w:rsidRPr="0063179B">
        <w:rPr>
          <w:rFonts w:ascii="Century Gothic" w:eastAsia="Calibri" w:hAnsi="Century Gothic" w:cstheme="majorHAnsi"/>
          <w:bCs/>
          <w:lang w:val="es-MX"/>
        </w:rPr>
        <w:t>Por otro lado, el inciso final del artículo 53 dispone que “A partir de la entrada en vigencia de la presente Ley, se establecerá un periodo de transición de seis (6) meses, para que las entidades den cumplimiento efectivo a lo aquí establecido”.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de enero y el 18 de julio de 2022.</w:t>
      </w:r>
      <w:bookmarkEnd w:id="12"/>
      <w:r w:rsidRPr="0063179B">
        <w:rPr>
          <w:rFonts w:ascii="Century Gothic" w:eastAsia="Calibri" w:hAnsi="Century Gothic" w:cstheme="majorHAnsi"/>
          <w:bCs/>
          <w:lang w:val="es-MX"/>
        </w:rPr>
        <w:t xml:space="preserve"> 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r w:rsidRPr="0063179B">
        <w:rPr>
          <w:rFonts w:ascii="Century Gothic" w:eastAsia="Calibri" w:hAnsi="Century Gothic" w:cstheme="majorHAnsi"/>
          <w:bCs/>
          <w:vertAlign w:val="superscript"/>
          <w:lang w:val="es-MX"/>
        </w:rPr>
        <w:footnoteReference w:id="21"/>
      </w:r>
      <w:r w:rsidRPr="0063179B">
        <w:rPr>
          <w:rFonts w:ascii="Century Gothic" w:eastAsia="Calibri" w:hAnsi="Century Gothic" w:cstheme="majorHAnsi"/>
          <w:bCs/>
          <w:lang w:val="es-MX"/>
        </w:rPr>
        <w:t xml:space="preserve">. </w:t>
      </w:r>
    </w:p>
    <w:p w14:paraId="38B7429F" w14:textId="77777777" w:rsidR="0063179B" w:rsidRPr="0063179B" w:rsidRDefault="0063179B" w:rsidP="0063179B">
      <w:pPr>
        <w:spacing w:after="120" w:line="276" w:lineRule="auto"/>
        <w:ind w:firstLine="709"/>
        <w:jc w:val="both"/>
        <w:rPr>
          <w:rFonts w:ascii="Century Gothic" w:eastAsia="Calibri" w:hAnsi="Century Gothic" w:cstheme="majorHAnsi"/>
          <w:bCs/>
          <w:lang w:val="es-MX"/>
        </w:rPr>
      </w:pPr>
      <w:r w:rsidRPr="0063179B">
        <w:rPr>
          <w:rFonts w:ascii="Century Gothic" w:eastAsia="Calibri" w:hAnsi="Century Gothic" w:cstheme="majorHAnsi"/>
          <w:bCs/>
          <w:lang w:val="es-MX"/>
        </w:rPr>
        <w:t>Teniendo en cuenta el marco normativo antes reseñado, 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63179B">
        <w:rPr>
          <w:rFonts w:ascii="Century Gothic" w:eastAsia="Calibri" w:hAnsi="Century Gothic" w:cstheme="majorHAnsi"/>
          <w:bCs/>
          <w:vertAlign w:val="superscript"/>
          <w:lang w:val="es-MX"/>
        </w:rPr>
        <w:footnoteReference w:id="22"/>
      </w:r>
      <w:r w:rsidRPr="0063179B">
        <w:rPr>
          <w:rFonts w:ascii="Century Gothic" w:eastAsia="Calibri" w:hAnsi="Century Gothic" w:cstheme="majorHAnsi"/>
          <w:bCs/>
          <w:lang w:val="es-MX"/>
        </w:rPr>
        <w:t xml:space="preserve">. </w:t>
      </w:r>
    </w:p>
    <w:p w14:paraId="69839ADC" w14:textId="77777777" w:rsidR="0063179B" w:rsidRPr="0063179B" w:rsidRDefault="0063179B" w:rsidP="0063179B">
      <w:pPr>
        <w:tabs>
          <w:tab w:val="left" w:pos="0"/>
        </w:tabs>
        <w:spacing w:after="0" w:line="276" w:lineRule="auto"/>
        <w:jc w:val="both"/>
        <w:rPr>
          <w:rFonts w:ascii="Century Gothic" w:hAnsi="Century Gothic" w:cs="Arial"/>
          <w:noProof/>
          <w:lang w:val="es-ES_tradnl"/>
        </w:rPr>
      </w:pPr>
      <w:r w:rsidRPr="0063179B">
        <w:rPr>
          <w:rFonts w:ascii="Century Gothic" w:hAnsi="Century Gothic" w:cs="Arial"/>
          <w:noProof/>
          <w:lang w:val="es-ES_tradnl"/>
        </w:rPr>
        <w:tab/>
        <w:t xml:space="preserve">De lo expuesto en los considerandos de este concepto, se concluye que las empresas de servicios públicos domiciliarios, independientemente de que el régimen contractual que por regla general les aplica sea el derecho privado, </w:t>
      </w:r>
      <w:r w:rsidRPr="0063179B">
        <w:rPr>
          <w:rFonts w:ascii="Century Gothic" w:hAnsi="Century Gothic" w:cs="Arial"/>
          <w:noProof/>
          <w:lang w:val="es-ES_tradnl"/>
        </w:rPr>
        <w:lastRenderedPageBreak/>
        <w:t>deben publicar su actividad contractual en el SECOP II o la plataforma transaccional que haga sus veces, de acuerod con lo establecido en el artículo 53 de la Ley 2195 de 2022. La disposición citada no consagra ninguna excepción respecto a su aplicación, por lo cual todas las entidades que no se encuentren sometidas al EGCAP deberán cumplor con el deber de publicación analizado en el presente concepto, sin que sea posible modular sus efectos</w:t>
      </w:r>
    </w:p>
    <w:p w14:paraId="78D8E699" w14:textId="77777777" w:rsidR="0063179B" w:rsidRPr="0063179B" w:rsidRDefault="0063179B" w:rsidP="0063179B">
      <w:pPr>
        <w:spacing w:before="120" w:after="0" w:line="276" w:lineRule="auto"/>
        <w:ind w:firstLine="709"/>
        <w:jc w:val="both"/>
        <w:rPr>
          <w:rFonts w:ascii="Century Gothic" w:eastAsia="Calibri" w:hAnsi="Century Gothic" w:cs="Arial"/>
          <w:bCs/>
          <w:lang w:val="es-MX"/>
        </w:rPr>
      </w:pPr>
      <w:r w:rsidRPr="0063179B">
        <w:rPr>
          <w:rFonts w:ascii="Century Gothic" w:eastAsia="Calibri" w:hAnsi="Century Gothic" w:cs="Arial"/>
          <w:bCs/>
          <w:lang w:val="es-MX"/>
        </w:rPr>
        <w:t xml:space="preserve">La anterior conclusión se refuerza si se tiene en cuenta que, de conformidad con el literal e) del artículo 9 y el literal g) del artículo 11 de la Ley 1712 de 2014, desarrollados en el artículo 7 del Decreto 103 de 2015 –compilado en el artículo 2.1.1.2.1.7. del Decreto 1081 de 2015–a los cuales se ha hecho mención en el presente concepto, las entidades estatales –incluidas las que se rigen generalmente por el derecho privado en materia contractual–, al ser </w:t>
      </w:r>
      <w:r w:rsidRPr="0063179B">
        <w:rPr>
          <w:rFonts w:ascii="Century Gothic" w:eastAsia="Calibri" w:hAnsi="Century Gothic" w:cs="Arial"/>
          <w:bCs/>
          <w:i/>
          <w:iCs/>
          <w:lang w:val="es-MX"/>
        </w:rPr>
        <w:t>sujetos obligados</w:t>
      </w:r>
      <w:r w:rsidRPr="0063179B">
        <w:rPr>
          <w:rFonts w:ascii="Century Gothic" w:eastAsia="Calibri" w:hAnsi="Century Gothic" w:cs="Arial"/>
          <w:bCs/>
          <w:lang w:val="es-MX"/>
        </w:rPr>
        <w:t xml:space="preserve"> a garantizar el derecho de acceso a la información y a los documentos públicos, deben publicar en el SECOP los documentos relacionados con su gestión contractual.</w:t>
      </w:r>
    </w:p>
    <w:p w14:paraId="34138560" w14:textId="77777777" w:rsidR="0063179B" w:rsidRPr="0063179B" w:rsidRDefault="0063179B" w:rsidP="0063179B">
      <w:pPr>
        <w:spacing w:after="0" w:line="276" w:lineRule="auto"/>
        <w:jc w:val="both"/>
        <w:rPr>
          <w:rFonts w:ascii="Century Gothic" w:eastAsia="Calibri" w:hAnsi="Century Gothic" w:cs="Arial"/>
          <w:bCs/>
          <w:lang w:val="es-MX"/>
        </w:rPr>
      </w:pPr>
    </w:p>
    <w:p w14:paraId="6BF08F36" w14:textId="77777777" w:rsidR="0063179B" w:rsidRPr="0063179B" w:rsidRDefault="0063179B" w:rsidP="0063179B">
      <w:pPr>
        <w:spacing w:after="0" w:line="276" w:lineRule="auto"/>
        <w:jc w:val="both"/>
        <w:rPr>
          <w:rFonts w:ascii="Century Gothic" w:eastAsia="Calibri" w:hAnsi="Century Gothic" w:cs="Arial"/>
          <w:b/>
          <w:lang w:val="es-MX"/>
        </w:rPr>
      </w:pPr>
      <w:r w:rsidRPr="0063179B">
        <w:rPr>
          <w:rFonts w:ascii="Century Gothic" w:eastAsia="Calibri" w:hAnsi="Century Gothic" w:cs="Arial"/>
          <w:b/>
          <w:lang w:val="es-MX"/>
        </w:rPr>
        <w:t>2.3.1. Alcance del deber de las entidades con regímenes especiales de publicar en el SECOP II la información concerniente a su actividad contractual</w:t>
      </w:r>
    </w:p>
    <w:p w14:paraId="06B2F492" w14:textId="77777777" w:rsidR="0063179B" w:rsidRPr="0063179B" w:rsidRDefault="0063179B" w:rsidP="0063179B">
      <w:pPr>
        <w:spacing w:after="0" w:line="276" w:lineRule="auto"/>
        <w:jc w:val="both"/>
        <w:rPr>
          <w:rFonts w:ascii="Century Gothic" w:eastAsia="Calibri" w:hAnsi="Century Gothic" w:cs="Arial"/>
          <w:b/>
          <w:lang w:val="es-MX"/>
        </w:rPr>
      </w:pPr>
    </w:p>
    <w:p w14:paraId="1A5D3286" w14:textId="77777777" w:rsidR="0063179B" w:rsidRPr="0063179B" w:rsidRDefault="0063179B" w:rsidP="0063179B">
      <w:pPr>
        <w:spacing w:after="0" w:line="276" w:lineRule="auto"/>
        <w:jc w:val="both"/>
        <w:rPr>
          <w:rFonts w:ascii="Century Gothic" w:eastAsia="Calibri" w:hAnsi="Century Gothic" w:cs="Arial"/>
          <w:bCs/>
          <w:lang w:val="es-MX"/>
        </w:rPr>
      </w:pPr>
      <w:r w:rsidRPr="0063179B">
        <w:rPr>
          <w:rFonts w:ascii="Century Gothic" w:eastAsia="Calibri" w:hAnsi="Century Gothic" w:cs="Arial"/>
          <w:bCs/>
          <w:lang w:val="es-MX"/>
        </w:rPr>
        <w:t>Una vez explicada la obligación que les asiste a las entidades con regímenes exceptuados del EGCAP de publicar su actividad contractual en el SECOP II, y teniendo en cuenta la consulta planteada, debe analizarse el alcance de esta obligación para determinar si esta aplica a toda la actividad contractual de este tipo de entidades.</w:t>
      </w:r>
    </w:p>
    <w:p w14:paraId="0467FBFA" w14:textId="77777777" w:rsidR="0063179B" w:rsidRPr="0063179B" w:rsidRDefault="0063179B" w:rsidP="0063179B">
      <w:pPr>
        <w:tabs>
          <w:tab w:val="left" w:pos="0"/>
        </w:tabs>
        <w:spacing w:before="120" w:after="0" w:line="276" w:lineRule="auto"/>
        <w:jc w:val="both"/>
        <w:rPr>
          <w:rFonts w:ascii="Century Gothic" w:eastAsia="Calibri" w:hAnsi="Century Gothic" w:cs="Arial"/>
          <w:i/>
          <w:iCs/>
          <w:lang w:val="es-ES_tradnl" w:eastAsia="es-ES_tradnl"/>
        </w:rPr>
      </w:pPr>
      <w:r w:rsidRPr="0063179B">
        <w:rPr>
          <w:rFonts w:ascii="Century Gothic" w:eastAsia="Calibri" w:hAnsi="Century Gothic" w:cs="Arial"/>
          <w:lang w:val="es-ES_tradnl" w:eastAsia="es-ES_tradnl"/>
        </w:rPr>
        <w:tab/>
        <w:t xml:space="preserve">El artículo 53 de la Ley 2195 de 2022 dispone que las entidades con regímenes especiales “deberán publicar los documentos relacionados con su actividad contractual en el Sistema Electrónico para la Contratación Pública –SECOP II– o la plataforma transaccional que </w:t>
      </w:r>
      <w:proofErr w:type="spellStart"/>
      <w:r w:rsidRPr="0063179B">
        <w:rPr>
          <w:rFonts w:ascii="Century Gothic" w:eastAsia="Calibri" w:hAnsi="Century Gothic" w:cs="Arial"/>
          <w:lang w:val="es-ES_tradnl" w:eastAsia="es-ES_tradnl"/>
        </w:rPr>
        <w:t>hafa</w:t>
      </w:r>
      <w:proofErr w:type="spellEnd"/>
      <w:r w:rsidRPr="0063179B">
        <w:rPr>
          <w:rFonts w:ascii="Century Gothic" w:eastAsia="Calibri" w:hAnsi="Century Gothic" w:cs="Arial"/>
          <w:lang w:val="es-ES_tradnl" w:eastAsia="es-ES_tradnl"/>
        </w:rPr>
        <w:t xml:space="preserve"> sus veces”. Como puede observarse, la disposición objeto de estudio no señala de forma expresa si el deber de las entidades exceptuadas de publicar todos los documentos relacionados con su aplica para todos los contratos que se celebren o si, por el contrario, esta obligación sólo se impone respecto de aquellos contratos cuya fuente de financiación proviene de </w:t>
      </w:r>
      <w:r w:rsidRPr="0063179B">
        <w:rPr>
          <w:rFonts w:ascii="Century Gothic" w:eastAsia="Calibri" w:hAnsi="Century Gothic" w:cs="Arial"/>
          <w:i/>
          <w:iCs/>
          <w:lang w:val="es-ES_tradnl" w:eastAsia="es-ES_tradnl"/>
        </w:rPr>
        <w:t>recursos públicos.</w:t>
      </w:r>
    </w:p>
    <w:p w14:paraId="243A4943" w14:textId="1D0CB125" w:rsidR="0063179B" w:rsidRPr="0063179B" w:rsidRDefault="0063179B" w:rsidP="0063179B">
      <w:pPr>
        <w:tabs>
          <w:tab w:val="left" w:pos="0"/>
        </w:tabs>
        <w:spacing w:before="120" w:after="0" w:line="276" w:lineRule="auto"/>
        <w:jc w:val="both"/>
        <w:rPr>
          <w:rFonts w:ascii="Century Gothic" w:eastAsia="Calibri" w:hAnsi="Century Gothic" w:cs="Arial"/>
          <w:lang w:val="es-ES_tradnl" w:eastAsia="es-ES_tradnl"/>
        </w:rPr>
      </w:pPr>
      <w:r w:rsidRPr="0063179B">
        <w:rPr>
          <w:rFonts w:ascii="Century Gothic" w:eastAsia="Calibri" w:hAnsi="Century Gothic" w:cs="Arial"/>
          <w:lang w:val="es-ES_tradnl" w:eastAsia="es-ES_tradnl"/>
        </w:rPr>
        <w:tab/>
        <w:t>De la lectura del artículo antes citado se pueden extraes al menos dos (2) posturas contrapuestas relacionadas con la interpretación que se realice de la norma. En prime</w:t>
      </w:r>
      <w:r w:rsidR="00771862">
        <w:rPr>
          <w:rFonts w:ascii="Century Gothic" w:eastAsia="Calibri" w:hAnsi="Century Gothic" w:cs="Arial"/>
          <w:lang w:val="es-ES_tradnl" w:eastAsia="es-ES_tradnl"/>
        </w:rPr>
        <w:t>r</w:t>
      </w:r>
      <w:r w:rsidRPr="0063179B">
        <w:rPr>
          <w:rFonts w:ascii="Century Gothic" w:eastAsia="Calibri" w:hAnsi="Century Gothic" w:cs="Arial"/>
          <w:lang w:val="es-ES_tradnl" w:eastAsia="es-ES_tradnl"/>
        </w:rPr>
        <w:t xml:space="preserve"> lugar, una interpretación </w:t>
      </w:r>
      <w:r w:rsidRPr="0063179B">
        <w:rPr>
          <w:rFonts w:ascii="Century Gothic" w:eastAsia="Calibri" w:hAnsi="Century Gothic" w:cs="Arial"/>
          <w:i/>
          <w:iCs/>
          <w:lang w:val="es-ES_tradnl" w:eastAsia="es-ES_tradnl"/>
        </w:rPr>
        <w:t xml:space="preserve">exegética </w:t>
      </w:r>
      <w:r w:rsidRPr="0063179B">
        <w:rPr>
          <w:rFonts w:ascii="Century Gothic" w:eastAsia="Calibri" w:hAnsi="Century Gothic" w:cs="Arial"/>
          <w:lang w:val="es-ES_tradnl" w:eastAsia="es-ES_tradnl"/>
        </w:rPr>
        <w:t xml:space="preserve">de la disposición plantearía </w:t>
      </w:r>
      <w:r w:rsidRPr="0063179B">
        <w:rPr>
          <w:rFonts w:ascii="Century Gothic" w:eastAsia="Calibri" w:hAnsi="Century Gothic" w:cs="Arial"/>
          <w:lang w:val="es-ES_tradnl" w:eastAsia="es-ES_tradnl"/>
        </w:rPr>
        <w:lastRenderedPageBreak/>
        <w:t xml:space="preserve">que, dado que el artículo 53 no señala que la obligación de publicar en el SECOP II recae solamente sobre la contratación que se realice con dineros públicos, por tanto, esta aplica para toda la actividad contractual que ejecute la entidad, indistintamente del origen de </w:t>
      </w:r>
      <w:proofErr w:type="spellStart"/>
      <w:r w:rsidRPr="0063179B">
        <w:rPr>
          <w:rFonts w:ascii="Century Gothic" w:eastAsia="Calibri" w:hAnsi="Century Gothic" w:cs="Arial"/>
          <w:lang w:val="es-ES_tradnl" w:eastAsia="es-ES_tradnl"/>
        </w:rPr>
        <w:t>lo</w:t>
      </w:r>
      <w:proofErr w:type="spellEnd"/>
      <w:r w:rsidRPr="0063179B">
        <w:rPr>
          <w:rFonts w:ascii="Century Gothic" w:eastAsia="Calibri" w:hAnsi="Century Gothic" w:cs="Arial"/>
          <w:lang w:val="es-ES_tradnl" w:eastAsia="es-ES_tradnl"/>
        </w:rPr>
        <w:t xml:space="preserve"> recursos. En segundo lugar, una interpretación </w:t>
      </w:r>
      <w:r w:rsidRPr="0063179B">
        <w:rPr>
          <w:rFonts w:ascii="Century Gothic" w:eastAsia="Calibri" w:hAnsi="Century Gothic" w:cs="Arial"/>
          <w:i/>
          <w:iCs/>
          <w:lang w:val="es-ES_tradnl" w:eastAsia="es-ES_tradnl"/>
        </w:rPr>
        <w:t xml:space="preserve">sistemática </w:t>
      </w:r>
      <w:r w:rsidRPr="0063179B">
        <w:rPr>
          <w:rFonts w:ascii="Century Gothic" w:eastAsia="Calibri" w:hAnsi="Century Gothic" w:cs="Arial"/>
          <w:lang w:val="es-ES_tradnl" w:eastAsia="es-ES_tradnl"/>
        </w:rPr>
        <w:t xml:space="preserve">de la norma concluiría que el artículo 53, al modificar una disposición de la Ley 1150 de 2007, debe armonizarse con todo el cuerpo normativo consagrado en dicha ley y, dado que este se refiere a la contratación que se realiza con </w:t>
      </w:r>
      <w:r w:rsidRPr="0063179B">
        <w:rPr>
          <w:rFonts w:ascii="Century Gothic" w:eastAsia="Calibri" w:hAnsi="Century Gothic" w:cs="Arial"/>
          <w:i/>
          <w:iCs/>
          <w:lang w:val="es-ES_tradnl" w:eastAsia="es-ES_tradnl"/>
        </w:rPr>
        <w:t xml:space="preserve">dineros públicos, </w:t>
      </w:r>
      <w:r w:rsidRPr="0063179B">
        <w:rPr>
          <w:rFonts w:ascii="Century Gothic" w:eastAsia="Calibri" w:hAnsi="Century Gothic" w:cs="Arial"/>
          <w:lang w:val="es-ES_tradnl" w:eastAsia="es-ES_tradnl"/>
        </w:rPr>
        <w:t>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sólo la información relacionada con al activad contractual efectuada con recursos públicos.</w:t>
      </w:r>
    </w:p>
    <w:p w14:paraId="6B1965F4" w14:textId="77777777" w:rsidR="0063179B" w:rsidRPr="0063179B" w:rsidRDefault="0063179B" w:rsidP="0063179B">
      <w:pPr>
        <w:tabs>
          <w:tab w:val="left" w:pos="0"/>
        </w:tabs>
        <w:spacing w:before="120" w:after="0" w:line="276" w:lineRule="auto"/>
        <w:jc w:val="both"/>
        <w:rPr>
          <w:rFonts w:ascii="Century Gothic" w:eastAsia="Calibri" w:hAnsi="Century Gothic" w:cs="Arial"/>
          <w:lang w:val="es-ES_tradnl" w:eastAsia="es-ES_tradnl"/>
        </w:rPr>
      </w:pPr>
      <w:r w:rsidRPr="0063179B">
        <w:rPr>
          <w:rFonts w:ascii="Century Gothic" w:eastAsia="Calibri" w:hAnsi="Century Gothic" w:cs="Arial"/>
          <w:lang w:val="es-ES_tradnl" w:eastAsia="es-ES_tradnl"/>
        </w:rPr>
        <w:tab/>
        <w:t xml:space="preserve">Esta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materia, como, entre otros, los siguientes enunciados normativos: i) los artículos 74 y 209 de la Constitución, </w:t>
      </w:r>
      <w:proofErr w:type="spellStart"/>
      <w:r w:rsidRPr="0063179B">
        <w:rPr>
          <w:rFonts w:ascii="Century Gothic" w:eastAsia="Calibri" w:hAnsi="Century Gothic" w:cs="Arial"/>
          <w:lang w:val="es-ES_tradnl" w:eastAsia="es-ES_tradnl"/>
        </w:rPr>
        <w:t>ii</w:t>
      </w:r>
      <w:proofErr w:type="spellEnd"/>
      <w:r w:rsidRPr="0063179B">
        <w:rPr>
          <w:rFonts w:ascii="Century Gothic" w:eastAsia="Calibri" w:hAnsi="Century Gothic" w:cs="Arial"/>
          <w:lang w:val="es-ES_tradnl" w:eastAsia="es-ES_tradnl"/>
        </w:rPr>
        <w:t xml:space="preserve">) el artículo 3, literal c) de la Ley 1150 de 2007, </w:t>
      </w:r>
      <w:proofErr w:type="spellStart"/>
      <w:r w:rsidRPr="0063179B">
        <w:rPr>
          <w:rFonts w:ascii="Century Gothic" w:eastAsia="Calibri" w:hAnsi="Century Gothic" w:cs="Arial"/>
          <w:lang w:val="es-ES_tradnl" w:eastAsia="es-ES_tradnl"/>
        </w:rPr>
        <w:t>iii</w:t>
      </w:r>
      <w:proofErr w:type="spellEnd"/>
      <w:r w:rsidRPr="0063179B">
        <w:rPr>
          <w:rFonts w:ascii="Century Gothic" w:eastAsia="Calibri" w:hAnsi="Century Gothic" w:cs="Arial"/>
          <w:lang w:val="es-ES_tradnl" w:eastAsia="es-ES_tradnl"/>
        </w:rPr>
        <w:t xml:space="preserve">) los artículos 3, 9, literal e) y 11, literal g), de la Ley 1712 de 2014, y </w:t>
      </w:r>
      <w:proofErr w:type="spellStart"/>
      <w:r w:rsidRPr="0063179B">
        <w:rPr>
          <w:rFonts w:ascii="Century Gothic" w:eastAsia="Calibri" w:hAnsi="Century Gothic" w:cs="Arial"/>
          <w:lang w:val="es-ES_tradnl" w:eastAsia="es-ES_tradnl"/>
        </w:rPr>
        <w:t>iv</w:t>
      </w:r>
      <w:proofErr w:type="spellEnd"/>
      <w:r w:rsidRPr="0063179B">
        <w:rPr>
          <w:rFonts w:ascii="Century Gothic" w:eastAsia="Calibri" w:hAnsi="Century Gothic" w:cs="Arial"/>
          <w:lang w:val="es-ES_tradnl" w:eastAsia="es-ES_tradnl"/>
        </w:rPr>
        <w:t>) los artículos 7 al 10 del Decreto 103 de 2015 –compilado en los artículos 2.1.1.1.1. al 2.1.1.6.1. del Decreto 1081 de 2015–.</w:t>
      </w:r>
    </w:p>
    <w:p w14:paraId="486940F2" w14:textId="77777777" w:rsidR="0063179B" w:rsidRPr="0063179B" w:rsidRDefault="0063179B" w:rsidP="00F15AC4">
      <w:pPr>
        <w:spacing w:before="120" w:after="120" w:line="276" w:lineRule="auto"/>
        <w:ind w:firstLine="709"/>
        <w:jc w:val="both"/>
        <w:rPr>
          <w:rFonts w:ascii="Century Gothic" w:hAnsi="Century Gothic" w:cs="Arial"/>
          <w:shd w:val="clear" w:color="auto" w:fill="FFFFFF"/>
          <w:lang w:val="es-ES"/>
        </w:rPr>
      </w:pPr>
      <w:r w:rsidRPr="0063179B">
        <w:rPr>
          <w:rFonts w:ascii="Century Gothic" w:hAnsi="Century Gothic" w:cs="Arial"/>
          <w:noProof/>
          <w:lang w:val="es-ES_tradnl"/>
        </w:rPr>
        <w:t xml:space="preserve">Así las cosas, dado que el artículo 53 de la Ley 2195 de 2022 complementó las disposiciones ya establecidas en la Ley 1150 de 2007, la lectura que se haga de dicho artículo debe efectuarse de forma </w:t>
      </w:r>
      <w:r w:rsidRPr="0063179B">
        <w:rPr>
          <w:rFonts w:ascii="Century Gothic" w:hAnsi="Century Gothic" w:cs="Arial"/>
          <w:i/>
          <w:iCs/>
          <w:noProof/>
          <w:lang w:val="es-ES_tradnl"/>
        </w:rPr>
        <w:t xml:space="preserve">sistemática, </w:t>
      </w:r>
      <w:r w:rsidRPr="0063179B">
        <w:rPr>
          <w:rFonts w:ascii="Century Gothic" w:hAnsi="Century Gothic" w:cs="Arial"/>
          <w:noProof/>
          <w:lang w:val="es-ES_tradnl"/>
        </w:rPr>
        <w:t xml:space="preserve">En ese sentido, debe señalarse que </w:t>
      </w:r>
      <w:r w:rsidRPr="0063179B">
        <w:rPr>
          <w:rFonts w:ascii="Arial" w:hAnsi="Arial" w:cs="Arial"/>
          <w:i/>
          <w:iCs/>
          <w:lang w:val="es-ES_tradnl" w:eastAsia="es-CO"/>
        </w:rPr>
        <w:t>contratación con cargo a recursos públicos</w:t>
      </w:r>
      <w:r w:rsidRPr="0063179B">
        <w:rPr>
          <w:rFonts w:ascii="Arial" w:hAnsi="Arial" w:cs="Arial"/>
          <w:lang w:val="es-ES_tradnl" w:eastAsia="es-CO"/>
        </w:rPr>
        <w:t xml:space="preserve"> es un concepto al </w:t>
      </w:r>
      <w:r w:rsidRPr="0063179B">
        <w:rPr>
          <w:rFonts w:ascii="Century Gothic" w:hAnsi="Century Gothic" w:cs="Arial"/>
          <w:lang w:val="es-ES_tradnl" w:eastAsia="es-CO"/>
        </w:rPr>
        <w:t xml:space="preserve">que alude expresamente la Ley 1150 de 2007, incluso desde el mismo título, pues este indica que dicha Ley es </w:t>
      </w:r>
      <w:r w:rsidRPr="0063179B">
        <w:rPr>
          <w:rFonts w:ascii="Century Gothic" w:eastAsia="Calibri" w:hAnsi="Century Gothic" w:cs="Arial"/>
          <w:lang w:val="es-ES_tradnl"/>
        </w:rPr>
        <w:t>“</w:t>
      </w:r>
      <w:r w:rsidRPr="0063179B">
        <w:rPr>
          <w:rFonts w:ascii="Century Gothic" w:hAnsi="Century Gothic" w:cs="Arial"/>
        </w:rPr>
        <w:t>Por medio de la cual se introducen medidas para la eficiencia y la transparencia en la Ley </w:t>
      </w:r>
      <w:hyperlink r:id="rId11" w:anchor="1" w:history="1">
        <w:r w:rsidRPr="0063179B">
          <w:rPr>
            <w:rFonts w:ascii="Century Gothic" w:hAnsi="Century Gothic" w:cs="Arial"/>
          </w:rPr>
          <w:t>80</w:t>
        </w:r>
      </w:hyperlink>
      <w:r w:rsidRPr="0063179B">
        <w:rPr>
          <w:rFonts w:ascii="Century Gothic" w:hAnsi="Century Gothic" w:cs="Arial"/>
        </w:rPr>
        <w:t xml:space="preserve"> de 1993 y se dictan otras disposiciones generales sobre la contratación con </w:t>
      </w:r>
      <w:r w:rsidRPr="0063179B">
        <w:rPr>
          <w:rFonts w:ascii="Century Gothic" w:hAnsi="Century Gothic" w:cs="Arial"/>
          <w:i/>
          <w:iCs/>
        </w:rPr>
        <w:t>Recursos Públicos</w:t>
      </w:r>
      <w:r w:rsidRPr="0063179B">
        <w:rPr>
          <w:rFonts w:ascii="Century Gothic" w:eastAsia="Calibri" w:hAnsi="Century Gothic" w:cs="Arial"/>
          <w:lang w:val="es-ES_tradnl"/>
        </w:rPr>
        <w:t>”</w:t>
      </w:r>
      <w:r w:rsidRPr="0063179B">
        <w:rPr>
          <w:rFonts w:ascii="Century Gothic" w:hAnsi="Century Gothic" w:cs="Arial"/>
        </w:rPr>
        <w:t>.</w:t>
      </w:r>
      <w:r w:rsidRPr="0063179B">
        <w:rPr>
          <w:rFonts w:ascii="Century Gothic" w:hAnsi="Century Gothic" w:cs="Arial"/>
          <w:lang w:val="es-ES_tradnl" w:eastAsia="es-CO"/>
        </w:rPr>
        <w:t xml:space="preserve"> Asimismo, la terminología </w:t>
      </w:r>
      <w:r w:rsidRPr="0063179B">
        <w:rPr>
          <w:rFonts w:ascii="Century Gothic" w:hAnsi="Century Gothic" w:cs="Arial"/>
          <w:i/>
          <w:iCs/>
          <w:lang w:val="es-ES_tradnl" w:eastAsia="es-CO"/>
        </w:rPr>
        <w:t xml:space="preserve">contratación con cargo recursos públicos </w:t>
      </w:r>
      <w:r w:rsidRPr="0063179B">
        <w:rPr>
          <w:rFonts w:ascii="Century Gothic" w:hAnsi="Century Gothic" w:cs="Arial"/>
          <w:lang w:val="es-ES_tradnl" w:eastAsia="es-CO"/>
        </w:rPr>
        <w:t>se encuentra en el artículo primero, al definir el ámbito de aplicación de sus disposiciones</w:t>
      </w:r>
      <w:r w:rsidRPr="0063179B">
        <w:rPr>
          <w:rFonts w:ascii="Century Gothic" w:hAnsi="Century Gothic" w:cs="Arial"/>
          <w:vertAlign w:val="superscript"/>
          <w:lang w:val="es-ES_tradnl" w:eastAsia="es-CO"/>
        </w:rPr>
        <w:footnoteReference w:id="23"/>
      </w:r>
      <w:r w:rsidRPr="0063179B">
        <w:rPr>
          <w:rFonts w:ascii="Century Gothic" w:hAnsi="Century Gothic" w:cs="Arial"/>
          <w:lang w:val="es-ES_tradnl" w:eastAsia="es-CO"/>
        </w:rPr>
        <w:t xml:space="preserve"> y en el literal c) del artículo 3 –del que surge el deber de publicar en el SECOP–, que expresamente </w:t>
      </w:r>
      <w:r w:rsidRPr="0063179B">
        <w:rPr>
          <w:rFonts w:ascii="Century Gothic" w:hAnsi="Century Gothic" w:cs="Arial"/>
          <w:shd w:val="clear" w:color="auto" w:fill="FFFFFF"/>
          <w:lang w:val="es-ES"/>
        </w:rPr>
        <w:t xml:space="preserve">establece que ese aparte del artículo se aplica a la </w:t>
      </w:r>
      <w:r w:rsidRPr="0063179B">
        <w:rPr>
          <w:rFonts w:ascii="Century Gothic" w:hAnsi="Century Gothic" w:cs="Arial"/>
          <w:i/>
          <w:iCs/>
          <w:shd w:val="clear" w:color="auto" w:fill="FFFFFF"/>
          <w:lang w:val="es-ES"/>
        </w:rPr>
        <w:t>“contratación realizada con dineros públicos”</w:t>
      </w:r>
      <w:r w:rsidRPr="0063179B">
        <w:rPr>
          <w:rFonts w:ascii="Century Gothic" w:hAnsi="Century Gothic" w:cs="Arial"/>
          <w:shd w:val="clear" w:color="auto" w:fill="FFFFFF"/>
          <w:lang w:val="es-ES"/>
        </w:rPr>
        <w:t xml:space="preserve">. </w:t>
      </w:r>
      <w:r w:rsidRPr="0063179B">
        <w:rPr>
          <w:rFonts w:ascii="Century Gothic" w:hAnsi="Century Gothic" w:cs="Arial"/>
          <w:shd w:val="clear" w:color="auto" w:fill="FFFFFF"/>
        </w:rPr>
        <w:t xml:space="preserve">Esta </w:t>
      </w:r>
      <w:r w:rsidRPr="0063179B">
        <w:rPr>
          <w:rFonts w:ascii="Century Gothic" w:hAnsi="Century Gothic" w:cs="Arial"/>
          <w:shd w:val="clear" w:color="auto" w:fill="FFFFFF"/>
        </w:rPr>
        <w:lastRenderedPageBreak/>
        <w:t>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14:paraId="08ED4EC5" w14:textId="77777777" w:rsidR="0063179B" w:rsidRPr="0063179B" w:rsidRDefault="0063179B" w:rsidP="0063179B">
      <w:pPr>
        <w:spacing w:after="0" w:line="276" w:lineRule="auto"/>
        <w:ind w:firstLine="709"/>
        <w:jc w:val="both"/>
        <w:rPr>
          <w:rFonts w:ascii="Century Gothic" w:hAnsi="Century Gothic" w:cs="Arial"/>
        </w:rPr>
      </w:pPr>
      <w:r w:rsidRPr="0063179B">
        <w:rPr>
          <w:rFonts w:ascii="Century Gothic" w:hAnsi="Century Gothic" w:cs="Arial"/>
          <w:lang w:val="es-ES_tradnl" w:eastAsia="es-CO"/>
        </w:rPr>
        <w:t xml:space="preserve">Por otro lado, </w:t>
      </w:r>
      <w:r w:rsidRPr="0063179B">
        <w:rPr>
          <w:rFonts w:ascii="Century Gothic" w:hAnsi="Century Gothic" w:cs="Arial"/>
        </w:rPr>
        <w:t xml:space="preserve">el Decreto 103, mediante el cual se reglamentó la Ley 1712 de 2014, y que fue compilado </w:t>
      </w:r>
      <w:r w:rsidRPr="0063179B">
        <w:rPr>
          <w:rFonts w:ascii="Century Gothic" w:hAnsi="Century Gothic" w:cs="Arial"/>
          <w:shd w:val="clear" w:color="auto" w:fill="FFFFFF"/>
        </w:rPr>
        <w:t xml:space="preserve">en los artículos 2.1.1.1.1. al 2.1.1.6.1. del Decreto 1081 de 2015–.  </w:t>
      </w:r>
      <w:r w:rsidRPr="0063179B">
        <w:rPr>
          <w:rFonts w:ascii="Century Gothic" w:hAnsi="Century Gothic" w:cs="Arial"/>
        </w:rPr>
        <w:t>señala:</w:t>
      </w:r>
    </w:p>
    <w:p w14:paraId="12F3A0A7" w14:textId="77777777" w:rsidR="0063179B" w:rsidRPr="0063179B" w:rsidRDefault="0063179B" w:rsidP="0063179B">
      <w:pPr>
        <w:spacing w:after="0" w:line="276" w:lineRule="auto"/>
        <w:ind w:firstLine="709"/>
        <w:contextualSpacing/>
        <w:jc w:val="both"/>
        <w:rPr>
          <w:rFonts w:ascii="Century Gothic" w:hAnsi="Century Gothic" w:cs="Arial"/>
        </w:rPr>
      </w:pPr>
      <w:r w:rsidRPr="0063179B">
        <w:rPr>
          <w:rFonts w:ascii="Century Gothic" w:hAnsi="Century Gothic" w:cs="Arial"/>
        </w:rPr>
        <w:t xml:space="preserve"> </w:t>
      </w:r>
    </w:p>
    <w:p w14:paraId="2766EC47" w14:textId="77777777" w:rsidR="0063179B" w:rsidRPr="0063179B" w:rsidRDefault="0063179B" w:rsidP="0063179B">
      <w:pPr>
        <w:spacing w:after="0" w:line="240" w:lineRule="auto"/>
        <w:ind w:left="709" w:right="709"/>
        <w:contextualSpacing/>
        <w:jc w:val="both"/>
        <w:rPr>
          <w:rFonts w:ascii="Century Gothic" w:eastAsia="Times New Roman" w:hAnsi="Century Gothic" w:cs="Arial"/>
          <w:sz w:val="21"/>
          <w:szCs w:val="21"/>
          <w:lang w:eastAsia="es-CO"/>
        </w:rPr>
      </w:pPr>
      <w:r w:rsidRPr="0063179B">
        <w:rPr>
          <w:rFonts w:ascii="Century Gothic" w:eastAsia="Times New Roman" w:hAnsi="Century Gothic" w:cs="Arial"/>
          <w:sz w:val="21"/>
          <w:szCs w:val="21"/>
          <w:lang w:eastAsia="es-CO"/>
        </w:rPr>
        <w:t>“Artículo 7°.</w:t>
      </w:r>
      <w:r w:rsidRPr="0063179B">
        <w:rPr>
          <w:rFonts w:ascii="Century Gothic" w:eastAsia="Times New Roman" w:hAnsi="Century Gothic" w:cs="Arial"/>
          <w:i/>
          <w:iCs/>
          <w:sz w:val="21"/>
          <w:szCs w:val="21"/>
          <w:lang w:eastAsia="es-CO"/>
        </w:rPr>
        <w:t xml:space="preserve"> Publicación de la información contractual. </w:t>
      </w:r>
      <w:r w:rsidRPr="0063179B">
        <w:rPr>
          <w:rFonts w:ascii="Century Gothic" w:eastAsia="Times New Roman" w:hAnsi="Century Gothic" w:cs="Arial"/>
          <w:sz w:val="21"/>
          <w:szCs w:val="21"/>
          <w:lang w:eastAsia="es-CO"/>
        </w:rPr>
        <w:t xml:space="preserve">De conformidad con el literal (c) del artículo 3° de la Ley 1150 de 2007, el sistema de información del Estado en el cual los sujetos obligados que contratan </w:t>
      </w:r>
      <w:r w:rsidRPr="0063179B">
        <w:rPr>
          <w:rFonts w:ascii="Century Gothic" w:eastAsia="Times New Roman" w:hAnsi="Century Gothic" w:cs="Arial"/>
          <w:i/>
          <w:iCs/>
          <w:sz w:val="21"/>
          <w:szCs w:val="21"/>
          <w:lang w:eastAsia="es-CO"/>
        </w:rPr>
        <w:t>con cargo a recursos públicos</w:t>
      </w:r>
      <w:r w:rsidRPr="0063179B">
        <w:rPr>
          <w:rFonts w:ascii="Century Gothic" w:eastAsia="Times New Roman" w:hAnsi="Century Gothic" w:cs="Arial"/>
          <w:sz w:val="21"/>
          <w:szCs w:val="21"/>
          <w:lang w:eastAsia="es-CO"/>
        </w:rPr>
        <w:t xml:space="preserve"> deben cumplir la obligación de publicar la información de su gestión contractual es el Sistema Electrónico para la Contratación Pública (</w:t>
      </w:r>
      <w:proofErr w:type="spellStart"/>
      <w:r w:rsidRPr="0063179B">
        <w:rPr>
          <w:rFonts w:ascii="Century Gothic" w:eastAsia="Times New Roman" w:hAnsi="Century Gothic" w:cs="Arial"/>
          <w:sz w:val="21"/>
          <w:szCs w:val="21"/>
          <w:lang w:eastAsia="es-CO"/>
        </w:rPr>
        <w:t>Secop</w:t>
      </w:r>
      <w:proofErr w:type="spellEnd"/>
      <w:r w:rsidRPr="0063179B">
        <w:rPr>
          <w:rFonts w:ascii="Century Gothic" w:eastAsia="Times New Roman" w:hAnsi="Century Gothic" w:cs="Arial"/>
          <w:sz w:val="21"/>
          <w:szCs w:val="21"/>
          <w:lang w:eastAsia="es-CO"/>
        </w:rPr>
        <w:t>). </w:t>
      </w:r>
    </w:p>
    <w:p w14:paraId="32832FD1" w14:textId="77777777" w:rsidR="0063179B" w:rsidRPr="0063179B" w:rsidRDefault="0063179B" w:rsidP="0063179B">
      <w:pPr>
        <w:spacing w:after="0" w:line="240" w:lineRule="auto"/>
        <w:ind w:left="709" w:right="709"/>
        <w:contextualSpacing/>
        <w:jc w:val="both"/>
        <w:rPr>
          <w:rFonts w:ascii="Century Gothic" w:eastAsia="Times New Roman" w:hAnsi="Century Gothic" w:cs="Arial"/>
          <w:sz w:val="21"/>
          <w:szCs w:val="21"/>
          <w:lang w:eastAsia="es-CO"/>
        </w:rPr>
      </w:pPr>
      <w:r w:rsidRPr="0063179B">
        <w:rPr>
          <w:rFonts w:ascii="Century Gothic" w:eastAsia="Times New Roman" w:hAnsi="Century Gothic" w:cs="Arial"/>
          <w:sz w:val="21"/>
          <w:szCs w:val="21"/>
          <w:lang w:eastAsia="es-CO"/>
        </w:rPr>
        <w:t>  </w:t>
      </w:r>
    </w:p>
    <w:p w14:paraId="6DCE3E76" w14:textId="77777777" w:rsidR="0063179B" w:rsidRPr="0063179B" w:rsidRDefault="0063179B" w:rsidP="0063179B">
      <w:pPr>
        <w:spacing w:after="0" w:line="240" w:lineRule="auto"/>
        <w:ind w:left="709" w:right="709"/>
        <w:contextualSpacing/>
        <w:jc w:val="both"/>
        <w:rPr>
          <w:rFonts w:ascii="Century Gothic" w:eastAsia="Times New Roman" w:hAnsi="Century Gothic" w:cs="Arial"/>
          <w:sz w:val="21"/>
          <w:szCs w:val="21"/>
          <w:lang w:eastAsia="es-CO"/>
        </w:rPr>
      </w:pPr>
      <w:r w:rsidRPr="0063179B">
        <w:rPr>
          <w:rFonts w:ascii="Century Gothic" w:eastAsia="Times New Roman" w:hAnsi="Century Gothic" w:cs="Arial"/>
          <w:sz w:val="21"/>
          <w:szCs w:val="21"/>
          <w:lang w:eastAsia="es-CO"/>
        </w:rPr>
        <w:t xml:space="preserve">Los sujetos obligados que contratan </w:t>
      </w:r>
      <w:r w:rsidRPr="0063179B">
        <w:rPr>
          <w:rFonts w:ascii="Century Gothic" w:eastAsia="Times New Roman" w:hAnsi="Century Gothic" w:cs="Arial"/>
          <w:i/>
          <w:iCs/>
          <w:sz w:val="21"/>
          <w:szCs w:val="21"/>
          <w:lang w:eastAsia="es-CO"/>
        </w:rPr>
        <w:t>con cargo a recursos públicos</w:t>
      </w:r>
      <w:r w:rsidRPr="0063179B">
        <w:rPr>
          <w:rFonts w:ascii="Century Gothic" w:eastAsia="Times New Roman" w:hAnsi="Century Gothic" w:cs="Arial"/>
          <w:sz w:val="21"/>
          <w:szCs w:val="21"/>
          <w:lang w:eastAsia="es-CO"/>
        </w:rPr>
        <w:t xml:space="preserve"> deben publicar la información de su gestión contractual en el plazo previsto en el artículo 19 del Decreto 1510 de 2013, o el que lo modifique, sustituya o adicione. </w:t>
      </w:r>
    </w:p>
    <w:p w14:paraId="1C3F3765" w14:textId="77777777" w:rsidR="0063179B" w:rsidRPr="0063179B" w:rsidRDefault="0063179B" w:rsidP="0063179B">
      <w:pPr>
        <w:spacing w:after="0" w:line="240" w:lineRule="auto"/>
        <w:ind w:left="709" w:right="709"/>
        <w:contextualSpacing/>
        <w:jc w:val="both"/>
        <w:rPr>
          <w:rFonts w:ascii="Century Gothic" w:eastAsia="Times New Roman" w:hAnsi="Century Gothic" w:cs="Arial"/>
          <w:sz w:val="21"/>
          <w:szCs w:val="21"/>
          <w:lang w:eastAsia="es-CO"/>
        </w:rPr>
      </w:pPr>
      <w:r w:rsidRPr="0063179B">
        <w:rPr>
          <w:rFonts w:ascii="Century Gothic" w:eastAsia="Times New Roman" w:hAnsi="Century Gothic" w:cs="Arial"/>
          <w:sz w:val="21"/>
          <w:szCs w:val="21"/>
          <w:lang w:eastAsia="es-CO"/>
        </w:rPr>
        <w:t>  </w:t>
      </w:r>
    </w:p>
    <w:p w14:paraId="403CE15A" w14:textId="77777777" w:rsidR="0063179B" w:rsidRPr="0063179B" w:rsidRDefault="0063179B" w:rsidP="0063179B">
      <w:pPr>
        <w:spacing w:after="0" w:line="240" w:lineRule="auto"/>
        <w:ind w:left="709" w:right="709"/>
        <w:contextualSpacing/>
        <w:jc w:val="both"/>
        <w:rPr>
          <w:rFonts w:ascii="Century Gothic" w:eastAsia="Times New Roman" w:hAnsi="Century Gothic" w:cs="Arial"/>
          <w:sz w:val="21"/>
          <w:szCs w:val="21"/>
          <w:lang w:eastAsia="es-CO"/>
        </w:rPr>
      </w:pPr>
      <w:r w:rsidRPr="0063179B">
        <w:rPr>
          <w:rFonts w:ascii="Century Gothic" w:eastAsia="Times New Roman" w:hAnsi="Century Gothic" w:cs="Arial"/>
          <w:sz w:val="21"/>
          <w:szCs w:val="21"/>
          <w:lang w:eastAsia="es-CO"/>
        </w:rPr>
        <w:t>Los sujetos obligados que contratan con recursos públicos y recursos privados, deben publicar la información de su gestión contractual con cargo a recursos públicos en el Sistema Electrónico para la Contratación Pública (</w:t>
      </w:r>
      <w:proofErr w:type="spellStart"/>
      <w:r w:rsidRPr="0063179B">
        <w:rPr>
          <w:rFonts w:ascii="Century Gothic" w:eastAsia="Times New Roman" w:hAnsi="Century Gothic" w:cs="Arial"/>
          <w:sz w:val="21"/>
          <w:szCs w:val="21"/>
          <w:lang w:eastAsia="es-CO"/>
        </w:rPr>
        <w:t>Secop</w:t>
      </w:r>
      <w:proofErr w:type="spellEnd"/>
      <w:r w:rsidRPr="0063179B">
        <w:rPr>
          <w:rFonts w:ascii="Century Gothic" w:eastAsia="Times New Roman" w:hAnsi="Century Gothic" w:cs="Arial"/>
          <w:sz w:val="21"/>
          <w:szCs w:val="21"/>
          <w:lang w:eastAsia="es-CO"/>
        </w:rPr>
        <w:t xml:space="preserve">)”. (Énfasis fuera del texto original). </w:t>
      </w:r>
    </w:p>
    <w:p w14:paraId="7A9E145B" w14:textId="77777777" w:rsidR="0063179B" w:rsidRPr="0063179B" w:rsidRDefault="0063179B" w:rsidP="0063179B">
      <w:pPr>
        <w:spacing w:after="0" w:line="276" w:lineRule="auto"/>
        <w:ind w:left="709" w:right="709"/>
        <w:contextualSpacing/>
        <w:jc w:val="both"/>
        <w:rPr>
          <w:rFonts w:ascii="Century Gothic" w:eastAsia="Times New Roman" w:hAnsi="Century Gothic" w:cs="Arial"/>
          <w:lang w:eastAsia="es-CO"/>
        </w:rPr>
      </w:pPr>
      <w:r w:rsidRPr="0063179B">
        <w:rPr>
          <w:rFonts w:ascii="Century Gothic" w:eastAsia="Times New Roman" w:hAnsi="Century Gothic" w:cs="Arial"/>
          <w:lang w:eastAsia="es-CO"/>
        </w:rPr>
        <w:t>  </w:t>
      </w:r>
    </w:p>
    <w:p w14:paraId="1D7FDF05" w14:textId="77777777" w:rsidR="0063179B" w:rsidRPr="0063179B" w:rsidRDefault="0063179B" w:rsidP="0063179B">
      <w:pPr>
        <w:spacing w:after="120" w:line="276" w:lineRule="auto"/>
        <w:ind w:firstLine="709"/>
        <w:jc w:val="both"/>
        <w:rPr>
          <w:rFonts w:ascii="Century Gothic" w:eastAsia="Calibri" w:hAnsi="Century Gothic" w:cs="Arial"/>
          <w:lang w:val="es-ES_tradnl" w:eastAsia="es-ES_tradnl"/>
        </w:rPr>
      </w:pPr>
      <w:bookmarkStart w:id="13" w:name="_Hlk110869205"/>
      <w:r w:rsidRPr="0063179B">
        <w:rPr>
          <w:rFonts w:ascii="Century Gothic" w:eastAsia="Calibri" w:hAnsi="Century Gothic"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bookmarkEnd w:id="13"/>
    <w:p w14:paraId="4D9B9550" w14:textId="77777777" w:rsidR="0063179B" w:rsidRPr="0063179B" w:rsidRDefault="0063179B" w:rsidP="0063179B">
      <w:pPr>
        <w:spacing w:after="0" w:line="276" w:lineRule="auto"/>
        <w:ind w:firstLine="709"/>
        <w:jc w:val="both"/>
        <w:rPr>
          <w:rFonts w:ascii="Century Gothic" w:hAnsi="Century Gothic" w:cs="Arial"/>
          <w:lang w:val="es-ES"/>
        </w:rPr>
      </w:pPr>
      <w:r w:rsidRPr="0063179B">
        <w:rPr>
          <w:rFonts w:ascii="Century Gothic" w:hAnsi="Century Gothic" w:cs="Arial"/>
          <w:shd w:val="clear" w:color="auto" w:fill="FFFFFF"/>
          <w:lang w:val="es-ES"/>
        </w:rPr>
        <w:t xml:space="preserve">En consonancia con la interpretación antes expuesta, </w:t>
      </w:r>
      <w:r w:rsidRPr="0063179B">
        <w:rPr>
          <w:rFonts w:ascii="Century Gothic" w:hAnsi="Century Gothic" w:cs="Arial"/>
          <w:lang w:val="es-ES"/>
        </w:rPr>
        <w:t xml:space="preserve">la </w:t>
      </w:r>
      <w:r w:rsidRPr="0063179B">
        <w:rPr>
          <w:rFonts w:ascii="Century Gothic" w:eastAsia="Calibri" w:hAnsi="Century Gothic" w:cs="Arial"/>
          <w:lang w:val="es-ES"/>
        </w:rPr>
        <w:t>Circular 002 del 1 de junio de 2022</w:t>
      </w:r>
      <w:r w:rsidRPr="0063179B">
        <w:rPr>
          <w:rFonts w:ascii="Century Gothic" w:eastAsia="Calibri" w:hAnsi="Century Gothic" w:cs="Arial"/>
          <w:vertAlign w:val="superscript"/>
          <w:lang w:val="es-ES"/>
        </w:rPr>
        <w:footnoteReference w:id="24"/>
      </w:r>
      <w:r w:rsidRPr="0063179B">
        <w:rPr>
          <w:rFonts w:ascii="Century Gothic" w:eastAsia="Calibri" w:hAnsi="Century Gothic" w:cs="Arial"/>
          <w:lang w:val="es-ES"/>
        </w:rPr>
        <w:t>, dictada por el Departamento Administrativo de la Presidencia de la República</w:t>
      </w:r>
      <w:r w:rsidRPr="0063179B">
        <w:rPr>
          <w:rFonts w:ascii="Century Gothic" w:hAnsi="Century Gothic" w:cs="Arial"/>
          <w:lang w:val="es-ES"/>
        </w:rPr>
        <w:t xml:space="preserve">, a través de la cual fueron impartidas instrucciones relacionadas </w:t>
      </w:r>
      <w:r w:rsidRPr="0063179B">
        <w:rPr>
          <w:rFonts w:ascii="Century Gothic" w:hAnsi="Century Gothic" w:cs="Arial"/>
          <w:lang w:val="es-ES"/>
        </w:rPr>
        <w:lastRenderedPageBreak/>
        <w:t xml:space="preserve">con la aplicación del artículo 53 de la Ley 2195 de 2022, en el numeral I –denominado “Publicación de los documentos contractuales en el SECOP II”–, señala: </w:t>
      </w:r>
    </w:p>
    <w:p w14:paraId="64BBF760" w14:textId="77777777" w:rsidR="0063179B" w:rsidRPr="0063179B" w:rsidRDefault="0063179B" w:rsidP="0063179B">
      <w:pPr>
        <w:spacing w:after="0" w:line="276" w:lineRule="auto"/>
        <w:ind w:left="709" w:right="709"/>
        <w:contextualSpacing/>
        <w:jc w:val="both"/>
        <w:rPr>
          <w:rFonts w:ascii="Century Gothic" w:eastAsia="Calibri" w:hAnsi="Century Gothic" w:cs="Arial"/>
          <w:lang w:val="es-ES_tradnl" w:eastAsia="es-ES_tradnl"/>
        </w:rPr>
      </w:pPr>
    </w:p>
    <w:p w14:paraId="1A0E0B7F" w14:textId="77777777" w:rsidR="0063179B" w:rsidRPr="0063179B" w:rsidRDefault="0063179B" w:rsidP="0063179B">
      <w:pPr>
        <w:spacing w:after="0" w:line="240" w:lineRule="auto"/>
        <w:ind w:left="709" w:right="709"/>
        <w:contextualSpacing/>
        <w:jc w:val="both"/>
        <w:rPr>
          <w:rFonts w:ascii="Century Gothic" w:eastAsia="Calibri" w:hAnsi="Century Gothic" w:cs="Arial"/>
          <w:sz w:val="21"/>
          <w:szCs w:val="21"/>
          <w:lang w:val="es-ES_tradnl" w:eastAsia="es-ES_tradnl"/>
        </w:rPr>
      </w:pPr>
      <w:r w:rsidRPr="0063179B">
        <w:rPr>
          <w:rFonts w:ascii="Century Gothic" w:eastAsia="Calibri" w:hAnsi="Century Gothic" w:cs="Arial"/>
          <w:sz w:val="21"/>
          <w:szCs w:val="21"/>
          <w:lang w:val="es-ES_tradnl" w:eastAsia="es-ES_tradnl"/>
        </w:rPr>
        <w:t xml:space="preserve">“El Sistema Electrónico de Contratación Pública – SECOP – es una herramienta tecnológica de apoyo a la contratación pública, en la cual se encuentra la información oficial de la contratación realizada </w:t>
      </w:r>
      <w:r w:rsidRPr="0063179B">
        <w:rPr>
          <w:rFonts w:ascii="Century Gothic" w:eastAsia="Calibri" w:hAnsi="Century Gothic" w:cs="Arial"/>
          <w:i/>
          <w:iCs/>
          <w:sz w:val="21"/>
          <w:szCs w:val="21"/>
          <w:lang w:val="es-ES_tradnl" w:eastAsia="es-ES_tradnl"/>
        </w:rPr>
        <w:t>con dineros públicos</w:t>
      </w:r>
      <w:r w:rsidRPr="0063179B">
        <w:rPr>
          <w:rFonts w:ascii="Century Gothic" w:eastAsia="Calibri" w:hAnsi="Century Gothic" w:cs="Arial"/>
          <w:sz w:val="21"/>
          <w:szCs w:val="21"/>
          <w:lang w:val="es-ES_tradnl" w:eastAsia="es-ES_tradnl"/>
        </w:rPr>
        <w:t xml:space="preserve">. Lo anterior, de conformidad con lo establecido en el literal c) del artículo 3 de la Ley 1150 de 2007. </w:t>
      </w:r>
    </w:p>
    <w:p w14:paraId="27DBD703" w14:textId="77777777" w:rsidR="0063179B" w:rsidRPr="0063179B" w:rsidRDefault="0063179B" w:rsidP="0063179B">
      <w:pPr>
        <w:spacing w:after="0" w:line="240" w:lineRule="auto"/>
        <w:ind w:left="709" w:right="709"/>
        <w:contextualSpacing/>
        <w:jc w:val="both"/>
        <w:rPr>
          <w:rFonts w:ascii="Century Gothic" w:eastAsia="Calibri" w:hAnsi="Century Gothic" w:cs="Arial"/>
          <w:sz w:val="21"/>
          <w:szCs w:val="21"/>
          <w:lang w:val="es-ES_tradnl" w:eastAsia="es-ES_tradnl"/>
        </w:rPr>
      </w:pPr>
    </w:p>
    <w:p w14:paraId="37D459B1" w14:textId="77777777" w:rsidR="0063179B" w:rsidRPr="0063179B" w:rsidRDefault="0063179B" w:rsidP="0063179B">
      <w:pPr>
        <w:spacing w:after="0" w:line="240" w:lineRule="auto"/>
        <w:ind w:left="709" w:right="709"/>
        <w:contextualSpacing/>
        <w:jc w:val="both"/>
        <w:rPr>
          <w:rFonts w:ascii="Century Gothic" w:eastAsia="Calibri" w:hAnsi="Century Gothic" w:cs="Arial"/>
          <w:sz w:val="21"/>
          <w:szCs w:val="21"/>
          <w:lang w:val="es-ES_tradnl" w:eastAsia="es-ES_tradnl"/>
        </w:rPr>
      </w:pPr>
      <w:r w:rsidRPr="0063179B">
        <w:rPr>
          <w:rFonts w:ascii="Century Gothic" w:eastAsia="Calibri" w:hAnsi="Century Gothic" w:cs="Arial"/>
          <w:sz w:val="21"/>
          <w:szCs w:val="21"/>
          <w:lang w:val="es-ES_tradnl" w:eastAsia="es-ES_tradnl"/>
        </w:rPr>
        <w:t xml:space="preserve">En ese sentido, las entidades obligadas en virtud del artículo 53 de la Ley 2195 de 2022, deberán realizar la publicación en el SECOP II </w:t>
      </w:r>
      <w:r w:rsidRPr="0063179B">
        <w:rPr>
          <w:rFonts w:ascii="Century Gothic" w:eastAsia="Calibri" w:hAnsi="Century Gothic" w:cs="Arial"/>
          <w:i/>
          <w:iCs/>
          <w:sz w:val="21"/>
          <w:szCs w:val="21"/>
          <w:lang w:val="es-ES_tradnl" w:eastAsia="es-ES_tradnl"/>
        </w:rPr>
        <w:t>de aquellos documentos relacionados con la actividad contractual que se realice con dineros públicos”</w:t>
      </w:r>
      <w:r w:rsidRPr="0063179B">
        <w:rPr>
          <w:rFonts w:ascii="Century Gothic" w:eastAsia="Calibri" w:hAnsi="Century Gothic" w:cs="Arial"/>
          <w:sz w:val="21"/>
          <w:szCs w:val="21"/>
          <w:lang w:val="es-ES_tradnl" w:eastAsia="es-ES_tradnl"/>
        </w:rPr>
        <w:t xml:space="preserve"> […] </w:t>
      </w:r>
      <w:r w:rsidRPr="0063179B">
        <w:rPr>
          <w:rFonts w:ascii="Century Gothic" w:hAnsi="Century Gothic" w:cs="Arial"/>
          <w:sz w:val="21"/>
          <w:szCs w:val="21"/>
          <w:lang w:val="es-ES"/>
        </w:rPr>
        <w:t>(Énfasis fuera del texto original).</w:t>
      </w:r>
    </w:p>
    <w:p w14:paraId="6881BFB4" w14:textId="77777777" w:rsidR="0063179B" w:rsidRPr="0063179B" w:rsidRDefault="0063179B" w:rsidP="0063179B">
      <w:pPr>
        <w:spacing w:after="0" w:line="276" w:lineRule="auto"/>
        <w:ind w:firstLine="709"/>
        <w:contextualSpacing/>
        <w:jc w:val="both"/>
        <w:rPr>
          <w:rFonts w:ascii="Century Gothic" w:eastAsia="Calibri" w:hAnsi="Century Gothic" w:cs="Arial"/>
          <w:lang w:val="es-ES_tradnl" w:eastAsia="es-ES_tradnl"/>
        </w:rPr>
      </w:pPr>
    </w:p>
    <w:p w14:paraId="54A44584" w14:textId="77777777" w:rsidR="0063179B" w:rsidRPr="0063179B" w:rsidRDefault="0063179B" w:rsidP="0063179B">
      <w:pPr>
        <w:spacing w:after="0" w:line="276" w:lineRule="auto"/>
        <w:ind w:firstLine="709"/>
        <w:jc w:val="both"/>
        <w:rPr>
          <w:rFonts w:ascii="Century Gothic" w:hAnsi="Century Gothic" w:cs="Arial"/>
          <w:shd w:val="clear" w:color="auto" w:fill="FFFFFF"/>
        </w:rPr>
      </w:pPr>
      <w:r w:rsidRPr="0063179B">
        <w:rPr>
          <w:rFonts w:ascii="Century Gothic" w:hAnsi="Century Gothic" w:cs="Arial"/>
          <w:lang w:val="es-ES"/>
        </w:rPr>
        <w:t xml:space="preserve">De conformidad con lo expuesto, teniendo en cuenta que el artículo 53 complementa la disposición contenida en el artículo 3 de la Ley 1150 de 2007, debe entenderse que la contratación a la que se refiere es aquella realizada con recursos públicos, cuya información es la que debe publicarse en el SECOP II, acorde con la interpretación sistemática que permite armonizar el referido artículo 53 de la Ley 2195 de 2022 con todo el contexto normativo que establece que en dicha plataforma se debe publicar sólo la información relativa a la actividad contractual con dineros públicos. </w:t>
      </w:r>
      <w:r w:rsidRPr="0063179B">
        <w:rPr>
          <w:rFonts w:ascii="Century Gothic" w:hAnsi="Century Gothic" w:cs="Arial"/>
          <w:shd w:val="clear" w:color="auto" w:fill="FFFFFF"/>
        </w:rPr>
        <w:t xml:space="preserve">Así las cosas, la Agencia Nacional de Contratación Pública – Colombia Compra Eficiente considera que la modificación introducida por el artículo 53 de la Ley 2195 de 2022 no afecta la interpretación adoptada hasta el momento, en el sentido de que la </w:t>
      </w:r>
      <w:r w:rsidRPr="0063179B">
        <w:rPr>
          <w:rFonts w:ascii="Century Gothic" w:hAnsi="Century Gothic" w:cs="Arial"/>
          <w:shd w:val="clear" w:color="auto" w:fill="FFFFFF"/>
          <w:lang w:val="es-ES"/>
        </w:rPr>
        <w:t xml:space="preserve">publicación de la información oficial de la contratación en el SECOP debe realizarse si los negocios jurídicos adelantados fueron financiados con recursos públicos. </w:t>
      </w:r>
    </w:p>
    <w:bookmarkEnd w:id="5"/>
    <w:p w14:paraId="3D0BACB9" w14:textId="77777777" w:rsidR="0063179B" w:rsidRPr="0063179B" w:rsidRDefault="0063179B" w:rsidP="0063179B">
      <w:pPr>
        <w:tabs>
          <w:tab w:val="left" w:pos="709"/>
        </w:tabs>
        <w:spacing w:after="0" w:line="276" w:lineRule="auto"/>
        <w:jc w:val="both"/>
        <w:rPr>
          <w:rFonts w:ascii="Century Gothic" w:eastAsia="Calibri" w:hAnsi="Century Gothic" w:cs="Arial"/>
          <w:bCs/>
          <w:color w:val="000000" w:themeColor="text1"/>
        </w:rPr>
      </w:pPr>
    </w:p>
    <w:p w14:paraId="03EE11E6" w14:textId="77777777" w:rsidR="0063179B" w:rsidRPr="0063179B" w:rsidRDefault="0063179B" w:rsidP="0063179B">
      <w:pPr>
        <w:tabs>
          <w:tab w:val="left" w:pos="0"/>
        </w:tabs>
        <w:spacing w:after="0"/>
        <w:jc w:val="both"/>
        <w:rPr>
          <w:rFonts w:ascii="Century Gothic" w:eastAsia="Calibri" w:hAnsi="Century Gothic" w:cs="Arial"/>
          <w:b/>
          <w:color w:val="000000" w:themeColor="text1"/>
          <w:lang w:val="es-ES_tradnl"/>
        </w:rPr>
      </w:pPr>
      <w:r w:rsidRPr="0063179B">
        <w:rPr>
          <w:rFonts w:ascii="Century Gothic" w:eastAsia="Calibri" w:hAnsi="Century Gothic" w:cs="Arial"/>
          <w:b/>
          <w:color w:val="000000" w:themeColor="text1"/>
          <w:lang w:val="es-ES_tradnl"/>
        </w:rPr>
        <w:t>3. Respuestas</w:t>
      </w:r>
    </w:p>
    <w:p w14:paraId="5F314C1E" w14:textId="77777777" w:rsidR="0063179B" w:rsidRPr="0063179B" w:rsidRDefault="0063179B" w:rsidP="0063179B">
      <w:pPr>
        <w:spacing w:after="0" w:line="276" w:lineRule="auto"/>
        <w:jc w:val="both"/>
        <w:rPr>
          <w:rFonts w:ascii="Century Gothic" w:hAnsi="Century Gothic" w:cs="Arial"/>
          <w:color w:val="000000" w:themeColor="text1"/>
          <w:lang w:val="es-ES_tradnl"/>
        </w:rPr>
      </w:pPr>
    </w:p>
    <w:p w14:paraId="0141F125" w14:textId="77777777" w:rsidR="0063179B" w:rsidRPr="0063179B" w:rsidRDefault="0063179B" w:rsidP="0063179B">
      <w:pPr>
        <w:spacing w:before="120" w:after="0" w:line="240" w:lineRule="auto"/>
        <w:ind w:left="709" w:right="709"/>
        <w:jc w:val="both"/>
        <w:rPr>
          <w:rFonts w:ascii="Century Gothic" w:hAnsi="Century Gothic" w:cs="Arial"/>
          <w:color w:val="000000" w:themeColor="text1"/>
          <w:sz w:val="21"/>
          <w:szCs w:val="21"/>
          <w:lang w:val="es-ES_tradnl"/>
        </w:rPr>
      </w:pPr>
      <w:r w:rsidRPr="0063179B">
        <w:rPr>
          <w:rFonts w:ascii="Century Gothic" w:hAnsi="Century Gothic" w:cs="Arial"/>
          <w:color w:val="000000" w:themeColor="text1"/>
          <w:sz w:val="21"/>
          <w:szCs w:val="21"/>
          <w:lang w:val="es-ES_tradnl"/>
        </w:rPr>
        <w:t>“[…]</w:t>
      </w:r>
    </w:p>
    <w:p w14:paraId="59CCCE8A" w14:textId="77777777" w:rsidR="0063179B" w:rsidRPr="0063179B" w:rsidRDefault="0063179B" w:rsidP="0063179B">
      <w:pPr>
        <w:spacing w:before="120" w:after="0" w:line="240" w:lineRule="auto"/>
        <w:ind w:left="709" w:right="709"/>
        <w:jc w:val="both"/>
        <w:rPr>
          <w:rFonts w:ascii="Century Gothic" w:hAnsi="Century Gothic" w:cs="Arial"/>
          <w:color w:val="000000" w:themeColor="text1"/>
          <w:sz w:val="21"/>
          <w:szCs w:val="21"/>
          <w:lang w:val="es-ES_tradnl"/>
        </w:rPr>
      </w:pPr>
      <w:r w:rsidRPr="0063179B">
        <w:rPr>
          <w:rFonts w:ascii="Century Gothic" w:hAnsi="Century Gothic" w:cs="Arial"/>
          <w:color w:val="000000" w:themeColor="text1"/>
          <w:sz w:val="21"/>
          <w:szCs w:val="21"/>
          <w:lang w:val="es-ES_tradnl"/>
        </w:rPr>
        <w:t xml:space="preserve"> 3. Una empresa de servicios públicos no tiene cuantías como las Alcaldías o Gobernaciones. Cómo se debe establecer la mínima cuantía si no se plasmó en el manual de contratación.</w:t>
      </w:r>
    </w:p>
    <w:p w14:paraId="211C6385" w14:textId="77777777" w:rsidR="0063179B" w:rsidRPr="0063179B" w:rsidRDefault="0063179B" w:rsidP="0063179B">
      <w:pPr>
        <w:spacing w:before="120" w:after="0" w:line="240" w:lineRule="auto"/>
        <w:ind w:left="709" w:right="709"/>
        <w:jc w:val="both"/>
        <w:rPr>
          <w:rFonts w:ascii="Century Gothic" w:hAnsi="Century Gothic" w:cs="Arial"/>
          <w:color w:val="000000" w:themeColor="text1"/>
          <w:sz w:val="21"/>
          <w:szCs w:val="21"/>
          <w:lang w:val="es-ES_tradnl"/>
        </w:rPr>
      </w:pPr>
      <w:r w:rsidRPr="0063179B">
        <w:rPr>
          <w:rFonts w:ascii="Century Gothic" w:hAnsi="Century Gothic" w:cs="Arial"/>
          <w:color w:val="000000" w:themeColor="text1"/>
          <w:sz w:val="21"/>
          <w:szCs w:val="21"/>
          <w:lang w:val="es-ES_tradnl"/>
        </w:rPr>
        <w:t>[…]” [sic]</w:t>
      </w:r>
    </w:p>
    <w:p w14:paraId="5922AD06" w14:textId="77777777" w:rsidR="0063179B" w:rsidRPr="0063179B" w:rsidRDefault="0063179B" w:rsidP="0063179B">
      <w:pPr>
        <w:spacing w:after="0" w:line="276" w:lineRule="auto"/>
        <w:jc w:val="both"/>
        <w:rPr>
          <w:rFonts w:ascii="Century Gothic" w:hAnsi="Century Gothic" w:cs="Arial"/>
          <w:color w:val="000000" w:themeColor="text1"/>
        </w:rPr>
      </w:pPr>
      <w:r w:rsidRPr="0063179B">
        <w:rPr>
          <w:rFonts w:ascii="Century Gothic" w:hAnsi="Century Gothic" w:cs="Arial"/>
          <w:color w:val="000000" w:themeColor="text1"/>
          <w:sz w:val="21"/>
          <w:szCs w:val="21"/>
        </w:rPr>
        <w:t xml:space="preserve"> </w:t>
      </w:r>
    </w:p>
    <w:p w14:paraId="22549281" w14:textId="77777777" w:rsidR="0063179B" w:rsidRPr="0063179B" w:rsidRDefault="0063179B" w:rsidP="0063179B">
      <w:pPr>
        <w:spacing w:after="0" w:line="276" w:lineRule="auto"/>
        <w:jc w:val="both"/>
        <w:rPr>
          <w:rFonts w:ascii="Century Gothic" w:eastAsia="Calibri" w:hAnsi="Century Gothic" w:cs="Arial"/>
          <w:color w:val="000000" w:themeColor="text1"/>
          <w:lang w:val="es-MX"/>
        </w:rPr>
      </w:pPr>
      <w:r w:rsidRPr="0063179B">
        <w:rPr>
          <w:rFonts w:ascii="Century Gothic" w:eastAsia="Calibri" w:hAnsi="Century Gothic" w:cs="Arial"/>
          <w:color w:val="000000" w:themeColor="text1"/>
          <w:lang w:val="es-MX"/>
        </w:rPr>
        <w:t xml:space="preserve">Conforme a lo expuesto en este concepto, las empresas prestadoras de servicios públicos domiciliarios se sujetan, en su actividad contractual, a las disposiciones del </w:t>
      </w:r>
      <w:r w:rsidRPr="0063179B">
        <w:rPr>
          <w:rFonts w:ascii="Century Gothic" w:eastAsia="Calibri" w:hAnsi="Century Gothic" w:cs="Arial"/>
          <w:color w:val="000000" w:themeColor="text1"/>
          <w:lang w:val="es-MX"/>
        </w:rPr>
        <w:lastRenderedPageBreak/>
        <w:t xml:space="preserve">derecho privado, salvo en aquellos casos en los que la Constitución, la Ley 142 de 1994 u otras leyes especiales, sometan tal conducta al EGCAP, es decir, a la Ley 80 de 1993, la Ley 1150 de 2007 y demás normas complementarias. De ahí que, al ostentar la calidad de entidad con régimen especial, están facultadas para expedir un reglamento interno de contratación –comúnmente denominado </w:t>
      </w:r>
      <w:r w:rsidRPr="0063179B">
        <w:rPr>
          <w:rFonts w:ascii="Century Gothic" w:eastAsia="Calibri" w:hAnsi="Century Gothic" w:cs="Arial"/>
          <w:i/>
          <w:iCs/>
          <w:color w:val="000000" w:themeColor="text1"/>
          <w:lang w:val="es-MX"/>
        </w:rPr>
        <w:t>manual de contratación</w:t>
      </w:r>
      <w:r w:rsidRPr="0063179B">
        <w:rPr>
          <w:rFonts w:ascii="Century Gothic" w:eastAsia="Calibri" w:hAnsi="Century Gothic" w:cs="Arial"/>
          <w:color w:val="000000" w:themeColor="text1"/>
          <w:lang w:val="es-MX"/>
        </w:rPr>
        <w:t>–, que regule aspectos asociados a su actividad contractual, como los procedimientos de selección, los requisitos de participación, las condiciones de ejecución del contrato, etc. Por ende, corresponderá a las entidades estatales de régimen especial, incluidas las empresas de servicios públicos domiciliarios, dilucidar según las disposiciones que les son aplicables, la forma en la que determinarán en los manuales de contratación, sus respectivas cuantías.</w:t>
      </w:r>
    </w:p>
    <w:p w14:paraId="218511BE" w14:textId="77777777" w:rsidR="0063179B" w:rsidRPr="0063179B" w:rsidRDefault="0063179B" w:rsidP="0063179B">
      <w:pPr>
        <w:spacing w:after="0" w:line="240" w:lineRule="auto"/>
        <w:ind w:left="709" w:right="709"/>
        <w:jc w:val="both"/>
        <w:rPr>
          <w:rFonts w:ascii="Century Gothic" w:hAnsi="Century Gothic" w:cs="Arial"/>
          <w:color w:val="000000" w:themeColor="text1"/>
          <w:sz w:val="21"/>
          <w:szCs w:val="21"/>
          <w:lang w:val="es-ES_tradnl"/>
        </w:rPr>
      </w:pPr>
    </w:p>
    <w:p w14:paraId="09066651" w14:textId="1AA17483" w:rsidR="0063179B" w:rsidRPr="0063179B" w:rsidRDefault="00496C7E" w:rsidP="0063179B">
      <w:pPr>
        <w:spacing w:after="0" w:line="240" w:lineRule="auto"/>
        <w:ind w:left="709" w:right="709"/>
        <w:jc w:val="both"/>
        <w:rPr>
          <w:rFonts w:ascii="Century Gothic" w:hAnsi="Century Gothic" w:cs="Arial"/>
          <w:color w:val="000000" w:themeColor="text1"/>
          <w:sz w:val="21"/>
          <w:szCs w:val="21"/>
          <w:lang w:val="es-ES_tradnl"/>
        </w:rPr>
      </w:pPr>
      <w:r>
        <w:rPr>
          <w:rFonts w:ascii="Century Gothic" w:hAnsi="Century Gothic" w:cs="Arial"/>
          <w:color w:val="000000" w:themeColor="text1"/>
          <w:sz w:val="21"/>
          <w:szCs w:val="21"/>
          <w:lang w:val="es-ES_tradnl"/>
        </w:rPr>
        <w:t>“</w:t>
      </w:r>
      <w:r w:rsidR="0063179B" w:rsidRPr="0063179B">
        <w:rPr>
          <w:rFonts w:ascii="Century Gothic" w:hAnsi="Century Gothic" w:cs="Arial"/>
          <w:color w:val="000000" w:themeColor="text1"/>
          <w:sz w:val="21"/>
          <w:szCs w:val="21"/>
          <w:lang w:val="es-ES_tradnl"/>
        </w:rPr>
        <w:t>2. ¿Qué contratos debe publicar en SECOP II una empresa de servicios públicos que es gestor del PDA Departamental?</w:t>
      </w:r>
      <w:r>
        <w:rPr>
          <w:rFonts w:ascii="Century Gothic" w:hAnsi="Century Gothic" w:cs="Arial"/>
          <w:color w:val="000000" w:themeColor="text1"/>
          <w:sz w:val="21"/>
          <w:szCs w:val="21"/>
          <w:lang w:val="es-ES_tradnl"/>
        </w:rPr>
        <w:t>”</w:t>
      </w:r>
    </w:p>
    <w:p w14:paraId="558FDF0E" w14:textId="77777777" w:rsidR="0063179B" w:rsidRPr="0063179B" w:rsidRDefault="0063179B" w:rsidP="0063179B">
      <w:pPr>
        <w:spacing w:after="0" w:line="276" w:lineRule="auto"/>
        <w:jc w:val="both"/>
        <w:rPr>
          <w:rFonts w:ascii="Century Gothic" w:hAnsi="Century Gothic" w:cs="Arial"/>
          <w:lang w:val="es-ES"/>
        </w:rPr>
      </w:pPr>
    </w:p>
    <w:p w14:paraId="0B6D0DAE" w14:textId="77777777" w:rsidR="0063179B" w:rsidRPr="0063179B" w:rsidRDefault="0063179B" w:rsidP="0063179B">
      <w:pPr>
        <w:spacing w:after="0" w:line="276" w:lineRule="auto"/>
        <w:ind w:firstLine="708"/>
        <w:jc w:val="both"/>
        <w:rPr>
          <w:rFonts w:ascii="Century Gothic" w:hAnsi="Century Gothic" w:cs="Arial"/>
          <w:lang w:val="es-ES"/>
        </w:rPr>
      </w:pPr>
      <w:r w:rsidRPr="0063179B">
        <w:rPr>
          <w:rFonts w:ascii="Century Gothic" w:hAnsi="Century Gothic" w:cs="Arial"/>
          <w:lang w:val="es-ES"/>
        </w:rPr>
        <w:t xml:space="preserve">El artículo 53 de la Ley 2195 de 2022, hace referencia a la obligación de las entidades exceptuadas de publicar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63179B">
        <w:rPr>
          <w:rFonts w:ascii="Century Gothic" w:hAnsi="Century Gothic" w:cs="Arial"/>
          <w:lang w:val="es-ES"/>
        </w:rPr>
        <w:t>postcontractual</w:t>
      </w:r>
      <w:proofErr w:type="spellEnd"/>
      <w:r w:rsidRPr="0063179B">
        <w:rPr>
          <w:rFonts w:ascii="Century Gothic" w:hAnsi="Century Gothic" w:cs="Arial"/>
          <w:lang w:val="es-ES"/>
        </w:rPr>
        <w:t>”. En ese sentido, la citada disposición establece el deber de publicar toda aquella información relacionada con la actividad contractual, sin incluir ninguna excepción relacionada con la naturaleza u objeto contractual,</w:t>
      </w:r>
      <w:r w:rsidRPr="0063179B">
        <w:t xml:space="preserve"> </w:t>
      </w:r>
      <w:r w:rsidRPr="0063179B">
        <w:rPr>
          <w:rFonts w:ascii="Century Gothic" w:hAnsi="Century Gothic" w:cs="Arial"/>
          <w:lang w:val="es-ES"/>
        </w:rPr>
        <w:t xml:space="preserve">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 </w:t>
      </w:r>
    </w:p>
    <w:p w14:paraId="71B28DC5" w14:textId="77777777" w:rsidR="0063179B" w:rsidRPr="0063179B" w:rsidRDefault="0063179B" w:rsidP="0063179B">
      <w:pPr>
        <w:spacing w:before="120" w:after="0" w:line="276" w:lineRule="auto"/>
        <w:ind w:firstLine="708"/>
        <w:jc w:val="both"/>
        <w:rPr>
          <w:rFonts w:ascii="Century Gothic" w:hAnsi="Century Gothic" w:cs="Arial"/>
          <w:lang w:val="es-ES"/>
        </w:rPr>
      </w:pPr>
      <w:r w:rsidRPr="0063179B">
        <w:rPr>
          <w:rFonts w:ascii="Century Gothic" w:hAnsi="Century Gothic" w:cs="Arial"/>
          <w:lang w:val="es-ES"/>
        </w:rPr>
        <w:t>Sin embargo, debe aclararse, que</w:t>
      </w:r>
      <w:r w:rsidRPr="0063179B">
        <w:t xml:space="preserve"> </w:t>
      </w:r>
      <w:r w:rsidRPr="0063179B">
        <w:rPr>
          <w:rFonts w:ascii="Century Gothic" w:hAnsi="Century Gothic" w:cs="Arial"/>
          <w:lang w:val="es-ES"/>
        </w:rPr>
        <w:t xml:space="preserve">la obligación de publicar la actividad contractual en el SECOP por parte de dichas entidades, aplica sobre la información relacionada con la actividad contractual ejecutada con </w:t>
      </w:r>
      <w:r w:rsidRPr="0063179B">
        <w:rPr>
          <w:rFonts w:ascii="Century Gothic" w:hAnsi="Century Gothic" w:cs="Arial"/>
          <w:i/>
          <w:iCs/>
          <w:lang w:val="es-ES"/>
        </w:rPr>
        <w:t>dineros públicos</w:t>
      </w:r>
      <w:r w:rsidRPr="0063179B">
        <w:rPr>
          <w:rFonts w:ascii="Century Gothic" w:hAnsi="Century Gothic" w:cs="Arial"/>
          <w:lang w:val="es-ES"/>
        </w:rPr>
        <w:t xml:space="preserve">. Por tal razón, puede concluirse, a la luz de las disposiciones que regulan la materia, que el artículo 53 de la Ley 2195 de 2022 –al ampliar la obligación de las entidades con regímenes especiales de publicar su actividad contractual en el SECOP II– se refiere a aquella actividad contractual cuya fuente de financiación provenga de recursos </w:t>
      </w:r>
      <w:r w:rsidRPr="0063179B">
        <w:rPr>
          <w:rFonts w:ascii="Century Gothic" w:hAnsi="Century Gothic" w:cs="Arial"/>
          <w:lang w:val="es-ES"/>
        </w:rPr>
        <w:lastRenderedPageBreak/>
        <w:t>públicos. Esto, de conformidad con una interpretación sistemática de dicha norma con las disposiciones que regulan la publicidad en el SECOP, analizadas en las consideraciones de este concepto.</w:t>
      </w:r>
    </w:p>
    <w:p w14:paraId="69F5BC4B" w14:textId="77777777" w:rsidR="0063179B" w:rsidRPr="0063179B" w:rsidRDefault="0063179B" w:rsidP="0063179B">
      <w:pPr>
        <w:spacing w:after="0" w:line="276" w:lineRule="auto"/>
        <w:jc w:val="both"/>
        <w:rPr>
          <w:rFonts w:ascii="Century Gothic" w:hAnsi="Century Gothic" w:cs="Arial"/>
          <w:lang w:val="es-ES"/>
        </w:rPr>
      </w:pPr>
    </w:p>
    <w:p w14:paraId="134581A9" w14:textId="77777777" w:rsidR="0063179B" w:rsidRPr="0063179B" w:rsidRDefault="0063179B" w:rsidP="0063179B">
      <w:pPr>
        <w:widowControl w:val="0"/>
        <w:autoSpaceDE w:val="0"/>
        <w:autoSpaceDN w:val="0"/>
        <w:spacing w:after="0" w:line="276" w:lineRule="auto"/>
        <w:jc w:val="both"/>
        <w:rPr>
          <w:rFonts w:ascii="Century Gothic" w:hAnsi="Century Gothic" w:cs="Arial"/>
          <w:color w:val="000000" w:themeColor="text1"/>
          <w:lang w:val="es-ES_tradnl" w:bidi="es-ES"/>
        </w:rPr>
      </w:pPr>
      <w:r w:rsidRPr="0063179B">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6C8BDFE6" w14:textId="77777777" w:rsidR="0063179B" w:rsidRPr="0063179B" w:rsidRDefault="0063179B" w:rsidP="0063179B">
      <w:pPr>
        <w:widowControl w:val="0"/>
        <w:autoSpaceDE w:val="0"/>
        <w:autoSpaceDN w:val="0"/>
        <w:spacing w:after="0" w:line="276" w:lineRule="auto"/>
        <w:jc w:val="both"/>
        <w:rPr>
          <w:rFonts w:ascii="Century Gothic" w:hAnsi="Century Gothic" w:cs="Arial"/>
          <w:color w:val="000000" w:themeColor="text1"/>
          <w:lang w:val="es-ES_tradnl" w:bidi="es-ES"/>
        </w:rPr>
      </w:pPr>
    </w:p>
    <w:p w14:paraId="4D195A8A" w14:textId="77777777" w:rsidR="0063179B" w:rsidRPr="0063179B" w:rsidRDefault="0063179B" w:rsidP="0063179B">
      <w:pPr>
        <w:tabs>
          <w:tab w:val="left" w:pos="426"/>
        </w:tabs>
        <w:spacing w:line="276" w:lineRule="auto"/>
        <w:jc w:val="both"/>
        <w:rPr>
          <w:rFonts w:ascii="Century Gothic" w:eastAsia="Times New Roman" w:hAnsi="Century Gothic" w:cs="Arial"/>
          <w:color w:val="000000" w:themeColor="text1"/>
        </w:rPr>
      </w:pPr>
      <w:r w:rsidRPr="0063179B">
        <w:rPr>
          <w:rFonts w:ascii="Century Gothic" w:eastAsia="Times New Roman" w:hAnsi="Century Gothic" w:cs="Arial"/>
          <w:color w:val="000000" w:themeColor="text1"/>
        </w:rPr>
        <w:t>Atentamente,</w:t>
      </w:r>
    </w:p>
    <w:p w14:paraId="60B32DD5" w14:textId="73814664" w:rsidR="0063179B" w:rsidRPr="0063179B" w:rsidRDefault="00C206A3" w:rsidP="0063179B">
      <w:pPr>
        <w:jc w:val="center"/>
        <w:rPr>
          <w:rFonts w:ascii="Century Gothic" w:eastAsia="Times New Roman" w:hAnsi="Century Gothic" w:cs="Arial"/>
          <w:lang w:eastAsia="es-CO"/>
        </w:rPr>
      </w:pPr>
      <w:r>
        <w:rPr>
          <w:rStyle w:val="wacimagecontainer"/>
          <w:rFonts w:ascii="Segoe UI" w:hAnsi="Segoe UI" w:cs="Segoe UI"/>
          <w:noProof/>
          <w:color w:val="000000"/>
          <w:sz w:val="18"/>
          <w:szCs w:val="18"/>
          <w:shd w:val="clear" w:color="auto" w:fill="FFFFFF"/>
        </w:rPr>
        <w:drawing>
          <wp:inline distT="0" distB="0" distL="0" distR="0" wp14:anchorId="484FF7E5" wp14:editId="02592922">
            <wp:extent cx="3155950" cy="1212850"/>
            <wp:effectExtent l="0" t="0" r="6350" b="6350"/>
            <wp:docPr id="13398772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r>
        <w:rPr>
          <w:rFonts w:ascii="Calibri" w:hAnsi="Calibri" w:cs="Calibri"/>
          <w:color w:val="000000"/>
          <w:shd w:val="clear" w:color="auto" w:fill="FFFFFF"/>
        </w:rPr>
        <w:br/>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3179B" w:rsidRPr="0063179B" w14:paraId="10D18835" w14:textId="77777777" w:rsidTr="00A54EA5">
        <w:trPr>
          <w:trHeight w:val="409"/>
        </w:trPr>
        <w:tc>
          <w:tcPr>
            <w:tcW w:w="817" w:type="dxa"/>
            <w:tcBorders>
              <w:top w:val="nil"/>
              <w:left w:val="nil"/>
              <w:bottom w:val="nil"/>
              <w:right w:val="nil"/>
            </w:tcBorders>
            <w:vAlign w:val="center"/>
            <w:hideMark/>
          </w:tcPr>
          <w:p w14:paraId="54F22C14" w14:textId="77777777" w:rsidR="0063179B" w:rsidRPr="0063179B" w:rsidRDefault="0063179B" w:rsidP="0063179B">
            <w:pPr>
              <w:spacing w:after="0" w:line="240" w:lineRule="auto"/>
              <w:jc w:val="both"/>
              <w:rPr>
                <w:rFonts w:ascii="Century Gothic" w:hAnsi="Century Gothic" w:cs="Arial"/>
                <w:sz w:val="16"/>
                <w:szCs w:val="16"/>
              </w:rPr>
            </w:pPr>
            <w:r w:rsidRPr="0063179B">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991E417" w14:textId="77777777" w:rsidR="0063179B" w:rsidRPr="0063179B" w:rsidRDefault="0063179B" w:rsidP="0063179B">
            <w:pPr>
              <w:spacing w:after="0" w:line="240" w:lineRule="auto"/>
              <w:jc w:val="both"/>
              <w:rPr>
                <w:rFonts w:ascii="Century Gothic" w:hAnsi="Century Gothic" w:cs="Arial"/>
                <w:sz w:val="16"/>
                <w:szCs w:val="16"/>
              </w:rPr>
            </w:pPr>
            <w:r w:rsidRPr="0063179B">
              <w:rPr>
                <w:rFonts w:ascii="Century Gothic" w:hAnsi="Century Gothic" w:cs="Arial"/>
                <w:sz w:val="16"/>
                <w:szCs w:val="16"/>
              </w:rPr>
              <w:t>Nasly Yeana Mosquera Rivas</w:t>
            </w:r>
          </w:p>
          <w:p w14:paraId="1CE8249E" w14:textId="77777777" w:rsidR="0063179B" w:rsidRPr="0063179B" w:rsidRDefault="0063179B" w:rsidP="0063179B">
            <w:pPr>
              <w:spacing w:after="0" w:line="240" w:lineRule="auto"/>
              <w:jc w:val="both"/>
              <w:rPr>
                <w:rFonts w:ascii="Century Gothic" w:hAnsi="Century Gothic" w:cs="Arial"/>
                <w:sz w:val="16"/>
                <w:szCs w:val="16"/>
              </w:rPr>
            </w:pPr>
            <w:r w:rsidRPr="0063179B">
              <w:rPr>
                <w:rFonts w:ascii="Century Gothic" w:hAnsi="Century Gothic" w:cs="Arial"/>
                <w:sz w:val="16"/>
                <w:szCs w:val="16"/>
              </w:rPr>
              <w:t>Analista T2 – 06 de la Subdirección de Gestión Contractual</w:t>
            </w:r>
          </w:p>
        </w:tc>
      </w:tr>
      <w:tr w:rsidR="0063179B" w:rsidRPr="0063179B" w14:paraId="5B73E6C6" w14:textId="77777777" w:rsidTr="00A54EA5">
        <w:trPr>
          <w:trHeight w:val="409"/>
        </w:trPr>
        <w:tc>
          <w:tcPr>
            <w:tcW w:w="817" w:type="dxa"/>
            <w:tcBorders>
              <w:top w:val="nil"/>
              <w:left w:val="nil"/>
              <w:right w:val="nil"/>
            </w:tcBorders>
            <w:vAlign w:val="center"/>
          </w:tcPr>
          <w:p w14:paraId="516325AE" w14:textId="77777777" w:rsidR="0063179B" w:rsidRPr="0063179B" w:rsidRDefault="0063179B" w:rsidP="0063179B">
            <w:pPr>
              <w:jc w:val="both"/>
              <w:rPr>
                <w:rFonts w:ascii="Century Gothic" w:hAnsi="Century Gothic" w:cs="Arial"/>
                <w:sz w:val="16"/>
                <w:szCs w:val="16"/>
              </w:rPr>
            </w:pPr>
            <w:r w:rsidRPr="0063179B">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63A9688A" w14:textId="77777777" w:rsidR="0063179B" w:rsidRPr="0063179B" w:rsidRDefault="0063179B" w:rsidP="0063179B">
            <w:pPr>
              <w:spacing w:after="0" w:line="240" w:lineRule="auto"/>
              <w:jc w:val="both"/>
              <w:rPr>
                <w:rFonts w:ascii="Century Gothic" w:hAnsi="Century Gothic" w:cs="Arial"/>
                <w:sz w:val="16"/>
                <w:szCs w:val="16"/>
              </w:rPr>
            </w:pPr>
            <w:r w:rsidRPr="0063179B">
              <w:rPr>
                <w:rFonts w:ascii="Century Gothic" w:hAnsi="Century Gothic" w:cs="Arial"/>
                <w:sz w:val="16"/>
                <w:szCs w:val="16"/>
              </w:rPr>
              <w:t>Alejandro Sarmiento Cantillo</w:t>
            </w:r>
          </w:p>
          <w:p w14:paraId="751C5849" w14:textId="77777777" w:rsidR="0063179B" w:rsidRPr="0063179B" w:rsidRDefault="0063179B" w:rsidP="0063179B">
            <w:pPr>
              <w:spacing w:after="0" w:line="240" w:lineRule="auto"/>
              <w:jc w:val="both"/>
              <w:rPr>
                <w:rFonts w:ascii="Century Gothic" w:hAnsi="Century Gothic" w:cs="Arial"/>
                <w:sz w:val="16"/>
                <w:szCs w:val="16"/>
              </w:rPr>
            </w:pPr>
            <w:r w:rsidRPr="0063179B">
              <w:rPr>
                <w:rFonts w:ascii="Century Gothic" w:hAnsi="Century Gothic" w:cs="Arial"/>
                <w:sz w:val="16"/>
                <w:szCs w:val="16"/>
              </w:rPr>
              <w:t>Gestor T1 – 15 de la Subdirección de Gestión Contractual</w:t>
            </w:r>
          </w:p>
        </w:tc>
      </w:tr>
      <w:tr w:rsidR="0063179B" w:rsidRPr="0063179B" w14:paraId="0F2E2D58" w14:textId="77777777" w:rsidTr="00A54EA5">
        <w:trPr>
          <w:trHeight w:val="389"/>
        </w:trPr>
        <w:tc>
          <w:tcPr>
            <w:tcW w:w="817" w:type="dxa"/>
            <w:tcBorders>
              <w:top w:val="nil"/>
              <w:left w:val="nil"/>
              <w:bottom w:val="nil"/>
              <w:right w:val="nil"/>
            </w:tcBorders>
            <w:vAlign w:val="center"/>
            <w:hideMark/>
          </w:tcPr>
          <w:p w14:paraId="08691652" w14:textId="77777777" w:rsidR="0063179B" w:rsidRPr="0063179B" w:rsidRDefault="0063179B" w:rsidP="0063179B">
            <w:pPr>
              <w:spacing w:after="0" w:line="240" w:lineRule="auto"/>
              <w:jc w:val="both"/>
              <w:rPr>
                <w:rFonts w:ascii="Century Gothic" w:hAnsi="Century Gothic" w:cs="Arial"/>
                <w:sz w:val="16"/>
                <w:szCs w:val="16"/>
              </w:rPr>
            </w:pPr>
            <w:r w:rsidRPr="0063179B">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289F9D7" w14:textId="77777777" w:rsidR="0063179B" w:rsidRPr="0063179B" w:rsidRDefault="0063179B" w:rsidP="0063179B">
            <w:pPr>
              <w:spacing w:after="0" w:line="240" w:lineRule="auto"/>
              <w:jc w:val="both"/>
              <w:rPr>
                <w:rFonts w:ascii="Century Gothic" w:hAnsi="Century Gothic" w:cs="Arial"/>
                <w:sz w:val="16"/>
                <w:szCs w:val="16"/>
              </w:rPr>
            </w:pPr>
            <w:r w:rsidRPr="0063179B">
              <w:rPr>
                <w:rFonts w:ascii="Century Gothic" w:hAnsi="Century Gothic" w:cs="Arial"/>
                <w:sz w:val="16"/>
                <w:szCs w:val="16"/>
              </w:rPr>
              <w:t xml:space="preserve">Nohelia del Carmen </w:t>
            </w:r>
            <w:proofErr w:type="spellStart"/>
            <w:r w:rsidRPr="0063179B">
              <w:rPr>
                <w:rFonts w:ascii="Century Gothic" w:hAnsi="Century Gothic" w:cs="Arial"/>
                <w:sz w:val="16"/>
                <w:szCs w:val="16"/>
              </w:rPr>
              <w:t>Zawady</w:t>
            </w:r>
            <w:proofErr w:type="spellEnd"/>
            <w:r w:rsidRPr="0063179B">
              <w:rPr>
                <w:rFonts w:ascii="Century Gothic" w:hAnsi="Century Gothic" w:cs="Arial"/>
                <w:sz w:val="16"/>
                <w:szCs w:val="16"/>
              </w:rPr>
              <w:t xml:space="preserve"> Palacio</w:t>
            </w:r>
          </w:p>
          <w:p w14:paraId="424293D5" w14:textId="77777777" w:rsidR="0063179B" w:rsidRPr="0063179B" w:rsidRDefault="0063179B" w:rsidP="0063179B">
            <w:pPr>
              <w:spacing w:after="0" w:line="240" w:lineRule="auto"/>
              <w:jc w:val="both"/>
              <w:rPr>
                <w:rFonts w:ascii="Century Gothic" w:hAnsi="Century Gothic" w:cs="Arial"/>
                <w:sz w:val="16"/>
                <w:szCs w:val="16"/>
              </w:rPr>
            </w:pPr>
            <w:r w:rsidRPr="0063179B">
              <w:rPr>
                <w:rFonts w:ascii="Century Gothic" w:hAnsi="Century Gothic" w:cs="Arial"/>
                <w:sz w:val="16"/>
                <w:szCs w:val="16"/>
              </w:rPr>
              <w:t>Subdirectora de Gestión Contractual ANCP - CCE</w:t>
            </w:r>
          </w:p>
        </w:tc>
      </w:tr>
      <w:bookmarkEnd w:id="2"/>
    </w:tbl>
    <w:p w14:paraId="5F3D8EF3" w14:textId="77777777" w:rsidR="0063179B" w:rsidRPr="0063179B" w:rsidRDefault="0063179B" w:rsidP="0063179B">
      <w:pPr>
        <w:rPr>
          <w:rFonts w:ascii="Century Gothic" w:hAnsi="Century Gothic"/>
        </w:rPr>
      </w:pPr>
    </w:p>
    <w:p w14:paraId="0F293BF4" w14:textId="7BBFAB11" w:rsidR="00127233" w:rsidRPr="0063179B" w:rsidRDefault="00127233" w:rsidP="0063179B"/>
    <w:sectPr w:rsidR="00127233" w:rsidRPr="0063179B"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96A65" w14:textId="77777777" w:rsidR="004210B4" w:rsidRDefault="004210B4" w:rsidP="004A1847">
      <w:pPr>
        <w:spacing w:after="0" w:line="240" w:lineRule="auto"/>
      </w:pPr>
      <w:r>
        <w:separator/>
      </w:r>
    </w:p>
  </w:endnote>
  <w:endnote w:type="continuationSeparator" w:id="0">
    <w:p w14:paraId="05E25861" w14:textId="77777777" w:rsidR="004210B4" w:rsidRDefault="004210B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mbria"/>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41BBE" w14:textId="77777777" w:rsidR="004210B4" w:rsidRDefault="004210B4" w:rsidP="004A1847">
      <w:pPr>
        <w:spacing w:after="0" w:line="240" w:lineRule="auto"/>
      </w:pPr>
      <w:r>
        <w:separator/>
      </w:r>
    </w:p>
  </w:footnote>
  <w:footnote w:type="continuationSeparator" w:id="0">
    <w:p w14:paraId="30203CAF" w14:textId="77777777" w:rsidR="004210B4" w:rsidRDefault="004210B4" w:rsidP="004A1847">
      <w:pPr>
        <w:spacing w:after="0" w:line="240" w:lineRule="auto"/>
      </w:pPr>
      <w:r>
        <w:continuationSeparator/>
      </w:r>
    </w:p>
  </w:footnote>
  <w:footnote w:id="1">
    <w:p w14:paraId="2ED70BA1" w14:textId="77777777" w:rsidR="0063179B" w:rsidRPr="00666043" w:rsidRDefault="0063179B" w:rsidP="0063179B">
      <w:pPr>
        <w:pStyle w:val="Textonotapie"/>
        <w:ind w:firstLine="708"/>
        <w:jc w:val="both"/>
        <w:rPr>
          <w:rFonts w:ascii="Century Gothic" w:hAnsi="Century Gothic" w:cs="Arial"/>
          <w:sz w:val="12"/>
          <w:szCs w:val="12"/>
          <w:lang w:val="es-ES"/>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La Agencia Nacional de Contratación Pública </w:t>
      </w:r>
      <w:r w:rsidRPr="00666043">
        <w:rPr>
          <w:rFonts w:ascii="Arial" w:hAnsi="Arial" w:cs="Arial"/>
          <w:sz w:val="12"/>
          <w:szCs w:val="12"/>
        </w:rPr>
        <w:t>‒</w:t>
      </w:r>
      <w:r w:rsidRPr="00666043">
        <w:rPr>
          <w:rFonts w:ascii="Century Gothic" w:hAnsi="Century Gothic" w:cs="Arial"/>
          <w:sz w:val="12"/>
          <w:szCs w:val="12"/>
        </w:rPr>
        <w:t xml:space="preserve"> Colombia Compra Eficiente fue creada por el Decreto Ley 4170 de 2011. Su objetivo es servir como ente rector de la pol</w:t>
      </w:r>
      <w:r w:rsidRPr="00666043">
        <w:rPr>
          <w:rFonts w:ascii="Century Gothic" w:hAnsi="Century Gothic" w:cs="Century Gothic"/>
          <w:sz w:val="12"/>
          <w:szCs w:val="12"/>
        </w:rPr>
        <w:t>í</w:t>
      </w:r>
      <w:r w:rsidRPr="00666043">
        <w:rPr>
          <w:rFonts w:ascii="Century Gothic" w:hAnsi="Century Gothic" w:cs="Arial"/>
          <w:sz w:val="12"/>
          <w:szCs w:val="12"/>
        </w:rPr>
        <w:t>tica de compras y contrataci</w:t>
      </w:r>
      <w:r w:rsidRPr="00666043">
        <w:rPr>
          <w:rFonts w:ascii="Century Gothic" w:hAnsi="Century Gothic" w:cs="Century Gothic"/>
          <w:sz w:val="12"/>
          <w:szCs w:val="12"/>
        </w:rPr>
        <w:t>ó</w:t>
      </w:r>
      <w:r w:rsidRPr="00666043">
        <w:rPr>
          <w:rFonts w:ascii="Century Gothic" w:hAnsi="Century Gothic" w:cs="Arial"/>
          <w:sz w:val="12"/>
          <w:szCs w:val="12"/>
        </w:rPr>
        <w:t xml:space="preserve">n del Estado. Para tales fines, como </w:t>
      </w:r>
      <w:r w:rsidRPr="00666043">
        <w:rPr>
          <w:rFonts w:ascii="Century Gothic" w:hAnsi="Century Gothic" w:cs="Century Gothic"/>
          <w:sz w:val="12"/>
          <w:szCs w:val="12"/>
        </w:rPr>
        <w:t>ó</w:t>
      </w:r>
      <w:r w:rsidRPr="00666043">
        <w:rPr>
          <w:rFonts w:ascii="Century Gothic" w:hAnsi="Century Gothic" w:cs="Arial"/>
          <w:sz w:val="12"/>
          <w:szCs w:val="12"/>
        </w:rPr>
        <w:t>rgano t</w:t>
      </w:r>
      <w:r w:rsidRPr="00666043">
        <w:rPr>
          <w:rFonts w:ascii="Century Gothic" w:hAnsi="Century Gothic" w:cs="Century Gothic"/>
          <w:sz w:val="12"/>
          <w:szCs w:val="12"/>
        </w:rPr>
        <w:t>é</w:t>
      </w:r>
      <w:r w:rsidRPr="00666043">
        <w:rPr>
          <w:rFonts w:ascii="Century Gothic" w:hAnsi="Century Gothic" w:cs="Arial"/>
          <w:sz w:val="12"/>
          <w:szCs w:val="12"/>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666043">
        <w:rPr>
          <w:rFonts w:ascii="Century Gothic" w:hAnsi="Century Gothic" w:cs="Arial"/>
          <w:i/>
          <w:iCs/>
          <w:sz w:val="12"/>
          <w:szCs w:val="12"/>
        </w:rPr>
        <w:t xml:space="preserve">ibidem </w:t>
      </w:r>
      <w:r w:rsidRPr="00666043">
        <w:rPr>
          <w:rFonts w:ascii="Century Gothic" w:hAnsi="Century Gothic" w:cs="Arial"/>
          <w:sz w:val="12"/>
          <w:szCs w:val="12"/>
        </w:rPr>
        <w:t xml:space="preserve">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 </w:t>
      </w:r>
    </w:p>
  </w:footnote>
  <w:footnote w:id="2">
    <w:p w14:paraId="0AE5EB18" w14:textId="77777777" w:rsidR="0063179B" w:rsidRPr="00666043" w:rsidRDefault="0063179B" w:rsidP="0063179B">
      <w:pPr>
        <w:pStyle w:val="Textonotapie"/>
        <w:ind w:firstLine="708"/>
        <w:contextualSpacing/>
        <w:jc w:val="both"/>
        <w:rPr>
          <w:rFonts w:ascii="Century Gothic" w:hAnsi="Century Gothic" w:cs="Arial"/>
          <w:sz w:val="12"/>
          <w:szCs w:val="12"/>
          <w:shd w:val="clear" w:color="auto" w:fill="E6E6E6"/>
        </w:rPr>
      </w:pPr>
      <w:r w:rsidRPr="00666043">
        <w:rPr>
          <w:rStyle w:val="Refdenotaalpie"/>
          <w:rFonts w:ascii="Century Gothic" w:hAnsi="Century Gothic" w:cs="Arial"/>
          <w:sz w:val="12"/>
          <w:szCs w:val="12"/>
        </w:rPr>
        <w:footnoteRef/>
      </w:r>
      <w:r w:rsidRPr="00666043">
        <w:rPr>
          <w:rFonts w:ascii="Century Gothic" w:hAnsi="Century Gothic" w:cs="Arial"/>
          <w:sz w:val="12"/>
          <w:szCs w:val="12"/>
          <w:shd w:val="clear" w:color="auto" w:fill="E6E6E6"/>
        </w:rPr>
        <w:t xml:space="preserve"> </w:t>
      </w:r>
      <w:r w:rsidRPr="00666043">
        <w:rPr>
          <w:rFonts w:ascii="Century Gothic" w:hAnsi="Century Gothic" w:cs="Arial"/>
          <w:sz w:val="12"/>
          <w:szCs w:val="12"/>
        </w:rPr>
        <w:t>Los conceptos referenciados, así como otros expedidos por la Subdirección se encuentran disponibles para consulta pública en el portal de relatoría de la Agencia, al cual se puede acceder a través del siguiente enlace:</w:t>
      </w:r>
      <w:r w:rsidRPr="00666043">
        <w:rPr>
          <w:rFonts w:ascii="Century Gothic" w:hAnsi="Century Gothic" w:cs="Arial"/>
          <w:sz w:val="12"/>
          <w:szCs w:val="12"/>
          <w:shd w:val="clear" w:color="auto" w:fill="E6E6E6"/>
        </w:rPr>
        <w:t xml:space="preserve"> </w:t>
      </w:r>
      <w:hyperlink r:id="rId1" w:history="1">
        <w:r w:rsidRPr="00666043">
          <w:rPr>
            <w:rStyle w:val="Hipervnculo"/>
            <w:rFonts w:ascii="Century Gothic" w:hAnsi="Century Gothic" w:cs="Arial"/>
            <w:sz w:val="12"/>
            <w:szCs w:val="12"/>
          </w:rPr>
          <w:t>https://relatoria.colombiacompra.gov.co/busqueda/conceptos</w:t>
        </w:r>
      </w:hyperlink>
      <w:r w:rsidRPr="00666043">
        <w:rPr>
          <w:rFonts w:ascii="Century Gothic" w:hAnsi="Century Gothic" w:cs="Arial"/>
          <w:sz w:val="12"/>
          <w:szCs w:val="12"/>
          <w:shd w:val="clear" w:color="auto" w:fill="E6E6E6"/>
        </w:rPr>
        <w:t xml:space="preserve"> </w:t>
      </w:r>
    </w:p>
    <w:p w14:paraId="3178B5C3" w14:textId="77777777" w:rsidR="0063179B" w:rsidRPr="00666043" w:rsidRDefault="0063179B" w:rsidP="0063179B">
      <w:pPr>
        <w:pStyle w:val="Textonotapie"/>
        <w:ind w:firstLine="708"/>
        <w:contextualSpacing/>
        <w:jc w:val="both"/>
        <w:rPr>
          <w:rFonts w:ascii="Century Gothic" w:hAnsi="Century Gothic" w:cs="Arial"/>
          <w:sz w:val="12"/>
          <w:szCs w:val="12"/>
        </w:rPr>
      </w:pPr>
    </w:p>
  </w:footnote>
  <w:footnote w:id="3">
    <w:p w14:paraId="7EE1BC99" w14:textId="77777777" w:rsidR="0063179B" w:rsidRPr="00666043" w:rsidRDefault="0063179B" w:rsidP="0063179B">
      <w:pPr>
        <w:pStyle w:val="Textonotapie"/>
        <w:ind w:firstLine="708"/>
        <w:contextualSpacing/>
        <w:jc w:val="both"/>
        <w:rPr>
          <w:rFonts w:ascii="Century Gothic" w:hAnsi="Century Gothic" w:cs="Arial"/>
          <w:color w:val="000000"/>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w:t>
      </w:r>
      <w:r w:rsidRPr="00666043">
        <w:rPr>
          <w:rFonts w:ascii="Century Gothic" w:hAnsi="Century Gothic" w:cs="Arial"/>
          <w:color w:val="000000"/>
          <w:sz w:val="12"/>
          <w:szCs w:val="12"/>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666043">
        <w:rPr>
          <w:rFonts w:ascii="Century Gothic" w:hAnsi="Century Gothic" w:cs="Arial"/>
          <w:bCs/>
          <w:i/>
          <w:iCs/>
          <w:color w:val="000000"/>
          <w:sz w:val="12"/>
          <w:szCs w:val="12"/>
        </w:rPr>
        <w:t>las empresas oficiales de servicios públicos</w:t>
      </w:r>
      <w:r w:rsidRPr="00666043">
        <w:rPr>
          <w:rFonts w:ascii="Century Gothic" w:hAnsi="Century Gothic" w:cs="Arial"/>
          <w:color w:val="000000"/>
          <w:sz w:val="12"/>
          <w:szCs w:val="12"/>
        </w:rPr>
        <w:t> y las demás entidades creadas por la ley o con su autorización, cuyo objeto principal sea el ejercicio de funciones administrativas, la prestación de servicios públicos o la realización de actividades.</w:t>
      </w:r>
    </w:p>
    <w:p w14:paraId="350D33B7" w14:textId="77777777" w:rsidR="0063179B" w:rsidRPr="00666043" w:rsidRDefault="0063179B" w:rsidP="0063179B">
      <w:pPr>
        <w:pStyle w:val="Textonotapie"/>
        <w:ind w:firstLine="708"/>
        <w:contextualSpacing/>
        <w:jc w:val="both"/>
        <w:rPr>
          <w:rFonts w:ascii="Century Gothic" w:hAnsi="Century Gothic" w:cs="Arial"/>
          <w:sz w:val="12"/>
          <w:szCs w:val="12"/>
        </w:rPr>
      </w:pPr>
    </w:p>
  </w:footnote>
  <w:footnote w:id="4">
    <w:p w14:paraId="5685D051"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lang w:val="pt-PT"/>
        </w:rPr>
        <w:t xml:space="preserve"> </w:t>
      </w:r>
      <w:r w:rsidRPr="00666043">
        <w:rPr>
          <w:rFonts w:ascii="Century Gothic" w:hAnsi="Century Gothic" w:cs="Arial"/>
          <w:sz w:val="12"/>
          <w:szCs w:val="12"/>
          <w:lang w:val="pt-PT"/>
        </w:rPr>
        <w:t xml:space="preserve">Corte Constitucional. Sentencia C-736 de 2007. </w:t>
      </w:r>
      <w:r w:rsidRPr="00666043">
        <w:rPr>
          <w:rFonts w:ascii="Century Gothic" w:hAnsi="Century Gothic" w:cs="Arial"/>
          <w:sz w:val="12"/>
          <w:szCs w:val="12"/>
        </w:rPr>
        <w:t>M.P. Marco Gerardo Monroy Cabra.</w:t>
      </w:r>
    </w:p>
    <w:p w14:paraId="66958F49" w14:textId="77777777" w:rsidR="0063179B" w:rsidRPr="00666043" w:rsidRDefault="0063179B" w:rsidP="0063179B">
      <w:pPr>
        <w:pStyle w:val="Textonotapie"/>
        <w:ind w:firstLine="708"/>
        <w:contextualSpacing/>
        <w:jc w:val="both"/>
        <w:rPr>
          <w:rFonts w:ascii="Century Gothic" w:hAnsi="Century Gothic" w:cs="Arial"/>
          <w:sz w:val="12"/>
          <w:szCs w:val="12"/>
        </w:rPr>
      </w:pPr>
    </w:p>
  </w:footnote>
  <w:footnote w:id="5">
    <w:p w14:paraId="12A6D7E3"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Ibid.</w:t>
      </w:r>
    </w:p>
    <w:p w14:paraId="25B4D650" w14:textId="77777777" w:rsidR="0063179B" w:rsidRPr="00666043" w:rsidRDefault="0063179B" w:rsidP="0063179B">
      <w:pPr>
        <w:pStyle w:val="Textonotapie"/>
        <w:ind w:firstLine="708"/>
        <w:contextualSpacing/>
        <w:jc w:val="both"/>
        <w:rPr>
          <w:rFonts w:ascii="Century Gothic" w:hAnsi="Century Gothic" w:cs="Arial"/>
          <w:sz w:val="12"/>
          <w:szCs w:val="12"/>
        </w:rPr>
      </w:pPr>
    </w:p>
  </w:footnote>
  <w:footnote w:id="6">
    <w:p w14:paraId="258E9368"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69B9B62D"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148EBB6F"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42B9580F" w14:textId="77777777" w:rsidR="0063179B" w:rsidRPr="00666043" w:rsidRDefault="0063179B" w:rsidP="0063179B">
      <w:pPr>
        <w:pStyle w:val="Textonotapie"/>
        <w:ind w:firstLine="708"/>
        <w:contextualSpacing/>
        <w:jc w:val="both"/>
        <w:rPr>
          <w:rFonts w:ascii="Century Gothic" w:hAnsi="Century Gothic" w:cs="Arial"/>
          <w:sz w:val="12"/>
          <w:szCs w:val="12"/>
        </w:rPr>
      </w:pPr>
    </w:p>
  </w:footnote>
  <w:footnote w:id="7">
    <w:p w14:paraId="5B73FCE8"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En efecto, dicho artículo establece: “Pueden prestar los servicios públicos:</w:t>
      </w:r>
    </w:p>
    <w:p w14:paraId="0BBA38BC"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15.1. Las empresas de servicios públicos.</w:t>
      </w:r>
    </w:p>
    <w:p w14:paraId="021F3FB8"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15.2. Las personas naturales o jurídicas que produzcan para ellas mismas, o como consecuencia o complemento de su actividad principal, los bienes y servicios propios del objeto de las empresas de servicios públicos.</w:t>
      </w:r>
    </w:p>
    <w:p w14:paraId="03DC2AE6"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15.3. Los municipios cuando asuman en forma directa, a través de su administración central, la prestación de los servicios públicos, conforme a lo dispuesto en esta Ley.</w:t>
      </w:r>
    </w:p>
    <w:p w14:paraId="30665DC0"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15.4. Las organizaciones autorizadas conforme a esta Ley para prestar servicios públicos en municipios menores en zonas rurales y en áreas o zonas urbanas específicas.</w:t>
      </w:r>
    </w:p>
    <w:p w14:paraId="62274EF4"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15.5. Las entidades autorizadas para prestar servicios públicos durante los períodos de transición previstos en esta Ley.</w:t>
      </w:r>
    </w:p>
    <w:p w14:paraId="190CCAC9"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15.6. Las entidades descentralizadas de cualquier orden territorial o nacional que al momento de expedirse esta Ley estén prestando cualquiera de los servicios públicos y se ajusten a lo establecido</w:t>
      </w:r>
    </w:p>
    <w:p w14:paraId="1ACC3E9D"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en el parágrafo del artículo 17”</w:t>
      </w:r>
    </w:p>
    <w:p w14:paraId="288ACC5A" w14:textId="77777777" w:rsidR="0063179B" w:rsidRPr="00666043" w:rsidRDefault="0063179B" w:rsidP="0063179B">
      <w:pPr>
        <w:pStyle w:val="Textonotapie"/>
        <w:ind w:firstLine="708"/>
        <w:contextualSpacing/>
        <w:jc w:val="both"/>
        <w:rPr>
          <w:rFonts w:ascii="Century Gothic" w:hAnsi="Century Gothic" w:cs="Arial"/>
          <w:sz w:val="12"/>
          <w:szCs w:val="12"/>
        </w:rPr>
      </w:pPr>
    </w:p>
  </w:footnote>
  <w:footnote w:id="8">
    <w:p w14:paraId="6FCE5ED3"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5B18C574"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La regla precedente se aplicará, inclusive, a las sociedades en las que las entidades públicas sean parte, sin atender al porcentaje que sus aportes representen dentro del capital social, ni a la naturaleza del acto o del derecho que se ejerce.</w:t>
      </w:r>
    </w:p>
    <w:p w14:paraId="605BD645"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Fonts w:ascii="Century Gothic" w:hAnsi="Century Gothic" w:cs="Arial"/>
          <w:sz w:val="12"/>
          <w:szCs w:val="12"/>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3E37FAD2" w14:textId="77777777" w:rsidR="0063179B" w:rsidRPr="00666043" w:rsidRDefault="0063179B" w:rsidP="0063179B">
      <w:pPr>
        <w:pStyle w:val="Textonotapie"/>
        <w:ind w:firstLine="708"/>
        <w:contextualSpacing/>
        <w:jc w:val="both"/>
        <w:rPr>
          <w:rFonts w:ascii="Century Gothic" w:hAnsi="Century Gothic" w:cs="Arial"/>
          <w:sz w:val="12"/>
          <w:szCs w:val="12"/>
        </w:rPr>
      </w:pPr>
    </w:p>
  </w:footnote>
  <w:footnote w:id="9">
    <w:p w14:paraId="049E1765"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p w14:paraId="3FF42DA5" w14:textId="77777777" w:rsidR="0063179B" w:rsidRPr="00666043" w:rsidRDefault="0063179B" w:rsidP="0063179B">
      <w:pPr>
        <w:pStyle w:val="Textonotapie"/>
        <w:ind w:firstLine="708"/>
        <w:contextualSpacing/>
        <w:jc w:val="both"/>
        <w:rPr>
          <w:rFonts w:ascii="Century Gothic" w:hAnsi="Century Gothic" w:cs="Arial"/>
          <w:sz w:val="12"/>
          <w:szCs w:val="12"/>
        </w:rPr>
      </w:pPr>
    </w:p>
  </w:footnote>
  <w:footnote w:id="10">
    <w:p w14:paraId="1587F660"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8 Esta norma dispone: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w:t>
      </w:r>
    </w:p>
    <w:p w14:paraId="1C0375C7" w14:textId="77777777" w:rsidR="0063179B" w:rsidRPr="00666043" w:rsidRDefault="0063179B" w:rsidP="0063179B">
      <w:pPr>
        <w:pStyle w:val="Textonotapie"/>
        <w:ind w:firstLine="708"/>
        <w:contextualSpacing/>
        <w:jc w:val="both"/>
        <w:rPr>
          <w:rFonts w:ascii="Century Gothic" w:hAnsi="Century Gothic" w:cs="Arial"/>
          <w:sz w:val="12"/>
          <w:szCs w:val="12"/>
        </w:rPr>
      </w:pPr>
    </w:p>
  </w:footnote>
  <w:footnote w:id="11">
    <w:p w14:paraId="4BCA0FE9" w14:textId="77777777" w:rsidR="0063179B" w:rsidRPr="00666043" w:rsidRDefault="0063179B" w:rsidP="0063179B">
      <w:pPr>
        <w:pStyle w:val="Textonotapie"/>
        <w:ind w:firstLine="708"/>
        <w:jc w:val="both"/>
        <w:rPr>
          <w:rFonts w:ascii="Century Gothic" w:hAnsi="Century Gothic"/>
          <w:sz w:val="12"/>
          <w:szCs w:val="12"/>
          <w:lang w:val="es-CO"/>
        </w:rPr>
      </w:pPr>
      <w:r w:rsidRPr="00666043">
        <w:rPr>
          <w:rStyle w:val="Refdenotaalpie"/>
          <w:rFonts w:ascii="Century Gothic" w:hAnsi="Century Gothic"/>
          <w:sz w:val="12"/>
          <w:szCs w:val="12"/>
        </w:rPr>
        <w:footnoteRef/>
      </w:r>
      <w:r w:rsidRPr="00666043">
        <w:rPr>
          <w:rFonts w:ascii="Century Gothic" w:hAnsi="Century Gothic"/>
          <w:sz w:val="12"/>
          <w:szCs w:val="12"/>
        </w:rPr>
        <w:t xml:space="preserve"> 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  </w:t>
      </w:r>
    </w:p>
  </w:footnote>
  <w:footnote w:id="12">
    <w:p w14:paraId="21D13576"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p>
    <w:p w14:paraId="71FCC535"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r w:rsidRPr="00666043">
        <w:rPr>
          <w:rStyle w:val="Refdenotaalpie"/>
          <w:rFonts w:ascii="Century Gothic" w:hAnsi="Century Gothic" w:cs="Arial"/>
          <w:color w:val="000000"/>
          <w:sz w:val="12"/>
          <w:szCs w:val="12"/>
        </w:rPr>
        <w:footnoteRef/>
      </w:r>
      <w:r w:rsidRPr="00666043">
        <w:rPr>
          <w:rFonts w:ascii="Century Gothic" w:hAnsi="Century Gothic" w:cs="Arial"/>
          <w:color w:val="000000"/>
          <w:sz w:val="12"/>
          <w:szCs w:val="12"/>
        </w:rPr>
        <w:t xml:space="preserve"> Corte Constitucional. Sentencia C- 341 del 4 de junio de 2014. M. P. Mauricio González Cuervo.</w:t>
      </w:r>
    </w:p>
    <w:p w14:paraId="09267E30"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p>
  </w:footnote>
  <w:footnote w:id="13">
    <w:p w14:paraId="24C3BBB3"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r w:rsidRPr="00666043">
        <w:rPr>
          <w:rStyle w:val="Refdenotaalpie"/>
          <w:rFonts w:ascii="Century Gothic" w:hAnsi="Century Gothic" w:cs="Arial"/>
          <w:color w:val="000000"/>
          <w:sz w:val="12"/>
          <w:szCs w:val="12"/>
        </w:rPr>
        <w:footnoteRef/>
      </w:r>
      <w:r w:rsidRPr="00666043">
        <w:rPr>
          <w:rFonts w:ascii="Century Gothic" w:hAnsi="Century Gothic" w:cs="Arial"/>
          <w:color w:val="000000"/>
          <w:sz w:val="12"/>
          <w:szCs w:val="12"/>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40487B7"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p>
    <w:p w14:paraId="3CD7281C"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r w:rsidRPr="00666043">
        <w:rPr>
          <w:rFonts w:ascii="Century Gothic" w:hAnsi="Century Gothic" w:cs="Arial"/>
          <w:color w:val="000000"/>
          <w:sz w:val="12"/>
          <w:szCs w:val="12"/>
        </w:rPr>
        <w:t>Lo anterior, sin perjuicio de las publicaciones previstas en el numeral 3 del artículo 30 de la Ley 80 de 1993.</w:t>
      </w:r>
    </w:p>
    <w:p w14:paraId="252A8F98"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r w:rsidRPr="00666043">
        <w:rPr>
          <w:rFonts w:ascii="Century Gothic" w:hAnsi="Century Gothic" w:cs="Arial"/>
          <w:color w:val="000000"/>
          <w:sz w:val="12"/>
          <w:szCs w:val="12"/>
        </w:rPr>
        <w:t xml:space="preserve">Con el fin de materializar los objetivos a que se refiere el inciso anterior, el Gobierno Nacional desarrollará el Sistema Electrónico para la Contratación Pública, Secop, el cual: </w:t>
      </w:r>
    </w:p>
    <w:p w14:paraId="6CD37064"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r w:rsidRPr="00666043">
        <w:rPr>
          <w:rFonts w:ascii="Century Gothic" w:hAnsi="Century Gothic" w:cs="Arial"/>
          <w:color w:val="000000"/>
          <w:sz w:val="12"/>
          <w:szCs w:val="12"/>
        </w:rPr>
        <w:t>[…]</w:t>
      </w:r>
    </w:p>
    <w:p w14:paraId="068B92AF"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r w:rsidRPr="00666043">
        <w:rPr>
          <w:rFonts w:ascii="Century Gothic" w:hAnsi="Century Gothic" w:cs="Arial"/>
          <w:color w:val="000000"/>
          <w:sz w:val="12"/>
          <w:szCs w:val="12"/>
        </w:rPr>
        <w:t xml:space="preserve">c) Contará con la información oficial de la contratación realizada con dineros públicos, para lo cual establecerá los patrones a que haya lugar y se encargará de su difusión a través de canales electrónico”. </w:t>
      </w:r>
    </w:p>
    <w:p w14:paraId="3386FBD9"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p>
  </w:footnote>
  <w:footnote w:id="14">
    <w:p w14:paraId="5C78771E"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r w:rsidRPr="00666043">
        <w:rPr>
          <w:rStyle w:val="Refdenotaalpie"/>
          <w:rFonts w:ascii="Century Gothic" w:hAnsi="Century Gothic" w:cs="Arial"/>
          <w:color w:val="000000"/>
          <w:sz w:val="12"/>
          <w:szCs w:val="12"/>
        </w:rPr>
        <w:footnoteRef/>
      </w:r>
      <w:r w:rsidRPr="00666043">
        <w:rPr>
          <w:rFonts w:ascii="Century Gothic" w:hAnsi="Century Gothic" w:cs="Arial"/>
          <w:color w:val="000000"/>
          <w:sz w:val="12"/>
          <w:szCs w:val="12"/>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15">
    <w:p w14:paraId="147E9816" w14:textId="77777777" w:rsidR="0063179B" w:rsidRPr="00666043" w:rsidRDefault="0063179B" w:rsidP="0063179B">
      <w:pPr>
        <w:pStyle w:val="Textonotapie"/>
        <w:contextualSpacing/>
        <w:jc w:val="both"/>
        <w:rPr>
          <w:rFonts w:ascii="Century Gothic" w:hAnsi="Century Gothic" w:cs="Arial"/>
          <w:sz w:val="12"/>
          <w:szCs w:val="12"/>
        </w:rPr>
      </w:pPr>
    </w:p>
    <w:p w14:paraId="579D43D4" w14:textId="77777777" w:rsidR="0063179B" w:rsidRPr="00666043" w:rsidRDefault="0063179B" w:rsidP="0063179B">
      <w:pPr>
        <w:pStyle w:val="Textonotapie"/>
        <w:ind w:firstLine="707"/>
        <w:contextualSpacing/>
        <w:jc w:val="both"/>
        <w:rPr>
          <w:rFonts w:ascii="Century Gothic" w:hAnsi="Century Gothic" w:cs="Arial"/>
          <w:sz w:val="12"/>
          <w:szCs w:val="12"/>
          <w:lang w:val="es-CO"/>
        </w:rPr>
      </w:pPr>
      <w:r w:rsidRPr="00666043">
        <w:rPr>
          <w:rStyle w:val="Refdenotaalpie"/>
          <w:rFonts w:ascii="Century Gothic" w:hAnsi="Century Gothic" w:cs="Arial"/>
          <w:sz w:val="12"/>
          <w:szCs w:val="12"/>
        </w:rPr>
        <w:footnoteRef/>
      </w:r>
      <w:r w:rsidRPr="00666043">
        <w:rPr>
          <w:rFonts w:ascii="Century Gothic" w:hAnsi="Century Gothic" w:cs="Arial"/>
          <w:sz w:val="12"/>
          <w:szCs w:val="12"/>
          <w:vertAlign w:val="superscript"/>
        </w:rPr>
        <w:t xml:space="preserve"> </w:t>
      </w:r>
      <w:r w:rsidRPr="00666043">
        <w:rPr>
          <w:rFonts w:ascii="Century Gothic" w:hAnsi="Century Gothic" w:cs="Arial"/>
          <w:sz w:val="12"/>
          <w:szCs w:val="12"/>
        </w:rPr>
        <w:t xml:space="preserve">Ley 1712 de 2014: “Artículo 3. </w:t>
      </w:r>
      <w:bookmarkStart w:id="8" w:name="3"/>
      <w:r w:rsidRPr="00666043">
        <w:rPr>
          <w:rFonts w:ascii="Century Gothic" w:hAnsi="Century Gothic" w:cs="Arial"/>
          <w:sz w:val="12"/>
          <w:szCs w:val="12"/>
          <w:lang w:val="es-CO"/>
        </w:rPr>
        <w:t>Otros principios de la transparencia y acceso a la información pública.</w:t>
      </w:r>
      <w:bookmarkEnd w:id="8"/>
      <w:r w:rsidRPr="00666043">
        <w:rPr>
          <w:rFonts w:ascii="Century Gothic" w:hAnsi="Century Gothic" w:cs="Arial"/>
          <w:sz w:val="12"/>
          <w:szCs w:val="12"/>
          <w:lang w:val="es-CO"/>
        </w:rPr>
        <w:t> </w:t>
      </w:r>
    </w:p>
    <w:p w14:paraId="474012ED" w14:textId="77777777" w:rsidR="0063179B" w:rsidRPr="00666043" w:rsidRDefault="0063179B" w:rsidP="0063179B">
      <w:pPr>
        <w:pStyle w:val="Textonotapie"/>
        <w:ind w:firstLine="707"/>
        <w:contextualSpacing/>
        <w:jc w:val="both"/>
        <w:rPr>
          <w:rFonts w:ascii="Century Gothic" w:hAnsi="Century Gothic" w:cs="Arial"/>
          <w:sz w:val="12"/>
          <w:szCs w:val="12"/>
          <w:lang w:val="es-CO"/>
        </w:rPr>
      </w:pPr>
      <w:r w:rsidRPr="00666043">
        <w:rPr>
          <w:rFonts w:ascii="Century Gothic" w:hAnsi="Century Gothic" w:cs="Arial"/>
          <w:sz w:val="12"/>
          <w:szCs w:val="12"/>
          <w:lang w:val="es-CO"/>
        </w:rPr>
        <w:t>[…]</w:t>
      </w:r>
    </w:p>
    <w:p w14:paraId="0022F20E" w14:textId="77777777" w:rsidR="0063179B" w:rsidRPr="00666043" w:rsidRDefault="0063179B" w:rsidP="0063179B">
      <w:pPr>
        <w:pStyle w:val="Textonotapie"/>
        <w:ind w:firstLine="707"/>
        <w:contextualSpacing/>
        <w:jc w:val="both"/>
        <w:rPr>
          <w:rFonts w:ascii="Century Gothic" w:hAnsi="Century Gothic" w:cs="Arial"/>
          <w:sz w:val="12"/>
          <w:szCs w:val="12"/>
        </w:rPr>
      </w:pPr>
      <w:r w:rsidRPr="00666043">
        <w:rPr>
          <w:rStyle w:val="baj"/>
          <w:rFonts w:ascii="Century Gothic" w:hAnsi="Century Gothic" w:cs="Arial"/>
          <w:sz w:val="12"/>
          <w:szCs w:val="12"/>
        </w:rPr>
        <w:t>Principio de transparencia</w:t>
      </w:r>
      <w:r w:rsidRPr="00666043">
        <w:rPr>
          <w:rFonts w:ascii="Century Gothic" w:hAnsi="Century Gothic" w:cs="Arial"/>
          <w:sz w:val="12"/>
          <w:szCs w:val="12"/>
        </w:rPr>
        <w:t xml:space="preserve">. Principio conforme al cual toda la información en poder de los sujetos obligados definidos en esta ley se presume pública, en </w:t>
      </w:r>
      <w:proofErr w:type="gramStart"/>
      <w:r w:rsidRPr="00666043">
        <w:rPr>
          <w:rFonts w:ascii="Century Gothic" w:hAnsi="Century Gothic" w:cs="Arial"/>
          <w:sz w:val="12"/>
          <w:szCs w:val="12"/>
        </w:rPr>
        <w:t>consecuencia</w:t>
      </w:r>
      <w:proofErr w:type="gramEnd"/>
      <w:r w:rsidRPr="00666043">
        <w:rPr>
          <w:rFonts w:ascii="Century Gothic" w:hAnsi="Century Gothic" w:cs="Arial"/>
          <w:sz w:val="12"/>
          <w:szCs w:val="12"/>
        </w:rPr>
        <w:t xml:space="preserve">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57ACC266" w14:textId="77777777" w:rsidR="0063179B" w:rsidRPr="00666043" w:rsidRDefault="0063179B" w:rsidP="0063179B">
      <w:pPr>
        <w:pStyle w:val="Textonotapie"/>
        <w:contextualSpacing/>
        <w:jc w:val="both"/>
        <w:rPr>
          <w:rFonts w:ascii="Century Gothic" w:hAnsi="Century Gothic" w:cs="Arial"/>
          <w:sz w:val="12"/>
          <w:szCs w:val="12"/>
          <w:lang w:val="es-CO"/>
        </w:rPr>
      </w:pPr>
    </w:p>
  </w:footnote>
  <w:footnote w:id="16">
    <w:p w14:paraId="19AAAF8E" w14:textId="77777777" w:rsidR="0063179B" w:rsidRPr="00666043" w:rsidRDefault="0063179B" w:rsidP="0063179B">
      <w:pPr>
        <w:pStyle w:val="Textonotapie"/>
        <w:ind w:firstLine="707"/>
        <w:contextualSpacing/>
        <w:jc w:val="both"/>
        <w:rPr>
          <w:rFonts w:ascii="Century Gothic" w:hAnsi="Century Gothic" w:cs="Arial"/>
          <w:sz w:val="12"/>
          <w:szCs w:val="12"/>
          <w:lang w:val="es-CO"/>
        </w:rPr>
      </w:pPr>
      <w:r w:rsidRPr="00666043">
        <w:rPr>
          <w:rStyle w:val="Refdenotaalpie"/>
          <w:rFonts w:ascii="Century Gothic" w:hAnsi="Century Gothic" w:cs="Arial"/>
          <w:sz w:val="12"/>
          <w:szCs w:val="12"/>
        </w:rPr>
        <w:footnoteRef/>
      </w:r>
      <w:r w:rsidRPr="00666043">
        <w:rPr>
          <w:rFonts w:ascii="Century Gothic" w:hAnsi="Century Gothic" w:cs="Arial"/>
          <w:sz w:val="12"/>
          <w:szCs w:val="12"/>
          <w:vertAlign w:val="superscript"/>
        </w:rPr>
        <w:t xml:space="preserve"> </w:t>
      </w:r>
      <w:r w:rsidRPr="00666043">
        <w:rPr>
          <w:rFonts w:ascii="Century Gothic" w:hAnsi="Century Gothic" w:cs="Arial"/>
          <w:sz w:val="12"/>
          <w:szCs w:val="12"/>
        </w:rPr>
        <w:t xml:space="preserve">Ley 1712 de 2014: “Artículo 3. </w:t>
      </w:r>
      <w:r w:rsidRPr="00666043">
        <w:rPr>
          <w:rFonts w:ascii="Century Gothic" w:hAnsi="Century Gothic" w:cs="Arial"/>
          <w:sz w:val="12"/>
          <w:szCs w:val="12"/>
          <w:lang w:val="es-CO"/>
        </w:rPr>
        <w:t>Otros principios de la transparencia y acceso a la información pública. </w:t>
      </w:r>
    </w:p>
    <w:p w14:paraId="441D9D0C" w14:textId="77777777" w:rsidR="0063179B" w:rsidRPr="00666043" w:rsidRDefault="0063179B" w:rsidP="0063179B">
      <w:pPr>
        <w:pStyle w:val="Textonotapie"/>
        <w:ind w:firstLine="707"/>
        <w:contextualSpacing/>
        <w:jc w:val="both"/>
        <w:rPr>
          <w:rFonts w:ascii="Century Gothic" w:hAnsi="Century Gothic" w:cs="Arial"/>
          <w:sz w:val="12"/>
          <w:szCs w:val="12"/>
          <w:lang w:val="es-ES"/>
        </w:rPr>
      </w:pPr>
      <w:r w:rsidRPr="00666043">
        <w:rPr>
          <w:rFonts w:ascii="Century Gothic" w:hAnsi="Century Gothic" w:cs="Arial"/>
          <w:sz w:val="12"/>
          <w:szCs w:val="12"/>
          <w:lang w:val="es-ES"/>
        </w:rPr>
        <w:t>[…]</w:t>
      </w:r>
    </w:p>
    <w:p w14:paraId="3F1EB39F" w14:textId="77777777" w:rsidR="0063179B" w:rsidRPr="00666043" w:rsidRDefault="0063179B" w:rsidP="0063179B">
      <w:pPr>
        <w:pStyle w:val="Textonotapie"/>
        <w:ind w:firstLine="707"/>
        <w:contextualSpacing/>
        <w:jc w:val="both"/>
        <w:rPr>
          <w:rFonts w:ascii="Century Gothic" w:hAnsi="Century Gothic" w:cs="Arial"/>
          <w:sz w:val="12"/>
          <w:szCs w:val="12"/>
          <w:lang w:val="es-ES"/>
        </w:rPr>
      </w:pPr>
      <w:r w:rsidRPr="00666043">
        <w:rPr>
          <w:rStyle w:val="baj"/>
          <w:rFonts w:ascii="Century Gothic" w:hAnsi="Century Gothic" w:cs="Arial"/>
          <w:b/>
          <w:bCs/>
          <w:sz w:val="12"/>
          <w:szCs w:val="12"/>
        </w:rPr>
        <w:t>Principio de buena fe</w:t>
      </w:r>
      <w:r w:rsidRPr="00666043">
        <w:rPr>
          <w:rFonts w:ascii="Century Gothic" w:hAnsi="Century Gothic" w:cs="Arial"/>
          <w:sz w:val="12"/>
          <w:szCs w:val="12"/>
        </w:rPr>
        <w:t>. En virtud del cual todo sujeto obligado, al cumplir con las obligaciones derivadas del derecho de acceso a la información pública, lo hará con motivación honesta, leal y desprovista de cualquier intención dolosa o culposa.</w:t>
      </w:r>
    </w:p>
  </w:footnote>
  <w:footnote w:id="17">
    <w:p w14:paraId="17DDA192" w14:textId="77777777" w:rsidR="0063179B" w:rsidRPr="00666043" w:rsidRDefault="0063179B" w:rsidP="0063179B">
      <w:pPr>
        <w:pStyle w:val="Textonotapie"/>
        <w:ind w:firstLine="707"/>
        <w:contextualSpacing/>
        <w:jc w:val="both"/>
        <w:rPr>
          <w:rFonts w:ascii="Century Gothic" w:hAnsi="Century Gothic" w:cs="Arial"/>
          <w:sz w:val="12"/>
          <w:szCs w:val="12"/>
        </w:rPr>
      </w:pPr>
    </w:p>
    <w:p w14:paraId="2C8C2A78" w14:textId="77777777" w:rsidR="0063179B" w:rsidRPr="00666043" w:rsidRDefault="0063179B" w:rsidP="0063179B">
      <w:pPr>
        <w:pStyle w:val="Textonotapie"/>
        <w:ind w:firstLine="707"/>
        <w:contextualSpacing/>
        <w:jc w:val="both"/>
        <w:rPr>
          <w:rFonts w:ascii="Century Gothic" w:hAnsi="Century Gothic" w:cs="Arial"/>
          <w:sz w:val="12"/>
          <w:szCs w:val="12"/>
          <w:shd w:val="clear" w:color="auto" w:fill="FFFFFF"/>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Ley 1712 de 2014: “Artículo 9. </w:t>
      </w:r>
      <w:r w:rsidRPr="00666043">
        <w:rPr>
          <w:rFonts w:ascii="Century Gothic" w:hAnsi="Century Gothic" w:cs="Arial"/>
          <w:sz w:val="12"/>
          <w:szCs w:val="12"/>
          <w:shd w:val="clear" w:color="auto" w:fill="FFFFFF"/>
        </w:rPr>
        <w:t> </w:t>
      </w:r>
      <w:r w:rsidRPr="00666043">
        <w:rPr>
          <w:rStyle w:val="nfasis"/>
          <w:rFonts w:ascii="Century Gothic" w:hAnsi="Century Gothic" w:cs="Arial"/>
          <w:sz w:val="12"/>
          <w:szCs w:val="12"/>
          <w:shd w:val="clear" w:color="auto" w:fill="FFFFFF"/>
        </w:rPr>
        <w:t>Información mínima obligatoria respecto a la estructura del sujeto obligado. </w:t>
      </w:r>
      <w:r w:rsidRPr="00666043">
        <w:rPr>
          <w:rFonts w:ascii="Century Gothic" w:hAnsi="Century Gothic" w:cs="Arial"/>
          <w:sz w:val="12"/>
          <w:szCs w:val="12"/>
          <w:shd w:val="clear" w:color="auto" w:fill="FFFFFF"/>
        </w:rPr>
        <w:t>Todo sujeto obligado deberá publicar la siguiente información mínima obligatoria de manera proactiva en los sistemas de información del Estado o herramientas que lo sustituyan:</w:t>
      </w:r>
    </w:p>
    <w:p w14:paraId="1845FB90" w14:textId="77777777" w:rsidR="0063179B" w:rsidRPr="00666043" w:rsidRDefault="0063179B" w:rsidP="0063179B">
      <w:pPr>
        <w:pStyle w:val="Textonotapie"/>
        <w:ind w:firstLine="707"/>
        <w:contextualSpacing/>
        <w:jc w:val="both"/>
        <w:rPr>
          <w:rFonts w:ascii="Century Gothic" w:hAnsi="Century Gothic" w:cs="Arial"/>
          <w:sz w:val="12"/>
          <w:szCs w:val="12"/>
          <w:shd w:val="clear" w:color="auto" w:fill="FFFFFF"/>
        </w:rPr>
      </w:pPr>
      <w:r w:rsidRPr="00666043">
        <w:rPr>
          <w:rFonts w:ascii="Century Gothic" w:hAnsi="Century Gothic" w:cs="Arial"/>
          <w:sz w:val="12"/>
          <w:szCs w:val="12"/>
          <w:shd w:val="clear" w:color="auto" w:fill="FFFFFF"/>
        </w:rPr>
        <w:t>[…]</w:t>
      </w:r>
    </w:p>
    <w:p w14:paraId="4FD07F1B" w14:textId="77777777" w:rsidR="0063179B" w:rsidRPr="00666043" w:rsidRDefault="0063179B" w:rsidP="0063179B">
      <w:pPr>
        <w:pStyle w:val="Textonotapie"/>
        <w:ind w:firstLine="707"/>
        <w:contextualSpacing/>
        <w:jc w:val="both"/>
        <w:rPr>
          <w:rFonts w:ascii="Century Gothic" w:hAnsi="Century Gothic" w:cs="Arial"/>
          <w:sz w:val="12"/>
          <w:szCs w:val="12"/>
          <w:lang w:val="es-ES"/>
        </w:rPr>
      </w:pPr>
      <w:r w:rsidRPr="00666043">
        <w:rPr>
          <w:rFonts w:ascii="Century Gothic" w:hAnsi="Century Gothic" w:cs="Arial"/>
          <w:sz w:val="12"/>
          <w:szCs w:val="12"/>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666043">
        <w:rPr>
          <w:rFonts w:ascii="Century Gothic" w:hAnsi="Century Gothic" w:cs="Arial"/>
          <w:sz w:val="12"/>
          <w:szCs w:val="12"/>
        </w:rPr>
        <w:t xml:space="preserve"> </w:t>
      </w:r>
      <w:r w:rsidRPr="00666043">
        <w:rPr>
          <w:rFonts w:ascii="Century Gothic" w:hAnsi="Century Gothic" w:cs="Arial"/>
          <w:sz w:val="12"/>
          <w:szCs w:val="12"/>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666043">
        <w:rPr>
          <w:rFonts w:ascii="Century Gothic" w:hAnsi="Century Gothic" w:cs="Arial"/>
          <w:sz w:val="12"/>
          <w:szCs w:val="12"/>
        </w:rPr>
        <w:t>”.</w:t>
      </w:r>
    </w:p>
  </w:footnote>
  <w:footnote w:id="18">
    <w:p w14:paraId="0CA906B4" w14:textId="77777777" w:rsidR="0063179B" w:rsidRPr="00666043" w:rsidRDefault="0063179B" w:rsidP="0063179B">
      <w:pPr>
        <w:spacing w:after="0" w:line="240" w:lineRule="auto"/>
        <w:ind w:firstLine="707"/>
        <w:contextualSpacing/>
        <w:jc w:val="both"/>
        <w:rPr>
          <w:rFonts w:ascii="Century Gothic" w:hAnsi="Century Gothic" w:cs="Arial"/>
          <w:sz w:val="12"/>
          <w:szCs w:val="12"/>
        </w:rPr>
      </w:pPr>
    </w:p>
    <w:p w14:paraId="4B72DD57" w14:textId="77777777" w:rsidR="0063179B" w:rsidRPr="00666043" w:rsidRDefault="0063179B" w:rsidP="0063179B">
      <w:pPr>
        <w:spacing w:after="0" w:line="240" w:lineRule="auto"/>
        <w:ind w:firstLine="707"/>
        <w:contextualSpacing/>
        <w:jc w:val="both"/>
        <w:rPr>
          <w:rFonts w:ascii="Century Gothic" w:hAnsi="Century Gothic" w:cs="Arial"/>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Ley 1712 de 2014: “Artículo 5. Ámbito de aplicación. Las disposiciones de esta ley serán aplicables a las siguientes personas en calidad de sujetos obligados:</w:t>
      </w:r>
    </w:p>
    <w:p w14:paraId="10A2240E" w14:textId="77777777" w:rsidR="0063179B" w:rsidRPr="00666043" w:rsidRDefault="0063179B" w:rsidP="0063179B">
      <w:pPr>
        <w:spacing w:after="0" w:line="240" w:lineRule="auto"/>
        <w:ind w:firstLine="707"/>
        <w:contextualSpacing/>
        <w:jc w:val="both"/>
        <w:rPr>
          <w:rFonts w:ascii="Century Gothic" w:hAnsi="Century Gothic" w:cs="Arial"/>
          <w:sz w:val="12"/>
          <w:szCs w:val="12"/>
        </w:rPr>
      </w:pPr>
      <w:r w:rsidRPr="00666043">
        <w:rPr>
          <w:rFonts w:ascii="Century Gothic" w:hAnsi="Century Gothic" w:cs="Arial"/>
          <w:sz w:val="12"/>
          <w:szCs w:val="12"/>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74DF192" w14:textId="77777777" w:rsidR="0063179B" w:rsidRPr="00666043" w:rsidRDefault="0063179B" w:rsidP="0063179B">
      <w:pPr>
        <w:pStyle w:val="Textonotapie"/>
        <w:contextualSpacing/>
        <w:jc w:val="both"/>
        <w:rPr>
          <w:rFonts w:ascii="Century Gothic" w:hAnsi="Century Gothic" w:cs="Arial"/>
          <w:sz w:val="12"/>
          <w:szCs w:val="12"/>
        </w:rPr>
      </w:pPr>
    </w:p>
  </w:footnote>
  <w:footnote w:id="19">
    <w:p w14:paraId="443948A1"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r w:rsidRPr="00666043">
        <w:rPr>
          <w:rFonts w:ascii="Century Gothic" w:eastAsia="Times New Roman" w:hAnsi="Century Gothic" w:cs="Arial"/>
          <w:color w:val="000000"/>
          <w:sz w:val="12"/>
          <w:szCs w:val="12"/>
          <w:vertAlign w:val="superscript"/>
          <w:lang w:val="es-ES" w:eastAsia="es-ES"/>
        </w:rPr>
        <w:footnoteRef/>
      </w:r>
      <w:r w:rsidRPr="00666043">
        <w:rPr>
          <w:rFonts w:ascii="Century Gothic" w:eastAsia="Times New Roman" w:hAnsi="Century Gothic" w:cs="Arial"/>
          <w:color w:val="000000"/>
          <w:sz w:val="12"/>
          <w:szCs w:val="12"/>
          <w:vertAlign w:val="superscript"/>
          <w:lang w:val="es-ES" w:eastAsia="es-ES"/>
        </w:rPr>
        <w:t xml:space="preserve"> </w:t>
      </w:r>
      <w:r w:rsidRPr="00666043">
        <w:rPr>
          <w:rFonts w:ascii="Century Gothic" w:eastAsia="Times New Roman" w:hAnsi="Century Gothic" w:cs="Arial"/>
          <w:color w:val="000000"/>
          <w:sz w:val="12"/>
          <w:szCs w:val="12"/>
          <w:lang w:val="es-ES" w:eastAsia="es-ES"/>
        </w:rPr>
        <w:t>“</w:t>
      </w:r>
      <w:r w:rsidRPr="00666043">
        <w:rPr>
          <w:rFonts w:ascii="Century Gothic" w:hAnsi="Century Gothic" w:cs="Arial"/>
          <w:color w:val="000000"/>
          <w:sz w:val="12"/>
          <w:szCs w:val="12"/>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4A4131D" w14:textId="77777777" w:rsidR="0063179B" w:rsidRPr="00666043" w:rsidRDefault="0063179B" w:rsidP="0063179B">
      <w:pPr>
        <w:pStyle w:val="Textonotapie"/>
        <w:ind w:firstLine="709"/>
        <w:contextualSpacing/>
        <w:jc w:val="both"/>
        <w:rPr>
          <w:rFonts w:ascii="Century Gothic" w:eastAsia="Times New Roman" w:hAnsi="Century Gothic" w:cs="Arial"/>
          <w:color w:val="000000"/>
          <w:sz w:val="12"/>
          <w:szCs w:val="12"/>
          <w:lang w:val="es-ES" w:eastAsia="es-ES"/>
        </w:rPr>
      </w:pPr>
      <w:r w:rsidRPr="00666043">
        <w:rPr>
          <w:rFonts w:ascii="Century Gothic" w:hAnsi="Century Gothic" w:cs="Arial"/>
          <w:color w:val="000000"/>
          <w:sz w:val="12"/>
          <w:szCs w:val="12"/>
        </w:rPr>
        <w:t>[…].</w:t>
      </w:r>
    </w:p>
    <w:p w14:paraId="057E3C72" w14:textId="77777777" w:rsidR="0063179B" w:rsidRPr="00666043" w:rsidRDefault="0063179B" w:rsidP="0063179B">
      <w:pPr>
        <w:pStyle w:val="Textonotapie"/>
        <w:ind w:firstLine="709"/>
        <w:contextualSpacing/>
        <w:jc w:val="both"/>
        <w:rPr>
          <w:rFonts w:ascii="Century Gothic" w:eastAsia="Times New Roman" w:hAnsi="Century Gothic" w:cs="Arial"/>
          <w:color w:val="000000"/>
          <w:sz w:val="12"/>
          <w:szCs w:val="12"/>
          <w:lang w:val="es-ES" w:eastAsia="es-ES"/>
        </w:rPr>
      </w:pPr>
      <w:r w:rsidRPr="00666043">
        <w:rPr>
          <w:rFonts w:ascii="Century Gothic" w:eastAsia="Times New Roman" w:hAnsi="Century Gothic" w:cs="Arial"/>
          <w:color w:val="000000"/>
          <w:sz w:val="12"/>
          <w:szCs w:val="12"/>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56E18D05" w14:textId="77777777" w:rsidR="0063179B" w:rsidRPr="00666043" w:rsidRDefault="0063179B" w:rsidP="0063179B">
      <w:pPr>
        <w:pStyle w:val="Textonotapie"/>
        <w:ind w:firstLine="709"/>
        <w:contextualSpacing/>
        <w:jc w:val="both"/>
        <w:rPr>
          <w:rFonts w:ascii="Century Gothic" w:eastAsia="Times New Roman" w:hAnsi="Century Gothic" w:cs="Arial"/>
          <w:color w:val="000000"/>
          <w:sz w:val="12"/>
          <w:szCs w:val="12"/>
          <w:lang w:val="es-ES" w:eastAsia="es-ES"/>
        </w:rPr>
      </w:pPr>
    </w:p>
  </w:footnote>
  <w:footnote w:id="20">
    <w:p w14:paraId="25EBEE15" w14:textId="77777777" w:rsidR="0063179B" w:rsidRPr="00666043" w:rsidRDefault="0063179B" w:rsidP="0063179B">
      <w:pPr>
        <w:pStyle w:val="Textonotapie"/>
        <w:ind w:firstLine="709"/>
        <w:contextualSpacing/>
        <w:jc w:val="both"/>
        <w:rPr>
          <w:rFonts w:ascii="Century Gothic" w:hAnsi="Century Gothic" w:cs="Arial"/>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Ley 1437 de 2011: “Artículo 24. Informaciones y documentos reservados. Solo tendrán carácter reservado las informaciones y documentos expresamente sometidos a reserva por la Constitución Política o la ley, y en especial:  </w:t>
      </w:r>
    </w:p>
    <w:p w14:paraId="6719595E" w14:textId="77777777" w:rsidR="0063179B" w:rsidRPr="00666043" w:rsidRDefault="0063179B" w:rsidP="0063179B">
      <w:pPr>
        <w:pStyle w:val="Textonotapie"/>
        <w:ind w:firstLine="709"/>
        <w:contextualSpacing/>
        <w:jc w:val="both"/>
        <w:rPr>
          <w:rFonts w:ascii="Century Gothic" w:hAnsi="Century Gothic" w:cs="Arial"/>
          <w:sz w:val="12"/>
          <w:szCs w:val="12"/>
        </w:rPr>
      </w:pPr>
      <w:r w:rsidRPr="00666043">
        <w:rPr>
          <w:rFonts w:ascii="Century Gothic" w:hAnsi="Century Gothic" w:cs="Arial"/>
          <w:sz w:val="12"/>
          <w:szCs w:val="12"/>
        </w:rPr>
        <w:t xml:space="preserve">1. Los relacionados con la defensa o seguridad nacionales.  </w:t>
      </w:r>
    </w:p>
    <w:p w14:paraId="52865EC3" w14:textId="77777777" w:rsidR="0063179B" w:rsidRPr="00666043" w:rsidRDefault="0063179B" w:rsidP="0063179B">
      <w:pPr>
        <w:pStyle w:val="Textonotapie"/>
        <w:ind w:firstLine="709"/>
        <w:contextualSpacing/>
        <w:jc w:val="both"/>
        <w:rPr>
          <w:rFonts w:ascii="Century Gothic" w:hAnsi="Century Gothic" w:cs="Arial"/>
          <w:sz w:val="12"/>
          <w:szCs w:val="12"/>
        </w:rPr>
      </w:pPr>
      <w:r w:rsidRPr="00666043">
        <w:rPr>
          <w:rFonts w:ascii="Century Gothic" w:hAnsi="Century Gothic" w:cs="Arial"/>
          <w:sz w:val="12"/>
          <w:szCs w:val="12"/>
        </w:rPr>
        <w:t xml:space="preserve">2. Las instrucciones en materia diplomática o sobre negociaciones reservadas.  </w:t>
      </w:r>
    </w:p>
    <w:p w14:paraId="07EE4319" w14:textId="77777777" w:rsidR="0063179B" w:rsidRPr="00666043" w:rsidRDefault="0063179B" w:rsidP="0063179B">
      <w:pPr>
        <w:pStyle w:val="Textonotapie"/>
        <w:ind w:firstLine="709"/>
        <w:contextualSpacing/>
        <w:jc w:val="both"/>
        <w:rPr>
          <w:rFonts w:ascii="Century Gothic" w:hAnsi="Century Gothic" w:cs="Arial"/>
          <w:sz w:val="12"/>
          <w:szCs w:val="12"/>
        </w:rPr>
      </w:pPr>
      <w:r w:rsidRPr="00666043">
        <w:rPr>
          <w:rFonts w:ascii="Century Gothic" w:hAnsi="Century Gothic" w:cs="Arial"/>
          <w:sz w:val="12"/>
          <w:szCs w:val="12"/>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5A90CAE8" w14:textId="77777777" w:rsidR="0063179B" w:rsidRPr="00666043" w:rsidRDefault="0063179B" w:rsidP="0063179B">
      <w:pPr>
        <w:pStyle w:val="Textonotapie"/>
        <w:ind w:firstLine="709"/>
        <w:contextualSpacing/>
        <w:jc w:val="both"/>
        <w:rPr>
          <w:rFonts w:ascii="Century Gothic" w:hAnsi="Century Gothic" w:cs="Arial"/>
          <w:sz w:val="12"/>
          <w:szCs w:val="12"/>
        </w:rPr>
      </w:pPr>
      <w:r w:rsidRPr="00666043">
        <w:rPr>
          <w:rFonts w:ascii="Century Gothic" w:hAnsi="Century Gothic" w:cs="Arial"/>
          <w:sz w:val="12"/>
          <w:szCs w:val="12"/>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7FC5024A" w14:textId="77777777" w:rsidR="0063179B" w:rsidRPr="00666043" w:rsidRDefault="0063179B" w:rsidP="0063179B">
      <w:pPr>
        <w:pStyle w:val="Textonotapie"/>
        <w:ind w:firstLine="709"/>
        <w:contextualSpacing/>
        <w:jc w:val="both"/>
        <w:rPr>
          <w:rFonts w:ascii="Century Gothic" w:hAnsi="Century Gothic" w:cs="Arial"/>
          <w:sz w:val="12"/>
          <w:szCs w:val="12"/>
        </w:rPr>
      </w:pPr>
      <w:r w:rsidRPr="00666043">
        <w:rPr>
          <w:rFonts w:ascii="Century Gothic" w:hAnsi="Century Gothic" w:cs="Arial"/>
          <w:sz w:val="12"/>
          <w:szCs w:val="12"/>
        </w:rPr>
        <w:t xml:space="preserve">5. Los datos referentes a la información financiera y comercial, en los términos de la Ley Estatutaria 1266 de 2008.  </w:t>
      </w:r>
    </w:p>
    <w:p w14:paraId="43F5D32F" w14:textId="77777777" w:rsidR="0063179B" w:rsidRPr="00666043" w:rsidRDefault="0063179B" w:rsidP="0063179B">
      <w:pPr>
        <w:pStyle w:val="Textonotapie"/>
        <w:ind w:firstLine="709"/>
        <w:contextualSpacing/>
        <w:jc w:val="both"/>
        <w:rPr>
          <w:rFonts w:ascii="Century Gothic" w:hAnsi="Century Gothic" w:cs="Arial"/>
          <w:sz w:val="12"/>
          <w:szCs w:val="12"/>
        </w:rPr>
      </w:pPr>
      <w:r w:rsidRPr="00666043">
        <w:rPr>
          <w:rFonts w:ascii="Century Gothic" w:hAnsi="Century Gothic" w:cs="Arial"/>
          <w:sz w:val="12"/>
          <w:szCs w:val="12"/>
        </w:rPr>
        <w:t xml:space="preserve">6. Los protegidos por el secreto comercial o industrial, así como los planes estratégicos de las empresas públicas de servicios públicos.  </w:t>
      </w:r>
    </w:p>
    <w:p w14:paraId="48B3871E" w14:textId="77777777" w:rsidR="0063179B" w:rsidRPr="00666043" w:rsidRDefault="0063179B" w:rsidP="0063179B">
      <w:pPr>
        <w:pStyle w:val="Textonotapie"/>
        <w:ind w:firstLine="709"/>
        <w:contextualSpacing/>
        <w:jc w:val="both"/>
        <w:rPr>
          <w:rFonts w:ascii="Century Gothic" w:hAnsi="Century Gothic" w:cs="Arial"/>
          <w:sz w:val="12"/>
          <w:szCs w:val="12"/>
        </w:rPr>
      </w:pPr>
      <w:r w:rsidRPr="00666043">
        <w:rPr>
          <w:rFonts w:ascii="Century Gothic" w:hAnsi="Century Gothic" w:cs="Arial"/>
          <w:sz w:val="12"/>
          <w:szCs w:val="12"/>
        </w:rPr>
        <w:t xml:space="preserve">7. Los amparados por el secreto profesional.  </w:t>
      </w:r>
    </w:p>
    <w:p w14:paraId="2A5369F5" w14:textId="77777777" w:rsidR="0063179B" w:rsidRPr="00666043" w:rsidRDefault="0063179B" w:rsidP="0063179B">
      <w:pPr>
        <w:pStyle w:val="Textonotapie"/>
        <w:ind w:firstLine="709"/>
        <w:contextualSpacing/>
        <w:jc w:val="both"/>
        <w:rPr>
          <w:rFonts w:ascii="Century Gothic" w:hAnsi="Century Gothic" w:cs="Arial"/>
          <w:sz w:val="12"/>
          <w:szCs w:val="12"/>
        </w:rPr>
      </w:pPr>
      <w:r w:rsidRPr="00666043">
        <w:rPr>
          <w:rFonts w:ascii="Century Gothic" w:hAnsi="Century Gothic" w:cs="Arial"/>
          <w:sz w:val="12"/>
          <w:szCs w:val="12"/>
        </w:rPr>
        <w:t xml:space="preserve">8. Los datos genéticos humanos.  </w:t>
      </w:r>
    </w:p>
    <w:p w14:paraId="5D14B099" w14:textId="77777777" w:rsidR="0063179B" w:rsidRPr="00666043" w:rsidRDefault="0063179B" w:rsidP="0063179B">
      <w:pPr>
        <w:pStyle w:val="Textonotapie"/>
        <w:ind w:firstLine="709"/>
        <w:contextualSpacing/>
        <w:jc w:val="both"/>
        <w:rPr>
          <w:rFonts w:ascii="Century Gothic" w:hAnsi="Century Gothic" w:cs="Arial"/>
          <w:sz w:val="12"/>
          <w:szCs w:val="12"/>
        </w:rPr>
      </w:pPr>
      <w:r w:rsidRPr="00666043">
        <w:rPr>
          <w:rFonts w:ascii="Century Gothic" w:hAnsi="Century Gothic" w:cs="Arial"/>
          <w:sz w:val="12"/>
          <w:szCs w:val="12"/>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21">
    <w:p w14:paraId="7DC7BA31" w14:textId="77777777" w:rsidR="0063179B" w:rsidRPr="00666043" w:rsidRDefault="0063179B" w:rsidP="0063179B">
      <w:pPr>
        <w:pStyle w:val="Textonotapie"/>
        <w:contextualSpacing/>
        <w:jc w:val="both"/>
        <w:rPr>
          <w:rFonts w:ascii="Century Gothic" w:hAnsi="Century Gothic" w:cs="Arial"/>
          <w:sz w:val="12"/>
          <w:szCs w:val="12"/>
        </w:rPr>
      </w:pPr>
    </w:p>
    <w:p w14:paraId="723ED71E" w14:textId="77777777" w:rsidR="0063179B" w:rsidRPr="00666043" w:rsidRDefault="0063179B" w:rsidP="0063179B">
      <w:pPr>
        <w:pStyle w:val="Textonotapie"/>
        <w:ind w:firstLine="708"/>
        <w:contextualSpacing/>
        <w:jc w:val="both"/>
        <w:rPr>
          <w:rFonts w:ascii="Century Gothic" w:hAnsi="Century Gothic" w:cs="Arial"/>
          <w:sz w:val="12"/>
          <w:szCs w:val="12"/>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w:t>
      </w:r>
      <w:r w:rsidRPr="00666043">
        <w:rPr>
          <w:rFonts w:ascii="Century Gothic" w:eastAsia="Calibri" w:hAnsi="Century Gothic" w:cs="Arial"/>
          <w:sz w:val="12"/>
          <w:szCs w:val="12"/>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footnote>
  <w:footnote w:id="22">
    <w:p w14:paraId="6FCF9AB3"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p>
    <w:p w14:paraId="0A6EA829"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r w:rsidRPr="00666043">
        <w:rPr>
          <w:rStyle w:val="Refdenotaalpie"/>
          <w:rFonts w:ascii="Century Gothic" w:hAnsi="Century Gothic" w:cs="Arial"/>
          <w:color w:val="000000"/>
          <w:sz w:val="12"/>
          <w:szCs w:val="12"/>
        </w:rPr>
        <w:footnoteRef/>
      </w:r>
      <w:r w:rsidRPr="00666043">
        <w:rPr>
          <w:rFonts w:ascii="Century Gothic" w:hAnsi="Century Gothic" w:cs="Arial"/>
          <w:color w:val="000000"/>
          <w:sz w:val="12"/>
          <w:szCs w:val="12"/>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 del contrato no implica erogación presupuestal”.</w:t>
      </w:r>
    </w:p>
    <w:p w14:paraId="5235EC5C" w14:textId="77777777" w:rsidR="0063179B" w:rsidRPr="00666043" w:rsidRDefault="0063179B" w:rsidP="0063179B">
      <w:pPr>
        <w:pStyle w:val="Textonotapie"/>
        <w:ind w:firstLine="709"/>
        <w:contextualSpacing/>
        <w:jc w:val="both"/>
        <w:rPr>
          <w:rFonts w:ascii="Century Gothic" w:hAnsi="Century Gothic" w:cs="Arial"/>
          <w:color w:val="000000"/>
          <w:sz w:val="12"/>
          <w:szCs w:val="12"/>
        </w:rPr>
      </w:pPr>
    </w:p>
  </w:footnote>
  <w:footnote w:id="23">
    <w:p w14:paraId="79B9597D" w14:textId="77777777" w:rsidR="0063179B" w:rsidRPr="00666043" w:rsidRDefault="0063179B" w:rsidP="0063179B">
      <w:pPr>
        <w:pStyle w:val="Textonotapie"/>
        <w:ind w:firstLine="708"/>
        <w:contextualSpacing/>
        <w:rPr>
          <w:rFonts w:ascii="Century Gothic" w:hAnsi="Century Gothic" w:cs="Arial"/>
          <w:sz w:val="12"/>
          <w:szCs w:val="12"/>
        </w:rPr>
      </w:pPr>
    </w:p>
    <w:p w14:paraId="56AB08F8" w14:textId="77777777" w:rsidR="0063179B" w:rsidRPr="00666043" w:rsidRDefault="0063179B" w:rsidP="0063179B">
      <w:pPr>
        <w:pStyle w:val="Textonotapie"/>
        <w:ind w:firstLine="708"/>
        <w:contextualSpacing/>
        <w:jc w:val="both"/>
        <w:rPr>
          <w:rFonts w:ascii="Century Gothic" w:hAnsi="Century Gothic" w:cs="Arial"/>
          <w:sz w:val="12"/>
          <w:szCs w:val="12"/>
          <w:lang w:val="es-CO"/>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Ley 1150 de 2007. “Artículo 1. Objeto. La presente ley tiene por objeto introducir modificaciones en la Ley 80 de 1993, así como dictar otras disposiciones generales aplicables a toda contratación con recursos públicos”.</w:t>
      </w:r>
    </w:p>
  </w:footnote>
  <w:footnote w:id="24">
    <w:p w14:paraId="7A83F5F8" w14:textId="77777777" w:rsidR="0063179B" w:rsidRPr="00666043" w:rsidRDefault="0063179B" w:rsidP="0063179B">
      <w:pPr>
        <w:autoSpaceDE w:val="0"/>
        <w:autoSpaceDN w:val="0"/>
        <w:adjustRightInd w:val="0"/>
        <w:spacing w:after="0" w:line="240" w:lineRule="auto"/>
        <w:ind w:firstLine="708"/>
        <w:contextualSpacing/>
        <w:jc w:val="both"/>
        <w:rPr>
          <w:rFonts w:ascii="Century Gothic" w:eastAsia="Calibri" w:hAnsi="Century Gothic" w:cs="Arial"/>
          <w:sz w:val="12"/>
          <w:szCs w:val="12"/>
          <w:lang w:val="es-ES" w:eastAsia="es-ES_tradnl"/>
        </w:rPr>
      </w:pPr>
      <w:r w:rsidRPr="00666043">
        <w:rPr>
          <w:rStyle w:val="Refdenotaalpie"/>
          <w:rFonts w:ascii="Century Gothic" w:hAnsi="Century Gothic" w:cs="Arial"/>
          <w:sz w:val="12"/>
          <w:szCs w:val="12"/>
        </w:rPr>
        <w:footnoteRef/>
      </w:r>
      <w:r w:rsidRPr="00666043">
        <w:rPr>
          <w:rFonts w:ascii="Century Gothic" w:hAnsi="Century Gothic" w:cs="Arial"/>
          <w:sz w:val="12"/>
          <w:szCs w:val="12"/>
        </w:rPr>
        <w:t xml:space="preserve"> E</w:t>
      </w:r>
      <w:r w:rsidRPr="00666043">
        <w:rPr>
          <w:rFonts w:ascii="Century Gothic" w:eastAsia="Calibri" w:hAnsi="Century Gothic" w:cs="Arial"/>
          <w:sz w:val="12"/>
          <w:szCs w:val="12"/>
          <w:lang w:val="es-ES_tradnl" w:eastAsia="es-ES_tradnl"/>
        </w:rPr>
        <w:t xml:space="preserve">l pasado </w:t>
      </w:r>
      <w:r w:rsidRPr="00666043">
        <w:rPr>
          <w:rFonts w:ascii="Century Gothic" w:eastAsia="Calibri" w:hAnsi="Century Gothic" w:cs="Arial"/>
          <w:sz w:val="12"/>
          <w:szCs w:val="12"/>
          <w:lang w:val="es-ES" w:eastAsia="es-ES_tradnl"/>
        </w:rPr>
        <w:t xml:space="preserve">1 de junio, el Departamento Administrativo de la Presidencia de la Republica profirió la Circular 02 del 2022, mediante la cual se imparten instrucciones sobre la aplicación del artículo 53 de la Ley 2195 de 2022, en los siguientes aspectos: i) publicación de los documentos contractuales en el SECOP II; ii) reserva de los documentos relacionados con la actividad contractual y; iii) régimen de transición de los contratos celebrados con anterioridad a la entrada en vigencia de la obligación consagrada en el artículo 53 de la Ley 2195 de 2022. La mencionada Circular contiene una serie de instrucciones con miras a garantizar el cumplimiento del deber legal por parte de las entidades estatales exceptuadas del Estatuto General de Contratación Pública. </w:t>
      </w:r>
    </w:p>
    <w:p w14:paraId="3380302B" w14:textId="77777777" w:rsidR="0063179B" w:rsidRPr="00666043" w:rsidRDefault="0063179B" w:rsidP="0063179B">
      <w:pPr>
        <w:autoSpaceDE w:val="0"/>
        <w:autoSpaceDN w:val="0"/>
        <w:adjustRightInd w:val="0"/>
        <w:spacing w:after="0" w:line="240" w:lineRule="auto"/>
        <w:ind w:firstLine="708"/>
        <w:contextualSpacing/>
        <w:jc w:val="both"/>
        <w:rPr>
          <w:rFonts w:ascii="Century Gothic" w:eastAsia="Times New Roman" w:hAnsi="Century Gothic" w:cs="Arial"/>
          <w:sz w:val="12"/>
          <w:szCs w:val="12"/>
          <w:lang w:eastAsia="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5pt;height:11.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3210D2"/>
    <w:multiLevelType w:val="hybridMultilevel"/>
    <w:tmpl w:val="FB90484A"/>
    <w:lvl w:ilvl="0" w:tplc="682A8F9C">
      <w:start w:val="1"/>
      <w:numFmt w:val="lowerRoman"/>
      <w:lvlText w:val="%1)"/>
      <w:lvlJc w:val="left"/>
      <w:pPr>
        <w:ind w:left="1425" w:hanging="720"/>
      </w:pPr>
      <w:rPr>
        <w:rFonts w:ascii="Century Gothic" w:eastAsia="Arial" w:hAnsi="Century Gothic" w:hint="default"/>
        <w:color w:val="000000"/>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5FF4795"/>
    <w:multiLevelType w:val="hybridMultilevel"/>
    <w:tmpl w:val="CD0600DE"/>
    <w:lvl w:ilvl="0" w:tplc="D98453F2">
      <w:start w:val="1"/>
      <w:numFmt w:val="lowerRoman"/>
      <w:lvlText w:val="%1)"/>
      <w:lvlJc w:val="left"/>
      <w:pPr>
        <w:ind w:left="1425" w:hanging="720"/>
      </w:pPr>
      <w:rPr>
        <w:rFonts w:eastAsiaTheme="minorHAnsi" w:hint="default"/>
        <w:color w:val="000000" w:themeColor="text1"/>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4C434A"/>
    <w:multiLevelType w:val="hybridMultilevel"/>
    <w:tmpl w:val="23F253E8"/>
    <w:lvl w:ilvl="0" w:tplc="E050F1E2">
      <w:start w:val="1"/>
      <w:numFmt w:val="lowerRoman"/>
      <w:lvlText w:val="%1)"/>
      <w:lvlJc w:val="left"/>
      <w:pPr>
        <w:ind w:left="2145" w:hanging="720"/>
      </w:pPr>
      <w:rPr>
        <w:rFonts w:hint="default"/>
      </w:rPr>
    </w:lvl>
    <w:lvl w:ilvl="1" w:tplc="240A0019" w:tentative="1">
      <w:start w:val="1"/>
      <w:numFmt w:val="lowerLetter"/>
      <w:lvlText w:val="%2."/>
      <w:lvlJc w:val="left"/>
      <w:pPr>
        <w:ind w:left="2505" w:hanging="360"/>
      </w:pPr>
    </w:lvl>
    <w:lvl w:ilvl="2" w:tplc="240A001B" w:tentative="1">
      <w:start w:val="1"/>
      <w:numFmt w:val="lowerRoman"/>
      <w:lvlText w:val="%3."/>
      <w:lvlJc w:val="right"/>
      <w:pPr>
        <w:ind w:left="3225" w:hanging="180"/>
      </w:pPr>
    </w:lvl>
    <w:lvl w:ilvl="3" w:tplc="240A000F" w:tentative="1">
      <w:start w:val="1"/>
      <w:numFmt w:val="decimal"/>
      <w:lvlText w:val="%4."/>
      <w:lvlJc w:val="left"/>
      <w:pPr>
        <w:ind w:left="3945" w:hanging="360"/>
      </w:pPr>
    </w:lvl>
    <w:lvl w:ilvl="4" w:tplc="240A0019" w:tentative="1">
      <w:start w:val="1"/>
      <w:numFmt w:val="lowerLetter"/>
      <w:lvlText w:val="%5."/>
      <w:lvlJc w:val="left"/>
      <w:pPr>
        <w:ind w:left="4665" w:hanging="360"/>
      </w:pPr>
    </w:lvl>
    <w:lvl w:ilvl="5" w:tplc="240A001B" w:tentative="1">
      <w:start w:val="1"/>
      <w:numFmt w:val="lowerRoman"/>
      <w:lvlText w:val="%6."/>
      <w:lvlJc w:val="right"/>
      <w:pPr>
        <w:ind w:left="5385" w:hanging="180"/>
      </w:pPr>
    </w:lvl>
    <w:lvl w:ilvl="6" w:tplc="240A000F" w:tentative="1">
      <w:start w:val="1"/>
      <w:numFmt w:val="decimal"/>
      <w:lvlText w:val="%7."/>
      <w:lvlJc w:val="left"/>
      <w:pPr>
        <w:ind w:left="6105" w:hanging="360"/>
      </w:pPr>
    </w:lvl>
    <w:lvl w:ilvl="7" w:tplc="240A0019" w:tentative="1">
      <w:start w:val="1"/>
      <w:numFmt w:val="lowerLetter"/>
      <w:lvlText w:val="%8."/>
      <w:lvlJc w:val="left"/>
      <w:pPr>
        <w:ind w:left="6825" w:hanging="360"/>
      </w:pPr>
    </w:lvl>
    <w:lvl w:ilvl="8" w:tplc="240A001B" w:tentative="1">
      <w:start w:val="1"/>
      <w:numFmt w:val="lowerRoman"/>
      <w:lvlText w:val="%9."/>
      <w:lvlJc w:val="right"/>
      <w:pPr>
        <w:ind w:left="7545" w:hanging="180"/>
      </w:pPr>
    </w:lvl>
  </w:abstractNum>
  <w:num w:numId="1" w16cid:durableId="2093313027">
    <w:abstractNumId w:val="9"/>
  </w:num>
  <w:num w:numId="2" w16cid:durableId="1630478266">
    <w:abstractNumId w:val="3"/>
  </w:num>
  <w:num w:numId="3" w16cid:durableId="521628576">
    <w:abstractNumId w:val="7"/>
  </w:num>
  <w:num w:numId="4" w16cid:durableId="16368321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5320234">
    <w:abstractNumId w:val="3"/>
  </w:num>
  <w:num w:numId="6" w16cid:durableId="1356735266">
    <w:abstractNumId w:val="16"/>
  </w:num>
  <w:num w:numId="7" w16cid:durableId="1201285650">
    <w:abstractNumId w:val="8"/>
  </w:num>
  <w:num w:numId="8" w16cid:durableId="511071081">
    <w:abstractNumId w:val="15"/>
  </w:num>
  <w:num w:numId="9" w16cid:durableId="1378041587">
    <w:abstractNumId w:val="11"/>
  </w:num>
  <w:num w:numId="10" w16cid:durableId="2078362196">
    <w:abstractNumId w:val="14"/>
  </w:num>
  <w:num w:numId="11" w16cid:durableId="573012601">
    <w:abstractNumId w:val="12"/>
  </w:num>
  <w:num w:numId="12" w16cid:durableId="616107236">
    <w:abstractNumId w:val="2"/>
  </w:num>
  <w:num w:numId="13" w16cid:durableId="1621838217">
    <w:abstractNumId w:val="6"/>
  </w:num>
  <w:num w:numId="14" w16cid:durableId="1629626158">
    <w:abstractNumId w:val="17"/>
  </w:num>
  <w:num w:numId="15" w16cid:durableId="863596915">
    <w:abstractNumId w:val="13"/>
  </w:num>
  <w:num w:numId="16" w16cid:durableId="777259250">
    <w:abstractNumId w:val="0"/>
  </w:num>
  <w:num w:numId="17" w16cid:durableId="1878855506">
    <w:abstractNumId w:val="1"/>
  </w:num>
  <w:num w:numId="18" w16cid:durableId="1684935943">
    <w:abstractNumId w:val="10"/>
  </w:num>
  <w:num w:numId="19" w16cid:durableId="1034308488">
    <w:abstractNumId w:val="18"/>
  </w:num>
  <w:num w:numId="20" w16cid:durableId="1961957131">
    <w:abstractNumId w:val="5"/>
  </w:num>
  <w:num w:numId="21" w16cid:durableId="7770655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090B"/>
    <w:rsid w:val="00061B2A"/>
    <w:rsid w:val="00082362"/>
    <w:rsid w:val="000A683E"/>
    <w:rsid w:val="000B19B9"/>
    <w:rsid w:val="000D0334"/>
    <w:rsid w:val="000F6486"/>
    <w:rsid w:val="00125105"/>
    <w:rsid w:val="00127233"/>
    <w:rsid w:val="001E4177"/>
    <w:rsid w:val="001F7DC6"/>
    <w:rsid w:val="002421BB"/>
    <w:rsid w:val="00255BE3"/>
    <w:rsid w:val="002707A2"/>
    <w:rsid w:val="002951A0"/>
    <w:rsid w:val="002962BC"/>
    <w:rsid w:val="002A093D"/>
    <w:rsid w:val="002A0DD0"/>
    <w:rsid w:val="002A49AC"/>
    <w:rsid w:val="002A64FD"/>
    <w:rsid w:val="002C7A84"/>
    <w:rsid w:val="002E4FD9"/>
    <w:rsid w:val="00312C77"/>
    <w:rsid w:val="00322A85"/>
    <w:rsid w:val="003448F4"/>
    <w:rsid w:val="00374F5E"/>
    <w:rsid w:val="00377E3E"/>
    <w:rsid w:val="003A779E"/>
    <w:rsid w:val="003D0F4D"/>
    <w:rsid w:val="003D5B0D"/>
    <w:rsid w:val="003E0499"/>
    <w:rsid w:val="003E1F8D"/>
    <w:rsid w:val="003F3941"/>
    <w:rsid w:val="00406575"/>
    <w:rsid w:val="004210B4"/>
    <w:rsid w:val="0042722E"/>
    <w:rsid w:val="00483F5F"/>
    <w:rsid w:val="00496C7E"/>
    <w:rsid w:val="004A1847"/>
    <w:rsid w:val="004A305D"/>
    <w:rsid w:val="004F21C4"/>
    <w:rsid w:val="004F685F"/>
    <w:rsid w:val="005566E8"/>
    <w:rsid w:val="00574867"/>
    <w:rsid w:val="00591460"/>
    <w:rsid w:val="005A2340"/>
    <w:rsid w:val="005C3777"/>
    <w:rsid w:val="005C5CDC"/>
    <w:rsid w:val="005D476C"/>
    <w:rsid w:val="006219F8"/>
    <w:rsid w:val="0063179B"/>
    <w:rsid w:val="00665D70"/>
    <w:rsid w:val="00666043"/>
    <w:rsid w:val="006900D9"/>
    <w:rsid w:val="006B2384"/>
    <w:rsid w:val="00706C16"/>
    <w:rsid w:val="00756841"/>
    <w:rsid w:val="007649AB"/>
    <w:rsid w:val="00771862"/>
    <w:rsid w:val="00771D0C"/>
    <w:rsid w:val="007833AC"/>
    <w:rsid w:val="007845D3"/>
    <w:rsid w:val="007B268C"/>
    <w:rsid w:val="007B7171"/>
    <w:rsid w:val="007C3DC2"/>
    <w:rsid w:val="007E5497"/>
    <w:rsid w:val="00806F5F"/>
    <w:rsid w:val="00820278"/>
    <w:rsid w:val="008843B6"/>
    <w:rsid w:val="00891928"/>
    <w:rsid w:val="008A446D"/>
    <w:rsid w:val="008D180B"/>
    <w:rsid w:val="008F0EA7"/>
    <w:rsid w:val="00923EEF"/>
    <w:rsid w:val="009419F9"/>
    <w:rsid w:val="00961B09"/>
    <w:rsid w:val="00965334"/>
    <w:rsid w:val="0097093E"/>
    <w:rsid w:val="009A6976"/>
    <w:rsid w:val="009C71FA"/>
    <w:rsid w:val="009C72E7"/>
    <w:rsid w:val="009F3A13"/>
    <w:rsid w:val="00A122D3"/>
    <w:rsid w:val="00A17F13"/>
    <w:rsid w:val="00A20739"/>
    <w:rsid w:val="00A33C78"/>
    <w:rsid w:val="00AA21C5"/>
    <w:rsid w:val="00AB02C6"/>
    <w:rsid w:val="00AB0ADB"/>
    <w:rsid w:val="00B72CD3"/>
    <w:rsid w:val="00B72FFF"/>
    <w:rsid w:val="00BC3D36"/>
    <w:rsid w:val="00BD7F72"/>
    <w:rsid w:val="00C04FB3"/>
    <w:rsid w:val="00C206A3"/>
    <w:rsid w:val="00C330EB"/>
    <w:rsid w:val="00C53AFE"/>
    <w:rsid w:val="00C633A0"/>
    <w:rsid w:val="00C754BE"/>
    <w:rsid w:val="00C76B1C"/>
    <w:rsid w:val="00CB6357"/>
    <w:rsid w:val="00CC1B26"/>
    <w:rsid w:val="00D423A2"/>
    <w:rsid w:val="00D63AC2"/>
    <w:rsid w:val="00D7383B"/>
    <w:rsid w:val="00DA231B"/>
    <w:rsid w:val="00DF5254"/>
    <w:rsid w:val="00DF66FB"/>
    <w:rsid w:val="00E16408"/>
    <w:rsid w:val="00E20894"/>
    <w:rsid w:val="00E245AB"/>
    <w:rsid w:val="00E2764C"/>
    <w:rsid w:val="00E27F2E"/>
    <w:rsid w:val="00E50AFE"/>
    <w:rsid w:val="00E771DC"/>
    <w:rsid w:val="00E8772A"/>
    <w:rsid w:val="00E90F6B"/>
    <w:rsid w:val="00E92C27"/>
    <w:rsid w:val="00E97D30"/>
    <w:rsid w:val="00EA0E3D"/>
    <w:rsid w:val="00EE1AA8"/>
    <w:rsid w:val="00F15AC4"/>
    <w:rsid w:val="00F31EDC"/>
    <w:rsid w:val="00F3431C"/>
    <w:rsid w:val="00F462B3"/>
    <w:rsid w:val="00F5664F"/>
    <w:rsid w:val="00F666C4"/>
    <w:rsid w:val="00F76AFC"/>
    <w:rsid w:val="00FB5DD1"/>
    <w:rsid w:val="00FC2B5D"/>
    <w:rsid w:val="00FE53AF"/>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3179B"/>
    <w:pPr>
      <w:spacing w:line="240" w:lineRule="exact"/>
    </w:pPr>
    <w:rPr>
      <w:vertAlign w:val="superscript"/>
    </w:rPr>
  </w:style>
  <w:style w:type="paragraph" w:styleId="Sinespaciado">
    <w:name w:val="No Spacing"/>
    <w:aliases w:val="No Indent"/>
    <w:uiPriority w:val="1"/>
    <w:qFormat/>
    <w:rsid w:val="0063179B"/>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3179B"/>
    <w:rPr>
      <w:rFonts w:ascii="Geomanist Light" w:hAnsi="Geomanist Light"/>
      <w:lang w:val="es-ES"/>
    </w:rPr>
  </w:style>
  <w:style w:type="paragraph" w:styleId="Textoindependiente">
    <w:name w:val="Body Text"/>
    <w:basedOn w:val="Normal"/>
    <w:link w:val="TextoindependienteCar"/>
    <w:uiPriority w:val="99"/>
    <w:unhideWhenUsed/>
    <w:rsid w:val="0063179B"/>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63179B"/>
    <w:rPr>
      <w:rFonts w:eastAsiaTheme="minorEastAsia"/>
      <w:lang w:eastAsia="es-CO"/>
    </w:rPr>
  </w:style>
  <w:style w:type="character" w:customStyle="1" w:styleId="findhit">
    <w:name w:val="findhit"/>
    <w:basedOn w:val="Fuentedeprrafopredeter"/>
    <w:rsid w:val="0063179B"/>
  </w:style>
  <w:style w:type="paragraph" w:styleId="Descripcin">
    <w:name w:val="caption"/>
    <w:basedOn w:val="Normal"/>
    <w:next w:val="Normal"/>
    <w:uiPriority w:val="35"/>
    <w:unhideWhenUsed/>
    <w:qFormat/>
    <w:rsid w:val="0063179B"/>
    <w:pPr>
      <w:spacing w:after="200" w:line="240" w:lineRule="auto"/>
    </w:pPr>
    <w:rPr>
      <w:rFonts w:ascii="Times New Roman" w:eastAsia="Times New Roman" w:hAnsi="Times New Roman" w:cs="Times New Roman"/>
      <w:i/>
      <w:iCs/>
      <w:color w:val="44546A" w:themeColor="text2"/>
      <w:sz w:val="18"/>
      <w:szCs w:val="18"/>
    </w:rPr>
  </w:style>
  <w:style w:type="character" w:customStyle="1" w:styleId="wacimagecontainer">
    <w:name w:val="wacimagecontainer"/>
    <w:basedOn w:val="Fuentedeprrafopredeter"/>
    <w:rsid w:val="0063179B"/>
  </w:style>
  <w:style w:type="character" w:customStyle="1" w:styleId="baj">
    <w:name w:val="b_aj"/>
    <w:basedOn w:val="Fuentedeprrafopredeter"/>
    <w:rsid w:val="0063179B"/>
  </w:style>
  <w:style w:type="character" w:styleId="nfasis">
    <w:name w:val="Emphasis"/>
    <w:basedOn w:val="Fuentedeprrafopredeter"/>
    <w:uiPriority w:val="20"/>
    <w:qFormat/>
    <w:rsid w:val="006317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80_1993.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8347A62-2F15-484A-B192-6BAB94B7D1DB}"/>
</file>

<file path=docProps/app.xml><?xml version="1.0" encoding="utf-8"?>
<Properties xmlns="http://schemas.openxmlformats.org/officeDocument/2006/extended-properties" xmlns:vt="http://schemas.openxmlformats.org/officeDocument/2006/docPropsVTypes">
  <Template>Normal</Template>
  <TotalTime>2</TotalTime>
  <Pages>25</Pages>
  <Words>8421</Words>
  <Characters>46316</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Nasly Yeana Mosquera Rivas</cp:lastModifiedBy>
  <cp:revision>3</cp:revision>
  <cp:lastPrinted>2023-01-10T21:18:00Z</cp:lastPrinted>
  <dcterms:created xsi:type="dcterms:W3CDTF">2023-10-23T15:33:00Z</dcterms:created>
  <dcterms:modified xsi:type="dcterms:W3CDTF">2023-10-23T15:34:00Z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