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4E4581"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6A3AC898" w14:textId="77777777" w:rsidR="0050273B" w:rsidRPr="004E4581" w:rsidRDefault="0050273B" w:rsidP="00CC1897">
      <w:pPr>
        <w:jc w:val="right"/>
        <w:rPr>
          <w:rFonts w:ascii="Arial" w:hAnsi="Arial" w:cs="Arial"/>
          <w:bCs/>
          <w:color w:val="000000" w:themeColor="text1"/>
          <w:sz w:val="20"/>
          <w:szCs w:val="20"/>
          <w:lang w:val="es-ES_tradnl" w:eastAsia="es-ES"/>
        </w:rPr>
      </w:pPr>
    </w:p>
    <w:p w14:paraId="78F9963B" w14:textId="77777777" w:rsidR="00E05AA3" w:rsidRPr="004E4581" w:rsidRDefault="00E05AA3" w:rsidP="00CC1897">
      <w:pPr>
        <w:jc w:val="right"/>
        <w:rPr>
          <w:rFonts w:ascii="Arial" w:hAnsi="Arial" w:cs="Arial"/>
          <w:bCs/>
          <w:color w:val="000000" w:themeColor="text1"/>
          <w:sz w:val="20"/>
          <w:szCs w:val="20"/>
          <w:lang w:val="es-ES_tradnl" w:eastAsia="es-ES"/>
        </w:rPr>
      </w:pPr>
    </w:p>
    <w:p w14:paraId="346AE9F5" w14:textId="4873E163" w:rsidR="0030575F" w:rsidRPr="004E4581" w:rsidRDefault="00B55C69" w:rsidP="0030575F">
      <w:pPr>
        <w:jc w:val="right"/>
        <w:rPr>
          <w:rFonts w:ascii="Arial" w:eastAsia="Calibri" w:hAnsi="Arial" w:cs="Arial"/>
          <w:b/>
          <w:color w:val="000000" w:themeColor="text1"/>
          <w:sz w:val="20"/>
          <w:szCs w:val="20"/>
          <w:lang w:val="es-ES_tradnl"/>
        </w:rPr>
      </w:pPr>
      <w:r w:rsidRPr="004E4581">
        <w:rPr>
          <w:rFonts w:ascii="Arial" w:hAnsi="Arial" w:cs="Arial"/>
          <w:bCs/>
          <w:color w:val="000000" w:themeColor="text1"/>
          <w:sz w:val="20"/>
          <w:szCs w:val="20"/>
          <w:lang w:val="es-ES_tradnl" w:eastAsia="es-ES"/>
        </w:rPr>
        <w:t>CCE-DES-FM-17</w:t>
      </w:r>
      <w:bookmarkEnd w:id="0"/>
      <w:bookmarkEnd w:id="1"/>
    </w:p>
    <w:p w14:paraId="5E3BD8CB" w14:textId="7719252E" w:rsidR="0030575F" w:rsidRDefault="0030575F" w:rsidP="0030575F">
      <w:pPr>
        <w:spacing w:after="120"/>
        <w:contextualSpacing/>
        <w:jc w:val="both"/>
        <w:rPr>
          <w:rFonts w:ascii="Arial" w:eastAsia="Calibri" w:hAnsi="Arial" w:cs="Arial"/>
          <w:b/>
          <w:bCs/>
          <w:color w:val="000000" w:themeColor="text1"/>
          <w:sz w:val="22"/>
          <w:szCs w:val="22"/>
          <w:lang w:val="es-MX" w:eastAsia="en-US"/>
        </w:rPr>
      </w:pPr>
      <w:bookmarkStart w:id="2" w:name="_Hlk79765235"/>
    </w:p>
    <w:p w14:paraId="1AB44428" w14:textId="77777777" w:rsidR="007446F6" w:rsidRPr="004E4581" w:rsidRDefault="007446F6" w:rsidP="00C128B2">
      <w:pPr>
        <w:spacing w:after="120"/>
        <w:contextualSpacing/>
        <w:jc w:val="both"/>
        <w:rPr>
          <w:rFonts w:ascii="Arial" w:eastAsia="Calibri" w:hAnsi="Arial" w:cs="Arial"/>
          <w:b/>
          <w:bCs/>
          <w:color w:val="000000" w:themeColor="text1"/>
          <w:sz w:val="22"/>
          <w:szCs w:val="22"/>
          <w:lang w:val="es-MX" w:eastAsia="en-US"/>
        </w:rPr>
      </w:pPr>
    </w:p>
    <w:p w14:paraId="2E56D937" w14:textId="209A65B0" w:rsidR="0030575F" w:rsidRPr="004E4581" w:rsidRDefault="0030575F" w:rsidP="00C128B2">
      <w:pPr>
        <w:spacing w:after="120"/>
        <w:contextualSpacing/>
        <w:jc w:val="both"/>
        <w:rPr>
          <w:rFonts w:ascii="Arial" w:eastAsia="Calibri" w:hAnsi="Arial" w:cs="Arial"/>
          <w:b/>
          <w:bCs/>
          <w:color w:val="000000" w:themeColor="text1"/>
          <w:sz w:val="22"/>
          <w:szCs w:val="22"/>
          <w:lang w:val="es-MX" w:eastAsia="en-US"/>
        </w:rPr>
      </w:pPr>
      <w:r w:rsidRPr="004E4581">
        <w:rPr>
          <w:rFonts w:ascii="Arial" w:eastAsia="Calibri" w:hAnsi="Arial" w:cs="Arial"/>
          <w:b/>
          <w:bCs/>
          <w:color w:val="000000" w:themeColor="text1"/>
          <w:sz w:val="22"/>
          <w:szCs w:val="22"/>
          <w:lang w:val="es-MX" w:eastAsia="en-US"/>
        </w:rPr>
        <w:t>LEY DE GARANTÍAS ELECTORALES – Finalidad</w:t>
      </w:r>
    </w:p>
    <w:p w14:paraId="54D7EA45" w14:textId="77777777" w:rsidR="0030575F" w:rsidRPr="00861F5C" w:rsidRDefault="0030575F" w:rsidP="00C128B2">
      <w:pPr>
        <w:spacing w:after="120"/>
        <w:contextualSpacing/>
        <w:jc w:val="both"/>
        <w:rPr>
          <w:rFonts w:ascii="Arial" w:eastAsia="Calibri" w:hAnsi="Arial" w:cs="Arial"/>
          <w:color w:val="000000" w:themeColor="text1"/>
          <w:sz w:val="20"/>
          <w:szCs w:val="20"/>
          <w:lang w:val="es-MX" w:eastAsia="en-US"/>
        </w:rPr>
      </w:pPr>
    </w:p>
    <w:p w14:paraId="7A434A5B" w14:textId="2557170C" w:rsidR="0030575F" w:rsidRPr="00861F5C" w:rsidRDefault="00861F5C" w:rsidP="00C128B2">
      <w:pPr>
        <w:tabs>
          <w:tab w:val="left" w:pos="426"/>
        </w:tabs>
        <w:spacing w:after="120"/>
        <w:jc w:val="both"/>
        <w:rPr>
          <w:rFonts w:ascii="Arial" w:eastAsia="Calibri" w:hAnsi="Arial" w:cs="Arial"/>
          <w:bCs/>
          <w:color w:val="000000" w:themeColor="text1"/>
          <w:sz w:val="20"/>
          <w:szCs w:val="20"/>
        </w:rPr>
      </w:pPr>
      <w:r w:rsidRPr="00861F5C">
        <w:rPr>
          <w:rFonts w:ascii="Arial" w:hAnsi="Arial" w:cs="Arial"/>
          <w:bCs/>
          <w:color w:val="000000" w:themeColor="text1"/>
          <w:sz w:val="20"/>
          <w:szCs w:val="20"/>
          <w:lang w:eastAsia="es-CO"/>
        </w:rPr>
        <w:t xml:space="preserve">[…] la Ley 996 de 2005 </w:t>
      </w:r>
      <w:r w:rsidRPr="00861F5C">
        <w:rPr>
          <w:rFonts w:ascii="Arial" w:eastAsia="Calibri" w:hAnsi="Arial" w:cs="Arial"/>
          <w:b/>
          <w:bCs/>
          <w:color w:val="000000" w:themeColor="text1"/>
          <w:sz w:val="20"/>
          <w:szCs w:val="20"/>
          <w:lang w:eastAsia="en-US"/>
        </w:rPr>
        <w:t>«</w:t>
      </w:r>
      <w:r w:rsidRPr="00861F5C">
        <w:rPr>
          <w:rStyle w:val="Textoennegrita"/>
          <w:rFonts w:ascii="Arial" w:hAnsi="Arial" w:cs="Arial"/>
          <w:b w:val="0"/>
          <w:color w:val="000000" w:themeColor="text1"/>
          <w:sz w:val="20"/>
          <w:szCs w:val="20"/>
          <w:shd w:val="clear" w:color="auto" w:fill="FFFFFF"/>
        </w:rPr>
        <w:t>Por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861F5C">
        <w:rPr>
          <w:rFonts w:ascii="Arial" w:eastAsia="Calibri" w:hAnsi="Arial" w:cs="Arial"/>
          <w:bCs/>
          <w:color w:val="000000" w:themeColor="text1"/>
          <w:sz w:val="20"/>
          <w:szCs w:val="20"/>
          <w:lang w:eastAsia="en-US"/>
        </w:rPr>
        <w:t>»,</w:t>
      </w:r>
      <w:r w:rsidRPr="00861F5C">
        <w:rPr>
          <w:rStyle w:val="Textoennegrita"/>
          <w:rFonts w:ascii="Arial" w:hAnsi="Arial" w:cs="Arial"/>
          <w:color w:val="000000" w:themeColor="text1"/>
          <w:sz w:val="20"/>
          <w:szCs w:val="20"/>
          <w:shd w:val="clear" w:color="auto" w:fill="FFFFFF"/>
        </w:rPr>
        <w:t xml:space="preserve"> </w:t>
      </w:r>
      <w:r w:rsidRPr="00861F5C">
        <w:rPr>
          <w:rFonts w:ascii="Arial" w:hAnsi="Arial" w:cs="Arial"/>
          <w:bCs/>
          <w:color w:val="000000" w:themeColor="text1"/>
          <w:sz w:val="20"/>
          <w:szCs w:val="20"/>
          <w:lang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0288777A" w14:textId="77777777" w:rsidR="0030575F" w:rsidRPr="004E4581" w:rsidRDefault="0030575F" w:rsidP="00C128B2">
      <w:pPr>
        <w:tabs>
          <w:tab w:val="left" w:pos="426"/>
        </w:tabs>
        <w:jc w:val="both"/>
        <w:rPr>
          <w:rFonts w:ascii="Arial" w:eastAsia="Calibri" w:hAnsi="Arial" w:cs="Arial"/>
          <w:bCs/>
          <w:color w:val="000000" w:themeColor="text1"/>
          <w:sz w:val="20"/>
          <w:szCs w:val="20"/>
          <w:lang w:val="es-MX" w:eastAsia="en-US"/>
        </w:rPr>
      </w:pPr>
    </w:p>
    <w:p w14:paraId="485C44E2" w14:textId="77777777" w:rsidR="0030575F" w:rsidRPr="004E4581" w:rsidRDefault="0030575F" w:rsidP="00C128B2">
      <w:pPr>
        <w:tabs>
          <w:tab w:val="left" w:pos="426"/>
        </w:tabs>
        <w:jc w:val="both"/>
        <w:rPr>
          <w:rFonts w:ascii="Arial" w:eastAsia="Calibri" w:hAnsi="Arial" w:cs="Arial"/>
          <w:b/>
          <w:bCs/>
          <w:color w:val="000000" w:themeColor="text1"/>
          <w:sz w:val="22"/>
          <w:szCs w:val="22"/>
          <w:lang w:val="es-MX" w:eastAsia="en-US"/>
        </w:rPr>
      </w:pPr>
      <w:bookmarkStart w:id="3" w:name="_Hlk77152637"/>
      <w:bookmarkStart w:id="4" w:name="_Hlk77157066"/>
      <w:r w:rsidRPr="004E4581">
        <w:rPr>
          <w:rFonts w:ascii="Arial" w:eastAsia="Calibri" w:hAnsi="Arial" w:cs="Arial"/>
          <w:b/>
          <w:bCs/>
          <w:color w:val="000000" w:themeColor="text1"/>
          <w:sz w:val="22"/>
          <w:szCs w:val="22"/>
          <w:lang w:val="es-MX" w:eastAsia="en-US"/>
        </w:rPr>
        <w:t>LEY DE GARANTÍAS ELECTORALES ‒</w:t>
      </w:r>
      <w:bookmarkEnd w:id="3"/>
      <w:r w:rsidRPr="004E4581">
        <w:rPr>
          <w:rFonts w:ascii="Arial" w:eastAsia="Calibri" w:hAnsi="Arial" w:cs="Arial"/>
          <w:b/>
          <w:bCs/>
          <w:color w:val="000000" w:themeColor="text1"/>
          <w:sz w:val="22"/>
          <w:szCs w:val="22"/>
          <w:lang w:val="es-MX" w:eastAsia="en-US"/>
        </w:rPr>
        <w:t xml:space="preserve"> Restricciones </w:t>
      </w:r>
      <w:bookmarkStart w:id="5" w:name="_Hlk77157034"/>
      <w:r w:rsidRPr="004E4581">
        <w:rPr>
          <w:rFonts w:ascii="Arial" w:eastAsia="Calibri" w:hAnsi="Arial" w:cs="Arial"/>
          <w:b/>
          <w:bCs/>
          <w:color w:val="000000" w:themeColor="text1"/>
          <w:sz w:val="22"/>
          <w:szCs w:val="22"/>
          <w:lang w:val="es-MX" w:eastAsia="en-US"/>
        </w:rPr>
        <w:t xml:space="preserve">‒ </w:t>
      </w:r>
      <w:bookmarkEnd w:id="5"/>
      <w:r w:rsidRPr="004E4581">
        <w:rPr>
          <w:rFonts w:ascii="Arial" w:eastAsia="Calibri" w:hAnsi="Arial" w:cs="Arial"/>
          <w:b/>
          <w:bCs/>
          <w:color w:val="000000" w:themeColor="text1"/>
          <w:sz w:val="22"/>
          <w:szCs w:val="22"/>
          <w:lang w:val="es-MX" w:eastAsia="en-US"/>
        </w:rPr>
        <w:t>Contratación</w:t>
      </w:r>
      <w:bookmarkStart w:id="6" w:name="_Hlk77153098"/>
      <w:r w:rsidRPr="004E4581">
        <w:rPr>
          <w:rFonts w:ascii="Arial" w:eastAsia="Calibri" w:hAnsi="Arial" w:cs="Arial"/>
          <w:b/>
          <w:bCs/>
          <w:color w:val="000000" w:themeColor="text1"/>
          <w:sz w:val="22"/>
          <w:szCs w:val="22"/>
          <w:lang w:val="es-MX" w:eastAsia="en-US"/>
        </w:rPr>
        <w:t xml:space="preserve"> ‒ Tipos de elección</w:t>
      </w:r>
      <w:bookmarkEnd w:id="6"/>
      <w:r w:rsidRPr="004E4581">
        <w:rPr>
          <w:rFonts w:ascii="Arial" w:eastAsia="Calibri" w:hAnsi="Arial" w:cs="Arial"/>
          <w:b/>
          <w:bCs/>
          <w:color w:val="000000" w:themeColor="text1"/>
          <w:sz w:val="22"/>
          <w:szCs w:val="22"/>
          <w:lang w:val="es-MX" w:eastAsia="en-US"/>
        </w:rPr>
        <w:t xml:space="preserve"> </w:t>
      </w:r>
    </w:p>
    <w:p w14:paraId="16CB6979" w14:textId="77777777" w:rsidR="0030575F" w:rsidRPr="00861F5C" w:rsidRDefault="0030575F" w:rsidP="00C128B2">
      <w:pPr>
        <w:tabs>
          <w:tab w:val="left" w:pos="426"/>
        </w:tabs>
        <w:jc w:val="both"/>
        <w:rPr>
          <w:rFonts w:ascii="Arial" w:eastAsia="Calibri" w:hAnsi="Arial" w:cs="Arial"/>
          <w:b/>
          <w:bCs/>
          <w:color w:val="000000" w:themeColor="text1"/>
          <w:sz w:val="20"/>
          <w:szCs w:val="20"/>
          <w:lang w:val="es-MX" w:eastAsia="en-US"/>
        </w:rPr>
      </w:pPr>
    </w:p>
    <w:p w14:paraId="149A097F" w14:textId="602E9BBA" w:rsidR="0030575F" w:rsidRPr="00861F5C" w:rsidRDefault="00861F5C" w:rsidP="00C128B2">
      <w:pPr>
        <w:spacing w:after="120"/>
        <w:jc w:val="both"/>
        <w:rPr>
          <w:rFonts w:ascii="Arial" w:eastAsia="Arial" w:hAnsi="Arial" w:cs="Arial"/>
          <w:color w:val="000000" w:themeColor="text1"/>
          <w:sz w:val="20"/>
          <w:szCs w:val="20"/>
          <w:lang w:val="es-ES" w:eastAsia="es-ES" w:bidi="es-ES"/>
        </w:rPr>
      </w:pPr>
      <w:r w:rsidRPr="00861F5C">
        <w:rPr>
          <w:rFonts w:ascii="Arial" w:hAnsi="Arial" w:cs="Arial"/>
          <w:bCs/>
          <w:color w:val="000000" w:themeColor="text1"/>
          <w:sz w:val="20"/>
          <w:szCs w:val="20"/>
          <w:lang w:val="es-MX" w:eastAsia="es-CO"/>
        </w:rPr>
        <w:t xml:space="preserve">La </w:t>
      </w:r>
      <w:r w:rsidRPr="00861F5C">
        <w:rPr>
          <w:rFonts w:ascii="Arial" w:eastAsia="Arial" w:hAnsi="Arial" w:cs="Arial"/>
          <w:color w:val="000000" w:themeColor="text1"/>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861F5C">
        <w:rPr>
          <w:rFonts w:ascii="Arial" w:eastAsia="Calibri" w:hAnsi="Arial" w:cs="Arial"/>
          <w:color w:val="000000" w:themeColor="text1"/>
          <w:sz w:val="20"/>
          <w:szCs w:val="20"/>
          <w:lang w:eastAsia="en-US"/>
        </w:rPr>
        <w:t xml:space="preserve">Por una parte, el artículo 33 de la Ley 996 de 2005 establece una prohibición que impide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eastAsia="en-US"/>
        </w:rPr>
        <w:t>la contratación directa por parte de todos los entes del Estado</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eastAsia="en-US"/>
        </w:rPr>
        <w:t xml:space="preserve"> durante los cuatro (4) meses anteriores a las elecciones presidenciales, salvo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eastAsia="en-US"/>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w:t>
      </w:r>
      <w:proofErr w:type="spellStart"/>
      <w:r w:rsidRPr="00861F5C">
        <w:rPr>
          <w:rFonts w:ascii="Arial" w:eastAsia="Calibri" w:hAnsi="Arial" w:cs="Arial"/>
          <w:color w:val="000000" w:themeColor="text1"/>
          <w:sz w:val="20"/>
          <w:szCs w:val="20"/>
          <w:lang w:eastAsia="en-US"/>
        </w:rPr>
        <w:t>hospitalarias</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eastAsia="en-US"/>
        </w:rPr>
        <w:t>.Por</w:t>
      </w:r>
      <w:proofErr w:type="spellEnd"/>
      <w:r w:rsidRPr="00861F5C">
        <w:rPr>
          <w:rFonts w:ascii="Arial" w:eastAsia="Calibri" w:hAnsi="Arial" w:cs="Arial"/>
          <w:color w:val="000000" w:themeColor="text1"/>
          <w:sz w:val="20"/>
          <w:szCs w:val="20"/>
          <w:lang w:eastAsia="en-US"/>
        </w:rPr>
        <w:t xml:space="preserve">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val="es-MX" w:eastAsia="en-US"/>
        </w:rPr>
        <w:t>.</w:t>
      </w:r>
      <w:r w:rsidR="0030575F" w:rsidRPr="00861F5C">
        <w:rPr>
          <w:rFonts w:ascii="Arial" w:eastAsia="Calibri" w:hAnsi="Arial" w:cs="Arial"/>
          <w:noProof/>
          <w:color w:val="000000" w:themeColor="text1"/>
          <w:sz w:val="20"/>
          <w:szCs w:val="20"/>
          <w:lang w:val="es-ES_tradnl" w:eastAsia="en-US"/>
        </w:rPr>
        <w:t>.</w:t>
      </w:r>
    </w:p>
    <w:bookmarkEnd w:id="4"/>
    <w:p w14:paraId="746B0C00" w14:textId="77777777" w:rsidR="0030575F" w:rsidRPr="004E4581" w:rsidRDefault="0030575F" w:rsidP="00C128B2">
      <w:pPr>
        <w:tabs>
          <w:tab w:val="left" w:pos="426"/>
        </w:tabs>
        <w:jc w:val="both"/>
        <w:rPr>
          <w:rFonts w:ascii="Arial" w:eastAsia="Calibri" w:hAnsi="Arial" w:cs="Arial"/>
          <w:noProof/>
          <w:color w:val="000000" w:themeColor="text1"/>
          <w:sz w:val="20"/>
          <w:szCs w:val="20"/>
          <w:lang w:val="es-ES_tradnl" w:eastAsia="en-US"/>
        </w:rPr>
      </w:pPr>
    </w:p>
    <w:p w14:paraId="49B8450D" w14:textId="55964CE5" w:rsidR="0030575F" w:rsidRPr="004E4581" w:rsidRDefault="0030575F" w:rsidP="00C128B2">
      <w:pPr>
        <w:tabs>
          <w:tab w:val="left" w:pos="426"/>
        </w:tabs>
        <w:jc w:val="both"/>
        <w:rPr>
          <w:rFonts w:ascii="Arial" w:eastAsia="Calibri" w:hAnsi="Arial" w:cs="Arial"/>
          <w:b/>
          <w:bCs/>
          <w:color w:val="000000" w:themeColor="text1"/>
          <w:sz w:val="22"/>
          <w:szCs w:val="22"/>
          <w:lang w:val="es-MX" w:eastAsia="en-US"/>
        </w:rPr>
      </w:pPr>
      <w:bookmarkStart w:id="7" w:name="_Hlk77157138"/>
      <w:r w:rsidRPr="004E4581">
        <w:rPr>
          <w:rFonts w:ascii="Arial" w:eastAsia="Calibri" w:hAnsi="Arial" w:cs="Arial"/>
          <w:b/>
          <w:bCs/>
          <w:color w:val="000000" w:themeColor="text1"/>
          <w:sz w:val="22"/>
          <w:szCs w:val="22"/>
          <w:lang w:val="es-MX" w:eastAsia="en-US"/>
        </w:rPr>
        <w:t>LEY DE GARANTÍAS ELECTORALES ‒ Prohibiciones ‒ Ámbito temporal</w:t>
      </w:r>
    </w:p>
    <w:p w14:paraId="3D3DD0AD" w14:textId="77777777" w:rsidR="0030575F" w:rsidRPr="004E4581" w:rsidRDefault="0030575F" w:rsidP="00C128B2">
      <w:pPr>
        <w:tabs>
          <w:tab w:val="left" w:pos="426"/>
        </w:tabs>
        <w:jc w:val="both"/>
        <w:rPr>
          <w:rFonts w:ascii="Arial" w:eastAsia="Calibri" w:hAnsi="Arial" w:cs="Arial"/>
          <w:noProof/>
          <w:color w:val="000000" w:themeColor="text1"/>
          <w:sz w:val="20"/>
          <w:szCs w:val="20"/>
          <w:lang w:val="es-ES_tradnl" w:eastAsia="en-US"/>
        </w:rPr>
      </w:pPr>
    </w:p>
    <w:bookmarkEnd w:id="7"/>
    <w:p w14:paraId="1C9AA7F3" w14:textId="09F2168D" w:rsidR="00861F5C" w:rsidRPr="00861F5C" w:rsidRDefault="00861F5C" w:rsidP="00C128B2">
      <w:pPr>
        <w:spacing w:after="120"/>
        <w:jc w:val="both"/>
        <w:rPr>
          <w:rFonts w:ascii="Arial" w:eastAsia="Arial" w:hAnsi="Arial" w:cs="Arial"/>
          <w:color w:val="000000" w:themeColor="text1"/>
          <w:sz w:val="20"/>
          <w:szCs w:val="20"/>
          <w:lang w:val="es-ES" w:eastAsia="es-ES" w:bidi="es-ES"/>
        </w:rPr>
      </w:pPr>
      <w:r w:rsidRPr="00861F5C">
        <w:rPr>
          <w:rFonts w:ascii="Arial" w:eastAsia="Arial" w:hAnsi="Arial" w:cs="Arial"/>
          <w:color w:val="000000" w:themeColor="text1"/>
          <w:sz w:val="20"/>
          <w:szCs w:val="20"/>
          <w:lang w:val="es-ES" w:eastAsia="es-ES" w:bidi="es-ES"/>
        </w:rPr>
        <w:t xml:space="preserve">[…] la Ley 996 de 2005 regula dos tipos de restricciones en materia de contratación, a saber: i) La del artículo 33 que opera solo respecto de las elecciones presidenciales, en virtud de la cual queda proscrita </w:t>
      </w:r>
      <w:r w:rsidRPr="00861F5C">
        <w:rPr>
          <w:rFonts w:ascii="Arial" w:eastAsia="Calibri" w:hAnsi="Arial" w:cs="Arial"/>
          <w:color w:val="000000" w:themeColor="text1"/>
          <w:sz w:val="20"/>
          <w:szCs w:val="20"/>
          <w:lang w:eastAsia="en-US"/>
        </w:rPr>
        <w:t xml:space="preserve">la </w:t>
      </w:r>
      <w:r w:rsidRPr="00861F5C">
        <w:rPr>
          <w:rFonts w:ascii="Arial" w:eastAsia="Calibri" w:hAnsi="Arial" w:cs="Arial"/>
          <w:i/>
          <w:iCs/>
          <w:color w:val="000000" w:themeColor="text1"/>
          <w:sz w:val="20"/>
          <w:szCs w:val="20"/>
          <w:lang w:eastAsia="en-US"/>
        </w:rPr>
        <w:t>contratación directa</w:t>
      </w:r>
      <w:r w:rsidRPr="00861F5C">
        <w:rPr>
          <w:rFonts w:ascii="Arial" w:eastAsia="Calibri" w:hAnsi="Arial" w:cs="Arial"/>
          <w:color w:val="000000" w:themeColor="text1"/>
          <w:sz w:val="20"/>
          <w:szCs w:val="20"/>
          <w:lang w:eastAsia="en-US"/>
        </w:rPr>
        <w:t xml:space="preserve"> por parte de todos los entes del Estado</w:t>
      </w:r>
      <w:r w:rsidRPr="00861F5C">
        <w:rPr>
          <w:rFonts w:ascii="Arial" w:eastAsia="Arial" w:hAnsi="Arial" w:cs="Arial"/>
          <w:color w:val="000000" w:themeColor="text1"/>
          <w:sz w:val="20"/>
          <w:szCs w:val="20"/>
          <w:lang w:val="es-ES" w:eastAsia="es-ES" w:bidi="es-ES"/>
        </w:rPr>
        <w:t xml:space="preserve"> dentro de los cuatro (4) meses anteriores a la celebración de los comicios, salvo las excepciones arriba señaladas –establecidas en el inciso segundo del mismo artículo–.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más altas votaciones, de conformidad con el artículo 190 de la Constitución Política, caso en el cual la restricción se extenderá hasta la fecha en la que se realice esa segunda vuelta; ii) La del parágrafo del artículo 38 que debe aplicarse respecto de cualquier tipo de elección, y que prohíbe la celebración de convenios interadministrativos que impliquen la ejecución de recursos públicos dentro de los cuatro (4) meses anteriores a la respectiva jornada electoral.</w:t>
      </w:r>
    </w:p>
    <w:p w14:paraId="1F1BADBF" w14:textId="77777777" w:rsidR="0030575F" w:rsidRPr="00861F5C" w:rsidRDefault="0030575F" w:rsidP="00C128B2">
      <w:pPr>
        <w:tabs>
          <w:tab w:val="left" w:pos="426"/>
        </w:tabs>
        <w:jc w:val="both"/>
        <w:rPr>
          <w:rFonts w:ascii="Arial" w:eastAsia="Calibri" w:hAnsi="Arial" w:cs="Arial"/>
          <w:color w:val="000000" w:themeColor="text1"/>
          <w:sz w:val="20"/>
          <w:szCs w:val="20"/>
          <w:lang w:val="es-ES" w:eastAsia="en-US"/>
        </w:rPr>
      </w:pPr>
    </w:p>
    <w:p w14:paraId="03E52C8A" w14:textId="77777777" w:rsidR="0030575F" w:rsidRPr="004E4581" w:rsidRDefault="0030575F" w:rsidP="00C128B2">
      <w:pPr>
        <w:jc w:val="both"/>
        <w:rPr>
          <w:rFonts w:ascii="Arial" w:eastAsia="Calibri" w:hAnsi="Arial" w:cs="Arial"/>
          <w:b/>
          <w:color w:val="000000" w:themeColor="text1"/>
          <w:sz w:val="22"/>
          <w:szCs w:val="22"/>
          <w:lang w:val="es-MX" w:eastAsia="en-US"/>
        </w:rPr>
      </w:pPr>
      <w:r w:rsidRPr="004E4581">
        <w:rPr>
          <w:rFonts w:ascii="Arial" w:eastAsia="Calibri" w:hAnsi="Arial" w:cs="Arial"/>
          <w:b/>
          <w:color w:val="000000" w:themeColor="text1"/>
          <w:sz w:val="22"/>
          <w:szCs w:val="22"/>
          <w:lang w:val="es-MX" w:eastAsia="en-US"/>
        </w:rPr>
        <w:t xml:space="preserve">CONTRATOS Y </w:t>
      </w:r>
      <w:r w:rsidRPr="004E4581">
        <w:rPr>
          <w:rFonts w:ascii="Arial" w:eastAsiaTheme="minorHAnsi" w:hAnsi="Arial" w:cs="Arial"/>
          <w:b/>
          <w:color w:val="000000" w:themeColor="text1"/>
          <w:sz w:val="22"/>
          <w:szCs w:val="22"/>
          <w:lang w:val="es-MX" w:eastAsia="en-US"/>
        </w:rPr>
        <w:t xml:space="preserve">CONVENIOS INTERADMINISTRATIVOS </w:t>
      </w:r>
      <w:r w:rsidRPr="004E4581">
        <w:rPr>
          <w:rFonts w:ascii="Arial" w:eastAsia="Calibri" w:hAnsi="Arial" w:cs="Arial"/>
          <w:b/>
          <w:color w:val="000000" w:themeColor="text1"/>
          <w:sz w:val="22"/>
          <w:szCs w:val="22"/>
          <w:lang w:val="es-MX" w:eastAsia="en-US"/>
        </w:rPr>
        <w:t xml:space="preserve">– Definición – Criterio orgánico </w:t>
      </w:r>
    </w:p>
    <w:p w14:paraId="09EA6DCC" w14:textId="77777777" w:rsidR="0030575F" w:rsidRPr="004E4581" w:rsidRDefault="0030575F" w:rsidP="00C128B2">
      <w:pPr>
        <w:jc w:val="both"/>
        <w:rPr>
          <w:rFonts w:ascii="Arial" w:eastAsia="Calibri" w:hAnsi="Arial" w:cs="Arial"/>
          <w:bCs/>
          <w:color w:val="000000" w:themeColor="text1"/>
          <w:sz w:val="20"/>
          <w:szCs w:val="20"/>
          <w:lang w:val="es-MX" w:eastAsia="en-US"/>
        </w:rPr>
      </w:pPr>
    </w:p>
    <w:p w14:paraId="2847D600" w14:textId="3C00D4FB" w:rsidR="007446F6" w:rsidRPr="007446F6" w:rsidRDefault="007446F6" w:rsidP="00C128B2">
      <w:pPr>
        <w:widowControl w:val="0"/>
        <w:autoSpaceDE w:val="0"/>
        <w:autoSpaceDN w:val="0"/>
        <w:spacing w:after="120"/>
        <w:jc w:val="both"/>
        <w:rPr>
          <w:rFonts w:ascii="Arial" w:eastAsia="Arial" w:hAnsi="Arial" w:cs="Arial"/>
          <w:color w:val="000000" w:themeColor="text1"/>
          <w:sz w:val="20"/>
          <w:szCs w:val="20"/>
          <w:lang w:val="es-ES" w:eastAsia="es-ES" w:bidi="es-ES"/>
        </w:rPr>
      </w:pPr>
      <w:r>
        <w:rPr>
          <w:rFonts w:ascii="Arial" w:eastAsia="Arial" w:hAnsi="Arial" w:cs="Arial"/>
          <w:color w:val="000000" w:themeColor="text1"/>
          <w:sz w:val="20"/>
          <w:szCs w:val="20"/>
          <w:lang w:val="es-ES" w:eastAsia="es-ES" w:bidi="es-ES"/>
        </w:rPr>
        <w:t xml:space="preserve">[…] </w:t>
      </w:r>
      <w:r w:rsidRPr="007446F6">
        <w:rPr>
          <w:rFonts w:ascii="Arial" w:eastAsia="Arial" w:hAnsi="Arial" w:cs="Arial"/>
          <w:color w:val="000000" w:themeColor="text1"/>
          <w:sz w:val="20"/>
          <w:szCs w:val="20"/>
          <w:lang w:val="es-ES" w:eastAsia="es-ES" w:bidi="es-ES"/>
        </w:rPr>
        <w:t>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7446F6">
        <w:rPr>
          <w:rFonts w:ascii="Arial" w:eastAsia="Arial" w:hAnsi="Arial" w:cs="Arial"/>
          <w:color w:val="000000" w:themeColor="text1"/>
          <w:spacing w:val="-6"/>
          <w:sz w:val="20"/>
          <w:szCs w:val="20"/>
          <w:lang w:val="es-ES" w:eastAsia="es-ES" w:bidi="es-ES"/>
        </w:rPr>
        <w:t xml:space="preserve"> </w:t>
      </w:r>
      <w:r w:rsidRPr="007446F6">
        <w:rPr>
          <w:rFonts w:ascii="Arial" w:eastAsia="Arial" w:hAnsi="Arial" w:cs="Arial"/>
          <w:color w:val="000000" w:themeColor="text1"/>
          <w:sz w:val="20"/>
          <w:szCs w:val="20"/>
          <w:lang w:val="es-ES" w:eastAsia="es-ES" w:bidi="es-ES"/>
        </w:rPr>
        <w:t>estatales.</w:t>
      </w:r>
    </w:p>
    <w:p w14:paraId="14C190BF" w14:textId="77777777" w:rsidR="0030575F" w:rsidRPr="004E4581" w:rsidRDefault="0030575F" w:rsidP="00C128B2">
      <w:pPr>
        <w:jc w:val="both"/>
        <w:rPr>
          <w:rFonts w:ascii="Arial" w:eastAsia="Calibri" w:hAnsi="Arial" w:cs="Arial"/>
          <w:bCs/>
          <w:color w:val="000000" w:themeColor="text1"/>
          <w:sz w:val="22"/>
          <w:szCs w:val="22"/>
          <w:lang w:val="es-MX" w:eastAsia="en-US"/>
        </w:rPr>
      </w:pPr>
    </w:p>
    <w:p w14:paraId="60DA9B72" w14:textId="77777777" w:rsidR="0030575F" w:rsidRPr="004E4581" w:rsidRDefault="0030575F" w:rsidP="00C128B2">
      <w:pPr>
        <w:jc w:val="both"/>
        <w:rPr>
          <w:rFonts w:ascii="Arial" w:eastAsiaTheme="minorHAnsi" w:hAnsi="Arial" w:cs="Arial"/>
          <w:b/>
          <w:color w:val="000000" w:themeColor="text1"/>
          <w:sz w:val="22"/>
          <w:szCs w:val="22"/>
          <w:lang w:val="es-MX" w:eastAsia="en-US"/>
        </w:rPr>
      </w:pPr>
      <w:r w:rsidRPr="004E4581">
        <w:rPr>
          <w:rFonts w:ascii="Arial" w:eastAsia="Calibri" w:hAnsi="Arial" w:cs="Arial"/>
          <w:b/>
          <w:color w:val="000000" w:themeColor="text1"/>
          <w:sz w:val="22"/>
          <w:szCs w:val="22"/>
          <w:lang w:val="es-MX" w:eastAsia="en-US"/>
        </w:rPr>
        <w:t xml:space="preserve">CONTRATOS Y </w:t>
      </w:r>
      <w:r w:rsidRPr="004E4581">
        <w:rPr>
          <w:rFonts w:ascii="Arial" w:eastAsiaTheme="minorHAnsi" w:hAnsi="Arial" w:cs="Arial"/>
          <w:b/>
          <w:color w:val="000000" w:themeColor="text1"/>
          <w:sz w:val="22"/>
          <w:szCs w:val="22"/>
          <w:lang w:val="es-MX" w:eastAsia="en-US"/>
        </w:rPr>
        <w:t>CONVENIOS INTERADMINISTRATIVOS – Modalidad de selección</w:t>
      </w:r>
    </w:p>
    <w:p w14:paraId="3D8A4243" w14:textId="77777777" w:rsidR="0030575F" w:rsidRPr="004E4581" w:rsidRDefault="0030575F" w:rsidP="00C128B2">
      <w:pPr>
        <w:jc w:val="both"/>
        <w:rPr>
          <w:rFonts w:ascii="Arial" w:eastAsiaTheme="minorHAnsi" w:hAnsi="Arial" w:cs="Arial"/>
          <w:b/>
          <w:color w:val="000000" w:themeColor="text1"/>
          <w:sz w:val="20"/>
          <w:szCs w:val="20"/>
          <w:lang w:val="es-MX" w:eastAsia="en-US"/>
        </w:rPr>
      </w:pPr>
    </w:p>
    <w:p w14:paraId="7A8CFBFE" w14:textId="76DEE40C" w:rsidR="0030575F" w:rsidRPr="007446F6" w:rsidRDefault="0030575F" w:rsidP="00C128B2">
      <w:pPr>
        <w:widowControl w:val="0"/>
        <w:autoSpaceDE w:val="0"/>
        <w:autoSpaceDN w:val="0"/>
        <w:spacing w:before="119"/>
        <w:jc w:val="both"/>
        <w:rPr>
          <w:rFonts w:ascii="Arial" w:eastAsia="Arial" w:hAnsi="Arial" w:cs="Arial"/>
          <w:color w:val="000000" w:themeColor="text1"/>
          <w:sz w:val="20"/>
          <w:szCs w:val="20"/>
          <w:lang w:val="es-ES" w:eastAsia="es-ES" w:bidi="es-ES"/>
        </w:rPr>
      </w:pPr>
      <w:r w:rsidRPr="007446F6">
        <w:rPr>
          <w:rFonts w:ascii="Arial" w:eastAsia="Arial" w:hAnsi="Arial" w:cs="Arial"/>
          <w:color w:val="000000" w:themeColor="text1"/>
          <w:sz w:val="20"/>
          <w:szCs w:val="20"/>
          <w:lang w:val="es-ES" w:eastAsia="es-ES" w:bidi="es-ES"/>
        </w:rPr>
        <w:t xml:space="preserve">[…] </w:t>
      </w:r>
      <w:r w:rsidR="007446F6" w:rsidRPr="007446F6">
        <w:rPr>
          <w:rFonts w:ascii="Arial" w:eastAsia="Arial" w:hAnsi="Arial" w:cs="Arial"/>
          <w:color w:val="000000" w:themeColor="text1"/>
          <w:sz w:val="20"/>
          <w:szCs w:val="20"/>
          <w:lang w:val="es-ES" w:eastAsia="es-ES" w:bidi="es-ES"/>
        </w:rPr>
        <w:t>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abierta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por la calidad de entidades</w:t>
      </w:r>
      <w:r w:rsidR="007446F6" w:rsidRPr="007446F6">
        <w:rPr>
          <w:rFonts w:ascii="Arial" w:eastAsia="Arial" w:hAnsi="Arial" w:cs="Arial"/>
          <w:color w:val="000000" w:themeColor="text1"/>
          <w:spacing w:val="-3"/>
          <w:sz w:val="20"/>
          <w:szCs w:val="20"/>
          <w:lang w:val="es-ES" w:eastAsia="es-ES" w:bidi="es-ES"/>
        </w:rPr>
        <w:t xml:space="preserve"> </w:t>
      </w:r>
      <w:r w:rsidR="007446F6" w:rsidRPr="007446F6">
        <w:rPr>
          <w:rFonts w:ascii="Arial" w:eastAsia="Arial" w:hAnsi="Arial" w:cs="Arial"/>
          <w:color w:val="000000" w:themeColor="text1"/>
          <w:sz w:val="20"/>
          <w:szCs w:val="20"/>
          <w:lang w:val="es-ES" w:eastAsia="es-ES" w:bidi="es-ES"/>
        </w:rPr>
        <w:t>estatales.</w:t>
      </w:r>
    </w:p>
    <w:bookmarkEnd w:id="2"/>
    <w:p w14:paraId="0A0E0304" w14:textId="77777777" w:rsidR="00C128B2" w:rsidRDefault="00C128B2" w:rsidP="002F3E4E">
      <w:pPr>
        <w:rPr>
          <w:rFonts w:ascii="Arial" w:hAnsi="Arial" w:cs="Arial"/>
          <w:color w:val="000000" w:themeColor="text1"/>
          <w:sz w:val="22"/>
        </w:rPr>
      </w:pPr>
    </w:p>
    <w:p w14:paraId="6214582D" w14:textId="77777777" w:rsidR="00C128B2" w:rsidRDefault="00C128B2" w:rsidP="002F3E4E">
      <w:pPr>
        <w:rPr>
          <w:rFonts w:ascii="Arial" w:hAnsi="Arial" w:cs="Arial"/>
          <w:color w:val="000000" w:themeColor="text1"/>
          <w:sz w:val="22"/>
        </w:rPr>
      </w:pPr>
    </w:p>
    <w:p w14:paraId="09B8E758" w14:textId="77777777" w:rsidR="00C128B2" w:rsidRDefault="00C128B2" w:rsidP="002F3E4E">
      <w:pPr>
        <w:rPr>
          <w:rFonts w:ascii="Arial" w:hAnsi="Arial" w:cs="Arial"/>
          <w:color w:val="000000" w:themeColor="text1"/>
          <w:sz w:val="22"/>
        </w:rPr>
      </w:pPr>
    </w:p>
    <w:p w14:paraId="4A290EFD" w14:textId="77777777" w:rsidR="00C128B2" w:rsidRDefault="00C128B2" w:rsidP="002F3E4E">
      <w:pPr>
        <w:rPr>
          <w:rFonts w:ascii="Arial" w:hAnsi="Arial" w:cs="Arial"/>
          <w:color w:val="000000" w:themeColor="text1"/>
          <w:sz w:val="22"/>
        </w:rPr>
      </w:pPr>
    </w:p>
    <w:p w14:paraId="02B979EF" w14:textId="77777777" w:rsidR="00C128B2" w:rsidRDefault="00C128B2" w:rsidP="002F3E4E">
      <w:pPr>
        <w:rPr>
          <w:rFonts w:ascii="Arial" w:hAnsi="Arial" w:cs="Arial"/>
          <w:color w:val="000000" w:themeColor="text1"/>
          <w:sz w:val="22"/>
        </w:rPr>
      </w:pPr>
    </w:p>
    <w:p w14:paraId="0620495A" w14:textId="77777777" w:rsidR="00C128B2" w:rsidRDefault="00C128B2" w:rsidP="002F3E4E">
      <w:pPr>
        <w:rPr>
          <w:rFonts w:ascii="Arial" w:hAnsi="Arial" w:cs="Arial"/>
          <w:color w:val="000000" w:themeColor="text1"/>
          <w:sz w:val="22"/>
        </w:rPr>
      </w:pPr>
    </w:p>
    <w:p w14:paraId="739063AB" w14:textId="77777777" w:rsidR="00C128B2" w:rsidRDefault="00C128B2" w:rsidP="002F3E4E">
      <w:pPr>
        <w:rPr>
          <w:rFonts w:ascii="Arial" w:hAnsi="Arial" w:cs="Arial"/>
          <w:color w:val="000000" w:themeColor="text1"/>
          <w:sz w:val="22"/>
        </w:rPr>
      </w:pPr>
    </w:p>
    <w:p w14:paraId="676A107B" w14:textId="77777777" w:rsidR="00C128B2" w:rsidRDefault="00C128B2" w:rsidP="002F3E4E">
      <w:pPr>
        <w:rPr>
          <w:rFonts w:ascii="Arial" w:hAnsi="Arial" w:cs="Arial"/>
          <w:color w:val="000000" w:themeColor="text1"/>
          <w:sz w:val="22"/>
        </w:rPr>
      </w:pPr>
    </w:p>
    <w:p w14:paraId="0F328595" w14:textId="77777777" w:rsidR="00C128B2" w:rsidRDefault="00C128B2" w:rsidP="002F3E4E">
      <w:pPr>
        <w:rPr>
          <w:rFonts w:ascii="Arial" w:hAnsi="Arial" w:cs="Arial"/>
          <w:color w:val="000000" w:themeColor="text1"/>
          <w:sz w:val="22"/>
        </w:rPr>
      </w:pPr>
    </w:p>
    <w:p w14:paraId="1ECBCF1B" w14:textId="77777777" w:rsidR="00C128B2" w:rsidRDefault="00C128B2" w:rsidP="002F3E4E">
      <w:pPr>
        <w:rPr>
          <w:rFonts w:ascii="Arial" w:hAnsi="Arial" w:cs="Arial"/>
          <w:color w:val="000000" w:themeColor="text1"/>
          <w:sz w:val="22"/>
        </w:rPr>
      </w:pPr>
    </w:p>
    <w:p w14:paraId="04AD1D32" w14:textId="77777777" w:rsidR="00C128B2" w:rsidRDefault="00C128B2" w:rsidP="002F3E4E">
      <w:pPr>
        <w:rPr>
          <w:rFonts w:ascii="Arial" w:hAnsi="Arial" w:cs="Arial"/>
          <w:color w:val="000000" w:themeColor="text1"/>
          <w:sz w:val="22"/>
        </w:rPr>
      </w:pPr>
    </w:p>
    <w:p w14:paraId="485A398F" w14:textId="77777777" w:rsidR="00300726" w:rsidRPr="00300726" w:rsidRDefault="00300726" w:rsidP="00300726">
      <w:pPr>
        <w:widowControl w:val="0"/>
        <w:autoSpaceDE w:val="0"/>
        <w:autoSpaceDN w:val="0"/>
        <w:ind w:left="4825"/>
        <w:rPr>
          <w:rFonts w:eastAsia="Arial MT" w:hAnsi="Arial MT" w:cs="Arial MT"/>
          <w:sz w:val="20"/>
          <w:szCs w:val="22"/>
          <w:lang w:val="es-ES" w:eastAsia="en-US"/>
        </w:rPr>
      </w:pPr>
      <w:r w:rsidRPr="00300726">
        <w:rPr>
          <w:rFonts w:eastAsia="Arial MT" w:hAnsi="Arial MT" w:cs="Arial MT"/>
          <w:noProof/>
          <w:sz w:val="20"/>
          <w:szCs w:val="22"/>
          <w:lang w:eastAsia="es-CO"/>
        </w:rPr>
        <w:drawing>
          <wp:inline distT="0" distB="0" distL="0" distR="0" wp14:anchorId="72B96E2E" wp14:editId="4EC4C615">
            <wp:extent cx="2379945" cy="608838"/>
            <wp:effectExtent l="0" t="0" r="0" b="0"/>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2379945" cy="608838"/>
                    </a:xfrm>
                    <a:prstGeom prst="rect">
                      <a:avLst/>
                    </a:prstGeom>
                  </pic:spPr>
                </pic:pic>
              </a:graphicData>
            </a:graphic>
          </wp:inline>
        </w:drawing>
      </w:r>
    </w:p>
    <w:p w14:paraId="485EF6B8" w14:textId="77777777" w:rsidR="00300726" w:rsidRPr="00300726" w:rsidRDefault="00300726" w:rsidP="00300726">
      <w:pPr>
        <w:widowControl w:val="0"/>
        <w:autoSpaceDE w:val="0"/>
        <w:autoSpaceDN w:val="0"/>
        <w:rPr>
          <w:rFonts w:eastAsia="Arial MT" w:hAnsi="Arial MT" w:cs="Arial MT"/>
          <w:sz w:val="20"/>
          <w:szCs w:val="22"/>
          <w:lang w:val="es-ES" w:eastAsia="en-US"/>
        </w:rPr>
      </w:pPr>
    </w:p>
    <w:p w14:paraId="7178A854" w14:textId="646C9A14" w:rsidR="00300726" w:rsidRPr="00300726" w:rsidRDefault="00300726" w:rsidP="00300726">
      <w:pPr>
        <w:widowControl w:val="0"/>
        <w:autoSpaceDE w:val="0"/>
        <w:autoSpaceDN w:val="0"/>
        <w:rPr>
          <w:rFonts w:eastAsia="Arial MT" w:hAnsi="Arial MT" w:cs="Arial MT"/>
          <w:sz w:val="20"/>
          <w:szCs w:val="22"/>
          <w:lang w:val="es-ES" w:eastAsia="en-US"/>
        </w:rPr>
      </w:pPr>
    </w:p>
    <w:p w14:paraId="3CDE9B1F" w14:textId="77777777" w:rsidR="00300726" w:rsidRPr="00300726" w:rsidRDefault="00300726" w:rsidP="00300726">
      <w:pPr>
        <w:widowControl w:val="0"/>
        <w:autoSpaceDE w:val="0"/>
        <w:autoSpaceDN w:val="0"/>
        <w:spacing w:before="94"/>
        <w:ind w:right="533"/>
        <w:jc w:val="right"/>
        <w:rPr>
          <w:rFonts w:ascii="Arial" w:eastAsia="Arial MT" w:hAnsi="Arial MT" w:cs="Arial MT"/>
          <w:b/>
          <w:sz w:val="18"/>
          <w:szCs w:val="22"/>
          <w:lang w:val="es-ES" w:eastAsia="en-US"/>
        </w:rPr>
      </w:pPr>
      <w:r w:rsidRPr="00300726">
        <w:rPr>
          <w:rFonts w:ascii="Arial" w:eastAsia="Arial MT" w:hAnsi="Arial MT" w:cs="Arial MT"/>
          <w:b/>
          <w:color w:val="585858"/>
          <w:sz w:val="18"/>
          <w:szCs w:val="22"/>
          <w:lang w:val="es-ES" w:eastAsia="en-US"/>
        </w:rPr>
        <w:t>CCE-DES-FM-17</w:t>
      </w:r>
    </w:p>
    <w:p w14:paraId="42F1D0CC" w14:textId="77777777" w:rsidR="00300726" w:rsidRPr="00300726" w:rsidRDefault="00300726" w:rsidP="00300726">
      <w:pPr>
        <w:widowControl w:val="0"/>
        <w:autoSpaceDE w:val="0"/>
        <w:autoSpaceDN w:val="0"/>
        <w:rPr>
          <w:rFonts w:ascii="Arial" w:eastAsia="Arial MT" w:hAnsi="Arial MT" w:cs="Arial MT"/>
          <w:b/>
          <w:sz w:val="20"/>
          <w:szCs w:val="22"/>
          <w:lang w:val="es-ES" w:eastAsia="en-US"/>
        </w:rPr>
      </w:pPr>
    </w:p>
    <w:p w14:paraId="51E40876" w14:textId="77777777" w:rsidR="00300726" w:rsidRPr="00300726" w:rsidRDefault="00300726" w:rsidP="00300726">
      <w:pPr>
        <w:widowControl w:val="0"/>
        <w:autoSpaceDE w:val="0"/>
        <w:autoSpaceDN w:val="0"/>
        <w:ind w:left="100"/>
        <w:rPr>
          <w:rFonts w:ascii="Arial MT" w:eastAsia="Arial MT" w:hAnsi="Arial MT" w:cs="Arial MT"/>
          <w:sz w:val="22"/>
          <w:szCs w:val="22"/>
          <w:lang w:val="es-ES" w:eastAsia="en-US"/>
        </w:rPr>
      </w:pPr>
      <w:r w:rsidRPr="00300726">
        <w:rPr>
          <w:rFonts w:ascii="Arial MT" w:eastAsia="Arial MT" w:hAnsi="Arial MT" w:cs="Arial MT"/>
          <w:color w:val="4E4D4D"/>
          <w:sz w:val="22"/>
          <w:szCs w:val="22"/>
          <w:lang w:val="es-ES" w:eastAsia="en-US"/>
        </w:rPr>
        <w:t>Bogotá,</w:t>
      </w:r>
      <w:r w:rsidRPr="00300726">
        <w:rPr>
          <w:rFonts w:ascii="Arial MT" w:eastAsia="Arial MT" w:hAnsi="Arial MT" w:cs="Arial MT"/>
          <w:color w:val="4E4D4D"/>
          <w:spacing w:val="-2"/>
          <w:sz w:val="22"/>
          <w:szCs w:val="22"/>
          <w:lang w:val="es-ES" w:eastAsia="en-US"/>
        </w:rPr>
        <w:t xml:space="preserve"> </w:t>
      </w:r>
      <w:r w:rsidRPr="00300726">
        <w:rPr>
          <w:rFonts w:ascii="Arial MT" w:eastAsia="Arial MT" w:hAnsi="Arial MT" w:cs="Arial MT"/>
          <w:color w:val="4E4D4D"/>
          <w:sz w:val="22"/>
          <w:szCs w:val="22"/>
          <w:lang w:val="es-ES" w:eastAsia="en-US"/>
        </w:rPr>
        <w:t>27</w:t>
      </w:r>
      <w:r w:rsidRPr="00300726">
        <w:rPr>
          <w:rFonts w:ascii="Arial MT" w:eastAsia="Arial MT" w:hAnsi="Arial MT" w:cs="Arial MT"/>
          <w:color w:val="4E4D4D"/>
          <w:spacing w:val="-5"/>
          <w:sz w:val="22"/>
          <w:szCs w:val="22"/>
          <w:lang w:val="es-ES" w:eastAsia="en-US"/>
        </w:rPr>
        <w:t xml:space="preserve"> </w:t>
      </w:r>
      <w:proofErr w:type="gramStart"/>
      <w:r w:rsidRPr="00300726">
        <w:rPr>
          <w:rFonts w:ascii="Arial MT" w:eastAsia="Arial MT" w:hAnsi="Arial MT" w:cs="Arial MT"/>
          <w:color w:val="4E4D4D"/>
          <w:sz w:val="22"/>
          <w:szCs w:val="22"/>
          <w:lang w:val="es-ES" w:eastAsia="en-US"/>
        </w:rPr>
        <w:t>Agosto</w:t>
      </w:r>
      <w:proofErr w:type="gramEnd"/>
      <w:r w:rsidRPr="00300726">
        <w:rPr>
          <w:rFonts w:ascii="Arial MT" w:eastAsia="Arial MT" w:hAnsi="Arial MT" w:cs="Arial MT"/>
          <w:color w:val="4E4D4D"/>
          <w:spacing w:val="-3"/>
          <w:sz w:val="22"/>
          <w:szCs w:val="22"/>
          <w:lang w:val="es-ES" w:eastAsia="en-US"/>
        </w:rPr>
        <w:t xml:space="preserve"> </w:t>
      </w:r>
      <w:r w:rsidRPr="00300726">
        <w:rPr>
          <w:rFonts w:ascii="Arial MT" w:eastAsia="Arial MT" w:hAnsi="Arial MT" w:cs="Arial MT"/>
          <w:color w:val="4E4D4D"/>
          <w:sz w:val="22"/>
          <w:szCs w:val="22"/>
          <w:lang w:val="es-ES" w:eastAsia="en-US"/>
        </w:rPr>
        <w:t>2021</w:t>
      </w:r>
    </w:p>
    <w:p w14:paraId="3425755A" w14:textId="77777777" w:rsidR="00300726" w:rsidRPr="00300726" w:rsidRDefault="00300726" w:rsidP="00300726">
      <w:pPr>
        <w:widowControl w:val="0"/>
        <w:autoSpaceDE w:val="0"/>
        <w:autoSpaceDN w:val="0"/>
        <w:rPr>
          <w:rFonts w:ascii="Arial MT" w:eastAsia="Arial MT" w:hAnsi="Arial MT" w:cs="Arial MT"/>
          <w:szCs w:val="22"/>
          <w:lang w:val="es-ES" w:eastAsia="en-US"/>
        </w:rPr>
      </w:pPr>
    </w:p>
    <w:p w14:paraId="176395FC" w14:textId="1FAB0ACC" w:rsidR="002F3E4E" w:rsidRPr="004E4581" w:rsidRDefault="002F3E4E" w:rsidP="00B95C30">
      <w:pPr>
        <w:jc w:val="both"/>
        <w:rPr>
          <w:rFonts w:ascii="Arial" w:hAnsi="Arial" w:cs="Arial"/>
          <w:bCs/>
          <w:color w:val="000000" w:themeColor="text1"/>
          <w:sz w:val="22"/>
          <w:lang w:val="es-ES_tradnl"/>
        </w:rPr>
      </w:pPr>
    </w:p>
    <w:p w14:paraId="5F5AE9EF" w14:textId="71339329" w:rsidR="00B95C30" w:rsidRPr="004E4581" w:rsidRDefault="00BE4FBF" w:rsidP="00B95C30">
      <w:pPr>
        <w:jc w:val="both"/>
        <w:rPr>
          <w:rFonts w:ascii="Arial" w:eastAsia="Calibri" w:hAnsi="Arial" w:cs="Arial"/>
          <w:color w:val="000000" w:themeColor="text1"/>
          <w:sz w:val="22"/>
        </w:rPr>
      </w:pPr>
      <w:bookmarkStart w:id="8" w:name="_Hlk80951783"/>
      <w:r w:rsidRPr="004E4581">
        <w:rPr>
          <w:rFonts w:ascii="Arial" w:eastAsia="Calibri" w:hAnsi="Arial" w:cs="Arial"/>
          <w:color w:val="000000" w:themeColor="text1"/>
          <w:sz w:val="22"/>
        </w:rPr>
        <w:t>Señor</w:t>
      </w:r>
    </w:p>
    <w:p w14:paraId="27B815A2" w14:textId="575D9B36" w:rsidR="00987123" w:rsidRPr="004E4581" w:rsidRDefault="00E746A6" w:rsidP="00B95C30">
      <w:pPr>
        <w:jc w:val="both"/>
        <w:rPr>
          <w:rFonts w:ascii="Arial" w:eastAsia="Calibri" w:hAnsi="Arial" w:cs="Arial"/>
          <w:b/>
          <w:color w:val="000000" w:themeColor="text1"/>
          <w:sz w:val="22"/>
        </w:rPr>
      </w:pPr>
      <w:r w:rsidRPr="004E4581">
        <w:rPr>
          <w:rFonts w:ascii="Arial" w:eastAsia="Calibri" w:hAnsi="Arial" w:cs="Arial"/>
          <w:b/>
          <w:color w:val="000000" w:themeColor="text1"/>
          <w:sz w:val="22"/>
        </w:rPr>
        <w:t xml:space="preserve">Luis </w:t>
      </w:r>
      <w:r w:rsidR="000254DD" w:rsidRPr="004E4581">
        <w:rPr>
          <w:rFonts w:ascii="Arial" w:eastAsia="Calibri" w:hAnsi="Arial" w:cs="Arial"/>
          <w:b/>
          <w:color w:val="000000" w:themeColor="text1"/>
          <w:sz w:val="22"/>
        </w:rPr>
        <w:t>Hernán</w:t>
      </w:r>
      <w:r w:rsidRPr="004E4581">
        <w:rPr>
          <w:rFonts w:ascii="Arial" w:eastAsia="Calibri" w:hAnsi="Arial" w:cs="Arial"/>
          <w:b/>
          <w:color w:val="000000" w:themeColor="text1"/>
          <w:sz w:val="22"/>
        </w:rPr>
        <w:t xml:space="preserve"> Díaz </w:t>
      </w:r>
    </w:p>
    <w:p w14:paraId="608E738E" w14:textId="77777777" w:rsidR="00E746A6" w:rsidRPr="004E4581" w:rsidRDefault="00E746A6" w:rsidP="00B95C30">
      <w:pPr>
        <w:jc w:val="both"/>
        <w:rPr>
          <w:rFonts w:ascii="Arial" w:hAnsi="Arial" w:cs="Arial"/>
          <w:color w:val="000000" w:themeColor="text1"/>
          <w:sz w:val="22"/>
        </w:rPr>
      </w:pPr>
      <w:r w:rsidRPr="004E4581">
        <w:rPr>
          <w:rFonts w:ascii="Arial" w:hAnsi="Arial" w:cs="Arial"/>
          <w:color w:val="000000" w:themeColor="text1"/>
          <w:sz w:val="22"/>
        </w:rPr>
        <w:t>Profesional Universitario -Líder TIC</w:t>
      </w:r>
    </w:p>
    <w:p w14:paraId="0B5EBAC5" w14:textId="0668C245" w:rsidR="00A25F2F" w:rsidRPr="004E4581" w:rsidRDefault="00E746A6" w:rsidP="00B95C30">
      <w:pPr>
        <w:jc w:val="both"/>
        <w:rPr>
          <w:rFonts w:ascii="Arial" w:eastAsia="Calibri" w:hAnsi="Arial" w:cs="Arial"/>
          <w:color w:val="000000" w:themeColor="text1"/>
          <w:sz w:val="22"/>
        </w:rPr>
      </w:pPr>
      <w:r w:rsidRPr="004E4581">
        <w:rPr>
          <w:rFonts w:ascii="Arial" w:hAnsi="Arial" w:cs="Arial"/>
          <w:color w:val="000000" w:themeColor="text1"/>
          <w:sz w:val="22"/>
        </w:rPr>
        <w:t>Yumbo-Valle</w:t>
      </w:r>
    </w:p>
    <w:p w14:paraId="6CF15DAA" w14:textId="1677B40C" w:rsidR="00AC5897" w:rsidRPr="004E4581" w:rsidRDefault="00AC5897" w:rsidP="00B95C30">
      <w:pPr>
        <w:jc w:val="both"/>
        <w:rPr>
          <w:rFonts w:ascii="Arial" w:eastAsia="Calibri" w:hAnsi="Arial" w:cs="Arial"/>
          <w:color w:val="000000" w:themeColor="text1"/>
          <w:sz w:val="22"/>
        </w:rPr>
      </w:pPr>
    </w:p>
    <w:p w14:paraId="0942E2A4" w14:textId="77777777" w:rsidR="000254DD" w:rsidRPr="004E4581" w:rsidRDefault="000254DD" w:rsidP="00B95C30">
      <w:pPr>
        <w:jc w:val="both"/>
        <w:rPr>
          <w:rFonts w:ascii="Arial" w:eastAsia="Calibri" w:hAnsi="Arial" w:cs="Arial"/>
          <w:color w:val="000000" w:themeColor="text1"/>
          <w:sz w:val="22"/>
        </w:rPr>
      </w:pPr>
    </w:p>
    <w:p w14:paraId="12E66182" w14:textId="1394CAED" w:rsidR="00B95C30" w:rsidRPr="004E4581" w:rsidRDefault="00A25F2F" w:rsidP="004004C2">
      <w:pPr>
        <w:rPr>
          <w:rFonts w:ascii="Arial" w:eastAsia="Calibri" w:hAnsi="Arial" w:cs="Arial"/>
          <w:b/>
          <w:bCs/>
          <w:color w:val="000000" w:themeColor="text1"/>
          <w:sz w:val="22"/>
          <w:lang w:val="es-ES_tradnl"/>
        </w:rPr>
      </w:pPr>
      <w:r w:rsidRPr="004E4581">
        <w:rPr>
          <w:rFonts w:ascii="Arial" w:eastAsia="Calibri" w:hAnsi="Arial" w:cs="Arial"/>
          <w:b/>
          <w:bCs/>
          <w:color w:val="000000" w:themeColor="text1"/>
          <w:sz w:val="22"/>
        </w:rPr>
        <w:t xml:space="preserve">                                            </w:t>
      </w:r>
      <w:r w:rsidR="00B95C30" w:rsidRPr="004E4581">
        <w:rPr>
          <w:rFonts w:ascii="Arial" w:eastAsia="Calibri" w:hAnsi="Arial" w:cs="Arial"/>
          <w:b/>
          <w:bCs/>
          <w:color w:val="000000" w:themeColor="text1"/>
          <w:sz w:val="22"/>
          <w:lang w:val="es-ES_tradnl"/>
        </w:rPr>
        <w:t>Concepto C ‒</w:t>
      </w:r>
      <w:r w:rsidR="00856F87" w:rsidRPr="004E4581">
        <w:rPr>
          <w:rFonts w:ascii="Arial" w:eastAsia="Calibri" w:hAnsi="Arial" w:cs="Arial"/>
          <w:b/>
          <w:bCs/>
          <w:color w:val="000000" w:themeColor="text1"/>
          <w:sz w:val="22"/>
          <w:lang w:val="es-ES_tradnl"/>
        </w:rPr>
        <w:t xml:space="preserve"> </w:t>
      </w:r>
      <w:r w:rsidR="00E746A6" w:rsidRPr="004E4581">
        <w:rPr>
          <w:rFonts w:ascii="Arial" w:eastAsia="Calibri" w:hAnsi="Arial" w:cs="Arial"/>
          <w:b/>
          <w:bCs/>
          <w:color w:val="000000" w:themeColor="text1"/>
          <w:sz w:val="22"/>
          <w:lang w:val="es-ES_tradnl"/>
        </w:rPr>
        <w:t>439 de 2021</w:t>
      </w:r>
    </w:p>
    <w:p w14:paraId="1BD594F9" w14:textId="77777777" w:rsidR="00B95C30" w:rsidRPr="004E4581"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4581" w:rsidRPr="004E4581" w14:paraId="19DFC051" w14:textId="77777777" w:rsidTr="008F4163">
        <w:tc>
          <w:tcPr>
            <w:tcW w:w="2689" w:type="dxa"/>
          </w:tcPr>
          <w:p w14:paraId="6BC0D1AC" w14:textId="77777777" w:rsidR="00B95C30" w:rsidRPr="004E4581" w:rsidRDefault="00B95C30" w:rsidP="008F4163">
            <w:pPr>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 xml:space="preserve">Temas:                                      </w:t>
            </w:r>
          </w:p>
        </w:tc>
        <w:tc>
          <w:tcPr>
            <w:tcW w:w="6237" w:type="dxa"/>
          </w:tcPr>
          <w:p w14:paraId="4CD67D9F" w14:textId="0E4B4CAA" w:rsidR="00B95C30" w:rsidRDefault="0030575F" w:rsidP="00861F5C">
            <w:pPr>
              <w:tabs>
                <w:tab w:val="left" w:pos="426"/>
              </w:tabs>
              <w:jc w:val="both"/>
              <w:rPr>
                <w:rFonts w:ascii="Arial" w:eastAsiaTheme="minorHAnsi" w:hAnsi="Arial" w:cs="Arial"/>
                <w:color w:val="000000" w:themeColor="text1"/>
                <w:sz w:val="22"/>
                <w:szCs w:val="22"/>
                <w:lang w:val="es-MX" w:eastAsia="en-US"/>
              </w:rPr>
            </w:pPr>
            <w:r w:rsidRPr="004E4581">
              <w:rPr>
                <w:rFonts w:ascii="Arial" w:eastAsia="Calibri" w:hAnsi="Arial" w:cs="Arial"/>
                <w:bCs/>
                <w:color w:val="000000" w:themeColor="text1"/>
                <w:sz w:val="22"/>
                <w:szCs w:val="22"/>
                <w:lang w:val="es-MX" w:eastAsia="en-US"/>
              </w:rPr>
              <w:t xml:space="preserve">LEY DE GARANTÍAS ELECTORALES – Finalidad </w:t>
            </w:r>
            <w:r w:rsidR="00987123" w:rsidRPr="004E4581">
              <w:rPr>
                <w:rFonts w:ascii="Arial" w:eastAsia="Calibri" w:hAnsi="Arial" w:cs="Arial"/>
                <w:color w:val="000000" w:themeColor="text1"/>
                <w:sz w:val="22"/>
                <w:szCs w:val="22"/>
                <w:lang w:val="es-ES_tradnl"/>
              </w:rPr>
              <w:t xml:space="preserve">/ </w:t>
            </w:r>
            <w:r w:rsidRPr="004E4581">
              <w:rPr>
                <w:rFonts w:ascii="Arial" w:eastAsia="Calibri" w:hAnsi="Arial" w:cs="Arial"/>
                <w:bCs/>
                <w:color w:val="000000" w:themeColor="text1"/>
                <w:sz w:val="22"/>
                <w:szCs w:val="22"/>
                <w:lang w:val="es-MX" w:eastAsia="en-US"/>
              </w:rPr>
              <w:t>LEY DE GARANTÍAS ELECTORALES ‒ Restricciones ‒ Contratación ‒ Tipos de elección / LEY DE GARANTÍAS</w:t>
            </w:r>
            <w:r w:rsidR="002D6BBD">
              <w:rPr>
                <w:rFonts w:ascii="Arial" w:eastAsia="Calibri" w:hAnsi="Arial" w:cs="Arial"/>
                <w:bCs/>
                <w:color w:val="000000" w:themeColor="text1"/>
                <w:sz w:val="22"/>
                <w:szCs w:val="22"/>
                <w:lang w:val="es-MX" w:eastAsia="en-US"/>
              </w:rPr>
              <w:t xml:space="preserve"> ELECTORALES ‒ Prohibiciones </w:t>
            </w:r>
            <w:r w:rsidRPr="004E4581">
              <w:rPr>
                <w:rFonts w:ascii="Arial" w:eastAsia="Calibri" w:hAnsi="Arial" w:cs="Arial"/>
                <w:bCs/>
                <w:color w:val="000000" w:themeColor="text1"/>
                <w:sz w:val="22"/>
                <w:szCs w:val="22"/>
                <w:lang w:val="es-MX" w:eastAsia="en-US"/>
              </w:rPr>
              <w:t xml:space="preserve">‒ Ámbito temporal / </w:t>
            </w:r>
            <w:r w:rsidRPr="004E4581">
              <w:rPr>
                <w:rFonts w:ascii="Arial" w:eastAsia="Calibri" w:hAnsi="Arial" w:cs="Arial"/>
                <w:color w:val="000000" w:themeColor="text1"/>
                <w:sz w:val="22"/>
                <w:szCs w:val="22"/>
                <w:lang w:val="es-MX" w:eastAsia="en-US"/>
              </w:rPr>
              <w:t xml:space="preserve">CONTRATOS Y </w:t>
            </w:r>
            <w:r w:rsidRPr="004E4581">
              <w:rPr>
                <w:rFonts w:ascii="Arial" w:eastAsiaTheme="minorHAnsi" w:hAnsi="Arial" w:cs="Arial"/>
                <w:color w:val="000000" w:themeColor="text1"/>
                <w:sz w:val="22"/>
                <w:szCs w:val="22"/>
                <w:lang w:val="es-MX" w:eastAsia="en-US"/>
              </w:rPr>
              <w:t xml:space="preserve">CONVENIOS INTERADMINISTRATIVOS </w:t>
            </w:r>
            <w:r w:rsidRPr="004E4581">
              <w:rPr>
                <w:rFonts w:ascii="Arial" w:eastAsia="Calibri" w:hAnsi="Arial" w:cs="Arial"/>
                <w:color w:val="000000" w:themeColor="text1"/>
                <w:sz w:val="22"/>
                <w:szCs w:val="22"/>
                <w:lang w:val="es-MX" w:eastAsia="en-US"/>
              </w:rPr>
              <w:t xml:space="preserve">– Definición – Criterio orgánico / CONTRATOS Y </w:t>
            </w:r>
            <w:r w:rsidRPr="004E4581">
              <w:rPr>
                <w:rFonts w:ascii="Arial" w:eastAsiaTheme="minorHAnsi" w:hAnsi="Arial" w:cs="Arial"/>
                <w:color w:val="000000" w:themeColor="text1"/>
                <w:sz w:val="22"/>
                <w:szCs w:val="22"/>
                <w:lang w:val="es-MX" w:eastAsia="en-US"/>
              </w:rPr>
              <w:t>CONVENIOS INTERADMINISTRATIVOS – Modalidad de selección</w:t>
            </w:r>
            <w:r w:rsidR="002D6BBD">
              <w:rPr>
                <w:rFonts w:ascii="Arial" w:eastAsiaTheme="minorHAnsi" w:hAnsi="Arial" w:cs="Arial"/>
                <w:color w:val="000000" w:themeColor="text1"/>
                <w:sz w:val="22"/>
                <w:szCs w:val="22"/>
                <w:lang w:val="es-MX" w:eastAsia="en-US"/>
              </w:rPr>
              <w:t>.</w:t>
            </w:r>
            <w:r w:rsidRPr="004E4581">
              <w:rPr>
                <w:rFonts w:ascii="Arial" w:eastAsiaTheme="minorHAnsi" w:hAnsi="Arial" w:cs="Arial"/>
                <w:color w:val="000000" w:themeColor="text1"/>
                <w:sz w:val="22"/>
                <w:szCs w:val="22"/>
                <w:lang w:val="es-MX" w:eastAsia="en-US"/>
              </w:rPr>
              <w:t xml:space="preserve"> </w:t>
            </w:r>
          </w:p>
          <w:p w14:paraId="5F389CAF" w14:textId="2EB76626" w:rsidR="007446F6" w:rsidRPr="004E4581" w:rsidRDefault="007446F6" w:rsidP="00861F5C">
            <w:pPr>
              <w:tabs>
                <w:tab w:val="left" w:pos="426"/>
              </w:tabs>
              <w:jc w:val="both"/>
              <w:rPr>
                <w:rFonts w:ascii="Arial" w:eastAsia="Calibri" w:hAnsi="Arial" w:cs="Arial"/>
                <w:color w:val="000000" w:themeColor="text1"/>
                <w:sz w:val="22"/>
                <w:highlight w:val="yellow"/>
                <w:lang w:val="es-ES_tradnl"/>
              </w:rPr>
            </w:pPr>
          </w:p>
        </w:tc>
      </w:tr>
      <w:tr w:rsidR="00B95C30" w:rsidRPr="004E4581" w14:paraId="27CD52AB" w14:textId="77777777" w:rsidTr="000254DD">
        <w:trPr>
          <w:trHeight w:val="80"/>
        </w:trPr>
        <w:tc>
          <w:tcPr>
            <w:tcW w:w="2689" w:type="dxa"/>
          </w:tcPr>
          <w:p w14:paraId="37E195A1" w14:textId="1BA218D5" w:rsidR="00B95C30" w:rsidRPr="004E4581" w:rsidRDefault="00B95C30" w:rsidP="008F4163">
            <w:pPr>
              <w:spacing w:before="120"/>
              <w:jc w:val="both"/>
              <w:rPr>
                <w:rFonts w:ascii="Arial" w:eastAsia="Calibri" w:hAnsi="Arial" w:cs="Arial"/>
                <w:color w:val="000000" w:themeColor="text1"/>
                <w:sz w:val="22"/>
                <w:lang w:val="es-ES_tradnl"/>
              </w:rPr>
            </w:pPr>
            <w:r w:rsidRPr="004E4581">
              <w:rPr>
                <w:rFonts w:ascii="Arial" w:eastAsia="Calibri" w:hAnsi="Arial" w:cs="Arial"/>
                <w:b/>
                <w:color w:val="000000" w:themeColor="text1"/>
                <w:sz w:val="22"/>
                <w:lang w:val="es-ES_tradnl"/>
              </w:rPr>
              <w:t>Radicación</w:t>
            </w:r>
            <w:r w:rsidRPr="004E4581">
              <w:rPr>
                <w:rFonts w:ascii="Arial" w:eastAsia="Calibri" w:hAnsi="Arial" w:cs="Arial"/>
                <w:color w:val="000000" w:themeColor="text1"/>
                <w:sz w:val="22"/>
                <w:lang w:val="es-ES_tradnl"/>
              </w:rPr>
              <w:t xml:space="preserve">:                              </w:t>
            </w:r>
          </w:p>
        </w:tc>
        <w:tc>
          <w:tcPr>
            <w:tcW w:w="6237" w:type="dxa"/>
          </w:tcPr>
          <w:p w14:paraId="09088B1B" w14:textId="43AEAFC6" w:rsidR="00B95C30" w:rsidRPr="004E4581" w:rsidRDefault="00B95C30" w:rsidP="000254DD">
            <w:pPr>
              <w:spacing w:before="120"/>
              <w:jc w:val="both"/>
              <w:rPr>
                <w:rFonts w:ascii="Arial" w:eastAsia="Calibri" w:hAnsi="Arial" w:cs="Arial"/>
                <w:color w:val="000000" w:themeColor="text1"/>
                <w:sz w:val="22"/>
                <w:highlight w:val="yellow"/>
                <w:lang w:val="es-ES_tradnl"/>
              </w:rPr>
            </w:pPr>
            <w:r w:rsidRPr="004E4581">
              <w:rPr>
                <w:rFonts w:ascii="Arial" w:eastAsia="Calibri" w:hAnsi="Arial" w:cs="Arial"/>
                <w:color w:val="000000" w:themeColor="text1"/>
                <w:sz w:val="22"/>
                <w:lang w:val="es-ES_tradnl"/>
              </w:rPr>
              <w:t xml:space="preserve">Respuesta a consulta # </w:t>
            </w:r>
            <w:r w:rsidR="000254DD" w:rsidRPr="004E4581">
              <w:rPr>
                <w:rFonts w:ascii="Arial" w:eastAsia="Calibri" w:hAnsi="Arial" w:cs="Arial"/>
                <w:color w:val="000000" w:themeColor="text1"/>
                <w:sz w:val="22"/>
                <w:lang w:val="es-ES_tradnl"/>
              </w:rPr>
              <w:t>20210714006194</w:t>
            </w:r>
          </w:p>
        </w:tc>
      </w:tr>
    </w:tbl>
    <w:p w14:paraId="6643BC73" w14:textId="6D94E4B0" w:rsidR="002E3C26" w:rsidRPr="004E4581" w:rsidRDefault="002E3C26" w:rsidP="003C3339">
      <w:pPr>
        <w:jc w:val="both"/>
        <w:rPr>
          <w:rFonts w:ascii="Arial" w:eastAsia="Calibri" w:hAnsi="Arial" w:cs="Arial"/>
          <w:color w:val="000000" w:themeColor="text1"/>
          <w:sz w:val="22"/>
          <w:lang w:val="es-ES_tradnl"/>
        </w:rPr>
      </w:pPr>
    </w:p>
    <w:p w14:paraId="0416277B" w14:textId="77777777" w:rsidR="00FD1854" w:rsidRPr="004E4581" w:rsidRDefault="00FD1854" w:rsidP="003C3339">
      <w:pPr>
        <w:jc w:val="both"/>
        <w:rPr>
          <w:rFonts w:ascii="Arial" w:eastAsia="Calibri" w:hAnsi="Arial" w:cs="Arial"/>
          <w:color w:val="000000" w:themeColor="text1"/>
          <w:sz w:val="22"/>
          <w:lang w:val="es-ES_tradnl"/>
        </w:rPr>
      </w:pPr>
    </w:p>
    <w:p w14:paraId="1CF4AEA0" w14:textId="737908F9" w:rsidR="003C3339" w:rsidRPr="004E4581" w:rsidRDefault="003C3339" w:rsidP="003C3339">
      <w:pPr>
        <w:jc w:val="both"/>
        <w:rPr>
          <w:rFonts w:ascii="Arial" w:eastAsia="Calibri" w:hAnsi="Arial" w:cs="Arial"/>
          <w:color w:val="000000" w:themeColor="text1"/>
          <w:sz w:val="22"/>
          <w:lang w:val="es-ES_tradnl"/>
        </w:rPr>
      </w:pPr>
      <w:r w:rsidRPr="004E4581">
        <w:rPr>
          <w:rFonts w:ascii="Arial" w:eastAsia="Calibri" w:hAnsi="Arial" w:cs="Arial"/>
          <w:color w:val="000000" w:themeColor="text1"/>
          <w:sz w:val="22"/>
          <w:lang w:val="es-ES_tradnl"/>
        </w:rPr>
        <w:t>Estimad</w:t>
      </w:r>
      <w:r w:rsidR="00B549B3" w:rsidRPr="004E4581">
        <w:rPr>
          <w:rFonts w:ascii="Arial" w:eastAsia="Calibri" w:hAnsi="Arial" w:cs="Arial"/>
          <w:color w:val="000000" w:themeColor="text1"/>
          <w:sz w:val="22"/>
          <w:lang w:val="es-ES_tradnl"/>
        </w:rPr>
        <w:t>o</w:t>
      </w:r>
      <w:r w:rsidRPr="004E4581">
        <w:rPr>
          <w:rFonts w:ascii="Arial" w:eastAsia="Calibri" w:hAnsi="Arial" w:cs="Arial"/>
          <w:color w:val="000000" w:themeColor="text1"/>
          <w:sz w:val="22"/>
          <w:lang w:val="es-ES_tradnl"/>
        </w:rPr>
        <w:t xml:space="preserve"> </w:t>
      </w:r>
      <w:r w:rsidR="00B549B3" w:rsidRPr="004E4581">
        <w:rPr>
          <w:rFonts w:ascii="Arial" w:eastAsia="Calibri" w:hAnsi="Arial" w:cs="Arial"/>
          <w:color w:val="000000" w:themeColor="text1"/>
          <w:sz w:val="22"/>
          <w:lang w:val="es-ES_tradnl"/>
        </w:rPr>
        <w:t xml:space="preserve">señor </w:t>
      </w:r>
      <w:r w:rsidR="00E746A6" w:rsidRPr="004E4581">
        <w:rPr>
          <w:rFonts w:ascii="Arial" w:eastAsia="Calibri" w:hAnsi="Arial" w:cs="Arial"/>
          <w:color w:val="000000" w:themeColor="text1"/>
          <w:sz w:val="22"/>
          <w:lang w:val="es-ES_tradnl"/>
        </w:rPr>
        <w:t xml:space="preserve">Díaz: </w:t>
      </w:r>
    </w:p>
    <w:p w14:paraId="1EAE5543" w14:textId="77777777" w:rsidR="00DD5B04" w:rsidRPr="004E4581" w:rsidRDefault="00DD5B04" w:rsidP="00DF76A2">
      <w:pPr>
        <w:jc w:val="both"/>
        <w:rPr>
          <w:rFonts w:ascii="Arial" w:eastAsia="Calibri" w:hAnsi="Arial" w:cs="Arial"/>
          <w:color w:val="000000" w:themeColor="text1"/>
          <w:sz w:val="22"/>
          <w:lang w:val="es-ES_tradnl"/>
        </w:rPr>
      </w:pPr>
    </w:p>
    <w:p w14:paraId="2109B2D3" w14:textId="055A2050" w:rsidR="00DD5B04" w:rsidRPr="004E4581" w:rsidRDefault="00DD5B04" w:rsidP="00DF76A2">
      <w:pPr>
        <w:spacing w:line="276" w:lineRule="auto"/>
        <w:jc w:val="both"/>
        <w:rPr>
          <w:rFonts w:ascii="Arial" w:eastAsia="Calibri" w:hAnsi="Arial" w:cs="Arial"/>
          <w:color w:val="000000" w:themeColor="text1"/>
          <w:sz w:val="22"/>
          <w:lang w:val="es-ES_tradnl"/>
        </w:rPr>
      </w:pPr>
      <w:r w:rsidRPr="004E4581">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4E4581">
        <w:rPr>
          <w:rFonts w:ascii="Arial" w:eastAsia="Calibri" w:hAnsi="Arial" w:cs="Arial"/>
          <w:color w:val="000000" w:themeColor="text1"/>
          <w:sz w:val="22"/>
          <w:lang w:val="es-ES_tradnl"/>
        </w:rPr>
        <w:t>–</w:t>
      </w:r>
      <w:r w:rsidRPr="004E4581">
        <w:rPr>
          <w:rFonts w:ascii="Arial" w:eastAsia="Calibri" w:hAnsi="Arial" w:cs="Arial"/>
          <w:color w:val="000000" w:themeColor="text1"/>
          <w:sz w:val="22"/>
          <w:lang w:val="es-ES_tradnl"/>
        </w:rPr>
        <w:t xml:space="preserve"> Colombia Compra Eficiente</w:t>
      </w:r>
      <w:r w:rsidR="008C3C57" w:rsidRPr="004E4581">
        <w:rPr>
          <w:rFonts w:ascii="Arial" w:eastAsia="Calibri" w:hAnsi="Arial" w:cs="Arial"/>
          <w:color w:val="000000" w:themeColor="text1"/>
          <w:sz w:val="22"/>
          <w:lang w:val="es-ES_tradnl"/>
        </w:rPr>
        <w:t xml:space="preserve"> </w:t>
      </w:r>
      <w:r w:rsidR="00436B3F" w:rsidRPr="004E4581">
        <w:rPr>
          <w:rFonts w:ascii="Arial" w:eastAsia="Calibri" w:hAnsi="Arial" w:cs="Arial"/>
          <w:color w:val="000000" w:themeColor="text1"/>
          <w:sz w:val="22"/>
          <w:lang w:val="es-ES_tradnl"/>
        </w:rPr>
        <w:t>responde a su consulta del 1</w:t>
      </w:r>
      <w:r w:rsidR="00E746A6" w:rsidRPr="004E4581">
        <w:rPr>
          <w:rFonts w:ascii="Arial" w:eastAsia="Calibri" w:hAnsi="Arial" w:cs="Arial"/>
          <w:color w:val="000000" w:themeColor="text1"/>
          <w:sz w:val="22"/>
          <w:lang w:val="es-ES_tradnl"/>
        </w:rPr>
        <w:t>4</w:t>
      </w:r>
      <w:r w:rsidR="00436B3F" w:rsidRPr="004E4581">
        <w:rPr>
          <w:rFonts w:ascii="Arial" w:eastAsia="Calibri" w:hAnsi="Arial" w:cs="Arial"/>
          <w:color w:val="000000" w:themeColor="text1"/>
          <w:sz w:val="22"/>
          <w:lang w:val="es-ES_tradnl"/>
        </w:rPr>
        <w:t xml:space="preserve"> de julio de 2021. </w:t>
      </w:r>
    </w:p>
    <w:p w14:paraId="0C1E0712" w14:textId="77777777" w:rsidR="00DD5B04" w:rsidRPr="004E458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E458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 xml:space="preserve">Problema planteado </w:t>
      </w:r>
    </w:p>
    <w:p w14:paraId="224B43D3" w14:textId="77777777" w:rsidR="00DD5B04" w:rsidRPr="004E458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4BD1A156" w14:textId="575872AC" w:rsidR="00436B3F" w:rsidRPr="004E4581" w:rsidRDefault="00E746A6" w:rsidP="00436B3F">
      <w:pPr>
        <w:spacing w:line="276" w:lineRule="auto"/>
        <w:jc w:val="both"/>
        <w:rPr>
          <w:rFonts w:ascii="Arial" w:hAnsi="Arial" w:cs="Arial"/>
          <w:color w:val="000000" w:themeColor="text1"/>
          <w:sz w:val="21"/>
          <w:szCs w:val="21"/>
          <w:lang w:val="es-ES_tradnl"/>
        </w:rPr>
      </w:pPr>
      <w:r w:rsidRPr="004E4581">
        <w:rPr>
          <w:rFonts w:ascii="Arial" w:hAnsi="Arial" w:cs="Arial"/>
          <w:color w:val="000000" w:themeColor="text1"/>
          <w:sz w:val="22"/>
          <w:lang w:val="es-ES_tradnl"/>
        </w:rPr>
        <w:t>En su consulta plantea lo siguiente</w:t>
      </w:r>
      <w:r w:rsidR="006251D3" w:rsidRPr="004E4581">
        <w:rPr>
          <w:rFonts w:ascii="Arial" w:hAnsi="Arial" w:cs="Arial"/>
          <w:color w:val="000000" w:themeColor="text1"/>
          <w:sz w:val="22"/>
          <w:lang w:val="es-ES_tradnl"/>
        </w:rPr>
        <w:t>:</w:t>
      </w:r>
      <w:r w:rsidR="006251D3" w:rsidRPr="004E4581">
        <w:rPr>
          <w:rFonts w:ascii="Arial" w:hAnsi="Arial" w:cs="Arial"/>
          <w:color w:val="000000" w:themeColor="text1"/>
          <w:sz w:val="21"/>
          <w:szCs w:val="21"/>
          <w:lang w:val="es-ES_tradnl"/>
        </w:rPr>
        <w:t xml:space="preserve"> </w:t>
      </w:r>
      <w:r w:rsidR="00974B94" w:rsidRPr="004E4581">
        <w:rPr>
          <w:rFonts w:ascii="Arial" w:hAnsi="Arial" w:cs="Arial"/>
          <w:color w:val="000000" w:themeColor="text1"/>
          <w:sz w:val="22"/>
          <w:szCs w:val="22"/>
          <w:lang w:val="es-ES_tradnl"/>
        </w:rPr>
        <w:t>«</w:t>
      </w:r>
      <w:r w:rsidR="00436B3F" w:rsidRPr="004E4581">
        <w:rPr>
          <w:rFonts w:ascii="Arial" w:hAnsi="Arial" w:cs="Arial"/>
          <w:color w:val="000000" w:themeColor="text1"/>
          <w:sz w:val="22"/>
          <w:szCs w:val="22"/>
          <w:bdr w:val="none" w:sz="0" w:space="0" w:color="auto" w:frame="1"/>
        </w:rPr>
        <w:t xml:space="preserve">Entendiendo que a la fecha el servicio de internet </w:t>
      </w:r>
      <w:r w:rsidR="00436B3F" w:rsidRPr="004E4581">
        <w:rPr>
          <w:rFonts w:ascii="Arial" w:hAnsi="Arial" w:cs="Arial"/>
          <w:b/>
          <w:bCs/>
          <w:color w:val="000000" w:themeColor="text1"/>
          <w:sz w:val="22"/>
          <w:szCs w:val="22"/>
          <w:bdr w:val="none" w:sz="0" w:space="0" w:color="auto" w:frame="1"/>
        </w:rPr>
        <w:t>no</w:t>
      </w:r>
      <w:r w:rsidR="00436B3F" w:rsidRPr="004E4581">
        <w:rPr>
          <w:rFonts w:ascii="Arial" w:hAnsi="Arial" w:cs="Arial"/>
          <w:color w:val="000000" w:themeColor="text1"/>
          <w:sz w:val="22"/>
          <w:szCs w:val="22"/>
          <w:bdr w:val="none" w:sz="0" w:space="0" w:color="auto" w:frame="1"/>
        </w:rPr>
        <w:t xml:space="preserve"> está establecido formalmente como un servicio público </w:t>
      </w:r>
      <w:r w:rsidR="00436B3F" w:rsidRPr="004E4581">
        <w:rPr>
          <w:rFonts w:ascii="Arial" w:hAnsi="Arial" w:cs="Arial"/>
          <w:b/>
          <w:bCs/>
          <w:color w:val="000000" w:themeColor="text1"/>
          <w:sz w:val="22"/>
          <w:szCs w:val="22"/>
          <w:bdr w:val="none" w:sz="0" w:space="0" w:color="auto" w:frame="1"/>
        </w:rPr>
        <w:t xml:space="preserve">domiciliario, </w:t>
      </w:r>
      <w:r w:rsidR="00436B3F" w:rsidRPr="004E4581">
        <w:rPr>
          <w:rFonts w:ascii="Arial" w:hAnsi="Arial" w:cs="Arial"/>
          <w:color w:val="000000" w:themeColor="text1"/>
          <w:sz w:val="22"/>
          <w:szCs w:val="22"/>
          <w:bdr w:val="none" w:sz="0" w:space="0" w:color="auto" w:frame="1"/>
        </w:rPr>
        <w:t xml:space="preserve">bajo que </w:t>
      </w:r>
      <w:r w:rsidR="00436B3F" w:rsidRPr="004E4581">
        <w:rPr>
          <w:rFonts w:ascii="Arial" w:hAnsi="Arial" w:cs="Arial"/>
          <w:color w:val="000000" w:themeColor="text1"/>
          <w:sz w:val="22"/>
          <w:szCs w:val="22"/>
        </w:rPr>
        <w:t>legislación</w:t>
      </w:r>
      <w:r w:rsidR="00436B3F" w:rsidRPr="004E4581">
        <w:rPr>
          <w:rFonts w:ascii="Arial" w:hAnsi="Arial" w:cs="Arial"/>
          <w:color w:val="000000" w:themeColor="text1"/>
          <w:sz w:val="22"/>
          <w:szCs w:val="22"/>
          <w:bdr w:val="none" w:sz="0" w:space="0" w:color="auto" w:frame="1"/>
        </w:rPr>
        <w:t xml:space="preserve">/jurisprudencia se puede realizar la </w:t>
      </w:r>
      <w:r w:rsidR="00436B3F" w:rsidRPr="004E4581">
        <w:rPr>
          <w:rFonts w:ascii="Arial" w:hAnsi="Arial" w:cs="Arial"/>
          <w:b/>
          <w:bCs/>
          <w:color w:val="000000" w:themeColor="text1"/>
          <w:sz w:val="22"/>
          <w:szCs w:val="22"/>
        </w:rPr>
        <w:t>contratación directa</w:t>
      </w:r>
      <w:r w:rsidR="00436B3F" w:rsidRPr="004E4581">
        <w:rPr>
          <w:rFonts w:ascii="Arial" w:hAnsi="Arial" w:cs="Arial"/>
          <w:color w:val="000000" w:themeColor="text1"/>
          <w:sz w:val="22"/>
          <w:szCs w:val="22"/>
          <w:bdr w:val="none" w:sz="0" w:space="0" w:color="auto" w:frame="1"/>
        </w:rPr>
        <w:t xml:space="preserve"> de este servicio entre entidades </w:t>
      </w:r>
      <w:r w:rsidR="00974B94" w:rsidRPr="004E4581">
        <w:rPr>
          <w:rFonts w:ascii="Arial" w:hAnsi="Arial" w:cs="Arial"/>
          <w:color w:val="000000" w:themeColor="text1"/>
          <w:sz w:val="22"/>
          <w:szCs w:val="22"/>
          <w:bdr w:val="none" w:sz="0" w:space="0" w:color="auto" w:frame="1"/>
        </w:rPr>
        <w:t>públicas</w:t>
      </w:r>
      <w:r w:rsidR="00436B3F" w:rsidRPr="004E4581">
        <w:rPr>
          <w:rFonts w:ascii="Arial" w:hAnsi="Arial" w:cs="Arial"/>
          <w:color w:val="000000" w:themeColor="text1"/>
          <w:sz w:val="22"/>
          <w:szCs w:val="22"/>
          <w:bdr w:val="none" w:sz="0" w:space="0" w:color="auto" w:frame="1"/>
        </w:rPr>
        <w:t xml:space="preserve"> durante la vigencia de la Ley de</w:t>
      </w:r>
      <w:r w:rsidR="00974B94" w:rsidRPr="004E4581">
        <w:rPr>
          <w:rFonts w:ascii="Arial" w:hAnsi="Arial" w:cs="Arial"/>
          <w:color w:val="000000" w:themeColor="text1"/>
          <w:sz w:val="22"/>
          <w:szCs w:val="22"/>
          <w:bdr w:val="none" w:sz="0" w:space="0" w:color="auto" w:frame="1"/>
        </w:rPr>
        <w:t xml:space="preserve"> </w:t>
      </w:r>
      <w:r w:rsidR="00436B3F" w:rsidRPr="004E4581">
        <w:rPr>
          <w:rFonts w:ascii="Arial" w:hAnsi="Arial" w:cs="Arial"/>
          <w:color w:val="000000" w:themeColor="text1"/>
          <w:sz w:val="22"/>
          <w:szCs w:val="22"/>
        </w:rPr>
        <w:t>Garantías</w:t>
      </w:r>
      <w:r w:rsidR="00436B3F" w:rsidRPr="004E4581">
        <w:rPr>
          <w:rFonts w:ascii="Arial" w:hAnsi="Arial" w:cs="Arial"/>
          <w:color w:val="000000" w:themeColor="text1"/>
          <w:sz w:val="22"/>
          <w:szCs w:val="22"/>
          <w:bdr w:val="none" w:sz="0" w:space="0" w:color="auto" w:frame="1"/>
        </w:rPr>
        <w:t xml:space="preserve"> (En la Ley de </w:t>
      </w:r>
      <w:r w:rsidR="00974B94" w:rsidRPr="004E4581">
        <w:rPr>
          <w:rFonts w:ascii="Arial" w:hAnsi="Arial" w:cs="Arial"/>
          <w:color w:val="000000" w:themeColor="text1"/>
          <w:sz w:val="22"/>
          <w:szCs w:val="22"/>
          <w:bdr w:val="none" w:sz="0" w:space="0" w:color="auto" w:frame="1"/>
        </w:rPr>
        <w:t>Garantías</w:t>
      </w:r>
      <w:r w:rsidR="00436B3F" w:rsidRPr="004E4581">
        <w:rPr>
          <w:rFonts w:ascii="Arial" w:hAnsi="Arial" w:cs="Arial"/>
          <w:color w:val="000000" w:themeColor="text1"/>
          <w:sz w:val="22"/>
          <w:szCs w:val="22"/>
          <w:bdr w:val="none" w:sz="0" w:space="0" w:color="auto" w:frame="1"/>
        </w:rPr>
        <w:t xml:space="preserve"> hay </w:t>
      </w:r>
      <w:r w:rsidR="00436B3F" w:rsidRPr="004E4581">
        <w:rPr>
          <w:rFonts w:ascii="Arial" w:hAnsi="Arial" w:cs="Arial"/>
          <w:color w:val="000000" w:themeColor="text1"/>
          <w:sz w:val="22"/>
          <w:szCs w:val="22"/>
          <w:bdr w:val="none" w:sz="0" w:space="0" w:color="auto" w:frame="1"/>
        </w:rPr>
        <w:lastRenderedPageBreak/>
        <w:t>excepciones para realizar </w:t>
      </w:r>
      <w:r w:rsidR="00436B3F" w:rsidRPr="004E4581">
        <w:rPr>
          <w:rFonts w:ascii="Arial" w:hAnsi="Arial" w:cs="Arial"/>
          <w:color w:val="000000" w:themeColor="text1"/>
          <w:sz w:val="22"/>
          <w:szCs w:val="22"/>
        </w:rPr>
        <w:t>contratación</w:t>
      </w:r>
      <w:r w:rsidR="00436B3F" w:rsidRPr="004E4581">
        <w:rPr>
          <w:rFonts w:ascii="Arial" w:hAnsi="Arial" w:cs="Arial"/>
          <w:color w:val="000000" w:themeColor="text1"/>
          <w:sz w:val="22"/>
          <w:szCs w:val="22"/>
          <w:bdr w:val="none" w:sz="0" w:space="0" w:color="auto" w:frame="1"/>
        </w:rPr>
        <w:t> directa entre ellas los servicios</w:t>
      </w:r>
      <w:r w:rsidR="00974B94" w:rsidRPr="004E4581">
        <w:rPr>
          <w:rFonts w:ascii="Arial" w:hAnsi="Arial" w:cs="Arial"/>
          <w:color w:val="000000" w:themeColor="text1"/>
          <w:sz w:val="22"/>
          <w:szCs w:val="22"/>
          <w:bdr w:val="none" w:sz="0" w:space="0" w:color="auto" w:frame="1"/>
        </w:rPr>
        <w:t xml:space="preserve"> </w:t>
      </w:r>
      <w:proofErr w:type="gramStart"/>
      <w:r w:rsidR="00C128B2" w:rsidRPr="004E4581">
        <w:rPr>
          <w:rFonts w:ascii="Arial" w:hAnsi="Arial" w:cs="Arial"/>
          <w:color w:val="000000" w:themeColor="text1"/>
          <w:sz w:val="22"/>
          <w:szCs w:val="22"/>
        </w:rPr>
        <w:t>públicos</w:t>
      </w:r>
      <w:proofErr w:type="gramEnd"/>
      <w:r w:rsidR="00974B94" w:rsidRPr="004E4581">
        <w:rPr>
          <w:rFonts w:ascii="Arial" w:hAnsi="Arial" w:cs="Arial"/>
          <w:color w:val="000000" w:themeColor="text1"/>
          <w:sz w:val="22"/>
          <w:szCs w:val="22"/>
          <w:bdr w:val="none" w:sz="0" w:space="0" w:color="auto" w:frame="1"/>
        </w:rPr>
        <w:t xml:space="preserve"> </w:t>
      </w:r>
      <w:r w:rsidR="00436B3F" w:rsidRPr="004E4581">
        <w:rPr>
          <w:rFonts w:ascii="Arial" w:hAnsi="Arial" w:cs="Arial"/>
          <w:color w:val="000000" w:themeColor="text1"/>
          <w:sz w:val="22"/>
          <w:szCs w:val="22"/>
          <w:bdr w:val="none" w:sz="0" w:space="0" w:color="auto" w:frame="1"/>
        </w:rPr>
        <w:t>pero solo domiciliarios)</w:t>
      </w:r>
      <w:r w:rsidR="00974B94" w:rsidRPr="004E4581">
        <w:rPr>
          <w:rFonts w:ascii="Arial" w:hAnsi="Arial" w:cs="Arial"/>
          <w:color w:val="000000" w:themeColor="text1"/>
          <w:sz w:val="22"/>
          <w:szCs w:val="22"/>
          <w:lang w:val="es-ES_tradnl"/>
        </w:rPr>
        <w:t>»</w:t>
      </w:r>
      <w:r w:rsidR="00436B3F" w:rsidRPr="004E4581">
        <w:rPr>
          <w:rFonts w:ascii="Arial" w:hAnsi="Arial" w:cs="Arial"/>
          <w:color w:val="000000" w:themeColor="text1"/>
          <w:sz w:val="22"/>
          <w:szCs w:val="22"/>
          <w:bdr w:val="none" w:sz="0" w:space="0" w:color="auto" w:frame="1"/>
        </w:rPr>
        <w:t>.</w:t>
      </w:r>
    </w:p>
    <w:p w14:paraId="037E7D68" w14:textId="78124F54" w:rsidR="007446F6" w:rsidRPr="004E4581" w:rsidRDefault="007446F6" w:rsidP="006B3EB4">
      <w:pPr>
        <w:spacing w:line="276" w:lineRule="auto"/>
        <w:jc w:val="both"/>
        <w:rPr>
          <w:rFonts w:ascii="Arial" w:hAnsi="Arial" w:cs="Arial"/>
          <w:color w:val="000000" w:themeColor="text1"/>
          <w:sz w:val="22"/>
          <w:szCs w:val="22"/>
          <w:lang w:val="es-ES_tradnl"/>
        </w:rPr>
      </w:pPr>
    </w:p>
    <w:p w14:paraId="124D2DCA" w14:textId="77777777" w:rsidR="00DD5B04" w:rsidRPr="004E458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Consideraciones</w:t>
      </w:r>
    </w:p>
    <w:p w14:paraId="7D050D2E" w14:textId="77777777" w:rsidR="00435703" w:rsidRPr="004E4581" w:rsidRDefault="00435703" w:rsidP="00DF76A2">
      <w:pPr>
        <w:spacing w:line="276" w:lineRule="auto"/>
        <w:jc w:val="both"/>
        <w:rPr>
          <w:rFonts w:ascii="Arial" w:eastAsia="Calibri" w:hAnsi="Arial" w:cs="Arial"/>
          <w:color w:val="000000" w:themeColor="text1"/>
          <w:sz w:val="22"/>
          <w:szCs w:val="22"/>
          <w:lang w:val="es-ES_tradnl"/>
        </w:rPr>
      </w:pPr>
    </w:p>
    <w:p w14:paraId="305BC2F1" w14:textId="69BB341E" w:rsidR="003C4317" w:rsidRPr="004E4581" w:rsidRDefault="008E30C4" w:rsidP="006B3EB4">
      <w:pPr>
        <w:spacing w:after="120" w:line="276" w:lineRule="auto"/>
        <w:jc w:val="both"/>
        <w:rPr>
          <w:rFonts w:ascii="Arial" w:eastAsia="Calibri" w:hAnsi="Arial" w:cs="Arial"/>
          <w:color w:val="000000" w:themeColor="text1"/>
          <w:sz w:val="22"/>
          <w:szCs w:val="22"/>
          <w:lang w:val="es-ES_tradnl"/>
        </w:rPr>
      </w:pPr>
      <w:r w:rsidRPr="004E4581">
        <w:rPr>
          <w:rFonts w:ascii="Arial" w:eastAsia="Calibri" w:hAnsi="Arial" w:cs="Arial"/>
          <w:color w:val="000000" w:themeColor="text1"/>
          <w:sz w:val="22"/>
          <w:szCs w:val="22"/>
          <w:lang w:val="es-ES_tradnl"/>
        </w:rPr>
        <w:t xml:space="preserve">La </w:t>
      </w:r>
      <w:r w:rsidR="000A600A" w:rsidRPr="004E4581">
        <w:rPr>
          <w:rFonts w:ascii="Arial" w:eastAsia="Calibri" w:hAnsi="Arial" w:cs="Arial"/>
          <w:color w:val="000000" w:themeColor="text1"/>
          <w:sz w:val="22"/>
          <w:szCs w:val="22"/>
          <w:lang w:val="es-ES_tradnl"/>
        </w:rPr>
        <w:t>Agencia Nacional de Contratación Pública – Colombia Compra Eficiente</w:t>
      </w:r>
      <w:r w:rsidR="00C128B2" w:rsidRPr="004E4581">
        <w:rPr>
          <w:rFonts w:ascii="Arial" w:eastAsia="Calibri" w:hAnsi="Arial" w:cs="Arial"/>
          <w:color w:val="000000" w:themeColor="text1"/>
          <w:sz w:val="22"/>
        </w:rPr>
        <w:t>–</w:t>
      </w:r>
      <w:r w:rsidR="000A600A" w:rsidRPr="004E4581">
        <w:rPr>
          <w:rFonts w:ascii="Arial" w:eastAsia="Calibri" w:hAnsi="Arial" w:cs="Arial"/>
          <w:color w:val="000000" w:themeColor="text1"/>
          <w:sz w:val="22"/>
          <w:szCs w:val="22"/>
          <w:lang w:val="es-ES_tradnl"/>
        </w:rPr>
        <w:t xml:space="preserve"> </w:t>
      </w:r>
      <w:r w:rsidRPr="004E4581">
        <w:rPr>
          <w:rFonts w:ascii="Arial" w:eastAsia="Calibri" w:hAnsi="Arial" w:cs="Arial"/>
          <w:color w:val="000000" w:themeColor="text1"/>
          <w:sz w:val="22"/>
          <w:szCs w:val="22"/>
          <w:lang w:val="es-ES_tradnl"/>
        </w:rPr>
        <w:t xml:space="preserve">responderá </w:t>
      </w:r>
      <w:r w:rsidR="00271230" w:rsidRPr="004E4581">
        <w:rPr>
          <w:rFonts w:ascii="Arial" w:eastAsia="Calibri" w:hAnsi="Arial" w:cs="Arial"/>
          <w:color w:val="000000" w:themeColor="text1"/>
          <w:sz w:val="22"/>
          <w:szCs w:val="22"/>
          <w:lang w:val="es-ES_tradnl"/>
        </w:rPr>
        <w:t>la consulta</w:t>
      </w:r>
      <w:r w:rsidRPr="004E4581">
        <w:rPr>
          <w:rFonts w:ascii="Arial" w:eastAsia="Calibri" w:hAnsi="Arial" w:cs="Arial"/>
          <w:color w:val="000000" w:themeColor="text1"/>
          <w:sz w:val="22"/>
          <w:szCs w:val="22"/>
          <w:lang w:val="es-ES_tradnl"/>
        </w:rPr>
        <w:t xml:space="preserve">, </w:t>
      </w:r>
      <w:r w:rsidR="00271230" w:rsidRPr="004E4581">
        <w:rPr>
          <w:rFonts w:ascii="Arial" w:eastAsia="Calibri" w:hAnsi="Arial" w:cs="Arial"/>
          <w:color w:val="000000" w:themeColor="text1"/>
          <w:sz w:val="22"/>
          <w:szCs w:val="22"/>
          <w:lang w:val="es-ES_tradnl"/>
        </w:rPr>
        <w:t xml:space="preserve">luego de analizar </w:t>
      </w:r>
      <w:r w:rsidR="0095473B" w:rsidRPr="004E4581">
        <w:rPr>
          <w:rFonts w:ascii="Arial" w:eastAsia="Calibri" w:hAnsi="Arial" w:cs="Arial"/>
          <w:color w:val="000000" w:themeColor="text1"/>
          <w:sz w:val="22"/>
          <w:szCs w:val="22"/>
          <w:lang w:val="es-ES_tradnl"/>
        </w:rPr>
        <w:t xml:space="preserve">los contratos </w:t>
      </w:r>
      <w:r w:rsidR="00974B94" w:rsidRPr="004E4581">
        <w:rPr>
          <w:rFonts w:ascii="Arial" w:eastAsia="Calibri" w:hAnsi="Arial" w:cs="Arial"/>
          <w:color w:val="000000" w:themeColor="text1"/>
          <w:sz w:val="22"/>
          <w:szCs w:val="22"/>
          <w:lang w:val="es-ES_tradnl"/>
        </w:rPr>
        <w:t xml:space="preserve">interadministrativos y </w:t>
      </w:r>
      <w:r w:rsidR="007B43C6" w:rsidRPr="004E4581">
        <w:rPr>
          <w:rFonts w:ascii="Arial" w:eastAsia="Calibri" w:hAnsi="Arial" w:cs="Arial"/>
          <w:color w:val="000000" w:themeColor="text1"/>
          <w:sz w:val="22"/>
          <w:szCs w:val="22"/>
          <w:lang w:val="es-ES_tradnl"/>
        </w:rPr>
        <w:t>su relación con la Ley de Garantías</w:t>
      </w:r>
      <w:r w:rsidR="00DE0D15" w:rsidRPr="004E4581">
        <w:rPr>
          <w:rFonts w:ascii="Arial" w:eastAsia="Calibri" w:hAnsi="Arial" w:cs="Arial"/>
          <w:color w:val="000000" w:themeColor="text1"/>
          <w:sz w:val="22"/>
          <w:szCs w:val="22"/>
          <w:lang w:val="es-ES_tradnl"/>
        </w:rPr>
        <w:t xml:space="preserve">. </w:t>
      </w:r>
    </w:p>
    <w:p w14:paraId="2100A875" w14:textId="4CEE36DA" w:rsidR="00E670DD" w:rsidRPr="004E4581" w:rsidRDefault="00E670DD" w:rsidP="00E670DD">
      <w:pPr>
        <w:spacing w:after="120" w:line="276" w:lineRule="auto"/>
        <w:ind w:firstLine="708"/>
        <w:jc w:val="both"/>
        <w:rPr>
          <w:rFonts w:ascii="Arial" w:eastAsia="Calibri" w:hAnsi="Arial" w:cs="Arial"/>
          <w:color w:val="000000" w:themeColor="text1"/>
          <w:sz w:val="22"/>
        </w:rPr>
      </w:pPr>
      <w:r w:rsidRPr="004E4581">
        <w:rPr>
          <w:rFonts w:ascii="Arial" w:eastAsia="Calibri" w:hAnsi="Arial" w:cs="Arial"/>
          <w:color w:val="000000" w:themeColor="text1"/>
          <w:sz w:val="22"/>
        </w:rPr>
        <w:t xml:space="preserve">La Agencia Nacional de contratación Pública </w:t>
      </w:r>
      <w:bookmarkStart w:id="9" w:name="_Hlk80949389"/>
      <w:r w:rsidRPr="004E4581">
        <w:rPr>
          <w:rFonts w:ascii="Arial" w:eastAsia="Calibri" w:hAnsi="Arial" w:cs="Arial"/>
          <w:color w:val="000000" w:themeColor="text1"/>
          <w:sz w:val="22"/>
        </w:rPr>
        <w:t>–</w:t>
      </w:r>
      <w:bookmarkEnd w:id="9"/>
      <w:r w:rsidRPr="004E4581">
        <w:rPr>
          <w:rFonts w:ascii="Arial" w:eastAsia="Calibri" w:hAnsi="Arial" w:cs="Arial"/>
          <w:color w:val="000000" w:themeColor="text1"/>
          <w:sz w:val="22"/>
        </w:rPr>
        <w:t>Colombia Compra Eficiente</w:t>
      </w:r>
      <w:r w:rsidR="00C128B2" w:rsidRPr="004E4581">
        <w:rPr>
          <w:rFonts w:ascii="Arial" w:eastAsia="Calibri" w:hAnsi="Arial" w:cs="Arial"/>
          <w:color w:val="000000" w:themeColor="text1"/>
          <w:sz w:val="22"/>
        </w:rPr>
        <w:t>–</w:t>
      </w:r>
      <w:r w:rsidRPr="004E4581">
        <w:rPr>
          <w:rFonts w:ascii="Arial" w:eastAsia="Calibri" w:hAnsi="Arial" w:cs="Arial"/>
          <w:color w:val="000000" w:themeColor="text1"/>
          <w:sz w:val="22"/>
        </w:rPr>
        <w:t xml:space="preserve"> se ha pronunciado en diferentes ocasiones sobre la Ley de Garantías,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4E4581">
        <w:rPr>
          <w:rFonts w:ascii="Arial" w:eastAsia="Calibri" w:hAnsi="Arial" w:cs="Arial"/>
          <w:color w:val="000000" w:themeColor="text1"/>
          <w:sz w:val="22"/>
        </w:rPr>
        <w:t xml:space="preserve">, </w:t>
      </w:r>
      <w:r w:rsidR="00974B94" w:rsidRPr="004E4581">
        <w:rPr>
          <w:rFonts w:ascii="Arial" w:eastAsia="Calibri" w:hAnsi="Arial" w:cs="Arial"/>
          <w:color w:val="000000" w:themeColor="text1"/>
          <w:sz w:val="22"/>
        </w:rPr>
        <w:t xml:space="preserve"> C-227 del 24 de mayo de 2021</w:t>
      </w:r>
      <w:r w:rsidR="00E746A6" w:rsidRPr="004E4581">
        <w:rPr>
          <w:rFonts w:ascii="Arial" w:eastAsia="Calibri" w:hAnsi="Arial" w:cs="Arial"/>
          <w:color w:val="000000" w:themeColor="text1"/>
          <w:sz w:val="22"/>
        </w:rPr>
        <w:t xml:space="preserve"> y </w:t>
      </w:r>
      <w:r w:rsidR="0030575F" w:rsidRPr="004E4581">
        <w:rPr>
          <w:rFonts w:ascii="Arial" w:eastAsia="Calibri" w:hAnsi="Arial" w:cs="Arial"/>
          <w:color w:val="000000" w:themeColor="text1"/>
          <w:sz w:val="22"/>
        </w:rPr>
        <w:t>3</w:t>
      </w:r>
      <w:r w:rsidR="00E746A6" w:rsidRPr="004E4581">
        <w:rPr>
          <w:rFonts w:ascii="Arial" w:eastAsia="Calibri" w:hAnsi="Arial" w:cs="Arial"/>
          <w:color w:val="000000" w:themeColor="text1"/>
          <w:sz w:val="22"/>
        </w:rPr>
        <w:t>96 de</w:t>
      </w:r>
      <w:r w:rsidR="0030575F" w:rsidRPr="004E4581">
        <w:rPr>
          <w:rFonts w:ascii="Arial" w:eastAsia="Calibri" w:hAnsi="Arial" w:cs="Arial"/>
          <w:color w:val="000000" w:themeColor="text1"/>
          <w:sz w:val="22"/>
        </w:rPr>
        <w:t>l 13 de agosto de</w:t>
      </w:r>
      <w:r w:rsidR="00E746A6" w:rsidRPr="004E4581">
        <w:rPr>
          <w:rFonts w:ascii="Arial" w:eastAsia="Calibri" w:hAnsi="Arial" w:cs="Arial"/>
          <w:color w:val="000000" w:themeColor="text1"/>
          <w:sz w:val="22"/>
        </w:rPr>
        <w:t xml:space="preserve"> 2021</w:t>
      </w:r>
      <w:r w:rsidR="00974B94" w:rsidRPr="004E4581">
        <w:rPr>
          <w:rFonts w:ascii="Arial" w:eastAsia="Calibri" w:hAnsi="Arial" w:cs="Arial"/>
          <w:color w:val="000000" w:themeColor="text1"/>
          <w:sz w:val="22"/>
        </w:rPr>
        <w:t xml:space="preserve">. Teniendo en cuenta </w:t>
      </w:r>
      <w:r w:rsidR="002D283F" w:rsidRPr="004E4581">
        <w:rPr>
          <w:rFonts w:ascii="Arial" w:eastAsia="Calibri" w:hAnsi="Arial" w:cs="Arial"/>
          <w:color w:val="000000" w:themeColor="text1"/>
          <w:sz w:val="22"/>
        </w:rPr>
        <w:t>los conceptos anteriores y</w:t>
      </w:r>
      <w:r w:rsidR="00974B94" w:rsidRPr="004E4581">
        <w:rPr>
          <w:rFonts w:ascii="Arial" w:eastAsia="Calibri" w:hAnsi="Arial" w:cs="Arial"/>
          <w:color w:val="000000" w:themeColor="text1"/>
          <w:sz w:val="22"/>
        </w:rPr>
        <w:t xml:space="preserve"> </w:t>
      </w:r>
      <w:r w:rsidR="002D283F" w:rsidRPr="004E4581">
        <w:rPr>
          <w:rFonts w:ascii="Arial" w:eastAsia="Calibri" w:hAnsi="Arial" w:cs="Arial"/>
          <w:color w:val="000000" w:themeColor="text1"/>
          <w:sz w:val="22"/>
        </w:rPr>
        <w:t>analizando</w:t>
      </w:r>
      <w:r w:rsidR="00974B94" w:rsidRPr="004E4581">
        <w:rPr>
          <w:rFonts w:ascii="Arial" w:eastAsia="Calibri" w:hAnsi="Arial" w:cs="Arial"/>
          <w:color w:val="000000" w:themeColor="text1"/>
          <w:sz w:val="22"/>
        </w:rPr>
        <w:t xml:space="preserve"> la pregunta en cuestión se </w:t>
      </w:r>
      <w:r w:rsidR="002D283F" w:rsidRPr="004E4581">
        <w:rPr>
          <w:rFonts w:ascii="Arial" w:eastAsia="Calibri" w:hAnsi="Arial" w:cs="Arial"/>
          <w:color w:val="000000" w:themeColor="text1"/>
          <w:sz w:val="22"/>
        </w:rPr>
        <w:t>realizan las siguientes consideraciones.</w:t>
      </w:r>
      <w:r w:rsidR="00974B94" w:rsidRPr="004E4581">
        <w:rPr>
          <w:rFonts w:ascii="Arial" w:eastAsia="Calibri" w:hAnsi="Arial" w:cs="Arial"/>
          <w:color w:val="000000" w:themeColor="text1"/>
          <w:sz w:val="22"/>
        </w:rPr>
        <w:t xml:space="preserve"> </w:t>
      </w:r>
    </w:p>
    <w:p w14:paraId="0D27A697" w14:textId="452E95D1" w:rsidR="00F433CB" w:rsidRPr="004E4581" w:rsidRDefault="00F433CB" w:rsidP="00F433CB">
      <w:pPr>
        <w:spacing w:line="276" w:lineRule="auto"/>
        <w:jc w:val="both"/>
        <w:rPr>
          <w:rFonts w:ascii="Arial" w:eastAsia="Calibri" w:hAnsi="Arial" w:cs="Arial"/>
          <w:color w:val="000000" w:themeColor="text1"/>
          <w:sz w:val="22"/>
        </w:rPr>
      </w:pPr>
    </w:p>
    <w:p w14:paraId="27365E26" w14:textId="123C52AB" w:rsidR="00F433CB" w:rsidRPr="004E4581" w:rsidRDefault="00F433CB" w:rsidP="006B3EB4">
      <w:pPr>
        <w:spacing w:line="276" w:lineRule="auto"/>
        <w:jc w:val="both"/>
        <w:rPr>
          <w:rFonts w:ascii="Arial" w:hAnsi="Arial" w:cs="Arial"/>
          <w:b/>
          <w:bCs/>
          <w:color w:val="000000" w:themeColor="text1"/>
          <w:sz w:val="22"/>
          <w:szCs w:val="22"/>
          <w:lang w:val="es-ES_tradnl"/>
        </w:rPr>
      </w:pPr>
      <w:r w:rsidRPr="004E4581">
        <w:rPr>
          <w:rFonts w:ascii="Arial" w:eastAsia="Calibri" w:hAnsi="Arial" w:cs="Arial"/>
          <w:b/>
          <w:bCs/>
          <w:color w:val="000000" w:themeColor="text1"/>
          <w:sz w:val="22"/>
        </w:rPr>
        <w:t xml:space="preserve">2.1. Finalidad </w:t>
      </w:r>
      <w:r w:rsidR="009B231D" w:rsidRPr="004E4581">
        <w:rPr>
          <w:rFonts w:ascii="Arial" w:eastAsia="Calibri" w:hAnsi="Arial" w:cs="Arial"/>
          <w:b/>
          <w:bCs/>
          <w:color w:val="000000" w:themeColor="text1"/>
          <w:sz w:val="22"/>
        </w:rPr>
        <w:t xml:space="preserve">y restricciones </w:t>
      </w:r>
      <w:r w:rsidRPr="004E4581">
        <w:rPr>
          <w:rFonts w:ascii="Arial" w:eastAsia="Calibri" w:hAnsi="Arial" w:cs="Arial"/>
          <w:b/>
          <w:bCs/>
          <w:color w:val="000000" w:themeColor="text1"/>
          <w:sz w:val="22"/>
        </w:rPr>
        <w:t>de la Ley de Garantías Electorales</w:t>
      </w:r>
    </w:p>
    <w:p w14:paraId="69BD1413" w14:textId="15B81743" w:rsidR="00F433CB" w:rsidRPr="004E4581" w:rsidRDefault="00F433CB" w:rsidP="00271230">
      <w:pPr>
        <w:spacing w:line="276" w:lineRule="auto"/>
        <w:jc w:val="both"/>
        <w:rPr>
          <w:rFonts w:ascii="Arial" w:eastAsia="Calibri" w:hAnsi="Arial" w:cs="Arial"/>
          <w:color w:val="000000" w:themeColor="text1"/>
          <w:sz w:val="22"/>
          <w:szCs w:val="22"/>
          <w:lang w:val="es-ES_tradnl"/>
        </w:rPr>
      </w:pPr>
    </w:p>
    <w:p w14:paraId="13FA39EC" w14:textId="3AA5C09B" w:rsidR="000077D0" w:rsidRPr="004E4581" w:rsidRDefault="000077D0" w:rsidP="006B3EB4">
      <w:pPr>
        <w:tabs>
          <w:tab w:val="left" w:pos="426"/>
        </w:tabs>
        <w:spacing w:after="120" w:line="276" w:lineRule="auto"/>
        <w:jc w:val="both"/>
        <w:rPr>
          <w:rFonts w:ascii="Arial" w:eastAsia="Calibri" w:hAnsi="Arial" w:cs="Arial"/>
          <w:bCs/>
          <w:color w:val="000000" w:themeColor="text1"/>
          <w:sz w:val="22"/>
        </w:rPr>
      </w:pPr>
      <w:r w:rsidRPr="004E4581">
        <w:rPr>
          <w:rFonts w:ascii="Arial" w:eastAsia="Calibri" w:hAnsi="Arial" w:cs="Arial"/>
          <w:bCs/>
          <w:color w:val="000000" w:themeColor="text1"/>
          <w:sz w:val="22"/>
        </w:rPr>
        <w:t>El ordenamiento jurídico colombiano contempla previsiones claras para evitar la obtención de beneficios personales en asuntos propios de la administración pública</w:t>
      </w:r>
      <w:r w:rsidR="00095607" w:rsidRPr="004E4581">
        <w:rPr>
          <w:rFonts w:ascii="Arial" w:eastAsia="Calibri" w:hAnsi="Arial" w:cs="Arial"/>
          <w:bCs/>
          <w:color w:val="000000" w:themeColor="text1"/>
          <w:sz w:val="22"/>
        </w:rPr>
        <w:t>. Por ejemplo,</w:t>
      </w:r>
      <w:r w:rsidRPr="004E4581">
        <w:rPr>
          <w:rFonts w:ascii="Arial" w:eastAsia="Calibri" w:hAnsi="Arial" w:cs="Arial"/>
          <w:bCs/>
          <w:color w:val="000000" w:themeColor="text1"/>
          <w:sz w:val="22"/>
        </w:rPr>
        <w:t xml:space="preserve"> el artículo 127 de la Constitución Política establece una prohibición contractual a los servidores públicos y en cuanto a aspectos políticos establece restricciones a ciertos empleados del Estado, incluso en época no electoral</w:t>
      </w:r>
      <w:r w:rsidRPr="004E4581">
        <w:rPr>
          <w:rStyle w:val="Refdenotaalpie"/>
          <w:rFonts w:ascii="Arial" w:eastAsia="Calibri" w:hAnsi="Arial" w:cs="Arial"/>
          <w:bCs/>
          <w:color w:val="000000" w:themeColor="text1"/>
          <w:sz w:val="22"/>
        </w:rPr>
        <w:footnoteReference w:id="2"/>
      </w:r>
      <w:r w:rsidRPr="004E4581">
        <w:rPr>
          <w:rFonts w:ascii="Arial" w:eastAsia="Calibri" w:hAnsi="Arial" w:cs="Arial"/>
          <w:bCs/>
          <w:color w:val="000000" w:themeColor="text1"/>
          <w:sz w:val="22"/>
        </w:rPr>
        <w:t xml:space="preserve">. </w:t>
      </w:r>
    </w:p>
    <w:p w14:paraId="018CC89D" w14:textId="2AC18F5D" w:rsidR="000077D0" w:rsidRPr="004E4581" w:rsidRDefault="00E746A6" w:rsidP="006B3EB4">
      <w:pPr>
        <w:tabs>
          <w:tab w:val="left" w:pos="426"/>
        </w:tabs>
        <w:spacing w:line="276" w:lineRule="auto"/>
        <w:jc w:val="both"/>
        <w:rPr>
          <w:rFonts w:ascii="Arial" w:hAnsi="Arial" w:cs="Arial"/>
          <w:bCs/>
          <w:color w:val="000000" w:themeColor="text1"/>
          <w:sz w:val="22"/>
          <w:szCs w:val="22"/>
          <w:lang w:eastAsia="es-CO"/>
        </w:rPr>
      </w:pPr>
      <w:r w:rsidRPr="004E4581">
        <w:rPr>
          <w:rFonts w:ascii="Arial" w:hAnsi="Arial" w:cs="Arial"/>
          <w:bCs/>
          <w:color w:val="000000" w:themeColor="text1"/>
          <w:sz w:val="22"/>
          <w:lang w:eastAsia="es-CO"/>
        </w:rPr>
        <w:tab/>
      </w:r>
      <w:r w:rsidRPr="004E4581">
        <w:rPr>
          <w:rFonts w:ascii="Arial" w:hAnsi="Arial" w:cs="Arial"/>
          <w:bCs/>
          <w:color w:val="000000" w:themeColor="text1"/>
          <w:sz w:val="22"/>
          <w:lang w:eastAsia="es-CO"/>
        </w:rPr>
        <w:tab/>
      </w:r>
      <w:r w:rsidR="000077D0" w:rsidRPr="004E4581">
        <w:rPr>
          <w:rFonts w:ascii="Arial" w:hAnsi="Arial" w:cs="Arial"/>
          <w:bCs/>
          <w:color w:val="000000" w:themeColor="text1"/>
          <w:sz w:val="22"/>
          <w:szCs w:val="22"/>
          <w:lang w:eastAsia="es-CO"/>
        </w:rPr>
        <w:t xml:space="preserve">En el mismo sentido, la Ley 996 de 2005 </w:t>
      </w:r>
      <w:r w:rsidR="0030575F" w:rsidRPr="004E4581">
        <w:rPr>
          <w:rFonts w:ascii="Arial" w:eastAsia="Calibri" w:hAnsi="Arial" w:cs="Arial"/>
          <w:b/>
          <w:bCs/>
          <w:color w:val="000000" w:themeColor="text1"/>
          <w:sz w:val="22"/>
          <w:szCs w:val="22"/>
          <w:lang w:eastAsia="en-US"/>
        </w:rPr>
        <w:t>«</w:t>
      </w:r>
      <w:r w:rsidR="0030575F" w:rsidRPr="004E4581">
        <w:rPr>
          <w:rStyle w:val="Textoennegrita"/>
          <w:rFonts w:ascii="Arial" w:hAnsi="Arial" w:cs="Arial"/>
          <w:b w:val="0"/>
          <w:color w:val="000000" w:themeColor="text1"/>
          <w:sz w:val="22"/>
          <w:szCs w:val="22"/>
          <w:shd w:val="clear" w:color="auto" w:fill="FFFFFF"/>
        </w:rPr>
        <w:t>Por medio de la cual se reglamenta la elección de Presidente de la República, de conformidad con el artículo 152 literal f) de la Constitución Política de Colombia, y de acuerdo con lo establecido en el Acto Legislativo 02 de 2004, y se dictan otras disposiciones</w:t>
      </w:r>
      <w:r w:rsidR="00917720" w:rsidRPr="004E4581">
        <w:rPr>
          <w:rFonts w:ascii="Arial" w:eastAsia="Calibri" w:hAnsi="Arial" w:cs="Arial"/>
          <w:bCs/>
          <w:color w:val="000000" w:themeColor="text1"/>
          <w:sz w:val="22"/>
          <w:szCs w:val="22"/>
          <w:lang w:eastAsia="en-US"/>
        </w:rPr>
        <w:t>»,</w:t>
      </w:r>
      <w:r w:rsidR="0030575F" w:rsidRPr="004E4581">
        <w:rPr>
          <w:rStyle w:val="Textoennegrita"/>
          <w:rFonts w:ascii="Arial" w:hAnsi="Arial" w:cs="Arial"/>
          <w:color w:val="000000" w:themeColor="text1"/>
          <w:sz w:val="22"/>
          <w:szCs w:val="22"/>
          <w:shd w:val="clear" w:color="auto" w:fill="FFFFFF"/>
        </w:rPr>
        <w:t xml:space="preserve"> </w:t>
      </w:r>
      <w:r w:rsidR="000077D0" w:rsidRPr="004E4581">
        <w:rPr>
          <w:rFonts w:ascii="Arial" w:hAnsi="Arial" w:cs="Arial"/>
          <w:bCs/>
          <w:color w:val="000000" w:themeColor="text1"/>
          <w:sz w:val="22"/>
          <w:szCs w:val="22"/>
          <w:lang w:eastAsia="es-CO"/>
        </w:rPr>
        <w:t xml:space="preserve">se suma al andamiaje de orden constitucional y legal que se </w:t>
      </w:r>
      <w:r w:rsidRPr="004E4581">
        <w:rPr>
          <w:rFonts w:ascii="Arial" w:hAnsi="Arial" w:cs="Arial"/>
          <w:bCs/>
          <w:color w:val="000000" w:themeColor="text1"/>
          <w:sz w:val="22"/>
          <w:szCs w:val="22"/>
          <w:lang w:eastAsia="es-CO"/>
        </w:rPr>
        <w:t xml:space="preserve">ocupa </w:t>
      </w:r>
      <w:r w:rsidR="000077D0" w:rsidRPr="004E4581">
        <w:rPr>
          <w:rFonts w:ascii="Arial" w:hAnsi="Arial" w:cs="Arial"/>
          <w:bCs/>
          <w:color w:val="000000" w:themeColor="text1"/>
          <w:sz w:val="22"/>
          <w:szCs w:val="22"/>
          <w:lang w:eastAsia="es-CO"/>
        </w:rPr>
        <w:t>de evitar la injerencia de intereses particulares en el ejercicio de la función pública</w:t>
      </w:r>
      <w:r w:rsidR="002A3132" w:rsidRPr="004E4581">
        <w:rPr>
          <w:rFonts w:ascii="Arial" w:hAnsi="Arial" w:cs="Arial"/>
          <w:bCs/>
          <w:color w:val="000000" w:themeColor="text1"/>
          <w:sz w:val="22"/>
          <w:szCs w:val="22"/>
          <w:lang w:eastAsia="es-CO"/>
        </w:rPr>
        <w:t>.</w:t>
      </w:r>
      <w:r w:rsidR="000077D0" w:rsidRPr="004E4581">
        <w:rPr>
          <w:rFonts w:ascii="Arial" w:hAnsi="Arial" w:cs="Arial"/>
          <w:bCs/>
          <w:color w:val="000000" w:themeColor="text1"/>
          <w:sz w:val="22"/>
          <w:szCs w:val="22"/>
          <w:lang w:eastAsia="es-CO"/>
        </w:rPr>
        <w:t xml:space="preserve"> </w:t>
      </w:r>
      <w:r w:rsidR="002A3132" w:rsidRPr="004E4581">
        <w:rPr>
          <w:rFonts w:ascii="Arial" w:hAnsi="Arial" w:cs="Arial"/>
          <w:bCs/>
          <w:color w:val="000000" w:themeColor="text1"/>
          <w:sz w:val="22"/>
          <w:szCs w:val="22"/>
          <w:lang w:eastAsia="es-CO"/>
        </w:rPr>
        <w:t>R</w:t>
      </w:r>
      <w:r w:rsidR="000077D0" w:rsidRPr="004E4581">
        <w:rPr>
          <w:rFonts w:ascii="Arial" w:hAnsi="Arial" w:cs="Arial"/>
          <w:bCs/>
          <w:color w:val="000000" w:themeColor="text1"/>
          <w:sz w:val="22"/>
          <w:szCs w:val="22"/>
          <w:lang w:eastAsia="es-CO"/>
        </w:rPr>
        <w:t xml:space="preserve">especto a su finalidad, </w:t>
      </w:r>
      <w:r w:rsidR="002A3132" w:rsidRPr="004E4581">
        <w:rPr>
          <w:rFonts w:ascii="Arial" w:hAnsi="Arial" w:cs="Arial"/>
          <w:bCs/>
          <w:color w:val="000000" w:themeColor="text1"/>
          <w:sz w:val="22"/>
          <w:szCs w:val="22"/>
          <w:lang w:eastAsia="es-CO"/>
        </w:rPr>
        <w:t>conforme a</w:t>
      </w:r>
      <w:r w:rsidR="000077D0" w:rsidRPr="004E4581">
        <w:rPr>
          <w:rFonts w:ascii="Arial" w:hAnsi="Arial" w:cs="Arial"/>
          <w:bCs/>
          <w:color w:val="000000" w:themeColor="text1"/>
          <w:sz w:val="22"/>
          <w:szCs w:val="22"/>
          <w:lang w:eastAsia="es-CO"/>
        </w:rPr>
        <w:t xml:space="preserve"> la Gaceta del Congreso de la República </w:t>
      </w:r>
      <w:r w:rsidR="000077D0" w:rsidRPr="004E4581">
        <w:rPr>
          <w:rFonts w:ascii="Arial" w:hAnsi="Arial" w:cs="Arial"/>
          <w:bCs/>
          <w:color w:val="000000" w:themeColor="text1"/>
          <w:sz w:val="22"/>
          <w:szCs w:val="22"/>
          <w:lang w:eastAsia="es-CO"/>
        </w:rPr>
        <w:lastRenderedPageBreak/>
        <w:t>No. 71 del 2005</w:t>
      </w:r>
      <w:r w:rsidR="002A3132" w:rsidRPr="004E4581">
        <w:rPr>
          <w:rFonts w:ascii="Arial" w:hAnsi="Arial" w:cs="Arial"/>
          <w:bCs/>
          <w:color w:val="000000" w:themeColor="text1"/>
          <w:sz w:val="22"/>
          <w:szCs w:val="22"/>
          <w:lang w:eastAsia="es-CO"/>
        </w:rPr>
        <w:t>,</w:t>
      </w:r>
      <w:r w:rsidR="000077D0" w:rsidRPr="004E4581">
        <w:rPr>
          <w:rFonts w:ascii="Arial" w:hAnsi="Arial" w:cs="Arial"/>
          <w:bCs/>
          <w:color w:val="000000" w:themeColor="text1"/>
          <w:sz w:val="22"/>
          <w:szCs w:val="22"/>
          <w:lang w:eastAsia="es-CO"/>
        </w:rPr>
        <w:t xml:space="preserve"> tiene como propósito evitar cualquier tipo de arbitrariedad, de ventaja injustificada, de uso irregular de los recursos del Estado en las campañas o falta de garantías en la elección </w:t>
      </w:r>
      <w:r w:rsidR="00B02668" w:rsidRPr="004E4581">
        <w:rPr>
          <w:rFonts w:ascii="Arial" w:hAnsi="Arial" w:cs="Arial"/>
          <w:bCs/>
          <w:color w:val="000000" w:themeColor="text1"/>
          <w:sz w:val="22"/>
          <w:szCs w:val="22"/>
          <w:lang w:eastAsia="es-CO"/>
        </w:rPr>
        <w:t>presidencial, introduciendo</w:t>
      </w:r>
      <w:r w:rsidR="000077D0" w:rsidRPr="004E4581">
        <w:rPr>
          <w:rFonts w:ascii="Arial" w:hAnsi="Arial" w:cs="Arial"/>
          <w:bCs/>
          <w:color w:val="000000" w:themeColor="text1"/>
          <w:sz w:val="22"/>
          <w:szCs w:val="22"/>
          <w:lang w:eastAsia="es-CO"/>
        </w:rPr>
        <w:t xml:space="preserve"> limitaciones para realizar nombramientos, postulaciones, contrataciones o cualquier otro tipo de actividad que implique destinación de recursos públicos.</w:t>
      </w:r>
      <w:r w:rsidR="000077D0" w:rsidRPr="004E4581">
        <w:rPr>
          <w:rFonts w:ascii="Arial" w:eastAsia="Calibri" w:hAnsi="Arial" w:cs="Arial"/>
          <w:noProof/>
          <w:color w:val="000000" w:themeColor="text1"/>
          <w:sz w:val="22"/>
          <w:szCs w:val="22"/>
          <w:lang w:val="es-ES_tradnl"/>
        </w:rPr>
        <w:t xml:space="preserve"> </w:t>
      </w:r>
      <w:r w:rsidR="000077D0" w:rsidRPr="004E4581">
        <w:rPr>
          <w:rFonts w:ascii="Arial" w:hAnsi="Arial" w:cs="Arial"/>
          <w:bCs/>
          <w:color w:val="000000" w:themeColor="text1"/>
          <w:sz w:val="22"/>
          <w:szCs w:val="22"/>
          <w:lang w:eastAsia="es-CO"/>
        </w:rPr>
        <w:t xml:space="preserve">En armonía con lo anterior, la Corte Constitucional </w:t>
      </w:r>
      <w:r w:rsidR="006042CD" w:rsidRPr="004E4581">
        <w:rPr>
          <w:rFonts w:ascii="Arial" w:hAnsi="Arial" w:cs="Arial"/>
          <w:bCs/>
          <w:color w:val="000000" w:themeColor="text1"/>
          <w:sz w:val="22"/>
          <w:szCs w:val="22"/>
          <w:lang w:eastAsia="es-CO"/>
        </w:rPr>
        <w:t xml:space="preserve">–en la Sentencia C-1153 de 2005– </w:t>
      </w:r>
      <w:r w:rsidR="00EF507B" w:rsidRPr="004E4581">
        <w:rPr>
          <w:rFonts w:ascii="Arial" w:hAnsi="Arial" w:cs="Arial"/>
          <w:bCs/>
          <w:color w:val="000000" w:themeColor="text1"/>
          <w:sz w:val="22"/>
          <w:szCs w:val="22"/>
          <w:lang w:eastAsia="es-CO"/>
        </w:rPr>
        <w:t xml:space="preserve">considera </w:t>
      </w:r>
      <w:r w:rsidR="00C6249B" w:rsidRPr="004E4581">
        <w:rPr>
          <w:rFonts w:ascii="Arial" w:hAnsi="Arial" w:cs="Arial"/>
          <w:bCs/>
          <w:color w:val="000000" w:themeColor="text1"/>
          <w:sz w:val="22"/>
          <w:szCs w:val="22"/>
          <w:lang w:eastAsia="es-CO"/>
        </w:rPr>
        <w:t>que</w:t>
      </w:r>
      <w:r w:rsidR="000077D0" w:rsidRPr="004E4581">
        <w:rPr>
          <w:rFonts w:ascii="Arial" w:hAnsi="Arial" w:cs="Arial"/>
          <w:bCs/>
          <w:color w:val="000000" w:themeColor="text1"/>
          <w:sz w:val="22"/>
          <w:szCs w:val="22"/>
          <w:lang w:eastAsia="es-CO"/>
        </w:rPr>
        <w:t>:</w:t>
      </w:r>
    </w:p>
    <w:p w14:paraId="10F8D327" w14:textId="77777777" w:rsidR="000077D0" w:rsidRPr="004E4581" w:rsidRDefault="000077D0" w:rsidP="006B3EB4">
      <w:pPr>
        <w:ind w:right="709"/>
        <w:jc w:val="both"/>
        <w:rPr>
          <w:rFonts w:ascii="Arial" w:hAnsi="Arial" w:cs="Arial"/>
          <w:color w:val="000000" w:themeColor="text1"/>
          <w:sz w:val="21"/>
          <w:szCs w:val="21"/>
          <w:lang w:val="es-ES" w:eastAsia="es-CO"/>
        </w:rPr>
      </w:pPr>
    </w:p>
    <w:p w14:paraId="4F9602BD" w14:textId="77777777" w:rsidR="000077D0" w:rsidRPr="004E4581" w:rsidRDefault="000077D0" w:rsidP="006B3EB4">
      <w:pPr>
        <w:ind w:left="709" w:right="709"/>
        <w:jc w:val="both"/>
        <w:rPr>
          <w:rFonts w:ascii="Arial" w:hAnsi="Arial" w:cs="Arial"/>
          <w:bCs/>
          <w:color w:val="000000" w:themeColor="text1"/>
          <w:sz w:val="21"/>
          <w:szCs w:val="21"/>
          <w:lang w:eastAsia="es-CO"/>
        </w:rPr>
      </w:pPr>
      <w:r w:rsidRPr="004E4581">
        <w:rPr>
          <w:rFonts w:ascii="Arial" w:hAnsi="Arial" w:cs="Arial"/>
          <w:bCs/>
          <w:color w:val="000000" w:themeColor="text1"/>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48F3F838" w14:textId="77777777" w:rsidR="000077D0" w:rsidRPr="004E4581" w:rsidRDefault="000077D0" w:rsidP="006B3EB4">
      <w:pPr>
        <w:ind w:left="709" w:right="709"/>
        <w:jc w:val="both"/>
        <w:rPr>
          <w:rFonts w:ascii="Arial" w:hAnsi="Arial" w:cs="Arial"/>
          <w:bCs/>
          <w:color w:val="000000" w:themeColor="text1"/>
          <w:sz w:val="21"/>
          <w:szCs w:val="21"/>
          <w:lang w:eastAsia="es-CO"/>
        </w:rPr>
      </w:pPr>
    </w:p>
    <w:p w14:paraId="080C6A96" w14:textId="7F10D432" w:rsidR="000077D0" w:rsidRPr="004E4581" w:rsidRDefault="000077D0" w:rsidP="006B3EB4">
      <w:pPr>
        <w:spacing w:line="276" w:lineRule="auto"/>
        <w:ind w:firstLine="709"/>
        <w:jc w:val="both"/>
        <w:rPr>
          <w:rFonts w:ascii="Arial" w:hAnsi="Arial" w:cs="Arial"/>
          <w:bCs/>
          <w:color w:val="000000" w:themeColor="text1"/>
          <w:sz w:val="22"/>
          <w:lang w:eastAsia="es-CO"/>
        </w:rPr>
      </w:pPr>
      <w:bookmarkStart w:id="10" w:name="_Hlk80948265"/>
      <w:r w:rsidRPr="004E4581">
        <w:rPr>
          <w:rFonts w:ascii="Arial" w:hAnsi="Arial" w:cs="Arial"/>
          <w:bCs/>
          <w:color w:val="000000" w:themeColor="text1"/>
          <w:sz w:val="22"/>
          <w:lang w:eastAsia="es-CO"/>
        </w:rPr>
        <w:t>Siguiendo</w:t>
      </w:r>
      <w:r w:rsidR="00974B94" w:rsidRPr="004E4581">
        <w:rPr>
          <w:rFonts w:ascii="Arial" w:hAnsi="Arial" w:cs="Arial"/>
          <w:bCs/>
          <w:color w:val="000000" w:themeColor="text1"/>
          <w:sz w:val="22"/>
          <w:lang w:eastAsia="es-CO"/>
        </w:rPr>
        <w:t xml:space="preserve"> esta línea</w:t>
      </w:r>
      <w:r w:rsidRPr="004E4581">
        <w:rPr>
          <w:rFonts w:ascii="Arial" w:hAnsi="Arial" w:cs="Arial"/>
          <w:bCs/>
          <w:color w:val="000000" w:themeColor="text1"/>
          <w:sz w:val="22"/>
          <w:lang w:eastAsia="es-CO"/>
        </w:rPr>
        <w:t>, la Ley de Garantías Electorales establece el marco jurídico para el desarrollo de las elecciones, procurando condiciones de igualdad y transparencia para los aspirantes</w:t>
      </w:r>
      <w:r w:rsidR="00900A23">
        <w:rPr>
          <w:rFonts w:ascii="Arial" w:hAnsi="Arial" w:cs="Arial"/>
          <w:bCs/>
          <w:color w:val="000000" w:themeColor="text1"/>
          <w:sz w:val="22"/>
          <w:lang w:eastAsia="es-CO"/>
        </w:rPr>
        <w:t>,</w:t>
      </w:r>
      <w:r w:rsidRPr="004E4581">
        <w:rPr>
          <w:rFonts w:ascii="Arial" w:hAnsi="Arial" w:cs="Arial"/>
          <w:bCs/>
          <w:color w:val="000000" w:themeColor="text1"/>
          <w:sz w:val="22"/>
          <w:lang w:eastAsia="es-CO"/>
        </w:rPr>
        <w:t xml:space="preserve"> </w:t>
      </w:r>
      <w:r w:rsidR="00692FCD" w:rsidRPr="004E4581">
        <w:rPr>
          <w:rFonts w:ascii="Arial" w:hAnsi="Arial" w:cs="Arial"/>
          <w:bCs/>
          <w:color w:val="000000" w:themeColor="text1"/>
          <w:sz w:val="22"/>
          <w:lang w:eastAsia="es-CO"/>
        </w:rPr>
        <w:t>al tiempo que</w:t>
      </w:r>
      <w:r w:rsidRPr="004E4581">
        <w:rPr>
          <w:rFonts w:ascii="Arial" w:hAnsi="Arial" w:cs="Arial"/>
          <w:bCs/>
          <w:color w:val="000000" w:themeColor="text1"/>
          <w:sz w:val="22"/>
          <w:lang w:eastAsia="es-CO"/>
        </w:rPr>
        <w:t xml:space="preserve"> se incluyen restricciones en el actuar de los servidores públicos, evitando interferencias en la contienda electoral, así como la posible desviación de recursos públicos en aspiraciones electorales.</w:t>
      </w:r>
      <w:r w:rsidR="00DE771D" w:rsidRPr="004E4581">
        <w:rPr>
          <w:rFonts w:ascii="Arial" w:hAnsi="Arial" w:cs="Arial"/>
          <w:bCs/>
          <w:color w:val="000000" w:themeColor="text1"/>
          <w:sz w:val="22"/>
          <w:lang w:eastAsia="es-CO"/>
        </w:rPr>
        <w:t xml:space="preserve"> Incluso</w:t>
      </w:r>
      <w:r w:rsidRPr="004E4581">
        <w:rPr>
          <w:rFonts w:ascii="Arial" w:hAnsi="Arial" w:cs="Arial"/>
          <w:bCs/>
          <w:color w:val="000000" w:themeColor="text1"/>
          <w:sz w:val="22"/>
          <w:lang w:eastAsia="es-CO"/>
        </w:rPr>
        <w:t>, varias de las disposiciones de la Ley 996 de 2005, al contener normas prohibitivas, no admiten una interpretación amplia, sino que deben interpretarse restrictivamente.</w:t>
      </w:r>
      <w:bookmarkEnd w:id="10"/>
      <w:r w:rsidRPr="004E4581">
        <w:rPr>
          <w:rFonts w:ascii="Arial" w:hAnsi="Arial" w:cs="Arial"/>
          <w:bCs/>
          <w:color w:val="000000" w:themeColor="text1"/>
          <w:sz w:val="22"/>
          <w:lang w:eastAsia="es-CO"/>
        </w:rPr>
        <w:t xml:space="preserve"> En efecto, lo anterior fue indicado por la Sala de Consulta y Servicio Civil del Consejo de Estado al </w:t>
      </w:r>
      <w:r w:rsidR="00B40D1D" w:rsidRPr="004E4581">
        <w:rPr>
          <w:rFonts w:ascii="Arial" w:hAnsi="Arial" w:cs="Arial"/>
          <w:bCs/>
          <w:color w:val="000000" w:themeColor="text1"/>
          <w:sz w:val="22"/>
          <w:lang w:eastAsia="es-CO"/>
        </w:rPr>
        <w:t>precisa</w:t>
      </w:r>
      <w:r w:rsidR="003D0A1F" w:rsidRPr="004E4581">
        <w:rPr>
          <w:rFonts w:ascii="Arial" w:hAnsi="Arial" w:cs="Arial"/>
          <w:bCs/>
          <w:color w:val="000000" w:themeColor="text1"/>
          <w:sz w:val="22"/>
          <w:lang w:eastAsia="es-CO"/>
        </w:rPr>
        <w:t>r</w:t>
      </w:r>
      <w:r w:rsidR="00B40D1D" w:rsidRPr="004E4581">
        <w:rPr>
          <w:rFonts w:ascii="Arial" w:hAnsi="Arial" w:cs="Arial"/>
          <w:bCs/>
          <w:color w:val="000000" w:themeColor="text1"/>
          <w:sz w:val="22"/>
          <w:lang w:eastAsia="es-CO"/>
        </w:rPr>
        <w:t xml:space="preserve"> que</w:t>
      </w:r>
      <w:r w:rsidRPr="004E4581">
        <w:rPr>
          <w:rFonts w:ascii="Arial" w:hAnsi="Arial" w:cs="Arial"/>
          <w:bCs/>
          <w:color w:val="000000" w:themeColor="text1"/>
          <w:sz w:val="22"/>
          <w:lang w:eastAsia="es-CO"/>
        </w:rPr>
        <w:t>:</w:t>
      </w:r>
    </w:p>
    <w:p w14:paraId="5F619F1C" w14:textId="77777777" w:rsidR="000077D0" w:rsidRPr="004E4581" w:rsidRDefault="000077D0" w:rsidP="006B3EB4">
      <w:pPr>
        <w:ind w:firstLine="709"/>
        <w:jc w:val="both"/>
        <w:rPr>
          <w:rFonts w:ascii="Arial" w:hAnsi="Arial" w:cs="Arial"/>
          <w:bCs/>
          <w:color w:val="000000" w:themeColor="text1"/>
          <w:sz w:val="22"/>
          <w:lang w:eastAsia="es-CO"/>
        </w:rPr>
      </w:pPr>
    </w:p>
    <w:p w14:paraId="3F21CBDD" w14:textId="77777777" w:rsidR="000077D0" w:rsidRPr="004E4581" w:rsidRDefault="000077D0" w:rsidP="006B3EB4">
      <w:pPr>
        <w:ind w:left="709" w:right="709"/>
        <w:jc w:val="both"/>
        <w:rPr>
          <w:rFonts w:ascii="Arial" w:hAnsi="Arial" w:cs="Arial"/>
          <w:bCs/>
          <w:color w:val="000000" w:themeColor="text1"/>
          <w:sz w:val="21"/>
          <w:szCs w:val="21"/>
          <w:lang w:eastAsia="es-CO"/>
        </w:rPr>
      </w:pPr>
      <w:r w:rsidRPr="004E4581">
        <w:rPr>
          <w:rFonts w:ascii="Arial" w:hAnsi="Arial" w:cs="Arial"/>
          <w:bCs/>
          <w:color w:val="000000" w:themeColor="text1"/>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E4581">
        <w:rPr>
          <w:rFonts w:ascii="Arial" w:hAnsi="Arial" w:cs="Arial"/>
          <w:bCs/>
          <w:color w:val="000000" w:themeColor="text1"/>
          <w:sz w:val="21"/>
          <w:szCs w:val="21"/>
          <w:lang w:eastAsia="es-CO"/>
        </w:rPr>
        <w:t>legis</w:t>
      </w:r>
      <w:proofErr w:type="spellEnd"/>
      <w:r w:rsidRPr="004E4581">
        <w:rPr>
          <w:rFonts w:ascii="Arial" w:hAnsi="Arial" w:cs="Arial"/>
          <w:bCs/>
          <w:color w:val="000000" w:themeColor="text1"/>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E96BD32" w14:textId="77777777" w:rsidR="000077D0" w:rsidRPr="004E4581" w:rsidRDefault="000077D0" w:rsidP="006B3EB4">
      <w:pPr>
        <w:ind w:left="709" w:right="709" w:firstLine="709"/>
        <w:jc w:val="both"/>
        <w:rPr>
          <w:rFonts w:ascii="Arial" w:hAnsi="Arial" w:cs="Arial"/>
          <w:bCs/>
          <w:color w:val="000000" w:themeColor="text1"/>
          <w:sz w:val="21"/>
          <w:szCs w:val="21"/>
          <w:lang w:eastAsia="es-CO"/>
        </w:rPr>
      </w:pPr>
    </w:p>
    <w:p w14:paraId="47E4EDD2" w14:textId="77777777" w:rsidR="000077D0" w:rsidRPr="004E4581" w:rsidRDefault="000077D0" w:rsidP="006B3EB4">
      <w:pPr>
        <w:ind w:left="709" w:right="709"/>
        <w:jc w:val="both"/>
        <w:rPr>
          <w:rFonts w:ascii="Arial" w:hAnsi="Arial" w:cs="Arial"/>
          <w:bCs/>
          <w:color w:val="000000" w:themeColor="text1"/>
          <w:sz w:val="21"/>
          <w:szCs w:val="21"/>
          <w:lang w:eastAsia="es-CO"/>
        </w:rPr>
      </w:pPr>
      <w:r w:rsidRPr="004E4581">
        <w:rPr>
          <w:rFonts w:ascii="Arial" w:hAnsi="Arial" w:cs="Arial"/>
          <w:bCs/>
          <w:color w:val="000000" w:themeColor="text1"/>
          <w:sz w:val="21"/>
          <w:szCs w:val="21"/>
          <w:lang w:eastAsia="es-CO"/>
        </w:rPr>
        <w:t>La jurisprudencia de la Corte Constitucional</w:t>
      </w:r>
      <w:r w:rsidRPr="004E4581">
        <w:rPr>
          <w:rStyle w:val="Refdenotaalpie"/>
          <w:rFonts w:ascii="Arial" w:hAnsi="Arial" w:cs="Arial"/>
          <w:bCs/>
          <w:color w:val="000000" w:themeColor="text1"/>
          <w:sz w:val="21"/>
          <w:szCs w:val="21"/>
          <w:lang w:eastAsia="es-CO"/>
        </w:rPr>
        <w:footnoteReference w:id="3"/>
      </w:r>
      <w:r w:rsidRPr="004E4581">
        <w:rPr>
          <w:rFonts w:ascii="Arial" w:hAnsi="Arial" w:cs="Arial"/>
          <w:bCs/>
          <w:color w:val="000000" w:themeColor="text1"/>
          <w:sz w:val="21"/>
          <w:szCs w:val="21"/>
          <w:lang w:eastAsia="es-CO"/>
        </w:rPr>
        <w:t> y del Consejo de Estado</w:t>
      </w:r>
      <w:r w:rsidRPr="004E4581">
        <w:rPr>
          <w:rStyle w:val="Refdenotaalpie"/>
          <w:rFonts w:ascii="Arial" w:hAnsi="Arial" w:cs="Arial"/>
          <w:bCs/>
          <w:color w:val="000000" w:themeColor="text1"/>
          <w:sz w:val="21"/>
          <w:szCs w:val="21"/>
          <w:lang w:eastAsia="es-CO"/>
        </w:rPr>
        <w:footnoteReference w:id="4"/>
      </w:r>
      <w:r w:rsidRPr="004E4581">
        <w:rPr>
          <w:rFonts w:ascii="Arial" w:hAnsi="Arial" w:cs="Arial"/>
          <w:bCs/>
          <w:color w:val="000000" w:themeColor="text1"/>
          <w:sz w:val="21"/>
          <w:szCs w:val="21"/>
          <w:lang w:eastAsia="es-CO"/>
        </w:rPr>
        <w:t xml:space="preserve">, coinciden en que las normas que establecen prohibiciones deben estar de manera explícita </w:t>
      </w:r>
      <w:r w:rsidRPr="004E4581">
        <w:rPr>
          <w:rFonts w:ascii="Arial" w:hAnsi="Arial" w:cs="Arial"/>
          <w:bCs/>
          <w:color w:val="000000" w:themeColor="text1"/>
          <w:sz w:val="21"/>
          <w:szCs w:val="21"/>
          <w:lang w:eastAsia="es-CO"/>
        </w:rPr>
        <w:lastRenderedPageBreak/>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E4581">
        <w:rPr>
          <w:rStyle w:val="Refdenotaalpie"/>
          <w:rFonts w:ascii="Arial" w:hAnsi="Arial" w:cs="Arial"/>
          <w:bCs/>
          <w:color w:val="000000" w:themeColor="text1"/>
          <w:sz w:val="22"/>
          <w:lang w:eastAsia="es-CO"/>
        </w:rPr>
        <w:footnoteReference w:id="5"/>
      </w:r>
      <w:r w:rsidRPr="004E4581">
        <w:rPr>
          <w:rFonts w:ascii="Arial" w:hAnsi="Arial" w:cs="Arial"/>
          <w:bCs/>
          <w:color w:val="000000" w:themeColor="text1"/>
          <w:sz w:val="21"/>
          <w:szCs w:val="21"/>
          <w:lang w:eastAsia="es-CO"/>
        </w:rPr>
        <w:t>.</w:t>
      </w:r>
    </w:p>
    <w:p w14:paraId="34847625" w14:textId="77777777" w:rsidR="000077D0" w:rsidRPr="004E4581" w:rsidRDefault="000077D0" w:rsidP="006B3EB4">
      <w:pPr>
        <w:spacing w:line="276" w:lineRule="auto"/>
        <w:ind w:right="709"/>
        <w:jc w:val="both"/>
        <w:rPr>
          <w:rFonts w:ascii="Arial" w:hAnsi="Arial" w:cs="Arial"/>
          <w:bCs/>
          <w:color w:val="000000" w:themeColor="text1"/>
          <w:sz w:val="22"/>
          <w:szCs w:val="22"/>
          <w:lang w:eastAsia="es-CO"/>
        </w:rPr>
      </w:pPr>
    </w:p>
    <w:p w14:paraId="15312F99" w14:textId="06C6C2B4" w:rsidR="00917720" w:rsidRPr="004E4581" w:rsidRDefault="000077D0" w:rsidP="00861F5C">
      <w:pPr>
        <w:widowControl w:val="0"/>
        <w:autoSpaceDE w:val="0"/>
        <w:autoSpaceDN w:val="0"/>
        <w:spacing w:line="276" w:lineRule="auto"/>
        <w:ind w:right="113" w:firstLine="709"/>
        <w:jc w:val="both"/>
        <w:rPr>
          <w:rFonts w:ascii="Arial" w:eastAsia="Arial" w:hAnsi="Arial" w:cs="Arial"/>
          <w:color w:val="000000" w:themeColor="text1"/>
          <w:sz w:val="22"/>
          <w:lang w:val="es-ES" w:eastAsia="es-ES" w:bidi="es-ES"/>
        </w:rPr>
      </w:pPr>
      <w:r w:rsidRPr="004E4581">
        <w:rPr>
          <w:rFonts w:ascii="Arial" w:eastAsia="Arial" w:hAnsi="Arial" w:cs="Arial"/>
          <w:color w:val="000000" w:themeColor="text1"/>
          <w:sz w:val="22"/>
          <w:lang w:val="es-ES" w:eastAsia="es-ES" w:bidi="es-ES"/>
        </w:rPr>
        <w:t>De conformidad con lo anterior, es claro que la 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los demás cargos de elección popular, tanto a nivel nacional como territorial.</w:t>
      </w:r>
    </w:p>
    <w:p w14:paraId="12282080" w14:textId="77777777" w:rsidR="00917720" w:rsidRPr="004E4581" w:rsidRDefault="00917720" w:rsidP="00861F5C">
      <w:pPr>
        <w:widowControl w:val="0"/>
        <w:autoSpaceDE w:val="0"/>
        <w:autoSpaceDN w:val="0"/>
        <w:spacing w:line="276" w:lineRule="auto"/>
        <w:ind w:right="113" w:firstLine="709"/>
        <w:jc w:val="both"/>
        <w:rPr>
          <w:rFonts w:ascii="Arial" w:eastAsia="Arial" w:hAnsi="Arial" w:cs="Arial"/>
          <w:color w:val="000000" w:themeColor="text1"/>
          <w:sz w:val="22"/>
          <w:lang w:val="es-ES" w:eastAsia="es-ES" w:bidi="es-ES"/>
        </w:rPr>
      </w:pPr>
    </w:p>
    <w:p w14:paraId="1968701E" w14:textId="77777777" w:rsidR="00917720" w:rsidRPr="004E4581" w:rsidRDefault="00917720" w:rsidP="00917720">
      <w:pPr>
        <w:spacing w:after="200" w:line="276" w:lineRule="auto"/>
        <w:jc w:val="both"/>
        <w:rPr>
          <w:rFonts w:ascii="Arial" w:hAnsi="Arial" w:cs="Arial"/>
          <w:b/>
          <w:bCs/>
          <w:color w:val="000000" w:themeColor="text1"/>
          <w:sz w:val="22"/>
          <w:szCs w:val="22"/>
          <w:lang w:val="es-MX" w:eastAsia="es-CO"/>
        </w:rPr>
      </w:pPr>
      <w:r w:rsidRPr="004E4581">
        <w:rPr>
          <w:rFonts w:ascii="Arial" w:eastAsia="Calibri" w:hAnsi="Arial" w:cs="Arial"/>
          <w:b/>
          <w:bCs/>
          <w:color w:val="000000" w:themeColor="text1"/>
          <w:sz w:val="22"/>
          <w:szCs w:val="22"/>
          <w:lang w:eastAsia="en-US"/>
        </w:rPr>
        <w:t>2.2. Determinación de las restricciones según el tipo de elecciones</w:t>
      </w:r>
    </w:p>
    <w:p w14:paraId="56A1F82D" w14:textId="77777777" w:rsidR="00917720" w:rsidRPr="004E4581" w:rsidRDefault="00917720" w:rsidP="00917720">
      <w:pPr>
        <w:spacing w:after="120" w:line="276" w:lineRule="auto"/>
        <w:jc w:val="both"/>
        <w:rPr>
          <w:rFonts w:ascii="Arial" w:eastAsia="Arial" w:hAnsi="Arial" w:cs="Arial"/>
          <w:color w:val="000000" w:themeColor="text1"/>
          <w:sz w:val="22"/>
          <w:szCs w:val="22"/>
          <w:lang w:val="es-ES" w:eastAsia="es-ES" w:bidi="es-ES"/>
        </w:rPr>
      </w:pPr>
      <w:r w:rsidRPr="004E4581">
        <w:rPr>
          <w:rFonts w:ascii="Arial" w:hAnsi="Arial" w:cs="Arial"/>
          <w:bCs/>
          <w:color w:val="000000" w:themeColor="text1"/>
          <w:sz w:val="22"/>
          <w:szCs w:val="22"/>
          <w:lang w:val="es-MX" w:eastAsia="es-CO"/>
        </w:rPr>
        <w:t xml:space="preserve">La </w:t>
      </w:r>
      <w:r w:rsidRPr="004E4581">
        <w:rPr>
          <w:rFonts w:ascii="Arial" w:eastAsia="Arial" w:hAnsi="Arial" w:cs="Arial"/>
          <w:color w:val="000000" w:themeColor="text1"/>
          <w:sz w:val="22"/>
          <w:szCs w:val="22"/>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p>
    <w:p w14:paraId="1EBAC8EA" w14:textId="0ADF8B1E" w:rsidR="00917720" w:rsidRPr="004E4581" w:rsidRDefault="00917720" w:rsidP="00917720">
      <w:pPr>
        <w:spacing w:after="120" w:line="276" w:lineRule="auto"/>
        <w:ind w:firstLine="708"/>
        <w:jc w:val="both"/>
        <w:rPr>
          <w:rFonts w:ascii="Arial" w:eastAsia="Calibri" w:hAnsi="Arial" w:cs="Arial"/>
          <w:color w:val="000000" w:themeColor="text1"/>
          <w:sz w:val="22"/>
          <w:szCs w:val="22"/>
          <w:lang w:eastAsia="en-US"/>
        </w:rPr>
      </w:pPr>
      <w:bookmarkStart w:id="11" w:name="_Hlk79762232"/>
      <w:bookmarkStart w:id="12" w:name="_Hlk77152787"/>
      <w:r w:rsidRPr="004E4581">
        <w:rPr>
          <w:rFonts w:ascii="Arial" w:eastAsia="Calibri" w:hAnsi="Arial" w:cs="Arial"/>
          <w:color w:val="000000" w:themeColor="text1"/>
          <w:sz w:val="22"/>
          <w:szCs w:val="22"/>
          <w:lang w:eastAsia="en-US"/>
        </w:rPr>
        <w:t xml:space="preserve">Por una parte, </w:t>
      </w:r>
      <w:bookmarkStart w:id="13" w:name="_Hlk77153051"/>
      <w:r w:rsidRPr="004E4581">
        <w:rPr>
          <w:rFonts w:ascii="Arial" w:eastAsia="Calibri" w:hAnsi="Arial" w:cs="Arial"/>
          <w:color w:val="000000" w:themeColor="text1"/>
          <w:sz w:val="22"/>
          <w:szCs w:val="22"/>
          <w:lang w:eastAsia="en-US"/>
        </w:rPr>
        <w:t xml:space="preserve">el artículo 33 de la Ley 996 de 2005 establece una prohibición que impide </w:t>
      </w:r>
      <w:r w:rsidRPr="004E4581">
        <w:rPr>
          <w:rFonts w:ascii="Arial" w:eastAsia="Calibri" w:hAnsi="Arial" w:cs="Arial"/>
          <w:bCs/>
          <w:color w:val="000000" w:themeColor="text1"/>
          <w:sz w:val="22"/>
          <w:szCs w:val="22"/>
          <w:lang w:eastAsia="en-US"/>
        </w:rPr>
        <w:t xml:space="preserve">«[…] </w:t>
      </w:r>
      <w:r w:rsidRPr="004E4581">
        <w:rPr>
          <w:rFonts w:ascii="Arial" w:eastAsia="Calibri" w:hAnsi="Arial" w:cs="Arial"/>
          <w:color w:val="000000" w:themeColor="text1"/>
          <w:sz w:val="22"/>
          <w:szCs w:val="22"/>
          <w:lang w:eastAsia="en-US"/>
        </w:rPr>
        <w:t>la contratación directa por parte de todos los entes del Estado</w:t>
      </w:r>
      <w:r w:rsidRPr="004E4581">
        <w:rPr>
          <w:rFonts w:ascii="Arial" w:eastAsia="Calibri" w:hAnsi="Arial" w:cs="Arial"/>
          <w:bCs/>
          <w:color w:val="000000" w:themeColor="text1"/>
          <w:sz w:val="22"/>
          <w:szCs w:val="22"/>
          <w:lang w:eastAsia="en-US"/>
        </w:rPr>
        <w:t>»</w:t>
      </w:r>
      <w:r w:rsidRPr="004E4581">
        <w:rPr>
          <w:rFonts w:ascii="Arial" w:eastAsia="Calibri" w:hAnsi="Arial" w:cs="Arial"/>
          <w:color w:val="000000" w:themeColor="text1"/>
          <w:sz w:val="22"/>
          <w:szCs w:val="22"/>
          <w:lang w:eastAsia="en-US"/>
        </w:rPr>
        <w:t xml:space="preserve"> durante los cuatro (4) meses anteriores a las elecciones presidenciales, salvo </w:t>
      </w:r>
      <w:r w:rsidRPr="004E4581">
        <w:rPr>
          <w:rFonts w:ascii="Arial" w:eastAsia="Calibri" w:hAnsi="Arial" w:cs="Arial"/>
          <w:bCs/>
          <w:color w:val="000000" w:themeColor="text1"/>
          <w:sz w:val="22"/>
          <w:szCs w:val="22"/>
          <w:lang w:eastAsia="en-US"/>
        </w:rPr>
        <w:t xml:space="preserve">«[…] </w:t>
      </w:r>
      <w:r w:rsidRPr="004E4581">
        <w:rPr>
          <w:rFonts w:ascii="Arial" w:eastAsia="Calibri" w:hAnsi="Arial" w:cs="Arial"/>
          <w:color w:val="000000" w:themeColor="text1"/>
          <w:sz w:val="22"/>
          <w:szCs w:val="22"/>
          <w:lang w:eastAsia="en-US"/>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w:t>
      </w:r>
      <w:r w:rsidRPr="004E4581">
        <w:rPr>
          <w:rFonts w:ascii="Arial" w:eastAsia="Calibri" w:hAnsi="Arial" w:cs="Arial"/>
          <w:color w:val="000000" w:themeColor="text1"/>
          <w:sz w:val="22"/>
          <w:szCs w:val="22"/>
          <w:lang w:eastAsia="en-US"/>
        </w:rPr>
        <w:lastRenderedPageBreak/>
        <w:t>desastres naturales o casos de fuerza mayor, y los que deban realizar las entidades sanitarias y hospitalarias</w:t>
      </w:r>
      <w:r w:rsidRPr="004E4581">
        <w:rPr>
          <w:rFonts w:ascii="Arial" w:eastAsia="Calibri" w:hAnsi="Arial" w:cs="Arial"/>
          <w:bCs/>
          <w:color w:val="000000" w:themeColor="text1"/>
          <w:sz w:val="22"/>
          <w:szCs w:val="22"/>
          <w:lang w:eastAsia="en-US"/>
        </w:rPr>
        <w:t>»</w:t>
      </w:r>
      <w:bookmarkEnd w:id="11"/>
      <w:r w:rsidRPr="004E4581">
        <w:rPr>
          <w:rFonts w:ascii="Arial" w:eastAsia="Calibri" w:hAnsi="Arial" w:cs="Arial"/>
          <w:bCs/>
          <w:color w:val="000000" w:themeColor="text1"/>
          <w:sz w:val="22"/>
          <w:szCs w:val="22"/>
          <w:vertAlign w:val="superscript"/>
          <w:lang w:eastAsia="en-US"/>
        </w:rPr>
        <w:footnoteReference w:id="6"/>
      </w:r>
      <w:r w:rsidRPr="004E4581">
        <w:rPr>
          <w:rFonts w:ascii="Arial" w:eastAsia="Calibri" w:hAnsi="Arial" w:cs="Arial"/>
          <w:color w:val="000000" w:themeColor="text1"/>
          <w:sz w:val="22"/>
          <w:szCs w:val="22"/>
          <w:lang w:eastAsia="en-US"/>
        </w:rPr>
        <w:t>.</w:t>
      </w:r>
    </w:p>
    <w:p w14:paraId="5510D27B" w14:textId="24FF1AFC" w:rsidR="00917720" w:rsidRPr="004E4581" w:rsidRDefault="00917720" w:rsidP="00861F5C">
      <w:pPr>
        <w:spacing w:after="120" w:line="276" w:lineRule="auto"/>
        <w:ind w:firstLine="708"/>
        <w:jc w:val="both"/>
        <w:rPr>
          <w:rFonts w:ascii="Arial" w:eastAsia="Arial" w:hAnsi="Arial" w:cs="Arial"/>
          <w:color w:val="000000" w:themeColor="text1"/>
          <w:sz w:val="22"/>
          <w:szCs w:val="22"/>
          <w:lang w:val="es-ES" w:eastAsia="es-ES" w:bidi="es-ES"/>
        </w:rPr>
      </w:pPr>
      <w:bookmarkStart w:id="15" w:name="_Hlk79762276"/>
      <w:r w:rsidRPr="004E4581">
        <w:rPr>
          <w:rFonts w:ascii="Arial" w:eastAsia="Calibri" w:hAnsi="Arial" w:cs="Arial"/>
          <w:color w:val="000000" w:themeColor="text1"/>
          <w:sz w:val="22"/>
          <w:szCs w:val="22"/>
          <w:lang w:eastAsia="en-US"/>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4E4581">
        <w:rPr>
          <w:rFonts w:ascii="Arial" w:eastAsia="Calibri" w:hAnsi="Arial" w:cs="Arial"/>
          <w:bCs/>
          <w:color w:val="000000" w:themeColor="text1"/>
          <w:sz w:val="22"/>
          <w:szCs w:val="22"/>
          <w:lang w:eastAsia="en-US"/>
        </w:rPr>
        <w:t xml:space="preserve">«[…] </w:t>
      </w:r>
      <w:r w:rsidRPr="004E4581">
        <w:rPr>
          <w:rFonts w:ascii="Arial" w:eastAsia="Calibri" w:hAnsi="Arial" w:cs="Arial"/>
          <w:color w:val="000000" w:themeColor="text1"/>
          <w:sz w:val="22"/>
          <w:szCs w:val="22"/>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E4581">
        <w:rPr>
          <w:rFonts w:ascii="Arial" w:eastAsia="Calibri" w:hAnsi="Arial" w:cs="Arial"/>
          <w:bCs/>
          <w:color w:val="000000" w:themeColor="text1"/>
          <w:sz w:val="19"/>
          <w:szCs w:val="19"/>
          <w:lang w:eastAsia="en-US"/>
        </w:rPr>
        <w:t>»</w:t>
      </w:r>
      <w:r w:rsidRPr="004E4581">
        <w:rPr>
          <w:rFonts w:ascii="Arial" w:eastAsia="Calibri" w:hAnsi="Arial" w:cs="Arial"/>
          <w:bCs/>
          <w:color w:val="000000" w:themeColor="text1"/>
          <w:sz w:val="19"/>
          <w:szCs w:val="19"/>
          <w:vertAlign w:val="superscript"/>
          <w:lang w:eastAsia="en-US"/>
        </w:rPr>
        <w:footnoteReference w:id="7"/>
      </w:r>
      <w:r w:rsidRPr="004E4581">
        <w:rPr>
          <w:rFonts w:ascii="Arial" w:eastAsia="Calibri" w:hAnsi="Arial" w:cs="Arial"/>
          <w:color w:val="000000" w:themeColor="text1"/>
          <w:sz w:val="22"/>
          <w:szCs w:val="22"/>
          <w:lang w:val="es-MX" w:eastAsia="en-US"/>
        </w:rPr>
        <w:t>.</w:t>
      </w:r>
      <w:r w:rsidR="00900A23">
        <w:rPr>
          <w:rFonts w:ascii="Arial" w:eastAsia="Calibri" w:hAnsi="Arial" w:cs="Arial"/>
          <w:color w:val="000000" w:themeColor="text1"/>
          <w:sz w:val="22"/>
          <w:szCs w:val="22"/>
          <w:lang w:val="es-MX" w:eastAsia="en-US"/>
        </w:rPr>
        <w:t xml:space="preserve"> Teniendo en cuenta lo anterior, </w:t>
      </w:r>
      <w:bookmarkEnd w:id="12"/>
      <w:bookmarkEnd w:id="13"/>
      <w:bookmarkEnd w:id="15"/>
      <w:r w:rsidR="00900A23">
        <w:rPr>
          <w:rFonts w:ascii="Arial" w:eastAsia="Arial" w:hAnsi="Arial" w:cs="Arial"/>
          <w:color w:val="000000" w:themeColor="text1"/>
          <w:sz w:val="22"/>
          <w:szCs w:val="22"/>
          <w:lang w:val="es-ES" w:eastAsia="es-ES" w:bidi="es-ES"/>
        </w:rPr>
        <w:t>l</w:t>
      </w:r>
      <w:r w:rsidRPr="004E4581">
        <w:rPr>
          <w:rFonts w:ascii="Arial" w:eastAsia="Arial" w:hAnsi="Arial" w:cs="Arial"/>
          <w:color w:val="000000" w:themeColor="text1"/>
          <w:sz w:val="22"/>
          <w:szCs w:val="22"/>
          <w:lang w:val="es-ES" w:eastAsia="es-ES" w:bidi="es-ES"/>
        </w:rPr>
        <w:t>a Sala de Consulta y Servicio Civil del Consejo de Estado ha aclarado la distinción en la aplicación de las prohibiciones de la Ley 996 de 2005, dependiendo del tipo de elección que se trate, así</w:t>
      </w:r>
      <w:r w:rsidRPr="004E4581">
        <w:rPr>
          <w:rFonts w:ascii="Arial" w:eastAsia="Arial" w:hAnsi="Arial" w:cs="Arial"/>
          <w:color w:val="000000" w:themeColor="text1"/>
          <w:sz w:val="21"/>
          <w:szCs w:val="21"/>
          <w:vertAlign w:val="superscript"/>
          <w:lang w:val="es-ES" w:eastAsia="es-ES" w:bidi="es-ES"/>
        </w:rPr>
        <w:footnoteReference w:id="8"/>
      </w:r>
      <w:r w:rsidRPr="004E4581">
        <w:rPr>
          <w:rFonts w:ascii="Arial" w:eastAsia="Arial" w:hAnsi="Arial" w:cs="Arial"/>
          <w:color w:val="000000" w:themeColor="text1"/>
          <w:sz w:val="22"/>
          <w:szCs w:val="22"/>
          <w:lang w:val="es-ES" w:eastAsia="es-ES" w:bidi="es-ES"/>
        </w:rPr>
        <w:t>:</w:t>
      </w:r>
    </w:p>
    <w:p w14:paraId="01678F88" w14:textId="77777777" w:rsidR="00917720" w:rsidRPr="004E4581" w:rsidRDefault="00917720" w:rsidP="00917720">
      <w:pPr>
        <w:widowControl w:val="0"/>
        <w:autoSpaceDE w:val="0"/>
        <w:autoSpaceDN w:val="0"/>
        <w:ind w:left="805" w:right="812"/>
        <w:jc w:val="both"/>
        <w:rPr>
          <w:rFonts w:ascii="Arial" w:eastAsia="Arial" w:hAnsi="Arial" w:cs="Arial"/>
          <w:color w:val="000000" w:themeColor="text1"/>
          <w:sz w:val="22"/>
          <w:szCs w:val="22"/>
          <w:lang w:val="es-ES" w:eastAsia="es-ES" w:bidi="es-ES"/>
        </w:rPr>
      </w:pPr>
    </w:p>
    <w:p w14:paraId="7CF9F585" w14:textId="77777777" w:rsidR="00917720" w:rsidRPr="004E4581" w:rsidRDefault="00917720" w:rsidP="00917720">
      <w:pPr>
        <w:widowControl w:val="0"/>
        <w:autoSpaceDE w:val="0"/>
        <w:autoSpaceDN w:val="0"/>
        <w:ind w:left="805" w:right="812"/>
        <w:jc w:val="both"/>
        <w:rPr>
          <w:rFonts w:ascii="Arial" w:eastAsia="Arial" w:hAnsi="Arial" w:cs="Arial"/>
          <w:color w:val="000000" w:themeColor="text1"/>
          <w:sz w:val="21"/>
          <w:szCs w:val="21"/>
          <w:lang w:val="es-ES" w:eastAsia="es-ES" w:bidi="es-ES"/>
        </w:rPr>
      </w:pPr>
      <w:r w:rsidRPr="004E4581">
        <w:rPr>
          <w:rFonts w:ascii="Arial" w:eastAsia="Arial" w:hAnsi="Arial" w:cs="Arial"/>
          <w:color w:val="000000" w:themeColor="text1"/>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6" w:name="_Hlk76109421"/>
      <w:r w:rsidRPr="004E4581">
        <w:rPr>
          <w:rFonts w:ascii="Arial" w:eastAsia="Arial" w:hAnsi="Arial" w:cs="Arial"/>
          <w:color w:val="000000" w:themeColor="text1"/>
          <w:sz w:val="21"/>
          <w:szCs w:val="21"/>
          <w:lang w:val="es-ES" w:eastAsia="es-ES" w:bidi="es-ES"/>
        </w:rPr>
        <w:t>se integran parcialmente</w:t>
      </w:r>
      <w:bookmarkEnd w:id="16"/>
      <w:r w:rsidRPr="004E4581">
        <w:rPr>
          <w:rFonts w:ascii="Arial" w:eastAsia="Arial" w:hAnsi="Arial" w:cs="Arial"/>
          <w:color w:val="000000" w:themeColor="text1"/>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E4581">
        <w:rPr>
          <w:rFonts w:ascii="Arial" w:eastAsia="Arial" w:hAnsi="Arial" w:cs="Arial"/>
          <w:bCs/>
          <w:i/>
          <w:iCs/>
          <w:color w:val="000000" w:themeColor="text1"/>
          <w:sz w:val="21"/>
          <w:szCs w:val="21"/>
          <w:lang w:val="es-ES" w:eastAsia="es-ES" w:bidi="es-ES"/>
        </w:rPr>
        <w:t xml:space="preserve">En cambio, para </w:t>
      </w:r>
      <w:r w:rsidRPr="004E4581">
        <w:rPr>
          <w:rFonts w:ascii="Arial" w:eastAsia="Arial" w:hAnsi="Arial" w:cs="Arial"/>
          <w:bCs/>
          <w:i/>
          <w:iCs/>
          <w:color w:val="000000" w:themeColor="text1"/>
          <w:sz w:val="21"/>
          <w:szCs w:val="21"/>
          <w:lang w:val="es-ES" w:eastAsia="es-ES" w:bidi="es-ES"/>
        </w:rPr>
        <w:lastRenderedPageBreak/>
        <w:t>elecciones en general, excluyendo las correspondientes a Presidente de la República, a las autoridades territoriales allí mencionadas sólo se aplican las restricciones contenidas en el parágrafo del artículo 38</w:t>
      </w:r>
      <w:r w:rsidRPr="004E4581">
        <w:rPr>
          <w:rFonts w:ascii="Arial" w:eastAsia="Arial" w:hAnsi="Arial" w:cs="Arial"/>
          <w:color w:val="000000" w:themeColor="text1"/>
          <w:sz w:val="21"/>
          <w:szCs w:val="21"/>
          <w:lang w:val="es-ES" w:eastAsia="es-ES" w:bidi="es-ES"/>
        </w:rPr>
        <w:t>.</w:t>
      </w:r>
      <w:r w:rsidRPr="004E4581">
        <w:rPr>
          <w:rFonts w:ascii="Arial" w:eastAsia="Arial" w:hAnsi="Arial" w:cs="Arial"/>
          <w:color w:val="000000" w:themeColor="text1"/>
          <w:position w:val="8"/>
          <w:sz w:val="21"/>
          <w:szCs w:val="21"/>
          <w:lang w:val="es-ES" w:eastAsia="es-ES" w:bidi="es-ES"/>
        </w:rPr>
        <w:t xml:space="preserve"> </w:t>
      </w:r>
      <w:r w:rsidRPr="004E4581">
        <w:rPr>
          <w:rFonts w:ascii="Arial" w:eastAsia="Arial" w:hAnsi="Arial" w:cs="Arial"/>
          <w:color w:val="000000" w:themeColor="text1"/>
          <w:sz w:val="21"/>
          <w:szCs w:val="21"/>
          <w:lang w:val="es-ES" w:eastAsia="es-ES" w:bidi="es-ES"/>
        </w:rPr>
        <w:t>(Cursivas fuera de</w:t>
      </w:r>
      <w:r w:rsidRPr="004E4581">
        <w:rPr>
          <w:rFonts w:ascii="Arial" w:eastAsia="Arial" w:hAnsi="Arial" w:cs="Arial"/>
          <w:color w:val="000000" w:themeColor="text1"/>
          <w:spacing w:val="-42"/>
          <w:sz w:val="21"/>
          <w:szCs w:val="21"/>
          <w:lang w:val="es-ES" w:eastAsia="es-ES" w:bidi="es-ES"/>
        </w:rPr>
        <w:t xml:space="preserve"> </w:t>
      </w:r>
      <w:r w:rsidRPr="004E4581">
        <w:rPr>
          <w:rFonts w:ascii="Arial" w:eastAsia="Arial" w:hAnsi="Arial" w:cs="Arial"/>
          <w:color w:val="000000" w:themeColor="text1"/>
          <w:sz w:val="21"/>
          <w:szCs w:val="21"/>
          <w:lang w:val="es-ES" w:eastAsia="es-ES" w:bidi="es-ES"/>
        </w:rPr>
        <w:t>texto)</w:t>
      </w:r>
    </w:p>
    <w:p w14:paraId="1C4CFA76" w14:textId="77777777" w:rsidR="00917720" w:rsidRPr="004E4581" w:rsidRDefault="00917720" w:rsidP="00917720">
      <w:pPr>
        <w:widowControl w:val="0"/>
        <w:autoSpaceDE w:val="0"/>
        <w:autoSpaceDN w:val="0"/>
        <w:spacing w:before="8"/>
        <w:rPr>
          <w:rFonts w:ascii="Arial" w:eastAsia="Arial" w:hAnsi="Arial" w:cs="Arial"/>
          <w:color w:val="000000" w:themeColor="text1"/>
          <w:sz w:val="26"/>
          <w:szCs w:val="22"/>
          <w:lang w:eastAsia="es-ES" w:bidi="es-ES"/>
        </w:rPr>
      </w:pPr>
    </w:p>
    <w:p w14:paraId="5B9FC9AC" w14:textId="42E658B7" w:rsidR="0092257D" w:rsidRDefault="00917720">
      <w:pPr>
        <w:spacing w:after="120" w:line="276" w:lineRule="auto"/>
        <w:ind w:firstLine="708"/>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 xml:space="preserve">Por lo tanto, </w:t>
      </w:r>
      <w:bookmarkStart w:id="17" w:name="_Hlk75780333"/>
      <w:bookmarkStart w:id="18" w:name="_Hlk79762439"/>
      <w:r w:rsidRPr="004E4581">
        <w:rPr>
          <w:rFonts w:ascii="Arial" w:eastAsia="Arial" w:hAnsi="Arial" w:cs="Arial"/>
          <w:color w:val="000000" w:themeColor="text1"/>
          <w:sz w:val="22"/>
          <w:szCs w:val="22"/>
          <w:lang w:val="es-ES" w:eastAsia="es-ES" w:bidi="es-ES"/>
        </w:rPr>
        <w:t xml:space="preserve">la Ley 996 de 2005 regula dos tipos de restricciones en materia de contratación, </w:t>
      </w:r>
      <w:r w:rsidR="00C23926">
        <w:rPr>
          <w:rFonts w:ascii="Arial" w:eastAsia="Arial" w:hAnsi="Arial" w:cs="Arial"/>
          <w:color w:val="000000" w:themeColor="text1"/>
          <w:sz w:val="22"/>
          <w:szCs w:val="22"/>
          <w:lang w:val="es-ES" w:eastAsia="es-ES" w:bidi="es-ES"/>
        </w:rPr>
        <w:t>a saber</w:t>
      </w:r>
      <w:r w:rsidRPr="004E4581">
        <w:rPr>
          <w:rFonts w:ascii="Arial" w:eastAsia="Arial" w:hAnsi="Arial" w:cs="Arial"/>
          <w:color w:val="000000" w:themeColor="text1"/>
          <w:sz w:val="22"/>
          <w:szCs w:val="22"/>
          <w:lang w:val="es-ES" w:eastAsia="es-ES" w:bidi="es-ES"/>
        </w:rPr>
        <w:t xml:space="preserve">: </w:t>
      </w:r>
    </w:p>
    <w:p w14:paraId="50314BB8" w14:textId="19E62D17" w:rsidR="00917720" w:rsidRPr="004E4581" w:rsidRDefault="00917720" w:rsidP="00861F5C">
      <w:pPr>
        <w:spacing w:after="120" w:line="276" w:lineRule="auto"/>
        <w:ind w:firstLine="708"/>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 xml:space="preserve">i) </w:t>
      </w:r>
      <w:r w:rsidR="0092257D">
        <w:rPr>
          <w:rFonts w:ascii="Arial" w:eastAsia="Arial" w:hAnsi="Arial" w:cs="Arial"/>
          <w:color w:val="000000" w:themeColor="text1"/>
          <w:sz w:val="22"/>
          <w:szCs w:val="22"/>
          <w:lang w:val="es-ES" w:eastAsia="es-ES" w:bidi="es-ES"/>
        </w:rPr>
        <w:t>L</w:t>
      </w:r>
      <w:r w:rsidRPr="004E4581">
        <w:rPr>
          <w:rFonts w:ascii="Arial" w:eastAsia="Arial" w:hAnsi="Arial" w:cs="Arial"/>
          <w:color w:val="000000" w:themeColor="text1"/>
          <w:sz w:val="22"/>
          <w:szCs w:val="22"/>
          <w:lang w:val="es-ES" w:eastAsia="es-ES" w:bidi="es-ES"/>
        </w:rPr>
        <w:t xml:space="preserve">a del artículo 33 que opera solo respecto de las elecciones presidenciales, en virtud de la cual queda proscrita </w:t>
      </w:r>
      <w:r w:rsidRPr="004E4581">
        <w:rPr>
          <w:rFonts w:ascii="Arial" w:eastAsia="Calibri" w:hAnsi="Arial" w:cs="Arial"/>
          <w:color w:val="000000" w:themeColor="text1"/>
          <w:sz w:val="22"/>
          <w:szCs w:val="22"/>
          <w:lang w:eastAsia="en-US"/>
        </w:rPr>
        <w:t xml:space="preserve">la </w:t>
      </w:r>
      <w:r w:rsidRPr="004E4581">
        <w:rPr>
          <w:rFonts w:ascii="Arial" w:eastAsia="Calibri" w:hAnsi="Arial" w:cs="Arial"/>
          <w:i/>
          <w:iCs/>
          <w:color w:val="000000" w:themeColor="text1"/>
          <w:sz w:val="22"/>
          <w:szCs w:val="22"/>
          <w:lang w:eastAsia="en-US"/>
        </w:rPr>
        <w:t>contratación directa</w:t>
      </w:r>
      <w:r w:rsidRPr="004E4581">
        <w:rPr>
          <w:rFonts w:ascii="Arial" w:eastAsia="Calibri" w:hAnsi="Arial" w:cs="Arial"/>
          <w:color w:val="000000" w:themeColor="text1"/>
          <w:sz w:val="22"/>
          <w:szCs w:val="22"/>
          <w:lang w:eastAsia="en-US"/>
        </w:rPr>
        <w:t xml:space="preserve"> por parte de todos los entes del Estado</w:t>
      </w:r>
      <w:r w:rsidRPr="004E4581">
        <w:rPr>
          <w:rFonts w:ascii="Arial" w:eastAsia="Arial" w:hAnsi="Arial" w:cs="Arial"/>
          <w:color w:val="000000" w:themeColor="text1"/>
          <w:sz w:val="22"/>
          <w:szCs w:val="22"/>
          <w:lang w:val="es-ES" w:eastAsia="es-ES" w:bidi="es-ES"/>
        </w:rPr>
        <w:t xml:space="preserve"> dentro de los cuatro (4) meses anteriores a la celebración de los comicios, salvo las excepciones arriba señaladas –establecidas en el inciso segundo del mismo artículo–.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más altas votaciones, de conformidad con el artículo 190 de la Constitución Política, caso en el cual la restricción se extenderá hasta la fecha en la que se realice esa segunda vuelta.</w:t>
      </w:r>
    </w:p>
    <w:p w14:paraId="0E32BD4B" w14:textId="77777777" w:rsidR="00917720" w:rsidRPr="004E4581" w:rsidRDefault="00917720" w:rsidP="00917720">
      <w:pPr>
        <w:spacing w:line="276" w:lineRule="auto"/>
        <w:ind w:firstLine="708"/>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ii) La del parágrafo del artículo 38 que debe aplicarse respecto de cualquier tipo de elección, y que prohíbe la celebración de convenios interadministrativos que impliquen la ejecución de recursos públicos dentro de los cuatro (4) meses anteriores a la respectiva jornada electoral.</w:t>
      </w:r>
      <w:bookmarkEnd w:id="17"/>
    </w:p>
    <w:bookmarkEnd w:id="18"/>
    <w:p w14:paraId="639C9206" w14:textId="316D9E61" w:rsidR="0042639C" w:rsidRPr="004E4581" w:rsidRDefault="0042639C" w:rsidP="0042639C">
      <w:pPr>
        <w:spacing w:line="276" w:lineRule="auto"/>
        <w:jc w:val="both"/>
        <w:rPr>
          <w:rFonts w:ascii="Arial" w:hAnsi="Arial" w:cs="Arial"/>
          <w:b/>
          <w:color w:val="000000" w:themeColor="text1"/>
          <w:sz w:val="22"/>
        </w:rPr>
      </w:pPr>
    </w:p>
    <w:p w14:paraId="24D5EE4C" w14:textId="794DDAE9" w:rsidR="00917720" w:rsidRPr="004E4581" w:rsidRDefault="00917720" w:rsidP="00917720">
      <w:pPr>
        <w:spacing w:after="200" w:line="276" w:lineRule="auto"/>
        <w:jc w:val="both"/>
        <w:rPr>
          <w:rFonts w:ascii="Arial" w:hAnsi="Arial" w:cs="Arial"/>
          <w:b/>
          <w:bCs/>
          <w:color w:val="000000" w:themeColor="text1"/>
          <w:sz w:val="22"/>
          <w:szCs w:val="22"/>
          <w:lang w:val="es-MX" w:eastAsia="es-CO"/>
        </w:rPr>
      </w:pPr>
      <w:bookmarkStart w:id="19" w:name="_Hlk77153296"/>
      <w:r w:rsidRPr="004E4581">
        <w:rPr>
          <w:rFonts w:ascii="Arial" w:eastAsiaTheme="minorHAnsi" w:hAnsi="Arial" w:cs="Arial"/>
          <w:b/>
          <w:bCs/>
          <w:color w:val="000000" w:themeColor="text1"/>
          <w:sz w:val="22"/>
          <w:szCs w:val="22"/>
          <w:lang w:val="es-MX" w:eastAsia="en-US"/>
        </w:rPr>
        <w:t xml:space="preserve">2.3. </w:t>
      </w:r>
      <w:r w:rsidRPr="004E4581">
        <w:rPr>
          <w:rFonts w:ascii="Arial" w:hAnsi="Arial" w:cs="Arial"/>
          <w:b/>
          <w:bCs/>
          <w:color w:val="000000" w:themeColor="text1"/>
          <w:sz w:val="22"/>
          <w:szCs w:val="22"/>
          <w:lang w:val="es-MX" w:eastAsia="es-CO"/>
        </w:rPr>
        <w:t xml:space="preserve">Restricciones </w:t>
      </w:r>
      <w:bookmarkStart w:id="20" w:name="_Hlk75643279"/>
      <w:r w:rsidRPr="004E4581">
        <w:rPr>
          <w:rFonts w:ascii="Arial" w:hAnsi="Arial" w:cs="Arial"/>
          <w:b/>
          <w:bCs/>
          <w:color w:val="000000" w:themeColor="text1"/>
          <w:sz w:val="22"/>
          <w:szCs w:val="22"/>
          <w:lang w:val="es-MX" w:eastAsia="es-CO"/>
        </w:rPr>
        <w:t xml:space="preserve">para la celebración de contratos y convenios interadministrativos en los comicios de cargos de elección popular </w:t>
      </w:r>
    </w:p>
    <w:p w14:paraId="3E23A30A" w14:textId="4F13CFB4" w:rsidR="00917720" w:rsidRPr="004E4581" w:rsidRDefault="00917720" w:rsidP="00917720">
      <w:pPr>
        <w:spacing w:after="200" w:line="276" w:lineRule="auto"/>
        <w:jc w:val="both"/>
        <w:rPr>
          <w:rFonts w:ascii="Arial" w:eastAsiaTheme="minorHAnsi" w:hAnsi="Arial" w:cs="Arial"/>
          <w:color w:val="000000" w:themeColor="text1"/>
          <w:sz w:val="22"/>
          <w:szCs w:val="22"/>
          <w:lang w:val="es-MX" w:eastAsia="en-US"/>
        </w:rPr>
      </w:pPr>
      <w:r w:rsidRPr="004E4581">
        <w:rPr>
          <w:rFonts w:ascii="Arial" w:hAnsi="Arial" w:cs="Arial"/>
          <w:color w:val="000000" w:themeColor="text1"/>
          <w:sz w:val="22"/>
          <w:szCs w:val="22"/>
          <w:lang w:val="es-MX" w:eastAsia="es-CO"/>
        </w:rPr>
        <w:t>Esta Agencia se ha pronunciado en distintas ocasiones frente al alcance de la prohibición de celebrar contratos o convenios interadministrativos en el periodo preelectoral para comicios de cargos de elección popular. De forma reciente lo hizo en los Conceptos C-352 del 27 de julio de 2021 y 396 del 13 de agosto de 2021, cuyas consideraciones se reiteran y complementan a continuación:</w:t>
      </w:r>
    </w:p>
    <w:bookmarkEnd w:id="19"/>
    <w:bookmarkEnd w:id="20"/>
    <w:p w14:paraId="783290C5" w14:textId="77777777" w:rsidR="00917720" w:rsidRPr="004E4581" w:rsidRDefault="00917720" w:rsidP="00917720">
      <w:pPr>
        <w:jc w:val="both"/>
        <w:rPr>
          <w:rFonts w:ascii="Arial" w:eastAsia="Calibri" w:hAnsi="Arial" w:cs="Arial"/>
          <w:b/>
          <w:color w:val="000000" w:themeColor="text1"/>
          <w:sz w:val="22"/>
          <w:szCs w:val="22"/>
          <w:lang w:val="es-MX" w:eastAsia="en-US"/>
        </w:rPr>
      </w:pPr>
      <w:r w:rsidRPr="004E4581">
        <w:rPr>
          <w:rFonts w:ascii="Arial" w:eastAsia="Calibri" w:hAnsi="Arial" w:cs="Arial"/>
          <w:b/>
          <w:color w:val="000000" w:themeColor="text1"/>
          <w:sz w:val="22"/>
          <w:szCs w:val="22"/>
          <w:lang w:val="es-MX" w:eastAsia="en-US"/>
        </w:rPr>
        <w:t xml:space="preserve">2.3.1. </w:t>
      </w:r>
      <w:r w:rsidRPr="004E4581">
        <w:rPr>
          <w:rFonts w:ascii="Arial" w:hAnsi="Arial" w:cs="Arial"/>
          <w:b/>
          <w:bCs/>
          <w:color w:val="000000" w:themeColor="text1"/>
          <w:sz w:val="22"/>
          <w:szCs w:val="22"/>
          <w:lang w:val="es-MX" w:eastAsia="en-US"/>
        </w:rPr>
        <w:t>Los contratos y los convenios interadministrativos</w:t>
      </w:r>
    </w:p>
    <w:p w14:paraId="46E8C31D" w14:textId="77777777" w:rsidR="00917720" w:rsidRPr="004E4581" w:rsidRDefault="00917720" w:rsidP="00917720">
      <w:pPr>
        <w:widowControl w:val="0"/>
        <w:autoSpaceDE w:val="0"/>
        <w:autoSpaceDN w:val="0"/>
        <w:spacing w:line="276" w:lineRule="auto"/>
        <w:jc w:val="both"/>
        <w:rPr>
          <w:rFonts w:ascii="Arial" w:eastAsia="Calibri" w:hAnsi="Arial" w:cs="Arial"/>
          <w:b/>
          <w:color w:val="000000" w:themeColor="text1"/>
          <w:sz w:val="22"/>
          <w:szCs w:val="22"/>
          <w:lang w:val="es-MX" w:eastAsia="en-US"/>
        </w:rPr>
      </w:pPr>
    </w:p>
    <w:p w14:paraId="5E650FA1" w14:textId="17AF0DBF" w:rsidR="00E30444" w:rsidRDefault="00E30444" w:rsidP="00861F5C">
      <w:pPr>
        <w:pStyle w:val="Textoindependiente"/>
        <w:spacing w:after="0"/>
        <w:ind w:right="113"/>
        <w:jc w:val="both"/>
        <w:rPr>
          <w:rFonts w:ascii="Arial" w:hAnsi="Arial" w:cs="Arial"/>
          <w:color w:val="000000" w:themeColor="text1"/>
        </w:rPr>
      </w:pPr>
      <w:bookmarkStart w:id="21" w:name="_Hlk67426494"/>
      <w:r w:rsidRPr="004E4581">
        <w:rPr>
          <w:rFonts w:ascii="Arial" w:hAnsi="Arial" w:cs="Arial"/>
          <w:color w:val="000000" w:themeColor="text1"/>
        </w:rPr>
        <w:t>Un contrato o una convención es un acuerdo de voluntades entre dos o más partes generadora de obligaciones, ya sea de dar, hacer o no hacer algo. Dicho acuerdo es ley para los extremos de la relación contractual, por lo que solo podrá ser invalidado por su consentimiento mutuo o por causas legales</w:t>
      </w:r>
      <w:r w:rsidRPr="004E4581">
        <w:rPr>
          <w:rStyle w:val="Refdenotaalpie"/>
          <w:rFonts w:ascii="Arial" w:hAnsi="Arial" w:cs="Arial"/>
          <w:color w:val="000000" w:themeColor="text1"/>
        </w:rPr>
        <w:footnoteReference w:id="9"/>
      </w:r>
      <w:r w:rsidRPr="004E4581">
        <w:rPr>
          <w:rFonts w:ascii="Arial" w:hAnsi="Arial" w:cs="Arial"/>
          <w:color w:val="000000" w:themeColor="text1"/>
        </w:rPr>
        <w:t xml:space="preserve">. Con respecto al contrato estatal se señala que es un acuerdo de voluntades, que tiene sustantividad propia y diferente a la de los </w:t>
      </w:r>
      <w:r w:rsidRPr="004E4581">
        <w:rPr>
          <w:rFonts w:ascii="Arial" w:hAnsi="Arial" w:cs="Arial"/>
          <w:color w:val="000000" w:themeColor="text1"/>
        </w:rPr>
        <w:lastRenderedPageBreak/>
        <w:t xml:space="preserve">contratos civiles o comerciales, donde una de las partes es una entidad estatal, teniendo en cuenta lo definido en el artículo 32 de la Ley 80 de 1993: </w:t>
      </w:r>
    </w:p>
    <w:p w14:paraId="31AF215E" w14:textId="77777777" w:rsidR="00E04DD3" w:rsidRPr="004E4581" w:rsidRDefault="00E04DD3" w:rsidP="00861F5C">
      <w:pPr>
        <w:pStyle w:val="Textoindependiente"/>
        <w:spacing w:after="0"/>
        <w:ind w:right="111"/>
        <w:jc w:val="both"/>
        <w:rPr>
          <w:rFonts w:ascii="Arial" w:hAnsi="Arial" w:cs="Arial"/>
          <w:color w:val="000000" w:themeColor="text1"/>
        </w:rPr>
      </w:pPr>
    </w:p>
    <w:p w14:paraId="66156BD4" w14:textId="34FBCF17" w:rsidR="00E30444" w:rsidRDefault="00E30444" w:rsidP="00861F5C">
      <w:pPr>
        <w:pStyle w:val="Textoindependiente"/>
        <w:spacing w:after="0" w:line="240" w:lineRule="auto"/>
        <w:ind w:left="709" w:right="709"/>
        <w:jc w:val="both"/>
        <w:rPr>
          <w:rFonts w:ascii="Arial" w:hAnsi="Arial" w:cs="Arial"/>
          <w:color w:val="000000" w:themeColor="text1"/>
          <w:sz w:val="21"/>
          <w:szCs w:val="21"/>
        </w:rPr>
      </w:pPr>
      <w:r w:rsidRPr="004E4581">
        <w:rPr>
          <w:rFonts w:ascii="Arial" w:hAnsi="Arial" w:cs="Arial"/>
          <w:color w:val="000000" w:themeColor="text1"/>
          <w:sz w:val="21"/>
          <w:szCs w:val="21"/>
        </w:rPr>
        <w:t xml:space="preserve">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sidR="005B2206">
        <w:rPr>
          <w:rFonts w:ascii="Arial" w:hAnsi="Arial" w:cs="Arial"/>
          <w:color w:val="000000" w:themeColor="text1"/>
          <w:sz w:val="21"/>
          <w:szCs w:val="21"/>
        </w:rPr>
        <w:t>[</w:t>
      </w:r>
      <w:r w:rsidRPr="004E4581">
        <w:rPr>
          <w:rFonts w:ascii="Arial" w:hAnsi="Arial" w:cs="Arial"/>
          <w:color w:val="000000" w:themeColor="text1"/>
          <w:sz w:val="21"/>
          <w:szCs w:val="21"/>
        </w:rPr>
        <w:t>…</w:t>
      </w:r>
      <w:r w:rsidR="005B2206">
        <w:rPr>
          <w:rFonts w:ascii="Arial" w:hAnsi="Arial" w:cs="Arial"/>
          <w:color w:val="000000" w:themeColor="text1"/>
          <w:sz w:val="21"/>
          <w:szCs w:val="21"/>
        </w:rPr>
        <w:t>]</w:t>
      </w:r>
      <w:r w:rsidRPr="004E4581">
        <w:rPr>
          <w:rFonts w:ascii="Arial" w:hAnsi="Arial" w:cs="Arial"/>
          <w:color w:val="000000" w:themeColor="text1"/>
          <w:sz w:val="21"/>
          <w:szCs w:val="21"/>
        </w:rPr>
        <w:t>.</w:t>
      </w:r>
    </w:p>
    <w:p w14:paraId="5FDABD03" w14:textId="77777777" w:rsidR="00E04DD3" w:rsidRPr="004E4581" w:rsidRDefault="00E04DD3" w:rsidP="00861F5C">
      <w:pPr>
        <w:pStyle w:val="Textoindependiente"/>
        <w:spacing w:after="0" w:line="240" w:lineRule="auto"/>
        <w:ind w:left="709" w:right="709"/>
        <w:jc w:val="both"/>
        <w:rPr>
          <w:rFonts w:ascii="Arial" w:hAnsi="Arial" w:cs="Arial"/>
          <w:color w:val="000000" w:themeColor="text1"/>
          <w:sz w:val="21"/>
          <w:szCs w:val="21"/>
        </w:rPr>
      </w:pPr>
    </w:p>
    <w:p w14:paraId="668A2203" w14:textId="04758AB8" w:rsidR="00E30444" w:rsidRPr="005B2206" w:rsidRDefault="00E30444" w:rsidP="00E30444">
      <w:pPr>
        <w:spacing w:after="120" w:line="276" w:lineRule="auto"/>
        <w:jc w:val="both"/>
        <w:rPr>
          <w:rFonts w:ascii="Arial" w:hAnsi="Arial" w:cs="Arial"/>
          <w:color w:val="000000" w:themeColor="text1"/>
          <w:sz w:val="22"/>
          <w:szCs w:val="22"/>
        </w:rPr>
      </w:pPr>
      <w:r w:rsidRPr="004E4581">
        <w:rPr>
          <w:rFonts w:ascii="Arial" w:hAnsi="Arial" w:cs="Arial"/>
          <w:color w:val="000000" w:themeColor="text1"/>
        </w:rPr>
        <w:tab/>
      </w:r>
      <w:r w:rsidR="00353081">
        <w:rPr>
          <w:rFonts w:ascii="Arial" w:hAnsi="Arial" w:cs="Arial"/>
          <w:color w:val="000000" w:themeColor="text1"/>
          <w:sz w:val="22"/>
          <w:szCs w:val="22"/>
        </w:rPr>
        <w:t>Un sector de la doctrina,</w:t>
      </w:r>
      <w:r w:rsidRPr="004E4581">
        <w:rPr>
          <w:rFonts w:ascii="Arial" w:hAnsi="Arial" w:cs="Arial"/>
          <w:color w:val="000000" w:themeColor="text1"/>
          <w:sz w:val="22"/>
          <w:szCs w:val="22"/>
        </w:rPr>
        <w:t xml:space="preserve"> con referencia al contrato estatal</w:t>
      </w:r>
      <w:r w:rsidR="00353081">
        <w:rPr>
          <w:rFonts w:ascii="Arial" w:hAnsi="Arial" w:cs="Arial"/>
          <w:color w:val="000000" w:themeColor="text1"/>
          <w:sz w:val="22"/>
          <w:szCs w:val="22"/>
        </w:rPr>
        <w:t>, señala lo siguiente</w:t>
      </w:r>
      <w:r w:rsidRPr="004E4581">
        <w:rPr>
          <w:rFonts w:ascii="Arial" w:hAnsi="Arial" w:cs="Arial"/>
          <w:color w:val="000000" w:themeColor="text1"/>
          <w:sz w:val="22"/>
          <w:szCs w:val="22"/>
        </w:rPr>
        <w:t>: «(…) la denominación de “contrato estatal”, se acoge el criterio orgánico para su distinción, con lo cual, en adelante, sólo interesará, para determinar su naturaleza, que una de las partes del contrato sea una Entidad Estatal de la que define el artículo 2° de la Ley 80 de 1993, independientemente del régimen privado o administrativo por el que haya de regirse»</w:t>
      </w:r>
      <w:r w:rsidRPr="004E4581">
        <w:rPr>
          <w:rStyle w:val="Refdenotaalpie"/>
          <w:rFonts w:ascii="Arial" w:hAnsi="Arial" w:cs="Arial"/>
          <w:color w:val="000000" w:themeColor="text1"/>
          <w:sz w:val="22"/>
          <w:szCs w:val="22"/>
        </w:rPr>
        <w:footnoteReference w:id="10"/>
      </w:r>
      <w:r w:rsidRPr="004E4581">
        <w:rPr>
          <w:rFonts w:ascii="Arial" w:hAnsi="Arial" w:cs="Arial"/>
          <w:color w:val="000000" w:themeColor="text1"/>
          <w:sz w:val="22"/>
          <w:szCs w:val="22"/>
        </w:rPr>
        <w:t xml:space="preserve">. Este concepto parte del criterio orgánico, en </w:t>
      </w:r>
      <w:r w:rsidR="005B2206">
        <w:rPr>
          <w:rFonts w:ascii="Arial" w:hAnsi="Arial" w:cs="Arial"/>
          <w:color w:val="000000" w:themeColor="text1"/>
          <w:sz w:val="22"/>
          <w:szCs w:val="22"/>
        </w:rPr>
        <w:t xml:space="preserve">el </w:t>
      </w:r>
      <w:r w:rsidRPr="004E4581">
        <w:rPr>
          <w:rFonts w:ascii="Arial" w:hAnsi="Arial" w:cs="Arial"/>
          <w:color w:val="000000" w:themeColor="text1"/>
          <w:sz w:val="22"/>
          <w:szCs w:val="22"/>
        </w:rPr>
        <w:t xml:space="preserve">que se considera que un contrato estatal tiene esa calidad cuando una de las partes es una entidad pública. Es decir, un contrato estatal es cualquier acto jurídico generador de obligaciones que celebren las entidades estatales a las que dicha Ley se refiere, previstos en el derecho privado o derivados del ejercicio de la autonomía de la voluntad. </w:t>
      </w:r>
      <w:r w:rsidRPr="00861F5C">
        <w:rPr>
          <w:rFonts w:ascii="Arial" w:hAnsi="Arial" w:cs="Arial"/>
          <w:color w:val="000000" w:themeColor="text1"/>
          <w:sz w:val="22"/>
          <w:szCs w:val="22"/>
        </w:rPr>
        <w:t xml:space="preserve">Además, la Ley 80 de 1993 también facultó de manera expresa a las entidades estatales para celebrar contratos y los demás </w:t>
      </w:r>
      <w:r w:rsidRPr="00861F5C">
        <w:rPr>
          <w:rFonts w:ascii="Arial" w:hAnsi="Arial" w:cs="Arial"/>
          <w:i/>
          <w:color w:val="000000" w:themeColor="text1"/>
          <w:sz w:val="22"/>
          <w:szCs w:val="22"/>
        </w:rPr>
        <w:t xml:space="preserve">acuerdos que permitan la autonomía de la voluntad </w:t>
      </w:r>
      <w:r w:rsidRPr="00861F5C">
        <w:rPr>
          <w:rFonts w:ascii="Arial" w:hAnsi="Arial" w:cs="Arial"/>
          <w:color w:val="000000" w:themeColor="text1"/>
          <w:sz w:val="22"/>
          <w:szCs w:val="22"/>
        </w:rPr>
        <w:t>y requieran el cumplimiento de los fines estatales, así como la continua y eficiente prestación de servicios públicos</w:t>
      </w:r>
      <w:r w:rsidRPr="00861F5C">
        <w:rPr>
          <w:rStyle w:val="Refdenotaalpie"/>
          <w:rFonts w:ascii="Arial" w:hAnsi="Arial" w:cs="Arial"/>
          <w:color w:val="000000" w:themeColor="text1"/>
          <w:sz w:val="22"/>
          <w:szCs w:val="22"/>
        </w:rPr>
        <w:footnoteReference w:id="11"/>
      </w:r>
      <w:r w:rsidRPr="00861F5C">
        <w:rPr>
          <w:rFonts w:ascii="Arial" w:hAnsi="Arial" w:cs="Arial"/>
          <w:color w:val="000000" w:themeColor="text1"/>
          <w:sz w:val="22"/>
          <w:szCs w:val="22"/>
        </w:rPr>
        <w:t>.</w:t>
      </w:r>
    </w:p>
    <w:p w14:paraId="5C47BA2F" w14:textId="77777777" w:rsidR="00E30444" w:rsidRPr="004E4581" w:rsidRDefault="00E30444" w:rsidP="00E30444">
      <w:pPr>
        <w:pStyle w:val="Textoindependiente"/>
        <w:ind w:right="107"/>
        <w:jc w:val="both"/>
        <w:rPr>
          <w:rFonts w:ascii="Arial" w:hAnsi="Arial" w:cs="Arial"/>
          <w:color w:val="000000" w:themeColor="text1"/>
        </w:rPr>
      </w:pPr>
      <w:r w:rsidRPr="004E4581">
        <w:rPr>
          <w:rFonts w:ascii="Arial" w:hAnsi="Arial" w:cs="Arial"/>
          <w:color w:val="000000" w:themeColor="text1"/>
        </w:rPr>
        <w:tab/>
        <w:t>Lo anterior implica que las entidades estatales que se rigen por la Ley 80 de 1993, en virtud de la autonomía de la voluntad, pueden celebrar todos los acuerdos, denomínese contrato, convención, convenio, entre otros, que requieran para la materialización de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cumplimiento de los fines del Estado</w:t>
      </w:r>
      <w:r w:rsidRPr="004E4581">
        <w:rPr>
          <w:rStyle w:val="Refdenotaalpie"/>
          <w:rFonts w:ascii="Arial" w:hAnsi="Arial" w:cs="Arial"/>
          <w:color w:val="000000" w:themeColor="text1"/>
        </w:rPr>
        <w:footnoteReference w:id="12"/>
      </w:r>
      <w:r w:rsidRPr="004E4581">
        <w:rPr>
          <w:rFonts w:ascii="Arial" w:hAnsi="Arial" w:cs="Arial"/>
          <w:color w:val="000000" w:themeColor="text1"/>
        </w:rPr>
        <w:t>.</w:t>
      </w:r>
    </w:p>
    <w:p w14:paraId="6A91F897" w14:textId="2C577822" w:rsidR="00917720" w:rsidRPr="004E4581" w:rsidRDefault="005B2206" w:rsidP="00E30444">
      <w:pPr>
        <w:widowControl w:val="0"/>
        <w:autoSpaceDE w:val="0"/>
        <w:autoSpaceDN w:val="0"/>
        <w:spacing w:after="120" w:line="276" w:lineRule="auto"/>
        <w:ind w:firstLine="707"/>
        <w:jc w:val="both"/>
        <w:rPr>
          <w:rFonts w:ascii="Arial" w:eastAsia="Arial" w:hAnsi="Arial" w:cs="Arial"/>
          <w:color w:val="000000" w:themeColor="text1"/>
          <w:sz w:val="22"/>
          <w:szCs w:val="22"/>
          <w:lang w:val="es-ES" w:eastAsia="es-ES" w:bidi="es-ES"/>
        </w:rPr>
      </w:pPr>
      <w:r>
        <w:rPr>
          <w:rFonts w:ascii="Arial" w:eastAsia="Arial" w:hAnsi="Arial" w:cs="Arial"/>
          <w:color w:val="000000" w:themeColor="text1"/>
          <w:sz w:val="22"/>
          <w:szCs w:val="22"/>
          <w:lang w:val="es-ES" w:eastAsia="es-ES" w:bidi="es-ES"/>
        </w:rPr>
        <w:t xml:space="preserve">Ahora bien, </w:t>
      </w:r>
      <w:bookmarkStart w:id="22" w:name="_Hlk80948738"/>
      <w:r>
        <w:rPr>
          <w:rFonts w:ascii="Arial" w:eastAsia="Arial" w:hAnsi="Arial" w:cs="Arial"/>
          <w:color w:val="000000" w:themeColor="text1"/>
          <w:sz w:val="22"/>
          <w:szCs w:val="22"/>
          <w:lang w:val="es-ES" w:eastAsia="es-ES" w:bidi="es-ES"/>
        </w:rPr>
        <w:t>l</w:t>
      </w:r>
      <w:r w:rsidR="00917720" w:rsidRPr="004E4581">
        <w:rPr>
          <w:rFonts w:ascii="Arial" w:eastAsia="Arial" w:hAnsi="Arial" w:cs="Arial"/>
          <w:color w:val="000000" w:themeColor="text1"/>
          <w:sz w:val="22"/>
          <w:szCs w:val="22"/>
          <w:lang w:val="es-ES" w:eastAsia="es-ES" w:bidi="es-ES"/>
        </w:rPr>
        <w:t xml:space="preserve">a tipología de convenio interadministrativo fue creada en la Ley 80 de 1993. Aunque esta ley no lo definió ni desarrolló, el Decreto 1082 de 2015 califica a los convenios o contratos interadministrativos como aquella contratación entre entidades </w:t>
      </w:r>
      <w:r w:rsidR="00917720" w:rsidRPr="004E4581">
        <w:rPr>
          <w:rFonts w:ascii="Arial" w:eastAsia="Arial" w:hAnsi="Arial" w:cs="Arial"/>
          <w:color w:val="000000" w:themeColor="text1"/>
          <w:sz w:val="22"/>
          <w:szCs w:val="22"/>
          <w:lang w:val="es-ES" w:eastAsia="es-ES" w:bidi="es-ES"/>
        </w:rPr>
        <w:lastRenderedPageBreak/>
        <w:t>estatales</w:t>
      </w:r>
      <w:r w:rsidR="00917720" w:rsidRPr="004E4581">
        <w:rPr>
          <w:rFonts w:ascii="Arial" w:eastAsia="Arial" w:hAnsi="Arial" w:cs="Arial"/>
          <w:color w:val="000000" w:themeColor="text1"/>
          <w:sz w:val="22"/>
          <w:szCs w:val="22"/>
          <w:vertAlign w:val="superscript"/>
          <w:lang w:val="es-ES" w:eastAsia="es-ES" w:bidi="es-ES"/>
        </w:rPr>
        <w:footnoteReference w:id="13"/>
      </w:r>
      <w:r w:rsidR="00917720" w:rsidRPr="004E4581">
        <w:rPr>
          <w:rFonts w:ascii="Arial" w:eastAsia="Arial" w:hAnsi="Arial" w:cs="Arial"/>
          <w:color w:val="000000" w:themeColor="text1"/>
          <w:sz w:val="22"/>
          <w:szCs w:val="22"/>
          <w:lang w:val="es-ES" w:eastAsia="es-ES" w:bidi="es-ES"/>
        </w:rPr>
        <w:t xml:space="preserve">. De acuerdo con lo anterior, el contrato o el convenio interadministrativo es el acuerdo donde concurre la voluntad de dos o más personas jurídicas de derecho público con </w:t>
      </w:r>
      <w:r w:rsidR="00D126C8" w:rsidRPr="004E4581">
        <w:rPr>
          <w:rFonts w:ascii="Arial" w:eastAsia="Arial" w:hAnsi="Arial" w:cs="Arial"/>
          <w:color w:val="000000" w:themeColor="text1"/>
          <w:sz w:val="22"/>
          <w:szCs w:val="22"/>
          <w:lang w:val="es-ES" w:eastAsia="es-ES" w:bidi="es-ES"/>
        </w:rPr>
        <w:t xml:space="preserve">el propósito de cumplir </w:t>
      </w:r>
      <w:r w:rsidR="00917720" w:rsidRPr="004E4581">
        <w:rPr>
          <w:rFonts w:ascii="Arial" w:eastAsia="Arial" w:hAnsi="Arial" w:cs="Arial"/>
          <w:color w:val="000000" w:themeColor="text1"/>
          <w:sz w:val="22"/>
          <w:szCs w:val="22"/>
          <w:lang w:val="es-ES" w:eastAsia="es-ES" w:bidi="es-ES"/>
        </w:rPr>
        <w:t>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00917720" w:rsidRPr="004E4581">
        <w:rPr>
          <w:rFonts w:ascii="Arial" w:eastAsia="Arial" w:hAnsi="Arial" w:cs="Arial"/>
          <w:color w:val="000000" w:themeColor="text1"/>
          <w:spacing w:val="-6"/>
          <w:sz w:val="22"/>
          <w:szCs w:val="22"/>
          <w:lang w:val="es-ES" w:eastAsia="es-ES" w:bidi="es-ES"/>
        </w:rPr>
        <w:t xml:space="preserve"> </w:t>
      </w:r>
      <w:r w:rsidR="00917720" w:rsidRPr="004E4581">
        <w:rPr>
          <w:rFonts w:ascii="Arial" w:eastAsia="Arial" w:hAnsi="Arial" w:cs="Arial"/>
          <w:color w:val="000000" w:themeColor="text1"/>
          <w:sz w:val="22"/>
          <w:szCs w:val="22"/>
          <w:lang w:val="es-ES" w:eastAsia="es-ES" w:bidi="es-ES"/>
        </w:rPr>
        <w:t>estatales.</w:t>
      </w:r>
    </w:p>
    <w:bookmarkEnd w:id="21"/>
    <w:bookmarkEnd w:id="22"/>
    <w:p w14:paraId="7CFA9683" w14:textId="11C3A21B" w:rsidR="00917720" w:rsidRPr="004E4581" w:rsidRDefault="00917720" w:rsidP="00917720">
      <w:pPr>
        <w:widowControl w:val="0"/>
        <w:autoSpaceDE w:val="0"/>
        <w:autoSpaceDN w:val="0"/>
        <w:spacing w:after="120" w:line="276" w:lineRule="auto"/>
        <w:ind w:firstLine="707"/>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 xml:space="preserve">Si bien los contratos o convenios interadministrativos están previstos en el Estatuto General de Contratación de la Administración Pública </w:t>
      </w:r>
      <w:r w:rsidR="003650AA">
        <w:rPr>
          <w:rFonts w:ascii="Arial" w:eastAsia="Arial" w:hAnsi="Arial" w:cs="Arial"/>
          <w:color w:val="000000" w:themeColor="text1"/>
          <w:sz w:val="22"/>
          <w:szCs w:val="22"/>
          <w:lang w:val="es-ES" w:eastAsia="es-ES" w:bidi="es-ES"/>
        </w:rPr>
        <w:t xml:space="preserve">–en adelante también EGCAP– </w:t>
      </w:r>
      <w:r w:rsidRPr="004E4581">
        <w:rPr>
          <w:rFonts w:ascii="Arial" w:eastAsia="Arial" w:hAnsi="Arial" w:cs="Arial"/>
          <w:color w:val="000000" w:themeColor="text1"/>
          <w:sz w:val="22"/>
          <w:szCs w:val="22"/>
          <w:lang w:val="es-ES" w:eastAsia="es-ES" w:bidi="es-ES"/>
        </w:rPr>
        <w:t>y en el Decreto 1082 de 2015, no quiere decir que solo puedan celebrarse entre entidades estatales que apliquen el régimen de contratación allí previsto. Esto en la medida que una entidad estatal sometida a la Ley 80 de 1993 puede celebrar esta clase de convenios con una entidad estatal de régimen especial y no por ello dejará de ser un contrato o convenio interadministrativo.</w:t>
      </w:r>
    </w:p>
    <w:p w14:paraId="346D21BE" w14:textId="77777777" w:rsidR="00917720" w:rsidRPr="004E4581" w:rsidRDefault="00917720" w:rsidP="00917720">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Un contrato o convenio interadministrativo no está determinado por la modalidad de selección utilizada para celebrarlo. En efecto,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E4581">
        <w:rPr>
          <w:rFonts w:ascii="Arial" w:eastAsia="Arial" w:hAnsi="Arial" w:cs="Arial"/>
          <w:color w:val="000000" w:themeColor="text1"/>
          <w:sz w:val="22"/>
          <w:szCs w:val="22"/>
          <w:vertAlign w:val="superscript"/>
          <w:lang w:val="es-ES" w:eastAsia="es-ES" w:bidi="es-ES"/>
        </w:rPr>
        <w:footnoteReference w:id="14"/>
      </w:r>
      <w:r w:rsidRPr="004E4581">
        <w:rPr>
          <w:rFonts w:ascii="Arial" w:eastAsia="Arial" w:hAnsi="Arial" w:cs="Arial"/>
          <w:color w:val="000000" w:themeColor="text1"/>
          <w:sz w:val="22"/>
          <w:szCs w:val="22"/>
          <w:lang w:val="es-ES" w:eastAsia="es-ES" w:bidi="es-ES"/>
        </w:rPr>
        <w:t>. Nótese que, en este caso, lo que cambia es la modalidad de selección, no la naturaleza de contrato</w:t>
      </w:r>
      <w:r w:rsidRPr="004E4581">
        <w:rPr>
          <w:rFonts w:ascii="Arial" w:eastAsia="Arial" w:hAnsi="Arial" w:cs="Arial"/>
          <w:color w:val="000000" w:themeColor="text1"/>
          <w:spacing w:val="-18"/>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interadministrativo.</w:t>
      </w:r>
    </w:p>
    <w:p w14:paraId="59B43D21" w14:textId="77777777" w:rsidR="00917720" w:rsidRPr="004E4581" w:rsidRDefault="00917720" w:rsidP="00917720">
      <w:pPr>
        <w:widowControl w:val="0"/>
        <w:autoSpaceDE w:val="0"/>
        <w:autoSpaceDN w:val="0"/>
        <w:spacing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 xml:space="preserve">En armonía con lo anterior, 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w:t>
      </w:r>
      <w:r w:rsidRPr="004E4581">
        <w:rPr>
          <w:rFonts w:ascii="Arial" w:eastAsia="Arial" w:hAnsi="Arial" w:cs="Arial"/>
          <w:color w:val="000000" w:themeColor="text1"/>
          <w:sz w:val="22"/>
          <w:szCs w:val="22"/>
          <w:lang w:val="es-ES" w:eastAsia="es-ES" w:bidi="es-ES"/>
        </w:rPr>
        <w:lastRenderedPageBreak/>
        <w:t>orgánico, por lo que uno de sus elementos esenciales es que en los extremos de la relación jurídico negocial concurran personas de derecho público. Adicionalmente, el Consejo de Estado ha indicado, frente a los contratos y convenios interadministrativos sus características,</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señalando que:</w:t>
      </w:r>
    </w:p>
    <w:p w14:paraId="729A0349" w14:textId="77777777" w:rsidR="00917720" w:rsidRPr="004E4581" w:rsidRDefault="00917720" w:rsidP="00917720">
      <w:pPr>
        <w:widowControl w:val="0"/>
        <w:autoSpaceDE w:val="0"/>
        <w:autoSpaceDN w:val="0"/>
        <w:spacing w:line="276" w:lineRule="auto"/>
        <w:ind w:firstLine="707"/>
        <w:jc w:val="both"/>
        <w:rPr>
          <w:rFonts w:ascii="Arial" w:eastAsia="Arial" w:hAnsi="Arial" w:cs="Arial"/>
          <w:color w:val="000000" w:themeColor="text1"/>
          <w:sz w:val="22"/>
          <w:szCs w:val="22"/>
          <w:lang w:val="es-ES" w:eastAsia="es-ES" w:bidi="es-ES"/>
        </w:rPr>
      </w:pPr>
    </w:p>
    <w:p w14:paraId="197D01BB" w14:textId="77777777" w:rsidR="00917720" w:rsidRPr="004E4581" w:rsidRDefault="00917720" w:rsidP="00917720">
      <w:pPr>
        <w:spacing w:after="120"/>
        <w:ind w:left="709" w:right="709"/>
        <w:jc w:val="both"/>
        <w:rPr>
          <w:rFonts w:ascii="Arial" w:eastAsia="Calibri" w:hAnsi="Arial" w:cs="Arial"/>
          <w:color w:val="000000" w:themeColor="text1"/>
          <w:sz w:val="21"/>
          <w:szCs w:val="22"/>
          <w:lang w:val="es-MX" w:eastAsia="en-US"/>
        </w:rPr>
      </w:pPr>
      <w:r w:rsidRPr="004E4581">
        <w:rPr>
          <w:rFonts w:ascii="Arial" w:eastAsia="Calibri" w:hAnsi="Arial" w:cs="Arial"/>
          <w:color w:val="000000" w:themeColor="text1"/>
          <w:sz w:val="21"/>
          <w:szCs w:val="22"/>
          <w:lang w:val="es-MX" w:eastAsia="en-US"/>
        </w:rPr>
        <w:t>[…] se puede señalar que los convenios o contratos interadministrativos tienen como características principales las siguientes:</w:t>
      </w:r>
    </w:p>
    <w:p w14:paraId="6BB8204C" w14:textId="17299C04" w:rsidR="00917720" w:rsidRPr="004E4581" w:rsidRDefault="00917720" w:rsidP="00917720">
      <w:pPr>
        <w:ind w:left="709" w:right="709"/>
        <w:jc w:val="both"/>
        <w:rPr>
          <w:rFonts w:ascii="Arial" w:eastAsia="Calibri" w:hAnsi="Arial" w:cs="Arial"/>
          <w:color w:val="000000" w:themeColor="text1"/>
          <w:sz w:val="21"/>
          <w:szCs w:val="22"/>
          <w:lang w:val="es-MX" w:eastAsia="en-US"/>
        </w:rPr>
      </w:pPr>
      <w:r w:rsidRPr="004E4581">
        <w:rPr>
          <w:rFonts w:ascii="Arial" w:eastAsia="Calibri" w:hAnsi="Arial" w:cs="Arial"/>
          <w:color w:val="000000" w:themeColor="text1"/>
          <w:sz w:val="21"/>
          <w:szCs w:val="22"/>
          <w:lang w:val="es-MX" w:eastAsia="en-US"/>
        </w:rPr>
        <w:t>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00282D16">
        <w:rPr>
          <w:rStyle w:val="Refdenotaalpie"/>
          <w:rFonts w:ascii="Arial" w:eastAsia="Calibri" w:hAnsi="Arial" w:cs="Arial"/>
          <w:color w:val="000000" w:themeColor="text1"/>
          <w:sz w:val="21"/>
          <w:szCs w:val="22"/>
          <w:lang w:val="es-MX" w:eastAsia="en-US"/>
        </w:rPr>
        <w:footnoteReference w:id="15"/>
      </w:r>
      <w:r w:rsidRPr="004E4581">
        <w:rPr>
          <w:rFonts w:ascii="Arial" w:eastAsia="Calibri" w:hAnsi="Arial" w:cs="Arial"/>
          <w:color w:val="000000" w:themeColor="text1"/>
          <w:sz w:val="21"/>
          <w:szCs w:val="22"/>
          <w:lang w:val="es-MX" w:eastAsia="en-US"/>
        </w:rPr>
        <w:t>.</w:t>
      </w:r>
    </w:p>
    <w:p w14:paraId="11BBFAC0" w14:textId="77777777" w:rsidR="00917720" w:rsidRPr="004E4581" w:rsidRDefault="00917720" w:rsidP="00917720">
      <w:pPr>
        <w:widowControl w:val="0"/>
        <w:autoSpaceDE w:val="0"/>
        <w:autoSpaceDN w:val="0"/>
        <w:rPr>
          <w:rFonts w:ascii="Arial" w:eastAsia="Arial" w:hAnsi="Arial" w:cs="Arial"/>
          <w:color w:val="000000" w:themeColor="text1"/>
          <w:sz w:val="22"/>
          <w:szCs w:val="22"/>
          <w:lang w:val="es-ES" w:eastAsia="es-ES" w:bidi="es-ES"/>
        </w:rPr>
      </w:pPr>
    </w:p>
    <w:p w14:paraId="5A31CE28" w14:textId="50CDC02A" w:rsidR="00917720" w:rsidRPr="004E4581" w:rsidRDefault="00917720" w:rsidP="00861F5C">
      <w:pPr>
        <w:widowControl w:val="0"/>
        <w:autoSpaceDE w:val="0"/>
        <w:autoSpaceDN w:val="0"/>
        <w:spacing w:line="276" w:lineRule="auto"/>
        <w:ind w:firstLine="707"/>
        <w:jc w:val="both"/>
        <w:rPr>
          <w:rFonts w:ascii="Arial" w:eastAsia="Arial" w:hAnsi="Arial" w:cs="Arial"/>
          <w:color w:val="000000" w:themeColor="text1"/>
          <w:sz w:val="21"/>
          <w:szCs w:val="22"/>
          <w:lang w:val="es-ES" w:eastAsia="es-ES" w:bidi="es-ES"/>
        </w:rPr>
      </w:pPr>
      <w:r w:rsidRPr="004E4581">
        <w:rPr>
          <w:rFonts w:ascii="Arial" w:eastAsia="Arial" w:hAnsi="Arial" w:cs="Arial"/>
          <w:color w:val="000000" w:themeColor="text1"/>
          <w:sz w:val="22"/>
          <w:szCs w:val="22"/>
          <w:lang w:val="es-ES" w:eastAsia="es-ES" w:bidi="es-ES"/>
        </w:rPr>
        <w:t>En ese sentido, los convenios</w:t>
      </w:r>
      <w:r w:rsidR="003650AA">
        <w:rPr>
          <w:rFonts w:ascii="Arial" w:eastAsia="Arial" w:hAnsi="Arial" w:cs="Arial"/>
          <w:color w:val="000000" w:themeColor="text1"/>
          <w:sz w:val="22"/>
          <w:szCs w:val="22"/>
          <w:lang w:val="es-ES" w:eastAsia="es-ES" w:bidi="es-ES"/>
        </w:rPr>
        <w:t xml:space="preserve"> o contratos</w:t>
      </w:r>
      <w:r w:rsidRPr="004E4581">
        <w:rPr>
          <w:rFonts w:ascii="Arial" w:eastAsia="Arial" w:hAnsi="Arial" w:cs="Arial"/>
          <w:color w:val="000000" w:themeColor="text1"/>
          <w:sz w:val="22"/>
          <w:szCs w:val="22"/>
          <w:lang w:val="es-ES" w:eastAsia="es-ES" w:bidi="es-ES"/>
        </w:rPr>
        <w:t xml:space="preserve"> interadministrativos se caracterizan por los sujetos que intervienen </w:t>
      </w:r>
      <w:r w:rsidR="003650AA">
        <w:rPr>
          <w:rFonts w:ascii="Arial" w:eastAsia="Arial" w:hAnsi="Arial" w:cs="Arial"/>
          <w:color w:val="000000" w:themeColor="text1"/>
          <w:sz w:val="22"/>
          <w:szCs w:val="22"/>
          <w:lang w:val="es-ES" w:eastAsia="es-ES" w:bidi="es-ES"/>
        </w:rPr>
        <w:t xml:space="preserve">en su celebración. Además de lo anterior, </w:t>
      </w:r>
      <w:r w:rsidRPr="004E4581">
        <w:rPr>
          <w:rFonts w:ascii="Arial" w:eastAsia="Arial" w:hAnsi="Arial" w:cs="Arial"/>
          <w:color w:val="000000" w:themeColor="text1"/>
          <w:sz w:val="22"/>
          <w:szCs w:val="22"/>
          <w:lang w:val="es-ES" w:eastAsia="es-ES" w:bidi="es-ES"/>
        </w:rPr>
        <w:t>el Estatuto General de Contratación de la Administración Pública establece la contratación directa como la modalidad de selección aplicable, por regla general, para la celebración de los contratos interadministrativos.</w:t>
      </w:r>
      <w:r w:rsidR="003650AA">
        <w:rPr>
          <w:rFonts w:ascii="Arial" w:eastAsia="Arial" w:hAnsi="Arial" w:cs="Arial"/>
          <w:color w:val="000000" w:themeColor="text1"/>
          <w:sz w:val="22"/>
          <w:szCs w:val="22"/>
          <w:lang w:val="es-ES" w:eastAsia="es-ES" w:bidi="es-ES"/>
        </w:rPr>
        <w:t xml:space="preserve"> En este sentido, l</w:t>
      </w:r>
      <w:r w:rsidRPr="004E4581">
        <w:rPr>
          <w:rFonts w:ascii="Arial" w:eastAsia="Arial" w:hAnsi="Arial" w:cs="Arial"/>
          <w:color w:val="000000" w:themeColor="text1"/>
          <w:sz w:val="22"/>
          <w:szCs w:val="22"/>
          <w:lang w:val="es-ES" w:eastAsia="es-ES" w:bidi="es-ES"/>
        </w:rPr>
        <w:t xml:space="preserve">a contratación directa es una modalidad de aplicación restrictiva en el </w:t>
      </w:r>
      <w:r w:rsidR="003650AA">
        <w:rPr>
          <w:rFonts w:ascii="Arial" w:eastAsia="Arial" w:hAnsi="Arial" w:cs="Arial"/>
          <w:color w:val="000000" w:themeColor="text1"/>
          <w:sz w:val="22"/>
          <w:szCs w:val="22"/>
          <w:lang w:val="es-ES" w:eastAsia="es-ES" w:bidi="es-ES"/>
        </w:rPr>
        <w:t>EGCAP</w:t>
      </w:r>
      <w:r w:rsidRPr="004E4581">
        <w:rPr>
          <w:rFonts w:ascii="Arial" w:eastAsia="Arial" w:hAnsi="Arial" w:cs="Arial"/>
          <w:color w:val="000000" w:themeColor="text1"/>
          <w:sz w:val="22"/>
          <w:szCs w:val="22"/>
          <w:lang w:val="es-ES" w:eastAsia="es-ES" w:bidi="es-ES"/>
        </w:rPr>
        <w:t xml:space="preserve">, esto es, solo procede por las causales señaladas taxativamente en el numeral 4 del artículo 2 de la Ley 1150 de 2007 o las leyes que lo modifiquen o adicionen, teniendo en cuenta que es una excepción al principio de libre concurrencia que aplica a los procedimientos de contratación, para que cualquier persona interesada en satisfacer la necesidad de una entidad pueda presentar una oferta. </w:t>
      </w:r>
    </w:p>
    <w:p w14:paraId="43BEBA0F" w14:textId="0051E746" w:rsidR="00917720" w:rsidRPr="004E4581" w:rsidRDefault="003650AA" w:rsidP="00917720">
      <w:pPr>
        <w:widowControl w:val="0"/>
        <w:autoSpaceDE w:val="0"/>
        <w:autoSpaceDN w:val="0"/>
        <w:spacing w:before="120" w:after="120" w:line="276" w:lineRule="auto"/>
        <w:ind w:firstLine="709"/>
        <w:jc w:val="both"/>
        <w:rPr>
          <w:rFonts w:ascii="Arial" w:eastAsia="Arial" w:hAnsi="Arial" w:cs="Arial"/>
          <w:color w:val="000000" w:themeColor="text1"/>
          <w:sz w:val="22"/>
          <w:szCs w:val="22"/>
          <w:lang w:val="es-ES" w:eastAsia="es-ES" w:bidi="es-ES"/>
        </w:rPr>
      </w:pPr>
      <w:r>
        <w:rPr>
          <w:rFonts w:ascii="Arial" w:eastAsia="Arial" w:hAnsi="Arial" w:cs="Arial"/>
          <w:color w:val="000000" w:themeColor="text1"/>
          <w:sz w:val="22"/>
          <w:szCs w:val="22"/>
          <w:lang w:val="es-ES" w:eastAsia="es-ES" w:bidi="es-ES"/>
        </w:rPr>
        <w:t>De esta manera</w:t>
      </w:r>
      <w:r w:rsidR="00917720" w:rsidRPr="004E4581">
        <w:rPr>
          <w:rFonts w:ascii="Arial" w:eastAsia="Arial" w:hAnsi="Arial" w:cs="Arial"/>
          <w:color w:val="000000" w:themeColor="text1"/>
          <w:sz w:val="22"/>
          <w:szCs w:val="22"/>
          <w:lang w:val="es-ES" w:eastAsia="es-ES" w:bidi="es-ES"/>
        </w:rPr>
        <w:t xml:space="preserve">, el artículo 2, numeral 4, literal c), de la Ley 1150 de 2007, </w:t>
      </w:r>
      <w:r w:rsidR="00D126C8" w:rsidRPr="004E4581">
        <w:rPr>
          <w:rFonts w:ascii="Arial" w:eastAsia="Arial" w:hAnsi="Arial" w:cs="Arial"/>
          <w:color w:val="000000" w:themeColor="text1"/>
          <w:sz w:val="22"/>
          <w:szCs w:val="22"/>
          <w:lang w:val="es-ES" w:eastAsia="es-ES" w:bidi="es-ES"/>
        </w:rPr>
        <w:t xml:space="preserve">dispone </w:t>
      </w:r>
      <w:r w:rsidR="00917720" w:rsidRPr="004E4581">
        <w:rPr>
          <w:rFonts w:ascii="Arial" w:eastAsia="Arial" w:hAnsi="Arial" w:cs="Arial"/>
          <w:color w:val="000000" w:themeColor="text1"/>
          <w:sz w:val="22"/>
          <w:szCs w:val="22"/>
          <w:lang w:val="es-ES" w:eastAsia="es-ES" w:bidi="es-ES"/>
        </w:rPr>
        <w:t>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w:t>
      </w:r>
      <w:r w:rsidR="00D126C8" w:rsidRPr="004E4581">
        <w:rPr>
          <w:rFonts w:ascii="Arial" w:eastAsia="Arial" w:hAnsi="Arial" w:cs="Arial"/>
          <w:color w:val="000000" w:themeColor="text1"/>
          <w:sz w:val="22"/>
          <w:szCs w:val="22"/>
          <w:lang w:val="es-ES" w:eastAsia="es-ES" w:bidi="es-ES"/>
        </w:rPr>
        <w:t>,</w:t>
      </w:r>
      <w:r w:rsidR="00917720" w:rsidRPr="004E4581">
        <w:rPr>
          <w:rFonts w:ascii="Arial" w:eastAsia="Arial" w:hAnsi="Arial" w:cs="Arial"/>
          <w:color w:val="000000" w:themeColor="text1"/>
          <w:sz w:val="22"/>
          <w:szCs w:val="22"/>
          <w:lang w:val="es-ES" w:eastAsia="es-ES" w:bidi="es-ES"/>
        </w:rPr>
        <w:t xml:space="preserve"> de conformidad respecto </w:t>
      </w:r>
      <w:r w:rsidR="00D126C8" w:rsidRPr="004E4581">
        <w:rPr>
          <w:rFonts w:ascii="Arial" w:eastAsia="Arial" w:hAnsi="Arial" w:cs="Arial"/>
          <w:color w:val="000000" w:themeColor="text1"/>
          <w:sz w:val="22"/>
          <w:szCs w:val="22"/>
          <w:lang w:val="es-ES" w:eastAsia="es-ES" w:bidi="es-ES"/>
        </w:rPr>
        <w:t>a</w:t>
      </w:r>
      <w:r w:rsidR="00917720" w:rsidRPr="004E4581">
        <w:rPr>
          <w:rFonts w:ascii="Arial" w:eastAsia="Arial" w:hAnsi="Arial" w:cs="Arial"/>
          <w:color w:val="000000" w:themeColor="text1"/>
          <w:sz w:val="22"/>
          <w:szCs w:val="22"/>
          <w:lang w:val="es-ES" w:eastAsia="es-ES" w:bidi="es-ES"/>
        </w:rPr>
        <w:t xml:space="preserve"> las normas o </w:t>
      </w:r>
      <w:r w:rsidR="00917720" w:rsidRPr="004E4581">
        <w:rPr>
          <w:rFonts w:ascii="Arial" w:eastAsia="Arial" w:hAnsi="Arial" w:cs="Arial"/>
          <w:color w:val="000000" w:themeColor="text1"/>
          <w:sz w:val="22"/>
          <w:szCs w:val="22"/>
          <w:lang w:val="es-ES" w:eastAsia="es-ES" w:bidi="es-ES"/>
        </w:rPr>
        <w:lastRenderedPageBreak/>
        <w:t>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selección</w:t>
      </w:r>
      <w:r w:rsidR="00917720" w:rsidRPr="004E4581">
        <w:rPr>
          <w:rFonts w:ascii="Arial" w:eastAsia="Arial" w:hAnsi="Arial" w:cs="Arial"/>
          <w:color w:val="000000" w:themeColor="text1"/>
          <w:spacing w:val="-4"/>
          <w:sz w:val="22"/>
          <w:szCs w:val="22"/>
          <w:lang w:val="es-ES" w:eastAsia="es-ES" w:bidi="es-ES"/>
        </w:rPr>
        <w:t xml:space="preserve"> </w:t>
      </w:r>
      <w:r w:rsidR="00917720" w:rsidRPr="004E4581">
        <w:rPr>
          <w:rFonts w:ascii="Arial" w:eastAsia="Arial" w:hAnsi="Arial" w:cs="Arial"/>
          <w:color w:val="000000" w:themeColor="text1"/>
          <w:sz w:val="22"/>
          <w:szCs w:val="22"/>
          <w:lang w:val="es-ES" w:eastAsia="es-ES" w:bidi="es-ES"/>
        </w:rPr>
        <w:t>abreviada o mínima cuantía, dependiendo del caso</w:t>
      </w:r>
      <w:r w:rsidR="00917720" w:rsidRPr="004E4581">
        <w:rPr>
          <w:rFonts w:ascii="Arial" w:eastAsia="Arial" w:hAnsi="Arial" w:cs="Arial"/>
          <w:color w:val="000000" w:themeColor="text1"/>
          <w:sz w:val="22"/>
          <w:szCs w:val="22"/>
          <w:vertAlign w:val="superscript"/>
          <w:lang w:val="es-ES" w:eastAsia="es-ES" w:bidi="es-ES"/>
        </w:rPr>
        <w:footnoteReference w:id="16"/>
      </w:r>
      <w:r w:rsidR="00917720" w:rsidRPr="004E4581">
        <w:rPr>
          <w:rFonts w:ascii="Arial" w:eastAsia="Arial" w:hAnsi="Arial" w:cs="Arial"/>
          <w:color w:val="000000" w:themeColor="text1"/>
          <w:sz w:val="22"/>
          <w:szCs w:val="22"/>
          <w:lang w:val="es-ES" w:eastAsia="es-ES" w:bidi="es-ES"/>
        </w:rPr>
        <w:t>.</w:t>
      </w:r>
    </w:p>
    <w:p w14:paraId="06F4B003" w14:textId="77777777" w:rsidR="00917720" w:rsidRPr="004E4581" w:rsidRDefault="00917720" w:rsidP="00917720">
      <w:pPr>
        <w:widowControl w:val="0"/>
        <w:autoSpaceDE w:val="0"/>
        <w:autoSpaceDN w:val="0"/>
        <w:spacing w:before="117" w:line="276" w:lineRule="auto"/>
        <w:ind w:firstLine="707"/>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tipologías</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contractuales</w:t>
      </w:r>
      <w:r w:rsidRPr="004E4581">
        <w:rPr>
          <w:rFonts w:ascii="Arial" w:eastAsia="Arial" w:hAnsi="Arial" w:cs="Arial"/>
          <w:color w:val="000000" w:themeColor="text1"/>
          <w:spacing w:val="14"/>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sean</w:t>
      </w:r>
      <w:r w:rsidRPr="004E4581">
        <w:rPr>
          <w:rFonts w:ascii="Arial" w:eastAsia="Arial" w:hAnsi="Arial" w:cs="Arial"/>
          <w:color w:val="000000" w:themeColor="text1"/>
          <w:spacing w:val="11"/>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ejecutadas</w:t>
      </w:r>
      <w:r w:rsidRPr="004E4581">
        <w:rPr>
          <w:rFonts w:ascii="Arial" w:eastAsia="Arial" w:hAnsi="Arial" w:cs="Arial"/>
          <w:color w:val="000000" w:themeColor="text1"/>
          <w:spacing w:val="14"/>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por</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las</w:t>
      </w:r>
      <w:r w:rsidRPr="004E4581">
        <w:rPr>
          <w:rFonts w:ascii="Arial" w:eastAsia="Arial" w:hAnsi="Arial" w:cs="Arial"/>
          <w:color w:val="000000" w:themeColor="text1"/>
          <w:spacing w:val="13"/>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entidades</w:t>
      </w:r>
      <w:r w:rsidRPr="004E4581">
        <w:rPr>
          <w:rFonts w:ascii="Arial" w:eastAsia="Arial" w:hAnsi="Arial" w:cs="Arial"/>
          <w:color w:val="000000" w:themeColor="text1"/>
          <w:spacing w:val="12"/>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estatales</w:t>
      </w:r>
      <w:r w:rsidRPr="004E4581">
        <w:rPr>
          <w:rFonts w:ascii="Arial" w:eastAsia="Arial" w:hAnsi="Arial" w:cs="Arial"/>
          <w:color w:val="000000" w:themeColor="text1"/>
          <w:spacing w:val="11"/>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previstas</w:t>
      </w:r>
      <w:r w:rsidRPr="004E4581">
        <w:rPr>
          <w:rFonts w:ascii="Arial" w:eastAsia="Arial" w:hAnsi="Arial" w:cs="Arial"/>
          <w:color w:val="000000" w:themeColor="text1"/>
          <w:spacing w:val="18"/>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en la noma mencionada.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74111F67" w14:textId="74E5E155" w:rsidR="00917720" w:rsidRPr="004E4581" w:rsidRDefault="006A5DEE" w:rsidP="00917720">
      <w:pPr>
        <w:widowControl w:val="0"/>
        <w:autoSpaceDE w:val="0"/>
        <w:autoSpaceDN w:val="0"/>
        <w:spacing w:before="119" w:line="276" w:lineRule="auto"/>
        <w:ind w:firstLine="707"/>
        <w:jc w:val="both"/>
        <w:rPr>
          <w:rFonts w:ascii="Arial" w:eastAsia="Arial" w:hAnsi="Arial" w:cs="Arial"/>
          <w:color w:val="000000" w:themeColor="text1"/>
          <w:sz w:val="22"/>
          <w:szCs w:val="22"/>
          <w:lang w:val="es-ES" w:eastAsia="es-ES" w:bidi="es-ES"/>
        </w:rPr>
      </w:pPr>
      <w:bookmarkStart w:id="23" w:name="_Hlk79764042"/>
      <w:r>
        <w:rPr>
          <w:rFonts w:ascii="Arial" w:eastAsia="Arial" w:hAnsi="Arial" w:cs="Arial"/>
          <w:color w:val="000000" w:themeColor="text1"/>
          <w:sz w:val="22"/>
          <w:szCs w:val="22"/>
          <w:lang w:val="es-ES" w:eastAsia="es-ES" w:bidi="es-ES"/>
        </w:rPr>
        <w:t>De otro lado, es importante señalar que la</w:t>
      </w:r>
      <w:r w:rsidR="00917720" w:rsidRPr="004E4581">
        <w:rPr>
          <w:rFonts w:ascii="Arial" w:eastAsia="Arial" w:hAnsi="Arial" w:cs="Arial"/>
          <w:color w:val="000000" w:themeColor="text1"/>
          <w:sz w:val="22"/>
          <w:szCs w:val="22"/>
          <w:lang w:val="es-ES" w:eastAsia="es-ES" w:bidi="es-ES"/>
        </w:rPr>
        <w:t xml:space="preserve">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w:t>
      </w:r>
      <w:r w:rsidR="00D126C8" w:rsidRPr="004E4581">
        <w:rPr>
          <w:rFonts w:ascii="Arial" w:eastAsia="Arial" w:hAnsi="Arial" w:cs="Arial"/>
          <w:color w:val="000000" w:themeColor="text1"/>
          <w:sz w:val="22"/>
          <w:szCs w:val="22"/>
          <w:lang w:val="es-ES" w:eastAsia="es-ES" w:bidi="es-ES"/>
        </w:rPr>
        <w:t>,</w:t>
      </w:r>
      <w:r w:rsidR="00917720" w:rsidRPr="004E4581">
        <w:rPr>
          <w:rFonts w:ascii="Arial" w:eastAsia="Arial" w:hAnsi="Arial" w:cs="Arial"/>
          <w:color w:val="000000" w:themeColor="text1"/>
          <w:sz w:val="22"/>
          <w:szCs w:val="22"/>
          <w:lang w:val="es-ES" w:eastAsia="es-ES" w:bidi="es-ES"/>
        </w:rPr>
        <w:t xml:space="preserve"> donde sea posible la participación </w:t>
      </w:r>
      <w:r>
        <w:rPr>
          <w:rFonts w:ascii="Arial" w:eastAsia="Arial" w:hAnsi="Arial" w:cs="Arial"/>
          <w:color w:val="000000" w:themeColor="text1"/>
          <w:sz w:val="22"/>
          <w:szCs w:val="22"/>
          <w:lang w:val="es-ES" w:eastAsia="es-ES" w:bidi="es-ES"/>
        </w:rPr>
        <w:t xml:space="preserve">abierta </w:t>
      </w:r>
      <w:r w:rsidR="00917720" w:rsidRPr="004E4581">
        <w:rPr>
          <w:rFonts w:ascii="Arial" w:eastAsia="Arial" w:hAnsi="Arial" w:cs="Arial"/>
          <w:color w:val="000000" w:themeColor="text1"/>
          <w:sz w:val="22"/>
          <w:szCs w:val="22"/>
          <w:lang w:val="es-ES" w:eastAsia="es-ES" w:bidi="es-ES"/>
        </w:rPr>
        <w:t>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por la calidad de entidades</w:t>
      </w:r>
      <w:r w:rsidR="00917720" w:rsidRPr="004E4581">
        <w:rPr>
          <w:rFonts w:ascii="Arial" w:eastAsia="Arial" w:hAnsi="Arial" w:cs="Arial"/>
          <w:color w:val="000000" w:themeColor="text1"/>
          <w:spacing w:val="-3"/>
          <w:sz w:val="22"/>
          <w:szCs w:val="22"/>
          <w:lang w:val="es-ES" w:eastAsia="es-ES" w:bidi="es-ES"/>
        </w:rPr>
        <w:t xml:space="preserve"> </w:t>
      </w:r>
      <w:r w:rsidR="00917720" w:rsidRPr="004E4581">
        <w:rPr>
          <w:rFonts w:ascii="Arial" w:eastAsia="Arial" w:hAnsi="Arial" w:cs="Arial"/>
          <w:color w:val="000000" w:themeColor="text1"/>
          <w:sz w:val="22"/>
          <w:szCs w:val="22"/>
          <w:lang w:val="es-ES" w:eastAsia="es-ES" w:bidi="es-ES"/>
        </w:rPr>
        <w:t>estatales.</w:t>
      </w:r>
    </w:p>
    <w:bookmarkEnd w:id="23"/>
    <w:p w14:paraId="4FEEBB16" w14:textId="77777777" w:rsidR="00917720" w:rsidRPr="004E4581" w:rsidRDefault="00917720" w:rsidP="00917720">
      <w:pPr>
        <w:widowControl w:val="0"/>
        <w:autoSpaceDE w:val="0"/>
        <w:autoSpaceDN w:val="0"/>
        <w:spacing w:before="120"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lastRenderedPageBreak/>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E4581">
        <w:rPr>
          <w:rFonts w:ascii="Arial" w:eastAsia="Arial" w:hAnsi="Arial" w:cs="Arial"/>
          <w:color w:val="000000" w:themeColor="text1"/>
          <w:spacing w:val="-4"/>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estatales.</w:t>
      </w:r>
    </w:p>
    <w:p w14:paraId="148C20D3" w14:textId="541D3688" w:rsidR="00917720" w:rsidRPr="004E4581" w:rsidRDefault="00917720" w:rsidP="00917720">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Igualmente, es necesario tener en cuenta que el Código Civil, en el artículo 1495, equipara las instituciones analizadas al disponer que «</w:t>
      </w:r>
      <w:r w:rsidRPr="004E4581">
        <w:rPr>
          <w:rFonts w:ascii="Arial" w:eastAsia="Arial" w:hAnsi="Arial" w:cs="Arial"/>
          <w:i/>
          <w:color w:val="000000" w:themeColor="text1"/>
          <w:sz w:val="22"/>
          <w:szCs w:val="22"/>
          <w:lang w:val="es-ES" w:eastAsia="es-ES" w:bidi="es-ES"/>
        </w:rPr>
        <w:t xml:space="preserve">contrato o convención </w:t>
      </w:r>
      <w:r w:rsidRPr="004E4581">
        <w:rPr>
          <w:rFonts w:ascii="Arial" w:eastAsia="Arial" w:hAnsi="Arial" w:cs="Arial"/>
          <w:color w:val="000000" w:themeColor="text1"/>
          <w:sz w:val="22"/>
          <w:szCs w:val="22"/>
          <w:lang w:val="es-ES" w:eastAsia="es-ES" w:bidi="es-ES"/>
        </w:rPr>
        <w:t xml:space="preserve">es un acto por el cual una parte se obliga para con otra a dar, hacer o no hacer alguna cosa […]» (Énfasis fuera de texto). </w:t>
      </w:r>
      <w:r w:rsidR="00D126C8" w:rsidRPr="004E4581">
        <w:rPr>
          <w:rFonts w:ascii="Arial" w:eastAsia="Arial" w:hAnsi="Arial" w:cs="Arial"/>
          <w:color w:val="000000" w:themeColor="text1"/>
          <w:sz w:val="22"/>
          <w:szCs w:val="22"/>
          <w:lang w:val="es-ES" w:eastAsia="es-ES" w:bidi="es-ES"/>
        </w:rPr>
        <w:t xml:space="preserve">De este modo, se concluye que </w:t>
      </w:r>
      <w:r w:rsidRPr="004E4581">
        <w:rPr>
          <w:rFonts w:ascii="Arial" w:eastAsia="Arial" w:hAnsi="Arial" w:cs="Arial"/>
          <w:color w:val="000000" w:themeColor="text1"/>
          <w:sz w:val="22"/>
          <w:szCs w:val="22"/>
          <w:lang w:val="es-ES" w:eastAsia="es-ES" w:bidi="es-ES"/>
        </w:rPr>
        <w:t xml:space="preserve">no existe diferencia sustancial entre contrato y convención en el derecho privado. Por tanto, si dicho régimen jurídico es aplicable a la contratación estatal, tampoco es procedente hacer distinción en la actividad contractual de las entidades públicas cuando celebran contratos y convenios interadministrativos. </w:t>
      </w:r>
    </w:p>
    <w:p w14:paraId="5ED3EC5B" w14:textId="4AA3772F" w:rsidR="00917720" w:rsidRPr="004E4581" w:rsidRDefault="00917720" w:rsidP="00917720">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Por tanto, aunque el artículo 95 de la Ley 489 de 1998 dispone que «Las entidades públicas podrán asociarse</w:t>
      </w:r>
      <w:r w:rsidR="00E30444" w:rsidRPr="004E4581">
        <w:rPr>
          <w:rFonts w:ascii="Arial" w:eastAsia="Arial" w:hAnsi="Arial" w:cs="Arial"/>
          <w:color w:val="000000" w:themeColor="text1"/>
          <w:sz w:val="22"/>
          <w:szCs w:val="22"/>
          <w:lang w:val="es-ES" w:eastAsia="es-ES" w:bidi="es-ES"/>
        </w:rPr>
        <w:t>,</w:t>
      </w:r>
      <w:r w:rsidRPr="004E4581">
        <w:rPr>
          <w:rFonts w:ascii="Arial" w:eastAsia="Arial" w:hAnsi="Arial" w:cs="Arial"/>
          <w:color w:val="000000" w:themeColor="text1"/>
          <w:sz w:val="22"/>
          <w:szCs w:val="22"/>
          <w:lang w:val="es-ES" w:eastAsia="es-ES" w:bidi="es-ES"/>
        </w:rPr>
        <w:t xml:space="preserv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w:t>
      </w:r>
      <w:r w:rsidR="00E30444" w:rsidRPr="004E4581">
        <w:rPr>
          <w:rFonts w:ascii="Arial" w:eastAsia="Arial" w:hAnsi="Arial" w:cs="Arial"/>
          <w:color w:val="000000" w:themeColor="text1"/>
          <w:sz w:val="22"/>
          <w:szCs w:val="22"/>
          <w:lang w:val="es-ES" w:eastAsia="es-ES" w:bidi="es-ES"/>
        </w:rPr>
        <w:t>:</w:t>
      </w:r>
      <w:r w:rsidRPr="004E4581">
        <w:rPr>
          <w:rFonts w:ascii="Arial" w:eastAsia="Arial" w:hAnsi="Arial" w:cs="Arial"/>
          <w:color w:val="000000" w:themeColor="text1"/>
          <w:sz w:val="22"/>
          <w:szCs w:val="22"/>
          <w:lang w:val="es-ES" w:eastAsia="es-ES" w:bidi="es-ES"/>
        </w:rPr>
        <w:t xml:space="preserv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E4581">
        <w:rPr>
          <w:rFonts w:ascii="Arial" w:eastAsia="Arial" w:hAnsi="Arial" w:cs="Arial"/>
          <w:color w:val="000000" w:themeColor="text1"/>
          <w:spacing w:val="-4"/>
          <w:sz w:val="22"/>
          <w:szCs w:val="22"/>
          <w:lang w:val="es-ES" w:eastAsia="es-ES" w:bidi="es-ES"/>
        </w:rPr>
        <w:t xml:space="preserve"> </w:t>
      </w:r>
      <w:r w:rsidRPr="004E4581">
        <w:rPr>
          <w:rFonts w:ascii="Arial" w:eastAsia="Arial" w:hAnsi="Arial" w:cs="Arial"/>
          <w:color w:val="000000" w:themeColor="text1"/>
          <w:sz w:val="22"/>
          <w:szCs w:val="22"/>
          <w:lang w:val="es-ES" w:eastAsia="es-ES" w:bidi="es-ES"/>
        </w:rPr>
        <w:t>[…]»</w:t>
      </w:r>
      <w:r w:rsidRPr="004E4581">
        <w:rPr>
          <w:rFonts w:ascii="Arial" w:eastAsia="Arial" w:hAnsi="Arial" w:cs="Arial"/>
          <w:color w:val="000000" w:themeColor="text1"/>
          <w:sz w:val="22"/>
          <w:szCs w:val="22"/>
          <w:vertAlign w:val="superscript"/>
          <w:lang w:val="es-ES" w:eastAsia="es-ES" w:bidi="es-ES"/>
        </w:rPr>
        <w:footnoteReference w:id="17"/>
      </w:r>
      <w:r w:rsidRPr="004E4581">
        <w:rPr>
          <w:rFonts w:ascii="Arial" w:eastAsia="Arial" w:hAnsi="Arial" w:cs="Arial"/>
          <w:color w:val="000000" w:themeColor="text1"/>
          <w:sz w:val="22"/>
          <w:szCs w:val="22"/>
          <w:lang w:val="es-ES" w:eastAsia="es-ES" w:bidi="es-ES"/>
        </w:rPr>
        <w:t>.</w:t>
      </w:r>
    </w:p>
    <w:p w14:paraId="031F579F" w14:textId="2EC86123" w:rsidR="00917720" w:rsidRPr="004E4581" w:rsidRDefault="00917720" w:rsidP="00917720">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w:t>
      </w:r>
      <w:r w:rsidR="00E30444" w:rsidRPr="004E4581">
        <w:rPr>
          <w:rFonts w:ascii="Arial" w:eastAsia="Arial" w:hAnsi="Arial" w:cs="Arial"/>
          <w:color w:val="000000" w:themeColor="text1"/>
          <w:sz w:val="22"/>
          <w:szCs w:val="22"/>
          <w:lang w:val="es-ES" w:eastAsia="es-ES" w:bidi="es-ES"/>
        </w:rPr>
        <w:t xml:space="preserve"> en</w:t>
      </w:r>
      <w:r w:rsidRPr="004E4581">
        <w:rPr>
          <w:rFonts w:ascii="Arial" w:eastAsia="Arial" w:hAnsi="Arial" w:cs="Arial"/>
          <w:color w:val="000000" w:themeColor="text1"/>
          <w:sz w:val="22"/>
          <w:szCs w:val="22"/>
          <w:lang w:val="es-ES" w:eastAsia="es-ES" w:bidi="es-ES"/>
        </w:rPr>
        <w:t xml:space="preserve"> sentencia del 14 de junio de 2019 expresó:</w:t>
      </w:r>
    </w:p>
    <w:p w14:paraId="64712C33" w14:textId="77777777" w:rsidR="00917720" w:rsidRPr="004E4581" w:rsidRDefault="00917720" w:rsidP="00917720">
      <w:pPr>
        <w:widowControl w:val="0"/>
        <w:autoSpaceDE w:val="0"/>
        <w:autoSpaceDN w:val="0"/>
        <w:spacing w:line="276" w:lineRule="auto"/>
        <w:ind w:firstLine="709"/>
        <w:jc w:val="both"/>
        <w:rPr>
          <w:rFonts w:ascii="Arial" w:eastAsia="Arial" w:hAnsi="Arial" w:cs="Arial"/>
          <w:color w:val="000000" w:themeColor="text1"/>
          <w:sz w:val="22"/>
          <w:szCs w:val="22"/>
          <w:lang w:val="es-ES" w:eastAsia="es-ES" w:bidi="es-ES"/>
        </w:rPr>
      </w:pPr>
    </w:p>
    <w:p w14:paraId="64B99EA2" w14:textId="77777777" w:rsidR="00917720" w:rsidRPr="004E4581" w:rsidRDefault="00917720" w:rsidP="00917720">
      <w:pPr>
        <w:ind w:left="709" w:right="709"/>
        <w:jc w:val="both"/>
        <w:rPr>
          <w:rFonts w:ascii="Arial" w:eastAsia="Calibri" w:hAnsi="Arial" w:cs="Arial"/>
          <w:color w:val="000000" w:themeColor="text1"/>
          <w:sz w:val="21"/>
          <w:szCs w:val="21"/>
          <w:lang w:val="es-ES_tradnl" w:eastAsia="en-US"/>
        </w:rPr>
      </w:pPr>
      <w:r w:rsidRPr="004E4581">
        <w:rPr>
          <w:rFonts w:ascii="Arial" w:eastAsia="Calibri" w:hAnsi="Arial" w:cs="Arial"/>
          <w:color w:val="000000" w:themeColor="text1"/>
          <w:sz w:val="21"/>
          <w:szCs w:val="21"/>
          <w:lang w:val="es-ES_tradnl" w:eastAsia="en-US"/>
        </w:rPr>
        <w:lastRenderedPageBreak/>
        <w:t>La Sala de Consulta y Servicio Civil</w:t>
      </w:r>
      <w:r w:rsidRPr="004E4581">
        <w:rPr>
          <w:rFonts w:ascii="Arial" w:eastAsia="Calibri" w:hAnsi="Arial" w:cs="Arial"/>
          <w:color w:val="000000" w:themeColor="text1"/>
          <w:sz w:val="21"/>
          <w:szCs w:val="21"/>
          <w:vertAlign w:val="superscript"/>
          <w:lang w:val="es-ES_tradnl" w:eastAsia="en-US"/>
        </w:rPr>
        <w:footnoteReference w:id="18"/>
      </w:r>
      <w:r w:rsidRPr="004E4581">
        <w:rPr>
          <w:rFonts w:ascii="Arial" w:eastAsia="Calibri" w:hAnsi="Arial" w:cs="Arial"/>
          <w:color w:val="000000" w:themeColor="text1"/>
          <w:sz w:val="21"/>
          <w:szCs w:val="21"/>
          <w:lang w:val="es-ES_tradnl" w:eastAsia="en-US"/>
        </w:rPr>
        <w:t xml:space="preserve"> de esta Corporación se ha referido a los </w:t>
      </w:r>
      <w:r w:rsidRPr="004E4581">
        <w:rPr>
          <w:rFonts w:ascii="Arial" w:eastAsia="Calibri" w:hAnsi="Arial" w:cs="Arial"/>
          <w:i/>
          <w:color w:val="000000" w:themeColor="text1"/>
          <w:sz w:val="21"/>
          <w:szCs w:val="21"/>
          <w:lang w:val="es-ES_tradnl" w:eastAsia="en-US"/>
        </w:rPr>
        <w:t>“convenios interadministrativos”</w:t>
      </w:r>
      <w:r w:rsidRPr="004E4581">
        <w:rPr>
          <w:rFonts w:ascii="Arial" w:eastAsia="Calibri" w:hAnsi="Arial" w:cs="Arial"/>
          <w:color w:val="000000" w:themeColor="text1"/>
          <w:sz w:val="21"/>
          <w:szCs w:val="21"/>
          <w:lang w:val="es-ES_tradnl" w:eastAsia="en-US"/>
        </w:rPr>
        <w:t xml:space="preserve"> a los cuales alude el artículo 95 de la Ley 489 de 1998, calificándolos de </w:t>
      </w:r>
      <w:r w:rsidRPr="004E4581">
        <w:rPr>
          <w:rFonts w:ascii="Arial" w:eastAsia="Calibri" w:hAnsi="Arial" w:cs="Arial"/>
          <w:i/>
          <w:color w:val="000000" w:themeColor="text1"/>
          <w:sz w:val="21"/>
          <w:szCs w:val="21"/>
          <w:lang w:val="es-ES_tradnl" w:eastAsia="en-US"/>
        </w:rPr>
        <w:t xml:space="preserve">“puros” </w:t>
      </w:r>
      <w:r w:rsidRPr="004E4581">
        <w:rPr>
          <w:rFonts w:ascii="Arial" w:eastAsia="Calibri" w:hAnsi="Arial" w:cs="Arial"/>
          <w:color w:val="000000" w:themeColor="text1"/>
          <w:sz w:val="21"/>
          <w:szCs w:val="21"/>
          <w:lang w:val="es-ES_tradnl" w:eastAsia="en-US"/>
        </w:rPr>
        <w:t xml:space="preserve">y entendiendo que estos, además de perseguir la finalidad de cooperación antes indicada, no implican intereses contrapuestos ni tampoco se circunscriben a un </w:t>
      </w:r>
      <w:r w:rsidRPr="004E4581">
        <w:rPr>
          <w:rFonts w:ascii="Arial" w:eastAsia="Calibri" w:hAnsi="Arial" w:cs="Arial"/>
          <w:i/>
          <w:color w:val="000000" w:themeColor="text1"/>
          <w:sz w:val="21"/>
          <w:szCs w:val="21"/>
          <w:lang w:val="es-ES_tradnl" w:eastAsia="en-US"/>
        </w:rPr>
        <w:t>“intercambio patrimonial”</w:t>
      </w:r>
      <w:r w:rsidRPr="004E4581">
        <w:rPr>
          <w:rFonts w:ascii="Arial" w:eastAsia="Calibri" w:hAnsi="Arial" w:cs="Arial"/>
          <w:color w:val="000000" w:themeColor="text1"/>
          <w:sz w:val="21"/>
          <w:szCs w:val="21"/>
          <w:lang w:val="es-ES_tradnl" w:eastAsia="en-US"/>
        </w:rPr>
        <w:t>. Sin perjuicio de lo anterior, en otra oportunidad, la misma Sala</w:t>
      </w:r>
      <w:r w:rsidRPr="004E4581">
        <w:rPr>
          <w:rFonts w:ascii="Arial" w:eastAsia="Calibri" w:hAnsi="Arial" w:cs="Arial"/>
          <w:color w:val="000000" w:themeColor="text1"/>
          <w:sz w:val="21"/>
          <w:szCs w:val="21"/>
          <w:vertAlign w:val="superscript"/>
          <w:lang w:val="es-ES_tradnl" w:eastAsia="en-US"/>
        </w:rPr>
        <w:footnoteReference w:id="19"/>
      </w:r>
      <w:r w:rsidRPr="004E4581">
        <w:rPr>
          <w:rFonts w:ascii="Arial" w:eastAsia="Calibri" w:hAnsi="Arial" w:cs="Arial"/>
          <w:color w:val="000000" w:themeColor="text1"/>
          <w:sz w:val="21"/>
          <w:szCs w:val="21"/>
          <w:lang w:val="es-ES_tradnl" w:eastAsia="en-US"/>
        </w:rPr>
        <w:t xml:space="preserve"> había indicado que, si bien en dichos convenios no se daba un </w:t>
      </w:r>
      <w:r w:rsidRPr="004E4581">
        <w:rPr>
          <w:rFonts w:ascii="Arial" w:eastAsia="Calibri" w:hAnsi="Arial" w:cs="Arial"/>
          <w:i/>
          <w:color w:val="000000" w:themeColor="text1"/>
          <w:sz w:val="21"/>
          <w:szCs w:val="21"/>
          <w:lang w:val="es-ES_tradnl" w:eastAsia="en-US"/>
        </w:rPr>
        <w:t>“verdadero intercambio de bienes o servicios (contrato conmutativo)”</w:t>
      </w:r>
      <w:r w:rsidRPr="004E4581">
        <w:rPr>
          <w:rFonts w:ascii="Arial" w:eastAsia="Calibri" w:hAnsi="Arial" w:cs="Arial"/>
          <w:color w:val="000000" w:themeColor="text1"/>
          <w:sz w:val="21"/>
          <w:szCs w:val="21"/>
          <w:lang w:val="es-ES_tradnl" w:eastAsia="en-US"/>
        </w:rPr>
        <w:t>, ello no impedía que se conviniera una remuneración a cargo de alguna(s) entidad(es).</w:t>
      </w:r>
    </w:p>
    <w:p w14:paraId="4007923B" w14:textId="77777777" w:rsidR="00917720" w:rsidRPr="004E4581" w:rsidRDefault="00917720" w:rsidP="00917720">
      <w:pPr>
        <w:ind w:left="709" w:right="709"/>
        <w:jc w:val="both"/>
        <w:rPr>
          <w:rFonts w:ascii="Arial" w:eastAsia="Calibri" w:hAnsi="Arial" w:cs="Arial"/>
          <w:color w:val="000000" w:themeColor="text1"/>
          <w:sz w:val="21"/>
          <w:szCs w:val="21"/>
          <w:lang w:val="es-ES_tradnl" w:eastAsia="en-US"/>
        </w:rPr>
      </w:pPr>
    </w:p>
    <w:p w14:paraId="7D81B20E" w14:textId="77777777" w:rsidR="00917720" w:rsidRPr="004E4581" w:rsidRDefault="00917720" w:rsidP="00917720">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4E4581">
        <w:rPr>
          <w:rFonts w:ascii="Arial" w:eastAsia="Arial" w:hAnsi="Arial" w:cs="Arial"/>
          <w:color w:val="000000" w:themeColor="text1"/>
          <w:sz w:val="21"/>
          <w:szCs w:val="21"/>
          <w:lang w:val="es-ES_tradnl" w:eastAsia="es-ES" w:bidi="es-ES"/>
        </w:rPr>
        <w:t xml:space="preserve">Lo expuesto evidencia que, en general, las interpretaciones en torno a los </w:t>
      </w:r>
      <w:r w:rsidRPr="004E4581">
        <w:rPr>
          <w:rFonts w:ascii="Arial" w:eastAsia="Arial" w:hAnsi="Arial" w:cs="Arial"/>
          <w:i/>
          <w:color w:val="000000" w:themeColor="text1"/>
          <w:sz w:val="21"/>
          <w:szCs w:val="21"/>
          <w:lang w:val="es-ES_tradnl" w:eastAsia="es-ES" w:bidi="es-ES"/>
        </w:rPr>
        <w:t>“convenios interadministrativos”</w:t>
      </w:r>
      <w:r w:rsidRPr="004E4581">
        <w:rPr>
          <w:rFonts w:ascii="Arial" w:eastAsia="Arial" w:hAnsi="Arial" w:cs="Arial"/>
          <w:color w:val="000000" w:themeColor="text1"/>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E4581">
        <w:rPr>
          <w:rFonts w:ascii="Arial" w:eastAsia="Arial" w:hAnsi="Arial" w:cs="Arial"/>
          <w:color w:val="000000" w:themeColor="text1"/>
          <w:sz w:val="21"/>
          <w:szCs w:val="21"/>
          <w:vertAlign w:val="superscript"/>
          <w:lang w:val="es-ES_tradnl" w:eastAsia="es-ES" w:bidi="es-ES"/>
        </w:rPr>
        <w:footnoteReference w:id="20"/>
      </w:r>
      <w:r w:rsidRPr="004E4581">
        <w:rPr>
          <w:rFonts w:ascii="Arial" w:eastAsia="Arial" w:hAnsi="Arial" w:cs="Arial"/>
          <w:color w:val="000000" w:themeColor="text1"/>
          <w:sz w:val="21"/>
          <w:szCs w:val="21"/>
          <w:vertAlign w:val="superscript"/>
          <w:lang w:val="es-ES_tradnl" w:eastAsia="es-ES" w:bidi="es-ES"/>
        </w:rPr>
        <w:footnoteReference w:id="21"/>
      </w:r>
      <w:r w:rsidRPr="004E4581">
        <w:rPr>
          <w:rFonts w:ascii="Arial" w:eastAsia="Arial" w:hAnsi="Arial" w:cs="Arial"/>
          <w:color w:val="000000" w:themeColor="text1"/>
          <w:sz w:val="21"/>
          <w:szCs w:val="21"/>
          <w:lang w:val="es-ES_tradnl" w:eastAsia="es-ES" w:bidi="es-ES"/>
        </w:rPr>
        <w:t>.</w:t>
      </w:r>
    </w:p>
    <w:p w14:paraId="7398AE01" w14:textId="77777777" w:rsidR="00917720" w:rsidRPr="004E4581" w:rsidRDefault="00917720" w:rsidP="00917720">
      <w:pPr>
        <w:widowControl w:val="0"/>
        <w:autoSpaceDE w:val="0"/>
        <w:autoSpaceDN w:val="0"/>
        <w:spacing w:line="276" w:lineRule="auto"/>
        <w:jc w:val="both"/>
        <w:rPr>
          <w:rFonts w:ascii="Arial" w:eastAsia="Arial" w:hAnsi="Arial" w:cs="Arial"/>
          <w:color w:val="000000" w:themeColor="text1"/>
          <w:sz w:val="22"/>
          <w:szCs w:val="22"/>
          <w:lang w:val="es-ES" w:eastAsia="es-ES" w:bidi="es-ES"/>
        </w:rPr>
      </w:pPr>
    </w:p>
    <w:p w14:paraId="4358645C" w14:textId="77777777" w:rsidR="00917720" w:rsidRPr="004E4581" w:rsidRDefault="00917720" w:rsidP="00917720">
      <w:pPr>
        <w:widowControl w:val="0"/>
        <w:autoSpaceDE w:val="0"/>
        <w:autoSpaceDN w:val="0"/>
        <w:spacing w:after="120" w:line="276" w:lineRule="auto"/>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ab/>
        <w:t>Sin embargo, es preciso reiterar que el legislador y el ordenamiento jurídico, en general, en diferentes ocasiones utiliza de forma indistinta los conceptos de contrato o convenio para referirse a la misma institución jurídica</w:t>
      </w:r>
      <w:r w:rsidRPr="004E4581">
        <w:rPr>
          <w:rFonts w:ascii="Arial" w:eastAsia="Arial" w:hAnsi="Arial" w:cs="Arial"/>
          <w:color w:val="000000" w:themeColor="text1"/>
          <w:sz w:val="22"/>
          <w:szCs w:val="22"/>
          <w:vertAlign w:val="superscript"/>
          <w:lang w:val="es-ES" w:eastAsia="es-ES" w:bidi="es-ES"/>
        </w:rPr>
        <w:footnoteReference w:id="22"/>
      </w:r>
      <w:r w:rsidRPr="004E4581">
        <w:rPr>
          <w:rFonts w:ascii="Arial" w:eastAsia="Arial" w:hAnsi="Arial" w:cs="Arial"/>
          <w:color w:val="000000" w:themeColor="text1"/>
          <w:sz w:val="22"/>
          <w:szCs w:val="22"/>
          <w:lang w:val="es-ES" w:eastAsia="es-ES" w:bidi="es-ES"/>
        </w:rPr>
        <w:t xml:space="preserve">. Incluso vale la pena tener en cuenta </w:t>
      </w:r>
      <w:r w:rsidRPr="004E4581">
        <w:rPr>
          <w:rFonts w:ascii="Arial" w:eastAsia="Arial" w:hAnsi="Arial" w:cs="Arial"/>
          <w:color w:val="000000" w:themeColor="text1"/>
          <w:sz w:val="22"/>
          <w:szCs w:val="22"/>
          <w:lang w:val="es-ES" w:eastAsia="es-ES" w:bidi="es-ES"/>
        </w:rPr>
        <w:lastRenderedPageBreak/>
        <w:t>como la Corte Constitucional fundamenta la posibilidad de celebrar convenios interadministrativos de forma directa, con fundamento en la causal establecida en la Ley 1150 de 2007 respecto a los contratos interadministrativos</w:t>
      </w:r>
      <w:r w:rsidRPr="004E4581">
        <w:rPr>
          <w:rFonts w:ascii="Arial" w:eastAsia="Arial" w:hAnsi="Arial" w:cs="Arial"/>
          <w:color w:val="000000" w:themeColor="text1"/>
          <w:sz w:val="22"/>
          <w:szCs w:val="22"/>
          <w:vertAlign w:val="superscript"/>
          <w:lang w:val="es-ES" w:eastAsia="es-ES" w:bidi="es-ES"/>
        </w:rPr>
        <w:footnoteReference w:id="23"/>
      </w:r>
      <w:r w:rsidRPr="004E4581">
        <w:rPr>
          <w:rFonts w:ascii="Arial" w:eastAsia="Arial" w:hAnsi="Arial" w:cs="Arial"/>
          <w:color w:val="000000" w:themeColor="text1"/>
          <w:sz w:val="22"/>
          <w:szCs w:val="22"/>
          <w:lang w:val="es-ES" w:eastAsia="es-ES" w:bidi="es-ES"/>
        </w:rPr>
        <w:t>.</w:t>
      </w:r>
    </w:p>
    <w:p w14:paraId="310EEAF9" w14:textId="77777777" w:rsidR="00917720" w:rsidRPr="004E4581" w:rsidRDefault="00917720" w:rsidP="00917720">
      <w:pPr>
        <w:widowControl w:val="0"/>
        <w:autoSpaceDE w:val="0"/>
        <w:autoSpaceDN w:val="0"/>
        <w:spacing w:line="276" w:lineRule="auto"/>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ab/>
        <w:t>En desarrollo de lo anterior, cabe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24592C39" w14:textId="77777777" w:rsidR="00917720" w:rsidRPr="004E4581" w:rsidRDefault="00917720" w:rsidP="00917720">
      <w:pPr>
        <w:widowControl w:val="0"/>
        <w:autoSpaceDE w:val="0"/>
        <w:autoSpaceDN w:val="0"/>
        <w:spacing w:line="276" w:lineRule="auto"/>
        <w:jc w:val="both"/>
        <w:rPr>
          <w:rFonts w:ascii="Arial" w:eastAsia="Arial" w:hAnsi="Arial" w:cs="Arial"/>
          <w:color w:val="000000" w:themeColor="text1"/>
          <w:sz w:val="22"/>
          <w:szCs w:val="22"/>
          <w:lang w:val="es-ES" w:eastAsia="es-ES" w:bidi="es-ES"/>
        </w:rPr>
      </w:pPr>
    </w:p>
    <w:p w14:paraId="0C02516A" w14:textId="77777777" w:rsidR="00917720" w:rsidRPr="004E4581" w:rsidRDefault="00917720" w:rsidP="00917720">
      <w:pPr>
        <w:ind w:left="709" w:right="709"/>
        <w:jc w:val="both"/>
        <w:rPr>
          <w:rFonts w:ascii="Arial" w:eastAsia="Calibri" w:hAnsi="Arial" w:cs="Arial"/>
          <w:color w:val="000000" w:themeColor="text1"/>
          <w:sz w:val="21"/>
          <w:szCs w:val="21"/>
          <w:lang w:val="es-MX" w:eastAsia="en-US"/>
        </w:rPr>
      </w:pPr>
      <w:r w:rsidRPr="004E4581">
        <w:rPr>
          <w:rFonts w:ascii="Arial" w:eastAsia="Calibri" w:hAnsi="Arial" w:cs="Arial"/>
          <w:color w:val="000000" w:themeColor="text1"/>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E4581">
        <w:rPr>
          <w:rFonts w:ascii="Arial" w:eastAsia="Calibri" w:hAnsi="Arial" w:cs="Arial"/>
          <w:color w:val="000000" w:themeColor="text1"/>
          <w:sz w:val="21"/>
          <w:szCs w:val="21"/>
          <w:lang w:val="es-MX" w:eastAsia="en-US"/>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4FFA06A8" w14:textId="77777777" w:rsidR="00917720" w:rsidRPr="004E4581" w:rsidRDefault="00917720" w:rsidP="00917720">
      <w:pPr>
        <w:ind w:left="709" w:right="709"/>
        <w:jc w:val="both"/>
        <w:rPr>
          <w:rFonts w:ascii="Arial" w:eastAsia="Calibri" w:hAnsi="Arial" w:cs="Arial"/>
          <w:color w:val="000000" w:themeColor="text1"/>
          <w:sz w:val="21"/>
          <w:szCs w:val="21"/>
          <w:lang w:val="es-MX" w:eastAsia="en-US"/>
        </w:rPr>
      </w:pPr>
    </w:p>
    <w:p w14:paraId="45DE28E2" w14:textId="77777777" w:rsidR="00917720" w:rsidRPr="004E4581" w:rsidRDefault="00917720" w:rsidP="00917720">
      <w:pPr>
        <w:ind w:left="709" w:right="709"/>
        <w:jc w:val="both"/>
        <w:rPr>
          <w:rFonts w:ascii="Arial" w:eastAsia="Calibri" w:hAnsi="Arial" w:cs="Arial"/>
          <w:color w:val="000000" w:themeColor="text1"/>
          <w:sz w:val="21"/>
          <w:szCs w:val="21"/>
          <w:lang w:val="es-MX" w:eastAsia="en-US"/>
        </w:rPr>
      </w:pPr>
      <w:r w:rsidRPr="004E4581">
        <w:rPr>
          <w:rFonts w:ascii="Arial" w:eastAsia="Calibri" w:hAnsi="Arial" w:cs="Arial"/>
          <w:color w:val="000000" w:themeColor="text1"/>
          <w:sz w:val="21"/>
          <w:szCs w:val="21"/>
          <w:lang w:val="es-MX"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6D3355F" w14:textId="77777777" w:rsidR="00917720" w:rsidRPr="004E4581" w:rsidRDefault="00917720" w:rsidP="00917720">
      <w:pPr>
        <w:ind w:left="709" w:right="709"/>
        <w:jc w:val="both"/>
        <w:rPr>
          <w:rFonts w:ascii="Arial" w:eastAsia="Calibri" w:hAnsi="Arial" w:cs="Arial"/>
          <w:color w:val="000000" w:themeColor="text1"/>
          <w:sz w:val="21"/>
          <w:szCs w:val="21"/>
          <w:lang w:val="es-MX" w:eastAsia="en-US"/>
        </w:rPr>
      </w:pPr>
    </w:p>
    <w:p w14:paraId="1FB38476" w14:textId="77777777" w:rsidR="00917720" w:rsidRPr="004E4581" w:rsidRDefault="00917720" w:rsidP="00917720">
      <w:pPr>
        <w:ind w:left="709" w:right="709"/>
        <w:jc w:val="both"/>
        <w:rPr>
          <w:rFonts w:ascii="Calibri" w:eastAsia="Calibri" w:hAnsi="Calibri"/>
          <w:color w:val="000000" w:themeColor="text1"/>
          <w:szCs w:val="22"/>
          <w:lang w:val="es-MX" w:eastAsia="en-US"/>
        </w:rPr>
      </w:pPr>
      <w:r w:rsidRPr="004E4581">
        <w:rPr>
          <w:rFonts w:ascii="Arial" w:eastAsia="Calibri" w:hAnsi="Arial" w:cs="Arial"/>
          <w:color w:val="000000" w:themeColor="text1"/>
          <w:sz w:val="21"/>
          <w:szCs w:val="21"/>
          <w:lang w:val="es-MX" w:eastAsia="en-US"/>
        </w:rPr>
        <w:t xml:space="preserve">En el contexto de la Ley de Garantías, las restricciones además de propender por la igualdad de los candidatos están encaminadas a evitar que por medio de </w:t>
      </w:r>
      <w:r w:rsidRPr="004E4581">
        <w:rPr>
          <w:rFonts w:ascii="Arial" w:eastAsia="Calibri" w:hAnsi="Arial" w:cs="Arial"/>
          <w:color w:val="000000" w:themeColor="text1"/>
          <w:sz w:val="21"/>
          <w:szCs w:val="21"/>
          <w:lang w:val="es-MX" w:eastAsia="en-US"/>
        </w:rPr>
        <w:lastRenderedPageBreak/>
        <w:t>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4ED5B97" w14:textId="77777777" w:rsidR="00917720" w:rsidRPr="004E4581" w:rsidRDefault="00917720" w:rsidP="00917720">
      <w:pPr>
        <w:widowControl w:val="0"/>
        <w:autoSpaceDE w:val="0"/>
        <w:autoSpaceDN w:val="0"/>
        <w:spacing w:before="3"/>
        <w:rPr>
          <w:rFonts w:ascii="Arial" w:eastAsia="Arial" w:hAnsi="Arial" w:cs="Arial"/>
          <w:color w:val="000000" w:themeColor="text1"/>
          <w:sz w:val="25"/>
          <w:szCs w:val="22"/>
          <w:lang w:val="es-ES" w:eastAsia="es-ES" w:bidi="es-ES"/>
        </w:rPr>
      </w:pPr>
    </w:p>
    <w:p w14:paraId="60DF7696" w14:textId="11A1E4F0" w:rsidR="00917720" w:rsidRPr="004E4581" w:rsidRDefault="00917720" w:rsidP="00E30444">
      <w:pPr>
        <w:widowControl w:val="0"/>
        <w:autoSpaceDE w:val="0"/>
        <w:autoSpaceDN w:val="0"/>
        <w:spacing w:after="120" w:line="276" w:lineRule="auto"/>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5"/>
          <w:szCs w:val="22"/>
          <w:lang w:val="es-ES" w:eastAsia="es-ES" w:bidi="es-ES"/>
        </w:rPr>
        <w:tab/>
      </w:r>
      <w:r w:rsidRPr="004E4581">
        <w:rPr>
          <w:rFonts w:ascii="Arial" w:eastAsia="Arial" w:hAnsi="Arial" w:cs="Arial"/>
          <w:color w:val="000000" w:themeColor="text1"/>
          <w:sz w:val="22"/>
          <w:szCs w:val="22"/>
          <w:lang w:val="es-ES" w:eastAsia="es-ES" w:bidi="es-ES"/>
        </w:rPr>
        <w:t xml:space="preserve">Teniendo en cuenta lo anterior, se reitera la conclusión en el sentido de que lo que define los contratos o convenios interadministrativos es la naturaleza de las partes, de manera que están determinados por un criterio orgánico, en el </w:t>
      </w:r>
      <w:r w:rsidR="00E30444" w:rsidRPr="004E4581">
        <w:rPr>
          <w:rFonts w:ascii="Arial" w:eastAsia="Arial" w:hAnsi="Arial" w:cs="Arial"/>
          <w:color w:val="000000" w:themeColor="text1"/>
          <w:sz w:val="22"/>
          <w:szCs w:val="22"/>
          <w:lang w:val="es-ES" w:eastAsia="es-ES" w:bidi="es-ES"/>
        </w:rPr>
        <w:t xml:space="preserve">entendido que </w:t>
      </w:r>
      <w:r w:rsidRPr="004E4581">
        <w:rPr>
          <w:rFonts w:ascii="Arial" w:eastAsia="Arial" w:hAnsi="Arial" w:cs="Arial"/>
          <w:color w:val="000000" w:themeColor="text1"/>
          <w:sz w:val="22"/>
          <w:szCs w:val="22"/>
          <w:lang w:val="es-ES" w:eastAsia="es-ES" w:bidi="es-ES"/>
        </w:rPr>
        <w:t>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p>
    <w:p w14:paraId="0FF0DA01" w14:textId="3AFF5515" w:rsidR="0042639C" w:rsidRPr="004E4581" w:rsidRDefault="00E30444" w:rsidP="00861F5C">
      <w:pPr>
        <w:pStyle w:val="Textoindependiente"/>
        <w:spacing w:after="0"/>
        <w:ind w:right="108" w:firstLine="709"/>
        <w:jc w:val="both"/>
        <w:rPr>
          <w:rFonts w:ascii="Arial" w:hAnsi="Arial" w:cs="Arial"/>
          <w:color w:val="000000" w:themeColor="text1"/>
        </w:rPr>
      </w:pPr>
      <w:bookmarkStart w:id="24" w:name="_Hlk36646009"/>
      <w:r w:rsidRPr="004E4581">
        <w:rPr>
          <w:rFonts w:ascii="Arial" w:hAnsi="Arial" w:cs="Arial"/>
          <w:color w:val="000000" w:themeColor="text1"/>
          <w:lang w:val="es-ES"/>
        </w:rPr>
        <w:t>Se evidencia que e</w:t>
      </w:r>
      <w:r w:rsidR="0042639C" w:rsidRPr="004E4581">
        <w:rPr>
          <w:rFonts w:ascii="Arial" w:hAnsi="Arial" w:cs="Arial"/>
          <w:color w:val="000000" w:themeColor="text1"/>
        </w:rPr>
        <w:t xml:space="preserve">l parágrafo del artículo 38 de la Ley 996 de 2005 prohíbe a los gobernadores, alcaldes, secretarios, gerentes y directores de las entidades estatales de orden Municipal, Departamental o Distrital, la celebración de convenios o contratos interadministrativos que ejecuten recursos públicos. En este sentido, si una o ambas partes son entidades estatales, de aquellas descritas en el parágrafo del artículo 38 </w:t>
      </w:r>
      <w:r w:rsidR="0042639C" w:rsidRPr="004E4581">
        <w:rPr>
          <w:rFonts w:ascii="Arial" w:hAnsi="Arial" w:cs="Arial"/>
          <w:i/>
          <w:color w:val="000000" w:themeColor="text1"/>
        </w:rPr>
        <w:t>ibidem</w:t>
      </w:r>
      <w:r w:rsidR="0042639C" w:rsidRPr="004E4581">
        <w:rPr>
          <w:rFonts w:ascii="Arial" w:hAnsi="Arial" w:cs="Arial"/>
          <w:color w:val="000000" w:themeColor="text1"/>
        </w:rPr>
        <w:t xml:space="preserve">, no podrán celebrar entre estas convenios o contratos durante el periodo electoral que se llevará </w:t>
      </w:r>
      <w:r w:rsidR="006F275F" w:rsidRPr="004E4581">
        <w:rPr>
          <w:rFonts w:ascii="Arial" w:hAnsi="Arial" w:cs="Arial"/>
          <w:color w:val="000000" w:themeColor="text1"/>
        </w:rPr>
        <w:t>el próximo año</w:t>
      </w:r>
      <w:r w:rsidR="0042639C" w:rsidRPr="004E4581">
        <w:rPr>
          <w:rFonts w:ascii="Arial" w:hAnsi="Arial" w:cs="Arial"/>
          <w:color w:val="000000" w:themeColor="text1"/>
        </w:rPr>
        <w:t xml:space="preserve">, indistintamente de su objeto contractual, pues, como se anotó </w:t>
      </w:r>
      <w:r w:rsidR="00671BF1">
        <w:rPr>
          <w:rFonts w:ascii="Arial" w:hAnsi="Arial" w:cs="Arial"/>
          <w:color w:val="000000" w:themeColor="text1"/>
        </w:rPr>
        <w:t xml:space="preserve">en </w:t>
      </w:r>
      <w:r w:rsidR="0042639C" w:rsidRPr="004E4581">
        <w:rPr>
          <w:rFonts w:ascii="Arial" w:hAnsi="Arial" w:cs="Arial"/>
          <w:color w:val="000000" w:themeColor="text1"/>
        </w:rPr>
        <w:t>preceden</w:t>
      </w:r>
      <w:r w:rsidR="00671BF1">
        <w:rPr>
          <w:rFonts w:ascii="Arial" w:hAnsi="Arial" w:cs="Arial"/>
          <w:color w:val="000000" w:themeColor="text1"/>
        </w:rPr>
        <w:t>cia</w:t>
      </w:r>
      <w:r w:rsidR="0042639C" w:rsidRPr="004E4581">
        <w:rPr>
          <w:rFonts w:ascii="Arial" w:hAnsi="Arial" w:cs="Arial"/>
          <w:color w:val="000000" w:themeColor="text1"/>
        </w:rPr>
        <w:t xml:space="preserve">, si las partes son entidades estatales su denominación será la de un contrato o convenio interadministrativo, y </w:t>
      </w:r>
      <w:r w:rsidR="00B67050">
        <w:rPr>
          <w:rFonts w:ascii="Arial" w:hAnsi="Arial" w:cs="Arial"/>
          <w:color w:val="000000" w:themeColor="text1"/>
        </w:rPr>
        <w:t>la celebración de dichos contratos</w:t>
      </w:r>
      <w:r w:rsidR="0042639C" w:rsidRPr="004E4581">
        <w:rPr>
          <w:rFonts w:ascii="Arial" w:hAnsi="Arial" w:cs="Arial"/>
          <w:color w:val="000000" w:themeColor="text1"/>
        </w:rPr>
        <w:t xml:space="preserve"> está restringida en el parágrafo del artículo 38 de la Ley 996 de 2005, la cual no dispuso excepción alguna por su</w:t>
      </w:r>
      <w:r w:rsidR="0042639C" w:rsidRPr="004E4581">
        <w:rPr>
          <w:rFonts w:ascii="Arial" w:hAnsi="Arial" w:cs="Arial"/>
          <w:color w:val="000000" w:themeColor="text1"/>
          <w:spacing w:val="-5"/>
        </w:rPr>
        <w:t xml:space="preserve"> </w:t>
      </w:r>
      <w:r w:rsidR="0042639C" w:rsidRPr="004E4581">
        <w:rPr>
          <w:rFonts w:ascii="Arial" w:hAnsi="Arial" w:cs="Arial"/>
          <w:color w:val="000000" w:themeColor="text1"/>
        </w:rPr>
        <w:t>objeto.</w:t>
      </w:r>
      <w:bookmarkEnd w:id="24"/>
    </w:p>
    <w:p w14:paraId="4B5944BE" w14:textId="77777777" w:rsidR="00E30444" w:rsidRPr="004E4581" w:rsidRDefault="00E30444" w:rsidP="00E30444">
      <w:pPr>
        <w:pStyle w:val="Textoindependiente"/>
        <w:ind w:right="109" w:firstLine="708"/>
        <w:jc w:val="both"/>
        <w:rPr>
          <w:rFonts w:ascii="Arial" w:hAnsi="Arial" w:cs="Arial"/>
          <w:color w:val="000000" w:themeColor="text1"/>
        </w:rPr>
      </w:pPr>
    </w:p>
    <w:p w14:paraId="7C7B6E40" w14:textId="77777777" w:rsidR="00E30444" w:rsidRPr="004E4581" w:rsidRDefault="00E30444" w:rsidP="00E30444">
      <w:pPr>
        <w:widowControl w:val="0"/>
        <w:autoSpaceDE w:val="0"/>
        <w:autoSpaceDN w:val="0"/>
        <w:spacing w:before="3" w:line="276" w:lineRule="auto"/>
        <w:jc w:val="both"/>
        <w:rPr>
          <w:rFonts w:ascii="Arial" w:eastAsia="Arial" w:hAnsi="Arial" w:cs="Arial"/>
          <w:b/>
          <w:bCs/>
          <w:color w:val="000000" w:themeColor="text1"/>
          <w:sz w:val="22"/>
          <w:szCs w:val="22"/>
          <w:lang w:val="es-ES" w:eastAsia="es-ES" w:bidi="es-ES"/>
        </w:rPr>
      </w:pPr>
      <w:r w:rsidRPr="004E4581">
        <w:rPr>
          <w:rFonts w:ascii="Arial" w:eastAsia="Arial" w:hAnsi="Arial" w:cs="Arial"/>
          <w:b/>
          <w:bCs/>
          <w:color w:val="000000" w:themeColor="text1"/>
          <w:sz w:val="22"/>
          <w:szCs w:val="22"/>
          <w:lang w:val="es-ES" w:eastAsia="es-ES" w:bidi="es-ES"/>
        </w:rPr>
        <w:t xml:space="preserve">2.3.2 Restricción para celebrar convenios interadministrativos para la ejecución de recursos públicos de la Ley de Garantías Electorales </w:t>
      </w:r>
    </w:p>
    <w:p w14:paraId="264178C6" w14:textId="77777777" w:rsidR="00E30444" w:rsidRPr="004E4581" w:rsidRDefault="00E30444" w:rsidP="00E30444">
      <w:pPr>
        <w:widowControl w:val="0"/>
        <w:autoSpaceDE w:val="0"/>
        <w:autoSpaceDN w:val="0"/>
        <w:spacing w:before="3" w:line="276" w:lineRule="auto"/>
        <w:jc w:val="both"/>
        <w:rPr>
          <w:rFonts w:ascii="Arial" w:eastAsia="Arial" w:hAnsi="Arial" w:cs="Arial"/>
          <w:color w:val="000000" w:themeColor="text1"/>
          <w:sz w:val="22"/>
          <w:szCs w:val="22"/>
          <w:lang w:val="es-ES" w:eastAsia="es-ES" w:bidi="es-ES"/>
        </w:rPr>
      </w:pPr>
    </w:p>
    <w:p w14:paraId="38C31095" w14:textId="706FCEDB" w:rsidR="00E30444" w:rsidRPr="004E4581" w:rsidRDefault="00E30444" w:rsidP="00E30444">
      <w:pPr>
        <w:spacing w:line="276" w:lineRule="auto"/>
        <w:jc w:val="both"/>
        <w:rPr>
          <w:rFonts w:ascii="Arial" w:eastAsia="Calibri" w:hAnsi="Arial" w:cs="Arial"/>
          <w:color w:val="000000" w:themeColor="text1"/>
          <w:sz w:val="22"/>
          <w:szCs w:val="22"/>
          <w:lang w:val="es-ES" w:eastAsia="en-US"/>
        </w:rPr>
      </w:pPr>
      <w:r w:rsidRPr="004E4581">
        <w:rPr>
          <w:rFonts w:ascii="Arial" w:eastAsia="Arial" w:hAnsi="Arial" w:cs="Arial"/>
          <w:color w:val="000000" w:themeColor="text1"/>
          <w:sz w:val="22"/>
          <w:szCs w:val="22"/>
          <w:lang w:val="es-ES" w:eastAsia="es-ES" w:bidi="es-ES"/>
        </w:rPr>
        <w:t>Como se venía señalando en el numeral 2.2. de este concepto, e</w:t>
      </w:r>
      <w:r w:rsidRPr="004E4581">
        <w:rPr>
          <w:rFonts w:ascii="Arial" w:eastAsia="Calibri" w:hAnsi="Arial" w:cs="Arial"/>
          <w:color w:val="000000" w:themeColor="text1"/>
          <w:sz w:val="22"/>
          <w:szCs w:val="22"/>
          <w:lang w:eastAsia="en-US"/>
        </w:rPr>
        <w:t xml:space="preserve">l artículo 38 de la Ley de Garantías Electorales estableció unas prohibiciones para ciertos servidores públicos y, el parágrafo del </w:t>
      </w:r>
      <w:r w:rsidRPr="004E4581">
        <w:rPr>
          <w:rFonts w:ascii="Arial" w:eastAsia="Calibri" w:hAnsi="Arial" w:cs="Arial"/>
          <w:color w:val="000000" w:themeColor="text1"/>
          <w:sz w:val="22"/>
          <w:szCs w:val="22"/>
          <w:lang w:val="es-ES" w:eastAsia="en-US"/>
        </w:rPr>
        <w:t>mismo contempló una prohibición para los jefes o directivos de las entidades territoriales, concretamente, para los gobernadores, alcaldes, secretarios, gerentes y directores de entidades del orden municipal, departamental o distrital, consistente en que no pueden celebrar convenios o contratos interadministrativos para la ejecución de recursos públicos dentro de los cuatro (4) meses anteriores a cualquier elección, en los siguientes términos:</w:t>
      </w:r>
    </w:p>
    <w:p w14:paraId="2E5FF700" w14:textId="77777777" w:rsidR="00E30444" w:rsidRPr="004E4581" w:rsidRDefault="00E30444" w:rsidP="00E30444">
      <w:pPr>
        <w:spacing w:line="276" w:lineRule="auto"/>
        <w:ind w:firstLine="709"/>
        <w:jc w:val="both"/>
        <w:rPr>
          <w:rFonts w:ascii="Arial" w:eastAsia="Calibri" w:hAnsi="Arial" w:cs="Arial"/>
          <w:color w:val="000000" w:themeColor="text1"/>
          <w:sz w:val="22"/>
          <w:szCs w:val="22"/>
          <w:lang w:val="es-ES" w:eastAsia="en-US"/>
        </w:rPr>
      </w:pPr>
    </w:p>
    <w:p w14:paraId="329390CB" w14:textId="77777777" w:rsidR="00E30444" w:rsidRPr="004E4581" w:rsidRDefault="00E30444" w:rsidP="00E30444">
      <w:pPr>
        <w:spacing w:after="120"/>
        <w:ind w:left="709" w:right="709"/>
        <w:jc w:val="both"/>
        <w:rPr>
          <w:rFonts w:ascii="Arial" w:hAnsi="Arial" w:cs="Arial"/>
          <w:color w:val="000000" w:themeColor="text1"/>
          <w:sz w:val="21"/>
          <w:szCs w:val="21"/>
          <w:lang w:val="es-ES" w:eastAsia="es-CO"/>
        </w:rPr>
      </w:pPr>
      <w:r w:rsidRPr="004E4581">
        <w:rPr>
          <w:rFonts w:ascii="Arial" w:hAnsi="Arial" w:cs="Arial"/>
          <w:color w:val="000000" w:themeColor="text1"/>
          <w:sz w:val="21"/>
          <w:szCs w:val="21"/>
          <w:lang w:val="es-ES" w:eastAsia="es-CO"/>
        </w:rPr>
        <w:lastRenderedPageBreak/>
        <w:t>Artículo 38. Prohibiciones para los servidores públicos. A los empleados del Estado les está prohibido:</w:t>
      </w:r>
    </w:p>
    <w:p w14:paraId="622694C2" w14:textId="77777777" w:rsidR="00E30444" w:rsidRPr="004E4581" w:rsidRDefault="00E30444" w:rsidP="00E30444">
      <w:pPr>
        <w:spacing w:after="120"/>
        <w:ind w:left="709" w:right="709"/>
        <w:jc w:val="both"/>
        <w:rPr>
          <w:rFonts w:ascii="Arial" w:hAnsi="Arial" w:cs="Arial"/>
          <w:color w:val="000000" w:themeColor="text1"/>
          <w:sz w:val="21"/>
          <w:szCs w:val="21"/>
          <w:lang w:val="es-ES" w:eastAsia="es-CO"/>
        </w:rPr>
      </w:pPr>
      <w:r w:rsidRPr="004E4581">
        <w:rPr>
          <w:rFonts w:ascii="Arial" w:hAnsi="Arial" w:cs="Arial"/>
          <w:color w:val="000000" w:themeColor="text1"/>
          <w:sz w:val="21"/>
          <w:szCs w:val="21"/>
          <w:lang w:val="es-ES" w:eastAsia="es-CO"/>
        </w:rPr>
        <w:t>[…]</w:t>
      </w:r>
    </w:p>
    <w:p w14:paraId="7D25CE95" w14:textId="77777777" w:rsidR="00E30444" w:rsidRPr="004E4581" w:rsidRDefault="00E30444" w:rsidP="00E30444">
      <w:pPr>
        <w:ind w:left="709" w:right="709"/>
        <w:jc w:val="both"/>
        <w:rPr>
          <w:rFonts w:ascii="Arial" w:hAnsi="Arial" w:cs="Arial"/>
          <w:color w:val="000000" w:themeColor="text1"/>
          <w:sz w:val="21"/>
          <w:szCs w:val="21"/>
          <w:lang w:val="es-ES" w:eastAsia="es-CO"/>
        </w:rPr>
      </w:pPr>
      <w:r w:rsidRPr="004E4581">
        <w:rPr>
          <w:rFonts w:ascii="Arial" w:hAnsi="Arial" w:cs="Arial"/>
          <w:color w:val="000000" w:themeColor="text1"/>
          <w:sz w:val="21"/>
          <w:szCs w:val="21"/>
          <w:lang w:val="es-ES" w:eastAsia="es-CO"/>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2E7330DA" w14:textId="77777777" w:rsidR="00E30444" w:rsidRPr="004E4581" w:rsidRDefault="00E30444" w:rsidP="00E30444">
      <w:pPr>
        <w:ind w:left="709" w:right="709"/>
        <w:jc w:val="both"/>
        <w:rPr>
          <w:rFonts w:ascii="Arial" w:hAnsi="Arial" w:cs="Arial"/>
          <w:color w:val="000000" w:themeColor="text1"/>
          <w:sz w:val="21"/>
          <w:szCs w:val="21"/>
          <w:lang w:val="es-ES" w:eastAsia="es-CO"/>
        </w:rPr>
      </w:pPr>
    </w:p>
    <w:p w14:paraId="1425E574" w14:textId="77777777" w:rsidR="00E30444" w:rsidRPr="004E4581" w:rsidRDefault="00E30444" w:rsidP="00E30444">
      <w:pPr>
        <w:spacing w:after="120" w:line="276" w:lineRule="auto"/>
        <w:ind w:firstLine="708"/>
        <w:jc w:val="both"/>
        <w:rPr>
          <w:rFonts w:ascii="Arial" w:eastAsia="Calibri" w:hAnsi="Arial" w:cs="Arial"/>
          <w:color w:val="000000" w:themeColor="text1"/>
          <w:sz w:val="22"/>
          <w:szCs w:val="22"/>
          <w:lang w:val="es-ES" w:eastAsia="en-US"/>
        </w:rPr>
      </w:pPr>
      <w:r w:rsidRPr="004E4581">
        <w:rPr>
          <w:rFonts w:ascii="Arial" w:eastAsia="Calibri" w:hAnsi="Arial" w:cs="Arial"/>
          <w:color w:val="000000" w:themeColor="text1"/>
          <w:sz w:val="22"/>
          <w:szCs w:val="22"/>
          <w:lang w:val="es-ES" w:eastAsia="en-US"/>
        </w:rPr>
        <w:t xml:space="preserve">Por ello, para determinar la aplicación del anterior parágrafo, es necesario identificar la naturaleza jurídica de las entidades públicas que celebrarán el convenio o contrato interadministrativo, toda vez que, de acuerdo con lo definido en la Ley 996 de 2005, la prohibición de celebrar esa clase de convenios o contratos está dirigida a las entidades territoriales y a las entidades descentralizadas del orden municipal, departamental o distrital. Igualmente, si alguna de las partes está sometida a la restricción del parágrafo del artículo 38 de la Ley 996 de 2005, no podría celebrarse el referido convenio interadministrativo por existir una prohibición legal que afecta el acuerdo de voluntades de una de las partes. </w:t>
      </w:r>
    </w:p>
    <w:p w14:paraId="0CE046D8" w14:textId="77777777" w:rsidR="00E30444" w:rsidRPr="004E4581" w:rsidRDefault="00E30444" w:rsidP="00E30444">
      <w:pPr>
        <w:spacing w:line="276" w:lineRule="auto"/>
        <w:ind w:firstLine="709"/>
        <w:jc w:val="both"/>
        <w:rPr>
          <w:rFonts w:ascii="Arial" w:eastAsia="Calibri" w:hAnsi="Arial" w:cs="Arial"/>
          <w:color w:val="000000" w:themeColor="text1"/>
          <w:sz w:val="22"/>
          <w:szCs w:val="22"/>
          <w:lang w:val="es-ES" w:eastAsia="en-US"/>
        </w:rPr>
      </w:pPr>
      <w:r w:rsidRPr="004E4581">
        <w:rPr>
          <w:rFonts w:ascii="Arial" w:eastAsia="Calibri" w:hAnsi="Arial" w:cs="Arial"/>
          <w:color w:val="000000" w:themeColor="text1"/>
          <w:sz w:val="22"/>
          <w:szCs w:val="22"/>
          <w:lang w:val="es-ES" w:eastAsia="en-US"/>
        </w:rPr>
        <w:t>Lo anterior resulta coherente con lo establecido en la Circular Externa Única de Colombia Compra Eficiente, donde se señaló con claridad el alcance de la prohibición establecida en el parágrafo del artículo 38 de la Ley de Garantías Electorales. En efecto, allí se expresó:</w:t>
      </w:r>
    </w:p>
    <w:p w14:paraId="130A8CAF" w14:textId="77777777" w:rsidR="00E30444" w:rsidRPr="004E4581" w:rsidRDefault="00E30444" w:rsidP="00E30444">
      <w:pPr>
        <w:spacing w:line="276" w:lineRule="auto"/>
        <w:ind w:firstLine="709"/>
        <w:jc w:val="both"/>
        <w:rPr>
          <w:rFonts w:ascii="Arial" w:eastAsia="Calibri" w:hAnsi="Arial" w:cs="Arial"/>
          <w:color w:val="000000" w:themeColor="text1"/>
          <w:sz w:val="22"/>
          <w:szCs w:val="22"/>
          <w:lang w:val="es-ES" w:eastAsia="en-US"/>
        </w:rPr>
      </w:pPr>
    </w:p>
    <w:p w14:paraId="16C3E29A" w14:textId="77777777" w:rsidR="00E30444" w:rsidRPr="004E4581" w:rsidRDefault="00E30444" w:rsidP="004E25C7">
      <w:pPr>
        <w:ind w:left="709" w:right="709"/>
        <w:jc w:val="both"/>
        <w:rPr>
          <w:rFonts w:ascii="Arial" w:hAnsi="Arial" w:cs="Arial"/>
          <w:color w:val="000000" w:themeColor="text1"/>
          <w:sz w:val="21"/>
          <w:szCs w:val="21"/>
          <w:lang w:val="es-ES" w:eastAsia="es-CO"/>
        </w:rPr>
      </w:pPr>
      <w:r w:rsidRPr="004E4581">
        <w:rPr>
          <w:rFonts w:ascii="Arial" w:hAnsi="Arial" w:cs="Arial"/>
          <w:color w:val="000000" w:themeColor="text1"/>
          <w:sz w:val="21"/>
          <w:szCs w:val="21"/>
          <w:lang w:val="es-ES" w:eastAsia="es-CO"/>
        </w:rPr>
        <w:t>El parágrafo del artículo 38 de la Ley 996 de 2005 prohíbe a los gobernadores, alcaldes, secretarios, gerentes y directores de Entidades Estatales del orden Municipal, Departamental o Distrital celebrar convenios interadministrativos para ejecutar recursos públicos durante los cuatro (4) meses anteriores a cualquier elección, sin importar la naturaleza o el orden nacional o territorial de la otra entidad contratante.</w:t>
      </w:r>
    </w:p>
    <w:p w14:paraId="73D8FD4B" w14:textId="77777777" w:rsidR="00E30444" w:rsidRPr="004E4581" w:rsidRDefault="00E30444" w:rsidP="004E25C7">
      <w:pPr>
        <w:ind w:left="709" w:right="709"/>
        <w:jc w:val="both"/>
        <w:rPr>
          <w:rFonts w:ascii="Arial" w:hAnsi="Arial" w:cs="Arial"/>
          <w:color w:val="000000" w:themeColor="text1"/>
          <w:sz w:val="21"/>
          <w:szCs w:val="21"/>
          <w:lang w:val="es-ES" w:eastAsia="es-CO"/>
        </w:rPr>
      </w:pPr>
    </w:p>
    <w:p w14:paraId="667A0DCC" w14:textId="77777777" w:rsidR="00E30444" w:rsidRPr="004E4581" w:rsidRDefault="00E30444" w:rsidP="004E25C7">
      <w:pPr>
        <w:ind w:left="709" w:right="709"/>
        <w:jc w:val="both"/>
        <w:rPr>
          <w:rFonts w:ascii="Arial" w:hAnsi="Arial" w:cs="Arial"/>
          <w:color w:val="000000" w:themeColor="text1"/>
          <w:sz w:val="21"/>
          <w:szCs w:val="21"/>
          <w:lang w:val="es-ES" w:eastAsia="es-CO"/>
        </w:rPr>
      </w:pPr>
      <w:r w:rsidRPr="004E4581">
        <w:rPr>
          <w:rFonts w:ascii="Arial" w:hAnsi="Arial" w:cs="Arial"/>
          <w:color w:val="000000" w:themeColor="text1"/>
          <w:sz w:val="21"/>
          <w:szCs w:val="21"/>
          <w:lang w:val="es-ES" w:eastAsia="es-CO"/>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73702625" w14:textId="77777777" w:rsidR="00E30444" w:rsidRPr="004E4581" w:rsidRDefault="00E30444" w:rsidP="00E30444">
      <w:pPr>
        <w:spacing w:after="120" w:line="276" w:lineRule="auto"/>
        <w:jc w:val="both"/>
        <w:rPr>
          <w:rFonts w:ascii="Arial" w:eastAsia="Calibri" w:hAnsi="Arial" w:cs="Arial"/>
          <w:color w:val="000000" w:themeColor="text1"/>
          <w:sz w:val="22"/>
          <w:szCs w:val="22"/>
          <w:lang w:val="es-ES" w:eastAsia="en-US"/>
        </w:rPr>
      </w:pPr>
    </w:p>
    <w:p w14:paraId="30744DE2" w14:textId="62874324" w:rsidR="00E30444" w:rsidRPr="004E4581" w:rsidRDefault="004E25C7" w:rsidP="00E30444">
      <w:pPr>
        <w:tabs>
          <w:tab w:val="left" w:pos="426"/>
        </w:tabs>
        <w:spacing w:after="120" w:line="276" w:lineRule="auto"/>
        <w:ind w:firstLine="709"/>
        <w:jc w:val="both"/>
        <w:rPr>
          <w:rFonts w:ascii="Arial" w:eastAsia="Calibri" w:hAnsi="Arial" w:cs="Arial"/>
          <w:color w:val="000000" w:themeColor="text1"/>
          <w:sz w:val="22"/>
          <w:szCs w:val="22"/>
          <w:lang w:val="es-ES" w:eastAsia="en-US"/>
        </w:rPr>
      </w:pPr>
      <w:r w:rsidRPr="004E4581">
        <w:rPr>
          <w:rFonts w:ascii="Arial" w:eastAsia="Calibri" w:hAnsi="Arial" w:cs="Arial"/>
          <w:color w:val="000000" w:themeColor="text1"/>
          <w:sz w:val="22"/>
          <w:szCs w:val="22"/>
          <w:lang w:val="es-ES" w:eastAsia="en-US"/>
        </w:rPr>
        <w:lastRenderedPageBreak/>
        <w:t xml:space="preserve">Se </w:t>
      </w:r>
      <w:r w:rsidR="00E30444" w:rsidRPr="004E4581">
        <w:rPr>
          <w:rFonts w:ascii="Arial" w:eastAsia="Calibri" w:hAnsi="Arial" w:cs="Arial"/>
          <w:color w:val="000000" w:themeColor="text1"/>
          <w:sz w:val="22"/>
          <w:szCs w:val="22"/>
          <w:lang w:val="es-ES" w:eastAsia="en-US"/>
        </w:rPr>
        <w:t>reitera la conclusión</w:t>
      </w:r>
      <w:r w:rsidRPr="004E4581">
        <w:rPr>
          <w:rFonts w:ascii="Arial" w:eastAsia="Calibri" w:hAnsi="Arial" w:cs="Arial"/>
          <w:color w:val="000000" w:themeColor="text1"/>
          <w:sz w:val="22"/>
          <w:szCs w:val="22"/>
          <w:lang w:val="es-ES" w:eastAsia="en-US"/>
        </w:rPr>
        <w:t>,</w:t>
      </w:r>
      <w:r w:rsidR="00E30444" w:rsidRPr="004E4581">
        <w:rPr>
          <w:rFonts w:ascii="Arial" w:eastAsia="Calibri" w:hAnsi="Arial" w:cs="Arial"/>
          <w:color w:val="000000" w:themeColor="text1"/>
          <w:sz w:val="22"/>
          <w:szCs w:val="22"/>
          <w:lang w:val="es-ES" w:eastAsia="en-US"/>
        </w:rPr>
        <w:t xml:space="preserve"> en el sentido que lo determinante para definir los contratos o convenios interadministrativos es la naturaleza de las partes, de manera que están determinados por un criterio orgánico, en el sentido de que lo serán aquellos celebrados entre entidades estatales. En armonía con lo anterior, como se indicó en la Circular citada, y de acuerdo con las demás consideraciones expuestas, la restricción establecida en el parágrafo del artículo 38 de la Ley 996 de 2005 aplica para los negocios jurídicos anteriores, esto es, para los contratos o convenios interadministrativos.</w:t>
      </w:r>
    </w:p>
    <w:p w14:paraId="243A87EC" w14:textId="4D492EDC" w:rsidR="00E30444" w:rsidRPr="005A47B3" w:rsidRDefault="00E30444" w:rsidP="004E25C7">
      <w:pPr>
        <w:spacing w:after="120" w:line="276" w:lineRule="auto"/>
        <w:ind w:firstLine="708"/>
        <w:jc w:val="both"/>
        <w:rPr>
          <w:rFonts w:ascii="Arial" w:eastAsia="Calibri" w:hAnsi="Arial" w:cs="Arial"/>
          <w:bCs/>
          <w:color w:val="000000" w:themeColor="text1"/>
          <w:sz w:val="22"/>
          <w:szCs w:val="22"/>
          <w:lang w:val="es-ES_tradnl" w:eastAsia="en-US"/>
        </w:rPr>
      </w:pPr>
      <w:r w:rsidRPr="005A47B3">
        <w:rPr>
          <w:rFonts w:ascii="Arial" w:eastAsia="Calibri" w:hAnsi="Arial" w:cs="Arial"/>
          <w:bCs/>
          <w:color w:val="000000" w:themeColor="text1"/>
          <w:sz w:val="22"/>
          <w:szCs w:val="22"/>
          <w:lang w:eastAsia="en-US"/>
        </w:rPr>
        <w:t xml:space="preserve">En conclusión, </w:t>
      </w:r>
      <w:r w:rsidRPr="005A47B3">
        <w:rPr>
          <w:rFonts w:ascii="Arial" w:eastAsia="Calibri" w:hAnsi="Arial" w:cs="Arial"/>
          <w:bCs/>
          <w:color w:val="000000" w:themeColor="text1"/>
          <w:sz w:val="22"/>
          <w:szCs w:val="22"/>
          <w:lang w:val="es-ES_tradnl" w:eastAsia="en-US"/>
        </w:rPr>
        <w:t>de la Ley 996 de 2005 se derivan dos prohibiciones diferentes aplicables a periodos preelectorales distintos. De esta manera, una es la prohibición que se deriva de lo establecido en el artículo 33, respecto a las elecciones presidenciales y otra la originada en el parágrafo del artículo 38 que aplica frente elecciones para cualquier cargo de elección popular, lo que también incluye las presidenciales.</w:t>
      </w:r>
    </w:p>
    <w:p w14:paraId="0F587C02" w14:textId="57F26C34" w:rsidR="00562A19" w:rsidRPr="005A47B3" w:rsidRDefault="00231E5D" w:rsidP="004E25C7">
      <w:pPr>
        <w:spacing w:after="120" w:line="276" w:lineRule="auto"/>
        <w:ind w:firstLine="708"/>
        <w:jc w:val="both"/>
        <w:rPr>
          <w:rFonts w:ascii="Arial" w:eastAsia="Calibri" w:hAnsi="Arial" w:cs="Arial"/>
          <w:bCs/>
          <w:color w:val="000000" w:themeColor="text1"/>
          <w:sz w:val="22"/>
          <w:szCs w:val="22"/>
          <w:lang w:val="es-ES_tradnl" w:eastAsia="en-US"/>
        </w:rPr>
      </w:pPr>
      <w:r w:rsidRPr="005A47B3">
        <w:rPr>
          <w:rFonts w:ascii="Arial" w:eastAsia="Calibri" w:hAnsi="Arial" w:cs="Arial"/>
          <w:bCs/>
          <w:color w:val="000000" w:themeColor="text1"/>
          <w:sz w:val="22"/>
          <w:szCs w:val="22"/>
          <w:lang w:val="es-ES_tradnl" w:eastAsia="en-US"/>
        </w:rPr>
        <w:t>Teniendo en cuenta el marco jurídico analizado, le corresponderá a cada entidad estatal planear y prever la forma como adelantará su actividad contractual para efectos de desarrollar sus funciones de manera compatible con las restricciones analizadas. En todo caso, vale la pena indicar que</w:t>
      </w:r>
      <w:r w:rsidR="002D6BBD">
        <w:rPr>
          <w:rFonts w:ascii="Arial" w:eastAsia="Calibri" w:hAnsi="Arial" w:cs="Arial"/>
          <w:bCs/>
          <w:color w:val="000000" w:themeColor="text1"/>
          <w:sz w:val="22"/>
          <w:szCs w:val="22"/>
          <w:lang w:val="es-ES_tradnl" w:eastAsia="en-US"/>
        </w:rPr>
        <w:t>,</w:t>
      </w:r>
      <w:r w:rsidRPr="005A47B3">
        <w:rPr>
          <w:rFonts w:ascii="Arial" w:eastAsia="Calibri" w:hAnsi="Arial" w:cs="Arial"/>
          <w:bCs/>
          <w:color w:val="000000" w:themeColor="text1"/>
          <w:sz w:val="22"/>
          <w:szCs w:val="22"/>
          <w:lang w:val="es-ES_tradnl" w:eastAsia="en-US"/>
        </w:rPr>
        <w:t xml:space="preserve"> si bien la ley de garantías impide celebrar durante cierto lapso algunos contratos, ello no impide que los contratos celebrados antes del ámbito temporal de las prohibiciones se puedan continuar ejecutando durante los periodos que rigen las restricciones.</w:t>
      </w:r>
    </w:p>
    <w:p w14:paraId="306FCB2B" w14:textId="77777777" w:rsidR="0042639C" w:rsidRPr="005A47B3" w:rsidRDefault="0042639C" w:rsidP="00861F5C">
      <w:pPr>
        <w:tabs>
          <w:tab w:val="left" w:pos="426"/>
        </w:tabs>
        <w:spacing w:line="276" w:lineRule="auto"/>
        <w:jc w:val="both"/>
        <w:rPr>
          <w:rFonts w:ascii="Arial" w:hAnsi="Arial" w:cs="Arial"/>
          <w:color w:val="000000" w:themeColor="text1"/>
          <w:sz w:val="22"/>
          <w:lang w:val="es-MX"/>
        </w:rPr>
      </w:pPr>
    </w:p>
    <w:p w14:paraId="5071167E" w14:textId="77777777" w:rsidR="008A6AA1" w:rsidRPr="005A47B3" w:rsidRDefault="008A6AA1" w:rsidP="008A6AA1">
      <w:pPr>
        <w:tabs>
          <w:tab w:val="left" w:pos="0"/>
        </w:tabs>
        <w:jc w:val="both"/>
        <w:rPr>
          <w:rFonts w:ascii="Arial" w:eastAsia="Calibri" w:hAnsi="Arial" w:cs="Arial"/>
          <w:b/>
          <w:color w:val="000000" w:themeColor="text1"/>
          <w:sz w:val="22"/>
          <w:lang w:val="es-ES_tradnl"/>
        </w:rPr>
      </w:pPr>
      <w:r w:rsidRPr="005A47B3">
        <w:rPr>
          <w:rFonts w:ascii="Arial" w:eastAsia="Calibri" w:hAnsi="Arial" w:cs="Arial"/>
          <w:b/>
          <w:color w:val="000000" w:themeColor="text1"/>
          <w:sz w:val="22"/>
          <w:lang w:val="es-ES_tradnl"/>
        </w:rPr>
        <w:t>3. Respuestas</w:t>
      </w:r>
    </w:p>
    <w:p w14:paraId="1D78D111" w14:textId="77777777" w:rsidR="008A6AA1" w:rsidRPr="005A47B3" w:rsidRDefault="008A6AA1" w:rsidP="006618E4">
      <w:pPr>
        <w:tabs>
          <w:tab w:val="left" w:pos="0"/>
        </w:tabs>
        <w:jc w:val="both"/>
        <w:rPr>
          <w:rFonts w:ascii="Arial" w:eastAsia="Calibri" w:hAnsi="Arial" w:cs="Arial"/>
          <w:color w:val="000000" w:themeColor="text1"/>
          <w:sz w:val="22"/>
          <w:lang w:val="es-ES_tradnl"/>
        </w:rPr>
      </w:pPr>
    </w:p>
    <w:p w14:paraId="758D4830" w14:textId="5008C23D" w:rsidR="00B41D66" w:rsidRPr="005A47B3" w:rsidRDefault="00803AB0" w:rsidP="006618E4">
      <w:pPr>
        <w:ind w:left="709" w:right="709"/>
        <w:jc w:val="both"/>
        <w:rPr>
          <w:rFonts w:ascii="Arial" w:hAnsi="Arial" w:cs="Arial"/>
          <w:color w:val="000000" w:themeColor="text1"/>
          <w:sz w:val="21"/>
          <w:szCs w:val="21"/>
        </w:rPr>
      </w:pPr>
      <w:r w:rsidRPr="005A47B3">
        <w:rPr>
          <w:rFonts w:ascii="Arial" w:hAnsi="Arial" w:cs="Arial"/>
          <w:color w:val="000000" w:themeColor="text1"/>
          <w:sz w:val="21"/>
          <w:szCs w:val="21"/>
          <w:lang w:val="es-ES_tradnl"/>
        </w:rPr>
        <w:t>«</w:t>
      </w:r>
      <w:r w:rsidR="00630845" w:rsidRPr="005A47B3">
        <w:rPr>
          <w:rFonts w:ascii="Arial" w:hAnsi="Arial" w:cs="Arial"/>
          <w:color w:val="000000" w:themeColor="text1"/>
          <w:sz w:val="21"/>
          <w:szCs w:val="21"/>
          <w:bdr w:val="none" w:sz="0" w:space="0" w:color="auto" w:frame="1"/>
        </w:rPr>
        <w:t xml:space="preserve">Entendiendo que a la fecha el servicio de internet </w:t>
      </w:r>
      <w:r w:rsidR="00630845" w:rsidRPr="005A47B3">
        <w:rPr>
          <w:rFonts w:ascii="Arial" w:hAnsi="Arial" w:cs="Arial"/>
          <w:b/>
          <w:bCs/>
          <w:color w:val="000000" w:themeColor="text1"/>
          <w:sz w:val="21"/>
          <w:szCs w:val="21"/>
          <w:bdr w:val="none" w:sz="0" w:space="0" w:color="auto" w:frame="1"/>
        </w:rPr>
        <w:t>no</w:t>
      </w:r>
      <w:r w:rsidR="00630845" w:rsidRPr="005A47B3">
        <w:rPr>
          <w:rFonts w:ascii="Arial" w:hAnsi="Arial" w:cs="Arial"/>
          <w:color w:val="000000" w:themeColor="text1"/>
          <w:sz w:val="21"/>
          <w:szCs w:val="21"/>
          <w:bdr w:val="none" w:sz="0" w:space="0" w:color="auto" w:frame="1"/>
        </w:rPr>
        <w:t xml:space="preserve"> está establecido formalmente como un servicio público </w:t>
      </w:r>
      <w:r w:rsidR="00630845" w:rsidRPr="005A47B3">
        <w:rPr>
          <w:rFonts w:ascii="Arial" w:hAnsi="Arial" w:cs="Arial"/>
          <w:b/>
          <w:bCs/>
          <w:color w:val="000000" w:themeColor="text1"/>
          <w:sz w:val="21"/>
          <w:szCs w:val="21"/>
          <w:bdr w:val="none" w:sz="0" w:space="0" w:color="auto" w:frame="1"/>
        </w:rPr>
        <w:t xml:space="preserve">domiciliario, </w:t>
      </w:r>
      <w:r w:rsidR="00630845" w:rsidRPr="005A47B3">
        <w:rPr>
          <w:rFonts w:ascii="Arial" w:hAnsi="Arial" w:cs="Arial"/>
          <w:color w:val="000000" w:themeColor="text1"/>
          <w:sz w:val="21"/>
          <w:szCs w:val="21"/>
          <w:bdr w:val="none" w:sz="0" w:space="0" w:color="auto" w:frame="1"/>
        </w:rPr>
        <w:t xml:space="preserve">bajo que </w:t>
      </w:r>
      <w:r w:rsidR="00630845" w:rsidRPr="005A47B3">
        <w:rPr>
          <w:rFonts w:ascii="Arial" w:hAnsi="Arial" w:cs="Arial"/>
          <w:color w:val="000000" w:themeColor="text1"/>
          <w:sz w:val="21"/>
          <w:szCs w:val="21"/>
        </w:rPr>
        <w:t>legislación</w:t>
      </w:r>
      <w:r w:rsidR="00630845" w:rsidRPr="005A47B3">
        <w:rPr>
          <w:rFonts w:ascii="Arial" w:hAnsi="Arial" w:cs="Arial"/>
          <w:color w:val="000000" w:themeColor="text1"/>
          <w:sz w:val="21"/>
          <w:szCs w:val="21"/>
          <w:bdr w:val="none" w:sz="0" w:space="0" w:color="auto" w:frame="1"/>
        </w:rPr>
        <w:t xml:space="preserve">/jurisprudencia se puede realizar la </w:t>
      </w:r>
      <w:r w:rsidR="00630845" w:rsidRPr="005A47B3">
        <w:rPr>
          <w:rFonts w:ascii="Arial" w:hAnsi="Arial" w:cs="Arial"/>
          <w:b/>
          <w:bCs/>
          <w:color w:val="000000" w:themeColor="text1"/>
          <w:sz w:val="21"/>
          <w:szCs w:val="21"/>
        </w:rPr>
        <w:t>contratación directa</w:t>
      </w:r>
      <w:r w:rsidR="00630845" w:rsidRPr="005A47B3">
        <w:rPr>
          <w:rFonts w:ascii="Arial" w:hAnsi="Arial" w:cs="Arial"/>
          <w:color w:val="000000" w:themeColor="text1"/>
          <w:sz w:val="21"/>
          <w:szCs w:val="21"/>
          <w:bdr w:val="none" w:sz="0" w:space="0" w:color="auto" w:frame="1"/>
        </w:rPr>
        <w:t xml:space="preserve"> de este servicio entre entidades públicas durante la vigencia de la Ley de </w:t>
      </w:r>
      <w:r w:rsidR="00630845" w:rsidRPr="005A47B3">
        <w:rPr>
          <w:rFonts w:ascii="Arial" w:hAnsi="Arial" w:cs="Arial"/>
          <w:color w:val="000000" w:themeColor="text1"/>
          <w:sz w:val="21"/>
          <w:szCs w:val="21"/>
        </w:rPr>
        <w:t>Garantías</w:t>
      </w:r>
      <w:r w:rsidR="00630845" w:rsidRPr="005A47B3">
        <w:rPr>
          <w:rFonts w:ascii="Arial" w:hAnsi="Arial" w:cs="Arial"/>
          <w:color w:val="000000" w:themeColor="text1"/>
          <w:sz w:val="21"/>
          <w:szCs w:val="21"/>
          <w:bdr w:val="none" w:sz="0" w:space="0" w:color="auto" w:frame="1"/>
        </w:rPr>
        <w:t xml:space="preserve"> (En la Ley de Garantías hay excepciones para realizar </w:t>
      </w:r>
      <w:r w:rsidR="00630845" w:rsidRPr="005A47B3">
        <w:rPr>
          <w:rFonts w:ascii="Arial" w:hAnsi="Arial" w:cs="Arial"/>
          <w:color w:val="000000" w:themeColor="text1"/>
          <w:sz w:val="21"/>
          <w:szCs w:val="21"/>
        </w:rPr>
        <w:t>contratación</w:t>
      </w:r>
      <w:r w:rsidR="00630845" w:rsidRPr="005A47B3">
        <w:rPr>
          <w:rFonts w:ascii="Arial" w:hAnsi="Arial" w:cs="Arial"/>
          <w:color w:val="000000" w:themeColor="text1"/>
          <w:sz w:val="21"/>
          <w:szCs w:val="21"/>
          <w:bdr w:val="none" w:sz="0" w:space="0" w:color="auto" w:frame="1"/>
        </w:rPr>
        <w:t xml:space="preserve"> directa entre ellas los servicios </w:t>
      </w:r>
      <w:r w:rsidR="001A0929" w:rsidRPr="005A47B3">
        <w:rPr>
          <w:rFonts w:ascii="Arial" w:hAnsi="Arial" w:cs="Arial"/>
          <w:color w:val="000000" w:themeColor="text1"/>
          <w:sz w:val="21"/>
          <w:szCs w:val="21"/>
        </w:rPr>
        <w:t>públicos,</w:t>
      </w:r>
      <w:r w:rsidR="00630845" w:rsidRPr="005A47B3">
        <w:rPr>
          <w:rFonts w:ascii="Arial" w:hAnsi="Arial" w:cs="Arial"/>
          <w:color w:val="000000" w:themeColor="text1"/>
          <w:sz w:val="21"/>
          <w:szCs w:val="21"/>
          <w:bdr w:val="none" w:sz="0" w:space="0" w:color="auto" w:frame="1"/>
        </w:rPr>
        <w:t xml:space="preserve"> pero solo domiciliarios)</w:t>
      </w:r>
      <w:r w:rsidR="00630845" w:rsidRPr="005A47B3">
        <w:rPr>
          <w:rFonts w:ascii="Arial" w:hAnsi="Arial" w:cs="Arial"/>
          <w:color w:val="000000" w:themeColor="text1"/>
          <w:sz w:val="21"/>
          <w:szCs w:val="21"/>
          <w:lang w:val="es-ES_tradnl"/>
        </w:rPr>
        <w:t>»</w:t>
      </w:r>
      <w:r w:rsidR="00630845" w:rsidRPr="005A47B3">
        <w:rPr>
          <w:rFonts w:ascii="Arial" w:hAnsi="Arial" w:cs="Arial"/>
          <w:color w:val="000000" w:themeColor="text1"/>
          <w:sz w:val="21"/>
          <w:szCs w:val="21"/>
          <w:bdr w:val="none" w:sz="0" w:space="0" w:color="auto" w:frame="1"/>
        </w:rPr>
        <w:t>.</w:t>
      </w:r>
    </w:p>
    <w:p w14:paraId="0A866EA5" w14:textId="77777777" w:rsidR="00B41D66" w:rsidRPr="005A47B3" w:rsidRDefault="00B41D66" w:rsidP="006B3EB4">
      <w:pPr>
        <w:spacing w:line="276" w:lineRule="auto"/>
        <w:ind w:right="709"/>
        <w:jc w:val="both"/>
        <w:rPr>
          <w:rFonts w:ascii="Arial" w:hAnsi="Arial" w:cs="Arial"/>
          <w:color w:val="000000" w:themeColor="text1"/>
          <w:sz w:val="20"/>
          <w:szCs w:val="22"/>
        </w:rPr>
      </w:pPr>
    </w:p>
    <w:p w14:paraId="5D10AD5E" w14:textId="10D2C5D7" w:rsidR="00442D77" w:rsidRPr="005A47B3" w:rsidRDefault="00442D77" w:rsidP="00861F5C">
      <w:pPr>
        <w:spacing w:after="120" w:line="276" w:lineRule="auto"/>
        <w:jc w:val="both"/>
        <w:rPr>
          <w:rFonts w:ascii="Arial" w:hAnsi="Arial" w:cs="Arial"/>
          <w:color w:val="000000" w:themeColor="text1"/>
          <w:sz w:val="22"/>
          <w:szCs w:val="22"/>
        </w:rPr>
      </w:pPr>
      <w:r w:rsidRPr="005A47B3">
        <w:rPr>
          <w:rFonts w:ascii="Arial" w:hAnsi="Arial" w:cs="Arial"/>
          <w:color w:val="000000" w:themeColor="text1"/>
          <w:sz w:val="22"/>
          <w:szCs w:val="22"/>
        </w:rPr>
        <w:t xml:space="preserve">El parágrafo del artículo 38 de la Ley 996 de 2005, prohíbe a los gobernadores, alcaldes, secretarios, gerentes y directores de las entidades estatales de orden Municipal, Departamental o Distrital, </w:t>
      </w:r>
      <w:r w:rsidR="00ED2998" w:rsidRPr="005A47B3">
        <w:rPr>
          <w:rFonts w:ascii="Arial" w:hAnsi="Arial" w:cs="Arial"/>
          <w:color w:val="000000" w:themeColor="text1"/>
          <w:sz w:val="22"/>
          <w:szCs w:val="22"/>
        </w:rPr>
        <w:t>celebrar</w:t>
      </w:r>
      <w:r w:rsidRPr="005A47B3">
        <w:rPr>
          <w:rFonts w:ascii="Arial" w:hAnsi="Arial" w:cs="Arial"/>
          <w:color w:val="000000" w:themeColor="text1"/>
          <w:sz w:val="22"/>
          <w:szCs w:val="22"/>
        </w:rPr>
        <w:t xml:space="preserve"> convenios o contratos interadministrativos que ejecuten recursos públicos. En este sentido, si una o ambas partes son entidades estatales, de aquellas descritas en el parágrafo del artículo 38 </w:t>
      </w:r>
      <w:r w:rsidRPr="005A47B3">
        <w:rPr>
          <w:rFonts w:ascii="Arial" w:hAnsi="Arial" w:cs="Arial"/>
          <w:i/>
          <w:color w:val="000000" w:themeColor="text1"/>
          <w:sz w:val="22"/>
          <w:szCs w:val="22"/>
        </w:rPr>
        <w:t>ibidem</w:t>
      </w:r>
      <w:r w:rsidRPr="005A47B3">
        <w:rPr>
          <w:rFonts w:ascii="Arial" w:hAnsi="Arial" w:cs="Arial"/>
          <w:color w:val="000000" w:themeColor="text1"/>
          <w:sz w:val="22"/>
          <w:szCs w:val="22"/>
        </w:rPr>
        <w:t xml:space="preserve">, no podrán celebrar entre estas convenios o contratos durante el periodo electoral que se llevará el próximo año, indistintamente de su objeto contractual, pues, como se anotó </w:t>
      </w:r>
      <w:r w:rsidR="004430D7" w:rsidRPr="005A47B3">
        <w:rPr>
          <w:rFonts w:ascii="Arial" w:hAnsi="Arial" w:cs="Arial"/>
          <w:color w:val="000000" w:themeColor="text1"/>
          <w:sz w:val="22"/>
          <w:szCs w:val="22"/>
        </w:rPr>
        <w:t xml:space="preserve">en </w:t>
      </w:r>
      <w:r w:rsidRPr="005A47B3">
        <w:rPr>
          <w:rFonts w:ascii="Arial" w:hAnsi="Arial" w:cs="Arial"/>
          <w:color w:val="000000" w:themeColor="text1"/>
          <w:sz w:val="22"/>
          <w:szCs w:val="22"/>
        </w:rPr>
        <w:t>preceden</w:t>
      </w:r>
      <w:r w:rsidR="004430D7" w:rsidRPr="005A47B3">
        <w:rPr>
          <w:rFonts w:ascii="Arial" w:hAnsi="Arial" w:cs="Arial"/>
          <w:color w:val="000000" w:themeColor="text1"/>
          <w:sz w:val="22"/>
          <w:szCs w:val="22"/>
        </w:rPr>
        <w:t>cia</w:t>
      </w:r>
      <w:r w:rsidRPr="005A47B3">
        <w:rPr>
          <w:rFonts w:ascii="Arial" w:hAnsi="Arial" w:cs="Arial"/>
          <w:color w:val="000000" w:themeColor="text1"/>
          <w:sz w:val="22"/>
          <w:szCs w:val="22"/>
        </w:rPr>
        <w:t xml:space="preserve">, si las partes son entidades estatales su denominación será la de un contrato o convenio interadministrativo, y </w:t>
      </w:r>
      <w:r w:rsidR="00ED2998" w:rsidRPr="005A47B3">
        <w:rPr>
          <w:rFonts w:ascii="Arial" w:hAnsi="Arial" w:cs="Arial"/>
          <w:color w:val="000000" w:themeColor="text1"/>
          <w:sz w:val="22"/>
          <w:szCs w:val="22"/>
        </w:rPr>
        <w:t>la celebración de dichos contratos está</w:t>
      </w:r>
      <w:r w:rsidRPr="005A47B3">
        <w:rPr>
          <w:rFonts w:ascii="Arial" w:hAnsi="Arial" w:cs="Arial"/>
          <w:color w:val="000000" w:themeColor="text1"/>
          <w:sz w:val="22"/>
          <w:szCs w:val="22"/>
        </w:rPr>
        <w:t xml:space="preserve"> restringida en el parágrafo del artículo 38 de la Ley 996 de 2005, la cual no dispuso excepción alguna por su</w:t>
      </w:r>
      <w:r w:rsidRPr="005A47B3">
        <w:rPr>
          <w:rFonts w:ascii="Arial" w:hAnsi="Arial" w:cs="Arial"/>
          <w:color w:val="000000" w:themeColor="text1"/>
          <w:spacing w:val="-5"/>
          <w:sz w:val="22"/>
          <w:szCs w:val="22"/>
        </w:rPr>
        <w:t xml:space="preserve"> </w:t>
      </w:r>
      <w:r w:rsidRPr="005A47B3">
        <w:rPr>
          <w:rFonts w:ascii="Arial" w:hAnsi="Arial" w:cs="Arial"/>
          <w:color w:val="000000" w:themeColor="text1"/>
          <w:sz w:val="22"/>
          <w:szCs w:val="22"/>
        </w:rPr>
        <w:t>objeto</w:t>
      </w:r>
      <w:r w:rsidR="00294238" w:rsidRPr="005A47B3">
        <w:rPr>
          <w:rFonts w:ascii="Arial" w:hAnsi="Arial" w:cs="Arial"/>
          <w:color w:val="000000" w:themeColor="text1"/>
          <w:sz w:val="22"/>
          <w:szCs w:val="22"/>
        </w:rPr>
        <w:t xml:space="preserve">. Así </w:t>
      </w:r>
      <w:r w:rsidR="00294238" w:rsidRPr="005A47B3">
        <w:rPr>
          <w:rFonts w:ascii="Arial" w:hAnsi="Arial" w:cs="Arial"/>
          <w:color w:val="000000" w:themeColor="text1"/>
          <w:sz w:val="22"/>
          <w:szCs w:val="22"/>
        </w:rPr>
        <w:lastRenderedPageBreak/>
        <w:t xml:space="preserve">mismo, dentro del orden jurídico no se estableció una regla especial para exceptuar lo dispuesto en el artículo 38 de la Ley 996 de 2005. </w:t>
      </w:r>
    </w:p>
    <w:p w14:paraId="15F6D99B" w14:textId="094E84AE" w:rsidR="00B80476" w:rsidRPr="005A47B3" w:rsidRDefault="001817E9" w:rsidP="00314CA8">
      <w:pPr>
        <w:spacing w:after="120" w:line="276" w:lineRule="auto"/>
        <w:ind w:firstLine="708"/>
        <w:jc w:val="both"/>
        <w:rPr>
          <w:rFonts w:ascii="Arial" w:hAnsi="Arial" w:cs="Arial"/>
          <w:color w:val="000000" w:themeColor="text1"/>
          <w:sz w:val="22"/>
          <w:szCs w:val="22"/>
        </w:rPr>
      </w:pPr>
      <w:r w:rsidRPr="005A47B3">
        <w:rPr>
          <w:rFonts w:ascii="Arial" w:hAnsi="Arial" w:cs="Arial"/>
          <w:color w:val="000000" w:themeColor="text1"/>
          <w:sz w:val="22"/>
          <w:szCs w:val="22"/>
        </w:rPr>
        <w:t xml:space="preserve">En efecto, no se establece una excepción dentro del parágrafo del artículo 38 de la Ley de garantías electorales </w:t>
      </w:r>
      <w:r w:rsidR="00930521" w:rsidRPr="005A47B3">
        <w:rPr>
          <w:rFonts w:ascii="Arial" w:hAnsi="Arial" w:cs="Arial"/>
          <w:color w:val="000000" w:themeColor="text1"/>
          <w:sz w:val="22"/>
          <w:szCs w:val="22"/>
        </w:rPr>
        <w:t>sobre el objeto a contratar. P</w:t>
      </w:r>
      <w:r w:rsidRPr="005A47B3">
        <w:rPr>
          <w:rFonts w:ascii="Arial" w:hAnsi="Arial" w:cs="Arial"/>
          <w:color w:val="000000" w:themeColor="text1"/>
          <w:sz w:val="22"/>
          <w:szCs w:val="22"/>
        </w:rPr>
        <w:t xml:space="preserve">or consiguiente, no </w:t>
      </w:r>
      <w:r w:rsidR="00D07BF6" w:rsidRPr="005A47B3">
        <w:rPr>
          <w:rFonts w:ascii="Arial" w:hAnsi="Arial" w:cs="Arial"/>
          <w:color w:val="000000" w:themeColor="text1"/>
          <w:sz w:val="22"/>
          <w:szCs w:val="22"/>
        </w:rPr>
        <w:t xml:space="preserve">sería </w:t>
      </w:r>
      <w:r w:rsidRPr="005A47B3">
        <w:rPr>
          <w:rFonts w:ascii="Arial" w:hAnsi="Arial" w:cs="Arial"/>
          <w:color w:val="000000" w:themeColor="text1"/>
          <w:sz w:val="22"/>
          <w:szCs w:val="22"/>
        </w:rPr>
        <w:t>posible</w:t>
      </w:r>
      <w:r w:rsidR="00D07BF6" w:rsidRPr="005A47B3">
        <w:rPr>
          <w:rFonts w:ascii="Arial" w:hAnsi="Arial" w:cs="Arial"/>
          <w:color w:val="000000" w:themeColor="text1"/>
          <w:sz w:val="22"/>
          <w:szCs w:val="22"/>
        </w:rPr>
        <w:t>, por ejemplo,</w:t>
      </w:r>
      <w:r w:rsidRPr="005A47B3">
        <w:rPr>
          <w:rFonts w:ascii="Arial" w:hAnsi="Arial" w:cs="Arial"/>
          <w:color w:val="000000" w:themeColor="text1"/>
          <w:sz w:val="22"/>
          <w:szCs w:val="22"/>
        </w:rPr>
        <w:t xml:space="preserve"> </w:t>
      </w:r>
      <w:r w:rsidR="00D07BF6" w:rsidRPr="005A47B3">
        <w:rPr>
          <w:rFonts w:ascii="Arial" w:hAnsi="Arial" w:cs="Arial"/>
          <w:color w:val="000000" w:themeColor="text1"/>
          <w:sz w:val="22"/>
          <w:szCs w:val="22"/>
        </w:rPr>
        <w:t>celebrar</w:t>
      </w:r>
      <w:r w:rsidR="00930521" w:rsidRPr="005A47B3">
        <w:rPr>
          <w:rFonts w:ascii="Arial" w:hAnsi="Arial" w:cs="Arial"/>
          <w:color w:val="000000" w:themeColor="text1"/>
          <w:sz w:val="22"/>
          <w:szCs w:val="22"/>
        </w:rPr>
        <w:t xml:space="preserve"> </w:t>
      </w:r>
      <w:r w:rsidRPr="005A47B3">
        <w:rPr>
          <w:rFonts w:ascii="Arial" w:hAnsi="Arial" w:cs="Arial"/>
          <w:color w:val="000000" w:themeColor="text1"/>
          <w:sz w:val="22"/>
          <w:szCs w:val="22"/>
        </w:rPr>
        <w:t xml:space="preserve">un contrato interadministrativo </w:t>
      </w:r>
      <w:r w:rsidR="00D07BF6" w:rsidRPr="005A47B3">
        <w:rPr>
          <w:rFonts w:ascii="Arial" w:hAnsi="Arial" w:cs="Arial"/>
          <w:color w:val="000000" w:themeColor="text1"/>
          <w:sz w:val="22"/>
          <w:szCs w:val="22"/>
        </w:rPr>
        <w:t xml:space="preserve">para la </w:t>
      </w:r>
      <w:r w:rsidRPr="005A47B3">
        <w:rPr>
          <w:rFonts w:ascii="Arial" w:hAnsi="Arial" w:cs="Arial"/>
          <w:color w:val="000000" w:themeColor="text1"/>
          <w:sz w:val="22"/>
          <w:szCs w:val="22"/>
        </w:rPr>
        <w:t xml:space="preserve">prestación del servicio de internet </w:t>
      </w:r>
      <w:r w:rsidR="00930521" w:rsidRPr="005A47B3">
        <w:rPr>
          <w:rFonts w:ascii="Arial" w:hAnsi="Arial" w:cs="Arial"/>
          <w:color w:val="000000" w:themeColor="text1"/>
          <w:sz w:val="22"/>
          <w:szCs w:val="22"/>
        </w:rPr>
        <w:t>por fuera de los términos establecidos en la Ley en mención</w:t>
      </w:r>
      <w:r w:rsidR="001A0929" w:rsidRPr="005A47B3">
        <w:rPr>
          <w:rFonts w:ascii="Arial" w:hAnsi="Arial" w:cs="Arial"/>
          <w:color w:val="000000" w:themeColor="text1"/>
          <w:sz w:val="22"/>
          <w:szCs w:val="22"/>
        </w:rPr>
        <w:t>, esto es, 4 mese</w:t>
      </w:r>
      <w:r w:rsidR="00E25EB2" w:rsidRPr="005A47B3">
        <w:rPr>
          <w:rFonts w:ascii="Arial" w:hAnsi="Arial" w:cs="Arial"/>
          <w:color w:val="000000" w:themeColor="text1"/>
          <w:sz w:val="22"/>
          <w:szCs w:val="22"/>
        </w:rPr>
        <w:t>s</w:t>
      </w:r>
      <w:r w:rsidR="001A0929" w:rsidRPr="005A47B3">
        <w:rPr>
          <w:rFonts w:ascii="Arial" w:hAnsi="Arial" w:cs="Arial"/>
          <w:color w:val="000000" w:themeColor="text1"/>
          <w:sz w:val="22"/>
          <w:szCs w:val="22"/>
        </w:rPr>
        <w:t xml:space="preserve"> ante</w:t>
      </w:r>
      <w:r w:rsidR="00DE106B" w:rsidRPr="005A47B3">
        <w:rPr>
          <w:rFonts w:ascii="Arial" w:hAnsi="Arial" w:cs="Arial"/>
          <w:color w:val="000000" w:themeColor="text1"/>
          <w:sz w:val="22"/>
          <w:szCs w:val="22"/>
        </w:rPr>
        <w:t>s</w:t>
      </w:r>
      <w:r w:rsidR="00E25EB2" w:rsidRPr="005A47B3">
        <w:rPr>
          <w:rFonts w:ascii="Arial" w:hAnsi="Arial" w:cs="Arial"/>
          <w:color w:val="000000" w:themeColor="text1"/>
          <w:sz w:val="22"/>
          <w:szCs w:val="22"/>
        </w:rPr>
        <w:t xml:space="preserve"> </w:t>
      </w:r>
      <w:r w:rsidR="00916A4C" w:rsidRPr="005A47B3">
        <w:rPr>
          <w:rFonts w:ascii="Arial" w:hAnsi="Arial" w:cs="Arial"/>
          <w:color w:val="000000" w:themeColor="text1"/>
          <w:sz w:val="22"/>
          <w:szCs w:val="22"/>
        </w:rPr>
        <w:t>de</w:t>
      </w:r>
      <w:r w:rsidR="00987123" w:rsidRPr="005A47B3">
        <w:rPr>
          <w:rFonts w:ascii="Arial" w:hAnsi="Arial" w:cs="Arial"/>
          <w:color w:val="000000" w:themeColor="text1"/>
          <w:sz w:val="22"/>
          <w:szCs w:val="22"/>
        </w:rPr>
        <w:t xml:space="preserve"> las</w:t>
      </w:r>
      <w:r w:rsidR="00E25EB2" w:rsidRPr="005A47B3">
        <w:rPr>
          <w:rFonts w:ascii="Arial" w:hAnsi="Arial" w:cs="Arial"/>
          <w:color w:val="000000" w:themeColor="text1"/>
          <w:sz w:val="22"/>
          <w:szCs w:val="22"/>
        </w:rPr>
        <w:t xml:space="preserve"> elecciones.</w:t>
      </w:r>
      <w:r w:rsidR="001A0929" w:rsidRPr="005A47B3">
        <w:rPr>
          <w:rFonts w:ascii="Arial" w:hAnsi="Arial" w:cs="Arial"/>
          <w:color w:val="000000" w:themeColor="text1"/>
          <w:sz w:val="22"/>
          <w:szCs w:val="22"/>
        </w:rPr>
        <w:t xml:space="preserve"> </w:t>
      </w:r>
      <w:r w:rsidR="00930521" w:rsidRPr="005A47B3">
        <w:rPr>
          <w:rFonts w:ascii="Arial" w:hAnsi="Arial" w:cs="Arial"/>
          <w:color w:val="000000" w:themeColor="text1"/>
          <w:sz w:val="22"/>
          <w:szCs w:val="22"/>
        </w:rPr>
        <w:t xml:space="preserve"> </w:t>
      </w:r>
    </w:p>
    <w:p w14:paraId="2985E938" w14:textId="58E3F37D" w:rsidR="001A7C04" w:rsidRDefault="00D07BF6" w:rsidP="00FA5130">
      <w:pPr>
        <w:spacing w:after="120" w:line="276" w:lineRule="auto"/>
        <w:ind w:firstLine="708"/>
        <w:jc w:val="both"/>
        <w:rPr>
          <w:rFonts w:ascii="Arial" w:eastAsia="Calibri" w:hAnsi="Arial" w:cs="Arial"/>
          <w:bCs/>
          <w:color w:val="000000" w:themeColor="text1"/>
          <w:sz w:val="22"/>
          <w:szCs w:val="22"/>
          <w:lang w:val="es-ES_tradnl" w:eastAsia="en-US"/>
        </w:rPr>
      </w:pPr>
      <w:r w:rsidRPr="005A47B3">
        <w:rPr>
          <w:rFonts w:ascii="Arial" w:eastAsia="Calibri" w:hAnsi="Arial" w:cs="Arial"/>
          <w:bCs/>
          <w:color w:val="000000" w:themeColor="text1"/>
          <w:sz w:val="22"/>
          <w:szCs w:val="22"/>
          <w:lang w:val="es-ES_tradnl" w:eastAsia="en-US"/>
        </w:rPr>
        <w:t>Teniendo en cuenta el marco jurídico analizado, le corresponderá a cada entidad estatal planear y prever la forma como adelantará su actividad contractual para efectos de desarrollar sus funciones de manera compatible con las restricciones analizadas. En todo caso, vale la pena indicar que</w:t>
      </w:r>
      <w:r w:rsidR="007446F6">
        <w:rPr>
          <w:rFonts w:ascii="Arial" w:eastAsia="Calibri" w:hAnsi="Arial" w:cs="Arial"/>
          <w:bCs/>
          <w:color w:val="000000" w:themeColor="text1"/>
          <w:sz w:val="22"/>
          <w:szCs w:val="22"/>
          <w:lang w:val="es-ES_tradnl" w:eastAsia="en-US"/>
        </w:rPr>
        <w:t>,</w:t>
      </w:r>
      <w:r w:rsidRPr="005A47B3">
        <w:rPr>
          <w:rFonts w:ascii="Arial" w:eastAsia="Calibri" w:hAnsi="Arial" w:cs="Arial"/>
          <w:bCs/>
          <w:color w:val="000000" w:themeColor="text1"/>
          <w:sz w:val="22"/>
          <w:szCs w:val="22"/>
          <w:lang w:val="es-ES_tradnl" w:eastAsia="en-US"/>
        </w:rPr>
        <w:t xml:space="preserve"> si bien la ley de garantías impide celebrar durante cierto </w:t>
      </w:r>
      <w:r w:rsidR="008338D0" w:rsidRPr="005A47B3">
        <w:rPr>
          <w:rFonts w:ascii="Arial" w:eastAsia="Calibri" w:hAnsi="Arial" w:cs="Arial"/>
          <w:bCs/>
          <w:color w:val="000000" w:themeColor="text1"/>
          <w:sz w:val="22"/>
          <w:szCs w:val="22"/>
          <w:lang w:val="es-ES_tradnl" w:eastAsia="en-US"/>
        </w:rPr>
        <w:t>lapso</w:t>
      </w:r>
      <w:r w:rsidRPr="005A47B3">
        <w:rPr>
          <w:rFonts w:ascii="Arial" w:eastAsia="Calibri" w:hAnsi="Arial" w:cs="Arial"/>
          <w:bCs/>
          <w:color w:val="000000" w:themeColor="text1"/>
          <w:sz w:val="22"/>
          <w:szCs w:val="22"/>
          <w:lang w:val="es-ES_tradnl" w:eastAsia="en-US"/>
        </w:rPr>
        <w:t xml:space="preserve"> algunos contratos, ello no impide que los contratos celebrados antes del ámbito temporal de las prohibiciones se puedan continuar ejecutando durante</w:t>
      </w:r>
      <w:r w:rsidR="00A31CE1" w:rsidRPr="005A47B3">
        <w:rPr>
          <w:rFonts w:ascii="Arial" w:eastAsia="Calibri" w:hAnsi="Arial" w:cs="Arial"/>
          <w:bCs/>
          <w:color w:val="000000" w:themeColor="text1"/>
          <w:sz w:val="22"/>
          <w:szCs w:val="22"/>
          <w:lang w:val="es-ES_tradnl" w:eastAsia="en-US"/>
        </w:rPr>
        <w:t xml:space="preserve"> e</w:t>
      </w:r>
      <w:r w:rsidRPr="005A47B3">
        <w:rPr>
          <w:rFonts w:ascii="Arial" w:eastAsia="Calibri" w:hAnsi="Arial" w:cs="Arial"/>
          <w:bCs/>
          <w:color w:val="000000" w:themeColor="text1"/>
          <w:sz w:val="22"/>
          <w:szCs w:val="22"/>
          <w:lang w:val="es-ES_tradnl" w:eastAsia="en-US"/>
        </w:rPr>
        <w:t xml:space="preserve">l periodo </w:t>
      </w:r>
      <w:r w:rsidR="00A31CE1" w:rsidRPr="005A47B3">
        <w:rPr>
          <w:rFonts w:ascii="Arial" w:eastAsia="Calibri" w:hAnsi="Arial" w:cs="Arial"/>
          <w:bCs/>
          <w:color w:val="000000" w:themeColor="text1"/>
          <w:sz w:val="22"/>
          <w:szCs w:val="22"/>
          <w:lang w:val="es-ES_tradnl" w:eastAsia="en-US"/>
        </w:rPr>
        <w:t xml:space="preserve">en </w:t>
      </w:r>
      <w:r w:rsidRPr="005A47B3">
        <w:rPr>
          <w:rFonts w:ascii="Arial" w:eastAsia="Calibri" w:hAnsi="Arial" w:cs="Arial"/>
          <w:bCs/>
          <w:color w:val="000000" w:themeColor="text1"/>
          <w:sz w:val="22"/>
          <w:szCs w:val="22"/>
          <w:lang w:val="es-ES_tradnl" w:eastAsia="en-US"/>
        </w:rPr>
        <w:t>que rigen las restricciones.</w:t>
      </w:r>
      <w:r w:rsidR="007446F6">
        <w:rPr>
          <w:rFonts w:ascii="Arial" w:eastAsia="Calibri" w:hAnsi="Arial" w:cs="Arial"/>
          <w:bCs/>
          <w:color w:val="000000" w:themeColor="text1"/>
          <w:sz w:val="22"/>
          <w:szCs w:val="22"/>
          <w:lang w:val="es-ES_tradnl" w:eastAsia="en-US"/>
        </w:rPr>
        <w:t xml:space="preserve"> Así mismo, deben tener en cuenta las reglas presupuestales dispuestas en el Estatuto Orgánico de Presupuesto. </w:t>
      </w:r>
    </w:p>
    <w:p w14:paraId="7B40DBE9" w14:textId="77777777" w:rsidR="00ED2998" w:rsidRDefault="00ED2998" w:rsidP="00861F5C">
      <w:pPr>
        <w:spacing w:line="276" w:lineRule="auto"/>
        <w:ind w:firstLine="708"/>
        <w:jc w:val="both"/>
        <w:rPr>
          <w:rFonts w:ascii="Arial" w:hAnsi="Arial" w:cs="Arial"/>
          <w:color w:val="000000" w:themeColor="text1"/>
          <w:sz w:val="22"/>
          <w:lang w:val="es-ES_tradnl"/>
        </w:rPr>
      </w:pPr>
    </w:p>
    <w:p w14:paraId="7B2C921D" w14:textId="0F779FF9" w:rsidR="00DD5B04" w:rsidRPr="004E4581" w:rsidRDefault="00DD5B04" w:rsidP="00861F5C">
      <w:pPr>
        <w:spacing w:line="276" w:lineRule="auto"/>
        <w:jc w:val="both"/>
        <w:rPr>
          <w:rFonts w:ascii="Arial" w:hAnsi="Arial" w:cs="Arial"/>
          <w:color w:val="000000" w:themeColor="text1"/>
          <w:sz w:val="22"/>
          <w:lang w:val="es-ES_tradnl"/>
        </w:rPr>
      </w:pPr>
      <w:r w:rsidRPr="004E458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E458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4E458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E4581">
        <w:rPr>
          <w:rFonts w:ascii="Arial" w:hAnsi="Arial" w:cs="Arial"/>
          <w:color w:val="000000" w:themeColor="text1"/>
          <w:sz w:val="22"/>
          <w:szCs w:val="22"/>
          <w:lang w:val="es-ES_tradnl"/>
        </w:rPr>
        <w:t>Atentamente,</w:t>
      </w:r>
    </w:p>
    <w:p w14:paraId="4914DA25" w14:textId="77777777" w:rsidR="00A80849" w:rsidRPr="004E4581" w:rsidRDefault="00A80849"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CBAE239" w14:textId="7F486052" w:rsidR="00425C43" w:rsidRPr="004E4581" w:rsidRDefault="004F51C2" w:rsidP="004F51C2">
      <w:pPr>
        <w:pStyle w:val="NormalWeb"/>
        <w:spacing w:before="0" w:beforeAutospacing="0" w:after="0" w:afterAutospacing="0" w:line="276" w:lineRule="auto"/>
        <w:jc w:val="center"/>
        <w:rPr>
          <w:color w:val="000000" w:themeColor="text1"/>
          <w:lang w:val="es-ES_tradnl"/>
        </w:rPr>
      </w:pPr>
      <w:r>
        <w:rPr>
          <w:noProof/>
        </w:rPr>
        <w:drawing>
          <wp:inline distT="0" distB="0" distL="0" distR="0" wp14:anchorId="16A414A4" wp14:editId="2FB88BF4">
            <wp:extent cx="2066290" cy="91440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066290" cy="914400"/>
                    </a:xfrm>
                    <a:prstGeom prst="rect">
                      <a:avLst/>
                    </a:prstGeom>
                  </pic:spPr>
                </pic:pic>
              </a:graphicData>
            </a:graphic>
          </wp:inline>
        </w:drawing>
      </w:r>
    </w:p>
    <w:p w14:paraId="49730030" w14:textId="217D35F3" w:rsidR="00DD5B04" w:rsidRPr="004E4581"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4581" w:rsidRPr="004E4581" w14:paraId="0C7DC5F7" w14:textId="77777777" w:rsidTr="008F4163">
        <w:trPr>
          <w:trHeight w:val="315"/>
        </w:trPr>
        <w:tc>
          <w:tcPr>
            <w:tcW w:w="812" w:type="dxa"/>
            <w:vAlign w:val="center"/>
            <w:hideMark/>
          </w:tcPr>
          <w:p w14:paraId="5BDB1AC9" w14:textId="77777777"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24E861" w:rsidR="00DD5B04" w:rsidRPr="004E4581" w:rsidRDefault="000254DD"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José Luis Sánchez Cardona</w:t>
            </w:r>
            <w:r w:rsidR="005E38E9" w:rsidRPr="004E4581">
              <w:rPr>
                <w:rFonts w:ascii="Arial" w:hAnsi="Arial" w:cs="Arial"/>
                <w:color w:val="000000" w:themeColor="text1"/>
                <w:sz w:val="16"/>
                <w:szCs w:val="16"/>
                <w:lang w:val="es-ES_tradnl" w:eastAsia="es-ES"/>
              </w:rPr>
              <w:t xml:space="preserve"> </w:t>
            </w:r>
          </w:p>
          <w:p w14:paraId="240C71FD" w14:textId="31312C95"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Contratista</w:t>
            </w:r>
            <w:r w:rsidR="00FF0050" w:rsidRPr="004E4581">
              <w:rPr>
                <w:rFonts w:ascii="Arial" w:hAnsi="Arial" w:cs="Arial"/>
                <w:color w:val="000000" w:themeColor="text1"/>
                <w:sz w:val="16"/>
                <w:szCs w:val="16"/>
                <w:lang w:val="es-ES_tradnl" w:eastAsia="es-ES"/>
              </w:rPr>
              <w:t xml:space="preserve"> de la </w:t>
            </w:r>
            <w:r w:rsidRPr="004E4581">
              <w:rPr>
                <w:rFonts w:ascii="Arial" w:hAnsi="Arial" w:cs="Arial"/>
                <w:color w:val="000000" w:themeColor="text1"/>
                <w:sz w:val="16"/>
                <w:szCs w:val="16"/>
                <w:lang w:val="es-ES_tradnl" w:eastAsia="es-ES"/>
              </w:rPr>
              <w:t>Subdirección de Gestión Contractual</w:t>
            </w:r>
          </w:p>
        </w:tc>
      </w:tr>
      <w:tr w:rsidR="004E4581" w:rsidRPr="004E4581" w14:paraId="2F8FD650" w14:textId="77777777" w:rsidTr="008F4163">
        <w:trPr>
          <w:trHeight w:val="330"/>
        </w:trPr>
        <w:tc>
          <w:tcPr>
            <w:tcW w:w="812" w:type="dxa"/>
            <w:vAlign w:val="center"/>
            <w:hideMark/>
          </w:tcPr>
          <w:p w14:paraId="50203A0B" w14:textId="77777777"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4B8DE5CD" w:rsidR="008623A7" w:rsidRPr="004E4581" w:rsidRDefault="000254DD" w:rsidP="008623A7">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Sebastián Ramírez Grisales</w:t>
            </w:r>
          </w:p>
          <w:p w14:paraId="130B3228" w14:textId="7A834F20" w:rsidR="002B08BA" w:rsidRPr="004E4581" w:rsidRDefault="005E38E9" w:rsidP="00C05A61">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G</w:t>
            </w:r>
            <w:r w:rsidR="003D281F" w:rsidRPr="004E4581">
              <w:rPr>
                <w:rFonts w:ascii="Arial" w:hAnsi="Arial" w:cs="Arial"/>
                <w:color w:val="000000" w:themeColor="text1"/>
                <w:sz w:val="16"/>
                <w:szCs w:val="16"/>
                <w:lang w:val="es-ES_tradnl" w:eastAsia="es-ES"/>
              </w:rPr>
              <w:t xml:space="preserve">estor </w:t>
            </w:r>
            <w:r w:rsidR="00015642" w:rsidRPr="004E4581">
              <w:rPr>
                <w:rFonts w:ascii="Arial" w:hAnsi="Arial" w:cs="Arial"/>
                <w:color w:val="000000" w:themeColor="text1"/>
                <w:sz w:val="16"/>
                <w:szCs w:val="16"/>
                <w:lang w:val="es-ES_tradnl" w:eastAsia="es-ES"/>
              </w:rPr>
              <w:t>T1-</w:t>
            </w:r>
            <w:r w:rsidR="003D281F" w:rsidRPr="004E4581">
              <w:rPr>
                <w:rFonts w:ascii="Arial" w:hAnsi="Arial" w:cs="Arial"/>
                <w:color w:val="000000" w:themeColor="text1"/>
                <w:sz w:val="16"/>
                <w:szCs w:val="16"/>
                <w:lang w:val="es-ES_tradnl" w:eastAsia="es-ES"/>
              </w:rPr>
              <w:t xml:space="preserve">15 </w:t>
            </w:r>
            <w:r w:rsidR="00015642" w:rsidRPr="004E4581">
              <w:rPr>
                <w:rFonts w:ascii="Arial" w:hAnsi="Arial" w:cs="Arial"/>
                <w:color w:val="000000" w:themeColor="text1"/>
                <w:sz w:val="16"/>
                <w:szCs w:val="16"/>
                <w:lang w:val="es-ES_tradnl" w:eastAsia="es-ES"/>
              </w:rPr>
              <w:t xml:space="preserve">de la </w:t>
            </w:r>
            <w:r w:rsidR="003D281F" w:rsidRPr="004E4581">
              <w:rPr>
                <w:rFonts w:ascii="Arial" w:hAnsi="Arial" w:cs="Arial"/>
                <w:color w:val="000000" w:themeColor="text1"/>
                <w:sz w:val="16"/>
                <w:szCs w:val="16"/>
                <w:lang w:val="es-ES_tradnl" w:eastAsia="es-ES"/>
              </w:rPr>
              <w:t xml:space="preserve">Subdirección de Gestión Contractual </w:t>
            </w:r>
            <w:r w:rsidR="00015642" w:rsidRPr="004E4581">
              <w:rPr>
                <w:rFonts w:ascii="Arial" w:hAnsi="Arial" w:cs="Arial"/>
                <w:color w:val="000000" w:themeColor="text1"/>
                <w:sz w:val="16"/>
                <w:szCs w:val="16"/>
                <w:lang w:val="es-ES_tradnl" w:eastAsia="es-ES"/>
              </w:rPr>
              <w:t xml:space="preserve"> </w:t>
            </w:r>
          </w:p>
        </w:tc>
      </w:tr>
      <w:tr w:rsidR="00DD5B04" w:rsidRPr="004E4581" w14:paraId="0FCBCA4A" w14:textId="77777777" w:rsidTr="008F4163">
        <w:trPr>
          <w:trHeight w:val="300"/>
        </w:trPr>
        <w:tc>
          <w:tcPr>
            <w:tcW w:w="812" w:type="dxa"/>
            <w:vAlign w:val="center"/>
            <w:hideMark/>
          </w:tcPr>
          <w:p w14:paraId="3C1D943A" w14:textId="29B4D648"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E4581" w:rsidRDefault="00C05A61"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 xml:space="preserve">Jorge </w:t>
            </w:r>
            <w:r w:rsidR="00647A36" w:rsidRPr="004E4581">
              <w:rPr>
                <w:rFonts w:ascii="Arial" w:hAnsi="Arial" w:cs="Arial"/>
                <w:color w:val="000000" w:themeColor="text1"/>
                <w:sz w:val="16"/>
                <w:szCs w:val="16"/>
                <w:lang w:val="es-ES_tradnl" w:eastAsia="es-ES"/>
              </w:rPr>
              <w:t xml:space="preserve">Augusto </w:t>
            </w:r>
            <w:r w:rsidRPr="004E4581">
              <w:rPr>
                <w:rFonts w:ascii="Arial" w:hAnsi="Arial" w:cs="Arial"/>
                <w:color w:val="000000" w:themeColor="text1"/>
                <w:sz w:val="16"/>
                <w:szCs w:val="16"/>
                <w:lang w:val="es-ES_tradnl" w:eastAsia="es-ES"/>
              </w:rPr>
              <w:t>Tirado Navarro</w:t>
            </w:r>
          </w:p>
          <w:p w14:paraId="1ADC483B" w14:textId="384FAF72"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Subdirector de Gestión Contractual</w:t>
            </w:r>
            <w:r w:rsidR="003D369D" w:rsidRPr="004E4581">
              <w:rPr>
                <w:rFonts w:ascii="Arial" w:hAnsi="Arial" w:cs="Arial"/>
                <w:color w:val="000000" w:themeColor="text1"/>
                <w:sz w:val="16"/>
                <w:szCs w:val="16"/>
                <w:lang w:val="es-ES_tradnl" w:eastAsia="es-ES"/>
              </w:rPr>
              <w:t xml:space="preserve"> ANCP – CCE</w:t>
            </w:r>
          </w:p>
        </w:tc>
      </w:tr>
    </w:tbl>
    <w:p w14:paraId="35B56F46" w14:textId="3D4E0A65" w:rsidR="00630845" w:rsidRPr="004E4581" w:rsidRDefault="00630845" w:rsidP="00215B8E">
      <w:pPr>
        <w:jc w:val="both"/>
        <w:rPr>
          <w:rFonts w:ascii="Arial" w:hAnsi="Arial" w:cs="Arial"/>
          <w:color w:val="000000" w:themeColor="text1"/>
          <w:lang w:val="es-ES_tradnl"/>
        </w:rPr>
      </w:pPr>
    </w:p>
    <w:bookmarkEnd w:id="8"/>
    <w:p w14:paraId="75F18CB2" w14:textId="3A836A92" w:rsidR="00630845" w:rsidRPr="004E4581" w:rsidRDefault="00630845" w:rsidP="00630845">
      <w:pPr>
        <w:rPr>
          <w:rFonts w:ascii="Arial" w:hAnsi="Arial" w:cs="Arial"/>
          <w:color w:val="000000" w:themeColor="text1"/>
          <w:lang w:val="es-ES_tradnl"/>
        </w:rPr>
      </w:pPr>
    </w:p>
    <w:p w14:paraId="5E9C37DB" w14:textId="5057876E" w:rsidR="00746E08" w:rsidRPr="004E4581" w:rsidRDefault="00630845" w:rsidP="00322342">
      <w:pPr>
        <w:tabs>
          <w:tab w:val="left" w:pos="3795"/>
        </w:tabs>
        <w:rPr>
          <w:rFonts w:ascii="Arial" w:hAnsi="Arial" w:cs="Arial"/>
          <w:color w:val="000000" w:themeColor="text1"/>
          <w:lang w:val="es-ES_tradnl"/>
        </w:rPr>
      </w:pPr>
      <w:r w:rsidRPr="004E4581">
        <w:rPr>
          <w:rFonts w:ascii="Arial" w:hAnsi="Arial" w:cs="Arial"/>
          <w:color w:val="000000" w:themeColor="text1"/>
          <w:lang w:val="es-ES_tradnl"/>
        </w:rPr>
        <w:tab/>
      </w:r>
    </w:p>
    <w:sectPr w:rsidR="00746E08" w:rsidRPr="004E458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B875E" w14:textId="77777777" w:rsidR="00C22F1D" w:rsidRDefault="00C22F1D">
      <w:r>
        <w:separator/>
      </w:r>
    </w:p>
  </w:endnote>
  <w:endnote w:type="continuationSeparator" w:id="0">
    <w:p w14:paraId="4828D727" w14:textId="77777777" w:rsidR="00C22F1D" w:rsidRDefault="00C22F1D">
      <w:r>
        <w:continuationSeparator/>
      </w:r>
    </w:p>
  </w:endnote>
  <w:endnote w:type="continuationNotice" w:id="1">
    <w:p w14:paraId="6EB39B89" w14:textId="77777777" w:rsidR="00C22F1D" w:rsidRDefault="00C22F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807B5" w:rsidRDefault="00E807B5" w:rsidP="00322937">
    <w:pPr>
      <w:pStyle w:val="Sinespaciado"/>
      <w:jc w:val="right"/>
      <w:rPr>
        <w:rFonts w:ascii="Arial" w:hAnsi="Arial" w:cs="Arial"/>
        <w:sz w:val="18"/>
        <w:szCs w:val="18"/>
      </w:rPr>
    </w:pPr>
  </w:p>
  <w:p w14:paraId="7A3785F3" w14:textId="3F20DCA7" w:rsidR="00E807B5" w:rsidRPr="008217B7" w:rsidRDefault="00E807B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73FB5">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73FB5">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48FC6A04" w14:textId="5FD1A7C9" w:rsidR="00E807B5" w:rsidRDefault="00E807B5"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807B5" w:rsidRDefault="00E807B5" w:rsidP="007B0854">
    <w:pPr>
      <w:pStyle w:val="Piedepgina"/>
      <w:jc w:val="center"/>
      <w:rPr>
        <w:lang w:val="es-ES"/>
      </w:rPr>
    </w:pPr>
  </w:p>
  <w:p w14:paraId="6C0EFC49" w14:textId="77777777" w:rsidR="00E807B5" w:rsidRPr="007B0854" w:rsidRDefault="00E807B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E3925" w14:textId="77777777" w:rsidR="00C22F1D" w:rsidRDefault="00C22F1D">
      <w:r>
        <w:separator/>
      </w:r>
    </w:p>
  </w:footnote>
  <w:footnote w:type="continuationSeparator" w:id="0">
    <w:p w14:paraId="1D092BD6" w14:textId="77777777" w:rsidR="00C22F1D" w:rsidRDefault="00C22F1D">
      <w:r>
        <w:continuationSeparator/>
      </w:r>
    </w:p>
  </w:footnote>
  <w:footnote w:type="continuationNotice" w:id="1">
    <w:p w14:paraId="45044FF7" w14:textId="77777777" w:rsidR="00C22F1D" w:rsidRDefault="00C22F1D"/>
  </w:footnote>
  <w:footnote w:id="2">
    <w:p w14:paraId="655D4C09" w14:textId="77777777" w:rsidR="00E807B5" w:rsidRPr="00991CFE" w:rsidRDefault="00E807B5" w:rsidP="00E30444">
      <w:pPr>
        <w:pStyle w:val="Textonotapie"/>
        <w:ind w:firstLine="709"/>
        <w:jc w:val="both"/>
        <w:rPr>
          <w:rFonts w:ascii="Arial" w:hAnsi="Arial" w:cs="Arial"/>
          <w:sz w:val="19"/>
          <w:szCs w:val="19"/>
        </w:rPr>
      </w:pPr>
      <w:r w:rsidRPr="007D7A62">
        <w:rPr>
          <w:rStyle w:val="Refdenotaalpie"/>
          <w:rFonts w:ascii="Arial" w:hAnsi="Arial" w:cs="Arial"/>
          <w:sz w:val="19"/>
          <w:szCs w:val="19"/>
        </w:rPr>
        <w:footnoteRef/>
      </w:r>
      <w:r w:rsidRPr="007D7A62">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73AEC7B" w14:textId="164819FC" w:rsidR="00E807B5" w:rsidRPr="007D7A62" w:rsidRDefault="00E807B5" w:rsidP="00E30444">
      <w:pPr>
        <w:pStyle w:val="Textonotapie"/>
        <w:ind w:firstLine="709"/>
        <w:jc w:val="both"/>
        <w:rPr>
          <w:rFonts w:ascii="Arial" w:hAnsi="Arial" w:cs="Arial"/>
          <w:sz w:val="19"/>
          <w:szCs w:val="19"/>
        </w:rPr>
      </w:pPr>
      <w:r w:rsidRPr="00991CFE">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3A8F0426" w14:textId="547878FE" w:rsidR="00E807B5" w:rsidRPr="007D7A62" w:rsidRDefault="00E807B5" w:rsidP="00E30444">
      <w:pPr>
        <w:pStyle w:val="Textonotapie"/>
        <w:ind w:firstLine="709"/>
        <w:jc w:val="both"/>
        <w:rPr>
          <w:rFonts w:ascii="Arial" w:hAnsi="Arial" w:cs="Arial"/>
          <w:sz w:val="19"/>
          <w:szCs w:val="19"/>
        </w:rPr>
      </w:pPr>
      <w:r w:rsidRPr="007D7A62">
        <w:rPr>
          <w:rStyle w:val="Refdenotaalpie"/>
          <w:rFonts w:ascii="Arial" w:hAnsi="Arial" w:cs="Arial"/>
          <w:sz w:val="19"/>
          <w:szCs w:val="19"/>
        </w:rPr>
        <w:footnoteRef/>
      </w:r>
      <w:r w:rsidRPr="007D7A62">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B9EFB00" w14:textId="77777777" w:rsidR="00E807B5" w:rsidRPr="00991CFE" w:rsidRDefault="00E807B5" w:rsidP="00E30444">
      <w:pPr>
        <w:pStyle w:val="Textonotapie"/>
        <w:ind w:firstLine="709"/>
        <w:jc w:val="both"/>
        <w:rPr>
          <w:rFonts w:ascii="Arial" w:hAnsi="Arial" w:cs="Arial"/>
          <w:sz w:val="19"/>
          <w:szCs w:val="19"/>
          <w:lang w:val="es-CO"/>
        </w:rPr>
      </w:pPr>
    </w:p>
  </w:footnote>
  <w:footnote w:id="4">
    <w:p w14:paraId="3D0FF6A2" w14:textId="77777777" w:rsidR="00E807B5" w:rsidRPr="007D7A62" w:rsidRDefault="00E807B5" w:rsidP="00E30444">
      <w:pPr>
        <w:pStyle w:val="Textonotapie"/>
        <w:ind w:firstLine="709"/>
        <w:jc w:val="both"/>
        <w:rPr>
          <w:rFonts w:ascii="Arial" w:hAnsi="Arial" w:cs="Arial"/>
          <w:sz w:val="19"/>
          <w:szCs w:val="19"/>
          <w:lang w:val="es-CO"/>
        </w:rPr>
      </w:pPr>
      <w:r w:rsidRPr="007D7A62">
        <w:rPr>
          <w:rStyle w:val="Refdenotaalpie"/>
          <w:rFonts w:ascii="Arial" w:hAnsi="Arial" w:cs="Arial"/>
          <w:sz w:val="19"/>
          <w:szCs w:val="19"/>
        </w:rPr>
        <w:footnoteRef/>
      </w:r>
      <w:r w:rsidRPr="007D7A62">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8757135" w14:textId="77777777" w:rsidR="00E807B5" w:rsidRPr="007D7A62" w:rsidRDefault="00E807B5" w:rsidP="00E30444">
      <w:pPr>
        <w:pStyle w:val="Textonotapie"/>
        <w:ind w:firstLine="709"/>
        <w:jc w:val="both"/>
        <w:rPr>
          <w:rFonts w:ascii="Arial" w:hAnsi="Arial" w:cs="Arial"/>
          <w:sz w:val="19"/>
          <w:szCs w:val="19"/>
          <w:lang w:val="es-CO"/>
        </w:rPr>
      </w:pPr>
    </w:p>
  </w:footnote>
  <w:footnote w:id="5">
    <w:p w14:paraId="3C84B540" w14:textId="2CC6997E" w:rsidR="00E807B5" w:rsidRPr="007D7A62" w:rsidRDefault="00E807B5" w:rsidP="00E30444">
      <w:pPr>
        <w:pStyle w:val="Textonotapie"/>
        <w:ind w:firstLine="709"/>
        <w:jc w:val="both"/>
        <w:rPr>
          <w:rFonts w:ascii="Arial" w:hAnsi="Arial" w:cs="Arial"/>
          <w:sz w:val="19"/>
          <w:szCs w:val="19"/>
        </w:rPr>
      </w:pPr>
      <w:r w:rsidRPr="007D7A62">
        <w:rPr>
          <w:rStyle w:val="Refdenotaalpie"/>
          <w:rFonts w:ascii="Arial" w:hAnsi="Arial" w:cs="Arial"/>
          <w:sz w:val="19"/>
          <w:szCs w:val="19"/>
        </w:rPr>
        <w:footnoteRef/>
      </w:r>
      <w:r w:rsidRPr="007D7A62">
        <w:rPr>
          <w:rFonts w:ascii="Arial" w:hAnsi="Arial" w:cs="Arial"/>
          <w:sz w:val="19"/>
          <w:szCs w:val="19"/>
        </w:rPr>
        <w:t xml:space="preserve"> Consejo de Estado, Sala de Consulta y Servicio Civil de fecha 24 de julio de 2013, radicado 2166, Consejero Ponente Álvaro Namén Vargas.  </w:t>
      </w:r>
    </w:p>
    <w:p w14:paraId="4A2A3E87" w14:textId="77777777" w:rsidR="00E807B5" w:rsidRPr="007D7A62" w:rsidRDefault="00E807B5" w:rsidP="00E30444">
      <w:pPr>
        <w:pStyle w:val="Textonotapie"/>
        <w:ind w:firstLine="709"/>
        <w:jc w:val="both"/>
        <w:rPr>
          <w:rFonts w:ascii="Arial" w:hAnsi="Arial" w:cs="Arial"/>
          <w:sz w:val="19"/>
          <w:szCs w:val="19"/>
          <w:lang w:val="es-CO"/>
        </w:rPr>
      </w:pPr>
    </w:p>
  </w:footnote>
  <w:footnote w:id="6">
    <w:p w14:paraId="4B94ABDB" w14:textId="77777777" w:rsidR="00917720" w:rsidRPr="000E1B2E" w:rsidRDefault="00917720" w:rsidP="00E30444">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w:t>
      </w:r>
      <w:bookmarkStart w:id="14" w:name="33"/>
      <w:r w:rsidRPr="000E1B2E">
        <w:rPr>
          <w:rFonts w:ascii="Arial" w:eastAsia="Calibri" w:hAnsi="Arial" w:cs="Arial"/>
          <w:bCs/>
          <w:color w:val="000000"/>
          <w:sz w:val="19"/>
          <w:szCs w:val="19"/>
        </w:rPr>
        <w:t>«</w:t>
      </w:r>
      <w:r w:rsidRPr="000E1B2E">
        <w:rPr>
          <w:rFonts w:ascii="Arial" w:hAnsi="Arial" w:cs="Arial"/>
          <w:sz w:val="19"/>
          <w:szCs w:val="19"/>
        </w:rPr>
        <w:t>Artículo 33. Restricciones a la contratación pública.</w:t>
      </w:r>
      <w:bookmarkEnd w:id="14"/>
      <w:r w:rsidRPr="000E1B2E">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2191C096" w14:textId="77777777" w:rsidR="00917720" w:rsidRPr="000E1B2E" w:rsidRDefault="00917720" w:rsidP="00E30444">
      <w:pPr>
        <w:ind w:firstLine="709"/>
        <w:contextualSpacing/>
        <w:jc w:val="both"/>
        <w:rPr>
          <w:rFonts w:ascii="Arial" w:hAnsi="Arial" w:cs="Arial"/>
          <w:sz w:val="19"/>
          <w:szCs w:val="19"/>
        </w:rPr>
      </w:pPr>
      <w:r w:rsidRPr="000E1B2E">
        <w:rPr>
          <w:rFonts w:ascii="Arial" w:eastAsia="Calibri" w:hAnsi="Arial" w:cs="Arial"/>
          <w:bCs/>
          <w:color w:val="000000"/>
          <w:sz w:val="19"/>
          <w:szCs w:val="19"/>
        </w:rPr>
        <w:t>»</w:t>
      </w:r>
      <w:r w:rsidRPr="000E1B2E">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E1B2E">
        <w:rPr>
          <w:rFonts w:ascii="Arial" w:eastAsia="Calibri" w:hAnsi="Arial" w:cs="Arial"/>
          <w:bCs/>
          <w:color w:val="000000"/>
          <w:sz w:val="19"/>
          <w:szCs w:val="19"/>
        </w:rPr>
        <w:t>»</w:t>
      </w:r>
      <w:r w:rsidRPr="000E1B2E">
        <w:rPr>
          <w:rFonts w:ascii="Arial" w:hAnsi="Arial" w:cs="Arial"/>
          <w:sz w:val="19"/>
          <w:szCs w:val="19"/>
        </w:rPr>
        <w:t>.</w:t>
      </w:r>
    </w:p>
  </w:footnote>
  <w:footnote w:id="7">
    <w:p w14:paraId="6F95EDAA" w14:textId="77777777" w:rsidR="00917720" w:rsidRPr="000E1B2E" w:rsidRDefault="00917720" w:rsidP="00E30444">
      <w:pPr>
        <w:pStyle w:val="NormalWeb"/>
        <w:spacing w:before="0" w:beforeAutospacing="0" w:after="0" w:afterAutospacing="0"/>
        <w:ind w:firstLine="709"/>
        <w:contextualSpacing/>
        <w:jc w:val="both"/>
        <w:rPr>
          <w:rFonts w:ascii="Arial" w:hAnsi="Arial" w:cs="Arial"/>
          <w:sz w:val="19"/>
          <w:szCs w:val="19"/>
          <w:lang w:val="es-MX"/>
        </w:rPr>
      </w:pPr>
      <w:r w:rsidRPr="00CC6E5A">
        <w:rPr>
          <w:rStyle w:val="Refdenotaalpie"/>
          <w:rFonts w:ascii="Arial" w:hAnsi="Arial" w:cs="Arial"/>
          <w:sz w:val="19"/>
          <w:szCs w:val="19"/>
        </w:rPr>
        <w:footnoteRef/>
      </w:r>
      <w:r w:rsidRPr="00CC6E5A">
        <w:rPr>
          <w:rFonts w:ascii="Arial" w:hAnsi="Arial" w:cs="Arial"/>
          <w:sz w:val="19"/>
          <w:szCs w:val="19"/>
        </w:rPr>
        <w:t xml:space="preserve"> </w:t>
      </w:r>
      <w:r w:rsidRPr="00CC6E5A">
        <w:rPr>
          <w:rFonts w:ascii="Arial" w:eastAsia="Calibri" w:hAnsi="Arial" w:cs="Arial"/>
          <w:bCs/>
          <w:color w:val="000000"/>
          <w:sz w:val="19"/>
          <w:szCs w:val="19"/>
        </w:rPr>
        <w:t>«</w:t>
      </w:r>
      <w:r w:rsidRPr="000E1B2E">
        <w:rPr>
          <w:rFonts w:ascii="Arial" w:hAnsi="Arial" w:cs="Arial"/>
          <w:sz w:val="19"/>
          <w:szCs w:val="19"/>
          <w:lang w:val="es-MX"/>
        </w:rPr>
        <w:t>Artículo 38. Prohibiciones para los servidores públicos. A los empleados del Estado les está prohibido:</w:t>
      </w:r>
    </w:p>
    <w:p w14:paraId="65CB9548" w14:textId="77777777" w:rsidR="00917720" w:rsidRPr="000E1B2E" w:rsidRDefault="00917720" w:rsidP="00E30444">
      <w:pPr>
        <w:pStyle w:val="NormalWeb"/>
        <w:spacing w:before="0" w:beforeAutospacing="0" w:after="0" w:afterAutospacing="0"/>
        <w:ind w:firstLine="709"/>
        <w:contextualSpacing/>
        <w:jc w:val="both"/>
        <w:rPr>
          <w:rFonts w:ascii="Arial" w:hAnsi="Arial" w:cs="Arial"/>
          <w:sz w:val="19"/>
          <w:szCs w:val="19"/>
          <w:lang w:val="es-MX"/>
        </w:rPr>
      </w:pPr>
      <w:r w:rsidRPr="000E1B2E">
        <w:rPr>
          <w:rFonts w:ascii="Arial" w:eastAsia="Calibri" w:hAnsi="Arial" w:cs="Arial"/>
          <w:bCs/>
          <w:color w:val="000000"/>
          <w:sz w:val="19"/>
          <w:szCs w:val="19"/>
        </w:rPr>
        <w:t>»</w:t>
      </w:r>
      <w:r w:rsidRPr="000E1B2E">
        <w:rPr>
          <w:rFonts w:ascii="Arial" w:hAnsi="Arial" w:cs="Arial"/>
          <w:sz w:val="19"/>
          <w:szCs w:val="19"/>
          <w:lang w:val="es-MX"/>
        </w:rPr>
        <w:t xml:space="preserve"> […]</w:t>
      </w:r>
    </w:p>
    <w:p w14:paraId="4E2AD52E" w14:textId="68E52199" w:rsidR="00917720" w:rsidRDefault="00917720" w:rsidP="00E30444">
      <w:pPr>
        <w:pStyle w:val="NormalWeb"/>
        <w:spacing w:before="0" w:beforeAutospacing="0" w:after="0" w:afterAutospacing="0"/>
        <w:ind w:firstLine="709"/>
        <w:contextualSpacing/>
        <w:jc w:val="both"/>
        <w:rPr>
          <w:rFonts w:ascii="Arial" w:hAnsi="Arial" w:cs="Arial"/>
          <w:sz w:val="19"/>
          <w:szCs w:val="19"/>
          <w:lang w:val="es-MX"/>
        </w:rPr>
      </w:pPr>
      <w:r w:rsidRPr="000E1B2E">
        <w:rPr>
          <w:rFonts w:ascii="Arial" w:eastAsia="Calibri" w:hAnsi="Arial" w:cs="Arial"/>
          <w:bCs/>
          <w:color w:val="000000"/>
          <w:sz w:val="19"/>
          <w:szCs w:val="19"/>
        </w:rPr>
        <w:t>»</w:t>
      </w:r>
      <w:r w:rsidRPr="000E1B2E">
        <w:rPr>
          <w:rStyle w:val="baj"/>
          <w:rFonts w:ascii="Arial" w:hAnsi="Arial" w:cs="Arial"/>
          <w:sz w:val="19"/>
          <w:szCs w:val="19"/>
          <w:lang w:val="es-MX"/>
        </w:rPr>
        <w:t xml:space="preserve"> Parágrafo.</w:t>
      </w:r>
      <w:r w:rsidRPr="000E1B2E">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E1B2E">
        <w:rPr>
          <w:rFonts w:ascii="Arial" w:eastAsia="Calibri" w:hAnsi="Arial" w:cs="Arial"/>
          <w:bCs/>
          <w:color w:val="000000"/>
          <w:sz w:val="19"/>
          <w:szCs w:val="19"/>
        </w:rPr>
        <w:t>»</w:t>
      </w:r>
      <w:r w:rsidRPr="000E1B2E">
        <w:rPr>
          <w:rFonts w:ascii="Arial" w:hAnsi="Arial" w:cs="Arial"/>
          <w:sz w:val="19"/>
          <w:szCs w:val="19"/>
          <w:lang w:val="es-MX"/>
        </w:rPr>
        <w:t>.</w:t>
      </w:r>
    </w:p>
    <w:p w14:paraId="3946DC8C" w14:textId="77777777" w:rsidR="005B2206" w:rsidRPr="000E1B2E" w:rsidRDefault="005B2206" w:rsidP="00E30444">
      <w:pPr>
        <w:pStyle w:val="NormalWeb"/>
        <w:spacing w:before="0" w:beforeAutospacing="0" w:after="0" w:afterAutospacing="0"/>
        <w:ind w:firstLine="709"/>
        <w:contextualSpacing/>
        <w:jc w:val="both"/>
        <w:rPr>
          <w:rFonts w:ascii="Arial" w:hAnsi="Arial" w:cs="Arial"/>
          <w:sz w:val="19"/>
          <w:szCs w:val="19"/>
          <w:lang w:val="es-MX"/>
        </w:rPr>
      </w:pPr>
    </w:p>
  </w:footnote>
  <w:footnote w:id="8">
    <w:p w14:paraId="5C41205F" w14:textId="77777777" w:rsidR="00917720" w:rsidRPr="000E1B2E" w:rsidRDefault="00917720" w:rsidP="00E30444">
      <w:pPr>
        <w:ind w:left="100" w:right="244" w:firstLine="709"/>
        <w:contextualSpacing/>
        <w:jc w:val="both"/>
        <w:rPr>
          <w:rFonts w:ascii="Arial" w:hAnsi="Arial" w:cs="Arial"/>
          <w:sz w:val="19"/>
          <w:szCs w:val="19"/>
          <w:lang w:val="es-ES"/>
        </w:rPr>
      </w:pPr>
      <w:r w:rsidRPr="00CC6E5A">
        <w:rPr>
          <w:rStyle w:val="Refdenotaalpie"/>
          <w:rFonts w:ascii="Arial" w:hAnsi="Arial" w:cs="Arial"/>
          <w:sz w:val="19"/>
          <w:szCs w:val="19"/>
        </w:rPr>
        <w:footnoteRef/>
      </w:r>
      <w:r w:rsidRPr="00CC6E5A">
        <w:rPr>
          <w:rFonts w:ascii="Arial" w:hAnsi="Arial" w:cs="Arial"/>
          <w:sz w:val="19"/>
          <w:szCs w:val="19"/>
        </w:rPr>
        <w:t xml:space="preserve"> Consejo de Estado. Sala de Consulta y Servicio Civil. Concepto del 17 de febrero de 2015. C.P. William Zambrano Cetina. Radicación No. 11001-03-06-000-2015-00164-00(2269).</w:t>
      </w:r>
    </w:p>
    <w:p w14:paraId="4983D479" w14:textId="77777777" w:rsidR="00917720" w:rsidRPr="000E1B2E" w:rsidRDefault="00917720" w:rsidP="00E30444">
      <w:pPr>
        <w:pStyle w:val="Textonotapie"/>
        <w:ind w:firstLine="709"/>
        <w:contextualSpacing/>
        <w:jc w:val="both"/>
        <w:rPr>
          <w:rFonts w:ascii="Arial" w:hAnsi="Arial" w:cs="Arial"/>
          <w:sz w:val="19"/>
          <w:szCs w:val="19"/>
          <w:lang w:val="es-CO"/>
        </w:rPr>
      </w:pPr>
    </w:p>
  </w:footnote>
  <w:footnote w:id="9">
    <w:p w14:paraId="46BE88E5" w14:textId="77777777" w:rsidR="00E30444" w:rsidRPr="000254DD" w:rsidRDefault="00E30444" w:rsidP="00E30444">
      <w:pPr>
        <w:pStyle w:val="Prrafodelista"/>
        <w:tabs>
          <w:tab w:val="left" w:pos="251"/>
        </w:tabs>
        <w:spacing w:before="79" w:line="206" w:lineRule="exact"/>
        <w:jc w:val="both"/>
        <w:rPr>
          <w:rFonts w:ascii="Arial" w:hAnsi="Arial" w:cs="Arial"/>
          <w:sz w:val="19"/>
          <w:szCs w:val="19"/>
          <w:lang w:val="es-CO"/>
        </w:rPr>
      </w:pPr>
      <w:r w:rsidRPr="000254DD">
        <w:rPr>
          <w:rStyle w:val="Refdenotaalpie"/>
          <w:rFonts w:ascii="Arial" w:hAnsi="Arial" w:cs="Arial"/>
          <w:sz w:val="19"/>
          <w:szCs w:val="19"/>
        </w:rPr>
        <w:footnoteRef/>
      </w:r>
      <w:r w:rsidRPr="000254DD">
        <w:rPr>
          <w:rFonts w:ascii="Arial" w:hAnsi="Arial" w:cs="Arial"/>
          <w:sz w:val="19"/>
          <w:szCs w:val="19"/>
        </w:rPr>
        <w:t xml:space="preserve"> Código Civil, artículos 1495 y</w:t>
      </w:r>
      <w:r w:rsidRPr="000254DD">
        <w:rPr>
          <w:rFonts w:ascii="Arial" w:hAnsi="Arial" w:cs="Arial"/>
          <w:spacing w:val="-5"/>
          <w:sz w:val="19"/>
          <w:szCs w:val="19"/>
        </w:rPr>
        <w:t xml:space="preserve"> </w:t>
      </w:r>
      <w:r w:rsidRPr="000254DD">
        <w:rPr>
          <w:rFonts w:ascii="Arial" w:hAnsi="Arial" w:cs="Arial"/>
          <w:sz w:val="19"/>
          <w:szCs w:val="19"/>
        </w:rPr>
        <w:t>1602.</w:t>
      </w:r>
    </w:p>
  </w:footnote>
  <w:footnote w:id="10">
    <w:p w14:paraId="1696A1A5" w14:textId="6E87CB43" w:rsidR="00E30444" w:rsidRDefault="00E30444" w:rsidP="00E30444">
      <w:pPr>
        <w:pStyle w:val="Textonotapie"/>
        <w:ind w:firstLine="708"/>
        <w:jc w:val="both"/>
        <w:rPr>
          <w:rFonts w:ascii="Arial" w:hAnsi="Arial" w:cs="Arial"/>
          <w:sz w:val="19"/>
          <w:szCs w:val="19"/>
        </w:rPr>
      </w:pPr>
      <w:r w:rsidRPr="000254DD">
        <w:rPr>
          <w:rStyle w:val="Refdenotaalpie"/>
          <w:rFonts w:ascii="Arial" w:hAnsi="Arial" w:cs="Arial"/>
          <w:sz w:val="19"/>
          <w:szCs w:val="19"/>
        </w:rPr>
        <w:footnoteRef/>
      </w:r>
      <w:r w:rsidRPr="000254DD">
        <w:rPr>
          <w:rFonts w:ascii="Arial" w:hAnsi="Arial" w:cs="Arial"/>
          <w:sz w:val="19"/>
          <w:szCs w:val="19"/>
        </w:rPr>
        <w:t xml:space="preserve"> PALACIO HINCAPIÉ, Juan Ángel. La contratación de las entidades estatales. 5°° ed. Medellín: Librería Jurídica Sánchez R, 2005. p. 35. </w:t>
      </w:r>
    </w:p>
    <w:p w14:paraId="6A8DB276" w14:textId="77777777" w:rsidR="005B2206" w:rsidRPr="000254DD" w:rsidRDefault="005B2206" w:rsidP="00E30444">
      <w:pPr>
        <w:pStyle w:val="Textonotapie"/>
        <w:ind w:firstLine="708"/>
        <w:jc w:val="both"/>
        <w:rPr>
          <w:rFonts w:ascii="Arial" w:hAnsi="Arial" w:cs="Arial"/>
          <w:sz w:val="19"/>
          <w:szCs w:val="19"/>
          <w:lang w:val="es-CO"/>
        </w:rPr>
      </w:pPr>
    </w:p>
  </w:footnote>
  <w:footnote w:id="11">
    <w:p w14:paraId="2BC3F25C" w14:textId="59045313" w:rsidR="00E30444" w:rsidRDefault="00E30444" w:rsidP="00E30444">
      <w:pPr>
        <w:pStyle w:val="Prrafodelista"/>
        <w:tabs>
          <w:tab w:val="left" w:pos="251"/>
        </w:tabs>
        <w:spacing w:line="206" w:lineRule="exact"/>
        <w:jc w:val="both"/>
        <w:rPr>
          <w:rFonts w:ascii="Arial" w:hAnsi="Arial" w:cs="Arial"/>
          <w:sz w:val="19"/>
          <w:szCs w:val="19"/>
        </w:rPr>
      </w:pPr>
      <w:r w:rsidRPr="000254DD">
        <w:rPr>
          <w:rStyle w:val="Refdenotaalpie"/>
          <w:rFonts w:ascii="Arial" w:hAnsi="Arial" w:cs="Arial"/>
          <w:sz w:val="19"/>
          <w:szCs w:val="19"/>
        </w:rPr>
        <w:footnoteRef/>
      </w:r>
      <w:r w:rsidRPr="000254DD">
        <w:rPr>
          <w:rFonts w:ascii="Arial" w:hAnsi="Arial" w:cs="Arial"/>
          <w:sz w:val="19"/>
          <w:szCs w:val="19"/>
        </w:rPr>
        <w:t xml:space="preserve"> Ley 80 de 1993, artículo 3 y</w:t>
      </w:r>
      <w:r w:rsidRPr="000254DD">
        <w:rPr>
          <w:rFonts w:ascii="Arial" w:hAnsi="Arial" w:cs="Arial"/>
          <w:spacing w:val="-10"/>
          <w:sz w:val="19"/>
          <w:szCs w:val="19"/>
        </w:rPr>
        <w:t xml:space="preserve"> </w:t>
      </w:r>
      <w:r w:rsidRPr="000254DD">
        <w:rPr>
          <w:rFonts w:ascii="Arial" w:hAnsi="Arial" w:cs="Arial"/>
          <w:sz w:val="19"/>
          <w:szCs w:val="19"/>
        </w:rPr>
        <w:t>40.</w:t>
      </w:r>
    </w:p>
    <w:p w14:paraId="15F3E38F" w14:textId="77777777" w:rsidR="005B2206" w:rsidRPr="000254DD" w:rsidRDefault="005B2206" w:rsidP="00E30444">
      <w:pPr>
        <w:pStyle w:val="Prrafodelista"/>
        <w:tabs>
          <w:tab w:val="left" w:pos="251"/>
        </w:tabs>
        <w:spacing w:line="206" w:lineRule="exact"/>
        <w:jc w:val="both"/>
        <w:rPr>
          <w:rFonts w:ascii="Arial" w:hAnsi="Arial" w:cs="Arial"/>
          <w:sz w:val="19"/>
          <w:szCs w:val="19"/>
          <w:lang w:val="es-CO"/>
        </w:rPr>
      </w:pPr>
    </w:p>
  </w:footnote>
  <w:footnote w:id="12">
    <w:p w14:paraId="17358ED6" w14:textId="486DAEC1" w:rsidR="00E30444" w:rsidRDefault="00E30444" w:rsidP="00E30444">
      <w:pPr>
        <w:pStyle w:val="Prrafodelista"/>
        <w:tabs>
          <w:tab w:val="left" w:pos="251"/>
        </w:tabs>
        <w:spacing w:before="1"/>
        <w:jc w:val="both"/>
        <w:rPr>
          <w:rFonts w:ascii="Arial" w:hAnsi="Arial" w:cs="Arial"/>
          <w:sz w:val="19"/>
          <w:szCs w:val="19"/>
        </w:rPr>
      </w:pPr>
      <w:r w:rsidRPr="000254DD">
        <w:rPr>
          <w:rStyle w:val="Refdenotaalpie"/>
          <w:rFonts w:ascii="Arial" w:hAnsi="Arial" w:cs="Arial"/>
          <w:sz w:val="19"/>
          <w:szCs w:val="19"/>
        </w:rPr>
        <w:footnoteRef/>
      </w:r>
      <w:r w:rsidRPr="000254DD">
        <w:rPr>
          <w:rFonts w:ascii="Arial" w:hAnsi="Arial" w:cs="Arial"/>
          <w:sz w:val="19"/>
          <w:szCs w:val="19"/>
        </w:rPr>
        <w:t xml:space="preserve"> Constitución Política, artículo</w:t>
      </w:r>
      <w:r w:rsidRPr="000254DD">
        <w:rPr>
          <w:rFonts w:ascii="Arial" w:hAnsi="Arial" w:cs="Arial"/>
          <w:spacing w:val="-1"/>
          <w:sz w:val="19"/>
          <w:szCs w:val="19"/>
        </w:rPr>
        <w:t xml:space="preserve"> </w:t>
      </w:r>
      <w:r w:rsidRPr="000254DD">
        <w:rPr>
          <w:rFonts w:ascii="Arial" w:hAnsi="Arial" w:cs="Arial"/>
          <w:sz w:val="19"/>
          <w:szCs w:val="19"/>
        </w:rPr>
        <w:t xml:space="preserve">209. </w:t>
      </w:r>
    </w:p>
    <w:p w14:paraId="32D5F8BB" w14:textId="77777777" w:rsidR="005B2206" w:rsidRPr="000254DD" w:rsidRDefault="005B2206" w:rsidP="00E30444">
      <w:pPr>
        <w:pStyle w:val="Prrafodelista"/>
        <w:tabs>
          <w:tab w:val="left" w:pos="251"/>
        </w:tabs>
        <w:spacing w:before="1"/>
        <w:jc w:val="both"/>
        <w:rPr>
          <w:rFonts w:ascii="Arial" w:hAnsi="Arial" w:cs="Arial"/>
          <w:sz w:val="19"/>
          <w:szCs w:val="19"/>
          <w:lang w:val="es-CO"/>
        </w:rPr>
      </w:pPr>
    </w:p>
  </w:footnote>
  <w:footnote w:id="13">
    <w:p w14:paraId="77D54450" w14:textId="77777777" w:rsidR="00917720" w:rsidRPr="000E1B2E" w:rsidRDefault="00917720" w:rsidP="00E30444">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Decreto 1082 de 2015: «Artículo 2.2.1.2.1.4.4. Convenios o contratos interadministrativos. La modalidad de selección para la contratación entre Ent</w:t>
      </w:r>
      <w:r w:rsidRPr="000E1B2E">
        <w:rPr>
          <w:rFonts w:ascii="Arial" w:hAnsi="Arial" w:cs="Arial"/>
          <w:sz w:val="19"/>
          <w:szCs w:val="19"/>
        </w:rPr>
        <w:t>idades Estatales es la contratación directa; y en consecuencia, le es aplicable lo establecido en el artículo 2.2.1.2.1.4.1 del presente decreto.</w:t>
      </w:r>
    </w:p>
    <w:p w14:paraId="4BAA9983" w14:textId="77777777" w:rsidR="00917720" w:rsidRPr="000E1B2E" w:rsidRDefault="00917720" w:rsidP="00E30444">
      <w:pPr>
        <w:ind w:firstLine="709"/>
        <w:contextualSpacing/>
        <w:jc w:val="both"/>
        <w:rPr>
          <w:rFonts w:ascii="Arial" w:hAnsi="Arial" w:cs="Arial"/>
          <w:sz w:val="19"/>
          <w:szCs w:val="19"/>
        </w:rPr>
      </w:pPr>
      <w:r w:rsidRPr="000E1B2E">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E1B2E">
        <w:rPr>
          <w:rFonts w:ascii="Arial" w:hAnsi="Arial" w:cs="Arial"/>
          <w:spacing w:val="-1"/>
          <w:sz w:val="19"/>
          <w:szCs w:val="19"/>
        </w:rPr>
        <w:t xml:space="preserve"> </w:t>
      </w:r>
      <w:r w:rsidRPr="000E1B2E">
        <w:rPr>
          <w:rFonts w:ascii="Arial" w:hAnsi="Arial" w:cs="Arial"/>
          <w:sz w:val="19"/>
          <w:szCs w:val="19"/>
        </w:rPr>
        <w:t>Estatales».</w:t>
      </w:r>
    </w:p>
    <w:p w14:paraId="6AD01885" w14:textId="77777777" w:rsidR="00917720" w:rsidRPr="000E1B2E" w:rsidRDefault="00917720" w:rsidP="00E30444">
      <w:pPr>
        <w:ind w:firstLine="709"/>
        <w:contextualSpacing/>
        <w:jc w:val="both"/>
        <w:rPr>
          <w:rFonts w:ascii="Arial" w:hAnsi="Arial" w:cs="Arial"/>
          <w:sz w:val="19"/>
          <w:szCs w:val="19"/>
        </w:rPr>
      </w:pPr>
    </w:p>
  </w:footnote>
  <w:footnote w:id="14">
    <w:p w14:paraId="4C498FAA" w14:textId="77777777" w:rsidR="00917720" w:rsidRPr="000E1B2E" w:rsidRDefault="00917720" w:rsidP="00E30444">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w:t>
      </w:r>
      <w:r w:rsidRPr="000E1B2E">
        <w:rPr>
          <w:rFonts w:ascii="Arial" w:hAnsi="Arial" w:cs="Arial"/>
          <w:sz w:val="19"/>
          <w:szCs w:val="19"/>
        </w:rPr>
        <w:t>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E1B2E">
        <w:rPr>
          <w:rFonts w:ascii="Arial" w:hAnsi="Arial" w:cs="Arial"/>
          <w:spacing w:val="-6"/>
          <w:sz w:val="19"/>
          <w:szCs w:val="19"/>
        </w:rPr>
        <w:t xml:space="preserve"> </w:t>
      </w:r>
      <w:r w:rsidRPr="000E1B2E">
        <w:rPr>
          <w:rFonts w:ascii="Arial" w:hAnsi="Arial" w:cs="Arial"/>
          <w:sz w:val="19"/>
          <w:szCs w:val="19"/>
        </w:rPr>
        <w:t>artículo».</w:t>
      </w:r>
    </w:p>
    <w:p w14:paraId="3D195595" w14:textId="77777777" w:rsidR="00917720" w:rsidRPr="000E1B2E" w:rsidRDefault="00917720" w:rsidP="00E30444">
      <w:pPr>
        <w:pStyle w:val="Textonotapie"/>
        <w:contextualSpacing/>
        <w:jc w:val="both"/>
        <w:rPr>
          <w:rFonts w:ascii="Arial" w:hAnsi="Arial" w:cs="Arial"/>
          <w:sz w:val="19"/>
          <w:szCs w:val="19"/>
        </w:rPr>
      </w:pPr>
    </w:p>
  </w:footnote>
  <w:footnote w:id="15">
    <w:p w14:paraId="6945D45B" w14:textId="3EFC061F" w:rsidR="00282D16" w:rsidRDefault="00282D16" w:rsidP="00861F5C">
      <w:pPr>
        <w:pStyle w:val="Textonotapie"/>
        <w:ind w:firstLine="708"/>
        <w:jc w:val="both"/>
      </w:pPr>
      <w:r>
        <w:rPr>
          <w:rStyle w:val="Refdenotaalpie"/>
        </w:rPr>
        <w:footnoteRef/>
      </w:r>
      <w:r>
        <w:t xml:space="preserve"> </w:t>
      </w:r>
      <w:r w:rsidRPr="000E1B2E">
        <w:rPr>
          <w:rFonts w:ascii="Arial" w:hAnsi="Arial" w:cs="Arial"/>
          <w:sz w:val="19"/>
          <w:szCs w:val="19"/>
        </w:rPr>
        <w:t>Consejo de Estado. Sección Tercera. Sentencia del 23 de junio de 2010. Radicación No. 66001-23-31-000-1998-00261-01(17.860). Consejero Ponente: Mauricio Fajardo Gómez.</w:t>
      </w:r>
    </w:p>
  </w:footnote>
  <w:footnote w:id="16">
    <w:p w14:paraId="368CCD25" w14:textId="77777777" w:rsidR="00917720" w:rsidRPr="000E1B2E" w:rsidRDefault="00917720" w:rsidP="00E30444">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Ley 1150 de 2007, artículo 2, numeral 4, literal c): «[...] Se exceptúan los contratos de obra, </w:t>
      </w:r>
      <w:r w:rsidRPr="000E1B2E">
        <w:rPr>
          <w:rFonts w:ascii="Arial" w:hAnsi="Arial" w:cs="Arial"/>
          <w:sz w:val="19"/>
          <w:szCs w:val="19"/>
        </w:rPr>
        <w:t>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E1B2E">
        <w:rPr>
          <w:rFonts w:ascii="Arial" w:hAnsi="Arial" w:cs="Arial"/>
          <w:spacing w:val="-6"/>
          <w:sz w:val="19"/>
          <w:szCs w:val="19"/>
        </w:rPr>
        <w:t xml:space="preserve"> </w:t>
      </w:r>
      <w:r w:rsidRPr="000E1B2E">
        <w:rPr>
          <w:rFonts w:ascii="Arial" w:hAnsi="Arial" w:cs="Arial"/>
          <w:sz w:val="19"/>
          <w:szCs w:val="19"/>
        </w:rPr>
        <w:t>artículo</w:t>
      </w:r>
    </w:p>
    <w:p w14:paraId="52A6C268" w14:textId="77777777" w:rsidR="00917720" w:rsidRPr="000E1B2E" w:rsidRDefault="00917720" w:rsidP="00E30444">
      <w:pPr>
        <w:contextualSpacing/>
        <w:jc w:val="both"/>
        <w:rPr>
          <w:rFonts w:ascii="Arial" w:hAnsi="Arial" w:cs="Arial"/>
          <w:sz w:val="19"/>
          <w:szCs w:val="19"/>
        </w:rPr>
      </w:pPr>
      <w:r w:rsidRPr="000E1B2E">
        <w:rPr>
          <w:rFonts w:ascii="Arial" w:hAnsi="Arial" w:cs="Arial"/>
          <w:sz w:val="19"/>
          <w:szCs w:val="19"/>
        </w:rPr>
        <w:t>»[...]».</w:t>
      </w:r>
    </w:p>
    <w:p w14:paraId="627CF1EF" w14:textId="77777777" w:rsidR="00917720" w:rsidRPr="000E1B2E" w:rsidRDefault="00917720" w:rsidP="00E30444">
      <w:pPr>
        <w:pStyle w:val="Textonotapie"/>
        <w:contextualSpacing/>
        <w:jc w:val="both"/>
        <w:rPr>
          <w:rFonts w:ascii="Arial" w:hAnsi="Arial" w:cs="Arial"/>
          <w:sz w:val="19"/>
          <w:szCs w:val="19"/>
          <w:lang w:val="es-CO"/>
        </w:rPr>
      </w:pPr>
    </w:p>
  </w:footnote>
  <w:footnote w:id="17">
    <w:p w14:paraId="6E5A5C13" w14:textId="77777777" w:rsidR="00917720" w:rsidRPr="000E1B2E" w:rsidRDefault="00917720" w:rsidP="00E30444">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Consejo de Estado.</w:t>
      </w:r>
      <w:r w:rsidRPr="000E1B2E">
        <w:rPr>
          <w:rFonts w:ascii="Arial" w:hAnsi="Arial" w:cs="Arial"/>
          <w:sz w:val="19"/>
          <w:szCs w:val="19"/>
        </w:rPr>
        <w:t xml:space="preserve"> Sección Tercera. Subsección C. Sentencia del 11 de diciembre de 2019. Exp. 46.986. C.P. Jaime Enrique Rodríguez Navas.</w:t>
      </w:r>
    </w:p>
    <w:p w14:paraId="1B8B4794" w14:textId="77777777" w:rsidR="00917720" w:rsidRPr="000E1B2E" w:rsidRDefault="00917720" w:rsidP="00E30444">
      <w:pPr>
        <w:pStyle w:val="Textonotapie"/>
        <w:contextualSpacing/>
        <w:jc w:val="both"/>
        <w:rPr>
          <w:rFonts w:ascii="Arial" w:hAnsi="Arial" w:cs="Arial"/>
          <w:sz w:val="19"/>
          <w:szCs w:val="19"/>
          <w:lang w:val="es-CO"/>
        </w:rPr>
      </w:pPr>
    </w:p>
  </w:footnote>
  <w:footnote w:id="18">
    <w:p w14:paraId="4945CA36" w14:textId="77777777" w:rsidR="00917720" w:rsidRPr="000E1B2E" w:rsidRDefault="00917720" w:rsidP="00E30444">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w:t>
      </w:r>
      <w:r w:rsidRPr="000E1B2E">
        <w:rPr>
          <w:rFonts w:ascii="Arial" w:hAnsi="Arial" w:cs="Arial"/>
          <w:sz w:val="19"/>
          <w:szCs w:val="19"/>
        </w:rPr>
        <w:t>Referencia propia de la cita] «CE. SCSC. Concepto de 1 de noviembre de 2016 [Rad. 11001-03-06-000-2016-00125-00(2305)]. MP. Germán Alberto Bula Escobar».</w:t>
      </w:r>
    </w:p>
    <w:p w14:paraId="156B6478" w14:textId="77777777" w:rsidR="00917720" w:rsidRPr="000E1B2E" w:rsidRDefault="00917720" w:rsidP="00E30444">
      <w:pPr>
        <w:pStyle w:val="Textonotapie"/>
        <w:ind w:firstLine="708"/>
        <w:contextualSpacing/>
        <w:jc w:val="both"/>
        <w:rPr>
          <w:rFonts w:ascii="Arial" w:hAnsi="Arial" w:cs="Arial"/>
          <w:sz w:val="19"/>
          <w:szCs w:val="19"/>
        </w:rPr>
      </w:pPr>
    </w:p>
  </w:footnote>
  <w:footnote w:id="19">
    <w:p w14:paraId="53FA03D1" w14:textId="77777777" w:rsidR="00917720" w:rsidRPr="000E1B2E" w:rsidRDefault="00917720" w:rsidP="00861F5C">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[Referencia propia de la cita] </w:t>
      </w:r>
      <w:r w:rsidRPr="000E1B2E">
        <w:rPr>
          <w:rFonts w:ascii="Arial" w:hAnsi="Arial" w:cs="Arial"/>
          <w:sz w:val="19"/>
          <w:szCs w:val="19"/>
        </w:rPr>
        <w:t xml:space="preserve">«CE. SCSC. Concepto de 30 de abril de 2008 [Rad. 11001-03-06-000-2008-00013-00(1881)]. MP. Enrique José Arboleda Perdomo. En esta oportunidad, la Sala indicó que el contenido </w:t>
      </w:r>
      <w:r w:rsidRPr="000E1B2E">
        <w:rPr>
          <w:rFonts w:ascii="Arial" w:hAnsi="Arial" w:cs="Arial"/>
          <w:i/>
          <w:sz w:val="19"/>
          <w:szCs w:val="19"/>
        </w:rPr>
        <w:t>“obligacional”</w:t>
      </w:r>
      <w:r w:rsidRPr="000E1B2E">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20">
    <w:p w14:paraId="397159EB" w14:textId="77777777" w:rsidR="00917720" w:rsidRPr="000E1B2E" w:rsidRDefault="00917720" w:rsidP="00861F5C">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[Referencia propia de la cita] </w:t>
      </w:r>
      <w:r w:rsidRPr="000E1B2E">
        <w:rPr>
          <w:rFonts w:ascii="Arial" w:hAnsi="Arial" w:cs="Arial"/>
          <w:sz w:val="19"/>
          <w:szCs w:val="19"/>
        </w:rPr>
        <w:t xml:space="preserve">«La normativa vigente del EGCAP </w:t>
      </w:r>
      <w:r w:rsidRPr="000E1B2E">
        <w:rPr>
          <w:rFonts w:ascii="Arial" w:hAnsi="Arial" w:cs="Arial"/>
          <w:i/>
          <w:sz w:val="19"/>
          <w:szCs w:val="19"/>
        </w:rPr>
        <w:t>[literal c) del numeral 4. del artículo 2 de la Ley 1150/07]</w:t>
      </w:r>
      <w:r w:rsidRPr="000E1B2E">
        <w:rPr>
          <w:rFonts w:ascii="Arial" w:hAnsi="Arial" w:cs="Arial"/>
          <w:sz w:val="19"/>
          <w:szCs w:val="19"/>
        </w:rPr>
        <w:t xml:space="preserve"> se refiere a </w:t>
      </w:r>
      <w:r w:rsidRPr="000E1B2E">
        <w:rPr>
          <w:rFonts w:ascii="Arial" w:hAnsi="Arial" w:cs="Arial"/>
          <w:i/>
          <w:sz w:val="19"/>
          <w:szCs w:val="19"/>
        </w:rPr>
        <w:t>“contratos interadministrativos”</w:t>
      </w:r>
      <w:r w:rsidRPr="000E1B2E">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4C9362EA" w14:textId="77777777" w:rsidR="00917720" w:rsidRPr="000E1B2E" w:rsidRDefault="00917720" w:rsidP="00861F5C">
      <w:pPr>
        <w:pStyle w:val="Textonotapie"/>
        <w:ind w:firstLine="708"/>
        <w:contextualSpacing/>
        <w:jc w:val="both"/>
        <w:rPr>
          <w:rFonts w:ascii="Arial" w:hAnsi="Arial" w:cs="Arial"/>
          <w:sz w:val="19"/>
          <w:szCs w:val="19"/>
        </w:rPr>
      </w:pPr>
    </w:p>
  </w:footnote>
  <w:footnote w:id="21">
    <w:p w14:paraId="4D467CFB" w14:textId="77777777" w:rsidR="00917720" w:rsidRPr="000E1B2E" w:rsidRDefault="00917720" w:rsidP="00861F5C">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En línea con lo anterior, la Sala de Consulta y Servicio Civil del Consejo de Estado expresó lo siguiente: «</w:t>
      </w:r>
      <w:r w:rsidRPr="000E1B2E">
        <w:rPr>
          <w:rFonts w:ascii="Arial" w:hAnsi="Arial" w:cs="Arial"/>
          <w:sz w:val="19"/>
          <w:szCs w:val="19"/>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24357816" w14:textId="77777777" w:rsidR="00917720" w:rsidRPr="000E1B2E" w:rsidRDefault="00917720" w:rsidP="00861F5C">
      <w:pPr>
        <w:pStyle w:val="Textonotapie"/>
        <w:ind w:firstLine="708"/>
        <w:contextualSpacing/>
        <w:jc w:val="both"/>
        <w:rPr>
          <w:rFonts w:ascii="Arial" w:hAnsi="Arial" w:cs="Arial"/>
          <w:sz w:val="19"/>
          <w:szCs w:val="19"/>
          <w:lang w:val="es-CO"/>
        </w:rPr>
      </w:pPr>
    </w:p>
  </w:footnote>
  <w:footnote w:id="22">
    <w:p w14:paraId="324CA1BC" w14:textId="77777777" w:rsidR="00917720" w:rsidRPr="000E1B2E" w:rsidRDefault="00917720" w:rsidP="00861F5C">
      <w:pPr>
        <w:pStyle w:val="Textonotapie"/>
        <w:ind w:firstLine="708"/>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Es lo que sucede, por ejemplo, con el Decreto 092 de 2017, que en su desarrollo hace </w:t>
      </w:r>
      <w:r w:rsidRPr="000E1B2E">
        <w:rPr>
          <w:rFonts w:ascii="Arial" w:hAnsi="Arial" w:cs="Arial"/>
          <w:sz w:val="19"/>
          <w:szCs w:val="19"/>
        </w:rPr>
        <w:t xml:space="preserve">referencia tanto a los «contratos» como a los «convenios». </w:t>
      </w:r>
    </w:p>
    <w:p w14:paraId="40E5768C" w14:textId="77777777" w:rsidR="00917720" w:rsidRPr="000E1B2E" w:rsidRDefault="00917720" w:rsidP="00861F5C">
      <w:pPr>
        <w:pStyle w:val="Textonotapie"/>
        <w:ind w:firstLine="708"/>
        <w:contextualSpacing/>
        <w:jc w:val="both"/>
        <w:rPr>
          <w:rFonts w:ascii="Arial" w:hAnsi="Arial" w:cs="Arial"/>
          <w:sz w:val="19"/>
          <w:szCs w:val="19"/>
          <w:lang w:val="es-CO"/>
        </w:rPr>
      </w:pPr>
    </w:p>
  </w:footnote>
  <w:footnote w:id="23">
    <w:p w14:paraId="3E01BD1D" w14:textId="0E8BBC7B" w:rsidR="00917720" w:rsidRPr="000E1B2E" w:rsidRDefault="00917720" w:rsidP="00861F5C">
      <w:pPr>
        <w:pStyle w:val="Textonotapie"/>
        <w:ind w:firstLine="708"/>
        <w:contextualSpacing/>
        <w:jc w:val="both"/>
        <w:rPr>
          <w:rFonts w:ascii="Arial" w:hAnsi="Arial" w:cs="Arial"/>
          <w:sz w:val="19"/>
          <w:szCs w:val="19"/>
          <w:lang w:val="es-CO"/>
        </w:rPr>
      </w:pPr>
      <w:r w:rsidRPr="00CC6E5A">
        <w:rPr>
          <w:rStyle w:val="Refdenotaalpie"/>
          <w:rFonts w:ascii="Arial" w:hAnsi="Arial" w:cs="Arial"/>
          <w:sz w:val="19"/>
          <w:szCs w:val="19"/>
        </w:rPr>
        <w:footnoteRef/>
      </w:r>
      <w:r w:rsidRPr="00CC6E5A">
        <w:rPr>
          <w:rFonts w:ascii="Arial" w:hAnsi="Arial" w:cs="Arial"/>
          <w:sz w:val="19"/>
          <w:szCs w:val="19"/>
        </w:rPr>
        <w:t xml:space="preserve"> </w:t>
      </w:r>
      <w:r w:rsidR="00B67050">
        <w:rPr>
          <w:rFonts w:ascii="Arial" w:hAnsi="Arial" w:cs="Arial"/>
          <w:sz w:val="19"/>
          <w:szCs w:val="19"/>
        </w:rPr>
        <w:t>«</w:t>
      </w:r>
      <w:r w:rsidRPr="00CC6E5A">
        <w:rPr>
          <w:rFonts w:ascii="Arial" w:hAnsi="Arial" w:cs="Arial"/>
          <w:sz w:val="19"/>
          <w:szCs w:val="19"/>
        </w:rPr>
        <w:t>A pesar de que la norma se refiere únicamente a los contratos interadministrativos, esto no implica que la excepción a la li</w:t>
      </w:r>
      <w:r w:rsidRPr="000E1B2E">
        <w:rPr>
          <w:rFonts w:ascii="Arial" w:hAnsi="Arial" w:cs="Arial"/>
          <w:sz w:val="19"/>
          <w:szCs w:val="19"/>
        </w:rPr>
        <w:t>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807B5" w:rsidRDefault="00E807B5">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09060651">
    <w:abstractNumId w:val="10"/>
  </w:num>
  <w:num w:numId="2" w16cid:durableId="1893156285">
    <w:abstractNumId w:val="8"/>
  </w:num>
  <w:num w:numId="3" w16cid:durableId="1079182484">
    <w:abstractNumId w:val="14"/>
  </w:num>
  <w:num w:numId="4" w16cid:durableId="1338537258">
    <w:abstractNumId w:val="18"/>
  </w:num>
  <w:num w:numId="5" w16cid:durableId="1135441222">
    <w:abstractNumId w:val="22"/>
  </w:num>
  <w:num w:numId="6" w16cid:durableId="13448963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3141834">
    <w:abstractNumId w:val="20"/>
  </w:num>
  <w:num w:numId="8" w16cid:durableId="1397169402">
    <w:abstractNumId w:val="0"/>
  </w:num>
  <w:num w:numId="9" w16cid:durableId="1693342002">
    <w:abstractNumId w:val="4"/>
  </w:num>
  <w:num w:numId="10" w16cid:durableId="4485509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84682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5448551">
    <w:abstractNumId w:val="9"/>
  </w:num>
  <w:num w:numId="13" w16cid:durableId="128128462">
    <w:abstractNumId w:val="12"/>
  </w:num>
  <w:num w:numId="14" w16cid:durableId="357243611">
    <w:abstractNumId w:val="7"/>
  </w:num>
  <w:num w:numId="15" w16cid:durableId="645086970">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8350981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43139368">
    <w:abstractNumId w:val="24"/>
  </w:num>
  <w:num w:numId="18" w16cid:durableId="44332157">
    <w:abstractNumId w:val="15"/>
  </w:num>
  <w:num w:numId="19" w16cid:durableId="1045182219">
    <w:abstractNumId w:val="2"/>
  </w:num>
  <w:num w:numId="20" w16cid:durableId="1912035445">
    <w:abstractNumId w:val="25"/>
  </w:num>
  <w:num w:numId="21" w16cid:durableId="683942479">
    <w:abstractNumId w:val="17"/>
  </w:num>
  <w:num w:numId="22" w16cid:durableId="1552959145">
    <w:abstractNumId w:val="6"/>
  </w:num>
  <w:num w:numId="23" w16cid:durableId="270867024">
    <w:abstractNumId w:val="5"/>
  </w:num>
  <w:num w:numId="24" w16cid:durableId="59330191">
    <w:abstractNumId w:val="23"/>
  </w:num>
  <w:num w:numId="25" w16cid:durableId="193926543">
    <w:abstractNumId w:val="19"/>
  </w:num>
  <w:num w:numId="26" w16cid:durableId="25370531">
    <w:abstractNumId w:val="3"/>
  </w:num>
  <w:num w:numId="27" w16cid:durableId="422799085">
    <w:abstractNumId w:val="16"/>
  </w:num>
  <w:num w:numId="28" w16cid:durableId="1715737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500387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B4"/>
    <w:rsid w:val="00011DCC"/>
    <w:rsid w:val="00012532"/>
    <w:rsid w:val="00012B9E"/>
    <w:rsid w:val="00012F37"/>
    <w:rsid w:val="00012FBA"/>
    <w:rsid w:val="0001316F"/>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D0A"/>
    <w:rsid w:val="000263F0"/>
    <w:rsid w:val="00026407"/>
    <w:rsid w:val="00026608"/>
    <w:rsid w:val="00027787"/>
    <w:rsid w:val="000278D2"/>
    <w:rsid w:val="0002797C"/>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73BB"/>
    <w:rsid w:val="000A73E8"/>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786"/>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5E49"/>
    <w:rsid w:val="0017649F"/>
    <w:rsid w:val="0017655B"/>
    <w:rsid w:val="001805C1"/>
    <w:rsid w:val="00180A2E"/>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EEE"/>
    <w:rsid w:val="001D30F3"/>
    <w:rsid w:val="001D31A0"/>
    <w:rsid w:val="001D338E"/>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102"/>
    <w:rsid w:val="002D0845"/>
    <w:rsid w:val="002D0933"/>
    <w:rsid w:val="002D18C5"/>
    <w:rsid w:val="002D19BB"/>
    <w:rsid w:val="002D1A9B"/>
    <w:rsid w:val="002D20F8"/>
    <w:rsid w:val="002D22BD"/>
    <w:rsid w:val="002D22C5"/>
    <w:rsid w:val="002D233E"/>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A3"/>
    <w:rsid w:val="00322342"/>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E04"/>
    <w:rsid w:val="003650AA"/>
    <w:rsid w:val="00365D3A"/>
    <w:rsid w:val="003664FF"/>
    <w:rsid w:val="00366BD2"/>
    <w:rsid w:val="003670B8"/>
    <w:rsid w:val="003704A3"/>
    <w:rsid w:val="0037058F"/>
    <w:rsid w:val="003706F2"/>
    <w:rsid w:val="003707CB"/>
    <w:rsid w:val="0037124F"/>
    <w:rsid w:val="00373827"/>
    <w:rsid w:val="0037401C"/>
    <w:rsid w:val="0037507B"/>
    <w:rsid w:val="00375C7C"/>
    <w:rsid w:val="00375DA0"/>
    <w:rsid w:val="00377027"/>
    <w:rsid w:val="00377135"/>
    <w:rsid w:val="00380272"/>
    <w:rsid w:val="003805DB"/>
    <w:rsid w:val="0038152A"/>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1C2"/>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181"/>
    <w:rsid w:val="005923C4"/>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4B72"/>
    <w:rsid w:val="005E52C9"/>
    <w:rsid w:val="005F02D8"/>
    <w:rsid w:val="005F1D88"/>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0845"/>
    <w:rsid w:val="00631059"/>
    <w:rsid w:val="006310C3"/>
    <w:rsid w:val="00631245"/>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DC8"/>
    <w:rsid w:val="00796E80"/>
    <w:rsid w:val="0079744F"/>
    <w:rsid w:val="0079776F"/>
    <w:rsid w:val="007979AD"/>
    <w:rsid w:val="00797A9C"/>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0A23"/>
    <w:rsid w:val="00901F1D"/>
    <w:rsid w:val="009028E8"/>
    <w:rsid w:val="00902E5C"/>
    <w:rsid w:val="0090363E"/>
    <w:rsid w:val="00903E0D"/>
    <w:rsid w:val="009046E5"/>
    <w:rsid w:val="009047C5"/>
    <w:rsid w:val="00910683"/>
    <w:rsid w:val="00910E00"/>
    <w:rsid w:val="00910E04"/>
    <w:rsid w:val="00911142"/>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743"/>
    <w:rsid w:val="0092579F"/>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4B4"/>
    <w:rsid w:val="00944644"/>
    <w:rsid w:val="00946A24"/>
    <w:rsid w:val="009470D4"/>
    <w:rsid w:val="00947337"/>
    <w:rsid w:val="00947E6E"/>
    <w:rsid w:val="0095041D"/>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31D"/>
    <w:rsid w:val="009B2374"/>
    <w:rsid w:val="009B2E29"/>
    <w:rsid w:val="009B3163"/>
    <w:rsid w:val="009B35AE"/>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A61"/>
    <w:rsid w:val="00C05FBA"/>
    <w:rsid w:val="00C05FEE"/>
    <w:rsid w:val="00C06B5A"/>
    <w:rsid w:val="00C06CCF"/>
    <w:rsid w:val="00C0794D"/>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2F1D"/>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6C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33BA"/>
    <w:rsid w:val="00C74306"/>
    <w:rsid w:val="00C760DC"/>
    <w:rsid w:val="00C8082B"/>
    <w:rsid w:val="00C81A88"/>
    <w:rsid w:val="00C81BD5"/>
    <w:rsid w:val="00C81D46"/>
    <w:rsid w:val="00C82298"/>
    <w:rsid w:val="00C8331F"/>
    <w:rsid w:val="00C833B4"/>
    <w:rsid w:val="00C83C3E"/>
    <w:rsid w:val="00C84284"/>
    <w:rsid w:val="00C84887"/>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46D"/>
    <w:rsid w:val="00E174E8"/>
    <w:rsid w:val="00E2012A"/>
    <w:rsid w:val="00E205A2"/>
    <w:rsid w:val="00E205DC"/>
    <w:rsid w:val="00E20BA4"/>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6B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13CE"/>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C0A440E-DDC6-473D-BDB5-E78A90528CD7}">
  <ds:schemaRefs>
    <ds:schemaRef ds:uri="http://schemas.openxmlformats.org/officeDocument/2006/bibliography"/>
  </ds:schemaRefs>
</ds:datastoreItem>
</file>

<file path=customXml/itemProps4.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19</Pages>
  <Words>7116</Words>
  <Characters>39139</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2021-08-27T20:19:00Z</cp:lastPrinted>
  <dcterms:created xsi:type="dcterms:W3CDTF">2022-04-13T15:56:00Z</dcterms:created>
  <dcterms:modified xsi:type="dcterms:W3CDTF">2022-04-13T15:56:00Z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