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16D44" w:rsidP="00B16D44" w:rsidRDefault="00B16D44" w14:paraId="39CF3204"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eastAsiaTheme="majorEastAsia"/>
          <w:b/>
          <w:bCs/>
          <w:sz w:val="22"/>
          <w:szCs w:val="22"/>
          <w:lang w:val="es-ES"/>
        </w:rPr>
        <w:t>SUPERVISIÓN – Supervisión Administrativa – Supervisión Técnica – viabilidad de designar varios funcionarios</w:t>
      </w:r>
      <w:r>
        <w:rPr>
          <w:rStyle w:val="eop"/>
          <w:rFonts w:ascii="Verdana" w:hAnsi="Verdana" w:cs="Segoe UI" w:eastAsiaTheme="majorEastAsia"/>
          <w:sz w:val="22"/>
          <w:szCs w:val="22"/>
        </w:rPr>
        <w:t> </w:t>
      </w:r>
    </w:p>
    <w:p w:rsidR="00B16D44" w:rsidP="00B16D44" w:rsidRDefault="00B16D44" w14:paraId="5CBEA11D" w14:textId="77777777">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eastAsiaTheme="majorEastAsia"/>
          <w:sz w:val="20"/>
          <w:szCs w:val="20"/>
        </w:rPr>
        <w:t> </w:t>
      </w:r>
    </w:p>
    <w:p w:rsidR="00B16D44" w:rsidP="00B16D44" w:rsidRDefault="00B16D44" w14:paraId="1837B153"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eastAsiaTheme="majorEastAsia"/>
          <w:color w:val="000000"/>
          <w:sz w:val="20"/>
          <w:szCs w:val="20"/>
          <w:lang w:val="es-ES"/>
        </w:rPr>
        <w:t>Si bien es cierto que para desarrollar la supervisión del contrato no se requieren conocimientos técnicos especializados, también lo es que las funciones de seguimiento contractual abarcan varios campos como, por ejemplo, aspectos técnicos, administrativos, financieros, contables y jurídicos. En tal sentido, resulta razonable y posible que la entidad contratante, al momento de analizar cómo ejercer las funciones de supervisión del contrato, determine que estas deban realizarse por más de un funcionario, para lo que deberá tener en cuenta que las funciones propias de los cargos, y los perfiles, conocimientos y experiencia de los funcionarios designados, guarden relación directa con el objeto del contrato y sus aspectos a supervisar, en aras de que la vigilancia del contrato se realice de manera idónea y suficiente, con distribución equitativa de cargas y responsabilidades, en aplicación a los principios de coordinación y eficacia que rigen el ejercicio de la función administrativa, que son aplicables en la contratación estatal por disposición del artículo 23 de la Ley 80 de 1993.</w:t>
      </w:r>
      <w:r>
        <w:rPr>
          <w:rStyle w:val="eop"/>
          <w:rFonts w:ascii="Verdana" w:hAnsi="Verdana" w:cs="Segoe UI" w:eastAsiaTheme="majorEastAsia"/>
          <w:color w:val="000000"/>
          <w:sz w:val="20"/>
          <w:szCs w:val="20"/>
        </w:rPr>
        <w:t> </w:t>
      </w:r>
    </w:p>
    <w:p w:rsidR="00B16D44" w:rsidP="00B16D44" w:rsidRDefault="00B16D44" w14:paraId="2B9A8430" w14:textId="77777777">
      <w:pPr>
        <w:pStyle w:val="paragraph"/>
        <w:spacing w:before="0" w:beforeAutospacing="0" w:after="0" w:afterAutospacing="0"/>
        <w:textAlignment w:val="baseline"/>
        <w:rPr>
          <w:rFonts w:ascii="Segoe UI" w:hAnsi="Segoe UI" w:cs="Segoe UI"/>
          <w:sz w:val="18"/>
          <w:szCs w:val="18"/>
        </w:rPr>
      </w:pPr>
      <w:r>
        <w:rPr>
          <w:rStyle w:val="eop"/>
          <w:rFonts w:ascii="Verdana" w:hAnsi="Verdana" w:cs="Segoe UI" w:eastAsiaTheme="majorEastAsia"/>
          <w:sz w:val="22"/>
          <w:szCs w:val="22"/>
        </w:rPr>
        <w:t> </w:t>
      </w:r>
    </w:p>
    <w:p w:rsidR="00B16D44" w:rsidP="00B16D44" w:rsidRDefault="00B16D44" w14:paraId="156FC350" w14:textId="77777777">
      <w:pPr>
        <w:pStyle w:val="Textoindependiente"/>
        <w:spacing w:before="168"/>
        <w:rPr>
          <w:rFonts w:ascii="Verdana" w:hAnsi="Verdana"/>
          <w:sz w:val="22"/>
          <w:szCs w:val="22"/>
        </w:rPr>
      </w:pPr>
    </w:p>
    <w:p w:rsidR="00B16D44" w:rsidP="00B16D44" w:rsidRDefault="00B16D44" w14:paraId="72832435" w14:textId="797B3AE4">
      <w:pPr>
        <w:pStyle w:val="Textoindependiente"/>
        <w:spacing w:before="168"/>
        <w:rPr>
          <w:rFonts w:ascii="Verdana" w:hAnsi="Verdana"/>
          <w:sz w:val="22"/>
          <w:szCs w:val="22"/>
        </w:rPr>
      </w:pPr>
    </w:p>
    <w:p w:rsidR="00B16D44" w:rsidP="00B16D44" w:rsidRDefault="00B16D44" w14:paraId="213C8B96" w14:textId="77777777">
      <w:pPr>
        <w:pStyle w:val="Textoindependiente"/>
        <w:spacing w:before="168"/>
        <w:rPr>
          <w:rFonts w:ascii="Verdana" w:hAnsi="Verdana"/>
          <w:sz w:val="22"/>
          <w:szCs w:val="22"/>
        </w:rPr>
      </w:pPr>
    </w:p>
    <w:p w:rsidR="00B16D44" w:rsidP="00B16D44" w:rsidRDefault="00B16D44" w14:paraId="2FF4D616" w14:textId="3BFF9C0B">
      <w:pPr>
        <w:pStyle w:val="Textoindependiente"/>
        <w:spacing w:before="168"/>
        <w:rPr>
          <w:rFonts w:ascii="Verdana" w:hAnsi="Verdana"/>
          <w:sz w:val="22"/>
          <w:szCs w:val="22"/>
        </w:rPr>
      </w:pPr>
    </w:p>
    <w:p w:rsidR="00B16D44" w:rsidP="00B16D44" w:rsidRDefault="00B16D44" w14:paraId="66696F14" w14:textId="77777777">
      <w:pPr>
        <w:pStyle w:val="Textoindependiente"/>
        <w:spacing w:before="168"/>
        <w:rPr>
          <w:rFonts w:ascii="Verdana" w:hAnsi="Verdana"/>
          <w:sz w:val="22"/>
          <w:szCs w:val="22"/>
        </w:rPr>
      </w:pPr>
    </w:p>
    <w:p w:rsidR="00B16D44" w:rsidP="00B16D44" w:rsidRDefault="00B16D44" w14:paraId="5D4A9C61" w14:textId="77777777">
      <w:pPr>
        <w:pStyle w:val="Textoindependiente"/>
        <w:spacing w:before="168"/>
        <w:rPr>
          <w:rFonts w:ascii="Verdana" w:hAnsi="Verdana"/>
          <w:sz w:val="22"/>
          <w:szCs w:val="22"/>
        </w:rPr>
      </w:pPr>
    </w:p>
    <w:p w:rsidR="00B16D44" w:rsidP="00B16D44" w:rsidRDefault="00B16D44" w14:paraId="422C8D9F" w14:textId="19F9D2DA">
      <w:pPr>
        <w:pStyle w:val="Textoindependiente"/>
        <w:spacing w:before="168"/>
        <w:rPr>
          <w:rFonts w:ascii="Verdana" w:hAnsi="Verdana"/>
          <w:sz w:val="22"/>
          <w:szCs w:val="22"/>
        </w:rPr>
      </w:pPr>
    </w:p>
    <w:p w:rsidR="00B16D44" w:rsidP="00B16D44" w:rsidRDefault="00B16D44" w14:paraId="747ABC26" w14:textId="77777777">
      <w:pPr>
        <w:pStyle w:val="Textoindependiente"/>
        <w:spacing w:before="168"/>
        <w:rPr>
          <w:rFonts w:ascii="Verdana" w:hAnsi="Verdana"/>
          <w:sz w:val="22"/>
          <w:szCs w:val="22"/>
        </w:rPr>
      </w:pPr>
    </w:p>
    <w:p w:rsidR="00B16D44" w:rsidP="00B16D44" w:rsidRDefault="00B16D44" w14:paraId="0CE05F4E" w14:textId="77777777">
      <w:pPr>
        <w:pStyle w:val="Textoindependiente"/>
        <w:spacing w:before="168"/>
        <w:rPr>
          <w:rFonts w:ascii="Verdana" w:hAnsi="Verdana"/>
          <w:sz w:val="22"/>
          <w:szCs w:val="22"/>
        </w:rPr>
      </w:pPr>
    </w:p>
    <w:p w:rsidR="00B16D44" w:rsidP="00B16D44" w:rsidRDefault="00B16D44" w14:paraId="344CB3A4" w14:textId="6D679107">
      <w:pPr>
        <w:pStyle w:val="Textoindependiente"/>
        <w:spacing w:before="168"/>
        <w:rPr>
          <w:rFonts w:ascii="Verdana" w:hAnsi="Verdana"/>
          <w:sz w:val="22"/>
          <w:szCs w:val="22"/>
        </w:rPr>
      </w:pPr>
    </w:p>
    <w:p w:rsidR="00B16D44" w:rsidP="00B16D44" w:rsidRDefault="00B16D44" w14:paraId="4317E07C" w14:textId="77777777">
      <w:pPr>
        <w:pStyle w:val="Textoindependiente"/>
        <w:spacing w:before="168"/>
        <w:rPr>
          <w:rFonts w:ascii="Verdana" w:hAnsi="Verdana"/>
          <w:sz w:val="22"/>
          <w:szCs w:val="22"/>
        </w:rPr>
      </w:pPr>
    </w:p>
    <w:p w:rsidR="00B16D44" w:rsidP="00B16D44" w:rsidRDefault="00B16D44" w14:paraId="0BC24686" w14:textId="25D9E5FF">
      <w:pPr>
        <w:pStyle w:val="Textoindependiente"/>
        <w:spacing w:before="168"/>
        <w:rPr>
          <w:rFonts w:ascii="Verdana" w:hAnsi="Verdana"/>
          <w:sz w:val="22"/>
          <w:szCs w:val="22"/>
        </w:rPr>
      </w:pPr>
    </w:p>
    <w:p w:rsidR="00B16D44" w:rsidP="00B16D44" w:rsidRDefault="00B16D44" w14:paraId="3652B4AC" w14:textId="77777777">
      <w:pPr>
        <w:pStyle w:val="Textoindependiente"/>
        <w:spacing w:before="168"/>
        <w:rPr>
          <w:rFonts w:ascii="Verdana" w:hAnsi="Verdana"/>
          <w:sz w:val="22"/>
          <w:szCs w:val="22"/>
        </w:rPr>
      </w:pPr>
    </w:p>
    <w:p w:rsidR="00B16D44" w:rsidP="00B16D44" w:rsidRDefault="00B16D44" w14:paraId="3205E03F" w14:textId="7F6C2EF6">
      <w:pPr>
        <w:pStyle w:val="Textoindependiente"/>
        <w:spacing w:before="168"/>
        <w:rPr>
          <w:rFonts w:ascii="Verdana" w:hAnsi="Verdana"/>
          <w:sz w:val="22"/>
          <w:szCs w:val="22"/>
        </w:rPr>
      </w:pPr>
    </w:p>
    <w:p w:rsidRPr="00B16D44" w:rsidR="00B16D44" w:rsidP="00B16D44" w:rsidRDefault="00B16D44" w14:paraId="66B143CA" w14:textId="46E0D16E">
      <w:pPr>
        <w:pStyle w:val="Textoindependiente"/>
        <w:spacing w:before="168"/>
        <w:rPr>
          <w:rFonts w:ascii="Verdana" w:hAnsi="Verdana"/>
          <w:sz w:val="22"/>
          <w:szCs w:val="22"/>
        </w:rPr>
      </w:pPr>
      <w:r w:rsidRPr="00B16D44">
        <w:rPr>
          <w:rFonts w:ascii="Verdana" w:hAnsi="Verdana"/>
          <w:noProof/>
          <w:sz w:val="22"/>
          <w:szCs w:val="22"/>
        </w:rPr>
        <w:drawing>
          <wp:anchor distT="0" distB="0" distL="0" distR="0" simplePos="0" relativeHeight="251659264" behindDoc="0" locked="0" layoutInCell="1" allowOverlap="1" wp14:anchorId="39828F53" wp14:editId="10D800A0">
            <wp:simplePos x="0" y="0"/>
            <wp:positionH relativeFrom="page">
              <wp:posOffset>4110753</wp:posOffset>
            </wp:positionH>
            <wp:positionV relativeFrom="paragraph">
              <wp:posOffset>-28303</wp:posOffset>
            </wp:positionV>
            <wp:extent cx="2400300" cy="6159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2400300" cy="615950"/>
                    </a:xfrm>
                    <a:prstGeom prst="rect">
                      <a:avLst/>
                    </a:prstGeom>
                  </pic:spPr>
                </pic:pic>
              </a:graphicData>
            </a:graphic>
          </wp:anchor>
        </w:drawing>
      </w:r>
      <w:r w:rsidRPr="00B16D44">
        <w:rPr>
          <w:rFonts w:ascii="Verdana" w:hAnsi="Verdana"/>
          <w:sz w:val="22"/>
          <w:szCs w:val="22"/>
        </w:rPr>
        <w:t>Bogotá</w:t>
      </w:r>
      <w:r w:rsidRPr="00B16D44">
        <w:rPr>
          <w:rFonts w:ascii="Verdana" w:hAnsi="Verdana"/>
          <w:spacing w:val="-5"/>
          <w:sz w:val="22"/>
          <w:szCs w:val="22"/>
        </w:rPr>
        <w:t xml:space="preserve"> </w:t>
      </w:r>
      <w:r w:rsidRPr="00B16D44">
        <w:rPr>
          <w:rFonts w:ascii="Verdana" w:hAnsi="Verdana"/>
          <w:sz w:val="22"/>
          <w:szCs w:val="22"/>
        </w:rPr>
        <w:t>D.C.,</w:t>
      </w:r>
      <w:r w:rsidRPr="00B16D44">
        <w:rPr>
          <w:rFonts w:ascii="Verdana" w:hAnsi="Verdana"/>
          <w:spacing w:val="2"/>
          <w:sz w:val="22"/>
          <w:szCs w:val="22"/>
        </w:rPr>
        <w:t xml:space="preserve"> </w:t>
      </w:r>
      <w:r w:rsidRPr="00B16D44">
        <w:rPr>
          <w:rFonts w:ascii="Verdana" w:hAnsi="Verdana"/>
          <w:sz w:val="22"/>
          <w:szCs w:val="22"/>
        </w:rPr>
        <w:t>16 Mayo</w:t>
      </w:r>
      <w:r w:rsidRPr="00B16D44">
        <w:rPr>
          <w:rFonts w:ascii="Verdana" w:hAnsi="Verdana"/>
          <w:spacing w:val="-5"/>
          <w:sz w:val="22"/>
          <w:szCs w:val="22"/>
        </w:rPr>
        <w:t xml:space="preserve"> </w:t>
      </w:r>
      <w:r w:rsidRPr="00B16D44">
        <w:rPr>
          <w:rFonts w:ascii="Verdana" w:hAnsi="Verdana"/>
          <w:spacing w:val="-4"/>
          <w:sz w:val="22"/>
          <w:szCs w:val="22"/>
        </w:rPr>
        <w:t>2025</w:t>
      </w:r>
    </w:p>
    <w:p w:rsidRPr="00DD2B2C" w:rsidR="00871B59" w:rsidP="00871B59" w:rsidRDefault="00871B59" w14:paraId="4590B6F7" w14:textId="35FDAEC3">
      <w:pPr>
        <w:jc w:val="both"/>
        <w:rPr>
          <w:rFonts w:ascii="Verdana" w:hAnsi="Verdana" w:eastAsia="Calibri" w:cs="Arial"/>
          <w:color w:val="000000"/>
          <w:sz w:val="22"/>
          <w:szCs w:val="22"/>
          <w:lang w:val="es-ES"/>
        </w:rPr>
      </w:pPr>
    </w:p>
    <w:p w:rsidRPr="00DD2B2C" w:rsidR="00871B59" w:rsidP="00871B59" w:rsidRDefault="00871B59" w14:paraId="5BC7EA2F" w14:textId="13F94BC0">
      <w:pPr>
        <w:jc w:val="both"/>
        <w:rPr>
          <w:rFonts w:ascii="Verdana" w:hAnsi="Verdana" w:eastAsia="Calibri" w:cs="Arial"/>
          <w:sz w:val="22"/>
          <w:szCs w:val="22"/>
          <w:lang w:val="es-ES" w:eastAsia="es-ES"/>
        </w:rPr>
      </w:pPr>
      <w:r w:rsidRPr="00DD2B2C">
        <w:rPr>
          <w:rFonts w:ascii="Verdana" w:hAnsi="Verdana" w:eastAsia="Calibri" w:cs="Arial"/>
          <w:sz w:val="22"/>
          <w:szCs w:val="22"/>
          <w:lang w:val="es-ES" w:eastAsia="es-ES"/>
        </w:rPr>
        <w:t>Señor</w:t>
      </w:r>
    </w:p>
    <w:p w:rsidRPr="001E6954" w:rsidR="00871B59" w:rsidP="00871B59" w:rsidRDefault="0049754F" w14:paraId="1F6FFFB8" w14:textId="363A1903">
      <w:pPr>
        <w:rPr>
          <w:rFonts w:ascii="Verdana" w:hAnsi="Verdana" w:eastAsia="Calibri" w:cs="Arial"/>
          <w:b/>
          <w:sz w:val="22"/>
          <w:szCs w:val="22"/>
          <w:lang w:eastAsia="es-ES_tradnl"/>
        </w:rPr>
      </w:pPr>
      <w:r w:rsidRPr="001E6954">
        <w:rPr>
          <w:rFonts w:ascii="Verdana" w:hAnsi="Verdana" w:eastAsia="Calibri" w:cs="Arial"/>
          <w:b/>
          <w:sz w:val="22"/>
          <w:szCs w:val="22"/>
          <w:lang w:eastAsia="es-ES_tradnl"/>
        </w:rPr>
        <w:t>Gerson Pe</w:t>
      </w:r>
      <w:r w:rsidRPr="001E6954" w:rsidR="00031975">
        <w:rPr>
          <w:rFonts w:ascii="Verdana" w:hAnsi="Verdana" w:eastAsia="Calibri" w:cs="Arial"/>
          <w:b/>
          <w:sz w:val="22"/>
          <w:szCs w:val="22"/>
          <w:lang w:eastAsia="es-ES_tradnl"/>
        </w:rPr>
        <w:t>ñ</w:t>
      </w:r>
      <w:r w:rsidRPr="001E6954">
        <w:rPr>
          <w:rFonts w:ascii="Verdana" w:hAnsi="Verdana" w:eastAsia="Calibri" w:cs="Arial"/>
          <w:b/>
          <w:sz w:val="22"/>
          <w:szCs w:val="22"/>
          <w:lang w:eastAsia="es-ES_tradnl"/>
        </w:rPr>
        <w:t>aloza Mena</w:t>
      </w:r>
    </w:p>
    <w:p w:rsidRPr="001E6954" w:rsidR="00871B59" w:rsidP="00871B59" w:rsidRDefault="001E6954" w14:paraId="26B1E5E0" w14:textId="6435CD1B">
      <w:pPr>
        <w:rPr>
          <w:rFonts w:ascii="Verdana" w:hAnsi="Verdana" w:eastAsia="Calibri" w:cs="Arial"/>
          <w:sz w:val="22"/>
          <w:szCs w:val="22"/>
          <w:u w:val="single"/>
          <w:lang w:eastAsia="es-ES"/>
        </w:rPr>
      </w:pPr>
      <w:hyperlink w:history="1" r:id="rId12">
        <w:r w:rsidRPr="001E6954">
          <w:rPr>
            <w:rStyle w:val="Hipervnculo"/>
            <w:rFonts w:ascii="Verdana" w:hAnsi="Verdana" w:eastAsia="Calibri" w:cs="Arial"/>
            <w:sz w:val="22"/>
            <w:szCs w:val="22"/>
            <w:lang w:eastAsia="es-ES"/>
          </w:rPr>
          <w:t>gpenaloza@atlantico.gov.co</w:t>
        </w:r>
      </w:hyperlink>
      <w:r w:rsidRPr="001E6954">
        <w:rPr>
          <w:rFonts w:ascii="Verdana" w:hAnsi="Verdana" w:eastAsia="Calibri" w:cs="Arial"/>
          <w:sz w:val="22"/>
          <w:szCs w:val="22"/>
          <w:u w:val="single"/>
          <w:lang w:eastAsia="es-ES"/>
        </w:rPr>
        <w:t xml:space="preserve"> </w:t>
      </w:r>
    </w:p>
    <w:p w:rsidRPr="00DD2B2C" w:rsidR="00871B59" w:rsidP="00871B59" w:rsidRDefault="00716804" w14:paraId="11CC866A" w14:textId="3A7D4A58">
      <w:pPr>
        <w:rPr>
          <w:rFonts w:ascii="Verdana" w:hAnsi="Verdana" w:eastAsia="Calibri" w:cs="Arial"/>
          <w:b/>
          <w:bCs/>
          <w:sz w:val="22"/>
          <w:szCs w:val="22"/>
          <w:lang w:val="en-US" w:eastAsia="es-ES"/>
        </w:rPr>
      </w:pPr>
      <w:r w:rsidRPr="00DD2B2C">
        <w:rPr>
          <w:rFonts w:ascii="Verdana" w:hAnsi="Verdana" w:eastAsia="Calibri" w:cs="Arial"/>
          <w:sz w:val="22"/>
          <w:szCs w:val="22"/>
          <w:lang w:val="en-US" w:eastAsia="es-ES"/>
        </w:rPr>
        <w:t>Barranquilla, Atl</w:t>
      </w:r>
      <w:r w:rsidR="00B16D44">
        <w:rPr>
          <w:rFonts w:ascii="Verdana" w:hAnsi="Verdana" w:eastAsia="Calibri" w:cs="Arial"/>
          <w:sz w:val="22"/>
          <w:szCs w:val="22"/>
          <w:lang w:val="en-US" w:eastAsia="es-ES"/>
        </w:rPr>
        <w:t>á</w:t>
      </w:r>
      <w:r w:rsidRPr="00DD2B2C">
        <w:rPr>
          <w:rFonts w:ascii="Verdana" w:hAnsi="Verdana" w:eastAsia="Calibri" w:cs="Arial"/>
          <w:sz w:val="22"/>
          <w:szCs w:val="22"/>
          <w:lang w:val="en-US" w:eastAsia="es-ES"/>
        </w:rPr>
        <w:t xml:space="preserve">ntico. </w:t>
      </w:r>
    </w:p>
    <w:p w:rsidRPr="00DD2B2C" w:rsidR="00871B59" w:rsidP="00871B59" w:rsidRDefault="00871B59" w14:paraId="6E4D4149" w14:textId="77777777">
      <w:pPr>
        <w:rPr>
          <w:rFonts w:ascii="Verdana" w:hAnsi="Verdana" w:eastAsia="Calibri" w:cs="Arial"/>
          <w:b/>
          <w:bCs/>
          <w:color w:val="000000"/>
          <w:sz w:val="22"/>
          <w:szCs w:val="22"/>
          <w:lang w:val="en-US" w:eastAsia="es-ES_tradnl"/>
        </w:rPr>
      </w:pPr>
    </w:p>
    <w:p w:rsidRPr="00DD2B2C" w:rsidR="00871B59" w:rsidP="00871B59" w:rsidRDefault="00871B59" w14:paraId="24CE70E0" w14:textId="77777777">
      <w:pPr>
        <w:rPr>
          <w:rFonts w:ascii="Verdana" w:hAnsi="Verdana" w:eastAsia="Calibri" w:cs="Arial"/>
          <w:b/>
          <w:bCs/>
          <w:color w:val="000000"/>
          <w:sz w:val="22"/>
          <w:szCs w:val="22"/>
          <w:lang w:val="en-US"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DD2B2C" w:rsidR="00871B59" w:rsidTr="002607A7" w14:paraId="72A4EA25" w14:textId="77777777">
        <w:trPr>
          <w:trHeight w:val="884"/>
        </w:trPr>
        <w:tc>
          <w:tcPr>
            <w:tcW w:w="2689" w:type="dxa"/>
          </w:tcPr>
          <w:p w:rsidRPr="00DD2B2C" w:rsidR="00871B59" w:rsidP="002607A7" w:rsidRDefault="00871B59" w14:paraId="1ECD15AC" w14:textId="77777777">
            <w:pPr>
              <w:jc w:val="both"/>
              <w:rPr>
                <w:rFonts w:ascii="Verdana" w:hAnsi="Verdana" w:eastAsia="Calibri" w:cs="Arial"/>
                <w:b/>
                <w:bCs/>
                <w:color w:val="7030A0"/>
                <w:sz w:val="22"/>
                <w:szCs w:val="22"/>
                <w:lang w:val="en-US" w:eastAsia="es-ES_tradnl"/>
              </w:rPr>
            </w:pPr>
          </w:p>
        </w:tc>
        <w:tc>
          <w:tcPr>
            <w:tcW w:w="6100" w:type="dxa"/>
          </w:tcPr>
          <w:p w:rsidRPr="00DD2B2C" w:rsidR="00871B59" w:rsidP="002607A7" w:rsidRDefault="00871B59" w14:paraId="3CC52839" w14:textId="35C7EAE3">
            <w:pPr>
              <w:jc w:val="both"/>
              <w:rPr>
                <w:rFonts w:ascii="Verdana" w:hAnsi="Verdana" w:eastAsia="Calibri" w:cs="Arial"/>
                <w:b/>
                <w:bCs/>
                <w:color w:val="7030A0"/>
                <w:sz w:val="22"/>
                <w:szCs w:val="22"/>
                <w:lang w:val="es-ES" w:eastAsia="es-ES"/>
              </w:rPr>
            </w:pPr>
            <w:r w:rsidRPr="00DD2B2C">
              <w:rPr>
                <w:rFonts w:ascii="Verdana" w:hAnsi="Verdana" w:eastAsia="Calibri" w:cs="Arial"/>
                <w:b/>
                <w:bCs/>
                <w:sz w:val="22"/>
                <w:szCs w:val="22"/>
                <w:lang w:val="es-ES" w:eastAsia="es-ES"/>
              </w:rPr>
              <w:t>Concepto C</w:t>
            </w:r>
            <w:r w:rsidRPr="00DD2B2C" w:rsidR="00716804">
              <w:rPr>
                <w:rFonts w:ascii="Verdana" w:hAnsi="Verdana" w:eastAsia="Calibri" w:cs="Arial"/>
                <w:b/>
                <w:bCs/>
                <w:sz w:val="22"/>
                <w:szCs w:val="22"/>
                <w:lang w:val="es-ES" w:eastAsia="es-ES"/>
              </w:rPr>
              <w:t>- 439 de 2025</w:t>
            </w:r>
            <w:r w:rsidRPr="00DD2B2C">
              <w:rPr>
                <w:rFonts w:ascii="Verdana" w:hAnsi="Verdana" w:eastAsia="Calibri" w:cs="Arial"/>
                <w:b/>
                <w:bCs/>
                <w:color w:val="7030A0"/>
                <w:sz w:val="22"/>
                <w:szCs w:val="22"/>
                <w:lang w:val="es-ES" w:eastAsia="es-ES"/>
              </w:rPr>
              <w:t xml:space="preserve"> </w:t>
            </w:r>
          </w:p>
        </w:tc>
      </w:tr>
      <w:tr w:rsidRPr="00DD2B2C" w:rsidR="007E15EF" w:rsidTr="002607A7" w14:paraId="378AD530" w14:textId="77777777">
        <w:trPr>
          <w:trHeight w:val="884"/>
        </w:trPr>
        <w:tc>
          <w:tcPr>
            <w:tcW w:w="2689" w:type="dxa"/>
          </w:tcPr>
          <w:p w:rsidRPr="00DD2B2C" w:rsidR="007E15EF" w:rsidP="007E15EF" w:rsidRDefault="007E15EF" w14:paraId="3BB78CAC" w14:textId="081B749C">
            <w:pPr>
              <w:jc w:val="both"/>
              <w:rPr>
                <w:rFonts w:ascii="Verdana" w:hAnsi="Verdana" w:eastAsia="Calibri" w:cs="Arial"/>
                <w:color w:val="000000"/>
                <w:sz w:val="22"/>
                <w:szCs w:val="22"/>
                <w:lang w:val="es-ES_tradnl" w:eastAsia="es-ES_tradnl"/>
              </w:rPr>
            </w:pPr>
            <w:r w:rsidRPr="00596A79">
              <w:rPr>
                <w:rFonts w:ascii="Verdana" w:hAnsi="Verdana" w:eastAsia="Calibri" w:cs="Arial"/>
                <w:b/>
                <w:lang w:val="es-ES_tradnl" w:eastAsia="es-ES_tradnl"/>
              </w:rPr>
              <w:t>Temas:</w:t>
            </w:r>
            <w:r w:rsidRPr="00596A79">
              <w:rPr>
                <w:rFonts w:ascii="Verdana" w:hAnsi="Verdana" w:eastAsia="Calibri" w:cs="Arial"/>
                <w:lang w:val="es-ES_tradnl" w:eastAsia="es-ES_tradnl"/>
              </w:rPr>
              <w:t xml:space="preserve">                   </w:t>
            </w:r>
          </w:p>
        </w:tc>
        <w:tc>
          <w:tcPr>
            <w:tcW w:w="6100" w:type="dxa"/>
          </w:tcPr>
          <w:p w:rsidR="007E15EF" w:rsidP="007E15EF" w:rsidRDefault="007E15EF" w14:paraId="1DC62714" w14:textId="35FB5783">
            <w:pPr>
              <w:spacing w:line="276" w:lineRule="auto"/>
              <w:jc w:val="both"/>
              <w:rPr>
                <w:rFonts w:ascii="Verdana" w:hAnsi="Verdana" w:eastAsia="Calibri" w:cs="Arial"/>
                <w:sz w:val="22"/>
                <w:szCs w:val="22"/>
                <w:lang w:val="es-ES"/>
              </w:rPr>
            </w:pPr>
            <w:r w:rsidRPr="001E6954">
              <w:rPr>
                <w:rFonts w:ascii="Verdana" w:hAnsi="Verdana" w:eastAsia="Calibri" w:cs="Arial"/>
                <w:sz w:val="22"/>
                <w:szCs w:val="22"/>
                <w:lang w:val="es-ES" w:eastAsia="es-ES"/>
              </w:rPr>
              <w:t xml:space="preserve">SUPERVISIÓN – Marco jurídico – Finalidad / SUPERVISIÓN DEL CONTRATO. – </w:t>
            </w:r>
            <w:r w:rsidR="001E6954">
              <w:rPr>
                <w:rFonts w:ascii="Verdana" w:hAnsi="Verdana" w:eastAsia="Calibri" w:cs="Arial"/>
                <w:sz w:val="22"/>
                <w:szCs w:val="22"/>
                <w:lang w:val="es-ES" w:eastAsia="es-ES"/>
              </w:rPr>
              <w:t xml:space="preserve">determinación de </w:t>
            </w:r>
            <w:r w:rsidRPr="001E6954">
              <w:rPr>
                <w:rFonts w:ascii="Verdana" w:hAnsi="Verdana" w:eastAsia="Calibri" w:cs="Arial"/>
                <w:sz w:val="22"/>
                <w:szCs w:val="22"/>
                <w:lang w:val="es-ES" w:eastAsia="es-ES"/>
              </w:rPr>
              <w:t>criterios –</w:t>
            </w:r>
            <w:r w:rsidR="008D4941">
              <w:rPr>
                <w:rFonts w:ascii="Verdana" w:hAnsi="Verdana" w:eastAsia="Calibri" w:cs="Arial"/>
                <w:sz w:val="22"/>
                <w:szCs w:val="22"/>
                <w:lang w:val="es-ES" w:eastAsia="es-ES"/>
              </w:rPr>
              <w:t xml:space="preserve"> idoneidad - </w:t>
            </w:r>
            <w:r w:rsidRPr="001E6954" w:rsidR="008D4941">
              <w:rPr>
                <w:rFonts w:ascii="Verdana" w:hAnsi="Verdana" w:eastAsia="Calibri" w:cs="Arial"/>
                <w:sz w:val="22"/>
                <w:szCs w:val="22"/>
                <w:lang w:val="es-ES" w:eastAsia="es-ES"/>
              </w:rPr>
              <w:t>GUÍA</w:t>
            </w:r>
            <w:r w:rsidRPr="001E6954" w:rsidR="001E6954">
              <w:rPr>
                <w:rFonts w:ascii="Verdana" w:hAnsi="Verdana" w:eastAsia="Calibri" w:cs="Arial"/>
                <w:sz w:val="22"/>
                <w:szCs w:val="22"/>
                <w:lang w:val="es-ES" w:eastAsia="es-ES"/>
              </w:rPr>
              <w:t xml:space="preserve"> </w:t>
            </w:r>
            <w:r w:rsidRPr="001E6954" w:rsidR="001E6954">
              <w:rPr>
                <w:rFonts w:ascii="Verdana" w:hAnsi="Verdana" w:eastAsia="Calibri" w:cs="Arial"/>
                <w:sz w:val="22"/>
                <w:szCs w:val="22"/>
                <w:lang w:val="es-ES"/>
              </w:rPr>
              <w:t>EJERCICIO DE FUNCIONES DE SUPERVISIÓN E INTERVENTORÍA DE LOS CONTRATOS DEL ESTADO.</w:t>
            </w:r>
          </w:p>
          <w:p w:rsidRPr="001E6954" w:rsidR="008D4941" w:rsidP="007E15EF" w:rsidRDefault="008D4941" w14:paraId="0A0D33D9" w14:textId="61227DA8">
            <w:pPr>
              <w:spacing w:line="276" w:lineRule="auto"/>
              <w:jc w:val="both"/>
              <w:rPr>
                <w:rFonts w:ascii="Verdana" w:hAnsi="Verdana" w:eastAsia="Calibri" w:cs="Arial"/>
                <w:sz w:val="22"/>
                <w:szCs w:val="22"/>
                <w:lang w:val="es-ES" w:eastAsia="es-ES"/>
              </w:rPr>
            </w:pPr>
          </w:p>
        </w:tc>
      </w:tr>
      <w:tr w:rsidRPr="001E6954" w:rsidR="001E6954" w:rsidTr="002607A7" w14:paraId="76812B59" w14:textId="77777777">
        <w:tc>
          <w:tcPr>
            <w:tcW w:w="2689" w:type="dxa"/>
          </w:tcPr>
          <w:p w:rsidRPr="001E6954" w:rsidR="00871B59" w:rsidP="002607A7" w:rsidRDefault="00871B59" w14:paraId="6421659B" w14:textId="77777777">
            <w:pPr>
              <w:jc w:val="both"/>
              <w:rPr>
                <w:rFonts w:ascii="Verdana" w:hAnsi="Verdana" w:eastAsia="Calibri" w:cs="Arial"/>
                <w:b/>
                <w:color w:val="000000" w:themeColor="text1"/>
                <w:sz w:val="22"/>
                <w:szCs w:val="22"/>
                <w:lang w:val="es-ES_tradnl" w:eastAsia="es-ES_tradnl"/>
              </w:rPr>
            </w:pPr>
            <w:r w:rsidRPr="001E6954">
              <w:rPr>
                <w:rFonts w:ascii="Verdana" w:hAnsi="Verdana" w:eastAsia="Calibri" w:cs="Arial"/>
                <w:b/>
                <w:color w:val="000000" w:themeColor="text1"/>
                <w:sz w:val="22"/>
                <w:szCs w:val="22"/>
                <w:lang w:val="es-ES_tradnl" w:eastAsia="es-ES_tradnl"/>
              </w:rPr>
              <w:t>Radicación:</w:t>
            </w:r>
            <w:r w:rsidRPr="001E6954">
              <w:rPr>
                <w:rFonts w:ascii="Verdana" w:hAnsi="Verdana" w:eastAsia="Calibri" w:cs="Arial"/>
                <w:color w:val="000000" w:themeColor="text1"/>
                <w:sz w:val="22"/>
                <w:szCs w:val="22"/>
                <w:lang w:val="es-ES_tradnl" w:eastAsia="es-ES_tradnl"/>
              </w:rPr>
              <w:t xml:space="preserve">               </w:t>
            </w:r>
          </w:p>
        </w:tc>
        <w:tc>
          <w:tcPr>
            <w:tcW w:w="6100" w:type="dxa"/>
          </w:tcPr>
          <w:p w:rsidRPr="001E6954" w:rsidR="00871B59" w:rsidP="002607A7" w:rsidRDefault="00871B59" w14:paraId="7043DCF9" w14:textId="35BBCD3A">
            <w:pPr>
              <w:jc w:val="both"/>
              <w:rPr>
                <w:rFonts w:ascii="Verdana" w:hAnsi="Verdana" w:eastAsia="Calibri" w:cs="Arial"/>
                <w:color w:val="000000" w:themeColor="text1"/>
                <w:sz w:val="22"/>
                <w:szCs w:val="22"/>
                <w:lang w:val="es-ES_tradnl" w:eastAsia="es-ES_tradnl"/>
              </w:rPr>
            </w:pPr>
            <w:r w:rsidRPr="001E6954">
              <w:rPr>
                <w:rFonts w:ascii="Verdana" w:hAnsi="Verdana" w:eastAsia="Calibri" w:cs="Arial"/>
                <w:color w:val="000000" w:themeColor="text1"/>
                <w:sz w:val="22"/>
                <w:szCs w:val="22"/>
                <w:lang w:val="es-ES_tradnl" w:eastAsia="es-ES_tradnl"/>
              </w:rPr>
              <w:t>Respuesta a consulta con radicado No. P202</w:t>
            </w:r>
            <w:r w:rsidRPr="001E6954" w:rsidR="001E6954">
              <w:rPr>
                <w:rFonts w:ascii="Verdana" w:hAnsi="Verdana" w:eastAsia="Calibri" w:cs="Arial"/>
                <w:color w:val="000000" w:themeColor="text1"/>
                <w:sz w:val="22"/>
                <w:szCs w:val="22"/>
                <w:lang w:val="es-ES_tradnl" w:eastAsia="es-ES_tradnl"/>
              </w:rPr>
              <w:t>50409003413</w:t>
            </w:r>
          </w:p>
        </w:tc>
      </w:tr>
    </w:tbl>
    <w:p w:rsidRPr="00DD2B2C" w:rsidR="00871B59" w:rsidP="00871B59" w:rsidRDefault="00871B59" w14:paraId="5468EEF1" w14:textId="77777777">
      <w:pPr>
        <w:jc w:val="both"/>
        <w:rPr>
          <w:rFonts w:ascii="Verdana" w:hAnsi="Verdana" w:eastAsia="Calibri" w:cs="Arial"/>
          <w:color w:val="000000"/>
          <w:sz w:val="22"/>
          <w:szCs w:val="22"/>
          <w:lang w:val="es-ES_tradnl" w:eastAsia="es-ES_tradnl"/>
        </w:rPr>
      </w:pPr>
    </w:p>
    <w:p w:rsidRPr="00DD2B2C" w:rsidR="00871B59" w:rsidP="00871B59" w:rsidRDefault="00871B59" w14:paraId="58A365E5" w14:textId="77777777">
      <w:pPr>
        <w:jc w:val="both"/>
        <w:rPr>
          <w:rFonts w:ascii="Verdana" w:hAnsi="Verdana" w:eastAsia="Calibri" w:cs="Arial"/>
          <w:color w:val="000000"/>
          <w:sz w:val="22"/>
          <w:szCs w:val="22"/>
          <w:lang w:val="es-ES_tradnl" w:eastAsia="es-ES_tradnl"/>
        </w:rPr>
      </w:pPr>
    </w:p>
    <w:p w:rsidRPr="00DD2B2C" w:rsidR="00871B59" w:rsidP="00871B59" w:rsidRDefault="00871B59" w14:paraId="0F88F3F0" w14:textId="177F0896">
      <w:pPr>
        <w:spacing w:line="276" w:lineRule="auto"/>
        <w:jc w:val="both"/>
        <w:rPr>
          <w:rFonts w:ascii="Verdana" w:hAnsi="Verdana" w:eastAsia="Calibri" w:cs="Arial"/>
          <w:color w:val="000000" w:themeColor="text1"/>
          <w:sz w:val="22"/>
          <w:szCs w:val="22"/>
          <w:lang w:val="es-ES" w:eastAsia="es-ES"/>
        </w:rPr>
      </w:pPr>
      <w:r w:rsidRPr="00DD2B2C">
        <w:rPr>
          <w:rFonts w:ascii="Verdana" w:hAnsi="Verdana" w:eastAsia="Calibri" w:cs="Arial"/>
          <w:color w:val="000000" w:themeColor="text1"/>
          <w:sz w:val="22"/>
          <w:szCs w:val="22"/>
          <w:lang w:val="es-ES" w:eastAsia="es-ES"/>
        </w:rPr>
        <w:t>Estimado seño</w:t>
      </w:r>
      <w:r w:rsidRPr="00DD2B2C" w:rsidR="00031975">
        <w:rPr>
          <w:rFonts w:ascii="Verdana" w:hAnsi="Verdana" w:eastAsia="Calibri" w:cs="Arial"/>
          <w:color w:val="000000" w:themeColor="text1"/>
          <w:sz w:val="22"/>
          <w:szCs w:val="22"/>
          <w:lang w:val="es-ES" w:eastAsia="es-ES"/>
        </w:rPr>
        <w:t>r Peñaloza</w:t>
      </w:r>
      <w:r w:rsidRPr="00DD2B2C">
        <w:rPr>
          <w:rFonts w:ascii="Verdana" w:hAnsi="Verdana" w:eastAsia="Calibri" w:cs="Arial"/>
          <w:color w:val="000000" w:themeColor="text1"/>
          <w:sz w:val="22"/>
          <w:szCs w:val="22"/>
          <w:lang w:val="es-ES" w:eastAsia="es-ES"/>
        </w:rPr>
        <w:t xml:space="preserve">: </w:t>
      </w:r>
    </w:p>
    <w:p w:rsidRPr="00DD2B2C" w:rsidR="00871B59" w:rsidP="00871B59" w:rsidRDefault="00871B59" w14:paraId="1402E753" w14:textId="77777777">
      <w:pPr>
        <w:tabs>
          <w:tab w:val="left" w:pos="3768"/>
        </w:tabs>
        <w:spacing w:line="276" w:lineRule="auto"/>
        <w:jc w:val="both"/>
        <w:rPr>
          <w:rFonts w:ascii="Verdana" w:hAnsi="Verdana" w:eastAsia="Calibri" w:cs="Arial"/>
          <w:color w:val="000000" w:themeColor="text1"/>
          <w:sz w:val="22"/>
          <w:szCs w:val="22"/>
          <w:lang w:val="es-ES" w:eastAsia="es-ES"/>
        </w:rPr>
      </w:pPr>
      <w:r w:rsidRPr="00DD2B2C">
        <w:rPr>
          <w:rFonts w:ascii="Verdana" w:hAnsi="Verdana" w:eastAsia="Calibri" w:cs="Arial"/>
          <w:color w:val="000000" w:themeColor="text1"/>
          <w:sz w:val="22"/>
          <w:szCs w:val="22"/>
          <w:lang w:val="es-ES" w:eastAsia="es-ES"/>
        </w:rPr>
        <w:tab/>
      </w:r>
    </w:p>
    <w:p w:rsidRPr="00DD2B2C" w:rsidR="00871B59" w:rsidP="00871B59" w:rsidRDefault="00871B59" w14:paraId="4E712A47" w14:textId="455ECEDD">
      <w:pPr>
        <w:spacing w:line="276" w:lineRule="auto"/>
        <w:jc w:val="both"/>
        <w:rPr>
          <w:rFonts w:ascii="Verdana" w:hAnsi="Verdana" w:eastAsia="Calibri" w:cs="Arial"/>
          <w:color w:val="7030A0"/>
          <w:sz w:val="22"/>
          <w:szCs w:val="22"/>
          <w:lang w:val="es-ES" w:eastAsia="es-ES"/>
        </w:rPr>
      </w:pPr>
      <w:r w:rsidRPr="00DD2B2C">
        <w:rPr>
          <w:rFonts w:ascii="Verdana" w:hAnsi="Verdana" w:eastAsia="Calibri" w:cs="Arial"/>
          <w:color w:val="000000" w:themeColor="text1"/>
          <w:sz w:val="22"/>
          <w:szCs w:val="22"/>
          <w:lang w:val="es-ES" w:eastAsia="es-ES"/>
        </w:rPr>
        <w:t>En ejercicio de la competencia otorgada por los artículos 3, numeral 5º, y 11, numeral 8º, del Decreto Ley 4170 de 2011,</w:t>
      </w:r>
      <w:r w:rsidRPr="00DD2B2C">
        <w:rPr>
          <w:rFonts w:ascii="Verdana" w:hAnsi="Verdana" w:eastAsia="Arial MT" w:cs="Arial MT"/>
          <w:sz w:val="22"/>
          <w:szCs w:val="22"/>
          <w:lang w:val="es-ES" w:eastAsia="es-ES"/>
        </w:rPr>
        <w:t xml:space="preserve"> </w:t>
      </w:r>
      <w:r w:rsidRPr="00DD2B2C">
        <w:rPr>
          <w:rFonts w:ascii="Verdana" w:hAnsi="Verdana" w:cs="Arial"/>
          <w:sz w:val="22"/>
          <w:szCs w:val="22"/>
        </w:rPr>
        <w:t xml:space="preserve">así como lo establecido en el artículo 4 de la Resolución 1707 de 2018 expedida por esta Entidad, </w:t>
      </w:r>
      <w:r w:rsidRPr="00DD2B2C">
        <w:rPr>
          <w:rFonts w:ascii="Verdana" w:hAnsi="Verdana" w:eastAsia="Calibri" w:cs="Arial"/>
          <w:color w:val="000000" w:themeColor="text1"/>
          <w:sz w:val="22"/>
          <w:szCs w:val="22"/>
          <w:lang w:val="es-ES" w:eastAsia="es-ES"/>
        </w:rPr>
        <w:t>la Agencia Nacional de Contratación Pública – Colombia Compra Eficiente– responde su solicitud de consulta de fecha</w:t>
      </w:r>
      <w:r w:rsidRPr="00DD2B2C" w:rsidR="0049754F">
        <w:rPr>
          <w:rFonts w:ascii="Verdana" w:hAnsi="Verdana" w:eastAsia="Calibri" w:cs="Arial"/>
          <w:color w:val="000000" w:themeColor="text1"/>
          <w:sz w:val="22"/>
          <w:szCs w:val="22"/>
          <w:lang w:val="es-ES" w:eastAsia="es-ES"/>
        </w:rPr>
        <w:t xml:space="preserve"> 9 </w:t>
      </w:r>
      <w:r w:rsidRPr="00DD2B2C">
        <w:rPr>
          <w:rFonts w:ascii="Verdana" w:hAnsi="Verdana" w:eastAsia="Calibri" w:cs="Arial"/>
          <w:color w:val="000000" w:themeColor="text1"/>
          <w:sz w:val="22"/>
          <w:szCs w:val="22"/>
          <w:lang w:val="es-ES" w:eastAsia="es-ES"/>
        </w:rPr>
        <w:t>d</w:t>
      </w:r>
      <w:r w:rsidRPr="00DD2B2C" w:rsidR="0049754F">
        <w:rPr>
          <w:rFonts w:ascii="Verdana" w:hAnsi="Verdana" w:eastAsia="Calibri" w:cs="Arial"/>
          <w:color w:val="000000" w:themeColor="text1"/>
          <w:sz w:val="22"/>
          <w:szCs w:val="22"/>
          <w:lang w:val="es-ES" w:eastAsia="es-ES"/>
        </w:rPr>
        <w:t>e abril</w:t>
      </w:r>
      <w:r w:rsidRPr="00DD2B2C">
        <w:rPr>
          <w:rFonts w:ascii="Verdana" w:hAnsi="Verdana" w:eastAsia="Calibri" w:cs="Arial"/>
          <w:color w:val="7030A0"/>
          <w:sz w:val="22"/>
          <w:szCs w:val="22"/>
          <w:lang w:val="es-ES" w:eastAsia="es-ES"/>
        </w:rPr>
        <w:t xml:space="preserve"> </w:t>
      </w:r>
      <w:r w:rsidRPr="00DD2B2C">
        <w:rPr>
          <w:rFonts w:ascii="Verdana" w:hAnsi="Verdana" w:eastAsia="Calibri" w:cs="Arial"/>
          <w:color w:val="000000" w:themeColor="text1"/>
          <w:sz w:val="22"/>
          <w:szCs w:val="22"/>
          <w:lang w:val="es-ES" w:eastAsia="es-ES"/>
        </w:rPr>
        <w:t>de 2</w:t>
      </w:r>
      <w:r w:rsidRPr="00DD2B2C" w:rsidR="0049754F">
        <w:rPr>
          <w:rFonts w:ascii="Verdana" w:hAnsi="Verdana" w:eastAsia="Calibri" w:cs="Arial"/>
          <w:color w:val="000000" w:themeColor="text1"/>
          <w:sz w:val="22"/>
          <w:szCs w:val="22"/>
          <w:lang w:val="es-ES" w:eastAsia="es-ES"/>
        </w:rPr>
        <w:t>025</w:t>
      </w:r>
      <w:r w:rsidRPr="00DD2B2C">
        <w:rPr>
          <w:rFonts w:ascii="Verdana" w:hAnsi="Verdana" w:eastAsia="Calibri" w:cs="Arial"/>
          <w:color w:val="7030A0"/>
          <w:sz w:val="22"/>
          <w:szCs w:val="22"/>
          <w:lang w:val="es-ES" w:eastAsia="es-ES"/>
        </w:rPr>
        <w:t xml:space="preserve">: </w:t>
      </w:r>
    </w:p>
    <w:p w:rsidRPr="00DD2B2C" w:rsidR="00871B59" w:rsidP="00871B59" w:rsidRDefault="00871B59" w14:paraId="666FB870" w14:textId="77777777">
      <w:pPr>
        <w:pStyle w:val="Prrafodelista"/>
        <w:tabs>
          <w:tab w:val="left" w:pos="142"/>
          <w:tab w:val="left" w:pos="284"/>
        </w:tabs>
        <w:spacing w:line="276" w:lineRule="auto"/>
        <w:ind w:left="0"/>
        <w:jc w:val="both"/>
        <w:rPr>
          <w:rFonts w:ascii="Verdana" w:hAnsi="Verdana" w:eastAsia="Century Gothic" w:cs="Century Gothic"/>
          <w:b/>
          <w:bCs/>
          <w:sz w:val="22"/>
          <w:szCs w:val="22"/>
          <w:lang w:val="es-ES"/>
        </w:rPr>
      </w:pPr>
    </w:p>
    <w:p w:rsidRPr="00DD2B2C" w:rsidR="00871B59" w:rsidP="00DD2B2C" w:rsidRDefault="00871B59" w14:paraId="670387F0" w14:textId="028FA710">
      <w:pPr>
        <w:ind w:left="709" w:right="709"/>
        <w:jc w:val="both"/>
        <w:rPr>
          <w:rFonts w:ascii="Verdana" w:hAnsi="Verdana"/>
          <w:sz w:val="22"/>
          <w:szCs w:val="22"/>
        </w:rPr>
      </w:pPr>
      <w:bookmarkStart w:name="_Hlk95313578" w:id="0"/>
      <w:r w:rsidRPr="00DD2B2C">
        <w:rPr>
          <w:rFonts w:ascii="Verdana" w:hAnsi="Verdana" w:eastAsia="Century Gothic" w:cs="Century Gothic"/>
          <w:color w:val="7030A0"/>
          <w:sz w:val="22"/>
          <w:szCs w:val="22"/>
          <w:lang w:val="es-ES"/>
        </w:rPr>
        <w:t>“</w:t>
      </w:r>
      <w:bookmarkEnd w:id="0"/>
      <w:r w:rsidRPr="00DD2B2C" w:rsidR="0049754F">
        <w:rPr>
          <w:rFonts w:ascii="Verdana" w:hAnsi="Verdana"/>
          <w:sz w:val="22"/>
          <w:szCs w:val="22"/>
        </w:rPr>
        <w:t xml:space="preserve">Solicito aclaración sobre las actividades de supervisión de contratos de prestación de servicio, en cuanto quien ejerce la supervisión frente quien es supervisado, en el caso de que el supervisor se </w:t>
      </w:r>
      <w:proofErr w:type="spellStart"/>
      <w:r w:rsidRPr="00DD2B2C" w:rsidR="0049754F">
        <w:rPr>
          <w:rFonts w:ascii="Verdana" w:hAnsi="Verdana"/>
          <w:sz w:val="22"/>
          <w:szCs w:val="22"/>
        </w:rPr>
        <w:t>de</w:t>
      </w:r>
      <w:proofErr w:type="spellEnd"/>
      <w:r w:rsidRPr="00DD2B2C" w:rsidR="0049754F">
        <w:rPr>
          <w:rFonts w:ascii="Verdana" w:hAnsi="Verdana"/>
          <w:sz w:val="22"/>
          <w:szCs w:val="22"/>
        </w:rPr>
        <w:t xml:space="preserve"> cargo de planta técnico administrativo, pero este es de profesión abogado con dos especializaciones que además en </w:t>
      </w:r>
      <w:r w:rsidR="001E6954">
        <w:rPr>
          <w:rFonts w:ascii="Verdana" w:hAnsi="Verdana"/>
          <w:sz w:val="22"/>
          <w:szCs w:val="22"/>
        </w:rPr>
        <w:br/>
      </w:r>
      <w:r w:rsidRPr="00DD2B2C" w:rsidR="0049754F">
        <w:rPr>
          <w:rFonts w:ascii="Verdana" w:hAnsi="Verdana"/>
          <w:sz w:val="22"/>
          <w:szCs w:val="22"/>
        </w:rPr>
        <w:t xml:space="preserve">el manual de funciones del cargo </w:t>
      </w:r>
      <w:proofErr w:type="spellStart"/>
      <w:r w:rsidRPr="00DD2B2C" w:rsidR="0049754F">
        <w:rPr>
          <w:rFonts w:ascii="Verdana" w:hAnsi="Verdana"/>
          <w:sz w:val="22"/>
          <w:szCs w:val="22"/>
        </w:rPr>
        <w:t>esta</w:t>
      </w:r>
      <w:proofErr w:type="spellEnd"/>
      <w:r w:rsidRPr="00DD2B2C" w:rsidR="0049754F">
        <w:rPr>
          <w:rFonts w:ascii="Verdana" w:hAnsi="Verdana"/>
          <w:sz w:val="22"/>
          <w:szCs w:val="22"/>
        </w:rPr>
        <w:t xml:space="preserve"> la de realizar supervisión de contratos y este objetivo </w:t>
      </w:r>
      <w:proofErr w:type="gramStart"/>
      <w:r w:rsidRPr="00DD2B2C" w:rsidR="0049754F">
        <w:rPr>
          <w:rFonts w:ascii="Verdana" w:hAnsi="Verdana"/>
          <w:sz w:val="22"/>
          <w:szCs w:val="22"/>
        </w:rPr>
        <w:t>esta concertado</w:t>
      </w:r>
      <w:proofErr w:type="gramEnd"/>
      <w:r w:rsidRPr="00DD2B2C" w:rsidR="0049754F">
        <w:rPr>
          <w:rFonts w:ascii="Verdana" w:hAnsi="Verdana"/>
          <w:sz w:val="22"/>
          <w:szCs w:val="22"/>
        </w:rPr>
        <w:t xml:space="preserve"> en sus EDL de la </w:t>
      </w:r>
      <w:r w:rsidRPr="00DD2B2C" w:rsidR="0049754F">
        <w:rPr>
          <w:rFonts w:ascii="Verdana" w:hAnsi="Verdana"/>
          <w:sz w:val="22"/>
          <w:szCs w:val="22"/>
        </w:rPr>
        <w:t xml:space="preserve">evaluación de desempeño. la pregunta es ¿ el por qué este funcionario que es idóneo ya que tiene la formación profesional y la experiencia no puede ser supervisor de abogados en prestación de servicios? ya que como dice la guía G-EFSICE-01, "la supervisión de un contrato consiste en el seguimiento técnico, administrativo, financiero, contable y jurídico sobre el cumplimiento del objeto del contrato. siendo así solicito un concepto por el cual no se puede realizar estas supervisiones por los técnicos administrativos que tenga la suficiente idoneidad”. </w:t>
      </w:r>
    </w:p>
    <w:p w:rsidRPr="00DD2B2C" w:rsidR="00871B59" w:rsidP="00871B59" w:rsidRDefault="00871B59" w14:paraId="0D82E792" w14:textId="77777777">
      <w:pPr>
        <w:pStyle w:val="Prrafodelista"/>
        <w:tabs>
          <w:tab w:val="left" w:pos="142"/>
          <w:tab w:val="left" w:pos="284"/>
        </w:tabs>
        <w:spacing w:line="276" w:lineRule="auto"/>
        <w:ind w:left="0"/>
        <w:jc w:val="both"/>
        <w:rPr>
          <w:rFonts w:ascii="Verdana" w:hAnsi="Verdana" w:eastAsia="Century Gothic" w:cs="Century Gothic"/>
          <w:b/>
          <w:bCs/>
          <w:sz w:val="22"/>
          <w:szCs w:val="22"/>
          <w:lang w:val="es-ES"/>
        </w:rPr>
      </w:pPr>
    </w:p>
    <w:p w:rsidRPr="00DD2B2C" w:rsidR="00871B59" w:rsidP="00871B59" w:rsidRDefault="00871B59" w14:paraId="71FA764C" w14:textId="77777777">
      <w:pPr>
        <w:spacing w:after="120" w:line="276" w:lineRule="auto"/>
        <w:ind w:firstLine="709"/>
        <w:jc w:val="both"/>
        <w:rPr>
          <w:rFonts w:ascii="Verdana" w:hAnsi="Verdana" w:eastAsia="Calibri" w:cs="Arial"/>
          <w:color w:val="000000"/>
          <w:sz w:val="22"/>
          <w:szCs w:val="22"/>
          <w:lang w:val="es-ES_tradnl" w:eastAsia="es-ES_tradnl"/>
        </w:rPr>
      </w:pPr>
      <w:r w:rsidRPr="00DD2B2C">
        <w:rPr>
          <w:rFonts w:ascii="Verdana" w:hAnsi="Verdana" w:eastAsia="Calibri" w:cs="Arial"/>
          <w:color w:val="000000"/>
          <w:sz w:val="22"/>
          <w:szCs w:val="22"/>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D2B2C">
        <w:rPr>
          <w:rFonts w:ascii="Verdana" w:hAnsi="Verdana" w:eastAsia="Calibri" w:cs="Arial"/>
          <w:color w:val="000000"/>
          <w:sz w:val="22"/>
          <w:szCs w:val="22"/>
          <w:lang w:val="es-ES_tradnl" w:eastAsia="es-ES_tradnl"/>
        </w:rPr>
        <w:tab/>
      </w:r>
    </w:p>
    <w:p w:rsidRPr="00DD2B2C" w:rsidR="00871B59" w:rsidP="00871B59" w:rsidRDefault="00871B59" w14:paraId="30992C89" w14:textId="288B9C1A">
      <w:pPr>
        <w:spacing w:line="276" w:lineRule="auto"/>
        <w:ind w:firstLine="709"/>
        <w:jc w:val="both"/>
        <w:rPr>
          <w:rFonts w:ascii="Verdana" w:hAnsi="Verdana" w:eastAsia="Calibri" w:cs="Arial"/>
          <w:color w:val="000000"/>
          <w:sz w:val="22"/>
          <w:szCs w:val="22"/>
          <w:lang w:val="es-ES" w:eastAsia="es-ES"/>
        </w:rPr>
      </w:pPr>
      <w:r w:rsidRPr="00DD2B2C">
        <w:rPr>
          <w:rFonts w:ascii="Verdana" w:hAnsi="Verdana" w:eastAsia="Calibri" w:cs="Arial"/>
          <w:color w:val="000000"/>
          <w:sz w:val="22"/>
          <w:szCs w:val="22"/>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DD2B2C">
        <w:rPr>
          <w:rFonts w:ascii="Verdana" w:hAnsi="Verdana" w:eastAsia="Calibri" w:cs="Arial"/>
          <w:color w:val="7030A0"/>
          <w:sz w:val="22"/>
          <w:szCs w:val="22"/>
          <w:lang w:val="es-ES" w:eastAsia="es-ES"/>
        </w:rPr>
        <w:t xml:space="preserve"> </w:t>
      </w:r>
      <w:r w:rsidRPr="00DD2B2C">
        <w:rPr>
          <w:rFonts w:ascii="Verdana" w:hAnsi="Verdana" w:eastAsia="Calibri" w:cs="Arial"/>
          <w:color w:val="000000"/>
          <w:sz w:val="22"/>
          <w:szCs w:val="22"/>
          <w:lang w:val="es-ES" w:eastAsia="es-ES"/>
        </w:rPr>
        <w:t>jurídico</w:t>
      </w:r>
      <w:r w:rsidRPr="00DD2B2C">
        <w:rPr>
          <w:rFonts w:ascii="Verdana" w:hAnsi="Verdana" w:eastAsia="Calibri" w:cs="Arial"/>
          <w:color w:val="7030A0"/>
          <w:sz w:val="22"/>
          <w:szCs w:val="22"/>
          <w:lang w:val="es-ES" w:eastAsia="es-ES"/>
        </w:rPr>
        <w:t xml:space="preserve"> </w:t>
      </w:r>
      <w:r w:rsidRPr="00DD2B2C">
        <w:rPr>
          <w:rFonts w:ascii="Verdana" w:hAnsi="Verdana" w:eastAsia="Calibri" w:cs="Arial"/>
          <w:color w:val="000000"/>
          <w:sz w:val="22"/>
          <w:szCs w:val="22"/>
          <w:lang w:val="es-ES" w:eastAsia="es-ES"/>
        </w:rPr>
        <w:t xml:space="preserve">de su consulta. </w:t>
      </w:r>
    </w:p>
    <w:p w:rsidRPr="00DD2B2C" w:rsidR="00871B59" w:rsidP="00871B59" w:rsidRDefault="00871B59" w14:paraId="7F4E3F09" w14:textId="77777777">
      <w:pPr>
        <w:spacing w:line="276" w:lineRule="auto"/>
        <w:ind w:firstLine="709"/>
        <w:jc w:val="both"/>
        <w:rPr>
          <w:rFonts w:ascii="Verdana" w:hAnsi="Verdana" w:eastAsia="Calibri" w:cs="Arial"/>
          <w:color w:val="000000"/>
          <w:sz w:val="22"/>
          <w:szCs w:val="22"/>
          <w:lang w:val="es-ES" w:eastAsia="es-ES"/>
        </w:rPr>
      </w:pPr>
    </w:p>
    <w:p w:rsidRPr="00DD2B2C" w:rsidR="00871B59" w:rsidP="00871B59" w:rsidRDefault="00871B59" w14:paraId="77D5301B" w14:textId="77777777">
      <w:pPr>
        <w:pStyle w:val="Prrafodelista"/>
        <w:numPr>
          <w:ilvl w:val="0"/>
          <w:numId w:val="4"/>
        </w:numPr>
        <w:tabs>
          <w:tab w:val="left" w:pos="142"/>
          <w:tab w:val="left" w:pos="284"/>
        </w:tabs>
        <w:spacing w:line="276" w:lineRule="auto"/>
        <w:ind w:left="0" w:firstLine="0"/>
        <w:jc w:val="both"/>
        <w:rPr>
          <w:rFonts w:ascii="Verdana" w:hAnsi="Verdana" w:eastAsia="Century Gothic" w:cs="Century Gothic"/>
          <w:b/>
          <w:bCs/>
          <w:sz w:val="22"/>
          <w:szCs w:val="22"/>
          <w:lang w:val="es-ES"/>
        </w:rPr>
      </w:pPr>
      <w:r w:rsidRPr="00DD2B2C">
        <w:rPr>
          <w:rFonts w:ascii="Verdana" w:hAnsi="Verdana" w:eastAsia="Century Gothic" w:cs="Century Gothic"/>
          <w:b/>
          <w:bCs/>
          <w:sz w:val="22"/>
          <w:szCs w:val="22"/>
          <w:lang w:val="es-ES"/>
        </w:rPr>
        <w:t>Problema planteado:</w:t>
      </w:r>
    </w:p>
    <w:p w:rsidRPr="00DD2B2C" w:rsidR="00871B59" w:rsidP="00871B59" w:rsidRDefault="00871B59" w14:paraId="48A374F8" w14:textId="77777777">
      <w:pPr>
        <w:tabs>
          <w:tab w:val="left" w:pos="426"/>
        </w:tabs>
        <w:spacing w:line="276" w:lineRule="auto"/>
        <w:jc w:val="both"/>
        <w:rPr>
          <w:rFonts w:ascii="Verdana" w:hAnsi="Verdana" w:eastAsia="Century Gothic" w:cs="Century Gothic"/>
          <w:sz w:val="22"/>
          <w:szCs w:val="22"/>
          <w:lang w:val="es-ES"/>
        </w:rPr>
      </w:pPr>
    </w:p>
    <w:p w:rsidRPr="00DD2B2C" w:rsidR="00871B59" w:rsidP="1F9252E4" w:rsidRDefault="00871B59" w14:paraId="41CB1CFE" w14:textId="01A3B095">
      <w:pPr>
        <w:spacing w:line="276" w:lineRule="auto"/>
        <w:jc w:val="both"/>
        <w:rPr>
          <w:rFonts w:ascii="Verdana" w:hAnsi="Verdana" w:eastAsia="Century Gothic" w:cs="Century Gothic"/>
          <w:color w:val="000000" w:themeColor="text1"/>
          <w:sz w:val="22"/>
          <w:szCs w:val="22"/>
        </w:rPr>
      </w:pPr>
      <w:r w:rsidRPr="00DD2B2C">
        <w:rPr>
          <w:rFonts w:ascii="Verdana" w:hAnsi="Verdana" w:eastAsia="Century Gothic" w:cs="Century Gothic"/>
          <w:color w:val="000000" w:themeColor="text1"/>
          <w:sz w:val="22"/>
          <w:szCs w:val="22"/>
        </w:rPr>
        <w:t xml:space="preserve">De acuerdo con el contenido de su solicitud, esta Agencia resolverá el siguiente problema jurídico: </w:t>
      </w:r>
      <w:r w:rsidRPr="00DD2B2C" w:rsidR="00D23E6C">
        <w:rPr>
          <w:rFonts w:ascii="Verdana" w:hAnsi="Verdana" w:eastAsia="Century Gothic" w:cs="Century Gothic"/>
          <w:color w:val="000000" w:themeColor="text1"/>
          <w:sz w:val="22"/>
          <w:szCs w:val="22"/>
        </w:rPr>
        <w:t>¿Cuál</w:t>
      </w:r>
      <w:r w:rsidRPr="00DD2B2C" w:rsidR="00A21EDC">
        <w:rPr>
          <w:rFonts w:ascii="Verdana" w:hAnsi="Verdana" w:eastAsia="Century Gothic" w:cs="Century Gothic"/>
          <w:color w:val="000000" w:themeColor="text1"/>
          <w:sz w:val="22"/>
          <w:szCs w:val="22"/>
        </w:rPr>
        <w:t>es</w:t>
      </w:r>
      <w:r w:rsidRPr="00DD2B2C" w:rsidR="00D23E6C">
        <w:rPr>
          <w:rFonts w:ascii="Verdana" w:hAnsi="Verdana" w:eastAsia="Century Gothic" w:cs="Century Gothic"/>
          <w:color w:val="000000" w:themeColor="text1"/>
          <w:sz w:val="22"/>
          <w:szCs w:val="22"/>
        </w:rPr>
        <w:t xml:space="preserve"> </w:t>
      </w:r>
      <w:r w:rsidRPr="00DD2B2C" w:rsidR="00A21EDC">
        <w:rPr>
          <w:rFonts w:ascii="Verdana" w:hAnsi="Verdana" w:eastAsia="Century Gothic" w:cs="Century Gothic"/>
          <w:color w:val="000000" w:themeColor="text1"/>
          <w:sz w:val="22"/>
          <w:szCs w:val="22"/>
        </w:rPr>
        <w:t>son</w:t>
      </w:r>
      <w:r w:rsidRPr="00DD2B2C" w:rsidR="00D23E6C">
        <w:rPr>
          <w:rFonts w:ascii="Verdana" w:hAnsi="Verdana" w:eastAsia="Century Gothic" w:cs="Century Gothic"/>
          <w:color w:val="000000" w:themeColor="text1"/>
          <w:sz w:val="22"/>
          <w:szCs w:val="22"/>
        </w:rPr>
        <w:t xml:space="preserve"> </w:t>
      </w:r>
      <w:r w:rsidRPr="00DD2B2C" w:rsidR="00A21EDC">
        <w:rPr>
          <w:rFonts w:ascii="Verdana" w:hAnsi="Verdana" w:eastAsia="Century Gothic" w:cs="Century Gothic"/>
          <w:color w:val="000000" w:themeColor="text1"/>
          <w:sz w:val="22"/>
          <w:szCs w:val="22"/>
        </w:rPr>
        <w:t>los</w:t>
      </w:r>
      <w:r w:rsidRPr="00DD2B2C" w:rsidR="00D23E6C">
        <w:rPr>
          <w:rFonts w:ascii="Verdana" w:hAnsi="Verdana" w:eastAsia="Century Gothic" w:cs="Century Gothic"/>
          <w:color w:val="000000" w:themeColor="text1"/>
          <w:sz w:val="22"/>
          <w:szCs w:val="22"/>
        </w:rPr>
        <w:t xml:space="preserve"> criterio</w:t>
      </w:r>
      <w:r w:rsidRPr="00DD2B2C" w:rsidR="00A21EDC">
        <w:rPr>
          <w:rFonts w:ascii="Verdana" w:hAnsi="Verdana" w:eastAsia="Century Gothic" w:cs="Century Gothic"/>
          <w:color w:val="000000" w:themeColor="text1"/>
          <w:sz w:val="22"/>
          <w:szCs w:val="22"/>
        </w:rPr>
        <w:t>s</w:t>
      </w:r>
      <w:r w:rsidRPr="00DD2B2C" w:rsidR="00D23E6C">
        <w:rPr>
          <w:rFonts w:ascii="Verdana" w:hAnsi="Verdana" w:eastAsia="Century Gothic" w:cs="Century Gothic"/>
          <w:color w:val="000000" w:themeColor="text1"/>
          <w:sz w:val="22"/>
          <w:szCs w:val="22"/>
        </w:rPr>
        <w:t xml:space="preserve"> que debe tener </w:t>
      </w:r>
      <w:r w:rsidR="008D4941">
        <w:rPr>
          <w:rFonts w:ascii="Verdana" w:hAnsi="Verdana" w:eastAsia="Century Gothic" w:cs="Century Gothic"/>
          <w:color w:val="000000" w:themeColor="text1"/>
          <w:sz w:val="22"/>
          <w:szCs w:val="22"/>
        </w:rPr>
        <w:t xml:space="preserve">en cuenta </w:t>
      </w:r>
      <w:r w:rsidRPr="00DD2B2C" w:rsidR="00D23E6C">
        <w:rPr>
          <w:rFonts w:ascii="Verdana" w:hAnsi="Verdana" w:eastAsia="Century Gothic" w:cs="Century Gothic"/>
          <w:color w:val="000000" w:themeColor="text1"/>
          <w:sz w:val="22"/>
          <w:szCs w:val="22"/>
        </w:rPr>
        <w:t>una entidad, para determinar la idoneidad del servidor público, en quien se va a designar la supervisión de un contrato?</w:t>
      </w:r>
    </w:p>
    <w:p w:rsidRPr="00DD2B2C" w:rsidR="00871B59" w:rsidP="00871B59" w:rsidRDefault="00871B59" w14:paraId="28242061" w14:textId="77777777">
      <w:pPr>
        <w:spacing w:line="276" w:lineRule="auto"/>
        <w:jc w:val="both"/>
        <w:rPr>
          <w:rFonts w:ascii="Verdana" w:hAnsi="Verdana" w:eastAsia="Calibri" w:cs="Arial"/>
          <w:color w:val="7030A0"/>
          <w:sz w:val="22"/>
          <w:szCs w:val="22"/>
        </w:rPr>
      </w:pPr>
    </w:p>
    <w:p w:rsidRPr="00DD2B2C" w:rsidR="00871B59" w:rsidP="00871B59" w:rsidRDefault="00871B59" w14:paraId="0CFAF67E" w14:textId="77777777">
      <w:pPr>
        <w:pStyle w:val="Prrafodelista"/>
        <w:numPr>
          <w:ilvl w:val="0"/>
          <w:numId w:val="4"/>
        </w:numPr>
        <w:tabs>
          <w:tab w:val="left" w:pos="142"/>
          <w:tab w:val="left" w:pos="284"/>
        </w:tabs>
        <w:spacing w:line="276" w:lineRule="auto"/>
        <w:ind w:left="0" w:firstLine="0"/>
        <w:contextualSpacing w:val="0"/>
        <w:jc w:val="both"/>
        <w:rPr>
          <w:rFonts w:ascii="Verdana" w:hAnsi="Verdana" w:eastAsia="Century Gothic" w:cs="Century Gothic"/>
          <w:b/>
          <w:bCs/>
          <w:sz w:val="22"/>
          <w:szCs w:val="22"/>
          <w:lang w:val="es-ES"/>
        </w:rPr>
      </w:pPr>
      <w:r w:rsidRPr="00DD2B2C">
        <w:rPr>
          <w:rFonts w:ascii="Verdana" w:hAnsi="Verdana" w:eastAsia="Century Gothic" w:cs="Century Gothic"/>
          <w:b/>
          <w:bCs/>
          <w:sz w:val="22"/>
          <w:szCs w:val="22"/>
          <w:lang w:val="es-ES"/>
        </w:rPr>
        <w:t>Respuesta:</w:t>
      </w:r>
    </w:p>
    <w:p w:rsidRPr="00DD2B2C" w:rsidR="00871B59" w:rsidP="00871B59" w:rsidRDefault="00871B59" w14:paraId="12CEFDAB" w14:textId="77777777">
      <w:pPr>
        <w:tabs>
          <w:tab w:val="left" w:pos="142"/>
          <w:tab w:val="left" w:pos="284"/>
        </w:tabs>
        <w:spacing w:line="276" w:lineRule="auto"/>
        <w:jc w:val="both"/>
        <w:rPr>
          <w:rFonts w:ascii="Verdana" w:hAnsi="Verdana" w:eastAsia="Century Gothic" w:cs="Century Gothic"/>
          <w:b/>
          <w:bCs/>
          <w:sz w:val="22"/>
          <w:szCs w:val="22"/>
          <w:lang w:val="es-ES"/>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DD2B2C" w:rsidR="00871B59" w:rsidTr="002607A7" w14:paraId="00E348EE" w14:textId="77777777">
        <w:tc>
          <w:tcPr>
            <w:tcW w:w="8828" w:type="dxa"/>
            <w:shd w:val="clear" w:color="auto" w:fill="auto"/>
          </w:tcPr>
          <w:p w:rsidRPr="00DD2B2C" w:rsidR="00A21EDC" w:rsidP="00A21EDC" w:rsidRDefault="00A21EDC" w14:paraId="05F4EF4E" w14:textId="3957B337">
            <w:pPr>
              <w:spacing w:before="120" w:line="276" w:lineRule="auto"/>
              <w:contextualSpacing/>
              <w:jc w:val="both"/>
              <w:rPr>
                <w:rFonts w:ascii="Verdana" w:hAnsi="Verdana"/>
                <w:sz w:val="22"/>
                <w:szCs w:val="22"/>
              </w:rPr>
            </w:pPr>
            <w:r w:rsidRPr="00DD2B2C">
              <w:rPr>
                <w:rFonts w:ascii="Verdana" w:hAnsi="Verdana"/>
                <w:sz w:val="22"/>
                <w:szCs w:val="22"/>
              </w:rPr>
              <w:t xml:space="preserve">           Con el fin de responder al problema jurídico planteado se tiene que los criterios que debe tener en cuenta la entidad para la designación de esta figura, se han expuesto por esta Agencia de Contratación Pública -Colombia Compra Eficiente, a través del “</w:t>
            </w:r>
            <w:r w:rsidRPr="00DD2B2C" w:rsidR="00DD2B2C">
              <w:rPr>
                <w:rFonts w:ascii="Verdana" w:hAnsi="Verdana" w:eastAsia="Calibri" w:cs="Arial"/>
                <w:sz w:val="22"/>
                <w:szCs w:val="22"/>
                <w:lang w:val="es-ES"/>
              </w:rPr>
              <w:t>Guía para el ejercicio de las funciones de Supervisión e Interventoría de los contratos del Estado</w:t>
            </w:r>
            <w:r w:rsidRPr="00DD2B2C" w:rsidR="00DD2B2C">
              <w:rPr>
                <w:rStyle w:val="Refdenotaalpie"/>
                <w:rFonts w:ascii="Verdana" w:hAnsi="Verdana"/>
                <w:sz w:val="22"/>
                <w:szCs w:val="22"/>
              </w:rPr>
              <w:t xml:space="preserve"> </w:t>
            </w:r>
            <w:r w:rsidRPr="00DD2B2C">
              <w:rPr>
                <w:rStyle w:val="Refdenotaalpie"/>
                <w:rFonts w:ascii="Verdana" w:hAnsi="Verdana"/>
                <w:sz w:val="22"/>
                <w:szCs w:val="22"/>
              </w:rPr>
              <w:footnoteReference w:id="2"/>
            </w:r>
            <w:r w:rsidRPr="00DD2B2C">
              <w:rPr>
                <w:rFonts w:ascii="Verdana" w:hAnsi="Verdana"/>
                <w:sz w:val="22"/>
                <w:szCs w:val="22"/>
              </w:rPr>
              <w:t xml:space="preserve">”, en donde es la clara la posición que determina que para su selección, debe tenerse en cuenta que si bien el mismo no requiere un perfil predeterminado, sí es necesario que pueda actuar al menos como par del contratista y que tenga asignadas funciones relacionadas con el objeto contractual. </w:t>
            </w:r>
          </w:p>
          <w:p w:rsidRPr="00DD2B2C" w:rsidR="00A21EDC" w:rsidP="00A21EDC" w:rsidRDefault="00A21EDC" w14:paraId="1D237914" w14:textId="77777777">
            <w:pPr>
              <w:spacing w:before="120" w:line="276" w:lineRule="auto"/>
              <w:contextualSpacing/>
              <w:jc w:val="both"/>
              <w:rPr>
                <w:rFonts w:ascii="Verdana" w:hAnsi="Verdana"/>
                <w:sz w:val="22"/>
                <w:szCs w:val="22"/>
              </w:rPr>
            </w:pPr>
          </w:p>
          <w:p w:rsidRPr="00DD2B2C" w:rsidR="00A21EDC" w:rsidP="00A21EDC" w:rsidRDefault="00A21EDC" w14:paraId="4E7E2390" w14:textId="77777777">
            <w:pPr>
              <w:spacing w:before="120" w:line="276" w:lineRule="auto"/>
              <w:contextualSpacing/>
              <w:jc w:val="both"/>
              <w:rPr>
                <w:rFonts w:ascii="Verdana" w:hAnsi="Verdana"/>
                <w:sz w:val="22"/>
                <w:szCs w:val="22"/>
              </w:rPr>
            </w:pPr>
            <w:r w:rsidRPr="00DD2B2C">
              <w:rPr>
                <w:rFonts w:ascii="Verdana" w:hAnsi="Verdana"/>
                <w:sz w:val="22"/>
                <w:szCs w:val="22"/>
              </w:rPr>
              <w:t xml:space="preserve">           Asimismo, que es recomendable que antes de que la Entidad Estatal designe un funcionario como supervisor, haga un análisis de la carga operativa de quien va a ser designado, para no incurrir en los riesgos derivados de designar como supervisor a un funcionario que no pueda desempeñar esa tarea de manera adecuada. La designación de un supervisor debe ser efectuada a más tardar en la misma fecha en la que se adjudique el contrato cuando el mismo sea el resultado de un proceso de contratación competitivo o se asigne en los casos de contrataciones directas. </w:t>
            </w:r>
          </w:p>
          <w:p w:rsidRPr="00DD2B2C" w:rsidR="00A21EDC" w:rsidP="00A21EDC" w:rsidRDefault="00A21EDC" w14:paraId="1DEAC504" w14:textId="77777777">
            <w:pPr>
              <w:spacing w:before="120" w:line="276" w:lineRule="auto"/>
              <w:contextualSpacing/>
              <w:jc w:val="both"/>
              <w:rPr>
                <w:rFonts w:ascii="Verdana" w:hAnsi="Verdana"/>
                <w:sz w:val="22"/>
                <w:szCs w:val="22"/>
              </w:rPr>
            </w:pPr>
          </w:p>
          <w:p w:rsidRPr="00DD2B2C" w:rsidR="00A21EDC" w:rsidP="00A21EDC" w:rsidRDefault="00A21EDC" w14:paraId="1340B26E" w14:textId="4C534516">
            <w:pPr>
              <w:spacing w:before="120" w:line="276" w:lineRule="auto"/>
              <w:contextualSpacing/>
              <w:jc w:val="both"/>
              <w:rPr>
                <w:rFonts w:ascii="Verdana" w:hAnsi="Verdana"/>
                <w:sz w:val="22"/>
                <w:szCs w:val="22"/>
              </w:rPr>
            </w:pPr>
            <w:r w:rsidRPr="00DD2B2C">
              <w:rPr>
                <w:rFonts w:ascii="Verdana" w:hAnsi="Verdana"/>
                <w:sz w:val="22"/>
                <w:szCs w:val="22"/>
              </w:rPr>
              <w:t xml:space="preserve">         Por otra parte esta Agencia, aclaró que la designación del supervisor del contrato no requiere que el ma</w:t>
            </w:r>
            <w:r w:rsidRPr="00DD2B2C" w:rsidR="00DD2B2C">
              <w:rPr>
                <w:rFonts w:ascii="Verdana" w:hAnsi="Verdana"/>
                <w:sz w:val="22"/>
                <w:szCs w:val="22"/>
              </w:rPr>
              <w:t>nual</w:t>
            </w:r>
            <w:r w:rsidRPr="00DD2B2C">
              <w:rPr>
                <w:rFonts w:ascii="Verdana" w:hAnsi="Verdana"/>
                <w:sz w:val="22"/>
                <w:szCs w:val="22"/>
              </w:rPr>
              <w:t xml:space="preserve"> de funciones de las Entidad Estatal establezca expresamente la función de supervisar contratos, pues la misma es inherente al desempeño de las funciones ordinarias de los servidores públicos. La comunicación de la designación de un funcionario como supervisor siempre debe ser escrita, entendiéndose también como tal la que se hace a través de correo electrónico y debe reposar en el expediente del contrato por lo que siempre debe enviarse copia de la misma a la dependencia encargada de conservar los expedientes.</w:t>
            </w:r>
          </w:p>
          <w:p w:rsidRPr="00DD2B2C" w:rsidR="00A21EDC" w:rsidP="00A21EDC" w:rsidRDefault="00A21EDC" w14:paraId="3409E2F4" w14:textId="77777777">
            <w:pPr>
              <w:spacing w:before="120" w:line="276" w:lineRule="auto"/>
              <w:contextualSpacing/>
              <w:jc w:val="both"/>
              <w:rPr>
                <w:rFonts w:ascii="Verdana" w:hAnsi="Verdana"/>
                <w:sz w:val="22"/>
                <w:szCs w:val="22"/>
              </w:rPr>
            </w:pPr>
          </w:p>
          <w:p w:rsidRPr="00DD2B2C" w:rsidR="00A21EDC" w:rsidP="00A21EDC" w:rsidRDefault="00A21EDC" w14:paraId="7A547EEF" w14:textId="6B56315B">
            <w:pPr>
              <w:spacing w:before="120" w:line="276" w:lineRule="auto"/>
              <w:contextualSpacing/>
              <w:jc w:val="both"/>
              <w:rPr>
                <w:rFonts w:ascii="Verdana" w:hAnsi="Verdana"/>
                <w:sz w:val="22"/>
                <w:szCs w:val="22"/>
              </w:rPr>
            </w:pPr>
            <w:r w:rsidRPr="00DD2B2C">
              <w:rPr>
                <w:rFonts w:ascii="Verdana" w:hAnsi="Verdana"/>
                <w:sz w:val="22"/>
                <w:szCs w:val="22"/>
              </w:rPr>
              <w:t xml:space="preserve">         Finalmente, se dejó expuesto que en caso de que la designación del supervisor se haga directamente en el contrato, debe enviarse copia del mismo al funcionario designado informando que va a ser el supervisor. Cuando esto sucede, el cambio de supervisor siempre va implicar una modificación del contrato. La Entidad Estatal debe tener en cuenta que cuando no se haga la designación del supervisor la responsabilidad de la vigilancia y control de la ejecución del contrato la tiene el ordenador del gasto.</w:t>
            </w:r>
          </w:p>
          <w:p w:rsidRPr="00DD2B2C" w:rsidR="00A21EDC" w:rsidP="00A21EDC" w:rsidRDefault="00A21EDC" w14:paraId="16967DEE" w14:textId="77777777">
            <w:pPr>
              <w:spacing w:before="120" w:line="276" w:lineRule="auto"/>
              <w:contextualSpacing/>
              <w:jc w:val="both"/>
              <w:rPr>
                <w:rFonts w:ascii="Verdana" w:hAnsi="Verdana"/>
                <w:sz w:val="22"/>
                <w:szCs w:val="22"/>
              </w:rPr>
            </w:pPr>
          </w:p>
          <w:p w:rsidRPr="00DD2B2C" w:rsidR="00A21EDC" w:rsidP="00A21EDC" w:rsidRDefault="00A21EDC" w14:paraId="0D9F5CD5" w14:textId="693CC749">
            <w:pPr>
              <w:spacing w:before="120" w:line="276" w:lineRule="auto"/>
              <w:contextualSpacing/>
              <w:jc w:val="both"/>
              <w:rPr>
                <w:rFonts w:ascii="Verdana" w:hAnsi="Verdana"/>
                <w:sz w:val="22"/>
                <w:szCs w:val="22"/>
              </w:rPr>
            </w:pPr>
            <w:r w:rsidRPr="00DD2B2C">
              <w:rPr>
                <w:rFonts w:ascii="Verdana" w:hAnsi="Verdana"/>
                <w:sz w:val="22"/>
                <w:szCs w:val="22"/>
              </w:rPr>
              <w:t xml:space="preserve">        </w:t>
            </w:r>
            <w:r w:rsidR="00B16D44">
              <w:rPr>
                <w:rFonts w:ascii="Verdana" w:hAnsi="Verdana"/>
                <w:sz w:val="22"/>
                <w:szCs w:val="22"/>
              </w:rPr>
              <w:t>Sobre el particular</w:t>
            </w:r>
            <w:r w:rsidRPr="00DD2B2C">
              <w:rPr>
                <w:rFonts w:ascii="Verdana" w:hAnsi="Verdana"/>
                <w:sz w:val="22"/>
                <w:szCs w:val="22"/>
              </w:rPr>
              <w:t>, se ha pronunciado el Departamento Administrativo de la Función Pública, expresando que la asignación de la función de supervisor puede recaer en cualquiera de los empleados que pertenecen a la entidad sin que importe el nivel jerárquico en que se encuentre, sin embargo, debe tenerse en cuenta la asignación de funciones y el conocimiento o experiencia relacionada con el contrato a supervisar.</w:t>
            </w:r>
          </w:p>
          <w:p w:rsidRPr="00DD2B2C" w:rsidR="00A21EDC" w:rsidP="00A21EDC" w:rsidRDefault="00A21EDC" w14:paraId="35B90430" w14:textId="77777777">
            <w:pPr>
              <w:spacing w:before="120" w:line="276" w:lineRule="auto"/>
              <w:contextualSpacing/>
              <w:jc w:val="both"/>
              <w:rPr>
                <w:rFonts w:ascii="Verdana" w:hAnsi="Verdana"/>
                <w:sz w:val="22"/>
                <w:szCs w:val="22"/>
              </w:rPr>
            </w:pPr>
          </w:p>
          <w:p w:rsidRPr="00DD2B2C" w:rsidR="00A21EDC" w:rsidP="00A21EDC" w:rsidRDefault="00A21EDC" w14:paraId="1CD87018" w14:textId="77777777">
            <w:pPr>
              <w:spacing w:before="120" w:line="276" w:lineRule="auto"/>
              <w:contextualSpacing/>
              <w:jc w:val="both"/>
              <w:rPr>
                <w:rFonts w:ascii="Verdana" w:hAnsi="Verdana"/>
                <w:sz w:val="22"/>
                <w:szCs w:val="22"/>
              </w:rPr>
            </w:pPr>
            <w:r w:rsidRPr="00DD2B2C">
              <w:rPr>
                <w:rFonts w:ascii="Verdana" w:hAnsi="Verdana"/>
                <w:sz w:val="22"/>
                <w:szCs w:val="22"/>
              </w:rPr>
              <w:t xml:space="preserve">        Cabe resaltar que la Ley 1474 de 2011, al definir la supervisión, no hace referencia a las calidades o formación de quien debe ejercer la función de supervisión, sino que únicamente señala que está a cargo de la entidad contratante, y debido a que la Ley 80, en el artículo 26, señala que la responsabilidad de controlar y vigilar el contrato es de los servidores públicos, se concluye que la normativa del sistema de compra pública no prevé disposiciones especiales que regulen la supervisión, ni la formación o condiciones de idoneidad específicos de quienes ejercen dicha función en los contratos</w:t>
            </w:r>
            <w:r w:rsidRPr="00DD2B2C">
              <w:rPr>
                <w:rFonts w:ascii="Verdana" w:hAnsi="Verdana"/>
                <w:spacing w:val="-3"/>
                <w:sz w:val="22"/>
                <w:szCs w:val="22"/>
              </w:rPr>
              <w:t xml:space="preserve"> </w:t>
            </w:r>
            <w:r w:rsidRPr="00DD2B2C">
              <w:rPr>
                <w:rFonts w:ascii="Verdana" w:hAnsi="Verdana"/>
                <w:sz w:val="22"/>
                <w:szCs w:val="22"/>
              </w:rPr>
              <w:t xml:space="preserve">estatales. </w:t>
            </w:r>
          </w:p>
          <w:p w:rsidRPr="00DD2B2C" w:rsidR="00A21EDC" w:rsidP="00A21EDC" w:rsidRDefault="00A21EDC" w14:paraId="078524E8" w14:textId="77777777">
            <w:pPr>
              <w:spacing w:before="120" w:line="276" w:lineRule="auto"/>
              <w:contextualSpacing/>
              <w:jc w:val="both"/>
              <w:rPr>
                <w:rFonts w:ascii="Verdana" w:hAnsi="Verdana"/>
                <w:sz w:val="22"/>
                <w:szCs w:val="22"/>
              </w:rPr>
            </w:pPr>
          </w:p>
          <w:p w:rsidRPr="00DD2B2C" w:rsidR="00871B59" w:rsidP="00A21EDC" w:rsidRDefault="00A21EDC" w14:paraId="29E63DF2" w14:textId="0E2B6604">
            <w:pPr>
              <w:spacing w:before="120" w:line="276" w:lineRule="auto"/>
              <w:contextualSpacing/>
              <w:jc w:val="both"/>
              <w:rPr>
                <w:rFonts w:ascii="Verdana" w:hAnsi="Verdana"/>
                <w:sz w:val="22"/>
                <w:szCs w:val="22"/>
              </w:rPr>
            </w:pPr>
            <w:r w:rsidRPr="00DD2B2C">
              <w:rPr>
                <w:rFonts w:ascii="Verdana" w:hAnsi="Verdana"/>
                <w:sz w:val="22"/>
                <w:szCs w:val="22"/>
              </w:rPr>
              <w:t xml:space="preserve">        Por lo tanto, es la entidad estatal a través del ordenador del gasto, quien en virtud de su autonomía administrativa y el conocimiento que tiene acerca de los profesionales con que cuenta su planta de personal, quien debe designar como supervisor a cualquier funcionario que considere idóneo, siempre y cuando el objeto del proceso de contratación esté relacionado con sus funciones, de manera que se realice una responsable vigilancia y control de la ejecución del gasto y del</w:t>
            </w:r>
            <w:r w:rsidRPr="00DD2B2C">
              <w:rPr>
                <w:rFonts w:ascii="Verdana" w:hAnsi="Verdana"/>
                <w:spacing w:val="-24"/>
                <w:sz w:val="22"/>
                <w:szCs w:val="22"/>
              </w:rPr>
              <w:t xml:space="preserve"> </w:t>
            </w:r>
            <w:r w:rsidRPr="00DD2B2C">
              <w:rPr>
                <w:rFonts w:ascii="Verdana" w:hAnsi="Verdana"/>
                <w:sz w:val="22"/>
                <w:szCs w:val="22"/>
              </w:rPr>
              <w:t>contrato, aduciendo a las recomendaciones en el “</w:t>
            </w:r>
            <w:r w:rsidRPr="00DD2B2C" w:rsidR="00DD2B2C">
              <w:rPr>
                <w:rFonts w:ascii="Verdana" w:hAnsi="Verdana" w:eastAsia="Calibri" w:cs="Arial"/>
                <w:sz w:val="22"/>
                <w:szCs w:val="22"/>
                <w:lang w:val="es-ES"/>
              </w:rPr>
              <w:t>Guía para el ejercicio de las funciones de Supervisión e Interventoría de los contratos del Estado</w:t>
            </w:r>
            <w:r w:rsidRPr="00DD2B2C" w:rsidR="00DD2B2C">
              <w:rPr>
                <w:rFonts w:ascii="Verdana" w:hAnsi="Verdana"/>
                <w:sz w:val="22"/>
                <w:szCs w:val="22"/>
                <w:lang w:val="es-ES"/>
              </w:rPr>
              <w:t xml:space="preserve">, </w:t>
            </w:r>
            <w:r w:rsidRPr="00DD2B2C">
              <w:rPr>
                <w:rFonts w:ascii="Verdana" w:hAnsi="Verdana"/>
                <w:sz w:val="22"/>
                <w:szCs w:val="22"/>
              </w:rPr>
              <w:t>de esta Agencia”.</w:t>
            </w:r>
          </w:p>
        </w:tc>
      </w:tr>
    </w:tbl>
    <w:p w:rsidRPr="00DD2B2C" w:rsidR="00871B59" w:rsidP="00871B59" w:rsidRDefault="00871B59" w14:paraId="2A718809" w14:textId="77777777">
      <w:pPr>
        <w:tabs>
          <w:tab w:val="left" w:pos="142"/>
          <w:tab w:val="left" w:pos="284"/>
        </w:tabs>
        <w:spacing w:line="276" w:lineRule="auto"/>
        <w:jc w:val="both"/>
        <w:rPr>
          <w:rFonts w:ascii="Verdana" w:hAnsi="Verdana" w:eastAsia="Century Gothic" w:cs="Century Gothic"/>
          <w:b/>
          <w:bCs/>
          <w:sz w:val="22"/>
          <w:szCs w:val="22"/>
          <w:lang w:val="es-ES"/>
        </w:rPr>
      </w:pPr>
    </w:p>
    <w:p w:rsidRPr="00DD2B2C" w:rsidR="00871B59" w:rsidP="00871B59" w:rsidRDefault="00871B59" w14:paraId="607C963D" w14:textId="77777777">
      <w:pPr>
        <w:pStyle w:val="Prrafodelista"/>
        <w:numPr>
          <w:ilvl w:val="0"/>
          <w:numId w:val="4"/>
        </w:numPr>
        <w:tabs>
          <w:tab w:val="left" w:pos="142"/>
          <w:tab w:val="left" w:pos="284"/>
        </w:tabs>
        <w:spacing w:line="276" w:lineRule="auto"/>
        <w:ind w:left="0" w:firstLine="0"/>
        <w:contextualSpacing w:val="0"/>
        <w:jc w:val="both"/>
        <w:rPr>
          <w:rFonts w:ascii="Verdana" w:hAnsi="Verdana" w:eastAsia="Century Gothic" w:cs="Century Gothic"/>
          <w:b/>
          <w:bCs/>
          <w:sz w:val="22"/>
          <w:szCs w:val="22"/>
          <w:lang w:val="es-ES"/>
        </w:rPr>
      </w:pPr>
      <w:r w:rsidRPr="00DD2B2C">
        <w:rPr>
          <w:rFonts w:ascii="Verdana" w:hAnsi="Verdana" w:eastAsia="Century Gothic" w:cs="Century Gothic"/>
          <w:b/>
          <w:bCs/>
          <w:sz w:val="22"/>
          <w:szCs w:val="22"/>
          <w:lang w:val="es-ES"/>
        </w:rPr>
        <w:t>Razones de la respuesta:</w:t>
      </w:r>
    </w:p>
    <w:p w:rsidRPr="00DD2B2C" w:rsidR="00871B59" w:rsidP="00871B59" w:rsidRDefault="00871B59" w14:paraId="269C86C1" w14:textId="77777777">
      <w:pPr>
        <w:spacing w:line="276" w:lineRule="auto"/>
        <w:jc w:val="both"/>
        <w:rPr>
          <w:rFonts w:ascii="Verdana" w:hAnsi="Verdana" w:eastAsia="Calibri" w:cs="Arial"/>
          <w:color w:val="7030A0"/>
          <w:sz w:val="22"/>
          <w:szCs w:val="22"/>
          <w:lang w:val="es-ES"/>
        </w:rPr>
      </w:pPr>
    </w:p>
    <w:p w:rsidRPr="00DD2B2C" w:rsidR="00871B59" w:rsidP="00871B59" w:rsidRDefault="00871B59" w14:paraId="5DEA5B26" w14:textId="77777777">
      <w:pPr>
        <w:spacing w:line="276" w:lineRule="auto"/>
        <w:jc w:val="both"/>
        <w:rPr>
          <w:rFonts w:ascii="Verdana" w:hAnsi="Verdana" w:eastAsia="Calibri" w:cs="Arial"/>
          <w:sz w:val="22"/>
          <w:szCs w:val="22"/>
          <w:lang w:val="es-ES"/>
        </w:rPr>
      </w:pPr>
      <w:r w:rsidRPr="00DD2B2C">
        <w:rPr>
          <w:rFonts w:ascii="Verdana" w:hAnsi="Verdana" w:eastAsia="Calibri" w:cs="Arial"/>
          <w:sz w:val="22"/>
          <w:szCs w:val="22"/>
          <w:lang w:val="es-ES"/>
        </w:rPr>
        <w:t xml:space="preserve">Lo anterior se sustenta en las siguientes consideraciones: </w:t>
      </w:r>
    </w:p>
    <w:p w:rsidRPr="00DD2B2C" w:rsidR="00983695" w:rsidP="00983695" w:rsidRDefault="00983695" w14:paraId="02B7B420" w14:textId="77777777">
      <w:pPr>
        <w:spacing w:line="276" w:lineRule="auto"/>
        <w:jc w:val="both"/>
        <w:rPr>
          <w:rFonts w:ascii="Verdana" w:hAnsi="Verdana" w:eastAsia="Calibri" w:cs="Arial"/>
          <w:color w:val="7030A0"/>
          <w:sz w:val="22"/>
          <w:szCs w:val="22"/>
          <w:lang w:val="es-ES"/>
        </w:rPr>
      </w:pPr>
    </w:p>
    <w:p w:rsidRPr="00DD2B2C" w:rsidR="00A21EDC" w:rsidP="00A21EDC" w:rsidRDefault="00DD2B2C" w14:paraId="047B7DC3" w14:textId="1FC6603C">
      <w:pPr>
        <w:spacing w:line="276" w:lineRule="auto"/>
        <w:contextualSpacing/>
        <w:jc w:val="both"/>
        <w:rPr>
          <w:rFonts w:ascii="Verdana" w:hAnsi="Verdana" w:eastAsia="Aptos" w:cs="Arial"/>
          <w:sz w:val="22"/>
          <w:szCs w:val="22"/>
        </w:rPr>
      </w:pPr>
      <w:r w:rsidRPr="00DD2B2C">
        <w:rPr>
          <w:rFonts w:ascii="Verdana" w:hAnsi="Verdana" w:eastAsia="Calibri" w:cs="Arial"/>
          <w:sz w:val="22"/>
          <w:szCs w:val="22"/>
          <w:shd w:val="clear" w:color="auto" w:fill="FFFFFF"/>
        </w:rPr>
        <w:t xml:space="preserve"> </w:t>
      </w:r>
      <w:r w:rsidRPr="00DD2B2C" w:rsidR="00BC6CC3">
        <w:rPr>
          <w:rFonts w:ascii="Verdana" w:hAnsi="Verdana" w:eastAsia="Calibri" w:cs="Arial"/>
          <w:sz w:val="22"/>
          <w:szCs w:val="22"/>
          <w:shd w:val="clear" w:color="auto" w:fill="FFFFFF"/>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rsidRPr="00DD2B2C" w:rsidR="00A21EDC" w:rsidP="00A21EDC" w:rsidRDefault="00A21EDC" w14:paraId="2DAD2F5A" w14:textId="77777777">
      <w:pPr>
        <w:spacing w:line="276" w:lineRule="auto"/>
        <w:contextualSpacing/>
        <w:jc w:val="both"/>
        <w:rPr>
          <w:rFonts w:ascii="Verdana" w:hAnsi="Verdana" w:eastAsia="Aptos" w:cs="Arial"/>
          <w:sz w:val="22"/>
          <w:szCs w:val="22"/>
        </w:rPr>
      </w:pPr>
      <w:r w:rsidRPr="00DD2B2C">
        <w:rPr>
          <w:rFonts w:ascii="Verdana" w:hAnsi="Verdana" w:eastAsia="Aptos" w:cs="Arial"/>
          <w:sz w:val="22"/>
          <w:szCs w:val="22"/>
        </w:rPr>
        <w:t xml:space="preserve">         </w:t>
      </w:r>
    </w:p>
    <w:p w:rsidRPr="00DD2B2C" w:rsidR="00BC6CC3" w:rsidP="00A21EDC" w:rsidRDefault="00DD2B2C" w14:paraId="3D416D96" w14:textId="6EDCBD2E">
      <w:pPr>
        <w:spacing w:line="276" w:lineRule="auto"/>
        <w:contextualSpacing/>
        <w:jc w:val="both"/>
        <w:rPr>
          <w:rFonts w:ascii="Verdana" w:hAnsi="Verdana" w:eastAsia="Aptos" w:cs="Arial"/>
          <w:sz w:val="22"/>
          <w:szCs w:val="22"/>
          <w:lang w:val="es-ES_tradnl"/>
        </w:rPr>
      </w:pPr>
      <w:r w:rsidRPr="00DD2B2C">
        <w:rPr>
          <w:rFonts w:ascii="Verdana" w:hAnsi="Verdana" w:eastAsia="Aptos" w:cs="Arial"/>
          <w:sz w:val="22"/>
          <w:szCs w:val="22"/>
          <w:lang w:val="es-ES_tradnl"/>
        </w:rPr>
        <w:t xml:space="preserve">         </w:t>
      </w:r>
      <w:r w:rsidRPr="00DD2B2C" w:rsidR="00BC6CC3">
        <w:rPr>
          <w:rFonts w:ascii="Verdana" w:hAnsi="Verdana" w:eastAsia="Aptos" w:cs="Arial"/>
          <w:sz w:val="22"/>
          <w:szCs w:val="22"/>
          <w:lang w:val="es-ES_tradnl"/>
        </w:rPr>
        <w:t>En ese sentido, 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DD2B2C" w:rsidR="00BC6CC3">
        <w:rPr>
          <w:rFonts w:ascii="Verdana" w:hAnsi="Verdana" w:eastAsia="Aptos" w:cs="Arial"/>
          <w:sz w:val="22"/>
          <w:szCs w:val="22"/>
          <w:vertAlign w:val="superscript"/>
          <w:lang w:val="es-ES_tradnl"/>
        </w:rPr>
        <w:footnoteReference w:id="3"/>
      </w:r>
      <w:r w:rsidRPr="00DD2B2C" w:rsidR="00BC6CC3">
        <w:rPr>
          <w:rFonts w:ascii="Verdana" w:hAnsi="Verdana" w:eastAsia="Aptos" w:cs="Arial"/>
          <w:sz w:val="22"/>
          <w:szCs w:val="22"/>
          <w:lang w:val="es-ES_tradnl"/>
        </w:rPr>
        <w:t>. También se establecen los límites de la responsabilidad del representante legal ante la delegación de sus funciones en materia contractual</w:t>
      </w:r>
      <w:r w:rsidRPr="00DD2B2C" w:rsidR="00BC6CC3">
        <w:rPr>
          <w:rFonts w:ascii="Verdana" w:hAnsi="Verdana" w:eastAsia="Aptos" w:cs="Arial"/>
          <w:sz w:val="22"/>
          <w:szCs w:val="22"/>
          <w:vertAlign w:val="superscript"/>
          <w:lang w:val="es-ES_tradnl"/>
        </w:rPr>
        <w:footnoteReference w:id="4"/>
      </w:r>
      <w:r w:rsidRPr="00DD2B2C" w:rsidR="00BC6CC3">
        <w:rPr>
          <w:rFonts w:ascii="Verdana" w:hAnsi="Verdana" w:eastAsia="Aptos" w:cs="Arial"/>
          <w:sz w:val="22"/>
          <w:szCs w:val="22"/>
          <w:lang w:val="es-ES_tradnl"/>
        </w:rPr>
        <w:t xml:space="preserve"> y se regula la supervisión y la interventoría de los contratos estatales</w:t>
      </w:r>
      <w:r w:rsidRPr="00DD2B2C" w:rsidR="00BC6CC3">
        <w:rPr>
          <w:rFonts w:ascii="Verdana" w:hAnsi="Verdana" w:eastAsia="Aptos" w:cs="Arial"/>
          <w:sz w:val="22"/>
          <w:szCs w:val="22"/>
          <w:vertAlign w:val="superscript"/>
          <w:lang w:val="es-ES_tradnl"/>
        </w:rPr>
        <w:footnoteReference w:id="5"/>
      </w:r>
      <w:r w:rsidRPr="00DD2B2C" w:rsidR="00BC6CC3">
        <w:rPr>
          <w:rFonts w:ascii="Verdana" w:hAnsi="Verdana" w:eastAsia="Aptos" w:cs="Arial"/>
          <w:sz w:val="22"/>
          <w:szCs w:val="22"/>
          <w:lang w:val="es-ES_tradnl"/>
        </w:rPr>
        <w:t>.</w:t>
      </w:r>
    </w:p>
    <w:p w:rsidRPr="00DD2B2C" w:rsidR="00BC6CC3" w:rsidP="00BC6CC3" w:rsidRDefault="00BC6CC3" w14:paraId="1215EE88" w14:textId="77777777">
      <w:pPr>
        <w:ind w:left="720"/>
        <w:contextualSpacing/>
        <w:rPr>
          <w:rFonts w:ascii="Verdana" w:hAnsi="Verdana" w:eastAsia="Aptos" w:cs="Arial"/>
          <w:sz w:val="22"/>
          <w:szCs w:val="22"/>
          <w:lang w:val="es-ES_tradnl"/>
        </w:rPr>
      </w:pPr>
    </w:p>
    <w:p w:rsidRPr="00DD2B2C" w:rsidR="00BC6CC3" w:rsidP="00A21EDC" w:rsidRDefault="00A21EDC" w14:paraId="6E6CA57B" w14:textId="7E62E8DE">
      <w:pPr>
        <w:spacing w:before="120" w:after="120" w:line="276" w:lineRule="auto"/>
        <w:contextualSpacing/>
        <w:jc w:val="both"/>
        <w:textAlignment w:val="baseline"/>
        <w:rPr>
          <w:rFonts w:ascii="Verdana" w:hAnsi="Verdana" w:eastAsia="Aptos" w:cs="Arial"/>
          <w:sz w:val="22"/>
          <w:szCs w:val="22"/>
          <w:lang w:val="es-ES_tradnl"/>
        </w:rPr>
      </w:pPr>
      <w:r w:rsidRPr="00DD2B2C">
        <w:rPr>
          <w:rFonts w:ascii="Verdana" w:hAnsi="Verdana" w:eastAsia="Aptos" w:cs="Arial"/>
          <w:sz w:val="22"/>
          <w:szCs w:val="22"/>
          <w:lang w:val="es-ES_tradnl"/>
        </w:rPr>
        <w:t xml:space="preserve">     </w:t>
      </w:r>
      <w:r w:rsidRPr="00DD2B2C" w:rsidR="00DD2B2C">
        <w:rPr>
          <w:rFonts w:ascii="Verdana" w:hAnsi="Verdana" w:eastAsia="Aptos" w:cs="Arial"/>
          <w:sz w:val="22"/>
          <w:szCs w:val="22"/>
          <w:lang w:val="es-ES_tradnl"/>
        </w:rPr>
        <w:t xml:space="preserve">  </w:t>
      </w:r>
      <w:r w:rsidRPr="00DD2B2C" w:rsidR="00BC6CC3">
        <w:rPr>
          <w:rFonts w:ascii="Verdana" w:hAnsi="Verdana" w:eastAsia="Aptos" w:cs="Arial"/>
          <w:sz w:val="22"/>
          <w:szCs w:val="22"/>
          <w:lang w:val="es-ES_tradnl"/>
        </w:rPr>
        <w:t xml:space="preserve">En consecuencia, se tiene que, la jurisprudencia contencioso-administrativa, por su parte, ha considerado que la obligación de vigilar la correcta ejecución del objeto contractual es una función de la entidad contratante, en los siguientes términos: </w:t>
      </w:r>
    </w:p>
    <w:p w:rsidRPr="00DD2B2C" w:rsidR="00BC6CC3" w:rsidP="00BC6CC3" w:rsidRDefault="00BC6CC3" w14:paraId="591543DD" w14:textId="77777777">
      <w:pPr>
        <w:ind w:left="709"/>
        <w:contextualSpacing/>
        <w:jc w:val="both"/>
        <w:rPr>
          <w:rFonts w:ascii="Verdana" w:hAnsi="Verdana" w:eastAsia="Aptos" w:cs="Arial"/>
          <w:sz w:val="22"/>
          <w:szCs w:val="22"/>
          <w:lang w:val="es-ES_tradnl"/>
        </w:rPr>
      </w:pPr>
    </w:p>
    <w:p w:rsidRPr="00DD2B2C" w:rsidR="00BC6CC3" w:rsidP="00BC6CC3" w:rsidRDefault="00BC6CC3" w14:paraId="1FD94995" w14:textId="77777777">
      <w:pPr>
        <w:ind w:left="1416" w:right="709"/>
        <w:contextualSpacing/>
        <w:jc w:val="both"/>
        <w:rPr>
          <w:rFonts w:ascii="Verdana" w:hAnsi="Verdana" w:eastAsia="Aptos" w:cs="Arial"/>
          <w:sz w:val="22"/>
          <w:szCs w:val="22"/>
          <w:lang w:val="es-ES_tradnl"/>
        </w:rPr>
      </w:pPr>
      <w:bookmarkStart w:name="_Hlk178671999" w:id="1"/>
      <w:r w:rsidRPr="00DD2B2C">
        <w:rPr>
          <w:rFonts w:ascii="Verdana" w:hAnsi="Verdana" w:eastAsia="Aptos" w:cs="Arial"/>
          <w:sz w:val="22"/>
          <w:szCs w:val="22"/>
          <w:lang w:val="es-ES_tradnl"/>
        </w:rPr>
        <w:t xml:space="preserve">“La función de vigilancia y control del contrato estatal supone el cuidado y la supervisión, de forma tal que en ejercicio de </w:t>
      </w:r>
      <w:r w:rsidRPr="00DD2B2C">
        <w:rPr>
          <w:rFonts w:ascii="Verdana" w:hAnsi="Verdana" w:eastAsia="Aptos" w:cs="Arial"/>
          <w:sz w:val="22"/>
          <w:szCs w:val="22"/>
          <w:lang w:val="es-ES_tradnl"/>
        </w:rPr>
        <w:t>esa función</w:t>
      </w:r>
      <w:bookmarkEnd w:id="1"/>
      <w:r w:rsidRPr="00DD2B2C">
        <w:rPr>
          <w:rFonts w:ascii="Verdana" w:hAnsi="Verdana" w:eastAsia="Aptos" w:cs="Arial"/>
          <w:sz w:val="22"/>
          <w:szCs w:val="22"/>
          <w:lang w:val="es-ES_tradnl"/>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DD2B2C">
        <w:rPr>
          <w:rFonts w:ascii="Verdana" w:hAnsi="Verdana" w:eastAsia="Aptos" w:cs="Arial"/>
          <w:sz w:val="22"/>
          <w:szCs w:val="22"/>
          <w:vertAlign w:val="superscript"/>
          <w:lang w:val="es-ES_tradnl"/>
        </w:rPr>
        <w:footnoteReference w:id="6"/>
      </w:r>
      <w:r w:rsidRPr="00DD2B2C">
        <w:rPr>
          <w:rFonts w:ascii="Verdana" w:hAnsi="Verdana" w:eastAsia="Aptos" w:cs="Arial"/>
          <w:sz w:val="22"/>
          <w:szCs w:val="22"/>
          <w:lang w:val="es-ES_tradnl"/>
        </w:rPr>
        <w:t>.</w:t>
      </w:r>
    </w:p>
    <w:p w:rsidRPr="00DD2B2C" w:rsidR="00A21EDC" w:rsidP="00BC6CC3" w:rsidRDefault="00A21EDC" w14:paraId="3F4CC709" w14:textId="77777777">
      <w:pPr>
        <w:ind w:left="1416" w:right="709"/>
        <w:contextualSpacing/>
        <w:jc w:val="both"/>
        <w:rPr>
          <w:rFonts w:ascii="Verdana" w:hAnsi="Verdana" w:eastAsia="Aptos" w:cs="Arial"/>
          <w:sz w:val="22"/>
          <w:szCs w:val="22"/>
          <w:lang w:val="es-ES_tradnl"/>
        </w:rPr>
      </w:pPr>
    </w:p>
    <w:p w:rsidRPr="00DD2B2C" w:rsidR="00BC6CC3" w:rsidP="00BC6CC3" w:rsidRDefault="00A21EDC" w14:paraId="0F63B118" w14:textId="7337F830">
      <w:pPr>
        <w:spacing w:line="276" w:lineRule="auto"/>
        <w:contextualSpacing/>
        <w:jc w:val="both"/>
        <w:textAlignment w:val="baseline"/>
        <w:rPr>
          <w:rFonts w:ascii="Verdana" w:hAnsi="Verdana" w:eastAsia="Aptos" w:cs="Arial"/>
          <w:sz w:val="22"/>
          <w:szCs w:val="22"/>
        </w:rPr>
      </w:pPr>
      <w:r w:rsidRPr="00DD2B2C">
        <w:rPr>
          <w:rFonts w:ascii="Verdana" w:hAnsi="Verdana" w:eastAsia="Aptos" w:cs="Arial"/>
          <w:sz w:val="22"/>
          <w:szCs w:val="22"/>
          <w:lang w:val="es-ES_tradnl"/>
        </w:rPr>
        <w:t xml:space="preserve">       </w:t>
      </w:r>
      <w:r w:rsidRPr="00DD2B2C" w:rsidR="00BC6CC3">
        <w:rPr>
          <w:rFonts w:ascii="Verdana" w:hAnsi="Verdana" w:eastAsia="Aptos" w:cs="Arial"/>
          <w:sz w:val="22"/>
          <w:szCs w:val="22"/>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rsidRPr="00DD2B2C" w:rsidR="00BC6CC3" w:rsidP="00BC6CC3" w:rsidRDefault="00BC6CC3" w14:paraId="7E8D984B" w14:textId="77777777">
      <w:pPr>
        <w:spacing w:line="276" w:lineRule="auto"/>
        <w:ind w:left="720"/>
        <w:contextualSpacing/>
        <w:jc w:val="both"/>
        <w:textAlignment w:val="baseline"/>
        <w:rPr>
          <w:rFonts w:ascii="Verdana" w:hAnsi="Verdana" w:eastAsia="Aptos" w:cs="Arial"/>
          <w:sz w:val="22"/>
          <w:szCs w:val="22"/>
          <w:lang w:val="es-ES_tradnl"/>
        </w:rPr>
      </w:pPr>
    </w:p>
    <w:p w:rsidRPr="00DD2B2C" w:rsidR="00BC6CC3" w:rsidP="00BC6CC3" w:rsidRDefault="00BC6CC3" w14:paraId="19186664" w14:textId="77777777">
      <w:pPr>
        <w:ind w:left="1417" w:right="709"/>
        <w:jc w:val="both"/>
        <w:textAlignment w:val="baseline"/>
        <w:rPr>
          <w:rFonts w:ascii="Verdana" w:hAnsi="Verdana" w:eastAsia="Aptos" w:cs="Arial"/>
          <w:sz w:val="22"/>
          <w:szCs w:val="22"/>
          <w:lang w:val="es-ES"/>
        </w:rPr>
      </w:pPr>
      <w:r w:rsidRPr="00DD2B2C">
        <w:rPr>
          <w:rFonts w:ascii="Verdana" w:hAnsi="Verdana" w:eastAsia="Aptos" w:cs="Arial"/>
          <w:sz w:val="22"/>
          <w:szCs w:val="22"/>
          <w:lang w:val="es-ES"/>
        </w:rPr>
        <w:t xml:space="preserve">“La supervisión consistirá en el seguimiento técnico, administrativo, financiero, contable, y jurídico </w:t>
      </w:r>
      <w:proofErr w:type="gramStart"/>
      <w:r w:rsidRPr="00DD2B2C">
        <w:rPr>
          <w:rFonts w:ascii="Verdana" w:hAnsi="Verdana" w:eastAsia="Aptos" w:cs="Arial"/>
          <w:sz w:val="22"/>
          <w:szCs w:val="22"/>
          <w:lang w:val="es-ES"/>
        </w:rPr>
        <w:t>que</w:t>
      </w:r>
      <w:proofErr w:type="gramEnd"/>
      <w:r w:rsidRPr="00DD2B2C">
        <w:rPr>
          <w:rFonts w:ascii="Verdana" w:hAnsi="Verdana" w:eastAsia="Aptos" w:cs="Arial"/>
          <w:sz w:val="22"/>
          <w:szCs w:val="22"/>
          <w:lang w:val="es-ES"/>
        </w:rPr>
        <w:t xml:space="preserv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rsidRPr="00DD2B2C" w:rsidR="00BC6CC3" w:rsidP="00BC6CC3" w:rsidRDefault="00BC6CC3" w14:paraId="581CC871" w14:textId="77777777">
      <w:pPr>
        <w:ind w:left="1418" w:right="709"/>
        <w:jc w:val="both"/>
        <w:textAlignment w:val="baseline"/>
        <w:rPr>
          <w:rFonts w:ascii="Verdana" w:hAnsi="Verdana" w:eastAsia="Aptos" w:cs="Arial"/>
          <w:sz w:val="22"/>
          <w:szCs w:val="22"/>
          <w:lang w:val="es-ES"/>
        </w:rPr>
      </w:pPr>
    </w:p>
    <w:p w:rsidRPr="00DD2B2C" w:rsidR="00BC6CC3" w:rsidP="00BC6CC3" w:rsidRDefault="00BC6CC3" w14:paraId="63428724" w14:textId="77777777">
      <w:pPr>
        <w:ind w:left="1418" w:right="709"/>
        <w:jc w:val="both"/>
        <w:textAlignment w:val="baseline"/>
        <w:rPr>
          <w:rFonts w:ascii="Verdana" w:hAnsi="Verdana" w:eastAsia="Aptos" w:cs="Arial"/>
          <w:sz w:val="22"/>
          <w:szCs w:val="22"/>
          <w:lang w:val="es-ES"/>
        </w:rPr>
      </w:pPr>
      <w:r w:rsidRPr="00DD2B2C">
        <w:rPr>
          <w:rFonts w:ascii="Verdana" w:hAnsi="Verdana" w:eastAsia="Aptos" w:cs="Arial"/>
          <w:sz w:val="22"/>
          <w:szCs w:val="22"/>
          <w:lang w:val="es-ES"/>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DD2B2C">
        <w:rPr>
          <w:rFonts w:ascii="Verdana" w:hAnsi="Verdana" w:eastAsia="Aptos" w:cs="Arial"/>
          <w:sz w:val="22"/>
          <w:szCs w:val="22"/>
          <w:lang w:val="es-ES"/>
        </w:rPr>
        <w:t>del mismo</w:t>
      </w:r>
      <w:proofErr w:type="gramEnd"/>
      <w:r w:rsidRPr="00DD2B2C">
        <w:rPr>
          <w:rFonts w:ascii="Verdana" w:hAnsi="Verdana" w:eastAsia="Aptos" w:cs="Arial"/>
          <w:sz w:val="22"/>
          <w:szCs w:val="22"/>
          <w:lang w:val="es-ES"/>
        </w:rPr>
        <w:t xml:space="preserve"> lo justifiquen. No obstante, lo anterior cuando la entidad lo encuentre </w:t>
      </w:r>
      <w:r w:rsidRPr="00DD2B2C">
        <w:rPr>
          <w:rFonts w:ascii="Verdana" w:hAnsi="Verdana" w:eastAsia="Aptos" w:cs="Arial"/>
          <w:sz w:val="22"/>
          <w:szCs w:val="22"/>
          <w:lang w:val="es-ES"/>
        </w:rPr>
        <w:t>justificado y acorde a la naturaleza del contrato principal, podrá contratar el seguimiento administrativo, técnico, financiero, contable, jurídico del objeto o contrato dentro de la interventoría”</w:t>
      </w:r>
      <w:r w:rsidRPr="00DD2B2C">
        <w:rPr>
          <w:rFonts w:ascii="Verdana" w:hAnsi="Verdana" w:eastAsia="Aptos" w:cs="Arial"/>
          <w:sz w:val="22"/>
          <w:szCs w:val="22"/>
          <w:vertAlign w:val="superscript"/>
          <w:lang w:val="es-ES"/>
        </w:rPr>
        <w:footnoteReference w:id="7"/>
      </w:r>
      <w:r w:rsidRPr="00DD2B2C">
        <w:rPr>
          <w:rFonts w:ascii="Verdana" w:hAnsi="Verdana" w:eastAsia="Aptos" w:cs="Arial"/>
          <w:sz w:val="22"/>
          <w:szCs w:val="22"/>
          <w:lang w:val="es-ES"/>
        </w:rPr>
        <w:t>.</w:t>
      </w:r>
    </w:p>
    <w:p w:rsidRPr="00DD2B2C" w:rsidR="00BC6CC3" w:rsidP="00BC6CC3" w:rsidRDefault="00BC6CC3" w14:paraId="0A476618" w14:textId="77777777">
      <w:pPr>
        <w:spacing w:line="276" w:lineRule="auto"/>
        <w:ind w:left="720"/>
        <w:contextualSpacing/>
        <w:jc w:val="both"/>
        <w:textAlignment w:val="baseline"/>
        <w:rPr>
          <w:rFonts w:ascii="Verdana" w:hAnsi="Verdana" w:eastAsia="Aptos" w:cs="Arial"/>
          <w:sz w:val="22"/>
          <w:szCs w:val="22"/>
        </w:rPr>
      </w:pPr>
    </w:p>
    <w:p w:rsidRPr="00DD2B2C" w:rsidR="00BC6CC3" w:rsidP="00BC6CC3" w:rsidRDefault="00A21EDC" w14:paraId="70245D6A" w14:textId="296A1CCA">
      <w:pPr>
        <w:tabs>
          <w:tab w:val="left" w:pos="709"/>
        </w:tabs>
        <w:spacing w:before="120" w:after="120" w:line="276" w:lineRule="auto"/>
        <w:contextualSpacing/>
        <w:jc w:val="both"/>
        <w:rPr>
          <w:rFonts w:ascii="Verdana" w:hAnsi="Verdana" w:eastAsia="Calibri" w:cs="Arial"/>
          <w:sz w:val="22"/>
          <w:szCs w:val="22"/>
          <w:shd w:val="clear" w:color="auto" w:fill="FFFFFF"/>
        </w:rPr>
      </w:pPr>
      <w:r w:rsidRPr="00DD2B2C">
        <w:rPr>
          <w:rFonts w:ascii="Verdana" w:hAnsi="Verdana" w:eastAsia="Aptos" w:cs="Arial"/>
          <w:bCs/>
          <w:sz w:val="22"/>
          <w:szCs w:val="22"/>
        </w:rPr>
        <w:t xml:space="preserve">          </w:t>
      </w:r>
      <w:r w:rsidRPr="00DD2B2C" w:rsidR="00BC6CC3">
        <w:rPr>
          <w:rFonts w:ascii="Verdana" w:hAnsi="Verdana" w:eastAsia="Aptos" w:cs="Arial"/>
          <w:bCs/>
          <w:sz w:val="22"/>
          <w:szCs w:val="22"/>
        </w:rPr>
        <w:t>Sin perjuicio de lo anterior, según lo expresado por esta Agencia en el concepto No. 4201913000008240 del 20 de diciembre de 2019,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DD2B2C" w:rsidR="00BC6CC3">
        <w:rPr>
          <w:rFonts w:ascii="Verdana" w:hAnsi="Verdana" w:eastAsia="Aptos" w:cs="Arial"/>
          <w:bCs/>
          <w:sz w:val="22"/>
          <w:szCs w:val="22"/>
          <w:vertAlign w:val="superscript"/>
        </w:rPr>
        <w:footnoteReference w:id="8"/>
      </w:r>
      <w:r w:rsidRPr="00DD2B2C" w:rsidR="00BC6CC3">
        <w:rPr>
          <w:rFonts w:ascii="Verdana" w:hAnsi="Verdana" w:eastAsia="Aptos" w:cs="Arial"/>
          <w:bCs/>
          <w:sz w:val="22"/>
          <w:szCs w:val="22"/>
        </w:rPr>
        <w:t xml:space="preserve">–; </w:t>
      </w:r>
      <w:proofErr w:type="spellStart"/>
      <w:r w:rsidRPr="00DD2B2C" w:rsidR="00BC6CC3">
        <w:rPr>
          <w:rFonts w:ascii="Verdana" w:hAnsi="Verdana" w:eastAsia="Aptos" w:cs="Arial"/>
          <w:bCs/>
          <w:sz w:val="22"/>
          <w:szCs w:val="22"/>
        </w:rPr>
        <w:t>ii</w:t>
      </w:r>
      <w:proofErr w:type="spellEnd"/>
      <w:r w:rsidRPr="00DD2B2C" w:rsidR="00BC6CC3">
        <w:rPr>
          <w:rFonts w:ascii="Verdana" w:hAnsi="Verdana" w:eastAsia="Aptos" w:cs="Arial"/>
          <w:bCs/>
          <w:sz w:val="22"/>
          <w:szCs w:val="22"/>
        </w:rPr>
        <w:t xml:space="preserve">) no requiere conocimientos tan especializados como la interventoría; </w:t>
      </w:r>
      <w:proofErr w:type="spellStart"/>
      <w:r w:rsidRPr="00DD2B2C" w:rsidR="00BC6CC3">
        <w:rPr>
          <w:rFonts w:ascii="Verdana" w:hAnsi="Verdana" w:eastAsia="Aptos" w:cs="Arial"/>
          <w:bCs/>
          <w:sz w:val="22"/>
          <w:szCs w:val="22"/>
        </w:rPr>
        <w:t>iii</w:t>
      </w:r>
      <w:proofErr w:type="spellEnd"/>
      <w:r w:rsidRPr="00DD2B2C" w:rsidR="00BC6CC3">
        <w:rPr>
          <w:rFonts w:ascii="Verdana" w:hAnsi="Verdana" w:eastAsia="Aptos" w:cs="Arial"/>
          <w:bCs/>
          <w:sz w:val="22"/>
          <w:szCs w:val="22"/>
        </w:rPr>
        <w:t xml:space="preserve">) se ejerce por la Entidad Estatal por conducto de la designación de servidores públicos idóneos para cumplir la función; </w:t>
      </w:r>
      <w:proofErr w:type="spellStart"/>
      <w:r w:rsidRPr="00DD2B2C" w:rsidR="00BC6CC3">
        <w:rPr>
          <w:rFonts w:ascii="Verdana" w:hAnsi="Verdana" w:eastAsia="Aptos" w:cs="Arial"/>
          <w:bCs/>
          <w:sz w:val="22"/>
          <w:szCs w:val="22"/>
        </w:rPr>
        <w:t>iv</w:t>
      </w:r>
      <w:proofErr w:type="spellEnd"/>
      <w:r w:rsidRPr="00DD2B2C" w:rsidR="00BC6CC3">
        <w:rPr>
          <w:rFonts w:ascii="Verdana" w:hAnsi="Verdana" w:eastAsia="Aptos" w:cs="Arial"/>
          <w:bCs/>
          <w:sz w:val="22"/>
          <w:szCs w:val="22"/>
        </w:rPr>
        <w:t xml:space="preserve">) puede recibir apoyo de personal contratado para tal fin mediante contratos de prestación de servicios; y v) le es inseparable el seguimiento técnico, administrativo, financiero, contable y jurídico del contrato vigilado. </w:t>
      </w:r>
    </w:p>
    <w:p w:rsidRPr="00DD2B2C" w:rsidR="00BC6CC3" w:rsidP="00BC6CC3" w:rsidRDefault="00BC6CC3" w14:paraId="3E209C46" w14:textId="77777777">
      <w:pPr>
        <w:ind w:left="720"/>
        <w:contextualSpacing/>
        <w:rPr>
          <w:rFonts w:ascii="Verdana" w:hAnsi="Verdana" w:eastAsia="Calibri" w:cs="Arial"/>
          <w:sz w:val="22"/>
          <w:szCs w:val="22"/>
          <w:shd w:val="clear" w:color="auto" w:fill="FFFFFF"/>
        </w:rPr>
      </w:pPr>
    </w:p>
    <w:p w:rsidRPr="00DD2B2C" w:rsidR="00FA6672" w:rsidP="00FA6672" w:rsidRDefault="00A21EDC" w14:paraId="6DE6A0BF" w14:textId="0E01B283">
      <w:pPr>
        <w:spacing w:before="120" w:line="276" w:lineRule="auto"/>
        <w:contextualSpacing/>
        <w:jc w:val="both"/>
        <w:rPr>
          <w:rFonts w:ascii="Verdana" w:hAnsi="Verdana" w:eastAsia="Calibri" w:cs="Arial"/>
          <w:sz w:val="22"/>
          <w:szCs w:val="22"/>
          <w:shd w:val="clear" w:color="auto" w:fill="FFFFFF"/>
        </w:rPr>
      </w:pPr>
      <w:r w:rsidRPr="00DD2B2C">
        <w:rPr>
          <w:rFonts w:ascii="Verdana" w:hAnsi="Verdana" w:eastAsia="Calibri" w:cs="Arial"/>
          <w:sz w:val="22"/>
          <w:szCs w:val="22"/>
          <w:shd w:val="clear" w:color="auto" w:fill="FFFFFF"/>
        </w:rPr>
        <w:t xml:space="preserve">          </w:t>
      </w:r>
      <w:r w:rsidRPr="00DD2B2C" w:rsidR="00BC6CC3">
        <w:rPr>
          <w:rFonts w:ascii="Verdana" w:hAnsi="Verdana" w:eastAsia="Calibri" w:cs="Arial"/>
          <w:sz w:val="22"/>
          <w:szCs w:val="22"/>
          <w:shd w:val="clear" w:color="auto" w:fill="FFFFFF"/>
        </w:rPr>
        <w:t xml:space="preserve">En ese sentido, puede colegirse que la supervisión es uno de los medios para que las entidades ejerzan la dirección, control y vigilancia de sus contratos, con el fin de lograr el objeto contractual. Por consiguiente, el supervisor, de acuerdo con lo señalado en la Ley 80 de 1993, tiene la obligación de desarrollar las actividades que impliquen la vigilancia y seguimiento del cumplimiento de los contratos, función que puede ser asignada a un empleado público siempre que se ajusten a las fijadas para el cargo. </w:t>
      </w:r>
    </w:p>
    <w:p w:rsidRPr="00DD2B2C" w:rsidR="00FA6672" w:rsidP="00FA6672" w:rsidRDefault="00FA6672" w14:paraId="7C139AD4" w14:textId="77777777">
      <w:pPr>
        <w:spacing w:before="120" w:line="276" w:lineRule="auto"/>
        <w:contextualSpacing/>
        <w:jc w:val="both"/>
        <w:rPr>
          <w:rFonts w:ascii="Verdana" w:hAnsi="Verdana" w:eastAsia="Calibri" w:cs="Arial"/>
          <w:sz w:val="22"/>
          <w:szCs w:val="22"/>
          <w:shd w:val="clear" w:color="auto" w:fill="FFFFFF"/>
        </w:rPr>
      </w:pPr>
    </w:p>
    <w:p w:rsidRPr="00DD2B2C" w:rsidR="004842CE" w:rsidP="00FA6672" w:rsidRDefault="00A21EDC" w14:paraId="71C43C87" w14:textId="4DB5DD72">
      <w:pPr>
        <w:spacing w:before="120" w:line="276" w:lineRule="auto"/>
        <w:contextualSpacing/>
        <w:jc w:val="both"/>
        <w:rPr>
          <w:rFonts w:ascii="Verdana" w:hAnsi="Verdana"/>
          <w:sz w:val="22"/>
          <w:szCs w:val="22"/>
        </w:rPr>
      </w:pPr>
      <w:r w:rsidRPr="00DD2B2C">
        <w:rPr>
          <w:rFonts w:ascii="Verdana" w:hAnsi="Verdana"/>
          <w:sz w:val="22"/>
          <w:szCs w:val="22"/>
        </w:rPr>
        <w:t xml:space="preserve">         </w:t>
      </w:r>
      <w:r w:rsidRPr="00DD2B2C" w:rsidR="004842CE">
        <w:rPr>
          <w:rFonts w:ascii="Verdana" w:hAnsi="Verdana"/>
          <w:sz w:val="22"/>
          <w:szCs w:val="22"/>
        </w:rPr>
        <w:t>De otro lado</w:t>
      </w:r>
      <w:r w:rsidRPr="00DD2B2C" w:rsidR="009C78EC">
        <w:rPr>
          <w:rFonts w:ascii="Verdana" w:hAnsi="Verdana"/>
          <w:sz w:val="22"/>
          <w:szCs w:val="22"/>
        </w:rPr>
        <w:t xml:space="preserve">,  y con el fin de responder al problema jurídico planteado se tiene que </w:t>
      </w:r>
      <w:r w:rsidRPr="00DD2B2C" w:rsidR="004842CE">
        <w:rPr>
          <w:rFonts w:ascii="Verdana" w:hAnsi="Verdana"/>
          <w:sz w:val="22"/>
          <w:szCs w:val="22"/>
        </w:rPr>
        <w:t>los</w:t>
      </w:r>
      <w:r w:rsidRPr="00DD2B2C" w:rsidR="009C78EC">
        <w:rPr>
          <w:rFonts w:ascii="Verdana" w:hAnsi="Verdana"/>
          <w:sz w:val="22"/>
          <w:szCs w:val="22"/>
        </w:rPr>
        <w:t xml:space="preserve"> criterio</w:t>
      </w:r>
      <w:r w:rsidRPr="00DD2B2C" w:rsidR="004842CE">
        <w:rPr>
          <w:rFonts w:ascii="Verdana" w:hAnsi="Verdana"/>
          <w:sz w:val="22"/>
          <w:szCs w:val="22"/>
        </w:rPr>
        <w:t>s</w:t>
      </w:r>
      <w:r w:rsidRPr="00DD2B2C" w:rsidR="009C78EC">
        <w:rPr>
          <w:rFonts w:ascii="Verdana" w:hAnsi="Verdana"/>
          <w:sz w:val="22"/>
          <w:szCs w:val="22"/>
        </w:rPr>
        <w:t xml:space="preserve"> que debe tener en cuenta la entidad para la designación de esta figura, </w:t>
      </w:r>
      <w:r w:rsidRPr="00DD2B2C" w:rsidR="004842CE">
        <w:rPr>
          <w:rFonts w:ascii="Verdana" w:hAnsi="Verdana"/>
          <w:sz w:val="22"/>
          <w:szCs w:val="22"/>
        </w:rPr>
        <w:t xml:space="preserve">se han expuesto por </w:t>
      </w:r>
      <w:r w:rsidRPr="00DD2B2C" w:rsidR="00FA6672">
        <w:rPr>
          <w:rFonts w:ascii="Verdana" w:hAnsi="Verdana"/>
          <w:sz w:val="22"/>
          <w:szCs w:val="22"/>
        </w:rPr>
        <w:t xml:space="preserve">esta Agencia de </w:t>
      </w:r>
      <w:r w:rsidRPr="00DD2B2C" w:rsidR="004842CE">
        <w:rPr>
          <w:rFonts w:ascii="Verdana" w:hAnsi="Verdana"/>
          <w:sz w:val="22"/>
          <w:szCs w:val="22"/>
        </w:rPr>
        <w:t>C</w:t>
      </w:r>
      <w:r w:rsidRPr="00DD2B2C" w:rsidR="00FA6672">
        <w:rPr>
          <w:rFonts w:ascii="Verdana" w:hAnsi="Verdana"/>
          <w:sz w:val="22"/>
          <w:szCs w:val="22"/>
        </w:rPr>
        <w:t>ontratación</w:t>
      </w:r>
      <w:r w:rsidRPr="00DD2B2C" w:rsidR="004842CE">
        <w:rPr>
          <w:rFonts w:ascii="Verdana" w:hAnsi="Verdana"/>
          <w:sz w:val="22"/>
          <w:szCs w:val="22"/>
        </w:rPr>
        <w:t xml:space="preserve"> Pública -Colombia Compra Eficiente,</w:t>
      </w:r>
      <w:r w:rsidRPr="00DD2B2C" w:rsidR="00FA6672">
        <w:rPr>
          <w:rFonts w:ascii="Verdana" w:hAnsi="Verdana"/>
          <w:sz w:val="22"/>
          <w:szCs w:val="22"/>
        </w:rPr>
        <w:t xml:space="preserve"> a través del </w:t>
      </w:r>
      <w:r w:rsidRPr="00DD2B2C" w:rsidR="00E63D38">
        <w:rPr>
          <w:rFonts w:ascii="Verdana" w:hAnsi="Verdana"/>
          <w:sz w:val="22"/>
          <w:szCs w:val="22"/>
        </w:rPr>
        <w:t>“</w:t>
      </w:r>
      <w:r w:rsidRPr="00DD2B2C" w:rsidR="00DD2B2C">
        <w:rPr>
          <w:rFonts w:ascii="Verdana" w:hAnsi="Verdana" w:eastAsia="Calibri" w:cs="Arial"/>
          <w:sz w:val="22"/>
          <w:szCs w:val="22"/>
          <w:lang w:val="es-ES"/>
        </w:rPr>
        <w:t xml:space="preserve">Guía para el ejercicio de las funciones </w:t>
      </w:r>
      <w:r w:rsidRPr="00DD2B2C" w:rsidR="00DD2B2C">
        <w:rPr>
          <w:rFonts w:ascii="Verdana" w:hAnsi="Verdana" w:eastAsia="Calibri" w:cs="Arial"/>
          <w:sz w:val="22"/>
          <w:szCs w:val="22"/>
          <w:lang w:val="es-ES"/>
        </w:rPr>
        <w:t>de Supervisión e Interventoría de los contratos del Estado</w:t>
      </w:r>
      <w:r w:rsidRPr="00DD2B2C" w:rsidR="00DD2B2C">
        <w:rPr>
          <w:rStyle w:val="Refdenotaalpie"/>
          <w:rFonts w:ascii="Verdana" w:hAnsi="Verdana"/>
          <w:sz w:val="22"/>
          <w:szCs w:val="22"/>
        </w:rPr>
        <w:t xml:space="preserve"> </w:t>
      </w:r>
      <w:r w:rsidRPr="00DD2B2C" w:rsidR="004842CE">
        <w:rPr>
          <w:rStyle w:val="Refdenotaalpie"/>
          <w:rFonts w:ascii="Verdana" w:hAnsi="Verdana"/>
          <w:sz w:val="22"/>
          <w:szCs w:val="22"/>
        </w:rPr>
        <w:footnoteReference w:id="9"/>
      </w:r>
      <w:r w:rsidRPr="00DD2B2C" w:rsidR="00E63D38">
        <w:rPr>
          <w:rFonts w:ascii="Verdana" w:hAnsi="Verdana"/>
          <w:sz w:val="22"/>
          <w:szCs w:val="22"/>
        </w:rPr>
        <w:t>”</w:t>
      </w:r>
      <w:r w:rsidRPr="00DD2B2C" w:rsidR="00FA6672">
        <w:rPr>
          <w:rFonts w:ascii="Verdana" w:hAnsi="Verdana"/>
          <w:sz w:val="22"/>
          <w:szCs w:val="22"/>
        </w:rPr>
        <w:t xml:space="preserve">, </w:t>
      </w:r>
      <w:r w:rsidRPr="00DD2B2C" w:rsidR="004842CE">
        <w:rPr>
          <w:rFonts w:ascii="Verdana" w:hAnsi="Verdana"/>
          <w:sz w:val="22"/>
          <w:szCs w:val="22"/>
        </w:rPr>
        <w:t xml:space="preserve">en donde es la clara la posición que determina que </w:t>
      </w:r>
      <w:r w:rsidRPr="00DD2B2C" w:rsidR="00E63D38">
        <w:rPr>
          <w:rFonts w:ascii="Verdana" w:hAnsi="Verdana"/>
          <w:sz w:val="22"/>
          <w:szCs w:val="22"/>
        </w:rPr>
        <w:t>para su selección</w:t>
      </w:r>
      <w:r w:rsidRPr="00DD2B2C" w:rsidR="004842CE">
        <w:rPr>
          <w:rFonts w:ascii="Verdana" w:hAnsi="Verdana"/>
          <w:sz w:val="22"/>
          <w:szCs w:val="22"/>
        </w:rPr>
        <w:t>,</w:t>
      </w:r>
      <w:r w:rsidRPr="00DD2B2C" w:rsidR="00E63D38">
        <w:rPr>
          <w:rFonts w:ascii="Verdana" w:hAnsi="Verdana"/>
          <w:sz w:val="22"/>
          <w:szCs w:val="22"/>
        </w:rPr>
        <w:t xml:space="preserve"> debe tenerse en cuenta que </w:t>
      </w:r>
      <w:r w:rsidRPr="00DD2B2C" w:rsidR="004842CE">
        <w:rPr>
          <w:rFonts w:ascii="Verdana" w:hAnsi="Verdana"/>
          <w:sz w:val="22"/>
          <w:szCs w:val="22"/>
        </w:rPr>
        <w:t>si bien el</w:t>
      </w:r>
      <w:r w:rsidRPr="00DD2B2C" w:rsidR="00E63D38">
        <w:rPr>
          <w:rFonts w:ascii="Verdana" w:hAnsi="Verdana"/>
          <w:sz w:val="22"/>
          <w:szCs w:val="22"/>
        </w:rPr>
        <w:t xml:space="preserve"> mismo no requiere un perfil predeterminado, sí es necesario que pueda actuar al menos como par del contratista y que tenga asignadas funciones relacionadas con el objeto contractual. </w:t>
      </w:r>
    </w:p>
    <w:p w:rsidRPr="00DD2B2C" w:rsidR="004842CE" w:rsidP="00FA6672" w:rsidRDefault="00A21EDC" w14:paraId="59A92BE5" w14:textId="15F89FA4">
      <w:pPr>
        <w:spacing w:before="120" w:line="276" w:lineRule="auto"/>
        <w:contextualSpacing/>
        <w:jc w:val="both"/>
        <w:rPr>
          <w:rFonts w:ascii="Verdana" w:hAnsi="Verdana"/>
          <w:sz w:val="22"/>
          <w:szCs w:val="22"/>
        </w:rPr>
      </w:pPr>
      <w:r w:rsidRPr="00DD2B2C">
        <w:rPr>
          <w:rFonts w:ascii="Verdana" w:hAnsi="Verdana"/>
          <w:sz w:val="22"/>
          <w:szCs w:val="22"/>
        </w:rPr>
        <w:t xml:space="preserve">          </w:t>
      </w:r>
      <w:r w:rsidRPr="00DD2B2C" w:rsidR="004842CE">
        <w:rPr>
          <w:rFonts w:ascii="Verdana" w:hAnsi="Verdana"/>
          <w:sz w:val="22"/>
          <w:szCs w:val="22"/>
        </w:rPr>
        <w:t>Asimismo, que e</w:t>
      </w:r>
      <w:r w:rsidRPr="00DD2B2C" w:rsidR="00E63D38">
        <w:rPr>
          <w:rFonts w:ascii="Verdana" w:hAnsi="Verdana"/>
          <w:sz w:val="22"/>
          <w:szCs w:val="22"/>
        </w:rPr>
        <w:t xml:space="preserve">s recomendable que antes de que la Entidad Estatal designe un funcionario como supervisor, haga un análisis de la carga operativa de quien va a ser designado, para no incurrir en los riesgos derivados de designar como supervisor a un funcionario que no pueda desempeñar esa tarea de manera adecuada. La designación de un supervisor debe ser efectuada a más tardar en la misma fecha en la que se adjudique el contrato cuando el mismo sea el resultado de un proceso de contratación competitivo o se asigne en los casos de contrataciones directas. </w:t>
      </w:r>
    </w:p>
    <w:p w:rsidRPr="00DD2B2C" w:rsidR="004842CE" w:rsidP="00FA6672" w:rsidRDefault="004842CE" w14:paraId="5CE7B246" w14:textId="77777777">
      <w:pPr>
        <w:spacing w:before="120" w:line="276" w:lineRule="auto"/>
        <w:contextualSpacing/>
        <w:jc w:val="both"/>
        <w:rPr>
          <w:rFonts w:ascii="Verdana" w:hAnsi="Verdana"/>
          <w:sz w:val="22"/>
          <w:szCs w:val="22"/>
        </w:rPr>
      </w:pPr>
    </w:p>
    <w:p w:rsidRPr="00DD2B2C" w:rsidR="00A21EDC" w:rsidP="00031975" w:rsidRDefault="00A21EDC" w14:paraId="65D168E6" w14:textId="77777777">
      <w:pPr>
        <w:spacing w:before="120" w:line="276" w:lineRule="auto"/>
        <w:contextualSpacing/>
        <w:jc w:val="both"/>
        <w:rPr>
          <w:rFonts w:ascii="Verdana" w:hAnsi="Verdana"/>
          <w:sz w:val="22"/>
          <w:szCs w:val="22"/>
        </w:rPr>
      </w:pPr>
      <w:r w:rsidRPr="00DD2B2C">
        <w:rPr>
          <w:rFonts w:ascii="Verdana" w:hAnsi="Verdana"/>
          <w:sz w:val="22"/>
          <w:szCs w:val="22"/>
        </w:rPr>
        <w:t xml:space="preserve">          </w:t>
      </w:r>
      <w:r w:rsidRPr="00DD2B2C" w:rsidR="004842CE">
        <w:rPr>
          <w:rFonts w:ascii="Verdana" w:hAnsi="Verdana"/>
          <w:sz w:val="22"/>
          <w:szCs w:val="22"/>
        </w:rPr>
        <w:t>Por otra parte</w:t>
      </w:r>
      <w:r w:rsidRPr="00DD2B2C">
        <w:rPr>
          <w:rFonts w:ascii="Verdana" w:hAnsi="Verdana"/>
          <w:sz w:val="22"/>
          <w:szCs w:val="22"/>
        </w:rPr>
        <w:t>,</w:t>
      </w:r>
      <w:r w:rsidRPr="00DD2B2C" w:rsidR="004842CE">
        <w:rPr>
          <w:rFonts w:ascii="Verdana" w:hAnsi="Verdana"/>
          <w:sz w:val="22"/>
          <w:szCs w:val="22"/>
        </w:rPr>
        <w:t xml:space="preserve"> esta Agencia</w:t>
      </w:r>
      <w:r w:rsidRPr="00DD2B2C">
        <w:rPr>
          <w:rFonts w:ascii="Verdana" w:hAnsi="Verdana"/>
          <w:sz w:val="22"/>
          <w:szCs w:val="22"/>
        </w:rPr>
        <w:t xml:space="preserve"> </w:t>
      </w:r>
      <w:r w:rsidRPr="00DD2B2C" w:rsidR="004842CE">
        <w:rPr>
          <w:rFonts w:ascii="Verdana" w:hAnsi="Verdana"/>
          <w:sz w:val="22"/>
          <w:szCs w:val="22"/>
        </w:rPr>
        <w:t>aclaró que l</w:t>
      </w:r>
      <w:r w:rsidRPr="00DD2B2C" w:rsidR="00E63D38">
        <w:rPr>
          <w:rFonts w:ascii="Verdana" w:hAnsi="Verdana"/>
          <w:sz w:val="22"/>
          <w:szCs w:val="22"/>
        </w:rPr>
        <w:t>a designación del supervisor del contrato no requiere que el m</w:t>
      </w:r>
      <w:r w:rsidRPr="00DD2B2C">
        <w:rPr>
          <w:rFonts w:ascii="Verdana" w:hAnsi="Verdana"/>
          <w:sz w:val="22"/>
          <w:szCs w:val="22"/>
        </w:rPr>
        <w:t>a</w:t>
      </w:r>
      <w:r w:rsidRPr="00DD2B2C" w:rsidR="00E63D38">
        <w:rPr>
          <w:rFonts w:ascii="Verdana" w:hAnsi="Verdana"/>
          <w:sz w:val="22"/>
          <w:szCs w:val="22"/>
        </w:rPr>
        <w:t>nual de funciones de las Entidad Estatal establezca expresamente la función de supervisar contratos, pues la misma es inherente al desempeño de las funciones ordinarias de los servidores públicos. La comunicación de la designación de un funcionario como supervisor siempre debe ser escrita, entendiéndose también como tal la que se hace a través de correo electrónico y debe reposar en el expediente del contrato por lo que siempre debe enviarse copia de la misma a la dependencia encargada de conservar los expedientes</w:t>
      </w:r>
      <w:r w:rsidRPr="00DD2B2C" w:rsidR="004842CE">
        <w:rPr>
          <w:rFonts w:ascii="Verdana" w:hAnsi="Verdana"/>
          <w:sz w:val="22"/>
          <w:szCs w:val="22"/>
        </w:rPr>
        <w:t>.</w:t>
      </w:r>
    </w:p>
    <w:p w:rsidRPr="00DD2B2C" w:rsidR="00A21EDC" w:rsidP="00031975" w:rsidRDefault="00A21EDC" w14:paraId="26457531" w14:textId="77777777">
      <w:pPr>
        <w:spacing w:before="120" w:line="276" w:lineRule="auto"/>
        <w:contextualSpacing/>
        <w:jc w:val="both"/>
        <w:rPr>
          <w:rFonts w:ascii="Verdana" w:hAnsi="Verdana"/>
          <w:sz w:val="22"/>
          <w:szCs w:val="22"/>
        </w:rPr>
      </w:pPr>
    </w:p>
    <w:p w:rsidRPr="00DD2B2C" w:rsidR="00D23E6C" w:rsidP="00031975" w:rsidRDefault="00A21EDC" w14:paraId="2E3F982B" w14:textId="2576B70D">
      <w:pPr>
        <w:spacing w:before="120" w:line="276" w:lineRule="auto"/>
        <w:contextualSpacing/>
        <w:jc w:val="both"/>
        <w:rPr>
          <w:rFonts w:ascii="Verdana" w:hAnsi="Verdana"/>
          <w:sz w:val="22"/>
          <w:szCs w:val="22"/>
        </w:rPr>
      </w:pPr>
      <w:r w:rsidRPr="00DD2B2C">
        <w:rPr>
          <w:rFonts w:ascii="Verdana" w:hAnsi="Verdana"/>
          <w:sz w:val="22"/>
          <w:szCs w:val="22"/>
        </w:rPr>
        <w:t xml:space="preserve">        </w:t>
      </w:r>
      <w:r w:rsidRPr="00DD2B2C" w:rsidR="004842CE">
        <w:rPr>
          <w:rFonts w:ascii="Verdana" w:hAnsi="Verdana"/>
          <w:sz w:val="22"/>
          <w:szCs w:val="22"/>
        </w:rPr>
        <w:t>Finalmente</w:t>
      </w:r>
      <w:r w:rsidRPr="00DD2B2C">
        <w:rPr>
          <w:rFonts w:ascii="Verdana" w:hAnsi="Verdana"/>
          <w:sz w:val="22"/>
          <w:szCs w:val="22"/>
        </w:rPr>
        <w:t xml:space="preserve">, se dejó expuesto </w:t>
      </w:r>
      <w:r w:rsidRPr="00DD2B2C" w:rsidR="004842CE">
        <w:rPr>
          <w:rFonts w:ascii="Verdana" w:hAnsi="Verdana"/>
          <w:sz w:val="22"/>
          <w:szCs w:val="22"/>
        </w:rPr>
        <w:t>que e</w:t>
      </w:r>
      <w:r w:rsidRPr="00DD2B2C" w:rsidR="00E63D38">
        <w:rPr>
          <w:rFonts w:ascii="Verdana" w:hAnsi="Verdana"/>
          <w:sz w:val="22"/>
          <w:szCs w:val="22"/>
        </w:rPr>
        <w:t>n caso de que la designación del supervisor se haga directamente en el contrato, debe enviarse copia del mismo al funcionario designado informando que va a ser el supervisor. Cuando esto sucede, el cambio de supervisor siempre va implicar una modificación del contrato. La Entidad Estatal debe tener en cuenta que cuando no se haga la designación del supervisor la responsabilidad de la vigilancia y control de la ejecución del contrato la tiene el ordenador del gasto.</w:t>
      </w:r>
    </w:p>
    <w:p w:rsidR="00B16D44" w:rsidP="00031975" w:rsidRDefault="00B16D44" w14:paraId="7DCBE838" w14:textId="77777777">
      <w:pPr>
        <w:spacing w:before="120" w:line="276" w:lineRule="auto"/>
        <w:contextualSpacing/>
        <w:jc w:val="both"/>
        <w:rPr>
          <w:rFonts w:ascii="Verdana" w:hAnsi="Verdana"/>
          <w:sz w:val="22"/>
          <w:szCs w:val="22"/>
        </w:rPr>
      </w:pPr>
    </w:p>
    <w:p w:rsidRPr="00DD2B2C" w:rsidR="00031975" w:rsidP="00031975" w:rsidRDefault="00B16D44" w14:paraId="5B18CCB8" w14:textId="441FDBEC">
      <w:pPr>
        <w:spacing w:before="120" w:line="276" w:lineRule="auto"/>
        <w:contextualSpacing/>
        <w:jc w:val="both"/>
        <w:rPr>
          <w:rFonts w:ascii="Verdana" w:hAnsi="Verdana"/>
          <w:sz w:val="22"/>
          <w:szCs w:val="22"/>
        </w:rPr>
      </w:pPr>
      <w:r>
        <w:rPr>
          <w:rFonts w:ascii="Verdana" w:hAnsi="Verdana"/>
          <w:sz w:val="22"/>
          <w:szCs w:val="22"/>
        </w:rPr>
        <w:t xml:space="preserve">         Sobre el particular</w:t>
      </w:r>
      <w:r w:rsidRPr="00DD2B2C" w:rsidR="0073320B">
        <w:rPr>
          <w:rFonts w:ascii="Verdana" w:hAnsi="Verdana"/>
          <w:sz w:val="22"/>
          <w:szCs w:val="22"/>
        </w:rPr>
        <w:t xml:space="preserve">, </w:t>
      </w:r>
      <w:r w:rsidRPr="00DD2B2C" w:rsidR="00031975">
        <w:rPr>
          <w:rFonts w:ascii="Verdana" w:hAnsi="Verdana"/>
          <w:sz w:val="22"/>
          <w:szCs w:val="22"/>
        </w:rPr>
        <w:t xml:space="preserve">se ha </w:t>
      </w:r>
      <w:r w:rsidRPr="00DD2B2C" w:rsidR="0073320B">
        <w:rPr>
          <w:rFonts w:ascii="Verdana" w:hAnsi="Verdana"/>
          <w:sz w:val="22"/>
          <w:szCs w:val="22"/>
        </w:rPr>
        <w:t xml:space="preserve">pronunciado </w:t>
      </w:r>
      <w:r w:rsidRPr="00DD2B2C" w:rsidR="00031975">
        <w:rPr>
          <w:rFonts w:ascii="Verdana" w:hAnsi="Verdana"/>
          <w:sz w:val="22"/>
          <w:szCs w:val="22"/>
        </w:rPr>
        <w:t>el Departamento Administrativo de la Función Pública, expresando que la asignación de la función de supervisor puede recaer en cualquiera de los empleados que pertenecen a la entidad sin que importe el nivel jerárquico en que se encuentre, sin embargo, debe tenerse en cuenta la asignación de funciones y el conocimiento o experiencia relacionada con el contrato a supervisar</w:t>
      </w:r>
      <w:r w:rsidRPr="00DD2B2C" w:rsidR="00031975">
        <w:rPr>
          <w:rStyle w:val="Refdenotaalpie"/>
          <w:rFonts w:ascii="Verdana" w:hAnsi="Verdana"/>
          <w:sz w:val="22"/>
          <w:szCs w:val="22"/>
        </w:rPr>
        <w:footnoteReference w:id="10"/>
      </w:r>
      <w:r w:rsidRPr="00DD2B2C" w:rsidR="00031975">
        <w:rPr>
          <w:rFonts w:ascii="Verdana" w:hAnsi="Verdana"/>
          <w:sz w:val="22"/>
          <w:szCs w:val="22"/>
        </w:rPr>
        <w:t>.</w:t>
      </w:r>
    </w:p>
    <w:p w:rsidRPr="00DD2B2C" w:rsidR="0073320B" w:rsidP="0073320B" w:rsidRDefault="0073320B" w14:paraId="3A58D827" w14:textId="19F31D05">
      <w:pPr>
        <w:spacing w:before="120" w:line="276" w:lineRule="auto"/>
        <w:contextualSpacing/>
        <w:jc w:val="both"/>
        <w:rPr>
          <w:rFonts w:ascii="Verdana" w:hAnsi="Verdana"/>
          <w:sz w:val="22"/>
          <w:szCs w:val="22"/>
        </w:rPr>
      </w:pPr>
    </w:p>
    <w:p w:rsidRPr="00DD2B2C" w:rsidR="00A21EDC" w:rsidP="0073320B" w:rsidRDefault="00A21EDC" w14:paraId="0C8CA3ED" w14:textId="22B150DD">
      <w:pPr>
        <w:spacing w:before="120" w:line="276" w:lineRule="auto"/>
        <w:contextualSpacing/>
        <w:jc w:val="both"/>
        <w:rPr>
          <w:rFonts w:ascii="Verdana" w:hAnsi="Verdana"/>
          <w:sz w:val="22"/>
          <w:szCs w:val="22"/>
        </w:rPr>
      </w:pPr>
      <w:r w:rsidRPr="00DD2B2C">
        <w:rPr>
          <w:rFonts w:ascii="Verdana" w:hAnsi="Verdana"/>
          <w:sz w:val="22"/>
          <w:szCs w:val="22"/>
        </w:rPr>
        <w:t xml:space="preserve">          </w:t>
      </w:r>
      <w:r w:rsidRPr="00DD2B2C" w:rsidR="0073320B">
        <w:rPr>
          <w:rFonts w:ascii="Verdana" w:hAnsi="Verdana"/>
          <w:sz w:val="22"/>
          <w:szCs w:val="22"/>
        </w:rPr>
        <w:t xml:space="preserve">Cabe resaltar que </w:t>
      </w:r>
      <w:r w:rsidRPr="00DD2B2C" w:rsidR="00031975">
        <w:rPr>
          <w:rFonts w:ascii="Verdana" w:hAnsi="Verdana"/>
          <w:sz w:val="22"/>
          <w:szCs w:val="22"/>
        </w:rPr>
        <w:t>la Ley 1474 de 2011, al definir la supervisión, no hace referencia a las calidades o formación de quien debe ejercer la función de supervisión, sino que únicamente señala que está a cargo de la entidad contratante, y debido a que la Ley 80, en el artículo 26, señala que la responsabilidad de controlar y vigilar el contrato es de los servidores públicos, se concluye que la normativa del sistema de compra pública no prevé disposiciones especiales que regulen la supervisión</w:t>
      </w:r>
      <w:r w:rsidRPr="00DD2B2C" w:rsidR="0073320B">
        <w:rPr>
          <w:rFonts w:ascii="Verdana" w:hAnsi="Verdana"/>
          <w:sz w:val="22"/>
          <w:szCs w:val="22"/>
        </w:rPr>
        <w:t xml:space="preserve">, </w:t>
      </w:r>
      <w:r w:rsidRPr="00DD2B2C" w:rsidR="00031975">
        <w:rPr>
          <w:rFonts w:ascii="Verdana" w:hAnsi="Verdana"/>
          <w:sz w:val="22"/>
          <w:szCs w:val="22"/>
        </w:rPr>
        <w:t>ni la formación o condiciones de idoneidad</w:t>
      </w:r>
      <w:r w:rsidRPr="00DD2B2C" w:rsidR="0073320B">
        <w:rPr>
          <w:rFonts w:ascii="Verdana" w:hAnsi="Verdana"/>
          <w:sz w:val="22"/>
          <w:szCs w:val="22"/>
        </w:rPr>
        <w:t xml:space="preserve"> específicos</w:t>
      </w:r>
      <w:r w:rsidRPr="00DD2B2C">
        <w:rPr>
          <w:rFonts w:ascii="Verdana" w:hAnsi="Verdana"/>
          <w:sz w:val="22"/>
          <w:szCs w:val="22"/>
        </w:rPr>
        <w:t xml:space="preserve"> </w:t>
      </w:r>
      <w:r w:rsidRPr="00DD2B2C" w:rsidR="00031975">
        <w:rPr>
          <w:rFonts w:ascii="Verdana" w:hAnsi="Verdana"/>
          <w:sz w:val="22"/>
          <w:szCs w:val="22"/>
        </w:rPr>
        <w:t>de quienes ejercen dicha función en los contratos</w:t>
      </w:r>
      <w:r w:rsidRPr="00DD2B2C" w:rsidR="00031975">
        <w:rPr>
          <w:rFonts w:ascii="Verdana" w:hAnsi="Verdana"/>
          <w:spacing w:val="-3"/>
          <w:sz w:val="22"/>
          <w:szCs w:val="22"/>
        </w:rPr>
        <w:t xml:space="preserve"> </w:t>
      </w:r>
      <w:r w:rsidRPr="00DD2B2C" w:rsidR="00031975">
        <w:rPr>
          <w:rFonts w:ascii="Verdana" w:hAnsi="Verdana"/>
          <w:sz w:val="22"/>
          <w:szCs w:val="22"/>
        </w:rPr>
        <w:t>estatales.</w:t>
      </w:r>
      <w:r w:rsidRPr="00DD2B2C" w:rsidR="0073320B">
        <w:rPr>
          <w:rFonts w:ascii="Verdana" w:hAnsi="Verdana"/>
          <w:sz w:val="22"/>
          <w:szCs w:val="22"/>
        </w:rPr>
        <w:t xml:space="preserve"> </w:t>
      </w:r>
    </w:p>
    <w:p w:rsidRPr="00DD2B2C" w:rsidR="00A21EDC" w:rsidP="0073320B" w:rsidRDefault="00A21EDC" w14:paraId="22A626AB" w14:textId="77777777">
      <w:pPr>
        <w:spacing w:before="120" w:line="276" w:lineRule="auto"/>
        <w:contextualSpacing/>
        <w:jc w:val="both"/>
        <w:rPr>
          <w:rFonts w:ascii="Verdana" w:hAnsi="Verdana"/>
          <w:sz w:val="22"/>
          <w:szCs w:val="22"/>
        </w:rPr>
      </w:pPr>
    </w:p>
    <w:p w:rsidRPr="00DD2B2C" w:rsidR="00871B59" w:rsidP="00A21EDC" w:rsidRDefault="00A21EDC" w14:paraId="1EECB815" w14:textId="224378AE">
      <w:pPr>
        <w:spacing w:before="120" w:line="276" w:lineRule="auto"/>
        <w:ind w:firstLine="708"/>
        <w:contextualSpacing/>
        <w:jc w:val="both"/>
        <w:rPr>
          <w:rFonts w:ascii="Verdana" w:hAnsi="Verdana"/>
          <w:sz w:val="22"/>
          <w:szCs w:val="22"/>
        </w:rPr>
      </w:pPr>
      <w:r w:rsidRPr="00DD2B2C">
        <w:rPr>
          <w:rFonts w:ascii="Verdana" w:hAnsi="Verdana"/>
          <w:sz w:val="22"/>
          <w:szCs w:val="22"/>
        </w:rPr>
        <w:t>P</w:t>
      </w:r>
      <w:r w:rsidRPr="00DD2B2C" w:rsidR="00031975">
        <w:rPr>
          <w:rFonts w:ascii="Verdana" w:hAnsi="Verdana"/>
          <w:sz w:val="22"/>
          <w:szCs w:val="22"/>
        </w:rPr>
        <w:t xml:space="preserve">or lo tanto, es la entidad estatal a través del ordenador del gasto, quien en virtud de su autonomía administrativa y el conocimiento que tiene acerca de los profesionales con que cuenta su planta de personal, quien debe designar como supervisor a cualquier funcionario que considere idóneo, siempre y cuando el objeto del proceso de contratación esté relacionado con sus funciones, de manera que se realice una responsable vigilancia y control de la ejecución del </w:t>
      </w:r>
      <w:r w:rsidRPr="00DD2B2C" w:rsidR="00031975">
        <w:rPr>
          <w:rFonts w:ascii="Verdana" w:hAnsi="Verdana"/>
          <w:sz w:val="22"/>
          <w:szCs w:val="22"/>
        </w:rPr>
        <w:t>gasto y del</w:t>
      </w:r>
      <w:r w:rsidRPr="00DD2B2C" w:rsidR="00031975">
        <w:rPr>
          <w:rFonts w:ascii="Verdana" w:hAnsi="Verdana"/>
          <w:spacing w:val="-24"/>
          <w:sz w:val="22"/>
          <w:szCs w:val="22"/>
        </w:rPr>
        <w:t xml:space="preserve"> </w:t>
      </w:r>
      <w:r w:rsidRPr="00DD2B2C" w:rsidR="00031975">
        <w:rPr>
          <w:rFonts w:ascii="Verdana" w:hAnsi="Verdana"/>
          <w:sz w:val="22"/>
          <w:szCs w:val="22"/>
        </w:rPr>
        <w:t>contrato</w:t>
      </w:r>
      <w:r w:rsidRPr="00DD2B2C">
        <w:rPr>
          <w:rFonts w:ascii="Verdana" w:hAnsi="Verdana"/>
          <w:sz w:val="22"/>
          <w:szCs w:val="22"/>
        </w:rPr>
        <w:t xml:space="preserve">, </w:t>
      </w:r>
      <w:r w:rsidRPr="00DD2B2C" w:rsidR="0073320B">
        <w:rPr>
          <w:rFonts w:ascii="Verdana" w:hAnsi="Verdana"/>
          <w:sz w:val="22"/>
          <w:szCs w:val="22"/>
        </w:rPr>
        <w:t xml:space="preserve">aduciendo a las recomendaciones en el </w:t>
      </w:r>
      <w:r w:rsidRPr="00DD2B2C">
        <w:rPr>
          <w:rFonts w:ascii="Verdana" w:hAnsi="Verdana"/>
          <w:sz w:val="22"/>
          <w:szCs w:val="22"/>
        </w:rPr>
        <w:t>“</w:t>
      </w:r>
      <w:r w:rsidRPr="00DD2B2C" w:rsidR="00DD2B2C">
        <w:rPr>
          <w:rFonts w:ascii="Verdana" w:hAnsi="Verdana" w:eastAsia="Calibri" w:cs="Arial"/>
          <w:sz w:val="22"/>
          <w:szCs w:val="22"/>
          <w:lang w:val="es-ES"/>
        </w:rPr>
        <w:t>Guía para el ejercicio de las funciones de Supervisión e Interventoría de los contratos del Estado</w:t>
      </w:r>
      <w:r w:rsidRPr="00DD2B2C" w:rsidR="00DD2B2C">
        <w:rPr>
          <w:rFonts w:ascii="Verdana" w:hAnsi="Verdana"/>
          <w:sz w:val="22"/>
          <w:szCs w:val="22"/>
        </w:rPr>
        <w:t xml:space="preserve">“, </w:t>
      </w:r>
      <w:r w:rsidRPr="00DD2B2C" w:rsidR="0073320B">
        <w:rPr>
          <w:rFonts w:ascii="Verdana" w:hAnsi="Verdana"/>
          <w:sz w:val="22"/>
          <w:szCs w:val="22"/>
        </w:rPr>
        <w:t>de esta Agencia.</w:t>
      </w:r>
    </w:p>
    <w:p w:rsidRPr="00DD2B2C" w:rsidR="00871B59" w:rsidP="00871B59" w:rsidRDefault="00871B59" w14:paraId="7A5EADBB" w14:textId="77777777">
      <w:pPr>
        <w:widowControl w:val="0"/>
        <w:autoSpaceDE w:val="0"/>
        <w:autoSpaceDN w:val="0"/>
        <w:spacing w:line="276" w:lineRule="auto"/>
        <w:jc w:val="both"/>
        <w:rPr>
          <w:rFonts w:ascii="Verdana" w:hAnsi="Verdana" w:cs="Arial"/>
          <w:sz w:val="22"/>
          <w:szCs w:val="22"/>
        </w:rPr>
      </w:pPr>
    </w:p>
    <w:p w:rsidRPr="00DD2B2C" w:rsidR="00871B59" w:rsidP="00871B59" w:rsidRDefault="00871B59" w14:paraId="1D3BD04D" w14:textId="77777777">
      <w:pPr>
        <w:pStyle w:val="Prrafodelista"/>
        <w:numPr>
          <w:ilvl w:val="0"/>
          <w:numId w:val="4"/>
        </w:numPr>
        <w:tabs>
          <w:tab w:val="left" w:pos="142"/>
          <w:tab w:val="left" w:pos="284"/>
        </w:tabs>
        <w:spacing w:line="276" w:lineRule="auto"/>
        <w:ind w:left="0" w:firstLine="0"/>
        <w:contextualSpacing w:val="0"/>
        <w:jc w:val="both"/>
        <w:rPr>
          <w:rFonts w:ascii="Verdana" w:hAnsi="Verdana" w:eastAsia="Century Gothic" w:cs="Century Gothic"/>
          <w:b/>
          <w:bCs/>
          <w:sz w:val="22"/>
          <w:szCs w:val="22"/>
          <w:lang w:val="es-ES"/>
        </w:rPr>
      </w:pPr>
      <w:r w:rsidRPr="00DD2B2C">
        <w:rPr>
          <w:rFonts w:ascii="Verdana" w:hAnsi="Verdana" w:eastAsia="Century Gothic" w:cs="Century Gothic"/>
          <w:b/>
          <w:bCs/>
          <w:sz w:val="22"/>
          <w:szCs w:val="22"/>
          <w:lang w:val="es-ES"/>
        </w:rPr>
        <w:t>Referencias normativas, jurisprudenciales y otras fuentes:</w:t>
      </w:r>
    </w:p>
    <w:p w:rsidRPr="00DD2B2C" w:rsidR="00871B59" w:rsidP="00871B59" w:rsidRDefault="00871B59" w14:paraId="1AB2ED12" w14:textId="77777777">
      <w:pPr>
        <w:widowControl w:val="0"/>
        <w:autoSpaceDE w:val="0"/>
        <w:autoSpaceDN w:val="0"/>
        <w:spacing w:line="276" w:lineRule="auto"/>
        <w:jc w:val="both"/>
        <w:rPr>
          <w:rFonts w:ascii="Verdana" w:hAnsi="Verdana" w:cs="Arial"/>
          <w:sz w:val="22"/>
          <w:szCs w:val="22"/>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DD2B2C" w:rsidR="00871B59" w:rsidTr="002607A7" w14:paraId="18F4D06F" w14:textId="77777777">
        <w:trPr>
          <w:trHeight w:val="870"/>
        </w:trPr>
        <w:tc>
          <w:tcPr>
            <w:tcW w:w="8647" w:type="dxa"/>
          </w:tcPr>
          <w:p w:rsidRPr="00DD2B2C" w:rsidR="00DD2B2C" w:rsidP="00DD2B2C" w:rsidRDefault="00DD2B2C" w14:paraId="26141C03" w14:textId="77777777">
            <w:pPr>
              <w:widowControl w:val="0"/>
              <w:numPr>
                <w:ilvl w:val="0"/>
                <w:numId w:val="8"/>
              </w:numPr>
              <w:autoSpaceDE w:val="0"/>
              <w:autoSpaceDN w:val="0"/>
              <w:spacing w:after="120" w:line="276" w:lineRule="auto"/>
              <w:contextualSpacing/>
              <w:jc w:val="both"/>
              <w:rPr>
                <w:rFonts w:ascii="Verdana" w:hAnsi="Verdana" w:eastAsia="Calibri" w:cs="Arial"/>
                <w:sz w:val="22"/>
                <w:szCs w:val="22"/>
                <w:lang w:val="es-ES"/>
              </w:rPr>
            </w:pPr>
            <w:r w:rsidRPr="00DD2B2C">
              <w:rPr>
                <w:rFonts w:ascii="Verdana" w:hAnsi="Verdana" w:eastAsia="Calibri" w:cs="Arial"/>
                <w:sz w:val="22"/>
                <w:szCs w:val="22"/>
                <w:lang w:val="es-ES"/>
              </w:rPr>
              <w:t>Ley 80 de 1993. Artículos 4, 5, 12, 14 y 26</w:t>
            </w:r>
          </w:p>
          <w:p w:rsidRPr="00DD2B2C" w:rsidR="00DD2B2C" w:rsidP="00DD2B2C" w:rsidRDefault="00DD2B2C" w14:paraId="6C8366F2" w14:textId="77777777">
            <w:pPr>
              <w:widowControl w:val="0"/>
              <w:numPr>
                <w:ilvl w:val="0"/>
                <w:numId w:val="8"/>
              </w:numPr>
              <w:autoSpaceDE w:val="0"/>
              <w:autoSpaceDN w:val="0"/>
              <w:spacing w:after="120" w:line="276" w:lineRule="auto"/>
              <w:contextualSpacing/>
              <w:jc w:val="both"/>
              <w:rPr>
                <w:rFonts w:ascii="Verdana" w:hAnsi="Verdana" w:eastAsia="Calibri" w:cs="Arial"/>
                <w:sz w:val="22"/>
                <w:szCs w:val="22"/>
                <w:lang w:val="es-ES"/>
              </w:rPr>
            </w:pPr>
            <w:r w:rsidRPr="00DD2B2C">
              <w:rPr>
                <w:rFonts w:ascii="Verdana" w:hAnsi="Verdana" w:eastAsia="Calibri" w:cs="Arial"/>
                <w:sz w:val="22"/>
                <w:szCs w:val="22"/>
                <w:lang w:val="es-ES"/>
              </w:rPr>
              <w:t>Ley 1150 de 2007. Artículos 17 y 21</w:t>
            </w:r>
          </w:p>
          <w:p w:rsidRPr="00DD2B2C" w:rsidR="00DD2B2C" w:rsidP="00DD2B2C" w:rsidRDefault="00DD2B2C" w14:paraId="0811332D" w14:textId="77777777">
            <w:pPr>
              <w:widowControl w:val="0"/>
              <w:numPr>
                <w:ilvl w:val="0"/>
                <w:numId w:val="8"/>
              </w:numPr>
              <w:autoSpaceDE w:val="0"/>
              <w:autoSpaceDN w:val="0"/>
              <w:spacing w:after="120" w:line="276" w:lineRule="auto"/>
              <w:contextualSpacing/>
              <w:jc w:val="both"/>
              <w:rPr>
                <w:rFonts w:ascii="Verdana" w:hAnsi="Verdana" w:eastAsia="Calibri" w:cs="Arial"/>
                <w:sz w:val="22"/>
                <w:szCs w:val="22"/>
                <w:lang w:val="es-ES"/>
              </w:rPr>
            </w:pPr>
            <w:r w:rsidRPr="00DD2B2C">
              <w:rPr>
                <w:rFonts w:ascii="Verdana" w:hAnsi="Verdana" w:eastAsia="Calibri" w:cs="Arial"/>
                <w:sz w:val="22"/>
                <w:szCs w:val="22"/>
                <w:lang w:val="es-ES"/>
              </w:rPr>
              <w:t>Ley 1474 de 2011. Artículos 83, 84, 85 y 86</w:t>
            </w:r>
          </w:p>
          <w:p w:rsidRPr="00DD2B2C" w:rsidR="00871B59" w:rsidP="00DD2B2C" w:rsidRDefault="00DD2B2C" w14:paraId="532A49A8" w14:textId="66A9F804">
            <w:pPr>
              <w:widowControl w:val="0"/>
              <w:numPr>
                <w:ilvl w:val="0"/>
                <w:numId w:val="8"/>
              </w:numPr>
              <w:autoSpaceDE w:val="0"/>
              <w:autoSpaceDN w:val="0"/>
              <w:spacing w:line="276" w:lineRule="auto"/>
              <w:contextualSpacing/>
              <w:jc w:val="both"/>
              <w:rPr>
                <w:rFonts w:ascii="Verdana" w:hAnsi="Verdana" w:eastAsia="Aptos" w:cs="Arial"/>
                <w:sz w:val="22"/>
                <w:szCs w:val="22"/>
              </w:rPr>
            </w:pPr>
            <w:r w:rsidRPr="00DD2B2C">
              <w:rPr>
                <w:rFonts w:ascii="Verdana" w:hAnsi="Verdana" w:eastAsia="Calibri" w:cs="Arial"/>
                <w:sz w:val="22"/>
                <w:szCs w:val="22"/>
                <w:lang w:val="es-ES"/>
              </w:rPr>
              <w:t xml:space="preserve">Colombia Compra Eficiente. Guía para el ejercicio de las funciones de Supervisión e Interventoría de los contratos del Estado, disponible </w:t>
            </w:r>
            <w:hyperlink w:history="1" r:id="rId13">
              <w:r w:rsidRPr="00DD2B2C">
                <w:rPr>
                  <w:rFonts w:ascii="Verdana" w:hAnsi="Verdana" w:eastAsia="Calibri" w:cs="Arial"/>
                  <w:color w:val="0000FF"/>
                  <w:sz w:val="22"/>
                  <w:szCs w:val="22"/>
                  <w:u w:val="single"/>
                  <w:lang w:val="es-ES"/>
                </w:rPr>
                <w:t>aquí</w:t>
              </w:r>
            </w:hyperlink>
          </w:p>
          <w:p w:rsidRPr="00DD2B2C" w:rsidR="00871B59" w:rsidP="00DD2B2C" w:rsidRDefault="00DD2B2C" w14:paraId="2F5B6DCF" w14:textId="77777777">
            <w:pPr>
              <w:widowControl w:val="0"/>
              <w:numPr>
                <w:ilvl w:val="0"/>
                <w:numId w:val="8"/>
              </w:numPr>
              <w:autoSpaceDE w:val="0"/>
              <w:autoSpaceDN w:val="0"/>
              <w:spacing w:line="276" w:lineRule="auto"/>
              <w:contextualSpacing/>
              <w:jc w:val="both"/>
              <w:rPr>
                <w:rFonts w:ascii="Verdana" w:hAnsi="Verdana" w:eastAsia="Aptos" w:cs="Arial"/>
                <w:sz w:val="22"/>
                <w:szCs w:val="22"/>
              </w:rPr>
            </w:pPr>
            <w:r w:rsidRPr="00DD2B2C">
              <w:rPr>
                <w:rFonts w:ascii="Verdana" w:hAnsi="Verdana"/>
                <w:sz w:val="22"/>
                <w:szCs w:val="22"/>
              </w:rPr>
              <w:t>Departamento Administrativo de la Función Pública, Concepto 97171 de 2016. Radicado No. 2016000097171.</w:t>
            </w:r>
          </w:p>
          <w:p w:rsidRPr="00DD2B2C" w:rsidR="00DD2B2C" w:rsidP="00DD2B2C" w:rsidRDefault="00DD2B2C" w14:paraId="18589264" w14:textId="619072CB">
            <w:pPr>
              <w:widowControl w:val="0"/>
              <w:numPr>
                <w:ilvl w:val="0"/>
                <w:numId w:val="8"/>
              </w:numPr>
              <w:autoSpaceDE w:val="0"/>
              <w:autoSpaceDN w:val="0"/>
              <w:spacing w:line="276" w:lineRule="auto"/>
              <w:contextualSpacing/>
              <w:jc w:val="both"/>
              <w:rPr>
                <w:rFonts w:ascii="Verdana" w:hAnsi="Verdana" w:eastAsia="Aptos" w:cs="Arial"/>
                <w:sz w:val="22"/>
                <w:szCs w:val="22"/>
              </w:rPr>
            </w:pPr>
            <w:r w:rsidRPr="00DD2B2C">
              <w:rPr>
                <w:rFonts w:ascii="Verdana" w:hAnsi="Verdana" w:eastAsia="Calibri" w:cs="Arial"/>
                <w:sz w:val="22"/>
                <w:szCs w:val="22"/>
                <w:lang w:val="es-ES"/>
              </w:rPr>
              <w:t xml:space="preserve">Consejo de Estado. Sección 3ª. Sentencia del 27 de noviembre de 2017. M.P. Jaime Orlando Santofimio. </w:t>
            </w:r>
            <w:proofErr w:type="spellStart"/>
            <w:r w:rsidRPr="00DD2B2C">
              <w:rPr>
                <w:rFonts w:ascii="Verdana" w:hAnsi="Verdana" w:eastAsia="Calibri" w:cs="Arial"/>
                <w:sz w:val="22"/>
                <w:szCs w:val="22"/>
                <w:lang w:val="es-ES"/>
              </w:rPr>
              <w:t>Exp</w:t>
            </w:r>
            <w:proofErr w:type="spellEnd"/>
            <w:r w:rsidRPr="00DD2B2C">
              <w:rPr>
                <w:rFonts w:ascii="Verdana" w:hAnsi="Verdana" w:eastAsia="Calibri" w:cs="Arial"/>
                <w:sz w:val="22"/>
                <w:szCs w:val="22"/>
                <w:lang w:val="es-ES"/>
              </w:rPr>
              <w:t>. 51.802</w:t>
            </w:r>
          </w:p>
        </w:tc>
      </w:tr>
    </w:tbl>
    <w:p w:rsidRPr="00DD2B2C" w:rsidR="00871B59" w:rsidP="00871B59" w:rsidRDefault="00871B59" w14:paraId="02ECFE75" w14:textId="77777777">
      <w:pPr>
        <w:widowControl w:val="0"/>
        <w:autoSpaceDE w:val="0"/>
        <w:autoSpaceDN w:val="0"/>
        <w:spacing w:line="276" w:lineRule="auto"/>
        <w:jc w:val="both"/>
        <w:rPr>
          <w:rFonts w:ascii="Verdana" w:hAnsi="Verdana" w:cs="Arial"/>
          <w:sz w:val="22"/>
          <w:szCs w:val="22"/>
        </w:rPr>
      </w:pPr>
    </w:p>
    <w:p w:rsidRPr="00DD2B2C" w:rsidR="00871B59" w:rsidP="00871B59" w:rsidRDefault="00871B59" w14:paraId="58EA7098" w14:textId="77777777">
      <w:pPr>
        <w:pStyle w:val="Prrafodelista"/>
        <w:numPr>
          <w:ilvl w:val="0"/>
          <w:numId w:val="4"/>
        </w:numPr>
        <w:tabs>
          <w:tab w:val="left" w:pos="142"/>
          <w:tab w:val="left" w:pos="284"/>
        </w:tabs>
        <w:spacing w:line="276" w:lineRule="auto"/>
        <w:ind w:left="0" w:firstLine="0"/>
        <w:contextualSpacing w:val="0"/>
        <w:jc w:val="both"/>
        <w:rPr>
          <w:rFonts w:ascii="Verdana" w:hAnsi="Verdana" w:eastAsia="Century Gothic" w:cs="Century Gothic"/>
          <w:b/>
          <w:bCs/>
          <w:sz w:val="22"/>
          <w:szCs w:val="22"/>
          <w:lang w:val="es-ES"/>
        </w:rPr>
      </w:pPr>
      <w:r w:rsidRPr="00DD2B2C">
        <w:rPr>
          <w:rFonts w:ascii="Verdana" w:hAnsi="Verdana" w:eastAsia="Century Gothic" w:cs="Century Gothic"/>
          <w:b/>
          <w:bCs/>
          <w:sz w:val="22"/>
          <w:szCs w:val="22"/>
          <w:lang w:val="es-ES"/>
        </w:rPr>
        <w:t>Doctrina de la Agencia Nacional de Contratación Pública:</w:t>
      </w:r>
    </w:p>
    <w:p w:rsidRPr="00DD2B2C" w:rsidR="00871B59" w:rsidP="00871B59" w:rsidRDefault="00871B59" w14:paraId="34EE69DD" w14:textId="77777777">
      <w:pPr>
        <w:widowControl w:val="0"/>
        <w:autoSpaceDE w:val="0"/>
        <w:autoSpaceDN w:val="0"/>
        <w:spacing w:line="276" w:lineRule="auto"/>
        <w:jc w:val="both"/>
        <w:rPr>
          <w:rFonts w:ascii="Verdana" w:hAnsi="Verdana" w:cs="Arial"/>
          <w:sz w:val="22"/>
          <w:szCs w:val="22"/>
        </w:rPr>
      </w:pPr>
    </w:p>
    <w:p w:rsidRPr="00DD2B2C" w:rsidR="00DD2B2C" w:rsidP="00DD2B2C" w:rsidRDefault="00DD2B2C" w14:paraId="5D92B0E4" w14:textId="77777777">
      <w:pPr>
        <w:widowControl w:val="0"/>
        <w:autoSpaceDE w:val="0"/>
        <w:autoSpaceDN w:val="0"/>
        <w:spacing w:line="276" w:lineRule="auto"/>
        <w:jc w:val="both"/>
        <w:rPr>
          <w:rFonts w:ascii="Verdana" w:hAnsi="Verdana" w:eastAsia="Aptos" w:cs="Arial"/>
          <w:sz w:val="22"/>
          <w:szCs w:val="22"/>
          <w:shd w:val="clear" w:color="auto" w:fill="FFFFFF"/>
          <w:lang w:val="es-ES"/>
        </w:rPr>
      </w:pPr>
      <w:r w:rsidRPr="00DD2B2C">
        <w:rPr>
          <w:rFonts w:ascii="Verdana" w:hAnsi="Verdana" w:eastAsia="Aptos" w:cs="Arial"/>
          <w:sz w:val="22"/>
          <w:szCs w:val="22"/>
          <w:shd w:val="clear" w:color="auto" w:fill="FFFFFF"/>
          <w:lang w:val="es-ES"/>
        </w:rPr>
        <w:t xml:space="preserve">Sobre la obligación de controlar y vigilar la ejecución de los contratos estatales, esta Subdirección se ha referido en los Conceptos </w:t>
      </w:r>
      <w:r w:rsidRPr="00DD2B2C">
        <w:rPr>
          <w:rFonts w:ascii="Verdana" w:hAnsi="Verdana" w:eastAsia="Calibri" w:cs="Arial"/>
          <w:sz w:val="22"/>
          <w:szCs w:val="22"/>
          <w:lang w:val="es-ES_tradnl"/>
        </w:rPr>
        <w:t>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DD2B2C">
        <w:rPr>
          <w:rFonts w:ascii="Verdana" w:hAnsi="Verdana" w:eastAsia="Aptos" w:cs="Arial"/>
          <w:sz w:val="22"/>
          <w:szCs w:val="22"/>
          <w:shd w:val="clear" w:color="auto" w:fill="FFFFFF"/>
          <w:lang w:val="es-ES"/>
        </w:rPr>
        <w:t xml:space="preserve">, entre otros. Estos y otros conceptos se encuentran disponibles para consulta en el Sistema de Relatoría de la Agencia, en el cual también podrás encontrar </w:t>
      </w:r>
      <w:r w:rsidRPr="00DD2B2C">
        <w:rPr>
          <w:rFonts w:ascii="Verdana" w:hAnsi="Verdana" w:eastAsia="Aptos" w:cs="Arial"/>
          <w:sz w:val="22"/>
          <w:szCs w:val="22"/>
          <w:shd w:val="clear" w:color="auto" w:fill="FFFFFF"/>
          <w:lang w:val="es-ES"/>
        </w:rPr>
        <w:t xml:space="preserve">jurisprudencia del Consejo de Estado, laudos arbitrales y la normativa de la contratación concordada con la doctrina de la Subdirección de Gestión Contractual. Accede a través del siguiente enlace: </w:t>
      </w:r>
      <w:hyperlink w:history="1" r:id="rId14">
        <w:r w:rsidRPr="00DD2B2C">
          <w:rPr>
            <w:rFonts w:ascii="Verdana" w:hAnsi="Verdana" w:eastAsia="Aptos" w:cs="Arial"/>
            <w:color w:val="0000FF"/>
            <w:sz w:val="22"/>
            <w:szCs w:val="22"/>
            <w:u w:val="single"/>
            <w:shd w:val="clear" w:color="auto" w:fill="FFFFFF"/>
            <w:lang w:val="es-ES"/>
          </w:rPr>
          <w:t>https://relatoria.colombiacompra.gov.co/</w:t>
        </w:r>
      </w:hyperlink>
      <w:r w:rsidRPr="00DD2B2C">
        <w:rPr>
          <w:rFonts w:ascii="Verdana" w:hAnsi="Verdana" w:eastAsia="Aptos" w:cs="Arial"/>
          <w:sz w:val="22"/>
          <w:szCs w:val="22"/>
          <w:shd w:val="clear" w:color="auto" w:fill="FFFFFF"/>
          <w:lang w:val="es-ES"/>
        </w:rPr>
        <w:t xml:space="preserve">. </w:t>
      </w:r>
    </w:p>
    <w:p w:rsidRPr="00DD2B2C" w:rsidR="00DD2B2C" w:rsidP="00DD2B2C" w:rsidRDefault="00DD2B2C" w14:paraId="618FF754" w14:textId="77777777">
      <w:pPr>
        <w:spacing w:after="120" w:line="276" w:lineRule="auto"/>
        <w:ind w:firstLine="709"/>
        <w:jc w:val="both"/>
        <w:rPr>
          <w:rFonts w:ascii="Verdana" w:hAnsi="Verdana" w:eastAsia="Calibri" w:cs="Arial"/>
          <w:sz w:val="22"/>
          <w:szCs w:val="22"/>
          <w:lang w:val="es-ES" w:eastAsia="es-ES"/>
        </w:rPr>
      </w:pPr>
    </w:p>
    <w:p w:rsidRPr="00DD2B2C" w:rsidR="00DD2B2C" w:rsidP="00DD2B2C" w:rsidRDefault="00DD2B2C" w14:paraId="5F991389" w14:textId="17278116">
      <w:pPr>
        <w:spacing w:after="120" w:line="276" w:lineRule="auto"/>
        <w:ind w:firstLine="709"/>
        <w:jc w:val="both"/>
        <w:rPr>
          <w:rFonts w:ascii="Verdana" w:hAnsi="Verdana" w:eastAsia="Calibri" w:cs="Arial"/>
          <w:sz w:val="22"/>
          <w:szCs w:val="22"/>
          <w:u w:val="single"/>
          <w:lang w:eastAsia="es-ES_tradnl"/>
        </w:rPr>
      </w:pPr>
      <w:r w:rsidRPr="00DD2B2C">
        <w:rPr>
          <w:rFonts w:ascii="Verdana" w:hAnsi="Verdana" w:eastAsia="Calibri" w:cs="Arial"/>
          <w:sz w:val="22"/>
          <w:szCs w:val="22"/>
          <w:lang w:val="es-ES" w:eastAsia="es-ES"/>
        </w:rPr>
        <w:t xml:space="preserve">Le informamos que ya se encuentra disponible la </w:t>
      </w:r>
      <w:r w:rsidRPr="00DD2B2C">
        <w:rPr>
          <w:rFonts w:ascii="Verdana" w:hAnsi="Verdana" w:eastAsia="Calibri" w:cs="Arial"/>
          <w:b/>
          <w:sz w:val="22"/>
          <w:szCs w:val="22"/>
          <w:lang w:val="es-ES" w:eastAsia="es-ES"/>
        </w:rPr>
        <w:t>Guía para el manejo de ofertas artificialmente bajas en Procesos de Contratación</w:t>
      </w:r>
      <w:r w:rsidRPr="00DD2B2C">
        <w:rPr>
          <w:rFonts w:ascii="Verdana" w:hAnsi="Verdana" w:eastAsia="Calibri" w:cs="Arial"/>
          <w:sz w:val="22"/>
          <w:szCs w:val="22"/>
          <w:lang w:val="es-ES" w:eastAsia="es-ES"/>
        </w:rPr>
        <w:t>. En este documento podrás consultar una serie de pautas para el manejo ofertas artificialmente bajas, en línea con las mejores prácticas internacionales en la materia. Puede consultar la versión actualizada en el siguiente enlace:</w:t>
      </w:r>
      <w:hyperlink w:history="1" r:id="rId15">
        <w:r w:rsidRPr="00DD2B2C">
          <w:rPr>
            <w:rStyle w:val="Hipervnculo"/>
            <w:rFonts w:ascii="Verdana" w:hAnsi="Verdana" w:eastAsia="Calibri"/>
            <w:sz w:val="22"/>
            <w:szCs w:val="22"/>
            <w:lang w:eastAsia="es-ES_tradnl"/>
          </w:rPr>
          <w:t>https://www.colombiacompra.gov.co/manuales-guias-y-pliegos-tipo/manuales-y-guias/guia-para-el-manejo-de-ofertas-artificialmente-baja-0</w:t>
        </w:r>
      </w:hyperlink>
      <w:r w:rsidRPr="00DD2B2C">
        <w:rPr>
          <w:rFonts w:ascii="Verdana" w:hAnsi="Verdana" w:eastAsia="Calibri" w:cs="Arial"/>
          <w:sz w:val="22"/>
          <w:szCs w:val="22"/>
          <w:u w:val="single"/>
          <w:lang w:eastAsia="es-ES_tradnl"/>
        </w:rPr>
        <w:t> </w:t>
      </w:r>
    </w:p>
    <w:p w:rsidRPr="00DD2B2C" w:rsidR="00DD2B2C" w:rsidP="00DD2B2C" w:rsidRDefault="00DD2B2C" w14:paraId="0E8F6084" w14:textId="77777777">
      <w:pPr>
        <w:spacing w:after="120" w:line="276" w:lineRule="auto"/>
        <w:ind w:firstLine="709"/>
        <w:jc w:val="both"/>
        <w:rPr>
          <w:rFonts w:ascii="Verdana" w:hAnsi="Verdana" w:eastAsia="Calibri" w:cs="Arial"/>
          <w:sz w:val="22"/>
          <w:szCs w:val="22"/>
          <w:lang w:eastAsia="es-ES_tradnl"/>
        </w:rPr>
      </w:pPr>
      <w:r w:rsidRPr="00DD2B2C">
        <w:rPr>
          <w:rFonts w:ascii="Verdana" w:hAnsi="Verdana" w:eastAsia="Calibri" w:cs="Arial"/>
          <w:sz w:val="22"/>
          <w:szCs w:val="22"/>
          <w:lang w:eastAsia="es-ES_tradnl"/>
        </w:rPr>
        <w:t xml:space="preserve">De otra parte, te contamos que ya publicamos la </w:t>
      </w:r>
      <w:r w:rsidRPr="00DD2B2C">
        <w:rPr>
          <w:rFonts w:ascii="Verdana" w:hAnsi="Verdana" w:eastAsia="Calibri" w:cs="Arial"/>
          <w:b/>
          <w:bCs/>
          <w:sz w:val="22"/>
          <w:szCs w:val="22"/>
          <w:lang w:eastAsia="es-ES_tradnl"/>
        </w:rPr>
        <w:t>Guía para incentivar la participación de Mujeres en el Sistema de Compras y Contratación Pública</w:t>
      </w:r>
      <w:r w:rsidRPr="00DD2B2C">
        <w:rPr>
          <w:rFonts w:ascii="Verdana" w:hAnsi="Verdana" w:eastAsia="Calibri" w:cs="Arial"/>
          <w:sz w:val="22"/>
          <w:szCs w:val="22"/>
          <w:lang w:eastAsia="es-ES_tradnl"/>
        </w:rPr>
        <w:t xml:space="preserve">. Esta guía tiene como finalidad ofrecer información de valor para que las Entidades Estatales fomenten de manera efectiva la participación de las mujeres en el mercado de compras públicas. Puedes consultar la guía en el siguiente enlace: </w:t>
      </w:r>
      <w:hyperlink w:history="1" r:id="rId16">
        <w:r w:rsidRPr="00DD2B2C">
          <w:rPr>
            <w:rStyle w:val="Hipervnculo"/>
            <w:rFonts w:ascii="Verdana" w:hAnsi="Verdana" w:eastAsia="Calibri"/>
            <w:sz w:val="22"/>
            <w:szCs w:val="22"/>
            <w:lang w:eastAsia="es-ES_tradnl"/>
          </w:rPr>
          <w:t>https://www.colombiacompra.gov.co/manuales-guias-y-pliegos-tipo/manuales-y-guias/guia-para-incentivar-la-participacion-de-las-mujeres</w:t>
        </w:r>
      </w:hyperlink>
    </w:p>
    <w:p w:rsidRPr="00DD2B2C" w:rsidR="00DD2B2C" w:rsidP="00DD2B2C" w:rsidRDefault="00DD2B2C" w14:paraId="2D765117" w14:textId="77777777">
      <w:pPr>
        <w:spacing w:after="120" w:line="276" w:lineRule="auto"/>
        <w:jc w:val="both"/>
        <w:rPr>
          <w:rFonts w:ascii="Verdana" w:hAnsi="Verdana"/>
          <w:sz w:val="22"/>
          <w:szCs w:val="22"/>
        </w:rPr>
      </w:pPr>
      <w:r w:rsidRPr="00DD2B2C">
        <w:rPr>
          <w:rFonts w:ascii="Verdana" w:hAnsi="Verdana" w:eastAsia="Calibri" w:cs="Arial"/>
          <w:sz w:val="22"/>
          <w:szCs w:val="22"/>
          <w:lang w:eastAsia="es-ES_tradnl"/>
        </w:rPr>
        <w:tab/>
      </w:r>
      <w:r w:rsidRPr="00DD2B2C">
        <w:rPr>
          <w:rFonts w:ascii="Verdana" w:hAnsi="Verdana" w:eastAsia="Calibri" w:cs="Arial"/>
          <w:sz w:val="22"/>
          <w:szCs w:val="22"/>
          <w:lang w:eastAsia="es-ES_tradnl"/>
        </w:rPr>
        <w:t xml:space="preserve">También te invitamos a consultar la </w:t>
      </w:r>
      <w:r w:rsidRPr="00DD2B2C">
        <w:rPr>
          <w:rFonts w:ascii="Verdana" w:hAnsi="Verdana" w:eastAsia="Calibri" w:cs="Arial"/>
          <w:b/>
          <w:bCs/>
          <w:sz w:val="22"/>
          <w:szCs w:val="22"/>
          <w:lang w:eastAsia="es-ES_tradnl"/>
        </w:rPr>
        <w:t>versión VIII de 2024</w:t>
      </w:r>
      <w:r w:rsidRPr="00DD2B2C">
        <w:rPr>
          <w:rFonts w:ascii="Verdana" w:hAnsi="Verdana" w:eastAsia="Calibri" w:cs="Arial"/>
          <w:sz w:val="22"/>
          <w:szCs w:val="22"/>
          <w:lang w:eastAsia="es-ES_tradnl"/>
        </w:rPr>
        <w:t xml:space="preserve">, del </w:t>
      </w:r>
      <w:r w:rsidRPr="00DD2B2C">
        <w:rPr>
          <w:rFonts w:ascii="Verdana" w:hAnsi="Verdana" w:eastAsia="Calibri" w:cs="Arial"/>
          <w:b/>
          <w:bCs/>
          <w:sz w:val="22"/>
          <w:szCs w:val="22"/>
          <w:lang w:eastAsia="es-ES_tradnl"/>
        </w:rPr>
        <w:t>Boletín de Relatoría</w:t>
      </w:r>
      <w:r w:rsidRPr="00DD2B2C">
        <w:rPr>
          <w:rFonts w:ascii="Verdana" w:hAnsi="Verdana" w:eastAsia="Calibri" w:cs="Arial"/>
          <w:sz w:val="22"/>
          <w:szCs w:val="22"/>
          <w:lang w:eastAsia="es-ES_tradnl"/>
        </w:rPr>
        <w:t xml:space="preserve"> de la Subdirección de Gestión Contractual relacionado con la participación de las MIPYMES en los procesos de compra y contratación pública, el cual se puede descargar en la página web de la Agencia: </w:t>
      </w:r>
      <w:hyperlink w:history="1" r:id="rId17">
        <w:r w:rsidRPr="00DD2B2C">
          <w:rPr>
            <w:rStyle w:val="Hipervnculo"/>
            <w:rFonts w:ascii="Verdana" w:hAnsi="Verdana" w:eastAsia="Calibri"/>
            <w:sz w:val="22"/>
            <w:szCs w:val="22"/>
            <w:lang w:eastAsia="es-ES_tradnl"/>
          </w:rPr>
          <w:t>https://www.colombiacompra.gov.co/sites/cce_public/files/files_2020/boletin_de_realtoria_viii.pdf</w:t>
        </w:r>
      </w:hyperlink>
    </w:p>
    <w:p w:rsidRPr="00DD2B2C" w:rsidR="00DD2B2C" w:rsidP="00DD2B2C" w:rsidRDefault="00DD2B2C" w14:paraId="2F11AE7B" w14:textId="77777777">
      <w:pPr>
        <w:spacing w:line="276" w:lineRule="auto"/>
        <w:ind w:firstLine="708"/>
        <w:jc w:val="both"/>
        <w:rPr>
          <w:rFonts w:ascii="Verdana" w:hAnsi="Verdana" w:eastAsia="Calibri" w:cs="Arial"/>
          <w:sz w:val="22"/>
          <w:szCs w:val="22"/>
          <w:lang w:eastAsia="es-ES_tradnl"/>
        </w:rPr>
      </w:pPr>
      <w:r w:rsidRPr="00DD2B2C">
        <w:rPr>
          <w:rFonts w:ascii="Verdana" w:hAnsi="Verdana" w:eastAsia="Calibri" w:cs="Arial"/>
          <w:sz w:val="22"/>
          <w:szCs w:val="22"/>
          <w:lang w:eastAsia="es-ES_tradnl"/>
        </w:rPr>
        <w:t>Adicionalmente, nos complace informarle que ya están disponibles las nuevas versiones de los Documentos Tipo para Infraestructura de Transporte, recuerde que es de obligatoria observancia por TODAS las entidades sometidas al EGCAP y entidades de régimen especial, con las excepciones de ley:</w:t>
      </w:r>
    </w:p>
    <w:p w:rsidRPr="00DD2B2C" w:rsidR="00DD2B2C" w:rsidP="00DD2B2C" w:rsidRDefault="00DD2B2C" w14:paraId="545F7754" w14:textId="77777777">
      <w:pPr>
        <w:jc w:val="both"/>
        <w:rPr>
          <w:rFonts w:ascii="Verdana" w:hAnsi="Verdana" w:eastAsia="Calibri" w:cs="Arial"/>
          <w:sz w:val="22"/>
          <w:szCs w:val="22"/>
          <w:lang w:eastAsia="es-ES_tradnl"/>
        </w:rPr>
      </w:pPr>
    </w:p>
    <w:p w:rsidRPr="00DD2B2C" w:rsidR="00DD2B2C" w:rsidP="00DD2B2C" w:rsidRDefault="00DD2B2C" w14:paraId="6D71B8C4" w14:textId="77777777">
      <w:pPr>
        <w:numPr>
          <w:ilvl w:val="0"/>
          <w:numId w:val="11"/>
        </w:numPr>
        <w:jc w:val="both"/>
        <w:rPr>
          <w:rFonts w:ascii="Verdana" w:hAnsi="Verdana" w:eastAsia="Calibri" w:cs="Arial"/>
          <w:sz w:val="22"/>
          <w:szCs w:val="22"/>
          <w:lang w:eastAsia="es-ES_tradnl"/>
        </w:rPr>
      </w:pPr>
      <w:r w:rsidRPr="00DD2B2C">
        <w:rPr>
          <w:rFonts w:ascii="Verdana" w:hAnsi="Verdana" w:eastAsia="Calibri" w:cs="Arial"/>
          <w:b/>
          <w:bCs/>
          <w:sz w:val="22"/>
          <w:szCs w:val="22"/>
          <w:lang w:eastAsia="es-ES_tradnl"/>
        </w:rPr>
        <w:t xml:space="preserve">Documentos tipo para los procesos de selección de interventoría de obra pública de infraestructura de transporte – versión 3: </w:t>
      </w:r>
      <w:hyperlink w:tooltip="https://www.colombiacompra.gov.co/content/03-documentos-tipo-para-los-procesos-de-seleccion-de-interventoria-de-obra-publica-de" w:history="1" r:id="rId18">
        <w:r w:rsidRPr="00DD2B2C">
          <w:rPr>
            <w:rStyle w:val="Hipervnculo"/>
            <w:rFonts w:ascii="Verdana" w:hAnsi="Verdana" w:eastAsia="Calibri"/>
            <w:sz w:val="22"/>
            <w:szCs w:val="22"/>
            <w:lang w:eastAsia="es-ES_tradnl"/>
          </w:rPr>
          <w:t xml:space="preserve">03. </w:t>
        </w:r>
        <w:r w:rsidRPr="00DD2B2C">
          <w:rPr>
            <w:rStyle w:val="Hipervnculo"/>
            <w:rFonts w:ascii="Verdana" w:hAnsi="Verdana" w:eastAsia="Calibri"/>
            <w:sz w:val="22"/>
            <w:szCs w:val="22"/>
            <w:lang w:eastAsia="es-ES_tradnl"/>
          </w:rPr>
          <w:t>Documentos tipo para los procesos de selección de interventoría de obra pública de infraestructura de transporte – versión 3 | Colombia Compra Eficiente | Agencia Nacional de Contratación Pública</w:t>
        </w:r>
      </w:hyperlink>
    </w:p>
    <w:p w:rsidRPr="00DD2B2C" w:rsidR="00DD2B2C" w:rsidP="00DD2B2C" w:rsidRDefault="00DD2B2C" w14:paraId="3ECA1C95" w14:textId="77777777">
      <w:pPr>
        <w:numPr>
          <w:ilvl w:val="0"/>
          <w:numId w:val="11"/>
        </w:numPr>
        <w:jc w:val="both"/>
        <w:rPr>
          <w:rFonts w:ascii="Verdana" w:hAnsi="Verdana" w:eastAsia="Calibri" w:cs="Arial"/>
          <w:sz w:val="22"/>
          <w:szCs w:val="22"/>
          <w:lang w:eastAsia="es-ES_tradnl"/>
        </w:rPr>
      </w:pPr>
      <w:r w:rsidRPr="00DD2B2C">
        <w:rPr>
          <w:rFonts w:ascii="Verdana" w:hAnsi="Verdana" w:eastAsia="Calibri" w:cs="Arial"/>
          <w:b/>
          <w:bCs/>
          <w:sz w:val="22"/>
          <w:szCs w:val="22"/>
          <w:lang w:eastAsia="es-ES_tradnl"/>
        </w:rPr>
        <w:t>Documentos tipo para los procesos de selección de consultoría de obra pública de infraestructura de transporte – versión 2:</w:t>
      </w:r>
      <w:r w:rsidRPr="00DD2B2C">
        <w:rPr>
          <w:rFonts w:ascii="Verdana" w:hAnsi="Verdana" w:eastAsia="Calibri" w:cs="Arial"/>
          <w:sz w:val="22"/>
          <w:szCs w:val="22"/>
          <w:lang w:eastAsia="es-ES_tradnl"/>
        </w:rPr>
        <w:t> </w:t>
      </w:r>
      <w:hyperlink w:tooltip="https://www.colombiacompra.gov.co/content/02-documentos-tipo-para-los-procesos-de-seleccion-de-consultoria-de-obra-publica-de" w:history="1" r:id="rId19">
        <w:r w:rsidRPr="00DD2B2C">
          <w:rPr>
            <w:rStyle w:val="Hipervnculo"/>
            <w:rFonts w:ascii="Verdana" w:hAnsi="Verdana" w:eastAsia="Calibri"/>
            <w:sz w:val="22"/>
            <w:szCs w:val="22"/>
            <w:lang w:eastAsia="es-ES_tradnl"/>
          </w:rPr>
          <w:t>02. Documentos tipo para los procesos de selección de consultoría de obra pública de infraestructura de transporte – versión 2. | Colombia Compra Eficiente | Agencia Nacional de Contratación Pública</w:t>
        </w:r>
      </w:hyperlink>
    </w:p>
    <w:p w:rsidRPr="00DD2B2C" w:rsidR="00DD2B2C" w:rsidP="00DD2B2C" w:rsidRDefault="00DD2B2C" w14:paraId="6AB750D3" w14:textId="77777777">
      <w:pPr>
        <w:ind w:left="720"/>
        <w:jc w:val="both"/>
        <w:rPr>
          <w:rFonts w:ascii="Verdana" w:hAnsi="Verdana" w:eastAsia="Calibri" w:cs="Arial"/>
          <w:sz w:val="22"/>
          <w:szCs w:val="22"/>
          <w:lang w:eastAsia="es-ES_tradnl"/>
        </w:rPr>
      </w:pPr>
    </w:p>
    <w:p w:rsidRPr="00DD2B2C" w:rsidR="00DD2B2C" w:rsidP="00DD2B2C" w:rsidRDefault="00DD2B2C" w14:paraId="15A4A08C" w14:textId="77777777">
      <w:pPr>
        <w:ind w:firstLine="708"/>
        <w:jc w:val="both"/>
        <w:rPr>
          <w:rFonts w:ascii="Verdana" w:hAnsi="Verdana" w:eastAsia="Calibri" w:cs="Arial"/>
          <w:sz w:val="22"/>
          <w:szCs w:val="22"/>
          <w:lang w:eastAsia="es-ES_tradnl"/>
        </w:rPr>
      </w:pPr>
      <w:r w:rsidRPr="00DD2B2C">
        <w:rPr>
          <w:rFonts w:ascii="Verdana" w:hAnsi="Verdana" w:eastAsia="Calibri" w:cs="Arial"/>
          <w:sz w:val="22"/>
          <w:szCs w:val="22"/>
          <w:lang w:eastAsia="es-ES_tradnl"/>
        </w:rPr>
        <w:t xml:space="preserve">También, le contamos que ya publicamos </w:t>
      </w:r>
      <w:r w:rsidRPr="00DD2B2C">
        <w:rPr>
          <w:rFonts w:ascii="Verdana" w:hAnsi="Verdana" w:eastAsia="Calibri" w:cs="Arial"/>
          <w:b/>
          <w:bCs/>
          <w:sz w:val="22"/>
          <w:szCs w:val="22"/>
          <w:lang w:eastAsia="es-ES_tradnl"/>
        </w:rPr>
        <w:t>la nueva Guía de Contratación Pública Sostenible y Socialmente Responsable</w:t>
      </w:r>
      <w:r w:rsidRPr="00DD2B2C">
        <w:rPr>
          <w:rFonts w:ascii="Verdana" w:hAnsi="Verdana" w:eastAsia="Calibri" w:cs="Arial"/>
          <w:sz w:val="22"/>
          <w:szCs w:val="22"/>
          <w:lang w:eastAsia="es-ES_tradnl"/>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w:tooltip="https://www.colombiacompra.gov.co/manuales-guias-y-pliegos-tipo/manuales-y-guias/guia-de-contratacion-publica-sostenible-y-socialmente" w:history="1" r:id="rId20">
        <w:r w:rsidRPr="00DD2B2C">
          <w:rPr>
            <w:rStyle w:val="Hipervnculo"/>
            <w:rFonts w:ascii="Verdana" w:hAnsi="Verdana" w:eastAsia="Calibri"/>
            <w:sz w:val="22"/>
            <w:szCs w:val="22"/>
            <w:lang w:eastAsia="es-ES_tradnl"/>
          </w:rPr>
          <w:t>Guía de Contratación Pública Sostenible y Socialmente Responsable | Colombia Compra Eficiente | Agencia Nacional de Contratación Pública</w:t>
        </w:r>
      </w:hyperlink>
    </w:p>
    <w:p w:rsidRPr="00DD2B2C" w:rsidR="00DD2B2C" w:rsidP="00DD2B2C" w:rsidRDefault="00DD2B2C" w14:paraId="67AFD1EE" w14:textId="77777777">
      <w:pPr>
        <w:jc w:val="both"/>
        <w:rPr>
          <w:rFonts w:ascii="Verdana" w:hAnsi="Verdana"/>
          <w:sz w:val="22"/>
          <w:szCs w:val="22"/>
        </w:rPr>
      </w:pPr>
    </w:p>
    <w:p w:rsidRPr="00DD2B2C" w:rsidR="00DD2B2C" w:rsidP="00DD2B2C" w:rsidRDefault="00DD2B2C" w14:paraId="5F1584B4" w14:textId="77777777">
      <w:pPr>
        <w:jc w:val="both"/>
        <w:rPr>
          <w:rFonts w:ascii="Verdana" w:hAnsi="Verdana"/>
          <w:sz w:val="22"/>
          <w:szCs w:val="22"/>
        </w:rPr>
      </w:pPr>
      <w:r w:rsidRPr="00DD2B2C">
        <w:rPr>
          <w:rFonts w:ascii="Verdana" w:hAnsi="Verdana"/>
          <w:sz w:val="22"/>
          <w:szCs w:val="22"/>
        </w:rPr>
        <w:t xml:space="preserve">Por último, lo invitamos a seguirnos en las redes sociales en las cuales se difunde información institucional: </w:t>
      </w:r>
    </w:p>
    <w:p w:rsidRPr="00DD2B2C" w:rsidR="00DD2B2C" w:rsidP="00DD2B2C" w:rsidRDefault="00DD2B2C" w14:paraId="5790E726" w14:textId="77777777">
      <w:pPr>
        <w:jc w:val="both"/>
        <w:rPr>
          <w:rFonts w:ascii="Verdana" w:hAnsi="Verdana"/>
          <w:sz w:val="22"/>
          <w:szCs w:val="22"/>
        </w:rPr>
      </w:pPr>
      <w:r w:rsidRPr="00DD2B2C">
        <w:rPr>
          <w:rFonts w:ascii="Verdana" w:hAnsi="Verdana"/>
          <w:sz w:val="22"/>
          <w:szCs w:val="22"/>
        </w:rPr>
        <w:t xml:space="preserve">Twitter: </w:t>
      </w:r>
      <w:r w:rsidRPr="00DD2B2C">
        <w:rPr>
          <w:rStyle w:val="Hipervnculo"/>
          <w:rFonts w:ascii="Verdana" w:hAnsi="Verdana"/>
          <w:color w:val="4472C4" w:themeColor="accent1"/>
          <w:sz w:val="22"/>
          <w:szCs w:val="22"/>
        </w:rPr>
        <w:t>@colombiacompra</w:t>
      </w:r>
      <w:r w:rsidRPr="00DD2B2C">
        <w:rPr>
          <w:rFonts w:ascii="Verdana" w:hAnsi="Verdana"/>
          <w:color w:val="4472C4" w:themeColor="accent1"/>
          <w:sz w:val="22"/>
          <w:szCs w:val="22"/>
        </w:rPr>
        <w:t xml:space="preserve"> </w:t>
      </w:r>
    </w:p>
    <w:p w:rsidRPr="00DD2B2C" w:rsidR="00DD2B2C" w:rsidP="00DD2B2C" w:rsidRDefault="00DD2B2C" w14:paraId="6D007D03" w14:textId="77777777">
      <w:pPr>
        <w:jc w:val="both"/>
        <w:rPr>
          <w:rFonts w:ascii="Verdana" w:hAnsi="Verdana"/>
          <w:sz w:val="22"/>
          <w:szCs w:val="22"/>
        </w:rPr>
      </w:pPr>
      <w:r w:rsidRPr="00DD2B2C">
        <w:rPr>
          <w:rFonts w:ascii="Verdana" w:hAnsi="Verdana"/>
          <w:sz w:val="22"/>
          <w:szCs w:val="22"/>
        </w:rPr>
        <w:t xml:space="preserve">Facebook: </w:t>
      </w:r>
      <w:proofErr w:type="spellStart"/>
      <w:r w:rsidRPr="00DD2B2C">
        <w:rPr>
          <w:rStyle w:val="Hipervnculo"/>
          <w:rFonts w:ascii="Verdana" w:hAnsi="Verdana"/>
          <w:color w:val="4472C4" w:themeColor="accent1"/>
          <w:sz w:val="22"/>
          <w:szCs w:val="22"/>
        </w:rPr>
        <w:t>ColombiaCompraEficiente</w:t>
      </w:r>
      <w:proofErr w:type="spellEnd"/>
    </w:p>
    <w:p w:rsidRPr="00DD2B2C" w:rsidR="00DD2B2C" w:rsidP="00DD2B2C" w:rsidRDefault="00DD2B2C" w14:paraId="46C8BE9F" w14:textId="77777777">
      <w:pPr>
        <w:jc w:val="both"/>
        <w:rPr>
          <w:rFonts w:ascii="Verdana" w:hAnsi="Verdana"/>
          <w:sz w:val="22"/>
          <w:szCs w:val="22"/>
        </w:rPr>
      </w:pPr>
      <w:r w:rsidRPr="00DD2B2C">
        <w:rPr>
          <w:rFonts w:ascii="Verdana" w:hAnsi="Verdana"/>
          <w:sz w:val="22"/>
          <w:szCs w:val="22"/>
        </w:rPr>
        <w:t xml:space="preserve">LinkedIn: </w:t>
      </w:r>
      <w:r w:rsidRPr="00DD2B2C">
        <w:rPr>
          <w:rStyle w:val="Hipervnculo"/>
          <w:rFonts w:ascii="Verdana" w:hAnsi="Verdana"/>
          <w:color w:val="4472C4" w:themeColor="accent1"/>
          <w:sz w:val="22"/>
          <w:szCs w:val="22"/>
        </w:rPr>
        <w:t>Agencia Nacional de Contratación Pública - Colombia Compra Eficiente</w:t>
      </w:r>
      <w:r w:rsidRPr="00DD2B2C">
        <w:rPr>
          <w:rFonts w:ascii="Verdana" w:hAnsi="Verdana"/>
          <w:color w:val="4472C4" w:themeColor="accent1"/>
          <w:sz w:val="22"/>
          <w:szCs w:val="22"/>
        </w:rPr>
        <w:t xml:space="preserve"> </w:t>
      </w:r>
      <w:r w:rsidRPr="00DD2B2C">
        <w:rPr>
          <w:rFonts w:ascii="Verdana" w:hAnsi="Verdana"/>
          <w:sz w:val="22"/>
          <w:szCs w:val="22"/>
        </w:rPr>
        <w:t xml:space="preserve">Instagram: </w:t>
      </w:r>
      <w:r w:rsidRPr="00DD2B2C">
        <w:rPr>
          <w:rStyle w:val="Hipervnculo"/>
          <w:rFonts w:ascii="Verdana" w:hAnsi="Verdana"/>
          <w:color w:val="4472C4" w:themeColor="accent1"/>
          <w:sz w:val="22"/>
          <w:szCs w:val="22"/>
        </w:rPr>
        <w:t>@colombiacompraeficiente_cce</w:t>
      </w:r>
    </w:p>
    <w:p w:rsidRPr="00DD2B2C" w:rsidR="00DD2B2C" w:rsidP="00DD2B2C" w:rsidRDefault="00DD2B2C" w14:paraId="1E45AE35" w14:textId="77777777">
      <w:pPr>
        <w:widowControl w:val="0"/>
        <w:autoSpaceDE w:val="0"/>
        <w:autoSpaceDN w:val="0"/>
        <w:spacing w:line="276" w:lineRule="auto"/>
        <w:jc w:val="both"/>
        <w:rPr>
          <w:rFonts w:ascii="Verdana" w:hAnsi="Verdana"/>
          <w:sz w:val="22"/>
          <w:szCs w:val="22"/>
        </w:rPr>
      </w:pPr>
    </w:p>
    <w:p w:rsidRPr="00DD2B2C" w:rsidR="00DD2B2C" w:rsidP="00DD2B2C" w:rsidRDefault="00DD2B2C" w14:paraId="7238F5ED" w14:textId="77777777">
      <w:pPr>
        <w:widowControl w:val="0"/>
        <w:autoSpaceDE w:val="0"/>
        <w:autoSpaceDN w:val="0"/>
        <w:spacing w:line="276" w:lineRule="auto"/>
        <w:jc w:val="both"/>
        <w:rPr>
          <w:rFonts w:ascii="Verdana" w:hAnsi="Verdana" w:cs="Arial"/>
          <w:sz w:val="22"/>
          <w:szCs w:val="22"/>
        </w:rPr>
      </w:pPr>
      <w:r w:rsidRPr="00DD2B2C">
        <w:rPr>
          <w:rFonts w:ascii="Verdana" w:hAnsi="Verdana" w:cs="Arial"/>
          <w:sz w:val="22"/>
          <w:szCs w:val="22"/>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DD2B2C" w:rsidR="00DD2B2C" w:rsidP="00DD2B2C" w:rsidRDefault="00DD2B2C" w14:paraId="0E3F7AAA" w14:textId="77777777">
      <w:pPr>
        <w:spacing w:line="276" w:lineRule="auto"/>
        <w:ind w:firstLine="709"/>
        <w:jc w:val="both"/>
        <w:rPr>
          <w:rFonts w:ascii="Verdana" w:hAnsi="Verdana" w:cs="Arial"/>
          <w:sz w:val="22"/>
          <w:szCs w:val="22"/>
          <w:lang w:eastAsia="es-ES_tradnl"/>
        </w:rPr>
      </w:pPr>
    </w:p>
    <w:p w:rsidRPr="00DD2B2C" w:rsidR="00DD2B2C" w:rsidP="00DD2B2C" w:rsidRDefault="00DD2B2C" w14:paraId="34517F16" w14:textId="77777777">
      <w:pPr>
        <w:spacing w:line="276" w:lineRule="auto"/>
        <w:jc w:val="both"/>
        <w:rPr>
          <w:rFonts w:ascii="Verdana" w:hAnsi="Verdana" w:cs="Arial"/>
          <w:sz w:val="22"/>
          <w:szCs w:val="22"/>
          <w:lang w:eastAsia="es-CO"/>
        </w:rPr>
      </w:pPr>
      <w:bookmarkStart w:name="_Hlk117695077" w:id="2"/>
      <w:r w:rsidRPr="3A31F928" w:rsidR="00DD2B2C">
        <w:rPr>
          <w:rFonts w:ascii="Verdana" w:hAnsi="Verdana" w:cs="Arial"/>
          <w:sz w:val="22"/>
          <w:szCs w:val="22"/>
          <w:lang w:eastAsia="es-CO"/>
        </w:rPr>
        <w:t>Atentamente,</w:t>
      </w:r>
    </w:p>
    <w:bookmarkEnd w:id="2"/>
    <w:p w:rsidRPr="00DD2B2C" w:rsidR="00DD2B2C" w:rsidP="00DD2B2C" w:rsidRDefault="00B16D44" w14:paraId="51F7EB33" w14:textId="43E854E0">
      <w:pPr>
        <w:spacing w:line="276" w:lineRule="auto"/>
        <w:jc w:val="center"/>
        <w:rPr>
          <w:rFonts w:ascii="Verdana" w:hAnsi="Verdana" w:cs="Arial"/>
          <w:color w:val="000000"/>
          <w:sz w:val="22"/>
          <w:szCs w:val="22"/>
          <w:lang w:val="es-ES_tradnl" w:eastAsia="es-CO"/>
        </w:rPr>
      </w:pPr>
      <w:r>
        <w:rPr>
          <w:rFonts w:cs="Arial"/>
          <w:noProof/>
          <w:color w:val="000000"/>
          <w:lang w:val="es-ES_tradnl"/>
        </w:rPr>
        <w:drawing>
          <wp:inline distT="0" distB="0" distL="0" distR="0" wp14:anchorId="430CE433" wp14:editId="609B55A9">
            <wp:extent cx="3768725" cy="1399540"/>
            <wp:effectExtent l="0" t="0" r="3175" b="0"/>
            <wp:docPr id="2005225357" name="Imagen 2005225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p w:rsidRPr="00DD2B2C" w:rsidR="00871B59" w:rsidP="00871B59" w:rsidRDefault="00871B59" w14:paraId="3478A6C2" w14:textId="77777777">
      <w:pPr>
        <w:widowControl w:val="0"/>
        <w:autoSpaceDE w:val="0"/>
        <w:autoSpaceDN w:val="0"/>
        <w:spacing w:line="276" w:lineRule="auto"/>
        <w:jc w:val="both"/>
        <w:rPr>
          <w:rStyle w:val="normaltextrun"/>
          <w:rFonts w:ascii="Verdana" w:hAnsi="Verdana" w:cs="Arial"/>
          <w:color w:val="FF0000"/>
          <w:sz w:val="22"/>
          <w:szCs w:val="22"/>
          <w:shd w:val="clear" w:color="auto" w:fill="FFFFFF"/>
          <w:lang w:val="es-ES"/>
        </w:rPr>
      </w:pPr>
    </w:p>
    <w:tbl>
      <w:tblPr>
        <w:tblStyle w:val="TableNormal"/>
        <w:tblW w:w="0" w:type="auto"/>
        <w:tblInd w:w="328" w:type="dxa"/>
        <w:tblLayout w:type="fixed"/>
        <w:tblLook w:val="01E0" w:firstRow="1" w:lastRow="1" w:firstColumn="1" w:lastColumn="1" w:noHBand="0" w:noVBand="0"/>
      </w:tblPr>
      <w:tblGrid>
        <w:gridCol w:w="915"/>
        <w:gridCol w:w="5548"/>
      </w:tblGrid>
      <w:tr w:rsidR="00B16D44" w:rsidTr="00234BFD" w14:paraId="3949F105" w14:textId="77777777">
        <w:trPr>
          <w:trHeight w:val="435"/>
        </w:trPr>
        <w:tc>
          <w:tcPr>
            <w:tcW w:w="915" w:type="dxa"/>
          </w:tcPr>
          <w:p w:rsidR="00B16D44" w:rsidP="00234BFD" w:rsidRDefault="00B16D44" w14:paraId="4AC163CF" w14:textId="77777777">
            <w:pPr>
              <w:pStyle w:val="TableParagraph"/>
              <w:spacing w:before="110"/>
              <w:ind w:right="53"/>
              <w:jc w:val="center"/>
              <w:rPr>
                <w:sz w:val="18"/>
              </w:rPr>
            </w:pPr>
            <w:r>
              <w:rPr>
                <w:spacing w:val="-2"/>
                <w:sz w:val="18"/>
              </w:rPr>
              <w:t>Elaboró:</w:t>
            </w:r>
          </w:p>
        </w:tc>
        <w:tc>
          <w:tcPr>
            <w:tcW w:w="5548" w:type="dxa"/>
            <w:tcBorders>
              <w:bottom w:val="dotted" w:color="919191" w:sz="4" w:space="0"/>
            </w:tcBorders>
          </w:tcPr>
          <w:p w:rsidR="00B16D44" w:rsidP="00234BFD" w:rsidRDefault="00B16D44" w14:paraId="781EEBC4" w14:textId="77777777">
            <w:pPr>
              <w:pStyle w:val="TableParagraph"/>
              <w:spacing w:line="217" w:lineRule="exact"/>
              <w:ind w:left="110"/>
              <w:rPr>
                <w:sz w:val="18"/>
              </w:rPr>
            </w:pPr>
            <w:r>
              <w:rPr>
                <w:sz w:val="18"/>
              </w:rPr>
              <w:t>Andrea</w:t>
            </w:r>
            <w:r>
              <w:rPr>
                <w:spacing w:val="-4"/>
                <w:sz w:val="18"/>
              </w:rPr>
              <w:t xml:space="preserve"> </w:t>
            </w:r>
            <w:r>
              <w:rPr>
                <w:sz w:val="18"/>
              </w:rPr>
              <w:t>del</w:t>
            </w:r>
            <w:r>
              <w:rPr>
                <w:spacing w:val="-4"/>
                <w:sz w:val="18"/>
              </w:rPr>
              <w:t xml:space="preserve"> </w:t>
            </w:r>
            <w:r>
              <w:rPr>
                <w:sz w:val="18"/>
              </w:rPr>
              <w:t>Pilar</w:t>
            </w:r>
            <w:r>
              <w:rPr>
                <w:spacing w:val="-6"/>
                <w:sz w:val="18"/>
              </w:rPr>
              <w:t xml:space="preserve"> </w:t>
            </w:r>
            <w:r>
              <w:rPr>
                <w:sz w:val="18"/>
              </w:rPr>
              <w:t>Garzón</w:t>
            </w:r>
            <w:r>
              <w:rPr>
                <w:spacing w:val="-9"/>
                <w:sz w:val="18"/>
              </w:rPr>
              <w:t xml:space="preserve"> </w:t>
            </w:r>
            <w:r>
              <w:rPr>
                <w:spacing w:val="-2"/>
                <w:sz w:val="18"/>
              </w:rPr>
              <w:t>Sánchez</w:t>
            </w:r>
          </w:p>
          <w:p w:rsidR="00B16D44" w:rsidP="00234BFD" w:rsidRDefault="00B16D44" w14:paraId="5547A9CD" w14:textId="77777777">
            <w:pPr>
              <w:pStyle w:val="TableParagraph"/>
              <w:spacing w:line="199" w:lineRule="exact"/>
              <w:ind w:left="110"/>
              <w:rPr>
                <w:sz w:val="18"/>
              </w:rPr>
            </w:pPr>
            <w:r>
              <w:rPr>
                <w:sz w:val="18"/>
              </w:rPr>
              <w:t>Contratista</w:t>
            </w:r>
            <w:r>
              <w:rPr>
                <w:spacing w:val="-6"/>
                <w:sz w:val="18"/>
              </w:rPr>
              <w:t xml:space="preserve"> </w:t>
            </w:r>
            <w:r>
              <w:rPr>
                <w:sz w:val="18"/>
              </w:rPr>
              <w:t>de</w:t>
            </w:r>
            <w:r>
              <w:rPr>
                <w:spacing w:val="-9"/>
                <w:sz w:val="18"/>
              </w:rPr>
              <w:t xml:space="preserve"> </w:t>
            </w:r>
            <w:r>
              <w:rPr>
                <w:sz w:val="18"/>
              </w:rPr>
              <w:t>la</w:t>
            </w:r>
            <w:r>
              <w:rPr>
                <w:spacing w:val="-5"/>
                <w:sz w:val="18"/>
              </w:rPr>
              <w:t xml:space="preserve"> </w:t>
            </w:r>
            <w:r>
              <w:rPr>
                <w:sz w:val="18"/>
              </w:rPr>
              <w:t>Subdirección</w:t>
            </w:r>
            <w:r>
              <w:rPr>
                <w:spacing w:val="-6"/>
                <w:sz w:val="18"/>
              </w:rPr>
              <w:t xml:space="preserve"> </w:t>
            </w:r>
            <w:r>
              <w:rPr>
                <w:sz w:val="18"/>
              </w:rPr>
              <w:t>de</w:t>
            </w:r>
            <w:r>
              <w:rPr>
                <w:spacing w:val="-9"/>
                <w:sz w:val="18"/>
              </w:rPr>
              <w:t xml:space="preserve"> </w:t>
            </w:r>
            <w:r>
              <w:rPr>
                <w:sz w:val="18"/>
              </w:rPr>
              <w:t>Gestión</w:t>
            </w:r>
            <w:r>
              <w:rPr>
                <w:spacing w:val="-5"/>
                <w:sz w:val="18"/>
              </w:rPr>
              <w:t xml:space="preserve"> </w:t>
            </w:r>
            <w:r>
              <w:rPr>
                <w:spacing w:val="-2"/>
                <w:sz w:val="18"/>
              </w:rPr>
              <w:t>Contractual</w:t>
            </w:r>
          </w:p>
        </w:tc>
      </w:tr>
      <w:tr w:rsidR="00B16D44" w:rsidTr="00234BFD" w14:paraId="0D71BC05" w14:textId="77777777">
        <w:trPr>
          <w:trHeight w:val="440"/>
        </w:trPr>
        <w:tc>
          <w:tcPr>
            <w:tcW w:w="915" w:type="dxa"/>
          </w:tcPr>
          <w:p w:rsidR="00B16D44" w:rsidP="00234BFD" w:rsidRDefault="00B16D44" w14:paraId="64B01499" w14:textId="77777777">
            <w:pPr>
              <w:pStyle w:val="TableParagraph"/>
              <w:spacing w:before="109"/>
              <w:ind w:right="142"/>
              <w:jc w:val="center"/>
              <w:rPr>
                <w:sz w:val="18"/>
              </w:rPr>
            </w:pPr>
            <w:r>
              <w:rPr>
                <w:spacing w:val="-2"/>
                <w:sz w:val="18"/>
              </w:rPr>
              <w:t>Revisó:</w:t>
            </w:r>
          </w:p>
        </w:tc>
        <w:tc>
          <w:tcPr>
            <w:tcW w:w="5548" w:type="dxa"/>
            <w:tcBorders>
              <w:top w:val="dotted" w:color="919191" w:sz="4" w:space="0"/>
              <w:bottom w:val="dotted" w:color="919191" w:sz="4" w:space="0"/>
            </w:tcBorders>
          </w:tcPr>
          <w:p w:rsidR="00B16D44" w:rsidP="00234BFD" w:rsidRDefault="00B16D44" w14:paraId="52130BDF" w14:textId="77777777">
            <w:pPr>
              <w:pStyle w:val="TableParagraph"/>
              <w:spacing w:line="218" w:lineRule="exact"/>
              <w:ind w:left="110"/>
              <w:rPr>
                <w:sz w:val="18"/>
              </w:rPr>
            </w:pPr>
            <w:r>
              <w:rPr>
                <w:sz w:val="18"/>
              </w:rPr>
              <w:t>Juan</w:t>
            </w:r>
            <w:r>
              <w:rPr>
                <w:spacing w:val="-5"/>
                <w:sz w:val="18"/>
              </w:rPr>
              <w:t xml:space="preserve"> </w:t>
            </w:r>
            <w:r>
              <w:rPr>
                <w:sz w:val="18"/>
              </w:rPr>
              <w:t>Carlos</w:t>
            </w:r>
            <w:r>
              <w:rPr>
                <w:spacing w:val="-9"/>
                <w:sz w:val="18"/>
              </w:rPr>
              <w:t xml:space="preserve"> </w:t>
            </w:r>
            <w:r>
              <w:rPr>
                <w:sz w:val="18"/>
              </w:rPr>
              <w:t>Gonzáles</w:t>
            </w:r>
            <w:r>
              <w:rPr>
                <w:spacing w:val="-4"/>
                <w:sz w:val="18"/>
              </w:rPr>
              <w:t xml:space="preserve"> </w:t>
            </w:r>
            <w:r>
              <w:rPr>
                <w:spacing w:val="-2"/>
                <w:sz w:val="18"/>
              </w:rPr>
              <w:t>Vásquez</w:t>
            </w:r>
          </w:p>
          <w:p w:rsidR="00B16D44" w:rsidP="00234BFD" w:rsidRDefault="00B16D44" w14:paraId="3FBB3F21" w14:textId="77777777">
            <w:pPr>
              <w:pStyle w:val="TableParagraph"/>
              <w:spacing w:before="1" w:line="201" w:lineRule="exact"/>
              <w:ind w:left="110"/>
              <w:rPr>
                <w:sz w:val="18"/>
              </w:rPr>
            </w:pPr>
            <w:r>
              <w:rPr>
                <w:sz w:val="18"/>
              </w:rPr>
              <w:t>Contratista</w:t>
            </w:r>
            <w:r>
              <w:rPr>
                <w:spacing w:val="-6"/>
                <w:sz w:val="18"/>
              </w:rPr>
              <w:t xml:space="preserve"> </w:t>
            </w:r>
            <w:r>
              <w:rPr>
                <w:sz w:val="18"/>
              </w:rPr>
              <w:t>de</w:t>
            </w:r>
            <w:r>
              <w:rPr>
                <w:spacing w:val="-9"/>
                <w:sz w:val="18"/>
              </w:rPr>
              <w:t xml:space="preserve"> </w:t>
            </w:r>
            <w:r>
              <w:rPr>
                <w:sz w:val="18"/>
              </w:rPr>
              <w:t>la</w:t>
            </w:r>
            <w:r>
              <w:rPr>
                <w:spacing w:val="-5"/>
                <w:sz w:val="18"/>
              </w:rPr>
              <w:t xml:space="preserve"> </w:t>
            </w:r>
            <w:r>
              <w:rPr>
                <w:sz w:val="18"/>
              </w:rPr>
              <w:t>Subdirección</w:t>
            </w:r>
            <w:r>
              <w:rPr>
                <w:spacing w:val="-6"/>
                <w:sz w:val="18"/>
              </w:rPr>
              <w:t xml:space="preserve"> </w:t>
            </w:r>
            <w:r>
              <w:rPr>
                <w:sz w:val="18"/>
              </w:rPr>
              <w:t>de</w:t>
            </w:r>
            <w:r>
              <w:rPr>
                <w:spacing w:val="-9"/>
                <w:sz w:val="18"/>
              </w:rPr>
              <w:t xml:space="preserve"> </w:t>
            </w:r>
            <w:r>
              <w:rPr>
                <w:sz w:val="18"/>
              </w:rPr>
              <w:t>Gestión</w:t>
            </w:r>
            <w:r>
              <w:rPr>
                <w:spacing w:val="-5"/>
                <w:sz w:val="18"/>
              </w:rPr>
              <w:t xml:space="preserve"> </w:t>
            </w:r>
            <w:r>
              <w:rPr>
                <w:spacing w:val="-2"/>
                <w:sz w:val="18"/>
              </w:rPr>
              <w:t>Contractual</w:t>
            </w:r>
          </w:p>
        </w:tc>
      </w:tr>
      <w:tr w:rsidR="00B16D44" w:rsidTr="00234BFD" w14:paraId="0A8F66B9" w14:textId="77777777">
        <w:trPr>
          <w:trHeight w:val="432"/>
        </w:trPr>
        <w:tc>
          <w:tcPr>
            <w:tcW w:w="915" w:type="dxa"/>
          </w:tcPr>
          <w:p w:rsidR="00B16D44" w:rsidP="00234BFD" w:rsidRDefault="00B16D44" w14:paraId="5F46B5ED" w14:textId="77777777">
            <w:pPr>
              <w:pStyle w:val="TableParagraph"/>
              <w:spacing w:before="109"/>
              <w:ind w:right="93"/>
              <w:jc w:val="center"/>
              <w:rPr>
                <w:sz w:val="18"/>
              </w:rPr>
            </w:pPr>
            <w:r>
              <w:rPr>
                <w:spacing w:val="-2"/>
                <w:sz w:val="18"/>
              </w:rPr>
              <w:t>Aprobó:</w:t>
            </w:r>
          </w:p>
        </w:tc>
        <w:tc>
          <w:tcPr>
            <w:tcW w:w="5548" w:type="dxa"/>
            <w:tcBorders>
              <w:top w:val="dotted" w:color="919191" w:sz="4" w:space="0"/>
            </w:tcBorders>
          </w:tcPr>
          <w:p w:rsidR="00B16D44" w:rsidP="00234BFD" w:rsidRDefault="00B16D44" w14:paraId="36BE2216" w14:textId="77777777">
            <w:pPr>
              <w:pStyle w:val="TableParagraph"/>
              <w:spacing w:line="216" w:lineRule="exact"/>
              <w:ind w:left="110"/>
              <w:rPr>
                <w:sz w:val="18"/>
              </w:rPr>
            </w:pPr>
            <w:r>
              <w:rPr>
                <w:sz w:val="18"/>
              </w:rPr>
              <w:t>Carolina</w:t>
            </w:r>
            <w:r>
              <w:rPr>
                <w:spacing w:val="-6"/>
                <w:sz w:val="18"/>
              </w:rPr>
              <w:t xml:space="preserve"> </w:t>
            </w:r>
            <w:r>
              <w:rPr>
                <w:sz w:val="18"/>
              </w:rPr>
              <w:t>Quintero</w:t>
            </w:r>
            <w:r>
              <w:rPr>
                <w:spacing w:val="-6"/>
                <w:sz w:val="18"/>
              </w:rPr>
              <w:t xml:space="preserve"> </w:t>
            </w:r>
            <w:proofErr w:type="spellStart"/>
            <w:r>
              <w:rPr>
                <w:spacing w:val="-2"/>
                <w:sz w:val="18"/>
              </w:rPr>
              <w:t>Gacharná</w:t>
            </w:r>
            <w:proofErr w:type="spellEnd"/>
          </w:p>
          <w:p w:rsidR="00B16D44" w:rsidP="00234BFD" w:rsidRDefault="00B16D44" w14:paraId="372E696E" w14:textId="77777777">
            <w:pPr>
              <w:pStyle w:val="TableParagraph"/>
              <w:tabs>
                <w:tab w:val="left" w:pos="5547"/>
              </w:tabs>
              <w:spacing w:line="197" w:lineRule="exact"/>
              <w:ind w:left="-15"/>
              <w:rPr>
                <w:sz w:val="18"/>
              </w:rPr>
            </w:pPr>
            <w:r>
              <w:rPr>
                <w:spacing w:val="68"/>
                <w:sz w:val="18"/>
                <w:u w:val="dotted" w:color="919191"/>
              </w:rPr>
              <w:t xml:space="preserve"> </w:t>
            </w:r>
            <w:r>
              <w:rPr>
                <w:sz w:val="18"/>
                <w:u w:val="dotted" w:color="919191"/>
              </w:rPr>
              <w:t>Subdirectora</w:t>
            </w:r>
            <w:r>
              <w:rPr>
                <w:spacing w:val="2"/>
                <w:sz w:val="18"/>
                <w:u w:val="dotted" w:color="919191"/>
              </w:rPr>
              <w:t xml:space="preserve"> </w:t>
            </w:r>
            <w:r>
              <w:rPr>
                <w:sz w:val="18"/>
                <w:u w:val="dotted" w:color="919191"/>
              </w:rPr>
              <w:t>de</w:t>
            </w:r>
            <w:r>
              <w:rPr>
                <w:spacing w:val="-6"/>
                <w:sz w:val="18"/>
                <w:u w:val="dotted" w:color="919191"/>
              </w:rPr>
              <w:t xml:space="preserve"> </w:t>
            </w:r>
            <w:r>
              <w:rPr>
                <w:sz w:val="18"/>
                <w:u w:val="dotted" w:color="919191"/>
              </w:rPr>
              <w:t>Gestión</w:t>
            </w:r>
            <w:r>
              <w:rPr>
                <w:spacing w:val="-3"/>
                <w:sz w:val="18"/>
                <w:u w:val="dotted" w:color="919191"/>
              </w:rPr>
              <w:t xml:space="preserve"> </w:t>
            </w:r>
            <w:r>
              <w:rPr>
                <w:sz w:val="18"/>
                <w:u w:val="dotted" w:color="919191"/>
              </w:rPr>
              <w:t>Contractual</w:t>
            </w:r>
            <w:r>
              <w:rPr>
                <w:spacing w:val="-3"/>
                <w:sz w:val="18"/>
                <w:u w:val="dotted" w:color="919191"/>
              </w:rPr>
              <w:t xml:space="preserve"> </w:t>
            </w:r>
            <w:r>
              <w:rPr>
                <w:sz w:val="18"/>
                <w:u w:val="dotted" w:color="919191"/>
              </w:rPr>
              <w:t>ANCP</w:t>
            </w:r>
            <w:r>
              <w:rPr>
                <w:spacing w:val="1"/>
                <w:sz w:val="18"/>
                <w:u w:val="dotted" w:color="919191"/>
              </w:rPr>
              <w:t xml:space="preserve"> </w:t>
            </w:r>
            <w:r>
              <w:rPr>
                <w:sz w:val="18"/>
                <w:u w:val="dotted" w:color="919191"/>
              </w:rPr>
              <w:t>–</w:t>
            </w:r>
            <w:r>
              <w:rPr>
                <w:spacing w:val="-3"/>
                <w:sz w:val="18"/>
                <w:u w:val="dotted" w:color="919191"/>
              </w:rPr>
              <w:t xml:space="preserve"> </w:t>
            </w:r>
            <w:r>
              <w:rPr>
                <w:spacing w:val="-5"/>
                <w:sz w:val="18"/>
                <w:u w:val="dotted" w:color="919191"/>
              </w:rPr>
              <w:t>CCE</w:t>
            </w:r>
            <w:r>
              <w:rPr>
                <w:sz w:val="18"/>
                <w:u w:val="dotted" w:color="919191"/>
              </w:rPr>
              <w:tab/>
            </w:r>
          </w:p>
        </w:tc>
      </w:tr>
    </w:tbl>
    <w:p w:rsidRPr="00DD2B2C" w:rsidR="5D8505AD" w:rsidP="00871B59" w:rsidRDefault="5D8505AD" w14:paraId="228D0A03" w14:textId="77777777">
      <w:pPr>
        <w:rPr>
          <w:rFonts w:ascii="Verdana" w:hAnsi="Verdana"/>
          <w:sz w:val="22"/>
          <w:szCs w:val="22"/>
        </w:rPr>
      </w:pPr>
    </w:p>
    <w:sectPr w:rsidRPr="00DD2B2C" w:rsidR="5D8505AD" w:rsidSect="00E45F4B">
      <w:headerReference w:type="default" r:id="rId22"/>
      <w:footerReference w:type="default" r:id="rId23"/>
      <w:pgSz w:w="12240" w:h="15840" w:orient="portrait"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56F85" w:rsidP="00B30448" w:rsidRDefault="00D56F85" w14:paraId="4B989668" w14:textId="77777777">
      <w:r>
        <w:separator/>
      </w:r>
    </w:p>
  </w:endnote>
  <w:endnote w:type="continuationSeparator" w:id="0">
    <w:p w:rsidR="00D56F85" w:rsidP="00B30448" w:rsidRDefault="00D56F85" w14:paraId="1AC9240E" w14:textId="77777777">
      <w:r>
        <w:continuationSeparator/>
      </w:r>
    </w:p>
  </w:endnote>
  <w:endnote w:type="continuationNotice" w:id="1">
    <w:p w:rsidR="00D56F85" w:rsidRDefault="00D56F85" w14:paraId="05B9011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1"/>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Geomanist Bold">
    <w:altName w:val="Calibri"/>
    <w:panose1 w:val="020B06040202020202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849D5" w:rsidP="000849D5" w:rsidRDefault="000849D5" w14:paraId="5DB84361" w14:textId="77777777">
    <w:pPr>
      <w:rPr>
        <w:rFonts w:ascii="Verdana" w:hAnsi="Verdana"/>
        <w:b/>
        <w:bCs/>
        <w:sz w:val="20"/>
        <w:szCs w:val="20"/>
      </w:rPr>
    </w:pPr>
  </w:p>
  <w:p w:rsidRPr="00174B77" w:rsidR="000849D5" w:rsidP="000849D5" w:rsidRDefault="000849D5" w14:paraId="00FDC0AD" w14:textId="77777777">
    <w:pPr>
      <w:pBdr>
        <w:top w:val="single" w:color="auto" w:sz="4" w:space="1"/>
      </w:pBdr>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cstheme="minorBidi"/>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cstheme="minorBidi"/>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0849D5" w:rsidP="000849D5" w:rsidRDefault="000849D5" w14:paraId="21D5578F" w14:textId="77777777">
    <w:pPr>
      <w:jc w:val="both"/>
      <w:rPr>
        <w:rFonts w:ascii="Verdana" w:hAnsi="Verdana"/>
        <w:sz w:val="18"/>
        <w:szCs w:val="18"/>
      </w:rPr>
    </w:pPr>
    <w:r w:rsidRPr="00E41027">
      <w:rPr>
        <w:rFonts w:ascii="Verdana" w:hAnsi="Verdana"/>
        <w:sz w:val="18"/>
        <w:szCs w:val="18"/>
      </w:rPr>
      <w:t>Dirección: Carrera 7 # 26 – 20 - Bogotá, Colombia</w:t>
    </w:r>
  </w:p>
  <w:p w:rsidRPr="00E41027" w:rsidR="000849D5" w:rsidP="000849D5" w:rsidRDefault="000849D5" w14:paraId="108CD0F6" w14:textId="77777777">
    <w:pPr>
      <w:jc w:val="both"/>
      <w:rPr>
        <w:rFonts w:ascii="Verdana" w:hAnsi="Verdana"/>
        <w:sz w:val="18"/>
        <w:szCs w:val="18"/>
      </w:rPr>
    </w:pPr>
    <w:r w:rsidRPr="00E41027">
      <w:rPr>
        <w:rFonts w:ascii="Verdana" w:hAnsi="Verdana"/>
        <w:sz w:val="18"/>
        <w:szCs w:val="18"/>
      </w:rPr>
      <w:t>Mesa de servicio: (+57) 601 7456788</w:t>
    </w:r>
  </w:p>
  <w:p w:rsidR="000849D5" w:rsidP="000849D5" w:rsidRDefault="000849D5" w14:paraId="05391B57" w14:textId="77777777">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rsidRPr="007D04B2" w:rsidR="000849D5" w:rsidP="000849D5" w:rsidRDefault="000849D5" w14:paraId="7ADA89A5" w14:textId="77777777">
    <w:pPr>
      <w:pStyle w:val="Piedepgina"/>
    </w:pPr>
  </w:p>
  <w:p w:rsidRPr="000849D5" w:rsidR="00B30448" w:rsidP="000849D5" w:rsidRDefault="00B30448" w14:paraId="2CDF6781"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56F85" w:rsidP="00B30448" w:rsidRDefault="00D56F85" w14:paraId="23E2B1D9" w14:textId="77777777">
      <w:r>
        <w:separator/>
      </w:r>
    </w:p>
  </w:footnote>
  <w:footnote w:type="continuationSeparator" w:id="0">
    <w:p w:rsidR="00D56F85" w:rsidP="00B30448" w:rsidRDefault="00D56F85" w14:paraId="4E2603D4" w14:textId="77777777">
      <w:r>
        <w:continuationSeparator/>
      </w:r>
    </w:p>
  </w:footnote>
  <w:footnote w:type="continuationNotice" w:id="1">
    <w:p w:rsidR="00D56F85" w:rsidRDefault="00D56F85" w14:paraId="45DD4217" w14:textId="77777777"/>
  </w:footnote>
  <w:footnote w:id="2">
    <w:p w:rsidRPr="004842CE" w:rsidR="00A21EDC" w:rsidP="00A21EDC" w:rsidRDefault="00A21EDC" w14:paraId="72B968A6" w14:textId="77777777">
      <w:pPr>
        <w:pStyle w:val="Textonotapie"/>
      </w:pPr>
      <w:r>
        <w:rPr>
          <w:rStyle w:val="Refdenotaalpie"/>
        </w:rPr>
        <w:footnoteRef/>
      </w:r>
      <w:hyperlink w:history="1" r:id="rId1">
        <w:r w:rsidRPr="004A0A1A">
          <w:rPr>
            <w:rStyle w:val="Hipervnculo"/>
          </w:rPr>
          <w:t>https://operaciones.colombiacompra.gov.co/sites/cce_public/files/cce_documents/cce_guia_para_el_ejercicio_de_las_funciones_de_supervision_e_interventoria_de_los_contratos_del_estado.pdf</w:t>
        </w:r>
      </w:hyperlink>
      <w:r>
        <w:t xml:space="preserve"> </w:t>
      </w:r>
    </w:p>
  </w:footnote>
  <w:footnote w:id="3">
    <w:p w:rsidRPr="00DD2B2C" w:rsidR="00BC6CC3" w:rsidP="00DD2B2C" w:rsidRDefault="00BC6CC3" w14:paraId="68D6A646" w14:textId="46A0495E">
      <w:pPr>
        <w:pStyle w:val="Textonotapie"/>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 17 de la Ley 1150 de 2007</w:t>
      </w:r>
    </w:p>
  </w:footnote>
  <w:footnote w:id="4">
    <w:p w:rsidRPr="00DD2B2C" w:rsidR="00BC6CC3" w:rsidP="00DD2B2C" w:rsidRDefault="00BC6CC3" w14:paraId="0FBF9524" w14:textId="5DB6BDE8">
      <w:pPr>
        <w:pStyle w:val="Textonotapie"/>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 21 de la Ley 1150 de 2007</w:t>
      </w:r>
    </w:p>
  </w:footnote>
  <w:footnote w:id="5">
    <w:p w:rsidRPr="00DD2B2C" w:rsidR="00BC6CC3" w:rsidP="00DD2B2C" w:rsidRDefault="00BC6CC3" w14:paraId="1D130755" w14:textId="0792F2BE">
      <w:pPr>
        <w:pStyle w:val="Textonotapie"/>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Artículos 83 a 86 de la Ley 1474 de 2011</w:t>
      </w:r>
    </w:p>
  </w:footnote>
  <w:footnote w:id="6">
    <w:p w:rsidRPr="00916DF1" w:rsidR="00BC6CC3" w:rsidP="00DD2B2C" w:rsidRDefault="00BC6CC3" w14:paraId="7E0D1474" w14:textId="77777777">
      <w:pPr>
        <w:pStyle w:val="Textonotapie"/>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Consejo de Estado. Sección 3ª. Sentencia del 27 de noviembre de 2017. M.P. Jaime Orlando</w:t>
      </w:r>
    </w:p>
    <w:p w:rsidRPr="00916DF1" w:rsidR="00BC6CC3" w:rsidP="00BC6CC3" w:rsidRDefault="00BC6CC3" w14:paraId="56D69868" w14:textId="77777777">
      <w:pPr>
        <w:pStyle w:val="Textonotapie"/>
        <w:jc w:val="both"/>
        <w:rPr>
          <w:rFonts w:ascii="Verdana" w:hAnsi="Verdana"/>
          <w:sz w:val="16"/>
          <w:szCs w:val="16"/>
        </w:rPr>
      </w:pPr>
      <w:r w:rsidRPr="00916DF1">
        <w:rPr>
          <w:rFonts w:ascii="Verdana" w:hAnsi="Verdana"/>
          <w:sz w:val="16"/>
          <w:szCs w:val="16"/>
        </w:rPr>
        <w:t>Santofimio. Exp. 51.802</w:t>
      </w:r>
    </w:p>
    <w:p w:rsidRPr="00916DF1" w:rsidR="00BC6CC3" w:rsidP="00BC6CC3" w:rsidRDefault="00BC6CC3" w14:paraId="01A1A7C6" w14:textId="77777777">
      <w:pPr>
        <w:pStyle w:val="Textonotapie"/>
        <w:jc w:val="both"/>
        <w:rPr>
          <w:rFonts w:ascii="Verdana" w:hAnsi="Verdana"/>
          <w:sz w:val="16"/>
          <w:szCs w:val="16"/>
          <w:lang w:val="es-CO"/>
        </w:rPr>
      </w:pPr>
    </w:p>
  </w:footnote>
  <w:footnote w:id="7">
    <w:p w:rsidRPr="00DD2B2C" w:rsidR="00BC6CC3" w:rsidP="00DD2B2C" w:rsidRDefault="00BC6CC3" w14:paraId="7DAF5F7E" w14:textId="0E2B7E0F">
      <w:pPr>
        <w:pStyle w:val="Textonotapie"/>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 83 de la Ley 1474 de 2011</w:t>
      </w:r>
    </w:p>
  </w:footnote>
  <w:footnote w:id="8">
    <w:p w:rsidRPr="00916DF1" w:rsidR="00BC6CC3" w:rsidP="00DD2B2C" w:rsidRDefault="00BC6CC3" w14:paraId="4BEF659D" w14:textId="77777777">
      <w:pPr>
        <w:pStyle w:val="Textonotapie"/>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 excepción de la interventoría del contrato de obra adjudicado por licitación pública que es</w:t>
      </w:r>
    </w:p>
    <w:p w:rsidRPr="00916DF1" w:rsidR="00BC6CC3" w:rsidP="00DD2B2C" w:rsidRDefault="00BC6CC3" w14:paraId="3A1A0B6E" w14:textId="77777777">
      <w:pPr>
        <w:pStyle w:val="Textonotapie"/>
        <w:jc w:val="both"/>
        <w:rPr>
          <w:rFonts w:ascii="Verdana" w:hAnsi="Verdana"/>
          <w:sz w:val="16"/>
          <w:szCs w:val="16"/>
          <w:lang w:val="es-CO"/>
        </w:rPr>
      </w:pPr>
      <w:r w:rsidRPr="00916DF1">
        <w:rPr>
          <w:rFonts w:ascii="Verdana" w:hAnsi="Verdana"/>
          <w:sz w:val="16"/>
          <w:szCs w:val="16"/>
        </w:rPr>
        <w:t>obligatoria según el numeral 1° del artículo 32 de la Ley 80 de 1993.</w:t>
      </w:r>
    </w:p>
  </w:footnote>
  <w:footnote w:id="9">
    <w:p w:rsidRPr="004842CE" w:rsidR="004842CE" w:rsidRDefault="004842CE" w14:paraId="4781C030" w14:textId="31C5881E">
      <w:pPr>
        <w:pStyle w:val="Textonotapie"/>
      </w:pPr>
      <w:r>
        <w:rPr>
          <w:rStyle w:val="Refdenotaalpie"/>
        </w:rPr>
        <w:footnoteRef/>
      </w:r>
      <w:hyperlink w:history="1" r:id="rId2">
        <w:r w:rsidRPr="004A0A1A">
          <w:rPr>
            <w:rStyle w:val="Hipervnculo"/>
          </w:rPr>
          <w:t>https://operaciones.colombiacompra.gov.co/sites/cce_public/files/cce_documents/cce_guia_para_el_ejercicio_de_las_funciones_de_supervision_e_interventoria_de_los_contratos_del_estado.pdf</w:t>
        </w:r>
      </w:hyperlink>
      <w:r>
        <w:t xml:space="preserve"> </w:t>
      </w:r>
    </w:p>
  </w:footnote>
  <w:footnote w:id="10">
    <w:p w:rsidRPr="00DD2B2C" w:rsidR="00031975" w:rsidP="00DD2B2C" w:rsidRDefault="00031975" w14:paraId="1B18B076" w14:textId="0B12FD49">
      <w:pPr>
        <w:tabs>
          <w:tab w:val="left" w:pos="1987"/>
          <w:tab w:val="left" w:pos="3560"/>
          <w:tab w:val="left" w:pos="5175"/>
          <w:tab w:val="left" w:pos="6180"/>
          <w:tab w:val="left" w:pos="7125"/>
          <w:tab w:val="left" w:pos="8650"/>
        </w:tabs>
        <w:ind w:right="306"/>
        <w:jc w:val="both"/>
        <w:rPr>
          <w:rFonts w:ascii="Verdana" w:hAnsi="Verdana"/>
          <w:sz w:val="16"/>
          <w:szCs w:val="16"/>
        </w:rPr>
      </w:pPr>
      <w:r>
        <w:rPr>
          <w:rStyle w:val="Refdenotaalpie"/>
        </w:rPr>
        <w:footnoteRef/>
      </w:r>
      <w:r>
        <w:t xml:space="preserve"> </w:t>
      </w:r>
      <w:r w:rsidRPr="00DD2B2C">
        <w:rPr>
          <w:rFonts w:ascii="Verdana" w:hAnsi="Verdana"/>
          <w:sz w:val="16"/>
          <w:szCs w:val="16"/>
        </w:rPr>
        <w:t xml:space="preserve">Departamento Administrativo de la Función Pública, Concepto 97171 de 2016. Radicado No. 2016000097171: “Respecto al nivel jerárquico sobre el cual puede recaer, se ha indicado que la asignación de la supervisión de contratos puede ser ejercida por empleados que pertenezcan a cualquiera de los niveles de la entidad, en este orden de ideas, todos los empleados públicos pertenecientes a los niveles asistencial, técnico, profesional, asesor o directivo a que hace referencia el artículo 4º. del Decreto 770 de 2005, para empleos públicos pertenecientes a organismos y entidades del orden nacional, o a los niveles asistencial, técnico, profesional, asesor o directivo a que hace referencia el artículo 4º del Decreto 785 de 2005 para las entidades del orden territorial, podrán ejercer la supervisión de contratos, en aplicación de la asignación de funciones y siempre que se reúnan las condiciones para llevar a cabo la misma. En tal sentido se deberá tener en cuenta que el perfil profesional del funcionario designado se ajuste al objeto del contrato cuya supervisión se le asigna y se tendrá en cuenta además, que el funcionario cuente con la logística para desarrollar correctamente sus funciones”. Concepto disponible en el siguiente </w:t>
      </w:r>
      <w:r w:rsidRPr="00DD2B2C">
        <w:rPr>
          <w:rFonts w:ascii="Verdana" w:hAnsi="Verdana"/>
          <w:spacing w:val="-3"/>
          <w:sz w:val="16"/>
          <w:szCs w:val="16"/>
        </w:rPr>
        <w:t xml:space="preserve">enlace: </w:t>
      </w:r>
      <w:hyperlink r:id="rId3">
        <w:r w:rsidRPr="00DD2B2C">
          <w:rPr>
            <w:rFonts w:ascii="Verdana" w:hAnsi="Verdana"/>
            <w:sz w:val="16"/>
            <w:szCs w:val="16"/>
          </w:rPr>
          <w:t>http://www.funcionpublica.gov.co/eva/gestornormativo/norma.php?i=73759</w:t>
        </w:r>
      </w:hyperlink>
    </w:p>
    <w:p w:rsidRPr="00DD2B2C" w:rsidR="00031975" w:rsidP="00031975" w:rsidRDefault="00031975" w14:paraId="1D366514" w14:textId="77777777">
      <w:pPr>
        <w:ind w:left="300" w:right="306" w:firstLine="707"/>
        <w:jc w:val="both"/>
        <w:rPr>
          <w:rFonts w:ascii="Verdana" w:hAnsi="Verdana"/>
          <w:sz w:val="16"/>
          <w:szCs w:val="16"/>
        </w:rPr>
      </w:pPr>
    </w:p>
    <w:p w:rsidRPr="00DD2B2C" w:rsidR="00031975" w:rsidP="00031975" w:rsidRDefault="00031975" w14:paraId="4AD06B4F" w14:textId="77777777">
      <w:pPr>
        <w:pStyle w:val="Textonotapie"/>
        <w:ind w:left="300" w:right="306"/>
        <w:jc w:val="both"/>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15FB5" w:rsidP="00515FB5" w:rsidRDefault="00515FB5" w14:paraId="44F63AA6" w14:textId="77777777">
    <w:pPr>
      <w:pStyle w:val="Encabezado"/>
    </w:pPr>
    <w:r>
      <w:rPr>
        <w:rFonts w:ascii="Geomanist Bold" w:hAnsi="Geomanist Bold"/>
        <w:b/>
        <w:bCs/>
        <w:noProof/>
        <w:color w:val="002060"/>
      </w:rPr>
      <w:drawing>
        <wp:anchor distT="0" distB="0" distL="114300" distR="114300" simplePos="0" relativeHeight="251667456" behindDoc="1" locked="0" layoutInCell="1" allowOverlap="1" wp14:anchorId="3FF4FC4C" wp14:editId="347FBA17">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rPr>
      <w:drawing>
        <wp:anchor distT="0" distB="0" distL="114300" distR="114300" simplePos="0" relativeHeight="251666432" behindDoc="0" locked="0" layoutInCell="1" allowOverlap="1" wp14:anchorId="2312CCF7" wp14:editId="234DD395">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515FB5" w:rsidP="00515FB5" w:rsidRDefault="00515FB5" w14:paraId="3534C9F9" w14:textId="77777777">
    <w:pPr>
      <w:pStyle w:val="Encabezado"/>
    </w:pPr>
  </w:p>
  <w:p w:rsidR="00515FB5" w:rsidP="00515FB5" w:rsidRDefault="00515FB5" w14:paraId="45351CDD" w14:textId="77777777">
    <w:pPr>
      <w:pStyle w:val="Encabezado"/>
    </w:pPr>
  </w:p>
  <w:p w:rsidR="00515FB5" w:rsidP="00515FB5" w:rsidRDefault="00515FB5" w14:paraId="21A12819" w14:textId="77777777">
    <w:pPr>
      <w:pStyle w:val="Encabezado"/>
    </w:pPr>
  </w:p>
  <w:p w:rsidRPr="00AB7B56" w:rsidR="00515FB5" w:rsidP="00515FB5" w:rsidRDefault="00515FB5" w14:paraId="3E8C0A71" w14:textId="77777777">
    <w:pPr>
      <w:pStyle w:val="Encabezado"/>
    </w:pPr>
  </w:p>
  <w:p w:rsidRPr="00515FB5" w:rsidR="00B30448" w:rsidP="00515FB5" w:rsidRDefault="00B30448" w14:paraId="1D797635"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hint="default" w:ascii="Arial" w:hAnsi="Arial" w:eastAsia="Arial" w:cs="Arial"/>
        <w:b/>
        <w:bCs/>
        <w:w w:val="100"/>
        <w:sz w:val="22"/>
        <w:szCs w:val="22"/>
        <w:lang w:val="es-ES" w:eastAsia="en-US" w:bidi="ar-SA"/>
      </w:rPr>
    </w:lvl>
    <w:lvl w:ilvl="1">
      <w:start w:val="1"/>
      <w:numFmt w:val="decimal"/>
      <w:lvlText w:val="%1.%2."/>
      <w:lvlJc w:val="left"/>
      <w:pPr>
        <w:ind w:left="529" w:hanging="430"/>
        <w:jc w:val="left"/>
      </w:pPr>
      <w:rPr>
        <w:rFonts w:hint="default" w:ascii="Arial" w:hAnsi="Arial" w:eastAsia="Arial" w:cs="Arial"/>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 w15:restartNumberingAfterBreak="0">
    <w:nsid w:val="14BD4572"/>
    <w:multiLevelType w:val="hybridMultilevel"/>
    <w:tmpl w:val="E90054F4"/>
    <w:lvl w:ilvl="0" w:tplc="66F68B48">
      <w:start w:val="1"/>
      <w:numFmt w:val="decimal"/>
      <w:lvlText w:val="%1."/>
      <w:lvlJc w:val="left"/>
      <w:pPr>
        <w:ind w:left="543" w:hanging="243"/>
        <w:jc w:val="left"/>
      </w:pPr>
      <w:rPr>
        <w:rFonts w:hint="default" w:ascii="Arial" w:hAnsi="Arial" w:eastAsia="Arial" w:cs="Arial"/>
        <w:b/>
        <w:bCs/>
        <w:spacing w:val="-1"/>
        <w:w w:val="100"/>
        <w:sz w:val="22"/>
        <w:szCs w:val="22"/>
        <w:lang w:val="es-ES" w:eastAsia="en-US" w:bidi="ar-SA"/>
      </w:rPr>
    </w:lvl>
    <w:lvl w:ilvl="1" w:tplc="DA580F9C">
      <w:numFmt w:val="bullet"/>
      <w:lvlText w:val="•"/>
      <w:lvlJc w:val="left"/>
      <w:pPr>
        <w:ind w:left="1440" w:hanging="243"/>
      </w:pPr>
      <w:rPr>
        <w:rFonts w:hint="default"/>
        <w:lang w:val="es-ES" w:eastAsia="en-US" w:bidi="ar-SA"/>
      </w:rPr>
    </w:lvl>
    <w:lvl w:ilvl="2" w:tplc="33885F4E">
      <w:numFmt w:val="bullet"/>
      <w:lvlText w:val="•"/>
      <w:lvlJc w:val="left"/>
      <w:pPr>
        <w:ind w:left="2340" w:hanging="243"/>
      </w:pPr>
      <w:rPr>
        <w:rFonts w:hint="default"/>
        <w:lang w:val="es-ES" w:eastAsia="en-US" w:bidi="ar-SA"/>
      </w:rPr>
    </w:lvl>
    <w:lvl w:ilvl="3" w:tplc="C64600FC">
      <w:numFmt w:val="bullet"/>
      <w:lvlText w:val="•"/>
      <w:lvlJc w:val="left"/>
      <w:pPr>
        <w:ind w:left="3240" w:hanging="243"/>
      </w:pPr>
      <w:rPr>
        <w:rFonts w:hint="default"/>
        <w:lang w:val="es-ES" w:eastAsia="en-US" w:bidi="ar-SA"/>
      </w:rPr>
    </w:lvl>
    <w:lvl w:ilvl="4" w:tplc="305CBFC8">
      <w:numFmt w:val="bullet"/>
      <w:lvlText w:val="•"/>
      <w:lvlJc w:val="left"/>
      <w:pPr>
        <w:ind w:left="4140" w:hanging="243"/>
      </w:pPr>
      <w:rPr>
        <w:rFonts w:hint="default"/>
        <w:lang w:val="es-ES" w:eastAsia="en-US" w:bidi="ar-SA"/>
      </w:rPr>
    </w:lvl>
    <w:lvl w:ilvl="5" w:tplc="1146F4CE">
      <w:numFmt w:val="bullet"/>
      <w:lvlText w:val="•"/>
      <w:lvlJc w:val="left"/>
      <w:pPr>
        <w:ind w:left="5040" w:hanging="243"/>
      </w:pPr>
      <w:rPr>
        <w:rFonts w:hint="default"/>
        <w:lang w:val="es-ES" w:eastAsia="en-US" w:bidi="ar-SA"/>
      </w:rPr>
    </w:lvl>
    <w:lvl w:ilvl="6" w:tplc="2DD6E5E8">
      <w:numFmt w:val="bullet"/>
      <w:lvlText w:val="•"/>
      <w:lvlJc w:val="left"/>
      <w:pPr>
        <w:ind w:left="5940" w:hanging="243"/>
      </w:pPr>
      <w:rPr>
        <w:rFonts w:hint="default"/>
        <w:lang w:val="es-ES" w:eastAsia="en-US" w:bidi="ar-SA"/>
      </w:rPr>
    </w:lvl>
    <w:lvl w:ilvl="7" w:tplc="77740180">
      <w:numFmt w:val="bullet"/>
      <w:lvlText w:val="•"/>
      <w:lvlJc w:val="left"/>
      <w:pPr>
        <w:ind w:left="6840" w:hanging="243"/>
      </w:pPr>
      <w:rPr>
        <w:rFonts w:hint="default"/>
        <w:lang w:val="es-ES" w:eastAsia="en-US" w:bidi="ar-SA"/>
      </w:rPr>
    </w:lvl>
    <w:lvl w:ilvl="8" w:tplc="F5DE0748">
      <w:numFmt w:val="bullet"/>
      <w:lvlText w:val="•"/>
      <w:lvlJc w:val="left"/>
      <w:pPr>
        <w:ind w:left="7740" w:hanging="243"/>
      </w:pPr>
      <w:rPr>
        <w:rFonts w:hint="default"/>
        <w:lang w:val="es-ES" w:eastAsia="en-US" w:bidi="ar-SA"/>
      </w:rPr>
    </w:lvl>
  </w:abstractNum>
  <w:abstractNum w:abstractNumId="5" w15:restartNumberingAfterBreak="0">
    <w:nsid w:val="3180411E"/>
    <w:multiLevelType w:val="multilevel"/>
    <w:tmpl w:val="AC3E72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9" w15:restartNumberingAfterBreak="0">
    <w:nsid w:val="4AA7326E"/>
    <w:multiLevelType w:val="multilevel"/>
    <w:tmpl w:val="5CE2D418"/>
    <w:lvl w:ilvl="0">
      <w:start w:val="1"/>
      <w:numFmt w:val="decimal"/>
      <w:lvlText w:val="%1."/>
      <w:lvlJc w:val="left"/>
      <w:pPr>
        <w:ind w:left="480" w:hanging="360"/>
      </w:pPr>
      <w:rPr>
        <w:rFonts w:hint="default" w:ascii="Arial" w:hAnsi="Arial" w:eastAsia="Arial" w:cs="Arial"/>
        <w:b/>
        <w:bCs/>
        <w:color w:val="4E4D4D"/>
        <w:spacing w:val="-8"/>
        <w:w w:val="100"/>
        <w:sz w:val="22"/>
        <w:szCs w:val="22"/>
        <w:lang w:val="es-ES" w:eastAsia="en-US" w:bidi="ar-SA"/>
      </w:rPr>
    </w:lvl>
    <w:lvl w:ilvl="1">
      <w:start w:val="1"/>
      <w:numFmt w:val="decimal"/>
      <w:lvlText w:val="%1.%2"/>
      <w:lvlJc w:val="left"/>
      <w:pPr>
        <w:ind w:left="688" w:hanging="578"/>
      </w:pPr>
      <w:rPr>
        <w:rFonts w:hint="default" w:ascii="Arial" w:hAnsi="Arial" w:eastAsia="Arial" w:cs="Arial"/>
        <w:b/>
        <w:bCs/>
        <w:color w:val="4E4D4D"/>
        <w:spacing w:val="-3"/>
        <w:w w:val="100"/>
        <w:sz w:val="22"/>
        <w:szCs w:val="22"/>
        <w:lang w:val="es-ES" w:eastAsia="en-US" w:bidi="ar-SA"/>
      </w:rPr>
    </w:lvl>
    <w:lvl w:ilvl="2">
      <w:start w:val="1"/>
      <w:numFmt w:val="lowerLetter"/>
      <w:lvlText w:val="%3)"/>
      <w:lvlJc w:val="left"/>
      <w:pPr>
        <w:ind w:left="800" w:hanging="325"/>
      </w:pPr>
      <w:rPr>
        <w:rFonts w:hint="default" w:ascii="Arial" w:hAnsi="Arial" w:eastAsia="Arial" w:cs="Arial"/>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0" w15:restartNumberingAfterBreak="0">
    <w:nsid w:val="756E5758"/>
    <w:multiLevelType w:val="multilevel"/>
    <w:tmpl w:val="3876758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num w:numId="1" w16cid:durableId="1290670214">
    <w:abstractNumId w:val="7"/>
  </w:num>
  <w:num w:numId="2" w16cid:durableId="4285022">
    <w:abstractNumId w:val="2"/>
  </w:num>
  <w:num w:numId="3" w16cid:durableId="881983949">
    <w:abstractNumId w:val="3"/>
  </w:num>
  <w:num w:numId="4" w16cid:durableId="341274352">
    <w:abstractNumId w:val="0"/>
  </w:num>
  <w:num w:numId="5" w16cid:durableId="1887524674">
    <w:abstractNumId w:val="9"/>
  </w:num>
  <w:num w:numId="6" w16cid:durableId="1082990391">
    <w:abstractNumId w:val="1"/>
  </w:num>
  <w:num w:numId="7" w16cid:durableId="1492209491">
    <w:abstractNumId w:val="6"/>
  </w:num>
  <w:num w:numId="8" w16cid:durableId="679089576">
    <w:abstractNumId w:val="8"/>
  </w:num>
  <w:num w:numId="9" w16cid:durableId="1626158056">
    <w:abstractNumId w:val="4"/>
  </w:num>
  <w:num w:numId="10" w16cid:durableId="838347201">
    <w:abstractNumId w:val="5"/>
  </w:num>
  <w:num w:numId="11" w16cid:durableId="45645287">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6"/>
  <w:proofState w:spelling="clean" w:grammar="dirty"/>
  <w:attachedTemplate r:id="rId1"/>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54F"/>
    <w:rsid w:val="000016F3"/>
    <w:rsid w:val="000037AE"/>
    <w:rsid w:val="00005BB0"/>
    <w:rsid w:val="0001025F"/>
    <w:rsid w:val="0001222D"/>
    <w:rsid w:val="000135EB"/>
    <w:rsid w:val="00015D2B"/>
    <w:rsid w:val="00031584"/>
    <w:rsid w:val="00031975"/>
    <w:rsid w:val="00032A0E"/>
    <w:rsid w:val="00037347"/>
    <w:rsid w:val="000442CC"/>
    <w:rsid w:val="000556D4"/>
    <w:rsid w:val="000716AB"/>
    <w:rsid w:val="00082E4C"/>
    <w:rsid w:val="000849D5"/>
    <w:rsid w:val="0008528F"/>
    <w:rsid w:val="000A6E0C"/>
    <w:rsid w:val="000A7A56"/>
    <w:rsid w:val="000B1FF7"/>
    <w:rsid w:val="000B2513"/>
    <w:rsid w:val="000B4024"/>
    <w:rsid w:val="000C3C51"/>
    <w:rsid w:val="000C7262"/>
    <w:rsid w:val="000D2A7F"/>
    <w:rsid w:val="000D4FCE"/>
    <w:rsid w:val="000E39CE"/>
    <w:rsid w:val="000F549B"/>
    <w:rsid w:val="0011037E"/>
    <w:rsid w:val="001363C7"/>
    <w:rsid w:val="00141AC5"/>
    <w:rsid w:val="00146B11"/>
    <w:rsid w:val="00147A04"/>
    <w:rsid w:val="0015476D"/>
    <w:rsid w:val="00161E13"/>
    <w:rsid w:val="00164AE0"/>
    <w:rsid w:val="00165E83"/>
    <w:rsid w:val="00166CD7"/>
    <w:rsid w:val="0017120C"/>
    <w:rsid w:val="00172F3A"/>
    <w:rsid w:val="0019532A"/>
    <w:rsid w:val="0019670E"/>
    <w:rsid w:val="00197205"/>
    <w:rsid w:val="001A5DD4"/>
    <w:rsid w:val="001A67E9"/>
    <w:rsid w:val="001B143B"/>
    <w:rsid w:val="001B21CA"/>
    <w:rsid w:val="001C04FC"/>
    <w:rsid w:val="001C25A3"/>
    <w:rsid w:val="001C5D03"/>
    <w:rsid w:val="001C7771"/>
    <w:rsid w:val="001D62FF"/>
    <w:rsid w:val="001E6954"/>
    <w:rsid w:val="001F3F48"/>
    <w:rsid w:val="002000AA"/>
    <w:rsid w:val="00204109"/>
    <w:rsid w:val="00211E6E"/>
    <w:rsid w:val="00212A46"/>
    <w:rsid w:val="0021401D"/>
    <w:rsid w:val="002146B8"/>
    <w:rsid w:val="00215516"/>
    <w:rsid w:val="002527C2"/>
    <w:rsid w:val="00270443"/>
    <w:rsid w:val="00270EE2"/>
    <w:rsid w:val="00272972"/>
    <w:rsid w:val="00286491"/>
    <w:rsid w:val="002A0F8D"/>
    <w:rsid w:val="002B6E44"/>
    <w:rsid w:val="002B74B1"/>
    <w:rsid w:val="002E1DB5"/>
    <w:rsid w:val="002F6CCB"/>
    <w:rsid w:val="0030461E"/>
    <w:rsid w:val="003107A1"/>
    <w:rsid w:val="0032756A"/>
    <w:rsid w:val="00334EF8"/>
    <w:rsid w:val="00336408"/>
    <w:rsid w:val="00340DFB"/>
    <w:rsid w:val="0034404F"/>
    <w:rsid w:val="00356980"/>
    <w:rsid w:val="00367462"/>
    <w:rsid w:val="00371ECA"/>
    <w:rsid w:val="00372748"/>
    <w:rsid w:val="0037332A"/>
    <w:rsid w:val="0038151A"/>
    <w:rsid w:val="0039082A"/>
    <w:rsid w:val="00390C21"/>
    <w:rsid w:val="003A37BD"/>
    <w:rsid w:val="003B6D94"/>
    <w:rsid w:val="003C4C96"/>
    <w:rsid w:val="003C55E0"/>
    <w:rsid w:val="003F519B"/>
    <w:rsid w:val="0040544F"/>
    <w:rsid w:val="00406A19"/>
    <w:rsid w:val="0041222D"/>
    <w:rsid w:val="0041483E"/>
    <w:rsid w:val="00415369"/>
    <w:rsid w:val="00430492"/>
    <w:rsid w:val="00450BE7"/>
    <w:rsid w:val="0046741E"/>
    <w:rsid w:val="00472CC6"/>
    <w:rsid w:val="0048026E"/>
    <w:rsid w:val="004807A9"/>
    <w:rsid w:val="004813EE"/>
    <w:rsid w:val="004842CE"/>
    <w:rsid w:val="00493278"/>
    <w:rsid w:val="004943D9"/>
    <w:rsid w:val="0049754F"/>
    <w:rsid w:val="004A0E7B"/>
    <w:rsid w:val="004A3498"/>
    <w:rsid w:val="004B0C45"/>
    <w:rsid w:val="004C0AB2"/>
    <w:rsid w:val="004C1619"/>
    <w:rsid w:val="004C1A26"/>
    <w:rsid w:val="004C1CC9"/>
    <w:rsid w:val="004C3755"/>
    <w:rsid w:val="004C4485"/>
    <w:rsid w:val="004D11AF"/>
    <w:rsid w:val="00500DFA"/>
    <w:rsid w:val="005019AA"/>
    <w:rsid w:val="005021BB"/>
    <w:rsid w:val="005139E7"/>
    <w:rsid w:val="005147DA"/>
    <w:rsid w:val="00515FB5"/>
    <w:rsid w:val="0052365C"/>
    <w:rsid w:val="005271EB"/>
    <w:rsid w:val="005426DB"/>
    <w:rsid w:val="0055082B"/>
    <w:rsid w:val="00552503"/>
    <w:rsid w:val="00552B57"/>
    <w:rsid w:val="00557DA1"/>
    <w:rsid w:val="0056322C"/>
    <w:rsid w:val="0058743A"/>
    <w:rsid w:val="005A4DB0"/>
    <w:rsid w:val="005A7B8E"/>
    <w:rsid w:val="005B012B"/>
    <w:rsid w:val="005B0C87"/>
    <w:rsid w:val="005D23F6"/>
    <w:rsid w:val="005D2FA8"/>
    <w:rsid w:val="005E2281"/>
    <w:rsid w:val="005E667C"/>
    <w:rsid w:val="005F077C"/>
    <w:rsid w:val="005F63D0"/>
    <w:rsid w:val="005F7973"/>
    <w:rsid w:val="0061690E"/>
    <w:rsid w:val="00627361"/>
    <w:rsid w:val="0063017E"/>
    <w:rsid w:val="00631B28"/>
    <w:rsid w:val="00645B90"/>
    <w:rsid w:val="00650991"/>
    <w:rsid w:val="006511D7"/>
    <w:rsid w:val="00663D75"/>
    <w:rsid w:val="00670AEF"/>
    <w:rsid w:val="00675678"/>
    <w:rsid w:val="00677012"/>
    <w:rsid w:val="006825B4"/>
    <w:rsid w:val="00682AF2"/>
    <w:rsid w:val="006864DF"/>
    <w:rsid w:val="00696DA8"/>
    <w:rsid w:val="006A3C8A"/>
    <w:rsid w:val="006A7552"/>
    <w:rsid w:val="006B5953"/>
    <w:rsid w:val="006B7A81"/>
    <w:rsid w:val="006C4BAC"/>
    <w:rsid w:val="006C52F3"/>
    <w:rsid w:val="006E7F37"/>
    <w:rsid w:val="006F3B81"/>
    <w:rsid w:val="006F4F79"/>
    <w:rsid w:val="00705B37"/>
    <w:rsid w:val="00711FD9"/>
    <w:rsid w:val="00716804"/>
    <w:rsid w:val="0073320B"/>
    <w:rsid w:val="00735062"/>
    <w:rsid w:val="00746BA5"/>
    <w:rsid w:val="00751D23"/>
    <w:rsid w:val="00770577"/>
    <w:rsid w:val="00777666"/>
    <w:rsid w:val="0078159B"/>
    <w:rsid w:val="00782E10"/>
    <w:rsid w:val="0078706B"/>
    <w:rsid w:val="00790836"/>
    <w:rsid w:val="00797131"/>
    <w:rsid w:val="007A3C1D"/>
    <w:rsid w:val="007B285D"/>
    <w:rsid w:val="007C6BC6"/>
    <w:rsid w:val="007E15EF"/>
    <w:rsid w:val="00801DCA"/>
    <w:rsid w:val="00807D79"/>
    <w:rsid w:val="00813634"/>
    <w:rsid w:val="00822821"/>
    <w:rsid w:val="00831C29"/>
    <w:rsid w:val="008431EF"/>
    <w:rsid w:val="008468E0"/>
    <w:rsid w:val="008526E9"/>
    <w:rsid w:val="00863B82"/>
    <w:rsid w:val="00871B59"/>
    <w:rsid w:val="00877D03"/>
    <w:rsid w:val="00877E96"/>
    <w:rsid w:val="008806CA"/>
    <w:rsid w:val="008815E5"/>
    <w:rsid w:val="00887B37"/>
    <w:rsid w:val="008909B9"/>
    <w:rsid w:val="00891DFC"/>
    <w:rsid w:val="008B12B4"/>
    <w:rsid w:val="008B7914"/>
    <w:rsid w:val="008C5D2A"/>
    <w:rsid w:val="008C7AF4"/>
    <w:rsid w:val="008D4941"/>
    <w:rsid w:val="008D529F"/>
    <w:rsid w:val="008F5CC8"/>
    <w:rsid w:val="009061B8"/>
    <w:rsid w:val="0091008B"/>
    <w:rsid w:val="00911EA2"/>
    <w:rsid w:val="00916C7D"/>
    <w:rsid w:val="0092575D"/>
    <w:rsid w:val="009341DA"/>
    <w:rsid w:val="009430F9"/>
    <w:rsid w:val="009442E8"/>
    <w:rsid w:val="00946BD0"/>
    <w:rsid w:val="0095426C"/>
    <w:rsid w:val="00970087"/>
    <w:rsid w:val="00971074"/>
    <w:rsid w:val="00983695"/>
    <w:rsid w:val="00995D86"/>
    <w:rsid w:val="009A5453"/>
    <w:rsid w:val="009B4D94"/>
    <w:rsid w:val="009C2871"/>
    <w:rsid w:val="009C78EC"/>
    <w:rsid w:val="009D3C33"/>
    <w:rsid w:val="009D7F3A"/>
    <w:rsid w:val="009E295D"/>
    <w:rsid w:val="009E4885"/>
    <w:rsid w:val="00A07DB6"/>
    <w:rsid w:val="00A10A73"/>
    <w:rsid w:val="00A170B3"/>
    <w:rsid w:val="00A21EDC"/>
    <w:rsid w:val="00A223D5"/>
    <w:rsid w:val="00A37D1C"/>
    <w:rsid w:val="00A5453E"/>
    <w:rsid w:val="00A56F6C"/>
    <w:rsid w:val="00A76C8C"/>
    <w:rsid w:val="00A85F30"/>
    <w:rsid w:val="00A9099E"/>
    <w:rsid w:val="00A91FB7"/>
    <w:rsid w:val="00A9298F"/>
    <w:rsid w:val="00AA0351"/>
    <w:rsid w:val="00AA5F4A"/>
    <w:rsid w:val="00AB1984"/>
    <w:rsid w:val="00AB52B1"/>
    <w:rsid w:val="00AC4CB3"/>
    <w:rsid w:val="00AC780D"/>
    <w:rsid w:val="00AD036B"/>
    <w:rsid w:val="00AD1996"/>
    <w:rsid w:val="00AD4099"/>
    <w:rsid w:val="00AD4901"/>
    <w:rsid w:val="00B02FE0"/>
    <w:rsid w:val="00B057B6"/>
    <w:rsid w:val="00B16D44"/>
    <w:rsid w:val="00B2575B"/>
    <w:rsid w:val="00B30448"/>
    <w:rsid w:val="00B34786"/>
    <w:rsid w:val="00B400EC"/>
    <w:rsid w:val="00B40162"/>
    <w:rsid w:val="00B41ACE"/>
    <w:rsid w:val="00B50156"/>
    <w:rsid w:val="00B518AD"/>
    <w:rsid w:val="00B60A96"/>
    <w:rsid w:val="00B678EC"/>
    <w:rsid w:val="00B76C94"/>
    <w:rsid w:val="00B772D0"/>
    <w:rsid w:val="00B836EA"/>
    <w:rsid w:val="00B84C05"/>
    <w:rsid w:val="00B91B81"/>
    <w:rsid w:val="00B97135"/>
    <w:rsid w:val="00BB3072"/>
    <w:rsid w:val="00BC6CC3"/>
    <w:rsid w:val="00BC7632"/>
    <w:rsid w:val="00BD48A9"/>
    <w:rsid w:val="00BD630F"/>
    <w:rsid w:val="00BD7EC6"/>
    <w:rsid w:val="00BE73FA"/>
    <w:rsid w:val="00BF6B4B"/>
    <w:rsid w:val="00C0174E"/>
    <w:rsid w:val="00C0511C"/>
    <w:rsid w:val="00C20ACF"/>
    <w:rsid w:val="00C22307"/>
    <w:rsid w:val="00C23469"/>
    <w:rsid w:val="00C30C62"/>
    <w:rsid w:val="00C371DF"/>
    <w:rsid w:val="00C42055"/>
    <w:rsid w:val="00C44B4C"/>
    <w:rsid w:val="00C46734"/>
    <w:rsid w:val="00C47A86"/>
    <w:rsid w:val="00C51B19"/>
    <w:rsid w:val="00C53220"/>
    <w:rsid w:val="00CA3347"/>
    <w:rsid w:val="00CC299A"/>
    <w:rsid w:val="00CD03E3"/>
    <w:rsid w:val="00CE6BDA"/>
    <w:rsid w:val="00D03DBE"/>
    <w:rsid w:val="00D072C0"/>
    <w:rsid w:val="00D23E6C"/>
    <w:rsid w:val="00D34C82"/>
    <w:rsid w:val="00D3757A"/>
    <w:rsid w:val="00D504A9"/>
    <w:rsid w:val="00D5206D"/>
    <w:rsid w:val="00D56F85"/>
    <w:rsid w:val="00D7177D"/>
    <w:rsid w:val="00D81311"/>
    <w:rsid w:val="00DB201E"/>
    <w:rsid w:val="00DC0E68"/>
    <w:rsid w:val="00DD25ED"/>
    <w:rsid w:val="00DD2B2C"/>
    <w:rsid w:val="00DE0D6E"/>
    <w:rsid w:val="00E1610C"/>
    <w:rsid w:val="00E16D73"/>
    <w:rsid w:val="00E23E9E"/>
    <w:rsid w:val="00E25722"/>
    <w:rsid w:val="00E27F0A"/>
    <w:rsid w:val="00E4231E"/>
    <w:rsid w:val="00E4302C"/>
    <w:rsid w:val="00E44AC7"/>
    <w:rsid w:val="00E45F4B"/>
    <w:rsid w:val="00E60A16"/>
    <w:rsid w:val="00E63D38"/>
    <w:rsid w:val="00E72D20"/>
    <w:rsid w:val="00E82B6E"/>
    <w:rsid w:val="00E94258"/>
    <w:rsid w:val="00E96C18"/>
    <w:rsid w:val="00EA2E61"/>
    <w:rsid w:val="00EA7D7F"/>
    <w:rsid w:val="00EB02F4"/>
    <w:rsid w:val="00EB2FA2"/>
    <w:rsid w:val="00EB769A"/>
    <w:rsid w:val="00EC3A35"/>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53BE2"/>
    <w:rsid w:val="00F54923"/>
    <w:rsid w:val="00F55684"/>
    <w:rsid w:val="00F64D5A"/>
    <w:rsid w:val="00F709CD"/>
    <w:rsid w:val="00F906F4"/>
    <w:rsid w:val="00FA0716"/>
    <w:rsid w:val="00FA6672"/>
    <w:rsid w:val="00FB4629"/>
    <w:rsid w:val="00FB6FB1"/>
    <w:rsid w:val="00FB7063"/>
    <w:rsid w:val="00FC7056"/>
    <w:rsid w:val="00FE1A00"/>
    <w:rsid w:val="024D7E2C"/>
    <w:rsid w:val="0D2EB883"/>
    <w:rsid w:val="0D8163B6"/>
    <w:rsid w:val="13A69650"/>
    <w:rsid w:val="18C10F1C"/>
    <w:rsid w:val="1BB32F19"/>
    <w:rsid w:val="1F2C3AF5"/>
    <w:rsid w:val="1F9252E4"/>
    <w:rsid w:val="1FF4886A"/>
    <w:rsid w:val="22D2584A"/>
    <w:rsid w:val="28751A95"/>
    <w:rsid w:val="29FA8189"/>
    <w:rsid w:val="2C00A012"/>
    <w:rsid w:val="2F421DDF"/>
    <w:rsid w:val="389994B3"/>
    <w:rsid w:val="3A31F928"/>
    <w:rsid w:val="3B30A011"/>
    <w:rsid w:val="3B93C128"/>
    <w:rsid w:val="3CFBE104"/>
    <w:rsid w:val="510454D8"/>
    <w:rsid w:val="521E120A"/>
    <w:rsid w:val="5D8505AD"/>
    <w:rsid w:val="6CAEFF2C"/>
    <w:rsid w:val="71443FBB"/>
    <w:rsid w:val="72EE784C"/>
    <w:rsid w:val="7563E76A"/>
    <w:rsid w:val="79A6159C"/>
    <w:rsid w:val="7B5CC0D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82F79B"/>
  <w15:docId w15:val="{017C86A6-6463-FD42-BC15-0E711C4886E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A6672"/>
    <w:pPr>
      <w:spacing w:after="0" w:line="240" w:lineRule="auto"/>
    </w:pPr>
    <w:rPr>
      <w:rFonts w:ascii="Times New Roman" w:hAnsi="Times New Roman" w:eastAsia="Times New Roman" w:cs="Times New Roman"/>
      <w:sz w:val="24"/>
      <w:szCs w:val="24"/>
      <w:lang w:eastAsia="es-MX"/>
    </w:rPr>
  </w:style>
  <w:style w:type="paragraph" w:styleId="Ttulo1">
    <w:name w:val="heading 1"/>
    <w:basedOn w:val="Normal"/>
    <w:link w:val="Ttulo1Car"/>
    <w:uiPriority w:val="1"/>
    <w:qFormat/>
    <w:rsid w:val="00B34786"/>
    <w:pPr>
      <w:widowControl w:val="0"/>
      <w:autoSpaceDE w:val="0"/>
      <w:autoSpaceDN w:val="0"/>
      <w:spacing w:before="1"/>
      <w:ind w:left="1181" w:hanging="360"/>
      <w:outlineLvl w:val="0"/>
    </w:pPr>
    <w:rPr>
      <w:rFonts w:ascii="Arial" w:hAnsi="Arial" w:eastAsia="Arial" w:cs="Arial"/>
      <w:b/>
      <w:bCs/>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rPr>
      <w:sz w:val="20"/>
      <w:szCs w:val="20"/>
      <w:lang w:val="es-MX"/>
    </w:rPr>
  </w:style>
  <w:style w:type="character" w:styleId="TextonotapieCar1" w:customStyle="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styleId="Appelnotedebasde" w:customStyle="1">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pPr>
  </w:style>
  <w:style w:type="character" w:styleId="EncabezadoCar" w:customStyle="1">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pPr>
  </w:style>
  <w:style w:type="character" w:styleId="PiedepginaCar" w:customStyle="1">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rPr>
      <w:sz w:val="20"/>
      <w:szCs w:val="20"/>
    </w:rPr>
  </w:style>
  <w:style w:type="character" w:styleId="TextocomentarioCar" w:customStyle="1">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styleId="AsuntodelcomentarioCar" w:customStyle="1">
    <w:name w:val="Asunto del comentario Car"/>
    <w:basedOn w:val="TextocomentarioCar"/>
    <w:link w:val="Asuntodelcomentario"/>
    <w:uiPriority w:val="99"/>
    <w:semiHidden/>
    <w:rsid w:val="00A37D1C"/>
    <w:rPr>
      <w:b/>
      <w:bCs/>
      <w:sz w:val="20"/>
      <w:szCs w:val="20"/>
    </w:rPr>
  </w:style>
  <w:style w:type="paragraph" w:styleId="Normal11pt" w:customStyle="1">
    <w:name w:val="Normal + 11 pt"/>
    <w:aliases w:val="Negro,Justificado,Izquierda:  -0,95 cm,Derecha:  0,04 cm"/>
    <w:basedOn w:val="Normal"/>
    <w:uiPriority w:val="99"/>
    <w:rsid w:val="00B76C94"/>
    <w:pPr>
      <w:ind w:left="-540"/>
      <w:jc w:val="both"/>
    </w:pPr>
    <w:rPr>
      <w:rFonts w:ascii="Arial"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styleId="cf01" w:customStyle="1">
    <w:name w:val="cf01"/>
    <w:basedOn w:val="Fuentedeprrafopredeter"/>
    <w:rsid w:val="005019AA"/>
    <w:rPr>
      <w:rFonts w:hint="default" w:ascii="Segoe UI" w:hAnsi="Segoe UI" w:cs="Segoe UI"/>
      <w:i/>
      <w:iCs/>
      <w:sz w:val="18"/>
      <w:szCs w:val="18"/>
    </w:rPr>
  </w:style>
  <w:style w:type="character" w:styleId="normaltextrun" w:customStyle="1">
    <w:name w:val="normaltextrun"/>
    <w:basedOn w:val="Fuentedeprrafopredeter"/>
    <w:rsid w:val="5D8505AD"/>
  </w:style>
  <w:style w:type="character" w:styleId="eop" w:customStyle="1">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styleId="Hipervnculo1" w:customStyle="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styleId="TextoindependienteCar" w:customStyle="1">
    <w:name w:val="Texto independiente Car"/>
    <w:basedOn w:val="Fuentedeprrafopredeter"/>
    <w:link w:val="Textoindependiente"/>
    <w:uiPriority w:val="99"/>
    <w:rsid w:val="00430492"/>
  </w:style>
  <w:style w:type="paragraph" w:styleId="Car1" w:customStyle="1">
    <w:name w:val="Car1"/>
    <w:basedOn w:val="Normal"/>
    <w:next w:val="Textonotapie"/>
    <w:uiPriority w:val="99"/>
    <w:unhideWhenUsed/>
    <w:qFormat/>
    <w:rsid w:val="00430492"/>
    <w:rPr>
      <w:sz w:val="20"/>
      <w:szCs w:val="20"/>
      <w:lang w:val="es-MX"/>
    </w:rPr>
  </w:style>
  <w:style w:type="paragraph" w:styleId="Cuadrculamedia1-nfasis21" w:customStyle="1">
    <w:name w:val="Cuadrícula media 1 - Énfasis 21"/>
    <w:basedOn w:val="Normal"/>
    <w:uiPriority w:val="34"/>
    <w:qFormat/>
    <w:rsid w:val="009C2871"/>
    <w:pPr>
      <w:ind w:left="720"/>
      <w:contextualSpacing/>
    </w:pPr>
    <w:rPr>
      <w:rFonts w:ascii="Calibri" w:hAnsi="Calibri" w:eastAsia="Calibri"/>
    </w:rPr>
  </w:style>
  <w:style w:type="character" w:styleId="Ttulo1Car" w:customStyle="1">
    <w:name w:val="Título 1 Car"/>
    <w:basedOn w:val="Fuentedeprrafopredeter"/>
    <w:link w:val="Ttulo1"/>
    <w:uiPriority w:val="1"/>
    <w:rsid w:val="00B34786"/>
    <w:rPr>
      <w:rFonts w:ascii="Arial" w:hAnsi="Arial" w:eastAsia="Arial" w:cs="Arial"/>
      <w:b/>
      <w:bCs/>
      <w:lang w:val="es-ES"/>
    </w:rPr>
  </w:style>
  <w:style w:type="paragraph" w:styleId="Default" w:customStyle="1">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B34786"/>
    <w:rPr>
      <w:rFonts w:ascii="Geomanist" w:hAnsi="Geomanist" w:eastAsiaTheme="majorEastAsia" w:cstheme="majorBidi"/>
      <w:spacing w:val="-10"/>
      <w:kern w:val="28"/>
      <w:szCs w:val="56"/>
      <w:lang w:val="es-ES"/>
    </w:rPr>
  </w:style>
  <w:style w:type="table" w:styleId="Tablaconcuadrcula1" w:customStyle="1">
    <w:name w:val="Tabla con cuadrícula1"/>
    <w:basedOn w:val="Tablanormal"/>
    <w:next w:val="Tablaconcuadrcula"/>
    <w:uiPriority w:val="59"/>
    <w:qFormat/>
    <w:rsid w:val="00B3478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Sinlista1" w:customStyle="1">
    <w:name w:val="Sin lista1"/>
    <w:next w:val="Sinlista"/>
    <w:uiPriority w:val="99"/>
    <w:semiHidden/>
    <w:unhideWhenUsed/>
    <w:rsid w:val="00B34786"/>
  </w:style>
  <w:style w:type="table" w:styleId="TableNormal" w:customStyle="1">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ableParagraph" w:customStyle="1">
    <w:name w:val="Table Paragraph"/>
    <w:basedOn w:val="Normal"/>
    <w:uiPriority w:val="1"/>
    <w:qFormat/>
    <w:rsid w:val="00B34786"/>
    <w:pPr>
      <w:widowControl w:val="0"/>
      <w:autoSpaceDE w:val="0"/>
      <w:autoSpaceDN w:val="0"/>
      <w:spacing w:line="208" w:lineRule="exact"/>
      <w:ind w:left="119"/>
    </w:pPr>
    <w:rPr>
      <w:rFonts w:ascii="Calibri" w:hAnsi="Calibri" w:eastAsia="Calibri" w:cs="Calibri"/>
      <w:lang w:val="es-ES"/>
    </w:rPr>
  </w:style>
  <w:style w:type="table" w:styleId="Tablaconcuadrcula2" w:customStyle="1">
    <w:name w:val="Tabla con cuadrícula2"/>
    <w:basedOn w:val="Tablanormal"/>
    <w:next w:val="Tablaconcuadrcula"/>
    <w:uiPriority w:val="39"/>
    <w:rsid w:val="00B3478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1A5DD4"/>
    <w:pPr>
      <w:spacing w:before="100" w:beforeAutospacing="1" w:after="100" w:afterAutospacing="1"/>
    </w:pPr>
    <w:rPr>
      <w:lang w:eastAsia="es-ES_tradnl"/>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123470245">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olombiacompra.gov.co/sites/cce_public/files/cce_documents/cce_guia_para_el_ejercicio_de_las_funciones_de_supervision_e_interventoria_de_los_contratos_del_estado.pdf" TargetMode="External" Id="rId13" /><Relationship Type="http://schemas.openxmlformats.org/officeDocument/2006/relationships/hyperlink" Target="https://nam02.safelinks.protection.outlook.com/?url=https%3A%2F%2Fwww.colombiacompra.gov.co%2Fcontent%2F03-documentos-tipo-para-los-procesos-de-seleccion-de-interventoria-de-obra-publica-de&amp;data=05%7C02%7Csergio.caballero%40colombiacompra.gov.co%7Cb18b651bca3a4eb8eab008dd269b400d%7C7b09041e245149d08cb179d5e3d8c1be%7C0%7C0%7C638709170416077299%7CUnknown%7CTWFpbGZsb3d8eyJFbXB0eU1hcGkiOnRydWUsIlYiOiIwLjAuMDAwMCIsIlAiOiJXaW4zMiIsIkFOIjoiTWFpbCIsIldUIjoyfQ%3D%3D%7C0%7C%7C%7C&amp;sdata=goIL52AyxWERNn51bQghCjaN3FNaGMCqyujn%2B0UnUZ8%3D&amp;reserved=0" TargetMode="External" Id="rId18" /><Relationship Type="http://schemas.openxmlformats.org/officeDocument/2006/relationships/customXml" Target="../customXml/item3.xml" Id="rId3" /><Relationship Type="http://schemas.openxmlformats.org/officeDocument/2006/relationships/image" Target="media/image2.png" Id="rId21" /><Relationship Type="http://schemas.openxmlformats.org/officeDocument/2006/relationships/settings" Target="settings.xml" Id="rId7" /><Relationship Type="http://schemas.openxmlformats.org/officeDocument/2006/relationships/hyperlink" Target="mailto:gpenaloza@atlantico.gov.co" TargetMode="External" Id="rId12" /><Relationship Type="http://schemas.openxmlformats.org/officeDocument/2006/relationships/hyperlink" Target="https://www.colombiacompra.gov.co/sites/cce_public/files/files_2020/boletin_de_realtoria_viii.pdf"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https://www.colombiacompra.gov.co/manuales-guias-y-pliegos-tipo/manuales-y-guias/guia-para-incentivar-la-participacion-de-las-mujeres" TargetMode="External" Id="rId16" /><Relationship Type="http://schemas.openxmlformats.org/officeDocument/2006/relationships/hyperlink" Target="https://nam02.safelinks.protection.outlook.com/?url=https%3A%2F%2Fwww.colombiacompra.gov.co%2Fmanuales-guias-y-pliegos-tipo%2Fmanuales-y-guias%2Fguia-de-contratacion-publica-sostenible-y-socialmente&amp;data=05%7C02%7Csergio.caballero%40colombiacompra.gov.co%7Cb18b651bca3a4eb8eab008dd269b400d%7C7b09041e245149d08cb179d5e3d8c1be%7C0%7C0%7C638709170416113460%7CUnknown%7CTWFpbGZsb3d8eyJFbXB0eU1hcGkiOnRydWUsIlYiOiIwLjAuMDAwMCIsIlAiOiJXaW4zMiIsIkFOIjoiTWFpbCIsIldUIjoyfQ%3D%3D%7C0%7C%7C%7C&amp;sdata=ZVZstfG%2BAVtukTTlKkQoLIAQaoMB2AxJ2o0YamCjIT8%3D&amp;reserved=0"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hyperlink" Target="https://nam02.safelinks.protection.outlook.com/?url=https%3A%2F%2Fwww.colombiacompra.gov.co%2Fmanuales-guias-y-pliegos-tipo%2Fmanuales-y-guias%2Fguia-para-el-manejo-de-ofertas-artificialmente-baja-0&amp;data=05%7C02%7Csergio.caballero%40colombiacompra.gov.co%7C925ae1c2336243aecb2908dd21173dd2%7C7b09041e245149d08cb179d5e3d8c1be%7C0%7C0%7C638703105896351532%7CUnknown%7CTWFpbGZsb3d8eyJFbXB0eU1hcGkiOnRydWUsIlYiOiIwLjAuMDAwMCIsIlAiOiJXaW4zMiIsIkFOIjoiTWFpbCIsIldUIjoyfQ%3D%3D%7C0%7C%7C%7C&amp;sdata=I10CWLN7U2GgVC43ALaje6DbObLei%2FiW0OIn%2BxizJzc%3D&amp;reserved=0" TargetMode="External" Id="rId15" /><Relationship Type="http://schemas.openxmlformats.org/officeDocument/2006/relationships/footer" Target="footer1.xml" Id="rId23" /><Relationship Type="http://schemas.openxmlformats.org/officeDocument/2006/relationships/endnotes" Target="endnotes.xml" Id="rId10" /><Relationship Type="http://schemas.openxmlformats.org/officeDocument/2006/relationships/hyperlink" Target="https://nam02.safelinks.protection.outlook.com/?url=https%3A%2F%2Fwww.colombiacompra.gov.co%2Fcontent%2F02-documentos-tipo-para-los-procesos-de-seleccion-de-consultoria-de-obra-publica-de&amp;data=05%7C02%7Csergio.caballero%40colombiacompra.gov.co%7Cb18b651bca3a4eb8eab008dd269b400d%7C7b09041e245149d08cb179d5e3d8c1be%7C0%7C0%7C638709170416098012%7CUnknown%7CTWFpbGZsb3d8eyJFbXB0eU1hcGkiOnRydWUsIlYiOiIwLjAuMDAwMCIsIlAiOiJXaW4zMiIsIkFOIjoiTWFpbCIsIldUIjoyfQ%3D%3D%7C0%7C%7C%7C&amp;sdata=oCKfS%2B0bdGyBBL%2Be5sUxLHyj645F8CKL9x78i%2Bn1LeQ%3D&amp;reserved=0"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relatoria.colombiacompra.gov.co/" TargetMode="External" Id="rId14" /><Relationship Type="http://schemas.openxmlformats.org/officeDocument/2006/relationships/header" Target="header1.xml" Id="rId22" /></Relationships>
</file>

<file path=word/_rels/footnotes.xml.rels><?xml version="1.0" encoding="UTF-8" standalone="yes"?>
<Relationships xmlns="http://schemas.openxmlformats.org/package/2006/relationships"><Relationship Id="rId3" Type="http://schemas.openxmlformats.org/officeDocument/2006/relationships/hyperlink" Target="http://www.funcionpublica.gov.co/eva/gestornormativo/norma.php?i=73759" TargetMode="External"/><Relationship Id="rId2" Type="http://schemas.openxmlformats.org/officeDocument/2006/relationships/hyperlink" Target="https://operaciones.colombiacompra.gov.co/sites/cce_public/files/cce_documents/cce_guia_para_el_ejercicio_de_las_funciones_de_supervision_e_interventoria_de_los_contratos_del_estado.pdf" TargetMode="External"/><Relationship Id="rId1" Type="http://schemas.openxmlformats.org/officeDocument/2006/relationships/hyperlink" Target="https://operaciones.colombiacompra.gov.co/sites/cce_public/files/cce_documents/cce_guia_para_el_ejercicio_de_las_funciones_de_supervision_e_interventoria_de_los_contratos_del_estado.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garzon/Desktop/CONCEPTOS%20CCE/MAYO%20/PLANTILLA%20PRICIPAL%20.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PLANTILLA PRICIPAL .dotx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Betty Elena Díaz Fernandez</lastModifiedBy>
  <revision>3</revision>
  <dcterms:created xsi:type="dcterms:W3CDTF">2025-05-28T03:27:00.0000000Z</dcterms:created>
  <dcterms:modified xsi:type="dcterms:W3CDTF">2025-05-28T16:52:58.5557520Z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