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54EEA9" w14:textId="77777777" w:rsidR="00BF35DB" w:rsidRDefault="00BF35DB" w:rsidP="00E245AB">
      <w:pPr>
        <w:spacing w:after="0"/>
        <w:rPr>
          <w:rFonts w:ascii="Verdana" w:hAnsi="Verdana"/>
        </w:rPr>
      </w:pPr>
      <w:bookmarkStart w:id="0" w:name="_Hlk143780582"/>
    </w:p>
    <w:p w14:paraId="3D73776C" w14:textId="77777777" w:rsidR="009F7282" w:rsidRDefault="009F7282" w:rsidP="009F7282">
      <w:pPr>
        <w:spacing w:after="0"/>
        <w:rPr>
          <w:rFonts w:ascii="Verdana" w:eastAsia="Calibri" w:hAnsi="Verdana" w:cs="Arial"/>
          <w:b/>
          <w:bCs/>
          <w:lang w:val="es-ES" w:eastAsia="es-ES"/>
        </w:rPr>
      </w:pPr>
      <w:r w:rsidRPr="005A7ADE">
        <w:rPr>
          <w:rFonts w:ascii="Verdana" w:eastAsia="Calibri" w:hAnsi="Verdana" w:cs="Arial"/>
          <w:b/>
          <w:bCs/>
          <w:lang w:val="es-ES" w:eastAsia="es-ES"/>
        </w:rPr>
        <w:t xml:space="preserve">SUBSANABILIDAD DE LAS OFERTAS – Procesos de contratación pública – Alcance – Oportunidad  </w:t>
      </w:r>
    </w:p>
    <w:p w14:paraId="11B944E7" w14:textId="77777777" w:rsidR="009F7282" w:rsidRDefault="009F7282" w:rsidP="009F7282">
      <w:pPr>
        <w:spacing w:after="0"/>
        <w:rPr>
          <w:rFonts w:ascii="Verdana" w:hAnsi="Verdana"/>
        </w:rPr>
      </w:pPr>
    </w:p>
    <w:p w14:paraId="0FEADA34" w14:textId="77777777" w:rsidR="009F7282" w:rsidRPr="005A7ADE" w:rsidRDefault="009F7282" w:rsidP="009F7282">
      <w:pPr>
        <w:spacing w:after="0" w:line="276" w:lineRule="auto"/>
        <w:jc w:val="both"/>
        <w:rPr>
          <w:rFonts w:ascii="Verdana" w:hAnsi="Verdana" w:cs="Arial"/>
          <w:noProof/>
          <w:lang w:val="es-ES_tradnl"/>
        </w:rPr>
      </w:pPr>
      <w:r w:rsidRPr="005A7ADE">
        <w:rPr>
          <w:rFonts w:ascii="Verdana" w:hAnsi="Verdana" w:cs="Arial"/>
          <w:noProof/>
          <w:lang w:val="es-ES_tradnl"/>
        </w:rPr>
        <w:t xml:space="preserve">Esta Subdirección se ha pronunciado en diversas oportunidades acerca del alcance de la regla de la subsanabilidad, contenida actualmente en el parágrafo 1 del artículo 5 de la Ley 1150 de 2007, modificado por el artículo 5 de la Ley 1882 de 2018.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 </w:t>
      </w:r>
    </w:p>
    <w:p w14:paraId="3FC1C858" w14:textId="77777777" w:rsidR="009F7282" w:rsidRDefault="009F7282" w:rsidP="009F7282">
      <w:pPr>
        <w:spacing w:after="0" w:line="276" w:lineRule="auto"/>
        <w:jc w:val="both"/>
        <w:rPr>
          <w:rFonts w:ascii="Verdana" w:hAnsi="Verdana" w:cs="Arial"/>
          <w:noProof/>
          <w:lang w:val="es-ES_tradnl"/>
        </w:rPr>
      </w:pPr>
    </w:p>
    <w:p w14:paraId="082FAE71" w14:textId="50FD485B" w:rsidR="009F7282" w:rsidRPr="00D16A5E" w:rsidRDefault="009F7282" w:rsidP="009F7282">
      <w:pPr>
        <w:spacing w:after="0" w:line="276" w:lineRule="auto"/>
        <w:jc w:val="both"/>
        <w:rPr>
          <w:rFonts w:ascii="Verdana" w:eastAsia="Times New Roman" w:hAnsi="Verdana" w:cs="Arial"/>
          <w:i/>
          <w:lang w:val="es-ES_tradnl" w:eastAsia="es-ES"/>
        </w:rPr>
      </w:pPr>
      <w:r w:rsidRPr="005A7ADE">
        <w:rPr>
          <w:rFonts w:ascii="Verdana" w:hAnsi="Verdana" w:cs="Arial"/>
          <w:noProof/>
          <w:lang w:val="es-ES_tradnl"/>
        </w:rPr>
        <w:t>[…] la Entidad Estatal debe publicar un informe de evaluación preliminar relacionado con los requisitos habilitantes, en el que se deben dar cuenta de las posibles inconsistencias en la acreditación de los mismos, el cual debe ser publicado durante un plazo de cinco (5) días hábiles, durante el cual, les corresponde a los proponentes subsanar aquellos documentos no sometidos a puntaje. Dicho termino de traslado del informe de evaluación es al que se refieren el parágrafo 1 del artículo 5 de la Ley 1150 de 2007, y el 3 del artículo 30 de la Ley 80 de 1993 como oportunidad para subsanar en los procesos de licitación de obra pública.</w:t>
      </w:r>
    </w:p>
    <w:p w14:paraId="2843C9B1" w14:textId="77777777" w:rsidR="009F7282" w:rsidRPr="006107D7" w:rsidRDefault="009F7282" w:rsidP="009F7282">
      <w:pPr>
        <w:spacing w:after="0" w:line="240" w:lineRule="auto"/>
        <w:jc w:val="both"/>
        <w:rPr>
          <w:rFonts w:ascii="Verdana" w:eastAsia="Geomanist Light" w:hAnsi="Verdana" w:cs="Arial"/>
          <w:b/>
          <w:bCs/>
          <w:color w:val="000000" w:themeColor="text1"/>
          <w:lang w:val="es-MX"/>
        </w:rPr>
      </w:pPr>
    </w:p>
    <w:p w14:paraId="4B9D5E52" w14:textId="255B842A" w:rsidR="009F7282" w:rsidRPr="006107D7" w:rsidRDefault="009F7282" w:rsidP="009F7282">
      <w:pPr>
        <w:spacing w:after="0" w:line="240" w:lineRule="auto"/>
        <w:jc w:val="both"/>
        <w:rPr>
          <w:rFonts w:ascii="Verdana" w:eastAsia="Geomanist Light" w:hAnsi="Verdana" w:cs="Arial"/>
          <w:b/>
          <w:bCs/>
          <w:color w:val="000000" w:themeColor="text1"/>
          <w:lang w:val="es-MX"/>
        </w:rPr>
      </w:pPr>
      <w:r w:rsidRPr="006107D7">
        <w:rPr>
          <w:rFonts w:ascii="Verdana" w:eastAsia="Geomanist Light" w:hAnsi="Verdana" w:cs="Arial"/>
          <w:b/>
          <w:bCs/>
          <w:color w:val="000000" w:themeColor="text1"/>
          <w:lang w:val="es-MX"/>
        </w:rPr>
        <w:t>CAUSALES DE RECHAZO – Principio de legalidad – Configuración –</w:t>
      </w:r>
    </w:p>
    <w:p w14:paraId="6F385384" w14:textId="77777777" w:rsidR="009F7282" w:rsidRPr="006107D7" w:rsidRDefault="009F7282" w:rsidP="009F7282">
      <w:pPr>
        <w:spacing w:after="0" w:line="240" w:lineRule="auto"/>
        <w:jc w:val="both"/>
        <w:rPr>
          <w:rFonts w:ascii="Verdana" w:eastAsia="Geomanist Light" w:hAnsi="Verdana" w:cs="Arial"/>
          <w:color w:val="000000" w:themeColor="text1"/>
          <w:lang w:val="es-MX"/>
        </w:rPr>
      </w:pPr>
    </w:p>
    <w:p w14:paraId="5EE8E616" w14:textId="77777777" w:rsidR="009F7282" w:rsidRPr="005A7ADE" w:rsidRDefault="009F7282" w:rsidP="009F7282">
      <w:pPr>
        <w:spacing w:after="0" w:line="240" w:lineRule="auto"/>
        <w:jc w:val="both"/>
        <w:rPr>
          <w:rFonts w:ascii="Verdana" w:eastAsia="Geomanist Light" w:hAnsi="Verdana" w:cs="Arial"/>
          <w:color w:val="000000" w:themeColor="text1"/>
          <w:lang w:val="es-MX"/>
        </w:rPr>
      </w:pPr>
      <w:r w:rsidRPr="005A7ADE">
        <w:rPr>
          <w:rFonts w:ascii="Verdana" w:eastAsia="Geomanist Light" w:hAnsi="Verdana" w:cs="Arial"/>
          <w:color w:val="000000" w:themeColor="text1"/>
          <w:lang w:val="es-MX"/>
        </w:rPr>
        <w:t xml:space="preserve">[…] las causales de rechazo son las establecidas en la ley y las fijadas por la Entidad Estatal en los pliegos de condiciones. No obstante, en el ejercicio de dicha facultad a las entidades no les es dable el establecer causales de rechazo que afecten la selección objetiva en la contratación. […]. </w:t>
      </w:r>
    </w:p>
    <w:p w14:paraId="27CFD301" w14:textId="77777777" w:rsidR="009F7282" w:rsidRDefault="009F7282" w:rsidP="009F7282">
      <w:pPr>
        <w:spacing w:after="0" w:line="240" w:lineRule="auto"/>
        <w:jc w:val="both"/>
        <w:rPr>
          <w:rFonts w:ascii="Verdana" w:eastAsia="Geomanist Light" w:hAnsi="Verdana" w:cs="Arial"/>
          <w:color w:val="000000" w:themeColor="text1"/>
          <w:lang w:val="es-MX"/>
        </w:rPr>
      </w:pPr>
    </w:p>
    <w:p w14:paraId="6ADE8E40" w14:textId="77777777" w:rsidR="009F7282" w:rsidRPr="005A7ADE" w:rsidRDefault="009F7282" w:rsidP="009F7282">
      <w:pPr>
        <w:spacing w:after="0" w:line="240" w:lineRule="auto"/>
        <w:jc w:val="both"/>
        <w:rPr>
          <w:rFonts w:ascii="Verdana" w:eastAsia="Geomanist Light" w:hAnsi="Verdana" w:cs="Arial"/>
          <w:color w:val="000000" w:themeColor="text1"/>
          <w:lang w:val="es-MX"/>
        </w:rPr>
      </w:pPr>
      <w:r w:rsidRPr="005A7ADE">
        <w:rPr>
          <w:rFonts w:ascii="Verdana" w:eastAsia="Geomanist Light" w:hAnsi="Verdana" w:cs="Arial"/>
          <w:color w:val="000000" w:themeColor="text1"/>
          <w:lang w:val="es-MX"/>
        </w:rPr>
        <w:t xml:space="preserve">[…] por la naturaleza propia de las causales de rechazo, su aplicación es estricta y restrictiva, lo que significa que su interpretación gramatical prevalece sobre una interpretación extensiva o de otra índole, mediante la cual se pretenda ampliar su alcance. </w:t>
      </w:r>
    </w:p>
    <w:p w14:paraId="770412A0" w14:textId="77777777" w:rsidR="009F7282" w:rsidRDefault="009F7282" w:rsidP="009F7282">
      <w:pPr>
        <w:spacing w:after="0" w:line="240" w:lineRule="auto"/>
        <w:jc w:val="both"/>
        <w:rPr>
          <w:rFonts w:ascii="Verdana" w:eastAsia="Geomanist Light" w:hAnsi="Verdana" w:cs="Arial"/>
          <w:color w:val="000000" w:themeColor="text1"/>
          <w:lang w:val="es-MX"/>
        </w:rPr>
      </w:pPr>
      <w:r w:rsidRPr="005A7ADE">
        <w:rPr>
          <w:rFonts w:ascii="Verdana" w:eastAsia="Geomanist Light" w:hAnsi="Verdana" w:cs="Arial"/>
          <w:color w:val="000000" w:themeColor="text1"/>
          <w:lang w:val="es-MX"/>
        </w:rPr>
        <w:t>[…]</w:t>
      </w:r>
    </w:p>
    <w:p w14:paraId="724B7B2F" w14:textId="77777777" w:rsidR="009F7282" w:rsidRDefault="009F7282" w:rsidP="009F7282">
      <w:pPr>
        <w:spacing w:after="0" w:line="240" w:lineRule="auto"/>
        <w:rPr>
          <w:rFonts w:ascii="Verdana" w:eastAsia="Geomanist Light" w:hAnsi="Verdana" w:cs="Arial"/>
          <w:color w:val="000000" w:themeColor="text1"/>
          <w:lang w:val="es-MX"/>
        </w:rPr>
      </w:pPr>
    </w:p>
    <w:p w14:paraId="54C1AC0A" w14:textId="77777777" w:rsidR="009F7282" w:rsidRDefault="009F7282" w:rsidP="009F7282">
      <w:pPr>
        <w:spacing w:after="0" w:line="240" w:lineRule="auto"/>
        <w:rPr>
          <w:rFonts w:ascii="Verdana" w:eastAsia="Geomanist Light" w:hAnsi="Verdana" w:cs="Arial"/>
          <w:color w:val="000000" w:themeColor="text1"/>
          <w:lang w:val="es-MX"/>
        </w:rPr>
      </w:pPr>
    </w:p>
    <w:p w14:paraId="24F1E01D" w14:textId="77777777" w:rsidR="009F7282" w:rsidRDefault="009F7282" w:rsidP="009F7282">
      <w:pPr>
        <w:spacing w:after="0" w:line="240" w:lineRule="auto"/>
        <w:rPr>
          <w:rFonts w:ascii="Verdana" w:eastAsia="Geomanist Light" w:hAnsi="Verdana" w:cs="Arial"/>
          <w:color w:val="000000" w:themeColor="text1"/>
          <w:lang w:val="es-MX"/>
        </w:rPr>
      </w:pPr>
    </w:p>
    <w:p w14:paraId="739C28A5" w14:textId="0C0931B6" w:rsidR="007E4284" w:rsidRDefault="00E245AB" w:rsidP="00E245AB">
      <w:pPr>
        <w:spacing w:after="0"/>
        <w:rPr>
          <w:rFonts w:ascii="Verdana" w:hAnsi="Verdana"/>
        </w:rPr>
      </w:pPr>
      <w:r w:rsidRPr="0044528D">
        <w:rPr>
          <w:rFonts w:ascii="Verdana" w:hAnsi="Verdana"/>
        </w:rPr>
        <w:lastRenderedPageBreak/>
        <w:t xml:space="preserve">Bogotá D.C., </w:t>
      </w:r>
      <w:r w:rsidR="009C43AA">
        <w:rPr>
          <w:rFonts w:ascii="Verdana" w:hAnsi="Verdana"/>
        </w:rPr>
        <w:t>18 de septiembre de 2024</w:t>
      </w:r>
    </w:p>
    <w:p w14:paraId="48D02DB0" w14:textId="77777777" w:rsidR="007E4284" w:rsidRDefault="007E4284" w:rsidP="00E245AB">
      <w:pPr>
        <w:spacing w:after="0"/>
        <w:rPr>
          <w:rFonts w:ascii="Verdana" w:hAnsi="Verdana"/>
        </w:rPr>
      </w:pPr>
    </w:p>
    <w:p w14:paraId="75759A91" w14:textId="77777777" w:rsidR="007E4284" w:rsidRDefault="007E4284" w:rsidP="00E245AB">
      <w:pPr>
        <w:spacing w:after="0"/>
        <w:rPr>
          <w:rFonts w:ascii="Verdana" w:hAnsi="Verdana"/>
        </w:rPr>
      </w:pPr>
    </w:p>
    <w:p w14:paraId="3BB7A084" w14:textId="77777777" w:rsidR="007E4284" w:rsidRPr="00560511" w:rsidRDefault="007E4284" w:rsidP="007E4284">
      <w:pPr>
        <w:spacing w:after="0" w:line="240" w:lineRule="auto"/>
        <w:jc w:val="both"/>
        <w:rPr>
          <w:rFonts w:ascii="Verdana" w:eastAsia="Calibri" w:hAnsi="Verdana" w:cs="Arial"/>
          <w:lang w:eastAsia="es-ES"/>
        </w:rPr>
      </w:pPr>
      <w:r w:rsidRPr="00560511">
        <w:rPr>
          <w:rFonts w:ascii="Verdana" w:eastAsia="Calibri" w:hAnsi="Verdana" w:cs="Arial"/>
          <w:lang w:eastAsia="es-ES"/>
        </w:rPr>
        <w:t>Señor</w:t>
      </w:r>
    </w:p>
    <w:p w14:paraId="0E95BAE7" w14:textId="77777777" w:rsidR="007E4284" w:rsidRDefault="007E4284" w:rsidP="007E4284">
      <w:pPr>
        <w:spacing w:after="0" w:line="240" w:lineRule="auto"/>
        <w:rPr>
          <w:rFonts w:ascii="Verdana" w:eastAsia="Calibri" w:hAnsi="Verdana" w:cs="Arial"/>
          <w:b/>
          <w:bCs/>
          <w:lang w:eastAsia="es-ES_tradnl"/>
        </w:rPr>
      </w:pPr>
      <w:r w:rsidRPr="00FC1099">
        <w:rPr>
          <w:rFonts w:ascii="Verdana" w:eastAsia="Calibri" w:hAnsi="Verdana" w:cs="Arial"/>
          <w:b/>
          <w:bCs/>
          <w:lang w:eastAsia="es-ES_tradnl"/>
        </w:rPr>
        <w:t>ANDRES FERNANDO RAMIREZ MONCAYO</w:t>
      </w:r>
    </w:p>
    <w:p w14:paraId="212FE651" w14:textId="77777777" w:rsidR="007E4284" w:rsidRPr="00560511" w:rsidRDefault="007E4284" w:rsidP="007E4284">
      <w:pPr>
        <w:spacing w:after="0" w:line="240" w:lineRule="auto"/>
        <w:rPr>
          <w:rFonts w:ascii="Verdana" w:eastAsia="Calibri" w:hAnsi="Verdana" w:cs="Arial"/>
          <w:u w:val="single"/>
          <w:lang w:eastAsia="es-ES"/>
        </w:rPr>
      </w:pPr>
      <w:r>
        <w:rPr>
          <w:rFonts w:ascii="Verdana" w:eastAsia="Calibri" w:hAnsi="Verdana" w:cs="Arial"/>
          <w:u w:val="single"/>
          <w:lang w:eastAsia="es-ES"/>
        </w:rPr>
        <w:t>fabrilar</w:t>
      </w:r>
      <w:r w:rsidRPr="00560511">
        <w:rPr>
          <w:rFonts w:ascii="Verdana" w:eastAsia="Calibri" w:hAnsi="Verdana" w:cs="Arial"/>
          <w:u w:val="single"/>
          <w:lang w:eastAsia="es-ES"/>
        </w:rPr>
        <w:t>@</w:t>
      </w:r>
      <w:r>
        <w:rPr>
          <w:rFonts w:ascii="Verdana" w:eastAsia="Calibri" w:hAnsi="Verdana" w:cs="Arial"/>
          <w:u w:val="single"/>
          <w:lang w:eastAsia="es-ES"/>
        </w:rPr>
        <w:t>outlook</w:t>
      </w:r>
      <w:r w:rsidRPr="00560511">
        <w:rPr>
          <w:rFonts w:ascii="Verdana" w:eastAsia="Calibri" w:hAnsi="Verdana" w:cs="Arial"/>
          <w:u w:val="single"/>
          <w:lang w:eastAsia="es-ES"/>
        </w:rPr>
        <w:t>.</w:t>
      </w:r>
      <w:r>
        <w:rPr>
          <w:rFonts w:ascii="Verdana" w:eastAsia="Calibri" w:hAnsi="Verdana" w:cs="Arial"/>
          <w:u w:val="single"/>
          <w:lang w:eastAsia="es-ES"/>
        </w:rPr>
        <w:t>c</w:t>
      </w:r>
      <w:r w:rsidRPr="00560511">
        <w:rPr>
          <w:rFonts w:ascii="Verdana" w:eastAsia="Calibri" w:hAnsi="Verdana" w:cs="Arial"/>
          <w:u w:val="single"/>
          <w:lang w:eastAsia="es-ES"/>
        </w:rPr>
        <w:t>o</w:t>
      </w:r>
      <w:r>
        <w:rPr>
          <w:rFonts w:ascii="Verdana" w:eastAsia="Calibri" w:hAnsi="Verdana" w:cs="Arial"/>
          <w:u w:val="single"/>
          <w:lang w:eastAsia="es-ES"/>
        </w:rPr>
        <w:t>m</w:t>
      </w:r>
    </w:p>
    <w:p w14:paraId="45A38652" w14:textId="77777777" w:rsidR="007E4284" w:rsidRDefault="007E4284" w:rsidP="007E4284">
      <w:pPr>
        <w:spacing w:after="0" w:line="240" w:lineRule="auto"/>
        <w:rPr>
          <w:rFonts w:ascii="Verdana" w:eastAsia="Calibri" w:hAnsi="Verdana" w:cs="Arial"/>
          <w:lang w:val="es-ES" w:eastAsia="es-ES"/>
        </w:rPr>
      </w:pPr>
      <w:r>
        <w:rPr>
          <w:rFonts w:ascii="Verdana" w:eastAsia="Calibri" w:hAnsi="Verdana" w:cs="Arial"/>
          <w:lang w:val="es-ES" w:eastAsia="es-ES"/>
        </w:rPr>
        <w:t>Bogotá D.C.</w:t>
      </w:r>
    </w:p>
    <w:p w14:paraId="261A2E60" w14:textId="77777777" w:rsidR="009C43AA" w:rsidRDefault="009C43AA" w:rsidP="007E4284">
      <w:pPr>
        <w:spacing w:after="0" w:line="240" w:lineRule="auto"/>
        <w:rPr>
          <w:rFonts w:ascii="Verdana" w:eastAsia="Calibri" w:hAnsi="Verdana" w:cs="Arial"/>
          <w:lang w:val="es-ES" w:eastAsia="es-ES"/>
        </w:rPr>
      </w:pPr>
    </w:p>
    <w:p w14:paraId="0E0378F8" w14:textId="65053BD9" w:rsidR="009C43AA" w:rsidRPr="00B96799" w:rsidRDefault="009C43AA" w:rsidP="009C43AA">
      <w:pPr>
        <w:spacing w:after="0" w:line="240" w:lineRule="auto"/>
        <w:jc w:val="right"/>
        <w:rPr>
          <w:rFonts w:ascii="Verdana" w:eastAsia="Calibri" w:hAnsi="Verdana" w:cs="Arial"/>
          <w:b/>
          <w:bCs/>
          <w:lang w:val="es-ES" w:eastAsia="es-ES"/>
        </w:rPr>
      </w:pPr>
      <w:r>
        <w:rPr>
          <w:rFonts w:ascii="Verdana" w:eastAsia="Calibri" w:hAnsi="Verdana" w:cs="Arial"/>
          <w:b/>
          <w:bCs/>
          <w:noProof/>
          <w:lang w:val="es-ES" w:eastAsia="es-ES"/>
        </w:rPr>
        <w:drawing>
          <wp:inline distT="0" distB="0" distL="0" distR="0" wp14:anchorId="29E28B8D" wp14:editId="53B1BF50">
            <wp:extent cx="2676525" cy="762000"/>
            <wp:effectExtent l="0" t="0" r="9525" b="0"/>
            <wp:docPr id="19165506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6525" cy="762000"/>
                    </a:xfrm>
                    <a:prstGeom prst="rect">
                      <a:avLst/>
                    </a:prstGeom>
                    <a:noFill/>
                    <a:ln>
                      <a:noFill/>
                    </a:ln>
                  </pic:spPr>
                </pic:pic>
              </a:graphicData>
            </a:graphic>
          </wp:inline>
        </w:drawing>
      </w:r>
    </w:p>
    <w:p w14:paraId="2D64C9E9" w14:textId="77777777" w:rsidR="007E4284" w:rsidRPr="00593A5F" w:rsidRDefault="007E4284" w:rsidP="007E4284">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804"/>
      </w:tblGrid>
      <w:tr w:rsidR="009F7282" w:rsidRPr="00593A5F" w14:paraId="7CE9D6DB" w14:textId="77777777" w:rsidTr="00BF7FDC">
        <w:trPr>
          <w:trHeight w:val="884"/>
        </w:trPr>
        <w:tc>
          <w:tcPr>
            <w:tcW w:w="2410" w:type="dxa"/>
          </w:tcPr>
          <w:p w14:paraId="0EA2CC7C" w14:textId="77777777" w:rsidR="009F7282" w:rsidRPr="00E5644F" w:rsidRDefault="009F7282" w:rsidP="00BF7FDC">
            <w:pPr>
              <w:jc w:val="both"/>
              <w:rPr>
                <w:rFonts w:ascii="Verdana" w:eastAsia="Calibri" w:hAnsi="Verdana" w:cs="Arial"/>
                <w:b/>
                <w:bCs/>
                <w:color w:val="7030A0"/>
                <w:lang w:val="es-ES_tradnl" w:eastAsia="es-ES_tradnl"/>
              </w:rPr>
            </w:pPr>
          </w:p>
        </w:tc>
        <w:tc>
          <w:tcPr>
            <w:tcW w:w="6804" w:type="dxa"/>
          </w:tcPr>
          <w:p w14:paraId="168B668C" w14:textId="77777777" w:rsidR="009F7282" w:rsidRPr="00E5644F" w:rsidRDefault="009F7282" w:rsidP="00BF7FDC">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441 </w:t>
            </w:r>
            <w:r w:rsidRPr="00E5644F">
              <w:rPr>
                <w:rFonts w:ascii="Verdana" w:eastAsia="Calibri" w:hAnsi="Verdana" w:cs="Arial"/>
                <w:b/>
                <w:bCs/>
                <w:lang w:val="es-ES" w:eastAsia="es-ES"/>
              </w:rPr>
              <w:t>de 2024</w:t>
            </w:r>
          </w:p>
        </w:tc>
      </w:tr>
      <w:tr w:rsidR="009F7282" w:rsidRPr="00593A5F" w14:paraId="16177B89" w14:textId="77777777" w:rsidTr="00BF7FDC">
        <w:trPr>
          <w:trHeight w:val="884"/>
        </w:trPr>
        <w:tc>
          <w:tcPr>
            <w:tcW w:w="2410" w:type="dxa"/>
          </w:tcPr>
          <w:p w14:paraId="31E49322" w14:textId="77777777" w:rsidR="009F7282" w:rsidRPr="00593A5F" w:rsidRDefault="009F7282" w:rsidP="00BF7FDC">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tcPr>
          <w:p w14:paraId="28ED57B2" w14:textId="77777777" w:rsidR="009F7282" w:rsidRDefault="009F7282" w:rsidP="00BF7FDC">
            <w:pPr>
              <w:spacing w:line="276" w:lineRule="auto"/>
              <w:jc w:val="both"/>
              <w:rPr>
                <w:rFonts w:ascii="Verdana" w:eastAsia="Calibri" w:hAnsi="Verdana" w:cs="Arial"/>
                <w:lang w:val="es-ES" w:eastAsia="es-ES"/>
              </w:rPr>
            </w:pPr>
            <w:r w:rsidRPr="000F57DE">
              <w:rPr>
                <w:rFonts w:ascii="Verdana" w:eastAsia="Calibri" w:hAnsi="Verdana" w:cs="Arial"/>
                <w:lang w:val="es-ES" w:eastAsia="es-ES"/>
              </w:rPr>
              <w:t xml:space="preserve">SUBSANABILIDAD DE LAS OFERTAS – Procesos de contratación pública – Alcance – Oportunidad / CAUSALES DE RECHAZO – Naturaleza – interpretación restrictiva </w:t>
            </w:r>
          </w:p>
          <w:p w14:paraId="344A010F" w14:textId="77777777" w:rsidR="009F7282" w:rsidRPr="00E6165F" w:rsidRDefault="009F7282" w:rsidP="00BF7FDC">
            <w:pPr>
              <w:spacing w:line="276" w:lineRule="auto"/>
              <w:jc w:val="both"/>
              <w:rPr>
                <w:rFonts w:ascii="Verdana" w:eastAsia="Calibri" w:hAnsi="Verdana" w:cs="Arial"/>
                <w:lang w:val="es-ES" w:eastAsia="es-ES"/>
              </w:rPr>
            </w:pPr>
          </w:p>
        </w:tc>
      </w:tr>
      <w:tr w:rsidR="009F7282" w:rsidRPr="00593A5F" w14:paraId="76E8493C" w14:textId="77777777" w:rsidTr="00BF7FDC">
        <w:tc>
          <w:tcPr>
            <w:tcW w:w="2410" w:type="dxa"/>
          </w:tcPr>
          <w:p w14:paraId="1DEAFD81" w14:textId="77777777" w:rsidR="009F7282" w:rsidRPr="006730E9" w:rsidRDefault="009F7282" w:rsidP="00BF7FDC">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tcPr>
          <w:p w14:paraId="5B0C0352" w14:textId="77777777" w:rsidR="009F7282" w:rsidRPr="006730E9" w:rsidRDefault="009F7282" w:rsidP="00BF7FDC">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FC1099">
              <w:rPr>
                <w:rFonts w:ascii="Verdana" w:eastAsia="Calibri" w:hAnsi="Verdana" w:cs="Arial"/>
                <w:lang w:val="es-ES_tradnl" w:eastAsia="es-ES_tradnl"/>
              </w:rPr>
              <w:t>P20240805008037</w:t>
            </w:r>
          </w:p>
        </w:tc>
      </w:tr>
    </w:tbl>
    <w:p w14:paraId="484E8AF1" w14:textId="77777777" w:rsidR="009F7282" w:rsidRPr="00593A5F" w:rsidRDefault="009F7282" w:rsidP="009F7282">
      <w:pPr>
        <w:spacing w:after="0" w:line="240" w:lineRule="auto"/>
        <w:jc w:val="both"/>
        <w:rPr>
          <w:rFonts w:ascii="Verdana" w:eastAsia="Calibri" w:hAnsi="Verdana" w:cs="Arial"/>
          <w:color w:val="000000"/>
          <w:lang w:val="es-ES_tradnl" w:eastAsia="es-ES_tradnl"/>
        </w:rPr>
      </w:pPr>
    </w:p>
    <w:p w14:paraId="08351B0B" w14:textId="77777777" w:rsidR="009F7282" w:rsidRPr="00593A5F" w:rsidRDefault="009F7282" w:rsidP="009F7282">
      <w:pPr>
        <w:spacing w:after="0" w:line="240" w:lineRule="auto"/>
        <w:jc w:val="both"/>
        <w:rPr>
          <w:rFonts w:ascii="Verdana" w:eastAsia="Calibri" w:hAnsi="Verdana" w:cs="Arial"/>
          <w:color w:val="000000"/>
          <w:lang w:val="es-ES_tradnl" w:eastAsia="es-ES_tradnl"/>
        </w:rPr>
      </w:pPr>
    </w:p>
    <w:p w14:paraId="785B2027" w14:textId="77777777" w:rsidR="009F7282" w:rsidRPr="006730E9" w:rsidRDefault="009F7282" w:rsidP="009F7282">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 xml:space="preserve">señor </w:t>
      </w:r>
      <w:r>
        <w:rPr>
          <w:rFonts w:ascii="Verdana" w:eastAsia="Calibri" w:hAnsi="Verdana" w:cs="Arial"/>
          <w:lang w:val="es-ES" w:eastAsia="es-ES"/>
        </w:rPr>
        <w:t>Ramírez;</w:t>
      </w:r>
      <w:r w:rsidRPr="006730E9">
        <w:rPr>
          <w:rFonts w:ascii="Verdana" w:eastAsia="Calibri" w:hAnsi="Verdana" w:cs="Arial"/>
          <w:lang w:val="es-ES" w:eastAsia="es-ES"/>
        </w:rPr>
        <w:t xml:space="preserve"> </w:t>
      </w:r>
    </w:p>
    <w:p w14:paraId="5AED69FC" w14:textId="77777777" w:rsidR="009F7282" w:rsidRDefault="009F7282" w:rsidP="009F7282">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107BF16" w14:textId="77777777" w:rsidR="009F7282" w:rsidRPr="006730E9" w:rsidRDefault="009F7282" w:rsidP="009F7282">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5 de </w:t>
      </w:r>
      <w:r>
        <w:rPr>
          <w:rFonts w:ascii="Verdana" w:eastAsia="Calibri" w:hAnsi="Verdana" w:cs="Arial"/>
          <w:lang w:val="es-ES" w:eastAsia="es-ES"/>
        </w:rPr>
        <w:t>agosto</w:t>
      </w:r>
      <w:r w:rsidRPr="00E5644F">
        <w:rPr>
          <w:rFonts w:ascii="Verdana" w:eastAsia="Calibri" w:hAnsi="Verdana" w:cs="Arial"/>
          <w:lang w:val="es-ES" w:eastAsia="es-ES"/>
        </w:rPr>
        <w:t xml:space="preserve"> de 2024, en</w:t>
      </w:r>
      <w:r w:rsidRPr="006730E9">
        <w:rPr>
          <w:rFonts w:ascii="Verdana" w:eastAsia="Calibri" w:hAnsi="Verdana" w:cs="Arial"/>
          <w:lang w:val="es-ES" w:eastAsia="es-ES"/>
        </w:rPr>
        <w:t xml:space="preserve"> la cual manifiesta lo siguiente: </w:t>
      </w:r>
    </w:p>
    <w:p w14:paraId="013AA755" w14:textId="77777777" w:rsidR="007E4284" w:rsidRPr="00326382" w:rsidRDefault="007E4284" w:rsidP="007E4284">
      <w:pPr>
        <w:spacing w:after="0" w:line="240" w:lineRule="auto"/>
        <w:ind w:left="709" w:right="709"/>
        <w:jc w:val="both"/>
        <w:rPr>
          <w:rFonts w:ascii="Verdana" w:hAnsi="Verdana" w:cs="Arial"/>
          <w:sz w:val="20"/>
          <w:szCs w:val="20"/>
          <w:shd w:val="clear" w:color="auto" w:fill="FFFFFF"/>
        </w:rPr>
      </w:pPr>
      <w:bookmarkStart w:id="1" w:name="_Hlk95313578"/>
    </w:p>
    <w:bookmarkEnd w:id="1"/>
    <w:p w14:paraId="4232106A" w14:textId="77777777" w:rsidR="007E4284" w:rsidRDefault="007E4284" w:rsidP="007E4284">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r>
        <w:rPr>
          <w:rFonts w:ascii="Verdana" w:eastAsia="Century Gothic" w:hAnsi="Verdana" w:cs="Century Gothic"/>
          <w:i/>
          <w:iCs/>
          <w:lang w:val="es-CO"/>
        </w:rPr>
        <w:t>(…)</w:t>
      </w:r>
    </w:p>
    <w:p w14:paraId="15AC969E" w14:textId="77777777" w:rsidR="007E4284" w:rsidRPr="00BA66D5" w:rsidRDefault="007E4284" w:rsidP="007E4284">
      <w:pPr>
        <w:spacing w:after="0" w:line="276" w:lineRule="auto"/>
        <w:ind w:firstLine="709"/>
        <w:jc w:val="both"/>
        <w:rPr>
          <w:rFonts w:ascii="Verdana" w:eastAsia="Century Gothic" w:hAnsi="Verdana" w:cs="Century Gothic"/>
          <w:i/>
          <w:iCs/>
        </w:rPr>
      </w:pPr>
    </w:p>
    <w:p w14:paraId="191ADDC1" w14:textId="77777777" w:rsidR="007E4284" w:rsidRDefault="007E4284" w:rsidP="007E4284">
      <w:pPr>
        <w:spacing w:after="0" w:line="276" w:lineRule="auto"/>
        <w:ind w:left="709" w:right="758"/>
        <w:jc w:val="both"/>
        <w:rPr>
          <w:rFonts w:ascii="Verdana" w:eastAsia="Century Gothic" w:hAnsi="Verdana" w:cs="Century Gothic"/>
          <w:i/>
          <w:iCs/>
        </w:rPr>
      </w:pPr>
      <w:r w:rsidRPr="00BA66D5">
        <w:rPr>
          <w:rFonts w:ascii="Verdana" w:eastAsia="Century Gothic" w:hAnsi="Verdana" w:cs="Century Gothic"/>
          <w:i/>
          <w:iCs/>
        </w:rPr>
        <w:t xml:space="preserve"> </w:t>
      </w:r>
      <w:r w:rsidRPr="00FC1099">
        <w:rPr>
          <w:rFonts w:ascii="Verdana" w:eastAsia="Century Gothic" w:hAnsi="Verdana" w:cs="Century Gothic"/>
          <w:i/>
          <w:iCs/>
        </w:rPr>
        <w:t>SOLICITO AMABLEMENTE ME DEN UN CONCEPTO SOBRE</w:t>
      </w:r>
    </w:p>
    <w:p w14:paraId="36B9EAFD" w14:textId="77777777" w:rsidR="007E4284" w:rsidRPr="00FC1099" w:rsidRDefault="007E4284" w:rsidP="007E4284">
      <w:pPr>
        <w:spacing w:after="0" w:line="276" w:lineRule="auto"/>
        <w:ind w:left="709" w:right="758"/>
        <w:jc w:val="both"/>
        <w:rPr>
          <w:rFonts w:ascii="Verdana" w:eastAsia="Century Gothic" w:hAnsi="Verdana" w:cs="Century Gothic"/>
          <w:i/>
          <w:iCs/>
        </w:rPr>
      </w:pPr>
    </w:p>
    <w:p w14:paraId="1578B664" w14:textId="77777777" w:rsidR="007E4284" w:rsidRPr="00FC1099" w:rsidRDefault="007E4284" w:rsidP="007E4284">
      <w:pPr>
        <w:pStyle w:val="Prrafodelista"/>
        <w:numPr>
          <w:ilvl w:val="0"/>
          <w:numId w:val="17"/>
        </w:numPr>
        <w:spacing w:after="0" w:line="276" w:lineRule="auto"/>
        <w:ind w:right="758" w:hanging="76"/>
        <w:jc w:val="both"/>
        <w:rPr>
          <w:rFonts w:ascii="Verdana" w:eastAsia="Century Gothic" w:hAnsi="Verdana" w:cs="Century Gothic"/>
          <w:i/>
          <w:iCs/>
        </w:rPr>
      </w:pPr>
      <w:r w:rsidRPr="00FC1099">
        <w:rPr>
          <w:rFonts w:ascii="Verdana" w:eastAsia="Century Gothic" w:hAnsi="Verdana" w:cs="Century Gothic"/>
          <w:i/>
          <w:iCs/>
        </w:rPr>
        <w:t>¿Si la duración de la Unión Temporal no está acorde con lo requerido por el Pliego de Condiciones porque no considera el termino de liquidación del contrato, se puede subsanar?</w:t>
      </w:r>
    </w:p>
    <w:p w14:paraId="52F9E2EF" w14:textId="77777777" w:rsidR="007E4284" w:rsidRPr="00FC1099" w:rsidRDefault="007E4284" w:rsidP="007E4284">
      <w:pPr>
        <w:pStyle w:val="Prrafodelista"/>
        <w:spacing w:after="0" w:line="276" w:lineRule="auto"/>
        <w:ind w:left="1069" w:right="758" w:hanging="76"/>
        <w:jc w:val="both"/>
        <w:rPr>
          <w:rFonts w:ascii="Verdana" w:eastAsia="Century Gothic" w:hAnsi="Verdana" w:cs="Century Gothic"/>
          <w:i/>
          <w:iCs/>
        </w:rPr>
      </w:pPr>
    </w:p>
    <w:p w14:paraId="5783C509" w14:textId="77777777" w:rsidR="007E4284" w:rsidRPr="00FC1099" w:rsidRDefault="007E4284" w:rsidP="007E4284">
      <w:pPr>
        <w:spacing w:after="0" w:line="276" w:lineRule="auto"/>
        <w:ind w:left="1069" w:right="758" w:hanging="76"/>
        <w:jc w:val="both"/>
        <w:rPr>
          <w:rFonts w:ascii="Verdana" w:eastAsia="Century Gothic" w:hAnsi="Verdana" w:cs="Century Gothic"/>
          <w:i/>
          <w:iCs/>
        </w:rPr>
      </w:pPr>
      <w:r w:rsidRPr="00FC1099">
        <w:rPr>
          <w:rFonts w:ascii="Verdana" w:eastAsia="Century Gothic" w:hAnsi="Verdana" w:cs="Century Gothic"/>
          <w:i/>
          <w:iCs/>
        </w:rPr>
        <w:lastRenderedPageBreak/>
        <w:t>2. Si se establece como causal de rechazo el cumplimiento de la duración de la</w:t>
      </w:r>
      <w:r>
        <w:rPr>
          <w:rFonts w:ascii="Verdana" w:eastAsia="Century Gothic" w:hAnsi="Verdana" w:cs="Century Gothic"/>
          <w:i/>
          <w:iCs/>
        </w:rPr>
        <w:t xml:space="preserve"> </w:t>
      </w:r>
      <w:r w:rsidRPr="00FC1099">
        <w:rPr>
          <w:rFonts w:ascii="Verdana" w:eastAsia="Century Gothic" w:hAnsi="Verdana" w:cs="Century Gothic"/>
          <w:i/>
          <w:iCs/>
        </w:rPr>
        <w:t>Unión Temporal se puede subsanar si no se incluyó el tiempo de liquidación?</w:t>
      </w:r>
    </w:p>
    <w:p w14:paraId="752ADEC8" w14:textId="77777777" w:rsidR="007E4284" w:rsidRDefault="007E4284" w:rsidP="007E4284">
      <w:pPr>
        <w:spacing w:after="0" w:line="276" w:lineRule="auto"/>
        <w:ind w:firstLine="709"/>
        <w:jc w:val="both"/>
        <w:rPr>
          <w:rFonts w:ascii="Verdana" w:eastAsia="Calibri" w:hAnsi="Verdana" w:cs="Arial"/>
          <w:color w:val="000000"/>
          <w:lang w:val="es-ES" w:eastAsia="es-ES"/>
        </w:rPr>
      </w:pPr>
    </w:p>
    <w:p w14:paraId="08B189CF" w14:textId="77777777" w:rsidR="007E4284" w:rsidRPr="00593A5F" w:rsidRDefault="007E4284" w:rsidP="007E428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E007416" w14:textId="77777777" w:rsidR="007E4284" w:rsidRPr="00593A5F" w:rsidRDefault="007E4284" w:rsidP="007E4284">
      <w:pPr>
        <w:tabs>
          <w:tab w:val="left" w:pos="426"/>
        </w:tabs>
        <w:spacing w:after="0" w:line="276" w:lineRule="auto"/>
        <w:jc w:val="both"/>
        <w:rPr>
          <w:rFonts w:ascii="Verdana" w:eastAsia="Century Gothic" w:hAnsi="Verdana" w:cs="Century Gothic"/>
          <w:lang w:val="es-ES"/>
        </w:rPr>
      </w:pPr>
    </w:p>
    <w:p w14:paraId="12723814" w14:textId="77777777" w:rsidR="007E4284" w:rsidRDefault="007E4284" w:rsidP="007E4284">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w:t>
      </w:r>
      <w:r>
        <w:rPr>
          <w:rFonts w:ascii="Verdana" w:eastAsia="Century Gothic" w:hAnsi="Verdana" w:cs="Century Gothic"/>
        </w:rPr>
        <w:t xml:space="preserve"> </w:t>
      </w:r>
      <w:r w:rsidRPr="00593A5F">
        <w:rPr>
          <w:rFonts w:ascii="Verdana" w:eastAsia="Century Gothic" w:hAnsi="Verdana" w:cs="Century Gothic"/>
        </w:rPr>
        <w:t xml:space="preserve">problema jurídico: </w:t>
      </w:r>
    </w:p>
    <w:p w14:paraId="42DE00B3" w14:textId="77777777" w:rsidR="007E4284" w:rsidRDefault="007E4284" w:rsidP="007E4284">
      <w:pPr>
        <w:spacing w:after="0" w:line="276" w:lineRule="auto"/>
        <w:jc w:val="both"/>
        <w:rPr>
          <w:rFonts w:ascii="Verdana" w:eastAsia="Century Gothic" w:hAnsi="Verdana" w:cs="Century Gothic"/>
        </w:rPr>
      </w:pPr>
    </w:p>
    <w:p w14:paraId="59CDBE06" w14:textId="77777777" w:rsidR="009F7282" w:rsidRDefault="009F7282" w:rsidP="009F7282">
      <w:pPr>
        <w:pStyle w:val="Prrafodelista"/>
        <w:spacing w:after="0" w:line="276" w:lineRule="auto"/>
        <w:ind w:left="426" w:right="1041"/>
        <w:jc w:val="both"/>
        <w:rPr>
          <w:rFonts w:ascii="Verdana" w:eastAsia="Century Gothic" w:hAnsi="Verdana" w:cs="Century Gothic"/>
          <w:i/>
          <w:iCs/>
          <w:lang w:val="es-CO"/>
        </w:rPr>
      </w:pPr>
      <w:r>
        <w:rPr>
          <w:rFonts w:ascii="Verdana" w:eastAsia="Century Gothic" w:hAnsi="Verdana" w:cs="Century Gothic"/>
          <w:i/>
          <w:iCs/>
          <w:lang w:val="es-CO"/>
        </w:rPr>
        <w:t xml:space="preserve">¿Se puede subsanar el tiempo de </w:t>
      </w:r>
      <w:r w:rsidRPr="00BE78A7">
        <w:rPr>
          <w:rFonts w:ascii="Verdana" w:eastAsia="Century Gothic" w:hAnsi="Verdana" w:cs="Century Gothic"/>
          <w:i/>
          <w:iCs/>
          <w:lang w:val="es-CO"/>
        </w:rPr>
        <w:t xml:space="preserve">duración de </w:t>
      </w:r>
      <w:r>
        <w:rPr>
          <w:rFonts w:ascii="Verdana" w:eastAsia="Century Gothic" w:hAnsi="Verdana" w:cs="Century Gothic"/>
          <w:i/>
          <w:iCs/>
          <w:lang w:val="es-CO"/>
        </w:rPr>
        <w:t>una</w:t>
      </w:r>
      <w:r w:rsidRPr="00BE78A7">
        <w:rPr>
          <w:rFonts w:ascii="Verdana" w:eastAsia="Century Gothic" w:hAnsi="Verdana" w:cs="Century Gothic"/>
          <w:i/>
          <w:iCs/>
          <w:lang w:val="es-CO"/>
        </w:rPr>
        <w:t xml:space="preserve"> Unión Temporal</w:t>
      </w:r>
      <w:r>
        <w:rPr>
          <w:rFonts w:ascii="Verdana" w:eastAsia="Century Gothic" w:hAnsi="Verdana" w:cs="Century Gothic"/>
          <w:i/>
          <w:iCs/>
          <w:lang w:val="es-CO"/>
        </w:rPr>
        <w:t xml:space="preserve"> cuando</w:t>
      </w:r>
      <w:r w:rsidRPr="00BE78A7">
        <w:rPr>
          <w:rFonts w:ascii="Verdana" w:eastAsia="Century Gothic" w:hAnsi="Verdana" w:cs="Century Gothic"/>
          <w:i/>
          <w:iCs/>
          <w:lang w:val="es-CO"/>
        </w:rPr>
        <w:t xml:space="preserve"> es </w:t>
      </w:r>
      <w:r>
        <w:rPr>
          <w:rFonts w:ascii="Verdana" w:eastAsia="Century Gothic" w:hAnsi="Verdana" w:cs="Century Gothic"/>
          <w:i/>
          <w:iCs/>
          <w:lang w:val="es-CO"/>
        </w:rPr>
        <w:t>inferior al</w:t>
      </w:r>
      <w:r w:rsidRPr="00BE78A7">
        <w:rPr>
          <w:rFonts w:ascii="Verdana" w:eastAsia="Century Gothic" w:hAnsi="Verdana" w:cs="Century Gothic"/>
          <w:i/>
          <w:iCs/>
          <w:lang w:val="es-CO"/>
        </w:rPr>
        <w:t xml:space="preserve"> </w:t>
      </w:r>
      <w:r>
        <w:rPr>
          <w:rFonts w:ascii="Verdana" w:eastAsia="Century Gothic" w:hAnsi="Verdana" w:cs="Century Gothic"/>
          <w:i/>
          <w:iCs/>
          <w:lang w:val="es-CO"/>
        </w:rPr>
        <w:t>exigido</w:t>
      </w:r>
      <w:r w:rsidRPr="00BE78A7">
        <w:rPr>
          <w:rFonts w:ascii="Verdana" w:eastAsia="Century Gothic" w:hAnsi="Verdana" w:cs="Century Gothic"/>
          <w:i/>
          <w:iCs/>
          <w:lang w:val="es-CO"/>
        </w:rPr>
        <w:t xml:space="preserve"> en el Pliego de Condiciones?</w:t>
      </w:r>
    </w:p>
    <w:p w14:paraId="44FFD4B4" w14:textId="77777777" w:rsidR="007E4284" w:rsidRDefault="007E4284" w:rsidP="007E4284">
      <w:pPr>
        <w:pStyle w:val="Prrafodelista"/>
        <w:spacing w:after="0" w:line="276" w:lineRule="auto"/>
        <w:ind w:left="426" w:right="1041"/>
        <w:jc w:val="both"/>
        <w:rPr>
          <w:rFonts w:ascii="Verdana" w:eastAsia="Century Gothic" w:hAnsi="Verdana" w:cs="Century Gothic"/>
          <w:i/>
          <w:iCs/>
          <w:lang w:val="es-CO"/>
        </w:rPr>
      </w:pPr>
    </w:p>
    <w:p w14:paraId="258FE624" w14:textId="77777777" w:rsidR="007E4284" w:rsidRPr="001B53B7" w:rsidRDefault="007E4284" w:rsidP="007E4284">
      <w:pPr>
        <w:pStyle w:val="Prrafodelista"/>
        <w:spacing w:after="0" w:line="276" w:lineRule="auto"/>
        <w:ind w:left="426" w:right="1041"/>
        <w:jc w:val="both"/>
        <w:rPr>
          <w:rFonts w:ascii="Verdana" w:eastAsia="Calibri" w:hAnsi="Verdana" w:cs="Arial"/>
          <w:color w:val="7030A0"/>
        </w:rPr>
      </w:pPr>
    </w:p>
    <w:p w14:paraId="1C7CCA5F" w14:textId="77777777" w:rsidR="007E4284" w:rsidRPr="00593A5F" w:rsidRDefault="007E4284" w:rsidP="007E428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A6C6970" w14:textId="77777777" w:rsidR="007E4284" w:rsidRPr="00593A5F" w:rsidRDefault="007E4284" w:rsidP="007E428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F7282" w:rsidRPr="00593A5F" w14:paraId="5A7561AA" w14:textId="77777777" w:rsidTr="00BF7FDC">
        <w:tc>
          <w:tcPr>
            <w:tcW w:w="8828" w:type="dxa"/>
            <w:shd w:val="clear" w:color="auto" w:fill="auto"/>
          </w:tcPr>
          <w:p w14:paraId="2C15E01B" w14:textId="696E8235" w:rsidR="009F7282" w:rsidRDefault="009F7282" w:rsidP="003D178A">
            <w:pPr>
              <w:spacing w:after="120" w:line="276" w:lineRule="auto"/>
              <w:jc w:val="both"/>
              <w:rPr>
                <w:rFonts w:ascii="Verdana" w:eastAsia="Calibri" w:hAnsi="Verdana" w:cs="Arial"/>
              </w:rPr>
            </w:pPr>
            <w:r w:rsidRPr="009F4606">
              <w:rPr>
                <w:rFonts w:ascii="Verdana" w:eastAsia="Calibri" w:hAnsi="Verdana" w:cs="Arial"/>
              </w:rPr>
              <w:t>La regla de subsanabilidad es un mecanismo previsto en los procesos de contratación estatal que se regulan por el Estatuto General de Contratación de la Administración Pública. Esta regla, prevista en el artículo 5 de la Ley 1150 de 2007</w:t>
            </w:r>
            <w:r>
              <w:rPr>
                <w:rFonts w:ascii="Verdana" w:eastAsia="Calibri" w:hAnsi="Verdana" w:cs="Arial"/>
              </w:rPr>
              <w:t xml:space="preserve"> m</w:t>
            </w:r>
            <w:r w:rsidRPr="003C6C4F">
              <w:rPr>
                <w:rFonts w:ascii="Verdana" w:eastAsia="Calibri" w:hAnsi="Verdana" w:cs="Arial"/>
              </w:rPr>
              <w:t xml:space="preserve">odificado por la Ley 1882 de 2018, </w:t>
            </w:r>
            <w:r>
              <w:rPr>
                <w:rFonts w:ascii="Verdana" w:eastAsia="Calibri" w:hAnsi="Verdana" w:cs="Arial"/>
              </w:rPr>
              <w:t>habilita</w:t>
            </w:r>
            <w:r w:rsidRPr="009F4606">
              <w:rPr>
                <w:rFonts w:ascii="Verdana" w:eastAsia="Calibri" w:hAnsi="Verdana" w:cs="Arial"/>
              </w:rPr>
              <w:t xml:space="preserve"> </w:t>
            </w:r>
            <w:r>
              <w:rPr>
                <w:rFonts w:ascii="Verdana" w:eastAsia="Calibri" w:hAnsi="Verdana" w:cs="Arial"/>
              </w:rPr>
              <w:t xml:space="preserve">para </w:t>
            </w:r>
            <w:r w:rsidRPr="009F4606">
              <w:rPr>
                <w:rFonts w:ascii="Verdana" w:eastAsia="Calibri" w:hAnsi="Verdana" w:cs="Arial"/>
              </w:rPr>
              <w:t xml:space="preserve">que los proponentes puedan enmendar, corregir o modificar los errores en los que se incurre en los documentos </w:t>
            </w:r>
            <w:r w:rsidRPr="003D178A">
              <w:rPr>
                <w:rFonts w:ascii="Verdana" w:hAnsi="Verdana" w:cs="Arial"/>
                <w:noProof/>
                <w:lang w:val="es-ES_tradnl"/>
              </w:rPr>
              <w:t>contentivos</w:t>
            </w:r>
            <w:r w:rsidRPr="009F4606">
              <w:rPr>
                <w:rFonts w:ascii="Verdana" w:eastAsia="Calibri" w:hAnsi="Verdana" w:cs="Arial"/>
              </w:rPr>
              <w:t xml:space="preserve"> de la oferta. </w:t>
            </w:r>
          </w:p>
          <w:p w14:paraId="52306CE1" w14:textId="4E9B6E67" w:rsidR="009F7282" w:rsidRPr="00D829A3" w:rsidRDefault="009F7282" w:rsidP="00290719">
            <w:pPr>
              <w:spacing w:after="120" w:line="276" w:lineRule="auto"/>
              <w:jc w:val="both"/>
              <w:rPr>
                <w:rFonts w:ascii="Verdana" w:hAnsi="Verdana" w:cs="Arial"/>
                <w:noProof/>
                <w:lang w:val="es-ES_tradnl"/>
              </w:rPr>
            </w:pPr>
            <w:r>
              <w:rPr>
                <w:rFonts w:ascii="Verdana" w:hAnsi="Verdana" w:cs="Arial"/>
                <w:noProof/>
                <w:lang w:val="es-ES_tradnl"/>
              </w:rPr>
              <w:t>C</w:t>
            </w:r>
            <w:r w:rsidRPr="00D16A5E">
              <w:rPr>
                <w:rFonts w:ascii="Verdana" w:hAnsi="Verdana" w:cs="Arial"/>
                <w:noProof/>
                <w:lang w:val="es-ES_tradnl"/>
              </w:rPr>
              <w:t xml:space="preserve">onforme a las reglas </w:t>
            </w:r>
            <w:r>
              <w:rPr>
                <w:rFonts w:ascii="Verdana" w:hAnsi="Verdana" w:cs="Arial"/>
                <w:noProof/>
                <w:lang w:val="es-ES_tradnl"/>
              </w:rPr>
              <w:t xml:space="preserve">de </w:t>
            </w:r>
            <w:r w:rsidRPr="00D16A5E">
              <w:rPr>
                <w:rFonts w:ascii="Verdana" w:hAnsi="Verdana" w:cs="Arial"/>
                <w:noProof/>
                <w:lang w:val="es-ES_tradnl"/>
              </w:rPr>
              <w:t xml:space="preserve">subsanabilidad, los requisitos o documentos que no sean necesarios para la comparación de las ofertas pueden subsanarse y todo lo que no sea necesario para la comparación de propuestas no es título suficiente para su rechazo; de manera que, si </w:t>
            </w:r>
            <w:r>
              <w:rPr>
                <w:rFonts w:ascii="Verdana" w:hAnsi="Verdana" w:cs="Arial"/>
                <w:noProof/>
                <w:lang w:val="es-ES_tradnl"/>
              </w:rPr>
              <w:t>e</w:t>
            </w:r>
            <w:r w:rsidRPr="00351009">
              <w:rPr>
                <w:rFonts w:ascii="Verdana" w:hAnsi="Verdana" w:cs="Arial"/>
                <w:noProof/>
              </w:rPr>
              <w:t xml:space="preserve">l plazo pactado para la duración de la Unión Temporal es menor que el establecido en el Pliego de Condiciones, </w:t>
            </w:r>
            <w:r w:rsidRPr="000F57DE">
              <w:rPr>
                <w:rFonts w:ascii="Verdana" w:hAnsi="Verdana" w:cs="Arial"/>
                <w:noProof/>
                <w:lang w:val="es-ES_tradnl"/>
              </w:rPr>
              <w:t>correponder</w:t>
            </w:r>
            <w:r w:rsidR="00F83DC7">
              <w:rPr>
                <w:rFonts w:ascii="Verdana" w:hAnsi="Verdana" w:cs="Arial"/>
                <w:noProof/>
                <w:lang w:val="es-ES_tradnl"/>
              </w:rPr>
              <w:t>á</w:t>
            </w:r>
            <w:r w:rsidRPr="000F57DE">
              <w:rPr>
                <w:rFonts w:ascii="Verdana" w:hAnsi="Verdana" w:cs="Arial"/>
                <w:noProof/>
                <w:lang w:val="es-ES_tradnl"/>
              </w:rPr>
              <w:t xml:space="preserve"> a la entidad estatal verificar en primer lugar si se trata</w:t>
            </w:r>
            <w:r w:rsidR="00BE00E9">
              <w:rPr>
                <w:rFonts w:ascii="Verdana" w:hAnsi="Verdana" w:cs="Arial"/>
                <w:noProof/>
                <w:lang w:val="es-ES_tradnl"/>
              </w:rPr>
              <w:t xml:space="preserve"> o</w:t>
            </w:r>
            <w:r w:rsidRPr="000F57DE">
              <w:rPr>
                <w:rFonts w:ascii="Verdana" w:hAnsi="Verdana" w:cs="Arial"/>
                <w:noProof/>
                <w:lang w:val="es-ES_tradnl"/>
              </w:rPr>
              <w:t xml:space="preserve"> no de un documento necesario para la comparacion de ofertas que asigne puntaje </w:t>
            </w:r>
            <w:r w:rsidRPr="000F57DE">
              <w:rPr>
                <w:rFonts w:ascii="Verdana" w:eastAsia="Times New Roman" w:hAnsi="Verdana" w:cs="Arial"/>
                <w:lang w:val="es-ES" w:eastAsia="es-ES"/>
              </w:rPr>
              <w:t xml:space="preserve">y, en segundo lugar, si </w:t>
            </w:r>
            <w:r w:rsidR="00134A69">
              <w:rPr>
                <w:rFonts w:ascii="Verdana" w:eastAsia="Times New Roman" w:hAnsi="Verdana" w:cs="Arial"/>
                <w:lang w:val="es-ES" w:eastAsia="es-ES"/>
              </w:rPr>
              <w:t>este</w:t>
            </w:r>
            <w:r w:rsidRPr="000F57DE">
              <w:rPr>
                <w:rFonts w:ascii="Verdana" w:eastAsia="Times New Roman" w:hAnsi="Verdana" w:cs="Arial"/>
                <w:lang w:val="es-ES" w:eastAsia="es-ES"/>
              </w:rPr>
              <w:t xml:space="preserve"> requisito constituye una circunstancia ocurrida con anterioridad o con posterioridad al cierre del proceso,</w:t>
            </w:r>
            <w:r>
              <w:rPr>
                <w:rFonts w:ascii="Verdana" w:eastAsia="Times New Roman" w:hAnsi="Verdana" w:cs="Arial"/>
                <w:b/>
                <w:bCs/>
                <w:lang w:val="es-ES" w:eastAsia="es-ES"/>
              </w:rPr>
              <w:t xml:space="preserve"> </w:t>
            </w:r>
            <w:r w:rsidR="00C37E6A">
              <w:rPr>
                <w:rFonts w:ascii="Verdana" w:hAnsi="Verdana" w:cs="Arial"/>
                <w:noProof/>
                <w:lang w:val="es-ES_tradnl"/>
              </w:rPr>
              <w:t>para determinar si procede la subsanación o no</w:t>
            </w:r>
            <w:r>
              <w:rPr>
                <w:rFonts w:ascii="Verdana" w:hAnsi="Verdana" w:cs="Arial"/>
                <w:noProof/>
              </w:rPr>
              <w:t>.</w:t>
            </w:r>
          </w:p>
          <w:p w14:paraId="26CDC5A3" w14:textId="18BC5928" w:rsidR="009F7282" w:rsidRPr="003910C3" w:rsidRDefault="009F7282" w:rsidP="00290719">
            <w:pPr>
              <w:spacing w:after="120" w:line="276" w:lineRule="auto"/>
              <w:jc w:val="both"/>
              <w:rPr>
                <w:rFonts w:ascii="Verdana" w:hAnsi="Verdana" w:cs="Arial"/>
                <w:noProof/>
              </w:rPr>
            </w:pPr>
            <w:r w:rsidRPr="003D178A">
              <w:rPr>
                <w:rFonts w:ascii="Verdana" w:hAnsi="Verdana" w:cs="Arial"/>
                <w:noProof/>
                <w:lang w:val="es-ES_tradnl"/>
              </w:rPr>
              <w:t>Ahora</w:t>
            </w:r>
            <w:r w:rsidRPr="003910C3">
              <w:rPr>
                <w:rFonts w:ascii="Verdana" w:hAnsi="Verdana" w:cs="Arial"/>
                <w:noProof/>
              </w:rPr>
              <w:t xml:space="preserve"> bien, si </w:t>
            </w:r>
            <w:r w:rsidRPr="003910C3">
              <w:rPr>
                <w:rFonts w:ascii="Verdana" w:eastAsia="Century Gothic" w:hAnsi="Verdana" w:cs="Century Gothic"/>
              </w:rPr>
              <w:t xml:space="preserve">el tiempo de duración de una Unión Temporal </w:t>
            </w:r>
            <w:r>
              <w:rPr>
                <w:rFonts w:ascii="Verdana" w:eastAsia="Century Gothic" w:hAnsi="Verdana" w:cs="Century Gothic"/>
              </w:rPr>
              <w:t>es</w:t>
            </w:r>
            <w:r w:rsidRPr="003910C3">
              <w:rPr>
                <w:rFonts w:ascii="Verdana" w:eastAsia="Century Gothic" w:hAnsi="Verdana" w:cs="Century Gothic"/>
              </w:rPr>
              <w:t xml:space="preserve"> inferior a</w:t>
            </w:r>
            <w:r w:rsidR="0058165E">
              <w:rPr>
                <w:rFonts w:ascii="Verdana" w:eastAsia="Century Gothic" w:hAnsi="Verdana" w:cs="Century Gothic"/>
              </w:rPr>
              <w:t xml:space="preserve">l establecido en el pliego de condiciones </w:t>
            </w:r>
            <w:r>
              <w:rPr>
                <w:rFonts w:ascii="Verdana" w:eastAsia="Century Gothic" w:hAnsi="Verdana" w:cs="Century Gothic"/>
              </w:rPr>
              <w:t>y est</w:t>
            </w:r>
            <w:r w:rsidR="0058165E">
              <w:rPr>
                <w:rFonts w:ascii="Verdana" w:eastAsia="Century Gothic" w:hAnsi="Verdana" w:cs="Century Gothic"/>
              </w:rPr>
              <w:t>o</w:t>
            </w:r>
            <w:r>
              <w:rPr>
                <w:rFonts w:ascii="Verdana" w:eastAsia="Century Gothic" w:hAnsi="Verdana" w:cs="Century Gothic"/>
              </w:rPr>
              <w:t xml:space="preserve"> se establece como causal </w:t>
            </w:r>
            <w:r w:rsidRPr="003910C3">
              <w:rPr>
                <w:rFonts w:ascii="Verdana" w:eastAsia="Century Gothic" w:hAnsi="Verdana" w:cs="Century Gothic"/>
              </w:rPr>
              <w:t>de rechazo</w:t>
            </w:r>
            <w:r>
              <w:rPr>
                <w:rFonts w:ascii="Verdana" w:eastAsia="Century Gothic" w:hAnsi="Verdana" w:cs="Century Gothic"/>
              </w:rPr>
              <w:t>,</w:t>
            </w:r>
            <w:r w:rsidRPr="009940B4">
              <w:rPr>
                <w:rFonts w:ascii="Verdana" w:eastAsia="Century Gothic" w:hAnsi="Verdana" w:cs="Century Gothic"/>
              </w:rPr>
              <w:t xml:space="preserve"> </w:t>
            </w:r>
            <w:r w:rsidR="0058165E">
              <w:rPr>
                <w:rFonts w:ascii="Verdana" w:eastAsia="Century Gothic" w:hAnsi="Verdana" w:cs="Century Gothic"/>
              </w:rPr>
              <w:t xml:space="preserve">la oferta </w:t>
            </w:r>
            <w:r>
              <w:rPr>
                <w:rFonts w:ascii="Verdana" w:eastAsia="Century Gothic" w:hAnsi="Verdana" w:cs="Century Gothic"/>
              </w:rPr>
              <w:t xml:space="preserve">debe </w:t>
            </w:r>
            <w:r w:rsidRPr="009940B4">
              <w:rPr>
                <w:rFonts w:ascii="Verdana" w:eastAsia="Century Gothic" w:hAnsi="Verdana" w:cs="Century Gothic"/>
              </w:rPr>
              <w:t xml:space="preserve">ser desestimada o excluida del proceso de </w:t>
            </w:r>
            <w:r w:rsidR="0058165E">
              <w:rPr>
                <w:rFonts w:ascii="Verdana" w:eastAsia="Century Gothic" w:hAnsi="Verdana" w:cs="Century Gothic"/>
              </w:rPr>
              <w:t xml:space="preserve">contratación </w:t>
            </w:r>
            <w:r>
              <w:rPr>
                <w:rFonts w:ascii="Verdana" w:eastAsia="Century Gothic" w:hAnsi="Verdana" w:cs="Century Gothic"/>
              </w:rPr>
              <w:t>ya que se trata de una causal expl</w:t>
            </w:r>
            <w:r w:rsidR="0058165E">
              <w:rPr>
                <w:rFonts w:ascii="Verdana" w:eastAsia="Century Gothic" w:hAnsi="Verdana" w:cs="Century Gothic"/>
              </w:rPr>
              <w:t>í</w:t>
            </w:r>
            <w:r>
              <w:rPr>
                <w:rFonts w:ascii="Verdana" w:eastAsia="Century Gothic" w:hAnsi="Verdana" w:cs="Century Gothic"/>
              </w:rPr>
              <w:t>cita</w:t>
            </w:r>
            <w:r w:rsidRPr="009940B4">
              <w:rPr>
                <w:rFonts w:ascii="Verdana" w:eastAsia="Century Gothic" w:hAnsi="Verdana" w:cs="Century Gothic"/>
              </w:rPr>
              <w:t xml:space="preserve"> en los pliegos </w:t>
            </w:r>
            <w:r>
              <w:rPr>
                <w:rFonts w:ascii="Verdana" w:eastAsia="Century Gothic" w:hAnsi="Verdana" w:cs="Century Gothic"/>
              </w:rPr>
              <w:t xml:space="preserve">de condiciones </w:t>
            </w:r>
            <w:r w:rsidRPr="009940B4">
              <w:rPr>
                <w:rFonts w:ascii="Verdana" w:eastAsia="Century Gothic" w:hAnsi="Verdana" w:cs="Century Gothic"/>
              </w:rPr>
              <w:t>para garantizar que las ofertas cumplan con los requisitos mínimos y las condiciones esenciales del contrato.</w:t>
            </w:r>
          </w:p>
          <w:p w14:paraId="3F23C625" w14:textId="77777777" w:rsidR="009F7282" w:rsidRPr="00593A5F" w:rsidRDefault="009F7282" w:rsidP="00290719">
            <w:pPr>
              <w:spacing w:after="120" w:line="276" w:lineRule="auto"/>
              <w:jc w:val="both"/>
              <w:rPr>
                <w:rFonts w:ascii="Verdana" w:eastAsia="Calibri" w:hAnsi="Verdana" w:cs="Arial"/>
                <w:color w:val="7030A0"/>
                <w:lang w:val="es-ES"/>
              </w:rPr>
            </w:pPr>
            <w:r w:rsidRPr="0019683B">
              <w:rPr>
                <w:rFonts w:ascii="Verdana" w:eastAsia="Calibri" w:hAnsi="Verdana" w:cs="Arial"/>
                <w:lang w:val="es-ES"/>
              </w:rPr>
              <w:lastRenderedPageBreak/>
              <w:t>Finalmente y en consideración a su solicitud</w:t>
            </w:r>
            <w:r>
              <w:rPr>
                <w:rFonts w:ascii="Verdana" w:eastAsia="Calibri" w:hAnsi="Verdana" w:cs="Arial"/>
                <w:lang w:val="es-ES"/>
              </w:rPr>
              <w:t>,</w:t>
            </w:r>
            <w:r w:rsidRPr="0019683B">
              <w:rPr>
                <w:rFonts w:ascii="Verdana" w:eastAsia="Calibri" w:hAnsi="Verdana" w:cs="Arial"/>
                <w:lang w:val="es-ES"/>
              </w:rPr>
              <w:t xml:space="preserve"> es de precisar que</w:t>
            </w:r>
            <w:r>
              <w:rPr>
                <w:rFonts w:ascii="Verdana" w:eastAsia="Calibri" w:hAnsi="Verdana" w:cs="Arial"/>
                <w:lang w:val="es-ES"/>
              </w:rPr>
              <w:t xml:space="preserve"> </w:t>
            </w:r>
            <w:r w:rsidRPr="0019683B">
              <w:rPr>
                <w:rFonts w:ascii="Verdana" w:eastAsia="Calibri" w:hAnsi="Verdana" w:cs="Arial"/>
                <w:lang w:val="es-ES"/>
              </w:rPr>
              <w:t>corresponde a cada entidad pública, en ejercicio de su competencia y previa valoración de los elementos fácticos y jurídicos asi como de las disposiciones legales anteriormente mencionadas, determinar</w:t>
            </w:r>
            <w:r>
              <w:rPr>
                <w:rFonts w:ascii="Verdana" w:eastAsia="Calibri" w:hAnsi="Verdana" w:cs="Arial"/>
                <w:lang w:val="es-ES"/>
              </w:rPr>
              <w:t xml:space="preserve"> las reglas de subsanabilidad y las causales de rechazo aplicables al caso, ya que, a</w:t>
            </w:r>
            <w:r w:rsidRPr="0019683B">
              <w:rPr>
                <w:rFonts w:ascii="Verdana" w:eastAsia="Calibri" w:hAnsi="Verdana" w:cs="Arial"/>
                <w:lang w:val="es-ES"/>
              </w:rPr>
              <w:t>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y, en caso de conflicto, a las autoridades judiciales, fiscales y disciplinarias.</w:t>
            </w:r>
          </w:p>
        </w:tc>
      </w:tr>
    </w:tbl>
    <w:p w14:paraId="411C42F0" w14:textId="77777777" w:rsidR="007E4284" w:rsidRDefault="007E4284" w:rsidP="007E4284">
      <w:pPr>
        <w:tabs>
          <w:tab w:val="left" w:pos="142"/>
          <w:tab w:val="left" w:pos="284"/>
        </w:tabs>
        <w:spacing w:after="0" w:line="276" w:lineRule="auto"/>
        <w:jc w:val="both"/>
        <w:rPr>
          <w:rFonts w:ascii="Verdana" w:eastAsia="Century Gothic" w:hAnsi="Verdana" w:cs="Century Gothic"/>
          <w:b/>
          <w:bCs/>
          <w:lang w:val="es-ES"/>
        </w:rPr>
      </w:pPr>
    </w:p>
    <w:p w14:paraId="7440CB53" w14:textId="77777777" w:rsidR="007E4284" w:rsidRPr="00593A5F" w:rsidRDefault="007E4284" w:rsidP="007E428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4C51CB2" w14:textId="77777777" w:rsidR="007E4284" w:rsidRPr="00593A5F" w:rsidRDefault="007E4284" w:rsidP="007E4284">
      <w:pPr>
        <w:spacing w:after="0" w:line="276" w:lineRule="auto"/>
        <w:jc w:val="both"/>
        <w:rPr>
          <w:rFonts w:ascii="Verdana" w:eastAsia="Calibri" w:hAnsi="Verdana" w:cs="Arial"/>
          <w:color w:val="7030A0"/>
          <w:lang w:val="es-ES"/>
        </w:rPr>
      </w:pPr>
    </w:p>
    <w:p w14:paraId="48EAC815" w14:textId="77777777" w:rsidR="009F7282" w:rsidRDefault="009F7282" w:rsidP="00290719">
      <w:pPr>
        <w:spacing w:after="0" w:line="276" w:lineRule="auto"/>
        <w:ind w:firstLine="708"/>
        <w:jc w:val="both"/>
        <w:rPr>
          <w:rFonts w:ascii="Verdana" w:eastAsia="Calibri" w:hAnsi="Verdana" w:cs="Arial"/>
          <w:lang w:val="es-ES"/>
        </w:rPr>
      </w:pPr>
      <w:r>
        <w:rPr>
          <w:rFonts w:ascii="Verdana" w:eastAsia="Calibri" w:hAnsi="Verdana" w:cs="Arial"/>
          <w:lang w:val="es-ES"/>
        </w:rPr>
        <w:t>A continuación, se procederá a sustentar la respuesta desde el análisis de las reglas de subsanabilidad y las causales de rechazo.</w:t>
      </w:r>
    </w:p>
    <w:p w14:paraId="720AAB5D" w14:textId="77777777" w:rsidR="007E4284" w:rsidRPr="000A2ED8" w:rsidRDefault="007E4284" w:rsidP="007E4284">
      <w:pPr>
        <w:spacing w:after="0" w:line="276" w:lineRule="auto"/>
        <w:jc w:val="both"/>
        <w:rPr>
          <w:rFonts w:ascii="Verdana" w:eastAsia="Calibri" w:hAnsi="Verdana" w:cs="Arial"/>
          <w:lang w:val="es-ES"/>
        </w:rPr>
      </w:pPr>
    </w:p>
    <w:p w14:paraId="508A1CE4" w14:textId="7E985733" w:rsidR="003D178A" w:rsidRPr="00B62EF2" w:rsidRDefault="003D178A" w:rsidP="00290719">
      <w:pPr>
        <w:spacing w:after="120" w:line="276" w:lineRule="auto"/>
        <w:ind w:right="49" w:firstLine="708"/>
        <w:jc w:val="both"/>
        <w:rPr>
          <w:rFonts w:ascii="Verdana" w:eastAsia="Calibri" w:hAnsi="Verdana" w:cs="Arial"/>
        </w:rPr>
      </w:pPr>
      <w:r w:rsidRPr="00B62EF2">
        <w:rPr>
          <w:rFonts w:ascii="Verdana" w:eastAsia="Calibri" w:hAnsi="Verdana" w:cs="Arial"/>
        </w:rPr>
        <w:t xml:space="preserve">La regla de subsanabilidad es un mecanismo previsto en los </w:t>
      </w:r>
      <w:r w:rsidR="00855573">
        <w:rPr>
          <w:rFonts w:ascii="Verdana" w:eastAsia="Calibri" w:hAnsi="Verdana" w:cs="Arial"/>
        </w:rPr>
        <w:t>p</w:t>
      </w:r>
      <w:r w:rsidRPr="00B62EF2">
        <w:rPr>
          <w:rFonts w:ascii="Verdana" w:eastAsia="Calibri" w:hAnsi="Verdana" w:cs="Arial"/>
        </w:rPr>
        <w:t xml:space="preserve">rocesos de </w:t>
      </w:r>
      <w:r w:rsidR="00855573">
        <w:rPr>
          <w:rFonts w:ascii="Verdana" w:eastAsia="Calibri" w:hAnsi="Verdana" w:cs="Arial"/>
        </w:rPr>
        <w:t>c</w:t>
      </w:r>
      <w:r w:rsidRPr="00B62EF2">
        <w:rPr>
          <w:rFonts w:ascii="Verdana" w:eastAsia="Calibri" w:hAnsi="Verdana" w:cs="Arial"/>
        </w:rPr>
        <w:t>ontratación que se regulan por el Estatuto General de Contratación de la Administración Pública, en adelante EGCAP. Esta regla, prevista en el artículo 5 de la Ley 1150 de 2007, consiste en permitir que los proponentes puedan enmendar, corregir o modificar los errores en los que se incurre en los documentos contentivos de la oferta. Así lo ha establecido el Consejo de Estado, en los siguientes términos:</w:t>
      </w:r>
    </w:p>
    <w:p w14:paraId="0BDAEE36" w14:textId="77777777" w:rsidR="003D178A" w:rsidRPr="00B62EF2" w:rsidRDefault="003D178A" w:rsidP="00B62EF2">
      <w:pPr>
        <w:tabs>
          <w:tab w:val="left" w:pos="567"/>
        </w:tabs>
        <w:spacing w:after="120" w:line="276" w:lineRule="auto"/>
        <w:ind w:left="709" w:right="709"/>
        <w:jc w:val="both"/>
        <w:rPr>
          <w:rFonts w:ascii="Verdana" w:eastAsia="Calibri" w:hAnsi="Verdana" w:cs="Arial"/>
          <w:sz w:val="21"/>
          <w:szCs w:val="21"/>
        </w:rPr>
      </w:pPr>
      <w:r w:rsidRPr="00B62EF2">
        <w:rPr>
          <w:rFonts w:ascii="Verdana" w:eastAsia="Calibri" w:hAnsi="Verdana" w:cs="Arial"/>
          <w:sz w:val="21"/>
          <w:szCs w:val="21"/>
        </w:rPr>
        <w:t xml:space="preserve">“[…]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w:t>
      </w:r>
      <w:proofErr w:type="gramStart"/>
      <w:r w:rsidRPr="00B62EF2">
        <w:rPr>
          <w:rFonts w:ascii="Verdana" w:eastAsia="Calibri" w:hAnsi="Verdana" w:cs="Arial"/>
          <w:sz w:val="21"/>
          <w:szCs w:val="21"/>
        </w:rPr>
        <w:t>la misma</w:t>
      </w:r>
      <w:proofErr w:type="gramEnd"/>
      <w:r w:rsidRPr="00B62EF2">
        <w:rPr>
          <w:rFonts w:ascii="Verdana" w:eastAsia="Calibri" w:hAnsi="Verdana" w:cs="Arial"/>
          <w:sz w:val="21"/>
          <w:szCs w:val="21"/>
        </w:rPr>
        <w:t>, priven a la administración de considerar una oferta por causa de tales falencias</w:t>
      </w:r>
      <w:r w:rsidRPr="00B62EF2">
        <w:rPr>
          <w:rFonts w:ascii="Verdana" w:eastAsia="Calibri" w:hAnsi="Verdana" w:cs="Arial"/>
          <w:sz w:val="21"/>
          <w:szCs w:val="21"/>
          <w:vertAlign w:val="superscript"/>
        </w:rPr>
        <w:footnoteReference w:id="2"/>
      </w:r>
      <w:r w:rsidRPr="00B62EF2">
        <w:rPr>
          <w:rFonts w:ascii="Verdana" w:eastAsia="Calibri" w:hAnsi="Verdana" w:cs="Arial"/>
          <w:sz w:val="21"/>
          <w:szCs w:val="21"/>
        </w:rPr>
        <w:t xml:space="preserve">”. </w:t>
      </w:r>
    </w:p>
    <w:p w14:paraId="0C15B37A" w14:textId="77777777" w:rsidR="003D178A" w:rsidRPr="00B62EF2" w:rsidRDefault="003D178A" w:rsidP="00B62EF2">
      <w:pPr>
        <w:widowControl w:val="0"/>
        <w:autoSpaceDE w:val="0"/>
        <w:autoSpaceDN w:val="0"/>
        <w:spacing w:after="120" w:line="276" w:lineRule="auto"/>
        <w:ind w:firstLine="609"/>
        <w:jc w:val="both"/>
        <w:rPr>
          <w:rFonts w:ascii="Verdana" w:eastAsia="Calibri" w:hAnsi="Verdana" w:cs="Arial"/>
        </w:rPr>
      </w:pPr>
      <w:r w:rsidRPr="00B62EF2">
        <w:rPr>
          <w:rFonts w:ascii="Verdana" w:eastAsia="Calibri" w:hAnsi="Verdana" w:cs="Arial"/>
        </w:rPr>
        <w:t xml:space="preserve">Esta Subdirección se ha pronunciado en diversas oportunidades acerca del alcance de la regla de la subsanabilidad, contenida actualmente en el parágrafo 1 del artículo 5 de la Ley 1150 de 2007, modificado por el artículo 5 de la Ley </w:t>
      </w:r>
      <w:r w:rsidRPr="00B62EF2">
        <w:rPr>
          <w:rFonts w:ascii="Verdana" w:eastAsia="Calibri" w:hAnsi="Verdana" w:cs="Arial"/>
        </w:rPr>
        <w:lastRenderedPageBreak/>
        <w:t>1882 de 2018</w:t>
      </w:r>
      <w:r w:rsidRPr="00B62EF2">
        <w:rPr>
          <w:rFonts w:ascii="Verdana" w:eastAsia="Calibri" w:hAnsi="Verdana" w:cs="Arial"/>
          <w:vertAlign w:val="superscript"/>
        </w:rPr>
        <w:footnoteReference w:id="3"/>
      </w:r>
      <w:r w:rsidRPr="00B62EF2">
        <w:rPr>
          <w:rFonts w:ascii="Verdana" w:eastAsia="Calibri" w:hAnsi="Verdana" w:cs="Arial"/>
        </w:rPr>
        <w:t>.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p>
    <w:p w14:paraId="379313E1" w14:textId="77777777" w:rsidR="003D178A" w:rsidRPr="00B62EF2" w:rsidRDefault="003D178A" w:rsidP="00B62EF2">
      <w:pPr>
        <w:widowControl w:val="0"/>
        <w:tabs>
          <w:tab w:val="left" w:pos="284"/>
        </w:tabs>
        <w:autoSpaceDE w:val="0"/>
        <w:autoSpaceDN w:val="0"/>
        <w:spacing w:before="120" w:after="120" w:line="276" w:lineRule="auto"/>
        <w:ind w:firstLine="709"/>
        <w:jc w:val="both"/>
        <w:rPr>
          <w:rFonts w:ascii="Verdana" w:eastAsia="Calibri" w:hAnsi="Verdana" w:cs="Arial"/>
          <w:color w:val="000000"/>
          <w:lang w:val="es-ES_tradnl"/>
        </w:rPr>
      </w:pPr>
      <w:r w:rsidRPr="00B62EF2">
        <w:rPr>
          <w:rFonts w:ascii="Verdana" w:eastAsia="Calibri" w:hAnsi="Verdana" w:cs="Arial"/>
        </w:rPr>
        <w:t xml:space="preserve">En este sentido, bajo la normativa actual que regula la subsanabilidad de las ofertas debe tenerse en cuenta que </w:t>
      </w:r>
      <w:r w:rsidRPr="00B62EF2">
        <w:rPr>
          <w:rFonts w:ascii="Verdana" w:eastAsia="Arial" w:hAnsi="Verdana" w:cs="Arial"/>
          <w:lang w:val="es-ES"/>
        </w:rPr>
        <w:t>el</w:t>
      </w:r>
      <w:r w:rsidRPr="00B62EF2">
        <w:rPr>
          <w:rFonts w:ascii="Verdana" w:eastAsia="Arial" w:hAnsi="Verdana" w:cs="Arial"/>
          <w:spacing w:val="-12"/>
          <w:lang w:val="es-ES"/>
        </w:rPr>
        <w:t xml:space="preserve"> </w:t>
      </w:r>
      <w:r w:rsidRPr="00B62EF2">
        <w:rPr>
          <w:rFonts w:ascii="Verdana" w:eastAsia="Arial" w:hAnsi="Verdana" w:cs="Arial"/>
          <w:lang w:val="es-ES"/>
        </w:rPr>
        <w:t>legislador</w:t>
      </w:r>
      <w:r w:rsidRPr="00B62EF2">
        <w:rPr>
          <w:rFonts w:ascii="Verdana" w:eastAsia="Arial" w:hAnsi="Verdana" w:cs="Arial"/>
          <w:spacing w:val="-12"/>
          <w:lang w:val="es-ES"/>
        </w:rPr>
        <w:t xml:space="preserve"> </w:t>
      </w:r>
      <w:r w:rsidRPr="00B62EF2">
        <w:rPr>
          <w:rFonts w:ascii="Verdana" w:eastAsia="Arial" w:hAnsi="Verdana" w:cs="Arial"/>
          <w:lang w:val="es-ES"/>
        </w:rPr>
        <w:t>expidió</w:t>
      </w:r>
      <w:r w:rsidRPr="00B62EF2">
        <w:rPr>
          <w:rFonts w:ascii="Verdana" w:eastAsia="Arial" w:hAnsi="Verdana" w:cs="Arial"/>
          <w:spacing w:val="-13"/>
          <w:lang w:val="es-ES"/>
        </w:rPr>
        <w:t xml:space="preserve"> </w:t>
      </w:r>
      <w:r w:rsidRPr="00B62EF2">
        <w:rPr>
          <w:rFonts w:ascii="Verdana" w:eastAsia="Arial" w:hAnsi="Verdana" w:cs="Arial"/>
          <w:lang w:val="es-ES"/>
        </w:rPr>
        <w:t>la</w:t>
      </w:r>
      <w:r w:rsidRPr="00B62EF2">
        <w:rPr>
          <w:rFonts w:ascii="Verdana" w:eastAsia="Arial" w:hAnsi="Verdana" w:cs="Arial"/>
          <w:spacing w:val="-12"/>
          <w:lang w:val="es-ES"/>
        </w:rPr>
        <w:t xml:space="preserve"> </w:t>
      </w:r>
      <w:r w:rsidRPr="00B62EF2">
        <w:rPr>
          <w:rFonts w:ascii="Verdana" w:eastAsia="Arial" w:hAnsi="Verdana" w:cs="Arial"/>
          <w:lang w:val="es-ES"/>
        </w:rPr>
        <w:t>Ley</w:t>
      </w:r>
      <w:r w:rsidRPr="00B62EF2">
        <w:rPr>
          <w:rFonts w:ascii="Verdana" w:eastAsia="Arial" w:hAnsi="Verdana" w:cs="Arial"/>
          <w:spacing w:val="-13"/>
          <w:lang w:val="es-ES"/>
        </w:rPr>
        <w:t xml:space="preserve"> </w:t>
      </w:r>
      <w:r w:rsidRPr="00B62EF2">
        <w:rPr>
          <w:rFonts w:ascii="Verdana" w:eastAsia="Arial" w:hAnsi="Verdana" w:cs="Arial"/>
          <w:lang w:val="es-ES"/>
        </w:rPr>
        <w:t>1882</w:t>
      </w:r>
      <w:r w:rsidRPr="00B62EF2">
        <w:rPr>
          <w:rFonts w:ascii="Verdana" w:eastAsia="Arial" w:hAnsi="Verdana" w:cs="Arial"/>
          <w:spacing w:val="-13"/>
          <w:lang w:val="es-ES"/>
        </w:rPr>
        <w:t xml:space="preserve"> </w:t>
      </w:r>
      <w:r w:rsidRPr="00B62EF2">
        <w:rPr>
          <w:rFonts w:ascii="Verdana" w:eastAsia="Arial" w:hAnsi="Verdana" w:cs="Arial"/>
          <w:lang w:val="es-ES"/>
        </w:rPr>
        <w:t>de</w:t>
      </w:r>
      <w:r w:rsidRPr="00B62EF2">
        <w:rPr>
          <w:rFonts w:ascii="Verdana" w:eastAsia="Arial" w:hAnsi="Verdana" w:cs="Arial"/>
          <w:spacing w:val="-12"/>
          <w:lang w:val="es-ES"/>
        </w:rPr>
        <w:t xml:space="preserve"> </w:t>
      </w:r>
      <w:r w:rsidRPr="00B62EF2">
        <w:rPr>
          <w:rFonts w:ascii="Verdana" w:eastAsia="Arial" w:hAnsi="Verdana" w:cs="Arial"/>
          <w:lang w:val="es-ES"/>
        </w:rPr>
        <w:t>2018,</w:t>
      </w:r>
      <w:r w:rsidRPr="00B62EF2">
        <w:rPr>
          <w:rFonts w:ascii="Verdana" w:eastAsia="Arial" w:hAnsi="Verdana" w:cs="Arial"/>
          <w:spacing w:val="-13"/>
          <w:lang w:val="es-ES"/>
        </w:rPr>
        <w:t xml:space="preserve"> </w:t>
      </w:r>
      <w:r w:rsidRPr="00B62EF2">
        <w:rPr>
          <w:rFonts w:ascii="Verdana" w:eastAsia="Arial" w:hAnsi="Verdana" w:cs="Arial"/>
          <w:lang w:val="es-ES"/>
        </w:rPr>
        <w:t>con</w:t>
      </w:r>
      <w:r w:rsidRPr="00B62EF2">
        <w:rPr>
          <w:rFonts w:ascii="Verdana" w:eastAsia="Arial" w:hAnsi="Verdana" w:cs="Arial"/>
          <w:spacing w:val="-12"/>
          <w:lang w:val="es-ES"/>
        </w:rPr>
        <w:t xml:space="preserve"> </w:t>
      </w:r>
      <w:r w:rsidRPr="00B62EF2">
        <w:rPr>
          <w:rFonts w:ascii="Verdana" w:eastAsia="Arial" w:hAnsi="Verdana" w:cs="Arial"/>
          <w:lang w:val="es-ES"/>
        </w:rPr>
        <w:t>la</w:t>
      </w:r>
      <w:r w:rsidRPr="00B62EF2">
        <w:rPr>
          <w:rFonts w:ascii="Verdana" w:eastAsia="Arial" w:hAnsi="Verdana" w:cs="Arial"/>
          <w:spacing w:val="-13"/>
          <w:lang w:val="es-ES"/>
        </w:rPr>
        <w:t xml:space="preserve"> </w:t>
      </w:r>
      <w:r w:rsidRPr="00B62EF2">
        <w:rPr>
          <w:rFonts w:ascii="Verdana" w:eastAsia="Arial" w:hAnsi="Verdana" w:cs="Arial"/>
          <w:lang w:val="es-ES"/>
        </w:rPr>
        <w:t xml:space="preserve">finalidad de introducir cambios y ajustes para fortalecer la contratación pública. </w:t>
      </w:r>
      <w:r w:rsidRPr="00B62EF2">
        <w:rPr>
          <w:rFonts w:ascii="Verdana" w:eastAsia="Arial" w:hAnsi="Verdana" w:cs="Arial"/>
          <w:color w:val="000000"/>
          <w:lang w:val="es-ES_tradnl"/>
        </w:rPr>
        <w:t xml:space="preserve">Particularmente, el artículo 5 de dicha norma, modificó el parágrafo 1º del artículo 5 de la Ley 1150 de 2007, así: </w:t>
      </w:r>
    </w:p>
    <w:p w14:paraId="206E804C" w14:textId="77777777" w:rsidR="003D178A" w:rsidRPr="00B62EF2" w:rsidRDefault="003D178A" w:rsidP="00B62EF2">
      <w:pPr>
        <w:spacing w:after="120" w:line="276" w:lineRule="auto"/>
        <w:jc w:val="both"/>
        <w:rPr>
          <w:rFonts w:ascii="Verdana" w:eastAsia="Calibri" w:hAnsi="Verdana" w:cs="Arial"/>
          <w:color w:val="000000"/>
          <w:lang w:val="es-ES_tradnl"/>
        </w:rPr>
      </w:pPr>
    </w:p>
    <w:p w14:paraId="4A3CAA1E" w14:textId="77777777" w:rsidR="003D178A" w:rsidRPr="00B62EF2" w:rsidRDefault="003D178A" w:rsidP="00B62EF2">
      <w:pPr>
        <w:spacing w:after="120" w:line="276" w:lineRule="auto"/>
        <w:ind w:left="709" w:right="709"/>
        <w:jc w:val="both"/>
        <w:rPr>
          <w:rFonts w:ascii="Verdana" w:eastAsia="Calibri" w:hAnsi="Verdana" w:cs="Arial"/>
          <w:color w:val="000000"/>
          <w:lang w:val="es-ES_tradnl"/>
        </w:rPr>
      </w:pPr>
      <w:r w:rsidRPr="00B62EF2">
        <w:rPr>
          <w:rFonts w:ascii="Verdana" w:eastAsia="Calibri" w:hAnsi="Verdana" w:cs="Arial"/>
          <w:color w:val="000000"/>
          <w:lang w:val="es-ES_tradnl"/>
        </w:rPr>
        <w:t xml:space="preserve">“Artículo 5°. De la selección objetiva. </w:t>
      </w:r>
    </w:p>
    <w:p w14:paraId="145717D1" w14:textId="77777777" w:rsidR="003D178A" w:rsidRPr="00B62EF2" w:rsidRDefault="003D178A" w:rsidP="00B62EF2">
      <w:pPr>
        <w:spacing w:after="120" w:line="276" w:lineRule="auto"/>
        <w:ind w:left="709" w:right="709"/>
        <w:jc w:val="both"/>
        <w:rPr>
          <w:rFonts w:ascii="Verdana" w:eastAsia="Calibri" w:hAnsi="Verdana" w:cs="Arial"/>
          <w:color w:val="000000"/>
          <w:lang w:val="es-ES_tradnl"/>
        </w:rPr>
      </w:pPr>
      <w:r w:rsidRPr="00B62EF2">
        <w:rPr>
          <w:rFonts w:ascii="Verdana" w:eastAsia="Calibri" w:hAnsi="Verdana" w:cs="Arial"/>
          <w:color w:val="000000"/>
          <w:lang w:val="es-ES_tradnl"/>
        </w:rPr>
        <w:t xml:space="preserve">[...] </w:t>
      </w:r>
    </w:p>
    <w:p w14:paraId="6C397B60" w14:textId="77777777" w:rsidR="003D178A" w:rsidRPr="00B62EF2" w:rsidRDefault="003D178A" w:rsidP="00B62EF2">
      <w:pPr>
        <w:spacing w:after="120" w:line="276" w:lineRule="auto"/>
        <w:ind w:left="709" w:right="709"/>
        <w:jc w:val="both"/>
        <w:rPr>
          <w:rFonts w:ascii="Verdana" w:eastAsia="Calibri" w:hAnsi="Verdana" w:cs="Arial"/>
          <w:color w:val="000000"/>
          <w:sz w:val="21"/>
          <w:szCs w:val="21"/>
          <w:lang w:val="es-ES_tradnl"/>
        </w:rPr>
      </w:pPr>
      <w:r w:rsidRPr="00B62EF2">
        <w:rPr>
          <w:rFonts w:ascii="Verdana" w:eastAsia="Calibri" w:hAnsi="Verdana" w:cs="Arial"/>
          <w:color w:val="000000"/>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2DEB3189" w14:textId="7956B3BF" w:rsidR="003D178A" w:rsidRPr="00B62EF2" w:rsidRDefault="003D178A" w:rsidP="00B62EF2">
      <w:pPr>
        <w:spacing w:after="120" w:line="276" w:lineRule="auto"/>
        <w:ind w:firstLine="709"/>
        <w:jc w:val="both"/>
        <w:rPr>
          <w:rFonts w:ascii="Verdana" w:eastAsia="Arial" w:hAnsi="Verdana" w:cs="Arial"/>
          <w:color w:val="000000"/>
          <w:lang w:val="es-ES" w:eastAsia="es-MX"/>
        </w:rPr>
      </w:pPr>
      <w:r w:rsidRPr="00B62EF2">
        <w:rPr>
          <w:rFonts w:ascii="Verdana" w:eastAsia="Calibri" w:hAnsi="Verdana" w:cs="Arial"/>
          <w:color w:val="000000"/>
          <w:lang w:val="es-ES_tradnl"/>
        </w:rPr>
        <w:t xml:space="preserve">De lo anterior, se colige que la disposición precitada: i) mantiene el criterio de la Ley 80 de 1993, relativo a que todo lo que no sea necesario para la comparación de propuestas no es título suficiente para su rechazo, ii) mantiene el criterio aclaratorio de la Ley 1150 de 2007, según el cual todo lo que no afecte </w:t>
      </w:r>
      <w:r w:rsidRPr="00B62EF2">
        <w:rPr>
          <w:rFonts w:ascii="Verdana" w:eastAsia="Calibri" w:hAnsi="Verdana" w:cs="Arial"/>
          <w:color w:val="000000"/>
          <w:lang w:val="es-ES_tradnl"/>
        </w:rPr>
        <w:lastRenderedPageBreak/>
        <w:t>la asignación de puntaje puede subsanarse e iii) introduce modificaciones en relación con tres aspectos que se analizarán a continuación</w:t>
      </w:r>
      <w:r w:rsidRPr="00B62EF2">
        <w:rPr>
          <w:rFonts w:ascii="Verdana" w:eastAsia="Arial" w:hAnsi="Verdana" w:cs="Arial"/>
          <w:color w:val="000000"/>
          <w:lang w:val="es-ES" w:eastAsia="es-MX"/>
        </w:rPr>
        <w:t xml:space="preserve">. </w:t>
      </w:r>
    </w:p>
    <w:p w14:paraId="32D81E6D" w14:textId="77777777" w:rsidR="003D178A" w:rsidRPr="00B62EF2" w:rsidRDefault="003D178A" w:rsidP="00B62EF2">
      <w:pPr>
        <w:spacing w:after="120" w:line="276" w:lineRule="auto"/>
        <w:ind w:firstLine="709"/>
        <w:jc w:val="both"/>
        <w:rPr>
          <w:rFonts w:ascii="Verdana" w:eastAsia="Arial" w:hAnsi="Verdana" w:cs="Arial"/>
          <w:color w:val="000000"/>
          <w:lang w:val="es-ES" w:eastAsia="es-MX"/>
        </w:rPr>
      </w:pPr>
      <w:r w:rsidRPr="00B62EF2">
        <w:rPr>
          <w:rFonts w:ascii="Verdana" w:eastAsia="Arial" w:hAnsi="Verdana" w:cs="Arial"/>
          <w:color w:val="000000"/>
          <w:lang w:val="es-ES" w:eastAsia="es-MX"/>
        </w:rPr>
        <w:t xml:space="preserve">El </w:t>
      </w:r>
      <w:r w:rsidRPr="00B62EF2">
        <w:rPr>
          <w:rFonts w:ascii="Verdana" w:eastAsia="Arial" w:hAnsi="Verdana" w:cs="Arial"/>
          <w:i/>
          <w:iCs/>
          <w:color w:val="000000"/>
          <w:lang w:val="es-ES" w:eastAsia="es-MX"/>
        </w:rPr>
        <w:t>primero</w:t>
      </w:r>
      <w:r w:rsidRPr="00B62EF2">
        <w:rPr>
          <w:rFonts w:ascii="Verdana" w:eastAsia="Arial" w:hAnsi="Verdana" w:cs="Arial"/>
          <w:color w:val="000000"/>
          <w:lang w:val="es-ES" w:eastAsia="es-MX"/>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el proceso de selección a través del sistema de subasta: en este último los documentos o requisitos subsanables deben solicitarse, como límite final, hasta el momento previo a su realización</w:t>
      </w:r>
      <w:r w:rsidRPr="00B62EF2">
        <w:rPr>
          <w:rFonts w:ascii="Verdana" w:eastAsia="Arial" w:hAnsi="Verdana" w:cs="Arial"/>
          <w:color w:val="000000"/>
          <w:vertAlign w:val="superscript"/>
          <w:lang w:eastAsia="es-MX"/>
        </w:rPr>
        <w:footnoteReference w:id="4"/>
      </w:r>
      <w:r w:rsidRPr="00B62EF2">
        <w:rPr>
          <w:rFonts w:ascii="Verdana" w:eastAsia="Arial" w:hAnsi="Verdana" w:cs="Arial"/>
          <w:color w:val="000000"/>
          <w:lang w:val="es-ES" w:eastAsia="es-MX"/>
        </w:rPr>
        <w:t>. Sin embargo, para el caso de los procesos de mínima cuantía, deberá tenerse en cuenta la regla dispuesta en el numeral 5 y 6 del artículo 2.2.1.2.1.5.2 del Decreto 1860 de 2021.</w:t>
      </w:r>
    </w:p>
    <w:p w14:paraId="28140448" w14:textId="77777777" w:rsidR="003D178A" w:rsidRPr="00B62EF2" w:rsidRDefault="003D178A" w:rsidP="00B62EF2">
      <w:pPr>
        <w:spacing w:after="120" w:line="276" w:lineRule="auto"/>
        <w:ind w:firstLine="709"/>
        <w:jc w:val="both"/>
        <w:rPr>
          <w:rFonts w:ascii="Verdana" w:eastAsia="Arial" w:hAnsi="Verdana" w:cs="Arial"/>
          <w:color w:val="000000"/>
          <w:lang w:val="es-ES" w:eastAsia="es-MX"/>
        </w:rPr>
      </w:pPr>
      <w:r w:rsidRPr="00B62EF2">
        <w:rPr>
          <w:rFonts w:ascii="Verdana" w:eastAsia="Times New Roman" w:hAnsi="Verdana" w:cs="Arial"/>
          <w:color w:val="000000"/>
          <w:shd w:val="clear" w:color="auto" w:fill="FFFFFF"/>
          <w:lang w:eastAsia="es-MX"/>
        </w:rPr>
        <w:t>Frente a la regla general, como lo explicó esta Agencia en el Concepto CU-060 del 24 de febrero de 2020,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22F4F8FA" w14:textId="77777777" w:rsidR="003D178A" w:rsidRPr="00B62EF2" w:rsidRDefault="003D178A" w:rsidP="00B62EF2">
      <w:pPr>
        <w:spacing w:after="120" w:line="276" w:lineRule="auto"/>
        <w:ind w:firstLine="720"/>
        <w:jc w:val="both"/>
        <w:rPr>
          <w:rFonts w:ascii="Verdana" w:eastAsia="Calibri" w:hAnsi="Verdana" w:cs="Arial"/>
          <w:color w:val="000000"/>
          <w:lang w:eastAsia="es-MX"/>
        </w:rPr>
      </w:pPr>
      <w:r w:rsidRPr="00B62EF2">
        <w:rPr>
          <w:rFonts w:ascii="Verdana" w:eastAsia="Arial" w:hAnsi="Verdana" w:cs="Arial"/>
          <w:color w:val="000000"/>
          <w:lang w:val="es-ES" w:eastAsia="es-MX"/>
        </w:rPr>
        <w:t xml:space="preserve">De otro lado, el </w:t>
      </w:r>
      <w:r w:rsidRPr="00B62EF2">
        <w:rPr>
          <w:rFonts w:ascii="Verdana" w:eastAsia="Arial" w:hAnsi="Verdana" w:cs="Arial"/>
          <w:i/>
          <w:iCs/>
          <w:color w:val="000000"/>
          <w:lang w:val="es-ES" w:eastAsia="es-MX"/>
        </w:rPr>
        <w:t>segundo</w:t>
      </w:r>
      <w:r w:rsidRPr="00B62EF2">
        <w:rPr>
          <w:rFonts w:ascii="Verdana" w:eastAsia="Arial" w:hAnsi="Verdana" w:cs="Arial"/>
          <w:color w:val="000000"/>
          <w:lang w:val="es-ES" w:eastAsia="es-MX"/>
        </w:rPr>
        <w:t xml:space="preserve"> cambio importante de la Ley 1882 de 2018</w:t>
      </w:r>
      <w:r w:rsidRPr="00B62EF2">
        <w:rPr>
          <w:rFonts w:ascii="Verdana" w:eastAsia="Arial" w:hAnsi="Verdana" w:cs="Arial"/>
          <w:color w:val="000000"/>
          <w:lang w:eastAsia="es-MX"/>
        </w:rPr>
        <w:t xml:space="preserve"> </w:t>
      </w:r>
      <w:r w:rsidRPr="00B62EF2">
        <w:rPr>
          <w:rFonts w:ascii="Verdana" w:eastAsia="Calibri" w:hAnsi="Verdana" w:cs="Arial"/>
          <w:color w:val="000000"/>
          <w:lang w:eastAsia="es-MX"/>
        </w:rPr>
        <w:t xml:space="preserve">es el correspondiente a la garantía de seriedad.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w:t>
      </w:r>
      <w:proofErr w:type="gramStart"/>
      <w:r w:rsidRPr="00B62EF2">
        <w:rPr>
          <w:rFonts w:ascii="Verdana" w:eastAsia="Calibri" w:hAnsi="Verdana" w:cs="Arial"/>
          <w:color w:val="000000"/>
          <w:lang w:eastAsia="es-MX"/>
        </w:rPr>
        <w:t>la misma</w:t>
      </w:r>
      <w:proofErr w:type="gramEnd"/>
      <w:r w:rsidRPr="00B62EF2">
        <w:rPr>
          <w:rFonts w:ascii="Verdana" w:eastAsia="Calibri" w:hAnsi="Verdana" w:cs="Arial"/>
          <w:color w:val="000000"/>
          <w:lang w:eastAsia="es-MX"/>
        </w:rPr>
        <w:t>”.</w:t>
      </w:r>
    </w:p>
    <w:p w14:paraId="2B0058DA" w14:textId="77777777" w:rsidR="003D178A" w:rsidRPr="00B62EF2" w:rsidRDefault="003D178A" w:rsidP="00B62EF2">
      <w:pPr>
        <w:spacing w:after="120" w:line="276" w:lineRule="auto"/>
        <w:ind w:firstLine="709"/>
        <w:jc w:val="both"/>
        <w:rPr>
          <w:rFonts w:ascii="Verdana" w:eastAsia="Times New Roman" w:hAnsi="Verdana" w:cs="Arial"/>
          <w:bdr w:val="none" w:sz="0" w:space="0" w:color="auto" w:frame="1"/>
          <w:lang w:val="es-ES_tradnl" w:eastAsia="es-MX"/>
        </w:rPr>
      </w:pPr>
      <w:r w:rsidRPr="00B62EF2">
        <w:rPr>
          <w:rFonts w:ascii="Verdana" w:eastAsia="Arial" w:hAnsi="Verdana" w:cs="Arial"/>
          <w:color w:val="000000"/>
          <w:lang w:eastAsia="es-MX"/>
        </w:rPr>
        <w:t>El último cambio</w:t>
      </w:r>
      <w:r w:rsidRPr="00B62EF2">
        <w:rPr>
          <w:rFonts w:ascii="Verdana" w:eastAsia="Arial" w:hAnsi="Verdana" w:cs="Arial"/>
          <w:color w:val="000000"/>
          <w:lang w:val="es-ES" w:eastAsia="es-MX"/>
        </w:rPr>
        <w:t xml:space="preserve"> importante de la Ley 1882 de 2018 fue la introducción de un criterio material, directamente relacionado con los aspectos subsanables: </w:t>
      </w:r>
      <w:r w:rsidRPr="00B62EF2">
        <w:rPr>
          <w:rFonts w:ascii="Verdana" w:eastAsia="Arial" w:hAnsi="Verdana" w:cs="Arial"/>
          <w:i/>
          <w:iCs/>
          <w:color w:val="000000"/>
          <w:lang w:val="es-ES" w:eastAsia="es-MX"/>
        </w:rPr>
        <w:t>“</w:t>
      </w:r>
      <w:r w:rsidRPr="00B62EF2">
        <w:rPr>
          <w:rFonts w:ascii="Verdana" w:eastAsia="Arial" w:hAnsi="Verdana" w:cs="Arial"/>
          <w:color w:val="000000"/>
          <w:lang w:val="es-ES" w:eastAsia="es-MX"/>
        </w:rPr>
        <w:t>los proponentes no podrán acreditar circunstancias ocurridas con posterioridad al cierre del proceso”</w:t>
      </w:r>
      <w:r w:rsidRPr="00B62EF2">
        <w:rPr>
          <w:rFonts w:ascii="Verdana" w:eastAsia="Arial" w:hAnsi="Verdana" w:cs="Arial"/>
          <w:b/>
          <w:bCs/>
          <w:color w:val="000000"/>
          <w:lang w:val="es-ES" w:eastAsia="es-MX"/>
        </w:rPr>
        <w:t>.</w:t>
      </w:r>
      <w:r w:rsidRPr="00B62EF2">
        <w:rPr>
          <w:rFonts w:ascii="Verdana" w:eastAsia="Times New Roman" w:hAnsi="Verdana" w:cs="Arial"/>
          <w:bdr w:val="none" w:sz="0" w:space="0" w:color="auto" w:frame="1"/>
          <w:lang w:val="es-ES_tradnl" w:eastAsia="es-MX"/>
        </w:rPr>
        <w:t xml:space="preserve"> Esta regla tiene una finalidad particular, y es que, al momento de presentar la oferta, el proponente deberá hacerlo de forma íntegra y así evitar que a lo largo del procedimiento contractual complete o adicione su propuesta, conforme mejora su situación particular. En términos del Consejo de Estado:</w:t>
      </w:r>
    </w:p>
    <w:p w14:paraId="657937A2" w14:textId="77777777" w:rsidR="003D178A" w:rsidRDefault="003D178A" w:rsidP="00B62EF2">
      <w:pPr>
        <w:tabs>
          <w:tab w:val="left" w:pos="426"/>
        </w:tabs>
        <w:spacing w:after="120" w:line="276" w:lineRule="auto"/>
        <w:ind w:left="709" w:right="709"/>
        <w:jc w:val="both"/>
        <w:rPr>
          <w:rFonts w:ascii="Verdana" w:eastAsia="Arial" w:hAnsi="Verdana" w:cs="Arial"/>
          <w:color w:val="000000"/>
          <w:sz w:val="21"/>
          <w:szCs w:val="21"/>
          <w:lang w:eastAsia="es-MX"/>
        </w:rPr>
      </w:pPr>
      <w:r w:rsidRPr="00B62EF2">
        <w:rPr>
          <w:rFonts w:ascii="Verdana" w:eastAsia="Arial" w:hAnsi="Verdana" w:cs="Arial"/>
          <w:color w:val="000000"/>
          <w:sz w:val="21"/>
          <w:szCs w:val="21"/>
          <w:lang w:eastAsia="es-MX"/>
        </w:rPr>
        <w:lastRenderedPageBreak/>
        <w:t>“[…]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00B62EF2">
        <w:rPr>
          <w:rFonts w:ascii="Verdana" w:eastAsia="Arial" w:hAnsi="Verdana" w:cs="Arial"/>
          <w:color w:val="000000"/>
          <w:sz w:val="21"/>
          <w:szCs w:val="21"/>
          <w:vertAlign w:val="superscript"/>
          <w:lang w:eastAsia="es-MX"/>
        </w:rPr>
        <w:footnoteReference w:id="5"/>
      </w:r>
      <w:r w:rsidRPr="00B62EF2">
        <w:rPr>
          <w:rFonts w:ascii="Verdana" w:eastAsia="Arial" w:hAnsi="Verdana" w:cs="Arial"/>
          <w:color w:val="000000"/>
          <w:sz w:val="21"/>
          <w:szCs w:val="21"/>
          <w:lang w:eastAsia="es-MX"/>
        </w:rPr>
        <w:t>”.</w:t>
      </w:r>
    </w:p>
    <w:p w14:paraId="2C17F53A" w14:textId="77777777" w:rsidR="007E4284" w:rsidRDefault="007E4284" w:rsidP="007E4284">
      <w:pPr>
        <w:spacing w:after="120" w:line="276" w:lineRule="auto"/>
        <w:ind w:firstLine="709"/>
        <w:jc w:val="both"/>
        <w:rPr>
          <w:rFonts w:ascii="Verdana" w:eastAsia="Times New Roman" w:hAnsi="Verdana" w:cs="Arial"/>
          <w:lang w:val="es-ES" w:eastAsia="es-ES"/>
        </w:rPr>
      </w:pPr>
      <w:r w:rsidRPr="50927A94">
        <w:rPr>
          <w:rFonts w:ascii="Verdana" w:eastAsia="Times New Roman" w:hAnsi="Verdana" w:cs="Arial"/>
          <w:lang w:val="es-ES" w:eastAsia="es-ES"/>
        </w:rPr>
        <w:t xml:space="preserve">Visto lo anterior, </w:t>
      </w:r>
      <w:r w:rsidRPr="00BA5844">
        <w:rPr>
          <w:rFonts w:ascii="Verdana" w:eastAsia="Times New Roman" w:hAnsi="Verdana" w:cs="Arial"/>
          <w:b/>
          <w:lang w:val="es-ES" w:eastAsia="es-ES"/>
        </w:rPr>
        <w:t>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w:t>
      </w:r>
      <w:r w:rsidRPr="50927A94">
        <w:rPr>
          <w:rFonts w:ascii="Verdana" w:eastAsia="Times New Roman" w:hAnsi="Verdana" w:cs="Arial"/>
          <w:lang w:val="es-ES" w:eastAsia="es-ES"/>
        </w:rPr>
        <w:t>.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2E2778F4" w14:textId="77777777" w:rsidR="007E4284" w:rsidRPr="00D16A5E" w:rsidRDefault="007E4284" w:rsidP="007E4284">
      <w:pPr>
        <w:spacing w:after="120" w:line="276" w:lineRule="auto"/>
        <w:ind w:firstLine="709"/>
        <w:jc w:val="both"/>
        <w:rPr>
          <w:rFonts w:ascii="Verdana" w:eastAsia="Times New Roman" w:hAnsi="Verdana" w:cs="Arial"/>
          <w:i/>
          <w:lang w:val="es-ES" w:eastAsia="es-ES"/>
        </w:rPr>
      </w:pPr>
      <w:r w:rsidRPr="00D16A5E">
        <w:rPr>
          <w:rFonts w:ascii="Verdana" w:hAnsi="Verdana" w:cs="Arial"/>
          <w:noProof/>
          <w:lang w:val="es-ES_tradnl"/>
        </w:rPr>
        <w:t>En conclusion bajo este contexto, conforme a las reglas subsanabilidad ya expuestas en este documento y a la postura de esta Agencia, los requisitos o documentos que no sean necesarios para la comparación de las ofertas pueden subsanarse</w:t>
      </w:r>
      <w:r>
        <w:rPr>
          <w:rFonts w:ascii="Verdana" w:hAnsi="Verdana" w:cs="Arial"/>
          <w:noProof/>
          <w:lang w:val="es-ES_tradnl"/>
        </w:rPr>
        <w:t xml:space="preserve">, como es el caso de la </w:t>
      </w:r>
      <w:r w:rsidRPr="00C83ADC">
        <w:rPr>
          <w:rFonts w:ascii="Verdana" w:hAnsi="Verdana" w:cs="Arial"/>
          <w:noProof/>
          <w:lang w:val="es-ES_tradnl"/>
        </w:rPr>
        <w:t xml:space="preserve">necesidad de ampliacion </w:t>
      </w:r>
      <w:r w:rsidRPr="00C83ADC">
        <w:rPr>
          <w:rFonts w:ascii="Verdana" w:eastAsia="Century Gothic" w:hAnsi="Verdana" w:cs="Century Gothic"/>
        </w:rPr>
        <w:t>del acuerdo de constitución de la Unión Temporal</w:t>
      </w:r>
      <w:r>
        <w:rPr>
          <w:rFonts w:ascii="Verdana" w:hAnsi="Verdana" w:cs="Arial"/>
          <w:noProof/>
          <w:lang w:val="es-ES_tradnl"/>
        </w:rPr>
        <w:t xml:space="preserve"> </w:t>
      </w:r>
      <w:r w:rsidRPr="00D16A5E">
        <w:rPr>
          <w:rFonts w:ascii="Verdana" w:hAnsi="Verdana" w:cs="Arial"/>
          <w:noProof/>
          <w:lang w:val="es-ES_tradnl"/>
        </w:rPr>
        <w:t>y</w:t>
      </w:r>
      <w:r>
        <w:rPr>
          <w:rFonts w:ascii="Verdana" w:hAnsi="Verdana" w:cs="Arial"/>
          <w:noProof/>
          <w:lang w:val="es-ES_tradnl"/>
        </w:rPr>
        <w:t xml:space="preserve"> en</w:t>
      </w:r>
      <w:r w:rsidRPr="00D16A5E">
        <w:rPr>
          <w:rFonts w:ascii="Verdana" w:hAnsi="Verdana" w:cs="Arial"/>
          <w:noProof/>
          <w:lang w:val="es-ES_tradnl"/>
        </w:rPr>
        <w:t xml:space="preserve"> todo lo que no sea necesario para la comparación de propuestas no es título suficiente para su rechazo; de manera que, si un oferente no anexó el documento de constitución del consorcio o unión temporal, podrá subsanar su entrega, siempre y cuando, el documento aportado </w:t>
      </w:r>
      <w:r w:rsidRPr="00D16A5E">
        <w:rPr>
          <w:rFonts w:ascii="Verdana" w:hAnsi="Verdana" w:cs="Arial"/>
          <w:noProof/>
          <w:lang w:val="es-ES_tradnl"/>
        </w:rPr>
        <w:lastRenderedPageBreak/>
        <w:t>con posterioridad de cuenta de que el consorcio o unión temporal existía antes del cierre del proceso.</w:t>
      </w:r>
    </w:p>
    <w:p w14:paraId="3B57FC09" w14:textId="77777777" w:rsidR="007E4284" w:rsidRDefault="007E4284" w:rsidP="007E4284">
      <w:pPr>
        <w:spacing w:after="120" w:line="276" w:lineRule="auto"/>
        <w:ind w:firstLine="709"/>
        <w:jc w:val="both"/>
        <w:rPr>
          <w:rFonts w:ascii="Verdana" w:hAnsi="Verdana" w:cs="Arial"/>
          <w:noProof/>
          <w:lang w:val="es-ES_tradnl"/>
        </w:rPr>
      </w:pPr>
      <w:r w:rsidRPr="00D16A5E">
        <w:rPr>
          <w:rFonts w:ascii="Verdana" w:hAnsi="Verdana" w:cs="Arial"/>
          <w:noProof/>
          <w:lang w:val="es-ES_tradnl"/>
        </w:rPr>
        <w:t>Lo anterior, como quiera que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w:t>
      </w:r>
    </w:p>
    <w:p w14:paraId="396CC57A" w14:textId="77777777" w:rsidR="009F7282" w:rsidRPr="00E859C1" w:rsidRDefault="009F7282" w:rsidP="009F7282">
      <w:pPr>
        <w:spacing w:after="0"/>
        <w:jc w:val="both"/>
        <w:rPr>
          <w:rFonts w:ascii="Verdana" w:eastAsia="Calibri" w:hAnsi="Verdana" w:cs="Arial"/>
          <w:color w:val="000000"/>
          <w:lang w:val="es-ES" w:eastAsia="es-ES_tradnl"/>
        </w:rPr>
      </w:pPr>
      <w:r>
        <w:rPr>
          <w:rFonts w:ascii="Verdana" w:eastAsia="Calibri" w:hAnsi="Verdana" w:cs="Arial"/>
          <w:color w:val="000000"/>
          <w:lang w:val="es-ES" w:eastAsia="es-ES_tradnl"/>
        </w:rPr>
        <w:t xml:space="preserve">Por otra parte y en relación con las </w:t>
      </w:r>
      <w:r w:rsidRPr="00E859C1">
        <w:rPr>
          <w:rFonts w:ascii="Verdana" w:eastAsia="Calibri" w:hAnsi="Verdana" w:cs="Arial"/>
          <w:color w:val="000000"/>
          <w:lang w:val="es-ES" w:eastAsia="es-ES_tradnl"/>
        </w:rPr>
        <w:t xml:space="preserve">causales de rechazo </w:t>
      </w:r>
      <w:r>
        <w:rPr>
          <w:rFonts w:ascii="Verdana" w:eastAsia="Calibri" w:hAnsi="Verdana" w:cs="Arial"/>
          <w:color w:val="000000"/>
          <w:lang w:val="es-ES" w:eastAsia="es-ES_tradnl"/>
        </w:rPr>
        <w:t xml:space="preserve">estan </w:t>
      </w:r>
      <w:r w:rsidRPr="00E859C1">
        <w:rPr>
          <w:rFonts w:ascii="Verdana" w:eastAsia="Calibri" w:hAnsi="Verdana" w:cs="Arial"/>
          <w:color w:val="000000"/>
          <w:lang w:val="es-ES" w:eastAsia="es-ES_tradnl"/>
        </w:rPr>
        <w:t xml:space="preserve">son las establecidas en la ley y las fijadas por la Entidad Estatal en los pliegos de condiciones. No obstante, en el ejercicio de dicha facultad a las entidades no les es dable el establecer causales de rechazo que afecten la selección objetiva en la contratación. </w:t>
      </w:r>
      <w:r w:rsidRPr="00E859C1">
        <w:rPr>
          <w:rFonts w:ascii="Verdana" w:eastAsia="Calibri" w:hAnsi="Verdana" w:cs="Arial"/>
        </w:rPr>
        <w:t>Sobre el particular, el Consejo de Estado</w:t>
      </w:r>
      <w:r w:rsidRPr="00E859C1">
        <w:rPr>
          <w:rFonts w:ascii="Verdana" w:eastAsia="Calibri" w:hAnsi="Verdana" w:cs="Arial"/>
          <w:i/>
          <w:iCs/>
          <w:vertAlign w:val="superscript"/>
        </w:rPr>
        <w:footnoteReference w:id="6"/>
      </w:r>
      <w:r w:rsidRPr="00E859C1">
        <w:rPr>
          <w:rFonts w:ascii="Verdana" w:eastAsia="Calibri" w:hAnsi="Verdana" w:cs="Arial"/>
        </w:rPr>
        <w:t xml:space="preserve"> señala:</w:t>
      </w:r>
    </w:p>
    <w:p w14:paraId="1CE0BBDA" w14:textId="77777777" w:rsidR="009F7282" w:rsidRPr="00E859C1" w:rsidRDefault="009F7282" w:rsidP="009F7282">
      <w:pPr>
        <w:spacing w:after="0"/>
        <w:jc w:val="both"/>
        <w:rPr>
          <w:rFonts w:ascii="Verdana" w:eastAsia="Times New Roman" w:hAnsi="Verdana" w:cs="Arial"/>
          <w:lang w:eastAsia="es-ES"/>
        </w:rPr>
      </w:pPr>
    </w:p>
    <w:p w14:paraId="74936E90" w14:textId="77777777" w:rsidR="009F7282" w:rsidRPr="00E859C1" w:rsidRDefault="009F7282" w:rsidP="009F7282">
      <w:pPr>
        <w:tabs>
          <w:tab w:val="left" w:pos="709"/>
        </w:tabs>
        <w:spacing w:after="0" w:line="240" w:lineRule="auto"/>
        <w:ind w:left="709" w:right="709"/>
        <w:jc w:val="both"/>
        <w:rPr>
          <w:rFonts w:ascii="Verdana" w:eastAsia="Calibri" w:hAnsi="Verdana" w:cs="Arial"/>
          <w:sz w:val="21"/>
          <w:szCs w:val="21"/>
        </w:rPr>
      </w:pPr>
      <w:r w:rsidRPr="00E859C1">
        <w:rPr>
          <w:rFonts w:ascii="Verdana" w:eastAsia="Calibri" w:hAnsi="Verdana" w:cs="Arial"/>
          <w:sz w:val="21"/>
          <w:szCs w:val="21"/>
        </w:rPr>
        <w:t>“Quiere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57057862" w14:textId="77777777" w:rsidR="009F7282" w:rsidRPr="00E859C1" w:rsidRDefault="009F7282" w:rsidP="009F7282">
      <w:pPr>
        <w:spacing w:after="0"/>
        <w:jc w:val="both"/>
        <w:rPr>
          <w:rFonts w:ascii="Verdana" w:eastAsia="Calibri" w:hAnsi="Verdana" w:cs="Arial"/>
          <w:color w:val="000000"/>
          <w:sz w:val="21"/>
          <w:szCs w:val="21"/>
          <w:lang w:val="es-ES" w:eastAsia="es-ES_tradnl"/>
        </w:rPr>
      </w:pPr>
      <w:r w:rsidRPr="00E859C1">
        <w:rPr>
          <w:rFonts w:ascii="Verdana" w:eastAsia="Calibri" w:hAnsi="Verdana" w:cs="Arial"/>
          <w:color w:val="000000"/>
          <w:sz w:val="21"/>
          <w:szCs w:val="21"/>
          <w:lang w:val="es-ES" w:eastAsia="es-ES_tradnl"/>
        </w:rPr>
        <w:tab/>
      </w:r>
    </w:p>
    <w:p w14:paraId="07E81B00" w14:textId="77777777" w:rsidR="009F7282" w:rsidRPr="00E859C1" w:rsidRDefault="009F7282" w:rsidP="009F7282">
      <w:pPr>
        <w:spacing w:after="0"/>
        <w:jc w:val="both"/>
        <w:rPr>
          <w:rFonts w:ascii="Verdana" w:eastAsia="Calibri" w:hAnsi="Verdana" w:cs="Arial"/>
        </w:rPr>
      </w:pPr>
      <w:r w:rsidRPr="00E859C1">
        <w:rPr>
          <w:rFonts w:ascii="Verdana" w:eastAsia="Calibri" w:hAnsi="Verdana" w:cs="Arial"/>
          <w:color w:val="000000"/>
          <w:lang w:val="es-ES" w:eastAsia="es-ES_tradnl"/>
        </w:rPr>
        <w:tab/>
        <w:t xml:space="preserve">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w:t>
      </w:r>
      <w:r w:rsidRPr="00E859C1">
        <w:rPr>
          <w:rFonts w:ascii="Verdana" w:eastAsia="Calibri" w:hAnsi="Verdana" w:cs="Arial"/>
        </w:rPr>
        <w:t>Al respecto, el Consejo de Estado</w:t>
      </w:r>
      <w:r w:rsidRPr="00E859C1">
        <w:rPr>
          <w:rFonts w:ascii="Verdana" w:eastAsia="Calibri" w:hAnsi="Verdana" w:cs="Arial"/>
          <w:iCs/>
          <w:vertAlign w:val="superscript"/>
        </w:rPr>
        <w:footnoteReference w:id="7"/>
      </w:r>
      <w:r w:rsidRPr="00E859C1">
        <w:rPr>
          <w:rFonts w:ascii="Verdana" w:eastAsia="Calibri" w:hAnsi="Verdana" w:cs="Arial"/>
          <w:iCs/>
        </w:rPr>
        <w:t xml:space="preserve"> sostuvo:</w:t>
      </w:r>
      <w:r w:rsidRPr="00E859C1">
        <w:rPr>
          <w:rFonts w:ascii="Verdana" w:eastAsia="Calibri" w:hAnsi="Verdana" w:cs="Arial"/>
        </w:rPr>
        <w:t xml:space="preserve"> </w:t>
      </w:r>
    </w:p>
    <w:p w14:paraId="6E6088D8" w14:textId="77777777" w:rsidR="009F7282" w:rsidRPr="00E859C1" w:rsidRDefault="009F7282" w:rsidP="009F7282">
      <w:pPr>
        <w:spacing w:after="0"/>
        <w:jc w:val="both"/>
        <w:rPr>
          <w:rFonts w:ascii="Verdana" w:eastAsia="Calibri" w:hAnsi="Verdana" w:cs="Arial"/>
          <w:color w:val="000000"/>
          <w:lang w:val="es-ES" w:eastAsia="es-ES_tradnl"/>
        </w:rPr>
      </w:pPr>
    </w:p>
    <w:p w14:paraId="086EA901" w14:textId="77777777" w:rsidR="009F7282" w:rsidRPr="00E859C1" w:rsidRDefault="009F7282" w:rsidP="009F7282">
      <w:pPr>
        <w:spacing w:after="0" w:line="240" w:lineRule="auto"/>
        <w:ind w:left="709" w:right="709"/>
        <w:jc w:val="both"/>
        <w:rPr>
          <w:rFonts w:ascii="Verdana" w:eastAsia="Times New Roman" w:hAnsi="Verdana" w:cs="Arial"/>
          <w:bCs/>
          <w:iCs/>
          <w:sz w:val="21"/>
          <w:szCs w:val="21"/>
          <w:lang w:eastAsia="es-MX"/>
        </w:rPr>
      </w:pPr>
      <w:r w:rsidRPr="00E859C1">
        <w:rPr>
          <w:rFonts w:ascii="Verdana" w:eastAsia="Times New Roman" w:hAnsi="Verdana" w:cs="Arial"/>
          <w:bCs/>
          <w:iCs/>
          <w:sz w:val="21"/>
          <w:szCs w:val="21"/>
          <w:lang w:eastAsia="es-MX"/>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18563972" w14:textId="77777777" w:rsidR="009F7282" w:rsidRPr="00E859C1" w:rsidRDefault="009F7282" w:rsidP="009F7282">
      <w:pPr>
        <w:spacing w:after="0"/>
        <w:jc w:val="both"/>
        <w:rPr>
          <w:rFonts w:ascii="Verdana" w:eastAsia="Calibri" w:hAnsi="Verdana" w:cs="Arial"/>
        </w:rPr>
      </w:pPr>
    </w:p>
    <w:p w14:paraId="3EE69917" w14:textId="77777777" w:rsidR="009F7282" w:rsidRPr="003910C3" w:rsidRDefault="009F7282" w:rsidP="009F7282">
      <w:pPr>
        <w:spacing w:after="120" w:line="276" w:lineRule="auto"/>
        <w:ind w:firstLine="708"/>
        <w:jc w:val="both"/>
        <w:rPr>
          <w:rFonts w:ascii="Verdana" w:hAnsi="Verdana" w:cs="Arial"/>
          <w:noProof/>
        </w:rPr>
      </w:pPr>
      <w:r w:rsidRPr="00E859C1">
        <w:rPr>
          <w:rFonts w:ascii="Verdana" w:eastAsia="Calibri" w:hAnsi="Verdana" w:cs="Arial"/>
        </w:rPr>
        <w:t>En conclusión, las causales de rechazo deben estar necesariamente nominadas en la ley o en el pliego de condiciones y no puede realizarse frente a su redacción, ninguna interpretación extensiva. Por esta razón, si el EGCAP o el pliego de condiciones</w:t>
      </w:r>
      <w:r>
        <w:rPr>
          <w:rFonts w:ascii="Verdana" w:eastAsia="Calibri" w:hAnsi="Verdana" w:cs="Arial"/>
        </w:rPr>
        <w:t xml:space="preserve"> establece de manera literal como causal de rechazo </w:t>
      </w:r>
      <w:r>
        <w:rPr>
          <w:rFonts w:ascii="Verdana" w:hAnsi="Verdana" w:cs="Arial"/>
          <w:noProof/>
        </w:rPr>
        <w:t xml:space="preserve">que que </w:t>
      </w:r>
      <w:r w:rsidRPr="003910C3">
        <w:rPr>
          <w:rFonts w:ascii="Verdana" w:eastAsia="Century Gothic" w:hAnsi="Verdana" w:cs="Century Gothic"/>
        </w:rPr>
        <w:t>el tiempo de duración de una Unión Temporal</w:t>
      </w:r>
      <w:r>
        <w:rPr>
          <w:rFonts w:ascii="Verdana" w:eastAsia="Century Gothic" w:hAnsi="Verdana" w:cs="Century Gothic"/>
        </w:rPr>
        <w:t xml:space="preserve"> sea</w:t>
      </w:r>
      <w:r w:rsidRPr="003910C3">
        <w:rPr>
          <w:rFonts w:ascii="Verdana" w:eastAsia="Century Gothic" w:hAnsi="Verdana" w:cs="Century Gothic"/>
        </w:rPr>
        <w:t xml:space="preserve"> inferior a la duración del contrato</w:t>
      </w:r>
      <w:r>
        <w:rPr>
          <w:rFonts w:ascii="Verdana" w:eastAsia="Century Gothic" w:hAnsi="Verdana" w:cs="Century Gothic"/>
        </w:rPr>
        <w:t xml:space="preserve">, esta debe </w:t>
      </w:r>
      <w:r w:rsidRPr="009940B4">
        <w:rPr>
          <w:rFonts w:ascii="Verdana" w:eastAsia="Century Gothic" w:hAnsi="Verdana" w:cs="Century Gothic"/>
        </w:rPr>
        <w:t>ser desestimada o excluida del proceso de licitación</w:t>
      </w:r>
      <w:r>
        <w:rPr>
          <w:rFonts w:ascii="Verdana" w:eastAsia="Century Gothic" w:hAnsi="Verdana" w:cs="Century Gothic"/>
        </w:rPr>
        <w:t xml:space="preserve"> ya que se trata de una causal explicita</w:t>
      </w:r>
      <w:r w:rsidRPr="009940B4">
        <w:rPr>
          <w:rFonts w:ascii="Verdana" w:eastAsia="Century Gothic" w:hAnsi="Verdana" w:cs="Century Gothic"/>
        </w:rPr>
        <w:t xml:space="preserve"> en los pliegos </w:t>
      </w:r>
      <w:r>
        <w:rPr>
          <w:rFonts w:ascii="Verdana" w:eastAsia="Century Gothic" w:hAnsi="Verdana" w:cs="Century Gothic"/>
        </w:rPr>
        <w:t xml:space="preserve">de condiciones </w:t>
      </w:r>
      <w:r w:rsidRPr="009940B4">
        <w:rPr>
          <w:rFonts w:ascii="Verdana" w:eastAsia="Century Gothic" w:hAnsi="Verdana" w:cs="Century Gothic"/>
        </w:rPr>
        <w:t>para garantizar que las ofertas cumplan con los requisitos mínimos y las condiciones esenciales del contrato.</w:t>
      </w:r>
    </w:p>
    <w:p w14:paraId="2F8BD68E" w14:textId="77777777" w:rsidR="007E4284" w:rsidRDefault="007E4284" w:rsidP="007E4284">
      <w:pPr>
        <w:spacing w:after="120" w:line="276" w:lineRule="auto"/>
        <w:ind w:firstLine="709"/>
        <w:jc w:val="both"/>
        <w:rPr>
          <w:rFonts w:ascii="Verdana" w:hAnsi="Verdana" w:cs="Arial"/>
          <w:noProof/>
          <w:lang w:val="es-ES_tradnl"/>
        </w:rPr>
      </w:pPr>
      <w:r>
        <w:rPr>
          <w:rFonts w:ascii="Verdana" w:eastAsia="Calibri" w:hAnsi="Verdana" w:cs="Arial"/>
          <w:lang w:val="es-ES"/>
        </w:rPr>
        <w:t xml:space="preserve">Asi las cosas, </w:t>
      </w:r>
      <w:r w:rsidRPr="0019683B">
        <w:rPr>
          <w:rFonts w:ascii="Verdana" w:eastAsia="Calibri" w:hAnsi="Verdana" w:cs="Arial"/>
          <w:lang w:val="es-ES"/>
        </w:rPr>
        <w:t>corresponde a cada entidad pública, en ejercicio de su competencia y previa valoración de los elementos fácticos y jurídicos asi como de las disposiciones legales anteriormente mencionadas, determinar</w:t>
      </w:r>
      <w:r>
        <w:rPr>
          <w:rFonts w:ascii="Verdana" w:eastAsia="Calibri" w:hAnsi="Verdana" w:cs="Arial"/>
          <w:lang w:val="es-ES"/>
        </w:rPr>
        <w:t xml:space="preserve"> las reglas de subsanabilidad </w:t>
      </w:r>
      <w:r w:rsidR="009F7282">
        <w:rPr>
          <w:rFonts w:ascii="Verdana" w:eastAsia="Calibri" w:hAnsi="Verdana" w:cs="Arial"/>
          <w:lang w:val="es-ES"/>
        </w:rPr>
        <w:t xml:space="preserve">y causales de rechazo </w:t>
      </w:r>
      <w:r>
        <w:rPr>
          <w:rFonts w:ascii="Verdana" w:eastAsia="Calibri" w:hAnsi="Verdana" w:cs="Arial"/>
          <w:lang w:val="es-ES"/>
        </w:rPr>
        <w:t>aplicables al caso, ya que, a</w:t>
      </w:r>
      <w:r w:rsidRPr="0019683B">
        <w:rPr>
          <w:rFonts w:ascii="Verdana" w:eastAsia="Calibri" w:hAnsi="Verdana" w:cs="Arial"/>
          <w:lang w:val="es-ES"/>
        </w:rPr>
        <w:t>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y, en caso de conflicto, a las autoridades judiciales, fiscales y disciplinarias.</w:t>
      </w:r>
    </w:p>
    <w:p w14:paraId="22B2DF34" w14:textId="77777777" w:rsidR="007E4284" w:rsidRPr="00593A5F" w:rsidRDefault="007E4284" w:rsidP="007E428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Referencias normativas, jurisprudenciales y otras fuentes:</w:t>
      </w:r>
    </w:p>
    <w:p w14:paraId="43298AA8" w14:textId="77777777" w:rsidR="007E4284" w:rsidRPr="00593A5F" w:rsidRDefault="007E4284" w:rsidP="007E428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F7282" w:rsidRPr="00593A5F" w14:paraId="2FE01D94" w14:textId="77777777" w:rsidTr="00BF7FDC">
        <w:trPr>
          <w:trHeight w:val="870"/>
        </w:trPr>
        <w:tc>
          <w:tcPr>
            <w:tcW w:w="8647" w:type="dxa"/>
          </w:tcPr>
          <w:p w14:paraId="2BB934C9" w14:textId="77777777" w:rsidR="009F7282" w:rsidRPr="00D16A5E" w:rsidRDefault="009F7282" w:rsidP="00BF7FDC">
            <w:pPr>
              <w:pStyle w:val="Prrafodelista"/>
              <w:numPr>
                <w:ilvl w:val="0"/>
                <w:numId w:val="18"/>
              </w:numPr>
              <w:spacing w:after="120" w:line="276" w:lineRule="auto"/>
              <w:ind w:right="709"/>
              <w:jc w:val="both"/>
              <w:rPr>
                <w:rFonts w:ascii="Verdana" w:hAnsi="Verdana" w:cs="Arial"/>
                <w:noProof/>
                <w:lang w:val="es-ES_tradnl"/>
              </w:rPr>
            </w:pPr>
            <w:r>
              <w:rPr>
                <w:rFonts w:ascii="Verdana" w:hAnsi="Verdana" w:cs="Arial"/>
                <w:noProof/>
                <w:lang w:val="es-ES_tradnl"/>
              </w:rPr>
              <w:t>A</w:t>
            </w:r>
            <w:r w:rsidRPr="009F4606">
              <w:rPr>
                <w:rFonts w:ascii="Verdana" w:hAnsi="Verdana" w:cs="Arial"/>
                <w:noProof/>
                <w:lang w:val="es-ES_tradnl"/>
              </w:rPr>
              <w:t xml:space="preserve">rtículo 5 de la Ley 1150 de 2007, </w:t>
            </w:r>
            <w:bookmarkStart w:id="2" w:name="_Hlk176762543"/>
            <w:r w:rsidRPr="009F4606">
              <w:rPr>
                <w:rFonts w:ascii="Verdana" w:hAnsi="Verdana" w:cs="Arial"/>
                <w:noProof/>
                <w:lang w:val="es-ES_tradnl"/>
              </w:rPr>
              <w:t>modificado por la Ley 1882 de 2018, parágrafos 1, 3 y 4</w:t>
            </w:r>
            <w:bookmarkEnd w:id="2"/>
            <w:r w:rsidRPr="009F4606">
              <w:rPr>
                <w:rFonts w:ascii="Verdana" w:hAnsi="Verdana" w:cs="Arial"/>
                <w:noProof/>
                <w:lang w:val="es-ES_tradnl"/>
              </w:rPr>
              <w:t>.</w:t>
            </w:r>
            <w:r>
              <w:rPr>
                <w:rFonts w:ascii="Verdana" w:hAnsi="Verdana" w:cs="Arial"/>
                <w:noProof/>
                <w:lang w:val="es-ES_tradnl"/>
              </w:rPr>
              <w:t xml:space="preserve"> Disponible en: </w:t>
            </w:r>
            <w:hyperlink r:id="rId11" w:history="1">
              <w:r w:rsidRPr="00836E04">
                <w:rPr>
                  <w:rStyle w:val="Hipervnculo"/>
                  <w:rFonts w:ascii="Verdana" w:hAnsi="Verdana" w:cs="Arial"/>
                  <w:noProof/>
                  <w:lang w:val="es-ES_tradnl"/>
                </w:rPr>
                <w:t>https://relatoria.colombiacompra.gov.co/normativa/ley-1882-de-2018/</w:t>
              </w:r>
            </w:hyperlink>
            <w:r w:rsidRPr="00D16A5E">
              <w:rPr>
                <w:rFonts w:ascii="Verdana" w:hAnsi="Verdana" w:cs="Arial"/>
                <w:noProof/>
                <w:lang w:val="es-ES_tradnl"/>
              </w:rPr>
              <w:t xml:space="preserve"> </w:t>
            </w:r>
          </w:p>
          <w:p w14:paraId="7B2AD01E" w14:textId="77777777" w:rsidR="009F7282" w:rsidRPr="00D16A5E" w:rsidRDefault="009F7282" w:rsidP="00BF7FDC">
            <w:pPr>
              <w:pStyle w:val="Prrafodelista"/>
              <w:numPr>
                <w:ilvl w:val="0"/>
                <w:numId w:val="18"/>
              </w:numPr>
              <w:spacing w:after="120" w:line="276" w:lineRule="auto"/>
              <w:ind w:right="709"/>
              <w:jc w:val="both"/>
              <w:rPr>
                <w:rFonts w:ascii="Verdana" w:hAnsi="Verdana" w:cs="Arial"/>
                <w:noProof/>
                <w:lang w:val="es-ES_tradnl"/>
              </w:rPr>
            </w:pPr>
            <w:r>
              <w:rPr>
                <w:rFonts w:ascii="Verdana" w:eastAsia="Times New Roman" w:hAnsi="Verdana" w:cs="Arial"/>
                <w:lang w:val="es-ES_tradnl" w:eastAsia="es-ES_tradnl"/>
              </w:rPr>
              <w:t>A</w:t>
            </w:r>
            <w:r w:rsidRPr="00D16A5E">
              <w:rPr>
                <w:rFonts w:ascii="Verdana" w:eastAsia="Times New Roman" w:hAnsi="Verdana" w:cs="Arial"/>
                <w:lang w:val="es-ES_tradnl" w:eastAsia="es-ES_tradnl"/>
              </w:rPr>
              <w:t>rtículo 2.2.1.2.1.5.2</w:t>
            </w:r>
            <w:r>
              <w:rPr>
                <w:rFonts w:ascii="Verdana" w:eastAsia="Times New Roman" w:hAnsi="Verdana" w:cs="Arial"/>
                <w:lang w:val="es-ES_tradnl" w:eastAsia="es-ES_tradnl"/>
              </w:rPr>
              <w:t xml:space="preserve"> del Decreto 1082 de 2015 modificado por el artículo 2 </w:t>
            </w:r>
            <w:r w:rsidRPr="00D16A5E">
              <w:rPr>
                <w:rFonts w:ascii="Verdana" w:eastAsia="Times New Roman" w:hAnsi="Verdana" w:cs="Arial"/>
                <w:lang w:val="es-ES_tradnl" w:eastAsia="es-ES_tradnl"/>
              </w:rPr>
              <w:t>Decreto 1860 de 2021</w:t>
            </w:r>
            <w:r>
              <w:rPr>
                <w:rFonts w:ascii="Verdana" w:eastAsia="Times New Roman" w:hAnsi="Verdana" w:cs="Arial"/>
                <w:lang w:val="es-ES_tradnl" w:eastAsia="es-ES_tradnl"/>
              </w:rPr>
              <w:t xml:space="preserve">. </w:t>
            </w:r>
            <w:r>
              <w:rPr>
                <w:rFonts w:ascii="Verdana" w:hAnsi="Verdana" w:cs="Arial"/>
                <w:noProof/>
                <w:lang w:val="es-ES_tradnl"/>
              </w:rPr>
              <w:t xml:space="preserve">Disponible en: </w:t>
            </w:r>
            <w:r w:rsidRPr="00D16A5E">
              <w:rPr>
                <w:rFonts w:ascii="Verdana" w:eastAsia="Times New Roman" w:hAnsi="Verdana" w:cs="Arial"/>
                <w:lang w:val="es-ES_tradnl" w:eastAsia="es-ES_tradnl"/>
              </w:rPr>
              <w:t xml:space="preserve"> </w:t>
            </w:r>
            <w:hyperlink r:id="rId12" w:history="1">
              <w:r w:rsidRPr="00D16A5E">
                <w:rPr>
                  <w:rStyle w:val="Hipervnculo"/>
                  <w:rFonts w:ascii="Verdana" w:eastAsia="Times New Roman" w:hAnsi="Verdana" w:cs="Arial"/>
                  <w:lang w:val="es-ES_tradnl" w:eastAsia="es-ES_tradnl"/>
                </w:rPr>
                <w:t>https://relatoria.colombiacompra.gov.co/normativa/decreto-1860-de-2021/</w:t>
              </w:r>
            </w:hyperlink>
            <w:r w:rsidRPr="00D16A5E">
              <w:rPr>
                <w:rFonts w:ascii="Verdana" w:eastAsia="Times New Roman" w:hAnsi="Verdana" w:cs="Arial"/>
                <w:lang w:val="es-ES_tradnl" w:eastAsia="es-ES_tradnl"/>
              </w:rPr>
              <w:t xml:space="preserve"> </w:t>
            </w:r>
          </w:p>
          <w:p w14:paraId="347F0B95" w14:textId="77777777" w:rsidR="009F7282" w:rsidRDefault="009F7282" w:rsidP="00BF7FDC">
            <w:pPr>
              <w:pStyle w:val="Prrafodelista"/>
              <w:numPr>
                <w:ilvl w:val="0"/>
                <w:numId w:val="18"/>
              </w:numPr>
              <w:spacing w:after="120" w:line="276" w:lineRule="auto"/>
              <w:ind w:right="709"/>
              <w:jc w:val="both"/>
              <w:rPr>
                <w:rFonts w:ascii="Verdana" w:hAnsi="Verdana" w:cs="Arial"/>
                <w:noProof/>
                <w:lang w:val="es-ES_tradnl"/>
              </w:rPr>
            </w:pPr>
            <w:r w:rsidRPr="00D16A5E">
              <w:rPr>
                <w:rFonts w:ascii="Verdana" w:hAnsi="Verdana" w:cs="Arial"/>
              </w:rPr>
              <w:t xml:space="preserve">Jurisprudencia del Consejo de Estado. </w:t>
            </w:r>
            <w:r w:rsidRPr="009C0560">
              <w:rPr>
                <w:rFonts w:ascii="Verdana" w:hAnsi="Verdana" w:cs="Arial"/>
                <w:noProof/>
                <w:lang w:val="es-ES_tradnl"/>
              </w:rPr>
              <w:t>Consejo de Estado. Sala de Consulta y Servicio Civil. Concepto del 20 de mayo de 2010. Exp. 1.992. C.P. Enrique José Arboleda Perdomo.</w:t>
            </w:r>
          </w:p>
          <w:p w14:paraId="08EC1033" w14:textId="77777777" w:rsidR="009F7282" w:rsidRDefault="009F7282" w:rsidP="00BF7FDC">
            <w:pPr>
              <w:pStyle w:val="Prrafodelista"/>
              <w:numPr>
                <w:ilvl w:val="0"/>
                <w:numId w:val="18"/>
              </w:numPr>
              <w:spacing w:after="120" w:line="276" w:lineRule="auto"/>
              <w:ind w:right="709"/>
              <w:jc w:val="both"/>
              <w:rPr>
                <w:rFonts w:ascii="Verdana" w:hAnsi="Verdana" w:cs="Arial"/>
                <w:noProof/>
                <w:lang w:val="es-ES_tradnl"/>
              </w:rPr>
            </w:pPr>
            <w:r w:rsidRPr="009C0560">
              <w:rPr>
                <w:rFonts w:ascii="Verdana" w:hAnsi="Verdana" w:cs="Arial"/>
                <w:noProof/>
                <w:lang w:val="es-ES_tradnl"/>
              </w:rPr>
              <w:t>Consejo De Estado. Sección Tercera. Subsección C. Sentencia del 26 de febrero de 2014. Expediente: 25.804. Consejero Ponente: Enrique Gil Botero</w:t>
            </w:r>
          </w:p>
          <w:p w14:paraId="6336296D" w14:textId="77777777" w:rsidR="009F7282" w:rsidRPr="000D446F" w:rsidRDefault="009F7282" w:rsidP="00BF7FDC">
            <w:pPr>
              <w:pStyle w:val="Prrafodelista"/>
              <w:numPr>
                <w:ilvl w:val="0"/>
                <w:numId w:val="18"/>
              </w:numPr>
              <w:spacing w:after="120" w:line="276" w:lineRule="auto"/>
              <w:ind w:right="709"/>
              <w:jc w:val="both"/>
              <w:rPr>
                <w:rFonts w:ascii="Verdana" w:hAnsi="Verdana" w:cs="Arial"/>
              </w:rPr>
            </w:pPr>
            <w:r w:rsidRPr="00DD313F">
              <w:rPr>
                <w:rFonts w:ascii="Verdana" w:hAnsi="Verdana" w:cs="Arial"/>
                <w:noProof/>
                <w:lang w:val="es-ES_tradnl"/>
              </w:rPr>
              <w:t>Consejo De Estado, Sección Tercera, Subsección C. Sentencia del 26 de febrero de 2011. C.P. Jaime Orlando Santofimio. Rad. 36.408.</w:t>
            </w:r>
            <w:r w:rsidRPr="00DD313F">
              <w:rPr>
                <w:rFonts w:ascii="Verdana" w:hAnsi="Verdana" w:cs="Arial"/>
              </w:rPr>
              <w:t xml:space="preserve">Disponible en: </w:t>
            </w:r>
            <w:hyperlink w:history="1">
              <w:r w:rsidRPr="00DD313F">
                <w:rPr>
                  <w:rStyle w:val="Hipervnculo"/>
                  <w:rFonts w:ascii="Verdana" w:hAnsi="Verdana" w:cs="Arial"/>
                  <w:noProof/>
                  <w:lang w:val="es-ES_tradnl"/>
                </w:rPr>
                <w:t>https://relatoria.colombiacompra.gov.co /providencias-consejo-de-estado/</w:t>
              </w:r>
            </w:hyperlink>
          </w:p>
        </w:tc>
      </w:tr>
    </w:tbl>
    <w:p w14:paraId="43DB8E95" w14:textId="77777777" w:rsidR="009F7282" w:rsidRPr="00593A5F" w:rsidRDefault="009F7282" w:rsidP="009F7282">
      <w:pPr>
        <w:widowControl w:val="0"/>
        <w:autoSpaceDE w:val="0"/>
        <w:autoSpaceDN w:val="0"/>
        <w:spacing w:after="0" w:line="276" w:lineRule="auto"/>
        <w:jc w:val="both"/>
        <w:rPr>
          <w:rFonts w:ascii="Verdana" w:hAnsi="Verdana" w:cs="Arial"/>
        </w:rPr>
      </w:pPr>
    </w:p>
    <w:p w14:paraId="58F9BF79" w14:textId="77777777" w:rsidR="009F7282" w:rsidRPr="00593A5F" w:rsidRDefault="009F7282" w:rsidP="009F728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0335A88" w14:textId="77777777" w:rsidR="009F7282" w:rsidRDefault="009F7282" w:rsidP="009F7282">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4D24B127" w14:textId="77777777" w:rsidR="009F7282" w:rsidRDefault="009F7282" w:rsidP="009F7282">
      <w:pPr>
        <w:widowControl w:val="0"/>
        <w:autoSpaceDE w:val="0"/>
        <w:autoSpaceDN w:val="0"/>
        <w:spacing w:after="0" w:line="276" w:lineRule="auto"/>
        <w:jc w:val="both"/>
        <w:rPr>
          <w:rFonts w:ascii="Verdana" w:eastAsia="Calibri" w:hAnsi="Verdana" w:cs="Arial"/>
          <w:lang w:val="es-ES"/>
        </w:rPr>
      </w:pPr>
      <w:r w:rsidRPr="00DD781E">
        <w:rPr>
          <w:rStyle w:val="normaltextrun"/>
          <w:rFonts w:ascii="Verdana" w:hAnsi="Verdana" w:cs="Arial"/>
          <w:shd w:val="clear" w:color="auto" w:fill="FFFFFF"/>
          <w:lang w:val="es-ES"/>
        </w:rPr>
        <w:t xml:space="preserve">Esta Subdirección se ha pronunciado sobre </w:t>
      </w:r>
      <w:r w:rsidRPr="00D16A5E">
        <w:rPr>
          <w:rFonts w:ascii="Verdana" w:eastAsia="Calibri" w:hAnsi="Verdana" w:cs="Arial"/>
          <w:lang w:val="es-ES" w:eastAsia="es-ES"/>
        </w:rPr>
        <w:t xml:space="preserve">la </w:t>
      </w:r>
      <w:r w:rsidRPr="00D16A5E">
        <w:rPr>
          <w:rFonts w:ascii="Verdana" w:eastAsia="Calibri" w:hAnsi="Verdana" w:cs="Arial"/>
          <w:lang w:val="es-ES"/>
        </w:rPr>
        <w:t>regla de subsanabilidad en los procesos de selección,</w:t>
      </w:r>
      <w:r w:rsidRPr="00D16A5E">
        <w:rPr>
          <w:rStyle w:val="superscript"/>
          <w:rFonts w:ascii="Verdana" w:hAnsi="Verdana" w:cs="Arial"/>
          <w:shd w:val="clear" w:color="auto" w:fill="FFFFFF"/>
          <w:lang w:val="es-ES"/>
        </w:rPr>
        <w:t xml:space="preserve"> </w:t>
      </w:r>
      <w:r w:rsidRPr="00D16A5E">
        <w:rPr>
          <w:rFonts w:ascii="Verdana" w:eastAsia="Calibri" w:hAnsi="Verdana" w:cs="Arial"/>
          <w:lang w:val="es-ES"/>
        </w:rPr>
        <w:t>en los conceptos 4201913000007643 del 26 de diciembre de 2019, C-343 del 17 de junio de 2020, C-518 del 9 de septiembre de 2020, C-614 del 5 de octubre de 2022, C-882 del 21 de diciembre de 2022</w:t>
      </w:r>
      <w:r>
        <w:rPr>
          <w:rFonts w:ascii="Verdana" w:eastAsia="Calibri" w:hAnsi="Verdana" w:cs="Arial"/>
          <w:lang w:val="es-ES"/>
        </w:rPr>
        <w:t xml:space="preserve">, </w:t>
      </w:r>
      <w:r w:rsidRPr="00D16A5E">
        <w:rPr>
          <w:rFonts w:ascii="Verdana" w:eastAsia="Calibri" w:hAnsi="Verdana" w:cs="Arial"/>
          <w:lang w:val="es-ES"/>
        </w:rPr>
        <w:t>C-172 del 6 de junio de 2023</w:t>
      </w:r>
      <w:r>
        <w:rPr>
          <w:rFonts w:ascii="Verdana" w:eastAsia="Calibri" w:hAnsi="Verdana" w:cs="Arial"/>
          <w:lang w:val="es-ES"/>
        </w:rPr>
        <w:t xml:space="preserve"> y C-230 del 06 de agosto de 2024</w:t>
      </w:r>
      <w:r w:rsidRPr="00D16A5E">
        <w:rPr>
          <w:rFonts w:ascii="Verdana" w:eastAsia="Calibri" w:hAnsi="Verdana" w:cs="Arial"/>
          <w:lang w:val="es-ES"/>
        </w:rPr>
        <w:t xml:space="preserve">. </w:t>
      </w:r>
    </w:p>
    <w:p w14:paraId="13AD0348" w14:textId="77777777" w:rsidR="009F7282" w:rsidRDefault="009F7282" w:rsidP="009F7282">
      <w:pPr>
        <w:widowControl w:val="0"/>
        <w:autoSpaceDE w:val="0"/>
        <w:autoSpaceDN w:val="0"/>
        <w:spacing w:after="0" w:line="276" w:lineRule="auto"/>
        <w:jc w:val="both"/>
        <w:rPr>
          <w:rFonts w:ascii="Verdana" w:eastAsia="Calibri" w:hAnsi="Verdana" w:cs="Arial"/>
          <w:lang w:val="es-ES"/>
        </w:rPr>
      </w:pPr>
    </w:p>
    <w:p w14:paraId="6F63A869" w14:textId="77777777" w:rsidR="009F7282" w:rsidRPr="00D16A5E" w:rsidRDefault="009F7282" w:rsidP="009F7282">
      <w:pPr>
        <w:widowControl w:val="0"/>
        <w:autoSpaceDE w:val="0"/>
        <w:autoSpaceDN w:val="0"/>
        <w:spacing w:after="0" w:line="276" w:lineRule="auto"/>
        <w:jc w:val="both"/>
        <w:rPr>
          <w:rStyle w:val="normaltextrun"/>
          <w:rFonts w:ascii="Verdana" w:hAnsi="Verdana" w:cs="Arial"/>
          <w:shd w:val="clear" w:color="auto" w:fill="FFFFFF"/>
          <w:lang w:val="es-ES"/>
        </w:rPr>
      </w:pPr>
      <w:r w:rsidRPr="000F57DE">
        <w:rPr>
          <w:rStyle w:val="normaltextrun"/>
          <w:rFonts w:ascii="Verdana" w:hAnsi="Verdana" w:cs="Arial"/>
          <w:shd w:val="clear" w:color="auto" w:fill="FFFFFF"/>
          <w:lang w:val="es-ES"/>
        </w:rPr>
        <w:t>De igual forma, respecto de las causales de rechazo incorporadas en los pliegos de condiciones, la Agencia emitió los conceptos C- 716 del 30 de octubre de 2020, C-096 del 24 de marzo de 2021, C-056 del 20 de abril de 2021, C-078 del 15 de marzo de 2022, C-321 del 17 de mayo de 2022, C-113 del 22 de marzo de 2022, C-178</w:t>
      </w:r>
      <w:r>
        <w:rPr>
          <w:rStyle w:val="normaltextrun"/>
          <w:rFonts w:ascii="Verdana" w:hAnsi="Verdana" w:cs="Arial"/>
          <w:shd w:val="clear" w:color="auto" w:fill="FFFFFF"/>
          <w:lang w:val="es-ES"/>
        </w:rPr>
        <w:t xml:space="preserve">, </w:t>
      </w:r>
      <w:r w:rsidRPr="000F57DE">
        <w:rPr>
          <w:rStyle w:val="normaltextrun"/>
          <w:rFonts w:ascii="Verdana" w:hAnsi="Verdana" w:cs="Arial"/>
          <w:shd w:val="clear" w:color="auto" w:fill="FFFFFF"/>
          <w:lang w:val="es-ES"/>
        </w:rPr>
        <w:t>C-186 del 12 de abril de 2022</w:t>
      </w:r>
      <w:r>
        <w:rPr>
          <w:rStyle w:val="normaltextrun"/>
          <w:rFonts w:ascii="Verdana" w:hAnsi="Verdana" w:cs="Arial"/>
          <w:shd w:val="clear" w:color="auto" w:fill="FFFFFF"/>
          <w:lang w:val="es-ES"/>
        </w:rPr>
        <w:t xml:space="preserve"> y C-216 del 06 de junio de 2023.</w:t>
      </w:r>
    </w:p>
    <w:p w14:paraId="5D40BA61" w14:textId="77777777" w:rsidR="007E4284" w:rsidRDefault="007E4284" w:rsidP="007E4284">
      <w:pPr>
        <w:widowControl w:val="0"/>
        <w:autoSpaceDE w:val="0"/>
        <w:autoSpaceDN w:val="0"/>
        <w:spacing w:after="0" w:line="276" w:lineRule="auto"/>
        <w:jc w:val="both"/>
        <w:rPr>
          <w:rFonts w:ascii="Verdana" w:hAnsi="Verdana" w:cs="Arial"/>
          <w:color w:val="000000" w:themeColor="text1"/>
          <w:shd w:val="clear" w:color="auto" w:fill="FFFFFF"/>
          <w:lang w:val="es-ES_tradnl"/>
        </w:rPr>
      </w:pPr>
    </w:p>
    <w:p w14:paraId="173B0D5B" w14:textId="77777777" w:rsidR="007E4284" w:rsidRDefault="007E4284" w:rsidP="007E4284">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A8619D">
        <w:rPr>
          <w:rFonts w:ascii="Verdana" w:hAnsi="Verdana" w:cs="Arial"/>
          <w:color w:val="000000" w:themeColor="text1"/>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w:t>
      </w:r>
      <w:r w:rsidRPr="00A8619D">
        <w:rPr>
          <w:rFonts w:ascii="Verdana" w:hAnsi="Verdana" w:cs="Arial"/>
          <w:color w:val="000000" w:themeColor="text1"/>
          <w:shd w:val="clear" w:color="auto" w:fill="FFFFFF"/>
        </w:rPr>
        <w:lastRenderedPageBreak/>
        <w:t>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A8619D">
          <w:rPr>
            <w:rStyle w:val="Hipervnculo"/>
            <w:rFonts w:ascii="Verdana" w:hAnsi="Verdana" w:cs="Arial"/>
            <w:shd w:val="clear" w:color="auto" w:fill="FFFFFF"/>
          </w:rPr>
          <w:t>https://relatoria.colombiacompra.gov.co/</w:t>
        </w:r>
      </w:hyperlink>
      <w:r w:rsidRPr="00A8619D">
        <w:rPr>
          <w:rFonts w:ascii="Verdana" w:hAnsi="Verdana" w:cs="Arial"/>
          <w:color w:val="000000" w:themeColor="text1"/>
          <w:shd w:val="clear" w:color="auto" w:fill="FFFFFF"/>
        </w:rPr>
        <w:t> . Te invitamos también a revisar la tercera edición del  Boletín de Relatoría de 2024 en el cual podrás consultar en detalle el marco normativo de documentos tipo: </w:t>
      </w:r>
      <w:hyperlink r:id="rId14" w:tgtFrame="_blank" w:tooltip="Dirección URL original: https://www.colombiacompra.gov.co/sites/cce_public/files/files_2020/boletin_de_realtoria_iii.pdf. Haga clic o pulse si confía en este vínculo." w:history="1">
        <w:r w:rsidRPr="00A8619D">
          <w:rPr>
            <w:rStyle w:val="Hipervnculo"/>
            <w:rFonts w:ascii="Verdana" w:hAnsi="Verdana" w:cs="Arial"/>
            <w:shd w:val="clear" w:color="auto" w:fill="FFFFFF"/>
          </w:rPr>
          <w:t>https://www.colombiacompra.gov.co/sites/cce_public/files/files_2020/boletin_de_realtoria_iii.pdf</w:t>
        </w:r>
      </w:hyperlink>
      <w:r w:rsidRPr="00A8619D">
        <w:rPr>
          <w:rFonts w:ascii="Verdana" w:hAnsi="Verdana" w:cs="Arial"/>
          <w:color w:val="000000" w:themeColor="text1"/>
          <w:shd w:val="clear" w:color="auto" w:fill="FFFFFF"/>
        </w:rPr>
        <w:t> ".</w:t>
      </w:r>
    </w:p>
    <w:p w14:paraId="4F7C2809" w14:textId="77777777" w:rsidR="007E4284" w:rsidRDefault="007E4284" w:rsidP="007E4284">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918C226" w14:textId="77777777" w:rsidR="007E4284" w:rsidRDefault="007E4284" w:rsidP="007E4284">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5"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75DD26AF" w14:textId="77777777" w:rsidR="007E4284" w:rsidRDefault="007E4284" w:rsidP="007E4284">
      <w:pPr>
        <w:spacing w:after="0" w:line="240" w:lineRule="auto"/>
        <w:jc w:val="both"/>
        <w:rPr>
          <w:rFonts w:ascii="Verdana" w:hAnsi="Verdana"/>
        </w:rPr>
      </w:pPr>
    </w:p>
    <w:p w14:paraId="40220395" w14:textId="77777777" w:rsidR="007E4284" w:rsidRPr="003E2460" w:rsidRDefault="007E4284" w:rsidP="007E4284">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73F03647" w14:textId="77777777" w:rsidR="007E4284" w:rsidRPr="003E2460" w:rsidRDefault="007E4284" w:rsidP="007E4284">
      <w:pPr>
        <w:spacing w:after="0" w:line="240" w:lineRule="auto"/>
        <w:jc w:val="both"/>
        <w:rPr>
          <w:rFonts w:ascii="Verdana" w:hAnsi="Verdana"/>
        </w:rPr>
      </w:pPr>
    </w:p>
    <w:p w14:paraId="615F491D" w14:textId="77777777" w:rsidR="007E4284" w:rsidRPr="003E2460" w:rsidRDefault="007E4284" w:rsidP="007E4284">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1F84B92D" w14:textId="77777777" w:rsidR="007E4284" w:rsidRPr="003E2460" w:rsidRDefault="007E4284" w:rsidP="007E4284">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41C0AC71" w14:textId="77777777" w:rsidR="007E4284" w:rsidRPr="003E2460" w:rsidRDefault="007E4284" w:rsidP="007E4284">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17A454A1" w14:textId="77777777" w:rsidR="007E4284" w:rsidRPr="00593A5F" w:rsidRDefault="007E4284" w:rsidP="007E4284">
      <w:pPr>
        <w:widowControl w:val="0"/>
        <w:autoSpaceDE w:val="0"/>
        <w:autoSpaceDN w:val="0"/>
        <w:spacing w:after="0" w:line="276" w:lineRule="auto"/>
        <w:jc w:val="both"/>
        <w:rPr>
          <w:rFonts w:ascii="Verdana" w:hAnsi="Verdana" w:cs="Arial"/>
        </w:rPr>
      </w:pPr>
    </w:p>
    <w:p w14:paraId="164F5558" w14:textId="77777777" w:rsidR="007E4284" w:rsidRPr="00593A5F" w:rsidRDefault="007E4284" w:rsidP="007E4284">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C89D4ED" w14:textId="77777777" w:rsidR="007E4284" w:rsidRPr="00593A5F" w:rsidRDefault="007E4284" w:rsidP="007E4284">
      <w:pPr>
        <w:widowControl w:val="0"/>
        <w:autoSpaceDE w:val="0"/>
        <w:autoSpaceDN w:val="0"/>
        <w:spacing w:after="0" w:line="276" w:lineRule="auto"/>
        <w:jc w:val="both"/>
        <w:rPr>
          <w:rFonts w:ascii="Verdana" w:hAnsi="Verdana" w:cs="Arial"/>
        </w:rPr>
      </w:pPr>
    </w:p>
    <w:p w14:paraId="4EBA7EA2" w14:textId="77777777" w:rsidR="007E4284" w:rsidRPr="00593A5F" w:rsidRDefault="007E4284" w:rsidP="007E4284">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398F47A" w14:textId="57C4D341" w:rsidR="007E4284" w:rsidRDefault="007E4284" w:rsidP="007E4284">
      <w:pPr>
        <w:spacing w:line="276" w:lineRule="auto"/>
        <w:jc w:val="center"/>
        <w:rPr>
          <w:rFonts w:ascii="Verdana" w:hAnsi="Verdana"/>
          <w:noProof/>
        </w:rPr>
      </w:pPr>
    </w:p>
    <w:p w14:paraId="3565DB94" w14:textId="7B915BD8" w:rsidR="009C43AA" w:rsidRPr="009C43AA" w:rsidRDefault="009C43AA" w:rsidP="009C43AA">
      <w:pPr>
        <w:spacing w:line="276" w:lineRule="auto"/>
        <w:jc w:val="center"/>
        <w:rPr>
          <w:rFonts w:ascii="Verdana" w:hAnsi="Verdana" w:cs="Arial"/>
          <w:noProof/>
          <w:color w:val="000000"/>
          <w:lang w:eastAsia="es-CO"/>
        </w:rPr>
      </w:pPr>
      <w:r w:rsidRPr="009C43AA">
        <w:rPr>
          <w:rFonts w:ascii="Verdana" w:hAnsi="Verdana" w:cs="Arial"/>
          <w:noProof/>
          <w:color w:val="000000"/>
          <w:lang w:eastAsia="es-CO"/>
        </w:rPr>
        <w:drawing>
          <wp:inline distT="0" distB="0" distL="0" distR="0" wp14:anchorId="51DA0E5D" wp14:editId="7F6EE67E">
            <wp:extent cx="3476625" cy="1492455"/>
            <wp:effectExtent l="0" t="0" r="0" b="0"/>
            <wp:docPr id="135738233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95969" cy="1500759"/>
                    </a:xfrm>
                    <a:prstGeom prst="rect">
                      <a:avLst/>
                    </a:prstGeom>
                    <a:noFill/>
                    <a:ln>
                      <a:noFill/>
                    </a:ln>
                  </pic:spPr>
                </pic:pic>
              </a:graphicData>
            </a:graphic>
          </wp:inline>
        </w:drawing>
      </w:r>
    </w:p>
    <w:p w14:paraId="75D699BD" w14:textId="77777777" w:rsidR="009C43AA" w:rsidRDefault="009C43AA" w:rsidP="007E4284">
      <w:pPr>
        <w:spacing w:line="276" w:lineRule="auto"/>
        <w:jc w:val="center"/>
        <w:rPr>
          <w:rFonts w:ascii="Verdana" w:hAnsi="Verdana" w:cs="Arial"/>
          <w:noProof/>
          <w:color w:val="000000"/>
          <w:lang w:val="es-ES_tradnl" w:eastAsia="es-CO"/>
        </w:rPr>
      </w:pPr>
    </w:p>
    <w:p w14:paraId="7B02D827" w14:textId="77777777" w:rsidR="009C43AA" w:rsidRDefault="009C43AA" w:rsidP="007E4284">
      <w:pPr>
        <w:spacing w:line="276" w:lineRule="auto"/>
        <w:jc w:val="center"/>
        <w:rPr>
          <w:rFonts w:ascii="Verdana" w:hAnsi="Verdana" w:cs="Arial"/>
          <w:noProof/>
          <w:color w:val="000000"/>
          <w:lang w:val="es-ES_tradnl" w:eastAsia="es-CO"/>
        </w:rPr>
      </w:pPr>
    </w:p>
    <w:p w14:paraId="146C3630" w14:textId="77777777" w:rsidR="009C43AA" w:rsidRDefault="009C43AA" w:rsidP="007E4284">
      <w:pPr>
        <w:spacing w:line="276" w:lineRule="auto"/>
        <w:jc w:val="center"/>
        <w:rPr>
          <w:rFonts w:ascii="Verdana" w:hAnsi="Verdana" w:cs="Arial"/>
          <w:noProof/>
          <w:color w:val="000000"/>
          <w:lang w:val="es-ES_tradnl" w:eastAsia="es-CO"/>
        </w:rPr>
      </w:pPr>
    </w:p>
    <w:p w14:paraId="1F719603" w14:textId="77777777" w:rsidR="009C43AA" w:rsidRPr="00593A5F" w:rsidRDefault="009C43AA" w:rsidP="007E4284">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E4284" w:rsidRPr="00593A5F" w14:paraId="7F3787F7" w14:textId="77777777" w:rsidTr="00730488">
        <w:trPr>
          <w:trHeight w:val="315"/>
        </w:trPr>
        <w:tc>
          <w:tcPr>
            <w:tcW w:w="893" w:type="dxa"/>
            <w:vAlign w:val="center"/>
            <w:hideMark/>
          </w:tcPr>
          <w:p w14:paraId="7DE7CE2C" w14:textId="77777777" w:rsidR="007E4284" w:rsidRPr="003751C7" w:rsidRDefault="007E4284" w:rsidP="00730488">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0DD76BB" w14:textId="77777777" w:rsidR="007E4284" w:rsidRPr="00BE4B85" w:rsidRDefault="007E4284" w:rsidP="00730488">
            <w:pPr>
              <w:contextualSpacing/>
              <w:rPr>
                <w:rFonts w:ascii="Verdana" w:eastAsia="Arial" w:hAnsi="Verdana" w:cs="Arial"/>
                <w:color w:val="7030A0"/>
                <w:sz w:val="16"/>
                <w:szCs w:val="16"/>
              </w:rPr>
            </w:pPr>
            <w:r w:rsidRPr="00BE4B85">
              <w:rPr>
                <w:rStyle w:val="normaltextrun"/>
                <w:rFonts w:ascii="Verdana" w:hAnsi="Verdana"/>
                <w:sz w:val="16"/>
                <w:szCs w:val="16"/>
              </w:rPr>
              <w:t>Christian Camilo Orjuela Galeano</w:t>
            </w:r>
          </w:p>
          <w:p w14:paraId="0B20AA72" w14:textId="77777777" w:rsidR="007E4284" w:rsidRPr="00BE4B85" w:rsidRDefault="007E4284" w:rsidP="00730488">
            <w:pPr>
              <w:contextualSpacing/>
              <w:rPr>
                <w:rFonts w:ascii="Verdana" w:eastAsia="Arial" w:hAnsi="Verdana" w:cs="Arial"/>
                <w:sz w:val="16"/>
                <w:szCs w:val="16"/>
              </w:rPr>
            </w:pPr>
            <w:r w:rsidRPr="00BE4B85">
              <w:rPr>
                <w:rStyle w:val="normaltextrun"/>
                <w:rFonts w:ascii="Verdana" w:eastAsia="Arial" w:hAnsi="Verdana" w:cs="Arial"/>
                <w:sz w:val="16"/>
                <w:szCs w:val="16"/>
              </w:rPr>
              <w:t>Contratista de la Subdirección de Gestión Contractual</w:t>
            </w:r>
          </w:p>
        </w:tc>
      </w:tr>
      <w:tr w:rsidR="007E4284" w:rsidRPr="00593A5F" w14:paraId="6FD40956" w14:textId="77777777" w:rsidTr="00730488">
        <w:trPr>
          <w:trHeight w:val="330"/>
        </w:trPr>
        <w:tc>
          <w:tcPr>
            <w:tcW w:w="893" w:type="dxa"/>
            <w:vAlign w:val="center"/>
            <w:hideMark/>
          </w:tcPr>
          <w:p w14:paraId="1068038C" w14:textId="77777777" w:rsidR="007E4284" w:rsidRPr="003751C7" w:rsidRDefault="007E4284" w:rsidP="00730488">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15CCC3C" w14:textId="77777777" w:rsidR="007E4284" w:rsidRPr="0031103E" w:rsidRDefault="007E4284" w:rsidP="00730488">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Ximena Rios</w:t>
            </w:r>
          </w:p>
          <w:p w14:paraId="6013BA04" w14:textId="77777777" w:rsidR="007E4284" w:rsidRPr="00BE4B85" w:rsidRDefault="007E4284" w:rsidP="00730488">
            <w:pPr>
              <w:pStyle w:val="paragraph"/>
              <w:spacing w:before="0" w:beforeAutospacing="0" w:after="0" w:afterAutospacing="0"/>
              <w:contextualSpacing/>
              <w:textAlignment w:val="baseline"/>
              <w:rPr>
                <w:rFonts w:ascii="Verdana" w:hAnsi="Verdana" w:cs="Segoe UI"/>
                <w:sz w:val="16"/>
                <w:szCs w:val="16"/>
              </w:rPr>
            </w:pPr>
            <w:r w:rsidRPr="00BE4B85">
              <w:rPr>
                <w:rStyle w:val="normaltextrun"/>
                <w:rFonts w:ascii="Verdana" w:eastAsia="Arial" w:hAnsi="Verdana" w:cs="Arial"/>
                <w:sz w:val="16"/>
                <w:szCs w:val="16"/>
              </w:rPr>
              <w:t>Contratista de la Subdirección de Gestión Contractual</w:t>
            </w:r>
          </w:p>
        </w:tc>
      </w:tr>
      <w:tr w:rsidR="007E4284" w:rsidRPr="00593A5F" w14:paraId="5E3D94C4" w14:textId="77777777" w:rsidTr="00730488">
        <w:trPr>
          <w:trHeight w:val="300"/>
        </w:trPr>
        <w:tc>
          <w:tcPr>
            <w:tcW w:w="893" w:type="dxa"/>
            <w:vAlign w:val="center"/>
          </w:tcPr>
          <w:p w14:paraId="34772466" w14:textId="77777777" w:rsidR="007E4284" w:rsidRPr="003751C7" w:rsidRDefault="007E4284" w:rsidP="00730488">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9BC3625" w14:textId="77777777" w:rsidR="007E4284" w:rsidRPr="00BE4B85" w:rsidRDefault="007E4284" w:rsidP="00730488">
            <w:pPr>
              <w:contextualSpacing/>
              <w:rPr>
                <w:rFonts w:ascii="Verdana" w:eastAsia="Calibri" w:hAnsi="Verdana" w:cs="Arial"/>
                <w:sz w:val="16"/>
                <w:szCs w:val="16"/>
                <w:lang w:val="pt-BR" w:eastAsia="es-ES"/>
              </w:rPr>
            </w:pPr>
            <w:r w:rsidRPr="00BE4B85">
              <w:rPr>
                <w:rFonts w:ascii="Verdana" w:eastAsia="Calibri" w:hAnsi="Verdana" w:cs="Arial"/>
                <w:sz w:val="16"/>
                <w:szCs w:val="16"/>
                <w:lang w:val="pt-BR" w:eastAsia="es-ES"/>
              </w:rPr>
              <w:t>Carolina Quintero Gacharná</w:t>
            </w:r>
          </w:p>
          <w:p w14:paraId="24760229" w14:textId="77777777" w:rsidR="007E4284" w:rsidRPr="00BE4B85" w:rsidRDefault="007E4284" w:rsidP="00730488">
            <w:pPr>
              <w:contextualSpacing/>
              <w:rPr>
                <w:rFonts w:ascii="Verdana" w:eastAsia="Calibri" w:hAnsi="Verdana" w:cs="Arial"/>
                <w:sz w:val="16"/>
                <w:szCs w:val="16"/>
                <w:lang w:val="pt-BR" w:eastAsia="es-ES"/>
              </w:rPr>
            </w:pPr>
            <w:r w:rsidRPr="00BE4B85">
              <w:rPr>
                <w:rFonts w:ascii="Verdana" w:eastAsia="Calibri" w:hAnsi="Verdana" w:cs="Arial"/>
                <w:sz w:val="16"/>
                <w:szCs w:val="16"/>
                <w:lang w:eastAsia="es-ES"/>
              </w:rPr>
              <w:t>Subdirectora</w:t>
            </w:r>
            <w:r w:rsidRPr="00BE4B85">
              <w:rPr>
                <w:rFonts w:ascii="Verdana" w:eastAsia="Calibri" w:hAnsi="Verdana" w:cs="Arial"/>
                <w:sz w:val="16"/>
                <w:szCs w:val="16"/>
                <w:lang w:val="pt-BR" w:eastAsia="es-ES"/>
              </w:rPr>
              <w:t xml:space="preserve"> de Gestión Contractual ANCP – CCE</w:t>
            </w:r>
          </w:p>
        </w:tc>
      </w:tr>
    </w:tbl>
    <w:p w14:paraId="7B81140B" w14:textId="77777777" w:rsidR="007E4284" w:rsidRPr="00593A5F" w:rsidRDefault="007E4284" w:rsidP="007E4284">
      <w:pPr>
        <w:spacing w:after="0" w:line="240" w:lineRule="auto"/>
        <w:rPr>
          <w:rFonts w:ascii="Verdana" w:eastAsia="Times New Roman" w:hAnsi="Verdana" w:cs="Arial"/>
          <w:sz w:val="24"/>
          <w:szCs w:val="24"/>
          <w:lang w:eastAsia="es-ES"/>
        </w:rPr>
      </w:pPr>
    </w:p>
    <w:p w14:paraId="21EAD8F8" w14:textId="77777777" w:rsidR="007E4284" w:rsidRPr="00871B59" w:rsidRDefault="007E4284" w:rsidP="007E4284"/>
    <w:p w14:paraId="49925605" w14:textId="77777777" w:rsidR="007E4284" w:rsidRPr="00A65B93" w:rsidRDefault="007E4284" w:rsidP="007E4284">
      <w:pPr>
        <w:spacing w:after="0"/>
        <w:rPr>
          <w:rFonts w:ascii="Verdana" w:hAnsi="Verdana"/>
          <w:lang w:val="es-ES"/>
        </w:rPr>
      </w:pPr>
    </w:p>
    <w:p w14:paraId="0C02D8AC" w14:textId="35564E6B" w:rsidR="00E245AB" w:rsidRPr="0044528D" w:rsidRDefault="00891928" w:rsidP="00E245AB">
      <w:pPr>
        <w:spacing w:after="0"/>
        <w:rPr>
          <w:rFonts w:ascii="Verdana" w:hAnsi="Verdana"/>
        </w:rPr>
      </w:pPr>
      <w:r w:rsidRPr="0044528D">
        <w:rPr>
          <w:rFonts w:ascii="Verdana" w:hAnsi="Verdana"/>
        </w:rPr>
        <w:tab/>
      </w:r>
    </w:p>
    <w:bookmarkEnd w:id="0"/>
    <w:p w14:paraId="643EF51B" w14:textId="77777777" w:rsidR="009F7282" w:rsidRPr="0044528D" w:rsidRDefault="009F7282" w:rsidP="009F7282">
      <w:pPr>
        <w:spacing w:after="0"/>
        <w:rPr>
          <w:rFonts w:ascii="Verdana" w:hAnsi="Verdana"/>
        </w:rPr>
      </w:pPr>
    </w:p>
    <w:p w14:paraId="0465BA6D" w14:textId="77777777" w:rsidR="00E245AB" w:rsidRPr="0044528D" w:rsidRDefault="00E245AB" w:rsidP="009F7282">
      <w:pPr>
        <w:spacing w:after="0"/>
        <w:jc w:val="both"/>
        <w:rPr>
          <w:rFonts w:ascii="Verdana" w:hAnsi="Verdana"/>
        </w:rPr>
      </w:pPr>
    </w:p>
    <w:sectPr w:rsidR="00E245AB"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9C96EF" w14:textId="77777777" w:rsidR="0065082A" w:rsidRDefault="0065082A" w:rsidP="004A1847">
      <w:pPr>
        <w:spacing w:after="0" w:line="240" w:lineRule="auto"/>
      </w:pPr>
      <w:r>
        <w:separator/>
      </w:r>
    </w:p>
  </w:endnote>
  <w:endnote w:type="continuationSeparator" w:id="0">
    <w:p w14:paraId="612D910B" w14:textId="77777777" w:rsidR="0065082A" w:rsidRDefault="0065082A" w:rsidP="004A1847">
      <w:pPr>
        <w:spacing w:after="0" w:line="240" w:lineRule="auto"/>
      </w:pPr>
      <w:r>
        <w:continuationSeparator/>
      </w:r>
    </w:p>
  </w:endnote>
  <w:endnote w:type="continuationNotice" w:id="1">
    <w:p w14:paraId="3980187D" w14:textId="77777777" w:rsidR="0065082A" w:rsidRDefault="006508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BAFF76" w14:textId="77777777" w:rsidR="0065082A" w:rsidRDefault="0065082A" w:rsidP="004A1847">
      <w:pPr>
        <w:spacing w:after="0" w:line="240" w:lineRule="auto"/>
      </w:pPr>
      <w:r>
        <w:separator/>
      </w:r>
    </w:p>
  </w:footnote>
  <w:footnote w:type="continuationSeparator" w:id="0">
    <w:p w14:paraId="3FCEF61E" w14:textId="77777777" w:rsidR="0065082A" w:rsidRDefault="0065082A" w:rsidP="004A1847">
      <w:pPr>
        <w:spacing w:after="0" w:line="240" w:lineRule="auto"/>
      </w:pPr>
      <w:r>
        <w:continuationSeparator/>
      </w:r>
    </w:p>
  </w:footnote>
  <w:footnote w:type="continuationNotice" w:id="1">
    <w:p w14:paraId="741BD163" w14:textId="77777777" w:rsidR="0065082A" w:rsidRDefault="0065082A">
      <w:pPr>
        <w:spacing w:after="0" w:line="240" w:lineRule="auto"/>
      </w:pPr>
    </w:p>
  </w:footnote>
  <w:footnote w:id="2">
    <w:p w14:paraId="4917D538" w14:textId="42A7D73C" w:rsidR="003D178A" w:rsidRPr="00F27DD5" w:rsidRDefault="003D178A" w:rsidP="00B62EF2">
      <w:pPr>
        <w:pStyle w:val="Textonotapie"/>
        <w:contextualSpacing/>
        <w:jc w:val="both"/>
        <w:rPr>
          <w:rFonts w:ascii="Arial" w:eastAsia="Times New Roman" w:hAnsi="Arial" w:cs="Arial"/>
          <w:color w:val="000000"/>
          <w:sz w:val="18"/>
          <w:szCs w:val="18"/>
          <w:lang w:eastAsia="es-CO"/>
        </w:rPr>
      </w:pPr>
      <w:r w:rsidRPr="00F27DD5">
        <w:rPr>
          <w:rStyle w:val="Refdenotaalpie"/>
          <w:rFonts w:ascii="Arial" w:hAnsi="Arial" w:cs="Arial"/>
          <w:color w:val="000000"/>
          <w:sz w:val="18"/>
          <w:szCs w:val="18"/>
        </w:rPr>
        <w:footnoteRef/>
      </w:r>
      <w:r w:rsidRPr="00F27DD5">
        <w:rPr>
          <w:rFonts w:ascii="Arial" w:hAnsi="Arial" w:cs="Arial"/>
          <w:color w:val="000000"/>
          <w:sz w:val="18"/>
          <w:szCs w:val="18"/>
        </w:rPr>
        <w:t xml:space="preserve"> </w:t>
      </w:r>
      <w:r w:rsidRPr="00F27DD5">
        <w:rPr>
          <w:rFonts w:ascii="Arial" w:eastAsia="Times New Roman" w:hAnsi="Arial" w:cs="Arial"/>
          <w:color w:val="000000"/>
          <w:sz w:val="18"/>
          <w:szCs w:val="18"/>
          <w:lang w:eastAsia="es-CO"/>
        </w:rPr>
        <w:t>Consejo de Estado. Sala de Consulta y Servicio Civil. Concepto del 20 de mayo de 2010. Exp. 1.992. C.P. Enrique José Arboleda Perdomo.</w:t>
      </w:r>
    </w:p>
  </w:footnote>
  <w:footnote w:id="3">
    <w:p w14:paraId="325B94C5" w14:textId="77777777" w:rsidR="003D178A" w:rsidRPr="00F27DD5" w:rsidRDefault="003D178A" w:rsidP="00B62EF2">
      <w:pPr>
        <w:pStyle w:val="Textonotapie"/>
        <w:contextualSpacing/>
        <w:jc w:val="both"/>
        <w:rPr>
          <w:rFonts w:ascii="Arial" w:eastAsia="Times New Roman" w:hAnsi="Arial" w:cs="Arial"/>
          <w:color w:val="000000"/>
          <w:sz w:val="18"/>
          <w:szCs w:val="18"/>
          <w:lang w:eastAsia="es-CO"/>
        </w:rPr>
      </w:pPr>
      <w:r w:rsidRPr="00F27DD5">
        <w:rPr>
          <w:rStyle w:val="Refdenotaalpie"/>
          <w:rFonts w:ascii="Arial" w:hAnsi="Arial" w:cs="Arial"/>
          <w:color w:val="000000"/>
          <w:sz w:val="18"/>
          <w:szCs w:val="18"/>
        </w:rPr>
        <w:footnoteRef/>
      </w:r>
      <w:r w:rsidRPr="00F27DD5">
        <w:rPr>
          <w:rFonts w:ascii="Arial" w:hAnsi="Arial" w:cs="Arial"/>
          <w:color w:val="000000"/>
          <w:sz w:val="18"/>
          <w:szCs w:val="18"/>
        </w:rPr>
        <w:t xml:space="preserve"> </w:t>
      </w:r>
      <w:r w:rsidRPr="00F27DD5">
        <w:rPr>
          <w:rFonts w:ascii="Arial" w:eastAsia="Times New Roman" w:hAnsi="Arial" w:cs="Arial"/>
          <w:color w:val="000000"/>
          <w:sz w:val="18"/>
          <w:szCs w:val="18"/>
          <w:lang w:eastAsia="es-CO"/>
        </w:rPr>
        <w:t>Ver conceptos: C-008 del 4 de mayo de 2020, C-267 del 4 de mayo de 2020, C-283 del 4 de mayo de 2020, C-365 del 30 de junio de 2020 y C-730 del 14 de diciembre del 2020 y C-779 de 18 de enero de 2021.</w:t>
      </w:r>
    </w:p>
  </w:footnote>
  <w:footnote w:id="4">
    <w:p w14:paraId="7E6711B8" w14:textId="77777777" w:rsidR="003D178A" w:rsidRPr="00F27DD5" w:rsidRDefault="003D178A" w:rsidP="00B62EF2">
      <w:pPr>
        <w:pBdr>
          <w:top w:val="nil"/>
          <w:left w:val="nil"/>
          <w:bottom w:val="nil"/>
          <w:right w:val="nil"/>
          <w:between w:val="nil"/>
        </w:pBdr>
        <w:spacing w:after="0"/>
        <w:jc w:val="both"/>
        <w:rPr>
          <w:rFonts w:ascii="Arial" w:eastAsia="Arial" w:hAnsi="Arial" w:cs="Arial"/>
          <w:color w:val="000000"/>
          <w:sz w:val="18"/>
          <w:szCs w:val="18"/>
        </w:rPr>
      </w:pPr>
      <w:r w:rsidRPr="00F27DD5">
        <w:rPr>
          <w:rFonts w:ascii="Arial" w:hAnsi="Arial" w:cs="Arial"/>
          <w:sz w:val="18"/>
          <w:szCs w:val="18"/>
          <w:vertAlign w:val="superscript"/>
        </w:rPr>
        <w:footnoteRef/>
      </w:r>
      <w:r w:rsidRPr="00F27DD5">
        <w:rPr>
          <w:rFonts w:ascii="Arial" w:eastAsia="Arial" w:hAnsi="Arial" w:cs="Arial"/>
          <w:color w:val="000000"/>
          <w:sz w:val="18"/>
          <w:szCs w:val="18"/>
          <w:vertAlign w:val="superscript"/>
        </w:rPr>
        <w:t xml:space="preserve"> </w:t>
      </w:r>
      <w:r w:rsidRPr="00F27DD5">
        <w:rPr>
          <w:rFonts w:ascii="Arial" w:eastAsia="Arial" w:hAnsi="Arial" w:cs="Arial"/>
          <w:color w:val="000000"/>
          <w:sz w:val="18"/>
          <w:szCs w:val="18"/>
        </w:rPr>
        <w:t xml:space="preserve">Ley 1150 de 2007, artículo 5, parágrafo 4°: </w:t>
      </w:r>
      <w:r>
        <w:rPr>
          <w:rFonts w:ascii="Arial" w:eastAsia="Arial" w:hAnsi="Arial" w:cs="Arial"/>
          <w:color w:val="000000"/>
          <w:sz w:val="18"/>
          <w:szCs w:val="18"/>
        </w:rPr>
        <w:t>“</w:t>
      </w:r>
      <w:r w:rsidRPr="00F27DD5">
        <w:rPr>
          <w:rFonts w:ascii="Arial" w:eastAsia="Arial" w:hAnsi="Arial" w:cs="Arial"/>
          <w:color w:val="000000"/>
          <w:sz w:val="18"/>
          <w:szCs w:val="18"/>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r>
        <w:rPr>
          <w:rFonts w:ascii="Arial" w:eastAsia="Arial" w:hAnsi="Arial" w:cs="Arial"/>
          <w:color w:val="000000"/>
          <w:sz w:val="18"/>
          <w:szCs w:val="18"/>
        </w:rPr>
        <w:t>”</w:t>
      </w:r>
      <w:r w:rsidRPr="00F27DD5">
        <w:rPr>
          <w:rFonts w:ascii="Arial" w:eastAsia="Arial" w:hAnsi="Arial" w:cs="Arial"/>
          <w:color w:val="000000"/>
          <w:sz w:val="18"/>
          <w:szCs w:val="18"/>
        </w:rPr>
        <w:t>.</w:t>
      </w:r>
    </w:p>
  </w:footnote>
  <w:footnote w:id="5">
    <w:p w14:paraId="531FBCF9" w14:textId="77777777" w:rsidR="003D178A" w:rsidRDefault="003D178A" w:rsidP="003D178A">
      <w:pPr>
        <w:pStyle w:val="Textonotapie"/>
        <w:ind w:firstLine="708"/>
        <w:jc w:val="both"/>
        <w:rPr>
          <w:rFonts w:ascii="Arial" w:eastAsia="Arial" w:hAnsi="Arial" w:cs="Arial"/>
          <w:color w:val="000000"/>
          <w:sz w:val="18"/>
          <w:szCs w:val="18"/>
          <w:vertAlign w:val="superscript"/>
          <w:lang w:val="es-ES"/>
        </w:rPr>
      </w:pPr>
    </w:p>
    <w:p w14:paraId="03A1837D" w14:textId="77777777" w:rsidR="003D178A" w:rsidRPr="00F27DD5" w:rsidRDefault="003D178A" w:rsidP="00B62EF2">
      <w:pPr>
        <w:pStyle w:val="Textonotapie"/>
        <w:jc w:val="both"/>
        <w:rPr>
          <w:rFonts w:ascii="Arial" w:hAnsi="Arial" w:cs="Arial"/>
          <w:color w:val="000000"/>
          <w:sz w:val="18"/>
          <w:szCs w:val="18"/>
          <w:lang w:val="es-ES"/>
        </w:rPr>
      </w:pPr>
      <w:r w:rsidRPr="00F27DD5">
        <w:rPr>
          <w:rFonts w:ascii="Arial" w:eastAsia="Arial" w:hAnsi="Arial" w:cs="Arial"/>
          <w:color w:val="000000"/>
          <w:sz w:val="18"/>
          <w:szCs w:val="18"/>
          <w:vertAlign w:val="superscript"/>
        </w:rPr>
        <w:footnoteRef/>
      </w:r>
      <w:r w:rsidRPr="00F27DD5">
        <w:rPr>
          <w:rFonts w:ascii="Arial" w:eastAsia="Arial" w:hAnsi="Arial" w:cs="Arial"/>
          <w:color w:val="000000"/>
          <w:sz w:val="18"/>
          <w:szCs w:val="18"/>
          <w:vertAlign w:val="superscript"/>
          <w:lang w:val="es-ES"/>
        </w:rPr>
        <w:t xml:space="preserve"> </w:t>
      </w:r>
      <w:r w:rsidRPr="00F27DD5">
        <w:rPr>
          <w:rFonts w:ascii="Arial" w:eastAsia="Arial" w:hAnsi="Arial" w:cs="Arial"/>
          <w:color w:val="000000"/>
          <w:sz w:val="18"/>
          <w:szCs w:val="18"/>
          <w:lang w:val="es-ES"/>
        </w:rPr>
        <w:t>Consejo de Estado. Sala de Consulta y Servicio Civil. Concepto del 20 de mayo de 2010. No. de Radicado: 11001-03-06-000-2010-00034-00(1992). C.P. Enrique José Arboleda Perdomo.</w:t>
      </w:r>
    </w:p>
    <w:p w14:paraId="663DFC85" w14:textId="77777777" w:rsidR="003D178A" w:rsidRPr="00F27DD5" w:rsidRDefault="003D178A" w:rsidP="003D178A">
      <w:pPr>
        <w:pStyle w:val="Textonotapie"/>
        <w:ind w:firstLine="708"/>
        <w:jc w:val="both"/>
        <w:rPr>
          <w:rFonts w:ascii="Arial" w:hAnsi="Arial" w:cs="Arial"/>
          <w:color w:val="000000"/>
          <w:sz w:val="18"/>
          <w:szCs w:val="18"/>
        </w:rPr>
      </w:pPr>
    </w:p>
  </w:footnote>
  <w:footnote w:id="6">
    <w:p w14:paraId="03B5A4E1" w14:textId="5BB1B805" w:rsidR="009F7282" w:rsidRPr="00F27DD5" w:rsidRDefault="009F7282" w:rsidP="00B46E9F">
      <w:pPr>
        <w:pStyle w:val="Textonotapie"/>
        <w:jc w:val="both"/>
        <w:rPr>
          <w:rFonts w:ascii="Arial" w:eastAsia="Calibri" w:hAnsi="Arial" w:cs="Arial"/>
          <w:sz w:val="18"/>
          <w:szCs w:val="18"/>
          <w:lang w:val="es-CO"/>
        </w:rPr>
      </w:pPr>
      <w:r w:rsidRPr="00F27DD5">
        <w:rPr>
          <w:rStyle w:val="Refdenotaalpie"/>
          <w:rFonts w:ascii="Arial" w:hAnsi="Arial" w:cs="Arial"/>
          <w:sz w:val="18"/>
          <w:szCs w:val="18"/>
        </w:rPr>
        <w:footnoteRef/>
      </w:r>
      <w:r w:rsidRPr="00F27DD5">
        <w:rPr>
          <w:rFonts w:ascii="Arial" w:hAnsi="Arial" w:cs="Arial"/>
          <w:sz w:val="18"/>
          <w:szCs w:val="18"/>
        </w:rPr>
        <w:t xml:space="preserve"> </w:t>
      </w:r>
      <w:r w:rsidRPr="00F27DD5">
        <w:rPr>
          <w:rFonts w:ascii="Arial" w:eastAsia="Times New Roman" w:hAnsi="Arial" w:cs="Arial"/>
          <w:sz w:val="18"/>
          <w:szCs w:val="18"/>
          <w:lang w:val="es-CO" w:eastAsia="es-CO"/>
        </w:rPr>
        <w:t>Consejo de Estado. Sección Tercera. Sentencia del 27 de abril de 2011. Exp. 18.293. C.P. Ruth Stella Correa Palacio.</w:t>
      </w:r>
    </w:p>
  </w:footnote>
  <w:footnote w:id="7">
    <w:p w14:paraId="6A8305CE" w14:textId="77777777" w:rsidR="009F7282" w:rsidRPr="00F27DD5" w:rsidRDefault="009F7282" w:rsidP="00B46E9F">
      <w:pPr>
        <w:pStyle w:val="Textonotapie"/>
        <w:jc w:val="both"/>
        <w:rPr>
          <w:rFonts w:ascii="Arial" w:eastAsia="Times New Roman" w:hAnsi="Arial" w:cs="Arial"/>
          <w:sz w:val="18"/>
          <w:szCs w:val="18"/>
          <w:lang w:val="es-CO" w:eastAsia="es-CO"/>
        </w:rPr>
      </w:pPr>
      <w:r w:rsidRPr="00F27DD5">
        <w:rPr>
          <w:rStyle w:val="Refdenotaalpie"/>
          <w:rFonts w:ascii="Arial" w:hAnsi="Arial" w:cs="Arial"/>
          <w:sz w:val="18"/>
          <w:szCs w:val="18"/>
        </w:rPr>
        <w:footnoteRef/>
      </w:r>
      <w:r w:rsidRPr="00F27DD5">
        <w:rPr>
          <w:rFonts w:ascii="Arial" w:hAnsi="Arial" w:cs="Arial"/>
          <w:sz w:val="18"/>
          <w:szCs w:val="18"/>
        </w:rPr>
        <w:t xml:space="preserve"> </w:t>
      </w:r>
      <w:r w:rsidRPr="00F27DD5">
        <w:rPr>
          <w:rFonts w:ascii="Arial" w:eastAsia="Times New Roman" w:hAnsi="Arial" w:cs="Arial"/>
          <w:sz w:val="18"/>
          <w:szCs w:val="18"/>
          <w:lang w:val="es-CO" w:eastAsia="es-CO"/>
        </w:rPr>
        <w:t>Consejo de Estado. Sección Tercera. Sentencia del 21 de noviembre de 2013 Exp. 25397. C.P. Carlos Alberto Zambrano Barrera.</w:t>
      </w:r>
    </w:p>
    <w:p w14:paraId="3F82A746" w14:textId="77777777" w:rsidR="009F7282" w:rsidRPr="00F27DD5" w:rsidRDefault="009F7282" w:rsidP="009F7282">
      <w:pPr>
        <w:pStyle w:val="Textonotapie"/>
        <w:ind w:firstLine="708"/>
        <w:jc w:val="both"/>
        <w:rPr>
          <w:rFonts w:ascii="Arial" w:eastAsia="Calibri" w:hAnsi="Arial"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94" type="#_x0000_t75" style="width:12.25pt;height:12.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B77C31"/>
    <w:multiLevelType w:val="hybridMultilevel"/>
    <w:tmpl w:val="34283982"/>
    <w:lvl w:ilvl="0" w:tplc="2AF43E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1380713882">
    <w:abstractNumId w:val="0"/>
  </w:num>
  <w:num w:numId="17" w16cid:durableId="1132214699">
    <w:abstractNumId w:val="3"/>
  </w:num>
  <w:num w:numId="18" w16cid:durableId="78403917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29E4"/>
    <w:rsid w:val="00061B2A"/>
    <w:rsid w:val="00082362"/>
    <w:rsid w:val="000A683E"/>
    <w:rsid w:val="000B19B9"/>
    <w:rsid w:val="000D0334"/>
    <w:rsid w:val="000F6486"/>
    <w:rsid w:val="00125105"/>
    <w:rsid w:val="00127233"/>
    <w:rsid w:val="00134A69"/>
    <w:rsid w:val="00176AD1"/>
    <w:rsid w:val="001A3A8A"/>
    <w:rsid w:val="001B745B"/>
    <w:rsid w:val="001D3282"/>
    <w:rsid w:val="001E4177"/>
    <w:rsid w:val="001F7DC6"/>
    <w:rsid w:val="0021549B"/>
    <w:rsid w:val="002421BB"/>
    <w:rsid w:val="0025796E"/>
    <w:rsid w:val="002707A2"/>
    <w:rsid w:val="00290719"/>
    <w:rsid w:val="002951A0"/>
    <w:rsid w:val="002962BC"/>
    <w:rsid w:val="002A072F"/>
    <w:rsid w:val="002A093D"/>
    <w:rsid w:val="002A0DD0"/>
    <w:rsid w:val="002A49AC"/>
    <w:rsid w:val="002A64FD"/>
    <w:rsid w:val="002C7A84"/>
    <w:rsid w:val="002E4FD9"/>
    <w:rsid w:val="00322A85"/>
    <w:rsid w:val="00324168"/>
    <w:rsid w:val="00341A3C"/>
    <w:rsid w:val="003448F4"/>
    <w:rsid w:val="00374F5E"/>
    <w:rsid w:val="00377E3E"/>
    <w:rsid w:val="003A26D1"/>
    <w:rsid w:val="003A779E"/>
    <w:rsid w:val="003B67C2"/>
    <w:rsid w:val="003D0F4D"/>
    <w:rsid w:val="003D178A"/>
    <w:rsid w:val="003D5B0D"/>
    <w:rsid w:val="003E0499"/>
    <w:rsid w:val="003F3941"/>
    <w:rsid w:val="00406575"/>
    <w:rsid w:val="00411CEE"/>
    <w:rsid w:val="004268E4"/>
    <w:rsid w:val="0042722E"/>
    <w:rsid w:val="00441752"/>
    <w:rsid w:val="0044528D"/>
    <w:rsid w:val="004455B8"/>
    <w:rsid w:val="004A1847"/>
    <w:rsid w:val="004A305D"/>
    <w:rsid w:val="004D6580"/>
    <w:rsid w:val="004F21C4"/>
    <w:rsid w:val="004F685F"/>
    <w:rsid w:val="0054349E"/>
    <w:rsid w:val="005566E8"/>
    <w:rsid w:val="00574867"/>
    <w:rsid w:val="0058165E"/>
    <w:rsid w:val="00591460"/>
    <w:rsid w:val="00591E46"/>
    <w:rsid w:val="00592628"/>
    <w:rsid w:val="005A3D04"/>
    <w:rsid w:val="005C3777"/>
    <w:rsid w:val="005C4876"/>
    <w:rsid w:val="005C5CDC"/>
    <w:rsid w:val="005D476C"/>
    <w:rsid w:val="00610812"/>
    <w:rsid w:val="006219F8"/>
    <w:rsid w:val="0065082A"/>
    <w:rsid w:val="00650FF7"/>
    <w:rsid w:val="00665D70"/>
    <w:rsid w:val="00671DAC"/>
    <w:rsid w:val="006900D9"/>
    <w:rsid w:val="006A0DD8"/>
    <w:rsid w:val="006D12F8"/>
    <w:rsid w:val="006D4F92"/>
    <w:rsid w:val="00706C16"/>
    <w:rsid w:val="00756841"/>
    <w:rsid w:val="007649AB"/>
    <w:rsid w:val="00771D0C"/>
    <w:rsid w:val="007833AC"/>
    <w:rsid w:val="007B268C"/>
    <w:rsid w:val="007B7171"/>
    <w:rsid w:val="007C0C0F"/>
    <w:rsid w:val="007C3DC2"/>
    <w:rsid w:val="007E4284"/>
    <w:rsid w:val="007E5497"/>
    <w:rsid w:val="00806F5F"/>
    <w:rsid w:val="00820278"/>
    <w:rsid w:val="00843C98"/>
    <w:rsid w:val="00855573"/>
    <w:rsid w:val="008843B6"/>
    <w:rsid w:val="008917F8"/>
    <w:rsid w:val="00891928"/>
    <w:rsid w:val="008A1DF8"/>
    <w:rsid w:val="008A446D"/>
    <w:rsid w:val="008C394A"/>
    <w:rsid w:val="008D180B"/>
    <w:rsid w:val="008D329F"/>
    <w:rsid w:val="008F0EA7"/>
    <w:rsid w:val="00923EEF"/>
    <w:rsid w:val="009419F9"/>
    <w:rsid w:val="0095685E"/>
    <w:rsid w:val="00961B09"/>
    <w:rsid w:val="00965334"/>
    <w:rsid w:val="0097093E"/>
    <w:rsid w:val="009917B5"/>
    <w:rsid w:val="009A0DFA"/>
    <w:rsid w:val="009B2D26"/>
    <w:rsid w:val="009C43AA"/>
    <w:rsid w:val="009C71FA"/>
    <w:rsid w:val="009C72E7"/>
    <w:rsid w:val="009D3058"/>
    <w:rsid w:val="009D3D7B"/>
    <w:rsid w:val="009F3A13"/>
    <w:rsid w:val="009F7282"/>
    <w:rsid w:val="00A122D3"/>
    <w:rsid w:val="00A17F13"/>
    <w:rsid w:val="00A20739"/>
    <w:rsid w:val="00A33C78"/>
    <w:rsid w:val="00AB0ADB"/>
    <w:rsid w:val="00AD059F"/>
    <w:rsid w:val="00AD08D3"/>
    <w:rsid w:val="00AE56D1"/>
    <w:rsid w:val="00B01B1A"/>
    <w:rsid w:val="00B46E9F"/>
    <w:rsid w:val="00B61DC6"/>
    <w:rsid w:val="00B62EF2"/>
    <w:rsid w:val="00B72CD3"/>
    <w:rsid w:val="00B72FFF"/>
    <w:rsid w:val="00B839D9"/>
    <w:rsid w:val="00BC3D36"/>
    <w:rsid w:val="00BC5684"/>
    <w:rsid w:val="00BD7F72"/>
    <w:rsid w:val="00BE00E9"/>
    <w:rsid w:val="00BF35DB"/>
    <w:rsid w:val="00BF42BF"/>
    <w:rsid w:val="00C04FB3"/>
    <w:rsid w:val="00C10B15"/>
    <w:rsid w:val="00C13B97"/>
    <w:rsid w:val="00C330EB"/>
    <w:rsid w:val="00C37E6A"/>
    <w:rsid w:val="00C7067F"/>
    <w:rsid w:val="00C754BE"/>
    <w:rsid w:val="00C76B1C"/>
    <w:rsid w:val="00C84BD9"/>
    <w:rsid w:val="00CB6357"/>
    <w:rsid w:val="00CC1B26"/>
    <w:rsid w:val="00CE3C18"/>
    <w:rsid w:val="00CE54C6"/>
    <w:rsid w:val="00D423A2"/>
    <w:rsid w:val="00D50CA5"/>
    <w:rsid w:val="00D520D8"/>
    <w:rsid w:val="00D63AC2"/>
    <w:rsid w:val="00D7383B"/>
    <w:rsid w:val="00D944DC"/>
    <w:rsid w:val="00DA231B"/>
    <w:rsid w:val="00DA23A0"/>
    <w:rsid w:val="00DC39FC"/>
    <w:rsid w:val="00DD313F"/>
    <w:rsid w:val="00DE6196"/>
    <w:rsid w:val="00DF5254"/>
    <w:rsid w:val="00E16408"/>
    <w:rsid w:val="00E20894"/>
    <w:rsid w:val="00E245AB"/>
    <w:rsid w:val="00E2764C"/>
    <w:rsid w:val="00E27F2E"/>
    <w:rsid w:val="00E413EA"/>
    <w:rsid w:val="00E50AFE"/>
    <w:rsid w:val="00E74918"/>
    <w:rsid w:val="00E75C92"/>
    <w:rsid w:val="00E771DC"/>
    <w:rsid w:val="00E8772A"/>
    <w:rsid w:val="00E90F6B"/>
    <w:rsid w:val="00E92C27"/>
    <w:rsid w:val="00EA033D"/>
    <w:rsid w:val="00EA0E3D"/>
    <w:rsid w:val="00EC38A7"/>
    <w:rsid w:val="00EE1AA8"/>
    <w:rsid w:val="00F31EDC"/>
    <w:rsid w:val="00F462B3"/>
    <w:rsid w:val="00F5664F"/>
    <w:rsid w:val="00F666C4"/>
    <w:rsid w:val="00F76AFC"/>
    <w:rsid w:val="00F83DC7"/>
    <w:rsid w:val="00FA47C0"/>
    <w:rsid w:val="00FB5DD1"/>
    <w:rsid w:val="00FC2B5D"/>
    <w:rsid w:val="00FE2CF7"/>
    <w:rsid w:val="00FF1449"/>
    <w:rsid w:val="00FF16B2"/>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429E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E4284"/>
    <w:rPr>
      <w:rFonts w:ascii="Geomanist Light" w:hAnsi="Geomanist Light"/>
      <w:lang w:val="es-ES"/>
    </w:rPr>
  </w:style>
  <w:style w:type="character" w:customStyle="1" w:styleId="superscript">
    <w:name w:val="superscript"/>
    <w:basedOn w:val="Fuentedeprrafopredeter"/>
    <w:rsid w:val="007E4284"/>
  </w:style>
  <w:style w:type="character" w:styleId="Refdecomentario">
    <w:name w:val="annotation reference"/>
    <w:basedOn w:val="Fuentedeprrafopredeter"/>
    <w:uiPriority w:val="99"/>
    <w:semiHidden/>
    <w:unhideWhenUsed/>
    <w:rsid w:val="00FE2CF7"/>
    <w:rPr>
      <w:sz w:val="16"/>
      <w:szCs w:val="16"/>
    </w:rPr>
  </w:style>
  <w:style w:type="paragraph" w:styleId="Textocomentario">
    <w:name w:val="annotation text"/>
    <w:basedOn w:val="Normal"/>
    <w:link w:val="TextocomentarioCar"/>
    <w:uiPriority w:val="99"/>
    <w:unhideWhenUsed/>
    <w:rsid w:val="00FE2CF7"/>
    <w:pPr>
      <w:spacing w:line="240" w:lineRule="auto"/>
    </w:pPr>
    <w:rPr>
      <w:sz w:val="20"/>
      <w:szCs w:val="20"/>
    </w:rPr>
  </w:style>
  <w:style w:type="character" w:customStyle="1" w:styleId="TextocomentarioCar">
    <w:name w:val="Texto comentario Car"/>
    <w:basedOn w:val="Fuentedeprrafopredeter"/>
    <w:link w:val="Textocomentario"/>
    <w:uiPriority w:val="99"/>
    <w:rsid w:val="00FE2CF7"/>
    <w:rPr>
      <w:sz w:val="20"/>
      <w:szCs w:val="20"/>
    </w:rPr>
  </w:style>
  <w:style w:type="paragraph" w:styleId="Asuntodelcomentario">
    <w:name w:val="annotation subject"/>
    <w:basedOn w:val="Textocomentario"/>
    <w:next w:val="Textocomentario"/>
    <w:link w:val="AsuntodelcomentarioCar"/>
    <w:uiPriority w:val="99"/>
    <w:semiHidden/>
    <w:unhideWhenUsed/>
    <w:rsid w:val="00FE2CF7"/>
    <w:rPr>
      <w:b/>
      <w:bCs/>
    </w:rPr>
  </w:style>
  <w:style w:type="character" w:customStyle="1" w:styleId="AsuntodelcomentarioCar">
    <w:name w:val="Asunto del comentario Car"/>
    <w:basedOn w:val="TextocomentarioCar"/>
    <w:link w:val="Asuntodelcomentario"/>
    <w:uiPriority w:val="99"/>
    <w:semiHidden/>
    <w:rsid w:val="00FE2C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872968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89748458">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christian.orjuela%40colombiacompra.gov.co%7C5aad36a736844ec87b2108dcc1fa4639%7C7b09041e245149d08cb179d5e3d8c1be%7C0%7C0%7C638598527916602220%7CUnknown%7CTWFpbGZsb3d8eyJWIjoiMC4wLjAwMDAiLCJQIjoiV2luMzIiLCJBTiI6Ik1haWwiLCJXVCI6Mn0%3D%7C0%7C%7C%7C&amp;sdata=cssoUixS%2FLJ%2FPxxu6YKzw%2BCyaZXzEtuMM2P%2FcEstCfY%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normativa/decreto-1860-de-2021/"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normativa/ley-1882-de-2018/" TargetMode="External"/><Relationship Id="rId5" Type="http://schemas.openxmlformats.org/officeDocument/2006/relationships/styles" Target="styles.xml"/><Relationship Id="rId15" Type="http://schemas.openxmlformats.org/officeDocument/2006/relationships/hyperlink" Target="https://www.colombiacompra.gov.co/sala-de-prensa/boletin-digital"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ites%2Fcce_public%2Ffiles%2Ffiles_2020%2Fboletin_de_realtoria_iii.pdf&amp;data=05%7C02%7Cchristian.orjuela%40colombiacompra.gov.co%7C5aad36a736844ec87b2108dcc1fa4639%7C7b09041e245149d08cb179d5e3d8c1be%7C0%7C0%7C638598527916617214%7CUnknown%7CTWFpbGZsb3d8eyJWIjoiMC4wLjAwMDAiLCJQIjoiV2luMzIiLCJBTiI6Ik1haWwiLCJXVCI6Mn0%3D%7C0%7C%7C%7C&amp;sdata=AVPd%2FrvNpqdM%2BuVy%2B26fHExOTCkR31VGEzbwu2z7dH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56E60D6-97FD-4E02-B6CE-1EA7899A1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12</Pages>
  <Words>3758</Words>
  <Characters>20669</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11</cp:revision>
  <cp:lastPrinted>2023-01-10T21:18:00Z</cp:lastPrinted>
  <dcterms:created xsi:type="dcterms:W3CDTF">2024-09-18T10:41:00Z</dcterms:created>
  <dcterms:modified xsi:type="dcterms:W3CDTF">2024-10-30T21:23:00Z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