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9915D" w14:textId="77777777" w:rsidR="00063961" w:rsidRPr="00430F63" w:rsidRDefault="00063961" w:rsidP="00063961">
      <w:pPr>
        <w:spacing w:line="240" w:lineRule="auto"/>
        <w:jc w:val="both"/>
        <w:rPr>
          <w:rFonts w:ascii="Arial" w:eastAsia="Calibri" w:hAnsi="Arial" w:cs="Arial"/>
          <w:b/>
          <w:bCs/>
          <w:color w:val="000000" w:themeColor="text1"/>
          <w:sz w:val="20"/>
          <w:szCs w:val="20"/>
          <w:lang w:val="es-ES_tradnl"/>
        </w:rPr>
      </w:pPr>
      <w:bookmarkStart w:id="0" w:name="_Hlk34951122"/>
      <w:r w:rsidRPr="00430F63">
        <w:rPr>
          <w:rFonts w:ascii="Arial" w:eastAsia="Calibri" w:hAnsi="Arial" w:cs="Arial"/>
          <w:b/>
          <w:bCs/>
          <w:color w:val="000000" w:themeColor="text1"/>
          <w:sz w:val="20"/>
          <w:szCs w:val="20"/>
          <w:lang w:val="es-ES_tradnl"/>
        </w:rPr>
        <w:t xml:space="preserve">POTESTADES EXCEPCIONALES DE LA ADMINISTRACIÓN PÚBLICA </w:t>
      </w:r>
    </w:p>
    <w:p w14:paraId="487A532F" w14:textId="77777777" w:rsidR="00063961" w:rsidRPr="00430F63" w:rsidRDefault="00063961" w:rsidP="00063961">
      <w:pPr>
        <w:spacing w:line="240" w:lineRule="auto"/>
        <w:jc w:val="both"/>
        <w:rPr>
          <w:rFonts w:ascii="Arial" w:hAnsi="Arial" w:cs="Arial"/>
          <w:iCs/>
          <w:color w:val="000000" w:themeColor="text1"/>
          <w:sz w:val="20"/>
          <w:szCs w:val="20"/>
          <w:lang w:val="es-ES_tradnl"/>
        </w:rPr>
      </w:pPr>
      <w:r w:rsidRPr="00430F63">
        <w:rPr>
          <w:rFonts w:ascii="Arial" w:hAnsi="Arial" w:cs="Arial"/>
          <w:iCs/>
          <w:color w:val="000000" w:themeColor="text1"/>
          <w:sz w:val="20"/>
          <w:szCs w:val="20"/>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430F63">
        <w:rPr>
          <w:rFonts w:ascii="Arial" w:hAnsi="Arial" w:cs="Arial"/>
          <w:i/>
          <w:color w:val="000000" w:themeColor="text1"/>
          <w:sz w:val="20"/>
          <w:szCs w:val="20"/>
          <w:lang w:val="es-ES_tradnl"/>
        </w:rPr>
        <w:t>ibidem</w:t>
      </w:r>
      <w:r w:rsidRPr="00430F63">
        <w:rPr>
          <w:rFonts w:ascii="Arial" w:hAnsi="Arial" w:cs="Arial"/>
          <w:iCs/>
          <w:color w:val="000000" w:themeColor="text1"/>
          <w:sz w:val="20"/>
          <w:szCs w:val="20"/>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430F63">
        <w:rPr>
          <w:rFonts w:ascii="Arial" w:hAnsi="Arial" w:cs="Arial"/>
          <w:iCs/>
          <w:color w:val="000000" w:themeColor="text1"/>
          <w:sz w:val="20"/>
          <w:szCs w:val="20"/>
          <w:lang w:val="es-ES_tradnl"/>
        </w:rPr>
        <w:t>iii</w:t>
      </w:r>
      <w:proofErr w:type="spellEnd"/>
      <w:r w:rsidRPr="00430F63">
        <w:rPr>
          <w:rFonts w:ascii="Arial" w:hAnsi="Arial" w:cs="Arial"/>
          <w:iCs/>
          <w:color w:val="000000" w:themeColor="text1"/>
          <w:sz w:val="20"/>
          <w:szCs w:val="20"/>
          <w:lang w:val="es-ES_tradnl"/>
        </w:rPr>
        <w:t xml:space="preserve">) las cláusulas excepcionales de </w:t>
      </w:r>
      <w:r w:rsidRPr="00430F63">
        <w:rPr>
          <w:rFonts w:ascii="Arial" w:hAnsi="Arial" w:cs="Arial"/>
          <w:i/>
          <w:color w:val="000000" w:themeColor="text1"/>
          <w:sz w:val="20"/>
          <w:szCs w:val="20"/>
          <w:lang w:val="es-ES_tradnl"/>
        </w:rPr>
        <w:t>imposición unilateral</w:t>
      </w:r>
      <w:r w:rsidRPr="00430F63">
        <w:rPr>
          <w:rFonts w:ascii="Arial" w:hAnsi="Arial" w:cs="Arial"/>
          <w:iCs/>
          <w:color w:val="000000" w:themeColor="text1"/>
          <w:sz w:val="20"/>
          <w:szCs w:val="20"/>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17D606F9" w14:textId="77777777" w:rsidR="00063961" w:rsidRPr="00430F63" w:rsidRDefault="00063961" w:rsidP="00063961">
      <w:pPr>
        <w:spacing w:line="240" w:lineRule="auto"/>
        <w:jc w:val="both"/>
        <w:rPr>
          <w:rFonts w:ascii="Arial" w:eastAsia="Calibri" w:hAnsi="Arial" w:cs="Arial"/>
          <w:b/>
          <w:bCs/>
          <w:color w:val="000000" w:themeColor="text1"/>
          <w:sz w:val="20"/>
          <w:szCs w:val="20"/>
        </w:rPr>
      </w:pPr>
      <w:r w:rsidRPr="001F098E">
        <w:rPr>
          <w:rFonts w:ascii="Arial" w:eastAsia="Calibri" w:hAnsi="Arial" w:cs="Arial"/>
          <w:b/>
          <w:bCs/>
          <w:color w:val="000000" w:themeColor="text1"/>
          <w:sz w:val="20"/>
          <w:szCs w:val="20"/>
        </w:rPr>
        <w:t>CLÁUSULA PENAL</w:t>
      </w:r>
      <w:r w:rsidRPr="00430F63">
        <w:rPr>
          <w:rFonts w:ascii="Arial" w:eastAsia="Calibri" w:hAnsi="Arial" w:cs="Arial"/>
          <w:b/>
          <w:bCs/>
          <w:color w:val="000000" w:themeColor="text1"/>
          <w:sz w:val="20"/>
          <w:szCs w:val="20"/>
        </w:rPr>
        <w:t xml:space="preserve">- estimación anticipada de perjuicios / CLÁUSULA PENAL – Funciones </w:t>
      </w:r>
    </w:p>
    <w:p w14:paraId="08D62A38" w14:textId="41B28D63" w:rsidR="00063961" w:rsidRPr="00430F63" w:rsidRDefault="00063961" w:rsidP="00063961">
      <w:pPr>
        <w:spacing w:line="240" w:lineRule="auto"/>
        <w:jc w:val="both"/>
        <w:rPr>
          <w:rFonts w:ascii="Arial" w:eastAsia="Calibri" w:hAnsi="Arial" w:cs="Arial"/>
          <w:color w:val="000000" w:themeColor="text1"/>
          <w:sz w:val="20"/>
          <w:szCs w:val="20"/>
        </w:rPr>
      </w:pPr>
      <w:r w:rsidRPr="00430F63">
        <w:rPr>
          <w:rFonts w:ascii="Arial" w:eastAsia="Calibri" w:hAnsi="Arial" w:cs="Arial"/>
          <w:color w:val="000000" w:themeColor="text1"/>
          <w:sz w:val="20"/>
          <w:szCs w:val="20"/>
        </w:rPr>
        <w:t xml:space="preserve">[…]  el artículo 1592 del Código Civil establece que </w:t>
      </w:r>
      <w:r w:rsidR="00082820">
        <w:rPr>
          <w:rFonts w:ascii="Arial" w:eastAsia="Calibri" w:hAnsi="Arial" w:cs="Arial"/>
          <w:color w:val="000000" w:themeColor="text1"/>
          <w:sz w:val="20"/>
          <w:szCs w:val="20"/>
        </w:rPr>
        <w:t>“</w:t>
      </w:r>
      <w:r w:rsidRPr="00430F63">
        <w:rPr>
          <w:rFonts w:ascii="Arial" w:eastAsia="Calibri" w:hAnsi="Arial" w:cs="Arial"/>
          <w:color w:val="000000" w:themeColor="text1"/>
          <w:sz w:val="20"/>
          <w:szCs w:val="20"/>
        </w:rPr>
        <w:t>La cláusula penal es aquella en que una persona, para asegurar el cumplimiento de una obligación, se sujeta a una pena que consiste en dar o hacer algo en caso de no ejecutar o retardar la obligación principal.</w:t>
      </w:r>
      <w:r w:rsidR="00082820">
        <w:rPr>
          <w:rFonts w:ascii="Arial" w:eastAsia="Calibri" w:hAnsi="Arial" w:cs="Arial"/>
          <w:color w:val="000000" w:themeColor="text1"/>
          <w:sz w:val="20"/>
          <w:szCs w:val="20"/>
        </w:rPr>
        <w:t>”</w:t>
      </w:r>
      <w:r w:rsidRPr="00430F63">
        <w:rPr>
          <w:rFonts w:ascii="Arial" w:eastAsia="Calibri" w:hAnsi="Arial" w:cs="Arial"/>
          <w:color w:val="000000" w:themeColor="text1"/>
          <w:sz w:val="20"/>
          <w:szCs w:val="20"/>
        </w:rPr>
        <w:t xml:space="preserve"> Por su parte, el artículo 867 del Código de Comercio, dispone: </w:t>
      </w:r>
      <w:r w:rsidR="00082820">
        <w:rPr>
          <w:rFonts w:ascii="Arial" w:eastAsia="Calibri" w:hAnsi="Arial" w:cs="Arial"/>
          <w:color w:val="000000" w:themeColor="text1"/>
          <w:sz w:val="20"/>
          <w:szCs w:val="20"/>
        </w:rPr>
        <w:t>“</w:t>
      </w:r>
      <w:r w:rsidRPr="00430F63">
        <w:rPr>
          <w:rFonts w:ascii="Arial" w:eastAsia="Calibri" w:hAnsi="Arial" w:cs="Arial"/>
          <w:color w:val="000000" w:themeColor="text1"/>
          <w:sz w:val="20"/>
          <w:szCs w:val="20"/>
        </w:rPr>
        <w:t>Cuando se estipule el pago de una prestación determinada para el caso de incumplimiento, o de mora, se entenderá que las partes no pueden retractarse (…)</w:t>
      </w:r>
      <w:r w:rsidR="00082820">
        <w:rPr>
          <w:rFonts w:ascii="Arial" w:eastAsia="Calibri" w:hAnsi="Arial" w:cs="Arial"/>
          <w:color w:val="000000" w:themeColor="text1"/>
          <w:sz w:val="20"/>
          <w:szCs w:val="20"/>
        </w:rPr>
        <w:t>”</w:t>
      </w:r>
      <w:r w:rsidRPr="00430F63">
        <w:rPr>
          <w:rFonts w:ascii="Arial" w:eastAsia="Calibri" w:hAnsi="Arial" w:cs="Arial"/>
          <w:color w:val="000000" w:themeColor="text1"/>
          <w:sz w:val="20"/>
          <w:szCs w:val="20"/>
        </w:rPr>
        <w:t xml:space="preserve">. […] la cláusula penal puede cumplir varias funciones, a saber: </w:t>
      </w:r>
      <w:r w:rsidRPr="00430F63">
        <w:rPr>
          <w:rFonts w:ascii="Arial" w:eastAsia="Calibri" w:hAnsi="Arial" w:cs="Arial"/>
          <w:i/>
          <w:iCs/>
          <w:color w:val="000000" w:themeColor="text1"/>
          <w:sz w:val="20"/>
          <w:szCs w:val="20"/>
        </w:rPr>
        <w:t>i)</w:t>
      </w:r>
      <w:r w:rsidRPr="00430F63">
        <w:rPr>
          <w:rFonts w:ascii="Arial" w:eastAsia="Calibri" w:hAnsi="Arial" w:cs="Arial"/>
          <w:color w:val="000000" w:themeColor="text1"/>
          <w:sz w:val="20"/>
          <w:szCs w:val="20"/>
        </w:rPr>
        <w:t xml:space="preserve"> estimación anticipada de perjuicios; </w:t>
      </w:r>
      <w:r w:rsidRPr="00430F63">
        <w:rPr>
          <w:rFonts w:ascii="Arial" w:eastAsia="Calibri" w:hAnsi="Arial" w:cs="Arial"/>
          <w:i/>
          <w:iCs/>
          <w:color w:val="000000" w:themeColor="text1"/>
          <w:sz w:val="20"/>
          <w:szCs w:val="20"/>
        </w:rPr>
        <w:t>ii)</w:t>
      </w:r>
      <w:r w:rsidRPr="00430F63">
        <w:rPr>
          <w:rFonts w:ascii="Arial" w:eastAsia="Calibri" w:hAnsi="Arial" w:cs="Arial"/>
          <w:color w:val="000000" w:themeColor="text1"/>
          <w:sz w:val="20"/>
          <w:szCs w:val="20"/>
        </w:rPr>
        <w:t xml:space="preserve"> medio de apremio al deudor, y </w:t>
      </w:r>
      <w:proofErr w:type="spellStart"/>
      <w:r w:rsidRPr="00430F63">
        <w:rPr>
          <w:rFonts w:ascii="Arial" w:eastAsia="Calibri" w:hAnsi="Arial" w:cs="Arial"/>
          <w:i/>
          <w:iCs/>
          <w:color w:val="000000" w:themeColor="text1"/>
          <w:sz w:val="20"/>
          <w:szCs w:val="20"/>
        </w:rPr>
        <w:t>iii</w:t>
      </w:r>
      <w:proofErr w:type="spellEnd"/>
      <w:r w:rsidRPr="00430F63">
        <w:rPr>
          <w:rFonts w:ascii="Arial" w:eastAsia="Calibri" w:hAnsi="Arial" w:cs="Arial"/>
          <w:i/>
          <w:iCs/>
          <w:color w:val="000000" w:themeColor="text1"/>
          <w:sz w:val="20"/>
          <w:szCs w:val="20"/>
        </w:rPr>
        <w:t>)</w:t>
      </w:r>
      <w:r w:rsidRPr="00430F63">
        <w:rPr>
          <w:rFonts w:ascii="Arial" w:eastAsia="Calibri" w:hAnsi="Arial" w:cs="Arial"/>
          <w:color w:val="000000" w:themeColor="text1"/>
          <w:sz w:val="20"/>
          <w:szCs w:val="20"/>
        </w:rPr>
        <w:t xml:space="preserve"> caución o garantía del cumplimiento de la obligación principal.</w:t>
      </w:r>
    </w:p>
    <w:p w14:paraId="1B1E5CD2" w14:textId="401FE296" w:rsidR="00063961" w:rsidRPr="00430F63" w:rsidRDefault="00063961" w:rsidP="00063961">
      <w:pPr>
        <w:spacing w:line="240" w:lineRule="auto"/>
        <w:rPr>
          <w:rFonts w:ascii="Arial" w:eastAsia="Calibri" w:hAnsi="Arial" w:cs="Arial"/>
          <w:b/>
          <w:color w:val="000000" w:themeColor="text1"/>
          <w:sz w:val="20"/>
          <w:szCs w:val="20"/>
        </w:rPr>
      </w:pPr>
      <w:r w:rsidRPr="0083078A">
        <w:rPr>
          <w:rFonts w:ascii="Arial" w:eastAsia="Calibri" w:hAnsi="Arial" w:cs="Arial"/>
          <w:b/>
          <w:color w:val="000000" w:themeColor="text1"/>
          <w:sz w:val="20"/>
          <w:szCs w:val="20"/>
        </w:rPr>
        <w:t>PROCEDIMIENTO ADMINISTRATIVO SANCIONATORIO</w:t>
      </w:r>
      <w:r w:rsidRPr="00430F63">
        <w:rPr>
          <w:rFonts w:ascii="Arial" w:eastAsia="Calibri" w:hAnsi="Arial" w:cs="Arial"/>
          <w:b/>
          <w:color w:val="000000" w:themeColor="text1"/>
          <w:sz w:val="20"/>
          <w:szCs w:val="20"/>
        </w:rPr>
        <w:t xml:space="preserve"> – </w:t>
      </w:r>
      <w:r w:rsidRPr="00B86553">
        <w:rPr>
          <w:rFonts w:ascii="Arial" w:eastAsia="Calibri" w:hAnsi="Arial" w:cs="Arial"/>
          <w:b/>
          <w:color w:val="000000" w:themeColor="text1"/>
          <w:sz w:val="20"/>
          <w:szCs w:val="20"/>
        </w:rPr>
        <w:t>Artículo 86</w:t>
      </w:r>
      <w:r w:rsidRPr="00430F63">
        <w:rPr>
          <w:rFonts w:ascii="Arial" w:eastAsia="Calibri" w:hAnsi="Arial" w:cs="Arial"/>
          <w:b/>
          <w:color w:val="000000" w:themeColor="text1"/>
          <w:sz w:val="20"/>
          <w:szCs w:val="20"/>
        </w:rPr>
        <w:t xml:space="preserve"> Ley 1474 de 2011 </w:t>
      </w:r>
    </w:p>
    <w:p w14:paraId="76DB99C9" w14:textId="64E9AE99" w:rsidR="00063961" w:rsidRPr="00430F63" w:rsidRDefault="00063961" w:rsidP="00063961">
      <w:pPr>
        <w:spacing w:after="120" w:line="240" w:lineRule="auto"/>
        <w:jc w:val="both"/>
        <w:rPr>
          <w:rFonts w:ascii="Arial" w:hAnsi="Arial" w:cs="Arial"/>
          <w:iCs/>
          <w:color w:val="000000" w:themeColor="text1"/>
          <w:sz w:val="20"/>
          <w:szCs w:val="20"/>
          <w:lang w:val="es-ES_tradnl"/>
        </w:rPr>
      </w:pPr>
      <w:r w:rsidRPr="00430F63">
        <w:rPr>
          <w:rFonts w:ascii="Arial" w:hAnsi="Arial" w:cs="Arial"/>
          <w:iCs/>
          <w:color w:val="000000" w:themeColor="text1"/>
          <w:sz w:val="20"/>
          <w:szCs w:val="20"/>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entidades sometidas al Estatuto General de Contratación de la Administración Pública podrán declarar el incumplimiento […]. Para tal efecto observarán el siguiente procedimiento</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 xml:space="preserve">. 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principio general de interpretación jurídica según el cual donde la norma no distingue, no le corresponde distinguir al intérprete</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 xml:space="preserve">. A la misma conclusión se llega si se tiene en consideración la necesidad de respetar el debido proceso en </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todas las actuaciones administrativas</w:t>
      </w:r>
      <w:r w:rsidR="00082820">
        <w:rPr>
          <w:rFonts w:ascii="Arial" w:hAnsi="Arial" w:cs="Arial"/>
          <w:iCs/>
          <w:color w:val="000000" w:themeColor="text1"/>
          <w:sz w:val="20"/>
          <w:szCs w:val="20"/>
          <w:lang w:val="es-ES_tradnl"/>
        </w:rPr>
        <w:t>”</w:t>
      </w:r>
      <w:r w:rsidRPr="00430F63">
        <w:rPr>
          <w:rFonts w:ascii="Arial" w:hAnsi="Arial" w:cs="Arial"/>
          <w:iCs/>
          <w:color w:val="000000" w:themeColor="text1"/>
          <w:sz w:val="20"/>
          <w:szCs w:val="20"/>
          <w:lang w:val="es-ES_tradnl"/>
        </w:rPr>
        <w:t xml:space="preserve"> como lo ordena el artículo 29 superior. </w:t>
      </w:r>
    </w:p>
    <w:p w14:paraId="61A7A862" w14:textId="77777777" w:rsidR="00063961" w:rsidRPr="00430F63" w:rsidRDefault="00063961" w:rsidP="00063961">
      <w:pPr>
        <w:spacing w:line="240" w:lineRule="auto"/>
        <w:jc w:val="both"/>
        <w:rPr>
          <w:rFonts w:ascii="Arial" w:eastAsia="Calibri" w:hAnsi="Arial" w:cs="Arial"/>
          <w:b/>
          <w:sz w:val="20"/>
          <w:szCs w:val="20"/>
          <w:lang w:val="es-ES_tradnl"/>
        </w:rPr>
      </w:pPr>
      <w:r w:rsidRPr="00430F63">
        <w:rPr>
          <w:rFonts w:ascii="Arial" w:eastAsia="Calibri" w:hAnsi="Arial" w:cs="Arial"/>
          <w:b/>
          <w:sz w:val="20"/>
          <w:szCs w:val="20"/>
          <w:lang w:val="es-ES_tradnl"/>
        </w:rPr>
        <w:t>PROCEDIMIENTO SANCIONATORIO CONTRACTUAL – Citación a audiencia – Contenido – Ley 1474 de 2011 – Artículo 86</w:t>
      </w:r>
    </w:p>
    <w:p w14:paraId="77F394E2" w14:textId="77777777" w:rsidR="00063961" w:rsidRPr="00430F63" w:rsidRDefault="00063961" w:rsidP="00063961">
      <w:pPr>
        <w:spacing w:line="240" w:lineRule="auto"/>
        <w:jc w:val="both"/>
        <w:rPr>
          <w:rFonts w:ascii="Arial" w:eastAsia="Calibri" w:hAnsi="Arial" w:cs="Arial"/>
          <w:color w:val="000000" w:themeColor="text1"/>
          <w:sz w:val="20"/>
          <w:szCs w:val="20"/>
          <w:lang w:val="es-ES_tradnl"/>
        </w:rPr>
      </w:pPr>
      <w:r w:rsidRPr="00430F63">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430F63">
        <w:rPr>
          <w:rFonts w:ascii="Arial" w:eastAsia="Calibri" w:hAnsi="Arial" w:cs="Arial"/>
          <w:i/>
          <w:iCs/>
          <w:color w:val="000000" w:themeColor="text1"/>
          <w:sz w:val="20"/>
          <w:szCs w:val="20"/>
          <w:lang w:val="es-ES_tradnl"/>
        </w:rPr>
        <w:t>hechos</w:t>
      </w:r>
      <w:r w:rsidRPr="00430F63">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w:t>
      </w:r>
      <w:proofErr w:type="spellStart"/>
      <w:r w:rsidRPr="00430F63">
        <w:rPr>
          <w:rFonts w:ascii="Arial" w:eastAsia="Calibri" w:hAnsi="Arial" w:cs="Arial"/>
          <w:color w:val="000000" w:themeColor="text1"/>
          <w:sz w:val="20"/>
          <w:szCs w:val="20"/>
          <w:lang w:val="es-ES_tradnl"/>
        </w:rPr>
        <w:t>iii</w:t>
      </w:r>
      <w:proofErr w:type="spellEnd"/>
      <w:r w:rsidRPr="00430F63">
        <w:rPr>
          <w:rFonts w:ascii="Arial" w:eastAsia="Calibri" w:hAnsi="Arial" w:cs="Arial"/>
          <w:color w:val="000000" w:themeColor="text1"/>
          <w:sz w:val="20"/>
          <w:szCs w:val="20"/>
          <w:lang w:val="es-ES_tradnl"/>
        </w:rPr>
        <w:t xml:space="preserve">)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w:t>
      </w:r>
      <w:r w:rsidRPr="00430F63">
        <w:rPr>
          <w:rFonts w:ascii="Arial" w:eastAsia="Calibri" w:hAnsi="Arial" w:cs="Arial"/>
          <w:color w:val="000000" w:themeColor="text1"/>
          <w:sz w:val="20"/>
          <w:szCs w:val="20"/>
          <w:lang w:val="es-ES_tradnl"/>
        </w:rPr>
        <w:lastRenderedPageBreak/>
        <w:t xml:space="preserve">cuantificar los perjuicios ocasionados por el incumplimiento –inciso primero del artículo 86–, y, finalmente, </w:t>
      </w:r>
      <w:proofErr w:type="spellStart"/>
      <w:r w:rsidRPr="00430F63">
        <w:rPr>
          <w:rFonts w:ascii="Arial" w:eastAsia="Calibri" w:hAnsi="Arial" w:cs="Arial"/>
          <w:color w:val="000000" w:themeColor="text1"/>
          <w:sz w:val="20"/>
          <w:szCs w:val="20"/>
          <w:lang w:val="es-ES_tradnl"/>
        </w:rPr>
        <w:t>vii</w:t>
      </w:r>
      <w:proofErr w:type="spellEnd"/>
      <w:r w:rsidRPr="00430F63">
        <w:rPr>
          <w:rFonts w:ascii="Arial" w:eastAsia="Calibri" w:hAnsi="Arial" w:cs="Arial"/>
          <w:color w:val="000000" w:themeColor="text1"/>
          <w:sz w:val="20"/>
          <w:szCs w:val="20"/>
          <w:lang w:val="es-ES_tradnl"/>
        </w:rPr>
        <w:t>) deben indicar el lugar, fecha y hora para la realización de la audiencia, sin perjuicio de que esta se pueda efectuar por medios electrónicos.</w:t>
      </w:r>
    </w:p>
    <w:p w14:paraId="56A3A7C6" w14:textId="77777777" w:rsidR="00063961" w:rsidRPr="00430F63" w:rsidRDefault="00063961" w:rsidP="00063961">
      <w:pPr>
        <w:spacing w:line="240" w:lineRule="auto"/>
        <w:jc w:val="both"/>
        <w:rPr>
          <w:rFonts w:ascii="Arial" w:eastAsia="Calibri" w:hAnsi="Arial" w:cs="Arial"/>
          <w:b/>
          <w:bCs/>
          <w:color w:val="000000" w:themeColor="text1"/>
          <w:sz w:val="20"/>
          <w:szCs w:val="20"/>
          <w:lang w:val="es-ES_tradnl"/>
        </w:rPr>
      </w:pPr>
      <w:r w:rsidRPr="00162354">
        <w:rPr>
          <w:rFonts w:ascii="Arial" w:eastAsia="Calibri" w:hAnsi="Arial" w:cs="Arial"/>
          <w:b/>
          <w:bCs/>
          <w:color w:val="000000" w:themeColor="text1"/>
          <w:sz w:val="20"/>
          <w:szCs w:val="20"/>
          <w:lang w:val="es-ES_tradnl"/>
        </w:rPr>
        <w:t>PRINCIPIO DE PROPORCIONALIDAD</w:t>
      </w:r>
      <w:r w:rsidRPr="00430F63">
        <w:rPr>
          <w:rFonts w:ascii="Arial" w:eastAsia="Calibri" w:hAnsi="Arial" w:cs="Arial"/>
          <w:b/>
          <w:bCs/>
          <w:color w:val="000000" w:themeColor="text1"/>
          <w:sz w:val="20"/>
          <w:szCs w:val="20"/>
          <w:lang w:val="es-ES_tradnl"/>
        </w:rPr>
        <w:t xml:space="preserve"> – Funciones </w:t>
      </w:r>
    </w:p>
    <w:p w14:paraId="5F683291" w14:textId="5E8C70BE" w:rsidR="00063961" w:rsidRPr="00430F63" w:rsidRDefault="00063961" w:rsidP="00063961">
      <w:pPr>
        <w:spacing w:line="240" w:lineRule="auto"/>
        <w:jc w:val="both"/>
        <w:rPr>
          <w:rFonts w:ascii="Arial" w:eastAsia="Calibri" w:hAnsi="Arial" w:cs="Arial"/>
          <w:color w:val="000000" w:themeColor="text1"/>
          <w:sz w:val="20"/>
          <w:szCs w:val="20"/>
          <w:lang w:val="es-ES_tradnl"/>
        </w:rPr>
      </w:pPr>
      <w:r w:rsidRPr="00430F63">
        <w:rPr>
          <w:rFonts w:ascii="Arial" w:hAnsi="Arial" w:cs="Arial"/>
          <w:iCs/>
          <w:sz w:val="20"/>
          <w:szCs w:val="20"/>
          <w:lang w:val="es-ES_tradnl"/>
        </w:rPr>
        <w:t xml:space="preserve">El principio de proporcionalidad es un principio general del derecho, y se ha resaltado su importancia en el ejercicio de cada una de las actuaciones administrativas, se ha dicho que este principio cumple dos funciones: </w:t>
      </w:r>
      <w:r w:rsidR="00082820">
        <w:rPr>
          <w:rFonts w:ascii="Arial" w:hAnsi="Arial" w:cs="Arial"/>
          <w:sz w:val="20"/>
          <w:szCs w:val="20"/>
        </w:rPr>
        <w:t>“</w:t>
      </w:r>
      <w:r w:rsidRPr="00430F63">
        <w:rPr>
          <w:rFonts w:ascii="Arial" w:hAnsi="Arial" w:cs="Arial"/>
          <w:iCs/>
          <w:sz w:val="20"/>
          <w:szCs w:val="20"/>
        </w:rPr>
        <w:t>i) en primer lugar, sirve de criterio de acción, esto es, como sustento de las actuaciones de los distintos órganos del Estado, el cual se realiza con su observancia y aplicación a cada caso concreto. ii) En segundo lugar, es un criterio de control, pues debe adoptarlo el juez para efectos de evaluar la proporcionalidad de la respectiva actuación administrativa.</w:t>
      </w:r>
      <w:r w:rsidR="00082820">
        <w:rPr>
          <w:rFonts w:ascii="Arial" w:hAnsi="Arial" w:cs="Arial"/>
          <w:sz w:val="20"/>
          <w:szCs w:val="20"/>
        </w:rPr>
        <w:t>”</w:t>
      </w:r>
    </w:p>
    <w:p w14:paraId="3B68C423" w14:textId="77777777" w:rsidR="00063961" w:rsidRPr="00430F63" w:rsidRDefault="00063961" w:rsidP="00063961">
      <w:pPr>
        <w:spacing w:line="240" w:lineRule="auto"/>
        <w:jc w:val="both"/>
        <w:rPr>
          <w:rFonts w:ascii="Arial" w:eastAsia="Calibri" w:hAnsi="Arial" w:cs="Arial"/>
          <w:b/>
          <w:bCs/>
          <w:color w:val="000000" w:themeColor="text1"/>
          <w:sz w:val="20"/>
          <w:szCs w:val="20"/>
          <w:lang w:val="es-ES_tradnl"/>
        </w:rPr>
      </w:pPr>
      <w:r w:rsidRPr="00D067F1">
        <w:rPr>
          <w:rFonts w:ascii="Arial" w:eastAsia="Calibri" w:hAnsi="Arial" w:cs="Arial"/>
          <w:b/>
          <w:bCs/>
          <w:color w:val="000000" w:themeColor="text1"/>
          <w:sz w:val="20"/>
          <w:szCs w:val="20"/>
          <w:highlight w:val="yellow"/>
          <w:lang w:val="es-ES_tradnl"/>
        </w:rPr>
        <w:t>CLAUSULA PENAL Y TASACIÓN DE PERJUICIOS – Aplicación de criterios proporcionales y razonables</w:t>
      </w:r>
      <w:r w:rsidRPr="00430F63">
        <w:rPr>
          <w:rFonts w:ascii="Arial" w:eastAsia="Calibri" w:hAnsi="Arial" w:cs="Arial"/>
          <w:b/>
          <w:bCs/>
          <w:color w:val="000000" w:themeColor="text1"/>
          <w:sz w:val="20"/>
          <w:szCs w:val="20"/>
          <w:lang w:val="es-ES_tradnl"/>
        </w:rPr>
        <w:t xml:space="preserve"> </w:t>
      </w:r>
    </w:p>
    <w:p w14:paraId="3D3935ED" w14:textId="77777777" w:rsidR="00063961" w:rsidRPr="00430F63" w:rsidRDefault="00063961" w:rsidP="00063961">
      <w:pPr>
        <w:spacing w:after="0" w:line="240" w:lineRule="auto"/>
        <w:contextualSpacing/>
        <w:jc w:val="both"/>
        <w:rPr>
          <w:rFonts w:ascii="Arial" w:hAnsi="Arial" w:cs="Arial"/>
          <w:iCs/>
          <w:sz w:val="20"/>
          <w:szCs w:val="20"/>
          <w:lang w:val="es-ES_tradnl"/>
        </w:rPr>
      </w:pPr>
      <w:r w:rsidRPr="00430F63">
        <w:rPr>
          <w:rFonts w:ascii="Arial" w:hAnsi="Arial" w:cs="Arial"/>
          <w:iCs/>
          <w:sz w:val="20"/>
          <w:szCs w:val="20"/>
          <w:lang w:val="es-ES_tradnl"/>
        </w:rPr>
        <w:t xml:space="preserve">La contratación estatal, no se escapa a la aplicación del principio de proporcionalidad, durante las etapas de estructuración, planeación, y a lo largo de la ejecución del contrato, la administración debe hacer uso razonable y proporcional de todos los instrumentos jurídicos de los cuales puede disponer para el cumplimiento de los fines del estado, es por ello que se ha dicho que frente a la cláusula penal:  </w:t>
      </w:r>
      <w:r w:rsidRPr="00430F63">
        <w:rPr>
          <w:rFonts w:ascii="Arial" w:hAnsi="Arial" w:cs="Arial"/>
          <w:iCs/>
          <w:sz w:val="20"/>
          <w:szCs w:val="20"/>
        </w:rPr>
        <w:t xml:space="preserve">Es dentro de este marco jurídico de principios, valores y reglas constitucionales y legales que encuentra sentido afirmar que la facultad, en el ámbito de libertad negocial de las partes, </w:t>
      </w:r>
      <w:r w:rsidRPr="007D0ACB">
        <w:rPr>
          <w:rFonts w:ascii="Arial" w:hAnsi="Arial" w:cs="Arial"/>
          <w:iCs/>
          <w:sz w:val="20"/>
          <w:szCs w:val="20"/>
          <w:highlight w:val="yellow"/>
        </w:rPr>
        <w:t>que establece el legislador para pactar la cláusula penal o la tasación de perjuicios en aquellos casos de incumplimiento no puede ser comprendida como escenario habilitante de discrecionalidad cuando se trata de su aplicación en concreto.</w:t>
      </w:r>
      <w:r w:rsidRPr="00430F63">
        <w:rPr>
          <w:rFonts w:ascii="Arial" w:hAnsi="Arial" w:cs="Arial"/>
          <w:iCs/>
          <w:sz w:val="20"/>
          <w:szCs w:val="20"/>
        </w:rPr>
        <w:t xml:space="preserve"> </w:t>
      </w:r>
    </w:p>
    <w:p w14:paraId="56D69C50" w14:textId="77777777" w:rsidR="00063961" w:rsidRPr="00430F63" w:rsidRDefault="00063961" w:rsidP="00063961">
      <w:pPr>
        <w:spacing w:after="0" w:line="240" w:lineRule="auto"/>
        <w:ind w:left="708"/>
        <w:contextualSpacing/>
        <w:jc w:val="both"/>
        <w:rPr>
          <w:rFonts w:ascii="Arial" w:hAnsi="Arial" w:cs="Arial"/>
          <w:iCs/>
          <w:sz w:val="20"/>
          <w:szCs w:val="20"/>
        </w:rPr>
      </w:pPr>
    </w:p>
    <w:p w14:paraId="02379364" w14:textId="77777777" w:rsidR="00063961" w:rsidRPr="00430F63" w:rsidRDefault="00063961" w:rsidP="00063961">
      <w:pPr>
        <w:spacing w:after="0" w:line="240" w:lineRule="auto"/>
        <w:contextualSpacing/>
        <w:jc w:val="both"/>
        <w:rPr>
          <w:rFonts w:ascii="Arial" w:eastAsia="Calibri" w:hAnsi="Arial" w:cs="Arial"/>
          <w:b/>
          <w:bCs/>
          <w:color w:val="000000" w:themeColor="text1"/>
          <w:sz w:val="20"/>
          <w:szCs w:val="20"/>
          <w:lang w:val="es-ES_tradnl"/>
        </w:rPr>
      </w:pPr>
      <w:r w:rsidRPr="008C2AA0">
        <w:rPr>
          <w:rFonts w:ascii="Arial" w:eastAsia="Calibri" w:hAnsi="Arial" w:cs="Arial"/>
          <w:b/>
          <w:bCs/>
          <w:color w:val="000000" w:themeColor="text1"/>
          <w:sz w:val="20"/>
          <w:szCs w:val="20"/>
          <w:highlight w:val="yellow"/>
          <w:lang w:val="es-ES_tradnl"/>
        </w:rPr>
        <w:t>CLAUSULA PENAL Y TASACIÓN DE PERJUICIOS – Aplicación del principio de proporcionalidad. Graduación</w:t>
      </w:r>
      <w:r w:rsidRPr="00430F63">
        <w:rPr>
          <w:rFonts w:ascii="Arial" w:eastAsia="Calibri" w:hAnsi="Arial" w:cs="Arial"/>
          <w:b/>
          <w:bCs/>
          <w:color w:val="000000" w:themeColor="text1"/>
          <w:sz w:val="20"/>
          <w:szCs w:val="20"/>
          <w:lang w:val="es-ES_tradnl"/>
        </w:rPr>
        <w:t xml:space="preserve"> </w:t>
      </w:r>
    </w:p>
    <w:p w14:paraId="291E0D24" w14:textId="77777777" w:rsidR="00063961" w:rsidRPr="00430F63" w:rsidRDefault="00063961" w:rsidP="00063961">
      <w:pPr>
        <w:spacing w:after="0" w:line="240" w:lineRule="auto"/>
        <w:contextualSpacing/>
        <w:jc w:val="both"/>
        <w:rPr>
          <w:rFonts w:ascii="Arial" w:hAnsi="Arial" w:cs="Arial"/>
          <w:iCs/>
          <w:sz w:val="20"/>
          <w:szCs w:val="20"/>
        </w:rPr>
      </w:pPr>
    </w:p>
    <w:p w14:paraId="00EADF33" w14:textId="5A1866A2" w:rsidR="00063961" w:rsidRPr="00430F63" w:rsidRDefault="00063961" w:rsidP="00063961">
      <w:pPr>
        <w:spacing w:after="0" w:line="240" w:lineRule="auto"/>
        <w:contextualSpacing/>
        <w:jc w:val="both"/>
        <w:rPr>
          <w:rFonts w:ascii="Arial" w:hAnsi="Arial" w:cs="Arial"/>
          <w:sz w:val="20"/>
          <w:szCs w:val="20"/>
        </w:rPr>
      </w:pPr>
      <w:r w:rsidRPr="00430F63">
        <w:rPr>
          <w:rFonts w:ascii="Arial" w:hAnsi="Arial" w:cs="Arial"/>
          <w:bCs/>
          <w:color w:val="000000" w:themeColor="text1"/>
          <w:sz w:val="20"/>
          <w:szCs w:val="20"/>
          <w:lang w:val="es-ES_tradnl"/>
        </w:rPr>
        <w:t xml:space="preserve">La cláusula penal es una tasación anticipada de perjuicios, y se pueden presentar dos situaciones: i) el monto estipulado no cubre los perjuicios ocasionados por el incumplimiento, o ii) el monto estipulado puede resultar excesivo, considerando que puede presentarse una ejecución parcial del contrato, para el primer caso, se debe acudir al juez, demostrar el monto de los daños sufridos y solicitar una reparación plena, en el segundo caso, el artículo 1569 del Código Civil establece que: </w:t>
      </w:r>
      <w:r w:rsidR="00082820">
        <w:rPr>
          <w:rFonts w:ascii="Arial" w:hAnsi="Arial" w:cs="Arial"/>
          <w:sz w:val="20"/>
          <w:szCs w:val="20"/>
        </w:rPr>
        <w:t>“</w:t>
      </w:r>
      <w:r w:rsidRPr="00430F63">
        <w:rPr>
          <w:rFonts w:ascii="Arial" w:hAnsi="Arial" w:cs="Arial"/>
          <w:sz w:val="20"/>
          <w:szCs w:val="20"/>
        </w:rPr>
        <w:t>Si el deudor cumple solamente una parte de la obligación principal y el acreedor acepta esta parte, tendrá derecho para que se rebaje proporcionalmente la pena estipulada por falta de cumplimiento de la obligación principal.</w:t>
      </w:r>
      <w:r w:rsidR="00082820">
        <w:rPr>
          <w:rFonts w:ascii="Arial" w:hAnsi="Arial" w:cs="Arial"/>
          <w:sz w:val="20"/>
          <w:szCs w:val="20"/>
        </w:rPr>
        <w:t>”</w:t>
      </w:r>
      <w:r w:rsidRPr="00430F63">
        <w:rPr>
          <w:rFonts w:ascii="Arial" w:hAnsi="Arial" w:cs="Arial"/>
          <w:sz w:val="20"/>
          <w:szCs w:val="20"/>
        </w:rPr>
        <w:t xml:space="preserve">, en este caso, la entidad que pretende dar aplicación de la cláusula penal deberá determinar los perjuicios en atención a razones objetivas, razonables y proporcionales de acuerdo a los sucesos de los hechos. </w:t>
      </w:r>
      <w:r w:rsidRPr="00430F63">
        <w:rPr>
          <w:rFonts w:ascii="Arial" w:hAnsi="Arial" w:cs="Arial"/>
          <w:bCs/>
          <w:color w:val="000000" w:themeColor="text1"/>
          <w:sz w:val="20"/>
          <w:szCs w:val="20"/>
          <w:lang w:val="es-ES_tradnl"/>
        </w:rPr>
        <w:t xml:space="preserve">Finalmente, la Entidad Pública al momento iniciar el procedimiento administrativo sancionatorio contractual y tenga que cuantificar los perjuicios ocasionados por el incumplimiento, debe atender a los principios de proporcionalidad, y verificar: </w:t>
      </w:r>
      <w:r w:rsidR="00082820">
        <w:rPr>
          <w:rFonts w:ascii="Arial" w:hAnsi="Arial" w:cs="Arial"/>
          <w:sz w:val="20"/>
          <w:szCs w:val="20"/>
        </w:rPr>
        <w:t>“</w:t>
      </w:r>
      <w:r w:rsidRPr="00430F63">
        <w:rPr>
          <w:rFonts w:ascii="Arial" w:hAnsi="Arial" w:cs="Arial"/>
          <w:sz w:val="20"/>
          <w:szCs w:val="20"/>
        </w:rPr>
        <w:t>i) El porcentaje de obra efectivamente ejecutado por el contratista, y ii) si la entidad pública contratante recibió esta parte del objeto contractual</w:t>
      </w:r>
      <w:r w:rsidR="00082820">
        <w:rPr>
          <w:rFonts w:ascii="Arial" w:hAnsi="Arial" w:cs="Arial"/>
          <w:sz w:val="20"/>
          <w:szCs w:val="20"/>
        </w:rPr>
        <w:t>”</w:t>
      </w:r>
      <w:r w:rsidRPr="00430F63">
        <w:rPr>
          <w:rFonts w:ascii="Arial" w:hAnsi="Arial" w:cs="Arial"/>
          <w:sz w:val="20"/>
          <w:szCs w:val="20"/>
        </w:rPr>
        <w:t xml:space="preserve">, con la finalidad de aplicar de manera </w:t>
      </w:r>
      <w:r w:rsidRPr="00604B01">
        <w:rPr>
          <w:rFonts w:ascii="Arial" w:hAnsi="Arial" w:cs="Arial"/>
          <w:sz w:val="20"/>
          <w:szCs w:val="20"/>
          <w:u w:val="single"/>
        </w:rPr>
        <w:t>razonada la cláusula penal pecuniaria y no incurrir en excesos</w:t>
      </w:r>
      <w:r w:rsidRPr="00430F63">
        <w:rPr>
          <w:rFonts w:ascii="Arial" w:hAnsi="Arial" w:cs="Arial"/>
          <w:sz w:val="20"/>
          <w:szCs w:val="20"/>
        </w:rPr>
        <w:t xml:space="preserve">. </w:t>
      </w:r>
      <w:r w:rsidRPr="00430F63">
        <w:rPr>
          <w:rFonts w:ascii="Arial" w:hAnsi="Arial" w:cs="Arial"/>
          <w:bCs/>
          <w:color w:val="000000" w:themeColor="text1"/>
          <w:sz w:val="20"/>
          <w:szCs w:val="20"/>
          <w:lang w:val="es-ES_tradnl"/>
        </w:rPr>
        <w:t xml:space="preserve"> </w:t>
      </w:r>
    </w:p>
    <w:p w14:paraId="4D8145B9" w14:textId="77777777" w:rsidR="00063961" w:rsidRPr="00430F63" w:rsidRDefault="00063961" w:rsidP="00063961">
      <w:pPr>
        <w:spacing w:after="0" w:line="276" w:lineRule="auto"/>
        <w:contextualSpacing/>
        <w:jc w:val="both"/>
        <w:rPr>
          <w:rFonts w:ascii="Arial" w:eastAsia="Times New Roman" w:hAnsi="Arial" w:cs="Arial"/>
          <w:bCs/>
          <w:color w:val="000000" w:themeColor="text1"/>
          <w:lang w:eastAsia="es-ES_tradnl"/>
        </w:rPr>
      </w:pPr>
    </w:p>
    <w:p w14:paraId="735CABC3" w14:textId="77777777" w:rsidR="00063961" w:rsidRPr="00430F63" w:rsidRDefault="00063961" w:rsidP="00063961">
      <w:pPr>
        <w:spacing w:line="276" w:lineRule="auto"/>
        <w:rPr>
          <w:rFonts w:ascii="Arial" w:eastAsia="Calibri" w:hAnsi="Arial" w:cs="Arial"/>
          <w:b/>
          <w:color w:val="000000"/>
          <w:sz w:val="20"/>
          <w:szCs w:val="20"/>
        </w:rPr>
      </w:pPr>
    </w:p>
    <w:p w14:paraId="4536502D" w14:textId="77777777" w:rsidR="00063961" w:rsidRPr="00430F63" w:rsidRDefault="00063961" w:rsidP="00063961">
      <w:pPr>
        <w:spacing w:line="276" w:lineRule="auto"/>
        <w:rPr>
          <w:rFonts w:ascii="Arial" w:eastAsia="Calibri" w:hAnsi="Arial" w:cs="Arial"/>
          <w:b/>
          <w:color w:val="000000"/>
          <w:sz w:val="20"/>
          <w:szCs w:val="20"/>
          <w:lang w:val="es-ES_tradnl"/>
        </w:rPr>
      </w:pPr>
    </w:p>
    <w:p w14:paraId="78D91DBB" w14:textId="77777777" w:rsidR="00063961" w:rsidRPr="00430F63" w:rsidRDefault="00063961" w:rsidP="00063961">
      <w:pPr>
        <w:spacing w:line="276" w:lineRule="auto"/>
        <w:rPr>
          <w:rFonts w:ascii="Arial" w:eastAsia="Calibri" w:hAnsi="Arial" w:cs="Arial"/>
          <w:b/>
          <w:color w:val="000000"/>
          <w:sz w:val="20"/>
          <w:szCs w:val="20"/>
          <w:lang w:val="es-ES_tradnl"/>
        </w:rPr>
      </w:pPr>
    </w:p>
    <w:p w14:paraId="333492E4" w14:textId="77777777" w:rsidR="00422E9B" w:rsidRDefault="00422E9B" w:rsidP="00063961">
      <w:pPr>
        <w:spacing w:after="0" w:line="240" w:lineRule="auto"/>
        <w:contextualSpacing/>
        <w:rPr>
          <w:rFonts w:ascii="Arial" w:eastAsia="Calibri" w:hAnsi="Arial" w:cs="Arial"/>
        </w:rPr>
      </w:pPr>
    </w:p>
    <w:p w14:paraId="65E3DED0" w14:textId="77777777" w:rsidR="00422E9B" w:rsidRDefault="00422E9B" w:rsidP="00063961">
      <w:pPr>
        <w:spacing w:after="0" w:line="240" w:lineRule="auto"/>
        <w:contextualSpacing/>
        <w:rPr>
          <w:rFonts w:ascii="Arial" w:eastAsia="Calibri" w:hAnsi="Arial" w:cs="Arial"/>
        </w:rPr>
      </w:pPr>
    </w:p>
    <w:p w14:paraId="5720A89F" w14:textId="77777777" w:rsidR="00063961" w:rsidRDefault="00063961" w:rsidP="00063961">
      <w:pPr>
        <w:spacing w:after="0" w:line="240" w:lineRule="auto"/>
        <w:contextualSpacing/>
        <w:rPr>
          <w:rFonts w:ascii="Arial" w:eastAsia="Calibri" w:hAnsi="Arial" w:cs="Arial"/>
        </w:rPr>
      </w:pPr>
    </w:p>
    <w:p w14:paraId="6A5BA0CC" w14:textId="60062B72" w:rsidR="00BE5536" w:rsidRDefault="00BE5536" w:rsidP="00BE5536">
      <w:pPr>
        <w:spacing w:after="0" w:line="240" w:lineRule="auto"/>
        <w:contextualSpacing/>
        <w:jc w:val="right"/>
        <w:rPr>
          <w:rFonts w:ascii="Arial" w:eastAsia="Calibri" w:hAnsi="Arial" w:cs="Arial"/>
        </w:rPr>
      </w:pPr>
      <w:r w:rsidRPr="00BE5536">
        <w:rPr>
          <w:rFonts w:ascii="Arial" w:eastAsia="Calibri" w:hAnsi="Arial" w:cs="Arial"/>
          <w:noProof/>
        </w:rPr>
        <w:drawing>
          <wp:inline distT="0" distB="0" distL="0" distR="0" wp14:anchorId="0E2748A3" wp14:editId="1380135E">
            <wp:extent cx="3499338" cy="861060"/>
            <wp:effectExtent l="0" t="0" r="6350" b="0"/>
            <wp:docPr id="4371442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0312" cy="863760"/>
                    </a:xfrm>
                    <a:prstGeom prst="rect">
                      <a:avLst/>
                    </a:prstGeom>
                    <a:noFill/>
                    <a:ln>
                      <a:noFill/>
                    </a:ln>
                  </pic:spPr>
                </pic:pic>
              </a:graphicData>
            </a:graphic>
          </wp:inline>
        </w:drawing>
      </w:r>
    </w:p>
    <w:p w14:paraId="3C99C4CC" w14:textId="77777777" w:rsidR="00BE5536" w:rsidRPr="00430F63" w:rsidRDefault="00BE5536" w:rsidP="00063961">
      <w:pPr>
        <w:spacing w:after="0" w:line="240" w:lineRule="auto"/>
        <w:contextualSpacing/>
        <w:rPr>
          <w:rFonts w:ascii="Arial" w:eastAsia="Calibri" w:hAnsi="Arial" w:cs="Arial"/>
        </w:rPr>
      </w:pPr>
    </w:p>
    <w:p w14:paraId="45A00AA2" w14:textId="77777777" w:rsidR="00063961" w:rsidRPr="00430F63" w:rsidRDefault="00063961" w:rsidP="00063961">
      <w:pPr>
        <w:spacing w:after="0" w:line="240" w:lineRule="auto"/>
        <w:contextualSpacing/>
        <w:rPr>
          <w:rFonts w:ascii="Arial" w:eastAsia="Calibri" w:hAnsi="Arial" w:cs="Arial"/>
        </w:rPr>
      </w:pPr>
    </w:p>
    <w:p w14:paraId="27C4AFCF" w14:textId="77777777" w:rsidR="00063961" w:rsidRPr="00430F63" w:rsidRDefault="00063961" w:rsidP="00063961">
      <w:pPr>
        <w:spacing w:after="0" w:line="240" w:lineRule="auto"/>
        <w:contextualSpacing/>
        <w:rPr>
          <w:rFonts w:ascii="Arial" w:eastAsia="Calibri" w:hAnsi="Arial" w:cs="Arial"/>
        </w:rPr>
      </w:pPr>
      <w:r w:rsidRPr="00430F63">
        <w:rPr>
          <w:rFonts w:ascii="Arial" w:eastAsia="Calibri" w:hAnsi="Arial" w:cs="Arial"/>
        </w:rPr>
        <w:t>Señor</w:t>
      </w:r>
    </w:p>
    <w:p w14:paraId="3F997290" w14:textId="5E39A6BF" w:rsidR="00063961" w:rsidRPr="00430F63" w:rsidRDefault="00082820" w:rsidP="00063961">
      <w:pPr>
        <w:spacing w:after="0" w:line="240" w:lineRule="auto"/>
        <w:contextualSpacing/>
        <w:rPr>
          <w:rFonts w:ascii="Arial" w:eastAsia="Calibri" w:hAnsi="Arial" w:cs="Arial"/>
          <w:b/>
          <w:bCs/>
        </w:rPr>
      </w:pPr>
      <w:r w:rsidRPr="00082820">
        <w:rPr>
          <w:rFonts w:ascii="Arial" w:eastAsia="Calibri" w:hAnsi="Arial" w:cs="Arial"/>
          <w:b/>
          <w:bCs/>
        </w:rPr>
        <w:t>Deivy Yamid Bejarano Vergara</w:t>
      </w:r>
    </w:p>
    <w:p w14:paraId="7CCCDA65" w14:textId="5980772C" w:rsidR="00063961" w:rsidRDefault="00BE5536" w:rsidP="00063961">
      <w:pPr>
        <w:spacing w:after="0" w:line="240" w:lineRule="auto"/>
        <w:contextualSpacing/>
        <w:rPr>
          <w:rFonts w:ascii="Arial" w:eastAsia="Calibri" w:hAnsi="Arial" w:cs="Arial"/>
        </w:rPr>
      </w:pPr>
      <w:hyperlink r:id="rId12" w:history="1">
        <w:r w:rsidR="00082820" w:rsidRPr="009F2354">
          <w:rPr>
            <w:rStyle w:val="Hipervnculo"/>
            <w:rFonts w:ascii="Arial" w:eastAsia="Calibri" w:hAnsi="Arial" w:cs="Arial"/>
          </w:rPr>
          <w:t>dbejarano@dadep.gov.co</w:t>
        </w:r>
      </w:hyperlink>
      <w:r w:rsidR="00082820">
        <w:rPr>
          <w:rFonts w:ascii="Arial" w:eastAsia="Calibri" w:hAnsi="Arial" w:cs="Arial"/>
        </w:rPr>
        <w:t xml:space="preserve"> </w:t>
      </w:r>
    </w:p>
    <w:p w14:paraId="177C2B10" w14:textId="2DBFE698" w:rsidR="00082820" w:rsidRPr="00430F63" w:rsidRDefault="00082820" w:rsidP="00063961">
      <w:pPr>
        <w:spacing w:after="0" w:line="240" w:lineRule="auto"/>
        <w:contextualSpacing/>
        <w:rPr>
          <w:rFonts w:ascii="Arial" w:eastAsia="Calibri" w:hAnsi="Arial" w:cs="Arial"/>
        </w:rPr>
      </w:pPr>
      <w:r>
        <w:rPr>
          <w:rFonts w:ascii="Arial" w:eastAsia="Calibri" w:hAnsi="Arial" w:cs="Arial"/>
        </w:rPr>
        <w:t xml:space="preserve">Bogotá D.C. </w:t>
      </w:r>
    </w:p>
    <w:p w14:paraId="59E35DF5" w14:textId="77777777" w:rsidR="00063961" w:rsidRDefault="00063961" w:rsidP="00063961">
      <w:pPr>
        <w:spacing w:after="0" w:line="240" w:lineRule="auto"/>
        <w:contextualSpacing/>
        <w:rPr>
          <w:rFonts w:ascii="Arial" w:eastAsia="Calibri" w:hAnsi="Arial" w:cs="Arial"/>
          <w:b/>
        </w:rPr>
      </w:pPr>
    </w:p>
    <w:p w14:paraId="2A5C9A82" w14:textId="77777777" w:rsidR="00082820" w:rsidRDefault="00082820" w:rsidP="00063961">
      <w:pPr>
        <w:spacing w:after="0" w:line="240" w:lineRule="auto"/>
        <w:contextualSpacing/>
        <w:rPr>
          <w:rFonts w:ascii="Arial" w:eastAsia="Calibri" w:hAnsi="Arial" w:cs="Arial"/>
          <w:b/>
        </w:rPr>
      </w:pPr>
    </w:p>
    <w:p w14:paraId="489C8B4E" w14:textId="77777777" w:rsidR="00082820" w:rsidRPr="00430F63" w:rsidRDefault="00082820" w:rsidP="00063961">
      <w:pPr>
        <w:spacing w:after="0" w:line="240" w:lineRule="auto"/>
        <w:contextualSpacing/>
        <w:rPr>
          <w:rFonts w:ascii="Arial" w:eastAsia="Calibri" w:hAnsi="Arial" w:cs="Arial"/>
          <w:b/>
        </w:rPr>
      </w:pPr>
    </w:p>
    <w:p w14:paraId="02987738" w14:textId="6D8FE9BE" w:rsidR="00063961" w:rsidRPr="00430F63" w:rsidRDefault="00063961" w:rsidP="00063961">
      <w:pPr>
        <w:spacing w:after="0" w:line="240" w:lineRule="auto"/>
        <w:contextualSpacing/>
        <w:rPr>
          <w:rFonts w:ascii="Arial" w:eastAsia="Calibri" w:hAnsi="Arial" w:cs="Arial"/>
          <w:b/>
        </w:rPr>
      </w:pPr>
      <w:r w:rsidRPr="00430F63">
        <w:rPr>
          <w:rFonts w:ascii="Arial" w:eastAsia="Calibri" w:hAnsi="Arial" w:cs="Arial"/>
          <w:b/>
        </w:rPr>
        <w:t xml:space="preserve">                                       Concepto C – </w:t>
      </w:r>
      <w:r w:rsidR="00082820">
        <w:rPr>
          <w:rFonts w:ascii="Arial" w:eastAsia="Calibri" w:hAnsi="Arial" w:cs="Arial"/>
          <w:b/>
        </w:rPr>
        <w:t>4</w:t>
      </w:r>
      <w:r w:rsidRPr="00430F63">
        <w:rPr>
          <w:rFonts w:ascii="Arial" w:eastAsia="Calibri" w:hAnsi="Arial" w:cs="Arial"/>
          <w:b/>
        </w:rPr>
        <w:t>4</w:t>
      </w:r>
      <w:r w:rsidR="00082820">
        <w:rPr>
          <w:rFonts w:ascii="Arial" w:eastAsia="Calibri" w:hAnsi="Arial" w:cs="Arial"/>
          <w:b/>
        </w:rPr>
        <w:t>2</w:t>
      </w:r>
      <w:r w:rsidRPr="00430F63">
        <w:rPr>
          <w:rFonts w:ascii="Arial" w:eastAsia="Calibri" w:hAnsi="Arial" w:cs="Arial"/>
          <w:b/>
        </w:rPr>
        <w:t xml:space="preserve"> de 202</w:t>
      </w:r>
      <w:r w:rsidR="00082820">
        <w:rPr>
          <w:rFonts w:ascii="Arial" w:eastAsia="Calibri" w:hAnsi="Arial" w:cs="Arial"/>
          <w:b/>
        </w:rPr>
        <w:t>3</w:t>
      </w:r>
    </w:p>
    <w:p w14:paraId="2E225272" w14:textId="77777777" w:rsidR="00063961" w:rsidRPr="00430F63" w:rsidRDefault="00063961" w:rsidP="00063961">
      <w:pPr>
        <w:spacing w:after="0" w:line="240" w:lineRule="auto"/>
        <w:contextualSpacing/>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063961" w:rsidRPr="00430F63" w14:paraId="5D7C2306" w14:textId="77777777" w:rsidTr="005B7EE0">
        <w:trPr>
          <w:trHeight w:val="2719"/>
        </w:trPr>
        <w:tc>
          <w:tcPr>
            <w:tcW w:w="2410" w:type="dxa"/>
          </w:tcPr>
          <w:p w14:paraId="75C1B49B" w14:textId="77777777" w:rsidR="00063961" w:rsidRPr="00430F63" w:rsidRDefault="00063961" w:rsidP="00806235">
            <w:pPr>
              <w:contextualSpacing/>
              <w:rPr>
                <w:rFonts w:ascii="Arial" w:eastAsia="Calibri" w:hAnsi="Arial" w:cs="Arial"/>
              </w:rPr>
            </w:pPr>
            <w:r w:rsidRPr="00430F63">
              <w:rPr>
                <w:rFonts w:ascii="Arial" w:eastAsia="Calibri" w:hAnsi="Arial" w:cs="Arial"/>
                <w:b/>
              </w:rPr>
              <w:t>Temas:</w:t>
            </w:r>
            <w:r w:rsidRPr="00430F63">
              <w:rPr>
                <w:rFonts w:ascii="Arial" w:eastAsia="Calibri" w:hAnsi="Arial" w:cs="Arial"/>
              </w:rPr>
              <w:t xml:space="preserve">                                     </w:t>
            </w:r>
          </w:p>
        </w:tc>
        <w:tc>
          <w:tcPr>
            <w:tcW w:w="6516" w:type="dxa"/>
          </w:tcPr>
          <w:p w14:paraId="233AA34F" w14:textId="77777777" w:rsidR="00063961" w:rsidRPr="00430F63" w:rsidRDefault="00063961" w:rsidP="00806235">
            <w:pPr>
              <w:contextualSpacing/>
              <w:jc w:val="both"/>
              <w:rPr>
                <w:rFonts w:ascii="Arial" w:eastAsia="Calibri" w:hAnsi="Arial" w:cs="Arial"/>
                <w:b/>
                <w:bCs/>
                <w:color w:val="000000" w:themeColor="text1"/>
                <w:sz w:val="20"/>
                <w:szCs w:val="20"/>
                <w:lang w:val="es-ES_tradnl"/>
              </w:rPr>
            </w:pPr>
            <w:r w:rsidRPr="00430F63">
              <w:rPr>
                <w:rFonts w:ascii="Arial" w:eastAsia="Calibri" w:hAnsi="Arial" w:cs="Arial"/>
                <w:color w:val="000000" w:themeColor="text1"/>
                <w:sz w:val="20"/>
                <w:szCs w:val="20"/>
                <w:lang w:val="es-ES_tradnl"/>
              </w:rPr>
              <w:t xml:space="preserve">POTESTADES EXCEPCIONALES DE LA ADMINISTRACIÓN PÚBLICA /  </w:t>
            </w:r>
            <w:r w:rsidRPr="00430F63">
              <w:rPr>
                <w:rFonts w:ascii="Arial" w:eastAsia="Calibri" w:hAnsi="Arial" w:cs="Arial"/>
                <w:color w:val="000000" w:themeColor="text1"/>
                <w:sz w:val="20"/>
                <w:szCs w:val="20"/>
              </w:rPr>
              <w:t xml:space="preserve">CLÁUSULA PENAL- estimación anticipada de perjuicios / CLÁUSULA PENAL – Funciones / PROCEDIMIENTO ADMINISTRATIVO SANCIONATORIO – Artículo 86 – Ley 1474 de 2011 / </w:t>
            </w:r>
            <w:r w:rsidRPr="00430F63">
              <w:rPr>
                <w:rFonts w:ascii="Arial" w:eastAsia="Calibri" w:hAnsi="Arial" w:cs="Arial"/>
                <w:sz w:val="20"/>
                <w:szCs w:val="20"/>
                <w:lang w:val="es-ES_tradnl"/>
              </w:rPr>
              <w:t xml:space="preserve">PROCEDIMIENTO SANCIONATORIO CONTRACTUAL – Citación a audiencia – Contenido – Ley 1474 de 2011 – Artículo 86 / </w:t>
            </w:r>
            <w:r w:rsidRPr="00430F63">
              <w:rPr>
                <w:rFonts w:ascii="Arial" w:eastAsia="Calibri" w:hAnsi="Arial" w:cs="Arial"/>
                <w:color w:val="000000" w:themeColor="text1"/>
                <w:sz w:val="20"/>
                <w:szCs w:val="20"/>
                <w:lang w:val="es-ES_tradnl"/>
              </w:rPr>
              <w:t>PRINCIPIO DE PROPORCIONALIDAD – Funciones / CLAUSULA PENAL Y TASACIÓN DE PERJUICIOS – Aplicación de criterios proporcionales y razonables / CLAUSULA PENAL Y TASACIÓN DE PERJUICIOS – Aplicación del principio de proporcionalidad. Graduación</w:t>
            </w:r>
            <w:r w:rsidRPr="00430F63">
              <w:rPr>
                <w:rFonts w:ascii="Arial" w:eastAsia="Calibri" w:hAnsi="Arial" w:cs="Arial"/>
                <w:b/>
                <w:bCs/>
                <w:color w:val="000000" w:themeColor="text1"/>
                <w:sz w:val="20"/>
                <w:szCs w:val="20"/>
                <w:lang w:val="es-ES_tradnl"/>
              </w:rPr>
              <w:t xml:space="preserve"> </w:t>
            </w:r>
          </w:p>
          <w:p w14:paraId="1B97D110" w14:textId="77777777" w:rsidR="00063961" w:rsidRPr="00430F63" w:rsidRDefault="00063961" w:rsidP="00806235">
            <w:pPr>
              <w:jc w:val="both"/>
              <w:rPr>
                <w:rFonts w:ascii="Arial" w:eastAsia="Calibri" w:hAnsi="Arial" w:cs="Arial"/>
                <w:b/>
                <w:bCs/>
                <w:color w:val="000000" w:themeColor="text1"/>
                <w:sz w:val="20"/>
                <w:szCs w:val="20"/>
              </w:rPr>
            </w:pPr>
          </w:p>
          <w:p w14:paraId="2A3C119B" w14:textId="77777777" w:rsidR="00063961" w:rsidRPr="00430F63" w:rsidRDefault="00063961" w:rsidP="00806235">
            <w:pPr>
              <w:contextualSpacing/>
              <w:jc w:val="both"/>
              <w:rPr>
                <w:rFonts w:ascii="Segoe UI" w:hAnsi="Segoe UI" w:cs="Segoe UI"/>
                <w:bCs/>
                <w:lang w:val="es-ES_tradnl"/>
              </w:rPr>
            </w:pPr>
          </w:p>
        </w:tc>
      </w:tr>
      <w:tr w:rsidR="00063961" w:rsidRPr="00430F63" w14:paraId="08FC3FE9" w14:textId="77777777" w:rsidTr="00806235">
        <w:tc>
          <w:tcPr>
            <w:tcW w:w="2410" w:type="dxa"/>
          </w:tcPr>
          <w:p w14:paraId="7E589476" w14:textId="77777777" w:rsidR="00063961" w:rsidRPr="00430F63" w:rsidRDefault="00063961" w:rsidP="00806235">
            <w:pPr>
              <w:contextualSpacing/>
              <w:rPr>
                <w:rFonts w:ascii="Arial" w:eastAsia="Calibri" w:hAnsi="Arial" w:cs="Arial"/>
              </w:rPr>
            </w:pPr>
            <w:r w:rsidRPr="00430F63">
              <w:rPr>
                <w:rFonts w:ascii="Arial" w:eastAsia="Calibri" w:hAnsi="Arial" w:cs="Arial"/>
                <w:b/>
              </w:rPr>
              <w:t>Radicación:</w:t>
            </w:r>
            <w:r w:rsidRPr="00430F63">
              <w:rPr>
                <w:rFonts w:ascii="Arial" w:eastAsia="Calibri" w:hAnsi="Arial" w:cs="Arial"/>
              </w:rPr>
              <w:t xml:space="preserve">                              </w:t>
            </w:r>
          </w:p>
        </w:tc>
        <w:tc>
          <w:tcPr>
            <w:tcW w:w="6516" w:type="dxa"/>
          </w:tcPr>
          <w:p w14:paraId="274479AA" w14:textId="626C9200" w:rsidR="00063961" w:rsidRPr="00430F63" w:rsidRDefault="00063961" w:rsidP="00806235">
            <w:pPr>
              <w:contextualSpacing/>
              <w:jc w:val="both"/>
              <w:rPr>
                <w:rFonts w:ascii="Arial" w:hAnsi="Arial" w:cs="Arial"/>
              </w:rPr>
            </w:pPr>
            <w:r w:rsidRPr="00430F63">
              <w:rPr>
                <w:rFonts w:ascii="Arial" w:eastAsia="Calibri" w:hAnsi="Arial" w:cs="Arial"/>
              </w:rPr>
              <w:t>Respuesta a la consulta P202</w:t>
            </w:r>
            <w:r w:rsidR="00082820">
              <w:rPr>
                <w:rFonts w:ascii="Arial" w:eastAsia="Calibri" w:hAnsi="Arial" w:cs="Arial"/>
              </w:rPr>
              <w:t>30918015235</w:t>
            </w:r>
          </w:p>
        </w:tc>
      </w:tr>
    </w:tbl>
    <w:p w14:paraId="502C7641" w14:textId="77777777" w:rsidR="00063961" w:rsidRPr="00430F63" w:rsidRDefault="00063961" w:rsidP="00063961">
      <w:pPr>
        <w:spacing w:after="0" w:line="276" w:lineRule="auto"/>
        <w:contextualSpacing/>
        <w:rPr>
          <w:rFonts w:ascii="Arial" w:eastAsia="Calibri" w:hAnsi="Arial" w:cs="Arial"/>
        </w:rPr>
      </w:pPr>
    </w:p>
    <w:p w14:paraId="54C186AF" w14:textId="77777777" w:rsidR="00063961" w:rsidRPr="00430F63" w:rsidRDefault="00063961" w:rsidP="00063961">
      <w:pPr>
        <w:spacing w:after="0" w:line="276" w:lineRule="auto"/>
        <w:contextualSpacing/>
        <w:rPr>
          <w:rFonts w:ascii="Arial" w:eastAsia="Calibri" w:hAnsi="Arial" w:cs="Arial"/>
        </w:rPr>
      </w:pPr>
    </w:p>
    <w:p w14:paraId="1F58D712" w14:textId="77777777" w:rsidR="00063961" w:rsidRPr="00430F63" w:rsidRDefault="00063961" w:rsidP="00063961">
      <w:pPr>
        <w:tabs>
          <w:tab w:val="left" w:pos="3736"/>
        </w:tabs>
        <w:spacing w:after="0" w:line="276" w:lineRule="auto"/>
        <w:contextualSpacing/>
        <w:rPr>
          <w:rFonts w:ascii="Arial" w:eastAsia="Calibri" w:hAnsi="Arial" w:cs="Arial"/>
        </w:rPr>
      </w:pPr>
      <w:r w:rsidRPr="00430F63">
        <w:rPr>
          <w:rFonts w:ascii="Arial" w:eastAsia="Calibri" w:hAnsi="Arial" w:cs="Arial"/>
        </w:rPr>
        <w:t>Estimado señor Blanco:</w:t>
      </w:r>
    </w:p>
    <w:p w14:paraId="2E3F8BCE" w14:textId="77777777" w:rsidR="00063961" w:rsidRPr="00430F63" w:rsidRDefault="00063961" w:rsidP="00063961">
      <w:pPr>
        <w:tabs>
          <w:tab w:val="left" w:pos="3736"/>
        </w:tabs>
        <w:spacing w:after="0" w:line="276" w:lineRule="auto"/>
        <w:contextualSpacing/>
        <w:rPr>
          <w:rFonts w:ascii="Arial" w:eastAsia="Calibri" w:hAnsi="Arial" w:cs="Arial"/>
        </w:rPr>
      </w:pPr>
    </w:p>
    <w:p w14:paraId="56E33580" w14:textId="768313CF" w:rsidR="00063961" w:rsidRPr="00430F63" w:rsidRDefault="00063961" w:rsidP="00063961">
      <w:pPr>
        <w:spacing w:after="0" w:line="276" w:lineRule="auto"/>
        <w:contextualSpacing/>
        <w:jc w:val="both"/>
        <w:rPr>
          <w:rFonts w:ascii="Arial" w:eastAsia="Calibri" w:hAnsi="Arial" w:cs="Arial"/>
        </w:rPr>
      </w:pPr>
      <w:r w:rsidRPr="00430F63">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remitida el </w:t>
      </w:r>
      <w:r w:rsidR="00EB3453">
        <w:rPr>
          <w:rFonts w:ascii="Arial" w:eastAsia="Calibri" w:hAnsi="Arial" w:cs="Arial"/>
        </w:rPr>
        <w:t>1</w:t>
      </w:r>
      <w:r w:rsidRPr="00430F63">
        <w:rPr>
          <w:rFonts w:ascii="Arial" w:eastAsia="Calibri" w:hAnsi="Arial" w:cs="Arial"/>
        </w:rPr>
        <w:t xml:space="preserve">8 de </w:t>
      </w:r>
      <w:r w:rsidR="00EB3453">
        <w:rPr>
          <w:rFonts w:ascii="Arial" w:eastAsia="Calibri" w:hAnsi="Arial" w:cs="Arial"/>
        </w:rPr>
        <w:t>septiembre</w:t>
      </w:r>
      <w:r w:rsidRPr="00430F63">
        <w:rPr>
          <w:rFonts w:ascii="Arial" w:eastAsia="Calibri" w:hAnsi="Arial" w:cs="Arial"/>
        </w:rPr>
        <w:t xml:space="preserve"> de 202</w:t>
      </w:r>
      <w:r w:rsidR="00EB3453">
        <w:rPr>
          <w:rFonts w:ascii="Arial" w:eastAsia="Calibri" w:hAnsi="Arial" w:cs="Arial"/>
        </w:rPr>
        <w:t>3</w:t>
      </w:r>
      <w:r w:rsidRPr="00430F63">
        <w:rPr>
          <w:rFonts w:ascii="Arial" w:eastAsia="Calibri" w:hAnsi="Arial" w:cs="Arial"/>
        </w:rPr>
        <w:t xml:space="preserve">. </w:t>
      </w:r>
    </w:p>
    <w:p w14:paraId="65885D45" w14:textId="77777777" w:rsidR="00063961" w:rsidRPr="00430F63" w:rsidRDefault="00063961" w:rsidP="00063961">
      <w:pPr>
        <w:spacing w:after="0" w:line="276" w:lineRule="auto"/>
        <w:contextualSpacing/>
        <w:jc w:val="both"/>
        <w:rPr>
          <w:rFonts w:ascii="Arial" w:eastAsia="Calibri" w:hAnsi="Arial" w:cs="Arial"/>
        </w:rPr>
      </w:pPr>
    </w:p>
    <w:p w14:paraId="3B6EFDE1" w14:textId="77777777" w:rsidR="00063961" w:rsidRPr="00430F63" w:rsidRDefault="00063961" w:rsidP="00063961">
      <w:pPr>
        <w:tabs>
          <w:tab w:val="left" w:pos="0"/>
        </w:tabs>
        <w:spacing w:after="0" w:line="276" w:lineRule="auto"/>
        <w:contextualSpacing/>
        <w:jc w:val="both"/>
        <w:rPr>
          <w:rFonts w:ascii="Arial" w:eastAsia="Calibri" w:hAnsi="Arial" w:cs="Arial"/>
          <w:b/>
        </w:rPr>
      </w:pPr>
      <w:r w:rsidRPr="00430F63">
        <w:rPr>
          <w:rFonts w:ascii="Arial" w:eastAsia="Calibri" w:hAnsi="Arial" w:cs="Arial"/>
          <w:b/>
        </w:rPr>
        <w:t>1. Problema planteado</w:t>
      </w:r>
    </w:p>
    <w:p w14:paraId="2C0E641A" w14:textId="77777777" w:rsidR="00063961" w:rsidRPr="00430F63" w:rsidRDefault="00063961" w:rsidP="00063961">
      <w:pPr>
        <w:tabs>
          <w:tab w:val="left" w:pos="0"/>
        </w:tabs>
        <w:spacing w:after="0" w:line="276" w:lineRule="auto"/>
        <w:contextualSpacing/>
        <w:jc w:val="both"/>
        <w:rPr>
          <w:rFonts w:ascii="Arial" w:eastAsia="Calibri" w:hAnsi="Arial" w:cs="Arial"/>
          <w:b/>
        </w:rPr>
      </w:pPr>
    </w:p>
    <w:p w14:paraId="3F22F83C" w14:textId="77777777" w:rsidR="00063961" w:rsidRPr="00430F63" w:rsidRDefault="00063961" w:rsidP="00063961">
      <w:pPr>
        <w:pStyle w:val="gmail-msonospacing"/>
        <w:spacing w:before="0" w:beforeAutospacing="0" w:after="0" w:afterAutospacing="0" w:line="276" w:lineRule="auto"/>
        <w:ind w:right="900"/>
        <w:contextualSpacing/>
        <w:jc w:val="both"/>
        <w:rPr>
          <w:rFonts w:ascii="Arial" w:eastAsia="Calibri" w:hAnsi="Arial" w:cs="Arial"/>
          <w:lang w:val="es-ES_tradnl"/>
        </w:rPr>
      </w:pPr>
      <w:r w:rsidRPr="00430F63">
        <w:rPr>
          <w:rFonts w:ascii="Arial" w:eastAsia="Calibri" w:hAnsi="Arial" w:cs="Arial"/>
          <w:lang w:val="es-ES_tradnl"/>
        </w:rPr>
        <w:t xml:space="preserve">Usted realiza la siguiente pregunta: </w:t>
      </w:r>
    </w:p>
    <w:p w14:paraId="3B99F7E1" w14:textId="77777777" w:rsidR="00063961" w:rsidRPr="00430F63" w:rsidRDefault="00063961" w:rsidP="00063961">
      <w:pPr>
        <w:pStyle w:val="gmail-msonospacing"/>
        <w:spacing w:before="0" w:beforeAutospacing="0" w:after="0" w:afterAutospacing="0" w:line="276" w:lineRule="auto"/>
        <w:ind w:right="900"/>
        <w:contextualSpacing/>
        <w:jc w:val="both"/>
        <w:rPr>
          <w:rFonts w:ascii="Arial" w:eastAsia="Calibri" w:hAnsi="Arial" w:cs="Arial"/>
          <w:lang w:val="es-ES_tradnl"/>
        </w:rPr>
      </w:pPr>
    </w:p>
    <w:p w14:paraId="1F68125D" w14:textId="4323CBB4" w:rsidR="00063961" w:rsidRPr="003D71FF" w:rsidRDefault="00082820" w:rsidP="003D71FF">
      <w:pPr>
        <w:pStyle w:val="gmail-msonospacing"/>
        <w:ind w:left="708" w:right="900"/>
        <w:contextualSpacing/>
        <w:jc w:val="both"/>
        <w:rPr>
          <w:rFonts w:ascii="Arial" w:hAnsi="Arial" w:cs="Arial"/>
          <w:sz w:val="21"/>
          <w:szCs w:val="21"/>
        </w:rPr>
      </w:pPr>
      <w:bookmarkStart w:id="1" w:name="_Hlk149500546"/>
      <w:r>
        <w:rPr>
          <w:rFonts w:ascii="Arial" w:hAnsi="Arial" w:cs="Arial"/>
          <w:sz w:val="21"/>
          <w:szCs w:val="21"/>
        </w:rPr>
        <w:t>“</w:t>
      </w:r>
      <w:r w:rsidR="00D63BEF" w:rsidRPr="00D63BEF">
        <w:rPr>
          <w:rFonts w:ascii="Arial" w:hAnsi="Arial" w:cs="Arial"/>
          <w:sz w:val="21"/>
          <w:szCs w:val="21"/>
        </w:rPr>
        <w:t xml:space="preserve">La inquietud se presenta por cuanto existen contratos en los cuales se pacta la cláusula de multa y en ella misma, se establece cómo se cuantifica la </w:t>
      </w:r>
      <w:r w:rsidR="00D63BEF" w:rsidRPr="00D63BEF">
        <w:rPr>
          <w:rFonts w:ascii="Arial" w:hAnsi="Arial" w:cs="Arial"/>
          <w:sz w:val="21"/>
          <w:szCs w:val="21"/>
        </w:rPr>
        <w:lastRenderedPageBreak/>
        <w:t xml:space="preserve">correspondiente multa. </w:t>
      </w:r>
      <w:r w:rsidR="00D63BEF">
        <w:rPr>
          <w:rFonts w:ascii="Arial" w:hAnsi="Arial" w:cs="Arial"/>
          <w:sz w:val="21"/>
          <w:szCs w:val="21"/>
        </w:rPr>
        <w:t xml:space="preserve"> […] </w:t>
      </w:r>
      <w:r w:rsidR="00966C21" w:rsidRPr="00966C21">
        <w:rPr>
          <w:rFonts w:ascii="Arial" w:hAnsi="Arial" w:cs="Arial"/>
          <w:sz w:val="21"/>
          <w:szCs w:val="21"/>
        </w:rPr>
        <w:t xml:space="preserve">a) ¿En un proceso administrativo sancionatorio de naturaleza contractual, cuando la administración pretende imponer una multa acordada en el contrato en la que se pactó su forma de tasación, es necesario hacer la cuantificación de los perjuicios del incumplimiento, atendiendo lo que dice el encabezado del artículo 86 de la ley 1474? O, por el contrario, </w:t>
      </w:r>
      <w:r w:rsidR="003D71FF" w:rsidRPr="003D71FF">
        <w:rPr>
          <w:rFonts w:ascii="Arial" w:hAnsi="Arial" w:cs="Arial"/>
          <w:sz w:val="21"/>
          <w:szCs w:val="21"/>
        </w:rPr>
        <w:t xml:space="preserve">b) ¿no es necesario tasar los perjuicios atendiendo la naturaleza de la multa y a que la cláusula que la </w:t>
      </w:r>
      <w:proofErr w:type="gramStart"/>
      <w:r w:rsidR="003D71FF" w:rsidRPr="003D71FF">
        <w:rPr>
          <w:rFonts w:ascii="Arial" w:hAnsi="Arial" w:cs="Arial"/>
          <w:sz w:val="21"/>
          <w:szCs w:val="21"/>
        </w:rPr>
        <w:t>regula,</w:t>
      </w:r>
      <w:proofErr w:type="gramEnd"/>
      <w:r w:rsidR="003D71FF" w:rsidRPr="003D71FF">
        <w:rPr>
          <w:rFonts w:ascii="Arial" w:hAnsi="Arial" w:cs="Arial"/>
          <w:sz w:val="21"/>
          <w:szCs w:val="21"/>
        </w:rPr>
        <w:t xml:space="preserve"> ya convino de antemano su forma de tasación. De ser afirmativa la respuesta a la pregunta a), se solicita igualmente absolver el siguiente interrogante: </w:t>
      </w:r>
      <w:r w:rsidR="003D71FF">
        <w:rPr>
          <w:rFonts w:ascii="Arial" w:hAnsi="Arial" w:cs="Arial"/>
          <w:sz w:val="21"/>
          <w:szCs w:val="21"/>
        </w:rPr>
        <w:t xml:space="preserve"> </w:t>
      </w:r>
      <w:r w:rsidR="003D71FF" w:rsidRPr="003D71FF">
        <w:rPr>
          <w:rFonts w:ascii="Arial" w:hAnsi="Arial" w:cs="Arial"/>
          <w:sz w:val="21"/>
          <w:szCs w:val="21"/>
        </w:rPr>
        <w:t>c) ¿Cual prevalece, la tasación que se impone en la cláusula de multa o, la tasación del perjuicio?</w:t>
      </w:r>
      <w:r>
        <w:rPr>
          <w:rFonts w:ascii="Arial" w:hAnsi="Arial" w:cs="Arial"/>
          <w:sz w:val="21"/>
          <w:szCs w:val="21"/>
        </w:rPr>
        <w:t>”</w:t>
      </w:r>
      <w:r w:rsidR="003D71FF">
        <w:rPr>
          <w:rFonts w:ascii="Arial" w:hAnsi="Arial" w:cs="Arial"/>
          <w:sz w:val="21"/>
          <w:szCs w:val="21"/>
        </w:rPr>
        <w:t xml:space="preserve"> (sic).</w:t>
      </w:r>
    </w:p>
    <w:bookmarkEnd w:id="1"/>
    <w:p w14:paraId="7695429D" w14:textId="77777777" w:rsidR="00063961" w:rsidRPr="00430F63" w:rsidRDefault="00063961" w:rsidP="00063961">
      <w:pPr>
        <w:pStyle w:val="NormalWeb"/>
        <w:spacing w:before="0" w:beforeAutospacing="0" w:after="0" w:afterAutospacing="0" w:line="276" w:lineRule="auto"/>
        <w:ind w:right="51"/>
        <w:contextualSpacing/>
        <w:jc w:val="both"/>
        <w:rPr>
          <w:rFonts w:ascii="Arial" w:eastAsia="Calibri" w:hAnsi="Arial" w:cs="Arial"/>
          <w:b/>
          <w:sz w:val="22"/>
          <w:szCs w:val="22"/>
        </w:rPr>
      </w:pPr>
      <w:r w:rsidRPr="00430F63">
        <w:rPr>
          <w:rFonts w:ascii="Arial" w:eastAsia="Calibri" w:hAnsi="Arial" w:cs="Arial"/>
          <w:b/>
          <w:sz w:val="22"/>
          <w:szCs w:val="22"/>
        </w:rPr>
        <w:t>2. Consideraciones</w:t>
      </w:r>
    </w:p>
    <w:p w14:paraId="57297027" w14:textId="77777777" w:rsidR="00063961" w:rsidRPr="00430F63" w:rsidRDefault="00063961" w:rsidP="00063961">
      <w:pPr>
        <w:pStyle w:val="NormalWeb"/>
        <w:spacing w:before="0" w:beforeAutospacing="0" w:after="0" w:afterAutospacing="0" w:line="276" w:lineRule="auto"/>
        <w:ind w:right="51"/>
        <w:contextualSpacing/>
        <w:jc w:val="both"/>
        <w:rPr>
          <w:rFonts w:ascii="Arial" w:eastAsia="Calibri" w:hAnsi="Arial" w:cs="Arial"/>
          <w:b/>
          <w:sz w:val="22"/>
          <w:szCs w:val="22"/>
        </w:rPr>
      </w:pPr>
    </w:p>
    <w:p w14:paraId="6BC07064" w14:textId="77777777" w:rsidR="00063961" w:rsidRPr="00430F63" w:rsidRDefault="00063961" w:rsidP="00063961">
      <w:pPr>
        <w:spacing w:after="120" w:line="276" w:lineRule="auto"/>
        <w:jc w:val="both"/>
        <w:rPr>
          <w:rFonts w:ascii="Arial" w:hAnsi="Arial" w:cs="Arial"/>
        </w:rPr>
      </w:pPr>
      <w:r w:rsidRPr="00430F63">
        <w:rPr>
          <w:rFonts w:ascii="Arial" w:hAnsi="Arial" w:cs="Arial"/>
          <w:bCs/>
        </w:rPr>
        <w:t xml:space="preserve">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2" w:name="_Hlk61701014"/>
      <w:bookmarkStart w:id="3" w:name="_Hlk62136649"/>
      <w:r w:rsidRPr="00430F63">
        <w:rPr>
          <w:rFonts w:ascii="Arial" w:hAnsi="Arial" w:cs="Arial"/>
        </w:rPr>
        <w:t xml:space="preserve">Es necesario tener en cuenta que </w:t>
      </w:r>
      <w:bookmarkStart w:id="4" w:name="_Hlk61026958"/>
      <w:r w:rsidRPr="00430F63">
        <w:rPr>
          <w:rFonts w:ascii="Arial" w:hAnsi="Arial" w:cs="Aria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30F63">
        <w:rPr>
          <w:rFonts w:ascii="Arial" w:hAnsi="Arial" w:cs="Arial"/>
          <w:bCs/>
        </w:rPr>
        <w:t xml:space="preserve"> de todos los partícipes de la contratación estatal.</w:t>
      </w:r>
    </w:p>
    <w:bookmarkEnd w:id="2"/>
    <w:bookmarkEnd w:id="4"/>
    <w:p w14:paraId="50A49F91" w14:textId="77777777" w:rsidR="00063961" w:rsidRPr="00430F63" w:rsidRDefault="00063961" w:rsidP="00063961">
      <w:pPr>
        <w:spacing w:after="120" w:line="276" w:lineRule="auto"/>
        <w:ind w:firstLine="708"/>
        <w:jc w:val="both"/>
        <w:rPr>
          <w:rFonts w:ascii="Arial" w:hAnsi="Arial" w:cs="Arial"/>
        </w:rPr>
      </w:pPr>
      <w:r w:rsidRPr="00430F63">
        <w:rPr>
          <w:rFonts w:ascii="Arial"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30F63">
        <w:rPr>
          <w:rFonts w:ascii="Arial" w:hAnsi="Arial" w:cs="Arial"/>
          <w:vertAlign w:val="superscript"/>
        </w:rPr>
        <w:footnoteReference w:id="2"/>
      </w:r>
      <w:r w:rsidRPr="00430F63">
        <w:rPr>
          <w:rFonts w:ascii="Arial" w:hAnsi="Arial" w:cs="Aria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568A659A" w14:textId="734DC96D" w:rsidR="00063961" w:rsidRPr="00430F63" w:rsidRDefault="00063961" w:rsidP="00063961">
      <w:pPr>
        <w:spacing w:after="120" w:line="276" w:lineRule="auto"/>
        <w:ind w:firstLine="708"/>
        <w:jc w:val="both"/>
        <w:rPr>
          <w:rFonts w:ascii="Arial" w:hAnsi="Arial" w:cs="Arial"/>
          <w:bCs/>
        </w:rPr>
      </w:pPr>
      <w:r w:rsidRPr="00430F63">
        <w:rPr>
          <w:rFonts w:ascii="Arial" w:hAnsi="Arial" w:cs="Arial"/>
        </w:rPr>
        <w:lastRenderedPageBreak/>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w:t>
      </w:r>
      <w:r w:rsidR="00082820">
        <w:rPr>
          <w:rFonts w:ascii="Arial" w:hAnsi="Arial" w:cs="Arial"/>
        </w:rPr>
        <w:t>“</w:t>
      </w:r>
      <w:r w:rsidRPr="00430F63">
        <w:rPr>
          <w:rFonts w:ascii="Arial" w:hAnsi="Arial" w:cs="Arial"/>
        </w:rPr>
        <w:t>[…]  los conceptos emitidos por las autoridades como respuestas a peticiones realizadas en ejercicio del derecho a formular consultas no serán de obligatorio cumplimiento o ejecución</w:t>
      </w:r>
      <w:r w:rsidR="00082820">
        <w:rPr>
          <w:rFonts w:ascii="Arial" w:hAnsi="Arial" w:cs="Arial"/>
        </w:rPr>
        <w:t>”</w:t>
      </w:r>
      <w:r w:rsidRPr="00430F63">
        <w:rPr>
          <w:rFonts w:ascii="Arial" w:hAnsi="Arial" w:cs="Arial"/>
        </w:rPr>
        <w:t>.  E</w:t>
      </w:r>
      <w:r w:rsidRPr="00430F63">
        <w:rPr>
          <w:rFonts w:ascii="Arial" w:hAnsi="Arial" w:cs="Arial"/>
          <w:bCs/>
        </w:rPr>
        <w:t xml:space="preserve">n términos generales, </w:t>
      </w:r>
      <w:r w:rsidRPr="00BF4F40">
        <w:rPr>
          <w:rFonts w:ascii="Arial" w:hAnsi="Arial" w:cs="Arial"/>
          <w:bCs/>
          <w:u w:val="single"/>
        </w:rPr>
        <w:t>lo que se busca es que la opinión jurídica de la entidad sirva a los ciudadanos y a la administración pública para el ejercicio de sus derechos y la defensa de sus intereses, y como criterio de orientación para el cumplimiento de sus competencias legales</w:t>
      </w:r>
      <w:r w:rsidRPr="00430F63">
        <w:rPr>
          <w:rFonts w:ascii="Arial" w:hAnsi="Arial" w:cs="Arial"/>
          <w:bCs/>
        </w:rPr>
        <w:t>,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430F63">
        <w:rPr>
          <w:rFonts w:ascii="Arial" w:hAnsi="Arial" w:cs="Arial"/>
          <w:bCs/>
          <w:vertAlign w:val="superscript"/>
        </w:rPr>
        <w:footnoteReference w:id="3"/>
      </w:r>
      <w:r w:rsidRPr="00430F63">
        <w:rPr>
          <w:rFonts w:ascii="Arial" w:hAnsi="Arial" w:cs="Arial"/>
          <w:bCs/>
        </w:rPr>
        <w:t>.</w:t>
      </w:r>
    </w:p>
    <w:p w14:paraId="16689C51" w14:textId="4C069840" w:rsidR="00063961" w:rsidRPr="00430F63" w:rsidRDefault="00063961" w:rsidP="00063961">
      <w:pPr>
        <w:spacing w:after="120" w:line="276" w:lineRule="auto"/>
        <w:ind w:firstLine="708"/>
        <w:jc w:val="both"/>
        <w:rPr>
          <w:rFonts w:ascii="Arial" w:hAnsi="Arial" w:cs="Arial"/>
          <w:b/>
          <w:bCs/>
          <w:iCs/>
          <w:color w:val="000000" w:themeColor="text1"/>
          <w:lang w:val="es-ES_tradnl"/>
        </w:rPr>
      </w:pPr>
      <w:r w:rsidRPr="00430F63">
        <w:rPr>
          <w:rFonts w:ascii="Arial" w:hAnsi="Arial" w:cs="Arial"/>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Régimen </w:t>
      </w:r>
      <w:r w:rsidR="003725E2">
        <w:rPr>
          <w:rFonts w:ascii="Arial" w:hAnsi="Arial" w:cs="Arial"/>
        </w:rPr>
        <w:t>S</w:t>
      </w:r>
      <w:r w:rsidRPr="00430F63">
        <w:rPr>
          <w:rFonts w:ascii="Arial" w:hAnsi="Arial" w:cs="Arial"/>
        </w:rPr>
        <w:t>ancionatorio en el Estatuto General de Contratación de la Administración Pública</w:t>
      </w:r>
      <w:r w:rsidRPr="00430F63">
        <w:rPr>
          <w:rFonts w:ascii="Arial" w:eastAsia="Calibri" w:hAnsi="Arial" w:cs="Arial"/>
          <w:color w:val="000000"/>
        </w:rPr>
        <w:t xml:space="preserve">, ii) </w:t>
      </w:r>
      <w:r w:rsidRPr="00430F63">
        <w:rPr>
          <w:rFonts w:ascii="Arial" w:hAnsi="Arial" w:cs="Arial"/>
          <w:iCs/>
          <w:color w:val="000000" w:themeColor="text1"/>
          <w:lang w:val="es-ES_tradnl"/>
        </w:rPr>
        <w:t xml:space="preserve">Procedimiento administrativo sancionatorio contractual. Artículo 86 de la Ley 1474 de 2011. Proporcionalidad y razonabilidad en la aplicación de la </w:t>
      </w:r>
      <w:r w:rsidR="00082820">
        <w:rPr>
          <w:rFonts w:ascii="Arial" w:hAnsi="Arial" w:cs="Arial"/>
          <w:iCs/>
          <w:color w:val="000000" w:themeColor="text1"/>
          <w:lang w:val="es-ES_tradnl"/>
        </w:rPr>
        <w:t>c</w:t>
      </w:r>
      <w:r w:rsidRPr="00430F63">
        <w:rPr>
          <w:rFonts w:ascii="Arial" w:hAnsi="Arial" w:cs="Arial"/>
          <w:iCs/>
          <w:color w:val="000000" w:themeColor="text1"/>
          <w:lang w:val="es-ES_tradnl"/>
        </w:rPr>
        <w:t>láusula penal y la tasación de perjuicios.</w:t>
      </w:r>
      <w:r w:rsidRPr="00430F63">
        <w:rPr>
          <w:rFonts w:ascii="Arial" w:hAnsi="Arial" w:cs="Arial"/>
          <w:b/>
          <w:bCs/>
          <w:iCs/>
          <w:color w:val="000000" w:themeColor="text1"/>
          <w:lang w:val="es-ES_tradnl"/>
        </w:rPr>
        <w:t xml:space="preserve"> </w:t>
      </w:r>
    </w:p>
    <w:p w14:paraId="46417AF6" w14:textId="4F81D3DF" w:rsidR="00063961" w:rsidRPr="00430F63" w:rsidRDefault="00063961" w:rsidP="00063961">
      <w:pPr>
        <w:spacing w:after="120" w:line="276" w:lineRule="auto"/>
        <w:ind w:firstLine="708"/>
        <w:jc w:val="both"/>
        <w:rPr>
          <w:rFonts w:ascii="Arial" w:eastAsia="Calibri" w:hAnsi="Arial" w:cs="Arial"/>
          <w:color w:val="000000"/>
        </w:rPr>
      </w:pPr>
      <w:r w:rsidRPr="00430F63">
        <w:rPr>
          <w:rFonts w:ascii="Arial" w:eastAsia="Calibri" w:hAnsi="Arial" w:cs="Arial"/>
          <w:color w:val="000000"/>
        </w:rPr>
        <w:t xml:space="preserve">La Agencia Nacional de Contratación Pública – Colombia Compra Eficiente se pronunció, sobre el </w:t>
      </w:r>
      <w:r w:rsidRPr="00430F63">
        <w:rPr>
          <w:rFonts w:ascii="Arial" w:hAnsi="Arial" w:cs="Arial"/>
          <w:lang w:val="es-ES_tradnl"/>
        </w:rPr>
        <w:t>régimen sancionatorio en el Estatuto General de Contratación de la Administración Pública en los Conceptos C-147 del 17 de marzo de 2020, C-219 del 29 de abril de 2020, C-434 del 29 de julio de 2020, C-569 del 31 de agosto de 2020, C-641 del 4 de noviembre de 2020, C-</w:t>
      </w:r>
      <w:r w:rsidRPr="00430F63">
        <w:rPr>
          <w:rFonts w:ascii="Arial" w:hAnsi="Arial" w:cs="Arial"/>
          <w:lang w:val="es-ES_tradnl"/>
        </w:rPr>
        <w:lastRenderedPageBreak/>
        <w:t>060 del 8 de marzo de 2021, C-528 del 5 de abril de 2021, C-420 del 25 de agosto de 2022, C- 720 del 25 de enero de 2022, C-125 del 24 de marzo de 2022, C-193 del 12 de abril de 2022, C-085 del 29 de abril de 2022</w:t>
      </w:r>
      <w:r w:rsidR="00082820">
        <w:rPr>
          <w:rFonts w:ascii="Arial" w:hAnsi="Arial" w:cs="Arial"/>
          <w:lang w:val="es-ES_tradnl"/>
        </w:rPr>
        <w:t xml:space="preserve">, </w:t>
      </w:r>
      <w:r w:rsidRPr="00430F63">
        <w:rPr>
          <w:rFonts w:ascii="Arial" w:hAnsi="Arial" w:cs="Arial"/>
          <w:lang w:val="es-ES_tradnl"/>
        </w:rPr>
        <w:t>C-807 del 25 de noviembre de 2022</w:t>
      </w:r>
      <w:r w:rsidR="00082820">
        <w:rPr>
          <w:rFonts w:ascii="Arial" w:hAnsi="Arial" w:cs="Arial"/>
          <w:lang w:val="es-ES_tradnl"/>
        </w:rPr>
        <w:t xml:space="preserve"> y C-864 del 14 de diciembre de 2022</w:t>
      </w:r>
      <w:r w:rsidRPr="00430F63">
        <w:rPr>
          <w:rFonts w:ascii="Arial" w:hAnsi="Arial" w:cs="Arial"/>
          <w:lang w:val="es-ES_tradnl"/>
        </w:rPr>
        <w:t xml:space="preserve">, entre otros. </w:t>
      </w:r>
      <w:r w:rsidRPr="00430F63">
        <w:rPr>
          <w:rFonts w:ascii="Arial" w:eastAsia="Calibri" w:hAnsi="Arial" w:cs="Arial"/>
          <w:lang w:val="es-MX"/>
        </w:rPr>
        <w:t xml:space="preserve">Las tesis expuestas se reiteran y se complementan en lo </w:t>
      </w:r>
      <w:r w:rsidR="00082820">
        <w:rPr>
          <w:rFonts w:ascii="Arial" w:eastAsia="Calibri" w:hAnsi="Arial" w:cs="Arial"/>
          <w:lang w:val="es-MX"/>
        </w:rPr>
        <w:t>pertinente</w:t>
      </w:r>
      <w:r w:rsidRPr="00430F63">
        <w:rPr>
          <w:rFonts w:ascii="Arial" w:eastAsia="Calibri" w:hAnsi="Arial" w:cs="Arial"/>
          <w:lang w:val="es-MX"/>
        </w:rPr>
        <w:t>.</w:t>
      </w:r>
    </w:p>
    <w:p w14:paraId="5916F74C" w14:textId="77777777" w:rsidR="00063961" w:rsidRPr="00430F63" w:rsidRDefault="00063961" w:rsidP="00063961">
      <w:pPr>
        <w:spacing w:after="0" w:line="276" w:lineRule="auto"/>
        <w:ind w:firstLine="709"/>
        <w:contextualSpacing/>
        <w:jc w:val="both"/>
        <w:rPr>
          <w:rFonts w:ascii="Arial" w:hAnsi="Arial" w:cs="Arial"/>
          <w:lang w:val="es-MX"/>
        </w:rPr>
      </w:pPr>
    </w:p>
    <w:p w14:paraId="611A06D5" w14:textId="77777777" w:rsidR="00063961" w:rsidRPr="00430F63" w:rsidRDefault="00063961" w:rsidP="00063961">
      <w:pPr>
        <w:spacing w:after="240"/>
        <w:jc w:val="both"/>
        <w:rPr>
          <w:rFonts w:ascii="Arial" w:hAnsi="Arial" w:cs="Arial"/>
          <w:b/>
          <w:bCs/>
          <w:lang w:val="es-ES_tradnl"/>
        </w:rPr>
      </w:pPr>
      <w:bookmarkStart w:id="5" w:name="_Hlk120264806"/>
      <w:bookmarkEnd w:id="3"/>
      <w:r w:rsidRPr="00430F63">
        <w:rPr>
          <w:rFonts w:ascii="Arial" w:hAnsi="Arial" w:cs="Arial"/>
          <w:b/>
          <w:color w:val="000000" w:themeColor="text1"/>
          <w:lang w:val="es-ES_tradnl"/>
        </w:rPr>
        <w:t xml:space="preserve">2.1. </w:t>
      </w:r>
      <w:r w:rsidRPr="00430F63">
        <w:rPr>
          <w:rFonts w:ascii="Arial" w:hAnsi="Arial" w:cs="Arial"/>
          <w:b/>
          <w:bCs/>
          <w:lang w:val="es-ES_tradnl"/>
        </w:rPr>
        <w:t>Régimen sancionatorio en el Estatuto General de Contratación de la Administración Pública</w:t>
      </w:r>
    </w:p>
    <w:bookmarkEnd w:id="5"/>
    <w:p w14:paraId="3E850C9E" w14:textId="77777777" w:rsidR="00063961" w:rsidRPr="00430F63" w:rsidRDefault="00063961" w:rsidP="00063961">
      <w:pPr>
        <w:spacing w:after="240"/>
        <w:jc w:val="both"/>
        <w:rPr>
          <w:rFonts w:ascii="Arial" w:hAnsi="Arial" w:cs="Arial"/>
          <w:iCs/>
          <w:lang w:val="es-ES_tradnl"/>
        </w:rPr>
      </w:pPr>
      <w:r w:rsidRPr="00430F63">
        <w:rPr>
          <w:rFonts w:ascii="Arial" w:hAnsi="Arial" w:cs="Arial"/>
          <w:iCs/>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430F63">
        <w:rPr>
          <w:rFonts w:ascii="Arial" w:hAnsi="Arial" w:cs="Arial"/>
          <w:i/>
          <w:lang w:val="es-ES_tradnl"/>
        </w:rPr>
        <w:t>ibidem</w:t>
      </w:r>
      <w:r w:rsidRPr="00430F63">
        <w:rPr>
          <w:rFonts w:ascii="Arial" w:hAnsi="Arial" w:cs="Arial"/>
          <w:iCs/>
          <w:lang w:val="es-ES_tradnl"/>
        </w:rPr>
        <w:t xml:space="preserve">. ii) Algunas disposiciones establecen otras potestades, como la liquidación unilateral y la declaratoria unilateral del siniestro –artículos 7 y 11 de la Ley 1150 de 2007–. Dentro de las potestades unilaterales también se encuentran </w:t>
      </w:r>
      <w:proofErr w:type="spellStart"/>
      <w:r w:rsidRPr="00430F63">
        <w:rPr>
          <w:rFonts w:ascii="Arial" w:hAnsi="Arial" w:cs="Arial"/>
          <w:iCs/>
          <w:lang w:val="es-ES_tradnl"/>
        </w:rPr>
        <w:t>iii</w:t>
      </w:r>
      <w:proofErr w:type="spellEnd"/>
      <w:r w:rsidRPr="0098600B">
        <w:rPr>
          <w:rFonts w:ascii="Arial" w:hAnsi="Arial" w:cs="Arial"/>
          <w:iCs/>
          <w:u w:val="single"/>
          <w:lang w:val="es-ES_tradnl"/>
        </w:rPr>
        <w:t xml:space="preserve">) las de </w:t>
      </w:r>
      <w:r w:rsidRPr="0098600B">
        <w:rPr>
          <w:rFonts w:ascii="Arial" w:hAnsi="Arial" w:cs="Arial"/>
          <w:i/>
          <w:u w:val="single"/>
          <w:lang w:val="es-ES_tradnl"/>
        </w:rPr>
        <w:t>imposición unilateral</w:t>
      </w:r>
      <w:r w:rsidRPr="0098600B">
        <w:rPr>
          <w:rFonts w:ascii="Arial" w:hAnsi="Arial" w:cs="Arial"/>
          <w:iCs/>
          <w:u w:val="single"/>
          <w:lang w:val="es-ES_tradnl"/>
        </w:rPr>
        <w:t xml:space="preserve"> de las cláusulas penales y de multas –artículo 17 de la Ley 1150 de 2007–, aclarando que su exorbitancia se refiere a su imposición unilateral, no a su pacto, que es fruto de la autonomía de la voluntad y posible en virtud de las normas civiles y comerciales</w:t>
      </w:r>
      <w:r w:rsidRPr="00430F63">
        <w:rPr>
          <w:rFonts w:ascii="Arial" w:hAnsi="Arial" w:cs="Arial"/>
          <w:iCs/>
          <w:lang w:val="es-ES_tradnl"/>
        </w:rPr>
        <w:t>.</w:t>
      </w:r>
    </w:p>
    <w:p w14:paraId="1141F12D" w14:textId="77777777" w:rsidR="00063961" w:rsidRPr="00430F63" w:rsidRDefault="00063961" w:rsidP="00063961">
      <w:pPr>
        <w:spacing w:after="240"/>
        <w:ind w:firstLine="709"/>
        <w:jc w:val="both"/>
        <w:rPr>
          <w:rFonts w:ascii="Arial" w:hAnsi="Arial" w:cs="Arial"/>
          <w:iCs/>
          <w:lang w:val="es-ES_tradnl"/>
        </w:rPr>
      </w:pPr>
      <w:r w:rsidRPr="00430F63">
        <w:rPr>
          <w:rFonts w:ascii="Arial" w:hAnsi="Arial" w:cs="Arial"/>
          <w:iCs/>
          <w:lang w:val="es-ES_tradnl"/>
        </w:rPr>
        <w:t xml:space="preserve">Las primeras, esto es, las cláusulas excepcionales del artículo 14 de la Ley 80 de 1993, son estipulaciones virtuales y obligatorias en los contratos de concesión, obra, prestación de servicios públicos, aquellos que tengan por objeto el ejercicio de una actividad que constituya monopolio estatal </w:t>
      </w:r>
      <w:r w:rsidRPr="00430F63">
        <w:rPr>
          <w:rFonts w:ascii="Arial" w:hAnsi="Arial" w:cs="Arial"/>
        </w:rPr>
        <w:t>y los relacionados con el programa de alimentación escolar –según lo dispuso la modificación realizada por el artículo 52 de la Ley 2195 de 2022–</w:t>
      </w:r>
      <w:r w:rsidRPr="00430F63">
        <w:rPr>
          <w:rFonts w:ascii="Arial" w:hAnsi="Arial" w:cs="Arial"/>
          <w:iCs/>
          <w:lang w:val="es-ES_tradnl"/>
        </w:rPr>
        <w:t>. En tales contratos, sin importar si se incorporaron o no dentro de estos, las cláusulas excepcionales se entienden incluidas por el ministerio de la ley, como lo dispone el artículo 14 de la Ley 80 de 1993.</w:t>
      </w:r>
    </w:p>
    <w:p w14:paraId="29CE14C7" w14:textId="77777777" w:rsidR="00063961" w:rsidRPr="00430F63" w:rsidRDefault="00063961" w:rsidP="00063961">
      <w:pPr>
        <w:spacing w:after="240"/>
        <w:ind w:firstLine="709"/>
        <w:jc w:val="both"/>
        <w:rPr>
          <w:rFonts w:ascii="Arial" w:hAnsi="Arial" w:cs="Arial"/>
          <w:iCs/>
          <w:lang w:val="es-ES_tradnl"/>
        </w:rPr>
      </w:pPr>
      <w:r w:rsidRPr="00430F63">
        <w:rPr>
          <w:rFonts w:ascii="Arial" w:hAnsi="Arial" w:cs="Arial"/>
          <w:iCs/>
          <w:lang w:val="es-ES_tradnl"/>
        </w:rPr>
        <w:t xml:space="preserve">Por su parte, las potestades exorbitantes del último grupo –imposición unilateral de la multa o la cláusula penal– son el resultado de una particular combinación entre el principio de legalidad y la autonomía de la voluntad, de tal suerte que </w:t>
      </w:r>
      <w:r w:rsidRPr="00641B6F">
        <w:rPr>
          <w:rFonts w:ascii="Arial" w:hAnsi="Arial" w:cs="Arial"/>
          <w:iCs/>
          <w:u w:val="single"/>
          <w:lang w:val="es-ES_tradnl"/>
        </w:rPr>
        <w:t>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430F63">
        <w:rPr>
          <w:rFonts w:ascii="Arial" w:hAnsi="Arial" w:cs="Arial"/>
          <w:vertAlign w:val="superscript"/>
        </w:rPr>
        <w:footnoteReference w:id="4"/>
      </w:r>
      <w:r w:rsidRPr="00430F63">
        <w:rPr>
          <w:rFonts w:ascii="Arial" w:hAnsi="Arial" w:cs="Arial"/>
          <w:iCs/>
          <w:lang w:val="es-ES_tradnl"/>
        </w:rPr>
        <w:t xml:space="preserve">.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w:t>
      </w:r>
      <w:r w:rsidRPr="00430F63">
        <w:rPr>
          <w:rFonts w:ascii="Arial" w:hAnsi="Arial" w:cs="Arial"/>
          <w:iCs/>
          <w:lang w:val="es-ES_tradnl"/>
        </w:rPr>
        <w:lastRenderedPageBreak/>
        <w:t>reitera que la exorbitancia de las dos cláusulas transcritas –cláusula penal y multas– se refiere a su imposición unilateral, no a su pacto. Esto último en la medida en que dichas cláusulas son posibles y pueden pactarse en virtud de las normas civiles y comerciales.</w:t>
      </w:r>
    </w:p>
    <w:p w14:paraId="61FFF06E" w14:textId="77777777" w:rsidR="00063961" w:rsidRPr="00430F63" w:rsidRDefault="00063961" w:rsidP="00063961">
      <w:pPr>
        <w:spacing w:after="240"/>
        <w:ind w:firstLine="709"/>
        <w:jc w:val="both"/>
        <w:rPr>
          <w:rFonts w:ascii="Arial" w:hAnsi="Arial" w:cs="Arial"/>
          <w:iCs/>
          <w:lang w:val="es-ES_tradnl"/>
        </w:rPr>
      </w:pPr>
      <w:r w:rsidRPr="00430F63">
        <w:rPr>
          <w:rFonts w:ascii="Arial" w:hAnsi="Arial" w:cs="Arial"/>
          <w:iCs/>
          <w:lang w:val="es-ES_tradnl"/>
        </w:rPr>
        <w:t xml:space="preserve">En efecto, tratándose de las multas y la cláusula penal, en cumplimiento del principio de tipicidad, las partes deben determinar en forma pormenorizada las acciones u omisiones objeto de sanción y </w:t>
      </w:r>
      <w:r w:rsidRPr="00105774">
        <w:rPr>
          <w:rFonts w:ascii="Arial" w:hAnsi="Arial" w:cs="Arial"/>
          <w:iCs/>
          <w:highlight w:val="yellow"/>
          <w:u w:val="single"/>
          <w:lang w:val="es-ES_tradnl"/>
        </w:rPr>
        <w:t>el monto de la sanción a imponer, el cual, en todo caso, debe atender los criterios de proporcionalidad y razonabilidad</w:t>
      </w:r>
      <w:r w:rsidRPr="00430F63">
        <w:rPr>
          <w:rFonts w:ascii="Arial" w:hAnsi="Arial" w:cs="Arial"/>
          <w:iCs/>
          <w:lang w:val="es-ES_tradnl"/>
        </w:rPr>
        <w:t>. En esa línea se pronunció la Sección Tercera del Consejo de Estado, indicando que:</w:t>
      </w:r>
    </w:p>
    <w:p w14:paraId="32B79982" w14:textId="55D37757" w:rsidR="00063961" w:rsidRPr="00430F63" w:rsidRDefault="00082820" w:rsidP="00063961">
      <w:pPr>
        <w:spacing w:after="240"/>
        <w:ind w:left="709" w:right="709"/>
        <w:contextualSpacing/>
        <w:jc w:val="both"/>
        <w:rPr>
          <w:rFonts w:ascii="Arial" w:hAnsi="Arial" w:cs="Arial"/>
          <w:iCs/>
          <w:sz w:val="20"/>
          <w:szCs w:val="20"/>
          <w:lang w:val="es-ES_tradnl"/>
        </w:rPr>
      </w:pPr>
      <w:r>
        <w:rPr>
          <w:rFonts w:ascii="Arial" w:hAnsi="Arial" w:cs="Arial"/>
          <w:i/>
          <w:iCs/>
          <w:sz w:val="20"/>
          <w:szCs w:val="20"/>
        </w:rPr>
        <w:t>“</w:t>
      </w:r>
      <w:r w:rsidR="00063961" w:rsidRPr="00430F63">
        <w:rPr>
          <w:rFonts w:ascii="Arial" w:hAnsi="Arial" w:cs="Arial"/>
          <w:iCs/>
          <w:sz w:val="20"/>
          <w:szCs w:val="20"/>
          <w:lang w:val="es-ES_tradnl"/>
        </w:rPr>
        <w:t>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00063961" w:rsidRPr="00430F63">
        <w:rPr>
          <w:rFonts w:ascii="Arial" w:hAnsi="Arial" w:cs="Arial"/>
          <w:sz w:val="20"/>
          <w:szCs w:val="20"/>
          <w:vertAlign w:val="superscript"/>
        </w:rPr>
        <w:footnoteReference w:id="5"/>
      </w:r>
      <w:r w:rsidR="00063961" w:rsidRPr="00430F63">
        <w:rPr>
          <w:rFonts w:ascii="Arial" w:hAnsi="Arial" w:cs="Arial"/>
          <w:iCs/>
          <w:sz w:val="20"/>
          <w:szCs w:val="20"/>
          <w:lang w:val="es-ES_tradnl"/>
        </w:rPr>
        <w:t>.</w:t>
      </w:r>
      <w:r>
        <w:rPr>
          <w:rFonts w:ascii="Arial" w:hAnsi="Arial" w:cs="Arial"/>
          <w:i/>
          <w:iCs/>
          <w:sz w:val="20"/>
          <w:szCs w:val="20"/>
        </w:rPr>
        <w:t>”</w:t>
      </w:r>
      <w:r w:rsidR="00063961" w:rsidRPr="00430F63">
        <w:rPr>
          <w:rFonts w:ascii="Arial" w:hAnsi="Arial" w:cs="Arial"/>
          <w:iCs/>
          <w:sz w:val="20"/>
          <w:szCs w:val="20"/>
          <w:lang w:val="es-ES_tradnl"/>
        </w:rPr>
        <w:t xml:space="preserve"> </w:t>
      </w:r>
    </w:p>
    <w:p w14:paraId="4888D922" w14:textId="77777777" w:rsidR="00063961" w:rsidRPr="00430F63" w:rsidRDefault="00063961" w:rsidP="00063961">
      <w:pPr>
        <w:spacing w:after="240"/>
        <w:ind w:left="709" w:right="709"/>
        <w:contextualSpacing/>
        <w:jc w:val="both"/>
        <w:rPr>
          <w:rFonts w:ascii="Arial" w:hAnsi="Arial" w:cs="Arial"/>
          <w:iCs/>
          <w:lang w:val="es-ES_tradnl"/>
        </w:rPr>
      </w:pPr>
    </w:p>
    <w:p w14:paraId="44FEBD13" w14:textId="4B14513A" w:rsidR="00063961" w:rsidRPr="00430F63" w:rsidRDefault="00063961" w:rsidP="00063961">
      <w:pPr>
        <w:spacing w:after="240"/>
        <w:ind w:firstLine="709"/>
        <w:jc w:val="both"/>
        <w:rPr>
          <w:rFonts w:ascii="Arial" w:hAnsi="Arial" w:cs="Arial"/>
          <w:i/>
          <w:lang w:val="es-ES_tradnl"/>
        </w:rPr>
      </w:pPr>
      <w:r w:rsidRPr="00430F63">
        <w:rPr>
          <w:rFonts w:ascii="Arial" w:hAnsi="Arial" w:cs="Arial"/>
          <w:iCs/>
          <w:lang w:val="es-ES_tradnl"/>
        </w:rPr>
        <w:t xml:space="preserve">De igual forma, en otra oportunidad, el Consejo de Estado indicó que </w:t>
      </w:r>
      <w:r w:rsidR="00082820">
        <w:rPr>
          <w:rFonts w:ascii="Arial" w:hAnsi="Arial" w:cs="Arial"/>
          <w:i/>
          <w:lang w:val="es-ES_tradnl"/>
        </w:rPr>
        <w:t>“</w:t>
      </w:r>
      <w:r w:rsidRPr="00430F63">
        <w:rPr>
          <w:rFonts w:ascii="Arial" w:hAnsi="Arial" w:cs="Arial"/>
          <w:i/>
          <w:lang w:val="es-ES_tradnl"/>
        </w:rPr>
        <w:t>el núcleo mínimo de este derecho exige que una norma –legal o contractual– contemple la falta y la sanción. Si ni siquiera lo hace el contrato, la Administración no puede imponer sanciones, so pena de violar el debido proceso</w:t>
      </w:r>
      <w:r w:rsidR="00082820">
        <w:rPr>
          <w:rFonts w:ascii="Arial" w:hAnsi="Arial" w:cs="Arial"/>
          <w:i/>
          <w:lang w:val="es-ES_tradnl"/>
        </w:rPr>
        <w:t>”</w:t>
      </w:r>
      <w:r w:rsidRPr="00430F63">
        <w:rPr>
          <w:rFonts w:ascii="Arial" w:hAnsi="Arial" w:cs="Arial"/>
          <w:vertAlign w:val="superscript"/>
        </w:rPr>
        <w:footnoteReference w:id="6"/>
      </w:r>
      <w:r w:rsidRPr="00430F63">
        <w:rPr>
          <w:rFonts w:ascii="Arial" w:hAnsi="Arial" w:cs="Arial"/>
          <w:iCs/>
          <w:lang w:val="es-ES_tradnl"/>
        </w:rPr>
        <w:t>. De otro lado, la Corte Constitucional</w:t>
      </w:r>
      <w:r w:rsidRPr="00430F63">
        <w:rPr>
          <w:rFonts w:ascii="Arial" w:hAnsi="Arial" w:cs="Arial"/>
          <w:vertAlign w:val="superscript"/>
        </w:rPr>
        <w:footnoteReference w:id="7"/>
      </w:r>
      <w:r w:rsidRPr="00430F63">
        <w:rPr>
          <w:rFonts w:ascii="Arial" w:hAnsi="Arial" w:cs="Arial"/>
          <w:iCs/>
          <w:lang w:val="es-ES_tradnl"/>
        </w:rPr>
        <w:t xml:space="preserve"> precisó que la tipicidad hacía referencia a </w:t>
      </w:r>
      <w:r w:rsidR="00082820">
        <w:rPr>
          <w:rFonts w:ascii="Arial" w:hAnsi="Arial" w:cs="Arial"/>
          <w:i/>
          <w:lang w:val="es-ES_tradnl"/>
        </w:rPr>
        <w:t>“</w:t>
      </w:r>
      <w:r w:rsidRPr="00430F63">
        <w:rPr>
          <w:rFonts w:ascii="Arial" w:hAnsi="Arial" w:cs="Arial"/>
          <w:i/>
          <w:lang w:val="es-ES_tradnl"/>
        </w:rPr>
        <w:t>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sidR="00082820">
        <w:rPr>
          <w:rFonts w:ascii="Arial" w:hAnsi="Arial" w:cs="Arial"/>
          <w:i/>
          <w:lang w:val="es-ES_tradnl"/>
        </w:rPr>
        <w:t>”</w:t>
      </w:r>
      <w:r w:rsidRPr="00430F63">
        <w:rPr>
          <w:rFonts w:ascii="Arial" w:hAnsi="Arial" w:cs="Arial"/>
          <w:i/>
          <w:lang w:val="es-ES_tradnl"/>
        </w:rPr>
        <w:t xml:space="preserve">. </w:t>
      </w:r>
    </w:p>
    <w:p w14:paraId="7BA865EE" w14:textId="0819C1FB" w:rsidR="00063961" w:rsidRPr="00430F63" w:rsidRDefault="00063961" w:rsidP="00063961">
      <w:pPr>
        <w:spacing w:after="240"/>
        <w:ind w:firstLine="709"/>
        <w:jc w:val="both"/>
        <w:rPr>
          <w:rFonts w:ascii="Arial" w:hAnsi="Arial" w:cs="Arial"/>
          <w:iCs/>
          <w:lang w:val="es-ES_tradnl"/>
        </w:rPr>
      </w:pPr>
      <w:r w:rsidRPr="00430F63">
        <w:rPr>
          <w:rFonts w:ascii="Arial" w:hAnsi="Arial" w:cs="Arial"/>
          <w:iCs/>
          <w:lang w:val="es-ES_tradnl"/>
        </w:rPr>
        <w:t xml:space="preserve">Por su parte, el artículo 17 de la Ley 1150 de 2007, además de autorizar la imposición unilateral de multas, también precisa que la declaración de incumplimiento tiene como propósito </w:t>
      </w:r>
      <w:r w:rsidR="00082820">
        <w:rPr>
          <w:rFonts w:ascii="Arial" w:hAnsi="Arial" w:cs="Arial"/>
          <w:i/>
          <w:lang w:val="es-ES_tradnl"/>
        </w:rPr>
        <w:t>“</w:t>
      </w:r>
      <w:r w:rsidRPr="00430F63">
        <w:rPr>
          <w:rFonts w:ascii="Arial" w:hAnsi="Arial" w:cs="Arial"/>
          <w:i/>
          <w:lang w:val="es-ES_tradnl"/>
        </w:rPr>
        <w:t>hacer efectiva la cláusula penal pecuniaria incluida en el contrato</w:t>
      </w:r>
      <w:r w:rsidR="00082820">
        <w:rPr>
          <w:rFonts w:ascii="Arial" w:hAnsi="Arial" w:cs="Arial"/>
          <w:i/>
          <w:lang w:val="es-ES_tradnl"/>
        </w:rPr>
        <w:t>”</w:t>
      </w:r>
      <w:r w:rsidRPr="00430F63">
        <w:rPr>
          <w:rFonts w:ascii="Arial" w:hAnsi="Arial" w:cs="Arial"/>
          <w:i/>
          <w:lang w:val="es-ES_tradnl"/>
        </w:rPr>
        <w:t>.</w:t>
      </w:r>
      <w:r w:rsidRPr="00430F63">
        <w:rPr>
          <w:rFonts w:ascii="Arial" w:hAnsi="Arial" w:cs="Arial"/>
          <w:iCs/>
          <w:lang w:val="es-ES_tradnl"/>
        </w:rPr>
        <w:t xml:space="preserve"> </w:t>
      </w:r>
    </w:p>
    <w:p w14:paraId="065B481C" w14:textId="5486CC9B" w:rsidR="00063961" w:rsidRPr="00430F63" w:rsidRDefault="00063961" w:rsidP="00063961">
      <w:pPr>
        <w:spacing w:after="240"/>
        <w:ind w:firstLine="709"/>
        <w:jc w:val="both"/>
        <w:rPr>
          <w:rFonts w:ascii="Arial" w:hAnsi="Arial" w:cs="Arial"/>
          <w:iCs/>
          <w:lang w:val="es-ES_tradnl"/>
        </w:rPr>
      </w:pPr>
      <w:r w:rsidRPr="006E54F9">
        <w:rPr>
          <w:rFonts w:ascii="Arial" w:hAnsi="Arial" w:cs="Arial"/>
          <w:iCs/>
          <w:highlight w:val="yellow"/>
          <w:lang w:val="es-ES_tradnl"/>
        </w:rPr>
        <w:t>En este punto, conviene resaltar lo dicho por la Sección Tercera del Consejo de Estado</w:t>
      </w:r>
      <w:r w:rsidRPr="006E54F9">
        <w:rPr>
          <w:rFonts w:ascii="Arial" w:hAnsi="Arial" w:cs="Arial"/>
          <w:highlight w:val="yellow"/>
          <w:vertAlign w:val="superscript"/>
        </w:rPr>
        <w:footnoteReference w:id="8"/>
      </w:r>
      <w:r w:rsidRPr="006E54F9">
        <w:rPr>
          <w:rFonts w:ascii="Arial" w:hAnsi="Arial" w:cs="Arial"/>
          <w:iCs/>
          <w:highlight w:val="yellow"/>
          <w:lang w:val="es-ES_tradnl"/>
        </w:rPr>
        <w:t xml:space="preserve">, en relación con </w:t>
      </w:r>
      <w:r w:rsidRPr="006E54F9">
        <w:rPr>
          <w:rFonts w:ascii="Arial" w:hAnsi="Arial" w:cs="Arial"/>
          <w:iCs/>
          <w:highlight w:val="yellow"/>
          <w:u w:val="single"/>
          <w:lang w:val="es-ES_tradnl"/>
        </w:rPr>
        <w:t>las diferencias entre las multas y la cláusula penal</w:t>
      </w:r>
      <w:r w:rsidRPr="006E54F9">
        <w:rPr>
          <w:rFonts w:ascii="Arial" w:hAnsi="Arial" w:cs="Arial"/>
          <w:iCs/>
          <w:highlight w:val="yellow"/>
          <w:lang w:val="es-ES_tradnl"/>
        </w:rPr>
        <w:t xml:space="preserve">, en el sentido de que, </w:t>
      </w:r>
      <w:r w:rsidR="00082820" w:rsidRPr="006E54F9">
        <w:rPr>
          <w:rFonts w:ascii="Arial" w:hAnsi="Arial" w:cs="Arial"/>
          <w:i/>
          <w:highlight w:val="yellow"/>
          <w:lang w:val="es-ES_tradnl"/>
        </w:rPr>
        <w:t>“</w:t>
      </w:r>
      <w:r w:rsidRPr="006E54F9">
        <w:rPr>
          <w:rFonts w:ascii="Arial" w:hAnsi="Arial" w:cs="Arial"/>
          <w:i/>
          <w:highlight w:val="yellow"/>
          <w:lang w:val="es-ES_tradnl"/>
        </w:rPr>
        <w:t>[a]</w:t>
      </w:r>
      <w:proofErr w:type="spellStart"/>
      <w:r w:rsidRPr="006E54F9">
        <w:rPr>
          <w:rFonts w:ascii="Arial" w:hAnsi="Arial" w:cs="Arial"/>
          <w:i/>
          <w:highlight w:val="yellow"/>
          <w:lang w:val="es-ES_tradnl"/>
        </w:rPr>
        <w:t>unque</w:t>
      </w:r>
      <w:proofErr w:type="spellEnd"/>
      <w:r w:rsidRPr="006E54F9">
        <w:rPr>
          <w:rFonts w:ascii="Arial" w:hAnsi="Arial" w:cs="Arial"/>
          <w:i/>
          <w:highlight w:val="yellow"/>
          <w:lang w:val="es-ES_tradnl"/>
        </w:rPr>
        <w:t xml:space="preserve"> las multas y la cláusula penal pecuniaria tienen una finalidad común –en lo sustancial–, que se concreta en el logro de los objetivos propuestos en el contrato; se diferencian en que </w:t>
      </w:r>
      <w:r w:rsidRPr="006E54F9">
        <w:rPr>
          <w:rFonts w:ascii="Arial" w:hAnsi="Arial" w:cs="Arial"/>
          <w:i/>
          <w:highlight w:val="yellow"/>
          <w:u w:val="single"/>
          <w:lang w:val="es-ES_tradnl"/>
        </w:rPr>
        <w:t>la multa</w:t>
      </w:r>
      <w:r w:rsidRPr="006E54F9">
        <w:rPr>
          <w:rFonts w:ascii="Arial" w:hAnsi="Arial" w:cs="Arial"/>
          <w:i/>
          <w:highlight w:val="yellow"/>
          <w:lang w:val="es-ES_tradnl"/>
        </w:rPr>
        <w:t xml:space="preserve"> por regla general </w:t>
      </w:r>
      <w:r w:rsidRPr="006E54F9">
        <w:rPr>
          <w:rFonts w:ascii="Arial" w:hAnsi="Arial" w:cs="Arial"/>
          <w:i/>
          <w:highlight w:val="yellow"/>
          <w:u w:val="single"/>
          <w:lang w:val="es-ES_tradnl"/>
        </w:rPr>
        <w:t xml:space="preserve">es conminatoria del cumplimiento de las obligaciones en razón al acaecimiento de </w:t>
      </w:r>
      <w:r w:rsidRPr="006E54F9">
        <w:rPr>
          <w:rFonts w:ascii="Arial" w:hAnsi="Arial" w:cs="Arial"/>
          <w:i/>
          <w:highlight w:val="yellow"/>
          <w:u w:val="single"/>
          <w:lang w:val="es-ES_tradnl"/>
        </w:rPr>
        <w:lastRenderedPageBreak/>
        <w:t>incumplimientos parciales</w:t>
      </w:r>
      <w:r w:rsidRPr="006E54F9">
        <w:rPr>
          <w:rFonts w:ascii="Arial" w:hAnsi="Arial" w:cs="Arial"/>
          <w:i/>
          <w:highlight w:val="yellow"/>
          <w:lang w:val="es-ES_tradnl"/>
        </w:rPr>
        <w:t xml:space="preserve">; </w:t>
      </w:r>
      <w:r w:rsidRPr="006E54F9">
        <w:rPr>
          <w:rFonts w:ascii="Arial" w:hAnsi="Arial" w:cs="Arial"/>
          <w:i/>
          <w:highlight w:val="yellow"/>
          <w:u w:val="single"/>
          <w:lang w:val="es-ES_tradnl"/>
        </w:rPr>
        <w:t>la cláusula penal</w:t>
      </w:r>
      <w:r w:rsidRPr="006E54F9">
        <w:rPr>
          <w:rFonts w:ascii="Arial" w:hAnsi="Arial" w:cs="Arial"/>
          <w:i/>
          <w:highlight w:val="yellow"/>
          <w:lang w:val="es-ES_tradnl"/>
        </w:rPr>
        <w:t xml:space="preserve"> constituye en principio una tasación anticipada de perjuicios, a raíz de la declaratoria de caducidad o del </w:t>
      </w:r>
      <w:r w:rsidRPr="006E54F9">
        <w:rPr>
          <w:rFonts w:ascii="Arial" w:hAnsi="Arial" w:cs="Arial"/>
          <w:i/>
          <w:highlight w:val="yellow"/>
          <w:u w:val="single"/>
          <w:lang w:val="es-ES_tradnl"/>
        </w:rPr>
        <w:t>incumplimiento definitivo del contrato</w:t>
      </w:r>
      <w:r w:rsidR="00082820">
        <w:rPr>
          <w:rFonts w:ascii="Arial" w:hAnsi="Arial" w:cs="Arial"/>
          <w:i/>
          <w:lang w:val="es-ES_tradnl"/>
        </w:rPr>
        <w:t>”</w:t>
      </w:r>
      <w:r w:rsidRPr="00430F63">
        <w:rPr>
          <w:rFonts w:ascii="Arial" w:hAnsi="Arial" w:cs="Arial"/>
          <w:vertAlign w:val="superscript"/>
        </w:rPr>
        <w:footnoteReference w:id="9"/>
      </w:r>
      <w:r w:rsidRPr="00430F63">
        <w:rPr>
          <w:rFonts w:ascii="Arial" w:hAnsi="Arial" w:cs="Arial"/>
          <w:iCs/>
          <w:lang w:val="es-ES_tradnl"/>
        </w:rPr>
        <w:t xml:space="preserve">. </w:t>
      </w:r>
    </w:p>
    <w:p w14:paraId="76EA1C55" w14:textId="77777777" w:rsidR="00063961" w:rsidRPr="00430F63" w:rsidRDefault="00063961" w:rsidP="00063961">
      <w:pPr>
        <w:spacing w:after="120" w:line="276" w:lineRule="auto"/>
        <w:ind w:firstLine="708"/>
        <w:jc w:val="both"/>
        <w:rPr>
          <w:rFonts w:ascii="Arial" w:eastAsia="Calibri" w:hAnsi="Arial" w:cs="Arial"/>
          <w:color w:val="000000" w:themeColor="text1"/>
        </w:rPr>
      </w:pPr>
      <w:r w:rsidRPr="00430F63">
        <w:rPr>
          <w:rFonts w:ascii="Arial" w:eastAsia="Calibri" w:hAnsi="Arial" w:cs="Arial"/>
          <w:color w:val="000000" w:themeColor="text1"/>
          <w:lang w:val="es-ES_tradnl"/>
        </w:rPr>
        <w:t xml:space="preserve">Por lo tanto, </w:t>
      </w:r>
      <w:r w:rsidRPr="00430F63">
        <w:rPr>
          <w:rFonts w:ascii="Arial" w:eastAsia="Calibri" w:hAnsi="Arial" w:cs="Arial"/>
          <w:color w:val="000000" w:themeColor="text1"/>
        </w:rPr>
        <w:t>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en los eventos en los que se configure un incumplimiento contractual del deudor.</w:t>
      </w:r>
    </w:p>
    <w:p w14:paraId="0E4DD1A2" w14:textId="644BDEFB" w:rsidR="00063961" w:rsidRPr="00430F63" w:rsidRDefault="00063961" w:rsidP="00063961">
      <w:pPr>
        <w:spacing w:after="120" w:line="276" w:lineRule="auto"/>
        <w:ind w:firstLine="709"/>
        <w:jc w:val="both"/>
        <w:rPr>
          <w:rFonts w:ascii="Arial" w:eastAsia="Calibri" w:hAnsi="Arial" w:cs="Arial"/>
          <w:color w:val="000000" w:themeColor="text1"/>
        </w:rPr>
      </w:pPr>
      <w:r w:rsidRPr="00430F63">
        <w:rPr>
          <w:rFonts w:ascii="Arial" w:eastAsia="Calibri" w:hAnsi="Arial" w:cs="Arial"/>
          <w:color w:val="000000" w:themeColor="text1"/>
        </w:rPr>
        <w:t xml:space="preserve">En efecto, el artículo 1592 del Código Civil establece que </w:t>
      </w:r>
      <w:r w:rsidR="00082820">
        <w:rPr>
          <w:rFonts w:ascii="Arial" w:eastAsia="Calibri" w:hAnsi="Arial" w:cs="Arial"/>
          <w:color w:val="000000" w:themeColor="text1"/>
        </w:rPr>
        <w:t>“</w:t>
      </w:r>
      <w:r w:rsidRPr="00430F63">
        <w:rPr>
          <w:rFonts w:ascii="Arial" w:eastAsia="Calibri" w:hAnsi="Arial" w:cs="Arial"/>
          <w:color w:val="000000" w:themeColor="text1"/>
        </w:rPr>
        <w:t>[l]a cláusula penal es aquella en que una persona, para asegurar el cumplimiento de una obligación, se sujeta a una pena que consiste en dar o hacer algo en caso de no ejecutar o retardar la obligación principal</w:t>
      </w:r>
      <w:r w:rsidR="00082820">
        <w:rPr>
          <w:rFonts w:ascii="Arial" w:eastAsia="Calibri" w:hAnsi="Arial" w:cs="Arial"/>
          <w:color w:val="000000" w:themeColor="text1"/>
        </w:rPr>
        <w:t>”</w:t>
      </w:r>
      <w:r w:rsidRPr="00430F63">
        <w:rPr>
          <w:rFonts w:ascii="Arial" w:eastAsia="Calibri" w:hAnsi="Arial" w:cs="Arial"/>
          <w:color w:val="000000" w:themeColor="text1"/>
        </w:rPr>
        <w:t xml:space="preserve">. Por su parte, el artículo 867 del Código de Comercio, dispone que </w:t>
      </w:r>
      <w:r w:rsidR="00082820">
        <w:rPr>
          <w:rFonts w:ascii="Arial" w:eastAsia="Calibri" w:hAnsi="Arial" w:cs="Arial"/>
          <w:color w:val="000000" w:themeColor="text1"/>
        </w:rPr>
        <w:t>“</w:t>
      </w:r>
      <w:r w:rsidRPr="00430F63">
        <w:rPr>
          <w:rFonts w:ascii="Arial" w:eastAsia="Calibri" w:hAnsi="Arial" w:cs="Arial"/>
          <w:color w:val="000000" w:themeColor="text1"/>
        </w:rPr>
        <w:t>[c]</w:t>
      </w:r>
      <w:proofErr w:type="spellStart"/>
      <w:r w:rsidRPr="00430F63">
        <w:rPr>
          <w:rFonts w:ascii="Arial" w:eastAsia="Calibri" w:hAnsi="Arial" w:cs="Arial"/>
          <w:color w:val="000000" w:themeColor="text1"/>
        </w:rPr>
        <w:t>uando</w:t>
      </w:r>
      <w:proofErr w:type="spellEnd"/>
      <w:r w:rsidRPr="00430F63">
        <w:rPr>
          <w:rFonts w:ascii="Arial" w:eastAsia="Calibri" w:hAnsi="Arial" w:cs="Arial"/>
          <w:color w:val="000000" w:themeColor="text1"/>
        </w:rPr>
        <w:t xml:space="preserve"> se estipule el pago de una prestación determinada para el caso de incumplimiento, o de mora, se entenderá que las partes no pueden retractarse […]</w:t>
      </w:r>
      <w:r w:rsidR="00082820">
        <w:rPr>
          <w:rFonts w:ascii="Arial" w:eastAsia="Calibri" w:hAnsi="Arial" w:cs="Arial"/>
          <w:color w:val="000000" w:themeColor="text1"/>
        </w:rPr>
        <w:t>”</w:t>
      </w:r>
      <w:r w:rsidRPr="00430F63">
        <w:rPr>
          <w:rFonts w:ascii="Arial" w:eastAsia="Calibri" w:hAnsi="Arial" w:cs="Arial"/>
          <w:color w:val="000000" w:themeColor="text1"/>
        </w:rPr>
        <w:t>.</w:t>
      </w:r>
    </w:p>
    <w:p w14:paraId="5A6FE4EE" w14:textId="77777777" w:rsidR="00063961" w:rsidRPr="00430F63" w:rsidRDefault="00063961" w:rsidP="00063961">
      <w:pPr>
        <w:spacing w:line="276" w:lineRule="auto"/>
        <w:ind w:firstLine="708"/>
        <w:jc w:val="both"/>
        <w:rPr>
          <w:rFonts w:ascii="Arial" w:eastAsia="Calibri" w:hAnsi="Arial" w:cs="Arial"/>
          <w:color w:val="000000" w:themeColor="text1"/>
        </w:rPr>
      </w:pPr>
      <w:r w:rsidRPr="00430F63">
        <w:rPr>
          <w:rFonts w:ascii="Arial" w:eastAsia="Calibri" w:hAnsi="Arial" w:cs="Arial"/>
          <w:color w:val="000000" w:themeColor="text1"/>
        </w:rPr>
        <w:t xml:space="preserve">Así, se ha entendido que la cláusula penal puede cumplir varias funciones, a saber: </w:t>
      </w:r>
      <w:r w:rsidRPr="00430F63">
        <w:rPr>
          <w:rFonts w:ascii="Arial" w:eastAsia="Calibri" w:hAnsi="Arial" w:cs="Arial"/>
          <w:i/>
          <w:iCs/>
          <w:color w:val="000000" w:themeColor="text1"/>
        </w:rPr>
        <w:t>i)</w:t>
      </w:r>
      <w:r w:rsidRPr="00430F63">
        <w:rPr>
          <w:rFonts w:ascii="Arial" w:eastAsia="Calibri" w:hAnsi="Arial" w:cs="Arial"/>
          <w:color w:val="000000" w:themeColor="text1"/>
        </w:rPr>
        <w:t xml:space="preserve"> estimación anticipada de perjuicios; </w:t>
      </w:r>
      <w:r w:rsidRPr="00430F63">
        <w:rPr>
          <w:rFonts w:ascii="Arial" w:eastAsia="Calibri" w:hAnsi="Arial" w:cs="Arial"/>
          <w:i/>
          <w:iCs/>
          <w:color w:val="000000" w:themeColor="text1"/>
        </w:rPr>
        <w:t>ii)</w:t>
      </w:r>
      <w:r w:rsidRPr="00430F63">
        <w:rPr>
          <w:rFonts w:ascii="Arial" w:eastAsia="Calibri" w:hAnsi="Arial" w:cs="Arial"/>
          <w:color w:val="000000" w:themeColor="text1"/>
        </w:rPr>
        <w:t xml:space="preserve"> medio de apremio al deudor, y </w:t>
      </w:r>
      <w:proofErr w:type="spellStart"/>
      <w:r w:rsidRPr="00430F63">
        <w:rPr>
          <w:rFonts w:ascii="Arial" w:eastAsia="Calibri" w:hAnsi="Arial" w:cs="Arial"/>
          <w:i/>
          <w:iCs/>
          <w:color w:val="000000" w:themeColor="text1"/>
        </w:rPr>
        <w:t>iii</w:t>
      </w:r>
      <w:proofErr w:type="spellEnd"/>
      <w:r w:rsidRPr="00430F63">
        <w:rPr>
          <w:rFonts w:ascii="Arial" w:eastAsia="Calibri" w:hAnsi="Arial" w:cs="Arial"/>
          <w:i/>
          <w:iCs/>
          <w:color w:val="000000" w:themeColor="text1"/>
        </w:rPr>
        <w:t>)</w:t>
      </w:r>
      <w:r w:rsidRPr="00430F63">
        <w:rPr>
          <w:rFonts w:ascii="Arial" w:eastAsia="Calibri" w:hAnsi="Arial" w:cs="Arial"/>
          <w:color w:val="000000" w:themeColor="text1"/>
        </w:rPr>
        <w:t xml:space="preserve"> caución o garantía del cumplimiento de la obligación principal. La Sala de Casación Civil de la Corte Suprema de Justicia ratificó esta naturaleza polifuncional de la cláusula penal, en los siguientes términos: </w:t>
      </w:r>
    </w:p>
    <w:p w14:paraId="11AE5754" w14:textId="11136E5D" w:rsidR="00063961" w:rsidRPr="00430F63" w:rsidRDefault="00063961" w:rsidP="009C2150">
      <w:pPr>
        <w:spacing w:line="240" w:lineRule="auto"/>
        <w:ind w:left="709" w:right="709" w:firstLine="709"/>
        <w:jc w:val="both"/>
        <w:rPr>
          <w:rFonts w:ascii="Arial" w:eastAsia="Calibri" w:hAnsi="Arial" w:cs="Arial"/>
          <w:color w:val="000000" w:themeColor="text1"/>
        </w:rPr>
      </w:pPr>
      <w:r w:rsidRPr="00430F63">
        <w:rPr>
          <w:rFonts w:ascii="Arial" w:eastAsia="Calibri" w:hAnsi="Arial" w:cs="Arial"/>
          <w:color w:val="000000" w:themeColor="text1"/>
          <w:sz w:val="21"/>
          <w:szCs w:val="21"/>
        </w:rPr>
        <w:br/>
        <w:t xml:space="preserve">[E]n el ámbito de la dogmática jurídica civil, se denomina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cláusula penal</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xml:space="preserve"> al acuerdo de las partes sobre la estimación de los perjuicios compensatorios o moratorios, para el evento del incumplimiento del convenio o la mora en la satisfacción de las obligaciones derivadas del mismo, recibiendo en el primer caso el nombre de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cláusula penal compensatoria</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xml:space="preserve"> y en el segundo,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cláusula penal moratoria</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xml:space="preserve">; así mismo se reconoce, que cumple la función complementaria de apremiar al deudor para el adecuado cumplimiento de la prestación. En virtud de lo anterior, cabe señalar, que dicho pacto tiene el carácter de una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obligación accesoria</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xml:space="preserve">, en cuanto tiene por objeto asegurar el cumplimiento de otra obligación; igualmente, constituye una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obligación condicional</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xml:space="preserve">, porque la pena solo se debe ante el incumplimiento o retardo de la </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obligación principal</w:t>
      </w:r>
      <w:r w:rsidR="00082820">
        <w:rPr>
          <w:rFonts w:ascii="Arial" w:eastAsia="Calibri" w:hAnsi="Arial" w:cs="Arial"/>
          <w:color w:val="000000" w:themeColor="text1"/>
          <w:sz w:val="21"/>
          <w:szCs w:val="21"/>
        </w:rPr>
        <w:t>”</w:t>
      </w:r>
      <w:r w:rsidRPr="00430F63">
        <w:rPr>
          <w:rFonts w:ascii="Arial" w:eastAsia="Calibri" w:hAnsi="Arial" w:cs="Arial"/>
          <w:color w:val="000000" w:themeColor="text1"/>
          <w:sz w:val="21"/>
          <w:szCs w:val="21"/>
        </w:rPr>
        <w:t>; y también puede representar una liquidación convencional y anticipada de los perjuicios en caso de configurarse alguno de tales supuestos.</w:t>
      </w:r>
      <w:r w:rsidRPr="00430F63">
        <w:rPr>
          <w:rFonts w:ascii="Arial" w:eastAsia="Calibri" w:hAnsi="Arial" w:cs="Arial"/>
          <w:color w:val="000000" w:themeColor="text1"/>
          <w:sz w:val="21"/>
          <w:szCs w:val="21"/>
          <w:vertAlign w:val="superscript"/>
        </w:rPr>
        <w:footnoteReference w:id="10"/>
      </w:r>
    </w:p>
    <w:p w14:paraId="6858F553" w14:textId="77777777" w:rsidR="00063961" w:rsidRPr="00430F63" w:rsidRDefault="00063961" w:rsidP="00063961">
      <w:pPr>
        <w:spacing w:after="120" w:line="276" w:lineRule="auto"/>
        <w:ind w:firstLine="709"/>
        <w:jc w:val="both"/>
        <w:rPr>
          <w:rFonts w:ascii="Arial" w:eastAsia="Calibri" w:hAnsi="Arial" w:cs="Arial"/>
          <w:color w:val="000000" w:themeColor="text1"/>
        </w:rPr>
      </w:pPr>
      <w:r w:rsidRPr="00430F63">
        <w:rPr>
          <w:rFonts w:ascii="Arial" w:eastAsia="Calibri" w:hAnsi="Arial" w:cs="Arial"/>
          <w:color w:val="000000" w:themeColor="text1"/>
        </w:rPr>
        <w:t xml:space="preserve">Así pues, la cláusula penal en su modalidad de apremio tiene como propósito ejercer presión o amenaza sobre la voluntad del deudor, induciéndolo a cumplir la obligación principal por el temor de incurrir en aquella, es decir, se trata típicamente de la cláusula de multas en la que </w:t>
      </w:r>
      <w:r w:rsidRPr="006E7D61">
        <w:rPr>
          <w:rFonts w:ascii="Arial" w:eastAsia="Calibri" w:hAnsi="Arial" w:cs="Arial"/>
          <w:color w:val="000000" w:themeColor="text1"/>
          <w:u w:val="single"/>
        </w:rPr>
        <w:t>la pena no sustituye la obligación principal ni la indemnización compensatoria</w:t>
      </w:r>
      <w:r w:rsidRPr="00430F63">
        <w:rPr>
          <w:rFonts w:ascii="Arial" w:eastAsia="Calibri" w:hAnsi="Arial" w:cs="Arial"/>
          <w:color w:val="000000" w:themeColor="text1"/>
        </w:rPr>
        <w:t xml:space="preserve">, sino que </w:t>
      </w:r>
      <w:r w:rsidRPr="00430F63">
        <w:rPr>
          <w:rFonts w:ascii="Arial" w:eastAsia="Calibri" w:hAnsi="Arial" w:cs="Arial"/>
          <w:color w:val="000000" w:themeColor="text1"/>
        </w:rPr>
        <w:lastRenderedPageBreak/>
        <w:t xml:space="preserve">persigue compulsar al deudor al cumplimiento de la obligación en forma oportuna, efectiva e integra. </w:t>
      </w:r>
    </w:p>
    <w:p w14:paraId="37C859C1" w14:textId="50982143" w:rsidR="00063961" w:rsidRPr="00430F63" w:rsidRDefault="00063961" w:rsidP="00063961">
      <w:pPr>
        <w:spacing w:after="240"/>
        <w:ind w:firstLine="709"/>
        <w:jc w:val="both"/>
        <w:rPr>
          <w:rFonts w:ascii="Arial" w:eastAsia="Batang" w:hAnsi="Arial" w:cs="Arial"/>
          <w:i/>
          <w:iCs/>
          <w:lang w:eastAsia="es-ES"/>
        </w:rPr>
      </w:pPr>
      <w:r w:rsidRPr="00430F63">
        <w:rPr>
          <w:rFonts w:ascii="Arial" w:hAnsi="Arial" w:cs="Arial"/>
          <w:iCs/>
          <w:lang w:val="es-ES_tradnl"/>
        </w:rPr>
        <w:t xml:space="preserve">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w:t>
      </w:r>
      <w:r w:rsidR="00082820">
        <w:rPr>
          <w:rFonts w:ascii="Arial" w:hAnsi="Arial" w:cs="Arial"/>
          <w:iCs/>
          <w:lang w:val="es-ES_tradnl"/>
        </w:rPr>
        <w:t>“</w:t>
      </w:r>
      <w:r w:rsidRPr="00430F63">
        <w:rPr>
          <w:rFonts w:ascii="Arial" w:hAnsi="Arial" w:cs="Arial"/>
          <w:i/>
          <w:lang w:val="es-ES_tradnl"/>
        </w:rPr>
        <w:t>La cláusula penal pecuniaria se constituye en una tasación anticipada de perjuicios ocasionados por el incumplimiento del deudor de la obligación principal del contrato […]</w:t>
      </w:r>
      <w:r w:rsidR="00082820">
        <w:rPr>
          <w:rFonts w:ascii="Arial" w:hAnsi="Arial" w:cs="Arial"/>
          <w:i/>
          <w:lang w:val="es-ES_tradnl"/>
        </w:rPr>
        <w:t>”</w:t>
      </w:r>
      <w:r w:rsidRPr="00430F63">
        <w:rPr>
          <w:rStyle w:val="Refdenotaalpie"/>
          <w:rFonts w:ascii="Arial" w:hAnsi="Arial" w:cs="Arial"/>
          <w:i/>
          <w:lang w:val="es-ES_tradnl"/>
        </w:rPr>
        <w:footnoteReference w:id="11"/>
      </w:r>
      <w:r w:rsidRPr="00430F63">
        <w:rPr>
          <w:rFonts w:ascii="Arial" w:hAnsi="Arial" w:cs="Arial"/>
          <w:i/>
          <w:lang w:val="es-ES_tradnl"/>
        </w:rPr>
        <w:t>.</w:t>
      </w:r>
      <w:r w:rsidRPr="00430F63">
        <w:rPr>
          <w:rFonts w:ascii="Arial" w:hAnsi="Arial" w:cs="Arial"/>
          <w:iCs/>
          <w:lang w:val="es-ES_tradnl"/>
        </w:rPr>
        <w:t xml:space="preserve"> </w:t>
      </w:r>
      <w:r w:rsidRPr="00430F63">
        <w:rPr>
          <w:rFonts w:ascii="Arial" w:hAnsi="Arial" w:cs="Arial"/>
          <w:lang w:val="es-ES" w:eastAsia="x-none"/>
        </w:rPr>
        <w:t>Asimismo, El Consejo de Estado plantea que:</w:t>
      </w:r>
      <w:r w:rsidRPr="00430F63">
        <w:rPr>
          <w:rFonts w:ascii="Arial" w:hAnsi="Arial" w:cs="Arial"/>
          <w:iCs/>
          <w:lang w:val="es-ES_tradnl"/>
        </w:rPr>
        <w:t xml:space="preserve"> </w:t>
      </w:r>
      <w:r w:rsidR="00082820">
        <w:rPr>
          <w:rFonts w:ascii="Arial" w:hAnsi="Arial" w:cs="Arial"/>
          <w:iCs/>
          <w:lang w:val="es-ES_tradnl"/>
        </w:rPr>
        <w:t>“</w:t>
      </w:r>
      <w:r w:rsidRPr="00430F63">
        <w:rPr>
          <w:rFonts w:ascii="Arial" w:eastAsia="Batang" w:hAnsi="Arial" w:cs="Arial"/>
          <w:i/>
          <w:iCs/>
          <w:lang w:eastAsia="es-ES"/>
        </w:rPr>
        <w:t xml:space="preserve">Con la imposición y ejecución de la cláusula penal se penaliza al contratista, por el incumplimiento grave del contrato, constituyendo una verdadera indemnización, </w:t>
      </w:r>
      <w:proofErr w:type="gramStart"/>
      <w:r w:rsidRPr="00430F63">
        <w:rPr>
          <w:rFonts w:ascii="Arial" w:eastAsia="Batang" w:hAnsi="Arial" w:cs="Arial"/>
          <w:i/>
          <w:iCs/>
          <w:lang w:eastAsia="es-ES"/>
        </w:rPr>
        <w:t>que</w:t>
      </w:r>
      <w:proofErr w:type="gramEnd"/>
      <w:r w:rsidRPr="00430F63">
        <w:rPr>
          <w:rFonts w:ascii="Arial" w:eastAsia="Batang" w:hAnsi="Arial" w:cs="Arial"/>
          <w:i/>
          <w:iCs/>
          <w:lang w:eastAsia="es-ES"/>
        </w:rPr>
        <w:t xml:space="preserve"> aunque parcial es definitiva, pues con ella se resarcen los perjuicios, o parte de ellos, a favor de la parte que ha cumplido el negocio</w:t>
      </w:r>
      <w:r w:rsidR="00082820">
        <w:rPr>
          <w:rFonts w:ascii="Arial" w:hAnsi="Arial" w:cs="Arial"/>
          <w:i/>
          <w:iCs/>
          <w:lang w:val="es-ES_tradnl"/>
        </w:rPr>
        <w:t>”</w:t>
      </w:r>
      <w:r w:rsidRPr="00430F63">
        <w:rPr>
          <w:rFonts w:ascii="Arial" w:eastAsia="Batang" w:hAnsi="Arial" w:cs="Arial"/>
          <w:i/>
          <w:iCs/>
          <w:vertAlign w:val="superscript"/>
          <w:lang w:eastAsia="es-ES"/>
        </w:rPr>
        <w:footnoteReference w:id="12"/>
      </w:r>
      <w:r w:rsidRPr="00430F63">
        <w:rPr>
          <w:rFonts w:ascii="Arial" w:eastAsia="Batang" w:hAnsi="Arial" w:cs="Arial"/>
          <w:i/>
          <w:iCs/>
          <w:lang w:eastAsia="es-ES"/>
        </w:rPr>
        <w:t>.</w:t>
      </w:r>
    </w:p>
    <w:p w14:paraId="1C280A78" w14:textId="77777777" w:rsidR="00063961" w:rsidRPr="00430F63" w:rsidRDefault="00063961" w:rsidP="00063961">
      <w:pPr>
        <w:spacing w:line="276" w:lineRule="auto"/>
        <w:jc w:val="both"/>
        <w:rPr>
          <w:rFonts w:ascii="Arial" w:hAnsi="Arial" w:cs="Arial"/>
          <w:b/>
          <w:bCs/>
          <w:iCs/>
          <w:color w:val="000000" w:themeColor="text1"/>
          <w:lang w:val="es-ES_tradnl"/>
        </w:rPr>
      </w:pPr>
      <w:r w:rsidRPr="00430F63">
        <w:rPr>
          <w:rFonts w:ascii="Arial" w:hAnsi="Arial" w:cs="Arial"/>
          <w:b/>
          <w:bCs/>
        </w:rPr>
        <w:t>2.2.</w:t>
      </w:r>
      <w:r w:rsidRPr="00430F63">
        <w:rPr>
          <w:rFonts w:ascii="Arial" w:hAnsi="Arial" w:cs="Arial"/>
        </w:rPr>
        <w:t xml:space="preserve"> </w:t>
      </w:r>
      <w:r w:rsidRPr="00430F63">
        <w:rPr>
          <w:rFonts w:ascii="Arial" w:hAnsi="Arial" w:cs="Arial"/>
          <w:b/>
          <w:bCs/>
          <w:iCs/>
          <w:color w:val="000000" w:themeColor="text1"/>
          <w:lang w:val="es-ES_tradnl"/>
        </w:rPr>
        <w:t xml:space="preserve">Procedimiento administrativo sancionatorio contractual. Artículo 86 de la Ley 1474 de 2011. Proporcionalidad y razonabilidad en la aplicación de la Cláusula penal y la tasación de perjuicios. </w:t>
      </w:r>
    </w:p>
    <w:p w14:paraId="472670C4" w14:textId="1169F819" w:rsidR="00063961" w:rsidRPr="00430F63" w:rsidRDefault="00063961" w:rsidP="00063961">
      <w:pPr>
        <w:spacing w:after="120" w:line="276" w:lineRule="auto"/>
        <w:jc w:val="both"/>
        <w:rPr>
          <w:rFonts w:ascii="Arial" w:hAnsi="Arial" w:cs="Arial"/>
          <w:iCs/>
          <w:color w:val="000000" w:themeColor="text1"/>
          <w:lang w:val="es-ES_tradnl"/>
        </w:rPr>
      </w:pPr>
      <w:r w:rsidRPr="00430F63">
        <w:rPr>
          <w:rFonts w:ascii="Arial" w:hAnsi="Arial" w:cs="Arial"/>
          <w:iCs/>
          <w:color w:val="000000" w:themeColor="text1"/>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w:t>
      </w:r>
      <w:r w:rsidR="00082820">
        <w:rPr>
          <w:rFonts w:ascii="Arial" w:hAnsi="Arial" w:cs="Arial"/>
          <w:iCs/>
          <w:color w:val="000000" w:themeColor="text1"/>
          <w:lang w:val="es-ES_tradnl"/>
        </w:rPr>
        <w:t>“</w:t>
      </w:r>
      <w:r w:rsidRPr="00430F63">
        <w:rPr>
          <w:rFonts w:ascii="Arial" w:hAnsi="Arial" w:cs="Arial"/>
          <w:iCs/>
          <w:color w:val="000000" w:themeColor="text1"/>
          <w:lang w:val="es-ES_tradnl"/>
        </w:rPr>
        <w:t>entidades sometidas al Estatuto General de Contratación de la Administración Pública podrán declarar el incumplimiento […]. Para tal efecto observarán el siguiente procedimiento</w:t>
      </w:r>
      <w:r w:rsidR="00082820">
        <w:rPr>
          <w:rFonts w:ascii="Arial" w:hAnsi="Arial" w:cs="Arial"/>
          <w:iCs/>
          <w:color w:val="000000" w:themeColor="text1"/>
          <w:lang w:val="es-ES_tradnl"/>
        </w:rPr>
        <w:t>”</w:t>
      </w:r>
      <w:r w:rsidRPr="00430F63">
        <w:rPr>
          <w:rFonts w:ascii="Arial" w:hAnsi="Arial" w:cs="Arial"/>
          <w:iCs/>
          <w:color w:val="000000" w:themeColor="text1"/>
          <w:lang w:val="es-ES_tradnl"/>
        </w:rPr>
        <w:t xml:space="preserve">. </w:t>
      </w:r>
    </w:p>
    <w:p w14:paraId="28C0DA82" w14:textId="54A3AA0D" w:rsidR="00063961" w:rsidRPr="00430F63" w:rsidRDefault="00063961" w:rsidP="00063961">
      <w:pPr>
        <w:spacing w:after="120" w:line="276" w:lineRule="auto"/>
        <w:ind w:firstLine="709"/>
        <w:jc w:val="both"/>
        <w:rPr>
          <w:rFonts w:ascii="Arial" w:hAnsi="Arial" w:cs="Arial"/>
          <w:iCs/>
          <w:color w:val="000000" w:themeColor="text1"/>
          <w:lang w:val="es-ES_tradnl"/>
        </w:rPr>
      </w:pPr>
      <w:r w:rsidRPr="00430F63">
        <w:rPr>
          <w:rFonts w:ascii="Arial" w:hAnsi="Arial" w:cs="Arial"/>
          <w:iCs/>
          <w:color w:val="000000" w:themeColor="text1"/>
          <w:lang w:val="es-ES_tradnl"/>
        </w:rPr>
        <w:t xml:space="preserve">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w:t>
      </w:r>
      <w:r w:rsidR="00082820">
        <w:rPr>
          <w:rFonts w:ascii="Arial" w:hAnsi="Arial" w:cs="Arial"/>
          <w:iCs/>
          <w:color w:val="000000" w:themeColor="text1"/>
          <w:lang w:val="es-ES_tradnl"/>
        </w:rPr>
        <w:t>“</w:t>
      </w:r>
      <w:r w:rsidRPr="00430F63">
        <w:rPr>
          <w:rFonts w:ascii="Arial" w:hAnsi="Arial" w:cs="Arial"/>
          <w:iCs/>
          <w:color w:val="000000" w:themeColor="text1"/>
          <w:lang w:val="es-ES_tradnl"/>
        </w:rPr>
        <w:t>principio general de interpretación jurídica según el cual donde la norma no distingue, no le corresponde distinguir al intérprete</w:t>
      </w:r>
      <w:r w:rsidR="00082820">
        <w:rPr>
          <w:rFonts w:ascii="Arial" w:hAnsi="Arial" w:cs="Arial"/>
          <w:iCs/>
          <w:color w:val="000000" w:themeColor="text1"/>
          <w:lang w:val="es-ES_tradnl"/>
        </w:rPr>
        <w:t>”</w:t>
      </w:r>
      <w:r w:rsidRPr="00430F63">
        <w:rPr>
          <w:rFonts w:ascii="Arial" w:hAnsi="Arial" w:cs="Arial"/>
          <w:vertAlign w:val="superscript"/>
          <w:lang w:val="es-ES_tradnl"/>
        </w:rPr>
        <w:footnoteReference w:id="13"/>
      </w:r>
      <w:r w:rsidRPr="00430F63">
        <w:rPr>
          <w:rFonts w:ascii="Arial" w:hAnsi="Arial" w:cs="Arial"/>
          <w:iCs/>
          <w:color w:val="000000" w:themeColor="text1"/>
          <w:lang w:val="es-ES_tradnl"/>
        </w:rPr>
        <w:t xml:space="preserve">. A la misma conclusión se llega si se tiene en consideración la necesidad de respetar el debido proceso en </w:t>
      </w:r>
      <w:r w:rsidR="00082820">
        <w:rPr>
          <w:rFonts w:ascii="Arial" w:hAnsi="Arial" w:cs="Arial"/>
          <w:iCs/>
          <w:color w:val="000000" w:themeColor="text1"/>
          <w:lang w:val="es-ES_tradnl"/>
        </w:rPr>
        <w:t>“</w:t>
      </w:r>
      <w:r w:rsidRPr="00430F63">
        <w:rPr>
          <w:rFonts w:ascii="Arial" w:hAnsi="Arial" w:cs="Arial"/>
          <w:iCs/>
          <w:color w:val="000000" w:themeColor="text1"/>
          <w:lang w:val="es-ES_tradnl"/>
        </w:rPr>
        <w:t>todas las actuaciones administrativas</w:t>
      </w:r>
      <w:r w:rsidR="00082820">
        <w:rPr>
          <w:rFonts w:ascii="Arial" w:hAnsi="Arial" w:cs="Arial"/>
          <w:iCs/>
          <w:color w:val="000000" w:themeColor="text1"/>
          <w:lang w:val="es-ES_tradnl"/>
        </w:rPr>
        <w:t>”</w:t>
      </w:r>
      <w:r w:rsidRPr="00430F63">
        <w:rPr>
          <w:rFonts w:ascii="Arial" w:hAnsi="Arial" w:cs="Arial"/>
          <w:iCs/>
          <w:color w:val="000000" w:themeColor="text1"/>
          <w:lang w:val="es-ES_tradnl"/>
        </w:rPr>
        <w:t xml:space="preserve"> como lo ordena el artículo 29 superior. </w:t>
      </w:r>
    </w:p>
    <w:p w14:paraId="098B75C3" w14:textId="77777777" w:rsidR="00063961" w:rsidRPr="00430F63" w:rsidRDefault="00063961" w:rsidP="00063961">
      <w:pPr>
        <w:spacing w:after="120" w:line="276" w:lineRule="auto"/>
        <w:ind w:firstLine="709"/>
        <w:jc w:val="both"/>
        <w:rPr>
          <w:rFonts w:ascii="Arial" w:hAnsi="Arial" w:cs="Arial"/>
          <w:iCs/>
          <w:color w:val="000000" w:themeColor="text1"/>
          <w:lang w:val="es-ES_tradnl"/>
        </w:rPr>
      </w:pPr>
      <w:r w:rsidRPr="00430F63">
        <w:rPr>
          <w:rFonts w:ascii="Arial" w:hAnsi="Arial" w:cs="Arial"/>
          <w:iCs/>
          <w:color w:val="000000" w:themeColor="text1"/>
          <w:lang w:val="es-ES_tradnl"/>
        </w:rPr>
        <w:t>De conformidad con lo anterior, el artículo 86 de la Ley 1474 de 2011 establece las etapas del procedimiento que se deben seguir, las cuales se sintetizan, de forma esquemática, así:  i) c</w:t>
      </w:r>
      <w:r w:rsidRPr="00430F63">
        <w:rPr>
          <w:rFonts w:ascii="Arial" w:hAnsi="Arial" w:cs="Arial"/>
          <w:i/>
          <w:iCs/>
          <w:color w:val="000000" w:themeColor="text1"/>
          <w:lang w:val="es-ES_tradnl"/>
        </w:rPr>
        <w:t>itación a audiencia</w:t>
      </w:r>
      <w:r w:rsidRPr="00430F63">
        <w:rPr>
          <w:rFonts w:ascii="Arial" w:hAnsi="Arial" w:cs="Arial"/>
          <w:iCs/>
          <w:color w:val="000000" w:themeColor="text1"/>
          <w:lang w:val="es-ES_tradnl"/>
        </w:rPr>
        <w:t xml:space="preserve">. Es necesario remitir una citación a audiencia al contratista y al garante –cuando proceda–, cuyo contenido de señalará más adelante. ii) </w:t>
      </w:r>
      <w:r w:rsidRPr="00430F63">
        <w:rPr>
          <w:rFonts w:ascii="Arial" w:hAnsi="Arial" w:cs="Arial"/>
          <w:i/>
          <w:iCs/>
          <w:color w:val="000000" w:themeColor="text1"/>
          <w:lang w:val="es-ES_tradnl"/>
        </w:rPr>
        <w:t>Audiencia</w:t>
      </w:r>
      <w:r w:rsidRPr="00430F63">
        <w:rPr>
          <w:rFonts w:ascii="Arial" w:hAnsi="Arial" w:cs="Arial"/>
          <w:iCs/>
          <w:color w:val="000000" w:themeColor="text1"/>
          <w:lang w:val="es-ES_tradnl"/>
        </w:rPr>
        <w:t xml:space="preserve">. En la diligencia </w:t>
      </w:r>
      <w:r w:rsidRPr="00430F63">
        <w:rPr>
          <w:rFonts w:ascii="Arial" w:hAnsi="Arial" w:cs="Arial"/>
          <w:iCs/>
          <w:color w:val="000000" w:themeColor="text1"/>
          <w:lang w:val="es-ES_tradnl"/>
        </w:rPr>
        <w:lastRenderedPageBreak/>
        <w:t xml:space="preserve">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430F63">
        <w:rPr>
          <w:rFonts w:ascii="Arial" w:hAnsi="Arial" w:cs="Arial"/>
          <w:iCs/>
          <w:color w:val="000000" w:themeColor="text1"/>
          <w:lang w:val="es-ES_tradnl"/>
        </w:rPr>
        <w:t>iii</w:t>
      </w:r>
      <w:proofErr w:type="spellEnd"/>
      <w:r w:rsidRPr="00430F63">
        <w:rPr>
          <w:rFonts w:ascii="Arial" w:hAnsi="Arial" w:cs="Arial"/>
          <w:iCs/>
          <w:color w:val="000000" w:themeColor="text1"/>
          <w:lang w:val="es-ES_tradnl"/>
        </w:rPr>
        <w:t xml:space="preserve">) </w:t>
      </w:r>
      <w:r w:rsidRPr="00430F63">
        <w:rPr>
          <w:rFonts w:ascii="Arial" w:hAnsi="Arial" w:cs="Arial"/>
          <w:i/>
          <w:iCs/>
          <w:color w:val="000000" w:themeColor="text1"/>
          <w:lang w:val="es-ES_tradnl"/>
        </w:rPr>
        <w:t>Decisión</w:t>
      </w:r>
      <w:r w:rsidRPr="00430F63">
        <w:rPr>
          <w:rFonts w:ascii="Arial" w:hAnsi="Arial" w:cs="Arial"/>
          <w:iCs/>
          <w:color w:val="000000" w:themeColor="text1"/>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463166B9" w14:textId="77777777" w:rsidR="00063961" w:rsidRPr="00430F63" w:rsidRDefault="00063961" w:rsidP="00063961">
      <w:pPr>
        <w:spacing w:line="276" w:lineRule="auto"/>
        <w:ind w:firstLine="709"/>
        <w:jc w:val="both"/>
        <w:rPr>
          <w:rFonts w:ascii="Arial" w:eastAsia="Calibri" w:hAnsi="Arial" w:cs="Arial"/>
          <w:color w:val="000000" w:themeColor="text1"/>
          <w:lang w:val="es-ES_tradnl"/>
        </w:rPr>
      </w:pPr>
      <w:r w:rsidRPr="00430F63">
        <w:rPr>
          <w:rFonts w:ascii="Arial" w:hAnsi="Arial" w:cs="Arial"/>
          <w:iCs/>
          <w:color w:val="000000" w:themeColor="text1"/>
          <w:lang w:val="es-ES_tradnl"/>
        </w:rPr>
        <w:t>Como precisión previa, vale la pena aclarar que e</w:t>
      </w:r>
      <w:r w:rsidRPr="00430F63">
        <w:rPr>
          <w:rFonts w:ascii="Arial" w:eastAsia="Calibri" w:hAnsi="Arial" w:cs="Arial"/>
          <w:color w:val="000000" w:themeColor="text1"/>
          <w:lang w:val="es-ES_tradnl"/>
        </w:rPr>
        <w:t>l artículo 86 de la Ley 1474 de 2011 regula un procedimiento administrativo sancionatorio dirigido a sujetos específicos: las entidades sometidas al Estatuto General de Contratación de la Administración Pública</w:t>
      </w:r>
      <w:r w:rsidRPr="00430F63">
        <w:rPr>
          <w:rStyle w:val="Refdenotaalpie"/>
          <w:rFonts w:ascii="Arial" w:eastAsia="Calibri" w:hAnsi="Arial" w:cs="Arial"/>
          <w:color w:val="000000" w:themeColor="text1"/>
          <w:lang w:val="es-ES_tradnl"/>
        </w:rPr>
        <w:footnoteReference w:id="14"/>
      </w:r>
      <w:r w:rsidRPr="00430F63">
        <w:rPr>
          <w:rFonts w:ascii="Arial" w:eastAsia="Calibri" w:hAnsi="Arial" w:cs="Arial"/>
          <w:color w:val="000000" w:themeColor="text1"/>
          <w:lang w:val="es-ES_tradnl"/>
        </w:rPr>
        <w:t xml:space="preserve">. De ahí que las entidades de </w:t>
      </w:r>
      <w:r w:rsidRPr="00430F63">
        <w:rPr>
          <w:rFonts w:ascii="Arial" w:eastAsia="Calibri" w:hAnsi="Arial" w:cs="Arial"/>
          <w:i/>
          <w:iCs/>
          <w:color w:val="000000" w:themeColor="text1"/>
          <w:lang w:val="es-ES_tradnl"/>
        </w:rPr>
        <w:t>régimen especial</w:t>
      </w:r>
      <w:r w:rsidRPr="00430F63">
        <w:rPr>
          <w:rStyle w:val="Refdenotaalpie"/>
          <w:rFonts w:ascii="Arial" w:eastAsia="Calibri" w:hAnsi="Arial" w:cs="Arial"/>
          <w:i/>
          <w:iCs/>
          <w:color w:val="000000" w:themeColor="text1"/>
          <w:lang w:val="es-ES_tradnl"/>
        </w:rPr>
        <w:footnoteReference w:id="15"/>
      </w:r>
      <w:r w:rsidRPr="00430F63">
        <w:rPr>
          <w:rFonts w:ascii="Arial" w:eastAsia="Calibri" w:hAnsi="Arial" w:cs="Arial"/>
          <w:color w:val="000000" w:themeColor="text1"/>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430F63">
        <w:rPr>
          <w:rStyle w:val="Refdenotaalpie"/>
          <w:rFonts w:ascii="Arial" w:eastAsia="Calibri" w:hAnsi="Arial" w:cs="Arial"/>
          <w:color w:val="000000" w:themeColor="text1"/>
          <w:lang w:val="es-ES_tradnl"/>
        </w:rPr>
        <w:footnoteReference w:id="16"/>
      </w:r>
      <w:r w:rsidRPr="00430F63">
        <w:rPr>
          <w:rFonts w:ascii="Arial" w:eastAsia="Calibri" w:hAnsi="Arial" w:cs="Arial"/>
          <w:color w:val="000000" w:themeColor="text1"/>
          <w:lang w:val="es-ES_tradnl"/>
        </w:rPr>
        <w:t>. La norma indicada desarrolla el procedimiento de la siguiente manera:</w:t>
      </w:r>
    </w:p>
    <w:p w14:paraId="703E997A" w14:textId="68E9511B" w:rsidR="00063961" w:rsidRPr="00430F63" w:rsidRDefault="00082820" w:rsidP="00063961">
      <w:pPr>
        <w:pStyle w:val="Prrafodelista"/>
        <w:ind w:left="709" w:right="709"/>
        <w:jc w:val="both"/>
        <w:rPr>
          <w:rFonts w:ascii="Arial" w:hAnsi="Arial" w:cs="Arial"/>
          <w:iCs/>
          <w:color w:val="000000" w:themeColor="text1"/>
          <w:sz w:val="21"/>
          <w:szCs w:val="21"/>
          <w:lang w:val="es-ES_tradnl"/>
        </w:rPr>
      </w:pPr>
      <w:bookmarkStart w:id="6" w:name="86"/>
      <w:r>
        <w:rPr>
          <w:rFonts w:ascii="Arial" w:hAnsi="Arial" w:cs="Arial"/>
          <w:iCs/>
          <w:color w:val="000000" w:themeColor="text1"/>
          <w:sz w:val="21"/>
          <w:szCs w:val="21"/>
          <w:lang w:val="es-ES_tradnl"/>
        </w:rPr>
        <w:t>“</w:t>
      </w:r>
      <w:r w:rsidR="00063961" w:rsidRPr="00430F63">
        <w:rPr>
          <w:rFonts w:ascii="Arial" w:hAnsi="Arial" w:cs="Arial"/>
          <w:iCs/>
          <w:color w:val="000000" w:themeColor="text1"/>
          <w:sz w:val="21"/>
          <w:szCs w:val="21"/>
          <w:lang w:val="es-ES_tradnl"/>
        </w:rPr>
        <w:t>Artículo 86. Imposición de multas, sanciones y declaratorias de incumplimiento.</w:t>
      </w:r>
      <w:bookmarkEnd w:id="6"/>
      <w:r w:rsidR="00063961" w:rsidRPr="00430F63">
        <w:rPr>
          <w:rFonts w:ascii="Arial" w:hAnsi="Arial" w:cs="Arial"/>
          <w:iCs/>
          <w:color w:val="000000" w:themeColor="text1"/>
          <w:sz w:val="21"/>
          <w:szCs w:val="21"/>
          <w:lang w:val="es-ES_tradnl"/>
        </w:rPr>
        <w:t xml:space="preserve"> Las entidades sometidas al Estatuto General de Contratación de la Administración Pública podrán declarar el incumplimiento, cuantificando los perjuicios </w:t>
      </w:r>
      <w:proofErr w:type="gramStart"/>
      <w:r w:rsidR="00063961" w:rsidRPr="00430F63">
        <w:rPr>
          <w:rFonts w:ascii="Arial" w:hAnsi="Arial" w:cs="Arial"/>
          <w:iCs/>
          <w:color w:val="000000" w:themeColor="text1"/>
          <w:sz w:val="21"/>
          <w:szCs w:val="21"/>
          <w:lang w:val="es-ES_tradnl"/>
        </w:rPr>
        <w:t>del mismo</w:t>
      </w:r>
      <w:proofErr w:type="gramEnd"/>
      <w:r w:rsidR="00063961" w:rsidRPr="00430F63">
        <w:rPr>
          <w:rFonts w:ascii="Arial" w:hAnsi="Arial" w:cs="Arial"/>
          <w:iCs/>
          <w:color w:val="000000" w:themeColor="text1"/>
          <w:sz w:val="21"/>
          <w:szCs w:val="21"/>
          <w:lang w:val="es-ES_tradnl"/>
        </w:rPr>
        <w:t>, imponer las multas y sanciones pactadas en el contrato, y hacer efectiva la cláusula penal. Para tal efecto observarán el siguiente procedimiento:</w:t>
      </w:r>
    </w:p>
    <w:p w14:paraId="2C92C818"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p>
    <w:p w14:paraId="1613146B"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r w:rsidRPr="00430F63">
        <w:rPr>
          <w:rFonts w:ascii="Arial" w:hAnsi="Arial" w:cs="Arial"/>
          <w:iCs/>
          <w:color w:val="000000" w:themeColor="text1"/>
          <w:sz w:val="21"/>
          <w:szCs w:val="21"/>
          <w:lang w:val="es-ES_tradnl"/>
        </w:rPr>
        <w:t xml:space="preserve">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w:t>
      </w:r>
      <w:r w:rsidRPr="00430F63">
        <w:rPr>
          <w:rFonts w:ascii="Arial" w:hAnsi="Arial" w:cs="Arial"/>
          <w:iCs/>
          <w:color w:val="000000" w:themeColor="text1"/>
          <w:sz w:val="21"/>
          <w:szCs w:val="21"/>
          <w:lang w:val="es-ES_tradnl"/>
        </w:rPr>
        <w:lastRenderedPageBreak/>
        <w:t>cumplimiento consista en póliza de seguros, el garante será citado de la misma manera;</w:t>
      </w:r>
    </w:p>
    <w:p w14:paraId="7502FC39" w14:textId="77777777" w:rsidR="00063961" w:rsidRPr="00430F63" w:rsidRDefault="00063961" w:rsidP="00063961">
      <w:pPr>
        <w:pStyle w:val="Prrafodelista"/>
        <w:ind w:left="709" w:right="709"/>
        <w:jc w:val="both"/>
        <w:rPr>
          <w:lang w:val="es-ES_tradnl"/>
        </w:rPr>
      </w:pPr>
    </w:p>
    <w:p w14:paraId="0E930F1F"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r w:rsidRPr="00430F63">
        <w:rPr>
          <w:rFonts w:ascii="Arial" w:hAnsi="Arial" w:cs="Arial"/>
          <w:iCs/>
          <w:color w:val="000000" w:themeColor="text1"/>
          <w:sz w:val="21"/>
          <w:szCs w:val="21"/>
          <w:lang w:val="es-ES_tradnl"/>
        </w:rPr>
        <w:t xml:space="preserve">b) En desarrollo de la audiencia, el jefe de la entidad o su </w:t>
      </w:r>
      <w:proofErr w:type="gramStart"/>
      <w:r w:rsidRPr="00430F63">
        <w:rPr>
          <w:rFonts w:ascii="Arial" w:hAnsi="Arial" w:cs="Arial"/>
          <w:iCs/>
          <w:color w:val="000000" w:themeColor="text1"/>
          <w:sz w:val="21"/>
          <w:szCs w:val="21"/>
          <w:lang w:val="es-ES_tradnl"/>
        </w:rPr>
        <w:t>delegado,</w:t>
      </w:r>
      <w:proofErr w:type="gramEnd"/>
      <w:r w:rsidRPr="00430F63">
        <w:rPr>
          <w:rFonts w:ascii="Arial" w:hAnsi="Arial" w:cs="Arial"/>
          <w:iCs/>
          <w:color w:val="000000" w:themeColor="text1"/>
          <w:sz w:val="21"/>
          <w:szCs w:val="21"/>
          <w:lang w:val="es-ES_tradnl"/>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3AB7C7D8"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p>
    <w:p w14:paraId="377A6A0F"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r w:rsidRPr="00430F63">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6E438AF4" w14:textId="77777777"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p>
    <w:p w14:paraId="303693C0" w14:textId="4311A1DC" w:rsidR="00063961" w:rsidRPr="00430F63" w:rsidRDefault="00063961" w:rsidP="00063961">
      <w:pPr>
        <w:pStyle w:val="Prrafodelista"/>
        <w:ind w:left="709" w:right="709"/>
        <w:jc w:val="both"/>
        <w:rPr>
          <w:rFonts w:ascii="Arial" w:hAnsi="Arial" w:cs="Arial"/>
          <w:iCs/>
          <w:color w:val="000000" w:themeColor="text1"/>
          <w:sz w:val="21"/>
          <w:szCs w:val="21"/>
          <w:lang w:val="es-ES_tradnl"/>
        </w:rPr>
      </w:pPr>
      <w:r w:rsidRPr="00430F63">
        <w:rPr>
          <w:rFonts w:ascii="Arial" w:hAnsi="Arial" w:cs="Arial"/>
          <w:iCs/>
          <w:color w:val="000000" w:themeColor="text1"/>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r w:rsidR="00082820">
        <w:rPr>
          <w:rFonts w:ascii="Arial" w:hAnsi="Arial" w:cs="Arial"/>
          <w:iCs/>
          <w:color w:val="000000" w:themeColor="text1"/>
          <w:sz w:val="21"/>
          <w:szCs w:val="21"/>
          <w:lang w:val="es-ES_tradnl"/>
        </w:rPr>
        <w:t>”</w:t>
      </w:r>
    </w:p>
    <w:p w14:paraId="38CEEFD0" w14:textId="77777777" w:rsidR="00063961" w:rsidRPr="00430F63" w:rsidRDefault="00063961" w:rsidP="00063961">
      <w:pPr>
        <w:spacing w:after="120" w:line="276" w:lineRule="auto"/>
        <w:ind w:firstLine="709"/>
        <w:jc w:val="both"/>
        <w:rPr>
          <w:rFonts w:ascii="Arial" w:eastAsia="Calibri" w:hAnsi="Arial" w:cs="Arial"/>
          <w:color w:val="000000" w:themeColor="text1"/>
          <w:lang w:val="es-ES_tradnl"/>
        </w:rPr>
      </w:pPr>
      <w:r w:rsidRPr="00430F63">
        <w:rPr>
          <w:rFonts w:ascii="Arial" w:eastAsia="Calibri" w:hAnsi="Arial" w:cs="Arial"/>
          <w:color w:val="000000" w:themeColor="text1"/>
          <w:lang w:val="es-ES_tradnl"/>
        </w:rPr>
        <w:t xml:space="preserve">Como se observa, la citación a la audiencia debe cumplir mínimamente los siguientes aspectos: i) señalar los </w:t>
      </w:r>
      <w:r w:rsidRPr="00430F63">
        <w:rPr>
          <w:rFonts w:ascii="Arial" w:eastAsia="Calibri" w:hAnsi="Arial" w:cs="Arial"/>
          <w:i/>
          <w:iCs/>
          <w:color w:val="000000" w:themeColor="text1"/>
          <w:lang w:val="es-ES_tradnl"/>
        </w:rPr>
        <w:t>hechos</w:t>
      </w:r>
      <w:r w:rsidRPr="00430F63">
        <w:rPr>
          <w:rFonts w:ascii="Arial" w:eastAsia="Calibri" w:hAnsi="Arial" w:cs="Arial"/>
          <w:color w:val="000000" w:themeColor="text1"/>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w:t>
      </w:r>
      <w:proofErr w:type="spellStart"/>
      <w:r w:rsidRPr="00430F63">
        <w:rPr>
          <w:rFonts w:ascii="Arial" w:eastAsia="Calibri" w:hAnsi="Arial" w:cs="Arial"/>
          <w:color w:val="000000" w:themeColor="text1"/>
          <w:lang w:val="es-ES_tradnl"/>
        </w:rPr>
        <w:t>iii</w:t>
      </w:r>
      <w:proofErr w:type="spellEnd"/>
      <w:r w:rsidRPr="00430F63">
        <w:rPr>
          <w:rFonts w:ascii="Arial" w:eastAsia="Calibri" w:hAnsi="Arial" w:cs="Arial"/>
          <w:color w:val="000000" w:themeColor="text1"/>
          <w:lang w:val="es-ES_tradnl"/>
        </w:rPr>
        <w:t xml:space="preserve">)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430F63">
        <w:rPr>
          <w:rFonts w:ascii="Arial" w:eastAsia="Calibri" w:hAnsi="Arial" w:cs="Arial"/>
          <w:color w:val="000000" w:themeColor="text1"/>
          <w:lang w:val="es-ES_tradnl"/>
        </w:rPr>
        <w:lastRenderedPageBreak/>
        <w:t>vii</w:t>
      </w:r>
      <w:proofErr w:type="spellEnd"/>
      <w:r w:rsidRPr="00430F63">
        <w:rPr>
          <w:rFonts w:ascii="Arial" w:eastAsia="Calibri" w:hAnsi="Arial" w:cs="Arial"/>
          <w:color w:val="000000" w:themeColor="text1"/>
          <w:lang w:val="es-ES_tradnl"/>
        </w:rPr>
        <w:t>) deben indicar el lugar, fecha y hora para la realización de la audiencia, sin perjuicio de que esta se pueda efectuar por medios electrónicos</w:t>
      </w:r>
      <w:r w:rsidRPr="00430F63">
        <w:rPr>
          <w:rStyle w:val="Refdenotaalpie"/>
          <w:rFonts w:ascii="Arial" w:eastAsia="Calibri" w:hAnsi="Arial" w:cs="Arial"/>
          <w:color w:val="000000" w:themeColor="text1"/>
          <w:lang w:val="es-ES_tradnl"/>
        </w:rPr>
        <w:footnoteReference w:id="17"/>
      </w:r>
      <w:r w:rsidRPr="00430F63">
        <w:rPr>
          <w:rFonts w:ascii="Arial" w:eastAsia="Calibri" w:hAnsi="Arial" w:cs="Arial"/>
          <w:color w:val="000000" w:themeColor="text1"/>
          <w:lang w:val="es-ES_tradnl"/>
        </w:rPr>
        <w:t>.</w:t>
      </w:r>
    </w:p>
    <w:p w14:paraId="75D2C7D7" w14:textId="77777777" w:rsidR="00063961" w:rsidRPr="00430F63" w:rsidRDefault="00063961" w:rsidP="00063961">
      <w:pPr>
        <w:spacing w:line="276" w:lineRule="auto"/>
        <w:ind w:firstLine="709"/>
        <w:jc w:val="both"/>
        <w:rPr>
          <w:rFonts w:ascii="Arial" w:eastAsia="Calibri" w:hAnsi="Arial" w:cs="Arial"/>
          <w:color w:val="000000" w:themeColor="text1"/>
          <w:lang w:val="es-ES_tradnl"/>
        </w:rPr>
      </w:pPr>
      <w:r w:rsidRPr="00430F63">
        <w:rPr>
          <w:rFonts w:ascii="Arial" w:eastAsia="Calibri" w:hAnsi="Arial" w:cs="Arial"/>
          <w:color w:val="000000" w:themeColor="text1"/>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430F63">
        <w:rPr>
          <w:rStyle w:val="Refdenotaalpie"/>
          <w:rFonts w:ascii="Arial" w:eastAsia="Calibri" w:hAnsi="Arial" w:cs="Arial"/>
          <w:color w:val="000000" w:themeColor="text1"/>
          <w:lang w:val="es-ES_tradnl"/>
        </w:rPr>
        <w:footnoteReference w:id="18"/>
      </w:r>
      <w:r w:rsidRPr="00430F63">
        <w:rPr>
          <w:rFonts w:ascii="Arial" w:eastAsia="Calibri" w:hAnsi="Arial" w:cs="Arial"/>
          <w:color w:val="000000" w:themeColor="text1"/>
          <w:lang w:val="es-ES_tradnl"/>
        </w:rPr>
        <w:t>.</w:t>
      </w:r>
    </w:p>
    <w:p w14:paraId="324975AC" w14:textId="1532CD60" w:rsidR="00063961" w:rsidRPr="00430F63" w:rsidRDefault="00063961" w:rsidP="00063961">
      <w:pPr>
        <w:spacing w:after="0" w:line="276" w:lineRule="auto"/>
        <w:ind w:firstLine="708"/>
        <w:contextualSpacing/>
        <w:jc w:val="both"/>
        <w:rPr>
          <w:rFonts w:ascii="Arial" w:hAnsi="Arial" w:cs="Arial"/>
          <w:iCs/>
          <w:lang w:val="es-ES_tradnl"/>
        </w:rPr>
      </w:pPr>
      <w:r w:rsidRPr="00EB3DC0">
        <w:rPr>
          <w:rFonts w:ascii="Arial" w:hAnsi="Arial" w:cs="Arial"/>
          <w:iCs/>
          <w:highlight w:val="yellow"/>
          <w:lang w:val="es-ES_tradnl"/>
        </w:rPr>
        <w:t>Ahora bien</w:t>
      </w:r>
      <w:r w:rsidRPr="00430F63">
        <w:rPr>
          <w:rFonts w:ascii="Arial" w:hAnsi="Arial" w:cs="Arial"/>
          <w:iCs/>
          <w:lang w:val="es-ES_tradnl"/>
        </w:rPr>
        <w:t xml:space="preserve">, </w:t>
      </w:r>
      <w:r w:rsidRPr="009D702D">
        <w:rPr>
          <w:rFonts w:ascii="Arial" w:hAnsi="Arial" w:cs="Arial"/>
          <w:b/>
          <w:lang w:val="es-ES_tradnl"/>
        </w:rPr>
        <w:t>frente a la tasación de perjuicios</w:t>
      </w:r>
      <w:r w:rsidRPr="00430F63">
        <w:rPr>
          <w:rFonts w:ascii="Arial" w:hAnsi="Arial" w:cs="Arial"/>
          <w:iCs/>
          <w:lang w:val="es-ES_tradnl"/>
        </w:rPr>
        <w:t xml:space="preserve"> la jurisprudencia del Consejo de Estado ha sostenido que esta es discrecional por parte de la administración, </w:t>
      </w:r>
      <w:r w:rsidRPr="00D648AE">
        <w:rPr>
          <w:rFonts w:ascii="Arial" w:hAnsi="Arial" w:cs="Arial"/>
          <w:b/>
          <w:lang w:val="es-ES_tradnl"/>
        </w:rPr>
        <w:t>sin embargo, debe ser abordada desde la perspectiva de la proporcionalidad</w:t>
      </w:r>
      <w:r w:rsidRPr="00430F63">
        <w:rPr>
          <w:rFonts w:ascii="Arial" w:hAnsi="Arial" w:cs="Arial"/>
          <w:iCs/>
          <w:lang w:val="es-ES_tradnl"/>
        </w:rPr>
        <w:t xml:space="preserve">. El principio de proporcionalidad es un principio general del derecho, y se ha resaltado su importancia en el ejercicio de cada una de las actuaciones administrativas, se ha dicho que este principio cumple dos funciones: </w:t>
      </w:r>
      <w:r w:rsidR="00082820">
        <w:rPr>
          <w:rFonts w:ascii="Arial" w:hAnsi="Arial" w:cs="Arial"/>
          <w:sz w:val="21"/>
          <w:szCs w:val="21"/>
        </w:rPr>
        <w:t>“</w:t>
      </w:r>
      <w:r w:rsidRPr="00430F63">
        <w:rPr>
          <w:rFonts w:ascii="Arial" w:hAnsi="Arial" w:cs="Arial"/>
          <w:iCs/>
        </w:rPr>
        <w:t>i) en primer lugar, sirve de criterio de acción, esto es, como sustento de las actuaciones de los distintos órganos del Estado, el cual se realiza con su observancia y aplicación a cada caso concreto. ii) En segundo lugar, es un criterio de control, pues debe adoptarlo el juez para efectos de evaluar la proporcionalidad de la respectiva actuación administrativa.</w:t>
      </w:r>
      <w:r w:rsidR="00082820">
        <w:rPr>
          <w:rFonts w:ascii="Arial" w:hAnsi="Arial" w:cs="Arial"/>
          <w:sz w:val="21"/>
          <w:szCs w:val="21"/>
        </w:rPr>
        <w:t>”</w:t>
      </w:r>
      <w:r w:rsidRPr="00430F63">
        <w:rPr>
          <w:rStyle w:val="Refdenotaalpie"/>
          <w:rFonts w:ascii="Arial" w:hAnsi="Arial" w:cs="Arial"/>
          <w:sz w:val="21"/>
          <w:szCs w:val="21"/>
        </w:rPr>
        <w:footnoteReference w:id="19"/>
      </w:r>
    </w:p>
    <w:p w14:paraId="473416FC" w14:textId="77777777" w:rsidR="00063961" w:rsidRPr="00430F63" w:rsidRDefault="00063961" w:rsidP="00063961">
      <w:pPr>
        <w:spacing w:after="0" w:line="276" w:lineRule="auto"/>
        <w:ind w:firstLine="708"/>
        <w:contextualSpacing/>
        <w:jc w:val="both"/>
        <w:rPr>
          <w:rFonts w:ascii="Arial" w:hAnsi="Arial" w:cs="Arial"/>
          <w:iCs/>
          <w:lang w:val="es-ES_tradnl"/>
        </w:rPr>
      </w:pPr>
    </w:p>
    <w:p w14:paraId="346290AC" w14:textId="4A1C5E33" w:rsidR="00063961" w:rsidRPr="00430F63" w:rsidRDefault="00063961" w:rsidP="00063961">
      <w:pPr>
        <w:spacing w:after="0" w:line="276" w:lineRule="auto"/>
        <w:ind w:firstLine="708"/>
        <w:contextualSpacing/>
        <w:jc w:val="both"/>
        <w:rPr>
          <w:rFonts w:ascii="Arial" w:hAnsi="Arial" w:cs="Arial"/>
          <w:iCs/>
          <w:lang w:val="es-ES_tradnl"/>
        </w:rPr>
      </w:pPr>
      <w:r w:rsidRPr="00430F63">
        <w:rPr>
          <w:rFonts w:ascii="Arial" w:hAnsi="Arial" w:cs="Arial"/>
          <w:iCs/>
          <w:lang w:val="es-ES_tradnl"/>
        </w:rPr>
        <w:t xml:space="preserve">La contratación estatal, no se escapa a la aplicación del principio de proporcionalidad, durante las etapas de estructuración, planeación, y a lo largo de la ejecución del contrato, la administración debe hacer uso razonable y proporcional de todos los instrumentos jurídicos de los cuales puede disponer para el cumplimiento de los fines del estado, es por ello </w:t>
      </w:r>
      <w:proofErr w:type="gramStart"/>
      <w:r w:rsidRPr="00430F63">
        <w:rPr>
          <w:rFonts w:ascii="Arial" w:hAnsi="Arial" w:cs="Arial"/>
          <w:iCs/>
          <w:lang w:val="es-ES_tradnl"/>
        </w:rPr>
        <w:t>que</w:t>
      </w:r>
      <w:proofErr w:type="gramEnd"/>
      <w:r w:rsidRPr="00430F63">
        <w:rPr>
          <w:rFonts w:ascii="Arial" w:hAnsi="Arial" w:cs="Arial"/>
          <w:iCs/>
          <w:lang w:val="es-ES_tradnl"/>
        </w:rPr>
        <w:t xml:space="preserve"> se ha dicho que frente a la cláusula penal:  </w:t>
      </w:r>
    </w:p>
    <w:p w14:paraId="4454E921" w14:textId="77777777" w:rsidR="00063961" w:rsidRPr="00430F63" w:rsidRDefault="00063961" w:rsidP="00063961">
      <w:pPr>
        <w:spacing w:after="0" w:line="276" w:lineRule="auto"/>
        <w:contextualSpacing/>
        <w:jc w:val="both"/>
        <w:rPr>
          <w:rFonts w:ascii="Arial" w:hAnsi="Arial" w:cs="Arial"/>
          <w:iCs/>
          <w:sz w:val="21"/>
          <w:szCs w:val="21"/>
        </w:rPr>
      </w:pPr>
    </w:p>
    <w:p w14:paraId="08807E3E" w14:textId="7AE58D8E" w:rsidR="00063961" w:rsidRPr="00430F63" w:rsidRDefault="00082820" w:rsidP="004D3837">
      <w:pPr>
        <w:spacing w:after="0" w:line="240" w:lineRule="auto"/>
        <w:ind w:left="709" w:right="709"/>
        <w:contextualSpacing/>
        <w:jc w:val="both"/>
        <w:rPr>
          <w:rFonts w:ascii="Arial" w:hAnsi="Arial" w:cs="Arial"/>
          <w:iCs/>
          <w:sz w:val="21"/>
          <w:szCs w:val="21"/>
          <w:u w:val="single"/>
        </w:rPr>
      </w:pPr>
      <w:r>
        <w:rPr>
          <w:rFonts w:ascii="Arial" w:hAnsi="Arial" w:cs="Arial"/>
          <w:iCs/>
          <w:sz w:val="21"/>
          <w:szCs w:val="21"/>
          <w:u w:val="single"/>
        </w:rPr>
        <w:lastRenderedPageBreak/>
        <w:t>“</w:t>
      </w:r>
      <w:r w:rsidR="00063961" w:rsidRPr="00430F63">
        <w:rPr>
          <w:rFonts w:ascii="Arial" w:hAnsi="Arial" w:cs="Arial"/>
          <w:iCs/>
          <w:sz w:val="21"/>
          <w:szCs w:val="21"/>
          <w:u w:val="single"/>
        </w:rPr>
        <w:t xml:space="preserve">Es dentro de este marco jurídico de principios, valores y reglas constitucionales y legales que encuentra sentido afirmar que la facultad, en el ámbito de libertad negocial de las partes, que establece el legislador para pactar la cláusula penal o la tasación de perjuicios en aquellos casos de incumplimiento no puede ser comprendida como escenario habilitante de discrecionalidad cuando se trata de su aplicación en concreto. </w:t>
      </w:r>
    </w:p>
    <w:p w14:paraId="4477CF8A" w14:textId="77777777" w:rsidR="00063961" w:rsidRPr="00430F63" w:rsidRDefault="00063961" w:rsidP="004D3837">
      <w:pPr>
        <w:spacing w:after="0" w:line="240" w:lineRule="auto"/>
        <w:ind w:left="709" w:right="709"/>
        <w:contextualSpacing/>
        <w:jc w:val="both"/>
        <w:rPr>
          <w:rFonts w:ascii="Arial" w:hAnsi="Arial" w:cs="Arial"/>
          <w:iCs/>
          <w:sz w:val="21"/>
          <w:szCs w:val="21"/>
        </w:rPr>
      </w:pPr>
    </w:p>
    <w:p w14:paraId="4361B1C1" w14:textId="77777777" w:rsidR="00063961" w:rsidRPr="00430F63" w:rsidRDefault="00063961" w:rsidP="004D3837">
      <w:pPr>
        <w:spacing w:after="0" w:line="240" w:lineRule="auto"/>
        <w:ind w:left="709" w:right="709"/>
        <w:contextualSpacing/>
        <w:jc w:val="both"/>
        <w:rPr>
          <w:rFonts w:ascii="Arial" w:hAnsi="Arial" w:cs="Arial"/>
          <w:iCs/>
          <w:sz w:val="21"/>
          <w:szCs w:val="21"/>
        </w:rPr>
      </w:pPr>
      <w:r w:rsidRPr="00430F63">
        <w:rPr>
          <w:rFonts w:ascii="Arial" w:hAnsi="Arial" w:cs="Arial"/>
          <w:iCs/>
          <w:sz w:val="21"/>
          <w:szCs w:val="21"/>
        </w:rPr>
        <w:t xml:space="preserve">Dicho con otras palabras, el principio de proporcionalidad compele a la Administración a justificar de manera razonada las decisiones que adopta, no solo desde una perspectiva lógico formal sino, también, considerando su razonabilidad en cada caso en concreto, lo que se traduce en la exposición de elementos de juicio objetivos y razonados (elementos probatorios, jurídicos, técnicos, </w:t>
      </w:r>
      <w:proofErr w:type="spellStart"/>
      <w:r w:rsidRPr="00430F63">
        <w:rPr>
          <w:rFonts w:ascii="Arial" w:hAnsi="Arial" w:cs="Arial"/>
          <w:iCs/>
          <w:sz w:val="21"/>
          <w:szCs w:val="21"/>
        </w:rPr>
        <w:t>etc</w:t>
      </w:r>
      <w:proofErr w:type="spellEnd"/>
      <w:r w:rsidRPr="00430F63">
        <w:rPr>
          <w:rFonts w:ascii="Arial" w:hAnsi="Arial" w:cs="Arial"/>
          <w:iCs/>
          <w:sz w:val="21"/>
          <w:szCs w:val="21"/>
        </w:rPr>
        <w:t>), incluso en aquellos escenarios de discrecionalidad.</w:t>
      </w:r>
    </w:p>
    <w:p w14:paraId="15ED240A" w14:textId="77777777" w:rsidR="00063961" w:rsidRPr="00430F63" w:rsidRDefault="00063961" w:rsidP="004D3837">
      <w:pPr>
        <w:spacing w:after="0" w:line="240" w:lineRule="auto"/>
        <w:ind w:left="709" w:right="709"/>
        <w:contextualSpacing/>
        <w:jc w:val="both"/>
        <w:rPr>
          <w:rFonts w:ascii="Arial" w:hAnsi="Arial" w:cs="Arial"/>
          <w:iCs/>
          <w:sz w:val="21"/>
          <w:szCs w:val="21"/>
        </w:rPr>
      </w:pPr>
    </w:p>
    <w:p w14:paraId="458C4ED3" w14:textId="12F57B6C" w:rsidR="00063961" w:rsidRPr="00430F63" w:rsidRDefault="00063961" w:rsidP="004D3837">
      <w:pPr>
        <w:spacing w:after="0" w:line="240" w:lineRule="auto"/>
        <w:ind w:left="709" w:right="709"/>
        <w:contextualSpacing/>
        <w:jc w:val="both"/>
        <w:rPr>
          <w:rFonts w:ascii="Arial" w:hAnsi="Arial" w:cs="Arial"/>
          <w:iCs/>
          <w:sz w:val="21"/>
          <w:szCs w:val="21"/>
        </w:rPr>
      </w:pPr>
      <w:r w:rsidRPr="00430F63">
        <w:rPr>
          <w:rFonts w:ascii="Arial" w:hAnsi="Arial" w:cs="Arial"/>
          <w:iCs/>
          <w:sz w:val="21"/>
          <w:szCs w:val="21"/>
          <w:u w:val="single"/>
        </w:rPr>
        <w:t>Todo lo anterior se traduce, entonces, en la razonable, proporcional y razonada aplicación de la cláusula penal y la tasación de perjuicios por parte de la entidad pública, que lleva a plantear, necesariamente, el deber jurídico de motivación de la Administración conforme al cual le corresponde justificar, a partir de referentes objetivos y claros los criterios que le sirven de apoyo para tasar la proporción de aplicación de la cláusula penal conforme a la intensidad y valoración del cumplimiento (o incumplimiento) por parte del contratista</w:t>
      </w:r>
      <w:r w:rsidRPr="00430F63">
        <w:rPr>
          <w:rFonts w:ascii="Arial" w:hAnsi="Arial" w:cs="Arial"/>
          <w:iCs/>
          <w:sz w:val="21"/>
          <w:szCs w:val="21"/>
        </w:rPr>
        <w:t>.</w:t>
      </w:r>
      <w:r w:rsidR="00082820">
        <w:rPr>
          <w:rFonts w:ascii="Arial" w:hAnsi="Arial" w:cs="Arial"/>
          <w:iCs/>
          <w:sz w:val="21"/>
          <w:szCs w:val="21"/>
        </w:rPr>
        <w:t>”</w:t>
      </w:r>
      <w:r w:rsidR="00BB1622">
        <w:rPr>
          <w:rFonts w:ascii="Arial" w:hAnsi="Arial" w:cs="Arial"/>
          <w:iCs/>
          <w:sz w:val="21"/>
          <w:szCs w:val="21"/>
        </w:rPr>
        <w:t xml:space="preserve"> </w:t>
      </w:r>
      <w:r w:rsidRPr="00430F63">
        <w:rPr>
          <w:rStyle w:val="Refdenotaalpie"/>
          <w:rFonts w:ascii="Arial" w:hAnsi="Arial" w:cs="Arial"/>
          <w:iCs/>
          <w:sz w:val="21"/>
          <w:szCs w:val="21"/>
        </w:rPr>
        <w:footnoteReference w:id="20"/>
      </w:r>
      <w:r w:rsidRPr="00430F63">
        <w:rPr>
          <w:rFonts w:ascii="Arial" w:hAnsi="Arial" w:cs="Arial"/>
          <w:iCs/>
          <w:sz w:val="21"/>
          <w:szCs w:val="21"/>
        </w:rPr>
        <w:t xml:space="preserve">  (Subrayado fuera de texto) </w:t>
      </w:r>
    </w:p>
    <w:p w14:paraId="32B8E186" w14:textId="77777777" w:rsidR="00063961" w:rsidRPr="00430F63" w:rsidRDefault="00063961" w:rsidP="00063961">
      <w:pPr>
        <w:spacing w:after="0" w:line="276" w:lineRule="auto"/>
        <w:contextualSpacing/>
        <w:jc w:val="both"/>
        <w:rPr>
          <w:rFonts w:ascii="Arial" w:hAnsi="Arial" w:cs="Arial"/>
          <w:iCs/>
        </w:rPr>
      </w:pPr>
    </w:p>
    <w:p w14:paraId="79B0A898" w14:textId="2203C1B0" w:rsidR="00063961" w:rsidRPr="00430F63" w:rsidRDefault="00063961" w:rsidP="00063961">
      <w:pPr>
        <w:spacing w:after="0" w:line="276" w:lineRule="auto"/>
        <w:contextualSpacing/>
        <w:jc w:val="both"/>
        <w:rPr>
          <w:rFonts w:ascii="Arial" w:hAnsi="Arial" w:cs="Arial"/>
        </w:rPr>
      </w:pPr>
      <w:r w:rsidRPr="00430F63">
        <w:rPr>
          <w:rFonts w:ascii="Arial" w:hAnsi="Arial" w:cs="Arial"/>
          <w:bCs/>
          <w:color w:val="000000" w:themeColor="text1"/>
          <w:lang w:val="es-ES_tradnl"/>
        </w:rPr>
        <w:tab/>
        <w:t xml:space="preserve">Como se mencionó anteriormente, la cláusula penal es una tasación anticipada de perjuicios, y se pueden presentar dos situaciones: i) el monto estipulado no cubre los perjuicios ocasionados por el incumplimiento, o ii) el monto estipulado puede resultar excesivo, considerando que puede presentarse una ejecución parcial del contrato, para el primer caso, se debe acudir al juez, demostrar el monto de los daños sufridos y solicitar una reparación plena, </w:t>
      </w:r>
      <w:r w:rsidR="00C660D0">
        <w:rPr>
          <w:rFonts w:ascii="Arial" w:hAnsi="Arial" w:cs="Arial"/>
          <w:bCs/>
          <w:color w:val="000000" w:themeColor="text1"/>
          <w:lang w:val="es-ES_tradnl"/>
        </w:rPr>
        <w:t>sin perjuicio de que se pueda dec</w:t>
      </w:r>
      <w:r w:rsidR="0086671F">
        <w:rPr>
          <w:rFonts w:ascii="Arial" w:hAnsi="Arial" w:cs="Arial"/>
          <w:bCs/>
          <w:color w:val="000000" w:themeColor="text1"/>
          <w:lang w:val="es-ES_tradnl"/>
        </w:rPr>
        <w:t>larar</w:t>
      </w:r>
      <w:r w:rsidR="00C660D0">
        <w:rPr>
          <w:rFonts w:ascii="Arial" w:hAnsi="Arial" w:cs="Arial"/>
          <w:bCs/>
          <w:color w:val="000000" w:themeColor="text1"/>
          <w:lang w:val="es-ES_tradnl"/>
        </w:rPr>
        <w:t xml:space="preserve"> el siniestro y el cobro de la cláusula penal, en caso tal de que hayan pactado dicha posibilidad en el contrato</w:t>
      </w:r>
      <w:r w:rsidR="0086671F">
        <w:rPr>
          <w:rFonts w:ascii="Arial" w:hAnsi="Arial" w:cs="Arial"/>
          <w:bCs/>
          <w:color w:val="000000" w:themeColor="text1"/>
          <w:lang w:val="es-ES_tradnl"/>
        </w:rPr>
        <w:t>,</w:t>
      </w:r>
      <w:r w:rsidRPr="00430F63">
        <w:rPr>
          <w:rFonts w:ascii="Arial" w:hAnsi="Arial" w:cs="Arial"/>
          <w:bCs/>
          <w:color w:val="000000" w:themeColor="text1"/>
          <w:lang w:val="es-ES_tradnl"/>
        </w:rPr>
        <w:t xml:space="preserve"> en el segundo caso, el artículo 1569 del Código Civil establece que: </w:t>
      </w:r>
      <w:r w:rsidR="00082820">
        <w:rPr>
          <w:rFonts w:ascii="Arial" w:hAnsi="Arial" w:cs="Arial"/>
          <w:sz w:val="21"/>
          <w:szCs w:val="21"/>
        </w:rPr>
        <w:t>“</w:t>
      </w:r>
      <w:r w:rsidRPr="00430F63">
        <w:rPr>
          <w:rFonts w:ascii="Arial" w:hAnsi="Arial" w:cs="Arial"/>
        </w:rPr>
        <w:t>Si el deudor cumple solamente una parte de la obligación principal y el acreedor acepta esta parte, tendrá derecho para que se rebaje proporcionalmente la pena estipulada por falta de cumplimiento de la obligación principal.</w:t>
      </w:r>
      <w:r w:rsidR="00082820">
        <w:rPr>
          <w:rFonts w:ascii="Arial" w:hAnsi="Arial" w:cs="Arial"/>
          <w:sz w:val="21"/>
          <w:szCs w:val="21"/>
        </w:rPr>
        <w:t>”</w:t>
      </w:r>
      <w:r w:rsidRPr="00430F63">
        <w:rPr>
          <w:rStyle w:val="Refdenotaalpie"/>
          <w:rFonts w:ascii="Arial" w:hAnsi="Arial" w:cs="Arial"/>
          <w:sz w:val="21"/>
          <w:szCs w:val="21"/>
        </w:rPr>
        <w:footnoteReference w:id="21"/>
      </w:r>
      <w:r w:rsidRPr="00430F63">
        <w:rPr>
          <w:rFonts w:ascii="Arial" w:hAnsi="Arial" w:cs="Arial"/>
          <w:sz w:val="21"/>
          <w:szCs w:val="21"/>
        </w:rPr>
        <w:t xml:space="preserve">, </w:t>
      </w:r>
      <w:r w:rsidRPr="00A33E6A">
        <w:rPr>
          <w:rFonts w:ascii="Arial" w:hAnsi="Arial" w:cs="Arial"/>
          <w:u w:val="single"/>
        </w:rPr>
        <w:t>en este caso, la entidad que pretende dar aplicación de la cláusula penal deberá determinar los perjuicios en atención a razones objetivas, razonables y proporcionales de acuerdo a los sucesos de los hechos</w:t>
      </w:r>
      <w:r w:rsidRPr="00430F63">
        <w:rPr>
          <w:rFonts w:ascii="Arial" w:hAnsi="Arial" w:cs="Arial"/>
        </w:rPr>
        <w:t xml:space="preserve">. </w:t>
      </w:r>
    </w:p>
    <w:p w14:paraId="0940C409" w14:textId="77777777" w:rsidR="00063961" w:rsidRPr="00430F63" w:rsidRDefault="00063961" w:rsidP="00063961">
      <w:pPr>
        <w:spacing w:after="0" w:line="276" w:lineRule="auto"/>
        <w:contextualSpacing/>
        <w:jc w:val="both"/>
        <w:rPr>
          <w:rFonts w:ascii="Arial" w:hAnsi="Arial" w:cs="Arial"/>
        </w:rPr>
      </w:pPr>
    </w:p>
    <w:p w14:paraId="14AD47A4" w14:textId="77777777" w:rsidR="00063961" w:rsidRPr="00430F63" w:rsidRDefault="00063961" w:rsidP="00063961">
      <w:pPr>
        <w:spacing w:after="0" w:line="276" w:lineRule="auto"/>
        <w:ind w:firstLine="708"/>
        <w:contextualSpacing/>
        <w:jc w:val="both"/>
        <w:rPr>
          <w:rFonts w:ascii="Arial" w:hAnsi="Arial" w:cs="Arial"/>
        </w:rPr>
      </w:pPr>
      <w:r w:rsidRPr="00430F63">
        <w:rPr>
          <w:rFonts w:ascii="Arial" w:hAnsi="Arial" w:cs="Arial"/>
        </w:rPr>
        <w:t>La jurisprudencia de la sección tercera del Consejo de Estado, ha precisado que,  si bien la cláusula penal es un cálculo anticipado de perjuicios, si se incumple el contrato se debe pagar su valor, independiente del monto del perjuicio, sin embargo tiene dos excepciones: i) la establecida en el artículo 1600 del Código Civil, según la cual no se puede pedir, a la vez, la pena y la indemnización de perjuicios -de hecho, la cláusula penal es una cálculo anticipado de estos</w:t>
      </w:r>
      <w:r w:rsidRPr="004D3837">
        <w:rPr>
          <w:rFonts w:ascii="Arial" w:hAnsi="Arial" w:cs="Arial"/>
          <w:b/>
        </w:rPr>
        <w:t>-</w:t>
      </w:r>
      <w:r w:rsidRPr="004D3837">
        <w:rPr>
          <w:rFonts w:ascii="Arial" w:hAnsi="Arial" w:cs="Arial"/>
          <w:b/>
        </w:rPr>
        <w:lastRenderedPageBreak/>
        <w:t>, salvo que así se haya pactado expresamente</w:t>
      </w:r>
      <w:r w:rsidRPr="00430F63">
        <w:rPr>
          <w:rFonts w:ascii="Arial" w:hAnsi="Arial" w:cs="Arial"/>
        </w:rPr>
        <w:t>, en cuyo caso se puede perseguir lo uno y lo otro, y ii) la establecida en el artículo 1569 del Código Civil, mencionada anteriormente.</w:t>
      </w:r>
      <w:r w:rsidRPr="00430F63">
        <w:rPr>
          <w:rStyle w:val="Refdenotaalpie"/>
          <w:rFonts w:ascii="Arial" w:hAnsi="Arial" w:cs="Arial"/>
        </w:rPr>
        <w:footnoteReference w:id="22"/>
      </w:r>
      <w:r w:rsidRPr="00430F63">
        <w:rPr>
          <w:rFonts w:ascii="Arial" w:hAnsi="Arial" w:cs="Arial"/>
        </w:rPr>
        <w:t xml:space="preserve"> </w:t>
      </w:r>
    </w:p>
    <w:p w14:paraId="56A22529" w14:textId="77777777" w:rsidR="00063961" w:rsidRPr="00430F63" w:rsidRDefault="00063961" w:rsidP="00063961">
      <w:pPr>
        <w:spacing w:after="0" w:line="276" w:lineRule="auto"/>
        <w:contextualSpacing/>
        <w:jc w:val="both"/>
        <w:rPr>
          <w:rFonts w:ascii="Arial" w:hAnsi="Arial" w:cs="Arial"/>
        </w:rPr>
      </w:pPr>
    </w:p>
    <w:p w14:paraId="257873C8" w14:textId="40F188C3" w:rsidR="00063961" w:rsidRPr="00430F63" w:rsidRDefault="00063961" w:rsidP="00063961">
      <w:pPr>
        <w:spacing w:after="0" w:line="276" w:lineRule="auto"/>
        <w:ind w:firstLine="708"/>
        <w:contextualSpacing/>
        <w:jc w:val="both"/>
        <w:rPr>
          <w:rFonts w:ascii="Arial" w:hAnsi="Arial" w:cs="Arial"/>
          <w:sz w:val="21"/>
          <w:szCs w:val="21"/>
        </w:rPr>
      </w:pPr>
      <w:r w:rsidRPr="00430F63">
        <w:rPr>
          <w:rFonts w:ascii="Arial" w:hAnsi="Arial" w:cs="Arial"/>
        </w:rPr>
        <w:t xml:space="preserve">Ahora bien,  se encuentra la posibilidad de que la cláusula penal se vea reducida en proporción a la parte ejecutada del contrato, pero esto no significa que ese sea el parámetro del daño, porque </w:t>
      </w:r>
      <w:r w:rsidR="00082820">
        <w:rPr>
          <w:rFonts w:ascii="Arial" w:hAnsi="Arial" w:cs="Arial"/>
          <w:sz w:val="21"/>
          <w:szCs w:val="21"/>
        </w:rPr>
        <w:t>“</w:t>
      </w:r>
      <w:r w:rsidRPr="00430F63">
        <w:rPr>
          <w:rFonts w:ascii="Arial" w:hAnsi="Arial" w:cs="Arial"/>
        </w:rPr>
        <w:t xml:space="preserve">puede ocurrir que un contrato se haya cumplido en un 40%, de manera que podría reducirse la sanción en ese porcentaje, pero en tal supuesto bien podría ocurrir que no existan perjuicios, no obstante lo cual el deudor debe pagar la pena en la proporción indicada, como quiera que no es la magnitud del daño lo que define la reducción de la pena, sino la parte de la ejecución del contrato que haya realizado el deudor. Finalmente, cabe agregar </w:t>
      </w:r>
      <w:proofErr w:type="gramStart"/>
      <w:r w:rsidRPr="00430F63">
        <w:rPr>
          <w:rFonts w:ascii="Arial" w:hAnsi="Arial" w:cs="Arial"/>
        </w:rPr>
        <w:t>que</w:t>
      </w:r>
      <w:proofErr w:type="gramEnd"/>
      <w:r w:rsidRPr="00430F63">
        <w:rPr>
          <w:rFonts w:ascii="Arial" w:hAnsi="Arial" w:cs="Arial"/>
        </w:rPr>
        <w:t xml:space="preserve"> si el objeto del contrato es indivisible, de modo que sólo sirve al contratante su ejecución completa, el valor de la cláusula penal se debe pagar íntegramente; salvo que la administración acepte del contratista la parte ejecutada.</w:t>
      </w:r>
      <w:r w:rsidR="00082820">
        <w:rPr>
          <w:rFonts w:ascii="Arial" w:hAnsi="Arial" w:cs="Arial"/>
          <w:sz w:val="21"/>
          <w:szCs w:val="21"/>
        </w:rPr>
        <w:t>”</w:t>
      </w:r>
      <w:r w:rsidRPr="00430F63">
        <w:rPr>
          <w:rStyle w:val="Refdenotaalpie"/>
          <w:rFonts w:ascii="Arial" w:hAnsi="Arial" w:cs="Arial"/>
          <w:sz w:val="21"/>
          <w:szCs w:val="21"/>
        </w:rPr>
        <w:footnoteReference w:id="23"/>
      </w:r>
    </w:p>
    <w:p w14:paraId="18FE89FD" w14:textId="77777777" w:rsidR="00063961" w:rsidRPr="00430F63" w:rsidRDefault="00063961" w:rsidP="00063961">
      <w:pPr>
        <w:spacing w:after="0" w:line="276" w:lineRule="auto"/>
        <w:ind w:firstLine="708"/>
        <w:contextualSpacing/>
        <w:jc w:val="both"/>
        <w:rPr>
          <w:rFonts w:ascii="Arial" w:hAnsi="Arial" w:cs="Arial"/>
          <w:bCs/>
          <w:color w:val="000000" w:themeColor="text1"/>
          <w:lang w:val="es-ES_tradnl"/>
        </w:rPr>
      </w:pPr>
    </w:p>
    <w:p w14:paraId="78006993" w14:textId="006368A9" w:rsidR="00063961" w:rsidRPr="00430F63" w:rsidRDefault="00063961" w:rsidP="00063961">
      <w:pPr>
        <w:spacing w:after="0" w:line="276" w:lineRule="auto"/>
        <w:ind w:firstLine="708"/>
        <w:contextualSpacing/>
        <w:jc w:val="both"/>
        <w:rPr>
          <w:rFonts w:ascii="Arial" w:hAnsi="Arial" w:cs="Arial"/>
          <w:bCs/>
          <w:color w:val="000000" w:themeColor="text1"/>
          <w:lang w:val="es-ES_tradnl"/>
        </w:rPr>
      </w:pPr>
      <w:r w:rsidRPr="00430F63">
        <w:rPr>
          <w:rFonts w:ascii="Arial" w:hAnsi="Arial" w:cs="Arial"/>
          <w:bCs/>
          <w:color w:val="000000" w:themeColor="text1"/>
          <w:lang w:val="es-ES_tradnl"/>
        </w:rPr>
        <w:t xml:space="preserve">Finalmente, la Entidad Pública cuando al momento de iniciar el procedimiento administrativo sancionatorio contractual  tenga que cuantificar los perjuicios ocasionados por el incumplimiento, debe atender a los principios de proporcionalidad, y verificar: </w:t>
      </w:r>
      <w:r w:rsidR="00082820">
        <w:rPr>
          <w:rFonts w:ascii="Arial" w:hAnsi="Arial" w:cs="Arial"/>
          <w:sz w:val="21"/>
          <w:szCs w:val="21"/>
        </w:rPr>
        <w:t>“</w:t>
      </w:r>
      <w:r w:rsidRPr="00430F63">
        <w:rPr>
          <w:rFonts w:ascii="Arial" w:hAnsi="Arial" w:cs="Arial"/>
        </w:rPr>
        <w:t>i) El porcentaje de obra efectivamente ejecutado por el contratista, y ii) si la entidad pública contratante recibió esta parte del objeto contractual</w:t>
      </w:r>
      <w:r w:rsidR="00082820">
        <w:rPr>
          <w:rFonts w:ascii="Arial" w:hAnsi="Arial" w:cs="Arial"/>
          <w:sz w:val="21"/>
          <w:szCs w:val="21"/>
        </w:rPr>
        <w:t>”</w:t>
      </w:r>
      <w:r w:rsidRPr="00430F63">
        <w:rPr>
          <w:rStyle w:val="Refdenotaalpie"/>
          <w:rFonts w:ascii="Arial" w:hAnsi="Arial" w:cs="Arial"/>
          <w:sz w:val="21"/>
          <w:szCs w:val="21"/>
        </w:rPr>
        <w:footnoteReference w:id="24"/>
      </w:r>
      <w:r w:rsidRPr="00430F63">
        <w:rPr>
          <w:rFonts w:ascii="Arial" w:hAnsi="Arial" w:cs="Arial"/>
        </w:rPr>
        <w:t xml:space="preserve">, con la finalidad de aplicar de manera razonada la cláusula penal pecuniaria y no incurrir en excesos. </w:t>
      </w:r>
      <w:r w:rsidRPr="00430F63">
        <w:rPr>
          <w:rFonts w:ascii="Arial" w:hAnsi="Arial" w:cs="Arial"/>
          <w:bCs/>
          <w:color w:val="000000" w:themeColor="text1"/>
          <w:lang w:val="es-ES_tradnl"/>
        </w:rPr>
        <w:t xml:space="preserve"> </w:t>
      </w:r>
    </w:p>
    <w:p w14:paraId="42DF3539" w14:textId="77777777" w:rsidR="00063961" w:rsidRPr="00430F63" w:rsidRDefault="00063961" w:rsidP="00063961">
      <w:pPr>
        <w:spacing w:after="0" w:line="276" w:lineRule="auto"/>
        <w:contextualSpacing/>
        <w:jc w:val="both"/>
        <w:rPr>
          <w:rFonts w:ascii="Arial" w:eastAsia="Times New Roman" w:hAnsi="Arial" w:cs="Arial"/>
          <w:bCs/>
          <w:color w:val="000000" w:themeColor="text1"/>
          <w:lang w:eastAsia="es-ES_tradnl"/>
        </w:rPr>
      </w:pPr>
    </w:p>
    <w:p w14:paraId="08099943" w14:textId="77777777" w:rsidR="00063961" w:rsidRDefault="00063961" w:rsidP="00063961">
      <w:pPr>
        <w:tabs>
          <w:tab w:val="left" w:pos="709"/>
        </w:tabs>
        <w:spacing w:after="0" w:line="276" w:lineRule="auto"/>
        <w:contextualSpacing/>
        <w:jc w:val="both"/>
        <w:rPr>
          <w:rFonts w:ascii="Arial" w:eastAsia="Calibri" w:hAnsi="Arial" w:cs="Arial"/>
          <w:b/>
        </w:rPr>
      </w:pPr>
      <w:r w:rsidRPr="00430F63">
        <w:rPr>
          <w:rFonts w:ascii="Arial" w:eastAsia="Calibri" w:hAnsi="Arial" w:cs="Arial"/>
          <w:b/>
        </w:rPr>
        <w:t>3. Respuesta</w:t>
      </w:r>
    </w:p>
    <w:p w14:paraId="460880EB" w14:textId="77777777" w:rsidR="003D71FF" w:rsidRDefault="003D71FF" w:rsidP="00063961">
      <w:pPr>
        <w:tabs>
          <w:tab w:val="left" w:pos="709"/>
        </w:tabs>
        <w:spacing w:after="0" w:line="276" w:lineRule="auto"/>
        <w:contextualSpacing/>
        <w:jc w:val="both"/>
        <w:rPr>
          <w:rFonts w:ascii="Arial" w:eastAsia="Calibri" w:hAnsi="Arial" w:cs="Arial"/>
          <w:b/>
        </w:rPr>
      </w:pPr>
    </w:p>
    <w:p w14:paraId="4BF060C1" w14:textId="22A77334" w:rsidR="003D71FF" w:rsidRPr="003D71FF" w:rsidRDefault="003D71FF" w:rsidP="003D71FF">
      <w:pPr>
        <w:pStyle w:val="gmail-msonospacing"/>
        <w:ind w:left="708" w:right="900"/>
        <w:contextualSpacing/>
        <w:jc w:val="both"/>
        <w:rPr>
          <w:rFonts w:ascii="Arial" w:hAnsi="Arial" w:cs="Arial"/>
          <w:sz w:val="21"/>
          <w:szCs w:val="21"/>
        </w:rPr>
      </w:pPr>
      <w:r>
        <w:rPr>
          <w:rFonts w:ascii="Arial" w:hAnsi="Arial" w:cs="Arial"/>
          <w:sz w:val="21"/>
          <w:szCs w:val="21"/>
        </w:rPr>
        <w:t>“</w:t>
      </w:r>
      <w:r w:rsidRPr="00D63BEF">
        <w:rPr>
          <w:rFonts w:ascii="Arial" w:hAnsi="Arial" w:cs="Arial"/>
          <w:sz w:val="21"/>
          <w:szCs w:val="21"/>
        </w:rPr>
        <w:t xml:space="preserve">La inquietud se presenta por cuanto existen contratos en los cuales se pacta la cláusula de multa y en ella misma, se establece cómo se cuantifica la correspondiente multa. </w:t>
      </w:r>
      <w:r>
        <w:rPr>
          <w:rFonts w:ascii="Arial" w:hAnsi="Arial" w:cs="Arial"/>
          <w:sz w:val="21"/>
          <w:szCs w:val="21"/>
        </w:rPr>
        <w:t xml:space="preserve"> […] </w:t>
      </w:r>
      <w:r w:rsidRPr="00966C21">
        <w:rPr>
          <w:rFonts w:ascii="Arial" w:hAnsi="Arial" w:cs="Arial"/>
          <w:sz w:val="21"/>
          <w:szCs w:val="21"/>
        </w:rPr>
        <w:t xml:space="preserve">a) ¿En un proceso administrativo sancionatorio de naturaleza contractual, cuando la administración pretende imponer una multa acordada en el contrato en la que se pactó su forma de tasación, es necesario hacer la cuantificación de los perjuicios del incumplimiento, atendiendo lo que dice el encabezado del artículo 86 de la ley 1474? O, por el contrario, </w:t>
      </w:r>
      <w:r w:rsidRPr="003D71FF">
        <w:rPr>
          <w:rFonts w:ascii="Arial" w:hAnsi="Arial" w:cs="Arial"/>
          <w:sz w:val="21"/>
          <w:szCs w:val="21"/>
        </w:rPr>
        <w:t xml:space="preserve">b) ¿no es necesario tasar los perjuicios atendiendo la naturaleza de la multa y a que la cláusula que la </w:t>
      </w:r>
      <w:proofErr w:type="gramStart"/>
      <w:r w:rsidRPr="003D71FF">
        <w:rPr>
          <w:rFonts w:ascii="Arial" w:hAnsi="Arial" w:cs="Arial"/>
          <w:sz w:val="21"/>
          <w:szCs w:val="21"/>
        </w:rPr>
        <w:t>regula,</w:t>
      </w:r>
      <w:proofErr w:type="gramEnd"/>
      <w:r w:rsidRPr="003D71FF">
        <w:rPr>
          <w:rFonts w:ascii="Arial" w:hAnsi="Arial" w:cs="Arial"/>
          <w:sz w:val="21"/>
          <w:szCs w:val="21"/>
        </w:rPr>
        <w:t xml:space="preserve"> ya convino de antemano su forma de tasación. De ser afirmativa la respuesta a la pregunta a), se solicita igualmente absolver el siguiente interrogante: </w:t>
      </w:r>
      <w:r>
        <w:rPr>
          <w:rFonts w:ascii="Arial" w:hAnsi="Arial" w:cs="Arial"/>
          <w:sz w:val="21"/>
          <w:szCs w:val="21"/>
        </w:rPr>
        <w:t xml:space="preserve"> </w:t>
      </w:r>
      <w:r w:rsidRPr="003D71FF">
        <w:rPr>
          <w:rFonts w:ascii="Arial" w:hAnsi="Arial" w:cs="Arial"/>
          <w:sz w:val="21"/>
          <w:szCs w:val="21"/>
        </w:rPr>
        <w:t>c) ¿Cual prevalece, la tasación que se impone en la cláusula de multa o, la tasación del perjuicio?</w:t>
      </w:r>
      <w:r>
        <w:rPr>
          <w:rFonts w:ascii="Arial" w:hAnsi="Arial" w:cs="Arial"/>
          <w:sz w:val="21"/>
          <w:szCs w:val="21"/>
        </w:rPr>
        <w:t xml:space="preserve">” (sic). </w:t>
      </w:r>
    </w:p>
    <w:p w14:paraId="12949D48" w14:textId="77777777" w:rsidR="003D71FF" w:rsidRPr="00430F63" w:rsidRDefault="003D71FF" w:rsidP="00063961">
      <w:pPr>
        <w:tabs>
          <w:tab w:val="left" w:pos="709"/>
        </w:tabs>
        <w:spacing w:after="0" w:line="276" w:lineRule="auto"/>
        <w:contextualSpacing/>
        <w:jc w:val="both"/>
        <w:rPr>
          <w:rFonts w:ascii="Arial" w:eastAsia="Calibri" w:hAnsi="Arial" w:cs="Arial"/>
          <w:b/>
        </w:rPr>
      </w:pPr>
    </w:p>
    <w:p w14:paraId="070329CB" w14:textId="77777777" w:rsidR="00063961" w:rsidRPr="00430F63" w:rsidRDefault="00063961" w:rsidP="00063961">
      <w:pPr>
        <w:spacing w:after="120" w:line="276" w:lineRule="auto"/>
        <w:jc w:val="both"/>
        <w:rPr>
          <w:rFonts w:ascii="Arial" w:hAnsi="Arial" w:cs="Arial"/>
          <w:color w:val="000000" w:themeColor="text1"/>
        </w:rPr>
      </w:pPr>
      <w:r w:rsidRPr="00430F63">
        <w:rPr>
          <w:rFonts w:ascii="Arial" w:hAnsi="Arial" w:cs="Arial"/>
          <w:color w:val="000000" w:themeColor="text1"/>
        </w:rPr>
        <w:lastRenderedPageBreak/>
        <w:t xml:space="preserve">Conforme a los expuesto, la competencia atribuida a esta entidad por </w:t>
      </w:r>
      <w:r w:rsidRPr="00430F63">
        <w:rPr>
          <w:rFonts w:ascii="Arial" w:hAnsi="Arial" w:cs="Arial"/>
          <w:bCs/>
          <w:lang w:eastAsia="es-ES_tradnl"/>
        </w:rPr>
        <w:t xml:space="preserve">los artículos 3.5 y 11.8 del Decreto 4170 de 2011 se limita a la resolución de consultas sobre la aplicación de normas de alcance general en materia de contratación estatal y compras públicas. </w:t>
      </w:r>
      <w:r w:rsidRPr="00430F63">
        <w:rPr>
          <w:rFonts w:ascii="Arial" w:hAnsi="Arial" w:cs="Arial"/>
          <w:color w:val="000000" w:themeColor="text1"/>
        </w:rPr>
        <w:t>Esta competencia de interpretación de normas generales no puede extenderse a la resolución de controversias, ni a brindar asesorías sobre casos puntuales. Esto en la medida en que, para resolver una consulta de carácter particular, además de conocer un sin 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1F6705E0" w14:textId="77777777" w:rsidR="00063961" w:rsidRPr="00430F63" w:rsidRDefault="00063961" w:rsidP="00063961">
      <w:pPr>
        <w:spacing w:line="276" w:lineRule="auto"/>
        <w:ind w:firstLine="708"/>
        <w:jc w:val="both"/>
        <w:rPr>
          <w:rFonts w:ascii="Arial" w:hAnsi="Arial" w:cs="Arial"/>
        </w:rPr>
      </w:pPr>
      <w:r w:rsidRPr="00430F63">
        <w:rPr>
          <w:rFonts w:ascii="Arial" w:hAnsi="Arial" w:cs="Arial"/>
        </w:rPr>
        <w:t xml:space="preserve">Sin perjuicio de lo anterior, haciendo abstracción del caso particular expuesto en la consulta y con sustento en las anteriores consideraciones, se recuerda que el monto de la cláusula penal pecuniaria tiene que atender al principio de proporcionalidad, y que de acuerdo con el artículo 1596 del Código Civil, se puede disminuir la pena de acuerdo al porcentaje de obra efectivamente ejecutado por el contratista, que de acuerdo con la jurisprudencia citada, el monto no se determina por la magnitud del daño sino por la parte de ejecución del contrato que haya realizado el contratista. </w:t>
      </w:r>
    </w:p>
    <w:p w14:paraId="4E592487" w14:textId="2579787E" w:rsidR="00063961" w:rsidRDefault="00063961" w:rsidP="00063961">
      <w:pPr>
        <w:spacing w:after="0" w:line="276" w:lineRule="auto"/>
        <w:ind w:firstLine="708"/>
        <w:contextualSpacing/>
        <w:jc w:val="both"/>
        <w:rPr>
          <w:rFonts w:ascii="Arial" w:hAnsi="Arial" w:cs="Arial"/>
        </w:rPr>
      </w:pPr>
      <w:r w:rsidRPr="00430F63">
        <w:rPr>
          <w:rFonts w:ascii="Arial" w:hAnsi="Arial" w:cs="Arial"/>
        </w:rPr>
        <w:t xml:space="preserve">Entonces, al momento de fijar el monto de la pena, se tendrá que tener en cuenta: </w:t>
      </w:r>
      <w:r w:rsidR="00082820">
        <w:rPr>
          <w:rFonts w:ascii="Arial" w:hAnsi="Arial" w:cs="Arial"/>
          <w:sz w:val="21"/>
          <w:szCs w:val="21"/>
        </w:rPr>
        <w:t>“</w:t>
      </w:r>
      <w:r w:rsidRPr="00430F63">
        <w:rPr>
          <w:rFonts w:ascii="Arial" w:hAnsi="Arial" w:cs="Arial"/>
        </w:rPr>
        <w:t>i) El porcentaje de obra efectivamente ejecutado por el contratista, y ii) si la entidad pública contratante recibió esta parte del objeto contractual</w:t>
      </w:r>
      <w:r w:rsidR="00082820">
        <w:rPr>
          <w:rFonts w:ascii="Arial" w:hAnsi="Arial" w:cs="Arial"/>
          <w:sz w:val="21"/>
          <w:szCs w:val="21"/>
        </w:rPr>
        <w:t>”</w:t>
      </w:r>
      <w:r w:rsidRPr="00430F63">
        <w:rPr>
          <w:rFonts w:ascii="Arial" w:hAnsi="Arial" w:cs="Arial"/>
        </w:rPr>
        <w:t xml:space="preserve">, con la finalidad de aplicar de manera razonada la cláusula penal pecuniaria </w:t>
      </w:r>
      <w:r w:rsidRPr="00430F63">
        <w:rPr>
          <w:rFonts w:ascii="Arial" w:hAnsi="Arial" w:cs="Arial"/>
          <w:bCs/>
          <w:color w:val="000000" w:themeColor="text1"/>
          <w:lang w:val="es-ES_tradnl"/>
        </w:rPr>
        <w:t xml:space="preserve">, </w:t>
      </w:r>
      <w:r w:rsidRPr="00430F63">
        <w:rPr>
          <w:rFonts w:ascii="Arial" w:hAnsi="Arial" w:cs="Arial"/>
        </w:rPr>
        <w:t xml:space="preserve">atendiendo a referentes objetivos claros y criterios que le sirvan de apoyo para tasar la proporción de la cláusula penal, de acuerdo con las pruebas, los hechos, y la valoración del incumplimiento (que puede ser total o parcial) por parte del contratista. </w:t>
      </w:r>
    </w:p>
    <w:p w14:paraId="34FD1C69" w14:textId="77777777" w:rsidR="0057396A" w:rsidRDefault="0057396A" w:rsidP="00063961">
      <w:pPr>
        <w:spacing w:after="0" w:line="276" w:lineRule="auto"/>
        <w:ind w:firstLine="708"/>
        <w:contextualSpacing/>
        <w:jc w:val="both"/>
        <w:rPr>
          <w:rFonts w:ascii="Arial" w:hAnsi="Arial" w:cs="Arial"/>
        </w:rPr>
      </w:pPr>
    </w:p>
    <w:p w14:paraId="0B178064" w14:textId="294E2DC5" w:rsidR="0057396A" w:rsidRDefault="0057396A" w:rsidP="00063961">
      <w:pPr>
        <w:spacing w:after="0" w:line="276" w:lineRule="auto"/>
        <w:ind w:firstLine="708"/>
        <w:contextualSpacing/>
        <w:jc w:val="both"/>
        <w:rPr>
          <w:rFonts w:ascii="Arial" w:hAnsi="Arial" w:cs="Arial"/>
        </w:rPr>
      </w:pPr>
      <w:r>
        <w:rPr>
          <w:rFonts w:ascii="Arial" w:hAnsi="Arial" w:cs="Arial"/>
        </w:rPr>
        <w:t xml:space="preserve">Conforme a lo anterior,  conviene </w:t>
      </w:r>
      <w:r w:rsidR="00F532BB">
        <w:rPr>
          <w:rFonts w:ascii="Arial" w:hAnsi="Arial" w:cs="Arial"/>
        </w:rPr>
        <w:t>r</w:t>
      </w:r>
      <w:r w:rsidR="00F532BB" w:rsidRPr="00F532BB">
        <w:rPr>
          <w:rFonts w:ascii="Arial" w:hAnsi="Arial" w:cs="Arial"/>
        </w:rPr>
        <w:t>esaltar lo dicho por la Sección Tercera del Consejo de Estado , en relación con las diferencias entre las multas y la cláusula penal, en el sentido de que, “[a]</w:t>
      </w:r>
      <w:proofErr w:type="spellStart"/>
      <w:r w:rsidR="00F532BB" w:rsidRPr="00F532BB">
        <w:rPr>
          <w:rFonts w:ascii="Arial" w:hAnsi="Arial" w:cs="Arial"/>
        </w:rPr>
        <w:t>unque</w:t>
      </w:r>
      <w:proofErr w:type="spellEnd"/>
      <w:r w:rsidR="00F532BB" w:rsidRPr="00F532BB">
        <w:rPr>
          <w:rFonts w:ascii="Arial" w:hAnsi="Arial" w:cs="Aria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2C18251A" w14:textId="77777777" w:rsidR="00F532BB" w:rsidRDefault="00F532BB" w:rsidP="00063961">
      <w:pPr>
        <w:spacing w:after="0" w:line="276" w:lineRule="auto"/>
        <w:ind w:firstLine="708"/>
        <w:contextualSpacing/>
        <w:jc w:val="both"/>
        <w:rPr>
          <w:rFonts w:ascii="Arial" w:hAnsi="Arial" w:cs="Arial"/>
        </w:rPr>
      </w:pPr>
    </w:p>
    <w:p w14:paraId="75A881E9" w14:textId="70CC70D6" w:rsidR="00F532BB" w:rsidRDefault="00F532BB" w:rsidP="00063961">
      <w:pPr>
        <w:spacing w:after="0" w:line="276" w:lineRule="auto"/>
        <w:ind w:firstLine="708"/>
        <w:contextualSpacing/>
        <w:jc w:val="both"/>
        <w:rPr>
          <w:rFonts w:ascii="Arial" w:hAnsi="Arial" w:cs="Arial"/>
        </w:rPr>
      </w:pPr>
      <w:r>
        <w:rPr>
          <w:rFonts w:ascii="Arial" w:hAnsi="Arial" w:cs="Arial"/>
        </w:rPr>
        <w:t>Por último, frente</w:t>
      </w:r>
      <w:r w:rsidRPr="00F532BB">
        <w:rPr>
          <w:rFonts w:ascii="Arial" w:hAnsi="Arial" w:cs="Arial"/>
        </w:rPr>
        <w:t xml:space="preserve"> a la tasación de perjuicios la jurisprudencia del Consejo de Estado ha sostenido que esta es discrecional por parte de la administración, sin embargo, debe ser abordada desde la perspectiva de la proporcionalidad. El principio de proporcionalidad es un principio general del derecho, y se ha resaltado su importancia en el ejercicio de cada una de las actuaciones administrativas, se ha dicho que este principio cumple dos funciones: “i) en primer lugar, sirve de criterio de acción, esto es, como sustento de las actuaciones de los distintos </w:t>
      </w:r>
      <w:r w:rsidRPr="00F532BB">
        <w:rPr>
          <w:rFonts w:ascii="Arial" w:hAnsi="Arial" w:cs="Arial"/>
        </w:rPr>
        <w:lastRenderedPageBreak/>
        <w:t>órganos del Estado, el cual se realiza con su observancia y aplicación a cada caso concreto. ii) En segundo lugar, es un criterio de control, pues debe adoptarlo el juez para efectos de evaluar la proporcionalidad de la respectiva actuación administrativa</w:t>
      </w:r>
    </w:p>
    <w:p w14:paraId="58707437" w14:textId="77777777" w:rsidR="00C8471C" w:rsidRDefault="00C8471C" w:rsidP="00063961">
      <w:pPr>
        <w:spacing w:after="0" w:line="276" w:lineRule="auto"/>
        <w:ind w:firstLine="708"/>
        <w:contextualSpacing/>
        <w:jc w:val="both"/>
        <w:rPr>
          <w:rFonts w:ascii="Arial" w:hAnsi="Arial" w:cs="Arial"/>
        </w:rPr>
      </w:pPr>
    </w:p>
    <w:p w14:paraId="718833FA" w14:textId="593BAD10" w:rsidR="00C8471C" w:rsidRPr="00EB0A4D" w:rsidRDefault="00C8471C" w:rsidP="00C8471C">
      <w:pPr>
        <w:spacing w:after="0" w:line="276" w:lineRule="auto"/>
        <w:jc w:val="both"/>
        <w:rPr>
          <w:rFonts w:ascii="Arial" w:eastAsia="Calibri" w:hAnsi="Arial" w:cs="Arial"/>
          <w:lang w:val="es-MX"/>
        </w:rPr>
      </w:pPr>
      <w:r w:rsidRPr="003806D1">
        <w:rPr>
          <w:rFonts w:ascii="Arial" w:eastAsia="Times New Roman" w:hAnsi="Arial" w:cs="Arial"/>
          <w:bCs/>
          <w:lang w:val="es-ES_tradnl" w:eastAsia="es-CO"/>
        </w:rPr>
        <w:t xml:space="preserve">En todo caso, corresponde a cada entidad estatal realizar el correspondiente análisis </w:t>
      </w:r>
      <w:r w:rsidR="002A4B2C">
        <w:rPr>
          <w:rFonts w:ascii="Arial" w:eastAsia="Times New Roman" w:hAnsi="Arial" w:cs="Arial"/>
          <w:bCs/>
          <w:lang w:val="es-ES_tradnl" w:eastAsia="es-CO"/>
        </w:rPr>
        <w:t xml:space="preserve">jurídico </w:t>
      </w:r>
      <w:r w:rsidRPr="003806D1">
        <w:rPr>
          <w:rFonts w:ascii="Arial" w:eastAsia="Times New Roman" w:hAnsi="Arial" w:cs="Arial"/>
          <w:bCs/>
          <w:lang w:val="es-ES_tradnl" w:eastAsia="es-CO"/>
        </w:rPr>
        <w:t xml:space="preserve">para </w:t>
      </w:r>
      <w:r w:rsidR="00000E89" w:rsidRPr="00000E89">
        <w:rPr>
          <w:rFonts w:ascii="Arial" w:eastAsia="Times New Roman" w:hAnsi="Arial" w:cs="Arial"/>
          <w:bCs/>
          <w:lang w:val="es-ES_tradnl" w:eastAsia="es-CO"/>
        </w:rPr>
        <w:t>cuantificar los perjuicios ocasionados por el incumplimiento</w:t>
      </w:r>
      <w:r w:rsidR="00000E89">
        <w:rPr>
          <w:rFonts w:ascii="Arial" w:eastAsia="Times New Roman" w:hAnsi="Arial" w:cs="Arial"/>
          <w:bCs/>
          <w:lang w:val="es-ES_tradnl" w:eastAsia="es-CO"/>
        </w:rPr>
        <w:t xml:space="preserve">  </w:t>
      </w:r>
      <w:r w:rsidRPr="003806D1">
        <w:rPr>
          <w:rFonts w:ascii="Arial" w:eastAsia="Times New Roman" w:hAnsi="Arial" w:cs="Arial"/>
          <w:bCs/>
          <w:lang w:val="es-ES_tradnl" w:eastAsia="es-CO"/>
        </w:rPr>
        <w:t xml:space="preserve">de acuerdo con la situación fáctica y jurídica particular del caso concreto, para lo cual las consideraciones expuestas en el presente concepto constituyen un instrumento orientador. </w:t>
      </w:r>
      <w:r w:rsidRPr="002E15FB">
        <w:rPr>
          <w:rFonts w:ascii="Arial" w:eastAsia="Calibri" w:hAnsi="Arial" w:cs="Arial"/>
          <w:bCs/>
          <w:lang w:val="es-MX" w:eastAsia="es-CO"/>
        </w:rPr>
        <w:t>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EB0A4D">
        <w:rPr>
          <w:rFonts w:ascii="Arial" w:hAnsi="Arial" w:cs="Arial"/>
          <w:bCs/>
          <w:lang w:val="es-ES"/>
        </w:rPr>
        <w:t xml:space="preserve"> </w:t>
      </w:r>
    </w:p>
    <w:p w14:paraId="15E0F0F2" w14:textId="77777777" w:rsidR="00C8471C" w:rsidRPr="00430F63" w:rsidRDefault="00C8471C" w:rsidP="00063961">
      <w:pPr>
        <w:spacing w:after="0" w:line="276" w:lineRule="auto"/>
        <w:ind w:firstLine="708"/>
        <w:contextualSpacing/>
        <w:jc w:val="both"/>
        <w:rPr>
          <w:rFonts w:ascii="Arial" w:hAnsi="Arial" w:cs="Arial"/>
          <w:bCs/>
          <w:color w:val="000000" w:themeColor="text1"/>
          <w:lang w:val="es-ES_tradnl"/>
        </w:rPr>
      </w:pPr>
    </w:p>
    <w:p w14:paraId="4CDB288B" w14:textId="77777777" w:rsidR="00063961" w:rsidRPr="00430F63" w:rsidRDefault="00063961" w:rsidP="00063961">
      <w:pPr>
        <w:spacing w:after="0" w:line="276" w:lineRule="auto"/>
        <w:ind w:firstLine="708"/>
        <w:contextualSpacing/>
        <w:jc w:val="both"/>
        <w:rPr>
          <w:rFonts w:ascii="Arial" w:hAnsi="Arial" w:cs="Arial"/>
          <w:bCs/>
          <w:color w:val="000000" w:themeColor="text1"/>
          <w:lang w:val="es-ES_tradnl"/>
        </w:rPr>
      </w:pPr>
    </w:p>
    <w:p w14:paraId="0EAF4865" w14:textId="77777777" w:rsidR="00063961" w:rsidRPr="00430F63" w:rsidRDefault="00063961" w:rsidP="00063961">
      <w:pPr>
        <w:spacing w:after="0" w:line="276" w:lineRule="auto"/>
        <w:contextualSpacing/>
        <w:jc w:val="both"/>
        <w:rPr>
          <w:rFonts w:ascii="Arial" w:eastAsia="Calibri" w:hAnsi="Arial" w:cs="Arial"/>
          <w:color w:val="1A1A1A" w:themeColor="background1" w:themeShade="1A"/>
          <w:lang w:val="es-ES_tradnl"/>
        </w:rPr>
      </w:pPr>
      <w:r w:rsidRPr="00430F63">
        <w:rPr>
          <w:rFonts w:ascii="Arial" w:eastAsia="Calibri" w:hAnsi="Arial" w:cs="Arial"/>
          <w:color w:val="1A1A1A" w:themeColor="background1" w:themeShade="1A"/>
          <w:lang w:val="es-ES_tradnl"/>
        </w:rPr>
        <w:t xml:space="preserve">Este concepto tiene el alcance previsto en el artículo 28 del Código de Procedimiento Administrativo y de lo Contencioso Administrativo </w:t>
      </w:r>
      <w:r w:rsidRPr="00430F63">
        <w:rPr>
          <w:rFonts w:ascii="Arial" w:hAnsi="Arial" w:cs="Arial"/>
          <w:bCs/>
          <w:color w:val="000000" w:themeColor="text1"/>
        </w:rPr>
        <w:t xml:space="preserve">y </w:t>
      </w:r>
      <w:r w:rsidRPr="00430F63">
        <w:rPr>
          <w:rFonts w:ascii="Arial" w:hAnsi="Arial" w:cs="Arial"/>
        </w:rPr>
        <w:t>las expresiones aquí utilizadas con mayúscula inicial deben ser entendidas con el significado que les otorga el artículo 2.2.1.1.1.3.1. del Decreto 1082 de 2015</w:t>
      </w:r>
      <w:r w:rsidRPr="00430F63">
        <w:rPr>
          <w:rFonts w:ascii="Arial" w:eastAsia="Calibri" w:hAnsi="Arial" w:cs="Arial"/>
          <w:color w:val="1A1A1A" w:themeColor="background1" w:themeShade="1A"/>
          <w:lang w:val="es-ES_tradnl"/>
        </w:rPr>
        <w:t>.</w:t>
      </w:r>
    </w:p>
    <w:p w14:paraId="757913BE" w14:textId="77777777" w:rsidR="00063961" w:rsidRPr="00430F63" w:rsidRDefault="00063961" w:rsidP="00063961">
      <w:pPr>
        <w:spacing w:line="276" w:lineRule="auto"/>
        <w:contextualSpacing/>
        <w:jc w:val="both"/>
        <w:rPr>
          <w:rFonts w:ascii="Arial" w:eastAsia="Calibri" w:hAnsi="Arial" w:cs="Arial"/>
          <w:lang w:val="es-ES_tradnl"/>
        </w:rPr>
      </w:pPr>
    </w:p>
    <w:p w14:paraId="40F7640C" w14:textId="77777777" w:rsidR="00063961" w:rsidRPr="00430F63" w:rsidRDefault="00063961" w:rsidP="00063961">
      <w:pPr>
        <w:spacing w:line="276" w:lineRule="auto"/>
        <w:contextualSpacing/>
        <w:jc w:val="both"/>
        <w:rPr>
          <w:rFonts w:ascii="Arial" w:hAnsi="Arial" w:cs="Arial"/>
          <w:lang w:eastAsia="es-CO"/>
        </w:rPr>
      </w:pPr>
      <w:r w:rsidRPr="00430F63">
        <w:rPr>
          <w:rFonts w:ascii="Arial" w:hAnsi="Arial" w:cs="Arial"/>
          <w:lang w:eastAsia="es-CO"/>
        </w:rPr>
        <w:t>Atentamente,</w:t>
      </w:r>
    </w:p>
    <w:p w14:paraId="6DC5FC4B" w14:textId="77777777" w:rsidR="00063961" w:rsidRPr="00430F63" w:rsidRDefault="00063961" w:rsidP="00063961">
      <w:pPr>
        <w:spacing w:line="276" w:lineRule="auto"/>
        <w:jc w:val="both"/>
        <w:rPr>
          <w:rFonts w:ascii="Arial" w:eastAsia="Arial" w:hAnsi="Arial" w:cs="Arial"/>
          <w:color w:val="000000"/>
          <w:lang w:eastAsia="es-ES_tradnl"/>
        </w:rPr>
      </w:pPr>
    </w:p>
    <w:p w14:paraId="5F6CC494" w14:textId="07CF6F1A" w:rsidR="00063961" w:rsidRPr="00430F63" w:rsidRDefault="007B7832" w:rsidP="00063961">
      <w:pPr>
        <w:spacing w:line="276" w:lineRule="auto"/>
        <w:jc w:val="center"/>
        <w:rPr>
          <w:rFonts w:ascii="Arial" w:eastAsia="Arial" w:hAnsi="Arial" w:cs="Arial"/>
          <w:color w:val="000000"/>
          <w:lang w:eastAsia="es-ES_tradnl"/>
        </w:rPr>
      </w:pPr>
      <w:r w:rsidRPr="007B7832">
        <w:rPr>
          <w:rFonts w:ascii="Calibri" w:eastAsia="Calibri" w:hAnsi="Calibri" w:cs="Times New Roman"/>
          <w:noProof/>
          <w:lang w:val="es-ES"/>
        </w:rPr>
        <w:drawing>
          <wp:inline distT="0" distB="0" distL="0" distR="0" wp14:anchorId="3BE5DEF6" wp14:editId="7CA744C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6ABE3B01" w14:textId="77777777" w:rsidR="00063961" w:rsidRPr="00430F63" w:rsidRDefault="00063961" w:rsidP="00063961">
      <w:pPr>
        <w:spacing w:line="276" w:lineRule="auto"/>
        <w:jc w:val="center"/>
        <w:rPr>
          <w:rFonts w:ascii="Arial" w:hAnsi="Arial" w:cs="Arial"/>
          <w:lang w:eastAsia="es-ES_tradnl"/>
        </w:rPr>
      </w:pPr>
    </w:p>
    <w:tbl>
      <w:tblPr>
        <w:tblStyle w:val="Tablaconcuadrcul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8471C" w:rsidRPr="00C8471C" w14:paraId="3CA069DF" w14:textId="77777777" w:rsidTr="0098622C">
        <w:trPr>
          <w:trHeight w:val="315"/>
        </w:trPr>
        <w:tc>
          <w:tcPr>
            <w:tcW w:w="812" w:type="dxa"/>
            <w:vAlign w:val="center"/>
            <w:hideMark/>
          </w:tcPr>
          <w:p w14:paraId="5B4A6530" w14:textId="77777777" w:rsidR="00C8471C" w:rsidRPr="00C8471C" w:rsidRDefault="00C8471C" w:rsidP="00C8471C">
            <w:pPr>
              <w:spacing w:line="276" w:lineRule="auto"/>
              <w:rPr>
                <w:rFonts w:ascii="Arial" w:eastAsia="Times New Roman" w:hAnsi="Arial" w:cs="Arial"/>
                <w:sz w:val="16"/>
                <w:szCs w:val="16"/>
                <w:lang w:eastAsia="es-ES"/>
              </w:rPr>
            </w:pPr>
            <w:r w:rsidRPr="00C8471C">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5018BD7A" w14:textId="77777777" w:rsidR="00C8471C" w:rsidRPr="00C8471C" w:rsidRDefault="00C8471C" w:rsidP="00C8471C">
            <w:pPr>
              <w:rPr>
                <w:rFonts w:ascii="Arial" w:eastAsia="Calibri" w:hAnsi="Arial" w:cs="Arial"/>
                <w:sz w:val="16"/>
                <w:szCs w:val="16"/>
                <w:lang w:val="es-ES_tradnl" w:eastAsia="es-ES"/>
              </w:rPr>
            </w:pPr>
            <w:r w:rsidRPr="00C8471C">
              <w:rPr>
                <w:rFonts w:ascii="Arial" w:eastAsia="Calibri" w:hAnsi="Arial" w:cs="Arial"/>
                <w:sz w:val="16"/>
                <w:szCs w:val="16"/>
                <w:lang w:val="es-ES_tradnl" w:eastAsia="es-ES"/>
              </w:rPr>
              <w:t>Gabriel Alejandro Murcia Taboada</w:t>
            </w:r>
          </w:p>
          <w:p w14:paraId="6029BF65" w14:textId="77777777" w:rsidR="00C8471C" w:rsidRPr="00C8471C" w:rsidRDefault="00C8471C" w:rsidP="00C8471C">
            <w:pPr>
              <w:spacing w:line="276" w:lineRule="auto"/>
              <w:rPr>
                <w:rFonts w:ascii="Arial" w:eastAsia="Times New Roman" w:hAnsi="Arial" w:cs="Arial"/>
                <w:sz w:val="16"/>
                <w:szCs w:val="16"/>
                <w:lang w:eastAsia="es-ES"/>
              </w:rPr>
            </w:pPr>
            <w:r w:rsidRPr="00C8471C">
              <w:rPr>
                <w:rFonts w:ascii="Arial" w:eastAsia="Calibri" w:hAnsi="Arial" w:cs="Arial"/>
                <w:sz w:val="16"/>
                <w:szCs w:val="16"/>
                <w:lang w:val="es-ES_tradnl" w:eastAsia="es-ES"/>
              </w:rPr>
              <w:t>Contratista de la Subdirección de Gestión Contractual</w:t>
            </w:r>
          </w:p>
        </w:tc>
      </w:tr>
      <w:tr w:rsidR="00C8471C" w:rsidRPr="00C8471C" w14:paraId="2D68FD86" w14:textId="77777777" w:rsidTr="0098622C">
        <w:trPr>
          <w:trHeight w:val="330"/>
        </w:trPr>
        <w:tc>
          <w:tcPr>
            <w:tcW w:w="812" w:type="dxa"/>
            <w:vAlign w:val="center"/>
            <w:hideMark/>
          </w:tcPr>
          <w:p w14:paraId="710A643A" w14:textId="77777777" w:rsidR="00C8471C" w:rsidRPr="00C8471C" w:rsidRDefault="00C8471C" w:rsidP="00C8471C">
            <w:pPr>
              <w:spacing w:line="276" w:lineRule="auto"/>
              <w:rPr>
                <w:rFonts w:ascii="Arial" w:eastAsia="Times New Roman" w:hAnsi="Arial" w:cs="Arial"/>
                <w:sz w:val="16"/>
                <w:szCs w:val="16"/>
                <w:lang w:eastAsia="es-ES"/>
              </w:rPr>
            </w:pPr>
            <w:r w:rsidRPr="00C8471C">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36B40B91" w14:textId="77777777" w:rsidR="00C8471C" w:rsidRPr="00C8471C" w:rsidRDefault="00C8471C" w:rsidP="00C8471C">
            <w:pPr>
              <w:rPr>
                <w:rFonts w:ascii="Arial" w:eastAsia="Times New Roman" w:hAnsi="Arial" w:cs="Arial"/>
                <w:color w:val="000000"/>
                <w:sz w:val="16"/>
                <w:szCs w:val="16"/>
                <w:lang w:val="es-ES" w:eastAsia="es-ES"/>
              </w:rPr>
            </w:pPr>
            <w:r w:rsidRPr="00C8471C">
              <w:rPr>
                <w:rFonts w:ascii="Arial" w:eastAsia="Times New Roman" w:hAnsi="Arial" w:cs="Arial"/>
                <w:color w:val="000000"/>
                <w:sz w:val="16"/>
                <w:szCs w:val="16"/>
                <w:lang w:val="es-ES" w:eastAsia="es-ES"/>
              </w:rPr>
              <w:t xml:space="preserve">Diana Carolina Armenta Celis </w:t>
            </w:r>
          </w:p>
          <w:p w14:paraId="342C9550" w14:textId="77777777" w:rsidR="00C8471C" w:rsidRPr="00C8471C" w:rsidRDefault="00C8471C" w:rsidP="00C8471C">
            <w:pPr>
              <w:rPr>
                <w:rFonts w:ascii="Arial" w:eastAsia="Times New Roman" w:hAnsi="Arial" w:cs="Arial"/>
                <w:color w:val="000000"/>
                <w:sz w:val="16"/>
                <w:szCs w:val="16"/>
                <w:lang w:val="es-ES" w:eastAsia="es-ES"/>
              </w:rPr>
            </w:pPr>
            <w:r w:rsidRPr="00C8471C">
              <w:rPr>
                <w:rFonts w:ascii="Arial" w:eastAsia="Times New Roman" w:hAnsi="Arial" w:cs="Arial"/>
                <w:color w:val="000000"/>
                <w:sz w:val="16"/>
                <w:szCs w:val="16"/>
                <w:lang w:val="es-ES" w:eastAsia="es-ES"/>
              </w:rPr>
              <w:t xml:space="preserve">Contratista de la Subdirección de Gestión Contractual    </w:t>
            </w:r>
          </w:p>
        </w:tc>
      </w:tr>
      <w:tr w:rsidR="00C8471C" w:rsidRPr="00C8471C" w14:paraId="7843BBF6" w14:textId="77777777" w:rsidTr="0098622C">
        <w:trPr>
          <w:trHeight w:val="300"/>
        </w:trPr>
        <w:tc>
          <w:tcPr>
            <w:tcW w:w="812" w:type="dxa"/>
            <w:vAlign w:val="center"/>
            <w:hideMark/>
          </w:tcPr>
          <w:p w14:paraId="2FD2C0E4" w14:textId="77777777" w:rsidR="00C8471C" w:rsidRPr="00C8471C" w:rsidRDefault="00C8471C" w:rsidP="00C8471C">
            <w:pPr>
              <w:spacing w:line="276" w:lineRule="auto"/>
              <w:rPr>
                <w:rFonts w:ascii="Arial" w:eastAsia="Times New Roman" w:hAnsi="Arial" w:cs="Arial"/>
                <w:sz w:val="16"/>
                <w:szCs w:val="16"/>
                <w:lang w:eastAsia="es-ES"/>
              </w:rPr>
            </w:pPr>
            <w:r w:rsidRPr="00C8471C">
              <w:rPr>
                <w:rFonts w:ascii="Arial" w:eastAsia="Times New Roman"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433EC20B" w14:textId="77777777" w:rsidR="00C8471C" w:rsidRPr="00C8471C" w:rsidRDefault="00C8471C" w:rsidP="00C8471C">
            <w:pPr>
              <w:spacing w:line="276" w:lineRule="auto"/>
              <w:rPr>
                <w:rFonts w:ascii="Arial" w:eastAsia="Calibri" w:hAnsi="Arial" w:cs="Arial"/>
                <w:sz w:val="16"/>
                <w:szCs w:val="16"/>
                <w:lang w:val="es-ES_tradnl" w:eastAsia="es-ES"/>
              </w:rPr>
            </w:pPr>
            <w:r w:rsidRPr="00C8471C">
              <w:rPr>
                <w:rFonts w:ascii="Arial" w:eastAsia="Calibri" w:hAnsi="Arial" w:cs="Arial"/>
                <w:sz w:val="16"/>
                <w:szCs w:val="16"/>
                <w:lang w:val="es-ES_tradnl" w:eastAsia="es-ES"/>
              </w:rPr>
              <w:t>Nohelia del Carmen Zawady Palacio</w:t>
            </w:r>
          </w:p>
          <w:p w14:paraId="59A70A51" w14:textId="77777777" w:rsidR="00C8471C" w:rsidRPr="00C8471C" w:rsidRDefault="00C8471C" w:rsidP="00C8471C">
            <w:pPr>
              <w:spacing w:line="276" w:lineRule="auto"/>
              <w:rPr>
                <w:rFonts w:ascii="Arial" w:eastAsia="Times New Roman" w:hAnsi="Arial" w:cs="Arial"/>
                <w:sz w:val="16"/>
                <w:szCs w:val="16"/>
                <w:lang w:eastAsia="es-ES"/>
              </w:rPr>
            </w:pPr>
            <w:r w:rsidRPr="00C8471C">
              <w:rPr>
                <w:rFonts w:ascii="Arial" w:eastAsia="Calibri" w:hAnsi="Arial" w:cs="Arial"/>
                <w:sz w:val="16"/>
                <w:szCs w:val="16"/>
                <w:lang w:val="es-ES_tradnl" w:eastAsia="es-ES"/>
              </w:rPr>
              <w:t>Subdirectora de Gestión Contractual</w:t>
            </w:r>
          </w:p>
        </w:tc>
      </w:tr>
      <w:bookmarkEnd w:id="0"/>
    </w:tbl>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BDF85" w14:textId="77777777" w:rsidR="00242AAA" w:rsidRDefault="00242AAA" w:rsidP="004A1847">
      <w:pPr>
        <w:spacing w:after="0" w:line="240" w:lineRule="auto"/>
      </w:pPr>
      <w:r>
        <w:separator/>
      </w:r>
    </w:p>
  </w:endnote>
  <w:endnote w:type="continuationSeparator" w:id="0">
    <w:p w14:paraId="30CBD2A0" w14:textId="77777777" w:rsidR="00242AAA" w:rsidRDefault="00242AAA" w:rsidP="004A1847">
      <w:pPr>
        <w:spacing w:after="0" w:line="240" w:lineRule="auto"/>
      </w:pPr>
      <w:r>
        <w:continuationSeparator/>
      </w:r>
    </w:p>
  </w:endnote>
  <w:endnote w:type="continuationNotice" w:id="1">
    <w:p w14:paraId="62A3B031" w14:textId="77777777" w:rsidR="00242AAA" w:rsidRDefault="00242A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A2935" w14:textId="77777777" w:rsidR="00242AAA" w:rsidRDefault="00242AAA" w:rsidP="004A1847">
      <w:pPr>
        <w:spacing w:after="0" w:line="240" w:lineRule="auto"/>
      </w:pPr>
      <w:r>
        <w:separator/>
      </w:r>
    </w:p>
  </w:footnote>
  <w:footnote w:type="continuationSeparator" w:id="0">
    <w:p w14:paraId="6768CB93" w14:textId="77777777" w:rsidR="00242AAA" w:rsidRDefault="00242AAA" w:rsidP="004A1847">
      <w:pPr>
        <w:spacing w:after="0" w:line="240" w:lineRule="auto"/>
      </w:pPr>
      <w:r>
        <w:continuationSeparator/>
      </w:r>
    </w:p>
  </w:footnote>
  <w:footnote w:type="continuationNotice" w:id="1">
    <w:p w14:paraId="2BFFF1A6" w14:textId="77777777" w:rsidR="00242AAA" w:rsidRDefault="00242AAA">
      <w:pPr>
        <w:spacing w:after="0" w:line="240" w:lineRule="auto"/>
      </w:pPr>
    </w:p>
  </w:footnote>
  <w:footnote w:id="2">
    <w:p w14:paraId="47F890C3" w14:textId="6F888E34" w:rsidR="00063961" w:rsidRPr="005469A3" w:rsidRDefault="00063961" w:rsidP="00063961">
      <w:pPr>
        <w:pStyle w:val="Textonotapie"/>
        <w:ind w:firstLine="708"/>
        <w:jc w:val="both"/>
        <w:rPr>
          <w:rFonts w:ascii="Arial" w:hAnsi="Arial" w:cs="Arial"/>
          <w:sz w:val="16"/>
          <w:szCs w:val="16"/>
          <w:lang w:val="es-ES"/>
        </w:rPr>
      </w:pPr>
      <w:r w:rsidRPr="005469A3">
        <w:rPr>
          <w:rStyle w:val="Refdenotaalpie"/>
          <w:rFonts w:ascii="Arial" w:hAnsi="Arial" w:cs="Arial"/>
          <w:sz w:val="16"/>
          <w:szCs w:val="16"/>
        </w:rPr>
        <w:footnoteRef/>
      </w:r>
      <w:r w:rsidRPr="005469A3">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469A3">
        <w:rPr>
          <w:rFonts w:ascii="Arial" w:hAnsi="Arial" w:cs="Arial"/>
          <w:i/>
          <w:iCs/>
          <w:sz w:val="16"/>
          <w:szCs w:val="16"/>
        </w:rPr>
        <w:t xml:space="preserve">ibidem </w:t>
      </w:r>
      <w:r w:rsidRPr="005469A3">
        <w:rPr>
          <w:rFonts w:ascii="Arial" w:hAnsi="Arial" w:cs="Arial"/>
          <w:sz w:val="16"/>
          <w:szCs w:val="16"/>
        </w:rPr>
        <w:t xml:space="preserve">señala, de manera precisa, las funciones de Colombia Compra Eficiente. Concretamente, el numeral 5º de este artículo establece que le corresponde a esta entidad: </w:t>
      </w:r>
      <w:r w:rsidR="00082820">
        <w:rPr>
          <w:rFonts w:ascii="Arial" w:hAnsi="Arial" w:cs="Arial"/>
          <w:sz w:val="16"/>
          <w:szCs w:val="16"/>
        </w:rPr>
        <w:t>“</w:t>
      </w:r>
      <w:r w:rsidRPr="005469A3">
        <w:rPr>
          <w:rFonts w:ascii="Arial" w:hAnsi="Arial" w:cs="Arial"/>
          <w:sz w:val="16"/>
          <w:szCs w:val="16"/>
        </w:rPr>
        <w:t>[a]</w:t>
      </w:r>
      <w:proofErr w:type="spellStart"/>
      <w:r w:rsidRPr="005469A3">
        <w:rPr>
          <w:rFonts w:ascii="Arial" w:hAnsi="Arial" w:cs="Arial"/>
          <w:sz w:val="16"/>
          <w:szCs w:val="16"/>
        </w:rPr>
        <w:t>bsolver</w:t>
      </w:r>
      <w:proofErr w:type="spellEnd"/>
      <w:r w:rsidRPr="005469A3">
        <w:rPr>
          <w:rFonts w:ascii="Arial" w:hAnsi="Arial" w:cs="Arial"/>
          <w:sz w:val="16"/>
          <w:szCs w:val="16"/>
        </w:rPr>
        <w:t xml:space="preserve"> consultas sobre la aplicación de normas de carácter general y expedir circulares externas en materia de compras y contratación pública</w:t>
      </w:r>
      <w:r w:rsidR="00082820">
        <w:rPr>
          <w:rFonts w:ascii="Arial" w:hAnsi="Arial" w:cs="Arial"/>
          <w:sz w:val="16"/>
          <w:szCs w:val="16"/>
        </w:rPr>
        <w:t>”</w:t>
      </w:r>
      <w:r w:rsidRPr="005469A3">
        <w:rPr>
          <w:rFonts w:ascii="Arial" w:hAnsi="Arial" w:cs="Arial"/>
          <w:sz w:val="16"/>
          <w:szCs w:val="16"/>
        </w:rPr>
        <w:t xml:space="preserve">. Seguidamente, el numeral 8º del artículo 11 ibidem señala que es función de la Subdirección de Gestión Contractual: </w:t>
      </w:r>
      <w:r w:rsidR="00082820">
        <w:rPr>
          <w:rFonts w:ascii="Arial" w:hAnsi="Arial" w:cs="Arial"/>
          <w:sz w:val="16"/>
          <w:szCs w:val="16"/>
        </w:rPr>
        <w:t>“</w:t>
      </w:r>
      <w:r w:rsidRPr="005469A3">
        <w:rPr>
          <w:rFonts w:ascii="Arial" w:hAnsi="Arial" w:cs="Arial"/>
          <w:sz w:val="16"/>
          <w:szCs w:val="16"/>
        </w:rPr>
        <w:t>[a]</w:t>
      </w:r>
      <w:proofErr w:type="spellStart"/>
      <w:r w:rsidRPr="005469A3">
        <w:rPr>
          <w:rFonts w:ascii="Arial" w:hAnsi="Arial" w:cs="Arial"/>
          <w:sz w:val="16"/>
          <w:szCs w:val="16"/>
        </w:rPr>
        <w:t>bsolver</w:t>
      </w:r>
      <w:proofErr w:type="spellEnd"/>
      <w:r w:rsidRPr="005469A3">
        <w:rPr>
          <w:rFonts w:ascii="Arial" w:hAnsi="Arial" w:cs="Arial"/>
          <w:sz w:val="16"/>
          <w:szCs w:val="16"/>
        </w:rPr>
        <w:t xml:space="preserve"> consultas sobre la aplicación de normas de carácter general</w:t>
      </w:r>
      <w:r w:rsidR="00082820">
        <w:rPr>
          <w:rFonts w:ascii="Arial" w:hAnsi="Arial" w:cs="Arial"/>
          <w:sz w:val="16"/>
          <w:szCs w:val="16"/>
        </w:rPr>
        <w:t>”</w:t>
      </w:r>
      <w:r w:rsidRPr="005469A3">
        <w:rPr>
          <w:rFonts w:ascii="Arial" w:hAnsi="Arial" w:cs="Arial"/>
          <w:sz w:val="16"/>
          <w:szCs w:val="16"/>
        </w:rPr>
        <w:t>.</w:t>
      </w:r>
    </w:p>
  </w:footnote>
  <w:footnote w:id="3">
    <w:p w14:paraId="25D67317" w14:textId="70C7F0AB" w:rsidR="00063961" w:rsidRPr="005469A3" w:rsidRDefault="00063961" w:rsidP="00063961">
      <w:pPr>
        <w:tabs>
          <w:tab w:val="left" w:pos="709"/>
        </w:tabs>
        <w:contextualSpacing/>
        <w:jc w:val="both"/>
        <w:rPr>
          <w:rFonts w:ascii="Arial" w:eastAsia="Calibri" w:hAnsi="Arial" w:cs="Arial"/>
          <w:bCs/>
          <w:sz w:val="16"/>
          <w:szCs w:val="16"/>
        </w:rPr>
      </w:pPr>
      <w:r w:rsidRPr="005469A3">
        <w:rPr>
          <w:rFonts w:ascii="Arial" w:hAnsi="Arial" w:cs="Arial"/>
          <w:sz w:val="16"/>
          <w:szCs w:val="16"/>
        </w:rPr>
        <w:tab/>
      </w:r>
      <w:r w:rsidRPr="005469A3">
        <w:rPr>
          <w:rStyle w:val="Refdenotaalpie"/>
          <w:rFonts w:ascii="Arial" w:hAnsi="Arial" w:cs="Arial"/>
          <w:sz w:val="16"/>
          <w:szCs w:val="16"/>
        </w:rPr>
        <w:footnoteRef/>
      </w:r>
      <w:r w:rsidRPr="005469A3">
        <w:rPr>
          <w:rFonts w:ascii="Arial" w:hAnsi="Arial" w:cs="Arial"/>
          <w:sz w:val="16"/>
          <w:szCs w:val="16"/>
        </w:rPr>
        <w:t xml:space="preserve"> </w:t>
      </w:r>
      <w:r w:rsidRPr="005469A3">
        <w:rPr>
          <w:rFonts w:ascii="Arial" w:eastAsia="Calibri" w:hAnsi="Arial" w:cs="Arial"/>
          <w:bCs/>
          <w:sz w:val="16"/>
          <w:szCs w:val="16"/>
        </w:rPr>
        <w:t xml:space="preserve">Al respecto, el profesor Enrique José Arboleda Perdomo, al interpretar el artículo transcrito, expuso lo siguiente: </w:t>
      </w:r>
      <w:r w:rsidR="00082820">
        <w:rPr>
          <w:rFonts w:ascii="Arial" w:eastAsia="Calibri" w:hAnsi="Arial" w:cs="Arial"/>
          <w:bCs/>
          <w:sz w:val="16"/>
          <w:szCs w:val="16"/>
        </w:rPr>
        <w:t>“</w:t>
      </w:r>
      <w:r w:rsidRPr="005469A3">
        <w:rPr>
          <w:rFonts w:ascii="Arial" w:eastAsia="Calibri" w:hAnsi="Arial" w:cs="Arial"/>
          <w:bCs/>
          <w:sz w:val="16"/>
          <w:szCs w:val="16"/>
        </w:rPr>
        <w:t xml:space="preserve">El artículo 28 regula los efectos jurídicos de los conceptos que emita la entidad como respuesta a las consultas que le formulen los particulares, ordenando que </w:t>
      </w:r>
      <w:r w:rsidRPr="005469A3">
        <w:rPr>
          <w:rFonts w:ascii="Arial" w:eastAsia="Calibri" w:hAnsi="Arial" w:cs="Arial"/>
          <w:bCs/>
          <w:i/>
          <w:iCs/>
          <w:sz w:val="16"/>
          <w:szCs w:val="16"/>
        </w:rPr>
        <w:t>no serán de obligatorio cumplimiento o ejecución</w:t>
      </w:r>
      <w:r w:rsidRPr="005469A3">
        <w:rPr>
          <w:rFonts w:ascii="Arial" w:eastAsia="Calibri" w:hAnsi="Arial" w:cs="Arial"/>
          <w:bCs/>
          <w:sz w:val="16"/>
          <w:szCs w:val="16"/>
        </w:rPr>
        <w:t xml:space="preserve">. De este mandato surgen las siguientes consideraciones: </w:t>
      </w:r>
    </w:p>
    <w:p w14:paraId="2F0A0290" w14:textId="5C4F2D28" w:rsidR="00063961" w:rsidRPr="005469A3" w:rsidRDefault="00063961" w:rsidP="00063961">
      <w:pPr>
        <w:tabs>
          <w:tab w:val="left" w:pos="709"/>
        </w:tabs>
        <w:contextualSpacing/>
        <w:jc w:val="both"/>
        <w:rPr>
          <w:rFonts w:ascii="Arial" w:eastAsia="Calibri" w:hAnsi="Arial" w:cs="Arial"/>
          <w:bCs/>
          <w:sz w:val="16"/>
          <w:szCs w:val="16"/>
        </w:rPr>
      </w:pPr>
      <w:r w:rsidRPr="005469A3">
        <w:rPr>
          <w:rFonts w:ascii="Arial" w:eastAsia="Calibri" w:hAnsi="Arial" w:cs="Arial"/>
          <w:bCs/>
          <w:sz w:val="16"/>
          <w:szCs w:val="16"/>
        </w:rPr>
        <w:tab/>
      </w:r>
      <w:r w:rsidR="00082820">
        <w:rPr>
          <w:rFonts w:ascii="Arial" w:eastAsia="Calibri" w:hAnsi="Arial" w:cs="Arial"/>
          <w:bCs/>
          <w:sz w:val="16"/>
          <w:szCs w:val="16"/>
        </w:rPr>
        <w:t>“</w:t>
      </w:r>
      <w:r w:rsidRPr="005469A3">
        <w:rPr>
          <w:rFonts w:ascii="Arial" w:eastAsia="Calibri" w:hAnsi="Arial" w:cs="Arial"/>
          <w:bCs/>
          <w:sz w:val="16"/>
          <w:szCs w:val="16"/>
        </w:rPr>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E11138C" w14:textId="3DCE820A" w:rsidR="00063961" w:rsidRPr="005469A3" w:rsidRDefault="00063961" w:rsidP="00063961">
      <w:pPr>
        <w:tabs>
          <w:tab w:val="left" w:pos="709"/>
        </w:tabs>
        <w:contextualSpacing/>
        <w:jc w:val="both"/>
        <w:rPr>
          <w:rFonts w:ascii="Arial" w:eastAsia="Calibri" w:hAnsi="Arial" w:cs="Arial"/>
          <w:bCs/>
          <w:sz w:val="16"/>
          <w:szCs w:val="16"/>
        </w:rPr>
      </w:pPr>
      <w:r w:rsidRPr="005469A3">
        <w:rPr>
          <w:rFonts w:ascii="Arial" w:eastAsia="Calibri" w:hAnsi="Arial" w:cs="Arial"/>
          <w:bCs/>
          <w:sz w:val="16"/>
          <w:szCs w:val="16"/>
        </w:rPr>
        <w:tab/>
      </w:r>
      <w:r w:rsidR="00082820">
        <w:rPr>
          <w:rFonts w:ascii="Arial" w:eastAsia="Calibri" w:hAnsi="Arial" w:cs="Arial"/>
          <w:bCs/>
          <w:sz w:val="16"/>
          <w:szCs w:val="16"/>
        </w:rPr>
        <w:t>“</w:t>
      </w:r>
      <w:r w:rsidRPr="005469A3">
        <w:rPr>
          <w:rFonts w:ascii="Arial" w:eastAsia="Calibri" w:hAnsi="Arial" w:cs="Arial"/>
          <w:bCs/>
          <w:sz w:val="16"/>
          <w:szCs w:val="16"/>
        </w:rPr>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6027B567" w14:textId="306593EA" w:rsidR="00063961" w:rsidRPr="005469A3" w:rsidRDefault="00082820" w:rsidP="00063961">
      <w:pPr>
        <w:pStyle w:val="Textonotapie"/>
        <w:ind w:firstLine="708"/>
        <w:contextualSpacing/>
        <w:jc w:val="both"/>
        <w:rPr>
          <w:rFonts w:ascii="Arial" w:hAnsi="Arial" w:cs="Arial"/>
          <w:sz w:val="16"/>
          <w:szCs w:val="16"/>
        </w:rPr>
      </w:pPr>
      <w:r>
        <w:rPr>
          <w:rFonts w:ascii="Arial" w:eastAsia="Calibri" w:hAnsi="Arial" w:cs="Arial"/>
          <w:bCs/>
          <w:sz w:val="16"/>
          <w:szCs w:val="16"/>
        </w:rPr>
        <w:t>“</w:t>
      </w:r>
      <w:r w:rsidR="00063961" w:rsidRPr="005469A3">
        <w:rPr>
          <w:rFonts w:ascii="Arial" w:eastAsia="Calibri" w:hAnsi="Arial" w:cs="Arial"/>
          <w:bCs/>
          <w:sz w:val="16"/>
          <w:szCs w:val="16"/>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w:t>
      </w:r>
      <w:r>
        <w:rPr>
          <w:rFonts w:ascii="Arial" w:eastAsia="Calibri" w:hAnsi="Arial" w:cs="Arial"/>
          <w:bCs/>
          <w:sz w:val="16"/>
          <w:szCs w:val="16"/>
        </w:rPr>
        <w:t>”</w:t>
      </w:r>
      <w:r w:rsidR="00063961" w:rsidRPr="005469A3">
        <w:rPr>
          <w:rFonts w:ascii="Arial" w:eastAsia="Calibri" w:hAnsi="Arial" w:cs="Arial"/>
          <w:bCs/>
          <w:sz w:val="16"/>
          <w:szCs w:val="16"/>
        </w:rPr>
        <w:t xml:space="preserve">. </w:t>
      </w:r>
      <w:r w:rsidR="00063961" w:rsidRPr="005469A3">
        <w:rPr>
          <w:rFonts w:ascii="Arial" w:hAnsi="Arial" w:cs="Arial"/>
          <w:sz w:val="16"/>
          <w:szCs w:val="16"/>
        </w:rPr>
        <w:t>ARBOLEDA PERDOMO, Enrique José. Comentarios al Nuevo Código de Procedimiento Administrativo y de lo Contencioso Administrativo (2ª ed.). Editorial Legis. Bogotá. 2012. p.59.</w:t>
      </w:r>
    </w:p>
    <w:p w14:paraId="6E671E8F" w14:textId="77777777" w:rsidR="00063961" w:rsidRPr="005469A3" w:rsidRDefault="00063961" w:rsidP="00063961">
      <w:pPr>
        <w:pStyle w:val="Textonotapie"/>
        <w:ind w:firstLine="708"/>
        <w:contextualSpacing/>
        <w:jc w:val="both"/>
        <w:rPr>
          <w:rFonts w:ascii="Arial" w:eastAsia="Calibri" w:hAnsi="Arial" w:cs="Arial"/>
          <w:bCs/>
          <w:sz w:val="16"/>
          <w:szCs w:val="16"/>
          <w:lang w:val="es-CO"/>
        </w:rPr>
      </w:pPr>
    </w:p>
  </w:footnote>
  <w:footnote w:id="4">
    <w:p w14:paraId="050C549B" w14:textId="77777777" w:rsidR="00063961" w:rsidRPr="005469A3" w:rsidRDefault="00063961" w:rsidP="00063961">
      <w:pPr>
        <w:pStyle w:val="Textonotapie"/>
        <w:ind w:firstLine="709"/>
        <w:jc w:val="both"/>
        <w:rPr>
          <w:rFonts w:ascii="Arial" w:hAnsi="Arial" w:cs="Arial"/>
          <w:iCs/>
          <w:sz w:val="16"/>
          <w:szCs w:val="16"/>
        </w:rPr>
      </w:pPr>
      <w:r w:rsidRPr="005469A3">
        <w:rPr>
          <w:rStyle w:val="Refdenotaalpie"/>
          <w:rFonts w:ascii="Arial" w:hAnsi="Arial" w:cs="Arial"/>
          <w:sz w:val="16"/>
          <w:szCs w:val="16"/>
        </w:rPr>
        <w:footnoteRef/>
      </w:r>
      <w:r w:rsidRPr="005469A3">
        <w:rPr>
          <w:rFonts w:ascii="Arial" w:hAnsi="Arial" w:cs="Arial"/>
          <w:iCs/>
          <w:sz w:val="16"/>
          <w:szCs w:val="16"/>
        </w:rPr>
        <w:t xml:space="preserve"> Motivo por el cual son típicas cláusulas accidentales dentro de los contratos estatales, en los términos del artículo 1501 del Código Civil.</w:t>
      </w:r>
    </w:p>
  </w:footnote>
  <w:footnote w:id="5">
    <w:p w14:paraId="45166D24" w14:textId="77777777" w:rsidR="00063961" w:rsidRPr="005469A3" w:rsidRDefault="00063961" w:rsidP="00063961">
      <w:pPr>
        <w:pStyle w:val="Textonotapie"/>
        <w:ind w:firstLine="709"/>
        <w:jc w:val="both"/>
        <w:rPr>
          <w:rFonts w:ascii="Arial" w:hAnsi="Arial" w:cs="Arial"/>
          <w:sz w:val="16"/>
          <w:szCs w:val="16"/>
          <w:lang w:val="es-ES"/>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 Sección Tercera. Sentencia del 15 de noviembre de 2011. Rad. 20.916. Consejera Ponente: Olga Mélida Valle de la Hoz. </w:t>
      </w:r>
    </w:p>
  </w:footnote>
  <w:footnote w:id="6">
    <w:p w14:paraId="0865C5B7" w14:textId="77777777" w:rsidR="00063961" w:rsidRPr="005469A3" w:rsidRDefault="00063961" w:rsidP="00063961">
      <w:pPr>
        <w:pStyle w:val="Textonotapie"/>
        <w:ind w:firstLine="709"/>
        <w:jc w:val="both"/>
        <w:rPr>
          <w:rFonts w:ascii="Arial" w:hAnsi="Arial" w:cs="Arial"/>
          <w:iCs/>
          <w:sz w:val="16"/>
          <w:szCs w:val="16"/>
          <w:lang w:val="es-ES_tradnl"/>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w:t>
      </w:r>
      <w:r w:rsidRPr="005469A3">
        <w:rPr>
          <w:rFonts w:ascii="Arial" w:hAnsi="Arial" w:cs="Arial"/>
          <w:iCs/>
          <w:sz w:val="16"/>
          <w:szCs w:val="16"/>
          <w:lang w:val="es-ES_tradnl"/>
        </w:rPr>
        <w:t xml:space="preserve">. Sección Tercera. Sentencia del 23 de junio de 2010. Rad. 16.367. Consejero Ponente: Enrique Gil Botero. Véase también: </w:t>
      </w:r>
      <w:r w:rsidRPr="005469A3">
        <w:rPr>
          <w:rFonts w:ascii="Arial" w:hAnsi="Arial" w:cs="Arial"/>
          <w:sz w:val="16"/>
          <w:szCs w:val="16"/>
        </w:rPr>
        <w:t>Consejo de Estado. Sección Tercera. Sentencia del 13 de noviembre de 2008. Rad. 17.009. Consejero Ponente: Enrique Gil Botero.</w:t>
      </w:r>
    </w:p>
  </w:footnote>
  <w:footnote w:id="7">
    <w:p w14:paraId="435EA378" w14:textId="77777777" w:rsidR="00063961" w:rsidRPr="005469A3" w:rsidRDefault="00063961" w:rsidP="00063961">
      <w:pPr>
        <w:pStyle w:val="Textonotapie"/>
        <w:ind w:firstLine="709"/>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Corte Constitucional. Sentencia C-827 de 2001. Magistrado Ponente; Álvaro Tafur Galvis.</w:t>
      </w:r>
    </w:p>
  </w:footnote>
  <w:footnote w:id="8">
    <w:p w14:paraId="20B20FF5" w14:textId="77777777" w:rsidR="00063961" w:rsidRPr="005469A3" w:rsidRDefault="00063961" w:rsidP="00063961">
      <w:pPr>
        <w:pStyle w:val="Textonotapie"/>
        <w:ind w:firstLine="709"/>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vertAlign w:val="superscript"/>
        </w:rPr>
        <w:t xml:space="preserve"> </w:t>
      </w:r>
      <w:r w:rsidRPr="005469A3">
        <w:rPr>
          <w:rFonts w:ascii="Arial" w:hAnsi="Arial" w:cs="Arial"/>
          <w:sz w:val="16"/>
          <w:szCs w:val="16"/>
        </w:rPr>
        <w:t>Consejo de Estado. Sección Tercera. Sentencia del 13 de noviembre de 2008. Rad. 17.009. C.P. Enrique Gil Botero.</w:t>
      </w:r>
    </w:p>
  </w:footnote>
  <w:footnote w:id="9">
    <w:p w14:paraId="6A1AE9EA" w14:textId="77777777" w:rsidR="00063961" w:rsidRPr="005469A3" w:rsidRDefault="00063961" w:rsidP="00063961">
      <w:pPr>
        <w:pStyle w:val="Textonotapie"/>
        <w:ind w:firstLine="709"/>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Ibidem.</w:t>
      </w:r>
    </w:p>
    <w:p w14:paraId="258CB3E4" w14:textId="77777777" w:rsidR="00063961" w:rsidRPr="005469A3" w:rsidRDefault="00063961" w:rsidP="00063961">
      <w:pPr>
        <w:pStyle w:val="Textonotapie"/>
        <w:ind w:firstLine="709"/>
        <w:jc w:val="both"/>
        <w:rPr>
          <w:rFonts w:ascii="Arial" w:hAnsi="Arial" w:cs="Arial"/>
          <w:sz w:val="16"/>
          <w:szCs w:val="16"/>
        </w:rPr>
      </w:pPr>
    </w:p>
  </w:footnote>
  <w:footnote w:id="10">
    <w:p w14:paraId="21DDEB4D" w14:textId="77777777" w:rsidR="00063961" w:rsidRPr="005469A3" w:rsidRDefault="00063961" w:rsidP="00063961">
      <w:pPr>
        <w:ind w:firstLine="708"/>
        <w:contextualSpacing/>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CORTE SUPREMA DE JUSTICIA, Sala de Casación Civil, sentencia del 31 de julio de 2018, Radicación n.º 25899-31-03-002-2013-00162-01, M.P. Luis Alonso Rico Puerta.</w:t>
      </w:r>
    </w:p>
  </w:footnote>
  <w:footnote w:id="11">
    <w:p w14:paraId="5998A8A9" w14:textId="4045BE46" w:rsidR="00063961" w:rsidRPr="005469A3" w:rsidRDefault="00063961" w:rsidP="00063961">
      <w:pPr>
        <w:pStyle w:val="Textonotapie"/>
        <w:ind w:firstLine="708"/>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EXPÓSITO VÉLEZ, Juan Carlos. Forma y contenido del contrato estatal. Bogotá: Universidad Externado de Colombia, 2013. p. 181. Frente a este tema, David Suárez Tamayo expresa: </w:t>
      </w:r>
      <w:r w:rsidR="00082820">
        <w:rPr>
          <w:rFonts w:ascii="Arial" w:eastAsia="Times New Roman" w:hAnsi="Arial" w:cs="Arial"/>
          <w:iCs/>
          <w:sz w:val="16"/>
          <w:szCs w:val="16"/>
          <w:lang w:val="es-ES_tradnl"/>
        </w:rPr>
        <w:t>“</w:t>
      </w:r>
      <w:r w:rsidRPr="005469A3">
        <w:rPr>
          <w:rFonts w:ascii="Arial" w:hAnsi="Arial" w:cs="Arial"/>
          <w:sz w:val="16"/>
          <w:szCs w:val="16"/>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00082820">
        <w:rPr>
          <w:rFonts w:ascii="Arial" w:eastAsia="Times New Roman" w:hAnsi="Arial" w:cs="Arial"/>
          <w:iCs/>
          <w:sz w:val="16"/>
          <w:szCs w:val="16"/>
          <w:lang w:val="es-ES_tradnl"/>
        </w:rPr>
        <w:t>”</w:t>
      </w:r>
      <w:r w:rsidRPr="005469A3">
        <w:rPr>
          <w:rFonts w:ascii="Arial" w:hAnsi="Arial" w:cs="Arial"/>
          <w:sz w:val="16"/>
          <w:szCs w:val="16"/>
        </w:rPr>
        <w:t xml:space="preserve"> (</w:t>
      </w:r>
      <w:r w:rsidRPr="005469A3">
        <w:rPr>
          <w:rFonts w:ascii="Arial" w:hAnsi="Arial" w:cs="Arial"/>
          <w:sz w:val="16"/>
          <w:szCs w:val="16"/>
          <w:lang w:val="es-CO"/>
        </w:rPr>
        <w:t xml:space="preserve">SUÁREZ TAMAYO, David. Cláusula de multas y penal pecuniaria. Medellín: Librería Jurídica Sánchez R </w:t>
      </w:r>
      <w:proofErr w:type="spellStart"/>
      <w:r w:rsidRPr="005469A3">
        <w:rPr>
          <w:rFonts w:ascii="Arial" w:hAnsi="Arial" w:cs="Arial"/>
          <w:sz w:val="16"/>
          <w:szCs w:val="16"/>
          <w:lang w:val="es-CO"/>
        </w:rPr>
        <w:t>Ltda</w:t>
      </w:r>
      <w:proofErr w:type="spellEnd"/>
      <w:r w:rsidRPr="005469A3">
        <w:rPr>
          <w:rFonts w:ascii="Arial" w:hAnsi="Arial" w:cs="Arial"/>
          <w:sz w:val="16"/>
          <w:szCs w:val="16"/>
          <w:lang w:val="es-CO"/>
        </w:rPr>
        <w:t xml:space="preserve"> y CEDA, 2014.</w:t>
      </w:r>
      <w:r w:rsidRPr="005469A3">
        <w:rPr>
          <w:rFonts w:ascii="Arial" w:hAnsi="Arial" w:cs="Arial"/>
          <w:sz w:val="16"/>
          <w:szCs w:val="16"/>
        </w:rPr>
        <w:t xml:space="preserve"> p. 10).</w:t>
      </w:r>
    </w:p>
  </w:footnote>
  <w:footnote w:id="12">
    <w:p w14:paraId="508B445E" w14:textId="77777777" w:rsidR="00063961" w:rsidRPr="005469A3" w:rsidRDefault="00063961" w:rsidP="00063961">
      <w:pPr>
        <w:pStyle w:val="Textonotapie"/>
        <w:ind w:firstLine="708"/>
        <w:jc w:val="both"/>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 Sección Tercera. </w:t>
      </w:r>
      <w:proofErr w:type="spellStart"/>
      <w:r w:rsidRPr="005469A3">
        <w:rPr>
          <w:rFonts w:ascii="Arial" w:hAnsi="Arial" w:cs="Arial"/>
          <w:sz w:val="16"/>
          <w:szCs w:val="16"/>
        </w:rPr>
        <w:t>Op</w:t>
      </w:r>
      <w:proofErr w:type="spellEnd"/>
      <w:r w:rsidRPr="005469A3">
        <w:rPr>
          <w:rFonts w:ascii="Arial" w:hAnsi="Arial" w:cs="Arial"/>
          <w:sz w:val="16"/>
          <w:szCs w:val="16"/>
        </w:rPr>
        <w:t xml:space="preserve">. cit., </w:t>
      </w:r>
      <w:proofErr w:type="spellStart"/>
      <w:r w:rsidRPr="005469A3">
        <w:rPr>
          <w:rFonts w:ascii="Arial" w:hAnsi="Arial" w:cs="Arial"/>
          <w:sz w:val="16"/>
          <w:szCs w:val="16"/>
        </w:rPr>
        <w:t>Exp</w:t>
      </w:r>
      <w:proofErr w:type="spellEnd"/>
      <w:r w:rsidRPr="005469A3">
        <w:rPr>
          <w:rFonts w:ascii="Arial" w:hAnsi="Arial" w:cs="Arial"/>
          <w:sz w:val="16"/>
          <w:szCs w:val="16"/>
        </w:rPr>
        <w:t xml:space="preserve">. 17.009. </w:t>
      </w:r>
      <w:proofErr w:type="spellStart"/>
      <w:r w:rsidRPr="005469A3">
        <w:rPr>
          <w:rFonts w:ascii="Arial" w:hAnsi="Arial" w:cs="Arial"/>
          <w:i/>
          <w:sz w:val="16"/>
          <w:szCs w:val="16"/>
          <w:lang w:val="es-CO"/>
        </w:rPr>
        <w:t>Ibídem</w:t>
      </w:r>
      <w:proofErr w:type="spellEnd"/>
      <w:r w:rsidRPr="005469A3">
        <w:rPr>
          <w:rFonts w:ascii="Arial" w:hAnsi="Arial" w:cs="Arial"/>
          <w:i/>
          <w:sz w:val="16"/>
          <w:szCs w:val="16"/>
          <w:lang w:val="es-CO"/>
        </w:rPr>
        <w:t>.</w:t>
      </w:r>
      <w:r w:rsidRPr="005469A3">
        <w:rPr>
          <w:rFonts w:ascii="Arial" w:hAnsi="Arial" w:cs="Arial"/>
          <w:sz w:val="16"/>
          <w:szCs w:val="16"/>
          <w:lang w:val="es-CO"/>
        </w:rPr>
        <w:t xml:space="preserve"> </w:t>
      </w:r>
    </w:p>
  </w:footnote>
  <w:footnote w:id="13">
    <w:p w14:paraId="09CAB659" w14:textId="77777777" w:rsidR="00063961" w:rsidRPr="005469A3" w:rsidRDefault="00063961" w:rsidP="00063961">
      <w:pPr>
        <w:pStyle w:val="Textonotapie"/>
        <w:ind w:firstLine="709"/>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Corte Constitucional. Sentencia C-317 de 2012. M.P. María Victoria Calle Correa. </w:t>
      </w:r>
    </w:p>
    <w:p w14:paraId="40C232E6" w14:textId="77777777" w:rsidR="00063961" w:rsidRPr="005469A3" w:rsidRDefault="00063961" w:rsidP="00063961">
      <w:pPr>
        <w:pStyle w:val="Textonotapie"/>
        <w:ind w:firstLine="709"/>
        <w:jc w:val="both"/>
        <w:rPr>
          <w:rFonts w:ascii="Arial" w:hAnsi="Arial" w:cs="Arial"/>
          <w:sz w:val="16"/>
          <w:szCs w:val="16"/>
        </w:rPr>
      </w:pPr>
    </w:p>
  </w:footnote>
  <w:footnote w:id="14">
    <w:p w14:paraId="75276EBA" w14:textId="20CE82DE" w:rsidR="00063961" w:rsidRPr="005469A3" w:rsidRDefault="00063961" w:rsidP="00063961">
      <w:pPr>
        <w:pStyle w:val="Textonotapie"/>
        <w:ind w:firstLine="709"/>
        <w:jc w:val="both"/>
        <w:rPr>
          <w:rFonts w:ascii="Arial" w:hAnsi="Arial" w:cs="Arial"/>
          <w:color w:val="000000" w:themeColor="text1"/>
          <w:sz w:val="16"/>
          <w:szCs w:val="16"/>
        </w:rPr>
      </w:pPr>
      <w:r w:rsidRPr="005469A3">
        <w:rPr>
          <w:rStyle w:val="Refdenotaalpie"/>
          <w:rFonts w:ascii="Arial" w:hAnsi="Arial" w:cs="Arial"/>
          <w:color w:val="000000" w:themeColor="text1"/>
          <w:sz w:val="16"/>
          <w:szCs w:val="16"/>
        </w:rPr>
        <w:footnoteRef/>
      </w:r>
      <w:r w:rsidRPr="005469A3">
        <w:rPr>
          <w:rFonts w:ascii="Arial" w:hAnsi="Arial" w:cs="Arial"/>
          <w:color w:val="000000" w:themeColor="text1"/>
          <w:sz w:val="16"/>
          <w:szCs w:val="16"/>
        </w:rPr>
        <w:t xml:space="preserve"> Así se desprende del primer inciso de aquel artículo, que dice: </w:t>
      </w:r>
      <w:r w:rsidR="00082820">
        <w:rPr>
          <w:rFonts w:ascii="Arial" w:hAnsi="Arial" w:cs="Arial"/>
          <w:color w:val="000000" w:themeColor="text1"/>
          <w:sz w:val="16"/>
          <w:szCs w:val="16"/>
        </w:rPr>
        <w:t>“</w:t>
      </w:r>
      <w:r w:rsidRPr="005469A3">
        <w:rPr>
          <w:rFonts w:ascii="Arial" w:hAnsi="Arial" w:cs="Arial"/>
          <w:color w:val="000000" w:themeColor="text1"/>
          <w:sz w:val="16"/>
          <w:szCs w:val="16"/>
        </w:rPr>
        <w:t xml:space="preserve">Las entidades sometidas al Estatuto General de Contratación de la Administración Pública podrán declarar el incumplimiento, cuantificando los perjuicios </w:t>
      </w:r>
      <w:proofErr w:type="gramStart"/>
      <w:r w:rsidRPr="005469A3">
        <w:rPr>
          <w:rFonts w:ascii="Arial" w:hAnsi="Arial" w:cs="Arial"/>
          <w:color w:val="000000" w:themeColor="text1"/>
          <w:sz w:val="16"/>
          <w:szCs w:val="16"/>
        </w:rPr>
        <w:t>del mismo</w:t>
      </w:r>
      <w:proofErr w:type="gramEnd"/>
      <w:r w:rsidRPr="005469A3">
        <w:rPr>
          <w:rFonts w:ascii="Arial" w:hAnsi="Arial" w:cs="Arial"/>
          <w:color w:val="000000" w:themeColor="text1"/>
          <w:sz w:val="16"/>
          <w:szCs w:val="16"/>
        </w:rPr>
        <w:t>, imponer las multas y sanciones pactadas en el contrato, y hacer efectiva la cláusula penal. Para tal efecto observarán el siguiente procedimiento […]</w:t>
      </w:r>
      <w:r w:rsidR="00082820">
        <w:rPr>
          <w:rFonts w:ascii="Arial" w:hAnsi="Arial" w:cs="Arial"/>
          <w:color w:val="000000" w:themeColor="text1"/>
          <w:sz w:val="16"/>
          <w:szCs w:val="16"/>
        </w:rPr>
        <w:t>”</w:t>
      </w:r>
      <w:r w:rsidRPr="005469A3">
        <w:rPr>
          <w:rFonts w:ascii="Arial" w:hAnsi="Arial" w:cs="Arial"/>
          <w:color w:val="000000" w:themeColor="text1"/>
          <w:sz w:val="16"/>
          <w:szCs w:val="16"/>
        </w:rPr>
        <w:t>.</w:t>
      </w:r>
    </w:p>
    <w:p w14:paraId="04CFD939" w14:textId="77777777" w:rsidR="00063961" w:rsidRPr="005469A3" w:rsidRDefault="00063961" w:rsidP="00063961">
      <w:pPr>
        <w:pStyle w:val="Textonotapie"/>
        <w:ind w:firstLine="709"/>
        <w:jc w:val="both"/>
        <w:rPr>
          <w:rFonts w:ascii="Arial" w:hAnsi="Arial" w:cs="Arial"/>
          <w:color w:val="000000" w:themeColor="text1"/>
          <w:sz w:val="16"/>
          <w:szCs w:val="16"/>
        </w:rPr>
      </w:pPr>
    </w:p>
  </w:footnote>
  <w:footnote w:id="15">
    <w:p w14:paraId="34CD18BA" w14:textId="77777777" w:rsidR="00063961" w:rsidRPr="005469A3" w:rsidRDefault="00063961" w:rsidP="00063961">
      <w:pPr>
        <w:pStyle w:val="Textonotapie"/>
        <w:ind w:firstLine="709"/>
        <w:jc w:val="both"/>
        <w:rPr>
          <w:rFonts w:ascii="Arial" w:hAnsi="Arial" w:cs="Arial"/>
          <w:color w:val="000000" w:themeColor="text1"/>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w:t>
      </w:r>
      <w:r w:rsidRPr="005469A3">
        <w:rPr>
          <w:rFonts w:ascii="Arial" w:hAnsi="Arial" w:cs="Arial"/>
          <w:color w:val="000000" w:themeColor="text1"/>
          <w:sz w:val="16"/>
          <w:szCs w:val="16"/>
        </w:rPr>
        <w:t xml:space="preserve">Se entiende por entidades de </w:t>
      </w:r>
      <w:r w:rsidRPr="005469A3">
        <w:rPr>
          <w:rFonts w:ascii="Arial" w:hAnsi="Arial" w:cs="Arial"/>
          <w:i/>
          <w:iCs/>
          <w:color w:val="000000" w:themeColor="text1"/>
          <w:sz w:val="16"/>
          <w:szCs w:val="16"/>
        </w:rPr>
        <w:t xml:space="preserve">régimen especial </w:t>
      </w:r>
      <w:r w:rsidRPr="005469A3">
        <w:rPr>
          <w:rFonts w:ascii="Arial" w:hAnsi="Arial" w:cs="Arial"/>
          <w:color w:val="000000" w:themeColor="text1"/>
          <w:sz w:val="16"/>
          <w:szCs w:val="16"/>
        </w:rPr>
        <w:t>aquellas que tienen un régimen contractual distinto al Estatuto General de Contratación de la Administración Pública, y que por regla general se rigen por el derecho privado.</w:t>
      </w:r>
    </w:p>
    <w:p w14:paraId="3B3A7A2D" w14:textId="77777777" w:rsidR="00063961" w:rsidRPr="005469A3" w:rsidRDefault="00063961" w:rsidP="00063961">
      <w:pPr>
        <w:pStyle w:val="Textonotapie"/>
        <w:ind w:firstLine="709"/>
        <w:jc w:val="both"/>
        <w:rPr>
          <w:rFonts w:ascii="Arial" w:hAnsi="Arial" w:cs="Arial"/>
          <w:sz w:val="16"/>
          <w:szCs w:val="16"/>
          <w:lang w:val="es-CO"/>
        </w:rPr>
      </w:pPr>
    </w:p>
  </w:footnote>
  <w:footnote w:id="16">
    <w:p w14:paraId="4D6DEBAF" w14:textId="77777777" w:rsidR="00063961" w:rsidRPr="005469A3" w:rsidRDefault="00063961" w:rsidP="00063961">
      <w:pPr>
        <w:pStyle w:val="Textonotapie"/>
        <w:ind w:firstLine="709"/>
        <w:jc w:val="both"/>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w:t>
      </w:r>
      <w:r w:rsidRPr="005469A3">
        <w:rPr>
          <w:rFonts w:ascii="Arial" w:hAnsi="Arial" w:cs="Arial"/>
          <w:color w:val="000000" w:themeColor="text1"/>
          <w:sz w:val="16"/>
          <w:szCs w:val="16"/>
        </w:rPr>
        <w:t>Esto se ha señalado en distintos conceptos de esta Subdirección, como el C-219 del 29 de abril de 2020, el C-280 del 6 de julio de 2020 y el C–434 del 29 de julio de 2020.</w:t>
      </w:r>
    </w:p>
  </w:footnote>
  <w:footnote w:id="17">
    <w:p w14:paraId="0CF78287" w14:textId="23615829" w:rsidR="00063961" w:rsidRPr="005469A3" w:rsidRDefault="00063961" w:rsidP="00063961">
      <w:pPr>
        <w:pStyle w:val="Textonotapie"/>
        <w:ind w:firstLine="709"/>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La posibilidad de realizar la audiencia por medios electrónicos cuenta con un fundamento adicional actual, en el Decreto Legislativo 537 de 2020, que establece lo siguiente: </w:t>
      </w:r>
      <w:r w:rsidR="00082820">
        <w:rPr>
          <w:rFonts w:ascii="Arial" w:hAnsi="Arial" w:cs="Arial"/>
          <w:sz w:val="16"/>
          <w:szCs w:val="16"/>
        </w:rPr>
        <w:t>“</w:t>
      </w:r>
      <w:r w:rsidRPr="005469A3">
        <w:rPr>
          <w:rFonts w:ascii="Arial" w:hAnsi="Arial" w:cs="Arial"/>
          <w:sz w:val="16"/>
          <w:szCs w:val="16"/>
        </w:rPr>
        <w:t>Artículo 2. Adiciónese los siguientes incisos al artículo 86 de la Ley 1474 de 2011, así:</w:t>
      </w:r>
    </w:p>
    <w:p w14:paraId="0E572261" w14:textId="0758FD45" w:rsidR="00063961" w:rsidRPr="005469A3" w:rsidRDefault="00082820" w:rsidP="00063961">
      <w:pPr>
        <w:pStyle w:val="Textonotapie"/>
        <w:ind w:firstLine="709"/>
        <w:jc w:val="both"/>
        <w:rPr>
          <w:rFonts w:ascii="Arial" w:hAnsi="Arial" w:cs="Arial"/>
          <w:sz w:val="16"/>
          <w:szCs w:val="16"/>
        </w:rPr>
      </w:pPr>
      <w:r>
        <w:rPr>
          <w:rFonts w:ascii="Arial" w:hAnsi="Arial" w:cs="Arial"/>
          <w:sz w:val="16"/>
          <w:szCs w:val="16"/>
        </w:rPr>
        <w:t>“</w:t>
      </w:r>
      <w:r w:rsidR="00063961" w:rsidRPr="005469A3">
        <w:rPr>
          <w:rFonts w:ascii="Arial" w:hAnsi="Arial" w:cs="Arial"/>
          <w:sz w:val="16"/>
          <w:szCs w:val="16"/>
        </w:rPr>
        <w:t xml:space="preserve">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w:t>
      </w:r>
      <w:proofErr w:type="gramStart"/>
      <w:r w:rsidR="00063961" w:rsidRPr="005469A3">
        <w:rPr>
          <w:rFonts w:ascii="Arial" w:hAnsi="Arial" w:cs="Arial"/>
          <w:sz w:val="16"/>
          <w:szCs w:val="16"/>
        </w:rPr>
        <w:t>artículo,</w:t>
      </w:r>
      <w:proofErr w:type="gramEnd"/>
      <w:r w:rsidR="00063961" w:rsidRPr="005469A3">
        <w:rPr>
          <w:rFonts w:ascii="Arial" w:hAnsi="Arial" w:cs="Arial"/>
          <w:sz w:val="16"/>
          <w:szCs w:val="16"/>
        </w:rPr>
        <w:t xml:space="preserve"> se podrán realizar a través de medios electrónicos, los cuales deberán garantizar el acceso de los contratistas y de quienes hayan expedido la garantía.</w:t>
      </w:r>
    </w:p>
    <w:p w14:paraId="3FCE9298" w14:textId="19140820" w:rsidR="00063961" w:rsidRPr="005469A3" w:rsidRDefault="00082820" w:rsidP="00063961">
      <w:pPr>
        <w:pStyle w:val="Textonotapie"/>
        <w:ind w:firstLine="709"/>
        <w:jc w:val="both"/>
        <w:rPr>
          <w:rFonts w:ascii="Arial" w:hAnsi="Arial" w:cs="Arial"/>
          <w:sz w:val="16"/>
          <w:szCs w:val="16"/>
        </w:rPr>
      </w:pPr>
      <w:r>
        <w:rPr>
          <w:rFonts w:ascii="Arial" w:hAnsi="Arial" w:cs="Arial"/>
          <w:sz w:val="16"/>
          <w:szCs w:val="16"/>
        </w:rPr>
        <w:t>“</w:t>
      </w:r>
      <w:r w:rsidR="00063961" w:rsidRPr="005469A3">
        <w:rPr>
          <w:rFonts w:ascii="Arial" w:hAnsi="Arial" w:cs="Arial"/>
          <w:sz w:val="16"/>
          <w:szCs w:val="16"/>
        </w:rPr>
        <w:t>La entidad estatal debe elegir y garantizar los medios electrónicos y de comunicación que utilizará, así como los mecanismos para el registro de la Información generada.</w:t>
      </w:r>
    </w:p>
    <w:p w14:paraId="72DAA343" w14:textId="540A023E" w:rsidR="00063961" w:rsidRPr="005469A3" w:rsidRDefault="00082820" w:rsidP="00063961">
      <w:pPr>
        <w:pStyle w:val="Textonotapie"/>
        <w:ind w:firstLine="709"/>
        <w:jc w:val="both"/>
        <w:rPr>
          <w:rFonts w:ascii="Arial" w:hAnsi="Arial" w:cs="Arial"/>
          <w:sz w:val="16"/>
          <w:szCs w:val="16"/>
        </w:rPr>
      </w:pPr>
      <w:r>
        <w:rPr>
          <w:rFonts w:ascii="Arial" w:hAnsi="Arial" w:cs="Arial"/>
          <w:sz w:val="16"/>
          <w:szCs w:val="16"/>
        </w:rPr>
        <w:t>“</w:t>
      </w:r>
      <w:r w:rsidR="00063961" w:rsidRPr="005469A3">
        <w:rPr>
          <w:rFonts w:ascii="Arial" w:hAnsi="Arial" w:cs="Arial"/>
          <w:sz w:val="16"/>
          <w:szCs w:val="16"/>
        </w:rPr>
        <w:t>Sin perjuicio de lo anterior, el ordenador del gasto o funcionario competente podrá decretar la suspensión de términos, inclusive los iniciados con anterioridad a la vigencia de este Decreto</w:t>
      </w:r>
      <w:r>
        <w:rPr>
          <w:rFonts w:ascii="Arial" w:hAnsi="Arial" w:cs="Arial"/>
          <w:sz w:val="16"/>
          <w:szCs w:val="16"/>
        </w:rPr>
        <w:t>”</w:t>
      </w:r>
      <w:r w:rsidR="00063961" w:rsidRPr="005469A3">
        <w:rPr>
          <w:rFonts w:ascii="Arial" w:hAnsi="Arial" w:cs="Arial"/>
          <w:sz w:val="16"/>
          <w:szCs w:val="16"/>
        </w:rPr>
        <w:t xml:space="preserve">. </w:t>
      </w:r>
    </w:p>
  </w:footnote>
  <w:footnote w:id="18">
    <w:p w14:paraId="48B63D92" w14:textId="1A86E3E7" w:rsidR="00063961" w:rsidRPr="005469A3" w:rsidRDefault="00063961" w:rsidP="00063961">
      <w:pPr>
        <w:pStyle w:val="Textonotapie"/>
        <w:ind w:firstLine="709"/>
        <w:jc w:val="both"/>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En este sentido, Suárez Tamayo indica: </w:t>
      </w:r>
      <w:r w:rsidR="00082820">
        <w:rPr>
          <w:rFonts w:ascii="Arial" w:hAnsi="Arial" w:cs="Arial"/>
          <w:sz w:val="16"/>
          <w:szCs w:val="16"/>
        </w:rPr>
        <w:t>“</w:t>
      </w:r>
      <w:r w:rsidRPr="005469A3">
        <w:rPr>
          <w:rFonts w:ascii="Arial" w:hAnsi="Arial" w:cs="Arial"/>
          <w:sz w:val="16"/>
          <w:szCs w:val="16"/>
        </w:rPr>
        <w:t>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w:t>
      </w:r>
      <w:r w:rsidR="00082820">
        <w:rPr>
          <w:rFonts w:ascii="Arial" w:hAnsi="Arial" w:cs="Arial"/>
          <w:sz w:val="16"/>
          <w:szCs w:val="16"/>
        </w:rPr>
        <w:t>”</w:t>
      </w:r>
      <w:r w:rsidRPr="005469A3">
        <w:rPr>
          <w:rFonts w:ascii="Arial" w:hAnsi="Arial" w:cs="Arial"/>
          <w:sz w:val="16"/>
          <w:szCs w:val="16"/>
        </w:rPr>
        <w:t>. (SUÁREZ TAMAYO, David. Cláusula de multas y penal pecuniaria. Medellín: Centro de Estudios de Derecho Administrativo –CEDA– y Librería Jurídica Sánchez, 2014. p. 165).</w:t>
      </w:r>
    </w:p>
  </w:footnote>
  <w:footnote w:id="19">
    <w:p w14:paraId="1264EA2D" w14:textId="77777777" w:rsidR="00063961" w:rsidRPr="005469A3" w:rsidRDefault="00063961" w:rsidP="00063961">
      <w:pPr>
        <w:spacing w:line="240" w:lineRule="auto"/>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 Sala de lo Contencioso Administrativo, Sección Tercera. Sentencia del 13 de noviembre de 2008, </w:t>
      </w:r>
      <w:proofErr w:type="spellStart"/>
      <w:r w:rsidRPr="005469A3">
        <w:rPr>
          <w:rFonts w:ascii="Arial" w:hAnsi="Arial" w:cs="Arial"/>
          <w:sz w:val="16"/>
          <w:szCs w:val="16"/>
        </w:rPr>
        <w:t>exp</w:t>
      </w:r>
      <w:proofErr w:type="spellEnd"/>
      <w:r w:rsidRPr="005469A3">
        <w:rPr>
          <w:rFonts w:ascii="Arial" w:hAnsi="Arial" w:cs="Arial"/>
          <w:sz w:val="16"/>
          <w:szCs w:val="16"/>
        </w:rPr>
        <w:t xml:space="preserve">. 17009.  </w:t>
      </w:r>
    </w:p>
  </w:footnote>
  <w:footnote w:id="20">
    <w:p w14:paraId="4478758C" w14:textId="77777777" w:rsidR="00063961" w:rsidRPr="005469A3" w:rsidRDefault="00063961" w:rsidP="00063961">
      <w:pPr>
        <w:spacing w:line="240" w:lineRule="auto"/>
        <w:jc w:val="both"/>
        <w:rPr>
          <w:rFonts w:ascii="Arial" w:hAnsi="Arial" w:cs="Arial"/>
          <w:sz w:val="16"/>
          <w:szCs w:val="16"/>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 Sala de lo Contencioso Administrativo, Sección Tercera, Subsección C. Sentencia de 26 de noviembre de 2015, </w:t>
      </w:r>
      <w:proofErr w:type="spellStart"/>
      <w:r w:rsidRPr="005469A3">
        <w:rPr>
          <w:rFonts w:ascii="Arial" w:hAnsi="Arial" w:cs="Arial"/>
          <w:sz w:val="16"/>
          <w:szCs w:val="16"/>
        </w:rPr>
        <w:t>exp</w:t>
      </w:r>
      <w:proofErr w:type="spellEnd"/>
      <w:r w:rsidRPr="005469A3">
        <w:rPr>
          <w:rFonts w:ascii="Arial" w:hAnsi="Arial" w:cs="Arial"/>
          <w:sz w:val="16"/>
          <w:szCs w:val="16"/>
        </w:rPr>
        <w:t>. 53877.</w:t>
      </w:r>
    </w:p>
  </w:footnote>
  <w:footnote w:id="21">
    <w:p w14:paraId="5C425459" w14:textId="77777777" w:rsidR="00063961" w:rsidRPr="005469A3" w:rsidRDefault="00063961" w:rsidP="00063961">
      <w:pPr>
        <w:pStyle w:val="Textonotapie"/>
        <w:jc w:val="both"/>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Consejo de Estado, Sala de lo Contencioso Administrativo, Sección Tercera. Sentencia del 13 de noviembre de 2008, </w:t>
      </w:r>
      <w:proofErr w:type="spellStart"/>
      <w:r w:rsidRPr="005469A3">
        <w:rPr>
          <w:rFonts w:ascii="Arial" w:hAnsi="Arial" w:cs="Arial"/>
          <w:sz w:val="16"/>
          <w:szCs w:val="16"/>
        </w:rPr>
        <w:t>exp</w:t>
      </w:r>
      <w:proofErr w:type="spellEnd"/>
      <w:r w:rsidRPr="005469A3">
        <w:rPr>
          <w:rFonts w:ascii="Arial" w:hAnsi="Arial" w:cs="Arial"/>
          <w:sz w:val="16"/>
          <w:szCs w:val="16"/>
        </w:rPr>
        <w:t xml:space="preserve">. 17009.  </w:t>
      </w:r>
    </w:p>
  </w:footnote>
  <w:footnote w:id="22">
    <w:p w14:paraId="77AAC806" w14:textId="77777777" w:rsidR="00063961" w:rsidRPr="005469A3" w:rsidRDefault="00063961" w:rsidP="00063961">
      <w:pPr>
        <w:pStyle w:val="Textonotapie"/>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w:t>
      </w:r>
      <w:proofErr w:type="spellStart"/>
      <w:r w:rsidRPr="005469A3">
        <w:rPr>
          <w:rFonts w:ascii="Arial" w:hAnsi="Arial" w:cs="Arial"/>
          <w:i/>
          <w:iCs/>
          <w:sz w:val="16"/>
          <w:szCs w:val="16"/>
        </w:rPr>
        <w:t>Ibíd</w:t>
      </w:r>
      <w:proofErr w:type="spellEnd"/>
    </w:p>
  </w:footnote>
  <w:footnote w:id="23">
    <w:p w14:paraId="6DC88B62" w14:textId="77777777" w:rsidR="00063961" w:rsidRPr="005469A3" w:rsidRDefault="00063961" w:rsidP="00063961">
      <w:pPr>
        <w:pStyle w:val="Textonotapie"/>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w:t>
      </w:r>
      <w:proofErr w:type="spellStart"/>
      <w:r w:rsidRPr="005469A3">
        <w:rPr>
          <w:rFonts w:ascii="Arial" w:hAnsi="Arial" w:cs="Arial"/>
          <w:i/>
          <w:iCs/>
          <w:sz w:val="16"/>
          <w:szCs w:val="16"/>
        </w:rPr>
        <w:t>Ibíd</w:t>
      </w:r>
      <w:proofErr w:type="spellEnd"/>
    </w:p>
  </w:footnote>
  <w:footnote w:id="24">
    <w:p w14:paraId="41981C86" w14:textId="77777777" w:rsidR="00063961" w:rsidRPr="005469A3" w:rsidRDefault="00063961" w:rsidP="00063961">
      <w:pPr>
        <w:pStyle w:val="Textonotapie"/>
        <w:rPr>
          <w:rFonts w:ascii="Arial" w:hAnsi="Arial" w:cs="Arial"/>
          <w:sz w:val="16"/>
          <w:szCs w:val="16"/>
          <w:lang w:val="es-CO"/>
        </w:rPr>
      </w:pPr>
      <w:r w:rsidRPr="005469A3">
        <w:rPr>
          <w:rStyle w:val="Refdenotaalpie"/>
          <w:rFonts w:ascii="Arial" w:hAnsi="Arial" w:cs="Arial"/>
          <w:sz w:val="16"/>
          <w:szCs w:val="16"/>
        </w:rPr>
        <w:footnoteRef/>
      </w:r>
      <w:r w:rsidRPr="005469A3">
        <w:rPr>
          <w:rFonts w:ascii="Arial" w:hAnsi="Arial" w:cs="Arial"/>
          <w:sz w:val="16"/>
          <w:szCs w:val="16"/>
        </w:rPr>
        <w:t xml:space="preserve"> </w:t>
      </w:r>
      <w:proofErr w:type="spellStart"/>
      <w:r w:rsidRPr="005469A3">
        <w:rPr>
          <w:rFonts w:ascii="Arial" w:hAnsi="Arial" w:cs="Arial"/>
          <w:i/>
          <w:iCs/>
          <w:sz w:val="16"/>
          <w:szCs w:val="16"/>
        </w:rPr>
        <w:t>Ibíd</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E89"/>
    <w:rsid w:val="000126BB"/>
    <w:rsid w:val="00063961"/>
    <w:rsid w:val="00082820"/>
    <w:rsid w:val="00083334"/>
    <w:rsid w:val="000956CF"/>
    <w:rsid w:val="000A683E"/>
    <w:rsid w:val="000E75A6"/>
    <w:rsid w:val="00105774"/>
    <w:rsid w:val="0011595A"/>
    <w:rsid w:val="001220C5"/>
    <w:rsid w:val="001267F7"/>
    <w:rsid w:val="00127233"/>
    <w:rsid w:val="00130999"/>
    <w:rsid w:val="00162354"/>
    <w:rsid w:val="00164D81"/>
    <w:rsid w:val="00180282"/>
    <w:rsid w:val="001A1011"/>
    <w:rsid w:val="001A48D0"/>
    <w:rsid w:val="001F098E"/>
    <w:rsid w:val="002238BB"/>
    <w:rsid w:val="0022572E"/>
    <w:rsid w:val="00242AAA"/>
    <w:rsid w:val="00250286"/>
    <w:rsid w:val="00254E7D"/>
    <w:rsid w:val="002653C1"/>
    <w:rsid w:val="0026611D"/>
    <w:rsid w:val="002951A0"/>
    <w:rsid w:val="002A4B2C"/>
    <w:rsid w:val="002A64FD"/>
    <w:rsid w:val="002F0839"/>
    <w:rsid w:val="002F7E1A"/>
    <w:rsid w:val="00301469"/>
    <w:rsid w:val="00306EE1"/>
    <w:rsid w:val="00310B9B"/>
    <w:rsid w:val="00327543"/>
    <w:rsid w:val="0036461C"/>
    <w:rsid w:val="00367884"/>
    <w:rsid w:val="003725E2"/>
    <w:rsid w:val="0039439C"/>
    <w:rsid w:val="003B69E7"/>
    <w:rsid w:val="003C013B"/>
    <w:rsid w:val="003D0F4D"/>
    <w:rsid w:val="003D71FF"/>
    <w:rsid w:val="003F58A1"/>
    <w:rsid w:val="00406831"/>
    <w:rsid w:val="00410DD6"/>
    <w:rsid w:val="004134C9"/>
    <w:rsid w:val="00422E9B"/>
    <w:rsid w:val="0043138C"/>
    <w:rsid w:val="00462A59"/>
    <w:rsid w:val="004801DC"/>
    <w:rsid w:val="004A1847"/>
    <w:rsid w:val="004B518B"/>
    <w:rsid w:val="004B6B0E"/>
    <w:rsid w:val="004D25B3"/>
    <w:rsid w:val="004D3837"/>
    <w:rsid w:val="00511405"/>
    <w:rsid w:val="00526E9D"/>
    <w:rsid w:val="005469A3"/>
    <w:rsid w:val="00547856"/>
    <w:rsid w:val="00547A74"/>
    <w:rsid w:val="00554CFC"/>
    <w:rsid w:val="005566E8"/>
    <w:rsid w:val="0057396A"/>
    <w:rsid w:val="005746AB"/>
    <w:rsid w:val="0059357F"/>
    <w:rsid w:val="005A1130"/>
    <w:rsid w:val="005B7EE0"/>
    <w:rsid w:val="005D65C8"/>
    <w:rsid w:val="00604B01"/>
    <w:rsid w:val="006219F8"/>
    <w:rsid w:val="00641B6F"/>
    <w:rsid w:val="00681FDB"/>
    <w:rsid w:val="00691C58"/>
    <w:rsid w:val="006A7DAD"/>
    <w:rsid w:val="006D70BA"/>
    <w:rsid w:val="006E54F9"/>
    <w:rsid w:val="006E7D61"/>
    <w:rsid w:val="007566FE"/>
    <w:rsid w:val="0076726F"/>
    <w:rsid w:val="0077144B"/>
    <w:rsid w:val="00793403"/>
    <w:rsid w:val="00793CC4"/>
    <w:rsid w:val="007B7832"/>
    <w:rsid w:val="007C0CDF"/>
    <w:rsid w:val="007D0ACB"/>
    <w:rsid w:val="007D3225"/>
    <w:rsid w:val="007E2A2F"/>
    <w:rsid w:val="007F2B7C"/>
    <w:rsid w:val="00810BC3"/>
    <w:rsid w:val="00811651"/>
    <w:rsid w:val="00820F5B"/>
    <w:rsid w:val="0083078A"/>
    <w:rsid w:val="00833452"/>
    <w:rsid w:val="00844FB2"/>
    <w:rsid w:val="008614E5"/>
    <w:rsid w:val="0086671F"/>
    <w:rsid w:val="008678EB"/>
    <w:rsid w:val="00875894"/>
    <w:rsid w:val="00881C10"/>
    <w:rsid w:val="00890411"/>
    <w:rsid w:val="008C2AA0"/>
    <w:rsid w:val="008D5C70"/>
    <w:rsid w:val="008E085E"/>
    <w:rsid w:val="009025AF"/>
    <w:rsid w:val="00904F23"/>
    <w:rsid w:val="00906B3C"/>
    <w:rsid w:val="0095342C"/>
    <w:rsid w:val="00966C21"/>
    <w:rsid w:val="0098600B"/>
    <w:rsid w:val="009C2150"/>
    <w:rsid w:val="009D702D"/>
    <w:rsid w:val="009F33F2"/>
    <w:rsid w:val="009F6C77"/>
    <w:rsid w:val="00A07532"/>
    <w:rsid w:val="00A1085C"/>
    <w:rsid w:val="00A309E2"/>
    <w:rsid w:val="00A33E6A"/>
    <w:rsid w:val="00A8066E"/>
    <w:rsid w:val="00AA4B8A"/>
    <w:rsid w:val="00AA6BF7"/>
    <w:rsid w:val="00B01ED6"/>
    <w:rsid w:val="00B06D09"/>
    <w:rsid w:val="00B121DD"/>
    <w:rsid w:val="00B64FC2"/>
    <w:rsid w:val="00B771A9"/>
    <w:rsid w:val="00B809BB"/>
    <w:rsid w:val="00B8248A"/>
    <w:rsid w:val="00B86553"/>
    <w:rsid w:val="00BB1622"/>
    <w:rsid w:val="00BB7726"/>
    <w:rsid w:val="00BE5536"/>
    <w:rsid w:val="00BF4F40"/>
    <w:rsid w:val="00C028F5"/>
    <w:rsid w:val="00C118ED"/>
    <w:rsid w:val="00C2329E"/>
    <w:rsid w:val="00C30461"/>
    <w:rsid w:val="00C628AF"/>
    <w:rsid w:val="00C660D0"/>
    <w:rsid w:val="00C754BE"/>
    <w:rsid w:val="00C803D5"/>
    <w:rsid w:val="00C8471C"/>
    <w:rsid w:val="00C87572"/>
    <w:rsid w:val="00C9405D"/>
    <w:rsid w:val="00CC1B26"/>
    <w:rsid w:val="00CD284F"/>
    <w:rsid w:val="00CF23AA"/>
    <w:rsid w:val="00CF6E53"/>
    <w:rsid w:val="00D01921"/>
    <w:rsid w:val="00D067F1"/>
    <w:rsid w:val="00D32C21"/>
    <w:rsid w:val="00D570CF"/>
    <w:rsid w:val="00D63BEF"/>
    <w:rsid w:val="00D648AE"/>
    <w:rsid w:val="00D752B7"/>
    <w:rsid w:val="00DA1854"/>
    <w:rsid w:val="00DB0887"/>
    <w:rsid w:val="00DF0CA4"/>
    <w:rsid w:val="00DF1E43"/>
    <w:rsid w:val="00E20894"/>
    <w:rsid w:val="00E26B7C"/>
    <w:rsid w:val="00E445E1"/>
    <w:rsid w:val="00EA3003"/>
    <w:rsid w:val="00EB3453"/>
    <w:rsid w:val="00EB3C91"/>
    <w:rsid w:val="00EB3DC0"/>
    <w:rsid w:val="00EB66DA"/>
    <w:rsid w:val="00ED3E51"/>
    <w:rsid w:val="00F532BB"/>
    <w:rsid w:val="00F605F2"/>
    <w:rsid w:val="00F7150F"/>
    <w:rsid w:val="00F76AFC"/>
    <w:rsid w:val="00F8319B"/>
    <w:rsid w:val="00FA5516"/>
    <w:rsid w:val="00FC605E"/>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3961"/>
    <w:rPr>
      <w:rFonts w:ascii="Geomanist Light" w:hAnsi="Geomanist Light"/>
      <w:lang w:val="es-ES"/>
    </w:rPr>
  </w:style>
  <w:style w:type="paragraph" w:customStyle="1" w:styleId="Appelnotedebasde">
    <w:name w:val="Appel note de bas de..."/>
    <w:basedOn w:val="Normal"/>
    <w:link w:val="Refdenotaalpie"/>
    <w:uiPriority w:val="99"/>
    <w:rsid w:val="00063961"/>
    <w:pPr>
      <w:spacing w:line="240" w:lineRule="exact"/>
    </w:pPr>
    <w:rPr>
      <w:vertAlign w:val="superscript"/>
    </w:rPr>
  </w:style>
  <w:style w:type="character" w:styleId="Hipervnculo">
    <w:name w:val="Hyperlink"/>
    <w:basedOn w:val="Fuentedeprrafopredeter"/>
    <w:uiPriority w:val="99"/>
    <w:unhideWhenUsed/>
    <w:rsid w:val="00063961"/>
    <w:rPr>
      <w:color w:val="0000FF"/>
      <w:u w:val="single"/>
    </w:rPr>
  </w:style>
  <w:style w:type="paragraph" w:styleId="NormalWeb">
    <w:name w:val="Normal (Web)"/>
    <w:basedOn w:val="Normal"/>
    <w:link w:val="NormalWebCar"/>
    <w:uiPriority w:val="99"/>
    <w:unhideWhenUsed/>
    <w:rsid w:val="00063961"/>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063961"/>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063961"/>
    <w:pPr>
      <w:spacing w:before="100" w:beforeAutospacing="1" w:after="100" w:afterAutospacing="1" w:line="240" w:lineRule="auto"/>
    </w:pPr>
    <w:rPr>
      <w:rFonts w:ascii="Calibri" w:hAnsi="Calibri" w:cs="Calibri"/>
      <w:lang w:val="es-ES" w:eastAsia="es-ES"/>
    </w:rPr>
  </w:style>
  <w:style w:type="table" w:customStyle="1" w:styleId="Tablaconcuadrcula1">
    <w:name w:val="Tabla con cuadrícula1"/>
    <w:basedOn w:val="Tablanormal"/>
    <w:next w:val="Tablaconcuadrcula"/>
    <w:uiPriority w:val="59"/>
    <w:rsid w:val="00063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082820"/>
    <w:rPr>
      <w:color w:val="605E5C"/>
      <w:shd w:val="clear" w:color="auto" w:fill="E1DFDD"/>
    </w:rPr>
  </w:style>
  <w:style w:type="table" w:customStyle="1" w:styleId="Tablaconcuadrcula11">
    <w:name w:val="Tabla con cuadrícula11"/>
    <w:basedOn w:val="Tablanormal"/>
    <w:next w:val="Tablaconcuadrcula"/>
    <w:uiPriority w:val="39"/>
    <w:rsid w:val="00C8471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bejarano@dadep.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0687C-F6CA-48F7-82FC-D162F69466A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6718</Words>
  <Characters>36952</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43583</CharactersWithSpaces>
  <SharedDoc>false</SharedDoc>
  <HLinks>
    <vt:vector size="6" baseType="variant">
      <vt:variant>
        <vt:i4>1572989</vt:i4>
      </vt:variant>
      <vt:variant>
        <vt:i4>0</vt:i4>
      </vt:variant>
      <vt:variant>
        <vt:i4>0</vt:i4>
      </vt:variant>
      <vt:variant>
        <vt:i4>5</vt:i4>
      </vt:variant>
      <vt:variant>
        <vt:lpwstr>mailto:Fernando.blanco77@hotmail.com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alejandro murcia</cp:lastModifiedBy>
  <cp:revision>2</cp:revision>
  <dcterms:created xsi:type="dcterms:W3CDTF">2023-11-22T18:03:00Z</dcterms:created>
  <dcterms:modified xsi:type="dcterms:W3CDTF">2023-11-22T18:03:00Z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