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4AF0" w14:textId="77777777" w:rsidR="008B6838" w:rsidRDefault="008B6838" w:rsidP="00E245AB">
      <w:pPr>
        <w:spacing w:after="0"/>
        <w:rPr>
          <w:rFonts w:ascii="Century Gothic" w:hAnsi="Century Gothic"/>
        </w:rPr>
      </w:pPr>
      <w:bookmarkStart w:id="0" w:name="_Hlk143780582"/>
    </w:p>
    <w:p w14:paraId="08B5189B" w14:textId="77777777" w:rsidR="00EA1C6F" w:rsidRPr="004C133A" w:rsidRDefault="00EA1C6F" w:rsidP="00EA1C6F">
      <w:pPr>
        <w:tabs>
          <w:tab w:val="left" w:pos="426"/>
        </w:tabs>
        <w:rPr>
          <w:rFonts w:ascii="Century Gothic" w:eastAsia="Calibri" w:hAnsi="Century Gothic" w:cs="Arial"/>
          <w:b/>
        </w:rPr>
      </w:pPr>
      <w:bookmarkStart w:id="1" w:name="_Hlk77152637"/>
      <w:r w:rsidRPr="004C133A">
        <w:rPr>
          <w:rFonts w:ascii="Century Gothic" w:eastAsia="Calibri" w:hAnsi="Century Gothic" w:cs="Arial"/>
          <w:b/>
        </w:rPr>
        <w:t xml:space="preserve">LEY DE GARANTÍAS ELECTORALES </w:t>
      </w:r>
      <w:r w:rsidRPr="00F45BA8">
        <w:rPr>
          <w:rFonts w:ascii="Arial" w:eastAsia="Calibri" w:hAnsi="Arial" w:cs="Arial"/>
          <w:b/>
          <w:bCs/>
        </w:rPr>
        <w:t>‒</w:t>
      </w:r>
      <w:bookmarkEnd w:id="1"/>
      <w:r w:rsidRPr="004C133A">
        <w:rPr>
          <w:rFonts w:ascii="Century Gothic" w:eastAsia="Calibri" w:hAnsi="Century Gothic" w:cs="Arial"/>
          <w:b/>
        </w:rPr>
        <w:t xml:space="preserve"> Tipos de restricciones </w:t>
      </w:r>
      <w:bookmarkStart w:id="2" w:name="_Hlk77157034"/>
      <w:r w:rsidRPr="00F45BA8">
        <w:rPr>
          <w:rFonts w:ascii="Arial" w:eastAsia="Calibri" w:hAnsi="Arial" w:cs="Arial"/>
          <w:b/>
          <w:bCs/>
        </w:rPr>
        <w:t>‒</w:t>
      </w:r>
      <w:r w:rsidRPr="004C133A">
        <w:rPr>
          <w:rFonts w:ascii="Century Gothic" w:eastAsia="Calibri" w:hAnsi="Century Gothic" w:cs="Arial"/>
          <w:b/>
        </w:rPr>
        <w:t xml:space="preserve"> </w:t>
      </w:r>
      <w:bookmarkStart w:id="3" w:name="_Hlk77153098"/>
      <w:bookmarkEnd w:id="2"/>
      <w:r w:rsidRPr="004C133A">
        <w:rPr>
          <w:rFonts w:ascii="Century Gothic" w:eastAsia="Calibri" w:hAnsi="Century Gothic" w:cs="Century Gothic"/>
          <w:b/>
        </w:rPr>
        <w:t>Á</w:t>
      </w:r>
      <w:r w:rsidRPr="004C133A">
        <w:rPr>
          <w:rFonts w:ascii="Century Gothic" w:eastAsia="Calibri" w:hAnsi="Century Gothic" w:cs="Arial"/>
          <w:b/>
        </w:rPr>
        <w:t xml:space="preserve">mbito temporal </w:t>
      </w:r>
      <w:bookmarkEnd w:id="3"/>
    </w:p>
    <w:p w14:paraId="267DB78B" w14:textId="77777777" w:rsidR="00EA1C6F" w:rsidRPr="004C133A" w:rsidRDefault="00EA1C6F" w:rsidP="00EA1C6F">
      <w:pPr>
        <w:tabs>
          <w:tab w:val="left" w:pos="426"/>
        </w:tabs>
        <w:jc w:val="both"/>
        <w:rPr>
          <w:rFonts w:ascii="Century Gothic" w:eastAsia="Arial" w:hAnsi="Century Gothic" w:cs="Arial"/>
          <w:sz w:val="20"/>
          <w:szCs w:val="20"/>
          <w:lang w:eastAsia="es-ES" w:bidi="es-ES"/>
        </w:rPr>
      </w:pPr>
      <w:r w:rsidRPr="004C133A">
        <w:rPr>
          <w:rFonts w:ascii="Century Gothic" w:eastAsia="Calibri" w:hAnsi="Century Gothic" w:cs="Arial"/>
          <w:sz w:val="20"/>
          <w:szCs w:val="20"/>
        </w:rPr>
        <w:t xml:space="preserve">[…]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w:t>
      </w:r>
      <w:r w:rsidRPr="004C133A">
        <w:rPr>
          <w:rFonts w:ascii="Century Gothic" w:eastAsia="Arial" w:hAnsi="Century Gothic" w:cs="Arial"/>
          <w:sz w:val="20"/>
          <w:szCs w:val="20"/>
          <w:lang w:eastAsia="es-ES" w:bidi="es-ES"/>
        </w:rPr>
        <w:t xml:space="preserve">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C133A">
        <w:rPr>
          <w:rFonts w:ascii="Century Gothic" w:eastAsia="Arial" w:hAnsi="Century Gothic" w:cs="Arial"/>
          <w:i/>
          <w:sz w:val="20"/>
          <w:szCs w:val="20"/>
          <w:lang w:eastAsia="es-ES" w:bidi="es-ES"/>
        </w:rPr>
        <w:t>En segundo lugar</w:t>
      </w:r>
      <w:r w:rsidRPr="004C133A">
        <w:rPr>
          <w:rFonts w:ascii="Century Gothic" w:eastAsia="Arial" w:hAnsi="Century Gothic" w:cs="Arial"/>
          <w:sz w:val="20"/>
          <w:szCs w:val="20"/>
          <w:lang w:eastAsia="es-ES" w:bidi="es-ES"/>
        </w:rPr>
        <w:t>, también se encuentra la prohibición del inciso primero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FF7230B" w14:textId="77777777" w:rsidR="00EA1C6F" w:rsidRPr="004C133A" w:rsidRDefault="00EA1C6F" w:rsidP="00EA1C6F">
      <w:pPr>
        <w:spacing w:after="120"/>
        <w:jc w:val="both"/>
        <w:rPr>
          <w:rFonts w:ascii="Century Gothic" w:eastAsia="Calibri" w:hAnsi="Century Gothic" w:cs="Arial"/>
          <w:b/>
        </w:rPr>
      </w:pPr>
      <w:r w:rsidRPr="004C133A">
        <w:rPr>
          <w:rFonts w:ascii="Century Gothic" w:eastAsia="Calibri" w:hAnsi="Century Gothic" w:cs="Arial"/>
          <w:b/>
        </w:rPr>
        <w:t>CONVENIOS DE ASOCIACIÓN - ESAL – Objeto</w:t>
      </w:r>
    </w:p>
    <w:p w14:paraId="070824C8" w14:textId="77777777" w:rsidR="00EA1C6F" w:rsidRPr="004C133A" w:rsidRDefault="00EA1C6F" w:rsidP="00EA1C6F">
      <w:pPr>
        <w:jc w:val="both"/>
        <w:rPr>
          <w:rFonts w:ascii="Century Gothic" w:eastAsia="Calibri" w:hAnsi="Century Gothic" w:cs="Arial"/>
          <w:sz w:val="20"/>
          <w:szCs w:val="20"/>
        </w:rPr>
      </w:pPr>
      <w:r w:rsidRPr="004C133A">
        <w:rPr>
          <w:rFonts w:ascii="Century Gothic" w:eastAsia="Calibri" w:hAnsi="Century Gothic" w:cs="Arial"/>
          <w:sz w:val="20"/>
          <w:szCs w:val="20"/>
        </w:rPr>
        <w:t xml:space="preserve">[…] </w:t>
      </w:r>
      <w:r w:rsidRPr="004C133A">
        <w:rPr>
          <w:rFonts w:ascii="Century Gothic" w:hAnsi="Century Gothic" w:cs="Arial"/>
          <w:sz w:val="20"/>
          <w:szCs w:val="20"/>
        </w:rPr>
        <w:t xml:space="preserve">los </w:t>
      </w:r>
      <w:r w:rsidRPr="004C133A">
        <w:rPr>
          <w:rFonts w:ascii="Century Gothic" w:hAnsi="Century Gothic" w:cs="Arial"/>
          <w:i/>
          <w:sz w:val="20"/>
          <w:szCs w:val="20"/>
        </w:rPr>
        <w:t>convenios de asociación</w:t>
      </w:r>
      <w:r w:rsidRPr="004C133A">
        <w:rPr>
          <w:rFonts w:ascii="Century Gothic" w:hAnsi="Century Gothic" w:cs="Arial"/>
          <w:sz w:val="20"/>
          <w:szCs w:val="20"/>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14:paraId="5E77C094" w14:textId="77777777" w:rsidR="00EA1C6F" w:rsidRPr="004C133A" w:rsidRDefault="00EA1C6F" w:rsidP="00EA1C6F">
      <w:pPr>
        <w:rPr>
          <w:rFonts w:ascii="Century Gothic" w:eastAsia="Calibri" w:hAnsi="Century Gothic" w:cs="Arial"/>
          <w:b/>
        </w:rPr>
      </w:pPr>
      <w:r w:rsidRPr="004C133A">
        <w:rPr>
          <w:rFonts w:ascii="Century Gothic" w:eastAsia="Calibri" w:hAnsi="Century Gothic" w:cs="Arial"/>
          <w:b/>
        </w:rPr>
        <w:t>CONTRATACIÓN CON ESAL</w:t>
      </w:r>
      <w:r w:rsidRPr="000A1343">
        <w:rPr>
          <w:rFonts w:ascii="Arial" w:eastAsia="Calibri" w:hAnsi="Arial" w:cs="Arial"/>
          <w:b/>
        </w:rPr>
        <w:t>‒</w:t>
      </w:r>
      <w:r w:rsidRPr="004C133A">
        <w:rPr>
          <w:rFonts w:ascii="Century Gothic" w:eastAsia="Calibri" w:hAnsi="Century Gothic" w:cs="Arial"/>
          <w:b/>
        </w:rPr>
        <w:t xml:space="preserve"> Ley de garant</w:t>
      </w:r>
      <w:r w:rsidRPr="004C133A">
        <w:rPr>
          <w:rFonts w:ascii="Century Gothic" w:eastAsia="Calibri" w:hAnsi="Century Gothic" w:cs="Century Gothic"/>
          <w:b/>
        </w:rPr>
        <w:t>í</w:t>
      </w:r>
      <w:r w:rsidRPr="004C133A">
        <w:rPr>
          <w:rFonts w:ascii="Century Gothic" w:eastAsia="Calibri" w:hAnsi="Century Gothic" w:cs="Arial"/>
          <w:b/>
        </w:rPr>
        <w:t>as – Restricciones – Artículos 33 y 38 – Alcance</w:t>
      </w:r>
    </w:p>
    <w:p w14:paraId="3323E940" w14:textId="77777777" w:rsidR="00EA1C6F" w:rsidRPr="004C133A" w:rsidRDefault="00EA1C6F" w:rsidP="00EA1C6F">
      <w:pPr>
        <w:jc w:val="both"/>
        <w:rPr>
          <w:rFonts w:ascii="Century Gothic" w:eastAsia="Calibri" w:hAnsi="Century Gothic" w:cs="Arial"/>
          <w:sz w:val="20"/>
          <w:szCs w:val="20"/>
          <w:lang w:eastAsia="es-ES_tradnl"/>
        </w:rPr>
      </w:pPr>
      <w:r w:rsidRPr="004C133A">
        <w:rPr>
          <w:rFonts w:ascii="Century Gothic" w:eastAsia="Calibri" w:hAnsi="Century Gothic" w:cs="Arial"/>
          <w:sz w:val="20"/>
          <w:szCs w:val="20"/>
          <w:lang w:eastAsia="es-ES_tradnl"/>
        </w:rPr>
        <w:t xml:space="preserve">[…] la celebración de convenios de asociación, así como las consideraciones realizadas en los acápites previos, es posible concluir que la prohibición de contratación directa del artículo 33 de la Ley de Garantías Electorales únicamente aplica frente a los procedimientos </w:t>
      </w:r>
      <w:r w:rsidRPr="004C133A">
        <w:rPr>
          <w:rFonts w:ascii="Century Gothic" w:eastAsia="Calibri" w:hAnsi="Century Gothic" w:cs="Arial"/>
          <w:i/>
          <w:sz w:val="20"/>
          <w:szCs w:val="20"/>
          <w:lang w:eastAsia="es-ES_tradnl"/>
        </w:rPr>
        <w:t>no competitivos</w:t>
      </w:r>
      <w:r w:rsidRPr="004C133A">
        <w:rPr>
          <w:rFonts w:ascii="Century Gothic" w:eastAsia="Calibri" w:hAnsi="Century Gothic" w:cs="Arial"/>
          <w:sz w:val="20"/>
          <w:szCs w:val="20"/>
          <w:lang w:eastAsia="es-ES_tradnl"/>
        </w:rPr>
        <w:t xml:space="preserve">, que son los que implican una contratación directa. Como explica la Sala de Consulta y Servicio Civil del Consejo de Estado: </w:t>
      </w:r>
      <w:r w:rsidRPr="004C133A">
        <w:rPr>
          <w:rFonts w:ascii="Century Gothic" w:eastAsia="Calibri" w:hAnsi="Century Gothic" w:cs="Arial"/>
          <w:i/>
          <w:sz w:val="20"/>
          <w:szCs w:val="20"/>
          <w:lang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4C133A">
        <w:rPr>
          <w:rFonts w:ascii="Century Gothic" w:eastAsia="Calibri" w:hAnsi="Century Gothic" w:cs="Arial"/>
          <w:sz w:val="20"/>
          <w:szCs w:val="20"/>
          <w:lang w:eastAsia="es-ES_tradnl"/>
        </w:rPr>
        <w:t xml:space="preserve">. </w:t>
      </w:r>
    </w:p>
    <w:p w14:paraId="03B7FCEB" w14:textId="77777777" w:rsidR="00EA1C6F" w:rsidRPr="004C133A" w:rsidRDefault="00EA1C6F" w:rsidP="00EA1C6F">
      <w:pPr>
        <w:jc w:val="both"/>
        <w:rPr>
          <w:rFonts w:ascii="Century Gothic" w:eastAsia="Calibri" w:hAnsi="Century Gothic" w:cs="Arial"/>
          <w:sz w:val="20"/>
          <w:szCs w:val="20"/>
          <w:lang w:eastAsia="es-ES_tradnl"/>
        </w:rPr>
      </w:pPr>
      <w:r w:rsidRPr="004C133A">
        <w:rPr>
          <w:rFonts w:ascii="Century Gothic" w:eastAsia="Calibri" w:hAnsi="Century Gothic" w:cs="Arial"/>
          <w:sz w:val="20"/>
          <w:szCs w:val="20"/>
          <w:lang w:eastAsia="es-ES_tradnl"/>
        </w:rPr>
        <w:t>[…]</w:t>
      </w:r>
    </w:p>
    <w:p w14:paraId="446E6D7B" w14:textId="77777777" w:rsidR="00EA1C6F" w:rsidRPr="004C133A" w:rsidRDefault="00EA1C6F" w:rsidP="00EA1C6F">
      <w:pPr>
        <w:spacing w:line="276" w:lineRule="auto"/>
        <w:jc w:val="both"/>
        <w:rPr>
          <w:rFonts w:ascii="Century Gothic" w:eastAsia="Calibri" w:hAnsi="Century Gothic" w:cs="Arial"/>
          <w:sz w:val="20"/>
          <w:szCs w:val="20"/>
          <w:lang w:val="es-ES_tradnl"/>
        </w:rPr>
      </w:pPr>
      <w:r w:rsidRPr="004C133A">
        <w:rPr>
          <w:rFonts w:ascii="Century Gothic" w:eastAsia="Calibri" w:hAnsi="Century Gothic" w:cs="Arial"/>
          <w:sz w:val="20"/>
          <w:szCs w:val="20"/>
        </w:rPr>
        <w:lastRenderedPageBreak/>
        <w:t>[…]</w:t>
      </w:r>
      <w:r w:rsidRPr="004C133A">
        <w:rPr>
          <w:rFonts w:ascii="Century Gothic" w:eastAsia="Calibri" w:hAnsi="Century Gothic" w:cs="Arial"/>
          <w:sz w:val="20"/>
          <w:szCs w:val="20"/>
          <w:lang w:val="es-ES_tradnl"/>
        </w:rPr>
        <w:t xml:space="preserve"> en lo relativo a la celebración de </w:t>
      </w:r>
      <w:r w:rsidRPr="004C133A">
        <w:rPr>
          <w:rFonts w:ascii="Century Gothic" w:eastAsia="Calibri" w:hAnsi="Century Gothic" w:cs="Arial"/>
          <w:i/>
          <w:sz w:val="20"/>
          <w:szCs w:val="20"/>
          <w:lang w:val="es-ES_tradnl"/>
        </w:rPr>
        <w:t>convenios de asociación</w:t>
      </w:r>
      <w:r w:rsidRPr="004C133A">
        <w:rPr>
          <w:rFonts w:ascii="Century Gothic" w:eastAsia="Calibri" w:hAnsi="Century Gothic" w:cs="Arial"/>
          <w:sz w:val="20"/>
          <w:szCs w:val="20"/>
          <w:lang w:val="es-ES_tradnl"/>
        </w:rPr>
        <w:t xml:space="preserve"> en vigencia de la restricción del artículo 33 de la Ley de Garantías, se concluye que, esto solo será posible cuando dicho tipo de acuerdos se realicen a través de la modalidad </w:t>
      </w:r>
      <w:r w:rsidRPr="004C133A">
        <w:rPr>
          <w:rFonts w:ascii="Century Gothic" w:eastAsia="Calibri" w:hAnsi="Century Gothic" w:cs="Arial"/>
          <w:i/>
          <w:sz w:val="20"/>
          <w:szCs w:val="20"/>
          <w:lang w:val="es-ES_tradnl"/>
        </w:rPr>
        <w:t>competitiva</w:t>
      </w:r>
      <w:r w:rsidRPr="004C133A">
        <w:rPr>
          <w:rFonts w:ascii="Century Gothic" w:eastAsia="Calibri" w:hAnsi="Century Gothic" w:cs="Arial"/>
          <w:sz w:val="20"/>
          <w:szCs w:val="20"/>
          <w:lang w:val="es-ES_tradnl"/>
        </w:rPr>
        <w:t xml:space="preserve">, mientras que la celebración de este tipo de convenios en la modalidad </w:t>
      </w:r>
      <w:r w:rsidRPr="004C133A">
        <w:rPr>
          <w:rFonts w:ascii="Century Gothic" w:eastAsia="Calibri" w:hAnsi="Century Gothic" w:cs="Arial"/>
          <w:i/>
          <w:sz w:val="20"/>
          <w:szCs w:val="20"/>
          <w:lang w:val="es-ES_tradnl"/>
        </w:rPr>
        <w:t>no competitiva</w:t>
      </w:r>
      <w:r w:rsidRPr="004C133A">
        <w:rPr>
          <w:rFonts w:ascii="Century Gothic" w:eastAsia="Calibri" w:hAnsi="Century Gothic" w:cs="Arial"/>
          <w:sz w:val="20"/>
          <w:szCs w:val="20"/>
          <w:lang w:val="es-ES_tradnl"/>
        </w:rPr>
        <w:t xml:space="preserve"> sí estaría prohibida durante el periodo de aplicación de esta restricción. De igual forma, es posible concluir que, la celebración de </w:t>
      </w:r>
      <w:r w:rsidRPr="004C133A">
        <w:rPr>
          <w:rFonts w:ascii="Century Gothic" w:eastAsia="Calibri" w:hAnsi="Century Gothic" w:cs="Arial"/>
          <w:i/>
          <w:sz w:val="20"/>
          <w:szCs w:val="20"/>
          <w:lang w:val="es-ES_tradnl"/>
        </w:rPr>
        <w:t>convenios de asociación</w:t>
      </w:r>
      <w:r w:rsidRPr="004C133A">
        <w:rPr>
          <w:rFonts w:ascii="Century Gothic" w:eastAsia="Calibri" w:hAnsi="Century Gothic" w:cs="Arial"/>
          <w:sz w:val="20"/>
          <w:szCs w:val="20"/>
          <w:lang w:val="es-ES_tradnl"/>
        </w:rPr>
        <w:t xml:space="preserve">, </w:t>
      </w:r>
      <w:r w:rsidRPr="004C133A">
        <w:rPr>
          <w:rFonts w:ascii="Century Gothic" w:eastAsia="Calibri" w:hAnsi="Century Gothic" w:cs="Arial"/>
          <w:i/>
          <w:sz w:val="20"/>
          <w:szCs w:val="20"/>
          <w:lang w:val="es-ES_tradnl"/>
        </w:rPr>
        <w:t xml:space="preserve">per se, </w:t>
      </w:r>
      <w:r w:rsidRPr="004C133A">
        <w:rPr>
          <w:rFonts w:ascii="Century Gothic" w:eastAsia="Calibri" w:hAnsi="Century Gothic" w:cs="Arial"/>
          <w:sz w:val="20"/>
          <w:szCs w:val="20"/>
          <w:lang w:val="es-ES_tradnl"/>
        </w:rPr>
        <w:t>no está prohibida por la restricción del parágrafo del artículo 38 de la Ley 2069 de 2020, la cual solo es aplicable a convenios interadministrativos.</w:t>
      </w:r>
    </w:p>
    <w:p w14:paraId="63696999" w14:textId="77777777" w:rsidR="00EA1C6F" w:rsidRDefault="00EA1C6F" w:rsidP="00E245AB">
      <w:pPr>
        <w:spacing w:after="0"/>
        <w:rPr>
          <w:rFonts w:ascii="Century Gothic" w:hAnsi="Century Gothic"/>
        </w:rPr>
      </w:pPr>
    </w:p>
    <w:p w14:paraId="7FFCC53C" w14:textId="77777777" w:rsidR="00EA1C6F" w:rsidRDefault="00EA1C6F" w:rsidP="00E245AB">
      <w:pPr>
        <w:spacing w:after="0"/>
        <w:rPr>
          <w:rFonts w:ascii="Century Gothic" w:hAnsi="Century Gothic"/>
        </w:rPr>
      </w:pPr>
    </w:p>
    <w:p w14:paraId="4D8B8ED1" w14:textId="77777777" w:rsidR="00EA1C6F" w:rsidRDefault="00EA1C6F" w:rsidP="00E245AB">
      <w:pPr>
        <w:spacing w:after="0"/>
        <w:rPr>
          <w:rFonts w:ascii="Century Gothic" w:hAnsi="Century Gothic"/>
        </w:rPr>
      </w:pPr>
    </w:p>
    <w:p w14:paraId="640BF8DE" w14:textId="77777777" w:rsidR="00EA1C6F" w:rsidRDefault="00EA1C6F" w:rsidP="00E245AB">
      <w:pPr>
        <w:spacing w:after="0"/>
        <w:rPr>
          <w:rFonts w:ascii="Century Gothic" w:hAnsi="Century Gothic"/>
        </w:rPr>
      </w:pPr>
    </w:p>
    <w:p w14:paraId="3F846310" w14:textId="77777777" w:rsidR="00EA1C6F" w:rsidRDefault="00EA1C6F" w:rsidP="00E245AB">
      <w:pPr>
        <w:spacing w:after="0"/>
        <w:rPr>
          <w:rFonts w:ascii="Century Gothic" w:hAnsi="Century Gothic"/>
        </w:rPr>
      </w:pPr>
    </w:p>
    <w:p w14:paraId="2DF5609D" w14:textId="77777777" w:rsidR="00EA1C6F" w:rsidRDefault="00EA1C6F" w:rsidP="00E245AB">
      <w:pPr>
        <w:spacing w:after="0"/>
        <w:rPr>
          <w:rFonts w:ascii="Century Gothic" w:hAnsi="Century Gothic"/>
        </w:rPr>
      </w:pPr>
    </w:p>
    <w:p w14:paraId="3AD766ED" w14:textId="77777777" w:rsidR="00EA1C6F" w:rsidRDefault="00EA1C6F" w:rsidP="00E245AB">
      <w:pPr>
        <w:spacing w:after="0"/>
        <w:rPr>
          <w:rFonts w:ascii="Century Gothic" w:hAnsi="Century Gothic"/>
        </w:rPr>
      </w:pPr>
    </w:p>
    <w:p w14:paraId="7E3419E4" w14:textId="77777777" w:rsidR="00EA1C6F" w:rsidRDefault="00EA1C6F" w:rsidP="00E245AB">
      <w:pPr>
        <w:spacing w:after="0"/>
        <w:rPr>
          <w:rFonts w:ascii="Century Gothic" w:hAnsi="Century Gothic"/>
        </w:rPr>
      </w:pPr>
    </w:p>
    <w:p w14:paraId="2C6E6D01" w14:textId="77777777" w:rsidR="00EA1C6F" w:rsidRDefault="00EA1C6F" w:rsidP="00E245AB">
      <w:pPr>
        <w:spacing w:after="0"/>
        <w:rPr>
          <w:rFonts w:ascii="Century Gothic" w:hAnsi="Century Gothic"/>
        </w:rPr>
      </w:pPr>
    </w:p>
    <w:p w14:paraId="172B6663" w14:textId="77777777" w:rsidR="00EA1C6F" w:rsidRDefault="00EA1C6F" w:rsidP="00E245AB">
      <w:pPr>
        <w:spacing w:after="0"/>
        <w:rPr>
          <w:rFonts w:ascii="Century Gothic" w:hAnsi="Century Gothic"/>
        </w:rPr>
      </w:pPr>
    </w:p>
    <w:p w14:paraId="617668F8" w14:textId="77777777" w:rsidR="00EA1C6F" w:rsidRDefault="00EA1C6F" w:rsidP="00E245AB">
      <w:pPr>
        <w:spacing w:after="0"/>
        <w:rPr>
          <w:rFonts w:ascii="Century Gothic" w:hAnsi="Century Gothic"/>
        </w:rPr>
      </w:pPr>
    </w:p>
    <w:p w14:paraId="73EEC613" w14:textId="77777777" w:rsidR="00EA1C6F" w:rsidRDefault="00EA1C6F" w:rsidP="00E245AB">
      <w:pPr>
        <w:spacing w:after="0"/>
        <w:rPr>
          <w:rFonts w:ascii="Century Gothic" w:hAnsi="Century Gothic"/>
        </w:rPr>
      </w:pPr>
    </w:p>
    <w:p w14:paraId="53EC5A54" w14:textId="77777777" w:rsidR="00EA1C6F" w:rsidRDefault="00EA1C6F" w:rsidP="00E245AB">
      <w:pPr>
        <w:spacing w:after="0"/>
        <w:rPr>
          <w:rFonts w:ascii="Century Gothic" w:hAnsi="Century Gothic"/>
        </w:rPr>
      </w:pPr>
    </w:p>
    <w:p w14:paraId="45051753" w14:textId="77777777" w:rsidR="00EA1C6F" w:rsidRDefault="00EA1C6F" w:rsidP="00E245AB">
      <w:pPr>
        <w:spacing w:after="0"/>
        <w:rPr>
          <w:rFonts w:ascii="Century Gothic" w:hAnsi="Century Gothic"/>
        </w:rPr>
      </w:pPr>
    </w:p>
    <w:p w14:paraId="4D94B414" w14:textId="77777777" w:rsidR="00EA1C6F" w:rsidRDefault="00EA1C6F" w:rsidP="00E245AB">
      <w:pPr>
        <w:spacing w:after="0"/>
        <w:rPr>
          <w:rFonts w:ascii="Century Gothic" w:hAnsi="Century Gothic"/>
        </w:rPr>
      </w:pPr>
    </w:p>
    <w:p w14:paraId="48CAC530" w14:textId="77777777" w:rsidR="00EA1C6F" w:rsidRDefault="00EA1C6F" w:rsidP="00E245AB">
      <w:pPr>
        <w:spacing w:after="0"/>
        <w:rPr>
          <w:rFonts w:ascii="Century Gothic" w:hAnsi="Century Gothic"/>
        </w:rPr>
      </w:pPr>
    </w:p>
    <w:p w14:paraId="4028A728" w14:textId="77777777" w:rsidR="00EA1C6F" w:rsidRDefault="00EA1C6F" w:rsidP="00E245AB">
      <w:pPr>
        <w:spacing w:after="0"/>
        <w:rPr>
          <w:rFonts w:ascii="Century Gothic" w:hAnsi="Century Gothic"/>
        </w:rPr>
      </w:pPr>
    </w:p>
    <w:p w14:paraId="3795F811" w14:textId="77777777" w:rsidR="00EA1C6F" w:rsidRDefault="00EA1C6F" w:rsidP="00E245AB">
      <w:pPr>
        <w:spacing w:after="0"/>
        <w:rPr>
          <w:rFonts w:ascii="Century Gothic" w:hAnsi="Century Gothic"/>
        </w:rPr>
      </w:pPr>
    </w:p>
    <w:p w14:paraId="1BBE46DB" w14:textId="77777777" w:rsidR="00EA1C6F" w:rsidRDefault="00EA1C6F" w:rsidP="00E245AB">
      <w:pPr>
        <w:spacing w:after="0"/>
        <w:rPr>
          <w:rFonts w:ascii="Century Gothic" w:hAnsi="Century Gothic"/>
        </w:rPr>
      </w:pPr>
    </w:p>
    <w:p w14:paraId="389C2F9D" w14:textId="77777777" w:rsidR="00EA1C6F" w:rsidRDefault="00EA1C6F" w:rsidP="00E245AB">
      <w:pPr>
        <w:spacing w:after="0"/>
        <w:rPr>
          <w:rFonts w:ascii="Century Gothic" w:hAnsi="Century Gothic"/>
        </w:rPr>
      </w:pPr>
    </w:p>
    <w:p w14:paraId="3049A66D" w14:textId="77777777" w:rsidR="00EA1C6F" w:rsidRDefault="00EA1C6F" w:rsidP="00E245AB">
      <w:pPr>
        <w:spacing w:after="0"/>
        <w:rPr>
          <w:rFonts w:ascii="Century Gothic" w:hAnsi="Century Gothic"/>
        </w:rPr>
      </w:pPr>
    </w:p>
    <w:p w14:paraId="6CF644A6" w14:textId="77777777" w:rsidR="00EA1C6F" w:rsidRDefault="00EA1C6F" w:rsidP="00E245AB">
      <w:pPr>
        <w:spacing w:after="0"/>
        <w:rPr>
          <w:rFonts w:ascii="Century Gothic" w:hAnsi="Century Gothic"/>
        </w:rPr>
      </w:pPr>
    </w:p>
    <w:p w14:paraId="310E0CD6" w14:textId="77777777" w:rsidR="00EA1C6F" w:rsidRDefault="00EA1C6F" w:rsidP="00E245AB">
      <w:pPr>
        <w:spacing w:after="0"/>
        <w:rPr>
          <w:rFonts w:ascii="Century Gothic" w:hAnsi="Century Gothic"/>
        </w:rPr>
      </w:pPr>
    </w:p>
    <w:p w14:paraId="7AB02284" w14:textId="77777777" w:rsidR="00EA1C6F" w:rsidRDefault="00EA1C6F" w:rsidP="00E245AB">
      <w:pPr>
        <w:spacing w:after="0"/>
        <w:rPr>
          <w:rFonts w:ascii="Century Gothic" w:hAnsi="Century Gothic"/>
        </w:rPr>
      </w:pPr>
    </w:p>
    <w:p w14:paraId="0D5E34D0" w14:textId="77777777" w:rsidR="00EA1C6F" w:rsidRDefault="00EA1C6F" w:rsidP="00E245AB">
      <w:pPr>
        <w:spacing w:after="0"/>
        <w:rPr>
          <w:rFonts w:ascii="Century Gothic" w:hAnsi="Century Gothic"/>
        </w:rPr>
      </w:pPr>
    </w:p>
    <w:p w14:paraId="55563E16" w14:textId="77777777" w:rsidR="00EA1C6F" w:rsidRDefault="00EA1C6F" w:rsidP="00E245AB">
      <w:pPr>
        <w:spacing w:after="0"/>
        <w:rPr>
          <w:rFonts w:ascii="Century Gothic" w:hAnsi="Century Gothic"/>
        </w:rPr>
      </w:pPr>
    </w:p>
    <w:p w14:paraId="46EA7AAF" w14:textId="77777777" w:rsidR="00EA1C6F" w:rsidRDefault="00EA1C6F" w:rsidP="00E245AB">
      <w:pPr>
        <w:spacing w:after="0"/>
        <w:rPr>
          <w:rFonts w:ascii="Century Gothic" w:hAnsi="Century Gothic"/>
        </w:rPr>
      </w:pPr>
    </w:p>
    <w:p w14:paraId="16DED314" w14:textId="77777777" w:rsidR="00EA1C6F" w:rsidRDefault="00EA1C6F" w:rsidP="00E245AB">
      <w:pPr>
        <w:spacing w:after="0"/>
        <w:rPr>
          <w:rFonts w:ascii="Century Gothic" w:hAnsi="Century Gothic"/>
        </w:rPr>
      </w:pPr>
    </w:p>
    <w:p w14:paraId="27B8E30F" w14:textId="77777777" w:rsidR="00EA1C6F" w:rsidRDefault="00EA1C6F" w:rsidP="00E245AB">
      <w:pPr>
        <w:spacing w:after="0"/>
        <w:rPr>
          <w:rFonts w:ascii="Century Gothic" w:hAnsi="Century Gothic"/>
        </w:rPr>
      </w:pPr>
    </w:p>
    <w:p w14:paraId="38C9470A" w14:textId="77777777" w:rsidR="00EA1C6F" w:rsidRDefault="00EA1C6F" w:rsidP="00E245AB">
      <w:pPr>
        <w:spacing w:after="0"/>
        <w:rPr>
          <w:rFonts w:ascii="Century Gothic" w:hAnsi="Century Gothic"/>
        </w:rPr>
      </w:pPr>
    </w:p>
    <w:p w14:paraId="39218614" w14:textId="77777777" w:rsidR="00EA1C6F" w:rsidRDefault="00EA1C6F" w:rsidP="00E245AB">
      <w:pPr>
        <w:spacing w:after="0"/>
        <w:rPr>
          <w:rFonts w:ascii="Century Gothic" w:hAnsi="Century Gothic"/>
        </w:rPr>
      </w:pPr>
    </w:p>
    <w:p w14:paraId="19450A9E" w14:textId="77777777" w:rsidR="00EA1C6F" w:rsidRDefault="00EA1C6F" w:rsidP="00E245AB">
      <w:pPr>
        <w:spacing w:after="0"/>
        <w:rPr>
          <w:rFonts w:ascii="Century Gothic" w:hAnsi="Century Gothic"/>
        </w:rPr>
      </w:pPr>
    </w:p>
    <w:p w14:paraId="7824BDC3" w14:textId="77777777" w:rsidR="00A14BF4" w:rsidRDefault="00A14BF4" w:rsidP="00E245AB">
      <w:pPr>
        <w:spacing w:after="0"/>
        <w:rPr>
          <w:rFonts w:ascii="Century Gothic" w:hAnsi="Century Gothic"/>
        </w:rPr>
      </w:pPr>
    </w:p>
    <w:p w14:paraId="3FE2184B" w14:textId="2C461FF7" w:rsidR="00E245AB" w:rsidRPr="00322A85" w:rsidRDefault="00E245AB" w:rsidP="00E245AB">
      <w:pPr>
        <w:spacing w:after="0"/>
        <w:rPr>
          <w:rFonts w:ascii="Century Gothic" w:hAnsi="Century Gothic"/>
        </w:rPr>
      </w:pPr>
      <w:r w:rsidRPr="00322A85">
        <w:rPr>
          <w:rFonts w:ascii="Century Gothic" w:hAnsi="Century Gothic"/>
        </w:rPr>
        <w:t xml:space="preserve">Bogotá D.C., </w:t>
      </w:r>
      <w:r w:rsidR="00891928" w:rsidRPr="00322A85">
        <w:rPr>
          <w:rFonts w:ascii="Century Gothic" w:hAnsi="Century Gothic"/>
        </w:rPr>
        <w:t>[Día]</w:t>
      </w:r>
      <w:r w:rsidR="005A2340">
        <w:rPr>
          <w:rFonts w:ascii="Century Gothic" w:hAnsi="Century Gothic"/>
        </w:rPr>
        <w:t xml:space="preserve"> </w:t>
      </w:r>
      <w:r w:rsidR="00891928" w:rsidRPr="00322A85">
        <w:rPr>
          <w:rFonts w:ascii="Century Gothic" w:hAnsi="Century Gothic"/>
        </w:rPr>
        <w:t>[Mes</w:t>
      </w:r>
      <w:r w:rsidR="005A2340">
        <w:rPr>
          <w:rFonts w:ascii="Century Gothic" w:hAnsi="Century Gothic"/>
        </w:rPr>
        <w:t>.</w:t>
      </w:r>
      <w:r w:rsidR="00891928" w:rsidRPr="00322A85">
        <w:rPr>
          <w:rFonts w:ascii="Century Gothic" w:hAnsi="Century Gothic"/>
        </w:rPr>
        <w:t>NombreCapitalizado]</w:t>
      </w:r>
      <w:r w:rsidR="005A2340">
        <w:rPr>
          <w:rFonts w:ascii="Century Gothic" w:hAnsi="Century Gothic"/>
        </w:rPr>
        <w:t xml:space="preserve"> </w:t>
      </w:r>
      <w:r w:rsidR="00891928" w:rsidRPr="00322A85">
        <w:rPr>
          <w:rFonts w:ascii="Century Gothic" w:hAnsi="Century Gothic"/>
        </w:rPr>
        <w:t>[Año]</w:t>
      </w:r>
      <w:r w:rsidR="00891928" w:rsidRPr="00322A85">
        <w:rPr>
          <w:rFonts w:ascii="Century Gothic" w:hAnsi="Century Gothic"/>
        </w:rPr>
        <w:tab/>
      </w:r>
    </w:p>
    <w:p w14:paraId="5D5DFBED" w14:textId="057E5798" w:rsidR="00AB08FB" w:rsidRPr="0085168F" w:rsidRDefault="00AB08FB" w:rsidP="00AB08FB">
      <w:pPr>
        <w:spacing w:line="276" w:lineRule="auto"/>
        <w:jc w:val="both"/>
        <w:rPr>
          <w:rFonts w:ascii="Century Gothic" w:hAnsi="Century Gothic" w:cs="Arial"/>
          <w:noProof/>
          <w:lang w:val="es-ES_tradnl"/>
        </w:rPr>
      </w:pPr>
    </w:p>
    <w:p w14:paraId="79968BBC" w14:textId="6B9252AF" w:rsidR="00AB08FB" w:rsidRPr="0085168F" w:rsidRDefault="00486ADB" w:rsidP="00E37FD9">
      <w:pPr>
        <w:spacing w:after="0" w:line="276" w:lineRule="auto"/>
        <w:jc w:val="both"/>
        <w:rPr>
          <w:rFonts w:ascii="Century Gothic" w:eastAsia="Calibri" w:hAnsi="Century Gothic" w:cs="Arial"/>
          <w:lang w:val="es-ES"/>
        </w:rPr>
      </w:pPr>
      <w:r>
        <w:rPr>
          <w:noProof/>
        </w:rPr>
        <w:drawing>
          <wp:anchor distT="0" distB="0" distL="0" distR="0" simplePos="0" relativeHeight="251659264" behindDoc="0" locked="0" layoutInCell="1" allowOverlap="1" wp14:anchorId="7F884C28" wp14:editId="677AF769">
            <wp:simplePos x="0" y="0"/>
            <wp:positionH relativeFrom="margin">
              <wp:align>right</wp:align>
            </wp:positionH>
            <wp:positionV relativeFrom="paragraph">
              <wp:posOffset>7620</wp:posOffset>
            </wp:positionV>
            <wp:extent cx="2400300" cy="615950"/>
            <wp:effectExtent l="0" t="0" r="0" b="0"/>
            <wp:wrapNone/>
            <wp:docPr id="5" name="Image 5"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r w:rsidR="00AB08FB" w:rsidRPr="0085168F">
        <w:rPr>
          <w:rFonts w:ascii="Century Gothic" w:eastAsia="Calibri" w:hAnsi="Century Gothic" w:cs="Arial"/>
          <w:lang w:val="es-ES"/>
        </w:rPr>
        <w:t>Señora</w:t>
      </w:r>
    </w:p>
    <w:p w14:paraId="1F7BA6EE" w14:textId="299C4867" w:rsidR="00AB08FB" w:rsidRPr="0085168F" w:rsidRDefault="00AB08FB" w:rsidP="00E37FD9">
      <w:pPr>
        <w:spacing w:after="0" w:line="276" w:lineRule="auto"/>
        <w:jc w:val="both"/>
        <w:rPr>
          <w:rFonts w:ascii="Century Gothic" w:eastAsia="Calibri" w:hAnsi="Century Gothic" w:cs="Arial"/>
          <w:b/>
          <w:bCs/>
          <w:lang w:val="es-ES"/>
        </w:rPr>
      </w:pPr>
      <w:r w:rsidRPr="0085168F">
        <w:rPr>
          <w:rFonts w:ascii="Century Gothic" w:eastAsia="Calibri" w:hAnsi="Century Gothic" w:cs="Arial"/>
          <w:b/>
          <w:bCs/>
          <w:lang w:val="es-ES"/>
        </w:rPr>
        <w:t>Liliana Inés Patiño Olave</w:t>
      </w:r>
      <w:r w:rsidR="00486ADB">
        <w:rPr>
          <w:rFonts w:ascii="Century Gothic" w:eastAsia="Calibri" w:hAnsi="Century Gothic" w:cs="Arial"/>
          <w:b/>
          <w:bCs/>
          <w:lang w:val="es-ES"/>
        </w:rPr>
        <w:t xml:space="preserve"> </w:t>
      </w:r>
    </w:p>
    <w:p w14:paraId="65BFC735" w14:textId="77777777" w:rsidR="00AB08FB" w:rsidRPr="0085168F" w:rsidRDefault="00AB08FB" w:rsidP="00E37FD9">
      <w:pPr>
        <w:spacing w:after="0"/>
        <w:rPr>
          <w:rFonts w:ascii="Century Gothic" w:eastAsia="Calibri" w:hAnsi="Century Gothic" w:cs="Arial"/>
          <w:bCs/>
          <w:lang w:val="es-ES_tradnl"/>
        </w:rPr>
      </w:pPr>
      <w:r w:rsidRPr="0085168F">
        <w:rPr>
          <w:rFonts w:ascii="Century Gothic" w:eastAsia="Calibri" w:hAnsi="Century Gothic" w:cs="Arial"/>
          <w:bCs/>
          <w:lang w:val="es-ES_tradnl"/>
        </w:rPr>
        <w:t>Sogamoso, Boyacá</w:t>
      </w:r>
    </w:p>
    <w:p w14:paraId="7F714C82" w14:textId="77777777" w:rsidR="00AB08FB" w:rsidRPr="0085168F" w:rsidRDefault="00AB08FB" w:rsidP="00AB08FB">
      <w:pPr>
        <w:rPr>
          <w:rFonts w:ascii="Century Gothic" w:eastAsia="Calibri" w:hAnsi="Century Gothic" w:cs="Arial"/>
          <w:lang w:val="es-ES_tradnl"/>
        </w:rPr>
      </w:pPr>
    </w:p>
    <w:p w14:paraId="32AF77F3" w14:textId="47DD5BDA" w:rsidR="00AB08FB" w:rsidRPr="00AB08FB" w:rsidRDefault="00AB08FB" w:rsidP="00AB08FB">
      <w:pPr>
        <w:ind w:left="2694"/>
        <w:rPr>
          <w:rFonts w:ascii="Century Gothic" w:eastAsia="Calibri" w:hAnsi="Century Gothic" w:cs="Arial"/>
          <w:b/>
          <w:bCs/>
          <w:lang w:val="es-ES"/>
        </w:rPr>
      </w:pPr>
      <w:r w:rsidRPr="0085168F">
        <w:rPr>
          <w:rFonts w:ascii="Century Gothic" w:eastAsia="Calibri" w:hAnsi="Century Gothic" w:cs="Arial"/>
          <w:b/>
          <w:bCs/>
          <w:lang w:val="es-ES"/>
        </w:rPr>
        <w:t>Concepto C</w:t>
      </w:r>
      <w:r>
        <w:rPr>
          <w:rFonts w:ascii="Century Gothic" w:eastAsia="Calibri" w:hAnsi="Century Gothic" w:cs="Arial"/>
          <w:b/>
          <w:bCs/>
          <w:lang w:val="es-ES"/>
        </w:rPr>
        <w:t>-444 de 2023</w:t>
      </w: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B08FB" w:rsidRPr="0085168F" w14:paraId="7B02381A" w14:textId="77777777" w:rsidTr="005A4112">
        <w:trPr>
          <w:jc w:val="right"/>
        </w:trPr>
        <w:tc>
          <w:tcPr>
            <w:tcW w:w="1838" w:type="dxa"/>
          </w:tcPr>
          <w:p w14:paraId="10998424" w14:textId="77777777" w:rsidR="00AB08FB" w:rsidRPr="0085168F" w:rsidRDefault="00AB08FB" w:rsidP="005A4112">
            <w:pPr>
              <w:jc w:val="center"/>
              <w:rPr>
                <w:rFonts w:ascii="Century Gothic" w:eastAsia="Calibri" w:hAnsi="Century Gothic" w:cs="Arial"/>
                <w:lang w:val="es-ES_tradnl"/>
              </w:rPr>
            </w:pPr>
            <w:r w:rsidRPr="0085168F">
              <w:rPr>
                <w:rFonts w:ascii="Century Gothic" w:eastAsia="Calibri" w:hAnsi="Century Gothic" w:cs="Arial"/>
                <w:b/>
                <w:lang w:val="es-ES_tradnl"/>
              </w:rPr>
              <w:t>Temas:</w:t>
            </w:r>
          </w:p>
        </w:tc>
        <w:tc>
          <w:tcPr>
            <w:tcW w:w="6237" w:type="dxa"/>
          </w:tcPr>
          <w:p w14:paraId="6C6F0AE7" w14:textId="77777777" w:rsidR="00AB08FB" w:rsidRPr="0085168F" w:rsidRDefault="00AB08FB" w:rsidP="005A4112">
            <w:pPr>
              <w:jc w:val="both"/>
              <w:rPr>
                <w:rFonts w:ascii="Century Gothic" w:hAnsi="Century Gothic" w:cs="Arial"/>
                <w:lang w:val="es-ES_tradnl"/>
              </w:rPr>
            </w:pPr>
            <w:r w:rsidRPr="00E13602">
              <w:rPr>
                <w:rFonts w:ascii="Century Gothic" w:eastAsia="Calibri" w:hAnsi="Century Gothic" w:cs="Arial"/>
              </w:rPr>
              <w:t xml:space="preserve">LEY DE GARANTÍAS ELECTORALES </w:t>
            </w:r>
            <w:r w:rsidRPr="00E13602">
              <w:rPr>
                <w:rFonts w:ascii="Arial" w:eastAsia="Calibri" w:hAnsi="Arial" w:cs="Arial"/>
              </w:rPr>
              <w:t>‒</w:t>
            </w:r>
            <w:r w:rsidRPr="00E13602">
              <w:rPr>
                <w:rFonts w:ascii="Century Gothic" w:eastAsia="Calibri" w:hAnsi="Century Gothic" w:cs="Arial"/>
              </w:rPr>
              <w:t xml:space="preserve"> Tipos de restricciones </w:t>
            </w:r>
            <w:r w:rsidRPr="00E13602">
              <w:rPr>
                <w:rFonts w:ascii="Arial" w:eastAsia="Calibri" w:hAnsi="Arial" w:cs="Arial"/>
              </w:rPr>
              <w:t>‒</w:t>
            </w:r>
            <w:r w:rsidRPr="00E13602">
              <w:rPr>
                <w:rFonts w:ascii="Century Gothic" w:eastAsia="Calibri" w:hAnsi="Century Gothic" w:cs="Arial"/>
              </w:rPr>
              <w:t xml:space="preserve"> </w:t>
            </w:r>
            <w:r w:rsidRPr="00E13602">
              <w:rPr>
                <w:rFonts w:ascii="Century Gothic" w:eastAsia="Calibri" w:hAnsi="Century Gothic" w:cs="Century Gothic"/>
              </w:rPr>
              <w:t>Á</w:t>
            </w:r>
            <w:r w:rsidRPr="00E13602">
              <w:rPr>
                <w:rFonts w:ascii="Century Gothic" w:eastAsia="Calibri" w:hAnsi="Century Gothic" w:cs="Arial"/>
              </w:rPr>
              <w:t>mbito temporal / CONVENIOS DE ASOCIACI</w:t>
            </w:r>
            <w:r w:rsidRPr="00E13602">
              <w:rPr>
                <w:rFonts w:ascii="Century Gothic" w:eastAsia="Calibri" w:hAnsi="Century Gothic" w:cs="Century Gothic"/>
              </w:rPr>
              <w:t>Ó</w:t>
            </w:r>
            <w:r w:rsidRPr="00E13602">
              <w:rPr>
                <w:rFonts w:ascii="Century Gothic" w:eastAsia="Calibri" w:hAnsi="Century Gothic" w:cs="Arial"/>
              </w:rPr>
              <w:t xml:space="preserve">N </w:t>
            </w:r>
            <w:r w:rsidRPr="00E13602">
              <w:rPr>
                <w:rFonts w:ascii="Century Gothic" w:eastAsia="Calibri" w:hAnsi="Century Gothic" w:cs="Century Gothic"/>
              </w:rPr>
              <w:t>–</w:t>
            </w:r>
            <w:r w:rsidRPr="00E13602">
              <w:rPr>
                <w:rFonts w:ascii="Century Gothic" w:eastAsia="Calibri" w:hAnsi="Century Gothic" w:cs="Arial"/>
              </w:rPr>
              <w:t xml:space="preserve"> ESAL </w:t>
            </w:r>
            <w:r w:rsidRPr="00E13602">
              <w:rPr>
                <w:rFonts w:ascii="Century Gothic" w:eastAsia="Calibri" w:hAnsi="Century Gothic" w:cs="Century Gothic"/>
              </w:rPr>
              <w:t>–</w:t>
            </w:r>
            <w:r w:rsidRPr="00E13602">
              <w:rPr>
                <w:rFonts w:ascii="Century Gothic" w:eastAsia="Calibri" w:hAnsi="Century Gothic" w:cs="Arial"/>
              </w:rPr>
              <w:t xml:space="preserve"> Objeto / CONTRATACI</w:t>
            </w:r>
            <w:r w:rsidRPr="00E13602">
              <w:rPr>
                <w:rFonts w:ascii="Century Gothic" w:eastAsia="Calibri" w:hAnsi="Century Gothic" w:cs="Century Gothic"/>
              </w:rPr>
              <w:t>Ó</w:t>
            </w:r>
            <w:r w:rsidRPr="00E13602">
              <w:rPr>
                <w:rFonts w:ascii="Century Gothic" w:eastAsia="Calibri" w:hAnsi="Century Gothic" w:cs="Arial"/>
              </w:rPr>
              <w:t>N CON ESAL</w:t>
            </w:r>
            <w:r w:rsidRPr="00E13602">
              <w:rPr>
                <w:rFonts w:ascii="Arial" w:eastAsia="Calibri" w:hAnsi="Arial" w:cs="Arial"/>
              </w:rPr>
              <w:t>‒</w:t>
            </w:r>
            <w:r w:rsidRPr="00E13602">
              <w:rPr>
                <w:rFonts w:ascii="Century Gothic" w:eastAsia="Calibri" w:hAnsi="Century Gothic" w:cs="Arial"/>
              </w:rPr>
              <w:t xml:space="preserve"> Ley de garant</w:t>
            </w:r>
            <w:r w:rsidRPr="00E13602">
              <w:rPr>
                <w:rFonts w:ascii="Century Gothic" w:eastAsia="Calibri" w:hAnsi="Century Gothic" w:cs="Century Gothic"/>
              </w:rPr>
              <w:t>í</w:t>
            </w:r>
            <w:r w:rsidRPr="00E13602">
              <w:rPr>
                <w:rFonts w:ascii="Century Gothic" w:eastAsia="Calibri" w:hAnsi="Century Gothic" w:cs="Arial"/>
              </w:rPr>
              <w:t xml:space="preserve">as </w:t>
            </w:r>
            <w:r w:rsidRPr="00E13602">
              <w:rPr>
                <w:rFonts w:ascii="Century Gothic" w:eastAsia="Calibri" w:hAnsi="Century Gothic" w:cs="Century Gothic"/>
              </w:rPr>
              <w:t>–</w:t>
            </w:r>
            <w:r w:rsidRPr="00E13602">
              <w:rPr>
                <w:rFonts w:ascii="Century Gothic" w:eastAsia="Calibri" w:hAnsi="Century Gothic" w:cs="Arial"/>
              </w:rPr>
              <w:t xml:space="preserve"> Restricciones </w:t>
            </w:r>
            <w:r w:rsidRPr="00E13602">
              <w:rPr>
                <w:rFonts w:ascii="Century Gothic" w:eastAsia="Calibri" w:hAnsi="Century Gothic" w:cs="Century Gothic"/>
              </w:rPr>
              <w:t>–</w:t>
            </w:r>
            <w:r w:rsidRPr="00E13602">
              <w:rPr>
                <w:rFonts w:ascii="Century Gothic" w:eastAsia="Calibri" w:hAnsi="Century Gothic" w:cs="Arial"/>
              </w:rPr>
              <w:t xml:space="preserve"> Art</w:t>
            </w:r>
            <w:r w:rsidRPr="00E13602">
              <w:rPr>
                <w:rFonts w:ascii="Century Gothic" w:eastAsia="Calibri" w:hAnsi="Century Gothic" w:cs="Century Gothic"/>
              </w:rPr>
              <w:t>í</w:t>
            </w:r>
            <w:r w:rsidRPr="00E13602">
              <w:rPr>
                <w:rFonts w:ascii="Century Gothic" w:eastAsia="Calibri" w:hAnsi="Century Gothic" w:cs="Arial"/>
              </w:rPr>
              <w:t xml:space="preserve">culos 33 y 38 </w:t>
            </w:r>
            <w:r w:rsidRPr="00E13602">
              <w:rPr>
                <w:rFonts w:ascii="Century Gothic" w:eastAsia="Calibri" w:hAnsi="Century Gothic" w:cs="Century Gothic"/>
              </w:rPr>
              <w:t>–</w:t>
            </w:r>
            <w:r w:rsidRPr="00E13602">
              <w:rPr>
                <w:rFonts w:ascii="Century Gothic" w:eastAsia="Calibri" w:hAnsi="Century Gothic" w:cs="Arial"/>
              </w:rPr>
              <w:t xml:space="preserve"> Alcance</w:t>
            </w:r>
          </w:p>
        </w:tc>
      </w:tr>
      <w:tr w:rsidR="00AB08FB" w:rsidRPr="0085168F" w14:paraId="1A2E2EBD" w14:textId="77777777" w:rsidTr="005A4112">
        <w:trPr>
          <w:jc w:val="right"/>
        </w:trPr>
        <w:tc>
          <w:tcPr>
            <w:tcW w:w="1838" w:type="dxa"/>
          </w:tcPr>
          <w:p w14:paraId="1F2F24C6" w14:textId="77777777" w:rsidR="00AB08FB" w:rsidRPr="0085168F" w:rsidRDefault="00AB08FB" w:rsidP="005A4112">
            <w:pPr>
              <w:spacing w:before="120"/>
              <w:jc w:val="center"/>
              <w:rPr>
                <w:rFonts w:ascii="Century Gothic" w:eastAsia="Calibri" w:hAnsi="Century Gothic" w:cs="Arial"/>
                <w:b/>
                <w:lang w:val="es-ES"/>
              </w:rPr>
            </w:pPr>
          </w:p>
          <w:p w14:paraId="6EA285FC" w14:textId="77777777" w:rsidR="00AB08FB" w:rsidRPr="0085168F" w:rsidRDefault="00AB08FB" w:rsidP="005A4112">
            <w:pPr>
              <w:spacing w:before="120"/>
              <w:jc w:val="center"/>
              <w:rPr>
                <w:rFonts w:ascii="Century Gothic" w:eastAsia="Calibri" w:hAnsi="Century Gothic" w:cs="Arial"/>
                <w:b/>
                <w:lang w:val="es-ES"/>
              </w:rPr>
            </w:pPr>
            <w:r w:rsidRPr="0085168F">
              <w:rPr>
                <w:rFonts w:ascii="Century Gothic" w:eastAsia="Calibri" w:hAnsi="Century Gothic" w:cs="Arial"/>
                <w:b/>
                <w:lang w:val="es-ES"/>
              </w:rPr>
              <w:t>Radicación:</w:t>
            </w:r>
          </w:p>
        </w:tc>
        <w:tc>
          <w:tcPr>
            <w:tcW w:w="6237" w:type="dxa"/>
          </w:tcPr>
          <w:p w14:paraId="6BFB0E61" w14:textId="77777777" w:rsidR="00AB08FB" w:rsidRPr="0085168F" w:rsidRDefault="00AB08FB" w:rsidP="005A4112">
            <w:pPr>
              <w:spacing w:before="120"/>
              <w:jc w:val="both"/>
              <w:rPr>
                <w:rFonts w:ascii="Century Gothic" w:eastAsia="Calibri" w:hAnsi="Century Gothic" w:cs="Arial"/>
                <w:lang w:val="es-ES"/>
              </w:rPr>
            </w:pPr>
          </w:p>
          <w:p w14:paraId="19638691" w14:textId="77777777" w:rsidR="00AB08FB" w:rsidRPr="0085168F" w:rsidRDefault="00AB08FB" w:rsidP="005A4112">
            <w:pPr>
              <w:spacing w:before="120"/>
              <w:jc w:val="both"/>
              <w:rPr>
                <w:rFonts w:ascii="Century Gothic" w:eastAsia="Calibri" w:hAnsi="Century Gothic" w:cs="Arial"/>
                <w:lang w:val="es-ES"/>
              </w:rPr>
            </w:pPr>
            <w:r w:rsidRPr="0085168F">
              <w:rPr>
                <w:rFonts w:ascii="Century Gothic" w:eastAsia="Calibri" w:hAnsi="Century Gothic" w:cs="Arial"/>
                <w:lang w:val="es-ES"/>
              </w:rPr>
              <w:t>Respuesta a consulta P20230919015263</w:t>
            </w:r>
          </w:p>
        </w:tc>
      </w:tr>
    </w:tbl>
    <w:p w14:paraId="07210762" w14:textId="77777777" w:rsidR="00AB08FB" w:rsidRPr="0085168F" w:rsidRDefault="00AB08FB" w:rsidP="00AB08FB">
      <w:pPr>
        <w:jc w:val="both"/>
        <w:rPr>
          <w:rFonts w:ascii="Century Gothic" w:eastAsia="Calibri" w:hAnsi="Century Gothic" w:cs="Arial"/>
          <w:lang w:val="es-ES_tradnl"/>
        </w:rPr>
      </w:pPr>
    </w:p>
    <w:p w14:paraId="39807EEC" w14:textId="4382F413" w:rsidR="00AB08FB" w:rsidRDefault="00AB08FB" w:rsidP="00AB08FB">
      <w:pPr>
        <w:jc w:val="both"/>
        <w:rPr>
          <w:rFonts w:ascii="Century Gothic" w:eastAsia="Calibri" w:hAnsi="Century Gothic" w:cs="Arial"/>
          <w:bCs/>
          <w:lang w:val="es-ES_tradnl"/>
        </w:rPr>
      </w:pPr>
      <w:r w:rsidRPr="0085168F">
        <w:rPr>
          <w:rFonts w:ascii="Century Gothic" w:eastAsia="Calibri" w:hAnsi="Century Gothic" w:cs="Arial"/>
          <w:lang w:val="es-ES_tradnl"/>
        </w:rPr>
        <w:t xml:space="preserve">Estimada señora </w:t>
      </w:r>
      <w:r w:rsidRPr="0085168F">
        <w:rPr>
          <w:rFonts w:ascii="Century Gothic" w:eastAsia="Calibri" w:hAnsi="Century Gothic" w:cs="Arial"/>
          <w:bCs/>
          <w:lang w:val="es-ES_tradnl"/>
        </w:rPr>
        <w:t>Patiño Olave:</w:t>
      </w:r>
    </w:p>
    <w:p w14:paraId="00E53EDD" w14:textId="77777777" w:rsidR="00B10C2C" w:rsidRPr="00AB08FB" w:rsidRDefault="00B10C2C" w:rsidP="00AB08FB">
      <w:pPr>
        <w:jc w:val="both"/>
        <w:rPr>
          <w:rFonts w:ascii="Century Gothic" w:eastAsia="Calibri" w:hAnsi="Century Gothic" w:cs="Arial"/>
          <w:bCs/>
          <w:lang w:val="es-ES_tradnl"/>
        </w:rPr>
      </w:pPr>
    </w:p>
    <w:p w14:paraId="24DCEE90" w14:textId="7D9626CB" w:rsidR="00AB08FB" w:rsidRPr="00AB08FB" w:rsidRDefault="00AB08FB" w:rsidP="00AB08FB">
      <w:pPr>
        <w:spacing w:line="276" w:lineRule="auto"/>
        <w:jc w:val="both"/>
        <w:rPr>
          <w:rFonts w:ascii="Century Gothic" w:eastAsia="Calibri" w:hAnsi="Century Gothic" w:cs="Arial"/>
          <w:lang w:val="es-ES"/>
        </w:rPr>
      </w:pPr>
      <w:r w:rsidRPr="0085168F">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 consulta del 19 de septiembre de 2023.</w:t>
      </w:r>
    </w:p>
    <w:p w14:paraId="31BF41B9" w14:textId="356E7645" w:rsidR="00AB08FB" w:rsidRDefault="00AB08FB" w:rsidP="00AB08FB">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85168F">
        <w:rPr>
          <w:rFonts w:ascii="Century Gothic" w:eastAsia="Calibri" w:hAnsi="Century Gothic" w:cs="Arial"/>
          <w:b/>
          <w:lang w:val="es-ES_tradnl"/>
        </w:rPr>
        <w:t xml:space="preserve">Problema planteado </w:t>
      </w:r>
    </w:p>
    <w:p w14:paraId="6C58A5B0" w14:textId="77777777" w:rsidR="00AB08FB" w:rsidRPr="00AB08FB" w:rsidRDefault="00AB08FB" w:rsidP="00AB08FB">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3B3BC248" w14:textId="06DA276B" w:rsidR="00AB08FB" w:rsidRPr="00AB08FB" w:rsidRDefault="00AB08FB" w:rsidP="00AB08FB">
      <w:pPr>
        <w:tabs>
          <w:tab w:val="left" w:pos="426"/>
        </w:tabs>
        <w:spacing w:line="276" w:lineRule="auto"/>
        <w:jc w:val="both"/>
        <w:rPr>
          <w:rFonts w:ascii="Century Gothic" w:eastAsia="Calibri" w:hAnsi="Century Gothic" w:cs="Arial"/>
          <w:bCs/>
          <w:lang w:val="es-ES_tradnl"/>
        </w:rPr>
      </w:pPr>
      <w:r w:rsidRPr="0085168F">
        <w:rPr>
          <w:rFonts w:ascii="Century Gothic" w:eastAsia="Calibri" w:hAnsi="Century Gothic" w:cs="Arial"/>
          <w:bCs/>
          <w:lang w:val="es-ES_tradnl"/>
        </w:rPr>
        <w:t xml:space="preserve">Usted formula la siguiente consulta: </w:t>
      </w:r>
    </w:p>
    <w:p w14:paraId="4F99F9EB" w14:textId="37A66848" w:rsidR="00AB08FB" w:rsidRPr="0085168F" w:rsidRDefault="00AB08FB" w:rsidP="00AB08FB">
      <w:pPr>
        <w:ind w:left="567" w:right="851"/>
        <w:jc w:val="both"/>
        <w:rPr>
          <w:rFonts w:ascii="Century Gothic" w:hAnsi="Century Gothic" w:cs="Arial"/>
          <w:sz w:val="21"/>
          <w:szCs w:val="21"/>
        </w:rPr>
      </w:pPr>
      <w:r w:rsidRPr="0085168F">
        <w:rPr>
          <w:rFonts w:ascii="Century Gothic" w:hAnsi="Century Gothic" w:cs="Arial"/>
          <w:sz w:val="21"/>
          <w:szCs w:val="21"/>
        </w:rPr>
        <w:t>“Mediante la presente me permito realizar la siguiente consulta: ¿es posible que durante ley de garantías previo a los comicios electorales de orden territorial, una entidad del Estado del orden territorial realice contratos y/o convenios de asociación regulados por el Decreto 092 de 2017 con una entidad sin ánimo de lucro de tipo mixto? ¿se pueden suscribir convenios bajo la modalidad contratación directa con ofertas?</w:t>
      </w:r>
      <w:r>
        <w:rPr>
          <w:rFonts w:ascii="Century Gothic" w:hAnsi="Century Gothic" w:cs="Arial"/>
          <w:sz w:val="21"/>
          <w:szCs w:val="21"/>
        </w:rPr>
        <w:t>”</w:t>
      </w:r>
    </w:p>
    <w:p w14:paraId="61157B6B" w14:textId="77777777" w:rsidR="00AB08FB" w:rsidRPr="0085168F" w:rsidRDefault="00AB08FB" w:rsidP="00AB08FB">
      <w:pPr>
        <w:pStyle w:val="Prrafodelista"/>
        <w:numPr>
          <w:ilvl w:val="0"/>
          <w:numId w:val="17"/>
        </w:numPr>
        <w:tabs>
          <w:tab w:val="left" w:pos="0"/>
          <w:tab w:val="left" w:pos="284"/>
        </w:tabs>
        <w:spacing w:after="0" w:line="240" w:lineRule="auto"/>
        <w:ind w:left="0" w:firstLine="0"/>
        <w:contextualSpacing w:val="0"/>
        <w:jc w:val="both"/>
        <w:rPr>
          <w:rFonts w:ascii="Century Gothic" w:eastAsia="Calibri" w:hAnsi="Century Gothic" w:cs="Arial"/>
          <w:b/>
          <w:lang w:val="es-ES_tradnl"/>
        </w:rPr>
      </w:pPr>
      <w:r w:rsidRPr="0085168F">
        <w:rPr>
          <w:rFonts w:ascii="Century Gothic" w:eastAsia="Calibri" w:hAnsi="Century Gothic" w:cs="Arial"/>
          <w:b/>
          <w:lang w:val="es-ES_tradnl"/>
        </w:rPr>
        <w:t>Consideraciones</w:t>
      </w:r>
    </w:p>
    <w:p w14:paraId="102CA9EA" w14:textId="77777777" w:rsidR="00AB08FB" w:rsidRPr="0085168F" w:rsidRDefault="00AB08FB" w:rsidP="00AB08FB">
      <w:pPr>
        <w:pStyle w:val="Prrafodelista"/>
        <w:tabs>
          <w:tab w:val="left" w:pos="0"/>
          <w:tab w:val="left" w:pos="284"/>
        </w:tabs>
        <w:ind w:left="0"/>
        <w:contextualSpacing w:val="0"/>
        <w:jc w:val="both"/>
        <w:rPr>
          <w:rFonts w:ascii="Century Gothic" w:eastAsia="Calibri" w:hAnsi="Century Gothic" w:cs="Arial"/>
          <w:b/>
          <w:lang w:val="es-ES_tradnl"/>
        </w:rPr>
      </w:pPr>
    </w:p>
    <w:p w14:paraId="1C7F3B05" w14:textId="77777777" w:rsidR="00AB08FB" w:rsidRPr="0085168F" w:rsidRDefault="00AB08FB" w:rsidP="00AB08FB">
      <w:pPr>
        <w:spacing w:after="120" w:line="276" w:lineRule="auto"/>
        <w:jc w:val="both"/>
        <w:rPr>
          <w:rFonts w:ascii="Century Gothic" w:hAnsi="Century Gothic" w:cs="Arial"/>
          <w:lang w:val="es-ES"/>
        </w:rPr>
      </w:pPr>
      <w:r w:rsidRPr="0085168F">
        <w:rPr>
          <w:rFonts w:ascii="Century Gothic" w:hAnsi="Century Gothic" w:cs="Arial"/>
        </w:rPr>
        <w:t xml:space="preserve">En ejercicio de las competencias establecidas en los artículos 3.5 y 11.8 del Decreto Ley 4170 de 2011, la Agencia Nacional de Contratación Pública – Colombia </w:t>
      </w:r>
      <w:r w:rsidRPr="0085168F">
        <w:rPr>
          <w:rFonts w:ascii="Century Gothic" w:hAnsi="Century Gothic" w:cs="Arial"/>
        </w:rPr>
        <w:lastRenderedPageBreak/>
        <w:t>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85168F">
        <w:rPr>
          <w:rFonts w:ascii="Century Gothic" w:hAnsi="Century Gothic" w:cs="Arial"/>
          <w:shd w:val="clear" w:color="auto" w:fill="E6E6E6"/>
        </w:rPr>
        <w:t xml:space="preserve"> </w:t>
      </w:r>
      <w:r w:rsidRPr="0085168F">
        <w:rPr>
          <w:rFonts w:ascii="Century Gothic" w:hAnsi="Century Gothic" w:cs="Arial"/>
          <w:lang w:val="es-ES"/>
        </w:rPr>
        <w:t xml:space="preserve">Es necesario tener en cuenta que </w:t>
      </w:r>
      <w:bookmarkStart w:id="6" w:name="_Hlk61026958"/>
      <w:r w:rsidRPr="0085168F">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5168F">
        <w:rPr>
          <w:rFonts w:ascii="Century Gothic" w:hAnsi="Century Gothic" w:cs="Arial"/>
        </w:rPr>
        <w:t xml:space="preserve"> de todos los partícipes de la contratación estatal.</w:t>
      </w:r>
    </w:p>
    <w:p w14:paraId="5807ED75" w14:textId="77777777" w:rsidR="00AB08FB" w:rsidRPr="0085168F" w:rsidRDefault="00AB08FB" w:rsidP="00AB08FB">
      <w:pPr>
        <w:spacing w:after="120" w:line="276" w:lineRule="auto"/>
        <w:ind w:firstLine="708"/>
        <w:jc w:val="both"/>
        <w:rPr>
          <w:rFonts w:ascii="Century Gothic" w:hAnsi="Century Gothic" w:cs="Arial"/>
          <w:lang w:val="es-ES"/>
        </w:rPr>
      </w:pPr>
      <w:r w:rsidRPr="0085168F">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5168F">
        <w:rPr>
          <w:rFonts w:ascii="Century Gothic" w:hAnsi="Century Gothic" w:cs="Arial"/>
          <w:vertAlign w:val="superscript"/>
          <w:lang w:val="es-ES"/>
        </w:rPr>
        <w:footnoteReference w:id="2"/>
      </w:r>
      <w:r w:rsidRPr="0085168F">
        <w:rPr>
          <w:rFonts w:ascii="Century Gothic" w:hAnsi="Century Gothic"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85168F">
        <w:rPr>
          <w:rFonts w:ascii="Century Gothic" w:hAnsi="Century Gothic"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p>
    <w:bookmarkEnd w:id="5"/>
    <w:p w14:paraId="432D75A6" w14:textId="77777777" w:rsidR="00AB08FB" w:rsidRPr="0085168F" w:rsidRDefault="00AB08FB" w:rsidP="00AB08FB">
      <w:pPr>
        <w:tabs>
          <w:tab w:val="left" w:pos="426"/>
        </w:tabs>
        <w:spacing w:before="120" w:after="120" w:line="276" w:lineRule="auto"/>
        <w:jc w:val="both"/>
        <w:rPr>
          <w:rFonts w:ascii="Century Gothic" w:hAnsi="Century Gothic" w:cs="Arial"/>
          <w:color w:val="FF0000"/>
          <w:lang w:val="es-ES"/>
        </w:rPr>
      </w:pPr>
      <w:r w:rsidRPr="0085168F">
        <w:rPr>
          <w:rFonts w:ascii="Century Gothic" w:hAnsi="Century Gothic" w:cs="Arial"/>
        </w:rPr>
        <w:tab/>
      </w:r>
      <w:r w:rsidRPr="0085168F">
        <w:rPr>
          <w:rFonts w:ascii="Century Gothic" w:hAnsi="Century Gothic" w:cs="Arial"/>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85168F">
        <w:rPr>
          <w:rFonts w:ascii="Century Gothic" w:eastAsia="Calibri" w:hAnsi="Century Gothic" w:cs="Arial"/>
          <w:lang w:val="es-ES"/>
        </w:rPr>
        <w:t>los siguientes temas</w:t>
      </w:r>
      <w:r w:rsidRPr="0085168F">
        <w:rPr>
          <w:rFonts w:ascii="Century Gothic" w:hAnsi="Century Gothic" w:cs="Arial"/>
          <w:lang w:val="es-ES"/>
        </w:rPr>
        <w:t xml:space="preserve">: i) alcance y finalidad de las restricciones a la contratación establecidas en la Ley de Garantías Electorales; y ii) aplicabilidad de las restricciones contractuales de la Ley de Garantías Electorales a los convenios de asociación con entidades privadas sin ánimo de lucro. </w:t>
      </w:r>
    </w:p>
    <w:p w14:paraId="2A5AED47" w14:textId="38E7461C" w:rsidR="00AB08FB" w:rsidRPr="0085168F" w:rsidRDefault="00AB08FB" w:rsidP="00AB08FB">
      <w:pPr>
        <w:spacing w:line="276" w:lineRule="auto"/>
        <w:ind w:firstLine="709"/>
        <w:jc w:val="both"/>
        <w:rPr>
          <w:rFonts w:ascii="Century Gothic" w:eastAsia="Calibri" w:hAnsi="Century Gothic" w:cs="Arial"/>
          <w:lang w:val="es-ES"/>
        </w:rPr>
      </w:pPr>
      <w:r w:rsidRPr="0085168F">
        <w:rPr>
          <w:rFonts w:ascii="Century Gothic" w:eastAsia="Calibri" w:hAnsi="Century Gothic" w:cs="Arial"/>
          <w:lang w:val="es-ES"/>
        </w:rPr>
        <w:lastRenderedPageBreak/>
        <w:t xml:space="preserve">La Agencia Nacional de Contratación Pública – Colombia Compra Eficiente, en los conceptos C-027 del 22 de marzo de 2023, C-049 del 13 de abril de 2023, C-075 del 25 de abril de 2023, C-076 del 25 de abril de 2023, C-078 del 25 de abril de 2023, C-098 del 4 de mayo de 2023, C-107 del 8 de mayo de 2023, C-115 del 8 de mayo de 2023, C-116 del 8 de mayo de 2023, C-118 del 9 de mayo de 2023, C-145 del 18 de mayo de 2023, C-134 del 26 de mayo de 2023, C-149 del 1de junio de 2023, C-193 del 13 de junio de 2023, C-105 del 14 de junio de 2023, C-241 del 22 de junio de 2023, C-243 del 22 de junio de 2023, C-182 del 29 de junio de 2023, C-251 del 4 de julio de 2023, C-255 del 4 de julio de 2023, C-285 del 4 de julio de 2023, C-247 del 7 de julio de 2023, C-268 del 12 de julio de 2023, C-345 del 14 de julio de 2023, C-358 del 19 de julio de 2023, C-233 del 25 de julio de 2023, C-200 del 25 de julio de 2023, C-311 del 27 de julio de 2023, C-320 del 2 de agosto de 2023, C-325 del 10 de agosto de 2023, C-239 del 14 de agosto de 2023, C-257 del 16 de agosto de 2023, C-220 del 23 de agosto de 2023, C-357 del 30 de agosto de 2023, C-377 del 12 de septiembre de 2023, C-380 del 19 de septiembre de 2023 y C-385 del 21 de septiembre de 2023, se ha pronunciado sobre la aplicación de la Ley de garantías. </w:t>
      </w:r>
    </w:p>
    <w:p w14:paraId="24567980" w14:textId="6F7A0242" w:rsidR="00AB08FB" w:rsidRPr="0085168F" w:rsidRDefault="00AB08FB" w:rsidP="00AB08FB">
      <w:pPr>
        <w:spacing w:line="276" w:lineRule="auto"/>
        <w:ind w:firstLine="709"/>
        <w:jc w:val="both"/>
        <w:rPr>
          <w:rFonts w:ascii="Century Gothic" w:eastAsia="Calibri" w:hAnsi="Century Gothic" w:cs="Arial"/>
          <w:lang w:val="es-ES"/>
        </w:rPr>
      </w:pPr>
      <w:r w:rsidRPr="0085168F">
        <w:rPr>
          <w:rFonts w:ascii="Century Gothic" w:eastAsia="Calibri" w:hAnsi="Century Gothic" w:cs="Arial"/>
          <w:color w:val="000000" w:themeColor="text1"/>
          <w:lang w:eastAsia="en-GB"/>
        </w:rPr>
        <w:t>S</w:t>
      </w:r>
      <w:r w:rsidRPr="0085168F">
        <w:rPr>
          <w:rFonts w:ascii="Century Gothic" w:hAnsi="Century Gothic" w:cs="Arial"/>
          <w:bCs/>
          <w:lang w:val="es-ES"/>
        </w:rPr>
        <w:t xml:space="preserve">obre </w:t>
      </w:r>
      <w:r w:rsidRPr="0085168F">
        <w:rPr>
          <w:rFonts w:ascii="Century Gothic" w:eastAsia="Calibri" w:hAnsi="Century Gothic" w:cs="Arial"/>
          <w:lang w:val="es-ES_tradnl"/>
        </w:rPr>
        <w:t xml:space="preserve">la aplicación del Decreto 092 del 2017 se ha pronunciado en los Conceptos </w:t>
      </w:r>
      <w:r w:rsidRPr="0085168F">
        <w:rPr>
          <w:rFonts w:ascii="Century Gothic" w:eastAsia="Calibri" w:hAnsi="Century Gothic" w:cs="Arial"/>
          <w:lang w:val="es-ES"/>
        </w:rPr>
        <w:t>C-026 del 16 de marzo de 2023, C-037 del 5 de abril de 2023, C-041 del 12 de abril de 2023, C-132 del 12 de abril de 2023, C-187 del 15 de junio de 2023, C-203 del 21 de junio de 2023, C-259 del 4 de julio de 2023, C-418 del 10 de octubre de 2023, C-430 del 18 de octubre de 2023 y C-351 del 6 de octubre de 2023</w:t>
      </w:r>
      <w:r w:rsidRPr="0085168F">
        <w:rPr>
          <w:rStyle w:val="Refdenotaalpie"/>
          <w:rFonts w:ascii="Century Gothic" w:eastAsia="Calibri" w:hAnsi="Century Gothic" w:cs="Arial"/>
        </w:rPr>
        <w:footnoteReference w:id="3"/>
      </w:r>
      <w:r w:rsidRPr="0085168F">
        <w:rPr>
          <w:rFonts w:ascii="Century Gothic" w:eastAsia="Calibri" w:hAnsi="Century Gothic" w:cs="Arial"/>
          <w:lang w:val="es-ES"/>
        </w:rPr>
        <w:t xml:space="preserve">. Las tesis expuestas en estos conceptos se reiteran a continuación y se complementan en lo pertinente, teniendo en cuenta los interrogantes planteados. </w:t>
      </w:r>
    </w:p>
    <w:p w14:paraId="5A0D67F8" w14:textId="4AAC91D7" w:rsidR="00AB08FB" w:rsidRPr="0085168F" w:rsidRDefault="00AB08FB" w:rsidP="00AB08FB">
      <w:pPr>
        <w:tabs>
          <w:tab w:val="left" w:pos="426"/>
        </w:tabs>
        <w:spacing w:line="276" w:lineRule="auto"/>
        <w:jc w:val="both"/>
        <w:rPr>
          <w:rFonts w:ascii="Century Gothic" w:eastAsia="Calibri" w:hAnsi="Century Gothic" w:cs="Arial"/>
          <w:b/>
          <w:bCs/>
          <w:lang w:val="es-ES" w:eastAsia="en-GB"/>
        </w:rPr>
      </w:pPr>
      <w:r w:rsidRPr="0085168F">
        <w:rPr>
          <w:rFonts w:ascii="Century Gothic" w:eastAsia="Calibri" w:hAnsi="Century Gothic" w:cs="Arial"/>
          <w:b/>
          <w:bCs/>
          <w:lang w:eastAsia="en-GB"/>
        </w:rPr>
        <w:t xml:space="preserve">2.1. </w:t>
      </w:r>
      <w:r w:rsidRPr="0085168F">
        <w:rPr>
          <w:rFonts w:ascii="Century Gothic" w:eastAsia="Calibri" w:hAnsi="Century Gothic" w:cs="Arial"/>
          <w:b/>
          <w:bCs/>
          <w:lang w:val="es-ES" w:eastAsia="en-GB"/>
        </w:rPr>
        <w:t>Alcance y finalidad de las restricciones a la contratación establecidas en la Ley de Garantías Electorales</w:t>
      </w:r>
    </w:p>
    <w:p w14:paraId="4F5A875C" w14:textId="77777777" w:rsidR="00AB08FB" w:rsidRPr="0085168F" w:rsidRDefault="00AB08FB" w:rsidP="00AB08FB">
      <w:pPr>
        <w:tabs>
          <w:tab w:val="left" w:pos="426"/>
        </w:tabs>
        <w:spacing w:after="120" w:line="276" w:lineRule="auto"/>
        <w:jc w:val="both"/>
        <w:rPr>
          <w:rFonts w:ascii="Century Gothic" w:hAnsi="Century Gothic" w:cs="Arial"/>
          <w:lang w:eastAsia="es-CO"/>
        </w:rPr>
      </w:pPr>
      <w:r w:rsidRPr="0085168F">
        <w:rPr>
          <w:rFonts w:ascii="Century Gothic" w:hAnsi="Century Gothic" w:cs="Arial"/>
          <w:lang w:eastAsia="es-CO"/>
        </w:rPr>
        <w:t>La Ley 996 de 2005, conocida como “Ley de Garantías Electorales”, tiene como propósito evitar cualquier tipo de arbitrariedad, de ventaja injustificada, de uso irregular de los recursos del Estado en las campañas o falta de garantías en la elección presidencial</w:t>
      </w:r>
      <w:r w:rsidRPr="0085168F">
        <w:rPr>
          <w:rStyle w:val="Refdenotaalpie"/>
          <w:rFonts w:ascii="Century Gothic" w:hAnsi="Century Gothic" w:cs="Arial"/>
          <w:lang w:eastAsia="es-CO"/>
        </w:rPr>
        <w:footnoteReference w:id="4"/>
      </w:r>
      <w:r w:rsidRPr="0085168F">
        <w:rPr>
          <w:rFonts w:ascii="Century Gothic" w:hAnsi="Century Gothic" w:cs="Arial"/>
          <w:lang w:eastAsia="es-CO"/>
        </w:rPr>
        <w:t xml:space="preserve">. En esta medida, introduce limitaciones para realizar nombramientos, postulaciones, contrataciones o cualquier otro tipo de actividad </w:t>
      </w:r>
      <w:r w:rsidRPr="0085168F">
        <w:rPr>
          <w:rFonts w:ascii="Century Gothic" w:hAnsi="Century Gothic" w:cs="Arial"/>
          <w:lang w:eastAsia="es-CO"/>
        </w:rPr>
        <w:lastRenderedPageBreak/>
        <w:t>que implique destinación de recursos públicos bajo el devenir propio de las entidades estatales.</w:t>
      </w:r>
      <w:r w:rsidRPr="0085168F">
        <w:rPr>
          <w:rFonts w:ascii="Century Gothic" w:eastAsia="Calibri" w:hAnsi="Century Gothic" w:cs="Arial"/>
          <w:lang w:val="es-ES_tradnl"/>
        </w:rPr>
        <w:t xml:space="preserve"> </w:t>
      </w:r>
      <w:r w:rsidRPr="0085168F">
        <w:rPr>
          <w:rFonts w:ascii="Century Gothic" w:hAnsi="Century Gothic" w:cs="Arial"/>
          <w:lang w:eastAsia="es-CO"/>
        </w:rPr>
        <w:t>En armonía con lo anterior, la Corte Constitucional ha abordado la definición de la Ley de Garantías Electorales. De esta manera:</w:t>
      </w:r>
    </w:p>
    <w:p w14:paraId="5F07AE56" w14:textId="77777777" w:rsidR="00AB08FB" w:rsidRPr="0085168F" w:rsidRDefault="00AB08FB" w:rsidP="00AB08FB">
      <w:pPr>
        <w:pStyle w:val="Prrafodelista"/>
        <w:spacing w:after="120" w:line="276" w:lineRule="auto"/>
        <w:ind w:left="709" w:right="709"/>
        <w:jc w:val="both"/>
        <w:rPr>
          <w:rFonts w:ascii="Century Gothic" w:hAnsi="Century Gothic" w:cs="Arial"/>
          <w:lang w:eastAsia="es-CO"/>
        </w:rPr>
      </w:pPr>
      <w:r w:rsidRPr="0085168F">
        <w:rPr>
          <w:rFonts w:ascii="Century Gothic" w:hAnsi="Century Gothic" w:cs="Arial"/>
          <w:lang w:eastAsia="es-CO"/>
        </w:rPr>
        <w:t>“[…] 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5168F">
        <w:rPr>
          <w:rStyle w:val="Refdenotaalpie"/>
          <w:rFonts w:ascii="Century Gothic" w:hAnsi="Century Gothic" w:cs="Arial"/>
        </w:rPr>
        <w:footnoteReference w:id="5"/>
      </w:r>
      <w:r w:rsidRPr="0085168F">
        <w:rPr>
          <w:rFonts w:ascii="Century Gothic" w:hAnsi="Century Gothic" w:cs="Arial"/>
          <w:lang w:eastAsia="es-CO"/>
        </w:rPr>
        <w:t>.”</w:t>
      </w:r>
    </w:p>
    <w:p w14:paraId="44B7F1E2" w14:textId="77777777" w:rsidR="00AB08FB" w:rsidRPr="0085168F" w:rsidRDefault="00AB08FB" w:rsidP="00AB08FB">
      <w:pPr>
        <w:spacing w:after="120" w:line="276" w:lineRule="auto"/>
        <w:ind w:firstLine="709"/>
        <w:jc w:val="both"/>
        <w:rPr>
          <w:rFonts w:ascii="Century Gothic" w:hAnsi="Century Gothic" w:cs="Arial"/>
          <w:lang w:eastAsia="es-CO"/>
        </w:rPr>
      </w:pPr>
      <w:bookmarkStart w:id="7" w:name="_Hlk78818186"/>
      <w:r w:rsidRPr="0085168F">
        <w:rPr>
          <w:rFonts w:ascii="Century Gothic" w:hAnsi="Century Gothic" w:cs="Arial"/>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bookmarkEnd w:id="7"/>
      <w:r w:rsidRPr="0085168F">
        <w:rPr>
          <w:rFonts w:ascii="Century Gothic" w:hAnsi="Century Gothic" w:cs="Arial"/>
          <w:lang w:eastAsia="es-CO"/>
        </w:rPr>
        <w:t xml:space="preserve">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FC7405E" w14:textId="77777777" w:rsidR="00AB08FB" w:rsidRPr="0085168F" w:rsidRDefault="00AB08FB" w:rsidP="00AB08FB">
      <w:pPr>
        <w:spacing w:after="120" w:line="276" w:lineRule="auto"/>
        <w:ind w:left="709" w:right="709"/>
        <w:jc w:val="both"/>
        <w:rPr>
          <w:rFonts w:ascii="Century Gothic" w:hAnsi="Century Gothic" w:cs="Arial"/>
          <w:sz w:val="21"/>
          <w:szCs w:val="21"/>
          <w:lang w:eastAsia="es-CO"/>
        </w:rPr>
      </w:pPr>
      <w:r w:rsidRPr="0085168F">
        <w:rPr>
          <w:rFonts w:ascii="Century Gothic" w:hAnsi="Century Gothic" w:cs="Arial"/>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9FD4B1C" w14:textId="77777777" w:rsidR="00AB08FB" w:rsidRPr="0085168F" w:rsidRDefault="00AB08FB" w:rsidP="00AB08FB">
      <w:pPr>
        <w:spacing w:after="120" w:line="276" w:lineRule="auto"/>
        <w:ind w:left="709" w:right="709"/>
        <w:jc w:val="both"/>
        <w:rPr>
          <w:rFonts w:ascii="Century Gothic" w:hAnsi="Century Gothic" w:cs="Arial"/>
          <w:sz w:val="21"/>
          <w:szCs w:val="21"/>
          <w:lang w:eastAsia="es-CO"/>
        </w:rPr>
      </w:pPr>
      <w:r w:rsidRPr="0085168F">
        <w:rPr>
          <w:rFonts w:ascii="Century Gothic" w:hAnsi="Century Gothic" w:cs="Arial"/>
          <w:sz w:val="21"/>
          <w:szCs w:val="21"/>
          <w:lang w:eastAsia="es-CO"/>
        </w:rPr>
        <w:lastRenderedPageBreak/>
        <w:t>La jurisprudencia de la Corte Constitucional</w:t>
      </w:r>
      <w:r w:rsidRPr="0085168F">
        <w:rPr>
          <w:rStyle w:val="Refdenotaalpie"/>
          <w:rFonts w:ascii="Century Gothic" w:hAnsi="Century Gothic" w:cs="Arial"/>
          <w:sz w:val="21"/>
          <w:szCs w:val="21"/>
          <w:lang w:eastAsia="es-CO"/>
        </w:rPr>
        <w:footnoteReference w:id="6"/>
      </w:r>
      <w:r w:rsidRPr="0085168F">
        <w:rPr>
          <w:rFonts w:ascii="Century Gothic" w:hAnsi="Century Gothic" w:cs="Arial"/>
          <w:sz w:val="21"/>
          <w:szCs w:val="21"/>
          <w:lang w:eastAsia="es-CO"/>
        </w:rPr>
        <w:t> y del Consejo de Estado</w:t>
      </w:r>
      <w:r w:rsidRPr="0085168F">
        <w:rPr>
          <w:rStyle w:val="Refdenotaalpie"/>
          <w:rFonts w:ascii="Century Gothic" w:hAnsi="Century Gothic" w:cs="Arial"/>
          <w:sz w:val="21"/>
          <w:szCs w:val="21"/>
          <w:lang w:eastAsia="es-CO"/>
        </w:rPr>
        <w:footnoteReference w:id="7"/>
      </w:r>
      <w:r w:rsidRPr="0085168F">
        <w:rPr>
          <w:rFonts w:ascii="Century Gothic" w:hAnsi="Century Gothic" w:cs="Arial"/>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5168F">
        <w:rPr>
          <w:rStyle w:val="Refdenotaalpie"/>
          <w:rFonts w:ascii="Century Gothic" w:hAnsi="Century Gothic" w:cs="Arial"/>
          <w:sz w:val="21"/>
          <w:szCs w:val="21"/>
          <w:lang w:eastAsia="es-CO"/>
        </w:rPr>
        <w:footnoteReference w:id="8"/>
      </w:r>
      <w:r w:rsidRPr="0085168F">
        <w:rPr>
          <w:rFonts w:ascii="Century Gothic" w:hAnsi="Century Gothic" w:cs="Arial"/>
          <w:sz w:val="21"/>
          <w:szCs w:val="21"/>
          <w:lang w:eastAsia="es-CO"/>
        </w:rPr>
        <w:t>.”</w:t>
      </w:r>
    </w:p>
    <w:p w14:paraId="05375FC5" w14:textId="77777777" w:rsidR="00AB08FB" w:rsidRPr="0085168F" w:rsidRDefault="00AB08FB" w:rsidP="00AB08FB">
      <w:pPr>
        <w:spacing w:after="120" w:line="276" w:lineRule="auto"/>
        <w:ind w:firstLine="708"/>
        <w:jc w:val="both"/>
        <w:rPr>
          <w:rFonts w:ascii="Century Gothic" w:eastAsia="Arial" w:hAnsi="Century Gothic" w:cs="Arial"/>
          <w:lang w:eastAsia="es-ES" w:bidi="es-ES"/>
        </w:rPr>
      </w:pPr>
      <w:r w:rsidRPr="0085168F">
        <w:rPr>
          <w:rFonts w:ascii="Century Gothic" w:hAnsi="Century Gothic" w:cs="Arial"/>
          <w:lang w:eastAsia="es-CO"/>
        </w:rPr>
        <w:t>De</w:t>
      </w:r>
      <w:r w:rsidRPr="0085168F">
        <w:rPr>
          <w:rFonts w:ascii="Century Gothic" w:eastAsia="Arial" w:hAnsi="Century Gothic" w:cs="Arial"/>
          <w:lang w:eastAsia="es-ES" w:bidi="es-ES"/>
        </w:rPr>
        <w:t xml:space="preserve"> conformidad con lo anterior, </w:t>
      </w:r>
      <w:bookmarkStart w:id="8" w:name="_Hlk77236098"/>
      <w:r w:rsidRPr="0085168F">
        <w:rPr>
          <w:rFonts w:ascii="Century Gothic" w:eastAsia="Arial" w:hAnsi="Century Gothic" w:cs="Arial"/>
          <w:lang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8"/>
    </w:p>
    <w:p w14:paraId="3861BFF0" w14:textId="77777777" w:rsidR="00AB08FB" w:rsidRPr="0085168F" w:rsidRDefault="00AB08FB" w:rsidP="00AB08FB">
      <w:pPr>
        <w:spacing w:after="120" w:line="276" w:lineRule="auto"/>
        <w:ind w:firstLine="708"/>
        <w:jc w:val="both"/>
        <w:rPr>
          <w:rFonts w:ascii="Century Gothic" w:eastAsia="Calibri" w:hAnsi="Century Gothic" w:cs="Arial"/>
        </w:rPr>
      </w:pPr>
      <w:r w:rsidRPr="0085168F">
        <w:rPr>
          <w:rFonts w:ascii="Century Gothic" w:eastAsia="Calibri" w:hAnsi="Century Gothic" w:cs="Arial"/>
        </w:rPr>
        <w:t xml:space="preserve">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Pr="0085168F">
        <w:rPr>
          <w:rFonts w:ascii="Century Gothic" w:eastAsia="Calibri" w:hAnsi="Century Gothic" w:cs="Arial"/>
        </w:rPr>
        <w:lastRenderedPageBreak/>
        <w:t>terroristas, desastres naturales o casos de fuerza mayor, y los que deban realizar las entidades sanitarias y hospitalarias”</w:t>
      </w:r>
      <w:r w:rsidRPr="0085168F">
        <w:rPr>
          <w:rFonts w:ascii="Century Gothic" w:eastAsia="Calibri" w:hAnsi="Century Gothic" w:cs="Arial"/>
          <w:vertAlign w:val="superscript"/>
        </w:rPr>
        <w:footnoteReference w:id="9"/>
      </w:r>
      <w:r w:rsidRPr="0085168F">
        <w:rPr>
          <w:rFonts w:ascii="Century Gothic" w:eastAsia="Calibri" w:hAnsi="Century Gothic" w:cs="Arial"/>
        </w:rPr>
        <w:t>.</w:t>
      </w:r>
    </w:p>
    <w:p w14:paraId="190D3CF2" w14:textId="77777777" w:rsidR="00AB08FB" w:rsidRPr="0085168F" w:rsidRDefault="00AB08FB" w:rsidP="00AB08FB">
      <w:pPr>
        <w:widowControl w:val="0"/>
        <w:autoSpaceDE w:val="0"/>
        <w:autoSpaceDN w:val="0"/>
        <w:spacing w:after="120" w:line="276" w:lineRule="auto"/>
        <w:ind w:right="113" w:firstLine="708"/>
        <w:jc w:val="both"/>
        <w:rPr>
          <w:rFonts w:ascii="Century Gothic" w:eastAsia="Arial" w:hAnsi="Century Gothic" w:cs="Arial"/>
          <w:lang w:eastAsia="es-ES" w:bidi="es-ES"/>
        </w:rPr>
      </w:pPr>
      <w:r w:rsidRPr="0085168F">
        <w:rPr>
          <w:rFonts w:ascii="Century Gothic" w:eastAsia="Calibri" w:hAnsi="Century Gothic" w:cs="Arial"/>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5168F">
        <w:rPr>
          <w:rFonts w:ascii="Century Gothic" w:eastAsia="Calibri" w:hAnsi="Century Gothic" w:cs="Arial"/>
          <w:vertAlign w:val="superscript"/>
        </w:rPr>
        <w:footnoteReference w:id="10"/>
      </w:r>
      <w:r w:rsidRPr="0085168F">
        <w:rPr>
          <w:rFonts w:ascii="Century Gothic" w:eastAsia="Calibri" w:hAnsi="Century Gothic" w:cs="Arial"/>
        </w:rPr>
        <w:t>.</w:t>
      </w:r>
      <w:r w:rsidRPr="0085168F">
        <w:rPr>
          <w:rFonts w:ascii="Century Gothic" w:eastAsia="Arial" w:hAnsi="Century Gothic" w:cs="Arial"/>
          <w:lang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BE7D2D4" w14:textId="77777777" w:rsidR="00AB08FB" w:rsidRPr="0085168F" w:rsidRDefault="00AB08FB" w:rsidP="00AB08FB">
      <w:pPr>
        <w:widowControl w:val="0"/>
        <w:autoSpaceDE w:val="0"/>
        <w:autoSpaceDN w:val="0"/>
        <w:spacing w:after="120" w:line="276" w:lineRule="auto"/>
        <w:ind w:left="709" w:right="709"/>
        <w:jc w:val="both"/>
        <w:rPr>
          <w:rFonts w:ascii="Century Gothic" w:eastAsia="Arial" w:hAnsi="Century Gothic" w:cs="Arial"/>
          <w:sz w:val="21"/>
          <w:szCs w:val="21"/>
          <w:lang w:eastAsia="es-ES" w:bidi="es-ES"/>
        </w:rPr>
      </w:pPr>
      <w:r w:rsidRPr="0085168F">
        <w:rPr>
          <w:rFonts w:ascii="Century Gothic" w:eastAsia="Arial" w:hAnsi="Century Gothic" w:cs="Arial"/>
          <w:sz w:val="21"/>
          <w:szCs w:val="21"/>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1" w:name="_Hlk76109421"/>
      <w:r w:rsidRPr="0085168F">
        <w:rPr>
          <w:rFonts w:ascii="Century Gothic" w:eastAsia="Arial" w:hAnsi="Century Gothic" w:cs="Arial"/>
          <w:sz w:val="21"/>
          <w:szCs w:val="21"/>
          <w:lang w:eastAsia="es-ES" w:bidi="es-ES"/>
        </w:rPr>
        <w:t>se integran parcialmente</w:t>
      </w:r>
      <w:bookmarkEnd w:id="11"/>
      <w:r w:rsidRPr="0085168F">
        <w:rPr>
          <w:rFonts w:ascii="Century Gothic" w:eastAsia="Arial" w:hAnsi="Century Gothic" w:cs="Arial"/>
          <w:sz w:val="21"/>
          <w:szCs w:val="21"/>
          <w:lang w:eastAsia="es-ES" w:bidi="es-ES"/>
        </w:rPr>
        <w:t xml:space="preserve">, lo que permite concluir que en periodo preelectoral para elección de Presidente de la República, a todos los entes del Estado, incluidos los territoriales, se aplican las restricciones de los artículos 32 y 33 con sus </w:t>
      </w:r>
      <w:r w:rsidRPr="0085168F">
        <w:rPr>
          <w:rFonts w:ascii="Century Gothic" w:eastAsia="Arial" w:hAnsi="Century Gothic" w:cs="Arial"/>
          <w:sz w:val="21"/>
          <w:szCs w:val="21"/>
          <w:lang w:eastAsia="es-ES" w:bidi="es-ES"/>
        </w:rPr>
        <w:lastRenderedPageBreak/>
        <w:t>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85168F">
        <w:rPr>
          <w:rFonts w:ascii="Century Gothic" w:eastAsia="Arial" w:hAnsi="Century Gothic" w:cs="Arial"/>
          <w:sz w:val="21"/>
          <w:szCs w:val="21"/>
          <w:vertAlign w:val="superscript"/>
          <w:lang w:eastAsia="es-ES" w:bidi="es-ES"/>
        </w:rPr>
        <w:footnoteReference w:id="11"/>
      </w:r>
      <w:r w:rsidRPr="0085168F">
        <w:rPr>
          <w:rFonts w:ascii="Century Gothic" w:eastAsia="Arial" w:hAnsi="Century Gothic" w:cs="Arial"/>
          <w:sz w:val="21"/>
          <w:szCs w:val="21"/>
          <w:lang w:eastAsia="es-ES" w:bidi="es-ES"/>
        </w:rPr>
        <w:t>.”</w:t>
      </w:r>
      <w:r w:rsidRPr="0085168F">
        <w:rPr>
          <w:rFonts w:ascii="Century Gothic" w:hAnsi="Century Gothic" w:cs="Arial"/>
          <w:sz w:val="21"/>
          <w:szCs w:val="21"/>
        </w:rPr>
        <w:t xml:space="preserve"> </w:t>
      </w:r>
    </w:p>
    <w:p w14:paraId="778FCA5B" w14:textId="77777777" w:rsidR="00AB08FB" w:rsidRPr="0085168F" w:rsidRDefault="00AB08FB" w:rsidP="00AB08FB">
      <w:pPr>
        <w:spacing w:after="120" w:line="276" w:lineRule="auto"/>
        <w:ind w:firstLine="709"/>
        <w:jc w:val="both"/>
        <w:rPr>
          <w:rFonts w:ascii="Century Gothic" w:eastAsia="Arial" w:hAnsi="Century Gothic" w:cs="Arial"/>
          <w:lang w:eastAsia="es-ES" w:bidi="es-ES"/>
        </w:rPr>
      </w:pPr>
      <w:r w:rsidRPr="0085168F">
        <w:rPr>
          <w:rFonts w:ascii="Century Gothic" w:eastAsia="Arial" w:hAnsi="Century Gothic" w:cs="Arial"/>
          <w:lang w:eastAsia="es-ES" w:bidi="es-ES"/>
        </w:rPr>
        <w:t xml:space="preserve">De conformidad con lo anterior, </w:t>
      </w:r>
      <w:bookmarkStart w:id="12" w:name="_Hlk77236420"/>
      <w:bookmarkStart w:id="13" w:name="_Hlk78818435"/>
      <w:r w:rsidRPr="0085168F">
        <w:rPr>
          <w:rFonts w:ascii="Century Gothic" w:eastAsia="Arial" w:hAnsi="Century Gothic" w:cs="Arial"/>
          <w:lang w:eastAsia="es-ES" w:bidi="es-ES"/>
        </w:rPr>
        <w:t xml:space="preserve">la Ley 996 de 2005 establece dos (2) tipos de restricciones en materia de contratación, las cuales coinciden parcialmente. </w:t>
      </w:r>
      <w:r w:rsidRPr="0085168F">
        <w:rPr>
          <w:rFonts w:ascii="Century Gothic" w:eastAsia="Arial" w:hAnsi="Century Gothic" w:cs="Arial"/>
          <w:i/>
          <w:lang w:eastAsia="es-ES" w:bidi="es-ES"/>
        </w:rPr>
        <w:t>En primer lugar</w:t>
      </w:r>
      <w:r w:rsidRPr="0085168F">
        <w:rPr>
          <w:rFonts w:ascii="Century Gothic" w:eastAsia="Arial" w:hAnsi="Century Gothic" w:cs="Arial"/>
          <w:lang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5168F">
        <w:rPr>
          <w:rFonts w:ascii="Century Gothic" w:eastAsia="Arial" w:hAnsi="Century Gothic" w:cs="Arial"/>
          <w:i/>
          <w:lang w:eastAsia="es-ES" w:bidi="es-ES"/>
        </w:rPr>
        <w:t>En segundo lugar</w:t>
      </w:r>
      <w:r w:rsidRPr="0085168F">
        <w:rPr>
          <w:rFonts w:ascii="Century Gothic" w:eastAsia="Arial" w:hAnsi="Century Gothic" w:cs="Arial"/>
          <w:lang w:eastAsia="es-ES" w:bidi="es-ES"/>
        </w:rPr>
        <w:t>, también se encuentra la prohibición del inciso primero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2"/>
    </w:p>
    <w:p w14:paraId="6252FFDD" w14:textId="77777777" w:rsidR="00AB08FB" w:rsidRPr="0085168F" w:rsidRDefault="00AB08FB" w:rsidP="00AB08FB">
      <w:pPr>
        <w:spacing w:after="120" w:line="276" w:lineRule="auto"/>
        <w:ind w:firstLine="708"/>
        <w:jc w:val="both"/>
        <w:rPr>
          <w:rFonts w:ascii="Century Gothic" w:eastAsia="Arial" w:hAnsi="Century Gothic" w:cs="Arial"/>
          <w:lang w:eastAsia="es-ES" w:bidi="es-ES"/>
        </w:rPr>
      </w:pPr>
      <w:r w:rsidRPr="0085168F">
        <w:rPr>
          <w:rFonts w:ascii="Century Gothic" w:eastAsia="Arial" w:hAnsi="Century Gothic" w:cs="Arial"/>
          <w:lang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0C183D3A" w14:textId="1CC4B332" w:rsidR="00AB08FB" w:rsidRPr="00AB08FB" w:rsidRDefault="00AB08FB" w:rsidP="00AB08FB">
      <w:pPr>
        <w:spacing w:line="276" w:lineRule="auto"/>
        <w:ind w:firstLine="708"/>
        <w:jc w:val="both"/>
        <w:rPr>
          <w:rFonts w:ascii="Century Gothic" w:eastAsia="Arial" w:hAnsi="Century Gothic" w:cs="Arial"/>
          <w:lang w:eastAsia="es-ES" w:bidi="es-ES"/>
        </w:rPr>
      </w:pPr>
      <w:r w:rsidRPr="0085168F">
        <w:rPr>
          <w:rFonts w:ascii="Century Gothic" w:eastAsia="Arial" w:hAnsi="Century Gothic" w:cs="Arial"/>
          <w:lang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w:t>
      </w:r>
      <w:r w:rsidRPr="0085168F">
        <w:rPr>
          <w:rFonts w:ascii="Century Gothic" w:eastAsia="Arial" w:hAnsi="Century Gothic" w:cs="Arial"/>
          <w:lang w:eastAsia="es-ES" w:bidi="es-ES"/>
        </w:rPr>
        <w:lastRenderedPageBreak/>
        <w:t xml:space="preserve">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bookmarkEnd w:id="13"/>
    </w:p>
    <w:p w14:paraId="05294D09" w14:textId="1B0D9628" w:rsidR="00AB08FB" w:rsidRDefault="00AB08FB" w:rsidP="00AB08FB">
      <w:pPr>
        <w:spacing w:line="276" w:lineRule="auto"/>
        <w:contextualSpacing/>
        <w:jc w:val="both"/>
        <w:rPr>
          <w:rFonts w:ascii="Century Gothic" w:eastAsia="Calibri" w:hAnsi="Century Gothic" w:cs="Arial"/>
          <w:b/>
        </w:rPr>
      </w:pPr>
      <w:r>
        <w:rPr>
          <w:rFonts w:ascii="Century Gothic" w:eastAsia="Calibri" w:hAnsi="Century Gothic" w:cs="Arial"/>
          <w:b/>
        </w:rPr>
        <w:t xml:space="preserve">2.2 </w:t>
      </w:r>
      <w:r w:rsidRPr="0085168F">
        <w:rPr>
          <w:rFonts w:ascii="Century Gothic" w:eastAsia="Calibri" w:hAnsi="Century Gothic" w:cs="Arial"/>
          <w:b/>
        </w:rPr>
        <w:t>Aplicabilidad de las restricciones contractuales de la Ley de Garantías Electorales a los convenios de asociación con entidades privadas sin ánimo de lucro</w:t>
      </w:r>
    </w:p>
    <w:p w14:paraId="1C7D0E24" w14:textId="77777777" w:rsidR="00AB08FB" w:rsidRPr="004C133A" w:rsidRDefault="00AB08FB" w:rsidP="00AB08FB">
      <w:pPr>
        <w:pStyle w:val="Sinespaciado"/>
        <w:spacing w:after="120" w:line="276" w:lineRule="auto"/>
        <w:jc w:val="both"/>
        <w:rPr>
          <w:rFonts w:ascii="Century Gothic" w:eastAsia="Calibri" w:hAnsi="Century Gothic" w:cs="Arial"/>
          <w:sz w:val="22"/>
        </w:rPr>
      </w:pPr>
      <w:bookmarkStart w:id="14" w:name="_Hlk99534341"/>
      <w:r w:rsidRPr="004C133A">
        <w:rPr>
          <w:rFonts w:ascii="Century Gothic" w:hAnsi="Century Gothic" w:cs="Arial"/>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4C133A">
        <w:rPr>
          <w:rStyle w:val="Refdenotaalpie"/>
          <w:rFonts w:ascii="Century Gothic" w:hAnsi="Century Gothic" w:cs="Arial"/>
          <w:sz w:val="22"/>
        </w:rPr>
        <w:footnoteReference w:id="12"/>
      </w:r>
      <w:r w:rsidRPr="004C133A">
        <w:rPr>
          <w:rFonts w:ascii="Century Gothic" w:hAnsi="Century Gothic" w:cs="Arial"/>
          <w:sz w:val="22"/>
        </w:rPr>
        <w:t xml:space="preserve">. </w:t>
      </w:r>
      <w:r w:rsidRPr="004C133A">
        <w:rPr>
          <w:rFonts w:ascii="Century Gothic" w:eastAsia="Calibri" w:hAnsi="Century Gothic"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4C133A">
        <w:rPr>
          <w:rStyle w:val="Refdenotaalpie"/>
          <w:rFonts w:ascii="Century Gothic" w:eastAsia="Calibri" w:hAnsi="Century Gothic" w:cs="Arial"/>
          <w:sz w:val="22"/>
        </w:rPr>
        <w:footnoteReference w:id="13"/>
      </w:r>
      <w:r w:rsidRPr="004C133A">
        <w:rPr>
          <w:rFonts w:ascii="Century Gothic" w:eastAsia="Calibri" w:hAnsi="Century Gothic" w:cs="Arial"/>
          <w:sz w:val="22"/>
        </w:rPr>
        <w:t>. Ambas figuras tienen como fin desarrollar conjuntamente actividades relacionadas con los cometidos y funciones legales asignadas a la entidad.</w:t>
      </w:r>
      <w:bookmarkEnd w:id="14"/>
    </w:p>
    <w:p w14:paraId="04943394" w14:textId="77777777" w:rsidR="00AB08FB" w:rsidRPr="000C65D3" w:rsidRDefault="00AB08FB" w:rsidP="00AB08FB">
      <w:pPr>
        <w:spacing w:after="120" w:line="276" w:lineRule="auto"/>
        <w:ind w:firstLine="708"/>
        <w:jc w:val="both"/>
        <w:rPr>
          <w:rFonts w:ascii="Century Gothic" w:eastAsia="Calibri" w:hAnsi="Century Gothic" w:cs="Arial"/>
        </w:rPr>
      </w:pPr>
      <w:r w:rsidRPr="000C65D3">
        <w:rPr>
          <w:rFonts w:ascii="Century Gothic" w:hAnsi="Century Gothic" w:cs="Arial"/>
        </w:rPr>
        <w:t>En desarrollo del artículo 355 de la Constitución, el Gobierno Nacional expidió el Decreto 92 de 2017, q</w:t>
      </w:r>
      <w:r w:rsidRPr="000C65D3">
        <w:rPr>
          <w:rFonts w:ascii="Century Gothic" w:eastAsia="Calibri" w:hAnsi="Century Gothic" w:cs="Arial"/>
        </w:rPr>
        <w:t xml:space="preserve">ue dispone las reglas para las contrataciones que realicen las entidades estatales con las ESAL. El Decreto regula dos eventos: i) los </w:t>
      </w:r>
      <w:r w:rsidRPr="000C65D3">
        <w:rPr>
          <w:rFonts w:ascii="Century Gothic" w:eastAsia="Calibri" w:hAnsi="Century Gothic" w:cs="Arial"/>
          <w:i/>
        </w:rPr>
        <w:t>contratos de colaboración</w:t>
      </w:r>
      <w:r w:rsidRPr="000C65D3">
        <w:rPr>
          <w:rFonts w:ascii="Century Gothic" w:eastAsia="Calibri" w:hAnsi="Century Gothic" w:cs="Arial"/>
        </w:rPr>
        <w:t xml:space="preserve"> o de interés público con el fin impulsar programas y actividades de interés público de acuerdo con el Plan Nacional o los planes seccionales de desarrollo, en los términos del artículo 355 de la Constitución Política; </w:t>
      </w:r>
      <w:r w:rsidRPr="000C65D3">
        <w:rPr>
          <w:rFonts w:ascii="Century Gothic" w:eastAsia="Calibri" w:hAnsi="Century Gothic" w:cs="Arial"/>
        </w:rPr>
        <w:lastRenderedPageBreak/>
        <w:t xml:space="preserve">y ii) </w:t>
      </w:r>
      <w:bookmarkStart w:id="15" w:name="_Hlk99534400"/>
      <w:r w:rsidRPr="000C65D3">
        <w:rPr>
          <w:rFonts w:ascii="Century Gothic" w:eastAsia="Calibri" w:hAnsi="Century Gothic" w:cs="Arial"/>
        </w:rPr>
        <w:t xml:space="preserve">los </w:t>
      </w:r>
      <w:r w:rsidRPr="000C65D3">
        <w:rPr>
          <w:rFonts w:ascii="Century Gothic" w:eastAsia="Calibri" w:hAnsi="Century Gothic" w:cs="Arial"/>
          <w:i/>
        </w:rPr>
        <w:t>convenios de asociación</w:t>
      </w:r>
      <w:r w:rsidRPr="000C65D3">
        <w:rPr>
          <w:rFonts w:ascii="Century Gothic" w:eastAsia="Calibri" w:hAnsi="Century Gothic" w:cs="Arial"/>
        </w:rPr>
        <w:t>, para el desarrollo conjunto de actividades relacionadas con las funciones de las entidades estatales, en desarrollo del artículo 96 de la Ley 489 de 1998</w:t>
      </w:r>
      <w:bookmarkEnd w:id="15"/>
      <w:r w:rsidRPr="000C65D3">
        <w:rPr>
          <w:rFonts w:ascii="Century Gothic" w:eastAsia="Calibri" w:hAnsi="Century Gothic" w:cs="Arial"/>
        </w:rPr>
        <w:t xml:space="preserve">. Los primeros están regulados en el artículo 2 </w:t>
      </w:r>
      <w:bookmarkStart w:id="16" w:name="_Hlk99534444"/>
      <w:r w:rsidRPr="000C65D3">
        <w:rPr>
          <w:rFonts w:ascii="Century Gothic" w:eastAsia="Calibri" w:hAnsi="Century Gothic" w:cs="Arial"/>
        </w:rPr>
        <w:t>del Decreto 92 de 2017</w:t>
      </w:r>
      <w:bookmarkEnd w:id="16"/>
      <w:r w:rsidRPr="000C65D3">
        <w:rPr>
          <w:rFonts w:ascii="Century Gothic" w:eastAsia="Calibri" w:hAnsi="Century Gothic" w:cs="Arial"/>
        </w:rPr>
        <w:t xml:space="preserve">, mientras que los segundos </w:t>
      </w:r>
      <w:bookmarkStart w:id="17" w:name="_Hlk99534426"/>
      <w:r w:rsidRPr="000C65D3">
        <w:rPr>
          <w:rFonts w:ascii="Century Gothic" w:eastAsia="Calibri" w:hAnsi="Century Gothic" w:cs="Arial"/>
        </w:rPr>
        <w:t xml:space="preserve">en los artículos 5, 6, 7 y 8 </w:t>
      </w:r>
      <w:bookmarkEnd w:id="17"/>
      <w:r w:rsidRPr="000C65D3">
        <w:rPr>
          <w:rFonts w:ascii="Century Gothic" w:eastAsia="Calibri" w:hAnsi="Century Gothic" w:cs="Arial"/>
          <w:i/>
        </w:rPr>
        <w:t>ibidem</w:t>
      </w:r>
      <w:r w:rsidRPr="000C65D3">
        <w:rPr>
          <w:rFonts w:ascii="Century Gothic" w:eastAsia="Calibri" w:hAnsi="Century Gothic" w:cs="Arial"/>
        </w:rPr>
        <w:t xml:space="preserve">. Es posible diferenciar, pues, los </w:t>
      </w:r>
      <w:r w:rsidRPr="000C65D3">
        <w:rPr>
          <w:rFonts w:ascii="Century Gothic" w:eastAsia="Calibri" w:hAnsi="Century Gothic" w:cs="Arial"/>
          <w:i/>
        </w:rPr>
        <w:t>convenios de asociación</w:t>
      </w:r>
      <w:r w:rsidRPr="000C65D3">
        <w:rPr>
          <w:rFonts w:ascii="Century Gothic" w:eastAsia="Calibri" w:hAnsi="Century Gothic" w:cs="Arial"/>
        </w:rPr>
        <w:t xml:space="preserve">, regulados en el artículo 5, de los </w:t>
      </w:r>
      <w:r w:rsidRPr="000C65D3">
        <w:rPr>
          <w:rFonts w:ascii="Century Gothic" w:eastAsia="Calibri" w:hAnsi="Century Gothic" w:cs="Arial"/>
          <w:i/>
        </w:rPr>
        <w:t>contratos de colaboración</w:t>
      </w:r>
      <w:r w:rsidRPr="000C65D3">
        <w:rPr>
          <w:rFonts w:ascii="Century Gothic" w:eastAsia="Calibri" w:hAnsi="Century Gothic" w:cs="Arial"/>
        </w:rPr>
        <w:t>, establecidos en el artículo 2 del Decreto 92 de 2017</w:t>
      </w:r>
      <w:r w:rsidRPr="000C65D3">
        <w:rPr>
          <w:rStyle w:val="Refdenotaalpie"/>
          <w:rFonts w:ascii="Century Gothic" w:eastAsia="Calibri" w:hAnsi="Century Gothic" w:cs="Arial"/>
        </w:rPr>
        <w:footnoteReference w:id="14"/>
      </w:r>
      <w:r w:rsidRPr="000C65D3">
        <w:rPr>
          <w:rFonts w:ascii="Century Gothic" w:eastAsia="Calibri" w:hAnsi="Century Gothic" w:cs="Arial"/>
        </w:rPr>
        <w:t xml:space="preserve">. </w:t>
      </w:r>
    </w:p>
    <w:p w14:paraId="448B6698" w14:textId="77777777" w:rsidR="00AB08FB" w:rsidRPr="000C65D3" w:rsidRDefault="00AB08FB" w:rsidP="00AB08FB">
      <w:pPr>
        <w:spacing w:after="120" w:line="276" w:lineRule="auto"/>
        <w:ind w:firstLine="708"/>
        <w:jc w:val="both"/>
        <w:rPr>
          <w:rFonts w:ascii="Century Gothic" w:eastAsia="Calibri" w:hAnsi="Century Gothic" w:cs="Arial"/>
        </w:rPr>
      </w:pPr>
      <w:r w:rsidRPr="000C65D3">
        <w:rPr>
          <w:rFonts w:ascii="Century Gothic" w:eastAsia="Calibri" w:hAnsi="Century Gothic" w:cs="Arial"/>
        </w:rPr>
        <w:t xml:space="preserve">Los </w:t>
      </w:r>
      <w:r w:rsidRPr="000C65D3">
        <w:rPr>
          <w:rFonts w:ascii="Century Gothic" w:eastAsia="Calibri" w:hAnsi="Century Gothic" w:cs="Arial"/>
          <w:i/>
        </w:rPr>
        <w:t xml:space="preserve">contratos de colaboración </w:t>
      </w:r>
      <w:r w:rsidRPr="000C65D3">
        <w:rPr>
          <w:rFonts w:ascii="Century Gothic" w:eastAsia="Calibri" w:hAnsi="Century Gothic" w:cs="Arial"/>
        </w:rPr>
        <w:t>tienen como objeto promover acciones de fomento social en beneficio de los sectores más desprotegidos de la población, previstas en los planes de desarrollo, motivo por el cual no dan lugar a una</w:t>
      </w:r>
      <w:r>
        <w:rPr>
          <w:rFonts w:ascii="Century Gothic" w:eastAsia="Calibri" w:hAnsi="Century Gothic" w:cs="Arial"/>
        </w:rPr>
        <w:t xml:space="preserve"> </w:t>
      </w:r>
      <w:r w:rsidRPr="000C65D3">
        <w:rPr>
          <w:rFonts w:ascii="Century Gothic" w:eastAsia="Calibri" w:hAnsi="Century Gothic" w:cs="Arial"/>
        </w:rPr>
        <w:t xml:space="preserve">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w:t>
      </w:r>
      <w:r>
        <w:rPr>
          <w:rFonts w:ascii="Century Gothic" w:eastAsia="Calibri" w:hAnsi="Century Gothic" w:cs="Arial"/>
        </w:rPr>
        <w:t>0</w:t>
      </w:r>
      <w:r w:rsidRPr="000C65D3">
        <w:rPr>
          <w:rFonts w:ascii="Century Gothic" w:eastAsia="Calibri" w:hAnsi="Century Gothic" w:cs="Arial"/>
        </w:rPr>
        <w:t>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7BF9610B" w14:textId="52BAFA12" w:rsidR="0000734E" w:rsidRPr="000C65D3" w:rsidRDefault="00AB08FB" w:rsidP="0071031F">
      <w:pPr>
        <w:spacing w:after="120" w:line="276" w:lineRule="auto"/>
        <w:ind w:firstLine="708"/>
        <w:jc w:val="both"/>
        <w:rPr>
          <w:rFonts w:ascii="Century Gothic" w:hAnsi="Century Gothic" w:cs="Arial"/>
        </w:rPr>
      </w:pPr>
      <w:r w:rsidRPr="000C65D3">
        <w:rPr>
          <w:rFonts w:ascii="Century Gothic" w:eastAsia="Calibri" w:hAnsi="Century Gothic" w:cs="Arial"/>
        </w:rPr>
        <w:t xml:space="preserve">De otro lado, y teniendo en cuenta el objeto de esta consulta, </w:t>
      </w:r>
      <w:r w:rsidRPr="000C65D3">
        <w:rPr>
          <w:rFonts w:ascii="Century Gothic" w:hAnsi="Century Gothic" w:cs="Arial"/>
        </w:rPr>
        <w:t xml:space="preserve">los </w:t>
      </w:r>
      <w:r w:rsidRPr="000C65D3">
        <w:rPr>
          <w:rFonts w:ascii="Century Gothic" w:hAnsi="Century Gothic" w:cs="Arial"/>
          <w:i/>
        </w:rPr>
        <w:t>convenios de asociación</w:t>
      </w:r>
      <w:r w:rsidRPr="000C65D3">
        <w:rPr>
          <w:rFonts w:ascii="Century Gothic" w:hAnsi="Century Gothic" w:cs="Aria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C65D3">
        <w:rPr>
          <w:rStyle w:val="Refdenotaalpie"/>
          <w:rFonts w:ascii="Century Gothic" w:hAnsi="Century Gothic" w:cs="Arial"/>
        </w:rPr>
        <w:footnoteReference w:id="15"/>
      </w:r>
      <w:r w:rsidRPr="000C65D3">
        <w:rPr>
          <w:rFonts w:ascii="Century Gothic" w:hAnsi="Century Gothic" w:cs="Arial"/>
        </w:rPr>
        <w:t xml:space="preserve">. </w:t>
      </w:r>
      <w:bookmarkStart w:id="18" w:name="_Hlk99534477"/>
      <w:r w:rsidRPr="000C65D3">
        <w:rPr>
          <w:rFonts w:ascii="Century Gothic" w:hAnsi="Century Gothic" w:cs="Arial"/>
        </w:rPr>
        <w:t xml:space="preserve">En estos convenios no existe contraprestación o pago, sino aportes, los cuales están dirigidos, exclusivamente, a lograr la ejecución del convenio y no a remunerar la actividad o actuaciones del asociado. De todos modos, la entidad debe adelantar </w:t>
      </w:r>
      <w:r w:rsidRPr="000C65D3">
        <w:rPr>
          <w:rFonts w:ascii="Century Gothic" w:hAnsi="Century Gothic" w:cs="Arial"/>
        </w:rPr>
        <w:lastRenderedPageBreak/>
        <w:t>un proceso competitivo, salvo cuando la ESAL comprometa recursos en dinero para la ejecución de estas actividades, en una proporción no inferior al 30% del valor total del convenio.</w:t>
      </w:r>
      <w:bookmarkEnd w:id="18"/>
    </w:p>
    <w:p w14:paraId="157411F6" w14:textId="77777777" w:rsidR="00AB08FB" w:rsidRPr="000C65D3" w:rsidRDefault="00AB08FB" w:rsidP="00AB08FB">
      <w:pPr>
        <w:pStyle w:val="Sinespaciado"/>
        <w:spacing w:after="120" w:line="276" w:lineRule="auto"/>
        <w:ind w:firstLine="708"/>
        <w:jc w:val="both"/>
        <w:rPr>
          <w:rFonts w:ascii="Century Gothic" w:hAnsi="Century Gothic" w:cs="Arial"/>
          <w:sz w:val="22"/>
        </w:rPr>
      </w:pPr>
      <w:r w:rsidRPr="000C65D3">
        <w:rPr>
          <w:rFonts w:ascii="Century Gothic" w:hAnsi="Century Gothic"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09CC6B23" w14:textId="77777777" w:rsidR="00F43A83" w:rsidRDefault="00AB08FB" w:rsidP="00F43A83">
      <w:pPr>
        <w:pStyle w:val="Sinespaciado"/>
        <w:spacing w:after="120" w:line="276" w:lineRule="auto"/>
        <w:ind w:firstLine="708"/>
        <w:jc w:val="both"/>
        <w:rPr>
          <w:rFonts w:ascii="Century Gothic" w:eastAsia="Calibri" w:hAnsi="Century Gothic" w:cs="Arial"/>
          <w:sz w:val="22"/>
        </w:rPr>
      </w:pPr>
      <w:r w:rsidRPr="000C65D3">
        <w:rPr>
          <w:rFonts w:ascii="Century Gothic" w:hAnsi="Century Gothic" w:cs="Arial"/>
          <w:sz w:val="22"/>
        </w:rPr>
        <w:t>L</w:t>
      </w:r>
      <w:r w:rsidRPr="000C65D3">
        <w:rPr>
          <w:rFonts w:ascii="Century Gothic" w:eastAsia="Calibri" w:hAnsi="Century Gothic" w:cs="Arial"/>
          <w:sz w:val="22"/>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0C65D3">
        <w:rPr>
          <w:rStyle w:val="Refdenotaalpie"/>
          <w:rFonts w:ascii="Century Gothic" w:eastAsia="Calibri" w:hAnsi="Century Gothic" w:cs="Arial"/>
          <w:sz w:val="22"/>
        </w:rPr>
        <w:footnoteReference w:id="16"/>
      </w:r>
      <w:r w:rsidRPr="000C65D3">
        <w:rPr>
          <w:rFonts w:ascii="Century Gothic" w:eastAsia="Calibri" w:hAnsi="Century Gothic" w:cs="Arial"/>
          <w:sz w:val="22"/>
        </w:rPr>
        <w:t xml:space="preserve">. Sin embargo, como 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1202D933" w14:textId="2D860722" w:rsidR="00AB08FB" w:rsidRPr="000C65D3" w:rsidRDefault="00AB08FB" w:rsidP="00F43A83">
      <w:pPr>
        <w:pStyle w:val="Sinespaciado"/>
        <w:spacing w:after="120" w:line="276" w:lineRule="auto"/>
        <w:ind w:firstLine="708"/>
        <w:jc w:val="both"/>
        <w:rPr>
          <w:rFonts w:ascii="Century Gothic" w:eastAsia="Calibri" w:hAnsi="Century Gothic" w:cs="Arial"/>
          <w:sz w:val="22"/>
        </w:rPr>
      </w:pPr>
      <w:r w:rsidRPr="000C65D3">
        <w:rPr>
          <w:rFonts w:ascii="Century Gothic" w:eastAsia="Calibri" w:hAnsi="Century Gothic" w:cs="Arial"/>
          <w:sz w:val="22"/>
        </w:rPr>
        <w:t xml:space="preserve">Igualmente, </w:t>
      </w:r>
      <w:bookmarkStart w:id="19" w:name="_Hlk99534555"/>
      <w:r w:rsidRPr="000C65D3">
        <w:rPr>
          <w:rFonts w:ascii="Century Gothic" w:eastAsia="Calibri" w:hAnsi="Century Gothic" w:cs="Arial"/>
          <w:sz w:val="22"/>
        </w:rPr>
        <w:t xml:space="preserve">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w:t>
      </w:r>
      <w:r w:rsidRPr="000C65D3">
        <w:rPr>
          <w:rFonts w:ascii="Century Gothic" w:eastAsia="Calibri" w:hAnsi="Century Gothic" w:cs="Arial"/>
          <w:sz w:val="22"/>
        </w:rPr>
        <w:lastRenderedPageBreak/>
        <w:t>total del convenio. En caso de que la entidad encuentre que más de una ESAL le ofrece al menos el 30% de recursos en dinero para el convenio de asociación, debe seleccionar objetivamente con cual asociarse</w:t>
      </w:r>
      <w:bookmarkEnd w:id="19"/>
      <w:r w:rsidRPr="000C65D3">
        <w:rPr>
          <w:rFonts w:ascii="Century Gothic" w:eastAsia="Calibri" w:hAnsi="Century Gothic" w:cs="Arial"/>
          <w:sz w:val="22"/>
        </w:rPr>
        <w:t>”</w:t>
      </w:r>
      <w:r w:rsidRPr="000C65D3">
        <w:rPr>
          <w:rStyle w:val="Refdenotaalpie"/>
          <w:rFonts w:ascii="Century Gothic" w:eastAsia="Calibri" w:hAnsi="Century Gothic" w:cs="Arial"/>
          <w:sz w:val="22"/>
        </w:rPr>
        <w:footnoteReference w:id="17"/>
      </w:r>
      <w:r w:rsidRPr="000C65D3">
        <w:rPr>
          <w:rFonts w:ascii="Century Gothic" w:eastAsia="Calibri" w:hAnsi="Century Gothic" w:cs="Arial"/>
          <w:sz w:val="22"/>
        </w:rPr>
        <w:t>.</w:t>
      </w:r>
    </w:p>
    <w:p w14:paraId="12533E77" w14:textId="77777777" w:rsidR="00AB08FB" w:rsidRPr="000C65D3" w:rsidRDefault="00AB08FB" w:rsidP="00AB08FB">
      <w:pPr>
        <w:spacing w:after="120" w:line="276" w:lineRule="auto"/>
        <w:ind w:firstLine="708"/>
        <w:jc w:val="both"/>
        <w:rPr>
          <w:rFonts w:ascii="Century Gothic" w:hAnsi="Century Gothic" w:cs="Arial"/>
        </w:rPr>
      </w:pPr>
      <w:r w:rsidRPr="000C65D3">
        <w:rPr>
          <w:rFonts w:ascii="Century Gothic" w:hAnsi="Century Gothic" w:cs="Arial"/>
        </w:rPr>
        <w:t xml:space="preserve">La noción “seleccionar de forma objetiva”, contenida en la disposición </w:t>
      </w:r>
      <w:r w:rsidRPr="000C65D3">
        <w:rPr>
          <w:rFonts w:ascii="Century Gothic" w:hAnsi="Century Gothic" w:cs="Arial"/>
          <w:i/>
        </w:rPr>
        <w:t xml:space="preserve">sub examine </w:t>
      </w:r>
      <w:r w:rsidRPr="000C65D3">
        <w:rPr>
          <w:rFonts w:ascii="Century Gothic" w:hAnsi="Century Gothic" w:cs="Arial"/>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1E9012E8" w14:textId="77777777" w:rsidR="00AB08FB" w:rsidRPr="000C65D3" w:rsidRDefault="00AB08FB" w:rsidP="00AB08FB">
      <w:pPr>
        <w:spacing w:after="120" w:line="276" w:lineRule="auto"/>
        <w:ind w:firstLine="708"/>
        <w:jc w:val="both"/>
        <w:textAlignment w:val="baseline"/>
        <w:rPr>
          <w:rFonts w:ascii="Century Gothic" w:hAnsi="Century Gothic" w:cs="Arial"/>
        </w:rPr>
      </w:pPr>
      <w:r w:rsidRPr="000C65D3">
        <w:rPr>
          <w:rFonts w:ascii="Century Gothic" w:eastAsia="Arial" w:hAnsi="Century Gothic" w:cs="Aria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0C65D3">
        <w:rPr>
          <w:rFonts w:ascii="Century Gothic" w:hAnsi="Century Gothic" w:cs="Arial"/>
        </w:rPr>
        <w:t>. </w:t>
      </w:r>
    </w:p>
    <w:p w14:paraId="18320030" w14:textId="77777777" w:rsidR="00AB08FB" w:rsidRPr="000C65D3" w:rsidRDefault="00AB08FB" w:rsidP="00AB08FB">
      <w:pPr>
        <w:spacing w:after="120" w:line="276" w:lineRule="auto"/>
        <w:ind w:firstLine="709"/>
        <w:jc w:val="both"/>
        <w:rPr>
          <w:rFonts w:ascii="Century Gothic" w:eastAsia="Calibri" w:hAnsi="Century Gothic" w:cs="Arial"/>
        </w:rPr>
      </w:pPr>
      <w:r w:rsidRPr="000C65D3">
        <w:rPr>
          <w:rFonts w:ascii="Century Gothic" w:hAnsi="Century Gothic" w:cs="Arial"/>
        </w:rPr>
        <w:t>Ahora bien, e</w:t>
      </w:r>
      <w:r w:rsidRPr="000C65D3">
        <w:rPr>
          <w:rFonts w:ascii="Century Gothic" w:eastAsia="Calibri" w:hAnsi="Century Gothic" w:cs="Arial"/>
        </w:rPr>
        <w:t>l Consejo de Estado, en el Auto del 6 de agosto de 2019 de la Sección Tercera, Subsección A –Exp. 62.003–, estudió la solicitud de suspensión provisional</w:t>
      </w:r>
      <w:r w:rsidRPr="000C65D3">
        <w:rPr>
          <w:rStyle w:val="Refdenotaalpie"/>
          <w:rFonts w:ascii="Century Gothic" w:eastAsia="Calibri" w:hAnsi="Century Gothic" w:cs="Arial"/>
        </w:rPr>
        <w:footnoteReference w:id="18"/>
      </w:r>
      <w:r w:rsidRPr="000C65D3">
        <w:rPr>
          <w:rFonts w:ascii="Century Gothic" w:eastAsia="Calibri" w:hAnsi="Century Gothic" w:cs="Arial"/>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0C65D3">
        <w:rPr>
          <w:rFonts w:ascii="Century Gothic" w:eastAsia="Calibri" w:hAnsi="Century Gothic" w:cs="Arial"/>
          <w:i/>
        </w:rPr>
        <w:t>convenio de asociación</w:t>
      </w:r>
      <w:r w:rsidRPr="000C65D3">
        <w:rPr>
          <w:rFonts w:ascii="Century Gothic" w:eastAsia="Calibri" w:hAnsi="Century Gothic" w:cs="Arial"/>
        </w:rPr>
        <w:t xml:space="preserve"> con ESAL de reconocida idoneidad </w:t>
      </w:r>
      <w:r w:rsidRPr="000C65D3">
        <w:rPr>
          <w:rFonts w:ascii="Century Gothic" w:eastAsia="Calibri" w:hAnsi="Century Gothic" w:cs="Arial"/>
        </w:rPr>
        <w:lastRenderedPageBreak/>
        <w:t xml:space="preserve">para el cumplimiento de las funciones que la ley les asigna a las entidades públicas, debe aplicarse lo dispuesto en el artículo 5 del Decreto 092 de 2017. </w:t>
      </w:r>
    </w:p>
    <w:p w14:paraId="513DE3DD" w14:textId="77777777" w:rsidR="00AB08FB" w:rsidRPr="000C65D3" w:rsidRDefault="00AB08FB" w:rsidP="00AB08FB">
      <w:pPr>
        <w:spacing w:after="120" w:line="276" w:lineRule="auto"/>
        <w:ind w:firstLine="708"/>
        <w:jc w:val="both"/>
        <w:rPr>
          <w:rFonts w:ascii="Century Gothic" w:eastAsia="Calibri" w:hAnsi="Century Gothic" w:cs="Arial"/>
        </w:rPr>
      </w:pPr>
      <w:r w:rsidRPr="000C65D3">
        <w:rPr>
          <w:rFonts w:ascii="Century Gothic" w:eastAsia="Calibri" w:hAnsi="Century Gothic" w:cs="Arial"/>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0C65D3">
        <w:rPr>
          <w:rStyle w:val="Refdenotaalpie"/>
          <w:rFonts w:ascii="Century Gothic" w:hAnsi="Century Gothic" w:cs="Arial"/>
        </w:rPr>
        <w:footnoteReference w:id="19"/>
      </w:r>
      <w:r w:rsidRPr="000C65D3">
        <w:rPr>
          <w:rFonts w:ascii="Century Gothic" w:eastAsia="Calibri" w:hAnsi="Century Gothic" w:cs="Arial"/>
        </w:rPr>
        <w:t xml:space="preserve">,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 </w:t>
      </w:r>
    </w:p>
    <w:p w14:paraId="4E5B787D" w14:textId="77777777" w:rsidR="00AB08FB" w:rsidRPr="000C65D3" w:rsidRDefault="00AB08FB" w:rsidP="00AB08FB">
      <w:pPr>
        <w:spacing w:after="120"/>
        <w:ind w:firstLine="708"/>
        <w:jc w:val="both"/>
        <w:rPr>
          <w:rFonts w:ascii="Century Gothic" w:eastAsia="Calibri" w:hAnsi="Century Gothic" w:cs="Arial"/>
          <w:lang w:eastAsia="es-ES_tradnl"/>
        </w:rPr>
      </w:pPr>
      <w:r w:rsidRPr="000C65D3">
        <w:rPr>
          <w:rFonts w:ascii="Century Gothic" w:eastAsia="Calibri" w:hAnsi="Century Gothic" w:cs="Arial"/>
          <w:lang w:eastAsia="es-ES_tradnl"/>
        </w:rPr>
        <w:t xml:space="preserve">Teniendo en estas consideraciones sobre la celebración de convenios de asociación, así como las consideraciones realizadas en los acápites previos, es posible concluir que la prohibición de contratación directa del artículo 33 de la Ley de Garantías Electorales únicamente aplica frente a los procedimientos </w:t>
      </w:r>
      <w:r w:rsidRPr="000C65D3">
        <w:rPr>
          <w:rFonts w:ascii="Century Gothic" w:eastAsia="Calibri" w:hAnsi="Century Gothic" w:cs="Arial"/>
          <w:i/>
          <w:lang w:eastAsia="es-ES_tradnl"/>
        </w:rPr>
        <w:t>no competitivos</w:t>
      </w:r>
      <w:r w:rsidRPr="000C65D3">
        <w:rPr>
          <w:rFonts w:ascii="Century Gothic" w:eastAsia="Calibri" w:hAnsi="Century Gothic" w:cs="Arial"/>
          <w:lang w:eastAsia="es-ES_tradnl"/>
        </w:rPr>
        <w:t xml:space="preserve">, que son los que implican una contratación directa. Como explica la Sala de Consulta y Servicio Civil del Consejo de Estado: </w:t>
      </w:r>
      <w:r w:rsidRPr="000C65D3">
        <w:rPr>
          <w:rFonts w:ascii="Century Gothic" w:eastAsia="Calibri" w:hAnsi="Century Gothic" w:cs="Arial"/>
          <w:i/>
          <w:lang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0C65D3">
        <w:rPr>
          <w:rFonts w:ascii="Century Gothic" w:eastAsia="Calibri" w:hAnsi="Century Gothic" w:cs="Arial"/>
          <w:vertAlign w:val="superscript"/>
          <w:lang w:eastAsia="es-ES_tradnl"/>
        </w:rPr>
        <w:footnoteReference w:id="20"/>
      </w:r>
      <w:r w:rsidRPr="000C65D3">
        <w:rPr>
          <w:rFonts w:ascii="Century Gothic" w:eastAsia="Calibri" w:hAnsi="Century Gothic" w:cs="Arial"/>
          <w:lang w:eastAsia="es-ES_tradnl"/>
        </w:rPr>
        <w:t xml:space="preserve">. </w:t>
      </w:r>
    </w:p>
    <w:p w14:paraId="262A4022" w14:textId="77777777" w:rsidR="00AB08FB" w:rsidRPr="000C65D3" w:rsidRDefault="00AB08FB" w:rsidP="00AB08FB">
      <w:pPr>
        <w:spacing w:after="120" w:line="276" w:lineRule="auto"/>
        <w:jc w:val="both"/>
        <w:rPr>
          <w:rFonts w:ascii="Century Gothic" w:eastAsia="Calibri" w:hAnsi="Century Gothic" w:cs="Arial"/>
          <w:lang w:eastAsia="es-ES_tradnl"/>
        </w:rPr>
      </w:pPr>
      <w:r w:rsidRPr="000C65D3">
        <w:rPr>
          <w:rFonts w:ascii="Century Gothic" w:eastAsia="Calibri" w:hAnsi="Century Gothic" w:cs="Arial"/>
          <w:lang w:eastAsia="es-ES_tradnl"/>
        </w:rPr>
        <w:tab/>
        <w:t xml:space="preserve">En contraste, la restricción del artículo 33 no aplicaría a los convenios de asociación que celebren las entidades estatales y las ESAL bajo el procedimiento </w:t>
      </w:r>
      <w:r w:rsidRPr="000C65D3">
        <w:rPr>
          <w:rFonts w:ascii="Century Gothic" w:eastAsia="Calibri" w:hAnsi="Century Gothic" w:cs="Arial"/>
          <w:i/>
          <w:lang w:eastAsia="es-ES_tradnl"/>
        </w:rPr>
        <w:t>competitivo</w:t>
      </w:r>
      <w:r w:rsidRPr="000C65D3">
        <w:rPr>
          <w:rFonts w:ascii="Century Gothic" w:eastAsia="Calibri" w:hAnsi="Century Gothic" w:cs="Arial"/>
          <w:lang w:eastAsia="es-ES_tradnl"/>
        </w:rPr>
        <w:t xml:space="preserve">,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estatal verifique previamente que no existe ninguna otra ESAL que ofrezca aportes </w:t>
      </w:r>
      <w:r w:rsidRPr="000C65D3">
        <w:rPr>
          <w:rFonts w:ascii="Century Gothic" w:eastAsia="Calibri" w:hAnsi="Century Gothic" w:cs="Arial"/>
          <w:lang w:eastAsia="es-ES_tradnl"/>
        </w:rPr>
        <w:lastRenderedPageBreak/>
        <w:t xml:space="preserve">iguales o superiores a dicho porcentaje, supuesto excepcional en que procede la selección directa. </w:t>
      </w:r>
    </w:p>
    <w:p w14:paraId="3DEB2155" w14:textId="77777777" w:rsidR="00AB08FB" w:rsidRPr="000C65D3" w:rsidRDefault="00AB08FB" w:rsidP="00AB08FB">
      <w:pPr>
        <w:spacing w:after="120" w:line="276" w:lineRule="auto"/>
        <w:ind w:firstLine="709"/>
        <w:jc w:val="both"/>
        <w:rPr>
          <w:rFonts w:ascii="Century Gothic" w:eastAsia="Calibri" w:hAnsi="Century Gothic" w:cs="Arial"/>
          <w:lang w:val="es-ES_tradnl"/>
        </w:rPr>
      </w:pPr>
      <w:r w:rsidRPr="000C65D3">
        <w:rPr>
          <w:rFonts w:ascii="Century Gothic" w:eastAsia="Calibri" w:hAnsi="Century Gothic" w:cs="Arial"/>
        </w:rPr>
        <w:t>De otra parte, en cuanto a la restricción del parágrafo del artículo 38 de la Ley de 996 de 2005, conforme se explicó</w:t>
      </w:r>
      <w:r w:rsidRPr="000C65D3">
        <w:rPr>
          <w:rFonts w:ascii="Century Gothic" w:eastAsia="Calibri" w:hAnsi="Century Gothic" w:cs="Arial"/>
          <w:i/>
        </w:rPr>
        <w:t xml:space="preserve"> ut supra,</w:t>
      </w:r>
      <w:r w:rsidRPr="000C65D3">
        <w:rPr>
          <w:rFonts w:ascii="Century Gothic" w:eastAsia="Calibri" w:hAnsi="Century Gothic" w:cs="Arial"/>
        </w:rPr>
        <w:t xml:space="preserve"> se reitera, la misma solo aplica a convenios interadministrativos, es decir, a aquellos en los que ambos extremos de la relación contractual están conformados por entidades estatales. Esto significa que esta restricción no es aplicable a la celebración de los </w:t>
      </w:r>
      <w:r w:rsidRPr="000C65D3">
        <w:rPr>
          <w:rFonts w:ascii="Century Gothic" w:eastAsia="Calibri" w:hAnsi="Century Gothic" w:cs="Arial"/>
          <w:i/>
        </w:rPr>
        <w:t xml:space="preserve">convenios de asociación </w:t>
      </w:r>
      <w:r w:rsidRPr="000C65D3">
        <w:rPr>
          <w:rFonts w:ascii="Century Gothic" w:eastAsia="Calibri" w:hAnsi="Century Gothic" w:cs="Arial"/>
        </w:rPr>
        <w:t xml:space="preserve">regulados por el Decreto 092 de 2017, ya que, este tipo de acuerdos son celebrados entre entidades estatales y ESALES, es decir, que no cumplen con el criterio orgánico que determina la calidad de interadministrativo. </w:t>
      </w:r>
    </w:p>
    <w:p w14:paraId="006A9093" w14:textId="77777777" w:rsidR="00AB08FB" w:rsidRPr="000C65D3" w:rsidRDefault="00AB08FB" w:rsidP="00AB08FB">
      <w:pPr>
        <w:spacing w:after="120" w:line="276" w:lineRule="auto"/>
        <w:ind w:firstLine="709"/>
        <w:jc w:val="both"/>
        <w:rPr>
          <w:rFonts w:ascii="Century Gothic" w:eastAsia="Calibri" w:hAnsi="Century Gothic" w:cs="Arial"/>
          <w:lang w:val="es-ES_tradnl"/>
        </w:rPr>
      </w:pPr>
      <w:r w:rsidRPr="000C65D3">
        <w:rPr>
          <w:rFonts w:ascii="Century Gothic" w:eastAsia="Calibri" w:hAnsi="Century Gothic" w:cs="Arial"/>
          <w:lang w:val="es-ES_tradnl"/>
        </w:rPr>
        <w:t xml:space="preserve">De esta manera, en lo relativo a la celebración de </w:t>
      </w:r>
      <w:r w:rsidRPr="000C65D3">
        <w:rPr>
          <w:rFonts w:ascii="Century Gothic" w:eastAsia="Calibri" w:hAnsi="Century Gothic" w:cs="Arial"/>
          <w:i/>
          <w:lang w:val="es-ES_tradnl"/>
        </w:rPr>
        <w:t>convenios de asociación</w:t>
      </w:r>
      <w:r w:rsidRPr="000C65D3">
        <w:rPr>
          <w:rFonts w:ascii="Century Gothic" w:eastAsia="Calibri" w:hAnsi="Century Gothic" w:cs="Arial"/>
          <w:lang w:val="es-ES_tradnl"/>
        </w:rPr>
        <w:t xml:space="preserve"> en vigencia de la restricción del artículo 33 de la Ley de Garantías, se concluye que, esto solo será posible cuando dicho tipo de acuerdos se realicen a través de la modalidad </w:t>
      </w:r>
      <w:r w:rsidRPr="000C65D3">
        <w:rPr>
          <w:rFonts w:ascii="Century Gothic" w:eastAsia="Calibri" w:hAnsi="Century Gothic" w:cs="Arial"/>
          <w:i/>
          <w:lang w:val="es-ES_tradnl"/>
        </w:rPr>
        <w:t>competitiva</w:t>
      </w:r>
      <w:r w:rsidRPr="000C65D3">
        <w:rPr>
          <w:rFonts w:ascii="Century Gothic" w:eastAsia="Calibri" w:hAnsi="Century Gothic" w:cs="Arial"/>
          <w:lang w:val="es-ES_tradnl"/>
        </w:rPr>
        <w:t xml:space="preserve">, mientras que la celebración de este tipo de convenios en la modalidad </w:t>
      </w:r>
      <w:r w:rsidRPr="000C65D3">
        <w:rPr>
          <w:rFonts w:ascii="Century Gothic" w:eastAsia="Calibri" w:hAnsi="Century Gothic" w:cs="Arial"/>
          <w:i/>
          <w:lang w:val="es-ES_tradnl"/>
        </w:rPr>
        <w:t>no competitiva</w:t>
      </w:r>
      <w:r w:rsidRPr="000C65D3">
        <w:rPr>
          <w:rFonts w:ascii="Century Gothic" w:eastAsia="Calibri" w:hAnsi="Century Gothic" w:cs="Arial"/>
          <w:lang w:val="es-ES_tradnl"/>
        </w:rPr>
        <w:t xml:space="preserve"> sí estaría prohibida durante el periodo de aplicación de esta restricción. De igual forma, es posible concluir que, la celebración de </w:t>
      </w:r>
      <w:r w:rsidRPr="000C65D3">
        <w:rPr>
          <w:rFonts w:ascii="Century Gothic" w:eastAsia="Calibri" w:hAnsi="Century Gothic" w:cs="Arial"/>
          <w:i/>
          <w:lang w:val="es-ES_tradnl"/>
        </w:rPr>
        <w:t>convenios de asociación</w:t>
      </w:r>
      <w:r w:rsidRPr="000C65D3">
        <w:rPr>
          <w:rFonts w:ascii="Century Gothic" w:eastAsia="Calibri" w:hAnsi="Century Gothic" w:cs="Arial"/>
          <w:lang w:val="es-ES_tradnl"/>
        </w:rPr>
        <w:t xml:space="preserve">, </w:t>
      </w:r>
      <w:r w:rsidRPr="000C65D3">
        <w:rPr>
          <w:rFonts w:ascii="Century Gothic" w:eastAsia="Calibri" w:hAnsi="Century Gothic" w:cs="Arial"/>
          <w:i/>
          <w:lang w:val="es-ES_tradnl"/>
        </w:rPr>
        <w:t xml:space="preserve">per se, </w:t>
      </w:r>
      <w:r w:rsidRPr="000C65D3">
        <w:rPr>
          <w:rFonts w:ascii="Century Gothic" w:eastAsia="Calibri" w:hAnsi="Century Gothic" w:cs="Arial"/>
          <w:lang w:val="es-ES_tradnl"/>
        </w:rPr>
        <w:t>no está prohibida por la restricción del parágrafo del artículo 38 de la Ley 2069 de 2020, la cual solo es aplicable a convenios interadministrativos.</w:t>
      </w:r>
    </w:p>
    <w:p w14:paraId="133910F3" w14:textId="77777777" w:rsidR="00AB08FB" w:rsidRDefault="00AB08FB" w:rsidP="00AB08FB">
      <w:pPr>
        <w:spacing w:after="120" w:line="276" w:lineRule="auto"/>
        <w:ind w:firstLine="708"/>
        <w:jc w:val="both"/>
        <w:rPr>
          <w:rFonts w:ascii="Century Gothic" w:eastAsia="Arial" w:hAnsi="Century Gothic" w:cs="Arial"/>
          <w:lang w:eastAsia="es-ES" w:bidi="es-ES"/>
        </w:rPr>
      </w:pPr>
      <w:r w:rsidRPr="000C65D3">
        <w:rPr>
          <w:rFonts w:ascii="Century Gothic" w:eastAsia="Arial" w:hAnsi="Century Gothic" w:cs="Arial"/>
          <w:lang w:eastAsia="es-ES" w:bidi="es-ES"/>
        </w:rPr>
        <w:t>En cuanto a la vigencia de estas restricciones en el momento actual es necesario poner de presente que para el año lectivo no se encuentran programadas elecciones presidenciales. Por otro lado, de conformidad con el calendario electoral definido por la Registraduría Nacional del Estado Civil mediante Resolución No. 28229 del 14 de octubre de 2022, el próximo 29 de octubre de 2023 se celebrarán elecciones de autoridades territoriales. Lo anterior significa que, mientras que la restricción a la contratación directa prevista en el artículo 33 de la Ley 996 de 2005 no regirá el presente año, la prohibición a la celebración de convenios interadministrativos del inciso primero del parágrafo del artículo 38 se encuentra surtiendo sus efectos desde el pasado 29 de junio de 2023, los cuales continuarán hasta la fecha de los comicios.</w:t>
      </w:r>
      <w:bookmarkStart w:id="20" w:name="_Hlk117695077"/>
    </w:p>
    <w:p w14:paraId="61951B85" w14:textId="77777777" w:rsidR="00745F8B" w:rsidRPr="0063291F" w:rsidRDefault="00745F8B" w:rsidP="00AB08FB">
      <w:pPr>
        <w:spacing w:after="120" w:line="276" w:lineRule="auto"/>
        <w:ind w:firstLine="708"/>
        <w:jc w:val="both"/>
        <w:rPr>
          <w:rFonts w:ascii="Century Gothic" w:eastAsia="Arial" w:hAnsi="Century Gothic" w:cs="Arial"/>
          <w:lang w:eastAsia="es-ES" w:bidi="es-ES"/>
        </w:rPr>
      </w:pPr>
    </w:p>
    <w:p w14:paraId="71CCC12D" w14:textId="436FD1FC" w:rsidR="00AB08FB" w:rsidRPr="00AB08FB" w:rsidRDefault="00AB08FB" w:rsidP="00AB08FB">
      <w:pPr>
        <w:tabs>
          <w:tab w:val="left" w:pos="0"/>
        </w:tabs>
        <w:jc w:val="both"/>
        <w:rPr>
          <w:rFonts w:ascii="Century Gothic" w:eastAsia="Calibri" w:hAnsi="Century Gothic" w:cs="Arial"/>
          <w:b/>
          <w:lang w:val="es-ES_tradnl"/>
        </w:rPr>
      </w:pPr>
      <w:r w:rsidRPr="0085168F">
        <w:rPr>
          <w:rFonts w:ascii="Century Gothic" w:eastAsia="Calibri" w:hAnsi="Century Gothic" w:cs="Arial"/>
          <w:b/>
          <w:lang w:val="es-ES_tradnl"/>
        </w:rPr>
        <w:t>3. Respuesta</w:t>
      </w:r>
    </w:p>
    <w:p w14:paraId="62035A9B" w14:textId="349F1E37" w:rsidR="00AB08FB" w:rsidRPr="00AB08FB" w:rsidRDefault="00AB08FB" w:rsidP="00AB08FB">
      <w:pPr>
        <w:ind w:left="567" w:right="851"/>
        <w:jc w:val="both"/>
        <w:rPr>
          <w:rFonts w:ascii="Century Gothic" w:hAnsi="Century Gothic" w:cs="Arial"/>
          <w:sz w:val="21"/>
          <w:szCs w:val="21"/>
        </w:rPr>
      </w:pPr>
      <w:r w:rsidRPr="0085168F">
        <w:rPr>
          <w:rFonts w:ascii="Century Gothic" w:hAnsi="Century Gothic" w:cs="Arial"/>
          <w:sz w:val="21"/>
          <w:szCs w:val="21"/>
        </w:rPr>
        <w:t xml:space="preserve">“Mediante la presente me permito realizar la siguiente consulta: ¿es posible que durante ley de garantías previo a los comicios electorales de orden territorial, una entidad del Estado del orden territorial realice </w:t>
      </w:r>
      <w:r w:rsidRPr="0085168F">
        <w:rPr>
          <w:rFonts w:ascii="Century Gothic" w:hAnsi="Century Gothic" w:cs="Arial"/>
          <w:sz w:val="21"/>
          <w:szCs w:val="21"/>
        </w:rPr>
        <w:lastRenderedPageBreak/>
        <w:t>contratos y/o convenios de asociación regulados por el Decreto 092 de 2017 con una entidad sin ánimo de lucro de tipo mixto? ¿se pueden suscribir convenios bajo la modalidad contratación directa con ofertas?</w:t>
      </w:r>
      <w:r>
        <w:rPr>
          <w:rFonts w:ascii="Century Gothic" w:hAnsi="Century Gothic" w:cs="Arial"/>
          <w:sz w:val="21"/>
          <w:szCs w:val="21"/>
        </w:rPr>
        <w:t>” (SIC).</w:t>
      </w:r>
    </w:p>
    <w:p w14:paraId="35B7D5A9" w14:textId="77777777" w:rsidR="00AB08FB" w:rsidRDefault="00AB08FB" w:rsidP="00AB08FB">
      <w:pPr>
        <w:spacing w:after="120" w:line="276" w:lineRule="auto"/>
        <w:jc w:val="both"/>
        <w:rPr>
          <w:rFonts w:ascii="Century Gothic" w:eastAsia="Calibri" w:hAnsi="Century Gothic" w:cs="Arial"/>
        </w:rPr>
      </w:pPr>
      <w:r>
        <w:rPr>
          <w:rFonts w:ascii="Century Gothic" w:eastAsia="Calibri" w:hAnsi="Century Gothic" w:cs="Arial"/>
        </w:rPr>
        <w:t>D</w:t>
      </w:r>
      <w:r w:rsidRPr="009C2006">
        <w:rPr>
          <w:rFonts w:ascii="Century Gothic" w:eastAsia="Calibri" w:hAnsi="Century Gothic" w:cs="Arial"/>
        </w:rPr>
        <w:t>e acuerdo con la interpretación de las normas generales del sistema de compras y contratación pública, 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14:paraId="688C76B4" w14:textId="77777777" w:rsidR="00AB08FB" w:rsidRPr="009C2006" w:rsidRDefault="00AB08FB" w:rsidP="00AB08FB">
      <w:pPr>
        <w:spacing w:after="120" w:line="276" w:lineRule="auto"/>
        <w:ind w:firstLine="709"/>
        <w:jc w:val="both"/>
        <w:rPr>
          <w:rFonts w:ascii="Century Gothic" w:hAnsi="Century Gothic" w:cs="Arial"/>
          <w:lang w:eastAsia="x-none"/>
        </w:rPr>
      </w:pPr>
      <w:r w:rsidRPr="009C2006">
        <w:rPr>
          <w:rFonts w:ascii="Century Gothic" w:eastAsia="Calibri" w:hAnsi="Century Gothic" w:cs="Arial"/>
        </w:rPr>
        <w:t xml:space="preserve">Con base en las consideraciones expuestas es posible afirmar que, </w:t>
      </w:r>
      <w:r w:rsidRPr="009C2006">
        <w:rPr>
          <w:rFonts w:ascii="Century Gothic" w:hAnsi="Century Gothic" w:cs="Arial"/>
        </w:rPr>
        <w:t xml:space="preserve">la restricción a la contratación directa prevista en el artículo 33 de la Ley 996 de 2005 </w:t>
      </w:r>
      <w:r w:rsidRPr="009C2006">
        <w:rPr>
          <w:rFonts w:ascii="Century Gothic" w:hAnsi="Century Gothic" w:cs="Arial"/>
          <w:lang w:eastAsia="x-none"/>
        </w:rPr>
        <w:t xml:space="preserve">cobija a </w:t>
      </w:r>
      <w:r w:rsidRPr="009C2006">
        <w:rPr>
          <w:rFonts w:ascii="Century Gothic" w:hAnsi="Century Gothic" w:cs="Arial"/>
          <w:i/>
          <w:lang w:eastAsia="x-none"/>
        </w:rPr>
        <w:t>“todos los entes del Estado”</w:t>
      </w:r>
      <w:r w:rsidRPr="009C2006">
        <w:rPr>
          <w:rFonts w:ascii="Century Gothic" w:hAnsi="Century Gothic" w:cs="Arial"/>
          <w:lang w:eastAsia="x-none"/>
        </w:rPr>
        <w:t>, expresión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Esta restricción prohíbe la contratación directa durante los cuatro (4) meses anteriores a la elección presidencial y hasta la realización de la elección en la segunda vuelta, en caso de que se presente. Esto implica que, la celebración de contratos o convenios, cuya selección se adelante a través de contratación directa, está prohibida durante el período de aplicación de esta restricción.</w:t>
      </w:r>
    </w:p>
    <w:p w14:paraId="6FB2CE13" w14:textId="77777777" w:rsidR="00AB08FB" w:rsidRPr="009C2006" w:rsidRDefault="00AB08FB" w:rsidP="00AB08FB">
      <w:pPr>
        <w:spacing w:after="120" w:line="276" w:lineRule="auto"/>
        <w:ind w:firstLine="708"/>
        <w:jc w:val="both"/>
        <w:rPr>
          <w:rFonts w:ascii="Century Gothic" w:eastAsia="Arial" w:hAnsi="Century Gothic" w:cs="Arial"/>
          <w:lang w:eastAsia="es-ES" w:bidi="es-ES"/>
        </w:rPr>
      </w:pPr>
      <w:r w:rsidRPr="009C2006">
        <w:rPr>
          <w:rFonts w:ascii="Century Gothic" w:eastAsia="Arial" w:hAnsi="Century Gothic" w:cs="Arial"/>
          <w:lang w:eastAsia="es-ES" w:bidi="es-ES"/>
        </w:rPr>
        <w:t>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de contienda electoral, y prohíbe la celebración de convenios interadministrativos que impliquen la ejecución de recursos públicos dentro de los cuatro (4) meses anteriores a la respectiva jornada de votaciones.</w:t>
      </w:r>
      <w:r>
        <w:rPr>
          <w:rFonts w:ascii="Century Gothic" w:eastAsia="Arial" w:hAnsi="Century Gothic" w:cs="Arial"/>
          <w:lang w:eastAsia="es-ES" w:bidi="es-ES"/>
        </w:rPr>
        <w:t xml:space="preserve"> </w:t>
      </w:r>
      <w:r w:rsidRPr="009C2006">
        <w:rPr>
          <w:rFonts w:ascii="Century Gothic" w:eastAsia="Arial" w:hAnsi="Century Gothic" w:cs="Arial"/>
          <w:lang w:eastAsia="es-ES" w:bidi="es-ES"/>
        </w:rPr>
        <w:t xml:space="preserve">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w:t>
      </w:r>
      <w:r w:rsidRPr="009C2006">
        <w:rPr>
          <w:rFonts w:ascii="Century Gothic" w:eastAsia="Arial" w:hAnsi="Century Gothic" w:cs="Arial"/>
          <w:lang w:eastAsia="es-ES" w:bidi="es-ES"/>
        </w:rPr>
        <w:lastRenderedPageBreak/>
        <w:t>determinados por un criterio orgánico, pues es necesario que los extremos de la relación contractual sean entidades estatales.</w:t>
      </w:r>
    </w:p>
    <w:p w14:paraId="3998A451" w14:textId="77777777" w:rsidR="00AB08FB" w:rsidRPr="009C2006" w:rsidRDefault="00AB08FB" w:rsidP="00AB08FB">
      <w:pPr>
        <w:spacing w:after="120" w:line="276" w:lineRule="auto"/>
        <w:ind w:firstLine="708"/>
        <w:jc w:val="both"/>
        <w:rPr>
          <w:rFonts w:ascii="Century Gothic" w:eastAsia="Arial" w:hAnsi="Century Gothic" w:cs="Arial"/>
          <w:lang w:eastAsia="es-ES" w:bidi="es-ES"/>
        </w:rPr>
      </w:pPr>
      <w:r w:rsidRPr="009C2006">
        <w:rPr>
          <w:rFonts w:ascii="Century Gothic" w:eastAsia="Arial" w:hAnsi="Century Gothic" w:cs="Arial"/>
          <w:lang w:eastAsia="es-ES" w:bidi="es-ES"/>
        </w:rPr>
        <w:t xml:space="preserve">En este sentido y teniendo en cuenta que para los comicios de este año rigen las restricciones contractuales señaladas en el parágrafo del artículo 38 de la Ley 996 de 2005, los entes territoriales no podrán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De esta manera, la prohibición aplica a todos los contratos interadministrativos con independencia de que estén o no precedidos de un procedimiento de selección con pluralidad de oferentes. </w:t>
      </w:r>
    </w:p>
    <w:p w14:paraId="2FE4832E" w14:textId="77777777" w:rsidR="00AB08FB" w:rsidRPr="009C2006" w:rsidRDefault="00AB08FB" w:rsidP="00AB08FB">
      <w:pPr>
        <w:spacing w:after="120" w:line="276" w:lineRule="auto"/>
        <w:ind w:firstLine="709"/>
        <w:jc w:val="both"/>
        <w:rPr>
          <w:rFonts w:ascii="Century Gothic" w:eastAsia="Calibri" w:hAnsi="Century Gothic" w:cs="Arial"/>
          <w:lang w:val="es-ES_tradnl"/>
        </w:rPr>
      </w:pPr>
      <w:r w:rsidRPr="009C2006">
        <w:rPr>
          <w:rFonts w:ascii="Century Gothic" w:eastAsia="Calibri" w:hAnsi="Century Gothic" w:cs="Arial"/>
        </w:rPr>
        <w:t xml:space="preserve">Lo anterior implica que, en cuanto a los </w:t>
      </w:r>
      <w:r w:rsidRPr="009C2006">
        <w:rPr>
          <w:rFonts w:ascii="Century Gothic" w:eastAsia="Calibri" w:hAnsi="Century Gothic" w:cs="Arial"/>
          <w:i/>
        </w:rPr>
        <w:t>convenios de asociación</w:t>
      </w:r>
      <w:r w:rsidRPr="009C2006">
        <w:rPr>
          <w:rFonts w:ascii="Century Gothic" w:eastAsia="Calibri" w:hAnsi="Century Gothic" w:cs="Arial"/>
        </w:rPr>
        <w:t xml:space="preserve">, la prohibición de contratación directa del artículo 33 de la Ley de Garantías aplica únicamente a los procedimientos no competitivos. En contraste, la restricción citada no aplicaría a los </w:t>
      </w:r>
      <w:r w:rsidRPr="009C2006">
        <w:rPr>
          <w:rFonts w:ascii="Century Gothic" w:eastAsia="Calibri" w:hAnsi="Century Gothic" w:cs="Arial"/>
          <w:i/>
        </w:rPr>
        <w:t>convenios de asociación</w:t>
      </w:r>
      <w:r w:rsidRPr="009C2006">
        <w:rPr>
          <w:rFonts w:ascii="Century Gothic" w:eastAsia="Calibri" w:hAnsi="Century Gothic" w:cs="Arial"/>
        </w:rPr>
        <w:t xml:space="preserve"> que celebren las Entidades Estatales y entidades privadas sin ánimo de lucro bajo el procedimiento competitivo, pues este supone la pluralidad de oferentes y la selección objetiva del contratista. No obstante, cuando el </w:t>
      </w:r>
      <w:r w:rsidRPr="009C2006">
        <w:rPr>
          <w:rFonts w:ascii="Century Gothic" w:eastAsia="Calibri" w:hAnsi="Century Gothic" w:cs="Arial"/>
          <w:i/>
        </w:rPr>
        <w:t>convenio de asoc</w:t>
      </w:r>
      <w:r w:rsidRPr="009C2006">
        <w:rPr>
          <w:rFonts w:ascii="Century Gothic" w:eastAsia="Calibri" w:hAnsi="Century Gothic" w:cs="Arial"/>
          <w:i/>
          <w:lang w:val="es-ES_tradnl"/>
        </w:rPr>
        <w:t>iación</w:t>
      </w:r>
      <w:r w:rsidRPr="009C2006">
        <w:rPr>
          <w:rFonts w:ascii="Century Gothic" w:eastAsia="Calibri" w:hAnsi="Century Gothic" w:cs="Arial"/>
          <w:lang w:val="es-ES_tradnl"/>
        </w:rPr>
        <w:t xml:space="preserve"> se celebre bajo modalidad </w:t>
      </w:r>
      <w:r w:rsidRPr="009C2006">
        <w:rPr>
          <w:rFonts w:ascii="Century Gothic" w:eastAsia="Calibri" w:hAnsi="Century Gothic" w:cs="Arial"/>
          <w:i/>
          <w:lang w:val="es-ES_tradnl"/>
        </w:rPr>
        <w:t>no competitiva</w:t>
      </w:r>
      <w:r w:rsidRPr="009C2006">
        <w:rPr>
          <w:rFonts w:ascii="Century Gothic" w:eastAsia="Calibri" w:hAnsi="Century Gothic" w:cs="Arial"/>
          <w:lang w:val="es-ES_tradnl"/>
        </w:rPr>
        <w:t xml:space="preserve"> sí estaría prohibida la suscripción de estos durante el periodo de aplicación de esta restricción</w:t>
      </w:r>
      <w:r w:rsidRPr="009C2006">
        <w:rPr>
          <w:rFonts w:ascii="Century Gothic" w:eastAsia="Calibri" w:hAnsi="Century Gothic" w:cs="Arial"/>
          <w:i/>
          <w:lang w:val="es-ES_tradnl"/>
        </w:rPr>
        <w:t xml:space="preserve"> </w:t>
      </w:r>
      <w:r w:rsidRPr="009C2006">
        <w:rPr>
          <w:rFonts w:ascii="Century Gothic" w:eastAsia="Calibri" w:hAnsi="Century Gothic" w:cs="Arial"/>
          <w:lang w:val="es-ES_tradnl"/>
        </w:rPr>
        <w:t xml:space="preserve"> </w:t>
      </w:r>
    </w:p>
    <w:p w14:paraId="6C8947B0" w14:textId="77777777" w:rsidR="00AB08FB" w:rsidRDefault="00AB08FB" w:rsidP="00AB08FB">
      <w:pPr>
        <w:spacing w:after="120" w:line="276" w:lineRule="auto"/>
        <w:ind w:firstLine="709"/>
        <w:jc w:val="both"/>
        <w:rPr>
          <w:rFonts w:ascii="Century Gothic" w:eastAsia="Calibri" w:hAnsi="Century Gothic" w:cs="Arial"/>
          <w:lang w:val="es-ES_tradnl"/>
        </w:rPr>
      </w:pPr>
      <w:r w:rsidRPr="009C2006">
        <w:rPr>
          <w:rFonts w:ascii="Century Gothic" w:eastAsia="Calibri" w:hAnsi="Century Gothic" w:cs="Arial"/>
          <w:lang w:val="es-ES_tradnl"/>
        </w:rPr>
        <w:t xml:space="preserve">Por otra parte, es posible concluir que, la celebración de </w:t>
      </w:r>
      <w:r w:rsidRPr="009C2006">
        <w:rPr>
          <w:rFonts w:ascii="Century Gothic" w:eastAsia="Calibri" w:hAnsi="Century Gothic" w:cs="Arial"/>
          <w:i/>
          <w:lang w:val="es-ES_tradnl"/>
        </w:rPr>
        <w:t>convenios de asociación</w:t>
      </w:r>
      <w:r w:rsidRPr="009C2006">
        <w:rPr>
          <w:rFonts w:ascii="Century Gothic" w:eastAsia="Calibri" w:hAnsi="Century Gothic" w:cs="Arial"/>
          <w:lang w:val="es-ES_tradnl"/>
        </w:rPr>
        <w:t xml:space="preserve"> no está prohibida por la restricción del parágrafo del artículo 38 de la Ley 2069 de 2020, la cual solo es aplicable a convenios interadministrativos.</w:t>
      </w:r>
    </w:p>
    <w:p w14:paraId="69900BD1" w14:textId="3F5432F6" w:rsidR="00AB08FB" w:rsidRPr="00272410" w:rsidRDefault="00AB08FB" w:rsidP="00AB08FB">
      <w:pPr>
        <w:spacing w:after="120" w:line="276" w:lineRule="auto"/>
        <w:ind w:firstLine="709"/>
        <w:jc w:val="both"/>
        <w:rPr>
          <w:rFonts w:ascii="Century Gothic" w:eastAsia="Calibri" w:hAnsi="Century Gothic" w:cs="Arial"/>
          <w:lang w:val="es-ES_tradnl"/>
        </w:rPr>
      </w:pPr>
      <w:r w:rsidRPr="00272410">
        <w:rPr>
          <w:rFonts w:ascii="Century Gothic" w:eastAsia="Calibri" w:hAnsi="Century Gothic" w:cs="Arial"/>
          <w:lang w:val="es-ES_tradnl"/>
        </w:rPr>
        <w:t>Se puede concluir teniendo en cuenta el objeto de su consulta que durante el 2023 se llevarán a cabo elecciones de autoridades territoriales el próximo 29 de octubre. Esto significa que la restricción del parágrafo del artículo 38, se encuentra rigiendo desde el 29 de junio y así continuará hasta el 29 de octubre de 2023.</w:t>
      </w:r>
      <w:r>
        <w:rPr>
          <w:rFonts w:ascii="Century Gothic" w:eastAsia="Calibri" w:hAnsi="Century Gothic" w:cs="Arial"/>
          <w:lang w:val="es-ES_tradnl"/>
        </w:rPr>
        <w:t xml:space="preserve"> Es así como atendiendo a su pregunta las entidades sin ánimo de lucro de tipo mixto no están reguladas por el Decreto 092 del 2017, toda vez que, este regula a las entidades </w:t>
      </w:r>
      <w:r w:rsidRPr="00F503B9">
        <w:rPr>
          <w:rFonts w:ascii="Century Gothic" w:eastAsia="Calibri" w:hAnsi="Century Gothic" w:cs="Arial"/>
          <w:i/>
          <w:iCs/>
          <w:lang w:val="es-ES_tradnl"/>
        </w:rPr>
        <w:t>privadas</w:t>
      </w:r>
      <w:r>
        <w:rPr>
          <w:rFonts w:ascii="Century Gothic" w:eastAsia="Calibri" w:hAnsi="Century Gothic" w:cs="Arial"/>
          <w:lang w:val="es-ES_tradnl"/>
        </w:rPr>
        <w:t xml:space="preserve"> sin ánimo de lucro, dicho esto las Entidades Estatales durante la vigencia de la ley de garantías y atendiendo a la </w:t>
      </w:r>
      <w:r w:rsidRPr="009C2006">
        <w:rPr>
          <w:rFonts w:ascii="Century Gothic" w:eastAsia="Calibri" w:hAnsi="Century Gothic" w:cs="Arial"/>
          <w:lang w:val="es-ES_tradnl"/>
        </w:rPr>
        <w:t>restricción del parágrafo del artículo 38</w:t>
      </w:r>
      <w:r>
        <w:rPr>
          <w:rFonts w:ascii="Century Gothic" w:eastAsia="Calibri" w:hAnsi="Century Gothic" w:cs="Arial"/>
          <w:lang w:val="es-ES_tradnl"/>
        </w:rPr>
        <w:t xml:space="preserve"> pueden celebrar convenios con </w:t>
      </w:r>
      <w:r w:rsidRPr="00AA1C2D">
        <w:rPr>
          <w:rFonts w:ascii="Century Gothic" w:eastAsia="Calibri" w:hAnsi="Century Gothic" w:cs="Arial"/>
          <w:i/>
          <w:iCs/>
          <w:lang w:val="es-ES_tradnl"/>
        </w:rPr>
        <w:t>entidades sin ánimo de lucro privadas</w:t>
      </w:r>
      <w:r>
        <w:rPr>
          <w:rFonts w:ascii="Century Gothic" w:eastAsia="Calibri" w:hAnsi="Century Gothic" w:cs="Arial"/>
          <w:lang w:val="es-ES_tradnl"/>
        </w:rPr>
        <w:t xml:space="preserve"> conforme al Decreto 092 del 2017, pero las ESALES  de tipo mixto, es decir, aquellas que están conformadas por personas jurídicas privadas y capital público no les aplica el Decreto 092 del 2017. Lo que quiere decir que en la fecha las ESALES de </w:t>
      </w:r>
      <w:r>
        <w:rPr>
          <w:rFonts w:ascii="Century Gothic" w:eastAsia="Calibri" w:hAnsi="Century Gothic" w:cs="Arial"/>
          <w:lang w:val="es-ES_tradnl"/>
        </w:rPr>
        <w:lastRenderedPageBreak/>
        <w:t xml:space="preserve">tipo mixto en caso de realizar una contratación ese contrato sería interadministrativo por lo que le aplicaría </w:t>
      </w:r>
      <w:r w:rsidRPr="009C2006">
        <w:rPr>
          <w:rFonts w:ascii="Century Gothic" w:eastAsia="Calibri" w:hAnsi="Century Gothic" w:cs="Arial"/>
          <w:lang w:val="es-ES_tradnl"/>
        </w:rPr>
        <w:t>la restricción del parágrafo del artículo 38</w:t>
      </w:r>
      <w:r>
        <w:rPr>
          <w:rFonts w:ascii="Century Gothic" w:eastAsia="Calibri" w:hAnsi="Century Gothic" w:cs="Arial"/>
          <w:lang w:val="es-ES_tradnl"/>
        </w:rPr>
        <w:t>.</w:t>
      </w:r>
    </w:p>
    <w:p w14:paraId="56224BE2" w14:textId="77777777" w:rsidR="00AB08FB" w:rsidRPr="009C2006" w:rsidRDefault="00AB08FB" w:rsidP="00AB08FB">
      <w:pPr>
        <w:spacing w:after="120" w:line="276" w:lineRule="auto"/>
        <w:ind w:firstLine="708"/>
        <w:jc w:val="both"/>
        <w:rPr>
          <w:rFonts w:ascii="Century Gothic" w:eastAsia="Arial" w:hAnsi="Century Gothic" w:cs="Arial"/>
          <w:lang w:eastAsia="es-ES" w:bidi="es-ES"/>
        </w:rPr>
      </w:pPr>
      <w:r w:rsidRPr="009C2006">
        <w:rPr>
          <w:rFonts w:ascii="Century Gothic" w:eastAsia="Arial" w:hAnsi="Century Gothic" w:cs="Arial"/>
          <w:lang w:eastAsia="es-ES" w:bidi="es-ES"/>
        </w:rPr>
        <w:t>Bajo estas consideraciones, corresponde a cada entidad pública, en ejercicio de su competencia y previa valoración de los elementos fácticos y jurídicos, determinar si es procedente o no la celebración de un determinado contrato durante la vigencia de la Ley de Garantías Electorales.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7CC5F9B6" w14:textId="3768BA37" w:rsidR="00AB08FB" w:rsidRPr="0085168F" w:rsidRDefault="00AB08FB" w:rsidP="00AB08FB">
      <w:pPr>
        <w:spacing w:line="276" w:lineRule="auto"/>
        <w:jc w:val="both"/>
        <w:rPr>
          <w:rFonts w:ascii="Century Gothic" w:hAnsi="Century Gothic" w:cs="Arial"/>
          <w:lang w:val="es-ES_tradnl"/>
        </w:rPr>
      </w:pPr>
      <w:r w:rsidRPr="0085168F">
        <w:rPr>
          <w:rFonts w:ascii="Century Gothic" w:hAnsi="Century Gothic" w:cs="Arial"/>
          <w:lang w:val="es-ES_tradnl"/>
        </w:rPr>
        <w:t>Este concepto tiene el alcance previsto en el artículo 28 del Código de Procedimiento Administrativo y de lo Contencioso Administrativo</w:t>
      </w:r>
      <w:r w:rsidR="001B72F5">
        <w:rPr>
          <w:rFonts w:ascii="Century Gothic" w:hAnsi="Century Gothic" w:cs="Arial"/>
          <w:lang w:val="es-ES_tradnl"/>
        </w:rPr>
        <w:t>.</w:t>
      </w:r>
    </w:p>
    <w:p w14:paraId="5209A870" w14:textId="77777777" w:rsidR="00AB08FB" w:rsidRPr="0085168F" w:rsidRDefault="00AB08FB" w:rsidP="00AB08FB">
      <w:pPr>
        <w:pStyle w:val="NormalWeb"/>
        <w:spacing w:before="0" w:beforeAutospacing="0" w:after="0" w:afterAutospacing="0" w:line="276" w:lineRule="auto"/>
        <w:jc w:val="both"/>
        <w:rPr>
          <w:rFonts w:ascii="Century Gothic" w:hAnsi="Century Gothic" w:cs="Arial"/>
          <w:sz w:val="22"/>
          <w:szCs w:val="22"/>
          <w:lang w:val="es-ES_tradnl"/>
        </w:rPr>
      </w:pPr>
    </w:p>
    <w:p w14:paraId="578FAB20" w14:textId="77777777" w:rsidR="00AB08FB" w:rsidRDefault="00AB08FB" w:rsidP="00AB08FB">
      <w:pPr>
        <w:pStyle w:val="NormalWeb"/>
        <w:spacing w:before="0" w:beforeAutospacing="0" w:after="0" w:afterAutospacing="0" w:line="276" w:lineRule="auto"/>
        <w:jc w:val="both"/>
        <w:rPr>
          <w:rFonts w:ascii="Century Gothic" w:hAnsi="Century Gothic" w:cs="Arial"/>
          <w:sz w:val="22"/>
          <w:szCs w:val="22"/>
          <w:lang w:val="es-ES_tradnl"/>
        </w:rPr>
      </w:pPr>
      <w:r w:rsidRPr="0085168F">
        <w:rPr>
          <w:rFonts w:ascii="Century Gothic" w:hAnsi="Century Gothic" w:cs="Arial"/>
          <w:sz w:val="22"/>
          <w:szCs w:val="22"/>
          <w:lang w:val="es-ES_tradnl"/>
        </w:rPr>
        <w:t>Atentamente,</w:t>
      </w:r>
    </w:p>
    <w:p w14:paraId="3DA4CDAE" w14:textId="77777777" w:rsidR="00AB08FB" w:rsidRDefault="00AB08FB" w:rsidP="00AB08FB">
      <w:pPr>
        <w:spacing w:line="276" w:lineRule="auto"/>
        <w:rPr>
          <w:rFonts w:ascii="Century Gothic" w:hAnsi="Century Gothic" w:cs="Arial"/>
          <w:color w:val="000000"/>
          <w:lang w:val="es-ES_tradnl" w:eastAsia="es-CO"/>
        </w:rPr>
      </w:pPr>
    </w:p>
    <w:p w14:paraId="76736AFE" w14:textId="2A1F505B" w:rsidR="00AB08FB" w:rsidRDefault="00BA028A" w:rsidP="00AB08FB">
      <w:pPr>
        <w:spacing w:line="276" w:lineRule="auto"/>
        <w:jc w:val="center"/>
        <w:rPr>
          <w:rFonts w:ascii="Century Gothic" w:hAnsi="Century Gothic" w:cs="Arial"/>
          <w:color w:val="000000"/>
          <w:lang w:val="es-ES_tradnl" w:eastAsia="es-CO"/>
        </w:rPr>
      </w:pPr>
      <w:r>
        <w:rPr>
          <w:noProof/>
        </w:rPr>
        <w:drawing>
          <wp:inline distT="0" distB="0" distL="0" distR="0" wp14:anchorId="0E5A88C8" wp14:editId="423E0C5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44DC89DC" w14:textId="77777777" w:rsidR="00AB08FB" w:rsidRDefault="00AB08FB" w:rsidP="00AB08FB">
      <w:pPr>
        <w:spacing w:line="276" w:lineRule="auto"/>
        <w:jc w:val="center"/>
        <w:rPr>
          <w:rFonts w:ascii="Century Gothic" w:hAnsi="Century Gothic" w:cs="Arial"/>
          <w:color w:val="000000"/>
          <w:lang w:val="es-ES_tradnl" w:eastAsia="es-CO"/>
        </w:rPr>
      </w:pPr>
    </w:p>
    <w:p w14:paraId="5BA192DD" w14:textId="77777777" w:rsidR="00AB08FB" w:rsidRPr="00713A7C" w:rsidRDefault="00AB08FB" w:rsidP="00AB08FB">
      <w:pPr>
        <w:spacing w:line="276" w:lineRule="auto"/>
        <w:jc w:val="center"/>
        <w:rPr>
          <w:rFonts w:ascii="Century Gothic" w:hAnsi="Century Gothic" w:cs="Arial"/>
          <w:color w:val="000000"/>
          <w:lang w:val="es-ES_tradnl" w:eastAsia="es-CO"/>
        </w:rPr>
      </w:pPr>
    </w:p>
    <w:tbl>
      <w:tblPr>
        <w:tblW w:w="62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427"/>
      </w:tblGrid>
      <w:tr w:rsidR="00AB08FB" w:rsidRPr="00E17A73" w14:paraId="1C1D19B6" w14:textId="77777777" w:rsidTr="005A4112">
        <w:trPr>
          <w:trHeight w:val="315"/>
        </w:trPr>
        <w:tc>
          <w:tcPr>
            <w:tcW w:w="810" w:type="dxa"/>
            <w:tcBorders>
              <w:top w:val="nil"/>
              <w:left w:val="nil"/>
              <w:bottom w:val="nil"/>
              <w:right w:val="nil"/>
            </w:tcBorders>
            <w:vAlign w:val="center"/>
            <w:hideMark/>
          </w:tcPr>
          <w:p w14:paraId="608C0F3C"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Elaboró: </w:t>
            </w:r>
          </w:p>
        </w:tc>
        <w:tc>
          <w:tcPr>
            <w:tcW w:w="5427" w:type="dxa"/>
            <w:tcBorders>
              <w:top w:val="nil"/>
              <w:left w:val="nil"/>
              <w:bottom w:val="dotted" w:sz="6" w:space="0" w:color="7F7F7F"/>
              <w:right w:val="nil"/>
            </w:tcBorders>
            <w:vAlign w:val="center"/>
            <w:hideMark/>
          </w:tcPr>
          <w:p w14:paraId="783160A9"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 xml:space="preserve">Olga Isabel Pertuz </w:t>
            </w:r>
          </w:p>
          <w:p w14:paraId="19563ADE"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Analista T2-2 de la Subdirección de Gestión Contractual</w:t>
            </w:r>
          </w:p>
        </w:tc>
      </w:tr>
      <w:tr w:rsidR="00AB08FB" w:rsidRPr="00E17A73" w14:paraId="79CB6F92" w14:textId="77777777" w:rsidTr="005A4112">
        <w:trPr>
          <w:trHeight w:val="315"/>
        </w:trPr>
        <w:tc>
          <w:tcPr>
            <w:tcW w:w="810" w:type="dxa"/>
            <w:tcBorders>
              <w:top w:val="nil"/>
              <w:left w:val="nil"/>
              <w:bottom w:val="nil"/>
              <w:right w:val="nil"/>
            </w:tcBorders>
            <w:vAlign w:val="center"/>
            <w:hideMark/>
          </w:tcPr>
          <w:p w14:paraId="23702466"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Revisó: </w:t>
            </w:r>
          </w:p>
        </w:tc>
        <w:tc>
          <w:tcPr>
            <w:tcW w:w="5427" w:type="dxa"/>
            <w:tcBorders>
              <w:top w:val="dotted" w:sz="6" w:space="0" w:color="7F7F7F"/>
              <w:left w:val="nil"/>
              <w:bottom w:val="dotted" w:sz="6" w:space="0" w:color="7F7F7F"/>
              <w:right w:val="nil"/>
            </w:tcBorders>
            <w:vAlign w:val="center"/>
            <w:hideMark/>
          </w:tcPr>
          <w:p w14:paraId="20312942"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Alejandro Sarmiento Cantillo</w:t>
            </w:r>
          </w:p>
          <w:p w14:paraId="19089867"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 xml:space="preserve">Gestor T1 </w:t>
            </w:r>
            <w:r w:rsidRPr="00E17A73">
              <w:rPr>
                <w:rFonts w:ascii="Arial" w:hAnsi="Arial" w:cs="Arial"/>
                <w:sz w:val="16"/>
                <w:szCs w:val="16"/>
              </w:rPr>
              <w:t>‒</w:t>
            </w:r>
            <w:r w:rsidRPr="00713A7C">
              <w:rPr>
                <w:rFonts w:ascii="Century Gothic" w:hAnsi="Century Gothic" w:cs="Arial"/>
                <w:sz w:val="16"/>
                <w:szCs w:val="16"/>
              </w:rPr>
              <w:t xml:space="preserve"> 15 de la Subdirección de Gestión Contractual</w:t>
            </w:r>
          </w:p>
        </w:tc>
      </w:tr>
      <w:tr w:rsidR="00AB08FB" w:rsidRPr="00E17A73" w14:paraId="2A00AC48" w14:textId="77777777" w:rsidTr="005A4112">
        <w:trPr>
          <w:trHeight w:val="300"/>
        </w:trPr>
        <w:tc>
          <w:tcPr>
            <w:tcW w:w="810" w:type="dxa"/>
            <w:tcBorders>
              <w:top w:val="nil"/>
              <w:left w:val="nil"/>
              <w:bottom w:val="nil"/>
              <w:right w:val="nil"/>
            </w:tcBorders>
            <w:vAlign w:val="center"/>
            <w:hideMark/>
          </w:tcPr>
          <w:p w14:paraId="0C84312C"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Aprobó: </w:t>
            </w:r>
          </w:p>
        </w:tc>
        <w:tc>
          <w:tcPr>
            <w:tcW w:w="5427" w:type="dxa"/>
            <w:tcBorders>
              <w:top w:val="dotted" w:sz="6" w:space="0" w:color="7F7F7F"/>
              <w:left w:val="nil"/>
              <w:bottom w:val="dotted" w:sz="6" w:space="0" w:color="7F7F7F"/>
              <w:right w:val="nil"/>
            </w:tcBorders>
            <w:vAlign w:val="center"/>
            <w:hideMark/>
          </w:tcPr>
          <w:p w14:paraId="465F25A6"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 xml:space="preserve">Nohelia del Carmen Zawady Palacio </w:t>
            </w:r>
          </w:p>
          <w:p w14:paraId="4B3421C7" w14:textId="77777777" w:rsidR="00AB08FB" w:rsidRPr="00713A7C" w:rsidRDefault="00AB08FB" w:rsidP="005A4112">
            <w:pPr>
              <w:pStyle w:val="Sinespaciado"/>
              <w:spacing w:line="254" w:lineRule="auto"/>
              <w:rPr>
                <w:rFonts w:ascii="Century Gothic" w:hAnsi="Century Gothic" w:cs="Arial"/>
                <w:sz w:val="16"/>
                <w:szCs w:val="16"/>
              </w:rPr>
            </w:pPr>
            <w:r w:rsidRPr="00713A7C">
              <w:rPr>
                <w:rFonts w:ascii="Century Gothic" w:hAnsi="Century Gothic" w:cs="Arial"/>
                <w:sz w:val="16"/>
                <w:szCs w:val="16"/>
              </w:rPr>
              <w:t>Subdirectora de Gestión Contractual ANCP-CCE</w:t>
            </w:r>
          </w:p>
        </w:tc>
      </w:tr>
    </w:tbl>
    <w:p w14:paraId="76DE0997" w14:textId="77777777" w:rsidR="00AB08FB" w:rsidRDefault="00AB08FB" w:rsidP="00AB08FB">
      <w:pPr>
        <w:pStyle w:val="NormalWeb"/>
        <w:spacing w:before="0" w:beforeAutospacing="0" w:after="0" w:afterAutospacing="0" w:line="276" w:lineRule="auto"/>
        <w:jc w:val="both"/>
        <w:rPr>
          <w:rFonts w:ascii="Century Gothic" w:hAnsi="Century Gothic" w:cs="Arial"/>
          <w:sz w:val="22"/>
          <w:szCs w:val="22"/>
          <w:lang w:val="es-ES_tradnl"/>
        </w:rPr>
      </w:pPr>
    </w:p>
    <w:p w14:paraId="3F22D1FA" w14:textId="77777777" w:rsidR="00AB08FB" w:rsidRPr="0085168F" w:rsidRDefault="00AB08FB" w:rsidP="00AB08FB">
      <w:pPr>
        <w:pStyle w:val="NormalWeb"/>
        <w:spacing w:before="0" w:beforeAutospacing="0" w:after="0" w:afterAutospacing="0" w:line="276" w:lineRule="auto"/>
        <w:jc w:val="both"/>
        <w:rPr>
          <w:rFonts w:ascii="Century Gothic" w:hAnsi="Century Gothic" w:cs="Arial"/>
          <w:sz w:val="22"/>
          <w:szCs w:val="22"/>
          <w:lang w:val="es-ES_tradnl"/>
        </w:rPr>
      </w:pPr>
    </w:p>
    <w:bookmarkEnd w:id="20"/>
    <w:p w14:paraId="35DE41DB" w14:textId="77777777" w:rsidR="00AB08FB" w:rsidRPr="0085168F" w:rsidRDefault="00AB08FB" w:rsidP="00AB08FB">
      <w:pPr>
        <w:rPr>
          <w:rFonts w:ascii="Century Gothic" w:hAnsi="Century Gothic" w:cs="Arial"/>
        </w:rPr>
      </w:pPr>
    </w:p>
    <w:p w14:paraId="0465BA6D" w14:textId="77777777" w:rsidR="00E245AB" w:rsidRPr="00322A85" w:rsidRDefault="00E245AB" w:rsidP="00E245AB">
      <w:pPr>
        <w:spacing w:after="0"/>
        <w:rPr>
          <w:rFonts w:ascii="Century Gothic" w:hAnsi="Century Gothic"/>
        </w:rPr>
      </w:pPr>
    </w:p>
    <w:bookmarkEnd w:id="0"/>
    <w:sectPr w:rsidR="00E245AB" w:rsidRPr="00322A85"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0FB3B" w14:textId="77777777" w:rsidR="007845D3" w:rsidRDefault="007845D3" w:rsidP="004A1847">
      <w:pPr>
        <w:spacing w:after="0" w:line="240" w:lineRule="auto"/>
      </w:pPr>
      <w:r>
        <w:separator/>
      </w:r>
    </w:p>
  </w:endnote>
  <w:endnote w:type="continuationSeparator" w:id="0">
    <w:p w14:paraId="1164A09F" w14:textId="77777777" w:rsidR="007845D3" w:rsidRDefault="007845D3" w:rsidP="004A1847">
      <w:pPr>
        <w:spacing w:after="0" w:line="240" w:lineRule="auto"/>
      </w:pPr>
      <w:r>
        <w:continuationSeparator/>
      </w:r>
    </w:p>
  </w:endnote>
  <w:endnote w:type="continuationNotice" w:id="1">
    <w:p w14:paraId="253723B9" w14:textId="77777777" w:rsidR="00D47A6A" w:rsidRDefault="00D47A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27AA1" w14:textId="77777777" w:rsidR="007845D3" w:rsidRDefault="007845D3" w:rsidP="004A1847">
      <w:pPr>
        <w:spacing w:after="0" w:line="240" w:lineRule="auto"/>
      </w:pPr>
      <w:r>
        <w:separator/>
      </w:r>
    </w:p>
  </w:footnote>
  <w:footnote w:type="continuationSeparator" w:id="0">
    <w:p w14:paraId="449E9754" w14:textId="77777777" w:rsidR="007845D3" w:rsidRDefault="007845D3" w:rsidP="004A1847">
      <w:pPr>
        <w:spacing w:after="0" w:line="240" w:lineRule="auto"/>
      </w:pPr>
      <w:r>
        <w:continuationSeparator/>
      </w:r>
    </w:p>
  </w:footnote>
  <w:footnote w:type="continuationNotice" w:id="1">
    <w:p w14:paraId="3E7AAA3C" w14:textId="77777777" w:rsidR="00D47A6A" w:rsidRDefault="00D47A6A">
      <w:pPr>
        <w:spacing w:after="0" w:line="240" w:lineRule="auto"/>
      </w:pPr>
    </w:p>
  </w:footnote>
  <w:footnote w:id="2">
    <w:p w14:paraId="7AAD0341" w14:textId="4D7E0099" w:rsidR="00AB08FB" w:rsidRPr="00B300E4" w:rsidRDefault="00AB08FB" w:rsidP="00AB08FB">
      <w:pPr>
        <w:pStyle w:val="Textonotapie"/>
        <w:ind w:firstLine="708"/>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La Agencia Nacional de Contratación Pública </w:t>
      </w:r>
      <w:r w:rsidRPr="00B300E4">
        <w:rPr>
          <w:rFonts w:ascii="Arial" w:hAnsi="Arial" w:cs="Arial"/>
          <w:sz w:val="16"/>
          <w:szCs w:val="16"/>
        </w:rPr>
        <w:t>‒</w:t>
      </w:r>
      <w:r w:rsidRPr="00B300E4">
        <w:rPr>
          <w:rFonts w:ascii="Century Gothic" w:hAnsi="Century Gothic" w:cs="Arial"/>
          <w:sz w:val="16"/>
          <w:szCs w:val="16"/>
        </w:rPr>
        <w:t xml:space="preserve"> Colombia Compra Eficiente fue creada por el Decreto Ley 4170 de 2011. Su objetivo es servir como ente rector de la pol</w:t>
      </w:r>
      <w:r w:rsidRPr="00B300E4">
        <w:rPr>
          <w:rFonts w:ascii="Century Gothic" w:hAnsi="Century Gothic" w:cs="Century Gothic"/>
          <w:sz w:val="16"/>
          <w:szCs w:val="16"/>
        </w:rPr>
        <w:t>í</w:t>
      </w:r>
      <w:r w:rsidRPr="00B300E4">
        <w:rPr>
          <w:rFonts w:ascii="Century Gothic" w:hAnsi="Century Gothic" w:cs="Arial"/>
          <w:sz w:val="16"/>
          <w:szCs w:val="16"/>
        </w:rPr>
        <w:t>tica de compras y contrataci</w:t>
      </w:r>
      <w:r w:rsidRPr="00B300E4">
        <w:rPr>
          <w:rFonts w:ascii="Century Gothic" w:hAnsi="Century Gothic" w:cs="Century Gothic"/>
          <w:sz w:val="16"/>
          <w:szCs w:val="16"/>
        </w:rPr>
        <w:t>ó</w:t>
      </w:r>
      <w:r w:rsidRPr="00B300E4">
        <w:rPr>
          <w:rFonts w:ascii="Century Gothic" w:hAnsi="Century Gothic" w:cs="Arial"/>
          <w:sz w:val="16"/>
          <w:szCs w:val="16"/>
        </w:rPr>
        <w:t xml:space="preserve">n del Estado. Para tales fines, como </w:t>
      </w:r>
      <w:r w:rsidRPr="00B300E4">
        <w:rPr>
          <w:rFonts w:ascii="Century Gothic" w:hAnsi="Century Gothic" w:cs="Century Gothic"/>
          <w:sz w:val="16"/>
          <w:szCs w:val="16"/>
        </w:rPr>
        <w:t>ó</w:t>
      </w:r>
      <w:r w:rsidRPr="00B300E4">
        <w:rPr>
          <w:rFonts w:ascii="Century Gothic" w:hAnsi="Century Gothic" w:cs="Arial"/>
          <w:sz w:val="16"/>
          <w:szCs w:val="16"/>
        </w:rPr>
        <w:t>rgano t</w:t>
      </w:r>
      <w:r w:rsidRPr="00B300E4">
        <w:rPr>
          <w:rFonts w:ascii="Century Gothic" w:hAnsi="Century Gothic" w:cs="Century Gothic"/>
          <w:sz w:val="16"/>
          <w:szCs w:val="16"/>
        </w:rPr>
        <w:t>é</w:t>
      </w:r>
      <w:r w:rsidRPr="00B300E4">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B300E4">
        <w:rPr>
          <w:rFonts w:ascii="Century Gothic" w:hAnsi="Century Gothic" w:cs="Arial"/>
          <w:i/>
          <w:iCs/>
          <w:sz w:val="16"/>
          <w:szCs w:val="16"/>
        </w:rPr>
        <w:t xml:space="preserve">ibidem </w:t>
      </w:r>
      <w:r w:rsidRPr="00B300E4">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A62C155" w14:textId="77777777" w:rsidR="00AB08FB" w:rsidRPr="00B300E4" w:rsidRDefault="00AB08FB" w:rsidP="00AB08FB">
      <w:pPr>
        <w:pStyle w:val="Textonotapie"/>
        <w:ind w:firstLine="708"/>
        <w:jc w:val="both"/>
        <w:rPr>
          <w:rFonts w:ascii="Century Gothic" w:hAnsi="Century Gothic" w:cs="Arial"/>
          <w:sz w:val="16"/>
          <w:szCs w:val="16"/>
          <w:lang w:val="es-ES"/>
        </w:rPr>
      </w:pPr>
    </w:p>
  </w:footnote>
  <w:footnote w:id="3">
    <w:p w14:paraId="199FC94D" w14:textId="253B0468" w:rsidR="00AB08FB" w:rsidRPr="00B300E4" w:rsidRDefault="00AB08FB" w:rsidP="00AB08FB">
      <w:pPr>
        <w:pStyle w:val="Textonotapie"/>
        <w:ind w:firstLine="708"/>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300E4">
          <w:rPr>
            <w:rStyle w:val="Hipervnculo"/>
            <w:rFonts w:ascii="Century Gothic" w:hAnsi="Century Gothic" w:cs="Arial"/>
            <w:sz w:val="16"/>
            <w:szCs w:val="16"/>
          </w:rPr>
          <w:t>https://relatoria.colombiacompra.gov.co/busqueda/conceptos</w:t>
        </w:r>
      </w:hyperlink>
      <w:r w:rsidRPr="00B300E4">
        <w:rPr>
          <w:rStyle w:val="Hipervnculo"/>
          <w:rFonts w:ascii="Century Gothic" w:hAnsi="Century Gothic" w:cs="Arial"/>
          <w:sz w:val="16"/>
          <w:szCs w:val="16"/>
        </w:rPr>
        <w:t xml:space="preserve">. </w:t>
      </w:r>
      <w:r w:rsidRPr="00B300E4">
        <w:rPr>
          <w:rFonts w:ascii="Century Gothic" w:hAnsi="Century Gothic" w:cs="Arial"/>
          <w:sz w:val="16"/>
          <w:szCs w:val="16"/>
          <w:shd w:val="clear" w:color="auto" w:fill="E6E6E6"/>
        </w:rPr>
        <w:t xml:space="preserve"> </w:t>
      </w:r>
    </w:p>
    <w:p w14:paraId="21FA4646" w14:textId="77777777" w:rsidR="00AB08FB" w:rsidRPr="00B300E4" w:rsidRDefault="00AB08FB" w:rsidP="00AB08FB">
      <w:pPr>
        <w:pStyle w:val="Textonotapie"/>
        <w:rPr>
          <w:rFonts w:ascii="Century Gothic" w:hAnsi="Century Gothic"/>
          <w:sz w:val="16"/>
          <w:szCs w:val="16"/>
        </w:rPr>
      </w:pPr>
    </w:p>
  </w:footnote>
  <w:footnote w:id="4">
    <w:p w14:paraId="1966A0DB" w14:textId="74D8AC78" w:rsidR="00AB08FB" w:rsidRPr="00B300E4" w:rsidRDefault="00AB08FB" w:rsidP="00AB08FB">
      <w:pPr>
        <w:pStyle w:val="Textonotapie"/>
        <w:ind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Gaceta del Congreso de la República No. 71 del 2005.</w:t>
      </w:r>
    </w:p>
    <w:p w14:paraId="1135B898" w14:textId="77777777" w:rsidR="00AB08FB" w:rsidRPr="00B300E4" w:rsidRDefault="00AB08FB" w:rsidP="00AB08FB">
      <w:pPr>
        <w:pStyle w:val="Textonotapie"/>
        <w:ind w:firstLine="709"/>
        <w:jc w:val="both"/>
        <w:rPr>
          <w:rFonts w:ascii="Century Gothic" w:hAnsi="Century Gothic" w:cs="Arial"/>
          <w:sz w:val="16"/>
          <w:szCs w:val="16"/>
        </w:rPr>
      </w:pPr>
    </w:p>
  </w:footnote>
  <w:footnote w:id="5">
    <w:p w14:paraId="54F75A30" w14:textId="77777777" w:rsidR="00AB08FB" w:rsidRPr="00B300E4" w:rsidRDefault="00AB08FB" w:rsidP="00AB08FB">
      <w:pPr>
        <w:pStyle w:val="Textonotapie"/>
        <w:ind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Corte Constitucional, Sentencia C- 1153 de 2005, M.P. Marco Gerardo Monroy Cabra.</w:t>
      </w:r>
    </w:p>
    <w:p w14:paraId="304BBB68" w14:textId="77777777" w:rsidR="00AB08FB" w:rsidRPr="00B300E4" w:rsidRDefault="00AB08FB" w:rsidP="00AB08FB">
      <w:pPr>
        <w:pStyle w:val="Textonotapie"/>
        <w:ind w:firstLine="709"/>
        <w:jc w:val="both"/>
        <w:rPr>
          <w:rFonts w:ascii="Century Gothic" w:hAnsi="Century Gothic" w:cs="Arial"/>
          <w:sz w:val="16"/>
          <w:szCs w:val="16"/>
        </w:rPr>
      </w:pPr>
    </w:p>
  </w:footnote>
  <w:footnote w:id="6">
    <w:p w14:paraId="646141B2" w14:textId="13D00CA4" w:rsidR="00AB08FB" w:rsidRPr="00B300E4" w:rsidRDefault="00AB08FB" w:rsidP="00AB08FB">
      <w:pPr>
        <w:pStyle w:val="Textonotapie"/>
        <w:ind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2223D5C" w14:textId="77777777" w:rsidR="00AB08FB" w:rsidRPr="00B300E4" w:rsidRDefault="00AB08FB" w:rsidP="00AB08FB">
      <w:pPr>
        <w:pStyle w:val="Textonotapie"/>
        <w:ind w:firstLine="709"/>
        <w:jc w:val="both"/>
        <w:rPr>
          <w:rFonts w:ascii="Century Gothic" w:hAnsi="Century Gothic" w:cs="Arial"/>
          <w:sz w:val="16"/>
          <w:szCs w:val="16"/>
        </w:rPr>
      </w:pPr>
    </w:p>
  </w:footnote>
  <w:footnote w:id="7">
    <w:p w14:paraId="769890EA" w14:textId="77777777" w:rsidR="00AB08FB" w:rsidRDefault="00AB08FB" w:rsidP="00AB08FB">
      <w:pPr>
        <w:pStyle w:val="Textonotapie"/>
        <w:ind w:firstLine="708"/>
        <w:jc w:val="both"/>
        <w:rPr>
          <w:rFonts w:ascii="Century Gothic" w:hAnsi="Century Gothic" w:cs="Arial"/>
          <w:sz w:val="16"/>
          <w:szCs w:val="16"/>
          <w:lang w:val="es-CO"/>
        </w:rPr>
      </w:pPr>
      <w:r w:rsidRPr="00B300E4">
        <w:rPr>
          <w:rStyle w:val="Refdenotaalpie"/>
          <w:rFonts w:ascii="Century Gothic" w:hAnsi="Century Gothic" w:cs="Arial"/>
          <w:sz w:val="16"/>
          <w:szCs w:val="16"/>
        </w:rPr>
        <w:footnoteRef/>
      </w:r>
      <w:r w:rsidRPr="00B300E4">
        <w:rPr>
          <w:rFonts w:ascii="Century Gothic" w:hAnsi="Century Gothic"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738AFD3" w14:textId="77777777" w:rsidR="00B300E4" w:rsidRPr="00B300E4" w:rsidRDefault="00B300E4" w:rsidP="00AB08FB">
      <w:pPr>
        <w:pStyle w:val="Textonotapie"/>
        <w:ind w:firstLine="708"/>
        <w:jc w:val="both"/>
        <w:rPr>
          <w:rFonts w:ascii="Century Gothic" w:hAnsi="Century Gothic" w:cs="Arial"/>
          <w:sz w:val="16"/>
          <w:szCs w:val="16"/>
          <w:lang w:val="es-CO"/>
        </w:rPr>
      </w:pPr>
    </w:p>
  </w:footnote>
  <w:footnote w:id="8">
    <w:p w14:paraId="55FC5E70" w14:textId="77777777" w:rsidR="00AB08FB" w:rsidRPr="00B300E4" w:rsidRDefault="00AB08FB" w:rsidP="00AB08FB">
      <w:pPr>
        <w:pStyle w:val="Textonotapie"/>
        <w:ind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Consejo de Estado, Sala de Consulta y Servicio Civil de fecha 24 de julio de 2013, radicado 2166, Consejero Ponente: Álvaro Namén Vargas.  </w:t>
      </w:r>
    </w:p>
    <w:p w14:paraId="4DBFE227" w14:textId="77777777" w:rsidR="00AB08FB" w:rsidRPr="00B300E4" w:rsidRDefault="00AB08FB" w:rsidP="00AB08FB">
      <w:pPr>
        <w:pStyle w:val="Textonotapie"/>
        <w:ind w:firstLine="709"/>
        <w:jc w:val="both"/>
        <w:rPr>
          <w:rFonts w:ascii="Century Gothic" w:hAnsi="Century Gothic" w:cs="Arial"/>
          <w:sz w:val="16"/>
          <w:szCs w:val="16"/>
        </w:rPr>
      </w:pPr>
    </w:p>
  </w:footnote>
  <w:footnote w:id="9">
    <w:p w14:paraId="5553C87C" w14:textId="64BDFF5A" w:rsidR="00AB08FB" w:rsidRPr="00B300E4" w:rsidRDefault="00AB08FB" w:rsidP="00AB08FB">
      <w:pPr>
        <w:ind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w:t>
      </w:r>
      <w:bookmarkStart w:id="9" w:name="33"/>
      <w:r w:rsidRPr="00B300E4">
        <w:rPr>
          <w:rFonts w:ascii="Century Gothic" w:eastAsia="Calibri" w:hAnsi="Century Gothic" w:cs="Arial"/>
          <w:bCs/>
          <w:color w:val="000000"/>
          <w:sz w:val="16"/>
          <w:szCs w:val="16"/>
        </w:rPr>
        <w:t>“</w:t>
      </w:r>
      <w:r w:rsidRPr="00B300E4">
        <w:rPr>
          <w:rFonts w:ascii="Century Gothic" w:hAnsi="Century Gothic" w:cs="Arial"/>
          <w:sz w:val="16"/>
          <w:szCs w:val="16"/>
        </w:rPr>
        <w:t>Artículo 33. Restricciones a la contratación pública.</w:t>
      </w:r>
      <w:bookmarkEnd w:id="9"/>
      <w:r w:rsidRPr="00B300E4">
        <w:rPr>
          <w:rFonts w:ascii="Century Gothic" w:hAnsi="Century Gothic"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A3F207B" w14:textId="77777777" w:rsidR="00AB08FB" w:rsidRPr="00B300E4" w:rsidRDefault="00AB08FB" w:rsidP="00AB08FB">
      <w:pPr>
        <w:ind w:firstLine="709"/>
        <w:jc w:val="both"/>
        <w:rPr>
          <w:rFonts w:ascii="Century Gothic" w:hAnsi="Century Gothic" w:cs="Arial"/>
          <w:sz w:val="16"/>
          <w:szCs w:val="16"/>
        </w:rPr>
      </w:pPr>
      <w:r w:rsidRPr="00B300E4">
        <w:rPr>
          <w:rFonts w:ascii="Century Gothic" w:eastAsia="Calibri" w:hAnsi="Century Gothic" w:cs="Arial"/>
          <w:bCs/>
          <w:color w:val="000000"/>
          <w:sz w:val="16"/>
          <w:szCs w:val="16"/>
        </w:rPr>
        <w:t>“</w:t>
      </w:r>
      <w:r w:rsidRPr="00B300E4">
        <w:rPr>
          <w:rFonts w:ascii="Century Gothic" w:hAnsi="Century Gothic"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300E4">
        <w:rPr>
          <w:rFonts w:ascii="Century Gothic" w:eastAsia="Calibri" w:hAnsi="Century Gothic" w:cs="Arial"/>
          <w:bCs/>
          <w:color w:val="000000"/>
          <w:sz w:val="16"/>
          <w:szCs w:val="16"/>
        </w:rPr>
        <w:t>”</w:t>
      </w:r>
      <w:r w:rsidRPr="00B300E4">
        <w:rPr>
          <w:rFonts w:ascii="Century Gothic" w:hAnsi="Century Gothic" w:cs="Arial"/>
          <w:sz w:val="16"/>
          <w:szCs w:val="16"/>
        </w:rPr>
        <w:t>.</w:t>
      </w:r>
    </w:p>
  </w:footnote>
  <w:footnote w:id="10">
    <w:p w14:paraId="32CDC396" w14:textId="77777777" w:rsidR="00AB08FB" w:rsidRPr="00B300E4" w:rsidRDefault="00AB08FB" w:rsidP="00AB08FB">
      <w:pPr>
        <w:pStyle w:val="NormalWeb"/>
        <w:spacing w:before="0" w:beforeAutospacing="0" w:after="0" w:afterAutospacing="0"/>
        <w:ind w:firstLine="709"/>
        <w:jc w:val="both"/>
        <w:rPr>
          <w:rFonts w:ascii="Century Gothic" w:hAnsi="Century Gothic" w:cs="Arial"/>
          <w:sz w:val="16"/>
          <w:szCs w:val="16"/>
          <w:lang w:val="es-MX"/>
        </w:rPr>
      </w:pPr>
      <w:r w:rsidRPr="00B300E4">
        <w:rPr>
          <w:rStyle w:val="Refdenotaalpie"/>
          <w:rFonts w:ascii="Century Gothic" w:eastAsiaTheme="majorEastAsia" w:hAnsi="Century Gothic" w:cs="Arial"/>
          <w:sz w:val="16"/>
          <w:szCs w:val="16"/>
        </w:rPr>
        <w:footnoteRef/>
      </w:r>
      <w:r w:rsidRPr="00B300E4">
        <w:rPr>
          <w:rFonts w:ascii="Century Gothic" w:hAnsi="Century Gothic" w:cs="Arial"/>
          <w:sz w:val="16"/>
          <w:szCs w:val="16"/>
        </w:rPr>
        <w:t xml:space="preserve"> </w:t>
      </w:r>
      <w:bookmarkStart w:id="10" w:name="38"/>
      <w:r w:rsidRPr="00B300E4">
        <w:rPr>
          <w:rFonts w:ascii="Century Gothic" w:eastAsia="Calibri" w:hAnsi="Century Gothic" w:cs="Arial"/>
          <w:bCs/>
          <w:color w:val="000000"/>
          <w:sz w:val="16"/>
          <w:szCs w:val="16"/>
        </w:rPr>
        <w:t>“</w:t>
      </w:r>
      <w:r w:rsidRPr="00B300E4">
        <w:rPr>
          <w:rFonts w:ascii="Century Gothic" w:hAnsi="Century Gothic" w:cs="Arial"/>
          <w:sz w:val="16"/>
          <w:szCs w:val="16"/>
          <w:lang w:val="es-MX"/>
        </w:rPr>
        <w:t>Artículo 38. Prohibiciones para los servidores públicos. A los empleados del Estado les está prohibido:</w:t>
      </w:r>
      <w:bookmarkEnd w:id="10"/>
    </w:p>
    <w:p w14:paraId="1AD50E1D" w14:textId="77777777" w:rsidR="00AB08FB" w:rsidRPr="00B300E4" w:rsidRDefault="00AB08FB" w:rsidP="00AB08FB">
      <w:pPr>
        <w:pStyle w:val="NormalWeb"/>
        <w:spacing w:before="0" w:beforeAutospacing="0" w:after="0" w:afterAutospacing="0"/>
        <w:ind w:firstLine="709"/>
        <w:jc w:val="both"/>
        <w:rPr>
          <w:rFonts w:ascii="Century Gothic" w:hAnsi="Century Gothic" w:cs="Arial"/>
          <w:sz w:val="16"/>
          <w:szCs w:val="16"/>
          <w:lang w:val="es-MX"/>
        </w:rPr>
      </w:pPr>
      <w:r w:rsidRPr="00B300E4">
        <w:rPr>
          <w:rFonts w:ascii="Century Gothic" w:eastAsia="Calibri" w:hAnsi="Century Gothic" w:cs="Arial"/>
          <w:bCs/>
          <w:color w:val="000000"/>
          <w:sz w:val="16"/>
          <w:szCs w:val="16"/>
        </w:rPr>
        <w:t>“</w:t>
      </w:r>
      <w:r w:rsidRPr="00B300E4">
        <w:rPr>
          <w:rFonts w:ascii="Century Gothic" w:hAnsi="Century Gothic" w:cs="Arial"/>
          <w:sz w:val="16"/>
          <w:szCs w:val="16"/>
          <w:lang w:val="es-MX"/>
        </w:rPr>
        <w:t>[…]</w:t>
      </w:r>
    </w:p>
    <w:p w14:paraId="7A8B1FFC" w14:textId="77777777" w:rsidR="00AB08FB" w:rsidRPr="00B300E4" w:rsidRDefault="00AB08FB" w:rsidP="00AB08FB">
      <w:pPr>
        <w:pStyle w:val="NormalWeb"/>
        <w:spacing w:before="0" w:beforeAutospacing="0" w:after="0" w:afterAutospacing="0"/>
        <w:ind w:firstLine="709"/>
        <w:jc w:val="both"/>
        <w:rPr>
          <w:rFonts w:ascii="Century Gothic" w:hAnsi="Century Gothic" w:cs="Arial"/>
          <w:sz w:val="16"/>
          <w:szCs w:val="16"/>
          <w:lang w:val="es-MX"/>
        </w:rPr>
      </w:pPr>
      <w:r w:rsidRPr="00B300E4">
        <w:rPr>
          <w:rFonts w:ascii="Century Gothic" w:eastAsia="Calibri" w:hAnsi="Century Gothic" w:cs="Arial"/>
          <w:bCs/>
          <w:color w:val="000000"/>
          <w:sz w:val="16"/>
          <w:szCs w:val="16"/>
        </w:rPr>
        <w:t>“</w:t>
      </w:r>
      <w:r w:rsidRPr="00B300E4">
        <w:rPr>
          <w:rStyle w:val="baj"/>
          <w:rFonts w:ascii="Century Gothic" w:hAnsi="Century Gothic" w:cs="Arial"/>
          <w:sz w:val="16"/>
          <w:szCs w:val="16"/>
        </w:rPr>
        <w:t>Parágrafo.</w:t>
      </w:r>
      <w:r w:rsidRPr="00B300E4">
        <w:rPr>
          <w:rFonts w:ascii="Century Gothic" w:hAnsi="Century Gothic"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300E4">
        <w:rPr>
          <w:rFonts w:ascii="Century Gothic" w:eastAsia="Calibri" w:hAnsi="Century Gothic" w:cs="Arial"/>
          <w:bCs/>
          <w:color w:val="000000"/>
          <w:sz w:val="16"/>
          <w:szCs w:val="16"/>
        </w:rPr>
        <w:t>”</w:t>
      </w:r>
      <w:r w:rsidRPr="00B300E4">
        <w:rPr>
          <w:rFonts w:ascii="Century Gothic" w:hAnsi="Century Gothic" w:cs="Arial"/>
          <w:sz w:val="16"/>
          <w:szCs w:val="16"/>
          <w:lang w:val="es-MX"/>
        </w:rPr>
        <w:t>.</w:t>
      </w:r>
    </w:p>
    <w:p w14:paraId="46570241" w14:textId="77777777" w:rsidR="00AB08FB" w:rsidRPr="00B300E4" w:rsidRDefault="00AB08FB" w:rsidP="00AB08FB">
      <w:pPr>
        <w:pStyle w:val="NormalWeb"/>
        <w:spacing w:before="0" w:beforeAutospacing="0" w:after="0" w:afterAutospacing="0"/>
        <w:ind w:firstLine="709"/>
        <w:jc w:val="both"/>
        <w:rPr>
          <w:rFonts w:ascii="Century Gothic" w:hAnsi="Century Gothic" w:cs="Arial"/>
          <w:sz w:val="16"/>
          <w:szCs w:val="16"/>
          <w:lang w:val="es-MX"/>
        </w:rPr>
      </w:pPr>
    </w:p>
  </w:footnote>
  <w:footnote w:id="11">
    <w:p w14:paraId="12FE4D42" w14:textId="7DFA9683" w:rsidR="00AB08FB" w:rsidRPr="00B300E4" w:rsidRDefault="00AB08FB" w:rsidP="00AB08FB">
      <w:pPr>
        <w:ind w:left="100" w:right="244" w:firstLine="709"/>
        <w:jc w:val="both"/>
        <w:rPr>
          <w:rFonts w:ascii="Century Gothic" w:hAnsi="Century Gothic" w:cs="Arial"/>
          <w:sz w:val="16"/>
          <w:szCs w:val="16"/>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Consejo de Estado. Sala de Consulta y Servicio Civil. Concepto del 17 de febrero de 2015. C.P. William Zambrano Cetina. Radicación No. 11001-03-06-000-2015-00164-00(2269).</w:t>
      </w:r>
    </w:p>
  </w:footnote>
  <w:footnote w:id="12">
    <w:p w14:paraId="40E6A80E" w14:textId="231318F1" w:rsidR="00AB08FB"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Sobre esta norma consultar los conceptos del 8 de octubre de 2019, con radicado 2201913000007532, y del 20 de diciembre de 2019, cuyo radicado es el No. 4201913000008240.</w:t>
      </w:r>
    </w:p>
    <w:p w14:paraId="36C0339B" w14:textId="77777777" w:rsidR="00B300E4" w:rsidRPr="00B300E4" w:rsidRDefault="00B300E4" w:rsidP="00AB08FB">
      <w:pPr>
        <w:pStyle w:val="Textonotapie"/>
        <w:ind w:firstLine="708"/>
        <w:jc w:val="both"/>
        <w:rPr>
          <w:rFonts w:ascii="Century Gothic" w:hAnsi="Century Gothic" w:cs="Arial"/>
          <w:color w:val="000000" w:themeColor="text1"/>
          <w:sz w:val="16"/>
          <w:szCs w:val="16"/>
        </w:rPr>
      </w:pPr>
    </w:p>
  </w:footnote>
  <w:footnote w:id="13">
    <w:p w14:paraId="6BC9FB13"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EB1E783"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Fonts w:ascii="Century Gothic" w:hAnsi="Century Gothic" w:cs="Arial"/>
          <w:color w:val="000000" w:themeColor="text1"/>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14">
    <w:p w14:paraId="4A0B5DBD" w14:textId="06889229"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15">
    <w:p w14:paraId="3117EAA3" w14:textId="1FF9C8D5"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Concepto del 3 de septiembre de 2019, emitido en el radicado No. 2201913000006512.</w:t>
      </w:r>
    </w:p>
    <w:p w14:paraId="7D9133EC"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p>
  </w:footnote>
  <w:footnote w:id="16">
    <w:p w14:paraId="4681D43A"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El numeral 16.9 de la Circular Externa Única de Colombia Compra Eficiente determina:</w:t>
      </w:r>
    </w:p>
    <w:p w14:paraId="7DB799B2"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Fonts w:ascii="Century Gothic" w:hAnsi="Century Gothic" w:cs="Arial"/>
          <w:color w:val="000000" w:themeColor="text1"/>
          <w:sz w:val="16"/>
          <w:szCs w:val="16"/>
        </w:rPr>
        <w:t>“16.9 Uniones temporales y consorcios conformados por entidades sin ánimo de lucro.</w:t>
      </w:r>
    </w:p>
    <w:p w14:paraId="07903FB2"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Fonts w:ascii="Century Gothic" w:hAnsi="Century Gothic" w:cs="Arial"/>
          <w:color w:val="000000" w:themeColor="text1"/>
          <w:sz w:val="16"/>
          <w:szCs w:val="16"/>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17">
    <w:p w14:paraId="43E85738" w14:textId="58A24E71"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Concepto del 19 de noviembre de 2019, emitido en el radicado No. 2201913000008611.</w:t>
      </w:r>
    </w:p>
    <w:p w14:paraId="4366EB17" w14:textId="77777777" w:rsidR="00AB08FB" w:rsidRPr="00B300E4" w:rsidRDefault="00AB08FB" w:rsidP="00AB08FB">
      <w:pPr>
        <w:pStyle w:val="Textonotapie"/>
        <w:ind w:firstLine="708"/>
        <w:jc w:val="both"/>
        <w:rPr>
          <w:rFonts w:ascii="Century Gothic" w:hAnsi="Century Gothic" w:cs="Arial"/>
          <w:color w:val="000000" w:themeColor="text1"/>
          <w:sz w:val="16"/>
          <w:szCs w:val="16"/>
          <w:lang w:val="es-ES"/>
        </w:rPr>
      </w:pPr>
    </w:p>
  </w:footnote>
  <w:footnote w:id="18">
    <w:p w14:paraId="5E55B2D6" w14:textId="6B86AF95" w:rsidR="00AB08FB" w:rsidRDefault="00AB08FB" w:rsidP="00F43A83">
      <w:pPr>
        <w:pStyle w:val="Textonotapie"/>
        <w:ind w:firstLine="709"/>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04AC92C1" w14:textId="77777777" w:rsidR="00B300E4" w:rsidRPr="00B300E4" w:rsidRDefault="00B300E4" w:rsidP="00AB08FB">
      <w:pPr>
        <w:pStyle w:val="Textonotapie"/>
        <w:ind w:firstLine="708"/>
        <w:jc w:val="both"/>
        <w:rPr>
          <w:rFonts w:ascii="Century Gothic" w:hAnsi="Century Gothic" w:cs="Arial"/>
          <w:color w:val="000000" w:themeColor="text1"/>
          <w:sz w:val="16"/>
          <w:szCs w:val="16"/>
        </w:rPr>
      </w:pPr>
    </w:p>
  </w:footnote>
  <w:footnote w:id="19">
    <w:p w14:paraId="18BAA1A6"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r w:rsidRPr="00B300E4">
        <w:rPr>
          <w:rStyle w:val="Refdenotaalpie"/>
          <w:rFonts w:ascii="Century Gothic" w:hAnsi="Century Gothic" w:cs="Arial"/>
          <w:color w:val="000000" w:themeColor="text1"/>
          <w:sz w:val="16"/>
          <w:szCs w:val="16"/>
        </w:rPr>
        <w:footnoteRef/>
      </w:r>
      <w:r w:rsidRPr="00B300E4">
        <w:rPr>
          <w:rFonts w:ascii="Century Gothic" w:hAnsi="Century Gothic"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AD811FB" w14:textId="77777777" w:rsidR="00AB08FB" w:rsidRPr="00B300E4" w:rsidRDefault="00AB08FB" w:rsidP="00AB08FB">
      <w:pPr>
        <w:pStyle w:val="Textonotapie"/>
        <w:ind w:firstLine="708"/>
        <w:jc w:val="both"/>
        <w:rPr>
          <w:rFonts w:ascii="Century Gothic" w:hAnsi="Century Gothic" w:cs="Arial"/>
          <w:color w:val="000000" w:themeColor="text1"/>
          <w:sz w:val="16"/>
          <w:szCs w:val="16"/>
        </w:rPr>
      </w:pPr>
    </w:p>
  </w:footnote>
  <w:footnote w:id="20">
    <w:p w14:paraId="5E369842" w14:textId="1E6E46D6" w:rsidR="00AB08FB" w:rsidRPr="00C14355" w:rsidRDefault="00AB08FB" w:rsidP="00F43A83">
      <w:pPr>
        <w:pStyle w:val="Textonotapie"/>
        <w:ind w:firstLine="709"/>
        <w:jc w:val="both"/>
        <w:rPr>
          <w:rFonts w:ascii="Century Gothic" w:hAnsi="Century Gothic" w:cs="Arial"/>
          <w:sz w:val="14"/>
          <w:szCs w:val="14"/>
          <w:lang w:val="es-ES"/>
        </w:rPr>
      </w:pPr>
      <w:r w:rsidRPr="00B300E4">
        <w:rPr>
          <w:rStyle w:val="Refdenotaalpie"/>
          <w:rFonts w:ascii="Century Gothic" w:hAnsi="Century Gothic" w:cs="Arial"/>
          <w:sz w:val="16"/>
          <w:szCs w:val="16"/>
        </w:rPr>
        <w:footnoteRef/>
      </w:r>
      <w:r w:rsidRPr="00B300E4">
        <w:rPr>
          <w:rFonts w:ascii="Century Gothic" w:hAnsi="Century Gothic" w:cs="Arial"/>
          <w:sz w:val="16"/>
          <w:szCs w:val="16"/>
        </w:rPr>
        <w:t xml:space="preserve"> </w:t>
      </w:r>
      <w:r w:rsidRPr="00B300E4">
        <w:rPr>
          <w:rFonts w:ascii="Century Gothic" w:hAnsi="Century Gothic" w:cs="Arial"/>
          <w:sz w:val="16"/>
          <w:szCs w:val="16"/>
          <w:lang w:val="es-CO"/>
        </w:rPr>
        <w:t>CONSEJO DE ESTADO. Sala de Consulta y Servicio Civil. Concepto del 8 de mayo de 2018. Rad.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1211084">
    <w:abstractNumId w:val="7"/>
  </w:num>
  <w:num w:numId="2" w16cid:durableId="1301299143">
    <w:abstractNumId w:val="3"/>
  </w:num>
  <w:num w:numId="3" w16cid:durableId="283655969">
    <w:abstractNumId w:val="5"/>
  </w:num>
  <w:num w:numId="4" w16cid:durableId="19061861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5584132">
    <w:abstractNumId w:val="3"/>
  </w:num>
  <w:num w:numId="6" w16cid:durableId="1217010143">
    <w:abstractNumId w:val="13"/>
  </w:num>
  <w:num w:numId="7" w16cid:durableId="2105874738">
    <w:abstractNumId w:val="6"/>
  </w:num>
  <w:num w:numId="8" w16cid:durableId="2136632873">
    <w:abstractNumId w:val="12"/>
  </w:num>
  <w:num w:numId="9" w16cid:durableId="1294405444">
    <w:abstractNumId w:val="8"/>
  </w:num>
  <w:num w:numId="10" w16cid:durableId="484394408">
    <w:abstractNumId w:val="11"/>
  </w:num>
  <w:num w:numId="11" w16cid:durableId="1105079115">
    <w:abstractNumId w:val="9"/>
  </w:num>
  <w:num w:numId="12" w16cid:durableId="988288893">
    <w:abstractNumId w:val="2"/>
  </w:num>
  <w:num w:numId="13" w16cid:durableId="33578807">
    <w:abstractNumId w:val="4"/>
  </w:num>
  <w:num w:numId="14" w16cid:durableId="413207547">
    <w:abstractNumId w:val="14"/>
  </w:num>
  <w:num w:numId="15" w16cid:durableId="1446148032">
    <w:abstractNumId w:val="10"/>
  </w:num>
  <w:num w:numId="16" w16cid:durableId="1054548937">
    <w:abstractNumId w:val="0"/>
  </w:num>
  <w:num w:numId="17" w16cid:durableId="164550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0734E"/>
    <w:rsid w:val="00061B2A"/>
    <w:rsid w:val="00082362"/>
    <w:rsid w:val="000A683E"/>
    <w:rsid w:val="000B19B9"/>
    <w:rsid w:val="000D0334"/>
    <w:rsid w:val="000F6486"/>
    <w:rsid w:val="00125105"/>
    <w:rsid w:val="00127233"/>
    <w:rsid w:val="001B72F5"/>
    <w:rsid w:val="001E4177"/>
    <w:rsid w:val="001E6FE9"/>
    <w:rsid w:val="001F7DC6"/>
    <w:rsid w:val="00233B91"/>
    <w:rsid w:val="002421BB"/>
    <w:rsid w:val="002707A2"/>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6575"/>
    <w:rsid w:val="00425A4A"/>
    <w:rsid w:val="0042722E"/>
    <w:rsid w:val="00486ADB"/>
    <w:rsid w:val="004A1847"/>
    <w:rsid w:val="004A305D"/>
    <w:rsid w:val="004F21C4"/>
    <w:rsid w:val="004F685F"/>
    <w:rsid w:val="005566E8"/>
    <w:rsid w:val="00574867"/>
    <w:rsid w:val="00591460"/>
    <w:rsid w:val="005A2340"/>
    <w:rsid w:val="005C3777"/>
    <w:rsid w:val="005C5CDC"/>
    <w:rsid w:val="005D476C"/>
    <w:rsid w:val="006219F8"/>
    <w:rsid w:val="00665D70"/>
    <w:rsid w:val="006900D9"/>
    <w:rsid w:val="00706C16"/>
    <w:rsid w:val="0071031F"/>
    <w:rsid w:val="0072408B"/>
    <w:rsid w:val="007324DB"/>
    <w:rsid w:val="00745F8B"/>
    <w:rsid w:val="00756841"/>
    <w:rsid w:val="007649AB"/>
    <w:rsid w:val="00771D0C"/>
    <w:rsid w:val="007833AC"/>
    <w:rsid w:val="007845D3"/>
    <w:rsid w:val="007870EE"/>
    <w:rsid w:val="007B268C"/>
    <w:rsid w:val="007B7171"/>
    <w:rsid w:val="007C3DC2"/>
    <w:rsid w:val="007E5497"/>
    <w:rsid w:val="00806F5F"/>
    <w:rsid w:val="00820278"/>
    <w:rsid w:val="008843B6"/>
    <w:rsid w:val="00891928"/>
    <w:rsid w:val="008A446D"/>
    <w:rsid w:val="008B6838"/>
    <w:rsid w:val="008D180B"/>
    <w:rsid w:val="008F0EA7"/>
    <w:rsid w:val="00923EEF"/>
    <w:rsid w:val="009419F9"/>
    <w:rsid w:val="00961B09"/>
    <w:rsid w:val="00965334"/>
    <w:rsid w:val="0097093E"/>
    <w:rsid w:val="009A6976"/>
    <w:rsid w:val="009C71FA"/>
    <w:rsid w:val="009C72E7"/>
    <w:rsid w:val="009F3A13"/>
    <w:rsid w:val="00A122D3"/>
    <w:rsid w:val="00A14BF4"/>
    <w:rsid w:val="00A17F13"/>
    <w:rsid w:val="00A20739"/>
    <w:rsid w:val="00A33C78"/>
    <w:rsid w:val="00AB02C6"/>
    <w:rsid w:val="00AB08FB"/>
    <w:rsid w:val="00AB0ADB"/>
    <w:rsid w:val="00B10C2C"/>
    <w:rsid w:val="00B300E4"/>
    <w:rsid w:val="00B72CD3"/>
    <w:rsid w:val="00B72FFF"/>
    <w:rsid w:val="00BA028A"/>
    <w:rsid w:val="00BC3D36"/>
    <w:rsid w:val="00BD7F72"/>
    <w:rsid w:val="00C04FB3"/>
    <w:rsid w:val="00C330EB"/>
    <w:rsid w:val="00C633A0"/>
    <w:rsid w:val="00C754BE"/>
    <w:rsid w:val="00C76B1C"/>
    <w:rsid w:val="00CB6357"/>
    <w:rsid w:val="00CC1B26"/>
    <w:rsid w:val="00D423A2"/>
    <w:rsid w:val="00D47A6A"/>
    <w:rsid w:val="00D63AC2"/>
    <w:rsid w:val="00D7383B"/>
    <w:rsid w:val="00D74356"/>
    <w:rsid w:val="00DA231B"/>
    <w:rsid w:val="00DF5254"/>
    <w:rsid w:val="00E16408"/>
    <w:rsid w:val="00E20894"/>
    <w:rsid w:val="00E245AB"/>
    <w:rsid w:val="00E2764C"/>
    <w:rsid w:val="00E27F2E"/>
    <w:rsid w:val="00E37FD9"/>
    <w:rsid w:val="00E50AFE"/>
    <w:rsid w:val="00E53FF1"/>
    <w:rsid w:val="00E771DC"/>
    <w:rsid w:val="00E8772A"/>
    <w:rsid w:val="00E90F6B"/>
    <w:rsid w:val="00E92C27"/>
    <w:rsid w:val="00E97D30"/>
    <w:rsid w:val="00EA0E3D"/>
    <w:rsid w:val="00EA1C6F"/>
    <w:rsid w:val="00EE1AA8"/>
    <w:rsid w:val="00EF06B7"/>
    <w:rsid w:val="00F31EDC"/>
    <w:rsid w:val="00F43A83"/>
    <w:rsid w:val="00F462B3"/>
    <w:rsid w:val="00F5664F"/>
    <w:rsid w:val="00F666C4"/>
    <w:rsid w:val="00F76AF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Sinespaciado">
    <w:name w:val="No Spacing"/>
    <w:aliases w:val="No Indent"/>
    <w:uiPriority w:val="1"/>
    <w:qFormat/>
    <w:rsid w:val="00AB08FB"/>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08FB"/>
    <w:rPr>
      <w:rFonts w:ascii="Geomanist Light" w:hAnsi="Geomanist Light"/>
      <w:lang w:val="es-ES"/>
    </w:rPr>
  </w:style>
  <w:style w:type="paragraph" w:customStyle="1" w:styleId="Appelnotedebasde">
    <w:name w:val="Appel note de bas de..."/>
    <w:basedOn w:val="Normal"/>
    <w:link w:val="Refdenotaalpie"/>
    <w:uiPriority w:val="99"/>
    <w:rsid w:val="00AB08FB"/>
    <w:pPr>
      <w:spacing w:line="240" w:lineRule="exact"/>
    </w:pPr>
    <w:rPr>
      <w:vertAlign w:val="superscript"/>
    </w:rPr>
  </w:style>
  <w:style w:type="character" w:customStyle="1" w:styleId="NormalWebCar">
    <w:name w:val="Normal (Web) Car"/>
    <w:link w:val="NormalWeb"/>
    <w:uiPriority w:val="99"/>
    <w:rsid w:val="00AB08FB"/>
    <w:rPr>
      <w:rFonts w:ascii="Times New Roman" w:eastAsia="Times New Roman" w:hAnsi="Times New Roman" w:cs="Times New Roman"/>
      <w:sz w:val="24"/>
      <w:szCs w:val="24"/>
      <w:lang w:eastAsia="es-CO"/>
    </w:rPr>
  </w:style>
  <w:style w:type="character" w:customStyle="1" w:styleId="baj">
    <w:name w:val="b_aj"/>
    <w:basedOn w:val="Fuentedeprrafopredeter"/>
    <w:rsid w:val="00AB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8ae15d26-076e-464e-81a7-6f76a0fb3917"/>
    <ds:schemaRef ds:uri="cabc2350-70b2-4dba-bb42-96a3175f4d5a"/>
    <ds:schemaRef ds:uri="http://www.w3.org/XML/1998/namespace"/>
    <ds:schemaRef ds:uri="http://purl.org/dc/elements/1.1/"/>
  </ds:schemaRefs>
</ds:datastoreItem>
</file>

<file path=customXml/itemProps2.xml><?xml version="1.0" encoding="utf-8"?>
<ds:datastoreItem xmlns:ds="http://schemas.openxmlformats.org/officeDocument/2006/customXml" ds:itemID="{139773D8-397A-4FE4-BE69-40C0B9142AC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5C3D221-CFDE-4E48-8D68-9A2A5DCB04EE}"/>
</file>

<file path=docProps/app.xml><?xml version="1.0" encoding="utf-8"?>
<Properties xmlns="http://schemas.openxmlformats.org/officeDocument/2006/extended-properties" xmlns:vt="http://schemas.openxmlformats.org/officeDocument/2006/docPropsVTypes">
  <Template>Normal</Template>
  <TotalTime>6</TotalTime>
  <Pages>18</Pages>
  <Words>6046</Words>
  <Characters>33258</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6</cp:revision>
  <cp:lastPrinted>2023-01-10T21:18:00Z</cp:lastPrinted>
  <dcterms:created xsi:type="dcterms:W3CDTF">2023-10-27T13:57:00Z</dcterms:created>
  <dcterms:modified xsi:type="dcterms:W3CDTF">2023-10-30T16:43:00Z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